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C933B8C" w14:textId="77777777" w:rsidR="004135FE" w:rsidRPr="004135FE" w:rsidRDefault="009211A6" w:rsidP="004135FE">
      <w:pPr>
        <w:spacing w:after="0" w:line="240" w:lineRule="auto"/>
        <w:jc w:val="center"/>
        <w:rPr>
          <w:rFonts w:ascii="Times New Roman" w:hAnsi="Times New Roman" w:cs="Times New Roman"/>
          <w:sz w:val="28"/>
          <w:szCs w:val="28"/>
        </w:rPr>
      </w:pPr>
      <w:bookmarkStart w:id="0" w:name="_GoBack"/>
      <w:bookmarkEnd w:id="0"/>
      <w:r w:rsidRPr="004135FE">
        <w:rPr>
          <w:rFonts w:ascii="Times New Roman" w:hAnsi="Times New Roman" w:cs="Times New Roman"/>
          <w:sz w:val="28"/>
          <w:szCs w:val="28"/>
        </w:rPr>
        <w:t xml:space="preserve">Казахстанский медицинский университет </w:t>
      </w:r>
    </w:p>
    <w:p w14:paraId="618F44B3" w14:textId="37606F88" w:rsidR="009211A6" w:rsidRPr="004135FE" w:rsidRDefault="009211A6"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«Высшая школа общественного здравоохранения»</w:t>
      </w:r>
    </w:p>
    <w:p w14:paraId="504B6583" w14:textId="77777777" w:rsidR="009211A6" w:rsidRPr="004135FE" w:rsidRDefault="009211A6" w:rsidP="004135FE">
      <w:pPr>
        <w:spacing w:after="0" w:line="240" w:lineRule="auto"/>
        <w:jc w:val="center"/>
        <w:rPr>
          <w:rFonts w:ascii="Times New Roman" w:hAnsi="Times New Roman" w:cs="Times New Roman"/>
          <w:sz w:val="28"/>
          <w:szCs w:val="28"/>
        </w:rPr>
      </w:pPr>
    </w:p>
    <w:p w14:paraId="77822E4D" w14:textId="09A3900C" w:rsidR="009211A6" w:rsidRPr="004135FE" w:rsidRDefault="009211A6" w:rsidP="004135FE">
      <w:pPr>
        <w:spacing w:after="0" w:line="240" w:lineRule="auto"/>
        <w:jc w:val="center"/>
        <w:rPr>
          <w:rFonts w:ascii="Times New Roman" w:hAnsi="Times New Roman" w:cs="Times New Roman"/>
          <w:sz w:val="28"/>
          <w:szCs w:val="28"/>
        </w:rPr>
      </w:pPr>
    </w:p>
    <w:p w14:paraId="62D9D574" w14:textId="59DEACB7" w:rsidR="004135FE" w:rsidRPr="004135FE" w:rsidRDefault="004135FE" w:rsidP="004135FE">
      <w:pPr>
        <w:spacing w:after="0" w:line="240" w:lineRule="auto"/>
        <w:jc w:val="center"/>
        <w:rPr>
          <w:rFonts w:ascii="Times New Roman" w:hAnsi="Times New Roman" w:cs="Times New Roman"/>
          <w:sz w:val="28"/>
          <w:szCs w:val="28"/>
        </w:rPr>
      </w:pPr>
    </w:p>
    <w:p w14:paraId="4E94BFB2" w14:textId="77777777" w:rsidR="004135FE" w:rsidRPr="004135FE" w:rsidRDefault="004135FE" w:rsidP="004135FE">
      <w:pPr>
        <w:spacing w:after="0" w:line="240" w:lineRule="auto"/>
        <w:jc w:val="center"/>
        <w:rPr>
          <w:rFonts w:ascii="Times New Roman" w:hAnsi="Times New Roman" w:cs="Times New Roman"/>
          <w:sz w:val="28"/>
          <w:szCs w:val="28"/>
        </w:rPr>
      </w:pPr>
    </w:p>
    <w:p w14:paraId="58372666" w14:textId="655A89FC" w:rsidR="009211A6" w:rsidRPr="004135FE" w:rsidRDefault="009211A6" w:rsidP="004135FE">
      <w:pPr>
        <w:spacing w:after="0" w:line="240" w:lineRule="auto"/>
        <w:jc w:val="both"/>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УДК:</w:t>
      </w:r>
      <w:r w:rsidRPr="004135FE">
        <w:rPr>
          <w:rFonts w:ascii="Times New Roman" w:hAnsi="Times New Roman" w:cs="Times New Roman"/>
          <w:bCs/>
          <w:sz w:val="28"/>
          <w:szCs w:val="28"/>
          <w:shd w:val="clear" w:color="auto" w:fill="FFFFFF"/>
        </w:rPr>
        <w:t xml:space="preserve"> 616.379-008.64:616.4 (083.13) (51)       </w:t>
      </w:r>
      <w:r w:rsidRPr="004135FE">
        <w:rPr>
          <w:rFonts w:ascii="Times New Roman" w:hAnsi="Times New Roman" w:cs="Times New Roman"/>
          <w:sz w:val="28"/>
          <w:szCs w:val="28"/>
        </w:rPr>
        <w:t xml:space="preserve">                   На правах рукописи</w:t>
      </w:r>
    </w:p>
    <w:p w14:paraId="56C8FC95" w14:textId="77777777" w:rsidR="009211A6" w:rsidRPr="004135FE" w:rsidRDefault="009211A6" w:rsidP="004135FE">
      <w:pPr>
        <w:spacing w:after="0" w:line="240" w:lineRule="auto"/>
        <w:jc w:val="center"/>
        <w:rPr>
          <w:rFonts w:ascii="Times New Roman" w:hAnsi="Times New Roman" w:cs="Times New Roman"/>
          <w:sz w:val="28"/>
          <w:szCs w:val="28"/>
        </w:rPr>
      </w:pPr>
    </w:p>
    <w:p w14:paraId="778EBEAF" w14:textId="77777777" w:rsidR="009211A6" w:rsidRPr="004135FE" w:rsidRDefault="009211A6" w:rsidP="004135FE">
      <w:pPr>
        <w:spacing w:after="0" w:line="240" w:lineRule="auto"/>
        <w:jc w:val="center"/>
        <w:rPr>
          <w:rFonts w:ascii="Times New Roman" w:hAnsi="Times New Roman" w:cs="Times New Roman"/>
          <w:sz w:val="28"/>
          <w:szCs w:val="28"/>
        </w:rPr>
      </w:pPr>
    </w:p>
    <w:p w14:paraId="3A36489E" w14:textId="77777777" w:rsidR="009211A6" w:rsidRPr="004135FE" w:rsidRDefault="009211A6" w:rsidP="004135FE">
      <w:pPr>
        <w:spacing w:after="0" w:line="240" w:lineRule="auto"/>
        <w:jc w:val="center"/>
        <w:rPr>
          <w:rFonts w:ascii="Times New Roman" w:hAnsi="Times New Roman" w:cs="Times New Roman"/>
          <w:sz w:val="28"/>
          <w:szCs w:val="28"/>
        </w:rPr>
      </w:pPr>
    </w:p>
    <w:p w14:paraId="4F8CB7C7" w14:textId="77777777" w:rsidR="009211A6" w:rsidRPr="004135FE" w:rsidRDefault="009211A6" w:rsidP="004135FE">
      <w:pPr>
        <w:spacing w:after="0" w:line="240" w:lineRule="auto"/>
        <w:jc w:val="center"/>
        <w:rPr>
          <w:rFonts w:ascii="Times New Roman" w:hAnsi="Times New Roman" w:cs="Times New Roman"/>
          <w:sz w:val="28"/>
          <w:szCs w:val="28"/>
        </w:rPr>
      </w:pPr>
    </w:p>
    <w:p w14:paraId="64733A16" w14:textId="77777777" w:rsidR="009211A6" w:rsidRPr="004135FE" w:rsidRDefault="009211A6" w:rsidP="004135FE">
      <w:pPr>
        <w:spacing w:after="0" w:line="240" w:lineRule="auto"/>
        <w:jc w:val="center"/>
        <w:rPr>
          <w:rFonts w:ascii="Times New Roman" w:hAnsi="Times New Roman" w:cs="Times New Roman"/>
          <w:sz w:val="28"/>
          <w:szCs w:val="28"/>
        </w:rPr>
      </w:pPr>
    </w:p>
    <w:p w14:paraId="3388544E" w14:textId="77777777" w:rsidR="009211A6" w:rsidRPr="004135FE" w:rsidRDefault="009211A6" w:rsidP="004135FE">
      <w:pPr>
        <w:spacing w:after="0" w:line="240" w:lineRule="auto"/>
        <w:jc w:val="center"/>
        <w:rPr>
          <w:rFonts w:ascii="Times New Roman" w:hAnsi="Times New Roman" w:cs="Times New Roman"/>
          <w:sz w:val="28"/>
          <w:szCs w:val="28"/>
        </w:rPr>
      </w:pPr>
    </w:p>
    <w:p w14:paraId="101706E9" w14:textId="77777777" w:rsidR="009211A6" w:rsidRPr="004135FE" w:rsidRDefault="009211A6" w:rsidP="004135FE">
      <w:pPr>
        <w:spacing w:after="0" w:line="240" w:lineRule="auto"/>
        <w:jc w:val="center"/>
        <w:rPr>
          <w:rFonts w:ascii="Times New Roman" w:hAnsi="Times New Roman" w:cs="Times New Roman"/>
          <w:b/>
          <w:bCs/>
          <w:caps/>
          <w:sz w:val="28"/>
          <w:szCs w:val="28"/>
        </w:rPr>
      </w:pPr>
      <w:r w:rsidRPr="004135FE">
        <w:rPr>
          <w:rFonts w:ascii="Times New Roman" w:hAnsi="Times New Roman" w:cs="Times New Roman"/>
          <w:b/>
          <w:bCs/>
          <w:caps/>
          <w:sz w:val="28"/>
          <w:szCs w:val="28"/>
        </w:rPr>
        <w:t>Жузенова Макпал Адиловна</w:t>
      </w:r>
    </w:p>
    <w:p w14:paraId="5E70D290" w14:textId="77777777" w:rsidR="009211A6" w:rsidRPr="004135FE" w:rsidRDefault="009211A6" w:rsidP="004135FE">
      <w:pPr>
        <w:spacing w:after="0" w:line="240" w:lineRule="auto"/>
        <w:jc w:val="center"/>
        <w:rPr>
          <w:rFonts w:ascii="Times New Roman" w:hAnsi="Times New Roman" w:cs="Times New Roman"/>
          <w:caps/>
          <w:sz w:val="28"/>
          <w:szCs w:val="28"/>
        </w:rPr>
      </w:pPr>
    </w:p>
    <w:p w14:paraId="294AC7D0" w14:textId="77777777" w:rsidR="009211A6" w:rsidRPr="004135FE" w:rsidRDefault="009211A6" w:rsidP="004135FE">
      <w:pPr>
        <w:spacing w:after="0" w:line="240" w:lineRule="auto"/>
        <w:jc w:val="center"/>
        <w:rPr>
          <w:rFonts w:ascii="Times New Roman" w:hAnsi="Times New Roman" w:cs="Times New Roman"/>
          <w:caps/>
          <w:sz w:val="28"/>
          <w:szCs w:val="28"/>
        </w:rPr>
      </w:pPr>
    </w:p>
    <w:p w14:paraId="34E046D0" w14:textId="2D0F307C" w:rsidR="009211A6" w:rsidRPr="004135FE" w:rsidRDefault="00CC6B82" w:rsidP="004135FE">
      <w:pPr>
        <w:spacing w:after="0" w:line="240" w:lineRule="auto"/>
        <w:jc w:val="center"/>
        <w:rPr>
          <w:rFonts w:ascii="Times New Roman" w:hAnsi="Times New Roman" w:cs="Times New Roman"/>
          <w:b/>
          <w:sz w:val="28"/>
          <w:szCs w:val="28"/>
        </w:rPr>
      </w:pPr>
      <w:r w:rsidRPr="004135FE">
        <w:rPr>
          <w:rFonts w:ascii="Times New Roman" w:hAnsi="Times New Roman" w:cs="Times New Roman"/>
          <w:b/>
          <w:sz w:val="28"/>
          <w:szCs w:val="28"/>
        </w:rPr>
        <w:t>Научно-</w:t>
      </w:r>
      <w:r w:rsidR="009211A6" w:rsidRPr="004135FE">
        <w:rPr>
          <w:rFonts w:ascii="Times New Roman" w:hAnsi="Times New Roman" w:cs="Times New Roman"/>
          <w:b/>
          <w:sz w:val="28"/>
          <w:szCs w:val="28"/>
        </w:rPr>
        <w:t xml:space="preserve">обоснованные подходы к совершенствованию медицинской помощи пациентам с </w:t>
      </w:r>
      <w:r w:rsidR="00575EFF">
        <w:rPr>
          <w:rFonts w:ascii="Times New Roman" w:hAnsi="Times New Roman" w:cs="Times New Roman"/>
          <w:b/>
          <w:sz w:val="28"/>
          <w:szCs w:val="28"/>
        </w:rPr>
        <w:t xml:space="preserve">сахарным диабетом 2 </w:t>
      </w:r>
      <w:r w:rsidR="009211A6" w:rsidRPr="004135FE">
        <w:rPr>
          <w:rFonts w:ascii="Times New Roman" w:hAnsi="Times New Roman" w:cs="Times New Roman"/>
          <w:b/>
          <w:sz w:val="28"/>
          <w:szCs w:val="28"/>
        </w:rPr>
        <w:t>т</w:t>
      </w:r>
      <w:r w:rsidR="00901D83">
        <w:rPr>
          <w:rFonts w:ascii="Times New Roman" w:hAnsi="Times New Roman" w:cs="Times New Roman"/>
          <w:b/>
          <w:sz w:val="28"/>
          <w:szCs w:val="28"/>
        </w:rPr>
        <w:t>ипа</w:t>
      </w:r>
      <w:r w:rsidR="009211A6" w:rsidRPr="004135FE">
        <w:rPr>
          <w:rFonts w:ascii="Times New Roman" w:hAnsi="Times New Roman" w:cs="Times New Roman"/>
          <w:b/>
          <w:sz w:val="28"/>
          <w:szCs w:val="28"/>
        </w:rPr>
        <w:t xml:space="preserve"> и межсекторальное сотрудничество в решении их проблем</w:t>
      </w:r>
    </w:p>
    <w:p w14:paraId="1B0961A5" w14:textId="77777777" w:rsidR="009211A6" w:rsidRPr="004135FE" w:rsidRDefault="009211A6" w:rsidP="004135FE">
      <w:pPr>
        <w:spacing w:after="0" w:line="240" w:lineRule="auto"/>
        <w:jc w:val="center"/>
        <w:rPr>
          <w:rFonts w:ascii="Times New Roman" w:hAnsi="Times New Roman" w:cs="Times New Roman"/>
          <w:sz w:val="28"/>
          <w:szCs w:val="28"/>
        </w:rPr>
      </w:pPr>
    </w:p>
    <w:p w14:paraId="23C3B48F" w14:textId="77777777" w:rsidR="009211A6" w:rsidRPr="004135FE" w:rsidRDefault="009211A6" w:rsidP="004135FE">
      <w:pPr>
        <w:spacing w:after="0" w:line="240" w:lineRule="auto"/>
        <w:jc w:val="center"/>
        <w:rPr>
          <w:rFonts w:ascii="Times New Roman" w:hAnsi="Times New Roman" w:cs="Times New Roman"/>
          <w:sz w:val="28"/>
          <w:szCs w:val="28"/>
        </w:rPr>
      </w:pPr>
    </w:p>
    <w:p w14:paraId="25F29456" w14:textId="77777777" w:rsidR="009211A6" w:rsidRPr="004135FE" w:rsidRDefault="009211A6"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6</w:t>
      </w:r>
      <w:r w:rsidRPr="004135FE">
        <w:rPr>
          <w:rFonts w:ascii="Times New Roman" w:hAnsi="Times New Roman" w:cs="Times New Roman"/>
          <w:sz w:val="28"/>
          <w:szCs w:val="28"/>
          <w:lang w:val="en-US"/>
        </w:rPr>
        <w:t>D</w:t>
      </w:r>
      <w:r w:rsidRPr="004135FE">
        <w:rPr>
          <w:rFonts w:ascii="Times New Roman" w:hAnsi="Times New Roman" w:cs="Times New Roman"/>
          <w:sz w:val="28"/>
          <w:szCs w:val="28"/>
        </w:rPr>
        <w:t>110200 - Общественное здравоохранение</w:t>
      </w:r>
    </w:p>
    <w:p w14:paraId="66317E88" w14:textId="77777777" w:rsidR="009211A6" w:rsidRPr="004135FE" w:rsidRDefault="009211A6"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 xml:space="preserve">Диссертация на соискание степени доктора философии </w:t>
      </w:r>
      <w:r w:rsidRPr="004135FE">
        <w:rPr>
          <w:rFonts w:ascii="Times New Roman" w:hAnsi="Times New Roman" w:cs="Times New Roman"/>
          <w:sz w:val="28"/>
          <w:szCs w:val="28"/>
          <w:lang w:val="en-US"/>
        </w:rPr>
        <w:t>PhD</w:t>
      </w:r>
    </w:p>
    <w:p w14:paraId="13D018B3" w14:textId="77777777" w:rsidR="009211A6" w:rsidRPr="004135FE" w:rsidRDefault="009211A6" w:rsidP="004135FE">
      <w:pPr>
        <w:spacing w:after="0" w:line="240" w:lineRule="auto"/>
        <w:jc w:val="center"/>
        <w:rPr>
          <w:rFonts w:ascii="Times New Roman" w:hAnsi="Times New Roman" w:cs="Times New Roman"/>
          <w:sz w:val="28"/>
          <w:szCs w:val="28"/>
        </w:rPr>
      </w:pPr>
    </w:p>
    <w:p w14:paraId="31505715" w14:textId="77777777" w:rsidR="009211A6" w:rsidRPr="004135FE" w:rsidRDefault="009211A6" w:rsidP="004135FE">
      <w:pPr>
        <w:spacing w:after="0" w:line="240" w:lineRule="auto"/>
        <w:jc w:val="center"/>
        <w:rPr>
          <w:rFonts w:ascii="Times New Roman" w:hAnsi="Times New Roman" w:cs="Times New Roman"/>
          <w:sz w:val="28"/>
          <w:szCs w:val="28"/>
        </w:rPr>
      </w:pPr>
    </w:p>
    <w:p w14:paraId="2A5975B6" w14:textId="59D3587B" w:rsidR="009211A6" w:rsidRDefault="009211A6" w:rsidP="004135FE">
      <w:pPr>
        <w:spacing w:after="0" w:line="240" w:lineRule="auto"/>
        <w:jc w:val="center"/>
        <w:rPr>
          <w:rFonts w:ascii="Times New Roman" w:hAnsi="Times New Roman" w:cs="Times New Roman"/>
          <w:sz w:val="28"/>
          <w:szCs w:val="28"/>
        </w:rPr>
      </w:pPr>
    </w:p>
    <w:p w14:paraId="1BF64146" w14:textId="5132E50F" w:rsidR="004135FE" w:rsidRDefault="004135FE" w:rsidP="004135FE">
      <w:pPr>
        <w:spacing w:after="0" w:line="240" w:lineRule="auto"/>
        <w:jc w:val="center"/>
        <w:rPr>
          <w:rFonts w:ascii="Times New Roman" w:hAnsi="Times New Roman" w:cs="Times New Roman"/>
          <w:sz w:val="28"/>
          <w:szCs w:val="28"/>
        </w:rPr>
      </w:pPr>
    </w:p>
    <w:p w14:paraId="288A46FE" w14:textId="77777777" w:rsidR="004135FE" w:rsidRPr="004135FE" w:rsidRDefault="004135FE" w:rsidP="004135FE">
      <w:pPr>
        <w:spacing w:after="0" w:line="240" w:lineRule="auto"/>
        <w:jc w:val="center"/>
        <w:rPr>
          <w:rFonts w:ascii="Times New Roman" w:hAnsi="Times New Roman" w:cs="Times New Roman"/>
          <w:sz w:val="28"/>
          <w:szCs w:val="28"/>
        </w:rPr>
      </w:pPr>
    </w:p>
    <w:tbl>
      <w:tblPr>
        <w:tblStyle w:val="af9"/>
        <w:tblW w:w="0" w:type="auto"/>
        <w:tblLook w:val="04A0" w:firstRow="1" w:lastRow="0" w:firstColumn="1" w:lastColumn="0" w:noHBand="0" w:noVBand="1"/>
      </w:tblPr>
      <w:tblGrid>
        <w:gridCol w:w="5665"/>
        <w:gridCol w:w="3679"/>
      </w:tblGrid>
      <w:tr w:rsidR="009211A6" w:rsidRPr="004135FE" w14:paraId="4BD407F1" w14:textId="77777777" w:rsidTr="00B83502">
        <w:tc>
          <w:tcPr>
            <w:tcW w:w="5665" w:type="dxa"/>
          </w:tcPr>
          <w:p w14:paraId="1A5317C3" w14:textId="77777777" w:rsidR="009211A6" w:rsidRPr="004135FE" w:rsidRDefault="009211A6" w:rsidP="004135FE">
            <w:pPr>
              <w:spacing w:after="0" w:line="240" w:lineRule="auto"/>
              <w:jc w:val="center"/>
              <w:rPr>
                <w:rFonts w:ascii="Times New Roman" w:hAnsi="Times New Roman" w:cs="Times New Roman"/>
                <w:sz w:val="28"/>
                <w:szCs w:val="28"/>
              </w:rPr>
            </w:pPr>
          </w:p>
        </w:tc>
        <w:tc>
          <w:tcPr>
            <w:tcW w:w="3679" w:type="dxa"/>
          </w:tcPr>
          <w:p w14:paraId="00C354BB"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Научные консультанты:</w:t>
            </w:r>
          </w:p>
          <w:p w14:paraId="4BAD0A75" w14:textId="77777777" w:rsidR="00B83502"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 xml:space="preserve">Д.м.н., профессор </w:t>
            </w:r>
          </w:p>
          <w:p w14:paraId="609648F2" w14:textId="51B94586"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Касымова Гульнара Пазылбековна</w:t>
            </w:r>
          </w:p>
          <w:p w14:paraId="007962E8" w14:textId="77777777" w:rsidR="009211A6" w:rsidRPr="004135FE" w:rsidRDefault="009211A6" w:rsidP="004135FE">
            <w:pPr>
              <w:spacing w:after="0" w:line="240" w:lineRule="auto"/>
              <w:rPr>
                <w:rFonts w:ascii="Times New Roman" w:hAnsi="Times New Roman" w:cs="Times New Roman"/>
                <w:sz w:val="28"/>
                <w:szCs w:val="28"/>
              </w:rPr>
            </w:pPr>
          </w:p>
        </w:tc>
      </w:tr>
      <w:tr w:rsidR="009211A6" w:rsidRPr="004135FE" w14:paraId="0DDE8FE4" w14:textId="77777777" w:rsidTr="00B83502">
        <w:tc>
          <w:tcPr>
            <w:tcW w:w="5665" w:type="dxa"/>
          </w:tcPr>
          <w:p w14:paraId="20418218" w14:textId="77777777" w:rsidR="009211A6" w:rsidRPr="004135FE" w:rsidRDefault="009211A6" w:rsidP="004135FE">
            <w:pPr>
              <w:spacing w:after="0" w:line="240" w:lineRule="auto"/>
              <w:jc w:val="center"/>
              <w:rPr>
                <w:rFonts w:ascii="Times New Roman" w:hAnsi="Times New Roman" w:cs="Times New Roman"/>
                <w:sz w:val="28"/>
                <w:szCs w:val="28"/>
              </w:rPr>
            </w:pPr>
          </w:p>
        </w:tc>
        <w:tc>
          <w:tcPr>
            <w:tcW w:w="3679" w:type="dxa"/>
          </w:tcPr>
          <w:p w14:paraId="0C2893FC"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Зарубежный консультант:</w:t>
            </w:r>
          </w:p>
          <w:p w14:paraId="1AB1C157" w14:textId="77777777" w:rsidR="00B83502"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 xml:space="preserve">Доктор </w:t>
            </w:r>
            <w:r w:rsidRPr="004135FE">
              <w:rPr>
                <w:rFonts w:ascii="Times New Roman" w:hAnsi="Times New Roman" w:cs="Times New Roman"/>
                <w:sz w:val="28"/>
                <w:szCs w:val="28"/>
                <w:lang w:val="en-US"/>
              </w:rPr>
              <w:t>PhD</w:t>
            </w:r>
            <w:r w:rsidRPr="004135FE">
              <w:rPr>
                <w:rFonts w:ascii="Times New Roman" w:hAnsi="Times New Roman" w:cs="Times New Roman"/>
                <w:sz w:val="28"/>
                <w:szCs w:val="28"/>
              </w:rPr>
              <w:t xml:space="preserve"> </w:t>
            </w:r>
          </w:p>
          <w:p w14:paraId="0BC1E60B" w14:textId="4877101B"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Канушина Марина Алексеевна</w:t>
            </w:r>
          </w:p>
          <w:p w14:paraId="28A2F004" w14:textId="77777777" w:rsidR="009211A6" w:rsidRPr="004135FE" w:rsidRDefault="009211A6" w:rsidP="004135FE">
            <w:pPr>
              <w:spacing w:after="0" w:line="240" w:lineRule="auto"/>
              <w:rPr>
                <w:rFonts w:ascii="Times New Roman" w:hAnsi="Times New Roman" w:cs="Times New Roman"/>
                <w:sz w:val="28"/>
                <w:szCs w:val="28"/>
              </w:rPr>
            </w:pPr>
          </w:p>
        </w:tc>
      </w:tr>
    </w:tbl>
    <w:p w14:paraId="2E42C76A" w14:textId="77777777" w:rsidR="009211A6" w:rsidRPr="004135FE" w:rsidRDefault="009211A6" w:rsidP="004135FE">
      <w:pPr>
        <w:spacing w:after="0" w:line="240" w:lineRule="auto"/>
        <w:jc w:val="center"/>
        <w:rPr>
          <w:rFonts w:ascii="Times New Roman" w:hAnsi="Times New Roman" w:cs="Times New Roman"/>
          <w:sz w:val="28"/>
          <w:szCs w:val="28"/>
        </w:rPr>
      </w:pPr>
    </w:p>
    <w:p w14:paraId="34F300C6" w14:textId="77777777" w:rsidR="009211A6" w:rsidRPr="004135FE" w:rsidRDefault="009211A6" w:rsidP="004135FE">
      <w:pPr>
        <w:spacing w:after="0" w:line="240" w:lineRule="auto"/>
        <w:jc w:val="center"/>
        <w:rPr>
          <w:rFonts w:ascii="Times New Roman" w:hAnsi="Times New Roman" w:cs="Times New Roman"/>
          <w:sz w:val="28"/>
          <w:szCs w:val="28"/>
        </w:rPr>
      </w:pPr>
    </w:p>
    <w:p w14:paraId="69716CD1" w14:textId="77777777" w:rsidR="009211A6" w:rsidRPr="004135FE" w:rsidRDefault="009211A6" w:rsidP="004135FE">
      <w:pPr>
        <w:spacing w:after="0" w:line="240" w:lineRule="auto"/>
        <w:jc w:val="center"/>
        <w:rPr>
          <w:rFonts w:ascii="Times New Roman" w:hAnsi="Times New Roman" w:cs="Times New Roman"/>
          <w:sz w:val="28"/>
          <w:szCs w:val="28"/>
        </w:rPr>
      </w:pPr>
    </w:p>
    <w:p w14:paraId="3F68734E" w14:textId="77777777" w:rsidR="009211A6" w:rsidRPr="004135FE" w:rsidRDefault="009211A6" w:rsidP="004135FE">
      <w:pPr>
        <w:spacing w:after="0" w:line="240" w:lineRule="auto"/>
        <w:jc w:val="center"/>
        <w:rPr>
          <w:rFonts w:ascii="Times New Roman" w:hAnsi="Times New Roman" w:cs="Times New Roman"/>
          <w:sz w:val="28"/>
          <w:szCs w:val="28"/>
        </w:rPr>
      </w:pPr>
    </w:p>
    <w:p w14:paraId="251C47F6" w14:textId="77777777" w:rsidR="009211A6" w:rsidRPr="004135FE" w:rsidRDefault="009211A6" w:rsidP="004135FE">
      <w:pPr>
        <w:spacing w:after="0" w:line="240" w:lineRule="auto"/>
        <w:rPr>
          <w:rFonts w:ascii="Times New Roman" w:hAnsi="Times New Roman" w:cs="Times New Roman"/>
          <w:sz w:val="28"/>
          <w:szCs w:val="28"/>
        </w:rPr>
      </w:pPr>
    </w:p>
    <w:p w14:paraId="49016CED" w14:textId="77777777" w:rsidR="009211A6" w:rsidRPr="004135FE" w:rsidRDefault="009211A6"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Республика Казахстан</w:t>
      </w:r>
    </w:p>
    <w:p w14:paraId="56BCA1A7" w14:textId="2F005CD9" w:rsidR="009211A6" w:rsidRPr="004135FE" w:rsidRDefault="009211A6" w:rsidP="004135FE">
      <w:pPr>
        <w:spacing w:after="0" w:line="240" w:lineRule="auto"/>
        <w:jc w:val="center"/>
        <w:rPr>
          <w:rFonts w:ascii="Times New Roman" w:hAnsi="Times New Roman" w:cs="Times New Roman"/>
          <w:sz w:val="28"/>
          <w:szCs w:val="28"/>
          <w:lang w:val="kk-KZ"/>
        </w:rPr>
        <w:sectPr w:rsidR="009211A6" w:rsidRPr="004135FE" w:rsidSect="00EC71C2">
          <w:type w:val="nextColumn"/>
          <w:pgSz w:w="11906" w:h="16838"/>
          <w:pgMar w:top="1134" w:right="851" w:bottom="1134" w:left="1701" w:header="709" w:footer="709" w:gutter="0"/>
          <w:cols w:space="708"/>
          <w:docGrid w:linePitch="360"/>
        </w:sectPr>
      </w:pPr>
      <w:r w:rsidRPr="004135FE">
        <w:rPr>
          <w:rFonts w:ascii="Times New Roman" w:hAnsi="Times New Roman" w:cs="Times New Roman"/>
          <w:sz w:val="28"/>
          <w:szCs w:val="28"/>
        </w:rPr>
        <w:t>Алматы 2022</w:t>
      </w:r>
      <w:r w:rsidR="004135FE" w:rsidRPr="004135FE">
        <w:rPr>
          <w:rFonts w:ascii="Times New Roman" w:hAnsi="Times New Roman" w:cs="Times New Roman"/>
          <w:sz w:val="28"/>
          <w:szCs w:val="28"/>
          <w:lang w:val="kk-KZ"/>
        </w:rPr>
        <w:t xml:space="preserve"> г.</w:t>
      </w:r>
    </w:p>
    <w:p w14:paraId="1D92708B" w14:textId="77777777" w:rsidR="009211A6" w:rsidRPr="004135FE" w:rsidRDefault="009211A6" w:rsidP="004135FE">
      <w:pPr>
        <w:spacing w:after="0" w:line="240" w:lineRule="auto"/>
        <w:jc w:val="center"/>
        <w:rPr>
          <w:rFonts w:ascii="Times New Roman"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58"/>
        <w:gridCol w:w="696"/>
      </w:tblGrid>
      <w:tr w:rsidR="009211A6" w:rsidRPr="00570909" w14:paraId="32F432A5" w14:textId="77777777" w:rsidTr="00B83502">
        <w:tc>
          <w:tcPr>
            <w:tcW w:w="9209" w:type="dxa"/>
          </w:tcPr>
          <w:p w14:paraId="15F4350D" w14:textId="77777777" w:rsidR="009211A6" w:rsidRPr="00570909" w:rsidRDefault="009211A6" w:rsidP="004135FE">
            <w:pPr>
              <w:spacing w:after="0" w:line="240" w:lineRule="auto"/>
              <w:jc w:val="center"/>
              <w:rPr>
                <w:rFonts w:ascii="Times New Roman" w:hAnsi="Times New Roman" w:cs="Times New Roman"/>
                <w:b/>
                <w:sz w:val="28"/>
                <w:szCs w:val="28"/>
              </w:rPr>
            </w:pPr>
            <w:r w:rsidRPr="00570909">
              <w:rPr>
                <w:rFonts w:ascii="Times New Roman" w:hAnsi="Times New Roman" w:cs="Times New Roman"/>
                <w:b/>
                <w:sz w:val="28"/>
                <w:szCs w:val="28"/>
              </w:rPr>
              <w:t>СОДЕРЖАНИЕ</w:t>
            </w:r>
          </w:p>
        </w:tc>
        <w:tc>
          <w:tcPr>
            <w:tcW w:w="703" w:type="dxa"/>
          </w:tcPr>
          <w:p w14:paraId="4012555E" w14:textId="77777777" w:rsidR="009211A6" w:rsidRPr="00570909" w:rsidRDefault="009211A6" w:rsidP="004135FE">
            <w:pPr>
              <w:spacing w:after="0" w:line="240" w:lineRule="auto"/>
              <w:jc w:val="center"/>
              <w:rPr>
                <w:rFonts w:ascii="Times New Roman" w:hAnsi="Times New Roman" w:cs="Times New Roman"/>
                <w:sz w:val="28"/>
                <w:szCs w:val="28"/>
              </w:rPr>
            </w:pPr>
          </w:p>
          <w:p w14:paraId="54A4022C" w14:textId="6E1894D3" w:rsidR="004135FE" w:rsidRPr="00570909" w:rsidRDefault="004135FE" w:rsidP="004135FE">
            <w:pPr>
              <w:spacing w:after="0" w:line="240" w:lineRule="auto"/>
              <w:jc w:val="center"/>
              <w:rPr>
                <w:rFonts w:ascii="Times New Roman" w:hAnsi="Times New Roman" w:cs="Times New Roman"/>
                <w:sz w:val="28"/>
                <w:szCs w:val="28"/>
              </w:rPr>
            </w:pPr>
          </w:p>
        </w:tc>
      </w:tr>
      <w:tr w:rsidR="009211A6" w:rsidRPr="00570909" w14:paraId="4638712C" w14:textId="77777777" w:rsidTr="00B83502">
        <w:tc>
          <w:tcPr>
            <w:tcW w:w="9209" w:type="dxa"/>
          </w:tcPr>
          <w:p w14:paraId="5D47A38E" w14:textId="77777777" w:rsidR="009211A6" w:rsidRPr="00570909" w:rsidRDefault="009211A6" w:rsidP="004135FE">
            <w:pPr>
              <w:spacing w:after="0" w:line="240" w:lineRule="auto"/>
              <w:jc w:val="both"/>
              <w:rPr>
                <w:rFonts w:ascii="Times New Roman" w:hAnsi="Times New Roman" w:cs="Times New Roman"/>
                <w:b/>
                <w:sz w:val="28"/>
                <w:szCs w:val="28"/>
              </w:rPr>
            </w:pPr>
            <w:r w:rsidRPr="00570909">
              <w:rPr>
                <w:rFonts w:ascii="Times New Roman" w:hAnsi="Times New Roman" w:cs="Times New Roman"/>
                <w:b/>
                <w:sz w:val="28"/>
                <w:szCs w:val="28"/>
              </w:rPr>
              <w:t>НОРМАТИВНЫЕ ССЫЛКИ</w:t>
            </w:r>
          </w:p>
        </w:tc>
        <w:tc>
          <w:tcPr>
            <w:tcW w:w="703" w:type="dxa"/>
          </w:tcPr>
          <w:p w14:paraId="205A6098" w14:textId="77777777" w:rsidR="009211A6" w:rsidRPr="00570909" w:rsidRDefault="009211A6" w:rsidP="004135FE">
            <w:pPr>
              <w:spacing w:after="0" w:line="240" w:lineRule="auto"/>
              <w:jc w:val="center"/>
              <w:rPr>
                <w:rFonts w:ascii="Times New Roman" w:hAnsi="Times New Roman" w:cs="Times New Roman"/>
                <w:sz w:val="28"/>
                <w:szCs w:val="28"/>
              </w:rPr>
            </w:pPr>
            <w:r w:rsidRPr="00570909">
              <w:rPr>
                <w:rFonts w:ascii="Times New Roman" w:hAnsi="Times New Roman" w:cs="Times New Roman"/>
                <w:sz w:val="28"/>
                <w:szCs w:val="28"/>
              </w:rPr>
              <w:t>4</w:t>
            </w:r>
          </w:p>
        </w:tc>
      </w:tr>
      <w:tr w:rsidR="009211A6" w:rsidRPr="00570909" w14:paraId="32460DFC" w14:textId="77777777" w:rsidTr="00B83502">
        <w:tc>
          <w:tcPr>
            <w:tcW w:w="9209" w:type="dxa"/>
          </w:tcPr>
          <w:p w14:paraId="7E5A8989" w14:textId="77777777" w:rsidR="009211A6" w:rsidRPr="00570909" w:rsidRDefault="009211A6" w:rsidP="004135FE">
            <w:pPr>
              <w:spacing w:after="0" w:line="240" w:lineRule="auto"/>
              <w:jc w:val="both"/>
              <w:rPr>
                <w:rFonts w:ascii="Times New Roman" w:hAnsi="Times New Roman" w:cs="Times New Roman"/>
                <w:b/>
                <w:sz w:val="28"/>
                <w:szCs w:val="28"/>
              </w:rPr>
            </w:pPr>
            <w:r w:rsidRPr="00570909">
              <w:rPr>
                <w:rFonts w:ascii="Times New Roman" w:hAnsi="Times New Roman" w:cs="Times New Roman"/>
                <w:b/>
                <w:sz w:val="28"/>
                <w:szCs w:val="28"/>
              </w:rPr>
              <w:t>ОПРЕДЕЛЕНИЯ</w:t>
            </w:r>
          </w:p>
        </w:tc>
        <w:tc>
          <w:tcPr>
            <w:tcW w:w="703" w:type="dxa"/>
          </w:tcPr>
          <w:p w14:paraId="725B43D4" w14:textId="527189B3" w:rsidR="009211A6" w:rsidRPr="00570909" w:rsidRDefault="00570909" w:rsidP="004135FE">
            <w:pPr>
              <w:spacing w:after="0" w:line="240" w:lineRule="auto"/>
              <w:jc w:val="center"/>
              <w:rPr>
                <w:rFonts w:ascii="Times New Roman" w:hAnsi="Times New Roman" w:cs="Times New Roman"/>
                <w:sz w:val="28"/>
                <w:szCs w:val="28"/>
              </w:rPr>
            </w:pPr>
            <w:r w:rsidRPr="00570909">
              <w:rPr>
                <w:rFonts w:ascii="Times New Roman" w:hAnsi="Times New Roman" w:cs="Times New Roman"/>
                <w:sz w:val="28"/>
                <w:szCs w:val="28"/>
              </w:rPr>
              <w:t>8</w:t>
            </w:r>
          </w:p>
        </w:tc>
      </w:tr>
      <w:tr w:rsidR="009211A6" w:rsidRPr="00570909" w14:paraId="75626C0E" w14:textId="77777777" w:rsidTr="00B83502">
        <w:tc>
          <w:tcPr>
            <w:tcW w:w="9209" w:type="dxa"/>
          </w:tcPr>
          <w:p w14:paraId="44933AAA" w14:textId="77777777" w:rsidR="009211A6" w:rsidRPr="00570909" w:rsidRDefault="009211A6" w:rsidP="004135FE">
            <w:pPr>
              <w:spacing w:after="0" w:line="240" w:lineRule="auto"/>
              <w:jc w:val="both"/>
              <w:rPr>
                <w:rFonts w:ascii="Times New Roman" w:hAnsi="Times New Roman" w:cs="Times New Roman"/>
                <w:b/>
                <w:sz w:val="28"/>
                <w:szCs w:val="28"/>
              </w:rPr>
            </w:pPr>
            <w:r w:rsidRPr="00570909">
              <w:rPr>
                <w:rFonts w:ascii="Times New Roman" w:hAnsi="Times New Roman" w:cs="Times New Roman"/>
                <w:b/>
                <w:sz w:val="28"/>
                <w:szCs w:val="28"/>
              </w:rPr>
              <w:t>ОБОЗНАЧЕНИЯ И СОКРАЩЕНИЯ</w:t>
            </w:r>
          </w:p>
        </w:tc>
        <w:tc>
          <w:tcPr>
            <w:tcW w:w="703" w:type="dxa"/>
          </w:tcPr>
          <w:p w14:paraId="5F3E557C" w14:textId="0AD09F4C" w:rsidR="009211A6" w:rsidRPr="00570909" w:rsidRDefault="00570909" w:rsidP="004135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11</w:t>
            </w:r>
          </w:p>
        </w:tc>
      </w:tr>
      <w:tr w:rsidR="009211A6" w:rsidRPr="00570909" w14:paraId="43B6AF04" w14:textId="77777777" w:rsidTr="00B83502">
        <w:tc>
          <w:tcPr>
            <w:tcW w:w="9209" w:type="dxa"/>
          </w:tcPr>
          <w:p w14:paraId="5BD85882" w14:textId="77777777" w:rsidR="009211A6" w:rsidRPr="00570909" w:rsidRDefault="009211A6" w:rsidP="004135FE">
            <w:pPr>
              <w:spacing w:after="0" w:line="240" w:lineRule="auto"/>
              <w:jc w:val="both"/>
              <w:rPr>
                <w:rFonts w:ascii="Times New Roman" w:hAnsi="Times New Roman" w:cs="Times New Roman"/>
                <w:b/>
                <w:sz w:val="28"/>
                <w:szCs w:val="28"/>
              </w:rPr>
            </w:pPr>
            <w:r w:rsidRPr="00570909">
              <w:rPr>
                <w:rFonts w:ascii="Times New Roman" w:hAnsi="Times New Roman" w:cs="Times New Roman"/>
                <w:b/>
                <w:sz w:val="28"/>
                <w:szCs w:val="28"/>
              </w:rPr>
              <w:t>ВВЕДЕНИЕ</w:t>
            </w:r>
          </w:p>
        </w:tc>
        <w:tc>
          <w:tcPr>
            <w:tcW w:w="703" w:type="dxa"/>
          </w:tcPr>
          <w:p w14:paraId="15C86425" w14:textId="2873464C" w:rsidR="009211A6" w:rsidRPr="00570909" w:rsidRDefault="009211A6" w:rsidP="004135FE">
            <w:pPr>
              <w:spacing w:after="0" w:line="240" w:lineRule="auto"/>
              <w:jc w:val="center"/>
              <w:rPr>
                <w:rFonts w:ascii="Times New Roman" w:hAnsi="Times New Roman" w:cs="Times New Roman"/>
                <w:sz w:val="28"/>
                <w:szCs w:val="28"/>
              </w:rPr>
            </w:pPr>
            <w:r w:rsidRPr="00570909">
              <w:rPr>
                <w:rFonts w:ascii="Times New Roman" w:hAnsi="Times New Roman" w:cs="Times New Roman"/>
                <w:sz w:val="28"/>
                <w:szCs w:val="28"/>
              </w:rPr>
              <w:t>1</w:t>
            </w:r>
            <w:r w:rsidR="00570909">
              <w:rPr>
                <w:rFonts w:ascii="Times New Roman" w:hAnsi="Times New Roman" w:cs="Times New Roman"/>
                <w:sz w:val="28"/>
                <w:szCs w:val="28"/>
              </w:rPr>
              <w:t>3</w:t>
            </w:r>
          </w:p>
        </w:tc>
      </w:tr>
      <w:tr w:rsidR="004135FE" w:rsidRPr="00570909" w14:paraId="6DFA48ED" w14:textId="77777777" w:rsidTr="00B83502">
        <w:tc>
          <w:tcPr>
            <w:tcW w:w="9209" w:type="dxa"/>
          </w:tcPr>
          <w:p w14:paraId="081F8363" w14:textId="4E50427A" w:rsidR="004135FE" w:rsidRPr="00570909" w:rsidRDefault="004135FE" w:rsidP="004135FE">
            <w:pPr>
              <w:autoSpaceDE w:val="0"/>
              <w:autoSpaceDN w:val="0"/>
              <w:adjustRightInd w:val="0"/>
              <w:spacing w:after="0" w:line="240" w:lineRule="auto"/>
              <w:jc w:val="both"/>
              <w:rPr>
                <w:rFonts w:ascii="Times New Roman" w:eastAsiaTheme="minorHAnsi" w:hAnsi="Times New Roman" w:cs="Times New Roman"/>
                <w:b/>
                <w:caps/>
                <w:sz w:val="28"/>
                <w:szCs w:val="28"/>
                <w:lang w:eastAsia="en-US"/>
              </w:rPr>
            </w:pPr>
            <w:r w:rsidRPr="00570909">
              <w:rPr>
                <w:rFonts w:ascii="Times New Roman" w:eastAsiaTheme="minorHAnsi" w:hAnsi="Times New Roman" w:cs="Times New Roman"/>
                <w:b/>
                <w:sz w:val="28"/>
                <w:szCs w:val="28"/>
                <w:lang w:eastAsia="en-US"/>
              </w:rPr>
              <w:t>1</w:t>
            </w:r>
            <w:r w:rsidRPr="00570909">
              <w:rPr>
                <w:rFonts w:ascii="Times New Roman" w:eastAsiaTheme="minorHAnsi" w:hAnsi="Times New Roman" w:cs="Times New Roman"/>
                <w:b/>
                <w:sz w:val="28"/>
                <w:szCs w:val="28"/>
                <w:lang w:val="kk-KZ" w:eastAsia="en-US"/>
              </w:rPr>
              <w:t xml:space="preserve"> </w:t>
            </w:r>
            <w:r w:rsidRPr="00570909">
              <w:rPr>
                <w:rFonts w:ascii="Times New Roman" w:eastAsiaTheme="minorHAnsi" w:hAnsi="Times New Roman" w:cs="Times New Roman"/>
                <w:b/>
                <w:caps/>
                <w:sz w:val="28"/>
                <w:szCs w:val="28"/>
                <w:lang w:eastAsia="en-US"/>
              </w:rPr>
              <w:t>Вопросы организации и межсекторального сотрудничества для снижения заболеваемости сахарным диабетом 2 типа (ОБЗОР ЛИТЕРАТУРЫ)</w:t>
            </w:r>
          </w:p>
        </w:tc>
        <w:tc>
          <w:tcPr>
            <w:tcW w:w="703" w:type="dxa"/>
          </w:tcPr>
          <w:p w14:paraId="367334E6" w14:textId="77777777" w:rsidR="004135FE" w:rsidRDefault="004135FE" w:rsidP="004135FE">
            <w:pPr>
              <w:autoSpaceDE w:val="0"/>
              <w:autoSpaceDN w:val="0"/>
              <w:adjustRightInd w:val="0"/>
              <w:spacing w:after="0" w:line="240" w:lineRule="auto"/>
              <w:jc w:val="center"/>
              <w:rPr>
                <w:rFonts w:ascii="Times New Roman" w:hAnsi="Times New Roman" w:cs="Times New Roman"/>
                <w:sz w:val="28"/>
                <w:szCs w:val="28"/>
              </w:rPr>
            </w:pPr>
          </w:p>
          <w:p w14:paraId="18C5F0EA" w14:textId="77777777" w:rsidR="00570909" w:rsidRDefault="00570909" w:rsidP="004135FE">
            <w:pPr>
              <w:autoSpaceDE w:val="0"/>
              <w:autoSpaceDN w:val="0"/>
              <w:adjustRightInd w:val="0"/>
              <w:spacing w:after="0" w:line="240" w:lineRule="auto"/>
              <w:jc w:val="center"/>
              <w:rPr>
                <w:rFonts w:ascii="Times New Roman" w:hAnsi="Times New Roman" w:cs="Times New Roman"/>
                <w:sz w:val="28"/>
                <w:szCs w:val="28"/>
              </w:rPr>
            </w:pPr>
          </w:p>
          <w:p w14:paraId="3C002E3A" w14:textId="376D5341" w:rsidR="00570909" w:rsidRPr="00570909" w:rsidRDefault="00570909"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18</w:t>
            </w:r>
          </w:p>
        </w:tc>
      </w:tr>
      <w:tr w:rsidR="004135FE" w:rsidRPr="00570909" w14:paraId="36E17A4B" w14:textId="77777777" w:rsidTr="00B83502">
        <w:tc>
          <w:tcPr>
            <w:tcW w:w="9209" w:type="dxa"/>
          </w:tcPr>
          <w:p w14:paraId="0382CB32" w14:textId="5119B7EF" w:rsidR="004135FE" w:rsidRPr="00570909" w:rsidRDefault="004135FE"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570909">
              <w:rPr>
                <w:rFonts w:ascii="Times New Roman" w:eastAsiaTheme="minorHAnsi" w:hAnsi="Times New Roman" w:cs="Times New Roman"/>
                <w:sz w:val="28"/>
                <w:szCs w:val="28"/>
                <w:lang w:eastAsia="en-US"/>
              </w:rPr>
              <w:t xml:space="preserve">1.1 Проблемы высокой заболеваемости сахарным диабетом 2 типа и смертности в мире </w:t>
            </w:r>
          </w:p>
        </w:tc>
        <w:tc>
          <w:tcPr>
            <w:tcW w:w="703" w:type="dxa"/>
          </w:tcPr>
          <w:p w14:paraId="4BB9EDB8" w14:textId="754D34A3" w:rsidR="004135FE" w:rsidRPr="00570909" w:rsidRDefault="004135FE"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sidRPr="00570909">
              <w:rPr>
                <w:rFonts w:ascii="Times New Roman" w:hAnsi="Times New Roman" w:cs="Times New Roman"/>
                <w:sz w:val="28"/>
                <w:szCs w:val="28"/>
              </w:rPr>
              <w:t>1</w:t>
            </w:r>
            <w:r w:rsidR="00570909">
              <w:rPr>
                <w:rFonts w:ascii="Times New Roman" w:hAnsi="Times New Roman" w:cs="Times New Roman"/>
                <w:sz w:val="28"/>
                <w:szCs w:val="28"/>
              </w:rPr>
              <w:t>8</w:t>
            </w:r>
          </w:p>
        </w:tc>
      </w:tr>
      <w:tr w:rsidR="004135FE" w:rsidRPr="00570909" w14:paraId="311C127C" w14:textId="77777777" w:rsidTr="00B83502">
        <w:tc>
          <w:tcPr>
            <w:tcW w:w="9209" w:type="dxa"/>
          </w:tcPr>
          <w:p w14:paraId="1B5AD6E6" w14:textId="4D412F68" w:rsidR="004135FE" w:rsidRPr="00570909" w:rsidRDefault="004135FE"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570909">
              <w:rPr>
                <w:rFonts w:ascii="Times New Roman" w:hAnsi="Times New Roman" w:cs="Times New Roman"/>
                <w:sz w:val="28"/>
                <w:szCs w:val="28"/>
              </w:rPr>
              <w:t>1.2</w:t>
            </w:r>
            <w:r w:rsidRPr="00570909">
              <w:rPr>
                <w:rFonts w:ascii="Times New Roman" w:hAnsi="Times New Roman" w:cs="Times New Roman"/>
                <w:sz w:val="28"/>
                <w:szCs w:val="28"/>
                <w:lang w:val="kk-KZ"/>
              </w:rPr>
              <w:t xml:space="preserve"> </w:t>
            </w:r>
            <w:r w:rsidRPr="00570909">
              <w:rPr>
                <w:rFonts w:ascii="Times New Roman" w:eastAsiaTheme="minorHAnsi" w:hAnsi="Times New Roman" w:cs="Times New Roman"/>
                <w:sz w:val="28"/>
                <w:szCs w:val="28"/>
                <w:lang w:eastAsia="en-US"/>
              </w:rPr>
              <w:t>Концептуальные основы Всемирной Организации Здравоохранения по межсекторальному сотрудничеству и сахарному диабету 2 типа</w:t>
            </w:r>
          </w:p>
        </w:tc>
        <w:tc>
          <w:tcPr>
            <w:tcW w:w="703" w:type="dxa"/>
          </w:tcPr>
          <w:p w14:paraId="4610D1D0" w14:textId="77777777" w:rsidR="004135FE" w:rsidRDefault="004135FE" w:rsidP="004135FE">
            <w:pPr>
              <w:autoSpaceDE w:val="0"/>
              <w:autoSpaceDN w:val="0"/>
              <w:adjustRightInd w:val="0"/>
              <w:spacing w:after="0" w:line="240" w:lineRule="auto"/>
              <w:jc w:val="center"/>
              <w:rPr>
                <w:rFonts w:ascii="Times New Roman" w:hAnsi="Times New Roman" w:cs="Times New Roman"/>
                <w:sz w:val="28"/>
                <w:szCs w:val="28"/>
              </w:rPr>
            </w:pPr>
          </w:p>
          <w:p w14:paraId="5FBAE6B1" w14:textId="77777777" w:rsidR="00570909" w:rsidRDefault="00570909" w:rsidP="004135FE">
            <w:pPr>
              <w:autoSpaceDE w:val="0"/>
              <w:autoSpaceDN w:val="0"/>
              <w:adjustRightInd w:val="0"/>
              <w:spacing w:after="0" w:line="240" w:lineRule="auto"/>
              <w:jc w:val="center"/>
              <w:rPr>
                <w:rFonts w:ascii="Times New Roman" w:hAnsi="Times New Roman" w:cs="Times New Roman"/>
                <w:sz w:val="28"/>
                <w:szCs w:val="28"/>
              </w:rPr>
            </w:pPr>
          </w:p>
          <w:p w14:paraId="06F2F134" w14:textId="121B1682" w:rsidR="00570909" w:rsidRPr="00570909" w:rsidRDefault="00570909"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22</w:t>
            </w:r>
          </w:p>
        </w:tc>
      </w:tr>
      <w:tr w:rsidR="004135FE" w:rsidRPr="00570909" w14:paraId="613C547E" w14:textId="77777777" w:rsidTr="00B83502">
        <w:tc>
          <w:tcPr>
            <w:tcW w:w="9209" w:type="dxa"/>
          </w:tcPr>
          <w:p w14:paraId="56812B4A" w14:textId="2DF5E439" w:rsidR="004135FE" w:rsidRPr="00570909" w:rsidRDefault="004135FE" w:rsidP="004135FE">
            <w:pPr>
              <w:autoSpaceDE w:val="0"/>
              <w:autoSpaceDN w:val="0"/>
              <w:adjustRightInd w:val="0"/>
              <w:spacing w:after="0" w:line="240" w:lineRule="auto"/>
              <w:jc w:val="both"/>
              <w:rPr>
                <w:rFonts w:ascii="Times New Roman" w:hAnsi="Times New Roman" w:cs="Times New Roman"/>
                <w:sz w:val="28"/>
                <w:szCs w:val="28"/>
              </w:rPr>
            </w:pPr>
            <w:r w:rsidRPr="00570909">
              <w:rPr>
                <w:rFonts w:ascii="Times New Roman" w:hAnsi="Times New Roman" w:cs="Times New Roman"/>
                <w:sz w:val="28"/>
                <w:szCs w:val="28"/>
              </w:rPr>
              <w:t>1.3</w:t>
            </w:r>
            <w:r w:rsidRPr="00570909">
              <w:rPr>
                <w:rFonts w:ascii="Times New Roman" w:hAnsi="Times New Roman" w:cs="Times New Roman"/>
                <w:sz w:val="28"/>
                <w:szCs w:val="28"/>
                <w:lang w:val="kk-KZ"/>
              </w:rPr>
              <w:t xml:space="preserve"> </w:t>
            </w:r>
            <w:r w:rsidRPr="00570909">
              <w:rPr>
                <w:rFonts w:ascii="Times New Roman" w:eastAsiaTheme="minorHAnsi" w:hAnsi="Times New Roman" w:cs="Times New Roman"/>
                <w:sz w:val="28"/>
                <w:szCs w:val="28"/>
                <w:lang w:eastAsia="en-US"/>
              </w:rPr>
              <w:t xml:space="preserve">Успешный опыт стран по межсекторальному сотрудничеству для профилактики СД2т. </w:t>
            </w:r>
          </w:p>
        </w:tc>
        <w:tc>
          <w:tcPr>
            <w:tcW w:w="703" w:type="dxa"/>
          </w:tcPr>
          <w:p w14:paraId="2CBCA454" w14:textId="77777777" w:rsidR="00570909" w:rsidRDefault="00570909" w:rsidP="004135FE">
            <w:pPr>
              <w:autoSpaceDE w:val="0"/>
              <w:autoSpaceDN w:val="0"/>
              <w:adjustRightInd w:val="0"/>
              <w:spacing w:after="0" w:line="240" w:lineRule="auto"/>
              <w:jc w:val="center"/>
              <w:rPr>
                <w:rFonts w:ascii="Times New Roman" w:hAnsi="Times New Roman" w:cs="Times New Roman"/>
                <w:sz w:val="28"/>
                <w:szCs w:val="28"/>
              </w:rPr>
            </w:pPr>
          </w:p>
          <w:p w14:paraId="3466A7B3" w14:textId="3EB7D03E" w:rsidR="004135FE" w:rsidRPr="00570909" w:rsidRDefault="00570909"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26</w:t>
            </w:r>
          </w:p>
        </w:tc>
      </w:tr>
      <w:tr w:rsidR="004135FE" w:rsidRPr="00570909" w14:paraId="5A6C8155" w14:textId="77777777" w:rsidTr="00B83502">
        <w:tc>
          <w:tcPr>
            <w:tcW w:w="9209" w:type="dxa"/>
          </w:tcPr>
          <w:p w14:paraId="3D55D319" w14:textId="5F609B57" w:rsidR="004135FE" w:rsidRPr="00570909" w:rsidRDefault="004135FE"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570909">
              <w:rPr>
                <w:rFonts w:ascii="Times New Roman" w:hAnsi="Times New Roman" w:cs="Times New Roman"/>
                <w:sz w:val="28"/>
                <w:szCs w:val="28"/>
              </w:rPr>
              <w:t>1.4</w:t>
            </w:r>
            <w:r w:rsidRPr="00570909">
              <w:rPr>
                <w:rFonts w:ascii="Times New Roman" w:hAnsi="Times New Roman" w:cs="Times New Roman"/>
                <w:sz w:val="28"/>
                <w:szCs w:val="28"/>
                <w:lang w:val="kk-KZ"/>
              </w:rPr>
              <w:t xml:space="preserve"> </w:t>
            </w:r>
            <w:r w:rsidRPr="00570909">
              <w:rPr>
                <w:rFonts w:ascii="Times New Roman" w:eastAsiaTheme="minorHAnsi" w:hAnsi="Times New Roman" w:cs="Times New Roman"/>
                <w:sz w:val="28"/>
                <w:szCs w:val="28"/>
                <w:lang w:eastAsia="en-US"/>
              </w:rPr>
              <w:t>Связь Казахстанских программ с документами Всемирной Организации Здравоохранения по межсекторальному сотрудничеству при сахарном диабете 2 типа</w:t>
            </w:r>
          </w:p>
        </w:tc>
        <w:tc>
          <w:tcPr>
            <w:tcW w:w="703" w:type="dxa"/>
          </w:tcPr>
          <w:p w14:paraId="0B430CDE" w14:textId="77777777" w:rsidR="00570909" w:rsidRDefault="00570909" w:rsidP="004135FE">
            <w:pPr>
              <w:autoSpaceDE w:val="0"/>
              <w:autoSpaceDN w:val="0"/>
              <w:adjustRightInd w:val="0"/>
              <w:spacing w:after="0" w:line="240" w:lineRule="auto"/>
              <w:jc w:val="center"/>
              <w:rPr>
                <w:rFonts w:ascii="Times New Roman" w:hAnsi="Times New Roman" w:cs="Times New Roman"/>
                <w:sz w:val="28"/>
                <w:szCs w:val="28"/>
              </w:rPr>
            </w:pPr>
          </w:p>
          <w:p w14:paraId="1C177EA4" w14:textId="77777777" w:rsidR="00570909" w:rsidRDefault="00570909" w:rsidP="004135FE">
            <w:pPr>
              <w:autoSpaceDE w:val="0"/>
              <w:autoSpaceDN w:val="0"/>
              <w:adjustRightInd w:val="0"/>
              <w:spacing w:after="0" w:line="240" w:lineRule="auto"/>
              <w:jc w:val="center"/>
              <w:rPr>
                <w:rFonts w:ascii="Times New Roman" w:hAnsi="Times New Roman" w:cs="Times New Roman"/>
                <w:sz w:val="28"/>
                <w:szCs w:val="28"/>
              </w:rPr>
            </w:pPr>
          </w:p>
          <w:p w14:paraId="209049D0" w14:textId="26516835" w:rsidR="004135FE" w:rsidRPr="00570909" w:rsidRDefault="00570909"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34</w:t>
            </w:r>
          </w:p>
        </w:tc>
      </w:tr>
      <w:tr w:rsidR="004135FE" w:rsidRPr="00570909" w14:paraId="24FAF224" w14:textId="77777777" w:rsidTr="00B83502">
        <w:tc>
          <w:tcPr>
            <w:tcW w:w="9209" w:type="dxa"/>
          </w:tcPr>
          <w:p w14:paraId="1DCC35FA" w14:textId="29C23D31" w:rsidR="004135FE" w:rsidRPr="00570909" w:rsidRDefault="004135FE"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570909">
              <w:rPr>
                <w:rFonts w:ascii="Times New Roman" w:hAnsi="Times New Roman" w:cs="Times New Roman"/>
                <w:sz w:val="28"/>
                <w:szCs w:val="28"/>
              </w:rPr>
              <w:t>1.5</w:t>
            </w:r>
            <w:r w:rsidRPr="00570909">
              <w:rPr>
                <w:rFonts w:ascii="Times New Roman" w:hAnsi="Times New Roman" w:cs="Times New Roman"/>
                <w:sz w:val="28"/>
                <w:szCs w:val="28"/>
                <w:lang w:val="kk-KZ"/>
              </w:rPr>
              <w:t xml:space="preserve"> </w:t>
            </w:r>
            <w:r w:rsidRPr="00570909">
              <w:rPr>
                <w:rFonts w:ascii="Times New Roman" w:eastAsiaTheme="minorHAnsi" w:hAnsi="Times New Roman" w:cs="Times New Roman"/>
                <w:sz w:val="28"/>
                <w:szCs w:val="28"/>
                <w:lang w:eastAsia="en-US"/>
              </w:rPr>
              <w:t xml:space="preserve">Исследовательские работы по сахарному диабету 2 типа в </w:t>
            </w:r>
            <w:r w:rsidRPr="00570909">
              <w:rPr>
                <w:rFonts w:ascii="Times New Roman" w:hAnsi="Times New Roman" w:cs="Times New Roman"/>
                <w:sz w:val="28"/>
                <w:szCs w:val="28"/>
              </w:rPr>
              <w:t>Казахстане</w:t>
            </w:r>
          </w:p>
        </w:tc>
        <w:tc>
          <w:tcPr>
            <w:tcW w:w="703" w:type="dxa"/>
          </w:tcPr>
          <w:p w14:paraId="5BFAFB6C" w14:textId="77777777" w:rsidR="00570909" w:rsidRDefault="00570909" w:rsidP="004135FE">
            <w:pPr>
              <w:autoSpaceDE w:val="0"/>
              <w:autoSpaceDN w:val="0"/>
              <w:adjustRightInd w:val="0"/>
              <w:spacing w:after="0" w:line="240" w:lineRule="auto"/>
              <w:jc w:val="center"/>
              <w:rPr>
                <w:rFonts w:ascii="Times New Roman" w:hAnsi="Times New Roman" w:cs="Times New Roman"/>
                <w:sz w:val="28"/>
                <w:szCs w:val="28"/>
              </w:rPr>
            </w:pPr>
          </w:p>
          <w:p w14:paraId="3E3F7F14" w14:textId="468C3E5E" w:rsidR="004135FE" w:rsidRPr="00570909" w:rsidRDefault="00570909" w:rsidP="00570909">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39</w:t>
            </w:r>
          </w:p>
        </w:tc>
      </w:tr>
      <w:tr w:rsidR="00570909" w:rsidRPr="00570909" w14:paraId="25C4DEF3" w14:textId="77777777" w:rsidTr="00B83502">
        <w:tc>
          <w:tcPr>
            <w:tcW w:w="9209" w:type="dxa"/>
          </w:tcPr>
          <w:p w14:paraId="24046635" w14:textId="0E8B00BB" w:rsidR="00570909" w:rsidRPr="00570909" w:rsidRDefault="00570909" w:rsidP="004135FE">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Выводы по 1 разделу </w:t>
            </w:r>
          </w:p>
        </w:tc>
        <w:tc>
          <w:tcPr>
            <w:tcW w:w="703" w:type="dxa"/>
          </w:tcPr>
          <w:p w14:paraId="57D1C6CF" w14:textId="0D6CCF3C" w:rsidR="00570909" w:rsidRDefault="00570909" w:rsidP="004135FE">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45</w:t>
            </w:r>
          </w:p>
        </w:tc>
      </w:tr>
      <w:tr w:rsidR="004135FE" w:rsidRPr="00570909" w14:paraId="73FB19BD" w14:textId="77777777" w:rsidTr="00B83502">
        <w:tc>
          <w:tcPr>
            <w:tcW w:w="9209" w:type="dxa"/>
          </w:tcPr>
          <w:p w14:paraId="7F94699C" w14:textId="1C43AC22" w:rsidR="004135FE" w:rsidRPr="00570909" w:rsidRDefault="004135FE" w:rsidP="004135FE">
            <w:pPr>
              <w:autoSpaceDE w:val="0"/>
              <w:autoSpaceDN w:val="0"/>
              <w:adjustRightInd w:val="0"/>
              <w:spacing w:after="0" w:line="240" w:lineRule="auto"/>
              <w:rPr>
                <w:rFonts w:ascii="Times New Roman" w:hAnsi="Times New Roman" w:cs="Times New Roman"/>
                <w:b/>
                <w:sz w:val="28"/>
                <w:szCs w:val="28"/>
              </w:rPr>
            </w:pPr>
            <w:r w:rsidRPr="00570909">
              <w:rPr>
                <w:rFonts w:ascii="Times New Roman" w:hAnsi="Times New Roman" w:cs="Times New Roman"/>
                <w:b/>
                <w:sz w:val="28"/>
                <w:szCs w:val="28"/>
              </w:rPr>
              <w:t>2</w:t>
            </w:r>
            <w:r w:rsidRPr="00570909">
              <w:rPr>
                <w:rFonts w:ascii="Times New Roman" w:hAnsi="Times New Roman" w:cs="Times New Roman"/>
                <w:b/>
                <w:sz w:val="28"/>
                <w:szCs w:val="28"/>
                <w:lang w:val="kk-KZ"/>
              </w:rPr>
              <w:t xml:space="preserve"> </w:t>
            </w:r>
            <w:r w:rsidRPr="00570909">
              <w:rPr>
                <w:rFonts w:ascii="Times New Roman" w:hAnsi="Times New Roman" w:cs="Times New Roman"/>
                <w:b/>
                <w:sz w:val="28"/>
                <w:szCs w:val="28"/>
              </w:rPr>
              <w:t>МАТЕРИАЛЫ И МЕТОДЫ ИССЛЕДОВАНИЯ</w:t>
            </w:r>
          </w:p>
        </w:tc>
        <w:tc>
          <w:tcPr>
            <w:tcW w:w="703" w:type="dxa"/>
          </w:tcPr>
          <w:p w14:paraId="7BA49528" w14:textId="772B28FE" w:rsidR="004135FE" w:rsidRPr="00570909" w:rsidRDefault="00570909" w:rsidP="004135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w:t>
            </w:r>
          </w:p>
        </w:tc>
      </w:tr>
      <w:tr w:rsidR="004135FE" w:rsidRPr="00570909" w14:paraId="2EED5EC3" w14:textId="77777777" w:rsidTr="00B83502">
        <w:tc>
          <w:tcPr>
            <w:tcW w:w="9209" w:type="dxa"/>
          </w:tcPr>
          <w:p w14:paraId="2FB40C2D" w14:textId="2B88AC70" w:rsidR="004135FE" w:rsidRPr="00570909" w:rsidRDefault="004135FE" w:rsidP="004135FE">
            <w:pPr>
              <w:autoSpaceDE w:val="0"/>
              <w:autoSpaceDN w:val="0"/>
              <w:adjustRightInd w:val="0"/>
              <w:spacing w:after="0" w:line="240" w:lineRule="auto"/>
              <w:rPr>
                <w:rFonts w:ascii="Times New Roman" w:hAnsi="Times New Roman" w:cs="Times New Roman"/>
                <w:bCs/>
                <w:sz w:val="28"/>
                <w:szCs w:val="28"/>
              </w:rPr>
            </w:pPr>
            <w:r w:rsidRPr="00570909">
              <w:rPr>
                <w:rFonts w:ascii="Times New Roman" w:hAnsi="Times New Roman" w:cs="Times New Roman"/>
                <w:sz w:val="28"/>
                <w:szCs w:val="28"/>
              </w:rPr>
              <w:t>2.1</w:t>
            </w:r>
            <w:r w:rsidRPr="00570909">
              <w:rPr>
                <w:rFonts w:ascii="Times New Roman" w:hAnsi="Times New Roman" w:cs="Times New Roman"/>
                <w:sz w:val="28"/>
                <w:szCs w:val="28"/>
                <w:lang w:val="kk-KZ"/>
              </w:rPr>
              <w:t xml:space="preserve"> </w:t>
            </w:r>
            <w:r w:rsidRPr="00570909">
              <w:rPr>
                <w:rFonts w:ascii="Times New Roman" w:hAnsi="Times New Roman" w:cs="Times New Roman"/>
                <w:bCs/>
                <w:sz w:val="28"/>
                <w:szCs w:val="28"/>
              </w:rPr>
              <w:t>Программа, этапы и характеристика материалов исследования</w:t>
            </w:r>
          </w:p>
        </w:tc>
        <w:tc>
          <w:tcPr>
            <w:tcW w:w="703" w:type="dxa"/>
          </w:tcPr>
          <w:p w14:paraId="2943F3D1" w14:textId="60D23B29" w:rsidR="004135FE" w:rsidRPr="00570909" w:rsidRDefault="00570909" w:rsidP="004135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47</w:t>
            </w:r>
          </w:p>
        </w:tc>
      </w:tr>
      <w:tr w:rsidR="004135FE" w:rsidRPr="00570909" w14:paraId="2A1B3D45" w14:textId="77777777" w:rsidTr="00B83502">
        <w:tc>
          <w:tcPr>
            <w:tcW w:w="9209" w:type="dxa"/>
          </w:tcPr>
          <w:p w14:paraId="6CC9EBF4" w14:textId="224CB9B0" w:rsidR="004135FE" w:rsidRPr="00570909" w:rsidRDefault="004135FE" w:rsidP="004135FE">
            <w:pPr>
              <w:autoSpaceDE w:val="0"/>
              <w:autoSpaceDN w:val="0"/>
              <w:adjustRightInd w:val="0"/>
              <w:spacing w:after="0" w:line="240" w:lineRule="auto"/>
              <w:rPr>
                <w:rFonts w:ascii="Times New Roman" w:hAnsi="Times New Roman" w:cs="Times New Roman"/>
                <w:b/>
                <w:sz w:val="28"/>
                <w:szCs w:val="28"/>
              </w:rPr>
            </w:pPr>
            <w:r w:rsidRPr="00570909">
              <w:rPr>
                <w:rFonts w:ascii="Times New Roman" w:hAnsi="Times New Roman" w:cs="Times New Roman"/>
                <w:sz w:val="28"/>
                <w:szCs w:val="28"/>
              </w:rPr>
              <w:t>2.2</w:t>
            </w:r>
            <w:r w:rsidRPr="00570909">
              <w:rPr>
                <w:rFonts w:ascii="Times New Roman" w:hAnsi="Times New Roman" w:cs="Times New Roman"/>
                <w:sz w:val="28"/>
                <w:szCs w:val="28"/>
                <w:lang w:val="kk-KZ"/>
              </w:rPr>
              <w:t xml:space="preserve"> </w:t>
            </w:r>
            <w:r w:rsidRPr="00570909">
              <w:rPr>
                <w:rFonts w:ascii="Times New Roman" w:hAnsi="Times New Roman" w:cs="Times New Roman"/>
                <w:sz w:val="28"/>
                <w:szCs w:val="28"/>
              </w:rPr>
              <w:t>Методы исследования</w:t>
            </w:r>
          </w:p>
        </w:tc>
        <w:tc>
          <w:tcPr>
            <w:tcW w:w="703" w:type="dxa"/>
          </w:tcPr>
          <w:p w14:paraId="196DF34B" w14:textId="34729C08" w:rsidR="004135FE" w:rsidRPr="00570909" w:rsidRDefault="008C5817" w:rsidP="004135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58</w:t>
            </w:r>
          </w:p>
        </w:tc>
      </w:tr>
      <w:tr w:rsidR="008C5817" w:rsidRPr="00570909" w14:paraId="1919CD84" w14:textId="77777777" w:rsidTr="00B83502">
        <w:tc>
          <w:tcPr>
            <w:tcW w:w="9209" w:type="dxa"/>
          </w:tcPr>
          <w:p w14:paraId="7E75CAEB" w14:textId="3DA30A3D" w:rsidR="008C5817" w:rsidRPr="00570909" w:rsidRDefault="008C5817" w:rsidP="004135FE">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Выводы по 2 разделу</w:t>
            </w:r>
          </w:p>
        </w:tc>
        <w:tc>
          <w:tcPr>
            <w:tcW w:w="703" w:type="dxa"/>
          </w:tcPr>
          <w:p w14:paraId="07F690B3" w14:textId="6EF7D39C" w:rsidR="008C5817" w:rsidRDefault="008C5817" w:rsidP="004135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65</w:t>
            </w:r>
          </w:p>
        </w:tc>
      </w:tr>
      <w:tr w:rsidR="004135FE" w:rsidRPr="00570909" w14:paraId="0A195CEA" w14:textId="77777777" w:rsidTr="00B83502">
        <w:tc>
          <w:tcPr>
            <w:tcW w:w="9209" w:type="dxa"/>
          </w:tcPr>
          <w:p w14:paraId="0DB87E0A" w14:textId="6E22CD1C" w:rsidR="004135FE" w:rsidRPr="00570909" w:rsidRDefault="004135FE" w:rsidP="004135FE">
            <w:pPr>
              <w:autoSpaceDE w:val="0"/>
              <w:autoSpaceDN w:val="0"/>
              <w:adjustRightInd w:val="0"/>
              <w:spacing w:after="0" w:line="240" w:lineRule="auto"/>
              <w:jc w:val="both"/>
              <w:rPr>
                <w:rFonts w:ascii="Times New Roman" w:hAnsi="Times New Roman" w:cs="Times New Roman"/>
                <w:b/>
                <w:sz w:val="28"/>
                <w:szCs w:val="28"/>
              </w:rPr>
            </w:pPr>
            <w:r w:rsidRPr="00570909">
              <w:rPr>
                <w:rFonts w:ascii="Times New Roman" w:hAnsi="Times New Roman" w:cs="Times New Roman"/>
                <w:b/>
                <w:sz w:val="28"/>
                <w:szCs w:val="28"/>
              </w:rPr>
              <w:t>3</w:t>
            </w:r>
            <w:r w:rsidRPr="00570909">
              <w:rPr>
                <w:rFonts w:ascii="Times New Roman" w:hAnsi="Times New Roman" w:cs="Times New Roman"/>
                <w:b/>
                <w:sz w:val="28"/>
                <w:szCs w:val="28"/>
                <w:lang w:val="kk-KZ"/>
              </w:rPr>
              <w:t xml:space="preserve"> </w:t>
            </w:r>
            <w:r w:rsidRPr="00570909">
              <w:rPr>
                <w:rFonts w:ascii="Times New Roman" w:eastAsia="Times New Roman" w:hAnsi="Times New Roman" w:cs="Times New Roman"/>
                <w:b/>
                <w:sz w:val="28"/>
                <w:szCs w:val="28"/>
              </w:rPr>
              <w:t>РЕЗУЛЬТАТЫ СТАТИСТИЧЕСКОГО ИССЛЕДОВАНИЯ ПО САХАРНОМУ ДИАБЕТУ 2 ТИПА</w:t>
            </w:r>
          </w:p>
        </w:tc>
        <w:tc>
          <w:tcPr>
            <w:tcW w:w="703" w:type="dxa"/>
          </w:tcPr>
          <w:p w14:paraId="54300655" w14:textId="77777777" w:rsidR="008C5817" w:rsidRDefault="008C5817" w:rsidP="004135FE">
            <w:pPr>
              <w:spacing w:after="0" w:line="240" w:lineRule="auto"/>
              <w:jc w:val="center"/>
              <w:rPr>
                <w:rFonts w:ascii="Times New Roman" w:hAnsi="Times New Roman" w:cs="Times New Roman"/>
                <w:sz w:val="28"/>
                <w:szCs w:val="28"/>
              </w:rPr>
            </w:pPr>
          </w:p>
          <w:p w14:paraId="79C8094A" w14:textId="08DAFD31" w:rsidR="004135FE" w:rsidRPr="00570909" w:rsidRDefault="008C5817" w:rsidP="004135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66</w:t>
            </w:r>
          </w:p>
        </w:tc>
      </w:tr>
      <w:tr w:rsidR="004135FE" w:rsidRPr="00570909" w14:paraId="00573821" w14:textId="77777777" w:rsidTr="00B83502">
        <w:tc>
          <w:tcPr>
            <w:tcW w:w="9209" w:type="dxa"/>
          </w:tcPr>
          <w:p w14:paraId="5C3064AF" w14:textId="48B88BD2" w:rsidR="004135FE" w:rsidRPr="00570909" w:rsidRDefault="004135FE" w:rsidP="004135FE">
            <w:pPr>
              <w:autoSpaceDE w:val="0"/>
              <w:autoSpaceDN w:val="0"/>
              <w:adjustRightInd w:val="0"/>
              <w:spacing w:after="0" w:line="240" w:lineRule="auto"/>
              <w:rPr>
                <w:rFonts w:ascii="Times New Roman" w:eastAsia="Times New Roman" w:hAnsi="Times New Roman" w:cs="Times New Roman"/>
                <w:sz w:val="28"/>
                <w:szCs w:val="28"/>
              </w:rPr>
            </w:pPr>
            <w:r w:rsidRPr="00570909">
              <w:rPr>
                <w:rFonts w:ascii="Times New Roman" w:eastAsiaTheme="minorHAnsi" w:hAnsi="Times New Roman" w:cs="Times New Roman"/>
                <w:sz w:val="28"/>
                <w:szCs w:val="28"/>
                <w:lang w:eastAsia="en-US"/>
              </w:rPr>
              <w:t>3.1</w:t>
            </w:r>
            <w:r w:rsidRPr="00570909">
              <w:rPr>
                <w:rFonts w:ascii="Times New Roman" w:eastAsiaTheme="minorHAnsi" w:hAnsi="Times New Roman" w:cs="Times New Roman"/>
                <w:sz w:val="28"/>
                <w:szCs w:val="28"/>
                <w:lang w:val="kk-KZ" w:eastAsia="en-US"/>
              </w:rPr>
              <w:t xml:space="preserve"> </w:t>
            </w:r>
            <w:r w:rsidRPr="00570909">
              <w:rPr>
                <w:rFonts w:ascii="Times New Roman" w:eastAsia="Times New Roman" w:hAnsi="Times New Roman" w:cs="Times New Roman"/>
                <w:sz w:val="28"/>
                <w:szCs w:val="28"/>
              </w:rPr>
              <w:t>Первичная заболеваемость сахарным диабетом 2 типа по г.Алматы</w:t>
            </w:r>
          </w:p>
        </w:tc>
        <w:tc>
          <w:tcPr>
            <w:tcW w:w="703" w:type="dxa"/>
          </w:tcPr>
          <w:p w14:paraId="3CAC3B30" w14:textId="77777777" w:rsidR="008C5817" w:rsidRDefault="008C5817" w:rsidP="004135FE">
            <w:pPr>
              <w:autoSpaceDE w:val="0"/>
              <w:autoSpaceDN w:val="0"/>
              <w:adjustRightInd w:val="0"/>
              <w:spacing w:after="0" w:line="240" w:lineRule="auto"/>
              <w:jc w:val="center"/>
              <w:rPr>
                <w:rFonts w:ascii="Times New Roman" w:hAnsi="Times New Roman" w:cs="Times New Roman"/>
                <w:sz w:val="28"/>
                <w:szCs w:val="28"/>
              </w:rPr>
            </w:pPr>
          </w:p>
          <w:p w14:paraId="47937E0B" w14:textId="388E0D97" w:rsidR="004135FE" w:rsidRPr="00570909" w:rsidRDefault="008C5817"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66</w:t>
            </w:r>
          </w:p>
        </w:tc>
      </w:tr>
      <w:tr w:rsidR="004135FE" w:rsidRPr="00570909" w14:paraId="7F9B5F20" w14:textId="77777777" w:rsidTr="00B83502">
        <w:tc>
          <w:tcPr>
            <w:tcW w:w="9209" w:type="dxa"/>
          </w:tcPr>
          <w:p w14:paraId="7D3DADE7" w14:textId="537CD270" w:rsidR="004135FE" w:rsidRPr="00570909" w:rsidRDefault="004135FE" w:rsidP="004135FE">
            <w:pPr>
              <w:autoSpaceDE w:val="0"/>
              <w:autoSpaceDN w:val="0"/>
              <w:adjustRightInd w:val="0"/>
              <w:spacing w:after="0" w:line="240" w:lineRule="auto"/>
              <w:rPr>
                <w:rFonts w:ascii="Times New Roman" w:eastAsia="Times New Roman" w:hAnsi="Times New Roman" w:cs="Times New Roman"/>
                <w:sz w:val="28"/>
                <w:szCs w:val="28"/>
              </w:rPr>
            </w:pPr>
            <w:r w:rsidRPr="00570909">
              <w:rPr>
                <w:rFonts w:ascii="Times New Roman" w:eastAsiaTheme="minorHAnsi" w:hAnsi="Times New Roman" w:cs="Times New Roman"/>
                <w:sz w:val="28"/>
                <w:szCs w:val="28"/>
                <w:lang w:eastAsia="en-US"/>
              </w:rPr>
              <w:t>3.2</w:t>
            </w:r>
            <w:r w:rsidRPr="00570909">
              <w:rPr>
                <w:rFonts w:ascii="Times New Roman" w:eastAsiaTheme="minorHAnsi" w:hAnsi="Times New Roman" w:cs="Times New Roman"/>
                <w:sz w:val="28"/>
                <w:szCs w:val="28"/>
                <w:lang w:val="kk-KZ" w:eastAsia="en-US"/>
              </w:rPr>
              <w:t xml:space="preserve"> </w:t>
            </w:r>
            <w:r w:rsidRPr="00570909">
              <w:rPr>
                <w:rFonts w:ascii="Times New Roman" w:eastAsia="Times New Roman" w:hAnsi="Times New Roman" w:cs="Times New Roman"/>
                <w:sz w:val="28"/>
                <w:szCs w:val="28"/>
              </w:rPr>
              <w:t>Распространенность сахарного диабета 2 типа по г. Алматы</w:t>
            </w:r>
          </w:p>
        </w:tc>
        <w:tc>
          <w:tcPr>
            <w:tcW w:w="703" w:type="dxa"/>
          </w:tcPr>
          <w:p w14:paraId="4245820F" w14:textId="4B72A25A" w:rsidR="004135FE" w:rsidRPr="00570909" w:rsidRDefault="008C5817"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76</w:t>
            </w:r>
          </w:p>
        </w:tc>
      </w:tr>
      <w:tr w:rsidR="004135FE" w:rsidRPr="00570909" w14:paraId="622B0069" w14:textId="77777777" w:rsidTr="00B83502">
        <w:tc>
          <w:tcPr>
            <w:tcW w:w="9209" w:type="dxa"/>
          </w:tcPr>
          <w:p w14:paraId="58F1EEB3" w14:textId="3409840E" w:rsidR="004135FE" w:rsidRPr="00570909" w:rsidRDefault="004135FE" w:rsidP="004135FE">
            <w:pPr>
              <w:autoSpaceDE w:val="0"/>
              <w:autoSpaceDN w:val="0"/>
              <w:adjustRightInd w:val="0"/>
              <w:spacing w:after="0" w:line="240" w:lineRule="auto"/>
              <w:jc w:val="both"/>
              <w:rPr>
                <w:rFonts w:ascii="Times New Roman" w:hAnsi="Times New Roman" w:cs="Times New Roman"/>
                <w:caps/>
                <w:sz w:val="28"/>
                <w:szCs w:val="28"/>
              </w:rPr>
            </w:pPr>
            <w:r w:rsidRPr="00570909">
              <w:rPr>
                <w:rFonts w:ascii="Times New Roman" w:eastAsiaTheme="minorHAnsi" w:hAnsi="Times New Roman" w:cs="Times New Roman"/>
                <w:sz w:val="28"/>
                <w:szCs w:val="28"/>
                <w:lang w:eastAsia="en-US"/>
              </w:rPr>
              <w:t>3.3</w:t>
            </w:r>
            <w:r w:rsidRPr="00570909">
              <w:rPr>
                <w:rFonts w:ascii="Times New Roman" w:eastAsiaTheme="minorHAnsi" w:hAnsi="Times New Roman" w:cs="Times New Roman"/>
                <w:sz w:val="28"/>
                <w:szCs w:val="28"/>
                <w:lang w:val="kk-KZ" w:eastAsia="en-US"/>
              </w:rPr>
              <w:t xml:space="preserve"> </w:t>
            </w:r>
            <w:r w:rsidRPr="00570909">
              <w:rPr>
                <w:rFonts w:ascii="Times New Roman" w:eastAsiaTheme="minorHAnsi" w:hAnsi="Times New Roman" w:cs="Times New Roman"/>
                <w:sz w:val="28"/>
                <w:szCs w:val="28"/>
                <w:lang w:eastAsia="en-US"/>
              </w:rPr>
              <w:t xml:space="preserve">Стандартизированный повозрастной расчет по </w:t>
            </w:r>
            <w:r w:rsidRPr="00570909">
              <w:rPr>
                <w:rFonts w:ascii="Times New Roman" w:hAnsi="Times New Roman" w:cs="Times New Roman"/>
                <w:sz w:val="28"/>
                <w:szCs w:val="28"/>
              </w:rPr>
              <w:t>СД2т в разрезе районов г.</w:t>
            </w:r>
            <w:r w:rsidRPr="00570909">
              <w:rPr>
                <w:rFonts w:ascii="Times New Roman" w:hAnsi="Times New Roman" w:cs="Times New Roman"/>
                <w:sz w:val="28"/>
                <w:szCs w:val="28"/>
                <w:lang w:val="kk-KZ"/>
              </w:rPr>
              <w:t xml:space="preserve"> </w:t>
            </w:r>
            <w:r w:rsidRPr="00570909">
              <w:rPr>
                <w:rFonts w:ascii="Times New Roman" w:hAnsi="Times New Roman" w:cs="Times New Roman"/>
                <w:sz w:val="28"/>
                <w:szCs w:val="28"/>
              </w:rPr>
              <w:t>Алматы</w:t>
            </w:r>
          </w:p>
        </w:tc>
        <w:tc>
          <w:tcPr>
            <w:tcW w:w="703" w:type="dxa"/>
          </w:tcPr>
          <w:p w14:paraId="0523B3DF" w14:textId="77777777" w:rsidR="008C5817" w:rsidRDefault="008C5817" w:rsidP="004135FE">
            <w:pPr>
              <w:autoSpaceDE w:val="0"/>
              <w:autoSpaceDN w:val="0"/>
              <w:adjustRightInd w:val="0"/>
              <w:spacing w:after="0" w:line="240" w:lineRule="auto"/>
              <w:jc w:val="center"/>
              <w:rPr>
                <w:rFonts w:ascii="Times New Roman" w:hAnsi="Times New Roman" w:cs="Times New Roman"/>
                <w:sz w:val="28"/>
                <w:szCs w:val="28"/>
              </w:rPr>
            </w:pPr>
          </w:p>
          <w:p w14:paraId="545F2C15" w14:textId="1EBE49D8" w:rsidR="004135FE" w:rsidRPr="00570909" w:rsidRDefault="008C5817"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88</w:t>
            </w:r>
          </w:p>
        </w:tc>
      </w:tr>
      <w:tr w:rsidR="004135FE" w:rsidRPr="00570909" w14:paraId="31106A06" w14:textId="77777777" w:rsidTr="00B83502">
        <w:tc>
          <w:tcPr>
            <w:tcW w:w="9209" w:type="dxa"/>
          </w:tcPr>
          <w:p w14:paraId="09EAE2E1" w14:textId="04B64C70" w:rsidR="004135FE" w:rsidRPr="00570909" w:rsidRDefault="004135FE" w:rsidP="004135FE">
            <w:pPr>
              <w:autoSpaceDE w:val="0"/>
              <w:autoSpaceDN w:val="0"/>
              <w:adjustRightInd w:val="0"/>
              <w:spacing w:after="0" w:line="240" w:lineRule="auto"/>
              <w:jc w:val="both"/>
              <w:rPr>
                <w:rFonts w:ascii="Times New Roman" w:hAnsi="Times New Roman" w:cs="Times New Roman"/>
                <w:sz w:val="28"/>
                <w:szCs w:val="28"/>
              </w:rPr>
            </w:pPr>
            <w:r w:rsidRPr="00570909">
              <w:rPr>
                <w:rFonts w:ascii="Times New Roman" w:eastAsiaTheme="minorHAnsi" w:hAnsi="Times New Roman" w:cs="Times New Roman"/>
                <w:sz w:val="28"/>
                <w:szCs w:val="28"/>
                <w:lang w:eastAsia="en-US"/>
              </w:rPr>
              <w:t>3.4</w:t>
            </w:r>
            <w:r w:rsidRPr="00570909">
              <w:rPr>
                <w:rFonts w:ascii="Times New Roman" w:eastAsiaTheme="minorHAnsi" w:hAnsi="Times New Roman" w:cs="Times New Roman"/>
                <w:sz w:val="28"/>
                <w:szCs w:val="28"/>
                <w:lang w:val="kk-KZ" w:eastAsia="en-US"/>
              </w:rPr>
              <w:t xml:space="preserve"> </w:t>
            </w:r>
            <w:r w:rsidRPr="00570909">
              <w:rPr>
                <w:rFonts w:ascii="Times New Roman" w:hAnsi="Times New Roman" w:cs="Times New Roman"/>
                <w:sz w:val="28"/>
                <w:szCs w:val="28"/>
              </w:rPr>
              <w:t>Прогноз распространенности СД2т общего населения и по половым признакам</w:t>
            </w:r>
          </w:p>
        </w:tc>
        <w:tc>
          <w:tcPr>
            <w:tcW w:w="703" w:type="dxa"/>
          </w:tcPr>
          <w:p w14:paraId="43F064AD" w14:textId="77777777" w:rsidR="008C5817" w:rsidRDefault="008C5817" w:rsidP="004135FE">
            <w:pPr>
              <w:autoSpaceDE w:val="0"/>
              <w:autoSpaceDN w:val="0"/>
              <w:adjustRightInd w:val="0"/>
              <w:spacing w:after="0" w:line="240" w:lineRule="auto"/>
              <w:jc w:val="center"/>
              <w:rPr>
                <w:rFonts w:ascii="Times New Roman" w:hAnsi="Times New Roman" w:cs="Times New Roman"/>
                <w:sz w:val="28"/>
                <w:szCs w:val="28"/>
              </w:rPr>
            </w:pPr>
          </w:p>
          <w:p w14:paraId="130E9254" w14:textId="45B821AB" w:rsidR="004135FE" w:rsidRPr="00570909" w:rsidRDefault="008C5817"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94</w:t>
            </w:r>
          </w:p>
        </w:tc>
      </w:tr>
      <w:tr w:rsidR="004135FE" w:rsidRPr="00570909" w14:paraId="2BEB698D" w14:textId="77777777" w:rsidTr="00B83502">
        <w:tc>
          <w:tcPr>
            <w:tcW w:w="9209" w:type="dxa"/>
          </w:tcPr>
          <w:p w14:paraId="2F08A129" w14:textId="5452F778" w:rsidR="004135FE" w:rsidRPr="00570909" w:rsidRDefault="004135FE" w:rsidP="004135FE">
            <w:pPr>
              <w:autoSpaceDE w:val="0"/>
              <w:autoSpaceDN w:val="0"/>
              <w:adjustRightInd w:val="0"/>
              <w:spacing w:after="0" w:line="240" w:lineRule="auto"/>
              <w:rPr>
                <w:rFonts w:ascii="Times New Roman" w:hAnsi="Times New Roman" w:cs="Times New Roman"/>
                <w:sz w:val="28"/>
                <w:szCs w:val="28"/>
              </w:rPr>
            </w:pPr>
            <w:r w:rsidRPr="00570909">
              <w:rPr>
                <w:rFonts w:ascii="Times New Roman" w:eastAsiaTheme="minorHAnsi" w:hAnsi="Times New Roman" w:cs="Times New Roman"/>
                <w:sz w:val="28"/>
                <w:szCs w:val="28"/>
                <w:lang w:eastAsia="en-US"/>
              </w:rPr>
              <w:t>3.5</w:t>
            </w:r>
            <w:r w:rsidRPr="00570909">
              <w:rPr>
                <w:rFonts w:ascii="Times New Roman" w:eastAsiaTheme="minorHAnsi" w:hAnsi="Times New Roman" w:cs="Times New Roman"/>
                <w:sz w:val="28"/>
                <w:szCs w:val="28"/>
                <w:lang w:val="kk-KZ" w:eastAsia="en-US"/>
              </w:rPr>
              <w:t xml:space="preserve"> </w:t>
            </w:r>
            <w:r w:rsidRPr="00570909">
              <w:rPr>
                <w:rFonts w:ascii="Times New Roman" w:hAnsi="Times New Roman" w:cs="Times New Roman"/>
                <w:sz w:val="28"/>
                <w:szCs w:val="28"/>
              </w:rPr>
              <w:t xml:space="preserve">Доступность лекарственных средств по сахарному диабету </w:t>
            </w:r>
          </w:p>
        </w:tc>
        <w:tc>
          <w:tcPr>
            <w:tcW w:w="703" w:type="dxa"/>
          </w:tcPr>
          <w:p w14:paraId="791B6B2C" w14:textId="24990E17" w:rsidR="004135FE" w:rsidRPr="00570909" w:rsidRDefault="008C5817"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98</w:t>
            </w:r>
          </w:p>
        </w:tc>
      </w:tr>
      <w:tr w:rsidR="008C5817" w:rsidRPr="00570909" w14:paraId="18596378" w14:textId="77777777" w:rsidTr="00B83502">
        <w:tc>
          <w:tcPr>
            <w:tcW w:w="9209" w:type="dxa"/>
          </w:tcPr>
          <w:p w14:paraId="76D54D00" w14:textId="4A345CE0" w:rsidR="008C5817" w:rsidRPr="00570909" w:rsidRDefault="008C5817" w:rsidP="004135FE">
            <w:pPr>
              <w:autoSpaceDE w:val="0"/>
              <w:autoSpaceDN w:val="0"/>
              <w:adjustRightInd w:val="0"/>
              <w:spacing w:after="0" w:line="240" w:lineRule="auto"/>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Выводы по 3 разделу</w:t>
            </w:r>
          </w:p>
        </w:tc>
        <w:tc>
          <w:tcPr>
            <w:tcW w:w="703" w:type="dxa"/>
          </w:tcPr>
          <w:p w14:paraId="6FF8015E" w14:textId="222D18B2" w:rsidR="008C5817" w:rsidRDefault="008C5817" w:rsidP="004135FE">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105</w:t>
            </w:r>
          </w:p>
        </w:tc>
      </w:tr>
      <w:tr w:rsidR="004135FE" w:rsidRPr="00570909" w14:paraId="03782B70" w14:textId="77777777" w:rsidTr="00B83502">
        <w:tc>
          <w:tcPr>
            <w:tcW w:w="9209" w:type="dxa"/>
          </w:tcPr>
          <w:p w14:paraId="1F772955" w14:textId="25DBA407" w:rsidR="004135FE" w:rsidRPr="00570909" w:rsidRDefault="004135FE" w:rsidP="004135FE">
            <w:pPr>
              <w:autoSpaceDE w:val="0"/>
              <w:autoSpaceDN w:val="0"/>
              <w:adjustRightInd w:val="0"/>
              <w:spacing w:after="0" w:line="240" w:lineRule="auto"/>
              <w:jc w:val="both"/>
              <w:rPr>
                <w:rFonts w:ascii="Times New Roman" w:hAnsi="Times New Roman" w:cs="Times New Roman"/>
                <w:b/>
                <w:sz w:val="28"/>
                <w:szCs w:val="28"/>
              </w:rPr>
            </w:pPr>
            <w:r w:rsidRPr="00570909">
              <w:rPr>
                <w:rFonts w:ascii="Times New Roman" w:eastAsia="Times New Roman" w:hAnsi="Times New Roman" w:cs="Times New Roman"/>
                <w:b/>
                <w:sz w:val="28"/>
                <w:szCs w:val="28"/>
              </w:rPr>
              <w:t>4</w:t>
            </w:r>
            <w:r w:rsidRPr="00570909">
              <w:rPr>
                <w:rFonts w:ascii="Times New Roman" w:eastAsia="Times New Roman" w:hAnsi="Times New Roman" w:cs="Times New Roman"/>
                <w:b/>
                <w:sz w:val="28"/>
                <w:szCs w:val="28"/>
                <w:lang w:val="kk-KZ"/>
              </w:rPr>
              <w:t xml:space="preserve"> </w:t>
            </w:r>
            <w:r w:rsidRPr="00570909">
              <w:rPr>
                <w:rFonts w:ascii="Times New Roman" w:hAnsi="Times New Roman" w:cs="Times New Roman"/>
                <w:b/>
                <w:caps/>
                <w:sz w:val="28"/>
                <w:szCs w:val="28"/>
              </w:rPr>
              <w:t xml:space="preserve">Результаты Социологического исследования для определения </w:t>
            </w:r>
            <w:r w:rsidRPr="00570909">
              <w:rPr>
                <w:rFonts w:ascii="Times New Roman" w:eastAsia="Times New Roman" w:hAnsi="Times New Roman" w:cs="Times New Roman"/>
                <w:b/>
                <w:caps/>
                <w:sz w:val="28"/>
                <w:szCs w:val="28"/>
              </w:rPr>
              <w:t xml:space="preserve">потребностей респондентов </w:t>
            </w:r>
            <w:r w:rsidRPr="00570909">
              <w:rPr>
                <w:rFonts w:ascii="Times New Roman" w:eastAsia="Times New Roman" w:hAnsi="Times New Roman" w:cs="Times New Roman"/>
                <w:b/>
                <w:caps/>
                <w:sz w:val="28"/>
                <w:szCs w:val="28"/>
                <w:lang w:val="kk-KZ"/>
              </w:rPr>
              <w:t>по совершенствованию оказания медицинской помощи и межсекторального сотрудничества при СД2т</w:t>
            </w:r>
          </w:p>
        </w:tc>
        <w:tc>
          <w:tcPr>
            <w:tcW w:w="703" w:type="dxa"/>
          </w:tcPr>
          <w:p w14:paraId="1543A31C" w14:textId="77777777" w:rsidR="004135FE" w:rsidRDefault="004135FE" w:rsidP="004135FE">
            <w:pPr>
              <w:spacing w:after="0" w:line="240" w:lineRule="auto"/>
              <w:jc w:val="center"/>
              <w:rPr>
                <w:rFonts w:ascii="Times New Roman" w:hAnsi="Times New Roman" w:cs="Times New Roman"/>
                <w:sz w:val="28"/>
                <w:szCs w:val="28"/>
              </w:rPr>
            </w:pPr>
          </w:p>
          <w:p w14:paraId="33B85B73" w14:textId="77777777" w:rsidR="008C5817" w:rsidRDefault="008C5817" w:rsidP="004135FE">
            <w:pPr>
              <w:spacing w:after="0" w:line="240" w:lineRule="auto"/>
              <w:jc w:val="center"/>
              <w:rPr>
                <w:rFonts w:ascii="Times New Roman" w:hAnsi="Times New Roman" w:cs="Times New Roman"/>
                <w:sz w:val="28"/>
                <w:szCs w:val="28"/>
              </w:rPr>
            </w:pPr>
          </w:p>
          <w:p w14:paraId="042220FC" w14:textId="77777777" w:rsidR="008C5817" w:rsidRDefault="008C5817" w:rsidP="004135FE">
            <w:pPr>
              <w:spacing w:after="0" w:line="240" w:lineRule="auto"/>
              <w:jc w:val="center"/>
              <w:rPr>
                <w:rFonts w:ascii="Times New Roman" w:hAnsi="Times New Roman" w:cs="Times New Roman"/>
                <w:sz w:val="28"/>
                <w:szCs w:val="28"/>
              </w:rPr>
            </w:pPr>
          </w:p>
          <w:p w14:paraId="4B2D2AB4" w14:textId="77777777" w:rsidR="008C5817" w:rsidRDefault="008C5817" w:rsidP="004135FE">
            <w:pPr>
              <w:spacing w:after="0" w:line="240" w:lineRule="auto"/>
              <w:jc w:val="center"/>
              <w:rPr>
                <w:rFonts w:ascii="Times New Roman" w:hAnsi="Times New Roman" w:cs="Times New Roman"/>
                <w:sz w:val="28"/>
                <w:szCs w:val="28"/>
              </w:rPr>
            </w:pPr>
          </w:p>
          <w:p w14:paraId="39797487" w14:textId="5AD784D7" w:rsidR="008C5817" w:rsidRPr="00570909" w:rsidRDefault="008C5817" w:rsidP="004135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106</w:t>
            </w:r>
          </w:p>
        </w:tc>
      </w:tr>
      <w:tr w:rsidR="004135FE" w:rsidRPr="00570909" w14:paraId="2A30825F" w14:textId="77777777" w:rsidTr="00B83502">
        <w:tc>
          <w:tcPr>
            <w:tcW w:w="9209" w:type="dxa"/>
          </w:tcPr>
          <w:p w14:paraId="59756102" w14:textId="6B9E53BF" w:rsidR="004135FE" w:rsidRPr="00570909" w:rsidRDefault="004135FE" w:rsidP="004135FE">
            <w:pPr>
              <w:autoSpaceDE w:val="0"/>
              <w:autoSpaceDN w:val="0"/>
              <w:adjustRightInd w:val="0"/>
              <w:spacing w:after="0" w:line="240" w:lineRule="auto"/>
              <w:jc w:val="both"/>
              <w:rPr>
                <w:rFonts w:ascii="Times New Roman" w:hAnsi="Times New Roman" w:cs="Times New Roman"/>
                <w:b/>
                <w:caps/>
                <w:sz w:val="28"/>
                <w:szCs w:val="28"/>
              </w:rPr>
            </w:pPr>
            <w:r w:rsidRPr="00570909">
              <w:rPr>
                <w:rFonts w:ascii="Times New Roman" w:eastAsiaTheme="minorHAnsi" w:hAnsi="Times New Roman" w:cs="Times New Roman"/>
                <w:sz w:val="28"/>
                <w:szCs w:val="28"/>
                <w:lang w:eastAsia="en-US"/>
              </w:rPr>
              <w:lastRenderedPageBreak/>
              <w:t>4.1</w:t>
            </w:r>
            <w:r w:rsidRPr="00570909">
              <w:rPr>
                <w:rFonts w:ascii="Times New Roman" w:eastAsiaTheme="minorHAnsi" w:hAnsi="Times New Roman" w:cs="Times New Roman"/>
                <w:sz w:val="28"/>
                <w:szCs w:val="28"/>
                <w:lang w:val="kk-KZ" w:eastAsia="en-US"/>
              </w:rPr>
              <w:t xml:space="preserve"> </w:t>
            </w:r>
            <w:r w:rsidR="003E3D51" w:rsidRPr="00570909">
              <w:rPr>
                <w:rFonts w:ascii="Times New Roman" w:eastAsiaTheme="minorHAnsi" w:hAnsi="Times New Roman" w:cs="Times New Roman"/>
                <w:sz w:val="28"/>
                <w:szCs w:val="28"/>
                <w:lang w:val="kk-KZ" w:eastAsia="en-US"/>
              </w:rPr>
              <w:t>Р</w:t>
            </w:r>
            <w:r w:rsidRPr="00570909">
              <w:rPr>
                <w:rFonts w:ascii="Times New Roman" w:hAnsi="Times New Roman" w:cs="Times New Roman"/>
                <w:bCs/>
                <w:sz w:val="28"/>
                <w:szCs w:val="28"/>
              </w:rPr>
              <w:t>езультаты социологического исследования среди медицинских работников</w:t>
            </w:r>
          </w:p>
        </w:tc>
        <w:tc>
          <w:tcPr>
            <w:tcW w:w="703" w:type="dxa"/>
          </w:tcPr>
          <w:p w14:paraId="1A0CBABB" w14:textId="77777777" w:rsidR="004135FE" w:rsidRDefault="004135FE" w:rsidP="004135FE">
            <w:pPr>
              <w:autoSpaceDE w:val="0"/>
              <w:autoSpaceDN w:val="0"/>
              <w:adjustRightInd w:val="0"/>
              <w:spacing w:after="0" w:line="240" w:lineRule="auto"/>
              <w:jc w:val="center"/>
              <w:rPr>
                <w:rFonts w:ascii="Times New Roman" w:hAnsi="Times New Roman" w:cs="Times New Roman"/>
                <w:sz w:val="28"/>
                <w:szCs w:val="28"/>
              </w:rPr>
            </w:pPr>
          </w:p>
          <w:p w14:paraId="071776AD" w14:textId="17FC417C" w:rsidR="00D1312D" w:rsidRPr="00570909" w:rsidRDefault="00D1312D"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106</w:t>
            </w:r>
          </w:p>
        </w:tc>
      </w:tr>
      <w:tr w:rsidR="003E3D51" w:rsidRPr="00570909" w14:paraId="368C4363" w14:textId="77777777" w:rsidTr="00B83502">
        <w:tc>
          <w:tcPr>
            <w:tcW w:w="9209" w:type="dxa"/>
          </w:tcPr>
          <w:p w14:paraId="64F25923" w14:textId="25C14B89" w:rsidR="003E3D51" w:rsidRPr="00570909" w:rsidRDefault="003E3D51" w:rsidP="003E3D51">
            <w:pPr>
              <w:autoSpaceDE w:val="0"/>
              <w:autoSpaceDN w:val="0"/>
              <w:adjustRightInd w:val="0"/>
              <w:spacing w:after="0" w:line="240" w:lineRule="auto"/>
              <w:rPr>
                <w:rFonts w:ascii="Times New Roman" w:hAnsi="Times New Roman" w:cs="Times New Roman"/>
                <w:caps/>
                <w:sz w:val="28"/>
                <w:szCs w:val="28"/>
              </w:rPr>
            </w:pPr>
            <w:r w:rsidRPr="00570909">
              <w:rPr>
                <w:rFonts w:ascii="Times New Roman" w:eastAsiaTheme="minorHAnsi" w:hAnsi="Times New Roman" w:cs="Times New Roman"/>
                <w:sz w:val="28"/>
                <w:szCs w:val="28"/>
                <w:lang w:eastAsia="en-US"/>
              </w:rPr>
              <w:t>4.1.1</w:t>
            </w:r>
            <w:r w:rsidRPr="00570909">
              <w:rPr>
                <w:rFonts w:ascii="Times New Roman" w:eastAsiaTheme="minorHAnsi" w:hAnsi="Times New Roman" w:cs="Times New Roman"/>
                <w:sz w:val="28"/>
                <w:szCs w:val="28"/>
                <w:lang w:val="kk-KZ" w:eastAsia="en-US"/>
              </w:rPr>
              <w:t xml:space="preserve"> </w:t>
            </w:r>
            <w:r w:rsidRPr="00570909">
              <w:rPr>
                <w:rFonts w:ascii="Times New Roman" w:hAnsi="Times New Roman" w:cs="Times New Roman"/>
                <w:sz w:val="28"/>
                <w:szCs w:val="28"/>
              </w:rPr>
              <w:t>Персонализированный подход к пациентам</w:t>
            </w:r>
          </w:p>
        </w:tc>
        <w:tc>
          <w:tcPr>
            <w:tcW w:w="703" w:type="dxa"/>
          </w:tcPr>
          <w:p w14:paraId="4052762C" w14:textId="7CA7853E" w:rsidR="003E3D51" w:rsidRPr="00570909" w:rsidRDefault="00D1312D"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106</w:t>
            </w:r>
          </w:p>
        </w:tc>
      </w:tr>
      <w:tr w:rsidR="003E3D51" w:rsidRPr="00570909" w14:paraId="7C93B7DA" w14:textId="77777777" w:rsidTr="00B83502">
        <w:tc>
          <w:tcPr>
            <w:tcW w:w="9209" w:type="dxa"/>
          </w:tcPr>
          <w:p w14:paraId="6CB256B0" w14:textId="7E74E00A" w:rsidR="003E3D51" w:rsidRPr="00570909" w:rsidRDefault="003E3D51" w:rsidP="003E3D51">
            <w:pPr>
              <w:autoSpaceDE w:val="0"/>
              <w:autoSpaceDN w:val="0"/>
              <w:adjustRightInd w:val="0"/>
              <w:spacing w:after="0" w:line="240" w:lineRule="auto"/>
              <w:rPr>
                <w:rFonts w:ascii="Times New Roman" w:hAnsi="Times New Roman" w:cs="Times New Roman"/>
                <w:sz w:val="28"/>
                <w:szCs w:val="28"/>
              </w:rPr>
            </w:pPr>
            <w:r w:rsidRPr="00570909">
              <w:rPr>
                <w:rFonts w:ascii="Times New Roman" w:eastAsiaTheme="minorHAnsi" w:hAnsi="Times New Roman" w:cs="Times New Roman"/>
                <w:sz w:val="28"/>
                <w:szCs w:val="28"/>
                <w:lang w:eastAsia="en-US"/>
              </w:rPr>
              <w:t>4.1.2</w:t>
            </w:r>
            <w:r w:rsidRPr="00570909">
              <w:rPr>
                <w:rFonts w:ascii="Times New Roman" w:eastAsiaTheme="minorHAnsi" w:hAnsi="Times New Roman" w:cs="Times New Roman"/>
                <w:sz w:val="28"/>
                <w:szCs w:val="28"/>
                <w:lang w:val="kk-KZ" w:eastAsia="en-US"/>
              </w:rPr>
              <w:t xml:space="preserve"> </w:t>
            </w:r>
            <w:r w:rsidRPr="00570909">
              <w:rPr>
                <w:rFonts w:ascii="Times New Roman" w:hAnsi="Times New Roman" w:cs="Times New Roman"/>
                <w:sz w:val="28"/>
                <w:szCs w:val="28"/>
              </w:rPr>
              <w:t>Доступность психосоциальной поддержки пациентам с СД2т</w:t>
            </w:r>
          </w:p>
        </w:tc>
        <w:tc>
          <w:tcPr>
            <w:tcW w:w="703" w:type="dxa"/>
          </w:tcPr>
          <w:p w14:paraId="10B4A111" w14:textId="64D284B9" w:rsidR="003E3D51" w:rsidRPr="00570909" w:rsidRDefault="00D1312D"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110</w:t>
            </w:r>
          </w:p>
        </w:tc>
      </w:tr>
      <w:tr w:rsidR="003E3D51" w:rsidRPr="00570909" w14:paraId="0A8F8035" w14:textId="77777777" w:rsidTr="00B83502">
        <w:tc>
          <w:tcPr>
            <w:tcW w:w="9209" w:type="dxa"/>
          </w:tcPr>
          <w:p w14:paraId="2A197E25" w14:textId="1E0F21E5" w:rsidR="003E3D51" w:rsidRPr="00570909" w:rsidRDefault="003E3D51" w:rsidP="003E3D51">
            <w:pPr>
              <w:autoSpaceDE w:val="0"/>
              <w:autoSpaceDN w:val="0"/>
              <w:adjustRightInd w:val="0"/>
              <w:spacing w:after="0" w:line="240" w:lineRule="auto"/>
              <w:jc w:val="both"/>
              <w:rPr>
                <w:rFonts w:ascii="Times New Roman" w:hAnsi="Times New Roman" w:cs="Times New Roman"/>
                <w:caps/>
                <w:sz w:val="28"/>
                <w:szCs w:val="28"/>
              </w:rPr>
            </w:pPr>
            <w:r w:rsidRPr="00570909">
              <w:rPr>
                <w:rFonts w:ascii="Times New Roman" w:eastAsiaTheme="minorHAnsi" w:hAnsi="Times New Roman" w:cs="Times New Roman"/>
                <w:sz w:val="28"/>
                <w:szCs w:val="28"/>
                <w:lang w:eastAsia="en-US"/>
              </w:rPr>
              <w:t>4.1.3</w:t>
            </w:r>
            <w:r w:rsidRPr="00570909">
              <w:rPr>
                <w:rFonts w:ascii="Times New Roman" w:eastAsiaTheme="minorHAnsi" w:hAnsi="Times New Roman" w:cs="Times New Roman"/>
                <w:sz w:val="28"/>
                <w:szCs w:val="28"/>
                <w:lang w:val="kk-KZ" w:eastAsia="en-US"/>
              </w:rPr>
              <w:t xml:space="preserve"> </w:t>
            </w:r>
            <w:r w:rsidRPr="00570909">
              <w:rPr>
                <w:rFonts w:ascii="Times New Roman" w:hAnsi="Times New Roman" w:cs="Times New Roman"/>
                <w:sz w:val="28"/>
                <w:szCs w:val="28"/>
              </w:rPr>
              <w:t>Качество оснащенности ресурсами и удовлетворенность рабочим местом</w:t>
            </w:r>
            <w:r w:rsidRPr="00570909">
              <w:rPr>
                <w:rFonts w:ascii="Times New Roman" w:hAnsi="Times New Roman" w:cs="Times New Roman"/>
                <w:caps/>
                <w:sz w:val="28"/>
                <w:szCs w:val="28"/>
              </w:rPr>
              <w:t xml:space="preserve"> </w:t>
            </w:r>
          </w:p>
        </w:tc>
        <w:tc>
          <w:tcPr>
            <w:tcW w:w="703" w:type="dxa"/>
          </w:tcPr>
          <w:p w14:paraId="2F0915A1" w14:textId="4224CCEB" w:rsidR="003E3D51" w:rsidRPr="00570909" w:rsidRDefault="00D1312D"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114</w:t>
            </w:r>
          </w:p>
        </w:tc>
      </w:tr>
      <w:tr w:rsidR="003E3D51" w:rsidRPr="00570909" w14:paraId="1C205EB4" w14:textId="77777777" w:rsidTr="00B83502">
        <w:tc>
          <w:tcPr>
            <w:tcW w:w="9209" w:type="dxa"/>
          </w:tcPr>
          <w:p w14:paraId="3E5CC968" w14:textId="2E47F6C0" w:rsidR="003E3D51" w:rsidRPr="00570909" w:rsidRDefault="003E3D51" w:rsidP="003E3D51">
            <w:pPr>
              <w:autoSpaceDE w:val="0"/>
              <w:autoSpaceDN w:val="0"/>
              <w:adjustRightInd w:val="0"/>
              <w:spacing w:after="0" w:line="240" w:lineRule="auto"/>
              <w:jc w:val="both"/>
              <w:rPr>
                <w:rFonts w:ascii="Times New Roman" w:hAnsi="Times New Roman" w:cs="Times New Roman"/>
                <w:caps/>
                <w:sz w:val="28"/>
                <w:szCs w:val="28"/>
              </w:rPr>
            </w:pPr>
            <w:r w:rsidRPr="00570909">
              <w:rPr>
                <w:rFonts w:ascii="Times New Roman" w:eastAsiaTheme="minorHAnsi" w:hAnsi="Times New Roman" w:cs="Times New Roman"/>
                <w:sz w:val="28"/>
                <w:szCs w:val="28"/>
                <w:lang w:eastAsia="en-US"/>
              </w:rPr>
              <w:t>4.2</w:t>
            </w:r>
            <w:r w:rsidRPr="00570909">
              <w:rPr>
                <w:rFonts w:ascii="Times New Roman" w:eastAsiaTheme="minorHAnsi" w:hAnsi="Times New Roman" w:cs="Times New Roman"/>
                <w:sz w:val="28"/>
                <w:szCs w:val="28"/>
                <w:lang w:val="kk-KZ" w:eastAsia="en-US"/>
              </w:rPr>
              <w:t xml:space="preserve"> Р</w:t>
            </w:r>
            <w:r w:rsidRPr="00570909">
              <w:rPr>
                <w:rFonts w:ascii="Times New Roman" w:hAnsi="Times New Roman" w:cs="Times New Roman"/>
                <w:bCs/>
                <w:sz w:val="28"/>
                <w:szCs w:val="28"/>
              </w:rPr>
              <w:t>езультаты социологического исследования респондентов, с сахарным диабетом 2 типа</w:t>
            </w:r>
          </w:p>
        </w:tc>
        <w:tc>
          <w:tcPr>
            <w:tcW w:w="703" w:type="dxa"/>
          </w:tcPr>
          <w:p w14:paraId="08A77AD8" w14:textId="76887E3E" w:rsidR="003E3D51" w:rsidRPr="00570909" w:rsidRDefault="00D1312D"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121</w:t>
            </w:r>
          </w:p>
        </w:tc>
      </w:tr>
      <w:tr w:rsidR="003E3D51" w:rsidRPr="00570909" w14:paraId="76416196" w14:textId="77777777" w:rsidTr="00B83502">
        <w:tc>
          <w:tcPr>
            <w:tcW w:w="9209" w:type="dxa"/>
          </w:tcPr>
          <w:p w14:paraId="7959BB88" w14:textId="33853874" w:rsidR="003E3D51" w:rsidRPr="00570909" w:rsidRDefault="003E3D51" w:rsidP="003E3D51">
            <w:pPr>
              <w:autoSpaceDE w:val="0"/>
              <w:autoSpaceDN w:val="0"/>
              <w:adjustRightInd w:val="0"/>
              <w:spacing w:after="0" w:line="240" w:lineRule="auto"/>
              <w:rPr>
                <w:rFonts w:ascii="Times New Roman" w:hAnsi="Times New Roman" w:cs="Times New Roman"/>
                <w:sz w:val="28"/>
                <w:szCs w:val="28"/>
              </w:rPr>
            </w:pPr>
            <w:r w:rsidRPr="00570909">
              <w:rPr>
                <w:rFonts w:ascii="Times New Roman" w:hAnsi="Times New Roman" w:cs="Times New Roman"/>
                <w:caps/>
                <w:sz w:val="28"/>
                <w:szCs w:val="28"/>
              </w:rPr>
              <w:t>4.2.1</w:t>
            </w:r>
            <w:r w:rsidRPr="00570909">
              <w:rPr>
                <w:rFonts w:ascii="Times New Roman" w:hAnsi="Times New Roman" w:cs="Times New Roman"/>
                <w:caps/>
                <w:sz w:val="28"/>
                <w:szCs w:val="28"/>
                <w:lang w:val="kk-KZ"/>
              </w:rPr>
              <w:t xml:space="preserve"> </w:t>
            </w:r>
            <w:r w:rsidRPr="00570909">
              <w:rPr>
                <w:rFonts w:ascii="Times New Roman" w:eastAsia="Times New Roman" w:hAnsi="Times New Roman" w:cs="Times New Roman"/>
                <w:bCs/>
                <w:sz w:val="28"/>
                <w:szCs w:val="28"/>
              </w:rPr>
              <w:t>Факторы риска развития сахарного диабета 2 типа</w:t>
            </w:r>
          </w:p>
        </w:tc>
        <w:tc>
          <w:tcPr>
            <w:tcW w:w="703" w:type="dxa"/>
          </w:tcPr>
          <w:p w14:paraId="027C5123" w14:textId="324212FC" w:rsidR="003E3D51" w:rsidRPr="00570909" w:rsidRDefault="00D1312D"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122</w:t>
            </w:r>
          </w:p>
        </w:tc>
      </w:tr>
      <w:tr w:rsidR="003E3D51" w:rsidRPr="00570909" w14:paraId="10720ED6" w14:textId="77777777" w:rsidTr="00B83502">
        <w:tc>
          <w:tcPr>
            <w:tcW w:w="9209" w:type="dxa"/>
          </w:tcPr>
          <w:p w14:paraId="35CBCAED" w14:textId="2B1D1840" w:rsidR="003E3D51" w:rsidRPr="00570909" w:rsidRDefault="003E3D51" w:rsidP="003E3D51">
            <w:pPr>
              <w:autoSpaceDE w:val="0"/>
              <w:autoSpaceDN w:val="0"/>
              <w:adjustRightInd w:val="0"/>
              <w:spacing w:after="0" w:line="240" w:lineRule="auto"/>
              <w:jc w:val="both"/>
              <w:rPr>
                <w:rFonts w:ascii="Times New Roman" w:hAnsi="Times New Roman" w:cs="Times New Roman"/>
                <w:sz w:val="28"/>
                <w:szCs w:val="28"/>
              </w:rPr>
            </w:pPr>
            <w:r w:rsidRPr="00570909">
              <w:rPr>
                <w:rFonts w:ascii="Times New Roman" w:hAnsi="Times New Roman" w:cs="Times New Roman"/>
                <w:bCs/>
                <w:iCs/>
                <w:sz w:val="28"/>
                <w:szCs w:val="28"/>
              </w:rPr>
              <w:t>4.2.2.1</w:t>
            </w:r>
            <w:r w:rsidRPr="00570909">
              <w:rPr>
                <w:rFonts w:ascii="Times New Roman" w:hAnsi="Times New Roman" w:cs="Times New Roman"/>
                <w:bCs/>
                <w:iCs/>
                <w:sz w:val="28"/>
                <w:szCs w:val="28"/>
                <w:lang w:val="kk-KZ"/>
              </w:rPr>
              <w:t xml:space="preserve"> </w:t>
            </w:r>
            <w:r w:rsidRPr="00570909">
              <w:rPr>
                <w:rFonts w:ascii="Times New Roman" w:hAnsi="Times New Roman" w:cs="Times New Roman"/>
                <w:sz w:val="28"/>
                <w:szCs w:val="28"/>
              </w:rPr>
              <w:t>Возможности профилактических мер при реализации межсекторального сотрудничества на государственном уровне</w:t>
            </w:r>
          </w:p>
        </w:tc>
        <w:tc>
          <w:tcPr>
            <w:tcW w:w="703" w:type="dxa"/>
          </w:tcPr>
          <w:p w14:paraId="6634BE36" w14:textId="5D048C5E" w:rsidR="003E3D51" w:rsidRPr="00570909" w:rsidRDefault="00D1312D"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128</w:t>
            </w:r>
          </w:p>
        </w:tc>
      </w:tr>
      <w:tr w:rsidR="003E3D51" w:rsidRPr="00570909" w14:paraId="1D15FA59" w14:textId="77777777" w:rsidTr="00B83502">
        <w:tc>
          <w:tcPr>
            <w:tcW w:w="9209" w:type="dxa"/>
          </w:tcPr>
          <w:p w14:paraId="321D46A0" w14:textId="0DFA9173" w:rsidR="003E3D51" w:rsidRPr="00570909" w:rsidRDefault="003E3D51" w:rsidP="003E3D51">
            <w:pPr>
              <w:autoSpaceDE w:val="0"/>
              <w:autoSpaceDN w:val="0"/>
              <w:adjustRightInd w:val="0"/>
              <w:spacing w:after="0" w:line="240" w:lineRule="auto"/>
              <w:rPr>
                <w:rFonts w:ascii="Times New Roman" w:hAnsi="Times New Roman" w:cs="Times New Roman"/>
                <w:i/>
                <w:sz w:val="28"/>
                <w:szCs w:val="28"/>
              </w:rPr>
            </w:pPr>
            <w:r w:rsidRPr="00570909">
              <w:rPr>
                <w:rFonts w:ascii="Times New Roman" w:hAnsi="Times New Roman" w:cs="Times New Roman"/>
                <w:bCs/>
                <w:iCs/>
                <w:sz w:val="28"/>
                <w:szCs w:val="28"/>
              </w:rPr>
              <w:t>4.2.2.2</w:t>
            </w:r>
            <w:r w:rsidRPr="00570909">
              <w:rPr>
                <w:rFonts w:ascii="Times New Roman" w:hAnsi="Times New Roman" w:cs="Times New Roman"/>
                <w:bCs/>
                <w:iCs/>
                <w:sz w:val="28"/>
                <w:szCs w:val="28"/>
                <w:lang w:val="kk-KZ"/>
              </w:rPr>
              <w:t xml:space="preserve"> </w:t>
            </w:r>
            <w:r w:rsidRPr="00570909">
              <w:rPr>
                <w:rFonts w:ascii="Times New Roman" w:hAnsi="Times New Roman" w:cs="Times New Roman"/>
                <w:sz w:val="28"/>
                <w:szCs w:val="28"/>
              </w:rPr>
              <w:t>Возможности профилактических мер на уровне МЗ РК</w:t>
            </w:r>
          </w:p>
        </w:tc>
        <w:tc>
          <w:tcPr>
            <w:tcW w:w="703" w:type="dxa"/>
          </w:tcPr>
          <w:p w14:paraId="282B3827" w14:textId="2D4EB76A" w:rsidR="003E3D51" w:rsidRPr="00570909" w:rsidRDefault="00D1312D"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147</w:t>
            </w:r>
          </w:p>
        </w:tc>
      </w:tr>
      <w:tr w:rsidR="003E3D51" w:rsidRPr="00570909" w14:paraId="45497449" w14:textId="77777777" w:rsidTr="00B83502">
        <w:tc>
          <w:tcPr>
            <w:tcW w:w="9209" w:type="dxa"/>
          </w:tcPr>
          <w:p w14:paraId="6B876F4B" w14:textId="0B8FA2EB" w:rsidR="003E3D51" w:rsidRPr="00570909" w:rsidRDefault="003E3D51" w:rsidP="003E3D51">
            <w:pPr>
              <w:autoSpaceDE w:val="0"/>
              <w:autoSpaceDN w:val="0"/>
              <w:adjustRightInd w:val="0"/>
              <w:spacing w:after="0" w:line="240" w:lineRule="auto"/>
              <w:jc w:val="both"/>
              <w:rPr>
                <w:rFonts w:ascii="Times New Roman" w:hAnsi="Times New Roman" w:cs="Times New Roman"/>
                <w:sz w:val="28"/>
                <w:szCs w:val="28"/>
              </w:rPr>
            </w:pPr>
            <w:r w:rsidRPr="00570909">
              <w:rPr>
                <w:rFonts w:ascii="Times New Roman" w:hAnsi="Times New Roman" w:cs="Times New Roman"/>
                <w:bCs/>
                <w:iCs/>
                <w:sz w:val="28"/>
                <w:szCs w:val="28"/>
              </w:rPr>
              <w:t>4.2.2.3</w:t>
            </w:r>
            <w:r w:rsidRPr="00570909">
              <w:rPr>
                <w:rFonts w:ascii="Times New Roman" w:hAnsi="Times New Roman" w:cs="Times New Roman"/>
                <w:bCs/>
                <w:iCs/>
                <w:sz w:val="28"/>
                <w:szCs w:val="28"/>
                <w:lang w:val="kk-KZ"/>
              </w:rPr>
              <w:t xml:space="preserve"> </w:t>
            </w:r>
            <w:r w:rsidRPr="00570909">
              <w:rPr>
                <w:rFonts w:ascii="Times New Roman" w:hAnsi="Times New Roman" w:cs="Times New Roman"/>
                <w:sz w:val="28"/>
                <w:szCs w:val="28"/>
              </w:rPr>
              <w:t>Возможности профилактических мер на уровне местных исполнительных органов/ акиматов, общественных организации</w:t>
            </w:r>
          </w:p>
        </w:tc>
        <w:tc>
          <w:tcPr>
            <w:tcW w:w="703" w:type="dxa"/>
          </w:tcPr>
          <w:p w14:paraId="45C58343" w14:textId="14807668" w:rsidR="003E3D51" w:rsidRPr="00570909" w:rsidRDefault="00D1312D"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163</w:t>
            </w:r>
          </w:p>
        </w:tc>
      </w:tr>
      <w:tr w:rsidR="003E3D51" w:rsidRPr="00570909" w14:paraId="2CD3FB4E" w14:textId="77777777" w:rsidTr="00B83502">
        <w:tc>
          <w:tcPr>
            <w:tcW w:w="9209" w:type="dxa"/>
          </w:tcPr>
          <w:p w14:paraId="287B2C0D" w14:textId="169194E9" w:rsidR="003E3D51" w:rsidRPr="00570909" w:rsidRDefault="003E3D51" w:rsidP="003E3D51">
            <w:pPr>
              <w:autoSpaceDE w:val="0"/>
              <w:autoSpaceDN w:val="0"/>
              <w:adjustRightInd w:val="0"/>
              <w:spacing w:after="0" w:line="240" w:lineRule="auto"/>
              <w:rPr>
                <w:rFonts w:ascii="Times New Roman" w:hAnsi="Times New Roman" w:cs="Times New Roman"/>
                <w:sz w:val="28"/>
                <w:szCs w:val="28"/>
              </w:rPr>
            </w:pPr>
            <w:r w:rsidRPr="00570909">
              <w:rPr>
                <w:rFonts w:ascii="Times New Roman" w:hAnsi="Times New Roman" w:cs="Times New Roman"/>
                <w:bCs/>
                <w:iCs/>
                <w:sz w:val="28"/>
                <w:szCs w:val="28"/>
              </w:rPr>
              <w:t>4.2.2.4</w:t>
            </w:r>
            <w:r w:rsidRPr="00570909">
              <w:rPr>
                <w:rFonts w:ascii="Times New Roman" w:hAnsi="Times New Roman" w:cs="Times New Roman"/>
                <w:bCs/>
                <w:iCs/>
                <w:sz w:val="28"/>
                <w:szCs w:val="28"/>
                <w:lang w:val="kk-KZ"/>
              </w:rPr>
              <w:t xml:space="preserve"> </w:t>
            </w:r>
            <w:r w:rsidRPr="00570909">
              <w:rPr>
                <w:rFonts w:ascii="Times New Roman" w:hAnsi="Times New Roman" w:cs="Times New Roman"/>
                <w:sz w:val="28"/>
                <w:szCs w:val="28"/>
              </w:rPr>
              <w:t>Возможности профилактических мер на уровне ПМСП</w:t>
            </w:r>
          </w:p>
        </w:tc>
        <w:tc>
          <w:tcPr>
            <w:tcW w:w="703" w:type="dxa"/>
          </w:tcPr>
          <w:p w14:paraId="1855C0D9" w14:textId="3867FA31" w:rsidR="003E3D51" w:rsidRPr="00570909" w:rsidRDefault="003E3D51"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sidRPr="00570909">
              <w:rPr>
                <w:rFonts w:ascii="Times New Roman" w:hAnsi="Times New Roman" w:cs="Times New Roman"/>
                <w:sz w:val="28"/>
                <w:szCs w:val="28"/>
              </w:rPr>
              <w:t>1</w:t>
            </w:r>
            <w:r w:rsidR="00D1312D">
              <w:rPr>
                <w:rFonts w:ascii="Times New Roman" w:hAnsi="Times New Roman" w:cs="Times New Roman"/>
                <w:sz w:val="28"/>
                <w:szCs w:val="28"/>
              </w:rPr>
              <w:t>71</w:t>
            </w:r>
          </w:p>
        </w:tc>
      </w:tr>
      <w:tr w:rsidR="003E3D51" w:rsidRPr="00570909" w14:paraId="24CB76F5" w14:textId="77777777" w:rsidTr="00B83502">
        <w:tc>
          <w:tcPr>
            <w:tcW w:w="9209" w:type="dxa"/>
          </w:tcPr>
          <w:p w14:paraId="0F866188" w14:textId="2BAAEDB4" w:rsidR="003E3D51" w:rsidRPr="00570909" w:rsidRDefault="003E3D51" w:rsidP="003E3D51">
            <w:pPr>
              <w:autoSpaceDE w:val="0"/>
              <w:autoSpaceDN w:val="0"/>
              <w:adjustRightInd w:val="0"/>
              <w:spacing w:after="0" w:line="240" w:lineRule="auto"/>
              <w:rPr>
                <w:rFonts w:ascii="Times New Roman" w:hAnsi="Times New Roman" w:cs="Times New Roman"/>
                <w:i/>
                <w:sz w:val="28"/>
                <w:szCs w:val="28"/>
              </w:rPr>
            </w:pPr>
            <w:r w:rsidRPr="00570909">
              <w:rPr>
                <w:rFonts w:ascii="Times New Roman" w:hAnsi="Times New Roman" w:cs="Times New Roman"/>
                <w:bCs/>
                <w:iCs/>
                <w:sz w:val="28"/>
                <w:szCs w:val="28"/>
              </w:rPr>
              <w:t>4.2.3</w:t>
            </w:r>
            <w:r w:rsidRPr="00570909">
              <w:rPr>
                <w:rFonts w:ascii="Times New Roman" w:hAnsi="Times New Roman" w:cs="Times New Roman"/>
                <w:bCs/>
                <w:iCs/>
                <w:sz w:val="28"/>
                <w:szCs w:val="28"/>
                <w:lang w:val="kk-KZ"/>
              </w:rPr>
              <w:t xml:space="preserve"> </w:t>
            </w:r>
            <w:r w:rsidRPr="00570909">
              <w:rPr>
                <w:rFonts w:ascii="Times New Roman" w:hAnsi="Times New Roman" w:cs="Times New Roman"/>
                <w:sz w:val="28"/>
                <w:szCs w:val="28"/>
              </w:rPr>
              <w:t xml:space="preserve">Возможности профилактических мер на уровне пациентов с СД2т </w:t>
            </w:r>
          </w:p>
        </w:tc>
        <w:tc>
          <w:tcPr>
            <w:tcW w:w="703" w:type="dxa"/>
          </w:tcPr>
          <w:p w14:paraId="31585541" w14:textId="78A36A03" w:rsidR="003E3D51" w:rsidRPr="00570909" w:rsidRDefault="003E3D51"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sidRPr="00570909">
              <w:rPr>
                <w:rFonts w:ascii="Times New Roman" w:hAnsi="Times New Roman" w:cs="Times New Roman"/>
                <w:sz w:val="28"/>
                <w:szCs w:val="28"/>
              </w:rPr>
              <w:t>1</w:t>
            </w:r>
            <w:r w:rsidR="00D1312D">
              <w:rPr>
                <w:rFonts w:ascii="Times New Roman" w:hAnsi="Times New Roman" w:cs="Times New Roman"/>
                <w:sz w:val="28"/>
                <w:szCs w:val="28"/>
              </w:rPr>
              <w:t>78</w:t>
            </w:r>
          </w:p>
        </w:tc>
      </w:tr>
      <w:tr w:rsidR="00D1312D" w:rsidRPr="00570909" w14:paraId="0BB64C04" w14:textId="77777777" w:rsidTr="00B83502">
        <w:tc>
          <w:tcPr>
            <w:tcW w:w="9209" w:type="dxa"/>
          </w:tcPr>
          <w:p w14:paraId="4DD80996" w14:textId="4533943F" w:rsidR="00D1312D" w:rsidRPr="00570909" w:rsidRDefault="00D1312D" w:rsidP="003E3D51">
            <w:pPr>
              <w:autoSpaceDE w:val="0"/>
              <w:autoSpaceDN w:val="0"/>
              <w:adjustRightInd w:val="0"/>
              <w:spacing w:after="0" w:line="240" w:lineRule="auto"/>
              <w:rPr>
                <w:rFonts w:ascii="Times New Roman" w:hAnsi="Times New Roman" w:cs="Times New Roman"/>
                <w:bCs/>
                <w:iCs/>
                <w:sz w:val="28"/>
                <w:szCs w:val="28"/>
              </w:rPr>
            </w:pPr>
            <w:r>
              <w:rPr>
                <w:rFonts w:ascii="Times New Roman" w:hAnsi="Times New Roman" w:cs="Times New Roman"/>
                <w:bCs/>
                <w:iCs/>
                <w:sz w:val="28"/>
                <w:szCs w:val="28"/>
              </w:rPr>
              <w:t>Выводы по 4 разделу</w:t>
            </w:r>
          </w:p>
        </w:tc>
        <w:tc>
          <w:tcPr>
            <w:tcW w:w="703" w:type="dxa"/>
          </w:tcPr>
          <w:p w14:paraId="73F4A6F7" w14:textId="4EC9DD6F" w:rsidR="00D1312D" w:rsidRPr="00570909" w:rsidRDefault="00D1312D" w:rsidP="004135FE">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190</w:t>
            </w:r>
          </w:p>
        </w:tc>
      </w:tr>
      <w:tr w:rsidR="003E3D51" w:rsidRPr="00570909" w14:paraId="2BD77E06" w14:textId="77777777" w:rsidTr="00B83502">
        <w:tc>
          <w:tcPr>
            <w:tcW w:w="9209" w:type="dxa"/>
          </w:tcPr>
          <w:p w14:paraId="768F7E23" w14:textId="40B1C7E0" w:rsidR="003E3D51" w:rsidRPr="00570909" w:rsidRDefault="003E3D51" w:rsidP="003E3D51">
            <w:pPr>
              <w:autoSpaceDE w:val="0"/>
              <w:autoSpaceDN w:val="0"/>
              <w:adjustRightInd w:val="0"/>
              <w:spacing w:after="0" w:line="240" w:lineRule="auto"/>
              <w:jc w:val="both"/>
              <w:rPr>
                <w:rFonts w:ascii="Times New Roman" w:hAnsi="Times New Roman" w:cs="Times New Roman"/>
                <w:b/>
                <w:caps/>
                <w:sz w:val="28"/>
                <w:szCs w:val="28"/>
              </w:rPr>
            </w:pPr>
            <w:r w:rsidRPr="00570909">
              <w:rPr>
                <w:rFonts w:ascii="Times New Roman" w:hAnsi="Times New Roman" w:cs="Times New Roman"/>
                <w:b/>
                <w:bCs/>
                <w:iCs/>
                <w:sz w:val="28"/>
                <w:szCs w:val="28"/>
              </w:rPr>
              <w:t>5</w:t>
            </w:r>
            <w:r w:rsidRPr="00570909">
              <w:rPr>
                <w:rFonts w:ascii="Times New Roman" w:hAnsi="Times New Roman" w:cs="Times New Roman"/>
                <w:b/>
                <w:bCs/>
                <w:iCs/>
                <w:sz w:val="28"/>
                <w:szCs w:val="28"/>
                <w:lang w:val="kk-KZ"/>
              </w:rPr>
              <w:t xml:space="preserve"> </w:t>
            </w:r>
            <w:r w:rsidRPr="00570909">
              <w:rPr>
                <w:rFonts w:ascii="Times New Roman" w:hAnsi="Times New Roman" w:cs="Times New Roman"/>
                <w:b/>
                <w:caps/>
                <w:sz w:val="28"/>
                <w:szCs w:val="28"/>
              </w:rPr>
              <w:t xml:space="preserve">Подходы к совершенствованию медицинской помощи пациентам с СД2т </w:t>
            </w:r>
            <w:r w:rsidRPr="00570909">
              <w:rPr>
                <w:rFonts w:ascii="Times New Roman" w:eastAsia="Times New Roman" w:hAnsi="Times New Roman" w:cs="Times New Roman"/>
                <w:b/>
                <w:caps/>
                <w:sz w:val="28"/>
                <w:szCs w:val="28"/>
              </w:rPr>
              <w:t>и</w:t>
            </w:r>
            <w:r w:rsidRPr="00570909">
              <w:rPr>
                <w:rFonts w:ascii="Times New Roman" w:hAnsi="Times New Roman" w:cs="Times New Roman"/>
                <w:b/>
                <w:caps/>
                <w:sz w:val="28"/>
                <w:szCs w:val="28"/>
              </w:rPr>
              <w:t xml:space="preserve"> </w:t>
            </w:r>
            <w:r w:rsidRPr="00570909">
              <w:rPr>
                <w:rFonts w:ascii="Times New Roman" w:eastAsia="Times New Roman" w:hAnsi="Times New Roman" w:cs="Times New Roman"/>
                <w:b/>
                <w:caps/>
                <w:sz w:val="28"/>
                <w:szCs w:val="28"/>
              </w:rPr>
              <w:t>межсекторальное сотрудничество в решении проблем</w:t>
            </w:r>
          </w:p>
        </w:tc>
        <w:tc>
          <w:tcPr>
            <w:tcW w:w="703" w:type="dxa"/>
          </w:tcPr>
          <w:p w14:paraId="0AF0382D" w14:textId="77777777" w:rsidR="00D1312D" w:rsidRDefault="00D1312D" w:rsidP="004135FE">
            <w:pPr>
              <w:autoSpaceDE w:val="0"/>
              <w:autoSpaceDN w:val="0"/>
              <w:adjustRightInd w:val="0"/>
              <w:spacing w:after="0" w:line="240" w:lineRule="auto"/>
              <w:jc w:val="center"/>
              <w:rPr>
                <w:rFonts w:ascii="Times New Roman" w:hAnsi="Times New Roman" w:cs="Times New Roman"/>
                <w:sz w:val="28"/>
                <w:szCs w:val="28"/>
              </w:rPr>
            </w:pPr>
          </w:p>
          <w:p w14:paraId="79E6F1CF" w14:textId="6291B596" w:rsidR="003E3D51" w:rsidRPr="00570909" w:rsidRDefault="00D1312D"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193</w:t>
            </w:r>
          </w:p>
        </w:tc>
      </w:tr>
      <w:tr w:rsidR="003E3D51" w:rsidRPr="00570909" w14:paraId="4801C1B3" w14:textId="77777777" w:rsidTr="00B83502">
        <w:tc>
          <w:tcPr>
            <w:tcW w:w="9209" w:type="dxa"/>
          </w:tcPr>
          <w:p w14:paraId="7C37E85A" w14:textId="46D43EE1" w:rsidR="003E3D51" w:rsidRPr="00570909" w:rsidRDefault="003E3D51" w:rsidP="003E3D51">
            <w:pPr>
              <w:autoSpaceDE w:val="0"/>
              <w:autoSpaceDN w:val="0"/>
              <w:adjustRightInd w:val="0"/>
              <w:spacing w:after="0" w:line="240" w:lineRule="auto"/>
              <w:jc w:val="both"/>
              <w:rPr>
                <w:rFonts w:ascii="Times New Roman" w:eastAsia="Times New Roman" w:hAnsi="Times New Roman" w:cs="Times New Roman"/>
                <w:sz w:val="28"/>
                <w:szCs w:val="28"/>
              </w:rPr>
            </w:pPr>
            <w:r w:rsidRPr="00570909">
              <w:rPr>
                <w:rFonts w:ascii="Times New Roman" w:hAnsi="Times New Roman" w:cs="Times New Roman"/>
                <w:bCs/>
                <w:iCs/>
                <w:sz w:val="28"/>
                <w:szCs w:val="28"/>
              </w:rPr>
              <w:t>5.1</w:t>
            </w:r>
            <w:r w:rsidRPr="00570909">
              <w:rPr>
                <w:rFonts w:ascii="Times New Roman" w:hAnsi="Times New Roman" w:cs="Times New Roman"/>
                <w:bCs/>
                <w:iCs/>
                <w:sz w:val="28"/>
                <w:szCs w:val="28"/>
                <w:lang w:val="kk-KZ"/>
              </w:rPr>
              <w:t xml:space="preserve"> </w:t>
            </w:r>
            <w:r w:rsidRPr="00570909">
              <w:rPr>
                <w:rFonts w:ascii="Times New Roman" w:eastAsia="Times New Roman" w:hAnsi="Times New Roman" w:cs="Times New Roman"/>
                <w:sz w:val="28"/>
                <w:szCs w:val="28"/>
              </w:rPr>
              <w:t>Принципы и этапы изучения совершенствования оказания медицинской помощи и межсекторального сотрудничества при СД2т</w:t>
            </w:r>
          </w:p>
        </w:tc>
        <w:tc>
          <w:tcPr>
            <w:tcW w:w="703" w:type="dxa"/>
          </w:tcPr>
          <w:p w14:paraId="07D9C25B" w14:textId="30743572" w:rsidR="003E3D51" w:rsidRPr="00570909" w:rsidRDefault="00D1312D"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193</w:t>
            </w:r>
          </w:p>
        </w:tc>
      </w:tr>
      <w:tr w:rsidR="003E3D51" w:rsidRPr="00570909" w14:paraId="31F01A7C" w14:textId="77777777" w:rsidTr="00B83502">
        <w:tc>
          <w:tcPr>
            <w:tcW w:w="9209" w:type="dxa"/>
          </w:tcPr>
          <w:p w14:paraId="2EF78717" w14:textId="3084830E" w:rsidR="003E3D51" w:rsidRPr="00570909" w:rsidRDefault="003E3D51" w:rsidP="003E3D51">
            <w:pPr>
              <w:autoSpaceDE w:val="0"/>
              <w:autoSpaceDN w:val="0"/>
              <w:adjustRightInd w:val="0"/>
              <w:spacing w:after="0" w:line="240" w:lineRule="auto"/>
              <w:rPr>
                <w:rFonts w:ascii="Times New Roman" w:hAnsi="Times New Roman" w:cs="Times New Roman"/>
                <w:bCs/>
                <w:sz w:val="28"/>
                <w:szCs w:val="28"/>
              </w:rPr>
            </w:pPr>
            <w:r w:rsidRPr="00570909">
              <w:rPr>
                <w:rFonts w:ascii="Times New Roman" w:hAnsi="Times New Roman" w:cs="Times New Roman"/>
                <w:bCs/>
                <w:iCs/>
                <w:sz w:val="28"/>
                <w:szCs w:val="28"/>
              </w:rPr>
              <w:t>5.1.1</w:t>
            </w:r>
            <w:r w:rsidRPr="00570909">
              <w:rPr>
                <w:rFonts w:ascii="Times New Roman" w:hAnsi="Times New Roman" w:cs="Times New Roman"/>
                <w:bCs/>
                <w:iCs/>
                <w:sz w:val="28"/>
                <w:szCs w:val="28"/>
                <w:lang w:val="kk-KZ"/>
              </w:rPr>
              <w:t xml:space="preserve"> </w:t>
            </w:r>
            <w:r w:rsidRPr="00570909">
              <w:rPr>
                <w:rFonts w:ascii="Times New Roman" w:hAnsi="Times New Roman" w:cs="Times New Roman"/>
                <w:bCs/>
                <w:sz w:val="28"/>
                <w:szCs w:val="28"/>
              </w:rPr>
              <w:t xml:space="preserve">Инфраструктура, ресурсы и кадровое обеспечение ПМСП </w:t>
            </w:r>
            <w:r w:rsidR="00D1312D">
              <w:rPr>
                <w:rFonts w:ascii="Times New Roman" w:hAnsi="Times New Roman" w:cs="Times New Roman"/>
                <w:bCs/>
                <w:sz w:val="28"/>
                <w:szCs w:val="28"/>
              </w:rPr>
              <w:t xml:space="preserve">                   </w:t>
            </w:r>
            <w:r w:rsidRPr="00570909">
              <w:rPr>
                <w:rFonts w:ascii="Times New Roman" w:hAnsi="Times New Roman" w:cs="Times New Roman"/>
                <w:bCs/>
                <w:sz w:val="28"/>
                <w:szCs w:val="28"/>
              </w:rPr>
              <w:t>г.</w:t>
            </w:r>
            <w:r w:rsidRPr="00570909">
              <w:rPr>
                <w:rFonts w:ascii="Times New Roman" w:hAnsi="Times New Roman" w:cs="Times New Roman"/>
                <w:bCs/>
                <w:sz w:val="28"/>
                <w:szCs w:val="28"/>
                <w:lang w:val="kk-KZ"/>
              </w:rPr>
              <w:t xml:space="preserve"> </w:t>
            </w:r>
            <w:r w:rsidRPr="00570909">
              <w:rPr>
                <w:rFonts w:ascii="Times New Roman" w:hAnsi="Times New Roman" w:cs="Times New Roman"/>
                <w:bCs/>
                <w:sz w:val="28"/>
                <w:szCs w:val="28"/>
              </w:rPr>
              <w:t>Алматы</w:t>
            </w:r>
          </w:p>
        </w:tc>
        <w:tc>
          <w:tcPr>
            <w:tcW w:w="703" w:type="dxa"/>
          </w:tcPr>
          <w:p w14:paraId="69064E20" w14:textId="6E607E6D" w:rsidR="003E3D51" w:rsidRPr="00570909" w:rsidRDefault="003E3D51"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sidRPr="00570909">
              <w:rPr>
                <w:rFonts w:ascii="Times New Roman" w:hAnsi="Times New Roman" w:cs="Times New Roman"/>
                <w:sz w:val="28"/>
                <w:szCs w:val="28"/>
              </w:rPr>
              <w:t>1</w:t>
            </w:r>
            <w:r w:rsidR="00D1312D">
              <w:rPr>
                <w:rFonts w:ascii="Times New Roman" w:hAnsi="Times New Roman" w:cs="Times New Roman"/>
                <w:sz w:val="28"/>
                <w:szCs w:val="28"/>
              </w:rPr>
              <w:t>93</w:t>
            </w:r>
          </w:p>
        </w:tc>
      </w:tr>
      <w:tr w:rsidR="003E3D51" w:rsidRPr="00570909" w14:paraId="7DE9C6C3" w14:textId="77777777" w:rsidTr="00B83502">
        <w:tc>
          <w:tcPr>
            <w:tcW w:w="9209" w:type="dxa"/>
          </w:tcPr>
          <w:p w14:paraId="7E90170A" w14:textId="0B8D7FED" w:rsidR="003E3D51" w:rsidRPr="00570909" w:rsidRDefault="003E3D51" w:rsidP="003E3D51">
            <w:pPr>
              <w:autoSpaceDE w:val="0"/>
              <w:autoSpaceDN w:val="0"/>
              <w:adjustRightInd w:val="0"/>
              <w:spacing w:after="0" w:line="240" w:lineRule="auto"/>
              <w:jc w:val="both"/>
              <w:rPr>
                <w:rFonts w:ascii="Times New Roman" w:hAnsi="Times New Roman" w:cs="Times New Roman"/>
                <w:bCs/>
                <w:sz w:val="28"/>
                <w:szCs w:val="28"/>
              </w:rPr>
            </w:pPr>
            <w:r w:rsidRPr="00570909">
              <w:rPr>
                <w:rFonts w:ascii="Times New Roman" w:hAnsi="Times New Roman" w:cs="Times New Roman"/>
                <w:bCs/>
                <w:iCs/>
                <w:sz w:val="28"/>
                <w:szCs w:val="28"/>
              </w:rPr>
              <w:t>5.1.2</w:t>
            </w:r>
            <w:r w:rsidRPr="00570909">
              <w:rPr>
                <w:rFonts w:ascii="Times New Roman" w:hAnsi="Times New Roman" w:cs="Times New Roman"/>
                <w:bCs/>
                <w:iCs/>
                <w:sz w:val="28"/>
                <w:szCs w:val="28"/>
                <w:lang w:val="kk-KZ"/>
              </w:rPr>
              <w:t xml:space="preserve"> </w:t>
            </w:r>
            <w:r w:rsidRPr="00570909">
              <w:rPr>
                <w:rFonts w:ascii="Times New Roman" w:hAnsi="Times New Roman" w:cs="Times New Roman"/>
                <w:sz w:val="28"/>
                <w:szCs w:val="28"/>
              </w:rPr>
              <w:t>Нормативно- правовые акты, регламентирующие межсекторальное сотрудничество и межведомственные меры против СД2т</w:t>
            </w:r>
          </w:p>
        </w:tc>
        <w:tc>
          <w:tcPr>
            <w:tcW w:w="703" w:type="dxa"/>
          </w:tcPr>
          <w:p w14:paraId="78D0D0DE" w14:textId="44198286" w:rsidR="003E3D51" w:rsidRPr="00570909" w:rsidRDefault="00D1312D"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194</w:t>
            </w:r>
          </w:p>
        </w:tc>
      </w:tr>
      <w:tr w:rsidR="003E3D51" w:rsidRPr="00570909" w14:paraId="0C935B66" w14:textId="77777777" w:rsidTr="00B83502">
        <w:tc>
          <w:tcPr>
            <w:tcW w:w="9209" w:type="dxa"/>
          </w:tcPr>
          <w:p w14:paraId="6984BA89" w14:textId="19A289CF" w:rsidR="003E3D51" w:rsidRPr="00570909" w:rsidRDefault="003E3D51" w:rsidP="003E3D51">
            <w:pPr>
              <w:autoSpaceDE w:val="0"/>
              <w:autoSpaceDN w:val="0"/>
              <w:adjustRightInd w:val="0"/>
              <w:spacing w:after="0" w:line="240" w:lineRule="auto"/>
              <w:jc w:val="both"/>
              <w:rPr>
                <w:rFonts w:ascii="Times New Roman" w:hAnsi="Times New Roman" w:cs="Times New Roman"/>
                <w:sz w:val="28"/>
                <w:szCs w:val="28"/>
              </w:rPr>
            </w:pPr>
            <w:r w:rsidRPr="00570909">
              <w:rPr>
                <w:rFonts w:ascii="Times New Roman" w:hAnsi="Times New Roman" w:cs="Times New Roman"/>
                <w:bCs/>
                <w:iCs/>
                <w:sz w:val="28"/>
                <w:szCs w:val="28"/>
              </w:rPr>
              <w:t>5.1.3</w:t>
            </w:r>
            <w:r w:rsidRPr="00570909">
              <w:rPr>
                <w:rFonts w:ascii="Times New Roman" w:hAnsi="Times New Roman" w:cs="Times New Roman"/>
                <w:bCs/>
                <w:iCs/>
                <w:sz w:val="28"/>
                <w:szCs w:val="28"/>
                <w:lang w:val="kk-KZ"/>
              </w:rPr>
              <w:t xml:space="preserve"> </w:t>
            </w:r>
            <w:r w:rsidRPr="00570909">
              <w:rPr>
                <w:rFonts w:ascii="Times New Roman" w:hAnsi="Times New Roman" w:cs="Times New Roman"/>
                <w:sz w:val="28"/>
                <w:szCs w:val="28"/>
              </w:rPr>
              <w:t>Нормативно- правовые акты, регламентирующие организацию медицинской помощи пациентам с СД2т</w:t>
            </w:r>
          </w:p>
        </w:tc>
        <w:tc>
          <w:tcPr>
            <w:tcW w:w="703" w:type="dxa"/>
          </w:tcPr>
          <w:p w14:paraId="23F51780" w14:textId="21EB44D4" w:rsidR="003E3D51" w:rsidRPr="00570909" w:rsidRDefault="003E3D51"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sidRPr="00570909">
              <w:rPr>
                <w:rFonts w:ascii="Times New Roman" w:hAnsi="Times New Roman" w:cs="Times New Roman"/>
                <w:sz w:val="28"/>
                <w:szCs w:val="28"/>
              </w:rPr>
              <w:t>1</w:t>
            </w:r>
            <w:r w:rsidR="00D1312D">
              <w:rPr>
                <w:rFonts w:ascii="Times New Roman" w:hAnsi="Times New Roman" w:cs="Times New Roman"/>
                <w:sz w:val="28"/>
                <w:szCs w:val="28"/>
              </w:rPr>
              <w:t>9</w:t>
            </w:r>
            <w:r w:rsidRPr="00570909">
              <w:rPr>
                <w:rFonts w:ascii="Times New Roman" w:hAnsi="Times New Roman" w:cs="Times New Roman"/>
                <w:sz w:val="28"/>
                <w:szCs w:val="28"/>
              </w:rPr>
              <w:t>7</w:t>
            </w:r>
          </w:p>
        </w:tc>
      </w:tr>
      <w:tr w:rsidR="003E3D51" w:rsidRPr="00570909" w14:paraId="31673C9D" w14:textId="77777777" w:rsidTr="00B83502">
        <w:tc>
          <w:tcPr>
            <w:tcW w:w="9209" w:type="dxa"/>
          </w:tcPr>
          <w:p w14:paraId="2DA5EEC6" w14:textId="4690E639" w:rsidR="003E3D51" w:rsidRPr="00570909" w:rsidRDefault="003E3D51" w:rsidP="003E3D51">
            <w:pPr>
              <w:autoSpaceDE w:val="0"/>
              <w:autoSpaceDN w:val="0"/>
              <w:adjustRightInd w:val="0"/>
              <w:spacing w:after="0" w:line="240" w:lineRule="auto"/>
              <w:rPr>
                <w:rFonts w:ascii="Times New Roman" w:hAnsi="Times New Roman" w:cs="Times New Roman"/>
                <w:spacing w:val="2"/>
                <w:sz w:val="28"/>
                <w:szCs w:val="28"/>
              </w:rPr>
            </w:pPr>
            <w:r w:rsidRPr="00570909">
              <w:rPr>
                <w:rFonts w:ascii="Times New Roman" w:hAnsi="Times New Roman" w:cs="Times New Roman"/>
                <w:bCs/>
                <w:iCs/>
                <w:sz w:val="28"/>
                <w:szCs w:val="28"/>
              </w:rPr>
              <w:t>5.1.4</w:t>
            </w:r>
            <w:r w:rsidRPr="00570909">
              <w:rPr>
                <w:rFonts w:ascii="Times New Roman" w:hAnsi="Times New Roman" w:cs="Times New Roman"/>
                <w:bCs/>
                <w:iCs/>
                <w:sz w:val="28"/>
                <w:szCs w:val="28"/>
                <w:lang w:val="kk-KZ"/>
              </w:rPr>
              <w:t xml:space="preserve"> </w:t>
            </w:r>
            <w:r w:rsidRPr="00570909">
              <w:rPr>
                <w:rFonts w:ascii="Times New Roman" w:hAnsi="Times New Roman" w:cs="Times New Roman"/>
                <w:spacing w:val="2"/>
                <w:sz w:val="28"/>
                <w:szCs w:val="28"/>
              </w:rPr>
              <w:t>Существующие модели оказания помощи при СД2т</w:t>
            </w:r>
          </w:p>
        </w:tc>
        <w:tc>
          <w:tcPr>
            <w:tcW w:w="703" w:type="dxa"/>
          </w:tcPr>
          <w:p w14:paraId="51C5EECE" w14:textId="6DB7347D" w:rsidR="003E3D51" w:rsidRPr="00570909" w:rsidRDefault="00D1312D"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201</w:t>
            </w:r>
          </w:p>
        </w:tc>
      </w:tr>
      <w:tr w:rsidR="003E3D51" w:rsidRPr="00570909" w14:paraId="2E557F92" w14:textId="77777777" w:rsidTr="00B83502">
        <w:tc>
          <w:tcPr>
            <w:tcW w:w="9209" w:type="dxa"/>
          </w:tcPr>
          <w:p w14:paraId="2089DB5F" w14:textId="15DF16E6" w:rsidR="003E3D51" w:rsidRPr="00570909" w:rsidRDefault="003E3D51" w:rsidP="003E3D51">
            <w:pPr>
              <w:autoSpaceDE w:val="0"/>
              <w:autoSpaceDN w:val="0"/>
              <w:adjustRightInd w:val="0"/>
              <w:spacing w:after="0" w:line="240" w:lineRule="auto"/>
              <w:jc w:val="both"/>
              <w:rPr>
                <w:rFonts w:ascii="Times New Roman" w:hAnsi="Times New Roman" w:cs="Times New Roman"/>
                <w:bCs/>
                <w:sz w:val="28"/>
                <w:szCs w:val="28"/>
              </w:rPr>
            </w:pPr>
            <w:r w:rsidRPr="00570909">
              <w:rPr>
                <w:rFonts w:ascii="Times New Roman" w:hAnsi="Times New Roman" w:cs="Times New Roman"/>
                <w:bCs/>
                <w:iCs/>
                <w:sz w:val="28"/>
                <w:szCs w:val="28"/>
              </w:rPr>
              <w:t>5.1.5</w:t>
            </w:r>
            <w:r w:rsidRPr="00570909">
              <w:rPr>
                <w:rFonts w:ascii="Times New Roman" w:hAnsi="Times New Roman" w:cs="Times New Roman"/>
                <w:bCs/>
                <w:iCs/>
                <w:sz w:val="28"/>
                <w:szCs w:val="28"/>
                <w:lang w:val="kk-KZ"/>
              </w:rPr>
              <w:t xml:space="preserve"> </w:t>
            </w:r>
            <w:r w:rsidRPr="00570909">
              <w:rPr>
                <w:rFonts w:ascii="Times New Roman" w:hAnsi="Times New Roman" w:cs="Times New Roman"/>
                <w:sz w:val="28"/>
                <w:szCs w:val="28"/>
                <w:lang w:val="en-US"/>
              </w:rPr>
              <w:t>SWOT</w:t>
            </w:r>
            <w:r w:rsidRPr="00570909">
              <w:rPr>
                <w:rFonts w:ascii="Times New Roman" w:hAnsi="Times New Roman" w:cs="Times New Roman"/>
                <w:sz w:val="28"/>
                <w:szCs w:val="28"/>
              </w:rPr>
              <w:t xml:space="preserve"> анализ </w:t>
            </w:r>
            <w:r w:rsidRPr="00570909">
              <w:rPr>
                <w:rFonts w:ascii="Times New Roman" w:eastAsia="Times New Roman" w:hAnsi="Times New Roman" w:cs="Times New Roman"/>
                <w:sz w:val="28"/>
                <w:szCs w:val="28"/>
              </w:rPr>
              <w:t>нормативных документов, модели, клинического протокола, программ по оказанию медицинской помощи и межсекторального сотрудничества при СД2т</w:t>
            </w:r>
          </w:p>
        </w:tc>
        <w:tc>
          <w:tcPr>
            <w:tcW w:w="703" w:type="dxa"/>
          </w:tcPr>
          <w:p w14:paraId="75D4C955" w14:textId="77777777" w:rsidR="00D1312D" w:rsidRDefault="00D1312D" w:rsidP="004135FE">
            <w:pPr>
              <w:autoSpaceDE w:val="0"/>
              <w:autoSpaceDN w:val="0"/>
              <w:adjustRightInd w:val="0"/>
              <w:spacing w:after="0" w:line="240" w:lineRule="auto"/>
              <w:jc w:val="center"/>
              <w:rPr>
                <w:rFonts w:ascii="Times New Roman" w:hAnsi="Times New Roman" w:cs="Times New Roman"/>
                <w:sz w:val="28"/>
                <w:szCs w:val="28"/>
              </w:rPr>
            </w:pPr>
          </w:p>
          <w:p w14:paraId="63B192B1" w14:textId="22D9DEE0" w:rsidR="003E3D51" w:rsidRPr="00570909" w:rsidRDefault="00D1312D"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sz w:val="28"/>
                <w:szCs w:val="28"/>
              </w:rPr>
              <w:t>20</w:t>
            </w:r>
            <w:r w:rsidR="00AE2E62">
              <w:rPr>
                <w:rFonts w:ascii="Times New Roman" w:hAnsi="Times New Roman" w:cs="Times New Roman"/>
                <w:sz w:val="28"/>
                <w:szCs w:val="28"/>
              </w:rPr>
              <w:t>5</w:t>
            </w:r>
          </w:p>
        </w:tc>
      </w:tr>
      <w:tr w:rsidR="003E3D51" w:rsidRPr="00570909" w14:paraId="6FF50D9E" w14:textId="77777777" w:rsidTr="00B83502">
        <w:tc>
          <w:tcPr>
            <w:tcW w:w="9209" w:type="dxa"/>
          </w:tcPr>
          <w:p w14:paraId="5DC7C3DE" w14:textId="47FAF188" w:rsidR="003E3D51" w:rsidRPr="00570909" w:rsidRDefault="003E3D51" w:rsidP="003E3D51">
            <w:pPr>
              <w:autoSpaceDE w:val="0"/>
              <w:autoSpaceDN w:val="0"/>
              <w:adjustRightInd w:val="0"/>
              <w:spacing w:after="0" w:line="240" w:lineRule="auto"/>
              <w:rPr>
                <w:rFonts w:ascii="Times New Roman" w:hAnsi="Times New Roman" w:cs="Times New Roman"/>
                <w:sz w:val="28"/>
                <w:szCs w:val="28"/>
              </w:rPr>
            </w:pPr>
            <w:r w:rsidRPr="00570909">
              <w:rPr>
                <w:rFonts w:ascii="Times New Roman" w:hAnsi="Times New Roman" w:cs="Times New Roman"/>
                <w:sz w:val="28"/>
                <w:szCs w:val="28"/>
              </w:rPr>
              <w:t>5.2</w:t>
            </w:r>
            <w:r w:rsidRPr="00570909">
              <w:rPr>
                <w:rFonts w:ascii="Times New Roman" w:hAnsi="Times New Roman" w:cs="Times New Roman"/>
                <w:sz w:val="28"/>
                <w:szCs w:val="28"/>
                <w:lang w:val="kk-KZ"/>
              </w:rPr>
              <w:t xml:space="preserve"> </w:t>
            </w:r>
            <w:r w:rsidRPr="00570909">
              <w:rPr>
                <w:rFonts w:ascii="Times New Roman" w:hAnsi="Times New Roman" w:cs="Times New Roman"/>
                <w:sz w:val="28"/>
                <w:szCs w:val="28"/>
              </w:rPr>
              <w:t>Предложения к совершенствованию оказания медицинской помощи и межсекторального сотрудничества при СД2т</w:t>
            </w:r>
          </w:p>
        </w:tc>
        <w:tc>
          <w:tcPr>
            <w:tcW w:w="703" w:type="dxa"/>
          </w:tcPr>
          <w:p w14:paraId="53B2084B" w14:textId="1E6A7876" w:rsidR="003E3D51" w:rsidRPr="00570909" w:rsidRDefault="00D1312D" w:rsidP="004135FE">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222</w:t>
            </w:r>
          </w:p>
        </w:tc>
      </w:tr>
      <w:tr w:rsidR="00AE2E62" w:rsidRPr="00570909" w14:paraId="5B54F2CD" w14:textId="77777777" w:rsidTr="00B83502">
        <w:tc>
          <w:tcPr>
            <w:tcW w:w="9209" w:type="dxa"/>
          </w:tcPr>
          <w:p w14:paraId="598C9CC8" w14:textId="73063060" w:rsidR="00AE2E62" w:rsidRPr="00AE2E62" w:rsidRDefault="00AE2E62" w:rsidP="003E3D51">
            <w:pPr>
              <w:autoSpaceDE w:val="0"/>
              <w:autoSpaceDN w:val="0"/>
              <w:adjustRightInd w:val="0"/>
              <w:spacing w:after="0" w:line="240" w:lineRule="auto"/>
              <w:rPr>
                <w:rFonts w:ascii="Times New Roman" w:hAnsi="Times New Roman" w:cs="Times New Roman"/>
                <w:sz w:val="28"/>
                <w:szCs w:val="28"/>
                <w:highlight w:val="red"/>
              </w:rPr>
            </w:pPr>
            <w:r w:rsidRPr="00F75D95">
              <w:rPr>
                <w:rFonts w:ascii="Times New Roman" w:hAnsi="Times New Roman" w:cs="Times New Roman"/>
                <w:sz w:val="28"/>
                <w:szCs w:val="28"/>
              </w:rPr>
              <w:t>Выводы по 5 разделу</w:t>
            </w:r>
          </w:p>
        </w:tc>
        <w:tc>
          <w:tcPr>
            <w:tcW w:w="703" w:type="dxa"/>
          </w:tcPr>
          <w:p w14:paraId="02679893" w14:textId="59FE0B59" w:rsidR="00AE2E62" w:rsidRPr="00AE2E62" w:rsidRDefault="00F75D95" w:rsidP="004135FE">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249</w:t>
            </w:r>
          </w:p>
        </w:tc>
      </w:tr>
      <w:tr w:rsidR="009211A6" w:rsidRPr="00570909" w14:paraId="34362E5E" w14:textId="77777777" w:rsidTr="00B83502">
        <w:tc>
          <w:tcPr>
            <w:tcW w:w="9209" w:type="dxa"/>
          </w:tcPr>
          <w:p w14:paraId="27186794" w14:textId="760C3155" w:rsidR="009211A6" w:rsidRPr="00570909" w:rsidRDefault="009211A6" w:rsidP="004135FE">
            <w:pPr>
              <w:spacing w:after="0" w:line="240" w:lineRule="auto"/>
              <w:jc w:val="both"/>
              <w:rPr>
                <w:rFonts w:ascii="Times New Roman" w:hAnsi="Times New Roman" w:cs="Times New Roman"/>
                <w:b/>
                <w:sz w:val="28"/>
                <w:szCs w:val="28"/>
              </w:rPr>
            </w:pPr>
            <w:r w:rsidRPr="00570909">
              <w:rPr>
                <w:rFonts w:ascii="Times New Roman" w:hAnsi="Times New Roman" w:cs="Times New Roman"/>
                <w:b/>
                <w:sz w:val="28"/>
                <w:szCs w:val="28"/>
              </w:rPr>
              <w:t>ЗАКЛЮЧЕНИЕ</w:t>
            </w:r>
          </w:p>
        </w:tc>
        <w:tc>
          <w:tcPr>
            <w:tcW w:w="703" w:type="dxa"/>
          </w:tcPr>
          <w:p w14:paraId="6E4A51EF" w14:textId="11B11FB1" w:rsidR="009211A6" w:rsidRPr="00570909" w:rsidRDefault="00D1312D" w:rsidP="004135FE">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250</w:t>
            </w:r>
          </w:p>
        </w:tc>
      </w:tr>
      <w:tr w:rsidR="009211A6" w:rsidRPr="00570909" w14:paraId="3A036C76" w14:textId="77777777" w:rsidTr="00B83502">
        <w:tc>
          <w:tcPr>
            <w:tcW w:w="9209" w:type="dxa"/>
          </w:tcPr>
          <w:p w14:paraId="1D3A8FB3" w14:textId="77777777" w:rsidR="009211A6" w:rsidRPr="00570909" w:rsidRDefault="009211A6" w:rsidP="004135FE">
            <w:pPr>
              <w:spacing w:after="0" w:line="240" w:lineRule="auto"/>
              <w:jc w:val="both"/>
              <w:rPr>
                <w:rFonts w:ascii="Times New Roman" w:hAnsi="Times New Roman" w:cs="Times New Roman"/>
                <w:b/>
                <w:sz w:val="28"/>
                <w:szCs w:val="28"/>
              </w:rPr>
            </w:pPr>
            <w:r w:rsidRPr="00570909">
              <w:rPr>
                <w:rFonts w:ascii="Times New Roman" w:hAnsi="Times New Roman" w:cs="Times New Roman"/>
                <w:b/>
                <w:sz w:val="28"/>
                <w:szCs w:val="28"/>
              </w:rPr>
              <w:t>СПИСОК ИСПОЛЬЗОВАННЫХ ИСТОЧНИКОВ</w:t>
            </w:r>
          </w:p>
        </w:tc>
        <w:tc>
          <w:tcPr>
            <w:tcW w:w="703" w:type="dxa"/>
          </w:tcPr>
          <w:p w14:paraId="6AA794C6" w14:textId="0EEE72F0" w:rsidR="009211A6" w:rsidRPr="00570909" w:rsidRDefault="00D1312D" w:rsidP="004135FE">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253</w:t>
            </w:r>
          </w:p>
        </w:tc>
      </w:tr>
      <w:tr w:rsidR="009211A6" w:rsidRPr="004135FE" w14:paraId="0A43A255" w14:textId="77777777" w:rsidTr="00B83502">
        <w:tc>
          <w:tcPr>
            <w:tcW w:w="9209" w:type="dxa"/>
          </w:tcPr>
          <w:p w14:paraId="3064C05D" w14:textId="52DAB92B" w:rsidR="009211A6" w:rsidRPr="00570909" w:rsidRDefault="003E3D51" w:rsidP="004135FE">
            <w:pPr>
              <w:spacing w:after="0" w:line="240" w:lineRule="auto"/>
              <w:jc w:val="both"/>
              <w:rPr>
                <w:rFonts w:ascii="Times New Roman" w:hAnsi="Times New Roman" w:cs="Times New Roman"/>
                <w:b/>
                <w:sz w:val="28"/>
                <w:szCs w:val="28"/>
                <w:lang w:val="kk-KZ"/>
              </w:rPr>
            </w:pPr>
            <w:r w:rsidRPr="00570909">
              <w:rPr>
                <w:rFonts w:ascii="Times New Roman" w:hAnsi="Times New Roman" w:cs="Times New Roman"/>
                <w:b/>
                <w:sz w:val="28"/>
                <w:szCs w:val="28"/>
              </w:rPr>
              <w:t>ПРИЛОЖЕНИ</w:t>
            </w:r>
            <w:r w:rsidRPr="00570909">
              <w:rPr>
                <w:rFonts w:ascii="Times New Roman" w:hAnsi="Times New Roman" w:cs="Times New Roman"/>
                <w:b/>
                <w:sz w:val="28"/>
                <w:szCs w:val="28"/>
                <w:lang w:val="kk-KZ"/>
              </w:rPr>
              <w:t>Я</w:t>
            </w:r>
          </w:p>
        </w:tc>
        <w:tc>
          <w:tcPr>
            <w:tcW w:w="703" w:type="dxa"/>
          </w:tcPr>
          <w:p w14:paraId="24346CEE" w14:textId="75E0F2ED" w:rsidR="009211A6" w:rsidRPr="00570909" w:rsidRDefault="00AE2E62" w:rsidP="004135FE">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268</w:t>
            </w:r>
          </w:p>
        </w:tc>
      </w:tr>
    </w:tbl>
    <w:p w14:paraId="2CED3BB7" w14:textId="77777777" w:rsidR="009211A6" w:rsidRPr="004135FE" w:rsidRDefault="009211A6" w:rsidP="004135FE">
      <w:pPr>
        <w:spacing w:after="0" w:line="240" w:lineRule="auto"/>
        <w:jc w:val="center"/>
        <w:rPr>
          <w:rFonts w:ascii="Times New Roman" w:hAnsi="Times New Roman" w:cs="Times New Roman"/>
          <w:sz w:val="28"/>
          <w:szCs w:val="28"/>
        </w:rPr>
      </w:pPr>
    </w:p>
    <w:p w14:paraId="24189806" w14:textId="77777777" w:rsidR="009211A6" w:rsidRPr="004135FE" w:rsidRDefault="009211A6"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5E8CEF07" w14:textId="77777777" w:rsidR="009211A6" w:rsidRPr="004135FE" w:rsidRDefault="009211A6"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5FBAB901" w14:textId="77777777" w:rsidR="009211A6" w:rsidRPr="004135FE" w:rsidRDefault="009211A6"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5D8FE2BC" w14:textId="77777777" w:rsidR="00EC71C2" w:rsidRPr="00EC71C2" w:rsidRDefault="00EC71C2" w:rsidP="00EC71C2">
      <w:pPr>
        <w:autoSpaceDE w:val="0"/>
        <w:autoSpaceDN w:val="0"/>
        <w:adjustRightInd w:val="0"/>
        <w:spacing w:after="0" w:line="240" w:lineRule="auto"/>
        <w:jc w:val="center"/>
        <w:rPr>
          <w:rFonts w:ascii="Times New Roman" w:eastAsiaTheme="minorHAnsi" w:hAnsi="Times New Roman" w:cs="Times New Roman"/>
          <w:b/>
          <w:bCs/>
          <w:sz w:val="28"/>
          <w:szCs w:val="28"/>
          <w:lang w:eastAsia="en-US"/>
        </w:rPr>
      </w:pPr>
      <w:r w:rsidRPr="00EC71C2">
        <w:rPr>
          <w:rFonts w:ascii="Times New Roman" w:eastAsiaTheme="minorHAnsi" w:hAnsi="Times New Roman" w:cs="Times New Roman"/>
          <w:b/>
          <w:bCs/>
          <w:sz w:val="28"/>
          <w:szCs w:val="28"/>
          <w:lang w:eastAsia="en-US"/>
        </w:rPr>
        <w:lastRenderedPageBreak/>
        <w:t>НОРМАТИВНЫЕ ССЫЛКИ</w:t>
      </w:r>
    </w:p>
    <w:p w14:paraId="01BB94FC" w14:textId="77777777" w:rsidR="003E3D51" w:rsidRPr="004135FE" w:rsidRDefault="003E3D51" w:rsidP="004135FE">
      <w:pPr>
        <w:autoSpaceDE w:val="0"/>
        <w:autoSpaceDN w:val="0"/>
        <w:adjustRightInd w:val="0"/>
        <w:spacing w:after="0" w:line="240" w:lineRule="auto"/>
        <w:jc w:val="center"/>
        <w:rPr>
          <w:rFonts w:ascii="Times New Roman" w:eastAsiaTheme="minorHAnsi" w:hAnsi="Times New Roman" w:cs="Times New Roman"/>
          <w:sz w:val="28"/>
          <w:szCs w:val="28"/>
          <w:lang w:eastAsia="en-US"/>
        </w:rPr>
      </w:pPr>
    </w:p>
    <w:p w14:paraId="3DD8766F" w14:textId="77777777" w:rsidR="009211A6" w:rsidRPr="004135FE" w:rsidRDefault="009211A6" w:rsidP="00EC71C2">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В диссертационной работе использованы ссылки на следующие нормативно- правовые акты РК:</w:t>
      </w:r>
    </w:p>
    <w:p w14:paraId="3444670D"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Кодекс РК «О здоровье народа и системе здравоохранения», 07.07.2020г № 360- </w:t>
      </w:r>
      <w:r w:rsidRPr="004135FE">
        <w:rPr>
          <w:rFonts w:ascii="Times New Roman" w:hAnsi="Times New Roman" w:cs="Times New Roman"/>
          <w:sz w:val="28"/>
          <w:szCs w:val="28"/>
          <w:lang w:val="en-US"/>
        </w:rPr>
        <w:t>VI</w:t>
      </w:r>
      <w:r w:rsidRPr="004135FE">
        <w:rPr>
          <w:rFonts w:ascii="Times New Roman" w:hAnsi="Times New Roman" w:cs="Times New Roman"/>
          <w:sz w:val="28"/>
          <w:szCs w:val="28"/>
        </w:rPr>
        <w:t xml:space="preserve"> ЗРК</w:t>
      </w:r>
    </w:p>
    <w:p w14:paraId="3F3238B0"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Государственная программа развития здравоохранения РК «Саламатты Казахстна на 2011-2015гг»</w:t>
      </w:r>
      <w:r w:rsidRPr="004135FE">
        <w:rPr>
          <w:rFonts w:ascii="Times New Roman" w:hAnsi="Times New Roman" w:cs="Times New Roman"/>
          <w:bCs/>
          <w:sz w:val="28"/>
          <w:szCs w:val="28"/>
        </w:rPr>
        <w:t>, утвержденная Указом Президента РК №1113 от 29.11.10 г.;</w:t>
      </w:r>
    </w:p>
    <w:p w14:paraId="04B57F0C"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Государственная программа развития здравоохранения РК «Денсаулык на 2016-2019гг»</w:t>
      </w:r>
      <w:r w:rsidRPr="004135FE">
        <w:rPr>
          <w:rFonts w:ascii="Times New Roman" w:hAnsi="Times New Roman" w:cs="Times New Roman"/>
          <w:bCs/>
          <w:sz w:val="28"/>
          <w:szCs w:val="28"/>
        </w:rPr>
        <w:t>, утвержденная Постановлением Правительства РК от 16 марта 2016 года №143, и внесены дополнения Постановлением Правительства РК от 15 октября 2018 г №634</w:t>
      </w:r>
    </w:p>
    <w:p w14:paraId="41D7B14C"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Государственная программа развития здравоохранения РК на 2020-2025годы</w:t>
      </w:r>
      <w:r w:rsidRPr="004135FE">
        <w:rPr>
          <w:rFonts w:ascii="Times New Roman" w:hAnsi="Times New Roman" w:cs="Times New Roman"/>
          <w:bCs/>
          <w:sz w:val="28"/>
          <w:szCs w:val="28"/>
        </w:rPr>
        <w:t xml:space="preserve"> утвержденная Постановлением Правительства РК от 26 декабря 2019г №982, и внесены дополнения Постановлением Правительства РК от 12 октября 2021 г №725</w:t>
      </w:r>
    </w:p>
    <w:p w14:paraId="0AB98475"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Приказ Агентства РК по делам здравоохранения от 18 августа 2000г №524 О реализации </w:t>
      </w:r>
      <w:r w:rsidRPr="004135FE">
        <w:rPr>
          <w:rFonts w:ascii="Times New Roman" w:hAnsi="Times New Roman" w:cs="Times New Roman"/>
          <w:bCs/>
          <w:sz w:val="28"/>
          <w:szCs w:val="28"/>
        </w:rPr>
        <w:t>Постановления Правительства РК «Об утверждении целевой комплексной программы «Диабет» от 30 июня 2000г №978</w:t>
      </w:r>
    </w:p>
    <w:p w14:paraId="0A1B39CD"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Постановление Правительства РК №2136 от 15.12.09 г. «Об утверждении перечня гарантированного объема бесплатной медицинской помощи».</w:t>
      </w:r>
    </w:p>
    <w:p w14:paraId="518510EA"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Приказ Министра здравоохранения Республики Казахстан №238 от 07.04.10 г. «Типовые штаты и штатные нормативы организации здравоохранения»</w:t>
      </w:r>
    </w:p>
    <w:p w14:paraId="78E6B79F"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bCs/>
          <w:sz w:val="28"/>
          <w:szCs w:val="28"/>
        </w:rPr>
        <w:t xml:space="preserve">Приказ </w:t>
      </w:r>
      <w:r w:rsidRPr="004135FE">
        <w:rPr>
          <w:rFonts w:ascii="Times New Roman" w:hAnsi="Times New Roman" w:cs="Times New Roman"/>
          <w:sz w:val="28"/>
          <w:szCs w:val="28"/>
        </w:rPr>
        <w:t xml:space="preserve">Министра здравоохранения Республики Казахстан </w:t>
      </w:r>
      <w:r w:rsidRPr="004135FE">
        <w:rPr>
          <w:rFonts w:ascii="Times New Roman" w:hAnsi="Times New Roman" w:cs="Times New Roman"/>
          <w:bCs/>
          <w:sz w:val="28"/>
          <w:szCs w:val="28"/>
        </w:rPr>
        <w:t>№364 от 25.05.12 г. «Об утверждении Положения о деятельности организаций здравоохранения, оказывающих эндокринологическую помощь населении РК».</w:t>
      </w:r>
    </w:p>
    <w:p w14:paraId="461F4E11" w14:textId="77777777" w:rsidR="009211A6" w:rsidRPr="004135FE" w:rsidRDefault="009211A6">
      <w:pPr>
        <w:numPr>
          <w:ilvl w:val="0"/>
          <w:numId w:val="71"/>
        </w:numPr>
        <w:tabs>
          <w:tab w:val="left" w:pos="993"/>
          <w:tab w:val="left" w:pos="1134"/>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bCs/>
          <w:sz w:val="28"/>
          <w:szCs w:val="28"/>
        </w:rPr>
        <w:t xml:space="preserve">Приказ </w:t>
      </w:r>
      <w:r w:rsidRPr="004135FE">
        <w:rPr>
          <w:rFonts w:ascii="Times New Roman" w:eastAsiaTheme="minorHAnsi" w:hAnsi="Times New Roman" w:cs="Times New Roman"/>
          <w:sz w:val="28"/>
          <w:szCs w:val="28"/>
          <w:lang w:eastAsia="en-US"/>
        </w:rPr>
        <w:t>Министра здравоохранения и социального развития Республики Казахстан</w:t>
      </w:r>
      <w:r w:rsidRPr="004135FE">
        <w:rPr>
          <w:rFonts w:ascii="Times New Roman" w:hAnsi="Times New Roman" w:cs="Times New Roman"/>
          <w:bCs/>
          <w:sz w:val="28"/>
          <w:szCs w:val="28"/>
        </w:rPr>
        <w:t xml:space="preserve"> №487 от 06.06.16 г. «Об утверждении Стандарта организации</w:t>
      </w:r>
      <w:r w:rsidRPr="004135FE">
        <w:rPr>
          <w:rFonts w:ascii="Times New Roman" w:hAnsi="Times New Roman" w:cs="Times New Roman"/>
          <w:sz w:val="28"/>
          <w:szCs w:val="28"/>
        </w:rPr>
        <w:t xml:space="preserve"> оказания </w:t>
      </w:r>
      <w:r w:rsidRPr="004135FE">
        <w:rPr>
          <w:rFonts w:ascii="Times New Roman" w:hAnsi="Times New Roman" w:cs="Times New Roman"/>
          <w:bCs/>
          <w:sz w:val="28"/>
          <w:szCs w:val="28"/>
        </w:rPr>
        <w:t>эндокринологической помощи в РК».</w:t>
      </w:r>
    </w:p>
    <w:p w14:paraId="3A02AD08"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Приказ Министра здравоохранения и социального развития Республики Казахстан №7 от 05.01.11 г. «Об утверждении Положения о деятельности организаций здравоохранения, оказывающих амбулаторно-поликлиническую помощь».</w:t>
      </w:r>
    </w:p>
    <w:p w14:paraId="13B4D0FE"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Приказ Министра здравоохранения и социального развития Республики Казахстан №281 от 28.04.15 г. «</w:t>
      </w:r>
      <w:hyperlink r:id="rId8" w:history="1">
        <w:r w:rsidRPr="004135FE">
          <w:rPr>
            <w:rStyle w:val="details-value"/>
            <w:rFonts w:ascii="Times New Roman" w:hAnsi="Times New Roman" w:cs="Times New Roman"/>
            <w:sz w:val="28"/>
            <w:szCs w:val="28"/>
          </w:rPr>
          <w:t>Об утверждении Правил оказания первичной медико-санитарной помощи и Правил прикрепления граждан к организациям первичной медико-санитарной помощи</w:t>
        </w:r>
      </w:hyperlink>
      <w:r w:rsidRPr="004135FE">
        <w:rPr>
          <w:rFonts w:ascii="Times New Roman" w:hAnsi="Times New Roman" w:cs="Times New Roman"/>
          <w:sz w:val="28"/>
          <w:szCs w:val="28"/>
        </w:rPr>
        <w:t>»</w:t>
      </w:r>
    </w:p>
    <w:p w14:paraId="1AC265E2"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Приказ УЗ г.Алматы №475 от 29.12.17 г. «О вопросах госпитализации».</w:t>
      </w:r>
    </w:p>
    <w:p w14:paraId="2ECB5F20"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lastRenderedPageBreak/>
        <w:t>Приказ Министра здравоохранения Республики Казахстан от 29 августа 2017 года № 666 «</w:t>
      </w:r>
      <w:r w:rsidRPr="004135FE">
        <w:rPr>
          <w:rFonts w:ascii="Times New Roman" w:hAnsi="Times New Roman" w:cs="Times New Roman"/>
          <w:bCs/>
          <w:sz w:val="28"/>
          <w:szCs w:val="28"/>
        </w:rPr>
        <w:t>Об утверждении Перечня лекарственных средств и изделий медицинского назначения для обеспечения граждан в рамках гарантированного объема бесплатной медицинской помощи и в системе обязательного социального медицинского страхования, в том числе отдельных категорий граждан с определенными заболеваниями (состояниями) бесплатными и (или) льготными лекарственными средствами, изделиями медицинского назначения и специализированными лечебными продуктами на амбулаторном уровне.</w:t>
      </w:r>
    </w:p>
    <w:p w14:paraId="4B0D282A" w14:textId="77777777" w:rsidR="009211A6" w:rsidRPr="004135FE" w:rsidRDefault="009211A6">
      <w:pPr>
        <w:pStyle w:val="a3"/>
        <w:numPr>
          <w:ilvl w:val="0"/>
          <w:numId w:val="71"/>
        </w:numPr>
        <w:tabs>
          <w:tab w:val="left" w:pos="1134"/>
        </w:tabs>
        <w:autoSpaceDE w:val="0"/>
        <w:autoSpaceDN w:val="0"/>
        <w:adjustRightInd w:val="0"/>
        <w:spacing w:after="0" w:line="240" w:lineRule="auto"/>
        <w:ind w:left="0" w:firstLine="709"/>
        <w:jc w:val="both"/>
        <w:rPr>
          <w:rFonts w:ascii="Times New Roman" w:eastAsiaTheme="minorHAnsi" w:hAnsi="Times New Roman" w:cs="Times New Roman"/>
          <w:sz w:val="28"/>
          <w:szCs w:val="28"/>
          <w:lang w:eastAsia="en-US"/>
        </w:rPr>
      </w:pPr>
      <w:r w:rsidRPr="004135FE">
        <w:rPr>
          <w:rFonts w:ascii="Times New Roman" w:hAnsi="Times New Roman" w:cs="Times New Roman"/>
          <w:color w:val="000000"/>
          <w:sz w:val="28"/>
          <w:szCs w:val="28"/>
        </w:rPr>
        <w:t xml:space="preserve">Приказ </w:t>
      </w:r>
      <w:r w:rsidRPr="004135FE">
        <w:rPr>
          <w:rFonts w:ascii="Times New Roman" w:hAnsi="Times New Roman" w:cs="Times New Roman"/>
          <w:sz w:val="28"/>
          <w:szCs w:val="28"/>
        </w:rPr>
        <w:t xml:space="preserve">Министра здравоохранения Республики Казахстан </w:t>
      </w:r>
      <w:r w:rsidRPr="004135FE">
        <w:rPr>
          <w:rFonts w:ascii="Times New Roman" w:hAnsi="Times New Roman" w:cs="Times New Roman"/>
          <w:color w:val="000000"/>
          <w:sz w:val="28"/>
          <w:szCs w:val="28"/>
        </w:rPr>
        <w:t>от 5 августа 2021 года № ҚР ДСМ - 75. «Об утверждении Перечня ЛС и медицинских изделий для бесплатного и (или) льготного амбулаторного обеспечения отдельных категорий граждан Республики Казахстан с определенными заболеваниями (состояниями)»</w:t>
      </w:r>
    </w:p>
    <w:p w14:paraId="52CAAF6B" w14:textId="6F1AB8FE" w:rsidR="009211A6" w:rsidRPr="00826E25"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 Клинический протокол диагностики и лечения. Сахарный диабет 2 типа. Утверждено на Экспертной комиссии по вопросам развития </w:t>
      </w:r>
      <w:r w:rsidRPr="00826E25">
        <w:rPr>
          <w:rFonts w:ascii="Times New Roman" w:hAnsi="Times New Roman" w:cs="Times New Roman"/>
          <w:sz w:val="28"/>
          <w:szCs w:val="28"/>
        </w:rPr>
        <w:t>здравоохранения Министерства здравоохранения Республики Казахстан протокол № 10 от «04» июля 2014 года.</w:t>
      </w:r>
    </w:p>
    <w:p w14:paraId="6F37ED6B" w14:textId="3DF42982" w:rsidR="00826E25" w:rsidRPr="00826E25" w:rsidRDefault="00826E25" w:rsidP="00826E25">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bCs/>
          <w:sz w:val="28"/>
          <w:szCs w:val="28"/>
        </w:rPr>
      </w:pPr>
      <w:r w:rsidRPr="00826E25">
        <w:rPr>
          <w:rFonts w:ascii="Times New Roman" w:eastAsiaTheme="minorHAnsi" w:hAnsi="Times New Roman" w:cs="Times New Roman"/>
          <w:bCs/>
          <w:color w:val="000000"/>
          <w:sz w:val="28"/>
          <w:szCs w:val="28"/>
          <w:lang w:eastAsia="en-US"/>
        </w:rPr>
        <w:t>Клинический протокол диагностики и лечения</w:t>
      </w:r>
      <w:r>
        <w:rPr>
          <w:rFonts w:ascii="Times New Roman" w:eastAsiaTheme="minorHAnsi" w:hAnsi="Times New Roman" w:cs="Times New Roman"/>
          <w:bCs/>
          <w:color w:val="000000"/>
          <w:sz w:val="28"/>
          <w:szCs w:val="28"/>
          <w:lang w:eastAsia="en-US"/>
        </w:rPr>
        <w:t>.</w:t>
      </w:r>
      <w:r w:rsidRPr="00826E25">
        <w:rPr>
          <w:rFonts w:ascii="Times New Roman" w:eastAsiaTheme="minorHAnsi" w:hAnsi="Times New Roman" w:cs="Times New Roman"/>
          <w:bCs/>
          <w:color w:val="000000"/>
          <w:sz w:val="28"/>
          <w:szCs w:val="28"/>
          <w:lang w:eastAsia="en-US"/>
        </w:rPr>
        <w:t xml:space="preserve"> Сахарный диабет 2 типа. Протокол №158 от «04» марта 2022г. Одобрен Объединенной комиссией по качеству медицинских услуг МЗ РК</w:t>
      </w:r>
    </w:p>
    <w:p w14:paraId="44B885BF" w14:textId="3DF42982"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826E25">
        <w:rPr>
          <w:rFonts w:ascii="Times New Roman" w:hAnsi="Times New Roman" w:cs="Times New Roman"/>
          <w:sz w:val="28"/>
          <w:szCs w:val="28"/>
        </w:rPr>
        <w:t>Клинический</w:t>
      </w:r>
      <w:r w:rsidRPr="004135FE">
        <w:rPr>
          <w:rFonts w:ascii="Times New Roman" w:hAnsi="Times New Roman" w:cs="Times New Roman"/>
          <w:sz w:val="28"/>
          <w:szCs w:val="28"/>
        </w:rPr>
        <w:t xml:space="preserve"> протокол диагностики и лечения. Предиабет. </w:t>
      </w:r>
      <w:r w:rsidRPr="004135FE">
        <w:rPr>
          <w:rFonts w:ascii="Times New Roman" w:eastAsia="Times New Roman" w:hAnsi="Times New Roman" w:cs="Times New Roman"/>
          <w:sz w:val="28"/>
          <w:szCs w:val="28"/>
        </w:rPr>
        <w:t>Одобрен объединенной комиссией по качеству медицинских услуг Министерства здравоохранения Республики Казахстан от «03» июня 2021 года. Протокол №139.</w:t>
      </w:r>
    </w:p>
    <w:p w14:paraId="75EFBD1C"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Приказ Министра здравоохранения и социального развития Республики Казахстан от 28.09.2016 №825 «О некоторых вопросах социальной мобилизации по профилактике и предупреждению инфекционных и неинфекционных заболевании».</w:t>
      </w:r>
    </w:p>
    <w:p w14:paraId="0936DB61"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Приказ Министра здравоохранения Республики Казахстан от 05.04.2013г №211 «О внедрении программы управления хроническими неинфекционными заболеваниями в пилотных регионах»</w:t>
      </w:r>
    </w:p>
    <w:p w14:paraId="188AC3A0"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Приказ Министра здравоохранения и социального развития Республики Казахстан от 15.03.2016г №203 «О некоторых вопросах управления хроническими неинфекционными заболеваниями в рамках пилотного проекта»</w:t>
      </w:r>
    </w:p>
    <w:p w14:paraId="1E7F8B1F"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Приказ и.о. Министра здравоохранения Республики Казахстан от 10.10.2009г №685 «Об утверждении Правил проведения медицинских осмотров целевых групп населения (с изменениями по состоянию на 29.12.2014г)</w:t>
      </w:r>
    </w:p>
    <w:p w14:paraId="1E08EE5E"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Приказ Министра здравоохранения и социального развития Республики Казахстан от 25.04.2016г №325 №Об утверждении плана мероприятии по формированию здорового образа жизни и профилактике заболевании на 2016год.</w:t>
      </w:r>
    </w:p>
    <w:p w14:paraId="57AD5846" w14:textId="77777777" w:rsidR="009211A6" w:rsidRPr="004135FE" w:rsidRDefault="009211A6">
      <w:pPr>
        <w:widowControl w:val="0"/>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bCs/>
          <w:sz w:val="28"/>
          <w:szCs w:val="28"/>
        </w:rPr>
      </w:pPr>
      <w:r w:rsidRPr="004135FE">
        <w:rPr>
          <w:rFonts w:ascii="Times New Roman" w:hAnsi="Times New Roman" w:cs="Times New Roman"/>
          <w:bCs/>
          <w:sz w:val="28"/>
          <w:szCs w:val="28"/>
        </w:rPr>
        <w:lastRenderedPageBreak/>
        <w:t>Протоколы (стандарты) диспансеризации больных с хроническими формами заболеваний. Инструкция маршрута движения пациента. Утверждено Приказом и.о. Министра здравоохранения Республики Казахстан от 26.12.2012г №885.</w:t>
      </w:r>
    </w:p>
    <w:p w14:paraId="30206440"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pacing w:val="2"/>
          <w:sz w:val="28"/>
          <w:szCs w:val="28"/>
        </w:rPr>
        <w:t xml:space="preserve">Правила оказания стационарозамещающей помощи, утвержденный приказом Министра здравоохранения и социального развития Республики Казахстан от 17 августа 2015 года № 669 (зарегистрирован в Реестре государственной регистрации нормативных правовых актов за № 12106). </w:t>
      </w:r>
    </w:p>
    <w:p w14:paraId="65B2B786"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pacing w:val="2"/>
          <w:sz w:val="28"/>
          <w:szCs w:val="28"/>
        </w:rPr>
        <w:t xml:space="preserve"> Правила оказания стационарной помощи, утвержденный приказом Министра здравоохранения и социального развития Республики Казахстан от 29 сентября 2015 года № 761 (зарегистрирован в Реестре государственной регистрации нормативных правовых актов за № 12204). </w:t>
      </w:r>
    </w:p>
    <w:p w14:paraId="14378C70"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pacing w:val="2"/>
          <w:sz w:val="28"/>
          <w:szCs w:val="28"/>
        </w:rPr>
        <w:t xml:space="preserve">Правила оказания КДП. Перечень заболеваний, подлежащих динамическому наблюдению в рамках консультативно-диагностической помощи, утвержденный приказом Министра здравоохранения и социального развития Республики Казахстан от 28 июля 2015 года № 626 (зарегистрирован в Реестре государственной регистрации нормативных правовых актов за № 11958) </w:t>
      </w:r>
    </w:p>
    <w:p w14:paraId="321368B9"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shd w:val="clear" w:color="auto" w:fill="FFFFFF"/>
        </w:rPr>
        <w:t>Приказ об утверждении Правил внутренней торговли. Приказ и.о. Министра национальной экономики Республики Казахстан от 27 марта 2015 года № 264. Зарегистрирован в Министерстве юстиции Республики Казахстан 25 мая 2015 года № 11148</w:t>
      </w:r>
    </w:p>
    <w:p w14:paraId="2DA5585A"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eastAsiaTheme="minorHAnsi" w:hAnsi="Times New Roman" w:cs="Times New Roman"/>
          <w:sz w:val="28"/>
          <w:szCs w:val="28"/>
        </w:rPr>
        <w:t>Приказ МЗ РК от 25 ноября 2020 года № ҚР ДСМ-205/2020. Об утверждении минимальных нормативов обеспеченности регионов медицинскими работниками</w:t>
      </w:r>
    </w:p>
    <w:p w14:paraId="3B3B31B0"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bCs/>
          <w:sz w:val="28"/>
          <w:szCs w:val="28"/>
        </w:rPr>
        <w:t>Приказ МЗ РК от 30 октября 2020 года № ҚР ДСМ-174/2020, о целевых группах лиц, подлежащие скрининговым исследованиям, а также правил, объема и периодичности проведения данных исследований</w:t>
      </w:r>
      <w:r w:rsidRPr="004135FE">
        <w:rPr>
          <w:rFonts w:ascii="Times New Roman" w:hAnsi="Times New Roman" w:cs="Times New Roman"/>
          <w:spacing w:val="2"/>
          <w:sz w:val="28"/>
          <w:szCs w:val="28"/>
        </w:rPr>
        <w:t xml:space="preserve">       </w:t>
      </w:r>
    </w:p>
    <w:p w14:paraId="68EE013B" w14:textId="77777777" w:rsidR="009211A6" w:rsidRPr="004135FE" w:rsidRDefault="001B62DB">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hyperlink r:id="rId9" w:anchor="z1" w:history="1">
        <w:r w:rsidR="009211A6" w:rsidRPr="004135FE">
          <w:rPr>
            <w:rStyle w:val="details-value"/>
            <w:rFonts w:ascii="Times New Roman" w:hAnsi="Times New Roman" w:cs="Times New Roman"/>
            <w:spacing w:val="2"/>
            <w:sz w:val="28"/>
            <w:szCs w:val="28"/>
          </w:rPr>
          <w:t>Приказ</w:t>
        </w:r>
      </w:hyperlink>
      <w:r w:rsidR="009211A6" w:rsidRPr="004135FE">
        <w:rPr>
          <w:rFonts w:ascii="Times New Roman" w:hAnsi="Times New Roman" w:cs="Times New Roman"/>
          <w:spacing w:val="2"/>
          <w:sz w:val="28"/>
          <w:szCs w:val="28"/>
        </w:rPr>
        <w:t xml:space="preserve"> Министра здравоохранения Республики Казахстан от 23 ноября 2010 года № 907 "Об утверждении форм первичной медицинской документации организаций здравоохранения" (зарегистрированный в Реестре государственной регистрации нормативных правовых актов за № 6697) </w:t>
      </w:r>
    </w:p>
    <w:p w14:paraId="0DB21B8A"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pacing w:val="2"/>
          <w:sz w:val="28"/>
          <w:szCs w:val="28"/>
        </w:rPr>
        <w:t xml:space="preserve">Приказ Министра здравоохранения и социального развития Республики Казахстан от 30 января 2015 года № 44. </w:t>
      </w:r>
      <w:hyperlink r:id="rId10" w:anchor="z20" w:history="1">
        <w:r w:rsidRPr="004135FE">
          <w:rPr>
            <w:rStyle w:val="details-value"/>
            <w:rFonts w:ascii="Times New Roman" w:hAnsi="Times New Roman" w:cs="Times New Roman"/>
            <w:spacing w:val="2"/>
            <w:sz w:val="28"/>
            <w:szCs w:val="28"/>
          </w:rPr>
          <w:t>Правила</w:t>
        </w:r>
      </w:hyperlink>
      <w:r w:rsidRPr="004135FE">
        <w:rPr>
          <w:rFonts w:ascii="Times New Roman" w:hAnsi="Times New Roman" w:cs="Times New Roman"/>
          <w:spacing w:val="2"/>
          <w:sz w:val="28"/>
          <w:szCs w:val="28"/>
        </w:rPr>
        <w:t> проведения медико-социальной экспертизы (зарегистрирован в Реестре государственной регистрации нормативных правовых актов за № 10589)</w:t>
      </w:r>
    </w:p>
    <w:p w14:paraId="04D72E37"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bCs/>
          <w:sz w:val="28"/>
          <w:szCs w:val="28"/>
        </w:rPr>
      </w:pPr>
      <w:r w:rsidRPr="004135FE">
        <w:rPr>
          <w:rFonts w:ascii="Times New Roman" w:hAnsi="Times New Roman" w:cs="Times New Roman"/>
          <w:spacing w:val="2"/>
          <w:sz w:val="28"/>
          <w:szCs w:val="28"/>
        </w:rPr>
        <w:t xml:space="preserve">Приказ Министра здравоохранения Республики Казахстан от 27 декабря 2013 года № 759, </w:t>
      </w:r>
      <w:hyperlink r:id="rId11" w:anchor="z10" w:history="1">
        <w:r w:rsidRPr="004135FE">
          <w:rPr>
            <w:rStyle w:val="details-value"/>
            <w:rFonts w:ascii="Times New Roman" w:hAnsi="Times New Roman" w:cs="Times New Roman"/>
            <w:spacing w:val="2"/>
            <w:sz w:val="28"/>
            <w:szCs w:val="28"/>
          </w:rPr>
          <w:t>стандарт</w:t>
        </w:r>
      </w:hyperlink>
      <w:r w:rsidRPr="004135FE">
        <w:rPr>
          <w:rFonts w:ascii="Times New Roman" w:hAnsi="Times New Roman" w:cs="Times New Roman"/>
          <w:spacing w:val="2"/>
          <w:sz w:val="28"/>
          <w:szCs w:val="28"/>
        </w:rPr>
        <w:t xml:space="preserve"> организации оказания медицинской реабилитации населению Республики Казахстан (зарегистрирован в Реестре государственной регистрации нормативных правовых актов за № 9108) </w:t>
      </w:r>
    </w:p>
    <w:p w14:paraId="4E14A67B"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4135FE">
        <w:rPr>
          <w:rFonts w:ascii="Times New Roman" w:eastAsiaTheme="minorHAnsi" w:hAnsi="Times New Roman" w:cs="Times New Roman"/>
          <w:bCs/>
          <w:sz w:val="28"/>
          <w:szCs w:val="28"/>
          <w:lang w:eastAsia="en-US"/>
        </w:rPr>
        <w:t>Национальный план по обеспечению прав и улучшению качества жизни лиц с инвалидностью в РК до 2025г, утвержденный постановлением Правительства РК от 28 мая 2019г №326.</w:t>
      </w:r>
    </w:p>
    <w:p w14:paraId="0943A6DC"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sidRPr="004135FE">
        <w:rPr>
          <w:rFonts w:ascii="Times New Roman" w:hAnsi="Times New Roman" w:cs="Times New Roman"/>
          <w:sz w:val="28"/>
          <w:szCs w:val="28"/>
          <w:shd w:val="clear" w:color="auto" w:fill="FFFFFF"/>
        </w:rPr>
        <w:lastRenderedPageBreak/>
        <w:t xml:space="preserve">Приказ Министра финансов Республики Казахстан от 23 декабря 2008 года № 599 «Об утверждении Правил получения, учета, хранения и выдачи учетно-контрольных марок и акцизных марок». Зарегистрирован в Министерстве юстиции Республики Казахстан 29 декабря 2008 года № 5426. </w:t>
      </w:r>
    </w:p>
    <w:p w14:paraId="0365082A"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bCs/>
          <w:sz w:val="28"/>
          <w:szCs w:val="28"/>
        </w:rPr>
      </w:pPr>
      <w:r w:rsidRPr="004135FE">
        <w:rPr>
          <w:rFonts w:ascii="Times New Roman" w:hAnsi="Times New Roman" w:cs="Times New Roman"/>
          <w:sz w:val="28"/>
          <w:szCs w:val="28"/>
          <w:shd w:val="clear" w:color="auto" w:fill="FFFFFF"/>
        </w:rPr>
        <w:t>Законопроект «О внесении изменений и дополнений в некоторые законодательные акты РК по вопросам налогообложения и таможенного администрирования», у</w:t>
      </w:r>
      <w:r w:rsidRPr="004135FE">
        <w:rPr>
          <w:rFonts w:ascii="Times New Roman" w:hAnsi="Times New Roman" w:cs="Times New Roman"/>
          <w:sz w:val="28"/>
          <w:szCs w:val="28"/>
        </w:rPr>
        <w:t xml:space="preserve">твержденный законом РК </w:t>
      </w:r>
      <w:r w:rsidRPr="004135FE">
        <w:rPr>
          <w:rFonts w:ascii="Times New Roman" w:hAnsi="Times New Roman" w:cs="Times New Roman"/>
          <w:sz w:val="28"/>
          <w:szCs w:val="28"/>
          <w:shd w:val="clear" w:color="auto" w:fill="FFFFFF"/>
        </w:rPr>
        <w:t>от 25 декабря 2017 года № 122-VI ЗРК.</w:t>
      </w:r>
    </w:p>
    <w:p w14:paraId="55F6D640"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bCs/>
          <w:sz w:val="28"/>
          <w:szCs w:val="28"/>
        </w:rPr>
      </w:pPr>
      <w:r w:rsidRPr="004135FE">
        <w:rPr>
          <w:rFonts w:ascii="Times New Roman" w:hAnsi="Times New Roman" w:cs="Times New Roman"/>
          <w:bCs/>
          <w:sz w:val="28"/>
          <w:szCs w:val="28"/>
        </w:rPr>
        <w:t>П</w:t>
      </w:r>
      <w:r w:rsidRPr="004135FE">
        <w:rPr>
          <w:rFonts w:ascii="Times New Roman" w:eastAsiaTheme="minorHAnsi" w:hAnsi="Times New Roman" w:cs="Times New Roman"/>
          <w:bCs/>
          <w:sz w:val="28"/>
          <w:szCs w:val="28"/>
          <w:lang w:eastAsia="en-US"/>
        </w:rPr>
        <w:t>остановление Правительства РК от 31 марта 2022 года № 178</w:t>
      </w:r>
      <w:r w:rsidRPr="004135FE">
        <w:rPr>
          <w:rFonts w:ascii="Times New Roman" w:hAnsi="Times New Roman" w:cs="Times New Roman"/>
          <w:bCs/>
          <w:sz w:val="28"/>
          <w:szCs w:val="28"/>
        </w:rPr>
        <w:t xml:space="preserve"> «</w:t>
      </w:r>
      <w:r w:rsidRPr="004135FE">
        <w:rPr>
          <w:rFonts w:ascii="Times New Roman" w:eastAsiaTheme="minorHAnsi" w:hAnsi="Times New Roman" w:cs="Times New Roman"/>
          <w:bCs/>
          <w:sz w:val="28"/>
          <w:szCs w:val="28"/>
          <w:lang w:eastAsia="en-US"/>
        </w:rPr>
        <w:t>План обеспечения продовольственной безопасности РК на 2022 – 2024 годы</w:t>
      </w:r>
      <w:r w:rsidRPr="004135FE">
        <w:rPr>
          <w:rFonts w:ascii="Times New Roman" w:hAnsi="Times New Roman" w:cs="Times New Roman"/>
          <w:bCs/>
          <w:sz w:val="28"/>
          <w:szCs w:val="28"/>
        </w:rPr>
        <w:t>»</w:t>
      </w:r>
    </w:p>
    <w:p w14:paraId="7986286B"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bCs/>
          <w:sz w:val="28"/>
          <w:szCs w:val="28"/>
        </w:rPr>
      </w:pPr>
      <w:r w:rsidRPr="004135FE">
        <w:rPr>
          <w:rFonts w:ascii="Times New Roman" w:hAnsi="Times New Roman" w:cs="Times New Roman"/>
          <w:sz w:val="28"/>
          <w:szCs w:val="28"/>
        </w:rPr>
        <w:t>Государственная программа поддержки и развития бизнеса «Дорожная карта бизнеса – 2025».</w:t>
      </w:r>
    </w:p>
    <w:p w14:paraId="2AC9828A"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bCs/>
          <w:sz w:val="28"/>
          <w:szCs w:val="28"/>
        </w:rPr>
      </w:pPr>
      <w:r w:rsidRPr="004135FE">
        <w:rPr>
          <w:rFonts w:ascii="Times New Roman" w:eastAsiaTheme="minorHAnsi" w:hAnsi="Times New Roman" w:cs="Times New Roman"/>
          <w:sz w:val="28"/>
          <w:szCs w:val="28"/>
          <w:lang w:eastAsia="en-US"/>
        </w:rPr>
        <w:t>Экологическ</w:t>
      </w:r>
      <w:r w:rsidRPr="004135FE">
        <w:rPr>
          <w:rFonts w:ascii="Times New Roman" w:hAnsi="Times New Roman" w:cs="Times New Roman"/>
          <w:sz w:val="28"/>
          <w:szCs w:val="28"/>
        </w:rPr>
        <w:t>ий</w:t>
      </w:r>
      <w:r w:rsidRPr="004135FE">
        <w:rPr>
          <w:rFonts w:ascii="Times New Roman" w:eastAsiaTheme="minorHAnsi" w:hAnsi="Times New Roman" w:cs="Times New Roman"/>
          <w:sz w:val="28"/>
          <w:szCs w:val="28"/>
          <w:lang w:eastAsia="en-US"/>
        </w:rPr>
        <w:t xml:space="preserve"> кодекс РК от 2 января 2021 года № 400-VI ЗРК</w:t>
      </w:r>
    </w:p>
    <w:p w14:paraId="0FA1B0BE" w14:textId="77777777" w:rsidR="009211A6" w:rsidRPr="004135FE"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bCs/>
          <w:sz w:val="28"/>
          <w:szCs w:val="28"/>
        </w:rPr>
      </w:pPr>
      <w:r w:rsidRPr="004135FE">
        <w:rPr>
          <w:rFonts w:ascii="Times New Roman" w:eastAsiaTheme="minorHAnsi" w:hAnsi="Times New Roman" w:cs="Times New Roman"/>
          <w:sz w:val="28"/>
          <w:szCs w:val="28"/>
          <w:lang w:eastAsia="en-US"/>
        </w:rPr>
        <w:t>Приказ МЗ РК от 30 дека</w:t>
      </w:r>
      <w:r w:rsidRPr="004135FE">
        <w:rPr>
          <w:rFonts w:ascii="Times New Roman" w:hAnsi="Times New Roman" w:cs="Times New Roman"/>
          <w:sz w:val="28"/>
          <w:szCs w:val="28"/>
        </w:rPr>
        <w:t>бря 2020 года № ҚР ДСМ-335/2020 «П</w:t>
      </w:r>
      <w:r w:rsidRPr="004135FE">
        <w:rPr>
          <w:rFonts w:ascii="Times New Roman" w:eastAsiaTheme="minorHAnsi" w:hAnsi="Times New Roman" w:cs="Times New Roman"/>
          <w:sz w:val="28"/>
          <w:szCs w:val="28"/>
          <w:lang w:eastAsia="en-US"/>
        </w:rPr>
        <w:t>равила применения технических средств контроля, приборов наблюдения и фиксации, фото-, видеоаппаратуры</w:t>
      </w:r>
      <w:r w:rsidRPr="004135FE">
        <w:rPr>
          <w:rFonts w:ascii="Times New Roman" w:hAnsi="Times New Roman" w:cs="Times New Roman"/>
          <w:sz w:val="28"/>
          <w:szCs w:val="28"/>
        </w:rPr>
        <w:t xml:space="preserve">». </w:t>
      </w:r>
      <w:r w:rsidRPr="004135FE">
        <w:rPr>
          <w:rFonts w:ascii="Times New Roman" w:eastAsiaTheme="minorHAnsi" w:hAnsi="Times New Roman" w:cs="Times New Roman"/>
          <w:sz w:val="28"/>
          <w:szCs w:val="28"/>
          <w:lang w:eastAsia="en-US"/>
        </w:rPr>
        <w:t>Приказ зарегистрирован в Министерстве юстиции РК 31 декабря 2020 года № 22006.</w:t>
      </w:r>
    </w:p>
    <w:p w14:paraId="49061CE0" w14:textId="7C23E3F4" w:rsidR="009211A6" w:rsidRPr="00826E25" w:rsidRDefault="009211A6">
      <w:pPr>
        <w:numPr>
          <w:ilvl w:val="0"/>
          <w:numId w:val="71"/>
        </w:numPr>
        <w:tabs>
          <w:tab w:val="left" w:pos="1134"/>
        </w:tabs>
        <w:autoSpaceDE w:val="0"/>
        <w:autoSpaceDN w:val="0"/>
        <w:adjustRightInd w:val="0"/>
        <w:spacing w:after="0" w:line="240" w:lineRule="auto"/>
        <w:ind w:left="0" w:firstLine="709"/>
        <w:jc w:val="both"/>
        <w:rPr>
          <w:rFonts w:ascii="Times New Roman" w:hAnsi="Times New Roman" w:cs="Times New Roman"/>
          <w:bCs/>
          <w:sz w:val="28"/>
          <w:szCs w:val="28"/>
        </w:rPr>
      </w:pPr>
      <w:r w:rsidRPr="004135FE">
        <w:rPr>
          <w:rFonts w:ascii="Times New Roman" w:hAnsi="Times New Roman" w:cs="Times New Roman"/>
          <w:sz w:val="28"/>
          <w:szCs w:val="28"/>
        </w:rPr>
        <w:t>Закон «О внесении изменений и дополнений в некоторые законодательные акты Республики Казахстан по вопросам здравоохранения» утвержденный от 7 июля 2020 года № 361-VI ЗРК</w:t>
      </w:r>
    </w:p>
    <w:p w14:paraId="44F5723C" w14:textId="2E1ECA5E" w:rsidR="00826E25" w:rsidRDefault="00826E25" w:rsidP="00826E25">
      <w:pPr>
        <w:tabs>
          <w:tab w:val="left" w:pos="1134"/>
        </w:tabs>
        <w:autoSpaceDE w:val="0"/>
        <w:autoSpaceDN w:val="0"/>
        <w:adjustRightInd w:val="0"/>
        <w:spacing w:after="0" w:line="240" w:lineRule="auto"/>
        <w:jc w:val="both"/>
        <w:rPr>
          <w:rFonts w:ascii="Times New Roman" w:eastAsiaTheme="minorHAnsi" w:hAnsi="Times New Roman" w:cs="Times New Roman"/>
          <w:bCs/>
          <w:color w:val="000000"/>
          <w:lang w:eastAsia="en-US"/>
        </w:rPr>
      </w:pPr>
    </w:p>
    <w:p w14:paraId="198B7ED4" w14:textId="77777777" w:rsidR="009211A6" w:rsidRPr="004135FE" w:rsidRDefault="009211A6" w:rsidP="00EC71C2">
      <w:pPr>
        <w:autoSpaceDE w:val="0"/>
        <w:autoSpaceDN w:val="0"/>
        <w:adjustRightInd w:val="0"/>
        <w:spacing w:after="0" w:line="240" w:lineRule="auto"/>
        <w:ind w:firstLine="709"/>
        <w:jc w:val="both"/>
        <w:rPr>
          <w:rFonts w:ascii="Times New Roman" w:hAnsi="Times New Roman" w:cs="Times New Roman"/>
          <w:sz w:val="28"/>
          <w:szCs w:val="28"/>
        </w:rPr>
      </w:pPr>
    </w:p>
    <w:p w14:paraId="178D5B1E" w14:textId="77777777" w:rsidR="009211A6" w:rsidRPr="004135FE" w:rsidRDefault="009211A6" w:rsidP="00EC71C2">
      <w:pPr>
        <w:autoSpaceDE w:val="0"/>
        <w:autoSpaceDN w:val="0"/>
        <w:adjustRightInd w:val="0"/>
        <w:spacing w:after="0" w:line="240" w:lineRule="auto"/>
        <w:ind w:firstLine="709"/>
        <w:jc w:val="both"/>
        <w:rPr>
          <w:rFonts w:ascii="Times New Roman" w:hAnsi="Times New Roman" w:cs="Times New Roman"/>
          <w:sz w:val="28"/>
          <w:szCs w:val="28"/>
        </w:rPr>
      </w:pPr>
    </w:p>
    <w:p w14:paraId="24ED480B" w14:textId="77777777" w:rsidR="009211A6" w:rsidRPr="004135FE" w:rsidRDefault="009211A6" w:rsidP="00EC71C2">
      <w:pPr>
        <w:autoSpaceDE w:val="0"/>
        <w:autoSpaceDN w:val="0"/>
        <w:adjustRightInd w:val="0"/>
        <w:spacing w:after="0" w:line="240" w:lineRule="auto"/>
        <w:ind w:firstLine="709"/>
        <w:jc w:val="both"/>
        <w:rPr>
          <w:rFonts w:ascii="Times New Roman" w:hAnsi="Times New Roman" w:cs="Times New Roman"/>
          <w:sz w:val="28"/>
          <w:szCs w:val="28"/>
        </w:rPr>
      </w:pPr>
    </w:p>
    <w:p w14:paraId="3DF1A60A" w14:textId="77777777" w:rsidR="009211A6" w:rsidRPr="004135FE" w:rsidRDefault="009211A6" w:rsidP="00EC71C2">
      <w:pPr>
        <w:autoSpaceDE w:val="0"/>
        <w:autoSpaceDN w:val="0"/>
        <w:adjustRightInd w:val="0"/>
        <w:spacing w:after="0" w:line="240" w:lineRule="auto"/>
        <w:ind w:firstLine="709"/>
        <w:jc w:val="both"/>
        <w:rPr>
          <w:rFonts w:ascii="Times New Roman" w:hAnsi="Times New Roman" w:cs="Times New Roman"/>
          <w:sz w:val="28"/>
          <w:szCs w:val="28"/>
        </w:rPr>
      </w:pPr>
    </w:p>
    <w:p w14:paraId="7A7B9184" w14:textId="77777777" w:rsidR="009211A6" w:rsidRPr="004135FE" w:rsidRDefault="009211A6" w:rsidP="00EC71C2">
      <w:pPr>
        <w:autoSpaceDE w:val="0"/>
        <w:autoSpaceDN w:val="0"/>
        <w:adjustRightInd w:val="0"/>
        <w:spacing w:after="0" w:line="240" w:lineRule="auto"/>
        <w:ind w:firstLine="709"/>
        <w:jc w:val="both"/>
        <w:rPr>
          <w:rFonts w:ascii="Times New Roman" w:hAnsi="Times New Roman" w:cs="Times New Roman"/>
          <w:sz w:val="28"/>
          <w:szCs w:val="28"/>
        </w:rPr>
      </w:pPr>
    </w:p>
    <w:p w14:paraId="718A6485" w14:textId="77777777" w:rsidR="009211A6" w:rsidRPr="004135FE" w:rsidRDefault="009211A6" w:rsidP="00EC71C2">
      <w:pPr>
        <w:autoSpaceDE w:val="0"/>
        <w:autoSpaceDN w:val="0"/>
        <w:adjustRightInd w:val="0"/>
        <w:spacing w:after="0" w:line="240" w:lineRule="auto"/>
        <w:ind w:firstLine="709"/>
        <w:jc w:val="both"/>
        <w:rPr>
          <w:rFonts w:ascii="Times New Roman" w:hAnsi="Times New Roman" w:cs="Times New Roman"/>
          <w:sz w:val="28"/>
          <w:szCs w:val="28"/>
        </w:rPr>
      </w:pPr>
    </w:p>
    <w:p w14:paraId="653F2DFD" w14:textId="77777777" w:rsidR="009211A6" w:rsidRPr="004135FE" w:rsidRDefault="009211A6" w:rsidP="00EC71C2">
      <w:pPr>
        <w:autoSpaceDE w:val="0"/>
        <w:autoSpaceDN w:val="0"/>
        <w:adjustRightInd w:val="0"/>
        <w:spacing w:after="0" w:line="240" w:lineRule="auto"/>
        <w:ind w:firstLine="709"/>
        <w:jc w:val="both"/>
        <w:rPr>
          <w:rFonts w:ascii="Times New Roman" w:hAnsi="Times New Roman" w:cs="Times New Roman"/>
          <w:sz w:val="28"/>
          <w:szCs w:val="28"/>
        </w:rPr>
      </w:pPr>
    </w:p>
    <w:p w14:paraId="43D41D80" w14:textId="77777777" w:rsidR="009211A6" w:rsidRPr="004135FE" w:rsidRDefault="009211A6" w:rsidP="00EC71C2">
      <w:pPr>
        <w:autoSpaceDE w:val="0"/>
        <w:autoSpaceDN w:val="0"/>
        <w:adjustRightInd w:val="0"/>
        <w:spacing w:after="0" w:line="240" w:lineRule="auto"/>
        <w:ind w:firstLine="709"/>
        <w:jc w:val="both"/>
        <w:rPr>
          <w:rFonts w:ascii="Times New Roman" w:hAnsi="Times New Roman" w:cs="Times New Roman"/>
          <w:sz w:val="28"/>
          <w:szCs w:val="28"/>
        </w:rPr>
      </w:pPr>
    </w:p>
    <w:p w14:paraId="3B7C8221" w14:textId="77777777" w:rsidR="009211A6" w:rsidRPr="004135FE" w:rsidRDefault="009211A6" w:rsidP="00EC71C2">
      <w:pPr>
        <w:autoSpaceDE w:val="0"/>
        <w:autoSpaceDN w:val="0"/>
        <w:adjustRightInd w:val="0"/>
        <w:spacing w:after="0" w:line="240" w:lineRule="auto"/>
        <w:ind w:firstLine="709"/>
        <w:jc w:val="both"/>
        <w:rPr>
          <w:rFonts w:ascii="Times New Roman" w:hAnsi="Times New Roman" w:cs="Times New Roman"/>
          <w:sz w:val="28"/>
          <w:szCs w:val="28"/>
        </w:rPr>
      </w:pPr>
    </w:p>
    <w:p w14:paraId="32990288" w14:textId="77777777" w:rsidR="009211A6" w:rsidRPr="004135FE" w:rsidRDefault="009211A6" w:rsidP="004135FE">
      <w:pPr>
        <w:autoSpaceDE w:val="0"/>
        <w:autoSpaceDN w:val="0"/>
        <w:adjustRightInd w:val="0"/>
        <w:spacing w:after="0" w:line="240" w:lineRule="auto"/>
        <w:jc w:val="both"/>
        <w:rPr>
          <w:rFonts w:ascii="Times New Roman" w:hAnsi="Times New Roman" w:cs="Times New Roman"/>
          <w:sz w:val="28"/>
          <w:szCs w:val="28"/>
        </w:rPr>
      </w:pPr>
    </w:p>
    <w:p w14:paraId="3302ED61" w14:textId="77777777" w:rsidR="009211A6" w:rsidRPr="004135FE" w:rsidRDefault="009211A6" w:rsidP="004135FE">
      <w:pPr>
        <w:autoSpaceDE w:val="0"/>
        <w:autoSpaceDN w:val="0"/>
        <w:adjustRightInd w:val="0"/>
        <w:spacing w:after="0" w:line="240" w:lineRule="auto"/>
        <w:jc w:val="both"/>
        <w:rPr>
          <w:rFonts w:ascii="Times New Roman" w:hAnsi="Times New Roman" w:cs="Times New Roman"/>
          <w:sz w:val="28"/>
          <w:szCs w:val="28"/>
        </w:rPr>
      </w:pPr>
    </w:p>
    <w:p w14:paraId="12597124" w14:textId="77777777" w:rsidR="009211A6" w:rsidRPr="004135FE" w:rsidRDefault="009211A6" w:rsidP="004135FE">
      <w:pPr>
        <w:autoSpaceDE w:val="0"/>
        <w:autoSpaceDN w:val="0"/>
        <w:adjustRightInd w:val="0"/>
        <w:spacing w:after="0" w:line="240" w:lineRule="auto"/>
        <w:jc w:val="both"/>
        <w:rPr>
          <w:rFonts w:ascii="Times New Roman" w:hAnsi="Times New Roman" w:cs="Times New Roman"/>
          <w:sz w:val="28"/>
          <w:szCs w:val="28"/>
        </w:rPr>
      </w:pPr>
    </w:p>
    <w:p w14:paraId="0C562FD3" w14:textId="77777777" w:rsidR="009211A6" w:rsidRPr="004135FE" w:rsidRDefault="009211A6" w:rsidP="004135FE">
      <w:pPr>
        <w:autoSpaceDE w:val="0"/>
        <w:autoSpaceDN w:val="0"/>
        <w:adjustRightInd w:val="0"/>
        <w:spacing w:after="0" w:line="240" w:lineRule="auto"/>
        <w:jc w:val="both"/>
        <w:rPr>
          <w:rFonts w:ascii="Times New Roman" w:hAnsi="Times New Roman" w:cs="Times New Roman"/>
          <w:sz w:val="28"/>
          <w:szCs w:val="28"/>
        </w:rPr>
      </w:pPr>
    </w:p>
    <w:p w14:paraId="6175588A" w14:textId="77777777" w:rsidR="009211A6" w:rsidRPr="004135FE" w:rsidRDefault="009211A6" w:rsidP="004135FE">
      <w:pPr>
        <w:autoSpaceDE w:val="0"/>
        <w:autoSpaceDN w:val="0"/>
        <w:adjustRightInd w:val="0"/>
        <w:spacing w:after="0" w:line="240" w:lineRule="auto"/>
        <w:jc w:val="both"/>
        <w:rPr>
          <w:rFonts w:ascii="Times New Roman" w:hAnsi="Times New Roman" w:cs="Times New Roman"/>
          <w:sz w:val="28"/>
          <w:szCs w:val="28"/>
        </w:rPr>
      </w:pPr>
    </w:p>
    <w:p w14:paraId="6DD28A62" w14:textId="77777777" w:rsidR="009211A6" w:rsidRPr="004135FE" w:rsidRDefault="009211A6" w:rsidP="004135FE">
      <w:pPr>
        <w:autoSpaceDE w:val="0"/>
        <w:autoSpaceDN w:val="0"/>
        <w:adjustRightInd w:val="0"/>
        <w:spacing w:after="0" w:line="240" w:lineRule="auto"/>
        <w:jc w:val="both"/>
        <w:rPr>
          <w:rFonts w:ascii="Times New Roman" w:hAnsi="Times New Roman" w:cs="Times New Roman"/>
          <w:sz w:val="28"/>
          <w:szCs w:val="28"/>
        </w:rPr>
      </w:pPr>
    </w:p>
    <w:p w14:paraId="4113D327" w14:textId="77777777" w:rsidR="009211A6" w:rsidRPr="004135FE" w:rsidRDefault="009211A6" w:rsidP="004135FE">
      <w:pPr>
        <w:autoSpaceDE w:val="0"/>
        <w:autoSpaceDN w:val="0"/>
        <w:adjustRightInd w:val="0"/>
        <w:spacing w:after="0" w:line="240" w:lineRule="auto"/>
        <w:jc w:val="both"/>
        <w:rPr>
          <w:rFonts w:ascii="Times New Roman" w:hAnsi="Times New Roman" w:cs="Times New Roman"/>
          <w:sz w:val="28"/>
          <w:szCs w:val="28"/>
        </w:rPr>
      </w:pPr>
    </w:p>
    <w:p w14:paraId="30985B42" w14:textId="77777777" w:rsidR="009211A6" w:rsidRPr="004135FE" w:rsidRDefault="009211A6"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5FF1AF84" w14:textId="77777777" w:rsidR="009211A6" w:rsidRPr="004135FE" w:rsidRDefault="009211A6"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55E7522A" w14:textId="77777777" w:rsidR="009211A6" w:rsidRPr="004135FE" w:rsidRDefault="009211A6"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2647EEB9" w14:textId="77777777" w:rsidR="009211A6" w:rsidRPr="004135FE" w:rsidRDefault="009211A6"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309E0467" w14:textId="77777777" w:rsidR="009211A6" w:rsidRPr="004135FE" w:rsidRDefault="009211A6"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391BAB0D" w14:textId="77777777" w:rsidR="009211A6" w:rsidRPr="004135FE" w:rsidRDefault="009211A6"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757DDE12" w14:textId="77777777" w:rsidR="009211A6" w:rsidRPr="004135FE" w:rsidRDefault="009211A6"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78BD5C43" w14:textId="77777777" w:rsidR="009211A6" w:rsidRPr="004135FE" w:rsidRDefault="009211A6"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sectPr w:rsidR="009211A6" w:rsidRPr="004135FE" w:rsidSect="00EC71C2">
          <w:headerReference w:type="default" r:id="rId12"/>
          <w:footerReference w:type="default" r:id="rId13"/>
          <w:type w:val="nextColumn"/>
          <w:pgSz w:w="11906" w:h="16838"/>
          <w:pgMar w:top="1134" w:right="851" w:bottom="1134" w:left="1701" w:header="708" w:footer="708" w:gutter="0"/>
          <w:cols w:space="708"/>
          <w:docGrid w:linePitch="360"/>
        </w:sectPr>
      </w:pPr>
    </w:p>
    <w:p w14:paraId="13895CC5" w14:textId="2496999E" w:rsidR="009211A6" w:rsidRDefault="009211A6" w:rsidP="004135FE">
      <w:pPr>
        <w:autoSpaceDE w:val="0"/>
        <w:autoSpaceDN w:val="0"/>
        <w:adjustRightInd w:val="0"/>
        <w:spacing w:after="0" w:line="240" w:lineRule="auto"/>
        <w:jc w:val="center"/>
        <w:rPr>
          <w:rFonts w:ascii="Times New Roman" w:eastAsiaTheme="minorHAnsi" w:hAnsi="Times New Roman" w:cs="Times New Roman"/>
          <w:b/>
          <w:bCs/>
          <w:sz w:val="28"/>
          <w:szCs w:val="28"/>
          <w:lang w:eastAsia="en-US"/>
        </w:rPr>
      </w:pPr>
      <w:r w:rsidRPr="00EC71C2">
        <w:rPr>
          <w:rFonts w:ascii="Times New Roman" w:eastAsiaTheme="minorHAnsi" w:hAnsi="Times New Roman" w:cs="Times New Roman"/>
          <w:b/>
          <w:bCs/>
          <w:sz w:val="28"/>
          <w:szCs w:val="28"/>
          <w:lang w:eastAsia="en-US"/>
        </w:rPr>
        <w:lastRenderedPageBreak/>
        <w:t>ОПРЕДЕЛЕНИЯ</w:t>
      </w:r>
    </w:p>
    <w:p w14:paraId="40900562" w14:textId="77777777" w:rsidR="00EC71C2" w:rsidRPr="00EC71C2" w:rsidRDefault="00EC71C2" w:rsidP="004135FE">
      <w:pPr>
        <w:autoSpaceDE w:val="0"/>
        <w:autoSpaceDN w:val="0"/>
        <w:adjustRightInd w:val="0"/>
        <w:spacing w:after="0" w:line="240" w:lineRule="auto"/>
        <w:jc w:val="center"/>
        <w:rPr>
          <w:rFonts w:ascii="Times New Roman" w:eastAsiaTheme="minorHAnsi" w:hAnsi="Times New Roman" w:cs="Times New Roman"/>
          <w:b/>
          <w:bCs/>
          <w:sz w:val="28"/>
          <w:szCs w:val="28"/>
          <w:lang w:eastAsia="en-US"/>
        </w:rPr>
      </w:pPr>
    </w:p>
    <w:p w14:paraId="17B8B0BC" w14:textId="77777777" w:rsidR="009211A6" w:rsidRPr="004135FE" w:rsidRDefault="009211A6" w:rsidP="00C07AC9">
      <w:pPr>
        <w:spacing w:after="0" w:line="240" w:lineRule="auto"/>
        <w:ind w:firstLine="709"/>
        <w:jc w:val="both"/>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 xml:space="preserve">В диссертационной работе </w:t>
      </w:r>
      <w:r w:rsidRPr="004135FE">
        <w:rPr>
          <w:rFonts w:ascii="Times New Roman" w:hAnsi="Times New Roman" w:cs="Times New Roman"/>
          <w:sz w:val="28"/>
          <w:szCs w:val="28"/>
        </w:rPr>
        <w:t>применяется нижеперечисленная терминология:</w:t>
      </w:r>
    </w:p>
    <w:p w14:paraId="2360D47F" w14:textId="77777777" w:rsidR="009211A6" w:rsidRPr="004135FE" w:rsidRDefault="009211A6" w:rsidP="00C07AC9">
      <w:pPr>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b/>
          <w:sz w:val="28"/>
          <w:szCs w:val="28"/>
          <w:lang w:eastAsia="en-US"/>
        </w:rPr>
        <w:t>Сотрудничество (коллаборация)</w:t>
      </w:r>
      <w:r w:rsidRPr="004135FE">
        <w:rPr>
          <w:rFonts w:ascii="Times New Roman" w:eastAsiaTheme="minorHAnsi" w:hAnsi="Times New Roman" w:cs="Times New Roman"/>
          <w:sz w:val="28"/>
          <w:szCs w:val="28"/>
          <w:lang w:eastAsia="en-US"/>
        </w:rPr>
        <w:t>- процесс совместной деятельности в какой-либо сфере двух и более людей или организаций для достижения общих целей, при которой происходит обмен знаниями, обучение и достижение согласия (консенсуса).</w:t>
      </w:r>
    </w:p>
    <w:p w14:paraId="54C4C874" w14:textId="77777777" w:rsidR="009211A6" w:rsidRPr="004135FE" w:rsidRDefault="009211A6" w:rsidP="00C07AC9">
      <w:pPr>
        <w:spacing w:after="0" w:line="240" w:lineRule="auto"/>
        <w:ind w:firstLine="709"/>
        <w:jc w:val="both"/>
        <w:rPr>
          <w:rFonts w:ascii="Times New Roman" w:hAnsi="Times New Roman" w:cs="Times New Roman"/>
          <w:sz w:val="28"/>
          <w:szCs w:val="28"/>
        </w:rPr>
      </w:pPr>
      <w:r w:rsidRPr="004135FE">
        <w:rPr>
          <w:rFonts w:ascii="Times New Roman" w:eastAsia="ArialMT" w:hAnsi="Times New Roman" w:cs="Times New Roman"/>
          <w:b/>
          <w:sz w:val="28"/>
          <w:szCs w:val="28"/>
        </w:rPr>
        <w:t>Межсекторальное сотрудничество</w:t>
      </w:r>
      <w:r w:rsidRPr="004135FE">
        <w:rPr>
          <w:rFonts w:ascii="Times New Roman" w:eastAsia="ArialMT" w:hAnsi="Times New Roman" w:cs="Times New Roman"/>
          <w:sz w:val="28"/>
          <w:szCs w:val="28"/>
        </w:rPr>
        <w:t xml:space="preserve">- это координация действий различных организационных структур общества (средств массовой информации, органов здравоохранения, науки, культуры, образования, секторов экономики, торговли, общественного питания и др. на республиканском, региональном, локальном уровнях по проведению мероприятий, обеспечивающих укрепление здоровья населения и профилактику основных неинфекционных заболеваний. </w:t>
      </w:r>
    </w:p>
    <w:p w14:paraId="1C4AEC73" w14:textId="77777777" w:rsidR="009211A6" w:rsidRPr="004135FE" w:rsidRDefault="009211A6" w:rsidP="00C07AC9">
      <w:pPr>
        <w:spacing w:after="0" w:line="240" w:lineRule="auto"/>
        <w:ind w:firstLine="709"/>
        <w:jc w:val="both"/>
        <w:rPr>
          <w:rFonts w:ascii="Times New Roman" w:eastAsia="ArialMT" w:hAnsi="Times New Roman" w:cs="Times New Roman"/>
          <w:sz w:val="28"/>
          <w:szCs w:val="28"/>
        </w:rPr>
      </w:pPr>
      <w:r w:rsidRPr="004135FE">
        <w:rPr>
          <w:rFonts w:ascii="Times New Roman" w:hAnsi="Times New Roman" w:cs="Times New Roman"/>
          <w:b/>
          <w:spacing w:val="2"/>
          <w:sz w:val="28"/>
          <w:szCs w:val="28"/>
          <w:shd w:val="clear" w:color="auto" w:fill="FFFFFF"/>
        </w:rPr>
        <w:t>Межсекторальное взаимодействие</w:t>
      </w:r>
      <w:r w:rsidRPr="004135FE">
        <w:rPr>
          <w:rFonts w:ascii="Times New Roman" w:hAnsi="Times New Roman" w:cs="Times New Roman"/>
          <w:spacing w:val="2"/>
          <w:sz w:val="28"/>
          <w:szCs w:val="28"/>
          <w:shd w:val="clear" w:color="auto" w:fill="FFFFFF"/>
        </w:rPr>
        <w:t xml:space="preserve"> - скоординированная совместная работа государственных органов, организаций и общественных объединений, направленная на охрану здоровья населения и обеспечение функционирования медицинских служб.</w:t>
      </w:r>
    </w:p>
    <w:p w14:paraId="015DB73F" w14:textId="77777777" w:rsidR="009211A6" w:rsidRPr="004135FE" w:rsidRDefault="009211A6" w:rsidP="00C07AC9">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
          <w:sz w:val="28"/>
          <w:szCs w:val="28"/>
        </w:rPr>
        <w:t>Многосекторальная деятельность</w:t>
      </w:r>
      <w:r w:rsidRPr="004135FE">
        <w:rPr>
          <w:rFonts w:ascii="Times New Roman" w:hAnsi="Times New Roman" w:cs="Times New Roman"/>
          <w:sz w:val="28"/>
          <w:szCs w:val="28"/>
        </w:rPr>
        <w:t xml:space="preserve"> представляет собой действия между двумя или более секторами в рамках государственных структур (например, здравоохранение, транспорт и охрана окружающей среды), и используется в качестве синонима для межсекторального сотрудничества. Когда речь идет об участниках вне государственных структур (например, неправительственные организации, частный сектор, профессиональные или религиозные организации), то использует термин многостороннее сотрудничество.</w:t>
      </w:r>
    </w:p>
    <w:p w14:paraId="034B9999" w14:textId="77777777" w:rsidR="009211A6" w:rsidRPr="004135FE" w:rsidRDefault="009211A6" w:rsidP="00C07AC9">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135FE">
        <w:rPr>
          <w:rFonts w:ascii="Times New Roman" w:hAnsi="Times New Roman" w:cs="Times New Roman"/>
          <w:b/>
          <w:sz w:val="28"/>
          <w:szCs w:val="28"/>
        </w:rPr>
        <w:t>Внутрисекторальное сотрудничество</w:t>
      </w:r>
      <w:r w:rsidRPr="004135FE">
        <w:rPr>
          <w:rFonts w:ascii="Times New Roman" w:hAnsi="Times New Roman" w:cs="Times New Roman"/>
          <w:sz w:val="28"/>
          <w:szCs w:val="28"/>
        </w:rPr>
        <w:t xml:space="preserve">- </w:t>
      </w:r>
      <w:r w:rsidRPr="004135FE">
        <w:rPr>
          <w:rFonts w:ascii="Times New Roman" w:eastAsia="Times New Roman" w:hAnsi="Times New Roman" w:cs="Times New Roman"/>
          <w:sz w:val="28"/>
          <w:szCs w:val="28"/>
        </w:rPr>
        <w:t>это взаимодействие между организациями здравоохранения, центрами медицинской профилактики, Управлениями Республиканской службы по надзору в сфере защиты прав потребителей и благополучия человека в субъектах, участковой или семейной службой медицинской организации и др.</w:t>
      </w:r>
    </w:p>
    <w:p w14:paraId="06502E6C" w14:textId="77777777" w:rsidR="009211A6" w:rsidRPr="004135FE" w:rsidRDefault="009211A6" w:rsidP="00C07AC9">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135FE">
        <w:rPr>
          <w:rFonts w:ascii="Times New Roman" w:hAnsi="Times New Roman" w:cs="Times New Roman"/>
          <w:b/>
          <w:bCs/>
          <w:sz w:val="28"/>
          <w:szCs w:val="28"/>
        </w:rPr>
        <w:t xml:space="preserve">Стандартизация </w:t>
      </w:r>
      <w:r w:rsidRPr="004135FE">
        <w:rPr>
          <w:rFonts w:ascii="Times New Roman" w:hAnsi="Times New Roman" w:cs="Times New Roman"/>
          <w:sz w:val="28"/>
          <w:szCs w:val="28"/>
        </w:rPr>
        <w:t xml:space="preserve">– статистический метод, используемый при сравнении интенсивных показателей в совокупностях, отличающихся по составу (по возрасту, полу, профессиям и т.д.). Метод позволяет устранить возможное влияние различий в составе совокупностей на величину сравниваемых интенсивных показателей путем уравнивания составов совокупностей с последующим расчетом стандартизованных коэффициентов. </w:t>
      </w:r>
      <w:r w:rsidRPr="004135FE">
        <w:rPr>
          <w:rFonts w:ascii="Times New Roman" w:eastAsiaTheme="minorHAnsi" w:hAnsi="Times New Roman" w:cs="Times New Roman"/>
          <w:sz w:val="28"/>
          <w:szCs w:val="28"/>
          <w:lang w:eastAsia="en-US"/>
        </w:rPr>
        <w:t>Существует три метода стандартизации: п</w:t>
      </w:r>
      <w:r w:rsidRPr="004135FE">
        <w:rPr>
          <w:rFonts w:ascii="Times New Roman" w:eastAsia="Times New Roman" w:hAnsi="Times New Roman" w:cs="Times New Roman"/>
          <w:sz w:val="28"/>
          <w:szCs w:val="28"/>
        </w:rPr>
        <w:t>рямой, косвенный, обратный. Наиболее распространенным является прямой метод стандартизации показателей. Его суть в вычислении показателей, которые имели бы место, если бы состав совокупностей был одинаковым (по полу, возрасту, стажу работы или другому признаку).</w:t>
      </w:r>
    </w:p>
    <w:p w14:paraId="4D1187D0" w14:textId="77777777" w:rsidR="009211A6" w:rsidRPr="004135FE" w:rsidRDefault="009211A6" w:rsidP="00C07AC9">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
          <w:sz w:val="28"/>
          <w:szCs w:val="28"/>
        </w:rPr>
        <w:lastRenderedPageBreak/>
        <w:t xml:space="preserve">Первичная медико-санитарная помощь </w:t>
      </w:r>
      <w:r w:rsidRPr="004135FE">
        <w:rPr>
          <w:rFonts w:ascii="Times New Roman" w:hAnsi="Times New Roman" w:cs="Times New Roman"/>
          <w:sz w:val="28"/>
          <w:szCs w:val="28"/>
        </w:rPr>
        <w:t>(ПМСП) – доврачебная или квалифицированная медицинская помощь без круглосуточного медицинского наблюдения, включающая комплекс доступных медицинских услуг, оказываемых на уровне человека, семьи и общества.</w:t>
      </w:r>
    </w:p>
    <w:p w14:paraId="349405F6" w14:textId="77777777" w:rsidR="009211A6" w:rsidRPr="004135FE" w:rsidRDefault="009211A6" w:rsidP="00C07AC9">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hAnsi="Times New Roman" w:cs="Times New Roman"/>
          <w:b/>
          <w:bCs/>
          <w:sz w:val="28"/>
          <w:szCs w:val="28"/>
          <w:shd w:val="clear" w:color="auto" w:fill="FFFFFF"/>
        </w:rPr>
        <w:t>Поликлиника</w:t>
      </w:r>
      <w:r w:rsidRPr="004135FE">
        <w:rPr>
          <w:rFonts w:ascii="Times New Roman" w:hAnsi="Times New Roman" w:cs="Times New Roman"/>
          <w:sz w:val="28"/>
          <w:szCs w:val="28"/>
          <w:shd w:val="clear" w:color="auto" w:fill="FFFFFF"/>
        </w:rPr>
        <w:t> – это многопрофильное лечебно-профилактическое учреждение, оказывающее медицинскую помощь населению на закрепленной территории на догоспитальном этапе.</w:t>
      </w:r>
    </w:p>
    <w:p w14:paraId="2DB56F1B" w14:textId="77777777" w:rsidR="009211A6" w:rsidRPr="004135FE" w:rsidRDefault="009211A6" w:rsidP="00C07AC9">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
          <w:sz w:val="28"/>
          <w:szCs w:val="28"/>
        </w:rPr>
        <w:t>Консультативно-диагностическая помощь</w:t>
      </w:r>
      <w:r w:rsidRPr="004135FE">
        <w:rPr>
          <w:rFonts w:ascii="Times New Roman" w:hAnsi="Times New Roman" w:cs="Times New Roman"/>
          <w:sz w:val="28"/>
          <w:szCs w:val="28"/>
        </w:rPr>
        <w:t xml:space="preserve"> (КДП) – специализированная или высокоспециализированная медицинская помощь без круглосуточного медицинского наблюдения.</w:t>
      </w:r>
      <w:r w:rsidRPr="004135FE">
        <w:rPr>
          <w:rFonts w:ascii="Times New Roman" w:hAnsi="Times New Roman" w:cs="Times New Roman"/>
          <w:spacing w:val="2"/>
          <w:sz w:val="28"/>
          <w:szCs w:val="28"/>
        </w:rPr>
        <w:t xml:space="preserve"> </w:t>
      </w:r>
    </w:p>
    <w:p w14:paraId="24743640" w14:textId="77777777" w:rsidR="009211A6" w:rsidRPr="004135FE" w:rsidRDefault="009211A6" w:rsidP="00C07AC9">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
          <w:sz w:val="28"/>
          <w:szCs w:val="28"/>
        </w:rPr>
        <w:t>Стационарная помощь</w:t>
      </w:r>
      <w:r w:rsidRPr="004135FE">
        <w:rPr>
          <w:rFonts w:ascii="Times New Roman" w:hAnsi="Times New Roman" w:cs="Times New Roman"/>
          <w:sz w:val="28"/>
          <w:szCs w:val="28"/>
        </w:rPr>
        <w:t xml:space="preserve"> – форма предоставления квалифицированной, специализированной и высокоспециализированной медицинской помощи с круглосуточным медицинским наблюдением. </w:t>
      </w:r>
    </w:p>
    <w:p w14:paraId="19520E1E" w14:textId="77777777" w:rsidR="009211A6" w:rsidRPr="004135FE" w:rsidRDefault="009211A6" w:rsidP="00C07AC9">
      <w:pPr>
        <w:shd w:val="clear" w:color="auto" w:fill="FFFFFF"/>
        <w:spacing w:after="0" w:line="240" w:lineRule="auto"/>
        <w:ind w:firstLine="709"/>
        <w:jc w:val="both"/>
        <w:textAlignment w:val="baseline"/>
        <w:rPr>
          <w:rFonts w:ascii="Times New Roman" w:hAnsi="Times New Roman" w:cs="Times New Roman"/>
          <w:spacing w:val="2"/>
          <w:sz w:val="28"/>
          <w:szCs w:val="28"/>
        </w:rPr>
      </w:pPr>
      <w:r w:rsidRPr="004135FE">
        <w:rPr>
          <w:rFonts w:ascii="Times New Roman" w:hAnsi="Times New Roman" w:cs="Times New Roman"/>
          <w:b/>
          <w:spacing w:val="2"/>
          <w:sz w:val="28"/>
          <w:szCs w:val="28"/>
        </w:rPr>
        <w:t>Профильный специалист</w:t>
      </w:r>
      <w:r w:rsidRPr="004135FE">
        <w:rPr>
          <w:rFonts w:ascii="Times New Roman" w:hAnsi="Times New Roman" w:cs="Times New Roman"/>
          <w:spacing w:val="2"/>
          <w:sz w:val="28"/>
          <w:szCs w:val="28"/>
        </w:rPr>
        <w:t xml:space="preserve"> – медицинский работник с высшим медицинским образованием, имеющий сертификат по определенной специальности.</w:t>
      </w:r>
    </w:p>
    <w:p w14:paraId="7BF458B5" w14:textId="7FC77F58" w:rsidR="009211A6" w:rsidRPr="004135FE" w:rsidRDefault="009211A6" w:rsidP="00C07AC9">
      <w:pPr>
        <w:shd w:val="clear" w:color="auto" w:fill="FFFFFF"/>
        <w:spacing w:after="0" w:line="240" w:lineRule="auto"/>
        <w:ind w:firstLine="709"/>
        <w:jc w:val="both"/>
        <w:textAlignment w:val="baseline"/>
        <w:rPr>
          <w:rFonts w:ascii="Times New Roman" w:hAnsi="Times New Roman" w:cs="Times New Roman"/>
          <w:spacing w:val="2"/>
          <w:sz w:val="28"/>
          <w:szCs w:val="28"/>
        </w:rPr>
      </w:pPr>
      <w:r w:rsidRPr="004135FE">
        <w:rPr>
          <w:rFonts w:ascii="Times New Roman" w:hAnsi="Times New Roman" w:cs="Times New Roman"/>
          <w:b/>
          <w:spacing w:val="2"/>
          <w:sz w:val="28"/>
          <w:szCs w:val="28"/>
        </w:rPr>
        <w:t>Динамическое наблюдение</w:t>
      </w:r>
      <w:r w:rsidRPr="004135FE">
        <w:rPr>
          <w:rFonts w:ascii="Times New Roman" w:hAnsi="Times New Roman" w:cs="Times New Roman"/>
          <w:spacing w:val="2"/>
          <w:sz w:val="28"/>
          <w:szCs w:val="28"/>
        </w:rPr>
        <w:t xml:space="preserve"> – систематическое наблюдение за состоянием здоровья населения, а также оказание необходимой медицинской помощи по результатам данного наблюдения.</w:t>
      </w:r>
    </w:p>
    <w:p w14:paraId="67FC005A" w14:textId="236D6109" w:rsidR="009211A6" w:rsidRPr="004135FE" w:rsidRDefault="009211A6" w:rsidP="00C07AC9">
      <w:pPr>
        <w:shd w:val="clear" w:color="auto" w:fill="FFFFFF"/>
        <w:spacing w:after="0" w:line="240" w:lineRule="auto"/>
        <w:ind w:firstLine="709"/>
        <w:jc w:val="both"/>
        <w:textAlignment w:val="baseline"/>
        <w:rPr>
          <w:rFonts w:ascii="Times New Roman" w:hAnsi="Times New Roman" w:cs="Times New Roman"/>
          <w:spacing w:val="2"/>
          <w:sz w:val="28"/>
          <w:szCs w:val="28"/>
        </w:rPr>
      </w:pPr>
      <w:r w:rsidRPr="004135FE">
        <w:rPr>
          <w:rFonts w:ascii="Times New Roman" w:hAnsi="Times New Roman" w:cs="Times New Roman"/>
          <w:b/>
          <w:spacing w:val="2"/>
          <w:sz w:val="28"/>
          <w:szCs w:val="28"/>
        </w:rPr>
        <w:t>Клинический протокол</w:t>
      </w:r>
      <w:r w:rsidRPr="004135FE">
        <w:rPr>
          <w:rFonts w:ascii="Times New Roman" w:hAnsi="Times New Roman" w:cs="Times New Roman"/>
          <w:spacing w:val="2"/>
          <w:sz w:val="28"/>
          <w:szCs w:val="28"/>
        </w:rPr>
        <w:t xml:space="preserve"> – документ, устанавливающий общие требования к оказанию медицинской помощи пациенту при определенном заболевании или клинической ситуации.</w:t>
      </w:r>
    </w:p>
    <w:p w14:paraId="49A66C6A" w14:textId="77777777" w:rsidR="009211A6" w:rsidRPr="004135FE" w:rsidRDefault="009211A6" w:rsidP="00C07AC9">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
          <w:sz w:val="28"/>
          <w:szCs w:val="28"/>
        </w:rPr>
        <w:t xml:space="preserve">Гарантированный объем бесплатной медицинской помощи </w:t>
      </w:r>
      <w:r w:rsidRPr="004135FE">
        <w:rPr>
          <w:rFonts w:ascii="Times New Roman" w:hAnsi="Times New Roman" w:cs="Times New Roman"/>
          <w:sz w:val="28"/>
          <w:szCs w:val="28"/>
        </w:rPr>
        <w:t>(ГОБМП) – единый по перечню медицинских услуг объем медицинской помощи, оказываемой гражданам Республики Казахстан и оралманам.</w:t>
      </w:r>
    </w:p>
    <w:p w14:paraId="1099F1AE" w14:textId="77777777" w:rsidR="009211A6" w:rsidRPr="004135FE" w:rsidRDefault="009211A6" w:rsidP="00C07AC9">
      <w:pPr>
        <w:autoSpaceDE w:val="0"/>
        <w:autoSpaceDN w:val="0"/>
        <w:adjustRightInd w:val="0"/>
        <w:spacing w:after="0" w:line="240" w:lineRule="auto"/>
        <w:ind w:firstLine="709"/>
        <w:jc w:val="both"/>
        <w:rPr>
          <w:rFonts w:ascii="Times New Roman" w:hAnsi="Times New Roman" w:cs="Times New Roman"/>
          <w:b/>
          <w:sz w:val="28"/>
          <w:szCs w:val="28"/>
          <w:shd w:val="clear" w:color="auto" w:fill="FFFFFF"/>
        </w:rPr>
      </w:pPr>
      <w:r w:rsidRPr="004135FE">
        <w:rPr>
          <w:rFonts w:ascii="Times New Roman" w:hAnsi="Times New Roman" w:cs="Times New Roman"/>
          <w:b/>
          <w:sz w:val="28"/>
          <w:szCs w:val="28"/>
          <w:shd w:val="clear" w:color="auto" w:fill="FFFFFF"/>
        </w:rPr>
        <w:t>Обязательное социальное медицинское страхование (ОСМС)</w:t>
      </w:r>
      <w:r w:rsidRPr="004135FE">
        <w:rPr>
          <w:rFonts w:ascii="Times New Roman" w:hAnsi="Times New Roman" w:cs="Times New Roman"/>
          <w:sz w:val="28"/>
          <w:szCs w:val="28"/>
          <w:shd w:val="clear" w:color="auto" w:fill="FFFFFF"/>
        </w:rPr>
        <w:t xml:space="preserve"> – это форма социальной защиты интересов населения в охране здоровья в случае наступления болезни, травмы, беременности и родов, инвалидности и старости.</w:t>
      </w:r>
      <w:r w:rsidRPr="004135FE">
        <w:rPr>
          <w:rFonts w:ascii="Times New Roman" w:hAnsi="Times New Roman" w:cs="Times New Roman"/>
          <w:b/>
          <w:sz w:val="28"/>
          <w:szCs w:val="28"/>
          <w:shd w:val="clear" w:color="auto" w:fill="FFFFFF"/>
        </w:rPr>
        <w:t xml:space="preserve"> </w:t>
      </w:r>
    </w:p>
    <w:p w14:paraId="7CD96B83" w14:textId="77777777" w:rsidR="009211A6" w:rsidRPr="004135FE" w:rsidRDefault="009211A6" w:rsidP="00C07AC9">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hAnsi="Times New Roman" w:cs="Times New Roman"/>
          <w:b/>
          <w:sz w:val="28"/>
          <w:szCs w:val="28"/>
          <w:shd w:val="clear" w:color="auto" w:fill="FFFFFF"/>
        </w:rPr>
        <w:t>Система обязательного социального медицинского страхования</w:t>
      </w:r>
      <w:r w:rsidRPr="004135FE">
        <w:rPr>
          <w:rFonts w:ascii="Times New Roman" w:hAnsi="Times New Roman" w:cs="Times New Roman"/>
          <w:sz w:val="28"/>
          <w:szCs w:val="28"/>
          <w:shd w:val="clear" w:color="auto" w:fill="FFFFFF"/>
        </w:rPr>
        <w:t xml:space="preserve"> – это государственная система социальной защиты интересов в сфере охраны здоровья.</w:t>
      </w:r>
    </w:p>
    <w:p w14:paraId="3BFE6F7C" w14:textId="77777777" w:rsidR="009211A6" w:rsidRPr="004135FE" w:rsidRDefault="009211A6" w:rsidP="00C07AC9">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
          <w:sz w:val="28"/>
          <w:szCs w:val="28"/>
        </w:rPr>
        <w:t>Физическая активность (</w:t>
      </w:r>
      <w:r w:rsidRPr="004135FE">
        <w:rPr>
          <w:rFonts w:ascii="Times New Roman" w:hAnsi="Times New Roman" w:cs="Times New Roman"/>
          <w:sz w:val="28"/>
          <w:szCs w:val="28"/>
        </w:rPr>
        <w:t>по определению ВОЗ)– это какое-либо движение тела, производимое скелетными мышцами, которое требует расхода энергии. Термин «физическая активность» относится к любым видам движений, в том числе во время отдыха, поездок в какие-либо места и обратно или во время работы. Улучшению здоровья способствует как умеренная, так и интенсивная физическая активность.</w:t>
      </w:r>
    </w:p>
    <w:p w14:paraId="2B07BB4B" w14:textId="77777777" w:rsidR="009211A6" w:rsidRPr="004135FE" w:rsidRDefault="009211A6" w:rsidP="00C07AC9">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hAnsi="Times New Roman" w:cs="Times New Roman"/>
          <w:b/>
          <w:sz w:val="28"/>
          <w:szCs w:val="28"/>
        </w:rPr>
        <w:t>Психосоциальная помощь</w:t>
      </w:r>
      <w:r w:rsidRPr="004135FE">
        <w:rPr>
          <w:rFonts w:ascii="Times New Roman" w:hAnsi="Times New Roman" w:cs="Times New Roman"/>
          <w:sz w:val="28"/>
          <w:szCs w:val="28"/>
        </w:rPr>
        <w:t xml:space="preserve"> как отрасль практической психологии, направленная на преодоление социальной дезадаптации клиента и оздоровление межличностных отношений. Соотношение причин внутреннего (неадекватность самооценки, нарушение эмоционально-коммуникативной и мотивационно-нравственной сферы, нарушение процессов саморегуляции, негативные фиксированные установки и т.д.) и внешнего характера (потеря </w:t>
      </w:r>
      <w:r w:rsidRPr="004135FE">
        <w:rPr>
          <w:rFonts w:ascii="Times New Roman" w:hAnsi="Times New Roman" w:cs="Times New Roman"/>
          <w:sz w:val="28"/>
          <w:szCs w:val="28"/>
        </w:rPr>
        <w:lastRenderedPageBreak/>
        <w:t>близких, работы, инвалидность, смена места жительства, адаптация после возвращения из мест лишения свободы, психосоциальные последствия военных конфликтов, техногенных катастроф и т.д.), детерминирующих социальную дезадаптацию.</w:t>
      </w:r>
    </w:p>
    <w:p w14:paraId="62A8FE84" w14:textId="77777777" w:rsidR="009211A6" w:rsidRPr="004135FE" w:rsidRDefault="009211A6" w:rsidP="00C07AC9">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4135FE">
        <w:rPr>
          <w:rFonts w:ascii="Times New Roman" w:hAnsi="Times New Roman" w:cs="Times New Roman"/>
          <w:b/>
          <w:bCs/>
          <w:sz w:val="28"/>
          <w:szCs w:val="28"/>
          <w:shd w:val="clear" w:color="auto" w:fill="FFFFFF"/>
        </w:rPr>
        <w:t>Профилактика</w:t>
      </w:r>
      <w:r w:rsidRPr="004135FE">
        <w:rPr>
          <w:rFonts w:ascii="Times New Roman" w:hAnsi="Times New Roman" w:cs="Times New Roman"/>
          <w:sz w:val="28"/>
          <w:szCs w:val="28"/>
          <w:shd w:val="clear" w:color="auto" w:fill="FFFFFF"/>
        </w:rPr>
        <w:t> (греч. πρόφύλακτικός «предохранительный») — в медицине, комплекс мероприятий, направленных на предупреждение возникновения </w:t>
      </w:r>
      <w:r w:rsidRPr="004135FE">
        <w:rPr>
          <w:rFonts w:ascii="Times New Roman" w:hAnsi="Times New Roman" w:cs="Times New Roman"/>
          <w:bCs/>
          <w:sz w:val="28"/>
          <w:szCs w:val="28"/>
          <w:shd w:val="clear" w:color="auto" w:fill="FFFFFF"/>
        </w:rPr>
        <w:t>заболеваний</w:t>
      </w:r>
      <w:r w:rsidRPr="004135FE">
        <w:rPr>
          <w:rFonts w:ascii="Times New Roman" w:hAnsi="Times New Roman" w:cs="Times New Roman"/>
          <w:sz w:val="28"/>
          <w:szCs w:val="28"/>
          <w:shd w:val="clear" w:color="auto" w:fill="FFFFFF"/>
        </w:rPr>
        <w:t> и травм, недопущение и устранение факторов риска их развития.</w:t>
      </w:r>
    </w:p>
    <w:p w14:paraId="0CAACB32" w14:textId="06EE51DF" w:rsidR="009211A6" w:rsidRPr="004135FE" w:rsidRDefault="009211A6" w:rsidP="00C07AC9">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4135FE">
        <w:rPr>
          <w:rFonts w:ascii="Times New Roman" w:hAnsi="Times New Roman" w:cs="Times New Roman"/>
          <w:b/>
          <w:sz w:val="28"/>
          <w:szCs w:val="28"/>
          <w:shd w:val="clear" w:color="auto" w:fill="FFFFFF"/>
        </w:rPr>
        <w:t>Сахарный диабет</w:t>
      </w:r>
      <w:r w:rsidRPr="004135FE">
        <w:rPr>
          <w:rFonts w:ascii="Times New Roman" w:hAnsi="Times New Roman" w:cs="Times New Roman"/>
          <w:sz w:val="28"/>
          <w:szCs w:val="28"/>
          <w:shd w:val="clear" w:color="auto" w:fill="FFFFFF"/>
        </w:rPr>
        <w:t xml:space="preserve"> </w:t>
      </w:r>
      <w:r w:rsidRPr="004135FE">
        <w:rPr>
          <w:rFonts w:ascii="Times New Roman" w:hAnsi="Times New Roman" w:cs="Times New Roman"/>
          <w:sz w:val="28"/>
          <w:szCs w:val="28"/>
          <w:shd w:val="clear" w:color="auto" w:fill="FFFFFF"/>
        </w:rPr>
        <w:noBreakHyphen/>
        <w:t xml:space="preserve"> это заболевание эндокринной системы, которое возникает из</w:t>
      </w:r>
      <w:r w:rsidRPr="004135FE">
        <w:rPr>
          <w:rFonts w:ascii="Times New Roman" w:hAnsi="Times New Roman" w:cs="Times New Roman"/>
          <w:sz w:val="28"/>
          <w:szCs w:val="28"/>
          <w:shd w:val="clear" w:color="auto" w:fill="FFFFFF"/>
        </w:rPr>
        <w:noBreakHyphen/>
        <w:t>за недостатка инсулина и характеризуется нарушением обмена веществ и в частности, обмена углеводов. При сахарном диабете поджелудочная железа теряет способность секретировать необходимое количество инсулина либо вырабатывать инсулин нужного качества.</w:t>
      </w:r>
    </w:p>
    <w:p w14:paraId="0F41E58E" w14:textId="77777777" w:rsidR="009211A6" w:rsidRPr="004135FE" w:rsidRDefault="009211A6" w:rsidP="00C07AC9">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4135FE">
        <w:rPr>
          <w:rFonts w:ascii="Times New Roman" w:hAnsi="Times New Roman" w:cs="Times New Roman"/>
          <w:b/>
          <w:bCs/>
          <w:sz w:val="28"/>
          <w:szCs w:val="28"/>
          <w:shd w:val="clear" w:color="auto" w:fill="FFFFFF"/>
        </w:rPr>
        <w:t>Сахарный диабет 2 типа</w:t>
      </w:r>
      <w:r w:rsidRPr="004135FE">
        <w:rPr>
          <w:rFonts w:ascii="Times New Roman" w:hAnsi="Times New Roman" w:cs="Times New Roman"/>
          <w:sz w:val="28"/>
          <w:szCs w:val="28"/>
          <w:shd w:val="clear" w:color="auto" w:fill="FFFFFF"/>
        </w:rPr>
        <w:t> (инсулиннезависимый </w:t>
      </w:r>
      <w:r w:rsidRPr="004135FE">
        <w:rPr>
          <w:rFonts w:ascii="Times New Roman" w:hAnsi="Times New Roman" w:cs="Times New Roman"/>
          <w:bCs/>
          <w:sz w:val="28"/>
          <w:szCs w:val="28"/>
          <w:shd w:val="clear" w:color="auto" w:fill="FFFFFF"/>
        </w:rPr>
        <w:t>сахарный диабет</w:t>
      </w:r>
      <w:r w:rsidRPr="004135FE">
        <w:rPr>
          <w:rFonts w:ascii="Times New Roman" w:hAnsi="Times New Roman" w:cs="Times New Roman"/>
          <w:sz w:val="28"/>
          <w:szCs w:val="28"/>
          <w:shd w:val="clear" w:color="auto" w:fill="FFFFFF"/>
        </w:rPr>
        <w:t>) — это хроническое повышение концентрации глюкозы в крови.</w:t>
      </w:r>
    </w:p>
    <w:p w14:paraId="6E102863" w14:textId="77777777" w:rsidR="009211A6" w:rsidRPr="004135FE" w:rsidRDefault="009211A6" w:rsidP="00C07AC9">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hAnsi="Times New Roman" w:cs="Times New Roman"/>
          <w:b/>
          <w:sz w:val="28"/>
          <w:szCs w:val="28"/>
        </w:rPr>
        <w:t xml:space="preserve">Гестационный диабет </w:t>
      </w:r>
      <w:r w:rsidRPr="004135FE">
        <w:rPr>
          <w:rFonts w:ascii="Times New Roman" w:hAnsi="Times New Roman" w:cs="Times New Roman"/>
          <w:sz w:val="28"/>
          <w:szCs w:val="28"/>
        </w:rPr>
        <w:t>(ВОЗ) проявляется гипергликемией с показателями глюкозы крови, которые превышают нормальные, однако не достигают диагностический значимых для постановки диагноза диабета. Гестационный диабет имеет место во время беременности.</w:t>
      </w:r>
    </w:p>
    <w:p w14:paraId="7CEA59D1" w14:textId="77777777" w:rsidR="009211A6" w:rsidRPr="004135FE" w:rsidRDefault="009211A6" w:rsidP="00C07AC9">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p>
    <w:p w14:paraId="4584B0DE" w14:textId="77777777" w:rsidR="009211A6" w:rsidRPr="004135FE" w:rsidRDefault="009211A6" w:rsidP="00C07AC9">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p>
    <w:p w14:paraId="0E821DED" w14:textId="77777777" w:rsidR="009211A6" w:rsidRPr="004135FE" w:rsidRDefault="009211A6" w:rsidP="00C07AC9">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p>
    <w:p w14:paraId="30C2C871" w14:textId="77777777" w:rsidR="009211A6" w:rsidRPr="004135FE" w:rsidRDefault="009211A6"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sectPr w:rsidR="009211A6" w:rsidRPr="004135FE" w:rsidSect="00EC71C2">
          <w:type w:val="nextColumn"/>
          <w:pgSz w:w="11906" w:h="16838"/>
          <w:pgMar w:top="1134" w:right="851" w:bottom="1134" w:left="1701" w:header="708" w:footer="708" w:gutter="0"/>
          <w:cols w:space="708"/>
          <w:docGrid w:linePitch="360"/>
        </w:sectPr>
      </w:pPr>
    </w:p>
    <w:p w14:paraId="3B906B7F" w14:textId="77777777" w:rsidR="009211A6" w:rsidRPr="00EC71C2" w:rsidRDefault="009211A6" w:rsidP="004135FE">
      <w:pPr>
        <w:autoSpaceDE w:val="0"/>
        <w:autoSpaceDN w:val="0"/>
        <w:adjustRightInd w:val="0"/>
        <w:spacing w:after="0" w:line="240" w:lineRule="auto"/>
        <w:jc w:val="center"/>
        <w:rPr>
          <w:rFonts w:ascii="Times New Roman" w:eastAsiaTheme="minorHAnsi" w:hAnsi="Times New Roman" w:cs="Times New Roman"/>
          <w:b/>
          <w:bCs/>
          <w:sz w:val="28"/>
          <w:szCs w:val="28"/>
          <w:lang w:eastAsia="en-US"/>
        </w:rPr>
      </w:pPr>
      <w:r w:rsidRPr="00EC71C2">
        <w:rPr>
          <w:rFonts w:ascii="Times New Roman" w:eastAsiaTheme="minorHAnsi" w:hAnsi="Times New Roman" w:cs="Times New Roman"/>
          <w:b/>
          <w:bCs/>
          <w:sz w:val="28"/>
          <w:szCs w:val="28"/>
          <w:lang w:eastAsia="en-US"/>
        </w:rPr>
        <w:lastRenderedPageBreak/>
        <w:t>ОБОЗНАЧЕНИЯ И СОКРАЩЕНИЯ</w:t>
      </w:r>
    </w:p>
    <w:p w14:paraId="2E78B5D0" w14:textId="77777777" w:rsidR="009211A6" w:rsidRPr="004135FE" w:rsidRDefault="009211A6" w:rsidP="004135FE">
      <w:pPr>
        <w:spacing w:after="0" w:line="240" w:lineRule="auto"/>
        <w:jc w:val="both"/>
        <w:rPr>
          <w:rFonts w:ascii="Times New Roman" w:hAnsi="Times New Roman" w:cs="Times New Roman"/>
          <w:b/>
          <w:sz w:val="28"/>
          <w:szCs w:val="28"/>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1"/>
        <w:gridCol w:w="8073"/>
      </w:tblGrid>
      <w:tr w:rsidR="009211A6" w:rsidRPr="004135FE" w14:paraId="6FEFA245" w14:textId="77777777" w:rsidTr="00EC71C2">
        <w:tc>
          <w:tcPr>
            <w:tcW w:w="1271" w:type="dxa"/>
          </w:tcPr>
          <w:p w14:paraId="67E3BBC2"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ADA</w:t>
            </w:r>
          </w:p>
        </w:tc>
        <w:tc>
          <w:tcPr>
            <w:tcW w:w="8073" w:type="dxa"/>
          </w:tcPr>
          <w:p w14:paraId="26A70175"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Американская Диабетическая Ассоциация</w:t>
            </w:r>
          </w:p>
        </w:tc>
      </w:tr>
      <w:tr w:rsidR="009211A6" w:rsidRPr="004135FE" w14:paraId="293CE963" w14:textId="77777777" w:rsidTr="00EC71C2">
        <w:tc>
          <w:tcPr>
            <w:tcW w:w="1271" w:type="dxa"/>
          </w:tcPr>
          <w:p w14:paraId="573116D1"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HbAlc</w:t>
            </w:r>
          </w:p>
        </w:tc>
        <w:tc>
          <w:tcPr>
            <w:tcW w:w="8073" w:type="dxa"/>
          </w:tcPr>
          <w:p w14:paraId="1145438B"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Гликозилированный (гликированный) гемоглобин</w:t>
            </w:r>
          </w:p>
        </w:tc>
      </w:tr>
      <w:tr w:rsidR="009211A6" w:rsidRPr="004135FE" w14:paraId="703AAAA5" w14:textId="77777777" w:rsidTr="00EC71C2">
        <w:tc>
          <w:tcPr>
            <w:tcW w:w="1271" w:type="dxa"/>
          </w:tcPr>
          <w:p w14:paraId="20D25628" w14:textId="77777777" w:rsidR="009211A6" w:rsidRPr="004135FE" w:rsidRDefault="009211A6" w:rsidP="004135FE">
            <w:pPr>
              <w:spacing w:after="0" w:line="240" w:lineRule="auto"/>
              <w:rPr>
                <w:rFonts w:ascii="Times New Roman" w:eastAsiaTheme="minorHAnsi" w:hAnsi="Times New Roman" w:cs="Times New Roman"/>
                <w:sz w:val="28"/>
                <w:szCs w:val="28"/>
                <w:lang w:eastAsia="en-US"/>
              </w:rPr>
            </w:pPr>
            <w:r w:rsidRPr="004135FE">
              <w:rPr>
                <w:rFonts w:ascii="Times New Roman" w:eastAsia="Times New Roman" w:hAnsi="Times New Roman" w:cs="Times New Roman"/>
                <w:sz w:val="28"/>
                <w:szCs w:val="28"/>
              </w:rPr>
              <w:t>IDF</w:t>
            </w:r>
          </w:p>
        </w:tc>
        <w:tc>
          <w:tcPr>
            <w:tcW w:w="8073" w:type="dxa"/>
          </w:tcPr>
          <w:p w14:paraId="403FF22E" w14:textId="77777777" w:rsidR="009211A6" w:rsidRPr="004135FE" w:rsidRDefault="009211A6" w:rsidP="004135FE">
            <w:pPr>
              <w:spacing w:after="0" w:line="240" w:lineRule="auto"/>
              <w:rPr>
                <w:rFonts w:ascii="Times New Roman" w:eastAsiaTheme="minorHAnsi" w:hAnsi="Times New Roman" w:cs="Times New Roman"/>
                <w:sz w:val="28"/>
                <w:szCs w:val="28"/>
                <w:lang w:eastAsia="en-US"/>
              </w:rPr>
            </w:pPr>
            <w:r w:rsidRPr="004135FE">
              <w:rPr>
                <w:rFonts w:ascii="Times New Roman" w:eastAsia="Times New Roman" w:hAnsi="Times New Roman" w:cs="Times New Roman"/>
                <w:sz w:val="28"/>
                <w:szCs w:val="28"/>
              </w:rPr>
              <w:t>Международной федерации диабета</w:t>
            </w:r>
          </w:p>
        </w:tc>
      </w:tr>
      <w:tr w:rsidR="009211A6" w:rsidRPr="004135FE" w14:paraId="3F9633C6" w14:textId="77777777" w:rsidTr="00EC71C2">
        <w:tc>
          <w:tcPr>
            <w:tcW w:w="1271" w:type="dxa"/>
          </w:tcPr>
          <w:p w14:paraId="15B17747" w14:textId="77777777" w:rsidR="009211A6" w:rsidRPr="004135FE" w:rsidRDefault="009211A6"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ВОЗ</w:t>
            </w:r>
          </w:p>
        </w:tc>
        <w:tc>
          <w:tcPr>
            <w:tcW w:w="8073" w:type="dxa"/>
          </w:tcPr>
          <w:p w14:paraId="543991AB" w14:textId="77777777" w:rsidR="009211A6" w:rsidRPr="004135FE" w:rsidRDefault="009211A6"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Всемирная организация здравоохранения</w:t>
            </w:r>
          </w:p>
        </w:tc>
      </w:tr>
      <w:tr w:rsidR="009211A6" w:rsidRPr="004135FE" w14:paraId="3B47C114" w14:textId="77777777" w:rsidTr="00EC71C2">
        <w:tc>
          <w:tcPr>
            <w:tcW w:w="1271" w:type="dxa"/>
          </w:tcPr>
          <w:p w14:paraId="004D06EE"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ВОП</w:t>
            </w:r>
          </w:p>
        </w:tc>
        <w:tc>
          <w:tcPr>
            <w:tcW w:w="8073" w:type="dxa"/>
          </w:tcPr>
          <w:p w14:paraId="260F7D54"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Врач общей практики</w:t>
            </w:r>
          </w:p>
        </w:tc>
      </w:tr>
      <w:tr w:rsidR="009211A6" w:rsidRPr="004135FE" w14:paraId="129E7BB1" w14:textId="77777777" w:rsidTr="00EC71C2">
        <w:tc>
          <w:tcPr>
            <w:tcW w:w="1271" w:type="dxa"/>
          </w:tcPr>
          <w:p w14:paraId="4AC70205"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ГОБМП</w:t>
            </w:r>
          </w:p>
        </w:tc>
        <w:tc>
          <w:tcPr>
            <w:tcW w:w="8073" w:type="dxa"/>
          </w:tcPr>
          <w:p w14:paraId="4FA546EB"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Гарантированный объем бесплатной медицинской помощи</w:t>
            </w:r>
          </w:p>
        </w:tc>
      </w:tr>
      <w:tr w:rsidR="009211A6" w:rsidRPr="004135FE" w14:paraId="4D272E20" w14:textId="77777777" w:rsidTr="00EC71C2">
        <w:tc>
          <w:tcPr>
            <w:tcW w:w="1271" w:type="dxa"/>
          </w:tcPr>
          <w:p w14:paraId="64FBF25E" w14:textId="77777777" w:rsidR="009211A6" w:rsidRPr="004135FE" w:rsidRDefault="009211A6" w:rsidP="004135FE">
            <w:pPr>
              <w:spacing w:after="0" w:line="240" w:lineRule="auto"/>
              <w:rPr>
                <w:rFonts w:ascii="Times New Roman" w:eastAsia="Times New Roman" w:hAnsi="Times New Roman" w:cs="Times New Roman"/>
                <w:bCs/>
                <w:sz w:val="28"/>
                <w:szCs w:val="28"/>
              </w:rPr>
            </w:pPr>
            <w:r w:rsidRPr="004135FE">
              <w:rPr>
                <w:rFonts w:ascii="Times New Roman" w:hAnsi="Times New Roman" w:cs="Times New Roman"/>
                <w:sz w:val="28"/>
                <w:szCs w:val="28"/>
              </w:rPr>
              <w:t>ГСД</w:t>
            </w:r>
          </w:p>
        </w:tc>
        <w:tc>
          <w:tcPr>
            <w:tcW w:w="8073" w:type="dxa"/>
          </w:tcPr>
          <w:p w14:paraId="308DDB6A" w14:textId="77777777" w:rsidR="009211A6" w:rsidRPr="004135FE" w:rsidRDefault="009211A6" w:rsidP="004135FE">
            <w:pPr>
              <w:spacing w:after="0" w:line="240" w:lineRule="auto"/>
              <w:jc w:val="both"/>
              <w:rPr>
                <w:rFonts w:ascii="Times New Roman" w:eastAsia="ArialMT" w:hAnsi="Times New Roman" w:cs="Times New Roman"/>
                <w:sz w:val="28"/>
                <w:szCs w:val="28"/>
              </w:rPr>
            </w:pPr>
            <w:r w:rsidRPr="004135FE">
              <w:rPr>
                <w:rFonts w:ascii="Times New Roman" w:hAnsi="Times New Roman" w:cs="Times New Roman"/>
                <w:sz w:val="28"/>
                <w:szCs w:val="28"/>
              </w:rPr>
              <w:t>Гестационный диабет</w:t>
            </w:r>
          </w:p>
        </w:tc>
      </w:tr>
      <w:tr w:rsidR="009211A6" w:rsidRPr="004135FE" w14:paraId="4AE80D56" w14:textId="77777777" w:rsidTr="00EC71C2">
        <w:tc>
          <w:tcPr>
            <w:tcW w:w="1271" w:type="dxa"/>
          </w:tcPr>
          <w:p w14:paraId="73215970"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shd w:val="clear" w:color="auto" w:fill="FFFFFF"/>
              </w:rPr>
              <w:t>ДИ</w:t>
            </w:r>
          </w:p>
        </w:tc>
        <w:tc>
          <w:tcPr>
            <w:tcW w:w="8073" w:type="dxa"/>
          </w:tcPr>
          <w:p w14:paraId="61711964" w14:textId="77777777" w:rsidR="009211A6" w:rsidRPr="004135FE" w:rsidRDefault="009211A6" w:rsidP="004135FE">
            <w:pPr>
              <w:spacing w:after="0" w:line="240" w:lineRule="auto"/>
              <w:jc w:val="both"/>
              <w:rPr>
                <w:rFonts w:ascii="Times New Roman" w:hAnsi="Times New Roman" w:cs="Times New Roman"/>
                <w:b/>
                <w:sz w:val="28"/>
                <w:szCs w:val="28"/>
              </w:rPr>
            </w:pPr>
            <w:r w:rsidRPr="004135FE">
              <w:rPr>
                <w:rFonts w:ascii="Times New Roman" w:hAnsi="Times New Roman" w:cs="Times New Roman"/>
                <w:sz w:val="28"/>
                <w:szCs w:val="28"/>
                <w:shd w:val="clear" w:color="auto" w:fill="FFFFFF"/>
              </w:rPr>
              <w:t>Доверительный интервал</w:t>
            </w:r>
          </w:p>
        </w:tc>
      </w:tr>
      <w:tr w:rsidR="009211A6" w:rsidRPr="004135FE" w14:paraId="34CE47E7" w14:textId="77777777" w:rsidTr="00EC71C2">
        <w:tc>
          <w:tcPr>
            <w:tcW w:w="1271" w:type="dxa"/>
          </w:tcPr>
          <w:p w14:paraId="43546752"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 xml:space="preserve">ЕРБ </w:t>
            </w:r>
            <w:r w:rsidRPr="00E9724B">
              <w:rPr>
                <w:rFonts w:ascii="Times New Roman" w:hAnsi="Times New Roman" w:cs="Times New Roman"/>
                <w:sz w:val="28"/>
                <w:szCs w:val="28"/>
              </w:rPr>
              <w:t>ВОЗ</w:t>
            </w:r>
          </w:p>
        </w:tc>
        <w:tc>
          <w:tcPr>
            <w:tcW w:w="8073" w:type="dxa"/>
          </w:tcPr>
          <w:p w14:paraId="5E763E28" w14:textId="77777777" w:rsidR="009211A6"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Европейское региональное бюро ВОЗ</w:t>
            </w:r>
          </w:p>
          <w:p w14:paraId="180C8EC8" w14:textId="33E5072A" w:rsidR="00E9724B" w:rsidRPr="004135FE" w:rsidRDefault="00E9724B" w:rsidP="004135FE">
            <w:pPr>
              <w:spacing w:after="0" w:line="240" w:lineRule="auto"/>
              <w:rPr>
                <w:rFonts w:ascii="Times New Roman" w:hAnsi="Times New Roman" w:cs="Times New Roman"/>
                <w:sz w:val="28"/>
                <w:szCs w:val="28"/>
              </w:rPr>
            </w:pPr>
            <w:r>
              <w:rPr>
                <w:rFonts w:ascii="Times New Roman" w:hAnsi="Times New Roman" w:cs="Times New Roman"/>
                <w:sz w:val="28"/>
                <w:szCs w:val="28"/>
              </w:rPr>
              <w:t>Всемирная Организация Здравоохранения</w:t>
            </w:r>
          </w:p>
        </w:tc>
      </w:tr>
      <w:tr w:rsidR="009211A6" w:rsidRPr="004135FE" w14:paraId="19D935E1" w14:textId="77777777" w:rsidTr="00EC71C2">
        <w:tc>
          <w:tcPr>
            <w:tcW w:w="1271" w:type="dxa"/>
          </w:tcPr>
          <w:p w14:paraId="68A93A10" w14:textId="77777777" w:rsidR="009211A6" w:rsidRPr="004135FE" w:rsidRDefault="009211A6" w:rsidP="004135FE">
            <w:pPr>
              <w:spacing w:after="0" w:line="240" w:lineRule="auto"/>
              <w:rPr>
                <w:rFonts w:ascii="Times New Roman" w:eastAsia="Times New Roman" w:hAnsi="Times New Roman" w:cs="Times New Roman"/>
                <w:bCs/>
                <w:sz w:val="28"/>
                <w:szCs w:val="28"/>
              </w:rPr>
            </w:pPr>
            <w:r w:rsidRPr="004135FE">
              <w:rPr>
                <w:rFonts w:ascii="Times New Roman" w:hAnsi="Times New Roman" w:cs="Times New Roman"/>
                <w:sz w:val="28"/>
                <w:szCs w:val="28"/>
              </w:rPr>
              <w:t>ЖФВ</w:t>
            </w:r>
          </w:p>
        </w:tc>
        <w:tc>
          <w:tcPr>
            <w:tcW w:w="8073" w:type="dxa"/>
          </w:tcPr>
          <w:p w14:paraId="3F256D27" w14:textId="77777777" w:rsidR="009211A6" w:rsidRPr="004135FE" w:rsidRDefault="009211A6"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Женщины фертильного возраста</w:t>
            </w:r>
          </w:p>
        </w:tc>
      </w:tr>
      <w:tr w:rsidR="009211A6" w:rsidRPr="004135FE" w14:paraId="629AE975" w14:textId="77777777" w:rsidTr="00EC71C2">
        <w:tc>
          <w:tcPr>
            <w:tcW w:w="1271" w:type="dxa"/>
          </w:tcPr>
          <w:p w14:paraId="3CF4C1DE" w14:textId="77777777" w:rsidR="009211A6" w:rsidRPr="004135FE" w:rsidRDefault="009211A6" w:rsidP="004135FE">
            <w:pPr>
              <w:spacing w:after="0" w:line="240" w:lineRule="auto"/>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ЗОЖ</w:t>
            </w:r>
          </w:p>
        </w:tc>
        <w:tc>
          <w:tcPr>
            <w:tcW w:w="8073" w:type="dxa"/>
          </w:tcPr>
          <w:p w14:paraId="14BE4648" w14:textId="77777777" w:rsidR="009211A6" w:rsidRPr="004135FE" w:rsidRDefault="009211A6" w:rsidP="004135FE">
            <w:pPr>
              <w:spacing w:after="0" w:line="240" w:lineRule="auto"/>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Здоровый образ жизни</w:t>
            </w:r>
          </w:p>
        </w:tc>
      </w:tr>
      <w:tr w:rsidR="009211A6" w:rsidRPr="004135FE" w14:paraId="3A2B4FE2" w14:textId="77777777" w:rsidTr="00EC71C2">
        <w:tc>
          <w:tcPr>
            <w:tcW w:w="1271" w:type="dxa"/>
          </w:tcPr>
          <w:p w14:paraId="6BFB1B46"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ИР</w:t>
            </w:r>
          </w:p>
        </w:tc>
        <w:tc>
          <w:tcPr>
            <w:tcW w:w="8073" w:type="dxa"/>
          </w:tcPr>
          <w:p w14:paraId="1B522A3E"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Инсулинорезистентность</w:t>
            </w:r>
          </w:p>
        </w:tc>
      </w:tr>
      <w:tr w:rsidR="009211A6" w:rsidRPr="004135FE" w14:paraId="3E37E696" w14:textId="77777777" w:rsidTr="00EC71C2">
        <w:tc>
          <w:tcPr>
            <w:tcW w:w="1271" w:type="dxa"/>
          </w:tcPr>
          <w:p w14:paraId="2AA47642"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КМИС</w:t>
            </w:r>
          </w:p>
        </w:tc>
        <w:tc>
          <w:tcPr>
            <w:tcW w:w="8073" w:type="dxa"/>
          </w:tcPr>
          <w:p w14:paraId="02597DB3"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Комплексная медицинская информационная система</w:t>
            </w:r>
          </w:p>
        </w:tc>
      </w:tr>
      <w:tr w:rsidR="009211A6" w:rsidRPr="004135FE" w14:paraId="2EADE14A" w14:textId="77777777" w:rsidTr="00EC71C2">
        <w:tc>
          <w:tcPr>
            <w:tcW w:w="1271" w:type="dxa"/>
          </w:tcPr>
          <w:p w14:paraId="0195E8EE"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ЛПУ</w:t>
            </w:r>
          </w:p>
        </w:tc>
        <w:tc>
          <w:tcPr>
            <w:tcW w:w="8073" w:type="dxa"/>
          </w:tcPr>
          <w:p w14:paraId="6F15B42C"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Лечебно-профилактических учреждений</w:t>
            </w:r>
          </w:p>
        </w:tc>
      </w:tr>
      <w:tr w:rsidR="009211A6" w:rsidRPr="004135FE" w14:paraId="7E7FE2E7" w14:textId="77777777" w:rsidTr="00EC71C2">
        <w:tc>
          <w:tcPr>
            <w:tcW w:w="1271" w:type="dxa"/>
          </w:tcPr>
          <w:p w14:paraId="5FA8A913"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eastAsia="Times New Roman" w:hAnsi="Times New Roman" w:cs="Times New Roman"/>
                <w:bCs/>
                <w:sz w:val="28"/>
                <w:szCs w:val="28"/>
              </w:rPr>
              <w:t xml:space="preserve">ЛС </w:t>
            </w:r>
          </w:p>
        </w:tc>
        <w:tc>
          <w:tcPr>
            <w:tcW w:w="8073" w:type="dxa"/>
          </w:tcPr>
          <w:p w14:paraId="646B2BE5" w14:textId="77777777" w:rsidR="009211A6" w:rsidRPr="004135FE" w:rsidRDefault="009211A6" w:rsidP="004135FE">
            <w:pPr>
              <w:spacing w:after="0" w:line="240" w:lineRule="auto"/>
              <w:rPr>
                <w:rFonts w:ascii="Times New Roman" w:hAnsi="Times New Roman" w:cs="Times New Roman"/>
                <w:b/>
                <w:sz w:val="28"/>
                <w:szCs w:val="28"/>
              </w:rPr>
            </w:pPr>
            <w:r w:rsidRPr="004135FE">
              <w:rPr>
                <w:rFonts w:ascii="Times New Roman" w:eastAsia="Times New Roman" w:hAnsi="Times New Roman" w:cs="Times New Roman"/>
                <w:bCs/>
                <w:sz w:val="28"/>
                <w:szCs w:val="28"/>
              </w:rPr>
              <w:t>Лекарственные средства</w:t>
            </w:r>
          </w:p>
        </w:tc>
      </w:tr>
      <w:tr w:rsidR="009211A6" w:rsidRPr="004135FE" w14:paraId="501830D1" w14:textId="77777777" w:rsidTr="00EC71C2">
        <w:tc>
          <w:tcPr>
            <w:tcW w:w="1271" w:type="dxa"/>
          </w:tcPr>
          <w:p w14:paraId="0B30BBA5" w14:textId="77777777" w:rsidR="009211A6" w:rsidRPr="004135FE" w:rsidRDefault="009211A6"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МЗ РК</w:t>
            </w:r>
          </w:p>
        </w:tc>
        <w:tc>
          <w:tcPr>
            <w:tcW w:w="8073" w:type="dxa"/>
          </w:tcPr>
          <w:p w14:paraId="679B6901" w14:textId="77777777" w:rsidR="009211A6" w:rsidRPr="004135FE" w:rsidRDefault="009211A6"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Министерство здравоохранения Республики Казахстан</w:t>
            </w:r>
          </w:p>
        </w:tc>
      </w:tr>
      <w:tr w:rsidR="009211A6" w:rsidRPr="004135FE" w14:paraId="5CC7250B" w14:textId="77777777" w:rsidTr="00EC71C2">
        <w:tc>
          <w:tcPr>
            <w:tcW w:w="1271" w:type="dxa"/>
          </w:tcPr>
          <w:p w14:paraId="4B159984" w14:textId="77777777" w:rsidR="009211A6" w:rsidRPr="004135FE" w:rsidRDefault="009211A6" w:rsidP="004135FE">
            <w:pPr>
              <w:spacing w:after="0" w:line="240" w:lineRule="auto"/>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МИ</w:t>
            </w:r>
          </w:p>
        </w:tc>
        <w:tc>
          <w:tcPr>
            <w:tcW w:w="8073" w:type="dxa"/>
          </w:tcPr>
          <w:p w14:paraId="16AF43C2" w14:textId="77777777" w:rsidR="009211A6" w:rsidRPr="004135FE" w:rsidRDefault="009211A6" w:rsidP="004135FE">
            <w:pPr>
              <w:spacing w:after="0" w:line="240" w:lineRule="auto"/>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Медицинские изделия</w:t>
            </w:r>
          </w:p>
        </w:tc>
      </w:tr>
      <w:tr w:rsidR="009211A6" w:rsidRPr="004135FE" w14:paraId="65FD4243" w14:textId="77777777" w:rsidTr="00EC71C2">
        <w:tc>
          <w:tcPr>
            <w:tcW w:w="1271" w:type="dxa"/>
          </w:tcPr>
          <w:p w14:paraId="5EE50058"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МКБ -11</w:t>
            </w:r>
          </w:p>
        </w:tc>
        <w:tc>
          <w:tcPr>
            <w:tcW w:w="8073" w:type="dxa"/>
          </w:tcPr>
          <w:p w14:paraId="124B18A6" w14:textId="77777777" w:rsidR="009211A6" w:rsidRPr="004135FE" w:rsidRDefault="009211A6"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 xml:space="preserve">Международный классификатор болезней одиннадцатого пересмотра </w:t>
            </w:r>
          </w:p>
        </w:tc>
      </w:tr>
      <w:tr w:rsidR="009211A6" w:rsidRPr="004135FE" w14:paraId="6A502CC1" w14:textId="77777777" w:rsidTr="00EC71C2">
        <w:tc>
          <w:tcPr>
            <w:tcW w:w="1271" w:type="dxa"/>
          </w:tcPr>
          <w:p w14:paraId="3FE3F9C1"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МО</w:t>
            </w:r>
          </w:p>
        </w:tc>
        <w:tc>
          <w:tcPr>
            <w:tcW w:w="8073" w:type="dxa"/>
          </w:tcPr>
          <w:p w14:paraId="27F12CCB"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Медицинская организация</w:t>
            </w:r>
          </w:p>
        </w:tc>
      </w:tr>
      <w:tr w:rsidR="009211A6" w:rsidRPr="004135FE" w14:paraId="1EBE9B2A" w14:textId="77777777" w:rsidTr="00EC71C2">
        <w:tc>
          <w:tcPr>
            <w:tcW w:w="1271" w:type="dxa"/>
          </w:tcPr>
          <w:p w14:paraId="20D1CD1E" w14:textId="77777777" w:rsidR="009211A6" w:rsidRPr="004135FE" w:rsidRDefault="009211A6" w:rsidP="004135FE">
            <w:pPr>
              <w:spacing w:after="0" w:line="240" w:lineRule="auto"/>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НИЗ</w:t>
            </w:r>
          </w:p>
        </w:tc>
        <w:tc>
          <w:tcPr>
            <w:tcW w:w="8073" w:type="dxa"/>
          </w:tcPr>
          <w:p w14:paraId="2BB6CC0B" w14:textId="77777777" w:rsidR="009211A6" w:rsidRPr="004135FE" w:rsidRDefault="009211A6" w:rsidP="004135FE">
            <w:pPr>
              <w:spacing w:after="0" w:line="240" w:lineRule="auto"/>
              <w:rPr>
                <w:rFonts w:ascii="Times New Roman" w:eastAsia="TimesNewRomanPSMT" w:hAnsi="Times New Roman" w:cs="Times New Roman"/>
                <w:sz w:val="28"/>
                <w:szCs w:val="28"/>
              </w:rPr>
            </w:pPr>
            <w:r w:rsidRPr="004135FE">
              <w:rPr>
                <w:rFonts w:ascii="Times New Roman" w:eastAsia="TimesNewRomanPSMT" w:hAnsi="Times New Roman" w:cs="Times New Roman"/>
                <w:sz w:val="28"/>
                <w:szCs w:val="28"/>
              </w:rPr>
              <w:t>Неинфекционные заболевания</w:t>
            </w:r>
          </w:p>
        </w:tc>
      </w:tr>
      <w:tr w:rsidR="009211A6" w:rsidRPr="004135FE" w14:paraId="3558A4F5" w14:textId="77777777" w:rsidTr="00EC71C2">
        <w:tc>
          <w:tcPr>
            <w:tcW w:w="1271" w:type="dxa"/>
          </w:tcPr>
          <w:p w14:paraId="11535395" w14:textId="77777777" w:rsidR="009211A6" w:rsidRPr="004135FE" w:rsidRDefault="009211A6" w:rsidP="004135FE">
            <w:pPr>
              <w:spacing w:after="0" w:line="240" w:lineRule="auto"/>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НПА</w:t>
            </w:r>
          </w:p>
        </w:tc>
        <w:tc>
          <w:tcPr>
            <w:tcW w:w="8073" w:type="dxa"/>
          </w:tcPr>
          <w:p w14:paraId="44BA2CE2" w14:textId="77777777" w:rsidR="009211A6" w:rsidRPr="004135FE" w:rsidRDefault="009211A6" w:rsidP="004135FE">
            <w:pPr>
              <w:spacing w:after="0" w:line="240" w:lineRule="auto"/>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Нормативно-правовые акты</w:t>
            </w:r>
          </w:p>
        </w:tc>
      </w:tr>
      <w:tr w:rsidR="009211A6" w:rsidRPr="004135FE" w14:paraId="35815EC1" w14:textId="77777777" w:rsidTr="00EC71C2">
        <w:tc>
          <w:tcPr>
            <w:tcW w:w="1271" w:type="dxa"/>
          </w:tcPr>
          <w:p w14:paraId="24BD1017" w14:textId="77777777" w:rsidR="009211A6" w:rsidRPr="004135FE" w:rsidRDefault="009211A6" w:rsidP="004135FE">
            <w:pPr>
              <w:spacing w:after="0" w:line="240" w:lineRule="auto"/>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НПО</w:t>
            </w:r>
          </w:p>
        </w:tc>
        <w:tc>
          <w:tcPr>
            <w:tcW w:w="8073" w:type="dxa"/>
          </w:tcPr>
          <w:p w14:paraId="041F07F8" w14:textId="77777777" w:rsidR="009211A6" w:rsidRPr="004135FE" w:rsidRDefault="009211A6" w:rsidP="004135FE">
            <w:pPr>
              <w:spacing w:after="0" w:line="240" w:lineRule="auto"/>
              <w:rPr>
                <w:rFonts w:ascii="Times New Roman" w:eastAsia="Times New Roman" w:hAnsi="Times New Roman" w:cs="Times New Roman"/>
                <w:bCs/>
                <w:sz w:val="28"/>
                <w:szCs w:val="28"/>
              </w:rPr>
            </w:pPr>
            <w:r w:rsidRPr="004135FE">
              <w:rPr>
                <w:rFonts w:ascii="Times New Roman" w:eastAsia="TimesNewRomanPSMT" w:hAnsi="Times New Roman" w:cs="Times New Roman"/>
                <w:sz w:val="28"/>
                <w:szCs w:val="28"/>
              </w:rPr>
              <w:t>Неправительственные организации</w:t>
            </w:r>
          </w:p>
        </w:tc>
      </w:tr>
      <w:tr w:rsidR="009211A6" w:rsidRPr="004135FE" w14:paraId="53AF4BE3" w14:textId="77777777" w:rsidTr="00EC71C2">
        <w:tc>
          <w:tcPr>
            <w:tcW w:w="1271" w:type="dxa"/>
          </w:tcPr>
          <w:p w14:paraId="3F1CEBA7" w14:textId="77777777" w:rsidR="009211A6" w:rsidRPr="004135FE" w:rsidRDefault="009211A6" w:rsidP="004135FE">
            <w:pPr>
              <w:spacing w:after="0" w:line="240" w:lineRule="auto"/>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НРСД</w:t>
            </w:r>
          </w:p>
        </w:tc>
        <w:tc>
          <w:tcPr>
            <w:tcW w:w="8073" w:type="dxa"/>
          </w:tcPr>
          <w:p w14:paraId="538941D4" w14:textId="77777777" w:rsidR="009211A6" w:rsidRPr="004135FE" w:rsidRDefault="009211A6" w:rsidP="004135FE">
            <w:pPr>
              <w:spacing w:after="0" w:line="240" w:lineRule="auto"/>
              <w:rPr>
                <w:rFonts w:ascii="Times New Roman" w:eastAsia="TimesNewRomanPSMT" w:hAnsi="Times New Roman" w:cs="Times New Roman"/>
                <w:sz w:val="28"/>
                <w:szCs w:val="28"/>
              </w:rPr>
            </w:pPr>
            <w:r w:rsidRPr="004135FE">
              <w:rPr>
                <w:rFonts w:ascii="Times New Roman" w:eastAsia="TimesNewRomanPSMT" w:hAnsi="Times New Roman" w:cs="Times New Roman"/>
                <w:sz w:val="28"/>
                <w:szCs w:val="28"/>
              </w:rPr>
              <w:t>Национальный регистр сахарного диабета</w:t>
            </w:r>
          </w:p>
        </w:tc>
      </w:tr>
      <w:tr w:rsidR="009211A6" w:rsidRPr="004135FE" w14:paraId="3AA88A45" w14:textId="77777777" w:rsidTr="00EC71C2">
        <w:tc>
          <w:tcPr>
            <w:tcW w:w="1271" w:type="dxa"/>
          </w:tcPr>
          <w:p w14:paraId="06FF368F"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НТГ</w:t>
            </w:r>
          </w:p>
        </w:tc>
        <w:tc>
          <w:tcPr>
            <w:tcW w:w="8073" w:type="dxa"/>
          </w:tcPr>
          <w:p w14:paraId="07DCBF6E" w14:textId="77777777" w:rsidR="009211A6" w:rsidRPr="004135FE" w:rsidRDefault="009211A6" w:rsidP="004135FE">
            <w:pPr>
              <w:spacing w:after="0" w:line="240" w:lineRule="auto"/>
              <w:rPr>
                <w:rFonts w:ascii="Times New Roman" w:hAnsi="Times New Roman" w:cs="Times New Roman"/>
                <w:b/>
                <w:sz w:val="28"/>
                <w:szCs w:val="28"/>
              </w:rPr>
            </w:pPr>
            <w:r w:rsidRPr="004135FE">
              <w:rPr>
                <w:rFonts w:ascii="Times New Roman" w:eastAsiaTheme="minorHAnsi" w:hAnsi="Times New Roman" w:cs="Times New Roman"/>
                <w:sz w:val="28"/>
                <w:szCs w:val="28"/>
                <w:lang w:eastAsia="en-US"/>
              </w:rPr>
              <w:t>Нарушенная толерантность к глюкозе</w:t>
            </w:r>
          </w:p>
        </w:tc>
      </w:tr>
      <w:tr w:rsidR="009211A6" w:rsidRPr="004135FE" w14:paraId="38B171B0" w14:textId="77777777" w:rsidTr="00EC71C2">
        <w:tc>
          <w:tcPr>
            <w:tcW w:w="1271" w:type="dxa"/>
          </w:tcPr>
          <w:p w14:paraId="6ECD5274" w14:textId="77777777" w:rsidR="009211A6" w:rsidRPr="004135FE" w:rsidRDefault="009211A6" w:rsidP="004135FE">
            <w:pPr>
              <w:spacing w:after="0" w:line="240" w:lineRule="auto"/>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НФА</w:t>
            </w:r>
          </w:p>
        </w:tc>
        <w:tc>
          <w:tcPr>
            <w:tcW w:w="8073" w:type="dxa"/>
          </w:tcPr>
          <w:p w14:paraId="55E120BA" w14:textId="77777777" w:rsidR="009211A6" w:rsidRPr="004135FE" w:rsidRDefault="009211A6" w:rsidP="004135FE">
            <w:pPr>
              <w:spacing w:after="0" w:line="240" w:lineRule="auto"/>
              <w:rPr>
                <w:rFonts w:ascii="Times New Roman" w:eastAsia="TimesNewRomanPSMT" w:hAnsi="Times New Roman" w:cs="Times New Roman"/>
                <w:sz w:val="28"/>
                <w:szCs w:val="28"/>
              </w:rPr>
            </w:pPr>
            <w:r w:rsidRPr="004135FE">
              <w:rPr>
                <w:rFonts w:ascii="Times New Roman" w:eastAsia="MyriadPro-Regular" w:hAnsi="Times New Roman" w:cs="Times New Roman"/>
                <w:sz w:val="28"/>
                <w:szCs w:val="28"/>
              </w:rPr>
              <w:t>Недостаток физической активности</w:t>
            </w:r>
          </w:p>
        </w:tc>
      </w:tr>
      <w:tr w:rsidR="009211A6" w:rsidRPr="004135FE" w14:paraId="499E8459" w14:textId="77777777" w:rsidTr="00EC71C2">
        <w:tc>
          <w:tcPr>
            <w:tcW w:w="1271" w:type="dxa"/>
          </w:tcPr>
          <w:p w14:paraId="0A6338EB"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ООН</w:t>
            </w:r>
          </w:p>
        </w:tc>
        <w:tc>
          <w:tcPr>
            <w:tcW w:w="8073" w:type="dxa"/>
          </w:tcPr>
          <w:p w14:paraId="1B8B49E5"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Организация Объединенных наций</w:t>
            </w:r>
          </w:p>
        </w:tc>
      </w:tr>
      <w:tr w:rsidR="009211A6" w:rsidRPr="004135FE" w14:paraId="339A458B" w14:textId="77777777" w:rsidTr="00EC71C2">
        <w:tc>
          <w:tcPr>
            <w:tcW w:w="1271" w:type="dxa"/>
          </w:tcPr>
          <w:p w14:paraId="61481FF9"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ОСМС</w:t>
            </w:r>
          </w:p>
        </w:tc>
        <w:tc>
          <w:tcPr>
            <w:tcW w:w="8073" w:type="dxa"/>
          </w:tcPr>
          <w:p w14:paraId="26FF84E6"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Обязательное социальное медицинское страхование</w:t>
            </w:r>
          </w:p>
        </w:tc>
      </w:tr>
      <w:tr w:rsidR="009211A6" w:rsidRPr="004135FE" w14:paraId="533F1EFA" w14:textId="77777777" w:rsidTr="00EC71C2">
        <w:tc>
          <w:tcPr>
            <w:tcW w:w="1271" w:type="dxa"/>
          </w:tcPr>
          <w:p w14:paraId="406AC51B"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ОФОЗ</w:t>
            </w:r>
          </w:p>
        </w:tc>
        <w:tc>
          <w:tcPr>
            <w:tcW w:w="8073" w:type="dxa"/>
          </w:tcPr>
          <w:p w14:paraId="5B186DF4" w14:textId="77777777" w:rsidR="009211A6" w:rsidRPr="004135FE" w:rsidRDefault="009211A6" w:rsidP="004135FE">
            <w:pPr>
              <w:spacing w:after="0" w:line="240" w:lineRule="auto"/>
              <w:rPr>
                <w:rFonts w:ascii="Times New Roman" w:hAnsi="Times New Roman" w:cs="Times New Roman"/>
                <w:b/>
                <w:sz w:val="28"/>
                <w:szCs w:val="28"/>
              </w:rPr>
            </w:pPr>
            <w:r w:rsidRPr="004135FE">
              <w:rPr>
                <w:rFonts w:ascii="Times New Roman" w:hAnsi="Times New Roman" w:cs="Times New Roman"/>
                <w:sz w:val="28"/>
                <w:szCs w:val="28"/>
              </w:rPr>
              <w:t>Основные функций общественного здравоохранения</w:t>
            </w:r>
          </w:p>
        </w:tc>
      </w:tr>
      <w:tr w:rsidR="009211A6" w:rsidRPr="004135FE" w14:paraId="0DE85F6C" w14:textId="77777777" w:rsidTr="00EC71C2">
        <w:tc>
          <w:tcPr>
            <w:tcW w:w="1271" w:type="dxa"/>
          </w:tcPr>
          <w:p w14:paraId="379447E5"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ПМСП</w:t>
            </w:r>
          </w:p>
        </w:tc>
        <w:tc>
          <w:tcPr>
            <w:tcW w:w="8073" w:type="dxa"/>
          </w:tcPr>
          <w:p w14:paraId="4E96E552"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Первичная медико-санитарная помощь</w:t>
            </w:r>
          </w:p>
        </w:tc>
      </w:tr>
      <w:tr w:rsidR="009211A6" w:rsidRPr="004135FE" w14:paraId="4574C7F1" w14:textId="77777777" w:rsidTr="00EC71C2">
        <w:tc>
          <w:tcPr>
            <w:tcW w:w="1271" w:type="dxa"/>
          </w:tcPr>
          <w:p w14:paraId="26A1638A" w14:textId="77777777" w:rsidR="009211A6" w:rsidRPr="004135FE" w:rsidRDefault="009211A6" w:rsidP="004135FE">
            <w:pPr>
              <w:spacing w:after="0" w:line="240" w:lineRule="auto"/>
              <w:jc w:val="both"/>
              <w:rPr>
                <w:rFonts w:ascii="Times New Roman" w:hAnsi="Times New Roman" w:cs="Times New Roman"/>
                <w:b/>
                <w:sz w:val="28"/>
                <w:szCs w:val="28"/>
              </w:rPr>
            </w:pPr>
            <w:r w:rsidRPr="004135FE">
              <w:rPr>
                <w:rFonts w:ascii="Times New Roman" w:hAnsi="Times New Roman" w:cs="Times New Roman"/>
                <w:sz w:val="28"/>
                <w:szCs w:val="28"/>
              </w:rPr>
              <w:t>ПССП</w:t>
            </w:r>
          </w:p>
        </w:tc>
        <w:tc>
          <w:tcPr>
            <w:tcW w:w="8073" w:type="dxa"/>
          </w:tcPr>
          <w:p w14:paraId="18746C8B" w14:textId="77777777" w:rsidR="009211A6" w:rsidRPr="004135FE" w:rsidRDefault="009211A6"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Пероральные сахароснижающие препараты</w:t>
            </w:r>
          </w:p>
        </w:tc>
      </w:tr>
      <w:tr w:rsidR="009211A6" w:rsidRPr="004135FE" w14:paraId="4B973236" w14:textId="77777777" w:rsidTr="00EC71C2">
        <w:tc>
          <w:tcPr>
            <w:tcW w:w="1271" w:type="dxa"/>
          </w:tcPr>
          <w:p w14:paraId="2C275247"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ПУЗ</w:t>
            </w:r>
          </w:p>
        </w:tc>
        <w:tc>
          <w:tcPr>
            <w:tcW w:w="8073" w:type="dxa"/>
          </w:tcPr>
          <w:p w14:paraId="7B8C2C94" w14:textId="77777777" w:rsidR="009211A6" w:rsidRPr="004135FE" w:rsidRDefault="009211A6" w:rsidP="004135FE">
            <w:pPr>
              <w:spacing w:after="0" w:line="240" w:lineRule="auto"/>
              <w:rPr>
                <w:rFonts w:ascii="Times New Roman" w:hAnsi="Times New Roman" w:cs="Times New Roman"/>
                <w:b/>
                <w:sz w:val="28"/>
                <w:szCs w:val="28"/>
              </w:rPr>
            </w:pPr>
            <w:r w:rsidRPr="004135FE">
              <w:rPr>
                <w:rFonts w:ascii="Times New Roman" w:hAnsi="Times New Roman" w:cs="Times New Roman"/>
                <w:spacing w:val="2"/>
                <w:sz w:val="28"/>
                <w:szCs w:val="28"/>
              </w:rPr>
              <w:t>Программа управления заболеваниями</w:t>
            </w:r>
          </w:p>
        </w:tc>
      </w:tr>
      <w:tr w:rsidR="009211A6" w:rsidRPr="004135FE" w14:paraId="7963ADA3" w14:textId="77777777" w:rsidTr="00EC71C2">
        <w:tc>
          <w:tcPr>
            <w:tcW w:w="1271" w:type="dxa"/>
          </w:tcPr>
          <w:p w14:paraId="026E129E" w14:textId="77777777" w:rsidR="009211A6" w:rsidRPr="004135FE" w:rsidRDefault="009211A6" w:rsidP="004135FE">
            <w:pPr>
              <w:spacing w:after="0" w:line="240" w:lineRule="auto"/>
              <w:rPr>
                <w:rFonts w:ascii="Times New Roman" w:eastAsiaTheme="minorHAnsi" w:hAnsi="Times New Roman" w:cs="Times New Roman"/>
                <w:sz w:val="28"/>
                <w:szCs w:val="28"/>
                <w:lang w:eastAsia="en-US"/>
              </w:rPr>
            </w:pPr>
            <w:r w:rsidRPr="00284310">
              <w:rPr>
                <w:rFonts w:ascii="Times New Roman" w:eastAsiaTheme="minorHAnsi" w:hAnsi="Times New Roman" w:cs="Times New Roman"/>
                <w:sz w:val="28"/>
                <w:szCs w:val="28"/>
                <w:lang w:eastAsia="en-US"/>
              </w:rPr>
              <w:t>РОО</w:t>
            </w:r>
            <w:r w:rsidRPr="004135FE">
              <w:rPr>
                <w:rFonts w:ascii="Times New Roman" w:eastAsiaTheme="minorHAnsi" w:hAnsi="Times New Roman" w:cs="Times New Roman"/>
                <w:sz w:val="28"/>
                <w:szCs w:val="28"/>
                <w:lang w:eastAsia="en-US"/>
              </w:rPr>
              <w:t xml:space="preserve"> АВЭК</w:t>
            </w:r>
          </w:p>
        </w:tc>
        <w:tc>
          <w:tcPr>
            <w:tcW w:w="8073" w:type="dxa"/>
          </w:tcPr>
          <w:p w14:paraId="1EC038B0" w14:textId="19301485" w:rsidR="009211A6" w:rsidRDefault="00284310" w:rsidP="004135FE">
            <w:pPr>
              <w:spacing w:after="0" w:line="240" w:lineRule="auto"/>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Республиканское Общественное Объединение</w:t>
            </w:r>
          </w:p>
          <w:p w14:paraId="53CCF86F" w14:textId="4F4B71B5" w:rsidR="00EC71C2" w:rsidRPr="004135FE" w:rsidRDefault="00EC71C2" w:rsidP="004135FE">
            <w:pPr>
              <w:spacing w:after="0" w:line="240" w:lineRule="auto"/>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Ассоциация врачей-эндокринологов Казахстана</w:t>
            </w:r>
          </w:p>
        </w:tc>
      </w:tr>
      <w:tr w:rsidR="009211A6" w:rsidRPr="004135FE" w14:paraId="374C51AB" w14:textId="77777777" w:rsidTr="00EC71C2">
        <w:tc>
          <w:tcPr>
            <w:tcW w:w="1271" w:type="dxa"/>
          </w:tcPr>
          <w:p w14:paraId="00094BF7"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СД</w:t>
            </w:r>
          </w:p>
        </w:tc>
        <w:tc>
          <w:tcPr>
            <w:tcW w:w="8073" w:type="dxa"/>
          </w:tcPr>
          <w:p w14:paraId="7FB3FF0B"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 xml:space="preserve">Сахарный диабет </w:t>
            </w:r>
          </w:p>
        </w:tc>
      </w:tr>
      <w:tr w:rsidR="009211A6" w:rsidRPr="004135FE" w14:paraId="742F0463" w14:textId="77777777" w:rsidTr="00EC71C2">
        <w:tc>
          <w:tcPr>
            <w:tcW w:w="1271" w:type="dxa"/>
          </w:tcPr>
          <w:p w14:paraId="05E5DA60"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СД1т</w:t>
            </w:r>
          </w:p>
        </w:tc>
        <w:tc>
          <w:tcPr>
            <w:tcW w:w="8073" w:type="dxa"/>
          </w:tcPr>
          <w:p w14:paraId="5DF752C4"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Сахарный диабет 1 типа</w:t>
            </w:r>
          </w:p>
        </w:tc>
      </w:tr>
      <w:tr w:rsidR="009211A6" w:rsidRPr="004135FE" w14:paraId="16E78678" w14:textId="77777777" w:rsidTr="00EC71C2">
        <w:tc>
          <w:tcPr>
            <w:tcW w:w="1271" w:type="dxa"/>
          </w:tcPr>
          <w:p w14:paraId="4AC84C57"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СД2т</w:t>
            </w:r>
          </w:p>
        </w:tc>
        <w:tc>
          <w:tcPr>
            <w:tcW w:w="8073" w:type="dxa"/>
          </w:tcPr>
          <w:p w14:paraId="0125818C"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Сахарный диабет 2 типа</w:t>
            </w:r>
          </w:p>
        </w:tc>
      </w:tr>
      <w:tr w:rsidR="009211A6" w:rsidRPr="004135FE" w14:paraId="38C90336" w14:textId="77777777" w:rsidTr="00EC71C2">
        <w:tc>
          <w:tcPr>
            <w:tcW w:w="1271" w:type="dxa"/>
          </w:tcPr>
          <w:p w14:paraId="4B1E5C52"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СМР</w:t>
            </w:r>
          </w:p>
        </w:tc>
        <w:tc>
          <w:tcPr>
            <w:tcW w:w="8073" w:type="dxa"/>
          </w:tcPr>
          <w:p w14:paraId="66C89A01"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Средний медицинский персонал</w:t>
            </w:r>
          </w:p>
        </w:tc>
      </w:tr>
      <w:tr w:rsidR="009211A6" w:rsidRPr="004135FE" w14:paraId="6CD9B4A4" w14:textId="77777777" w:rsidTr="00EC71C2">
        <w:tc>
          <w:tcPr>
            <w:tcW w:w="1271" w:type="dxa"/>
          </w:tcPr>
          <w:p w14:paraId="128D0935" w14:textId="77777777" w:rsidR="009211A6" w:rsidRPr="004135FE" w:rsidRDefault="009211A6"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СОЗ</w:t>
            </w:r>
          </w:p>
        </w:tc>
        <w:tc>
          <w:tcPr>
            <w:tcW w:w="8073" w:type="dxa"/>
          </w:tcPr>
          <w:p w14:paraId="47A700E2" w14:textId="77777777" w:rsidR="009211A6" w:rsidRPr="004135FE" w:rsidRDefault="009211A6"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4135FE">
              <w:rPr>
                <w:rFonts w:ascii="Times New Roman" w:hAnsi="Times New Roman" w:cs="Times New Roman"/>
                <w:sz w:val="28"/>
                <w:szCs w:val="28"/>
              </w:rPr>
              <w:t>Служба общественного здоровья</w:t>
            </w:r>
          </w:p>
        </w:tc>
      </w:tr>
      <w:tr w:rsidR="009211A6" w:rsidRPr="004135FE" w14:paraId="64AD1233" w14:textId="77777777" w:rsidTr="00EC71C2">
        <w:tc>
          <w:tcPr>
            <w:tcW w:w="1271" w:type="dxa"/>
          </w:tcPr>
          <w:p w14:paraId="76F3EFE9"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ССП</w:t>
            </w:r>
          </w:p>
        </w:tc>
        <w:tc>
          <w:tcPr>
            <w:tcW w:w="8073" w:type="dxa"/>
          </w:tcPr>
          <w:p w14:paraId="0747B310" w14:textId="77777777" w:rsidR="009211A6" w:rsidRPr="004135FE" w:rsidRDefault="009211A6" w:rsidP="004135FE">
            <w:pPr>
              <w:spacing w:after="0" w:line="240" w:lineRule="auto"/>
              <w:rPr>
                <w:rFonts w:ascii="Times New Roman" w:hAnsi="Times New Roman" w:cs="Times New Roman"/>
                <w:b/>
                <w:sz w:val="28"/>
                <w:szCs w:val="28"/>
              </w:rPr>
            </w:pPr>
            <w:r w:rsidRPr="004135FE">
              <w:rPr>
                <w:rFonts w:ascii="Times New Roman" w:eastAsiaTheme="minorHAnsi" w:hAnsi="Times New Roman" w:cs="Times New Roman"/>
                <w:sz w:val="28"/>
                <w:szCs w:val="28"/>
                <w:lang w:eastAsia="en-US"/>
              </w:rPr>
              <w:t>Сахароснижающие препараты</w:t>
            </w:r>
          </w:p>
        </w:tc>
      </w:tr>
      <w:tr w:rsidR="009211A6" w:rsidRPr="004135FE" w14:paraId="37BBC6ED" w14:textId="77777777" w:rsidTr="00EC71C2">
        <w:tc>
          <w:tcPr>
            <w:tcW w:w="1271" w:type="dxa"/>
          </w:tcPr>
          <w:p w14:paraId="5EA020DE" w14:textId="77777777" w:rsidR="009211A6" w:rsidRPr="004135FE" w:rsidRDefault="009211A6" w:rsidP="004135FE">
            <w:pPr>
              <w:spacing w:after="0" w:line="240" w:lineRule="auto"/>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ССТ</w:t>
            </w:r>
          </w:p>
        </w:tc>
        <w:tc>
          <w:tcPr>
            <w:tcW w:w="8073" w:type="dxa"/>
          </w:tcPr>
          <w:p w14:paraId="4019C588" w14:textId="77777777" w:rsidR="009211A6" w:rsidRPr="004135FE" w:rsidRDefault="009211A6" w:rsidP="004135FE">
            <w:pPr>
              <w:spacing w:after="0" w:line="240" w:lineRule="auto"/>
              <w:rPr>
                <w:rFonts w:ascii="Times New Roman" w:hAnsi="Times New Roman" w:cs="Times New Roman"/>
                <w:b/>
                <w:sz w:val="28"/>
                <w:szCs w:val="28"/>
              </w:rPr>
            </w:pPr>
            <w:r w:rsidRPr="004135FE">
              <w:rPr>
                <w:rFonts w:ascii="Times New Roman" w:eastAsiaTheme="minorHAnsi" w:hAnsi="Times New Roman" w:cs="Times New Roman"/>
                <w:sz w:val="28"/>
                <w:szCs w:val="28"/>
                <w:lang w:eastAsia="en-US"/>
              </w:rPr>
              <w:t>Сахароснижающая терапия</w:t>
            </w:r>
          </w:p>
        </w:tc>
      </w:tr>
      <w:tr w:rsidR="009211A6" w:rsidRPr="004135FE" w14:paraId="062C3270" w14:textId="77777777" w:rsidTr="00EC71C2">
        <w:tc>
          <w:tcPr>
            <w:tcW w:w="1271" w:type="dxa"/>
          </w:tcPr>
          <w:p w14:paraId="39CB47BE" w14:textId="77777777" w:rsidR="009211A6" w:rsidRPr="004135FE" w:rsidRDefault="009211A6" w:rsidP="004135FE">
            <w:pPr>
              <w:spacing w:after="0" w:line="240" w:lineRule="auto"/>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lastRenderedPageBreak/>
              <w:t>ФА</w:t>
            </w:r>
          </w:p>
        </w:tc>
        <w:tc>
          <w:tcPr>
            <w:tcW w:w="8073" w:type="dxa"/>
          </w:tcPr>
          <w:p w14:paraId="468C0F1A" w14:textId="77777777" w:rsidR="009211A6" w:rsidRPr="004135FE" w:rsidRDefault="009211A6" w:rsidP="004135FE">
            <w:pPr>
              <w:spacing w:after="0" w:line="240" w:lineRule="auto"/>
              <w:rPr>
                <w:rFonts w:ascii="Times New Roman" w:eastAsia="TimesNewRomanPSMT" w:hAnsi="Times New Roman" w:cs="Times New Roman"/>
                <w:sz w:val="28"/>
                <w:szCs w:val="28"/>
              </w:rPr>
            </w:pPr>
            <w:r w:rsidRPr="004135FE">
              <w:rPr>
                <w:rFonts w:ascii="Times New Roman" w:eastAsia="TimesNewRomanPSMT" w:hAnsi="Times New Roman" w:cs="Times New Roman"/>
                <w:sz w:val="28"/>
                <w:szCs w:val="28"/>
              </w:rPr>
              <w:t>Физическая активность</w:t>
            </w:r>
          </w:p>
        </w:tc>
      </w:tr>
      <w:tr w:rsidR="009211A6" w:rsidRPr="004135FE" w14:paraId="6116DF6E" w14:textId="77777777" w:rsidTr="00EC71C2">
        <w:tc>
          <w:tcPr>
            <w:tcW w:w="1271" w:type="dxa"/>
          </w:tcPr>
          <w:p w14:paraId="6897ABEE" w14:textId="77777777" w:rsidR="009211A6" w:rsidRPr="004135FE" w:rsidRDefault="009211A6" w:rsidP="004135FE">
            <w:pPr>
              <w:spacing w:after="0" w:line="240" w:lineRule="auto"/>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ХНИЗ</w:t>
            </w:r>
          </w:p>
        </w:tc>
        <w:tc>
          <w:tcPr>
            <w:tcW w:w="8073" w:type="dxa"/>
          </w:tcPr>
          <w:p w14:paraId="1DABC0F9" w14:textId="77777777" w:rsidR="009211A6" w:rsidRPr="004135FE" w:rsidRDefault="009211A6" w:rsidP="004135FE">
            <w:pPr>
              <w:spacing w:after="0" w:line="240" w:lineRule="auto"/>
              <w:rPr>
                <w:rFonts w:ascii="Times New Roman" w:eastAsia="TimesNewRomanPSMT" w:hAnsi="Times New Roman" w:cs="Times New Roman"/>
                <w:sz w:val="28"/>
                <w:szCs w:val="28"/>
              </w:rPr>
            </w:pPr>
            <w:r w:rsidRPr="004135FE">
              <w:rPr>
                <w:rFonts w:ascii="Times New Roman" w:eastAsia="TimesNewRomanPSMT" w:hAnsi="Times New Roman" w:cs="Times New Roman"/>
                <w:sz w:val="28"/>
                <w:szCs w:val="28"/>
              </w:rPr>
              <w:t>Хронические неинфекционные заболевания</w:t>
            </w:r>
          </w:p>
        </w:tc>
      </w:tr>
      <w:tr w:rsidR="009211A6" w:rsidRPr="004135FE" w14:paraId="7115C1AE" w14:textId="77777777" w:rsidTr="00EC71C2">
        <w:tc>
          <w:tcPr>
            <w:tcW w:w="1271" w:type="dxa"/>
          </w:tcPr>
          <w:p w14:paraId="45866A09" w14:textId="77777777" w:rsidR="009211A6" w:rsidRPr="004135FE" w:rsidRDefault="009211A6" w:rsidP="004135FE">
            <w:pPr>
              <w:spacing w:after="0" w:line="240" w:lineRule="auto"/>
              <w:rPr>
                <w:rFonts w:ascii="Times New Roman" w:eastAsia="Times New Roman" w:hAnsi="Times New Roman" w:cs="Times New Roman"/>
                <w:bCs/>
                <w:sz w:val="28"/>
                <w:szCs w:val="28"/>
              </w:rPr>
            </w:pPr>
            <w:r w:rsidRPr="004135FE">
              <w:rPr>
                <w:rFonts w:ascii="Times New Roman" w:eastAsiaTheme="minorHAnsi" w:hAnsi="Times New Roman" w:cs="Times New Roman"/>
                <w:sz w:val="28"/>
                <w:szCs w:val="28"/>
                <w:lang w:eastAsia="en-US"/>
              </w:rPr>
              <w:t>ЦУР</w:t>
            </w:r>
          </w:p>
        </w:tc>
        <w:tc>
          <w:tcPr>
            <w:tcW w:w="8073" w:type="dxa"/>
          </w:tcPr>
          <w:p w14:paraId="509EA466" w14:textId="77777777" w:rsidR="009211A6" w:rsidRPr="004135FE" w:rsidRDefault="009211A6" w:rsidP="004135FE">
            <w:pPr>
              <w:spacing w:after="0" w:line="240" w:lineRule="auto"/>
              <w:rPr>
                <w:rFonts w:ascii="Times New Roman" w:eastAsia="TimesNewRomanPSMT" w:hAnsi="Times New Roman" w:cs="Times New Roman"/>
                <w:sz w:val="28"/>
                <w:szCs w:val="28"/>
              </w:rPr>
            </w:pPr>
            <w:r w:rsidRPr="004135FE">
              <w:rPr>
                <w:rFonts w:ascii="Times New Roman" w:eastAsia="TimesNewRomanPSMT" w:hAnsi="Times New Roman" w:cs="Times New Roman"/>
                <w:sz w:val="28"/>
                <w:szCs w:val="28"/>
              </w:rPr>
              <w:t>Цели устойчивого развития</w:t>
            </w:r>
          </w:p>
        </w:tc>
      </w:tr>
      <w:tr w:rsidR="009211A6" w:rsidRPr="004135FE" w14:paraId="582E9303" w14:textId="77777777" w:rsidTr="00EC71C2">
        <w:tc>
          <w:tcPr>
            <w:tcW w:w="1271" w:type="dxa"/>
          </w:tcPr>
          <w:p w14:paraId="6AB42E3D" w14:textId="77777777" w:rsidR="009211A6" w:rsidRPr="004135FE" w:rsidRDefault="009211A6" w:rsidP="004135FE">
            <w:pPr>
              <w:spacing w:after="0" w:line="240" w:lineRule="auto"/>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ШД</w:t>
            </w:r>
          </w:p>
        </w:tc>
        <w:tc>
          <w:tcPr>
            <w:tcW w:w="8073" w:type="dxa"/>
          </w:tcPr>
          <w:p w14:paraId="1D5EC815" w14:textId="77777777" w:rsidR="009211A6" w:rsidRPr="004135FE" w:rsidRDefault="009211A6" w:rsidP="004135FE">
            <w:pPr>
              <w:spacing w:after="0" w:line="240" w:lineRule="auto"/>
              <w:rPr>
                <w:rFonts w:ascii="Times New Roman" w:eastAsia="TimesNewRomanPSMT" w:hAnsi="Times New Roman" w:cs="Times New Roman"/>
                <w:sz w:val="28"/>
                <w:szCs w:val="28"/>
              </w:rPr>
            </w:pPr>
            <w:r w:rsidRPr="004135FE">
              <w:rPr>
                <w:rFonts w:ascii="Times New Roman" w:eastAsia="TimesNewRomanPSMT" w:hAnsi="Times New Roman" w:cs="Times New Roman"/>
                <w:sz w:val="28"/>
                <w:szCs w:val="28"/>
              </w:rPr>
              <w:t>Школа Диабета</w:t>
            </w:r>
          </w:p>
        </w:tc>
      </w:tr>
    </w:tbl>
    <w:p w14:paraId="0DCABB93" w14:textId="77777777" w:rsidR="009211A6" w:rsidRPr="004135FE" w:rsidRDefault="009211A6" w:rsidP="004135FE">
      <w:pPr>
        <w:spacing w:line="240" w:lineRule="auto"/>
        <w:ind w:firstLine="567"/>
        <w:rPr>
          <w:sz w:val="28"/>
          <w:szCs w:val="28"/>
        </w:rPr>
      </w:pPr>
    </w:p>
    <w:p w14:paraId="358AB5F1" w14:textId="77777777" w:rsidR="009211A6" w:rsidRPr="004135FE" w:rsidRDefault="009211A6" w:rsidP="004135FE">
      <w:pPr>
        <w:spacing w:after="0" w:line="240" w:lineRule="auto"/>
        <w:jc w:val="both"/>
        <w:rPr>
          <w:rFonts w:ascii="Times New Roman" w:hAnsi="Times New Roman" w:cs="Times New Roman"/>
          <w:b/>
          <w:sz w:val="28"/>
          <w:szCs w:val="28"/>
        </w:rPr>
      </w:pPr>
    </w:p>
    <w:p w14:paraId="2572B997" w14:textId="77777777" w:rsidR="009211A6" w:rsidRPr="004135FE" w:rsidRDefault="009211A6" w:rsidP="004135FE">
      <w:pPr>
        <w:spacing w:after="0" w:line="240" w:lineRule="auto"/>
        <w:jc w:val="both"/>
        <w:rPr>
          <w:rFonts w:ascii="Times New Roman" w:hAnsi="Times New Roman" w:cs="Times New Roman"/>
          <w:b/>
          <w:sz w:val="28"/>
          <w:szCs w:val="28"/>
        </w:rPr>
      </w:pPr>
    </w:p>
    <w:p w14:paraId="3D46A3EE" w14:textId="77777777" w:rsidR="009211A6" w:rsidRPr="004135FE" w:rsidRDefault="009211A6" w:rsidP="004135FE">
      <w:pPr>
        <w:spacing w:after="0" w:line="240" w:lineRule="auto"/>
        <w:ind w:firstLine="708"/>
        <w:jc w:val="both"/>
        <w:rPr>
          <w:rFonts w:ascii="Times New Roman" w:hAnsi="Times New Roman" w:cs="Times New Roman"/>
          <w:b/>
          <w:sz w:val="28"/>
          <w:szCs w:val="28"/>
        </w:rPr>
        <w:sectPr w:rsidR="009211A6" w:rsidRPr="004135FE" w:rsidSect="00EC71C2">
          <w:type w:val="nextColumn"/>
          <w:pgSz w:w="11906" w:h="16838"/>
          <w:pgMar w:top="1134" w:right="851" w:bottom="1134" w:left="1701" w:header="708" w:footer="708" w:gutter="0"/>
          <w:cols w:space="708"/>
          <w:docGrid w:linePitch="360"/>
        </w:sectPr>
      </w:pPr>
    </w:p>
    <w:p w14:paraId="5A0BC5A4" w14:textId="3FDB65D2" w:rsidR="009211A6" w:rsidRDefault="009211A6" w:rsidP="00856043">
      <w:pPr>
        <w:spacing w:after="0" w:line="240" w:lineRule="auto"/>
        <w:jc w:val="center"/>
        <w:rPr>
          <w:rFonts w:ascii="Times New Roman" w:hAnsi="Times New Roman" w:cs="Times New Roman"/>
          <w:b/>
          <w:sz w:val="28"/>
          <w:szCs w:val="28"/>
        </w:rPr>
      </w:pPr>
      <w:r w:rsidRPr="004135FE">
        <w:rPr>
          <w:rFonts w:ascii="Times New Roman" w:hAnsi="Times New Roman" w:cs="Times New Roman"/>
          <w:b/>
          <w:sz w:val="28"/>
          <w:szCs w:val="28"/>
        </w:rPr>
        <w:lastRenderedPageBreak/>
        <w:t>ВВЕДЕНИЕ</w:t>
      </w:r>
    </w:p>
    <w:p w14:paraId="5EDE0839" w14:textId="77777777" w:rsidR="00C07AC9" w:rsidRPr="004135FE" w:rsidRDefault="00C07AC9" w:rsidP="00DB42AB">
      <w:pPr>
        <w:spacing w:after="0" w:line="240" w:lineRule="auto"/>
        <w:ind w:firstLine="567"/>
        <w:jc w:val="center"/>
        <w:rPr>
          <w:rFonts w:ascii="Times New Roman" w:hAnsi="Times New Roman" w:cs="Times New Roman"/>
          <w:b/>
          <w:sz w:val="28"/>
          <w:szCs w:val="28"/>
        </w:rPr>
      </w:pPr>
    </w:p>
    <w:p w14:paraId="10A9F8CD" w14:textId="77777777" w:rsidR="009211A6" w:rsidRPr="004135FE" w:rsidRDefault="009211A6" w:rsidP="00C07AC9">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Сахарный диабет 2типа (СД2т) и глюкозотоксичность, невзирая на современные технологии, высокоразвитые диагностические мероприятия и лечения приводят к высокой инвалидности и летальным исходам [1]. </w:t>
      </w:r>
      <w:r w:rsidRPr="004135FE">
        <w:rPr>
          <w:rFonts w:ascii="Times New Roman" w:eastAsia="Times New Roman" w:hAnsi="Times New Roman" w:cs="Times New Roman"/>
          <w:sz w:val="28"/>
          <w:szCs w:val="28"/>
        </w:rPr>
        <w:t>По данным глобальной оценки состояния здоровья, в 2019г во всем мире 7 из 10 ведущих причин смерти были хронические неинфекционные заболевания, где диабет занимает важное место. На эти семь причин приходилось 44% всех смертей или 80% 10 основных причин. На все хронические неинфекционные заболевания вместе приходилось 74% смертей во всем мире. Среди них диабет стал непосредственной причиной 1,5 миллиона случаев смерти, и 48% всех связанных с диабетом случаев смерти произошли в возрасте до 70 лет</w:t>
      </w:r>
      <w:r w:rsidRPr="004135FE">
        <w:rPr>
          <w:rFonts w:ascii="Times New Roman" w:eastAsia="MyriadPro-Regular" w:hAnsi="Times New Roman" w:cs="Times New Roman"/>
          <w:sz w:val="28"/>
          <w:szCs w:val="28"/>
          <w:lang w:eastAsia="en-US"/>
        </w:rPr>
        <w:t xml:space="preserve"> [2].</w:t>
      </w:r>
      <w:r w:rsidRPr="004135FE">
        <w:rPr>
          <w:rFonts w:ascii="Times New Roman" w:hAnsi="Times New Roman" w:cs="Times New Roman"/>
          <w:sz w:val="28"/>
          <w:szCs w:val="28"/>
        </w:rPr>
        <w:t xml:space="preserve">  </w:t>
      </w:r>
    </w:p>
    <w:p w14:paraId="63BA8A3E" w14:textId="77777777" w:rsidR="009211A6" w:rsidRPr="004135FE" w:rsidRDefault="009211A6" w:rsidP="00C07AC9">
      <w:pPr>
        <w:autoSpaceDE w:val="0"/>
        <w:autoSpaceDN w:val="0"/>
        <w:adjustRightInd w:val="0"/>
        <w:spacing w:after="0" w:line="240" w:lineRule="auto"/>
        <w:ind w:firstLine="709"/>
        <w:jc w:val="both"/>
        <w:rPr>
          <w:rFonts w:ascii="Times New Roman" w:eastAsia="MyriadPro-Regular" w:hAnsi="Times New Roman" w:cs="Times New Roman"/>
          <w:sz w:val="28"/>
          <w:szCs w:val="28"/>
          <w:lang w:eastAsia="en-US"/>
        </w:rPr>
      </w:pPr>
      <w:r w:rsidRPr="004135FE">
        <w:rPr>
          <w:rFonts w:ascii="Times New Roman" w:hAnsi="Times New Roman" w:cs="Times New Roman"/>
          <w:sz w:val="28"/>
          <w:szCs w:val="28"/>
        </w:rPr>
        <w:t xml:space="preserve">СД2т - это хроническое метаболическое неинфекционное заболевание, представляющее серьезную проблему для общественного здравоохранения и оказывающее существенное влияние на продолжительность жизни, качество жизни и расходы системы глобального здравоохранения [3]. По оценкам </w:t>
      </w:r>
      <w:r w:rsidRPr="004135FE">
        <w:rPr>
          <w:rFonts w:ascii="Times New Roman" w:hAnsi="Times New Roman" w:cs="Times New Roman"/>
          <w:sz w:val="28"/>
          <w:szCs w:val="28"/>
          <w:lang w:val="en-US"/>
        </w:rPr>
        <w:t>IDF</w:t>
      </w:r>
      <w:r w:rsidRPr="004135FE">
        <w:rPr>
          <w:rFonts w:ascii="Times New Roman" w:hAnsi="Times New Roman" w:cs="Times New Roman"/>
          <w:sz w:val="28"/>
          <w:szCs w:val="28"/>
        </w:rPr>
        <w:t xml:space="preserve"> к 2035 году распространенность диабета в мире достигнет 8,8%. Увеличение бремени диабета более выражено в развивающихся странах параллельно с экономическим развитием и образом жизни </w:t>
      </w:r>
      <w:r w:rsidRPr="004135FE">
        <w:rPr>
          <w:rFonts w:ascii="Times New Roman" w:eastAsia="MyriadPro-Regular" w:hAnsi="Times New Roman" w:cs="Times New Roman"/>
          <w:sz w:val="28"/>
          <w:szCs w:val="28"/>
          <w:lang w:eastAsia="en-US"/>
        </w:rPr>
        <w:t xml:space="preserve">[4]. </w:t>
      </w:r>
      <w:r w:rsidRPr="004135FE">
        <w:rPr>
          <w:rFonts w:ascii="Times New Roman" w:hAnsi="Times New Roman" w:cs="Times New Roman"/>
          <w:sz w:val="28"/>
          <w:szCs w:val="28"/>
        </w:rPr>
        <w:t xml:space="preserve">Достоверных данных об эпидемиологии СД2т в Казахстане мало, учитывая скрытые формы гипергликемии. Еще меньше информации об эффективности лечения и реабилитации больных СД2т в стране. По данным Глобальной обсерватории здравоохранения, распространенность СД2т в Казахстане составляет 13,2%, но она может сильно различаться между городской и сельской местностью, а также между возрастными и этническими группами </w:t>
      </w:r>
      <w:r w:rsidRPr="004135FE">
        <w:rPr>
          <w:rFonts w:ascii="Times New Roman" w:eastAsia="MyriadPro-Regular" w:hAnsi="Times New Roman" w:cs="Times New Roman"/>
          <w:sz w:val="28"/>
          <w:szCs w:val="28"/>
          <w:lang w:eastAsia="en-US"/>
        </w:rPr>
        <w:t>[5].</w:t>
      </w:r>
      <w:r w:rsidRPr="004135FE">
        <w:rPr>
          <w:rFonts w:ascii="Times New Roman" w:hAnsi="Times New Roman" w:cs="Times New Roman"/>
          <w:sz w:val="28"/>
          <w:szCs w:val="28"/>
        </w:rPr>
        <w:t xml:space="preserve"> Общее количество зарегистрированных случаев СД2т в Казахстане в 2018 г. составило 326,5 тыс., что является существенным бременем для системы здравоохранения, но авторы отмечают, что реальные цифры могут быть еще больше. Аблайханова и др. сообщают о явном градиенте распространенности болезни с севера на юг и ожидают, что к 2030 году общее число людей с диабетом в Казахстане достигнет 1 миллиона </w:t>
      </w:r>
      <w:r w:rsidRPr="004135FE">
        <w:rPr>
          <w:rFonts w:ascii="Times New Roman" w:eastAsia="MyriadPro-Regular" w:hAnsi="Times New Roman" w:cs="Times New Roman"/>
          <w:sz w:val="28"/>
          <w:szCs w:val="28"/>
          <w:lang w:eastAsia="en-US"/>
        </w:rPr>
        <w:t xml:space="preserve">[6]. </w:t>
      </w:r>
    </w:p>
    <w:p w14:paraId="06564817" w14:textId="77777777" w:rsidR="009211A6" w:rsidRPr="004135FE" w:rsidRDefault="009211A6" w:rsidP="00C07AC9">
      <w:pPr>
        <w:autoSpaceDE w:val="0"/>
        <w:autoSpaceDN w:val="0"/>
        <w:adjustRightInd w:val="0"/>
        <w:spacing w:after="0" w:line="240" w:lineRule="auto"/>
        <w:ind w:firstLine="709"/>
        <w:jc w:val="both"/>
        <w:rPr>
          <w:rFonts w:ascii="Times New Roman" w:hAnsi="Times New Roman" w:cs="Times New Roman"/>
          <w:sz w:val="28"/>
          <w:szCs w:val="28"/>
          <w:lang w:val="kk-KZ"/>
        </w:rPr>
      </w:pPr>
      <w:r w:rsidRPr="004135FE">
        <w:rPr>
          <w:rFonts w:ascii="Times New Roman" w:hAnsi="Times New Roman" w:cs="Times New Roman"/>
          <w:sz w:val="28"/>
          <w:szCs w:val="28"/>
        </w:rPr>
        <w:t xml:space="preserve">Количество больных СД растет с каждым годом, </w:t>
      </w:r>
      <w:r w:rsidRPr="004135FE">
        <w:rPr>
          <w:rFonts w:ascii="Times New Roman" w:hAnsi="Times New Roman" w:cs="Times New Roman"/>
          <w:sz w:val="28"/>
          <w:szCs w:val="28"/>
          <w:lang w:val="kk-KZ"/>
        </w:rPr>
        <w:t xml:space="preserve">причиной глобального роста распространенности являются социально-экономические, экологические, демографические и генетические факторы </w:t>
      </w:r>
      <w:r w:rsidRPr="004135FE">
        <w:rPr>
          <w:rFonts w:ascii="Times New Roman" w:hAnsi="Times New Roman" w:cs="Times New Roman"/>
          <w:sz w:val="28"/>
          <w:szCs w:val="28"/>
        </w:rPr>
        <w:t xml:space="preserve">[7]. Основным факторам риска развития СД2т относятся возраст старше 45 лет, склонность к ожирению, стресс и депрессия, вредные поведенческие привычки, нерациональное питание, недостаточная физическая активность, отягощенный семейный анамнез, гестационный диабет и его осложнения, предиабетические состояния, сопутствующие заболевания сердечно-сосудистой системы, синдром поликистозных яичников [8].  </w:t>
      </w:r>
      <w:r w:rsidRPr="004135FE">
        <w:rPr>
          <w:rFonts w:ascii="Times New Roman" w:hAnsi="Times New Roman" w:cs="Times New Roman"/>
          <w:sz w:val="28"/>
          <w:szCs w:val="28"/>
          <w:lang w:val="kk-KZ"/>
        </w:rPr>
        <w:t xml:space="preserve">  </w:t>
      </w:r>
    </w:p>
    <w:p w14:paraId="37184C7C" w14:textId="1D322A1D" w:rsidR="009211A6" w:rsidRPr="004135FE" w:rsidRDefault="009211A6" w:rsidP="00C07AC9">
      <w:pPr>
        <w:autoSpaceDE w:val="0"/>
        <w:autoSpaceDN w:val="0"/>
        <w:adjustRightInd w:val="0"/>
        <w:spacing w:after="0" w:line="240" w:lineRule="auto"/>
        <w:ind w:firstLine="709"/>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В рамках программы управления неинфекицонными заболеваниями и индивидуальных услуг охвата основными вмешательствами, СД2т контралируется мероприятиями скрининга и последующим динамическим наблюдени</w:t>
      </w:r>
      <w:r w:rsidR="005A6E04" w:rsidRPr="004135FE">
        <w:rPr>
          <w:rFonts w:ascii="Times New Roman" w:hAnsi="Times New Roman" w:cs="Times New Roman"/>
          <w:sz w:val="28"/>
          <w:szCs w:val="28"/>
          <w:lang w:val="kk-KZ"/>
        </w:rPr>
        <w:t>ем</w:t>
      </w:r>
      <w:r w:rsidRPr="004135FE">
        <w:rPr>
          <w:rFonts w:ascii="Times New Roman" w:hAnsi="Times New Roman" w:cs="Times New Roman"/>
          <w:sz w:val="28"/>
          <w:szCs w:val="28"/>
          <w:lang w:val="kk-KZ"/>
        </w:rPr>
        <w:t xml:space="preserve"> на уровне амбулаторно-поликлинического персонала</w:t>
      </w:r>
      <w:r w:rsidRPr="004135FE">
        <w:rPr>
          <w:rFonts w:ascii="Times New Roman" w:hAnsi="Times New Roman" w:cs="Times New Roman"/>
          <w:sz w:val="28"/>
          <w:szCs w:val="28"/>
        </w:rPr>
        <w:t xml:space="preserve"> [9]. </w:t>
      </w:r>
      <w:r w:rsidRPr="004135FE">
        <w:rPr>
          <w:rFonts w:ascii="Times New Roman" w:hAnsi="Times New Roman" w:cs="Times New Roman"/>
          <w:sz w:val="28"/>
          <w:szCs w:val="28"/>
          <w:lang w:val="kk-KZ"/>
        </w:rPr>
        <w:t xml:space="preserve">  </w:t>
      </w:r>
    </w:p>
    <w:p w14:paraId="3A3AF861" w14:textId="77777777" w:rsidR="009211A6" w:rsidRPr="004135FE" w:rsidRDefault="009211A6" w:rsidP="00C07AC9">
      <w:pPr>
        <w:autoSpaceDE w:val="0"/>
        <w:autoSpaceDN w:val="0"/>
        <w:adjustRightInd w:val="0"/>
        <w:spacing w:after="0" w:line="240" w:lineRule="auto"/>
        <w:ind w:firstLine="709"/>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lastRenderedPageBreak/>
        <w:t xml:space="preserve">Профилактические меры СД2т и его осложнении основаны на раннее выявление факторов развития риска и воздействия на них </w:t>
      </w:r>
      <w:r w:rsidRPr="004135FE">
        <w:rPr>
          <w:rFonts w:ascii="Times New Roman" w:hAnsi="Times New Roman" w:cs="Times New Roman"/>
          <w:sz w:val="28"/>
          <w:szCs w:val="28"/>
        </w:rPr>
        <w:t>[10]. Согласно данным ВОЗ 2013г, путем эффективного воздействия на общие факторы риска можно устранить свыше 1/3 случаев рака и 80% ХНИЗ, как СД2т, сердечно-сосудистые заболевания, инсульт [11].</w:t>
      </w:r>
    </w:p>
    <w:p w14:paraId="03577816" w14:textId="52DD3098" w:rsidR="009211A6" w:rsidRPr="004135FE" w:rsidRDefault="009211A6" w:rsidP="00C07AC9">
      <w:pPr>
        <w:autoSpaceDE w:val="0"/>
        <w:autoSpaceDN w:val="0"/>
        <w:adjustRightInd w:val="0"/>
        <w:spacing w:after="0" w:line="240" w:lineRule="auto"/>
        <w:ind w:firstLine="709"/>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 xml:space="preserve">По общеизвестным фактам, здоровье человека зависит от системы здравоохранения на 10% и 50% от образа жизни, самоменеджмента, права выбора, качества жизни и доступности возможности укрепления здоровья </w:t>
      </w:r>
      <w:r w:rsidRPr="004135FE">
        <w:rPr>
          <w:rFonts w:ascii="Times New Roman" w:hAnsi="Times New Roman" w:cs="Times New Roman"/>
          <w:sz w:val="28"/>
          <w:szCs w:val="28"/>
        </w:rPr>
        <w:t>[12].</w:t>
      </w:r>
      <w:r w:rsidRPr="004135FE">
        <w:rPr>
          <w:rFonts w:ascii="Times New Roman" w:hAnsi="Times New Roman" w:cs="Times New Roman"/>
          <w:sz w:val="28"/>
          <w:szCs w:val="28"/>
          <w:lang w:val="kk-KZ"/>
        </w:rPr>
        <w:t xml:space="preserve"> </w:t>
      </w:r>
      <w:r w:rsidRPr="004135FE">
        <w:rPr>
          <w:rFonts w:ascii="Times New Roman" w:hAnsi="Times New Roman" w:cs="Times New Roman"/>
          <w:sz w:val="28"/>
          <w:szCs w:val="28"/>
        </w:rPr>
        <w:t>В борьбе с ХНИЗ, в том числе СД2т в государствах Европейского региона ВОЗ регламентируется политика Здоровье-2020, основанный на межсекторальном сотрудничестве (взаимодействие)</w:t>
      </w:r>
      <w:r w:rsidR="0052168E">
        <w:rPr>
          <w:rFonts w:ascii="Times New Roman" w:hAnsi="Times New Roman" w:cs="Times New Roman"/>
          <w:sz w:val="28"/>
          <w:szCs w:val="28"/>
        </w:rPr>
        <w:t xml:space="preserve">. </w:t>
      </w:r>
      <w:r w:rsidRPr="004135FE">
        <w:rPr>
          <w:rFonts w:ascii="Times New Roman" w:hAnsi="Times New Roman" w:cs="Times New Roman"/>
          <w:sz w:val="28"/>
          <w:szCs w:val="28"/>
          <w:lang w:val="kk-KZ"/>
        </w:rPr>
        <w:t xml:space="preserve">Ссылаясь на действующие нормативно- правовые документы, необходимо более тчательная пропаганда на популяционном уровне в масштабах государственных органов и структур. Для этого требуется налаженность межсекторального сотрудничества и активное участие каждого его члена в борьбе с чрезвычайно важной и достижимой цели против диабета. Должны прибегать статистическим отчетным данным по заболеваемости СД2т и его осложнении, современным мерам профилактики для повышения осведомленности, заинтересованности на разных уровнях структур государства и создании национальных планов по борьбе с диабетом. </w:t>
      </w:r>
    </w:p>
    <w:p w14:paraId="4DA6851C" w14:textId="77777777" w:rsidR="009211A6" w:rsidRPr="004135FE" w:rsidRDefault="009211A6" w:rsidP="00C07AC9">
      <w:pPr>
        <w:autoSpaceDE w:val="0"/>
        <w:autoSpaceDN w:val="0"/>
        <w:adjustRightInd w:val="0"/>
        <w:spacing w:after="0" w:line="240" w:lineRule="auto"/>
        <w:ind w:firstLine="709"/>
        <w:jc w:val="both"/>
        <w:rPr>
          <w:rFonts w:ascii="Times New Roman" w:hAnsi="Times New Roman" w:cs="Times New Roman"/>
          <w:sz w:val="28"/>
          <w:szCs w:val="28"/>
          <w:lang w:val="kk-KZ"/>
        </w:rPr>
      </w:pPr>
      <w:r w:rsidRPr="004135FE">
        <w:rPr>
          <w:rStyle w:val="ab"/>
          <w:rFonts w:ascii="Times New Roman" w:hAnsi="Times New Roman" w:cs="Times New Roman"/>
          <w:bCs/>
          <w:color w:val="auto"/>
          <w:sz w:val="28"/>
          <w:szCs w:val="28"/>
          <w:u w:val="none"/>
          <w:shd w:val="clear" w:color="auto" w:fill="FFFFFF"/>
        </w:rPr>
        <w:t>Декларативный характер межсекторального сотрудничества и слабая реализация всех его программ не дает ощутимых результатов, что подтверждается ростом статистических данных диабета во всем мире, а также в Казахстане. Все это является предпосылкой и обоснованием актуальности изучения процессов межсекторального сотрудничества в целях снижения уровня заболеваемости и контроля над СД2т.</w:t>
      </w:r>
    </w:p>
    <w:p w14:paraId="50A32F44" w14:textId="59CF2497" w:rsidR="009211A6" w:rsidRPr="004135FE" w:rsidRDefault="009211A6" w:rsidP="00C07AC9">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
          <w:sz w:val="28"/>
          <w:szCs w:val="28"/>
        </w:rPr>
        <w:t xml:space="preserve">Цель </w:t>
      </w:r>
      <w:r w:rsidR="00CF7A87">
        <w:rPr>
          <w:rFonts w:ascii="Times New Roman" w:hAnsi="Times New Roman" w:cs="Times New Roman"/>
          <w:b/>
          <w:sz w:val="28"/>
          <w:szCs w:val="28"/>
        </w:rPr>
        <w:t xml:space="preserve">исследования - </w:t>
      </w:r>
      <w:r w:rsidRPr="004135FE">
        <w:rPr>
          <w:rFonts w:ascii="Times New Roman" w:eastAsia="Times New Roman" w:hAnsi="Times New Roman" w:cs="Times New Roman"/>
          <w:sz w:val="28"/>
          <w:szCs w:val="28"/>
        </w:rPr>
        <w:t>Совершенствование медицинской помощи пациентам с сахарным диабетом 2 типа и</w:t>
      </w:r>
      <w:r w:rsidRPr="004135FE">
        <w:rPr>
          <w:rFonts w:ascii="Times New Roman" w:hAnsi="Times New Roman" w:cs="Times New Roman"/>
          <w:b/>
          <w:sz w:val="28"/>
          <w:szCs w:val="28"/>
        </w:rPr>
        <w:t xml:space="preserve"> </w:t>
      </w:r>
      <w:r w:rsidRPr="004135FE">
        <w:rPr>
          <w:rFonts w:ascii="Times New Roman" w:eastAsia="Times New Roman" w:hAnsi="Times New Roman" w:cs="Times New Roman"/>
          <w:sz w:val="28"/>
          <w:szCs w:val="28"/>
        </w:rPr>
        <w:t xml:space="preserve">межсекторальное сотрудничество в решении проблем </w:t>
      </w:r>
    </w:p>
    <w:p w14:paraId="1F592244" w14:textId="7ABB9210" w:rsidR="009211A6" w:rsidRPr="004135FE" w:rsidRDefault="009211A6" w:rsidP="00C07AC9">
      <w:pPr>
        <w:spacing w:after="0" w:line="240" w:lineRule="auto"/>
        <w:ind w:firstLine="709"/>
        <w:jc w:val="both"/>
        <w:rPr>
          <w:rFonts w:ascii="Times New Roman" w:hAnsi="Times New Roman" w:cs="Times New Roman"/>
          <w:b/>
          <w:sz w:val="28"/>
          <w:szCs w:val="28"/>
        </w:rPr>
      </w:pPr>
      <w:r w:rsidRPr="004135FE">
        <w:rPr>
          <w:rFonts w:ascii="Times New Roman" w:hAnsi="Times New Roman" w:cs="Times New Roman"/>
          <w:b/>
          <w:sz w:val="28"/>
          <w:szCs w:val="28"/>
        </w:rPr>
        <w:t>Задачи</w:t>
      </w:r>
      <w:r w:rsidR="00CF7A87">
        <w:rPr>
          <w:rFonts w:ascii="Times New Roman" w:hAnsi="Times New Roman" w:cs="Times New Roman"/>
          <w:b/>
          <w:sz w:val="28"/>
          <w:szCs w:val="28"/>
        </w:rPr>
        <w:t>:</w:t>
      </w:r>
    </w:p>
    <w:p w14:paraId="39844705" w14:textId="1C6CA971" w:rsidR="009211A6" w:rsidRPr="004135FE" w:rsidRDefault="00CF7A87">
      <w:pPr>
        <w:numPr>
          <w:ilvl w:val="0"/>
          <w:numId w:val="83"/>
        </w:numPr>
        <w:tabs>
          <w:tab w:val="clear" w:pos="720"/>
          <w:tab w:val="left" w:pos="1134"/>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9211A6" w:rsidRPr="004135FE">
        <w:rPr>
          <w:rFonts w:ascii="Times New Roman" w:eastAsia="Times New Roman" w:hAnsi="Times New Roman" w:cs="Times New Roman"/>
          <w:sz w:val="28"/>
          <w:szCs w:val="28"/>
        </w:rPr>
        <w:t>зучить международную и отечественную литературу по оказанию медицинской помощи и межсекторальному сотрудничеству при СД2т</w:t>
      </w:r>
      <w:r>
        <w:rPr>
          <w:rFonts w:ascii="Times New Roman" w:eastAsia="Times New Roman" w:hAnsi="Times New Roman" w:cs="Times New Roman"/>
          <w:sz w:val="28"/>
          <w:szCs w:val="28"/>
        </w:rPr>
        <w:t>.</w:t>
      </w:r>
    </w:p>
    <w:p w14:paraId="22A56D20" w14:textId="7E9F9DC8" w:rsidR="009211A6" w:rsidRPr="004135FE" w:rsidRDefault="009211A6">
      <w:pPr>
        <w:numPr>
          <w:ilvl w:val="0"/>
          <w:numId w:val="83"/>
        </w:numPr>
        <w:tabs>
          <w:tab w:val="clear" w:pos="720"/>
          <w:tab w:val="left" w:pos="1134"/>
        </w:tabs>
        <w:spacing w:after="0" w:line="240" w:lineRule="auto"/>
        <w:ind w:left="0"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Провести анализ заболеваемости пациентов с СД2т в г. Алматы в динамике за последние 10 лет (2012-2021 гг.)</w:t>
      </w:r>
      <w:r w:rsidR="00CF7A87">
        <w:rPr>
          <w:rFonts w:ascii="Times New Roman" w:eastAsia="Times New Roman" w:hAnsi="Times New Roman" w:cs="Times New Roman"/>
          <w:sz w:val="28"/>
          <w:szCs w:val="28"/>
        </w:rPr>
        <w:t>.</w:t>
      </w:r>
    </w:p>
    <w:p w14:paraId="3F582417" w14:textId="0C6209BC" w:rsidR="009211A6" w:rsidRPr="004135FE" w:rsidRDefault="009211A6">
      <w:pPr>
        <w:numPr>
          <w:ilvl w:val="0"/>
          <w:numId w:val="83"/>
        </w:numPr>
        <w:tabs>
          <w:tab w:val="clear" w:pos="720"/>
          <w:tab w:val="left" w:pos="1134"/>
        </w:tabs>
        <w:spacing w:after="0" w:line="240" w:lineRule="auto"/>
        <w:ind w:left="0"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Изучить доступность лекарственных средств при диабете</w:t>
      </w:r>
      <w:r w:rsidR="00CF7A87">
        <w:rPr>
          <w:rFonts w:ascii="Times New Roman" w:eastAsia="Times New Roman" w:hAnsi="Times New Roman" w:cs="Times New Roman"/>
          <w:sz w:val="28"/>
          <w:szCs w:val="28"/>
        </w:rPr>
        <w:t>.</w:t>
      </w:r>
    </w:p>
    <w:p w14:paraId="336D5A6D" w14:textId="2640D33B" w:rsidR="009211A6" w:rsidRPr="004135FE" w:rsidRDefault="009211A6">
      <w:pPr>
        <w:numPr>
          <w:ilvl w:val="0"/>
          <w:numId w:val="83"/>
        </w:numPr>
        <w:tabs>
          <w:tab w:val="clear" w:pos="720"/>
          <w:tab w:val="left" w:pos="1134"/>
        </w:tabs>
        <w:spacing w:after="0" w:line="240" w:lineRule="auto"/>
        <w:ind w:left="0"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Определ</w:t>
      </w:r>
      <w:r w:rsidR="000129E1" w:rsidRPr="004135FE">
        <w:rPr>
          <w:rFonts w:ascii="Times New Roman" w:eastAsia="Times New Roman" w:hAnsi="Times New Roman" w:cs="Times New Roman"/>
          <w:sz w:val="28"/>
          <w:szCs w:val="28"/>
        </w:rPr>
        <w:t>ить потребности пациентов</w:t>
      </w:r>
      <w:r w:rsidRPr="004135FE">
        <w:rPr>
          <w:rFonts w:ascii="Times New Roman" w:eastAsia="Times New Roman" w:hAnsi="Times New Roman" w:cs="Times New Roman"/>
          <w:sz w:val="28"/>
          <w:szCs w:val="28"/>
        </w:rPr>
        <w:t xml:space="preserve"> и врачей эндокринологов </w:t>
      </w:r>
      <w:r w:rsidRPr="004135FE">
        <w:rPr>
          <w:rFonts w:ascii="Times New Roman" w:eastAsia="Times New Roman" w:hAnsi="Times New Roman" w:cs="Times New Roman"/>
          <w:sz w:val="28"/>
          <w:szCs w:val="28"/>
          <w:lang w:val="kk-KZ"/>
        </w:rPr>
        <w:t xml:space="preserve">по совершенствованию оказания медицинской помощи и </w:t>
      </w:r>
      <w:r w:rsidRPr="004135FE">
        <w:rPr>
          <w:rFonts w:ascii="Times New Roman" w:eastAsia="Times New Roman" w:hAnsi="Times New Roman" w:cs="Times New Roman"/>
          <w:sz w:val="28"/>
          <w:szCs w:val="28"/>
        </w:rPr>
        <w:t>межсекторального сотрудничества при СД2т</w:t>
      </w:r>
      <w:r w:rsidR="00CF7A87">
        <w:rPr>
          <w:rFonts w:ascii="Times New Roman" w:eastAsia="Times New Roman" w:hAnsi="Times New Roman" w:cs="Times New Roman"/>
          <w:sz w:val="28"/>
          <w:szCs w:val="28"/>
        </w:rPr>
        <w:t>.</w:t>
      </w:r>
    </w:p>
    <w:p w14:paraId="0532D9CC" w14:textId="51283527" w:rsidR="009211A6" w:rsidRPr="004135FE" w:rsidRDefault="009211A6">
      <w:pPr>
        <w:numPr>
          <w:ilvl w:val="0"/>
          <w:numId w:val="83"/>
        </w:numPr>
        <w:tabs>
          <w:tab w:val="clear" w:pos="720"/>
          <w:tab w:val="left" w:pos="1134"/>
        </w:tabs>
        <w:spacing w:after="0" w:line="240" w:lineRule="auto"/>
        <w:ind w:left="0"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Дать оценку действующих нормативных документов, модели, клинического протокола, программ по оказанию медицинской помощи и межсекторального сотрудничества при СД2т</w:t>
      </w:r>
      <w:r w:rsidR="00CF7A87">
        <w:rPr>
          <w:rFonts w:ascii="Times New Roman" w:eastAsia="Times New Roman" w:hAnsi="Times New Roman" w:cs="Times New Roman"/>
          <w:sz w:val="28"/>
          <w:szCs w:val="28"/>
        </w:rPr>
        <w:t>.</w:t>
      </w:r>
    </w:p>
    <w:p w14:paraId="0ADA248E" w14:textId="43670BF0" w:rsidR="009211A6" w:rsidRPr="004135FE" w:rsidRDefault="009211A6">
      <w:pPr>
        <w:numPr>
          <w:ilvl w:val="0"/>
          <w:numId w:val="83"/>
        </w:numPr>
        <w:tabs>
          <w:tab w:val="clear" w:pos="720"/>
        </w:tabs>
        <w:spacing w:after="0" w:line="240" w:lineRule="auto"/>
        <w:ind w:left="0"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Разработать научно</w:t>
      </w:r>
      <w:r w:rsidR="00CC6B82" w:rsidRPr="004135FE">
        <w:rPr>
          <w:rFonts w:ascii="Times New Roman" w:eastAsia="Times New Roman" w:hAnsi="Times New Roman" w:cs="Times New Roman"/>
          <w:sz w:val="28"/>
          <w:szCs w:val="28"/>
        </w:rPr>
        <w:t>-</w:t>
      </w:r>
      <w:r w:rsidRPr="004135FE">
        <w:rPr>
          <w:rFonts w:ascii="Times New Roman" w:eastAsia="Times New Roman" w:hAnsi="Times New Roman" w:cs="Times New Roman"/>
          <w:sz w:val="28"/>
          <w:szCs w:val="28"/>
        </w:rPr>
        <w:t>обоснованные предложения к совершенствованию оказания медицинской помощи</w:t>
      </w:r>
      <w:r w:rsidRPr="004135FE">
        <w:rPr>
          <w:rFonts w:ascii="Times New Roman" w:eastAsia="Times New Roman" w:hAnsi="Times New Roman" w:cs="Times New Roman"/>
          <w:b/>
          <w:bCs/>
          <w:sz w:val="28"/>
          <w:szCs w:val="28"/>
        </w:rPr>
        <w:t xml:space="preserve"> </w:t>
      </w:r>
      <w:r w:rsidRPr="004135FE">
        <w:rPr>
          <w:rFonts w:ascii="Times New Roman" w:eastAsia="Times New Roman" w:hAnsi="Times New Roman" w:cs="Times New Roman"/>
          <w:sz w:val="28"/>
          <w:szCs w:val="28"/>
        </w:rPr>
        <w:t>и межсекторального сотрудничества при СД2т.</w:t>
      </w:r>
    </w:p>
    <w:p w14:paraId="6F332E1A" w14:textId="0E8BF256" w:rsidR="009211A6" w:rsidRPr="004135FE" w:rsidRDefault="009211A6" w:rsidP="00CF7A87">
      <w:pPr>
        <w:tabs>
          <w:tab w:val="left" w:pos="142"/>
        </w:tabs>
        <w:spacing w:after="0" w:line="240" w:lineRule="auto"/>
        <w:ind w:firstLine="709"/>
        <w:jc w:val="both"/>
        <w:rPr>
          <w:rFonts w:ascii="Times New Roman" w:hAnsi="Times New Roman" w:cs="Times New Roman"/>
          <w:b/>
          <w:sz w:val="28"/>
          <w:szCs w:val="28"/>
        </w:rPr>
      </w:pPr>
      <w:r w:rsidRPr="004135FE">
        <w:rPr>
          <w:rFonts w:ascii="Times New Roman" w:hAnsi="Times New Roman" w:cs="Times New Roman"/>
          <w:b/>
          <w:sz w:val="28"/>
          <w:szCs w:val="28"/>
        </w:rPr>
        <w:lastRenderedPageBreak/>
        <w:t>Объект исследования</w:t>
      </w:r>
      <w:r w:rsidR="00CF7A87">
        <w:rPr>
          <w:rFonts w:ascii="Times New Roman" w:hAnsi="Times New Roman" w:cs="Times New Roman"/>
          <w:b/>
          <w:sz w:val="28"/>
          <w:szCs w:val="28"/>
        </w:rPr>
        <w:t>:</w:t>
      </w:r>
    </w:p>
    <w:p w14:paraId="197C9BA6" w14:textId="0952E482" w:rsidR="009211A6" w:rsidRPr="004135FE" w:rsidRDefault="009211A6">
      <w:pPr>
        <w:pStyle w:val="a3"/>
        <w:numPr>
          <w:ilvl w:val="0"/>
          <w:numId w:val="76"/>
        </w:numPr>
        <w:tabs>
          <w:tab w:val="left" w:pos="142"/>
          <w:tab w:val="left" w:pos="1134"/>
        </w:tabs>
        <w:spacing w:after="0" w:line="240" w:lineRule="auto"/>
        <w:ind w:left="0" w:firstLine="709"/>
        <w:jc w:val="both"/>
        <w:rPr>
          <w:rFonts w:ascii="Times New Roman" w:hAnsi="Times New Roman" w:cs="Times New Roman"/>
          <w:bCs/>
          <w:sz w:val="28"/>
          <w:szCs w:val="28"/>
        </w:rPr>
      </w:pPr>
      <w:r w:rsidRPr="004135FE">
        <w:rPr>
          <w:rFonts w:ascii="Times New Roman" w:hAnsi="Times New Roman" w:cs="Times New Roman"/>
          <w:bCs/>
          <w:sz w:val="28"/>
          <w:szCs w:val="28"/>
        </w:rPr>
        <w:t>Литературный поиск</w:t>
      </w:r>
      <w:r w:rsidR="00CF7A87">
        <w:rPr>
          <w:rFonts w:ascii="Times New Roman" w:hAnsi="Times New Roman" w:cs="Times New Roman"/>
          <w:bCs/>
          <w:sz w:val="28"/>
          <w:szCs w:val="28"/>
        </w:rPr>
        <w:t>.</w:t>
      </w:r>
    </w:p>
    <w:p w14:paraId="5C6C010D" w14:textId="2D91ED31" w:rsidR="009211A6" w:rsidRPr="004135FE" w:rsidRDefault="009211A6">
      <w:pPr>
        <w:pStyle w:val="a3"/>
        <w:numPr>
          <w:ilvl w:val="0"/>
          <w:numId w:val="76"/>
        </w:numPr>
        <w:tabs>
          <w:tab w:val="left" w:pos="142"/>
          <w:tab w:val="left" w:pos="1134"/>
        </w:tabs>
        <w:spacing w:after="0" w:line="240" w:lineRule="auto"/>
        <w:ind w:left="0" w:firstLine="709"/>
        <w:jc w:val="both"/>
        <w:rPr>
          <w:rFonts w:ascii="Times New Roman" w:hAnsi="Times New Roman" w:cs="Times New Roman"/>
          <w:bCs/>
          <w:sz w:val="28"/>
          <w:szCs w:val="28"/>
        </w:rPr>
      </w:pPr>
      <w:r w:rsidRPr="004135FE">
        <w:rPr>
          <w:rFonts w:ascii="Times New Roman" w:hAnsi="Times New Roman" w:cs="Times New Roman"/>
          <w:bCs/>
          <w:sz w:val="28"/>
          <w:szCs w:val="28"/>
        </w:rPr>
        <w:t>Статистические данные всех поликлиник города Алматы</w:t>
      </w:r>
      <w:r w:rsidR="00CF7A87">
        <w:rPr>
          <w:rFonts w:ascii="Times New Roman" w:hAnsi="Times New Roman" w:cs="Times New Roman"/>
          <w:sz w:val="28"/>
          <w:szCs w:val="28"/>
        </w:rPr>
        <w:t>.</w:t>
      </w:r>
    </w:p>
    <w:p w14:paraId="36713015" w14:textId="5245392E" w:rsidR="009211A6" w:rsidRPr="004135FE" w:rsidRDefault="009211A6">
      <w:pPr>
        <w:pStyle w:val="a3"/>
        <w:numPr>
          <w:ilvl w:val="0"/>
          <w:numId w:val="76"/>
        </w:numPr>
        <w:tabs>
          <w:tab w:val="left" w:pos="142"/>
          <w:tab w:val="left" w:pos="1134"/>
        </w:tabs>
        <w:spacing w:after="0" w:line="240" w:lineRule="auto"/>
        <w:ind w:left="0" w:firstLine="709"/>
        <w:jc w:val="both"/>
        <w:rPr>
          <w:rFonts w:ascii="Times New Roman" w:hAnsi="Times New Roman" w:cs="Times New Roman"/>
          <w:bCs/>
          <w:sz w:val="28"/>
          <w:szCs w:val="28"/>
        </w:rPr>
      </w:pPr>
      <w:r w:rsidRPr="004135FE">
        <w:rPr>
          <w:rFonts w:ascii="Times New Roman" w:hAnsi="Times New Roman" w:cs="Times New Roman"/>
          <w:sz w:val="28"/>
          <w:szCs w:val="28"/>
        </w:rPr>
        <w:t>Пациенты с СД2т- ГП № 1, 8, 11, 12, 16 23, 26, 32 и врачи эндокринологи со всех ГП г. Алматы</w:t>
      </w:r>
      <w:r w:rsidR="00CF7A87">
        <w:rPr>
          <w:rFonts w:ascii="Times New Roman" w:hAnsi="Times New Roman" w:cs="Times New Roman"/>
          <w:sz w:val="28"/>
          <w:szCs w:val="28"/>
        </w:rPr>
        <w:t>.</w:t>
      </w:r>
    </w:p>
    <w:p w14:paraId="6CBB7B6C" w14:textId="6A17F49C" w:rsidR="009211A6" w:rsidRPr="004135FE" w:rsidRDefault="009211A6" w:rsidP="00CF7A87">
      <w:pPr>
        <w:tabs>
          <w:tab w:val="left" w:pos="142"/>
          <w:tab w:val="left" w:pos="1134"/>
        </w:tabs>
        <w:spacing w:after="0" w:line="240" w:lineRule="auto"/>
        <w:ind w:firstLine="709"/>
        <w:jc w:val="both"/>
        <w:rPr>
          <w:rFonts w:ascii="Times New Roman" w:hAnsi="Times New Roman" w:cs="Times New Roman"/>
          <w:b/>
          <w:sz w:val="28"/>
          <w:szCs w:val="28"/>
        </w:rPr>
      </w:pPr>
      <w:r w:rsidRPr="004135FE">
        <w:rPr>
          <w:rFonts w:ascii="Times New Roman" w:hAnsi="Times New Roman" w:cs="Times New Roman"/>
          <w:b/>
          <w:sz w:val="28"/>
          <w:szCs w:val="28"/>
        </w:rPr>
        <w:t>Объем исследования</w:t>
      </w:r>
      <w:r w:rsidR="00CF7A87">
        <w:rPr>
          <w:rFonts w:ascii="Times New Roman" w:hAnsi="Times New Roman" w:cs="Times New Roman"/>
          <w:b/>
          <w:sz w:val="28"/>
          <w:szCs w:val="28"/>
        </w:rPr>
        <w:t>:</w:t>
      </w:r>
    </w:p>
    <w:p w14:paraId="6F7ACD0D" w14:textId="44AF8562" w:rsidR="009211A6" w:rsidRPr="004135FE" w:rsidRDefault="009211A6">
      <w:pPr>
        <w:pStyle w:val="a3"/>
        <w:numPr>
          <w:ilvl w:val="0"/>
          <w:numId w:val="77"/>
        </w:numPr>
        <w:tabs>
          <w:tab w:val="left" w:pos="142"/>
          <w:tab w:val="left" w:pos="1134"/>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200 источников литературы (62 отечественных и 138 зарубежных) по СД2т и межсекторальному сотрудничеству</w:t>
      </w:r>
      <w:r w:rsidR="00CF7A87">
        <w:rPr>
          <w:rFonts w:ascii="Times New Roman" w:hAnsi="Times New Roman" w:cs="Times New Roman"/>
          <w:sz w:val="28"/>
          <w:szCs w:val="28"/>
        </w:rPr>
        <w:t>.</w:t>
      </w:r>
    </w:p>
    <w:p w14:paraId="55195E70" w14:textId="2A0A359D" w:rsidR="009211A6" w:rsidRPr="004135FE" w:rsidRDefault="009211A6">
      <w:pPr>
        <w:pStyle w:val="a3"/>
        <w:numPr>
          <w:ilvl w:val="0"/>
          <w:numId w:val="77"/>
        </w:numPr>
        <w:tabs>
          <w:tab w:val="left" w:pos="142"/>
          <w:tab w:val="left" w:pos="1134"/>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Первичная заболеваемость, распространенность, прогнозные показатели распространенности по половым признакам пациентов с СД2т</w:t>
      </w:r>
      <w:r w:rsidR="00CF7A87">
        <w:rPr>
          <w:rFonts w:ascii="Times New Roman" w:hAnsi="Times New Roman" w:cs="Times New Roman"/>
          <w:sz w:val="28"/>
          <w:szCs w:val="28"/>
        </w:rPr>
        <w:t>.</w:t>
      </w:r>
    </w:p>
    <w:p w14:paraId="4948CC1F" w14:textId="64B799A1" w:rsidR="009211A6" w:rsidRPr="004135FE" w:rsidRDefault="00D73766">
      <w:pPr>
        <w:pStyle w:val="a3"/>
        <w:numPr>
          <w:ilvl w:val="0"/>
          <w:numId w:val="77"/>
        </w:numPr>
        <w:tabs>
          <w:tab w:val="left" w:pos="142"/>
          <w:tab w:val="left" w:pos="1134"/>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Потребность респондентов: п</w:t>
      </w:r>
      <w:r w:rsidR="009211A6" w:rsidRPr="004135FE">
        <w:rPr>
          <w:rFonts w:ascii="Times New Roman" w:hAnsi="Times New Roman" w:cs="Times New Roman"/>
          <w:sz w:val="28"/>
          <w:szCs w:val="28"/>
        </w:rPr>
        <w:t>ациенты с СД2т- 480, врачи эндокринологи- 35</w:t>
      </w:r>
      <w:r w:rsidR="00CF7A87">
        <w:rPr>
          <w:rFonts w:ascii="Times New Roman" w:hAnsi="Times New Roman" w:cs="Times New Roman"/>
          <w:sz w:val="28"/>
          <w:szCs w:val="28"/>
        </w:rPr>
        <w:t>.</w:t>
      </w:r>
    </w:p>
    <w:p w14:paraId="08F284A0" w14:textId="728DAE45" w:rsidR="009211A6" w:rsidRPr="004135FE" w:rsidRDefault="009211A6" w:rsidP="00CF7A87">
      <w:pPr>
        <w:tabs>
          <w:tab w:val="left" w:pos="142"/>
          <w:tab w:val="left" w:pos="1134"/>
        </w:tabs>
        <w:spacing w:after="0" w:line="240" w:lineRule="auto"/>
        <w:ind w:firstLine="709"/>
        <w:jc w:val="both"/>
        <w:rPr>
          <w:rFonts w:ascii="Times New Roman" w:hAnsi="Times New Roman" w:cs="Times New Roman"/>
          <w:b/>
          <w:sz w:val="28"/>
          <w:szCs w:val="28"/>
        </w:rPr>
      </w:pPr>
      <w:r w:rsidRPr="004135FE">
        <w:rPr>
          <w:rFonts w:ascii="Times New Roman" w:hAnsi="Times New Roman" w:cs="Times New Roman"/>
          <w:b/>
          <w:sz w:val="28"/>
          <w:szCs w:val="28"/>
        </w:rPr>
        <w:t>Единицы наблюдения</w:t>
      </w:r>
      <w:r w:rsidR="00CF7A87">
        <w:rPr>
          <w:rFonts w:ascii="Times New Roman" w:hAnsi="Times New Roman" w:cs="Times New Roman"/>
          <w:b/>
          <w:sz w:val="28"/>
          <w:szCs w:val="28"/>
        </w:rPr>
        <w:t>:</w:t>
      </w:r>
    </w:p>
    <w:p w14:paraId="5AD6A7F8" w14:textId="406385C7" w:rsidR="009211A6" w:rsidRPr="004135FE" w:rsidRDefault="009211A6">
      <w:pPr>
        <w:pStyle w:val="a3"/>
        <w:numPr>
          <w:ilvl w:val="0"/>
          <w:numId w:val="78"/>
        </w:numPr>
        <w:tabs>
          <w:tab w:val="left" w:pos="142"/>
          <w:tab w:val="left" w:pos="1134"/>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Законодательные и нормативно-правовые акты</w:t>
      </w:r>
      <w:r w:rsidR="00CF7A87">
        <w:rPr>
          <w:rFonts w:ascii="Times New Roman" w:hAnsi="Times New Roman" w:cs="Times New Roman"/>
          <w:sz w:val="28"/>
          <w:szCs w:val="28"/>
        </w:rPr>
        <w:t>.</w:t>
      </w:r>
    </w:p>
    <w:p w14:paraId="77F6B79F" w14:textId="77777777" w:rsidR="009211A6" w:rsidRPr="004135FE" w:rsidRDefault="009211A6">
      <w:pPr>
        <w:pStyle w:val="a3"/>
        <w:numPr>
          <w:ilvl w:val="0"/>
          <w:numId w:val="78"/>
        </w:numPr>
        <w:tabs>
          <w:tab w:val="left" w:pos="142"/>
          <w:tab w:val="left" w:pos="1134"/>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Учетные и отчетные медицинские документы по статистике</w:t>
      </w:r>
    </w:p>
    <w:p w14:paraId="4EEF497E" w14:textId="450FEEBF" w:rsidR="009211A6" w:rsidRPr="004135FE" w:rsidRDefault="009211A6">
      <w:pPr>
        <w:pStyle w:val="a3"/>
        <w:numPr>
          <w:ilvl w:val="0"/>
          <w:numId w:val="78"/>
        </w:numPr>
        <w:tabs>
          <w:tab w:val="left" w:pos="142"/>
          <w:tab w:val="left" w:pos="1134"/>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Житель, прикрепленный к амбулаторно-поликлинической организации</w:t>
      </w:r>
      <w:r w:rsidR="00CF7A87">
        <w:rPr>
          <w:rFonts w:ascii="Times New Roman" w:hAnsi="Times New Roman" w:cs="Times New Roman"/>
          <w:sz w:val="28"/>
          <w:szCs w:val="28"/>
        </w:rPr>
        <w:t>.</w:t>
      </w:r>
    </w:p>
    <w:p w14:paraId="4CE354FE" w14:textId="0F46EBDB" w:rsidR="009211A6" w:rsidRPr="004135FE" w:rsidRDefault="009211A6">
      <w:pPr>
        <w:pStyle w:val="a3"/>
        <w:numPr>
          <w:ilvl w:val="0"/>
          <w:numId w:val="78"/>
        </w:numPr>
        <w:tabs>
          <w:tab w:val="left" w:pos="142"/>
          <w:tab w:val="left" w:pos="1134"/>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Медицинский персонал организации</w:t>
      </w:r>
      <w:r w:rsidR="00CF7A87">
        <w:rPr>
          <w:rFonts w:ascii="Times New Roman" w:hAnsi="Times New Roman" w:cs="Times New Roman"/>
          <w:sz w:val="28"/>
          <w:szCs w:val="28"/>
        </w:rPr>
        <w:t>.</w:t>
      </w:r>
    </w:p>
    <w:p w14:paraId="6BE9B367" w14:textId="2ED2FB90" w:rsidR="009211A6" w:rsidRPr="004135FE" w:rsidRDefault="009211A6" w:rsidP="00CF7A87">
      <w:pPr>
        <w:tabs>
          <w:tab w:val="left" w:pos="142"/>
          <w:tab w:val="left" w:pos="1134"/>
        </w:tabs>
        <w:spacing w:after="0" w:line="240" w:lineRule="auto"/>
        <w:ind w:firstLine="709"/>
        <w:jc w:val="both"/>
        <w:rPr>
          <w:rFonts w:ascii="Times New Roman" w:hAnsi="Times New Roman" w:cs="Times New Roman"/>
          <w:b/>
          <w:sz w:val="28"/>
          <w:szCs w:val="28"/>
        </w:rPr>
      </w:pPr>
      <w:r w:rsidRPr="004135FE">
        <w:rPr>
          <w:rFonts w:ascii="Times New Roman" w:hAnsi="Times New Roman" w:cs="Times New Roman"/>
          <w:b/>
          <w:sz w:val="28"/>
          <w:szCs w:val="28"/>
        </w:rPr>
        <w:t>Предмет исследования</w:t>
      </w:r>
      <w:r w:rsidR="00CF7A87">
        <w:rPr>
          <w:rFonts w:ascii="Times New Roman" w:hAnsi="Times New Roman" w:cs="Times New Roman"/>
          <w:b/>
          <w:sz w:val="28"/>
          <w:szCs w:val="28"/>
        </w:rPr>
        <w:t>:</w:t>
      </w:r>
    </w:p>
    <w:p w14:paraId="7F945DD1" w14:textId="6F099655" w:rsidR="009211A6" w:rsidRPr="004135FE" w:rsidRDefault="009211A6" w:rsidP="00CF7A87">
      <w:pPr>
        <w:tabs>
          <w:tab w:val="left" w:pos="142"/>
          <w:tab w:val="left" w:pos="1134"/>
        </w:tabs>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Методология оказания помощи и межсекторального сотрудничества при СД2т</w:t>
      </w:r>
      <w:r w:rsidR="00CF7A87">
        <w:rPr>
          <w:rFonts w:ascii="Times New Roman" w:hAnsi="Times New Roman" w:cs="Times New Roman"/>
          <w:sz w:val="28"/>
          <w:szCs w:val="28"/>
        </w:rPr>
        <w:t>.</w:t>
      </w:r>
    </w:p>
    <w:p w14:paraId="238F28FB" w14:textId="5DD91E9B" w:rsidR="009211A6" w:rsidRPr="004135FE" w:rsidRDefault="009211A6" w:rsidP="00CF7A87">
      <w:pPr>
        <w:tabs>
          <w:tab w:val="left" w:pos="142"/>
          <w:tab w:val="left" w:pos="1134"/>
        </w:tabs>
        <w:spacing w:after="0" w:line="240" w:lineRule="auto"/>
        <w:ind w:firstLine="709"/>
        <w:jc w:val="both"/>
        <w:rPr>
          <w:rFonts w:ascii="Times New Roman" w:hAnsi="Times New Roman" w:cs="Times New Roman"/>
          <w:b/>
          <w:sz w:val="28"/>
          <w:szCs w:val="28"/>
        </w:rPr>
      </w:pPr>
      <w:r w:rsidRPr="004135FE">
        <w:rPr>
          <w:rFonts w:ascii="Times New Roman" w:hAnsi="Times New Roman" w:cs="Times New Roman"/>
          <w:b/>
          <w:sz w:val="28"/>
          <w:szCs w:val="28"/>
        </w:rPr>
        <w:t>Методы исследования</w:t>
      </w:r>
      <w:r w:rsidR="00CF7A87">
        <w:rPr>
          <w:rFonts w:ascii="Times New Roman" w:hAnsi="Times New Roman" w:cs="Times New Roman"/>
          <w:b/>
          <w:sz w:val="28"/>
          <w:szCs w:val="28"/>
        </w:rPr>
        <w:t>:</w:t>
      </w:r>
    </w:p>
    <w:p w14:paraId="4623F189" w14:textId="125A5810" w:rsidR="009211A6" w:rsidRPr="004135FE" w:rsidRDefault="009211A6">
      <w:pPr>
        <w:pStyle w:val="a3"/>
        <w:numPr>
          <w:ilvl w:val="0"/>
          <w:numId w:val="82"/>
        </w:numPr>
        <w:tabs>
          <w:tab w:val="left" w:pos="142"/>
          <w:tab w:val="left" w:pos="1134"/>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Информационно-аналитический </w:t>
      </w:r>
    </w:p>
    <w:p w14:paraId="6BF5F221" w14:textId="2EF10C1F" w:rsidR="009211A6" w:rsidRPr="004135FE" w:rsidRDefault="009211A6">
      <w:pPr>
        <w:pStyle w:val="a3"/>
        <w:numPr>
          <w:ilvl w:val="0"/>
          <w:numId w:val="82"/>
        </w:numPr>
        <w:tabs>
          <w:tab w:val="left" w:pos="142"/>
          <w:tab w:val="left" w:pos="1134"/>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Статистические методы</w:t>
      </w:r>
    </w:p>
    <w:p w14:paraId="5556C244" w14:textId="706ABE7A" w:rsidR="009211A6" w:rsidRPr="004135FE" w:rsidRDefault="009211A6">
      <w:pPr>
        <w:pStyle w:val="a3"/>
        <w:numPr>
          <w:ilvl w:val="0"/>
          <w:numId w:val="82"/>
        </w:numPr>
        <w:tabs>
          <w:tab w:val="left" w:pos="142"/>
          <w:tab w:val="left" w:pos="1134"/>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bCs/>
          <w:sz w:val="28"/>
          <w:szCs w:val="28"/>
        </w:rPr>
        <w:t xml:space="preserve">Социологические </w:t>
      </w:r>
      <w:r w:rsidRPr="004135FE">
        <w:rPr>
          <w:rFonts w:ascii="Times New Roman" w:hAnsi="Times New Roman" w:cs="Times New Roman"/>
          <w:sz w:val="28"/>
          <w:szCs w:val="28"/>
        </w:rPr>
        <w:t>методы</w:t>
      </w:r>
    </w:p>
    <w:p w14:paraId="7C67824A" w14:textId="4A1A3785" w:rsidR="009211A6" w:rsidRPr="004135FE" w:rsidRDefault="009211A6">
      <w:pPr>
        <w:pStyle w:val="a3"/>
        <w:numPr>
          <w:ilvl w:val="0"/>
          <w:numId w:val="82"/>
        </w:numPr>
        <w:tabs>
          <w:tab w:val="left" w:pos="142"/>
          <w:tab w:val="left" w:pos="1134"/>
        </w:tabs>
        <w:spacing w:after="0" w:line="240" w:lineRule="auto"/>
        <w:ind w:left="0" w:firstLine="709"/>
        <w:jc w:val="both"/>
        <w:rPr>
          <w:rFonts w:ascii="Times New Roman" w:hAnsi="Times New Roman" w:cs="Times New Roman"/>
          <w:bCs/>
          <w:sz w:val="28"/>
          <w:szCs w:val="28"/>
        </w:rPr>
      </w:pPr>
      <w:r w:rsidRPr="004135FE">
        <w:rPr>
          <w:rFonts w:ascii="Times New Roman" w:hAnsi="Times New Roman" w:cs="Times New Roman"/>
          <w:sz w:val="28"/>
          <w:szCs w:val="28"/>
        </w:rPr>
        <w:t>Метод экспертных оценок</w:t>
      </w:r>
    </w:p>
    <w:p w14:paraId="29FE5E0D" w14:textId="77777777" w:rsidR="009211A6" w:rsidRPr="004135FE" w:rsidRDefault="009211A6">
      <w:pPr>
        <w:pStyle w:val="a3"/>
        <w:numPr>
          <w:ilvl w:val="0"/>
          <w:numId w:val="82"/>
        </w:numPr>
        <w:tabs>
          <w:tab w:val="left" w:pos="142"/>
          <w:tab w:val="left" w:pos="1134"/>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Метод организационно- функционального моделирования </w:t>
      </w:r>
    </w:p>
    <w:p w14:paraId="035F043C" w14:textId="77777777" w:rsidR="009211A6" w:rsidRPr="004135FE" w:rsidRDefault="009211A6" w:rsidP="00CF7A87">
      <w:pPr>
        <w:tabs>
          <w:tab w:val="left" w:pos="0"/>
        </w:tabs>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
          <w:sz w:val="28"/>
          <w:szCs w:val="28"/>
        </w:rPr>
        <w:t xml:space="preserve">Научная новизна. </w:t>
      </w:r>
      <w:r w:rsidRPr="004135FE">
        <w:rPr>
          <w:rFonts w:ascii="Times New Roman" w:hAnsi="Times New Roman" w:cs="Times New Roman"/>
          <w:sz w:val="28"/>
          <w:szCs w:val="28"/>
        </w:rPr>
        <w:t>Впервые:</w:t>
      </w:r>
    </w:p>
    <w:p w14:paraId="6F32341B" w14:textId="4437AB22" w:rsidR="009211A6" w:rsidRPr="004135FE" w:rsidRDefault="009211A6">
      <w:pPr>
        <w:pStyle w:val="a3"/>
        <w:numPr>
          <w:ilvl w:val="0"/>
          <w:numId w:val="81"/>
        </w:numPr>
        <w:tabs>
          <w:tab w:val="left" w:pos="0"/>
          <w:tab w:val="left" w:pos="993"/>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Изучена эпидемиология СД2т в динамике за 10 лет на примере крупного города (г.</w:t>
      </w:r>
      <w:r w:rsidR="001C0A28">
        <w:rPr>
          <w:rFonts w:ascii="Times New Roman" w:hAnsi="Times New Roman" w:cs="Times New Roman"/>
          <w:sz w:val="28"/>
          <w:szCs w:val="28"/>
        </w:rPr>
        <w:t xml:space="preserve"> </w:t>
      </w:r>
      <w:r w:rsidRPr="004135FE">
        <w:rPr>
          <w:rFonts w:ascii="Times New Roman" w:hAnsi="Times New Roman" w:cs="Times New Roman"/>
          <w:sz w:val="28"/>
          <w:szCs w:val="28"/>
        </w:rPr>
        <w:t>Алматы, 2012-2021 гг.)</w:t>
      </w:r>
      <w:r w:rsidR="00CF7A87">
        <w:rPr>
          <w:rFonts w:ascii="Times New Roman" w:hAnsi="Times New Roman" w:cs="Times New Roman"/>
          <w:sz w:val="28"/>
          <w:szCs w:val="28"/>
        </w:rPr>
        <w:t>.</w:t>
      </w:r>
    </w:p>
    <w:p w14:paraId="7405E67E" w14:textId="764A3228" w:rsidR="009211A6" w:rsidRPr="004135FE" w:rsidRDefault="009211A6">
      <w:pPr>
        <w:pStyle w:val="a3"/>
        <w:numPr>
          <w:ilvl w:val="0"/>
          <w:numId w:val="81"/>
        </w:numPr>
        <w:tabs>
          <w:tab w:val="left" w:pos="0"/>
          <w:tab w:val="left" w:pos="993"/>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Определены потребности </w:t>
      </w:r>
      <w:r w:rsidR="000129E1" w:rsidRPr="004135FE">
        <w:rPr>
          <w:rFonts w:ascii="Times New Roman" w:hAnsi="Times New Roman" w:cs="Times New Roman"/>
          <w:sz w:val="28"/>
          <w:szCs w:val="28"/>
          <w:shd w:val="clear" w:color="auto" w:fill="FFFFFF"/>
        </w:rPr>
        <w:t>пациентов</w:t>
      </w:r>
      <w:r w:rsidRPr="004135FE">
        <w:rPr>
          <w:rFonts w:ascii="Times New Roman" w:hAnsi="Times New Roman" w:cs="Times New Roman"/>
          <w:sz w:val="28"/>
          <w:szCs w:val="28"/>
          <w:shd w:val="clear" w:color="auto" w:fill="FFFFFF"/>
        </w:rPr>
        <w:t xml:space="preserve"> и врачей эндокринологов </w:t>
      </w:r>
      <w:r w:rsidRPr="004135FE">
        <w:rPr>
          <w:rFonts w:ascii="Times New Roman" w:eastAsia="Times New Roman" w:hAnsi="Times New Roman" w:cs="Times New Roman"/>
          <w:sz w:val="28"/>
          <w:szCs w:val="28"/>
        </w:rPr>
        <w:t xml:space="preserve">для </w:t>
      </w:r>
      <w:r w:rsidRPr="004135FE">
        <w:rPr>
          <w:rFonts w:ascii="Times New Roman" w:eastAsia="Times New Roman" w:hAnsi="Times New Roman" w:cs="Times New Roman"/>
          <w:sz w:val="28"/>
          <w:szCs w:val="28"/>
          <w:lang w:val="kk-KZ"/>
        </w:rPr>
        <w:t xml:space="preserve">совершенствования оказания медицинской помощи и </w:t>
      </w:r>
      <w:r w:rsidRPr="004135FE">
        <w:rPr>
          <w:rFonts w:ascii="Times New Roman" w:eastAsia="Times New Roman" w:hAnsi="Times New Roman" w:cs="Times New Roman"/>
          <w:sz w:val="28"/>
          <w:szCs w:val="28"/>
        </w:rPr>
        <w:t>межсекторального сотрудничества при СД2т</w:t>
      </w:r>
      <w:r w:rsidR="00CF7A87">
        <w:rPr>
          <w:rFonts w:ascii="Times New Roman" w:eastAsia="Times New Roman" w:hAnsi="Times New Roman" w:cs="Times New Roman"/>
          <w:sz w:val="28"/>
          <w:szCs w:val="28"/>
        </w:rPr>
        <w:t>.</w:t>
      </w:r>
    </w:p>
    <w:p w14:paraId="21686530" w14:textId="17731242" w:rsidR="009211A6" w:rsidRPr="004135FE" w:rsidRDefault="009211A6">
      <w:pPr>
        <w:pStyle w:val="a3"/>
        <w:numPr>
          <w:ilvl w:val="0"/>
          <w:numId w:val="81"/>
        </w:numPr>
        <w:tabs>
          <w:tab w:val="left" w:pos="0"/>
          <w:tab w:val="left" w:pos="993"/>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Определены особенности существующей системы оказания помощи и межсекторального сотрудничества при СД2т и выявлены организационные проблемы влияющие на эффективность профилактики и ведения пациентов</w:t>
      </w:r>
      <w:r w:rsidR="00CF7A87">
        <w:rPr>
          <w:rFonts w:ascii="Times New Roman" w:hAnsi="Times New Roman" w:cs="Times New Roman"/>
          <w:sz w:val="28"/>
          <w:szCs w:val="28"/>
        </w:rPr>
        <w:t>.</w:t>
      </w:r>
      <w:r w:rsidRPr="004135FE">
        <w:rPr>
          <w:rFonts w:ascii="Times New Roman" w:hAnsi="Times New Roman" w:cs="Times New Roman"/>
          <w:sz w:val="28"/>
          <w:szCs w:val="28"/>
        </w:rPr>
        <w:t xml:space="preserve"> </w:t>
      </w:r>
    </w:p>
    <w:p w14:paraId="3CFEAE31" w14:textId="34902CD8" w:rsidR="009211A6" w:rsidRPr="004135FE" w:rsidRDefault="009211A6">
      <w:pPr>
        <w:pStyle w:val="a3"/>
        <w:numPr>
          <w:ilvl w:val="0"/>
          <w:numId w:val="81"/>
        </w:numPr>
        <w:tabs>
          <w:tab w:val="left" w:pos="0"/>
          <w:tab w:val="left" w:pos="993"/>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Разработаны научно</w:t>
      </w:r>
      <w:r w:rsidR="00CC6B82" w:rsidRPr="004135FE">
        <w:rPr>
          <w:rFonts w:ascii="Times New Roman" w:hAnsi="Times New Roman" w:cs="Times New Roman"/>
          <w:sz w:val="28"/>
          <w:szCs w:val="28"/>
        </w:rPr>
        <w:t>-</w:t>
      </w:r>
      <w:r w:rsidRPr="004135FE">
        <w:rPr>
          <w:rFonts w:ascii="Times New Roman" w:hAnsi="Times New Roman" w:cs="Times New Roman"/>
          <w:sz w:val="28"/>
          <w:szCs w:val="28"/>
        </w:rPr>
        <w:t xml:space="preserve">обоснованные предложения к </w:t>
      </w:r>
      <w:r w:rsidRPr="004135FE">
        <w:rPr>
          <w:rFonts w:ascii="Times New Roman" w:eastAsia="Times New Roman" w:hAnsi="Times New Roman" w:cs="Times New Roman"/>
          <w:sz w:val="28"/>
          <w:szCs w:val="28"/>
        </w:rPr>
        <w:t>совершенствованию оказания медицинской помощи и межсекторального сотрудничества при СД2т</w:t>
      </w:r>
      <w:r w:rsidR="00CF7A87">
        <w:rPr>
          <w:rFonts w:ascii="Times New Roman" w:eastAsia="Times New Roman" w:hAnsi="Times New Roman" w:cs="Times New Roman"/>
          <w:sz w:val="28"/>
          <w:szCs w:val="28"/>
        </w:rPr>
        <w:t>.</w:t>
      </w:r>
    </w:p>
    <w:p w14:paraId="2B1A082D" w14:textId="77777777" w:rsidR="009211A6" w:rsidRPr="004135FE" w:rsidRDefault="009211A6" w:rsidP="00CF7A87">
      <w:pPr>
        <w:pStyle w:val="a3"/>
        <w:tabs>
          <w:tab w:val="left" w:pos="0"/>
        </w:tabs>
        <w:spacing w:after="0" w:line="240" w:lineRule="auto"/>
        <w:ind w:left="0" w:firstLine="709"/>
        <w:jc w:val="both"/>
        <w:rPr>
          <w:rFonts w:ascii="Times New Roman" w:hAnsi="Times New Roman" w:cs="Times New Roman"/>
          <w:b/>
          <w:sz w:val="28"/>
          <w:szCs w:val="28"/>
        </w:rPr>
      </w:pPr>
      <w:r w:rsidRPr="004135FE">
        <w:rPr>
          <w:rFonts w:ascii="Times New Roman" w:hAnsi="Times New Roman" w:cs="Times New Roman"/>
          <w:b/>
          <w:sz w:val="28"/>
          <w:szCs w:val="28"/>
        </w:rPr>
        <w:t>Теоретическая значимость:</w:t>
      </w:r>
    </w:p>
    <w:p w14:paraId="20B87ADE" w14:textId="7BE6C66B" w:rsidR="009211A6" w:rsidRPr="004135FE" w:rsidRDefault="009211A6" w:rsidP="00CF7A87">
      <w:pPr>
        <w:pStyle w:val="a3"/>
        <w:tabs>
          <w:tab w:val="left" w:pos="0"/>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Теория общественного здравоохранения обогащена новыми знаниями о путях совершенствования помощи при СД2т. На основе литературного анализа зарубежного опыта, официальных статистических данных о высокой заболеваемости и постоянного его роста, социологического исследования для </w:t>
      </w:r>
      <w:r w:rsidRPr="004135FE">
        <w:rPr>
          <w:rFonts w:ascii="Times New Roman" w:hAnsi="Times New Roman" w:cs="Times New Roman"/>
          <w:sz w:val="28"/>
          <w:szCs w:val="28"/>
        </w:rPr>
        <w:lastRenderedPageBreak/>
        <w:t xml:space="preserve">выявления потребностей пациентов и медицинского персонала, анализа нормативных документов, программ, клинических протоколов и модели, предложена собственная модель применительно конкретно к СД2т. </w:t>
      </w:r>
      <w:r w:rsidRPr="004135FE">
        <w:rPr>
          <w:rFonts w:ascii="Times New Roman" w:eastAsiaTheme="minorHAnsi" w:hAnsi="Times New Roman" w:cs="Times New Roman"/>
          <w:sz w:val="28"/>
          <w:szCs w:val="28"/>
          <w:lang w:eastAsia="en-US"/>
        </w:rPr>
        <w:t>Модель «С</w:t>
      </w:r>
      <w:r w:rsidRPr="004135FE">
        <w:rPr>
          <w:rFonts w:ascii="Times New Roman" w:eastAsia="Times New Roman" w:hAnsi="Times New Roman" w:cs="Times New Roman"/>
          <w:sz w:val="28"/>
          <w:szCs w:val="28"/>
        </w:rPr>
        <w:t>овершенствования оказания медицинской помощи и межсекторального сотрудничества при СД2т»</w:t>
      </w:r>
      <w:r w:rsidRPr="004135FE">
        <w:rPr>
          <w:rFonts w:ascii="Times New Roman" w:eastAsiaTheme="minorHAnsi" w:hAnsi="Times New Roman" w:cs="Times New Roman"/>
          <w:sz w:val="28"/>
          <w:szCs w:val="28"/>
          <w:lang w:eastAsia="en-US"/>
        </w:rPr>
        <w:t xml:space="preserve"> состоит из двух составляющих:</w:t>
      </w:r>
    </w:p>
    <w:p w14:paraId="604E6C4A" w14:textId="48BE8448" w:rsidR="009211A6" w:rsidRPr="004135FE" w:rsidRDefault="00CF7A87" w:rsidP="00CF7A8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1)</w:t>
      </w:r>
      <w:r w:rsidR="009211A6" w:rsidRPr="004135FE">
        <w:rPr>
          <w:rFonts w:ascii="Times New Roman" w:eastAsia="Times New Roman" w:hAnsi="Times New Roman" w:cs="Times New Roman"/>
          <w:sz w:val="28"/>
          <w:szCs w:val="28"/>
        </w:rPr>
        <w:t xml:space="preserve"> «Совершенствование оказания медицинской помощи </w:t>
      </w:r>
      <w:r w:rsidR="009211A6" w:rsidRPr="004135FE">
        <w:rPr>
          <w:rFonts w:ascii="Times New Roman" w:hAnsi="Times New Roman" w:cs="Times New Roman"/>
          <w:bCs/>
          <w:sz w:val="28"/>
          <w:szCs w:val="28"/>
        </w:rPr>
        <w:t>для осуществления потребности пациентов с СД2т и медицинского персонала» и предложения для его реализации:</w:t>
      </w:r>
    </w:p>
    <w:p w14:paraId="3B9D4453" w14:textId="0140984E" w:rsidR="009211A6" w:rsidRPr="004135FE" w:rsidRDefault="009211A6" w:rsidP="00CF7A87">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Cs/>
          <w:sz w:val="28"/>
          <w:szCs w:val="28"/>
        </w:rPr>
        <w:t xml:space="preserve">- </w:t>
      </w:r>
      <w:r w:rsidRPr="004135FE">
        <w:rPr>
          <w:rFonts w:ascii="Times New Roman" w:eastAsia="Times New Roman" w:hAnsi="Times New Roman" w:cs="Times New Roman"/>
          <w:sz w:val="28"/>
          <w:szCs w:val="28"/>
        </w:rPr>
        <w:t>Реорганизация Школы Диабета</w:t>
      </w:r>
      <w:r w:rsidRPr="004135FE">
        <w:rPr>
          <w:rFonts w:ascii="Times New Roman" w:hAnsi="Times New Roman" w:cs="Times New Roman"/>
          <w:sz w:val="28"/>
          <w:szCs w:val="28"/>
        </w:rPr>
        <w:t xml:space="preserve"> на уровне ПМСП</w:t>
      </w:r>
      <w:r w:rsidR="00F23EC3">
        <w:rPr>
          <w:rFonts w:ascii="Times New Roman" w:hAnsi="Times New Roman" w:cs="Times New Roman"/>
          <w:sz w:val="28"/>
          <w:szCs w:val="28"/>
        </w:rPr>
        <w:t>.</w:t>
      </w:r>
    </w:p>
    <w:p w14:paraId="1B52FE25" w14:textId="261F9512" w:rsidR="009211A6" w:rsidRPr="004135FE" w:rsidRDefault="009211A6" w:rsidP="00CF7A87">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Эффективное введение и привлечение в школу диабета пациентов с СД2т на уровне ПМСП</w:t>
      </w:r>
      <w:r w:rsidR="00F23EC3">
        <w:rPr>
          <w:rFonts w:ascii="Times New Roman" w:hAnsi="Times New Roman" w:cs="Times New Roman"/>
          <w:sz w:val="28"/>
          <w:szCs w:val="28"/>
        </w:rPr>
        <w:t>.</w:t>
      </w:r>
    </w:p>
    <w:p w14:paraId="59EC8AAF" w14:textId="24A697E0" w:rsidR="009211A6" w:rsidRPr="004135FE" w:rsidRDefault="009211A6" w:rsidP="00CF7A87">
      <w:pPr>
        <w:spacing w:after="0" w:line="240" w:lineRule="auto"/>
        <w:ind w:firstLine="709"/>
        <w:jc w:val="both"/>
        <w:rPr>
          <w:rFonts w:ascii="Times New Roman" w:hAnsi="Times New Roman" w:cs="Times New Roman"/>
          <w:spacing w:val="2"/>
          <w:sz w:val="28"/>
          <w:szCs w:val="28"/>
        </w:rPr>
      </w:pPr>
      <w:r w:rsidRPr="004135FE">
        <w:rPr>
          <w:rFonts w:ascii="Times New Roman" w:hAnsi="Times New Roman" w:cs="Times New Roman"/>
          <w:sz w:val="28"/>
          <w:szCs w:val="28"/>
        </w:rPr>
        <w:t xml:space="preserve">- </w:t>
      </w:r>
      <w:r w:rsidRPr="004135FE">
        <w:rPr>
          <w:rFonts w:ascii="Times New Roman" w:hAnsi="Times New Roman" w:cs="Times New Roman"/>
          <w:spacing w:val="2"/>
          <w:sz w:val="28"/>
          <w:szCs w:val="28"/>
        </w:rPr>
        <w:t>Маршрут по психосоциальной поддержке пациентов с СД2т на уровне ПМСП</w:t>
      </w:r>
      <w:r w:rsidR="00F23EC3">
        <w:rPr>
          <w:rFonts w:ascii="Times New Roman" w:hAnsi="Times New Roman" w:cs="Times New Roman"/>
          <w:spacing w:val="2"/>
          <w:sz w:val="28"/>
          <w:szCs w:val="28"/>
        </w:rPr>
        <w:t>.</w:t>
      </w:r>
    </w:p>
    <w:p w14:paraId="62915315" w14:textId="261D4488" w:rsidR="009211A6" w:rsidRPr="004135FE" w:rsidRDefault="00CF7A87" w:rsidP="00CF7A87">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2)</w:t>
      </w:r>
      <w:r w:rsidR="009211A6" w:rsidRPr="004135FE">
        <w:rPr>
          <w:rFonts w:ascii="Times New Roman" w:hAnsi="Times New Roman" w:cs="Times New Roman"/>
          <w:bCs/>
          <w:sz w:val="28"/>
          <w:szCs w:val="28"/>
        </w:rPr>
        <w:t xml:space="preserve"> «</w:t>
      </w:r>
      <w:r w:rsidR="009211A6" w:rsidRPr="004135FE">
        <w:rPr>
          <w:rFonts w:ascii="Times New Roman" w:hAnsi="Times New Roman" w:cs="Times New Roman"/>
          <w:noProof/>
          <w:sz w:val="28"/>
          <w:szCs w:val="28"/>
        </w:rPr>
        <w:t>Совершенствование м</w:t>
      </w:r>
      <w:r w:rsidR="009211A6" w:rsidRPr="004135FE">
        <w:rPr>
          <w:rFonts w:ascii="Times New Roman" w:hAnsi="Times New Roman" w:cs="Times New Roman"/>
          <w:bCs/>
          <w:noProof/>
          <w:sz w:val="28"/>
          <w:szCs w:val="28"/>
        </w:rPr>
        <w:t>ежсекторального сотрудничества при организации помощи пациентам с СД2т</w:t>
      </w:r>
      <w:r w:rsidR="009211A6" w:rsidRPr="004135FE">
        <w:rPr>
          <w:rFonts w:ascii="Times New Roman" w:hAnsi="Times New Roman" w:cs="Times New Roman"/>
          <w:bCs/>
          <w:sz w:val="28"/>
          <w:szCs w:val="28"/>
        </w:rPr>
        <w:t>»</w:t>
      </w:r>
      <w:r w:rsidR="00F23EC3">
        <w:rPr>
          <w:rFonts w:ascii="Times New Roman" w:hAnsi="Times New Roman" w:cs="Times New Roman"/>
          <w:bCs/>
          <w:sz w:val="28"/>
          <w:szCs w:val="28"/>
        </w:rPr>
        <w:t>.</w:t>
      </w:r>
    </w:p>
    <w:p w14:paraId="7C2D41F7" w14:textId="77777777" w:rsidR="009211A6" w:rsidRPr="004135FE" w:rsidRDefault="009211A6" w:rsidP="00CF7A87">
      <w:pPr>
        <w:pStyle w:val="a3"/>
        <w:tabs>
          <w:tab w:val="left" w:pos="0"/>
        </w:tabs>
        <w:spacing w:after="0" w:line="240" w:lineRule="auto"/>
        <w:ind w:left="0" w:firstLine="709"/>
        <w:jc w:val="both"/>
        <w:rPr>
          <w:rFonts w:ascii="Times New Roman" w:hAnsi="Times New Roman" w:cs="Times New Roman"/>
          <w:b/>
          <w:sz w:val="28"/>
          <w:szCs w:val="28"/>
        </w:rPr>
      </w:pPr>
      <w:r w:rsidRPr="004135FE">
        <w:rPr>
          <w:rFonts w:ascii="Times New Roman" w:hAnsi="Times New Roman" w:cs="Times New Roman"/>
          <w:b/>
          <w:sz w:val="28"/>
          <w:szCs w:val="28"/>
        </w:rPr>
        <w:t xml:space="preserve">Практическая значимость: </w:t>
      </w:r>
    </w:p>
    <w:p w14:paraId="6F488BCD" w14:textId="70F01611" w:rsidR="009211A6" w:rsidRPr="004135FE" w:rsidRDefault="009211A6" w:rsidP="00F23EC3">
      <w:pPr>
        <w:pStyle w:val="a3"/>
        <w:tabs>
          <w:tab w:val="left" w:pos="0"/>
          <w:tab w:val="left" w:pos="851"/>
          <w:tab w:val="left" w:pos="993"/>
          <w:tab w:val="left" w:pos="1134"/>
        </w:tabs>
        <w:spacing w:after="0" w:line="240" w:lineRule="auto"/>
        <w:ind w:left="0" w:firstLine="709"/>
        <w:jc w:val="both"/>
        <w:rPr>
          <w:rFonts w:ascii="Times New Roman" w:eastAsiaTheme="minorHAnsi" w:hAnsi="Times New Roman" w:cs="Times New Roman"/>
          <w:bCs/>
          <w:sz w:val="28"/>
          <w:szCs w:val="28"/>
          <w:lang w:eastAsia="en-US"/>
        </w:rPr>
      </w:pPr>
      <w:r w:rsidRPr="004135FE">
        <w:rPr>
          <w:rFonts w:ascii="Times New Roman" w:hAnsi="Times New Roman" w:cs="Times New Roman"/>
          <w:sz w:val="28"/>
          <w:szCs w:val="28"/>
        </w:rPr>
        <w:t>1</w:t>
      </w:r>
      <w:r w:rsidR="00F23EC3">
        <w:rPr>
          <w:rFonts w:ascii="Times New Roman" w:hAnsi="Times New Roman" w:cs="Times New Roman"/>
          <w:sz w:val="28"/>
          <w:szCs w:val="28"/>
        </w:rPr>
        <w:t>)</w:t>
      </w:r>
      <w:r w:rsidRPr="004135FE">
        <w:rPr>
          <w:rFonts w:ascii="Times New Roman" w:hAnsi="Times New Roman" w:cs="Times New Roman"/>
          <w:sz w:val="28"/>
          <w:szCs w:val="28"/>
        </w:rPr>
        <w:t xml:space="preserve"> Научно</w:t>
      </w:r>
      <w:r w:rsidR="00CC6B82" w:rsidRPr="004135FE">
        <w:rPr>
          <w:rFonts w:ascii="Times New Roman" w:hAnsi="Times New Roman" w:cs="Times New Roman"/>
          <w:sz w:val="28"/>
          <w:szCs w:val="28"/>
        </w:rPr>
        <w:t>-</w:t>
      </w:r>
      <w:r w:rsidRPr="004135FE">
        <w:rPr>
          <w:rFonts w:ascii="Times New Roman" w:hAnsi="Times New Roman" w:cs="Times New Roman"/>
          <w:sz w:val="28"/>
          <w:szCs w:val="28"/>
        </w:rPr>
        <w:t xml:space="preserve">обоснованные и разработанные предложения к </w:t>
      </w:r>
      <w:r w:rsidRPr="004135FE">
        <w:rPr>
          <w:rFonts w:ascii="Times New Roman" w:eastAsia="Times New Roman" w:hAnsi="Times New Roman" w:cs="Times New Roman"/>
          <w:sz w:val="28"/>
          <w:szCs w:val="28"/>
        </w:rPr>
        <w:t>совершенствованию оказания медицинской помощи и межсекторального сотрудничества при СД2т</w:t>
      </w:r>
      <w:r w:rsidRPr="004135FE">
        <w:rPr>
          <w:rFonts w:ascii="Times New Roman" w:hAnsi="Times New Roman" w:cs="Times New Roman"/>
          <w:sz w:val="28"/>
          <w:szCs w:val="28"/>
          <w:lang w:val="kk-KZ"/>
        </w:rPr>
        <w:t xml:space="preserve"> могут быть использованы для эффективного </w:t>
      </w:r>
      <w:r w:rsidRPr="004135FE">
        <w:rPr>
          <w:rFonts w:ascii="Times New Roman" w:hAnsi="Times New Roman" w:cs="Times New Roman"/>
          <w:sz w:val="28"/>
          <w:szCs w:val="28"/>
        </w:rPr>
        <w:t xml:space="preserve">управления факторами развития риска, осложнении и </w:t>
      </w:r>
      <w:r w:rsidRPr="004135FE">
        <w:rPr>
          <w:rFonts w:ascii="Times New Roman" w:hAnsi="Times New Roman" w:cs="Times New Roman"/>
          <w:sz w:val="28"/>
          <w:szCs w:val="28"/>
          <w:lang w:val="kk-KZ"/>
        </w:rPr>
        <w:t>профилактических мер на Государственном уровне</w:t>
      </w:r>
      <w:r w:rsidRPr="004135FE">
        <w:rPr>
          <w:rFonts w:ascii="Times New Roman" w:hAnsi="Times New Roman" w:cs="Times New Roman"/>
          <w:sz w:val="28"/>
          <w:szCs w:val="28"/>
        </w:rPr>
        <w:t xml:space="preserve">, на уровне МЗ РК, на уровне </w:t>
      </w:r>
      <w:r w:rsidRPr="004135FE">
        <w:rPr>
          <w:rFonts w:ascii="Times New Roman" w:eastAsiaTheme="minorHAnsi" w:hAnsi="Times New Roman" w:cs="Times New Roman"/>
          <w:bCs/>
          <w:sz w:val="28"/>
          <w:szCs w:val="28"/>
          <w:lang w:eastAsia="en-US"/>
        </w:rPr>
        <w:t>местных исполнительных органов</w:t>
      </w:r>
      <w:r w:rsidR="001C0A28">
        <w:rPr>
          <w:rFonts w:ascii="Times New Roman" w:eastAsiaTheme="minorHAnsi" w:hAnsi="Times New Roman" w:cs="Times New Roman"/>
          <w:bCs/>
          <w:sz w:val="28"/>
          <w:szCs w:val="28"/>
          <w:lang w:eastAsia="en-US"/>
        </w:rPr>
        <w:t xml:space="preserve"> </w:t>
      </w:r>
      <w:r w:rsidRPr="004135FE">
        <w:rPr>
          <w:rFonts w:ascii="Times New Roman" w:eastAsiaTheme="minorHAnsi" w:hAnsi="Times New Roman" w:cs="Times New Roman"/>
          <w:bCs/>
          <w:sz w:val="28"/>
          <w:szCs w:val="28"/>
          <w:lang w:eastAsia="en-US"/>
        </w:rPr>
        <w:t>/</w:t>
      </w:r>
      <w:r w:rsidRPr="004135FE">
        <w:rPr>
          <w:rFonts w:ascii="Times New Roman" w:hAnsi="Times New Roman" w:cs="Times New Roman"/>
          <w:sz w:val="28"/>
          <w:szCs w:val="28"/>
        </w:rPr>
        <w:t xml:space="preserve"> акиматов, общественных организации, на уровне ПМСП, </w:t>
      </w:r>
      <w:r w:rsidRPr="004135FE">
        <w:rPr>
          <w:rFonts w:ascii="Times New Roman" w:eastAsia="Times New Roman" w:hAnsi="Times New Roman" w:cs="Times New Roman"/>
          <w:sz w:val="28"/>
          <w:szCs w:val="28"/>
        </w:rPr>
        <w:t>на уровне населения</w:t>
      </w:r>
    </w:p>
    <w:p w14:paraId="4D28270A" w14:textId="632B4FD4" w:rsidR="009211A6" w:rsidRPr="004135FE" w:rsidRDefault="009211A6" w:rsidP="00F23EC3">
      <w:pPr>
        <w:tabs>
          <w:tab w:val="left" w:pos="284"/>
          <w:tab w:val="left" w:pos="851"/>
          <w:tab w:val="left" w:pos="993"/>
          <w:tab w:val="left" w:pos="1134"/>
        </w:tabs>
        <w:spacing w:after="0" w:line="240" w:lineRule="auto"/>
        <w:ind w:firstLine="709"/>
        <w:jc w:val="both"/>
        <w:rPr>
          <w:rFonts w:ascii="Times New Roman" w:hAnsi="Times New Roman" w:cs="Times New Roman"/>
          <w:sz w:val="28"/>
          <w:szCs w:val="28"/>
          <w:lang w:val="kk-KZ"/>
        </w:rPr>
      </w:pPr>
      <w:r w:rsidRPr="004135FE">
        <w:rPr>
          <w:rFonts w:ascii="Times New Roman" w:hAnsi="Times New Roman" w:cs="Times New Roman"/>
          <w:sz w:val="28"/>
          <w:szCs w:val="28"/>
        </w:rPr>
        <w:t>2</w:t>
      </w:r>
      <w:r w:rsidR="00F23EC3">
        <w:rPr>
          <w:rFonts w:ascii="Times New Roman" w:hAnsi="Times New Roman" w:cs="Times New Roman"/>
          <w:sz w:val="28"/>
          <w:szCs w:val="28"/>
        </w:rPr>
        <w:t>)</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kk-KZ"/>
        </w:rPr>
        <w:t xml:space="preserve">Разработаны практические рекомендации и внедрены в городские поликлиники №1, 12, 16 (получены акты внедрения) </w:t>
      </w:r>
    </w:p>
    <w:p w14:paraId="186E964F" w14:textId="1CE0A394" w:rsidR="009211A6" w:rsidRPr="004135FE" w:rsidRDefault="009211A6" w:rsidP="00F23EC3">
      <w:pPr>
        <w:tabs>
          <w:tab w:val="left" w:pos="284"/>
          <w:tab w:val="left" w:pos="851"/>
          <w:tab w:val="left" w:pos="993"/>
          <w:tab w:val="left" w:pos="1134"/>
        </w:tabs>
        <w:spacing w:after="0" w:line="240" w:lineRule="auto"/>
        <w:ind w:firstLine="709"/>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w:t>
      </w:r>
      <w:r w:rsidR="00F23EC3">
        <w:rPr>
          <w:rFonts w:ascii="Times New Roman" w:hAnsi="Times New Roman" w:cs="Times New Roman"/>
          <w:sz w:val="28"/>
          <w:szCs w:val="28"/>
          <w:lang w:val="kk-KZ"/>
        </w:rPr>
        <w:t xml:space="preserve">) </w:t>
      </w:r>
      <w:r w:rsidRPr="004135FE">
        <w:rPr>
          <w:rFonts w:ascii="Times New Roman" w:hAnsi="Times New Roman" w:cs="Times New Roman"/>
          <w:sz w:val="28"/>
          <w:szCs w:val="28"/>
          <w:lang w:val="kk-KZ"/>
        </w:rPr>
        <w:t>Получены свидельства о государственной регистрации прав на объект авторского права № 24991</w:t>
      </w:r>
      <w:r w:rsidR="001C0A28">
        <w:rPr>
          <w:rFonts w:ascii="Times New Roman" w:hAnsi="Times New Roman" w:cs="Times New Roman"/>
          <w:sz w:val="28"/>
          <w:szCs w:val="28"/>
          <w:lang w:val="kk-KZ"/>
        </w:rPr>
        <w:t>,</w:t>
      </w:r>
      <w:r w:rsidRPr="004135FE">
        <w:rPr>
          <w:rFonts w:ascii="Times New Roman" w:hAnsi="Times New Roman" w:cs="Times New Roman"/>
          <w:sz w:val="28"/>
          <w:szCs w:val="28"/>
          <w:lang w:val="kk-KZ"/>
        </w:rPr>
        <w:t xml:space="preserve"> № 22629.</w:t>
      </w:r>
    </w:p>
    <w:p w14:paraId="552556DB" w14:textId="77777777" w:rsidR="009211A6" w:rsidRPr="004135FE" w:rsidRDefault="009211A6" w:rsidP="00CF7A87">
      <w:pPr>
        <w:tabs>
          <w:tab w:val="left" w:pos="0"/>
          <w:tab w:val="left" w:pos="540"/>
          <w:tab w:val="left" w:pos="993"/>
        </w:tabs>
        <w:spacing w:after="0" w:line="240" w:lineRule="auto"/>
        <w:ind w:firstLine="709"/>
        <w:contextualSpacing/>
        <w:jc w:val="both"/>
        <w:rPr>
          <w:rFonts w:ascii="Times New Roman" w:hAnsi="Times New Roman" w:cs="Times New Roman"/>
          <w:sz w:val="28"/>
          <w:szCs w:val="28"/>
          <w:lang w:val="kk-KZ"/>
        </w:rPr>
      </w:pPr>
      <w:r w:rsidRPr="00F23EC3">
        <w:rPr>
          <w:rFonts w:ascii="Times New Roman" w:hAnsi="Times New Roman" w:cs="Times New Roman"/>
          <w:bCs/>
          <w:sz w:val="28"/>
          <w:szCs w:val="28"/>
        </w:rPr>
        <w:t>Положения, выносимые на защиту:</w:t>
      </w:r>
      <w:r w:rsidRPr="004135FE">
        <w:rPr>
          <w:rFonts w:ascii="Times New Roman" w:hAnsi="Times New Roman" w:cs="Times New Roman"/>
          <w:b/>
          <w:sz w:val="28"/>
          <w:szCs w:val="28"/>
        </w:rPr>
        <w:t xml:space="preserve"> </w:t>
      </w:r>
      <w:r w:rsidRPr="004135FE">
        <w:rPr>
          <w:rFonts w:ascii="Times New Roman" w:hAnsi="Times New Roman" w:cs="Times New Roman"/>
          <w:sz w:val="28"/>
          <w:szCs w:val="28"/>
          <w:lang w:val="kk-KZ"/>
        </w:rPr>
        <w:t>Мы утверждаем</w:t>
      </w:r>
      <w:r w:rsidRPr="004135FE">
        <w:rPr>
          <w:rFonts w:ascii="Times New Roman" w:hAnsi="Times New Roman" w:cs="Times New Roman"/>
          <w:sz w:val="28"/>
          <w:szCs w:val="28"/>
        </w:rPr>
        <w:t>,</w:t>
      </w:r>
      <w:r w:rsidRPr="004135FE">
        <w:rPr>
          <w:rFonts w:ascii="Times New Roman" w:hAnsi="Times New Roman" w:cs="Times New Roman"/>
          <w:sz w:val="28"/>
          <w:szCs w:val="28"/>
          <w:lang w:val="kk-KZ"/>
        </w:rPr>
        <w:t xml:space="preserve"> что:</w:t>
      </w:r>
    </w:p>
    <w:p w14:paraId="1481EA3A" w14:textId="77777777" w:rsidR="009211A6" w:rsidRPr="004135FE" w:rsidRDefault="009211A6">
      <w:pPr>
        <w:pStyle w:val="a3"/>
        <w:numPr>
          <w:ilvl w:val="0"/>
          <w:numId w:val="86"/>
        </w:numPr>
        <w:tabs>
          <w:tab w:val="left" w:pos="0"/>
          <w:tab w:val="left" w:pos="540"/>
          <w:tab w:val="left" w:pos="567"/>
          <w:tab w:val="left" w:pos="851"/>
          <w:tab w:val="left" w:pos="993"/>
        </w:tabs>
        <w:spacing w:after="0" w:line="240" w:lineRule="auto"/>
        <w:ind w:left="0" w:firstLine="709"/>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 xml:space="preserve">Существующая модель организации оказания помощи при СД2т нуждается в совершенствовании с учетом профилактических мер на разных уровнях, современных технологии диагностики, лечения, ведения и координации пациентов </w:t>
      </w:r>
    </w:p>
    <w:p w14:paraId="57035E4E" w14:textId="520B7769" w:rsidR="009211A6" w:rsidRPr="00F23EC3" w:rsidRDefault="009211A6">
      <w:pPr>
        <w:pStyle w:val="a3"/>
        <w:numPr>
          <w:ilvl w:val="0"/>
          <w:numId w:val="86"/>
        </w:numPr>
        <w:shd w:val="clear" w:color="auto" w:fill="FFFFFF" w:themeFill="background1"/>
        <w:tabs>
          <w:tab w:val="left" w:pos="993"/>
        </w:tabs>
        <w:spacing w:after="0" w:line="240" w:lineRule="auto"/>
        <w:ind w:left="0" w:firstLine="709"/>
        <w:jc w:val="both"/>
        <w:rPr>
          <w:rFonts w:ascii="Times New Roman" w:hAnsi="Times New Roman" w:cs="Times New Roman"/>
          <w:sz w:val="28"/>
          <w:szCs w:val="28"/>
          <w:lang w:val="kk-KZ"/>
        </w:rPr>
      </w:pPr>
      <w:r w:rsidRPr="00F23EC3">
        <w:rPr>
          <w:rFonts w:ascii="Times New Roman" w:hAnsi="Times New Roman" w:cs="Times New Roman"/>
          <w:sz w:val="28"/>
          <w:szCs w:val="28"/>
          <w:lang w:val="kk-KZ"/>
        </w:rPr>
        <w:t xml:space="preserve"> В современных условиях организация оказания медицинской помощи и межсекторального сотрудничества при СД2т должно быть оптимизировано</w:t>
      </w:r>
      <w:r w:rsidRPr="00F23EC3">
        <w:rPr>
          <w:rFonts w:ascii="Times New Roman" w:eastAsia="Times New Roman" w:hAnsi="Times New Roman" w:cs="Times New Roman"/>
          <w:sz w:val="28"/>
          <w:szCs w:val="28"/>
        </w:rPr>
        <w:t xml:space="preserve"> путем интегрирования уже существующих механизмов и определив новые задачи для секторов с наиболее важными проблемами социальных детерминант здоровья человека </w:t>
      </w:r>
    </w:p>
    <w:p w14:paraId="0667ECD4" w14:textId="47A84A7B" w:rsidR="009211A6" w:rsidRPr="004135FE" w:rsidRDefault="009211A6" w:rsidP="0091546F">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
          <w:sz w:val="28"/>
          <w:szCs w:val="28"/>
        </w:rPr>
        <w:t>Апробация работы</w:t>
      </w:r>
      <w:r w:rsidR="00F23EC3">
        <w:rPr>
          <w:rFonts w:ascii="Times New Roman" w:hAnsi="Times New Roman" w:cs="Times New Roman"/>
          <w:b/>
          <w:sz w:val="28"/>
          <w:szCs w:val="28"/>
        </w:rPr>
        <w:t>:</w:t>
      </w:r>
      <w:r w:rsidRPr="004135FE">
        <w:rPr>
          <w:rFonts w:ascii="Times New Roman" w:hAnsi="Times New Roman" w:cs="Times New Roman"/>
          <w:sz w:val="28"/>
          <w:szCs w:val="28"/>
        </w:rPr>
        <w:t xml:space="preserve"> </w:t>
      </w:r>
    </w:p>
    <w:p w14:paraId="5BF52607" w14:textId="77777777" w:rsidR="009211A6" w:rsidRPr="004135FE" w:rsidRDefault="009211A6" w:rsidP="0091546F">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Основные заключения, выводы, результаты исследовательской работы доложены на:</w:t>
      </w:r>
    </w:p>
    <w:p w14:paraId="66C0D067" w14:textId="2F8F873F" w:rsidR="009211A6" w:rsidRPr="004135FE" w:rsidRDefault="009211A6">
      <w:pPr>
        <w:pStyle w:val="a3"/>
        <w:numPr>
          <w:ilvl w:val="0"/>
          <w:numId w:val="87"/>
        </w:numPr>
        <w:tabs>
          <w:tab w:val="left" w:pos="1134"/>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lang w:val="en-US"/>
        </w:rPr>
        <w:t>XXXVIII</w:t>
      </w:r>
      <w:r w:rsidRPr="004135FE">
        <w:rPr>
          <w:rFonts w:ascii="Times New Roman" w:hAnsi="Times New Roman" w:cs="Times New Roman"/>
          <w:sz w:val="28"/>
          <w:szCs w:val="28"/>
        </w:rPr>
        <w:t xml:space="preserve"> Международная научно-практическая конференция «Современная медицина: новые подходы и актуальные исследования»</w:t>
      </w:r>
      <w:r w:rsidR="00E15EDA">
        <w:rPr>
          <w:rFonts w:ascii="Times New Roman" w:hAnsi="Times New Roman" w:cs="Times New Roman"/>
          <w:sz w:val="28"/>
          <w:szCs w:val="28"/>
        </w:rPr>
        <w:t xml:space="preserve">. - </w:t>
      </w:r>
      <w:r w:rsidRPr="004135FE">
        <w:rPr>
          <w:rFonts w:ascii="Times New Roman" w:hAnsi="Times New Roman" w:cs="Times New Roman"/>
          <w:sz w:val="28"/>
          <w:szCs w:val="28"/>
        </w:rPr>
        <w:t xml:space="preserve"> М</w:t>
      </w:r>
      <w:r w:rsidR="00E15EDA">
        <w:rPr>
          <w:rFonts w:ascii="Times New Roman" w:hAnsi="Times New Roman" w:cs="Times New Roman"/>
          <w:sz w:val="28"/>
          <w:szCs w:val="28"/>
        </w:rPr>
        <w:t>.,</w:t>
      </w:r>
      <w:r w:rsidRPr="004135FE">
        <w:rPr>
          <w:rFonts w:ascii="Times New Roman" w:hAnsi="Times New Roman" w:cs="Times New Roman"/>
          <w:sz w:val="28"/>
          <w:szCs w:val="28"/>
        </w:rPr>
        <w:t xml:space="preserve"> 2020</w:t>
      </w:r>
      <w:r w:rsidR="00E15EDA">
        <w:rPr>
          <w:rFonts w:ascii="Times New Roman" w:hAnsi="Times New Roman" w:cs="Times New Roman"/>
          <w:sz w:val="28"/>
          <w:szCs w:val="28"/>
        </w:rPr>
        <w:t>.</w:t>
      </w:r>
    </w:p>
    <w:p w14:paraId="0E07F4E9" w14:textId="1690B848" w:rsidR="009211A6" w:rsidRPr="004135FE" w:rsidRDefault="009211A6">
      <w:pPr>
        <w:pStyle w:val="a3"/>
        <w:numPr>
          <w:ilvl w:val="0"/>
          <w:numId w:val="87"/>
        </w:numPr>
        <w:tabs>
          <w:tab w:val="left" w:pos="1134"/>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lang w:val="en-US"/>
        </w:rPr>
        <w:lastRenderedPageBreak/>
        <w:t>V</w:t>
      </w:r>
      <w:r w:rsidRPr="004135FE">
        <w:rPr>
          <w:rFonts w:ascii="Times New Roman" w:hAnsi="Times New Roman" w:cs="Times New Roman"/>
          <w:sz w:val="28"/>
          <w:szCs w:val="28"/>
        </w:rPr>
        <w:t xml:space="preserve"> Международная научно-практическая конференция «</w:t>
      </w:r>
      <w:r w:rsidRPr="004135FE">
        <w:rPr>
          <w:rFonts w:ascii="Times New Roman" w:hAnsi="Times New Roman" w:cs="Times New Roman"/>
          <w:sz w:val="28"/>
          <w:szCs w:val="28"/>
          <w:lang w:val="en-US"/>
        </w:rPr>
        <w:t>SCIENCE</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AND</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EDUCATION</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PROBLEMS</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AND</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INNOVATIONS</w:t>
      </w:r>
      <w:r w:rsidRPr="004135FE">
        <w:rPr>
          <w:rFonts w:ascii="Times New Roman" w:hAnsi="Times New Roman" w:cs="Times New Roman"/>
          <w:sz w:val="28"/>
          <w:szCs w:val="28"/>
        </w:rPr>
        <w:t>»</w:t>
      </w:r>
      <w:r w:rsidR="00E15EDA">
        <w:rPr>
          <w:rFonts w:ascii="Times New Roman" w:hAnsi="Times New Roman" w:cs="Times New Roman"/>
          <w:sz w:val="28"/>
          <w:szCs w:val="28"/>
        </w:rPr>
        <w:t xml:space="preserve">. – </w:t>
      </w:r>
      <w:r w:rsidRPr="004135FE">
        <w:rPr>
          <w:rFonts w:ascii="Times New Roman" w:hAnsi="Times New Roman" w:cs="Times New Roman"/>
          <w:sz w:val="28"/>
          <w:szCs w:val="28"/>
        </w:rPr>
        <w:t>Пенза</w:t>
      </w:r>
      <w:r w:rsidR="00E15EDA">
        <w:rPr>
          <w:rFonts w:ascii="Times New Roman" w:hAnsi="Times New Roman" w:cs="Times New Roman"/>
          <w:sz w:val="28"/>
          <w:szCs w:val="28"/>
        </w:rPr>
        <w:t>,</w:t>
      </w:r>
      <w:r w:rsidRPr="004135FE">
        <w:rPr>
          <w:rFonts w:ascii="Times New Roman" w:hAnsi="Times New Roman" w:cs="Times New Roman"/>
          <w:sz w:val="28"/>
          <w:szCs w:val="28"/>
        </w:rPr>
        <w:t xml:space="preserve"> 2020</w:t>
      </w:r>
      <w:r w:rsidR="00E15EDA">
        <w:rPr>
          <w:rFonts w:ascii="Times New Roman" w:hAnsi="Times New Roman" w:cs="Times New Roman"/>
          <w:sz w:val="28"/>
          <w:szCs w:val="28"/>
        </w:rPr>
        <w:t>.</w:t>
      </w:r>
    </w:p>
    <w:p w14:paraId="624B3AED" w14:textId="738F248D" w:rsidR="009211A6" w:rsidRPr="004135FE" w:rsidRDefault="009211A6">
      <w:pPr>
        <w:pStyle w:val="a3"/>
        <w:numPr>
          <w:ilvl w:val="0"/>
          <w:numId w:val="87"/>
        </w:numPr>
        <w:tabs>
          <w:tab w:val="left" w:pos="1134"/>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lang w:val="en-US"/>
        </w:rPr>
        <w:t>LVIII</w:t>
      </w:r>
      <w:r w:rsidRPr="004135FE">
        <w:rPr>
          <w:rFonts w:ascii="Times New Roman" w:hAnsi="Times New Roman" w:cs="Times New Roman"/>
          <w:sz w:val="28"/>
          <w:szCs w:val="28"/>
        </w:rPr>
        <w:t xml:space="preserve"> Международная научно-практическая конференция «Фундаментальные и прикладные научные исследования: актуальные вопросы, достижения и инновации»</w:t>
      </w:r>
      <w:r w:rsidR="00E15EDA">
        <w:rPr>
          <w:rFonts w:ascii="Times New Roman" w:hAnsi="Times New Roman" w:cs="Times New Roman"/>
          <w:sz w:val="28"/>
          <w:szCs w:val="28"/>
        </w:rPr>
        <w:t xml:space="preserve">. </w:t>
      </w:r>
      <w:r w:rsidR="00BF7CC3">
        <w:rPr>
          <w:rFonts w:ascii="Times New Roman" w:hAnsi="Times New Roman" w:cs="Times New Roman"/>
          <w:sz w:val="28"/>
          <w:szCs w:val="28"/>
        </w:rPr>
        <w:t>–</w:t>
      </w:r>
      <w:r w:rsidR="00E15EDA">
        <w:rPr>
          <w:rFonts w:ascii="Times New Roman" w:hAnsi="Times New Roman" w:cs="Times New Roman"/>
          <w:sz w:val="28"/>
          <w:szCs w:val="28"/>
        </w:rPr>
        <w:t xml:space="preserve"> </w:t>
      </w:r>
      <w:r w:rsidRPr="004135FE">
        <w:rPr>
          <w:rFonts w:ascii="Times New Roman" w:hAnsi="Times New Roman" w:cs="Times New Roman"/>
          <w:sz w:val="28"/>
          <w:szCs w:val="28"/>
        </w:rPr>
        <w:t>Пенза</w:t>
      </w:r>
      <w:r w:rsidR="00BF7CC3">
        <w:rPr>
          <w:rFonts w:ascii="Times New Roman" w:hAnsi="Times New Roman" w:cs="Times New Roman"/>
          <w:sz w:val="28"/>
          <w:szCs w:val="28"/>
        </w:rPr>
        <w:t>,</w:t>
      </w:r>
      <w:r w:rsidRPr="004135FE">
        <w:rPr>
          <w:rFonts w:ascii="Times New Roman" w:hAnsi="Times New Roman" w:cs="Times New Roman"/>
          <w:sz w:val="28"/>
          <w:szCs w:val="28"/>
        </w:rPr>
        <w:t xml:space="preserve"> 2022.</w:t>
      </w:r>
    </w:p>
    <w:p w14:paraId="7B207D58" w14:textId="77777777" w:rsidR="009211A6" w:rsidRPr="004135FE" w:rsidRDefault="009211A6" w:rsidP="00F23EC3">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
          <w:sz w:val="28"/>
          <w:szCs w:val="28"/>
        </w:rPr>
        <w:t>Публикации:</w:t>
      </w:r>
    </w:p>
    <w:p w14:paraId="1D1BE6B0" w14:textId="613B9B74" w:rsidR="00885D01" w:rsidRPr="004135FE" w:rsidRDefault="009211A6" w:rsidP="00885D01">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По теме диссертационного исследования опубликовано 8 научных работ, в том числе 1 статья в международном научном издании, входящем в базу данных компании </w:t>
      </w:r>
      <w:r w:rsidRPr="004135FE">
        <w:rPr>
          <w:rFonts w:ascii="Times New Roman" w:hAnsi="Times New Roman" w:cs="Times New Roman"/>
          <w:sz w:val="28"/>
          <w:szCs w:val="28"/>
          <w:lang w:val="en-US"/>
        </w:rPr>
        <w:t>Scopus</w:t>
      </w:r>
      <w:r w:rsidRPr="004135FE">
        <w:rPr>
          <w:rFonts w:ascii="Times New Roman" w:hAnsi="Times New Roman" w:cs="Times New Roman"/>
          <w:sz w:val="28"/>
          <w:szCs w:val="28"/>
        </w:rPr>
        <w:t xml:space="preserve">, 3 статей в изданиях, рекомендованных Комитетом по </w:t>
      </w:r>
      <w:r w:rsidR="00885D01">
        <w:rPr>
          <w:rFonts w:ascii="Times New Roman" w:hAnsi="Times New Roman" w:cs="Times New Roman"/>
          <w:sz w:val="28"/>
          <w:szCs w:val="28"/>
        </w:rPr>
        <w:t>обеспечению качества</w:t>
      </w:r>
      <w:r w:rsidRPr="004135FE">
        <w:rPr>
          <w:rFonts w:ascii="Times New Roman" w:hAnsi="Times New Roman" w:cs="Times New Roman"/>
          <w:sz w:val="28"/>
          <w:szCs w:val="28"/>
        </w:rPr>
        <w:t xml:space="preserve"> в сфере образования и науки М</w:t>
      </w:r>
      <w:r w:rsidR="00885D01">
        <w:rPr>
          <w:rFonts w:ascii="Times New Roman" w:hAnsi="Times New Roman" w:cs="Times New Roman"/>
          <w:sz w:val="28"/>
          <w:szCs w:val="28"/>
        </w:rPr>
        <w:t>НиВО</w:t>
      </w:r>
      <w:r w:rsidRPr="004135FE">
        <w:rPr>
          <w:rFonts w:ascii="Times New Roman" w:hAnsi="Times New Roman" w:cs="Times New Roman"/>
          <w:sz w:val="28"/>
          <w:szCs w:val="28"/>
        </w:rPr>
        <w:t xml:space="preserve"> РК, 3 публикаций в сборниках международных конференций, 1 монография, получены 2 свидетельства о государственной регистрации прав на объекты авторского права.</w:t>
      </w:r>
    </w:p>
    <w:p w14:paraId="6671DF74" w14:textId="77777777" w:rsidR="009211A6" w:rsidRPr="004135FE" w:rsidRDefault="009211A6" w:rsidP="00F23EC3">
      <w:pPr>
        <w:tabs>
          <w:tab w:val="left" w:pos="0"/>
          <w:tab w:val="left" w:pos="540"/>
          <w:tab w:val="left" w:pos="993"/>
        </w:tabs>
        <w:spacing w:after="0" w:line="240" w:lineRule="auto"/>
        <w:ind w:firstLine="709"/>
        <w:jc w:val="both"/>
        <w:rPr>
          <w:rFonts w:ascii="Times New Roman" w:hAnsi="Times New Roman" w:cs="Times New Roman"/>
          <w:b/>
          <w:bCs/>
          <w:noProof/>
          <w:sz w:val="28"/>
          <w:szCs w:val="28"/>
        </w:rPr>
      </w:pPr>
      <w:r w:rsidRPr="004135FE">
        <w:rPr>
          <w:rFonts w:ascii="Times New Roman" w:hAnsi="Times New Roman" w:cs="Times New Roman"/>
          <w:b/>
          <w:bCs/>
          <w:noProof/>
          <w:sz w:val="28"/>
          <w:szCs w:val="28"/>
        </w:rPr>
        <w:t>Внедрение результатов исследования:</w:t>
      </w:r>
    </w:p>
    <w:p w14:paraId="39964294" w14:textId="271BAB54" w:rsidR="009211A6" w:rsidRPr="004135FE" w:rsidRDefault="00F23EC3">
      <w:pPr>
        <w:pStyle w:val="a3"/>
        <w:numPr>
          <w:ilvl w:val="0"/>
          <w:numId w:val="88"/>
        </w:numPr>
        <w:tabs>
          <w:tab w:val="left" w:pos="0"/>
          <w:tab w:val="left" w:pos="540"/>
          <w:tab w:val="left" w:pos="993"/>
        </w:tabs>
        <w:spacing w:after="0" w:line="240" w:lineRule="auto"/>
        <w:ind w:left="0" w:firstLine="709"/>
        <w:jc w:val="both"/>
        <w:rPr>
          <w:rFonts w:ascii="Times New Roman" w:hAnsi="Times New Roman" w:cs="Times New Roman"/>
          <w:bCs/>
          <w:noProof/>
          <w:sz w:val="28"/>
          <w:szCs w:val="28"/>
        </w:rPr>
      </w:pPr>
      <w:r>
        <w:rPr>
          <w:rFonts w:ascii="Times New Roman" w:hAnsi="Times New Roman" w:cs="Times New Roman"/>
          <w:bCs/>
          <w:noProof/>
          <w:sz w:val="28"/>
          <w:szCs w:val="28"/>
        </w:rPr>
        <w:t xml:space="preserve"> </w:t>
      </w:r>
      <w:r w:rsidR="009211A6" w:rsidRPr="004135FE">
        <w:rPr>
          <w:rFonts w:ascii="Times New Roman" w:hAnsi="Times New Roman" w:cs="Times New Roman"/>
          <w:bCs/>
          <w:noProof/>
          <w:sz w:val="28"/>
          <w:szCs w:val="28"/>
        </w:rPr>
        <w:t>Разработано и получено свидетельство о государственной регистрации прав на объект авторского права № 24991 от 12.04.2022г на произведение науки «Модель совершенствования системы оказания медицинской помощи при СД2т путем реализации межсекторального сотрудничества» (приложение Е)</w:t>
      </w:r>
    </w:p>
    <w:p w14:paraId="5484EEA6" w14:textId="6B8876B3" w:rsidR="009211A6" w:rsidRPr="004135FE" w:rsidRDefault="00F23EC3">
      <w:pPr>
        <w:pStyle w:val="a3"/>
        <w:numPr>
          <w:ilvl w:val="0"/>
          <w:numId w:val="88"/>
        </w:numPr>
        <w:tabs>
          <w:tab w:val="left" w:pos="0"/>
          <w:tab w:val="left" w:pos="540"/>
          <w:tab w:val="left" w:pos="993"/>
        </w:tabs>
        <w:spacing w:after="0" w:line="240" w:lineRule="auto"/>
        <w:ind w:left="0" w:firstLine="709"/>
        <w:jc w:val="both"/>
        <w:rPr>
          <w:rFonts w:ascii="Times New Roman" w:hAnsi="Times New Roman" w:cs="Times New Roman"/>
          <w:bCs/>
          <w:noProof/>
          <w:sz w:val="28"/>
          <w:szCs w:val="28"/>
        </w:rPr>
      </w:pPr>
      <w:r>
        <w:rPr>
          <w:rFonts w:ascii="Times New Roman" w:hAnsi="Times New Roman" w:cs="Times New Roman"/>
          <w:bCs/>
          <w:noProof/>
          <w:sz w:val="28"/>
          <w:szCs w:val="28"/>
        </w:rPr>
        <w:t xml:space="preserve"> </w:t>
      </w:r>
      <w:r w:rsidR="009211A6" w:rsidRPr="004135FE">
        <w:rPr>
          <w:rFonts w:ascii="Times New Roman" w:hAnsi="Times New Roman" w:cs="Times New Roman"/>
          <w:bCs/>
          <w:noProof/>
          <w:sz w:val="28"/>
          <w:szCs w:val="28"/>
        </w:rPr>
        <w:t>Разработано и получено свидетельство о государственной регистрации прав на объект авторского права № 22629 от 27.12.2021г на произведение литературы «Организационно-функциональная модель и механизм реализации межсекторального сотрудничества для оказания медицинской помощи пациентам с сахарным диабетом 2 типа на уровне ПМСП» (приложение Ж)</w:t>
      </w:r>
    </w:p>
    <w:p w14:paraId="0AC429B4" w14:textId="6D3EB247" w:rsidR="009211A6" w:rsidRPr="004135FE" w:rsidRDefault="00F23EC3">
      <w:pPr>
        <w:pStyle w:val="a3"/>
        <w:numPr>
          <w:ilvl w:val="0"/>
          <w:numId w:val="88"/>
        </w:numPr>
        <w:tabs>
          <w:tab w:val="left" w:pos="0"/>
          <w:tab w:val="left" w:pos="540"/>
          <w:tab w:val="left" w:pos="993"/>
        </w:tabs>
        <w:spacing w:after="0" w:line="240" w:lineRule="auto"/>
        <w:ind w:left="0" w:firstLine="709"/>
        <w:jc w:val="both"/>
        <w:rPr>
          <w:rFonts w:ascii="Times New Roman" w:hAnsi="Times New Roman" w:cs="Times New Roman"/>
          <w:bCs/>
          <w:noProof/>
          <w:sz w:val="28"/>
          <w:szCs w:val="28"/>
        </w:rPr>
      </w:pPr>
      <w:r>
        <w:rPr>
          <w:rFonts w:ascii="Times New Roman" w:hAnsi="Times New Roman" w:cs="Times New Roman"/>
          <w:bCs/>
          <w:noProof/>
          <w:sz w:val="28"/>
          <w:szCs w:val="28"/>
        </w:rPr>
        <w:t xml:space="preserve"> </w:t>
      </w:r>
      <w:r w:rsidR="009211A6" w:rsidRPr="004135FE">
        <w:rPr>
          <w:rFonts w:ascii="Times New Roman" w:hAnsi="Times New Roman" w:cs="Times New Roman"/>
          <w:bCs/>
          <w:noProof/>
          <w:sz w:val="28"/>
          <w:szCs w:val="28"/>
        </w:rPr>
        <w:t>Получены акты внедрения в практическое здравоохранение по результатам научно-исследовательской работы на тему «Межсекторальное сотрудничество при оказании медицинской помощи больным с сахарным диабетом 2типа г.Алматы» (ГП №1, 12, 16- приложения В, Г, Д)</w:t>
      </w:r>
    </w:p>
    <w:p w14:paraId="2280983D" w14:textId="77777777" w:rsidR="009211A6" w:rsidRPr="004135FE" w:rsidRDefault="009211A6" w:rsidP="004135FE">
      <w:pPr>
        <w:tabs>
          <w:tab w:val="left" w:pos="0"/>
          <w:tab w:val="left" w:pos="540"/>
          <w:tab w:val="left" w:pos="993"/>
        </w:tabs>
        <w:spacing w:after="0" w:line="240" w:lineRule="auto"/>
        <w:jc w:val="both"/>
        <w:rPr>
          <w:rFonts w:ascii="Times New Roman" w:hAnsi="Times New Roman" w:cs="Times New Roman"/>
          <w:bCs/>
          <w:noProof/>
          <w:sz w:val="28"/>
          <w:szCs w:val="28"/>
        </w:rPr>
      </w:pPr>
    </w:p>
    <w:p w14:paraId="3A5D1854" w14:textId="557A229E" w:rsidR="009211A6" w:rsidRPr="004135FE" w:rsidRDefault="009211A6" w:rsidP="00F23EC3">
      <w:pPr>
        <w:tabs>
          <w:tab w:val="left" w:pos="0"/>
          <w:tab w:val="left" w:pos="540"/>
          <w:tab w:val="left" w:pos="993"/>
        </w:tabs>
        <w:spacing w:after="0" w:line="240" w:lineRule="auto"/>
        <w:ind w:firstLine="709"/>
        <w:jc w:val="both"/>
        <w:rPr>
          <w:rFonts w:ascii="Times New Roman" w:hAnsi="Times New Roman" w:cs="Times New Roman"/>
          <w:b/>
          <w:bCs/>
          <w:noProof/>
          <w:sz w:val="28"/>
          <w:szCs w:val="28"/>
        </w:rPr>
      </w:pPr>
      <w:r w:rsidRPr="004135FE">
        <w:rPr>
          <w:rFonts w:ascii="Times New Roman" w:hAnsi="Times New Roman" w:cs="Times New Roman"/>
          <w:b/>
          <w:bCs/>
          <w:noProof/>
          <w:sz w:val="28"/>
          <w:szCs w:val="28"/>
        </w:rPr>
        <w:t>Объем и структура диссертационной работы</w:t>
      </w:r>
      <w:r w:rsidR="00BF7CC3">
        <w:rPr>
          <w:rFonts w:ascii="Times New Roman" w:hAnsi="Times New Roman" w:cs="Times New Roman"/>
          <w:b/>
          <w:bCs/>
          <w:noProof/>
          <w:sz w:val="28"/>
          <w:szCs w:val="28"/>
        </w:rPr>
        <w:t>:</w:t>
      </w:r>
    </w:p>
    <w:p w14:paraId="207B22E3" w14:textId="3DB7A8A2" w:rsidR="009211A6" w:rsidRPr="004135FE" w:rsidRDefault="009211A6" w:rsidP="00F23EC3">
      <w:pPr>
        <w:tabs>
          <w:tab w:val="left" w:pos="0"/>
          <w:tab w:val="left" w:pos="540"/>
          <w:tab w:val="left" w:pos="993"/>
        </w:tabs>
        <w:spacing w:after="0" w:line="240" w:lineRule="auto"/>
        <w:ind w:firstLine="709"/>
        <w:jc w:val="both"/>
        <w:rPr>
          <w:rFonts w:ascii="Times New Roman" w:hAnsi="Times New Roman" w:cs="Times New Roman"/>
          <w:bCs/>
          <w:noProof/>
          <w:sz w:val="28"/>
          <w:szCs w:val="28"/>
        </w:rPr>
      </w:pPr>
      <w:r w:rsidRPr="005166CC">
        <w:rPr>
          <w:rFonts w:ascii="Times New Roman" w:hAnsi="Times New Roman" w:cs="Times New Roman"/>
          <w:bCs/>
          <w:noProof/>
          <w:sz w:val="28"/>
          <w:szCs w:val="28"/>
        </w:rPr>
        <w:t>Диссертационная работа состоит из введения, 5 разделов, заключения, рекомендации, списка использованных литературных источников, приложений. Научная работа изложена на 2</w:t>
      </w:r>
      <w:r w:rsidR="00272615">
        <w:rPr>
          <w:rFonts w:ascii="Times New Roman" w:hAnsi="Times New Roman" w:cs="Times New Roman"/>
          <w:bCs/>
          <w:noProof/>
          <w:sz w:val="28"/>
          <w:szCs w:val="28"/>
        </w:rPr>
        <w:t>67</w:t>
      </w:r>
      <w:r w:rsidRPr="005166CC">
        <w:rPr>
          <w:rFonts w:ascii="Times New Roman" w:hAnsi="Times New Roman" w:cs="Times New Roman"/>
          <w:bCs/>
          <w:noProof/>
          <w:sz w:val="28"/>
          <w:szCs w:val="28"/>
        </w:rPr>
        <w:t xml:space="preserve"> страницах компьютерного текста, содержит </w:t>
      </w:r>
      <w:r w:rsidR="005166CC" w:rsidRPr="005166CC">
        <w:rPr>
          <w:rFonts w:ascii="Times New Roman" w:hAnsi="Times New Roman" w:cs="Times New Roman"/>
          <w:bCs/>
          <w:noProof/>
          <w:sz w:val="28"/>
          <w:szCs w:val="28"/>
        </w:rPr>
        <w:t xml:space="preserve">54 </w:t>
      </w:r>
      <w:r w:rsidRPr="005166CC">
        <w:rPr>
          <w:rFonts w:ascii="Times New Roman" w:hAnsi="Times New Roman" w:cs="Times New Roman"/>
          <w:bCs/>
          <w:noProof/>
          <w:sz w:val="28"/>
          <w:szCs w:val="28"/>
        </w:rPr>
        <w:t xml:space="preserve"> таблиц и 7</w:t>
      </w:r>
      <w:r w:rsidR="005166CC" w:rsidRPr="005166CC">
        <w:rPr>
          <w:rFonts w:ascii="Times New Roman" w:hAnsi="Times New Roman" w:cs="Times New Roman"/>
          <w:bCs/>
          <w:noProof/>
          <w:sz w:val="28"/>
          <w:szCs w:val="28"/>
        </w:rPr>
        <w:t>1</w:t>
      </w:r>
      <w:r w:rsidRPr="005166CC">
        <w:rPr>
          <w:rFonts w:ascii="Times New Roman" w:hAnsi="Times New Roman" w:cs="Times New Roman"/>
          <w:bCs/>
          <w:noProof/>
          <w:sz w:val="28"/>
          <w:szCs w:val="28"/>
        </w:rPr>
        <w:t xml:space="preserve"> рисунков. Список литературы состоит из 200 источников, из них 62 отечественных и 138 зарубежных.</w:t>
      </w:r>
    </w:p>
    <w:p w14:paraId="2EF6262C" w14:textId="77777777" w:rsidR="009211A6" w:rsidRPr="004135FE" w:rsidRDefault="009211A6" w:rsidP="00F23EC3">
      <w:pPr>
        <w:tabs>
          <w:tab w:val="left" w:pos="0"/>
          <w:tab w:val="left" w:pos="540"/>
          <w:tab w:val="left" w:pos="993"/>
        </w:tabs>
        <w:spacing w:after="0" w:line="240" w:lineRule="auto"/>
        <w:ind w:firstLine="709"/>
        <w:jc w:val="both"/>
        <w:rPr>
          <w:rFonts w:ascii="Times New Roman" w:hAnsi="Times New Roman" w:cs="Times New Roman"/>
          <w:bCs/>
          <w:noProof/>
          <w:sz w:val="28"/>
          <w:szCs w:val="28"/>
        </w:rPr>
      </w:pPr>
    </w:p>
    <w:p w14:paraId="3423394E" w14:textId="77777777" w:rsidR="009211A6" w:rsidRPr="004135FE" w:rsidRDefault="009211A6" w:rsidP="004135FE">
      <w:pPr>
        <w:spacing w:after="0" w:line="240" w:lineRule="auto"/>
        <w:jc w:val="both"/>
        <w:rPr>
          <w:rFonts w:ascii="Times New Roman" w:hAnsi="Times New Roman" w:cs="Times New Roman"/>
          <w:sz w:val="28"/>
          <w:szCs w:val="28"/>
        </w:rPr>
        <w:sectPr w:rsidR="009211A6" w:rsidRPr="004135FE" w:rsidSect="00EC71C2">
          <w:type w:val="nextColumn"/>
          <w:pgSz w:w="11906" w:h="16838"/>
          <w:pgMar w:top="1134" w:right="851" w:bottom="1134" w:left="1701" w:header="708" w:footer="708" w:gutter="0"/>
          <w:cols w:space="708"/>
          <w:docGrid w:linePitch="360"/>
        </w:sectPr>
      </w:pPr>
    </w:p>
    <w:p w14:paraId="5CD045DC" w14:textId="5FD3362F" w:rsidR="00E15EDA" w:rsidRPr="00E15EDA" w:rsidRDefault="00E15EDA">
      <w:pPr>
        <w:pStyle w:val="a3"/>
        <w:numPr>
          <w:ilvl w:val="0"/>
          <w:numId w:val="89"/>
        </w:numPr>
        <w:tabs>
          <w:tab w:val="left" w:pos="426"/>
        </w:tabs>
        <w:autoSpaceDE w:val="0"/>
        <w:autoSpaceDN w:val="0"/>
        <w:adjustRightInd w:val="0"/>
        <w:spacing w:after="0" w:line="240" w:lineRule="auto"/>
        <w:ind w:left="0" w:firstLine="709"/>
        <w:jc w:val="both"/>
        <w:rPr>
          <w:rFonts w:ascii="Times New Roman" w:eastAsiaTheme="minorHAnsi" w:hAnsi="Times New Roman" w:cs="Times New Roman"/>
          <w:b/>
          <w:sz w:val="28"/>
          <w:szCs w:val="28"/>
          <w:lang w:eastAsia="en-US"/>
        </w:rPr>
      </w:pPr>
      <w:r>
        <w:rPr>
          <w:rFonts w:ascii="Times New Roman" w:eastAsiaTheme="minorHAnsi" w:hAnsi="Times New Roman" w:cs="Times New Roman"/>
          <w:b/>
          <w:caps/>
          <w:sz w:val="28"/>
          <w:szCs w:val="28"/>
          <w:lang w:eastAsia="en-US"/>
        </w:rPr>
        <w:lastRenderedPageBreak/>
        <w:t>В</w:t>
      </w:r>
      <w:r w:rsidR="009211A6" w:rsidRPr="00E15EDA">
        <w:rPr>
          <w:rFonts w:ascii="Times New Roman" w:eastAsiaTheme="minorHAnsi" w:hAnsi="Times New Roman" w:cs="Times New Roman"/>
          <w:b/>
          <w:caps/>
          <w:sz w:val="28"/>
          <w:szCs w:val="28"/>
          <w:lang w:eastAsia="en-US"/>
        </w:rPr>
        <w:t xml:space="preserve">опросы организации и межсекторального сотрудничества для снижения заболеваемости сахарным диабетом 2 типа </w:t>
      </w:r>
    </w:p>
    <w:p w14:paraId="44D29DD0" w14:textId="77777777" w:rsidR="00E15EDA" w:rsidRPr="00E15EDA" w:rsidRDefault="00E15EDA" w:rsidP="00E15EDA">
      <w:pPr>
        <w:pStyle w:val="a3"/>
        <w:tabs>
          <w:tab w:val="left" w:pos="426"/>
        </w:tabs>
        <w:autoSpaceDE w:val="0"/>
        <w:autoSpaceDN w:val="0"/>
        <w:adjustRightInd w:val="0"/>
        <w:spacing w:after="0" w:line="240" w:lineRule="auto"/>
        <w:ind w:left="709"/>
        <w:jc w:val="both"/>
        <w:rPr>
          <w:rFonts w:ascii="Times New Roman" w:eastAsiaTheme="minorHAnsi" w:hAnsi="Times New Roman" w:cs="Times New Roman"/>
          <w:b/>
          <w:sz w:val="28"/>
          <w:szCs w:val="28"/>
          <w:lang w:eastAsia="en-US"/>
        </w:rPr>
      </w:pPr>
    </w:p>
    <w:p w14:paraId="44B41115" w14:textId="48A42946" w:rsidR="009211A6" w:rsidRPr="00E15EDA" w:rsidRDefault="009211A6" w:rsidP="00E15EDA">
      <w:pPr>
        <w:tabs>
          <w:tab w:val="left" w:pos="426"/>
        </w:tabs>
        <w:autoSpaceDE w:val="0"/>
        <w:autoSpaceDN w:val="0"/>
        <w:adjustRightInd w:val="0"/>
        <w:spacing w:after="0" w:line="240" w:lineRule="auto"/>
        <w:ind w:firstLine="709"/>
        <w:jc w:val="both"/>
        <w:rPr>
          <w:rFonts w:ascii="Times New Roman" w:eastAsiaTheme="minorHAnsi" w:hAnsi="Times New Roman" w:cs="Times New Roman"/>
          <w:b/>
          <w:sz w:val="28"/>
          <w:szCs w:val="28"/>
          <w:lang w:eastAsia="en-US"/>
        </w:rPr>
      </w:pPr>
      <w:r w:rsidRPr="00E15EDA">
        <w:rPr>
          <w:rFonts w:ascii="Times New Roman" w:hAnsi="Times New Roman" w:cs="Times New Roman"/>
          <w:sz w:val="28"/>
          <w:szCs w:val="28"/>
        </w:rPr>
        <w:t>Формирование современной системы управления здоровьем зависит от укрепления межсекторального сотрудничества по вопросам охраны и укрепления здоровья, укреплением партнерства, ориентированного на профилактику социально-значимых заболеваний как диабет [13].</w:t>
      </w:r>
    </w:p>
    <w:p w14:paraId="4B001DDB" w14:textId="70C29999" w:rsidR="009211A6" w:rsidRDefault="009211A6" w:rsidP="004135FE">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135FE">
        <w:rPr>
          <w:rFonts w:ascii="Times New Roman" w:hAnsi="Times New Roman" w:cs="Times New Roman"/>
          <w:sz w:val="28"/>
          <w:szCs w:val="28"/>
        </w:rPr>
        <w:t>Сахарный диабет 2</w:t>
      </w:r>
      <w:r w:rsidRPr="004135FE">
        <w:rPr>
          <w:rFonts w:ascii="Times New Roman" w:hAnsi="Times New Roman" w:cs="Times New Roman"/>
          <w:sz w:val="28"/>
          <w:szCs w:val="28"/>
        </w:rPr>
        <w:noBreakHyphen/>
        <w:t>го типа (по определению ВОЗ) развивается в результате неэффективного использования инсулина организмом и охватывает более 95% случаев среди видов диабета. СД2т возникает, главным образом, на фоне избыточной массы тела и недостаточной физической активности.</w:t>
      </w:r>
      <w:r w:rsidRPr="004135FE">
        <w:rPr>
          <w:rFonts w:ascii="Times New Roman" w:eastAsia="Times New Roman" w:hAnsi="Times New Roman" w:cs="Times New Roman"/>
          <w:sz w:val="28"/>
          <w:szCs w:val="28"/>
        </w:rPr>
        <w:t xml:space="preserve"> </w:t>
      </w:r>
    </w:p>
    <w:p w14:paraId="748B6483" w14:textId="77777777" w:rsidR="00E15EDA" w:rsidRPr="004135FE" w:rsidRDefault="00E15EDA" w:rsidP="004135FE">
      <w:pPr>
        <w:autoSpaceDE w:val="0"/>
        <w:autoSpaceDN w:val="0"/>
        <w:adjustRightInd w:val="0"/>
        <w:spacing w:after="0" w:line="240" w:lineRule="auto"/>
        <w:ind w:firstLine="708"/>
        <w:jc w:val="both"/>
        <w:rPr>
          <w:rFonts w:ascii="Times New Roman" w:eastAsia="Times New Roman" w:hAnsi="Times New Roman" w:cs="Times New Roman"/>
          <w:sz w:val="28"/>
          <w:szCs w:val="28"/>
        </w:rPr>
      </w:pPr>
    </w:p>
    <w:p w14:paraId="5FB16669" w14:textId="3C24D090" w:rsidR="009211A6" w:rsidRPr="004135FE" w:rsidRDefault="00E15EDA">
      <w:pPr>
        <w:pStyle w:val="a3"/>
        <w:numPr>
          <w:ilvl w:val="1"/>
          <w:numId w:val="89"/>
        </w:numPr>
        <w:tabs>
          <w:tab w:val="left" w:pos="1134"/>
        </w:tabs>
        <w:autoSpaceDE w:val="0"/>
        <w:autoSpaceDN w:val="0"/>
        <w:adjustRightInd w:val="0"/>
        <w:spacing w:after="0" w:line="240" w:lineRule="auto"/>
        <w:ind w:left="0" w:firstLine="709"/>
        <w:jc w:val="both"/>
        <w:rPr>
          <w:rFonts w:ascii="Times New Roman" w:eastAsiaTheme="minorHAnsi" w:hAnsi="Times New Roman" w:cs="Times New Roman"/>
          <w:b/>
          <w:sz w:val="28"/>
          <w:szCs w:val="28"/>
          <w:lang w:eastAsia="en-US"/>
        </w:rPr>
      </w:pPr>
      <w:r>
        <w:rPr>
          <w:rFonts w:ascii="Times New Roman" w:eastAsiaTheme="minorHAnsi" w:hAnsi="Times New Roman" w:cs="Times New Roman"/>
          <w:b/>
          <w:sz w:val="28"/>
          <w:szCs w:val="28"/>
          <w:lang w:eastAsia="en-US"/>
        </w:rPr>
        <w:t xml:space="preserve"> </w:t>
      </w:r>
      <w:r w:rsidR="009211A6" w:rsidRPr="004135FE">
        <w:rPr>
          <w:rFonts w:ascii="Times New Roman" w:eastAsiaTheme="minorHAnsi" w:hAnsi="Times New Roman" w:cs="Times New Roman"/>
          <w:b/>
          <w:sz w:val="28"/>
          <w:szCs w:val="28"/>
          <w:lang w:eastAsia="en-US"/>
        </w:rPr>
        <w:t>Проблемы высокой заболеваемости сахарным диабетом 2 типа и смертности в мире</w:t>
      </w:r>
    </w:p>
    <w:p w14:paraId="33B2C268" w14:textId="24C64A69"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eastAsia="MyriadPro-Regular" w:hAnsi="Times New Roman" w:cs="Times New Roman"/>
          <w:sz w:val="28"/>
          <w:szCs w:val="28"/>
        </w:rPr>
        <w:t xml:space="preserve">СД2т является серьезной проблемой глобального характера и входит в состав категории неинфекционных заболевании, которым в масштабах Европейского Региона приходится суммарно 86% преждевременной смертности и 77% бремени болезней. Данный факт усиливает нагрузку на системы здравоохранения, создает барьеры на экономическое развитие и благополучие населения, особенно в возрасте 50 лет и </w:t>
      </w:r>
      <w:r w:rsidRPr="00272615">
        <w:rPr>
          <w:rFonts w:ascii="Times New Roman" w:eastAsia="MyriadPro-Regular" w:hAnsi="Times New Roman" w:cs="Times New Roman"/>
          <w:sz w:val="28"/>
          <w:szCs w:val="28"/>
        </w:rPr>
        <w:t xml:space="preserve">старше </w:t>
      </w:r>
      <w:r w:rsidRPr="00272615">
        <w:rPr>
          <w:rFonts w:ascii="Times New Roman" w:hAnsi="Times New Roman" w:cs="Times New Roman"/>
          <w:sz w:val="28"/>
          <w:szCs w:val="28"/>
        </w:rPr>
        <w:t>[11].</w:t>
      </w:r>
    </w:p>
    <w:p w14:paraId="6BD8D7B6" w14:textId="614FFB16" w:rsidR="009211A6" w:rsidRPr="004135FE" w:rsidRDefault="009211A6" w:rsidP="004135FE">
      <w:pPr>
        <w:autoSpaceDE w:val="0"/>
        <w:autoSpaceDN w:val="0"/>
        <w:adjustRightInd w:val="0"/>
        <w:spacing w:after="0" w:line="240" w:lineRule="auto"/>
        <w:ind w:firstLine="708"/>
        <w:jc w:val="both"/>
        <w:rPr>
          <w:rFonts w:ascii="Times New Roman" w:eastAsia="ArialMT" w:hAnsi="Times New Roman" w:cs="Times New Roman"/>
          <w:sz w:val="28"/>
          <w:szCs w:val="28"/>
          <w:lang w:eastAsia="en-US"/>
        </w:rPr>
      </w:pPr>
      <w:r w:rsidRPr="004135FE">
        <w:rPr>
          <w:rFonts w:ascii="Times New Roman" w:hAnsi="Times New Roman" w:cs="Times New Roman"/>
          <w:sz w:val="28"/>
          <w:szCs w:val="28"/>
        </w:rPr>
        <w:t xml:space="preserve">Согласно анализу </w:t>
      </w:r>
      <w:r w:rsidRPr="004135FE">
        <w:rPr>
          <w:rFonts w:ascii="Times New Roman" w:hAnsi="Times New Roman" w:cs="Times New Roman"/>
          <w:sz w:val="28"/>
          <w:szCs w:val="28"/>
          <w:lang w:val="en-US"/>
        </w:rPr>
        <w:t>IDF</w:t>
      </w:r>
      <w:r w:rsidRPr="004135FE">
        <w:rPr>
          <w:rFonts w:ascii="Times New Roman" w:eastAsia="Times New Roman" w:hAnsi="Times New Roman" w:cs="Times New Roman"/>
          <w:sz w:val="28"/>
          <w:szCs w:val="28"/>
        </w:rPr>
        <w:t xml:space="preserve">, опубликованный в десятой </w:t>
      </w:r>
      <w:r w:rsidRPr="004135FE">
        <w:rPr>
          <w:rFonts w:ascii="Times New Roman" w:hAnsi="Times New Roman" w:cs="Times New Roman"/>
          <w:color w:val="1A1B1D"/>
          <w:sz w:val="28"/>
          <w:szCs w:val="28"/>
        </w:rPr>
        <w:t xml:space="preserve">версии Атласа диабета (2021г), заболеванием страдает каждый десятый взрослый человек в мире - 537 млн человек составляющий возрастную категорию 20-79 лет. Среди них у 240 млн взрослых с СД, не установлен точный диагноз, а еще среди всего населения у 319 млн человек повышен уровень глюкозы натощак. 541 млн взрослых имеют нарушение толерантности к глюкозе (НТГ), что подвергает их высокому риску диабета 2 типа. </w:t>
      </w:r>
      <w:r w:rsidRPr="004135FE">
        <w:rPr>
          <w:rFonts w:ascii="Times New Roman" w:eastAsia="ArialMT" w:hAnsi="Times New Roman" w:cs="Times New Roman"/>
          <w:sz w:val="28"/>
          <w:szCs w:val="28"/>
          <w:lang w:eastAsia="en-US"/>
        </w:rPr>
        <w:t xml:space="preserve">Данный анализ </w:t>
      </w:r>
      <w:r w:rsidRPr="004135FE">
        <w:rPr>
          <w:rFonts w:ascii="Times New Roman" w:eastAsia="Times New Roman" w:hAnsi="Times New Roman" w:cs="Times New Roman"/>
          <w:sz w:val="28"/>
          <w:szCs w:val="28"/>
        </w:rPr>
        <w:t>IDF</w:t>
      </w:r>
      <w:r w:rsidRPr="004135FE">
        <w:rPr>
          <w:rFonts w:ascii="Times New Roman" w:eastAsia="ArialMT" w:hAnsi="Times New Roman" w:cs="Times New Roman"/>
          <w:sz w:val="28"/>
          <w:szCs w:val="28"/>
          <w:lang w:eastAsia="en-US"/>
        </w:rPr>
        <w:t xml:space="preserve"> </w:t>
      </w:r>
      <w:r w:rsidRPr="004135FE">
        <w:rPr>
          <w:rFonts w:ascii="Times New Roman" w:hAnsi="Times New Roman" w:cs="Times New Roman"/>
          <w:color w:val="1A1B1D"/>
          <w:sz w:val="28"/>
          <w:szCs w:val="28"/>
        </w:rPr>
        <w:t>содержит только возрастную категорию 20-79 лет</w:t>
      </w:r>
      <w:r w:rsidRPr="004135FE">
        <w:rPr>
          <w:rFonts w:ascii="Times New Roman" w:eastAsia="ArialMT" w:hAnsi="Times New Roman" w:cs="Times New Roman"/>
          <w:sz w:val="28"/>
          <w:szCs w:val="28"/>
          <w:lang w:eastAsia="en-US"/>
        </w:rPr>
        <w:t>, диабет за пределами этого диапазона не учитывался.</w:t>
      </w:r>
      <w:r w:rsidRPr="004135FE">
        <w:rPr>
          <w:rFonts w:ascii="Times New Roman" w:hAnsi="Times New Roman" w:cs="Times New Roman"/>
          <w:sz w:val="28"/>
          <w:szCs w:val="28"/>
        </w:rPr>
        <w:t xml:space="preserve"> </w:t>
      </w:r>
      <w:r w:rsidRPr="004135FE">
        <w:rPr>
          <w:rFonts w:ascii="Times New Roman" w:eastAsia="ArialMT" w:hAnsi="Times New Roman" w:cs="Times New Roman"/>
          <w:sz w:val="28"/>
          <w:szCs w:val="28"/>
          <w:lang w:eastAsia="en-US"/>
        </w:rPr>
        <w:t xml:space="preserve">Более 3 из 4 взрослых с диабетом являются жителями стран с низким и средним уровнем </w:t>
      </w:r>
      <w:r w:rsidRPr="00272615">
        <w:rPr>
          <w:rFonts w:ascii="Times New Roman" w:eastAsia="ArialMT" w:hAnsi="Times New Roman" w:cs="Times New Roman"/>
          <w:sz w:val="28"/>
          <w:szCs w:val="28"/>
          <w:lang w:eastAsia="en-US"/>
        </w:rPr>
        <w:t xml:space="preserve">дохода </w:t>
      </w:r>
      <w:r w:rsidRPr="00272615">
        <w:rPr>
          <w:rFonts w:ascii="Times New Roman" w:hAnsi="Times New Roman" w:cs="Times New Roman"/>
          <w:sz w:val="28"/>
          <w:szCs w:val="28"/>
        </w:rPr>
        <w:t>[7</w:t>
      </w:r>
      <w:r w:rsidR="0091546F" w:rsidRPr="00272615">
        <w:rPr>
          <w:rFonts w:ascii="Times New Roman" w:hAnsi="Times New Roman" w:cs="Times New Roman"/>
          <w:sz w:val="28"/>
          <w:szCs w:val="28"/>
        </w:rPr>
        <w:t>].</w:t>
      </w:r>
      <w:r w:rsidRPr="004135FE">
        <w:rPr>
          <w:rFonts w:ascii="Times New Roman" w:hAnsi="Times New Roman" w:cs="Times New Roman"/>
          <w:sz w:val="28"/>
          <w:szCs w:val="28"/>
        </w:rPr>
        <w:t xml:space="preserve"> </w:t>
      </w:r>
      <w:r w:rsidRPr="004135FE">
        <w:rPr>
          <w:rFonts w:ascii="Times New Roman" w:eastAsia="ArialMT" w:hAnsi="Times New Roman" w:cs="Times New Roman"/>
          <w:sz w:val="28"/>
          <w:szCs w:val="28"/>
          <w:lang w:eastAsia="en-US"/>
        </w:rPr>
        <w:t xml:space="preserve">Среди всего населения каждый пятый человек трудоспособного возраста имеет диабет. </w:t>
      </w:r>
      <w:r w:rsidRPr="004135FE">
        <w:rPr>
          <w:rFonts w:ascii="Times New Roman" w:eastAsiaTheme="minorHAnsi" w:hAnsi="Times New Roman" w:cs="Times New Roman"/>
          <w:bCs/>
          <w:sz w:val="28"/>
          <w:szCs w:val="28"/>
          <w:lang w:eastAsia="en-US"/>
        </w:rPr>
        <w:t>Среди которых превалирует население трудоспособного возраста 30-64 лет.</w:t>
      </w:r>
      <w:r w:rsidRPr="004135FE">
        <w:rPr>
          <w:rFonts w:ascii="Times New Roman" w:eastAsia="ArialMT" w:hAnsi="Times New Roman" w:cs="Times New Roman"/>
          <w:sz w:val="28"/>
          <w:szCs w:val="28"/>
          <w:lang w:eastAsia="en-US"/>
        </w:rPr>
        <w:t xml:space="preserve"> Данный факт может повлиять</w:t>
      </w:r>
      <w:r w:rsidR="002F2062" w:rsidRPr="004135FE">
        <w:rPr>
          <w:rFonts w:ascii="Times New Roman" w:eastAsia="ArialMT" w:hAnsi="Times New Roman" w:cs="Times New Roman"/>
          <w:sz w:val="28"/>
          <w:szCs w:val="28"/>
          <w:lang w:eastAsia="en-US"/>
        </w:rPr>
        <w:t xml:space="preserve"> на демографические показатели,</w:t>
      </w:r>
      <w:r w:rsidRPr="004135FE">
        <w:rPr>
          <w:rFonts w:ascii="Times New Roman" w:eastAsia="ArialMT" w:hAnsi="Times New Roman" w:cs="Times New Roman"/>
          <w:sz w:val="28"/>
          <w:szCs w:val="28"/>
          <w:lang w:eastAsia="en-US"/>
        </w:rPr>
        <w:t xml:space="preserve"> человеческие ресурсы и неизбежные последствия для здравоохранения и экономики </w:t>
      </w:r>
      <w:r w:rsidRPr="004135FE">
        <w:rPr>
          <w:rStyle w:val="aa"/>
          <w:rFonts w:ascii="Times New Roman" w:hAnsi="Times New Roman" w:cs="Times New Roman"/>
          <w:b w:val="0"/>
          <w:sz w:val="28"/>
          <w:szCs w:val="28"/>
          <w:shd w:val="clear" w:color="auto" w:fill="FFFFFF"/>
        </w:rPr>
        <w:t>[14].</w:t>
      </w:r>
      <w:r w:rsidRPr="004135FE">
        <w:rPr>
          <w:rFonts w:ascii="Times New Roman" w:eastAsia="ArialMT" w:hAnsi="Times New Roman" w:cs="Times New Roman"/>
          <w:sz w:val="28"/>
          <w:szCs w:val="28"/>
          <w:lang w:eastAsia="en-US"/>
        </w:rPr>
        <w:t xml:space="preserve"> </w:t>
      </w:r>
    </w:p>
    <w:p w14:paraId="78D84957" w14:textId="77777777" w:rsidR="009211A6" w:rsidRPr="004135FE" w:rsidRDefault="009211A6" w:rsidP="004135FE">
      <w:pPr>
        <w:spacing w:after="0" w:line="240" w:lineRule="auto"/>
        <w:ind w:firstLine="708"/>
        <w:jc w:val="both"/>
        <w:rPr>
          <w:rFonts w:ascii="Times New Roman" w:hAnsi="Times New Roman" w:cs="Times New Roman"/>
          <w:color w:val="1A1B1D"/>
          <w:sz w:val="28"/>
          <w:szCs w:val="28"/>
        </w:rPr>
      </w:pPr>
      <w:r w:rsidRPr="004135FE">
        <w:rPr>
          <w:rFonts w:ascii="Times New Roman" w:eastAsia="Times New Roman" w:hAnsi="Times New Roman" w:cs="Times New Roman"/>
          <w:sz w:val="28"/>
          <w:szCs w:val="28"/>
        </w:rPr>
        <w:t xml:space="preserve">Диабет является причиной 6,7 миллиона смертей в 2021 году, который составляет 1 смерть каждые 5 секунд. Из-за диабета расходы на здравоохранение составили не менее 966 миллиардов долларов США, который вырос на 316% в течение 15 лет. Данная оценка является довольно сдержанным, учитывая </w:t>
      </w:r>
      <w:r w:rsidRPr="004135FE">
        <w:rPr>
          <w:rFonts w:ascii="Times New Roman" w:eastAsia="ArialMT" w:hAnsi="Times New Roman" w:cs="Times New Roman"/>
          <w:sz w:val="28"/>
          <w:szCs w:val="28"/>
          <w:lang w:eastAsia="en-US"/>
        </w:rPr>
        <w:t xml:space="preserve">действительное число населения с не диагностированным диабетом. </w:t>
      </w:r>
      <w:r w:rsidRPr="004135FE">
        <w:rPr>
          <w:rFonts w:ascii="Times New Roman" w:hAnsi="Times New Roman" w:cs="Times New Roman"/>
          <w:color w:val="1A1B1D"/>
          <w:sz w:val="28"/>
          <w:szCs w:val="28"/>
        </w:rPr>
        <w:t xml:space="preserve">Самое высокое число людей с не диагностированным диабетом - в странах Африки, Западно-Тихоокеанского региона и Юго-Восточной Азии. В 2021 году около 6,7 млн смертей связаны с </w:t>
      </w:r>
      <w:r w:rsidRPr="004135FE">
        <w:rPr>
          <w:rFonts w:ascii="Times New Roman" w:hAnsi="Times New Roman" w:cs="Times New Roman"/>
          <w:color w:val="1A1B1D"/>
          <w:sz w:val="28"/>
          <w:szCs w:val="28"/>
        </w:rPr>
        <w:lastRenderedPageBreak/>
        <w:t xml:space="preserve">диабетом. По прогнозам </w:t>
      </w:r>
      <w:r w:rsidRPr="004135FE">
        <w:rPr>
          <w:rFonts w:ascii="Times New Roman" w:eastAsia="Times New Roman" w:hAnsi="Times New Roman" w:cs="Times New Roman"/>
          <w:sz w:val="28"/>
          <w:szCs w:val="28"/>
        </w:rPr>
        <w:t>IDF 2021,</w:t>
      </w:r>
      <w:r w:rsidRPr="004135FE">
        <w:rPr>
          <w:rFonts w:ascii="Times New Roman" w:hAnsi="Times New Roman" w:cs="Times New Roman"/>
          <w:color w:val="1A1B1D"/>
          <w:sz w:val="28"/>
          <w:szCs w:val="28"/>
        </w:rPr>
        <w:t xml:space="preserve"> распространенность диабета повысится до 643 млн к 2030 году и до 783 млн к 2045 году,</w:t>
      </w:r>
      <w:r w:rsidRPr="004135FE">
        <w:rPr>
          <w:rFonts w:ascii="Times New Roman" w:eastAsia="Times New Roman" w:hAnsi="Times New Roman" w:cs="Times New Roman"/>
          <w:sz w:val="28"/>
          <w:szCs w:val="28"/>
        </w:rPr>
        <w:t xml:space="preserve"> в случае неизменной тенденции к принятию эффективных профилактических </w:t>
      </w:r>
      <w:r w:rsidRPr="00272615">
        <w:rPr>
          <w:rFonts w:ascii="Times New Roman" w:eastAsia="Times New Roman" w:hAnsi="Times New Roman" w:cs="Times New Roman"/>
          <w:sz w:val="28"/>
          <w:szCs w:val="28"/>
        </w:rPr>
        <w:t>мер</w:t>
      </w:r>
      <w:r w:rsidRPr="00272615">
        <w:rPr>
          <w:rFonts w:ascii="Times New Roman" w:hAnsi="Times New Roman" w:cs="Times New Roman"/>
          <w:color w:val="1A1B1D"/>
          <w:sz w:val="28"/>
          <w:szCs w:val="28"/>
        </w:rPr>
        <w:t xml:space="preserve"> </w:t>
      </w:r>
      <w:r w:rsidRPr="00272615">
        <w:rPr>
          <w:rFonts w:ascii="Times New Roman" w:hAnsi="Times New Roman" w:cs="Times New Roman"/>
          <w:sz w:val="28"/>
          <w:szCs w:val="28"/>
        </w:rPr>
        <w:t>[7].</w:t>
      </w:r>
    </w:p>
    <w:p w14:paraId="1C8281EC" w14:textId="77777777" w:rsidR="009211A6" w:rsidRPr="004135FE" w:rsidRDefault="009211A6" w:rsidP="0091546F">
      <w:pPr>
        <w:autoSpaceDE w:val="0"/>
        <w:autoSpaceDN w:val="0"/>
        <w:adjustRightInd w:val="0"/>
        <w:spacing w:after="0" w:line="240" w:lineRule="auto"/>
        <w:ind w:firstLine="708"/>
        <w:jc w:val="both"/>
        <w:rPr>
          <w:rFonts w:ascii="Times New Roman" w:eastAsia="TimesNewRomanPSMT" w:hAnsi="Times New Roman" w:cs="Times New Roman"/>
          <w:sz w:val="28"/>
          <w:szCs w:val="28"/>
        </w:rPr>
      </w:pPr>
      <w:r w:rsidRPr="004135FE">
        <w:rPr>
          <w:rFonts w:ascii="Times New Roman" w:eastAsia="Times New Roman" w:hAnsi="Times New Roman" w:cs="Times New Roman"/>
          <w:sz w:val="28"/>
          <w:szCs w:val="28"/>
        </w:rPr>
        <w:t xml:space="preserve">По данным </w:t>
      </w:r>
      <w:r w:rsidRPr="004135FE">
        <w:rPr>
          <w:rFonts w:ascii="Times New Roman" w:eastAsia="Times New Roman" w:hAnsi="Times New Roman" w:cs="Times New Roman"/>
          <w:sz w:val="28"/>
          <w:szCs w:val="28"/>
          <w:lang w:val="en-US"/>
        </w:rPr>
        <w:t>Global</w:t>
      </w:r>
      <w:r w:rsidRPr="004135FE">
        <w:rPr>
          <w:rFonts w:ascii="Times New Roman" w:eastAsia="Times New Roman" w:hAnsi="Times New Roman" w:cs="Times New Roman"/>
          <w:sz w:val="28"/>
          <w:szCs w:val="28"/>
        </w:rPr>
        <w:t xml:space="preserve"> </w:t>
      </w:r>
      <w:r w:rsidRPr="004135FE">
        <w:rPr>
          <w:rFonts w:ascii="Times New Roman" w:eastAsia="Times New Roman" w:hAnsi="Times New Roman" w:cs="Times New Roman"/>
          <w:sz w:val="28"/>
          <w:szCs w:val="28"/>
          <w:lang w:val="en-US"/>
        </w:rPr>
        <w:t>Health</w:t>
      </w:r>
      <w:r w:rsidRPr="004135FE">
        <w:rPr>
          <w:rFonts w:ascii="Times New Roman" w:eastAsia="Times New Roman" w:hAnsi="Times New Roman" w:cs="Times New Roman"/>
          <w:sz w:val="28"/>
          <w:szCs w:val="28"/>
        </w:rPr>
        <w:t xml:space="preserve"> </w:t>
      </w:r>
      <w:r w:rsidRPr="004135FE">
        <w:rPr>
          <w:rFonts w:ascii="Times New Roman" w:eastAsia="Times New Roman" w:hAnsi="Times New Roman" w:cs="Times New Roman"/>
          <w:sz w:val="28"/>
          <w:szCs w:val="28"/>
          <w:lang w:val="en-US"/>
        </w:rPr>
        <w:t>Data</w:t>
      </w:r>
      <w:r w:rsidRPr="004135FE">
        <w:rPr>
          <w:rFonts w:ascii="Times New Roman" w:eastAsia="Times New Roman" w:hAnsi="Times New Roman" w:cs="Times New Roman"/>
          <w:sz w:val="28"/>
          <w:szCs w:val="28"/>
        </w:rPr>
        <w:t xml:space="preserve"> </w:t>
      </w:r>
      <w:r w:rsidRPr="004135FE">
        <w:rPr>
          <w:rFonts w:ascii="Times New Roman" w:eastAsia="Times New Roman" w:hAnsi="Times New Roman" w:cs="Times New Roman"/>
          <w:sz w:val="28"/>
          <w:szCs w:val="28"/>
          <w:lang w:val="en-US"/>
        </w:rPr>
        <w:t>Exchange</w:t>
      </w:r>
      <w:r w:rsidRPr="004135FE">
        <w:rPr>
          <w:rFonts w:ascii="Times New Roman" w:eastAsia="Times New Roman" w:hAnsi="Times New Roman" w:cs="Times New Roman"/>
          <w:sz w:val="28"/>
          <w:szCs w:val="28"/>
        </w:rPr>
        <w:t xml:space="preserve">, в частности </w:t>
      </w:r>
      <w:r w:rsidRPr="004135FE">
        <w:rPr>
          <w:rFonts w:ascii="Times New Roman" w:eastAsia="Times New Roman" w:hAnsi="Times New Roman" w:cs="Times New Roman"/>
          <w:sz w:val="28"/>
          <w:szCs w:val="28"/>
          <w:lang w:val="en-US"/>
        </w:rPr>
        <w:t>Global</w:t>
      </w:r>
      <w:r w:rsidRPr="004135FE">
        <w:rPr>
          <w:rFonts w:ascii="Times New Roman" w:eastAsia="Times New Roman" w:hAnsi="Times New Roman" w:cs="Times New Roman"/>
          <w:sz w:val="28"/>
          <w:szCs w:val="28"/>
        </w:rPr>
        <w:t xml:space="preserve"> </w:t>
      </w:r>
      <w:r w:rsidRPr="004135FE">
        <w:rPr>
          <w:rFonts w:ascii="Times New Roman" w:eastAsia="Times New Roman" w:hAnsi="Times New Roman" w:cs="Times New Roman"/>
          <w:sz w:val="28"/>
          <w:szCs w:val="28"/>
          <w:lang w:val="en-US"/>
        </w:rPr>
        <w:t>Burden</w:t>
      </w:r>
      <w:r w:rsidRPr="004135FE">
        <w:rPr>
          <w:rFonts w:ascii="Times New Roman" w:eastAsia="Times New Roman" w:hAnsi="Times New Roman" w:cs="Times New Roman"/>
          <w:sz w:val="28"/>
          <w:szCs w:val="28"/>
        </w:rPr>
        <w:t xml:space="preserve"> </w:t>
      </w:r>
      <w:r w:rsidRPr="004135FE">
        <w:rPr>
          <w:rFonts w:ascii="Times New Roman" w:eastAsia="Times New Roman" w:hAnsi="Times New Roman" w:cs="Times New Roman"/>
          <w:sz w:val="28"/>
          <w:szCs w:val="28"/>
          <w:lang w:val="en-US"/>
        </w:rPr>
        <w:t>of</w:t>
      </w:r>
      <w:r w:rsidRPr="004135FE">
        <w:rPr>
          <w:rFonts w:ascii="Times New Roman" w:eastAsia="Times New Roman" w:hAnsi="Times New Roman" w:cs="Times New Roman"/>
          <w:sz w:val="28"/>
          <w:szCs w:val="28"/>
        </w:rPr>
        <w:t xml:space="preserve"> </w:t>
      </w:r>
      <w:r w:rsidRPr="004135FE">
        <w:rPr>
          <w:rFonts w:ascii="Times New Roman" w:eastAsia="Times New Roman" w:hAnsi="Times New Roman" w:cs="Times New Roman"/>
          <w:sz w:val="28"/>
          <w:szCs w:val="28"/>
          <w:lang w:val="en-US"/>
        </w:rPr>
        <w:t>Disease</w:t>
      </w:r>
      <w:r w:rsidRPr="004135FE">
        <w:rPr>
          <w:rFonts w:ascii="Times New Roman" w:eastAsia="Times New Roman" w:hAnsi="Times New Roman" w:cs="Times New Roman"/>
          <w:sz w:val="28"/>
          <w:szCs w:val="28"/>
        </w:rPr>
        <w:t xml:space="preserve"> с 1990 по 2017 годы в 195 странах и регионах получены следующие статистические показатели по диабету: </w:t>
      </w:r>
    </w:p>
    <w:p w14:paraId="55BF0330" w14:textId="5C74D930" w:rsidR="009211A6" w:rsidRPr="004135FE" w:rsidRDefault="009211A6" w:rsidP="0091546F">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135FE">
        <w:rPr>
          <w:rFonts w:ascii="Times New Roman" w:eastAsia="TimesNewRomanPSMT" w:hAnsi="Times New Roman" w:cs="Times New Roman"/>
          <w:sz w:val="28"/>
          <w:szCs w:val="28"/>
        </w:rPr>
        <w:t>1) з</w:t>
      </w:r>
      <w:r w:rsidRPr="004135FE">
        <w:rPr>
          <w:rFonts w:ascii="Times New Roman" w:eastAsia="Times New Roman" w:hAnsi="Times New Roman" w:cs="Times New Roman"/>
          <w:sz w:val="28"/>
          <w:szCs w:val="28"/>
        </w:rPr>
        <w:t>аболеваемость диабетом с 1990 по 2017 годы увеличилась с 11,3 млн в до 22,9 млн, (на 102,9%). Стандартизованный показатель заболеваемости по возрасту выросла с 233,6 до 284,6</w:t>
      </w:r>
      <w:r w:rsidR="001C0A28">
        <w:rPr>
          <w:rFonts w:ascii="Times New Roman" w:eastAsia="Times New Roman" w:hAnsi="Times New Roman" w:cs="Times New Roman"/>
          <w:sz w:val="28"/>
          <w:szCs w:val="28"/>
        </w:rPr>
        <w:t>;</w:t>
      </w:r>
      <w:r w:rsidRPr="004135FE">
        <w:rPr>
          <w:rFonts w:ascii="Times New Roman" w:eastAsia="Times New Roman" w:hAnsi="Times New Roman" w:cs="Times New Roman"/>
          <w:sz w:val="28"/>
          <w:szCs w:val="28"/>
        </w:rPr>
        <w:t xml:space="preserve"> </w:t>
      </w:r>
    </w:p>
    <w:p w14:paraId="1BEA3B15" w14:textId="50556496" w:rsidR="009211A6" w:rsidRPr="004135FE" w:rsidRDefault="009211A6" w:rsidP="0091546F">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распространенность диабета возрос с 211,2 млн до 476 млн, (на 129,7%). Стандартизованный по возрасту коэффициент распространенности вырос с 4738,5 до 5886,9</w:t>
      </w:r>
      <w:r w:rsidR="001C0A28">
        <w:rPr>
          <w:rFonts w:ascii="Times New Roman" w:eastAsia="Times New Roman" w:hAnsi="Times New Roman" w:cs="Times New Roman"/>
          <w:sz w:val="28"/>
          <w:szCs w:val="28"/>
        </w:rPr>
        <w:t>;</w:t>
      </w:r>
    </w:p>
    <w:p w14:paraId="03E944A9" w14:textId="25E2D26A" w:rsidR="009211A6" w:rsidRPr="004135FE" w:rsidRDefault="009211A6" w:rsidP="0091546F">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3) смертность от диабета увеличилась с 0,61 млн до 1,37 млн (на 125,5%), стандартизованный по возрасту коэффициент смертности вырос с 15,7 до 17,5. Во Всем мире показатель DALYs увеличился с 31,3 млн до 67,9 млн </w:t>
      </w:r>
      <w:r w:rsidR="001C0A28">
        <w:rPr>
          <w:rFonts w:ascii="Times New Roman" w:eastAsia="Times New Roman" w:hAnsi="Times New Roman" w:cs="Times New Roman"/>
          <w:sz w:val="28"/>
          <w:szCs w:val="28"/>
        </w:rPr>
        <w:t xml:space="preserve">                             </w:t>
      </w:r>
      <w:r w:rsidRPr="004135FE">
        <w:rPr>
          <w:rFonts w:ascii="Times New Roman" w:eastAsia="Times New Roman" w:hAnsi="Times New Roman" w:cs="Times New Roman"/>
          <w:sz w:val="28"/>
          <w:szCs w:val="28"/>
        </w:rPr>
        <w:t>(на 116,7%).</w:t>
      </w:r>
    </w:p>
    <w:p w14:paraId="26FBCB6E" w14:textId="77777777" w:rsidR="009211A6" w:rsidRPr="004135FE" w:rsidRDefault="009211A6" w:rsidP="0091546F">
      <w:pPr>
        <w:autoSpaceDE w:val="0"/>
        <w:autoSpaceDN w:val="0"/>
        <w:adjustRightInd w:val="0"/>
        <w:spacing w:after="0" w:line="240" w:lineRule="auto"/>
        <w:ind w:firstLine="708"/>
        <w:jc w:val="both"/>
        <w:rPr>
          <w:rFonts w:ascii="Times New Roman" w:eastAsia="TimesNewRomanPSMT" w:hAnsi="Times New Roman" w:cs="Times New Roman"/>
          <w:sz w:val="28"/>
          <w:szCs w:val="28"/>
        </w:rPr>
      </w:pPr>
      <w:r w:rsidRPr="004135FE">
        <w:rPr>
          <w:rFonts w:ascii="Times New Roman" w:eastAsia="Times New Roman" w:hAnsi="Times New Roman" w:cs="Times New Roman"/>
          <w:sz w:val="28"/>
          <w:szCs w:val="28"/>
        </w:rPr>
        <w:t>По СД2 с 1990 по 2017 годы стандартизованная по возрасту заболеваемость увеличилась с 228,5 до 279,1; распространенность – с 4576,7 до 5722,1; смертность – с 10 до 13,2; DALYs – с 553,6 до 709,6.</w:t>
      </w:r>
      <w:r w:rsidRPr="004135FE">
        <w:rPr>
          <w:rFonts w:ascii="Times New Roman" w:eastAsia="TimesNewRomanPSMT" w:hAnsi="Times New Roman" w:cs="Times New Roman"/>
          <w:sz w:val="28"/>
          <w:szCs w:val="28"/>
        </w:rPr>
        <w:t xml:space="preserve"> </w:t>
      </w:r>
    </w:p>
    <w:p w14:paraId="24B8121B" w14:textId="0B256CFE" w:rsidR="009211A6" w:rsidRPr="004135FE" w:rsidRDefault="009211A6" w:rsidP="0091546F">
      <w:pPr>
        <w:autoSpaceDE w:val="0"/>
        <w:autoSpaceDN w:val="0"/>
        <w:adjustRightInd w:val="0"/>
        <w:spacing w:after="0" w:line="240" w:lineRule="auto"/>
        <w:ind w:firstLine="708"/>
        <w:jc w:val="both"/>
        <w:rPr>
          <w:rFonts w:ascii="Times New Roman" w:eastAsia="TimesNewRomanPSMT" w:hAnsi="Times New Roman" w:cs="Times New Roman"/>
          <w:sz w:val="28"/>
          <w:szCs w:val="28"/>
        </w:rPr>
      </w:pPr>
      <w:r w:rsidRPr="004135FE">
        <w:rPr>
          <w:rFonts w:ascii="Times New Roman" w:eastAsia="TimesNewRomanPSMT" w:hAnsi="Times New Roman" w:cs="Times New Roman"/>
          <w:sz w:val="28"/>
          <w:szCs w:val="28"/>
        </w:rPr>
        <w:t xml:space="preserve">По исследованию 2017г выделены основные факторы риска диабета, приводящие к высоким летальным исходам: </w:t>
      </w:r>
      <w:r w:rsidRPr="004135FE">
        <w:rPr>
          <w:rFonts w:ascii="Times New Roman" w:eastAsia="Times New Roman" w:hAnsi="Times New Roman" w:cs="Times New Roman"/>
          <w:sz w:val="28"/>
          <w:szCs w:val="28"/>
        </w:rPr>
        <w:t>высокий ИМТ причина 30,8% смертей и 45,8% DALYs; нерациональное питание привели к 24,7% смертей и 34,9% DALYs; загрязнение воздуха твердыми частицами привели 13,4% смертей и 15,4% DALYs</w:t>
      </w:r>
      <w:r w:rsidRPr="004135FE">
        <w:rPr>
          <w:rFonts w:ascii="Times New Roman" w:eastAsia="TimesNewRomanPSMT" w:hAnsi="Times New Roman" w:cs="Times New Roman"/>
          <w:sz w:val="28"/>
          <w:szCs w:val="28"/>
        </w:rPr>
        <w:t xml:space="preserve"> [15].</w:t>
      </w:r>
    </w:p>
    <w:p w14:paraId="449B52CD" w14:textId="77777777" w:rsidR="009211A6" w:rsidRPr="004135FE" w:rsidRDefault="009211A6" w:rsidP="0091546F">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В 2017г по картограмме бремени диабета самые высокие показатели распространенности были в Китае (89,5 млн), Индии (67,8 млн), США (30,7 млн), Индонезии (21 млн), Мексике (13,1 млн). Наибольшая смертность зафиксированы в Индии (254 555), Китае (153185), Индонезии (97005), США (68558), Мексике (64067). По показателям DALYs стали Индия (11,2 млн), Китай (10 млн), Индонезия (4,4 млн), США (3,9 млн) и Мексика (2,6 млн). </w:t>
      </w:r>
      <w:r w:rsidRPr="004135FE">
        <w:rPr>
          <w:rFonts w:ascii="Times New Roman" w:eastAsia="TimesNewRomanPSMT" w:hAnsi="Times New Roman" w:cs="Times New Roman"/>
          <w:sz w:val="28"/>
          <w:szCs w:val="28"/>
        </w:rPr>
        <w:t>[16].</w:t>
      </w:r>
    </w:p>
    <w:p w14:paraId="15C456C5" w14:textId="77777777" w:rsidR="009211A6" w:rsidRPr="004135FE" w:rsidRDefault="009211A6" w:rsidP="0091546F">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135FE">
        <w:rPr>
          <w:rFonts w:ascii="Times New Roman" w:hAnsi="Times New Roman" w:cs="Times New Roman"/>
          <w:sz w:val="28"/>
          <w:szCs w:val="28"/>
        </w:rPr>
        <w:t xml:space="preserve">По данным Глобальной оценки состояния здоровья ВОЗ (GHE) в 2019г диабет привел </w:t>
      </w:r>
      <w:r w:rsidRPr="004135FE">
        <w:rPr>
          <w:rFonts w:ascii="Times New Roman" w:eastAsia="Times New Roman" w:hAnsi="Times New Roman" w:cs="Times New Roman"/>
          <w:sz w:val="28"/>
          <w:szCs w:val="28"/>
        </w:rPr>
        <w:t xml:space="preserve">1,5 миллиона случаев смерти, из которых 48% всех связанных с диабетом случаев летального исхода постигли до 70 лет </w:t>
      </w:r>
      <w:r w:rsidRPr="004135FE">
        <w:rPr>
          <w:rFonts w:ascii="Times New Roman" w:eastAsia="TimesNewRomanPSMT" w:hAnsi="Times New Roman" w:cs="Times New Roman"/>
          <w:sz w:val="28"/>
          <w:szCs w:val="28"/>
        </w:rPr>
        <w:t>[17-19].</w:t>
      </w:r>
      <w:r w:rsidRPr="004135FE">
        <w:rPr>
          <w:rFonts w:ascii="Times New Roman" w:eastAsia="Times New Roman" w:hAnsi="Times New Roman" w:cs="Times New Roman"/>
          <w:sz w:val="28"/>
          <w:szCs w:val="28"/>
        </w:rPr>
        <w:t xml:space="preserve"> </w:t>
      </w:r>
    </w:p>
    <w:p w14:paraId="2841844E" w14:textId="49EAE603" w:rsidR="009211A6" w:rsidRPr="004135FE" w:rsidRDefault="009211A6" w:rsidP="0091546F">
      <w:pPr>
        <w:autoSpaceDE w:val="0"/>
        <w:autoSpaceDN w:val="0"/>
        <w:adjustRightInd w:val="0"/>
        <w:spacing w:after="0" w:line="240" w:lineRule="auto"/>
        <w:ind w:firstLine="708"/>
        <w:jc w:val="both"/>
        <w:rPr>
          <w:rFonts w:ascii="Times New Roman" w:eastAsia="TimesNewRomanPSMT" w:hAnsi="Times New Roman" w:cs="Times New Roman"/>
          <w:sz w:val="28"/>
          <w:szCs w:val="28"/>
        </w:rPr>
      </w:pPr>
      <w:r w:rsidRPr="004135FE">
        <w:rPr>
          <w:rFonts w:ascii="Times New Roman" w:eastAsia="Times New Roman" w:hAnsi="Times New Roman" w:cs="Times New Roman"/>
          <w:bCs/>
          <w:sz w:val="28"/>
          <w:szCs w:val="28"/>
        </w:rPr>
        <w:t>В 2019</w:t>
      </w:r>
      <w:r w:rsidR="001C0A28">
        <w:rPr>
          <w:rFonts w:ascii="Times New Roman" w:eastAsia="Times New Roman" w:hAnsi="Times New Roman" w:cs="Times New Roman"/>
          <w:bCs/>
          <w:sz w:val="28"/>
          <w:szCs w:val="28"/>
        </w:rPr>
        <w:t xml:space="preserve"> году</w:t>
      </w:r>
      <w:r w:rsidRPr="004135FE">
        <w:rPr>
          <w:rFonts w:ascii="Times New Roman" w:eastAsia="Times New Roman" w:hAnsi="Times New Roman" w:cs="Times New Roman"/>
          <w:bCs/>
          <w:sz w:val="28"/>
          <w:szCs w:val="28"/>
        </w:rPr>
        <w:t xml:space="preserve"> с</w:t>
      </w:r>
      <w:r w:rsidRPr="004135FE">
        <w:rPr>
          <w:rFonts w:ascii="Times New Roman" w:eastAsia="Times New Roman" w:hAnsi="Times New Roman" w:cs="Times New Roman"/>
          <w:sz w:val="28"/>
          <w:szCs w:val="28"/>
        </w:rPr>
        <w:t xml:space="preserve">ахарный диабет из топ-10 </w:t>
      </w:r>
      <w:r w:rsidRPr="004135FE">
        <w:rPr>
          <w:rFonts w:ascii="Times New Roman" w:eastAsia="Times New Roman" w:hAnsi="Times New Roman" w:cs="Times New Roman"/>
          <w:bCs/>
          <w:sz w:val="28"/>
          <w:szCs w:val="28"/>
        </w:rPr>
        <w:t xml:space="preserve">глобальных причин смерти занял </w:t>
      </w:r>
      <w:r w:rsidRPr="004135FE">
        <w:rPr>
          <w:rFonts w:ascii="Times New Roman" w:eastAsia="Times New Roman" w:hAnsi="Times New Roman" w:cs="Times New Roman"/>
          <w:sz w:val="28"/>
          <w:szCs w:val="28"/>
        </w:rPr>
        <w:t xml:space="preserve">9 место и 8 место по </w:t>
      </w:r>
      <w:r w:rsidRPr="004135FE">
        <w:rPr>
          <w:rFonts w:ascii="Times New Roman" w:eastAsia="Times New Roman" w:hAnsi="Times New Roman" w:cs="Times New Roman"/>
          <w:bCs/>
          <w:sz w:val="28"/>
          <w:szCs w:val="28"/>
        </w:rPr>
        <w:t>глобальным причинам лет жизни с поправкой на инвалидность (DALY)</w:t>
      </w:r>
      <w:r w:rsidRPr="004135FE">
        <w:rPr>
          <w:rFonts w:ascii="Times New Roman" w:eastAsia="TimesNewRomanPSMT" w:hAnsi="Times New Roman" w:cs="Times New Roman"/>
          <w:sz w:val="28"/>
          <w:szCs w:val="28"/>
        </w:rPr>
        <w:t xml:space="preserve"> [20].</w:t>
      </w:r>
    </w:p>
    <w:p w14:paraId="747D7BC6" w14:textId="77777777" w:rsidR="009211A6" w:rsidRPr="004135FE" w:rsidRDefault="009211A6" w:rsidP="0091546F">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135FE">
        <w:rPr>
          <w:rFonts w:ascii="Times New Roman" w:hAnsi="Times New Roman" w:cs="Times New Roman"/>
          <w:sz w:val="28"/>
          <w:szCs w:val="28"/>
        </w:rPr>
        <w:t xml:space="preserve">Однако, более точный расчет смертности от диабета должен охватить все случаи, вызванные осложнениями гипергликемии (сосудистые катастрофы, заболевания органов мишеней и туберкулез, пневмония) [21]. </w:t>
      </w:r>
    </w:p>
    <w:p w14:paraId="0D025A29" w14:textId="77777777" w:rsidR="009211A6" w:rsidRPr="004135FE" w:rsidRDefault="009211A6" w:rsidP="0091546F">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По оценкам смертности от всех причин в 2019 году, 4,2 миллиона смертей среди взрослых в возрасте 20-79 лет связаны с диабетом. Сахарный диабет привод к 11,3% смертей всего населения мира, варьирующих 6,8%- 16,2%, что соответствует Африканскому региону и Ближнему Востоку. Самая </w:t>
      </w:r>
      <w:r w:rsidRPr="004135FE">
        <w:rPr>
          <w:rFonts w:ascii="Times New Roman" w:hAnsi="Times New Roman" w:cs="Times New Roman"/>
          <w:sz w:val="28"/>
          <w:szCs w:val="28"/>
        </w:rPr>
        <w:lastRenderedPageBreak/>
        <w:t xml:space="preserve">высокая смертность от диабета до 60 лет зафиксирован в Африканском регионе- 73,1%, напротив в Европейском регионе самая низкая-31,4% </w:t>
      </w:r>
      <w:r w:rsidRPr="004135FE">
        <w:rPr>
          <w:rStyle w:val="aa"/>
          <w:rFonts w:ascii="Times New Roman" w:hAnsi="Times New Roman" w:cs="Times New Roman"/>
          <w:b w:val="0"/>
          <w:sz w:val="28"/>
          <w:szCs w:val="28"/>
          <w:shd w:val="clear" w:color="auto" w:fill="FFFFFF"/>
        </w:rPr>
        <w:t>[22]</w:t>
      </w:r>
      <w:r w:rsidRPr="004135FE">
        <w:rPr>
          <w:rFonts w:ascii="Times New Roman" w:hAnsi="Times New Roman" w:cs="Times New Roman"/>
          <w:sz w:val="28"/>
          <w:szCs w:val="28"/>
        </w:rPr>
        <w:t xml:space="preserve">. </w:t>
      </w:r>
    </w:p>
    <w:p w14:paraId="2E499ADB" w14:textId="77777777" w:rsidR="009211A6" w:rsidRPr="004135FE" w:rsidRDefault="009211A6" w:rsidP="004135FE">
      <w:pPr>
        <w:spacing w:after="0" w:line="240" w:lineRule="auto"/>
        <w:ind w:firstLine="708"/>
        <w:jc w:val="both"/>
        <w:rPr>
          <w:rFonts w:ascii="Times New Roman" w:hAnsi="Times New Roman" w:cs="Times New Roman"/>
          <w:sz w:val="28"/>
          <w:szCs w:val="28"/>
          <w:shd w:val="clear" w:color="auto" w:fill="FFFFFF"/>
        </w:rPr>
      </w:pPr>
      <w:r w:rsidRPr="004135FE">
        <w:rPr>
          <w:rFonts w:ascii="Times New Roman" w:hAnsi="Times New Roman" w:cs="Times New Roman"/>
          <w:sz w:val="28"/>
          <w:szCs w:val="28"/>
          <w:shd w:val="clear" w:color="auto" w:fill="FFFFFF"/>
        </w:rPr>
        <w:t>По данным ВОЗ совместно с </w:t>
      </w:r>
      <w:r w:rsidRPr="004135FE">
        <w:rPr>
          <w:rStyle w:val="aa"/>
          <w:rFonts w:ascii="Times New Roman" w:hAnsi="Times New Roman" w:cs="Times New Roman"/>
          <w:b w:val="0"/>
          <w:sz w:val="28"/>
          <w:szCs w:val="28"/>
          <w:bdr w:val="none" w:sz="0" w:space="0" w:color="auto" w:frame="1"/>
          <w:shd w:val="clear" w:color="auto" w:fill="FFFFFF"/>
        </w:rPr>
        <w:t>Международной федерацией диабета</w:t>
      </w:r>
      <w:r w:rsidRPr="004135FE">
        <w:rPr>
          <w:rFonts w:ascii="Times New Roman" w:hAnsi="Times New Roman" w:cs="Times New Roman"/>
          <w:sz w:val="28"/>
          <w:szCs w:val="28"/>
          <w:shd w:val="clear" w:color="auto" w:fill="FFFFFF"/>
        </w:rPr>
        <w:t xml:space="preserve"> (International Diabetes Federation) в 2019 г в США распространенность диагностированного диабета составила 10,8% всего населения, среди которых на дебюте диагноза СД у 50% имелись сердечно-сосудистые заболевания, по 20% ретинопатия и альбуминурия </w:t>
      </w:r>
      <w:r w:rsidRPr="004135FE">
        <w:rPr>
          <w:rFonts w:ascii="Times New Roman" w:eastAsia="Times New Roman" w:hAnsi="Times New Roman" w:cs="Times New Roman"/>
          <w:sz w:val="28"/>
          <w:szCs w:val="28"/>
        </w:rPr>
        <w:t>[23-27]</w:t>
      </w:r>
      <w:r w:rsidRPr="004135FE">
        <w:rPr>
          <w:rFonts w:ascii="Times New Roman" w:hAnsi="Times New Roman" w:cs="Times New Roman"/>
          <w:sz w:val="28"/>
          <w:szCs w:val="28"/>
        </w:rPr>
        <w:t>. Фактор риска развития, как избыточная масса тела и ожирение усугубляют рост СД2т</w:t>
      </w:r>
      <w:r w:rsidRPr="004135FE">
        <w:rPr>
          <w:rFonts w:ascii="Times New Roman" w:hAnsi="Times New Roman" w:cs="Times New Roman"/>
          <w:sz w:val="28"/>
          <w:szCs w:val="28"/>
          <w:shd w:val="clear" w:color="auto" w:fill="FFFFFF"/>
        </w:rPr>
        <w:t xml:space="preserve"> </w:t>
      </w:r>
      <w:r w:rsidRPr="004135FE">
        <w:rPr>
          <w:rStyle w:val="aa"/>
          <w:rFonts w:ascii="Times New Roman" w:hAnsi="Times New Roman" w:cs="Times New Roman"/>
          <w:b w:val="0"/>
          <w:sz w:val="28"/>
          <w:szCs w:val="28"/>
          <w:shd w:val="clear" w:color="auto" w:fill="FFFFFF"/>
        </w:rPr>
        <w:t>[28]</w:t>
      </w:r>
      <w:r w:rsidRPr="004135FE">
        <w:rPr>
          <w:rFonts w:ascii="Times New Roman" w:hAnsi="Times New Roman" w:cs="Times New Roman"/>
          <w:sz w:val="28"/>
          <w:szCs w:val="28"/>
        </w:rPr>
        <w:t xml:space="preserve">. </w:t>
      </w:r>
    </w:p>
    <w:p w14:paraId="58C693BB" w14:textId="77777777" w:rsidR="009211A6" w:rsidRPr="004135FE" w:rsidRDefault="009211A6" w:rsidP="004135FE">
      <w:pPr>
        <w:autoSpaceDE w:val="0"/>
        <w:autoSpaceDN w:val="0"/>
        <w:adjustRightInd w:val="0"/>
        <w:spacing w:after="0" w:line="240" w:lineRule="auto"/>
        <w:ind w:firstLine="708"/>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 xml:space="preserve">Распространенность СД2т в Российской Федерации, согласно анализу, Национального медицинского исследовательского центра эндокринологии составила 4,15млн населения страны, из них 29% мужчины и 71% женщины. Доля мужчин уменьшается при возрастании года жизни. </w:t>
      </w:r>
      <w:r w:rsidRPr="004135FE">
        <w:rPr>
          <w:rFonts w:ascii="Times New Roman" w:eastAsia="MyriadPro-Regular" w:hAnsi="Times New Roman" w:cs="Times New Roman"/>
          <w:sz w:val="28"/>
          <w:szCs w:val="28"/>
          <w:lang w:eastAsia="en-US"/>
        </w:rPr>
        <w:t xml:space="preserve">В динамике с 2013 по 2017гг заболеваемость СД2 выросла от 226,7 до 185,2 на 100 тыс. населения, распространенность от 2455,3 до 2775,6 на 100 тыс. населения. За эти годы основных причин летальных исходов от СД2т составили диабетические комы, инфаркт миокарда, инсульт, сердечно-сосудистая недостаточность, почечная недостаточность. Средняя продолжительность жизни к 2017г составила у мужчин 70,3 лет и у женщин 75,9лет </w:t>
      </w:r>
      <w:r w:rsidRPr="004135FE">
        <w:rPr>
          <w:rStyle w:val="aa"/>
          <w:rFonts w:ascii="Times New Roman" w:hAnsi="Times New Roman" w:cs="Times New Roman"/>
          <w:b w:val="0"/>
          <w:sz w:val="28"/>
          <w:szCs w:val="28"/>
          <w:shd w:val="clear" w:color="auto" w:fill="FFFFFF"/>
        </w:rPr>
        <w:t>[29]</w:t>
      </w:r>
      <w:r w:rsidRPr="004135FE">
        <w:rPr>
          <w:rFonts w:ascii="Times New Roman" w:hAnsi="Times New Roman" w:cs="Times New Roman"/>
          <w:sz w:val="28"/>
          <w:szCs w:val="28"/>
        </w:rPr>
        <w:t>.</w:t>
      </w:r>
    </w:p>
    <w:p w14:paraId="551E5469" w14:textId="77777777" w:rsidR="009211A6" w:rsidRPr="004135FE" w:rsidRDefault="009211A6" w:rsidP="004135FE">
      <w:pPr>
        <w:autoSpaceDE w:val="0"/>
        <w:autoSpaceDN w:val="0"/>
        <w:adjustRightInd w:val="0"/>
        <w:spacing w:after="0" w:line="240" w:lineRule="auto"/>
        <w:ind w:firstLine="708"/>
        <w:jc w:val="both"/>
        <w:rPr>
          <w:rStyle w:val="aa"/>
          <w:rFonts w:ascii="Times New Roman" w:eastAsia="Times New Roman" w:hAnsi="Times New Roman" w:cs="Times New Roman"/>
          <w:b w:val="0"/>
          <w:sz w:val="28"/>
          <w:szCs w:val="28"/>
        </w:rPr>
      </w:pPr>
      <w:r w:rsidRPr="004135FE">
        <w:rPr>
          <w:rFonts w:ascii="Times New Roman" w:eastAsia="Times New Roman" w:hAnsi="Times New Roman" w:cs="Times New Roman"/>
          <w:bCs/>
          <w:sz w:val="28"/>
          <w:szCs w:val="28"/>
        </w:rPr>
        <w:t>Официальная статистика распространенности по диабету в 2011г в Украине составила 4% населения, 3 342,4 на 100 тыс. населения, в абсолютных числах 1 256 559 человек, из которых 85-90% приходится на СД2т</w:t>
      </w:r>
      <w:r w:rsidRPr="004135FE">
        <w:rPr>
          <w:rFonts w:ascii="Times New Roman" w:eastAsia="Times New Roman" w:hAnsi="Times New Roman" w:cs="Times New Roman"/>
          <w:kern w:val="36"/>
          <w:sz w:val="28"/>
          <w:szCs w:val="28"/>
        </w:rPr>
        <w:t xml:space="preserve"> </w:t>
      </w:r>
      <w:r w:rsidRPr="004135FE">
        <w:rPr>
          <w:rStyle w:val="aa"/>
          <w:rFonts w:ascii="Times New Roman" w:hAnsi="Times New Roman" w:cs="Times New Roman"/>
          <w:b w:val="0"/>
          <w:sz w:val="28"/>
          <w:szCs w:val="28"/>
          <w:shd w:val="clear" w:color="auto" w:fill="FFFFFF"/>
        </w:rPr>
        <w:t>[30].</w:t>
      </w:r>
    </w:p>
    <w:p w14:paraId="07991411" w14:textId="77777777" w:rsidR="009211A6" w:rsidRPr="004135FE"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Согласно диабетическим профилям ВОЗ, 58,7% взрослого населения в целом имеют избыточный вес, 23,5% страдают ожирением и 20,0% имеют недостаточную физическую активность.</w:t>
      </w:r>
    </w:p>
    <w:p w14:paraId="16A39470" w14:textId="77777777" w:rsidR="009211A6" w:rsidRPr="004135FE"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 Неоднократно было показано, что фрукты [31] и особенно овощи [32] оказывают не только профилактическое действие на развитие СД2т, но также способствуют лучшему гликемическому контролю. В то же время недостаточное потребление овощей, несмотря на рекомендации, было отмечено во многих странах [33].</w:t>
      </w:r>
    </w:p>
    <w:p w14:paraId="1C825260" w14:textId="77777777"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Нарушение регуляции уровня глюкозы и возникающая в результате этого гипергликемия представляют собой серьезную угрозу здоровью людей в современных обществах, особенно учитывая быстро растущую распространенность заболевания. Так же, по данным систематических обзоров, СД2т отрицательно влияет на репродуктивный потенциал обоих полов населения, способствует снижению глобальных показателей рождаемости, особенно в тех обществах, где распространенность диабета высока </w:t>
      </w:r>
      <w:r w:rsidRPr="004135FE">
        <w:rPr>
          <w:rFonts w:ascii="Times New Roman" w:eastAsiaTheme="minorHAnsi" w:hAnsi="Times New Roman" w:cs="Times New Roman"/>
          <w:sz w:val="28"/>
          <w:szCs w:val="28"/>
          <w:lang w:eastAsia="en-US"/>
        </w:rPr>
        <w:t>[34, 35</w:t>
      </w:r>
      <w:r w:rsidRPr="004135FE">
        <w:rPr>
          <w:rFonts w:ascii="Times New Roman" w:eastAsiaTheme="minorHAnsi" w:hAnsi="Times New Roman" w:cs="Times New Roman"/>
          <w:sz w:val="28"/>
          <w:szCs w:val="28"/>
        </w:rPr>
        <w:t>].</w:t>
      </w:r>
      <w:r w:rsidRPr="004135FE">
        <w:rPr>
          <w:rFonts w:ascii="Times New Roman" w:eastAsiaTheme="minorHAnsi" w:hAnsi="Times New Roman" w:cs="Times New Roman"/>
          <w:bCs/>
          <w:sz w:val="28"/>
          <w:szCs w:val="28"/>
          <w:lang w:eastAsia="en-US"/>
        </w:rPr>
        <w:t xml:space="preserve"> </w:t>
      </w:r>
      <w:r w:rsidRPr="004135FE">
        <w:rPr>
          <w:rFonts w:ascii="Times New Roman" w:eastAsia="Times New Roman" w:hAnsi="Times New Roman" w:cs="Times New Roman"/>
          <w:bCs/>
          <w:kern w:val="36"/>
          <w:sz w:val="28"/>
          <w:szCs w:val="28"/>
        </w:rPr>
        <w:t xml:space="preserve"> </w:t>
      </w:r>
    </w:p>
    <w:p w14:paraId="4E9EDD81" w14:textId="3AC0AF9E" w:rsidR="009211A6" w:rsidRPr="004135FE"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Многочисленные исследования доказывают, что у мужчин при развитии ожирения, СД2т и инсулинорезистентности частота гипогонадизма значительно нарастает</w:t>
      </w:r>
      <w:r w:rsidR="005D3980">
        <w:rPr>
          <w:rFonts w:ascii="Times New Roman" w:hAnsi="Times New Roman" w:cs="Times New Roman"/>
          <w:sz w:val="28"/>
          <w:szCs w:val="28"/>
        </w:rPr>
        <w:t xml:space="preserve"> </w:t>
      </w:r>
      <w:r w:rsidRPr="004135FE">
        <w:rPr>
          <w:rFonts w:ascii="Times New Roman" w:hAnsi="Times New Roman" w:cs="Times New Roman"/>
          <w:sz w:val="28"/>
          <w:szCs w:val="28"/>
        </w:rPr>
        <w:t xml:space="preserve">[36-38]. Большинство литературных источников сосредоточены на том, как метаболический синдром вызывает снижение мужской фертильности. По данным ВОЗ 2006г, частота метаболического синдрома среди населения западных стран достигает 25-35% (в возрасте 20-29 лет-6,8%, старше 60 лет- до 42-45%). </w:t>
      </w:r>
    </w:p>
    <w:p w14:paraId="3FA47348" w14:textId="77777777" w:rsidR="009211A6" w:rsidRPr="004135FE"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lastRenderedPageBreak/>
        <w:t xml:space="preserve">Статистический значимо, что уровни тестостерона у мужчин с СД2т ниже в среднем на 2,5нмоль/л по сравнению у людей с оптимальным уровнем сахара, соответственно случаи гипогонадизма возрастают на 50% при наличии СД2т. Контроль уровня тестостерона у всех мужчин с СД2т и нарушении массы тела является частью рациональной услуги ПМСП [39]. </w:t>
      </w:r>
    </w:p>
    <w:p w14:paraId="22E76DB2" w14:textId="5386EC76"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Эффективным способом повышения фертильности мужчин с СД2т и избытком массы тела являются достижение стабильной нормогликемии и снижение ИМТ. Это должно быть осуществимым целевым подходом и одним из основных механизмов решения бесплодия среди пациентов с сахарным диабетом [40].</w:t>
      </w:r>
    </w:p>
    <w:p w14:paraId="236805A8" w14:textId="0D1E137F" w:rsidR="009211A6" w:rsidRPr="004135FE" w:rsidRDefault="009211A6" w:rsidP="004135FE">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135FE">
        <w:rPr>
          <w:rFonts w:ascii="Times New Roman" w:eastAsiaTheme="minorHAnsi" w:hAnsi="Times New Roman" w:cs="Times New Roman"/>
          <w:bCs/>
          <w:sz w:val="28"/>
          <w:szCs w:val="28"/>
          <w:lang w:eastAsia="en-US"/>
        </w:rPr>
        <w:t xml:space="preserve">По данным атласа диабета, гипергликемия ставит </w:t>
      </w:r>
      <w:r w:rsidRPr="004135FE">
        <w:rPr>
          <w:rFonts w:ascii="Times New Roman" w:eastAsia="ArialMT" w:hAnsi="Times New Roman" w:cs="Times New Roman"/>
          <w:sz w:val="28"/>
          <w:szCs w:val="28"/>
          <w:lang w:eastAsia="en-US"/>
        </w:rPr>
        <w:t>п</w:t>
      </w:r>
      <w:r w:rsidRPr="004135FE">
        <w:rPr>
          <w:rFonts w:ascii="Times New Roman" w:eastAsiaTheme="minorHAnsi" w:hAnsi="Times New Roman" w:cs="Times New Roman"/>
          <w:bCs/>
          <w:sz w:val="28"/>
          <w:szCs w:val="28"/>
        </w:rPr>
        <w:t xml:space="preserve">од удар целые поколения. </w:t>
      </w:r>
      <w:r w:rsidRPr="004135FE">
        <w:rPr>
          <w:rFonts w:ascii="Times New Roman" w:eastAsia="ArialMT" w:hAnsi="Times New Roman" w:cs="Times New Roman"/>
          <w:sz w:val="28"/>
          <w:szCs w:val="28"/>
          <w:lang w:eastAsia="en-US"/>
        </w:rPr>
        <w:t xml:space="preserve">Женщины, перенесшие гестационный сахарный диабет (ГСД) подвержены повышенному риску развития СД2т после родов или в более позднем возрасте. Рожденные дети от женщин, перенесших ГСД, также подвержены повышенному риску ожирения и развития СД2т </w:t>
      </w:r>
      <w:r w:rsidRPr="004135FE">
        <w:rPr>
          <w:rFonts w:ascii="Times New Roman" w:eastAsiaTheme="minorHAnsi" w:hAnsi="Times New Roman" w:cs="Times New Roman"/>
          <w:sz w:val="28"/>
          <w:szCs w:val="28"/>
          <w:lang w:eastAsia="en-US"/>
        </w:rPr>
        <w:t>[41</w:t>
      </w:r>
      <w:r w:rsidRPr="004135FE">
        <w:rPr>
          <w:rFonts w:ascii="Times New Roman" w:eastAsiaTheme="minorHAnsi" w:hAnsi="Times New Roman" w:cs="Times New Roman"/>
          <w:sz w:val="28"/>
          <w:szCs w:val="28"/>
        </w:rPr>
        <w:t>].</w:t>
      </w:r>
      <w:r w:rsidRPr="004135FE">
        <w:rPr>
          <w:rFonts w:ascii="Times New Roman" w:eastAsiaTheme="minorHAnsi" w:hAnsi="Times New Roman" w:cs="Times New Roman"/>
          <w:bCs/>
          <w:sz w:val="28"/>
          <w:szCs w:val="28"/>
          <w:lang w:eastAsia="en-US"/>
        </w:rPr>
        <w:t xml:space="preserve"> В современных условиях, </w:t>
      </w:r>
      <w:r w:rsidRPr="004135FE">
        <w:rPr>
          <w:rFonts w:ascii="Times New Roman" w:eastAsia="Times New Roman" w:hAnsi="Times New Roman" w:cs="Times New Roman"/>
          <w:sz w:val="28"/>
          <w:szCs w:val="28"/>
        </w:rPr>
        <w:t>способность к зачатию у женщин с СД не отличается от женщин с оптимальным уровнем сахара. Однако, наличие СД у беременных нередко приводит к ухудшению течения беременности и диабета в виде декомпенсации [42]. Ежегодно во всем мире осложнения незапланированной беременности приводят к 500 000 случаев летального исхода. При СД каждое третье прерывание беременности приводят к маточным кровотечениям и повторному выскабливанию, каждая четвертая женщина страдает от преэклампсий. Соответственно возрастает частота развития инфекции мочеполовых органов, преждевременных родов, сосудистых осложнений, крупный плод, фетопатия, ухудшения течения диабета, что приводит к частому родоразрешению путем оперативных вмешательств. Все эти события являются основанием, для более тщательной подготовки и планирования беременности во избежание осложнении для женщины и его ребенка</w:t>
      </w:r>
      <w:r w:rsidRPr="004135FE">
        <w:rPr>
          <w:rFonts w:ascii="Times New Roman" w:hAnsi="Times New Roman" w:cs="Times New Roman"/>
          <w:sz w:val="28"/>
          <w:szCs w:val="28"/>
        </w:rPr>
        <w:t xml:space="preserve"> [43-46]. </w:t>
      </w:r>
    </w:p>
    <w:p w14:paraId="68ADB626" w14:textId="77777777" w:rsidR="009211A6" w:rsidRPr="004135FE" w:rsidRDefault="009211A6" w:rsidP="004135FE">
      <w:pPr>
        <w:pStyle w:val="Default"/>
        <w:ind w:firstLine="708"/>
        <w:jc w:val="both"/>
        <w:rPr>
          <w:rFonts w:ascii="Times New Roman" w:hAnsi="Times New Roman" w:cs="Times New Roman"/>
          <w:color w:val="auto"/>
          <w:sz w:val="28"/>
          <w:szCs w:val="28"/>
        </w:rPr>
      </w:pPr>
      <w:r w:rsidRPr="004135FE">
        <w:rPr>
          <w:rFonts w:ascii="Times New Roman" w:eastAsia="TimesNewRomanPSMT" w:hAnsi="Times New Roman" w:cs="Times New Roman"/>
          <w:color w:val="auto"/>
          <w:sz w:val="28"/>
          <w:szCs w:val="28"/>
        </w:rPr>
        <w:t xml:space="preserve">Планирование беременности означает обследование женщин на наличие диабетических осложнений и их компенсации на этапе подготовки к беременности. На протяжении 6 месяцев до зачатия и во время беременности уровень </w:t>
      </w:r>
      <w:r w:rsidRPr="004135FE">
        <w:rPr>
          <w:rFonts w:ascii="Times New Roman" w:hAnsi="Times New Roman" w:cs="Times New Roman"/>
          <w:color w:val="auto"/>
          <w:sz w:val="28"/>
          <w:szCs w:val="28"/>
        </w:rPr>
        <w:t>HbAlc</w:t>
      </w:r>
      <w:r w:rsidRPr="004135FE">
        <w:rPr>
          <w:rFonts w:ascii="Times New Roman" w:eastAsia="TimesNewRomanPSMT" w:hAnsi="Times New Roman" w:cs="Times New Roman"/>
          <w:color w:val="auto"/>
          <w:sz w:val="28"/>
          <w:szCs w:val="28"/>
        </w:rPr>
        <w:t xml:space="preserve"> не должен превышать 6,5 % [47,48]. На этапе планирования и в первом триместре беременности оптимальный уровень сахара крови и </w:t>
      </w:r>
      <w:r w:rsidRPr="004135FE">
        <w:rPr>
          <w:rFonts w:ascii="Times New Roman" w:hAnsi="Times New Roman" w:cs="Times New Roman"/>
          <w:color w:val="auto"/>
          <w:sz w:val="28"/>
          <w:szCs w:val="28"/>
        </w:rPr>
        <w:t>HbAlc</w:t>
      </w:r>
      <w:r w:rsidRPr="004135FE">
        <w:rPr>
          <w:rFonts w:ascii="Times New Roman" w:eastAsia="TimesNewRomanPSMT" w:hAnsi="Times New Roman" w:cs="Times New Roman"/>
          <w:color w:val="auto"/>
          <w:sz w:val="28"/>
          <w:szCs w:val="28"/>
        </w:rPr>
        <w:t xml:space="preserve"> приводит к снижению частоты пороков развития до 1,2–1,4 %.</w:t>
      </w:r>
    </w:p>
    <w:p w14:paraId="6B31D1E1" w14:textId="77777777" w:rsidR="009211A6" w:rsidRPr="004135FE" w:rsidRDefault="009211A6" w:rsidP="004135FE">
      <w:pPr>
        <w:autoSpaceDE w:val="0"/>
        <w:autoSpaceDN w:val="0"/>
        <w:adjustRightInd w:val="0"/>
        <w:spacing w:after="0" w:line="240" w:lineRule="auto"/>
        <w:ind w:firstLine="708"/>
        <w:jc w:val="both"/>
        <w:rPr>
          <w:rFonts w:ascii="Times New Roman" w:eastAsia="TimesNewRomanPSMT" w:hAnsi="Times New Roman" w:cs="Times New Roman"/>
          <w:sz w:val="28"/>
          <w:szCs w:val="28"/>
        </w:rPr>
      </w:pPr>
      <w:r w:rsidRPr="004135FE">
        <w:rPr>
          <w:rFonts w:ascii="Times New Roman" w:eastAsia="TimesNewRomanPSMT" w:hAnsi="Times New Roman" w:cs="Times New Roman"/>
          <w:sz w:val="28"/>
          <w:szCs w:val="28"/>
        </w:rPr>
        <w:t xml:space="preserve">При СД2т высокий риск наследственной передачи заболевания, наличие у одного из родителей составляет риск до 15–30 %, у обоих родителей риск возрастает до 75 %. Оптимальные исходы беременности и родов у женщин с различными типами и осложнениями СД, можно достичь в специализированных центрах </w:t>
      </w:r>
      <w:r w:rsidRPr="004135FE">
        <w:rPr>
          <w:rFonts w:ascii="Cambria Math" w:eastAsia="TimesNewRomanPSMT" w:hAnsi="Cambria Math" w:cs="Cambria Math"/>
          <w:sz w:val="28"/>
          <w:szCs w:val="28"/>
        </w:rPr>
        <w:t>«</w:t>
      </w:r>
      <w:r w:rsidRPr="004135FE">
        <w:rPr>
          <w:rFonts w:ascii="Times New Roman" w:eastAsia="TimesNewRomanPSMT" w:hAnsi="Times New Roman" w:cs="Times New Roman"/>
          <w:sz w:val="28"/>
          <w:szCs w:val="28"/>
        </w:rPr>
        <w:t>Сахарный диабет и беременность</w:t>
      </w:r>
      <w:r w:rsidRPr="004135FE">
        <w:rPr>
          <w:rFonts w:ascii="Cambria Math" w:eastAsia="TimesNewRomanPSMT" w:hAnsi="Cambria Math" w:cs="Cambria Math"/>
          <w:sz w:val="28"/>
          <w:szCs w:val="28"/>
        </w:rPr>
        <w:t>»</w:t>
      </w:r>
      <w:r w:rsidRPr="004135FE">
        <w:rPr>
          <w:rFonts w:ascii="Times New Roman" w:eastAsia="TimesNewRomanPSMT" w:hAnsi="Times New Roman" w:cs="Times New Roman"/>
          <w:sz w:val="28"/>
          <w:szCs w:val="28"/>
        </w:rPr>
        <w:t>, в которых курация пациентов осуществляют совместно врачи-эндокринологи, акушеры-гинекологи и перинатологи [49].</w:t>
      </w:r>
    </w:p>
    <w:p w14:paraId="714D8B2A" w14:textId="77777777" w:rsidR="009211A6" w:rsidRPr="004135FE"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t>Состояние организации помощи при СД2 усугубилась с возникновением новой пандемии COVID-19 и раскрыла проблемы системы здравоохранения всего мира.</w:t>
      </w:r>
      <w:r w:rsidRPr="004135FE">
        <w:rPr>
          <w:rFonts w:ascii="Times New Roman" w:hAnsi="Times New Roman" w:cs="Times New Roman"/>
          <w:sz w:val="28"/>
          <w:szCs w:val="28"/>
        </w:rPr>
        <w:t xml:space="preserve"> (11 марта 2020 года объявил ВОЗ). В</w:t>
      </w:r>
      <w:r w:rsidRPr="004135FE">
        <w:rPr>
          <w:rFonts w:ascii="Times New Roman" w:eastAsia="Times New Roman" w:hAnsi="Times New Roman" w:cs="Times New Roman"/>
          <w:sz w:val="28"/>
          <w:szCs w:val="28"/>
        </w:rPr>
        <w:t xml:space="preserve">ирусная инфекция и </w:t>
      </w:r>
      <w:r w:rsidRPr="004135FE">
        <w:rPr>
          <w:rFonts w:ascii="Times New Roman" w:eastAsia="Times New Roman" w:hAnsi="Times New Roman" w:cs="Times New Roman"/>
          <w:sz w:val="28"/>
          <w:szCs w:val="28"/>
        </w:rPr>
        <w:lastRenderedPageBreak/>
        <w:t xml:space="preserve">гипергликемия усиливают отрицательное влияние на организм человека, что требует эффективного мониторинга уровня глюкозы в крови для улучшения прогноза у пациентов, инфицированных COVID-19. Имеющиеся данные демонстрируют влияние инфекции COVID19 на мужскую и женскую репродуктивную функцию, что особенно усугубляется при СД2. </w:t>
      </w:r>
      <w:r w:rsidRPr="004135FE">
        <w:rPr>
          <w:rFonts w:ascii="Times New Roman" w:hAnsi="Times New Roman" w:cs="Times New Roman"/>
          <w:sz w:val="28"/>
          <w:szCs w:val="28"/>
        </w:rPr>
        <w:t xml:space="preserve">Несколько метаанализов доказывают, что </w:t>
      </w:r>
      <w:r w:rsidRPr="004135FE">
        <w:rPr>
          <w:rFonts w:ascii="Times New Roman" w:eastAsia="Times New Roman" w:hAnsi="Times New Roman" w:cs="Times New Roman"/>
          <w:kern w:val="36"/>
          <w:sz w:val="28"/>
          <w:szCs w:val="28"/>
        </w:rPr>
        <w:t xml:space="preserve">COVID-19 </w:t>
      </w:r>
      <w:r w:rsidRPr="004135FE">
        <w:rPr>
          <w:rFonts w:ascii="Times New Roman" w:hAnsi="Times New Roman" w:cs="Times New Roman"/>
          <w:sz w:val="28"/>
          <w:szCs w:val="28"/>
        </w:rPr>
        <w:t xml:space="preserve">может инфицировать у женщин- яичники, матку, влагалище и плаценту через повсеместную экспрессию </w:t>
      </w:r>
      <w:r w:rsidRPr="004135FE">
        <w:rPr>
          <w:rFonts w:ascii="Times New Roman" w:hAnsi="Times New Roman" w:cs="Times New Roman"/>
          <w:sz w:val="28"/>
          <w:szCs w:val="28"/>
          <w:lang w:val="en-US"/>
        </w:rPr>
        <w:t>ACE</w:t>
      </w:r>
      <w:r w:rsidRPr="004135FE">
        <w:rPr>
          <w:rFonts w:ascii="Times New Roman" w:hAnsi="Times New Roman" w:cs="Times New Roman"/>
          <w:sz w:val="28"/>
          <w:szCs w:val="28"/>
        </w:rPr>
        <w:t xml:space="preserve">2 и у мужчин - </w:t>
      </w:r>
      <w:r w:rsidRPr="004135FE">
        <w:rPr>
          <w:rFonts w:ascii="Times New Roman" w:eastAsia="Times New Roman" w:hAnsi="Times New Roman" w:cs="Times New Roman"/>
          <w:sz w:val="28"/>
          <w:szCs w:val="28"/>
        </w:rPr>
        <w:t>поражать яички и вызывать вирусный орхит</w:t>
      </w:r>
      <w:r w:rsidRPr="004135FE">
        <w:rPr>
          <w:rFonts w:ascii="Times New Roman" w:hAnsi="Times New Roman" w:cs="Times New Roman"/>
          <w:sz w:val="28"/>
          <w:szCs w:val="28"/>
        </w:rPr>
        <w:t>. Кроме того, 2019-</w:t>
      </w:r>
      <w:r w:rsidRPr="004135FE">
        <w:rPr>
          <w:rFonts w:ascii="Times New Roman" w:hAnsi="Times New Roman" w:cs="Times New Roman"/>
          <w:sz w:val="28"/>
          <w:szCs w:val="28"/>
          <w:lang w:val="en-US"/>
        </w:rPr>
        <w:t>nCoV</w:t>
      </w:r>
      <w:r w:rsidRPr="004135FE">
        <w:rPr>
          <w:rFonts w:ascii="Times New Roman" w:hAnsi="Times New Roman" w:cs="Times New Roman"/>
          <w:sz w:val="28"/>
          <w:szCs w:val="28"/>
        </w:rPr>
        <w:t xml:space="preserve"> / </w:t>
      </w:r>
      <w:r w:rsidRPr="004135FE">
        <w:rPr>
          <w:rFonts w:ascii="Times New Roman" w:hAnsi="Times New Roman" w:cs="Times New Roman"/>
          <w:sz w:val="28"/>
          <w:szCs w:val="28"/>
          <w:lang w:val="en-US"/>
        </w:rPr>
        <w:t>ACE</w:t>
      </w:r>
      <w:r w:rsidRPr="004135FE">
        <w:rPr>
          <w:rFonts w:ascii="Times New Roman" w:hAnsi="Times New Roman" w:cs="Times New Roman"/>
          <w:sz w:val="28"/>
          <w:szCs w:val="28"/>
        </w:rPr>
        <w:t>2 может нарушить репродуктивные функции женщины, что приведет к бесплодию, нарушению менструального цикла и дистресс плода. Рекомендуется, при возможности отложить беременность, особенно для молодых женщин фертильного возраста. Кроме того, постоянно уделять пристальное внимание положению беременных и плодов, для принятия своевременной меры и решать вопрос кормления новорожденных [50-52].</w:t>
      </w:r>
    </w:p>
    <w:p w14:paraId="46E0AFC9" w14:textId="77777777" w:rsidR="009211A6" w:rsidRPr="004135FE" w:rsidRDefault="009211A6" w:rsidP="004135FE">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СД2т связан с более высоким риском тяжелого течения вирусной инфекции и смертностью. Следовательно, это необходимо для защиты популяции с СД2т от заражения COVID-19. Между тем для улучшения прогноза пациентам с диабетом и COVID-19 требуется особый уход и наблюдение, который опирается на знания о существующих фактов и статистики. </w:t>
      </w:r>
    </w:p>
    <w:p w14:paraId="34C490A8" w14:textId="77777777" w:rsidR="009211A6" w:rsidRPr="004135FE" w:rsidRDefault="009211A6"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Основная часть бремени СД2т обусловлена изменяемыми факторами риска, что требует незамедлительно разработать новые стратегии борьбы с СД2т на уровне правительства стран и министерств. Необходимо изменить нездоровый образ жизни, обеспечить эффективный контроль людей с ожирением, бороться с факторами риска развития СД2т, тем самым снизить заболеваемость диабетом, выделить необходимые медицинские ресурсы, обновить клинические рекомендации. Для получения оптимальных результатов в борьбе с СД2т и оказания медицинской помощи пациентам, необходимо развить межсекторальное сотрудничество </w:t>
      </w:r>
      <w:r w:rsidRPr="004135FE">
        <w:rPr>
          <w:rFonts w:ascii="Times New Roman" w:hAnsi="Times New Roman" w:cs="Times New Roman"/>
          <w:sz w:val="28"/>
          <w:szCs w:val="28"/>
        </w:rPr>
        <w:t xml:space="preserve">[53,54]. </w:t>
      </w:r>
    </w:p>
    <w:p w14:paraId="73EE4050" w14:textId="77777777" w:rsidR="009211A6" w:rsidRPr="004135FE" w:rsidRDefault="009211A6" w:rsidP="004135FE">
      <w:pPr>
        <w:autoSpaceDE w:val="0"/>
        <w:autoSpaceDN w:val="0"/>
        <w:adjustRightInd w:val="0"/>
        <w:spacing w:after="0" w:line="240" w:lineRule="auto"/>
        <w:jc w:val="both"/>
        <w:rPr>
          <w:rFonts w:ascii="Times New Roman" w:eastAsiaTheme="minorHAnsi" w:hAnsi="Times New Roman" w:cs="Times New Roman"/>
          <w:b/>
          <w:sz w:val="28"/>
          <w:szCs w:val="28"/>
          <w:lang w:eastAsia="en-US"/>
        </w:rPr>
      </w:pPr>
    </w:p>
    <w:p w14:paraId="54AFE3F3" w14:textId="262215B0" w:rsidR="009211A6" w:rsidRPr="004135FE" w:rsidRDefault="00856043" w:rsidP="00856043">
      <w:pPr>
        <w:pStyle w:val="a3"/>
        <w:tabs>
          <w:tab w:val="left" w:pos="993"/>
          <w:tab w:val="left" w:pos="1134"/>
        </w:tabs>
        <w:autoSpaceDE w:val="0"/>
        <w:autoSpaceDN w:val="0"/>
        <w:adjustRightInd w:val="0"/>
        <w:spacing w:after="0" w:line="240" w:lineRule="auto"/>
        <w:ind w:left="0" w:firstLine="709"/>
        <w:jc w:val="both"/>
        <w:rPr>
          <w:rFonts w:ascii="Times New Roman" w:eastAsiaTheme="minorHAnsi" w:hAnsi="Times New Roman" w:cs="Times New Roman"/>
          <w:b/>
          <w:sz w:val="28"/>
          <w:szCs w:val="28"/>
          <w:lang w:eastAsia="en-US"/>
        </w:rPr>
      </w:pPr>
      <w:r>
        <w:rPr>
          <w:rFonts w:ascii="Times New Roman" w:eastAsiaTheme="minorHAnsi" w:hAnsi="Times New Roman" w:cs="Times New Roman"/>
          <w:b/>
          <w:sz w:val="28"/>
          <w:szCs w:val="28"/>
          <w:lang w:eastAsia="en-US"/>
        </w:rPr>
        <w:t>1.2</w:t>
      </w:r>
      <w:r w:rsidR="003F1FE6">
        <w:rPr>
          <w:rFonts w:ascii="Times New Roman" w:eastAsiaTheme="minorHAnsi" w:hAnsi="Times New Roman" w:cs="Times New Roman"/>
          <w:b/>
          <w:sz w:val="28"/>
          <w:szCs w:val="28"/>
          <w:lang w:eastAsia="en-US"/>
        </w:rPr>
        <w:t xml:space="preserve"> </w:t>
      </w:r>
      <w:r w:rsidR="009211A6" w:rsidRPr="004135FE">
        <w:rPr>
          <w:rFonts w:ascii="Times New Roman" w:eastAsiaTheme="minorHAnsi" w:hAnsi="Times New Roman" w:cs="Times New Roman"/>
          <w:b/>
          <w:sz w:val="28"/>
          <w:szCs w:val="28"/>
          <w:lang w:eastAsia="en-US"/>
        </w:rPr>
        <w:t>Концептуальные основы Всемирной Организации Здравоохранения по межсекторальному сотрудничеству и сахарному диабету 2 типа</w:t>
      </w:r>
    </w:p>
    <w:p w14:paraId="7AC8B8CA" w14:textId="319BDBE8"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Межсекторальное сотрудничество в Национальных стратегиях по достижению здоровья было ранее обсуждена на тридцать девятой сессии Всемирной ассамблеи здравоохранения, признавая, что факторы, оказывающие влияние на здоровье, встречаются во всех основных секторах развития напоминая, как отмечено в Алма-Атинской декларации о ПМСП, что существующие различия в уровнях здоровья между социально-экономическими группами являются неприемлемыми с политической, социальной и экономической точек зрения [55]. В Алма-Атинской деклараций</w:t>
      </w:r>
      <w:r w:rsidRPr="004135FE">
        <w:rPr>
          <w:rFonts w:ascii="Times New Roman" w:hAnsi="Times New Roman" w:cs="Times New Roman"/>
          <w:sz w:val="28"/>
          <w:szCs w:val="28"/>
          <w:shd w:val="clear" w:color="auto" w:fill="FFFFFF"/>
        </w:rPr>
        <w:t xml:space="preserve"> 1978г в целях охраны и укрепления здоровья всех народов мира</w:t>
      </w:r>
      <w:r w:rsidRPr="004135FE">
        <w:rPr>
          <w:rFonts w:ascii="Times New Roman" w:hAnsi="Times New Roman" w:cs="Times New Roman"/>
          <w:sz w:val="28"/>
          <w:szCs w:val="28"/>
        </w:rPr>
        <w:t xml:space="preserve"> призывал к сотрудничеству на многосторонней и двусторонней основе, неправительственные организации, финансирующие агентства, всех </w:t>
      </w:r>
      <w:r w:rsidRPr="004135FE">
        <w:rPr>
          <w:rFonts w:ascii="Times New Roman" w:hAnsi="Times New Roman" w:cs="Times New Roman"/>
          <w:sz w:val="28"/>
          <w:szCs w:val="28"/>
        </w:rPr>
        <w:lastRenderedPageBreak/>
        <w:t>работников здравоохранения и всю мировую общественность поддерживать национальные и международные обязательства в области ПМСП и оказывать ей все большую техническую и финансовую поддержку, особенно в развивающихся странах [56, 57]</w:t>
      </w:r>
      <w:r w:rsidR="00335450">
        <w:rPr>
          <w:rFonts w:ascii="Times New Roman" w:hAnsi="Times New Roman" w:cs="Times New Roman"/>
          <w:sz w:val="28"/>
          <w:szCs w:val="28"/>
        </w:rPr>
        <w:t>.</w:t>
      </w:r>
      <w:r w:rsidRPr="004135FE">
        <w:rPr>
          <w:rFonts w:ascii="Times New Roman" w:hAnsi="Times New Roman" w:cs="Times New Roman"/>
          <w:sz w:val="28"/>
          <w:szCs w:val="28"/>
        </w:rPr>
        <w:t xml:space="preserve"> </w:t>
      </w:r>
    </w:p>
    <w:p w14:paraId="01662395" w14:textId="77777777"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b/>
          <w:caps/>
          <w:sz w:val="28"/>
          <w:szCs w:val="28"/>
        </w:rPr>
      </w:pPr>
      <w:r w:rsidRPr="004135FE">
        <w:rPr>
          <w:rFonts w:ascii="Times New Roman" w:hAnsi="Times New Roman" w:cs="Times New Roman"/>
          <w:sz w:val="28"/>
          <w:szCs w:val="28"/>
        </w:rPr>
        <w:t xml:space="preserve">ПМСП является одним из основных путей интегрирования услуг общественного здравоохранения и профилактических услуг в систему медицинской помощи и увязки с более широкой системой здравоохранения </w:t>
      </w:r>
      <w:r w:rsidRPr="004135FE">
        <w:rPr>
          <w:rFonts w:ascii="Times New Roman" w:eastAsia="Times New Roman" w:hAnsi="Times New Roman" w:cs="Times New Roman"/>
          <w:sz w:val="28"/>
          <w:szCs w:val="28"/>
        </w:rPr>
        <w:t>[58-60].</w:t>
      </w:r>
    </w:p>
    <w:p w14:paraId="466FCAE5" w14:textId="76775EDF" w:rsidR="009211A6" w:rsidRPr="004135FE" w:rsidRDefault="009211A6" w:rsidP="00CE1673">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К основным международным документам по межсекторальному сотрудничеству относятся:</w:t>
      </w:r>
    </w:p>
    <w:p w14:paraId="49C77CC6" w14:textId="6D4A0652" w:rsidR="009211A6" w:rsidRPr="004135FE" w:rsidRDefault="009211A6" w:rsidP="00CE1673">
      <w:pPr>
        <w:pStyle w:val="a3"/>
        <w:numPr>
          <w:ilvl w:val="0"/>
          <w:numId w:val="68"/>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Алма-Атинская декларация 1978 года</w:t>
      </w:r>
      <w:r w:rsidR="00CE1673">
        <w:rPr>
          <w:rFonts w:ascii="Times New Roman" w:hAnsi="Times New Roman" w:cs="Times New Roman"/>
          <w:sz w:val="28"/>
          <w:szCs w:val="28"/>
        </w:rPr>
        <w:t>;</w:t>
      </w:r>
    </w:p>
    <w:p w14:paraId="050A851C" w14:textId="4BE1688E" w:rsidR="009211A6" w:rsidRPr="004135FE" w:rsidRDefault="009211A6" w:rsidP="00CE1673">
      <w:pPr>
        <w:pStyle w:val="a3"/>
        <w:numPr>
          <w:ilvl w:val="0"/>
          <w:numId w:val="68"/>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Оттавская Хартия по укреплению здоровья 1986 года</w:t>
      </w:r>
      <w:r w:rsidR="00CE1673">
        <w:rPr>
          <w:rFonts w:ascii="Times New Roman" w:hAnsi="Times New Roman" w:cs="Times New Roman"/>
          <w:sz w:val="28"/>
          <w:szCs w:val="28"/>
        </w:rPr>
        <w:t>;</w:t>
      </w:r>
    </w:p>
    <w:p w14:paraId="7FA13A17" w14:textId="2174F7AA" w:rsidR="009211A6" w:rsidRPr="004135FE" w:rsidRDefault="009211A6" w:rsidP="00CE1673">
      <w:pPr>
        <w:pStyle w:val="a3"/>
        <w:numPr>
          <w:ilvl w:val="0"/>
          <w:numId w:val="68"/>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Европейская хартия по борьбе с ожирением 2006 года</w:t>
      </w:r>
      <w:r w:rsidR="00CE1673">
        <w:rPr>
          <w:rFonts w:ascii="Times New Roman" w:hAnsi="Times New Roman" w:cs="Times New Roman"/>
          <w:sz w:val="28"/>
          <w:szCs w:val="28"/>
        </w:rPr>
        <w:t>;</w:t>
      </w:r>
    </w:p>
    <w:p w14:paraId="673E8A07" w14:textId="1F4DF3B3" w:rsidR="009211A6" w:rsidRPr="004135FE" w:rsidRDefault="009211A6" w:rsidP="00CE1673">
      <w:pPr>
        <w:pStyle w:val="a3"/>
        <w:numPr>
          <w:ilvl w:val="0"/>
          <w:numId w:val="68"/>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eastAsiaTheme="minorHAnsi" w:hAnsi="Times New Roman" w:cs="Times New Roman"/>
          <w:bCs/>
          <w:sz w:val="28"/>
          <w:szCs w:val="28"/>
          <w:lang w:eastAsia="en-US"/>
        </w:rPr>
        <w:t>Резолюция ООН по сахарному диабету 61/225,</w:t>
      </w:r>
      <w:r w:rsidRPr="004135FE">
        <w:rPr>
          <w:rFonts w:ascii="Times New Roman" w:eastAsiaTheme="minorHAnsi" w:hAnsi="Times New Roman" w:cs="Times New Roman"/>
          <w:b/>
          <w:bCs/>
          <w:sz w:val="28"/>
          <w:szCs w:val="28"/>
          <w:lang w:eastAsia="en-US"/>
        </w:rPr>
        <w:t xml:space="preserve"> </w:t>
      </w:r>
      <w:r w:rsidRPr="004135FE">
        <w:rPr>
          <w:rFonts w:ascii="Times New Roman" w:hAnsi="Times New Roman" w:cs="Times New Roman"/>
          <w:sz w:val="28"/>
          <w:szCs w:val="28"/>
        </w:rPr>
        <w:t>2006 года</w:t>
      </w:r>
      <w:r w:rsidR="00CE1673">
        <w:rPr>
          <w:rFonts w:ascii="Times New Roman" w:hAnsi="Times New Roman" w:cs="Times New Roman"/>
          <w:sz w:val="28"/>
          <w:szCs w:val="28"/>
        </w:rPr>
        <w:t>;</w:t>
      </w:r>
    </w:p>
    <w:p w14:paraId="65420A2E" w14:textId="0A2AB125" w:rsidR="009211A6" w:rsidRPr="004135FE" w:rsidRDefault="009211A6" w:rsidP="00CE1673">
      <w:pPr>
        <w:pStyle w:val="a3"/>
        <w:numPr>
          <w:ilvl w:val="0"/>
          <w:numId w:val="68"/>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Торонтская хартия о физической активности: глобальный призыв к действию 2010 года</w:t>
      </w:r>
      <w:r w:rsidR="00CE1673">
        <w:rPr>
          <w:rFonts w:ascii="Times New Roman" w:hAnsi="Times New Roman" w:cs="Times New Roman"/>
          <w:sz w:val="28"/>
          <w:szCs w:val="28"/>
        </w:rPr>
        <w:t>;</w:t>
      </w:r>
    </w:p>
    <w:p w14:paraId="318D662C" w14:textId="373ED0A3" w:rsidR="009211A6" w:rsidRPr="004135FE" w:rsidRDefault="009211A6" w:rsidP="00CE1673">
      <w:pPr>
        <w:pStyle w:val="a3"/>
        <w:numPr>
          <w:ilvl w:val="0"/>
          <w:numId w:val="68"/>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Рио-де-Жанейрская политическая декларация по социальным детерминантам здоровья 2011 года</w:t>
      </w:r>
      <w:r w:rsidR="00CE1673">
        <w:rPr>
          <w:rFonts w:ascii="Times New Roman" w:hAnsi="Times New Roman" w:cs="Times New Roman"/>
          <w:sz w:val="28"/>
          <w:szCs w:val="28"/>
        </w:rPr>
        <w:t>;</w:t>
      </w:r>
    </w:p>
    <w:p w14:paraId="18956933" w14:textId="7FD6C598" w:rsidR="009211A6" w:rsidRPr="004135FE" w:rsidRDefault="009211A6" w:rsidP="00CE1673">
      <w:pPr>
        <w:pStyle w:val="a3"/>
        <w:numPr>
          <w:ilvl w:val="0"/>
          <w:numId w:val="68"/>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Хельсинская декларация 2013 года («Здоровье во всех стратегиях»)</w:t>
      </w:r>
      <w:r w:rsidR="00CE1673">
        <w:rPr>
          <w:rFonts w:ascii="Times New Roman" w:hAnsi="Times New Roman" w:cs="Times New Roman"/>
          <w:sz w:val="28"/>
          <w:szCs w:val="28"/>
        </w:rPr>
        <w:t>;</w:t>
      </w:r>
      <w:r w:rsidRPr="004135FE">
        <w:rPr>
          <w:rFonts w:ascii="Times New Roman" w:hAnsi="Times New Roman" w:cs="Times New Roman"/>
          <w:sz w:val="28"/>
          <w:szCs w:val="28"/>
        </w:rPr>
        <w:t xml:space="preserve"> </w:t>
      </w:r>
    </w:p>
    <w:p w14:paraId="36F17A62" w14:textId="2DA45C6B" w:rsidR="009211A6" w:rsidRPr="004135FE" w:rsidRDefault="009211A6" w:rsidP="00CE1673">
      <w:pPr>
        <w:pStyle w:val="a3"/>
        <w:numPr>
          <w:ilvl w:val="0"/>
          <w:numId w:val="68"/>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Политика «Здоровье 2020»</w:t>
      </w:r>
      <w:r w:rsidR="00CE1673">
        <w:rPr>
          <w:rFonts w:ascii="Times New Roman" w:hAnsi="Times New Roman" w:cs="Times New Roman"/>
          <w:sz w:val="28"/>
          <w:szCs w:val="28"/>
        </w:rPr>
        <w:t>;</w:t>
      </w:r>
      <w:r w:rsidRPr="004135FE">
        <w:rPr>
          <w:rFonts w:ascii="Times New Roman" w:hAnsi="Times New Roman" w:cs="Times New Roman"/>
          <w:sz w:val="28"/>
          <w:szCs w:val="28"/>
        </w:rPr>
        <w:t xml:space="preserve"> </w:t>
      </w:r>
    </w:p>
    <w:p w14:paraId="68F0C58F" w14:textId="157A3F94" w:rsidR="009211A6" w:rsidRPr="004135FE" w:rsidRDefault="009211A6" w:rsidP="00CE1673">
      <w:pPr>
        <w:pStyle w:val="a3"/>
        <w:numPr>
          <w:ilvl w:val="0"/>
          <w:numId w:val="68"/>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Глобальный план действий по профилактике и контролю неинфекционных заболеваний на 2013-2020 гг.</w:t>
      </w:r>
      <w:r w:rsidR="00CE1673">
        <w:rPr>
          <w:rFonts w:ascii="Times New Roman" w:hAnsi="Times New Roman" w:cs="Times New Roman"/>
          <w:sz w:val="28"/>
          <w:szCs w:val="28"/>
        </w:rPr>
        <w:t>;</w:t>
      </w:r>
      <w:r w:rsidRPr="004135FE">
        <w:rPr>
          <w:rFonts w:ascii="Times New Roman" w:hAnsi="Times New Roman" w:cs="Times New Roman"/>
          <w:sz w:val="28"/>
          <w:szCs w:val="28"/>
        </w:rPr>
        <w:t xml:space="preserve"> </w:t>
      </w:r>
    </w:p>
    <w:p w14:paraId="77D7F57C" w14:textId="433329DC" w:rsidR="009211A6" w:rsidRPr="004135FE" w:rsidRDefault="009211A6" w:rsidP="00CE1673">
      <w:pPr>
        <w:pStyle w:val="a3"/>
        <w:numPr>
          <w:ilvl w:val="0"/>
          <w:numId w:val="68"/>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План действий по профилактике и борьбе с неинфекционными заболеваниями в Европейском регионе ВОЗ, 2016–2025 гг</w:t>
      </w:r>
      <w:r w:rsidR="00CE1673">
        <w:rPr>
          <w:rFonts w:ascii="Times New Roman" w:hAnsi="Times New Roman" w:cs="Times New Roman"/>
          <w:sz w:val="28"/>
          <w:szCs w:val="28"/>
        </w:rPr>
        <w:t xml:space="preserve">. </w:t>
      </w:r>
    </w:p>
    <w:p w14:paraId="32F17D86" w14:textId="2DC64978" w:rsidR="009211A6" w:rsidRPr="004135FE" w:rsidRDefault="009211A6" w:rsidP="004135FE">
      <w:pPr>
        <w:pStyle w:val="af"/>
        <w:spacing w:before="0" w:beforeAutospacing="0" w:after="0" w:afterAutospacing="0"/>
        <w:ind w:firstLine="708"/>
        <w:jc w:val="both"/>
        <w:rPr>
          <w:sz w:val="28"/>
          <w:szCs w:val="28"/>
        </w:rPr>
      </w:pPr>
      <w:r w:rsidRPr="004135FE">
        <w:rPr>
          <w:sz w:val="28"/>
          <w:szCs w:val="28"/>
        </w:rPr>
        <w:t>Базируясь на прогрессе, достигнутом в Алма-Атинской декларации по ПМСП, благодаря которой впервые право на здоровье признано всеми государствами, в документе ВОЗ «Цели достижения здоровья для всех» и обсуждениях на Всемирной ассамблее здравоохранения межсекторальных действий в интересах здоровья в 1986</w:t>
      </w:r>
      <w:r w:rsidR="00CE1673">
        <w:rPr>
          <w:sz w:val="28"/>
          <w:szCs w:val="28"/>
        </w:rPr>
        <w:t xml:space="preserve"> </w:t>
      </w:r>
      <w:r w:rsidRPr="004135FE">
        <w:rPr>
          <w:sz w:val="28"/>
          <w:szCs w:val="28"/>
        </w:rPr>
        <w:t>г</w:t>
      </w:r>
      <w:r w:rsidR="00CE1673">
        <w:rPr>
          <w:sz w:val="28"/>
          <w:szCs w:val="28"/>
        </w:rPr>
        <w:t>оду</w:t>
      </w:r>
      <w:r w:rsidRPr="004135FE">
        <w:rPr>
          <w:sz w:val="28"/>
          <w:szCs w:val="28"/>
        </w:rPr>
        <w:t xml:space="preserve"> Первая Международная конференция по укреплению здоровья представила Оттавскую Хартию, где здоровье рассматривается как ресурс повседневной жизни, а не цель жизни. Укрепление здоровья</w:t>
      </w:r>
      <w:r w:rsidR="00CE1673">
        <w:rPr>
          <w:sz w:val="28"/>
          <w:szCs w:val="28"/>
        </w:rPr>
        <w:t xml:space="preserve"> </w:t>
      </w:r>
      <w:r w:rsidRPr="004135FE">
        <w:rPr>
          <w:sz w:val="28"/>
          <w:szCs w:val="28"/>
        </w:rPr>
        <w:t>-</w:t>
      </w:r>
      <w:r w:rsidR="00CE1673">
        <w:rPr>
          <w:sz w:val="28"/>
          <w:szCs w:val="28"/>
        </w:rPr>
        <w:t xml:space="preserve"> </w:t>
      </w:r>
      <w:r w:rsidRPr="004135FE">
        <w:rPr>
          <w:sz w:val="28"/>
          <w:szCs w:val="28"/>
        </w:rPr>
        <w:t>это ответственность не только сектора здравоохранения, но и выходит за рамки ЗОЖ и обеспечивает благополучие. Данный документ призывает к улучшению благосостояния людей и снижение факторов рисков, связанных с употреблением табака, алкоголя и недостаточной физической активностью, тем самым способствуя улучшению здоровья населения, путем разработки и внедрения сквозных нормативных, налоговых и правовых мер и инструментов развития потенциала. Так же, показывая путь к глобальному здоровью с помощью санитарной грамотности, стратегий взаимодействия с сообществами и надлежащего управления в интересах здоровья, а также содействиям функции общественного здравоохранения в условиях повседневной жизни [61]</w:t>
      </w:r>
      <w:r w:rsidR="00CE1673">
        <w:rPr>
          <w:sz w:val="28"/>
          <w:szCs w:val="28"/>
        </w:rPr>
        <w:t>.</w:t>
      </w:r>
      <w:r w:rsidRPr="004135FE">
        <w:rPr>
          <w:sz w:val="28"/>
          <w:szCs w:val="28"/>
        </w:rPr>
        <w:t xml:space="preserve">  </w:t>
      </w:r>
    </w:p>
    <w:p w14:paraId="756951AC" w14:textId="77777777" w:rsidR="009211A6" w:rsidRPr="004135FE" w:rsidRDefault="009211A6" w:rsidP="00CE1673">
      <w:pPr>
        <w:pStyle w:val="af"/>
        <w:shd w:val="clear" w:color="auto" w:fill="FFFFFF"/>
        <w:spacing w:before="0" w:beforeAutospacing="0" w:after="0" w:afterAutospacing="0"/>
        <w:ind w:firstLine="708"/>
        <w:jc w:val="both"/>
        <w:rPr>
          <w:sz w:val="28"/>
          <w:szCs w:val="28"/>
        </w:rPr>
      </w:pPr>
      <w:r w:rsidRPr="004135FE">
        <w:rPr>
          <w:sz w:val="28"/>
          <w:szCs w:val="28"/>
        </w:rPr>
        <w:lastRenderedPageBreak/>
        <w:t>Далее были приняты ряд международных документов по межсекторальному развитию от Оттавской хартии – к стратегии Здоровье-2020, для сохранения и улучшения здоровья населения [62].</w:t>
      </w:r>
    </w:p>
    <w:p w14:paraId="646F2513" w14:textId="3E5983E3" w:rsidR="009211A6" w:rsidRPr="004135FE" w:rsidRDefault="009211A6" w:rsidP="00CE1673">
      <w:pPr>
        <w:pStyle w:val="a3"/>
        <w:autoSpaceDE w:val="0"/>
        <w:autoSpaceDN w:val="0"/>
        <w:adjustRightInd w:val="0"/>
        <w:spacing w:after="0" w:line="240" w:lineRule="auto"/>
        <w:ind w:left="0" w:firstLine="708"/>
        <w:jc w:val="both"/>
        <w:rPr>
          <w:rFonts w:ascii="Times New Roman" w:hAnsi="Times New Roman" w:cs="Times New Roman"/>
          <w:b/>
          <w:sz w:val="28"/>
          <w:szCs w:val="28"/>
        </w:rPr>
      </w:pPr>
      <w:r w:rsidRPr="004135FE">
        <w:rPr>
          <w:rFonts w:ascii="Times New Roman" w:eastAsiaTheme="minorHAnsi" w:hAnsi="Times New Roman" w:cs="Times New Roman"/>
          <w:sz w:val="28"/>
          <w:szCs w:val="28"/>
          <w:lang w:eastAsia="en-US"/>
        </w:rPr>
        <w:t xml:space="preserve">В 9-ой </w:t>
      </w:r>
      <w:r w:rsidRPr="004135FE">
        <w:rPr>
          <w:rFonts w:ascii="Times New Roman" w:hAnsi="Times New Roman" w:cs="Times New Roman"/>
          <w:sz w:val="28"/>
          <w:szCs w:val="28"/>
        </w:rPr>
        <w:t>Глобальной конференции по укреплению здоровья</w:t>
      </w:r>
      <w:r w:rsidRPr="004135FE">
        <w:rPr>
          <w:rFonts w:ascii="Times New Roman" w:eastAsiaTheme="minorHAnsi" w:hAnsi="Times New Roman" w:cs="Times New Roman"/>
          <w:sz w:val="28"/>
          <w:szCs w:val="28"/>
          <w:lang w:eastAsia="en-US"/>
        </w:rPr>
        <w:t xml:space="preserve">, в Шанхайской декларации призывают политических лидеров из разных секторов и на разных государственных уровнях, представляющих частный сектор и гражданское общество стран участников взять обязательство ускорить достижение </w:t>
      </w:r>
      <w:r w:rsidRPr="004135FE">
        <w:rPr>
          <w:rFonts w:ascii="Times New Roman" w:hAnsi="Times New Roman" w:cs="Times New Roman"/>
          <w:sz w:val="28"/>
          <w:szCs w:val="28"/>
        </w:rPr>
        <w:t>Целей устойчивого развития</w:t>
      </w:r>
      <w:r w:rsidRPr="004135FE">
        <w:rPr>
          <w:rFonts w:ascii="Times New Roman" w:eastAsiaTheme="minorHAnsi" w:hAnsi="Times New Roman" w:cs="Times New Roman"/>
          <w:sz w:val="28"/>
          <w:szCs w:val="28"/>
          <w:lang w:eastAsia="en-US"/>
        </w:rPr>
        <w:t xml:space="preserve"> (ЦУР) путем усиления политической приверженности и расширения финансовых инвестиций в укрепление здоровья. Обеспечить здоровый образ жизни и содействовать благополучию для всех в любом возрасте можно только путем </w:t>
      </w:r>
      <w:r w:rsidRPr="00CE1673">
        <w:rPr>
          <w:rFonts w:ascii="Times New Roman" w:eastAsiaTheme="minorHAnsi" w:hAnsi="Times New Roman" w:cs="Times New Roman"/>
          <w:i/>
          <w:iCs/>
          <w:sz w:val="28"/>
          <w:szCs w:val="28"/>
          <w:lang w:eastAsia="en-US"/>
        </w:rPr>
        <w:t>укрепления здоровья в рамках всех ЦУР</w:t>
      </w:r>
      <w:r w:rsidRPr="004135FE">
        <w:rPr>
          <w:rFonts w:ascii="Times New Roman" w:eastAsiaTheme="minorHAnsi" w:hAnsi="Times New Roman" w:cs="Times New Roman"/>
          <w:b/>
          <w:bCs/>
          <w:i/>
          <w:iCs/>
          <w:sz w:val="28"/>
          <w:szCs w:val="28"/>
          <w:lang w:eastAsia="en-US"/>
        </w:rPr>
        <w:t xml:space="preserve"> </w:t>
      </w:r>
      <w:r w:rsidRPr="004135FE">
        <w:rPr>
          <w:rFonts w:ascii="Times New Roman" w:eastAsiaTheme="minorHAnsi" w:hAnsi="Times New Roman" w:cs="Times New Roman"/>
          <w:sz w:val="28"/>
          <w:szCs w:val="28"/>
          <w:lang w:eastAsia="en-US"/>
        </w:rPr>
        <w:t xml:space="preserve">и привлечения всего общества к процессу развития здравоохранения. Компасом являются Оттавская хартия, призывающая к решительным действиям в отношении всех детерминант здоровья, наделение людей правами и возможностями лучше контролировать свое здоровье и обеспечение социальной ориентации систем здравоохранения </w:t>
      </w:r>
      <w:r w:rsidRPr="004135FE">
        <w:rPr>
          <w:rFonts w:ascii="Times New Roman" w:hAnsi="Times New Roman" w:cs="Times New Roman"/>
          <w:sz w:val="28"/>
          <w:szCs w:val="28"/>
        </w:rPr>
        <w:t>[63]</w:t>
      </w:r>
      <w:r w:rsidR="005D3980">
        <w:rPr>
          <w:rFonts w:ascii="Times New Roman" w:hAnsi="Times New Roman" w:cs="Times New Roman"/>
          <w:sz w:val="28"/>
          <w:szCs w:val="28"/>
        </w:rPr>
        <w:t>.</w:t>
      </w:r>
      <w:r w:rsidRPr="004135FE">
        <w:rPr>
          <w:rFonts w:ascii="Times New Roman" w:hAnsi="Times New Roman" w:cs="Times New Roman"/>
          <w:sz w:val="28"/>
          <w:szCs w:val="28"/>
        </w:rPr>
        <w:t xml:space="preserve"> </w:t>
      </w:r>
    </w:p>
    <w:p w14:paraId="16EE31D5" w14:textId="77777777" w:rsidR="009211A6" w:rsidRPr="004135FE" w:rsidRDefault="009211A6" w:rsidP="00CE1673">
      <w:pPr>
        <w:autoSpaceDE w:val="0"/>
        <w:autoSpaceDN w:val="0"/>
        <w:adjustRightInd w:val="0"/>
        <w:spacing w:after="0" w:line="240" w:lineRule="auto"/>
        <w:ind w:firstLine="708"/>
        <w:jc w:val="both"/>
        <w:rPr>
          <w:rFonts w:ascii="Times New Roman" w:eastAsia="TimesNewRomanPSMT" w:hAnsi="Times New Roman" w:cs="Times New Roman"/>
          <w:sz w:val="28"/>
          <w:szCs w:val="28"/>
        </w:rPr>
      </w:pPr>
      <w:r w:rsidRPr="004135FE">
        <w:rPr>
          <w:rFonts w:ascii="Times New Roman" w:eastAsia="TimesNewRomanPSMT" w:hAnsi="Times New Roman" w:cs="Times New Roman"/>
          <w:sz w:val="28"/>
          <w:szCs w:val="28"/>
        </w:rPr>
        <w:t xml:space="preserve">Межсекторальное взаимодействие несет в себе большой потенциал для разработки и осуществления стратегий в интересах здоровья и благополучия больных с СД2т. Оно играет решающую роль в том, чтобы дать сектору здравоохранения возможность и стимул для оказания максимального содействия устойчивому развитию. </w:t>
      </w:r>
      <w:r w:rsidRPr="004135FE">
        <w:rPr>
          <w:rFonts w:ascii="Times New Roman" w:eastAsiaTheme="minorHAnsi" w:hAnsi="Times New Roman" w:cs="Times New Roman"/>
          <w:bCs/>
          <w:sz w:val="28"/>
          <w:szCs w:val="28"/>
          <w:lang w:eastAsia="en-US"/>
        </w:rPr>
        <w:t>Отправная точка лечения диабета должна находиться на уровне ПМСП,</w:t>
      </w:r>
      <w:r w:rsidRPr="004135FE">
        <w:rPr>
          <w:rFonts w:ascii="Times New Roman" w:eastAsiaTheme="minorHAnsi" w:hAnsi="Times New Roman" w:cs="Times New Roman"/>
          <w:b/>
          <w:bCs/>
          <w:sz w:val="28"/>
          <w:szCs w:val="28"/>
          <w:lang w:eastAsia="en-US"/>
        </w:rPr>
        <w:t xml:space="preserve"> </w:t>
      </w:r>
      <w:r w:rsidRPr="004135FE">
        <w:rPr>
          <w:rFonts w:ascii="Times New Roman" w:eastAsia="ArialMT" w:hAnsi="Times New Roman" w:cs="Times New Roman"/>
          <w:sz w:val="28"/>
          <w:szCs w:val="28"/>
          <w:lang w:eastAsia="en-US"/>
        </w:rPr>
        <w:t xml:space="preserve">которая предоставляет профилактические и лечебные услуги каждому человеку на протяжении всей жизни, обеспечивая эффективный мониторинг состояния здоровья, диагностику и уход. </w:t>
      </w:r>
    </w:p>
    <w:p w14:paraId="4AFA6962" w14:textId="77777777" w:rsidR="009211A6" w:rsidRPr="004135FE" w:rsidRDefault="009211A6" w:rsidP="00CE1673">
      <w:pPr>
        <w:spacing w:after="0" w:line="240" w:lineRule="auto"/>
        <w:ind w:firstLine="708"/>
        <w:jc w:val="both"/>
        <w:rPr>
          <w:rFonts w:ascii="Times New Roman" w:hAnsi="Times New Roman" w:cs="Times New Roman"/>
          <w:b/>
          <w:bCs/>
          <w:sz w:val="28"/>
          <w:szCs w:val="28"/>
          <w:shd w:val="clear" w:color="auto" w:fill="FFFFFF"/>
        </w:rPr>
      </w:pPr>
      <w:r w:rsidRPr="004135FE">
        <w:rPr>
          <w:rFonts w:ascii="Times New Roman" w:hAnsi="Times New Roman" w:cs="Times New Roman"/>
          <w:sz w:val="28"/>
          <w:szCs w:val="28"/>
        </w:rPr>
        <w:t xml:space="preserve">Высокая заболеваемость диабетом создает дополнительную нагрузку на систему здравоохранения и экономику в целом, что привела к принятию следующих </w:t>
      </w:r>
      <w:r w:rsidRPr="004135FE">
        <w:rPr>
          <w:rFonts w:ascii="Times New Roman" w:eastAsia="ArialMT" w:hAnsi="Times New Roman" w:cs="Times New Roman"/>
          <w:sz w:val="28"/>
          <w:szCs w:val="28"/>
          <w:lang w:eastAsia="en-US"/>
        </w:rPr>
        <w:t xml:space="preserve">международных обязательств. Программы по </w:t>
      </w:r>
      <w:r w:rsidRPr="004135FE">
        <w:rPr>
          <w:rFonts w:ascii="Times New Roman" w:hAnsi="Times New Roman" w:cs="Times New Roman"/>
          <w:sz w:val="28"/>
          <w:szCs w:val="28"/>
        </w:rPr>
        <w:t>профилактике и борьбе</w:t>
      </w:r>
      <w:r w:rsidRPr="004135FE">
        <w:rPr>
          <w:rFonts w:ascii="Times New Roman" w:eastAsia="ArialMT" w:hAnsi="Times New Roman" w:cs="Times New Roman"/>
          <w:sz w:val="28"/>
          <w:szCs w:val="28"/>
          <w:lang w:eastAsia="en-US"/>
        </w:rPr>
        <w:t xml:space="preserve"> СД2т с привлечением межсекторального сотрудничества на уровне ПМСП в основном приняты в составе Глобальных целевых программ по НИЗ. Это так же связано с тем, что гипергликемия</w:t>
      </w:r>
      <w:r w:rsidRPr="004135FE">
        <w:rPr>
          <w:rFonts w:ascii="Times New Roman" w:eastAsia="SourceSansPro-Light" w:hAnsi="Times New Roman" w:cs="Times New Roman"/>
          <w:sz w:val="28"/>
          <w:szCs w:val="28"/>
          <w:lang w:eastAsia="en-US"/>
        </w:rPr>
        <w:t xml:space="preserve"> признан одним из основных факторов, способствующий смертности от сердечно-сосудистых и других неинфекционных заболеваний, у которых пути решения профилактических мер сплетаются </w:t>
      </w:r>
      <w:r w:rsidRPr="004135FE">
        <w:rPr>
          <w:rStyle w:val="aa"/>
          <w:rFonts w:ascii="Times New Roman" w:hAnsi="Times New Roman" w:cs="Times New Roman"/>
          <w:b w:val="0"/>
          <w:sz w:val="28"/>
          <w:szCs w:val="28"/>
          <w:shd w:val="clear" w:color="auto" w:fill="FFFFFF"/>
        </w:rPr>
        <w:t>[64].</w:t>
      </w:r>
      <w:r w:rsidRPr="004135FE">
        <w:rPr>
          <w:rStyle w:val="aa"/>
          <w:rFonts w:ascii="Times New Roman" w:hAnsi="Times New Roman" w:cs="Times New Roman"/>
          <w:sz w:val="28"/>
          <w:szCs w:val="28"/>
          <w:shd w:val="clear" w:color="auto" w:fill="FFFFFF"/>
        </w:rPr>
        <w:t xml:space="preserve"> </w:t>
      </w:r>
      <w:r w:rsidRPr="004135FE">
        <w:rPr>
          <w:rFonts w:ascii="Times New Roman" w:eastAsia="ArialMT" w:hAnsi="Times New Roman" w:cs="Times New Roman"/>
          <w:sz w:val="28"/>
          <w:szCs w:val="28"/>
          <w:lang w:eastAsia="en-US"/>
        </w:rPr>
        <w:t>В хронологии:</w:t>
      </w:r>
    </w:p>
    <w:p w14:paraId="03A9A681" w14:textId="139AB80A" w:rsidR="009211A6" w:rsidRPr="004135FE" w:rsidRDefault="009211A6" w:rsidP="00E36920">
      <w:pPr>
        <w:pStyle w:val="a3"/>
        <w:numPr>
          <w:ilvl w:val="0"/>
          <w:numId w:val="69"/>
        </w:numPr>
        <w:tabs>
          <w:tab w:val="left" w:pos="993"/>
        </w:tabs>
        <w:autoSpaceDE w:val="0"/>
        <w:autoSpaceDN w:val="0"/>
        <w:adjustRightInd w:val="0"/>
        <w:spacing w:after="0" w:line="240" w:lineRule="auto"/>
        <w:ind w:left="0"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Ссылаясь на резолюции Всемирной ассамблеи здравоохранения WHA42.36 от 19 мая 1989 года о профилактике сахарного диабета и борьбе с ним [65], так же WHA57.17 от 22 мая 2004 года о глобальной стратегии по питанию, физической активности и здоровью в 83-м пленарном заседании [66],  20 декабря </w:t>
      </w:r>
      <w:r w:rsidRPr="00CE1673">
        <w:rPr>
          <w:rFonts w:ascii="Times New Roman" w:hAnsi="Times New Roman" w:cs="Times New Roman"/>
          <w:bCs/>
          <w:i/>
          <w:iCs/>
          <w:sz w:val="28"/>
          <w:szCs w:val="28"/>
        </w:rPr>
        <w:t xml:space="preserve">2006 года принята  </w:t>
      </w:r>
      <w:r w:rsidRPr="00CE1673">
        <w:rPr>
          <w:rFonts w:ascii="Times New Roman" w:eastAsiaTheme="minorHAnsi" w:hAnsi="Times New Roman" w:cs="Times New Roman"/>
          <w:bCs/>
          <w:i/>
          <w:iCs/>
          <w:sz w:val="28"/>
          <w:szCs w:val="28"/>
          <w:lang w:eastAsia="en-US"/>
        </w:rPr>
        <w:t>Резолюция ООН по сахарному диабету 61/225,</w:t>
      </w:r>
      <w:r w:rsidRPr="004135FE">
        <w:rPr>
          <w:rFonts w:ascii="Times New Roman" w:eastAsiaTheme="minorHAnsi" w:hAnsi="Times New Roman" w:cs="Times New Roman"/>
          <w:b/>
          <w:bCs/>
          <w:sz w:val="28"/>
          <w:szCs w:val="28"/>
          <w:lang w:eastAsia="en-US"/>
        </w:rPr>
        <w:t xml:space="preserve"> </w:t>
      </w:r>
      <w:r w:rsidRPr="004135FE">
        <w:rPr>
          <w:rFonts w:ascii="Times New Roman" w:eastAsiaTheme="minorHAnsi" w:hAnsi="Times New Roman" w:cs="Times New Roman"/>
          <w:bCs/>
          <w:sz w:val="28"/>
          <w:szCs w:val="28"/>
          <w:lang w:eastAsia="en-US"/>
        </w:rPr>
        <w:t>где д</w:t>
      </w:r>
      <w:r w:rsidRPr="004135FE">
        <w:rPr>
          <w:rFonts w:ascii="Times New Roman" w:eastAsia="ArialMT" w:hAnsi="Times New Roman" w:cs="Times New Roman"/>
          <w:sz w:val="28"/>
          <w:szCs w:val="28"/>
          <w:lang w:eastAsia="en-US"/>
        </w:rPr>
        <w:t xml:space="preserve">иабет признан хроническим, тяжело протекающим и требующим больших материальных затрат заболеванием, которое представляет серьезный риск для семей, государств-членов ООН и всего мира. Правительства впервые призвали разработать национальную политику профилактики, лечения и ухода </w:t>
      </w:r>
      <w:r w:rsidRPr="004135FE">
        <w:rPr>
          <w:rFonts w:ascii="Times New Roman" w:eastAsia="ArialMT" w:hAnsi="Times New Roman" w:cs="Times New Roman"/>
          <w:sz w:val="28"/>
          <w:szCs w:val="28"/>
          <w:lang w:eastAsia="en-US"/>
        </w:rPr>
        <w:lastRenderedPageBreak/>
        <w:t>в отношении диабета. Было провозглашено, что 14 ноября-</w:t>
      </w:r>
      <w:r w:rsidRPr="004135FE">
        <w:rPr>
          <w:rFonts w:ascii="Times New Roman" w:hAnsi="Times New Roman" w:cs="Times New Roman"/>
          <w:sz w:val="28"/>
          <w:szCs w:val="28"/>
        </w:rPr>
        <w:t xml:space="preserve"> </w:t>
      </w:r>
      <w:r w:rsidRPr="004135FE">
        <w:rPr>
          <w:rFonts w:ascii="Times New Roman" w:eastAsia="ArialMT" w:hAnsi="Times New Roman" w:cs="Times New Roman"/>
          <w:sz w:val="28"/>
          <w:szCs w:val="28"/>
          <w:lang w:eastAsia="en-US"/>
        </w:rPr>
        <w:t xml:space="preserve">Всемирный день диабета, напоминающий о масштабах распространенности СД </w:t>
      </w:r>
      <w:r w:rsidRPr="004135FE">
        <w:rPr>
          <w:rFonts w:ascii="Times New Roman" w:hAnsi="Times New Roman" w:cs="Times New Roman"/>
          <w:sz w:val="28"/>
          <w:szCs w:val="28"/>
        </w:rPr>
        <w:t>[67]</w:t>
      </w:r>
      <w:r w:rsidR="005D3980">
        <w:rPr>
          <w:rFonts w:ascii="Times New Roman" w:hAnsi="Times New Roman" w:cs="Times New Roman"/>
          <w:sz w:val="28"/>
          <w:szCs w:val="28"/>
        </w:rPr>
        <w:t>.</w:t>
      </w:r>
      <w:r w:rsidRPr="004135FE">
        <w:rPr>
          <w:rFonts w:ascii="Times New Roman" w:hAnsi="Times New Roman" w:cs="Times New Roman"/>
          <w:sz w:val="28"/>
          <w:szCs w:val="28"/>
        </w:rPr>
        <w:t xml:space="preserve">  </w:t>
      </w:r>
    </w:p>
    <w:p w14:paraId="1E65446F" w14:textId="0A3F9B67" w:rsidR="009211A6" w:rsidRPr="00E36920" w:rsidRDefault="009211A6" w:rsidP="00E36920">
      <w:pPr>
        <w:pStyle w:val="a3"/>
        <w:numPr>
          <w:ilvl w:val="0"/>
          <w:numId w:val="69"/>
        </w:numPr>
        <w:tabs>
          <w:tab w:val="left" w:pos="993"/>
        </w:tabs>
        <w:autoSpaceDE w:val="0"/>
        <w:autoSpaceDN w:val="0"/>
        <w:adjustRightInd w:val="0"/>
        <w:spacing w:after="0" w:line="240" w:lineRule="auto"/>
        <w:ind w:left="0" w:firstLine="708"/>
        <w:jc w:val="both"/>
        <w:rPr>
          <w:rFonts w:ascii="Times New Roman" w:eastAsiaTheme="minorHAnsi" w:hAnsi="Times New Roman" w:cs="Times New Roman"/>
          <w:sz w:val="28"/>
          <w:szCs w:val="28"/>
          <w:lang w:eastAsia="en-US"/>
        </w:rPr>
      </w:pPr>
      <w:r w:rsidRPr="00E36920">
        <w:rPr>
          <w:rFonts w:ascii="Times New Roman" w:eastAsiaTheme="minorHAnsi" w:hAnsi="Times New Roman" w:cs="Times New Roman"/>
          <w:bCs/>
          <w:sz w:val="28"/>
          <w:szCs w:val="28"/>
          <w:lang w:eastAsia="en-US"/>
        </w:rPr>
        <w:t>В 2011 г. прошло «Первое совещание высокого уровня ООН по НИЗ»</w:t>
      </w:r>
      <w:r w:rsidRPr="004135FE">
        <w:rPr>
          <w:rFonts w:ascii="Times New Roman" w:hAnsi="Times New Roman" w:cs="Times New Roman"/>
          <w:sz w:val="28"/>
          <w:szCs w:val="28"/>
          <w:shd w:val="clear" w:color="auto" w:fill="FFFFFF"/>
        </w:rPr>
        <w:t xml:space="preserve"> (Нью-Йорк, 19–20 сентября 2011г.)</w:t>
      </w:r>
      <w:r w:rsidRPr="004135FE">
        <w:rPr>
          <w:rFonts w:ascii="Times New Roman" w:eastAsiaTheme="minorHAnsi" w:hAnsi="Times New Roman" w:cs="Times New Roman"/>
          <w:b/>
          <w:bCs/>
          <w:sz w:val="28"/>
          <w:szCs w:val="28"/>
          <w:lang w:eastAsia="en-US"/>
        </w:rPr>
        <w:t xml:space="preserve"> </w:t>
      </w:r>
      <w:r w:rsidRPr="004135FE">
        <w:rPr>
          <w:rFonts w:ascii="Times New Roman" w:eastAsia="ArialMT" w:hAnsi="Times New Roman" w:cs="Times New Roman"/>
          <w:sz w:val="28"/>
          <w:szCs w:val="28"/>
          <w:lang w:eastAsia="en-US"/>
        </w:rPr>
        <w:t>К</w:t>
      </w:r>
      <w:r w:rsidRPr="004135FE">
        <w:rPr>
          <w:rFonts w:ascii="Times New Roman" w:hAnsi="Times New Roman" w:cs="Times New Roman"/>
          <w:sz w:val="28"/>
          <w:szCs w:val="28"/>
        </w:rPr>
        <w:t xml:space="preserve">раеугольным камнем глобального реагирования на диабет должна быть профилактика; Признали, что распространение диабета и их последствия могут быть во многом предотвращены или уменьшены при таком подходе, в который инкорпорированы мероприятия, основанные на фактических данных, являющиеся доступными и затратоэффективными, охватывающие все население и имеющие многопрофильный характер; Констатировали, что на всех уровнях государственной власти следует применять многопрофильный подход к здравоохранению, позволяющий всеобъемлюще и решительно заниматься факторами риска и основополагающими детерминантами </w:t>
      </w:r>
      <w:r w:rsidRPr="00E36920">
        <w:rPr>
          <w:rFonts w:ascii="Times New Roman" w:hAnsi="Times New Roman" w:cs="Times New Roman"/>
          <w:sz w:val="28"/>
          <w:szCs w:val="28"/>
        </w:rPr>
        <w:t>здоровья [68]</w:t>
      </w:r>
      <w:r w:rsidR="005D3980">
        <w:rPr>
          <w:rFonts w:ascii="Times New Roman" w:hAnsi="Times New Roman" w:cs="Times New Roman"/>
          <w:sz w:val="28"/>
          <w:szCs w:val="28"/>
        </w:rPr>
        <w:t>.</w:t>
      </w:r>
      <w:r w:rsidRPr="00E36920">
        <w:rPr>
          <w:rFonts w:ascii="Times New Roman" w:hAnsi="Times New Roman" w:cs="Times New Roman"/>
          <w:sz w:val="28"/>
          <w:szCs w:val="28"/>
        </w:rPr>
        <w:t xml:space="preserve"> </w:t>
      </w:r>
    </w:p>
    <w:p w14:paraId="2DFF1830" w14:textId="13273286" w:rsidR="009211A6" w:rsidRPr="00E36920" w:rsidRDefault="009211A6" w:rsidP="00E36920">
      <w:pPr>
        <w:pStyle w:val="a3"/>
        <w:numPr>
          <w:ilvl w:val="0"/>
          <w:numId w:val="69"/>
        </w:numPr>
        <w:tabs>
          <w:tab w:val="left" w:pos="993"/>
        </w:tabs>
        <w:autoSpaceDE w:val="0"/>
        <w:autoSpaceDN w:val="0"/>
        <w:adjustRightInd w:val="0"/>
        <w:spacing w:after="0" w:line="240" w:lineRule="auto"/>
        <w:ind w:left="0" w:firstLine="708"/>
        <w:jc w:val="both"/>
        <w:rPr>
          <w:rFonts w:ascii="Times New Roman" w:hAnsi="Times New Roman" w:cs="Times New Roman"/>
          <w:sz w:val="28"/>
          <w:szCs w:val="28"/>
        </w:rPr>
      </w:pPr>
      <w:r w:rsidRPr="00E36920">
        <w:rPr>
          <w:rFonts w:ascii="Times New Roman" w:eastAsiaTheme="minorHAnsi" w:hAnsi="Times New Roman" w:cs="Times New Roman"/>
          <w:sz w:val="28"/>
          <w:szCs w:val="28"/>
          <w:lang w:eastAsia="en-US"/>
        </w:rPr>
        <w:t>В 2013</w:t>
      </w:r>
      <w:r w:rsidR="00E36920" w:rsidRPr="00E36920">
        <w:rPr>
          <w:rFonts w:ascii="Times New Roman" w:eastAsiaTheme="minorHAnsi" w:hAnsi="Times New Roman" w:cs="Times New Roman"/>
          <w:sz w:val="28"/>
          <w:szCs w:val="28"/>
          <w:lang w:eastAsia="en-US"/>
        </w:rPr>
        <w:t xml:space="preserve"> </w:t>
      </w:r>
      <w:r w:rsidRPr="00E36920">
        <w:rPr>
          <w:rFonts w:ascii="Times New Roman" w:eastAsiaTheme="minorHAnsi" w:hAnsi="Times New Roman" w:cs="Times New Roman"/>
          <w:sz w:val="28"/>
          <w:szCs w:val="28"/>
          <w:lang w:eastAsia="en-US"/>
        </w:rPr>
        <w:t>г</w:t>
      </w:r>
      <w:r w:rsidR="00E36920" w:rsidRPr="00E36920">
        <w:rPr>
          <w:rFonts w:ascii="Times New Roman" w:eastAsiaTheme="minorHAnsi" w:hAnsi="Times New Roman" w:cs="Times New Roman"/>
          <w:sz w:val="28"/>
          <w:szCs w:val="28"/>
          <w:lang w:eastAsia="en-US"/>
        </w:rPr>
        <w:t>.</w:t>
      </w:r>
      <w:r w:rsidRPr="00E36920">
        <w:rPr>
          <w:rFonts w:ascii="Times New Roman" w:eastAsiaTheme="minorHAnsi" w:hAnsi="Times New Roman" w:cs="Times New Roman"/>
          <w:sz w:val="28"/>
          <w:szCs w:val="28"/>
          <w:lang w:eastAsia="en-US"/>
        </w:rPr>
        <w:t xml:space="preserve"> провозглашены Глобальные основы мониторинга ВОЗ. </w:t>
      </w:r>
      <w:r w:rsidRPr="00E36920">
        <w:rPr>
          <w:rFonts w:ascii="Times New Roman" w:eastAsia="ArialMT" w:hAnsi="Times New Roman" w:cs="Times New Roman"/>
          <w:sz w:val="28"/>
          <w:szCs w:val="28"/>
          <w:lang w:eastAsia="en-US"/>
        </w:rPr>
        <w:t xml:space="preserve">Общая цель снижения преждевременной смертности от НИЗ на 25% к 2025 году </w:t>
      </w:r>
      <w:r w:rsidRPr="00E36920">
        <w:rPr>
          <w:rFonts w:ascii="Times New Roman" w:hAnsi="Times New Roman" w:cs="Times New Roman"/>
          <w:sz w:val="28"/>
          <w:szCs w:val="28"/>
        </w:rPr>
        <w:t xml:space="preserve">[69].  </w:t>
      </w:r>
    </w:p>
    <w:p w14:paraId="2E4FB651" w14:textId="00939384" w:rsidR="009211A6" w:rsidRPr="00E36920" w:rsidRDefault="009211A6" w:rsidP="00E36920">
      <w:pPr>
        <w:pStyle w:val="a3"/>
        <w:numPr>
          <w:ilvl w:val="0"/>
          <w:numId w:val="69"/>
        </w:numPr>
        <w:tabs>
          <w:tab w:val="left" w:pos="993"/>
        </w:tabs>
        <w:autoSpaceDE w:val="0"/>
        <w:autoSpaceDN w:val="0"/>
        <w:adjustRightInd w:val="0"/>
        <w:spacing w:after="0" w:line="240" w:lineRule="auto"/>
        <w:ind w:left="0" w:firstLine="708"/>
        <w:jc w:val="both"/>
        <w:rPr>
          <w:rFonts w:ascii="Times New Roman" w:eastAsia="ArialMT" w:hAnsi="Times New Roman" w:cs="Times New Roman"/>
          <w:sz w:val="28"/>
          <w:szCs w:val="28"/>
          <w:lang w:eastAsia="en-US"/>
        </w:rPr>
      </w:pPr>
      <w:r w:rsidRPr="00E36920">
        <w:rPr>
          <w:rFonts w:ascii="Times New Roman" w:eastAsiaTheme="minorHAnsi" w:hAnsi="Times New Roman" w:cs="Times New Roman"/>
          <w:sz w:val="28"/>
          <w:szCs w:val="28"/>
          <w:lang w:eastAsia="en-US"/>
        </w:rPr>
        <w:t>В 2014</w:t>
      </w:r>
      <w:r w:rsidR="00E36920" w:rsidRPr="00E36920">
        <w:rPr>
          <w:rFonts w:ascii="Times New Roman" w:eastAsiaTheme="minorHAnsi" w:hAnsi="Times New Roman" w:cs="Times New Roman"/>
          <w:sz w:val="28"/>
          <w:szCs w:val="28"/>
          <w:lang w:eastAsia="en-US"/>
        </w:rPr>
        <w:t xml:space="preserve"> </w:t>
      </w:r>
      <w:r w:rsidRPr="00E36920">
        <w:rPr>
          <w:rFonts w:ascii="Times New Roman" w:eastAsiaTheme="minorHAnsi" w:hAnsi="Times New Roman" w:cs="Times New Roman"/>
          <w:sz w:val="28"/>
          <w:szCs w:val="28"/>
          <w:lang w:eastAsia="en-US"/>
        </w:rPr>
        <w:t>г</w:t>
      </w:r>
      <w:r w:rsidR="00E36920" w:rsidRPr="00E36920">
        <w:rPr>
          <w:rFonts w:ascii="Times New Roman" w:eastAsiaTheme="minorHAnsi" w:hAnsi="Times New Roman" w:cs="Times New Roman"/>
          <w:sz w:val="28"/>
          <w:szCs w:val="28"/>
          <w:lang w:eastAsia="en-US"/>
        </w:rPr>
        <w:t>.</w:t>
      </w:r>
      <w:r w:rsidRPr="00E36920">
        <w:rPr>
          <w:rFonts w:ascii="Times New Roman" w:eastAsiaTheme="minorHAnsi" w:hAnsi="Times New Roman" w:cs="Times New Roman"/>
          <w:sz w:val="28"/>
          <w:szCs w:val="28"/>
          <w:lang w:eastAsia="en-US"/>
        </w:rPr>
        <w:t xml:space="preserve"> проведен «Второе совещание высокого уровня ООН по НИЗ»  (</w:t>
      </w:r>
      <w:r w:rsidRPr="00E36920">
        <w:rPr>
          <w:rFonts w:ascii="Times New Roman" w:hAnsi="Times New Roman" w:cs="Times New Roman"/>
          <w:sz w:val="28"/>
          <w:szCs w:val="28"/>
          <w:shd w:val="clear" w:color="auto" w:fill="FFFFFF"/>
        </w:rPr>
        <w:t>Нью-Йорк, 10─11 июля 2014 г.) обзор и оценка прогресса, достигнутого с 2011 г</w:t>
      </w:r>
      <w:r w:rsidRPr="00E36920">
        <w:rPr>
          <w:rFonts w:ascii="Times New Roman" w:eastAsiaTheme="minorHAnsi" w:hAnsi="Times New Roman" w:cs="Times New Roman"/>
          <w:sz w:val="28"/>
          <w:szCs w:val="28"/>
          <w:lang w:eastAsia="en-US"/>
        </w:rPr>
        <w:t>. Р</w:t>
      </w:r>
      <w:r w:rsidRPr="00E36920">
        <w:rPr>
          <w:rFonts w:ascii="Times New Roman" w:hAnsi="Times New Roman" w:cs="Times New Roman"/>
          <w:sz w:val="28"/>
          <w:szCs w:val="28"/>
          <w:shd w:val="clear" w:color="auto" w:fill="FFFFFF"/>
        </w:rPr>
        <w:t>езолюция A/RES/68/300: Правительства приняли на себя обязательства активизировать свои усилия по избавлению мира от предотвратимого бремени, создаваемого НИЗ «Продвижение вперед: Представлен набор конкретных обязательств по реализации в период между 2014–2018 гг.», а также три новых глобальных поручении «К миру, который мы хотим видеть: Следующая веха – 2018 г</w:t>
      </w:r>
      <w:r w:rsidR="00E36920" w:rsidRPr="00E36920">
        <w:rPr>
          <w:rFonts w:ascii="Times New Roman" w:hAnsi="Times New Roman" w:cs="Times New Roman"/>
          <w:sz w:val="28"/>
          <w:szCs w:val="28"/>
          <w:shd w:val="clear" w:color="auto" w:fill="FFFFFF"/>
        </w:rPr>
        <w:t>.</w:t>
      </w:r>
      <w:r w:rsidRPr="00E36920">
        <w:rPr>
          <w:rFonts w:ascii="Times New Roman" w:hAnsi="Times New Roman" w:cs="Times New Roman"/>
          <w:sz w:val="28"/>
          <w:szCs w:val="28"/>
          <w:shd w:val="clear" w:color="auto" w:fill="FFFFFF"/>
        </w:rPr>
        <w:t xml:space="preserve">» </w:t>
      </w:r>
      <w:r w:rsidRPr="00E36920">
        <w:rPr>
          <w:rFonts w:ascii="Times New Roman" w:hAnsi="Times New Roman" w:cs="Times New Roman"/>
          <w:sz w:val="28"/>
          <w:szCs w:val="28"/>
        </w:rPr>
        <w:t>[70]</w:t>
      </w:r>
      <w:r w:rsidR="00E36920">
        <w:rPr>
          <w:rFonts w:ascii="Times New Roman" w:hAnsi="Times New Roman" w:cs="Times New Roman"/>
          <w:sz w:val="28"/>
          <w:szCs w:val="28"/>
        </w:rPr>
        <w:t>.</w:t>
      </w:r>
      <w:r w:rsidRPr="00E36920">
        <w:rPr>
          <w:rFonts w:ascii="Times New Roman" w:hAnsi="Times New Roman" w:cs="Times New Roman"/>
          <w:sz w:val="28"/>
          <w:szCs w:val="28"/>
        </w:rPr>
        <w:t xml:space="preserve"> </w:t>
      </w:r>
      <w:r w:rsidRPr="00E36920">
        <w:rPr>
          <w:rFonts w:ascii="Times New Roman" w:eastAsia="ArialMT" w:hAnsi="Times New Roman" w:cs="Times New Roman"/>
          <w:sz w:val="28"/>
          <w:szCs w:val="28"/>
          <w:lang w:eastAsia="en-US"/>
        </w:rPr>
        <w:t xml:space="preserve"> </w:t>
      </w:r>
    </w:p>
    <w:p w14:paraId="431202D7" w14:textId="343C2513" w:rsidR="009211A6" w:rsidRPr="00E36920" w:rsidRDefault="009211A6" w:rsidP="00E36920">
      <w:pPr>
        <w:pStyle w:val="a3"/>
        <w:numPr>
          <w:ilvl w:val="0"/>
          <w:numId w:val="69"/>
        </w:numPr>
        <w:tabs>
          <w:tab w:val="left" w:pos="993"/>
        </w:tabs>
        <w:autoSpaceDE w:val="0"/>
        <w:autoSpaceDN w:val="0"/>
        <w:adjustRightInd w:val="0"/>
        <w:spacing w:after="0" w:line="240" w:lineRule="auto"/>
        <w:ind w:left="0" w:firstLine="708"/>
        <w:jc w:val="both"/>
        <w:rPr>
          <w:rFonts w:ascii="Times New Roman" w:eastAsia="ArialMT" w:hAnsi="Times New Roman" w:cs="Times New Roman"/>
          <w:sz w:val="28"/>
          <w:szCs w:val="28"/>
          <w:lang w:eastAsia="en-US"/>
        </w:rPr>
      </w:pPr>
      <w:r w:rsidRPr="00E36920">
        <w:rPr>
          <w:rFonts w:ascii="Times New Roman" w:eastAsiaTheme="minorHAnsi" w:hAnsi="Times New Roman" w:cs="Times New Roman"/>
          <w:sz w:val="28"/>
          <w:szCs w:val="28"/>
          <w:lang w:eastAsia="en-US"/>
        </w:rPr>
        <w:t>В 2015</w:t>
      </w:r>
      <w:r w:rsidR="00E36920" w:rsidRPr="00E36920">
        <w:rPr>
          <w:rFonts w:ascii="Times New Roman" w:eastAsiaTheme="minorHAnsi" w:hAnsi="Times New Roman" w:cs="Times New Roman"/>
          <w:sz w:val="28"/>
          <w:szCs w:val="28"/>
          <w:lang w:eastAsia="en-US"/>
        </w:rPr>
        <w:t xml:space="preserve"> </w:t>
      </w:r>
      <w:r w:rsidRPr="00E36920">
        <w:rPr>
          <w:rFonts w:ascii="Times New Roman" w:eastAsiaTheme="minorHAnsi" w:hAnsi="Times New Roman" w:cs="Times New Roman"/>
          <w:sz w:val="28"/>
          <w:szCs w:val="28"/>
          <w:lang w:eastAsia="en-US"/>
        </w:rPr>
        <w:t>г</w:t>
      </w:r>
      <w:r w:rsidR="00E36920" w:rsidRPr="00E36920">
        <w:rPr>
          <w:rFonts w:ascii="Times New Roman" w:eastAsiaTheme="minorHAnsi" w:hAnsi="Times New Roman" w:cs="Times New Roman"/>
          <w:sz w:val="28"/>
          <w:szCs w:val="28"/>
          <w:lang w:eastAsia="en-US"/>
        </w:rPr>
        <w:t>.</w:t>
      </w:r>
      <w:r w:rsidRPr="00E36920">
        <w:rPr>
          <w:rFonts w:ascii="Times New Roman" w:eastAsiaTheme="minorHAnsi" w:hAnsi="Times New Roman" w:cs="Times New Roman"/>
          <w:sz w:val="28"/>
          <w:szCs w:val="28"/>
          <w:lang w:eastAsia="en-US"/>
        </w:rPr>
        <w:t xml:space="preserve"> приняты «Цели устойчивого развития (ЦУР) ООН».  </w:t>
      </w:r>
      <w:r w:rsidRPr="00E36920">
        <w:rPr>
          <w:rFonts w:ascii="Times New Roman" w:hAnsi="Times New Roman" w:cs="Times New Roman"/>
          <w:sz w:val="28"/>
          <w:szCs w:val="28"/>
          <w:bdr w:val="none" w:sz="0" w:space="0" w:color="auto" w:frame="1"/>
        </w:rPr>
        <w:t>ПРООН работает примерно в 170 странах и территориях, помогая искоренить бедность, сократить неравенство и изоляцию и повысить устойчивость, чтобы страны могли поддерживать прогресс. Рассмотрены задачи в борьбе с СД2т</w:t>
      </w:r>
      <w:r w:rsidRPr="00E36920">
        <w:rPr>
          <w:rFonts w:ascii="Times New Roman" w:eastAsia="ArialMT" w:hAnsi="Times New Roman" w:cs="Times New Roman"/>
          <w:sz w:val="28"/>
          <w:szCs w:val="28"/>
          <w:lang w:eastAsia="en-US"/>
        </w:rPr>
        <w:t>:</w:t>
      </w:r>
    </w:p>
    <w:p w14:paraId="2503BB8A" w14:textId="1E473AF0" w:rsidR="009211A6" w:rsidRPr="00E36920" w:rsidRDefault="00E36920">
      <w:pPr>
        <w:pStyle w:val="a3"/>
        <w:numPr>
          <w:ilvl w:val="0"/>
          <w:numId w:val="90"/>
        </w:numPr>
        <w:tabs>
          <w:tab w:val="left" w:pos="993"/>
        </w:tabs>
        <w:autoSpaceDE w:val="0"/>
        <w:autoSpaceDN w:val="0"/>
        <w:adjustRightInd w:val="0"/>
        <w:spacing w:after="0" w:line="240" w:lineRule="auto"/>
        <w:ind w:hanging="719"/>
        <w:jc w:val="both"/>
        <w:rPr>
          <w:rFonts w:ascii="Times New Roman" w:eastAsia="ArialMT" w:hAnsi="Times New Roman" w:cs="Times New Roman"/>
          <w:sz w:val="28"/>
          <w:szCs w:val="28"/>
          <w:lang w:eastAsia="en-US"/>
        </w:rPr>
      </w:pPr>
      <w:r>
        <w:rPr>
          <w:rFonts w:ascii="Times New Roman" w:eastAsia="ArialMT" w:hAnsi="Times New Roman" w:cs="Times New Roman"/>
          <w:sz w:val="28"/>
          <w:szCs w:val="28"/>
          <w:lang w:eastAsia="en-US"/>
        </w:rPr>
        <w:t>с</w:t>
      </w:r>
      <w:r w:rsidR="009211A6" w:rsidRPr="00E36920">
        <w:rPr>
          <w:rFonts w:ascii="Times New Roman" w:eastAsia="ArialMT" w:hAnsi="Times New Roman" w:cs="Times New Roman"/>
          <w:sz w:val="28"/>
          <w:szCs w:val="28"/>
          <w:lang w:eastAsia="en-US"/>
        </w:rPr>
        <w:t>ократить преждевременную смертность на 30 %</w:t>
      </w:r>
      <w:r w:rsidR="005D3980">
        <w:rPr>
          <w:rFonts w:ascii="Times New Roman" w:eastAsia="ArialMT" w:hAnsi="Times New Roman" w:cs="Times New Roman"/>
          <w:sz w:val="28"/>
          <w:szCs w:val="28"/>
          <w:lang w:eastAsia="en-US"/>
        </w:rPr>
        <w:t>;</w:t>
      </w:r>
    </w:p>
    <w:p w14:paraId="1B3E50E9" w14:textId="0C4D7136" w:rsidR="009211A6" w:rsidRPr="00E36920" w:rsidRDefault="00E36920">
      <w:pPr>
        <w:pStyle w:val="a3"/>
        <w:numPr>
          <w:ilvl w:val="0"/>
          <w:numId w:val="90"/>
        </w:numPr>
        <w:tabs>
          <w:tab w:val="left" w:pos="993"/>
        </w:tabs>
        <w:autoSpaceDE w:val="0"/>
        <w:autoSpaceDN w:val="0"/>
        <w:adjustRightInd w:val="0"/>
        <w:spacing w:after="0" w:line="240" w:lineRule="auto"/>
        <w:ind w:hanging="719"/>
        <w:jc w:val="both"/>
        <w:rPr>
          <w:rFonts w:ascii="Times New Roman" w:eastAsia="ArialMT" w:hAnsi="Times New Roman" w:cs="Times New Roman"/>
          <w:sz w:val="28"/>
          <w:szCs w:val="28"/>
          <w:lang w:eastAsia="en-US"/>
        </w:rPr>
      </w:pPr>
      <w:r>
        <w:rPr>
          <w:rFonts w:ascii="Times New Roman" w:eastAsia="ArialMT" w:hAnsi="Times New Roman" w:cs="Times New Roman"/>
          <w:sz w:val="28"/>
          <w:szCs w:val="28"/>
          <w:lang w:eastAsia="en-US"/>
        </w:rPr>
        <w:t>о</w:t>
      </w:r>
      <w:r w:rsidR="009211A6" w:rsidRPr="00E36920">
        <w:rPr>
          <w:rFonts w:ascii="Times New Roman" w:eastAsia="ArialMT" w:hAnsi="Times New Roman" w:cs="Times New Roman"/>
          <w:sz w:val="28"/>
          <w:szCs w:val="28"/>
          <w:lang w:eastAsia="en-US"/>
        </w:rPr>
        <w:t>беспечить всеобщий охват медико-санитарными услугами</w:t>
      </w:r>
      <w:r w:rsidR="005D3980">
        <w:rPr>
          <w:rFonts w:ascii="Times New Roman" w:eastAsia="ArialMT" w:hAnsi="Times New Roman" w:cs="Times New Roman"/>
          <w:sz w:val="28"/>
          <w:szCs w:val="28"/>
          <w:lang w:eastAsia="en-US"/>
        </w:rPr>
        <w:t>;</w:t>
      </w:r>
    </w:p>
    <w:p w14:paraId="40B2C1D4" w14:textId="5ED0D9A2" w:rsidR="009211A6" w:rsidRPr="00E36920" w:rsidRDefault="00E36920">
      <w:pPr>
        <w:pStyle w:val="a3"/>
        <w:numPr>
          <w:ilvl w:val="0"/>
          <w:numId w:val="90"/>
        </w:numPr>
        <w:tabs>
          <w:tab w:val="left" w:pos="993"/>
        </w:tabs>
        <w:autoSpaceDE w:val="0"/>
        <w:autoSpaceDN w:val="0"/>
        <w:adjustRightInd w:val="0"/>
        <w:spacing w:after="0" w:line="240" w:lineRule="auto"/>
        <w:ind w:left="0" w:firstLine="709"/>
        <w:jc w:val="both"/>
        <w:rPr>
          <w:rFonts w:ascii="Times New Roman" w:eastAsia="ArialMT" w:hAnsi="Times New Roman" w:cs="Times New Roman"/>
          <w:sz w:val="28"/>
          <w:szCs w:val="28"/>
          <w:lang w:eastAsia="en-US"/>
        </w:rPr>
      </w:pPr>
      <w:r>
        <w:rPr>
          <w:rFonts w:ascii="Times New Roman" w:eastAsia="ArialMT" w:hAnsi="Times New Roman" w:cs="Times New Roman"/>
          <w:sz w:val="28"/>
          <w:szCs w:val="28"/>
          <w:lang w:eastAsia="en-US"/>
        </w:rPr>
        <w:t>п</w:t>
      </w:r>
      <w:r w:rsidR="009211A6" w:rsidRPr="00E36920">
        <w:rPr>
          <w:rFonts w:ascii="Times New Roman" w:eastAsia="ArialMT" w:hAnsi="Times New Roman" w:cs="Times New Roman"/>
          <w:sz w:val="28"/>
          <w:szCs w:val="28"/>
          <w:lang w:eastAsia="en-US"/>
        </w:rPr>
        <w:t xml:space="preserve">оложить конец нарушению питания во всех его видах, включая избыточный вес и ожирение </w:t>
      </w:r>
      <w:r w:rsidR="009211A6" w:rsidRPr="00E36920">
        <w:rPr>
          <w:rFonts w:ascii="Times New Roman" w:hAnsi="Times New Roman" w:cs="Times New Roman"/>
          <w:sz w:val="28"/>
          <w:szCs w:val="28"/>
        </w:rPr>
        <w:t>[71]</w:t>
      </w:r>
      <w:r w:rsidR="005D3980">
        <w:rPr>
          <w:rFonts w:ascii="Times New Roman" w:hAnsi="Times New Roman" w:cs="Times New Roman"/>
          <w:sz w:val="28"/>
          <w:szCs w:val="28"/>
        </w:rPr>
        <w:t>.</w:t>
      </w:r>
      <w:r w:rsidR="009211A6" w:rsidRPr="00E36920">
        <w:rPr>
          <w:rFonts w:ascii="Times New Roman" w:eastAsia="ArialMT" w:hAnsi="Times New Roman" w:cs="Times New Roman"/>
          <w:sz w:val="28"/>
          <w:szCs w:val="28"/>
          <w:lang w:eastAsia="en-US"/>
        </w:rPr>
        <w:t xml:space="preserve">  </w:t>
      </w:r>
    </w:p>
    <w:p w14:paraId="24C2AAEC" w14:textId="432FCA9A" w:rsidR="009211A6" w:rsidRPr="004135FE" w:rsidRDefault="009211A6" w:rsidP="005D3980">
      <w:pPr>
        <w:pStyle w:val="a3"/>
        <w:numPr>
          <w:ilvl w:val="0"/>
          <w:numId w:val="69"/>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E36920">
        <w:rPr>
          <w:rFonts w:ascii="Times New Roman" w:eastAsiaTheme="minorHAnsi" w:hAnsi="Times New Roman" w:cs="Times New Roman"/>
          <w:sz w:val="28"/>
          <w:szCs w:val="28"/>
          <w:lang w:eastAsia="en-US"/>
        </w:rPr>
        <w:t>В 2017</w:t>
      </w:r>
      <w:r w:rsidR="00E36920" w:rsidRPr="00E36920">
        <w:rPr>
          <w:rFonts w:ascii="Times New Roman" w:eastAsiaTheme="minorHAnsi" w:hAnsi="Times New Roman" w:cs="Times New Roman"/>
          <w:sz w:val="28"/>
          <w:szCs w:val="28"/>
          <w:lang w:eastAsia="en-US"/>
        </w:rPr>
        <w:t xml:space="preserve"> </w:t>
      </w:r>
      <w:r w:rsidRPr="00E36920">
        <w:rPr>
          <w:rFonts w:ascii="Times New Roman" w:eastAsiaTheme="minorHAnsi" w:hAnsi="Times New Roman" w:cs="Times New Roman"/>
          <w:sz w:val="28"/>
          <w:szCs w:val="28"/>
          <w:lang w:eastAsia="en-US"/>
        </w:rPr>
        <w:t>г</w:t>
      </w:r>
      <w:r w:rsidR="00E36920" w:rsidRPr="00E36920">
        <w:rPr>
          <w:rFonts w:ascii="Times New Roman" w:eastAsiaTheme="minorHAnsi" w:hAnsi="Times New Roman" w:cs="Times New Roman"/>
          <w:sz w:val="28"/>
          <w:szCs w:val="28"/>
          <w:lang w:eastAsia="en-US"/>
        </w:rPr>
        <w:t>.</w:t>
      </w:r>
      <w:r w:rsidRPr="00E36920">
        <w:rPr>
          <w:rFonts w:ascii="Times New Roman" w:eastAsiaTheme="minorHAnsi" w:hAnsi="Times New Roman" w:cs="Times New Roman"/>
          <w:sz w:val="28"/>
          <w:szCs w:val="28"/>
          <w:lang w:eastAsia="en-US"/>
        </w:rPr>
        <w:t xml:space="preserve"> 18-20 октября в </w:t>
      </w:r>
      <w:r w:rsidRPr="00E36920">
        <w:rPr>
          <w:rFonts w:ascii="Times New Roman" w:hAnsi="Times New Roman" w:cs="Times New Roman"/>
          <w:sz w:val="28"/>
          <w:szCs w:val="28"/>
          <w:bdr w:val="none" w:sz="0" w:space="0" w:color="auto" w:frame="1"/>
        </w:rPr>
        <w:t xml:space="preserve">Монтевидео (Уругвай) </w:t>
      </w:r>
      <w:r w:rsidRPr="00E36920">
        <w:rPr>
          <w:rFonts w:ascii="Times New Roman" w:eastAsiaTheme="minorHAnsi" w:hAnsi="Times New Roman" w:cs="Times New Roman"/>
          <w:sz w:val="28"/>
          <w:szCs w:val="28"/>
          <w:lang w:eastAsia="en-US"/>
        </w:rPr>
        <w:t>проведена</w:t>
      </w:r>
      <w:r w:rsidRPr="00E36920">
        <w:rPr>
          <w:rFonts w:ascii="Times New Roman" w:hAnsi="Times New Roman" w:cs="Times New Roman"/>
          <w:sz w:val="28"/>
          <w:szCs w:val="28"/>
        </w:rPr>
        <w:t xml:space="preserve"> </w:t>
      </w:r>
      <w:r w:rsidR="005D3980">
        <w:rPr>
          <w:rFonts w:ascii="Times New Roman" w:hAnsi="Times New Roman" w:cs="Times New Roman"/>
          <w:sz w:val="28"/>
          <w:szCs w:val="28"/>
        </w:rPr>
        <w:t xml:space="preserve">   </w:t>
      </w:r>
      <w:r w:rsidRPr="00E36920">
        <w:rPr>
          <w:rFonts w:ascii="Times New Roman" w:hAnsi="Times New Roman" w:cs="Times New Roman"/>
          <w:sz w:val="28"/>
          <w:szCs w:val="28"/>
        </w:rPr>
        <w:t>Глобальная конференция ВОЗ по неинфекционным заболеваниям</w:t>
      </w:r>
      <w:r w:rsidRPr="00E36920">
        <w:rPr>
          <w:rFonts w:ascii="Times New Roman" w:hAnsi="Times New Roman" w:cs="Times New Roman"/>
          <w:sz w:val="28"/>
          <w:szCs w:val="28"/>
          <w:shd w:val="clear" w:color="auto" w:fill="FFFFFF"/>
        </w:rPr>
        <w:t xml:space="preserve"> (НИЗ) по</w:t>
      </w:r>
      <w:r w:rsidRPr="004135FE">
        <w:rPr>
          <w:rFonts w:ascii="Times New Roman" w:hAnsi="Times New Roman" w:cs="Times New Roman"/>
          <w:sz w:val="28"/>
          <w:szCs w:val="28"/>
          <w:shd w:val="clear" w:color="auto" w:fill="FFFFFF"/>
        </w:rPr>
        <w:t xml:space="preserve"> повышению согласованности политики, проводимой различными секторами, способными влиять на ход выполнения задачи 3.4 (НИЗ) ЦУР — уменьшить на треть преждевременную смертность от НИЗ посредством профилактики и лечения. Целью конференции была п</w:t>
      </w:r>
      <w:r w:rsidRPr="004135FE">
        <w:rPr>
          <w:rFonts w:ascii="Times New Roman" w:hAnsi="Times New Roman" w:cs="Times New Roman"/>
          <w:sz w:val="28"/>
          <w:szCs w:val="28"/>
          <w:bdr w:val="none" w:sz="0" w:space="0" w:color="auto" w:frame="1"/>
        </w:rPr>
        <w:t xml:space="preserve">родемонстрировать наличие критически важных связей между сокращением числа случаев преждевременной смерти от НИЗ и повышением согласованности политики в областях, влияющих на организационную деятельность в области НИЗ, их профилактику, ведение пациентов и эпиднадзор за НИЗ </w:t>
      </w:r>
      <w:r w:rsidRPr="004135FE">
        <w:rPr>
          <w:rFonts w:ascii="Times New Roman" w:hAnsi="Times New Roman" w:cs="Times New Roman"/>
          <w:sz w:val="28"/>
          <w:szCs w:val="28"/>
        </w:rPr>
        <w:t xml:space="preserve">[72]. </w:t>
      </w:r>
    </w:p>
    <w:p w14:paraId="5B23EF75" w14:textId="73ACE1EB" w:rsidR="009211A6" w:rsidRPr="005D3980" w:rsidRDefault="00856043" w:rsidP="005D3980">
      <w:pPr>
        <w:pStyle w:val="a3"/>
        <w:numPr>
          <w:ilvl w:val="0"/>
          <w:numId w:val="69"/>
        </w:numPr>
        <w:tabs>
          <w:tab w:val="left" w:pos="993"/>
        </w:tabs>
        <w:autoSpaceDE w:val="0"/>
        <w:autoSpaceDN w:val="0"/>
        <w:adjustRightInd w:val="0"/>
        <w:spacing w:after="0" w:line="240" w:lineRule="auto"/>
        <w:ind w:left="0" w:firstLine="709"/>
        <w:jc w:val="both"/>
        <w:rPr>
          <w:rFonts w:ascii="Times New Roman" w:hAnsi="Times New Roman" w:cs="Times New Roman"/>
          <w:bCs/>
          <w:sz w:val="28"/>
          <w:szCs w:val="28"/>
        </w:rPr>
      </w:pPr>
      <w:r>
        <w:rPr>
          <w:rFonts w:ascii="Times New Roman" w:eastAsiaTheme="minorHAnsi" w:hAnsi="Times New Roman" w:cs="Times New Roman"/>
          <w:bCs/>
          <w:sz w:val="28"/>
          <w:szCs w:val="28"/>
          <w:lang w:eastAsia="en-US"/>
        </w:rPr>
        <w:lastRenderedPageBreak/>
        <w:t xml:space="preserve"> </w:t>
      </w:r>
      <w:r w:rsidR="009211A6" w:rsidRPr="005D3980">
        <w:rPr>
          <w:rFonts w:ascii="Times New Roman" w:eastAsiaTheme="minorHAnsi" w:hAnsi="Times New Roman" w:cs="Times New Roman"/>
          <w:bCs/>
          <w:sz w:val="28"/>
          <w:szCs w:val="28"/>
          <w:lang w:eastAsia="en-US"/>
        </w:rPr>
        <w:t>В 2018</w:t>
      </w:r>
      <w:r w:rsidR="005D3980">
        <w:rPr>
          <w:rFonts w:ascii="Times New Roman" w:eastAsiaTheme="minorHAnsi" w:hAnsi="Times New Roman" w:cs="Times New Roman"/>
          <w:bCs/>
          <w:sz w:val="28"/>
          <w:szCs w:val="28"/>
          <w:lang w:eastAsia="en-US"/>
        </w:rPr>
        <w:t xml:space="preserve"> </w:t>
      </w:r>
      <w:r w:rsidR="009211A6" w:rsidRPr="005D3980">
        <w:rPr>
          <w:rFonts w:ascii="Times New Roman" w:eastAsiaTheme="minorHAnsi" w:hAnsi="Times New Roman" w:cs="Times New Roman"/>
          <w:bCs/>
          <w:sz w:val="28"/>
          <w:szCs w:val="28"/>
          <w:lang w:eastAsia="en-US"/>
        </w:rPr>
        <w:t>г</w:t>
      </w:r>
      <w:r w:rsidR="005D3980">
        <w:rPr>
          <w:rFonts w:ascii="Times New Roman" w:eastAsiaTheme="minorHAnsi" w:hAnsi="Times New Roman" w:cs="Times New Roman"/>
          <w:bCs/>
          <w:sz w:val="28"/>
          <w:szCs w:val="28"/>
          <w:lang w:eastAsia="en-US"/>
        </w:rPr>
        <w:t>.</w:t>
      </w:r>
      <w:r w:rsidR="009211A6" w:rsidRPr="005D3980">
        <w:rPr>
          <w:rFonts w:ascii="Times New Roman" w:eastAsiaTheme="minorHAnsi" w:hAnsi="Times New Roman" w:cs="Times New Roman"/>
          <w:bCs/>
          <w:sz w:val="28"/>
          <w:szCs w:val="28"/>
          <w:lang w:eastAsia="en-US"/>
        </w:rPr>
        <w:t xml:space="preserve"> </w:t>
      </w:r>
      <w:r w:rsidR="009211A6" w:rsidRPr="005D3980">
        <w:rPr>
          <w:rFonts w:ascii="Times New Roman" w:hAnsi="Times New Roman" w:cs="Times New Roman"/>
          <w:bCs/>
          <w:sz w:val="28"/>
          <w:szCs w:val="28"/>
        </w:rPr>
        <w:t>27 сентября организовано</w:t>
      </w:r>
      <w:r w:rsidR="009211A6" w:rsidRPr="005D3980">
        <w:rPr>
          <w:rFonts w:ascii="Times New Roman" w:eastAsiaTheme="minorHAnsi" w:hAnsi="Times New Roman" w:cs="Times New Roman"/>
          <w:bCs/>
          <w:sz w:val="28"/>
          <w:szCs w:val="28"/>
          <w:lang w:eastAsia="en-US"/>
        </w:rPr>
        <w:t xml:space="preserve"> Третье совещание высокого уровня ООН по НИЗ</w:t>
      </w:r>
      <w:r w:rsidR="009211A6" w:rsidRPr="005D3980">
        <w:rPr>
          <w:rFonts w:ascii="Times New Roman" w:hAnsi="Times New Roman" w:cs="Times New Roman"/>
          <w:bCs/>
          <w:sz w:val="28"/>
          <w:szCs w:val="28"/>
          <w:shd w:val="clear" w:color="auto" w:fill="FFFFFF"/>
        </w:rPr>
        <w:t> – отчет о прогрессе, достигнутом с 2014 г</w:t>
      </w:r>
      <w:r w:rsidR="005D3980">
        <w:rPr>
          <w:rFonts w:ascii="Times New Roman" w:hAnsi="Times New Roman" w:cs="Times New Roman"/>
          <w:bCs/>
          <w:sz w:val="28"/>
          <w:szCs w:val="28"/>
          <w:shd w:val="clear" w:color="auto" w:fill="FFFFFF"/>
        </w:rPr>
        <w:t>.</w:t>
      </w:r>
      <w:r w:rsidR="009211A6" w:rsidRPr="005D3980">
        <w:rPr>
          <w:rFonts w:ascii="Times New Roman" w:eastAsiaTheme="minorHAnsi" w:hAnsi="Times New Roman" w:cs="Times New Roman"/>
          <w:bCs/>
          <w:sz w:val="28"/>
          <w:szCs w:val="28"/>
          <w:lang w:eastAsia="en-US"/>
        </w:rPr>
        <w:t xml:space="preserve"> </w:t>
      </w:r>
      <w:r w:rsidR="009211A6" w:rsidRPr="005D3980">
        <w:rPr>
          <w:rFonts w:ascii="Times New Roman" w:hAnsi="Times New Roman" w:cs="Times New Roman"/>
          <w:bCs/>
          <w:sz w:val="28"/>
          <w:szCs w:val="28"/>
        </w:rPr>
        <w:t>[73].</w:t>
      </w:r>
    </w:p>
    <w:p w14:paraId="0CA63F89" w14:textId="4A63D8A0" w:rsidR="009211A6" w:rsidRPr="004135FE" w:rsidRDefault="00856043" w:rsidP="005D3980">
      <w:pPr>
        <w:pStyle w:val="a3"/>
        <w:numPr>
          <w:ilvl w:val="0"/>
          <w:numId w:val="69"/>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eastAsiaTheme="minorHAnsi" w:hAnsi="Times New Roman" w:cs="Times New Roman"/>
          <w:bCs/>
          <w:sz w:val="28"/>
          <w:szCs w:val="28"/>
          <w:lang w:eastAsia="en-US"/>
        </w:rPr>
        <w:t xml:space="preserve"> </w:t>
      </w:r>
      <w:r w:rsidR="009211A6" w:rsidRPr="005D3980">
        <w:rPr>
          <w:rFonts w:ascii="Times New Roman" w:eastAsiaTheme="minorHAnsi" w:hAnsi="Times New Roman" w:cs="Times New Roman"/>
          <w:bCs/>
          <w:sz w:val="28"/>
          <w:szCs w:val="28"/>
          <w:lang w:eastAsia="en-US"/>
        </w:rPr>
        <w:t>В 2019</w:t>
      </w:r>
      <w:r w:rsidR="005D3980">
        <w:rPr>
          <w:rFonts w:ascii="Times New Roman" w:eastAsiaTheme="minorHAnsi" w:hAnsi="Times New Roman" w:cs="Times New Roman"/>
          <w:bCs/>
          <w:sz w:val="28"/>
          <w:szCs w:val="28"/>
          <w:lang w:eastAsia="en-US"/>
        </w:rPr>
        <w:t xml:space="preserve"> </w:t>
      </w:r>
      <w:r w:rsidR="009211A6" w:rsidRPr="005D3980">
        <w:rPr>
          <w:rFonts w:ascii="Times New Roman" w:eastAsiaTheme="minorHAnsi" w:hAnsi="Times New Roman" w:cs="Times New Roman"/>
          <w:bCs/>
          <w:sz w:val="28"/>
          <w:szCs w:val="28"/>
          <w:lang w:eastAsia="en-US"/>
        </w:rPr>
        <w:t>г</w:t>
      </w:r>
      <w:r w:rsidR="005D3980">
        <w:rPr>
          <w:rFonts w:ascii="Times New Roman" w:eastAsiaTheme="minorHAnsi" w:hAnsi="Times New Roman" w:cs="Times New Roman"/>
          <w:bCs/>
          <w:sz w:val="28"/>
          <w:szCs w:val="28"/>
          <w:lang w:eastAsia="en-US"/>
        </w:rPr>
        <w:t>.</w:t>
      </w:r>
      <w:r w:rsidR="009211A6" w:rsidRPr="005D3980">
        <w:rPr>
          <w:rFonts w:ascii="Times New Roman" w:eastAsiaTheme="minorHAnsi" w:hAnsi="Times New Roman" w:cs="Times New Roman"/>
          <w:bCs/>
          <w:sz w:val="28"/>
          <w:szCs w:val="28"/>
          <w:lang w:eastAsia="en-US"/>
        </w:rPr>
        <w:t xml:space="preserve"> было совещание высокого уровня по вопросам всеобщего охвата медико- санитарными услугами. </w:t>
      </w:r>
      <w:r w:rsidR="009211A6" w:rsidRPr="005D3980">
        <w:rPr>
          <w:rFonts w:ascii="Times New Roman" w:eastAsia="ArialMT" w:hAnsi="Times New Roman" w:cs="Times New Roman"/>
          <w:bCs/>
          <w:sz w:val="28"/>
          <w:szCs w:val="28"/>
          <w:lang w:eastAsia="en-US"/>
        </w:rPr>
        <w:t>У</w:t>
      </w:r>
      <w:r w:rsidR="009211A6" w:rsidRPr="005D3980">
        <w:rPr>
          <w:rFonts w:ascii="Times New Roman" w:hAnsi="Times New Roman" w:cs="Times New Roman"/>
          <w:bCs/>
          <w:sz w:val="28"/>
          <w:szCs w:val="28"/>
        </w:rPr>
        <w:t>креплять</w:t>
      </w:r>
      <w:r w:rsidR="009211A6" w:rsidRPr="004135FE">
        <w:rPr>
          <w:rFonts w:ascii="Times New Roman" w:hAnsi="Times New Roman" w:cs="Times New Roman"/>
          <w:sz w:val="28"/>
          <w:szCs w:val="28"/>
        </w:rPr>
        <w:t xml:space="preserve"> потенциал национальных правительственных органов в плане выполнения ими функций стратегического руководства и координации с акцентом на межсекторальных мероприятиях, а также укреплять потенциал местных органов управления и поощрять их к взаимодействию с местным населением и заинтересованными сторонами. Было постановлено созвать в 2023 году в Нью-Йорке заседание высокого уровня по вопросу о всеобщем охвате услугами здравоохранения, задачи и порядок проведения которого будут определены не позднее чем на семьдесят пятой сессии Генеральной Ассамблеи с учетом итогов других осуществляемых процессов, связанных с охраной здоровья, и активизации работы Генеральной Ассамблеи, с тем чтобы провести всесторонний обзор выполнения настоящей декларации для выявления пробелов и определения возможных мер для их устранения в целях ускорения прогресса в деле обеспечения всеобщего охвата услугами здравоохранения к 2030 году [74].</w:t>
      </w:r>
    </w:p>
    <w:p w14:paraId="60E0310D" w14:textId="6698B369"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eastAsia="TimesNewRomanPSMT" w:hAnsi="Times New Roman" w:cs="Times New Roman"/>
          <w:sz w:val="28"/>
          <w:szCs w:val="28"/>
        </w:rPr>
        <w:t>Для дальнейшего развития межсекторального взаимодействия необходимо определить новые роли не только для министров здравоохранения, но и для министров из других секторов. Очень важно в максимальной степени интегрировать использование уже существующих и новых механизмов межсекторального сотрудничества; обеспечить адекватный потенциал для проведения межсекторальной работы на уровне министерств здравоохранения; создавать формальные и неформальные форумы и возможности для межсекторального диалога и приобретения знаний; действовать на политическом и нормативно-правовом, а также техническом и организационном уровнях, применяя прагматичные и пошаговые подходы</w:t>
      </w:r>
      <w:r w:rsidR="005D3980">
        <w:rPr>
          <w:rFonts w:ascii="Times New Roman" w:eastAsia="TimesNewRomanPSMT" w:hAnsi="Times New Roman" w:cs="Times New Roman"/>
          <w:sz w:val="28"/>
          <w:szCs w:val="28"/>
        </w:rPr>
        <w:t xml:space="preserve"> </w:t>
      </w:r>
      <w:r w:rsidRPr="004135FE">
        <w:rPr>
          <w:rFonts w:ascii="Times New Roman" w:hAnsi="Times New Roman" w:cs="Times New Roman"/>
          <w:sz w:val="28"/>
          <w:szCs w:val="28"/>
        </w:rPr>
        <w:t>[75]</w:t>
      </w:r>
      <w:r w:rsidR="005D3980">
        <w:rPr>
          <w:rFonts w:ascii="Times New Roman" w:hAnsi="Times New Roman" w:cs="Times New Roman"/>
          <w:sz w:val="28"/>
          <w:szCs w:val="28"/>
        </w:rPr>
        <w:t>.</w:t>
      </w:r>
    </w:p>
    <w:p w14:paraId="13C6A81A" w14:textId="77777777" w:rsidR="009211A6" w:rsidRPr="004135FE" w:rsidRDefault="009211A6" w:rsidP="004135FE">
      <w:pPr>
        <w:autoSpaceDE w:val="0"/>
        <w:autoSpaceDN w:val="0"/>
        <w:adjustRightInd w:val="0"/>
        <w:spacing w:after="0" w:line="240" w:lineRule="auto"/>
        <w:ind w:firstLine="708"/>
        <w:jc w:val="both"/>
        <w:rPr>
          <w:rStyle w:val="A80"/>
          <w:rFonts w:ascii="Times New Roman" w:eastAsia="TimesNewRomanPSMT" w:hAnsi="Times New Roman" w:cs="Times New Roman"/>
          <w:color w:val="auto"/>
          <w:sz w:val="28"/>
          <w:szCs w:val="28"/>
        </w:rPr>
      </w:pPr>
    </w:p>
    <w:p w14:paraId="472BA1E5" w14:textId="24B56110" w:rsidR="009211A6" w:rsidRPr="004135FE" w:rsidRDefault="00742156" w:rsidP="00742156">
      <w:pPr>
        <w:pStyle w:val="a3"/>
        <w:spacing w:after="0" w:line="240" w:lineRule="auto"/>
        <w:ind w:left="0" w:firstLine="709"/>
        <w:jc w:val="both"/>
        <w:rPr>
          <w:rFonts w:ascii="Times New Roman" w:hAnsi="Times New Roman" w:cs="Times New Roman"/>
          <w:sz w:val="28"/>
          <w:szCs w:val="28"/>
        </w:rPr>
      </w:pPr>
      <w:r>
        <w:rPr>
          <w:rFonts w:ascii="Times New Roman" w:eastAsiaTheme="minorHAnsi" w:hAnsi="Times New Roman" w:cs="Times New Roman"/>
          <w:b/>
          <w:sz w:val="28"/>
          <w:szCs w:val="28"/>
          <w:lang w:eastAsia="en-US"/>
        </w:rPr>
        <w:t>1.3</w:t>
      </w:r>
      <w:r w:rsidR="005D3980">
        <w:rPr>
          <w:rFonts w:ascii="Times New Roman" w:eastAsiaTheme="minorHAnsi" w:hAnsi="Times New Roman" w:cs="Times New Roman"/>
          <w:b/>
          <w:sz w:val="28"/>
          <w:szCs w:val="28"/>
          <w:lang w:eastAsia="en-US"/>
        </w:rPr>
        <w:t xml:space="preserve"> </w:t>
      </w:r>
      <w:r w:rsidR="009211A6" w:rsidRPr="004135FE">
        <w:rPr>
          <w:rFonts w:ascii="Times New Roman" w:eastAsiaTheme="minorHAnsi" w:hAnsi="Times New Roman" w:cs="Times New Roman"/>
          <w:b/>
          <w:sz w:val="28"/>
          <w:szCs w:val="28"/>
          <w:lang w:eastAsia="en-US"/>
        </w:rPr>
        <w:t>Успешный опыт стран по межсекторальному сотрудничеству для профилактики СД2т</w:t>
      </w:r>
    </w:p>
    <w:p w14:paraId="6FEEADB9" w14:textId="768B5A4E"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t>Медленно прогрессирующие «тихие» хронические заболевания, как СД2 в настоящее время являются основной причиной снижения качества жизни. Здравоохранение и медицина должны превратиться в проактивную систему, отходящую от просто реактивного подхода к уходу.</w:t>
      </w:r>
      <w:r w:rsidRPr="004135FE">
        <w:rPr>
          <w:rFonts w:ascii="Times New Roman" w:eastAsia="Times New Roman" w:hAnsi="Times New Roman" w:cs="Times New Roman"/>
          <w:sz w:val="28"/>
          <w:szCs w:val="28"/>
          <w:lang w:val="en"/>
        </w:rPr>
        <w:t> </w:t>
      </w:r>
      <w:r w:rsidRPr="004135FE">
        <w:rPr>
          <w:rFonts w:ascii="Times New Roman" w:eastAsia="Times New Roman" w:hAnsi="Times New Roman" w:cs="Times New Roman"/>
          <w:sz w:val="28"/>
          <w:szCs w:val="28"/>
        </w:rPr>
        <w:t>Минимальное взаимодействие между специалистами и ограниченная информация для ВОП и для индивидуума, получающего помощь, приводят к фрагментарному подходу в отношении здоровья, несогласованным назначениям, разбросанным последующим наблюдениям и неоптимальному соотношению эффективности затрат.</w:t>
      </w:r>
      <w:r w:rsidRPr="004135FE">
        <w:rPr>
          <w:rFonts w:ascii="Times New Roman" w:eastAsia="Times New Roman" w:hAnsi="Times New Roman" w:cs="Times New Roman"/>
          <w:sz w:val="28"/>
          <w:szCs w:val="28"/>
          <w:lang w:val="en"/>
        </w:rPr>
        <w:t> </w:t>
      </w:r>
      <w:r w:rsidRPr="004135FE">
        <w:rPr>
          <w:rFonts w:ascii="Times New Roman" w:eastAsia="Times New Roman" w:hAnsi="Times New Roman" w:cs="Times New Roman"/>
          <w:sz w:val="28"/>
          <w:szCs w:val="28"/>
        </w:rPr>
        <w:t xml:space="preserve">Новый подход в медицине, который является прогностическим, профилактическим, персонализированным и основанным на участии, обозначающийся как «4П», дает большие надежды на снижение бремени СД2 за счет использования технологий и более лучшего понимания взаимодействий </w:t>
      </w:r>
      <w:r w:rsidRPr="004135FE">
        <w:rPr>
          <w:rFonts w:ascii="Times New Roman" w:hAnsi="Times New Roman" w:cs="Times New Roman"/>
          <w:sz w:val="28"/>
          <w:szCs w:val="28"/>
        </w:rPr>
        <w:t>[76].</w:t>
      </w:r>
    </w:p>
    <w:p w14:paraId="328B82C0" w14:textId="77777777" w:rsidR="009211A6" w:rsidRPr="004135FE" w:rsidRDefault="009211A6" w:rsidP="004135FE">
      <w:pPr>
        <w:pStyle w:val="a3"/>
        <w:spacing w:after="0" w:line="240" w:lineRule="auto"/>
        <w:ind w:left="0" w:firstLine="708"/>
        <w:jc w:val="both"/>
        <w:rPr>
          <w:rFonts w:ascii="Times New Roman" w:hAnsi="Times New Roman" w:cs="Times New Roman"/>
          <w:sz w:val="28"/>
          <w:szCs w:val="28"/>
        </w:rPr>
      </w:pPr>
      <w:r w:rsidRPr="004135FE">
        <w:rPr>
          <w:rFonts w:ascii="Times New Roman" w:hAnsi="Times New Roman" w:cs="Times New Roman"/>
          <w:sz w:val="28"/>
          <w:szCs w:val="28"/>
        </w:rPr>
        <w:lastRenderedPageBreak/>
        <w:t xml:space="preserve">Для решения совершенствования реализации сотрудничества в функционирование системы здравоохранения не существуют единого решения и проектов. В разных странах есть свои подходы и опыт, которые могут стать основой для руководителей принимающие решения на общегосударственном уровне для нашей страны. </w:t>
      </w:r>
    </w:p>
    <w:p w14:paraId="526252E8" w14:textId="77777777" w:rsidR="009211A6" w:rsidRPr="00335450" w:rsidRDefault="009211A6" w:rsidP="004135FE">
      <w:pPr>
        <w:spacing w:after="0" w:line="240" w:lineRule="auto"/>
        <w:ind w:firstLine="708"/>
        <w:jc w:val="both"/>
        <w:rPr>
          <w:rFonts w:ascii="Times New Roman" w:hAnsi="Times New Roman" w:cs="Times New Roman"/>
          <w:bCs/>
          <w:i/>
          <w:iCs/>
          <w:sz w:val="28"/>
          <w:szCs w:val="28"/>
        </w:rPr>
      </w:pPr>
      <w:r w:rsidRPr="00335450">
        <w:rPr>
          <w:rFonts w:ascii="Times New Roman" w:eastAsiaTheme="minorHAnsi" w:hAnsi="Times New Roman" w:cs="Times New Roman"/>
          <w:bCs/>
          <w:i/>
          <w:iCs/>
          <w:sz w:val="28"/>
          <w:szCs w:val="28"/>
          <w:lang w:eastAsia="en-US"/>
        </w:rPr>
        <w:t>Успешный опыт Европейских стран:</w:t>
      </w:r>
      <w:r w:rsidRPr="00335450">
        <w:rPr>
          <w:rFonts w:ascii="Times New Roman" w:hAnsi="Times New Roman" w:cs="Times New Roman"/>
          <w:bCs/>
          <w:i/>
          <w:iCs/>
          <w:sz w:val="28"/>
          <w:szCs w:val="28"/>
        </w:rPr>
        <w:t xml:space="preserve"> </w:t>
      </w:r>
    </w:p>
    <w:p w14:paraId="2113790E" w14:textId="57E5C838" w:rsidR="009211A6" w:rsidRPr="004135FE"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i/>
          <w:sz w:val="28"/>
          <w:szCs w:val="28"/>
        </w:rPr>
        <w:t>Опыт Ирландий.</w:t>
      </w:r>
      <w:r w:rsidRPr="004135FE">
        <w:rPr>
          <w:rFonts w:ascii="Times New Roman" w:hAnsi="Times New Roman" w:cs="Times New Roman"/>
          <w:sz w:val="28"/>
          <w:szCs w:val="28"/>
        </w:rPr>
        <w:t xml:space="preserve"> Одним из самых успешных программ по межсекторальному сотрудничеству, на сегодняшний день считается Рамочная программа «Здоровая Ирландия», которая пользуется политической поддержкой на Высшем уровне правительства Ирландии, иллюстрируя многие аспекты концепции управления для здоровья и благополучия, реформируя подходы к СД2т и другим НИЗ, факторов рисков и движется к укреплению системы здравоохранения, всеобщий доступ к здравоохранению. Важно отметить, что также способствует устойчивому развитию, не относящемуся к здоровью, такие как образование и окружающая среда. Программа опирается на существующие политики и предлагает новые меры для «обеспечения эффективного сотрудничество на уровне правительства, секторов, сообществ и местного уровня». Реализация действий управляется через структуру результатов, с ключевыми показателями такие как состояние здоровья, вес, диета и уровень физической активности, а также измеримые целевые уровни здоровья (клинические и лабораторные), показатели неравенства в отношении здоровья и более широкие детерминанты здоровья, доступ к зеленым насаждениям, реализация полноценной иммунизации и др </w:t>
      </w:r>
      <w:r w:rsidRPr="00272615">
        <w:rPr>
          <w:rFonts w:ascii="Times New Roman" w:hAnsi="Times New Roman" w:cs="Times New Roman"/>
          <w:sz w:val="28"/>
          <w:szCs w:val="28"/>
        </w:rPr>
        <w:t>[54].</w:t>
      </w:r>
    </w:p>
    <w:p w14:paraId="0317E1B6" w14:textId="69CEBC4C" w:rsidR="009211A6" w:rsidRPr="004135FE" w:rsidRDefault="009211A6" w:rsidP="00335450">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Инициатива поддержки программы на практике вызван следующими проблемами: в стране продолжительность жизни увеличилась, но уровень состояния здоровья было неизменной, а также растущее население пожилых людей, которые приведут к более высокому бремени хронических заболеваний и расходов связанные с ними. Контроль внедрения программы «Здоровая Ирландия» несет ответственность Комитет Кабинета Министров по социальной политике и государственному сектору, межотраслевая группа под председательством премьер-министра в составе высокопоставленных должностных лиц из государственных ведомств и соответствующие национальные агентства. Основное внимание уделяется науке о внедрении и построению межотраслевых отношении и связи для развития и реализации среды сотрудничества. Целью является культурные изменения, операционные изменения и изменение мышления чтобы здоровье и благополучие были на повестке дня каждого </w:t>
      </w:r>
      <w:r w:rsidRPr="00272615">
        <w:rPr>
          <w:rFonts w:ascii="Times New Roman" w:hAnsi="Times New Roman" w:cs="Times New Roman"/>
          <w:sz w:val="28"/>
          <w:szCs w:val="28"/>
        </w:rPr>
        <w:t xml:space="preserve">человека </w:t>
      </w:r>
      <w:r w:rsidR="00335450" w:rsidRPr="00272615">
        <w:rPr>
          <w:rFonts w:ascii="Times New Roman" w:hAnsi="Times New Roman" w:cs="Times New Roman"/>
          <w:sz w:val="28"/>
          <w:szCs w:val="28"/>
        </w:rPr>
        <w:t>[54].</w:t>
      </w:r>
      <w:r w:rsidR="00335450">
        <w:rPr>
          <w:rFonts w:ascii="Times New Roman" w:hAnsi="Times New Roman" w:cs="Times New Roman"/>
          <w:sz w:val="28"/>
          <w:szCs w:val="28"/>
        </w:rPr>
        <w:t xml:space="preserve"> </w:t>
      </w:r>
      <w:r w:rsidRPr="004135FE">
        <w:rPr>
          <w:rFonts w:ascii="Times New Roman" w:hAnsi="Times New Roman" w:cs="Times New Roman"/>
          <w:sz w:val="28"/>
          <w:szCs w:val="28"/>
        </w:rPr>
        <w:t xml:space="preserve">Ключевой частью является развитие и инвестиции в национальную программу, который является надежным источником информации для продвижения и поддержки здоровье и благополучие, также чтобы соединить по вертикали - национальную политику к действиям на местах и ​​наоборот. Также горизонтальное межсекторальное сотрудничество с отдельными действиями, связанными обеспечивая кумулятивный эффект и максимизируя ресурсы и энергию. Работая в </w:t>
      </w:r>
      <w:r w:rsidRPr="004135FE">
        <w:rPr>
          <w:rFonts w:ascii="Times New Roman" w:hAnsi="Times New Roman" w:cs="Times New Roman"/>
          <w:sz w:val="28"/>
          <w:szCs w:val="28"/>
        </w:rPr>
        <w:lastRenderedPageBreak/>
        <w:t>партнерстве с государственными ведомствами, уставными, общественными и добровольными организациями, а также совещания с общественностью, привели к разработке документов по национальной политике с последовательным подходом:</w:t>
      </w:r>
    </w:p>
    <w:p w14:paraId="463AAB81" w14:textId="28A0DE77" w:rsidR="009211A6" w:rsidRPr="004135FE" w:rsidRDefault="00335450" w:rsidP="00335450">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 xml:space="preserve">- </w:t>
      </w:r>
      <w:r w:rsidR="009211A6" w:rsidRPr="004135FE">
        <w:rPr>
          <w:rFonts w:ascii="Times New Roman" w:hAnsi="Times New Roman" w:cs="Times New Roman"/>
          <w:sz w:val="28"/>
          <w:szCs w:val="28"/>
        </w:rPr>
        <w:t>Ирландия без табака (2013 г.)</w:t>
      </w:r>
      <w:r>
        <w:rPr>
          <w:rFonts w:ascii="Times New Roman" w:hAnsi="Times New Roman" w:cs="Times New Roman"/>
          <w:sz w:val="28"/>
          <w:szCs w:val="28"/>
        </w:rPr>
        <w:t>;</w:t>
      </w:r>
    </w:p>
    <w:p w14:paraId="53D24A08" w14:textId="3E834E7A" w:rsidR="009211A6" w:rsidRPr="004135FE" w:rsidRDefault="00335450" w:rsidP="0033545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211A6" w:rsidRPr="004135FE">
        <w:rPr>
          <w:rFonts w:ascii="Times New Roman" w:hAnsi="Times New Roman" w:cs="Times New Roman"/>
          <w:sz w:val="28"/>
          <w:szCs w:val="28"/>
        </w:rPr>
        <w:t xml:space="preserve"> Национальная стратегия сексуального здоровья на 2015–2020 годы (2015 г.)</w:t>
      </w:r>
      <w:r>
        <w:rPr>
          <w:rFonts w:ascii="Times New Roman" w:hAnsi="Times New Roman" w:cs="Times New Roman"/>
          <w:sz w:val="28"/>
          <w:szCs w:val="28"/>
        </w:rPr>
        <w:t>;</w:t>
      </w:r>
    </w:p>
    <w:p w14:paraId="456F0167" w14:textId="59B0EFA9" w:rsidR="009211A6" w:rsidRPr="004135FE" w:rsidRDefault="00335450" w:rsidP="0033545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211A6" w:rsidRPr="004135FE">
        <w:rPr>
          <w:rFonts w:ascii="Times New Roman" w:hAnsi="Times New Roman" w:cs="Times New Roman"/>
          <w:sz w:val="28"/>
          <w:szCs w:val="28"/>
        </w:rPr>
        <w:t xml:space="preserve"> Get Ireland Active – Национальный план физической активности для Ирландия (2016</w:t>
      </w:r>
      <w:r>
        <w:rPr>
          <w:rFonts w:ascii="Times New Roman" w:hAnsi="Times New Roman" w:cs="Times New Roman"/>
          <w:sz w:val="28"/>
          <w:szCs w:val="28"/>
        </w:rPr>
        <w:t xml:space="preserve"> г.</w:t>
      </w:r>
      <w:r w:rsidR="009211A6" w:rsidRPr="004135FE">
        <w:rPr>
          <w:rFonts w:ascii="Times New Roman" w:hAnsi="Times New Roman" w:cs="Times New Roman"/>
          <w:sz w:val="28"/>
          <w:szCs w:val="28"/>
        </w:rPr>
        <w:t>)</w:t>
      </w:r>
      <w:r>
        <w:rPr>
          <w:rFonts w:ascii="Times New Roman" w:hAnsi="Times New Roman" w:cs="Times New Roman"/>
          <w:sz w:val="28"/>
          <w:szCs w:val="28"/>
        </w:rPr>
        <w:t>;</w:t>
      </w:r>
    </w:p>
    <w:p w14:paraId="4E95A6DB" w14:textId="1BD4B62A" w:rsidR="009211A6" w:rsidRPr="004135FE" w:rsidRDefault="00335450" w:rsidP="0033545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211A6" w:rsidRPr="004135FE">
        <w:rPr>
          <w:rFonts w:ascii="Times New Roman" w:hAnsi="Times New Roman" w:cs="Times New Roman"/>
          <w:sz w:val="28"/>
          <w:szCs w:val="28"/>
        </w:rPr>
        <w:t xml:space="preserve"> Здоровый вес для Ирландии – Ожирение и меры политики 2016–2025</w:t>
      </w:r>
      <w:r>
        <w:rPr>
          <w:rFonts w:ascii="Times New Roman" w:hAnsi="Times New Roman" w:cs="Times New Roman"/>
          <w:sz w:val="28"/>
          <w:szCs w:val="28"/>
        </w:rPr>
        <w:t xml:space="preserve"> гг.</w:t>
      </w:r>
      <w:r w:rsidR="009211A6" w:rsidRPr="004135FE">
        <w:rPr>
          <w:rFonts w:ascii="Times New Roman" w:hAnsi="Times New Roman" w:cs="Times New Roman"/>
          <w:sz w:val="28"/>
          <w:szCs w:val="28"/>
        </w:rPr>
        <w:t xml:space="preserve"> (2016</w:t>
      </w:r>
      <w:r>
        <w:rPr>
          <w:rFonts w:ascii="Times New Roman" w:hAnsi="Times New Roman" w:cs="Times New Roman"/>
          <w:sz w:val="28"/>
          <w:szCs w:val="28"/>
        </w:rPr>
        <w:t xml:space="preserve"> г.</w:t>
      </w:r>
      <w:r w:rsidR="009211A6" w:rsidRPr="004135FE">
        <w:rPr>
          <w:rFonts w:ascii="Times New Roman" w:hAnsi="Times New Roman" w:cs="Times New Roman"/>
          <w:sz w:val="28"/>
          <w:szCs w:val="28"/>
        </w:rPr>
        <w:t>)</w:t>
      </w:r>
      <w:r>
        <w:rPr>
          <w:rFonts w:ascii="Times New Roman" w:hAnsi="Times New Roman" w:cs="Times New Roman"/>
          <w:sz w:val="28"/>
          <w:szCs w:val="28"/>
        </w:rPr>
        <w:t>;</w:t>
      </w:r>
    </w:p>
    <w:p w14:paraId="5E2F029D" w14:textId="550453E5" w:rsidR="009211A6" w:rsidRPr="004135FE" w:rsidRDefault="00335450" w:rsidP="0033545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9211A6" w:rsidRPr="004135FE">
        <w:rPr>
          <w:rFonts w:ascii="Times New Roman" w:hAnsi="Times New Roman" w:cs="Times New Roman"/>
          <w:sz w:val="28"/>
          <w:szCs w:val="28"/>
        </w:rPr>
        <w:t>Уменьшение вреда, поддержка выздоровления: Реагирование на употребление наркотиков и алкоголя в Ирландии, 2017–2025 гг. (2017</w:t>
      </w:r>
      <w:r>
        <w:rPr>
          <w:rFonts w:ascii="Times New Roman" w:hAnsi="Times New Roman" w:cs="Times New Roman"/>
          <w:sz w:val="28"/>
          <w:szCs w:val="28"/>
        </w:rPr>
        <w:t xml:space="preserve"> г.</w:t>
      </w:r>
      <w:r w:rsidR="009211A6" w:rsidRPr="004135FE">
        <w:rPr>
          <w:rFonts w:ascii="Times New Roman" w:hAnsi="Times New Roman" w:cs="Times New Roman"/>
          <w:sz w:val="28"/>
          <w:szCs w:val="28"/>
        </w:rPr>
        <w:t>)</w:t>
      </w:r>
      <w:r>
        <w:rPr>
          <w:rFonts w:ascii="Times New Roman" w:hAnsi="Times New Roman" w:cs="Times New Roman"/>
          <w:sz w:val="28"/>
          <w:szCs w:val="28"/>
        </w:rPr>
        <w:t>;</w:t>
      </w:r>
    </w:p>
    <w:p w14:paraId="4C841FD2" w14:textId="14BCF7ED" w:rsidR="009211A6" w:rsidRPr="004135FE" w:rsidRDefault="00335450" w:rsidP="00335450">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w:t>
      </w:r>
      <w:r w:rsidR="009211A6" w:rsidRPr="004135FE">
        <w:rPr>
          <w:rFonts w:ascii="Times New Roman" w:hAnsi="Times New Roman" w:cs="Times New Roman"/>
          <w:sz w:val="28"/>
          <w:szCs w:val="28"/>
        </w:rPr>
        <w:t xml:space="preserve"> Структура результатов программы «Здоровая Ирландия» (2018 г.)</w:t>
      </w:r>
      <w:r>
        <w:rPr>
          <w:rFonts w:ascii="Times New Roman" w:hAnsi="Times New Roman" w:cs="Times New Roman"/>
          <w:sz w:val="28"/>
          <w:szCs w:val="28"/>
        </w:rPr>
        <w:t>;</w:t>
      </w:r>
    </w:p>
    <w:p w14:paraId="03C58C84" w14:textId="0DD9AE8B" w:rsidR="009211A6" w:rsidRPr="004135FE" w:rsidRDefault="00335450" w:rsidP="00335450">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w:t>
      </w:r>
      <w:r w:rsidR="009211A6" w:rsidRPr="004135FE">
        <w:rPr>
          <w:rFonts w:ascii="Times New Roman" w:hAnsi="Times New Roman" w:cs="Times New Roman"/>
          <w:sz w:val="28"/>
          <w:szCs w:val="28"/>
        </w:rPr>
        <w:t xml:space="preserve"> План профилактики рака кожи на 2019–2022 гг. (2019 г.)</w:t>
      </w:r>
      <w:r>
        <w:rPr>
          <w:rFonts w:ascii="Times New Roman" w:hAnsi="Times New Roman" w:cs="Times New Roman"/>
          <w:sz w:val="28"/>
          <w:szCs w:val="28"/>
        </w:rPr>
        <w:t>.</w:t>
      </w:r>
    </w:p>
    <w:p w14:paraId="4CAC5388" w14:textId="73B94C39" w:rsidR="009211A6" w:rsidRPr="004135FE" w:rsidRDefault="009211A6" w:rsidP="00335450">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Правительство обязалась и инвестировала проведение ежегодного опроса Healthy Ireland, который позволит каждый год обследовать здоровья и благополучие населения и дает актуальную картину здоровья нации с 2015</w:t>
      </w:r>
      <w:r w:rsidR="00335450">
        <w:rPr>
          <w:rFonts w:ascii="Times New Roman" w:hAnsi="Times New Roman" w:cs="Times New Roman"/>
          <w:sz w:val="28"/>
          <w:szCs w:val="28"/>
        </w:rPr>
        <w:t xml:space="preserve"> </w:t>
      </w:r>
      <w:r w:rsidRPr="004135FE">
        <w:rPr>
          <w:rFonts w:ascii="Times New Roman" w:hAnsi="Times New Roman" w:cs="Times New Roman"/>
          <w:sz w:val="28"/>
          <w:szCs w:val="28"/>
        </w:rPr>
        <w:t>г. [54]</w:t>
      </w:r>
      <w:r w:rsidR="00335450">
        <w:rPr>
          <w:rFonts w:ascii="Times New Roman" w:hAnsi="Times New Roman" w:cs="Times New Roman"/>
          <w:sz w:val="28"/>
          <w:szCs w:val="28"/>
        </w:rPr>
        <w:t>.</w:t>
      </w:r>
    </w:p>
    <w:p w14:paraId="4075E5ED" w14:textId="77777777" w:rsidR="009211A6" w:rsidRPr="004135FE" w:rsidRDefault="009211A6" w:rsidP="004135FE">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135FE">
        <w:rPr>
          <w:rFonts w:ascii="Times New Roman" w:hAnsi="Times New Roman" w:cs="Times New Roman"/>
          <w:sz w:val="28"/>
          <w:szCs w:val="28"/>
        </w:rPr>
        <w:t>При изучении опыта оказания помощи на уровне ПМСП в 27 европейских странах, установлено, что в </w:t>
      </w:r>
      <w:r w:rsidRPr="004135FE">
        <w:rPr>
          <w:rStyle w:val="ac"/>
          <w:rFonts w:ascii="Times New Roman" w:eastAsiaTheme="majorEastAsia" w:hAnsi="Times New Roman" w:cs="Times New Roman"/>
          <w:i w:val="0"/>
          <w:sz w:val="28"/>
          <w:szCs w:val="28"/>
        </w:rPr>
        <w:t>Великобритании и Нидерландах</w:t>
      </w:r>
      <w:r w:rsidRPr="004135FE">
        <w:rPr>
          <w:rFonts w:ascii="Times New Roman" w:hAnsi="Times New Roman" w:cs="Times New Roman"/>
          <w:sz w:val="28"/>
          <w:szCs w:val="28"/>
        </w:rPr>
        <w:t> ПМСП организована на высоком уровне. Как один из значимых индикаторов оценки качества оказания помощи на уровне ПМСП определена удовлетворенность пациентов: при анализе качества жизни людей, имеющих СД2т и людей без диабета [77].</w:t>
      </w:r>
    </w:p>
    <w:p w14:paraId="06029635" w14:textId="77777777" w:rsidR="009211A6" w:rsidRPr="004135FE" w:rsidRDefault="009211A6" w:rsidP="004135FE">
      <w:pPr>
        <w:autoSpaceDE w:val="0"/>
        <w:autoSpaceDN w:val="0"/>
        <w:adjustRightInd w:val="0"/>
        <w:spacing w:after="0" w:line="240" w:lineRule="auto"/>
        <w:ind w:firstLine="708"/>
        <w:jc w:val="both"/>
        <w:rPr>
          <w:rStyle w:val="A80"/>
          <w:rFonts w:ascii="Times New Roman" w:hAnsi="Times New Roman" w:cs="Times New Roman"/>
          <w:color w:val="auto"/>
          <w:sz w:val="28"/>
          <w:szCs w:val="28"/>
        </w:rPr>
      </w:pPr>
      <w:r w:rsidRPr="004135FE">
        <w:rPr>
          <w:rStyle w:val="A30"/>
          <w:rFonts w:ascii="Times New Roman" w:hAnsi="Times New Roman" w:cs="Times New Roman"/>
          <w:i/>
          <w:color w:val="auto"/>
          <w:sz w:val="28"/>
          <w:szCs w:val="28"/>
        </w:rPr>
        <w:t>Успешный опыт межсекторального сотрудничества между службами общественного здравоохранения и ПМСП в пяти европейских странах, как Австрия, Дания, Италия, Нидерланды и Швеция определил три основных условия, выполнение которых позволяет эффективно наращивать сотрудничество между работниками общественного здравоохранения и ПМСП</w:t>
      </w:r>
      <w:r w:rsidRPr="004135FE">
        <w:rPr>
          <w:rStyle w:val="A30"/>
          <w:rFonts w:ascii="Times New Roman" w:hAnsi="Times New Roman" w:cs="Times New Roman"/>
          <w:color w:val="auto"/>
          <w:sz w:val="28"/>
          <w:szCs w:val="28"/>
        </w:rPr>
        <w:t xml:space="preserve">: </w:t>
      </w:r>
    </w:p>
    <w:p w14:paraId="6BE64A12" w14:textId="77777777" w:rsidR="00335450"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1) необходимо, чтобы мотивация сотрудников базировалась на возможности улучшить условия труда и внести свой вклад в достижение целей поддерживаемой программы; от них требуется владение знаниями и навыками, необходимыми для реализации программы</w:t>
      </w:r>
      <w:r w:rsidR="00335450">
        <w:rPr>
          <w:rFonts w:ascii="Times New Roman" w:hAnsi="Times New Roman" w:cs="Times New Roman"/>
          <w:sz w:val="28"/>
          <w:szCs w:val="28"/>
        </w:rPr>
        <w:t>;</w:t>
      </w:r>
    </w:p>
    <w:p w14:paraId="3501FBDB" w14:textId="77777777" w:rsidR="00335450"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2) сотрудничеству должна способствовать организационная культура, что предполагает расширение прав и возможностей местного руководства, укрепление доверия и товарищества среди коллег, поощрение профессионального совершенствования и предоставление возможностей для развития коммуникативных способностей и навыков сотрудничества</w:t>
      </w:r>
      <w:r w:rsidR="00335450">
        <w:rPr>
          <w:rFonts w:ascii="Times New Roman" w:hAnsi="Times New Roman" w:cs="Times New Roman"/>
          <w:sz w:val="28"/>
          <w:szCs w:val="28"/>
        </w:rPr>
        <w:t>;</w:t>
      </w:r>
    </w:p>
    <w:p w14:paraId="2C493251" w14:textId="2827DDB2"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3) формальные механизмы сотрудничества – либо характерные для конкретной программы, либо интегрированные в структуру национальной политики – должны обеспечивать беспрепятственный обмен информацией и коллегиальное принятие решений. </w:t>
      </w:r>
      <w:r w:rsidRPr="004135FE">
        <w:rPr>
          <w:rStyle w:val="A80"/>
          <w:rFonts w:ascii="Times New Roman" w:hAnsi="Times New Roman" w:cs="Times New Roman"/>
          <w:color w:val="auto"/>
          <w:sz w:val="28"/>
          <w:szCs w:val="28"/>
        </w:rPr>
        <w:t xml:space="preserve">Эти условия применимы как на </w:t>
      </w:r>
      <w:r w:rsidRPr="004135FE">
        <w:rPr>
          <w:rStyle w:val="A80"/>
          <w:rFonts w:ascii="Times New Roman" w:hAnsi="Times New Roman" w:cs="Times New Roman"/>
          <w:color w:val="auto"/>
          <w:sz w:val="28"/>
          <w:szCs w:val="28"/>
        </w:rPr>
        <w:lastRenderedPageBreak/>
        <w:t>вертикальном (национальном, региональном, муниципальном), так и на горизонтальном уровнях (ПМСП, общественное здравоохранение, социальные службы и НПО, а также другие заинтересованные стороны</w:t>
      </w:r>
      <w:r w:rsidRPr="00272615">
        <w:rPr>
          <w:rStyle w:val="A80"/>
          <w:rFonts w:ascii="Times New Roman" w:hAnsi="Times New Roman" w:cs="Times New Roman"/>
          <w:color w:val="auto"/>
          <w:sz w:val="28"/>
          <w:szCs w:val="28"/>
        </w:rPr>
        <w:t xml:space="preserve">) </w:t>
      </w:r>
      <w:r w:rsidRPr="00272615">
        <w:rPr>
          <w:rFonts w:ascii="Times New Roman" w:hAnsi="Times New Roman" w:cs="Times New Roman"/>
          <w:sz w:val="28"/>
          <w:szCs w:val="28"/>
        </w:rPr>
        <w:t>[77].</w:t>
      </w:r>
      <w:r w:rsidRPr="004135FE">
        <w:rPr>
          <w:rFonts w:ascii="Times New Roman" w:hAnsi="Times New Roman" w:cs="Times New Roman"/>
          <w:sz w:val="28"/>
          <w:szCs w:val="28"/>
        </w:rPr>
        <w:t xml:space="preserve"> </w:t>
      </w:r>
    </w:p>
    <w:p w14:paraId="0F1C16B5" w14:textId="77777777"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Примеры опыта стран по сотрудничеству ПМСП и других секторов:</w:t>
      </w:r>
    </w:p>
    <w:p w14:paraId="439FE9F5" w14:textId="77777777"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i/>
          <w:sz w:val="28"/>
          <w:szCs w:val="28"/>
        </w:rPr>
        <w:t>Опыт Австрии</w:t>
      </w:r>
      <w:r w:rsidRPr="004135FE">
        <w:rPr>
          <w:rFonts w:ascii="Times New Roman" w:hAnsi="Times New Roman" w:cs="Times New Roman"/>
          <w:sz w:val="28"/>
          <w:szCs w:val="28"/>
        </w:rPr>
        <w:t xml:space="preserve"> [78]. Многопрофильные отделения ПМСП под руководством частных ВОП работают с целью улучшения современного медицинского обслуживания, интеграции мер по укреплению здоровья и профилактике заболеваний, а также улучшения координации со специализированными службами; эта модель была разработана совместно со всеми партнерами и отражена в национальном законодательстве, но выбор пациентов на добровольной основе. </w:t>
      </w:r>
    </w:p>
    <w:p w14:paraId="68DF2B6D" w14:textId="6A702D12" w:rsidR="009211A6" w:rsidRPr="004135FE" w:rsidRDefault="009211A6" w:rsidP="004135FE">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135FE">
        <w:rPr>
          <w:rFonts w:ascii="Times New Roman" w:hAnsi="Times New Roman" w:cs="Times New Roman"/>
          <w:i/>
          <w:sz w:val="28"/>
          <w:szCs w:val="28"/>
        </w:rPr>
        <w:t>Опыт Дании.</w:t>
      </w:r>
      <w:r w:rsidRPr="004135FE">
        <w:rPr>
          <w:rFonts w:ascii="Times New Roman" w:hAnsi="Times New Roman" w:cs="Times New Roman"/>
          <w:sz w:val="28"/>
          <w:szCs w:val="28"/>
        </w:rPr>
        <w:t xml:space="preserve"> </w:t>
      </w:r>
      <w:r w:rsidRPr="004135FE">
        <w:rPr>
          <w:rFonts w:ascii="Times New Roman" w:eastAsia="Times New Roman" w:hAnsi="Times New Roman" w:cs="Times New Roman"/>
          <w:sz w:val="28"/>
          <w:szCs w:val="28"/>
        </w:rPr>
        <w:t xml:space="preserve">Как показывают результаты налаженных работ внутри коллектива системы здравоохранения, профилактика заболеваний является основной задачей в общей практике в Дании и скандинавских странах </w:t>
      </w:r>
      <w:r w:rsidRPr="004135FE">
        <w:rPr>
          <w:rFonts w:ascii="Times New Roman" w:eastAsiaTheme="minorHAnsi" w:hAnsi="Times New Roman" w:cs="Times New Roman"/>
          <w:sz w:val="28"/>
          <w:szCs w:val="28"/>
          <w:lang w:eastAsia="en-US"/>
        </w:rPr>
        <w:t>[79].</w:t>
      </w:r>
      <w:r w:rsidRPr="004135FE">
        <w:rPr>
          <w:rFonts w:ascii="Times New Roman" w:eastAsia="Times New Roman" w:hAnsi="Times New Roman" w:cs="Times New Roman"/>
          <w:sz w:val="28"/>
          <w:szCs w:val="28"/>
          <w:lang w:val="en-US"/>
        </w:rPr>
        <w:t> </w:t>
      </w:r>
      <w:r w:rsidRPr="004135FE">
        <w:rPr>
          <w:rFonts w:ascii="Times New Roman" w:eastAsia="Times New Roman" w:hAnsi="Times New Roman" w:cs="Times New Roman"/>
          <w:sz w:val="28"/>
          <w:szCs w:val="28"/>
        </w:rPr>
        <w:t xml:space="preserve">Систематический обзор медицинских осмотров ВОП показывают, что люди с высоким риском СД2 могут получить пользу от целевых профилактических медицинских проверок </w:t>
      </w:r>
      <w:r w:rsidRPr="004135FE">
        <w:rPr>
          <w:rFonts w:ascii="Times New Roman" w:eastAsiaTheme="minorHAnsi" w:hAnsi="Times New Roman" w:cs="Times New Roman"/>
          <w:sz w:val="28"/>
          <w:szCs w:val="28"/>
          <w:lang w:eastAsia="en-US"/>
        </w:rPr>
        <w:t>[80,81].</w:t>
      </w:r>
      <w:r w:rsidRPr="004135FE">
        <w:rPr>
          <w:rFonts w:ascii="Times New Roman" w:eastAsia="Times New Roman" w:hAnsi="Times New Roman" w:cs="Times New Roman"/>
          <w:sz w:val="28"/>
          <w:szCs w:val="28"/>
        </w:rPr>
        <w:t xml:space="preserve"> Датская система здравоохранения является налоговой системой, состоящей из трех уровней: Национальный уровень, отвечающий, за общественное здравоохранение, планирование и безопасность пациентов; Региональный уровень, отвечающий за больницы и ПМСП; Муниципальный уровень, ответственный за первичную профилактику, реабилитацию и обучение пациентов. Общая практика и муниципалитеты разделили ответственность за профилактические услуги, направленные на человека. В частности, ВОП оценивают состояние здоровья пациентов и проводят вторичную профилактику по конкретным заболеваниям. Тем не менее, перед муниципалитетами стоит задача первичной профилактики, такой как прекращение курения, лечение алкоголизма, и другие услуги, связанные с образом жизни.  Почти все граждане Дании (98%) зарегистрированы в ВОП </w:t>
      </w:r>
      <w:r w:rsidRPr="004135FE">
        <w:rPr>
          <w:rFonts w:ascii="Times New Roman" w:eastAsiaTheme="minorHAnsi" w:hAnsi="Times New Roman" w:cs="Times New Roman"/>
          <w:sz w:val="28"/>
          <w:szCs w:val="28"/>
          <w:lang w:eastAsia="en-US"/>
        </w:rPr>
        <w:t>[82-8</w:t>
      </w:r>
      <w:r w:rsidR="005E0688">
        <w:rPr>
          <w:rFonts w:ascii="Times New Roman" w:eastAsiaTheme="minorHAnsi" w:hAnsi="Times New Roman" w:cs="Times New Roman"/>
          <w:sz w:val="28"/>
          <w:szCs w:val="28"/>
          <w:lang w:eastAsia="en-US"/>
        </w:rPr>
        <w:t>3</w:t>
      </w:r>
      <w:r w:rsidRPr="004135FE">
        <w:rPr>
          <w:rFonts w:ascii="Times New Roman" w:eastAsiaTheme="minorHAnsi" w:hAnsi="Times New Roman" w:cs="Times New Roman"/>
          <w:sz w:val="28"/>
          <w:szCs w:val="28"/>
          <w:lang w:eastAsia="en-US"/>
        </w:rPr>
        <w:t>].</w:t>
      </w:r>
      <w:r w:rsidRPr="004135FE">
        <w:rPr>
          <w:rFonts w:ascii="Times New Roman" w:eastAsia="Times New Roman" w:hAnsi="Times New Roman" w:cs="Times New Roman"/>
          <w:sz w:val="28"/>
          <w:szCs w:val="28"/>
        </w:rPr>
        <w:t xml:space="preserve">  Каждый участковый врач имеет в среднем 1600 зарегистрированных пациентов.</w:t>
      </w:r>
    </w:p>
    <w:p w14:paraId="5491E31E" w14:textId="77777777"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Датская программа Дозированная физическая активность по рекомендации врача, который служит профилактической мерой СД2т и других хронических заболевании, осложнении:</w:t>
      </w:r>
      <w:r w:rsidRPr="004135FE">
        <w:rPr>
          <w:rFonts w:ascii="Times New Roman" w:eastAsiaTheme="minorHAnsi" w:hAnsi="Times New Roman" w:cs="Times New Roman"/>
          <w:sz w:val="28"/>
          <w:szCs w:val="28"/>
          <w:lang w:eastAsia="en-US"/>
        </w:rPr>
        <w:t xml:space="preserve"> [84]</w:t>
      </w:r>
      <w:r w:rsidRPr="004135FE">
        <w:rPr>
          <w:rFonts w:ascii="Times New Roman" w:hAnsi="Times New Roman" w:cs="Times New Roman"/>
          <w:sz w:val="28"/>
          <w:szCs w:val="28"/>
        </w:rPr>
        <w:t xml:space="preserve"> под надзором ВОП и его СМР выявляются пациенты с гиподинамией, риском нарушения массы тела, диабетом, сердечно-сосудистыми заболеваниями. Далее в течение 4 месяцев, на основе индивидуальной письменной рекомендации на проведения мероприятии в борьбе с выявленными аспектами поведения и проблем проводятся мотивационные беседы, оценка состояния здоровья и личную физическую активность.</w:t>
      </w:r>
    </w:p>
    <w:p w14:paraId="7BC2CCA9" w14:textId="77777777"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i/>
          <w:sz w:val="28"/>
          <w:szCs w:val="28"/>
        </w:rPr>
        <w:t>Опыт Нидерландии</w:t>
      </w:r>
      <w:r w:rsidRPr="004135FE">
        <w:rPr>
          <w:rFonts w:ascii="Times New Roman" w:hAnsi="Times New Roman" w:cs="Times New Roman"/>
          <w:sz w:val="28"/>
          <w:szCs w:val="28"/>
        </w:rPr>
        <w:t xml:space="preserve">. Программа по инициативе общественного здравоохранения на уровне ПМСП выявить </w:t>
      </w:r>
      <w:r w:rsidRPr="004135FE">
        <w:rPr>
          <w:rFonts w:ascii="Times New Roman" w:hAnsi="Times New Roman" w:cs="Times New Roman"/>
          <w:i/>
          <w:sz w:val="28"/>
          <w:szCs w:val="28"/>
        </w:rPr>
        <w:t>уязвимые группы населения</w:t>
      </w:r>
      <w:r w:rsidRPr="004135FE">
        <w:rPr>
          <w:rFonts w:ascii="Times New Roman" w:hAnsi="Times New Roman" w:cs="Times New Roman"/>
          <w:sz w:val="28"/>
          <w:szCs w:val="28"/>
        </w:rPr>
        <w:t xml:space="preserve"> и направить специалистам по поведенческому консультированию и в службы охраны психического здоровья в рамках основного пакета услуг страхования с 2019г, который до этого осуществлялся муниципалитетом.</w:t>
      </w:r>
    </w:p>
    <w:p w14:paraId="7B327CA2" w14:textId="77777777"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i/>
          <w:sz w:val="28"/>
          <w:szCs w:val="28"/>
        </w:rPr>
        <w:lastRenderedPageBreak/>
        <w:t>Амстердамская программа</w:t>
      </w:r>
      <w:r w:rsidRPr="004135FE">
        <w:rPr>
          <w:rFonts w:ascii="Times New Roman" w:hAnsi="Times New Roman" w:cs="Times New Roman"/>
          <w:sz w:val="28"/>
          <w:szCs w:val="28"/>
        </w:rPr>
        <w:t xml:space="preserve"> по поддержанию здоровой массы тела </w:t>
      </w:r>
      <w:r w:rsidRPr="004135FE">
        <w:rPr>
          <w:rFonts w:ascii="Times New Roman" w:eastAsiaTheme="minorHAnsi" w:hAnsi="Times New Roman" w:cs="Times New Roman"/>
          <w:sz w:val="28"/>
          <w:szCs w:val="28"/>
          <w:lang w:eastAsia="en-US"/>
        </w:rPr>
        <w:t>[85-86].</w:t>
      </w:r>
      <w:r w:rsidRPr="004135FE">
        <w:rPr>
          <w:rFonts w:ascii="Times New Roman" w:hAnsi="Times New Roman" w:cs="Times New Roman"/>
          <w:sz w:val="28"/>
          <w:szCs w:val="28"/>
        </w:rPr>
        <w:t xml:space="preserve"> Впервые данная программа была запущена муниципалитетом Амстердама, но в настоящее время она реализуется во многих других муниципалитетах в качестве комплексного подхода к решению проблемы детского ожирения. Сотрудничестве участвуют ПМСП, страховые компании, школы, спонсоры как деловые круги и городской совет. Школьники с факторами риска, направляются на мероприятия по охране здоровья, для улучшения питания, режим отдыха и сна, повышения физической активности. В основе подхода «Школы за здоровье» проводятся пропаганда здорового поведения в связи с одной или несколькими темами здоровья: питание, физические упражнения и спорт, профилактика курения, употребления алкоголя и употребления наркотиков, благополучие, отношения и сексуальность, гигиена, уход за кожей и зубами, окружающая среда в помещениях, окружающая среда и физическая безопасность, медийно-информационная грамотность и потеря слуха [87].</w:t>
      </w:r>
    </w:p>
    <w:p w14:paraId="5AE43BD3" w14:textId="77777777" w:rsidR="009211A6" w:rsidRPr="005E0688" w:rsidRDefault="009211A6" w:rsidP="004135FE">
      <w:pPr>
        <w:autoSpaceDE w:val="0"/>
        <w:autoSpaceDN w:val="0"/>
        <w:adjustRightInd w:val="0"/>
        <w:spacing w:after="0" w:line="240" w:lineRule="auto"/>
        <w:ind w:firstLine="708"/>
        <w:jc w:val="both"/>
        <w:rPr>
          <w:rStyle w:val="aa"/>
          <w:rFonts w:ascii="Times New Roman" w:hAnsi="Times New Roman" w:cs="Times New Roman"/>
          <w:bCs w:val="0"/>
          <w:sz w:val="28"/>
          <w:szCs w:val="28"/>
          <w:shd w:val="clear" w:color="auto" w:fill="FFFFFF"/>
        </w:rPr>
      </w:pPr>
      <w:r w:rsidRPr="005E0688">
        <w:rPr>
          <w:rFonts w:ascii="Times New Roman" w:eastAsiaTheme="minorHAnsi" w:hAnsi="Times New Roman" w:cs="Times New Roman"/>
          <w:bCs/>
          <w:sz w:val="28"/>
          <w:szCs w:val="28"/>
          <w:lang w:eastAsia="en-US"/>
        </w:rPr>
        <w:t>Опыт США</w:t>
      </w:r>
      <w:r w:rsidRPr="005E0688">
        <w:rPr>
          <w:rFonts w:ascii="Times New Roman" w:hAnsi="Times New Roman" w:cs="Times New Roman"/>
          <w:bCs/>
          <w:sz w:val="28"/>
          <w:szCs w:val="28"/>
        </w:rPr>
        <w:t xml:space="preserve">. </w:t>
      </w:r>
    </w:p>
    <w:p w14:paraId="00D7F9EE" w14:textId="77777777" w:rsidR="009211A6" w:rsidRPr="004135FE" w:rsidRDefault="009211A6" w:rsidP="004135FE">
      <w:pPr>
        <w:pStyle w:val="af"/>
        <w:shd w:val="clear" w:color="auto" w:fill="FFFFFF"/>
        <w:spacing w:before="0" w:beforeAutospacing="0" w:after="0" w:afterAutospacing="0"/>
        <w:ind w:firstLine="708"/>
        <w:jc w:val="both"/>
        <w:rPr>
          <w:sz w:val="28"/>
          <w:szCs w:val="28"/>
        </w:rPr>
      </w:pPr>
      <w:r w:rsidRPr="004135FE">
        <w:rPr>
          <w:sz w:val="28"/>
          <w:szCs w:val="28"/>
        </w:rPr>
        <w:t>В США бороться с ожирением пытаются на самом высоком уровне. Мишель Обама организовала программу под названием "Давай двигаться", призывала своих соотечественников правильно питаться и заниматься спортом. Была разработана специальная диета для школьников, обновлена программа физической подготовки в учебных заведениях, построены супермаркеты со здоровой едой в оживленных кварталах. Через пять лет от начала программы по оценке проведенных результатов, школьников с ожирением в США стало только больше [88].</w:t>
      </w:r>
    </w:p>
    <w:p w14:paraId="789BBEA1" w14:textId="77777777" w:rsidR="009211A6" w:rsidRPr="004135FE" w:rsidRDefault="009211A6" w:rsidP="004135FE">
      <w:pPr>
        <w:pStyle w:val="af"/>
        <w:shd w:val="clear" w:color="auto" w:fill="FFFFFF"/>
        <w:spacing w:before="0" w:beforeAutospacing="0" w:after="0" w:afterAutospacing="0"/>
        <w:ind w:firstLine="708"/>
        <w:jc w:val="both"/>
        <w:rPr>
          <w:sz w:val="28"/>
          <w:szCs w:val="28"/>
          <w:shd w:val="clear" w:color="auto" w:fill="FFFFFF"/>
        </w:rPr>
      </w:pPr>
      <w:r w:rsidRPr="004135FE">
        <w:rPr>
          <w:sz w:val="28"/>
          <w:szCs w:val="28"/>
        </w:rPr>
        <w:t>Когда призывы о здоровом образе жизни не помогли, в Вашингтоне решили убрать фаст-фуд из муниципальных и учебных заведений, из торговых автоматов. А в некоторых штатах введены налоги на гамбургеры и чипсы, сладкие газировки.  Так же напоминают о родительских ответственностях за здоровье детей. Исследователи разработали электронный имплантат блокирующий "сигналы голода", передаваемые желудком мозгу и вакцину усиливающий метаболизм. Во время экспериментов наблюдаемые теряли вес, но медленно. Также были и побочные эффекты - расстройство желудка, боли в животе или тошнота [89].</w:t>
      </w:r>
      <w:r w:rsidRPr="004135FE">
        <w:rPr>
          <w:sz w:val="28"/>
          <w:szCs w:val="28"/>
          <w:shd w:val="clear" w:color="auto" w:fill="FFFFFF"/>
        </w:rPr>
        <w:t xml:space="preserve">  </w:t>
      </w:r>
    </w:p>
    <w:p w14:paraId="09ED15E9" w14:textId="77777777" w:rsidR="009211A6" w:rsidRPr="004135FE" w:rsidRDefault="009211A6" w:rsidP="004135FE">
      <w:pPr>
        <w:pStyle w:val="af"/>
        <w:shd w:val="clear" w:color="auto" w:fill="FFFFFF"/>
        <w:spacing w:before="0" w:beforeAutospacing="0" w:after="0" w:afterAutospacing="0"/>
        <w:ind w:firstLine="708"/>
        <w:jc w:val="both"/>
        <w:rPr>
          <w:sz w:val="28"/>
          <w:szCs w:val="28"/>
        </w:rPr>
      </w:pPr>
      <w:r w:rsidRPr="004135FE">
        <w:rPr>
          <w:sz w:val="28"/>
          <w:szCs w:val="28"/>
        </w:rPr>
        <w:t>В США пока никакие меры не дают достичь здорового образ жизни, правильного питания и увеличения занятия спортом, хотя основные мировые рекомендации разработаны в этой стране. Причина — это уровень самодисциплины и невосприимчивость к изобилию информации по ЗОЖ, которую можно сравнить механизмом развития диабета 2типа- клетки организма инсулинорезистентны.</w:t>
      </w:r>
    </w:p>
    <w:p w14:paraId="676E4E8E" w14:textId="312429C7" w:rsidR="009211A6" w:rsidRPr="004135FE" w:rsidRDefault="009211A6" w:rsidP="004135FE">
      <w:pPr>
        <w:autoSpaceDE w:val="0"/>
        <w:autoSpaceDN w:val="0"/>
        <w:adjustRightInd w:val="0"/>
        <w:spacing w:after="0" w:line="240" w:lineRule="auto"/>
        <w:ind w:firstLine="708"/>
        <w:jc w:val="both"/>
        <w:rPr>
          <w:rFonts w:ascii="Times New Roman" w:eastAsiaTheme="minorHAnsi" w:hAnsi="Times New Roman" w:cs="Times New Roman"/>
          <w:b/>
          <w:sz w:val="28"/>
          <w:szCs w:val="28"/>
          <w:lang w:eastAsia="en-US"/>
        </w:rPr>
      </w:pPr>
      <w:r w:rsidRPr="005E0688">
        <w:rPr>
          <w:rFonts w:ascii="Times New Roman" w:eastAsiaTheme="minorHAnsi" w:hAnsi="Times New Roman" w:cs="Times New Roman"/>
          <w:bCs/>
          <w:i/>
          <w:iCs/>
          <w:sz w:val="28"/>
          <w:szCs w:val="28"/>
          <w:lang w:eastAsia="en-US"/>
        </w:rPr>
        <w:t>Успешный опыт Азиатских стран.</w:t>
      </w:r>
      <w:r w:rsidRPr="004135FE">
        <w:rPr>
          <w:rFonts w:ascii="Times New Roman" w:eastAsiaTheme="minorHAnsi" w:hAnsi="Times New Roman" w:cs="Times New Roman"/>
          <w:b/>
          <w:sz w:val="28"/>
          <w:szCs w:val="28"/>
          <w:lang w:eastAsia="en-US"/>
        </w:rPr>
        <w:t xml:space="preserve"> </w:t>
      </w:r>
      <w:r w:rsidRPr="004135FE">
        <w:rPr>
          <w:rFonts w:ascii="Times New Roman" w:eastAsiaTheme="minorHAnsi" w:hAnsi="Times New Roman" w:cs="Times New Roman"/>
          <w:sz w:val="28"/>
          <w:szCs w:val="28"/>
          <w:lang w:eastAsia="en-US"/>
        </w:rPr>
        <w:t>В 2021</w:t>
      </w:r>
      <w:r w:rsidR="005E0688">
        <w:rPr>
          <w:rFonts w:ascii="Times New Roman" w:eastAsiaTheme="minorHAnsi" w:hAnsi="Times New Roman" w:cs="Times New Roman"/>
          <w:sz w:val="28"/>
          <w:szCs w:val="28"/>
          <w:lang w:eastAsia="en-US"/>
        </w:rPr>
        <w:t xml:space="preserve"> </w:t>
      </w:r>
      <w:r w:rsidRPr="004135FE">
        <w:rPr>
          <w:rFonts w:ascii="Times New Roman" w:eastAsiaTheme="minorHAnsi" w:hAnsi="Times New Roman" w:cs="Times New Roman"/>
          <w:sz w:val="28"/>
          <w:szCs w:val="28"/>
          <w:lang w:eastAsia="en-US"/>
        </w:rPr>
        <w:t>г</w:t>
      </w:r>
      <w:r w:rsidR="005E0688">
        <w:rPr>
          <w:rFonts w:ascii="Times New Roman" w:eastAsiaTheme="minorHAnsi" w:hAnsi="Times New Roman" w:cs="Times New Roman"/>
          <w:sz w:val="28"/>
          <w:szCs w:val="28"/>
          <w:lang w:eastAsia="en-US"/>
        </w:rPr>
        <w:t>оду</w:t>
      </w:r>
      <w:r w:rsidRPr="004135FE">
        <w:rPr>
          <w:rFonts w:ascii="Times New Roman" w:eastAsiaTheme="minorHAnsi" w:hAnsi="Times New Roman" w:cs="Times New Roman"/>
          <w:sz w:val="28"/>
          <w:szCs w:val="28"/>
          <w:lang w:eastAsia="en-US"/>
        </w:rPr>
        <w:t xml:space="preserve"> в Японии распространенность СД2т составила 5,6% всего населения </w:t>
      </w:r>
      <w:r w:rsidRPr="00272615">
        <w:rPr>
          <w:rFonts w:ascii="Times New Roman" w:hAnsi="Times New Roman" w:cs="Times New Roman"/>
          <w:sz w:val="28"/>
          <w:szCs w:val="28"/>
        </w:rPr>
        <w:t>[21].</w:t>
      </w:r>
      <w:r w:rsidRPr="004135FE">
        <w:rPr>
          <w:sz w:val="28"/>
          <w:szCs w:val="28"/>
        </w:rPr>
        <w:t xml:space="preserve"> </w:t>
      </w:r>
      <w:r w:rsidRPr="004135FE">
        <w:rPr>
          <w:rFonts w:ascii="Times New Roman" w:eastAsiaTheme="minorHAnsi" w:hAnsi="Times New Roman" w:cs="Times New Roman"/>
          <w:sz w:val="28"/>
          <w:szCs w:val="28"/>
          <w:lang w:eastAsia="en-US"/>
        </w:rPr>
        <w:t xml:space="preserve">Министерство здравоохранения, труда и народного благосостояния Японии для эффективного контроля СД рекомендует рациональное питание и группы нутрицевтиков, как экстракт Тоути, обладающий инсулиноподобным </w:t>
      </w:r>
      <w:r w:rsidRPr="004135FE">
        <w:rPr>
          <w:rFonts w:ascii="Times New Roman" w:eastAsiaTheme="minorHAnsi" w:hAnsi="Times New Roman" w:cs="Times New Roman"/>
          <w:sz w:val="28"/>
          <w:szCs w:val="28"/>
          <w:lang w:eastAsia="en-US"/>
        </w:rPr>
        <w:lastRenderedPageBreak/>
        <w:t xml:space="preserve">действием. Препарат подтвержден клиническими испытаниями в России, США и Японии. Множество программ на национальном уровне рекомендуются для поддержания ЗОЖ и долголетия, но надо учитывать и философию жизни населения, формирование ответственности с самого рождения, самодисциплину, уважение к окружающим </w:t>
      </w:r>
      <w:r w:rsidRPr="004135FE">
        <w:rPr>
          <w:rFonts w:ascii="Times New Roman" w:hAnsi="Times New Roman" w:cs="Times New Roman"/>
          <w:sz w:val="28"/>
          <w:szCs w:val="28"/>
        </w:rPr>
        <w:t>[90].</w:t>
      </w:r>
      <w:r w:rsidRPr="004135FE">
        <w:rPr>
          <w:rFonts w:ascii="Times New Roman" w:hAnsi="Times New Roman" w:cs="Times New Roman"/>
          <w:sz w:val="28"/>
          <w:szCs w:val="28"/>
          <w:shd w:val="clear" w:color="auto" w:fill="FFFFFF"/>
        </w:rPr>
        <w:t xml:space="preserve">  </w:t>
      </w:r>
      <w:r w:rsidRPr="004135FE">
        <w:rPr>
          <w:rFonts w:ascii="Times New Roman" w:eastAsia="Yu Gothic" w:hAnsi="Times New Roman" w:cs="Times New Roman"/>
          <w:sz w:val="28"/>
          <w:szCs w:val="28"/>
        </w:rPr>
        <w:t xml:space="preserve"> </w:t>
      </w:r>
    </w:p>
    <w:p w14:paraId="0DC87F4C" w14:textId="7DE9DEB2" w:rsidR="009211A6" w:rsidRPr="004135FE" w:rsidRDefault="009211A6" w:rsidP="005E0688">
      <w:pPr>
        <w:pStyle w:val="af"/>
        <w:shd w:val="clear" w:color="auto" w:fill="FFFFFF"/>
        <w:spacing w:before="0" w:beforeAutospacing="0" w:after="0" w:afterAutospacing="0"/>
        <w:ind w:firstLine="708"/>
        <w:jc w:val="both"/>
        <w:rPr>
          <w:rFonts w:eastAsia="Yu Gothic"/>
          <w:sz w:val="28"/>
          <w:szCs w:val="28"/>
        </w:rPr>
      </w:pPr>
      <w:r w:rsidRPr="004135FE">
        <w:rPr>
          <w:rFonts w:eastAsia="Yu Gothic"/>
          <w:color w:val="000000"/>
          <w:sz w:val="28"/>
          <w:szCs w:val="28"/>
        </w:rPr>
        <w:t xml:space="preserve">С 1980 года Япония является бессменным мировым лидером по долголетию. Рацион питания играет значимую роль в обеспечении здоровья нации. Уровень хорошего холестерина (HDL) у японцев на 10% выше, чем у европейцев. Традиционный рацион японцев состоит из риса, растительности и рыбы. Содержащиеся в рыбе ЕРА и DHA сокращают количество нейтрального жира и предотвращают появление атеросклероза. Уровень DHA в крови и грудном молоке у японцев в 6 раз выше, чем у европейцев и в 2 раза выше, чем у китайцев. Благодаря рыбе японцы не подвержены атеросклерозу на генетическом уровне. Япония неизменно находится на одном из последних мест в мире по заболеваемости диабета и сердечно-сосудистых болезни. Главная особенность японцев – это отсутствие предрасположенности к атеросклерозу. Атеросклероз в сосудах головного мозга вызывает инсульт, в сосудах сердца – инфаркт миокарда. В результате исследования </w:t>
      </w:r>
      <w:r w:rsidRPr="004135FE">
        <w:rPr>
          <w:rFonts w:eastAsia="Yu Gothic"/>
          <w:sz w:val="28"/>
          <w:szCs w:val="28"/>
        </w:rPr>
        <w:t xml:space="preserve">кишечника людей в 12 странах мира, японцы оказались обладателями самого здорового кишечника с максимальным содержанием бифидобактерий и других полезных бактерий, благодаря обильному употреблению клетчатки </w:t>
      </w:r>
      <w:r w:rsidRPr="004135FE">
        <w:rPr>
          <w:sz w:val="28"/>
          <w:szCs w:val="28"/>
        </w:rPr>
        <w:t>[91].</w:t>
      </w:r>
      <w:r w:rsidRPr="004135FE">
        <w:rPr>
          <w:sz w:val="28"/>
          <w:szCs w:val="28"/>
          <w:shd w:val="clear" w:color="auto" w:fill="FFFFFF"/>
        </w:rPr>
        <w:t xml:space="preserve">  </w:t>
      </w:r>
      <w:r w:rsidRPr="004135FE">
        <w:rPr>
          <w:rFonts w:eastAsia="Yu Gothic"/>
          <w:sz w:val="28"/>
          <w:szCs w:val="28"/>
        </w:rPr>
        <w:t xml:space="preserve"> </w:t>
      </w:r>
    </w:p>
    <w:p w14:paraId="5FC834B0" w14:textId="09B778EE" w:rsidR="009211A6" w:rsidRPr="004135FE" w:rsidRDefault="009211A6" w:rsidP="005E0688">
      <w:pPr>
        <w:pStyle w:val="af"/>
        <w:shd w:val="clear" w:color="auto" w:fill="FFFFFF"/>
        <w:spacing w:before="0" w:beforeAutospacing="0" w:after="0" w:afterAutospacing="0"/>
        <w:ind w:firstLine="708"/>
        <w:jc w:val="both"/>
        <w:rPr>
          <w:sz w:val="28"/>
          <w:szCs w:val="28"/>
        </w:rPr>
      </w:pPr>
      <w:r w:rsidRPr="004135FE">
        <w:rPr>
          <w:sz w:val="28"/>
          <w:szCs w:val="28"/>
        </w:rPr>
        <w:t>С 1963 г</w:t>
      </w:r>
      <w:r w:rsidR="005E0688">
        <w:rPr>
          <w:sz w:val="28"/>
          <w:szCs w:val="28"/>
        </w:rPr>
        <w:t>ода</w:t>
      </w:r>
      <w:r w:rsidRPr="004135FE">
        <w:rPr>
          <w:sz w:val="28"/>
          <w:szCs w:val="28"/>
        </w:rPr>
        <w:t xml:space="preserve"> Министерство здравоохранения Японии начало вести учет своих долгожителей, было насчитано всего 153 человека, достигших столетнего рубежа. В 1988 г</w:t>
      </w:r>
      <w:r w:rsidR="005E0688">
        <w:rPr>
          <w:sz w:val="28"/>
          <w:szCs w:val="28"/>
        </w:rPr>
        <w:t>оду</w:t>
      </w:r>
      <w:r w:rsidRPr="004135FE">
        <w:rPr>
          <w:sz w:val="28"/>
          <w:szCs w:val="28"/>
        </w:rPr>
        <w:t xml:space="preserve"> составила более 10 тысяч человек, в 2020 г «Клуб столетних» в Японии отпраздновали столетие 67 824 человек, среди них женщины</w:t>
      </w:r>
      <w:r w:rsidR="005E0688">
        <w:rPr>
          <w:sz w:val="28"/>
          <w:szCs w:val="28"/>
        </w:rPr>
        <w:t xml:space="preserve"> </w:t>
      </w:r>
      <w:r w:rsidRPr="004135FE">
        <w:rPr>
          <w:sz w:val="28"/>
          <w:szCs w:val="28"/>
        </w:rPr>
        <w:t xml:space="preserve">– 88%. </w:t>
      </w:r>
      <w:r w:rsidRPr="004135FE">
        <w:rPr>
          <w:spacing w:val="3"/>
          <w:sz w:val="28"/>
          <w:szCs w:val="28"/>
        </w:rPr>
        <w:t>Программа направлена укрепление и оздоровления всего организма и всего населения, так как профилактика финансово и социально выгодно для государства.</w:t>
      </w:r>
    </w:p>
    <w:p w14:paraId="1E9A38FA" w14:textId="77777777" w:rsidR="009211A6" w:rsidRPr="004135FE" w:rsidRDefault="009211A6" w:rsidP="005E0688">
      <w:pPr>
        <w:pStyle w:val="af"/>
        <w:shd w:val="clear" w:color="auto" w:fill="FFFFFF"/>
        <w:spacing w:before="0" w:beforeAutospacing="0" w:after="0" w:afterAutospacing="0"/>
        <w:ind w:firstLine="708"/>
        <w:jc w:val="both"/>
        <w:rPr>
          <w:sz w:val="28"/>
          <w:szCs w:val="28"/>
        </w:rPr>
      </w:pPr>
      <w:r w:rsidRPr="004135FE">
        <w:rPr>
          <w:sz w:val="28"/>
          <w:szCs w:val="28"/>
        </w:rPr>
        <w:t>Соблюдение ЗОЖ у японцев основаны на разносторонних решениях с участием разных секторов жизнедеятельности:</w:t>
      </w:r>
    </w:p>
    <w:p w14:paraId="1D889E06" w14:textId="494C464B" w:rsidR="009211A6" w:rsidRPr="004135FE" w:rsidRDefault="009211A6" w:rsidP="005E0688">
      <w:pPr>
        <w:pStyle w:val="af"/>
        <w:shd w:val="clear" w:color="auto" w:fill="FFFFFF"/>
        <w:tabs>
          <w:tab w:val="left" w:pos="993"/>
        </w:tabs>
        <w:spacing w:before="0" w:beforeAutospacing="0" w:after="0" w:afterAutospacing="0"/>
        <w:ind w:firstLine="708"/>
        <w:jc w:val="both"/>
        <w:rPr>
          <w:sz w:val="28"/>
          <w:szCs w:val="28"/>
        </w:rPr>
      </w:pPr>
      <w:r w:rsidRPr="005E0688">
        <w:rPr>
          <w:spacing w:val="3"/>
          <w:sz w:val="28"/>
          <w:szCs w:val="28"/>
        </w:rPr>
        <w:t>1</w:t>
      </w:r>
      <w:r w:rsidR="005E0688">
        <w:rPr>
          <w:spacing w:val="3"/>
          <w:sz w:val="28"/>
          <w:szCs w:val="28"/>
        </w:rPr>
        <w:t>)</w:t>
      </w:r>
      <w:r w:rsidRPr="005E0688">
        <w:rPr>
          <w:spacing w:val="3"/>
          <w:sz w:val="28"/>
          <w:szCs w:val="28"/>
        </w:rPr>
        <w:t xml:space="preserve"> Правильная тарелка и </w:t>
      </w:r>
      <w:r w:rsidRPr="005E0688">
        <w:rPr>
          <w:b/>
          <w:bCs/>
          <w:spacing w:val="3"/>
          <w:sz w:val="28"/>
          <w:szCs w:val="28"/>
        </w:rPr>
        <w:t>у</w:t>
      </w:r>
      <w:r w:rsidRPr="005E0688">
        <w:rPr>
          <w:rStyle w:val="aa"/>
          <w:rFonts w:eastAsiaTheme="minorEastAsia"/>
          <w:b w:val="0"/>
          <w:bCs w:val="0"/>
          <w:sz w:val="28"/>
          <w:szCs w:val="28"/>
        </w:rPr>
        <w:t>меренность в еде.</w:t>
      </w:r>
      <w:r w:rsidRPr="004135FE">
        <w:rPr>
          <w:rStyle w:val="aa"/>
          <w:rFonts w:eastAsiaTheme="minorEastAsia"/>
          <w:sz w:val="28"/>
          <w:szCs w:val="28"/>
        </w:rPr>
        <w:t xml:space="preserve"> </w:t>
      </w:r>
      <w:r w:rsidRPr="004135FE">
        <w:rPr>
          <w:sz w:val="28"/>
          <w:szCs w:val="28"/>
        </w:rPr>
        <w:t xml:space="preserve">Среди японцев «крупногабаритные» – лишь борцы сумо, ожирения выведена на нет, что так же является профилактикой СД2т. Регулярное набивание желудка едой быстро «износит» организм, желудку достаточно быть наполненным лишь на 80%. Два главных принципа их питания: пища готовится исключительно из свежих продуктов и употребляется маленькими порциями. </w:t>
      </w:r>
      <w:r w:rsidRPr="004135FE">
        <w:rPr>
          <w:spacing w:val="3"/>
          <w:sz w:val="28"/>
          <w:szCs w:val="28"/>
        </w:rPr>
        <w:t xml:space="preserve">Вместо белого сахара коричневый нерафинированный тростниковый сахар в малом количестве, в приоритете растительная пища, каждый день овощи и фрукты, рыба и морепродукты </w:t>
      </w:r>
      <w:r w:rsidRPr="00272615">
        <w:rPr>
          <w:sz w:val="28"/>
          <w:szCs w:val="28"/>
        </w:rPr>
        <w:t>[91].</w:t>
      </w:r>
      <w:r w:rsidRPr="004135FE">
        <w:rPr>
          <w:sz w:val="28"/>
          <w:szCs w:val="28"/>
          <w:shd w:val="clear" w:color="auto" w:fill="FFFFFF"/>
        </w:rPr>
        <w:t xml:space="preserve">  </w:t>
      </w:r>
      <w:r w:rsidRPr="004135FE">
        <w:rPr>
          <w:rFonts w:eastAsia="Yu Gothic"/>
          <w:sz w:val="28"/>
          <w:szCs w:val="28"/>
        </w:rPr>
        <w:t xml:space="preserve"> </w:t>
      </w:r>
    </w:p>
    <w:p w14:paraId="1D22FF6F" w14:textId="4FD64A77" w:rsidR="009211A6" w:rsidRPr="004135FE" w:rsidRDefault="005E0688" w:rsidP="009E2BC6">
      <w:pPr>
        <w:pStyle w:val="af"/>
        <w:shd w:val="clear" w:color="auto" w:fill="FFFFFF"/>
        <w:tabs>
          <w:tab w:val="left" w:pos="993"/>
        </w:tabs>
        <w:spacing w:before="0" w:beforeAutospacing="0" w:after="0" w:afterAutospacing="0"/>
        <w:ind w:firstLine="708"/>
        <w:jc w:val="both"/>
        <w:rPr>
          <w:sz w:val="28"/>
          <w:szCs w:val="28"/>
        </w:rPr>
      </w:pPr>
      <w:r>
        <w:rPr>
          <w:rStyle w:val="aa"/>
          <w:rFonts w:eastAsiaTheme="minorEastAsia"/>
          <w:b w:val="0"/>
          <w:bCs w:val="0"/>
          <w:sz w:val="28"/>
          <w:szCs w:val="28"/>
        </w:rPr>
        <w:t xml:space="preserve">2) </w:t>
      </w:r>
      <w:r w:rsidR="009211A6" w:rsidRPr="005E0688">
        <w:rPr>
          <w:rStyle w:val="aa"/>
          <w:rFonts w:eastAsiaTheme="minorEastAsia"/>
          <w:b w:val="0"/>
          <w:bCs w:val="0"/>
          <w:sz w:val="28"/>
          <w:szCs w:val="28"/>
        </w:rPr>
        <w:t>Успешные агитационные программы:</w:t>
      </w:r>
      <w:r>
        <w:rPr>
          <w:rStyle w:val="aa"/>
          <w:rFonts w:eastAsiaTheme="minorEastAsia"/>
          <w:b w:val="0"/>
          <w:bCs w:val="0"/>
          <w:sz w:val="28"/>
          <w:szCs w:val="28"/>
        </w:rPr>
        <w:t xml:space="preserve"> </w:t>
      </w:r>
      <w:r w:rsidR="009211A6" w:rsidRPr="005E0688">
        <w:rPr>
          <w:rStyle w:val="aa"/>
          <w:rFonts w:eastAsiaTheme="minorEastAsia"/>
          <w:b w:val="0"/>
          <w:bCs w:val="0"/>
          <w:sz w:val="28"/>
          <w:szCs w:val="28"/>
        </w:rPr>
        <w:t>Меньше горячей пищи и меньше соли:</w:t>
      </w:r>
      <w:r w:rsidR="009211A6" w:rsidRPr="004135FE">
        <w:rPr>
          <w:rStyle w:val="aa"/>
          <w:rFonts w:eastAsiaTheme="minorEastAsia"/>
          <w:sz w:val="28"/>
          <w:szCs w:val="28"/>
        </w:rPr>
        <w:t xml:space="preserve"> </w:t>
      </w:r>
      <w:r w:rsidR="009211A6" w:rsidRPr="004135FE">
        <w:rPr>
          <w:sz w:val="28"/>
          <w:szCs w:val="28"/>
        </w:rPr>
        <w:t xml:space="preserve">В Японии среди онкологических заболеваний лидировал рак желудка, после уточнения причины и опубликования результатов исследования в стране была организована агитационная работа: медицина убеждала население отказаться от употребления слишком горячей пищи и </w:t>
      </w:r>
      <w:r w:rsidR="009211A6" w:rsidRPr="004135FE">
        <w:rPr>
          <w:sz w:val="28"/>
          <w:szCs w:val="28"/>
        </w:rPr>
        <w:lastRenderedPageBreak/>
        <w:t xml:space="preserve">снизилась смертность от рака желудка.  Причиной инсульта и инфаркта населения была чрезмерное употребление соли. В 1970 г проводилась еще одна агитационная работа, направленная на ограничение потребления соли под руководством </w:t>
      </w:r>
      <w:r w:rsidR="009211A6" w:rsidRPr="004135FE">
        <w:rPr>
          <w:spacing w:val="3"/>
          <w:sz w:val="28"/>
          <w:szCs w:val="28"/>
        </w:rPr>
        <w:t xml:space="preserve">министерства здравоохранения, что привело к положительным </w:t>
      </w:r>
      <w:r w:rsidR="009211A6" w:rsidRPr="00272615">
        <w:rPr>
          <w:spacing w:val="3"/>
          <w:sz w:val="28"/>
          <w:szCs w:val="28"/>
        </w:rPr>
        <w:t xml:space="preserve">результатам </w:t>
      </w:r>
      <w:r w:rsidR="009211A6" w:rsidRPr="00272615">
        <w:rPr>
          <w:sz w:val="28"/>
          <w:szCs w:val="28"/>
        </w:rPr>
        <w:t>[91].</w:t>
      </w:r>
      <w:r w:rsidR="009211A6" w:rsidRPr="004135FE">
        <w:rPr>
          <w:sz w:val="28"/>
          <w:szCs w:val="28"/>
          <w:shd w:val="clear" w:color="auto" w:fill="FFFFFF"/>
        </w:rPr>
        <w:t xml:space="preserve">  </w:t>
      </w:r>
      <w:r w:rsidR="009211A6" w:rsidRPr="004135FE">
        <w:rPr>
          <w:sz w:val="28"/>
          <w:szCs w:val="28"/>
        </w:rPr>
        <w:t> </w:t>
      </w:r>
    </w:p>
    <w:p w14:paraId="62AE0217" w14:textId="1C9C54ED" w:rsidR="009211A6" w:rsidRPr="005E0688" w:rsidRDefault="009E2BC6" w:rsidP="009E2BC6">
      <w:pPr>
        <w:pStyle w:val="af"/>
        <w:shd w:val="clear" w:color="auto" w:fill="FFFFFF"/>
        <w:tabs>
          <w:tab w:val="left" w:pos="1134"/>
        </w:tabs>
        <w:spacing w:before="0" w:beforeAutospacing="0" w:after="0" w:afterAutospacing="0"/>
        <w:ind w:firstLine="709"/>
        <w:jc w:val="both"/>
        <w:rPr>
          <w:sz w:val="28"/>
          <w:szCs w:val="28"/>
        </w:rPr>
      </w:pPr>
      <w:r>
        <w:rPr>
          <w:rStyle w:val="aa"/>
          <w:rFonts w:eastAsiaTheme="minorEastAsia"/>
          <w:b w:val="0"/>
          <w:bCs w:val="0"/>
          <w:sz w:val="28"/>
          <w:szCs w:val="28"/>
        </w:rPr>
        <w:t xml:space="preserve">3) </w:t>
      </w:r>
      <w:r w:rsidR="00742156">
        <w:rPr>
          <w:rStyle w:val="aa"/>
          <w:rFonts w:eastAsiaTheme="minorEastAsia"/>
          <w:b w:val="0"/>
          <w:bCs w:val="0"/>
          <w:sz w:val="28"/>
          <w:szCs w:val="28"/>
        </w:rPr>
        <w:t xml:space="preserve"> </w:t>
      </w:r>
      <w:r w:rsidR="009211A6" w:rsidRPr="005E0688">
        <w:rPr>
          <w:rStyle w:val="aa"/>
          <w:rFonts w:eastAsiaTheme="minorEastAsia"/>
          <w:b w:val="0"/>
          <w:bCs w:val="0"/>
          <w:sz w:val="28"/>
          <w:szCs w:val="28"/>
        </w:rPr>
        <w:t>Специальное питание для пожилых людей. Населению</w:t>
      </w:r>
      <w:r w:rsidR="009211A6" w:rsidRPr="005E0688">
        <w:rPr>
          <w:spacing w:val="3"/>
          <w:sz w:val="28"/>
          <w:szCs w:val="28"/>
        </w:rPr>
        <w:t xml:space="preserve"> старше 75 лет, рекомендовано потребление </w:t>
      </w:r>
      <w:r w:rsidR="009211A6" w:rsidRPr="005E0688">
        <w:rPr>
          <w:sz w:val="28"/>
          <w:szCs w:val="28"/>
        </w:rPr>
        <w:t xml:space="preserve">больше мяса для поддержания баланса белков и кисломолочных продуктов для кальция. Специалисты разработали специальное питание для пожилых людей </w:t>
      </w:r>
      <w:r w:rsidR="009211A6" w:rsidRPr="005E0688">
        <w:rPr>
          <w:spacing w:val="3"/>
          <w:sz w:val="28"/>
          <w:szCs w:val="28"/>
        </w:rPr>
        <w:t>в виде суфле, при котором белок легко усваивается без проблем глотания.</w:t>
      </w:r>
    </w:p>
    <w:p w14:paraId="4893121C" w14:textId="2C1A7476" w:rsidR="009211A6" w:rsidRPr="009E2BC6" w:rsidRDefault="009E2BC6" w:rsidP="00856043">
      <w:pPr>
        <w:shd w:val="clear" w:color="auto" w:fill="FFFFFF"/>
        <w:tabs>
          <w:tab w:val="left" w:pos="993"/>
        </w:tabs>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pacing w:val="3"/>
          <w:sz w:val="28"/>
          <w:szCs w:val="28"/>
        </w:rPr>
        <w:t>4)</w:t>
      </w:r>
      <w:r w:rsidR="00742156">
        <w:rPr>
          <w:rFonts w:ascii="Times New Roman" w:eastAsia="Times New Roman" w:hAnsi="Times New Roman" w:cs="Times New Roman"/>
          <w:spacing w:val="3"/>
          <w:sz w:val="28"/>
          <w:szCs w:val="28"/>
        </w:rPr>
        <w:t xml:space="preserve"> </w:t>
      </w:r>
      <w:r w:rsidR="009211A6" w:rsidRPr="009E2BC6">
        <w:rPr>
          <w:rFonts w:ascii="Times New Roman" w:eastAsia="Times New Roman" w:hAnsi="Times New Roman" w:cs="Times New Roman"/>
          <w:spacing w:val="3"/>
          <w:sz w:val="28"/>
          <w:szCs w:val="28"/>
        </w:rPr>
        <w:t>Ежегодный обязательный скрининг и диспансеризация, покрывающая страховка есть практически у всего населения. В результате во многих случаях даже тяжелые заболевания эффективно выявляются на ранних стадиях, что сильно повышает шансы на излечение. Что интересно, при таком подходе медицинский персонал предпочитают принцип невмешательства, если есть возможность.</w:t>
      </w:r>
    </w:p>
    <w:p w14:paraId="4D2A8946" w14:textId="0DF2A18C" w:rsidR="009211A6" w:rsidRPr="005E0688" w:rsidRDefault="009E2BC6" w:rsidP="00856043">
      <w:pPr>
        <w:pStyle w:val="af"/>
        <w:shd w:val="clear" w:color="auto" w:fill="FFFFFF"/>
        <w:tabs>
          <w:tab w:val="left" w:pos="993"/>
        </w:tabs>
        <w:spacing w:before="0" w:beforeAutospacing="0" w:after="0" w:afterAutospacing="0"/>
        <w:ind w:firstLine="709"/>
        <w:jc w:val="both"/>
        <w:rPr>
          <w:sz w:val="28"/>
          <w:szCs w:val="28"/>
        </w:rPr>
      </w:pPr>
      <w:r>
        <w:rPr>
          <w:rStyle w:val="aa"/>
          <w:rFonts w:eastAsiaTheme="minorEastAsia"/>
          <w:b w:val="0"/>
          <w:bCs w:val="0"/>
          <w:sz w:val="28"/>
          <w:szCs w:val="28"/>
        </w:rPr>
        <w:t>5)</w:t>
      </w:r>
      <w:r w:rsidR="00742156">
        <w:rPr>
          <w:rStyle w:val="aa"/>
          <w:rFonts w:eastAsiaTheme="minorEastAsia"/>
          <w:b w:val="0"/>
          <w:bCs w:val="0"/>
          <w:sz w:val="28"/>
          <w:szCs w:val="28"/>
        </w:rPr>
        <w:t xml:space="preserve"> </w:t>
      </w:r>
      <w:r w:rsidR="009211A6" w:rsidRPr="005E0688">
        <w:rPr>
          <w:rStyle w:val="aa"/>
          <w:rFonts w:eastAsiaTheme="minorEastAsia"/>
          <w:b w:val="0"/>
          <w:bCs w:val="0"/>
          <w:sz w:val="28"/>
          <w:szCs w:val="28"/>
        </w:rPr>
        <w:t xml:space="preserve">Борьба с курением. </w:t>
      </w:r>
      <w:r w:rsidR="009211A6" w:rsidRPr="005E0688">
        <w:rPr>
          <w:sz w:val="28"/>
          <w:szCs w:val="28"/>
        </w:rPr>
        <w:t xml:space="preserve">Борьба с курением контролируется на государственном уровне и среди долгожителей практически никто не курит. Активная пропаганда здорового образа жизни, свободного от курения, уже дала положительные результаты. Курение вредит сосудам и нарушает работу головного мозга, провоцирует развитие диабета и ухудшает память. </w:t>
      </w:r>
    </w:p>
    <w:p w14:paraId="73E118BF" w14:textId="302C20B2" w:rsidR="009211A6" w:rsidRPr="005E0688" w:rsidRDefault="00742156">
      <w:pPr>
        <w:pStyle w:val="af"/>
        <w:numPr>
          <w:ilvl w:val="0"/>
          <w:numId w:val="82"/>
        </w:numPr>
        <w:shd w:val="clear" w:color="auto" w:fill="FFFFFF"/>
        <w:tabs>
          <w:tab w:val="left" w:pos="993"/>
        </w:tabs>
        <w:spacing w:before="0" w:beforeAutospacing="0" w:after="0" w:afterAutospacing="0"/>
        <w:ind w:left="0" w:firstLine="709"/>
        <w:jc w:val="both"/>
        <w:rPr>
          <w:spacing w:val="3"/>
          <w:sz w:val="28"/>
          <w:szCs w:val="28"/>
        </w:rPr>
      </w:pPr>
      <w:r>
        <w:rPr>
          <w:rStyle w:val="aa"/>
          <w:rFonts w:eastAsiaTheme="minorEastAsia"/>
          <w:b w:val="0"/>
          <w:bCs w:val="0"/>
          <w:sz w:val="28"/>
          <w:szCs w:val="28"/>
        </w:rPr>
        <w:t xml:space="preserve"> </w:t>
      </w:r>
      <w:r w:rsidR="009211A6" w:rsidRPr="005E0688">
        <w:rPr>
          <w:rStyle w:val="aa"/>
          <w:rFonts w:eastAsiaTheme="minorEastAsia"/>
          <w:b w:val="0"/>
          <w:bCs w:val="0"/>
          <w:sz w:val="28"/>
          <w:szCs w:val="28"/>
        </w:rPr>
        <w:t xml:space="preserve">Спорт в любом возрасте. </w:t>
      </w:r>
      <w:r w:rsidR="009211A6" w:rsidRPr="005E0688">
        <w:rPr>
          <w:spacing w:val="3"/>
          <w:sz w:val="28"/>
          <w:szCs w:val="28"/>
        </w:rPr>
        <w:t xml:space="preserve">Движение – жизнь. Физической активности уделяют очень много внимания и сил. </w:t>
      </w:r>
    </w:p>
    <w:p w14:paraId="1D7F3AD2" w14:textId="27EF2648" w:rsidR="009211A6" w:rsidRPr="005E0688" w:rsidRDefault="00742156">
      <w:pPr>
        <w:pStyle w:val="af"/>
        <w:numPr>
          <w:ilvl w:val="0"/>
          <w:numId w:val="82"/>
        </w:numPr>
        <w:shd w:val="clear" w:color="auto" w:fill="FFFFFF"/>
        <w:tabs>
          <w:tab w:val="left" w:pos="993"/>
        </w:tabs>
        <w:spacing w:before="0" w:beforeAutospacing="0" w:after="0" w:afterAutospacing="0"/>
        <w:ind w:left="0" w:firstLine="709"/>
        <w:jc w:val="both"/>
        <w:rPr>
          <w:spacing w:val="3"/>
          <w:sz w:val="28"/>
          <w:szCs w:val="28"/>
        </w:rPr>
      </w:pPr>
      <w:r>
        <w:rPr>
          <w:rStyle w:val="aa"/>
          <w:rFonts w:eastAsiaTheme="minorEastAsia"/>
          <w:b w:val="0"/>
          <w:bCs w:val="0"/>
          <w:sz w:val="28"/>
          <w:szCs w:val="28"/>
        </w:rPr>
        <w:t xml:space="preserve"> </w:t>
      </w:r>
      <w:r w:rsidR="009211A6" w:rsidRPr="005E0688">
        <w:rPr>
          <w:rStyle w:val="aa"/>
          <w:rFonts w:eastAsiaTheme="minorEastAsia"/>
          <w:b w:val="0"/>
          <w:bCs w:val="0"/>
          <w:sz w:val="28"/>
          <w:szCs w:val="28"/>
        </w:rPr>
        <w:t xml:space="preserve">Активная социальная жизнь. </w:t>
      </w:r>
      <w:r w:rsidR="009211A6" w:rsidRPr="005E0688">
        <w:rPr>
          <w:spacing w:val="3"/>
          <w:sz w:val="28"/>
          <w:szCs w:val="28"/>
        </w:rPr>
        <w:t>Все, что полезно в целом, что предотвращает развитие диабета и гипертонии, все это одновременно является и профилактикой старческого слабоумия. Помимо правильной еды, борьбы со стрессами (способствующие японские привычки стабильности в работе и семейной жизни), физической активности в Японии считают важным сохранять социальную активность и социальные связи (разнообразные клубы по ин</w:t>
      </w:r>
      <w:r>
        <w:rPr>
          <w:spacing w:val="3"/>
          <w:sz w:val="28"/>
          <w:szCs w:val="28"/>
        </w:rPr>
        <w:t xml:space="preserve"> </w:t>
      </w:r>
      <w:r w:rsidR="009211A6" w:rsidRPr="005E0688">
        <w:rPr>
          <w:spacing w:val="3"/>
          <w:sz w:val="28"/>
          <w:szCs w:val="28"/>
        </w:rPr>
        <w:t>тересам)</w:t>
      </w:r>
      <w:r w:rsidR="009211A6" w:rsidRPr="005E0688">
        <w:rPr>
          <w:sz w:val="28"/>
          <w:szCs w:val="28"/>
        </w:rPr>
        <w:t xml:space="preserve"> [92].</w:t>
      </w:r>
      <w:r w:rsidR="009211A6" w:rsidRPr="005E0688">
        <w:rPr>
          <w:sz w:val="28"/>
          <w:szCs w:val="28"/>
          <w:shd w:val="clear" w:color="auto" w:fill="FFFFFF"/>
        </w:rPr>
        <w:t xml:space="preserve">  </w:t>
      </w:r>
      <w:r w:rsidR="009211A6" w:rsidRPr="005E0688">
        <w:rPr>
          <w:sz w:val="28"/>
          <w:szCs w:val="28"/>
        </w:rPr>
        <w:t> </w:t>
      </w:r>
    </w:p>
    <w:p w14:paraId="6587D749" w14:textId="77777777"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5E0688">
        <w:rPr>
          <w:rFonts w:ascii="Times New Roman" w:eastAsiaTheme="minorHAnsi" w:hAnsi="Times New Roman" w:cs="Times New Roman"/>
          <w:sz w:val="28"/>
          <w:szCs w:val="28"/>
          <w:lang w:eastAsia="en-US"/>
        </w:rPr>
        <w:t>Успешный</w:t>
      </w:r>
      <w:r w:rsidRPr="005E0688">
        <w:rPr>
          <w:rFonts w:ascii="Times New Roman" w:hAnsi="Times New Roman" w:cs="Times New Roman"/>
          <w:sz w:val="28"/>
          <w:szCs w:val="28"/>
        </w:rPr>
        <w:t xml:space="preserve"> опыт Австралии. В Австралийском штате Новый Южный Уэльс недавно были разработаны межсекторальные стратегии с участием многих заинтересованных сторон для профилактики и контроля избыточного веса и ожирения.   Стратегии профилактики ожирения улучшила состояние здоровья взрослого населения, привело к снижению смертности от разных причин, как диабета 2</w:t>
      </w:r>
      <w:r w:rsidRPr="004135FE">
        <w:rPr>
          <w:rFonts w:ascii="Times New Roman" w:hAnsi="Times New Roman" w:cs="Times New Roman"/>
          <w:sz w:val="28"/>
          <w:szCs w:val="28"/>
        </w:rPr>
        <w:t xml:space="preserve"> типа, сердечно-сосудистые заболеваний, различных видов рака, остеоартрита, детской смертности и расходов на здравоохранение. Потенциальные выгоды за пределами сектора здравоохранения включают выплаты по инвалидности, невыходы на работу, производительность труда, травмы на рабочем месте и страховые выплаты. Для детей и подростков улучшение состояния здоровья потенциально может включать метаболические факторы риска, здоровье зубов, гипертонию, факторы риска сердечно-сосудистых заболеваний, депрессию, показатели смертности среди госпитализированных детей, издевательств в социуме.  Количественная </w:t>
      </w:r>
      <w:r w:rsidRPr="004135FE">
        <w:rPr>
          <w:rFonts w:ascii="Times New Roman" w:hAnsi="Times New Roman" w:cs="Times New Roman"/>
          <w:sz w:val="28"/>
          <w:szCs w:val="28"/>
        </w:rPr>
        <w:lastRenderedPageBreak/>
        <w:t>оценка медико-санитарных и социальных выгод, может усилить пропаганду их устойчивого осуществления [93].</w:t>
      </w:r>
    </w:p>
    <w:p w14:paraId="275B0594" w14:textId="77777777" w:rsidR="009211A6" w:rsidRPr="00856043" w:rsidRDefault="009211A6" w:rsidP="004135FE">
      <w:pPr>
        <w:autoSpaceDE w:val="0"/>
        <w:autoSpaceDN w:val="0"/>
        <w:adjustRightInd w:val="0"/>
        <w:spacing w:after="0" w:line="240" w:lineRule="auto"/>
        <w:ind w:firstLine="708"/>
        <w:jc w:val="both"/>
        <w:rPr>
          <w:rFonts w:ascii="Times New Roman" w:eastAsiaTheme="minorHAnsi" w:hAnsi="Times New Roman" w:cs="Times New Roman"/>
          <w:bCs/>
          <w:sz w:val="28"/>
          <w:szCs w:val="28"/>
          <w:lang w:eastAsia="en-US"/>
        </w:rPr>
      </w:pPr>
      <w:r w:rsidRPr="00856043">
        <w:rPr>
          <w:rFonts w:ascii="Times New Roman" w:eastAsiaTheme="minorHAnsi" w:hAnsi="Times New Roman" w:cs="Times New Roman"/>
          <w:bCs/>
          <w:sz w:val="28"/>
          <w:szCs w:val="28"/>
          <w:lang w:eastAsia="en-US"/>
        </w:rPr>
        <w:t>Успешный опыт по СНГ</w:t>
      </w:r>
    </w:p>
    <w:p w14:paraId="69F1D47B" w14:textId="77777777"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sidRPr="004135FE">
        <w:rPr>
          <w:rFonts w:ascii="Times New Roman" w:hAnsi="Times New Roman" w:cs="Times New Roman"/>
          <w:sz w:val="28"/>
          <w:szCs w:val="28"/>
          <w:shd w:val="clear" w:color="auto" w:fill="FFFFFF"/>
        </w:rPr>
        <w:t xml:space="preserve">В </w:t>
      </w:r>
      <w:r w:rsidRPr="004135FE">
        <w:rPr>
          <w:rFonts w:ascii="Times New Roman" w:hAnsi="Times New Roman" w:cs="Times New Roman"/>
          <w:color w:val="000000"/>
          <w:sz w:val="28"/>
          <w:szCs w:val="28"/>
        </w:rPr>
        <w:t>Российской Федерации</w:t>
      </w:r>
      <w:r w:rsidRPr="004135FE">
        <w:rPr>
          <w:rFonts w:ascii="Times New Roman" w:hAnsi="Times New Roman" w:cs="Times New Roman"/>
          <w:sz w:val="28"/>
          <w:szCs w:val="28"/>
          <w:shd w:val="clear" w:color="auto" w:fill="FFFFFF"/>
        </w:rPr>
        <w:t xml:space="preserve"> СД2т страдает 6,1% населения и ожирением 25% населения (4 место по миру) </w:t>
      </w:r>
      <w:r w:rsidRPr="004135FE">
        <w:rPr>
          <w:rFonts w:ascii="Times New Roman" w:hAnsi="Times New Roman" w:cs="Times New Roman"/>
          <w:sz w:val="28"/>
          <w:szCs w:val="28"/>
        </w:rPr>
        <w:t>[94].</w:t>
      </w:r>
    </w:p>
    <w:p w14:paraId="7D716B17" w14:textId="77777777" w:rsidR="009211A6" w:rsidRPr="004135FE" w:rsidRDefault="009211A6" w:rsidP="00856043">
      <w:pPr>
        <w:pStyle w:val="af"/>
        <w:shd w:val="clear" w:color="auto" w:fill="FFFFFF"/>
        <w:spacing w:before="0" w:beforeAutospacing="0" w:after="0" w:afterAutospacing="0"/>
        <w:ind w:firstLine="709"/>
        <w:jc w:val="both"/>
        <w:rPr>
          <w:color w:val="000000"/>
          <w:sz w:val="28"/>
          <w:szCs w:val="28"/>
        </w:rPr>
      </w:pPr>
      <w:r w:rsidRPr="004135FE">
        <w:rPr>
          <w:color w:val="000000"/>
          <w:sz w:val="28"/>
          <w:szCs w:val="28"/>
        </w:rPr>
        <w:t xml:space="preserve">Для борьбы в этом направлении в стране придерживаются документации ВОЗ, где рекомендуют </w:t>
      </w:r>
      <w:r w:rsidRPr="004135FE">
        <w:rPr>
          <w:sz w:val="28"/>
          <w:szCs w:val="28"/>
        </w:rPr>
        <w:t>приложить максимум усилий для ликвидации детского и подросткового ожирения и профилактики СД2т, других НИЗ, что является абсолютно закономерным и своевременным действием для здоровья будущего поколения.</w:t>
      </w:r>
    </w:p>
    <w:p w14:paraId="03264D97" w14:textId="75DC0744" w:rsidR="009211A6" w:rsidRPr="004135FE" w:rsidRDefault="009211A6" w:rsidP="004135FE">
      <w:pPr>
        <w:shd w:val="clear" w:color="auto" w:fill="FFFFFF"/>
        <w:spacing w:after="0" w:line="240" w:lineRule="auto"/>
        <w:ind w:right="30" w:firstLine="708"/>
        <w:jc w:val="both"/>
        <w:rPr>
          <w:rFonts w:ascii="Times New Roman" w:hAnsi="Times New Roman" w:cs="Times New Roman"/>
          <w:color w:val="000000"/>
          <w:sz w:val="28"/>
          <w:szCs w:val="28"/>
        </w:rPr>
      </w:pPr>
      <w:r w:rsidRPr="004135FE">
        <w:rPr>
          <w:rFonts w:ascii="Times New Roman" w:hAnsi="Times New Roman" w:cs="Times New Roman"/>
          <w:color w:val="000000"/>
          <w:sz w:val="28"/>
          <w:szCs w:val="28"/>
        </w:rPr>
        <w:t>По исследованию HBSC 2013</w:t>
      </w:r>
      <w:r w:rsidR="00856043">
        <w:rPr>
          <w:rFonts w:ascii="Times New Roman" w:hAnsi="Times New Roman" w:cs="Times New Roman"/>
          <w:color w:val="000000"/>
          <w:sz w:val="28"/>
          <w:szCs w:val="28"/>
        </w:rPr>
        <w:t>-</w:t>
      </w:r>
      <w:r w:rsidRPr="004135FE">
        <w:rPr>
          <w:rFonts w:ascii="Times New Roman" w:hAnsi="Times New Roman" w:cs="Times New Roman"/>
          <w:color w:val="000000"/>
          <w:sz w:val="28"/>
          <w:szCs w:val="28"/>
        </w:rPr>
        <w:t xml:space="preserve">2014 гг., в Российской Федерации достигли определенного успеха в деле повышения уровня физической активности среди детей и подростков. Доля школьников, чья физическая активность соответствует рекомендациям ВОЗ, возросла в среднем на семь процентных пунктов (до 23%) у мальчиков и на шесть процентных пунктов (до 15%) у девочек по сравнению с исследованием, проведенном в 2009-2010 гг. Процесс продолжает набирать темпы, благодаря активного взаимодействия секторов образования и здравоохранения, который внес вклад в школьную программу по физической культуре </w:t>
      </w:r>
      <w:r w:rsidRPr="004135FE">
        <w:rPr>
          <w:rFonts w:ascii="Times New Roman" w:hAnsi="Times New Roman" w:cs="Times New Roman"/>
          <w:sz w:val="28"/>
          <w:szCs w:val="28"/>
        </w:rPr>
        <w:t>[95]</w:t>
      </w:r>
      <w:r w:rsidRPr="004135FE">
        <w:rPr>
          <w:rFonts w:ascii="Times New Roman" w:hAnsi="Times New Roman" w:cs="Times New Roman"/>
          <w:color w:val="000000"/>
          <w:sz w:val="28"/>
          <w:szCs w:val="28"/>
        </w:rPr>
        <w:t xml:space="preserve">. </w:t>
      </w:r>
    </w:p>
    <w:p w14:paraId="6F7B539F" w14:textId="77777777" w:rsidR="009211A6" w:rsidRPr="004135FE" w:rsidRDefault="009211A6" w:rsidP="004135FE">
      <w:pPr>
        <w:shd w:val="clear" w:color="auto" w:fill="FFFFFF"/>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Специалистами по борьбе с ожирением во всем мире накоплен огромный опыт. Разработаны специальные диеты для правильного питания, которые можно подбирать индивидуально, и эффективность которых подтверждена исследованиями. Определены нормы физической активности, которые не требуют особых затрат и условий. Но, сила воли, самодисциплина каждого человека — ключевой момент в борьбе с вредными привычками и приверженности к ЗОЖ, который зачастую требует помощи психологов, диетологов, эндокринологов. Большую роль играют наличия специалистов и их подготовленность. </w:t>
      </w:r>
    </w:p>
    <w:p w14:paraId="6943FCB0" w14:textId="77777777" w:rsidR="009211A6" w:rsidRPr="004135FE" w:rsidRDefault="009211A6" w:rsidP="004135FE">
      <w:pPr>
        <w:shd w:val="clear" w:color="auto" w:fill="FFFFFF"/>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t>Отмечая школу основной платформой для формирования здоровых привычек, Е.А. Шестакова —эндокринолог, ведущий научный сотрудник ФГБУ «НМИЦ эндокринологии» Минздрава России, специалист в области ожирения, предложила ввести для детей</w:t>
      </w:r>
      <w:r w:rsidRPr="004135FE">
        <w:rPr>
          <w:rFonts w:ascii="Times New Roman" w:eastAsia="Times New Roman" w:hAnsi="Times New Roman" w:cs="Times New Roman"/>
          <w:iCs/>
          <w:sz w:val="28"/>
          <w:szCs w:val="28"/>
        </w:rPr>
        <w:t> “уроки питания, готовить здоровую пищу на уроках труда, информировать, как выбирать продукты в магазине и кафе”. </w:t>
      </w:r>
      <w:r w:rsidRPr="004135FE">
        <w:rPr>
          <w:rFonts w:ascii="Times New Roman" w:eastAsia="Times New Roman" w:hAnsi="Times New Roman" w:cs="Times New Roman"/>
          <w:sz w:val="28"/>
          <w:szCs w:val="28"/>
        </w:rPr>
        <w:t> Пример работы со школьниками, является доказавший свою эффективность проект </w:t>
      </w:r>
      <w:r w:rsidRPr="00856043">
        <w:rPr>
          <w:rFonts w:ascii="Times New Roman" w:eastAsia="Times New Roman" w:hAnsi="Times New Roman" w:cs="Times New Roman"/>
          <w:sz w:val="28"/>
          <w:szCs w:val="28"/>
        </w:rPr>
        <w:t>“Будь здоров”,</w:t>
      </w:r>
      <w:r w:rsidRPr="004135FE">
        <w:rPr>
          <w:rFonts w:ascii="Times New Roman" w:eastAsia="Times New Roman" w:hAnsi="Times New Roman" w:cs="Times New Roman"/>
          <w:sz w:val="28"/>
          <w:szCs w:val="28"/>
        </w:rPr>
        <w:t xml:space="preserve"> направленная учащимся начальной школы на развитие у детей навыков правильного питания и увеличение физической активности. Проект “Будь здоров” был запущен в 2007-м году в Ленинградской области, позже его география расширилась, привлекая все больше детей и их родителей. В 2014 году в программе участвовали уже 1600 школьников. На уроках изучают полезные свойства продуктов, сами выращивают овощи, фрукты, зелень из которых готовят полезную и здоровую пищу. Российские исследователи отмечают, что наиболее эффективно программы популяризации здорового образа жизни работают в школе, ведь </w:t>
      </w:r>
      <w:r w:rsidRPr="004135FE">
        <w:rPr>
          <w:rFonts w:ascii="Times New Roman" w:eastAsia="Times New Roman" w:hAnsi="Times New Roman" w:cs="Times New Roman"/>
          <w:sz w:val="28"/>
          <w:szCs w:val="28"/>
        </w:rPr>
        <w:lastRenderedPageBreak/>
        <w:t xml:space="preserve">там есть возможность сформировать у детей правильные привычки, обеспечить их сбалансированным питанием и физическими нагрузками </w:t>
      </w:r>
      <w:r w:rsidRPr="004135FE">
        <w:rPr>
          <w:rFonts w:ascii="Times New Roman" w:hAnsi="Times New Roman" w:cs="Times New Roman"/>
          <w:sz w:val="28"/>
          <w:szCs w:val="28"/>
        </w:rPr>
        <w:t>[96].</w:t>
      </w:r>
    </w:p>
    <w:p w14:paraId="7041DB81" w14:textId="77777777" w:rsidR="009211A6" w:rsidRPr="004135FE" w:rsidRDefault="009211A6" w:rsidP="004135FE">
      <w:pPr>
        <w:shd w:val="clear" w:color="auto" w:fill="FFFFFF"/>
        <w:spacing w:after="0" w:line="240" w:lineRule="auto"/>
        <w:ind w:firstLine="708"/>
        <w:jc w:val="both"/>
        <w:rPr>
          <w:rFonts w:ascii="Times New Roman" w:eastAsia="Times New Roman" w:hAnsi="Times New Roman" w:cs="Times New Roman"/>
          <w:sz w:val="28"/>
          <w:szCs w:val="28"/>
        </w:rPr>
      </w:pPr>
    </w:p>
    <w:p w14:paraId="298ECF76" w14:textId="77777777" w:rsidR="009211A6" w:rsidRPr="004135FE" w:rsidRDefault="009211A6" w:rsidP="00856043">
      <w:pPr>
        <w:autoSpaceDE w:val="0"/>
        <w:autoSpaceDN w:val="0"/>
        <w:adjustRightInd w:val="0"/>
        <w:spacing w:after="0" w:line="240" w:lineRule="auto"/>
        <w:ind w:firstLine="709"/>
        <w:jc w:val="both"/>
        <w:rPr>
          <w:rFonts w:ascii="Times New Roman" w:eastAsiaTheme="minorHAnsi" w:hAnsi="Times New Roman" w:cs="Times New Roman"/>
          <w:b/>
          <w:sz w:val="28"/>
          <w:szCs w:val="28"/>
          <w:lang w:eastAsia="en-US"/>
        </w:rPr>
      </w:pPr>
      <w:r w:rsidRPr="004135FE">
        <w:rPr>
          <w:rFonts w:ascii="Times New Roman" w:eastAsiaTheme="minorHAnsi" w:hAnsi="Times New Roman" w:cs="Times New Roman"/>
          <w:b/>
          <w:sz w:val="28"/>
          <w:szCs w:val="28"/>
          <w:lang w:eastAsia="en-US"/>
        </w:rPr>
        <w:t>1.4 Связь Казахстанских программ с документами Всемирной Организации Здравоохранения по межсекторальному сотрудничеству при сахарном диабете 2 типа</w:t>
      </w:r>
    </w:p>
    <w:p w14:paraId="7D716B49" w14:textId="07CE1EE9"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Укрепление межсекторального, межотраслевого сотрудничества и повышение коллективной ответственности за охрану здоровья являются основой управления здравоохранением в Казахстане. При технической поддержке ВОЗ в РК были последовательно приняты Государственные программы развития здравоохранения Республики Казахстан «Саламатты Қазақстан» (2011-2015), «Денсаулық» (2016- 2019) и программа </w:t>
      </w:r>
      <w:r w:rsidRPr="004135FE">
        <w:rPr>
          <w:rStyle w:val="ab"/>
          <w:rFonts w:ascii="Times New Roman" w:hAnsi="Times New Roman" w:cs="Times New Roman"/>
          <w:color w:val="auto"/>
          <w:sz w:val="28"/>
          <w:szCs w:val="28"/>
          <w:u w:val="none"/>
          <w:shd w:val="clear" w:color="auto" w:fill="FFFFFF"/>
        </w:rPr>
        <w:t>на 2020-2025 годы</w:t>
      </w:r>
      <w:r w:rsidRPr="004135FE">
        <w:rPr>
          <w:rFonts w:ascii="Times New Roman" w:hAnsi="Times New Roman" w:cs="Times New Roman"/>
          <w:sz w:val="28"/>
          <w:szCs w:val="28"/>
        </w:rPr>
        <w:t>. Они направлены «на улучшение здоровья граждан Казахстана для обеспечения устойчивого социально-демографического развития страны» [ 97, 98].</w:t>
      </w:r>
      <w:r w:rsidRPr="004135FE">
        <w:rPr>
          <w:rFonts w:ascii="Times New Roman" w:hAnsi="Times New Roman" w:cs="Times New Roman"/>
          <w:sz w:val="28"/>
          <w:szCs w:val="28"/>
          <w:lang w:val="kk-KZ"/>
        </w:rPr>
        <w:t xml:space="preserve"> </w:t>
      </w:r>
      <w:r w:rsidRPr="004135FE">
        <w:rPr>
          <w:rFonts w:ascii="Times New Roman" w:hAnsi="Times New Roman" w:cs="Times New Roman"/>
          <w:sz w:val="28"/>
          <w:szCs w:val="28"/>
        </w:rPr>
        <w:t>Принципы комплексной стратегии укрепления здоровья так же используются в нашей стране, которые описаны в ряде важнейших документов международного уровня, в т.ч. Оттавской хартии по укреплению здоровья (1986 г.), программе ВОЗ «Здоровье для всех в 21 веке» (1998 г.), Бангкокской хартии по укреплению здоровья (2005) и других документах [99].</w:t>
      </w:r>
    </w:p>
    <w:p w14:paraId="032DD02D" w14:textId="3D3D5A61" w:rsidR="009211A6" w:rsidRPr="004135FE"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В Республике Казахстан, как и в других странах применяются всемирные программы и документы по поддержанию здоровья и благополучия для пациентов с СД2т.  По программе ВОЗ, по проблеме диабета дополняется Глобальной стратегией по питанию, физической активности и здоровью, в которой излагаются подходы, направленные на поощрение здорового питания и регулярной физической активности среди населения в целом и позволяющие сокращать масштабы все более распространенной глобальной проблемы избыточного веса, ожирения и </w:t>
      </w:r>
      <w:r w:rsidRPr="00272615">
        <w:rPr>
          <w:rFonts w:ascii="Times New Roman" w:hAnsi="Times New Roman" w:cs="Times New Roman"/>
          <w:sz w:val="28"/>
          <w:szCs w:val="28"/>
        </w:rPr>
        <w:t>СД2т [20]</w:t>
      </w:r>
      <w:r w:rsidR="00742156" w:rsidRPr="00272615">
        <w:rPr>
          <w:rFonts w:ascii="Times New Roman" w:hAnsi="Times New Roman" w:cs="Times New Roman"/>
          <w:sz w:val="28"/>
          <w:szCs w:val="28"/>
        </w:rPr>
        <w:t>.</w:t>
      </w:r>
    </w:p>
    <w:p w14:paraId="0F97FD2E" w14:textId="77777777" w:rsidR="009211A6" w:rsidRPr="00742156"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shd w:val="clear" w:color="auto" w:fill="FFFFFF"/>
        </w:rPr>
        <w:t>Сахарный диабет является хроническим инвалидизирующим заболеванием, приводящим к развитию тяжелых осложнений и требующим значительных экономических затрат, выходя за рамки сугубо медицинской направленности в социально-экономическую проблему глобального характера. Это накладывает серьезные обязательства не только на членов семей, медицинский персонал, но и на государства, на весь мир в целом. В </w:t>
      </w:r>
      <w:r w:rsidRPr="004135FE">
        <w:rPr>
          <w:rFonts w:ascii="Times New Roman" w:hAnsi="Times New Roman" w:cs="Times New Roman"/>
          <w:bCs/>
          <w:sz w:val="28"/>
          <w:szCs w:val="28"/>
          <w:shd w:val="clear" w:color="auto" w:fill="FFFFFF"/>
        </w:rPr>
        <w:t xml:space="preserve">резолюции </w:t>
      </w:r>
      <w:r w:rsidRPr="004135FE">
        <w:rPr>
          <w:rFonts w:ascii="Times New Roman" w:hAnsi="Times New Roman" w:cs="Times New Roman"/>
          <w:sz w:val="28"/>
          <w:szCs w:val="28"/>
          <w:shd w:val="clear" w:color="auto" w:fill="FFFFFF"/>
        </w:rPr>
        <w:t>№ A/RES/61/225 от 20 декабря 2006 года на 61-ой Генеральной Ассамблеи предлагается государствам-членам </w:t>
      </w:r>
      <w:r w:rsidRPr="00742156">
        <w:rPr>
          <w:rFonts w:ascii="Times New Roman" w:hAnsi="Times New Roman" w:cs="Times New Roman"/>
          <w:sz w:val="28"/>
          <w:szCs w:val="28"/>
          <w:shd w:val="clear" w:color="auto" w:fill="FFFFFF"/>
        </w:rPr>
        <w:t xml:space="preserve">ООН разработать национальные программы по борьбе с сахарным диабетом и </w:t>
      </w:r>
      <w:r w:rsidRPr="00742156">
        <w:rPr>
          <w:rFonts w:ascii="Times New Roman" w:eastAsia="Times New Roman" w:hAnsi="Times New Roman" w:cs="Times New Roman"/>
          <w:sz w:val="28"/>
          <w:szCs w:val="28"/>
        </w:rPr>
        <w:t>повышать публичную информированность привлекая к этому процессу образовательные программы и средства массовой информации.</w:t>
      </w:r>
      <w:r w:rsidRPr="00742156">
        <w:rPr>
          <w:rFonts w:ascii="Times New Roman" w:hAnsi="Times New Roman" w:cs="Times New Roman"/>
          <w:sz w:val="28"/>
          <w:szCs w:val="28"/>
          <w:shd w:val="clear" w:color="auto" w:fill="FFFFFF"/>
        </w:rPr>
        <w:t xml:space="preserve"> Впервые обращено внимание, что </w:t>
      </w:r>
      <w:r w:rsidRPr="00742156">
        <w:rPr>
          <w:rStyle w:val="aa"/>
          <w:rFonts w:ascii="Times New Roman" w:hAnsi="Times New Roman" w:cs="Times New Roman"/>
          <w:b w:val="0"/>
          <w:bCs w:val="0"/>
          <w:sz w:val="28"/>
          <w:szCs w:val="28"/>
          <w:shd w:val="clear" w:color="auto" w:fill="FFFFFF"/>
        </w:rPr>
        <w:t>неинфекционное заболевание сахарный диабет несет в себе столь же высокую опасность для здоровья всех наций, как инфекционные заболевания [100].</w:t>
      </w:r>
    </w:p>
    <w:p w14:paraId="54D89558" w14:textId="77777777" w:rsidR="009211A6" w:rsidRPr="00742156"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В экономический развитых странах мира каждые 10-15 лет число больных сахарным диабетом в среднем возрастает в 2 раза. По данным отчета экспертов World Bank Diabetes prevalence Казахстан занимает </w:t>
      </w:r>
      <w:r w:rsidRPr="00742156">
        <w:rPr>
          <w:rStyle w:val="aa"/>
          <w:rFonts w:ascii="Times New Roman" w:hAnsi="Times New Roman" w:cs="Times New Roman"/>
          <w:b w:val="0"/>
          <w:bCs w:val="0"/>
          <w:sz w:val="28"/>
          <w:szCs w:val="28"/>
        </w:rPr>
        <w:t>119 место</w:t>
      </w:r>
      <w:r w:rsidRPr="004135FE">
        <w:rPr>
          <w:rFonts w:ascii="Times New Roman" w:hAnsi="Times New Roman" w:cs="Times New Roman"/>
          <w:sz w:val="28"/>
          <w:szCs w:val="28"/>
        </w:rPr>
        <w:t xml:space="preserve"> в </w:t>
      </w:r>
      <w:r w:rsidRPr="004135FE">
        <w:rPr>
          <w:rFonts w:ascii="Times New Roman" w:hAnsi="Times New Roman" w:cs="Times New Roman"/>
          <w:sz w:val="28"/>
          <w:szCs w:val="28"/>
        </w:rPr>
        <w:lastRenderedPageBreak/>
        <w:t>мире по распространенности сахарного диабета, что составляет </w:t>
      </w:r>
      <w:r w:rsidRPr="00742156">
        <w:rPr>
          <w:rStyle w:val="aa"/>
          <w:rFonts w:ascii="Times New Roman" w:hAnsi="Times New Roman" w:cs="Times New Roman"/>
          <w:b w:val="0"/>
          <w:bCs w:val="0"/>
          <w:sz w:val="28"/>
          <w:szCs w:val="28"/>
        </w:rPr>
        <w:t>6,1% </w:t>
      </w:r>
      <w:r w:rsidRPr="00742156">
        <w:rPr>
          <w:rFonts w:ascii="Times New Roman" w:hAnsi="Times New Roman" w:cs="Times New Roman"/>
          <w:sz w:val="28"/>
          <w:szCs w:val="28"/>
        </w:rPr>
        <w:t xml:space="preserve">в возрастной категории 20-70 лет. </w:t>
      </w:r>
    </w:p>
    <w:p w14:paraId="13E63454" w14:textId="75C11E37" w:rsidR="009211A6" w:rsidRPr="00742156"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742156">
        <w:rPr>
          <w:rFonts w:ascii="Times New Roman" w:eastAsia="MyriadPro-Regular" w:hAnsi="Times New Roman" w:cs="Times New Roman"/>
          <w:sz w:val="28"/>
          <w:szCs w:val="28"/>
        </w:rPr>
        <w:t>Основными причинами утраты лет жизни вследствие преждевременной смертности в Казахстане в 2013 г. были ишемическая болезнь сердца, цереброваскулярные расстройства к которым приводит гипергликемия (</w:t>
      </w:r>
      <w:r w:rsidRPr="00742156">
        <w:rPr>
          <w:rFonts w:ascii="Times New Roman" w:eastAsia="MyriadPro-Regular" w:hAnsi="Times New Roman" w:cs="Times New Roman"/>
          <w:sz w:val="28"/>
          <w:szCs w:val="28"/>
          <w:lang w:val="en-US"/>
        </w:rPr>
        <w:t>Institute</w:t>
      </w:r>
      <w:r w:rsidRPr="00742156">
        <w:rPr>
          <w:rFonts w:ascii="Times New Roman" w:eastAsia="MyriadPro-Regular" w:hAnsi="Times New Roman" w:cs="Times New Roman"/>
          <w:sz w:val="28"/>
          <w:szCs w:val="28"/>
        </w:rPr>
        <w:t xml:space="preserve"> </w:t>
      </w:r>
      <w:r w:rsidRPr="00742156">
        <w:rPr>
          <w:rFonts w:ascii="Times New Roman" w:eastAsia="MyriadPro-Regular" w:hAnsi="Times New Roman" w:cs="Times New Roman"/>
          <w:sz w:val="28"/>
          <w:szCs w:val="28"/>
          <w:lang w:val="en-US"/>
        </w:rPr>
        <w:t>for</w:t>
      </w:r>
      <w:r w:rsidRPr="00742156">
        <w:rPr>
          <w:rFonts w:ascii="Times New Roman" w:eastAsia="MyriadPro-Regular" w:hAnsi="Times New Roman" w:cs="Times New Roman"/>
          <w:sz w:val="28"/>
          <w:szCs w:val="28"/>
        </w:rPr>
        <w:t xml:space="preserve"> </w:t>
      </w:r>
      <w:r w:rsidRPr="00742156">
        <w:rPr>
          <w:rFonts w:ascii="Times New Roman" w:eastAsia="MyriadPro-Regular" w:hAnsi="Times New Roman" w:cs="Times New Roman"/>
          <w:sz w:val="28"/>
          <w:szCs w:val="28"/>
          <w:lang w:val="en-US"/>
        </w:rPr>
        <w:t>Health</w:t>
      </w:r>
      <w:r w:rsidRPr="00742156">
        <w:rPr>
          <w:rFonts w:ascii="Times New Roman" w:eastAsia="MyriadPro-Regular" w:hAnsi="Times New Roman" w:cs="Times New Roman"/>
          <w:sz w:val="28"/>
          <w:szCs w:val="28"/>
        </w:rPr>
        <w:t xml:space="preserve"> </w:t>
      </w:r>
      <w:r w:rsidRPr="00742156">
        <w:rPr>
          <w:rFonts w:ascii="Times New Roman" w:eastAsia="MyriadPro-Regular" w:hAnsi="Times New Roman" w:cs="Times New Roman"/>
          <w:sz w:val="28"/>
          <w:szCs w:val="28"/>
          <w:lang w:val="en-US"/>
        </w:rPr>
        <w:t>Metrics</w:t>
      </w:r>
      <w:r w:rsidRPr="00742156">
        <w:rPr>
          <w:rFonts w:ascii="Times New Roman" w:eastAsia="MyriadPro-Regular" w:hAnsi="Times New Roman" w:cs="Times New Roman"/>
          <w:sz w:val="28"/>
          <w:szCs w:val="28"/>
        </w:rPr>
        <w:t xml:space="preserve"> </w:t>
      </w:r>
      <w:r w:rsidRPr="00742156">
        <w:rPr>
          <w:rFonts w:ascii="Times New Roman" w:eastAsia="MyriadPro-Regular" w:hAnsi="Times New Roman" w:cs="Times New Roman"/>
          <w:sz w:val="28"/>
          <w:szCs w:val="28"/>
          <w:lang w:val="en-US"/>
        </w:rPr>
        <w:t>and</w:t>
      </w:r>
      <w:r w:rsidRPr="00742156">
        <w:rPr>
          <w:rFonts w:ascii="Times New Roman" w:eastAsia="MyriadPro-Regular" w:hAnsi="Times New Roman" w:cs="Times New Roman"/>
          <w:sz w:val="28"/>
          <w:szCs w:val="28"/>
        </w:rPr>
        <w:t xml:space="preserve"> </w:t>
      </w:r>
      <w:r w:rsidRPr="00742156">
        <w:rPr>
          <w:rFonts w:ascii="Times New Roman" w:eastAsia="MyriadPro-Regular" w:hAnsi="Times New Roman" w:cs="Times New Roman"/>
          <w:sz w:val="28"/>
          <w:szCs w:val="28"/>
          <w:lang w:val="en-US"/>
        </w:rPr>
        <w:t>Evaluation</w:t>
      </w:r>
      <w:r w:rsidRPr="00742156">
        <w:rPr>
          <w:rFonts w:ascii="Times New Roman" w:eastAsia="MyriadPro-Regular" w:hAnsi="Times New Roman" w:cs="Times New Roman"/>
          <w:sz w:val="28"/>
          <w:szCs w:val="28"/>
        </w:rPr>
        <w:t xml:space="preserve">, 2015). Наиболее выраженными в этот же период факторами риска в отношении бремени болезней, измеряемыми в параметрах утраченных лет здоровой жизни (DALY), были нездоровое питание, повышенное систолическое артериальное давление и повышенный индекс массы тела. Диабет вырос в рейтинге причин стойких нарушений здоровья с 8-го места в 1990 г. до 4-го места в 2013 г. </w:t>
      </w:r>
      <w:r w:rsidRPr="00742156">
        <w:rPr>
          <w:rFonts w:ascii="Times New Roman" w:hAnsi="Times New Roman" w:cs="Times New Roman"/>
          <w:sz w:val="28"/>
          <w:szCs w:val="28"/>
        </w:rPr>
        <w:t>[101]</w:t>
      </w:r>
      <w:r w:rsidR="00742156">
        <w:rPr>
          <w:rFonts w:ascii="Times New Roman" w:hAnsi="Times New Roman" w:cs="Times New Roman"/>
          <w:sz w:val="28"/>
          <w:szCs w:val="28"/>
        </w:rPr>
        <w:t>.</w:t>
      </w:r>
    </w:p>
    <w:p w14:paraId="01722873" w14:textId="0CB1222A"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742156">
        <w:rPr>
          <w:rFonts w:ascii="Times New Roman" w:eastAsia="MyriadPro-Bold" w:hAnsi="Times New Roman" w:cs="Times New Roman"/>
          <w:sz w:val="28"/>
          <w:szCs w:val="28"/>
          <w:lang w:eastAsia="en-US"/>
        </w:rPr>
        <w:t xml:space="preserve">В Казахстане растет доля населения с избыточной массой тела и ожирением, которые являются факторами риска развития и осложнения СД. Однако осуществление основных вмешательств для решения проблем питания и физической активности носит ограниченный характер. </w:t>
      </w:r>
      <w:r w:rsidRPr="00742156">
        <w:rPr>
          <w:rFonts w:ascii="Times New Roman" w:eastAsia="MyriadPro-Regular" w:hAnsi="Times New Roman" w:cs="Times New Roman"/>
          <w:sz w:val="28"/>
          <w:szCs w:val="28"/>
          <w:lang w:eastAsia="en-US"/>
        </w:rPr>
        <w:t xml:space="preserve">По оценочным данным Глобальной обсерватории ВОЗ (WHO, 2016) </w:t>
      </w:r>
      <w:r w:rsidRPr="00742156">
        <w:rPr>
          <w:rFonts w:ascii="Times New Roman" w:hAnsi="Times New Roman" w:cs="Times New Roman"/>
          <w:sz w:val="28"/>
          <w:szCs w:val="28"/>
        </w:rPr>
        <w:t xml:space="preserve">[102] </w:t>
      </w:r>
      <w:r w:rsidRPr="00742156">
        <w:rPr>
          <w:rFonts w:ascii="Times New Roman" w:eastAsia="MyriadPro-Regular" w:hAnsi="Times New Roman" w:cs="Times New Roman"/>
          <w:sz w:val="28"/>
          <w:szCs w:val="28"/>
          <w:lang w:eastAsia="en-US"/>
        </w:rPr>
        <w:t xml:space="preserve">в отношении избыточной массы тела и ожирения, в 2014 г. </w:t>
      </w:r>
      <w:r w:rsidRPr="00742156">
        <w:rPr>
          <w:rFonts w:ascii="Times New Roman" w:eastAsia="MyriadPro-Bold" w:hAnsi="Times New Roman" w:cs="Times New Roman"/>
          <w:sz w:val="28"/>
          <w:szCs w:val="28"/>
          <w:lang w:eastAsia="en-US"/>
        </w:rPr>
        <w:t xml:space="preserve">60,5% мужчин и 57,1% женщин имели избыточную массу тела (индекс массы тела &gt; 25 кг/м 2), и 21,6% мужчин и 25% женщин страдали от ожирения (WHO, 2015b) </w:t>
      </w:r>
      <w:r w:rsidRPr="00742156">
        <w:rPr>
          <w:rFonts w:ascii="Times New Roman" w:hAnsi="Times New Roman" w:cs="Times New Roman"/>
          <w:sz w:val="28"/>
          <w:szCs w:val="28"/>
        </w:rPr>
        <w:t>[103]</w:t>
      </w:r>
      <w:r w:rsidRPr="00742156">
        <w:rPr>
          <w:rFonts w:ascii="Times New Roman" w:eastAsia="MyriadPro-Bold" w:hAnsi="Times New Roman" w:cs="Times New Roman"/>
          <w:sz w:val="28"/>
          <w:szCs w:val="28"/>
          <w:lang w:eastAsia="en-US"/>
        </w:rPr>
        <w:t xml:space="preserve">. </w:t>
      </w:r>
      <w:r w:rsidRPr="00742156">
        <w:rPr>
          <w:rFonts w:ascii="Times New Roman" w:eastAsia="MyriadPro-Regular" w:hAnsi="Times New Roman" w:cs="Times New Roman"/>
          <w:sz w:val="28"/>
          <w:szCs w:val="28"/>
          <w:lang w:eastAsia="en-US"/>
        </w:rPr>
        <w:t>По прогнозам Казахской академии</w:t>
      </w:r>
      <w:r w:rsidRPr="004135FE">
        <w:rPr>
          <w:rFonts w:ascii="Times New Roman" w:eastAsia="MyriadPro-Regular" w:hAnsi="Times New Roman" w:cs="Times New Roman"/>
          <w:sz w:val="28"/>
          <w:szCs w:val="28"/>
          <w:lang w:eastAsia="en-US"/>
        </w:rPr>
        <w:t xml:space="preserve"> питания, в 2014г в отчете о научно-исследовательской работе в Астане по теме «Комплексная профилактика эпидемии избыточного веса и ожирения в Казахстане» указывается в отношении ожирения среди взрослых (2010–2030 гг.), в 2020 г. 45% мужчин и 29% женщин будут страдать от ожирения, а в 2030 г. – 74% мужчин и 36% женщин</w:t>
      </w:r>
      <w:r w:rsidRPr="004135FE">
        <w:rPr>
          <w:rFonts w:ascii="Times New Roman" w:hAnsi="Times New Roman" w:cs="Times New Roman"/>
          <w:sz w:val="28"/>
          <w:szCs w:val="28"/>
        </w:rPr>
        <w:t xml:space="preserve"> [104].</w:t>
      </w:r>
    </w:p>
    <w:p w14:paraId="13868485" w14:textId="0278543E" w:rsidR="009211A6" w:rsidRPr="004135FE" w:rsidRDefault="009211A6" w:rsidP="004135FE">
      <w:pPr>
        <w:spacing w:after="0" w:line="240" w:lineRule="auto"/>
        <w:ind w:firstLine="540"/>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По оценкам ВОЗ, 80% сердечно-сосудистых заболеваний (ССЗ), сахарного диабета 2 типа (СД2) и хронической обструктивной болезни легких (ХОБЛ), а также 40% всех видов рака можно предотвратить путем поддержания здоровых привычек питания, регулярных физических упражнений и воздержание от курения [105]. Действительно, предотвратимые заболевания, связанные с образом жизни, составляют примерно от 50 до 60% всех случаев госпитализации [106]. Ожидается, что увеличение показателей ожирения и недостаточной физической активности приведет к увеличению числа пациентов с заболеваниями, связанными с образом жизни, в предстоящие десятилетия [107-109].</w:t>
      </w:r>
      <w:r w:rsidRPr="004135FE">
        <w:rPr>
          <w:rFonts w:ascii="Times New Roman" w:eastAsia="Times New Roman" w:hAnsi="Times New Roman" w:cs="Times New Roman"/>
          <w:sz w:val="28"/>
          <w:szCs w:val="28"/>
          <w:lang w:val="en-US"/>
        </w:rPr>
        <w:t> </w:t>
      </w:r>
      <w:r w:rsidRPr="004135FE">
        <w:rPr>
          <w:rFonts w:ascii="Times New Roman" w:hAnsi="Times New Roman" w:cs="Times New Roman"/>
          <w:sz w:val="28"/>
          <w:szCs w:val="28"/>
          <w:shd w:val="clear" w:color="auto" w:fill="FFFFFF"/>
        </w:rPr>
        <w:t xml:space="preserve">В период с 2010 по 2030 год число взрослых с диабетом в развивающихся странах увеличится на 69%, а в развитых странах – на 20%. Эти прогнозы указывают на растущее бремя диабета, особенно в развивающихся </w:t>
      </w:r>
      <w:r w:rsidRPr="00272615">
        <w:rPr>
          <w:rFonts w:ascii="Times New Roman" w:hAnsi="Times New Roman" w:cs="Times New Roman"/>
          <w:sz w:val="28"/>
          <w:szCs w:val="28"/>
          <w:shd w:val="clear" w:color="auto" w:fill="FFFFFF"/>
        </w:rPr>
        <w:t xml:space="preserve">странах </w:t>
      </w:r>
      <w:r w:rsidRPr="00272615">
        <w:rPr>
          <w:rFonts w:ascii="Times New Roman" w:eastAsia="Times New Roman" w:hAnsi="Times New Roman" w:cs="Times New Roman"/>
          <w:sz w:val="28"/>
          <w:szCs w:val="28"/>
        </w:rPr>
        <w:t>[107].</w:t>
      </w:r>
      <w:r w:rsidRPr="004135FE">
        <w:rPr>
          <w:rFonts w:ascii="Times New Roman" w:eastAsia="Times New Roman" w:hAnsi="Times New Roman" w:cs="Times New Roman"/>
          <w:sz w:val="28"/>
          <w:szCs w:val="28"/>
          <w:lang w:val="en-US"/>
        </w:rPr>
        <w:t> </w:t>
      </w:r>
    </w:p>
    <w:p w14:paraId="2A969366" w14:textId="77777777" w:rsidR="009211A6" w:rsidRPr="004135FE" w:rsidRDefault="009211A6" w:rsidP="004135FE">
      <w:pPr>
        <w:autoSpaceDE w:val="0"/>
        <w:autoSpaceDN w:val="0"/>
        <w:adjustRightInd w:val="0"/>
        <w:spacing w:after="0" w:line="240" w:lineRule="auto"/>
        <w:ind w:firstLine="540"/>
        <w:jc w:val="both"/>
        <w:rPr>
          <w:rFonts w:ascii="Times New Roman" w:hAnsi="Times New Roman" w:cs="Times New Roman"/>
          <w:sz w:val="28"/>
          <w:szCs w:val="28"/>
        </w:rPr>
      </w:pPr>
      <w:r w:rsidRPr="004135FE">
        <w:rPr>
          <w:rFonts w:ascii="Times New Roman" w:eastAsia="MyriadPro-Regular" w:hAnsi="Times New Roman" w:cs="Times New Roman"/>
          <w:sz w:val="28"/>
          <w:szCs w:val="28"/>
        </w:rPr>
        <w:t xml:space="preserve">Стратегии, направленные на социально справедливый экономический рост и благополучие, улучшение образования, условий труда и доступа к услугам здравоохранения, а также на сокращение масштабов бедности и безработицы, с наибольшей вероятностью дадут положительные сдвиги по показателям здоровья </w:t>
      </w:r>
      <w:r w:rsidRPr="004135FE">
        <w:rPr>
          <w:rFonts w:ascii="Times New Roman" w:hAnsi="Times New Roman" w:cs="Times New Roman"/>
          <w:sz w:val="28"/>
          <w:szCs w:val="28"/>
        </w:rPr>
        <w:t>[110]</w:t>
      </w:r>
      <w:r w:rsidRPr="004135FE">
        <w:rPr>
          <w:rFonts w:ascii="Times New Roman" w:eastAsia="MyriadPro-Regular" w:hAnsi="Times New Roman" w:cs="Times New Roman"/>
          <w:i/>
          <w:iCs/>
          <w:sz w:val="28"/>
          <w:szCs w:val="28"/>
        </w:rPr>
        <w:t>.</w:t>
      </w:r>
      <w:r w:rsidRPr="004135FE">
        <w:rPr>
          <w:rFonts w:ascii="Times New Roman" w:hAnsi="Times New Roman" w:cs="Times New Roman"/>
          <w:i/>
          <w:iCs/>
          <w:sz w:val="28"/>
          <w:szCs w:val="28"/>
        </w:rPr>
        <w:t xml:space="preserve"> </w:t>
      </w:r>
      <w:r w:rsidRPr="004135FE">
        <w:rPr>
          <w:rFonts w:ascii="Times New Roman" w:eastAsia="MyriadPro-Regular" w:hAnsi="Times New Roman" w:cs="Times New Roman"/>
          <w:sz w:val="28"/>
          <w:szCs w:val="28"/>
        </w:rPr>
        <w:t xml:space="preserve">Сотрудничество между сектором здравоохранения и другими отраслями, а также общесоциальные усилия </w:t>
      </w:r>
      <w:r w:rsidRPr="004135FE">
        <w:rPr>
          <w:rFonts w:ascii="Times New Roman" w:eastAsia="MyriadPro-Regular" w:hAnsi="Times New Roman" w:cs="Times New Roman"/>
          <w:sz w:val="28"/>
          <w:szCs w:val="28"/>
        </w:rPr>
        <w:lastRenderedPageBreak/>
        <w:t xml:space="preserve">необходимы для осуществления этих стратегий на уровне всего населения. Примеры межсекторальных действий по профилактике СД2т и других НИЗ, продемонстрировавших высокую эффективность, включают борьбу с алкоголем и табаком. Целенаправленное сочетание налоговых инструментов с другими стимулами, такими как запрет на рекламу, явилось затратоэффективной комбинацией, которая позволила получить значительные полезные результаты </w:t>
      </w:r>
      <w:r w:rsidRPr="004135FE">
        <w:rPr>
          <w:rFonts w:ascii="Times New Roman" w:hAnsi="Times New Roman" w:cs="Times New Roman"/>
          <w:sz w:val="28"/>
          <w:szCs w:val="28"/>
        </w:rPr>
        <w:t>[111]</w:t>
      </w:r>
    </w:p>
    <w:p w14:paraId="6DA16E0E" w14:textId="77777777" w:rsidR="009211A6" w:rsidRPr="004135FE" w:rsidRDefault="009211A6" w:rsidP="004135FE">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Система ООН поддерживает Республику Казахстан вступить в ряды 30 самых развитых мира, достигнув стандартов ОЭСР. Глобальная повестка в области устойчивого развития до 2030 года и 17 Целей устойчивого развития (ЦУР) служат инструментами, которые помогут Казахстану эффективно достигать результатов по развитию, сформулированных в Стратегии-2050 и соответствующих реформах</w:t>
      </w:r>
      <w:r w:rsidRPr="004135FE">
        <w:rPr>
          <w:rFonts w:ascii="Times New Roman" w:hAnsi="Times New Roman" w:cs="Times New Roman"/>
          <w:sz w:val="28"/>
          <w:szCs w:val="28"/>
        </w:rPr>
        <w:t xml:space="preserve"> [112].</w:t>
      </w:r>
      <w:r w:rsidRPr="004135FE">
        <w:rPr>
          <w:rFonts w:ascii="Times New Roman" w:eastAsiaTheme="minorHAnsi" w:hAnsi="Times New Roman" w:cs="Times New Roman"/>
          <w:sz w:val="28"/>
          <w:szCs w:val="28"/>
          <w:lang w:eastAsia="en-US"/>
        </w:rPr>
        <w:t xml:space="preserve"> Казахстан ратифицировал Рамочную конвенцию ВОЗ по борьбе против табака в 2007 году и осуществляет межсекторальные меры по защите людей от употребления табачных изделий. В Казахстане действует запрет всех форм прямой рекламы табачных изделий. Курение частично запрещено в общественных местах, и работу по созданию свободных от курения общественных зон необходимо усиливать. Графические изображения о вреде табака для здоровья занимают 40% поверхности пачки сигарет. Выручка от табачных акцизов увеличилась с 46 миллиардов тенге в 2013 году до 79 миллиардов тенге в 2014 году, тогда как ежегодные продажи сигарет упали с 30 до 27 миллиардов штук, что демонстрирует повышение сборов от налогов на табак. Казахстан находится на пути к достижению глобальной цели сокращения преждевременной смертности на 25% от неинфекционных заболеваний (НИЗ) до 2025 года. Для достижения данной цели, государство вкладывает средства в трансформацию услуг по ПМСП, чтобы они стали более социально ориентированными и интегрированными. </w:t>
      </w:r>
    </w:p>
    <w:p w14:paraId="650807E8" w14:textId="2FB2E942" w:rsidR="009211A6" w:rsidRPr="004135FE" w:rsidRDefault="009211A6" w:rsidP="004135FE">
      <w:pPr>
        <w:shd w:val="clear" w:color="auto" w:fill="FFFFFF"/>
        <w:spacing w:after="0" w:line="240" w:lineRule="auto"/>
        <w:ind w:left="-15" w:right="-15" w:firstLine="723"/>
        <w:jc w:val="both"/>
        <w:rPr>
          <w:rFonts w:ascii="Times New Roman" w:hAnsi="Times New Roman" w:cs="Times New Roman"/>
          <w:sz w:val="28"/>
          <w:szCs w:val="28"/>
        </w:rPr>
      </w:pPr>
      <w:r w:rsidRPr="00742156">
        <w:rPr>
          <w:rFonts w:ascii="Times New Roman" w:eastAsiaTheme="minorHAnsi" w:hAnsi="Times New Roman" w:cs="Times New Roman"/>
          <w:bCs/>
          <w:sz w:val="28"/>
          <w:szCs w:val="28"/>
          <w:lang w:eastAsia="en-US"/>
        </w:rPr>
        <w:t>В 2018</w:t>
      </w:r>
      <w:r w:rsidR="000630F2">
        <w:rPr>
          <w:rFonts w:ascii="Times New Roman" w:eastAsiaTheme="minorHAnsi" w:hAnsi="Times New Roman" w:cs="Times New Roman"/>
          <w:bCs/>
          <w:sz w:val="28"/>
          <w:szCs w:val="28"/>
          <w:lang w:eastAsia="en-US"/>
        </w:rPr>
        <w:t xml:space="preserve"> </w:t>
      </w:r>
      <w:r w:rsidRPr="00742156">
        <w:rPr>
          <w:rFonts w:ascii="Times New Roman" w:eastAsiaTheme="minorHAnsi" w:hAnsi="Times New Roman" w:cs="Times New Roman"/>
          <w:bCs/>
          <w:sz w:val="28"/>
          <w:szCs w:val="28"/>
          <w:lang w:eastAsia="en-US"/>
        </w:rPr>
        <w:t>г</w:t>
      </w:r>
      <w:r w:rsidR="000630F2">
        <w:rPr>
          <w:rFonts w:ascii="Times New Roman" w:eastAsiaTheme="minorHAnsi" w:hAnsi="Times New Roman" w:cs="Times New Roman"/>
          <w:bCs/>
          <w:sz w:val="28"/>
          <w:szCs w:val="28"/>
          <w:lang w:eastAsia="en-US"/>
        </w:rPr>
        <w:t>оду</w:t>
      </w:r>
      <w:r w:rsidRPr="00742156">
        <w:rPr>
          <w:rFonts w:ascii="Times New Roman" w:eastAsiaTheme="minorHAnsi" w:hAnsi="Times New Roman" w:cs="Times New Roman"/>
          <w:bCs/>
          <w:sz w:val="28"/>
          <w:szCs w:val="28"/>
          <w:lang w:eastAsia="en-US"/>
        </w:rPr>
        <w:t xml:space="preserve"> 25-26 октября </w:t>
      </w:r>
      <w:r w:rsidRPr="00742156">
        <w:rPr>
          <w:rFonts w:ascii="Times New Roman" w:hAnsi="Times New Roman" w:cs="Times New Roman"/>
          <w:bCs/>
          <w:sz w:val="28"/>
          <w:szCs w:val="28"/>
        </w:rPr>
        <w:t>совместно с ВОЗ, ЮНИСЕФ и Правительством Казахстана в г. Астана</w:t>
      </w:r>
      <w:r w:rsidRPr="00742156">
        <w:rPr>
          <w:rFonts w:ascii="Times New Roman" w:eastAsiaTheme="minorHAnsi" w:hAnsi="Times New Roman" w:cs="Times New Roman"/>
          <w:bCs/>
          <w:sz w:val="28"/>
          <w:szCs w:val="28"/>
          <w:lang w:eastAsia="en-US"/>
        </w:rPr>
        <w:t xml:space="preserve"> </w:t>
      </w:r>
      <w:r w:rsidRPr="00742156">
        <w:rPr>
          <w:rFonts w:ascii="Times New Roman" w:hAnsi="Times New Roman" w:cs="Times New Roman"/>
          <w:bCs/>
          <w:sz w:val="28"/>
          <w:szCs w:val="28"/>
        </w:rPr>
        <w:t>прошла Глобальная конференция по первичной медико-санитарной помощи «</w:t>
      </w:r>
      <w:r w:rsidRPr="00742156">
        <w:rPr>
          <w:rFonts w:ascii="Times New Roman" w:eastAsiaTheme="minorHAnsi" w:hAnsi="Times New Roman" w:cs="Times New Roman"/>
          <w:bCs/>
          <w:sz w:val="28"/>
          <w:szCs w:val="28"/>
          <w:lang w:eastAsia="en-US"/>
        </w:rPr>
        <w:t xml:space="preserve">Цели устойчивого развития (ЦУР) ООН. </w:t>
      </w:r>
      <w:r w:rsidRPr="00742156">
        <w:rPr>
          <w:rFonts w:ascii="Times New Roman" w:hAnsi="Times New Roman" w:cs="Times New Roman"/>
          <w:bCs/>
          <w:spacing w:val="4"/>
          <w:sz w:val="28"/>
          <w:szCs w:val="28"/>
        </w:rPr>
        <w:t xml:space="preserve">Поддержка реализации ЦУР в Казахстане». </w:t>
      </w:r>
      <w:r w:rsidRPr="00742156">
        <w:rPr>
          <w:rFonts w:ascii="Times New Roman" w:hAnsi="Times New Roman" w:cs="Times New Roman"/>
          <w:bCs/>
          <w:sz w:val="28"/>
          <w:szCs w:val="28"/>
        </w:rPr>
        <w:t>В</w:t>
      </w:r>
      <w:r w:rsidRPr="004135FE">
        <w:rPr>
          <w:rFonts w:ascii="Times New Roman" w:hAnsi="Times New Roman" w:cs="Times New Roman"/>
          <w:sz w:val="28"/>
          <w:szCs w:val="28"/>
        </w:rPr>
        <w:t xml:space="preserve"> мероприятии приняли участие более 1500 представителей из 140 государств-членов ВОЗ, среди которых были министры здравоохранения, финансов, образования и общественного развития; медицинские работники и защитники интересов пациентов; молодежные делегаты и активисты; а также лидеры, представляющие двусторонние и многосторонние учреждения, глобальные организации по защите здоровья, гражданское общество, научные круги, филантропия, средства массовой информации и частный сектор. </w:t>
      </w:r>
    </w:p>
    <w:p w14:paraId="00243869" w14:textId="32626474" w:rsidR="009211A6" w:rsidRPr="004135FE" w:rsidRDefault="009211A6" w:rsidP="004135FE">
      <w:pPr>
        <w:shd w:val="clear" w:color="auto" w:fill="FFFFFF"/>
        <w:spacing w:after="0" w:line="240" w:lineRule="auto"/>
        <w:ind w:left="-15" w:right="-15" w:firstLine="723"/>
        <w:jc w:val="both"/>
        <w:rPr>
          <w:rFonts w:ascii="Times New Roman" w:hAnsi="Times New Roman" w:cs="Times New Roman"/>
          <w:b/>
          <w:bCs/>
          <w:spacing w:val="4"/>
          <w:sz w:val="28"/>
          <w:szCs w:val="28"/>
        </w:rPr>
      </w:pPr>
      <w:r w:rsidRPr="004135FE">
        <w:rPr>
          <w:rFonts w:ascii="Times New Roman" w:hAnsi="Times New Roman" w:cs="Times New Roman"/>
          <w:sz w:val="28"/>
          <w:szCs w:val="28"/>
        </w:rPr>
        <w:t xml:space="preserve">Глобальная конференция по ПМСП: от Алма-Атинской декларации к всеобщему охвату услугами здравоохранения и Целям в области устойчивого развития в свою очередь приняли </w:t>
      </w:r>
      <w:hyperlink r:id="rId14" w:tgtFrame="_blank" w:history="1">
        <w:r w:rsidRPr="004135FE">
          <w:rPr>
            <w:rStyle w:val="details-value"/>
            <w:rFonts w:ascii="Times New Roman" w:hAnsi="Times New Roman" w:cs="Times New Roman"/>
            <w:bCs/>
            <w:sz w:val="28"/>
            <w:szCs w:val="28"/>
            <w:shd w:val="clear" w:color="auto" w:fill="FFFFFF"/>
          </w:rPr>
          <w:t>Астанинскую Декларацию</w:t>
        </w:r>
      </w:hyperlink>
      <w:r w:rsidRPr="004135FE">
        <w:rPr>
          <w:rStyle w:val="ab"/>
          <w:rFonts w:ascii="Times New Roman" w:hAnsi="Times New Roman" w:cs="Times New Roman"/>
          <w:color w:val="auto"/>
          <w:sz w:val="28"/>
          <w:szCs w:val="28"/>
          <w:u w:val="none"/>
          <w:shd w:val="clear" w:color="auto" w:fill="FFFFFF"/>
        </w:rPr>
        <w:t xml:space="preserve"> (</w:t>
      </w:r>
      <w:hyperlink r:id="rId15" w:tgtFrame="_blank" w:history="1">
        <w:r w:rsidRPr="004135FE">
          <w:rPr>
            <w:rStyle w:val="details-value"/>
            <w:rFonts w:ascii="Times New Roman" w:hAnsi="Times New Roman" w:cs="Times New Roman"/>
            <w:bCs/>
            <w:sz w:val="28"/>
            <w:szCs w:val="28"/>
            <w:shd w:val="clear" w:color="auto" w:fill="FFFFFF"/>
          </w:rPr>
          <w:t>Declaration of Astana</w:t>
        </w:r>
      </w:hyperlink>
      <w:r w:rsidRPr="004135FE">
        <w:rPr>
          <w:rStyle w:val="ab"/>
          <w:rFonts w:ascii="Times New Roman" w:hAnsi="Times New Roman" w:cs="Times New Roman"/>
          <w:color w:val="auto"/>
          <w:sz w:val="28"/>
          <w:szCs w:val="28"/>
          <w:u w:val="none"/>
          <w:shd w:val="clear" w:color="auto" w:fill="FFFFFF"/>
        </w:rPr>
        <w:t>)</w:t>
      </w:r>
      <w:r w:rsidRPr="004135FE">
        <w:rPr>
          <w:rFonts w:ascii="Times New Roman" w:hAnsi="Times New Roman" w:cs="Times New Roman"/>
          <w:sz w:val="28"/>
          <w:szCs w:val="28"/>
          <w:shd w:val="clear" w:color="auto" w:fill="FFFFFF"/>
        </w:rPr>
        <w:t xml:space="preserve">, где определяет четыре ключевых направления для дальнейшей работы: (1) принятие смелых политических решений для улучшения здоровья людей во всех областях; (2) создание устойчивой ПМСП; (3) расширение прав </w:t>
      </w:r>
      <w:r w:rsidRPr="004135FE">
        <w:rPr>
          <w:rFonts w:ascii="Times New Roman" w:hAnsi="Times New Roman" w:cs="Times New Roman"/>
          <w:sz w:val="28"/>
          <w:szCs w:val="28"/>
          <w:shd w:val="clear" w:color="auto" w:fill="FFFFFF"/>
        </w:rPr>
        <w:lastRenderedPageBreak/>
        <w:t>и возможностей отдельных лиц и общественности; и (4) выстраивание поддержки заинтересованных сторон совместно с национальной политикой, стратегиями и планами</w:t>
      </w:r>
      <w:r w:rsidRPr="004135FE">
        <w:rPr>
          <w:rFonts w:ascii="Times New Roman" w:hAnsi="Times New Roman" w:cs="Times New Roman"/>
          <w:sz w:val="28"/>
          <w:szCs w:val="28"/>
        </w:rPr>
        <w:t xml:space="preserve"> [113,114].</w:t>
      </w:r>
    </w:p>
    <w:p w14:paraId="0894C18E" w14:textId="7DAB5ED7" w:rsidR="009211A6" w:rsidRPr="004135FE" w:rsidRDefault="009211A6" w:rsidP="004135FE">
      <w:pPr>
        <w:shd w:val="clear" w:color="auto" w:fill="FEFEFE"/>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pacing w:val="4"/>
          <w:sz w:val="28"/>
          <w:szCs w:val="28"/>
        </w:rPr>
        <w:t xml:space="preserve">ПРООН поддерживает Казахстан в реализации Целей Устойчивого Развития с момента их принятия в 2015 году. Посредством своей глобальной сети экспертов и в соответствии со своим мандатом, ПРООН финансировала проведение анализа по интеграции, ускорению и поддержке политики (MAPS) в Казахстане, который позволил определить приоритетные области для реализации ЦУР в стране. Кроме того, ПРООН были установлены партнерские отношения с национальными учреждениями в целях повышения осведомленности о ЦУР среди ключевых государственных субъектов. Платформа ЦУР объединяет все заинтересованные стороны на государственном, частном, национальном и местных уровнях для развития диалога, который поддержит усилия по реализации Повестки дня на период до 2030 года (Повестка 2030) в </w:t>
      </w:r>
      <w:r w:rsidRPr="00272615">
        <w:rPr>
          <w:rFonts w:ascii="Times New Roman" w:eastAsia="Times New Roman" w:hAnsi="Times New Roman" w:cs="Times New Roman"/>
          <w:spacing w:val="4"/>
          <w:sz w:val="28"/>
          <w:szCs w:val="28"/>
        </w:rPr>
        <w:t xml:space="preserve">Казахстане </w:t>
      </w:r>
      <w:r w:rsidRPr="00272615">
        <w:rPr>
          <w:rFonts w:ascii="Times New Roman" w:hAnsi="Times New Roman" w:cs="Times New Roman"/>
          <w:sz w:val="28"/>
          <w:szCs w:val="28"/>
        </w:rPr>
        <w:t>[112].</w:t>
      </w:r>
      <w:r w:rsidRPr="004135FE">
        <w:rPr>
          <w:rFonts w:ascii="Times New Roman" w:hAnsi="Times New Roman" w:cs="Times New Roman"/>
          <w:sz w:val="28"/>
          <w:szCs w:val="28"/>
        </w:rPr>
        <w:t xml:space="preserve"> </w:t>
      </w:r>
    </w:p>
    <w:p w14:paraId="4DD21AE9" w14:textId="48ACE883"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eastAsia="Calibri-Bold" w:hAnsi="Times New Roman" w:cs="Times New Roman"/>
          <w:bCs/>
          <w:sz w:val="28"/>
          <w:szCs w:val="28"/>
          <w:lang w:eastAsia="en-US"/>
        </w:rPr>
        <w:t xml:space="preserve">Одной из ключевых детерминант здоровья является правильный расход энергии человека, так как она оказывает существенное позитивное влияние на энергетический баланс и регулирование массы тела, </w:t>
      </w:r>
      <w:r w:rsidRPr="004135FE">
        <w:rPr>
          <w:rFonts w:ascii="Times New Roman" w:eastAsia="Calibri-Bold" w:hAnsi="Times New Roman" w:cs="Times New Roman"/>
          <w:bCs/>
          <w:sz w:val="28"/>
          <w:szCs w:val="28"/>
        </w:rPr>
        <w:t>располагает</w:t>
      </w:r>
      <w:r w:rsidRPr="004135FE">
        <w:rPr>
          <w:rFonts w:ascii="Times New Roman" w:eastAsia="Calibri-Bold" w:hAnsi="Times New Roman" w:cs="Times New Roman"/>
          <w:bCs/>
          <w:sz w:val="28"/>
          <w:szCs w:val="28"/>
          <w:lang w:eastAsia="en-US"/>
        </w:rPr>
        <w:t xml:space="preserve"> стрессоустойчивости. Повышение уровня физической активности в городах является важным шагом на пути к более здоровым городам. Физическая активность чрезвычайно важна для здоровья и благополучия человека. Поэтому регулярная физическая активность очень важна в условиях высокой распространенности во всем мире избыточной массы тела и ожирения, </w:t>
      </w:r>
      <w:r w:rsidRPr="004135FE">
        <w:rPr>
          <w:rFonts w:ascii="Times New Roman" w:eastAsiaTheme="minorHAnsi" w:hAnsi="Times New Roman" w:cs="Times New Roman"/>
          <w:sz w:val="28"/>
          <w:szCs w:val="28"/>
          <w:lang w:eastAsia="en-US"/>
        </w:rPr>
        <w:t xml:space="preserve">также служит защитой от фактора риска целого ряда хронических заболеваний, в том числе СД и поддерживает функциональность в пожилом возрасте. Однако в современной жизни расход энергии за счет физической активности сведен к минимуму, и сегодня преобладает малоподвижный образ жизни.  Стимулировать более широкое межсекторальное сотрудничество при выполнении оценок ФА, в виде регулярного взаимодействия органов общественного здравоохранения с учреждениями в других секторов, ведающие городским планированием, городским транспортом и парками, чтобы постоянно оценивать состояние окружающей среды, поддерживающей физическую активность, и представлять об этом информацию. Для этого специалисты общественного здравоохранения должны входить в состав местных групп по разработке планов. </w:t>
      </w:r>
      <w:r w:rsidRPr="004135FE">
        <w:rPr>
          <w:rFonts w:ascii="Times New Roman" w:eastAsia="Calibri-Bold" w:hAnsi="Times New Roman" w:cs="Times New Roman"/>
          <w:bCs/>
          <w:sz w:val="28"/>
          <w:szCs w:val="28"/>
          <w:lang w:eastAsia="en-US"/>
        </w:rPr>
        <w:t xml:space="preserve">Повысить уровень физической активности в городах Качественное преобразование общественных мест в интересах повышения уровня физической активности — </w:t>
      </w:r>
      <w:r w:rsidRPr="004135FE">
        <w:rPr>
          <w:rFonts w:ascii="Times New Roman" w:eastAsia="Calibri-Light" w:hAnsi="Times New Roman" w:cs="Times New Roman"/>
          <w:sz w:val="28"/>
          <w:szCs w:val="28"/>
          <w:lang w:eastAsia="en-US"/>
        </w:rPr>
        <w:t>важный фактор достижения Целей в области устойчивого развития в Европе</w:t>
      </w:r>
      <w:r w:rsidRPr="004135FE">
        <w:rPr>
          <w:rFonts w:ascii="Times New Roman" w:hAnsi="Times New Roman" w:cs="Times New Roman"/>
          <w:sz w:val="28"/>
          <w:szCs w:val="28"/>
        </w:rPr>
        <w:t xml:space="preserve"> [115]</w:t>
      </w:r>
      <w:r w:rsidR="000630F2">
        <w:rPr>
          <w:rFonts w:ascii="Times New Roman" w:hAnsi="Times New Roman" w:cs="Times New Roman"/>
          <w:sz w:val="28"/>
          <w:szCs w:val="28"/>
        </w:rPr>
        <w:t>.</w:t>
      </w:r>
    </w:p>
    <w:p w14:paraId="105F38F3" w14:textId="179BE5AA" w:rsidR="009211A6" w:rsidRPr="004135FE" w:rsidRDefault="009211A6" w:rsidP="004135FE">
      <w:pPr>
        <w:shd w:val="clear" w:color="auto" w:fill="FFFFFF"/>
        <w:spacing w:after="0" w:line="240" w:lineRule="auto"/>
        <w:ind w:firstLine="397"/>
        <w:jc w:val="both"/>
        <w:textAlignment w:val="baseline"/>
        <w:rPr>
          <w:rFonts w:ascii="Times New Roman" w:eastAsiaTheme="minorHAnsi" w:hAnsi="Times New Roman" w:cs="Times New Roman"/>
          <w:sz w:val="28"/>
          <w:szCs w:val="28"/>
          <w:lang w:eastAsia="en-US"/>
        </w:rPr>
      </w:pPr>
      <w:r w:rsidRPr="004135FE">
        <w:rPr>
          <w:rFonts w:ascii="Times New Roman" w:eastAsiaTheme="minorHAnsi" w:hAnsi="Times New Roman" w:cs="Times New Roman"/>
          <w:bCs/>
          <w:sz w:val="28"/>
          <w:szCs w:val="28"/>
          <w:lang w:eastAsia="en-US"/>
        </w:rPr>
        <w:t xml:space="preserve">Участники Саммита мэров 24 октября 2018 г. в Алматы в рамках Сети ВОЗ «Здоровые города», </w:t>
      </w:r>
      <w:r w:rsidRPr="004135FE">
        <w:rPr>
          <w:rFonts w:ascii="Times New Roman" w:hAnsi="Times New Roman" w:cs="Times New Roman"/>
          <w:bCs/>
          <w:sz w:val="28"/>
          <w:szCs w:val="28"/>
        </w:rPr>
        <w:t>подтвердили приверженность</w:t>
      </w:r>
      <w:r w:rsidRPr="004135FE">
        <w:rPr>
          <w:rFonts w:ascii="Times New Roman" w:eastAsiaTheme="minorHAnsi" w:hAnsi="Times New Roman" w:cs="Times New Roman"/>
          <w:bCs/>
          <w:sz w:val="28"/>
          <w:szCs w:val="28"/>
          <w:lang w:eastAsia="en-US"/>
        </w:rPr>
        <w:t xml:space="preserve"> ценностям и принципам первичной медико-санитарной помощи, провозглашенным 40 лет назад в Алма-Атинской декларации (1978 г.), определению понятия «здоровье», приведенному в Уставе ВОЗ; и идее о том, что содействие охране здоровья и благополучию населения является одной из главных целей общества, которая </w:t>
      </w:r>
      <w:r w:rsidRPr="004135FE">
        <w:rPr>
          <w:rFonts w:ascii="Times New Roman" w:eastAsiaTheme="minorHAnsi" w:hAnsi="Times New Roman" w:cs="Times New Roman"/>
          <w:bCs/>
          <w:sz w:val="28"/>
          <w:szCs w:val="28"/>
          <w:lang w:eastAsia="en-US"/>
        </w:rPr>
        <w:lastRenderedPageBreak/>
        <w:t>предполагает вовлечение в процесс всех его секторов,</w:t>
      </w:r>
      <w:r w:rsidRPr="004135FE">
        <w:rPr>
          <w:rFonts w:ascii="Times New Roman" w:eastAsiaTheme="minorHAnsi" w:hAnsi="Times New Roman" w:cs="Times New Roman"/>
          <w:sz w:val="28"/>
          <w:szCs w:val="28"/>
          <w:lang w:eastAsia="en-US"/>
        </w:rPr>
        <w:t xml:space="preserve"> а также к выделению дополнительных и целенаправленных технических и финансовых ресурсов в поддержку обновленных долгосрочных обязательств по проведению в жизнь политики, стратегий и планов в области ПМСП.</w:t>
      </w:r>
      <w:r w:rsidRPr="004135FE">
        <w:rPr>
          <w:rFonts w:ascii="Times New Roman" w:eastAsiaTheme="minorHAnsi" w:hAnsi="Times New Roman" w:cs="Times New Roman"/>
          <w:bCs/>
          <w:sz w:val="28"/>
          <w:szCs w:val="28"/>
          <w:lang w:eastAsia="en-US"/>
        </w:rPr>
        <w:t xml:space="preserve"> Достижение этой цели принадлежит городам, городским местам и органам местного самоуправления, СОЗ, МО. </w:t>
      </w:r>
      <w:r w:rsidRPr="00901D83">
        <w:rPr>
          <w:rFonts w:ascii="Times New Roman" w:eastAsiaTheme="minorHAnsi" w:hAnsi="Times New Roman" w:cs="Times New Roman"/>
          <w:sz w:val="28"/>
          <w:szCs w:val="28"/>
          <w:lang w:eastAsia="en-US"/>
        </w:rPr>
        <w:t xml:space="preserve">Реализация перспективного видения </w:t>
      </w:r>
      <w:r w:rsidRPr="00901D83">
        <w:rPr>
          <w:rFonts w:ascii="Times New Roman" w:hAnsi="Times New Roman" w:cs="Times New Roman"/>
          <w:sz w:val="28"/>
          <w:szCs w:val="28"/>
        </w:rPr>
        <w:t>полагается</w:t>
      </w:r>
      <w:r w:rsidRPr="00901D83">
        <w:rPr>
          <w:rFonts w:ascii="Times New Roman" w:eastAsiaTheme="minorHAnsi" w:hAnsi="Times New Roman" w:cs="Times New Roman"/>
          <w:sz w:val="28"/>
          <w:szCs w:val="28"/>
          <w:lang w:eastAsia="en-US"/>
        </w:rPr>
        <w:t xml:space="preserve"> на </w:t>
      </w:r>
      <w:r w:rsidRPr="00901D83">
        <w:rPr>
          <w:rFonts w:ascii="Times New Roman" w:eastAsiaTheme="minorHAnsi" w:hAnsi="Times New Roman" w:cs="Times New Roman"/>
          <w:i/>
          <w:iCs/>
          <w:sz w:val="28"/>
          <w:szCs w:val="28"/>
          <w:lang w:eastAsia="en-US"/>
        </w:rPr>
        <w:t>Копенгагенский консенсус мэров: Более здоровые и счастливые города для всех</w:t>
      </w:r>
      <w:r w:rsidRPr="00901D83">
        <w:rPr>
          <w:rFonts w:ascii="Times New Roman" w:eastAsiaTheme="minorHAnsi" w:hAnsi="Times New Roman" w:cs="Times New Roman"/>
          <w:sz w:val="28"/>
          <w:szCs w:val="28"/>
          <w:lang w:eastAsia="en-US"/>
        </w:rPr>
        <w:t>, который был принят на Саммите мэров городов – участников Европейской сети ВОЗ «Здоровые города», проходившем в Копенгагене, Дания, 12–13 февраля 2018 г</w:t>
      </w:r>
      <w:r w:rsidR="000630F2" w:rsidRPr="00272615">
        <w:rPr>
          <w:rFonts w:ascii="Times New Roman" w:eastAsiaTheme="minorHAnsi" w:hAnsi="Times New Roman" w:cs="Times New Roman"/>
          <w:sz w:val="28"/>
          <w:szCs w:val="28"/>
          <w:lang w:eastAsia="en-US"/>
        </w:rPr>
        <w:t>.</w:t>
      </w:r>
      <w:r w:rsidRPr="00272615">
        <w:rPr>
          <w:rFonts w:ascii="Times New Roman" w:hAnsi="Times New Roman" w:cs="Times New Roman"/>
          <w:sz w:val="28"/>
          <w:szCs w:val="28"/>
        </w:rPr>
        <w:t xml:space="preserve"> </w:t>
      </w:r>
      <w:r w:rsidRPr="00272615">
        <w:rPr>
          <w:rFonts w:ascii="Times New Roman" w:eastAsia="Times New Roman" w:hAnsi="Times New Roman" w:cs="Times New Roman"/>
          <w:sz w:val="28"/>
          <w:szCs w:val="28"/>
          <w:bdr w:val="none" w:sz="0" w:space="0" w:color="auto" w:frame="1"/>
        </w:rPr>
        <w:t>[123]</w:t>
      </w:r>
      <w:r w:rsidRPr="00272615">
        <w:rPr>
          <w:rFonts w:ascii="Times New Roman" w:hAnsi="Times New Roman" w:cs="Times New Roman"/>
          <w:sz w:val="28"/>
          <w:szCs w:val="28"/>
        </w:rPr>
        <w:t>,</w:t>
      </w:r>
      <w:r w:rsidRPr="00901D83">
        <w:rPr>
          <w:rFonts w:ascii="Times New Roman" w:hAnsi="Times New Roman" w:cs="Times New Roman"/>
          <w:sz w:val="28"/>
          <w:szCs w:val="28"/>
        </w:rPr>
        <w:t xml:space="preserve"> так и </w:t>
      </w:r>
      <w:r w:rsidRPr="00901D83">
        <w:rPr>
          <w:rFonts w:ascii="Times New Roman" w:hAnsi="Times New Roman" w:cs="Times New Roman"/>
          <w:i/>
          <w:iCs/>
          <w:sz w:val="28"/>
          <w:szCs w:val="28"/>
        </w:rPr>
        <w:t xml:space="preserve">Шанхайского консенсуса градоначальников по проблеме здоровых городов, </w:t>
      </w:r>
      <w:r w:rsidRPr="00901D83">
        <w:rPr>
          <w:rFonts w:ascii="Times New Roman" w:hAnsi="Times New Roman" w:cs="Times New Roman"/>
          <w:sz w:val="28"/>
          <w:szCs w:val="28"/>
        </w:rPr>
        <w:t>который</w:t>
      </w:r>
      <w:r w:rsidRPr="004135FE">
        <w:rPr>
          <w:rFonts w:ascii="Times New Roman" w:hAnsi="Times New Roman" w:cs="Times New Roman"/>
          <w:sz w:val="28"/>
          <w:szCs w:val="28"/>
        </w:rPr>
        <w:t xml:space="preserve"> был одобрен на 9-й Глобальной конференции по </w:t>
      </w:r>
      <w:r w:rsidRPr="00272615">
        <w:rPr>
          <w:rFonts w:ascii="Times New Roman" w:hAnsi="Times New Roman" w:cs="Times New Roman"/>
          <w:sz w:val="28"/>
          <w:szCs w:val="28"/>
        </w:rPr>
        <w:t xml:space="preserve">укреплению здоровья, проходившей в Шанхае, Китай, 21-24 ноября 2016 г </w:t>
      </w:r>
      <w:r w:rsidRPr="00272615">
        <w:rPr>
          <w:rFonts w:ascii="Times New Roman" w:eastAsia="Times New Roman" w:hAnsi="Times New Roman" w:cs="Times New Roman"/>
          <w:sz w:val="28"/>
          <w:szCs w:val="28"/>
          <w:bdr w:val="none" w:sz="0" w:space="0" w:color="auto" w:frame="1"/>
        </w:rPr>
        <w:t>[65]</w:t>
      </w:r>
      <w:r w:rsidRPr="00272615">
        <w:rPr>
          <w:rFonts w:ascii="Times New Roman" w:hAnsi="Times New Roman" w:cs="Times New Roman"/>
          <w:sz w:val="28"/>
          <w:szCs w:val="28"/>
        </w:rPr>
        <w:t>. В</w:t>
      </w:r>
      <w:r w:rsidRPr="004135FE">
        <w:rPr>
          <w:rFonts w:ascii="Times New Roman" w:hAnsi="Times New Roman" w:cs="Times New Roman"/>
          <w:sz w:val="28"/>
          <w:szCs w:val="28"/>
        </w:rPr>
        <w:t xml:space="preserve"> результате города, городские места и органы местного самоуправления оказываются в центре событий в борьбе за улучшение здоровья и благополучия для всех.  </w:t>
      </w:r>
      <w:r w:rsidRPr="004135FE">
        <w:rPr>
          <w:rFonts w:ascii="Times New Roman" w:eastAsiaTheme="minorHAnsi" w:hAnsi="Times New Roman" w:cs="Times New Roman"/>
          <w:sz w:val="28"/>
          <w:szCs w:val="28"/>
          <w:lang w:eastAsia="en-US"/>
        </w:rPr>
        <w:t xml:space="preserve">Благодаря Сети ВОЗ «Здоровые города» создаются необходимые предпосылки взаимодействия от глобального до местного и от местного до глобального уровня. Города выступают в роли глобальных субъектов, и поэтому, развивая дипломатию на городском уровне, необходимо создавать условия для согласованности действий не только по горизонтали через органы государственной власти, но и по вертикали между разными уровнями государственного управления, переключая усилия с международного уровня на городской, муниципальный и местный уровни, поскольку только там происходит внедрение в практику и обеспечивается работа с населением </w:t>
      </w:r>
      <w:r w:rsidRPr="004135FE">
        <w:rPr>
          <w:rFonts w:ascii="Times New Roman" w:eastAsia="Times New Roman" w:hAnsi="Times New Roman" w:cs="Times New Roman"/>
          <w:sz w:val="28"/>
          <w:szCs w:val="28"/>
          <w:bdr w:val="none" w:sz="0" w:space="0" w:color="auto" w:frame="1"/>
        </w:rPr>
        <w:t>[117]</w:t>
      </w:r>
      <w:r w:rsidRPr="004135FE">
        <w:rPr>
          <w:rFonts w:ascii="Times New Roman" w:eastAsiaTheme="minorHAnsi" w:hAnsi="Times New Roman" w:cs="Times New Roman"/>
          <w:sz w:val="28"/>
          <w:szCs w:val="28"/>
          <w:lang w:eastAsia="en-US"/>
        </w:rPr>
        <w:t xml:space="preserve">. </w:t>
      </w:r>
    </w:p>
    <w:p w14:paraId="30188471" w14:textId="77777777"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t xml:space="preserve">Так же при СД2т очень важную роль занимает репродуктивное здоровье, состояние полного физического, умственного и социального благополучия, а непросто отсутствие болезней или недугов во всех вопросах, касающихся репродуктивной системы, ее функций и процессов. Охрана репродуктивного здоровья- это создание условий, обеспечивающих охрану и улучшение репродуктивного здоровья населения Казахстана, что соответствует долгосрочной стратегии развития «Казакстан-2030». Программа действий, выработанная на Международной Каирской конференции, имеет особую актуальность для политики по охране репродуктивного здоровья. Репродуктивное здоровье имеет важное значение для семьи, его слагаемыми являются планирование семьи и охрана здоровья матери и ребенка. Наряду с репродуктивным здоровьем, в мире принято говорить и о репродуктивных правах. Как отмечено в Декларации международной конференции по народонаселению ООН, «Репродуктивные права - это признание основного права всех супружеских пар и отдельных лиц свободно принимать соответствующее решение относительно количества своих детей, интервалов между их рождением и временем их рождения и располагать для этого необходимой информацией и средствами». </w:t>
      </w:r>
      <w:r w:rsidRPr="004135FE">
        <w:rPr>
          <w:rFonts w:ascii="Times New Roman" w:eastAsia="Times New Roman" w:hAnsi="Times New Roman" w:cs="Times New Roman"/>
          <w:sz w:val="28"/>
          <w:szCs w:val="28"/>
          <w:shd w:val="clear" w:color="auto" w:fill="FFFFFF"/>
        </w:rPr>
        <w:t>В международных документах ООН указывается, что о</w:t>
      </w:r>
      <w:r w:rsidRPr="004135FE">
        <w:rPr>
          <w:rFonts w:ascii="Times New Roman" w:eastAsia="Times New Roman" w:hAnsi="Times New Roman" w:cs="Times New Roman"/>
          <w:sz w:val="28"/>
          <w:szCs w:val="28"/>
        </w:rPr>
        <w:t xml:space="preserve">храна репродуктивного здоровья предусматривает консультации, информацию, просвещение и услуги в области планирования </w:t>
      </w:r>
      <w:r w:rsidRPr="004135FE">
        <w:rPr>
          <w:rFonts w:ascii="Times New Roman" w:eastAsia="Times New Roman" w:hAnsi="Times New Roman" w:cs="Times New Roman"/>
          <w:sz w:val="28"/>
          <w:szCs w:val="28"/>
        </w:rPr>
        <w:lastRenderedPageBreak/>
        <w:t>семьи, просвещение и услуги в области медицинского обслуживания беременных, обеспечения нормального течения родов и послеродового периода, грудного вскармливания: охрану здоровья матери и ребенка; предупреждение и лечение бесплодия; предупреждение абортов и устранение последствий абортов: предупреждение и лечение инфекций половых путей: гигиену половой жизни и ответственного отношения к выполнению родительских функций».</w:t>
      </w:r>
      <w:r w:rsidRPr="004135FE">
        <w:rPr>
          <w:rFonts w:ascii="Times New Roman" w:hAnsi="Times New Roman" w:cs="Times New Roman"/>
          <w:sz w:val="28"/>
          <w:szCs w:val="28"/>
        </w:rPr>
        <w:t xml:space="preserve"> [118, 119].</w:t>
      </w:r>
    </w:p>
    <w:p w14:paraId="379DA570" w14:textId="77777777"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p>
    <w:p w14:paraId="35E090FB" w14:textId="1C0EBCDD" w:rsidR="009211A6" w:rsidRPr="000630F2" w:rsidRDefault="000630F2">
      <w:pPr>
        <w:pStyle w:val="a3"/>
        <w:numPr>
          <w:ilvl w:val="1"/>
          <w:numId w:val="92"/>
        </w:numPr>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eastAsiaTheme="minorHAnsi" w:hAnsi="Times New Roman" w:cs="Times New Roman"/>
          <w:b/>
          <w:sz w:val="28"/>
          <w:szCs w:val="28"/>
          <w:lang w:eastAsia="en-US"/>
        </w:rPr>
        <w:t xml:space="preserve"> </w:t>
      </w:r>
      <w:r w:rsidR="009211A6" w:rsidRPr="000630F2">
        <w:rPr>
          <w:rFonts w:ascii="Times New Roman" w:eastAsiaTheme="minorHAnsi" w:hAnsi="Times New Roman" w:cs="Times New Roman"/>
          <w:b/>
          <w:sz w:val="28"/>
          <w:szCs w:val="28"/>
          <w:lang w:eastAsia="en-US"/>
        </w:rPr>
        <w:t xml:space="preserve">Исследовательские работы по сахарному диабету 2 типа в </w:t>
      </w:r>
      <w:r w:rsidR="009211A6" w:rsidRPr="000630F2">
        <w:rPr>
          <w:rFonts w:ascii="Times New Roman" w:hAnsi="Times New Roman" w:cs="Times New Roman"/>
          <w:b/>
          <w:sz w:val="28"/>
          <w:szCs w:val="28"/>
        </w:rPr>
        <w:t>Казахстане</w:t>
      </w:r>
    </w:p>
    <w:p w14:paraId="0326B81E" w14:textId="77777777" w:rsidR="009211A6" w:rsidRPr="004135FE"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Анализ отечественной научной литературы по СД2т изучается непрерывно как по организации здравоохранения, организации помощи больным, так и по клинической медицине, что показывает объем и значимость проблемы в нашей стране.</w:t>
      </w:r>
    </w:p>
    <w:p w14:paraId="7F71FC95" w14:textId="77777777"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t xml:space="preserve">В работе Мураталина А.Н. «Сахарный диабет в мегаполисе: частота, качество лечения, осложнения (на примере г. Алматы)», в 2010г проанализированы и выявлены несовершенства данных НРСД по г. Алматы. Выявлены особенности динамики осложнении СД2т, проявляющиеся в повышении на 1-5 году заболевания частоты диабетической ретинопатии в 10 раз, диабетической макроангиопатии нижних конечностей-в 5, нейропатии-в 4 раза, а также не регистрируемая ранее диабетическая энцефалопатия. Дан анализ качества лечения больных СД </w:t>
      </w:r>
      <w:r w:rsidRPr="004135FE">
        <w:rPr>
          <w:rFonts w:ascii="Times New Roman" w:hAnsi="Times New Roman" w:cs="Times New Roman"/>
          <w:sz w:val="28"/>
          <w:szCs w:val="28"/>
        </w:rPr>
        <w:t>[120].</w:t>
      </w:r>
      <w:r w:rsidRPr="004135FE">
        <w:rPr>
          <w:rFonts w:ascii="Times New Roman" w:eastAsia="Times New Roman" w:hAnsi="Times New Roman" w:cs="Times New Roman"/>
          <w:sz w:val="28"/>
          <w:szCs w:val="28"/>
        </w:rPr>
        <w:t xml:space="preserve"> </w:t>
      </w:r>
    </w:p>
    <w:p w14:paraId="52F3EE58" w14:textId="77777777"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t xml:space="preserve">В научной работе Турдалиевой Б. С. (2008) выявлены поведенческие и биологические факторы риска заболеваемости ХНИЗ среди взрослого городского населения, а также доля каждого из них: гиперхолестеринемия (27,74 %), избыточная масса тела (23,27 %). Созданы модели профилактического вмешательства в зависимости от категорий населения для популяционного, группового и индивидуального уровней профилактики. Обоснованы подходы к управлению общественным здоровьем через контроль факторов риска. Разработана стратегия интегрированной профилактики ХНИЗ </w:t>
      </w:r>
      <w:r w:rsidRPr="004135FE">
        <w:rPr>
          <w:rFonts w:ascii="Times New Roman" w:hAnsi="Times New Roman" w:cs="Times New Roman"/>
          <w:sz w:val="28"/>
          <w:szCs w:val="28"/>
        </w:rPr>
        <w:t>[121].</w:t>
      </w:r>
    </w:p>
    <w:p w14:paraId="730B8D71" w14:textId="77777777" w:rsidR="009211A6" w:rsidRPr="004135FE"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Прогнозные данные Аблайхановой и др., направленные на предупреждения необходимости принятия мер по снижению числа случаев по СД2т, где сообщают о явном градиенте распространенности СД с севера на юг и ожидают, что к </w:t>
      </w:r>
      <w:r w:rsidRPr="00272615">
        <w:rPr>
          <w:rFonts w:ascii="Times New Roman" w:hAnsi="Times New Roman" w:cs="Times New Roman"/>
          <w:sz w:val="28"/>
          <w:szCs w:val="28"/>
        </w:rPr>
        <w:t>2030 году общее число людей с диабетом в Казахстане достигнет 1 миллиона [6].</w:t>
      </w:r>
      <w:r w:rsidRPr="004135FE">
        <w:rPr>
          <w:rFonts w:ascii="Times New Roman" w:hAnsi="Times New Roman" w:cs="Times New Roman"/>
          <w:sz w:val="28"/>
          <w:szCs w:val="28"/>
        </w:rPr>
        <w:t xml:space="preserve"> </w:t>
      </w:r>
    </w:p>
    <w:p w14:paraId="1D3E2256" w14:textId="77777777" w:rsidR="009211A6" w:rsidRPr="004135FE"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t xml:space="preserve">Танбаевой Г.З. отмечена несоответствие обеспеченности кадровыми ресурсами эндокринологической службы в городской и сельской местности. Выявлены медицинские и социальные факторы, детерминирующие рост заболеваемости сахарным диабетом с разработкой организационных технологии скрининга скрытых и ранних форм сахарного диабета у пожилых людей (2004) </w:t>
      </w:r>
      <w:r w:rsidRPr="004135FE">
        <w:rPr>
          <w:rFonts w:ascii="Times New Roman" w:hAnsi="Times New Roman" w:cs="Times New Roman"/>
          <w:sz w:val="28"/>
          <w:szCs w:val="28"/>
        </w:rPr>
        <w:t>[122]</w:t>
      </w:r>
      <w:r w:rsidRPr="004135FE">
        <w:rPr>
          <w:rFonts w:ascii="Times New Roman" w:eastAsia="Times New Roman" w:hAnsi="Times New Roman" w:cs="Times New Roman"/>
          <w:sz w:val="28"/>
          <w:szCs w:val="28"/>
        </w:rPr>
        <w:t>.</w:t>
      </w:r>
    </w:p>
    <w:p w14:paraId="73B80180" w14:textId="77777777"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По результатам научной работы Тажиевой А.Е., отсутствие активного контроля со стороны врачей и недостаточная ответственность за свое здоровье </w:t>
      </w:r>
      <w:r w:rsidRPr="004135FE">
        <w:rPr>
          <w:rFonts w:ascii="Times New Roman" w:hAnsi="Times New Roman" w:cs="Times New Roman"/>
          <w:sz w:val="28"/>
          <w:szCs w:val="28"/>
        </w:rPr>
        <w:lastRenderedPageBreak/>
        <w:t>пациентов с СД2т приводит несвоевременному прохождению медицинских осмотров у узких специалистов. Выявлена необходимость совершенствования нормативно-правовой базы и стандартов оказания медицинской помощи со стороны врачей-эндокринологов [123].</w:t>
      </w:r>
    </w:p>
    <w:p w14:paraId="751E778B" w14:textId="6CA5AC8C" w:rsidR="009211A6" w:rsidRPr="004135FE" w:rsidRDefault="009211A6" w:rsidP="004135FE">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Как показали результаты научного проекта «Бремя диабета в Республике Казахстан», сколько стоит лечение пациентов с диагнозом сахарный диабет, изучил доктор медицинских наук, профессор, ведущий научный сотрудник Назарбаев Университета Александр Гуляев. В первую очередь проведена оценка затрат на амбулаторное лекарственное обеспечение диспансерных пациентов с диагнозом "сахарный диабет". Они составили более 20,5 млрд тенге в год. Из них свыше 12 млрд расходуется на 30 611 пациентов с СД I типа и около 8 млрд - на 352 022 (в 10 раз большую популяцию пациентов) с СД II типа. То есть на препараты для одного пациента с СД I типа тратится в 17 раз больше, чем на пациента с СД II типа. Это связано с чрезвычайно высокой стоимостью препаратов инсулина и инсулиновых помп. Стоимость остальных статей расхода на пациента с СД II типа гораздо выше, чем объем затрат на пациента с СД I типа. Больше расходуется на диспансерное наблюдение, но, главное, больше затрат на лечение патологий, сопутствующих СД II типа, и терапию осложнений диабета, включая госпитализацию. Затраты на терапию сопутствующих патологий при СД I типа - 6 млрд тенге, а при СД II типа - более 137 млрд. Весомая затрата на непрямые расходы, связанные с инвалидностью по сахарному диабету и временной нетрудоспособностью с объемом около 103 млрд тенге. Недополученное ВВП вследствие временной нетрудоспособности пациентов в течение года 121 млрд тенге. Сумма непрямых затрат и потерь ВВП, связанных с нетрудоспособностью пациентов составила около 129 млрд тенге. Очевидно, что непрямые затраты превосходят прямые медицинские затраты. В целом, бремя сахарного диабета в Казахстане с прямыми и непрямыми затратами составляет ежегодно не менее 436,4 млрд тенге, или около 1 млрд долларов </w:t>
      </w:r>
      <w:r w:rsidRPr="00272615">
        <w:rPr>
          <w:rFonts w:ascii="Times New Roman" w:eastAsia="Times New Roman" w:hAnsi="Times New Roman" w:cs="Times New Roman"/>
          <w:sz w:val="28"/>
          <w:szCs w:val="28"/>
        </w:rPr>
        <w:t>США [115,</w:t>
      </w:r>
      <w:r w:rsidR="00272615" w:rsidRPr="00272615">
        <w:rPr>
          <w:rFonts w:ascii="Times New Roman" w:eastAsia="Times New Roman" w:hAnsi="Times New Roman" w:cs="Times New Roman"/>
          <w:sz w:val="28"/>
          <w:szCs w:val="28"/>
        </w:rPr>
        <w:t xml:space="preserve"> </w:t>
      </w:r>
      <w:r w:rsidRPr="00272615">
        <w:rPr>
          <w:rFonts w:ascii="Times New Roman" w:eastAsia="Times New Roman" w:hAnsi="Times New Roman" w:cs="Times New Roman"/>
          <w:sz w:val="28"/>
          <w:szCs w:val="28"/>
        </w:rPr>
        <w:t>124]</w:t>
      </w:r>
    </w:p>
    <w:p w14:paraId="2CDD0D01" w14:textId="77777777" w:rsidR="009211A6" w:rsidRPr="004135FE"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lang w:val="kk-KZ"/>
        </w:rPr>
        <w:t>Доступность</w:t>
      </w:r>
      <w:r w:rsidRPr="004135FE">
        <w:rPr>
          <w:rFonts w:ascii="Times New Roman" w:hAnsi="Times New Roman" w:cs="Times New Roman"/>
          <w:sz w:val="28"/>
          <w:szCs w:val="28"/>
        </w:rPr>
        <w:t xml:space="preserve"> лекарственных средств (ЛС) для больных, находящихся на диспансерном учете с установленным сахарным диабетом, находится под строгим контролем МЗ РК посредством соответствующих приказам и с учетом рекомендаций ВОЗ и программами ООН. Медикаменты таким больным выдаются бесплатно. При соблюдениях этих рекомендаций, обеспеченности необходимыми ЛС и медицинскими изделиями, а также самоконтролю над своим здоровьем пациентами можно ожидать не только улучшения качества жизни больных, но и роста продолжительности их жизни до 75 лет, а также снижения риска преждевременной смертности от диабета до 15,43%.</w:t>
      </w:r>
    </w:p>
    <w:p w14:paraId="37489C6E" w14:textId="13DBAF17" w:rsidR="009211A6" w:rsidRPr="004135FE" w:rsidRDefault="009211A6"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Степкина Е.Л. (2009</w:t>
      </w:r>
      <w:r w:rsidR="000630F2">
        <w:rPr>
          <w:rFonts w:ascii="Times New Roman" w:eastAsia="Times New Roman" w:hAnsi="Times New Roman" w:cs="Times New Roman"/>
          <w:sz w:val="28"/>
          <w:szCs w:val="28"/>
        </w:rPr>
        <w:t xml:space="preserve"> </w:t>
      </w:r>
      <w:r w:rsidRPr="004135FE">
        <w:rPr>
          <w:rFonts w:ascii="Times New Roman" w:eastAsia="Times New Roman" w:hAnsi="Times New Roman" w:cs="Times New Roman"/>
          <w:sz w:val="28"/>
          <w:szCs w:val="28"/>
        </w:rPr>
        <w:t>г</w:t>
      </w:r>
      <w:r w:rsidR="000630F2">
        <w:rPr>
          <w:rFonts w:ascii="Times New Roman" w:eastAsia="Times New Roman" w:hAnsi="Times New Roman" w:cs="Times New Roman"/>
          <w:sz w:val="28"/>
          <w:szCs w:val="28"/>
        </w:rPr>
        <w:t>.</w:t>
      </w:r>
      <w:r w:rsidRPr="004135FE">
        <w:rPr>
          <w:rFonts w:ascii="Times New Roman" w:eastAsia="Times New Roman" w:hAnsi="Times New Roman" w:cs="Times New Roman"/>
          <w:sz w:val="28"/>
          <w:szCs w:val="28"/>
        </w:rPr>
        <w:t xml:space="preserve">) в своей работе по фармакоэкономическим подходам к совершенствованию лекарственной помощи больным СД (на примере г.Алматы), отметила об отсутствии в Казахстане регламентирующего национального стандарта. Провела фармакоэкономический анализ пероральных сахароснижающих препаратов (ПССП), применяемых для </w:t>
      </w:r>
      <w:r w:rsidRPr="004135FE">
        <w:rPr>
          <w:rFonts w:ascii="Times New Roman" w:eastAsia="Times New Roman" w:hAnsi="Times New Roman" w:cs="Times New Roman"/>
          <w:sz w:val="28"/>
          <w:szCs w:val="28"/>
        </w:rPr>
        <w:lastRenderedPageBreak/>
        <w:t xml:space="preserve">лечения СД2т и утвердила перечень ЛС, не рекомендуемых для широкого применения, также дала оценку методики исследования качества жизни больных </w:t>
      </w:r>
      <w:r w:rsidRPr="004135FE">
        <w:rPr>
          <w:rFonts w:ascii="Times New Roman" w:hAnsi="Times New Roman" w:cs="Times New Roman"/>
          <w:sz w:val="28"/>
          <w:szCs w:val="28"/>
        </w:rPr>
        <w:t>[125].</w:t>
      </w:r>
      <w:r w:rsidRPr="004135FE">
        <w:rPr>
          <w:rFonts w:ascii="Times New Roman" w:eastAsia="Times New Roman" w:hAnsi="Times New Roman" w:cs="Times New Roman"/>
          <w:sz w:val="28"/>
          <w:szCs w:val="28"/>
        </w:rPr>
        <w:t xml:space="preserve"> Так же, ряд отечественных авторов, как Раманкулов Е.М., Жармаханова Г. М., Курмамбаев Е. Ж., Толеубеков К. К., Большакова С. В. изучали влияние лекарственных средств при СД и его осложнениях </w:t>
      </w:r>
      <w:r w:rsidRPr="004135FE">
        <w:rPr>
          <w:rFonts w:ascii="Times New Roman" w:hAnsi="Times New Roman" w:cs="Times New Roman"/>
          <w:sz w:val="28"/>
          <w:szCs w:val="28"/>
        </w:rPr>
        <w:t>[126-130].</w:t>
      </w:r>
    </w:p>
    <w:p w14:paraId="77A60338" w14:textId="77777777" w:rsidR="009211A6" w:rsidRPr="004135FE" w:rsidRDefault="009211A6"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В научной работе Месовой А.М отмечена влияние эмоционального стресса на течение СД и пути коррекции, выявлено повреждающее действие стресса на иммунологическую реактивность и обменные процессы (2010г) </w:t>
      </w:r>
      <w:r w:rsidRPr="004135FE">
        <w:rPr>
          <w:rFonts w:ascii="Times New Roman" w:hAnsi="Times New Roman" w:cs="Times New Roman"/>
          <w:sz w:val="28"/>
          <w:szCs w:val="28"/>
        </w:rPr>
        <w:t>[131].</w:t>
      </w:r>
      <w:r w:rsidRPr="004135FE">
        <w:rPr>
          <w:rFonts w:ascii="Times New Roman" w:eastAsia="Times New Roman" w:hAnsi="Times New Roman" w:cs="Times New Roman"/>
          <w:sz w:val="28"/>
          <w:szCs w:val="28"/>
        </w:rPr>
        <w:t xml:space="preserve"> Так же Касеновой А. С. проведена комплексное изучение частоты, характера и формы инсомнических нарушений при СД 2 типа, установлена коррелятивная связь между психовегетативными, инсомническими расстройствами, когнитивной дефицитарностью и качеством жизни пациентов при СД 2 типа </w:t>
      </w:r>
      <w:r w:rsidRPr="004135FE">
        <w:rPr>
          <w:rFonts w:ascii="Times New Roman" w:hAnsi="Times New Roman" w:cs="Times New Roman"/>
          <w:sz w:val="28"/>
          <w:szCs w:val="28"/>
        </w:rPr>
        <w:t>[132]</w:t>
      </w:r>
      <w:r w:rsidRPr="004135FE">
        <w:rPr>
          <w:rFonts w:ascii="Times New Roman" w:eastAsia="Times New Roman" w:hAnsi="Times New Roman" w:cs="Times New Roman"/>
          <w:sz w:val="28"/>
          <w:szCs w:val="28"/>
        </w:rPr>
        <w:t xml:space="preserve">. Распоповой Н. И., Дуплякиным Е. Б описаны депрессивные расстройства при СД, осложненные офтальмологической патологией </w:t>
      </w:r>
      <w:r w:rsidRPr="004135FE">
        <w:rPr>
          <w:rFonts w:ascii="Times New Roman" w:hAnsi="Times New Roman" w:cs="Times New Roman"/>
          <w:sz w:val="28"/>
          <w:szCs w:val="28"/>
        </w:rPr>
        <w:t>[133]</w:t>
      </w:r>
      <w:r w:rsidRPr="004135FE">
        <w:rPr>
          <w:rFonts w:ascii="Times New Roman" w:eastAsia="Times New Roman" w:hAnsi="Times New Roman" w:cs="Times New Roman"/>
          <w:sz w:val="28"/>
          <w:szCs w:val="28"/>
        </w:rPr>
        <w:t>.</w:t>
      </w:r>
    </w:p>
    <w:p w14:paraId="36D684B0" w14:textId="6DD8C172"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Результаты комплексного изучения отечественных авторов как Югай, о состоянии инвалидности вследствие СД и факторов ее формирования показывают пути улучшения профилактики и медико-социальной помощи, с использованием критериев «функциональных классов» для разработки индивидуальной программы реабилитации, что улучшит прогноз заболевания и качество жизни пациента [134]. </w:t>
      </w:r>
    </w:p>
    <w:p w14:paraId="5EAD2BD4" w14:textId="2EFF7E9D" w:rsidR="009211A6" w:rsidRPr="004135FE"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t>Рамазанова Б.А выявила факторы, снижающие раннюю диагностику диабетической ретинопатии, способствующие ее развитию и формированию инвалидизации по зрению вследствие СД. Разработала критерии установления групп инвалидности по зрению, позволяющие объективно и качественно проводить медико-социальную экспертизу и комплексную программу лечебно-диагностических и социально-реабилитационных мероприятий при различных стадиях диабетической ретинопатии (2010</w:t>
      </w:r>
      <w:r w:rsidR="000630F2">
        <w:rPr>
          <w:rFonts w:ascii="Times New Roman" w:eastAsia="Times New Roman" w:hAnsi="Times New Roman" w:cs="Times New Roman"/>
          <w:sz w:val="28"/>
          <w:szCs w:val="28"/>
        </w:rPr>
        <w:t xml:space="preserve"> </w:t>
      </w:r>
      <w:r w:rsidRPr="004135FE">
        <w:rPr>
          <w:rFonts w:ascii="Times New Roman" w:eastAsia="Times New Roman" w:hAnsi="Times New Roman" w:cs="Times New Roman"/>
          <w:sz w:val="28"/>
          <w:szCs w:val="28"/>
        </w:rPr>
        <w:t>г</w:t>
      </w:r>
      <w:r w:rsidR="000630F2">
        <w:rPr>
          <w:rFonts w:ascii="Times New Roman" w:eastAsia="Times New Roman" w:hAnsi="Times New Roman" w:cs="Times New Roman"/>
          <w:sz w:val="28"/>
          <w:szCs w:val="28"/>
        </w:rPr>
        <w:t>.</w:t>
      </w:r>
      <w:r w:rsidRPr="004135FE">
        <w:rPr>
          <w:rFonts w:ascii="Times New Roman" w:eastAsia="Times New Roman" w:hAnsi="Times New Roman" w:cs="Times New Roman"/>
          <w:sz w:val="28"/>
          <w:szCs w:val="28"/>
        </w:rPr>
        <w:t>)</w:t>
      </w:r>
      <w:r w:rsidRPr="004135FE">
        <w:rPr>
          <w:rFonts w:ascii="Times New Roman" w:hAnsi="Times New Roman" w:cs="Times New Roman"/>
          <w:sz w:val="28"/>
          <w:szCs w:val="28"/>
        </w:rPr>
        <w:t xml:space="preserve"> [135]</w:t>
      </w:r>
      <w:r w:rsidRPr="004135FE">
        <w:rPr>
          <w:rFonts w:ascii="Times New Roman" w:eastAsia="Times New Roman" w:hAnsi="Times New Roman" w:cs="Times New Roman"/>
          <w:sz w:val="28"/>
          <w:szCs w:val="28"/>
        </w:rPr>
        <w:t>.</w:t>
      </w:r>
    </w:p>
    <w:p w14:paraId="34774054" w14:textId="77777777" w:rsidR="009211A6" w:rsidRPr="004135FE"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Клинические исследовательские работы по сахарному диабету тесно связаны с организационными вопросами медицины.</w:t>
      </w:r>
    </w:p>
    <w:p w14:paraId="5DEBA7F6" w14:textId="77777777" w:rsidR="009211A6" w:rsidRPr="004135FE"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eastAsia="PalatinoLinotype-Roman" w:hAnsi="Times New Roman" w:cs="Times New Roman"/>
          <w:sz w:val="28"/>
          <w:szCs w:val="28"/>
          <w:lang w:eastAsia="en-US"/>
        </w:rPr>
        <w:t xml:space="preserve">Одной из основных медико-социальных проблем является охрана репродуктивного здоровья женщин фертильного возраста, так как женское население является главным потенциалом страны, ее демографическим ресурсом </w:t>
      </w:r>
      <w:r w:rsidRPr="004135FE">
        <w:rPr>
          <w:rFonts w:ascii="Times New Roman" w:eastAsiaTheme="minorHAnsi" w:hAnsi="Times New Roman" w:cs="Times New Roman"/>
          <w:sz w:val="28"/>
          <w:szCs w:val="28"/>
          <w:lang w:eastAsia="en-US"/>
        </w:rPr>
        <w:t>[136-138</w:t>
      </w:r>
      <w:r w:rsidRPr="004135FE">
        <w:rPr>
          <w:rFonts w:ascii="Times New Roman" w:eastAsiaTheme="minorHAnsi" w:hAnsi="Times New Roman" w:cs="Times New Roman"/>
          <w:sz w:val="28"/>
          <w:szCs w:val="28"/>
        </w:rPr>
        <w:t>].</w:t>
      </w:r>
      <w:r w:rsidRPr="004135FE">
        <w:rPr>
          <w:rFonts w:ascii="Times New Roman" w:eastAsia="PalatinoLinotype-Roman" w:hAnsi="Times New Roman" w:cs="Times New Roman"/>
          <w:sz w:val="28"/>
          <w:szCs w:val="28"/>
          <w:lang w:eastAsia="en-US"/>
        </w:rPr>
        <w:t xml:space="preserve"> </w:t>
      </w:r>
      <w:r w:rsidRPr="004135FE">
        <w:rPr>
          <w:rFonts w:ascii="Times New Roman" w:hAnsi="Times New Roman" w:cs="Times New Roman"/>
          <w:sz w:val="28"/>
          <w:szCs w:val="28"/>
        </w:rPr>
        <w:t xml:space="preserve">Проведена НИР по организации высокоспециализированной медицинской помощи беременным с СД под руководством Хамзиной Н.К., где </w:t>
      </w:r>
      <w:r w:rsidRPr="004135FE">
        <w:rPr>
          <w:rFonts w:ascii="Times New Roman" w:eastAsia="Times New Roman" w:hAnsi="Times New Roman" w:cs="Times New Roman"/>
          <w:sz w:val="28"/>
          <w:szCs w:val="28"/>
        </w:rPr>
        <w:t xml:space="preserve">предложен мультидисциплинарный подход к подготовке, вынашиванию и родоразрешению беременных женщин с СД любого типа на непрерывной помповой инсулинотерапии </w:t>
      </w:r>
      <w:r w:rsidRPr="004135FE">
        <w:rPr>
          <w:rFonts w:ascii="Times New Roman" w:hAnsi="Times New Roman" w:cs="Times New Roman"/>
          <w:sz w:val="28"/>
          <w:szCs w:val="28"/>
        </w:rPr>
        <w:t xml:space="preserve">[140]. </w:t>
      </w:r>
      <w:r w:rsidRPr="004135FE">
        <w:rPr>
          <w:rFonts w:ascii="Times New Roman" w:eastAsia="TimesNewRomanPSMT" w:hAnsi="Times New Roman" w:cs="Times New Roman"/>
          <w:sz w:val="28"/>
          <w:szCs w:val="28"/>
        </w:rPr>
        <w:t xml:space="preserve">Планирование беременности подразумевает обследование женщин на наличие диабетических осложнений и их лечение, достижение компенсации сахарного диабета на этапе подготовки к беременности. На протяжении 6 месяцев до зачатия и во время беременности уровень гликированного гемоглобина Aıc не должен превышать 6,5 % </w:t>
      </w:r>
      <w:r w:rsidRPr="004135FE">
        <w:rPr>
          <w:rFonts w:ascii="Times New Roman" w:eastAsiaTheme="minorHAnsi" w:hAnsi="Times New Roman" w:cs="Times New Roman"/>
          <w:sz w:val="28"/>
          <w:szCs w:val="28"/>
          <w:lang w:eastAsia="en-US"/>
        </w:rPr>
        <w:t>[141, 142</w:t>
      </w:r>
      <w:r w:rsidRPr="004135FE">
        <w:rPr>
          <w:rFonts w:ascii="Times New Roman" w:eastAsiaTheme="minorHAnsi" w:hAnsi="Times New Roman" w:cs="Times New Roman"/>
          <w:sz w:val="28"/>
          <w:szCs w:val="28"/>
        </w:rPr>
        <w:t xml:space="preserve">]. </w:t>
      </w:r>
      <w:r w:rsidRPr="004135FE">
        <w:rPr>
          <w:rFonts w:ascii="Times New Roman" w:hAnsi="Times New Roman" w:cs="Times New Roman"/>
          <w:sz w:val="28"/>
          <w:szCs w:val="28"/>
        </w:rPr>
        <w:t xml:space="preserve">Гестационный сахарный диабет (ГДМ) является все более распространенным фактором риска развития СД2т у </w:t>
      </w:r>
      <w:r w:rsidRPr="004135FE">
        <w:rPr>
          <w:rFonts w:ascii="Times New Roman" w:hAnsi="Times New Roman" w:cs="Times New Roman"/>
          <w:sz w:val="28"/>
          <w:szCs w:val="28"/>
        </w:rPr>
        <w:lastRenderedPageBreak/>
        <w:t>женщин. По оценкам эффективность групповой программы модификации образа жизни у матерей с предшествующей ГДМ в течение первого послеродового года, потенциально более эффективно проводить ежегодный скрининг диабета до тех пор, пока у женщин не разовьется предиабет, прежде чем предлагать вмешательство [143].</w:t>
      </w:r>
    </w:p>
    <w:p w14:paraId="34977337" w14:textId="664810EA" w:rsidR="009211A6" w:rsidRPr="004135FE"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t>В работе Ташеневой Б. М. установлено, что дифференцированная терапии гипогонадизма в комплексном лечении больных СД2т улучшает нарушенные метаболические показатели и способствует снижению массы тела (2010</w:t>
      </w:r>
      <w:r w:rsidR="000630F2">
        <w:rPr>
          <w:rFonts w:ascii="Times New Roman" w:eastAsia="Times New Roman" w:hAnsi="Times New Roman" w:cs="Times New Roman"/>
          <w:sz w:val="28"/>
          <w:szCs w:val="28"/>
        </w:rPr>
        <w:t xml:space="preserve"> </w:t>
      </w:r>
      <w:r w:rsidRPr="004135FE">
        <w:rPr>
          <w:rFonts w:ascii="Times New Roman" w:eastAsia="Times New Roman" w:hAnsi="Times New Roman" w:cs="Times New Roman"/>
          <w:sz w:val="28"/>
          <w:szCs w:val="28"/>
        </w:rPr>
        <w:t>г</w:t>
      </w:r>
      <w:r w:rsidR="000630F2">
        <w:rPr>
          <w:rFonts w:ascii="Times New Roman" w:eastAsia="Times New Roman" w:hAnsi="Times New Roman" w:cs="Times New Roman"/>
          <w:sz w:val="28"/>
          <w:szCs w:val="28"/>
        </w:rPr>
        <w:t>.</w:t>
      </w:r>
      <w:r w:rsidRPr="004135FE">
        <w:rPr>
          <w:rFonts w:ascii="Times New Roman" w:eastAsia="Times New Roman" w:hAnsi="Times New Roman" w:cs="Times New Roman"/>
          <w:sz w:val="28"/>
          <w:szCs w:val="28"/>
        </w:rPr>
        <w:t>)</w:t>
      </w:r>
      <w:r w:rsidRPr="004135FE">
        <w:rPr>
          <w:rFonts w:ascii="Times New Roman" w:hAnsi="Times New Roman" w:cs="Times New Roman"/>
          <w:sz w:val="28"/>
          <w:szCs w:val="28"/>
        </w:rPr>
        <w:t xml:space="preserve"> [144]</w:t>
      </w:r>
      <w:r w:rsidRPr="004135FE">
        <w:rPr>
          <w:rFonts w:ascii="Times New Roman" w:eastAsia="Times New Roman" w:hAnsi="Times New Roman" w:cs="Times New Roman"/>
          <w:sz w:val="28"/>
          <w:szCs w:val="28"/>
        </w:rPr>
        <w:t xml:space="preserve">. </w:t>
      </w:r>
      <w:r w:rsidRPr="004135FE">
        <w:rPr>
          <w:rFonts w:ascii="Times New Roman" w:hAnsi="Times New Roman" w:cs="Times New Roman"/>
          <w:sz w:val="28"/>
          <w:szCs w:val="28"/>
        </w:rPr>
        <w:t xml:space="preserve"> В Казахстанских исследованиях указывается высокая вероятность патогенетической связи гипогонадизма с метаболическим синдромом. При изучении частоты гипогонодизма в популяции было установлено его нарастание при сочетании центрального ожирения и СД2т, что является наиболее важных компонентов метаболического синдрома. Так же подтверждено, случаи сахарного диабета 2 типа на фоне абдоминального ожирения чаще встречается у лиц с гипогонадизмом, чем в популяции [145]. При заместительной терапии андрогенами улучшаются показатели углеводного и липидного обмена, нежели у больных контрольной группы. Но улучшение гликемического контроля не связано с усилением секреции инсулина [146].</w:t>
      </w:r>
    </w:p>
    <w:p w14:paraId="312BDF92" w14:textId="77777777" w:rsidR="009211A6" w:rsidRPr="004135FE"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t xml:space="preserve">Аскарова С. С (2010г) изучила клинико-метаболические особенности, полиморфизм гена вета3-адренорецептора и структуру рисков СД2т у больных абдоминальным ожирением. Выявлена информативное преимущество определения площади висцеральной абдоминальной жировой ткани по сравнению с окружностью талии и ее высокая прямая корреляция с риском СД2т, ухудшения состояния и течения даже при малом стаже диабета при коморбидных состояниях с ИБС </w:t>
      </w:r>
      <w:r w:rsidRPr="004135FE">
        <w:rPr>
          <w:rFonts w:ascii="Times New Roman" w:hAnsi="Times New Roman" w:cs="Times New Roman"/>
          <w:sz w:val="28"/>
          <w:szCs w:val="28"/>
        </w:rPr>
        <w:t>[147].</w:t>
      </w:r>
    </w:p>
    <w:p w14:paraId="7B2CAEAA" w14:textId="77777777" w:rsidR="009211A6" w:rsidRPr="004135FE" w:rsidRDefault="009211A6"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Клинические вопросы по СД2т очень разносторонне изучены в следующих исследовательских работах. </w:t>
      </w:r>
    </w:p>
    <w:p w14:paraId="7C35ACA9" w14:textId="77777777" w:rsidR="009211A6" w:rsidRPr="004135FE" w:rsidRDefault="009211A6"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И</w:t>
      </w:r>
      <w:r w:rsidRPr="004135FE">
        <w:rPr>
          <w:rFonts w:ascii="Times New Roman" w:hAnsi="Times New Roman" w:cs="Times New Roman"/>
          <w:sz w:val="28"/>
          <w:szCs w:val="28"/>
        </w:rPr>
        <w:t xml:space="preserve">зучены пульмонологические патологии при СД2т, что актуальна при сегодняшней обстановке по карантину по </w:t>
      </w:r>
      <w:r w:rsidRPr="004135FE">
        <w:rPr>
          <w:rFonts w:ascii="Times New Roman" w:hAnsi="Times New Roman" w:cs="Times New Roman"/>
          <w:sz w:val="28"/>
          <w:szCs w:val="28"/>
          <w:lang w:val="en-US"/>
        </w:rPr>
        <w:t>Covid</w:t>
      </w:r>
      <w:r w:rsidRPr="004135FE">
        <w:rPr>
          <w:rFonts w:ascii="Times New Roman" w:hAnsi="Times New Roman" w:cs="Times New Roman"/>
          <w:sz w:val="28"/>
          <w:szCs w:val="28"/>
        </w:rPr>
        <w:t xml:space="preserve">-19. </w:t>
      </w:r>
      <w:r w:rsidRPr="004135FE">
        <w:rPr>
          <w:rFonts w:ascii="Times New Roman" w:eastAsia="Times New Roman" w:hAnsi="Times New Roman" w:cs="Times New Roman"/>
          <w:sz w:val="28"/>
          <w:szCs w:val="28"/>
        </w:rPr>
        <w:t xml:space="preserve">Зеленской В. Н. 2006г изучена функция внешнего дыхания и состояние сурфактантной системы легких при сахарном диабете.  Установлена, что при СД 1 и 2 типа в 60,0-62,2 % случаев выявлены нарушения функции внешнего дыхания. В развитии вентиляционных расстройств достоверно значимыми факторами риска являются уровень гликированного гемоглобина выше 7,5 % при 1-ом и выше 6,5 % при 2-ом типе СД, диабетическая нефропатия 4-5 стадии, ретинопатия 2-3 стадии, наличие артериальной гипертензии и ишемической болезни сердца. Высокая вероятность нарушения функции внешнего дыхания у больных СД 1-го типа прогнозируется при общей сумме факторов риска выше 9,7 баллов, при СД 2-типа - выше 8,5 баллов. Разработаны способы определения адекватности метаболического контроля у больных СД 1-го типа и прогнозирования нарушения функции внешнего дыхания у больных СД 2-го типа с артериальной гипертензией </w:t>
      </w:r>
      <w:r w:rsidRPr="004135FE">
        <w:rPr>
          <w:rFonts w:ascii="Times New Roman" w:hAnsi="Times New Roman" w:cs="Times New Roman"/>
          <w:sz w:val="28"/>
          <w:szCs w:val="28"/>
        </w:rPr>
        <w:t>[148].</w:t>
      </w:r>
    </w:p>
    <w:p w14:paraId="322DC7CE" w14:textId="77777777" w:rsidR="009211A6" w:rsidRPr="004135FE" w:rsidRDefault="009211A6"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lastRenderedPageBreak/>
        <w:t xml:space="preserve">В работе по эффективности лечения больных с впервые выявленным туберкулезом легких с сопутствующим сахарным диабетом в современных условиях, Шаймуратовым Ш. 2006г, установлено, что у больных с впервые выявленным туберкулезом легких одинаково часто встречается средняя и тяжелая степень сахарного диабета (СД). Из поздних осложнений СД наиболее часто диагностируется нейропатия (70,1 %), тактика лечения больных и дозировка инсулина зависит от формы и течения осложнении СД </w:t>
      </w:r>
      <w:r w:rsidRPr="004135FE">
        <w:rPr>
          <w:rFonts w:ascii="Times New Roman" w:hAnsi="Times New Roman" w:cs="Times New Roman"/>
          <w:sz w:val="28"/>
          <w:szCs w:val="28"/>
        </w:rPr>
        <w:t>[149].</w:t>
      </w:r>
    </w:p>
    <w:p w14:paraId="2156FFC8" w14:textId="77777777" w:rsidR="009211A6" w:rsidRPr="004135FE" w:rsidRDefault="009211A6"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hAnsi="Times New Roman" w:cs="Times New Roman"/>
          <w:sz w:val="28"/>
          <w:szCs w:val="28"/>
        </w:rPr>
        <w:t xml:space="preserve"> Проведены НИР по </w:t>
      </w:r>
      <w:r w:rsidRPr="004135FE">
        <w:rPr>
          <w:rFonts w:ascii="Times New Roman" w:eastAsia="Times New Roman" w:hAnsi="Times New Roman" w:cs="Times New Roman"/>
          <w:sz w:val="28"/>
          <w:szCs w:val="28"/>
        </w:rPr>
        <w:t xml:space="preserve">разработке и внедрению </w:t>
      </w:r>
      <w:r w:rsidRPr="004135FE">
        <w:rPr>
          <w:rFonts w:ascii="Times New Roman" w:hAnsi="Times New Roman" w:cs="Times New Roman"/>
          <w:sz w:val="28"/>
          <w:szCs w:val="28"/>
        </w:rPr>
        <w:t xml:space="preserve">системы скрининга при диабетической нефропатии под руководством </w:t>
      </w:r>
      <w:r w:rsidRPr="004135FE">
        <w:rPr>
          <w:rFonts w:ascii="Times New Roman" w:eastAsia="Times New Roman" w:hAnsi="Times New Roman" w:cs="Times New Roman"/>
          <w:sz w:val="28"/>
          <w:szCs w:val="28"/>
        </w:rPr>
        <w:t>Жанузакова М.А.</w:t>
      </w:r>
      <w:r w:rsidRPr="004135FE">
        <w:rPr>
          <w:rFonts w:ascii="Times New Roman" w:hAnsi="Times New Roman" w:cs="Times New Roman"/>
          <w:sz w:val="28"/>
          <w:szCs w:val="28"/>
        </w:rPr>
        <w:t xml:space="preserve"> </w:t>
      </w:r>
      <w:r w:rsidRPr="004135FE">
        <w:rPr>
          <w:rFonts w:ascii="Times New Roman" w:eastAsia="Times New Roman" w:hAnsi="Times New Roman" w:cs="Times New Roman"/>
          <w:sz w:val="28"/>
          <w:szCs w:val="28"/>
        </w:rPr>
        <w:t xml:space="preserve">Предложена схема скрининга </w:t>
      </w:r>
      <w:r w:rsidRPr="004135FE">
        <w:rPr>
          <w:rFonts w:ascii="Times New Roman" w:hAnsi="Times New Roman" w:cs="Times New Roman"/>
          <w:sz w:val="28"/>
          <w:szCs w:val="28"/>
        </w:rPr>
        <w:t>диабетической нефропатии</w:t>
      </w:r>
      <w:r w:rsidRPr="004135FE">
        <w:rPr>
          <w:rFonts w:ascii="Times New Roman" w:eastAsia="Times New Roman" w:hAnsi="Times New Roman" w:cs="Times New Roman"/>
          <w:sz w:val="28"/>
          <w:szCs w:val="28"/>
        </w:rPr>
        <w:t xml:space="preserve">, основанная на выявлении микроальбуминурии и протеинурии. Выделены группы больных сахарным диабетом, нуждающихся в проведении ежегодного скрининга </w:t>
      </w:r>
      <w:r w:rsidRPr="004135FE">
        <w:rPr>
          <w:rFonts w:ascii="Times New Roman" w:hAnsi="Times New Roman" w:cs="Times New Roman"/>
          <w:sz w:val="28"/>
          <w:szCs w:val="28"/>
        </w:rPr>
        <w:t>диабетической нефропатии</w:t>
      </w:r>
      <w:r w:rsidRPr="004135FE">
        <w:rPr>
          <w:rFonts w:ascii="Times New Roman" w:eastAsia="Times New Roman" w:hAnsi="Times New Roman" w:cs="Times New Roman"/>
          <w:sz w:val="28"/>
          <w:szCs w:val="28"/>
        </w:rPr>
        <w:t xml:space="preserve">: больные СД 1 типа: при диабете в раннем детском возрасте - с началом скрининга с 10-12 лет, при диабете в период пубертата - с началом скрининга при установлении диагноза, при диабете после пубертата - с началом скрининга через 5 лет от начала заболевания, больные СД 2 типа - с началом скрининга при установлении диагноза </w:t>
      </w:r>
      <w:r w:rsidRPr="004135FE">
        <w:rPr>
          <w:rFonts w:ascii="Times New Roman" w:hAnsi="Times New Roman" w:cs="Times New Roman"/>
          <w:sz w:val="28"/>
          <w:szCs w:val="28"/>
        </w:rPr>
        <w:t>[150].</w:t>
      </w:r>
    </w:p>
    <w:p w14:paraId="219F5C3F" w14:textId="77777777" w:rsidR="009211A6" w:rsidRPr="004135FE" w:rsidRDefault="009211A6"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Под руководством Ж.Абылайулы разработаны научно-обоснованные предложения по совершенствованию диагностики и лечения болезней сердечно-сосудистой системы и их осложнений при социально-значимых эндокринных заболеваниях (2009-2011). Отмечено, что использование рекомбинантного интерлейкина-2 в область нижних конечностей у больных с СД2т повышает иммунный и цитокиновый статусы и способствует улучшению кровоснабжения в данной зоне. Применение простагландина Е (вазапростан) у больных СД 2 типа приводит к улучшению показателей крови, стабилизации изменений глазного дна, но не способствует увеличению скорости кровотока, изменению сосудистого тонуса и периферического сосудистого сопротивления на уровне прекапилляров в артериях бедра и голени. Установлено, что введение взвеси гемопоэтических стволовых клеток (ГСК) в кровоток обеспечивает доставку клеточного материала в поврежденный миокард и улучшает течение экспериментального инфаркта миокарда </w:t>
      </w:r>
      <w:r w:rsidRPr="004135FE">
        <w:rPr>
          <w:rFonts w:ascii="Times New Roman" w:hAnsi="Times New Roman" w:cs="Times New Roman"/>
          <w:sz w:val="28"/>
          <w:szCs w:val="28"/>
        </w:rPr>
        <w:t>[151].</w:t>
      </w:r>
    </w:p>
    <w:p w14:paraId="79A2A663" w14:textId="77777777" w:rsidR="009211A6" w:rsidRPr="004135FE"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t>Под руководством Ботабековой Т.К. и</w:t>
      </w:r>
      <w:r w:rsidRPr="004135FE">
        <w:rPr>
          <w:rFonts w:ascii="Times New Roman" w:hAnsi="Times New Roman" w:cs="Times New Roman"/>
          <w:sz w:val="28"/>
          <w:szCs w:val="28"/>
        </w:rPr>
        <w:t xml:space="preserve">зучены частота и инвалидность от диабетической ретинопатии, определена потребность в лазеркоагуляции больных ДР. Доказана эффективность ингибиторов ангиогенеза в лечении диабетической ретинопатии, осложненной макулярным отеком и неоваскулярной глаукомой и экссудативной формы возрастной макулярной дегенерации, в качестве альтернативного метода в лечении предложено применение антиметаболитов в сочетании с дозированной криоретинопексией. Разработаны новые методы хирургического лечения диабетической ретинопатии, осложненной макулопатией, и возрастной макулярной дегенерации, с применением различных имплантатов. Разработаны алгоритмы показаний и объема витреоретинальной хирургии у больных с диабетической ретинопатией [152]. </w:t>
      </w:r>
    </w:p>
    <w:p w14:paraId="6FD62B6F" w14:textId="77777777" w:rsidR="009211A6" w:rsidRPr="004135FE" w:rsidRDefault="009211A6"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lastRenderedPageBreak/>
        <w:t xml:space="preserve">Под руководством Бекмухамбетова Е.Ж., обоснована возможность применения непрямых реваскуляризирующих операций при невозможности применения сосудистых операций у больных с ишемической и нейроишемической формой синдрома диабетической стопы. Разработанная методика остеоперфорации стоп, способствующая значительному улучшению микроциркуляции и оксигенации тканей пораженной конечности и улучшает исходы лечения. Сочетанное применение остеоперфорации стоп с периартериальной симпатэктомией и туннелированием мягких тканей в комплексном лечении ишемической и нейроишемической форм синдрома диабетической стопы позволяет существенно улучшить течение местных репаративных процессов, снизить частоту повторных операций с 52,8 % до 40,3 %, высоких ампутаций конечностей с 22,7 % до 11,9 % и летальность с 7,5 % до 4,5 %, а также сохранить опорную функцию конечности у 80,6 % больных. Сравнительный анализ результатов разработанного комплекса способов непрямых реваскуляризирующих операций на нижних конечностях доказывает, что сочетанное использование остеоперфорации стоп с периартериальной симпатэктомией и туннелированием мягких тканей нижних конечностей позволяет получить хорошие и удовлетворительные результаты у 60 % и 26 % больных соответственно и снизить количество больных с неудовлетворительными результатами с 35,4 % до 14 % </w:t>
      </w:r>
      <w:r w:rsidRPr="004135FE">
        <w:rPr>
          <w:rFonts w:ascii="Times New Roman" w:hAnsi="Times New Roman" w:cs="Times New Roman"/>
          <w:sz w:val="28"/>
          <w:szCs w:val="28"/>
        </w:rPr>
        <w:t>[153].</w:t>
      </w:r>
    </w:p>
    <w:p w14:paraId="064D2AC1" w14:textId="77777777" w:rsidR="009211A6" w:rsidRPr="004135FE"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t>Под руководством Аканова А.А</w:t>
      </w:r>
      <w:r w:rsidRPr="004135FE">
        <w:rPr>
          <w:rFonts w:ascii="Times New Roman" w:hAnsi="Times New Roman" w:cs="Times New Roman"/>
          <w:sz w:val="28"/>
          <w:szCs w:val="28"/>
        </w:rPr>
        <w:t xml:space="preserve"> изучена состояние рабочей памяти у пациентов с сахарным диабетом. Проведены клинические исследования лобной части 50 пациентов с сахарным диабетом 2 типа и 20 человек из контрольной группы без сахарного диабета с помощью аппарата до и после непрерывной помповой инсулиновой терапии. Получены первые результаты гликированного гемоглобина до и после помповой инсулиновой терапии. [154]. </w:t>
      </w:r>
    </w:p>
    <w:p w14:paraId="596DD11B" w14:textId="77777777" w:rsidR="009211A6" w:rsidRPr="004135FE" w:rsidRDefault="009211A6"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Так же</w:t>
      </w:r>
      <w:r w:rsidRPr="004135FE">
        <w:rPr>
          <w:rFonts w:ascii="Times New Roman" w:eastAsia="Times New Roman" w:hAnsi="Times New Roman" w:cs="Times New Roman"/>
          <w:sz w:val="28"/>
          <w:szCs w:val="28"/>
        </w:rPr>
        <w:t xml:space="preserve"> под руководством Аканова А.А</w:t>
      </w:r>
      <w:r w:rsidRPr="004135FE">
        <w:rPr>
          <w:rFonts w:ascii="Times New Roman" w:hAnsi="Times New Roman" w:cs="Times New Roman"/>
          <w:sz w:val="28"/>
          <w:szCs w:val="28"/>
        </w:rPr>
        <w:t xml:space="preserve"> проведена исследовательская работа по изучению последствий поздней инициации инсулинотерапии у пациентов с сахарным диабетом 2 типа, которые нуждались в назначении инсулинотерапии. Поздние осложнения СД 2 типа были отмечены в виде диабетической ангиопатии у 89,1 % пациентов, диабетической ретинопатии - у 80,0 % пациентов, диабетической полинейропатии - у 96,4 % пациентов [155].</w:t>
      </w:r>
    </w:p>
    <w:p w14:paraId="64FBCBFA" w14:textId="2E31B552"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Таким образом, научно</w:t>
      </w:r>
      <w:r w:rsidR="00CC6B82" w:rsidRPr="004135FE">
        <w:rPr>
          <w:rFonts w:ascii="Times New Roman" w:hAnsi="Times New Roman" w:cs="Times New Roman"/>
          <w:sz w:val="28"/>
          <w:szCs w:val="28"/>
        </w:rPr>
        <w:t>-</w:t>
      </w:r>
      <w:r w:rsidRPr="004135FE">
        <w:rPr>
          <w:rFonts w:ascii="Times New Roman" w:hAnsi="Times New Roman" w:cs="Times New Roman"/>
          <w:sz w:val="28"/>
          <w:szCs w:val="28"/>
        </w:rPr>
        <w:t>исследовательские работы отечественных авторов по организации здравоохранения и клинической медицине показывают, что распространенность и его осложнения СД2т быстро набирают обороты не только в мире, но и в нашей республике, что характеризует на сегодняшний день актуальность проблемы бремя диабета, который требует всестороннего решения. Имея большой арсенал знании в области СД2т и борьбы против него, необходимо на практике применить все вышеуказанные факты, который возможен при реализации межсекторального сотрудничества.</w:t>
      </w:r>
    </w:p>
    <w:p w14:paraId="2ACD277D" w14:textId="77777777" w:rsidR="009211A6" w:rsidRPr="004135FE" w:rsidRDefault="009211A6" w:rsidP="004135FE">
      <w:pPr>
        <w:autoSpaceDE w:val="0"/>
        <w:autoSpaceDN w:val="0"/>
        <w:adjustRightInd w:val="0"/>
        <w:spacing w:after="0" w:line="240" w:lineRule="auto"/>
        <w:jc w:val="both"/>
        <w:rPr>
          <w:rFonts w:ascii="Times New Roman" w:eastAsia="Times New Roman" w:hAnsi="Times New Roman" w:cs="Times New Roman"/>
          <w:sz w:val="28"/>
          <w:szCs w:val="28"/>
          <w:u w:val="single"/>
        </w:rPr>
      </w:pPr>
    </w:p>
    <w:p w14:paraId="1B70AEF1" w14:textId="77777777" w:rsidR="009211A6" w:rsidRPr="004135FE" w:rsidRDefault="009211A6" w:rsidP="004135FE">
      <w:pPr>
        <w:autoSpaceDE w:val="0"/>
        <w:autoSpaceDN w:val="0"/>
        <w:adjustRightInd w:val="0"/>
        <w:spacing w:after="0" w:line="240" w:lineRule="auto"/>
        <w:jc w:val="both"/>
        <w:rPr>
          <w:rFonts w:ascii="Times New Roman" w:eastAsia="Times New Roman" w:hAnsi="Times New Roman" w:cs="Times New Roman"/>
          <w:sz w:val="28"/>
          <w:szCs w:val="28"/>
          <w:u w:val="single"/>
        </w:rPr>
      </w:pPr>
    </w:p>
    <w:p w14:paraId="4CF426CC" w14:textId="122C9724" w:rsidR="009211A6" w:rsidRPr="004135FE" w:rsidRDefault="009211A6" w:rsidP="000630F2">
      <w:pPr>
        <w:autoSpaceDE w:val="0"/>
        <w:autoSpaceDN w:val="0"/>
        <w:adjustRightInd w:val="0"/>
        <w:spacing w:after="0" w:line="240" w:lineRule="auto"/>
        <w:ind w:firstLine="709"/>
        <w:jc w:val="both"/>
        <w:rPr>
          <w:rFonts w:ascii="Times New Roman" w:eastAsia="Times New Roman" w:hAnsi="Times New Roman" w:cs="Times New Roman"/>
          <w:b/>
          <w:sz w:val="28"/>
          <w:szCs w:val="28"/>
        </w:rPr>
      </w:pPr>
      <w:r w:rsidRPr="004135FE">
        <w:rPr>
          <w:rFonts w:ascii="Times New Roman" w:eastAsia="Times New Roman" w:hAnsi="Times New Roman" w:cs="Times New Roman"/>
          <w:b/>
          <w:sz w:val="28"/>
          <w:szCs w:val="28"/>
        </w:rPr>
        <w:t>Вывод</w:t>
      </w:r>
      <w:r w:rsidR="000A12BA">
        <w:rPr>
          <w:rFonts w:ascii="Times New Roman" w:eastAsia="Times New Roman" w:hAnsi="Times New Roman" w:cs="Times New Roman"/>
          <w:b/>
          <w:sz w:val="28"/>
          <w:szCs w:val="28"/>
        </w:rPr>
        <w:t>ы</w:t>
      </w:r>
      <w:r w:rsidRPr="004135FE">
        <w:rPr>
          <w:rFonts w:ascii="Times New Roman" w:eastAsia="Times New Roman" w:hAnsi="Times New Roman" w:cs="Times New Roman"/>
          <w:b/>
          <w:sz w:val="28"/>
          <w:szCs w:val="28"/>
        </w:rPr>
        <w:t xml:space="preserve"> по </w:t>
      </w:r>
      <w:r w:rsidR="000630F2">
        <w:rPr>
          <w:rFonts w:ascii="Times New Roman" w:eastAsia="Times New Roman" w:hAnsi="Times New Roman" w:cs="Times New Roman"/>
          <w:b/>
          <w:sz w:val="28"/>
          <w:szCs w:val="28"/>
        </w:rPr>
        <w:t>1</w:t>
      </w:r>
      <w:r w:rsidRPr="004135FE">
        <w:rPr>
          <w:rFonts w:ascii="Times New Roman" w:eastAsia="Times New Roman" w:hAnsi="Times New Roman" w:cs="Times New Roman"/>
          <w:b/>
          <w:sz w:val="28"/>
          <w:szCs w:val="28"/>
        </w:rPr>
        <w:t xml:space="preserve"> разделу</w:t>
      </w:r>
    </w:p>
    <w:p w14:paraId="4D813261" w14:textId="77777777" w:rsidR="009211A6" w:rsidRPr="004135FE" w:rsidRDefault="009211A6"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bdr w:val="none" w:sz="0" w:space="0" w:color="auto" w:frame="1"/>
        </w:rPr>
        <w:t xml:space="preserve">Обзор международной и отечественной литературы показал, что данная проблема актуальна как на международном уровне, так и в нашей стране. </w:t>
      </w:r>
    </w:p>
    <w:p w14:paraId="70769E02" w14:textId="77777777" w:rsidR="009211A6" w:rsidRPr="004135FE" w:rsidRDefault="009211A6" w:rsidP="000A12BA">
      <w:pPr>
        <w:shd w:val="clear" w:color="auto" w:fill="FFFFFF"/>
        <w:spacing w:after="0" w:line="240" w:lineRule="auto"/>
        <w:ind w:firstLine="708"/>
        <w:jc w:val="both"/>
        <w:textAlignment w:val="baseline"/>
        <w:rPr>
          <w:rFonts w:ascii="Times New Roman" w:eastAsia="Times New Roman" w:hAnsi="Times New Roman" w:cs="Times New Roman"/>
          <w:i/>
          <w:sz w:val="28"/>
          <w:szCs w:val="28"/>
          <w:bdr w:val="none" w:sz="0" w:space="0" w:color="auto" w:frame="1"/>
        </w:rPr>
      </w:pPr>
      <w:r w:rsidRPr="004135FE">
        <w:rPr>
          <w:rFonts w:ascii="Times New Roman" w:eastAsia="Times New Roman" w:hAnsi="Times New Roman" w:cs="Times New Roman"/>
          <w:sz w:val="28"/>
          <w:szCs w:val="28"/>
          <w:bdr w:val="none" w:sz="0" w:space="0" w:color="auto" w:frame="1"/>
        </w:rPr>
        <w:t xml:space="preserve">В соответствии с международными стандартами развитие межсекторального </w:t>
      </w:r>
      <w:r w:rsidRPr="004135FE">
        <w:rPr>
          <w:rFonts w:ascii="Times New Roman" w:hAnsi="Times New Roman" w:cs="Times New Roman"/>
          <w:sz w:val="28"/>
          <w:szCs w:val="28"/>
        </w:rPr>
        <w:t>сотрудничества</w:t>
      </w:r>
      <w:r w:rsidRPr="004135FE">
        <w:rPr>
          <w:rFonts w:ascii="Times New Roman" w:eastAsia="Times New Roman" w:hAnsi="Times New Roman" w:cs="Times New Roman"/>
          <w:sz w:val="28"/>
          <w:szCs w:val="28"/>
          <w:bdr w:val="none" w:sz="0" w:space="0" w:color="auto" w:frame="1"/>
        </w:rPr>
        <w:t xml:space="preserve"> на уровне государства </w:t>
      </w:r>
      <w:r w:rsidRPr="004135FE">
        <w:rPr>
          <w:rFonts w:ascii="Times New Roman" w:hAnsi="Times New Roman" w:cs="Times New Roman"/>
          <w:sz w:val="28"/>
          <w:szCs w:val="28"/>
        </w:rPr>
        <w:t xml:space="preserve">при оказании медицинской помощи больным с СД2т </w:t>
      </w:r>
      <w:r w:rsidRPr="004135FE">
        <w:rPr>
          <w:rFonts w:ascii="Times New Roman" w:eastAsia="Times New Roman" w:hAnsi="Times New Roman" w:cs="Times New Roman"/>
          <w:sz w:val="28"/>
          <w:szCs w:val="28"/>
          <w:bdr w:val="none" w:sz="0" w:space="0" w:color="auto" w:frame="1"/>
        </w:rPr>
        <w:t xml:space="preserve"> ориентирован на совершенствования профилактических мер, снижение факторов риска возникновения СД2т и предусматривать комплексные меры, направленные на: обеспечение равным доступом к услугам здравоохранения и лекарственными препаратами по льготной программе; повышение уровня образованности населения, подготовка медицинского персонала, в том числе в вопросах ведения и формирования здорового образа жизни; формирование новых поведенческих установок, снижающих распространенность факторов риска (табакокурение, злоупотребление алкоголем, низкая физическая активность); здоровое сбалансированное питание; рост числа регулярно занятых физической культурой и спортом; психосоциальную поддержку пациентов с СД2т; разорвать </w:t>
      </w:r>
      <w:r w:rsidRPr="004135FE">
        <w:rPr>
          <w:rFonts w:ascii="Times New Roman" w:eastAsia="Times New Roman" w:hAnsi="Times New Roman" w:cs="Times New Roman"/>
          <w:sz w:val="28"/>
          <w:szCs w:val="28"/>
        </w:rPr>
        <w:t>замкнутый</w:t>
      </w:r>
      <w:r w:rsidRPr="004135FE">
        <w:rPr>
          <w:rFonts w:ascii="Times New Roman" w:eastAsia="Times New Roman" w:hAnsi="Times New Roman" w:cs="Times New Roman"/>
          <w:sz w:val="28"/>
          <w:szCs w:val="28"/>
          <w:bdr w:val="none" w:sz="0" w:space="0" w:color="auto" w:frame="1"/>
        </w:rPr>
        <w:t xml:space="preserve"> круг о</w:t>
      </w:r>
      <w:r w:rsidRPr="004135FE">
        <w:rPr>
          <w:rFonts w:ascii="Times New Roman" w:eastAsia="Times New Roman" w:hAnsi="Times New Roman" w:cs="Times New Roman"/>
          <w:sz w:val="28"/>
          <w:szCs w:val="28"/>
        </w:rPr>
        <w:t>жирение-диабет-снижение репродуктивного потенциала- COVID-19, что вовлекает угрозу на будущее поколение</w:t>
      </w:r>
      <w:r w:rsidRPr="004135FE">
        <w:rPr>
          <w:rFonts w:ascii="Times New Roman" w:eastAsia="Times New Roman" w:hAnsi="Times New Roman" w:cs="Times New Roman"/>
          <w:sz w:val="28"/>
          <w:szCs w:val="28"/>
          <w:bdr w:val="none" w:sz="0" w:space="0" w:color="auto" w:frame="1"/>
        </w:rPr>
        <w:t>; борьба с социальными детерминантами, создание безопасных условий труда и быта;</w:t>
      </w:r>
      <w:r w:rsidRPr="004135FE">
        <w:rPr>
          <w:rFonts w:ascii="Times New Roman" w:eastAsia="Times New Roman" w:hAnsi="Times New Roman" w:cs="Times New Roman"/>
          <w:sz w:val="28"/>
          <w:szCs w:val="28"/>
        </w:rPr>
        <w:t xml:space="preserve"> </w:t>
      </w:r>
      <w:r w:rsidRPr="004135FE">
        <w:rPr>
          <w:rFonts w:ascii="Times New Roman" w:eastAsia="Times New Roman" w:hAnsi="Times New Roman" w:cs="Times New Roman"/>
          <w:sz w:val="28"/>
          <w:szCs w:val="28"/>
          <w:bdr w:val="none" w:sz="0" w:space="0" w:color="auto" w:frame="1"/>
        </w:rPr>
        <w:t>обеспечение безопасных условий жилья; обеспечение постоянного доступа к питьевой воде, уменьшение загрязнения воздуха, воды и почвы, снижение уровня шума с учетом данных мониторинга их влияния на состояние заболеваемости населения.</w:t>
      </w:r>
    </w:p>
    <w:p w14:paraId="1198ACB7" w14:textId="77777777" w:rsidR="009211A6" w:rsidRPr="004135FE" w:rsidRDefault="009211A6" w:rsidP="000A12BA">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t xml:space="preserve">Благодаря эффективной пропаганде по борьбе с диабетом в масштабах республики, необходимо выстроить приоритеты и рационально перераспределить бюджет в здравоохранении, повышать осведомленность всех министерств и максимально вовлечь их для создания национального плана в пользу всему населению живущих с диабетом для повышения качества оказания помощи. </w:t>
      </w:r>
      <w:r w:rsidRPr="004135FE">
        <w:rPr>
          <w:rFonts w:ascii="Times New Roman" w:eastAsiaTheme="minorHAnsi" w:hAnsi="Times New Roman" w:cs="Times New Roman"/>
          <w:bCs/>
          <w:sz w:val="28"/>
          <w:szCs w:val="28"/>
          <w:lang w:eastAsia="en-US"/>
        </w:rPr>
        <w:t xml:space="preserve">Вынести вопросы терапии и контроля диабета на приоритетной уровень. </w:t>
      </w:r>
      <w:r w:rsidRPr="004135FE">
        <w:rPr>
          <w:rFonts w:ascii="Times New Roman" w:hAnsi="Times New Roman" w:cs="Times New Roman"/>
          <w:sz w:val="28"/>
          <w:szCs w:val="28"/>
        </w:rPr>
        <w:t xml:space="preserve">Дать приоритет мерам по предотвращению избыточного веса и появления СД2т до рождения и в раннем детстве. Осуществление политик и программ, направленных на потребление продуктов здорового питания и создание социальной среды для обеспечения физической активности. </w:t>
      </w:r>
    </w:p>
    <w:p w14:paraId="292690DE" w14:textId="77777777" w:rsidR="009211A6" w:rsidRPr="004135FE" w:rsidRDefault="009211A6" w:rsidP="000A12BA">
      <w:pPr>
        <w:pStyle w:val="a3"/>
        <w:autoSpaceDE w:val="0"/>
        <w:autoSpaceDN w:val="0"/>
        <w:adjustRightInd w:val="0"/>
        <w:spacing w:after="0" w:line="240" w:lineRule="auto"/>
        <w:ind w:left="0" w:firstLine="708"/>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bCs/>
          <w:sz w:val="28"/>
          <w:szCs w:val="28"/>
          <w:lang w:eastAsia="en-US"/>
        </w:rPr>
        <w:t xml:space="preserve">Содействовать проведению качественных исследований диабета. </w:t>
      </w:r>
      <w:r w:rsidRPr="004135FE">
        <w:rPr>
          <w:rFonts w:ascii="Times New Roman" w:eastAsia="ArialMT" w:hAnsi="Times New Roman" w:cs="Times New Roman"/>
          <w:sz w:val="28"/>
          <w:szCs w:val="28"/>
          <w:lang w:eastAsia="en-US"/>
        </w:rPr>
        <w:t xml:space="preserve">Это </w:t>
      </w:r>
      <w:r w:rsidRPr="004135FE">
        <w:rPr>
          <w:rFonts w:ascii="Times New Roman" w:eastAsia="ArialMT" w:hAnsi="Times New Roman" w:cs="Times New Roman"/>
          <w:bCs/>
          <w:sz w:val="28"/>
          <w:szCs w:val="28"/>
          <w:lang w:eastAsia="en-US"/>
        </w:rPr>
        <w:t xml:space="preserve">улучшит наше понимание мер, необходимых </w:t>
      </w:r>
      <w:r w:rsidRPr="004135FE">
        <w:rPr>
          <w:rFonts w:ascii="Times New Roman" w:eastAsia="ArialMT" w:hAnsi="Times New Roman" w:cs="Times New Roman"/>
          <w:sz w:val="28"/>
          <w:szCs w:val="28"/>
          <w:lang w:eastAsia="en-US"/>
        </w:rPr>
        <w:t xml:space="preserve">для борьбы с глобальным ростом распространенности СД2т. </w:t>
      </w:r>
      <w:r w:rsidRPr="004135FE">
        <w:rPr>
          <w:rFonts w:ascii="Times New Roman" w:eastAsiaTheme="minorHAnsi" w:hAnsi="Times New Roman" w:cs="Times New Roman"/>
          <w:sz w:val="28"/>
          <w:szCs w:val="28"/>
          <w:lang w:eastAsia="en-US"/>
        </w:rPr>
        <w:t>Изучить существующие барьеры и пути их решения при оказании медицинской помощи пациентам с СД2 в Казахстане.</w:t>
      </w:r>
    </w:p>
    <w:p w14:paraId="47906AD1" w14:textId="77777777" w:rsidR="009211A6" w:rsidRPr="004135FE" w:rsidRDefault="009211A6" w:rsidP="000A12BA">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Важнейшими аспектами профилактической деятельности является ее поддержка на уровне общины, коллективов, семьи и каждого человека. Д</w:t>
      </w:r>
      <w:r w:rsidRPr="004135FE">
        <w:rPr>
          <w:rFonts w:ascii="Times New Roman" w:eastAsia="TimesNewRomanPSMT" w:hAnsi="Times New Roman" w:cs="Times New Roman"/>
          <w:sz w:val="28"/>
          <w:szCs w:val="28"/>
          <w:lang w:eastAsia="en-US"/>
        </w:rPr>
        <w:t xml:space="preserve">ля увеличения продолжительности жизни и улучшения состояния здоровья, необходимо чтобы каждый человек стал активным, для сохранения собственного здоровья, обеспечить доступность знаний о состоянии здоровья, </w:t>
      </w:r>
      <w:r w:rsidRPr="004135FE">
        <w:rPr>
          <w:rFonts w:ascii="Times New Roman" w:eastAsia="TimesNewRomanPSMT" w:hAnsi="Times New Roman" w:cs="Times New Roman"/>
          <w:sz w:val="28"/>
          <w:szCs w:val="28"/>
          <w:lang w:eastAsia="en-US"/>
        </w:rPr>
        <w:lastRenderedPageBreak/>
        <w:t xml:space="preserve">мерах по его укреплению и предотвращению заболеваний. </w:t>
      </w:r>
      <w:r w:rsidRPr="004135FE">
        <w:rPr>
          <w:rFonts w:ascii="Times New Roman" w:hAnsi="Times New Roman" w:cs="Times New Roman"/>
          <w:sz w:val="28"/>
          <w:szCs w:val="28"/>
        </w:rPr>
        <w:t>В детском возрасте, когда формируются привычки в отношении питания и физической активности и заложены долгосрочные принципы ЗОЖ, которые определяют уровень качества жизни в целях снижения риска ожирения и заболевания СД2т позднее, должны участвовать не только государство, но и окружающая среда, семья, родительский контроль. Никакие меры политики или вмешательства не способны гарантировать, без самодисциплины и солидарной ответственности за свое здоровье каждого человека.</w:t>
      </w:r>
    </w:p>
    <w:p w14:paraId="0A5EA96C" w14:textId="77777777" w:rsidR="009211A6" w:rsidRPr="004135FE" w:rsidRDefault="009211A6" w:rsidP="004135FE">
      <w:pPr>
        <w:autoSpaceDE w:val="0"/>
        <w:autoSpaceDN w:val="0"/>
        <w:adjustRightInd w:val="0"/>
        <w:spacing w:after="0" w:line="240" w:lineRule="auto"/>
        <w:ind w:firstLine="540"/>
        <w:jc w:val="both"/>
        <w:rPr>
          <w:rFonts w:ascii="Times New Roman" w:eastAsia="TimesNewRomanPSMT" w:hAnsi="Times New Roman" w:cs="Times New Roman"/>
          <w:sz w:val="28"/>
          <w:szCs w:val="28"/>
          <w:lang w:eastAsia="en-US"/>
        </w:rPr>
      </w:pPr>
      <w:r w:rsidRPr="004135FE">
        <w:rPr>
          <w:rFonts w:ascii="Times New Roman" w:eastAsia="TimesNewRomanPSMT" w:hAnsi="Times New Roman" w:cs="Times New Roman"/>
          <w:sz w:val="28"/>
          <w:szCs w:val="28"/>
          <w:lang w:eastAsia="en-US"/>
        </w:rPr>
        <w:t>Таким образом, способ совершенствование межсекторального взаимодействия по вопросам охраны здоровья населения может быть сконструирован на базе теории принятия решений и иметь чёткую, конкретную межсекторальную основу, учитывая опыт зарубежных стран и соответствующей деятельности всех заинтересованных секторов, привлекать к процессу их представителей и добиваться взаимодействия при многодисциплинарном характере с активным участием населения. Проведения исследовании в этой области, предложение рекомендации, модели для совершенствования межсекторального сотрудничества является наиболее адекватным решением данной актуальной проблемы.</w:t>
      </w:r>
    </w:p>
    <w:p w14:paraId="6C965160" w14:textId="77777777" w:rsidR="009211A6" w:rsidRPr="004135FE" w:rsidRDefault="009211A6" w:rsidP="004135FE">
      <w:pPr>
        <w:spacing w:line="240" w:lineRule="auto"/>
        <w:rPr>
          <w:sz w:val="28"/>
          <w:szCs w:val="28"/>
        </w:rPr>
      </w:pPr>
    </w:p>
    <w:p w14:paraId="1BCE6E3E" w14:textId="4F50C568" w:rsidR="008947C1" w:rsidRPr="004135FE" w:rsidRDefault="008947C1" w:rsidP="004135FE">
      <w:pPr>
        <w:autoSpaceDE w:val="0"/>
        <w:autoSpaceDN w:val="0"/>
        <w:adjustRightInd w:val="0"/>
        <w:spacing w:after="0" w:line="240" w:lineRule="auto"/>
        <w:jc w:val="both"/>
        <w:rPr>
          <w:rFonts w:ascii="Times New Roman" w:hAnsi="Times New Roman" w:cs="Times New Roman"/>
          <w:sz w:val="28"/>
          <w:szCs w:val="28"/>
        </w:rPr>
      </w:pPr>
    </w:p>
    <w:p w14:paraId="68B214EC" w14:textId="302798D9" w:rsidR="008947C1" w:rsidRPr="004135FE" w:rsidRDefault="008947C1" w:rsidP="004135FE">
      <w:pPr>
        <w:autoSpaceDE w:val="0"/>
        <w:autoSpaceDN w:val="0"/>
        <w:adjustRightInd w:val="0"/>
        <w:spacing w:after="0" w:line="240" w:lineRule="auto"/>
        <w:jc w:val="both"/>
        <w:rPr>
          <w:rFonts w:ascii="Times New Roman" w:hAnsi="Times New Roman" w:cs="Times New Roman"/>
          <w:sz w:val="28"/>
          <w:szCs w:val="28"/>
        </w:rPr>
      </w:pPr>
    </w:p>
    <w:p w14:paraId="7A1F95EB" w14:textId="42708BC5" w:rsidR="008947C1" w:rsidRPr="004135FE" w:rsidRDefault="008947C1" w:rsidP="004135FE">
      <w:pPr>
        <w:autoSpaceDE w:val="0"/>
        <w:autoSpaceDN w:val="0"/>
        <w:adjustRightInd w:val="0"/>
        <w:spacing w:after="0" w:line="240" w:lineRule="auto"/>
        <w:jc w:val="both"/>
        <w:rPr>
          <w:rFonts w:ascii="Times New Roman" w:hAnsi="Times New Roman" w:cs="Times New Roman"/>
          <w:sz w:val="28"/>
          <w:szCs w:val="28"/>
        </w:rPr>
      </w:pPr>
    </w:p>
    <w:p w14:paraId="72AED20A" w14:textId="76323D13" w:rsidR="008947C1" w:rsidRPr="004135FE" w:rsidRDefault="008947C1" w:rsidP="004135FE">
      <w:pPr>
        <w:autoSpaceDE w:val="0"/>
        <w:autoSpaceDN w:val="0"/>
        <w:adjustRightInd w:val="0"/>
        <w:spacing w:after="0" w:line="240" w:lineRule="auto"/>
        <w:jc w:val="both"/>
        <w:rPr>
          <w:rFonts w:ascii="Times New Roman" w:hAnsi="Times New Roman" w:cs="Times New Roman"/>
          <w:sz w:val="28"/>
          <w:szCs w:val="28"/>
        </w:rPr>
      </w:pPr>
    </w:p>
    <w:p w14:paraId="005E02B5" w14:textId="5DCB95C0" w:rsidR="008947C1" w:rsidRPr="004135FE" w:rsidRDefault="008947C1" w:rsidP="004135FE">
      <w:pPr>
        <w:autoSpaceDE w:val="0"/>
        <w:autoSpaceDN w:val="0"/>
        <w:adjustRightInd w:val="0"/>
        <w:spacing w:after="0" w:line="240" w:lineRule="auto"/>
        <w:jc w:val="both"/>
        <w:rPr>
          <w:rFonts w:ascii="Times New Roman" w:hAnsi="Times New Roman" w:cs="Times New Roman"/>
          <w:sz w:val="28"/>
          <w:szCs w:val="28"/>
        </w:rPr>
      </w:pPr>
    </w:p>
    <w:p w14:paraId="663CDE42" w14:textId="754A787A" w:rsidR="008947C1" w:rsidRPr="004135FE" w:rsidRDefault="008947C1" w:rsidP="004135FE">
      <w:pPr>
        <w:autoSpaceDE w:val="0"/>
        <w:autoSpaceDN w:val="0"/>
        <w:adjustRightInd w:val="0"/>
        <w:spacing w:after="0" w:line="240" w:lineRule="auto"/>
        <w:jc w:val="both"/>
        <w:rPr>
          <w:rFonts w:ascii="Times New Roman" w:hAnsi="Times New Roman" w:cs="Times New Roman"/>
          <w:sz w:val="28"/>
          <w:szCs w:val="28"/>
        </w:rPr>
      </w:pPr>
    </w:p>
    <w:p w14:paraId="44FCC792" w14:textId="05CF9634" w:rsidR="008947C1" w:rsidRPr="004135FE" w:rsidRDefault="008947C1" w:rsidP="004135FE">
      <w:pPr>
        <w:autoSpaceDE w:val="0"/>
        <w:autoSpaceDN w:val="0"/>
        <w:adjustRightInd w:val="0"/>
        <w:spacing w:after="0" w:line="240" w:lineRule="auto"/>
        <w:jc w:val="both"/>
        <w:rPr>
          <w:rFonts w:ascii="Times New Roman" w:hAnsi="Times New Roman" w:cs="Times New Roman"/>
          <w:sz w:val="28"/>
          <w:szCs w:val="28"/>
        </w:rPr>
      </w:pPr>
    </w:p>
    <w:p w14:paraId="07C1F421" w14:textId="15188848" w:rsidR="008947C1" w:rsidRPr="004135FE" w:rsidRDefault="008947C1" w:rsidP="004135FE">
      <w:pPr>
        <w:autoSpaceDE w:val="0"/>
        <w:autoSpaceDN w:val="0"/>
        <w:adjustRightInd w:val="0"/>
        <w:spacing w:after="0" w:line="240" w:lineRule="auto"/>
        <w:jc w:val="both"/>
        <w:rPr>
          <w:rFonts w:ascii="Times New Roman" w:hAnsi="Times New Roman" w:cs="Times New Roman"/>
          <w:sz w:val="28"/>
          <w:szCs w:val="28"/>
        </w:rPr>
      </w:pPr>
    </w:p>
    <w:p w14:paraId="6930F3A4" w14:textId="561F5C29" w:rsidR="008947C1" w:rsidRPr="004135FE" w:rsidRDefault="008947C1" w:rsidP="004135FE">
      <w:pPr>
        <w:autoSpaceDE w:val="0"/>
        <w:autoSpaceDN w:val="0"/>
        <w:adjustRightInd w:val="0"/>
        <w:spacing w:after="0" w:line="240" w:lineRule="auto"/>
        <w:jc w:val="both"/>
        <w:rPr>
          <w:rFonts w:ascii="Times New Roman" w:hAnsi="Times New Roman" w:cs="Times New Roman"/>
          <w:sz w:val="28"/>
          <w:szCs w:val="28"/>
        </w:rPr>
      </w:pPr>
    </w:p>
    <w:p w14:paraId="0C1F7693" w14:textId="3014097E" w:rsidR="008947C1" w:rsidRPr="004135FE" w:rsidRDefault="008947C1" w:rsidP="004135FE">
      <w:pPr>
        <w:autoSpaceDE w:val="0"/>
        <w:autoSpaceDN w:val="0"/>
        <w:adjustRightInd w:val="0"/>
        <w:spacing w:after="0" w:line="240" w:lineRule="auto"/>
        <w:jc w:val="both"/>
        <w:rPr>
          <w:rFonts w:ascii="Times New Roman" w:hAnsi="Times New Roman" w:cs="Times New Roman"/>
          <w:sz w:val="28"/>
          <w:szCs w:val="28"/>
        </w:rPr>
      </w:pPr>
    </w:p>
    <w:p w14:paraId="0BBCF839" w14:textId="0E4C23C3" w:rsidR="008947C1" w:rsidRPr="004135FE" w:rsidRDefault="008947C1" w:rsidP="004135FE">
      <w:pPr>
        <w:autoSpaceDE w:val="0"/>
        <w:autoSpaceDN w:val="0"/>
        <w:adjustRightInd w:val="0"/>
        <w:spacing w:after="0" w:line="240" w:lineRule="auto"/>
        <w:jc w:val="both"/>
        <w:rPr>
          <w:rFonts w:ascii="Times New Roman" w:hAnsi="Times New Roman" w:cs="Times New Roman"/>
          <w:sz w:val="28"/>
          <w:szCs w:val="28"/>
        </w:rPr>
      </w:pPr>
    </w:p>
    <w:p w14:paraId="655070C8" w14:textId="77777777" w:rsidR="008947C1" w:rsidRPr="004135FE" w:rsidRDefault="008947C1" w:rsidP="004135FE">
      <w:pPr>
        <w:autoSpaceDE w:val="0"/>
        <w:autoSpaceDN w:val="0"/>
        <w:adjustRightInd w:val="0"/>
        <w:spacing w:after="0" w:line="240" w:lineRule="auto"/>
        <w:jc w:val="both"/>
        <w:rPr>
          <w:rFonts w:ascii="Times New Roman" w:hAnsi="Times New Roman" w:cs="Times New Roman"/>
          <w:sz w:val="28"/>
          <w:szCs w:val="28"/>
        </w:rPr>
        <w:sectPr w:rsidR="008947C1" w:rsidRPr="004135FE" w:rsidSect="00EC71C2">
          <w:headerReference w:type="default" r:id="rId16"/>
          <w:footerReference w:type="default" r:id="rId17"/>
          <w:type w:val="nextColumn"/>
          <w:pgSz w:w="11906" w:h="16838"/>
          <w:pgMar w:top="1134" w:right="851" w:bottom="1134" w:left="1701" w:header="708" w:footer="708" w:gutter="0"/>
          <w:cols w:space="708"/>
          <w:docGrid w:linePitch="360"/>
        </w:sectPr>
      </w:pPr>
    </w:p>
    <w:p w14:paraId="62318034" w14:textId="3FF54E1D" w:rsidR="001A303A" w:rsidRDefault="00E97D41" w:rsidP="000A12BA">
      <w:pPr>
        <w:autoSpaceDE w:val="0"/>
        <w:autoSpaceDN w:val="0"/>
        <w:adjustRightInd w:val="0"/>
        <w:spacing w:after="0" w:line="240" w:lineRule="auto"/>
        <w:ind w:firstLine="709"/>
        <w:jc w:val="both"/>
        <w:rPr>
          <w:rFonts w:ascii="Times New Roman" w:hAnsi="Times New Roman" w:cs="Times New Roman"/>
          <w:b/>
          <w:sz w:val="28"/>
          <w:szCs w:val="28"/>
        </w:rPr>
      </w:pPr>
      <w:r w:rsidRPr="004135FE">
        <w:rPr>
          <w:rFonts w:ascii="Times New Roman" w:hAnsi="Times New Roman" w:cs="Times New Roman"/>
          <w:b/>
          <w:sz w:val="28"/>
          <w:szCs w:val="28"/>
        </w:rPr>
        <w:lastRenderedPageBreak/>
        <w:t xml:space="preserve">2 </w:t>
      </w:r>
      <w:r w:rsidR="005724AF" w:rsidRPr="004135FE">
        <w:rPr>
          <w:rFonts w:ascii="Times New Roman" w:hAnsi="Times New Roman" w:cs="Times New Roman"/>
          <w:b/>
          <w:sz w:val="28"/>
          <w:szCs w:val="28"/>
        </w:rPr>
        <w:t>МАТЕРИАЛЫ И МЕТОДЫ ИССЛЕДОВАНИЯ</w:t>
      </w:r>
    </w:p>
    <w:p w14:paraId="40C28A66" w14:textId="77777777" w:rsidR="000A12BA" w:rsidRPr="004135FE" w:rsidRDefault="000A12BA" w:rsidP="000A12BA">
      <w:pPr>
        <w:autoSpaceDE w:val="0"/>
        <w:autoSpaceDN w:val="0"/>
        <w:adjustRightInd w:val="0"/>
        <w:spacing w:after="0" w:line="240" w:lineRule="auto"/>
        <w:ind w:firstLine="709"/>
        <w:jc w:val="both"/>
        <w:rPr>
          <w:rFonts w:ascii="Times New Roman" w:hAnsi="Times New Roman" w:cs="Times New Roman"/>
          <w:b/>
          <w:sz w:val="28"/>
          <w:szCs w:val="28"/>
        </w:rPr>
      </w:pPr>
    </w:p>
    <w:p w14:paraId="4B644C44" w14:textId="53AEFDBE" w:rsidR="00B66E1D" w:rsidRPr="004135FE" w:rsidRDefault="00BC7AAF" w:rsidP="000A12BA">
      <w:pPr>
        <w:pStyle w:val="a3"/>
        <w:widowControl w:val="0"/>
        <w:tabs>
          <w:tab w:val="left" w:pos="993"/>
        </w:tabs>
        <w:autoSpaceDE w:val="0"/>
        <w:autoSpaceDN w:val="0"/>
        <w:adjustRightInd w:val="0"/>
        <w:spacing w:after="0" w:line="240" w:lineRule="auto"/>
        <w:ind w:left="0" w:firstLine="709"/>
        <w:jc w:val="both"/>
        <w:rPr>
          <w:rFonts w:ascii="Times New Roman" w:hAnsi="Times New Roman" w:cs="Times New Roman"/>
          <w:b/>
          <w:bCs/>
          <w:sz w:val="28"/>
          <w:szCs w:val="28"/>
        </w:rPr>
      </w:pPr>
      <w:r w:rsidRPr="004135FE">
        <w:rPr>
          <w:rFonts w:ascii="Times New Roman" w:hAnsi="Times New Roman" w:cs="Times New Roman"/>
          <w:b/>
          <w:bCs/>
          <w:sz w:val="28"/>
          <w:szCs w:val="28"/>
        </w:rPr>
        <w:t xml:space="preserve">2.1 </w:t>
      </w:r>
      <w:r w:rsidR="00B66E1D" w:rsidRPr="004135FE">
        <w:rPr>
          <w:rFonts w:ascii="Times New Roman" w:hAnsi="Times New Roman" w:cs="Times New Roman"/>
          <w:b/>
          <w:bCs/>
          <w:sz w:val="28"/>
          <w:szCs w:val="28"/>
        </w:rPr>
        <w:t>Программа, этапы и характеристика материалов исследования</w:t>
      </w:r>
    </w:p>
    <w:p w14:paraId="33117AE2" w14:textId="6C6973F8" w:rsidR="000168B3" w:rsidRPr="004135FE" w:rsidRDefault="000168B3" w:rsidP="00BB5424">
      <w:pPr>
        <w:pStyle w:val="a3"/>
        <w:widowControl w:val="0"/>
        <w:tabs>
          <w:tab w:val="left" w:pos="993"/>
        </w:tabs>
        <w:autoSpaceDE w:val="0"/>
        <w:autoSpaceDN w:val="0"/>
        <w:adjustRightInd w:val="0"/>
        <w:spacing w:after="0" w:line="240" w:lineRule="auto"/>
        <w:ind w:left="0" w:firstLine="709"/>
        <w:jc w:val="both"/>
        <w:rPr>
          <w:rFonts w:ascii="Times New Roman" w:hAnsi="Times New Roman" w:cs="Times New Roman"/>
          <w:bCs/>
          <w:sz w:val="28"/>
          <w:szCs w:val="28"/>
        </w:rPr>
      </w:pPr>
      <w:r w:rsidRPr="004135FE">
        <w:rPr>
          <w:rFonts w:ascii="Times New Roman" w:hAnsi="Times New Roman" w:cs="Times New Roman"/>
          <w:bCs/>
          <w:sz w:val="28"/>
          <w:szCs w:val="28"/>
        </w:rPr>
        <w:t>Для достижения цели и решения задач диссертационной работы составлена план п</w:t>
      </w:r>
      <w:r w:rsidR="00FB6B86" w:rsidRPr="004135FE">
        <w:rPr>
          <w:rFonts w:ascii="Times New Roman" w:hAnsi="Times New Roman" w:cs="Times New Roman"/>
          <w:bCs/>
          <w:sz w:val="28"/>
          <w:szCs w:val="28"/>
        </w:rPr>
        <w:t>рограмма исследования</w:t>
      </w:r>
      <w:r w:rsidR="00B66E1D" w:rsidRPr="004135FE">
        <w:rPr>
          <w:rFonts w:ascii="Times New Roman" w:hAnsi="Times New Roman" w:cs="Times New Roman"/>
          <w:bCs/>
          <w:sz w:val="28"/>
          <w:szCs w:val="28"/>
        </w:rPr>
        <w:t xml:space="preserve">, представленная в таблице </w:t>
      </w:r>
      <w:r w:rsidR="00FB6B86" w:rsidRPr="004135FE">
        <w:rPr>
          <w:rFonts w:ascii="Times New Roman" w:hAnsi="Times New Roman" w:cs="Times New Roman"/>
          <w:bCs/>
          <w:sz w:val="28"/>
          <w:szCs w:val="28"/>
        </w:rPr>
        <w:t>1</w:t>
      </w:r>
      <w:r w:rsidRPr="004135FE">
        <w:rPr>
          <w:rFonts w:ascii="Times New Roman" w:hAnsi="Times New Roman" w:cs="Times New Roman"/>
          <w:bCs/>
          <w:sz w:val="28"/>
          <w:szCs w:val="28"/>
        </w:rPr>
        <w:t>.</w:t>
      </w:r>
    </w:p>
    <w:p w14:paraId="32BB4C04" w14:textId="77777777" w:rsidR="0023497F" w:rsidRPr="004135FE" w:rsidRDefault="0023497F" w:rsidP="004135FE">
      <w:pPr>
        <w:pStyle w:val="a3"/>
        <w:widowControl w:val="0"/>
        <w:tabs>
          <w:tab w:val="left" w:pos="993"/>
        </w:tabs>
        <w:autoSpaceDE w:val="0"/>
        <w:autoSpaceDN w:val="0"/>
        <w:adjustRightInd w:val="0"/>
        <w:spacing w:after="0" w:line="240" w:lineRule="auto"/>
        <w:ind w:left="0"/>
        <w:jc w:val="both"/>
        <w:rPr>
          <w:rFonts w:ascii="Times New Roman" w:hAnsi="Times New Roman" w:cs="Times New Roman"/>
          <w:bCs/>
          <w:sz w:val="28"/>
          <w:szCs w:val="28"/>
        </w:rPr>
      </w:pPr>
    </w:p>
    <w:p w14:paraId="6A62C5E4" w14:textId="556907CC" w:rsidR="00216328" w:rsidRDefault="00216328" w:rsidP="004135FE">
      <w:pPr>
        <w:widowControl w:val="0"/>
        <w:tabs>
          <w:tab w:val="left" w:pos="993"/>
        </w:tabs>
        <w:autoSpaceDE w:val="0"/>
        <w:autoSpaceDN w:val="0"/>
        <w:adjustRightInd w:val="0"/>
        <w:spacing w:after="0" w:line="240" w:lineRule="auto"/>
        <w:contextualSpacing/>
        <w:jc w:val="both"/>
        <w:rPr>
          <w:rFonts w:ascii="Times New Roman" w:hAnsi="Times New Roman" w:cs="Times New Roman"/>
          <w:bCs/>
          <w:sz w:val="28"/>
          <w:szCs w:val="28"/>
        </w:rPr>
      </w:pPr>
      <w:r w:rsidRPr="004135FE">
        <w:rPr>
          <w:rFonts w:ascii="Times New Roman" w:hAnsi="Times New Roman" w:cs="Times New Roman"/>
          <w:bCs/>
          <w:sz w:val="28"/>
          <w:szCs w:val="28"/>
        </w:rPr>
        <w:t>Таблица 1 – План программа исследовательской работы</w:t>
      </w:r>
    </w:p>
    <w:p w14:paraId="395CEF62" w14:textId="77777777" w:rsidR="000A12BA" w:rsidRPr="004135FE" w:rsidRDefault="000A12BA" w:rsidP="004135FE">
      <w:pPr>
        <w:widowControl w:val="0"/>
        <w:tabs>
          <w:tab w:val="left" w:pos="993"/>
        </w:tabs>
        <w:autoSpaceDE w:val="0"/>
        <w:autoSpaceDN w:val="0"/>
        <w:adjustRightInd w:val="0"/>
        <w:spacing w:after="0" w:line="240" w:lineRule="auto"/>
        <w:contextualSpacing/>
        <w:jc w:val="both"/>
        <w:rPr>
          <w:rFonts w:ascii="Times New Roman" w:hAnsi="Times New Roman" w:cs="Times New Roman"/>
          <w:bCs/>
          <w:sz w:val="28"/>
          <w:szCs w:val="28"/>
        </w:rPr>
      </w:pPr>
    </w:p>
    <w:tbl>
      <w:tblPr>
        <w:tblStyle w:val="a5"/>
        <w:tblW w:w="9356" w:type="dxa"/>
        <w:tblInd w:w="-5" w:type="dxa"/>
        <w:tblLook w:val="04A0" w:firstRow="1" w:lastRow="0" w:firstColumn="1" w:lastColumn="0" w:noHBand="0" w:noVBand="1"/>
      </w:tblPr>
      <w:tblGrid>
        <w:gridCol w:w="520"/>
        <w:gridCol w:w="3328"/>
        <w:gridCol w:w="2874"/>
        <w:gridCol w:w="2634"/>
      </w:tblGrid>
      <w:tr w:rsidR="0045015B" w:rsidRPr="004135FE" w14:paraId="04F6A088" w14:textId="77777777" w:rsidTr="000A12BA">
        <w:tc>
          <w:tcPr>
            <w:tcW w:w="520" w:type="dxa"/>
          </w:tcPr>
          <w:p w14:paraId="55663C7F" w14:textId="77777777" w:rsidR="0045015B" w:rsidRPr="004135FE" w:rsidRDefault="0045015B"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w:t>
            </w:r>
          </w:p>
        </w:tc>
        <w:tc>
          <w:tcPr>
            <w:tcW w:w="3328" w:type="dxa"/>
          </w:tcPr>
          <w:p w14:paraId="4E2BA7AE" w14:textId="77777777" w:rsidR="0045015B" w:rsidRPr="004135FE" w:rsidRDefault="0045015B" w:rsidP="000A12BA">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Задачи исследования</w:t>
            </w:r>
          </w:p>
        </w:tc>
        <w:tc>
          <w:tcPr>
            <w:tcW w:w="2874" w:type="dxa"/>
          </w:tcPr>
          <w:p w14:paraId="7BCCAC5A" w14:textId="77777777" w:rsidR="0045015B" w:rsidRPr="004135FE" w:rsidRDefault="0045015B" w:rsidP="000A12BA">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Методы исследования</w:t>
            </w:r>
          </w:p>
        </w:tc>
        <w:tc>
          <w:tcPr>
            <w:tcW w:w="2634" w:type="dxa"/>
          </w:tcPr>
          <w:p w14:paraId="75FCF958" w14:textId="77777777" w:rsidR="0045015B" w:rsidRPr="004135FE" w:rsidRDefault="0045015B" w:rsidP="000A12BA">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Объем исследования</w:t>
            </w:r>
          </w:p>
        </w:tc>
      </w:tr>
      <w:tr w:rsidR="000A12BA" w:rsidRPr="004135FE" w14:paraId="5481BA78" w14:textId="77777777" w:rsidTr="000A12BA">
        <w:tc>
          <w:tcPr>
            <w:tcW w:w="520" w:type="dxa"/>
          </w:tcPr>
          <w:p w14:paraId="208475A1" w14:textId="0FDB7C44" w:rsidR="000A12BA" w:rsidRPr="004135FE" w:rsidRDefault="000A12BA" w:rsidP="00F43B53">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3328" w:type="dxa"/>
          </w:tcPr>
          <w:p w14:paraId="14A16BE5" w14:textId="723AFB0A" w:rsidR="000A12BA" w:rsidRPr="004135FE" w:rsidRDefault="000A12BA" w:rsidP="000A12BA">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2874" w:type="dxa"/>
          </w:tcPr>
          <w:p w14:paraId="0FB4F1D5" w14:textId="5BBDB3A1" w:rsidR="000A12BA" w:rsidRPr="004135FE" w:rsidRDefault="000A12BA" w:rsidP="000A12BA">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634" w:type="dxa"/>
          </w:tcPr>
          <w:p w14:paraId="2BAE305A" w14:textId="17A11137" w:rsidR="000A12BA" w:rsidRPr="004135FE" w:rsidRDefault="000A12BA" w:rsidP="000A12BA">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45015B" w:rsidRPr="004135FE" w14:paraId="675E629D" w14:textId="77777777" w:rsidTr="000A12BA">
        <w:tc>
          <w:tcPr>
            <w:tcW w:w="520" w:type="dxa"/>
          </w:tcPr>
          <w:p w14:paraId="047922C1" w14:textId="77777777" w:rsidR="0045015B" w:rsidRPr="004135FE" w:rsidRDefault="0045015B" w:rsidP="00F43B53">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w:t>
            </w:r>
          </w:p>
        </w:tc>
        <w:tc>
          <w:tcPr>
            <w:tcW w:w="3328" w:type="dxa"/>
          </w:tcPr>
          <w:p w14:paraId="3636F312" w14:textId="08635F67" w:rsidR="0045015B" w:rsidRPr="004135FE" w:rsidRDefault="0045015B"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Изучить и обобщить международный и отечественный опыт </w:t>
            </w:r>
            <w:r w:rsidR="0023497F" w:rsidRPr="004135FE">
              <w:rPr>
                <w:rFonts w:ascii="Times New Roman" w:eastAsia="Times New Roman" w:hAnsi="Times New Roman" w:cs="Times New Roman"/>
                <w:sz w:val="28"/>
                <w:szCs w:val="28"/>
              </w:rPr>
              <w:t xml:space="preserve">оказанию медицинской помощи и межсекторальному сотрудничеству при СД2т </w:t>
            </w:r>
          </w:p>
        </w:tc>
        <w:tc>
          <w:tcPr>
            <w:tcW w:w="2874" w:type="dxa"/>
          </w:tcPr>
          <w:p w14:paraId="7517D2C7" w14:textId="77777777" w:rsidR="0045015B" w:rsidRPr="004135FE" w:rsidRDefault="0045015B"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Информационно-аналитический </w:t>
            </w:r>
          </w:p>
          <w:p w14:paraId="2DFE02F2" w14:textId="77777777" w:rsidR="0045015B" w:rsidRPr="004135FE" w:rsidRDefault="0045015B" w:rsidP="004135FE">
            <w:pPr>
              <w:autoSpaceDE w:val="0"/>
              <w:autoSpaceDN w:val="0"/>
              <w:adjustRightInd w:val="0"/>
              <w:spacing w:after="0" w:line="240" w:lineRule="auto"/>
              <w:jc w:val="both"/>
              <w:rPr>
                <w:rFonts w:ascii="Times New Roman" w:hAnsi="Times New Roman" w:cs="Times New Roman"/>
                <w:sz w:val="28"/>
                <w:szCs w:val="28"/>
              </w:rPr>
            </w:pPr>
          </w:p>
        </w:tc>
        <w:tc>
          <w:tcPr>
            <w:tcW w:w="2634" w:type="dxa"/>
          </w:tcPr>
          <w:p w14:paraId="04C3D210" w14:textId="72732634" w:rsidR="0045015B" w:rsidRPr="004135FE" w:rsidRDefault="00D43EEB"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20</w:t>
            </w:r>
            <w:r w:rsidR="00BA4E93" w:rsidRPr="004135FE">
              <w:rPr>
                <w:rFonts w:ascii="Times New Roman" w:hAnsi="Times New Roman" w:cs="Times New Roman"/>
                <w:sz w:val="28"/>
                <w:szCs w:val="28"/>
              </w:rPr>
              <w:t>0</w:t>
            </w:r>
            <w:r w:rsidR="0045015B" w:rsidRPr="004135FE">
              <w:rPr>
                <w:rFonts w:ascii="Times New Roman" w:hAnsi="Times New Roman" w:cs="Times New Roman"/>
                <w:sz w:val="28"/>
                <w:szCs w:val="28"/>
              </w:rPr>
              <w:t xml:space="preserve"> источников литературы </w:t>
            </w:r>
            <w:r w:rsidRPr="004135FE">
              <w:rPr>
                <w:rFonts w:ascii="Times New Roman" w:hAnsi="Times New Roman" w:cs="Times New Roman"/>
                <w:sz w:val="28"/>
                <w:szCs w:val="28"/>
              </w:rPr>
              <w:t>(62 отечественных и 1</w:t>
            </w:r>
            <w:r w:rsidR="00BA4E93" w:rsidRPr="004135FE">
              <w:rPr>
                <w:rFonts w:ascii="Times New Roman" w:hAnsi="Times New Roman" w:cs="Times New Roman"/>
                <w:sz w:val="28"/>
                <w:szCs w:val="28"/>
              </w:rPr>
              <w:t>3</w:t>
            </w:r>
            <w:r w:rsidRPr="004135FE">
              <w:rPr>
                <w:rFonts w:ascii="Times New Roman" w:hAnsi="Times New Roman" w:cs="Times New Roman"/>
                <w:sz w:val="28"/>
                <w:szCs w:val="28"/>
              </w:rPr>
              <w:t>8</w:t>
            </w:r>
            <w:r w:rsidR="0045015B" w:rsidRPr="004135FE">
              <w:rPr>
                <w:rFonts w:ascii="Times New Roman" w:hAnsi="Times New Roman" w:cs="Times New Roman"/>
                <w:sz w:val="28"/>
                <w:szCs w:val="28"/>
              </w:rPr>
              <w:t xml:space="preserve"> зарубежных)</w:t>
            </w:r>
          </w:p>
        </w:tc>
      </w:tr>
      <w:tr w:rsidR="0045015B" w:rsidRPr="004135FE" w14:paraId="50C5142B" w14:textId="77777777" w:rsidTr="000A12BA">
        <w:tc>
          <w:tcPr>
            <w:tcW w:w="520" w:type="dxa"/>
          </w:tcPr>
          <w:p w14:paraId="2AFA00B8" w14:textId="77777777" w:rsidR="0045015B" w:rsidRPr="004135FE" w:rsidRDefault="0045015B" w:rsidP="00F43B53">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w:t>
            </w:r>
          </w:p>
          <w:p w14:paraId="53FA6AF5" w14:textId="77777777" w:rsidR="0045015B" w:rsidRPr="004135FE" w:rsidRDefault="0045015B" w:rsidP="00F43B53">
            <w:pPr>
              <w:autoSpaceDE w:val="0"/>
              <w:autoSpaceDN w:val="0"/>
              <w:adjustRightInd w:val="0"/>
              <w:spacing w:after="0" w:line="240" w:lineRule="auto"/>
              <w:jc w:val="center"/>
              <w:rPr>
                <w:rFonts w:ascii="Times New Roman" w:hAnsi="Times New Roman" w:cs="Times New Roman"/>
                <w:sz w:val="28"/>
                <w:szCs w:val="28"/>
              </w:rPr>
            </w:pPr>
          </w:p>
        </w:tc>
        <w:tc>
          <w:tcPr>
            <w:tcW w:w="3328" w:type="dxa"/>
          </w:tcPr>
          <w:p w14:paraId="48E62A38" w14:textId="6E64AFE5" w:rsidR="0045015B" w:rsidRPr="004135FE" w:rsidRDefault="0023497F"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Провести анализ заболеваемости пациентов с СД2т в г. Алматы в динамике за последние 10 лет (2012-2021 гг.)</w:t>
            </w:r>
          </w:p>
        </w:tc>
        <w:tc>
          <w:tcPr>
            <w:tcW w:w="2874" w:type="dxa"/>
          </w:tcPr>
          <w:p w14:paraId="40EE91CB" w14:textId="77777777" w:rsidR="0045015B" w:rsidRPr="004135FE" w:rsidRDefault="0045015B"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bCs/>
                <w:sz w:val="28"/>
                <w:szCs w:val="28"/>
              </w:rPr>
              <w:t xml:space="preserve">Эпидемиологический, </w:t>
            </w:r>
            <w:r w:rsidRPr="004135FE">
              <w:rPr>
                <w:rFonts w:ascii="Times New Roman" w:hAnsi="Times New Roman" w:cs="Times New Roman"/>
                <w:sz w:val="28"/>
                <w:szCs w:val="28"/>
              </w:rPr>
              <w:t xml:space="preserve">Информационно-аналитический, </w:t>
            </w:r>
          </w:p>
          <w:p w14:paraId="1B5BDE5B" w14:textId="77777777" w:rsidR="0045015B" w:rsidRPr="004135FE" w:rsidRDefault="0045015B" w:rsidP="004135FE">
            <w:pPr>
              <w:widowControl w:val="0"/>
              <w:tabs>
                <w:tab w:val="left" w:pos="993"/>
              </w:tabs>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статистический</w:t>
            </w:r>
          </w:p>
        </w:tc>
        <w:tc>
          <w:tcPr>
            <w:tcW w:w="2634" w:type="dxa"/>
          </w:tcPr>
          <w:p w14:paraId="2E6E1915" w14:textId="1EC75F34" w:rsidR="0045015B" w:rsidRPr="004135FE" w:rsidRDefault="0045015B"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Первичная заболеваемость, распространенность СД</w:t>
            </w:r>
            <w:r w:rsidR="00F42414" w:rsidRPr="004135FE">
              <w:rPr>
                <w:rFonts w:ascii="Times New Roman" w:hAnsi="Times New Roman" w:cs="Times New Roman"/>
                <w:sz w:val="28"/>
                <w:szCs w:val="28"/>
              </w:rPr>
              <w:t>2т</w:t>
            </w:r>
            <w:r w:rsidRPr="004135FE">
              <w:rPr>
                <w:rFonts w:ascii="Times New Roman" w:hAnsi="Times New Roman" w:cs="Times New Roman"/>
                <w:sz w:val="28"/>
                <w:szCs w:val="28"/>
              </w:rPr>
              <w:t xml:space="preserve"> по полу и возрасту, прогнозные показатели </w:t>
            </w:r>
          </w:p>
        </w:tc>
      </w:tr>
      <w:tr w:rsidR="0045015B" w:rsidRPr="004135FE" w14:paraId="05B8875A" w14:textId="77777777" w:rsidTr="002A6229">
        <w:tc>
          <w:tcPr>
            <w:tcW w:w="520" w:type="dxa"/>
            <w:tcBorders>
              <w:bottom w:val="single" w:sz="4" w:space="0" w:color="auto"/>
            </w:tcBorders>
          </w:tcPr>
          <w:p w14:paraId="33A391C9" w14:textId="77777777" w:rsidR="0045015B" w:rsidRPr="004135FE" w:rsidRDefault="0045015B" w:rsidP="00F43B53">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3</w:t>
            </w:r>
          </w:p>
        </w:tc>
        <w:tc>
          <w:tcPr>
            <w:tcW w:w="3328" w:type="dxa"/>
            <w:tcBorders>
              <w:bottom w:val="single" w:sz="4" w:space="0" w:color="auto"/>
            </w:tcBorders>
          </w:tcPr>
          <w:p w14:paraId="251C8F88" w14:textId="77777777" w:rsidR="0045015B" w:rsidRPr="004135FE" w:rsidRDefault="0045015B"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Провести анализ доступности и прогноз обеспечения лекарственными средствами больных с сахарным диабетом </w:t>
            </w:r>
          </w:p>
        </w:tc>
        <w:tc>
          <w:tcPr>
            <w:tcW w:w="2874" w:type="dxa"/>
            <w:tcBorders>
              <w:bottom w:val="single" w:sz="4" w:space="0" w:color="auto"/>
            </w:tcBorders>
          </w:tcPr>
          <w:p w14:paraId="53BB2122" w14:textId="77777777" w:rsidR="0045015B" w:rsidRPr="004135FE" w:rsidRDefault="0045015B"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Информационно-аналитический, </w:t>
            </w:r>
          </w:p>
          <w:p w14:paraId="4CF2EF31" w14:textId="77777777" w:rsidR="0045015B" w:rsidRPr="004135FE" w:rsidRDefault="0045015B"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статистический</w:t>
            </w:r>
          </w:p>
        </w:tc>
        <w:tc>
          <w:tcPr>
            <w:tcW w:w="2634" w:type="dxa"/>
            <w:tcBorders>
              <w:bottom w:val="single" w:sz="4" w:space="0" w:color="auto"/>
            </w:tcBorders>
          </w:tcPr>
          <w:p w14:paraId="1ECEFC7A" w14:textId="77777777" w:rsidR="0045015B" w:rsidRPr="004135FE" w:rsidRDefault="0045015B"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Лекарственное обеспечение больных с сахарным диабетом, прогнозные показатели</w:t>
            </w:r>
          </w:p>
        </w:tc>
      </w:tr>
      <w:tr w:rsidR="0045015B" w:rsidRPr="004135FE" w14:paraId="63AD8A3D" w14:textId="77777777" w:rsidTr="002A6229">
        <w:tc>
          <w:tcPr>
            <w:tcW w:w="520" w:type="dxa"/>
            <w:tcBorders>
              <w:bottom w:val="nil"/>
            </w:tcBorders>
          </w:tcPr>
          <w:p w14:paraId="132D2F8F" w14:textId="77777777" w:rsidR="0045015B" w:rsidRPr="004135FE" w:rsidRDefault="0045015B" w:rsidP="00F43B53">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4</w:t>
            </w:r>
          </w:p>
        </w:tc>
        <w:tc>
          <w:tcPr>
            <w:tcW w:w="3328" w:type="dxa"/>
            <w:tcBorders>
              <w:bottom w:val="nil"/>
            </w:tcBorders>
          </w:tcPr>
          <w:p w14:paraId="47864CB4" w14:textId="5368D0F6" w:rsidR="0045015B" w:rsidRPr="004135FE" w:rsidRDefault="0045015B"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 xml:space="preserve">Провести социологический опрос среди пациентов и врачей эндокринологов </w:t>
            </w:r>
            <w:r w:rsidR="00F91BE1" w:rsidRPr="004135FE">
              <w:rPr>
                <w:rFonts w:ascii="Times New Roman" w:hAnsi="Times New Roman" w:cs="Times New Roman"/>
                <w:sz w:val="28"/>
                <w:szCs w:val="28"/>
              </w:rPr>
              <w:t>для определения</w:t>
            </w:r>
            <w:r w:rsidR="0023497F" w:rsidRPr="004135FE">
              <w:rPr>
                <w:rFonts w:ascii="Times New Roman" w:hAnsi="Times New Roman" w:cs="Times New Roman"/>
                <w:sz w:val="28"/>
                <w:szCs w:val="28"/>
                <w:lang w:val="kk-KZ"/>
              </w:rPr>
              <w:t xml:space="preserve"> их потребностей </w:t>
            </w:r>
            <w:r w:rsidR="001B49E2" w:rsidRPr="004135FE">
              <w:rPr>
                <w:rFonts w:ascii="Times New Roman" w:hAnsi="Times New Roman" w:cs="Times New Roman"/>
                <w:sz w:val="28"/>
                <w:szCs w:val="28"/>
                <w:lang w:val="kk-KZ"/>
              </w:rPr>
              <w:t>к</w:t>
            </w:r>
            <w:r w:rsidR="001B49E2" w:rsidRPr="004135FE">
              <w:rPr>
                <w:rFonts w:ascii="Times New Roman" w:eastAsia="Times New Roman" w:hAnsi="Times New Roman" w:cs="Times New Roman"/>
                <w:sz w:val="28"/>
                <w:szCs w:val="28"/>
                <w:lang w:val="kk-KZ"/>
              </w:rPr>
              <w:t xml:space="preserve"> совершенствованию оказания медицинской помощи и </w:t>
            </w:r>
            <w:r w:rsidR="001B49E2" w:rsidRPr="004135FE">
              <w:rPr>
                <w:rFonts w:ascii="Times New Roman" w:eastAsia="Times New Roman" w:hAnsi="Times New Roman" w:cs="Times New Roman"/>
                <w:sz w:val="28"/>
                <w:szCs w:val="28"/>
              </w:rPr>
              <w:t>межсекторального сотрудничества при СД2т</w:t>
            </w:r>
          </w:p>
        </w:tc>
        <w:tc>
          <w:tcPr>
            <w:tcW w:w="2874" w:type="dxa"/>
            <w:tcBorders>
              <w:bottom w:val="nil"/>
            </w:tcBorders>
          </w:tcPr>
          <w:p w14:paraId="0639615F" w14:textId="77777777" w:rsidR="0045015B" w:rsidRPr="004135FE" w:rsidRDefault="0045015B" w:rsidP="004135FE">
            <w:pPr>
              <w:widowControl w:val="0"/>
              <w:tabs>
                <w:tab w:val="left" w:pos="993"/>
              </w:tabs>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bCs/>
                <w:sz w:val="28"/>
                <w:szCs w:val="28"/>
              </w:rPr>
              <w:t>Социологически-статистический</w:t>
            </w:r>
          </w:p>
        </w:tc>
        <w:tc>
          <w:tcPr>
            <w:tcW w:w="2634" w:type="dxa"/>
            <w:tcBorders>
              <w:bottom w:val="nil"/>
            </w:tcBorders>
          </w:tcPr>
          <w:p w14:paraId="62593407" w14:textId="77777777" w:rsidR="0045015B" w:rsidRPr="004135FE" w:rsidRDefault="0045015B" w:rsidP="004135FE">
            <w:pPr>
              <w:widowControl w:val="0"/>
              <w:tabs>
                <w:tab w:val="left" w:pos="993"/>
              </w:tabs>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Пациенты с СД2т- 480, врачи эндокринологи- 35</w:t>
            </w:r>
          </w:p>
          <w:p w14:paraId="132DEB6E" w14:textId="4FE7BC71" w:rsidR="0045015B" w:rsidRPr="004135FE" w:rsidRDefault="0045015B"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Утвержден протоколом № </w:t>
            </w:r>
            <w:r w:rsidRPr="004135FE">
              <w:rPr>
                <w:rFonts w:ascii="Times New Roman" w:hAnsi="Times New Roman" w:cs="Times New Roman"/>
                <w:sz w:val="28"/>
                <w:szCs w:val="28"/>
                <w:lang w:val="en-US"/>
              </w:rPr>
              <w:t>IRB</w:t>
            </w:r>
            <w:r w:rsidRPr="004135FE">
              <w:rPr>
                <w:rFonts w:ascii="Times New Roman" w:hAnsi="Times New Roman" w:cs="Times New Roman"/>
                <w:sz w:val="28"/>
                <w:szCs w:val="28"/>
              </w:rPr>
              <w:t>-</w:t>
            </w:r>
            <w:r w:rsidRPr="004135FE">
              <w:rPr>
                <w:rFonts w:ascii="Times New Roman" w:hAnsi="Times New Roman" w:cs="Times New Roman"/>
                <w:sz w:val="28"/>
                <w:szCs w:val="28"/>
                <w:lang w:val="en-US"/>
              </w:rPr>
              <w:t>A</w:t>
            </w:r>
            <w:r w:rsidR="00A111C3">
              <w:rPr>
                <w:rFonts w:ascii="Times New Roman" w:hAnsi="Times New Roman" w:cs="Times New Roman"/>
                <w:sz w:val="28"/>
                <w:szCs w:val="28"/>
              </w:rPr>
              <w:t>276</w:t>
            </w:r>
            <w:r w:rsidRPr="004135FE">
              <w:rPr>
                <w:rFonts w:ascii="Times New Roman" w:hAnsi="Times New Roman" w:cs="Times New Roman"/>
                <w:sz w:val="28"/>
                <w:szCs w:val="28"/>
              </w:rPr>
              <w:t xml:space="preserve"> ЛЭК КМУ «ВШОЗ"</w:t>
            </w:r>
          </w:p>
        </w:tc>
      </w:tr>
    </w:tbl>
    <w:p w14:paraId="3D584703" w14:textId="7EA911B5" w:rsidR="000A12BA" w:rsidRDefault="000A12BA"/>
    <w:p w14:paraId="0671409B" w14:textId="77777777" w:rsidR="000A12BA" w:rsidRDefault="000A12BA">
      <w:pPr>
        <w:rPr>
          <w:rFonts w:ascii="Times New Roman" w:hAnsi="Times New Roman" w:cs="Times New Roman"/>
          <w:sz w:val="28"/>
          <w:szCs w:val="28"/>
        </w:rPr>
      </w:pPr>
    </w:p>
    <w:p w14:paraId="371941DE" w14:textId="5B1D19BD" w:rsidR="000A12BA" w:rsidRPr="000A12BA" w:rsidRDefault="000A12BA">
      <w:pPr>
        <w:rPr>
          <w:rFonts w:ascii="Times New Roman" w:hAnsi="Times New Roman" w:cs="Times New Roman"/>
          <w:sz w:val="28"/>
          <w:szCs w:val="28"/>
        </w:rPr>
      </w:pPr>
      <w:r w:rsidRPr="000A12BA">
        <w:rPr>
          <w:rFonts w:ascii="Times New Roman" w:hAnsi="Times New Roman" w:cs="Times New Roman"/>
          <w:sz w:val="28"/>
          <w:szCs w:val="28"/>
        </w:rPr>
        <w:lastRenderedPageBreak/>
        <w:t xml:space="preserve">Продолжение таблицы 1 </w:t>
      </w:r>
    </w:p>
    <w:tbl>
      <w:tblPr>
        <w:tblStyle w:val="a5"/>
        <w:tblW w:w="9356" w:type="dxa"/>
        <w:tblInd w:w="-5" w:type="dxa"/>
        <w:tblLook w:val="04A0" w:firstRow="1" w:lastRow="0" w:firstColumn="1" w:lastColumn="0" w:noHBand="0" w:noVBand="1"/>
      </w:tblPr>
      <w:tblGrid>
        <w:gridCol w:w="520"/>
        <w:gridCol w:w="3328"/>
        <w:gridCol w:w="2874"/>
        <w:gridCol w:w="2634"/>
      </w:tblGrid>
      <w:tr w:rsidR="000A12BA" w:rsidRPr="004135FE" w14:paraId="44272F7B" w14:textId="77777777" w:rsidTr="000A12BA">
        <w:tc>
          <w:tcPr>
            <w:tcW w:w="520" w:type="dxa"/>
          </w:tcPr>
          <w:p w14:paraId="2A2B47F0" w14:textId="2E5547BE" w:rsidR="000A12BA" w:rsidRPr="004135FE" w:rsidRDefault="000A12BA" w:rsidP="000A12BA">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3328" w:type="dxa"/>
          </w:tcPr>
          <w:p w14:paraId="59738A31" w14:textId="18AE177F" w:rsidR="000A12BA" w:rsidRPr="004135FE" w:rsidRDefault="000A12BA" w:rsidP="000A12B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2874" w:type="dxa"/>
          </w:tcPr>
          <w:p w14:paraId="408968FF" w14:textId="69C823F3" w:rsidR="000A12BA" w:rsidRPr="004135FE" w:rsidRDefault="000A12BA" w:rsidP="000A12BA">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634" w:type="dxa"/>
          </w:tcPr>
          <w:p w14:paraId="728DC764" w14:textId="3E17FFB0" w:rsidR="000A12BA" w:rsidRPr="004135FE" w:rsidRDefault="000A12BA" w:rsidP="000A12BA">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45015B" w:rsidRPr="004135FE" w14:paraId="3F26E889" w14:textId="77777777" w:rsidTr="000A12BA">
        <w:tc>
          <w:tcPr>
            <w:tcW w:w="520" w:type="dxa"/>
          </w:tcPr>
          <w:p w14:paraId="139D379B" w14:textId="77777777" w:rsidR="0045015B" w:rsidRPr="004135FE" w:rsidRDefault="0045015B" w:rsidP="00F43B53">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5</w:t>
            </w:r>
          </w:p>
        </w:tc>
        <w:tc>
          <w:tcPr>
            <w:tcW w:w="3328" w:type="dxa"/>
          </w:tcPr>
          <w:p w14:paraId="116AE8F0" w14:textId="00BEA714" w:rsidR="0045015B" w:rsidRPr="004135FE" w:rsidRDefault="0045015B"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Дать оценку действующих программ, нормативных документов, модели </w:t>
            </w:r>
            <w:r w:rsidR="001B49E2" w:rsidRPr="004135FE">
              <w:rPr>
                <w:rFonts w:ascii="Times New Roman" w:hAnsi="Times New Roman" w:cs="Times New Roman"/>
                <w:sz w:val="28"/>
                <w:szCs w:val="28"/>
              </w:rPr>
              <w:t xml:space="preserve">по </w:t>
            </w:r>
            <w:r w:rsidRPr="004135FE">
              <w:rPr>
                <w:rFonts w:ascii="Times New Roman" w:hAnsi="Times New Roman" w:cs="Times New Roman"/>
                <w:sz w:val="28"/>
                <w:szCs w:val="28"/>
              </w:rPr>
              <w:t>оказани</w:t>
            </w:r>
            <w:r w:rsidR="001B49E2" w:rsidRPr="004135FE">
              <w:rPr>
                <w:rFonts w:ascii="Times New Roman" w:hAnsi="Times New Roman" w:cs="Times New Roman"/>
                <w:sz w:val="28"/>
                <w:szCs w:val="28"/>
              </w:rPr>
              <w:t>ю</w:t>
            </w:r>
            <w:r w:rsidRPr="004135FE">
              <w:rPr>
                <w:rFonts w:ascii="Times New Roman" w:hAnsi="Times New Roman" w:cs="Times New Roman"/>
                <w:sz w:val="28"/>
                <w:szCs w:val="28"/>
              </w:rPr>
              <w:t xml:space="preserve"> медицинской помощи </w:t>
            </w:r>
            <w:r w:rsidR="001B49E2" w:rsidRPr="004135FE">
              <w:rPr>
                <w:rFonts w:ascii="Times New Roman" w:eastAsia="Times New Roman" w:hAnsi="Times New Roman" w:cs="Times New Roman"/>
                <w:sz w:val="28"/>
                <w:szCs w:val="28"/>
              </w:rPr>
              <w:t>и межсекторальному сотрудничеству при СД2т</w:t>
            </w:r>
          </w:p>
        </w:tc>
        <w:tc>
          <w:tcPr>
            <w:tcW w:w="2874" w:type="dxa"/>
          </w:tcPr>
          <w:p w14:paraId="4D76F86F" w14:textId="77777777" w:rsidR="0045015B" w:rsidRPr="004135FE" w:rsidRDefault="0045015B"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Аналитический,</w:t>
            </w:r>
          </w:p>
          <w:p w14:paraId="68258B78" w14:textId="77777777" w:rsidR="0045015B" w:rsidRPr="004135FE" w:rsidRDefault="0045015B"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Метод экспертных оценок</w:t>
            </w:r>
          </w:p>
        </w:tc>
        <w:tc>
          <w:tcPr>
            <w:tcW w:w="2634" w:type="dxa"/>
          </w:tcPr>
          <w:p w14:paraId="03646FEF" w14:textId="6BA4B059" w:rsidR="0045015B" w:rsidRPr="004135FE" w:rsidRDefault="00A83863" w:rsidP="004135FE">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40</w:t>
            </w:r>
            <w:r w:rsidR="0045015B" w:rsidRPr="004135FE">
              <w:rPr>
                <w:rFonts w:ascii="Times New Roman" w:hAnsi="Times New Roman" w:cs="Times New Roman"/>
                <w:sz w:val="28"/>
                <w:szCs w:val="28"/>
              </w:rPr>
              <w:t>-нормативно-законодательных документов (приказы МЗ РК</w:t>
            </w:r>
            <w:r w:rsidR="00DB7CB8" w:rsidRPr="004135FE">
              <w:rPr>
                <w:rFonts w:ascii="Times New Roman" w:hAnsi="Times New Roman" w:cs="Times New Roman"/>
                <w:sz w:val="28"/>
                <w:szCs w:val="28"/>
              </w:rPr>
              <w:t>)</w:t>
            </w:r>
            <w:r w:rsidR="0045015B" w:rsidRPr="004135FE">
              <w:rPr>
                <w:rFonts w:ascii="Times New Roman" w:hAnsi="Times New Roman" w:cs="Times New Roman"/>
                <w:sz w:val="28"/>
                <w:szCs w:val="28"/>
              </w:rPr>
              <w:t>,</w:t>
            </w:r>
            <w:r w:rsidR="00522084" w:rsidRPr="004135FE">
              <w:rPr>
                <w:rFonts w:ascii="Times New Roman" w:hAnsi="Times New Roman" w:cs="Times New Roman"/>
                <w:sz w:val="28"/>
                <w:szCs w:val="28"/>
              </w:rPr>
              <w:t xml:space="preserve"> </w:t>
            </w:r>
            <w:r w:rsidR="0045015B" w:rsidRPr="004135FE">
              <w:rPr>
                <w:rFonts w:ascii="Times New Roman" w:hAnsi="Times New Roman" w:cs="Times New Roman"/>
                <w:sz w:val="28"/>
                <w:szCs w:val="28"/>
              </w:rPr>
              <w:t>клинический протокол лечения СД2т и предиабета</w:t>
            </w:r>
          </w:p>
        </w:tc>
      </w:tr>
      <w:tr w:rsidR="0045015B" w:rsidRPr="004135FE" w14:paraId="3135222A" w14:textId="77777777" w:rsidTr="000A12BA">
        <w:tc>
          <w:tcPr>
            <w:tcW w:w="520" w:type="dxa"/>
          </w:tcPr>
          <w:p w14:paraId="52B398E6" w14:textId="77777777" w:rsidR="0045015B" w:rsidRPr="004135FE" w:rsidRDefault="0045015B" w:rsidP="00F43B53">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6</w:t>
            </w:r>
          </w:p>
        </w:tc>
        <w:tc>
          <w:tcPr>
            <w:tcW w:w="3328" w:type="dxa"/>
          </w:tcPr>
          <w:p w14:paraId="712AA6BD" w14:textId="03919FD1" w:rsidR="0045015B" w:rsidRPr="004135FE" w:rsidRDefault="0045015B"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Разработать и внедрить научно</w:t>
            </w:r>
            <w:r w:rsidR="00CC6B82" w:rsidRPr="004135FE">
              <w:rPr>
                <w:rFonts w:ascii="Times New Roman" w:hAnsi="Times New Roman" w:cs="Times New Roman"/>
                <w:sz w:val="28"/>
                <w:szCs w:val="28"/>
              </w:rPr>
              <w:t>-</w:t>
            </w:r>
            <w:r w:rsidR="003F3C59" w:rsidRPr="004135FE">
              <w:rPr>
                <w:rFonts w:ascii="Times New Roman" w:hAnsi="Times New Roman" w:cs="Times New Roman"/>
                <w:sz w:val="28"/>
                <w:szCs w:val="28"/>
              </w:rPr>
              <w:t xml:space="preserve">обоснованные предложения </w:t>
            </w:r>
            <w:r w:rsidR="0023497F" w:rsidRPr="004135FE">
              <w:rPr>
                <w:rFonts w:ascii="Times New Roman" w:eastAsia="Times New Roman" w:hAnsi="Times New Roman" w:cs="Times New Roman"/>
                <w:sz w:val="28"/>
                <w:szCs w:val="28"/>
              </w:rPr>
              <w:t>к совершенствованию оказания медицинской помощи</w:t>
            </w:r>
            <w:r w:rsidR="0023497F" w:rsidRPr="004135FE">
              <w:rPr>
                <w:rFonts w:ascii="Times New Roman" w:eastAsia="Times New Roman" w:hAnsi="Times New Roman" w:cs="Times New Roman"/>
                <w:b/>
                <w:bCs/>
                <w:sz w:val="28"/>
                <w:szCs w:val="28"/>
              </w:rPr>
              <w:t xml:space="preserve"> </w:t>
            </w:r>
            <w:r w:rsidR="0023497F" w:rsidRPr="004135FE">
              <w:rPr>
                <w:rFonts w:ascii="Times New Roman" w:eastAsia="Times New Roman" w:hAnsi="Times New Roman" w:cs="Times New Roman"/>
                <w:sz w:val="28"/>
                <w:szCs w:val="28"/>
              </w:rPr>
              <w:t>и межсекторального сотрудничества при СД2т</w:t>
            </w:r>
            <w:r w:rsidR="003F3C59" w:rsidRPr="004135FE">
              <w:rPr>
                <w:rFonts w:ascii="Times New Roman" w:hAnsi="Times New Roman" w:cs="Times New Roman"/>
                <w:b/>
                <w:sz w:val="28"/>
                <w:szCs w:val="28"/>
              </w:rPr>
              <w:t xml:space="preserve"> </w:t>
            </w:r>
          </w:p>
        </w:tc>
        <w:tc>
          <w:tcPr>
            <w:tcW w:w="2874" w:type="dxa"/>
          </w:tcPr>
          <w:p w14:paraId="572D124E" w14:textId="77777777" w:rsidR="003A7010" w:rsidRPr="004135FE" w:rsidRDefault="003A7010"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Аналитический,</w:t>
            </w:r>
          </w:p>
          <w:p w14:paraId="0C4B8E6F" w14:textId="23A6FD8A" w:rsidR="0045015B" w:rsidRPr="004135FE" w:rsidRDefault="00607AF5" w:rsidP="004135FE">
            <w:pPr>
              <w:widowControl w:val="0"/>
              <w:tabs>
                <w:tab w:val="left" w:pos="993"/>
              </w:tabs>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Метод  о</w:t>
            </w:r>
            <w:r w:rsidR="003A7010" w:rsidRPr="004135FE">
              <w:rPr>
                <w:rFonts w:ascii="Times New Roman" w:hAnsi="Times New Roman" w:cs="Times New Roman"/>
                <w:sz w:val="28"/>
                <w:szCs w:val="28"/>
              </w:rPr>
              <w:t>рганизационно- функционального моделирования</w:t>
            </w:r>
          </w:p>
        </w:tc>
        <w:tc>
          <w:tcPr>
            <w:tcW w:w="2634" w:type="dxa"/>
          </w:tcPr>
          <w:p w14:paraId="49A3EFD9" w14:textId="77777777" w:rsidR="0045015B" w:rsidRPr="004135FE" w:rsidRDefault="0045015B"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Результаты исследования предыдущих задач</w:t>
            </w:r>
          </w:p>
        </w:tc>
      </w:tr>
    </w:tbl>
    <w:p w14:paraId="033718C3" w14:textId="77777777" w:rsidR="000A12BA" w:rsidRDefault="000A12BA" w:rsidP="004135FE">
      <w:pPr>
        <w:spacing w:after="0" w:line="240" w:lineRule="auto"/>
        <w:jc w:val="both"/>
        <w:rPr>
          <w:rFonts w:ascii="Times New Roman" w:hAnsi="Times New Roman" w:cs="Times New Roman"/>
          <w:sz w:val="28"/>
          <w:szCs w:val="28"/>
        </w:rPr>
      </w:pPr>
    </w:p>
    <w:p w14:paraId="26F18DB2" w14:textId="1E491E28" w:rsidR="00313A0A" w:rsidRPr="004135FE" w:rsidRDefault="00313A0A" w:rsidP="000A12BA">
      <w:pPr>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hAnsi="Times New Roman" w:cs="Times New Roman"/>
          <w:sz w:val="28"/>
          <w:szCs w:val="28"/>
        </w:rPr>
        <w:t xml:space="preserve">Исследование было одобрено протоколом № </w:t>
      </w:r>
      <w:r w:rsidRPr="004135FE">
        <w:rPr>
          <w:rFonts w:ascii="Times New Roman" w:hAnsi="Times New Roman" w:cs="Times New Roman"/>
          <w:sz w:val="28"/>
          <w:szCs w:val="28"/>
          <w:lang w:val="en-US"/>
        </w:rPr>
        <w:t>IRB</w:t>
      </w:r>
      <w:r w:rsidRPr="004135FE">
        <w:rPr>
          <w:rFonts w:ascii="Times New Roman" w:hAnsi="Times New Roman" w:cs="Times New Roman"/>
          <w:sz w:val="28"/>
          <w:szCs w:val="28"/>
        </w:rPr>
        <w:t>-</w:t>
      </w:r>
      <w:r w:rsidRPr="004135FE">
        <w:rPr>
          <w:rFonts w:ascii="Times New Roman" w:hAnsi="Times New Roman" w:cs="Times New Roman"/>
          <w:sz w:val="28"/>
          <w:szCs w:val="28"/>
          <w:lang w:val="en-US"/>
        </w:rPr>
        <w:t>A</w:t>
      </w:r>
      <w:r w:rsidR="00A111C3">
        <w:rPr>
          <w:rFonts w:ascii="Times New Roman" w:hAnsi="Times New Roman" w:cs="Times New Roman"/>
          <w:sz w:val="28"/>
          <w:szCs w:val="28"/>
        </w:rPr>
        <w:t>276</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kk-KZ"/>
        </w:rPr>
        <w:t xml:space="preserve">Локальной комиссией по вопросам этики </w:t>
      </w:r>
      <w:r w:rsidRPr="004135FE">
        <w:rPr>
          <w:rFonts w:ascii="Times New Roman" w:eastAsiaTheme="minorHAnsi" w:hAnsi="Times New Roman" w:cs="Times New Roman"/>
          <w:sz w:val="28"/>
          <w:szCs w:val="28"/>
          <w:lang w:eastAsia="en-US"/>
        </w:rPr>
        <w:t>в Казахстанском Медицинском Университете «ВШОЗ» в г.</w:t>
      </w:r>
      <w:r w:rsidR="00F43B53">
        <w:rPr>
          <w:rFonts w:ascii="Times New Roman" w:eastAsiaTheme="minorHAnsi" w:hAnsi="Times New Roman" w:cs="Times New Roman"/>
          <w:sz w:val="28"/>
          <w:szCs w:val="28"/>
          <w:lang w:eastAsia="en-US"/>
        </w:rPr>
        <w:t xml:space="preserve"> </w:t>
      </w:r>
      <w:r w:rsidRPr="004135FE">
        <w:rPr>
          <w:rFonts w:ascii="Times New Roman" w:eastAsiaTheme="minorHAnsi" w:hAnsi="Times New Roman" w:cs="Times New Roman"/>
          <w:sz w:val="28"/>
          <w:szCs w:val="28"/>
          <w:lang w:eastAsia="en-US"/>
        </w:rPr>
        <w:t>Алматы, Казахстан.</w:t>
      </w:r>
    </w:p>
    <w:p w14:paraId="215A7488" w14:textId="77777777" w:rsidR="00395C00" w:rsidRPr="004135FE" w:rsidRDefault="00395C00" w:rsidP="000A12BA">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Составленная по традиционному методу программа исследования, позволила разделить на этапы реализации, поставленные цель и задачи. Такое планирование стала основой для составления календарного плана и последовательности выполняемых исследовательских работ.</w:t>
      </w:r>
    </w:p>
    <w:p w14:paraId="263552BC" w14:textId="2A8EB6E3" w:rsidR="00395C00" w:rsidRPr="004135FE" w:rsidRDefault="00395C00" w:rsidP="000A12BA">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Первый этап исследования- изучение </w:t>
      </w:r>
      <w:r w:rsidRPr="004135FE">
        <w:rPr>
          <w:rFonts w:ascii="Times New Roman" w:eastAsia="Times New Roman" w:hAnsi="Times New Roman" w:cs="Times New Roman"/>
          <w:sz w:val="28"/>
          <w:szCs w:val="28"/>
        </w:rPr>
        <w:t xml:space="preserve">международного и отечественного опыта по </w:t>
      </w:r>
      <w:r w:rsidR="00F91BE1" w:rsidRPr="004135FE">
        <w:rPr>
          <w:rFonts w:ascii="Times New Roman" w:eastAsia="Times New Roman" w:hAnsi="Times New Roman" w:cs="Times New Roman"/>
          <w:sz w:val="28"/>
          <w:szCs w:val="28"/>
        </w:rPr>
        <w:t>оказанию медицинской помощи и межсекторальному сотрудничеству при СД2т</w:t>
      </w:r>
    </w:p>
    <w:p w14:paraId="611F0F2A" w14:textId="4A5EF02B" w:rsidR="004461EE" w:rsidRPr="004135FE" w:rsidRDefault="004461EE" w:rsidP="000A12BA">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На первом этапе исследования был изучен международный и отечественный опыт в области достижения профилактики и борьбы с факторами риска </w:t>
      </w:r>
      <w:r w:rsidR="00F91BE1" w:rsidRPr="004135FE">
        <w:rPr>
          <w:rFonts w:ascii="Times New Roman" w:hAnsi="Times New Roman" w:cs="Times New Roman"/>
          <w:sz w:val="28"/>
          <w:szCs w:val="28"/>
        </w:rPr>
        <w:t>СД2т</w:t>
      </w:r>
      <w:r w:rsidRPr="004135FE">
        <w:rPr>
          <w:rFonts w:ascii="Times New Roman" w:hAnsi="Times New Roman" w:cs="Times New Roman"/>
          <w:sz w:val="28"/>
          <w:szCs w:val="28"/>
        </w:rPr>
        <w:t xml:space="preserve"> и его осложнении, путем реализации межсекторального сотрудничества.</w:t>
      </w:r>
    </w:p>
    <w:p w14:paraId="7F95AFC5" w14:textId="5BF30EA1" w:rsidR="004461EE" w:rsidRPr="004135FE" w:rsidRDefault="004461EE" w:rsidP="000A12BA">
      <w:pPr>
        <w:pStyle w:val="a3"/>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В рамках литературного обзора проведен углубленный анализ публикации зарубежных авторов, стран СНГ и отечественных по следующим темам: основополагающие документы и программы межсекторального сотрудничества при СД2т в хронологии, </w:t>
      </w:r>
      <w:r w:rsidRPr="004135FE">
        <w:rPr>
          <w:rFonts w:ascii="Times New Roman" w:eastAsiaTheme="minorHAnsi" w:hAnsi="Times New Roman" w:cs="Times New Roman"/>
          <w:sz w:val="28"/>
          <w:szCs w:val="28"/>
          <w:lang w:eastAsia="en-US"/>
        </w:rPr>
        <w:t>организация межсекторального сотрудничества для снижения заболеваемости СД2т,</w:t>
      </w:r>
      <w:r w:rsidRPr="004135FE">
        <w:rPr>
          <w:rFonts w:ascii="Times New Roman" w:eastAsiaTheme="minorHAnsi" w:hAnsi="Times New Roman" w:cs="Times New Roman"/>
          <w:b/>
          <w:sz w:val="28"/>
          <w:szCs w:val="28"/>
          <w:lang w:eastAsia="en-US"/>
        </w:rPr>
        <w:t xml:space="preserve"> </w:t>
      </w:r>
      <w:r w:rsidR="00607AF5" w:rsidRPr="004135FE">
        <w:rPr>
          <w:rFonts w:ascii="Times New Roman" w:eastAsiaTheme="minorHAnsi" w:hAnsi="Times New Roman" w:cs="Times New Roman"/>
          <w:b/>
          <w:sz w:val="28"/>
          <w:szCs w:val="28"/>
          <w:lang w:eastAsia="en-US"/>
        </w:rPr>
        <w:t>у</w:t>
      </w:r>
      <w:r w:rsidRPr="004135FE">
        <w:rPr>
          <w:rStyle w:val="A30"/>
          <w:rFonts w:ascii="Times New Roman" w:hAnsi="Times New Roman" w:cs="Times New Roman"/>
          <w:sz w:val="28"/>
          <w:szCs w:val="28"/>
        </w:rPr>
        <w:t xml:space="preserve">спешный опыт зарубежных стран и РК в использовании межсекторального сотрудничества для применения мер по профилактике СД2т. Библиографический поиск проведен по </w:t>
      </w:r>
      <w:r w:rsidRPr="004135FE">
        <w:rPr>
          <w:rFonts w:ascii="Times New Roman" w:hAnsi="Times New Roman" w:cs="Times New Roman"/>
          <w:sz w:val="28"/>
          <w:szCs w:val="28"/>
        </w:rPr>
        <w:t xml:space="preserve">документам Международных программ, Международной диабетической Федерации, ВОЗ. Так же для проведения обзора литературы использовались статьи в базах данных </w:t>
      </w:r>
      <w:r w:rsidRPr="004135FE">
        <w:rPr>
          <w:rFonts w:ascii="Times New Roman" w:hAnsi="Times New Roman" w:cs="Times New Roman"/>
          <w:sz w:val="28"/>
          <w:szCs w:val="28"/>
          <w:lang w:val="en-US"/>
        </w:rPr>
        <w:t>PubMed</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Cochrane</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Library</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Springer</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lastRenderedPageBreak/>
        <w:t>Link</w:t>
      </w:r>
      <w:r w:rsidRPr="004135FE">
        <w:rPr>
          <w:rFonts w:ascii="Times New Roman" w:hAnsi="Times New Roman" w:cs="Times New Roman"/>
          <w:sz w:val="28"/>
          <w:szCs w:val="28"/>
        </w:rPr>
        <w:t xml:space="preserve">, </w:t>
      </w:r>
      <w:r w:rsidR="00EE7E31" w:rsidRPr="004135FE">
        <w:rPr>
          <w:rFonts w:ascii="Times New Roman" w:hAnsi="Times New Roman" w:cs="Times New Roman"/>
          <w:sz w:val="28"/>
          <w:szCs w:val="28"/>
          <w:lang w:val="en-US"/>
        </w:rPr>
        <w:t>eLibrary</w:t>
      </w:r>
      <w:r w:rsidR="00EE7E31" w:rsidRPr="004135FE">
        <w:rPr>
          <w:rFonts w:ascii="Times New Roman" w:hAnsi="Times New Roman" w:cs="Times New Roman"/>
          <w:sz w:val="28"/>
          <w:szCs w:val="28"/>
        </w:rPr>
        <w:t>, Data</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Base</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Medline</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Complete</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Indicators</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from</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the</w:t>
      </w:r>
      <w:r w:rsidRPr="004135FE">
        <w:rPr>
          <w:rFonts w:ascii="Times New Roman" w:hAnsi="Times New Roman" w:cs="Times New Roman"/>
          <w:sz w:val="28"/>
          <w:szCs w:val="28"/>
        </w:rPr>
        <w:t xml:space="preserve"> </w:t>
      </w:r>
      <w:r w:rsidR="00EE7E31" w:rsidRPr="004135FE">
        <w:rPr>
          <w:rFonts w:ascii="Times New Roman" w:hAnsi="Times New Roman" w:cs="Times New Roman"/>
          <w:sz w:val="28"/>
          <w:szCs w:val="28"/>
          <w:lang w:val="en-US"/>
        </w:rPr>
        <w:t>World</w:t>
      </w:r>
      <w:r w:rsidR="00EE7E31" w:rsidRPr="004135FE">
        <w:rPr>
          <w:rFonts w:ascii="Times New Roman" w:hAnsi="Times New Roman" w:cs="Times New Roman"/>
          <w:sz w:val="28"/>
          <w:szCs w:val="28"/>
        </w:rPr>
        <w:t xml:space="preserve"> </w:t>
      </w:r>
      <w:r w:rsidR="00EE7E31" w:rsidRPr="004135FE">
        <w:rPr>
          <w:rFonts w:ascii="Times New Roman" w:hAnsi="Times New Roman" w:cs="Times New Roman"/>
          <w:sz w:val="28"/>
          <w:szCs w:val="28"/>
          <w:lang w:val="en-US"/>
        </w:rPr>
        <w:t>Bank</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Data</w:t>
      </w:r>
      <w:r w:rsidRPr="004135FE">
        <w:rPr>
          <w:rFonts w:ascii="Times New Roman" w:hAnsi="Times New Roman" w:cs="Times New Roman"/>
          <w:sz w:val="28"/>
          <w:szCs w:val="28"/>
        </w:rPr>
        <w:t xml:space="preserve">. Диссертации отечественных и зарубежных авторов. </w:t>
      </w:r>
    </w:p>
    <w:p w14:paraId="2C851FE3" w14:textId="2C3FBFA7" w:rsidR="004461EE" w:rsidRPr="004135FE" w:rsidRDefault="004461EE" w:rsidP="000A12BA">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pacing w:val="-4"/>
          <w:sz w:val="28"/>
          <w:szCs w:val="28"/>
        </w:rPr>
        <w:t>Так же изучались отечественные и зарубежные научно-исследовательские работы. Ключевые слова поиска включали: межсекторальное сотрудничество, амбулаторная помощь, ПМСП, сахарный диабет 2 типа, эпидемиология, факторы риска, профилактика, физическая активн</w:t>
      </w:r>
      <w:r w:rsidR="00EE7E31" w:rsidRPr="004135FE">
        <w:rPr>
          <w:rFonts w:ascii="Times New Roman" w:hAnsi="Times New Roman" w:cs="Times New Roman"/>
          <w:spacing w:val="-4"/>
          <w:sz w:val="28"/>
          <w:szCs w:val="28"/>
        </w:rPr>
        <w:t>ость, правильное питание, психо</w:t>
      </w:r>
      <w:r w:rsidRPr="004135FE">
        <w:rPr>
          <w:rFonts w:ascii="Times New Roman" w:hAnsi="Times New Roman" w:cs="Times New Roman"/>
          <w:spacing w:val="-4"/>
          <w:sz w:val="28"/>
          <w:szCs w:val="28"/>
        </w:rPr>
        <w:t>социальная помощь, репродуктивный потенциал.</w:t>
      </w:r>
      <w:r w:rsidRPr="004135FE">
        <w:rPr>
          <w:rFonts w:ascii="Times New Roman" w:hAnsi="Times New Roman" w:cs="Times New Roman"/>
          <w:spacing w:val="-4"/>
          <w:sz w:val="28"/>
          <w:szCs w:val="28"/>
          <w:lang w:val="kk-KZ"/>
        </w:rPr>
        <w:t xml:space="preserve"> В исследовательский анализ включено </w:t>
      </w:r>
      <w:r w:rsidR="00BA4E93" w:rsidRPr="004135FE">
        <w:rPr>
          <w:rFonts w:ascii="Times New Roman" w:hAnsi="Times New Roman" w:cs="Times New Roman"/>
          <w:sz w:val="28"/>
          <w:szCs w:val="28"/>
        </w:rPr>
        <w:t>2</w:t>
      </w:r>
      <w:r w:rsidR="00D43EEB" w:rsidRPr="004135FE">
        <w:rPr>
          <w:rFonts w:ascii="Times New Roman" w:hAnsi="Times New Roman" w:cs="Times New Roman"/>
          <w:sz w:val="28"/>
          <w:szCs w:val="28"/>
        </w:rPr>
        <w:t>0</w:t>
      </w:r>
      <w:r w:rsidR="00BA4E93" w:rsidRPr="004135FE">
        <w:rPr>
          <w:rFonts w:ascii="Times New Roman" w:hAnsi="Times New Roman" w:cs="Times New Roman"/>
          <w:sz w:val="28"/>
          <w:szCs w:val="28"/>
        </w:rPr>
        <w:t>0</w:t>
      </w:r>
      <w:r w:rsidR="00D14B11" w:rsidRPr="004135FE">
        <w:rPr>
          <w:rFonts w:ascii="Times New Roman" w:hAnsi="Times New Roman" w:cs="Times New Roman"/>
          <w:sz w:val="28"/>
          <w:szCs w:val="28"/>
        </w:rPr>
        <w:t xml:space="preserve"> источников ли</w:t>
      </w:r>
      <w:r w:rsidR="00BA4E93" w:rsidRPr="004135FE">
        <w:rPr>
          <w:rFonts w:ascii="Times New Roman" w:hAnsi="Times New Roman" w:cs="Times New Roman"/>
          <w:sz w:val="28"/>
          <w:szCs w:val="28"/>
        </w:rPr>
        <w:t xml:space="preserve">тературы </w:t>
      </w:r>
      <w:r w:rsidR="00D43EEB" w:rsidRPr="004135FE">
        <w:rPr>
          <w:rFonts w:ascii="Times New Roman" w:hAnsi="Times New Roman" w:cs="Times New Roman"/>
          <w:sz w:val="28"/>
          <w:szCs w:val="28"/>
        </w:rPr>
        <w:t>(62 отечественных и 138</w:t>
      </w:r>
      <w:r w:rsidR="007B33B1" w:rsidRPr="004135FE">
        <w:rPr>
          <w:rFonts w:ascii="Times New Roman" w:hAnsi="Times New Roman" w:cs="Times New Roman"/>
          <w:sz w:val="28"/>
          <w:szCs w:val="28"/>
        </w:rPr>
        <w:t xml:space="preserve"> зарубежных) и </w:t>
      </w:r>
      <w:r w:rsidR="00BA4E93" w:rsidRPr="004135FE">
        <w:rPr>
          <w:rFonts w:ascii="Times New Roman" w:hAnsi="Times New Roman" w:cs="Times New Roman"/>
          <w:sz w:val="28"/>
          <w:szCs w:val="28"/>
        </w:rPr>
        <w:t>39</w:t>
      </w:r>
      <w:r w:rsidRPr="004135FE">
        <w:rPr>
          <w:rFonts w:ascii="Times New Roman" w:hAnsi="Times New Roman" w:cs="Times New Roman"/>
          <w:sz w:val="28"/>
          <w:szCs w:val="28"/>
        </w:rPr>
        <w:t xml:space="preserve"> нормативно-правовых актов</w:t>
      </w:r>
    </w:p>
    <w:p w14:paraId="0A25231B" w14:textId="77777777" w:rsidR="004461EE" w:rsidRPr="004135FE" w:rsidRDefault="004461EE" w:rsidP="000A12BA">
      <w:pPr>
        <w:pStyle w:val="21"/>
        <w:spacing w:after="0" w:line="240" w:lineRule="auto"/>
        <w:ind w:left="0" w:firstLine="709"/>
        <w:jc w:val="both"/>
        <w:rPr>
          <w:sz w:val="28"/>
          <w:szCs w:val="28"/>
        </w:rPr>
      </w:pPr>
      <w:r w:rsidRPr="004135FE">
        <w:rPr>
          <w:sz w:val="28"/>
          <w:szCs w:val="28"/>
        </w:rPr>
        <w:t>Для изучения состояния системы здравоохранения проанализированы статистические материалы Министерства здравоохранения Республики Казахстан «Здоровье населения Республики Казахстан и деятельность организаций здравоохранения в 2012-2020 годы», официальные данные Агентства Республики Казахстан по статистике.</w:t>
      </w:r>
    </w:p>
    <w:p w14:paraId="4DC07BE7" w14:textId="77777777" w:rsidR="004461EE" w:rsidRPr="004135FE" w:rsidRDefault="004461EE" w:rsidP="000A12BA">
      <w:pPr>
        <w:spacing w:after="0" w:line="240" w:lineRule="auto"/>
        <w:ind w:right="-1" w:firstLine="709"/>
        <w:contextualSpacing/>
        <w:jc w:val="both"/>
        <w:rPr>
          <w:rFonts w:ascii="Times New Roman" w:hAnsi="Times New Roman" w:cs="Times New Roman"/>
          <w:sz w:val="28"/>
          <w:szCs w:val="28"/>
        </w:rPr>
      </w:pPr>
      <w:r w:rsidRPr="004135FE">
        <w:rPr>
          <w:rFonts w:ascii="Times New Roman" w:hAnsi="Times New Roman" w:cs="Times New Roman"/>
          <w:sz w:val="28"/>
          <w:szCs w:val="28"/>
        </w:rPr>
        <w:t>Был проведен информационный поиск за последние 20 лет с изучением современных литературных источников отечественного и зарубежного опыта оказания медицинской помощи пациентам с СД2т. Их анализ свидетельствовал о многообразии исследований на данную тему, однако межсекторальное сотрудничество при оказании помощи пациентам с СД2т в городе Алматы мало изучены.</w:t>
      </w:r>
    </w:p>
    <w:p w14:paraId="2A592086" w14:textId="00331FC8" w:rsidR="006F0C4A" w:rsidRPr="004135FE" w:rsidRDefault="004461EE" w:rsidP="000A12BA">
      <w:pPr>
        <w:pStyle w:val="a3"/>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Второй этап исследования основана на анализе первичной заболеваемости, распространенности СД2т по полу и возрасту, прогнозных показателей</w:t>
      </w:r>
      <w:r w:rsidR="00607AF5" w:rsidRPr="004135FE">
        <w:rPr>
          <w:rFonts w:ascii="Times New Roman" w:hAnsi="Times New Roman" w:cs="Times New Roman"/>
          <w:sz w:val="28"/>
          <w:szCs w:val="28"/>
        </w:rPr>
        <w:t>, для определения ситуации в</w:t>
      </w:r>
      <w:r w:rsidR="00F52A52" w:rsidRPr="004135FE">
        <w:rPr>
          <w:rFonts w:ascii="Times New Roman" w:hAnsi="Times New Roman" w:cs="Times New Roman"/>
          <w:sz w:val="28"/>
          <w:szCs w:val="28"/>
        </w:rPr>
        <w:t xml:space="preserve"> нашей стране, в частности</w:t>
      </w:r>
      <w:r w:rsidR="00607AF5" w:rsidRPr="004135FE">
        <w:rPr>
          <w:rFonts w:ascii="Times New Roman" w:hAnsi="Times New Roman" w:cs="Times New Roman"/>
          <w:sz w:val="28"/>
          <w:szCs w:val="28"/>
        </w:rPr>
        <w:t xml:space="preserve"> г.Алматы</w:t>
      </w:r>
      <w:r w:rsidRPr="004135FE">
        <w:rPr>
          <w:rFonts w:ascii="Times New Roman" w:hAnsi="Times New Roman" w:cs="Times New Roman"/>
          <w:sz w:val="28"/>
          <w:szCs w:val="28"/>
        </w:rPr>
        <w:t>.</w:t>
      </w:r>
      <w:r w:rsidR="00F52A52" w:rsidRPr="004135FE">
        <w:rPr>
          <w:rFonts w:ascii="Times New Roman" w:hAnsi="Times New Roman" w:cs="Times New Roman"/>
          <w:sz w:val="28"/>
          <w:szCs w:val="28"/>
        </w:rPr>
        <w:t xml:space="preserve"> Для этого применялась ретроспективный анализ </w:t>
      </w:r>
      <w:r w:rsidR="00DD24CC" w:rsidRPr="004135FE">
        <w:rPr>
          <w:rFonts w:ascii="Times New Roman" w:hAnsi="Times New Roman" w:cs="Times New Roman"/>
          <w:sz w:val="28"/>
          <w:szCs w:val="28"/>
        </w:rPr>
        <w:t xml:space="preserve">по </w:t>
      </w:r>
      <w:r w:rsidR="00F52A52" w:rsidRPr="004135FE">
        <w:rPr>
          <w:rFonts w:ascii="Times New Roman" w:hAnsi="Times New Roman" w:cs="Times New Roman"/>
          <w:sz w:val="28"/>
          <w:szCs w:val="28"/>
        </w:rPr>
        <w:t>предоставленны</w:t>
      </w:r>
      <w:r w:rsidR="00DD24CC" w:rsidRPr="004135FE">
        <w:rPr>
          <w:rFonts w:ascii="Times New Roman" w:hAnsi="Times New Roman" w:cs="Times New Roman"/>
          <w:sz w:val="28"/>
          <w:szCs w:val="28"/>
        </w:rPr>
        <w:t>м</w:t>
      </w:r>
      <w:r w:rsidR="00F52A52" w:rsidRPr="004135FE">
        <w:rPr>
          <w:rFonts w:ascii="Times New Roman" w:hAnsi="Times New Roman" w:cs="Times New Roman"/>
          <w:sz w:val="28"/>
          <w:szCs w:val="28"/>
        </w:rPr>
        <w:t xml:space="preserve"> материал</w:t>
      </w:r>
      <w:r w:rsidR="00DD24CC" w:rsidRPr="004135FE">
        <w:rPr>
          <w:rFonts w:ascii="Times New Roman" w:hAnsi="Times New Roman" w:cs="Times New Roman"/>
          <w:sz w:val="28"/>
          <w:szCs w:val="28"/>
        </w:rPr>
        <w:t>ам</w:t>
      </w:r>
      <w:r w:rsidR="00F52A52" w:rsidRPr="004135FE">
        <w:rPr>
          <w:rFonts w:ascii="Times New Roman" w:hAnsi="Times New Roman" w:cs="Times New Roman"/>
          <w:sz w:val="28"/>
          <w:szCs w:val="28"/>
        </w:rPr>
        <w:t xml:space="preserve"> </w:t>
      </w:r>
      <w:r w:rsidR="00DD24CC" w:rsidRPr="004135FE">
        <w:rPr>
          <w:rFonts w:ascii="Times New Roman" w:eastAsia="Times New Roman" w:hAnsi="Times New Roman" w:cs="Times New Roman"/>
          <w:sz w:val="28"/>
          <w:szCs w:val="28"/>
        </w:rPr>
        <w:t>Алматинского городского филиала РЦЭЗ</w:t>
      </w:r>
      <w:r w:rsidR="00F52A52" w:rsidRPr="004135FE">
        <w:rPr>
          <w:rFonts w:ascii="Times New Roman" w:hAnsi="Times New Roman" w:cs="Times New Roman"/>
          <w:sz w:val="28"/>
          <w:szCs w:val="28"/>
        </w:rPr>
        <w:t xml:space="preserve"> по НРСД</w:t>
      </w:r>
      <w:r w:rsidR="00DD24CC" w:rsidRPr="004135FE">
        <w:rPr>
          <w:rFonts w:ascii="Times New Roman" w:hAnsi="Times New Roman" w:cs="Times New Roman"/>
          <w:sz w:val="28"/>
          <w:szCs w:val="28"/>
        </w:rPr>
        <w:t xml:space="preserve"> за 10 лет с 2012-2021гг</w:t>
      </w:r>
      <w:r w:rsidR="00F52A52" w:rsidRPr="004135FE">
        <w:rPr>
          <w:rFonts w:ascii="Times New Roman" w:hAnsi="Times New Roman" w:cs="Times New Roman"/>
          <w:sz w:val="28"/>
          <w:szCs w:val="28"/>
        </w:rPr>
        <w:t>.</w:t>
      </w:r>
      <w:r w:rsidR="00C27CE9" w:rsidRPr="004135FE">
        <w:rPr>
          <w:rFonts w:ascii="Times New Roman" w:hAnsi="Times New Roman" w:cs="Times New Roman"/>
          <w:sz w:val="28"/>
          <w:szCs w:val="28"/>
        </w:rPr>
        <w:t xml:space="preserve"> Были построены динамические ряды по заболеваемости и распространенности СД2т, для сравнения показателей районов по годам.</w:t>
      </w:r>
      <w:r w:rsidR="00F52A52" w:rsidRPr="004135FE">
        <w:rPr>
          <w:rFonts w:ascii="Times New Roman" w:hAnsi="Times New Roman" w:cs="Times New Roman"/>
          <w:sz w:val="28"/>
          <w:szCs w:val="28"/>
        </w:rPr>
        <w:t xml:space="preserve"> Применялась </w:t>
      </w:r>
      <w:r w:rsidR="006F0C4A" w:rsidRPr="004135FE">
        <w:rPr>
          <w:rFonts w:ascii="Times New Roman" w:hAnsi="Times New Roman" w:cs="Times New Roman"/>
          <w:sz w:val="28"/>
          <w:szCs w:val="28"/>
        </w:rPr>
        <w:t>прямой</w:t>
      </w:r>
      <w:r w:rsidR="00F52A52" w:rsidRPr="004135FE">
        <w:rPr>
          <w:rFonts w:ascii="Times New Roman" w:hAnsi="Times New Roman" w:cs="Times New Roman"/>
          <w:sz w:val="28"/>
          <w:szCs w:val="28"/>
        </w:rPr>
        <w:t xml:space="preserve"> метод стандартизации по распространенности СД2т по районам г.</w:t>
      </w:r>
      <w:r w:rsidR="006F0C4A" w:rsidRPr="004135FE">
        <w:rPr>
          <w:rFonts w:ascii="Times New Roman" w:hAnsi="Times New Roman" w:cs="Times New Roman"/>
          <w:sz w:val="28"/>
          <w:szCs w:val="28"/>
        </w:rPr>
        <w:t xml:space="preserve">Алматы, чтобы определить </w:t>
      </w:r>
      <w:r w:rsidR="006F0C4A" w:rsidRPr="004135FE">
        <w:rPr>
          <w:rFonts w:ascii="Times New Roman" w:eastAsia="TimesNewRomanPSMT" w:hAnsi="Times New Roman" w:cs="Times New Roman"/>
          <w:sz w:val="28"/>
          <w:szCs w:val="28"/>
          <w:lang w:eastAsia="en-US"/>
        </w:rPr>
        <w:t>эпидемиологическую и социальную значимость для формирования стратегий развития служб здравоохранения и социального сектора с целью принятия научно</w:t>
      </w:r>
      <w:r w:rsidR="00CC6B82" w:rsidRPr="004135FE">
        <w:rPr>
          <w:rFonts w:ascii="Times New Roman" w:eastAsia="TimesNewRomanPSMT" w:hAnsi="Times New Roman" w:cs="Times New Roman"/>
          <w:sz w:val="28"/>
          <w:szCs w:val="28"/>
          <w:lang w:eastAsia="en-US"/>
        </w:rPr>
        <w:t>-</w:t>
      </w:r>
      <w:r w:rsidR="006F0C4A" w:rsidRPr="004135FE">
        <w:rPr>
          <w:rFonts w:ascii="Times New Roman" w:eastAsia="TimesNewRomanPSMT" w:hAnsi="Times New Roman" w:cs="Times New Roman"/>
          <w:sz w:val="28"/>
          <w:szCs w:val="28"/>
          <w:lang w:eastAsia="en-US"/>
        </w:rPr>
        <w:t>обоснованных решений и прогнозирования ситуации</w:t>
      </w:r>
      <w:r w:rsidR="00C27CE9" w:rsidRPr="004135FE">
        <w:rPr>
          <w:rFonts w:ascii="Times New Roman" w:eastAsia="TimesNewRomanPSMT" w:hAnsi="Times New Roman" w:cs="Times New Roman"/>
          <w:sz w:val="28"/>
          <w:szCs w:val="28"/>
          <w:lang w:eastAsia="en-US"/>
        </w:rPr>
        <w:t>. Так же для математического прогнозирования и составления диаграмм применялся метод линейной регрессии.</w:t>
      </w:r>
    </w:p>
    <w:p w14:paraId="755D56FD" w14:textId="584A02C5" w:rsidR="004461EE" w:rsidRPr="004135FE" w:rsidRDefault="00F52A52" w:rsidP="000A12BA">
      <w:pPr>
        <w:pStyle w:val="a3"/>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 </w:t>
      </w:r>
      <w:r w:rsidR="004461EE" w:rsidRPr="004135FE">
        <w:rPr>
          <w:rFonts w:ascii="Times New Roman" w:hAnsi="Times New Roman" w:cs="Times New Roman"/>
          <w:sz w:val="28"/>
          <w:szCs w:val="28"/>
        </w:rPr>
        <w:t>Смертность и другие показатели мы не смогли статистический обработать, по ниже представленной причине.</w:t>
      </w:r>
    </w:p>
    <w:p w14:paraId="18DF123C" w14:textId="77777777" w:rsidR="004461EE" w:rsidRPr="004135FE" w:rsidRDefault="004461EE" w:rsidP="000A12BA">
      <w:pPr>
        <w:spacing w:after="0" w:line="240" w:lineRule="auto"/>
        <w:ind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С научной целью дополнительно нами были запрошены следующие материалы и статистические данные с РЦЭЗ: </w:t>
      </w:r>
    </w:p>
    <w:p w14:paraId="40CB580C" w14:textId="67A29D20" w:rsidR="004461EE" w:rsidRPr="004135FE" w:rsidRDefault="0074520F" w:rsidP="000A12BA">
      <w:pPr>
        <w:spacing w:after="0" w:line="240" w:lineRule="auto"/>
        <w:ind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по Коронавирусной инфекции в сочетаниях</w:t>
      </w:r>
      <w:r w:rsidR="004461EE" w:rsidRPr="004135FE">
        <w:rPr>
          <w:rFonts w:ascii="Times New Roman" w:eastAsia="Times New Roman" w:hAnsi="Times New Roman" w:cs="Times New Roman"/>
          <w:sz w:val="28"/>
          <w:szCs w:val="28"/>
        </w:rPr>
        <w:t xml:space="preserve"> с сахарным диабетом 2 типа. Данные по н</w:t>
      </w:r>
      <w:r w:rsidR="00EE7E31" w:rsidRPr="004135FE">
        <w:rPr>
          <w:rFonts w:ascii="Times New Roman" w:eastAsia="Times New Roman" w:hAnsi="Times New Roman" w:cs="Times New Roman"/>
          <w:sz w:val="28"/>
          <w:szCs w:val="28"/>
        </w:rPr>
        <w:t>аличии СД 2т до выявления корона</w:t>
      </w:r>
      <w:r w:rsidR="004461EE" w:rsidRPr="004135FE">
        <w:rPr>
          <w:rFonts w:ascii="Times New Roman" w:eastAsia="Times New Roman" w:hAnsi="Times New Roman" w:cs="Times New Roman"/>
          <w:sz w:val="28"/>
          <w:szCs w:val="28"/>
        </w:rPr>
        <w:t xml:space="preserve">вирусной инфекции или приобретение СД 2 т как последствие перенесенной инфекции. Данные по РК и г Алматы по </w:t>
      </w:r>
      <w:r w:rsidRPr="004135FE">
        <w:rPr>
          <w:rFonts w:ascii="Times New Roman" w:eastAsia="Times New Roman" w:hAnsi="Times New Roman" w:cs="Times New Roman"/>
          <w:sz w:val="28"/>
          <w:szCs w:val="28"/>
        </w:rPr>
        <w:t>половозрастным</w:t>
      </w:r>
      <w:r w:rsidR="004461EE" w:rsidRPr="004135FE">
        <w:rPr>
          <w:rFonts w:ascii="Times New Roman" w:eastAsia="Times New Roman" w:hAnsi="Times New Roman" w:cs="Times New Roman"/>
          <w:sz w:val="28"/>
          <w:szCs w:val="28"/>
        </w:rPr>
        <w:t xml:space="preserve"> группам, по осложнениям, сопутствующим заболеваниям, по районам со сроком от начала пандемии по сей день. </w:t>
      </w:r>
    </w:p>
    <w:p w14:paraId="53FD8C71" w14:textId="77777777" w:rsidR="004461EE" w:rsidRPr="004135FE" w:rsidRDefault="004461EE" w:rsidP="000A12BA">
      <w:pPr>
        <w:spacing w:after="0" w:line="240" w:lineRule="auto"/>
        <w:ind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 по смертности от сахарного диабета 2 типа; по Репродуктивному потенциалу Женщин фертильного возраста с сахарным диабетом 2 типа; по </w:t>
      </w:r>
      <w:r w:rsidRPr="004135FE">
        <w:rPr>
          <w:rFonts w:ascii="Times New Roman" w:eastAsia="Times New Roman" w:hAnsi="Times New Roman" w:cs="Times New Roman"/>
          <w:sz w:val="28"/>
          <w:szCs w:val="28"/>
        </w:rPr>
        <w:lastRenderedPageBreak/>
        <w:t xml:space="preserve">Репродуктивному потенциалу Мужчин фертильного возраста с сахарным диабетом 2 типа; по Гипогонодизму у мужчин с сахарным диабетом 2 типа;  </w:t>
      </w:r>
    </w:p>
    <w:p w14:paraId="41019ADA" w14:textId="2AC497D2" w:rsidR="004461EE" w:rsidRPr="004135FE" w:rsidRDefault="004461EE" w:rsidP="000A12BA">
      <w:pPr>
        <w:spacing w:after="0" w:line="240" w:lineRule="auto"/>
        <w:ind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по Ожирению половозрастным распределением. Данные по возрастным группам, по осложнениям, сопутствующим заболеваниям, по районам и мед</w:t>
      </w:r>
      <w:r w:rsidR="00EE7E31" w:rsidRPr="004135FE">
        <w:rPr>
          <w:rFonts w:ascii="Times New Roman" w:eastAsia="Times New Roman" w:hAnsi="Times New Roman" w:cs="Times New Roman"/>
          <w:sz w:val="28"/>
          <w:szCs w:val="28"/>
        </w:rPr>
        <w:t xml:space="preserve">ицинским </w:t>
      </w:r>
      <w:r w:rsidRPr="004135FE">
        <w:rPr>
          <w:rFonts w:ascii="Times New Roman" w:eastAsia="Times New Roman" w:hAnsi="Times New Roman" w:cs="Times New Roman"/>
          <w:sz w:val="28"/>
          <w:szCs w:val="28"/>
        </w:rPr>
        <w:t xml:space="preserve">организациям </w:t>
      </w:r>
      <w:r w:rsidRPr="004135FE">
        <w:rPr>
          <w:rFonts w:ascii="Times New Roman" w:hAnsi="Times New Roman" w:cs="Times New Roman"/>
          <w:sz w:val="28"/>
          <w:szCs w:val="28"/>
        </w:rPr>
        <w:t>по городу Алматы за 20</w:t>
      </w:r>
      <w:r w:rsidRPr="004135FE">
        <w:rPr>
          <w:rFonts w:ascii="Times New Roman" w:hAnsi="Times New Roman" w:cs="Times New Roman"/>
          <w:sz w:val="28"/>
          <w:szCs w:val="28"/>
          <w:lang w:val="kk-KZ"/>
        </w:rPr>
        <w:t>12</w:t>
      </w:r>
      <w:r w:rsidRPr="004135FE">
        <w:rPr>
          <w:rFonts w:ascii="Times New Roman" w:hAnsi="Times New Roman" w:cs="Times New Roman"/>
          <w:sz w:val="28"/>
          <w:szCs w:val="28"/>
        </w:rPr>
        <w:t>-201</w:t>
      </w:r>
      <w:r w:rsidRPr="004135FE">
        <w:rPr>
          <w:rFonts w:ascii="Times New Roman" w:hAnsi="Times New Roman" w:cs="Times New Roman"/>
          <w:sz w:val="28"/>
          <w:szCs w:val="28"/>
          <w:lang w:val="kk-KZ"/>
        </w:rPr>
        <w:t>9</w:t>
      </w:r>
      <w:r w:rsidR="00F43B53">
        <w:rPr>
          <w:rFonts w:ascii="Times New Roman" w:hAnsi="Times New Roman" w:cs="Times New Roman"/>
          <w:sz w:val="28"/>
          <w:szCs w:val="28"/>
          <w:lang w:val="kk-KZ"/>
        </w:rPr>
        <w:t xml:space="preserve"> </w:t>
      </w:r>
      <w:r w:rsidRPr="004135FE">
        <w:rPr>
          <w:rFonts w:ascii="Times New Roman" w:hAnsi="Times New Roman" w:cs="Times New Roman"/>
          <w:sz w:val="28"/>
          <w:szCs w:val="28"/>
        </w:rPr>
        <w:t>гг.</w:t>
      </w:r>
    </w:p>
    <w:p w14:paraId="759E61D4" w14:textId="0C49AC96" w:rsidR="004461EE" w:rsidRDefault="004461EE" w:rsidP="000A12BA">
      <w:pPr>
        <w:spacing w:after="0" w:line="240" w:lineRule="auto"/>
        <w:ind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После наших многочисленных обращений, Алматинский городской филиал РЦЭЗ в ответ на Наш запрос от 20.11.2020</w:t>
      </w:r>
      <w:r w:rsidR="00F43B53">
        <w:rPr>
          <w:rFonts w:ascii="Times New Roman" w:eastAsia="Times New Roman" w:hAnsi="Times New Roman" w:cs="Times New Roman"/>
          <w:sz w:val="28"/>
          <w:szCs w:val="28"/>
        </w:rPr>
        <w:t xml:space="preserve"> </w:t>
      </w:r>
      <w:r w:rsidRPr="004135FE">
        <w:rPr>
          <w:rFonts w:ascii="Times New Roman" w:eastAsia="Times New Roman" w:hAnsi="Times New Roman" w:cs="Times New Roman"/>
          <w:sz w:val="28"/>
          <w:szCs w:val="28"/>
        </w:rPr>
        <w:t>г</w:t>
      </w:r>
      <w:r w:rsidR="00F43B53">
        <w:rPr>
          <w:rFonts w:ascii="Times New Roman" w:eastAsia="Times New Roman" w:hAnsi="Times New Roman" w:cs="Times New Roman"/>
          <w:sz w:val="28"/>
          <w:szCs w:val="28"/>
        </w:rPr>
        <w:t>.</w:t>
      </w:r>
      <w:r w:rsidRPr="004135FE">
        <w:rPr>
          <w:rFonts w:ascii="Times New Roman" w:eastAsia="Times New Roman" w:hAnsi="Times New Roman" w:cs="Times New Roman"/>
          <w:sz w:val="28"/>
          <w:szCs w:val="28"/>
        </w:rPr>
        <w:t xml:space="preserve"> сообщил, что запрашиваемая информация не зарегистрирована в информационных системах Министерство здравоохранения Республики Казахстан. Письмо 03.3-14 №1669 от 24.11.2020</w:t>
      </w:r>
      <w:r w:rsidR="00F43B53">
        <w:rPr>
          <w:rFonts w:ascii="Times New Roman" w:eastAsia="Times New Roman" w:hAnsi="Times New Roman" w:cs="Times New Roman"/>
          <w:sz w:val="28"/>
          <w:szCs w:val="28"/>
        </w:rPr>
        <w:t xml:space="preserve"> г</w:t>
      </w:r>
      <w:r w:rsidR="000A12BA">
        <w:rPr>
          <w:rFonts w:ascii="Times New Roman" w:eastAsia="Times New Roman" w:hAnsi="Times New Roman" w:cs="Times New Roman"/>
          <w:sz w:val="28"/>
          <w:szCs w:val="28"/>
        </w:rPr>
        <w:t>.</w:t>
      </w:r>
    </w:p>
    <w:p w14:paraId="7958BD61" w14:textId="77777777" w:rsidR="000A12BA" w:rsidRPr="004135FE" w:rsidRDefault="000A12BA" w:rsidP="000A12BA">
      <w:pPr>
        <w:spacing w:after="0" w:line="240" w:lineRule="auto"/>
        <w:ind w:firstLine="709"/>
        <w:jc w:val="both"/>
        <w:rPr>
          <w:rFonts w:ascii="Times New Roman" w:eastAsia="Times New Roman" w:hAnsi="Times New Roman" w:cs="Times New Roman"/>
          <w:sz w:val="28"/>
          <w:szCs w:val="28"/>
        </w:rPr>
      </w:pPr>
    </w:p>
    <w:p w14:paraId="581BEA8A" w14:textId="77777777" w:rsidR="004461EE" w:rsidRPr="004135FE" w:rsidRDefault="004461EE" w:rsidP="000A12BA">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b/>
          <w:noProof/>
          <w:sz w:val="28"/>
          <w:szCs w:val="28"/>
        </w:rPr>
        <w:drawing>
          <wp:inline distT="0" distB="0" distL="0" distR="0" wp14:anchorId="08FAC6F1" wp14:editId="0F0DDEA7">
            <wp:extent cx="5832385" cy="5872357"/>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отриц ответ на обращение от рцэз.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35561" cy="5875555"/>
                    </a:xfrm>
                    <a:prstGeom prst="rect">
                      <a:avLst/>
                    </a:prstGeom>
                  </pic:spPr>
                </pic:pic>
              </a:graphicData>
            </a:graphic>
          </wp:inline>
        </w:drawing>
      </w:r>
    </w:p>
    <w:p w14:paraId="420198F5" w14:textId="0D8F7FDD" w:rsidR="004461EE" w:rsidRPr="004135FE" w:rsidRDefault="008F153C" w:rsidP="00F43B53">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 xml:space="preserve">Рисунок </w:t>
      </w:r>
      <w:r w:rsidR="00F43B53">
        <w:rPr>
          <w:rFonts w:ascii="Times New Roman" w:hAnsi="Times New Roman" w:cs="Times New Roman"/>
          <w:sz w:val="28"/>
          <w:szCs w:val="28"/>
        </w:rPr>
        <w:t>1</w:t>
      </w:r>
      <w:r w:rsidR="004461EE" w:rsidRPr="004135FE">
        <w:rPr>
          <w:rFonts w:ascii="Times New Roman" w:hAnsi="Times New Roman" w:cs="Times New Roman"/>
          <w:sz w:val="28"/>
          <w:szCs w:val="28"/>
        </w:rPr>
        <w:t xml:space="preserve">- </w:t>
      </w:r>
      <w:r w:rsidR="004461EE" w:rsidRPr="004135FE">
        <w:rPr>
          <w:rFonts w:ascii="Times New Roman" w:eastAsia="Times New Roman" w:hAnsi="Times New Roman" w:cs="Times New Roman"/>
          <w:sz w:val="28"/>
          <w:szCs w:val="28"/>
        </w:rPr>
        <w:t>ответ на дополнительный запрос о статистических данных</w:t>
      </w:r>
    </w:p>
    <w:p w14:paraId="40B07083" w14:textId="77777777" w:rsidR="004461EE" w:rsidRPr="004135FE" w:rsidRDefault="004461EE" w:rsidP="000A12BA">
      <w:pPr>
        <w:pStyle w:val="a3"/>
        <w:autoSpaceDE w:val="0"/>
        <w:autoSpaceDN w:val="0"/>
        <w:adjustRightInd w:val="0"/>
        <w:spacing w:after="0" w:line="240" w:lineRule="auto"/>
        <w:ind w:left="0" w:firstLine="709"/>
        <w:jc w:val="both"/>
        <w:rPr>
          <w:rFonts w:ascii="Times New Roman" w:hAnsi="Times New Roman" w:cs="Times New Roman"/>
          <w:sz w:val="28"/>
          <w:szCs w:val="28"/>
        </w:rPr>
      </w:pPr>
    </w:p>
    <w:p w14:paraId="4BD91E04" w14:textId="6DA54414" w:rsidR="004461EE" w:rsidRPr="004135FE" w:rsidRDefault="004461EE" w:rsidP="00F43B53">
      <w:pPr>
        <w:autoSpaceDE w:val="0"/>
        <w:autoSpaceDN w:val="0"/>
        <w:adjustRightInd w:val="0"/>
        <w:spacing w:after="0" w:line="240" w:lineRule="auto"/>
        <w:ind w:firstLine="709"/>
        <w:jc w:val="both"/>
        <w:rPr>
          <w:rFonts w:ascii="Times New Roman" w:eastAsiaTheme="minorHAnsi" w:hAnsi="Times New Roman" w:cs="Times New Roman"/>
          <w:bCs/>
          <w:sz w:val="28"/>
          <w:szCs w:val="28"/>
          <w:lang w:eastAsia="en-US"/>
        </w:rPr>
      </w:pPr>
      <w:r w:rsidRPr="004135FE">
        <w:rPr>
          <w:rFonts w:ascii="Times New Roman" w:hAnsi="Times New Roman" w:cs="Times New Roman"/>
          <w:sz w:val="28"/>
          <w:szCs w:val="28"/>
        </w:rPr>
        <w:t>Трети</w:t>
      </w:r>
      <w:r w:rsidR="00F43B53">
        <w:rPr>
          <w:rFonts w:ascii="Times New Roman" w:hAnsi="Times New Roman" w:cs="Times New Roman"/>
          <w:sz w:val="28"/>
          <w:szCs w:val="28"/>
        </w:rPr>
        <w:t>й</w:t>
      </w:r>
      <w:r w:rsidRPr="004135FE">
        <w:rPr>
          <w:rFonts w:ascii="Times New Roman" w:hAnsi="Times New Roman" w:cs="Times New Roman"/>
          <w:sz w:val="28"/>
          <w:szCs w:val="28"/>
        </w:rPr>
        <w:t xml:space="preserve"> этап основан на анализе доступности и прогноз обеспечения лекарственными средствами больных с сахарным диабетом. Для изучения лекарственной доступности и обеспеченности были использованы </w:t>
      </w:r>
      <w:r w:rsidR="00EE7E31" w:rsidRPr="004135FE">
        <w:rPr>
          <w:rFonts w:ascii="Times New Roman" w:hAnsi="Times New Roman" w:cs="Times New Roman"/>
          <w:sz w:val="28"/>
          <w:szCs w:val="28"/>
        </w:rPr>
        <w:t>материалы,</w:t>
      </w:r>
      <w:r w:rsidRPr="004135FE">
        <w:rPr>
          <w:rFonts w:ascii="Times New Roman" w:hAnsi="Times New Roman" w:cs="Times New Roman"/>
          <w:sz w:val="28"/>
          <w:szCs w:val="28"/>
        </w:rPr>
        <w:t xml:space="preserve"> </w:t>
      </w:r>
      <w:r w:rsidRPr="004135FE">
        <w:rPr>
          <w:rFonts w:ascii="Times New Roman" w:hAnsi="Times New Roman" w:cs="Times New Roman"/>
          <w:sz w:val="28"/>
          <w:szCs w:val="28"/>
        </w:rPr>
        <w:lastRenderedPageBreak/>
        <w:t>предоставленны</w:t>
      </w:r>
      <w:r w:rsidR="00EE7E31" w:rsidRPr="004135FE">
        <w:rPr>
          <w:rFonts w:ascii="Times New Roman" w:hAnsi="Times New Roman" w:cs="Times New Roman"/>
          <w:sz w:val="28"/>
          <w:szCs w:val="28"/>
        </w:rPr>
        <w:t>е РЦЭЗ по Информационной системе</w:t>
      </w:r>
      <w:r w:rsidRPr="004135FE">
        <w:rPr>
          <w:rFonts w:ascii="Times New Roman" w:hAnsi="Times New Roman" w:cs="Times New Roman"/>
          <w:sz w:val="28"/>
          <w:szCs w:val="28"/>
        </w:rPr>
        <w:t xml:space="preserve"> лекарственного обеспечения (ИСЛО) по г.</w:t>
      </w:r>
      <w:r w:rsidR="00F43B53">
        <w:rPr>
          <w:rFonts w:ascii="Times New Roman" w:hAnsi="Times New Roman" w:cs="Times New Roman"/>
          <w:sz w:val="28"/>
          <w:szCs w:val="28"/>
        </w:rPr>
        <w:t xml:space="preserve"> </w:t>
      </w:r>
      <w:r w:rsidRPr="004135FE">
        <w:rPr>
          <w:rFonts w:ascii="Times New Roman" w:hAnsi="Times New Roman" w:cs="Times New Roman"/>
          <w:sz w:val="28"/>
          <w:szCs w:val="28"/>
        </w:rPr>
        <w:t>Алматы 2015-2021</w:t>
      </w:r>
      <w:r w:rsidR="00F43B53">
        <w:rPr>
          <w:rFonts w:ascii="Times New Roman" w:hAnsi="Times New Roman" w:cs="Times New Roman"/>
          <w:sz w:val="28"/>
          <w:szCs w:val="28"/>
        </w:rPr>
        <w:t xml:space="preserve"> </w:t>
      </w:r>
      <w:r w:rsidRPr="004135FE">
        <w:rPr>
          <w:rFonts w:ascii="Times New Roman" w:hAnsi="Times New Roman" w:cs="Times New Roman"/>
          <w:sz w:val="28"/>
          <w:szCs w:val="28"/>
        </w:rPr>
        <w:t>гг. Для анализа данного этапа углубленно изучены количества</w:t>
      </w:r>
      <w:r w:rsidRPr="004135FE">
        <w:rPr>
          <w:rFonts w:ascii="Times New Roman" w:hAnsi="Times New Roman" w:cs="Times New Roman"/>
          <w:b/>
          <w:bCs/>
          <w:sz w:val="28"/>
          <w:szCs w:val="28"/>
        </w:rPr>
        <w:t xml:space="preserve"> </w:t>
      </w:r>
      <w:r w:rsidR="00EE7E31" w:rsidRPr="004135FE">
        <w:rPr>
          <w:rFonts w:ascii="Times New Roman" w:hAnsi="Times New Roman" w:cs="Times New Roman"/>
          <w:bCs/>
          <w:sz w:val="28"/>
          <w:szCs w:val="28"/>
        </w:rPr>
        <w:t>пациентов,</w:t>
      </w:r>
      <w:r w:rsidRPr="004135FE">
        <w:rPr>
          <w:rFonts w:ascii="Times New Roman" w:hAnsi="Times New Roman" w:cs="Times New Roman"/>
          <w:bCs/>
          <w:sz w:val="28"/>
          <w:szCs w:val="28"/>
        </w:rPr>
        <w:t xml:space="preserve"> нуждающихся в ЛС, </w:t>
      </w:r>
      <w:r w:rsidRPr="004135FE">
        <w:rPr>
          <w:rFonts w:ascii="Times New Roman" w:hAnsi="Times New Roman" w:cs="Times New Roman"/>
          <w:sz w:val="28"/>
          <w:szCs w:val="28"/>
        </w:rPr>
        <w:t>количества</w:t>
      </w:r>
      <w:r w:rsidRPr="004135FE">
        <w:rPr>
          <w:rFonts w:ascii="Times New Roman" w:hAnsi="Times New Roman" w:cs="Times New Roman"/>
          <w:bCs/>
          <w:sz w:val="28"/>
          <w:szCs w:val="28"/>
        </w:rPr>
        <w:t xml:space="preserve"> выписанных рецептов, стоимость ЛС по выписанным рецептам, </w:t>
      </w:r>
      <w:r w:rsidRPr="004135FE">
        <w:rPr>
          <w:rFonts w:ascii="Times New Roman" w:hAnsi="Times New Roman" w:cs="Times New Roman"/>
          <w:sz w:val="28"/>
          <w:szCs w:val="28"/>
        </w:rPr>
        <w:t>количества</w:t>
      </w:r>
      <w:r w:rsidRPr="004135FE">
        <w:rPr>
          <w:rFonts w:ascii="Times New Roman" w:hAnsi="Times New Roman" w:cs="Times New Roman"/>
          <w:bCs/>
          <w:sz w:val="28"/>
          <w:szCs w:val="28"/>
        </w:rPr>
        <w:t xml:space="preserve"> пациентов, обеспеченных потребность в ЛС, </w:t>
      </w:r>
      <w:r w:rsidRPr="004135FE">
        <w:rPr>
          <w:rFonts w:ascii="Times New Roman" w:hAnsi="Times New Roman" w:cs="Times New Roman"/>
          <w:sz w:val="28"/>
          <w:szCs w:val="28"/>
        </w:rPr>
        <w:t>количества</w:t>
      </w:r>
      <w:r w:rsidRPr="004135FE">
        <w:rPr>
          <w:rFonts w:ascii="Times New Roman" w:hAnsi="Times New Roman" w:cs="Times New Roman"/>
          <w:bCs/>
          <w:sz w:val="28"/>
          <w:szCs w:val="28"/>
        </w:rPr>
        <w:t xml:space="preserve"> обеспеченных рецептов, стоимость выписанных по рецептам ЛС, стоимость закупленных ЛС (на 1 пациента).</w:t>
      </w:r>
      <w:r w:rsidRPr="004135FE">
        <w:rPr>
          <w:rFonts w:ascii="Times New Roman" w:hAnsi="Times New Roman" w:cs="Times New Roman"/>
          <w:sz w:val="28"/>
          <w:szCs w:val="28"/>
        </w:rPr>
        <w:t xml:space="preserve"> Описана </w:t>
      </w:r>
      <w:r w:rsidRPr="004135FE">
        <w:rPr>
          <w:rFonts w:ascii="Times New Roman" w:eastAsia="Times New Roman" w:hAnsi="Times New Roman" w:cs="Times New Roman"/>
          <w:bCs/>
          <w:sz w:val="28"/>
          <w:szCs w:val="28"/>
        </w:rPr>
        <w:t xml:space="preserve">динамика изменения количества больных СД, обеспеченных ЛС и рецептов по которым выданы требуемые медикаменты в г.Алматы (за 7 лет). </w:t>
      </w:r>
      <w:r w:rsidRPr="004135FE">
        <w:rPr>
          <w:rFonts w:ascii="Times New Roman" w:hAnsi="Times New Roman" w:cs="Times New Roman"/>
          <w:sz w:val="28"/>
          <w:szCs w:val="28"/>
        </w:rPr>
        <w:t xml:space="preserve">Для прогнозирования </w:t>
      </w:r>
      <w:r w:rsidRPr="004135FE">
        <w:rPr>
          <w:rFonts w:ascii="Times New Roman" w:hAnsi="Times New Roman" w:cs="Times New Roman"/>
          <w:bCs/>
          <w:sz w:val="28"/>
          <w:szCs w:val="28"/>
        </w:rPr>
        <w:t xml:space="preserve">стоимости </w:t>
      </w:r>
      <w:r w:rsidRPr="004135FE">
        <w:rPr>
          <w:rFonts w:ascii="Times New Roman" w:eastAsiaTheme="minorHAnsi" w:hAnsi="Times New Roman" w:cs="Times New Roman"/>
          <w:bCs/>
          <w:sz w:val="28"/>
          <w:szCs w:val="28"/>
          <w:lang w:eastAsia="en-US"/>
        </w:rPr>
        <w:t xml:space="preserve">обеспеченных </w:t>
      </w:r>
      <w:r w:rsidRPr="004135FE">
        <w:rPr>
          <w:rFonts w:ascii="Times New Roman" w:hAnsi="Times New Roman" w:cs="Times New Roman"/>
          <w:bCs/>
          <w:sz w:val="28"/>
          <w:szCs w:val="28"/>
        </w:rPr>
        <w:t>ЛС по рецептам по</w:t>
      </w:r>
      <w:r w:rsidRPr="004135FE">
        <w:rPr>
          <w:rFonts w:ascii="Times New Roman" w:hAnsi="Times New Roman" w:cs="Times New Roman"/>
          <w:sz w:val="28"/>
          <w:szCs w:val="28"/>
        </w:rPr>
        <w:t xml:space="preserve"> СД г Алматы был использован метод линейной регрессии. Так же изучено прогнозирование</w:t>
      </w:r>
      <w:r w:rsidRPr="004135FE">
        <w:rPr>
          <w:rFonts w:ascii="Times New Roman" w:hAnsi="Times New Roman" w:cs="Times New Roman"/>
          <w:bCs/>
          <w:sz w:val="28"/>
          <w:szCs w:val="28"/>
        </w:rPr>
        <w:t xml:space="preserve"> стоимости</w:t>
      </w:r>
      <w:r w:rsidRPr="004135FE">
        <w:rPr>
          <w:rFonts w:ascii="Times New Roman" w:hAnsi="Times New Roman" w:cs="Times New Roman"/>
          <w:b/>
          <w:bCs/>
          <w:sz w:val="28"/>
          <w:szCs w:val="28"/>
        </w:rPr>
        <w:t xml:space="preserve"> </w:t>
      </w:r>
      <w:r w:rsidRPr="004135FE">
        <w:rPr>
          <w:rFonts w:ascii="Times New Roman" w:hAnsi="Times New Roman" w:cs="Times New Roman"/>
          <w:bCs/>
          <w:sz w:val="28"/>
          <w:szCs w:val="28"/>
        </w:rPr>
        <w:t xml:space="preserve">закупленных ЛС (на 1 пациента </w:t>
      </w:r>
      <w:r w:rsidRPr="004135FE">
        <w:rPr>
          <w:rFonts w:ascii="Times New Roman" w:eastAsiaTheme="minorHAnsi" w:hAnsi="Times New Roman" w:cs="Times New Roman"/>
          <w:bCs/>
          <w:sz w:val="28"/>
          <w:szCs w:val="28"/>
          <w:lang w:eastAsia="en-US"/>
        </w:rPr>
        <w:t>по сахарному диабету по г.Алматы</w:t>
      </w:r>
      <w:r w:rsidRPr="004135FE">
        <w:rPr>
          <w:rFonts w:ascii="Times New Roman" w:eastAsiaTheme="minorHAnsi" w:hAnsi="Times New Roman" w:cs="Times New Roman"/>
          <w:bCs/>
          <w:sz w:val="28"/>
          <w:szCs w:val="28"/>
          <w:lang w:val="kk-KZ" w:eastAsia="en-US"/>
        </w:rPr>
        <w:t xml:space="preserve">), в тенге. </w:t>
      </w:r>
      <w:r w:rsidRPr="004135FE">
        <w:rPr>
          <w:rFonts w:ascii="Times New Roman" w:hAnsi="Times New Roman" w:cs="Times New Roman"/>
          <w:sz w:val="28"/>
          <w:szCs w:val="28"/>
        </w:rPr>
        <w:t xml:space="preserve">Статистическая обработка </w:t>
      </w:r>
      <w:r w:rsidRPr="004135FE">
        <w:rPr>
          <w:rFonts w:ascii="Times New Roman" w:eastAsiaTheme="minorHAnsi" w:hAnsi="Times New Roman" w:cs="Times New Roman"/>
          <w:bCs/>
          <w:sz w:val="28"/>
          <w:szCs w:val="28"/>
          <w:lang w:val="kk-KZ" w:eastAsia="en-US"/>
        </w:rPr>
        <w:t>проведена с</w:t>
      </w:r>
      <w:r w:rsidRPr="004135FE">
        <w:rPr>
          <w:rFonts w:ascii="Times New Roman" w:hAnsi="Times New Roman" w:cs="Times New Roman"/>
          <w:sz w:val="28"/>
          <w:szCs w:val="28"/>
        </w:rPr>
        <w:t xml:space="preserve"> помощью пакета прикладных программ </w:t>
      </w:r>
      <w:r w:rsidRPr="004135FE">
        <w:rPr>
          <w:rFonts w:ascii="Times New Roman" w:hAnsi="Times New Roman" w:cs="Times New Roman"/>
          <w:sz w:val="28"/>
          <w:szCs w:val="28"/>
          <w:lang w:val="en-US"/>
        </w:rPr>
        <w:t>EXCEL</w:t>
      </w:r>
      <w:r w:rsidRPr="004135FE">
        <w:rPr>
          <w:rFonts w:ascii="Times New Roman" w:hAnsi="Times New Roman" w:cs="Times New Roman"/>
          <w:sz w:val="28"/>
          <w:szCs w:val="28"/>
        </w:rPr>
        <w:t xml:space="preserve"> 7.0.</w:t>
      </w:r>
    </w:p>
    <w:p w14:paraId="636163C8" w14:textId="4BA33A92" w:rsidR="004461EE" w:rsidRPr="004135FE" w:rsidRDefault="004461EE" w:rsidP="00F43B53">
      <w:pPr>
        <w:spacing w:after="0" w:line="240" w:lineRule="auto"/>
        <w:ind w:firstLine="709"/>
        <w:jc w:val="both"/>
        <w:rPr>
          <w:rFonts w:ascii="Times New Roman" w:eastAsia="Times New Roman" w:hAnsi="Times New Roman" w:cs="Times New Roman"/>
          <w:sz w:val="28"/>
          <w:szCs w:val="28"/>
        </w:rPr>
      </w:pPr>
      <w:r w:rsidRPr="004135FE">
        <w:rPr>
          <w:rFonts w:ascii="Times New Roman" w:hAnsi="Times New Roman" w:cs="Times New Roman"/>
          <w:sz w:val="28"/>
          <w:szCs w:val="28"/>
        </w:rPr>
        <w:t>Четвертый этап реализован путем социологического исследования</w:t>
      </w:r>
      <w:r w:rsidRPr="004135FE">
        <w:rPr>
          <w:rFonts w:ascii="Times New Roman" w:hAnsi="Times New Roman" w:cs="Times New Roman"/>
          <w:sz w:val="28"/>
          <w:szCs w:val="28"/>
          <w:lang w:val="kk-KZ"/>
        </w:rPr>
        <w:t xml:space="preserve"> </w:t>
      </w:r>
      <w:r w:rsidR="00F91BE1" w:rsidRPr="004135FE">
        <w:rPr>
          <w:rFonts w:ascii="Times New Roman" w:hAnsi="Times New Roman" w:cs="Times New Roman"/>
          <w:sz w:val="28"/>
          <w:szCs w:val="28"/>
        </w:rPr>
        <w:t>для определения</w:t>
      </w:r>
      <w:r w:rsidR="00F91BE1" w:rsidRPr="004135FE">
        <w:rPr>
          <w:rFonts w:ascii="Times New Roman" w:hAnsi="Times New Roman" w:cs="Times New Roman"/>
          <w:sz w:val="28"/>
          <w:szCs w:val="28"/>
          <w:lang w:val="kk-KZ"/>
        </w:rPr>
        <w:t xml:space="preserve"> потребностей пациентов и медицинского персонала по оказанию медицинской помощи</w:t>
      </w:r>
      <w:r w:rsidR="008D2D67" w:rsidRPr="004135FE">
        <w:rPr>
          <w:rFonts w:ascii="Times New Roman" w:eastAsia="Times New Roman" w:hAnsi="Times New Roman" w:cs="Times New Roman"/>
          <w:sz w:val="28"/>
          <w:szCs w:val="28"/>
          <w:lang w:val="kk-KZ"/>
        </w:rPr>
        <w:t xml:space="preserve"> и </w:t>
      </w:r>
      <w:r w:rsidR="008D2D67" w:rsidRPr="004135FE">
        <w:rPr>
          <w:rFonts w:ascii="Times New Roman" w:eastAsia="Times New Roman" w:hAnsi="Times New Roman" w:cs="Times New Roman"/>
          <w:sz w:val="28"/>
          <w:szCs w:val="28"/>
        </w:rPr>
        <w:t>межсекторального сотрудничества</w:t>
      </w:r>
      <w:r w:rsidR="00F91BE1" w:rsidRPr="004135FE">
        <w:rPr>
          <w:rFonts w:ascii="Times New Roman" w:hAnsi="Times New Roman" w:cs="Times New Roman"/>
          <w:sz w:val="28"/>
          <w:szCs w:val="28"/>
          <w:lang w:val="kk-KZ"/>
        </w:rPr>
        <w:t xml:space="preserve"> при </w:t>
      </w:r>
      <w:r w:rsidR="00F91BE1" w:rsidRPr="004135FE">
        <w:rPr>
          <w:rFonts w:ascii="Times New Roman" w:hAnsi="Times New Roman" w:cs="Times New Roman"/>
          <w:sz w:val="28"/>
          <w:szCs w:val="28"/>
        </w:rPr>
        <w:t>СД2т</w:t>
      </w:r>
      <w:r w:rsidRPr="004135FE">
        <w:rPr>
          <w:rFonts w:ascii="Times New Roman" w:hAnsi="Times New Roman" w:cs="Times New Roman"/>
          <w:sz w:val="28"/>
          <w:szCs w:val="28"/>
        </w:rPr>
        <w:t>, объектами исследования были пациенты с СД2т и врачи эндокринологи городских поликлиник. Приняли участия 35 врачей, 480 пациентов.</w:t>
      </w:r>
    </w:p>
    <w:p w14:paraId="2A3DD1D0" w14:textId="77777777" w:rsidR="004461EE" w:rsidRPr="004135FE" w:rsidRDefault="004461EE" w:rsidP="00F43B53">
      <w:pPr>
        <w:spacing w:after="0" w:line="240" w:lineRule="auto"/>
        <w:ind w:firstLine="709"/>
        <w:jc w:val="both"/>
        <w:rPr>
          <w:rFonts w:ascii="Times New Roman" w:hAnsi="Times New Roman" w:cs="Times New Roman"/>
          <w:b/>
          <w:i/>
          <w:sz w:val="28"/>
          <w:szCs w:val="28"/>
        </w:rPr>
      </w:pPr>
      <w:r w:rsidRPr="004135FE">
        <w:rPr>
          <w:rFonts w:ascii="Times New Roman" w:hAnsi="Times New Roman" w:cs="Times New Roman"/>
          <w:sz w:val="28"/>
          <w:szCs w:val="28"/>
        </w:rPr>
        <w:t xml:space="preserve">Социологический опрос проведена в </w:t>
      </w:r>
      <w:r w:rsidRPr="004135FE">
        <w:rPr>
          <w:rFonts w:ascii="Times New Roman" w:hAnsi="Times New Roman" w:cs="Times New Roman"/>
          <w:sz w:val="28"/>
          <w:szCs w:val="28"/>
          <w:lang w:val="en-US"/>
        </w:rPr>
        <w:t>on</w:t>
      </w:r>
      <w:r w:rsidRPr="004135FE">
        <w:rPr>
          <w:rFonts w:ascii="Times New Roman" w:hAnsi="Times New Roman" w:cs="Times New Roman"/>
          <w:sz w:val="28"/>
          <w:szCs w:val="28"/>
        </w:rPr>
        <w:t>-</w:t>
      </w:r>
      <w:r w:rsidRPr="004135FE">
        <w:rPr>
          <w:rFonts w:ascii="Times New Roman" w:hAnsi="Times New Roman" w:cs="Times New Roman"/>
          <w:sz w:val="28"/>
          <w:szCs w:val="28"/>
          <w:lang w:val="en-US"/>
        </w:rPr>
        <w:t>line</w:t>
      </w:r>
      <w:r w:rsidRPr="004135FE">
        <w:rPr>
          <w:rFonts w:ascii="Times New Roman" w:hAnsi="Times New Roman" w:cs="Times New Roman"/>
          <w:sz w:val="28"/>
          <w:szCs w:val="28"/>
        </w:rPr>
        <w:t xml:space="preserve"> режиме в электронном варианте. В связи с возникшим карантином пандемии </w:t>
      </w:r>
      <w:r w:rsidRPr="004135FE">
        <w:rPr>
          <w:rFonts w:ascii="Times New Roman" w:hAnsi="Times New Roman" w:cs="Times New Roman"/>
          <w:sz w:val="28"/>
          <w:szCs w:val="28"/>
          <w:lang w:val="en-US"/>
        </w:rPr>
        <w:t>Covid</w:t>
      </w:r>
      <w:r w:rsidRPr="004135FE">
        <w:rPr>
          <w:rFonts w:ascii="Times New Roman" w:hAnsi="Times New Roman" w:cs="Times New Roman"/>
          <w:sz w:val="28"/>
          <w:szCs w:val="28"/>
        </w:rPr>
        <w:t xml:space="preserve">-19 в городских поликлиниках было резко снижена посещаемость пациентов и зачастую медицинский персонал работал на дистанционном уровне, поэтому не рекомендуется излишний контакт для соблюдения мер предосторожностей. </w:t>
      </w:r>
      <w:r w:rsidRPr="004135FE">
        <w:rPr>
          <w:rFonts w:ascii="Times New Roman" w:eastAsiaTheme="minorHAnsi" w:hAnsi="Times New Roman" w:cs="Times New Roman"/>
          <w:sz w:val="28"/>
          <w:szCs w:val="28"/>
          <w:lang w:eastAsia="en-US"/>
        </w:rPr>
        <w:t>Все участники исследования ответили на анонимный опросник в Интернете. Среди пациентов, у кого были трудности с заполнением онлайн-формы были приглашены в поликлинику на прием участкового эндокринолога для заполнения бумажной формы.</w:t>
      </w:r>
      <w:r w:rsidRPr="004135FE">
        <w:rPr>
          <w:rFonts w:ascii="Times New Roman" w:hAnsi="Times New Roman" w:cs="Times New Roman"/>
          <w:sz w:val="28"/>
          <w:szCs w:val="28"/>
        </w:rPr>
        <w:t xml:space="preserve"> </w:t>
      </w:r>
    </w:p>
    <w:p w14:paraId="20A6F075" w14:textId="77777777" w:rsidR="004461EE" w:rsidRPr="004135FE" w:rsidRDefault="004461EE" w:rsidP="00F43B53">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Данное исследование проводилось в г.Алматы, являющемся городом республиканского значения, крупным промышленным, финансовым и культурным центром Казахстана. Численность постоянно проживающего населения города в 2021 г. составила 2 131 130человек, из них 967 118 мужчин и </w:t>
      </w:r>
      <w:r w:rsidRPr="004135FE">
        <w:rPr>
          <w:rFonts w:ascii="Times New Roman" w:eastAsia="Times New Roman" w:hAnsi="Times New Roman" w:cs="Times New Roman"/>
          <w:sz w:val="28"/>
          <w:szCs w:val="28"/>
        </w:rPr>
        <w:t>1164012 женщин</w:t>
      </w:r>
      <w:r w:rsidRPr="004135FE">
        <w:rPr>
          <w:rFonts w:ascii="Times New Roman" w:hAnsi="Times New Roman" w:cs="Times New Roman"/>
          <w:sz w:val="28"/>
          <w:szCs w:val="28"/>
        </w:rPr>
        <w:t xml:space="preserve"> и постоянно увеличивается.</w:t>
      </w:r>
    </w:p>
    <w:p w14:paraId="3F636E74" w14:textId="6FAE62B5" w:rsidR="004461EE" w:rsidRPr="004135FE" w:rsidRDefault="004461EE" w:rsidP="00F43B53">
      <w:pPr>
        <w:spacing w:after="0" w:line="240" w:lineRule="auto"/>
        <w:ind w:firstLine="709"/>
        <w:jc w:val="both"/>
        <w:rPr>
          <w:rFonts w:ascii="Times New Roman" w:hAnsi="Times New Roman" w:cs="Times New Roman"/>
          <w:sz w:val="28"/>
          <w:szCs w:val="28"/>
          <w:lang w:val="kk-KZ"/>
        </w:rPr>
      </w:pPr>
      <w:r w:rsidRPr="004135FE">
        <w:rPr>
          <w:rFonts w:ascii="Times New Roman" w:hAnsi="Times New Roman" w:cs="Times New Roman"/>
          <w:sz w:val="28"/>
          <w:szCs w:val="28"/>
          <w:shd w:val="clear" w:color="auto" w:fill="FFFFFF"/>
        </w:rPr>
        <w:t xml:space="preserve">Учитывая исторические, географические, градостроительные особенности территории, численность и плотность населения, социально-экономические характеристики, наличие инженерной инфраструктуры и других особенностей территориально город </w:t>
      </w:r>
      <w:r w:rsidRPr="004135FE">
        <w:rPr>
          <w:rFonts w:ascii="Times New Roman" w:hAnsi="Times New Roman" w:cs="Times New Roman"/>
          <w:bCs/>
          <w:sz w:val="28"/>
          <w:szCs w:val="28"/>
        </w:rPr>
        <w:t xml:space="preserve">Алматы разделен нa 8 </w:t>
      </w:r>
      <w:r w:rsidRPr="004135FE">
        <w:rPr>
          <w:rFonts w:ascii="Times New Roman" w:hAnsi="Times New Roman" w:cs="Times New Roman"/>
          <w:sz w:val="28"/>
          <w:szCs w:val="28"/>
          <w:shd w:val="clear" w:color="auto" w:fill="FFFFFF"/>
        </w:rPr>
        <w:t xml:space="preserve">административных районов </w:t>
      </w:r>
      <w:r w:rsidR="0035044D" w:rsidRPr="004135FE">
        <w:rPr>
          <w:rFonts w:ascii="Times New Roman" w:hAnsi="Times New Roman" w:cs="Times New Roman"/>
          <w:bCs/>
          <w:sz w:val="28"/>
          <w:szCs w:val="28"/>
        </w:rPr>
        <w:t>[156</w:t>
      </w:r>
      <w:r w:rsidRPr="004135FE">
        <w:rPr>
          <w:rFonts w:ascii="Times New Roman" w:hAnsi="Times New Roman" w:cs="Times New Roman"/>
          <w:sz w:val="28"/>
          <w:szCs w:val="28"/>
          <w:lang w:val="kk-KZ"/>
        </w:rPr>
        <w:t>]</w:t>
      </w:r>
      <w:r w:rsidRPr="004135FE">
        <w:rPr>
          <w:rFonts w:ascii="Times New Roman" w:hAnsi="Times New Roman" w:cs="Times New Roman"/>
          <w:sz w:val="28"/>
          <w:szCs w:val="28"/>
          <w:shd w:val="clear" w:color="auto" w:fill="FFFFFF"/>
          <w:lang w:val="kk-KZ"/>
        </w:rPr>
        <w:t xml:space="preserve">. </w:t>
      </w:r>
    </w:p>
    <w:p w14:paraId="64912996" w14:textId="77777777" w:rsidR="004461EE" w:rsidRPr="004135FE" w:rsidRDefault="004461EE" w:rsidP="00F43B53">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При определении объема социологического исследования учитывались пропорции численности населения с учетом намечаемого количества респондентов. </w:t>
      </w:r>
      <w:r w:rsidRPr="004135FE">
        <w:rPr>
          <w:rFonts w:ascii="Times New Roman" w:hAnsi="Times New Roman" w:cs="Times New Roman"/>
          <w:sz w:val="28"/>
          <w:szCs w:val="28"/>
          <w:lang w:val="kk-KZ"/>
        </w:rPr>
        <w:t>Численность насления города за 2012 и 2021 годы представлена в приложении А.</w:t>
      </w:r>
    </w:p>
    <w:p w14:paraId="2FF54A57" w14:textId="77777777" w:rsidR="004461EE" w:rsidRPr="00F43B53" w:rsidRDefault="004461EE" w:rsidP="00F43B53">
      <w:pPr>
        <w:widowControl w:val="0"/>
        <w:autoSpaceDE w:val="0"/>
        <w:autoSpaceDN w:val="0"/>
        <w:adjustRightInd w:val="0"/>
        <w:spacing w:after="0" w:line="240" w:lineRule="auto"/>
        <w:ind w:firstLine="709"/>
        <w:jc w:val="both"/>
        <w:rPr>
          <w:rFonts w:ascii="Times New Roman" w:hAnsi="Times New Roman" w:cs="Times New Roman"/>
          <w:bCs/>
          <w:sz w:val="28"/>
          <w:szCs w:val="28"/>
        </w:rPr>
      </w:pPr>
      <w:r w:rsidRPr="00F43B53">
        <w:rPr>
          <w:rFonts w:ascii="Times New Roman" w:hAnsi="Times New Roman" w:cs="Times New Roman"/>
          <w:bCs/>
          <w:sz w:val="28"/>
          <w:szCs w:val="28"/>
        </w:rPr>
        <w:t xml:space="preserve">Место проведения исследования: </w:t>
      </w:r>
    </w:p>
    <w:p w14:paraId="7031C631" w14:textId="77777777" w:rsidR="004461EE" w:rsidRPr="004135FE" w:rsidRDefault="004461EE" w:rsidP="00F43B53">
      <w:pPr>
        <w:widowControl w:val="0"/>
        <w:autoSpaceDE w:val="0"/>
        <w:autoSpaceDN w:val="0"/>
        <w:adjustRightInd w:val="0"/>
        <w:spacing w:after="0" w:line="240" w:lineRule="auto"/>
        <w:ind w:firstLine="709"/>
        <w:jc w:val="both"/>
        <w:rPr>
          <w:rFonts w:ascii="Times New Roman" w:eastAsia="Times New Roman" w:hAnsi="Times New Roman" w:cs="Times New Roman"/>
          <w:b/>
          <w:sz w:val="28"/>
          <w:szCs w:val="28"/>
        </w:rPr>
      </w:pPr>
      <w:r w:rsidRPr="004135FE">
        <w:rPr>
          <w:rFonts w:ascii="Times New Roman" w:hAnsi="Times New Roman" w:cs="Times New Roman"/>
          <w:sz w:val="28"/>
          <w:szCs w:val="28"/>
        </w:rPr>
        <w:t>Социологический опрос пациентов с СД2т проведен по нижеуказанным медицинским организациям города Алматы:</w:t>
      </w:r>
    </w:p>
    <w:p w14:paraId="408D36CB" w14:textId="203088D5" w:rsidR="004461EE" w:rsidRPr="004135FE" w:rsidRDefault="004461EE" w:rsidP="00F43B53">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lastRenderedPageBreak/>
        <w:t>- Городская поликлиника №1</w:t>
      </w:r>
      <w:r w:rsidRPr="004135FE">
        <w:rPr>
          <w:rFonts w:ascii="Times New Roman" w:hAnsi="Times New Roman" w:cs="Times New Roman"/>
          <w:sz w:val="28"/>
          <w:szCs w:val="28"/>
          <w:lang w:val="kk-KZ"/>
        </w:rPr>
        <w:t>6</w:t>
      </w:r>
      <w:r w:rsidR="00EE7E31" w:rsidRPr="004135FE">
        <w:rPr>
          <w:rFonts w:ascii="Times New Roman" w:hAnsi="Times New Roman" w:cs="Times New Roman"/>
          <w:sz w:val="28"/>
          <w:szCs w:val="28"/>
        </w:rPr>
        <w:t>, Ауэ</w:t>
      </w:r>
      <w:r w:rsidRPr="004135FE">
        <w:rPr>
          <w:rFonts w:ascii="Times New Roman" w:hAnsi="Times New Roman" w:cs="Times New Roman"/>
          <w:sz w:val="28"/>
          <w:szCs w:val="28"/>
        </w:rPr>
        <w:t>зовский район</w:t>
      </w:r>
      <w:r w:rsidR="00F43B53">
        <w:rPr>
          <w:rFonts w:ascii="Times New Roman" w:hAnsi="Times New Roman" w:cs="Times New Roman"/>
          <w:sz w:val="28"/>
          <w:szCs w:val="28"/>
        </w:rPr>
        <w:t>;</w:t>
      </w:r>
    </w:p>
    <w:p w14:paraId="047BE04B" w14:textId="00FE0B5B" w:rsidR="004461EE" w:rsidRPr="004135FE" w:rsidRDefault="004461EE" w:rsidP="00F43B53">
      <w:pPr>
        <w:widowControl w:val="0"/>
        <w:autoSpaceDE w:val="0"/>
        <w:autoSpaceDN w:val="0"/>
        <w:adjustRightInd w:val="0"/>
        <w:spacing w:after="0" w:line="240" w:lineRule="auto"/>
        <w:ind w:firstLine="709"/>
        <w:jc w:val="both"/>
        <w:rPr>
          <w:rFonts w:ascii="Times New Roman" w:hAnsi="Times New Roman" w:cs="Times New Roman"/>
          <w:sz w:val="28"/>
          <w:szCs w:val="28"/>
          <w:lang w:val="kk-KZ"/>
        </w:rPr>
      </w:pPr>
      <w:r w:rsidRPr="004135FE">
        <w:rPr>
          <w:rFonts w:ascii="Times New Roman" w:hAnsi="Times New Roman" w:cs="Times New Roman"/>
          <w:sz w:val="28"/>
          <w:szCs w:val="28"/>
        </w:rPr>
        <w:t>- Городская поликлиника №</w:t>
      </w:r>
      <w:r w:rsidRPr="004135FE">
        <w:rPr>
          <w:rFonts w:ascii="Times New Roman" w:hAnsi="Times New Roman" w:cs="Times New Roman"/>
          <w:sz w:val="28"/>
          <w:szCs w:val="28"/>
          <w:lang w:val="kk-KZ"/>
        </w:rPr>
        <w:t>11</w:t>
      </w:r>
      <w:r w:rsidRPr="004135FE">
        <w:rPr>
          <w:rFonts w:ascii="Times New Roman" w:hAnsi="Times New Roman" w:cs="Times New Roman"/>
          <w:sz w:val="28"/>
          <w:szCs w:val="28"/>
        </w:rPr>
        <w:t>,</w:t>
      </w:r>
      <w:r w:rsidRPr="004135FE">
        <w:rPr>
          <w:rFonts w:ascii="Times New Roman" w:hAnsi="Times New Roman" w:cs="Times New Roman"/>
          <w:sz w:val="28"/>
          <w:szCs w:val="28"/>
          <w:lang w:val="kk-KZ"/>
        </w:rPr>
        <w:t xml:space="preserve"> Жетысуский район</w:t>
      </w:r>
      <w:r w:rsidR="00F43B53">
        <w:rPr>
          <w:rFonts w:ascii="Times New Roman" w:hAnsi="Times New Roman" w:cs="Times New Roman"/>
          <w:sz w:val="28"/>
          <w:szCs w:val="28"/>
          <w:lang w:val="kk-KZ"/>
        </w:rPr>
        <w:t>;</w:t>
      </w:r>
    </w:p>
    <w:p w14:paraId="1F5848DB" w14:textId="2D064979" w:rsidR="004461EE" w:rsidRPr="004135FE" w:rsidRDefault="004461EE" w:rsidP="00F43B53">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Городская поликлиника №8, Алмалинский район</w:t>
      </w:r>
      <w:r w:rsidR="00F43B53">
        <w:rPr>
          <w:rFonts w:ascii="Times New Roman" w:hAnsi="Times New Roman" w:cs="Times New Roman"/>
          <w:sz w:val="28"/>
          <w:szCs w:val="28"/>
        </w:rPr>
        <w:t>;</w:t>
      </w:r>
    </w:p>
    <w:p w14:paraId="18EFC876" w14:textId="653D6F43" w:rsidR="004461EE" w:rsidRPr="004135FE" w:rsidRDefault="004461EE" w:rsidP="00F43B53">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Городская поликлиника №12, Бостандыкский район</w:t>
      </w:r>
      <w:r w:rsidR="00F43B53">
        <w:rPr>
          <w:rFonts w:ascii="Times New Roman" w:hAnsi="Times New Roman" w:cs="Times New Roman"/>
          <w:sz w:val="28"/>
          <w:szCs w:val="28"/>
        </w:rPr>
        <w:t>;</w:t>
      </w:r>
    </w:p>
    <w:p w14:paraId="41EA149C" w14:textId="00E24D8D" w:rsidR="004461EE" w:rsidRPr="004135FE" w:rsidRDefault="004461EE" w:rsidP="00F43B53">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Городская поликлиника №1, Медеуский район</w:t>
      </w:r>
      <w:r w:rsidR="00F43B53">
        <w:rPr>
          <w:rFonts w:ascii="Times New Roman" w:hAnsi="Times New Roman" w:cs="Times New Roman"/>
          <w:sz w:val="28"/>
          <w:szCs w:val="28"/>
        </w:rPr>
        <w:t>;</w:t>
      </w:r>
    </w:p>
    <w:p w14:paraId="4C2571EC" w14:textId="04C5BABF" w:rsidR="004461EE" w:rsidRPr="004135FE" w:rsidRDefault="004461EE" w:rsidP="00F43B53">
      <w:pPr>
        <w:widowControl w:val="0"/>
        <w:autoSpaceDE w:val="0"/>
        <w:autoSpaceDN w:val="0"/>
        <w:adjustRightInd w:val="0"/>
        <w:spacing w:after="0" w:line="240" w:lineRule="auto"/>
        <w:ind w:firstLine="709"/>
        <w:jc w:val="both"/>
        <w:rPr>
          <w:rFonts w:ascii="Times New Roman" w:eastAsia="Times New Roman" w:hAnsi="Times New Roman" w:cs="Times New Roman"/>
          <w:b/>
          <w:sz w:val="28"/>
          <w:szCs w:val="28"/>
        </w:rPr>
      </w:pPr>
      <w:r w:rsidRPr="004135FE">
        <w:rPr>
          <w:rFonts w:ascii="Times New Roman" w:hAnsi="Times New Roman" w:cs="Times New Roman"/>
          <w:sz w:val="28"/>
          <w:szCs w:val="28"/>
        </w:rPr>
        <w:t>- Городская поликлиника №23, Алатауский район</w:t>
      </w:r>
      <w:r w:rsidR="00F43B53">
        <w:rPr>
          <w:rFonts w:ascii="Times New Roman" w:hAnsi="Times New Roman" w:cs="Times New Roman"/>
          <w:sz w:val="28"/>
          <w:szCs w:val="28"/>
        </w:rPr>
        <w:t>;</w:t>
      </w:r>
    </w:p>
    <w:p w14:paraId="53904EFD" w14:textId="3099DE6C" w:rsidR="004461EE" w:rsidRPr="004135FE" w:rsidRDefault="004461EE" w:rsidP="00F43B53">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Городская поликлиника №32, Турксибский район</w:t>
      </w:r>
      <w:r w:rsidR="00F43B53">
        <w:rPr>
          <w:rFonts w:ascii="Times New Roman" w:hAnsi="Times New Roman" w:cs="Times New Roman"/>
          <w:sz w:val="28"/>
          <w:szCs w:val="28"/>
        </w:rPr>
        <w:t>;</w:t>
      </w:r>
    </w:p>
    <w:p w14:paraId="62331B19" w14:textId="19F69A94" w:rsidR="004461EE" w:rsidRPr="004135FE" w:rsidRDefault="004461EE" w:rsidP="00F43B53">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Городская поликлиника №</w:t>
      </w:r>
      <w:r w:rsidRPr="004135FE">
        <w:rPr>
          <w:rFonts w:ascii="Times New Roman" w:eastAsia="Times New Roman" w:hAnsi="Times New Roman" w:cs="Times New Roman"/>
          <w:sz w:val="28"/>
          <w:szCs w:val="28"/>
        </w:rPr>
        <w:t>26, Наурызбайский</w:t>
      </w:r>
      <w:r w:rsidRPr="004135FE">
        <w:rPr>
          <w:rFonts w:ascii="Times New Roman" w:hAnsi="Times New Roman" w:cs="Times New Roman"/>
          <w:sz w:val="28"/>
          <w:szCs w:val="28"/>
        </w:rPr>
        <w:t xml:space="preserve"> район</w:t>
      </w:r>
      <w:r w:rsidR="00F43B53">
        <w:rPr>
          <w:rFonts w:ascii="Times New Roman" w:hAnsi="Times New Roman" w:cs="Times New Roman"/>
          <w:sz w:val="28"/>
          <w:szCs w:val="28"/>
        </w:rPr>
        <w:t>.</w:t>
      </w:r>
    </w:p>
    <w:p w14:paraId="5DA36A18" w14:textId="77777777" w:rsidR="004461EE" w:rsidRPr="00F43B53" w:rsidRDefault="004461EE" w:rsidP="00F43B53">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43B53">
        <w:rPr>
          <w:rFonts w:ascii="Times New Roman" w:eastAsia="Times New Roman" w:hAnsi="Times New Roman" w:cs="Times New Roman"/>
          <w:sz w:val="28"/>
          <w:szCs w:val="28"/>
        </w:rPr>
        <w:t xml:space="preserve">Распределение по полу, участвующих в опросе пациентов и врачей эндокринологов. Гендерного распределения в планируемом исследовании не предполагается. В исследование включены участники обоих полов без количественного разграничения. </w:t>
      </w:r>
    </w:p>
    <w:p w14:paraId="6129F6A7" w14:textId="556935F8" w:rsidR="004461EE" w:rsidRPr="00F43B53" w:rsidRDefault="004461EE" w:rsidP="00F43B53">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43B53">
        <w:rPr>
          <w:rFonts w:ascii="Times New Roman" w:eastAsia="Times New Roman" w:hAnsi="Times New Roman" w:cs="Times New Roman"/>
          <w:sz w:val="28"/>
          <w:szCs w:val="28"/>
        </w:rPr>
        <w:t xml:space="preserve">Возраст. </w:t>
      </w:r>
      <w:r w:rsidRPr="00F43B53">
        <w:rPr>
          <w:rFonts w:ascii="Times New Roman" w:hAnsi="Times New Roman" w:cs="Times New Roman"/>
          <w:sz w:val="28"/>
          <w:szCs w:val="28"/>
        </w:rPr>
        <w:t>Возрастной диапазон участников от 18</w:t>
      </w:r>
      <w:r w:rsidR="00F43B53">
        <w:rPr>
          <w:rFonts w:ascii="Times New Roman" w:hAnsi="Times New Roman" w:cs="Times New Roman"/>
          <w:sz w:val="28"/>
          <w:szCs w:val="28"/>
        </w:rPr>
        <w:t xml:space="preserve"> </w:t>
      </w:r>
      <w:r w:rsidRPr="00F43B53">
        <w:rPr>
          <w:rFonts w:ascii="Times New Roman" w:hAnsi="Times New Roman" w:cs="Times New Roman"/>
          <w:sz w:val="28"/>
          <w:szCs w:val="28"/>
        </w:rPr>
        <w:t>лет</w:t>
      </w:r>
      <w:r w:rsidRPr="00F43B53">
        <w:rPr>
          <w:rFonts w:ascii="Times New Roman" w:eastAsia="Times New Roman" w:hAnsi="Times New Roman" w:cs="Times New Roman"/>
          <w:sz w:val="28"/>
          <w:szCs w:val="28"/>
        </w:rPr>
        <w:t xml:space="preserve">, без ограничений. </w:t>
      </w:r>
    </w:p>
    <w:p w14:paraId="21E86001" w14:textId="77777777" w:rsidR="004461EE" w:rsidRPr="00F43B53" w:rsidRDefault="004461EE" w:rsidP="00F43B53">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43B53">
        <w:rPr>
          <w:rFonts w:ascii="Times New Roman" w:eastAsia="Times New Roman" w:hAnsi="Times New Roman" w:cs="Times New Roman"/>
          <w:sz w:val="28"/>
          <w:szCs w:val="28"/>
        </w:rPr>
        <w:t xml:space="preserve">Национальность (этническая принадлежность). Распределения по национальному признаку не проводились. В исследование включены участники любой национальности без ограничений. </w:t>
      </w:r>
    </w:p>
    <w:p w14:paraId="6AB7B916" w14:textId="77777777" w:rsidR="004461EE" w:rsidRPr="00F43B53" w:rsidRDefault="004461EE" w:rsidP="00F43B53">
      <w:pPr>
        <w:widowControl w:val="0"/>
        <w:tabs>
          <w:tab w:val="left" w:pos="567"/>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43B53">
        <w:rPr>
          <w:rFonts w:ascii="Times New Roman" w:eastAsia="Times New Roman" w:hAnsi="Times New Roman" w:cs="Times New Roman"/>
          <w:sz w:val="28"/>
          <w:szCs w:val="28"/>
        </w:rPr>
        <w:t xml:space="preserve">Критерии для включения. </w:t>
      </w:r>
    </w:p>
    <w:p w14:paraId="25448013" w14:textId="77777777" w:rsidR="004461EE" w:rsidRPr="00F43B53" w:rsidRDefault="004461EE" w:rsidP="00F43B53">
      <w:pPr>
        <w:widowControl w:val="0"/>
        <w:tabs>
          <w:tab w:val="left" w:pos="426"/>
        </w:tabs>
        <w:autoSpaceDE w:val="0"/>
        <w:autoSpaceDN w:val="0"/>
        <w:adjustRightInd w:val="0"/>
        <w:spacing w:after="0" w:line="240" w:lineRule="auto"/>
        <w:ind w:right="191" w:firstLine="709"/>
        <w:jc w:val="both"/>
        <w:rPr>
          <w:rFonts w:ascii="Times New Roman" w:eastAsia="Times New Roman" w:hAnsi="Times New Roman" w:cs="Times New Roman"/>
          <w:sz w:val="28"/>
          <w:szCs w:val="28"/>
        </w:rPr>
      </w:pPr>
      <w:r w:rsidRPr="00F43B53">
        <w:rPr>
          <w:rFonts w:ascii="Times New Roman" w:eastAsia="Times New Roman" w:hAnsi="Times New Roman" w:cs="Times New Roman"/>
          <w:sz w:val="28"/>
          <w:szCs w:val="28"/>
        </w:rPr>
        <w:t>Пациенты, состоящие на диспансерном учете по СД2т и врачи эндокринологи городских поликлиник.</w:t>
      </w:r>
    </w:p>
    <w:p w14:paraId="4FF20EC6" w14:textId="77777777" w:rsidR="004461EE" w:rsidRPr="00F43B53" w:rsidRDefault="004461EE" w:rsidP="00F43B53">
      <w:pPr>
        <w:widowControl w:val="0"/>
        <w:tabs>
          <w:tab w:val="left" w:pos="426"/>
        </w:tabs>
        <w:autoSpaceDE w:val="0"/>
        <w:autoSpaceDN w:val="0"/>
        <w:adjustRightInd w:val="0"/>
        <w:spacing w:after="0" w:line="240" w:lineRule="auto"/>
        <w:ind w:right="191" w:firstLine="709"/>
        <w:jc w:val="both"/>
        <w:rPr>
          <w:rFonts w:ascii="Times New Roman" w:eastAsia="Times New Roman" w:hAnsi="Times New Roman" w:cs="Times New Roman"/>
          <w:sz w:val="28"/>
          <w:szCs w:val="28"/>
        </w:rPr>
      </w:pPr>
      <w:r w:rsidRPr="00F43B53">
        <w:rPr>
          <w:rFonts w:ascii="Times New Roman" w:eastAsia="Times New Roman" w:hAnsi="Times New Roman" w:cs="Times New Roman"/>
          <w:sz w:val="28"/>
          <w:szCs w:val="28"/>
        </w:rPr>
        <w:t>Критерии для исключения. Дети, подростки, беременные женщины, отказавшиеся от участия, лица, которые не поняли цель исследования.</w:t>
      </w:r>
    </w:p>
    <w:p w14:paraId="142DB2C6" w14:textId="77777777" w:rsidR="004461EE" w:rsidRPr="00F43B53" w:rsidRDefault="004461EE" w:rsidP="00F43B53">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F43B53">
        <w:rPr>
          <w:rFonts w:ascii="Times New Roman" w:hAnsi="Times New Roman" w:cs="Times New Roman"/>
          <w:sz w:val="28"/>
          <w:szCs w:val="28"/>
        </w:rPr>
        <w:t xml:space="preserve">Уязвимые группы. В исследование включены только те лица, от которых получено информированное согласие, несмотря на полученное информированное согласие они могут отказаться от участия в исследовании на любом этапе. </w:t>
      </w:r>
    </w:p>
    <w:p w14:paraId="291047FC" w14:textId="77777777" w:rsidR="004461EE" w:rsidRPr="00F43B53" w:rsidRDefault="004461EE" w:rsidP="00F43B53">
      <w:pPr>
        <w:spacing w:after="0" w:line="240" w:lineRule="auto"/>
        <w:ind w:firstLine="709"/>
        <w:jc w:val="both"/>
        <w:rPr>
          <w:rFonts w:ascii="Times New Roman" w:hAnsi="Times New Roman" w:cs="Times New Roman"/>
          <w:sz w:val="28"/>
          <w:szCs w:val="28"/>
        </w:rPr>
      </w:pPr>
      <w:r w:rsidRPr="00F43B53">
        <w:rPr>
          <w:rFonts w:ascii="Times New Roman" w:hAnsi="Times New Roman" w:cs="Times New Roman"/>
          <w:sz w:val="28"/>
          <w:szCs w:val="28"/>
        </w:rPr>
        <w:t>Общая характеристика участников исследования.</w:t>
      </w:r>
    </w:p>
    <w:p w14:paraId="70A65CB2" w14:textId="77777777" w:rsidR="004461EE" w:rsidRPr="00F43B53" w:rsidRDefault="004461EE" w:rsidP="00F43B53">
      <w:pPr>
        <w:spacing w:after="0" w:line="240" w:lineRule="auto"/>
        <w:ind w:firstLine="709"/>
        <w:jc w:val="both"/>
        <w:rPr>
          <w:rFonts w:ascii="Times New Roman" w:hAnsi="Times New Roman" w:cs="Times New Roman"/>
          <w:sz w:val="28"/>
          <w:szCs w:val="28"/>
        </w:rPr>
      </w:pPr>
      <w:r w:rsidRPr="00F43B53">
        <w:rPr>
          <w:rFonts w:ascii="Times New Roman" w:hAnsi="Times New Roman" w:cs="Times New Roman"/>
          <w:sz w:val="28"/>
          <w:szCs w:val="28"/>
        </w:rPr>
        <w:t>Респонденты- врачи эндокринологи.</w:t>
      </w:r>
    </w:p>
    <w:p w14:paraId="393F03D0" w14:textId="793BFA9B" w:rsidR="004461EE" w:rsidRPr="004135FE" w:rsidRDefault="004461EE" w:rsidP="00F43B53">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Всего в исследовании приняли участие – 35 эндокринологов, из них мужчин - 6 и женщин - 29. Все участники прошли </w:t>
      </w:r>
      <w:r w:rsidRPr="004135FE">
        <w:rPr>
          <w:rFonts w:ascii="Times New Roman" w:hAnsi="Times New Roman" w:cs="Times New Roman"/>
          <w:sz w:val="28"/>
          <w:szCs w:val="28"/>
          <w:lang w:val="en-US"/>
        </w:rPr>
        <w:t>on</w:t>
      </w:r>
      <w:r w:rsidRPr="004135FE">
        <w:rPr>
          <w:rFonts w:ascii="Times New Roman" w:hAnsi="Times New Roman" w:cs="Times New Roman"/>
          <w:sz w:val="28"/>
          <w:szCs w:val="28"/>
        </w:rPr>
        <w:t>-</w:t>
      </w:r>
      <w:r w:rsidRPr="004135FE">
        <w:rPr>
          <w:rFonts w:ascii="Times New Roman" w:hAnsi="Times New Roman" w:cs="Times New Roman"/>
          <w:sz w:val="28"/>
          <w:szCs w:val="28"/>
          <w:lang w:val="en-US"/>
        </w:rPr>
        <w:t>line</w:t>
      </w:r>
      <w:r w:rsidRPr="004135FE">
        <w:rPr>
          <w:rFonts w:ascii="Times New Roman" w:hAnsi="Times New Roman" w:cs="Times New Roman"/>
          <w:sz w:val="28"/>
          <w:szCs w:val="28"/>
        </w:rPr>
        <w:t xml:space="preserve"> анкетирование после информационного согласия на участия. </w:t>
      </w:r>
      <w:r w:rsidR="000E6335" w:rsidRPr="004135FE">
        <w:rPr>
          <w:rFonts w:ascii="Times New Roman" w:hAnsi="Times New Roman" w:cs="Times New Roman"/>
          <w:sz w:val="28"/>
          <w:szCs w:val="28"/>
        </w:rPr>
        <w:t>Статистический значимо,</w:t>
      </w:r>
      <w:r w:rsidRPr="004135FE">
        <w:rPr>
          <w:rFonts w:ascii="Times New Roman" w:hAnsi="Times New Roman" w:cs="Times New Roman"/>
          <w:sz w:val="28"/>
          <w:szCs w:val="28"/>
        </w:rPr>
        <w:t xml:space="preserve"> что в государственных поликлиниках г</w:t>
      </w:r>
      <w:r w:rsidR="000E6335" w:rsidRPr="004135FE">
        <w:rPr>
          <w:rFonts w:ascii="Times New Roman" w:hAnsi="Times New Roman" w:cs="Times New Roman"/>
          <w:sz w:val="28"/>
          <w:szCs w:val="28"/>
        </w:rPr>
        <w:t>.</w:t>
      </w:r>
      <w:r w:rsidRPr="004135FE">
        <w:rPr>
          <w:rFonts w:ascii="Times New Roman" w:hAnsi="Times New Roman" w:cs="Times New Roman"/>
          <w:sz w:val="28"/>
          <w:szCs w:val="28"/>
        </w:rPr>
        <w:t>Алматы большинство опрошенных врачей эндокринологов имели стаж работы до 5 лет без квалификационной категории, в возрасте до 30 лет. Среди респондентов высшая квалификационная категория имеется у 20%, 1 квалификационная категория у 29%, 2 квалификационная категория у 14%, нет категории у 37%.</w:t>
      </w:r>
    </w:p>
    <w:p w14:paraId="418212D0" w14:textId="77777777" w:rsidR="004461EE" w:rsidRPr="004135FE" w:rsidRDefault="004461EE" w:rsidP="004135FE">
      <w:pPr>
        <w:autoSpaceDE w:val="0"/>
        <w:autoSpaceDN w:val="0"/>
        <w:adjustRightInd w:val="0"/>
        <w:spacing w:after="0" w:line="240" w:lineRule="auto"/>
        <w:jc w:val="both"/>
        <w:rPr>
          <w:rFonts w:ascii="Times New Roman" w:hAnsi="Times New Roman" w:cs="Times New Roman"/>
          <w:sz w:val="28"/>
          <w:szCs w:val="28"/>
        </w:rPr>
      </w:pPr>
    </w:p>
    <w:p w14:paraId="6498F2BD" w14:textId="517675CC" w:rsidR="004461EE" w:rsidRDefault="008F153C"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Таблица 2</w:t>
      </w:r>
      <w:r w:rsidR="002A6229">
        <w:rPr>
          <w:rFonts w:ascii="Times New Roman" w:hAnsi="Times New Roman" w:cs="Times New Roman"/>
          <w:sz w:val="28"/>
          <w:szCs w:val="28"/>
        </w:rPr>
        <w:t xml:space="preserve"> - </w:t>
      </w:r>
      <w:r w:rsidR="004461EE" w:rsidRPr="004135FE">
        <w:rPr>
          <w:rFonts w:ascii="Times New Roman" w:hAnsi="Times New Roman" w:cs="Times New Roman"/>
          <w:sz w:val="28"/>
          <w:szCs w:val="28"/>
        </w:rPr>
        <w:t>Социально-демографическая характеристика врачей- эндокринологов</w:t>
      </w:r>
      <w:r w:rsidR="002A6229">
        <w:rPr>
          <w:rFonts w:ascii="Times New Roman" w:hAnsi="Times New Roman" w:cs="Times New Roman"/>
          <w:sz w:val="28"/>
          <w:szCs w:val="28"/>
        </w:rPr>
        <w:t xml:space="preserve"> </w:t>
      </w:r>
      <w:r w:rsidR="004461EE" w:rsidRPr="004135FE">
        <w:rPr>
          <w:rFonts w:ascii="Times New Roman" w:hAnsi="Times New Roman" w:cs="Times New Roman"/>
          <w:sz w:val="28"/>
          <w:szCs w:val="28"/>
        </w:rPr>
        <w:t>/</w:t>
      </w:r>
      <w:r w:rsidR="002A6229">
        <w:rPr>
          <w:rFonts w:ascii="Times New Roman" w:hAnsi="Times New Roman" w:cs="Times New Roman"/>
          <w:sz w:val="28"/>
          <w:szCs w:val="28"/>
        </w:rPr>
        <w:t xml:space="preserve"> </w:t>
      </w:r>
      <w:r w:rsidR="004461EE" w:rsidRPr="004135FE">
        <w:rPr>
          <w:rFonts w:ascii="Times New Roman" w:hAnsi="Times New Roman" w:cs="Times New Roman"/>
          <w:sz w:val="28"/>
          <w:szCs w:val="28"/>
        </w:rPr>
        <w:t>Персональные данные респондентов</w:t>
      </w:r>
    </w:p>
    <w:p w14:paraId="230AD263" w14:textId="77777777" w:rsidR="00F43B53" w:rsidRPr="004135FE" w:rsidRDefault="00F43B53" w:rsidP="004135FE">
      <w:pPr>
        <w:tabs>
          <w:tab w:val="left" w:pos="284"/>
        </w:tabs>
        <w:spacing w:after="0" w:line="240" w:lineRule="auto"/>
        <w:jc w:val="both"/>
        <w:rPr>
          <w:rFonts w:ascii="Times New Roman" w:hAnsi="Times New Roman" w:cs="Times New Roman"/>
          <w:sz w:val="28"/>
          <w:szCs w:val="28"/>
        </w:rPr>
      </w:pPr>
    </w:p>
    <w:tbl>
      <w:tblPr>
        <w:tblStyle w:val="af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1"/>
        <w:gridCol w:w="3124"/>
        <w:gridCol w:w="2999"/>
      </w:tblGrid>
      <w:tr w:rsidR="004461EE" w:rsidRPr="004135FE" w14:paraId="13BE6A89" w14:textId="77777777" w:rsidTr="002A6229">
        <w:tc>
          <w:tcPr>
            <w:tcW w:w="3221" w:type="dxa"/>
          </w:tcPr>
          <w:p w14:paraId="5AA527A8" w14:textId="77777777" w:rsidR="004461EE" w:rsidRPr="002A6229" w:rsidRDefault="004461EE" w:rsidP="004135FE">
            <w:pPr>
              <w:tabs>
                <w:tab w:val="left" w:pos="284"/>
              </w:tabs>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Признаки</w:t>
            </w:r>
          </w:p>
        </w:tc>
        <w:tc>
          <w:tcPr>
            <w:tcW w:w="3124" w:type="dxa"/>
          </w:tcPr>
          <w:p w14:paraId="0CEF408F" w14:textId="77777777" w:rsidR="004461EE" w:rsidRPr="002A6229" w:rsidRDefault="004461EE" w:rsidP="004135FE">
            <w:pPr>
              <w:tabs>
                <w:tab w:val="left" w:pos="284"/>
              </w:tabs>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Абсолютное число</w:t>
            </w:r>
          </w:p>
        </w:tc>
        <w:tc>
          <w:tcPr>
            <w:tcW w:w="2999" w:type="dxa"/>
          </w:tcPr>
          <w:p w14:paraId="518C7056" w14:textId="77777777" w:rsidR="004461EE" w:rsidRPr="002A6229" w:rsidRDefault="004461EE" w:rsidP="004135FE">
            <w:pPr>
              <w:tabs>
                <w:tab w:val="left" w:pos="284"/>
              </w:tabs>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w:t>
            </w:r>
          </w:p>
        </w:tc>
      </w:tr>
      <w:tr w:rsidR="004461EE" w:rsidRPr="004135FE" w14:paraId="1331A315" w14:textId="77777777" w:rsidTr="002A6229">
        <w:tc>
          <w:tcPr>
            <w:tcW w:w="9344" w:type="dxa"/>
            <w:gridSpan w:val="3"/>
          </w:tcPr>
          <w:p w14:paraId="0B09D4B4" w14:textId="77777777" w:rsidR="004461EE" w:rsidRPr="002A6229" w:rsidRDefault="004461EE" w:rsidP="004135FE">
            <w:pPr>
              <w:tabs>
                <w:tab w:val="left" w:pos="284"/>
              </w:tabs>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Пол</w:t>
            </w:r>
          </w:p>
        </w:tc>
      </w:tr>
      <w:tr w:rsidR="002A6229" w:rsidRPr="004135FE" w14:paraId="0FBEF785" w14:textId="77777777" w:rsidTr="002A6229">
        <w:tc>
          <w:tcPr>
            <w:tcW w:w="3221" w:type="dxa"/>
          </w:tcPr>
          <w:p w14:paraId="570356F2" w14:textId="174A391F" w:rsidR="002A6229" w:rsidRPr="002A6229" w:rsidRDefault="002A6229" w:rsidP="004135FE">
            <w:pPr>
              <w:tabs>
                <w:tab w:val="left" w:pos="284"/>
              </w:tabs>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w:t>
            </w:r>
          </w:p>
        </w:tc>
        <w:tc>
          <w:tcPr>
            <w:tcW w:w="3124" w:type="dxa"/>
          </w:tcPr>
          <w:p w14:paraId="362B736E" w14:textId="157E15FC" w:rsidR="002A6229" w:rsidRPr="002A6229" w:rsidRDefault="002A6229" w:rsidP="004135FE">
            <w:pPr>
              <w:tabs>
                <w:tab w:val="left" w:pos="284"/>
              </w:tabs>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w:t>
            </w:r>
          </w:p>
        </w:tc>
        <w:tc>
          <w:tcPr>
            <w:tcW w:w="2999" w:type="dxa"/>
          </w:tcPr>
          <w:p w14:paraId="76A0BEA7" w14:textId="211E0F1C" w:rsidR="002A6229" w:rsidRPr="002A6229" w:rsidRDefault="002A6229" w:rsidP="004135FE">
            <w:pPr>
              <w:tabs>
                <w:tab w:val="left" w:pos="284"/>
              </w:tabs>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3</w:t>
            </w:r>
          </w:p>
        </w:tc>
      </w:tr>
      <w:tr w:rsidR="004461EE" w:rsidRPr="004135FE" w14:paraId="613719EA" w14:textId="77777777" w:rsidTr="002A6229">
        <w:tc>
          <w:tcPr>
            <w:tcW w:w="3221" w:type="dxa"/>
            <w:tcBorders>
              <w:bottom w:val="single" w:sz="4" w:space="0" w:color="auto"/>
            </w:tcBorders>
          </w:tcPr>
          <w:p w14:paraId="724A1E1D" w14:textId="77777777" w:rsidR="004461EE" w:rsidRPr="004135FE" w:rsidRDefault="004461EE" w:rsidP="004135FE">
            <w:pPr>
              <w:widowControl w:val="0"/>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мужчины</w:t>
            </w:r>
          </w:p>
        </w:tc>
        <w:tc>
          <w:tcPr>
            <w:tcW w:w="3124" w:type="dxa"/>
            <w:tcBorders>
              <w:bottom w:val="single" w:sz="4" w:space="0" w:color="auto"/>
            </w:tcBorders>
          </w:tcPr>
          <w:p w14:paraId="2072354C" w14:textId="77777777" w:rsidR="004461EE" w:rsidRPr="004135FE" w:rsidRDefault="004461EE" w:rsidP="004135FE">
            <w:pPr>
              <w:widowControl w:val="0"/>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6</w:t>
            </w:r>
          </w:p>
        </w:tc>
        <w:tc>
          <w:tcPr>
            <w:tcW w:w="2999" w:type="dxa"/>
            <w:tcBorders>
              <w:bottom w:val="single" w:sz="4" w:space="0" w:color="auto"/>
            </w:tcBorders>
          </w:tcPr>
          <w:p w14:paraId="58737AB3" w14:textId="77777777" w:rsidR="004461EE" w:rsidRPr="004135FE" w:rsidRDefault="004461EE" w:rsidP="004135FE">
            <w:pPr>
              <w:widowControl w:val="0"/>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17,1</w:t>
            </w:r>
          </w:p>
        </w:tc>
      </w:tr>
      <w:tr w:rsidR="004461EE" w:rsidRPr="004135FE" w14:paraId="12556827" w14:textId="77777777" w:rsidTr="002A6229">
        <w:tc>
          <w:tcPr>
            <w:tcW w:w="3221" w:type="dxa"/>
            <w:tcBorders>
              <w:bottom w:val="nil"/>
            </w:tcBorders>
          </w:tcPr>
          <w:p w14:paraId="19EA0DA3" w14:textId="77777777" w:rsidR="004461EE" w:rsidRPr="004135FE" w:rsidRDefault="004461EE" w:rsidP="004135FE">
            <w:pPr>
              <w:widowControl w:val="0"/>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женщины</w:t>
            </w:r>
          </w:p>
        </w:tc>
        <w:tc>
          <w:tcPr>
            <w:tcW w:w="3124" w:type="dxa"/>
            <w:tcBorders>
              <w:bottom w:val="nil"/>
            </w:tcBorders>
          </w:tcPr>
          <w:p w14:paraId="4319E1B5" w14:textId="77777777" w:rsidR="004461EE" w:rsidRPr="004135FE" w:rsidRDefault="004461EE" w:rsidP="004135FE">
            <w:pPr>
              <w:widowControl w:val="0"/>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29</w:t>
            </w:r>
          </w:p>
        </w:tc>
        <w:tc>
          <w:tcPr>
            <w:tcW w:w="2999" w:type="dxa"/>
            <w:tcBorders>
              <w:bottom w:val="nil"/>
            </w:tcBorders>
          </w:tcPr>
          <w:p w14:paraId="52F4BF22" w14:textId="77777777" w:rsidR="004461EE" w:rsidRPr="004135FE" w:rsidRDefault="004461EE" w:rsidP="004135FE">
            <w:pPr>
              <w:widowControl w:val="0"/>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82,9</w:t>
            </w:r>
          </w:p>
        </w:tc>
      </w:tr>
    </w:tbl>
    <w:p w14:paraId="152A7C2A" w14:textId="052F8E66" w:rsidR="002A6229" w:rsidRPr="002A6229" w:rsidRDefault="002A6229">
      <w:pPr>
        <w:rPr>
          <w:rFonts w:ascii="Times New Roman" w:hAnsi="Times New Roman" w:cs="Times New Roman"/>
          <w:sz w:val="28"/>
          <w:szCs w:val="28"/>
          <w:shd w:val="clear" w:color="auto" w:fill="FFFFFF"/>
        </w:rPr>
      </w:pPr>
      <w:r w:rsidRPr="002A6229">
        <w:rPr>
          <w:rFonts w:ascii="Times New Roman" w:hAnsi="Times New Roman" w:cs="Times New Roman"/>
          <w:sz w:val="28"/>
          <w:szCs w:val="28"/>
          <w:shd w:val="clear" w:color="auto" w:fill="FFFFFF"/>
        </w:rPr>
        <w:lastRenderedPageBreak/>
        <w:t xml:space="preserve">Продолжение таблицы 2 </w:t>
      </w:r>
    </w:p>
    <w:tbl>
      <w:tblPr>
        <w:tblStyle w:val="af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1"/>
        <w:gridCol w:w="3124"/>
        <w:gridCol w:w="2999"/>
      </w:tblGrid>
      <w:tr w:rsidR="004461EE" w:rsidRPr="004135FE" w14:paraId="50E02ACC" w14:textId="77777777" w:rsidTr="002A6229">
        <w:tc>
          <w:tcPr>
            <w:tcW w:w="3221" w:type="dxa"/>
            <w:tcBorders>
              <w:top w:val="single" w:sz="4" w:space="0" w:color="auto"/>
            </w:tcBorders>
          </w:tcPr>
          <w:p w14:paraId="718949C0" w14:textId="185FBDD0" w:rsidR="004461EE" w:rsidRPr="002A6229" w:rsidRDefault="002A6229" w:rsidP="004135FE">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1</w:t>
            </w:r>
          </w:p>
        </w:tc>
        <w:tc>
          <w:tcPr>
            <w:tcW w:w="3124" w:type="dxa"/>
            <w:tcBorders>
              <w:top w:val="single" w:sz="4" w:space="0" w:color="auto"/>
            </w:tcBorders>
          </w:tcPr>
          <w:p w14:paraId="3ADF43AF" w14:textId="2C019D18" w:rsidR="004461EE" w:rsidRPr="002A6229" w:rsidRDefault="002A6229" w:rsidP="004135FE">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2</w:t>
            </w:r>
          </w:p>
        </w:tc>
        <w:tc>
          <w:tcPr>
            <w:tcW w:w="2999" w:type="dxa"/>
            <w:tcBorders>
              <w:top w:val="single" w:sz="4" w:space="0" w:color="auto"/>
            </w:tcBorders>
          </w:tcPr>
          <w:p w14:paraId="22347102" w14:textId="681CCB8C"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3</w:t>
            </w:r>
          </w:p>
        </w:tc>
      </w:tr>
      <w:tr w:rsidR="002A6229" w:rsidRPr="004135FE" w14:paraId="109DD422" w14:textId="77777777" w:rsidTr="002A6229">
        <w:tc>
          <w:tcPr>
            <w:tcW w:w="3221" w:type="dxa"/>
            <w:tcBorders>
              <w:top w:val="single" w:sz="4" w:space="0" w:color="auto"/>
            </w:tcBorders>
          </w:tcPr>
          <w:p w14:paraId="3B827325" w14:textId="667689C0"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Total</w:t>
            </w:r>
          </w:p>
        </w:tc>
        <w:tc>
          <w:tcPr>
            <w:tcW w:w="3124" w:type="dxa"/>
            <w:tcBorders>
              <w:top w:val="single" w:sz="4" w:space="0" w:color="auto"/>
            </w:tcBorders>
          </w:tcPr>
          <w:p w14:paraId="1688381F" w14:textId="6C8F7166"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35</w:t>
            </w:r>
          </w:p>
        </w:tc>
        <w:tc>
          <w:tcPr>
            <w:tcW w:w="2999" w:type="dxa"/>
            <w:tcBorders>
              <w:top w:val="single" w:sz="4" w:space="0" w:color="auto"/>
            </w:tcBorders>
          </w:tcPr>
          <w:p w14:paraId="02DDC366" w14:textId="55FE5069"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100,0</w:t>
            </w:r>
          </w:p>
        </w:tc>
      </w:tr>
      <w:tr w:rsidR="002A6229" w:rsidRPr="004135FE" w14:paraId="43EFB184" w14:textId="77777777" w:rsidTr="002A6229">
        <w:tc>
          <w:tcPr>
            <w:tcW w:w="9344" w:type="dxa"/>
            <w:gridSpan w:val="3"/>
          </w:tcPr>
          <w:p w14:paraId="42D6C27B" w14:textId="77777777" w:rsidR="002A6229" w:rsidRPr="002A6229" w:rsidRDefault="002A6229" w:rsidP="002A6229">
            <w:pPr>
              <w:tabs>
                <w:tab w:val="left" w:pos="284"/>
              </w:tabs>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Возраст</w:t>
            </w:r>
          </w:p>
        </w:tc>
      </w:tr>
      <w:tr w:rsidR="002A6229" w:rsidRPr="004135FE" w14:paraId="51770F55" w14:textId="77777777" w:rsidTr="002A6229">
        <w:tc>
          <w:tcPr>
            <w:tcW w:w="3221" w:type="dxa"/>
          </w:tcPr>
          <w:p w14:paraId="5D79DDB5"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26-30</w:t>
            </w:r>
          </w:p>
        </w:tc>
        <w:tc>
          <w:tcPr>
            <w:tcW w:w="3124" w:type="dxa"/>
          </w:tcPr>
          <w:p w14:paraId="273B50E8"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12</w:t>
            </w:r>
          </w:p>
        </w:tc>
        <w:tc>
          <w:tcPr>
            <w:tcW w:w="2999" w:type="dxa"/>
          </w:tcPr>
          <w:p w14:paraId="299B9A31"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34,3</w:t>
            </w:r>
          </w:p>
        </w:tc>
      </w:tr>
      <w:tr w:rsidR="002A6229" w:rsidRPr="004135FE" w14:paraId="342B6697" w14:textId="77777777" w:rsidTr="002A6229">
        <w:tc>
          <w:tcPr>
            <w:tcW w:w="3221" w:type="dxa"/>
          </w:tcPr>
          <w:p w14:paraId="5F941F4C"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31-35</w:t>
            </w:r>
          </w:p>
        </w:tc>
        <w:tc>
          <w:tcPr>
            <w:tcW w:w="3124" w:type="dxa"/>
          </w:tcPr>
          <w:p w14:paraId="50818445"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9</w:t>
            </w:r>
          </w:p>
        </w:tc>
        <w:tc>
          <w:tcPr>
            <w:tcW w:w="2999" w:type="dxa"/>
          </w:tcPr>
          <w:p w14:paraId="13BC26DB"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25,7</w:t>
            </w:r>
          </w:p>
        </w:tc>
      </w:tr>
      <w:tr w:rsidR="002A6229" w:rsidRPr="004135FE" w14:paraId="25B758FE" w14:textId="77777777" w:rsidTr="002A6229">
        <w:tc>
          <w:tcPr>
            <w:tcW w:w="3221" w:type="dxa"/>
          </w:tcPr>
          <w:p w14:paraId="000B9031"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36-40</w:t>
            </w:r>
          </w:p>
        </w:tc>
        <w:tc>
          <w:tcPr>
            <w:tcW w:w="3124" w:type="dxa"/>
          </w:tcPr>
          <w:p w14:paraId="56A75967"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5</w:t>
            </w:r>
          </w:p>
        </w:tc>
        <w:tc>
          <w:tcPr>
            <w:tcW w:w="2999" w:type="dxa"/>
          </w:tcPr>
          <w:p w14:paraId="6D1DA7B2"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14,3</w:t>
            </w:r>
          </w:p>
        </w:tc>
      </w:tr>
      <w:tr w:rsidR="002A6229" w:rsidRPr="004135FE" w14:paraId="54229BE1" w14:textId="77777777" w:rsidTr="002A6229">
        <w:tc>
          <w:tcPr>
            <w:tcW w:w="3221" w:type="dxa"/>
          </w:tcPr>
          <w:p w14:paraId="05DDCF89"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41-45</w:t>
            </w:r>
          </w:p>
        </w:tc>
        <w:tc>
          <w:tcPr>
            <w:tcW w:w="3124" w:type="dxa"/>
          </w:tcPr>
          <w:p w14:paraId="296F6448"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5</w:t>
            </w:r>
          </w:p>
        </w:tc>
        <w:tc>
          <w:tcPr>
            <w:tcW w:w="2999" w:type="dxa"/>
          </w:tcPr>
          <w:p w14:paraId="3166E9C3"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14,3</w:t>
            </w:r>
          </w:p>
        </w:tc>
      </w:tr>
      <w:tr w:rsidR="002A6229" w:rsidRPr="004135FE" w14:paraId="4A3B27DB" w14:textId="77777777" w:rsidTr="002A6229">
        <w:tc>
          <w:tcPr>
            <w:tcW w:w="3221" w:type="dxa"/>
          </w:tcPr>
          <w:p w14:paraId="4EC2EFDD"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46-50</w:t>
            </w:r>
          </w:p>
        </w:tc>
        <w:tc>
          <w:tcPr>
            <w:tcW w:w="3124" w:type="dxa"/>
          </w:tcPr>
          <w:p w14:paraId="2778C50F"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1</w:t>
            </w:r>
          </w:p>
        </w:tc>
        <w:tc>
          <w:tcPr>
            <w:tcW w:w="2999" w:type="dxa"/>
          </w:tcPr>
          <w:p w14:paraId="5F2C86C5"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2,9</w:t>
            </w:r>
          </w:p>
        </w:tc>
      </w:tr>
      <w:tr w:rsidR="002A6229" w:rsidRPr="004135FE" w14:paraId="41B811DC" w14:textId="77777777" w:rsidTr="002A6229">
        <w:tc>
          <w:tcPr>
            <w:tcW w:w="3221" w:type="dxa"/>
          </w:tcPr>
          <w:p w14:paraId="5A74D2CD"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51-55</w:t>
            </w:r>
          </w:p>
        </w:tc>
        <w:tc>
          <w:tcPr>
            <w:tcW w:w="3124" w:type="dxa"/>
          </w:tcPr>
          <w:p w14:paraId="4EC7DEEF"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2</w:t>
            </w:r>
          </w:p>
        </w:tc>
        <w:tc>
          <w:tcPr>
            <w:tcW w:w="2999" w:type="dxa"/>
          </w:tcPr>
          <w:p w14:paraId="64C05635"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5,7</w:t>
            </w:r>
          </w:p>
        </w:tc>
      </w:tr>
      <w:tr w:rsidR="002A6229" w:rsidRPr="004135FE" w14:paraId="49BED18A" w14:textId="77777777" w:rsidTr="002A6229">
        <w:tc>
          <w:tcPr>
            <w:tcW w:w="3221" w:type="dxa"/>
          </w:tcPr>
          <w:p w14:paraId="4D920042"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56-60</w:t>
            </w:r>
          </w:p>
        </w:tc>
        <w:tc>
          <w:tcPr>
            <w:tcW w:w="3124" w:type="dxa"/>
          </w:tcPr>
          <w:p w14:paraId="7520CDEC"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1</w:t>
            </w:r>
          </w:p>
        </w:tc>
        <w:tc>
          <w:tcPr>
            <w:tcW w:w="2999" w:type="dxa"/>
          </w:tcPr>
          <w:p w14:paraId="0688D0CC"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2,9</w:t>
            </w:r>
          </w:p>
        </w:tc>
      </w:tr>
      <w:tr w:rsidR="002A6229" w:rsidRPr="004135FE" w14:paraId="44E29A3C" w14:textId="77777777" w:rsidTr="002A6229">
        <w:tc>
          <w:tcPr>
            <w:tcW w:w="3221" w:type="dxa"/>
          </w:tcPr>
          <w:p w14:paraId="38797426"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Total</w:t>
            </w:r>
          </w:p>
        </w:tc>
        <w:tc>
          <w:tcPr>
            <w:tcW w:w="3124" w:type="dxa"/>
          </w:tcPr>
          <w:p w14:paraId="2669A78E"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35</w:t>
            </w:r>
          </w:p>
        </w:tc>
        <w:tc>
          <w:tcPr>
            <w:tcW w:w="2999" w:type="dxa"/>
          </w:tcPr>
          <w:p w14:paraId="3E4DAC95"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100,0</w:t>
            </w:r>
          </w:p>
        </w:tc>
      </w:tr>
      <w:tr w:rsidR="002A6229" w:rsidRPr="004135FE" w14:paraId="758D3B8D" w14:textId="77777777" w:rsidTr="002A6229">
        <w:tc>
          <w:tcPr>
            <w:tcW w:w="9344" w:type="dxa"/>
            <w:gridSpan w:val="3"/>
          </w:tcPr>
          <w:p w14:paraId="4443BBED"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Общий врачебный стаж</w:t>
            </w:r>
          </w:p>
        </w:tc>
      </w:tr>
      <w:tr w:rsidR="002A6229" w:rsidRPr="004135FE" w14:paraId="636E54CF" w14:textId="77777777" w:rsidTr="002A6229">
        <w:tc>
          <w:tcPr>
            <w:tcW w:w="3221" w:type="dxa"/>
          </w:tcPr>
          <w:p w14:paraId="463282DD"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до 5 лет</w:t>
            </w:r>
          </w:p>
        </w:tc>
        <w:tc>
          <w:tcPr>
            <w:tcW w:w="3124" w:type="dxa"/>
          </w:tcPr>
          <w:p w14:paraId="1AD32ED4"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11</w:t>
            </w:r>
          </w:p>
        </w:tc>
        <w:tc>
          <w:tcPr>
            <w:tcW w:w="2999" w:type="dxa"/>
          </w:tcPr>
          <w:p w14:paraId="32B84CFD"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31,4</w:t>
            </w:r>
          </w:p>
        </w:tc>
      </w:tr>
      <w:tr w:rsidR="002A6229" w:rsidRPr="004135FE" w14:paraId="463BE693" w14:textId="77777777" w:rsidTr="002A6229">
        <w:tc>
          <w:tcPr>
            <w:tcW w:w="3221" w:type="dxa"/>
          </w:tcPr>
          <w:p w14:paraId="1AB86D4E"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от 5 до 10 лет</w:t>
            </w:r>
          </w:p>
        </w:tc>
        <w:tc>
          <w:tcPr>
            <w:tcW w:w="3124" w:type="dxa"/>
          </w:tcPr>
          <w:p w14:paraId="30461697"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11</w:t>
            </w:r>
          </w:p>
        </w:tc>
        <w:tc>
          <w:tcPr>
            <w:tcW w:w="2999" w:type="dxa"/>
          </w:tcPr>
          <w:p w14:paraId="0BDD5CC0"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31,4</w:t>
            </w:r>
          </w:p>
        </w:tc>
      </w:tr>
      <w:tr w:rsidR="002A6229" w:rsidRPr="004135FE" w14:paraId="3C0404B2" w14:textId="77777777" w:rsidTr="002A6229">
        <w:tc>
          <w:tcPr>
            <w:tcW w:w="3221" w:type="dxa"/>
          </w:tcPr>
          <w:p w14:paraId="0309716B"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от10 до 15 лет</w:t>
            </w:r>
          </w:p>
        </w:tc>
        <w:tc>
          <w:tcPr>
            <w:tcW w:w="3124" w:type="dxa"/>
          </w:tcPr>
          <w:p w14:paraId="1C50CB73"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7</w:t>
            </w:r>
          </w:p>
        </w:tc>
        <w:tc>
          <w:tcPr>
            <w:tcW w:w="2999" w:type="dxa"/>
          </w:tcPr>
          <w:p w14:paraId="6299A962"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20,0</w:t>
            </w:r>
          </w:p>
        </w:tc>
      </w:tr>
      <w:tr w:rsidR="002A6229" w:rsidRPr="004135FE" w14:paraId="03B35803" w14:textId="77777777" w:rsidTr="002A6229">
        <w:tc>
          <w:tcPr>
            <w:tcW w:w="3221" w:type="dxa"/>
          </w:tcPr>
          <w:p w14:paraId="0134F051"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свыше 15 лет</w:t>
            </w:r>
          </w:p>
        </w:tc>
        <w:tc>
          <w:tcPr>
            <w:tcW w:w="3124" w:type="dxa"/>
          </w:tcPr>
          <w:p w14:paraId="66F40A1F"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4</w:t>
            </w:r>
          </w:p>
        </w:tc>
        <w:tc>
          <w:tcPr>
            <w:tcW w:w="2999" w:type="dxa"/>
          </w:tcPr>
          <w:p w14:paraId="3B353808"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11,4</w:t>
            </w:r>
          </w:p>
        </w:tc>
      </w:tr>
      <w:tr w:rsidR="002A6229" w:rsidRPr="004135FE" w14:paraId="4BE362E7" w14:textId="77777777" w:rsidTr="002A6229">
        <w:tc>
          <w:tcPr>
            <w:tcW w:w="3221" w:type="dxa"/>
          </w:tcPr>
          <w:p w14:paraId="12441B0C"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свыше 30 лет</w:t>
            </w:r>
          </w:p>
        </w:tc>
        <w:tc>
          <w:tcPr>
            <w:tcW w:w="3124" w:type="dxa"/>
          </w:tcPr>
          <w:p w14:paraId="59CE586D"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2</w:t>
            </w:r>
          </w:p>
        </w:tc>
        <w:tc>
          <w:tcPr>
            <w:tcW w:w="2999" w:type="dxa"/>
          </w:tcPr>
          <w:p w14:paraId="5C2328DC"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5,7</w:t>
            </w:r>
          </w:p>
        </w:tc>
      </w:tr>
      <w:tr w:rsidR="002A6229" w:rsidRPr="004135FE" w14:paraId="18978ECA" w14:textId="77777777" w:rsidTr="002A6229">
        <w:tc>
          <w:tcPr>
            <w:tcW w:w="3221" w:type="dxa"/>
          </w:tcPr>
          <w:p w14:paraId="6D560FBB"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Total</w:t>
            </w:r>
          </w:p>
        </w:tc>
        <w:tc>
          <w:tcPr>
            <w:tcW w:w="3124" w:type="dxa"/>
          </w:tcPr>
          <w:p w14:paraId="19A674A5"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35</w:t>
            </w:r>
          </w:p>
        </w:tc>
        <w:tc>
          <w:tcPr>
            <w:tcW w:w="2999" w:type="dxa"/>
          </w:tcPr>
          <w:p w14:paraId="21D58D39"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100,0</w:t>
            </w:r>
          </w:p>
        </w:tc>
      </w:tr>
      <w:tr w:rsidR="002A6229" w:rsidRPr="004135FE" w14:paraId="7F741F55" w14:textId="77777777" w:rsidTr="002A6229">
        <w:tc>
          <w:tcPr>
            <w:tcW w:w="9344" w:type="dxa"/>
            <w:gridSpan w:val="3"/>
          </w:tcPr>
          <w:p w14:paraId="094D8F03"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Стаж работы по специальности врач-эндокринолог</w:t>
            </w:r>
          </w:p>
        </w:tc>
      </w:tr>
      <w:tr w:rsidR="002A6229" w:rsidRPr="004135FE" w14:paraId="63ADB661" w14:textId="77777777" w:rsidTr="002A6229">
        <w:tc>
          <w:tcPr>
            <w:tcW w:w="3221" w:type="dxa"/>
          </w:tcPr>
          <w:p w14:paraId="24E2F764"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до 5 лет</w:t>
            </w:r>
          </w:p>
        </w:tc>
        <w:tc>
          <w:tcPr>
            <w:tcW w:w="3124" w:type="dxa"/>
          </w:tcPr>
          <w:p w14:paraId="32398661"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14</w:t>
            </w:r>
          </w:p>
        </w:tc>
        <w:tc>
          <w:tcPr>
            <w:tcW w:w="2999" w:type="dxa"/>
          </w:tcPr>
          <w:p w14:paraId="63E502EA"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40,0</w:t>
            </w:r>
          </w:p>
        </w:tc>
      </w:tr>
      <w:tr w:rsidR="002A6229" w:rsidRPr="004135FE" w14:paraId="4D100F34" w14:textId="77777777" w:rsidTr="002A6229">
        <w:tc>
          <w:tcPr>
            <w:tcW w:w="3221" w:type="dxa"/>
          </w:tcPr>
          <w:p w14:paraId="1A3A8C3F"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от 5 до 10 лет</w:t>
            </w:r>
          </w:p>
        </w:tc>
        <w:tc>
          <w:tcPr>
            <w:tcW w:w="3124" w:type="dxa"/>
          </w:tcPr>
          <w:p w14:paraId="5322FAAB"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12</w:t>
            </w:r>
          </w:p>
        </w:tc>
        <w:tc>
          <w:tcPr>
            <w:tcW w:w="2999" w:type="dxa"/>
          </w:tcPr>
          <w:p w14:paraId="7FF74B48"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34,3</w:t>
            </w:r>
          </w:p>
        </w:tc>
      </w:tr>
      <w:tr w:rsidR="002A6229" w:rsidRPr="004135FE" w14:paraId="7FFDE5CA" w14:textId="77777777" w:rsidTr="002A6229">
        <w:tc>
          <w:tcPr>
            <w:tcW w:w="3221" w:type="dxa"/>
          </w:tcPr>
          <w:p w14:paraId="7C241614"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от10 до 15 лет</w:t>
            </w:r>
          </w:p>
        </w:tc>
        <w:tc>
          <w:tcPr>
            <w:tcW w:w="3124" w:type="dxa"/>
          </w:tcPr>
          <w:p w14:paraId="0F6FF574"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6</w:t>
            </w:r>
          </w:p>
        </w:tc>
        <w:tc>
          <w:tcPr>
            <w:tcW w:w="2999" w:type="dxa"/>
          </w:tcPr>
          <w:p w14:paraId="5528241A"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17,1</w:t>
            </w:r>
          </w:p>
        </w:tc>
      </w:tr>
      <w:tr w:rsidR="002A6229" w:rsidRPr="004135FE" w14:paraId="77A66253" w14:textId="77777777" w:rsidTr="002A6229">
        <w:tc>
          <w:tcPr>
            <w:tcW w:w="3221" w:type="dxa"/>
          </w:tcPr>
          <w:p w14:paraId="4A65693F"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свыше 15 лет</w:t>
            </w:r>
          </w:p>
        </w:tc>
        <w:tc>
          <w:tcPr>
            <w:tcW w:w="3124" w:type="dxa"/>
          </w:tcPr>
          <w:p w14:paraId="2F838143"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2</w:t>
            </w:r>
          </w:p>
        </w:tc>
        <w:tc>
          <w:tcPr>
            <w:tcW w:w="2999" w:type="dxa"/>
          </w:tcPr>
          <w:p w14:paraId="6302A5FA"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5,7</w:t>
            </w:r>
          </w:p>
        </w:tc>
      </w:tr>
      <w:tr w:rsidR="002A6229" w:rsidRPr="004135FE" w14:paraId="3B968956" w14:textId="77777777" w:rsidTr="002A6229">
        <w:tc>
          <w:tcPr>
            <w:tcW w:w="3221" w:type="dxa"/>
          </w:tcPr>
          <w:p w14:paraId="451709AE"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свыше 30 лет</w:t>
            </w:r>
          </w:p>
        </w:tc>
        <w:tc>
          <w:tcPr>
            <w:tcW w:w="3124" w:type="dxa"/>
          </w:tcPr>
          <w:p w14:paraId="1FDB380C"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1</w:t>
            </w:r>
          </w:p>
        </w:tc>
        <w:tc>
          <w:tcPr>
            <w:tcW w:w="2999" w:type="dxa"/>
          </w:tcPr>
          <w:p w14:paraId="3801E40D"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2,9</w:t>
            </w:r>
          </w:p>
        </w:tc>
      </w:tr>
      <w:tr w:rsidR="002A6229" w:rsidRPr="004135FE" w14:paraId="342287DF" w14:textId="77777777" w:rsidTr="002A6229">
        <w:tc>
          <w:tcPr>
            <w:tcW w:w="3221" w:type="dxa"/>
          </w:tcPr>
          <w:p w14:paraId="191F6E14"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Total</w:t>
            </w:r>
          </w:p>
        </w:tc>
        <w:tc>
          <w:tcPr>
            <w:tcW w:w="3124" w:type="dxa"/>
          </w:tcPr>
          <w:p w14:paraId="65CEB3D4"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35</w:t>
            </w:r>
          </w:p>
        </w:tc>
        <w:tc>
          <w:tcPr>
            <w:tcW w:w="2999" w:type="dxa"/>
          </w:tcPr>
          <w:p w14:paraId="45D5BF8E"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100,0</w:t>
            </w:r>
          </w:p>
        </w:tc>
      </w:tr>
      <w:tr w:rsidR="002A6229" w:rsidRPr="004135FE" w14:paraId="7FAD066C" w14:textId="77777777" w:rsidTr="002A6229">
        <w:tc>
          <w:tcPr>
            <w:tcW w:w="9344" w:type="dxa"/>
            <w:gridSpan w:val="3"/>
          </w:tcPr>
          <w:p w14:paraId="2BC35552"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Категория по специальности врач эндокринолог</w:t>
            </w:r>
          </w:p>
        </w:tc>
      </w:tr>
      <w:tr w:rsidR="002A6229" w:rsidRPr="004135FE" w14:paraId="71B2E1C6" w14:textId="77777777" w:rsidTr="002A6229">
        <w:tc>
          <w:tcPr>
            <w:tcW w:w="3221" w:type="dxa"/>
          </w:tcPr>
          <w:p w14:paraId="2BDC630F"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Высшая квалификационная категория</w:t>
            </w:r>
          </w:p>
        </w:tc>
        <w:tc>
          <w:tcPr>
            <w:tcW w:w="3124" w:type="dxa"/>
          </w:tcPr>
          <w:p w14:paraId="40D0F9CF"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7</w:t>
            </w:r>
          </w:p>
        </w:tc>
        <w:tc>
          <w:tcPr>
            <w:tcW w:w="2999" w:type="dxa"/>
          </w:tcPr>
          <w:p w14:paraId="2C0C5F5B" w14:textId="77777777" w:rsidR="002A6229" w:rsidRPr="002A6229"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2A6229">
              <w:rPr>
                <w:rFonts w:ascii="Times New Roman" w:hAnsi="Times New Roman" w:cs="Times New Roman"/>
                <w:sz w:val="28"/>
                <w:szCs w:val="28"/>
              </w:rPr>
              <w:t>20,0</w:t>
            </w:r>
          </w:p>
        </w:tc>
      </w:tr>
      <w:tr w:rsidR="002A6229" w:rsidRPr="004135FE" w14:paraId="0F9D7103" w14:textId="77777777" w:rsidTr="002A6229">
        <w:tc>
          <w:tcPr>
            <w:tcW w:w="3221" w:type="dxa"/>
          </w:tcPr>
          <w:p w14:paraId="768C6036" w14:textId="77777777" w:rsidR="002A6229" w:rsidRPr="004135FE"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 квалификационная категория</w:t>
            </w:r>
          </w:p>
        </w:tc>
        <w:tc>
          <w:tcPr>
            <w:tcW w:w="3124" w:type="dxa"/>
          </w:tcPr>
          <w:p w14:paraId="0253FE6B" w14:textId="77777777" w:rsidR="002A6229" w:rsidRPr="004135FE"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10</w:t>
            </w:r>
          </w:p>
        </w:tc>
        <w:tc>
          <w:tcPr>
            <w:tcW w:w="2999" w:type="dxa"/>
          </w:tcPr>
          <w:p w14:paraId="6B53F9A7" w14:textId="77777777" w:rsidR="002A6229" w:rsidRPr="004135FE"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28,6</w:t>
            </w:r>
          </w:p>
        </w:tc>
      </w:tr>
      <w:tr w:rsidR="002A6229" w:rsidRPr="004135FE" w14:paraId="46D3AAB4" w14:textId="77777777" w:rsidTr="002A6229">
        <w:tc>
          <w:tcPr>
            <w:tcW w:w="3221" w:type="dxa"/>
          </w:tcPr>
          <w:p w14:paraId="26053584" w14:textId="77777777" w:rsidR="002A6229" w:rsidRPr="004135FE"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  квалификационная категория</w:t>
            </w:r>
          </w:p>
        </w:tc>
        <w:tc>
          <w:tcPr>
            <w:tcW w:w="3124" w:type="dxa"/>
          </w:tcPr>
          <w:p w14:paraId="30E2CFFD" w14:textId="77777777" w:rsidR="002A6229" w:rsidRPr="004135FE"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5</w:t>
            </w:r>
          </w:p>
        </w:tc>
        <w:tc>
          <w:tcPr>
            <w:tcW w:w="2999" w:type="dxa"/>
          </w:tcPr>
          <w:p w14:paraId="0851D7E2" w14:textId="77777777" w:rsidR="002A6229" w:rsidRPr="004135FE"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14,3</w:t>
            </w:r>
          </w:p>
        </w:tc>
      </w:tr>
      <w:tr w:rsidR="002A6229" w:rsidRPr="004135FE" w14:paraId="345EB74D" w14:textId="77777777" w:rsidTr="002A6229">
        <w:tc>
          <w:tcPr>
            <w:tcW w:w="3221" w:type="dxa"/>
          </w:tcPr>
          <w:p w14:paraId="41489EAC" w14:textId="77777777" w:rsidR="002A6229" w:rsidRPr="004135FE"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нет категории</w:t>
            </w:r>
          </w:p>
        </w:tc>
        <w:tc>
          <w:tcPr>
            <w:tcW w:w="3124" w:type="dxa"/>
          </w:tcPr>
          <w:p w14:paraId="19FBF9D0" w14:textId="77777777" w:rsidR="002A6229" w:rsidRPr="004135FE"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13</w:t>
            </w:r>
          </w:p>
        </w:tc>
        <w:tc>
          <w:tcPr>
            <w:tcW w:w="2999" w:type="dxa"/>
          </w:tcPr>
          <w:p w14:paraId="72AB656B" w14:textId="77777777" w:rsidR="002A6229" w:rsidRPr="004135FE"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37,1</w:t>
            </w:r>
          </w:p>
        </w:tc>
      </w:tr>
      <w:tr w:rsidR="002A6229" w:rsidRPr="004135FE" w14:paraId="23C15CF7" w14:textId="77777777" w:rsidTr="002A6229">
        <w:tc>
          <w:tcPr>
            <w:tcW w:w="3221" w:type="dxa"/>
          </w:tcPr>
          <w:p w14:paraId="30AAE183" w14:textId="77777777" w:rsidR="002A6229" w:rsidRPr="004135FE"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Total</w:t>
            </w:r>
          </w:p>
        </w:tc>
        <w:tc>
          <w:tcPr>
            <w:tcW w:w="3124" w:type="dxa"/>
          </w:tcPr>
          <w:p w14:paraId="269A1E95" w14:textId="77777777" w:rsidR="002A6229" w:rsidRPr="004135FE"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35</w:t>
            </w:r>
          </w:p>
        </w:tc>
        <w:tc>
          <w:tcPr>
            <w:tcW w:w="2999" w:type="dxa"/>
          </w:tcPr>
          <w:p w14:paraId="0193F241" w14:textId="77777777" w:rsidR="002A6229" w:rsidRPr="004135FE" w:rsidRDefault="002A6229" w:rsidP="002A6229">
            <w:pPr>
              <w:widowControl w:val="0"/>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100,0</w:t>
            </w:r>
          </w:p>
        </w:tc>
      </w:tr>
    </w:tbl>
    <w:p w14:paraId="4C182FCB" w14:textId="2B2F9404" w:rsidR="004461EE" w:rsidRPr="004135FE" w:rsidRDefault="004461EE" w:rsidP="002A6229">
      <w:pPr>
        <w:widowControl w:val="0"/>
        <w:tabs>
          <w:tab w:val="center" w:pos="3326"/>
        </w:tabs>
        <w:autoSpaceDE w:val="0"/>
        <w:autoSpaceDN w:val="0"/>
        <w:adjustRightInd w:val="0"/>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noProof/>
          <w:sz w:val="28"/>
          <w:szCs w:val="28"/>
        </w:rPr>
        <w:lastRenderedPageBreak/>
        <w:drawing>
          <wp:anchor distT="0" distB="0" distL="114300" distR="114300" simplePos="0" relativeHeight="251855872" behindDoc="0" locked="0" layoutInCell="1" allowOverlap="1" wp14:anchorId="252E295D" wp14:editId="76F5A541">
            <wp:simplePos x="0" y="0"/>
            <wp:positionH relativeFrom="margin">
              <wp:align>left</wp:align>
            </wp:positionH>
            <wp:positionV relativeFrom="paragraph">
              <wp:posOffset>170815</wp:posOffset>
            </wp:positionV>
            <wp:extent cx="6123940" cy="2743200"/>
            <wp:effectExtent l="0" t="0" r="10160" b="0"/>
            <wp:wrapSquare wrapText="bothSides"/>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anchor>
        </w:drawing>
      </w:r>
      <w:r w:rsidRPr="004135FE">
        <w:rPr>
          <w:rFonts w:ascii="Times New Roman" w:hAnsi="Times New Roman" w:cs="Times New Roman"/>
          <w:sz w:val="28"/>
          <w:szCs w:val="28"/>
        </w:rPr>
        <w:br w:type="textWrapping" w:clear="all"/>
      </w:r>
      <w:r w:rsidR="008F153C" w:rsidRPr="004135FE">
        <w:rPr>
          <w:rFonts w:ascii="Times New Roman" w:eastAsia="Times New Roman" w:hAnsi="Times New Roman" w:cs="Times New Roman"/>
          <w:sz w:val="28"/>
          <w:szCs w:val="28"/>
        </w:rPr>
        <w:t xml:space="preserve">Рисунок </w:t>
      </w:r>
      <w:r w:rsidR="002A6229">
        <w:rPr>
          <w:rFonts w:ascii="Times New Roman" w:eastAsia="Times New Roman" w:hAnsi="Times New Roman" w:cs="Times New Roman"/>
          <w:sz w:val="28"/>
          <w:szCs w:val="28"/>
        </w:rPr>
        <w:t xml:space="preserve">2 </w:t>
      </w:r>
      <w:r w:rsidRPr="004135FE">
        <w:rPr>
          <w:rFonts w:ascii="Times New Roman" w:eastAsia="Times New Roman" w:hAnsi="Times New Roman" w:cs="Times New Roman"/>
          <w:sz w:val="28"/>
          <w:szCs w:val="28"/>
        </w:rPr>
        <w:t>- Половозрастная взаимосвязь %</w:t>
      </w:r>
    </w:p>
    <w:p w14:paraId="4D622FA3" w14:textId="77777777" w:rsidR="00737DEA" w:rsidRPr="004135FE" w:rsidRDefault="00737DEA" w:rsidP="004135FE">
      <w:pPr>
        <w:widowControl w:val="0"/>
        <w:tabs>
          <w:tab w:val="center" w:pos="3326"/>
        </w:tabs>
        <w:autoSpaceDE w:val="0"/>
        <w:autoSpaceDN w:val="0"/>
        <w:adjustRightInd w:val="0"/>
        <w:spacing w:after="0" w:line="240" w:lineRule="auto"/>
        <w:jc w:val="both"/>
        <w:rPr>
          <w:rFonts w:ascii="Times New Roman" w:hAnsi="Times New Roman" w:cs="Times New Roman"/>
          <w:noProof/>
          <w:sz w:val="28"/>
          <w:szCs w:val="28"/>
        </w:rPr>
      </w:pPr>
    </w:p>
    <w:p w14:paraId="56EE6FB3" w14:textId="77777777" w:rsidR="004461EE" w:rsidRPr="004135FE" w:rsidRDefault="004461EE" w:rsidP="004135FE">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По возрастной группе эндокринологи были распределены по следующим категориям, наибольшее число среди мужчин приходится на возраст 26-30 лет и 36-40 лет – 33,3%, а среди женщин в возрасте 26-30 лет – 34,5% и в возрасте 31-35 лет–27,6%. Наименьшее число эндокринологов, участвовавших в исследовании по возрастному составу среди мужчин наблюдается в возрасте 31-35 лет и 41-45 лет в – 16,7%. Среди женщин в возрасте 46-50 лет и 56-60 лет – 3,4%. Мужчины в группах старше 45 лет отсутствуют.</w:t>
      </w:r>
    </w:p>
    <w:p w14:paraId="782203FA" w14:textId="0DE87DD2" w:rsidR="004461EE" w:rsidRPr="002A6229" w:rsidRDefault="004461EE" w:rsidP="002A6229">
      <w:pPr>
        <w:pStyle w:val="a3"/>
        <w:spacing w:after="0" w:line="240" w:lineRule="auto"/>
        <w:ind w:left="0" w:firstLine="709"/>
        <w:jc w:val="both"/>
        <w:rPr>
          <w:rFonts w:ascii="Times New Roman" w:hAnsi="Times New Roman" w:cs="Times New Roman"/>
          <w:bCs/>
          <w:sz w:val="28"/>
          <w:szCs w:val="28"/>
        </w:rPr>
      </w:pPr>
      <w:r w:rsidRPr="002A6229">
        <w:rPr>
          <w:rFonts w:ascii="Times New Roman" w:hAnsi="Times New Roman" w:cs="Times New Roman"/>
          <w:bCs/>
          <w:sz w:val="28"/>
          <w:szCs w:val="28"/>
        </w:rPr>
        <w:t>Респонденты- пациенты с установленным диагнозом сахарный диабет 2типа</w:t>
      </w:r>
      <w:r w:rsidR="002A6229">
        <w:rPr>
          <w:rFonts w:ascii="Times New Roman" w:hAnsi="Times New Roman" w:cs="Times New Roman"/>
          <w:bCs/>
          <w:sz w:val="28"/>
          <w:szCs w:val="28"/>
        </w:rPr>
        <w:t>.</w:t>
      </w:r>
    </w:p>
    <w:p w14:paraId="4BFF9823" w14:textId="77777777" w:rsidR="004461EE" w:rsidRPr="004135FE" w:rsidRDefault="004461EE" w:rsidP="004135FE">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В социологическом опросе участвовали 41,7% мужчин и 58,3% женщин. Средний возраст мужчин, страдающих СД 2типа принявших участие в опросе составило - 55,42±9,94, а женщин - 56,34±9,70. Средний возраст мужчин, в которым был поставлен диагноз Сахарный диабет 2 типа составило - 49,20±10,23, у женщин - 49,37±9,30.</w:t>
      </w:r>
    </w:p>
    <w:p w14:paraId="277C5C8B" w14:textId="77777777" w:rsidR="004461EE" w:rsidRPr="004135FE" w:rsidRDefault="004461EE" w:rsidP="004135FE">
      <w:pPr>
        <w:tabs>
          <w:tab w:val="left" w:pos="567"/>
        </w:tabs>
        <w:spacing w:after="0" w:line="240" w:lineRule="auto"/>
        <w:jc w:val="both"/>
        <w:rPr>
          <w:rFonts w:ascii="Times New Roman" w:hAnsi="Times New Roman" w:cs="Times New Roman"/>
          <w:sz w:val="28"/>
          <w:szCs w:val="28"/>
        </w:rPr>
      </w:pPr>
    </w:p>
    <w:p w14:paraId="69DCD0DF" w14:textId="7B7684C3" w:rsidR="004461EE" w:rsidRDefault="008F153C"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Таблица 3</w:t>
      </w:r>
      <w:r w:rsidR="001514CE">
        <w:rPr>
          <w:rFonts w:ascii="Times New Roman" w:hAnsi="Times New Roman" w:cs="Times New Roman"/>
          <w:sz w:val="28"/>
          <w:szCs w:val="28"/>
        </w:rPr>
        <w:t xml:space="preserve"> </w:t>
      </w:r>
      <w:r w:rsidR="004461EE" w:rsidRPr="004135FE">
        <w:rPr>
          <w:rFonts w:ascii="Times New Roman" w:hAnsi="Times New Roman" w:cs="Times New Roman"/>
          <w:sz w:val="28"/>
          <w:szCs w:val="28"/>
        </w:rPr>
        <w:t>- Социально-демографическая характеристика пациентов</w:t>
      </w:r>
      <w:r w:rsidR="002A6229">
        <w:rPr>
          <w:rFonts w:ascii="Times New Roman" w:hAnsi="Times New Roman" w:cs="Times New Roman"/>
          <w:sz w:val="28"/>
          <w:szCs w:val="28"/>
        </w:rPr>
        <w:t xml:space="preserve"> </w:t>
      </w:r>
      <w:r w:rsidR="004461EE" w:rsidRPr="004135FE">
        <w:rPr>
          <w:rFonts w:ascii="Times New Roman" w:hAnsi="Times New Roman" w:cs="Times New Roman"/>
          <w:sz w:val="28"/>
          <w:szCs w:val="28"/>
        </w:rPr>
        <w:t>/</w:t>
      </w:r>
      <w:r w:rsidR="002A6229">
        <w:rPr>
          <w:rFonts w:ascii="Times New Roman" w:hAnsi="Times New Roman" w:cs="Times New Roman"/>
          <w:sz w:val="28"/>
          <w:szCs w:val="28"/>
        </w:rPr>
        <w:t xml:space="preserve"> </w:t>
      </w:r>
      <w:r w:rsidR="004461EE" w:rsidRPr="004135FE">
        <w:rPr>
          <w:rFonts w:ascii="Times New Roman" w:hAnsi="Times New Roman" w:cs="Times New Roman"/>
          <w:sz w:val="28"/>
          <w:szCs w:val="28"/>
        </w:rPr>
        <w:t>Персональные данные респондентов</w:t>
      </w:r>
    </w:p>
    <w:p w14:paraId="56E20164" w14:textId="77777777" w:rsidR="002A6229" w:rsidRPr="004135FE" w:rsidRDefault="002A6229" w:rsidP="004135FE">
      <w:pPr>
        <w:tabs>
          <w:tab w:val="left" w:pos="284"/>
        </w:tabs>
        <w:spacing w:after="0" w:line="240" w:lineRule="auto"/>
        <w:jc w:val="both"/>
        <w:rPr>
          <w:rFonts w:ascii="Times New Roman" w:hAnsi="Times New Roman" w:cs="Times New Roman"/>
          <w:sz w:val="28"/>
          <w:szCs w:val="28"/>
        </w:rPr>
      </w:pPr>
    </w:p>
    <w:tbl>
      <w:tblPr>
        <w:tblStyle w:val="af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1"/>
        <w:gridCol w:w="3118"/>
        <w:gridCol w:w="2995"/>
      </w:tblGrid>
      <w:tr w:rsidR="004461EE" w:rsidRPr="002A6229" w14:paraId="77285ED3" w14:textId="77777777" w:rsidTr="001514CE">
        <w:tc>
          <w:tcPr>
            <w:tcW w:w="3231" w:type="dxa"/>
          </w:tcPr>
          <w:p w14:paraId="5745DED1" w14:textId="77777777" w:rsidR="004461EE" w:rsidRPr="002A6229" w:rsidRDefault="004461EE" w:rsidP="004135FE">
            <w:pPr>
              <w:tabs>
                <w:tab w:val="left" w:pos="284"/>
              </w:tabs>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Признаки</w:t>
            </w:r>
          </w:p>
        </w:tc>
        <w:tc>
          <w:tcPr>
            <w:tcW w:w="3118" w:type="dxa"/>
          </w:tcPr>
          <w:p w14:paraId="2E81CFAB" w14:textId="77777777" w:rsidR="004461EE" w:rsidRPr="002A6229" w:rsidRDefault="004461EE" w:rsidP="004135FE">
            <w:pPr>
              <w:tabs>
                <w:tab w:val="left" w:pos="284"/>
              </w:tabs>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Абсолютное число</w:t>
            </w:r>
          </w:p>
        </w:tc>
        <w:tc>
          <w:tcPr>
            <w:tcW w:w="2995" w:type="dxa"/>
          </w:tcPr>
          <w:p w14:paraId="4508A17F" w14:textId="77777777" w:rsidR="004461EE" w:rsidRPr="002A6229" w:rsidRDefault="004461EE" w:rsidP="004135FE">
            <w:pPr>
              <w:tabs>
                <w:tab w:val="left" w:pos="284"/>
              </w:tabs>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w:t>
            </w:r>
          </w:p>
        </w:tc>
      </w:tr>
      <w:tr w:rsidR="004461EE" w:rsidRPr="002A6229" w14:paraId="149EDD62" w14:textId="77777777" w:rsidTr="001514CE">
        <w:tc>
          <w:tcPr>
            <w:tcW w:w="9344" w:type="dxa"/>
            <w:gridSpan w:val="3"/>
          </w:tcPr>
          <w:p w14:paraId="62CAAEC0" w14:textId="77777777" w:rsidR="004461EE" w:rsidRPr="002A6229" w:rsidRDefault="004461EE" w:rsidP="004135FE">
            <w:pPr>
              <w:tabs>
                <w:tab w:val="left" w:pos="284"/>
              </w:tabs>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Пол</w:t>
            </w:r>
          </w:p>
        </w:tc>
      </w:tr>
      <w:tr w:rsidR="001514CE" w:rsidRPr="002A6229" w14:paraId="64C6F065" w14:textId="77777777" w:rsidTr="001514CE">
        <w:tc>
          <w:tcPr>
            <w:tcW w:w="3231" w:type="dxa"/>
          </w:tcPr>
          <w:p w14:paraId="60FA3D6A" w14:textId="21B022DB" w:rsidR="001514CE" w:rsidRPr="002A6229" w:rsidRDefault="001514CE" w:rsidP="004135FE">
            <w:pPr>
              <w:tabs>
                <w:tab w:val="left" w:pos="284"/>
              </w:tabs>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w:t>
            </w:r>
          </w:p>
        </w:tc>
        <w:tc>
          <w:tcPr>
            <w:tcW w:w="3118" w:type="dxa"/>
          </w:tcPr>
          <w:p w14:paraId="7B12E3FF" w14:textId="7D35E447" w:rsidR="001514CE" w:rsidRPr="002A6229" w:rsidRDefault="001514CE" w:rsidP="004135FE">
            <w:pPr>
              <w:tabs>
                <w:tab w:val="left" w:pos="284"/>
              </w:tabs>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w:t>
            </w:r>
          </w:p>
        </w:tc>
        <w:tc>
          <w:tcPr>
            <w:tcW w:w="2995" w:type="dxa"/>
          </w:tcPr>
          <w:p w14:paraId="3CD8D096" w14:textId="178364E4" w:rsidR="001514CE" w:rsidRPr="002A6229" w:rsidRDefault="001514CE" w:rsidP="004135FE">
            <w:pPr>
              <w:tabs>
                <w:tab w:val="left" w:pos="284"/>
              </w:tabs>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w:t>
            </w:r>
          </w:p>
        </w:tc>
      </w:tr>
      <w:tr w:rsidR="004461EE" w:rsidRPr="002A6229" w14:paraId="35A7EE5A" w14:textId="77777777" w:rsidTr="001514CE">
        <w:tc>
          <w:tcPr>
            <w:tcW w:w="3231" w:type="dxa"/>
          </w:tcPr>
          <w:p w14:paraId="2D9FC614"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мужчины</w:t>
            </w:r>
          </w:p>
        </w:tc>
        <w:tc>
          <w:tcPr>
            <w:tcW w:w="3118" w:type="dxa"/>
          </w:tcPr>
          <w:p w14:paraId="657EC00F"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200</w:t>
            </w:r>
          </w:p>
        </w:tc>
        <w:tc>
          <w:tcPr>
            <w:tcW w:w="2995" w:type="dxa"/>
          </w:tcPr>
          <w:p w14:paraId="4A9AF4A3"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41,7</w:t>
            </w:r>
          </w:p>
        </w:tc>
      </w:tr>
      <w:tr w:rsidR="004461EE" w:rsidRPr="002A6229" w14:paraId="5A62DB5D" w14:textId="77777777" w:rsidTr="001514CE">
        <w:tc>
          <w:tcPr>
            <w:tcW w:w="3231" w:type="dxa"/>
          </w:tcPr>
          <w:p w14:paraId="066FC412"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женщины</w:t>
            </w:r>
          </w:p>
        </w:tc>
        <w:tc>
          <w:tcPr>
            <w:tcW w:w="3118" w:type="dxa"/>
          </w:tcPr>
          <w:p w14:paraId="08C1A40F"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280</w:t>
            </w:r>
          </w:p>
        </w:tc>
        <w:tc>
          <w:tcPr>
            <w:tcW w:w="2995" w:type="dxa"/>
          </w:tcPr>
          <w:p w14:paraId="07BF8BCD"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58,3</w:t>
            </w:r>
          </w:p>
        </w:tc>
      </w:tr>
      <w:tr w:rsidR="004461EE" w:rsidRPr="002A6229" w14:paraId="74CEE755" w14:textId="77777777" w:rsidTr="00703A3A">
        <w:tc>
          <w:tcPr>
            <w:tcW w:w="3231" w:type="dxa"/>
            <w:tcBorders>
              <w:bottom w:val="single" w:sz="4" w:space="0" w:color="auto"/>
            </w:tcBorders>
          </w:tcPr>
          <w:p w14:paraId="1D8658DA"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Total</w:t>
            </w:r>
          </w:p>
        </w:tc>
        <w:tc>
          <w:tcPr>
            <w:tcW w:w="3118" w:type="dxa"/>
            <w:tcBorders>
              <w:bottom w:val="single" w:sz="4" w:space="0" w:color="auto"/>
            </w:tcBorders>
          </w:tcPr>
          <w:p w14:paraId="460B6369"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480</w:t>
            </w:r>
          </w:p>
        </w:tc>
        <w:tc>
          <w:tcPr>
            <w:tcW w:w="2995" w:type="dxa"/>
            <w:tcBorders>
              <w:bottom w:val="single" w:sz="4" w:space="0" w:color="auto"/>
            </w:tcBorders>
          </w:tcPr>
          <w:p w14:paraId="3DF1802C"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100,0</w:t>
            </w:r>
          </w:p>
        </w:tc>
      </w:tr>
      <w:tr w:rsidR="00703A3A" w:rsidRPr="002A6229" w14:paraId="690AAD14" w14:textId="77777777" w:rsidTr="0052168E">
        <w:tc>
          <w:tcPr>
            <w:tcW w:w="9344" w:type="dxa"/>
            <w:gridSpan w:val="3"/>
            <w:tcBorders>
              <w:bottom w:val="nil"/>
            </w:tcBorders>
          </w:tcPr>
          <w:p w14:paraId="3257B014" w14:textId="5F315A6C" w:rsidR="00703A3A" w:rsidRPr="002A6229" w:rsidRDefault="00703A3A"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Возраст</w:t>
            </w:r>
          </w:p>
        </w:tc>
      </w:tr>
    </w:tbl>
    <w:p w14:paraId="2B306A9B" w14:textId="77777777" w:rsidR="001514CE" w:rsidRDefault="001514CE" w:rsidP="001514CE">
      <w:pPr>
        <w:tabs>
          <w:tab w:val="left" w:pos="284"/>
        </w:tabs>
        <w:spacing w:after="0" w:line="240" w:lineRule="auto"/>
        <w:jc w:val="both"/>
        <w:rPr>
          <w:rFonts w:ascii="Times New Roman" w:hAnsi="Times New Roman" w:cs="Times New Roman"/>
          <w:sz w:val="28"/>
          <w:szCs w:val="28"/>
        </w:rPr>
      </w:pPr>
    </w:p>
    <w:p w14:paraId="26C2444A" w14:textId="0CD01F7C" w:rsidR="001514CE" w:rsidRDefault="001514CE" w:rsidP="001514CE">
      <w:pPr>
        <w:tabs>
          <w:tab w:val="left" w:pos="284"/>
        </w:tabs>
        <w:spacing w:after="0" w:line="240" w:lineRule="auto"/>
        <w:jc w:val="both"/>
        <w:rPr>
          <w:rFonts w:ascii="Times New Roman" w:hAnsi="Times New Roman" w:cs="Times New Roman"/>
          <w:sz w:val="28"/>
          <w:szCs w:val="28"/>
        </w:rPr>
      </w:pPr>
      <w:r w:rsidRPr="001514CE">
        <w:rPr>
          <w:rFonts w:ascii="Times New Roman" w:hAnsi="Times New Roman" w:cs="Times New Roman"/>
          <w:sz w:val="28"/>
          <w:szCs w:val="28"/>
        </w:rPr>
        <w:lastRenderedPageBreak/>
        <w:t>Продолжение таблицы 3</w:t>
      </w:r>
    </w:p>
    <w:p w14:paraId="2754883A" w14:textId="77777777" w:rsidR="001514CE" w:rsidRPr="001514CE" w:rsidRDefault="001514CE" w:rsidP="001514CE">
      <w:pPr>
        <w:tabs>
          <w:tab w:val="left" w:pos="284"/>
        </w:tabs>
        <w:spacing w:after="0" w:line="240" w:lineRule="auto"/>
        <w:jc w:val="both"/>
        <w:rPr>
          <w:rFonts w:ascii="Times New Roman" w:hAnsi="Times New Roman" w:cs="Times New Roman"/>
          <w:sz w:val="28"/>
          <w:szCs w:val="28"/>
        </w:rPr>
      </w:pPr>
    </w:p>
    <w:tbl>
      <w:tblPr>
        <w:tblStyle w:val="af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1"/>
        <w:gridCol w:w="3118"/>
        <w:gridCol w:w="2995"/>
      </w:tblGrid>
      <w:tr w:rsidR="001514CE" w:rsidRPr="002A6229" w14:paraId="79167D59" w14:textId="77777777" w:rsidTr="001514CE">
        <w:tc>
          <w:tcPr>
            <w:tcW w:w="3231" w:type="dxa"/>
          </w:tcPr>
          <w:p w14:paraId="5EA6AAEF" w14:textId="6ED3A6F5" w:rsidR="001514CE" w:rsidRPr="002A6229" w:rsidRDefault="001514CE" w:rsidP="001514CE">
            <w:pPr>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w:t>
            </w:r>
          </w:p>
        </w:tc>
        <w:tc>
          <w:tcPr>
            <w:tcW w:w="3118" w:type="dxa"/>
          </w:tcPr>
          <w:p w14:paraId="3AF888C3" w14:textId="6C608887" w:rsidR="001514CE" w:rsidRPr="002A6229" w:rsidRDefault="001514CE" w:rsidP="001514CE">
            <w:pPr>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w:t>
            </w:r>
          </w:p>
        </w:tc>
        <w:tc>
          <w:tcPr>
            <w:tcW w:w="2995" w:type="dxa"/>
          </w:tcPr>
          <w:p w14:paraId="6BA376EE" w14:textId="4E6295C2" w:rsidR="001514CE" w:rsidRPr="002A6229" w:rsidRDefault="001514CE" w:rsidP="001514CE">
            <w:pPr>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w:t>
            </w:r>
          </w:p>
        </w:tc>
      </w:tr>
      <w:tr w:rsidR="004461EE" w:rsidRPr="002A6229" w14:paraId="42F1B6BD" w14:textId="77777777" w:rsidTr="001514CE">
        <w:tc>
          <w:tcPr>
            <w:tcW w:w="3231" w:type="dxa"/>
          </w:tcPr>
          <w:p w14:paraId="599ED2D9"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до 20</w:t>
            </w:r>
          </w:p>
        </w:tc>
        <w:tc>
          <w:tcPr>
            <w:tcW w:w="3118" w:type="dxa"/>
          </w:tcPr>
          <w:p w14:paraId="3D0BAEF7"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w:t>
            </w:r>
          </w:p>
        </w:tc>
        <w:tc>
          <w:tcPr>
            <w:tcW w:w="2995" w:type="dxa"/>
          </w:tcPr>
          <w:p w14:paraId="0444154C"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w:t>
            </w:r>
          </w:p>
        </w:tc>
      </w:tr>
      <w:tr w:rsidR="004461EE" w:rsidRPr="002A6229" w14:paraId="2F2D4E05" w14:textId="77777777" w:rsidTr="001514CE">
        <w:tc>
          <w:tcPr>
            <w:tcW w:w="3231" w:type="dxa"/>
          </w:tcPr>
          <w:p w14:paraId="4DFC37FE"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21-25</w:t>
            </w:r>
          </w:p>
        </w:tc>
        <w:tc>
          <w:tcPr>
            <w:tcW w:w="3118" w:type="dxa"/>
          </w:tcPr>
          <w:p w14:paraId="5FFCE21D"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w:t>
            </w:r>
          </w:p>
        </w:tc>
        <w:tc>
          <w:tcPr>
            <w:tcW w:w="2995" w:type="dxa"/>
          </w:tcPr>
          <w:p w14:paraId="037B6062"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w:t>
            </w:r>
          </w:p>
        </w:tc>
      </w:tr>
      <w:tr w:rsidR="004461EE" w:rsidRPr="002A6229" w14:paraId="6E82D1C4" w14:textId="77777777" w:rsidTr="001514CE">
        <w:tc>
          <w:tcPr>
            <w:tcW w:w="3231" w:type="dxa"/>
          </w:tcPr>
          <w:p w14:paraId="7816D50E"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26-30</w:t>
            </w:r>
          </w:p>
        </w:tc>
        <w:tc>
          <w:tcPr>
            <w:tcW w:w="3118" w:type="dxa"/>
          </w:tcPr>
          <w:p w14:paraId="1EF85F9E"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8</w:t>
            </w:r>
          </w:p>
        </w:tc>
        <w:tc>
          <w:tcPr>
            <w:tcW w:w="2995" w:type="dxa"/>
          </w:tcPr>
          <w:p w14:paraId="3978E8AC"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1,7</w:t>
            </w:r>
          </w:p>
        </w:tc>
      </w:tr>
      <w:tr w:rsidR="004461EE" w:rsidRPr="002A6229" w14:paraId="23B68F49" w14:textId="77777777" w:rsidTr="001514CE">
        <w:tc>
          <w:tcPr>
            <w:tcW w:w="3231" w:type="dxa"/>
          </w:tcPr>
          <w:p w14:paraId="2BB650C1"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31-35</w:t>
            </w:r>
          </w:p>
        </w:tc>
        <w:tc>
          <w:tcPr>
            <w:tcW w:w="3118" w:type="dxa"/>
          </w:tcPr>
          <w:p w14:paraId="0C44BC08"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5</w:t>
            </w:r>
          </w:p>
        </w:tc>
        <w:tc>
          <w:tcPr>
            <w:tcW w:w="2995" w:type="dxa"/>
          </w:tcPr>
          <w:p w14:paraId="43EE300F"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1,0</w:t>
            </w:r>
          </w:p>
        </w:tc>
      </w:tr>
      <w:tr w:rsidR="004461EE" w:rsidRPr="002A6229" w14:paraId="0A1A77A3" w14:textId="77777777" w:rsidTr="001514CE">
        <w:tc>
          <w:tcPr>
            <w:tcW w:w="3231" w:type="dxa"/>
          </w:tcPr>
          <w:p w14:paraId="2DA3A336"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36-40</w:t>
            </w:r>
          </w:p>
        </w:tc>
        <w:tc>
          <w:tcPr>
            <w:tcW w:w="3118" w:type="dxa"/>
          </w:tcPr>
          <w:p w14:paraId="79B9113A"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18</w:t>
            </w:r>
          </w:p>
        </w:tc>
        <w:tc>
          <w:tcPr>
            <w:tcW w:w="2995" w:type="dxa"/>
          </w:tcPr>
          <w:p w14:paraId="4BD6CA44"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3,8</w:t>
            </w:r>
          </w:p>
        </w:tc>
      </w:tr>
      <w:tr w:rsidR="004461EE" w:rsidRPr="002A6229" w14:paraId="356F5BCA" w14:textId="77777777" w:rsidTr="001514CE">
        <w:tc>
          <w:tcPr>
            <w:tcW w:w="3231" w:type="dxa"/>
          </w:tcPr>
          <w:p w14:paraId="346C4F07"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41-45</w:t>
            </w:r>
          </w:p>
        </w:tc>
        <w:tc>
          <w:tcPr>
            <w:tcW w:w="3118" w:type="dxa"/>
          </w:tcPr>
          <w:p w14:paraId="3A209CD4"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33</w:t>
            </w:r>
          </w:p>
        </w:tc>
        <w:tc>
          <w:tcPr>
            <w:tcW w:w="2995" w:type="dxa"/>
          </w:tcPr>
          <w:p w14:paraId="102D5054"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6,9</w:t>
            </w:r>
          </w:p>
        </w:tc>
      </w:tr>
      <w:tr w:rsidR="004461EE" w:rsidRPr="002A6229" w14:paraId="3B4629EC" w14:textId="77777777" w:rsidTr="001514CE">
        <w:tc>
          <w:tcPr>
            <w:tcW w:w="3231" w:type="dxa"/>
          </w:tcPr>
          <w:p w14:paraId="0C2133D8"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46-50</w:t>
            </w:r>
          </w:p>
        </w:tc>
        <w:tc>
          <w:tcPr>
            <w:tcW w:w="3118" w:type="dxa"/>
          </w:tcPr>
          <w:p w14:paraId="70CEA8AD"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65</w:t>
            </w:r>
          </w:p>
        </w:tc>
        <w:tc>
          <w:tcPr>
            <w:tcW w:w="2995" w:type="dxa"/>
          </w:tcPr>
          <w:p w14:paraId="4329F26D"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13,5</w:t>
            </w:r>
          </w:p>
        </w:tc>
      </w:tr>
      <w:tr w:rsidR="004461EE" w:rsidRPr="002A6229" w14:paraId="51043850" w14:textId="77777777" w:rsidTr="001514CE">
        <w:tc>
          <w:tcPr>
            <w:tcW w:w="3231" w:type="dxa"/>
          </w:tcPr>
          <w:p w14:paraId="0DC312E9"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51-55</w:t>
            </w:r>
          </w:p>
        </w:tc>
        <w:tc>
          <w:tcPr>
            <w:tcW w:w="3118" w:type="dxa"/>
          </w:tcPr>
          <w:p w14:paraId="0FB935C3"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74</w:t>
            </w:r>
          </w:p>
        </w:tc>
        <w:tc>
          <w:tcPr>
            <w:tcW w:w="2995" w:type="dxa"/>
          </w:tcPr>
          <w:p w14:paraId="4F502765"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15,4</w:t>
            </w:r>
          </w:p>
        </w:tc>
      </w:tr>
      <w:tr w:rsidR="004461EE" w:rsidRPr="002A6229" w14:paraId="325CBF63" w14:textId="77777777" w:rsidTr="001514CE">
        <w:tc>
          <w:tcPr>
            <w:tcW w:w="3231" w:type="dxa"/>
          </w:tcPr>
          <w:p w14:paraId="29F1411C"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56-60</w:t>
            </w:r>
          </w:p>
        </w:tc>
        <w:tc>
          <w:tcPr>
            <w:tcW w:w="3118" w:type="dxa"/>
          </w:tcPr>
          <w:p w14:paraId="275BA62A"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106</w:t>
            </w:r>
          </w:p>
        </w:tc>
        <w:tc>
          <w:tcPr>
            <w:tcW w:w="2995" w:type="dxa"/>
          </w:tcPr>
          <w:p w14:paraId="02026EAE"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22,1</w:t>
            </w:r>
          </w:p>
        </w:tc>
      </w:tr>
      <w:tr w:rsidR="004461EE" w:rsidRPr="002A6229" w14:paraId="2904701B" w14:textId="77777777" w:rsidTr="001514CE">
        <w:tc>
          <w:tcPr>
            <w:tcW w:w="3231" w:type="dxa"/>
          </w:tcPr>
          <w:p w14:paraId="2B26F8F5"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61-65</w:t>
            </w:r>
          </w:p>
        </w:tc>
        <w:tc>
          <w:tcPr>
            <w:tcW w:w="3118" w:type="dxa"/>
          </w:tcPr>
          <w:p w14:paraId="11299E22"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86</w:t>
            </w:r>
          </w:p>
        </w:tc>
        <w:tc>
          <w:tcPr>
            <w:tcW w:w="2995" w:type="dxa"/>
          </w:tcPr>
          <w:p w14:paraId="04A42AA3"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17,9</w:t>
            </w:r>
          </w:p>
        </w:tc>
      </w:tr>
      <w:tr w:rsidR="004461EE" w:rsidRPr="002A6229" w14:paraId="49B4AF54" w14:textId="77777777" w:rsidTr="001514CE">
        <w:tc>
          <w:tcPr>
            <w:tcW w:w="3231" w:type="dxa"/>
          </w:tcPr>
          <w:p w14:paraId="2A4D7AD3"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66-70</w:t>
            </w:r>
          </w:p>
        </w:tc>
        <w:tc>
          <w:tcPr>
            <w:tcW w:w="3118" w:type="dxa"/>
          </w:tcPr>
          <w:p w14:paraId="796DC146"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47</w:t>
            </w:r>
          </w:p>
        </w:tc>
        <w:tc>
          <w:tcPr>
            <w:tcW w:w="2995" w:type="dxa"/>
          </w:tcPr>
          <w:p w14:paraId="029C855B"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9,8</w:t>
            </w:r>
          </w:p>
        </w:tc>
      </w:tr>
      <w:tr w:rsidR="004461EE" w:rsidRPr="002A6229" w14:paraId="79A1AF5A" w14:textId="77777777" w:rsidTr="001514CE">
        <w:tc>
          <w:tcPr>
            <w:tcW w:w="3231" w:type="dxa"/>
          </w:tcPr>
          <w:p w14:paraId="33B6F6FF"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старше 70</w:t>
            </w:r>
          </w:p>
        </w:tc>
        <w:tc>
          <w:tcPr>
            <w:tcW w:w="3118" w:type="dxa"/>
          </w:tcPr>
          <w:p w14:paraId="0D2E5813"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36</w:t>
            </w:r>
          </w:p>
        </w:tc>
        <w:tc>
          <w:tcPr>
            <w:tcW w:w="2995" w:type="dxa"/>
          </w:tcPr>
          <w:p w14:paraId="45F596A9"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7,5</w:t>
            </w:r>
          </w:p>
        </w:tc>
      </w:tr>
      <w:tr w:rsidR="004461EE" w:rsidRPr="002A6229" w14:paraId="798AEDDD" w14:textId="77777777" w:rsidTr="001514CE">
        <w:tc>
          <w:tcPr>
            <w:tcW w:w="3231" w:type="dxa"/>
          </w:tcPr>
          <w:p w14:paraId="4AD1075B"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Total</w:t>
            </w:r>
          </w:p>
        </w:tc>
        <w:tc>
          <w:tcPr>
            <w:tcW w:w="3118" w:type="dxa"/>
          </w:tcPr>
          <w:p w14:paraId="50140B0B"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480</w:t>
            </w:r>
          </w:p>
        </w:tc>
        <w:tc>
          <w:tcPr>
            <w:tcW w:w="2995" w:type="dxa"/>
          </w:tcPr>
          <w:p w14:paraId="2BF88ECC"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100,0</w:t>
            </w:r>
          </w:p>
        </w:tc>
      </w:tr>
      <w:tr w:rsidR="004461EE" w:rsidRPr="002A6229" w14:paraId="25FFA11F" w14:textId="77777777" w:rsidTr="001514CE">
        <w:tc>
          <w:tcPr>
            <w:tcW w:w="9344" w:type="dxa"/>
            <w:gridSpan w:val="3"/>
          </w:tcPr>
          <w:p w14:paraId="61D43B9B"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Вес</w:t>
            </w:r>
          </w:p>
        </w:tc>
      </w:tr>
      <w:tr w:rsidR="004461EE" w:rsidRPr="002A6229" w14:paraId="56C32E52" w14:textId="77777777" w:rsidTr="001514CE">
        <w:tc>
          <w:tcPr>
            <w:tcW w:w="3231" w:type="dxa"/>
          </w:tcPr>
          <w:p w14:paraId="5AD4E6BF"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45-50</w:t>
            </w:r>
          </w:p>
        </w:tc>
        <w:tc>
          <w:tcPr>
            <w:tcW w:w="3118" w:type="dxa"/>
          </w:tcPr>
          <w:p w14:paraId="34A507FA"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w:t>
            </w:r>
          </w:p>
        </w:tc>
        <w:tc>
          <w:tcPr>
            <w:tcW w:w="2995" w:type="dxa"/>
          </w:tcPr>
          <w:p w14:paraId="3A2FCC73"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w:t>
            </w:r>
          </w:p>
        </w:tc>
      </w:tr>
      <w:tr w:rsidR="004461EE" w:rsidRPr="002A6229" w14:paraId="2DC15E75" w14:textId="77777777" w:rsidTr="001514CE">
        <w:tc>
          <w:tcPr>
            <w:tcW w:w="3231" w:type="dxa"/>
          </w:tcPr>
          <w:p w14:paraId="18D4D1C3"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51-55</w:t>
            </w:r>
          </w:p>
        </w:tc>
        <w:tc>
          <w:tcPr>
            <w:tcW w:w="3118" w:type="dxa"/>
          </w:tcPr>
          <w:p w14:paraId="377FF4BD"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7</w:t>
            </w:r>
          </w:p>
        </w:tc>
        <w:tc>
          <w:tcPr>
            <w:tcW w:w="2995" w:type="dxa"/>
          </w:tcPr>
          <w:p w14:paraId="42DCDAC4"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1,5</w:t>
            </w:r>
          </w:p>
        </w:tc>
      </w:tr>
      <w:tr w:rsidR="004461EE" w:rsidRPr="002A6229" w14:paraId="62A3A98E" w14:textId="77777777" w:rsidTr="001514CE">
        <w:tc>
          <w:tcPr>
            <w:tcW w:w="3231" w:type="dxa"/>
          </w:tcPr>
          <w:p w14:paraId="6E516C64"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56-60</w:t>
            </w:r>
          </w:p>
        </w:tc>
        <w:tc>
          <w:tcPr>
            <w:tcW w:w="3118" w:type="dxa"/>
          </w:tcPr>
          <w:p w14:paraId="44B839E1"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17</w:t>
            </w:r>
          </w:p>
        </w:tc>
        <w:tc>
          <w:tcPr>
            <w:tcW w:w="2995" w:type="dxa"/>
          </w:tcPr>
          <w:p w14:paraId="6A9148D3"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3,5</w:t>
            </w:r>
          </w:p>
        </w:tc>
      </w:tr>
      <w:tr w:rsidR="004461EE" w:rsidRPr="002A6229" w14:paraId="3E42D337" w14:textId="77777777" w:rsidTr="001514CE">
        <w:tc>
          <w:tcPr>
            <w:tcW w:w="3231" w:type="dxa"/>
          </w:tcPr>
          <w:p w14:paraId="3BACA3CC"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61-65</w:t>
            </w:r>
          </w:p>
        </w:tc>
        <w:tc>
          <w:tcPr>
            <w:tcW w:w="3118" w:type="dxa"/>
          </w:tcPr>
          <w:p w14:paraId="6914A292"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14</w:t>
            </w:r>
          </w:p>
        </w:tc>
        <w:tc>
          <w:tcPr>
            <w:tcW w:w="2995" w:type="dxa"/>
          </w:tcPr>
          <w:p w14:paraId="57ADB698"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2,9</w:t>
            </w:r>
          </w:p>
        </w:tc>
      </w:tr>
      <w:tr w:rsidR="004461EE" w:rsidRPr="002A6229" w14:paraId="1813A135" w14:textId="77777777" w:rsidTr="001514CE">
        <w:tc>
          <w:tcPr>
            <w:tcW w:w="3231" w:type="dxa"/>
          </w:tcPr>
          <w:p w14:paraId="24ADB156"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66-70</w:t>
            </w:r>
          </w:p>
        </w:tc>
        <w:tc>
          <w:tcPr>
            <w:tcW w:w="3118" w:type="dxa"/>
          </w:tcPr>
          <w:p w14:paraId="3678E73E"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27</w:t>
            </w:r>
          </w:p>
        </w:tc>
        <w:tc>
          <w:tcPr>
            <w:tcW w:w="2995" w:type="dxa"/>
          </w:tcPr>
          <w:p w14:paraId="574BF570"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5,6</w:t>
            </w:r>
          </w:p>
        </w:tc>
      </w:tr>
      <w:tr w:rsidR="004461EE" w:rsidRPr="002A6229" w14:paraId="3E0E0C79" w14:textId="77777777" w:rsidTr="001514CE">
        <w:tc>
          <w:tcPr>
            <w:tcW w:w="3231" w:type="dxa"/>
          </w:tcPr>
          <w:p w14:paraId="441C27B9"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71-75</w:t>
            </w:r>
          </w:p>
        </w:tc>
        <w:tc>
          <w:tcPr>
            <w:tcW w:w="3118" w:type="dxa"/>
          </w:tcPr>
          <w:p w14:paraId="072CCA43"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46</w:t>
            </w:r>
          </w:p>
        </w:tc>
        <w:tc>
          <w:tcPr>
            <w:tcW w:w="2995" w:type="dxa"/>
          </w:tcPr>
          <w:p w14:paraId="5C582EF3"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9,6</w:t>
            </w:r>
          </w:p>
        </w:tc>
      </w:tr>
      <w:tr w:rsidR="004461EE" w:rsidRPr="002A6229" w14:paraId="640DB098" w14:textId="77777777" w:rsidTr="001514CE">
        <w:tc>
          <w:tcPr>
            <w:tcW w:w="3231" w:type="dxa"/>
          </w:tcPr>
          <w:p w14:paraId="3C0162E3"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76-80</w:t>
            </w:r>
          </w:p>
        </w:tc>
        <w:tc>
          <w:tcPr>
            <w:tcW w:w="3118" w:type="dxa"/>
          </w:tcPr>
          <w:p w14:paraId="1C3B6BA5"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79</w:t>
            </w:r>
          </w:p>
        </w:tc>
        <w:tc>
          <w:tcPr>
            <w:tcW w:w="2995" w:type="dxa"/>
          </w:tcPr>
          <w:p w14:paraId="2E9D4FDE"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16,5</w:t>
            </w:r>
          </w:p>
        </w:tc>
      </w:tr>
      <w:tr w:rsidR="004461EE" w:rsidRPr="002A6229" w14:paraId="273A0D81" w14:textId="77777777" w:rsidTr="001514CE">
        <w:tc>
          <w:tcPr>
            <w:tcW w:w="3231" w:type="dxa"/>
          </w:tcPr>
          <w:p w14:paraId="7C3C92DA"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81-85</w:t>
            </w:r>
          </w:p>
        </w:tc>
        <w:tc>
          <w:tcPr>
            <w:tcW w:w="3118" w:type="dxa"/>
          </w:tcPr>
          <w:p w14:paraId="3ADABB05"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80</w:t>
            </w:r>
          </w:p>
        </w:tc>
        <w:tc>
          <w:tcPr>
            <w:tcW w:w="2995" w:type="dxa"/>
          </w:tcPr>
          <w:p w14:paraId="7445722D"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16,7</w:t>
            </w:r>
          </w:p>
        </w:tc>
      </w:tr>
      <w:tr w:rsidR="004461EE" w:rsidRPr="002A6229" w14:paraId="4B0ED0C0" w14:textId="77777777" w:rsidTr="001514CE">
        <w:tc>
          <w:tcPr>
            <w:tcW w:w="3231" w:type="dxa"/>
          </w:tcPr>
          <w:p w14:paraId="7924C9BA"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86-90</w:t>
            </w:r>
          </w:p>
        </w:tc>
        <w:tc>
          <w:tcPr>
            <w:tcW w:w="3118" w:type="dxa"/>
          </w:tcPr>
          <w:p w14:paraId="135BE9CC"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70</w:t>
            </w:r>
          </w:p>
        </w:tc>
        <w:tc>
          <w:tcPr>
            <w:tcW w:w="2995" w:type="dxa"/>
          </w:tcPr>
          <w:p w14:paraId="4824E916"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14,6</w:t>
            </w:r>
          </w:p>
        </w:tc>
      </w:tr>
      <w:tr w:rsidR="004461EE" w:rsidRPr="002A6229" w14:paraId="23C60FBF" w14:textId="77777777" w:rsidTr="001514CE">
        <w:tc>
          <w:tcPr>
            <w:tcW w:w="3231" w:type="dxa"/>
          </w:tcPr>
          <w:p w14:paraId="126B34D6"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91-95</w:t>
            </w:r>
          </w:p>
        </w:tc>
        <w:tc>
          <w:tcPr>
            <w:tcW w:w="3118" w:type="dxa"/>
          </w:tcPr>
          <w:p w14:paraId="35D6BC7A"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64</w:t>
            </w:r>
          </w:p>
        </w:tc>
        <w:tc>
          <w:tcPr>
            <w:tcW w:w="2995" w:type="dxa"/>
          </w:tcPr>
          <w:p w14:paraId="0A0959C8"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13,3</w:t>
            </w:r>
          </w:p>
        </w:tc>
      </w:tr>
      <w:tr w:rsidR="004461EE" w:rsidRPr="002A6229" w14:paraId="713404CB" w14:textId="77777777" w:rsidTr="001514CE">
        <w:tc>
          <w:tcPr>
            <w:tcW w:w="3231" w:type="dxa"/>
          </w:tcPr>
          <w:p w14:paraId="0056CDCF"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96-100</w:t>
            </w:r>
          </w:p>
        </w:tc>
        <w:tc>
          <w:tcPr>
            <w:tcW w:w="3118" w:type="dxa"/>
          </w:tcPr>
          <w:p w14:paraId="1D223340"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33</w:t>
            </w:r>
          </w:p>
        </w:tc>
        <w:tc>
          <w:tcPr>
            <w:tcW w:w="2995" w:type="dxa"/>
          </w:tcPr>
          <w:p w14:paraId="4414E8CE"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6,9</w:t>
            </w:r>
          </w:p>
        </w:tc>
      </w:tr>
      <w:tr w:rsidR="004461EE" w:rsidRPr="002A6229" w14:paraId="770605FD" w14:textId="77777777" w:rsidTr="001514CE">
        <w:tc>
          <w:tcPr>
            <w:tcW w:w="3231" w:type="dxa"/>
          </w:tcPr>
          <w:p w14:paraId="73A8D767"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101-105</w:t>
            </w:r>
          </w:p>
        </w:tc>
        <w:tc>
          <w:tcPr>
            <w:tcW w:w="3118" w:type="dxa"/>
          </w:tcPr>
          <w:p w14:paraId="2F5C8DC5"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23</w:t>
            </w:r>
          </w:p>
        </w:tc>
        <w:tc>
          <w:tcPr>
            <w:tcW w:w="2995" w:type="dxa"/>
          </w:tcPr>
          <w:p w14:paraId="0CB78215"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4,8</w:t>
            </w:r>
          </w:p>
        </w:tc>
      </w:tr>
      <w:tr w:rsidR="004461EE" w:rsidRPr="002A6229" w14:paraId="1D2CF50F" w14:textId="77777777" w:rsidTr="001514CE">
        <w:tc>
          <w:tcPr>
            <w:tcW w:w="3231" w:type="dxa"/>
          </w:tcPr>
          <w:p w14:paraId="3D20BB1D"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106-111</w:t>
            </w:r>
          </w:p>
        </w:tc>
        <w:tc>
          <w:tcPr>
            <w:tcW w:w="3118" w:type="dxa"/>
          </w:tcPr>
          <w:p w14:paraId="2BB71949"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10</w:t>
            </w:r>
          </w:p>
        </w:tc>
        <w:tc>
          <w:tcPr>
            <w:tcW w:w="2995" w:type="dxa"/>
          </w:tcPr>
          <w:p w14:paraId="2A51BF84"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2,1</w:t>
            </w:r>
          </w:p>
        </w:tc>
      </w:tr>
      <w:tr w:rsidR="004461EE" w:rsidRPr="002A6229" w14:paraId="25F239F1" w14:textId="77777777" w:rsidTr="001514CE">
        <w:tc>
          <w:tcPr>
            <w:tcW w:w="3231" w:type="dxa"/>
          </w:tcPr>
          <w:p w14:paraId="60C20C93"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выше 111</w:t>
            </w:r>
          </w:p>
        </w:tc>
        <w:tc>
          <w:tcPr>
            <w:tcW w:w="3118" w:type="dxa"/>
          </w:tcPr>
          <w:p w14:paraId="0F695239"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8</w:t>
            </w:r>
          </w:p>
        </w:tc>
        <w:tc>
          <w:tcPr>
            <w:tcW w:w="2995" w:type="dxa"/>
          </w:tcPr>
          <w:p w14:paraId="568420FC"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1,7</w:t>
            </w:r>
          </w:p>
        </w:tc>
      </w:tr>
      <w:tr w:rsidR="004461EE" w:rsidRPr="002A6229" w14:paraId="06C48E8D" w14:textId="77777777" w:rsidTr="001514CE">
        <w:tc>
          <w:tcPr>
            <w:tcW w:w="3231" w:type="dxa"/>
          </w:tcPr>
          <w:p w14:paraId="58A59696"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Total</w:t>
            </w:r>
          </w:p>
        </w:tc>
        <w:tc>
          <w:tcPr>
            <w:tcW w:w="3118" w:type="dxa"/>
          </w:tcPr>
          <w:p w14:paraId="638ECFA2"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480</w:t>
            </w:r>
          </w:p>
        </w:tc>
        <w:tc>
          <w:tcPr>
            <w:tcW w:w="2995" w:type="dxa"/>
          </w:tcPr>
          <w:p w14:paraId="78C05D34"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100,0</w:t>
            </w:r>
          </w:p>
        </w:tc>
      </w:tr>
      <w:tr w:rsidR="004461EE" w:rsidRPr="002A6229" w14:paraId="5D12CFAD" w14:textId="77777777" w:rsidTr="001514CE">
        <w:tc>
          <w:tcPr>
            <w:tcW w:w="9344" w:type="dxa"/>
            <w:gridSpan w:val="3"/>
          </w:tcPr>
          <w:p w14:paraId="3D9D7809"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Рост</w:t>
            </w:r>
          </w:p>
        </w:tc>
      </w:tr>
      <w:tr w:rsidR="004461EE" w:rsidRPr="002A6229" w14:paraId="5237B611" w14:textId="77777777" w:rsidTr="001514CE">
        <w:tc>
          <w:tcPr>
            <w:tcW w:w="3231" w:type="dxa"/>
          </w:tcPr>
          <w:p w14:paraId="35B61AF5"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150-155</w:t>
            </w:r>
          </w:p>
        </w:tc>
        <w:tc>
          <w:tcPr>
            <w:tcW w:w="3118" w:type="dxa"/>
          </w:tcPr>
          <w:p w14:paraId="2634ED31"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21</w:t>
            </w:r>
          </w:p>
        </w:tc>
        <w:tc>
          <w:tcPr>
            <w:tcW w:w="2995" w:type="dxa"/>
          </w:tcPr>
          <w:p w14:paraId="577C2F84"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4,4</w:t>
            </w:r>
          </w:p>
        </w:tc>
      </w:tr>
      <w:tr w:rsidR="004461EE" w:rsidRPr="002A6229" w14:paraId="211AE2B4" w14:textId="77777777" w:rsidTr="001514CE">
        <w:tc>
          <w:tcPr>
            <w:tcW w:w="3231" w:type="dxa"/>
          </w:tcPr>
          <w:p w14:paraId="3E507F38"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156-160</w:t>
            </w:r>
          </w:p>
        </w:tc>
        <w:tc>
          <w:tcPr>
            <w:tcW w:w="3118" w:type="dxa"/>
          </w:tcPr>
          <w:p w14:paraId="312D6767"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51</w:t>
            </w:r>
          </w:p>
        </w:tc>
        <w:tc>
          <w:tcPr>
            <w:tcW w:w="2995" w:type="dxa"/>
          </w:tcPr>
          <w:p w14:paraId="35E4AF03"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10,6</w:t>
            </w:r>
          </w:p>
        </w:tc>
      </w:tr>
      <w:tr w:rsidR="004461EE" w:rsidRPr="002A6229" w14:paraId="315D02A8" w14:textId="77777777" w:rsidTr="001514CE">
        <w:tc>
          <w:tcPr>
            <w:tcW w:w="3231" w:type="dxa"/>
          </w:tcPr>
          <w:p w14:paraId="1F77DA5A"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161-165</w:t>
            </w:r>
          </w:p>
        </w:tc>
        <w:tc>
          <w:tcPr>
            <w:tcW w:w="3118" w:type="dxa"/>
          </w:tcPr>
          <w:p w14:paraId="540062B2"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112</w:t>
            </w:r>
          </w:p>
        </w:tc>
        <w:tc>
          <w:tcPr>
            <w:tcW w:w="2995" w:type="dxa"/>
          </w:tcPr>
          <w:p w14:paraId="2DD722C1"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23,3</w:t>
            </w:r>
          </w:p>
        </w:tc>
      </w:tr>
      <w:tr w:rsidR="004461EE" w:rsidRPr="002A6229" w14:paraId="1E0D9FA0" w14:textId="77777777" w:rsidTr="001514CE">
        <w:tc>
          <w:tcPr>
            <w:tcW w:w="3231" w:type="dxa"/>
          </w:tcPr>
          <w:p w14:paraId="583BB7E1"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166-170</w:t>
            </w:r>
          </w:p>
        </w:tc>
        <w:tc>
          <w:tcPr>
            <w:tcW w:w="3118" w:type="dxa"/>
          </w:tcPr>
          <w:p w14:paraId="060A0C35"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180</w:t>
            </w:r>
          </w:p>
        </w:tc>
        <w:tc>
          <w:tcPr>
            <w:tcW w:w="2995" w:type="dxa"/>
          </w:tcPr>
          <w:p w14:paraId="4A82FC15"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37,5</w:t>
            </w:r>
          </w:p>
        </w:tc>
      </w:tr>
      <w:tr w:rsidR="004461EE" w:rsidRPr="002A6229" w14:paraId="7E82C1EC" w14:textId="77777777" w:rsidTr="001514CE">
        <w:tc>
          <w:tcPr>
            <w:tcW w:w="3231" w:type="dxa"/>
          </w:tcPr>
          <w:p w14:paraId="0BB1897B"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171-175</w:t>
            </w:r>
          </w:p>
        </w:tc>
        <w:tc>
          <w:tcPr>
            <w:tcW w:w="3118" w:type="dxa"/>
          </w:tcPr>
          <w:p w14:paraId="34F3EAAF"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62</w:t>
            </w:r>
          </w:p>
        </w:tc>
        <w:tc>
          <w:tcPr>
            <w:tcW w:w="2995" w:type="dxa"/>
          </w:tcPr>
          <w:p w14:paraId="0C7EFB7E"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12,9</w:t>
            </w:r>
          </w:p>
        </w:tc>
      </w:tr>
      <w:tr w:rsidR="004461EE" w:rsidRPr="002A6229" w14:paraId="4EDB7C45" w14:textId="77777777" w:rsidTr="001514CE">
        <w:tc>
          <w:tcPr>
            <w:tcW w:w="3231" w:type="dxa"/>
          </w:tcPr>
          <w:p w14:paraId="795680EE"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176-180</w:t>
            </w:r>
          </w:p>
        </w:tc>
        <w:tc>
          <w:tcPr>
            <w:tcW w:w="3118" w:type="dxa"/>
          </w:tcPr>
          <w:p w14:paraId="069D1098"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31</w:t>
            </w:r>
          </w:p>
        </w:tc>
        <w:tc>
          <w:tcPr>
            <w:tcW w:w="2995" w:type="dxa"/>
          </w:tcPr>
          <w:p w14:paraId="52923A82"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6,5</w:t>
            </w:r>
          </w:p>
        </w:tc>
      </w:tr>
      <w:tr w:rsidR="004461EE" w:rsidRPr="002A6229" w14:paraId="1E596001" w14:textId="77777777" w:rsidTr="001514CE">
        <w:tc>
          <w:tcPr>
            <w:tcW w:w="3231" w:type="dxa"/>
          </w:tcPr>
          <w:p w14:paraId="553B443F"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181-185</w:t>
            </w:r>
          </w:p>
        </w:tc>
        <w:tc>
          <w:tcPr>
            <w:tcW w:w="3118" w:type="dxa"/>
          </w:tcPr>
          <w:p w14:paraId="5DB61547"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17</w:t>
            </w:r>
          </w:p>
        </w:tc>
        <w:tc>
          <w:tcPr>
            <w:tcW w:w="2995" w:type="dxa"/>
          </w:tcPr>
          <w:p w14:paraId="2D5B3051"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3,5</w:t>
            </w:r>
          </w:p>
        </w:tc>
      </w:tr>
      <w:tr w:rsidR="004461EE" w:rsidRPr="002A6229" w14:paraId="7797F6E6" w14:textId="77777777" w:rsidTr="001514CE">
        <w:tc>
          <w:tcPr>
            <w:tcW w:w="3231" w:type="dxa"/>
          </w:tcPr>
          <w:p w14:paraId="65C4D243"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186-190</w:t>
            </w:r>
          </w:p>
        </w:tc>
        <w:tc>
          <w:tcPr>
            <w:tcW w:w="3118" w:type="dxa"/>
          </w:tcPr>
          <w:p w14:paraId="4AC3549E"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w:t>
            </w:r>
          </w:p>
        </w:tc>
        <w:tc>
          <w:tcPr>
            <w:tcW w:w="2995" w:type="dxa"/>
          </w:tcPr>
          <w:p w14:paraId="42920A0A"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,8</w:t>
            </w:r>
          </w:p>
        </w:tc>
      </w:tr>
      <w:tr w:rsidR="004461EE" w:rsidRPr="002A6229" w14:paraId="472963DD" w14:textId="77777777" w:rsidTr="00703A3A">
        <w:tc>
          <w:tcPr>
            <w:tcW w:w="3231" w:type="dxa"/>
            <w:tcBorders>
              <w:bottom w:val="single" w:sz="4" w:space="0" w:color="auto"/>
            </w:tcBorders>
          </w:tcPr>
          <w:p w14:paraId="1BE7CA85"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191-195</w:t>
            </w:r>
          </w:p>
        </w:tc>
        <w:tc>
          <w:tcPr>
            <w:tcW w:w="3118" w:type="dxa"/>
            <w:tcBorders>
              <w:bottom w:val="single" w:sz="4" w:space="0" w:color="auto"/>
            </w:tcBorders>
          </w:tcPr>
          <w:p w14:paraId="265118A0"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w:t>
            </w:r>
          </w:p>
        </w:tc>
        <w:tc>
          <w:tcPr>
            <w:tcW w:w="2995" w:type="dxa"/>
            <w:tcBorders>
              <w:bottom w:val="single" w:sz="4" w:space="0" w:color="auto"/>
            </w:tcBorders>
          </w:tcPr>
          <w:p w14:paraId="102A7078"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w:t>
            </w:r>
          </w:p>
        </w:tc>
      </w:tr>
      <w:tr w:rsidR="004461EE" w:rsidRPr="002A6229" w14:paraId="21D10203" w14:textId="77777777" w:rsidTr="00703A3A">
        <w:tc>
          <w:tcPr>
            <w:tcW w:w="3231" w:type="dxa"/>
            <w:tcBorders>
              <w:bottom w:val="nil"/>
            </w:tcBorders>
          </w:tcPr>
          <w:p w14:paraId="19E8FEF0"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Total</w:t>
            </w:r>
          </w:p>
        </w:tc>
        <w:tc>
          <w:tcPr>
            <w:tcW w:w="3118" w:type="dxa"/>
            <w:tcBorders>
              <w:bottom w:val="nil"/>
            </w:tcBorders>
          </w:tcPr>
          <w:p w14:paraId="1A88F503"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480</w:t>
            </w:r>
          </w:p>
        </w:tc>
        <w:tc>
          <w:tcPr>
            <w:tcW w:w="2995" w:type="dxa"/>
            <w:tcBorders>
              <w:bottom w:val="nil"/>
            </w:tcBorders>
          </w:tcPr>
          <w:p w14:paraId="132C33EF"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100,0</w:t>
            </w:r>
          </w:p>
        </w:tc>
      </w:tr>
    </w:tbl>
    <w:p w14:paraId="5DBC508F" w14:textId="0366CB30" w:rsidR="00703A3A" w:rsidRDefault="00703A3A" w:rsidP="00703A3A">
      <w:pPr>
        <w:tabs>
          <w:tab w:val="left" w:pos="284"/>
        </w:tabs>
        <w:spacing w:after="0" w:line="240" w:lineRule="auto"/>
        <w:jc w:val="both"/>
        <w:rPr>
          <w:rFonts w:ascii="Times New Roman" w:hAnsi="Times New Roman" w:cs="Times New Roman"/>
          <w:sz w:val="28"/>
          <w:szCs w:val="28"/>
        </w:rPr>
      </w:pPr>
      <w:r w:rsidRPr="001514CE">
        <w:rPr>
          <w:rFonts w:ascii="Times New Roman" w:hAnsi="Times New Roman" w:cs="Times New Roman"/>
          <w:sz w:val="28"/>
          <w:szCs w:val="28"/>
        </w:rPr>
        <w:lastRenderedPageBreak/>
        <w:t>Продолжение таблицы 3</w:t>
      </w:r>
    </w:p>
    <w:p w14:paraId="198D9DC6" w14:textId="03161692" w:rsidR="00703A3A" w:rsidRDefault="00703A3A" w:rsidP="00703A3A">
      <w:pPr>
        <w:tabs>
          <w:tab w:val="left" w:pos="284"/>
        </w:tabs>
        <w:spacing w:after="0" w:line="240" w:lineRule="auto"/>
        <w:jc w:val="both"/>
        <w:rPr>
          <w:rFonts w:ascii="Times New Roman" w:hAnsi="Times New Roman" w:cs="Times New Roman"/>
          <w:sz w:val="28"/>
          <w:szCs w:val="28"/>
        </w:rPr>
      </w:pPr>
    </w:p>
    <w:tbl>
      <w:tblPr>
        <w:tblStyle w:val="af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17"/>
        <w:gridCol w:w="2998"/>
        <w:gridCol w:w="120"/>
        <w:gridCol w:w="2995"/>
      </w:tblGrid>
      <w:tr w:rsidR="00703A3A" w:rsidRPr="002A6229" w14:paraId="33F1360B" w14:textId="77777777" w:rsidTr="0052168E">
        <w:tc>
          <w:tcPr>
            <w:tcW w:w="3114" w:type="dxa"/>
          </w:tcPr>
          <w:p w14:paraId="6ABFE7C6" w14:textId="016C8E8C" w:rsidR="00703A3A" w:rsidRPr="002A6229" w:rsidRDefault="00703A3A" w:rsidP="004135FE">
            <w:pPr>
              <w:widowControl w:val="0"/>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w:t>
            </w:r>
          </w:p>
        </w:tc>
        <w:tc>
          <w:tcPr>
            <w:tcW w:w="3115" w:type="dxa"/>
            <w:gridSpan w:val="2"/>
          </w:tcPr>
          <w:p w14:paraId="5F2B9110" w14:textId="3CA54A7B" w:rsidR="00703A3A" w:rsidRPr="002A6229" w:rsidRDefault="00703A3A" w:rsidP="004135FE">
            <w:pPr>
              <w:widowControl w:val="0"/>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w:t>
            </w:r>
          </w:p>
        </w:tc>
        <w:tc>
          <w:tcPr>
            <w:tcW w:w="3115" w:type="dxa"/>
            <w:gridSpan w:val="2"/>
          </w:tcPr>
          <w:p w14:paraId="5E8F20FB" w14:textId="2C27354F" w:rsidR="00703A3A" w:rsidRPr="002A6229" w:rsidRDefault="00703A3A" w:rsidP="004135FE">
            <w:pPr>
              <w:widowControl w:val="0"/>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3</w:t>
            </w:r>
          </w:p>
        </w:tc>
      </w:tr>
      <w:tr w:rsidR="004461EE" w:rsidRPr="002A6229" w14:paraId="3DA5FAE4" w14:textId="77777777" w:rsidTr="001514CE">
        <w:tc>
          <w:tcPr>
            <w:tcW w:w="9344" w:type="dxa"/>
            <w:gridSpan w:val="5"/>
          </w:tcPr>
          <w:p w14:paraId="6A46EAAE"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Образование</w:t>
            </w:r>
          </w:p>
        </w:tc>
      </w:tr>
      <w:tr w:rsidR="004461EE" w:rsidRPr="002A6229" w14:paraId="6F5F9F9C" w14:textId="77777777" w:rsidTr="001514CE">
        <w:tc>
          <w:tcPr>
            <w:tcW w:w="3231" w:type="dxa"/>
            <w:gridSpan w:val="2"/>
          </w:tcPr>
          <w:p w14:paraId="2396C2F7"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высшее</w:t>
            </w:r>
          </w:p>
        </w:tc>
        <w:tc>
          <w:tcPr>
            <w:tcW w:w="3118" w:type="dxa"/>
            <w:gridSpan w:val="2"/>
          </w:tcPr>
          <w:p w14:paraId="69C231CE"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161</w:t>
            </w:r>
          </w:p>
        </w:tc>
        <w:tc>
          <w:tcPr>
            <w:tcW w:w="2995" w:type="dxa"/>
          </w:tcPr>
          <w:p w14:paraId="59FD8EE4"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33,5</w:t>
            </w:r>
          </w:p>
        </w:tc>
      </w:tr>
      <w:tr w:rsidR="004461EE" w:rsidRPr="002A6229" w14:paraId="6CF3E7A8" w14:textId="77777777" w:rsidTr="001514CE">
        <w:tc>
          <w:tcPr>
            <w:tcW w:w="3231" w:type="dxa"/>
            <w:gridSpan w:val="2"/>
          </w:tcPr>
          <w:p w14:paraId="427B1B42"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среднее специальное</w:t>
            </w:r>
          </w:p>
        </w:tc>
        <w:tc>
          <w:tcPr>
            <w:tcW w:w="3118" w:type="dxa"/>
            <w:gridSpan w:val="2"/>
          </w:tcPr>
          <w:p w14:paraId="07D188EC"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154</w:t>
            </w:r>
          </w:p>
        </w:tc>
        <w:tc>
          <w:tcPr>
            <w:tcW w:w="2995" w:type="dxa"/>
          </w:tcPr>
          <w:p w14:paraId="0C7E8653"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32,1</w:t>
            </w:r>
          </w:p>
        </w:tc>
      </w:tr>
      <w:tr w:rsidR="004461EE" w:rsidRPr="002A6229" w14:paraId="6611909F" w14:textId="77777777" w:rsidTr="001514CE">
        <w:tc>
          <w:tcPr>
            <w:tcW w:w="3231" w:type="dxa"/>
            <w:gridSpan w:val="2"/>
          </w:tcPr>
          <w:p w14:paraId="640AF923"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средннее не оконченное</w:t>
            </w:r>
          </w:p>
        </w:tc>
        <w:tc>
          <w:tcPr>
            <w:tcW w:w="3118" w:type="dxa"/>
            <w:gridSpan w:val="2"/>
          </w:tcPr>
          <w:p w14:paraId="14049D24"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53</w:t>
            </w:r>
          </w:p>
        </w:tc>
        <w:tc>
          <w:tcPr>
            <w:tcW w:w="2995" w:type="dxa"/>
          </w:tcPr>
          <w:p w14:paraId="100D375C"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11,0</w:t>
            </w:r>
          </w:p>
        </w:tc>
      </w:tr>
      <w:tr w:rsidR="004461EE" w:rsidRPr="002A6229" w14:paraId="06EA5B65" w14:textId="77777777" w:rsidTr="001514CE">
        <w:tc>
          <w:tcPr>
            <w:tcW w:w="3231" w:type="dxa"/>
            <w:gridSpan w:val="2"/>
          </w:tcPr>
          <w:p w14:paraId="4AE6198C"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средннее</w:t>
            </w:r>
          </w:p>
        </w:tc>
        <w:tc>
          <w:tcPr>
            <w:tcW w:w="3118" w:type="dxa"/>
            <w:gridSpan w:val="2"/>
          </w:tcPr>
          <w:p w14:paraId="786EFE60"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112</w:t>
            </w:r>
          </w:p>
        </w:tc>
        <w:tc>
          <w:tcPr>
            <w:tcW w:w="2995" w:type="dxa"/>
          </w:tcPr>
          <w:p w14:paraId="5521A601"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23,3</w:t>
            </w:r>
          </w:p>
        </w:tc>
      </w:tr>
      <w:tr w:rsidR="004461EE" w:rsidRPr="002A6229" w14:paraId="5A292418" w14:textId="77777777" w:rsidTr="001514CE">
        <w:tc>
          <w:tcPr>
            <w:tcW w:w="3231" w:type="dxa"/>
            <w:gridSpan w:val="2"/>
          </w:tcPr>
          <w:p w14:paraId="67C0DBCD"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Total</w:t>
            </w:r>
          </w:p>
        </w:tc>
        <w:tc>
          <w:tcPr>
            <w:tcW w:w="3118" w:type="dxa"/>
            <w:gridSpan w:val="2"/>
          </w:tcPr>
          <w:p w14:paraId="6CBD2475"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480</w:t>
            </w:r>
          </w:p>
        </w:tc>
        <w:tc>
          <w:tcPr>
            <w:tcW w:w="2995" w:type="dxa"/>
          </w:tcPr>
          <w:p w14:paraId="2F2C864E"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100,0</w:t>
            </w:r>
          </w:p>
        </w:tc>
      </w:tr>
      <w:tr w:rsidR="004461EE" w:rsidRPr="002A6229" w14:paraId="67870682" w14:textId="77777777" w:rsidTr="001514CE">
        <w:tc>
          <w:tcPr>
            <w:tcW w:w="9344" w:type="dxa"/>
            <w:gridSpan w:val="5"/>
          </w:tcPr>
          <w:p w14:paraId="775A8AAD"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Семейное положение</w:t>
            </w:r>
          </w:p>
        </w:tc>
      </w:tr>
      <w:tr w:rsidR="004461EE" w:rsidRPr="002A6229" w14:paraId="2C723B73" w14:textId="77777777" w:rsidTr="001514CE">
        <w:tc>
          <w:tcPr>
            <w:tcW w:w="3231" w:type="dxa"/>
            <w:gridSpan w:val="2"/>
          </w:tcPr>
          <w:p w14:paraId="42118636"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в официальном браке</w:t>
            </w:r>
          </w:p>
        </w:tc>
        <w:tc>
          <w:tcPr>
            <w:tcW w:w="3118" w:type="dxa"/>
            <w:gridSpan w:val="2"/>
          </w:tcPr>
          <w:p w14:paraId="3556AF6B"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278</w:t>
            </w:r>
          </w:p>
        </w:tc>
        <w:tc>
          <w:tcPr>
            <w:tcW w:w="2995" w:type="dxa"/>
          </w:tcPr>
          <w:p w14:paraId="599461A1"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57,9</w:t>
            </w:r>
          </w:p>
        </w:tc>
      </w:tr>
      <w:tr w:rsidR="004461EE" w:rsidRPr="002A6229" w14:paraId="3EE48B92" w14:textId="77777777" w:rsidTr="001514CE">
        <w:tc>
          <w:tcPr>
            <w:tcW w:w="3231" w:type="dxa"/>
            <w:gridSpan w:val="2"/>
          </w:tcPr>
          <w:p w14:paraId="355F7C13"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в гражданском браке</w:t>
            </w:r>
          </w:p>
        </w:tc>
        <w:tc>
          <w:tcPr>
            <w:tcW w:w="3118" w:type="dxa"/>
            <w:gridSpan w:val="2"/>
          </w:tcPr>
          <w:p w14:paraId="2B27C1D1"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22</w:t>
            </w:r>
          </w:p>
        </w:tc>
        <w:tc>
          <w:tcPr>
            <w:tcW w:w="2995" w:type="dxa"/>
          </w:tcPr>
          <w:p w14:paraId="2F432B65"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4,6</w:t>
            </w:r>
          </w:p>
        </w:tc>
      </w:tr>
      <w:tr w:rsidR="004461EE" w:rsidRPr="002A6229" w14:paraId="64B7CF35" w14:textId="77777777" w:rsidTr="001514CE">
        <w:tc>
          <w:tcPr>
            <w:tcW w:w="3231" w:type="dxa"/>
            <w:gridSpan w:val="2"/>
          </w:tcPr>
          <w:p w14:paraId="60CB3D9F"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вдова/вдовец</w:t>
            </w:r>
          </w:p>
        </w:tc>
        <w:tc>
          <w:tcPr>
            <w:tcW w:w="3118" w:type="dxa"/>
            <w:gridSpan w:val="2"/>
          </w:tcPr>
          <w:p w14:paraId="7007F7F1"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76</w:t>
            </w:r>
          </w:p>
        </w:tc>
        <w:tc>
          <w:tcPr>
            <w:tcW w:w="2995" w:type="dxa"/>
          </w:tcPr>
          <w:p w14:paraId="7CBFCA10"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15,8</w:t>
            </w:r>
          </w:p>
        </w:tc>
      </w:tr>
      <w:tr w:rsidR="004461EE" w:rsidRPr="002A6229" w14:paraId="2DFB0955" w14:textId="77777777" w:rsidTr="001514CE">
        <w:tc>
          <w:tcPr>
            <w:tcW w:w="3231" w:type="dxa"/>
            <w:gridSpan w:val="2"/>
          </w:tcPr>
          <w:p w14:paraId="7A9506C8"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разведен/разведена</w:t>
            </w:r>
          </w:p>
        </w:tc>
        <w:tc>
          <w:tcPr>
            <w:tcW w:w="3118" w:type="dxa"/>
            <w:gridSpan w:val="2"/>
          </w:tcPr>
          <w:p w14:paraId="42322164"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56</w:t>
            </w:r>
          </w:p>
        </w:tc>
        <w:tc>
          <w:tcPr>
            <w:tcW w:w="2995" w:type="dxa"/>
          </w:tcPr>
          <w:p w14:paraId="1837C130"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11,7</w:t>
            </w:r>
          </w:p>
        </w:tc>
      </w:tr>
      <w:tr w:rsidR="004461EE" w:rsidRPr="002A6229" w14:paraId="5A794E44" w14:textId="77777777" w:rsidTr="001514CE">
        <w:tc>
          <w:tcPr>
            <w:tcW w:w="3231" w:type="dxa"/>
            <w:gridSpan w:val="2"/>
          </w:tcPr>
          <w:p w14:paraId="12A1D2E1"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не женат/не замужем</w:t>
            </w:r>
          </w:p>
        </w:tc>
        <w:tc>
          <w:tcPr>
            <w:tcW w:w="3118" w:type="dxa"/>
            <w:gridSpan w:val="2"/>
          </w:tcPr>
          <w:p w14:paraId="6523C2C6"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28</w:t>
            </w:r>
          </w:p>
        </w:tc>
        <w:tc>
          <w:tcPr>
            <w:tcW w:w="2995" w:type="dxa"/>
          </w:tcPr>
          <w:p w14:paraId="27F4193F"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5,8</w:t>
            </w:r>
          </w:p>
        </w:tc>
      </w:tr>
      <w:tr w:rsidR="004461EE" w:rsidRPr="002A6229" w14:paraId="0ECB4694" w14:textId="77777777" w:rsidTr="001514CE">
        <w:tc>
          <w:tcPr>
            <w:tcW w:w="3231" w:type="dxa"/>
            <w:gridSpan w:val="2"/>
          </w:tcPr>
          <w:p w14:paraId="7ABC725F"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другое</w:t>
            </w:r>
          </w:p>
        </w:tc>
        <w:tc>
          <w:tcPr>
            <w:tcW w:w="3118" w:type="dxa"/>
            <w:gridSpan w:val="2"/>
          </w:tcPr>
          <w:p w14:paraId="2A7CA764"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20</w:t>
            </w:r>
          </w:p>
        </w:tc>
        <w:tc>
          <w:tcPr>
            <w:tcW w:w="2995" w:type="dxa"/>
          </w:tcPr>
          <w:p w14:paraId="0B2E6AFE"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4,2</w:t>
            </w:r>
          </w:p>
        </w:tc>
      </w:tr>
      <w:tr w:rsidR="004461EE" w:rsidRPr="002A6229" w14:paraId="5E41C181" w14:textId="77777777" w:rsidTr="001514CE">
        <w:tc>
          <w:tcPr>
            <w:tcW w:w="3231" w:type="dxa"/>
            <w:gridSpan w:val="2"/>
          </w:tcPr>
          <w:p w14:paraId="275F4700"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Total</w:t>
            </w:r>
          </w:p>
        </w:tc>
        <w:tc>
          <w:tcPr>
            <w:tcW w:w="3118" w:type="dxa"/>
            <w:gridSpan w:val="2"/>
          </w:tcPr>
          <w:p w14:paraId="0D339D6D"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480</w:t>
            </w:r>
          </w:p>
        </w:tc>
        <w:tc>
          <w:tcPr>
            <w:tcW w:w="2995" w:type="dxa"/>
          </w:tcPr>
          <w:p w14:paraId="102B0A95"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100,0</w:t>
            </w:r>
          </w:p>
        </w:tc>
      </w:tr>
      <w:tr w:rsidR="004461EE" w:rsidRPr="002A6229" w14:paraId="4CFD19B2" w14:textId="77777777" w:rsidTr="001514CE">
        <w:tc>
          <w:tcPr>
            <w:tcW w:w="9344" w:type="dxa"/>
            <w:gridSpan w:val="5"/>
          </w:tcPr>
          <w:p w14:paraId="1BA967BA"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Занятость или социальный статус</w:t>
            </w:r>
          </w:p>
        </w:tc>
      </w:tr>
      <w:tr w:rsidR="004461EE" w:rsidRPr="002A6229" w14:paraId="3A6CF9A8" w14:textId="77777777" w:rsidTr="001514CE">
        <w:tc>
          <w:tcPr>
            <w:tcW w:w="3231" w:type="dxa"/>
            <w:gridSpan w:val="2"/>
          </w:tcPr>
          <w:p w14:paraId="24CF9450"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военнослужащий</w:t>
            </w:r>
          </w:p>
        </w:tc>
        <w:tc>
          <w:tcPr>
            <w:tcW w:w="3118" w:type="dxa"/>
            <w:gridSpan w:val="2"/>
          </w:tcPr>
          <w:p w14:paraId="4A7981F3"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13</w:t>
            </w:r>
          </w:p>
        </w:tc>
        <w:tc>
          <w:tcPr>
            <w:tcW w:w="2995" w:type="dxa"/>
          </w:tcPr>
          <w:p w14:paraId="327B2CA8"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2,7</w:t>
            </w:r>
          </w:p>
        </w:tc>
      </w:tr>
      <w:tr w:rsidR="004461EE" w:rsidRPr="002A6229" w14:paraId="3393FC60" w14:textId="77777777" w:rsidTr="001514CE">
        <w:tc>
          <w:tcPr>
            <w:tcW w:w="3231" w:type="dxa"/>
            <w:gridSpan w:val="2"/>
          </w:tcPr>
          <w:p w14:paraId="01B26698"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рабочий</w:t>
            </w:r>
          </w:p>
        </w:tc>
        <w:tc>
          <w:tcPr>
            <w:tcW w:w="3118" w:type="dxa"/>
            <w:gridSpan w:val="2"/>
          </w:tcPr>
          <w:p w14:paraId="3416906A"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143</w:t>
            </w:r>
          </w:p>
        </w:tc>
        <w:tc>
          <w:tcPr>
            <w:tcW w:w="2995" w:type="dxa"/>
          </w:tcPr>
          <w:p w14:paraId="60AEF904"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29,8</w:t>
            </w:r>
          </w:p>
        </w:tc>
      </w:tr>
      <w:tr w:rsidR="004461EE" w:rsidRPr="002A6229" w14:paraId="65CC97D1" w14:textId="77777777" w:rsidTr="001514CE">
        <w:tc>
          <w:tcPr>
            <w:tcW w:w="3231" w:type="dxa"/>
            <w:gridSpan w:val="2"/>
          </w:tcPr>
          <w:p w14:paraId="4F45B442"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безработный</w:t>
            </w:r>
          </w:p>
        </w:tc>
        <w:tc>
          <w:tcPr>
            <w:tcW w:w="3118" w:type="dxa"/>
            <w:gridSpan w:val="2"/>
          </w:tcPr>
          <w:p w14:paraId="40212975"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44</w:t>
            </w:r>
          </w:p>
        </w:tc>
        <w:tc>
          <w:tcPr>
            <w:tcW w:w="2995" w:type="dxa"/>
          </w:tcPr>
          <w:p w14:paraId="53405368"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9,2</w:t>
            </w:r>
          </w:p>
        </w:tc>
      </w:tr>
      <w:tr w:rsidR="004461EE" w:rsidRPr="002A6229" w14:paraId="02659549" w14:textId="77777777" w:rsidTr="001514CE">
        <w:tc>
          <w:tcPr>
            <w:tcW w:w="3231" w:type="dxa"/>
            <w:gridSpan w:val="2"/>
          </w:tcPr>
          <w:p w14:paraId="74E9215D"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Лицо, занятое индивидуальной трудовой деятельностью</w:t>
            </w:r>
          </w:p>
        </w:tc>
        <w:tc>
          <w:tcPr>
            <w:tcW w:w="3118" w:type="dxa"/>
            <w:gridSpan w:val="2"/>
          </w:tcPr>
          <w:p w14:paraId="2EB1D0F7"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46</w:t>
            </w:r>
          </w:p>
        </w:tc>
        <w:tc>
          <w:tcPr>
            <w:tcW w:w="2995" w:type="dxa"/>
          </w:tcPr>
          <w:p w14:paraId="76AA6806"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9,6</w:t>
            </w:r>
          </w:p>
        </w:tc>
      </w:tr>
      <w:tr w:rsidR="004461EE" w:rsidRPr="002A6229" w14:paraId="02B9BE65" w14:textId="77777777" w:rsidTr="001514CE">
        <w:tc>
          <w:tcPr>
            <w:tcW w:w="3231" w:type="dxa"/>
            <w:gridSpan w:val="2"/>
          </w:tcPr>
          <w:p w14:paraId="0E1CC29A"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студент</w:t>
            </w:r>
          </w:p>
        </w:tc>
        <w:tc>
          <w:tcPr>
            <w:tcW w:w="3118" w:type="dxa"/>
            <w:gridSpan w:val="2"/>
          </w:tcPr>
          <w:p w14:paraId="00624074"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w:t>
            </w:r>
          </w:p>
        </w:tc>
        <w:tc>
          <w:tcPr>
            <w:tcW w:w="2995" w:type="dxa"/>
          </w:tcPr>
          <w:p w14:paraId="544F5697"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w:t>
            </w:r>
          </w:p>
        </w:tc>
      </w:tr>
      <w:tr w:rsidR="004461EE" w:rsidRPr="002A6229" w14:paraId="26F2454B" w14:textId="77777777" w:rsidTr="001514CE">
        <w:tc>
          <w:tcPr>
            <w:tcW w:w="3231" w:type="dxa"/>
            <w:gridSpan w:val="2"/>
          </w:tcPr>
          <w:p w14:paraId="2AC9DAE5"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домашнее хозяйство</w:t>
            </w:r>
          </w:p>
        </w:tc>
        <w:tc>
          <w:tcPr>
            <w:tcW w:w="3118" w:type="dxa"/>
            <w:gridSpan w:val="2"/>
          </w:tcPr>
          <w:p w14:paraId="1CDF517F"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65</w:t>
            </w:r>
          </w:p>
        </w:tc>
        <w:tc>
          <w:tcPr>
            <w:tcW w:w="2995" w:type="dxa"/>
          </w:tcPr>
          <w:p w14:paraId="3E46387F"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13,5</w:t>
            </w:r>
          </w:p>
        </w:tc>
      </w:tr>
      <w:tr w:rsidR="004461EE" w:rsidRPr="002A6229" w14:paraId="76884297" w14:textId="77777777" w:rsidTr="001514CE">
        <w:tc>
          <w:tcPr>
            <w:tcW w:w="3231" w:type="dxa"/>
            <w:gridSpan w:val="2"/>
          </w:tcPr>
          <w:p w14:paraId="375909F7"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пенсионер по возрасту</w:t>
            </w:r>
          </w:p>
        </w:tc>
        <w:tc>
          <w:tcPr>
            <w:tcW w:w="3118" w:type="dxa"/>
            <w:gridSpan w:val="2"/>
          </w:tcPr>
          <w:p w14:paraId="6DE019A7"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130</w:t>
            </w:r>
          </w:p>
        </w:tc>
        <w:tc>
          <w:tcPr>
            <w:tcW w:w="2995" w:type="dxa"/>
          </w:tcPr>
          <w:p w14:paraId="4944FC1A"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27,1</w:t>
            </w:r>
          </w:p>
        </w:tc>
      </w:tr>
      <w:tr w:rsidR="004461EE" w:rsidRPr="002A6229" w14:paraId="7D2F6145" w14:textId="77777777" w:rsidTr="001514CE">
        <w:tc>
          <w:tcPr>
            <w:tcW w:w="3231" w:type="dxa"/>
            <w:gridSpan w:val="2"/>
          </w:tcPr>
          <w:p w14:paraId="646F9031"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инвалидность по СД</w:t>
            </w:r>
          </w:p>
        </w:tc>
        <w:tc>
          <w:tcPr>
            <w:tcW w:w="3118" w:type="dxa"/>
            <w:gridSpan w:val="2"/>
          </w:tcPr>
          <w:p w14:paraId="26FB9306"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14</w:t>
            </w:r>
          </w:p>
        </w:tc>
        <w:tc>
          <w:tcPr>
            <w:tcW w:w="2995" w:type="dxa"/>
          </w:tcPr>
          <w:p w14:paraId="1C442440"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2,9</w:t>
            </w:r>
          </w:p>
        </w:tc>
      </w:tr>
      <w:tr w:rsidR="004461EE" w:rsidRPr="002A6229" w14:paraId="68BA1518" w14:textId="77777777" w:rsidTr="001514CE">
        <w:tc>
          <w:tcPr>
            <w:tcW w:w="3231" w:type="dxa"/>
            <w:gridSpan w:val="2"/>
          </w:tcPr>
          <w:p w14:paraId="1DB392D9"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другое</w:t>
            </w:r>
          </w:p>
        </w:tc>
        <w:tc>
          <w:tcPr>
            <w:tcW w:w="3118" w:type="dxa"/>
            <w:gridSpan w:val="2"/>
          </w:tcPr>
          <w:p w14:paraId="0D154F33"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23</w:t>
            </w:r>
          </w:p>
        </w:tc>
        <w:tc>
          <w:tcPr>
            <w:tcW w:w="2995" w:type="dxa"/>
          </w:tcPr>
          <w:p w14:paraId="058C0C22" w14:textId="77777777" w:rsidR="004461EE" w:rsidRPr="002A6229" w:rsidRDefault="004461EE" w:rsidP="004135FE">
            <w:pPr>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4,8</w:t>
            </w:r>
          </w:p>
        </w:tc>
      </w:tr>
      <w:tr w:rsidR="004461EE" w:rsidRPr="002A6229" w14:paraId="51C2CC87" w14:textId="77777777" w:rsidTr="001514CE">
        <w:tc>
          <w:tcPr>
            <w:tcW w:w="3231" w:type="dxa"/>
            <w:gridSpan w:val="2"/>
          </w:tcPr>
          <w:p w14:paraId="45C82205"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Total</w:t>
            </w:r>
          </w:p>
        </w:tc>
        <w:tc>
          <w:tcPr>
            <w:tcW w:w="3118" w:type="dxa"/>
            <w:gridSpan w:val="2"/>
          </w:tcPr>
          <w:p w14:paraId="29CDEDAA"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480</w:t>
            </w:r>
          </w:p>
        </w:tc>
        <w:tc>
          <w:tcPr>
            <w:tcW w:w="2995" w:type="dxa"/>
          </w:tcPr>
          <w:p w14:paraId="5C23500C" w14:textId="77777777" w:rsidR="004461EE" w:rsidRPr="002A6229" w:rsidRDefault="004461EE" w:rsidP="004135FE">
            <w:pPr>
              <w:widowControl w:val="0"/>
              <w:autoSpaceDE w:val="0"/>
              <w:autoSpaceDN w:val="0"/>
              <w:adjustRightInd w:val="0"/>
              <w:spacing w:after="0" w:line="240" w:lineRule="auto"/>
              <w:jc w:val="center"/>
              <w:rPr>
                <w:rFonts w:ascii="Times New Roman" w:hAnsi="Times New Roman" w:cs="Times New Roman"/>
                <w:bCs/>
                <w:sz w:val="28"/>
                <w:szCs w:val="28"/>
              </w:rPr>
            </w:pPr>
            <w:r w:rsidRPr="002A6229">
              <w:rPr>
                <w:rFonts w:ascii="Times New Roman" w:hAnsi="Times New Roman" w:cs="Times New Roman"/>
                <w:bCs/>
                <w:sz w:val="28"/>
                <w:szCs w:val="28"/>
              </w:rPr>
              <w:t>100,0</w:t>
            </w:r>
          </w:p>
        </w:tc>
      </w:tr>
    </w:tbl>
    <w:p w14:paraId="392D2DA9" w14:textId="77777777" w:rsidR="004461EE" w:rsidRPr="004135FE" w:rsidRDefault="004461EE" w:rsidP="004135FE">
      <w:pPr>
        <w:spacing w:after="0" w:line="240" w:lineRule="auto"/>
        <w:jc w:val="both"/>
        <w:rPr>
          <w:rFonts w:ascii="Times New Roman" w:hAnsi="Times New Roman" w:cs="Times New Roman"/>
          <w:sz w:val="28"/>
          <w:szCs w:val="28"/>
        </w:rPr>
      </w:pPr>
    </w:p>
    <w:p w14:paraId="153D8556" w14:textId="05B350D1" w:rsidR="004461EE" w:rsidRDefault="008F153C"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Таблица 4</w:t>
      </w:r>
      <w:r w:rsidR="00703A3A">
        <w:rPr>
          <w:rFonts w:ascii="Times New Roman" w:hAnsi="Times New Roman" w:cs="Times New Roman"/>
          <w:sz w:val="28"/>
          <w:szCs w:val="28"/>
        </w:rPr>
        <w:t xml:space="preserve"> </w:t>
      </w:r>
      <w:r w:rsidR="004461EE" w:rsidRPr="004135FE">
        <w:rPr>
          <w:rFonts w:ascii="Times New Roman" w:hAnsi="Times New Roman" w:cs="Times New Roman"/>
          <w:sz w:val="28"/>
          <w:szCs w:val="28"/>
        </w:rPr>
        <w:t xml:space="preserve">- </w:t>
      </w:r>
      <w:r w:rsidR="00703A3A">
        <w:rPr>
          <w:rFonts w:ascii="Times New Roman" w:hAnsi="Times New Roman" w:cs="Times New Roman"/>
          <w:sz w:val="28"/>
          <w:szCs w:val="28"/>
        </w:rPr>
        <w:t>С</w:t>
      </w:r>
      <w:r w:rsidR="004461EE" w:rsidRPr="004135FE">
        <w:rPr>
          <w:rFonts w:ascii="Times New Roman" w:hAnsi="Times New Roman" w:cs="Times New Roman"/>
          <w:sz w:val="28"/>
          <w:szCs w:val="28"/>
        </w:rPr>
        <w:t>редние значения данных респондентов</w:t>
      </w:r>
    </w:p>
    <w:p w14:paraId="16919B6E" w14:textId="77777777" w:rsidR="00703A3A" w:rsidRPr="004135FE" w:rsidRDefault="00703A3A" w:rsidP="004135FE">
      <w:pPr>
        <w:spacing w:after="0" w:line="240" w:lineRule="auto"/>
        <w:jc w:val="both"/>
        <w:rPr>
          <w:rFonts w:ascii="Times New Roman" w:hAnsi="Times New Roman" w:cs="Times New Roman"/>
          <w:sz w:val="28"/>
          <w:szCs w:val="28"/>
        </w:rPr>
      </w:pPr>
    </w:p>
    <w:tbl>
      <w:tblPr>
        <w:tblStyle w:val="af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9"/>
        <w:gridCol w:w="4685"/>
      </w:tblGrid>
      <w:tr w:rsidR="004461EE" w:rsidRPr="00703A3A" w14:paraId="16B4474C" w14:textId="77777777" w:rsidTr="00BB2CC1">
        <w:tc>
          <w:tcPr>
            <w:tcW w:w="10053" w:type="dxa"/>
            <w:gridSpan w:val="2"/>
          </w:tcPr>
          <w:p w14:paraId="7430FF05" w14:textId="77777777" w:rsidR="004461EE" w:rsidRPr="00703A3A" w:rsidRDefault="004461EE" w:rsidP="00703A3A">
            <w:pPr>
              <w:spacing w:after="0" w:line="240" w:lineRule="auto"/>
              <w:jc w:val="center"/>
              <w:rPr>
                <w:rFonts w:ascii="Times New Roman" w:hAnsi="Times New Roman" w:cs="Times New Roman"/>
                <w:bCs/>
                <w:sz w:val="28"/>
                <w:szCs w:val="28"/>
              </w:rPr>
            </w:pPr>
            <w:r w:rsidRPr="00703A3A">
              <w:rPr>
                <w:rFonts w:ascii="Times New Roman" w:hAnsi="Times New Roman" w:cs="Times New Roman"/>
                <w:bCs/>
                <w:sz w:val="28"/>
                <w:szCs w:val="28"/>
              </w:rPr>
              <w:t>Средний поло-возрастной состав</w:t>
            </w:r>
          </w:p>
        </w:tc>
      </w:tr>
      <w:tr w:rsidR="004461EE" w:rsidRPr="00703A3A" w14:paraId="38289191" w14:textId="77777777" w:rsidTr="00BB2CC1">
        <w:tc>
          <w:tcPr>
            <w:tcW w:w="5026" w:type="dxa"/>
          </w:tcPr>
          <w:p w14:paraId="1D1FF86B" w14:textId="77777777" w:rsidR="004461EE" w:rsidRPr="00703A3A" w:rsidRDefault="004461EE" w:rsidP="004135FE">
            <w:pPr>
              <w:spacing w:after="0" w:line="240" w:lineRule="auto"/>
              <w:jc w:val="both"/>
              <w:rPr>
                <w:rFonts w:ascii="Times New Roman" w:eastAsia="Times New Roman" w:hAnsi="Times New Roman" w:cs="Times New Roman"/>
                <w:bCs/>
                <w:sz w:val="28"/>
                <w:szCs w:val="28"/>
              </w:rPr>
            </w:pPr>
            <w:r w:rsidRPr="00703A3A">
              <w:rPr>
                <w:rFonts w:ascii="Times New Roman" w:eastAsia="Times New Roman" w:hAnsi="Times New Roman" w:cs="Times New Roman"/>
                <w:bCs/>
                <w:sz w:val="28"/>
                <w:szCs w:val="28"/>
              </w:rPr>
              <w:t>пол</w:t>
            </w:r>
          </w:p>
        </w:tc>
        <w:tc>
          <w:tcPr>
            <w:tcW w:w="5027" w:type="dxa"/>
          </w:tcPr>
          <w:p w14:paraId="6E89D11F" w14:textId="77777777" w:rsidR="004461EE" w:rsidRPr="00703A3A" w:rsidRDefault="004461EE" w:rsidP="004135FE">
            <w:pPr>
              <w:tabs>
                <w:tab w:val="left" w:pos="993"/>
              </w:tabs>
              <w:spacing w:after="0" w:line="240" w:lineRule="auto"/>
              <w:jc w:val="both"/>
              <w:rPr>
                <w:rFonts w:ascii="Times New Roman" w:eastAsia="Times New Roman" w:hAnsi="Times New Roman" w:cs="Times New Roman"/>
                <w:bCs/>
                <w:sz w:val="28"/>
                <w:szCs w:val="28"/>
              </w:rPr>
            </w:pPr>
            <w:r w:rsidRPr="00703A3A">
              <w:rPr>
                <w:rFonts w:ascii="Times New Roman" w:eastAsia="Times New Roman" w:hAnsi="Times New Roman" w:cs="Times New Roman"/>
                <w:bCs/>
                <w:sz w:val="28"/>
                <w:szCs w:val="28"/>
              </w:rPr>
              <w:t>Средний возраст ± станд. отклонение</w:t>
            </w:r>
          </w:p>
        </w:tc>
      </w:tr>
      <w:tr w:rsidR="004461EE" w:rsidRPr="00703A3A" w14:paraId="342CB762" w14:textId="77777777" w:rsidTr="00BB2CC1">
        <w:tc>
          <w:tcPr>
            <w:tcW w:w="5026" w:type="dxa"/>
          </w:tcPr>
          <w:p w14:paraId="07653288" w14:textId="77777777" w:rsidR="004461EE" w:rsidRPr="00703A3A" w:rsidRDefault="004461EE" w:rsidP="004135FE">
            <w:pPr>
              <w:spacing w:after="0" w:line="240" w:lineRule="auto"/>
              <w:jc w:val="both"/>
              <w:rPr>
                <w:rFonts w:ascii="Times New Roman" w:eastAsia="Times New Roman" w:hAnsi="Times New Roman" w:cs="Times New Roman"/>
                <w:bCs/>
                <w:sz w:val="28"/>
                <w:szCs w:val="28"/>
              </w:rPr>
            </w:pPr>
            <w:r w:rsidRPr="00703A3A">
              <w:rPr>
                <w:rFonts w:ascii="Times New Roman" w:eastAsia="Times New Roman" w:hAnsi="Times New Roman" w:cs="Times New Roman"/>
                <w:bCs/>
                <w:sz w:val="28"/>
                <w:szCs w:val="28"/>
              </w:rPr>
              <w:t>мужчины</w:t>
            </w:r>
          </w:p>
        </w:tc>
        <w:tc>
          <w:tcPr>
            <w:tcW w:w="5027" w:type="dxa"/>
          </w:tcPr>
          <w:p w14:paraId="5050507D" w14:textId="77777777" w:rsidR="004461EE" w:rsidRPr="00703A3A" w:rsidRDefault="004461EE" w:rsidP="004135FE">
            <w:pPr>
              <w:spacing w:after="0" w:line="240" w:lineRule="auto"/>
              <w:jc w:val="both"/>
              <w:rPr>
                <w:rFonts w:ascii="Times New Roman" w:eastAsia="Times New Roman" w:hAnsi="Times New Roman" w:cs="Times New Roman"/>
                <w:bCs/>
                <w:sz w:val="28"/>
                <w:szCs w:val="28"/>
              </w:rPr>
            </w:pPr>
            <w:r w:rsidRPr="00703A3A">
              <w:rPr>
                <w:rFonts w:ascii="Times New Roman" w:hAnsi="Times New Roman" w:cs="Times New Roman"/>
                <w:bCs/>
                <w:sz w:val="28"/>
                <w:szCs w:val="28"/>
              </w:rPr>
              <w:t>55,42</w:t>
            </w:r>
            <w:r w:rsidRPr="00703A3A">
              <w:rPr>
                <w:rFonts w:ascii="Times New Roman" w:eastAsia="Times New Roman" w:hAnsi="Times New Roman" w:cs="Times New Roman"/>
                <w:bCs/>
                <w:sz w:val="28"/>
                <w:szCs w:val="28"/>
              </w:rPr>
              <w:t>±9,94</w:t>
            </w:r>
          </w:p>
        </w:tc>
      </w:tr>
      <w:tr w:rsidR="004461EE" w:rsidRPr="00703A3A" w14:paraId="0E0A46EC" w14:textId="77777777" w:rsidTr="00BB2CC1">
        <w:tc>
          <w:tcPr>
            <w:tcW w:w="5026" w:type="dxa"/>
          </w:tcPr>
          <w:p w14:paraId="3283FAA0" w14:textId="77777777" w:rsidR="004461EE" w:rsidRPr="00703A3A" w:rsidRDefault="004461EE" w:rsidP="004135FE">
            <w:pPr>
              <w:spacing w:after="0" w:line="240" w:lineRule="auto"/>
              <w:jc w:val="both"/>
              <w:rPr>
                <w:rFonts w:ascii="Times New Roman" w:eastAsia="Times New Roman" w:hAnsi="Times New Roman" w:cs="Times New Roman"/>
                <w:bCs/>
                <w:sz w:val="28"/>
                <w:szCs w:val="28"/>
              </w:rPr>
            </w:pPr>
            <w:r w:rsidRPr="00703A3A">
              <w:rPr>
                <w:rFonts w:ascii="Times New Roman" w:eastAsia="Times New Roman" w:hAnsi="Times New Roman" w:cs="Times New Roman"/>
                <w:bCs/>
                <w:sz w:val="28"/>
                <w:szCs w:val="28"/>
              </w:rPr>
              <w:t>женщины</w:t>
            </w:r>
          </w:p>
        </w:tc>
        <w:tc>
          <w:tcPr>
            <w:tcW w:w="5027" w:type="dxa"/>
          </w:tcPr>
          <w:p w14:paraId="0C32A5AB" w14:textId="77777777" w:rsidR="004461EE" w:rsidRPr="00703A3A" w:rsidRDefault="004461EE" w:rsidP="004135FE">
            <w:pPr>
              <w:spacing w:after="0" w:line="240" w:lineRule="auto"/>
              <w:jc w:val="both"/>
              <w:rPr>
                <w:rFonts w:ascii="Times New Roman" w:eastAsia="Times New Roman" w:hAnsi="Times New Roman" w:cs="Times New Roman"/>
                <w:bCs/>
                <w:sz w:val="28"/>
                <w:szCs w:val="28"/>
              </w:rPr>
            </w:pPr>
            <w:r w:rsidRPr="00703A3A">
              <w:rPr>
                <w:rFonts w:ascii="Times New Roman" w:eastAsia="Times New Roman" w:hAnsi="Times New Roman" w:cs="Times New Roman"/>
                <w:bCs/>
                <w:sz w:val="28"/>
                <w:szCs w:val="28"/>
              </w:rPr>
              <w:t>56,34±9,70</w:t>
            </w:r>
          </w:p>
        </w:tc>
      </w:tr>
      <w:tr w:rsidR="004461EE" w:rsidRPr="00703A3A" w14:paraId="7637309C" w14:textId="77777777" w:rsidTr="00BB2CC1">
        <w:tc>
          <w:tcPr>
            <w:tcW w:w="10053" w:type="dxa"/>
            <w:gridSpan w:val="2"/>
          </w:tcPr>
          <w:p w14:paraId="3B4F8F3F" w14:textId="77777777" w:rsidR="004461EE" w:rsidRPr="00703A3A" w:rsidRDefault="004461EE" w:rsidP="00703A3A">
            <w:pPr>
              <w:spacing w:after="0" w:line="240" w:lineRule="auto"/>
              <w:jc w:val="center"/>
              <w:rPr>
                <w:rFonts w:ascii="Times New Roman" w:hAnsi="Times New Roman" w:cs="Times New Roman"/>
                <w:bCs/>
                <w:sz w:val="28"/>
                <w:szCs w:val="28"/>
              </w:rPr>
            </w:pPr>
            <w:r w:rsidRPr="00703A3A">
              <w:rPr>
                <w:rFonts w:ascii="Times New Roman" w:hAnsi="Times New Roman" w:cs="Times New Roman"/>
                <w:bCs/>
                <w:sz w:val="28"/>
                <w:szCs w:val="28"/>
              </w:rPr>
              <w:t>Средний возраст, когда был поставлен диагноз Сахарный диабет 2 типа</w:t>
            </w:r>
          </w:p>
        </w:tc>
      </w:tr>
      <w:tr w:rsidR="004461EE" w:rsidRPr="00703A3A" w14:paraId="24A0CC9F" w14:textId="77777777" w:rsidTr="00BB2CC1">
        <w:tc>
          <w:tcPr>
            <w:tcW w:w="5026" w:type="dxa"/>
          </w:tcPr>
          <w:p w14:paraId="3E50D0E0" w14:textId="77777777" w:rsidR="004461EE" w:rsidRPr="00703A3A" w:rsidRDefault="004461EE" w:rsidP="004135FE">
            <w:pPr>
              <w:spacing w:after="0" w:line="240" w:lineRule="auto"/>
              <w:jc w:val="both"/>
              <w:rPr>
                <w:rFonts w:ascii="Times New Roman" w:eastAsia="Times New Roman" w:hAnsi="Times New Roman" w:cs="Times New Roman"/>
                <w:bCs/>
                <w:sz w:val="28"/>
                <w:szCs w:val="28"/>
              </w:rPr>
            </w:pPr>
            <w:r w:rsidRPr="00703A3A">
              <w:rPr>
                <w:rFonts w:ascii="Times New Roman" w:eastAsia="Times New Roman" w:hAnsi="Times New Roman" w:cs="Times New Roman"/>
                <w:bCs/>
                <w:sz w:val="28"/>
                <w:szCs w:val="28"/>
              </w:rPr>
              <w:t>пол</w:t>
            </w:r>
          </w:p>
        </w:tc>
        <w:tc>
          <w:tcPr>
            <w:tcW w:w="5027" w:type="dxa"/>
          </w:tcPr>
          <w:p w14:paraId="3D69F31F" w14:textId="77777777" w:rsidR="004461EE" w:rsidRPr="00703A3A" w:rsidRDefault="004461EE" w:rsidP="004135FE">
            <w:pPr>
              <w:tabs>
                <w:tab w:val="left" w:pos="993"/>
              </w:tabs>
              <w:spacing w:after="0" w:line="240" w:lineRule="auto"/>
              <w:jc w:val="both"/>
              <w:rPr>
                <w:rFonts w:ascii="Times New Roman" w:eastAsia="Times New Roman" w:hAnsi="Times New Roman" w:cs="Times New Roman"/>
                <w:bCs/>
                <w:sz w:val="28"/>
                <w:szCs w:val="28"/>
              </w:rPr>
            </w:pPr>
            <w:r w:rsidRPr="00703A3A">
              <w:rPr>
                <w:rFonts w:ascii="Times New Roman" w:eastAsia="Times New Roman" w:hAnsi="Times New Roman" w:cs="Times New Roman"/>
                <w:bCs/>
                <w:sz w:val="28"/>
                <w:szCs w:val="28"/>
              </w:rPr>
              <w:t>Средний возраст ± станд. отклонение</w:t>
            </w:r>
          </w:p>
        </w:tc>
      </w:tr>
      <w:tr w:rsidR="004461EE" w:rsidRPr="00703A3A" w14:paraId="4672ABC0" w14:textId="77777777" w:rsidTr="00BB2CC1">
        <w:tc>
          <w:tcPr>
            <w:tcW w:w="5026" w:type="dxa"/>
          </w:tcPr>
          <w:p w14:paraId="47D6B9DE" w14:textId="77777777" w:rsidR="004461EE" w:rsidRPr="00703A3A" w:rsidRDefault="004461EE" w:rsidP="004135FE">
            <w:pPr>
              <w:spacing w:after="0" w:line="240" w:lineRule="auto"/>
              <w:jc w:val="both"/>
              <w:rPr>
                <w:rFonts w:ascii="Times New Roman" w:eastAsia="Times New Roman" w:hAnsi="Times New Roman" w:cs="Times New Roman"/>
                <w:bCs/>
                <w:sz w:val="28"/>
                <w:szCs w:val="28"/>
              </w:rPr>
            </w:pPr>
            <w:r w:rsidRPr="00703A3A">
              <w:rPr>
                <w:rFonts w:ascii="Times New Roman" w:eastAsia="Times New Roman" w:hAnsi="Times New Roman" w:cs="Times New Roman"/>
                <w:bCs/>
                <w:sz w:val="28"/>
                <w:szCs w:val="28"/>
              </w:rPr>
              <w:t>мужчины</w:t>
            </w:r>
          </w:p>
        </w:tc>
        <w:tc>
          <w:tcPr>
            <w:tcW w:w="5027" w:type="dxa"/>
          </w:tcPr>
          <w:p w14:paraId="13A545C7" w14:textId="77777777" w:rsidR="004461EE" w:rsidRPr="00703A3A" w:rsidRDefault="004461EE" w:rsidP="004135FE">
            <w:pPr>
              <w:spacing w:after="0" w:line="240" w:lineRule="auto"/>
              <w:jc w:val="both"/>
              <w:rPr>
                <w:rFonts w:ascii="Times New Roman" w:eastAsia="Times New Roman" w:hAnsi="Times New Roman" w:cs="Times New Roman"/>
                <w:bCs/>
                <w:sz w:val="28"/>
                <w:szCs w:val="28"/>
              </w:rPr>
            </w:pPr>
            <w:r w:rsidRPr="00703A3A">
              <w:rPr>
                <w:rFonts w:ascii="Times New Roman" w:hAnsi="Times New Roman" w:cs="Times New Roman"/>
                <w:bCs/>
                <w:sz w:val="28"/>
                <w:szCs w:val="28"/>
              </w:rPr>
              <w:t>49,20</w:t>
            </w:r>
            <w:r w:rsidRPr="00703A3A">
              <w:rPr>
                <w:rFonts w:ascii="Times New Roman" w:eastAsia="Times New Roman" w:hAnsi="Times New Roman" w:cs="Times New Roman"/>
                <w:bCs/>
                <w:sz w:val="28"/>
                <w:szCs w:val="28"/>
              </w:rPr>
              <w:t>±10,23</w:t>
            </w:r>
          </w:p>
        </w:tc>
      </w:tr>
      <w:tr w:rsidR="004461EE" w:rsidRPr="00703A3A" w14:paraId="580ACE39" w14:textId="77777777" w:rsidTr="00BB2CC1">
        <w:tc>
          <w:tcPr>
            <w:tcW w:w="5026" w:type="dxa"/>
          </w:tcPr>
          <w:p w14:paraId="3833B107" w14:textId="77777777" w:rsidR="004461EE" w:rsidRPr="00703A3A" w:rsidRDefault="004461EE" w:rsidP="004135FE">
            <w:pPr>
              <w:spacing w:after="0" w:line="240" w:lineRule="auto"/>
              <w:jc w:val="both"/>
              <w:rPr>
                <w:rFonts w:ascii="Times New Roman" w:eastAsia="Times New Roman" w:hAnsi="Times New Roman" w:cs="Times New Roman"/>
                <w:bCs/>
                <w:sz w:val="28"/>
                <w:szCs w:val="28"/>
              </w:rPr>
            </w:pPr>
            <w:r w:rsidRPr="00703A3A">
              <w:rPr>
                <w:rFonts w:ascii="Times New Roman" w:eastAsia="Times New Roman" w:hAnsi="Times New Roman" w:cs="Times New Roman"/>
                <w:bCs/>
                <w:sz w:val="28"/>
                <w:szCs w:val="28"/>
              </w:rPr>
              <w:t>женщины</w:t>
            </w:r>
          </w:p>
        </w:tc>
        <w:tc>
          <w:tcPr>
            <w:tcW w:w="5027" w:type="dxa"/>
          </w:tcPr>
          <w:p w14:paraId="321B2FF0" w14:textId="77777777" w:rsidR="004461EE" w:rsidRPr="00703A3A" w:rsidRDefault="004461EE" w:rsidP="004135FE">
            <w:pPr>
              <w:spacing w:after="0" w:line="240" w:lineRule="auto"/>
              <w:jc w:val="both"/>
              <w:rPr>
                <w:rFonts w:ascii="Times New Roman" w:eastAsia="Times New Roman" w:hAnsi="Times New Roman" w:cs="Times New Roman"/>
                <w:bCs/>
                <w:sz w:val="28"/>
                <w:szCs w:val="28"/>
              </w:rPr>
            </w:pPr>
            <w:r w:rsidRPr="00703A3A">
              <w:rPr>
                <w:rFonts w:ascii="Times New Roman" w:eastAsia="Times New Roman" w:hAnsi="Times New Roman" w:cs="Times New Roman"/>
                <w:bCs/>
                <w:sz w:val="28"/>
                <w:szCs w:val="28"/>
              </w:rPr>
              <w:t>49,37±9,30</w:t>
            </w:r>
          </w:p>
        </w:tc>
      </w:tr>
    </w:tbl>
    <w:p w14:paraId="319637DA" w14:textId="77777777" w:rsidR="004461EE" w:rsidRPr="004135FE" w:rsidRDefault="004461EE" w:rsidP="004135FE">
      <w:pPr>
        <w:spacing w:after="0" w:line="240" w:lineRule="auto"/>
        <w:rPr>
          <w:rFonts w:ascii="Times New Roman" w:hAnsi="Times New Roman" w:cs="Times New Roman"/>
          <w:sz w:val="28"/>
          <w:szCs w:val="28"/>
          <w:lang w:val="en-US"/>
        </w:rPr>
      </w:pPr>
    </w:p>
    <w:p w14:paraId="6AE9632F" w14:textId="77777777" w:rsidR="004461EE" w:rsidRPr="004135FE" w:rsidRDefault="004461EE"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lastRenderedPageBreak/>
        <w:t xml:space="preserve">Для репрезентативности показателей образование пациентов было разделено на высшее и другие (включая среднее профессиональное). По семейному положению все пациенты были разделены на семейные и холостые. В последнюю группу также входили овдовевшие, разведенные и сожительствующие. Возрастная группа пациентов была перераспределена на 3 группы (18-45, 46-60, 60 и старше) исходя данным возраста по ВОЗ. По роду занятий участники были разделены на занятых, включая индивидуальных предпринимателей и военнослужащих, и безработных, включая студентов, пенсионеров и лиц, получающих пенсию по инвалидности. </w:t>
      </w:r>
    </w:p>
    <w:p w14:paraId="5567FF56" w14:textId="77777777" w:rsidR="00BA5C82" w:rsidRPr="004135FE" w:rsidRDefault="00BA5C82" w:rsidP="004135FE">
      <w:pPr>
        <w:spacing w:after="0" w:line="240" w:lineRule="auto"/>
        <w:ind w:firstLine="708"/>
        <w:jc w:val="both"/>
        <w:rPr>
          <w:rFonts w:ascii="Times New Roman" w:hAnsi="Times New Roman" w:cs="Times New Roman"/>
          <w:sz w:val="28"/>
          <w:szCs w:val="28"/>
        </w:rPr>
      </w:pPr>
    </w:p>
    <w:p w14:paraId="168EFCBC" w14:textId="320CC018" w:rsidR="004461EE" w:rsidRDefault="008F153C" w:rsidP="00703A3A">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Таблица 5</w:t>
      </w:r>
      <w:r w:rsidR="004461EE" w:rsidRPr="004135FE">
        <w:rPr>
          <w:rFonts w:ascii="Times New Roman" w:hAnsi="Times New Roman" w:cs="Times New Roman"/>
          <w:sz w:val="28"/>
          <w:szCs w:val="28"/>
        </w:rPr>
        <w:t xml:space="preserve">- </w:t>
      </w:r>
      <w:r w:rsidR="00703A3A">
        <w:rPr>
          <w:rFonts w:ascii="Times New Roman" w:hAnsi="Times New Roman" w:cs="Times New Roman"/>
          <w:sz w:val="28"/>
          <w:szCs w:val="28"/>
        </w:rPr>
        <w:t>Т</w:t>
      </w:r>
      <w:r w:rsidR="004461EE" w:rsidRPr="004135FE">
        <w:rPr>
          <w:rFonts w:ascii="Times New Roman" w:hAnsi="Times New Roman" w:cs="Times New Roman"/>
          <w:sz w:val="28"/>
          <w:szCs w:val="28"/>
        </w:rPr>
        <w:t>рансформация общих данных пациентов</w:t>
      </w:r>
    </w:p>
    <w:p w14:paraId="2E32370E" w14:textId="77777777" w:rsidR="00703A3A" w:rsidRPr="004135FE" w:rsidRDefault="00703A3A" w:rsidP="00703A3A">
      <w:pPr>
        <w:spacing w:after="0" w:line="240" w:lineRule="auto"/>
        <w:jc w:val="both"/>
        <w:rPr>
          <w:rFonts w:ascii="Times New Roman" w:hAnsi="Times New Roman" w:cs="Times New Roman"/>
          <w:sz w:val="28"/>
          <w:szCs w:val="28"/>
        </w:rPr>
      </w:pPr>
    </w:p>
    <w:tbl>
      <w:tblPr>
        <w:tblStyle w:val="af9"/>
        <w:tblpPr w:leftFromText="180" w:rightFromText="180" w:vertAnchor="text" w:tblpY="1"/>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2126"/>
        <w:gridCol w:w="2410"/>
        <w:gridCol w:w="1843"/>
      </w:tblGrid>
      <w:tr w:rsidR="0035044D" w:rsidRPr="004135FE" w14:paraId="08EDA8A9" w14:textId="77777777" w:rsidTr="00703A3A">
        <w:tc>
          <w:tcPr>
            <w:tcW w:w="2972" w:type="dxa"/>
          </w:tcPr>
          <w:p w14:paraId="0682791D" w14:textId="77777777" w:rsidR="0035044D" w:rsidRPr="004135FE" w:rsidRDefault="0035044D" w:rsidP="00703A3A">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Группы данных пациентов с СД2т</w:t>
            </w:r>
          </w:p>
        </w:tc>
        <w:tc>
          <w:tcPr>
            <w:tcW w:w="2126" w:type="dxa"/>
          </w:tcPr>
          <w:p w14:paraId="566D0595" w14:textId="65FBCEEC" w:rsidR="0035044D" w:rsidRPr="004135FE" w:rsidRDefault="00703A3A" w:rsidP="00703A3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w:t>
            </w:r>
            <w:r w:rsidR="0035044D" w:rsidRPr="004135FE">
              <w:rPr>
                <w:rFonts w:ascii="Times New Roman" w:hAnsi="Times New Roman" w:cs="Times New Roman"/>
                <w:sz w:val="28"/>
                <w:szCs w:val="28"/>
              </w:rPr>
              <w:t>анные</w:t>
            </w:r>
          </w:p>
        </w:tc>
        <w:tc>
          <w:tcPr>
            <w:tcW w:w="2410" w:type="dxa"/>
          </w:tcPr>
          <w:p w14:paraId="2F7BF9E0" w14:textId="77777777" w:rsidR="0035044D" w:rsidRPr="004135FE" w:rsidRDefault="0035044D" w:rsidP="00703A3A">
            <w:pPr>
              <w:spacing w:after="0" w:line="240" w:lineRule="auto"/>
              <w:jc w:val="center"/>
              <w:rPr>
                <w:rFonts w:ascii="Times New Roman" w:hAnsi="Times New Roman" w:cs="Times New Roman"/>
                <w:sz w:val="28"/>
                <w:szCs w:val="28"/>
              </w:rPr>
            </w:pPr>
            <w:r w:rsidRPr="004135FE">
              <w:rPr>
                <w:rFonts w:ascii="Times New Roman" w:eastAsiaTheme="minorHAnsi" w:hAnsi="Times New Roman" w:cs="Times New Roman"/>
                <w:bCs/>
                <w:sz w:val="28"/>
                <w:szCs w:val="28"/>
                <w:lang w:eastAsia="en-US"/>
              </w:rPr>
              <w:t>Абс.знач</w:t>
            </w:r>
          </w:p>
        </w:tc>
        <w:tc>
          <w:tcPr>
            <w:tcW w:w="1843" w:type="dxa"/>
          </w:tcPr>
          <w:p w14:paraId="422DCA8F" w14:textId="77777777" w:rsidR="0035044D" w:rsidRPr="004135FE" w:rsidRDefault="0035044D" w:rsidP="00703A3A">
            <w:pPr>
              <w:spacing w:after="0" w:line="240" w:lineRule="auto"/>
              <w:jc w:val="center"/>
              <w:rPr>
                <w:rFonts w:ascii="Times New Roman" w:hAnsi="Times New Roman" w:cs="Times New Roman"/>
                <w:sz w:val="28"/>
                <w:szCs w:val="28"/>
              </w:rPr>
            </w:pPr>
            <w:r w:rsidRPr="004135FE">
              <w:rPr>
                <w:rFonts w:ascii="Times New Roman" w:eastAsiaTheme="minorHAnsi" w:hAnsi="Times New Roman" w:cs="Times New Roman"/>
                <w:bCs/>
                <w:sz w:val="28"/>
                <w:szCs w:val="28"/>
                <w:lang w:eastAsia="en-US"/>
              </w:rPr>
              <w:t>%</w:t>
            </w:r>
          </w:p>
        </w:tc>
      </w:tr>
      <w:tr w:rsidR="0035044D" w:rsidRPr="004135FE" w14:paraId="4B9C0D34" w14:textId="77777777" w:rsidTr="00703A3A">
        <w:tc>
          <w:tcPr>
            <w:tcW w:w="2972" w:type="dxa"/>
            <w:vMerge w:val="restart"/>
          </w:tcPr>
          <w:p w14:paraId="206C0A14" w14:textId="77777777" w:rsidR="0035044D" w:rsidRPr="004135FE" w:rsidRDefault="0035044D" w:rsidP="004135FE">
            <w:pPr>
              <w:spacing w:after="0" w:line="240" w:lineRule="auto"/>
              <w:jc w:val="both"/>
              <w:rPr>
                <w:rFonts w:ascii="Times New Roman" w:hAnsi="Times New Roman" w:cs="Times New Roman"/>
                <w:sz w:val="28"/>
                <w:szCs w:val="28"/>
              </w:rPr>
            </w:pPr>
            <w:r w:rsidRPr="004135FE">
              <w:rPr>
                <w:rFonts w:ascii="Times New Roman" w:eastAsiaTheme="minorHAnsi" w:hAnsi="Times New Roman" w:cs="Times New Roman"/>
                <w:bCs/>
                <w:sz w:val="28"/>
                <w:szCs w:val="28"/>
                <w:lang w:eastAsia="en-US"/>
              </w:rPr>
              <w:t>возраст</w:t>
            </w:r>
          </w:p>
        </w:tc>
        <w:tc>
          <w:tcPr>
            <w:tcW w:w="2126" w:type="dxa"/>
          </w:tcPr>
          <w:p w14:paraId="6BCB5AF5" w14:textId="77777777" w:rsidR="0035044D" w:rsidRPr="004135FE" w:rsidRDefault="0035044D" w:rsidP="004135FE">
            <w:pPr>
              <w:spacing w:after="0" w:line="240" w:lineRule="auto"/>
              <w:jc w:val="both"/>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18-45 лет</w:t>
            </w:r>
          </w:p>
        </w:tc>
        <w:tc>
          <w:tcPr>
            <w:tcW w:w="2410" w:type="dxa"/>
          </w:tcPr>
          <w:p w14:paraId="736D63F5" w14:textId="77777777" w:rsidR="0035044D" w:rsidRPr="004135FE" w:rsidRDefault="0035044D" w:rsidP="00703A3A">
            <w:pPr>
              <w:spacing w:after="0" w:line="240" w:lineRule="auto"/>
              <w:jc w:val="center"/>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66</w:t>
            </w:r>
          </w:p>
        </w:tc>
        <w:tc>
          <w:tcPr>
            <w:tcW w:w="1843" w:type="dxa"/>
          </w:tcPr>
          <w:p w14:paraId="46A0B10E" w14:textId="77777777" w:rsidR="0035044D" w:rsidRPr="004135FE" w:rsidRDefault="0035044D" w:rsidP="00703A3A">
            <w:pPr>
              <w:spacing w:after="0" w:line="240" w:lineRule="auto"/>
              <w:jc w:val="center"/>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13,8</w:t>
            </w:r>
          </w:p>
        </w:tc>
      </w:tr>
      <w:tr w:rsidR="0035044D" w:rsidRPr="004135FE" w14:paraId="505BD4FF" w14:textId="77777777" w:rsidTr="00703A3A">
        <w:tc>
          <w:tcPr>
            <w:tcW w:w="2972" w:type="dxa"/>
            <w:vMerge/>
          </w:tcPr>
          <w:p w14:paraId="3CB35C3B" w14:textId="77777777" w:rsidR="0035044D" w:rsidRPr="004135FE" w:rsidRDefault="0035044D" w:rsidP="004135FE">
            <w:pPr>
              <w:spacing w:after="0" w:line="240" w:lineRule="auto"/>
              <w:jc w:val="both"/>
              <w:rPr>
                <w:rFonts w:ascii="Times New Roman" w:hAnsi="Times New Roman" w:cs="Times New Roman"/>
                <w:sz w:val="28"/>
                <w:szCs w:val="28"/>
              </w:rPr>
            </w:pPr>
          </w:p>
        </w:tc>
        <w:tc>
          <w:tcPr>
            <w:tcW w:w="2126" w:type="dxa"/>
          </w:tcPr>
          <w:p w14:paraId="47E62331" w14:textId="77777777" w:rsidR="0035044D" w:rsidRPr="004135FE" w:rsidRDefault="0035044D" w:rsidP="004135FE">
            <w:pPr>
              <w:spacing w:after="0" w:line="240" w:lineRule="auto"/>
              <w:jc w:val="both"/>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46-60 лет</w:t>
            </w:r>
          </w:p>
        </w:tc>
        <w:tc>
          <w:tcPr>
            <w:tcW w:w="2410" w:type="dxa"/>
          </w:tcPr>
          <w:p w14:paraId="62E0EDE2" w14:textId="77777777" w:rsidR="0035044D" w:rsidRPr="004135FE" w:rsidRDefault="0035044D" w:rsidP="00703A3A">
            <w:pPr>
              <w:spacing w:after="0" w:line="240" w:lineRule="auto"/>
              <w:jc w:val="center"/>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245</w:t>
            </w:r>
          </w:p>
        </w:tc>
        <w:tc>
          <w:tcPr>
            <w:tcW w:w="1843" w:type="dxa"/>
          </w:tcPr>
          <w:p w14:paraId="6A12E432" w14:textId="77777777" w:rsidR="0035044D" w:rsidRPr="004135FE" w:rsidRDefault="0035044D" w:rsidP="00703A3A">
            <w:pPr>
              <w:spacing w:after="0" w:line="240" w:lineRule="auto"/>
              <w:jc w:val="center"/>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51,0</w:t>
            </w:r>
          </w:p>
        </w:tc>
      </w:tr>
      <w:tr w:rsidR="0035044D" w:rsidRPr="004135FE" w14:paraId="639C5C40" w14:textId="77777777" w:rsidTr="00703A3A">
        <w:tc>
          <w:tcPr>
            <w:tcW w:w="2972" w:type="dxa"/>
            <w:vMerge/>
          </w:tcPr>
          <w:p w14:paraId="6E071C91" w14:textId="77777777" w:rsidR="0035044D" w:rsidRPr="004135FE" w:rsidRDefault="0035044D" w:rsidP="004135FE">
            <w:pPr>
              <w:spacing w:after="0" w:line="240" w:lineRule="auto"/>
              <w:jc w:val="both"/>
              <w:rPr>
                <w:rFonts w:ascii="Times New Roman" w:hAnsi="Times New Roman" w:cs="Times New Roman"/>
                <w:sz w:val="28"/>
                <w:szCs w:val="28"/>
              </w:rPr>
            </w:pPr>
          </w:p>
        </w:tc>
        <w:tc>
          <w:tcPr>
            <w:tcW w:w="2126" w:type="dxa"/>
          </w:tcPr>
          <w:p w14:paraId="21DFD007" w14:textId="77777777" w:rsidR="0035044D" w:rsidRPr="004135FE" w:rsidRDefault="0035044D" w:rsidP="004135FE">
            <w:pPr>
              <w:spacing w:after="0" w:line="240" w:lineRule="auto"/>
              <w:jc w:val="both"/>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старше 60 лет</w:t>
            </w:r>
          </w:p>
        </w:tc>
        <w:tc>
          <w:tcPr>
            <w:tcW w:w="2410" w:type="dxa"/>
          </w:tcPr>
          <w:p w14:paraId="223C5F02" w14:textId="77777777" w:rsidR="0035044D" w:rsidRPr="004135FE" w:rsidRDefault="0035044D" w:rsidP="00703A3A">
            <w:pPr>
              <w:spacing w:after="0" w:line="240" w:lineRule="auto"/>
              <w:jc w:val="center"/>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169</w:t>
            </w:r>
          </w:p>
        </w:tc>
        <w:tc>
          <w:tcPr>
            <w:tcW w:w="1843" w:type="dxa"/>
          </w:tcPr>
          <w:p w14:paraId="011587A1" w14:textId="77777777" w:rsidR="0035044D" w:rsidRPr="004135FE" w:rsidRDefault="0035044D" w:rsidP="00703A3A">
            <w:pPr>
              <w:spacing w:after="0" w:line="240" w:lineRule="auto"/>
              <w:jc w:val="center"/>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35,2</w:t>
            </w:r>
          </w:p>
        </w:tc>
      </w:tr>
      <w:tr w:rsidR="0035044D" w:rsidRPr="004135FE" w14:paraId="559BB64E" w14:textId="77777777" w:rsidTr="00703A3A">
        <w:tc>
          <w:tcPr>
            <w:tcW w:w="2972" w:type="dxa"/>
            <w:vMerge/>
          </w:tcPr>
          <w:p w14:paraId="008BF316" w14:textId="77777777" w:rsidR="0035044D" w:rsidRPr="004135FE" w:rsidRDefault="0035044D" w:rsidP="004135FE">
            <w:pPr>
              <w:spacing w:after="0" w:line="240" w:lineRule="auto"/>
              <w:jc w:val="both"/>
              <w:rPr>
                <w:rFonts w:ascii="Times New Roman" w:hAnsi="Times New Roman" w:cs="Times New Roman"/>
                <w:sz w:val="28"/>
                <w:szCs w:val="28"/>
              </w:rPr>
            </w:pPr>
          </w:p>
        </w:tc>
        <w:tc>
          <w:tcPr>
            <w:tcW w:w="2126" w:type="dxa"/>
          </w:tcPr>
          <w:p w14:paraId="13F9371C" w14:textId="77777777" w:rsidR="0035044D" w:rsidRPr="004135FE" w:rsidRDefault="0035044D" w:rsidP="004135FE">
            <w:pPr>
              <w:spacing w:after="0" w:line="240" w:lineRule="auto"/>
              <w:jc w:val="both"/>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Total</w:t>
            </w:r>
          </w:p>
        </w:tc>
        <w:tc>
          <w:tcPr>
            <w:tcW w:w="2410" w:type="dxa"/>
          </w:tcPr>
          <w:p w14:paraId="5AC3F5C7" w14:textId="77777777" w:rsidR="0035044D" w:rsidRPr="004135FE" w:rsidRDefault="0035044D" w:rsidP="00703A3A">
            <w:pPr>
              <w:spacing w:after="0" w:line="240" w:lineRule="auto"/>
              <w:jc w:val="center"/>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480</w:t>
            </w:r>
          </w:p>
        </w:tc>
        <w:tc>
          <w:tcPr>
            <w:tcW w:w="1843" w:type="dxa"/>
          </w:tcPr>
          <w:p w14:paraId="2AB8B902" w14:textId="77777777" w:rsidR="0035044D" w:rsidRPr="004135FE" w:rsidRDefault="0035044D" w:rsidP="00703A3A">
            <w:pPr>
              <w:spacing w:after="0" w:line="240" w:lineRule="auto"/>
              <w:jc w:val="center"/>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100,0</w:t>
            </w:r>
          </w:p>
        </w:tc>
      </w:tr>
      <w:tr w:rsidR="0035044D" w:rsidRPr="004135FE" w14:paraId="1D12C74E" w14:textId="77777777" w:rsidTr="00703A3A">
        <w:tc>
          <w:tcPr>
            <w:tcW w:w="2972" w:type="dxa"/>
            <w:vMerge w:val="restart"/>
          </w:tcPr>
          <w:p w14:paraId="51ADA075" w14:textId="6342D343" w:rsidR="0035044D" w:rsidRPr="004135FE" w:rsidRDefault="0035044D"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Возраст, в котором был поставлен диагноз СД2т</w:t>
            </w:r>
          </w:p>
        </w:tc>
        <w:tc>
          <w:tcPr>
            <w:tcW w:w="2126" w:type="dxa"/>
          </w:tcPr>
          <w:p w14:paraId="0CF18558" w14:textId="77777777" w:rsidR="0035044D" w:rsidRPr="004135FE" w:rsidRDefault="0035044D" w:rsidP="004135FE">
            <w:pPr>
              <w:spacing w:after="0" w:line="240" w:lineRule="auto"/>
              <w:jc w:val="both"/>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18-45 лет</w:t>
            </w:r>
          </w:p>
        </w:tc>
        <w:tc>
          <w:tcPr>
            <w:tcW w:w="2410" w:type="dxa"/>
          </w:tcPr>
          <w:p w14:paraId="28953678" w14:textId="77777777" w:rsidR="0035044D" w:rsidRPr="004135FE" w:rsidRDefault="0035044D" w:rsidP="00703A3A">
            <w:pPr>
              <w:spacing w:after="0" w:line="240" w:lineRule="auto"/>
              <w:jc w:val="center"/>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141</w:t>
            </w:r>
          </w:p>
        </w:tc>
        <w:tc>
          <w:tcPr>
            <w:tcW w:w="1843" w:type="dxa"/>
          </w:tcPr>
          <w:p w14:paraId="7F576797" w14:textId="77777777" w:rsidR="0035044D" w:rsidRPr="004135FE" w:rsidRDefault="0035044D" w:rsidP="00703A3A">
            <w:pPr>
              <w:spacing w:after="0" w:line="240" w:lineRule="auto"/>
              <w:jc w:val="center"/>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29,4</w:t>
            </w:r>
          </w:p>
        </w:tc>
      </w:tr>
      <w:tr w:rsidR="0035044D" w:rsidRPr="004135FE" w14:paraId="59FD8161" w14:textId="77777777" w:rsidTr="00703A3A">
        <w:tc>
          <w:tcPr>
            <w:tcW w:w="2972" w:type="dxa"/>
            <w:vMerge/>
          </w:tcPr>
          <w:p w14:paraId="7474B4BA" w14:textId="77777777" w:rsidR="0035044D" w:rsidRPr="004135FE" w:rsidRDefault="0035044D" w:rsidP="004135FE">
            <w:pPr>
              <w:spacing w:after="0" w:line="240" w:lineRule="auto"/>
              <w:jc w:val="both"/>
              <w:rPr>
                <w:rFonts w:ascii="Times New Roman" w:hAnsi="Times New Roman" w:cs="Times New Roman"/>
                <w:sz w:val="28"/>
                <w:szCs w:val="28"/>
              </w:rPr>
            </w:pPr>
          </w:p>
        </w:tc>
        <w:tc>
          <w:tcPr>
            <w:tcW w:w="2126" w:type="dxa"/>
          </w:tcPr>
          <w:p w14:paraId="3C464905" w14:textId="77777777" w:rsidR="0035044D" w:rsidRPr="004135FE" w:rsidRDefault="0035044D" w:rsidP="004135FE">
            <w:pPr>
              <w:spacing w:after="0" w:line="240" w:lineRule="auto"/>
              <w:jc w:val="both"/>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46-60 лет</w:t>
            </w:r>
          </w:p>
        </w:tc>
        <w:tc>
          <w:tcPr>
            <w:tcW w:w="2410" w:type="dxa"/>
          </w:tcPr>
          <w:p w14:paraId="6F6C0B9F" w14:textId="77777777" w:rsidR="0035044D" w:rsidRPr="004135FE" w:rsidRDefault="0035044D" w:rsidP="00703A3A">
            <w:pPr>
              <w:spacing w:after="0" w:line="240" w:lineRule="auto"/>
              <w:jc w:val="center"/>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287</w:t>
            </w:r>
          </w:p>
        </w:tc>
        <w:tc>
          <w:tcPr>
            <w:tcW w:w="1843" w:type="dxa"/>
          </w:tcPr>
          <w:p w14:paraId="1F06C58E" w14:textId="77777777" w:rsidR="0035044D" w:rsidRPr="004135FE" w:rsidRDefault="0035044D" w:rsidP="00703A3A">
            <w:pPr>
              <w:spacing w:after="0" w:line="240" w:lineRule="auto"/>
              <w:jc w:val="center"/>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59,8</w:t>
            </w:r>
          </w:p>
        </w:tc>
      </w:tr>
      <w:tr w:rsidR="0035044D" w:rsidRPr="004135FE" w14:paraId="6B402BF3" w14:textId="77777777" w:rsidTr="00703A3A">
        <w:tc>
          <w:tcPr>
            <w:tcW w:w="2972" w:type="dxa"/>
            <w:vMerge/>
          </w:tcPr>
          <w:p w14:paraId="6D593E20" w14:textId="77777777" w:rsidR="0035044D" w:rsidRPr="004135FE" w:rsidRDefault="0035044D" w:rsidP="004135FE">
            <w:pPr>
              <w:spacing w:after="0" w:line="240" w:lineRule="auto"/>
              <w:jc w:val="both"/>
              <w:rPr>
                <w:rFonts w:ascii="Times New Roman" w:hAnsi="Times New Roman" w:cs="Times New Roman"/>
                <w:sz w:val="28"/>
                <w:szCs w:val="28"/>
              </w:rPr>
            </w:pPr>
          </w:p>
        </w:tc>
        <w:tc>
          <w:tcPr>
            <w:tcW w:w="2126" w:type="dxa"/>
          </w:tcPr>
          <w:p w14:paraId="13B1544E" w14:textId="77777777" w:rsidR="0035044D" w:rsidRPr="004135FE" w:rsidRDefault="0035044D" w:rsidP="004135FE">
            <w:pPr>
              <w:spacing w:after="0" w:line="240" w:lineRule="auto"/>
              <w:jc w:val="both"/>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старше 60 лет</w:t>
            </w:r>
          </w:p>
        </w:tc>
        <w:tc>
          <w:tcPr>
            <w:tcW w:w="2410" w:type="dxa"/>
          </w:tcPr>
          <w:p w14:paraId="14FBDF6C" w14:textId="77777777" w:rsidR="0035044D" w:rsidRPr="004135FE" w:rsidRDefault="0035044D" w:rsidP="00703A3A">
            <w:pPr>
              <w:spacing w:after="0" w:line="240" w:lineRule="auto"/>
              <w:jc w:val="center"/>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52</w:t>
            </w:r>
          </w:p>
        </w:tc>
        <w:tc>
          <w:tcPr>
            <w:tcW w:w="1843" w:type="dxa"/>
          </w:tcPr>
          <w:p w14:paraId="1DB6F6B9" w14:textId="77777777" w:rsidR="0035044D" w:rsidRPr="004135FE" w:rsidRDefault="0035044D" w:rsidP="00703A3A">
            <w:pPr>
              <w:spacing w:after="0" w:line="240" w:lineRule="auto"/>
              <w:jc w:val="center"/>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10,8</w:t>
            </w:r>
          </w:p>
        </w:tc>
      </w:tr>
      <w:tr w:rsidR="0035044D" w:rsidRPr="004135FE" w14:paraId="53B63B24" w14:textId="77777777" w:rsidTr="00703A3A">
        <w:tc>
          <w:tcPr>
            <w:tcW w:w="2972" w:type="dxa"/>
            <w:vMerge/>
          </w:tcPr>
          <w:p w14:paraId="17E30630" w14:textId="77777777" w:rsidR="0035044D" w:rsidRPr="004135FE" w:rsidRDefault="0035044D" w:rsidP="004135FE">
            <w:pPr>
              <w:spacing w:after="0" w:line="240" w:lineRule="auto"/>
              <w:jc w:val="both"/>
              <w:rPr>
                <w:rFonts w:ascii="Times New Roman" w:hAnsi="Times New Roman" w:cs="Times New Roman"/>
                <w:sz w:val="28"/>
                <w:szCs w:val="28"/>
              </w:rPr>
            </w:pPr>
          </w:p>
        </w:tc>
        <w:tc>
          <w:tcPr>
            <w:tcW w:w="2126" w:type="dxa"/>
          </w:tcPr>
          <w:p w14:paraId="7B710B1E" w14:textId="77777777" w:rsidR="0035044D" w:rsidRPr="004135FE" w:rsidRDefault="0035044D" w:rsidP="004135FE">
            <w:pPr>
              <w:spacing w:after="0" w:line="240" w:lineRule="auto"/>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Total</w:t>
            </w:r>
          </w:p>
        </w:tc>
        <w:tc>
          <w:tcPr>
            <w:tcW w:w="2410" w:type="dxa"/>
          </w:tcPr>
          <w:p w14:paraId="3AC47A21"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480</w:t>
            </w:r>
          </w:p>
        </w:tc>
        <w:tc>
          <w:tcPr>
            <w:tcW w:w="1843" w:type="dxa"/>
          </w:tcPr>
          <w:p w14:paraId="1E8E2420"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100,0</w:t>
            </w:r>
          </w:p>
        </w:tc>
      </w:tr>
      <w:tr w:rsidR="0035044D" w:rsidRPr="004135FE" w14:paraId="7452A1B3" w14:textId="77777777" w:rsidTr="00703A3A">
        <w:tc>
          <w:tcPr>
            <w:tcW w:w="2972" w:type="dxa"/>
            <w:vMerge w:val="restart"/>
          </w:tcPr>
          <w:p w14:paraId="1107C1C7" w14:textId="77777777" w:rsidR="0035044D" w:rsidRPr="004135FE" w:rsidRDefault="0035044D"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bCs/>
                <w:sz w:val="28"/>
                <w:szCs w:val="28"/>
              </w:rPr>
              <w:t>Занятость/ социальный статус</w:t>
            </w:r>
          </w:p>
        </w:tc>
        <w:tc>
          <w:tcPr>
            <w:tcW w:w="2126" w:type="dxa"/>
          </w:tcPr>
          <w:p w14:paraId="71A19FC5" w14:textId="77777777" w:rsidR="0035044D" w:rsidRPr="004135FE" w:rsidRDefault="0035044D" w:rsidP="004135FE">
            <w:pPr>
              <w:spacing w:after="0" w:line="240" w:lineRule="auto"/>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занятые</w:t>
            </w:r>
          </w:p>
        </w:tc>
        <w:tc>
          <w:tcPr>
            <w:tcW w:w="2410" w:type="dxa"/>
          </w:tcPr>
          <w:p w14:paraId="607B3669"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202</w:t>
            </w:r>
          </w:p>
        </w:tc>
        <w:tc>
          <w:tcPr>
            <w:tcW w:w="1843" w:type="dxa"/>
          </w:tcPr>
          <w:p w14:paraId="71E33F12"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42,1</w:t>
            </w:r>
          </w:p>
        </w:tc>
      </w:tr>
      <w:tr w:rsidR="0035044D" w:rsidRPr="004135FE" w14:paraId="71871F08" w14:textId="77777777" w:rsidTr="00703A3A">
        <w:tc>
          <w:tcPr>
            <w:tcW w:w="2972" w:type="dxa"/>
            <w:vMerge/>
          </w:tcPr>
          <w:p w14:paraId="21123D46" w14:textId="77777777" w:rsidR="0035044D" w:rsidRPr="004135FE" w:rsidRDefault="0035044D" w:rsidP="004135FE">
            <w:pPr>
              <w:spacing w:after="0" w:line="240" w:lineRule="auto"/>
              <w:jc w:val="both"/>
              <w:rPr>
                <w:rFonts w:ascii="Times New Roman" w:hAnsi="Times New Roman" w:cs="Times New Roman"/>
                <w:sz w:val="28"/>
                <w:szCs w:val="28"/>
              </w:rPr>
            </w:pPr>
          </w:p>
        </w:tc>
        <w:tc>
          <w:tcPr>
            <w:tcW w:w="2126" w:type="dxa"/>
          </w:tcPr>
          <w:p w14:paraId="53C579F9" w14:textId="77777777" w:rsidR="0035044D" w:rsidRPr="004135FE" w:rsidRDefault="0035044D" w:rsidP="004135FE">
            <w:pPr>
              <w:spacing w:after="0" w:line="240" w:lineRule="auto"/>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без работы</w:t>
            </w:r>
          </w:p>
        </w:tc>
        <w:tc>
          <w:tcPr>
            <w:tcW w:w="2410" w:type="dxa"/>
          </w:tcPr>
          <w:p w14:paraId="59E5339A"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278</w:t>
            </w:r>
          </w:p>
        </w:tc>
        <w:tc>
          <w:tcPr>
            <w:tcW w:w="1843" w:type="dxa"/>
          </w:tcPr>
          <w:p w14:paraId="48F9753C"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57,9</w:t>
            </w:r>
          </w:p>
        </w:tc>
      </w:tr>
      <w:tr w:rsidR="0035044D" w:rsidRPr="004135FE" w14:paraId="5DC6E05C" w14:textId="77777777" w:rsidTr="00703A3A">
        <w:tc>
          <w:tcPr>
            <w:tcW w:w="2972" w:type="dxa"/>
            <w:vMerge/>
          </w:tcPr>
          <w:p w14:paraId="67BE6CBE" w14:textId="77777777" w:rsidR="0035044D" w:rsidRPr="004135FE" w:rsidRDefault="0035044D" w:rsidP="004135FE">
            <w:pPr>
              <w:spacing w:after="0" w:line="240" w:lineRule="auto"/>
              <w:jc w:val="both"/>
              <w:rPr>
                <w:rFonts w:ascii="Times New Roman" w:hAnsi="Times New Roman" w:cs="Times New Roman"/>
                <w:sz w:val="28"/>
                <w:szCs w:val="28"/>
              </w:rPr>
            </w:pPr>
          </w:p>
        </w:tc>
        <w:tc>
          <w:tcPr>
            <w:tcW w:w="2126" w:type="dxa"/>
          </w:tcPr>
          <w:p w14:paraId="0F5E922A" w14:textId="77777777" w:rsidR="0035044D" w:rsidRPr="004135FE" w:rsidRDefault="0035044D" w:rsidP="004135FE">
            <w:pPr>
              <w:spacing w:after="0" w:line="240" w:lineRule="auto"/>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Total</w:t>
            </w:r>
          </w:p>
        </w:tc>
        <w:tc>
          <w:tcPr>
            <w:tcW w:w="2410" w:type="dxa"/>
          </w:tcPr>
          <w:p w14:paraId="3A1A0044"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480</w:t>
            </w:r>
          </w:p>
        </w:tc>
        <w:tc>
          <w:tcPr>
            <w:tcW w:w="1843" w:type="dxa"/>
          </w:tcPr>
          <w:p w14:paraId="12891496"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100,0</w:t>
            </w:r>
          </w:p>
        </w:tc>
      </w:tr>
      <w:tr w:rsidR="0035044D" w:rsidRPr="004135FE" w14:paraId="7712F6E6" w14:textId="77777777" w:rsidTr="00703A3A">
        <w:tc>
          <w:tcPr>
            <w:tcW w:w="2972" w:type="dxa"/>
            <w:vMerge w:val="restart"/>
          </w:tcPr>
          <w:p w14:paraId="319A037D" w14:textId="77777777" w:rsidR="0035044D" w:rsidRPr="004135FE" w:rsidRDefault="0035044D" w:rsidP="004135FE">
            <w:pPr>
              <w:spacing w:after="0" w:line="240" w:lineRule="auto"/>
              <w:jc w:val="both"/>
              <w:rPr>
                <w:rFonts w:ascii="Times New Roman" w:hAnsi="Times New Roman" w:cs="Times New Roman"/>
                <w:sz w:val="28"/>
                <w:szCs w:val="28"/>
              </w:rPr>
            </w:pPr>
            <w:r w:rsidRPr="004135FE">
              <w:rPr>
                <w:rFonts w:ascii="Times New Roman" w:eastAsiaTheme="minorHAnsi" w:hAnsi="Times New Roman" w:cs="Times New Roman"/>
                <w:bCs/>
                <w:sz w:val="28"/>
                <w:szCs w:val="28"/>
                <w:lang w:eastAsia="en-US"/>
              </w:rPr>
              <w:t>Образование</w:t>
            </w:r>
          </w:p>
        </w:tc>
        <w:tc>
          <w:tcPr>
            <w:tcW w:w="2126" w:type="dxa"/>
          </w:tcPr>
          <w:p w14:paraId="7C84929F" w14:textId="77777777" w:rsidR="0035044D" w:rsidRPr="004135FE" w:rsidRDefault="0035044D" w:rsidP="004135FE">
            <w:pPr>
              <w:spacing w:after="0" w:line="240" w:lineRule="auto"/>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высшее</w:t>
            </w:r>
          </w:p>
        </w:tc>
        <w:tc>
          <w:tcPr>
            <w:tcW w:w="2410" w:type="dxa"/>
          </w:tcPr>
          <w:p w14:paraId="04F9D128"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161</w:t>
            </w:r>
          </w:p>
        </w:tc>
        <w:tc>
          <w:tcPr>
            <w:tcW w:w="1843" w:type="dxa"/>
          </w:tcPr>
          <w:p w14:paraId="7ED99483"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33,5</w:t>
            </w:r>
          </w:p>
        </w:tc>
      </w:tr>
      <w:tr w:rsidR="0035044D" w:rsidRPr="004135FE" w14:paraId="4B266392" w14:textId="77777777" w:rsidTr="00703A3A">
        <w:tc>
          <w:tcPr>
            <w:tcW w:w="2972" w:type="dxa"/>
            <w:vMerge/>
          </w:tcPr>
          <w:p w14:paraId="2D96CA12" w14:textId="77777777" w:rsidR="0035044D" w:rsidRPr="004135FE" w:rsidRDefault="0035044D" w:rsidP="004135FE">
            <w:pPr>
              <w:spacing w:after="0" w:line="240" w:lineRule="auto"/>
              <w:jc w:val="both"/>
              <w:rPr>
                <w:rFonts w:ascii="Times New Roman" w:hAnsi="Times New Roman" w:cs="Times New Roman"/>
                <w:sz w:val="28"/>
                <w:szCs w:val="28"/>
              </w:rPr>
            </w:pPr>
          </w:p>
        </w:tc>
        <w:tc>
          <w:tcPr>
            <w:tcW w:w="2126" w:type="dxa"/>
          </w:tcPr>
          <w:p w14:paraId="0CD2D967" w14:textId="77777777" w:rsidR="0035044D" w:rsidRPr="004135FE" w:rsidRDefault="0035044D" w:rsidP="004135FE">
            <w:pPr>
              <w:spacing w:after="0" w:line="240" w:lineRule="auto"/>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другие</w:t>
            </w:r>
          </w:p>
        </w:tc>
        <w:tc>
          <w:tcPr>
            <w:tcW w:w="2410" w:type="dxa"/>
          </w:tcPr>
          <w:p w14:paraId="0FEAF520"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319</w:t>
            </w:r>
          </w:p>
        </w:tc>
        <w:tc>
          <w:tcPr>
            <w:tcW w:w="1843" w:type="dxa"/>
          </w:tcPr>
          <w:p w14:paraId="43CA82A6"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66,5</w:t>
            </w:r>
          </w:p>
        </w:tc>
      </w:tr>
      <w:tr w:rsidR="0035044D" w:rsidRPr="004135FE" w14:paraId="57DBCA0D" w14:textId="77777777" w:rsidTr="00703A3A">
        <w:tc>
          <w:tcPr>
            <w:tcW w:w="2972" w:type="dxa"/>
            <w:vMerge/>
          </w:tcPr>
          <w:p w14:paraId="1AC6B301" w14:textId="77777777" w:rsidR="0035044D" w:rsidRPr="004135FE" w:rsidRDefault="0035044D" w:rsidP="004135FE">
            <w:pPr>
              <w:spacing w:after="0" w:line="240" w:lineRule="auto"/>
              <w:jc w:val="both"/>
              <w:rPr>
                <w:rFonts w:ascii="Times New Roman" w:hAnsi="Times New Roman" w:cs="Times New Roman"/>
                <w:sz w:val="28"/>
                <w:szCs w:val="28"/>
              </w:rPr>
            </w:pPr>
          </w:p>
        </w:tc>
        <w:tc>
          <w:tcPr>
            <w:tcW w:w="2126" w:type="dxa"/>
          </w:tcPr>
          <w:p w14:paraId="53CDF478" w14:textId="77777777" w:rsidR="0035044D" w:rsidRPr="004135FE" w:rsidRDefault="0035044D" w:rsidP="004135FE">
            <w:pPr>
              <w:spacing w:after="0" w:line="240" w:lineRule="auto"/>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Total</w:t>
            </w:r>
          </w:p>
        </w:tc>
        <w:tc>
          <w:tcPr>
            <w:tcW w:w="2410" w:type="dxa"/>
          </w:tcPr>
          <w:p w14:paraId="1F2887E5"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480</w:t>
            </w:r>
          </w:p>
        </w:tc>
        <w:tc>
          <w:tcPr>
            <w:tcW w:w="1843" w:type="dxa"/>
          </w:tcPr>
          <w:p w14:paraId="70F23009"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100,0</w:t>
            </w:r>
          </w:p>
        </w:tc>
      </w:tr>
      <w:tr w:rsidR="0035044D" w:rsidRPr="004135FE" w14:paraId="6DE20FCE" w14:textId="77777777" w:rsidTr="00703A3A">
        <w:tc>
          <w:tcPr>
            <w:tcW w:w="2972" w:type="dxa"/>
            <w:vMerge w:val="restart"/>
          </w:tcPr>
          <w:p w14:paraId="25E33947" w14:textId="0E941394" w:rsidR="0035044D" w:rsidRPr="004135FE" w:rsidRDefault="0035044D" w:rsidP="004135FE">
            <w:pPr>
              <w:spacing w:after="0" w:line="240" w:lineRule="auto"/>
              <w:jc w:val="both"/>
              <w:rPr>
                <w:rFonts w:ascii="Times New Roman" w:hAnsi="Times New Roman" w:cs="Times New Roman"/>
                <w:sz w:val="28"/>
                <w:szCs w:val="28"/>
              </w:rPr>
            </w:pPr>
            <w:r w:rsidRPr="004135FE">
              <w:rPr>
                <w:rFonts w:ascii="Times New Roman" w:eastAsiaTheme="minorHAnsi" w:hAnsi="Times New Roman" w:cs="Times New Roman"/>
                <w:bCs/>
                <w:sz w:val="28"/>
                <w:szCs w:val="28"/>
                <w:lang w:eastAsia="en-US"/>
              </w:rPr>
              <w:t>Семейное положение</w:t>
            </w:r>
          </w:p>
        </w:tc>
        <w:tc>
          <w:tcPr>
            <w:tcW w:w="2126" w:type="dxa"/>
          </w:tcPr>
          <w:p w14:paraId="1919297E" w14:textId="77777777" w:rsidR="0035044D" w:rsidRPr="004135FE" w:rsidRDefault="0035044D" w:rsidP="004135FE">
            <w:pPr>
              <w:spacing w:after="0" w:line="240" w:lineRule="auto"/>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Официально семейные</w:t>
            </w:r>
          </w:p>
        </w:tc>
        <w:tc>
          <w:tcPr>
            <w:tcW w:w="2410" w:type="dxa"/>
          </w:tcPr>
          <w:p w14:paraId="7559924C"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278</w:t>
            </w:r>
          </w:p>
        </w:tc>
        <w:tc>
          <w:tcPr>
            <w:tcW w:w="1843" w:type="dxa"/>
          </w:tcPr>
          <w:p w14:paraId="084E7169"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57,9</w:t>
            </w:r>
          </w:p>
        </w:tc>
      </w:tr>
      <w:tr w:rsidR="0035044D" w:rsidRPr="004135FE" w14:paraId="1470EED4" w14:textId="77777777" w:rsidTr="00703A3A">
        <w:tc>
          <w:tcPr>
            <w:tcW w:w="2972" w:type="dxa"/>
            <w:vMerge/>
          </w:tcPr>
          <w:p w14:paraId="1485544A" w14:textId="77777777" w:rsidR="0035044D" w:rsidRPr="004135FE" w:rsidRDefault="0035044D" w:rsidP="004135FE">
            <w:pPr>
              <w:spacing w:after="0" w:line="240" w:lineRule="auto"/>
              <w:jc w:val="both"/>
              <w:rPr>
                <w:rFonts w:ascii="Times New Roman" w:hAnsi="Times New Roman" w:cs="Times New Roman"/>
                <w:sz w:val="28"/>
                <w:szCs w:val="28"/>
              </w:rPr>
            </w:pPr>
          </w:p>
        </w:tc>
        <w:tc>
          <w:tcPr>
            <w:tcW w:w="2126" w:type="dxa"/>
          </w:tcPr>
          <w:p w14:paraId="59FF5780" w14:textId="77777777" w:rsidR="0035044D" w:rsidRPr="004135FE" w:rsidRDefault="0035044D" w:rsidP="004135FE">
            <w:pPr>
              <w:spacing w:after="0" w:line="240" w:lineRule="auto"/>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другое</w:t>
            </w:r>
          </w:p>
        </w:tc>
        <w:tc>
          <w:tcPr>
            <w:tcW w:w="2410" w:type="dxa"/>
          </w:tcPr>
          <w:p w14:paraId="33CCA151"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202</w:t>
            </w:r>
          </w:p>
        </w:tc>
        <w:tc>
          <w:tcPr>
            <w:tcW w:w="1843" w:type="dxa"/>
          </w:tcPr>
          <w:p w14:paraId="4C5575C5"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42,1</w:t>
            </w:r>
          </w:p>
        </w:tc>
      </w:tr>
      <w:tr w:rsidR="0035044D" w:rsidRPr="004135FE" w14:paraId="16D42D53" w14:textId="77777777" w:rsidTr="00703A3A">
        <w:tc>
          <w:tcPr>
            <w:tcW w:w="2972" w:type="dxa"/>
            <w:vMerge/>
          </w:tcPr>
          <w:p w14:paraId="4B86F2C3" w14:textId="77777777" w:rsidR="0035044D" w:rsidRPr="004135FE" w:rsidRDefault="0035044D" w:rsidP="004135FE">
            <w:pPr>
              <w:spacing w:after="0" w:line="240" w:lineRule="auto"/>
              <w:jc w:val="both"/>
              <w:rPr>
                <w:rFonts w:ascii="Times New Roman" w:hAnsi="Times New Roman" w:cs="Times New Roman"/>
                <w:sz w:val="28"/>
                <w:szCs w:val="28"/>
              </w:rPr>
            </w:pPr>
          </w:p>
        </w:tc>
        <w:tc>
          <w:tcPr>
            <w:tcW w:w="2126" w:type="dxa"/>
          </w:tcPr>
          <w:p w14:paraId="131C0214" w14:textId="77777777" w:rsidR="0035044D" w:rsidRPr="004135FE" w:rsidRDefault="0035044D" w:rsidP="004135FE">
            <w:pPr>
              <w:spacing w:after="0" w:line="240" w:lineRule="auto"/>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Total</w:t>
            </w:r>
          </w:p>
        </w:tc>
        <w:tc>
          <w:tcPr>
            <w:tcW w:w="2410" w:type="dxa"/>
          </w:tcPr>
          <w:p w14:paraId="34886793"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480</w:t>
            </w:r>
          </w:p>
        </w:tc>
        <w:tc>
          <w:tcPr>
            <w:tcW w:w="1843" w:type="dxa"/>
          </w:tcPr>
          <w:p w14:paraId="6FFA2F9E" w14:textId="77777777" w:rsidR="0035044D" w:rsidRPr="004135FE" w:rsidRDefault="0035044D" w:rsidP="00703A3A">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100,0</w:t>
            </w:r>
          </w:p>
        </w:tc>
      </w:tr>
    </w:tbl>
    <w:p w14:paraId="64DB7B6D" w14:textId="77777777" w:rsidR="004461EE" w:rsidRPr="004135FE" w:rsidRDefault="004461EE" w:rsidP="004135FE">
      <w:pPr>
        <w:tabs>
          <w:tab w:val="center" w:pos="3686"/>
        </w:tabs>
        <w:autoSpaceDE w:val="0"/>
        <w:autoSpaceDN w:val="0"/>
        <w:adjustRightInd w:val="0"/>
        <w:spacing w:after="0" w:line="240" w:lineRule="auto"/>
        <w:rPr>
          <w:rFonts w:ascii="Times New Roman" w:eastAsiaTheme="minorHAnsi" w:hAnsi="Times New Roman" w:cs="Times New Roman"/>
          <w:b/>
          <w:bCs/>
          <w:sz w:val="28"/>
          <w:szCs w:val="28"/>
          <w:lang w:eastAsia="en-US"/>
        </w:rPr>
      </w:pPr>
    </w:p>
    <w:p w14:paraId="3C255618" w14:textId="083E0E54" w:rsidR="004461EE" w:rsidRPr="004135FE" w:rsidRDefault="004461EE" w:rsidP="00431338">
      <w:pPr>
        <w:tabs>
          <w:tab w:val="center" w:pos="3412"/>
        </w:tabs>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eastAsiaTheme="minorHAnsi" w:hAnsi="Times New Roman" w:cs="Times New Roman"/>
          <w:b/>
          <w:bCs/>
          <w:sz w:val="28"/>
          <w:szCs w:val="28"/>
          <w:lang w:eastAsia="en-US"/>
        </w:rPr>
        <w:tab/>
      </w:r>
      <w:r w:rsidRPr="004135FE">
        <w:rPr>
          <w:rFonts w:ascii="Times New Roman" w:hAnsi="Times New Roman" w:cs="Times New Roman"/>
          <w:sz w:val="28"/>
          <w:szCs w:val="28"/>
        </w:rPr>
        <w:t>Пятый этап исследования</w:t>
      </w:r>
      <w:r w:rsidR="0033125E" w:rsidRPr="004135FE">
        <w:rPr>
          <w:rFonts w:ascii="Times New Roman" w:hAnsi="Times New Roman" w:cs="Times New Roman"/>
          <w:sz w:val="28"/>
          <w:szCs w:val="28"/>
        </w:rPr>
        <w:t>-</w:t>
      </w:r>
      <w:r w:rsidRPr="004135FE">
        <w:rPr>
          <w:rFonts w:ascii="Times New Roman" w:hAnsi="Times New Roman" w:cs="Times New Roman"/>
          <w:sz w:val="28"/>
          <w:szCs w:val="28"/>
        </w:rPr>
        <w:t xml:space="preserve"> анализ действующих </w:t>
      </w:r>
      <w:r w:rsidR="00BA5C82" w:rsidRPr="004135FE">
        <w:rPr>
          <w:rFonts w:ascii="Times New Roman" w:hAnsi="Times New Roman" w:cs="Times New Roman"/>
          <w:sz w:val="28"/>
          <w:szCs w:val="28"/>
        </w:rPr>
        <w:t>нормативных документов, модел</w:t>
      </w:r>
      <w:r w:rsidR="00745A8D" w:rsidRPr="004135FE">
        <w:rPr>
          <w:rFonts w:ascii="Times New Roman" w:hAnsi="Times New Roman" w:cs="Times New Roman"/>
          <w:sz w:val="28"/>
          <w:szCs w:val="28"/>
        </w:rPr>
        <w:t>и</w:t>
      </w:r>
      <w:r w:rsidR="00BA5C82" w:rsidRPr="004135FE">
        <w:rPr>
          <w:rFonts w:ascii="Times New Roman" w:hAnsi="Times New Roman" w:cs="Times New Roman"/>
          <w:sz w:val="28"/>
          <w:szCs w:val="28"/>
        </w:rPr>
        <w:t xml:space="preserve">, клинических протоколов, программ </w:t>
      </w:r>
      <w:r w:rsidRPr="004135FE">
        <w:rPr>
          <w:rFonts w:ascii="Times New Roman" w:hAnsi="Times New Roman" w:cs="Times New Roman"/>
          <w:sz w:val="28"/>
          <w:szCs w:val="28"/>
        </w:rPr>
        <w:t xml:space="preserve">МЗ РК по </w:t>
      </w:r>
      <w:r w:rsidR="00BA5C82" w:rsidRPr="004135FE">
        <w:rPr>
          <w:rFonts w:ascii="Times New Roman" w:hAnsi="Times New Roman" w:cs="Times New Roman"/>
          <w:sz w:val="28"/>
          <w:szCs w:val="28"/>
        </w:rPr>
        <w:t xml:space="preserve">оказанию медицинской помощи и </w:t>
      </w:r>
      <w:r w:rsidRPr="004135FE">
        <w:rPr>
          <w:rFonts w:ascii="Times New Roman" w:hAnsi="Times New Roman" w:cs="Times New Roman"/>
          <w:sz w:val="28"/>
          <w:szCs w:val="28"/>
        </w:rPr>
        <w:t>межсекторальному сотрудничеству</w:t>
      </w:r>
      <w:r w:rsidR="0033125E" w:rsidRPr="004135FE">
        <w:rPr>
          <w:rFonts w:ascii="Times New Roman" w:hAnsi="Times New Roman" w:cs="Times New Roman"/>
          <w:sz w:val="28"/>
          <w:szCs w:val="28"/>
        </w:rPr>
        <w:t xml:space="preserve"> </w:t>
      </w:r>
      <w:r w:rsidR="00BA5C82" w:rsidRPr="004135FE">
        <w:rPr>
          <w:rFonts w:ascii="Times New Roman" w:hAnsi="Times New Roman" w:cs="Times New Roman"/>
          <w:sz w:val="28"/>
          <w:szCs w:val="28"/>
        </w:rPr>
        <w:t xml:space="preserve">при </w:t>
      </w:r>
      <w:r w:rsidR="0033125E" w:rsidRPr="004135FE">
        <w:rPr>
          <w:rFonts w:ascii="Times New Roman" w:hAnsi="Times New Roman" w:cs="Times New Roman"/>
          <w:sz w:val="28"/>
          <w:szCs w:val="28"/>
        </w:rPr>
        <w:t>СД2т</w:t>
      </w:r>
      <w:r w:rsidR="002B3D03" w:rsidRPr="004135FE">
        <w:rPr>
          <w:rFonts w:ascii="Times New Roman" w:hAnsi="Times New Roman" w:cs="Times New Roman"/>
          <w:sz w:val="28"/>
          <w:szCs w:val="28"/>
        </w:rPr>
        <w:t>. Был применен контент анализ и</w:t>
      </w:r>
      <w:r w:rsidRPr="004135FE">
        <w:rPr>
          <w:rFonts w:ascii="Times New Roman" w:hAnsi="Times New Roman" w:cs="Times New Roman"/>
          <w:sz w:val="28"/>
          <w:szCs w:val="28"/>
        </w:rPr>
        <w:t xml:space="preserve"> рассмотрены ряд нормативно-законодательных документов (приказы МЗ РК</w:t>
      </w:r>
      <w:r w:rsidR="00C77195" w:rsidRPr="004135FE">
        <w:rPr>
          <w:rFonts w:ascii="Times New Roman" w:hAnsi="Times New Roman" w:cs="Times New Roman"/>
          <w:sz w:val="28"/>
          <w:szCs w:val="28"/>
        </w:rPr>
        <w:t>), мод</w:t>
      </w:r>
      <w:r w:rsidR="00BA5C82" w:rsidRPr="004135FE">
        <w:rPr>
          <w:rFonts w:ascii="Times New Roman" w:hAnsi="Times New Roman" w:cs="Times New Roman"/>
          <w:sz w:val="28"/>
          <w:szCs w:val="28"/>
        </w:rPr>
        <w:t>е</w:t>
      </w:r>
      <w:r w:rsidR="002714BB" w:rsidRPr="004135FE">
        <w:rPr>
          <w:rFonts w:ascii="Times New Roman" w:hAnsi="Times New Roman" w:cs="Times New Roman"/>
          <w:sz w:val="28"/>
          <w:szCs w:val="28"/>
        </w:rPr>
        <w:t>л</w:t>
      </w:r>
      <w:r w:rsidR="00BA5C82" w:rsidRPr="004135FE">
        <w:rPr>
          <w:rFonts w:ascii="Times New Roman" w:hAnsi="Times New Roman" w:cs="Times New Roman"/>
          <w:sz w:val="28"/>
          <w:szCs w:val="28"/>
        </w:rPr>
        <w:t>и</w:t>
      </w:r>
      <w:r w:rsidRPr="004135FE">
        <w:rPr>
          <w:rFonts w:ascii="Times New Roman" w:hAnsi="Times New Roman" w:cs="Times New Roman"/>
          <w:sz w:val="28"/>
          <w:szCs w:val="28"/>
        </w:rPr>
        <w:t xml:space="preserve">, клинический протокол лечения СД2т и предиабет, из них для некоторых был проведен </w:t>
      </w:r>
      <w:r w:rsidRPr="004135FE">
        <w:rPr>
          <w:rFonts w:ascii="Times New Roman" w:hAnsi="Times New Roman" w:cs="Times New Roman"/>
          <w:sz w:val="28"/>
          <w:szCs w:val="28"/>
          <w:lang w:val="en-US"/>
        </w:rPr>
        <w:t>SWOT</w:t>
      </w:r>
      <w:r w:rsidRPr="004135FE">
        <w:rPr>
          <w:rFonts w:ascii="Times New Roman" w:hAnsi="Times New Roman" w:cs="Times New Roman"/>
          <w:sz w:val="28"/>
          <w:szCs w:val="28"/>
          <w:lang w:val="kk-KZ"/>
        </w:rPr>
        <w:t xml:space="preserve"> анализ.</w:t>
      </w:r>
      <w:r w:rsidRPr="004135FE">
        <w:rPr>
          <w:rFonts w:ascii="Times New Roman" w:hAnsi="Times New Roman" w:cs="Times New Roman"/>
          <w:sz w:val="28"/>
          <w:szCs w:val="28"/>
        </w:rPr>
        <w:t xml:space="preserve"> </w:t>
      </w:r>
    </w:p>
    <w:p w14:paraId="600B8954" w14:textId="0AD8929B" w:rsidR="003F3C59" w:rsidRPr="004135FE" w:rsidRDefault="004461EE" w:rsidP="00431338">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Шестой этап исследования- </w:t>
      </w:r>
      <w:r w:rsidR="003F3C59" w:rsidRPr="004135FE">
        <w:rPr>
          <w:rFonts w:ascii="Times New Roman" w:hAnsi="Times New Roman" w:cs="Times New Roman"/>
          <w:sz w:val="28"/>
          <w:szCs w:val="28"/>
        </w:rPr>
        <w:t>разработать и внедрить научно</w:t>
      </w:r>
      <w:r w:rsidR="00CC6B82" w:rsidRPr="004135FE">
        <w:rPr>
          <w:rFonts w:ascii="Times New Roman" w:hAnsi="Times New Roman" w:cs="Times New Roman"/>
          <w:sz w:val="28"/>
          <w:szCs w:val="28"/>
        </w:rPr>
        <w:t>-</w:t>
      </w:r>
      <w:r w:rsidR="003F3C59" w:rsidRPr="004135FE">
        <w:rPr>
          <w:rFonts w:ascii="Times New Roman" w:hAnsi="Times New Roman" w:cs="Times New Roman"/>
          <w:sz w:val="28"/>
          <w:szCs w:val="28"/>
        </w:rPr>
        <w:t xml:space="preserve">обоснованные предложения к совершенствованию </w:t>
      </w:r>
      <w:r w:rsidR="00BA5C82" w:rsidRPr="004135FE">
        <w:rPr>
          <w:rFonts w:ascii="Times New Roman" w:eastAsia="Times New Roman" w:hAnsi="Times New Roman" w:cs="Times New Roman"/>
          <w:sz w:val="28"/>
          <w:szCs w:val="28"/>
        </w:rPr>
        <w:t>оказания медицинской помощи и</w:t>
      </w:r>
      <w:r w:rsidR="00BA5C82" w:rsidRPr="004135FE">
        <w:rPr>
          <w:rFonts w:ascii="Times New Roman" w:hAnsi="Times New Roman" w:cs="Times New Roman"/>
          <w:b/>
          <w:sz w:val="28"/>
          <w:szCs w:val="28"/>
        </w:rPr>
        <w:t xml:space="preserve"> </w:t>
      </w:r>
      <w:r w:rsidR="003F3C59" w:rsidRPr="004135FE">
        <w:rPr>
          <w:rFonts w:ascii="Times New Roman" w:eastAsia="Times New Roman" w:hAnsi="Times New Roman" w:cs="Times New Roman"/>
          <w:sz w:val="28"/>
          <w:szCs w:val="28"/>
        </w:rPr>
        <w:t xml:space="preserve">межсекторального сотрудничества </w:t>
      </w:r>
      <w:r w:rsidR="00BA5C82" w:rsidRPr="004135FE">
        <w:rPr>
          <w:rFonts w:ascii="Times New Roman" w:eastAsia="Times New Roman" w:hAnsi="Times New Roman" w:cs="Times New Roman"/>
          <w:sz w:val="28"/>
          <w:szCs w:val="28"/>
        </w:rPr>
        <w:t xml:space="preserve">при </w:t>
      </w:r>
      <w:r w:rsidR="003F3C59" w:rsidRPr="004135FE">
        <w:rPr>
          <w:rFonts w:ascii="Times New Roman" w:hAnsi="Times New Roman" w:cs="Times New Roman"/>
          <w:sz w:val="28"/>
          <w:szCs w:val="28"/>
        </w:rPr>
        <w:t>СД2т</w:t>
      </w:r>
    </w:p>
    <w:p w14:paraId="2BDD9084" w14:textId="252204D4" w:rsidR="00AC30F1" w:rsidRPr="004135FE" w:rsidRDefault="004461EE" w:rsidP="004135FE">
      <w:pPr>
        <w:autoSpaceDE w:val="0"/>
        <w:autoSpaceDN w:val="0"/>
        <w:adjustRightInd w:val="0"/>
        <w:spacing w:after="0" w:line="240" w:lineRule="auto"/>
        <w:ind w:firstLine="567"/>
        <w:jc w:val="both"/>
        <w:rPr>
          <w:rFonts w:ascii="Times New Roman" w:hAnsi="Times New Roman" w:cs="Times New Roman"/>
          <w:sz w:val="28"/>
          <w:szCs w:val="28"/>
        </w:rPr>
      </w:pPr>
      <w:r w:rsidRPr="004135FE">
        <w:rPr>
          <w:rFonts w:ascii="Times New Roman" w:hAnsi="Times New Roman" w:cs="Times New Roman"/>
          <w:sz w:val="28"/>
          <w:szCs w:val="28"/>
        </w:rPr>
        <w:lastRenderedPageBreak/>
        <w:t xml:space="preserve">На </w:t>
      </w:r>
      <w:r w:rsidR="003F3C59" w:rsidRPr="004135FE">
        <w:rPr>
          <w:rFonts w:ascii="Times New Roman" w:hAnsi="Times New Roman" w:cs="Times New Roman"/>
          <w:sz w:val="28"/>
          <w:szCs w:val="28"/>
        </w:rPr>
        <w:t>основании предыдущих этапов были</w:t>
      </w:r>
      <w:r w:rsidRPr="004135FE">
        <w:rPr>
          <w:rFonts w:ascii="Times New Roman" w:hAnsi="Times New Roman" w:cs="Times New Roman"/>
          <w:sz w:val="28"/>
          <w:szCs w:val="28"/>
        </w:rPr>
        <w:t xml:space="preserve"> разработан</w:t>
      </w:r>
      <w:r w:rsidR="003F3C59" w:rsidRPr="004135FE">
        <w:rPr>
          <w:rFonts w:ascii="Times New Roman" w:hAnsi="Times New Roman" w:cs="Times New Roman"/>
          <w:sz w:val="28"/>
          <w:szCs w:val="28"/>
        </w:rPr>
        <w:t>ы предложения</w:t>
      </w:r>
      <w:r w:rsidR="00AC30F1" w:rsidRPr="004135FE">
        <w:rPr>
          <w:rFonts w:ascii="Times New Roman" w:hAnsi="Times New Roman" w:cs="Times New Roman"/>
          <w:sz w:val="28"/>
          <w:szCs w:val="28"/>
        </w:rPr>
        <w:t xml:space="preserve"> применительно конкретно к СД2т</w:t>
      </w:r>
      <w:r w:rsidRPr="004135FE">
        <w:rPr>
          <w:rFonts w:ascii="Times New Roman" w:hAnsi="Times New Roman" w:cs="Times New Roman"/>
          <w:sz w:val="28"/>
          <w:szCs w:val="28"/>
        </w:rPr>
        <w:t xml:space="preserve">, для </w:t>
      </w:r>
      <w:r w:rsidR="0033125E" w:rsidRPr="004135FE">
        <w:rPr>
          <w:rFonts w:ascii="Times New Roman" w:hAnsi="Times New Roman" w:cs="Times New Roman"/>
          <w:sz w:val="28"/>
          <w:szCs w:val="28"/>
        </w:rPr>
        <w:t>профилактики факторов риска развития и осложнении</w:t>
      </w:r>
      <w:r w:rsidR="00AC30F1" w:rsidRPr="004135FE">
        <w:rPr>
          <w:rFonts w:ascii="Times New Roman" w:hAnsi="Times New Roman" w:cs="Times New Roman"/>
          <w:sz w:val="28"/>
          <w:szCs w:val="28"/>
        </w:rPr>
        <w:t>:</w:t>
      </w:r>
    </w:p>
    <w:p w14:paraId="6DFDE6C6" w14:textId="77777777" w:rsidR="00AC30F1" w:rsidRPr="00431338" w:rsidRDefault="00AC30F1" w:rsidP="004135FE">
      <w:pPr>
        <w:spacing w:after="0" w:line="240" w:lineRule="auto"/>
        <w:ind w:firstLine="567"/>
        <w:jc w:val="both"/>
        <w:rPr>
          <w:rFonts w:ascii="Times New Roman" w:eastAsiaTheme="minorHAnsi" w:hAnsi="Times New Roman" w:cs="Times New Roman"/>
          <w:bCs/>
          <w:sz w:val="28"/>
          <w:szCs w:val="28"/>
          <w:lang w:eastAsia="en-US"/>
        </w:rPr>
      </w:pPr>
      <w:r w:rsidRPr="00431338">
        <w:rPr>
          <w:rFonts w:ascii="Times New Roman" w:eastAsiaTheme="minorHAnsi" w:hAnsi="Times New Roman" w:cs="Times New Roman"/>
          <w:bCs/>
          <w:sz w:val="28"/>
          <w:szCs w:val="28"/>
          <w:lang w:eastAsia="en-US"/>
        </w:rPr>
        <w:t>Модель «С</w:t>
      </w:r>
      <w:r w:rsidRPr="00431338">
        <w:rPr>
          <w:rFonts w:ascii="Times New Roman" w:eastAsia="Times New Roman" w:hAnsi="Times New Roman" w:cs="Times New Roman"/>
          <w:bCs/>
          <w:sz w:val="28"/>
          <w:szCs w:val="28"/>
        </w:rPr>
        <w:t>овершенствования оказания медицинской помощи и межсекторального сотрудничества при СД2т»</w:t>
      </w:r>
      <w:r w:rsidRPr="00431338">
        <w:rPr>
          <w:rFonts w:ascii="Times New Roman" w:eastAsiaTheme="minorHAnsi" w:hAnsi="Times New Roman" w:cs="Times New Roman"/>
          <w:bCs/>
          <w:sz w:val="28"/>
          <w:szCs w:val="28"/>
          <w:lang w:eastAsia="en-US"/>
        </w:rPr>
        <w:t xml:space="preserve"> состоит из двух составляющих:</w:t>
      </w:r>
    </w:p>
    <w:p w14:paraId="408B3D6E" w14:textId="67A815D3" w:rsidR="00AC30F1" w:rsidRPr="004135FE" w:rsidRDefault="00431338" w:rsidP="00431338">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1)</w:t>
      </w:r>
      <w:r w:rsidR="00AC30F1" w:rsidRPr="004135FE">
        <w:rPr>
          <w:rFonts w:ascii="Times New Roman" w:eastAsia="Times New Roman" w:hAnsi="Times New Roman" w:cs="Times New Roman"/>
          <w:sz w:val="28"/>
          <w:szCs w:val="28"/>
        </w:rPr>
        <w:t xml:space="preserve"> «Совершенствование оказания медицинской помощи </w:t>
      </w:r>
      <w:r w:rsidR="00AC30F1" w:rsidRPr="004135FE">
        <w:rPr>
          <w:rFonts w:ascii="Times New Roman" w:hAnsi="Times New Roman" w:cs="Times New Roman"/>
          <w:bCs/>
          <w:sz w:val="28"/>
          <w:szCs w:val="28"/>
        </w:rPr>
        <w:t>для осуществления потребности пациентов с СД2т и медицинского персонала» и предложения для его реализации:</w:t>
      </w:r>
    </w:p>
    <w:p w14:paraId="38C07669" w14:textId="77777777" w:rsidR="00AC30F1" w:rsidRPr="004135FE" w:rsidRDefault="00AC30F1" w:rsidP="00431338">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Cs/>
          <w:sz w:val="28"/>
          <w:szCs w:val="28"/>
        </w:rPr>
        <w:t xml:space="preserve">- </w:t>
      </w:r>
      <w:r w:rsidRPr="004135FE">
        <w:rPr>
          <w:rFonts w:ascii="Times New Roman" w:eastAsia="Times New Roman" w:hAnsi="Times New Roman" w:cs="Times New Roman"/>
          <w:sz w:val="28"/>
          <w:szCs w:val="28"/>
        </w:rPr>
        <w:t>Реорганизация Школы Диабета</w:t>
      </w:r>
      <w:r w:rsidRPr="004135FE">
        <w:rPr>
          <w:rFonts w:ascii="Times New Roman" w:hAnsi="Times New Roman" w:cs="Times New Roman"/>
          <w:sz w:val="28"/>
          <w:szCs w:val="28"/>
        </w:rPr>
        <w:t xml:space="preserve"> на уровне ПМСП</w:t>
      </w:r>
    </w:p>
    <w:p w14:paraId="4A8B5EA1" w14:textId="77777777" w:rsidR="00AC30F1" w:rsidRPr="004135FE" w:rsidRDefault="00AC30F1" w:rsidP="00431338">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Эффективное введение и привлечение в школу диабета пациентов с СД2т на уровне ПМСП</w:t>
      </w:r>
    </w:p>
    <w:p w14:paraId="5FBA2113" w14:textId="77777777" w:rsidR="00AC30F1" w:rsidRPr="004135FE" w:rsidRDefault="00AC30F1" w:rsidP="00431338">
      <w:pPr>
        <w:spacing w:after="0" w:line="240" w:lineRule="auto"/>
        <w:ind w:firstLine="709"/>
        <w:jc w:val="both"/>
        <w:rPr>
          <w:rFonts w:ascii="Times New Roman" w:hAnsi="Times New Roman" w:cs="Times New Roman"/>
          <w:spacing w:val="2"/>
          <w:sz w:val="28"/>
          <w:szCs w:val="28"/>
        </w:rPr>
      </w:pPr>
      <w:r w:rsidRPr="004135FE">
        <w:rPr>
          <w:rFonts w:ascii="Times New Roman" w:hAnsi="Times New Roman" w:cs="Times New Roman"/>
          <w:sz w:val="28"/>
          <w:szCs w:val="28"/>
        </w:rPr>
        <w:t xml:space="preserve">- </w:t>
      </w:r>
      <w:r w:rsidRPr="004135FE">
        <w:rPr>
          <w:rFonts w:ascii="Times New Roman" w:hAnsi="Times New Roman" w:cs="Times New Roman"/>
          <w:spacing w:val="2"/>
          <w:sz w:val="28"/>
          <w:szCs w:val="28"/>
        </w:rPr>
        <w:t>Маршрут по психосоциальной поддержке пациентов с СД2т на уровне ПМСП</w:t>
      </w:r>
    </w:p>
    <w:p w14:paraId="0293C6E6" w14:textId="15692783" w:rsidR="00AC30F1" w:rsidRPr="004135FE" w:rsidRDefault="00431338" w:rsidP="00431338">
      <w:pPr>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12)</w:t>
      </w:r>
      <w:r w:rsidR="00AC30F1" w:rsidRPr="004135FE">
        <w:rPr>
          <w:rFonts w:ascii="Times New Roman" w:hAnsi="Times New Roman" w:cs="Times New Roman"/>
          <w:bCs/>
          <w:sz w:val="28"/>
          <w:szCs w:val="28"/>
        </w:rPr>
        <w:t xml:space="preserve"> «</w:t>
      </w:r>
      <w:r w:rsidR="00AC30F1" w:rsidRPr="004135FE">
        <w:rPr>
          <w:rFonts w:ascii="Times New Roman" w:hAnsi="Times New Roman" w:cs="Times New Roman"/>
          <w:noProof/>
          <w:sz w:val="28"/>
          <w:szCs w:val="28"/>
        </w:rPr>
        <w:t>Совершенствование м</w:t>
      </w:r>
      <w:r w:rsidR="00AC30F1" w:rsidRPr="004135FE">
        <w:rPr>
          <w:rFonts w:ascii="Times New Roman" w:hAnsi="Times New Roman" w:cs="Times New Roman"/>
          <w:bCs/>
          <w:noProof/>
          <w:sz w:val="28"/>
          <w:szCs w:val="28"/>
        </w:rPr>
        <w:t>ежсекторального сотрудничества при организации помощи пациентам с СД2т</w:t>
      </w:r>
      <w:r w:rsidR="00AC30F1" w:rsidRPr="004135FE">
        <w:rPr>
          <w:rFonts w:ascii="Times New Roman" w:hAnsi="Times New Roman" w:cs="Times New Roman"/>
          <w:bCs/>
          <w:sz w:val="28"/>
          <w:szCs w:val="28"/>
        </w:rPr>
        <w:t>»</w:t>
      </w:r>
    </w:p>
    <w:p w14:paraId="168826FE" w14:textId="77777777" w:rsidR="00431338" w:rsidRDefault="00431338" w:rsidP="00431338">
      <w:pPr>
        <w:spacing w:after="0" w:line="240" w:lineRule="auto"/>
        <w:ind w:firstLine="709"/>
        <w:jc w:val="both"/>
        <w:rPr>
          <w:rFonts w:ascii="Times New Roman" w:hAnsi="Times New Roman" w:cs="Times New Roman"/>
          <w:b/>
          <w:sz w:val="28"/>
          <w:szCs w:val="28"/>
        </w:rPr>
      </w:pPr>
    </w:p>
    <w:p w14:paraId="521CB26A" w14:textId="633F82C2" w:rsidR="004461EE" w:rsidRPr="004135FE" w:rsidRDefault="004461EE" w:rsidP="00431338">
      <w:pPr>
        <w:spacing w:after="0" w:line="240" w:lineRule="auto"/>
        <w:ind w:firstLine="709"/>
        <w:jc w:val="both"/>
        <w:rPr>
          <w:rFonts w:ascii="Times New Roman" w:hAnsi="Times New Roman" w:cs="Times New Roman"/>
          <w:b/>
          <w:sz w:val="28"/>
          <w:szCs w:val="28"/>
        </w:rPr>
      </w:pPr>
      <w:r w:rsidRPr="004135FE">
        <w:rPr>
          <w:rFonts w:ascii="Times New Roman" w:hAnsi="Times New Roman" w:cs="Times New Roman"/>
          <w:b/>
          <w:sz w:val="28"/>
          <w:szCs w:val="28"/>
        </w:rPr>
        <w:t>2.2 Методы исследования</w:t>
      </w:r>
    </w:p>
    <w:p w14:paraId="31F566DF" w14:textId="77777777" w:rsidR="004461EE" w:rsidRPr="004135FE" w:rsidRDefault="004461EE" w:rsidP="00431338">
      <w:pPr>
        <w:spacing w:after="0" w:line="240" w:lineRule="auto"/>
        <w:ind w:right="-1" w:firstLine="709"/>
        <w:contextualSpacing/>
        <w:jc w:val="both"/>
        <w:rPr>
          <w:rFonts w:ascii="Times New Roman" w:hAnsi="Times New Roman" w:cs="Times New Roman"/>
          <w:sz w:val="28"/>
          <w:szCs w:val="28"/>
        </w:rPr>
      </w:pPr>
      <w:r w:rsidRPr="004135FE">
        <w:rPr>
          <w:rFonts w:ascii="Times New Roman" w:hAnsi="Times New Roman" w:cs="Times New Roman"/>
          <w:sz w:val="28"/>
          <w:szCs w:val="28"/>
        </w:rPr>
        <w:t>При проведении исследования использовались следующие методы исследования:</w:t>
      </w:r>
    </w:p>
    <w:p w14:paraId="2E78551A" w14:textId="77777777" w:rsidR="004461EE" w:rsidRPr="00431338" w:rsidRDefault="004461EE" w:rsidP="00431338">
      <w:pPr>
        <w:numPr>
          <w:ilvl w:val="0"/>
          <w:numId w:val="67"/>
        </w:numPr>
        <w:tabs>
          <w:tab w:val="left" w:pos="993"/>
        </w:tabs>
        <w:spacing w:after="0" w:line="240" w:lineRule="auto"/>
        <w:ind w:left="0" w:firstLine="709"/>
        <w:jc w:val="both"/>
        <w:rPr>
          <w:rFonts w:ascii="Times New Roman" w:hAnsi="Times New Roman" w:cs="Times New Roman"/>
          <w:bCs/>
          <w:iCs/>
          <w:sz w:val="28"/>
          <w:szCs w:val="28"/>
        </w:rPr>
      </w:pPr>
      <w:r w:rsidRPr="00431338">
        <w:rPr>
          <w:rFonts w:ascii="Times New Roman" w:hAnsi="Times New Roman" w:cs="Times New Roman"/>
          <w:bCs/>
          <w:iCs/>
          <w:sz w:val="28"/>
          <w:szCs w:val="28"/>
        </w:rPr>
        <w:t>Информационно-аналитический метод использован для анализа научно- методической литературы, директивных и нормативных документов, отчетной и текущей документации, современных библиографических научных источников для определения формата и дизайна диссертационного исследования;</w:t>
      </w:r>
    </w:p>
    <w:p w14:paraId="596582FC" w14:textId="77777777" w:rsidR="004461EE" w:rsidRPr="004135FE" w:rsidRDefault="004461EE" w:rsidP="00431338">
      <w:pPr>
        <w:numPr>
          <w:ilvl w:val="0"/>
          <w:numId w:val="67"/>
        </w:numPr>
        <w:tabs>
          <w:tab w:val="left" w:pos="993"/>
        </w:tabs>
        <w:spacing w:after="0" w:line="240" w:lineRule="auto"/>
        <w:ind w:left="0" w:firstLine="709"/>
        <w:jc w:val="both"/>
        <w:rPr>
          <w:rFonts w:ascii="Times New Roman" w:hAnsi="Times New Roman" w:cs="Times New Roman"/>
          <w:iCs/>
          <w:sz w:val="28"/>
          <w:szCs w:val="28"/>
        </w:rPr>
      </w:pPr>
      <w:r w:rsidRPr="00431338">
        <w:rPr>
          <w:rFonts w:ascii="Times New Roman" w:hAnsi="Times New Roman" w:cs="Times New Roman"/>
          <w:bCs/>
          <w:iCs/>
          <w:sz w:val="28"/>
          <w:szCs w:val="28"/>
        </w:rPr>
        <w:t>Статистические методы – расчет средних и относительных величин, построение временных рядов, математическое</w:t>
      </w:r>
      <w:r w:rsidRPr="004135FE">
        <w:rPr>
          <w:rFonts w:ascii="Times New Roman" w:hAnsi="Times New Roman" w:cs="Times New Roman"/>
          <w:iCs/>
          <w:sz w:val="28"/>
          <w:szCs w:val="28"/>
        </w:rPr>
        <w:t xml:space="preserve"> прогнозирование по методу линейной регрессии, расчет статистической значимости данных, построение таблиц и графиков.</w:t>
      </w:r>
    </w:p>
    <w:p w14:paraId="265EF4C2" w14:textId="6C1CA5C6" w:rsidR="004461EE" w:rsidRPr="004135FE" w:rsidRDefault="004461EE" w:rsidP="00431338">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Статистическая обработка первичной заболеваемости, распространенности (источник РЦЭЗ по НРСД 8 и 13 форма по г.Алматы) полученного материала исследования основывалась на группировке данных, построении различных таблиц (простых и комбинационных), а также расчет основных данных. С помощью пакета прикладных программ </w:t>
      </w:r>
      <w:r w:rsidRPr="004135FE">
        <w:rPr>
          <w:rFonts w:ascii="Times New Roman" w:hAnsi="Times New Roman" w:cs="Times New Roman"/>
          <w:sz w:val="28"/>
          <w:szCs w:val="28"/>
          <w:lang w:val="en-US"/>
        </w:rPr>
        <w:t>EXCEL</w:t>
      </w:r>
      <w:r w:rsidRPr="004135FE">
        <w:rPr>
          <w:rFonts w:ascii="Times New Roman" w:hAnsi="Times New Roman" w:cs="Times New Roman"/>
          <w:sz w:val="28"/>
          <w:szCs w:val="28"/>
        </w:rPr>
        <w:t xml:space="preserve"> 7.0 была проведена статистическая обработка полученных данных. Для облегчения анализа были рассчитаны относительные величины: экстенсивные и интенсивных показатели, средние величины и проведена оценка достоверности результатов исследования </w:t>
      </w:r>
      <w:r w:rsidRPr="004135FE">
        <w:rPr>
          <w:rFonts w:ascii="Times New Roman" w:hAnsi="Times New Roman" w:cs="Times New Roman"/>
          <w:sz w:val="28"/>
          <w:szCs w:val="28"/>
          <w:lang w:val="en-US"/>
        </w:rPr>
        <w:sym w:font="Symbol" w:char="F05B"/>
      </w:r>
      <w:r w:rsidR="00205B83" w:rsidRPr="004135FE">
        <w:rPr>
          <w:rFonts w:ascii="Times New Roman" w:hAnsi="Times New Roman" w:cs="Times New Roman"/>
          <w:sz w:val="28"/>
          <w:szCs w:val="28"/>
        </w:rPr>
        <w:t>157</w:t>
      </w:r>
      <w:r w:rsidRPr="004135FE">
        <w:rPr>
          <w:rFonts w:ascii="Times New Roman" w:hAnsi="Times New Roman" w:cs="Times New Roman"/>
          <w:sz w:val="28"/>
          <w:szCs w:val="28"/>
          <w:lang w:val="en-US"/>
        </w:rPr>
        <w:sym w:font="Symbol" w:char="F05D"/>
      </w:r>
      <w:r w:rsidRPr="004135FE">
        <w:rPr>
          <w:rFonts w:ascii="Times New Roman" w:hAnsi="Times New Roman" w:cs="Times New Roman"/>
          <w:sz w:val="28"/>
          <w:szCs w:val="28"/>
        </w:rPr>
        <w:t>. Была проведена изучение динамического ряда</w:t>
      </w:r>
      <w:r w:rsidRPr="004135FE">
        <w:rPr>
          <w:rFonts w:ascii="Times New Roman" w:eastAsia="Times New Roman" w:hAnsi="Times New Roman" w:cs="Times New Roman"/>
          <w:bCs/>
          <w:sz w:val="28"/>
          <w:szCs w:val="28"/>
        </w:rPr>
        <w:t xml:space="preserve"> изменения количества больных СД2т.</w:t>
      </w:r>
    </w:p>
    <w:p w14:paraId="23E08FF1" w14:textId="77777777" w:rsidR="004461EE" w:rsidRPr="004135FE" w:rsidRDefault="004461EE" w:rsidP="00431338">
      <w:pPr>
        <w:spacing w:after="0" w:line="240" w:lineRule="auto"/>
        <w:ind w:firstLine="709"/>
        <w:jc w:val="both"/>
        <w:rPr>
          <w:rFonts w:ascii="Times New Roman" w:eastAsiaTheme="minorHAnsi" w:hAnsi="Times New Roman" w:cs="Times New Roman"/>
          <w:sz w:val="28"/>
          <w:szCs w:val="28"/>
          <w:lang w:eastAsia="en-US"/>
        </w:rPr>
      </w:pPr>
      <w:r w:rsidRPr="00431338">
        <w:rPr>
          <w:rFonts w:ascii="Times New Roman" w:hAnsi="Times New Roman" w:cs="Times New Roman"/>
          <w:bCs/>
          <w:sz w:val="28"/>
          <w:szCs w:val="28"/>
        </w:rPr>
        <w:t>Стандартизованное исследование распространенности по СД2.</w:t>
      </w:r>
      <w:r w:rsidRPr="004135FE">
        <w:rPr>
          <w:rFonts w:ascii="Times New Roman" w:hAnsi="Times New Roman" w:cs="Times New Roman"/>
          <w:b/>
          <w:sz w:val="28"/>
          <w:szCs w:val="28"/>
        </w:rPr>
        <w:t xml:space="preserve"> </w:t>
      </w:r>
      <w:r w:rsidRPr="004135FE">
        <w:rPr>
          <w:rFonts w:ascii="Times New Roman" w:eastAsiaTheme="minorHAnsi" w:hAnsi="Times New Roman" w:cs="Times New Roman"/>
          <w:sz w:val="28"/>
          <w:szCs w:val="28"/>
          <w:lang w:eastAsia="en-US"/>
        </w:rPr>
        <w:t xml:space="preserve">В эпидемиологии и демографии большинство показателей, таких как заболеваемость, распространенность, смертность, сильно зависят от возраста, при этом риски возрастают при НИЗ, частично это отражает опасность кумулятивного воздействия, образа жизни и наличие факторов риска. Тем не менее, сравнение общих возрастных показателей с течением времени и между </w:t>
      </w:r>
      <w:r w:rsidRPr="004135FE">
        <w:rPr>
          <w:rFonts w:ascii="Times New Roman" w:eastAsiaTheme="minorHAnsi" w:hAnsi="Times New Roman" w:cs="Times New Roman"/>
          <w:sz w:val="28"/>
          <w:szCs w:val="28"/>
          <w:lang w:eastAsia="en-US"/>
        </w:rPr>
        <w:lastRenderedPageBreak/>
        <w:t xml:space="preserve">группами населения может вводить в заблуждение, если базовый возрастной состав отличается в сравниваемых популяциях. Следовательно, для различных целей использование одного независимого от возраста индекса, представляющего собой набор возрастных показателей, может быть более подходящим. Это достигается путем стандартизации по возрасту или корректировки по возрасту. </w:t>
      </w:r>
    </w:p>
    <w:p w14:paraId="78FEE5BE" w14:textId="77777777" w:rsidR="004461EE" w:rsidRPr="004135FE" w:rsidRDefault="004461EE" w:rsidP="000B403C">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 xml:space="preserve">Прямая стандартизация применяется в том случае, если известны повозрастные показатели интенсивности демографических процессов сравниваемого населения и возрастная структура стандарта. При этом за стандартную возрастную структуру можно принять либо возрастную структуру какой-либо территории в конкретный период времени, либо искусственно сконструированную. Например, это может быть средняя из реальных структур. </w:t>
      </w:r>
    </w:p>
    <w:p w14:paraId="65C09804" w14:textId="77777777" w:rsidR="004461EE" w:rsidRPr="004135FE" w:rsidRDefault="004461EE" w:rsidP="000B403C">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 xml:space="preserve"> Для использования метода прямой стандартизации необходимы следующие данные: </w:t>
      </w:r>
    </w:p>
    <w:p w14:paraId="2894C42C" w14:textId="77777777" w:rsidR="004461EE" w:rsidRPr="004135FE" w:rsidRDefault="004461EE" w:rsidP="000B403C">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 xml:space="preserve">1) возрастная структура сравниваемых населений; </w:t>
      </w:r>
    </w:p>
    <w:p w14:paraId="6E3682FB" w14:textId="77777777" w:rsidR="004461EE" w:rsidRPr="004135FE" w:rsidRDefault="004461EE" w:rsidP="000B403C">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 xml:space="preserve">2) возрастное распределение событий (заболевания или смертность). </w:t>
      </w:r>
    </w:p>
    <w:p w14:paraId="3C4BBD76" w14:textId="77777777" w:rsidR="004461EE" w:rsidRPr="004135FE" w:rsidRDefault="004461EE" w:rsidP="000B403C">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 xml:space="preserve">Используя эти распределения, можно рассчитать возрастные коэффициенты. </w:t>
      </w:r>
    </w:p>
    <w:p w14:paraId="40B02F75" w14:textId="77777777" w:rsidR="004461EE" w:rsidRPr="004135FE" w:rsidRDefault="004461EE" w:rsidP="000B403C">
      <w:pPr>
        <w:autoSpaceDE w:val="0"/>
        <w:autoSpaceDN w:val="0"/>
        <w:adjustRightInd w:val="0"/>
        <w:spacing w:after="0" w:line="240" w:lineRule="auto"/>
        <w:ind w:firstLine="708"/>
        <w:jc w:val="both"/>
        <w:rPr>
          <w:rFonts w:ascii="Times New Roman" w:hAnsi="Times New Roman" w:cs="Times New Roman"/>
          <w:noProof/>
          <w:sz w:val="28"/>
          <w:szCs w:val="28"/>
        </w:rPr>
      </w:pPr>
      <w:r w:rsidRPr="004135FE">
        <w:rPr>
          <w:rFonts w:ascii="Times New Roman" w:eastAsiaTheme="minorHAnsi" w:hAnsi="Times New Roman" w:cs="Times New Roman"/>
          <w:sz w:val="28"/>
          <w:szCs w:val="28"/>
          <w:lang w:eastAsia="en-US"/>
        </w:rPr>
        <w:t xml:space="preserve">В качестве стандарта выбирают структуру населения, близкой к изучаемому, и предполагают, что структура населения сравниваемых территорий такая же, как и в населении-стандарте. Стандартизованные показатели рассчитываются следующим образом: </w:t>
      </w:r>
    </w:p>
    <w:p w14:paraId="4219824E" w14:textId="77777777" w:rsidR="004461EE" w:rsidRPr="004135FE" w:rsidRDefault="004461EE" w:rsidP="004135FE">
      <w:pPr>
        <w:autoSpaceDE w:val="0"/>
        <w:autoSpaceDN w:val="0"/>
        <w:adjustRightInd w:val="0"/>
        <w:spacing w:after="0" w:line="240" w:lineRule="auto"/>
        <w:ind w:firstLine="708"/>
        <w:rPr>
          <w:rFonts w:ascii="Times New Roman" w:eastAsiaTheme="minorHAnsi" w:hAnsi="Times New Roman" w:cs="Times New Roman"/>
          <w:sz w:val="28"/>
          <w:szCs w:val="28"/>
          <w:lang w:eastAsia="en-US"/>
        </w:rPr>
      </w:pPr>
      <w:r w:rsidRPr="004135FE">
        <w:rPr>
          <w:rFonts w:ascii="Times New Roman" w:hAnsi="Times New Roman" w:cs="Times New Roman"/>
          <w:noProof/>
          <w:sz w:val="28"/>
          <w:szCs w:val="28"/>
        </w:rPr>
        <w:drawing>
          <wp:inline distT="0" distB="0" distL="0" distR="0" wp14:anchorId="48D1B1F6" wp14:editId="2FA5143E">
            <wp:extent cx="3267075" cy="69532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7488" t="28747" r="51716" b="63196"/>
                    <a:stretch/>
                  </pic:blipFill>
                  <pic:spPr bwMode="auto">
                    <a:xfrm>
                      <a:off x="0" y="0"/>
                      <a:ext cx="3267075" cy="695325"/>
                    </a:xfrm>
                    <a:prstGeom prst="rect">
                      <a:avLst/>
                    </a:prstGeom>
                    <a:ln>
                      <a:noFill/>
                    </a:ln>
                    <a:extLst>
                      <a:ext uri="{53640926-AAD7-44D8-BBD7-CCE9431645EC}">
                        <a14:shadowObscured xmlns:a14="http://schemas.microsoft.com/office/drawing/2010/main"/>
                      </a:ext>
                    </a:extLst>
                  </pic:spPr>
                </pic:pic>
              </a:graphicData>
            </a:graphic>
          </wp:inline>
        </w:drawing>
      </w:r>
    </w:p>
    <w:p w14:paraId="67A8CC44" w14:textId="77777777" w:rsidR="004461EE" w:rsidRPr="004135FE" w:rsidRDefault="004461EE" w:rsidP="004135FE">
      <w:pPr>
        <w:autoSpaceDE w:val="0"/>
        <w:autoSpaceDN w:val="0"/>
        <w:adjustRightInd w:val="0"/>
        <w:spacing w:after="0" w:line="240" w:lineRule="auto"/>
        <w:ind w:firstLine="708"/>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К</w:t>
      </w:r>
      <w:r w:rsidRPr="004135FE">
        <w:rPr>
          <w:rFonts w:ascii="Times New Roman" w:eastAsiaTheme="minorHAnsi" w:hAnsi="Times New Roman" w:cs="Times New Roman"/>
          <w:sz w:val="28"/>
          <w:szCs w:val="28"/>
          <w:vertAlign w:val="superscript"/>
          <w:lang w:eastAsia="en-US"/>
        </w:rPr>
        <w:t>станд</w:t>
      </w:r>
      <w:r w:rsidRPr="004135FE">
        <w:rPr>
          <w:rFonts w:ascii="Times New Roman" w:eastAsiaTheme="minorHAnsi" w:hAnsi="Times New Roman" w:cs="Times New Roman"/>
          <w:sz w:val="28"/>
          <w:szCs w:val="28"/>
          <w:lang w:eastAsia="en-US"/>
        </w:rPr>
        <w:t xml:space="preserve"> - стандартизованный показатель для изучаемого населения;</w:t>
      </w:r>
    </w:p>
    <w:p w14:paraId="51B1360D" w14:textId="77777777" w:rsidR="004461EE" w:rsidRPr="004135FE" w:rsidRDefault="004461EE" w:rsidP="004135FE">
      <w:pPr>
        <w:autoSpaceDE w:val="0"/>
        <w:autoSpaceDN w:val="0"/>
        <w:adjustRightInd w:val="0"/>
        <w:spacing w:after="0" w:line="240" w:lineRule="auto"/>
        <w:ind w:firstLine="708"/>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 xml:space="preserve"> tx - возрастные показатели заболеваемости или смертности в изучаемом населении; </w:t>
      </w:r>
    </w:p>
    <w:p w14:paraId="16737966" w14:textId="77777777" w:rsidR="004461EE" w:rsidRPr="004135FE" w:rsidRDefault="004461EE" w:rsidP="004135FE">
      <w:pPr>
        <w:autoSpaceDE w:val="0"/>
        <w:autoSpaceDN w:val="0"/>
        <w:adjustRightInd w:val="0"/>
        <w:spacing w:after="0" w:line="240" w:lineRule="auto"/>
        <w:ind w:firstLine="708"/>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P</w:t>
      </w:r>
      <w:r w:rsidRPr="004135FE">
        <w:rPr>
          <w:rFonts w:ascii="Times New Roman" w:eastAsiaTheme="minorHAnsi" w:hAnsi="Times New Roman" w:cs="Times New Roman"/>
          <w:sz w:val="28"/>
          <w:szCs w:val="28"/>
          <w:vertAlign w:val="subscript"/>
          <w:lang w:eastAsia="en-US"/>
        </w:rPr>
        <w:t>х</w:t>
      </w:r>
      <w:r w:rsidRPr="004135FE">
        <w:rPr>
          <w:rFonts w:ascii="Times New Roman" w:eastAsiaTheme="minorHAnsi" w:hAnsi="Times New Roman" w:cs="Times New Roman"/>
          <w:sz w:val="28"/>
          <w:szCs w:val="28"/>
          <w:vertAlign w:val="superscript"/>
          <w:lang w:eastAsia="en-US"/>
        </w:rPr>
        <w:t>станд</w:t>
      </w:r>
      <w:r w:rsidRPr="004135FE">
        <w:rPr>
          <w:rFonts w:ascii="Times New Roman" w:eastAsiaTheme="minorHAnsi" w:hAnsi="Times New Roman" w:cs="Times New Roman"/>
          <w:sz w:val="28"/>
          <w:szCs w:val="28"/>
          <w:lang w:eastAsia="en-US"/>
        </w:rPr>
        <w:t xml:space="preserve"> - доли соответствующих возрастных групп в общей численности населения, принятого за стандарт</w:t>
      </w:r>
    </w:p>
    <w:p w14:paraId="67050E60" w14:textId="77777777" w:rsidR="004461EE" w:rsidRPr="004135FE" w:rsidRDefault="004461EE" w:rsidP="004135FE">
      <w:pPr>
        <w:autoSpaceDE w:val="0"/>
        <w:autoSpaceDN w:val="0"/>
        <w:adjustRightInd w:val="0"/>
        <w:spacing w:after="0" w:line="240" w:lineRule="auto"/>
        <w:ind w:firstLine="708"/>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px - среднегодовая численность населения в возрасте х лет;</w:t>
      </w:r>
    </w:p>
    <w:p w14:paraId="48056E4A" w14:textId="77777777" w:rsidR="004461EE" w:rsidRPr="004135FE" w:rsidRDefault="004461EE" w:rsidP="004135FE">
      <w:pPr>
        <w:autoSpaceDE w:val="0"/>
        <w:autoSpaceDN w:val="0"/>
        <w:adjustRightInd w:val="0"/>
        <w:spacing w:after="0" w:line="240" w:lineRule="auto"/>
        <w:ind w:firstLine="708"/>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Sx - число событий (заболеваемости или смертности) в возрасте х лет.</w:t>
      </w:r>
    </w:p>
    <w:p w14:paraId="1364D890" w14:textId="77777777" w:rsidR="004461EE" w:rsidRPr="004135FE" w:rsidRDefault="004461EE" w:rsidP="004135FE">
      <w:pPr>
        <w:autoSpaceDE w:val="0"/>
        <w:autoSpaceDN w:val="0"/>
        <w:adjustRightInd w:val="0"/>
        <w:spacing w:after="0" w:line="240" w:lineRule="auto"/>
        <w:ind w:firstLine="708"/>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Если возрастная структура представлена абсолютными значениями, то стандартизованный коэффициент будет рассчитываться следующим образом:</w:t>
      </w:r>
    </w:p>
    <w:p w14:paraId="1ED4D153" w14:textId="77777777" w:rsidR="004461EE" w:rsidRPr="004135FE" w:rsidRDefault="004461EE" w:rsidP="004135FE">
      <w:pPr>
        <w:autoSpaceDE w:val="0"/>
        <w:autoSpaceDN w:val="0"/>
        <w:adjustRightInd w:val="0"/>
        <w:spacing w:after="0" w:line="240" w:lineRule="auto"/>
        <w:ind w:firstLine="708"/>
        <w:rPr>
          <w:rFonts w:ascii="Times New Roman" w:eastAsiaTheme="minorHAnsi" w:hAnsi="Times New Roman" w:cs="Times New Roman"/>
          <w:sz w:val="28"/>
          <w:szCs w:val="28"/>
          <w:lang w:eastAsia="en-US"/>
        </w:rPr>
      </w:pPr>
      <w:r w:rsidRPr="004135FE">
        <w:rPr>
          <w:rFonts w:ascii="Times New Roman" w:hAnsi="Times New Roman" w:cs="Times New Roman"/>
          <w:noProof/>
          <w:sz w:val="28"/>
          <w:szCs w:val="28"/>
        </w:rPr>
        <w:drawing>
          <wp:inline distT="0" distB="0" distL="0" distR="0" wp14:anchorId="6B065B3F" wp14:editId="6DE78016">
            <wp:extent cx="3124200" cy="79057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2842" t="57678" r="48421" b="32251"/>
                    <a:stretch/>
                  </pic:blipFill>
                  <pic:spPr bwMode="auto">
                    <a:xfrm>
                      <a:off x="0" y="0"/>
                      <a:ext cx="3124200" cy="790575"/>
                    </a:xfrm>
                    <a:prstGeom prst="rect">
                      <a:avLst/>
                    </a:prstGeom>
                    <a:ln>
                      <a:noFill/>
                    </a:ln>
                    <a:extLst>
                      <a:ext uri="{53640926-AAD7-44D8-BBD7-CCE9431645EC}">
                        <a14:shadowObscured xmlns:a14="http://schemas.microsoft.com/office/drawing/2010/main"/>
                      </a:ext>
                    </a:extLst>
                  </pic:spPr>
                </pic:pic>
              </a:graphicData>
            </a:graphic>
          </wp:inline>
        </w:drawing>
      </w:r>
    </w:p>
    <w:p w14:paraId="656F1BCA" w14:textId="77777777" w:rsidR="004461EE" w:rsidRPr="004135FE" w:rsidRDefault="004461EE" w:rsidP="004135FE">
      <w:pPr>
        <w:autoSpaceDE w:val="0"/>
        <w:autoSpaceDN w:val="0"/>
        <w:adjustRightInd w:val="0"/>
        <w:spacing w:after="0" w:line="240" w:lineRule="auto"/>
        <w:jc w:val="both"/>
        <w:rPr>
          <w:rFonts w:ascii="Times New Roman" w:eastAsia="TimesNewRomanPSMT" w:hAnsi="Times New Roman" w:cs="Times New Roman"/>
          <w:sz w:val="28"/>
          <w:szCs w:val="28"/>
          <w:lang w:eastAsia="en-US"/>
        </w:rPr>
      </w:pPr>
      <w:r w:rsidRPr="004135FE">
        <w:rPr>
          <w:rFonts w:ascii="Times New Roman" w:eastAsiaTheme="minorHAnsi" w:hAnsi="Times New Roman" w:cs="Times New Roman"/>
          <w:i/>
          <w:iCs/>
          <w:sz w:val="28"/>
          <w:szCs w:val="28"/>
          <w:lang w:eastAsia="en-US"/>
        </w:rPr>
        <w:t xml:space="preserve">где </w:t>
      </w:r>
      <w:r w:rsidRPr="004135FE">
        <w:rPr>
          <w:rFonts w:ascii="Times New Roman" w:eastAsiaTheme="minorHAnsi" w:hAnsi="Times New Roman" w:cs="Times New Roman"/>
          <w:iCs/>
          <w:sz w:val="28"/>
          <w:szCs w:val="28"/>
          <w:lang w:eastAsia="en-US"/>
        </w:rPr>
        <w:t xml:space="preserve">Кстанд – </w:t>
      </w:r>
      <w:r w:rsidRPr="004135FE">
        <w:rPr>
          <w:rFonts w:ascii="Times New Roman" w:eastAsia="TimesNewRomanPSMT" w:hAnsi="Times New Roman" w:cs="Times New Roman"/>
          <w:sz w:val="28"/>
          <w:szCs w:val="28"/>
          <w:lang w:eastAsia="en-US"/>
        </w:rPr>
        <w:t xml:space="preserve">стандартизированный показатель для изучаемой популяции; </w:t>
      </w:r>
    </w:p>
    <w:p w14:paraId="728A0EE3" w14:textId="77777777" w:rsidR="004461EE" w:rsidRPr="004135FE" w:rsidRDefault="004461EE" w:rsidP="004135FE">
      <w:pPr>
        <w:autoSpaceDE w:val="0"/>
        <w:autoSpaceDN w:val="0"/>
        <w:adjustRightInd w:val="0"/>
        <w:spacing w:after="0" w:line="240" w:lineRule="auto"/>
        <w:jc w:val="both"/>
        <w:rPr>
          <w:rFonts w:ascii="Times New Roman" w:eastAsia="TimesNewRomanPSMT" w:hAnsi="Times New Roman" w:cs="Times New Roman"/>
          <w:sz w:val="28"/>
          <w:szCs w:val="28"/>
          <w:lang w:eastAsia="en-US"/>
        </w:rPr>
      </w:pPr>
      <w:r w:rsidRPr="004135FE">
        <w:rPr>
          <w:rFonts w:ascii="Times New Roman" w:eastAsiaTheme="minorHAnsi" w:hAnsi="Times New Roman" w:cs="Times New Roman"/>
          <w:iCs/>
          <w:sz w:val="28"/>
          <w:szCs w:val="28"/>
          <w:lang w:eastAsia="en-US"/>
        </w:rPr>
        <w:t xml:space="preserve">tx – </w:t>
      </w:r>
      <w:r w:rsidRPr="004135FE">
        <w:rPr>
          <w:rFonts w:ascii="Times New Roman" w:eastAsia="TimesNewRomanPSMT" w:hAnsi="Times New Roman" w:cs="Times New Roman"/>
          <w:sz w:val="28"/>
          <w:szCs w:val="28"/>
          <w:lang w:eastAsia="en-US"/>
        </w:rPr>
        <w:t xml:space="preserve">возрастные показатели смертности в изучаемой популяции; </w:t>
      </w:r>
    </w:p>
    <w:p w14:paraId="356A19FE" w14:textId="77777777" w:rsidR="004461EE" w:rsidRPr="004135FE" w:rsidRDefault="004461EE" w:rsidP="004135FE">
      <w:pPr>
        <w:autoSpaceDE w:val="0"/>
        <w:autoSpaceDN w:val="0"/>
        <w:adjustRightInd w:val="0"/>
        <w:spacing w:after="0" w:line="240" w:lineRule="auto"/>
        <w:jc w:val="both"/>
        <w:rPr>
          <w:rFonts w:ascii="Times New Roman" w:eastAsia="TimesNewRomanPSMT" w:hAnsi="Times New Roman" w:cs="Times New Roman"/>
          <w:sz w:val="28"/>
          <w:szCs w:val="28"/>
          <w:lang w:eastAsia="en-US"/>
        </w:rPr>
      </w:pPr>
      <w:r w:rsidRPr="004135FE">
        <w:rPr>
          <w:rFonts w:ascii="Times New Roman" w:eastAsiaTheme="minorHAnsi" w:hAnsi="Times New Roman" w:cs="Times New Roman"/>
          <w:iCs/>
          <w:sz w:val="28"/>
          <w:szCs w:val="28"/>
          <w:lang w:eastAsia="en-US"/>
        </w:rPr>
        <w:t>P</w:t>
      </w:r>
      <w:r w:rsidRPr="004135FE">
        <w:rPr>
          <w:rFonts w:ascii="Times New Roman" w:eastAsiaTheme="minorHAnsi" w:hAnsi="Times New Roman" w:cs="Times New Roman"/>
          <w:iCs/>
          <w:sz w:val="28"/>
          <w:szCs w:val="28"/>
          <w:vertAlign w:val="subscript"/>
          <w:lang w:eastAsia="en-US"/>
        </w:rPr>
        <w:t>x</w:t>
      </w:r>
      <w:r w:rsidRPr="004135FE">
        <w:rPr>
          <w:rFonts w:ascii="Times New Roman" w:eastAsiaTheme="minorHAnsi" w:hAnsi="Times New Roman" w:cs="Times New Roman"/>
          <w:iCs/>
          <w:sz w:val="28"/>
          <w:szCs w:val="28"/>
          <w:lang w:eastAsia="en-US"/>
        </w:rPr>
        <w:t xml:space="preserve"> </w:t>
      </w:r>
      <w:r w:rsidRPr="004135FE">
        <w:rPr>
          <w:rFonts w:ascii="Times New Roman" w:eastAsiaTheme="minorHAnsi" w:hAnsi="Times New Roman" w:cs="Times New Roman"/>
          <w:iCs/>
          <w:sz w:val="28"/>
          <w:szCs w:val="28"/>
          <w:vertAlign w:val="superscript"/>
          <w:lang w:eastAsia="en-US"/>
        </w:rPr>
        <w:t>станд</w:t>
      </w:r>
      <w:r w:rsidRPr="004135FE">
        <w:rPr>
          <w:rFonts w:ascii="Times New Roman" w:eastAsia="TimesNewRomanPSMT" w:hAnsi="Times New Roman" w:cs="Times New Roman"/>
          <w:sz w:val="28"/>
          <w:szCs w:val="28"/>
          <w:lang w:eastAsia="en-US"/>
        </w:rPr>
        <w:t>– доли соответствующих возрастных групп в структуре населения, принятого за стандарт;</w:t>
      </w:r>
    </w:p>
    <w:p w14:paraId="4274051B" w14:textId="77777777" w:rsidR="004461EE" w:rsidRPr="004135FE" w:rsidRDefault="004461EE" w:rsidP="004135FE">
      <w:pPr>
        <w:autoSpaceDE w:val="0"/>
        <w:autoSpaceDN w:val="0"/>
        <w:adjustRightInd w:val="0"/>
        <w:spacing w:after="0" w:line="240" w:lineRule="auto"/>
        <w:jc w:val="both"/>
        <w:rPr>
          <w:rFonts w:ascii="Times New Roman" w:eastAsia="TimesNewRomanPSMT" w:hAnsi="Times New Roman" w:cs="Times New Roman"/>
          <w:sz w:val="28"/>
          <w:szCs w:val="28"/>
          <w:lang w:eastAsia="en-US"/>
        </w:rPr>
      </w:pPr>
      <w:r w:rsidRPr="004135FE">
        <w:rPr>
          <w:rFonts w:ascii="Times New Roman" w:eastAsia="TimesNewRomanPSMT" w:hAnsi="Times New Roman" w:cs="Times New Roman"/>
          <w:sz w:val="28"/>
          <w:szCs w:val="28"/>
          <w:lang w:eastAsia="en-US"/>
        </w:rPr>
        <w:lastRenderedPageBreak/>
        <w:t xml:space="preserve"> </w:t>
      </w:r>
      <w:r w:rsidRPr="004135FE">
        <w:rPr>
          <w:rFonts w:ascii="Times New Roman" w:eastAsiaTheme="minorHAnsi" w:hAnsi="Times New Roman" w:cs="Times New Roman"/>
          <w:iCs/>
          <w:sz w:val="28"/>
          <w:szCs w:val="28"/>
          <w:lang w:eastAsia="en-US"/>
        </w:rPr>
        <w:t xml:space="preserve">Px </w:t>
      </w:r>
      <w:r w:rsidRPr="004135FE">
        <w:rPr>
          <w:rFonts w:ascii="Times New Roman" w:eastAsia="TimesNewRomanPSMT" w:hAnsi="Times New Roman" w:cs="Times New Roman"/>
          <w:sz w:val="28"/>
          <w:szCs w:val="28"/>
          <w:lang w:eastAsia="en-US"/>
        </w:rPr>
        <w:t xml:space="preserve">–среднегодовая численность населения в возрастной группе </w:t>
      </w:r>
      <w:r w:rsidRPr="004135FE">
        <w:rPr>
          <w:rFonts w:ascii="Times New Roman" w:eastAsiaTheme="minorHAnsi" w:hAnsi="Times New Roman" w:cs="Times New Roman"/>
          <w:iCs/>
          <w:sz w:val="28"/>
          <w:szCs w:val="28"/>
          <w:lang w:eastAsia="en-US"/>
        </w:rPr>
        <w:t xml:space="preserve">x </w:t>
      </w:r>
      <w:r w:rsidRPr="004135FE">
        <w:rPr>
          <w:rFonts w:ascii="Times New Roman" w:eastAsia="TimesNewRomanPSMT" w:hAnsi="Times New Roman" w:cs="Times New Roman"/>
          <w:sz w:val="28"/>
          <w:szCs w:val="28"/>
          <w:lang w:eastAsia="en-US"/>
        </w:rPr>
        <w:t xml:space="preserve">в изучаемой популяции; </w:t>
      </w:r>
    </w:p>
    <w:p w14:paraId="77F4C2DC" w14:textId="77777777" w:rsidR="004461EE" w:rsidRPr="004135FE" w:rsidRDefault="004461EE" w:rsidP="00431338">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iCs/>
          <w:sz w:val="28"/>
          <w:szCs w:val="28"/>
          <w:lang w:eastAsia="en-US"/>
        </w:rPr>
        <w:t xml:space="preserve">Sx </w:t>
      </w:r>
      <w:r w:rsidRPr="004135FE">
        <w:rPr>
          <w:rFonts w:ascii="Times New Roman" w:eastAsia="TimesNewRomanPSMT" w:hAnsi="Times New Roman" w:cs="Times New Roman"/>
          <w:sz w:val="28"/>
          <w:szCs w:val="28"/>
          <w:lang w:eastAsia="en-US"/>
        </w:rPr>
        <w:t xml:space="preserve">– число событий в возрастной группе </w:t>
      </w:r>
      <w:r w:rsidRPr="004135FE">
        <w:rPr>
          <w:rFonts w:ascii="Times New Roman" w:eastAsiaTheme="minorHAnsi" w:hAnsi="Times New Roman" w:cs="Times New Roman"/>
          <w:iCs/>
          <w:sz w:val="28"/>
          <w:szCs w:val="28"/>
          <w:lang w:eastAsia="en-US"/>
        </w:rPr>
        <w:t xml:space="preserve">x </w:t>
      </w:r>
      <w:r w:rsidRPr="004135FE">
        <w:rPr>
          <w:rFonts w:ascii="Times New Roman" w:eastAsia="TimesNewRomanPSMT" w:hAnsi="Times New Roman" w:cs="Times New Roman"/>
          <w:sz w:val="28"/>
          <w:szCs w:val="28"/>
          <w:lang w:eastAsia="en-US"/>
        </w:rPr>
        <w:t>в изучаемой популяции.</w:t>
      </w:r>
    </w:p>
    <w:p w14:paraId="03E45AE7" w14:textId="44A0FAD1" w:rsidR="004461EE" w:rsidRPr="004135FE" w:rsidRDefault="00431338" w:rsidP="00E10455">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w:t>
      </w:r>
      <w:r w:rsidR="004461EE" w:rsidRPr="004135FE">
        <w:rPr>
          <w:rFonts w:ascii="Times New Roman" w:eastAsiaTheme="minorHAnsi" w:hAnsi="Times New Roman" w:cs="Times New Roman"/>
          <w:sz w:val="28"/>
          <w:szCs w:val="28"/>
          <w:lang w:eastAsia="en-US"/>
        </w:rPr>
        <w:t xml:space="preserve"> При сравнении стандартизованных показателей по заболеваемости и смертности от основных неинфекционных хронических заболеваний с другими странами мира необходимо использовать мировой стандарт распределения количества населения (стандарт ВОЗ). </w:t>
      </w:r>
    </w:p>
    <w:p w14:paraId="6A7FEF76" w14:textId="3852AB57" w:rsidR="004461EE" w:rsidRPr="004135FE" w:rsidRDefault="00E10455" w:rsidP="00E10455">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w:t>
      </w:r>
      <w:r w:rsidR="004461EE" w:rsidRPr="004135FE">
        <w:rPr>
          <w:rFonts w:ascii="Times New Roman" w:eastAsiaTheme="minorHAnsi" w:hAnsi="Times New Roman" w:cs="Times New Roman"/>
          <w:sz w:val="28"/>
          <w:szCs w:val="28"/>
          <w:lang w:eastAsia="en-US"/>
        </w:rPr>
        <w:t xml:space="preserve"> При сравнении стандартизованных показателей по заболеваемости и смертности от основных неинфекционных хронических заболеваний различных регионов Республики Казахстан в качестве стандарта лучше использовать республиканские данные по количеству населения по возрастным группам за рассматриваемый год. </w:t>
      </w:r>
    </w:p>
    <w:p w14:paraId="49126DC4" w14:textId="214D61DD" w:rsidR="004461EE" w:rsidRPr="004135FE" w:rsidRDefault="00E10455" w:rsidP="00E10455">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w:t>
      </w:r>
      <w:r w:rsidR="004461EE" w:rsidRPr="004135FE">
        <w:rPr>
          <w:rFonts w:ascii="Times New Roman" w:eastAsiaTheme="minorHAnsi" w:hAnsi="Times New Roman" w:cs="Times New Roman"/>
          <w:sz w:val="28"/>
          <w:szCs w:val="28"/>
          <w:lang w:eastAsia="en-US"/>
        </w:rPr>
        <w:t xml:space="preserve"> При сравнении республиканских данных по заболеваемости и смертности от основных неинфекционных хронических заболеваний различных регионов Республики Казахстан в динамике в качестве стандарта лучше разработать единый стандарт, который необходимо пересматривать с периодичностью 1 раз в несколько лет. </w:t>
      </w:r>
    </w:p>
    <w:p w14:paraId="0847DEA4" w14:textId="3806AC50" w:rsidR="004461EE" w:rsidRPr="004135FE" w:rsidRDefault="004461EE" w:rsidP="00E10455">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 xml:space="preserve">Существуют проблемы выбора стандарта распределения количества населения по возрастным группам. </w:t>
      </w:r>
      <w:r w:rsidRPr="004135FE">
        <w:rPr>
          <w:rFonts w:ascii="Times New Roman" w:hAnsi="Times New Roman" w:cs="Times New Roman"/>
          <w:sz w:val="28"/>
          <w:szCs w:val="28"/>
        </w:rPr>
        <w:t>Сравнение мирового стандарта ВОЗ распределения количества населения с данными РК в 2018 году</w:t>
      </w:r>
      <w:r w:rsidR="00B53D2D" w:rsidRPr="004135FE">
        <w:rPr>
          <w:rFonts w:ascii="Times New Roman" w:hAnsi="Times New Roman" w:cs="Times New Roman"/>
          <w:sz w:val="28"/>
          <w:szCs w:val="28"/>
        </w:rPr>
        <w:t xml:space="preserve"> </w:t>
      </w:r>
      <w:r w:rsidRPr="004135FE">
        <w:rPr>
          <w:rFonts w:ascii="Times New Roman" w:hAnsi="Times New Roman" w:cs="Times New Roman"/>
          <w:sz w:val="28"/>
          <w:szCs w:val="28"/>
        </w:rPr>
        <w:t>[1</w:t>
      </w:r>
      <w:r w:rsidR="00205B83" w:rsidRPr="004135FE">
        <w:rPr>
          <w:rFonts w:ascii="Times New Roman" w:hAnsi="Times New Roman" w:cs="Times New Roman"/>
          <w:sz w:val="28"/>
          <w:szCs w:val="28"/>
        </w:rPr>
        <w:t>58</w:t>
      </w:r>
      <w:r w:rsidRPr="004135FE">
        <w:rPr>
          <w:rFonts w:ascii="Times New Roman" w:hAnsi="Times New Roman" w:cs="Times New Roman"/>
          <w:sz w:val="28"/>
          <w:szCs w:val="28"/>
        </w:rPr>
        <w:t>]:</w:t>
      </w:r>
    </w:p>
    <w:p w14:paraId="4834EF00" w14:textId="052321B2" w:rsidR="004461EE" w:rsidRPr="004135FE" w:rsidRDefault="004461EE" w:rsidP="00E10455">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1</w:t>
      </w:r>
      <w:r w:rsidR="00E10455">
        <w:rPr>
          <w:rFonts w:ascii="Times New Roman" w:eastAsiaTheme="minorHAnsi" w:hAnsi="Times New Roman" w:cs="Times New Roman"/>
          <w:sz w:val="28"/>
          <w:szCs w:val="28"/>
          <w:lang w:eastAsia="en-US"/>
        </w:rPr>
        <w:t>)</w:t>
      </w:r>
      <w:r w:rsidRPr="004135FE">
        <w:rPr>
          <w:rFonts w:ascii="Times New Roman" w:eastAsiaTheme="minorHAnsi" w:hAnsi="Times New Roman" w:cs="Times New Roman"/>
          <w:sz w:val="28"/>
          <w:szCs w:val="28"/>
          <w:lang w:eastAsia="en-US"/>
        </w:rPr>
        <w:t xml:space="preserve"> В мировом стандарте ВОЗ группу 0-4 разбивают на 2 группы: - до 1 года и от 1 до 4 лет. Нам не удалось получить все необходимые данные в такой разбивке. Поэтому мы объединили нескольких из них в одну возрастную группу. </w:t>
      </w:r>
    </w:p>
    <w:p w14:paraId="31C1C066" w14:textId="692A2D62" w:rsidR="004461EE" w:rsidRPr="004135FE" w:rsidRDefault="004461EE" w:rsidP="00E10455">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2</w:t>
      </w:r>
      <w:r w:rsidR="00E10455">
        <w:rPr>
          <w:rFonts w:ascii="Times New Roman" w:eastAsiaTheme="minorHAnsi" w:hAnsi="Times New Roman" w:cs="Times New Roman"/>
          <w:sz w:val="28"/>
          <w:szCs w:val="28"/>
          <w:lang w:eastAsia="en-US"/>
        </w:rPr>
        <w:t>)</w:t>
      </w:r>
      <w:r w:rsidRPr="004135FE">
        <w:rPr>
          <w:rFonts w:ascii="Times New Roman" w:eastAsiaTheme="minorHAnsi" w:hAnsi="Times New Roman" w:cs="Times New Roman"/>
          <w:sz w:val="28"/>
          <w:szCs w:val="28"/>
          <w:lang w:eastAsia="en-US"/>
        </w:rPr>
        <w:t xml:space="preserve"> На данный момент отсутствует казахстанский стандарт распределения количества населения по возрастным группам, поэтому предлагается использовать в качестве стандарта республиканские данные за текущий год. Однако этот подход затрудняет сравнение данных между годами. </w:t>
      </w:r>
    </w:p>
    <w:p w14:paraId="70FEC405" w14:textId="40D9BC0C" w:rsidR="004461EE" w:rsidRPr="004135FE" w:rsidRDefault="004461EE" w:rsidP="00E10455">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В нашем случаи мы выбрали прямой метод стандартизации и использовали метод стандартизации при имеющихся различии в составе сравниваемых совокупностей (среды), которые могут повлиять на размеры общих коэффициентов. То-есть, сравнение общей заболеваемости СД2т населения в районах г. Алматы с разным составом населения по возрасту по годам с 2012-2021</w:t>
      </w:r>
      <w:r w:rsidR="00E10455">
        <w:rPr>
          <w:rFonts w:ascii="Times New Roman" w:eastAsiaTheme="minorHAnsi" w:hAnsi="Times New Roman" w:cs="Times New Roman"/>
          <w:sz w:val="28"/>
          <w:szCs w:val="28"/>
          <w:lang w:eastAsia="en-US"/>
        </w:rPr>
        <w:t xml:space="preserve"> гг.</w:t>
      </w:r>
      <w:r w:rsidRPr="004135FE">
        <w:rPr>
          <w:rFonts w:ascii="Times New Roman" w:eastAsiaTheme="minorHAnsi" w:hAnsi="Times New Roman" w:cs="Times New Roman"/>
          <w:sz w:val="28"/>
          <w:szCs w:val="28"/>
          <w:lang w:eastAsia="en-US"/>
        </w:rPr>
        <w:t xml:space="preserve">. </w:t>
      </w:r>
    </w:p>
    <w:p w14:paraId="78B2F224" w14:textId="77777777" w:rsidR="004461EE" w:rsidRPr="004135FE" w:rsidRDefault="004461EE" w:rsidP="004135FE">
      <w:pPr>
        <w:autoSpaceDE w:val="0"/>
        <w:autoSpaceDN w:val="0"/>
        <w:adjustRightInd w:val="0"/>
        <w:spacing w:after="0" w:line="240" w:lineRule="auto"/>
        <w:ind w:firstLine="708"/>
        <w:rPr>
          <w:rFonts w:ascii="Times New Roman" w:eastAsiaTheme="minorHAnsi" w:hAnsi="Times New Roman" w:cs="Times New Roman"/>
          <w:sz w:val="28"/>
          <w:szCs w:val="28"/>
          <w:lang w:eastAsia="en-US"/>
        </w:rPr>
      </w:pPr>
      <w:r w:rsidRPr="004135FE">
        <w:rPr>
          <w:rFonts w:ascii="Times New Roman" w:eastAsia="Times New Roman" w:hAnsi="Times New Roman" w:cs="Times New Roman"/>
          <w:bCs/>
          <w:sz w:val="28"/>
          <w:szCs w:val="28"/>
        </w:rPr>
        <w:t>Прямой метод стандартизации показателей состоял из 5 этапов:</w:t>
      </w:r>
    </w:p>
    <w:p w14:paraId="040058E0" w14:textId="3D70E932" w:rsidR="004461EE" w:rsidRPr="004135FE" w:rsidRDefault="004461EE" w:rsidP="00E10455">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1 этап. Вычисление показателей заболеваемости для каждого района по возрастным группам. Р</w:t>
      </w:r>
      <w:r w:rsidRPr="004135FE">
        <w:rPr>
          <w:rFonts w:ascii="Times New Roman" w:eastAsia="Times New Roman" w:hAnsi="Times New Roman" w:cs="Times New Roman"/>
          <w:bCs/>
          <w:sz w:val="28"/>
          <w:szCs w:val="28"/>
        </w:rPr>
        <w:t>асчет интенсивных показателей общей заболеваемости СД2т по районам</w:t>
      </w:r>
      <w:r w:rsidRPr="004135FE">
        <w:rPr>
          <w:rFonts w:ascii="Times New Roman" w:hAnsi="Times New Roman" w:cs="Times New Roman"/>
          <w:sz w:val="28"/>
          <w:szCs w:val="28"/>
        </w:rPr>
        <w:t xml:space="preserve"> </w:t>
      </w:r>
      <w:r w:rsidRPr="004135FE">
        <w:rPr>
          <w:rFonts w:ascii="Times New Roman" w:eastAsiaTheme="minorHAnsi" w:hAnsi="Times New Roman" w:cs="Times New Roman"/>
          <w:sz w:val="28"/>
          <w:szCs w:val="28"/>
          <w:lang w:eastAsia="en-US"/>
        </w:rPr>
        <w:t xml:space="preserve">для каждой возрастной группы больных, использованы </w:t>
      </w:r>
      <w:r w:rsidR="00737DEA" w:rsidRPr="004135FE">
        <w:rPr>
          <w:rFonts w:ascii="Times New Roman" w:eastAsiaTheme="minorHAnsi" w:hAnsi="Times New Roman" w:cs="Times New Roman"/>
          <w:sz w:val="28"/>
          <w:szCs w:val="28"/>
          <w:lang w:eastAsia="en-US"/>
        </w:rPr>
        <w:t xml:space="preserve">таблицы </w:t>
      </w:r>
      <w:r w:rsidR="00B728EF" w:rsidRPr="004135FE">
        <w:rPr>
          <w:rFonts w:ascii="Times New Roman" w:eastAsiaTheme="minorHAnsi" w:hAnsi="Times New Roman" w:cs="Times New Roman"/>
          <w:sz w:val="28"/>
          <w:szCs w:val="28"/>
          <w:lang w:eastAsia="en-US"/>
        </w:rPr>
        <w:t>55-57</w:t>
      </w:r>
      <w:r w:rsidR="00DB4AAE" w:rsidRPr="004135FE">
        <w:rPr>
          <w:rFonts w:ascii="Times New Roman" w:eastAsiaTheme="minorHAnsi" w:hAnsi="Times New Roman" w:cs="Times New Roman"/>
          <w:sz w:val="28"/>
          <w:szCs w:val="28"/>
          <w:lang w:val="kk-KZ" w:eastAsia="en-US"/>
        </w:rPr>
        <w:t xml:space="preserve"> (</w:t>
      </w:r>
      <w:r w:rsidR="001574BA" w:rsidRPr="004135FE">
        <w:rPr>
          <w:rFonts w:ascii="Times New Roman" w:eastAsiaTheme="minorHAnsi" w:hAnsi="Times New Roman" w:cs="Times New Roman"/>
          <w:sz w:val="28"/>
          <w:szCs w:val="28"/>
          <w:lang w:val="kk-KZ" w:eastAsia="en-US"/>
        </w:rPr>
        <w:t xml:space="preserve">приложение </w:t>
      </w:r>
      <w:r w:rsidR="00DB4AAE" w:rsidRPr="004135FE">
        <w:rPr>
          <w:rFonts w:ascii="Times New Roman" w:eastAsiaTheme="minorHAnsi" w:hAnsi="Times New Roman" w:cs="Times New Roman"/>
          <w:sz w:val="28"/>
          <w:szCs w:val="28"/>
          <w:lang w:val="kk-KZ" w:eastAsia="en-US"/>
        </w:rPr>
        <w:t>А</w:t>
      </w:r>
      <w:r w:rsidR="00DB4AAE" w:rsidRPr="004135FE">
        <w:rPr>
          <w:rFonts w:ascii="Times New Roman" w:eastAsiaTheme="minorHAnsi" w:hAnsi="Times New Roman" w:cs="Times New Roman"/>
          <w:sz w:val="28"/>
          <w:szCs w:val="28"/>
          <w:lang w:eastAsia="en-US"/>
        </w:rPr>
        <w:t>)</w:t>
      </w:r>
      <w:r w:rsidRPr="004135FE">
        <w:rPr>
          <w:rFonts w:ascii="Times New Roman" w:eastAsiaTheme="minorHAnsi" w:hAnsi="Times New Roman" w:cs="Times New Roman"/>
          <w:sz w:val="28"/>
          <w:szCs w:val="28"/>
          <w:lang w:eastAsia="en-US"/>
        </w:rPr>
        <w:t>.</w:t>
      </w:r>
    </w:p>
    <w:p w14:paraId="1C5E3E5A" w14:textId="77777777" w:rsidR="004461EE" w:rsidRPr="004135FE" w:rsidRDefault="004461EE" w:rsidP="00E10455">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 xml:space="preserve">2 этап. </w:t>
      </w:r>
      <w:r w:rsidRPr="004135FE">
        <w:rPr>
          <w:rFonts w:ascii="Times New Roman" w:eastAsia="Times New Roman" w:hAnsi="Times New Roman" w:cs="Times New Roman"/>
          <w:sz w:val="28"/>
          <w:szCs w:val="28"/>
        </w:rPr>
        <w:t>Выбор и расчет стандарта.</w:t>
      </w:r>
      <w:r w:rsidRPr="004135FE">
        <w:rPr>
          <w:rFonts w:ascii="Times New Roman" w:eastAsiaTheme="minorHAnsi" w:hAnsi="Times New Roman" w:cs="Times New Roman"/>
          <w:sz w:val="28"/>
          <w:szCs w:val="28"/>
          <w:lang w:eastAsia="en-US"/>
        </w:rPr>
        <w:t xml:space="preserve"> Число принятый за стандарт для групп по возрасту и районов г.Алматы, средний состав групп, вместе взятых </w:t>
      </w:r>
    </w:p>
    <w:p w14:paraId="668AC647" w14:textId="77777777" w:rsidR="004461EE" w:rsidRPr="004135FE" w:rsidRDefault="004461EE" w:rsidP="00E10455">
      <w:pPr>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 xml:space="preserve">3 этап. Расчет </w:t>
      </w:r>
      <w:r w:rsidRPr="004135FE">
        <w:rPr>
          <w:rFonts w:ascii="Times New Roman" w:eastAsia="Times New Roman" w:hAnsi="Times New Roman" w:cs="Times New Roman"/>
          <w:sz w:val="28"/>
          <w:szCs w:val="28"/>
        </w:rPr>
        <w:t xml:space="preserve">«ожидаемых величин» заболеваемости для каждой группы стандарта на 1000 человек </w:t>
      </w:r>
      <w:r w:rsidRPr="004135FE">
        <w:rPr>
          <w:rFonts w:ascii="Times New Roman" w:eastAsiaTheme="minorHAnsi" w:hAnsi="Times New Roman" w:cs="Times New Roman"/>
          <w:sz w:val="28"/>
          <w:szCs w:val="28"/>
          <w:lang w:eastAsia="en-US"/>
        </w:rPr>
        <w:t xml:space="preserve">(в программе </w:t>
      </w:r>
      <w:r w:rsidRPr="004135FE">
        <w:rPr>
          <w:rFonts w:ascii="Times New Roman" w:eastAsiaTheme="minorHAnsi" w:hAnsi="Times New Roman" w:cs="Times New Roman"/>
          <w:sz w:val="28"/>
          <w:szCs w:val="28"/>
          <w:lang w:val="en-US" w:eastAsia="en-US"/>
        </w:rPr>
        <w:t>Excel</w:t>
      </w:r>
      <w:r w:rsidRPr="004135FE">
        <w:rPr>
          <w:rFonts w:ascii="Times New Roman" w:eastAsiaTheme="minorHAnsi" w:hAnsi="Times New Roman" w:cs="Times New Roman"/>
          <w:sz w:val="28"/>
          <w:szCs w:val="28"/>
          <w:lang w:eastAsia="en-US"/>
        </w:rPr>
        <w:t xml:space="preserve"> проведена расчет, сколько </w:t>
      </w:r>
      <w:r w:rsidRPr="004135FE">
        <w:rPr>
          <w:rFonts w:ascii="Times New Roman" w:eastAsiaTheme="minorHAnsi" w:hAnsi="Times New Roman" w:cs="Times New Roman"/>
          <w:sz w:val="28"/>
          <w:szCs w:val="28"/>
          <w:lang w:eastAsia="en-US"/>
        </w:rPr>
        <w:lastRenderedPageBreak/>
        <w:t>должно заболеть по районам каждой возрастной группе, если бы возрастная структура больных была бы как в стандарте)</w:t>
      </w:r>
    </w:p>
    <w:p w14:paraId="74E58BD9" w14:textId="77777777" w:rsidR="004461EE" w:rsidRPr="004135FE" w:rsidRDefault="004461EE" w:rsidP="00E10455">
      <w:pPr>
        <w:autoSpaceDE w:val="0"/>
        <w:autoSpaceDN w:val="0"/>
        <w:adjustRightInd w:val="0"/>
        <w:spacing w:after="0" w:line="240" w:lineRule="auto"/>
        <w:ind w:firstLine="709"/>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4 этап. Расчет стандартизованного показателя заболеваемости</w:t>
      </w:r>
      <w:r w:rsidRPr="004135FE">
        <w:rPr>
          <w:rFonts w:ascii="Times New Roman" w:eastAsia="Times New Roman" w:hAnsi="Times New Roman" w:cs="Times New Roman"/>
          <w:sz w:val="28"/>
          <w:szCs w:val="28"/>
        </w:rPr>
        <w:t xml:space="preserve"> на 1000 человек</w:t>
      </w:r>
      <w:r w:rsidRPr="004135FE">
        <w:rPr>
          <w:rFonts w:ascii="Times New Roman" w:eastAsiaTheme="minorHAnsi" w:hAnsi="Times New Roman" w:cs="Times New Roman"/>
          <w:sz w:val="28"/>
          <w:szCs w:val="28"/>
          <w:lang w:eastAsia="en-US"/>
        </w:rPr>
        <w:t xml:space="preserve">. </w:t>
      </w:r>
    </w:p>
    <w:p w14:paraId="2532FFEA" w14:textId="77777777" w:rsidR="004461EE" w:rsidRPr="004135FE" w:rsidRDefault="004461EE" w:rsidP="00E10455">
      <w:pPr>
        <w:autoSpaceDE w:val="0"/>
        <w:autoSpaceDN w:val="0"/>
        <w:adjustRightInd w:val="0"/>
        <w:spacing w:after="0" w:line="240" w:lineRule="auto"/>
        <w:ind w:firstLine="709"/>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 xml:space="preserve">5 этап. Сравнение групп по стандартизированным показателям. </w:t>
      </w:r>
    </w:p>
    <w:p w14:paraId="33739CF4" w14:textId="4B70C699" w:rsidR="004461EE" w:rsidRPr="004135FE" w:rsidRDefault="004461EE" w:rsidP="004135FE">
      <w:pPr>
        <w:spacing w:after="0" w:line="240" w:lineRule="auto"/>
        <w:ind w:firstLine="708"/>
        <w:jc w:val="both"/>
        <w:rPr>
          <w:rFonts w:ascii="Times New Roman" w:hAnsi="Times New Roman" w:cs="Times New Roman"/>
          <w:b/>
          <w:sz w:val="28"/>
          <w:szCs w:val="28"/>
        </w:rPr>
      </w:pPr>
      <w:r w:rsidRPr="00E10455">
        <w:rPr>
          <w:rFonts w:ascii="Times New Roman" w:hAnsi="Times New Roman" w:cs="Times New Roman"/>
          <w:bCs/>
          <w:sz w:val="28"/>
          <w:szCs w:val="28"/>
          <w:lang w:eastAsia="en-US"/>
        </w:rPr>
        <w:t>Математическое прогнозирование</w:t>
      </w:r>
      <w:r w:rsidRPr="004135FE">
        <w:rPr>
          <w:rFonts w:ascii="Times New Roman" w:hAnsi="Times New Roman" w:cs="Times New Roman"/>
          <w:sz w:val="28"/>
          <w:szCs w:val="28"/>
          <w:lang w:eastAsia="en-US"/>
        </w:rPr>
        <w:t xml:space="preserve"> использовалась для расчета распространенности СД2т </w:t>
      </w:r>
      <w:r w:rsidRPr="004135FE">
        <w:rPr>
          <w:rFonts w:ascii="Times New Roman" w:hAnsi="Times New Roman" w:cs="Times New Roman"/>
          <w:sz w:val="28"/>
          <w:szCs w:val="28"/>
        </w:rPr>
        <w:t>общего</w:t>
      </w:r>
      <w:r w:rsidRPr="004135FE">
        <w:rPr>
          <w:rFonts w:ascii="Times New Roman" w:hAnsi="Times New Roman" w:cs="Times New Roman"/>
          <w:b/>
          <w:sz w:val="28"/>
          <w:szCs w:val="28"/>
        </w:rPr>
        <w:t xml:space="preserve"> </w:t>
      </w:r>
      <w:r w:rsidRPr="004135FE">
        <w:rPr>
          <w:rFonts w:ascii="Times New Roman" w:hAnsi="Times New Roman" w:cs="Times New Roman"/>
          <w:sz w:val="28"/>
          <w:szCs w:val="28"/>
        </w:rPr>
        <w:t>населения и по половым признакам</w:t>
      </w:r>
      <w:r w:rsidRPr="004135FE">
        <w:rPr>
          <w:rFonts w:ascii="Times New Roman" w:hAnsi="Times New Roman" w:cs="Times New Roman"/>
          <w:b/>
          <w:sz w:val="28"/>
          <w:szCs w:val="28"/>
        </w:rPr>
        <w:t xml:space="preserve"> </w:t>
      </w:r>
      <w:r w:rsidRPr="004135FE">
        <w:rPr>
          <w:rFonts w:ascii="Times New Roman" w:hAnsi="Times New Roman" w:cs="Times New Roman"/>
          <w:sz w:val="28"/>
          <w:szCs w:val="28"/>
          <w:lang w:eastAsia="en-US"/>
        </w:rPr>
        <w:t xml:space="preserve">по </w:t>
      </w:r>
      <w:r w:rsidR="00E10455">
        <w:rPr>
          <w:rFonts w:ascii="Times New Roman" w:hAnsi="Times New Roman" w:cs="Times New Roman"/>
          <w:sz w:val="28"/>
          <w:szCs w:val="28"/>
          <w:lang w:eastAsia="en-US"/>
        </w:rPr>
        <w:t xml:space="preserve">                   </w:t>
      </w:r>
      <w:r w:rsidRPr="004135FE">
        <w:rPr>
          <w:rFonts w:ascii="Times New Roman" w:hAnsi="Times New Roman" w:cs="Times New Roman"/>
          <w:sz w:val="28"/>
          <w:szCs w:val="28"/>
          <w:lang w:eastAsia="en-US"/>
        </w:rPr>
        <w:t>г</w:t>
      </w:r>
      <w:r w:rsidR="00E10455">
        <w:rPr>
          <w:rFonts w:ascii="Times New Roman" w:hAnsi="Times New Roman" w:cs="Times New Roman"/>
          <w:sz w:val="28"/>
          <w:szCs w:val="28"/>
          <w:lang w:eastAsia="en-US"/>
        </w:rPr>
        <w:t>.</w:t>
      </w:r>
      <w:r w:rsidRPr="004135FE">
        <w:rPr>
          <w:rFonts w:ascii="Times New Roman" w:hAnsi="Times New Roman" w:cs="Times New Roman"/>
          <w:sz w:val="28"/>
          <w:szCs w:val="28"/>
          <w:lang w:eastAsia="en-US"/>
        </w:rPr>
        <w:t xml:space="preserve"> Алматы </w:t>
      </w:r>
      <w:r w:rsidR="0086037A" w:rsidRPr="004135FE">
        <w:rPr>
          <w:rFonts w:ascii="Times New Roman" w:hAnsi="Times New Roman" w:cs="Times New Roman"/>
          <w:sz w:val="28"/>
          <w:szCs w:val="28"/>
          <w:lang w:eastAsia="en-US"/>
        </w:rPr>
        <w:t>на 2 периода к</w:t>
      </w:r>
      <w:r w:rsidRPr="004135FE">
        <w:rPr>
          <w:rFonts w:ascii="Times New Roman" w:hAnsi="Times New Roman" w:cs="Times New Roman"/>
          <w:sz w:val="28"/>
          <w:szCs w:val="28"/>
          <w:lang w:eastAsia="en-US"/>
        </w:rPr>
        <w:t xml:space="preserve"> 202</w:t>
      </w:r>
      <w:r w:rsidR="0086037A" w:rsidRPr="004135FE">
        <w:rPr>
          <w:rFonts w:ascii="Times New Roman" w:hAnsi="Times New Roman" w:cs="Times New Roman"/>
          <w:sz w:val="28"/>
          <w:szCs w:val="28"/>
          <w:lang w:eastAsia="en-US"/>
        </w:rPr>
        <w:t>3</w:t>
      </w:r>
      <w:r w:rsidR="00E10455">
        <w:rPr>
          <w:rFonts w:ascii="Times New Roman" w:hAnsi="Times New Roman" w:cs="Times New Roman"/>
          <w:sz w:val="28"/>
          <w:szCs w:val="28"/>
          <w:lang w:eastAsia="en-US"/>
        </w:rPr>
        <w:t xml:space="preserve"> </w:t>
      </w:r>
      <w:r w:rsidRPr="004135FE">
        <w:rPr>
          <w:rFonts w:ascii="Times New Roman" w:hAnsi="Times New Roman" w:cs="Times New Roman"/>
          <w:sz w:val="28"/>
          <w:szCs w:val="28"/>
          <w:lang w:eastAsia="en-US"/>
        </w:rPr>
        <w:t>г</w:t>
      </w:r>
      <w:r w:rsidR="00E10455">
        <w:rPr>
          <w:rFonts w:ascii="Times New Roman" w:hAnsi="Times New Roman" w:cs="Times New Roman"/>
          <w:sz w:val="28"/>
          <w:szCs w:val="28"/>
          <w:lang w:eastAsia="en-US"/>
        </w:rPr>
        <w:t>.</w:t>
      </w:r>
      <w:r w:rsidRPr="004135FE">
        <w:rPr>
          <w:rFonts w:ascii="Times New Roman" w:hAnsi="Times New Roman" w:cs="Times New Roman"/>
          <w:sz w:val="28"/>
          <w:szCs w:val="28"/>
          <w:lang w:eastAsia="en-US"/>
        </w:rPr>
        <w:t xml:space="preserve"> с использованием </w:t>
      </w:r>
      <w:r w:rsidR="000C18EF" w:rsidRPr="004135FE">
        <w:rPr>
          <w:rFonts w:ascii="Times New Roman" w:hAnsi="Times New Roman" w:cs="Times New Roman"/>
          <w:sz w:val="28"/>
          <w:szCs w:val="28"/>
          <w:lang w:eastAsia="en-US"/>
        </w:rPr>
        <w:t xml:space="preserve">отчетных </w:t>
      </w:r>
      <w:r w:rsidRPr="004135FE">
        <w:rPr>
          <w:rFonts w:ascii="Times New Roman" w:hAnsi="Times New Roman" w:cs="Times New Roman"/>
          <w:sz w:val="28"/>
          <w:szCs w:val="28"/>
          <w:lang w:eastAsia="en-US"/>
        </w:rPr>
        <w:t>данных НРСД с 2012</w:t>
      </w:r>
      <w:r w:rsidR="00E10455">
        <w:rPr>
          <w:rFonts w:ascii="Times New Roman" w:hAnsi="Times New Roman" w:cs="Times New Roman"/>
          <w:sz w:val="28"/>
          <w:szCs w:val="28"/>
          <w:lang w:eastAsia="en-US"/>
        </w:rPr>
        <w:t xml:space="preserve"> </w:t>
      </w:r>
      <w:r w:rsidRPr="004135FE">
        <w:rPr>
          <w:rFonts w:ascii="Times New Roman" w:hAnsi="Times New Roman" w:cs="Times New Roman"/>
          <w:sz w:val="28"/>
          <w:szCs w:val="28"/>
          <w:lang w:eastAsia="en-US"/>
        </w:rPr>
        <w:t>г</w:t>
      </w:r>
      <w:r w:rsidR="00E10455">
        <w:rPr>
          <w:rFonts w:ascii="Times New Roman" w:hAnsi="Times New Roman" w:cs="Times New Roman"/>
          <w:sz w:val="28"/>
          <w:szCs w:val="28"/>
          <w:lang w:eastAsia="en-US"/>
        </w:rPr>
        <w:t>.</w:t>
      </w:r>
      <w:r w:rsidRPr="004135FE">
        <w:rPr>
          <w:rFonts w:ascii="Times New Roman" w:hAnsi="Times New Roman" w:cs="Times New Roman"/>
          <w:sz w:val="28"/>
          <w:szCs w:val="28"/>
          <w:lang w:eastAsia="en-US"/>
        </w:rPr>
        <w:t xml:space="preserve"> по</w:t>
      </w:r>
      <w:r w:rsidR="00E10455">
        <w:rPr>
          <w:rFonts w:ascii="Times New Roman" w:hAnsi="Times New Roman" w:cs="Times New Roman"/>
          <w:sz w:val="28"/>
          <w:szCs w:val="28"/>
          <w:lang w:eastAsia="en-US"/>
        </w:rPr>
        <w:t xml:space="preserve"> </w:t>
      </w:r>
      <w:r w:rsidRPr="004135FE">
        <w:rPr>
          <w:rFonts w:ascii="Times New Roman" w:hAnsi="Times New Roman" w:cs="Times New Roman"/>
          <w:sz w:val="28"/>
          <w:szCs w:val="28"/>
          <w:lang w:eastAsia="en-US"/>
        </w:rPr>
        <w:t>2021</w:t>
      </w:r>
      <w:r w:rsidR="00E10455">
        <w:rPr>
          <w:rFonts w:ascii="Times New Roman" w:hAnsi="Times New Roman" w:cs="Times New Roman"/>
          <w:sz w:val="28"/>
          <w:szCs w:val="28"/>
          <w:lang w:eastAsia="en-US"/>
        </w:rPr>
        <w:t xml:space="preserve"> </w:t>
      </w:r>
      <w:r w:rsidRPr="004135FE">
        <w:rPr>
          <w:rFonts w:ascii="Times New Roman" w:hAnsi="Times New Roman" w:cs="Times New Roman"/>
          <w:sz w:val="28"/>
          <w:szCs w:val="28"/>
          <w:lang w:eastAsia="en-US"/>
        </w:rPr>
        <w:t>г</w:t>
      </w:r>
      <w:r w:rsidR="00E10455">
        <w:rPr>
          <w:rFonts w:ascii="Times New Roman" w:hAnsi="Times New Roman" w:cs="Times New Roman"/>
          <w:sz w:val="28"/>
          <w:szCs w:val="28"/>
          <w:lang w:eastAsia="en-US"/>
        </w:rPr>
        <w:t>.</w:t>
      </w:r>
      <w:r w:rsidRPr="004135FE">
        <w:rPr>
          <w:rFonts w:ascii="Times New Roman" w:hAnsi="Times New Roman" w:cs="Times New Roman"/>
          <w:sz w:val="28"/>
          <w:szCs w:val="28"/>
          <w:lang w:eastAsia="en-US"/>
        </w:rPr>
        <w:t xml:space="preserve"> по методу линейной регрессии. Так же математическое прогнозирование применялась для прогноза </w:t>
      </w:r>
      <w:r w:rsidRPr="004135FE">
        <w:rPr>
          <w:rFonts w:ascii="Times New Roman" w:eastAsiaTheme="minorHAnsi" w:hAnsi="Times New Roman" w:cs="Times New Roman"/>
          <w:bCs/>
          <w:sz w:val="28"/>
          <w:szCs w:val="28"/>
          <w:lang w:val="kk-KZ" w:eastAsia="en-US"/>
        </w:rPr>
        <w:t xml:space="preserve">стоимости </w:t>
      </w:r>
      <w:r w:rsidRPr="004135FE">
        <w:rPr>
          <w:rFonts w:ascii="Times New Roman" w:eastAsiaTheme="minorHAnsi" w:hAnsi="Times New Roman" w:cs="Times New Roman"/>
          <w:bCs/>
          <w:sz w:val="28"/>
          <w:szCs w:val="28"/>
          <w:lang w:eastAsia="en-US"/>
        </w:rPr>
        <w:t xml:space="preserve">рецептов, обеспечивающие ЛС и </w:t>
      </w:r>
      <w:r w:rsidRPr="004135FE">
        <w:rPr>
          <w:rFonts w:ascii="Times New Roman" w:eastAsiaTheme="minorHAnsi" w:hAnsi="Times New Roman" w:cs="Times New Roman"/>
          <w:bCs/>
          <w:sz w:val="28"/>
          <w:szCs w:val="28"/>
          <w:lang w:val="kk-KZ" w:eastAsia="en-US"/>
        </w:rPr>
        <w:t>с</w:t>
      </w:r>
      <w:r w:rsidRPr="004135FE">
        <w:rPr>
          <w:rFonts w:ascii="Times New Roman" w:eastAsiaTheme="minorHAnsi" w:hAnsi="Times New Roman" w:cs="Times New Roman"/>
          <w:bCs/>
          <w:sz w:val="28"/>
          <w:szCs w:val="28"/>
          <w:lang w:eastAsia="en-US"/>
        </w:rPr>
        <w:t>уммы средств, на обеспечение ЛС из расчета на 1 па</w:t>
      </w:r>
      <w:r w:rsidR="0086037A" w:rsidRPr="004135FE">
        <w:rPr>
          <w:rFonts w:ascii="Times New Roman" w:eastAsiaTheme="minorHAnsi" w:hAnsi="Times New Roman" w:cs="Times New Roman"/>
          <w:bCs/>
          <w:sz w:val="28"/>
          <w:szCs w:val="28"/>
          <w:lang w:eastAsia="en-US"/>
        </w:rPr>
        <w:t>циента по СД по г Алматы к 2023</w:t>
      </w:r>
      <w:r w:rsidR="00E10455">
        <w:rPr>
          <w:rFonts w:ascii="Times New Roman" w:eastAsiaTheme="minorHAnsi" w:hAnsi="Times New Roman" w:cs="Times New Roman"/>
          <w:bCs/>
          <w:sz w:val="28"/>
          <w:szCs w:val="28"/>
          <w:lang w:eastAsia="en-US"/>
        </w:rPr>
        <w:t xml:space="preserve"> </w:t>
      </w:r>
      <w:r w:rsidRPr="004135FE">
        <w:rPr>
          <w:rFonts w:ascii="Times New Roman" w:eastAsiaTheme="minorHAnsi" w:hAnsi="Times New Roman" w:cs="Times New Roman"/>
          <w:bCs/>
          <w:sz w:val="28"/>
          <w:szCs w:val="28"/>
          <w:lang w:eastAsia="en-US"/>
        </w:rPr>
        <w:t>г</w:t>
      </w:r>
      <w:r w:rsidR="00E10455">
        <w:rPr>
          <w:rFonts w:ascii="Times New Roman" w:eastAsiaTheme="minorHAnsi" w:hAnsi="Times New Roman" w:cs="Times New Roman"/>
          <w:bCs/>
          <w:sz w:val="28"/>
          <w:szCs w:val="28"/>
          <w:lang w:eastAsia="en-US"/>
        </w:rPr>
        <w:t>.</w:t>
      </w:r>
      <w:r w:rsidRPr="004135FE">
        <w:rPr>
          <w:rFonts w:ascii="Times New Roman" w:eastAsiaTheme="minorHAnsi" w:hAnsi="Times New Roman" w:cs="Times New Roman"/>
          <w:bCs/>
          <w:sz w:val="28"/>
          <w:szCs w:val="28"/>
          <w:lang w:eastAsia="en-US"/>
        </w:rPr>
        <w:t xml:space="preserve"> по </w:t>
      </w:r>
      <w:r w:rsidR="000C18EF" w:rsidRPr="004135FE">
        <w:rPr>
          <w:rFonts w:ascii="Times New Roman" w:eastAsiaTheme="minorHAnsi" w:hAnsi="Times New Roman" w:cs="Times New Roman"/>
          <w:bCs/>
          <w:sz w:val="28"/>
          <w:szCs w:val="28"/>
          <w:lang w:eastAsia="en-US"/>
        </w:rPr>
        <w:t xml:space="preserve">отчетным </w:t>
      </w:r>
      <w:r w:rsidRPr="004135FE">
        <w:rPr>
          <w:rFonts w:ascii="Times New Roman" w:eastAsiaTheme="minorHAnsi" w:hAnsi="Times New Roman" w:cs="Times New Roman"/>
          <w:bCs/>
          <w:sz w:val="28"/>
          <w:szCs w:val="28"/>
          <w:lang w:eastAsia="en-US"/>
        </w:rPr>
        <w:t>данным ИСЛО с 2015</w:t>
      </w:r>
      <w:r w:rsidR="00E10455">
        <w:rPr>
          <w:rFonts w:ascii="Times New Roman" w:eastAsiaTheme="minorHAnsi" w:hAnsi="Times New Roman" w:cs="Times New Roman"/>
          <w:bCs/>
          <w:sz w:val="28"/>
          <w:szCs w:val="28"/>
          <w:lang w:eastAsia="en-US"/>
        </w:rPr>
        <w:t xml:space="preserve"> </w:t>
      </w:r>
      <w:r w:rsidRPr="004135FE">
        <w:rPr>
          <w:rFonts w:ascii="Times New Roman" w:eastAsiaTheme="minorHAnsi" w:hAnsi="Times New Roman" w:cs="Times New Roman"/>
          <w:bCs/>
          <w:sz w:val="28"/>
          <w:szCs w:val="28"/>
          <w:lang w:eastAsia="en-US"/>
        </w:rPr>
        <w:t>г</w:t>
      </w:r>
      <w:r w:rsidR="00E10455">
        <w:rPr>
          <w:rFonts w:ascii="Times New Roman" w:eastAsiaTheme="minorHAnsi" w:hAnsi="Times New Roman" w:cs="Times New Roman"/>
          <w:bCs/>
          <w:sz w:val="28"/>
          <w:szCs w:val="28"/>
          <w:lang w:eastAsia="en-US"/>
        </w:rPr>
        <w:t>.</w:t>
      </w:r>
      <w:r w:rsidRPr="004135FE">
        <w:rPr>
          <w:rFonts w:ascii="Times New Roman" w:eastAsiaTheme="minorHAnsi" w:hAnsi="Times New Roman" w:cs="Times New Roman"/>
          <w:bCs/>
          <w:sz w:val="28"/>
          <w:szCs w:val="28"/>
          <w:lang w:eastAsia="en-US"/>
        </w:rPr>
        <w:t xml:space="preserve"> по 2021</w:t>
      </w:r>
      <w:r w:rsidR="00E10455">
        <w:rPr>
          <w:rFonts w:ascii="Times New Roman" w:eastAsiaTheme="minorHAnsi" w:hAnsi="Times New Roman" w:cs="Times New Roman"/>
          <w:bCs/>
          <w:sz w:val="28"/>
          <w:szCs w:val="28"/>
          <w:lang w:eastAsia="en-US"/>
        </w:rPr>
        <w:t xml:space="preserve"> </w:t>
      </w:r>
      <w:r w:rsidRPr="004135FE">
        <w:rPr>
          <w:rFonts w:ascii="Times New Roman" w:eastAsiaTheme="minorHAnsi" w:hAnsi="Times New Roman" w:cs="Times New Roman"/>
          <w:bCs/>
          <w:sz w:val="28"/>
          <w:szCs w:val="28"/>
          <w:lang w:eastAsia="en-US"/>
        </w:rPr>
        <w:t>г</w:t>
      </w:r>
      <w:r w:rsidRPr="004135FE">
        <w:rPr>
          <w:rFonts w:ascii="Times New Roman" w:eastAsiaTheme="minorHAnsi" w:hAnsi="Times New Roman" w:cs="Times New Roman"/>
          <w:bCs/>
          <w:sz w:val="28"/>
          <w:szCs w:val="28"/>
          <w:lang w:val="kk-KZ" w:eastAsia="en-US"/>
        </w:rPr>
        <w:t>.</w:t>
      </w:r>
    </w:p>
    <w:p w14:paraId="75591C9F" w14:textId="27788C0C" w:rsidR="004461EE" w:rsidRPr="004135FE" w:rsidRDefault="004461EE" w:rsidP="00E10455">
      <w:pPr>
        <w:pStyle w:val="af5"/>
        <w:ind w:firstLine="709"/>
        <w:jc w:val="both"/>
        <w:rPr>
          <w:rFonts w:ascii="Times New Roman" w:hAnsi="Times New Roman" w:cs="Times New Roman"/>
          <w:sz w:val="28"/>
          <w:szCs w:val="28"/>
          <w:lang w:eastAsia="en-US"/>
        </w:rPr>
      </w:pPr>
      <w:r w:rsidRPr="004135FE">
        <w:rPr>
          <w:rFonts w:ascii="Times New Roman" w:hAnsi="Times New Roman" w:cs="Times New Roman"/>
          <w:sz w:val="28"/>
          <w:szCs w:val="28"/>
          <w:lang w:eastAsia="en-US"/>
        </w:rPr>
        <w:t>Для определения достоверности полученных показателей рассчитывалась средняя о</w:t>
      </w:r>
      <w:r w:rsidR="00B53D2D" w:rsidRPr="004135FE">
        <w:rPr>
          <w:rFonts w:ascii="Times New Roman" w:hAnsi="Times New Roman" w:cs="Times New Roman"/>
          <w:sz w:val="28"/>
          <w:szCs w:val="28"/>
          <w:lang w:eastAsia="en-US"/>
        </w:rPr>
        <w:t>ш</w:t>
      </w:r>
      <w:r w:rsidR="00205B83" w:rsidRPr="004135FE">
        <w:rPr>
          <w:rFonts w:ascii="Times New Roman" w:hAnsi="Times New Roman" w:cs="Times New Roman"/>
          <w:sz w:val="28"/>
          <w:szCs w:val="28"/>
          <w:lang w:eastAsia="en-US"/>
        </w:rPr>
        <w:t xml:space="preserve">ибка показателя </w:t>
      </w:r>
      <w:r w:rsidR="00205B83" w:rsidRPr="00272615">
        <w:rPr>
          <w:rFonts w:ascii="Times New Roman" w:hAnsi="Times New Roman" w:cs="Times New Roman"/>
          <w:sz w:val="28"/>
          <w:szCs w:val="28"/>
          <w:lang w:eastAsia="en-US"/>
        </w:rPr>
        <w:t>[157</w:t>
      </w:r>
      <w:r w:rsidRPr="00272615">
        <w:rPr>
          <w:rFonts w:ascii="Times New Roman" w:hAnsi="Times New Roman" w:cs="Times New Roman"/>
          <w:sz w:val="28"/>
          <w:szCs w:val="28"/>
          <w:lang w:eastAsia="en-US"/>
        </w:rPr>
        <w:t>]:</w:t>
      </w:r>
    </w:p>
    <w:p w14:paraId="76ABF3BF" w14:textId="77777777" w:rsidR="004461EE" w:rsidRPr="004135FE" w:rsidRDefault="004461EE" w:rsidP="004135FE">
      <w:pPr>
        <w:pStyle w:val="af5"/>
        <w:ind w:firstLine="327"/>
        <w:rPr>
          <w:rFonts w:ascii="Times New Roman" w:hAnsi="Times New Roman" w:cs="Times New Roman"/>
          <w:sz w:val="28"/>
          <w:szCs w:val="28"/>
          <w:lang w:eastAsia="en-US"/>
        </w:rPr>
      </w:pPr>
    </w:p>
    <w:p w14:paraId="3DB2ED7C" w14:textId="046F7E0A" w:rsidR="004461EE" w:rsidRPr="004135FE" w:rsidRDefault="00E10455" w:rsidP="004135FE">
      <w:pPr>
        <w:pStyle w:val="af5"/>
        <w:tabs>
          <w:tab w:val="left" w:pos="6120"/>
        </w:tabs>
        <w:rPr>
          <w:rFonts w:ascii="Times New Roman" w:hAnsi="Times New Roman" w:cs="Times New Roman"/>
          <w:sz w:val="28"/>
          <w:szCs w:val="28"/>
          <w:lang w:eastAsia="en-US"/>
        </w:rPr>
      </w:pPr>
      <w:r>
        <w:rPr>
          <w:rFonts w:ascii="Times New Roman" w:hAnsi="Times New Roman" w:cs="Times New Roman"/>
          <w:sz w:val="28"/>
          <w:szCs w:val="28"/>
          <w:lang w:eastAsia="en-US"/>
        </w:rPr>
        <w:t xml:space="preserve">                                                       </w:t>
      </w:r>
      <w:r w:rsidR="004461EE" w:rsidRPr="004135FE">
        <w:rPr>
          <w:rFonts w:ascii="Times New Roman" w:hAnsi="Times New Roman" w:cs="Times New Roman"/>
          <w:sz w:val="28"/>
          <w:szCs w:val="28"/>
          <w:lang w:val="en-US" w:eastAsia="en-US"/>
        </w:rPr>
        <w:t>m</w:t>
      </w:r>
      <w:r w:rsidR="004461EE" w:rsidRPr="004135FE">
        <w:rPr>
          <w:rFonts w:ascii="Times New Roman" w:hAnsi="Times New Roman" w:cs="Times New Roman"/>
          <w:caps/>
          <w:sz w:val="28"/>
          <w:szCs w:val="28"/>
          <w:lang w:eastAsia="en-US"/>
        </w:rPr>
        <w:t xml:space="preserve"> = </w:t>
      </w:r>
      <w:r w:rsidR="004461EE" w:rsidRPr="004135FE">
        <w:rPr>
          <w:rFonts w:ascii="Times New Roman" w:hAnsi="Times New Roman" w:cs="Times New Roman"/>
          <w:caps/>
          <w:sz w:val="28"/>
          <w:szCs w:val="28"/>
          <w:lang w:val="en-US" w:eastAsia="en-US"/>
        </w:rPr>
        <w:sym w:font="Symbol" w:char="F0B1"/>
      </w:r>
      <w:r w:rsidR="004461EE" w:rsidRPr="004135FE">
        <w:rPr>
          <w:rFonts w:ascii="Times New Roman" w:hAnsi="Times New Roman" w:cs="Times New Roman"/>
          <w:caps/>
          <w:noProof/>
          <w:position w:val="-26"/>
          <w:sz w:val="28"/>
          <w:szCs w:val="28"/>
          <w:lang w:val="en-US" w:eastAsia="en-US"/>
        </w:rPr>
        <w:object w:dxaOrig="1050" w:dyaOrig="960" w14:anchorId="4E0168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51pt;height:48pt;mso-width-percent:0;mso-height-percent:0;mso-width-percent:0;mso-height-percent:0" o:ole="" fillcolor="window">
            <v:imagedata r:id="rId21" o:title=""/>
          </v:shape>
          <o:OLEObject Type="Embed" ProgID="Equation.3" ShapeID="_x0000_i1025" DrawAspect="Content" ObjectID="_1723037951" r:id="rId22"/>
        </w:object>
      </w:r>
      <w:r w:rsidR="004461EE" w:rsidRPr="004135FE">
        <w:rPr>
          <w:rFonts w:ascii="Times New Roman" w:hAnsi="Times New Roman" w:cs="Times New Roman"/>
          <w:caps/>
          <w:sz w:val="28"/>
          <w:szCs w:val="28"/>
          <w:lang w:eastAsia="en-US"/>
        </w:rPr>
        <w:t xml:space="preserve">     </w:t>
      </w:r>
      <w:r>
        <w:rPr>
          <w:rFonts w:ascii="Times New Roman" w:hAnsi="Times New Roman" w:cs="Times New Roman"/>
          <w:caps/>
          <w:sz w:val="28"/>
          <w:szCs w:val="28"/>
          <w:lang w:eastAsia="en-US"/>
        </w:rPr>
        <w:t xml:space="preserve">                                         </w:t>
      </w:r>
      <w:r w:rsidR="004461EE" w:rsidRPr="004135FE">
        <w:rPr>
          <w:rFonts w:ascii="Times New Roman" w:hAnsi="Times New Roman" w:cs="Times New Roman"/>
          <w:caps/>
          <w:sz w:val="28"/>
          <w:szCs w:val="28"/>
          <w:lang w:eastAsia="en-US"/>
        </w:rPr>
        <w:t xml:space="preserve">   (2)</w:t>
      </w:r>
    </w:p>
    <w:p w14:paraId="144D74B5" w14:textId="77777777" w:rsidR="004461EE" w:rsidRPr="004135FE" w:rsidRDefault="004461EE" w:rsidP="004135FE">
      <w:pPr>
        <w:pStyle w:val="af5"/>
        <w:rPr>
          <w:rFonts w:ascii="Times New Roman" w:hAnsi="Times New Roman" w:cs="Times New Roman"/>
          <w:sz w:val="28"/>
          <w:szCs w:val="28"/>
          <w:lang w:eastAsia="en-US"/>
        </w:rPr>
      </w:pPr>
      <w:r w:rsidRPr="004135FE">
        <w:rPr>
          <w:rFonts w:ascii="Times New Roman" w:hAnsi="Times New Roman" w:cs="Times New Roman"/>
          <w:sz w:val="28"/>
          <w:szCs w:val="28"/>
          <w:lang w:eastAsia="en-US"/>
        </w:rPr>
        <w:t xml:space="preserve">где </w:t>
      </w:r>
      <w:r w:rsidRPr="004135FE">
        <w:rPr>
          <w:rFonts w:ascii="Times New Roman" w:hAnsi="Times New Roman" w:cs="Times New Roman"/>
          <w:sz w:val="28"/>
          <w:szCs w:val="28"/>
          <w:lang w:val="en-US" w:eastAsia="en-US"/>
        </w:rPr>
        <w:t>m</w:t>
      </w:r>
      <w:r w:rsidRPr="004135FE">
        <w:rPr>
          <w:rFonts w:ascii="Times New Roman" w:hAnsi="Times New Roman" w:cs="Times New Roman"/>
          <w:sz w:val="28"/>
          <w:szCs w:val="28"/>
          <w:lang w:eastAsia="en-US"/>
        </w:rPr>
        <w:t xml:space="preserve"> – средняя ошибка показателя;</w:t>
      </w:r>
    </w:p>
    <w:p w14:paraId="7A83023E" w14:textId="77777777" w:rsidR="004461EE" w:rsidRPr="004135FE" w:rsidRDefault="004461EE" w:rsidP="004135FE">
      <w:pPr>
        <w:pStyle w:val="af5"/>
        <w:rPr>
          <w:rFonts w:ascii="Times New Roman" w:hAnsi="Times New Roman" w:cs="Times New Roman"/>
          <w:sz w:val="28"/>
          <w:szCs w:val="28"/>
          <w:lang w:eastAsia="en-US"/>
        </w:rPr>
      </w:pPr>
      <w:r w:rsidRPr="004135FE">
        <w:rPr>
          <w:rFonts w:ascii="Times New Roman" w:hAnsi="Times New Roman" w:cs="Times New Roman"/>
          <w:sz w:val="28"/>
          <w:szCs w:val="28"/>
          <w:lang w:val="en-US" w:eastAsia="en-US"/>
        </w:rPr>
        <w:t>p</w:t>
      </w:r>
      <w:r w:rsidRPr="004135FE">
        <w:rPr>
          <w:rFonts w:ascii="Times New Roman" w:hAnsi="Times New Roman" w:cs="Times New Roman"/>
          <w:sz w:val="28"/>
          <w:szCs w:val="28"/>
          <w:lang w:eastAsia="en-US"/>
        </w:rPr>
        <w:t xml:space="preserve"> – величина показателя;</w:t>
      </w:r>
    </w:p>
    <w:p w14:paraId="0EF9F119" w14:textId="77777777" w:rsidR="004461EE" w:rsidRPr="004135FE" w:rsidRDefault="004461EE" w:rsidP="004135FE">
      <w:pPr>
        <w:pStyle w:val="af5"/>
        <w:rPr>
          <w:rFonts w:ascii="Times New Roman" w:hAnsi="Times New Roman" w:cs="Times New Roman"/>
          <w:sz w:val="28"/>
          <w:szCs w:val="28"/>
          <w:lang w:eastAsia="en-US"/>
        </w:rPr>
      </w:pPr>
      <w:r w:rsidRPr="004135FE">
        <w:rPr>
          <w:rFonts w:ascii="Times New Roman" w:hAnsi="Times New Roman" w:cs="Times New Roman"/>
          <w:sz w:val="28"/>
          <w:szCs w:val="28"/>
          <w:lang w:val="en-US" w:eastAsia="en-US"/>
        </w:rPr>
        <w:t>q</w:t>
      </w:r>
      <w:r w:rsidRPr="004135FE">
        <w:rPr>
          <w:rFonts w:ascii="Times New Roman" w:hAnsi="Times New Roman" w:cs="Times New Roman"/>
          <w:sz w:val="28"/>
          <w:szCs w:val="28"/>
          <w:lang w:eastAsia="en-US"/>
        </w:rPr>
        <w:t xml:space="preserve"> – величина, обратная показателю;</w:t>
      </w:r>
    </w:p>
    <w:p w14:paraId="25A30734" w14:textId="77777777" w:rsidR="004461EE" w:rsidRPr="004135FE" w:rsidRDefault="004461EE" w:rsidP="004135FE">
      <w:pPr>
        <w:pStyle w:val="af5"/>
        <w:rPr>
          <w:rFonts w:ascii="Times New Roman" w:hAnsi="Times New Roman" w:cs="Times New Roman"/>
          <w:sz w:val="28"/>
          <w:szCs w:val="28"/>
          <w:lang w:eastAsia="en-US"/>
        </w:rPr>
      </w:pPr>
      <w:r w:rsidRPr="004135FE">
        <w:rPr>
          <w:rFonts w:ascii="Times New Roman" w:hAnsi="Times New Roman" w:cs="Times New Roman"/>
          <w:sz w:val="28"/>
          <w:szCs w:val="28"/>
          <w:lang w:val="en-US" w:eastAsia="en-US"/>
        </w:rPr>
        <w:t>n</w:t>
      </w:r>
      <w:r w:rsidRPr="004135FE">
        <w:rPr>
          <w:rFonts w:ascii="Times New Roman" w:hAnsi="Times New Roman" w:cs="Times New Roman"/>
          <w:sz w:val="28"/>
          <w:szCs w:val="28"/>
          <w:lang w:eastAsia="en-US"/>
        </w:rPr>
        <w:t xml:space="preserve"> – число наблюдений.</w:t>
      </w:r>
    </w:p>
    <w:p w14:paraId="7A58156D" w14:textId="42838F2F" w:rsidR="004461EE" w:rsidRPr="004135FE" w:rsidRDefault="004461EE" w:rsidP="004135FE">
      <w:pPr>
        <w:pStyle w:val="af5"/>
        <w:rPr>
          <w:rFonts w:ascii="Times New Roman" w:hAnsi="Times New Roman" w:cs="Times New Roman"/>
          <w:sz w:val="28"/>
          <w:szCs w:val="28"/>
          <w:lang w:eastAsia="en-US"/>
        </w:rPr>
      </w:pPr>
      <w:r w:rsidRPr="004135FE">
        <w:rPr>
          <w:rFonts w:ascii="Times New Roman" w:hAnsi="Times New Roman" w:cs="Times New Roman"/>
          <w:sz w:val="28"/>
          <w:szCs w:val="28"/>
          <w:lang w:eastAsia="en-US"/>
        </w:rPr>
        <w:t xml:space="preserve">Для оценки достоверности разности показателей использовался критерий </w:t>
      </w:r>
      <w:r w:rsidRPr="004135FE">
        <w:rPr>
          <w:rFonts w:ascii="Times New Roman" w:hAnsi="Times New Roman" w:cs="Times New Roman"/>
          <w:sz w:val="28"/>
          <w:szCs w:val="28"/>
          <w:lang w:val="en-US" w:eastAsia="en-US"/>
        </w:rPr>
        <w:t>t</w:t>
      </w:r>
      <w:r w:rsidR="00272615">
        <w:rPr>
          <w:rFonts w:ascii="Times New Roman" w:hAnsi="Times New Roman" w:cs="Times New Roman"/>
          <w:sz w:val="28"/>
          <w:szCs w:val="28"/>
          <w:lang w:eastAsia="en-US"/>
        </w:rPr>
        <w:t xml:space="preserve"> (Стьюдента) </w:t>
      </w:r>
      <w:r w:rsidR="00205B83" w:rsidRPr="004135FE">
        <w:rPr>
          <w:rFonts w:ascii="Times New Roman" w:hAnsi="Times New Roman" w:cs="Times New Roman"/>
          <w:sz w:val="28"/>
          <w:szCs w:val="28"/>
          <w:lang w:eastAsia="en-US"/>
        </w:rPr>
        <w:t>[</w:t>
      </w:r>
      <w:r w:rsidR="00205B83" w:rsidRPr="00272615">
        <w:rPr>
          <w:rFonts w:ascii="Times New Roman" w:hAnsi="Times New Roman" w:cs="Times New Roman"/>
          <w:sz w:val="28"/>
          <w:szCs w:val="28"/>
          <w:lang w:eastAsia="en-US"/>
        </w:rPr>
        <w:t>157</w:t>
      </w:r>
      <w:r w:rsidRPr="00272615">
        <w:rPr>
          <w:rFonts w:ascii="Times New Roman" w:hAnsi="Times New Roman" w:cs="Times New Roman"/>
          <w:sz w:val="28"/>
          <w:szCs w:val="28"/>
          <w:lang w:eastAsia="en-US"/>
        </w:rPr>
        <w:t>]:</w:t>
      </w:r>
    </w:p>
    <w:p w14:paraId="203AF800" w14:textId="77D0F81B" w:rsidR="004461EE" w:rsidRPr="004135FE" w:rsidRDefault="00E10455" w:rsidP="004135FE">
      <w:pPr>
        <w:pStyle w:val="af5"/>
        <w:tabs>
          <w:tab w:val="left" w:pos="3060"/>
          <w:tab w:val="left" w:pos="6120"/>
        </w:tabs>
        <w:rPr>
          <w:rFonts w:ascii="Times New Roman" w:hAnsi="Times New Roman" w:cs="Times New Roman"/>
          <w:sz w:val="28"/>
          <w:szCs w:val="28"/>
          <w:lang w:eastAsia="en-US"/>
        </w:rPr>
      </w:pPr>
      <w:r>
        <w:rPr>
          <w:rFonts w:ascii="Times New Roman" w:hAnsi="Times New Roman" w:cs="Times New Roman"/>
          <w:noProof/>
          <w:sz w:val="28"/>
          <w:szCs w:val="28"/>
          <w:lang w:eastAsia="en-US"/>
        </w:rPr>
        <w:t xml:space="preserve">                                                   </w:t>
      </w:r>
      <w:r w:rsidR="004461EE" w:rsidRPr="004135FE">
        <w:rPr>
          <w:rFonts w:ascii="Times New Roman" w:hAnsi="Times New Roman" w:cs="Times New Roman"/>
          <w:noProof/>
          <w:position w:val="-44"/>
          <w:sz w:val="28"/>
          <w:szCs w:val="28"/>
          <w:lang w:eastAsia="en-US"/>
        </w:rPr>
        <w:object w:dxaOrig="1920" w:dyaOrig="870" w14:anchorId="27011184">
          <v:shape id="_x0000_i1026" type="#_x0000_t75" alt="" style="width:93pt;height:44.25pt;mso-width-percent:0;mso-height-percent:0;mso-width-percent:0;mso-height-percent:0" o:ole="" fillcolor="window">
            <v:imagedata r:id="rId23" o:title=""/>
          </v:shape>
          <o:OLEObject Type="Embed" ProgID="Equation.3" ShapeID="_x0000_i1026" DrawAspect="Content" ObjectID="_1723037952" r:id="rId24"/>
        </w:object>
      </w:r>
      <w:r w:rsidR="004461EE" w:rsidRPr="004135FE">
        <w:rPr>
          <w:rFonts w:ascii="Times New Roman" w:hAnsi="Times New Roman" w:cs="Times New Roman"/>
          <w:sz w:val="28"/>
          <w:szCs w:val="28"/>
          <w:lang w:eastAsia="en-US"/>
        </w:rPr>
        <w:t xml:space="preserve">                </w:t>
      </w:r>
      <w:r>
        <w:rPr>
          <w:rFonts w:ascii="Times New Roman" w:hAnsi="Times New Roman" w:cs="Times New Roman"/>
          <w:sz w:val="28"/>
          <w:szCs w:val="28"/>
          <w:lang w:eastAsia="en-US"/>
        </w:rPr>
        <w:t xml:space="preserve">                                  </w:t>
      </w:r>
      <w:r w:rsidR="004461EE" w:rsidRPr="004135FE">
        <w:rPr>
          <w:rFonts w:ascii="Times New Roman" w:hAnsi="Times New Roman" w:cs="Times New Roman"/>
          <w:sz w:val="28"/>
          <w:szCs w:val="28"/>
          <w:lang w:eastAsia="en-US"/>
        </w:rPr>
        <w:t xml:space="preserve"> (3)</w:t>
      </w:r>
    </w:p>
    <w:p w14:paraId="1148E627" w14:textId="77777777" w:rsidR="004461EE" w:rsidRPr="004135FE" w:rsidRDefault="004461EE" w:rsidP="004135FE">
      <w:pPr>
        <w:pStyle w:val="af5"/>
        <w:rPr>
          <w:rFonts w:ascii="Times New Roman" w:hAnsi="Times New Roman" w:cs="Times New Roman"/>
          <w:sz w:val="28"/>
          <w:szCs w:val="28"/>
          <w:lang w:eastAsia="en-US"/>
        </w:rPr>
      </w:pPr>
      <w:r w:rsidRPr="004135FE">
        <w:rPr>
          <w:rFonts w:ascii="Times New Roman" w:hAnsi="Times New Roman" w:cs="Times New Roman"/>
          <w:sz w:val="28"/>
          <w:szCs w:val="28"/>
          <w:lang w:eastAsia="en-US"/>
        </w:rPr>
        <w:t xml:space="preserve">где </w:t>
      </w:r>
      <w:r w:rsidRPr="004135FE">
        <w:rPr>
          <w:rFonts w:ascii="Times New Roman" w:hAnsi="Times New Roman" w:cs="Times New Roman"/>
          <w:sz w:val="28"/>
          <w:szCs w:val="28"/>
          <w:lang w:val="en-US" w:eastAsia="en-US"/>
        </w:rPr>
        <w:t>t</w:t>
      </w:r>
      <w:r w:rsidRPr="004135FE">
        <w:rPr>
          <w:rFonts w:ascii="Times New Roman" w:hAnsi="Times New Roman" w:cs="Times New Roman"/>
          <w:sz w:val="28"/>
          <w:szCs w:val="28"/>
          <w:lang w:eastAsia="en-US"/>
        </w:rPr>
        <w:t xml:space="preserve"> – критерий достоверности разности </w:t>
      </w:r>
    </w:p>
    <w:p w14:paraId="34B22AF4" w14:textId="77777777" w:rsidR="004461EE" w:rsidRPr="004135FE" w:rsidRDefault="004461EE" w:rsidP="004135FE">
      <w:pPr>
        <w:pStyle w:val="af5"/>
        <w:rPr>
          <w:rFonts w:ascii="Times New Roman" w:hAnsi="Times New Roman" w:cs="Times New Roman"/>
          <w:sz w:val="28"/>
          <w:szCs w:val="28"/>
          <w:lang w:eastAsia="en-US"/>
        </w:rPr>
      </w:pPr>
      <w:r w:rsidRPr="004135FE">
        <w:rPr>
          <w:rFonts w:ascii="Times New Roman" w:hAnsi="Times New Roman" w:cs="Times New Roman"/>
          <w:sz w:val="28"/>
          <w:szCs w:val="28"/>
          <w:lang w:val="en-US" w:eastAsia="en-US"/>
        </w:rPr>
        <w:t>P</w:t>
      </w:r>
      <w:r w:rsidRPr="004135FE">
        <w:rPr>
          <w:rFonts w:ascii="Times New Roman" w:hAnsi="Times New Roman" w:cs="Times New Roman"/>
          <w:sz w:val="28"/>
          <w:szCs w:val="28"/>
          <w:vertAlign w:val="subscript"/>
          <w:lang w:eastAsia="en-US"/>
        </w:rPr>
        <w:t xml:space="preserve">1 </w:t>
      </w:r>
      <w:r w:rsidRPr="004135FE">
        <w:rPr>
          <w:rFonts w:ascii="Times New Roman" w:hAnsi="Times New Roman" w:cs="Times New Roman"/>
          <w:sz w:val="28"/>
          <w:szCs w:val="28"/>
          <w:lang w:eastAsia="en-US"/>
        </w:rPr>
        <w:t xml:space="preserve">и </w:t>
      </w:r>
      <w:r w:rsidRPr="004135FE">
        <w:rPr>
          <w:rFonts w:ascii="Times New Roman" w:hAnsi="Times New Roman" w:cs="Times New Roman"/>
          <w:sz w:val="28"/>
          <w:szCs w:val="28"/>
          <w:lang w:val="en-US" w:eastAsia="en-US"/>
        </w:rPr>
        <w:t>P</w:t>
      </w:r>
      <w:r w:rsidRPr="004135FE">
        <w:rPr>
          <w:rFonts w:ascii="Times New Roman" w:hAnsi="Times New Roman" w:cs="Times New Roman"/>
          <w:sz w:val="28"/>
          <w:szCs w:val="28"/>
          <w:vertAlign w:val="subscript"/>
          <w:lang w:eastAsia="en-US"/>
        </w:rPr>
        <w:t xml:space="preserve">2  </w:t>
      </w:r>
      <w:r w:rsidRPr="004135FE">
        <w:rPr>
          <w:rFonts w:ascii="Times New Roman" w:hAnsi="Times New Roman" w:cs="Times New Roman"/>
          <w:sz w:val="28"/>
          <w:szCs w:val="28"/>
          <w:lang w:eastAsia="en-US"/>
        </w:rPr>
        <w:t>- сравниваемые показатели</w:t>
      </w:r>
    </w:p>
    <w:p w14:paraId="3226A2BD" w14:textId="77777777" w:rsidR="004461EE" w:rsidRPr="004135FE" w:rsidRDefault="004461EE" w:rsidP="004135FE">
      <w:pPr>
        <w:pStyle w:val="af5"/>
        <w:rPr>
          <w:rFonts w:ascii="Times New Roman" w:hAnsi="Times New Roman" w:cs="Times New Roman"/>
          <w:sz w:val="28"/>
          <w:szCs w:val="28"/>
          <w:lang w:eastAsia="en-US"/>
        </w:rPr>
      </w:pPr>
      <w:r w:rsidRPr="004135FE">
        <w:rPr>
          <w:rFonts w:ascii="Times New Roman" w:hAnsi="Times New Roman" w:cs="Times New Roman"/>
          <w:sz w:val="28"/>
          <w:szCs w:val="28"/>
          <w:lang w:val="en-US" w:eastAsia="en-US"/>
        </w:rPr>
        <w:t>m</w:t>
      </w:r>
      <w:r w:rsidRPr="004135FE">
        <w:rPr>
          <w:rFonts w:ascii="Times New Roman" w:hAnsi="Times New Roman" w:cs="Times New Roman"/>
          <w:sz w:val="28"/>
          <w:szCs w:val="28"/>
          <w:vertAlign w:val="subscript"/>
          <w:lang w:eastAsia="en-US"/>
        </w:rPr>
        <w:t xml:space="preserve">1 </w:t>
      </w:r>
      <w:r w:rsidRPr="004135FE">
        <w:rPr>
          <w:rFonts w:ascii="Times New Roman" w:hAnsi="Times New Roman" w:cs="Times New Roman"/>
          <w:sz w:val="28"/>
          <w:szCs w:val="28"/>
          <w:lang w:eastAsia="en-US"/>
        </w:rPr>
        <w:t xml:space="preserve">и </w:t>
      </w:r>
      <w:r w:rsidRPr="004135FE">
        <w:rPr>
          <w:rFonts w:ascii="Times New Roman" w:hAnsi="Times New Roman" w:cs="Times New Roman"/>
          <w:sz w:val="28"/>
          <w:szCs w:val="28"/>
          <w:lang w:val="en-US" w:eastAsia="en-US"/>
        </w:rPr>
        <w:t>m</w:t>
      </w:r>
      <w:r w:rsidRPr="004135FE">
        <w:rPr>
          <w:rFonts w:ascii="Times New Roman" w:hAnsi="Times New Roman" w:cs="Times New Roman"/>
          <w:sz w:val="28"/>
          <w:szCs w:val="28"/>
          <w:vertAlign w:val="subscript"/>
          <w:lang w:eastAsia="en-US"/>
        </w:rPr>
        <w:t>2</w:t>
      </w:r>
      <w:r w:rsidRPr="004135FE">
        <w:rPr>
          <w:rFonts w:ascii="Times New Roman" w:hAnsi="Times New Roman" w:cs="Times New Roman"/>
          <w:sz w:val="28"/>
          <w:szCs w:val="28"/>
          <w:lang w:eastAsia="en-US"/>
        </w:rPr>
        <w:t xml:space="preserve"> – средние ошибки показателей</w:t>
      </w:r>
    </w:p>
    <w:p w14:paraId="0F3E0D2C" w14:textId="77777777" w:rsidR="004461EE" w:rsidRPr="004135FE" w:rsidRDefault="004461EE" w:rsidP="004135FE">
      <w:pPr>
        <w:pStyle w:val="af5"/>
        <w:rPr>
          <w:rFonts w:ascii="Times New Roman" w:hAnsi="Times New Roman" w:cs="Times New Roman"/>
          <w:sz w:val="28"/>
          <w:szCs w:val="28"/>
          <w:lang w:eastAsia="en-US"/>
        </w:rPr>
      </w:pPr>
    </w:p>
    <w:p w14:paraId="5A8C02A9" w14:textId="77777777" w:rsidR="004461EE" w:rsidRPr="004135FE" w:rsidRDefault="004461EE" w:rsidP="000B403C">
      <w:pPr>
        <w:pStyle w:val="af5"/>
        <w:ind w:firstLine="709"/>
        <w:rPr>
          <w:rFonts w:ascii="Times New Roman" w:hAnsi="Times New Roman" w:cs="Times New Roman"/>
          <w:b/>
          <w:sz w:val="28"/>
          <w:szCs w:val="28"/>
          <w:lang w:eastAsia="en-US"/>
        </w:rPr>
      </w:pPr>
      <w:r w:rsidRPr="004135FE">
        <w:rPr>
          <w:rFonts w:ascii="Times New Roman" w:hAnsi="Times New Roman" w:cs="Times New Roman"/>
          <w:sz w:val="28"/>
          <w:szCs w:val="28"/>
          <w:lang w:eastAsia="en-US"/>
        </w:rPr>
        <w:t xml:space="preserve">Различия считались существенными и неслучайными при </w:t>
      </w:r>
      <w:r w:rsidRPr="004135FE">
        <w:rPr>
          <w:rFonts w:ascii="Times New Roman" w:hAnsi="Times New Roman" w:cs="Times New Roman"/>
          <w:sz w:val="28"/>
          <w:szCs w:val="28"/>
          <w:lang w:val="en-US" w:eastAsia="en-US"/>
        </w:rPr>
        <w:t>t</w:t>
      </w:r>
      <w:r w:rsidRPr="004135FE">
        <w:rPr>
          <w:rFonts w:ascii="Times New Roman" w:hAnsi="Times New Roman" w:cs="Times New Roman"/>
          <w:sz w:val="28"/>
          <w:szCs w:val="28"/>
          <w:lang w:val="en-US" w:eastAsia="en-US"/>
        </w:rPr>
        <w:sym w:font="Symbol" w:char="F0B3"/>
      </w:r>
      <w:r w:rsidRPr="004135FE">
        <w:rPr>
          <w:rFonts w:ascii="Times New Roman" w:hAnsi="Times New Roman" w:cs="Times New Roman"/>
          <w:sz w:val="28"/>
          <w:szCs w:val="28"/>
          <w:lang w:eastAsia="en-US"/>
        </w:rPr>
        <w:t xml:space="preserve"> 2. </w:t>
      </w:r>
    </w:p>
    <w:p w14:paraId="484EF7A5" w14:textId="07CD4B1B" w:rsidR="004461EE" w:rsidRPr="004135FE" w:rsidRDefault="004461EE" w:rsidP="000B403C">
      <w:pPr>
        <w:spacing w:after="0" w:line="240" w:lineRule="auto"/>
        <w:ind w:firstLine="709"/>
        <w:contextualSpacing/>
        <w:jc w:val="both"/>
        <w:rPr>
          <w:rFonts w:ascii="Times New Roman" w:hAnsi="Times New Roman" w:cs="Times New Roman"/>
          <w:sz w:val="28"/>
          <w:szCs w:val="28"/>
        </w:rPr>
      </w:pPr>
      <w:r w:rsidRPr="004135FE">
        <w:rPr>
          <w:rFonts w:ascii="Times New Roman" w:hAnsi="Times New Roman" w:cs="Times New Roman"/>
          <w:sz w:val="28"/>
          <w:szCs w:val="28"/>
        </w:rPr>
        <w:t xml:space="preserve">Использование в исследовании выборочного исследования и критерия Стьюдентa, позволяет </w:t>
      </w:r>
      <w:r w:rsidR="00EE7E31" w:rsidRPr="004135FE">
        <w:rPr>
          <w:rFonts w:ascii="Times New Roman" w:hAnsi="Times New Roman" w:cs="Times New Roman"/>
          <w:sz w:val="28"/>
          <w:szCs w:val="28"/>
        </w:rPr>
        <w:t>сделать</w:t>
      </w:r>
      <w:r w:rsidRPr="004135FE">
        <w:rPr>
          <w:rFonts w:ascii="Times New Roman" w:hAnsi="Times New Roman" w:cs="Times New Roman"/>
          <w:sz w:val="28"/>
          <w:szCs w:val="28"/>
        </w:rPr>
        <w:t xml:space="preserve"> вывод о существенности различий между средними величинами.</w:t>
      </w:r>
    </w:p>
    <w:p w14:paraId="187F3E26" w14:textId="0BAB4DC4" w:rsidR="004461EE" w:rsidRPr="004135FE" w:rsidRDefault="004461EE" w:rsidP="000B403C">
      <w:pPr>
        <w:spacing w:after="0" w:line="240" w:lineRule="auto"/>
        <w:ind w:firstLine="709"/>
        <w:contextualSpacing/>
        <w:jc w:val="both"/>
        <w:rPr>
          <w:rFonts w:ascii="Times New Roman" w:hAnsi="Times New Roman" w:cs="Times New Roman"/>
          <w:sz w:val="28"/>
          <w:szCs w:val="28"/>
        </w:rPr>
      </w:pPr>
      <w:r w:rsidRPr="004135FE">
        <w:rPr>
          <w:rFonts w:ascii="Times New Roman" w:hAnsi="Times New Roman" w:cs="Times New Roman"/>
          <w:sz w:val="28"/>
          <w:szCs w:val="28"/>
        </w:rPr>
        <w:t xml:space="preserve">Различия между сравниваемыми средними величинами считали достоверными при вероятности ошибки равной или меньшей 0,05 (р &lt; 0,05): при р≤0,05 - различия между </w:t>
      </w:r>
      <w:r w:rsidR="00EE7E31" w:rsidRPr="004135FE">
        <w:rPr>
          <w:rFonts w:ascii="Times New Roman" w:hAnsi="Times New Roman" w:cs="Times New Roman"/>
          <w:sz w:val="28"/>
          <w:szCs w:val="28"/>
        </w:rPr>
        <w:t>группами</w:t>
      </w:r>
      <w:r w:rsidRPr="004135FE">
        <w:rPr>
          <w:rFonts w:ascii="Times New Roman" w:hAnsi="Times New Roman" w:cs="Times New Roman"/>
          <w:sz w:val="28"/>
          <w:szCs w:val="28"/>
        </w:rPr>
        <w:t xml:space="preserve"> достоверны, при р≤0,01- различия между группами достаточно достоверны, при р≤0,001- различия между группами высоко достоверны. </w:t>
      </w:r>
    </w:p>
    <w:p w14:paraId="647FFD09" w14:textId="33649E7C" w:rsidR="004461EE" w:rsidRPr="004135FE" w:rsidRDefault="004461EE" w:rsidP="004135FE">
      <w:pPr>
        <w:shd w:val="clear" w:color="auto" w:fill="FFFFFF"/>
        <w:spacing w:after="0" w:line="240" w:lineRule="auto"/>
        <w:ind w:firstLine="567"/>
        <w:jc w:val="both"/>
        <w:rPr>
          <w:rFonts w:ascii="Times New Roman" w:hAnsi="Times New Roman" w:cs="Times New Roman"/>
          <w:sz w:val="28"/>
          <w:szCs w:val="28"/>
        </w:rPr>
      </w:pPr>
      <w:r w:rsidRPr="004135FE">
        <w:rPr>
          <w:rFonts w:ascii="Times New Roman" w:hAnsi="Times New Roman" w:cs="Times New Roman"/>
          <w:sz w:val="28"/>
          <w:szCs w:val="28"/>
        </w:rPr>
        <w:t xml:space="preserve">Для сравнения долей использовался </w:t>
      </w:r>
      <w:r w:rsidRPr="004135FE">
        <w:rPr>
          <w:rFonts w:ascii="Times New Roman" w:hAnsi="Times New Roman" w:cs="Times New Roman"/>
          <w:sz w:val="28"/>
          <w:szCs w:val="28"/>
          <w:lang w:val="en-US"/>
        </w:rPr>
        <w:t>Z</w:t>
      </w:r>
      <w:r w:rsidR="00205B83" w:rsidRPr="004135FE">
        <w:rPr>
          <w:rFonts w:ascii="Times New Roman" w:hAnsi="Times New Roman" w:cs="Times New Roman"/>
          <w:sz w:val="28"/>
          <w:szCs w:val="28"/>
        </w:rPr>
        <w:t>-</w:t>
      </w:r>
      <w:r w:rsidR="00205B83" w:rsidRPr="00272615">
        <w:rPr>
          <w:rFonts w:ascii="Times New Roman" w:hAnsi="Times New Roman" w:cs="Times New Roman"/>
          <w:sz w:val="28"/>
          <w:szCs w:val="28"/>
        </w:rPr>
        <w:t>критерий [157</w:t>
      </w:r>
      <w:r w:rsidRPr="00272615">
        <w:rPr>
          <w:rFonts w:ascii="Times New Roman" w:hAnsi="Times New Roman" w:cs="Times New Roman"/>
          <w:sz w:val="28"/>
          <w:szCs w:val="28"/>
        </w:rPr>
        <w:t>]:</w:t>
      </w:r>
    </w:p>
    <w:p w14:paraId="1D1B3C2E" w14:textId="77777777" w:rsidR="004461EE" w:rsidRPr="004135FE" w:rsidRDefault="004461EE" w:rsidP="004135FE">
      <w:pPr>
        <w:shd w:val="clear" w:color="auto" w:fill="FFFFFF"/>
        <w:spacing w:after="0" w:line="240" w:lineRule="auto"/>
        <w:jc w:val="both"/>
        <w:rPr>
          <w:rFonts w:ascii="Times New Roman" w:hAnsi="Times New Roman" w:cs="Times New Roman"/>
          <w:sz w:val="28"/>
          <w:szCs w:val="28"/>
        </w:rPr>
      </w:pPr>
    </w:p>
    <w:p w14:paraId="38E0787E" w14:textId="77777777" w:rsidR="004461EE" w:rsidRPr="004135FE" w:rsidRDefault="004461EE" w:rsidP="000B403C">
      <w:pPr>
        <w:shd w:val="clear" w:color="auto" w:fill="FFFFFF"/>
        <w:spacing w:after="0" w:line="240" w:lineRule="auto"/>
        <w:jc w:val="center"/>
        <w:rPr>
          <w:rFonts w:ascii="Times New Roman" w:hAnsi="Times New Roman" w:cs="Times New Roman"/>
          <w:sz w:val="28"/>
          <w:szCs w:val="28"/>
        </w:rPr>
      </w:pPr>
      <w:r w:rsidRPr="004135FE">
        <w:rPr>
          <w:rFonts w:ascii="Times New Roman" w:hAnsi="Times New Roman" w:cs="Times New Roman"/>
          <w:b/>
          <w:bCs/>
          <w:i/>
          <w:iCs/>
          <w:noProof/>
          <w:sz w:val="28"/>
          <w:szCs w:val="28"/>
        </w:rPr>
        <w:lastRenderedPageBreak/>
        <w:drawing>
          <wp:inline distT="0" distB="0" distL="0" distR="0" wp14:anchorId="6529C41A" wp14:editId="0E54F9E2">
            <wp:extent cx="2115185" cy="787400"/>
            <wp:effectExtent l="0" t="0" r="0" b="0"/>
            <wp:docPr id="85" name="Рисунок 85" descr="http://baguzin.ru/wp/wp-content/uploads/2013/08/01%D0%B0.-Z-%D0%BA%D1%80%D0%B8%D1%82%D0%B5%D1%80%D0%B8%D0%B9.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baguzin.ru/wp/wp-content/uploads/2013/08/01%D0%B0.-Z-%D0%BA%D1%80%D0%B8%D1%82%D0%B5%D1%80%D0%B8%D0%B9.jp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15185" cy="787400"/>
                    </a:xfrm>
                    <a:prstGeom prst="rect">
                      <a:avLst/>
                    </a:prstGeom>
                    <a:noFill/>
                    <a:ln>
                      <a:noFill/>
                    </a:ln>
                  </pic:spPr>
                </pic:pic>
              </a:graphicData>
            </a:graphic>
          </wp:inline>
        </w:drawing>
      </w:r>
    </w:p>
    <w:p w14:paraId="167B5411" w14:textId="77777777" w:rsidR="004461EE" w:rsidRPr="004135FE" w:rsidRDefault="004461EE" w:rsidP="004135FE">
      <w:pPr>
        <w:shd w:val="clear" w:color="auto" w:fill="FFFFFF"/>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где </w:t>
      </w:r>
      <w:r w:rsidRPr="004135FE">
        <w:rPr>
          <w:rFonts w:ascii="Times New Roman" w:hAnsi="Times New Roman" w:cs="Times New Roman"/>
          <w:b/>
          <w:bCs/>
          <w:noProof/>
          <w:sz w:val="28"/>
          <w:szCs w:val="28"/>
        </w:rPr>
        <w:drawing>
          <wp:inline distT="0" distB="0" distL="0" distR="0" wp14:anchorId="6D02FDCF" wp14:editId="26CFDC92">
            <wp:extent cx="142875" cy="151130"/>
            <wp:effectExtent l="0" t="0" r="9525" b="1270"/>
            <wp:docPr id="86" name="Рисунок 86" descr="http://baguzin.ru/wp/wp-content/uploads/2013/08/%D0%A5_%D0%B1%D0%BE%D0%BB%D1%8C%D1%88%D0%BE%D0%B5.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aguzin.ru/wp/wp-content/uploads/2013/08/%D0%A5_%D0%B1%D0%BE%D0%BB%D1%8C%D1%88%D0%BE%D0%B5.jpg">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2875" cy="151130"/>
                    </a:xfrm>
                    <a:prstGeom prst="rect">
                      <a:avLst/>
                    </a:prstGeom>
                    <a:noFill/>
                    <a:ln>
                      <a:noFill/>
                    </a:ln>
                  </pic:spPr>
                </pic:pic>
              </a:graphicData>
            </a:graphic>
          </wp:inline>
        </w:drawing>
      </w:r>
      <w:r w:rsidRPr="004135FE">
        <w:rPr>
          <w:rFonts w:ascii="Times New Roman" w:hAnsi="Times New Roman" w:cs="Times New Roman"/>
          <w:i/>
          <w:iCs/>
          <w:sz w:val="28"/>
          <w:szCs w:val="28"/>
          <w:vertAlign w:val="subscript"/>
        </w:rPr>
        <w:t>1</w:t>
      </w:r>
      <w:r w:rsidRPr="004135FE">
        <w:rPr>
          <w:rFonts w:ascii="Times New Roman" w:hAnsi="Times New Roman" w:cs="Times New Roman"/>
          <w:sz w:val="28"/>
          <w:szCs w:val="28"/>
        </w:rPr>
        <w:t> — среднее значение выборки из первой генеральной совокупности, </w:t>
      </w:r>
    </w:p>
    <w:p w14:paraId="1454BEEF" w14:textId="77777777" w:rsidR="004461EE" w:rsidRPr="004135FE" w:rsidRDefault="004461EE" w:rsidP="004135FE">
      <w:pPr>
        <w:shd w:val="clear" w:color="auto" w:fill="FFFFFF"/>
        <w:spacing w:after="0" w:line="240" w:lineRule="auto"/>
        <w:jc w:val="both"/>
        <w:rPr>
          <w:rFonts w:ascii="Times New Roman" w:hAnsi="Times New Roman" w:cs="Times New Roman"/>
          <w:sz w:val="28"/>
          <w:szCs w:val="28"/>
        </w:rPr>
      </w:pPr>
      <w:r w:rsidRPr="004135FE">
        <w:rPr>
          <w:rFonts w:ascii="Times New Roman" w:hAnsi="Times New Roman" w:cs="Times New Roman"/>
          <w:i/>
          <w:iCs/>
          <w:sz w:val="28"/>
          <w:szCs w:val="28"/>
        </w:rPr>
        <w:t>μ</w:t>
      </w:r>
      <w:r w:rsidRPr="004135FE">
        <w:rPr>
          <w:rFonts w:ascii="Times New Roman" w:hAnsi="Times New Roman" w:cs="Times New Roman"/>
          <w:i/>
          <w:iCs/>
          <w:sz w:val="28"/>
          <w:szCs w:val="28"/>
          <w:vertAlign w:val="subscript"/>
        </w:rPr>
        <w:t>1</w:t>
      </w:r>
      <w:r w:rsidRPr="004135FE">
        <w:rPr>
          <w:rFonts w:ascii="Times New Roman" w:hAnsi="Times New Roman" w:cs="Times New Roman"/>
          <w:sz w:val="28"/>
          <w:szCs w:val="28"/>
        </w:rPr>
        <w:t> — математическое ожидание первой генеральной совокупности, </w:t>
      </w:r>
    </w:p>
    <w:p w14:paraId="122D977E" w14:textId="77777777" w:rsidR="004461EE" w:rsidRPr="004135FE" w:rsidRDefault="004461EE" w:rsidP="004135FE">
      <w:pPr>
        <w:shd w:val="clear" w:color="auto" w:fill="FFFFFF"/>
        <w:spacing w:after="0" w:line="240" w:lineRule="auto"/>
        <w:jc w:val="both"/>
        <w:rPr>
          <w:rFonts w:ascii="Times New Roman" w:hAnsi="Times New Roman" w:cs="Times New Roman"/>
          <w:sz w:val="28"/>
          <w:szCs w:val="28"/>
        </w:rPr>
      </w:pPr>
      <w:r w:rsidRPr="004135FE">
        <w:rPr>
          <w:rFonts w:ascii="Times New Roman" w:hAnsi="Times New Roman" w:cs="Times New Roman"/>
          <w:b/>
          <w:noProof/>
          <w:sz w:val="28"/>
          <w:szCs w:val="28"/>
        </w:rPr>
        <w:drawing>
          <wp:inline distT="0" distB="0" distL="0" distR="0" wp14:anchorId="0F4D95F3" wp14:editId="2E7E34A4">
            <wp:extent cx="202565" cy="202565"/>
            <wp:effectExtent l="0" t="0" r="6985" b="6985"/>
            <wp:docPr id="89" name="Рисунок 89" descr="Описание: http://baguzin.ru/wp/wp-content/uploads/2013/08/01%D0%B1.-%D0%94%D0%B8%D1%81%D0%BF%D0%B5%D1%80%D1%81%D0%B8%D1%8F-1.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http://baguzin.ru/wp/wp-content/uploads/2013/08/01%D0%B1.-%D0%94%D0%B8%D1%81%D0%BF%D0%B5%D1%80%D1%81%D0%B8%D1%8F-1.jpg">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2565" cy="202565"/>
                    </a:xfrm>
                    <a:prstGeom prst="rect">
                      <a:avLst/>
                    </a:prstGeom>
                    <a:noFill/>
                    <a:ln>
                      <a:noFill/>
                    </a:ln>
                  </pic:spPr>
                </pic:pic>
              </a:graphicData>
            </a:graphic>
          </wp:inline>
        </w:drawing>
      </w:r>
      <w:r w:rsidRPr="004135FE">
        <w:rPr>
          <w:rFonts w:ascii="Times New Roman" w:hAnsi="Times New Roman" w:cs="Times New Roman"/>
          <w:sz w:val="28"/>
          <w:szCs w:val="28"/>
        </w:rPr>
        <w:t> — дисперсия первой генеральной совокупности, </w:t>
      </w:r>
    </w:p>
    <w:p w14:paraId="7A1966E1" w14:textId="77777777" w:rsidR="004461EE" w:rsidRPr="004135FE" w:rsidRDefault="004461EE" w:rsidP="004135FE">
      <w:pPr>
        <w:shd w:val="clear" w:color="auto" w:fill="FFFFFF"/>
        <w:spacing w:after="0" w:line="240" w:lineRule="auto"/>
        <w:jc w:val="both"/>
        <w:rPr>
          <w:rFonts w:ascii="Times New Roman" w:hAnsi="Times New Roman" w:cs="Times New Roman"/>
          <w:sz w:val="28"/>
          <w:szCs w:val="28"/>
        </w:rPr>
      </w:pPr>
      <w:r w:rsidRPr="004135FE">
        <w:rPr>
          <w:rFonts w:ascii="Times New Roman" w:hAnsi="Times New Roman" w:cs="Times New Roman"/>
          <w:i/>
          <w:iCs/>
          <w:sz w:val="28"/>
          <w:szCs w:val="28"/>
        </w:rPr>
        <w:t>n</w:t>
      </w:r>
      <w:r w:rsidRPr="004135FE">
        <w:rPr>
          <w:rFonts w:ascii="Times New Roman" w:hAnsi="Times New Roman" w:cs="Times New Roman"/>
          <w:i/>
          <w:iCs/>
          <w:sz w:val="28"/>
          <w:szCs w:val="28"/>
          <w:vertAlign w:val="subscript"/>
        </w:rPr>
        <w:t>1</w:t>
      </w:r>
      <w:r w:rsidRPr="004135FE">
        <w:rPr>
          <w:rFonts w:ascii="Times New Roman" w:hAnsi="Times New Roman" w:cs="Times New Roman"/>
          <w:sz w:val="28"/>
          <w:szCs w:val="28"/>
        </w:rPr>
        <w:t> — объем выборки, извлеченной из первой генеральной совокупности, </w:t>
      </w:r>
    </w:p>
    <w:p w14:paraId="3B8CC917" w14:textId="77777777" w:rsidR="004461EE" w:rsidRPr="004135FE" w:rsidRDefault="004461EE" w:rsidP="004135FE">
      <w:pPr>
        <w:shd w:val="clear" w:color="auto" w:fill="FFFFFF"/>
        <w:spacing w:after="0" w:line="240" w:lineRule="auto"/>
        <w:jc w:val="both"/>
        <w:rPr>
          <w:rFonts w:ascii="Times New Roman" w:hAnsi="Times New Roman" w:cs="Times New Roman"/>
          <w:sz w:val="28"/>
          <w:szCs w:val="28"/>
        </w:rPr>
      </w:pPr>
      <w:r w:rsidRPr="004135FE">
        <w:rPr>
          <w:rFonts w:ascii="Times New Roman" w:hAnsi="Times New Roman" w:cs="Times New Roman"/>
          <w:b/>
          <w:noProof/>
          <w:sz w:val="28"/>
          <w:szCs w:val="28"/>
        </w:rPr>
        <w:drawing>
          <wp:inline distT="0" distB="0" distL="0" distR="0" wp14:anchorId="3AB6353F" wp14:editId="7B25782B">
            <wp:extent cx="161925" cy="161925"/>
            <wp:effectExtent l="0" t="0" r="9525" b="9525"/>
            <wp:docPr id="88" name="Рисунок 88" descr="Описание: http://baguzin.ru/wp/wp-content/uploads/2013/08/%D0%A5_%D0%B1%D0%BE%D0%BB%D1%8C%D1%88%D0%BE%D0%B5.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http://baguzin.ru/wp/wp-content/uploads/2013/08/%D0%A5_%D0%B1%D0%BE%D0%BB%D1%8C%D1%88%D0%BE%D0%B5.jpg">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4135FE">
        <w:rPr>
          <w:rFonts w:ascii="Times New Roman" w:hAnsi="Times New Roman" w:cs="Times New Roman"/>
          <w:i/>
          <w:iCs/>
          <w:sz w:val="28"/>
          <w:szCs w:val="28"/>
          <w:vertAlign w:val="subscript"/>
        </w:rPr>
        <w:t>2</w:t>
      </w:r>
      <w:r w:rsidRPr="004135FE">
        <w:rPr>
          <w:rFonts w:ascii="Times New Roman" w:hAnsi="Times New Roman" w:cs="Times New Roman"/>
          <w:sz w:val="28"/>
          <w:szCs w:val="28"/>
        </w:rPr>
        <w:t> — среднее значение выборки из второй генеральной совокупности, </w:t>
      </w:r>
    </w:p>
    <w:p w14:paraId="230B3ADE" w14:textId="77777777" w:rsidR="004461EE" w:rsidRPr="004135FE" w:rsidRDefault="004461EE" w:rsidP="004135FE">
      <w:pPr>
        <w:shd w:val="clear" w:color="auto" w:fill="FFFFFF"/>
        <w:spacing w:after="0" w:line="240" w:lineRule="auto"/>
        <w:jc w:val="both"/>
        <w:rPr>
          <w:rFonts w:ascii="Times New Roman" w:hAnsi="Times New Roman" w:cs="Times New Roman"/>
          <w:sz w:val="28"/>
          <w:szCs w:val="28"/>
        </w:rPr>
      </w:pPr>
      <w:r w:rsidRPr="004135FE">
        <w:rPr>
          <w:rFonts w:ascii="Times New Roman" w:hAnsi="Times New Roman" w:cs="Times New Roman"/>
          <w:i/>
          <w:iCs/>
          <w:sz w:val="28"/>
          <w:szCs w:val="28"/>
        </w:rPr>
        <w:t>μ</w:t>
      </w:r>
      <w:r w:rsidRPr="004135FE">
        <w:rPr>
          <w:rFonts w:ascii="Times New Roman" w:hAnsi="Times New Roman" w:cs="Times New Roman"/>
          <w:i/>
          <w:iCs/>
          <w:sz w:val="28"/>
          <w:szCs w:val="28"/>
          <w:vertAlign w:val="subscript"/>
        </w:rPr>
        <w:t>2</w:t>
      </w:r>
      <w:r w:rsidRPr="004135FE">
        <w:rPr>
          <w:rFonts w:ascii="Times New Roman" w:hAnsi="Times New Roman" w:cs="Times New Roman"/>
          <w:sz w:val="28"/>
          <w:szCs w:val="28"/>
        </w:rPr>
        <w:t>— математическое ожидание второй генеральной совокупности, </w:t>
      </w:r>
    </w:p>
    <w:p w14:paraId="00DE2361" w14:textId="77777777" w:rsidR="004461EE" w:rsidRPr="004135FE" w:rsidRDefault="004461EE" w:rsidP="004135FE">
      <w:pPr>
        <w:shd w:val="clear" w:color="auto" w:fill="FFFFFF"/>
        <w:spacing w:after="0" w:line="240" w:lineRule="auto"/>
        <w:jc w:val="both"/>
        <w:rPr>
          <w:rFonts w:ascii="Times New Roman" w:hAnsi="Times New Roman" w:cs="Times New Roman"/>
          <w:sz w:val="28"/>
          <w:szCs w:val="28"/>
        </w:rPr>
      </w:pPr>
      <w:r w:rsidRPr="004135FE">
        <w:rPr>
          <w:rFonts w:ascii="Times New Roman" w:hAnsi="Times New Roman" w:cs="Times New Roman"/>
          <w:b/>
          <w:noProof/>
          <w:sz w:val="28"/>
          <w:szCs w:val="28"/>
        </w:rPr>
        <w:drawing>
          <wp:inline distT="0" distB="0" distL="0" distR="0" wp14:anchorId="677FF1FE" wp14:editId="32739E87">
            <wp:extent cx="202565" cy="202565"/>
            <wp:effectExtent l="0" t="0" r="6985" b="6985"/>
            <wp:docPr id="87" name="Рисунок 87" descr="Описание: http://baguzin.ru/wp/wp-content/uploads/2013/08/01%D0%B2.-%D0%94%D0%B8%D1%81%D0%BF%D0%B5%D1%80%D1%81%D0%B8%D1%8F-2.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http://baguzin.ru/wp/wp-content/uploads/2013/08/01%D0%B2.-%D0%94%D0%B8%D1%81%D0%BF%D0%B5%D1%80%D1%81%D0%B8%D1%8F-2.jpg">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2565" cy="202565"/>
                    </a:xfrm>
                    <a:prstGeom prst="rect">
                      <a:avLst/>
                    </a:prstGeom>
                    <a:noFill/>
                    <a:ln>
                      <a:noFill/>
                    </a:ln>
                  </pic:spPr>
                </pic:pic>
              </a:graphicData>
            </a:graphic>
          </wp:inline>
        </w:drawing>
      </w:r>
      <w:r w:rsidRPr="004135FE">
        <w:rPr>
          <w:rFonts w:ascii="Times New Roman" w:hAnsi="Times New Roman" w:cs="Times New Roman"/>
          <w:sz w:val="28"/>
          <w:szCs w:val="28"/>
        </w:rPr>
        <w:t> — дисперсия второй генеральной совокупности, </w:t>
      </w:r>
    </w:p>
    <w:p w14:paraId="64FFF3B6" w14:textId="77777777" w:rsidR="004461EE" w:rsidRPr="004135FE" w:rsidRDefault="004461EE" w:rsidP="004135FE">
      <w:pPr>
        <w:shd w:val="clear" w:color="auto" w:fill="FFFFFF"/>
        <w:spacing w:after="0" w:line="240" w:lineRule="auto"/>
        <w:jc w:val="both"/>
        <w:rPr>
          <w:rFonts w:ascii="Times New Roman" w:hAnsi="Times New Roman" w:cs="Times New Roman"/>
          <w:b/>
          <w:sz w:val="28"/>
          <w:szCs w:val="28"/>
        </w:rPr>
      </w:pPr>
      <w:r w:rsidRPr="004135FE">
        <w:rPr>
          <w:rFonts w:ascii="Times New Roman" w:hAnsi="Times New Roman" w:cs="Times New Roman"/>
          <w:i/>
          <w:iCs/>
          <w:sz w:val="28"/>
          <w:szCs w:val="28"/>
        </w:rPr>
        <w:t>n</w:t>
      </w:r>
      <w:r w:rsidRPr="004135FE">
        <w:rPr>
          <w:rFonts w:ascii="Times New Roman" w:hAnsi="Times New Roman" w:cs="Times New Roman"/>
          <w:i/>
          <w:iCs/>
          <w:sz w:val="28"/>
          <w:szCs w:val="28"/>
          <w:vertAlign w:val="subscript"/>
        </w:rPr>
        <w:t>2</w:t>
      </w:r>
      <w:r w:rsidRPr="004135FE">
        <w:rPr>
          <w:rFonts w:ascii="Times New Roman" w:hAnsi="Times New Roman" w:cs="Times New Roman"/>
          <w:sz w:val="28"/>
          <w:szCs w:val="28"/>
        </w:rPr>
        <w:t xml:space="preserve"> — объем выборки, извлеченной из второй генеральной совокупности.  </w:t>
      </w:r>
    </w:p>
    <w:p w14:paraId="02420E07" w14:textId="77777777" w:rsidR="004461EE" w:rsidRPr="004135FE" w:rsidRDefault="004461EE" w:rsidP="000B403C">
      <w:pPr>
        <w:shd w:val="clear" w:color="auto" w:fill="FFFFFF"/>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Статистика Z имеет стандартизованное нормальное распределение.</w:t>
      </w:r>
    </w:p>
    <w:p w14:paraId="3B20C263" w14:textId="77777777" w:rsidR="004461EE" w:rsidRPr="004135FE" w:rsidRDefault="004461EE" w:rsidP="000B403C">
      <w:pPr>
        <w:widowControl w:val="0"/>
        <w:tabs>
          <w:tab w:val="left" w:pos="993"/>
        </w:tabs>
        <w:autoSpaceDE w:val="0"/>
        <w:autoSpaceDN w:val="0"/>
        <w:adjustRightInd w:val="0"/>
        <w:spacing w:after="0" w:line="240" w:lineRule="auto"/>
        <w:ind w:firstLine="709"/>
        <w:contextualSpacing/>
        <w:jc w:val="both"/>
        <w:rPr>
          <w:rFonts w:ascii="Times New Roman" w:hAnsi="Times New Roman" w:cs="Times New Roman"/>
          <w:bCs/>
          <w:sz w:val="28"/>
          <w:szCs w:val="28"/>
        </w:rPr>
      </w:pPr>
      <w:r w:rsidRPr="004135FE">
        <w:rPr>
          <w:rFonts w:ascii="Times New Roman" w:hAnsi="Times New Roman" w:cs="Times New Roman"/>
          <w:sz w:val="28"/>
          <w:szCs w:val="28"/>
          <w:lang w:eastAsia="en-US"/>
        </w:rPr>
        <w:t xml:space="preserve">Статистически обработанные данные исследования путем применения пакета прикладных программ </w:t>
      </w:r>
      <w:r w:rsidRPr="004135FE">
        <w:rPr>
          <w:rFonts w:ascii="Times New Roman" w:hAnsi="Times New Roman" w:cs="Times New Roman"/>
          <w:sz w:val="28"/>
          <w:szCs w:val="28"/>
          <w:lang w:val="en-US" w:eastAsia="en-US"/>
        </w:rPr>
        <w:t>Microsoft</w:t>
      </w:r>
      <w:r w:rsidRPr="004135FE">
        <w:rPr>
          <w:rFonts w:ascii="Times New Roman" w:hAnsi="Times New Roman" w:cs="Times New Roman"/>
          <w:sz w:val="28"/>
          <w:szCs w:val="28"/>
          <w:lang w:eastAsia="en-US"/>
        </w:rPr>
        <w:t xml:space="preserve"> </w:t>
      </w:r>
      <w:r w:rsidRPr="004135FE">
        <w:rPr>
          <w:rFonts w:ascii="Times New Roman" w:hAnsi="Times New Roman" w:cs="Times New Roman"/>
          <w:sz w:val="28"/>
          <w:szCs w:val="28"/>
          <w:lang w:val="en-US" w:eastAsia="en-US"/>
        </w:rPr>
        <w:t>Office</w:t>
      </w:r>
      <w:r w:rsidRPr="004135FE">
        <w:rPr>
          <w:rFonts w:ascii="Times New Roman" w:hAnsi="Times New Roman" w:cs="Times New Roman"/>
          <w:sz w:val="28"/>
          <w:szCs w:val="28"/>
          <w:lang w:eastAsia="en-US"/>
        </w:rPr>
        <w:t xml:space="preserve"> и </w:t>
      </w:r>
      <w:r w:rsidRPr="004135FE">
        <w:rPr>
          <w:rFonts w:ascii="Times New Roman" w:hAnsi="Times New Roman" w:cs="Times New Roman"/>
          <w:sz w:val="28"/>
          <w:szCs w:val="28"/>
          <w:lang w:val="en-US" w:eastAsia="en-US"/>
        </w:rPr>
        <w:t>Excel</w:t>
      </w:r>
      <w:r w:rsidRPr="004135FE">
        <w:rPr>
          <w:rFonts w:ascii="Times New Roman" w:hAnsi="Times New Roman" w:cs="Times New Roman"/>
          <w:sz w:val="28"/>
          <w:szCs w:val="28"/>
          <w:lang w:eastAsia="en-US"/>
        </w:rPr>
        <w:t xml:space="preserve"> использовались для составления таблиц, построения графиков и диаграмм, которые улучшают информативность результатов исследования и облегчают восприятие материала.</w:t>
      </w:r>
      <w:r w:rsidRPr="004135FE">
        <w:rPr>
          <w:rFonts w:ascii="Times New Roman" w:hAnsi="Times New Roman" w:cs="Times New Roman"/>
          <w:bCs/>
          <w:sz w:val="28"/>
          <w:szCs w:val="28"/>
        </w:rPr>
        <w:t xml:space="preserve"> </w:t>
      </w:r>
    </w:p>
    <w:p w14:paraId="72CE315F" w14:textId="7001D87E" w:rsidR="004461EE" w:rsidRPr="004135FE" w:rsidRDefault="004461EE" w:rsidP="000B403C">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После получения результатов социологического опроса, связи между переменными были изучены с использованием хи-квадрат Пирсона.  Поправка Ята на преемственность и поправка Фишера там, где это было необходимо, применялись тесты. Независимые ассоциации между изученными факторами и шансами были изучены с использованием многомерной регрессии Пуассона с надежные оценки стандартных ошибок. Регрессия Пуассона превосходит традиционную логистическую регрессию для биномиальных результатов перекрестных исследований, когда распространенность результата ожидается более 10%. Сырая и скорректированные коэффициенты распространенности (</w:t>
      </w:r>
      <w:r w:rsidRPr="004135FE">
        <w:rPr>
          <w:rFonts w:ascii="Times New Roman" w:eastAsiaTheme="minorHAnsi" w:hAnsi="Times New Roman" w:cs="Times New Roman"/>
          <w:sz w:val="28"/>
          <w:szCs w:val="28"/>
          <w:lang w:val="en-US" w:eastAsia="en-US"/>
        </w:rPr>
        <w:t>PR</w:t>
      </w:r>
      <w:r w:rsidRPr="004135FE">
        <w:rPr>
          <w:rFonts w:ascii="Times New Roman" w:eastAsiaTheme="minorHAnsi" w:hAnsi="Times New Roman" w:cs="Times New Roman"/>
          <w:sz w:val="28"/>
          <w:szCs w:val="28"/>
          <w:lang w:eastAsia="en-US"/>
        </w:rPr>
        <w:t xml:space="preserve">) с 95% доверительным интервалом были по оценкам. Все расчеты проводились с использованием </w:t>
      </w:r>
      <w:r w:rsidRPr="004135FE">
        <w:rPr>
          <w:rFonts w:ascii="Times New Roman" w:hAnsi="Times New Roman" w:cs="Times New Roman"/>
          <w:sz w:val="28"/>
          <w:szCs w:val="28"/>
        </w:rPr>
        <w:t xml:space="preserve">База данных </w:t>
      </w:r>
      <w:r w:rsidRPr="004135FE">
        <w:rPr>
          <w:rFonts w:ascii="Times New Roman" w:hAnsi="Times New Roman" w:cs="Times New Roman"/>
          <w:sz w:val="28"/>
          <w:szCs w:val="28"/>
          <w:lang w:val="en-US"/>
        </w:rPr>
        <w:t>Access</w:t>
      </w:r>
      <w:r w:rsidRPr="004135FE">
        <w:rPr>
          <w:rFonts w:ascii="Times New Roman" w:hAnsi="Times New Roman" w:cs="Times New Roman"/>
          <w:sz w:val="28"/>
          <w:szCs w:val="28"/>
        </w:rPr>
        <w:t xml:space="preserve"> с </w:t>
      </w:r>
      <w:r w:rsidRPr="004135FE">
        <w:rPr>
          <w:rFonts w:ascii="Times New Roman" w:hAnsi="Times New Roman" w:cs="Times New Roman"/>
          <w:sz w:val="28"/>
          <w:szCs w:val="28"/>
          <w:lang w:val="en-US"/>
        </w:rPr>
        <w:t>ID</w:t>
      </w:r>
      <w:r w:rsidRPr="004135FE">
        <w:rPr>
          <w:rFonts w:ascii="Times New Roman" w:hAnsi="Times New Roman" w:cs="Times New Roman"/>
          <w:sz w:val="28"/>
          <w:szCs w:val="28"/>
        </w:rPr>
        <w:t xml:space="preserve"> кодами</w:t>
      </w:r>
      <w:r w:rsidRPr="004135FE">
        <w:rPr>
          <w:rFonts w:ascii="Times New Roman" w:eastAsiaTheme="minorHAnsi" w:hAnsi="Times New Roman" w:cs="Times New Roman"/>
          <w:sz w:val="28"/>
          <w:szCs w:val="28"/>
          <w:lang w:eastAsia="en-US"/>
        </w:rPr>
        <w:t xml:space="preserve">, </w:t>
      </w:r>
      <w:r w:rsidRPr="004135FE">
        <w:rPr>
          <w:rFonts w:ascii="Times New Roman" w:eastAsiaTheme="minorHAnsi" w:hAnsi="Times New Roman" w:cs="Times New Roman"/>
          <w:sz w:val="28"/>
          <w:szCs w:val="28"/>
          <w:lang w:val="kk-KZ" w:eastAsia="en-US"/>
        </w:rPr>
        <w:t xml:space="preserve">пакета программ </w:t>
      </w:r>
      <w:r w:rsidRPr="004135FE">
        <w:rPr>
          <w:rFonts w:ascii="Times New Roman" w:eastAsiaTheme="minorHAnsi" w:hAnsi="Times New Roman" w:cs="Times New Roman"/>
          <w:sz w:val="28"/>
          <w:szCs w:val="28"/>
          <w:lang w:val="en-US" w:eastAsia="en-US"/>
        </w:rPr>
        <w:t>SPSS</w:t>
      </w:r>
      <w:r w:rsidRPr="004135FE">
        <w:rPr>
          <w:rFonts w:ascii="Times New Roman" w:eastAsiaTheme="minorHAnsi" w:hAnsi="Times New Roman" w:cs="Times New Roman"/>
          <w:sz w:val="28"/>
          <w:szCs w:val="28"/>
          <w:lang w:eastAsia="en-US"/>
        </w:rPr>
        <w:t xml:space="preserve"> 22.0 (</w:t>
      </w:r>
      <w:r w:rsidRPr="004135FE">
        <w:rPr>
          <w:rFonts w:ascii="Times New Roman" w:eastAsiaTheme="minorHAnsi" w:hAnsi="Times New Roman" w:cs="Times New Roman"/>
          <w:sz w:val="28"/>
          <w:szCs w:val="28"/>
          <w:lang w:val="en-US" w:eastAsia="en-US"/>
        </w:rPr>
        <w:t>SPSS</w:t>
      </w:r>
      <w:r w:rsidRPr="004135FE">
        <w:rPr>
          <w:rFonts w:ascii="Times New Roman" w:eastAsiaTheme="minorHAnsi" w:hAnsi="Times New Roman" w:cs="Times New Roman"/>
          <w:sz w:val="28"/>
          <w:szCs w:val="28"/>
          <w:lang w:eastAsia="en-US"/>
        </w:rPr>
        <w:t xml:space="preserve"> Inc. Chicago, </w:t>
      </w:r>
      <w:r w:rsidRPr="004135FE">
        <w:rPr>
          <w:rFonts w:ascii="Times New Roman" w:eastAsiaTheme="minorHAnsi" w:hAnsi="Times New Roman" w:cs="Times New Roman"/>
          <w:sz w:val="28"/>
          <w:szCs w:val="28"/>
          <w:lang w:val="en-US" w:eastAsia="en-US"/>
        </w:rPr>
        <w:t>IL</w:t>
      </w:r>
      <w:r w:rsidRPr="004135FE">
        <w:rPr>
          <w:rFonts w:ascii="Times New Roman" w:eastAsiaTheme="minorHAnsi" w:hAnsi="Times New Roman" w:cs="Times New Roman"/>
          <w:sz w:val="28"/>
          <w:szCs w:val="28"/>
          <w:lang w:eastAsia="en-US"/>
        </w:rPr>
        <w:t>, USA</w:t>
      </w:r>
      <w:r w:rsidRPr="004135FE">
        <w:rPr>
          <w:rFonts w:ascii="Times New Roman" w:eastAsiaTheme="minorHAnsi" w:hAnsi="Times New Roman" w:cs="Times New Roman"/>
          <w:sz w:val="28"/>
          <w:szCs w:val="28"/>
          <w:lang w:val="kk-KZ" w:eastAsia="en-US"/>
        </w:rPr>
        <w:t>),</w:t>
      </w:r>
      <w:r w:rsidRPr="004135FE">
        <w:rPr>
          <w:rFonts w:ascii="Times New Roman" w:eastAsiaTheme="minorHAnsi" w:hAnsi="Times New Roman" w:cs="Times New Roman"/>
          <w:sz w:val="28"/>
          <w:szCs w:val="28"/>
          <w:lang w:eastAsia="en-US"/>
        </w:rPr>
        <w:t xml:space="preserve"> </w:t>
      </w:r>
      <w:r w:rsidRPr="004135FE">
        <w:rPr>
          <w:rFonts w:ascii="Times New Roman" w:eastAsiaTheme="minorHAnsi" w:hAnsi="Times New Roman" w:cs="Times New Roman"/>
          <w:sz w:val="28"/>
          <w:szCs w:val="28"/>
          <w:lang w:val="en-US" w:eastAsia="en-US"/>
        </w:rPr>
        <w:t>Stata</w:t>
      </w:r>
      <w:r w:rsidRPr="004135FE">
        <w:rPr>
          <w:rFonts w:ascii="Times New Roman" w:eastAsiaTheme="minorHAnsi" w:hAnsi="Times New Roman" w:cs="Times New Roman"/>
          <w:sz w:val="28"/>
          <w:szCs w:val="28"/>
          <w:lang w:eastAsia="en-US"/>
        </w:rPr>
        <w:t>. программное обеспечение (</w:t>
      </w:r>
      <w:r w:rsidRPr="004135FE">
        <w:rPr>
          <w:rFonts w:ascii="Times New Roman" w:eastAsiaTheme="minorHAnsi" w:hAnsi="Times New Roman" w:cs="Times New Roman"/>
          <w:sz w:val="28"/>
          <w:szCs w:val="28"/>
          <w:lang w:val="en-US" w:eastAsia="en-US"/>
        </w:rPr>
        <w:t>Stata</w:t>
      </w:r>
      <w:r w:rsidRPr="004135FE">
        <w:rPr>
          <w:rFonts w:ascii="Times New Roman" w:eastAsiaTheme="minorHAnsi" w:hAnsi="Times New Roman" w:cs="Times New Roman"/>
          <w:sz w:val="28"/>
          <w:szCs w:val="28"/>
          <w:lang w:eastAsia="en-US"/>
        </w:rPr>
        <w:t xml:space="preserve"> </w:t>
      </w:r>
      <w:r w:rsidRPr="004135FE">
        <w:rPr>
          <w:rFonts w:ascii="Times New Roman" w:eastAsiaTheme="minorHAnsi" w:hAnsi="Times New Roman" w:cs="Times New Roman"/>
          <w:sz w:val="28"/>
          <w:szCs w:val="28"/>
          <w:lang w:val="en-US" w:eastAsia="en-US"/>
        </w:rPr>
        <w:t>Corp</w:t>
      </w:r>
      <w:r w:rsidR="00205B83" w:rsidRPr="004135FE">
        <w:rPr>
          <w:rFonts w:ascii="Times New Roman" w:eastAsiaTheme="minorHAnsi" w:hAnsi="Times New Roman" w:cs="Times New Roman"/>
          <w:sz w:val="28"/>
          <w:szCs w:val="28"/>
          <w:lang w:eastAsia="en-US"/>
        </w:rPr>
        <w:t>, Техас, США) [159</w:t>
      </w:r>
      <w:r w:rsidRPr="004135FE">
        <w:rPr>
          <w:rFonts w:ascii="Times New Roman" w:eastAsiaTheme="minorHAnsi" w:hAnsi="Times New Roman" w:cs="Times New Roman"/>
          <w:sz w:val="28"/>
          <w:szCs w:val="28"/>
          <w:lang w:eastAsia="en-US"/>
        </w:rPr>
        <w:t>].</w:t>
      </w:r>
    </w:p>
    <w:p w14:paraId="6A7CB504" w14:textId="5D93F931" w:rsidR="004461EE" w:rsidRPr="004135FE" w:rsidRDefault="004461EE" w:rsidP="000B403C">
      <w:pPr>
        <w:tabs>
          <w:tab w:val="left" w:pos="993"/>
        </w:tabs>
        <w:spacing w:after="0" w:line="240" w:lineRule="auto"/>
        <w:ind w:firstLine="709"/>
        <w:jc w:val="both"/>
        <w:rPr>
          <w:rFonts w:ascii="Times New Roman" w:hAnsi="Times New Roman" w:cs="Times New Roman"/>
          <w:iCs/>
          <w:sz w:val="28"/>
          <w:szCs w:val="28"/>
        </w:rPr>
      </w:pPr>
      <w:r w:rsidRPr="000B403C">
        <w:rPr>
          <w:rFonts w:ascii="Times New Roman" w:hAnsi="Times New Roman" w:cs="Times New Roman"/>
          <w:bCs/>
          <w:iCs/>
          <w:sz w:val="28"/>
          <w:szCs w:val="28"/>
        </w:rPr>
        <w:t>Социологический метод исследования</w:t>
      </w:r>
      <w:r w:rsidRPr="004135FE">
        <w:rPr>
          <w:rFonts w:ascii="Times New Roman" w:hAnsi="Times New Roman" w:cs="Times New Roman"/>
          <w:iCs/>
          <w:sz w:val="28"/>
          <w:szCs w:val="28"/>
        </w:rPr>
        <w:t xml:space="preserve"> использован для </w:t>
      </w:r>
      <w:r w:rsidR="008D2D67" w:rsidRPr="004135FE">
        <w:rPr>
          <w:rFonts w:ascii="Times New Roman" w:hAnsi="Times New Roman" w:cs="Times New Roman"/>
          <w:sz w:val="28"/>
          <w:szCs w:val="28"/>
        </w:rPr>
        <w:t>определения</w:t>
      </w:r>
      <w:r w:rsidR="008D2D67" w:rsidRPr="004135FE">
        <w:rPr>
          <w:rFonts w:ascii="Times New Roman" w:hAnsi="Times New Roman" w:cs="Times New Roman"/>
          <w:sz w:val="28"/>
          <w:szCs w:val="28"/>
          <w:lang w:val="kk-KZ"/>
        </w:rPr>
        <w:t xml:space="preserve"> потребностей респондентов по оказанию медицинской помощи </w:t>
      </w:r>
      <w:r w:rsidR="008D2D67" w:rsidRPr="004135FE">
        <w:rPr>
          <w:rFonts w:ascii="Times New Roman" w:eastAsia="Times New Roman" w:hAnsi="Times New Roman" w:cs="Times New Roman"/>
          <w:sz w:val="28"/>
          <w:szCs w:val="28"/>
          <w:lang w:val="kk-KZ"/>
        </w:rPr>
        <w:t xml:space="preserve">и </w:t>
      </w:r>
      <w:r w:rsidR="008D2D67" w:rsidRPr="004135FE">
        <w:rPr>
          <w:rFonts w:ascii="Times New Roman" w:eastAsia="Times New Roman" w:hAnsi="Times New Roman" w:cs="Times New Roman"/>
          <w:sz w:val="28"/>
          <w:szCs w:val="28"/>
        </w:rPr>
        <w:t xml:space="preserve">межсекторального сотрудничества при СД2т </w:t>
      </w:r>
      <w:r w:rsidRPr="004135FE">
        <w:rPr>
          <w:rFonts w:ascii="Times New Roman" w:hAnsi="Times New Roman" w:cs="Times New Roman"/>
          <w:iCs/>
          <w:sz w:val="28"/>
          <w:szCs w:val="28"/>
        </w:rPr>
        <w:t>с помощью проведения анкетирования пациентов с СД2т состоящих на диспансерном учете, врачей эндокринологов поликлиник г.Алматы.</w:t>
      </w:r>
    </w:p>
    <w:p w14:paraId="4D395D5A" w14:textId="10CBBF98" w:rsidR="004461EE" w:rsidRPr="004135FE" w:rsidRDefault="004461EE" w:rsidP="000B403C">
      <w:pPr>
        <w:tabs>
          <w:tab w:val="left" w:pos="993"/>
        </w:tabs>
        <w:spacing w:after="0" w:line="240" w:lineRule="auto"/>
        <w:ind w:firstLine="709"/>
        <w:jc w:val="both"/>
        <w:rPr>
          <w:rFonts w:ascii="Times New Roman" w:hAnsi="Times New Roman" w:cs="Times New Roman"/>
          <w:iCs/>
          <w:sz w:val="28"/>
          <w:szCs w:val="28"/>
        </w:rPr>
      </w:pPr>
      <w:r w:rsidRPr="004135FE">
        <w:rPr>
          <w:rFonts w:ascii="Times New Roman" w:hAnsi="Times New Roman" w:cs="Times New Roman"/>
          <w:sz w:val="28"/>
          <w:szCs w:val="28"/>
        </w:rPr>
        <w:t>По мнению одного из известных теоретиков методологии социологичес</w:t>
      </w:r>
      <w:r w:rsidR="00205B83" w:rsidRPr="004135FE">
        <w:rPr>
          <w:rFonts w:ascii="Times New Roman" w:hAnsi="Times New Roman" w:cs="Times New Roman"/>
          <w:sz w:val="28"/>
          <w:szCs w:val="28"/>
        </w:rPr>
        <w:t>ких исследований В.А. Ядова [160-163</w:t>
      </w:r>
      <w:r w:rsidRPr="004135FE">
        <w:rPr>
          <w:rFonts w:ascii="Times New Roman" w:hAnsi="Times New Roman" w:cs="Times New Roman"/>
          <w:sz w:val="28"/>
          <w:szCs w:val="28"/>
        </w:rPr>
        <w:t xml:space="preserve">], данный метод можно использовать в качестве достоверного источника данных. </w:t>
      </w:r>
    </w:p>
    <w:p w14:paraId="2CBF2C0D" w14:textId="1ABDD4F5" w:rsidR="004461EE" w:rsidRPr="004135FE" w:rsidRDefault="004461EE" w:rsidP="000B403C">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Специально разработанная «Анкета для врачей» включила 25 вопросов, «Анкета для пациентов» включила 61 вопросов логически сгруппированные по общему и специальному блокам (приложение </w:t>
      </w:r>
      <w:r w:rsidR="008542E9" w:rsidRPr="004135FE">
        <w:rPr>
          <w:rFonts w:ascii="Times New Roman" w:hAnsi="Times New Roman" w:cs="Times New Roman"/>
          <w:sz w:val="28"/>
          <w:szCs w:val="28"/>
        </w:rPr>
        <w:t xml:space="preserve">Б), </w:t>
      </w:r>
      <w:r w:rsidRPr="004135FE">
        <w:rPr>
          <w:rFonts w:ascii="Times New Roman" w:hAnsi="Times New Roman" w:cs="Times New Roman"/>
          <w:spacing w:val="2"/>
          <w:sz w:val="28"/>
          <w:szCs w:val="28"/>
        </w:rPr>
        <w:t xml:space="preserve">адаптированный из </w:t>
      </w:r>
      <w:r w:rsidRPr="004135FE">
        <w:rPr>
          <w:rFonts w:ascii="Times New Roman" w:hAnsi="Times New Roman" w:cs="Times New Roman"/>
          <w:bCs/>
          <w:sz w:val="28"/>
          <w:szCs w:val="28"/>
        </w:rPr>
        <w:t xml:space="preserve">протокола </w:t>
      </w:r>
      <w:r w:rsidRPr="004135FE">
        <w:rPr>
          <w:rFonts w:ascii="Times New Roman" w:hAnsi="Times New Roman" w:cs="Times New Roman"/>
          <w:bCs/>
          <w:sz w:val="28"/>
          <w:szCs w:val="28"/>
          <w:lang w:val="en-US"/>
        </w:rPr>
        <w:t>ADA</w:t>
      </w:r>
      <w:r w:rsidRPr="004135FE">
        <w:rPr>
          <w:rFonts w:ascii="Times New Roman" w:hAnsi="Times New Roman" w:cs="Times New Roman"/>
          <w:bCs/>
          <w:sz w:val="28"/>
          <w:szCs w:val="28"/>
        </w:rPr>
        <w:t xml:space="preserve"> и 9-ого выпуска Алгоритма специализированной медицинской помощи больным сахарным диабетом, п</w:t>
      </w:r>
      <w:r w:rsidRPr="004135FE">
        <w:rPr>
          <w:rFonts w:ascii="Times New Roman" w:hAnsi="Times New Roman" w:cs="Times New Roman"/>
          <w:sz w:val="28"/>
          <w:szCs w:val="28"/>
        </w:rPr>
        <w:t xml:space="preserve">од редакцией </w:t>
      </w:r>
      <w:r w:rsidRPr="004135FE">
        <w:rPr>
          <w:rFonts w:ascii="Times New Roman" w:hAnsi="Times New Roman" w:cs="Times New Roman"/>
          <w:sz w:val="28"/>
          <w:szCs w:val="28"/>
        </w:rPr>
        <w:lastRenderedPageBreak/>
        <w:t>И.И.</w:t>
      </w:r>
      <w:r w:rsidR="008542E9" w:rsidRPr="004135FE">
        <w:rPr>
          <w:rFonts w:ascii="Times New Roman" w:hAnsi="Times New Roman" w:cs="Times New Roman"/>
          <w:sz w:val="28"/>
          <w:szCs w:val="28"/>
        </w:rPr>
        <w:t>Дедова, М.В.Шестаково</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kk-KZ"/>
        </w:rPr>
        <w:t>Анкетированием было</w:t>
      </w:r>
      <w:r w:rsidRPr="004135FE">
        <w:rPr>
          <w:rFonts w:ascii="Times New Roman" w:hAnsi="Times New Roman" w:cs="Times New Roman"/>
          <w:sz w:val="28"/>
          <w:szCs w:val="28"/>
        </w:rPr>
        <w:t xml:space="preserve"> охвачено 35 врача и 480 пациентов- респондентов. Обе анкеты </w:t>
      </w:r>
      <w:r w:rsidR="00DB4AAE" w:rsidRPr="004135FE">
        <w:rPr>
          <w:rFonts w:ascii="Times New Roman" w:hAnsi="Times New Roman" w:cs="Times New Roman"/>
          <w:sz w:val="28"/>
          <w:szCs w:val="28"/>
        </w:rPr>
        <w:t xml:space="preserve">на казахском и русском языках. </w:t>
      </w:r>
    </w:p>
    <w:p w14:paraId="3D09A6D8" w14:textId="77777777" w:rsidR="004461EE" w:rsidRPr="004135FE" w:rsidRDefault="004461EE" w:rsidP="000B403C">
      <w:pPr>
        <w:pStyle w:val="a3"/>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Разделы анкет для врачей-эндокринологов:</w:t>
      </w:r>
    </w:p>
    <w:p w14:paraId="3652882F" w14:textId="77777777" w:rsidR="004461EE" w:rsidRPr="004135FE" w:rsidRDefault="004461EE" w:rsidP="000B403C">
      <w:pPr>
        <w:pStyle w:val="a3"/>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1-раздел. Данные врача</w:t>
      </w:r>
    </w:p>
    <w:p w14:paraId="173F3324" w14:textId="77777777" w:rsidR="004461EE" w:rsidRPr="004135FE" w:rsidRDefault="004461EE" w:rsidP="000B403C">
      <w:pPr>
        <w:pStyle w:val="a3"/>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2-раздел. Персонализированный подход к пациентам</w:t>
      </w:r>
    </w:p>
    <w:p w14:paraId="6E99AB2A" w14:textId="77777777" w:rsidR="004461EE" w:rsidRPr="004135FE" w:rsidRDefault="004461EE" w:rsidP="000B403C">
      <w:pPr>
        <w:pStyle w:val="a3"/>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3-раздел. Психосоциальная поддержка пациентов.</w:t>
      </w:r>
    </w:p>
    <w:p w14:paraId="18486837" w14:textId="77777777" w:rsidR="004461EE" w:rsidRPr="004135FE" w:rsidRDefault="004461EE" w:rsidP="000B403C">
      <w:pPr>
        <w:pStyle w:val="a3"/>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4-раздел. Качество оснащенности ресурсами и удовлетворенность рабочим местом.</w:t>
      </w:r>
    </w:p>
    <w:p w14:paraId="2D15B8AD" w14:textId="77777777" w:rsidR="004461EE" w:rsidRPr="004135FE" w:rsidRDefault="004461EE" w:rsidP="000B403C">
      <w:pPr>
        <w:pStyle w:val="a3"/>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Разделы анкет для пациентов с СД2т:</w:t>
      </w:r>
    </w:p>
    <w:p w14:paraId="355A83B7" w14:textId="77777777" w:rsidR="004461EE" w:rsidRPr="004135FE" w:rsidRDefault="004461EE" w:rsidP="000B403C">
      <w:pPr>
        <w:pStyle w:val="a3"/>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1-раздел. Данные пациента</w:t>
      </w:r>
    </w:p>
    <w:p w14:paraId="6C7BC62A" w14:textId="77777777" w:rsidR="004461EE" w:rsidRPr="004135FE" w:rsidRDefault="004461EE" w:rsidP="000B403C">
      <w:pPr>
        <w:pStyle w:val="a3"/>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2-раздел. Персонализированный подход к пациентам</w:t>
      </w:r>
    </w:p>
    <w:p w14:paraId="636E2C6C" w14:textId="77777777" w:rsidR="004461EE" w:rsidRPr="004135FE" w:rsidRDefault="004461EE" w:rsidP="000B403C">
      <w:pPr>
        <w:pStyle w:val="a3"/>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3-раздел. Качество информирования и удовлетворенность оказанием медицинской помощи пациентов</w:t>
      </w:r>
    </w:p>
    <w:p w14:paraId="14AB0C1F" w14:textId="77777777" w:rsidR="004461EE" w:rsidRPr="004135FE" w:rsidRDefault="004461EE" w:rsidP="000B403C">
      <w:pPr>
        <w:pStyle w:val="a3"/>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4-раздел. Приверженность к рекомендациям и самоменеджмент</w:t>
      </w:r>
    </w:p>
    <w:p w14:paraId="00FCAF6C" w14:textId="77777777" w:rsidR="004461EE" w:rsidRPr="004135FE" w:rsidRDefault="004461EE" w:rsidP="000B403C">
      <w:pPr>
        <w:pStyle w:val="a3"/>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5-раздел. Обеспеченность пациентов</w:t>
      </w:r>
    </w:p>
    <w:p w14:paraId="78E27183" w14:textId="77777777" w:rsidR="004461EE" w:rsidRPr="004135FE" w:rsidRDefault="004461EE" w:rsidP="000B403C">
      <w:pPr>
        <w:pStyle w:val="a3"/>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6-раздел. Психосоциальная поддержка пациентов.</w:t>
      </w:r>
    </w:p>
    <w:p w14:paraId="2229A009" w14:textId="77777777" w:rsidR="004461EE" w:rsidRPr="004135FE" w:rsidRDefault="004461EE" w:rsidP="000B403C">
      <w:pPr>
        <w:pStyle w:val="a3"/>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7-раздел. Влияние карантина по Коронавирусной инфекции на общее состояние</w:t>
      </w:r>
    </w:p>
    <w:p w14:paraId="31ED386F" w14:textId="77777777" w:rsidR="004461EE" w:rsidRPr="004135FE" w:rsidRDefault="004461EE" w:rsidP="000B403C">
      <w:pPr>
        <w:pStyle w:val="a3"/>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8-раздел. Влияние социальных и экономических детерминант на здоровье</w:t>
      </w:r>
    </w:p>
    <w:p w14:paraId="749AD8E1" w14:textId="77777777" w:rsidR="004461EE" w:rsidRPr="004135FE" w:rsidRDefault="004461EE" w:rsidP="000B403C">
      <w:pPr>
        <w:pStyle w:val="a3"/>
        <w:tabs>
          <w:tab w:val="left" w:pos="993"/>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9-раздел. Мнение и данные по репродуктивному потенциалу женщин и мужчин фертильного возраста: общие вопросы, в</w:t>
      </w:r>
      <w:r w:rsidRPr="004135FE">
        <w:rPr>
          <w:rFonts w:ascii="Times New Roman" w:hAnsi="Times New Roman" w:cs="Times New Roman"/>
          <w:sz w:val="28"/>
          <w:szCs w:val="28"/>
          <w:lang w:val="kk-KZ"/>
        </w:rPr>
        <w:t>опросы для мужчин, в</w:t>
      </w:r>
      <w:r w:rsidRPr="004135FE">
        <w:rPr>
          <w:rFonts w:ascii="Times New Roman" w:hAnsi="Times New Roman" w:cs="Times New Roman"/>
          <w:sz w:val="28"/>
          <w:szCs w:val="28"/>
        </w:rPr>
        <w:t>опросы для женщин</w:t>
      </w:r>
    </w:p>
    <w:p w14:paraId="72B23309" w14:textId="240202DE" w:rsidR="004461EE" w:rsidRPr="000B403C" w:rsidRDefault="004461EE" w:rsidP="000B403C">
      <w:pPr>
        <w:spacing w:after="0" w:line="240" w:lineRule="auto"/>
        <w:ind w:firstLine="709"/>
        <w:jc w:val="both"/>
        <w:rPr>
          <w:rFonts w:ascii="Times New Roman" w:hAnsi="Times New Roman" w:cs="Times New Roman"/>
          <w:bCs/>
          <w:sz w:val="28"/>
          <w:szCs w:val="28"/>
          <w:shd w:val="clear" w:color="auto" w:fill="FFFFFF"/>
        </w:rPr>
      </w:pPr>
      <w:r w:rsidRPr="000B403C">
        <w:rPr>
          <w:rFonts w:ascii="Times New Roman" w:hAnsi="Times New Roman" w:cs="Times New Roman"/>
          <w:bCs/>
          <w:sz w:val="28"/>
          <w:szCs w:val="28"/>
        </w:rPr>
        <w:t xml:space="preserve">Размер выборки для проведения социологического опроса среди </w:t>
      </w:r>
      <w:r w:rsidR="0086037A" w:rsidRPr="000B403C">
        <w:rPr>
          <w:rFonts w:ascii="Times New Roman" w:hAnsi="Times New Roman" w:cs="Times New Roman"/>
          <w:bCs/>
          <w:sz w:val="28"/>
          <w:szCs w:val="28"/>
        </w:rPr>
        <w:t>респондентов</w:t>
      </w:r>
      <w:r w:rsidRPr="000B403C">
        <w:rPr>
          <w:rFonts w:ascii="Times New Roman" w:hAnsi="Times New Roman" w:cs="Times New Roman"/>
          <w:bCs/>
          <w:sz w:val="28"/>
          <w:szCs w:val="28"/>
        </w:rPr>
        <w:t xml:space="preserve"> с СД2т </w:t>
      </w:r>
      <w:r w:rsidR="000B403C">
        <w:rPr>
          <w:rFonts w:ascii="Times New Roman" w:hAnsi="Times New Roman" w:cs="Times New Roman"/>
          <w:bCs/>
          <w:sz w:val="28"/>
          <w:szCs w:val="28"/>
        </w:rPr>
        <w:t>.</w:t>
      </w:r>
    </w:p>
    <w:p w14:paraId="395CCD24" w14:textId="7820F7A9" w:rsidR="004461EE" w:rsidRPr="004135FE" w:rsidRDefault="004461EE" w:rsidP="004135FE">
      <w:pPr>
        <w:spacing w:after="0" w:line="240" w:lineRule="auto"/>
        <w:ind w:firstLine="567"/>
        <w:jc w:val="both"/>
        <w:rPr>
          <w:rFonts w:ascii="Times New Roman" w:eastAsiaTheme="minorHAnsi" w:hAnsi="Times New Roman" w:cs="Times New Roman"/>
          <w:sz w:val="28"/>
          <w:szCs w:val="28"/>
          <w:lang w:eastAsia="en-US"/>
        </w:rPr>
      </w:pPr>
      <w:r w:rsidRPr="004135FE">
        <w:rPr>
          <w:rFonts w:ascii="Times New Roman" w:hAnsi="Times New Roman" w:cs="Times New Roman"/>
          <w:sz w:val="28"/>
          <w:szCs w:val="28"/>
          <w:lang w:val="kk-KZ"/>
        </w:rPr>
        <w:t xml:space="preserve">Распространенность пациентов с СД2т распределенных по районам по данным Национального регистра сахарного диабета (НРСД) по окончанию 2019 (на момент проведения социологического опроса) года составила </w:t>
      </w:r>
      <w:r w:rsidRPr="004135FE">
        <w:rPr>
          <w:rFonts w:ascii="Times New Roman" w:hAnsi="Times New Roman" w:cs="Times New Roman"/>
          <w:sz w:val="28"/>
          <w:szCs w:val="28"/>
        </w:rPr>
        <w:t xml:space="preserve">40506 случаев. </w:t>
      </w:r>
      <w:r w:rsidRPr="004135FE">
        <w:rPr>
          <w:rFonts w:ascii="Times New Roman" w:eastAsiaTheme="minorHAnsi" w:hAnsi="Times New Roman" w:cs="Times New Roman"/>
          <w:sz w:val="28"/>
          <w:szCs w:val="28"/>
          <w:lang w:eastAsia="en-US"/>
        </w:rPr>
        <w:t>Количество пациентов на район было пропорциональным к общему количеству пациентов в районе, чтобы обеспечить географическую репрезентативность выборки.</w:t>
      </w:r>
      <w:r w:rsidRPr="004135FE">
        <w:rPr>
          <w:rFonts w:ascii="Times New Roman" w:hAnsi="Times New Roman" w:cs="Times New Roman"/>
          <w:sz w:val="28"/>
          <w:szCs w:val="28"/>
        </w:rPr>
        <w:t xml:space="preserve"> </w:t>
      </w:r>
      <w:r w:rsidRPr="004135FE">
        <w:rPr>
          <w:rFonts w:ascii="Times New Roman" w:eastAsiaTheme="minorHAnsi" w:hAnsi="Times New Roman" w:cs="Times New Roman"/>
          <w:sz w:val="28"/>
          <w:szCs w:val="28"/>
          <w:lang w:eastAsia="en-US"/>
        </w:rPr>
        <w:t xml:space="preserve">В таблице </w:t>
      </w:r>
      <w:r w:rsidR="0055696D" w:rsidRPr="004135FE">
        <w:rPr>
          <w:rFonts w:ascii="Times New Roman" w:eastAsiaTheme="minorHAnsi" w:hAnsi="Times New Roman" w:cs="Times New Roman"/>
          <w:sz w:val="28"/>
          <w:szCs w:val="28"/>
          <w:lang w:eastAsia="en-US"/>
        </w:rPr>
        <w:t>6</w:t>
      </w:r>
      <w:r w:rsidRPr="004135FE">
        <w:rPr>
          <w:rFonts w:ascii="Times New Roman" w:eastAsiaTheme="minorHAnsi" w:hAnsi="Times New Roman" w:cs="Times New Roman"/>
          <w:sz w:val="28"/>
          <w:szCs w:val="28"/>
          <w:lang w:eastAsia="en-US"/>
        </w:rPr>
        <w:t xml:space="preserve"> приведено общее количество пациентов и количество набранных участников по районам в городе Алматы.  </w:t>
      </w:r>
    </w:p>
    <w:p w14:paraId="3836B512" w14:textId="30449A53" w:rsidR="004461EE" w:rsidRPr="004135FE" w:rsidRDefault="004461EE" w:rsidP="004135FE">
      <w:pPr>
        <w:spacing w:after="0" w:line="240" w:lineRule="auto"/>
        <w:ind w:firstLine="567"/>
        <w:jc w:val="both"/>
        <w:rPr>
          <w:rFonts w:ascii="Times New Roman" w:hAnsi="Times New Roman" w:cs="Times New Roman"/>
          <w:sz w:val="28"/>
          <w:szCs w:val="28"/>
        </w:rPr>
      </w:pPr>
      <w:r w:rsidRPr="004135FE">
        <w:rPr>
          <w:rFonts w:ascii="Times New Roman" w:hAnsi="Times New Roman" w:cs="Times New Roman"/>
          <w:sz w:val="28"/>
          <w:szCs w:val="28"/>
        </w:rPr>
        <w:t>Расчет числа наблюдений, необходимых для получения дос</w:t>
      </w:r>
      <w:r w:rsidR="00272615">
        <w:rPr>
          <w:rFonts w:ascii="Times New Roman" w:hAnsi="Times New Roman" w:cs="Times New Roman"/>
          <w:sz w:val="28"/>
          <w:szCs w:val="28"/>
        </w:rPr>
        <w:t xml:space="preserve">товерных относительных величин </w:t>
      </w:r>
      <w:r w:rsidR="004F64B7" w:rsidRPr="004135FE">
        <w:rPr>
          <w:rFonts w:ascii="Times New Roman" w:hAnsi="Times New Roman" w:cs="Times New Roman"/>
          <w:sz w:val="28"/>
          <w:szCs w:val="28"/>
        </w:rPr>
        <w:t>[</w:t>
      </w:r>
      <w:r w:rsidR="00205B83" w:rsidRPr="004135FE">
        <w:rPr>
          <w:rFonts w:ascii="Times New Roman" w:hAnsi="Times New Roman" w:cs="Times New Roman"/>
          <w:sz w:val="28"/>
          <w:szCs w:val="28"/>
        </w:rPr>
        <w:t>160</w:t>
      </w:r>
      <w:r w:rsidR="004F64B7" w:rsidRPr="004135FE">
        <w:rPr>
          <w:rFonts w:ascii="Times New Roman" w:hAnsi="Times New Roman" w:cs="Times New Roman"/>
          <w:sz w:val="28"/>
          <w:szCs w:val="28"/>
        </w:rPr>
        <w:t>,1</w:t>
      </w:r>
      <w:r w:rsidR="00205B83" w:rsidRPr="004135FE">
        <w:rPr>
          <w:rFonts w:ascii="Times New Roman" w:hAnsi="Times New Roman" w:cs="Times New Roman"/>
          <w:sz w:val="28"/>
          <w:szCs w:val="28"/>
        </w:rPr>
        <w:t>61</w:t>
      </w:r>
      <w:r w:rsidRPr="004135FE">
        <w:rPr>
          <w:rFonts w:ascii="Times New Roman" w:hAnsi="Times New Roman" w:cs="Times New Roman"/>
          <w:sz w:val="28"/>
          <w:szCs w:val="28"/>
        </w:rPr>
        <w:t>]:</w:t>
      </w:r>
    </w:p>
    <w:p w14:paraId="25CD48F6" w14:textId="5458734A" w:rsidR="004461EE" w:rsidRPr="004135FE" w:rsidRDefault="00CA7E1B" w:rsidP="00272615">
      <w:pPr>
        <w:shd w:val="clear" w:color="auto" w:fill="FFFFFF"/>
        <w:spacing w:after="0" w:line="240" w:lineRule="auto"/>
        <w:ind w:firstLine="651"/>
        <w:jc w:val="both"/>
        <w:rPr>
          <w:rFonts w:ascii="Times New Roman" w:hAnsi="Times New Roman" w:cs="Times New Roman"/>
          <w:noProof/>
          <w:sz w:val="28"/>
          <w:szCs w:val="28"/>
        </w:rPr>
      </w:pPr>
      <w:r>
        <w:rPr>
          <w:rFonts w:ascii="Times New Roman" w:hAnsi="Times New Roman" w:cs="Times New Roman"/>
          <w:noProof/>
          <w:sz w:val="28"/>
          <w:szCs w:val="28"/>
        </w:rPr>
        <w:t xml:space="preserve">                                                    </w:t>
      </w:r>
      <w:r w:rsidR="004461EE" w:rsidRPr="004135FE">
        <w:rPr>
          <w:rFonts w:ascii="Times New Roman" w:hAnsi="Times New Roman" w:cs="Times New Roman"/>
          <w:noProof/>
          <w:position w:val="-26"/>
          <w:sz w:val="28"/>
          <w:szCs w:val="28"/>
        </w:rPr>
        <w:object w:dxaOrig="2040" w:dyaOrig="765" w14:anchorId="6F09AC2C">
          <v:shape id="_x0000_i1027" type="#_x0000_t75" alt="" style="width:102pt;height:36pt;mso-width-percent:0;mso-height-percent:0;mso-width-percent:0;mso-height-percent:0" o:ole="" fillcolor="window">
            <v:imagedata r:id="rId33" o:title=""/>
          </v:shape>
          <o:OLEObject Type="Embed" ProgID="Equation.3" ShapeID="_x0000_i1027" DrawAspect="Content" ObjectID="_1723037953" r:id="rId34"/>
        </w:object>
      </w:r>
      <w:r>
        <w:rPr>
          <w:rFonts w:ascii="Times New Roman" w:hAnsi="Times New Roman" w:cs="Times New Roman"/>
          <w:noProof/>
          <w:sz w:val="28"/>
          <w:szCs w:val="28"/>
        </w:rPr>
        <w:t xml:space="preserve">                                     </w:t>
      </w:r>
    </w:p>
    <w:p w14:paraId="4F74BB8A" w14:textId="77777777" w:rsidR="004461EE" w:rsidRPr="004135FE" w:rsidRDefault="004461EE" w:rsidP="004135FE">
      <w:pPr>
        <w:shd w:val="clear" w:color="auto" w:fill="FFFFFF"/>
        <w:spacing w:after="0" w:line="240" w:lineRule="auto"/>
        <w:ind w:hanging="57"/>
        <w:jc w:val="both"/>
        <w:rPr>
          <w:rFonts w:ascii="Times New Roman" w:hAnsi="Times New Roman" w:cs="Times New Roman"/>
          <w:sz w:val="28"/>
          <w:szCs w:val="28"/>
        </w:rPr>
      </w:pPr>
      <w:r w:rsidRPr="004135FE">
        <w:rPr>
          <w:rFonts w:ascii="Times New Roman" w:hAnsi="Times New Roman" w:cs="Times New Roman"/>
          <w:sz w:val="28"/>
          <w:szCs w:val="28"/>
        </w:rPr>
        <w:t xml:space="preserve">где </w:t>
      </w:r>
      <w:r w:rsidRPr="004135FE">
        <w:rPr>
          <w:rFonts w:ascii="Times New Roman" w:hAnsi="Times New Roman" w:cs="Times New Roman"/>
          <w:sz w:val="28"/>
          <w:szCs w:val="28"/>
          <w:lang w:val="en-US"/>
        </w:rPr>
        <w:t>N</w:t>
      </w:r>
      <w:r w:rsidRPr="004135FE">
        <w:rPr>
          <w:rFonts w:ascii="Times New Roman" w:hAnsi="Times New Roman" w:cs="Times New Roman"/>
          <w:sz w:val="28"/>
          <w:szCs w:val="28"/>
        </w:rPr>
        <w:t xml:space="preserve"> – необходимое число наблюдений; </w:t>
      </w:r>
    </w:p>
    <w:p w14:paraId="4C4B837C" w14:textId="77777777" w:rsidR="004461EE" w:rsidRPr="004135FE" w:rsidRDefault="004461EE" w:rsidP="004135FE">
      <w:pPr>
        <w:pStyle w:val="21"/>
        <w:spacing w:after="0" w:line="240" w:lineRule="auto"/>
        <w:jc w:val="both"/>
        <w:rPr>
          <w:sz w:val="28"/>
          <w:szCs w:val="28"/>
        </w:rPr>
      </w:pPr>
      <w:r w:rsidRPr="004135FE">
        <w:rPr>
          <w:sz w:val="28"/>
          <w:szCs w:val="28"/>
        </w:rPr>
        <w:t xml:space="preserve">t – критерий достоверности, равный 2 (при р = 95,0 %); </w:t>
      </w:r>
    </w:p>
    <w:p w14:paraId="08000A89" w14:textId="77777777" w:rsidR="004461EE" w:rsidRPr="004135FE" w:rsidRDefault="004461EE" w:rsidP="004135FE">
      <w:pPr>
        <w:pStyle w:val="21"/>
        <w:spacing w:after="0" w:line="240" w:lineRule="auto"/>
        <w:jc w:val="both"/>
        <w:rPr>
          <w:sz w:val="28"/>
          <w:szCs w:val="28"/>
        </w:rPr>
      </w:pPr>
      <w:r w:rsidRPr="004135FE">
        <w:rPr>
          <w:sz w:val="28"/>
          <w:szCs w:val="28"/>
        </w:rPr>
        <w:t xml:space="preserve">р – показатель распространенности явления; </w:t>
      </w:r>
    </w:p>
    <w:p w14:paraId="04A0DF1F" w14:textId="77777777" w:rsidR="004461EE" w:rsidRPr="004135FE" w:rsidRDefault="004461EE" w:rsidP="004135FE">
      <w:pPr>
        <w:pStyle w:val="21"/>
        <w:spacing w:after="0" w:line="240" w:lineRule="auto"/>
        <w:jc w:val="both"/>
        <w:rPr>
          <w:sz w:val="28"/>
          <w:szCs w:val="28"/>
        </w:rPr>
      </w:pPr>
      <w:r w:rsidRPr="004135FE">
        <w:rPr>
          <w:sz w:val="28"/>
          <w:szCs w:val="28"/>
        </w:rPr>
        <w:t xml:space="preserve">q = 100 - р; </w:t>
      </w:r>
    </w:p>
    <w:p w14:paraId="2A9C6854" w14:textId="77777777" w:rsidR="004461EE" w:rsidRPr="004135FE" w:rsidRDefault="004461EE" w:rsidP="004135FE">
      <w:pPr>
        <w:pStyle w:val="21"/>
        <w:spacing w:after="0" w:line="240" w:lineRule="auto"/>
        <w:jc w:val="both"/>
        <w:rPr>
          <w:b/>
          <w:sz w:val="28"/>
          <w:szCs w:val="28"/>
        </w:rPr>
      </w:pPr>
      <w:r w:rsidRPr="004135FE">
        <w:rPr>
          <w:sz w:val="28"/>
          <w:szCs w:val="28"/>
        </w:rPr>
        <w:t xml:space="preserve">∆ – доверительный интервал.  </w:t>
      </w:r>
    </w:p>
    <w:p w14:paraId="4D5B1D9B" w14:textId="77777777" w:rsidR="004461EE" w:rsidRPr="004135FE" w:rsidRDefault="004461EE" w:rsidP="004135FE">
      <w:pPr>
        <w:pStyle w:val="21"/>
        <w:spacing w:after="0" w:line="240" w:lineRule="auto"/>
        <w:jc w:val="both"/>
        <w:rPr>
          <w:sz w:val="28"/>
          <w:szCs w:val="28"/>
        </w:rPr>
      </w:pPr>
      <w:r w:rsidRPr="004135FE">
        <w:rPr>
          <w:sz w:val="28"/>
          <w:szCs w:val="28"/>
        </w:rPr>
        <w:t>Было принято, что р = 50 %, q = 50 %, а ∆ = 4,48.</w:t>
      </w:r>
    </w:p>
    <w:p w14:paraId="3B8B9AE6" w14:textId="77777777" w:rsidR="004461EE" w:rsidRPr="004135FE" w:rsidRDefault="004461EE" w:rsidP="00CA7E1B">
      <w:pPr>
        <w:spacing w:after="0" w:line="240" w:lineRule="auto"/>
        <w:ind w:firstLine="709"/>
        <w:jc w:val="both"/>
        <w:rPr>
          <w:rFonts w:ascii="Times New Roman" w:hAnsi="Times New Roman" w:cs="Times New Roman"/>
          <w:sz w:val="28"/>
          <w:szCs w:val="28"/>
          <w:shd w:val="clear" w:color="auto" w:fill="FFFFFF"/>
        </w:rPr>
      </w:pPr>
      <w:r w:rsidRPr="004135FE">
        <w:rPr>
          <w:rFonts w:ascii="Times New Roman" w:hAnsi="Times New Roman" w:cs="Times New Roman"/>
          <w:sz w:val="28"/>
          <w:szCs w:val="28"/>
        </w:rPr>
        <w:t>Для определения репрезентативности выборки проведен расчет минимального необходимого числа наблюдений. П</w:t>
      </w:r>
      <w:r w:rsidRPr="004135FE">
        <w:rPr>
          <w:rFonts w:ascii="Times New Roman" w:hAnsi="Times New Roman" w:cs="Times New Roman"/>
          <w:sz w:val="28"/>
          <w:szCs w:val="28"/>
          <w:shd w:val="clear" w:color="auto" w:fill="FFFFFF"/>
        </w:rPr>
        <w:t xml:space="preserve">ри генеральной </w:t>
      </w:r>
      <w:r w:rsidRPr="004135FE">
        <w:rPr>
          <w:rFonts w:ascii="Times New Roman" w:hAnsi="Times New Roman" w:cs="Times New Roman"/>
          <w:sz w:val="28"/>
          <w:szCs w:val="28"/>
          <w:shd w:val="clear" w:color="auto" w:fill="FFFFFF"/>
        </w:rPr>
        <w:lastRenderedPageBreak/>
        <w:t xml:space="preserve">совокупности </w:t>
      </w:r>
      <w:r w:rsidRPr="004135FE">
        <w:rPr>
          <w:rFonts w:ascii="Times New Roman" w:hAnsi="Times New Roman" w:cs="Times New Roman"/>
          <w:sz w:val="28"/>
          <w:szCs w:val="28"/>
        </w:rPr>
        <w:t xml:space="preserve">40506 </w:t>
      </w:r>
      <w:r w:rsidRPr="004135FE">
        <w:rPr>
          <w:rFonts w:ascii="Times New Roman" w:hAnsi="Times New Roman" w:cs="Times New Roman"/>
          <w:sz w:val="28"/>
          <w:szCs w:val="28"/>
          <w:shd w:val="clear" w:color="auto" w:fill="FFFFFF"/>
        </w:rPr>
        <w:t>зарегистрированных пациентов с диагнозом СД2т по городу Алматы, выборка равняется 381 человека при доверительной вероятности 95% и погрешности 5% ИЛИ (при доверительном интервале 95±5%).</w:t>
      </w:r>
    </w:p>
    <w:p w14:paraId="7E0D9755" w14:textId="63A2C5E8" w:rsidR="004461EE" w:rsidRPr="004135FE" w:rsidRDefault="004461EE" w:rsidP="00BF49F3">
      <w:pPr>
        <w:spacing w:after="0" w:line="240" w:lineRule="auto"/>
        <w:ind w:firstLine="709"/>
        <w:jc w:val="both"/>
        <w:rPr>
          <w:rFonts w:ascii="Times New Roman" w:hAnsi="Times New Roman" w:cs="Times New Roman"/>
          <w:sz w:val="28"/>
          <w:szCs w:val="28"/>
          <w:shd w:val="clear" w:color="auto" w:fill="FFFFFF"/>
        </w:rPr>
      </w:pPr>
      <w:r w:rsidRPr="004135FE">
        <w:rPr>
          <w:rFonts w:ascii="Times New Roman" w:hAnsi="Times New Roman" w:cs="Times New Roman"/>
          <w:sz w:val="28"/>
          <w:szCs w:val="28"/>
          <w:shd w:val="clear" w:color="auto" w:fill="FFFFFF"/>
        </w:rPr>
        <w:t>381+(381 х 25%)= 476,25, округленное количество выборки составила 476 участника. Далее генеральную совокупность делим на количество выборки 40506 : 476=85,05</w:t>
      </w:r>
      <w:r w:rsidR="00BF49F3">
        <w:rPr>
          <w:rFonts w:ascii="Times New Roman" w:hAnsi="Times New Roman" w:cs="Times New Roman"/>
          <w:sz w:val="28"/>
          <w:szCs w:val="28"/>
          <w:shd w:val="clear" w:color="auto" w:fill="FFFFFF"/>
        </w:rPr>
        <w:t>.</w:t>
      </w:r>
    </w:p>
    <w:p w14:paraId="6A738785" w14:textId="77777777" w:rsidR="004461EE" w:rsidRPr="004135FE" w:rsidRDefault="004461EE" w:rsidP="00BF49F3">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shd w:val="clear" w:color="auto" w:fill="FFFFFF"/>
        </w:rPr>
        <w:t>Для определения к</w:t>
      </w:r>
      <w:r w:rsidRPr="004135FE">
        <w:rPr>
          <w:rFonts w:ascii="Times New Roman" w:hAnsi="Times New Roman" w:cs="Times New Roman"/>
          <w:sz w:val="28"/>
          <w:szCs w:val="28"/>
        </w:rPr>
        <w:t>оличества пациентов с СД 2 т, необходимых для выборки от каждого района делим на полученное число 85,05.</w:t>
      </w:r>
    </w:p>
    <w:p w14:paraId="6D22EC07" w14:textId="66721094" w:rsidR="004461EE" w:rsidRPr="004135FE" w:rsidRDefault="004461EE" w:rsidP="00BF49F3">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Было проведено кросс-секционное исследование на основе анкет. 480 больных с СД2т, отобранных по данным НРСД из всех 8 районов г. Алматы, приняли участие в поперечном исследовании с использованием онлайн-анкетирования. С помощью многомерных модел</w:t>
      </w:r>
      <w:r w:rsidR="00745A8D" w:rsidRPr="004135FE">
        <w:rPr>
          <w:rFonts w:ascii="Times New Roman" w:hAnsi="Times New Roman" w:cs="Times New Roman"/>
          <w:sz w:val="28"/>
          <w:szCs w:val="28"/>
        </w:rPr>
        <w:t>и</w:t>
      </w:r>
      <w:r w:rsidRPr="004135FE">
        <w:rPr>
          <w:rFonts w:ascii="Times New Roman" w:hAnsi="Times New Roman" w:cs="Times New Roman"/>
          <w:sz w:val="28"/>
          <w:szCs w:val="28"/>
        </w:rPr>
        <w:t xml:space="preserve"> Пуассона с робастной оценкой стандартных ошибок оценивали связь между данными содержащиеся в пунктах опросника Результаты представляли в виде нескорректированных и скорректированных отношений распространенности (ОР) с 95 % доверительными интервалами (ДИ). С учетом выбывших и отсутствующих данных, расчетный размер выборки был увеличен на 25%.</w:t>
      </w:r>
    </w:p>
    <w:p w14:paraId="6FC5CC44" w14:textId="6B4C7719" w:rsidR="004461EE" w:rsidRPr="004135FE" w:rsidRDefault="004461EE" w:rsidP="004135FE">
      <w:pPr>
        <w:autoSpaceDE w:val="0"/>
        <w:autoSpaceDN w:val="0"/>
        <w:adjustRightInd w:val="0"/>
        <w:spacing w:after="0" w:line="240" w:lineRule="auto"/>
        <w:ind w:firstLine="708"/>
        <w:jc w:val="both"/>
        <w:rPr>
          <w:rFonts w:ascii="Times New Roman" w:hAnsi="Times New Roman" w:cs="Times New Roman"/>
          <w:sz w:val="28"/>
          <w:szCs w:val="28"/>
        </w:rPr>
      </w:pPr>
    </w:p>
    <w:p w14:paraId="123A3322" w14:textId="768F491E" w:rsidR="004461EE" w:rsidRDefault="008F153C"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lang w:val="kk-KZ"/>
        </w:rPr>
        <w:t>Таблица 6</w:t>
      </w:r>
      <w:r w:rsidR="00BF49F3">
        <w:rPr>
          <w:rFonts w:ascii="Times New Roman" w:hAnsi="Times New Roman" w:cs="Times New Roman"/>
          <w:sz w:val="28"/>
          <w:szCs w:val="28"/>
          <w:lang w:val="kk-KZ"/>
        </w:rPr>
        <w:t xml:space="preserve"> </w:t>
      </w:r>
      <w:r w:rsidR="004461EE" w:rsidRPr="004135FE">
        <w:rPr>
          <w:rFonts w:ascii="Times New Roman" w:hAnsi="Times New Roman" w:cs="Times New Roman"/>
          <w:sz w:val="28"/>
          <w:szCs w:val="28"/>
          <w:lang w:val="kk-KZ"/>
        </w:rPr>
        <w:t xml:space="preserve">-  </w:t>
      </w:r>
      <w:r w:rsidR="004461EE" w:rsidRPr="004135FE">
        <w:rPr>
          <w:rFonts w:ascii="Times New Roman" w:hAnsi="Times New Roman" w:cs="Times New Roman"/>
          <w:sz w:val="28"/>
          <w:szCs w:val="28"/>
        </w:rPr>
        <w:t xml:space="preserve">Расчет минимального требуемого размера выборки </w:t>
      </w:r>
      <w:r w:rsidR="001F1BC2" w:rsidRPr="004135FE">
        <w:rPr>
          <w:rFonts w:ascii="Times New Roman" w:hAnsi="Times New Roman" w:cs="Times New Roman"/>
          <w:sz w:val="28"/>
          <w:szCs w:val="28"/>
        </w:rPr>
        <w:t xml:space="preserve">и </w:t>
      </w:r>
      <w:r w:rsidR="001F1BC2" w:rsidRPr="004135FE">
        <w:rPr>
          <w:rFonts w:ascii="Times New Roman" w:eastAsia="Times New Roman" w:hAnsi="Times New Roman" w:cs="Times New Roman"/>
          <w:sz w:val="28"/>
          <w:szCs w:val="28"/>
        </w:rPr>
        <w:t>число набранных респондентов</w:t>
      </w:r>
      <w:r w:rsidR="001F1BC2" w:rsidRPr="004135FE">
        <w:rPr>
          <w:rFonts w:ascii="Times New Roman" w:hAnsi="Times New Roman" w:cs="Times New Roman"/>
          <w:sz w:val="28"/>
          <w:szCs w:val="28"/>
        </w:rPr>
        <w:t xml:space="preserve"> </w:t>
      </w:r>
      <w:r w:rsidR="004461EE" w:rsidRPr="004135FE">
        <w:rPr>
          <w:rFonts w:ascii="Times New Roman" w:hAnsi="Times New Roman" w:cs="Times New Roman"/>
          <w:sz w:val="28"/>
          <w:szCs w:val="28"/>
        </w:rPr>
        <w:t>по району для проведения социологического</w:t>
      </w:r>
      <w:r w:rsidR="001F1BC2" w:rsidRPr="004135FE">
        <w:rPr>
          <w:rFonts w:ascii="Times New Roman" w:hAnsi="Times New Roman" w:cs="Times New Roman"/>
          <w:sz w:val="28"/>
          <w:szCs w:val="28"/>
        </w:rPr>
        <w:t xml:space="preserve"> опроса больных с СД2т в Алматы </w:t>
      </w:r>
    </w:p>
    <w:p w14:paraId="29707851" w14:textId="77777777" w:rsidR="00BF49F3" w:rsidRPr="004135FE" w:rsidRDefault="00BF49F3" w:rsidP="004135FE">
      <w:pPr>
        <w:autoSpaceDE w:val="0"/>
        <w:autoSpaceDN w:val="0"/>
        <w:adjustRightInd w:val="0"/>
        <w:spacing w:after="0" w:line="240" w:lineRule="auto"/>
        <w:jc w:val="both"/>
        <w:rPr>
          <w:rFonts w:ascii="Times New Roman" w:hAnsi="Times New Roman" w:cs="Times New Roman"/>
          <w:sz w:val="28"/>
          <w:szCs w:val="28"/>
        </w:rPr>
      </w:pPr>
    </w:p>
    <w:tbl>
      <w:tblPr>
        <w:tblW w:w="9209" w:type="dxa"/>
        <w:tblLook w:val="04A0" w:firstRow="1" w:lastRow="0" w:firstColumn="1" w:lastColumn="0" w:noHBand="0" w:noVBand="1"/>
      </w:tblPr>
      <w:tblGrid>
        <w:gridCol w:w="1922"/>
        <w:gridCol w:w="1314"/>
        <w:gridCol w:w="1330"/>
        <w:gridCol w:w="1378"/>
        <w:gridCol w:w="1698"/>
        <w:gridCol w:w="1702"/>
      </w:tblGrid>
      <w:tr w:rsidR="004461EE" w:rsidRPr="004135FE" w14:paraId="15ECAE7E" w14:textId="77777777" w:rsidTr="00BF49F3">
        <w:trPr>
          <w:trHeight w:val="250"/>
        </w:trPr>
        <w:tc>
          <w:tcPr>
            <w:tcW w:w="2098" w:type="dxa"/>
            <w:tcBorders>
              <w:top w:val="single" w:sz="4" w:space="0" w:color="auto"/>
              <w:left w:val="single" w:sz="4" w:space="0" w:color="auto"/>
              <w:bottom w:val="single" w:sz="4" w:space="0" w:color="auto"/>
              <w:right w:val="single" w:sz="4" w:space="0" w:color="000000"/>
            </w:tcBorders>
            <w:shd w:val="clear" w:color="auto" w:fill="auto"/>
            <w:noWrap/>
            <w:hideMark/>
          </w:tcPr>
          <w:p w14:paraId="5DC85E84"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Районы</w:t>
            </w:r>
          </w:p>
        </w:tc>
        <w:tc>
          <w:tcPr>
            <w:tcW w:w="1428" w:type="dxa"/>
            <w:tcBorders>
              <w:top w:val="single" w:sz="4" w:space="0" w:color="auto"/>
              <w:left w:val="nil"/>
              <w:bottom w:val="single" w:sz="4" w:space="0" w:color="auto"/>
              <w:right w:val="single" w:sz="4" w:space="0" w:color="auto"/>
            </w:tcBorders>
            <w:shd w:val="clear" w:color="auto" w:fill="auto"/>
            <w:noWrap/>
            <w:hideMark/>
          </w:tcPr>
          <w:p w14:paraId="6ADECC83"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Мужчины</w:t>
            </w:r>
          </w:p>
        </w:tc>
        <w:tc>
          <w:tcPr>
            <w:tcW w:w="1445" w:type="dxa"/>
            <w:tcBorders>
              <w:top w:val="single" w:sz="4" w:space="0" w:color="auto"/>
              <w:left w:val="nil"/>
              <w:bottom w:val="single" w:sz="4" w:space="0" w:color="auto"/>
              <w:right w:val="single" w:sz="4" w:space="0" w:color="auto"/>
            </w:tcBorders>
            <w:shd w:val="clear" w:color="auto" w:fill="auto"/>
            <w:noWrap/>
            <w:hideMark/>
          </w:tcPr>
          <w:p w14:paraId="0058A046"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Женщины</w:t>
            </w:r>
          </w:p>
        </w:tc>
        <w:tc>
          <w:tcPr>
            <w:tcW w:w="1498" w:type="dxa"/>
            <w:tcBorders>
              <w:top w:val="single" w:sz="4" w:space="0" w:color="auto"/>
              <w:left w:val="nil"/>
              <w:bottom w:val="single" w:sz="4" w:space="0" w:color="auto"/>
              <w:right w:val="single" w:sz="4" w:space="0" w:color="auto"/>
            </w:tcBorders>
            <w:shd w:val="clear" w:color="auto" w:fill="auto"/>
            <w:noWrap/>
            <w:hideMark/>
          </w:tcPr>
          <w:p w14:paraId="63095972"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Общее число пациентов в районе</w:t>
            </w:r>
          </w:p>
        </w:tc>
        <w:tc>
          <w:tcPr>
            <w:tcW w:w="1851" w:type="dxa"/>
            <w:tcBorders>
              <w:top w:val="single" w:sz="4" w:space="0" w:color="auto"/>
              <w:left w:val="nil"/>
              <w:bottom w:val="single" w:sz="4" w:space="0" w:color="auto"/>
              <w:right w:val="single" w:sz="4" w:space="0" w:color="auto"/>
            </w:tcBorders>
          </w:tcPr>
          <w:p w14:paraId="78B95735"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Количество пациентов с СД 2 т, необходимых для выборки от каждого района в разбивке на число 85,05</w:t>
            </w:r>
          </w:p>
        </w:tc>
        <w:tc>
          <w:tcPr>
            <w:tcW w:w="889" w:type="dxa"/>
            <w:tcBorders>
              <w:top w:val="single" w:sz="4" w:space="0" w:color="auto"/>
              <w:left w:val="nil"/>
              <w:bottom w:val="single" w:sz="4" w:space="0" w:color="auto"/>
              <w:right w:val="single" w:sz="4" w:space="0" w:color="auto"/>
            </w:tcBorders>
          </w:tcPr>
          <w:p w14:paraId="795390F3"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Число набранных респондентов</w:t>
            </w:r>
          </w:p>
        </w:tc>
      </w:tr>
      <w:tr w:rsidR="004461EE" w:rsidRPr="004135FE" w14:paraId="38FC6B28" w14:textId="77777777" w:rsidTr="00BF49F3">
        <w:trPr>
          <w:trHeight w:val="250"/>
        </w:trPr>
        <w:tc>
          <w:tcPr>
            <w:tcW w:w="2098" w:type="dxa"/>
            <w:tcBorders>
              <w:top w:val="single" w:sz="4" w:space="0" w:color="auto"/>
              <w:left w:val="single" w:sz="4" w:space="0" w:color="auto"/>
              <w:bottom w:val="single" w:sz="4" w:space="0" w:color="auto"/>
              <w:right w:val="single" w:sz="4" w:space="0" w:color="auto"/>
            </w:tcBorders>
            <w:shd w:val="clear" w:color="auto" w:fill="auto"/>
            <w:hideMark/>
          </w:tcPr>
          <w:p w14:paraId="33EEE720" w14:textId="77777777" w:rsidR="004461EE" w:rsidRPr="004135FE" w:rsidRDefault="004461E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Алмалинский </w:t>
            </w:r>
          </w:p>
        </w:tc>
        <w:tc>
          <w:tcPr>
            <w:tcW w:w="1428" w:type="dxa"/>
            <w:tcBorders>
              <w:top w:val="nil"/>
              <w:left w:val="nil"/>
              <w:bottom w:val="single" w:sz="4" w:space="0" w:color="auto"/>
              <w:right w:val="single" w:sz="4" w:space="0" w:color="auto"/>
            </w:tcBorders>
            <w:shd w:val="clear" w:color="auto" w:fill="auto"/>
            <w:vAlign w:val="center"/>
            <w:hideMark/>
          </w:tcPr>
          <w:p w14:paraId="6F2577CF"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2199</w:t>
            </w:r>
          </w:p>
        </w:tc>
        <w:tc>
          <w:tcPr>
            <w:tcW w:w="1445" w:type="dxa"/>
            <w:tcBorders>
              <w:top w:val="nil"/>
              <w:left w:val="nil"/>
              <w:bottom w:val="single" w:sz="4" w:space="0" w:color="auto"/>
              <w:right w:val="single" w:sz="4" w:space="0" w:color="auto"/>
            </w:tcBorders>
            <w:shd w:val="clear" w:color="auto" w:fill="auto"/>
            <w:vAlign w:val="center"/>
            <w:hideMark/>
          </w:tcPr>
          <w:p w14:paraId="0B724174"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4286</w:t>
            </w:r>
          </w:p>
        </w:tc>
        <w:tc>
          <w:tcPr>
            <w:tcW w:w="1498" w:type="dxa"/>
            <w:tcBorders>
              <w:top w:val="nil"/>
              <w:left w:val="nil"/>
              <w:bottom w:val="single" w:sz="4" w:space="0" w:color="auto"/>
              <w:right w:val="single" w:sz="4" w:space="0" w:color="auto"/>
            </w:tcBorders>
            <w:shd w:val="clear" w:color="auto" w:fill="auto"/>
            <w:noWrap/>
            <w:vAlign w:val="center"/>
            <w:hideMark/>
          </w:tcPr>
          <w:p w14:paraId="3945BF5B"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6485</w:t>
            </w:r>
          </w:p>
        </w:tc>
        <w:tc>
          <w:tcPr>
            <w:tcW w:w="1851" w:type="dxa"/>
            <w:tcBorders>
              <w:top w:val="nil"/>
              <w:left w:val="nil"/>
              <w:bottom w:val="single" w:sz="4" w:space="0" w:color="auto"/>
              <w:right w:val="single" w:sz="4" w:space="0" w:color="auto"/>
            </w:tcBorders>
            <w:vAlign w:val="center"/>
          </w:tcPr>
          <w:p w14:paraId="43CAD316"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76</w:t>
            </w:r>
          </w:p>
        </w:tc>
        <w:tc>
          <w:tcPr>
            <w:tcW w:w="889" w:type="dxa"/>
            <w:tcBorders>
              <w:top w:val="nil"/>
              <w:left w:val="nil"/>
              <w:bottom w:val="single" w:sz="4" w:space="0" w:color="auto"/>
              <w:right w:val="single" w:sz="4" w:space="0" w:color="auto"/>
            </w:tcBorders>
            <w:vAlign w:val="center"/>
          </w:tcPr>
          <w:p w14:paraId="5710C257"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76</w:t>
            </w:r>
          </w:p>
        </w:tc>
      </w:tr>
      <w:tr w:rsidR="004461EE" w:rsidRPr="004135FE" w14:paraId="0AAEA2B0" w14:textId="77777777" w:rsidTr="00BF49F3">
        <w:trPr>
          <w:trHeight w:val="250"/>
        </w:trPr>
        <w:tc>
          <w:tcPr>
            <w:tcW w:w="2098" w:type="dxa"/>
            <w:tcBorders>
              <w:top w:val="single" w:sz="4" w:space="0" w:color="auto"/>
              <w:left w:val="single" w:sz="4" w:space="0" w:color="auto"/>
              <w:bottom w:val="single" w:sz="4" w:space="0" w:color="auto"/>
              <w:right w:val="single" w:sz="4" w:space="0" w:color="auto"/>
            </w:tcBorders>
            <w:shd w:val="clear" w:color="auto" w:fill="auto"/>
            <w:hideMark/>
          </w:tcPr>
          <w:p w14:paraId="46A7B86B" w14:textId="77777777" w:rsidR="004461EE" w:rsidRPr="004135FE" w:rsidRDefault="004461E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Алатауский </w:t>
            </w:r>
          </w:p>
        </w:tc>
        <w:tc>
          <w:tcPr>
            <w:tcW w:w="1428" w:type="dxa"/>
            <w:tcBorders>
              <w:top w:val="nil"/>
              <w:left w:val="nil"/>
              <w:bottom w:val="single" w:sz="4" w:space="0" w:color="auto"/>
              <w:right w:val="single" w:sz="4" w:space="0" w:color="auto"/>
            </w:tcBorders>
            <w:shd w:val="clear" w:color="auto" w:fill="auto"/>
            <w:vAlign w:val="center"/>
            <w:hideMark/>
          </w:tcPr>
          <w:p w14:paraId="2B5AC760"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1352</w:t>
            </w:r>
          </w:p>
        </w:tc>
        <w:tc>
          <w:tcPr>
            <w:tcW w:w="1445" w:type="dxa"/>
            <w:tcBorders>
              <w:top w:val="nil"/>
              <w:left w:val="nil"/>
              <w:bottom w:val="single" w:sz="4" w:space="0" w:color="auto"/>
              <w:right w:val="single" w:sz="4" w:space="0" w:color="auto"/>
            </w:tcBorders>
            <w:shd w:val="clear" w:color="auto" w:fill="auto"/>
            <w:vAlign w:val="center"/>
            <w:hideMark/>
          </w:tcPr>
          <w:p w14:paraId="549F73EF"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2069</w:t>
            </w:r>
          </w:p>
        </w:tc>
        <w:tc>
          <w:tcPr>
            <w:tcW w:w="1498" w:type="dxa"/>
            <w:tcBorders>
              <w:top w:val="nil"/>
              <w:left w:val="nil"/>
              <w:bottom w:val="single" w:sz="4" w:space="0" w:color="auto"/>
              <w:right w:val="single" w:sz="4" w:space="0" w:color="auto"/>
            </w:tcBorders>
            <w:shd w:val="clear" w:color="auto" w:fill="auto"/>
            <w:noWrap/>
            <w:vAlign w:val="center"/>
            <w:hideMark/>
          </w:tcPr>
          <w:p w14:paraId="042F6B4C"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3421</w:t>
            </w:r>
          </w:p>
        </w:tc>
        <w:tc>
          <w:tcPr>
            <w:tcW w:w="1851" w:type="dxa"/>
            <w:tcBorders>
              <w:top w:val="nil"/>
              <w:left w:val="nil"/>
              <w:bottom w:val="single" w:sz="4" w:space="0" w:color="auto"/>
              <w:right w:val="single" w:sz="4" w:space="0" w:color="auto"/>
            </w:tcBorders>
            <w:vAlign w:val="center"/>
          </w:tcPr>
          <w:p w14:paraId="2A34036D"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w:t>
            </w:r>
          </w:p>
        </w:tc>
        <w:tc>
          <w:tcPr>
            <w:tcW w:w="889" w:type="dxa"/>
            <w:tcBorders>
              <w:top w:val="nil"/>
              <w:left w:val="nil"/>
              <w:bottom w:val="single" w:sz="4" w:space="0" w:color="auto"/>
              <w:right w:val="single" w:sz="4" w:space="0" w:color="auto"/>
            </w:tcBorders>
            <w:vAlign w:val="center"/>
          </w:tcPr>
          <w:p w14:paraId="287424A5"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w:t>
            </w:r>
          </w:p>
        </w:tc>
      </w:tr>
      <w:tr w:rsidR="004461EE" w:rsidRPr="004135FE" w14:paraId="1BE679C9" w14:textId="77777777" w:rsidTr="00BF49F3">
        <w:trPr>
          <w:trHeight w:val="250"/>
        </w:trPr>
        <w:tc>
          <w:tcPr>
            <w:tcW w:w="2098" w:type="dxa"/>
            <w:tcBorders>
              <w:top w:val="single" w:sz="4" w:space="0" w:color="auto"/>
              <w:left w:val="single" w:sz="4" w:space="0" w:color="auto"/>
              <w:bottom w:val="single" w:sz="4" w:space="0" w:color="auto"/>
              <w:right w:val="single" w:sz="4" w:space="0" w:color="auto"/>
            </w:tcBorders>
            <w:shd w:val="clear" w:color="auto" w:fill="auto"/>
            <w:hideMark/>
          </w:tcPr>
          <w:p w14:paraId="68A3FE1F" w14:textId="77777777" w:rsidR="004461EE" w:rsidRPr="004135FE" w:rsidRDefault="004461E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Ауэзовский </w:t>
            </w:r>
          </w:p>
        </w:tc>
        <w:tc>
          <w:tcPr>
            <w:tcW w:w="1428" w:type="dxa"/>
            <w:tcBorders>
              <w:top w:val="nil"/>
              <w:left w:val="nil"/>
              <w:bottom w:val="single" w:sz="4" w:space="0" w:color="auto"/>
              <w:right w:val="single" w:sz="4" w:space="0" w:color="auto"/>
            </w:tcBorders>
            <w:shd w:val="clear" w:color="auto" w:fill="auto"/>
            <w:vAlign w:val="center"/>
            <w:hideMark/>
          </w:tcPr>
          <w:p w14:paraId="7658D056"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2337</w:t>
            </w:r>
          </w:p>
        </w:tc>
        <w:tc>
          <w:tcPr>
            <w:tcW w:w="1445" w:type="dxa"/>
            <w:tcBorders>
              <w:top w:val="nil"/>
              <w:left w:val="nil"/>
              <w:bottom w:val="single" w:sz="4" w:space="0" w:color="auto"/>
              <w:right w:val="single" w:sz="4" w:space="0" w:color="auto"/>
            </w:tcBorders>
            <w:shd w:val="clear" w:color="auto" w:fill="auto"/>
            <w:vAlign w:val="center"/>
            <w:hideMark/>
          </w:tcPr>
          <w:p w14:paraId="483D74B8"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5015</w:t>
            </w:r>
          </w:p>
        </w:tc>
        <w:tc>
          <w:tcPr>
            <w:tcW w:w="1498" w:type="dxa"/>
            <w:tcBorders>
              <w:top w:val="nil"/>
              <w:left w:val="nil"/>
              <w:bottom w:val="single" w:sz="4" w:space="0" w:color="auto"/>
              <w:right w:val="single" w:sz="4" w:space="0" w:color="auto"/>
            </w:tcBorders>
            <w:shd w:val="clear" w:color="auto" w:fill="auto"/>
            <w:noWrap/>
            <w:vAlign w:val="center"/>
            <w:hideMark/>
          </w:tcPr>
          <w:p w14:paraId="78B38BE2"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7352</w:t>
            </w:r>
          </w:p>
        </w:tc>
        <w:tc>
          <w:tcPr>
            <w:tcW w:w="1851" w:type="dxa"/>
            <w:tcBorders>
              <w:top w:val="nil"/>
              <w:left w:val="nil"/>
              <w:bottom w:val="single" w:sz="4" w:space="0" w:color="auto"/>
              <w:right w:val="single" w:sz="4" w:space="0" w:color="auto"/>
            </w:tcBorders>
            <w:vAlign w:val="center"/>
          </w:tcPr>
          <w:p w14:paraId="1B0A6387"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86</w:t>
            </w:r>
          </w:p>
        </w:tc>
        <w:tc>
          <w:tcPr>
            <w:tcW w:w="889" w:type="dxa"/>
            <w:tcBorders>
              <w:top w:val="nil"/>
              <w:left w:val="nil"/>
              <w:bottom w:val="single" w:sz="4" w:space="0" w:color="auto"/>
              <w:right w:val="single" w:sz="4" w:space="0" w:color="auto"/>
            </w:tcBorders>
            <w:vAlign w:val="center"/>
          </w:tcPr>
          <w:p w14:paraId="7898E06C"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86</w:t>
            </w:r>
          </w:p>
        </w:tc>
      </w:tr>
      <w:tr w:rsidR="004461EE" w:rsidRPr="004135FE" w14:paraId="38D679DD" w14:textId="77777777" w:rsidTr="00BF49F3">
        <w:trPr>
          <w:trHeight w:val="250"/>
        </w:trPr>
        <w:tc>
          <w:tcPr>
            <w:tcW w:w="2098" w:type="dxa"/>
            <w:tcBorders>
              <w:top w:val="single" w:sz="4" w:space="0" w:color="auto"/>
              <w:left w:val="single" w:sz="4" w:space="0" w:color="auto"/>
              <w:bottom w:val="single" w:sz="4" w:space="0" w:color="auto"/>
              <w:right w:val="single" w:sz="4" w:space="0" w:color="auto"/>
            </w:tcBorders>
            <w:shd w:val="clear" w:color="auto" w:fill="auto"/>
            <w:hideMark/>
          </w:tcPr>
          <w:p w14:paraId="73DAD2E2" w14:textId="77777777" w:rsidR="004461EE" w:rsidRPr="004135FE" w:rsidRDefault="004461E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Бостандыкский </w:t>
            </w:r>
          </w:p>
        </w:tc>
        <w:tc>
          <w:tcPr>
            <w:tcW w:w="1428" w:type="dxa"/>
            <w:tcBorders>
              <w:top w:val="nil"/>
              <w:left w:val="nil"/>
              <w:bottom w:val="single" w:sz="4" w:space="0" w:color="auto"/>
              <w:right w:val="single" w:sz="4" w:space="0" w:color="auto"/>
            </w:tcBorders>
            <w:shd w:val="clear" w:color="auto" w:fill="auto"/>
            <w:vAlign w:val="center"/>
            <w:hideMark/>
          </w:tcPr>
          <w:p w14:paraId="2CD91127"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2299</w:t>
            </w:r>
          </w:p>
        </w:tc>
        <w:tc>
          <w:tcPr>
            <w:tcW w:w="1445" w:type="dxa"/>
            <w:tcBorders>
              <w:top w:val="nil"/>
              <w:left w:val="nil"/>
              <w:bottom w:val="single" w:sz="4" w:space="0" w:color="auto"/>
              <w:right w:val="single" w:sz="4" w:space="0" w:color="auto"/>
            </w:tcBorders>
            <w:shd w:val="clear" w:color="auto" w:fill="auto"/>
            <w:vAlign w:val="center"/>
            <w:hideMark/>
          </w:tcPr>
          <w:p w14:paraId="1E73D21F"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4548</w:t>
            </w:r>
          </w:p>
        </w:tc>
        <w:tc>
          <w:tcPr>
            <w:tcW w:w="1498" w:type="dxa"/>
            <w:tcBorders>
              <w:top w:val="nil"/>
              <w:left w:val="nil"/>
              <w:bottom w:val="single" w:sz="4" w:space="0" w:color="auto"/>
              <w:right w:val="single" w:sz="4" w:space="0" w:color="auto"/>
            </w:tcBorders>
            <w:shd w:val="clear" w:color="auto" w:fill="auto"/>
            <w:noWrap/>
            <w:vAlign w:val="center"/>
            <w:hideMark/>
          </w:tcPr>
          <w:p w14:paraId="5C50B7A4"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6847</w:t>
            </w:r>
          </w:p>
        </w:tc>
        <w:tc>
          <w:tcPr>
            <w:tcW w:w="1851" w:type="dxa"/>
            <w:tcBorders>
              <w:top w:val="nil"/>
              <w:left w:val="nil"/>
              <w:bottom w:val="single" w:sz="4" w:space="0" w:color="auto"/>
              <w:right w:val="single" w:sz="4" w:space="0" w:color="auto"/>
            </w:tcBorders>
            <w:vAlign w:val="center"/>
          </w:tcPr>
          <w:p w14:paraId="1FA1FA41"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81</w:t>
            </w:r>
          </w:p>
        </w:tc>
        <w:tc>
          <w:tcPr>
            <w:tcW w:w="889" w:type="dxa"/>
            <w:tcBorders>
              <w:top w:val="nil"/>
              <w:left w:val="nil"/>
              <w:bottom w:val="single" w:sz="4" w:space="0" w:color="auto"/>
              <w:right w:val="single" w:sz="4" w:space="0" w:color="auto"/>
            </w:tcBorders>
            <w:vAlign w:val="center"/>
          </w:tcPr>
          <w:p w14:paraId="240A43C4"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82</w:t>
            </w:r>
          </w:p>
        </w:tc>
      </w:tr>
      <w:tr w:rsidR="004461EE" w:rsidRPr="004135FE" w14:paraId="26A3DBF6" w14:textId="77777777" w:rsidTr="00BF49F3">
        <w:trPr>
          <w:trHeight w:val="250"/>
        </w:trPr>
        <w:tc>
          <w:tcPr>
            <w:tcW w:w="2098" w:type="dxa"/>
            <w:tcBorders>
              <w:top w:val="single" w:sz="4" w:space="0" w:color="auto"/>
              <w:left w:val="single" w:sz="4" w:space="0" w:color="auto"/>
              <w:bottom w:val="single" w:sz="4" w:space="0" w:color="auto"/>
              <w:right w:val="single" w:sz="4" w:space="0" w:color="auto"/>
            </w:tcBorders>
            <w:shd w:val="clear" w:color="auto" w:fill="auto"/>
            <w:hideMark/>
          </w:tcPr>
          <w:p w14:paraId="170DEDF4" w14:textId="77777777" w:rsidR="004461EE" w:rsidRPr="004135FE" w:rsidRDefault="004461E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Жетысуский </w:t>
            </w:r>
          </w:p>
        </w:tc>
        <w:tc>
          <w:tcPr>
            <w:tcW w:w="1428" w:type="dxa"/>
            <w:tcBorders>
              <w:top w:val="nil"/>
              <w:left w:val="nil"/>
              <w:bottom w:val="single" w:sz="4" w:space="0" w:color="auto"/>
              <w:right w:val="single" w:sz="4" w:space="0" w:color="auto"/>
            </w:tcBorders>
            <w:shd w:val="clear" w:color="auto" w:fill="auto"/>
            <w:vAlign w:val="center"/>
            <w:hideMark/>
          </w:tcPr>
          <w:p w14:paraId="0C6E54E1"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1374</w:t>
            </w:r>
          </w:p>
        </w:tc>
        <w:tc>
          <w:tcPr>
            <w:tcW w:w="1445" w:type="dxa"/>
            <w:tcBorders>
              <w:top w:val="nil"/>
              <w:left w:val="nil"/>
              <w:bottom w:val="single" w:sz="4" w:space="0" w:color="auto"/>
              <w:right w:val="single" w:sz="4" w:space="0" w:color="auto"/>
            </w:tcBorders>
            <w:shd w:val="clear" w:color="auto" w:fill="auto"/>
            <w:vAlign w:val="center"/>
            <w:hideMark/>
          </w:tcPr>
          <w:p w14:paraId="7FBAE7CB"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3048</w:t>
            </w:r>
          </w:p>
        </w:tc>
        <w:tc>
          <w:tcPr>
            <w:tcW w:w="1498" w:type="dxa"/>
            <w:tcBorders>
              <w:top w:val="nil"/>
              <w:left w:val="nil"/>
              <w:bottom w:val="single" w:sz="4" w:space="0" w:color="auto"/>
              <w:right w:val="single" w:sz="4" w:space="0" w:color="auto"/>
            </w:tcBorders>
            <w:shd w:val="clear" w:color="auto" w:fill="auto"/>
            <w:noWrap/>
            <w:vAlign w:val="center"/>
            <w:hideMark/>
          </w:tcPr>
          <w:p w14:paraId="405B4F75"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4422</w:t>
            </w:r>
          </w:p>
        </w:tc>
        <w:tc>
          <w:tcPr>
            <w:tcW w:w="1851" w:type="dxa"/>
            <w:tcBorders>
              <w:top w:val="nil"/>
              <w:left w:val="nil"/>
              <w:bottom w:val="single" w:sz="4" w:space="0" w:color="auto"/>
              <w:right w:val="single" w:sz="4" w:space="0" w:color="auto"/>
            </w:tcBorders>
            <w:vAlign w:val="center"/>
          </w:tcPr>
          <w:p w14:paraId="0A0406F6"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w:t>
            </w:r>
          </w:p>
        </w:tc>
        <w:tc>
          <w:tcPr>
            <w:tcW w:w="889" w:type="dxa"/>
            <w:tcBorders>
              <w:top w:val="nil"/>
              <w:left w:val="nil"/>
              <w:bottom w:val="single" w:sz="4" w:space="0" w:color="auto"/>
              <w:right w:val="single" w:sz="4" w:space="0" w:color="auto"/>
            </w:tcBorders>
            <w:vAlign w:val="center"/>
          </w:tcPr>
          <w:p w14:paraId="578BBB78"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w:t>
            </w:r>
          </w:p>
        </w:tc>
      </w:tr>
      <w:tr w:rsidR="004461EE" w:rsidRPr="004135FE" w14:paraId="25587CBD" w14:textId="77777777" w:rsidTr="00BF49F3">
        <w:trPr>
          <w:trHeight w:val="250"/>
        </w:trPr>
        <w:tc>
          <w:tcPr>
            <w:tcW w:w="2098" w:type="dxa"/>
            <w:tcBorders>
              <w:top w:val="single" w:sz="4" w:space="0" w:color="auto"/>
              <w:left w:val="single" w:sz="4" w:space="0" w:color="auto"/>
              <w:bottom w:val="single" w:sz="4" w:space="0" w:color="auto"/>
              <w:right w:val="single" w:sz="4" w:space="0" w:color="auto"/>
            </w:tcBorders>
            <w:shd w:val="clear" w:color="auto" w:fill="auto"/>
            <w:hideMark/>
          </w:tcPr>
          <w:p w14:paraId="773A3F62" w14:textId="77777777" w:rsidR="004461EE" w:rsidRPr="004135FE" w:rsidRDefault="004461E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Медеуский </w:t>
            </w:r>
          </w:p>
        </w:tc>
        <w:tc>
          <w:tcPr>
            <w:tcW w:w="1428" w:type="dxa"/>
            <w:tcBorders>
              <w:top w:val="nil"/>
              <w:left w:val="nil"/>
              <w:bottom w:val="single" w:sz="4" w:space="0" w:color="auto"/>
              <w:right w:val="single" w:sz="4" w:space="0" w:color="auto"/>
            </w:tcBorders>
            <w:shd w:val="clear" w:color="auto" w:fill="auto"/>
            <w:vAlign w:val="center"/>
            <w:hideMark/>
          </w:tcPr>
          <w:p w14:paraId="109E9CB3"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1572</w:t>
            </w:r>
          </w:p>
        </w:tc>
        <w:tc>
          <w:tcPr>
            <w:tcW w:w="1445" w:type="dxa"/>
            <w:tcBorders>
              <w:top w:val="nil"/>
              <w:left w:val="nil"/>
              <w:bottom w:val="single" w:sz="4" w:space="0" w:color="auto"/>
              <w:right w:val="single" w:sz="4" w:space="0" w:color="auto"/>
            </w:tcBorders>
            <w:shd w:val="clear" w:color="auto" w:fill="auto"/>
            <w:vAlign w:val="center"/>
            <w:hideMark/>
          </w:tcPr>
          <w:p w14:paraId="2FEE2983"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2953</w:t>
            </w:r>
          </w:p>
        </w:tc>
        <w:tc>
          <w:tcPr>
            <w:tcW w:w="1498" w:type="dxa"/>
            <w:tcBorders>
              <w:top w:val="nil"/>
              <w:left w:val="nil"/>
              <w:bottom w:val="single" w:sz="4" w:space="0" w:color="auto"/>
              <w:right w:val="single" w:sz="4" w:space="0" w:color="auto"/>
            </w:tcBorders>
            <w:shd w:val="clear" w:color="auto" w:fill="auto"/>
            <w:noWrap/>
            <w:vAlign w:val="center"/>
            <w:hideMark/>
          </w:tcPr>
          <w:p w14:paraId="5EBB600D"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4525</w:t>
            </w:r>
          </w:p>
        </w:tc>
        <w:tc>
          <w:tcPr>
            <w:tcW w:w="1851" w:type="dxa"/>
            <w:tcBorders>
              <w:top w:val="nil"/>
              <w:left w:val="nil"/>
              <w:bottom w:val="single" w:sz="4" w:space="0" w:color="auto"/>
              <w:right w:val="single" w:sz="4" w:space="0" w:color="auto"/>
            </w:tcBorders>
            <w:vAlign w:val="center"/>
          </w:tcPr>
          <w:p w14:paraId="5560CE47"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53</w:t>
            </w:r>
          </w:p>
        </w:tc>
        <w:tc>
          <w:tcPr>
            <w:tcW w:w="889" w:type="dxa"/>
            <w:tcBorders>
              <w:top w:val="nil"/>
              <w:left w:val="nil"/>
              <w:bottom w:val="single" w:sz="4" w:space="0" w:color="auto"/>
              <w:right w:val="single" w:sz="4" w:space="0" w:color="auto"/>
            </w:tcBorders>
            <w:vAlign w:val="center"/>
          </w:tcPr>
          <w:p w14:paraId="7DD667C9"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53</w:t>
            </w:r>
          </w:p>
        </w:tc>
      </w:tr>
      <w:tr w:rsidR="004461EE" w:rsidRPr="004135FE" w14:paraId="2E6A4515" w14:textId="77777777" w:rsidTr="00BF49F3">
        <w:trPr>
          <w:trHeight w:val="250"/>
        </w:trPr>
        <w:tc>
          <w:tcPr>
            <w:tcW w:w="2098" w:type="dxa"/>
            <w:tcBorders>
              <w:top w:val="single" w:sz="4" w:space="0" w:color="auto"/>
              <w:left w:val="single" w:sz="4" w:space="0" w:color="auto"/>
              <w:bottom w:val="single" w:sz="4" w:space="0" w:color="auto"/>
              <w:right w:val="single" w:sz="4" w:space="0" w:color="auto"/>
            </w:tcBorders>
            <w:shd w:val="clear" w:color="auto" w:fill="auto"/>
            <w:hideMark/>
          </w:tcPr>
          <w:p w14:paraId="4EB615BB" w14:textId="77777777" w:rsidR="004461EE" w:rsidRPr="004135FE" w:rsidRDefault="004461E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1428" w:type="dxa"/>
            <w:tcBorders>
              <w:top w:val="nil"/>
              <w:left w:val="nil"/>
              <w:bottom w:val="single" w:sz="4" w:space="0" w:color="auto"/>
              <w:right w:val="single" w:sz="4" w:space="0" w:color="auto"/>
            </w:tcBorders>
            <w:shd w:val="clear" w:color="auto" w:fill="auto"/>
            <w:vAlign w:val="center"/>
            <w:hideMark/>
          </w:tcPr>
          <w:p w14:paraId="3A6C942E"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663</w:t>
            </w:r>
          </w:p>
        </w:tc>
        <w:tc>
          <w:tcPr>
            <w:tcW w:w="1445" w:type="dxa"/>
            <w:tcBorders>
              <w:top w:val="nil"/>
              <w:left w:val="nil"/>
              <w:bottom w:val="single" w:sz="4" w:space="0" w:color="auto"/>
              <w:right w:val="single" w:sz="4" w:space="0" w:color="auto"/>
            </w:tcBorders>
            <w:shd w:val="clear" w:color="auto" w:fill="auto"/>
            <w:vAlign w:val="center"/>
            <w:hideMark/>
          </w:tcPr>
          <w:p w14:paraId="727D7C1A"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956</w:t>
            </w:r>
          </w:p>
        </w:tc>
        <w:tc>
          <w:tcPr>
            <w:tcW w:w="1498" w:type="dxa"/>
            <w:tcBorders>
              <w:top w:val="nil"/>
              <w:left w:val="nil"/>
              <w:bottom w:val="single" w:sz="4" w:space="0" w:color="auto"/>
              <w:right w:val="single" w:sz="4" w:space="0" w:color="auto"/>
            </w:tcBorders>
            <w:shd w:val="clear" w:color="auto" w:fill="auto"/>
            <w:noWrap/>
            <w:vAlign w:val="center"/>
            <w:hideMark/>
          </w:tcPr>
          <w:p w14:paraId="530EF804"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1619</w:t>
            </w:r>
          </w:p>
        </w:tc>
        <w:tc>
          <w:tcPr>
            <w:tcW w:w="1851" w:type="dxa"/>
            <w:tcBorders>
              <w:top w:val="nil"/>
              <w:left w:val="nil"/>
              <w:bottom w:val="single" w:sz="4" w:space="0" w:color="auto"/>
              <w:right w:val="single" w:sz="4" w:space="0" w:color="auto"/>
            </w:tcBorders>
            <w:vAlign w:val="center"/>
          </w:tcPr>
          <w:p w14:paraId="004D93FD"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w:t>
            </w:r>
          </w:p>
        </w:tc>
        <w:tc>
          <w:tcPr>
            <w:tcW w:w="889" w:type="dxa"/>
            <w:tcBorders>
              <w:top w:val="nil"/>
              <w:left w:val="nil"/>
              <w:bottom w:val="single" w:sz="4" w:space="0" w:color="auto"/>
              <w:right w:val="single" w:sz="4" w:space="0" w:color="auto"/>
            </w:tcBorders>
            <w:vAlign w:val="center"/>
          </w:tcPr>
          <w:p w14:paraId="3B32FEEB"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w:t>
            </w:r>
          </w:p>
        </w:tc>
      </w:tr>
      <w:tr w:rsidR="004461EE" w:rsidRPr="004135FE" w14:paraId="1551A52E" w14:textId="77777777" w:rsidTr="00BF49F3">
        <w:trPr>
          <w:trHeight w:val="250"/>
        </w:trPr>
        <w:tc>
          <w:tcPr>
            <w:tcW w:w="2098" w:type="dxa"/>
            <w:tcBorders>
              <w:top w:val="single" w:sz="4" w:space="0" w:color="auto"/>
              <w:left w:val="single" w:sz="4" w:space="0" w:color="auto"/>
              <w:bottom w:val="single" w:sz="4" w:space="0" w:color="auto"/>
              <w:right w:val="single" w:sz="4" w:space="0" w:color="auto"/>
            </w:tcBorders>
            <w:shd w:val="clear" w:color="auto" w:fill="auto"/>
            <w:hideMark/>
          </w:tcPr>
          <w:p w14:paraId="3DE8F1F9" w14:textId="77777777" w:rsidR="004461EE" w:rsidRPr="004135FE" w:rsidRDefault="004461E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1428" w:type="dxa"/>
            <w:tcBorders>
              <w:top w:val="nil"/>
              <w:left w:val="nil"/>
              <w:bottom w:val="single" w:sz="4" w:space="0" w:color="auto"/>
              <w:right w:val="single" w:sz="4" w:space="0" w:color="auto"/>
            </w:tcBorders>
            <w:shd w:val="clear" w:color="auto" w:fill="auto"/>
            <w:vAlign w:val="center"/>
            <w:hideMark/>
          </w:tcPr>
          <w:p w14:paraId="2C97B1E7"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1833</w:t>
            </w:r>
          </w:p>
        </w:tc>
        <w:tc>
          <w:tcPr>
            <w:tcW w:w="1445" w:type="dxa"/>
            <w:tcBorders>
              <w:top w:val="nil"/>
              <w:left w:val="nil"/>
              <w:bottom w:val="single" w:sz="4" w:space="0" w:color="auto"/>
              <w:right w:val="single" w:sz="4" w:space="0" w:color="auto"/>
            </w:tcBorders>
            <w:shd w:val="clear" w:color="auto" w:fill="auto"/>
            <w:vAlign w:val="center"/>
            <w:hideMark/>
          </w:tcPr>
          <w:p w14:paraId="5290B998"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4002</w:t>
            </w:r>
          </w:p>
        </w:tc>
        <w:tc>
          <w:tcPr>
            <w:tcW w:w="1498" w:type="dxa"/>
            <w:tcBorders>
              <w:top w:val="nil"/>
              <w:left w:val="nil"/>
              <w:bottom w:val="single" w:sz="4" w:space="0" w:color="auto"/>
              <w:right w:val="single" w:sz="4" w:space="0" w:color="auto"/>
            </w:tcBorders>
            <w:shd w:val="clear" w:color="auto" w:fill="auto"/>
            <w:noWrap/>
            <w:vAlign w:val="center"/>
            <w:hideMark/>
          </w:tcPr>
          <w:p w14:paraId="152CCB6C"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5835</w:t>
            </w:r>
          </w:p>
        </w:tc>
        <w:tc>
          <w:tcPr>
            <w:tcW w:w="1851" w:type="dxa"/>
            <w:tcBorders>
              <w:top w:val="nil"/>
              <w:left w:val="nil"/>
              <w:bottom w:val="single" w:sz="4" w:space="0" w:color="auto"/>
              <w:right w:val="single" w:sz="4" w:space="0" w:color="auto"/>
            </w:tcBorders>
            <w:vAlign w:val="center"/>
          </w:tcPr>
          <w:p w14:paraId="7284A17C"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69</w:t>
            </w:r>
          </w:p>
        </w:tc>
        <w:tc>
          <w:tcPr>
            <w:tcW w:w="889" w:type="dxa"/>
            <w:tcBorders>
              <w:top w:val="nil"/>
              <w:left w:val="nil"/>
              <w:bottom w:val="single" w:sz="4" w:space="0" w:color="auto"/>
              <w:right w:val="single" w:sz="4" w:space="0" w:color="auto"/>
            </w:tcBorders>
            <w:vAlign w:val="center"/>
          </w:tcPr>
          <w:p w14:paraId="6533F52D"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w:t>
            </w:r>
          </w:p>
        </w:tc>
      </w:tr>
      <w:tr w:rsidR="004461EE" w:rsidRPr="004135FE" w14:paraId="03A0C99E" w14:textId="77777777" w:rsidTr="00BF49F3">
        <w:trPr>
          <w:trHeight w:val="250"/>
        </w:trPr>
        <w:tc>
          <w:tcPr>
            <w:tcW w:w="209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83A836A" w14:textId="77777777" w:rsidR="004461EE" w:rsidRPr="004135FE" w:rsidRDefault="004461E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Итого </w:t>
            </w:r>
          </w:p>
        </w:tc>
        <w:tc>
          <w:tcPr>
            <w:tcW w:w="1428" w:type="dxa"/>
            <w:tcBorders>
              <w:top w:val="nil"/>
              <w:left w:val="nil"/>
              <w:bottom w:val="single" w:sz="4" w:space="0" w:color="auto"/>
              <w:right w:val="single" w:sz="4" w:space="0" w:color="auto"/>
            </w:tcBorders>
            <w:shd w:val="clear" w:color="auto" w:fill="auto"/>
            <w:noWrap/>
            <w:vAlign w:val="bottom"/>
            <w:hideMark/>
          </w:tcPr>
          <w:p w14:paraId="77D07210"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13629</w:t>
            </w:r>
          </w:p>
        </w:tc>
        <w:tc>
          <w:tcPr>
            <w:tcW w:w="1445" w:type="dxa"/>
            <w:tcBorders>
              <w:top w:val="nil"/>
              <w:left w:val="nil"/>
              <w:bottom w:val="single" w:sz="4" w:space="0" w:color="auto"/>
              <w:right w:val="single" w:sz="4" w:space="0" w:color="auto"/>
            </w:tcBorders>
            <w:shd w:val="clear" w:color="auto" w:fill="auto"/>
            <w:noWrap/>
            <w:vAlign w:val="bottom"/>
            <w:hideMark/>
          </w:tcPr>
          <w:p w14:paraId="12B4DA0F"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26877</w:t>
            </w:r>
          </w:p>
        </w:tc>
        <w:tc>
          <w:tcPr>
            <w:tcW w:w="1498" w:type="dxa"/>
            <w:tcBorders>
              <w:top w:val="nil"/>
              <w:left w:val="nil"/>
              <w:bottom w:val="single" w:sz="4" w:space="0" w:color="auto"/>
              <w:right w:val="single" w:sz="4" w:space="0" w:color="auto"/>
            </w:tcBorders>
            <w:shd w:val="clear" w:color="auto" w:fill="auto"/>
            <w:noWrap/>
            <w:vAlign w:val="bottom"/>
            <w:hideMark/>
          </w:tcPr>
          <w:p w14:paraId="3F1E29DF"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40506</w:t>
            </w:r>
          </w:p>
        </w:tc>
        <w:tc>
          <w:tcPr>
            <w:tcW w:w="1851" w:type="dxa"/>
            <w:tcBorders>
              <w:top w:val="nil"/>
              <w:left w:val="nil"/>
              <w:bottom w:val="single" w:sz="4" w:space="0" w:color="auto"/>
              <w:right w:val="single" w:sz="4" w:space="0" w:color="auto"/>
            </w:tcBorders>
          </w:tcPr>
          <w:p w14:paraId="0339213D"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476</w:t>
            </w:r>
          </w:p>
        </w:tc>
        <w:tc>
          <w:tcPr>
            <w:tcW w:w="889" w:type="dxa"/>
            <w:tcBorders>
              <w:top w:val="nil"/>
              <w:left w:val="nil"/>
              <w:bottom w:val="single" w:sz="4" w:space="0" w:color="auto"/>
              <w:right w:val="single" w:sz="4" w:space="0" w:color="auto"/>
            </w:tcBorders>
          </w:tcPr>
          <w:p w14:paraId="41BCD0BD" w14:textId="77777777" w:rsidR="004461EE" w:rsidRPr="004135FE" w:rsidRDefault="004461EE" w:rsidP="00BF49F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480</w:t>
            </w:r>
          </w:p>
        </w:tc>
      </w:tr>
    </w:tbl>
    <w:p w14:paraId="6347E889" w14:textId="71178DED" w:rsidR="004461EE" w:rsidRPr="00640F2F" w:rsidRDefault="004461EE" w:rsidP="00BF49F3">
      <w:pPr>
        <w:autoSpaceDE w:val="0"/>
        <w:autoSpaceDN w:val="0"/>
        <w:adjustRightInd w:val="0"/>
        <w:spacing w:after="0" w:line="240" w:lineRule="auto"/>
        <w:ind w:firstLine="709"/>
        <w:jc w:val="both"/>
        <w:rPr>
          <w:rFonts w:ascii="Times New Roman" w:hAnsi="Times New Roman" w:cs="Times New Roman"/>
          <w:bCs/>
          <w:i/>
          <w:sz w:val="28"/>
          <w:szCs w:val="28"/>
        </w:rPr>
      </w:pPr>
      <w:r w:rsidRPr="00BF49F3">
        <w:rPr>
          <w:rFonts w:ascii="Times New Roman" w:hAnsi="Times New Roman" w:cs="Times New Roman"/>
          <w:bCs/>
          <w:sz w:val="28"/>
          <w:szCs w:val="28"/>
        </w:rPr>
        <w:lastRenderedPageBreak/>
        <w:t>Размер выборки для медицинских работников</w:t>
      </w:r>
      <w:r w:rsidR="00640F2F" w:rsidRPr="00640F2F">
        <w:rPr>
          <w:rFonts w:ascii="Times New Roman" w:hAnsi="Times New Roman" w:cs="Times New Roman"/>
          <w:bCs/>
          <w:sz w:val="28"/>
          <w:szCs w:val="28"/>
        </w:rPr>
        <w:t>.</w:t>
      </w:r>
    </w:p>
    <w:p w14:paraId="58B0BA04" w14:textId="67BDB5CB" w:rsidR="004461EE" w:rsidRPr="004135FE" w:rsidRDefault="004461EE" w:rsidP="00BF49F3">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Из расчета 36 поликлиник в г</w:t>
      </w:r>
      <w:r w:rsidR="00640F2F" w:rsidRPr="00640F2F">
        <w:rPr>
          <w:rFonts w:ascii="Times New Roman" w:hAnsi="Times New Roman" w:cs="Times New Roman"/>
          <w:sz w:val="28"/>
          <w:szCs w:val="28"/>
        </w:rPr>
        <w:t>.</w:t>
      </w:r>
      <w:r w:rsidRPr="004135FE">
        <w:rPr>
          <w:rFonts w:ascii="Times New Roman" w:hAnsi="Times New Roman" w:cs="Times New Roman"/>
          <w:sz w:val="28"/>
          <w:szCs w:val="28"/>
        </w:rPr>
        <w:t xml:space="preserve"> Алматы, генеральная совокупность врачей эндокринологов – 36, требуемый размер выборки составило -33 врача эндокринологов, согласились участвовать-35. Расчет числа наблюдений, необходимых для получения достоверных относительных величин, так же был произведен по вышеуказанной формуле 1. Статистические данные были рассчитаны с использованием 95% доверительного интервала Уилсона (</w:t>
      </w:r>
      <w:r w:rsidRPr="004135FE">
        <w:rPr>
          <w:rFonts w:ascii="Times New Roman" w:hAnsi="Times New Roman" w:cs="Times New Roman"/>
          <w:sz w:val="28"/>
          <w:szCs w:val="28"/>
          <w:lang w:val="en-US"/>
        </w:rPr>
        <w:t>CI</w:t>
      </w:r>
      <w:r w:rsidRPr="004135FE">
        <w:rPr>
          <w:rFonts w:ascii="Times New Roman" w:hAnsi="Times New Roman" w:cs="Times New Roman"/>
          <w:sz w:val="28"/>
          <w:szCs w:val="28"/>
        </w:rPr>
        <w:t>).</w:t>
      </w:r>
    </w:p>
    <w:p w14:paraId="0EDD1B06" w14:textId="12E7DAEE" w:rsidR="004461EE" w:rsidRPr="004135FE" w:rsidRDefault="004461EE" w:rsidP="00BF49F3">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iCs/>
          <w:sz w:val="28"/>
          <w:szCs w:val="28"/>
        </w:rPr>
        <w:t>Этические нормы. Разработанная анкета и протокол исследования были одобрены локальной этической комиссией при К</w:t>
      </w:r>
      <w:r w:rsidRPr="004135FE">
        <w:rPr>
          <w:rFonts w:ascii="Times New Roman" w:hAnsi="Times New Roman" w:cs="Times New Roman"/>
          <w:sz w:val="28"/>
          <w:szCs w:val="28"/>
        </w:rPr>
        <w:t xml:space="preserve">МУ «ВШОЗ" и утвержден протоколом № </w:t>
      </w:r>
      <w:r w:rsidRPr="004135FE">
        <w:rPr>
          <w:rFonts w:ascii="Times New Roman" w:hAnsi="Times New Roman" w:cs="Times New Roman"/>
          <w:sz w:val="28"/>
          <w:szCs w:val="28"/>
          <w:lang w:val="en-US"/>
        </w:rPr>
        <w:t>IRB</w:t>
      </w:r>
      <w:r w:rsidRPr="004135FE">
        <w:rPr>
          <w:rFonts w:ascii="Times New Roman" w:hAnsi="Times New Roman" w:cs="Times New Roman"/>
          <w:sz w:val="28"/>
          <w:szCs w:val="28"/>
        </w:rPr>
        <w:t>-</w:t>
      </w:r>
      <w:r w:rsidRPr="004135FE">
        <w:rPr>
          <w:rFonts w:ascii="Times New Roman" w:hAnsi="Times New Roman" w:cs="Times New Roman"/>
          <w:sz w:val="28"/>
          <w:szCs w:val="28"/>
          <w:lang w:val="en-US"/>
        </w:rPr>
        <w:t>A</w:t>
      </w:r>
      <w:r w:rsidR="00C36BD2">
        <w:rPr>
          <w:rFonts w:ascii="Times New Roman" w:hAnsi="Times New Roman" w:cs="Times New Roman"/>
          <w:sz w:val="28"/>
          <w:szCs w:val="28"/>
        </w:rPr>
        <w:t>276</w:t>
      </w:r>
      <w:r w:rsidRPr="004135FE">
        <w:rPr>
          <w:rFonts w:ascii="Times New Roman" w:hAnsi="Times New Roman" w:cs="Times New Roman"/>
          <w:sz w:val="28"/>
          <w:szCs w:val="28"/>
        </w:rPr>
        <w:t xml:space="preserve">. Были получены разрешения руководителей поликлиник, к которым прикреплены участники исследования. Анкетирование было анонимным, с соблюдением всех прав участников, </w:t>
      </w:r>
      <w:r w:rsidR="004F64B7" w:rsidRPr="004135FE">
        <w:rPr>
          <w:rFonts w:ascii="Times New Roman" w:hAnsi="Times New Roman" w:cs="Times New Roman"/>
          <w:sz w:val="28"/>
          <w:szCs w:val="28"/>
        </w:rPr>
        <w:t>в соответствии с этическими принципами</w:t>
      </w:r>
      <w:r w:rsidRPr="004135FE">
        <w:rPr>
          <w:rFonts w:ascii="Times New Roman" w:hAnsi="Times New Roman" w:cs="Times New Roman"/>
          <w:sz w:val="28"/>
          <w:szCs w:val="28"/>
        </w:rPr>
        <w:t xml:space="preserve"> Хельсинской декларации.  </w:t>
      </w:r>
    </w:p>
    <w:p w14:paraId="44C96040" w14:textId="11011E48" w:rsidR="004461EE" w:rsidRPr="004135FE" w:rsidRDefault="009D1FCD" w:rsidP="00CE172A">
      <w:pPr>
        <w:pStyle w:val="a3"/>
        <w:numPr>
          <w:ilvl w:val="0"/>
          <w:numId w:val="67"/>
        </w:numPr>
        <w:tabs>
          <w:tab w:val="left" w:pos="1134"/>
        </w:tabs>
        <w:autoSpaceDE w:val="0"/>
        <w:autoSpaceDN w:val="0"/>
        <w:adjustRightInd w:val="0"/>
        <w:spacing w:after="0" w:line="240" w:lineRule="auto"/>
        <w:ind w:left="0" w:firstLine="709"/>
        <w:jc w:val="both"/>
        <w:rPr>
          <w:rFonts w:ascii="Times New Roman" w:hAnsi="Times New Roman" w:cs="Times New Roman"/>
          <w:bCs/>
          <w:sz w:val="28"/>
          <w:szCs w:val="28"/>
        </w:rPr>
      </w:pPr>
      <w:r w:rsidRPr="004135FE">
        <w:rPr>
          <w:rFonts w:ascii="Times New Roman" w:hAnsi="Times New Roman" w:cs="Times New Roman"/>
          <w:bCs/>
          <w:sz w:val="28"/>
          <w:szCs w:val="28"/>
        </w:rPr>
        <w:t xml:space="preserve">Метод </w:t>
      </w:r>
      <w:r w:rsidR="00EE7E31" w:rsidRPr="004135FE">
        <w:rPr>
          <w:rFonts w:ascii="Times New Roman" w:hAnsi="Times New Roman" w:cs="Times New Roman"/>
          <w:bCs/>
          <w:sz w:val="28"/>
          <w:szCs w:val="28"/>
        </w:rPr>
        <w:t>экспертной</w:t>
      </w:r>
      <w:r w:rsidRPr="004135FE">
        <w:rPr>
          <w:rFonts w:ascii="Times New Roman" w:hAnsi="Times New Roman" w:cs="Times New Roman"/>
          <w:bCs/>
          <w:sz w:val="28"/>
          <w:szCs w:val="28"/>
        </w:rPr>
        <w:t xml:space="preserve"> оценки использован для изучения </w:t>
      </w:r>
      <w:r w:rsidR="0018180D" w:rsidRPr="004135FE">
        <w:rPr>
          <w:rFonts w:ascii="Times New Roman" w:hAnsi="Times New Roman" w:cs="Times New Roman"/>
          <w:bCs/>
          <w:sz w:val="28"/>
          <w:szCs w:val="28"/>
        </w:rPr>
        <w:t xml:space="preserve">ряда </w:t>
      </w:r>
      <w:r w:rsidR="00DC40F2" w:rsidRPr="004135FE">
        <w:rPr>
          <w:rFonts w:ascii="Times New Roman" w:hAnsi="Times New Roman" w:cs="Times New Roman"/>
          <w:bCs/>
          <w:sz w:val="28"/>
          <w:szCs w:val="28"/>
        </w:rPr>
        <w:t>документов,</w:t>
      </w:r>
      <w:r w:rsidR="0018180D" w:rsidRPr="004135FE">
        <w:rPr>
          <w:rFonts w:ascii="Times New Roman" w:hAnsi="Times New Roman" w:cs="Times New Roman"/>
          <w:bCs/>
          <w:sz w:val="28"/>
          <w:szCs w:val="28"/>
        </w:rPr>
        <w:t xml:space="preserve"> основанных на оказание помощи пациентам с СД2т, </w:t>
      </w:r>
      <w:r w:rsidR="00DC40F2" w:rsidRPr="004135FE">
        <w:rPr>
          <w:rFonts w:ascii="Times New Roman" w:hAnsi="Times New Roman" w:cs="Times New Roman"/>
          <w:bCs/>
          <w:sz w:val="28"/>
          <w:szCs w:val="28"/>
        </w:rPr>
        <w:t>процедуры и манипуляции,</w:t>
      </w:r>
      <w:r w:rsidR="0018180D" w:rsidRPr="004135FE">
        <w:rPr>
          <w:rFonts w:ascii="Times New Roman" w:hAnsi="Times New Roman" w:cs="Times New Roman"/>
          <w:bCs/>
          <w:sz w:val="28"/>
          <w:szCs w:val="28"/>
        </w:rPr>
        <w:t xml:space="preserve"> оказываемые медицинским персоналом, оценке социологического исследования.</w:t>
      </w:r>
    </w:p>
    <w:p w14:paraId="2B656526" w14:textId="40B996A1" w:rsidR="004461EE" w:rsidRDefault="004461EE" w:rsidP="00CE172A">
      <w:pPr>
        <w:pStyle w:val="a3"/>
        <w:numPr>
          <w:ilvl w:val="0"/>
          <w:numId w:val="67"/>
        </w:numPr>
        <w:tabs>
          <w:tab w:val="left" w:pos="1134"/>
        </w:tabs>
        <w:autoSpaceDE w:val="0"/>
        <w:autoSpaceDN w:val="0"/>
        <w:adjustRightInd w:val="0"/>
        <w:spacing w:after="0" w:line="240" w:lineRule="auto"/>
        <w:ind w:left="0" w:firstLine="709"/>
        <w:jc w:val="both"/>
        <w:rPr>
          <w:rFonts w:ascii="Times New Roman" w:hAnsi="Times New Roman" w:cs="Times New Roman"/>
          <w:bCs/>
          <w:sz w:val="28"/>
          <w:szCs w:val="28"/>
        </w:rPr>
      </w:pPr>
      <w:r w:rsidRPr="004135FE">
        <w:rPr>
          <w:rFonts w:ascii="Times New Roman" w:hAnsi="Times New Roman" w:cs="Times New Roman"/>
          <w:bCs/>
          <w:sz w:val="28"/>
          <w:szCs w:val="28"/>
        </w:rPr>
        <w:t xml:space="preserve">Метод моделирования использован </w:t>
      </w:r>
      <w:r w:rsidR="009D1FCD" w:rsidRPr="004135FE">
        <w:rPr>
          <w:rFonts w:ascii="Times New Roman" w:hAnsi="Times New Roman" w:cs="Times New Roman"/>
          <w:bCs/>
          <w:sz w:val="28"/>
          <w:szCs w:val="28"/>
        </w:rPr>
        <w:t xml:space="preserve">для структурно- функционального построения модели </w:t>
      </w:r>
      <w:r w:rsidR="002714BB" w:rsidRPr="004135FE">
        <w:rPr>
          <w:rFonts w:ascii="Times New Roman" w:hAnsi="Times New Roman" w:cs="Times New Roman"/>
          <w:bCs/>
          <w:sz w:val="28"/>
          <w:szCs w:val="28"/>
        </w:rPr>
        <w:t xml:space="preserve">оказания медицинской помощи и </w:t>
      </w:r>
      <w:r w:rsidR="009D1FCD" w:rsidRPr="004135FE">
        <w:rPr>
          <w:rFonts w:ascii="Times New Roman" w:hAnsi="Times New Roman" w:cs="Times New Roman"/>
          <w:bCs/>
          <w:sz w:val="28"/>
          <w:szCs w:val="28"/>
        </w:rPr>
        <w:t xml:space="preserve">межсекторального сотрудничества при СД2т, основанной на </w:t>
      </w:r>
      <w:r w:rsidR="003D645F" w:rsidRPr="004135FE">
        <w:rPr>
          <w:rFonts w:ascii="Times New Roman" w:hAnsi="Times New Roman" w:cs="Times New Roman"/>
          <w:bCs/>
          <w:sz w:val="28"/>
          <w:szCs w:val="28"/>
        </w:rPr>
        <w:t>непрерывности</w:t>
      </w:r>
      <w:r w:rsidR="009D1FCD" w:rsidRPr="004135FE">
        <w:rPr>
          <w:rFonts w:ascii="Times New Roman" w:hAnsi="Times New Roman" w:cs="Times New Roman"/>
          <w:bCs/>
          <w:sz w:val="28"/>
          <w:szCs w:val="28"/>
        </w:rPr>
        <w:t>, преемственности и результатов исследования поставленных задач, активном участии пац</w:t>
      </w:r>
      <w:r w:rsidR="00DC40F2" w:rsidRPr="004135FE">
        <w:rPr>
          <w:rFonts w:ascii="Times New Roman" w:hAnsi="Times New Roman" w:cs="Times New Roman"/>
          <w:bCs/>
          <w:sz w:val="28"/>
          <w:szCs w:val="28"/>
        </w:rPr>
        <w:t>иентов и медицинского персонала [1</w:t>
      </w:r>
      <w:r w:rsidR="00205B83" w:rsidRPr="004135FE">
        <w:rPr>
          <w:rFonts w:ascii="Times New Roman" w:hAnsi="Times New Roman" w:cs="Times New Roman"/>
          <w:bCs/>
          <w:sz w:val="28"/>
          <w:szCs w:val="28"/>
        </w:rPr>
        <w:t>64</w:t>
      </w:r>
      <w:r w:rsidR="00DC40F2" w:rsidRPr="004135FE">
        <w:rPr>
          <w:rFonts w:ascii="Times New Roman" w:hAnsi="Times New Roman" w:cs="Times New Roman"/>
          <w:bCs/>
          <w:sz w:val="28"/>
          <w:szCs w:val="28"/>
        </w:rPr>
        <w:t xml:space="preserve">] </w:t>
      </w:r>
    </w:p>
    <w:p w14:paraId="2AD4672C" w14:textId="77777777" w:rsidR="00D52DDD" w:rsidRPr="004135FE" w:rsidRDefault="00D52DDD" w:rsidP="00D52DDD">
      <w:pPr>
        <w:pStyle w:val="a3"/>
        <w:tabs>
          <w:tab w:val="left" w:pos="1134"/>
        </w:tabs>
        <w:autoSpaceDE w:val="0"/>
        <w:autoSpaceDN w:val="0"/>
        <w:adjustRightInd w:val="0"/>
        <w:spacing w:after="0" w:line="240" w:lineRule="auto"/>
        <w:ind w:left="709"/>
        <w:jc w:val="both"/>
        <w:rPr>
          <w:rFonts w:ascii="Times New Roman" w:hAnsi="Times New Roman" w:cs="Times New Roman"/>
          <w:bCs/>
          <w:sz w:val="28"/>
          <w:szCs w:val="28"/>
        </w:rPr>
      </w:pPr>
    </w:p>
    <w:p w14:paraId="1D2C1F4D" w14:textId="77777777" w:rsidR="00D52DDD" w:rsidRPr="00D52DDD" w:rsidRDefault="00D52DDD" w:rsidP="00BF49F3">
      <w:pPr>
        <w:autoSpaceDE w:val="0"/>
        <w:autoSpaceDN w:val="0"/>
        <w:adjustRightInd w:val="0"/>
        <w:spacing w:after="0" w:line="240" w:lineRule="auto"/>
        <w:ind w:firstLine="709"/>
        <w:jc w:val="both"/>
        <w:rPr>
          <w:rFonts w:ascii="Times New Roman" w:hAnsi="Times New Roman" w:cs="Times New Roman"/>
          <w:b/>
          <w:sz w:val="28"/>
          <w:szCs w:val="28"/>
          <w:lang w:val="kk-KZ"/>
        </w:rPr>
      </w:pPr>
      <w:r w:rsidRPr="00D52DDD">
        <w:rPr>
          <w:rFonts w:ascii="Times New Roman" w:hAnsi="Times New Roman" w:cs="Times New Roman"/>
          <w:b/>
          <w:sz w:val="28"/>
          <w:szCs w:val="28"/>
          <w:lang w:val="kk-KZ"/>
        </w:rPr>
        <w:t>Выводы по 2 разделу</w:t>
      </w:r>
    </w:p>
    <w:p w14:paraId="69E4C8DD" w14:textId="7FE8B31B" w:rsidR="004461EE" w:rsidRPr="004135FE" w:rsidRDefault="004461EE" w:rsidP="00BF49F3">
      <w:pPr>
        <w:autoSpaceDE w:val="0"/>
        <w:autoSpaceDN w:val="0"/>
        <w:adjustRightInd w:val="0"/>
        <w:spacing w:after="0" w:line="240" w:lineRule="auto"/>
        <w:ind w:firstLine="709"/>
        <w:jc w:val="both"/>
        <w:rPr>
          <w:rFonts w:ascii="Times New Roman" w:hAnsi="Times New Roman" w:cs="Times New Roman"/>
          <w:bCs/>
          <w:sz w:val="28"/>
          <w:szCs w:val="28"/>
        </w:rPr>
      </w:pPr>
      <w:r w:rsidRPr="004135FE">
        <w:rPr>
          <w:rFonts w:ascii="Times New Roman" w:hAnsi="Times New Roman" w:cs="Times New Roman"/>
          <w:bCs/>
          <w:sz w:val="28"/>
          <w:szCs w:val="28"/>
        </w:rPr>
        <w:t xml:space="preserve">Таким образом, </w:t>
      </w:r>
      <w:r w:rsidR="0018180D" w:rsidRPr="004135FE">
        <w:rPr>
          <w:rFonts w:ascii="Times New Roman" w:hAnsi="Times New Roman" w:cs="Times New Roman"/>
          <w:bCs/>
          <w:sz w:val="28"/>
          <w:szCs w:val="28"/>
        </w:rPr>
        <w:t xml:space="preserve">для достижения цели и решения задач исследования была разработана интегрированная программа, которая в концентрированном виде отражала этапы работы, логическую связь и последовательность проведенных исследований. </w:t>
      </w:r>
      <w:r w:rsidR="00F95FB5" w:rsidRPr="004135FE">
        <w:rPr>
          <w:rFonts w:ascii="Times New Roman" w:hAnsi="Times New Roman" w:cs="Times New Roman"/>
          <w:bCs/>
          <w:sz w:val="28"/>
          <w:szCs w:val="28"/>
        </w:rPr>
        <w:t>Подробные материалы исследования по объему, структуре и качеству объективной медико-статистической информации позволили сформулировать доказательную базу. В</w:t>
      </w:r>
      <w:r w:rsidRPr="004135FE">
        <w:rPr>
          <w:rFonts w:ascii="Times New Roman" w:hAnsi="Times New Roman" w:cs="Times New Roman"/>
          <w:bCs/>
          <w:sz w:val="28"/>
          <w:szCs w:val="28"/>
        </w:rPr>
        <w:t xml:space="preserve">ышеуказанные методы </w:t>
      </w:r>
      <w:r w:rsidR="00F95FB5" w:rsidRPr="004135FE">
        <w:rPr>
          <w:rFonts w:ascii="Times New Roman" w:hAnsi="Times New Roman" w:cs="Times New Roman"/>
          <w:bCs/>
          <w:sz w:val="28"/>
          <w:szCs w:val="28"/>
        </w:rPr>
        <w:t>обеспечили</w:t>
      </w:r>
      <w:r w:rsidRPr="004135FE">
        <w:rPr>
          <w:rFonts w:ascii="Times New Roman" w:hAnsi="Times New Roman" w:cs="Times New Roman"/>
          <w:bCs/>
          <w:sz w:val="28"/>
          <w:szCs w:val="28"/>
        </w:rPr>
        <w:t xml:space="preserve"> достоверност</w:t>
      </w:r>
      <w:r w:rsidR="00F95FB5" w:rsidRPr="004135FE">
        <w:rPr>
          <w:rFonts w:ascii="Times New Roman" w:hAnsi="Times New Roman" w:cs="Times New Roman"/>
          <w:bCs/>
          <w:sz w:val="28"/>
          <w:szCs w:val="28"/>
        </w:rPr>
        <w:t>ь</w:t>
      </w:r>
      <w:r w:rsidRPr="004135FE">
        <w:rPr>
          <w:rFonts w:ascii="Times New Roman" w:hAnsi="Times New Roman" w:cs="Times New Roman"/>
          <w:bCs/>
          <w:sz w:val="28"/>
          <w:szCs w:val="28"/>
        </w:rPr>
        <w:t xml:space="preserve"> и репрезентативност</w:t>
      </w:r>
      <w:r w:rsidR="00F95FB5" w:rsidRPr="004135FE">
        <w:rPr>
          <w:rFonts w:ascii="Times New Roman" w:hAnsi="Times New Roman" w:cs="Times New Roman"/>
          <w:bCs/>
          <w:sz w:val="28"/>
          <w:szCs w:val="28"/>
        </w:rPr>
        <w:t>ь</w:t>
      </w:r>
      <w:r w:rsidRPr="004135FE">
        <w:rPr>
          <w:rFonts w:ascii="Times New Roman" w:hAnsi="Times New Roman" w:cs="Times New Roman"/>
          <w:bCs/>
          <w:sz w:val="28"/>
          <w:szCs w:val="28"/>
        </w:rPr>
        <w:t xml:space="preserve"> полученных результатов.</w:t>
      </w:r>
    </w:p>
    <w:p w14:paraId="327DE37C" w14:textId="7BE4BCE3" w:rsidR="00A12144" w:rsidRPr="004135FE" w:rsidRDefault="00A12144" w:rsidP="00BF49F3">
      <w:pPr>
        <w:spacing w:after="0" w:line="240" w:lineRule="auto"/>
        <w:ind w:firstLine="709"/>
        <w:jc w:val="both"/>
        <w:rPr>
          <w:rFonts w:ascii="Times New Roman" w:hAnsi="Times New Roman" w:cs="Times New Roman"/>
          <w:sz w:val="28"/>
          <w:szCs w:val="28"/>
        </w:rPr>
      </w:pPr>
    </w:p>
    <w:p w14:paraId="112F383E" w14:textId="6EF720AC" w:rsidR="00A12144" w:rsidRPr="004135FE" w:rsidRDefault="00A12144" w:rsidP="004135FE">
      <w:pPr>
        <w:spacing w:after="0" w:line="240" w:lineRule="auto"/>
        <w:jc w:val="both"/>
        <w:rPr>
          <w:rFonts w:ascii="Times New Roman" w:hAnsi="Times New Roman" w:cs="Times New Roman"/>
          <w:sz w:val="28"/>
          <w:szCs w:val="28"/>
        </w:rPr>
      </w:pPr>
    </w:p>
    <w:p w14:paraId="19AD5E72" w14:textId="77777777" w:rsidR="00A12144" w:rsidRPr="004135FE" w:rsidRDefault="00A12144" w:rsidP="004135FE">
      <w:pPr>
        <w:spacing w:after="0" w:line="240" w:lineRule="auto"/>
        <w:jc w:val="both"/>
        <w:rPr>
          <w:rFonts w:ascii="Times New Roman" w:hAnsi="Times New Roman" w:cs="Times New Roman"/>
          <w:sz w:val="28"/>
          <w:szCs w:val="28"/>
        </w:rPr>
      </w:pPr>
    </w:p>
    <w:p w14:paraId="329EBD8F" w14:textId="57EA8128" w:rsidR="00556C53" w:rsidRPr="004135FE" w:rsidRDefault="00556C53" w:rsidP="004135FE">
      <w:pPr>
        <w:autoSpaceDE w:val="0"/>
        <w:autoSpaceDN w:val="0"/>
        <w:adjustRightInd w:val="0"/>
        <w:spacing w:after="0" w:line="240" w:lineRule="auto"/>
        <w:jc w:val="both"/>
        <w:rPr>
          <w:rFonts w:ascii="Times New Roman" w:hAnsi="Times New Roman" w:cs="Times New Roman"/>
          <w:sz w:val="28"/>
          <w:szCs w:val="28"/>
        </w:rPr>
        <w:sectPr w:rsidR="00556C53" w:rsidRPr="004135FE" w:rsidSect="00EC71C2">
          <w:type w:val="nextColumn"/>
          <w:pgSz w:w="11906" w:h="16838"/>
          <w:pgMar w:top="1134" w:right="851" w:bottom="1134" w:left="1701" w:header="708" w:footer="708" w:gutter="0"/>
          <w:cols w:space="708"/>
          <w:docGrid w:linePitch="360"/>
        </w:sectPr>
      </w:pPr>
    </w:p>
    <w:p w14:paraId="488C25F1" w14:textId="09DEFE75" w:rsidR="00AA2C8A" w:rsidRPr="004135FE" w:rsidRDefault="00D10F5E" w:rsidP="00CE172A">
      <w:pPr>
        <w:tabs>
          <w:tab w:val="left" w:pos="567"/>
        </w:tabs>
        <w:spacing w:after="0" w:line="240" w:lineRule="auto"/>
        <w:ind w:firstLine="709"/>
        <w:jc w:val="both"/>
        <w:rPr>
          <w:rFonts w:ascii="Times New Roman" w:eastAsia="Times New Roman" w:hAnsi="Times New Roman" w:cs="Times New Roman"/>
          <w:b/>
          <w:sz w:val="28"/>
          <w:szCs w:val="28"/>
        </w:rPr>
      </w:pPr>
      <w:r w:rsidRPr="004135FE">
        <w:rPr>
          <w:rFonts w:ascii="Times New Roman" w:eastAsia="Times New Roman" w:hAnsi="Times New Roman" w:cs="Times New Roman"/>
          <w:b/>
          <w:sz w:val="28"/>
          <w:szCs w:val="28"/>
        </w:rPr>
        <w:lastRenderedPageBreak/>
        <w:t>3</w:t>
      </w:r>
      <w:r w:rsidR="00CE172A">
        <w:rPr>
          <w:rFonts w:ascii="Times New Roman" w:eastAsia="Times New Roman" w:hAnsi="Times New Roman" w:cs="Times New Roman"/>
          <w:b/>
          <w:sz w:val="28"/>
          <w:szCs w:val="28"/>
        </w:rPr>
        <w:t xml:space="preserve"> </w:t>
      </w:r>
      <w:r w:rsidR="00AA2C8A" w:rsidRPr="004135FE">
        <w:rPr>
          <w:rFonts w:ascii="Times New Roman" w:eastAsia="Times New Roman" w:hAnsi="Times New Roman" w:cs="Times New Roman"/>
          <w:b/>
          <w:sz w:val="28"/>
          <w:szCs w:val="28"/>
        </w:rPr>
        <w:t xml:space="preserve">РЕЗУЛЬТАТЫ СТАТИСТИЧЕСКОГО ИССЛЕДОВАНИЯ ПО САХАРНОМУ ДИАБЕТУ 2 ТИПА </w:t>
      </w:r>
    </w:p>
    <w:p w14:paraId="32E914AB" w14:textId="77777777" w:rsidR="00AA2C8A" w:rsidRPr="004135FE" w:rsidRDefault="00AA2C8A" w:rsidP="00CE172A">
      <w:pPr>
        <w:tabs>
          <w:tab w:val="left" w:pos="426"/>
        </w:tabs>
        <w:spacing w:after="0" w:line="240" w:lineRule="auto"/>
        <w:ind w:left="927" w:firstLine="709"/>
        <w:jc w:val="both"/>
        <w:rPr>
          <w:rFonts w:ascii="Times New Roman" w:eastAsia="Times New Roman" w:hAnsi="Times New Roman" w:cs="Times New Roman"/>
          <w:b/>
          <w:sz w:val="28"/>
          <w:szCs w:val="28"/>
        </w:rPr>
      </w:pPr>
    </w:p>
    <w:p w14:paraId="20417B4B" w14:textId="0F8943FF" w:rsidR="00AA2C8A" w:rsidRPr="004135FE" w:rsidRDefault="00AA2C8A" w:rsidP="00CE172A">
      <w:pPr>
        <w:tabs>
          <w:tab w:val="left" w:pos="426"/>
        </w:tabs>
        <w:spacing w:after="0" w:line="240" w:lineRule="auto"/>
        <w:ind w:firstLine="709"/>
        <w:jc w:val="both"/>
        <w:rPr>
          <w:rFonts w:ascii="Times New Roman" w:eastAsia="Times New Roman" w:hAnsi="Times New Roman" w:cs="Times New Roman"/>
          <w:b/>
          <w:sz w:val="28"/>
          <w:szCs w:val="28"/>
        </w:rPr>
      </w:pPr>
      <w:r w:rsidRPr="004135FE">
        <w:rPr>
          <w:rFonts w:ascii="Times New Roman" w:eastAsia="Times New Roman" w:hAnsi="Times New Roman" w:cs="Times New Roman"/>
          <w:b/>
          <w:sz w:val="28"/>
          <w:szCs w:val="28"/>
        </w:rPr>
        <w:t xml:space="preserve">3.1 </w:t>
      </w:r>
      <w:r w:rsidR="008C76E1" w:rsidRPr="004135FE">
        <w:rPr>
          <w:rFonts w:ascii="Times New Roman" w:eastAsia="Times New Roman" w:hAnsi="Times New Roman" w:cs="Times New Roman"/>
          <w:b/>
          <w:sz w:val="28"/>
          <w:szCs w:val="28"/>
        </w:rPr>
        <w:t xml:space="preserve">Первичная заболеваемость сахарным диабетом 2 типа </w:t>
      </w:r>
      <w:r w:rsidR="00CE172A">
        <w:rPr>
          <w:rFonts w:ascii="Times New Roman" w:eastAsia="Times New Roman" w:hAnsi="Times New Roman" w:cs="Times New Roman"/>
          <w:b/>
          <w:sz w:val="28"/>
          <w:szCs w:val="28"/>
        </w:rPr>
        <w:t xml:space="preserve">                               </w:t>
      </w:r>
      <w:r w:rsidR="008C76E1" w:rsidRPr="004135FE">
        <w:rPr>
          <w:rFonts w:ascii="Times New Roman" w:eastAsia="Times New Roman" w:hAnsi="Times New Roman" w:cs="Times New Roman"/>
          <w:b/>
          <w:sz w:val="28"/>
          <w:szCs w:val="28"/>
        </w:rPr>
        <w:t>по г.</w:t>
      </w:r>
      <w:r w:rsidR="00CE172A">
        <w:rPr>
          <w:rFonts w:ascii="Times New Roman" w:eastAsia="Times New Roman" w:hAnsi="Times New Roman" w:cs="Times New Roman"/>
          <w:b/>
          <w:sz w:val="28"/>
          <w:szCs w:val="28"/>
        </w:rPr>
        <w:t xml:space="preserve"> </w:t>
      </w:r>
      <w:r w:rsidR="008C76E1" w:rsidRPr="004135FE">
        <w:rPr>
          <w:rFonts w:ascii="Times New Roman" w:eastAsia="Times New Roman" w:hAnsi="Times New Roman" w:cs="Times New Roman"/>
          <w:b/>
          <w:sz w:val="28"/>
          <w:szCs w:val="28"/>
        </w:rPr>
        <w:t>Алматы</w:t>
      </w:r>
    </w:p>
    <w:p w14:paraId="26E44513" w14:textId="2DFAF7B9" w:rsidR="0066583A" w:rsidRPr="004135FE" w:rsidRDefault="0066583A" w:rsidP="00CE172A">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Раннее выявление </w:t>
      </w:r>
      <w:r w:rsidR="00126EDF" w:rsidRPr="004135FE">
        <w:rPr>
          <w:rFonts w:ascii="Times New Roman" w:hAnsi="Times New Roman" w:cs="Times New Roman"/>
          <w:sz w:val="28"/>
          <w:szCs w:val="28"/>
        </w:rPr>
        <w:t xml:space="preserve">СД2т </w:t>
      </w:r>
      <w:r w:rsidRPr="004135FE">
        <w:rPr>
          <w:rFonts w:ascii="Times New Roman" w:hAnsi="Times New Roman" w:cs="Times New Roman"/>
          <w:sz w:val="28"/>
          <w:szCs w:val="28"/>
        </w:rPr>
        <w:t xml:space="preserve">и общее последующее наблюдение за пациентами входит в состав индивидуальных услуг </w:t>
      </w:r>
      <w:r w:rsidR="00126EDF" w:rsidRPr="004135FE">
        <w:rPr>
          <w:rFonts w:ascii="Times New Roman" w:hAnsi="Times New Roman" w:cs="Times New Roman"/>
          <w:sz w:val="28"/>
          <w:szCs w:val="28"/>
        </w:rPr>
        <w:t>программы ПУЗ на уровне ПМСП</w:t>
      </w:r>
      <w:r w:rsidR="00B7259E" w:rsidRPr="004135FE">
        <w:rPr>
          <w:rFonts w:ascii="Times New Roman" w:hAnsi="Times New Roman" w:cs="Times New Roman"/>
          <w:sz w:val="28"/>
          <w:szCs w:val="28"/>
        </w:rPr>
        <w:t xml:space="preserve"> [165</w:t>
      </w:r>
      <w:r w:rsidRPr="004135FE">
        <w:rPr>
          <w:rFonts w:ascii="Times New Roman" w:hAnsi="Times New Roman" w:cs="Times New Roman"/>
          <w:sz w:val="28"/>
          <w:szCs w:val="28"/>
        </w:rPr>
        <w:t xml:space="preserve">]. </w:t>
      </w:r>
    </w:p>
    <w:p w14:paraId="1E3AA7F2" w14:textId="3326B33A" w:rsidR="0066583A" w:rsidRPr="004135FE" w:rsidRDefault="0066583A" w:rsidP="00CE172A">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В глобальном докладе по диабету 2018 года ВОЗ отмечает</w:t>
      </w:r>
      <w:r w:rsidR="00126EDF" w:rsidRPr="004135FE">
        <w:rPr>
          <w:rFonts w:ascii="Times New Roman" w:eastAsiaTheme="minorHAnsi" w:hAnsi="Times New Roman" w:cs="Times New Roman"/>
          <w:sz w:val="28"/>
          <w:szCs w:val="28"/>
          <w:lang w:eastAsia="en-US"/>
        </w:rPr>
        <w:t xml:space="preserve">, что ранняя диагностика определяет дальнейшее качество жизни пациентов с диабетом. Длительность не диагностированных случаев гипергликемии приводят к худшим </w:t>
      </w:r>
      <w:r w:rsidR="00256727" w:rsidRPr="004135FE">
        <w:rPr>
          <w:rFonts w:ascii="Times New Roman" w:eastAsiaTheme="minorHAnsi" w:hAnsi="Times New Roman" w:cs="Times New Roman"/>
          <w:sz w:val="28"/>
          <w:szCs w:val="28"/>
          <w:lang w:eastAsia="en-US"/>
        </w:rPr>
        <w:t xml:space="preserve">осложнениям здоровья и </w:t>
      </w:r>
      <w:r w:rsidR="00126EDF" w:rsidRPr="004135FE">
        <w:rPr>
          <w:rFonts w:ascii="Times New Roman" w:eastAsiaTheme="minorHAnsi" w:hAnsi="Times New Roman" w:cs="Times New Roman"/>
          <w:sz w:val="28"/>
          <w:szCs w:val="28"/>
          <w:lang w:eastAsia="en-US"/>
        </w:rPr>
        <w:t xml:space="preserve">исходам </w:t>
      </w:r>
      <w:r w:rsidR="00B7259E" w:rsidRPr="004135FE">
        <w:rPr>
          <w:rFonts w:ascii="Times New Roman" w:hAnsi="Times New Roman" w:cs="Times New Roman"/>
          <w:sz w:val="28"/>
          <w:szCs w:val="28"/>
        </w:rPr>
        <w:t>[166</w:t>
      </w:r>
      <w:r w:rsidRPr="004135FE">
        <w:rPr>
          <w:rFonts w:ascii="Times New Roman" w:hAnsi="Times New Roman" w:cs="Times New Roman"/>
          <w:sz w:val="28"/>
          <w:szCs w:val="28"/>
        </w:rPr>
        <w:t>].</w:t>
      </w:r>
    </w:p>
    <w:p w14:paraId="4B49B1AD" w14:textId="5B8EDE23" w:rsidR="0066583A" w:rsidRPr="004135FE" w:rsidRDefault="0066583A" w:rsidP="00CE172A">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Диагностика и оценка реабилитационного потенциала осуществляется при анализе соматических и личностных особенностей человека, клиники и тяжести течения сахарного д</w:t>
      </w:r>
      <w:r w:rsidR="00B7259E" w:rsidRPr="004135FE">
        <w:rPr>
          <w:rFonts w:ascii="Times New Roman" w:hAnsi="Times New Roman" w:cs="Times New Roman"/>
          <w:sz w:val="28"/>
          <w:szCs w:val="28"/>
        </w:rPr>
        <w:t>иабета [167</w:t>
      </w:r>
      <w:r w:rsidRPr="004135FE">
        <w:rPr>
          <w:rFonts w:ascii="Times New Roman" w:hAnsi="Times New Roman" w:cs="Times New Roman"/>
          <w:sz w:val="28"/>
          <w:szCs w:val="28"/>
        </w:rPr>
        <w:t>].</w:t>
      </w:r>
    </w:p>
    <w:p w14:paraId="393A54F4" w14:textId="14478D5E" w:rsidR="00256727" w:rsidRPr="004135FE" w:rsidRDefault="0066583A" w:rsidP="00CE172A">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СД2т поражает большую часть работоспособного населения, что может привести к преждевременной смертности и больные могут не достигну</w:t>
      </w:r>
      <w:r w:rsidR="00256727" w:rsidRPr="004135FE">
        <w:rPr>
          <w:rFonts w:ascii="Times New Roman" w:hAnsi="Times New Roman" w:cs="Times New Roman"/>
          <w:sz w:val="28"/>
          <w:szCs w:val="28"/>
        </w:rPr>
        <w:t>ть до среднего ожидаемого возраста.</w:t>
      </w:r>
    </w:p>
    <w:p w14:paraId="4C414316" w14:textId="1E68175A" w:rsidR="0066583A" w:rsidRPr="004135FE" w:rsidRDefault="00256727" w:rsidP="00CE172A">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Средняя ожидаемая продолжительность жизни в Казахстане составляет 72,95 лет, </w:t>
      </w:r>
      <w:r w:rsidR="0066583A" w:rsidRPr="004135FE">
        <w:rPr>
          <w:rFonts w:ascii="Times New Roman" w:hAnsi="Times New Roman" w:cs="Times New Roman"/>
          <w:sz w:val="28"/>
          <w:szCs w:val="28"/>
        </w:rPr>
        <w:t>по отдельности для мужчин 68.72</w:t>
      </w:r>
      <w:r w:rsidR="002C3EAC" w:rsidRPr="002C3EAC">
        <w:rPr>
          <w:rFonts w:ascii="Times New Roman" w:hAnsi="Times New Roman" w:cs="Times New Roman"/>
          <w:sz w:val="28"/>
          <w:szCs w:val="28"/>
        </w:rPr>
        <w:t xml:space="preserve"> </w:t>
      </w:r>
      <w:r w:rsidR="0066583A" w:rsidRPr="004135FE">
        <w:rPr>
          <w:rFonts w:ascii="Times New Roman" w:hAnsi="Times New Roman" w:cs="Times New Roman"/>
          <w:sz w:val="28"/>
          <w:szCs w:val="28"/>
        </w:rPr>
        <w:t>лет, для женщин 76.92 лет. Для населения города Алматы среди мужчин и женщин 76.01лет, по отдельности для мужчин 72.0</w:t>
      </w:r>
      <w:r w:rsidR="00B7259E" w:rsidRPr="004135FE">
        <w:rPr>
          <w:rFonts w:ascii="Times New Roman" w:hAnsi="Times New Roman" w:cs="Times New Roman"/>
          <w:sz w:val="28"/>
          <w:szCs w:val="28"/>
        </w:rPr>
        <w:t>3 лет, для женщин 79.21 лет [168</w:t>
      </w:r>
      <w:r w:rsidR="0066583A" w:rsidRPr="004135FE">
        <w:rPr>
          <w:rFonts w:ascii="Times New Roman" w:hAnsi="Times New Roman" w:cs="Times New Roman"/>
          <w:sz w:val="28"/>
          <w:szCs w:val="28"/>
        </w:rPr>
        <w:t>].</w:t>
      </w:r>
    </w:p>
    <w:p w14:paraId="7EB770EA" w14:textId="1A54A639" w:rsidR="0066583A" w:rsidRPr="004135FE" w:rsidRDefault="0066583A" w:rsidP="00CE172A">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Для анализа состояния первичной заболеваемости применялась ретроспективный анализ по предоставленным материалам </w:t>
      </w:r>
      <w:r w:rsidRPr="004135FE">
        <w:rPr>
          <w:rFonts w:ascii="Times New Roman" w:eastAsia="Times New Roman" w:hAnsi="Times New Roman" w:cs="Times New Roman"/>
          <w:sz w:val="28"/>
          <w:szCs w:val="28"/>
        </w:rPr>
        <w:t>Алматинского городского филиала РЦЭЗ</w:t>
      </w:r>
      <w:r w:rsidRPr="004135FE">
        <w:rPr>
          <w:rFonts w:ascii="Times New Roman" w:hAnsi="Times New Roman" w:cs="Times New Roman"/>
          <w:sz w:val="28"/>
          <w:szCs w:val="28"/>
        </w:rPr>
        <w:t xml:space="preserve"> по НРСД за 10 лет с 2012-2021</w:t>
      </w:r>
      <w:r w:rsidR="002C3EAC" w:rsidRPr="002C3EAC">
        <w:rPr>
          <w:rFonts w:ascii="Times New Roman" w:hAnsi="Times New Roman" w:cs="Times New Roman"/>
          <w:sz w:val="28"/>
          <w:szCs w:val="28"/>
        </w:rPr>
        <w:t xml:space="preserve"> </w:t>
      </w:r>
      <w:r w:rsidRPr="004135FE">
        <w:rPr>
          <w:rFonts w:ascii="Times New Roman" w:hAnsi="Times New Roman" w:cs="Times New Roman"/>
          <w:sz w:val="28"/>
          <w:szCs w:val="28"/>
        </w:rPr>
        <w:t xml:space="preserve">гг. Первичная заболеваемость по г.Алматы в целом с 2012г по 2021 г вырос с 180,27 до 237,57 </w:t>
      </w:r>
      <w:r w:rsidRPr="004135FE">
        <w:rPr>
          <w:rFonts w:ascii="Times New Roman" w:eastAsia="Times New Roman" w:hAnsi="Times New Roman" w:cs="Times New Roman"/>
          <w:sz w:val="28"/>
          <w:szCs w:val="28"/>
        </w:rPr>
        <w:t>случаев на 100 тыс. населения (</w:t>
      </w:r>
      <w:r w:rsidRPr="004135FE">
        <w:rPr>
          <w:rFonts w:ascii="Times New Roman" w:hAnsi="Times New Roman" w:cs="Times New Roman"/>
          <w:sz w:val="28"/>
          <w:szCs w:val="28"/>
        </w:rPr>
        <w:t>в абсолютных значениях верифицированная первичная заболеваемость СД2т в два раза выросла, что составила с 2508 человек до 5063</w:t>
      </w:r>
      <w:r w:rsidR="00CE172A">
        <w:rPr>
          <w:rFonts w:ascii="Times New Roman" w:hAnsi="Times New Roman" w:cs="Times New Roman"/>
          <w:sz w:val="28"/>
          <w:szCs w:val="28"/>
        </w:rPr>
        <w:t xml:space="preserve"> </w:t>
      </w:r>
      <w:r w:rsidRPr="004135FE">
        <w:rPr>
          <w:rFonts w:ascii="Times New Roman" w:hAnsi="Times New Roman" w:cs="Times New Roman"/>
          <w:sz w:val="28"/>
          <w:szCs w:val="28"/>
        </w:rPr>
        <w:t>человек)</w:t>
      </w:r>
    </w:p>
    <w:p w14:paraId="5E73BD9D" w14:textId="77777777" w:rsidR="0066583A" w:rsidRPr="00CE172A" w:rsidRDefault="0066583A" w:rsidP="004135FE">
      <w:pPr>
        <w:spacing w:after="0" w:line="240" w:lineRule="auto"/>
        <w:ind w:firstLine="567"/>
        <w:jc w:val="both"/>
        <w:rPr>
          <w:rFonts w:ascii="Times New Roman" w:eastAsia="Times New Roman" w:hAnsi="Times New Roman" w:cs="Times New Roman"/>
          <w:sz w:val="16"/>
          <w:szCs w:val="16"/>
        </w:rPr>
      </w:pPr>
    </w:p>
    <w:p w14:paraId="193E0C93" w14:textId="77777777" w:rsidR="0066583A" w:rsidRPr="004135FE" w:rsidRDefault="0066583A" w:rsidP="00CE172A">
      <w:pPr>
        <w:spacing w:after="0" w:line="240" w:lineRule="auto"/>
        <w:jc w:val="center"/>
        <w:rPr>
          <w:rFonts w:ascii="Times New Roman" w:eastAsia="Times New Roman" w:hAnsi="Times New Roman" w:cs="Times New Roman"/>
          <w:sz w:val="28"/>
          <w:szCs w:val="28"/>
        </w:rPr>
      </w:pPr>
      <w:r w:rsidRPr="004135FE">
        <w:rPr>
          <w:noProof/>
          <w:sz w:val="28"/>
          <w:szCs w:val="28"/>
        </w:rPr>
        <w:drawing>
          <wp:inline distT="0" distB="0" distL="0" distR="0" wp14:anchorId="04FD703D" wp14:editId="34F6006F">
            <wp:extent cx="5638800" cy="2266950"/>
            <wp:effectExtent l="0" t="0" r="0" b="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7FDEF3B" w14:textId="77777777" w:rsidR="00CE172A" w:rsidRDefault="00CE172A" w:rsidP="00CE172A">
      <w:pPr>
        <w:spacing w:after="0" w:line="240" w:lineRule="auto"/>
        <w:jc w:val="center"/>
        <w:rPr>
          <w:rFonts w:ascii="Times New Roman" w:eastAsia="Times New Roman" w:hAnsi="Times New Roman" w:cs="Times New Roman"/>
          <w:sz w:val="28"/>
          <w:szCs w:val="28"/>
        </w:rPr>
      </w:pPr>
    </w:p>
    <w:p w14:paraId="7C752363" w14:textId="580DACE7" w:rsidR="0066583A" w:rsidRPr="004135FE" w:rsidRDefault="0066583A" w:rsidP="00CE172A">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Рисунок 4</w:t>
      </w:r>
      <w:r w:rsidR="00CE0D4F">
        <w:rPr>
          <w:rFonts w:ascii="Times New Roman" w:eastAsia="Times New Roman" w:hAnsi="Times New Roman" w:cs="Times New Roman"/>
          <w:sz w:val="28"/>
          <w:szCs w:val="28"/>
          <w:lang w:val="kk-KZ"/>
        </w:rPr>
        <w:t xml:space="preserve"> </w:t>
      </w:r>
      <w:r w:rsidRPr="004135FE">
        <w:rPr>
          <w:rFonts w:ascii="Times New Roman" w:eastAsia="Times New Roman" w:hAnsi="Times New Roman" w:cs="Times New Roman"/>
          <w:sz w:val="28"/>
          <w:szCs w:val="28"/>
        </w:rPr>
        <w:t>- Первичная заболеваемость СД2т по г.Алматы по годам из расчета на 100 тыс</w:t>
      </w:r>
      <w:r w:rsidR="00CE0D4F">
        <w:rPr>
          <w:rFonts w:ascii="Times New Roman" w:eastAsia="Times New Roman" w:hAnsi="Times New Roman" w:cs="Times New Roman"/>
          <w:sz w:val="28"/>
          <w:szCs w:val="28"/>
          <w:lang w:val="kk-KZ"/>
        </w:rPr>
        <w:t>.</w:t>
      </w:r>
      <w:r w:rsidRPr="004135FE">
        <w:rPr>
          <w:rFonts w:ascii="Times New Roman" w:eastAsia="Times New Roman" w:hAnsi="Times New Roman" w:cs="Times New Roman"/>
          <w:sz w:val="28"/>
          <w:szCs w:val="28"/>
        </w:rPr>
        <w:t xml:space="preserve"> нас</w:t>
      </w:r>
    </w:p>
    <w:p w14:paraId="34DB91D0" w14:textId="77777777" w:rsidR="0066583A" w:rsidRPr="004135FE" w:rsidRDefault="0066583A" w:rsidP="004135FE">
      <w:pPr>
        <w:spacing w:after="0" w:line="240" w:lineRule="auto"/>
        <w:ind w:firstLine="708"/>
        <w:jc w:val="both"/>
        <w:rPr>
          <w:rFonts w:ascii="Times New Roman" w:eastAsia="Times New Roman" w:hAnsi="Times New Roman" w:cs="Times New Roman"/>
          <w:sz w:val="28"/>
          <w:szCs w:val="28"/>
        </w:rPr>
      </w:pPr>
    </w:p>
    <w:p w14:paraId="6675B459" w14:textId="10946DCD" w:rsidR="0066583A" w:rsidRPr="004135FE" w:rsidRDefault="0066583A" w:rsidP="00014382">
      <w:pPr>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lastRenderedPageBreak/>
        <w:t xml:space="preserve">Статистические данные по впервые выявленным случаям СД2т в разрезе районов города Алматы представлены с 2012 года (с момента создания </w:t>
      </w:r>
      <w:r w:rsidRPr="004135FE">
        <w:rPr>
          <w:rFonts w:ascii="Times New Roman" w:hAnsi="Times New Roman" w:cs="Times New Roman"/>
          <w:sz w:val="28"/>
          <w:szCs w:val="28"/>
        </w:rPr>
        <w:t>НРСД)</w:t>
      </w:r>
      <w:r w:rsidRPr="004135FE">
        <w:rPr>
          <w:rFonts w:ascii="Times New Roman" w:eastAsia="Times New Roman" w:hAnsi="Times New Roman" w:cs="Times New Roman"/>
          <w:sz w:val="28"/>
          <w:szCs w:val="28"/>
        </w:rPr>
        <w:t xml:space="preserve">, кроме нового Наурызбайского района. </w:t>
      </w:r>
      <w:r w:rsidRPr="004135FE">
        <w:rPr>
          <w:rFonts w:ascii="Times New Roman" w:hAnsi="Times New Roman" w:cs="Times New Roman"/>
          <w:sz w:val="28"/>
          <w:szCs w:val="28"/>
        </w:rPr>
        <w:t>Решение об образовании Наурызбайского района было принято 2 июля 2014 года на внеочередной XXIX сессии Маслихата и</w:t>
      </w:r>
      <w:r w:rsidRPr="004135FE">
        <w:rPr>
          <w:rFonts w:ascii="Times New Roman" w:eastAsia="Times New Roman" w:hAnsi="Times New Roman" w:cs="Times New Roman"/>
          <w:sz w:val="28"/>
          <w:szCs w:val="28"/>
        </w:rPr>
        <w:t xml:space="preserve"> был </w:t>
      </w:r>
      <w:r w:rsidRPr="004135FE">
        <w:rPr>
          <w:rFonts w:ascii="Times New Roman" w:hAnsi="Times New Roman" w:cs="Times New Roman"/>
          <w:sz w:val="28"/>
          <w:szCs w:val="28"/>
        </w:rPr>
        <w:t>включен в НРС</w:t>
      </w:r>
      <w:r w:rsidR="00B7259E" w:rsidRPr="004135FE">
        <w:rPr>
          <w:rFonts w:ascii="Times New Roman" w:hAnsi="Times New Roman" w:cs="Times New Roman"/>
          <w:sz w:val="28"/>
          <w:szCs w:val="28"/>
        </w:rPr>
        <w:t>Д в 2015 г</w:t>
      </w:r>
      <w:r w:rsidR="00014382">
        <w:rPr>
          <w:rFonts w:ascii="Times New Roman" w:hAnsi="Times New Roman" w:cs="Times New Roman"/>
          <w:sz w:val="28"/>
          <w:szCs w:val="28"/>
        </w:rPr>
        <w:t>.</w:t>
      </w:r>
      <w:r w:rsidR="00B7259E" w:rsidRPr="004135FE">
        <w:rPr>
          <w:rFonts w:ascii="Times New Roman" w:hAnsi="Times New Roman" w:cs="Times New Roman"/>
          <w:sz w:val="28"/>
          <w:szCs w:val="28"/>
        </w:rPr>
        <w:t xml:space="preserve"> [169</w:t>
      </w:r>
      <w:r w:rsidRPr="004135FE">
        <w:rPr>
          <w:rFonts w:ascii="Times New Roman" w:hAnsi="Times New Roman" w:cs="Times New Roman"/>
          <w:sz w:val="28"/>
          <w:szCs w:val="28"/>
        </w:rPr>
        <w:t>].</w:t>
      </w:r>
    </w:p>
    <w:p w14:paraId="4C94A7BA" w14:textId="17A855D4" w:rsidR="0066583A" w:rsidRPr="004135FE" w:rsidRDefault="00B746FA" w:rsidP="00014382">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В</w:t>
      </w:r>
      <w:r w:rsidR="0066583A" w:rsidRPr="004135FE">
        <w:rPr>
          <w:rFonts w:ascii="Times New Roman" w:eastAsia="Times New Roman" w:hAnsi="Times New Roman" w:cs="Times New Roman"/>
          <w:sz w:val="28"/>
          <w:szCs w:val="28"/>
        </w:rPr>
        <w:t xml:space="preserve"> Наурызбайском районе за семилетний период заболеваемость населения СД2т увеличилось </w:t>
      </w:r>
      <w:r w:rsidR="0066583A" w:rsidRPr="004135FE">
        <w:rPr>
          <w:rFonts w:ascii="Times New Roman" w:hAnsi="Times New Roman" w:cs="Times New Roman"/>
          <w:bCs/>
          <w:sz w:val="28"/>
          <w:szCs w:val="28"/>
        </w:rPr>
        <w:t xml:space="preserve">с </w:t>
      </w:r>
      <w:r w:rsidR="0066583A" w:rsidRPr="004135FE">
        <w:rPr>
          <w:rFonts w:ascii="Times New Roman" w:eastAsia="Times New Roman" w:hAnsi="Times New Roman" w:cs="Times New Roman"/>
          <w:sz w:val="28"/>
          <w:szCs w:val="28"/>
        </w:rPr>
        <w:t xml:space="preserve">135,05 случаев </w:t>
      </w:r>
      <w:r w:rsidR="0066583A" w:rsidRPr="004135FE">
        <w:rPr>
          <w:rFonts w:ascii="Times New Roman" w:hAnsi="Times New Roman" w:cs="Times New Roman"/>
          <w:bCs/>
          <w:sz w:val="28"/>
          <w:szCs w:val="28"/>
        </w:rPr>
        <w:t xml:space="preserve">до </w:t>
      </w:r>
      <w:r w:rsidR="0066583A" w:rsidRPr="004135FE">
        <w:rPr>
          <w:rFonts w:ascii="Times New Roman" w:hAnsi="Times New Roman" w:cs="Times New Roman"/>
          <w:sz w:val="28"/>
          <w:szCs w:val="28"/>
        </w:rPr>
        <w:t xml:space="preserve">235,70 </w:t>
      </w:r>
      <w:r w:rsidR="0066583A" w:rsidRPr="004135FE">
        <w:rPr>
          <w:rFonts w:ascii="Times New Roman" w:eastAsia="Times New Roman" w:hAnsi="Times New Roman" w:cs="Times New Roman"/>
          <w:sz w:val="28"/>
          <w:szCs w:val="28"/>
        </w:rPr>
        <w:t>случаев</w:t>
      </w:r>
      <w:r w:rsidRPr="004135FE">
        <w:rPr>
          <w:rFonts w:ascii="Times New Roman" w:eastAsia="Times New Roman" w:hAnsi="Times New Roman" w:cs="Times New Roman"/>
          <w:sz w:val="28"/>
          <w:szCs w:val="28"/>
        </w:rPr>
        <w:t xml:space="preserve"> на 100 000 населения</w:t>
      </w:r>
      <w:r w:rsidR="0066583A" w:rsidRPr="004135FE">
        <w:rPr>
          <w:rFonts w:ascii="Times New Roman" w:eastAsia="Times New Roman" w:hAnsi="Times New Roman" w:cs="Times New Roman"/>
          <w:sz w:val="28"/>
          <w:szCs w:val="28"/>
        </w:rPr>
        <w:t xml:space="preserve"> </w:t>
      </w:r>
      <w:r w:rsidRPr="004135FE">
        <w:rPr>
          <w:rFonts w:ascii="Times New Roman" w:eastAsia="Times New Roman" w:hAnsi="Times New Roman" w:cs="Times New Roman"/>
          <w:sz w:val="28"/>
          <w:szCs w:val="28"/>
        </w:rPr>
        <w:t xml:space="preserve">(таблица </w:t>
      </w:r>
      <w:r w:rsidR="00B728EF" w:rsidRPr="004135FE">
        <w:rPr>
          <w:rFonts w:ascii="Times New Roman" w:eastAsia="Times New Roman" w:hAnsi="Times New Roman" w:cs="Times New Roman"/>
          <w:sz w:val="28"/>
          <w:szCs w:val="28"/>
        </w:rPr>
        <w:t xml:space="preserve">58, </w:t>
      </w:r>
      <w:r w:rsidR="002C3EAC">
        <w:rPr>
          <w:rFonts w:ascii="Times New Roman" w:eastAsia="Times New Roman" w:hAnsi="Times New Roman" w:cs="Times New Roman"/>
          <w:sz w:val="28"/>
          <w:szCs w:val="28"/>
          <w:lang w:val="kk-KZ"/>
        </w:rPr>
        <w:t>П</w:t>
      </w:r>
      <w:r w:rsidR="00B728EF" w:rsidRPr="004135FE">
        <w:rPr>
          <w:rFonts w:ascii="Times New Roman" w:eastAsia="Times New Roman" w:hAnsi="Times New Roman" w:cs="Times New Roman"/>
          <w:sz w:val="28"/>
          <w:szCs w:val="28"/>
        </w:rPr>
        <w:t>риложение А</w:t>
      </w:r>
      <w:r w:rsidRPr="004135FE">
        <w:rPr>
          <w:rFonts w:ascii="Times New Roman" w:eastAsia="Times New Roman" w:hAnsi="Times New Roman" w:cs="Times New Roman"/>
          <w:sz w:val="28"/>
          <w:szCs w:val="28"/>
        </w:rPr>
        <w:t>)</w:t>
      </w:r>
      <w:r w:rsidR="00894FC5" w:rsidRPr="004135FE">
        <w:rPr>
          <w:rFonts w:ascii="Times New Roman" w:eastAsia="Times New Roman" w:hAnsi="Times New Roman" w:cs="Times New Roman"/>
          <w:sz w:val="28"/>
          <w:szCs w:val="28"/>
        </w:rPr>
        <w:t>.</w:t>
      </w:r>
    </w:p>
    <w:p w14:paraId="7DF36BE6" w14:textId="77777777" w:rsidR="0066583A" w:rsidRPr="004135FE" w:rsidRDefault="0066583A" w:rsidP="00014382">
      <w:pPr>
        <w:spacing w:after="0" w:line="240" w:lineRule="auto"/>
        <w:ind w:firstLine="708"/>
        <w:jc w:val="both"/>
        <w:rPr>
          <w:rFonts w:ascii="Times New Roman" w:hAnsi="Times New Roman" w:cs="Times New Roman"/>
          <w:bCs/>
          <w:sz w:val="28"/>
          <w:szCs w:val="28"/>
        </w:rPr>
      </w:pPr>
      <w:r w:rsidRPr="004135FE">
        <w:rPr>
          <w:rFonts w:ascii="Times New Roman" w:eastAsia="Times New Roman" w:hAnsi="Times New Roman" w:cs="Times New Roman"/>
          <w:sz w:val="28"/>
          <w:szCs w:val="28"/>
        </w:rPr>
        <w:t xml:space="preserve">Во всех остальных районах статистические данные обработаны за 10лет с 2012 по 2021 годы. Наблюдается рост впервые выявленных случаев во всех районах города Алматы: наибольшие показатели первичной заболеваемости зарегистрированы в Жетысуском и </w:t>
      </w:r>
      <w:r w:rsidRPr="004135FE">
        <w:rPr>
          <w:rFonts w:ascii="Times New Roman" w:hAnsi="Times New Roman" w:cs="Times New Roman"/>
          <w:bCs/>
          <w:sz w:val="28"/>
          <w:szCs w:val="28"/>
        </w:rPr>
        <w:t>Ауэзовском</w:t>
      </w:r>
      <w:r w:rsidRPr="004135FE">
        <w:rPr>
          <w:rFonts w:ascii="Times New Roman" w:eastAsia="Times New Roman" w:hAnsi="Times New Roman" w:cs="Times New Roman"/>
          <w:sz w:val="28"/>
          <w:szCs w:val="28"/>
        </w:rPr>
        <w:t xml:space="preserve"> районах, что составили </w:t>
      </w:r>
      <w:r w:rsidRPr="004135FE">
        <w:rPr>
          <w:rFonts w:ascii="Times New Roman" w:hAnsi="Times New Roman" w:cs="Times New Roman"/>
          <w:sz w:val="28"/>
          <w:szCs w:val="28"/>
        </w:rPr>
        <w:t>213,47 и 220,00 против 393,83 и 260,98</w:t>
      </w:r>
      <w:r w:rsidRPr="004135FE">
        <w:rPr>
          <w:rFonts w:ascii="Times New Roman" w:eastAsia="Times New Roman" w:hAnsi="Times New Roman" w:cs="Times New Roman"/>
          <w:sz w:val="28"/>
          <w:szCs w:val="28"/>
        </w:rPr>
        <w:t xml:space="preserve"> случаев на 100 тыс. населения. </w:t>
      </w:r>
    </w:p>
    <w:p w14:paraId="0F13C8E2" w14:textId="2FF175F7" w:rsidR="00894FC5" w:rsidRPr="00014382" w:rsidRDefault="0066583A" w:rsidP="00014382">
      <w:pPr>
        <w:spacing w:after="0" w:line="240" w:lineRule="auto"/>
        <w:ind w:firstLine="708"/>
        <w:jc w:val="both"/>
        <w:rPr>
          <w:rFonts w:ascii="Times New Roman" w:eastAsia="Times New Roman" w:hAnsi="Times New Roman" w:cs="Times New Roman"/>
          <w:bCs/>
          <w:sz w:val="28"/>
          <w:szCs w:val="28"/>
        </w:rPr>
      </w:pPr>
      <w:r w:rsidRPr="00014382">
        <w:rPr>
          <w:rFonts w:ascii="Times New Roman" w:eastAsia="Times New Roman" w:hAnsi="Times New Roman" w:cs="Times New Roman"/>
          <w:bCs/>
          <w:sz w:val="28"/>
          <w:szCs w:val="28"/>
        </w:rPr>
        <w:t xml:space="preserve">Динамика первичной заболеваемости </w:t>
      </w:r>
      <w:r w:rsidR="00037BCC" w:rsidRPr="00014382">
        <w:rPr>
          <w:rFonts w:ascii="Times New Roman" w:eastAsia="Times New Roman" w:hAnsi="Times New Roman" w:cs="Times New Roman"/>
          <w:bCs/>
          <w:sz w:val="28"/>
          <w:szCs w:val="28"/>
        </w:rPr>
        <w:t>СД2т</w:t>
      </w:r>
      <w:r w:rsidRPr="00014382">
        <w:rPr>
          <w:rFonts w:ascii="Times New Roman" w:eastAsia="Times New Roman" w:hAnsi="Times New Roman" w:cs="Times New Roman"/>
          <w:bCs/>
          <w:sz w:val="28"/>
          <w:szCs w:val="28"/>
        </w:rPr>
        <w:t xml:space="preserve"> по городу Алматы (</w:t>
      </w:r>
      <w:r w:rsidR="005F2D6E" w:rsidRPr="00014382">
        <w:rPr>
          <w:rFonts w:ascii="Times New Roman" w:eastAsia="Times New Roman" w:hAnsi="Times New Roman" w:cs="Times New Roman"/>
          <w:bCs/>
          <w:sz w:val="28"/>
          <w:szCs w:val="28"/>
        </w:rPr>
        <w:t>таблица 7</w:t>
      </w:r>
      <w:r w:rsidRPr="00014382">
        <w:rPr>
          <w:rFonts w:ascii="Times New Roman" w:eastAsia="Times New Roman" w:hAnsi="Times New Roman" w:cs="Times New Roman"/>
          <w:bCs/>
          <w:sz w:val="28"/>
          <w:szCs w:val="28"/>
        </w:rPr>
        <w:t xml:space="preserve">). </w:t>
      </w:r>
      <w:r w:rsidR="00894FC5" w:rsidRPr="00014382">
        <w:rPr>
          <w:rFonts w:ascii="Times New Roman" w:eastAsia="Times New Roman" w:hAnsi="Times New Roman" w:cs="Times New Roman"/>
          <w:bCs/>
          <w:sz w:val="28"/>
          <w:szCs w:val="28"/>
        </w:rPr>
        <w:t>Согласно проведенному анализу статистических отчетных данных, в 2012</w:t>
      </w:r>
      <w:r w:rsidR="002C3EAC">
        <w:rPr>
          <w:rFonts w:ascii="Times New Roman" w:eastAsia="Times New Roman" w:hAnsi="Times New Roman" w:cs="Times New Roman"/>
          <w:bCs/>
          <w:sz w:val="28"/>
          <w:szCs w:val="28"/>
          <w:lang w:val="kk-KZ"/>
        </w:rPr>
        <w:t xml:space="preserve"> </w:t>
      </w:r>
      <w:r w:rsidR="004661CF" w:rsidRPr="00014382">
        <w:rPr>
          <w:rFonts w:ascii="Times New Roman" w:eastAsia="Times New Roman" w:hAnsi="Times New Roman" w:cs="Times New Roman"/>
          <w:bCs/>
          <w:sz w:val="28"/>
          <w:szCs w:val="28"/>
        </w:rPr>
        <w:t>г. первичная выявляемость СД2т составила 2 508 случаев, из них 864 мужчины и 1644 женщины.</w:t>
      </w:r>
    </w:p>
    <w:p w14:paraId="123C7FF5" w14:textId="65622A6E" w:rsidR="00AB138F" w:rsidRPr="00014382" w:rsidRDefault="004661CF" w:rsidP="00014382">
      <w:pPr>
        <w:spacing w:after="0" w:line="240" w:lineRule="auto"/>
        <w:ind w:firstLine="708"/>
        <w:jc w:val="both"/>
        <w:rPr>
          <w:rFonts w:ascii="Times New Roman" w:eastAsia="Times New Roman" w:hAnsi="Times New Roman" w:cs="Times New Roman"/>
          <w:bCs/>
          <w:sz w:val="28"/>
          <w:szCs w:val="28"/>
        </w:rPr>
      </w:pPr>
      <w:r w:rsidRPr="00014382">
        <w:rPr>
          <w:rFonts w:ascii="Times New Roman" w:eastAsia="Times New Roman" w:hAnsi="Times New Roman" w:cs="Times New Roman"/>
          <w:bCs/>
          <w:sz w:val="28"/>
          <w:szCs w:val="28"/>
        </w:rPr>
        <w:t>В динамике за десятилетний период определяется рост заболеваемости. Исключением является</w:t>
      </w:r>
      <w:r w:rsidR="0066583A" w:rsidRPr="00014382">
        <w:rPr>
          <w:rFonts w:ascii="Times New Roman" w:eastAsia="Times New Roman" w:hAnsi="Times New Roman" w:cs="Times New Roman"/>
          <w:bCs/>
          <w:sz w:val="28"/>
          <w:szCs w:val="28"/>
        </w:rPr>
        <w:t xml:space="preserve"> 2020</w:t>
      </w:r>
      <w:r w:rsidR="002C3EAC">
        <w:rPr>
          <w:rFonts w:ascii="Times New Roman" w:eastAsia="Times New Roman" w:hAnsi="Times New Roman" w:cs="Times New Roman"/>
          <w:bCs/>
          <w:sz w:val="28"/>
          <w:szCs w:val="28"/>
          <w:lang w:val="kk-KZ"/>
        </w:rPr>
        <w:t xml:space="preserve"> </w:t>
      </w:r>
      <w:r w:rsidRPr="00014382">
        <w:rPr>
          <w:rFonts w:ascii="Times New Roman" w:eastAsia="Times New Roman" w:hAnsi="Times New Roman" w:cs="Times New Roman"/>
          <w:bCs/>
          <w:sz w:val="28"/>
          <w:szCs w:val="28"/>
        </w:rPr>
        <w:t>г.,</w:t>
      </w:r>
      <w:r w:rsidR="0066583A" w:rsidRPr="00014382">
        <w:rPr>
          <w:rFonts w:ascii="Times New Roman" w:eastAsia="Times New Roman" w:hAnsi="Times New Roman" w:cs="Times New Roman"/>
          <w:bCs/>
          <w:sz w:val="28"/>
          <w:szCs w:val="28"/>
        </w:rPr>
        <w:t xml:space="preserve"> где был убыль</w:t>
      </w:r>
      <w:r w:rsidRPr="00014382">
        <w:rPr>
          <w:rFonts w:ascii="Times New Roman" w:eastAsia="Times New Roman" w:hAnsi="Times New Roman" w:cs="Times New Roman"/>
          <w:bCs/>
          <w:sz w:val="28"/>
          <w:szCs w:val="28"/>
        </w:rPr>
        <w:t xml:space="preserve"> составил</w:t>
      </w:r>
      <w:r w:rsidR="0066583A" w:rsidRPr="00014382">
        <w:rPr>
          <w:rFonts w:ascii="Times New Roman" w:eastAsia="Times New Roman" w:hAnsi="Times New Roman" w:cs="Times New Roman"/>
          <w:bCs/>
          <w:sz w:val="28"/>
          <w:szCs w:val="28"/>
        </w:rPr>
        <w:t xml:space="preserve"> в размере (-179,00) человек, из них мужчины на (-34,00) случаев, женщины на (-145) случаев. Так же убыль замечен среди женщин в 2019г в размере (-36), но это не д</w:t>
      </w:r>
      <w:r w:rsidR="00AB138F" w:rsidRPr="00014382">
        <w:rPr>
          <w:rFonts w:ascii="Times New Roman" w:eastAsia="Times New Roman" w:hAnsi="Times New Roman" w:cs="Times New Roman"/>
          <w:bCs/>
          <w:sz w:val="28"/>
          <w:szCs w:val="28"/>
        </w:rPr>
        <w:t>ал отражение на общую динамику.</w:t>
      </w:r>
    </w:p>
    <w:p w14:paraId="6173DC53" w14:textId="06489E50" w:rsidR="00AB138F" w:rsidRPr="00014382" w:rsidRDefault="00AB138F" w:rsidP="00014382">
      <w:pPr>
        <w:spacing w:after="0" w:line="240" w:lineRule="auto"/>
        <w:ind w:firstLine="708"/>
        <w:jc w:val="both"/>
        <w:rPr>
          <w:rFonts w:ascii="Times New Roman" w:eastAsia="Times New Roman" w:hAnsi="Times New Roman" w:cs="Times New Roman"/>
          <w:bCs/>
          <w:sz w:val="28"/>
          <w:szCs w:val="28"/>
        </w:rPr>
      </w:pPr>
      <w:r w:rsidRPr="00014382">
        <w:rPr>
          <w:rFonts w:ascii="Times New Roman" w:eastAsia="Times New Roman" w:hAnsi="Times New Roman" w:cs="Times New Roman"/>
          <w:bCs/>
          <w:sz w:val="28"/>
          <w:szCs w:val="28"/>
        </w:rPr>
        <w:t xml:space="preserve">Динамика первичной заболеваемости </w:t>
      </w:r>
      <w:r w:rsidR="00037BCC" w:rsidRPr="00014382">
        <w:rPr>
          <w:rFonts w:ascii="Times New Roman" w:eastAsia="Times New Roman" w:hAnsi="Times New Roman" w:cs="Times New Roman"/>
          <w:bCs/>
          <w:sz w:val="28"/>
          <w:szCs w:val="28"/>
        </w:rPr>
        <w:t>СД2т</w:t>
      </w:r>
      <w:r w:rsidRPr="00014382">
        <w:rPr>
          <w:rFonts w:ascii="Times New Roman" w:eastAsia="Times New Roman" w:hAnsi="Times New Roman" w:cs="Times New Roman"/>
          <w:bCs/>
          <w:sz w:val="28"/>
          <w:szCs w:val="28"/>
        </w:rPr>
        <w:t xml:space="preserve"> по районам г</w:t>
      </w:r>
      <w:r w:rsidR="00037BCC" w:rsidRPr="00014382">
        <w:rPr>
          <w:rFonts w:ascii="Times New Roman" w:eastAsia="Times New Roman" w:hAnsi="Times New Roman" w:cs="Times New Roman"/>
          <w:bCs/>
          <w:sz w:val="28"/>
          <w:szCs w:val="28"/>
        </w:rPr>
        <w:t xml:space="preserve">орода </w:t>
      </w:r>
      <w:r w:rsidRPr="00014382">
        <w:rPr>
          <w:rFonts w:ascii="Times New Roman" w:eastAsia="Times New Roman" w:hAnsi="Times New Roman" w:cs="Times New Roman"/>
          <w:bCs/>
          <w:sz w:val="28"/>
          <w:szCs w:val="28"/>
        </w:rPr>
        <w:t>Алматы. Количества случаев, впервые зарегистрированных по СД 2 типа в разрезе по 8 районам города Алматы на протяжении 10 л</w:t>
      </w:r>
      <w:r w:rsidR="005F2D6E" w:rsidRPr="00014382">
        <w:rPr>
          <w:rFonts w:ascii="Times New Roman" w:eastAsia="Times New Roman" w:hAnsi="Times New Roman" w:cs="Times New Roman"/>
          <w:bCs/>
          <w:sz w:val="28"/>
          <w:szCs w:val="28"/>
        </w:rPr>
        <w:t>ет, был неравномерным (таблица 8</w:t>
      </w:r>
      <w:r w:rsidRPr="00014382">
        <w:rPr>
          <w:rFonts w:ascii="Times New Roman" w:eastAsia="Times New Roman" w:hAnsi="Times New Roman" w:cs="Times New Roman"/>
          <w:bCs/>
          <w:sz w:val="28"/>
          <w:szCs w:val="28"/>
        </w:rPr>
        <w:t xml:space="preserve">). </w:t>
      </w:r>
    </w:p>
    <w:p w14:paraId="34D84DF8" w14:textId="14ED0542" w:rsidR="00AB138F" w:rsidRPr="004135FE" w:rsidRDefault="00AB138F" w:rsidP="00014382">
      <w:pPr>
        <w:spacing w:after="0" w:line="240" w:lineRule="auto"/>
        <w:ind w:firstLine="708"/>
        <w:jc w:val="both"/>
        <w:rPr>
          <w:rFonts w:ascii="Times New Roman" w:eastAsia="Times New Roman" w:hAnsi="Times New Roman" w:cs="Times New Roman"/>
          <w:sz w:val="28"/>
          <w:szCs w:val="28"/>
        </w:rPr>
      </w:pPr>
      <w:r w:rsidRPr="00014382">
        <w:rPr>
          <w:rFonts w:ascii="Times New Roman" w:eastAsia="Times New Roman" w:hAnsi="Times New Roman" w:cs="Times New Roman"/>
          <w:bCs/>
          <w:sz w:val="28"/>
          <w:szCs w:val="28"/>
        </w:rPr>
        <w:t>По</w:t>
      </w:r>
      <w:r w:rsidRPr="004135FE">
        <w:rPr>
          <w:rFonts w:ascii="Times New Roman" w:eastAsia="Times New Roman" w:hAnsi="Times New Roman" w:cs="Times New Roman"/>
          <w:bCs/>
          <w:sz w:val="28"/>
          <w:szCs w:val="28"/>
        </w:rPr>
        <w:t xml:space="preserve"> Алмалинскому району абсолютный прирост СД 2</w:t>
      </w:r>
      <w:r w:rsidR="002C3EAC">
        <w:rPr>
          <w:rFonts w:ascii="Times New Roman" w:eastAsia="Times New Roman" w:hAnsi="Times New Roman" w:cs="Times New Roman"/>
          <w:bCs/>
          <w:sz w:val="28"/>
          <w:szCs w:val="28"/>
          <w:lang w:val="kk-KZ"/>
        </w:rPr>
        <w:t xml:space="preserve"> </w:t>
      </w:r>
      <w:r w:rsidRPr="004135FE">
        <w:rPr>
          <w:rFonts w:ascii="Times New Roman" w:eastAsia="Times New Roman" w:hAnsi="Times New Roman" w:cs="Times New Roman"/>
          <w:bCs/>
          <w:sz w:val="28"/>
          <w:szCs w:val="28"/>
        </w:rPr>
        <w:t xml:space="preserve">типа в 2021 году составил по базисному показателю </w:t>
      </w:r>
      <w:r w:rsidRPr="004135FE">
        <w:rPr>
          <w:rFonts w:ascii="Times New Roman" w:eastAsia="Times New Roman" w:hAnsi="Times New Roman" w:cs="Times New Roman"/>
          <w:sz w:val="28"/>
          <w:szCs w:val="28"/>
        </w:rPr>
        <w:t xml:space="preserve">163,00, по среднему показателю 39,44. Наибольший показатель абсолютного прироста зафиксирован в 2016 году 191,00. </w:t>
      </w:r>
      <w:r w:rsidRPr="004135FE">
        <w:rPr>
          <w:rFonts w:ascii="Times New Roman" w:eastAsia="Times New Roman" w:hAnsi="Times New Roman" w:cs="Times New Roman"/>
          <w:bCs/>
          <w:sz w:val="28"/>
          <w:szCs w:val="28"/>
        </w:rPr>
        <w:t xml:space="preserve">За десять лет темп роста относительно к 2021 году возрос с </w:t>
      </w:r>
      <w:r w:rsidRPr="004135FE">
        <w:rPr>
          <w:rFonts w:ascii="Times New Roman" w:eastAsia="Times New Roman" w:hAnsi="Times New Roman" w:cs="Times New Roman"/>
          <w:sz w:val="28"/>
          <w:szCs w:val="28"/>
        </w:rPr>
        <w:t>54,83</w:t>
      </w:r>
      <w:r w:rsidRPr="004135FE">
        <w:rPr>
          <w:rFonts w:ascii="Times New Roman" w:eastAsia="Times New Roman" w:hAnsi="Times New Roman" w:cs="Times New Roman"/>
          <w:bCs/>
          <w:sz w:val="28"/>
          <w:szCs w:val="28"/>
        </w:rPr>
        <w:t>% до 79,26%</w:t>
      </w:r>
      <w:r w:rsidRPr="004135FE">
        <w:rPr>
          <w:rFonts w:ascii="Times New Roman" w:eastAsia="Times New Roman" w:hAnsi="Times New Roman" w:cs="Times New Roman"/>
          <w:sz w:val="28"/>
          <w:szCs w:val="28"/>
        </w:rPr>
        <w:t>, средний показатель 106,90. Абсолютный прирост к 2021г у мужчин 29,00 и женщин 134,00</w:t>
      </w:r>
      <w:r w:rsidR="002C3EAC">
        <w:rPr>
          <w:rFonts w:ascii="Times New Roman" w:eastAsia="Times New Roman" w:hAnsi="Times New Roman" w:cs="Times New Roman"/>
          <w:sz w:val="28"/>
          <w:szCs w:val="28"/>
          <w:lang w:val="kk-KZ"/>
        </w:rPr>
        <w:t xml:space="preserve"> </w:t>
      </w:r>
      <w:r w:rsidRPr="004135FE">
        <w:rPr>
          <w:rFonts w:ascii="Times New Roman" w:eastAsia="Times New Roman" w:hAnsi="Times New Roman" w:cs="Times New Roman"/>
          <w:sz w:val="28"/>
          <w:szCs w:val="28"/>
        </w:rPr>
        <w:t xml:space="preserve">случая. </w:t>
      </w:r>
    </w:p>
    <w:p w14:paraId="6933F98F" w14:textId="77777777" w:rsidR="00AB138F" w:rsidRPr="004135FE" w:rsidRDefault="00AB138F" w:rsidP="00014382">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По Алатаускому району </w:t>
      </w:r>
      <w:r w:rsidRPr="004135FE">
        <w:rPr>
          <w:rFonts w:ascii="Times New Roman" w:eastAsia="Times New Roman" w:hAnsi="Times New Roman" w:cs="Times New Roman"/>
          <w:bCs/>
          <w:sz w:val="28"/>
          <w:szCs w:val="28"/>
        </w:rPr>
        <w:t xml:space="preserve">абсолютный прирост </w:t>
      </w:r>
      <w:r w:rsidRPr="004135FE">
        <w:rPr>
          <w:rFonts w:ascii="Times New Roman" w:eastAsiaTheme="minorHAnsi" w:hAnsi="Times New Roman" w:cs="Times New Roman"/>
          <w:bCs/>
          <w:sz w:val="28"/>
          <w:szCs w:val="28"/>
          <w:lang w:eastAsia="en-US"/>
        </w:rPr>
        <w:t>СД 2типа</w:t>
      </w:r>
      <w:r w:rsidRPr="004135FE">
        <w:rPr>
          <w:rFonts w:ascii="Times New Roman" w:eastAsia="Times New Roman" w:hAnsi="Times New Roman" w:cs="Times New Roman"/>
          <w:bCs/>
          <w:sz w:val="28"/>
          <w:szCs w:val="28"/>
        </w:rPr>
        <w:t xml:space="preserve"> в 2018 и 2019 году сдвинулся в сторону убыли (-43,00) и (</w:t>
      </w:r>
      <w:r w:rsidRPr="004135FE">
        <w:rPr>
          <w:rFonts w:ascii="Times New Roman" w:eastAsia="Times New Roman" w:hAnsi="Times New Roman" w:cs="Times New Roman"/>
          <w:sz w:val="28"/>
          <w:szCs w:val="28"/>
        </w:rPr>
        <w:t>-57,00), средний показатель составило 43,89. Наибольший показатель абсолютного прироста зафиксирован 2017 году 193,00 и в 2021году 164,00. Т</w:t>
      </w:r>
      <w:r w:rsidRPr="004135FE">
        <w:rPr>
          <w:rFonts w:ascii="Times New Roman" w:eastAsia="Times New Roman" w:hAnsi="Times New Roman" w:cs="Times New Roman"/>
          <w:bCs/>
          <w:sz w:val="28"/>
          <w:szCs w:val="28"/>
        </w:rPr>
        <w:t xml:space="preserve">емп прироста в 2021 году по базисному показателю составило (-28,62%), </w:t>
      </w:r>
      <w:r w:rsidRPr="004135FE">
        <w:rPr>
          <w:rFonts w:ascii="Times New Roman" w:eastAsia="Times New Roman" w:hAnsi="Times New Roman" w:cs="Times New Roman"/>
          <w:sz w:val="28"/>
          <w:szCs w:val="28"/>
        </w:rPr>
        <w:t xml:space="preserve">средний показатель 13,87%. По половым признакам абсолютный прирост к 2021г у мужчин 58,00 и женщин 106,00 случая. </w:t>
      </w:r>
    </w:p>
    <w:p w14:paraId="09F9D452" w14:textId="514F2C45" w:rsidR="00AB138F" w:rsidRPr="004135FE" w:rsidRDefault="00AB138F" w:rsidP="00014382">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По Ауэзовскому району </w:t>
      </w:r>
      <w:r w:rsidRPr="004135FE">
        <w:rPr>
          <w:rFonts w:ascii="Times New Roman" w:eastAsia="Times New Roman" w:hAnsi="Times New Roman" w:cs="Times New Roman"/>
          <w:bCs/>
          <w:sz w:val="28"/>
          <w:szCs w:val="28"/>
        </w:rPr>
        <w:t xml:space="preserve">абсолютный прирост </w:t>
      </w:r>
      <w:r w:rsidRPr="004135FE">
        <w:rPr>
          <w:rFonts w:ascii="Times New Roman" w:eastAsiaTheme="minorHAnsi" w:hAnsi="Times New Roman" w:cs="Times New Roman"/>
          <w:bCs/>
          <w:sz w:val="28"/>
          <w:szCs w:val="28"/>
          <w:lang w:eastAsia="en-US"/>
        </w:rPr>
        <w:t>СД 2типа</w:t>
      </w:r>
      <w:r w:rsidRPr="004135FE">
        <w:rPr>
          <w:rFonts w:ascii="Times New Roman" w:eastAsia="Times New Roman" w:hAnsi="Times New Roman" w:cs="Times New Roman"/>
          <w:bCs/>
          <w:sz w:val="28"/>
          <w:szCs w:val="28"/>
        </w:rPr>
        <w:t xml:space="preserve"> в 2021 году составило 190,00,</w:t>
      </w:r>
      <w:r w:rsidRPr="004135FE">
        <w:rPr>
          <w:rFonts w:ascii="Times New Roman" w:eastAsia="Times New Roman" w:hAnsi="Times New Roman" w:cs="Times New Roman"/>
          <w:sz w:val="28"/>
          <w:szCs w:val="28"/>
        </w:rPr>
        <w:t xml:space="preserve"> количество зафиксированных первичных случаев был в убыли в динамике с 2013 по 2014 годы, с 2015 по 2017. В 2014 году было зафиксировано наибольший абсолютный убыль в базисном показателе </w:t>
      </w:r>
      <w:r w:rsidR="002C3EAC">
        <w:rPr>
          <w:rFonts w:ascii="Times New Roman" w:eastAsia="Times New Roman" w:hAnsi="Times New Roman" w:cs="Times New Roman"/>
          <w:sz w:val="28"/>
          <w:szCs w:val="28"/>
          <w:lang w:val="kk-KZ"/>
        </w:rPr>
        <w:t xml:space="preserve">                       </w:t>
      </w:r>
      <w:r w:rsidRPr="004135FE">
        <w:rPr>
          <w:rFonts w:ascii="Times New Roman" w:eastAsia="Times New Roman" w:hAnsi="Times New Roman" w:cs="Times New Roman"/>
          <w:sz w:val="28"/>
          <w:szCs w:val="28"/>
        </w:rPr>
        <w:t xml:space="preserve">(-138,00). Наибольший показатель абсолютного прироста зафиксирован 2013 </w:t>
      </w:r>
      <w:r w:rsidRPr="004135FE">
        <w:rPr>
          <w:rFonts w:ascii="Times New Roman" w:eastAsia="Times New Roman" w:hAnsi="Times New Roman" w:cs="Times New Roman"/>
          <w:sz w:val="28"/>
          <w:szCs w:val="28"/>
        </w:rPr>
        <w:lastRenderedPageBreak/>
        <w:t xml:space="preserve">году 157,00 и 2021году 190,00, средний показатель за 10 лет составил 29,56. </w:t>
      </w:r>
      <w:r w:rsidRPr="004135FE">
        <w:rPr>
          <w:rFonts w:ascii="Times New Roman" w:eastAsia="Times New Roman" w:hAnsi="Times New Roman" w:cs="Times New Roman"/>
          <w:bCs/>
          <w:sz w:val="28"/>
          <w:szCs w:val="28"/>
        </w:rPr>
        <w:t xml:space="preserve">За десять лет темп роста относительно к 2021 году </w:t>
      </w:r>
      <w:r w:rsidRPr="004135FE">
        <w:rPr>
          <w:rFonts w:ascii="Times New Roman" w:eastAsia="Times New Roman" w:hAnsi="Times New Roman" w:cs="Times New Roman"/>
          <w:sz w:val="28"/>
          <w:szCs w:val="28"/>
        </w:rPr>
        <w:t>составил 104,48%. Т</w:t>
      </w:r>
      <w:r w:rsidRPr="004135FE">
        <w:rPr>
          <w:rFonts w:ascii="Times New Roman" w:eastAsia="Times New Roman" w:hAnsi="Times New Roman" w:cs="Times New Roman"/>
          <w:bCs/>
          <w:sz w:val="28"/>
          <w:szCs w:val="28"/>
        </w:rPr>
        <w:t>емп прироста в 2021 году по базисному показателю составил (</w:t>
      </w:r>
      <w:r w:rsidRPr="004135FE">
        <w:rPr>
          <w:rFonts w:ascii="Times New Roman" w:eastAsia="Times New Roman" w:hAnsi="Times New Roman" w:cs="Times New Roman"/>
          <w:sz w:val="28"/>
          <w:szCs w:val="28"/>
        </w:rPr>
        <w:t>-23,28</w:t>
      </w:r>
      <w:r w:rsidRPr="004135FE">
        <w:rPr>
          <w:rFonts w:ascii="Times New Roman" w:eastAsia="Times New Roman" w:hAnsi="Times New Roman" w:cs="Times New Roman"/>
          <w:bCs/>
          <w:sz w:val="28"/>
          <w:szCs w:val="28"/>
        </w:rPr>
        <w:t xml:space="preserve">%), </w:t>
      </w:r>
      <w:r w:rsidRPr="004135FE">
        <w:rPr>
          <w:rFonts w:ascii="Times New Roman" w:eastAsia="Times New Roman" w:hAnsi="Times New Roman" w:cs="Times New Roman"/>
          <w:sz w:val="28"/>
          <w:szCs w:val="28"/>
        </w:rPr>
        <w:t xml:space="preserve">средний показатель 4,48%. Среди мужчин абсолютный прирост к 2021году 75,00, среди женщин 115,00 случая. </w:t>
      </w:r>
    </w:p>
    <w:p w14:paraId="5052FA72" w14:textId="77777777" w:rsidR="00AB138F" w:rsidRPr="004135FE" w:rsidRDefault="00AB138F"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По Бостандыкскому району </w:t>
      </w:r>
      <w:r w:rsidRPr="004135FE">
        <w:rPr>
          <w:rFonts w:ascii="Times New Roman" w:eastAsia="Times New Roman" w:hAnsi="Times New Roman" w:cs="Times New Roman"/>
          <w:bCs/>
          <w:sz w:val="28"/>
          <w:szCs w:val="28"/>
        </w:rPr>
        <w:t xml:space="preserve">абсолютный прирост </w:t>
      </w:r>
      <w:r w:rsidRPr="004135FE">
        <w:rPr>
          <w:rFonts w:ascii="Times New Roman" w:eastAsiaTheme="minorHAnsi" w:hAnsi="Times New Roman" w:cs="Times New Roman"/>
          <w:bCs/>
          <w:sz w:val="28"/>
          <w:szCs w:val="28"/>
          <w:lang w:eastAsia="en-US"/>
        </w:rPr>
        <w:t xml:space="preserve">СД 2типа </w:t>
      </w:r>
      <w:r w:rsidRPr="004135FE">
        <w:rPr>
          <w:rFonts w:ascii="Times New Roman" w:eastAsia="Times New Roman" w:hAnsi="Times New Roman" w:cs="Times New Roman"/>
          <w:bCs/>
          <w:sz w:val="28"/>
          <w:szCs w:val="28"/>
        </w:rPr>
        <w:t>в 2021 году составил в базисном показателе 148,00</w:t>
      </w:r>
      <w:r w:rsidRPr="004135FE">
        <w:rPr>
          <w:rFonts w:ascii="Times New Roman" w:eastAsia="Times New Roman" w:hAnsi="Times New Roman" w:cs="Times New Roman"/>
          <w:sz w:val="28"/>
          <w:szCs w:val="28"/>
        </w:rPr>
        <w:t xml:space="preserve">, средний показатель 40,89. С 2013 по 2014 не было роста, убыль отмечается в 2020 году (-135,00) и в 2015году (-62,00), наибольший показатель абсолютного прироста зафиксирован 2021году 148,00. </w:t>
      </w:r>
      <w:r w:rsidRPr="004135FE">
        <w:rPr>
          <w:rFonts w:ascii="Times New Roman" w:eastAsia="Times New Roman" w:hAnsi="Times New Roman" w:cs="Times New Roman"/>
          <w:bCs/>
          <w:sz w:val="28"/>
          <w:szCs w:val="28"/>
        </w:rPr>
        <w:t xml:space="preserve">За десять лет темп роста относительно к 2021 году возрос с </w:t>
      </w:r>
      <w:r w:rsidRPr="004135FE">
        <w:rPr>
          <w:rFonts w:ascii="Times New Roman" w:eastAsia="Times New Roman" w:hAnsi="Times New Roman" w:cs="Times New Roman"/>
          <w:sz w:val="28"/>
          <w:szCs w:val="28"/>
        </w:rPr>
        <w:t>50,93</w:t>
      </w:r>
      <w:r w:rsidRPr="004135FE">
        <w:rPr>
          <w:rFonts w:ascii="Times New Roman" w:eastAsia="Times New Roman" w:hAnsi="Times New Roman" w:cs="Times New Roman"/>
          <w:bCs/>
          <w:sz w:val="28"/>
          <w:szCs w:val="28"/>
        </w:rPr>
        <w:t xml:space="preserve">% до </w:t>
      </w:r>
      <w:r w:rsidRPr="004135FE">
        <w:rPr>
          <w:rFonts w:ascii="Times New Roman" w:eastAsia="Times New Roman" w:hAnsi="Times New Roman" w:cs="Times New Roman"/>
          <w:sz w:val="28"/>
          <w:szCs w:val="28"/>
        </w:rPr>
        <w:t>80,27</w:t>
      </w:r>
      <w:r w:rsidRPr="004135FE">
        <w:rPr>
          <w:rFonts w:ascii="Times New Roman" w:eastAsia="Times New Roman" w:hAnsi="Times New Roman" w:cs="Times New Roman"/>
          <w:bCs/>
          <w:sz w:val="28"/>
          <w:szCs w:val="28"/>
        </w:rPr>
        <w:t xml:space="preserve">%, </w:t>
      </w:r>
      <w:r w:rsidRPr="004135FE">
        <w:rPr>
          <w:rFonts w:ascii="Times New Roman" w:eastAsia="Times New Roman" w:hAnsi="Times New Roman" w:cs="Times New Roman"/>
          <w:sz w:val="28"/>
          <w:szCs w:val="28"/>
        </w:rPr>
        <w:t>средний показатель 107,78%. Т</w:t>
      </w:r>
      <w:r w:rsidRPr="004135FE">
        <w:rPr>
          <w:rFonts w:ascii="Times New Roman" w:eastAsia="Times New Roman" w:hAnsi="Times New Roman" w:cs="Times New Roman"/>
          <w:bCs/>
          <w:sz w:val="28"/>
          <w:szCs w:val="28"/>
        </w:rPr>
        <w:t>емп прироста в 2021 году по базисному показателю составил (-19,73%),</w:t>
      </w:r>
      <w:r w:rsidRPr="004135FE">
        <w:rPr>
          <w:rFonts w:ascii="Times New Roman" w:eastAsia="Times New Roman" w:hAnsi="Times New Roman" w:cs="Times New Roman"/>
          <w:sz w:val="28"/>
          <w:szCs w:val="28"/>
        </w:rPr>
        <w:t xml:space="preserve"> средний показатель 7,78%. Среди мужчин </w:t>
      </w:r>
      <w:r w:rsidRPr="004135FE">
        <w:rPr>
          <w:rFonts w:ascii="Times New Roman" w:eastAsia="Times New Roman" w:hAnsi="Times New Roman" w:cs="Times New Roman"/>
          <w:bCs/>
          <w:sz w:val="28"/>
          <w:szCs w:val="28"/>
        </w:rPr>
        <w:t xml:space="preserve">темп роста относительно к 2021 году составил </w:t>
      </w:r>
      <w:r w:rsidRPr="004135FE">
        <w:rPr>
          <w:rFonts w:ascii="Times New Roman" w:eastAsia="Times New Roman" w:hAnsi="Times New Roman" w:cs="Times New Roman"/>
          <w:sz w:val="28"/>
          <w:szCs w:val="28"/>
        </w:rPr>
        <w:t>80,00% и женщин 80,47%</w:t>
      </w:r>
    </w:p>
    <w:p w14:paraId="1A5ECB25" w14:textId="77777777" w:rsidR="00AB138F" w:rsidRPr="004135FE" w:rsidRDefault="00AB138F"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По Жетысускому району наибольший</w:t>
      </w:r>
      <w:r w:rsidRPr="004135FE">
        <w:rPr>
          <w:rFonts w:ascii="Times New Roman" w:eastAsia="Times New Roman" w:hAnsi="Times New Roman" w:cs="Times New Roman"/>
          <w:bCs/>
          <w:sz w:val="28"/>
          <w:szCs w:val="28"/>
        </w:rPr>
        <w:t xml:space="preserve"> абсолютный прирост </w:t>
      </w:r>
      <w:r w:rsidRPr="004135FE">
        <w:rPr>
          <w:rFonts w:ascii="Times New Roman" w:eastAsiaTheme="minorHAnsi" w:hAnsi="Times New Roman" w:cs="Times New Roman"/>
          <w:bCs/>
          <w:sz w:val="28"/>
          <w:szCs w:val="28"/>
          <w:lang w:eastAsia="en-US"/>
        </w:rPr>
        <w:t xml:space="preserve">СД 2типа </w:t>
      </w:r>
      <w:r w:rsidRPr="004135FE">
        <w:rPr>
          <w:rFonts w:ascii="Times New Roman" w:eastAsia="Times New Roman" w:hAnsi="Times New Roman" w:cs="Times New Roman"/>
          <w:bCs/>
          <w:sz w:val="28"/>
          <w:szCs w:val="28"/>
        </w:rPr>
        <w:t xml:space="preserve">отмечен в 2021 году </w:t>
      </w:r>
      <w:r w:rsidRPr="004135FE">
        <w:rPr>
          <w:rFonts w:ascii="Times New Roman" w:eastAsia="Times New Roman" w:hAnsi="Times New Roman" w:cs="Times New Roman"/>
          <w:sz w:val="28"/>
          <w:szCs w:val="28"/>
        </w:rPr>
        <w:t>339,00, наибольший убыль зафиксирован в 2019г (-152,00), по среднему показателю составило 39,56.   В динамике за</w:t>
      </w:r>
      <w:r w:rsidRPr="004135FE">
        <w:rPr>
          <w:rFonts w:ascii="Times New Roman" w:eastAsia="Times New Roman" w:hAnsi="Times New Roman" w:cs="Times New Roman"/>
          <w:bCs/>
          <w:sz w:val="28"/>
          <w:szCs w:val="28"/>
        </w:rPr>
        <w:t xml:space="preserve"> 10 лет темп роста в сравнении относительно 2021 года возрос с </w:t>
      </w:r>
      <w:r w:rsidRPr="004135FE">
        <w:rPr>
          <w:rFonts w:ascii="Times New Roman" w:eastAsia="Times New Roman" w:hAnsi="Times New Roman" w:cs="Times New Roman"/>
          <w:sz w:val="28"/>
          <w:szCs w:val="28"/>
        </w:rPr>
        <w:t>47,72</w:t>
      </w:r>
      <w:r w:rsidRPr="004135FE">
        <w:rPr>
          <w:rFonts w:ascii="Times New Roman" w:eastAsia="Times New Roman" w:hAnsi="Times New Roman" w:cs="Times New Roman"/>
          <w:bCs/>
          <w:sz w:val="28"/>
          <w:szCs w:val="28"/>
        </w:rPr>
        <w:t xml:space="preserve">% до </w:t>
      </w:r>
      <w:r w:rsidRPr="004135FE">
        <w:rPr>
          <w:rFonts w:ascii="Times New Roman" w:eastAsia="Times New Roman" w:hAnsi="Times New Roman" w:cs="Times New Roman"/>
          <w:sz w:val="28"/>
          <w:szCs w:val="28"/>
        </w:rPr>
        <w:t>50,22</w:t>
      </w:r>
      <w:r w:rsidRPr="004135FE">
        <w:rPr>
          <w:rFonts w:ascii="Times New Roman" w:eastAsia="Times New Roman" w:hAnsi="Times New Roman" w:cs="Times New Roman"/>
          <w:bCs/>
          <w:sz w:val="28"/>
          <w:szCs w:val="28"/>
        </w:rPr>
        <w:t>%</w:t>
      </w:r>
      <w:r w:rsidRPr="004135FE">
        <w:rPr>
          <w:rFonts w:ascii="Times New Roman" w:eastAsia="Times New Roman" w:hAnsi="Times New Roman" w:cs="Times New Roman"/>
          <w:sz w:val="28"/>
          <w:szCs w:val="28"/>
        </w:rPr>
        <w:t>, по среднему показателю определяется 108,57%. Т</w:t>
      </w:r>
      <w:r w:rsidRPr="004135FE">
        <w:rPr>
          <w:rFonts w:ascii="Times New Roman" w:eastAsia="Times New Roman" w:hAnsi="Times New Roman" w:cs="Times New Roman"/>
          <w:bCs/>
          <w:sz w:val="28"/>
          <w:szCs w:val="28"/>
        </w:rPr>
        <w:t>емп прироста в 2021 году по базисному показателю составил (</w:t>
      </w:r>
      <w:r w:rsidRPr="004135FE">
        <w:rPr>
          <w:rFonts w:ascii="Times New Roman" w:eastAsia="Times New Roman" w:hAnsi="Times New Roman" w:cs="Times New Roman"/>
          <w:sz w:val="28"/>
          <w:szCs w:val="28"/>
        </w:rPr>
        <w:t>-49,78</w:t>
      </w:r>
      <w:r w:rsidRPr="004135FE">
        <w:rPr>
          <w:rFonts w:ascii="Times New Roman" w:eastAsia="Times New Roman" w:hAnsi="Times New Roman" w:cs="Times New Roman"/>
          <w:bCs/>
          <w:sz w:val="28"/>
          <w:szCs w:val="28"/>
        </w:rPr>
        <w:t xml:space="preserve">%), </w:t>
      </w:r>
      <w:r w:rsidRPr="004135FE">
        <w:rPr>
          <w:rFonts w:ascii="Times New Roman" w:eastAsia="Times New Roman" w:hAnsi="Times New Roman" w:cs="Times New Roman"/>
          <w:sz w:val="28"/>
          <w:szCs w:val="28"/>
        </w:rPr>
        <w:t xml:space="preserve">средний показатель равен 8,57%. Среди мужчин </w:t>
      </w:r>
      <w:r w:rsidRPr="004135FE">
        <w:rPr>
          <w:rFonts w:ascii="Times New Roman" w:eastAsia="Times New Roman" w:hAnsi="Times New Roman" w:cs="Times New Roman"/>
          <w:bCs/>
          <w:sz w:val="28"/>
          <w:szCs w:val="28"/>
        </w:rPr>
        <w:t xml:space="preserve">темп роста в сравнении относительно 2021 года возрос с </w:t>
      </w:r>
      <w:r w:rsidRPr="004135FE">
        <w:rPr>
          <w:rFonts w:ascii="Times New Roman" w:eastAsia="Times New Roman" w:hAnsi="Times New Roman" w:cs="Times New Roman"/>
          <w:sz w:val="28"/>
          <w:szCs w:val="28"/>
        </w:rPr>
        <w:t>47,15% до 52,85% и среди женщин с 48,05% до 48,74%.</w:t>
      </w:r>
    </w:p>
    <w:p w14:paraId="41A41B37" w14:textId="0202B63A" w:rsidR="00AB138F" w:rsidRPr="004135FE" w:rsidRDefault="00AB138F"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По Медеускому району наибольший</w:t>
      </w:r>
      <w:r w:rsidRPr="004135FE">
        <w:rPr>
          <w:rFonts w:ascii="Times New Roman" w:eastAsia="Times New Roman" w:hAnsi="Times New Roman" w:cs="Times New Roman"/>
          <w:bCs/>
          <w:sz w:val="28"/>
          <w:szCs w:val="28"/>
        </w:rPr>
        <w:t xml:space="preserve"> абсолютный прирост </w:t>
      </w:r>
      <w:r w:rsidRPr="004135FE">
        <w:rPr>
          <w:rFonts w:ascii="Times New Roman" w:eastAsiaTheme="minorHAnsi" w:hAnsi="Times New Roman" w:cs="Times New Roman"/>
          <w:bCs/>
          <w:sz w:val="28"/>
          <w:szCs w:val="28"/>
          <w:lang w:eastAsia="en-US"/>
        </w:rPr>
        <w:t>СД 2</w:t>
      </w:r>
      <w:r w:rsidR="002C3EAC">
        <w:rPr>
          <w:rFonts w:ascii="Times New Roman" w:eastAsiaTheme="minorHAnsi" w:hAnsi="Times New Roman" w:cs="Times New Roman"/>
          <w:bCs/>
          <w:sz w:val="28"/>
          <w:szCs w:val="28"/>
          <w:lang w:val="kk-KZ" w:eastAsia="en-US"/>
        </w:rPr>
        <w:t xml:space="preserve"> </w:t>
      </w:r>
      <w:r w:rsidRPr="004135FE">
        <w:rPr>
          <w:rFonts w:ascii="Times New Roman" w:eastAsiaTheme="minorHAnsi" w:hAnsi="Times New Roman" w:cs="Times New Roman"/>
          <w:bCs/>
          <w:sz w:val="28"/>
          <w:szCs w:val="28"/>
          <w:lang w:eastAsia="en-US"/>
        </w:rPr>
        <w:t xml:space="preserve">типа </w:t>
      </w:r>
      <w:r w:rsidRPr="004135FE">
        <w:rPr>
          <w:rFonts w:ascii="Times New Roman" w:eastAsia="Times New Roman" w:hAnsi="Times New Roman" w:cs="Times New Roman"/>
          <w:bCs/>
          <w:sz w:val="28"/>
          <w:szCs w:val="28"/>
        </w:rPr>
        <w:t>отмечен в 2019 году 108,</w:t>
      </w:r>
      <w:r w:rsidRPr="004135FE">
        <w:rPr>
          <w:rFonts w:ascii="Times New Roman" w:eastAsia="Times New Roman" w:hAnsi="Times New Roman" w:cs="Times New Roman"/>
          <w:sz w:val="28"/>
          <w:szCs w:val="28"/>
        </w:rPr>
        <w:t>00, убыль зафиксирован в 2014 и 2017 годы, соответственно (-59,00) и (-19,00), по среднему показателю составило 31,56.   В динамике за</w:t>
      </w:r>
      <w:r w:rsidRPr="004135FE">
        <w:rPr>
          <w:rFonts w:ascii="Times New Roman" w:eastAsia="Times New Roman" w:hAnsi="Times New Roman" w:cs="Times New Roman"/>
          <w:bCs/>
          <w:sz w:val="28"/>
          <w:szCs w:val="28"/>
        </w:rPr>
        <w:t xml:space="preserve"> 10 лет темп роста в сравнении относительно 2021 года возрос с </w:t>
      </w:r>
      <w:r w:rsidRPr="004135FE">
        <w:rPr>
          <w:rFonts w:ascii="Times New Roman" w:eastAsia="Times New Roman" w:hAnsi="Times New Roman" w:cs="Times New Roman"/>
          <w:sz w:val="28"/>
          <w:szCs w:val="28"/>
        </w:rPr>
        <w:t>48,36</w:t>
      </w:r>
      <w:r w:rsidRPr="004135FE">
        <w:rPr>
          <w:rFonts w:ascii="Times New Roman" w:eastAsia="Times New Roman" w:hAnsi="Times New Roman" w:cs="Times New Roman"/>
          <w:bCs/>
          <w:sz w:val="28"/>
          <w:szCs w:val="28"/>
        </w:rPr>
        <w:t xml:space="preserve">% до </w:t>
      </w:r>
      <w:r w:rsidRPr="004135FE">
        <w:rPr>
          <w:rFonts w:ascii="Times New Roman" w:eastAsia="Times New Roman" w:hAnsi="Times New Roman" w:cs="Times New Roman"/>
          <w:sz w:val="28"/>
          <w:szCs w:val="28"/>
        </w:rPr>
        <w:t>81,82</w:t>
      </w:r>
      <w:r w:rsidRPr="004135FE">
        <w:rPr>
          <w:rFonts w:ascii="Times New Roman" w:eastAsia="Times New Roman" w:hAnsi="Times New Roman" w:cs="Times New Roman"/>
          <w:bCs/>
          <w:sz w:val="28"/>
          <w:szCs w:val="28"/>
        </w:rPr>
        <w:t>%</w:t>
      </w:r>
      <w:r w:rsidRPr="004135FE">
        <w:rPr>
          <w:rFonts w:ascii="Times New Roman" w:eastAsia="Times New Roman" w:hAnsi="Times New Roman" w:cs="Times New Roman"/>
          <w:sz w:val="28"/>
          <w:szCs w:val="28"/>
        </w:rPr>
        <w:t>, по среднему показателю определяется 108,41%. Т</w:t>
      </w:r>
      <w:r w:rsidRPr="004135FE">
        <w:rPr>
          <w:rFonts w:ascii="Times New Roman" w:eastAsia="Times New Roman" w:hAnsi="Times New Roman" w:cs="Times New Roman"/>
          <w:bCs/>
          <w:sz w:val="28"/>
          <w:szCs w:val="28"/>
        </w:rPr>
        <w:t>емп прироста в 2021 году по базисному показателю составил (</w:t>
      </w:r>
      <w:r w:rsidRPr="004135FE">
        <w:rPr>
          <w:rFonts w:ascii="Times New Roman" w:eastAsia="Times New Roman" w:hAnsi="Times New Roman" w:cs="Times New Roman"/>
          <w:sz w:val="28"/>
          <w:szCs w:val="28"/>
        </w:rPr>
        <w:t>-18,18</w:t>
      </w:r>
      <w:r w:rsidRPr="004135FE">
        <w:rPr>
          <w:rFonts w:ascii="Times New Roman" w:eastAsia="Times New Roman" w:hAnsi="Times New Roman" w:cs="Times New Roman"/>
          <w:bCs/>
          <w:sz w:val="28"/>
          <w:szCs w:val="28"/>
        </w:rPr>
        <w:t xml:space="preserve">%), </w:t>
      </w:r>
      <w:r w:rsidRPr="004135FE">
        <w:rPr>
          <w:rFonts w:ascii="Times New Roman" w:eastAsia="Times New Roman" w:hAnsi="Times New Roman" w:cs="Times New Roman"/>
          <w:sz w:val="28"/>
          <w:szCs w:val="28"/>
        </w:rPr>
        <w:t xml:space="preserve">средний показатель равен 8,41%. Среди мужчин </w:t>
      </w:r>
      <w:r w:rsidRPr="004135FE">
        <w:rPr>
          <w:rFonts w:ascii="Times New Roman" w:eastAsia="Times New Roman" w:hAnsi="Times New Roman" w:cs="Times New Roman"/>
          <w:bCs/>
          <w:sz w:val="28"/>
          <w:szCs w:val="28"/>
        </w:rPr>
        <w:t xml:space="preserve">темп роста в сравнении относительно 2021 года возрос с </w:t>
      </w:r>
      <w:r w:rsidRPr="004135FE">
        <w:rPr>
          <w:rFonts w:ascii="Times New Roman" w:eastAsia="Times New Roman" w:hAnsi="Times New Roman" w:cs="Times New Roman"/>
          <w:sz w:val="28"/>
          <w:szCs w:val="28"/>
        </w:rPr>
        <w:t>39,07% до 84,19% и среди женщин с 54,33% до 80,30%.</w:t>
      </w:r>
    </w:p>
    <w:p w14:paraId="4FB4DF7A" w14:textId="77777777" w:rsidR="00AB138F" w:rsidRPr="004135FE" w:rsidRDefault="00AB138F"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По Наурызбайскому району статистическая обработка проведена </w:t>
      </w:r>
      <w:r w:rsidRPr="004135FE">
        <w:rPr>
          <w:rFonts w:ascii="Times New Roman" w:eastAsia="Times New Roman" w:hAnsi="Times New Roman" w:cs="Times New Roman"/>
          <w:bCs/>
          <w:sz w:val="28"/>
          <w:szCs w:val="28"/>
        </w:rPr>
        <w:t xml:space="preserve">с 2015 года по 2021 годы. Абсолютный прирост </w:t>
      </w:r>
      <w:r w:rsidRPr="004135FE">
        <w:rPr>
          <w:rFonts w:ascii="Times New Roman" w:eastAsiaTheme="minorHAnsi" w:hAnsi="Times New Roman" w:cs="Times New Roman"/>
          <w:bCs/>
          <w:sz w:val="28"/>
          <w:szCs w:val="28"/>
          <w:lang w:eastAsia="en-US"/>
        </w:rPr>
        <w:t>СД 2типа</w:t>
      </w:r>
      <w:r w:rsidRPr="004135FE">
        <w:rPr>
          <w:rFonts w:ascii="Times New Roman" w:eastAsia="Times New Roman" w:hAnsi="Times New Roman" w:cs="Times New Roman"/>
          <w:bCs/>
          <w:sz w:val="28"/>
          <w:szCs w:val="28"/>
        </w:rPr>
        <w:t xml:space="preserve"> к 2021 году составило </w:t>
      </w:r>
      <w:r w:rsidRPr="004135FE">
        <w:rPr>
          <w:rFonts w:ascii="Times New Roman" w:eastAsia="Times New Roman" w:hAnsi="Times New Roman" w:cs="Times New Roman"/>
          <w:sz w:val="28"/>
          <w:szCs w:val="28"/>
        </w:rPr>
        <w:t xml:space="preserve">4,00, средний показатель равен 41,83. </w:t>
      </w:r>
      <w:r w:rsidRPr="004135FE">
        <w:rPr>
          <w:rFonts w:ascii="Times New Roman" w:eastAsia="Times New Roman" w:hAnsi="Times New Roman" w:cs="Times New Roman"/>
          <w:bCs/>
          <w:sz w:val="28"/>
          <w:szCs w:val="28"/>
        </w:rPr>
        <w:t xml:space="preserve">За семь лет темп роста в сравнении относительно 2021 года возрос равномерно с </w:t>
      </w:r>
      <w:r w:rsidRPr="004135FE">
        <w:rPr>
          <w:rFonts w:ascii="Times New Roman" w:eastAsia="Times New Roman" w:hAnsi="Times New Roman" w:cs="Times New Roman"/>
          <w:sz w:val="28"/>
          <w:szCs w:val="28"/>
        </w:rPr>
        <w:t>20,06</w:t>
      </w:r>
      <w:r w:rsidRPr="004135FE">
        <w:rPr>
          <w:rFonts w:ascii="Times New Roman" w:eastAsia="Times New Roman" w:hAnsi="Times New Roman" w:cs="Times New Roman"/>
          <w:bCs/>
          <w:sz w:val="28"/>
          <w:szCs w:val="28"/>
        </w:rPr>
        <w:t xml:space="preserve">% до </w:t>
      </w:r>
      <w:r w:rsidRPr="004135FE">
        <w:rPr>
          <w:rFonts w:ascii="Times New Roman" w:eastAsia="Times New Roman" w:hAnsi="Times New Roman" w:cs="Times New Roman"/>
          <w:sz w:val="28"/>
          <w:szCs w:val="28"/>
        </w:rPr>
        <w:t>98,73</w:t>
      </w:r>
      <w:r w:rsidRPr="004135FE">
        <w:rPr>
          <w:rFonts w:ascii="Times New Roman" w:eastAsia="Times New Roman" w:hAnsi="Times New Roman" w:cs="Times New Roman"/>
          <w:bCs/>
          <w:sz w:val="28"/>
          <w:szCs w:val="28"/>
        </w:rPr>
        <w:t xml:space="preserve">%, </w:t>
      </w:r>
      <w:r w:rsidRPr="004135FE">
        <w:rPr>
          <w:rFonts w:ascii="Times New Roman" w:eastAsia="Times New Roman" w:hAnsi="Times New Roman" w:cs="Times New Roman"/>
          <w:sz w:val="28"/>
          <w:szCs w:val="28"/>
        </w:rPr>
        <w:t>средний показатель 130,70%. Т</w:t>
      </w:r>
      <w:r w:rsidRPr="004135FE">
        <w:rPr>
          <w:rFonts w:ascii="Times New Roman" w:eastAsia="Times New Roman" w:hAnsi="Times New Roman" w:cs="Times New Roman"/>
          <w:bCs/>
          <w:sz w:val="28"/>
          <w:szCs w:val="28"/>
        </w:rPr>
        <w:t>емп прироста в 2021 году по базисному показателю составил (</w:t>
      </w:r>
      <w:r w:rsidRPr="004135FE">
        <w:rPr>
          <w:rFonts w:ascii="Times New Roman" w:eastAsia="Times New Roman" w:hAnsi="Times New Roman" w:cs="Times New Roman"/>
          <w:sz w:val="28"/>
          <w:szCs w:val="28"/>
        </w:rPr>
        <w:t>-1,27</w:t>
      </w:r>
      <w:r w:rsidRPr="004135FE">
        <w:rPr>
          <w:rFonts w:ascii="Times New Roman" w:eastAsia="Times New Roman" w:hAnsi="Times New Roman" w:cs="Times New Roman"/>
          <w:bCs/>
          <w:sz w:val="28"/>
          <w:szCs w:val="28"/>
        </w:rPr>
        <w:t xml:space="preserve">%), </w:t>
      </w:r>
      <w:r w:rsidRPr="004135FE">
        <w:rPr>
          <w:rFonts w:ascii="Times New Roman" w:eastAsia="Times New Roman" w:hAnsi="Times New Roman" w:cs="Times New Roman"/>
          <w:sz w:val="28"/>
          <w:szCs w:val="28"/>
        </w:rPr>
        <w:t xml:space="preserve">средний показатель равен 30,70%. </w:t>
      </w:r>
      <w:r w:rsidRPr="004135FE">
        <w:rPr>
          <w:rFonts w:ascii="Times New Roman" w:eastAsiaTheme="minorHAnsi" w:hAnsi="Times New Roman" w:cs="Times New Roman"/>
          <w:bCs/>
          <w:sz w:val="28"/>
          <w:szCs w:val="28"/>
          <w:lang w:eastAsia="en-US"/>
        </w:rPr>
        <w:t>СД 2т</w:t>
      </w:r>
      <w:r w:rsidRPr="004135FE">
        <w:rPr>
          <w:rFonts w:ascii="Times New Roman" w:eastAsia="Times New Roman" w:hAnsi="Times New Roman" w:cs="Times New Roman"/>
          <w:bCs/>
          <w:sz w:val="28"/>
          <w:szCs w:val="28"/>
        </w:rPr>
        <w:t xml:space="preserve"> к 2021 году среди мужчин имел убыль (</w:t>
      </w:r>
      <w:r w:rsidRPr="004135FE">
        <w:rPr>
          <w:rFonts w:ascii="Times New Roman" w:eastAsia="Times New Roman" w:hAnsi="Times New Roman" w:cs="Times New Roman"/>
          <w:sz w:val="28"/>
          <w:szCs w:val="28"/>
        </w:rPr>
        <w:t>-17,00), средний показатель абсолютного прироста равен 15,83 и среди женщин соответственно рост 21,00 и 26,00.</w:t>
      </w:r>
    </w:p>
    <w:p w14:paraId="68EE24A2" w14:textId="77777777" w:rsidR="00AB138F" w:rsidRPr="004135FE" w:rsidRDefault="00AB138F"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По Турксибскому району абсолютный</w:t>
      </w:r>
      <w:r w:rsidRPr="004135FE">
        <w:rPr>
          <w:rFonts w:ascii="Times New Roman" w:eastAsia="Times New Roman" w:hAnsi="Times New Roman" w:cs="Times New Roman"/>
          <w:bCs/>
          <w:sz w:val="28"/>
          <w:szCs w:val="28"/>
        </w:rPr>
        <w:t xml:space="preserve"> прирост </w:t>
      </w:r>
      <w:r w:rsidRPr="004135FE">
        <w:rPr>
          <w:rFonts w:ascii="Times New Roman" w:eastAsiaTheme="minorHAnsi" w:hAnsi="Times New Roman" w:cs="Times New Roman"/>
          <w:bCs/>
          <w:sz w:val="28"/>
          <w:szCs w:val="28"/>
          <w:lang w:eastAsia="en-US"/>
        </w:rPr>
        <w:t xml:space="preserve">СД 2типа </w:t>
      </w:r>
      <w:r w:rsidRPr="004135FE">
        <w:rPr>
          <w:rFonts w:ascii="Times New Roman" w:eastAsia="Times New Roman" w:hAnsi="Times New Roman" w:cs="Times New Roman"/>
          <w:sz w:val="28"/>
          <w:szCs w:val="28"/>
        </w:rPr>
        <w:t xml:space="preserve">в базисном показателе </w:t>
      </w:r>
      <w:r w:rsidRPr="004135FE">
        <w:rPr>
          <w:rFonts w:ascii="Times New Roman" w:eastAsia="Times New Roman" w:hAnsi="Times New Roman" w:cs="Times New Roman"/>
          <w:bCs/>
          <w:sz w:val="28"/>
          <w:szCs w:val="28"/>
        </w:rPr>
        <w:t xml:space="preserve">в 2021 году </w:t>
      </w:r>
      <w:r w:rsidRPr="004135FE">
        <w:rPr>
          <w:rFonts w:ascii="Times New Roman" w:eastAsia="Times New Roman" w:hAnsi="Times New Roman" w:cs="Times New Roman"/>
          <w:sz w:val="28"/>
          <w:szCs w:val="28"/>
        </w:rPr>
        <w:t>102,00, наибольшей убыли за 10 лет был 2020году (-111,00). Количество впервые зафиксированных случаев является в убыли в динамике с 2018 по 2019 годы, с 668 случаев до 602 случаев заболеваемости. Наибольший показатель абсолютного прироста зафиксирован 2017 году - 128,00. Средний показатель за 10 лет составило 102,00. В</w:t>
      </w:r>
      <w:r w:rsidRPr="004135FE">
        <w:rPr>
          <w:rFonts w:ascii="Times New Roman" w:eastAsia="Times New Roman" w:hAnsi="Times New Roman" w:cs="Times New Roman"/>
          <w:bCs/>
          <w:sz w:val="28"/>
          <w:szCs w:val="28"/>
        </w:rPr>
        <w:t xml:space="preserve"> динамике за 10 лет наибольший показатель темпа роста отмечается в 2019 году 112,65%, </w:t>
      </w:r>
      <w:r w:rsidRPr="004135FE">
        <w:rPr>
          <w:rFonts w:ascii="Times New Roman" w:eastAsia="Times New Roman" w:hAnsi="Times New Roman" w:cs="Times New Roman"/>
          <w:sz w:val="28"/>
          <w:szCs w:val="28"/>
        </w:rPr>
        <w:t xml:space="preserve">средний </w:t>
      </w:r>
      <w:r w:rsidRPr="004135FE">
        <w:rPr>
          <w:rFonts w:ascii="Times New Roman" w:eastAsia="Times New Roman" w:hAnsi="Times New Roman" w:cs="Times New Roman"/>
          <w:sz w:val="28"/>
          <w:szCs w:val="28"/>
        </w:rPr>
        <w:lastRenderedPageBreak/>
        <w:t>показатель 105,19%. Т</w:t>
      </w:r>
      <w:r w:rsidRPr="004135FE">
        <w:rPr>
          <w:rFonts w:ascii="Times New Roman" w:eastAsia="Times New Roman" w:hAnsi="Times New Roman" w:cs="Times New Roman"/>
          <w:bCs/>
          <w:sz w:val="28"/>
          <w:szCs w:val="28"/>
        </w:rPr>
        <w:t>емп прироста в 2021 году по базисному показателю составил (</w:t>
      </w:r>
      <w:r w:rsidRPr="004135FE">
        <w:rPr>
          <w:rFonts w:ascii="Times New Roman" w:eastAsia="Times New Roman" w:hAnsi="Times New Roman" w:cs="Times New Roman"/>
          <w:sz w:val="28"/>
          <w:szCs w:val="28"/>
        </w:rPr>
        <w:t>-17,20</w:t>
      </w:r>
      <w:r w:rsidRPr="004135FE">
        <w:rPr>
          <w:rFonts w:ascii="Times New Roman" w:eastAsia="Times New Roman" w:hAnsi="Times New Roman" w:cs="Times New Roman"/>
          <w:bCs/>
          <w:sz w:val="28"/>
          <w:szCs w:val="28"/>
        </w:rPr>
        <w:t xml:space="preserve">%), </w:t>
      </w:r>
      <w:r w:rsidRPr="004135FE">
        <w:rPr>
          <w:rFonts w:ascii="Times New Roman" w:eastAsia="Times New Roman" w:hAnsi="Times New Roman" w:cs="Times New Roman"/>
          <w:sz w:val="28"/>
          <w:szCs w:val="28"/>
        </w:rPr>
        <w:t>средний показатель 5,19%. Абсолютный прирост среди мужчин возрос с 8,00 до 52,00 и среди женщин с (-26,00) до 50,00.</w:t>
      </w:r>
    </w:p>
    <w:p w14:paraId="41EDA978" w14:textId="77777777" w:rsidR="0066583A" w:rsidRPr="004135FE" w:rsidRDefault="0066583A" w:rsidP="004135FE">
      <w:pPr>
        <w:spacing w:after="0" w:line="240" w:lineRule="auto"/>
        <w:ind w:firstLine="708"/>
        <w:jc w:val="both"/>
        <w:rPr>
          <w:rFonts w:ascii="Times New Roman" w:eastAsia="Times New Roman" w:hAnsi="Times New Roman" w:cs="Times New Roman"/>
          <w:sz w:val="28"/>
          <w:szCs w:val="28"/>
        </w:rPr>
      </w:pPr>
    </w:p>
    <w:p w14:paraId="558B35F0" w14:textId="77777777" w:rsidR="0066583A" w:rsidRPr="004135FE" w:rsidRDefault="0066583A" w:rsidP="004135FE">
      <w:pPr>
        <w:spacing w:after="0" w:line="240" w:lineRule="auto"/>
        <w:ind w:firstLine="708"/>
        <w:jc w:val="both"/>
        <w:rPr>
          <w:rFonts w:ascii="Times New Roman" w:eastAsia="Times New Roman" w:hAnsi="Times New Roman" w:cs="Times New Roman"/>
          <w:sz w:val="28"/>
          <w:szCs w:val="28"/>
        </w:rPr>
      </w:pPr>
    </w:p>
    <w:p w14:paraId="58A10DC1" w14:textId="77777777" w:rsidR="0066583A" w:rsidRPr="004135FE" w:rsidRDefault="0066583A" w:rsidP="004135FE">
      <w:pPr>
        <w:spacing w:after="0" w:line="240" w:lineRule="auto"/>
        <w:jc w:val="both"/>
        <w:rPr>
          <w:rFonts w:ascii="Times New Roman" w:eastAsia="Times New Roman" w:hAnsi="Times New Roman" w:cs="Times New Roman"/>
          <w:sz w:val="28"/>
          <w:szCs w:val="28"/>
        </w:rPr>
        <w:sectPr w:rsidR="0066583A" w:rsidRPr="004135FE" w:rsidSect="00EC71C2">
          <w:type w:val="nextColumn"/>
          <w:pgSz w:w="11906" w:h="16838"/>
          <w:pgMar w:top="1134" w:right="851" w:bottom="1134" w:left="1701" w:header="708" w:footer="708" w:gutter="0"/>
          <w:cols w:space="708"/>
          <w:docGrid w:linePitch="360"/>
        </w:sectPr>
      </w:pPr>
    </w:p>
    <w:p w14:paraId="35998F96" w14:textId="12B963D8" w:rsidR="0066583A" w:rsidRDefault="005F2D6E" w:rsidP="00014382">
      <w:pPr>
        <w:spacing w:after="0" w:line="240" w:lineRule="auto"/>
        <w:jc w:val="both"/>
        <w:rPr>
          <w:rFonts w:ascii="Times New Roman" w:eastAsia="Times New Roman" w:hAnsi="Times New Roman" w:cs="Times New Roman"/>
          <w:bCs/>
          <w:sz w:val="28"/>
          <w:szCs w:val="28"/>
        </w:rPr>
      </w:pPr>
      <w:r w:rsidRPr="00014382">
        <w:rPr>
          <w:rFonts w:ascii="Times New Roman" w:eastAsia="Times New Roman" w:hAnsi="Times New Roman" w:cs="Times New Roman"/>
          <w:bCs/>
          <w:sz w:val="28"/>
          <w:szCs w:val="28"/>
        </w:rPr>
        <w:lastRenderedPageBreak/>
        <w:t>Таблица 7</w:t>
      </w:r>
      <w:r w:rsidR="0066583A" w:rsidRPr="00014382">
        <w:rPr>
          <w:rFonts w:ascii="Times New Roman" w:eastAsia="Times New Roman" w:hAnsi="Times New Roman" w:cs="Times New Roman"/>
          <w:bCs/>
          <w:sz w:val="28"/>
          <w:szCs w:val="28"/>
        </w:rPr>
        <w:t xml:space="preserve"> - Динамика первичной заболеваемости сахарным диабетом 2 типа по половым признакам по городу Алматы</w:t>
      </w:r>
    </w:p>
    <w:p w14:paraId="6D38056C" w14:textId="77777777" w:rsidR="00B16459" w:rsidRPr="00014382" w:rsidRDefault="00B16459" w:rsidP="00014382">
      <w:pPr>
        <w:spacing w:after="0" w:line="240" w:lineRule="auto"/>
        <w:jc w:val="both"/>
        <w:rPr>
          <w:rFonts w:ascii="Times New Roman" w:eastAsia="Times New Roman" w:hAnsi="Times New Roman" w:cs="Times New Roman"/>
          <w:bCs/>
          <w:sz w:val="28"/>
          <w:szCs w:val="28"/>
        </w:rPr>
      </w:pPr>
    </w:p>
    <w:tbl>
      <w:tblPr>
        <w:tblW w:w="14459" w:type="dxa"/>
        <w:tblInd w:w="-10" w:type="dxa"/>
        <w:tblLayout w:type="fixed"/>
        <w:tblLook w:val="04A0" w:firstRow="1" w:lastRow="0" w:firstColumn="1" w:lastColumn="0" w:noHBand="0" w:noVBand="1"/>
      </w:tblPr>
      <w:tblGrid>
        <w:gridCol w:w="1134"/>
        <w:gridCol w:w="851"/>
        <w:gridCol w:w="1134"/>
        <w:gridCol w:w="1134"/>
        <w:gridCol w:w="1134"/>
        <w:gridCol w:w="850"/>
        <w:gridCol w:w="1276"/>
        <w:gridCol w:w="1134"/>
        <w:gridCol w:w="1418"/>
        <w:gridCol w:w="992"/>
        <w:gridCol w:w="992"/>
        <w:gridCol w:w="1418"/>
        <w:gridCol w:w="992"/>
      </w:tblGrid>
      <w:tr w:rsidR="0066583A" w:rsidRPr="004135FE" w14:paraId="3C37B220" w14:textId="77777777" w:rsidTr="00B16459">
        <w:trPr>
          <w:trHeight w:val="315"/>
        </w:trPr>
        <w:tc>
          <w:tcPr>
            <w:tcW w:w="1134" w:type="dxa"/>
            <w:tcBorders>
              <w:top w:val="single" w:sz="8" w:space="0" w:color="auto"/>
              <w:left w:val="single" w:sz="8" w:space="0" w:color="auto"/>
              <w:bottom w:val="single" w:sz="4" w:space="0" w:color="auto"/>
              <w:right w:val="nil"/>
            </w:tcBorders>
            <w:shd w:val="clear" w:color="auto" w:fill="auto"/>
            <w:noWrap/>
            <w:vAlign w:val="center"/>
            <w:hideMark/>
          </w:tcPr>
          <w:p w14:paraId="5F264B9A"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4253" w:type="dxa"/>
            <w:gridSpan w:val="4"/>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5B2F322E" w14:textId="003B523D" w:rsidR="0066583A" w:rsidRPr="004135FE" w:rsidRDefault="0066583A" w:rsidP="004135FE">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Всего по г</w:t>
            </w:r>
            <w:r w:rsidR="00B16459">
              <w:rPr>
                <w:rFonts w:ascii="Times New Roman" w:eastAsia="Times New Roman" w:hAnsi="Times New Roman" w:cs="Times New Roman"/>
                <w:bCs/>
                <w:sz w:val="28"/>
                <w:szCs w:val="28"/>
              </w:rPr>
              <w:t>.</w:t>
            </w:r>
            <w:r w:rsidRPr="004135FE">
              <w:rPr>
                <w:rFonts w:ascii="Times New Roman" w:eastAsia="Times New Roman" w:hAnsi="Times New Roman" w:cs="Times New Roman"/>
                <w:bCs/>
                <w:sz w:val="28"/>
                <w:szCs w:val="28"/>
              </w:rPr>
              <w:t xml:space="preserve"> Алматы</w:t>
            </w:r>
          </w:p>
        </w:tc>
        <w:tc>
          <w:tcPr>
            <w:tcW w:w="4678" w:type="dxa"/>
            <w:gridSpan w:val="4"/>
            <w:tcBorders>
              <w:top w:val="single" w:sz="8" w:space="0" w:color="auto"/>
              <w:left w:val="nil"/>
              <w:bottom w:val="single" w:sz="4" w:space="0" w:color="auto"/>
              <w:right w:val="single" w:sz="8" w:space="0" w:color="000000"/>
            </w:tcBorders>
            <w:shd w:val="clear" w:color="auto" w:fill="auto"/>
            <w:noWrap/>
            <w:vAlign w:val="center"/>
            <w:hideMark/>
          </w:tcPr>
          <w:p w14:paraId="3CA4E36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bCs/>
                <w:sz w:val="28"/>
                <w:szCs w:val="28"/>
              </w:rPr>
              <w:t>мужчины</w:t>
            </w:r>
          </w:p>
        </w:tc>
        <w:tc>
          <w:tcPr>
            <w:tcW w:w="4394" w:type="dxa"/>
            <w:gridSpan w:val="4"/>
            <w:tcBorders>
              <w:top w:val="single" w:sz="8" w:space="0" w:color="auto"/>
              <w:left w:val="nil"/>
              <w:bottom w:val="single" w:sz="4" w:space="0" w:color="auto"/>
              <w:right w:val="single" w:sz="8" w:space="0" w:color="000000"/>
            </w:tcBorders>
            <w:shd w:val="clear" w:color="auto" w:fill="auto"/>
            <w:noWrap/>
            <w:vAlign w:val="center"/>
            <w:hideMark/>
          </w:tcPr>
          <w:p w14:paraId="1CB3E3D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женщины </w:t>
            </w:r>
          </w:p>
        </w:tc>
      </w:tr>
      <w:tr w:rsidR="00B16459" w:rsidRPr="004135FE" w14:paraId="22E0DD4B" w14:textId="77777777" w:rsidTr="00B16459">
        <w:trPr>
          <w:trHeight w:val="988"/>
        </w:trPr>
        <w:tc>
          <w:tcPr>
            <w:tcW w:w="1134" w:type="dxa"/>
            <w:tcBorders>
              <w:top w:val="nil"/>
              <w:left w:val="single" w:sz="8" w:space="0" w:color="auto"/>
              <w:bottom w:val="single" w:sz="4" w:space="0" w:color="auto"/>
              <w:right w:val="nil"/>
            </w:tcBorders>
            <w:shd w:val="clear" w:color="auto" w:fill="auto"/>
            <w:noWrap/>
            <w:hideMark/>
          </w:tcPr>
          <w:p w14:paraId="3FB9505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годы</w:t>
            </w:r>
          </w:p>
        </w:tc>
        <w:tc>
          <w:tcPr>
            <w:tcW w:w="851" w:type="dxa"/>
            <w:tcBorders>
              <w:top w:val="nil"/>
              <w:left w:val="single" w:sz="8" w:space="0" w:color="auto"/>
              <w:bottom w:val="single" w:sz="4" w:space="0" w:color="auto"/>
              <w:right w:val="single" w:sz="4" w:space="0" w:color="auto"/>
            </w:tcBorders>
            <w:shd w:val="clear" w:color="auto" w:fill="auto"/>
            <w:noWrap/>
            <w:hideMark/>
          </w:tcPr>
          <w:p w14:paraId="434CD85A" w14:textId="77777777" w:rsidR="0066583A" w:rsidRPr="004135FE" w:rsidRDefault="0066583A" w:rsidP="004135FE">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абс</w:t>
            </w:r>
          </w:p>
        </w:tc>
        <w:tc>
          <w:tcPr>
            <w:tcW w:w="1134" w:type="dxa"/>
            <w:tcBorders>
              <w:top w:val="nil"/>
              <w:left w:val="nil"/>
              <w:bottom w:val="single" w:sz="4" w:space="0" w:color="auto"/>
              <w:right w:val="single" w:sz="4" w:space="0" w:color="auto"/>
            </w:tcBorders>
            <w:shd w:val="clear" w:color="auto" w:fill="auto"/>
            <w:hideMark/>
          </w:tcPr>
          <w:p w14:paraId="7614C2FE" w14:textId="77777777" w:rsidR="0066583A" w:rsidRPr="004135FE" w:rsidRDefault="0066583A" w:rsidP="004135FE">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абс прирост</w:t>
            </w:r>
          </w:p>
        </w:tc>
        <w:tc>
          <w:tcPr>
            <w:tcW w:w="1134" w:type="dxa"/>
            <w:tcBorders>
              <w:top w:val="nil"/>
              <w:left w:val="nil"/>
              <w:bottom w:val="single" w:sz="4" w:space="0" w:color="auto"/>
              <w:right w:val="single" w:sz="4" w:space="0" w:color="auto"/>
            </w:tcBorders>
            <w:shd w:val="clear" w:color="auto" w:fill="auto"/>
            <w:hideMark/>
          </w:tcPr>
          <w:p w14:paraId="1589835C" w14:textId="77777777" w:rsidR="0066583A" w:rsidRPr="004135FE" w:rsidRDefault="0066583A" w:rsidP="004135FE">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темп роста в сравнении относительно 2021 года,%</w:t>
            </w:r>
          </w:p>
        </w:tc>
        <w:tc>
          <w:tcPr>
            <w:tcW w:w="1134" w:type="dxa"/>
            <w:tcBorders>
              <w:top w:val="nil"/>
              <w:left w:val="nil"/>
              <w:bottom w:val="single" w:sz="4" w:space="0" w:color="auto"/>
              <w:right w:val="single" w:sz="8" w:space="0" w:color="auto"/>
            </w:tcBorders>
            <w:shd w:val="clear" w:color="auto" w:fill="auto"/>
            <w:hideMark/>
          </w:tcPr>
          <w:p w14:paraId="57812847" w14:textId="77777777" w:rsidR="0066583A" w:rsidRPr="004135FE" w:rsidRDefault="0066583A" w:rsidP="004135FE">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темп прироста, %</w:t>
            </w:r>
          </w:p>
        </w:tc>
        <w:tc>
          <w:tcPr>
            <w:tcW w:w="850" w:type="dxa"/>
            <w:tcBorders>
              <w:top w:val="nil"/>
              <w:left w:val="nil"/>
              <w:bottom w:val="single" w:sz="4" w:space="0" w:color="auto"/>
              <w:right w:val="single" w:sz="4" w:space="0" w:color="auto"/>
            </w:tcBorders>
            <w:shd w:val="clear" w:color="auto" w:fill="auto"/>
            <w:noWrap/>
            <w:hideMark/>
          </w:tcPr>
          <w:p w14:paraId="10F30D0E" w14:textId="77777777" w:rsidR="0066583A" w:rsidRPr="004135FE" w:rsidRDefault="0066583A" w:rsidP="004135FE">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абс</w:t>
            </w:r>
          </w:p>
        </w:tc>
        <w:tc>
          <w:tcPr>
            <w:tcW w:w="1276" w:type="dxa"/>
            <w:tcBorders>
              <w:top w:val="nil"/>
              <w:left w:val="nil"/>
              <w:bottom w:val="single" w:sz="4" w:space="0" w:color="auto"/>
              <w:right w:val="single" w:sz="4" w:space="0" w:color="auto"/>
            </w:tcBorders>
            <w:shd w:val="clear" w:color="auto" w:fill="auto"/>
            <w:hideMark/>
          </w:tcPr>
          <w:p w14:paraId="57487CB8" w14:textId="77777777" w:rsidR="0066583A" w:rsidRPr="004135FE" w:rsidRDefault="0066583A" w:rsidP="004135FE">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абс прирост</w:t>
            </w:r>
          </w:p>
        </w:tc>
        <w:tc>
          <w:tcPr>
            <w:tcW w:w="1134" w:type="dxa"/>
            <w:tcBorders>
              <w:top w:val="nil"/>
              <w:left w:val="nil"/>
              <w:bottom w:val="single" w:sz="4" w:space="0" w:color="auto"/>
              <w:right w:val="single" w:sz="4" w:space="0" w:color="auto"/>
            </w:tcBorders>
            <w:shd w:val="clear" w:color="auto" w:fill="auto"/>
            <w:hideMark/>
          </w:tcPr>
          <w:p w14:paraId="12E5863F" w14:textId="77777777" w:rsidR="0066583A" w:rsidRPr="004135FE" w:rsidRDefault="0066583A" w:rsidP="004135FE">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темп роста в сравнении относительно 2021 года %</w:t>
            </w:r>
          </w:p>
        </w:tc>
        <w:tc>
          <w:tcPr>
            <w:tcW w:w="1418" w:type="dxa"/>
            <w:tcBorders>
              <w:top w:val="nil"/>
              <w:left w:val="nil"/>
              <w:bottom w:val="single" w:sz="4" w:space="0" w:color="auto"/>
              <w:right w:val="single" w:sz="8" w:space="0" w:color="auto"/>
            </w:tcBorders>
            <w:shd w:val="clear" w:color="auto" w:fill="auto"/>
            <w:hideMark/>
          </w:tcPr>
          <w:p w14:paraId="0A5BEBD7" w14:textId="77777777" w:rsidR="0066583A" w:rsidRPr="004135FE" w:rsidRDefault="0066583A" w:rsidP="004135FE">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темп прироста, %</w:t>
            </w:r>
          </w:p>
        </w:tc>
        <w:tc>
          <w:tcPr>
            <w:tcW w:w="992" w:type="dxa"/>
            <w:tcBorders>
              <w:top w:val="nil"/>
              <w:left w:val="nil"/>
              <w:bottom w:val="single" w:sz="4" w:space="0" w:color="auto"/>
              <w:right w:val="single" w:sz="4" w:space="0" w:color="auto"/>
            </w:tcBorders>
            <w:shd w:val="clear" w:color="auto" w:fill="auto"/>
            <w:noWrap/>
            <w:hideMark/>
          </w:tcPr>
          <w:p w14:paraId="03735F7D" w14:textId="77777777" w:rsidR="0066583A" w:rsidRPr="004135FE" w:rsidRDefault="0066583A" w:rsidP="004135FE">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абс</w:t>
            </w:r>
          </w:p>
        </w:tc>
        <w:tc>
          <w:tcPr>
            <w:tcW w:w="992" w:type="dxa"/>
            <w:tcBorders>
              <w:top w:val="nil"/>
              <w:left w:val="nil"/>
              <w:bottom w:val="single" w:sz="4" w:space="0" w:color="auto"/>
              <w:right w:val="single" w:sz="4" w:space="0" w:color="auto"/>
            </w:tcBorders>
            <w:shd w:val="clear" w:color="auto" w:fill="auto"/>
            <w:hideMark/>
          </w:tcPr>
          <w:p w14:paraId="7C2303B7" w14:textId="77777777" w:rsidR="0066583A" w:rsidRPr="004135FE" w:rsidRDefault="0066583A" w:rsidP="004135FE">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абс прирост</w:t>
            </w:r>
          </w:p>
        </w:tc>
        <w:tc>
          <w:tcPr>
            <w:tcW w:w="1418" w:type="dxa"/>
            <w:tcBorders>
              <w:top w:val="nil"/>
              <w:left w:val="nil"/>
              <w:bottom w:val="single" w:sz="4" w:space="0" w:color="auto"/>
              <w:right w:val="single" w:sz="4" w:space="0" w:color="auto"/>
            </w:tcBorders>
            <w:shd w:val="clear" w:color="auto" w:fill="auto"/>
            <w:hideMark/>
          </w:tcPr>
          <w:p w14:paraId="6652845B" w14:textId="77777777" w:rsidR="0066583A" w:rsidRPr="004135FE" w:rsidRDefault="0066583A" w:rsidP="004135FE">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темп роста в сравнении относительно 2021года%</w:t>
            </w:r>
          </w:p>
        </w:tc>
        <w:tc>
          <w:tcPr>
            <w:tcW w:w="992" w:type="dxa"/>
            <w:tcBorders>
              <w:top w:val="nil"/>
              <w:left w:val="nil"/>
              <w:bottom w:val="single" w:sz="4" w:space="0" w:color="auto"/>
              <w:right w:val="single" w:sz="8" w:space="0" w:color="auto"/>
            </w:tcBorders>
            <w:shd w:val="clear" w:color="auto" w:fill="auto"/>
            <w:hideMark/>
          </w:tcPr>
          <w:p w14:paraId="06AC8116" w14:textId="77777777" w:rsidR="0066583A" w:rsidRPr="004135FE" w:rsidRDefault="0066583A" w:rsidP="004135FE">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темп прироста, %</w:t>
            </w:r>
          </w:p>
        </w:tc>
      </w:tr>
      <w:tr w:rsidR="00B16459" w:rsidRPr="004135FE" w14:paraId="2E37C23B" w14:textId="77777777" w:rsidTr="00B16459">
        <w:trPr>
          <w:trHeight w:val="207"/>
        </w:trPr>
        <w:tc>
          <w:tcPr>
            <w:tcW w:w="1134" w:type="dxa"/>
            <w:tcBorders>
              <w:top w:val="nil"/>
              <w:left w:val="single" w:sz="8" w:space="0" w:color="auto"/>
              <w:bottom w:val="single" w:sz="4" w:space="0" w:color="auto"/>
              <w:right w:val="nil"/>
            </w:tcBorders>
            <w:shd w:val="clear" w:color="auto" w:fill="auto"/>
            <w:noWrap/>
            <w:hideMark/>
          </w:tcPr>
          <w:p w14:paraId="279657D8"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2012</w:t>
            </w:r>
          </w:p>
        </w:tc>
        <w:tc>
          <w:tcPr>
            <w:tcW w:w="851" w:type="dxa"/>
            <w:tcBorders>
              <w:top w:val="nil"/>
              <w:left w:val="single" w:sz="8" w:space="0" w:color="auto"/>
              <w:bottom w:val="single" w:sz="4" w:space="0" w:color="auto"/>
              <w:right w:val="single" w:sz="4" w:space="0" w:color="auto"/>
            </w:tcBorders>
            <w:shd w:val="clear" w:color="000000" w:fill="FFFFFF"/>
          </w:tcPr>
          <w:p w14:paraId="4DB4CBE4"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2508</w:t>
            </w:r>
          </w:p>
        </w:tc>
        <w:tc>
          <w:tcPr>
            <w:tcW w:w="1134" w:type="dxa"/>
            <w:tcBorders>
              <w:top w:val="nil"/>
              <w:left w:val="nil"/>
              <w:bottom w:val="single" w:sz="4" w:space="0" w:color="auto"/>
              <w:right w:val="single" w:sz="4" w:space="0" w:color="auto"/>
            </w:tcBorders>
            <w:shd w:val="clear" w:color="000000" w:fill="FFFFFF"/>
          </w:tcPr>
          <w:p w14:paraId="2BFEBC2D" w14:textId="3FF766AE" w:rsidR="0066583A" w:rsidRPr="004135FE" w:rsidRDefault="00BB5424" w:rsidP="00B1645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134" w:type="dxa"/>
            <w:tcBorders>
              <w:top w:val="nil"/>
              <w:left w:val="nil"/>
              <w:bottom w:val="single" w:sz="4" w:space="0" w:color="auto"/>
              <w:right w:val="single" w:sz="4" w:space="0" w:color="auto"/>
            </w:tcBorders>
            <w:shd w:val="clear" w:color="000000" w:fill="FFFFFF"/>
          </w:tcPr>
          <w:p w14:paraId="6685D5B9" w14:textId="112AFD4D" w:rsidR="0066583A" w:rsidRPr="004135FE" w:rsidRDefault="00BB5424" w:rsidP="00B1645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134" w:type="dxa"/>
            <w:tcBorders>
              <w:top w:val="nil"/>
              <w:left w:val="nil"/>
              <w:bottom w:val="single" w:sz="4" w:space="0" w:color="auto"/>
              <w:right w:val="single" w:sz="8" w:space="0" w:color="auto"/>
            </w:tcBorders>
            <w:shd w:val="clear" w:color="000000" w:fill="FFFFFF"/>
          </w:tcPr>
          <w:p w14:paraId="37651012" w14:textId="39442F84" w:rsidR="0066583A" w:rsidRPr="004135FE" w:rsidRDefault="00BB5424" w:rsidP="00B1645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850" w:type="dxa"/>
            <w:tcBorders>
              <w:top w:val="nil"/>
              <w:left w:val="nil"/>
              <w:bottom w:val="single" w:sz="4" w:space="0" w:color="auto"/>
              <w:right w:val="single" w:sz="4" w:space="0" w:color="auto"/>
            </w:tcBorders>
            <w:shd w:val="clear" w:color="000000" w:fill="FFFFFF"/>
          </w:tcPr>
          <w:p w14:paraId="3B2651AA"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864</w:t>
            </w:r>
          </w:p>
        </w:tc>
        <w:tc>
          <w:tcPr>
            <w:tcW w:w="1276" w:type="dxa"/>
            <w:tcBorders>
              <w:top w:val="nil"/>
              <w:left w:val="nil"/>
              <w:bottom w:val="single" w:sz="4" w:space="0" w:color="auto"/>
              <w:right w:val="single" w:sz="4" w:space="0" w:color="auto"/>
            </w:tcBorders>
            <w:shd w:val="clear" w:color="000000" w:fill="FFFFFF"/>
          </w:tcPr>
          <w:p w14:paraId="4817B967" w14:textId="07DFABCE" w:rsidR="0066583A" w:rsidRPr="004135FE" w:rsidRDefault="00BB5424" w:rsidP="00B1645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134" w:type="dxa"/>
            <w:tcBorders>
              <w:top w:val="nil"/>
              <w:left w:val="nil"/>
              <w:bottom w:val="single" w:sz="4" w:space="0" w:color="auto"/>
              <w:right w:val="single" w:sz="4" w:space="0" w:color="auto"/>
            </w:tcBorders>
            <w:shd w:val="clear" w:color="000000" w:fill="FFFFFF"/>
          </w:tcPr>
          <w:p w14:paraId="51308BAB" w14:textId="2ACEB0F0" w:rsidR="0066583A" w:rsidRPr="004135FE" w:rsidRDefault="00BB5424" w:rsidP="00B1645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418" w:type="dxa"/>
            <w:tcBorders>
              <w:top w:val="nil"/>
              <w:left w:val="nil"/>
              <w:bottom w:val="single" w:sz="4" w:space="0" w:color="auto"/>
              <w:right w:val="single" w:sz="8" w:space="0" w:color="auto"/>
            </w:tcBorders>
            <w:shd w:val="clear" w:color="000000" w:fill="FFFFFF"/>
          </w:tcPr>
          <w:p w14:paraId="4E6B0480" w14:textId="5666BC61" w:rsidR="0066583A" w:rsidRPr="004135FE" w:rsidRDefault="00BB5424" w:rsidP="00B1645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auto"/>
              <w:right w:val="single" w:sz="4" w:space="0" w:color="auto"/>
            </w:tcBorders>
            <w:shd w:val="clear" w:color="auto" w:fill="auto"/>
            <w:noWrap/>
          </w:tcPr>
          <w:p w14:paraId="7A98731F"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1644</w:t>
            </w:r>
          </w:p>
        </w:tc>
        <w:tc>
          <w:tcPr>
            <w:tcW w:w="992" w:type="dxa"/>
            <w:tcBorders>
              <w:top w:val="nil"/>
              <w:left w:val="nil"/>
              <w:bottom w:val="single" w:sz="4" w:space="0" w:color="auto"/>
              <w:right w:val="single" w:sz="4" w:space="0" w:color="auto"/>
            </w:tcBorders>
            <w:shd w:val="clear" w:color="auto" w:fill="auto"/>
            <w:noWrap/>
          </w:tcPr>
          <w:p w14:paraId="4585572F" w14:textId="3E55C33C" w:rsidR="0066583A" w:rsidRPr="004135FE" w:rsidRDefault="00BB5424" w:rsidP="00B1645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418" w:type="dxa"/>
            <w:tcBorders>
              <w:top w:val="nil"/>
              <w:left w:val="nil"/>
              <w:bottom w:val="single" w:sz="4" w:space="0" w:color="auto"/>
              <w:right w:val="single" w:sz="4" w:space="0" w:color="auto"/>
            </w:tcBorders>
            <w:shd w:val="clear" w:color="auto" w:fill="auto"/>
            <w:noWrap/>
          </w:tcPr>
          <w:p w14:paraId="276E87B5" w14:textId="7B2FA125" w:rsidR="0066583A" w:rsidRPr="004135FE" w:rsidRDefault="00BB5424" w:rsidP="00B1645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auto"/>
              <w:right w:val="single" w:sz="8" w:space="0" w:color="auto"/>
            </w:tcBorders>
            <w:shd w:val="clear" w:color="auto" w:fill="auto"/>
            <w:noWrap/>
          </w:tcPr>
          <w:p w14:paraId="5658F83B" w14:textId="6D460C2A" w:rsidR="0066583A" w:rsidRPr="004135FE" w:rsidRDefault="00BB5424" w:rsidP="00B16459">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B16459" w:rsidRPr="004135FE" w14:paraId="3123BB4F" w14:textId="77777777" w:rsidTr="00B16459">
        <w:trPr>
          <w:trHeight w:val="315"/>
        </w:trPr>
        <w:tc>
          <w:tcPr>
            <w:tcW w:w="1134" w:type="dxa"/>
            <w:tcBorders>
              <w:top w:val="nil"/>
              <w:left w:val="single" w:sz="8" w:space="0" w:color="auto"/>
              <w:bottom w:val="single" w:sz="4" w:space="0" w:color="auto"/>
              <w:right w:val="nil"/>
            </w:tcBorders>
            <w:shd w:val="clear" w:color="auto" w:fill="auto"/>
            <w:noWrap/>
            <w:hideMark/>
          </w:tcPr>
          <w:p w14:paraId="2C232042"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2013</w:t>
            </w:r>
          </w:p>
        </w:tc>
        <w:tc>
          <w:tcPr>
            <w:tcW w:w="851" w:type="dxa"/>
            <w:tcBorders>
              <w:top w:val="nil"/>
              <w:left w:val="single" w:sz="8" w:space="0" w:color="auto"/>
              <w:bottom w:val="single" w:sz="4" w:space="0" w:color="auto"/>
              <w:right w:val="single" w:sz="4" w:space="0" w:color="auto"/>
            </w:tcBorders>
            <w:shd w:val="clear" w:color="auto" w:fill="auto"/>
            <w:noWrap/>
          </w:tcPr>
          <w:p w14:paraId="5A99611C"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2649</w:t>
            </w:r>
          </w:p>
        </w:tc>
        <w:tc>
          <w:tcPr>
            <w:tcW w:w="1134" w:type="dxa"/>
            <w:tcBorders>
              <w:top w:val="nil"/>
              <w:left w:val="nil"/>
              <w:bottom w:val="single" w:sz="4" w:space="0" w:color="auto"/>
              <w:right w:val="single" w:sz="4" w:space="0" w:color="auto"/>
            </w:tcBorders>
            <w:shd w:val="clear" w:color="auto" w:fill="auto"/>
            <w:noWrap/>
          </w:tcPr>
          <w:p w14:paraId="492F66E8"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141,00</w:t>
            </w:r>
          </w:p>
        </w:tc>
        <w:tc>
          <w:tcPr>
            <w:tcW w:w="1134" w:type="dxa"/>
            <w:tcBorders>
              <w:top w:val="nil"/>
              <w:left w:val="nil"/>
              <w:bottom w:val="single" w:sz="4" w:space="0" w:color="auto"/>
              <w:right w:val="single" w:sz="4" w:space="0" w:color="auto"/>
            </w:tcBorders>
            <w:shd w:val="clear" w:color="auto" w:fill="auto"/>
            <w:noWrap/>
          </w:tcPr>
          <w:p w14:paraId="3A8BB629"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49,54</w:t>
            </w:r>
          </w:p>
        </w:tc>
        <w:tc>
          <w:tcPr>
            <w:tcW w:w="1134" w:type="dxa"/>
            <w:tcBorders>
              <w:top w:val="nil"/>
              <w:left w:val="nil"/>
              <w:bottom w:val="single" w:sz="4" w:space="0" w:color="auto"/>
              <w:right w:val="single" w:sz="8" w:space="0" w:color="auto"/>
            </w:tcBorders>
            <w:shd w:val="clear" w:color="auto" w:fill="auto"/>
            <w:noWrap/>
          </w:tcPr>
          <w:p w14:paraId="1CD8219B"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-50,46</w:t>
            </w:r>
          </w:p>
        </w:tc>
        <w:tc>
          <w:tcPr>
            <w:tcW w:w="850" w:type="dxa"/>
            <w:tcBorders>
              <w:top w:val="nil"/>
              <w:left w:val="nil"/>
              <w:bottom w:val="single" w:sz="4" w:space="0" w:color="auto"/>
              <w:right w:val="single" w:sz="4" w:space="0" w:color="auto"/>
            </w:tcBorders>
            <w:shd w:val="clear" w:color="000000" w:fill="FFFFFF"/>
          </w:tcPr>
          <w:p w14:paraId="2A8E0190"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961</w:t>
            </w:r>
          </w:p>
        </w:tc>
        <w:tc>
          <w:tcPr>
            <w:tcW w:w="1276" w:type="dxa"/>
            <w:tcBorders>
              <w:top w:val="nil"/>
              <w:left w:val="nil"/>
              <w:bottom w:val="single" w:sz="4" w:space="0" w:color="auto"/>
              <w:right w:val="single" w:sz="4" w:space="0" w:color="auto"/>
            </w:tcBorders>
            <w:shd w:val="clear" w:color="000000" w:fill="FFFFFF"/>
          </w:tcPr>
          <w:p w14:paraId="24DECB61"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97,00</w:t>
            </w:r>
          </w:p>
        </w:tc>
        <w:tc>
          <w:tcPr>
            <w:tcW w:w="1134" w:type="dxa"/>
            <w:tcBorders>
              <w:top w:val="nil"/>
              <w:left w:val="nil"/>
              <w:bottom w:val="single" w:sz="4" w:space="0" w:color="auto"/>
              <w:right w:val="single" w:sz="4" w:space="0" w:color="auto"/>
            </w:tcBorders>
            <w:shd w:val="clear" w:color="000000" w:fill="FFFFFF"/>
          </w:tcPr>
          <w:p w14:paraId="122D0874"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44,33</w:t>
            </w:r>
          </w:p>
        </w:tc>
        <w:tc>
          <w:tcPr>
            <w:tcW w:w="1418" w:type="dxa"/>
            <w:tcBorders>
              <w:top w:val="nil"/>
              <w:left w:val="nil"/>
              <w:bottom w:val="single" w:sz="4" w:space="0" w:color="auto"/>
              <w:right w:val="single" w:sz="8" w:space="0" w:color="auto"/>
            </w:tcBorders>
            <w:shd w:val="clear" w:color="000000" w:fill="FFFFFF"/>
          </w:tcPr>
          <w:p w14:paraId="64AA172A"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-55,67</w:t>
            </w:r>
          </w:p>
        </w:tc>
        <w:tc>
          <w:tcPr>
            <w:tcW w:w="992" w:type="dxa"/>
            <w:tcBorders>
              <w:top w:val="nil"/>
              <w:left w:val="nil"/>
              <w:bottom w:val="single" w:sz="4" w:space="0" w:color="auto"/>
              <w:right w:val="single" w:sz="4" w:space="0" w:color="auto"/>
            </w:tcBorders>
            <w:shd w:val="clear" w:color="auto" w:fill="auto"/>
            <w:noWrap/>
          </w:tcPr>
          <w:p w14:paraId="6C479BF8"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1688</w:t>
            </w:r>
          </w:p>
        </w:tc>
        <w:tc>
          <w:tcPr>
            <w:tcW w:w="992" w:type="dxa"/>
            <w:tcBorders>
              <w:top w:val="nil"/>
              <w:left w:val="nil"/>
              <w:bottom w:val="single" w:sz="4" w:space="0" w:color="auto"/>
              <w:right w:val="single" w:sz="4" w:space="0" w:color="auto"/>
            </w:tcBorders>
            <w:shd w:val="clear" w:color="auto" w:fill="auto"/>
            <w:noWrap/>
          </w:tcPr>
          <w:p w14:paraId="123760A6"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44,00</w:t>
            </w:r>
          </w:p>
        </w:tc>
        <w:tc>
          <w:tcPr>
            <w:tcW w:w="1418" w:type="dxa"/>
            <w:tcBorders>
              <w:top w:val="nil"/>
              <w:left w:val="nil"/>
              <w:bottom w:val="single" w:sz="4" w:space="0" w:color="auto"/>
              <w:right w:val="single" w:sz="4" w:space="0" w:color="auto"/>
            </w:tcBorders>
            <w:shd w:val="clear" w:color="auto" w:fill="auto"/>
            <w:noWrap/>
          </w:tcPr>
          <w:p w14:paraId="718374FA"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52,79</w:t>
            </w:r>
          </w:p>
        </w:tc>
        <w:tc>
          <w:tcPr>
            <w:tcW w:w="992" w:type="dxa"/>
            <w:tcBorders>
              <w:top w:val="nil"/>
              <w:left w:val="nil"/>
              <w:bottom w:val="single" w:sz="4" w:space="0" w:color="auto"/>
              <w:right w:val="single" w:sz="8" w:space="0" w:color="auto"/>
            </w:tcBorders>
            <w:shd w:val="clear" w:color="auto" w:fill="auto"/>
            <w:noWrap/>
          </w:tcPr>
          <w:p w14:paraId="5B2B8F42"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-47,21</w:t>
            </w:r>
          </w:p>
        </w:tc>
      </w:tr>
      <w:tr w:rsidR="00B16459" w:rsidRPr="004135FE" w14:paraId="4424A4EF" w14:textId="77777777" w:rsidTr="00B16459">
        <w:trPr>
          <w:trHeight w:val="315"/>
        </w:trPr>
        <w:tc>
          <w:tcPr>
            <w:tcW w:w="1134" w:type="dxa"/>
            <w:tcBorders>
              <w:top w:val="nil"/>
              <w:left w:val="single" w:sz="8" w:space="0" w:color="auto"/>
              <w:bottom w:val="single" w:sz="4" w:space="0" w:color="auto"/>
              <w:right w:val="nil"/>
            </w:tcBorders>
            <w:shd w:val="clear" w:color="auto" w:fill="auto"/>
            <w:noWrap/>
            <w:hideMark/>
          </w:tcPr>
          <w:p w14:paraId="42D5817E"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2014</w:t>
            </w:r>
          </w:p>
        </w:tc>
        <w:tc>
          <w:tcPr>
            <w:tcW w:w="851" w:type="dxa"/>
            <w:tcBorders>
              <w:top w:val="nil"/>
              <w:left w:val="single" w:sz="8" w:space="0" w:color="auto"/>
              <w:bottom w:val="single" w:sz="4" w:space="0" w:color="auto"/>
              <w:right w:val="single" w:sz="4" w:space="0" w:color="auto"/>
            </w:tcBorders>
            <w:shd w:val="clear" w:color="auto" w:fill="auto"/>
            <w:noWrap/>
          </w:tcPr>
          <w:p w14:paraId="13D596AB"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2683</w:t>
            </w:r>
          </w:p>
        </w:tc>
        <w:tc>
          <w:tcPr>
            <w:tcW w:w="1134" w:type="dxa"/>
            <w:tcBorders>
              <w:top w:val="nil"/>
              <w:left w:val="nil"/>
              <w:bottom w:val="single" w:sz="4" w:space="0" w:color="auto"/>
              <w:right w:val="single" w:sz="4" w:space="0" w:color="auto"/>
            </w:tcBorders>
            <w:shd w:val="clear" w:color="auto" w:fill="auto"/>
            <w:noWrap/>
          </w:tcPr>
          <w:p w14:paraId="0401D413"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34,00</w:t>
            </w:r>
          </w:p>
        </w:tc>
        <w:tc>
          <w:tcPr>
            <w:tcW w:w="1134" w:type="dxa"/>
            <w:tcBorders>
              <w:top w:val="nil"/>
              <w:left w:val="nil"/>
              <w:bottom w:val="single" w:sz="4" w:space="0" w:color="auto"/>
              <w:right w:val="single" w:sz="4" w:space="0" w:color="auto"/>
            </w:tcBorders>
            <w:shd w:val="clear" w:color="auto" w:fill="auto"/>
            <w:noWrap/>
          </w:tcPr>
          <w:p w14:paraId="553187FC"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52,32</w:t>
            </w:r>
          </w:p>
        </w:tc>
        <w:tc>
          <w:tcPr>
            <w:tcW w:w="1134" w:type="dxa"/>
            <w:tcBorders>
              <w:top w:val="nil"/>
              <w:left w:val="nil"/>
              <w:bottom w:val="single" w:sz="4" w:space="0" w:color="auto"/>
              <w:right w:val="single" w:sz="8" w:space="0" w:color="auto"/>
            </w:tcBorders>
            <w:shd w:val="clear" w:color="auto" w:fill="auto"/>
            <w:noWrap/>
          </w:tcPr>
          <w:p w14:paraId="683AB964"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-47,68</w:t>
            </w:r>
          </w:p>
        </w:tc>
        <w:tc>
          <w:tcPr>
            <w:tcW w:w="850" w:type="dxa"/>
            <w:tcBorders>
              <w:top w:val="nil"/>
              <w:left w:val="nil"/>
              <w:bottom w:val="single" w:sz="4" w:space="0" w:color="auto"/>
              <w:right w:val="single" w:sz="4" w:space="0" w:color="auto"/>
            </w:tcBorders>
            <w:shd w:val="clear" w:color="auto" w:fill="auto"/>
            <w:noWrap/>
          </w:tcPr>
          <w:p w14:paraId="2FE73248"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965</w:t>
            </w:r>
          </w:p>
        </w:tc>
        <w:tc>
          <w:tcPr>
            <w:tcW w:w="1276" w:type="dxa"/>
            <w:tcBorders>
              <w:top w:val="nil"/>
              <w:left w:val="nil"/>
              <w:bottom w:val="single" w:sz="4" w:space="0" w:color="auto"/>
              <w:right w:val="single" w:sz="4" w:space="0" w:color="auto"/>
            </w:tcBorders>
            <w:shd w:val="clear" w:color="000000" w:fill="FFFFFF"/>
          </w:tcPr>
          <w:p w14:paraId="5380BEC9"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4,00</w:t>
            </w:r>
          </w:p>
        </w:tc>
        <w:tc>
          <w:tcPr>
            <w:tcW w:w="1134" w:type="dxa"/>
            <w:tcBorders>
              <w:top w:val="nil"/>
              <w:left w:val="nil"/>
              <w:bottom w:val="single" w:sz="4" w:space="0" w:color="auto"/>
              <w:right w:val="single" w:sz="4" w:space="0" w:color="auto"/>
            </w:tcBorders>
            <w:shd w:val="clear" w:color="000000" w:fill="FFFFFF"/>
          </w:tcPr>
          <w:p w14:paraId="0D23FB91"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49,31</w:t>
            </w:r>
          </w:p>
        </w:tc>
        <w:tc>
          <w:tcPr>
            <w:tcW w:w="1418" w:type="dxa"/>
            <w:tcBorders>
              <w:top w:val="nil"/>
              <w:left w:val="nil"/>
              <w:bottom w:val="single" w:sz="4" w:space="0" w:color="auto"/>
              <w:right w:val="single" w:sz="8" w:space="0" w:color="auto"/>
            </w:tcBorders>
            <w:shd w:val="clear" w:color="000000" w:fill="FFFFFF"/>
          </w:tcPr>
          <w:p w14:paraId="38769549"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-50,69</w:t>
            </w:r>
          </w:p>
        </w:tc>
        <w:tc>
          <w:tcPr>
            <w:tcW w:w="992" w:type="dxa"/>
            <w:tcBorders>
              <w:top w:val="nil"/>
              <w:left w:val="nil"/>
              <w:bottom w:val="single" w:sz="4" w:space="0" w:color="auto"/>
              <w:right w:val="single" w:sz="4" w:space="0" w:color="auto"/>
            </w:tcBorders>
            <w:shd w:val="clear" w:color="auto" w:fill="auto"/>
            <w:noWrap/>
          </w:tcPr>
          <w:p w14:paraId="3849E06B"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1718</w:t>
            </w:r>
          </w:p>
        </w:tc>
        <w:tc>
          <w:tcPr>
            <w:tcW w:w="992" w:type="dxa"/>
            <w:tcBorders>
              <w:top w:val="nil"/>
              <w:left w:val="nil"/>
              <w:bottom w:val="single" w:sz="4" w:space="0" w:color="auto"/>
              <w:right w:val="single" w:sz="4" w:space="0" w:color="auto"/>
            </w:tcBorders>
            <w:shd w:val="clear" w:color="auto" w:fill="auto"/>
            <w:noWrap/>
          </w:tcPr>
          <w:p w14:paraId="05334CFB"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30,00</w:t>
            </w:r>
          </w:p>
        </w:tc>
        <w:tc>
          <w:tcPr>
            <w:tcW w:w="1418" w:type="dxa"/>
            <w:tcBorders>
              <w:top w:val="nil"/>
              <w:left w:val="nil"/>
              <w:bottom w:val="single" w:sz="4" w:space="0" w:color="auto"/>
              <w:right w:val="single" w:sz="4" w:space="0" w:color="auto"/>
            </w:tcBorders>
            <w:shd w:val="clear" w:color="auto" w:fill="auto"/>
            <w:noWrap/>
          </w:tcPr>
          <w:p w14:paraId="1C1CE013"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54,21</w:t>
            </w:r>
          </w:p>
        </w:tc>
        <w:tc>
          <w:tcPr>
            <w:tcW w:w="992" w:type="dxa"/>
            <w:tcBorders>
              <w:top w:val="nil"/>
              <w:left w:val="nil"/>
              <w:bottom w:val="single" w:sz="4" w:space="0" w:color="auto"/>
              <w:right w:val="single" w:sz="8" w:space="0" w:color="auto"/>
            </w:tcBorders>
            <w:shd w:val="clear" w:color="auto" w:fill="auto"/>
            <w:noWrap/>
          </w:tcPr>
          <w:p w14:paraId="1ACCF6CC"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-45,79</w:t>
            </w:r>
          </w:p>
        </w:tc>
      </w:tr>
      <w:tr w:rsidR="00B16459" w:rsidRPr="004135FE" w14:paraId="25B4349C" w14:textId="77777777" w:rsidTr="00B16459">
        <w:trPr>
          <w:trHeight w:val="315"/>
        </w:trPr>
        <w:tc>
          <w:tcPr>
            <w:tcW w:w="1134" w:type="dxa"/>
            <w:tcBorders>
              <w:top w:val="nil"/>
              <w:left w:val="single" w:sz="8" w:space="0" w:color="auto"/>
              <w:bottom w:val="single" w:sz="4" w:space="0" w:color="auto"/>
              <w:right w:val="nil"/>
            </w:tcBorders>
            <w:shd w:val="clear" w:color="auto" w:fill="auto"/>
            <w:noWrap/>
            <w:hideMark/>
          </w:tcPr>
          <w:p w14:paraId="4CD840D6"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2015</w:t>
            </w:r>
          </w:p>
        </w:tc>
        <w:tc>
          <w:tcPr>
            <w:tcW w:w="851" w:type="dxa"/>
            <w:tcBorders>
              <w:top w:val="nil"/>
              <w:left w:val="single" w:sz="8" w:space="0" w:color="auto"/>
              <w:bottom w:val="single" w:sz="4" w:space="0" w:color="auto"/>
              <w:right w:val="single" w:sz="4" w:space="0" w:color="auto"/>
            </w:tcBorders>
            <w:shd w:val="clear" w:color="000000" w:fill="FFFFFF"/>
          </w:tcPr>
          <w:p w14:paraId="1F3C2DAE"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2760</w:t>
            </w:r>
          </w:p>
        </w:tc>
        <w:tc>
          <w:tcPr>
            <w:tcW w:w="1134" w:type="dxa"/>
            <w:tcBorders>
              <w:top w:val="nil"/>
              <w:left w:val="nil"/>
              <w:bottom w:val="single" w:sz="4" w:space="0" w:color="auto"/>
              <w:right w:val="single" w:sz="4" w:space="0" w:color="auto"/>
            </w:tcBorders>
            <w:shd w:val="clear" w:color="auto" w:fill="auto"/>
            <w:noWrap/>
          </w:tcPr>
          <w:p w14:paraId="62B1412E"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77,00</w:t>
            </w:r>
          </w:p>
        </w:tc>
        <w:tc>
          <w:tcPr>
            <w:tcW w:w="1134" w:type="dxa"/>
            <w:tcBorders>
              <w:top w:val="nil"/>
              <w:left w:val="nil"/>
              <w:bottom w:val="single" w:sz="4" w:space="0" w:color="auto"/>
              <w:right w:val="single" w:sz="4" w:space="0" w:color="auto"/>
            </w:tcBorders>
            <w:shd w:val="clear" w:color="auto" w:fill="auto"/>
            <w:noWrap/>
          </w:tcPr>
          <w:p w14:paraId="451E5ACD"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52,99</w:t>
            </w:r>
          </w:p>
        </w:tc>
        <w:tc>
          <w:tcPr>
            <w:tcW w:w="1134" w:type="dxa"/>
            <w:tcBorders>
              <w:top w:val="nil"/>
              <w:left w:val="nil"/>
              <w:bottom w:val="single" w:sz="4" w:space="0" w:color="auto"/>
              <w:right w:val="single" w:sz="8" w:space="0" w:color="auto"/>
            </w:tcBorders>
            <w:shd w:val="clear" w:color="auto" w:fill="auto"/>
            <w:noWrap/>
          </w:tcPr>
          <w:p w14:paraId="388E4330"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-47,01</w:t>
            </w:r>
          </w:p>
        </w:tc>
        <w:tc>
          <w:tcPr>
            <w:tcW w:w="850" w:type="dxa"/>
            <w:tcBorders>
              <w:top w:val="nil"/>
              <w:left w:val="nil"/>
              <w:bottom w:val="single" w:sz="4" w:space="0" w:color="auto"/>
              <w:right w:val="single" w:sz="4" w:space="0" w:color="auto"/>
            </w:tcBorders>
            <w:shd w:val="clear" w:color="000000" w:fill="FFFFFF"/>
          </w:tcPr>
          <w:p w14:paraId="44B464AD"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996</w:t>
            </w:r>
          </w:p>
        </w:tc>
        <w:tc>
          <w:tcPr>
            <w:tcW w:w="1276" w:type="dxa"/>
            <w:tcBorders>
              <w:top w:val="nil"/>
              <w:left w:val="nil"/>
              <w:bottom w:val="single" w:sz="4" w:space="0" w:color="auto"/>
              <w:right w:val="single" w:sz="4" w:space="0" w:color="auto"/>
            </w:tcBorders>
            <w:shd w:val="clear" w:color="000000" w:fill="FFFFFF"/>
          </w:tcPr>
          <w:p w14:paraId="57870B53"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31,00</w:t>
            </w:r>
          </w:p>
        </w:tc>
        <w:tc>
          <w:tcPr>
            <w:tcW w:w="1134" w:type="dxa"/>
            <w:tcBorders>
              <w:top w:val="nil"/>
              <w:left w:val="nil"/>
              <w:bottom w:val="single" w:sz="4" w:space="0" w:color="auto"/>
              <w:right w:val="single" w:sz="4" w:space="0" w:color="auto"/>
            </w:tcBorders>
            <w:shd w:val="clear" w:color="000000" w:fill="FFFFFF"/>
          </w:tcPr>
          <w:p w14:paraId="72CA5E1E"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49,51</w:t>
            </w:r>
          </w:p>
        </w:tc>
        <w:tc>
          <w:tcPr>
            <w:tcW w:w="1418" w:type="dxa"/>
            <w:tcBorders>
              <w:top w:val="nil"/>
              <w:left w:val="nil"/>
              <w:bottom w:val="single" w:sz="4" w:space="0" w:color="auto"/>
              <w:right w:val="single" w:sz="8" w:space="0" w:color="auto"/>
            </w:tcBorders>
            <w:shd w:val="clear" w:color="000000" w:fill="FFFFFF"/>
          </w:tcPr>
          <w:p w14:paraId="5889A579"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-50,49</w:t>
            </w:r>
          </w:p>
        </w:tc>
        <w:tc>
          <w:tcPr>
            <w:tcW w:w="992" w:type="dxa"/>
            <w:tcBorders>
              <w:top w:val="nil"/>
              <w:left w:val="nil"/>
              <w:bottom w:val="single" w:sz="4" w:space="0" w:color="auto"/>
              <w:right w:val="single" w:sz="4" w:space="0" w:color="auto"/>
            </w:tcBorders>
            <w:shd w:val="clear" w:color="auto" w:fill="auto"/>
            <w:noWrap/>
          </w:tcPr>
          <w:p w14:paraId="339E0779"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1764</w:t>
            </w:r>
          </w:p>
        </w:tc>
        <w:tc>
          <w:tcPr>
            <w:tcW w:w="992" w:type="dxa"/>
            <w:tcBorders>
              <w:top w:val="nil"/>
              <w:left w:val="nil"/>
              <w:bottom w:val="single" w:sz="4" w:space="0" w:color="auto"/>
              <w:right w:val="single" w:sz="4" w:space="0" w:color="auto"/>
            </w:tcBorders>
            <w:shd w:val="clear" w:color="auto" w:fill="auto"/>
            <w:noWrap/>
          </w:tcPr>
          <w:p w14:paraId="509171BE"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46,00</w:t>
            </w:r>
          </w:p>
        </w:tc>
        <w:tc>
          <w:tcPr>
            <w:tcW w:w="1418" w:type="dxa"/>
            <w:tcBorders>
              <w:top w:val="nil"/>
              <w:left w:val="nil"/>
              <w:bottom w:val="single" w:sz="4" w:space="0" w:color="auto"/>
              <w:right w:val="single" w:sz="4" w:space="0" w:color="auto"/>
            </w:tcBorders>
            <w:shd w:val="clear" w:color="auto" w:fill="auto"/>
            <w:noWrap/>
          </w:tcPr>
          <w:p w14:paraId="76C5561E"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55,17</w:t>
            </w:r>
          </w:p>
        </w:tc>
        <w:tc>
          <w:tcPr>
            <w:tcW w:w="992" w:type="dxa"/>
            <w:tcBorders>
              <w:top w:val="nil"/>
              <w:left w:val="nil"/>
              <w:bottom w:val="single" w:sz="4" w:space="0" w:color="auto"/>
              <w:right w:val="single" w:sz="8" w:space="0" w:color="auto"/>
            </w:tcBorders>
            <w:shd w:val="clear" w:color="auto" w:fill="auto"/>
            <w:noWrap/>
          </w:tcPr>
          <w:p w14:paraId="0B85C3C6"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-44,83</w:t>
            </w:r>
          </w:p>
        </w:tc>
      </w:tr>
      <w:tr w:rsidR="00B16459" w:rsidRPr="004135FE" w14:paraId="0E717993" w14:textId="77777777" w:rsidTr="00B16459">
        <w:trPr>
          <w:trHeight w:val="315"/>
        </w:trPr>
        <w:tc>
          <w:tcPr>
            <w:tcW w:w="1134" w:type="dxa"/>
            <w:tcBorders>
              <w:top w:val="nil"/>
              <w:left w:val="single" w:sz="8" w:space="0" w:color="auto"/>
              <w:bottom w:val="single" w:sz="4" w:space="0" w:color="auto"/>
              <w:right w:val="nil"/>
            </w:tcBorders>
            <w:shd w:val="clear" w:color="auto" w:fill="auto"/>
            <w:noWrap/>
            <w:hideMark/>
          </w:tcPr>
          <w:p w14:paraId="0D53088F"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2016</w:t>
            </w:r>
          </w:p>
        </w:tc>
        <w:tc>
          <w:tcPr>
            <w:tcW w:w="851" w:type="dxa"/>
            <w:tcBorders>
              <w:top w:val="nil"/>
              <w:left w:val="single" w:sz="8" w:space="0" w:color="auto"/>
              <w:bottom w:val="single" w:sz="4" w:space="0" w:color="auto"/>
              <w:right w:val="single" w:sz="4" w:space="0" w:color="auto"/>
            </w:tcBorders>
            <w:shd w:val="clear" w:color="000000" w:fill="FFFFFF"/>
          </w:tcPr>
          <w:p w14:paraId="457C1F27"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3323</w:t>
            </w:r>
          </w:p>
        </w:tc>
        <w:tc>
          <w:tcPr>
            <w:tcW w:w="1134" w:type="dxa"/>
            <w:tcBorders>
              <w:top w:val="nil"/>
              <w:left w:val="nil"/>
              <w:bottom w:val="single" w:sz="4" w:space="0" w:color="auto"/>
              <w:right w:val="single" w:sz="4" w:space="0" w:color="auto"/>
            </w:tcBorders>
            <w:shd w:val="clear" w:color="auto" w:fill="auto"/>
            <w:noWrap/>
          </w:tcPr>
          <w:p w14:paraId="45C406C4"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563,00</w:t>
            </w:r>
          </w:p>
        </w:tc>
        <w:tc>
          <w:tcPr>
            <w:tcW w:w="1134" w:type="dxa"/>
            <w:tcBorders>
              <w:top w:val="nil"/>
              <w:left w:val="nil"/>
              <w:bottom w:val="single" w:sz="4" w:space="0" w:color="auto"/>
              <w:right w:val="single" w:sz="4" w:space="0" w:color="auto"/>
            </w:tcBorders>
            <w:shd w:val="clear" w:color="auto" w:fill="auto"/>
            <w:noWrap/>
          </w:tcPr>
          <w:p w14:paraId="0C4460C0"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54,51</w:t>
            </w:r>
          </w:p>
        </w:tc>
        <w:tc>
          <w:tcPr>
            <w:tcW w:w="1134" w:type="dxa"/>
            <w:tcBorders>
              <w:top w:val="nil"/>
              <w:left w:val="nil"/>
              <w:bottom w:val="single" w:sz="4" w:space="0" w:color="auto"/>
              <w:right w:val="single" w:sz="8" w:space="0" w:color="auto"/>
            </w:tcBorders>
            <w:shd w:val="clear" w:color="auto" w:fill="auto"/>
            <w:noWrap/>
          </w:tcPr>
          <w:p w14:paraId="36406D88"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-45,49</w:t>
            </w:r>
          </w:p>
        </w:tc>
        <w:tc>
          <w:tcPr>
            <w:tcW w:w="850" w:type="dxa"/>
            <w:tcBorders>
              <w:top w:val="nil"/>
              <w:left w:val="nil"/>
              <w:bottom w:val="single" w:sz="4" w:space="0" w:color="auto"/>
              <w:right w:val="single" w:sz="4" w:space="0" w:color="auto"/>
            </w:tcBorders>
            <w:shd w:val="clear" w:color="auto" w:fill="auto"/>
            <w:noWrap/>
          </w:tcPr>
          <w:p w14:paraId="60B6D4B1"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1284</w:t>
            </w:r>
          </w:p>
        </w:tc>
        <w:tc>
          <w:tcPr>
            <w:tcW w:w="1276" w:type="dxa"/>
            <w:tcBorders>
              <w:top w:val="nil"/>
              <w:left w:val="nil"/>
              <w:bottom w:val="single" w:sz="4" w:space="0" w:color="auto"/>
              <w:right w:val="single" w:sz="4" w:space="0" w:color="auto"/>
            </w:tcBorders>
            <w:shd w:val="clear" w:color="000000" w:fill="FFFFFF"/>
          </w:tcPr>
          <w:p w14:paraId="610A85C8"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288,00</w:t>
            </w:r>
          </w:p>
        </w:tc>
        <w:tc>
          <w:tcPr>
            <w:tcW w:w="1134" w:type="dxa"/>
            <w:tcBorders>
              <w:top w:val="nil"/>
              <w:left w:val="nil"/>
              <w:bottom w:val="single" w:sz="4" w:space="0" w:color="auto"/>
              <w:right w:val="single" w:sz="4" w:space="0" w:color="auto"/>
            </w:tcBorders>
            <w:shd w:val="clear" w:color="000000" w:fill="FFFFFF"/>
          </w:tcPr>
          <w:p w14:paraId="6BBB30AE"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51,10</w:t>
            </w:r>
          </w:p>
        </w:tc>
        <w:tc>
          <w:tcPr>
            <w:tcW w:w="1418" w:type="dxa"/>
            <w:tcBorders>
              <w:top w:val="nil"/>
              <w:left w:val="nil"/>
              <w:bottom w:val="single" w:sz="4" w:space="0" w:color="auto"/>
              <w:right w:val="single" w:sz="8" w:space="0" w:color="auto"/>
            </w:tcBorders>
            <w:shd w:val="clear" w:color="000000" w:fill="FFFFFF"/>
          </w:tcPr>
          <w:p w14:paraId="07477A0D"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-48,90</w:t>
            </w:r>
          </w:p>
        </w:tc>
        <w:tc>
          <w:tcPr>
            <w:tcW w:w="992" w:type="dxa"/>
            <w:tcBorders>
              <w:top w:val="nil"/>
              <w:left w:val="nil"/>
              <w:bottom w:val="single" w:sz="4" w:space="0" w:color="auto"/>
              <w:right w:val="single" w:sz="4" w:space="0" w:color="auto"/>
            </w:tcBorders>
            <w:shd w:val="clear" w:color="auto" w:fill="auto"/>
            <w:noWrap/>
          </w:tcPr>
          <w:p w14:paraId="5C21FB7E"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2039</w:t>
            </w:r>
          </w:p>
        </w:tc>
        <w:tc>
          <w:tcPr>
            <w:tcW w:w="992" w:type="dxa"/>
            <w:tcBorders>
              <w:top w:val="nil"/>
              <w:left w:val="nil"/>
              <w:bottom w:val="single" w:sz="4" w:space="0" w:color="auto"/>
              <w:right w:val="single" w:sz="4" w:space="0" w:color="auto"/>
            </w:tcBorders>
            <w:shd w:val="clear" w:color="auto" w:fill="auto"/>
            <w:noWrap/>
          </w:tcPr>
          <w:p w14:paraId="1EBA0883"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275,00</w:t>
            </w:r>
          </w:p>
        </w:tc>
        <w:tc>
          <w:tcPr>
            <w:tcW w:w="1418" w:type="dxa"/>
            <w:tcBorders>
              <w:top w:val="nil"/>
              <w:left w:val="nil"/>
              <w:bottom w:val="single" w:sz="4" w:space="0" w:color="auto"/>
              <w:right w:val="single" w:sz="4" w:space="0" w:color="auto"/>
            </w:tcBorders>
            <w:shd w:val="clear" w:color="auto" w:fill="auto"/>
            <w:noWrap/>
          </w:tcPr>
          <w:p w14:paraId="61E5471B"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56,65</w:t>
            </w:r>
          </w:p>
        </w:tc>
        <w:tc>
          <w:tcPr>
            <w:tcW w:w="992" w:type="dxa"/>
            <w:tcBorders>
              <w:top w:val="nil"/>
              <w:left w:val="nil"/>
              <w:bottom w:val="single" w:sz="4" w:space="0" w:color="auto"/>
              <w:right w:val="single" w:sz="8" w:space="0" w:color="auto"/>
            </w:tcBorders>
            <w:shd w:val="clear" w:color="auto" w:fill="auto"/>
            <w:noWrap/>
          </w:tcPr>
          <w:p w14:paraId="33E5B585"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-43,35</w:t>
            </w:r>
          </w:p>
        </w:tc>
      </w:tr>
      <w:tr w:rsidR="00B16459" w:rsidRPr="004135FE" w14:paraId="7D830671" w14:textId="77777777" w:rsidTr="00B16459">
        <w:trPr>
          <w:trHeight w:val="315"/>
        </w:trPr>
        <w:tc>
          <w:tcPr>
            <w:tcW w:w="1134" w:type="dxa"/>
            <w:tcBorders>
              <w:top w:val="nil"/>
              <w:left w:val="single" w:sz="8" w:space="0" w:color="auto"/>
              <w:bottom w:val="single" w:sz="4" w:space="0" w:color="auto"/>
              <w:right w:val="nil"/>
            </w:tcBorders>
            <w:shd w:val="clear" w:color="auto" w:fill="auto"/>
            <w:noWrap/>
            <w:hideMark/>
          </w:tcPr>
          <w:p w14:paraId="3251B01B"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2017</w:t>
            </w:r>
          </w:p>
        </w:tc>
        <w:tc>
          <w:tcPr>
            <w:tcW w:w="851" w:type="dxa"/>
            <w:tcBorders>
              <w:top w:val="nil"/>
              <w:left w:val="single" w:sz="8" w:space="0" w:color="auto"/>
              <w:bottom w:val="single" w:sz="4" w:space="0" w:color="auto"/>
              <w:right w:val="single" w:sz="4" w:space="0" w:color="auto"/>
            </w:tcBorders>
            <w:shd w:val="clear" w:color="auto" w:fill="auto"/>
            <w:noWrap/>
          </w:tcPr>
          <w:p w14:paraId="02DDBC07"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3678</w:t>
            </w:r>
          </w:p>
        </w:tc>
        <w:tc>
          <w:tcPr>
            <w:tcW w:w="1134" w:type="dxa"/>
            <w:tcBorders>
              <w:top w:val="nil"/>
              <w:left w:val="nil"/>
              <w:bottom w:val="single" w:sz="4" w:space="0" w:color="auto"/>
              <w:right w:val="single" w:sz="4" w:space="0" w:color="auto"/>
            </w:tcBorders>
            <w:shd w:val="clear" w:color="auto" w:fill="auto"/>
            <w:noWrap/>
          </w:tcPr>
          <w:p w14:paraId="0F82FF36"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355,00</w:t>
            </w:r>
          </w:p>
        </w:tc>
        <w:tc>
          <w:tcPr>
            <w:tcW w:w="1134" w:type="dxa"/>
            <w:tcBorders>
              <w:top w:val="nil"/>
              <w:left w:val="nil"/>
              <w:bottom w:val="single" w:sz="4" w:space="0" w:color="auto"/>
              <w:right w:val="single" w:sz="4" w:space="0" w:color="auto"/>
            </w:tcBorders>
            <w:shd w:val="clear" w:color="auto" w:fill="auto"/>
            <w:noWrap/>
          </w:tcPr>
          <w:p w14:paraId="2F85639B"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65,63</w:t>
            </w:r>
          </w:p>
        </w:tc>
        <w:tc>
          <w:tcPr>
            <w:tcW w:w="1134" w:type="dxa"/>
            <w:tcBorders>
              <w:top w:val="nil"/>
              <w:left w:val="nil"/>
              <w:bottom w:val="single" w:sz="4" w:space="0" w:color="auto"/>
              <w:right w:val="single" w:sz="8" w:space="0" w:color="auto"/>
            </w:tcBorders>
            <w:shd w:val="clear" w:color="auto" w:fill="auto"/>
            <w:noWrap/>
          </w:tcPr>
          <w:p w14:paraId="2B4B0980"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-34,37</w:t>
            </w:r>
          </w:p>
        </w:tc>
        <w:tc>
          <w:tcPr>
            <w:tcW w:w="850" w:type="dxa"/>
            <w:tcBorders>
              <w:top w:val="nil"/>
              <w:left w:val="nil"/>
              <w:bottom w:val="single" w:sz="4" w:space="0" w:color="auto"/>
              <w:right w:val="single" w:sz="4" w:space="0" w:color="auto"/>
            </w:tcBorders>
            <w:shd w:val="clear" w:color="000000" w:fill="FFFFFF"/>
          </w:tcPr>
          <w:p w14:paraId="78B84552"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1438</w:t>
            </w:r>
          </w:p>
        </w:tc>
        <w:tc>
          <w:tcPr>
            <w:tcW w:w="1276" w:type="dxa"/>
            <w:tcBorders>
              <w:top w:val="nil"/>
              <w:left w:val="nil"/>
              <w:bottom w:val="single" w:sz="4" w:space="0" w:color="auto"/>
              <w:right w:val="single" w:sz="4" w:space="0" w:color="auto"/>
            </w:tcBorders>
            <w:shd w:val="clear" w:color="000000" w:fill="FFFFFF"/>
          </w:tcPr>
          <w:p w14:paraId="5048421D"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154,00</w:t>
            </w:r>
          </w:p>
        </w:tc>
        <w:tc>
          <w:tcPr>
            <w:tcW w:w="1134" w:type="dxa"/>
            <w:tcBorders>
              <w:top w:val="nil"/>
              <w:left w:val="nil"/>
              <w:bottom w:val="single" w:sz="4" w:space="0" w:color="auto"/>
              <w:right w:val="single" w:sz="4" w:space="0" w:color="auto"/>
            </w:tcBorders>
            <w:shd w:val="clear" w:color="000000" w:fill="FFFFFF"/>
          </w:tcPr>
          <w:p w14:paraId="7F1D3EF4"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65,88</w:t>
            </w:r>
          </w:p>
        </w:tc>
        <w:tc>
          <w:tcPr>
            <w:tcW w:w="1418" w:type="dxa"/>
            <w:tcBorders>
              <w:top w:val="nil"/>
              <w:left w:val="nil"/>
              <w:bottom w:val="single" w:sz="4" w:space="0" w:color="auto"/>
              <w:right w:val="single" w:sz="8" w:space="0" w:color="auto"/>
            </w:tcBorders>
            <w:shd w:val="clear" w:color="000000" w:fill="FFFFFF"/>
          </w:tcPr>
          <w:p w14:paraId="2005107A"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-34,12</w:t>
            </w:r>
          </w:p>
        </w:tc>
        <w:tc>
          <w:tcPr>
            <w:tcW w:w="992" w:type="dxa"/>
            <w:tcBorders>
              <w:top w:val="nil"/>
              <w:left w:val="nil"/>
              <w:bottom w:val="single" w:sz="4" w:space="0" w:color="auto"/>
              <w:right w:val="single" w:sz="4" w:space="0" w:color="auto"/>
            </w:tcBorders>
            <w:shd w:val="clear" w:color="auto" w:fill="auto"/>
            <w:noWrap/>
          </w:tcPr>
          <w:p w14:paraId="7D55D948"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2240</w:t>
            </w:r>
          </w:p>
        </w:tc>
        <w:tc>
          <w:tcPr>
            <w:tcW w:w="992" w:type="dxa"/>
            <w:tcBorders>
              <w:top w:val="nil"/>
              <w:left w:val="nil"/>
              <w:bottom w:val="single" w:sz="4" w:space="0" w:color="auto"/>
              <w:right w:val="single" w:sz="4" w:space="0" w:color="auto"/>
            </w:tcBorders>
            <w:shd w:val="clear" w:color="auto" w:fill="auto"/>
            <w:noWrap/>
          </w:tcPr>
          <w:p w14:paraId="617D8B80"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201,00</w:t>
            </w:r>
          </w:p>
        </w:tc>
        <w:tc>
          <w:tcPr>
            <w:tcW w:w="1418" w:type="dxa"/>
            <w:tcBorders>
              <w:top w:val="nil"/>
              <w:left w:val="nil"/>
              <w:bottom w:val="single" w:sz="4" w:space="0" w:color="auto"/>
              <w:right w:val="single" w:sz="4" w:space="0" w:color="auto"/>
            </w:tcBorders>
            <w:shd w:val="clear" w:color="auto" w:fill="auto"/>
            <w:noWrap/>
          </w:tcPr>
          <w:p w14:paraId="285DA084"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65,48</w:t>
            </w:r>
          </w:p>
        </w:tc>
        <w:tc>
          <w:tcPr>
            <w:tcW w:w="992" w:type="dxa"/>
            <w:tcBorders>
              <w:top w:val="nil"/>
              <w:left w:val="nil"/>
              <w:bottom w:val="single" w:sz="4" w:space="0" w:color="auto"/>
              <w:right w:val="single" w:sz="8" w:space="0" w:color="auto"/>
            </w:tcBorders>
            <w:shd w:val="clear" w:color="auto" w:fill="auto"/>
            <w:noWrap/>
          </w:tcPr>
          <w:p w14:paraId="2AE3BAD3"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-34,52</w:t>
            </w:r>
          </w:p>
        </w:tc>
      </w:tr>
      <w:tr w:rsidR="00B16459" w:rsidRPr="004135FE" w14:paraId="66B079EB" w14:textId="77777777" w:rsidTr="00B16459">
        <w:trPr>
          <w:trHeight w:val="315"/>
        </w:trPr>
        <w:tc>
          <w:tcPr>
            <w:tcW w:w="1134" w:type="dxa"/>
            <w:tcBorders>
              <w:top w:val="nil"/>
              <w:left w:val="single" w:sz="8" w:space="0" w:color="auto"/>
              <w:bottom w:val="single" w:sz="4" w:space="0" w:color="auto"/>
              <w:right w:val="nil"/>
            </w:tcBorders>
            <w:shd w:val="clear" w:color="auto" w:fill="auto"/>
            <w:noWrap/>
            <w:hideMark/>
          </w:tcPr>
          <w:p w14:paraId="269B1C6E"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2018</w:t>
            </w:r>
          </w:p>
        </w:tc>
        <w:tc>
          <w:tcPr>
            <w:tcW w:w="851" w:type="dxa"/>
            <w:tcBorders>
              <w:top w:val="nil"/>
              <w:left w:val="single" w:sz="8" w:space="0" w:color="auto"/>
              <w:bottom w:val="single" w:sz="4" w:space="0" w:color="auto"/>
              <w:right w:val="single" w:sz="4" w:space="0" w:color="auto"/>
            </w:tcBorders>
            <w:shd w:val="clear" w:color="000000" w:fill="FFFFFF"/>
          </w:tcPr>
          <w:p w14:paraId="279E79B6"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3935</w:t>
            </w:r>
          </w:p>
        </w:tc>
        <w:tc>
          <w:tcPr>
            <w:tcW w:w="1134" w:type="dxa"/>
            <w:tcBorders>
              <w:top w:val="nil"/>
              <w:left w:val="nil"/>
              <w:bottom w:val="single" w:sz="4" w:space="0" w:color="auto"/>
              <w:right w:val="single" w:sz="4" w:space="0" w:color="auto"/>
            </w:tcBorders>
            <w:shd w:val="clear" w:color="auto" w:fill="auto"/>
            <w:noWrap/>
          </w:tcPr>
          <w:p w14:paraId="05AFF51E"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257,00</w:t>
            </w:r>
          </w:p>
        </w:tc>
        <w:tc>
          <w:tcPr>
            <w:tcW w:w="1134" w:type="dxa"/>
            <w:tcBorders>
              <w:top w:val="nil"/>
              <w:left w:val="nil"/>
              <w:bottom w:val="single" w:sz="4" w:space="0" w:color="auto"/>
              <w:right w:val="single" w:sz="4" w:space="0" w:color="auto"/>
            </w:tcBorders>
            <w:shd w:val="clear" w:color="auto" w:fill="auto"/>
            <w:noWrap/>
          </w:tcPr>
          <w:p w14:paraId="4A5B23A4"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72,64</w:t>
            </w:r>
          </w:p>
        </w:tc>
        <w:tc>
          <w:tcPr>
            <w:tcW w:w="1134" w:type="dxa"/>
            <w:tcBorders>
              <w:top w:val="nil"/>
              <w:left w:val="nil"/>
              <w:bottom w:val="single" w:sz="4" w:space="0" w:color="auto"/>
              <w:right w:val="single" w:sz="8" w:space="0" w:color="auto"/>
            </w:tcBorders>
            <w:shd w:val="clear" w:color="auto" w:fill="auto"/>
            <w:noWrap/>
          </w:tcPr>
          <w:p w14:paraId="257316B5"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-27,36</w:t>
            </w:r>
          </w:p>
        </w:tc>
        <w:tc>
          <w:tcPr>
            <w:tcW w:w="850" w:type="dxa"/>
            <w:tcBorders>
              <w:top w:val="nil"/>
              <w:left w:val="nil"/>
              <w:bottom w:val="single" w:sz="4" w:space="0" w:color="auto"/>
              <w:right w:val="single" w:sz="4" w:space="0" w:color="auto"/>
            </w:tcBorders>
            <w:shd w:val="clear" w:color="000000" w:fill="FFFFFF"/>
          </w:tcPr>
          <w:p w14:paraId="4B3AE636"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1439</w:t>
            </w:r>
          </w:p>
        </w:tc>
        <w:tc>
          <w:tcPr>
            <w:tcW w:w="1276" w:type="dxa"/>
            <w:tcBorders>
              <w:top w:val="nil"/>
              <w:left w:val="nil"/>
              <w:bottom w:val="single" w:sz="4" w:space="0" w:color="auto"/>
              <w:right w:val="single" w:sz="4" w:space="0" w:color="auto"/>
            </w:tcBorders>
            <w:shd w:val="clear" w:color="000000" w:fill="FFFFFF"/>
          </w:tcPr>
          <w:p w14:paraId="2D9E71E5"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1,00</w:t>
            </w:r>
          </w:p>
        </w:tc>
        <w:tc>
          <w:tcPr>
            <w:tcW w:w="1134" w:type="dxa"/>
            <w:tcBorders>
              <w:top w:val="nil"/>
              <w:left w:val="nil"/>
              <w:bottom w:val="single" w:sz="4" w:space="0" w:color="auto"/>
              <w:right w:val="single" w:sz="4" w:space="0" w:color="auto"/>
            </w:tcBorders>
            <w:shd w:val="clear" w:color="000000" w:fill="FFFFFF"/>
          </w:tcPr>
          <w:p w14:paraId="32843496"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73,78</w:t>
            </w:r>
          </w:p>
        </w:tc>
        <w:tc>
          <w:tcPr>
            <w:tcW w:w="1418" w:type="dxa"/>
            <w:tcBorders>
              <w:top w:val="nil"/>
              <w:left w:val="nil"/>
              <w:bottom w:val="single" w:sz="4" w:space="0" w:color="auto"/>
              <w:right w:val="single" w:sz="8" w:space="0" w:color="auto"/>
            </w:tcBorders>
            <w:shd w:val="clear" w:color="000000" w:fill="FFFFFF"/>
          </w:tcPr>
          <w:p w14:paraId="14E22288"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-26,22</w:t>
            </w:r>
          </w:p>
        </w:tc>
        <w:tc>
          <w:tcPr>
            <w:tcW w:w="992" w:type="dxa"/>
            <w:tcBorders>
              <w:top w:val="nil"/>
              <w:left w:val="nil"/>
              <w:bottom w:val="single" w:sz="4" w:space="0" w:color="auto"/>
              <w:right w:val="single" w:sz="4" w:space="0" w:color="auto"/>
            </w:tcBorders>
            <w:shd w:val="clear" w:color="auto" w:fill="auto"/>
            <w:noWrap/>
          </w:tcPr>
          <w:p w14:paraId="42536C2F"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2496</w:t>
            </w:r>
          </w:p>
        </w:tc>
        <w:tc>
          <w:tcPr>
            <w:tcW w:w="992" w:type="dxa"/>
            <w:tcBorders>
              <w:top w:val="nil"/>
              <w:left w:val="nil"/>
              <w:bottom w:val="single" w:sz="4" w:space="0" w:color="auto"/>
              <w:right w:val="single" w:sz="4" w:space="0" w:color="auto"/>
            </w:tcBorders>
            <w:shd w:val="clear" w:color="auto" w:fill="auto"/>
            <w:noWrap/>
          </w:tcPr>
          <w:p w14:paraId="156A2A6F"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256,00</w:t>
            </w:r>
          </w:p>
        </w:tc>
        <w:tc>
          <w:tcPr>
            <w:tcW w:w="1418" w:type="dxa"/>
            <w:tcBorders>
              <w:top w:val="nil"/>
              <w:left w:val="nil"/>
              <w:bottom w:val="single" w:sz="4" w:space="0" w:color="auto"/>
              <w:right w:val="single" w:sz="4" w:space="0" w:color="auto"/>
            </w:tcBorders>
            <w:shd w:val="clear" w:color="auto" w:fill="auto"/>
            <w:noWrap/>
          </w:tcPr>
          <w:p w14:paraId="24EA9242"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71,93</w:t>
            </w:r>
          </w:p>
        </w:tc>
        <w:tc>
          <w:tcPr>
            <w:tcW w:w="992" w:type="dxa"/>
            <w:tcBorders>
              <w:top w:val="nil"/>
              <w:left w:val="nil"/>
              <w:bottom w:val="single" w:sz="4" w:space="0" w:color="auto"/>
              <w:right w:val="single" w:sz="8" w:space="0" w:color="auto"/>
            </w:tcBorders>
            <w:shd w:val="clear" w:color="auto" w:fill="auto"/>
            <w:noWrap/>
          </w:tcPr>
          <w:p w14:paraId="55F9AEB7"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-28,07</w:t>
            </w:r>
          </w:p>
        </w:tc>
      </w:tr>
      <w:tr w:rsidR="00B16459" w:rsidRPr="004135FE" w14:paraId="074A8553" w14:textId="77777777" w:rsidTr="00B16459">
        <w:trPr>
          <w:trHeight w:val="315"/>
        </w:trPr>
        <w:tc>
          <w:tcPr>
            <w:tcW w:w="1134" w:type="dxa"/>
            <w:tcBorders>
              <w:top w:val="nil"/>
              <w:left w:val="single" w:sz="8" w:space="0" w:color="auto"/>
              <w:bottom w:val="single" w:sz="8" w:space="0" w:color="auto"/>
              <w:right w:val="nil"/>
            </w:tcBorders>
            <w:shd w:val="clear" w:color="auto" w:fill="auto"/>
            <w:noWrap/>
            <w:hideMark/>
          </w:tcPr>
          <w:p w14:paraId="1B422B9A"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2019</w:t>
            </w:r>
          </w:p>
        </w:tc>
        <w:tc>
          <w:tcPr>
            <w:tcW w:w="851" w:type="dxa"/>
            <w:tcBorders>
              <w:top w:val="nil"/>
              <w:left w:val="single" w:sz="8" w:space="0" w:color="auto"/>
              <w:bottom w:val="single" w:sz="8" w:space="0" w:color="auto"/>
              <w:right w:val="single" w:sz="4" w:space="0" w:color="auto"/>
            </w:tcBorders>
            <w:shd w:val="clear" w:color="000000" w:fill="FFFFFF"/>
          </w:tcPr>
          <w:p w14:paraId="548F76C1"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4032</w:t>
            </w:r>
          </w:p>
        </w:tc>
        <w:tc>
          <w:tcPr>
            <w:tcW w:w="1134" w:type="dxa"/>
            <w:tcBorders>
              <w:top w:val="nil"/>
              <w:left w:val="nil"/>
              <w:bottom w:val="single" w:sz="8" w:space="0" w:color="auto"/>
              <w:right w:val="single" w:sz="4" w:space="0" w:color="auto"/>
            </w:tcBorders>
            <w:shd w:val="clear" w:color="auto" w:fill="auto"/>
            <w:noWrap/>
          </w:tcPr>
          <w:p w14:paraId="1ECBB2B7"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97,00</w:t>
            </w:r>
          </w:p>
        </w:tc>
        <w:tc>
          <w:tcPr>
            <w:tcW w:w="1134" w:type="dxa"/>
            <w:tcBorders>
              <w:top w:val="nil"/>
              <w:left w:val="nil"/>
              <w:bottom w:val="single" w:sz="8" w:space="0" w:color="auto"/>
              <w:right w:val="single" w:sz="4" w:space="0" w:color="auto"/>
            </w:tcBorders>
            <w:shd w:val="clear" w:color="auto" w:fill="auto"/>
            <w:noWrap/>
          </w:tcPr>
          <w:p w14:paraId="0793DFD7"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77,72</w:t>
            </w:r>
          </w:p>
        </w:tc>
        <w:tc>
          <w:tcPr>
            <w:tcW w:w="1134" w:type="dxa"/>
            <w:tcBorders>
              <w:top w:val="nil"/>
              <w:left w:val="nil"/>
              <w:bottom w:val="single" w:sz="8" w:space="0" w:color="auto"/>
              <w:right w:val="single" w:sz="8" w:space="0" w:color="auto"/>
            </w:tcBorders>
            <w:shd w:val="clear" w:color="auto" w:fill="auto"/>
            <w:noWrap/>
          </w:tcPr>
          <w:p w14:paraId="4EFEE7E9"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-22,28</w:t>
            </w:r>
          </w:p>
        </w:tc>
        <w:tc>
          <w:tcPr>
            <w:tcW w:w="850" w:type="dxa"/>
            <w:tcBorders>
              <w:top w:val="nil"/>
              <w:left w:val="nil"/>
              <w:bottom w:val="single" w:sz="8" w:space="0" w:color="auto"/>
              <w:right w:val="single" w:sz="4" w:space="0" w:color="auto"/>
            </w:tcBorders>
            <w:shd w:val="clear" w:color="000000" w:fill="FFFFFF"/>
          </w:tcPr>
          <w:p w14:paraId="2413C750"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1572</w:t>
            </w:r>
          </w:p>
        </w:tc>
        <w:tc>
          <w:tcPr>
            <w:tcW w:w="1276" w:type="dxa"/>
            <w:tcBorders>
              <w:top w:val="nil"/>
              <w:left w:val="nil"/>
              <w:bottom w:val="single" w:sz="8" w:space="0" w:color="auto"/>
              <w:right w:val="single" w:sz="4" w:space="0" w:color="auto"/>
            </w:tcBorders>
            <w:shd w:val="clear" w:color="000000" w:fill="FFFFFF"/>
          </w:tcPr>
          <w:p w14:paraId="25D21098"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133,00</w:t>
            </w:r>
          </w:p>
        </w:tc>
        <w:tc>
          <w:tcPr>
            <w:tcW w:w="1134" w:type="dxa"/>
            <w:tcBorders>
              <w:top w:val="nil"/>
              <w:left w:val="nil"/>
              <w:bottom w:val="single" w:sz="8" w:space="0" w:color="auto"/>
              <w:right w:val="single" w:sz="4" w:space="0" w:color="auto"/>
            </w:tcBorders>
            <w:shd w:val="clear" w:color="000000" w:fill="FFFFFF"/>
          </w:tcPr>
          <w:p w14:paraId="06D36A78"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73,83</w:t>
            </w:r>
          </w:p>
        </w:tc>
        <w:tc>
          <w:tcPr>
            <w:tcW w:w="1418" w:type="dxa"/>
            <w:tcBorders>
              <w:top w:val="nil"/>
              <w:left w:val="nil"/>
              <w:bottom w:val="single" w:sz="8" w:space="0" w:color="auto"/>
              <w:right w:val="single" w:sz="8" w:space="0" w:color="auto"/>
            </w:tcBorders>
            <w:shd w:val="clear" w:color="000000" w:fill="FFFFFF"/>
          </w:tcPr>
          <w:p w14:paraId="77A82980"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-26,17</w:t>
            </w:r>
          </w:p>
        </w:tc>
        <w:tc>
          <w:tcPr>
            <w:tcW w:w="992" w:type="dxa"/>
            <w:tcBorders>
              <w:top w:val="nil"/>
              <w:left w:val="nil"/>
              <w:bottom w:val="single" w:sz="8" w:space="0" w:color="auto"/>
              <w:right w:val="single" w:sz="4" w:space="0" w:color="auto"/>
            </w:tcBorders>
            <w:shd w:val="clear" w:color="auto" w:fill="auto"/>
            <w:noWrap/>
          </w:tcPr>
          <w:p w14:paraId="094CFE47"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2460</w:t>
            </w:r>
          </w:p>
        </w:tc>
        <w:tc>
          <w:tcPr>
            <w:tcW w:w="992" w:type="dxa"/>
            <w:tcBorders>
              <w:top w:val="nil"/>
              <w:left w:val="nil"/>
              <w:bottom w:val="single" w:sz="8" w:space="0" w:color="auto"/>
              <w:right w:val="single" w:sz="4" w:space="0" w:color="auto"/>
            </w:tcBorders>
            <w:shd w:val="clear" w:color="auto" w:fill="auto"/>
            <w:noWrap/>
          </w:tcPr>
          <w:p w14:paraId="69C3971F"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-36,00</w:t>
            </w:r>
          </w:p>
        </w:tc>
        <w:tc>
          <w:tcPr>
            <w:tcW w:w="1418" w:type="dxa"/>
            <w:tcBorders>
              <w:top w:val="nil"/>
              <w:left w:val="nil"/>
              <w:bottom w:val="single" w:sz="8" w:space="0" w:color="auto"/>
              <w:right w:val="single" w:sz="4" w:space="0" w:color="auto"/>
            </w:tcBorders>
            <w:shd w:val="clear" w:color="auto" w:fill="auto"/>
            <w:noWrap/>
          </w:tcPr>
          <w:p w14:paraId="0F897C59"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80,15</w:t>
            </w:r>
          </w:p>
        </w:tc>
        <w:tc>
          <w:tcPr>
            <w:tcW w:w="992" w:type="dxa"/>
            <w:tcBorders>
              <w:top w:val="nil"/>
              <w:left w:val="nil"/>
              <w:bottom w:val="single" w:sz="8" w:space="0" w:color="auto"/>
              <w:right w:val="single" w:sz="8" w:space="0" w:color="auto"/>
            </w:tcBorders>
            <w:shd w:val="clear" w:color="auto" w:fill="auto"/>
            <w:noWrap/>
          </w:tcPr>
          <w:p w14:paraId="28740E04"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-19,85</w:t>
            </w:r>
          </w:p>
        </w:tc>
      </w:tr>
      <w:tr w:rsidR="00B16459" w:rsidRPr="004135FE" w14:paraId="142EC34C" w14:textId="77777777" w:rsidTr="00B16459">
        <w:trPr>
          <w:trHeight w:val="315"/>
        </w:trPr>
        <w:tc>
          <w:tcPr>
            <w:tcW w:w="1134" w:type="dxa"/>
            <w:tcBorders>
              <w:top w:val="nil"/>
              <w:left w:val="single" w:sz="8" w:space="0" w:color="auto"/>
              <w:bottom w:val="single" w:sz="8" w:space="0" w:color="auto"/>
              <w:right w:val="nil"/>
            </w:tcBorders>
            <w:shd w:val="clear" w:color="auto" w:fill="auto"/>
            <w:noWrap/>
          </w:tcPr>
          <w:p w14:paraId="50E97AC6"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2020</w:t>
            </w:r>
          </w:p>
        </w:tc>
        <w:tc>
          <w:tcPr>
            <w:tcW w:w="851" w:type="dxa"/>
            <w:tcBorders>
              <w:top w:val="nil"/>
              <w:left w:val="single" w:sz="8" w:space="0" w:color="auto"/>
              <w:bottom w:val="single" w:sz="8" w:space="0" w:color="auto"/>
              <w:right w:val="single" w:sz="4" w:space="0" w:color="auto"/>
            </w:tcBorders>
            <w:shd w:val="clear" w:color="000000" w:fill="FFFFFF"/>
          </w:tcPr>
          <w:p w14:paraId="2817CB8F"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3853</w:t>
            </w:r>
          </w:p>
        </w:tc>
        <w:tc>
          <w:tcPr>
            <w:tcW w:w="1134" w:type="dxa"/>
            <w:tcBorders>
              <w:top w:val="nil"/>
              <w:left w:val="nil"/>
              <w:bottom w:val="single" w:sz="8" w:space="0" w:color="auto"/>
              <w:right w:val="single" w:sz="4" w:space="0" w:color="auto"/>
            </w:tcBorders>
            <w:shd w:val="clear" w:color="auto" w:fill="auto"/>
            <w:noWrap/>
          </w:tcPr>
          <w:p w14:paraId="33E8E752"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-179,00</w:t>
            </w:r>
          </w:p>
        </w:tc>
        <w:tc>
          <w:tcPr>
            <w:tcW w:w="1134" w:type="dxa"/>
            <w:tcBorders>
              <w:top w:val="nil"/>
              <w:left w:val="nil"/>
              <w:bottom w:val="single" w:sz="8" w:space="0" w:color="auto"/>
              <w:right w:val="single" w:sz="4" w:space="0" w:color="auto"/>
            </w:tcBorders>
            <w:shd w:val="clear" w:color="auto" w:fill="auto"/>
            <w:noWrap/>
          </w:tcPr>
          <w:p w14:paraId="08FEFB60"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79,64</w:t>
            </w:r>
          </w:p>
        </w:tc>
        <w:tc>
          <w:tcPr>
            <w:tcW w:w="1134" w:type="dxa"/>
            <w:tcBorders>
              <w:top w:val="nil"/>
              <w:left w:val="nil"/>
              <w:bottom w:val="single" w:sz="8" w:space="0" w:color="auto"/>
              <w:right w:val="single" w:sz="8" w:space="0" w:color="auto"/>
            </w:tcBorders>
            <w:shd w:val="clear" w:color="auto" w:fill="auto"/>
            <w:noWrap/>
          </w:tcPr>
          <w:p w14:paraId="38FE4966"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-20,36</w:t>
            </w:r>
          </w:p>
        </w:tc>
        <w:tc>
          <w:tcPr>
            <w:tcW w:w="850" w:type="dxa"/>
            <w:tcBorders>
              <w:top w:val="nil"/>
              <w:left w:val="nil"/>
              <w:bottom w:val="single" w:sz="8" w:space="0" w:color="auto"/>
              <w:right w:val="single" w:sz="4" w:space="0" w:color="auto"/>
            </w:tcBorders>
            <w:shd w:val="clear" w:color="000000" w:fill="FFFFFF"/>
          </w:tcPr>
          <w:p w14:paraId="0E529863"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1538</w:t>
            </w:r>
          </w:p>
        </w:tc>
        <w:tc>
          <w:tcPr>
            <w:tcW w:w="1276" w:type="dxa"/>
            <w:tcBorders>
              <w:top w:val="nil"/>
              <w:left w:val="nil"/>
              <w:bottom w:val="single" w:sz="8" w:space="0" w:color="auto"/>
              <w:right w:val="single" w:sz="4" w:space="0" w:color="auto"/>
            </w:tcBorders>
            <w:shd w:val="clear" w:color="000000" w:fill="FFFFFF"/>
          </w:tcPr>
          <w:p w14:paraId="11ACC8A3"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-34,00</w:t>
            </w:r>
          </w:p>
        </w:tc>
        <w:tc>
          <w:tcPr>
            <w:tcW w:w="1134" w:type="dxa"/>
            <w:tcBorders>
              <w:top w:val="nil"/>
              <w:left w:val="nil"/>
              <w:bottom w:val="single" w:sz="8" w:space="0" w:color="auto"/>
              <w:right w:val="single" w:sz="4" w:space="0" w:color="auto"/>
            </w:tcBorders>
            <w:shd w:val="clear" w:color="000000" w:fill="FFFFFF"/>
          </w:tcPr>
          <w:p w14:paraId="2C99D14F"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80,66</w:t>
            </w:r>
          </w:p>
        </w:tc>
        <w:tc>
          <w:tcPr>
            <w:tcW w:w="1418" w:type="dxa"/>
            <w:tcBorders>
              <w:top w:val="nil"/>
              <w:left w:val="nil"/>
              <w:bottom w:val="single" w:sz="8" w:space="0" w:color="auto"/>
              <w:right w:val="single" w:sz="8" w:space="0" w:color="auto"/>
            </w:tcBorders>
            <w:shd w:val="clear" w:color="000000" w:fill="FFFFFF"/>
          </w:tcPr>
          <w:p w14:paraId="23FF911A"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-19,34</w:t>
            </w:r>
          </w:p>
        </w:tc>
        <w:tc>
          <w:tcPr>
            <w:tcW w:w="992" w:type="dxa"/>
            <w:tcBorders>
              <w:top w:val="nil"/>
              <w:left w:val="nil"/>
              <w:bottom w:val="single" w:sz="8" w:space="0" w:color="auto"/>
              <w:right w:val="single" w:sz="4" w:space="0" w:color="auto"/>
            </w:tcBorders>
            <w:shd w:val="clear" w:color="auto" w:fill="auto"/>
            <w:noWrap/>
          </w:tcPr>
          <w:p w14:paraId="1E6E5E46"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2315</w:t>
            </w:r>
          </w:p>
        </w:tc>
        <w:tc>
          <w:tcPr>
            <w:tcW w:w="992" w:type="dxa"/>
            <w:tcBorders>
              <w:top w:val="nil"/>
              <w:left w:val="nil"/>
              <w:bottom w:val="single" w:sz="8" w:space="0" w:color="auto"/>
              <w:right w:val="single" w:sz="4" w:space="0" w:color="auto"/>
            </w:tcBorders>
            <w:shd w:val="clear" w:color="auto" w:fill="auto"/>
            <w:noWrap/>
          </w:tcPr>
          <w:p w14:paraId="0B237661"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-145,00</w:t>
            </w:r>
          </w:p>
        </w:tc>
        <w:tc>
          <w:tcPr>
            <w:tcW w:w="1418" w:type="dxa"/>
            <w:tcBorders>
              <w:top w:val="nil"/>
              <w:left w:val="nil"/>
              <w:bottom w:val="single" w:sz="8" w:space="0" w:color="auto"/>
              <w:right w:val="single" w:sz="4" w:space="0" w:color="auto"/>
            </w:tcBorders>
            <w:shd w:val="clear" w:color="auto" w:fill="auto"/>
            <w:noWrap/>
          </w:tcPr>
          <w:p w14:paraId="6A811DA2"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79,00</w:t>
            </w:r>
          </w:p>
        </w:tc>
        <w:tc>
          <w:tcPr>
            <w:tcW w:w="992" w:type="dxa"/>
            <w:tcBorders>
              <w:top w:val="nil"/>
              <w:left w:val="nil"/>
              <w:bottom w:val="single" w:sz="8" w:space="0" w:color="auto"/>
              <w:right w:val="single" w:sz="8" w:space="0" w:color="auto"/>
            </w:tcBorders>
            <w:shd w:val="clear" w:color="auto" w:fill="auto"/>
            <w:noWrap/>
          </w:tcPr>
          <w:p w14:paraId="765ACB1B"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-21,00</w:t>
            </w:r>
          </w:p>
        </w:tc>
      </w:tr>
      <w:tr w:rsidR="00B16459" w:rsidRPr="004135FE" w14:paraId="107F909B" w14:textId="77777777" w:rsidTr="00B16459">
        <w:trPr>
          <w:trHeight w:val="315"/>
        </w:trPr>
        <w:tc>
          <w:tcPr>
            <w:tcW w:w="1134" w:type="dxa"/>
            <w:tcBorders>
              <w:top w:val="nil"/>
              <w:left w:val="single" w:sz="8" w:space="0" w:color="auto"/>
              <w:bottom w:val="single" w:sz="8" w:space="0" w:color="auto"/>
              <w:right w:val="nil"/>
            </w:tcBorders>
            <w:shd w:val="clear" w:color="auto" w:fill="auto"/>
            <w:noWrap/>
          </w:tcPr>
          <w:p w14:paraId="6106F115"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2021</w:t>
            </w:r>
          </w:p>
        </w:tc>
        <w:tc>
          <w:tcPr>
            <w:tcW w:w="851" w:type="dxa"/>
            <w:tcBorders>
              <w:top w:val="nil"/>
              <w:left w:val="single" w:sz="8" w:space="0" w:color="auto"/>
              <w:bottom w:val="single" w:sz="8" w:space="0" w:color="auto"/>
              <w:right w:val="single" w:sz="4" w:space="0" w:color="auto"/>
            </w:tcBorders>
            <w:shd w:val="clear" w:color="000000" w:fill="FFFFFF"/>
          </w:tcPr>
          <w:p w14:paraId="625B8E7D"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5063</w:t>
            </w:r>
          </w:p>
        </w:tc>
        <w:tc>
          <w:tcPr>
            <w:tcW w:w="1134" w:type="dxa"/>
            <w:tcBorders>
              <w:top w:val="nil"/>
              <w:left w:val="nil"/>
              <w:bottom w:val="single" w:sz="8" w:space="0" w:color="auto"/>
              <w:right w:val="single" w:sz="4" w:space="0" w:color="auto"/>
            </w:tcBorders>
            <w:shd w:val="clear" w:color="auto" w:fill="auto"/>
            <w:noWrap/>
          </w:tcPr>
          <w:p w14:paraId="6D7645C5"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1210,00</w:t>
            </w:r>
          </w:p>
        </w:tc>
        <w:tc>
          <w:tcPr>
            <w:tcW w:w="1134" w:type="dxa"/>
            <w:tcBorders>
              <w:top w:val="nil"/>
              <w:left w:val="nil"/>
              <w:bottom w:val="single" w:sz="8" w:space="0" w:color="auto"/>
              <w:right w:val="single" w:sz="4" w:space="0" w:color="auto"/>
            </w:tcBorders>
            <w:shd w:val="clear" w:color="auto" w:fill="auto"/>
            <w:noWrap/>
          </w:tcPr>
          <w:p w14:paraId="6D5F9A23"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76,10</w:t>
            </w:r>
          </w:p>
        </w:tc>
        <w:tc>
          <w:tcPr>
            <w:tcW w:w="1134" w:type="dxa"/>
            <w:tcBorders>
              <w:top w:val="nil"/>
              <w:left w:val="nil"/>
              <w:bottom w:val="single" w:sz="8" w:space="0" w:color="auto"/>
              <w:right w:val="single" w:sz="8" w:space="0" w:color="auto"/>
            </w:tcBorders>
            <w:shd w:val="clear" w:color="auto" w:fill="auto"/>
            <w:noWrap/>
          </w:tcPr>
          <w:p w14:paraId="07A92F6C"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-23,90</w:t>
            </w:r>
          </w:p>
        </w:tc>
        <w:tc>
          <w:tcPr>
            <w:tcW w:w="850" w:type="dxa"/>
            <w:tcBorders>
              <w:top w:val="nil"/>
              <w:left w:val="nil"/>
              <w:bottom w:val="single" w:sz="8" w:space="0" w:color="auto"/>
              <w:right w:val="single" w:sz="4" w:space="0" w:color="auto"/>
            </w:tcBorders>
            <w:shd w:val="clear" w:color="000000" w:fill="FFFFFF"/>
          </w:tcPr>
          <w:p w14:paraId="008CFBB5"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1949</w:t>
            </w:r>
          </w:p>
        </w:tc>
        <w:tc>
          <w:tcPr>
            <w:tcW w:w="1276" w:type="dxa"/>
            <w:tcBorders>
              <w:top w:val="nil"/>
              <w:left w:val="nil"/>
              <w:bottom w:val="single" w:sz="8" w:space="0" w:color="auto"/>
              <w:right w:val="single" w:sz="4" w:space="0" w:color="auto"/>
            </w:tcBorders>
            <w:shd w:val="clear" w:color="000000" w:fill="FFFFFF"/>
          </w:tcPr>
          <w:p w14:paraId="3BA10E72"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411,00</w:t>
            </w:r>
          </w:p>
        </w:tc>
        <w:tc>
          <w:tcPr>
            <w:tcW w:w="1134" w:type="dxa"/>
            <w:tcBorders>
              <w:top w:val="nil"/>
              <w:left w:val="nil"/>
              <w:bottom w:val="single" w:sz="8" w:space="0" w:color="auto"/>
              <w:right w:val="single" w:sz="4" w:space="0" w:color="auto"/>
            </w:tcBorders>
            <w:shd w:val="clear" w:color="000000" w:fill="FFFFFF"/>
          </w:tcPr>
          <w:p w14:paraId="2CB3EE07"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78,91</w:t>
            </w:r>
          </w:p>
        </w:tc>
        <w:tc>
          <w:tcPr>
            <w:tcW w:w="1418" w:type="dxa"/>
            <w:tcBorders>
              <w:top w:val="nil"/>
              <w:left w:val="nil"/>
              <w:bottom w:val="single" w:sz="8" w:space="0" w:color="auto"/>
              <w:right w:val="single" w:sz="8" w:space="0" w:color="auto"/>
            </w:tcBorders>
            <w:shd w:val="clear" w:color="000000" w:fill="FFFFFF"/>
          </w:tcPr>
          <w:p w14:paraId="0DBF53D8"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-21,09</w:t>
            </w:r>
          </w:p>
        </w:tc>
        <w:tc>
          <w:tcPr>
            <w:tcW w:w="992" w:type="dxa"/>
            <w:tcBorders>
              <w:top w:val="nil"/>
              <w:left w:val="nil"/>
              <w:bottom w:val="single" w:sz="8" w:space="0" w:color="auto"/>
              <w:right w:val="single" w:sz="4" w:space="0" w:color="auto"/>
            </w:tcBorders>
            <w:shd w:val="clear" w:color="auto" w:fill="auto"/>
            <w:noWrap/>
          </w:tcPr>
          <w:p w14:paraId="00003C05"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3114</w:t>
            </w:r>
          </w:p>
        </w:tc>
        <w:tc>
          <w:tcPr>
            <w:tcW w:w="992" w:type="dxa"/>
            <w:tcBorders>
              <w:top w:val="nil"/>
              <w:left w:val="nil"/>
              <w:bottom w:val="single" w:sz="8" w:space="0" w:color="auto"/>
              <w:right w:val="single" w:sz="4" w:space="0" w:color="auto"/>
            </w:tcBorders>
            <w:shd w:val="clear" w:color="auto" w:fill="auto"/>
            <w:noWrap/>
          </w:tcPr>
          <w:p w14:paraId="240B4849"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799,00</w:t>
            </w:r>
          </w:p>
        </w:tc>
        <w:tc>
          <w:tcPr>
            <w:tcW w:w="1418" w:type="dxa"/>
            <w:tcBorders>
              <w:top w:val="nil"/>
              <w:left w:val="nil"/>
              <w:bottom w:val="single" w:sz="8" w:space="0" w:color="auto"/>
              <w:right w:val="single" w:sz="4" w:space="0" w:color="auto"/>
            </w:tcBorders>
            <w:shd w:val="clear" w:color="auto" w:fill="auto"/>
            <w:noWrap/>
          </w:tcPr>
          <w:p w14:paraId="5FE0E266"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74,34</w:t>
            </w:r>
          </w:p>
        </w:tc>
        <w:tc>
          <w:tcPr>
            <w:tcW w:w="992" w:type="dxa"/>
            <w:tcBorders>
              <w:top w:val="nil"/>
              <w:left w:val="nil"/>
              <w:bottom w:val="single" w:sz="8" w:space="0" w:color="auto"/>
              <w:right w:val="single" w:sz="8" w:space="0" w:color="auto"/>
            </w:tcBorders>
            <w:shd w:val="clear" w:color="auto" w:fill="auto"/>
            <w:noWrap/>
          </w:tcPr>
          <w:p w14:paraId="515A4E6D" w14:textId="77777777" w:rsidR="0066583A" w:rsidRPr="004135FE" w:rsidRDefault="0066583A" w:rsidP="00B164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-25,66</w:t>
            </w:r>
          </w:p>
        </w:tc>
      </w:tr>
      <w:tr w:rsidR="00B16459" w:rsidRPr="004135FE" w14:paraId="36A372E1" w14:textId="77777777" w:rsidTr="00B16459">
        <w:trPr>
          <w:trHeight w:val="354"/>
        </w:trPr>
        <w:tc>
          <w:tcPr>
            <w:tcW w:w="1134" w:type="dxa"/>
            <w:tcBorders>
              <w:top w:val="nil"/>
              <w:left w:val="single" w:sz="8" w:space="0" w:color="auto"/>
              <w:bottom w:val="single" w:sz="8" w:space="0" w:color="auto"/>
              <w:right w:val="nil"/>
            </w:tcBorders>
            <w:shd w:val="clear" w:color="auto" w:fill="auto"/>
            <w:hideMark/>
          </w:tcPr>
          <w:p w14:paraId="08DB3818"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Сред.показ</w:t>
            </w:r>
          </w:p>
        </w:tc>
        <w:tc>
          <w:tcPr>
            <w:tcW w:w="851" w:type="dxa"/>
            <w:tcBorders>
              <w:top w:val="nil"/>
              <w:left w:val="single" w:sz="8" w:space="0" w:color="auto"/>
              <w:bottom w:val="single" w:sz="8" w:space="0" w:color="auto"/>
              <w:right w:val="single" w:sz="4" w:space="0" w:color="auto"/>
            </w:tcBorders>
            <w:shd w:val="clear" w:color="auto" w:fill="auto"/>
            <w:noWrap/>
          </w:tcPr>
          <w:p w14:paraId="5D03A385"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3448,40</w:t>
            </w:r>
          </w:p>
        </w:tc>
        <w:tc>
          <w:tcPr>
            <w:tcW w:w="1134" w:type="dxa"/>
            <w:tcBorders>
              <w:top w:val="nil"/>
              <w:left w:val="nil"/>
              <w:bottom w:val="single" w:sz="8" w:space="0" w:color="auto"/>
              <w:right w:val="single" w:sz="4" w:space="0" w:color="auto"/>
            </w:tcBorders>
            <w:shd w:val="clear" w:color="auto" w:fill="auto"/>
            <w:noWrap/>
          </w:tcPr>
          <w:p w14:paraId="6FA504FF" w14:textId="77777777" w:rsidR="0066583A" w:rsidRPr="004135FE" w:rsidRDefault="0066583A"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283,89</w:t>
            </w:r>
          </w:p>
        </w:tc>
        <w:tc>
          <w:tcPr>
            <w:tcW w:w="1134" w:type="dxa"/>
            <w:tcBorders>
              <w:top w:val="nil"/>
              <w:left w:val="nil"/>
              <w:bottom w:val="single" w:sz="8" w:space="0" w:color="auto"/>
              <w:right w:val="single" w:sz="4" w:space="0" w:color="auto"/>
            </w:tcBorders>
            <w:shd w:val="clear" w:color="auto" w:fill="auto"/>
            <w:noWrap/>
          </w:tcPr>
          <w:p w14:paraId="28BDA91E" w14:textId="77777777" w:rsidR="0066583A" w:rsidRPr="004135FE" w:rsidRDefault="0066583A"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108,12</w:t>
            </w:r>
          </w:p>
        </w:tc>
        <w:tc>
          <w:tcPr>
            <w:tcW w:w="1134" w:type="dxa"/>
            <w:tcBorders>
              <w:top w:val="nil"/>
              <w:left w:val="nil"/>
              <w:bottom w:val="single" w:sz="8" w:space="0" w:color="auto"/>
              <w:right w:val="single" w:sz="8" w:space="0" w:color="auto"/>
            </w:tcBorders>
            <w:shd w:val="clear" w:color="auto" w:fill="auto"/>
            <w:noWrap/>
          </w:tcPr>
          <w:p w14:paraId="0F0DAEC1" w14:textId="77777777" w:rsidR="0066583A" w:rsidRPr="004135FE" w:rsidRDefault="0066583A"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8,12</w:t>
            </w:r>
          </w:p>
        </w:tc>
        <w:tc>
          <w:tcPr>
            <w:tcW w:w="850" w:type="dxa"/>
            <w:tcBorders>
              <w:top w:val="nil"/>
              <w:left w:val="nil"/>
              <w:bottom w:val="single" w:sz="8" w:space="0" w:color="auto"/>
              <w:right w:val="single" w:sz="4" w:space="0" w:color="auto"/>
            </w:tcBorders>
            <w:shd w:val="clear" w:color="auto" w:fill="auto"/>
            <w:noWrap/>
          </w:tcPr>
          <w:p w14:paraId="1AF5E733"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1300,60</w:t>
            </w:r>
          </w:p>
        </w:tc>
        <w:tc>
          <w:tcPr>
            <w:tcW w:w="1276" w:type="dxa"/>
            <w:tcBorders>
              <w:top w:val="nil"/>
              <w:left w:val="nil"/>
              <w:bottom w:val="single" w:sz="8" w:space="0" w:color="auto"/>
              <w:right w:val="single" w:sz="4" w:space="0" w:color="auto"/>
            </w:tcBorders>
            <w:shd w:val="clear" w:color="auto" w:fill="auto"/>
            <w:noWrap/>
          </w:tcPr>
          <w:p w14:paraId="66B35522" w14:textId="77777777" w:rsidR="0066583A" w:rsidRPr="004135FE" w:rsidRDefault="0066583A"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120,56</w:t>
            </w:r>
          </w:p>
        </w:tc>
        <w:tc>
          <w:tcPr>
            <w:tcW w:w="1134" w:type="dxa"/>
            <w:tcBorders>
              <w:top w:val="nil"/>
              <w:left w:val="nil"/>
              <w:bottom w:val="single" w:sz="8" w:space="0" w:color="auto"/>
              <w:right w:val="single" w:sz="4" w:space="0" w:color="auto"/>
            </w:tcBorders>
            <w:shd w:val="clear" w:color="auto" w:fill="auto"/>
            <w:noWrap/>
          </w:tcPr>
          <w:p w14:paraId="08D5EFBE" w14:textId="77777777" w:rsidR="0066583A" w:rsidRPr="004135FE" w:rsidRDefault="0066583A"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109,46</w:t>
            </w:r>
          </w:p>
        </w:tc>
        <w:tc>
          <w:tcPr>
            <w:tcW w:w="1418" w:type="dxa"/>
            <w:tcBorders>
              <w:top w:val="nil"/>
              <w:left w:val="nil"/>
              <w:bottom w:val="single" w:sz="8" w:space="0" w:color="auto"/>
              <w:right w:val="single" w:sz="8" w:space="0" w:color="auto"/>
            </w:tcBorders>
            <w:shd w:val="clear" w:color="auto" w:fill="auto"/>
            <w:noWrap/>
          </w:tcPr>
          <w:p w14:paraId="125AFF34" w14:textId="77777777" w:rsidR="0066583A" w:rsidRPr="004135FE" w:rsidRDefault="0066583A"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9,46</w:t>
            </w:r>
          </w:p>
        </w:tc>
        <w:tc>
          <w:tcPr>
            <w:tcW w:w="992" w:type="dxa"/>
            <w:tcBorders>
              <w:top w:val="nil"/>
              <w:left w:val="nil"/>
              <w:bottom w:val="single" w:sz="8" w:space="0" w:color="auto"/>
              <w:right w:val="single" w:sz="4" w:space="0" w:color="auto"/>
            </w:tcBorders>
            <w:shd w:val="clear" w:color="auto" w:fill="auto"/>
            <w:noWrap/>
          </w:tcPr>
          <w:p w14:paraId="47FD23B0" w14:textId="77777777" w:rsidR="0066583A" w:rsidRPr="004135FE" w:rsidRDefault="0066583A" w:rsidP="004135FE">
            <w:pPr>
              <w:tabs>
                <w:tab w:val="left" w:pos="631"/>
              </w:tabs>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2147,80</w:t>
            </w:r>
          </w:p>
        </w:tc>
        <w:tc>
          <w:tcPr>
            <w:tcW w:w="992" w:type="dxa"/>
            <w:tcBorders>
              <w:top w:val="nil"/>
              <w:left w:val="nil"/>
              <w:bottom w:val="single" w:sz="8" w:space="0" w:color="auto"/>
              <w:right w:val="single" w:sz="4" w:space="0" w:color="auto"/>
            </w:tcBorders>
            <w:shd w:val="clear" w:color="auto" w:fill="auto"/>
            <w:noWrap/>
          </w:tcPr>
          <w:p w14:paraId="554F00CF" w14:textId="77777777" w:rsidR="0066583A" w:rsidRPr="004135FE" w:rsidRDefault="0066583A"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163,33</w:t>
            </w:r>
          </w:p>
        </w:tc>
        <w:tc>
          <w:tcPr>
            <w:tcW w:w="1418" w:type="dxa"/>
            <w:tcBorders>
              <w:top w:val="nil"/>
              <w:left w:val="nil"/>
              <w:bottom w:val="single" w:sz="8" w:space="0" w:color="auto"/>
              <w:right w:val="single" w:sz="4" w:space="0" w:color="auto"/>
            </w:tcBorders>
            <w:shd w:val="clear" w:color="auto" w:fill="auto"/>
            <w:noWrap/>
          </w:tcPr>
          <w:p w14:paraId="52DEF84A" w14:textId="77777777" w:rsidR="0066583A" w:rsidRPr="004135FE" w:rsidRDefault="0066583A"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107,36</w:t>
            </w:r>
          </w:p>
        </w:tc>
        <w:tc>
          <w:tcPr>
            <w:tcW w:w="992" w:type="dxa"/>
            <w:tcBorders>
              <w:top w:val="nil"/>
              <w:left w:val="nil"/>
              <w:bottom w:val="single" w:sz="8" w:space="0" w:color="auto"/>
              <w:right w:val="single" w:sz="8" w:space="0" w:color="auto"/>
            </w:tcBorders>
            <w:shd w:val="clear" w:color="auto" w:fill="auto"/>
            <w:noWrap/>
          </w:tcPr>
          <w:p w14:paraId="4EE808B9" w14:textId="77777777" w:rsidR="0066583A" w:rsidRPr="004135FE" w:rsidRDefault="0066583A"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7,36</w:t>
            </w:r>
          </w:p>
        </w:tc>
      </w:tr>
    </w:tbl>
    <w:p w14:paraId="377AFB21" w14:textId="77777777" w:rsidR="0066583A" w:rsidRPr="004135FE" w:rsidRDefault="0066583A"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        </w:t>
      </w:r>
    </w:p>
    <w:p w14:paraId="0400EF38" w14:textId="77777777" w:rsidR="0066583A" w:rsidRPr="004135FE" w:rsidRDefault="0066583A" w:rsidP="004135FE">
      <w:pPr>
        <w:spacing w:after="0" w:line="240" w:lineRule="auto"/>
        <w:ind w:firstLine="708"/>
        <w:jc w:val="both"/>
        <w:rPr>
          <w:rFonts w:ascii="Times New Roman" w:eastAsia="Times New Roman" w:hAnsi="Times New Roman" w:cs="Times New Roman"/>
          <w:b/>
          <w:sz w:val="28"/>
          <w:szCs w:val="28"/>
        </w:rPr>
      </w:pPr>
    </w:p>
    <w:p w14:paraId="32E5DCBC" w14:textId="77777777" w:rsidR="0066583A" w:rsidRPr="004135FE" w:rsidRDefault="0066583A" w:rsidP="004135FE">
      <w:pPr>
        <w:spacing w:after="0" w:line="240" w:lineRule="auto"/>
        <w:ind w:firstLine="708"/>
        <w:jc w:val="both"/>
        <w:rPr>
          <w:rFonts w:ascii="Times New Roman" w:eastAsia="Times New Roman" w:hAnsi="Times New Roman" w:cs="Times New Roman"/>
          <w:b/>
          <w:sz w:val="28"/>
          <w:szCs w:val="28"/>
        </w:rPr>
      </w:pPr>
    </w:p>
    <w:p w14:paraId="4B4D98E5" w14:textId="39033C1B" w:rsidR="00AB138F" w:rsidRPr="004135FE" w:rsidRDefault="00AB138F" w:rsidP="00B16459">
      <w:pPr>
        <w:spacing w:after="0" w:line="240" w:lineRule="auto"/>
        <w:jc w:val="both"/>
        <w:rPr>
          <w:rFonts w:ascii="Times New Roman" w:eastAsia="Times New Roman" w:hAnsi="Times New Roman" w:cs="Times New Roman"/>
          <w:b/>
          <w:sz w:val="28"/>
          <w:szCs w:val="28"/>
        </w:rPr>
      </w:pPr>
    </w:p>
    <w:p w14:paraId="7BFF5D2A" w14:textId="58919B83" w:rsidR="0066583A" w:rsidRDefault="005F2D6E" w:rsidP="00B16459">
      <w:pPr>
        <w:spacing w:after="0" w:line="240" w:lineRule="auto"/>
        <w:jc w:val="both"/>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lastRenderedPageBreak/>
        <w:t>Таблица 8</w:t>
      </w:r>
      <w:r w:rsidR="0066583A" w:rsidRPr="00B16459">
        <w:rPr>
          <w:rFonts w:ascii="Times New Roman" w:eastAsia="Times New Roman" w:hAnsi="Times New Roman" w:cs="Times New Roman"/>
          <w:bCs/>
          <w:sz w:val="28"/>
          <w:szCs w:val="28"/>
        </w:rPr>
        <w:t xml:space="preserve"> -</w:t>
      </w:r>
      <w:r w:rsidR="00B16459" w:rsidRPr="00B16459">
        <w:rPr>
          <w:rFonts w:ascii="Times New Roman" w:eastAsia="Times New Roman" w:hAnsi="Times New Roman" w:cs="Times New Roman"/>
          <w:bCs/>
          <w:sz w:val="28"/>
          <w:szCs w:val="28"/>
        </w:rPr>
        <w:t xml:space="preserve"> </w:t>
      </w:r>
      <w:r w:rsidR="0066583A" w:rsidRPr="00B16459">
        <w:rPr>
          <w:rFonts w:ascii="Times New Roman" w:eastAsia="Times New Roman" w:hAnsi="Times New Roman" w:cs="Times New Roman"/>
          <w:bCs/>
          <w:sz w:val="28"/>
          <w:szCs w:val="28"/>
        </w:rPr>
        <w:t>Динамика первичной заболеваемости сахарным диабетом 2 типа по половым признакам по районам города Алматы</w:t>
      </w:r>
    </w:p>
    <w:p w14:paraId="6507C87B" w14:textId="77777777" w:rsidR="00B16459" w:rsidRPr="00B16459" w:rsidRDefault="00B16459" w:rsidP="00B16459">
      <w:pPr>
        <w:spacing w:after="0" w:line="240" w:lineRule="auto"/>
        <w:jc w:val="both"/>
        <w:rPr>
          <w:rFonts w:ascii="Times New Roman" w:eastAsia="Times New Roman" w:hAnsi="Times New Roman" w:cs="Times New Roman"/>
          <w:bCs/>
          <w:sz w:val="28"/>
          <w:szCs w:val="28"/>
        </w:rPr>
      </w:pPr>
    </w:p>
    <w:tbl>
      <w:tblPr>
        <w:tblW w:w="14317" w:type="dxa"/>
        <w:tblInd w:w="-5" w:type="dxa"/>
        <w:tblLayout w:type="fixed"/>
        <w:tblLook w:val="04A0" w:firstRow="1" w:lastRow="0" w:firstColumn="1" w:lastColumn="0" w:noHBand="0" w:noVBand="1"/>
      </w:tblPr>
      <w:tblGrid>
        <w:gridCol w:w="1134"/>
        <w:gridCol w:w="993"/>
        <w:gridCol w:w="850"/>
        <w:gridCol w:w="992"/>
        <w:gridCol w:w="1418"/>
        <w:gridCol w:w="992"/>
        <w:gridCol w:w="992"/>
        <w:gridCol w:w="851"/>
        <w:gridCol w:w="1276"/>
        <w:gridCol w:w="1134"/>
        <w:gridCol w:w="708"/>
        <w:gridCol w:w="993"/>
        <w:gridCol w:w="992"/>
        <w:gridCol w:w="992"/>
      </w:tblGrid>
      <w:tr w:rsidR="0066583A" w:rsidRPr="00B16459" w14:paraId="010922D9" w14:textId="77777777" w:rsidTr="00E2614D">
        <w:trPr>
          <w:trHeight w:val="283"/>
        </w:trPr>
        <w:tc>
          <w:tcPr>
            <w:tcW w:w="1134" w:type="dxa"/>
            <w:vMerge w:val="restart"/>
            <w:tcBorders>
              <w:top w:val="single" w:sz="4" w:space="0" w:color="auto"/>
              <w:left w:val="single" w:sz="4" w:space="0" w:color="auto"/>
              <w:bottom w:val="single" w:sz="4" w:space="0" w:color="000000"/>
              <w:right w:val="single" w:sz="4" w:space="0" w:color="auto"/>
            </w:tcBorders>
            <w:vAlign w:val="center"/>
            <w:hideMark/>
          </w:tcPr>
          <w:p w14:paraId="0EA60CF8"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Районы</w:t>
            </w:r>
          </w:p>
        </w:tc>
        <w:tc>
          <w:tcPr>
            <w:tcW w:w="993" w:type="dxa"/>
            <w:vMerge w:val="restart"/>
            <w:tcBorders>
              <w:top w:val="single" w:sz="4" w:space="0" w:color="auto"/>
              <w:left w:val="single" w:sz="4" w:space="0" w:color="auto"/>
              <w:bottom w:val="single" w:sz="4" w:space="0" w:color="000000"/>
              <w:right w:val="single" w:sz="4" w:space="0" w:color="auto"/>
            </w:tcBorders>
            <w:vAlign w:val="center"/>
            <w:hideMark/>
          </w:tcPr>
          <w:p w14:paraId="134C518D"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годы</w:t>
            </w:r>
          </w:p>
        </w:tc>
        <w:tc>
          <w:tcPr>
            <w:tcW w:w="4252"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71E13E53"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всего СД2 т</w:t>
            </w:r>
          </w:p>
        </w:tc>
        <w:tc>
          <w:tcPr>
            <w:tcW w:w="4253"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6920E784"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мужчины с СД2 т</w:t>
            </w:r>
          </w:p>
        </w:tc>
        <w:tc>
          <w:tcPr>
            <w:tcW w:w="3685"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2E5EAC6A"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женщины с СД2т</w:t>
            </w:r>
          </w:p>
        </w:tc>
      </w:tr>
      <w:tr w:rsidR="0066583A" w:rsidRPr="00B16459" w14:paraId="60540939" w14:textId="77777777" w:rsidTr="00E2614D">
        <w:trPr>
          <w:trHeight w:val="283"/>
        </w:trPr>
        <w:tc>
          <w:tcPr>
            <w:tcW w:w="1134" w:type="dxa"/>
            <w:vMerge/>
            <w:tcBorders>
              <w:top w:val="single" w:sz="4" w:space="0" w:color="auto"/>
              <w:left w:val="single" w:sz="4" w:space="0" w:color="auto"/>
              <w:bottom w:val="single" w:sz="4" w:space="0" w:color="000000"/>
              <w:right w:val="single" w:sz="4" w:space="0" w:color="auto"/>
            </w:tcBorders>
            <w:vAlign w:val="center"/>
            <w:hideMark/>
          </w:tcPr>
          <w:p w14:paraId="568A851F"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p>
        </w:tc>
        <w:tc>
          <w:tcPr>
            <w:tcW w:w="993" w:type="dxa"/>
            <w:vMerge/>
            <w:tcBorders>
              <w:top w:val="single" w:sz="4" w:space="0" w:color="auto"/>
              <w:left w:val="single" w:sz="4" w:space="0" w:color="auto"/>
              <w:bottom w:val="single" w:sz="4" w:space="0" w:color="000000"/>
              <w:right w:val="single" w:sz="4" w:space="0" w:color="auto"/>
            </w:tcBorders>
            <w:vAlign w:val="center"/>
            <w:hideMark/>
          </w:tcPr>
          <w:p w14:paraId="1B21C923"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p>
        </w:tc>
        <w:tc>
          <w:tcPr>
            <w:tcW w:w="850" w:type="dxa"/>
            <w:tcBorders>
              <w:top w:val="nil"/>
              <w:left w:val="nil"/>
              <w:bottom w:val="single" w:sz="4" w:space="0" w:color="auto"/>
              <w:right w:val="single" w:sz="4" w:space="0" w:color="auto"/>
            </w:tcBorders>
            <w:shd w:val="clear" w:color="auto" w:fill="auto"/>
            <w:noWrap/>
            <w:vAlign w:val="center"/>
            <w:hideMark/>
          </w:tcPr>
          <w:p w14:paraId="7A2DFE9B"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абс</w:t>
            </w:r>
          </w:p>
        </w:tc>
        <w:tc>
          <w:tcPr>
            <w:tcW w:w="992" w:type="dxa"/>
            <w:tcBorders>
              <w:top w:val="nil"/>
              <w:left w:val="nil"/>
              <w:bottom w:val="single" w:sz="4" w:space="0" w:color="auto"/>
              <w:right w:val="single" w:sz="4" w:space="0" w:color="auto"/>
            </w:tcBorders>
            <w:shd w:val="clear" w:color="auto" w:fill="auto"/>
            <w:vAlign w:val="center"/>
            <w:hideMark/>
          </w:tcPr>
          <w:p w14:paraId="518D77AB"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абс прирост</w:t>
            </w:r>
          </w:p>
        </w:tc>
        <w:tc>
          <w:tcPr>
            <w:tcW w:w="1418" w:type="dxa"/>
            <w:tcBorders>
              <w:top w:val="nil"/>
              <w:left w:val="nil"/>
              <w:bottom w:val="single" w:sz="4" w:space="0" w:color="auto"/>
              <w:right w:val="single" w:sz="4" w:space="0" w:color="auto"/>
            </w:tcBorders>
            <w:shd w:val="clear" w:color="auto" w:fill="auto"/>
            <w:vAlign w:val="center"/>
            <w:hideMark/>
          </w:tcPr>
          <w:p w14:paraId="3B34C299"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темп</w:t>
            </w:r>
          </w:p>
          <w:p w14:paraId="721A3B80"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роста в сравнении</w:t>
            </w:r>
          </w:p>
          <w:p w14:paraId="7369881F"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относительно 2021 года</w:t>
            </w:r>
          </w:p>
        </w:tc>
        <w:tc>
          <w:tcPr>
            <w:tcW w:w="992" w:type="dxa"/>
            <w:tcBorders>
              <w:top w:val="nil"/>
              <w:left w:val="nil"/>
              <w:bottom w:val="single" w:sz="4" w:space="0" w:color="auto"/>
              <w:right w:val="single" w:sz="4" w:space="0" w:color="auto"/>
            </w:tcBorders>
            <w:shd w:val="clear" w:color="auto" w:fill="auto"/>
            <w:vAlign w:val="center"/>
            <w:hideMark/>
          </w:tcPr>
          <w:p w14:paraId="3297F962"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темп прироста</w:t>
            </w:r>
          </w:p>
        </w:tc>
        <w:tc>
          <w:tcPr>
            <w:tcW w:w="992" w:type="dxa"/>
            <w:tcBorders>
              <w:top w:val="nil"/>
              <w:left w:val="nil"/>
              <w:bottom w:val="single" w:sz="4" w:space="0" w:color="auto"/>
              <w:right w:val="single" w:sz="4" w:space="0" w:color="auto"/>
            </w:tcBorders>
            <w:shd w:val="clear" w:color="auto" w:fill="auto"/>
            <w:noWrap/>
            <w:vAlign w:val="center"/>
            <w:hideMark/>
          </w:tcPr>
          <w:p w14:paraId="0B4702A4"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абс</w:t>
            </w:r>
          </w:p>
        </w:tc>
        <w:tc>
          <w:tcPr>
            <w:tcW w:w="851" w:type="dxa"/>
            <w:tcBorders>
              <w:top w:val="nil"/>
              <w:left w:val="nil"/>
              <w:bottom w:val="single" w:sz="4" w:space="0" w:color="auto"/>
              <w:right w:val="single" w:sz="4" w:space="0" w:color="auto"/>
            </w:tcBorders>
            <w:shd w:val="clear" w:color="auto" w:fill="auto"/>
            <w:vAlign w:val="center"/>
            <w:hideMark/>
          </w:tcPr>
          <w:p w14:paraId="3E3CFF7B"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абс прирост</w:t>
            </w:r>
          </w:p>
        </w:tc>
        <w:tc>
          <w:tcPr>
            <w:tcW w:w="1276" w:type="dxa"/>
            <w:tcBorders>
              <w:top w:val="nil"/>
              <w:left w:val="nil"/>
              <w:bottom w:val="single" w:sz="4" w:space="0" w:color="auto"/>
              <w:right w:val="single" w:sz="4" w:space="0" w:color="auto"/>
            </w:tcBorders>
            <w:shd w:val="clear" w:color="auto" w:fill="auto"/>
            <w:vAlign w:val="center"/>
            <w:hideMark/>
          </w:tcPr>
          <w:p w14:paraId="4521EA79"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темп</w:t>
            </w:r>
          </w:p>
          <w:p w14:paraId="412D072A"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роста в сравнении</w:t>
            </w:r>
          </w:p>
          <w:p w14:paraId="77789C9D"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относительно 2021 года</w:t>
            </w:r>
          </w:p>
        </w:tc>
        <w:tc>
          <w:tcPr>
            <w:tcW w:w="1134" w:type="dxa"/>
            <w:tcBorders>
              <w:top w:val="nil"/>
              <w:left w:val="nil"/>
              <w:bottom w:val="single" w:sz="4" w:space="0" w:color="auto"/>
              <w:right w:val="single" w:sz="4" w:space="0" w:color="auto"/>
            </w:tcBorders>
            <w:shd w:val="clear" w:color="auto" w:fill="auto"/>
            <w:vAlign w:val="center"/>
            <w:hideMark/>
          </w:tcPr>
          <w:p w14:paraId="691D2260"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темп прироста</w:t>
            </w:r>
          </w:p>
        </w:tc>
        <w:tc>
          <w:tcPr>
            <w:tcW w:w="708" w:type="dxa"/>
            <w:tcBorders>
              <w:top w:val="nil"/>
              <w:left w:val="nil"/>
              <w:bottom w:val="single" w:sz="4" w:space="0" w:color="auto"/>
              <w:right w:val="single" w:sz="4" w:space="0" w:color="auto"/>
            </w:tcBorders>
            <w:shd w:val="clear" w:color="auto" w:fill="auto"/>
            <w:noWrap/>
            <w:vAlign w:val="center"/>
            <w:hideMark/>
          </w:tcPr>
          <w:p w14:paraId="1DBCBA15"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абс</w:t>
            </w:r>
          </w:p>
        </w:tc>
        <w:tc>
          <w:tcPr>
            <w:tcW w:w="993" w:type="dxa"/>
            <w:tcBorders>
              <w:top w:val="nil"/>
              <w:left w:val="nil"/>
              <w:bottom w:val="single" w:sz="4" w:space="0" w:color="auto"/>
              <w:right w:val="single" w:sz="4" w:space="0" w:color="auto"/>
            </w:tcBorders>
            <w:shd w:val="clear" w:color="auto" w:fill="auto"/>
            <w:vAlign w:val="center"/>
            <w:hideMark/>
          </w:tcPr>
          <w:p w14:paraId="6C3B7F1C"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абс прирост</w:t>
            </w:r>
          </w:p>
        </w:tc>
        <w:tc>
          <w:tcPr>
            <w:tcW w:w="992" w:type="dxa"/>
            <w:tcBorders>
              <w:top w:val="nil"/>
              <w:left w:val="nil"/>
              <w:bottom w:val="single" w:sz="4" w:space="0" w:color="auto"/>
              <w:right w:val="single" w:sz="4" w:space="0" w:color="auto"/>
            </w:tcBorders>
            <w:shd w:val="clear" w:color="auto" w:fill="auto"/>
            <w:vAlign w:val="center"/>
            <w:hideMark/>
          </w:tcPr>
          <w:p w14:paraId="418839F3"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темп</w:t>
            </w:r>
          </w:p>
          <w:p w14:paraId="222404F5"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роста в сравнении</w:t>
            </w:r>
          </w:p>
          <w:p w14:paraId="5ADEF123"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относительно 2021 года</w:t>
            </w:r>
          </w:p>
        </w:tc>
        <w:tc>
          <w:tcPr>
            <w:tcW w:w="992" w:type="dxa"/>
            <w:tcBorders>
              <w:top w:val="nil"/>
              <w:left w:val="nil"/>
              <w:bottom w:val="single" w:sz="4" w:space="0" w:color="auto"/>
              <w:right w:val="single" w:sz="4" w:space="0" w:color="auto"/>
            </w:tcBorders>
            <w:shd w:val="clear" w:color="auto" w:fill="auto"/>
            <w:vAlign w:val="center"/>
            <w:hideMark/>
          </w:tcPr>
          <w:p w14:paraId="35D5A627"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темп прироста</w:t>
            </w:r>
          </w:p>
        </w:tc>
      </w:tr>
      <w:tr w:rsidR="0066583A" w:rsidRPr="00B16459" w14:paraId="577DCDE1" w14:textId="77777777" w:rsidTr="00E2614D">
        <w:trPr>
          <w:trHeight w:val="283"/>
        </w:trPr>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2F2AE7F"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w:t>
            </w:r>
          </w:p>
        </w:tc>
        <w:tc>
          <w:tcPr>
            <w:tcW w:w="993" w:type="dxa"/>
            <w:tcBorders>
              <w:top w:val="nil"/>
              <w:left w:val="nil"/>
              <w:bottom w:val="single" w:sz="4" w:space="0" w:color="auto"/>
              <w:right w:val="single" w:sz="4" w:space="0" w:color="auto"/>
            </w:tcBorders>
            <w:shd w:val="clear" w:color="auto" w:fill="auto"/>
            <w:noWrap/>
            <w:vAlign w:val="center"/>
            <w:hideMark/>
          </w:tcPr>
          <w:p w14:paraId="031CE900"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w:t>
            </w:r>
          </w:p>
        </w:tc>
        <w:tc>
          <w:tcPr>
            <w:tcW w:w="850" w:type="dxa"/>
            <w:tcBorders>
              <w:top w:val="nil"/>
              <w:left w:val="nil"/>
              <w:bottom w:val="single" w:sz="4" w:space="0" w:color="auto"/>
              <w:right w:val="single" w:sz="4" w:space="0" w:color="auto"/>
            </w:tcBorders>
            <w:shd w:val="clear" w:color="auto" w:fill="auto"/>
            <w:noWrap/>
            <w:vAlign w:val="center"/>
            <w:hideMark/>
          </w:tcPr>
          <w:p w14:paraId="07235495"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3</w:t>
            </w:r>
          </w:p>
        </w:tc>
        <w:tc>
          <w:tcPr>
            <w:tcW w:w="992" w:type="dxa"/>
            <w:tcBorders>
              <w:top w:val="nil"/>
              <w:left w:val="nil"/>
              <w:bottom w:val="single" w:sz="4" w:space="0" w:color="auto"/>
              <w:right w:val="single" w:sz="4" w:space="0" w:color="auto"/>
            </w:tcBorders>
            <w:shd w:val="clear" w:color="auto" w:fill="auto"/>
            <w:noWrap/>
            <w:vAlign w:val="center"/>
            <w:hideMark/>
          </w:tcPr>
          <w:p w14:paraId="717098B7"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4</w:t>
            </w:r>
          </w:p>
        </w:tc>
        <w:tc>
          <w:tcPr>
            <w:tcW w:w="1418" w:type="dxa"/>
            <w:tcBorders>
              <w:top w:val="nil"/>
              <w:left w:val="nil"/>
              <w:bottom w:val="single" w:sz="4" w:space="0" w:color="auto"/>
              <w:right w:val="single" w:sz="4" w:space="0" w:color="auto"/>
            </w:tcBorders>
            <w:shd w:val="clear" w:color="auto" w:fill="auto"/>
            <w:noWrap/>
            <w:vAlign w:val="center"/>
            <w:hideMark/>
          </w:tcPr>
          <w:p w14:paraId="079FAB59"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5</w:t>
            </w:r>
          </w:p>
        </w:tc>
        <w:tc>
          <w:tcPr>
            <w:tcW w:w="992" w:type="dxa"/>
            <w:tcBorders>
              <w:top w:val="nil"/>
              <w:left w:val="nil"/>
              <w:bottom w:val="single" w:sz="4" w:space="0" w:color="auto"/>
              <w:right w:val="single" w:sz="4" w:space="0" w:color="auto"/>
            </w:tcBorders>
            <w:shd w:val="clear" w:color="auto" w:fill="auto"/>
            <w:noWrap/>
            <w:vAlign w:val="center"/>
            <w:hideMark/>
          </w:tcPr>
          <w:p w14:paraId="137D17E1"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6</w:t>
            </w:r>
          </w:p>
        </w:tc>
        <w:tc>
          <w:tcPr>
            <w:tcW w:w="992" w:type="dxa"/>
            <w:tcBorders>
              <w:top w:val="nil"/>
              <w:left w:val="nil"/>
              <w:bottom w:val="single" w:sz="4" w:space="0" w:color="auto"/>
              <w:right w:val="single" w:sz="4" w:space="0" w:color="auto"/>
            </w:tcBorders>
            <w:shd w:val="clear" w:color="auto" w:fill="auto"/>
            <w:noWrap/>
            <w:vAlign w:val="center"/>
            <w:hideMark/>
          </w:tcPr>
          <w:p w14:paraId="4109BC19"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7</w:t>
            </w:r>
          </w:p>
        </w:tc>
        <w:tc>
          <w:tcPr>
            <w:tcW w:w="851" w:type="dxa"/>
            <w:tcBorders>
              <w:top w:val="nil"/>
              <w:left w:val="nil"/>
              <w:bottom w:val="single" w:sz="4" w:space="0" w:color="auto"/>
              <w:right w:val="single" w:sz="4" w:space="0" w:color="auto"/>
            </w:tcBorders>
            <w:shd w:val="clear" w:color="auto" w:fill="auto"/>
            <w:noWrap/>
            <w:vAlign w:val="center"/>
            <w:hideMark/>
          </w:tcPr>
          <w:p w14:paraId="2D81EF1D"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8</w:t>
            </w:r>
          </w:p>
        </w:tc>
        <w:tc>
          <w:tcPr>
            <w:tcW w:w="1276" w:type="dxa"/>
            <w:tcBorders>
              <w:top w:val="nil"/>
              <w:left w:val="nil"/>
              <w:bottom w:val="single" w:sz="4" w:space="0" w:color="auto"/>
              <w:right w:val="single" w:sz="4" w:space="0" w:color="auto"/>
            </w:tcBorders>
            <w:shd w:val="clear" w:color="auto" w:fill="auto"/>
            <w:noWrap/>
            <w:vAlign w:val="center"/>
            <w:hideMark/>
          </w:tcPr>
          <w:p w14:paraId="6CBEF1D1"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9</w:t>
            </w:r>
          </w:p>
        </w:tc>
        <w:tc>
          <w:tcPr>
            <w:tcW w:w="1134" w:type="dxa"/>
            <w:tcBorders>
              <w:top w:val="nil"/>
              <w:left w:val="nil"/>
              <w:bottom w:val="single" w:sz="4" w:space="0" w:color="auto"/>
              <w:right w:val="single" w:sz="4" w:space="0" w:color="auto"/>
            </w:tcBorders>
            <w:shd w:val="clear" w:color="auto" w:fill="auto"/>
            <w:noWrap/>
            <w:vAlign w:val="center"/>
            <w:hideMark/>
          </w:tcPr>
          <w:p w14:paraId="744FC74C"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10</w:t>
            </w:r>
          </w:p>
        </w:tc>
        <w:tc>
          <w:tcPr>
            <w:tcW w:w="708" w:type="dxa"/>
            <w:tcBorders>
              <w:top w:val="nil"/>
              <w:left w:val="nil"/>
              <w:bottom w:val="single" w:sz="4" w:space="0" w:color="auto"/>
              <w:right w:val="single" w:sz="4" w:space="0" w:color="auto"/>
            </w:tcBorders>
            <w:shd w:val="clear" w:color="auto" w:fill="auto"/>
            <w:noWrap/>
            <w:vAlign w:val="center"/>
            <w:hideMark/>
          </w:tcPr>
          <w:p w14:paraId="339DAFDD"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11</w:t>
            </w:r>
          </w:p>
        </w:tc>
        <w:tc>
          <w:tcPr>
            <w:tcW w:w="993" w:type="dxa"/>
            <w:tcBorders>
              <w:top w:val="nil"/>
              <w:left w:val="nil"/>
              <w:bottom w:val="single" w:sz="4" w:space="0" w:color="auto"/>
              <w:right w:val="single" w:sz="4" w:space="0" w:color="auto"/>
            </w:tcBorders>
            <w:shd w:val="clear" w:color="auto" w:fill="auto"/>
            <w:noWrap/>
            <w:vAlign w:val="center"/>
            <w:hideMark/>
          </w:tcPr>
          <w:p w14:paraId="43707180"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12</w:t>
            </w:r>
          </w:p>
        </w:tc>
        <w:tc>
          <w:tcPr>
            <w:tcW w:w="992" w:type="dxa"/>
            <w:tcBorders>
              <w:top w:val="nil"/>
              <w:left w:val="nil"/>
              <w:bottom w:val="single" w:sz="4" w:space="0" w:color="auto"/>
              <w:right w:val="single" w:sz="4" w:space="0" w:color="auto"/>
            </w:tcBorders>
            <w:shd w:val="clear" w:color="auto" w:fill="auto"/>
            <w:noWrap/>
            <w:vAlign w:val="center"/>
            <w:hideMark/>
          </w:tcPr>
          <w:p w14:paraId="4BBF0887"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13</w:t>
            </w:r>
          </w:p>
        </w:tc>
        <w:tc>
          <w:tcPr>
            <w:tcW w:w="992" w:type="dxa"/>
            <w:tcBorders>
              <w:top w:val="nil"/>
              <w:left w:val="nil"/>
              <w:bottom w:val="single" w:sz="4" w:space="0" w:color="auto"/>
              <w:right w:val="single" w:sz="4" w:space="0" w:color="auto"/>
            </w:tcBorders>
            <w:shd w:val="clear" w:color="auto" w:fill="auto"/>
            <w:noWrap/>
            <w:vAlign w:val="center"/>
            <w:hideMark/>
          </w:tcPr>
          <w:p w14:paraId="7AB6F264"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14</w:t>
            </w:r>
          </w:p>
        </w:tc>
      </w:tr>
      <w:tr w:rsidR="0066583A" w:rsidRPr="00B16459" w14:paraId="4C33DB94" w14:textId="77777777" w:rsidTr="00E2614D">
        <w:trPr>
          <w:trHeight w:val="283"/>
        </w:trPr>
        <w:tc>
          <w:tcPr>
            <w:tcW w:w="113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0500BC8"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Алмалинский</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69E09F5E"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2012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94EBD53"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431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CC213BD" w14:textId="55B590F6" w:rsidR="0066583A" w:rsidRPr="00B16459" w:rsidRDefault="00077E0F" w:rsidP="004135FE">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0C7BF36F" w14:textId="318703D6" w:rsidR="0066583A" w:rsidRPr="00B16459" w:rsidRDefault="00077E0F" w:rsidP="004135FE">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A369E87" w14:textId="23AAF3BF" w:rsidR="0066583A" w:rsidRPr="00B16459" w:rsidRDefault="00077E0F" w:rsidP="004135FE">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p>
        </w:tc>
        <w:tc>
          <w:tcPr>
            <w:tcW w:w="992" w:type="dxa"/>
            <w:tcBorders>
              <w:top w:val="single" w:sz="4" w:space="0" w:color="auto"/>
              <w:left w:val="nil"/>
              <w:bottom w:val="single" w:sz="4" w:space="0" w:color="000000"/>
              <w:right w:val="single" w:sz="4" w:space="0" w:color="000000"/>
            </w:tcBorders>
            <w:shd w:val="clear" w:color="auto" w:fill="auto"/>
            <w:vAlign w:val="center"/>
            <w:hideMark/>
          </w:tcPr>
          <w:p w14:paraId="6C6C532B"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154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2BF8652" w14:textId="7055B968" w:rsidR="0066583A" w:rsidRPr="00B16459" w:rsidRDefault="00077E0F" w:rsidP="004135FE">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890A844" w14:textId="23B6AE83" w:rsidR="0066583A" w:rsidRPr="00B16459" w:rsidRDefault="00077E0F" w:rsidP="004135FE">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094268C" w14:textId="3251A870" w:rsidR="0066583A" w:rsidRPr="00B16459" w:rsidRDefault="00077E0F" w:rsidP="004135FE">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p>
        </w:tc>
        <w:tc>
          <w:tcPr>
            <w:tcW w:w="708" w:type="dxa"/>
            <w:tcBorders>
              <w:top w:val="single" w:sz="4" w:space="0" w:color="auto"/>
              <w:left w:val="nil"/>
              <w:bottom w:val="single" w:sz="4" w:space="0" w:color="000000"/>
              <w:right w:val="single" w:sz="4" w:space="0" w:color="000000"/>
            </w:tcBorders>
            <w:shd w:val="clear" w:color="auto" w:fill="auto"/>
            <w:vAlign w:val="center"/>
            <w:hideMark/>
          </w:tcPr>
          <w:p w14:paraId="0E97ADA4"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277</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6BED2BD1" w14:textId="01B7AA28" w:rsidR="0066583A" w:rsidRPr="00B16459" w:rsidRDefault="00077E0F" w:rsidP="004135FE">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4B6D675" w14:textId="7E076F5C" w:rsidR="0066583A" w:rsidRPr="00B16459" w:rsidRDefault="00077E0F" w:rsidP="004135FE">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54DFEC6" w14:textId="7E480A6A" w:rsidR="0066583A" w:rsidRPr="00B16459" w:rsidRDefault="00077E0F" w:rsidP="004135FE">
            <w:pPr>
              <w:spacing w:after="0" w:line="240"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p>
        </w:tc>
      </w:tr>
      <w:tr w:rsidR="0066583A" w:rsidRPr="00B16459" w14:paraId="5F44CBD3"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7C7B9B19"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2CFA0239"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2013</w:t>
            </w:r>
          </w:p>
        </w:tc>
        <w:tc>
          <w:tcPr>
            <w:tcW w:w="850" w:type="dxa"/>
            <w:tcBorders>
              <w:top w:val="nil"/>
              <w:left w:val="nil"/>
              <w:bottom w:val="single" w:sz="4" w:space="0" w:color="auto"/>
              <w:right w:val="single" w:sz="4" w:space="0" w:color="auto"/>
            </w:tcBorders>
            <w:shd w:val="clear" w:color="auto" w:fill="auto"/>
            <w:noWrap/>
            <w:vAlign w:val="center"/>
            <w:hideMark/>
          </w:tcPr>
          <w:p w14:paraId="0E340D2B"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360</w:t>
            </w:r>
          </w:p>
        </w:tc>
        <w:tc>
          <w:tcPr>
            <w:tcW w:w="992" w:type="dxa"/>
            <w:tcBorders>
              <w:top w:val="nil"/>
              <w:left w:val="nil"/>
              <w:bottom w:val="single" w:sz="4" w:space="0" w:color="auto"/>
              <w:right w:val="single" w:sz="4" w:space="0" w:color="auto"/>
            </w:tcBorders>
            <w:shd w:val="clear" w:color="auto" w:fill="auto"/>
            <w:noWrap/>
            <w:vAlign w:val="center"/>
            <w:hideMark/>
          </w:tcPr>
          <w:p w14:paraId="7DE9D088"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-71,00</w:t>
            </w:r>
          </w:p>
        </w:tc>
        <w:tc>
          <w:tcPr>
            <w:tcW w:w="1418" w:type="dxa"/>
            <w:tcBorders>
              <w:top w:val="nil"/>
              <w:left w:val="nil"/>
              <w:bottom w:val="single" w:sz="4" w:space="0" w:color="auto"/>
              <w:right w:val="single" w:sz="4" w:space="0" w:color="auto"/>
            </w:tcBorders>
            <w:shd w:val="clear" w:color="auto" w:fill="auto"/>
            <w:noWrap/>
            <w:vAlign w:val="center"/>
            <w:hideMark/>
          </w:tcPr>
          <w:p w14:paraId="0DF1EE2A"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54,83</w:t>
            </w:r>
          </w:p>
        </w:tc>
        <w:tc>
          <w:tcPr>
            <w:tcW w:w="992" w:type="dxa"/>
            <w:tcBorders>
              <w:top w:val="nil"/>
              <w:left w:val="nil"/>
              <w:bottom w:val="single" w:sz="4" w:space="0" w:color="auto"/>
              <w:right w:val="single" w:sz="4" w:space="0" w:color="auto"/>
            </w:tcBorders>
            <w:shd w:val="clear" w:color="auto" w:fill="auto"/>
            <w:noWrap/>
            <w:vAlign w:val="center"/>
            <w:hideMark/>
          </w:tcPr>
          <w:p w14:paraId="154A855F"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-45,17</w:t>
            </w:r>
          </w:p>
        </w:tc>
        <w:tc>
          <w:tcPr>
            <w:tcW w:w="992" w:type="dxa"/>
            <w:tcBorders>
              <w:top w:val="nil"/>
              <w:left w:val="nil"/>
              <w:bottom w:val="single" w:sz="4" w:space="0" w:color="000000"/>
              <w:right w:val="single" w:sz="4" w:space="0" w:color="000000"/>
            </w:tcBorders>
            <w:shd w:val="clear" w:color="auto" w:fill="auto"/>
            <w:vAlign w:val="center"/>
            <w:hideMark/>
          </w:tcPr>
          <w:p w14:paraId="66EB4542"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134</w:t>
            </w:r>
          </w:p>
        </w:tc>
        <w:tc>
          <w:tcPr>
            <w:tcW w:w="851" w:type="dxa"/>
            <w:tcBorders>
              <w:top w:val="nil"/>
              <w:left w:val="nil"/>
              <w:bottom w:val="single" w:sz="4" w:space="0" w:color="auto"/>
              <w:right w:val="single" w:sz="4" w:space="0" w:color="auto"/>
            </w:tcBorders>
            <w:shd w:val="clear" w:color="auto" w:fill="auto"/>
            <w:noWrap/>
            <w:vAlign w:val="center"/>
            <w:hideMark/>
          </w:tcPr>
          <w:p w14:paraId="6ACCD435"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-20,00</w:t>
            </w:r>
          </w:p>
        </w:tc>
        <w:tc>
          <w:tcPr>
            <w:tcW w:w="1276" w:type="dxa"/>
            <w:tcBorders>
              <w:top w:val="nil"/>
              <w:left w:val="nil"/>
              <w:bottom w:val="single" w:sz="4" w:space="0" w:color="auto"/>
              <w:right w:val="single" w:sz="4" w:space="0" w:color="auto"/>
            </w:tcBorders>
            <w:shd w:val="clear" w:color="auto" w:fill="auto"/>
            <w:noWrap/>
            <w:vAlign w:val="center"/>
            <w:hideMark/>
          </w:tcPr>
          <w:p w14:paraId="4EF5F049"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53,85</w:t>
            </w:r>
          </w:p>
        </w:tc>
        <w:tc>
          <w:tcPr>
            <w:tcW w:w="1134" w:type="dxa"/>
            <w:tcBorders>
              <w:top w:val="nil"/>
              <w:left w:val="nil"/>
              <w:bottom w:val="single" w:sz="4" w:space="0" w:color="auto"/>
              <w:right w:val="single" w:sz="4" w:space="0" w:color="auto"/>
            </w:tcBorders>
            <w:shd w:val="clear" w:color="auto" w:fill="auto"/>
            <w:noWrap/>
            <w:vAlign w:val="center"/>
            <w:hideMark/>
          </w:tcPr>
          <w:p w14:paraId="4C100440"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-46,15</w:t>
            </w:r>
          </w:p>
        </w:tc>
        <w:tc>
          <w:tcPr>
            <w:tcW w:w="708" w:type="dxa"/>
            <w:tcBorders>
              <w:top w:val="nil"/>
              <w:left w:val="nil"/>
              <w:bottom w:val="single" w:sz="4" w:space="0" w:color="000000"/>
              <w:right w:val="single" w:sz="4" w:space="0" w:color="000000"/>
            </w:tcBorders>
            <w:shd w:val="clear" w:color="auto" w:fill="auto"/>
            <w:vAlign w:val="center"/>
            <w:hideMark/>
          </w:tcPr>
          <w:p w14:paraId="1D7FDC06"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226</w:t>
            </w:r>
          </w:p>
        </w:tc>
        <w:tc>
          <w:tcPr>
            <w:tcW w:w="993" w:type="dxa"/>
            <w:tcBorders>
              <w:top w:val="nil"/>
              <w:left w:val="nil"/>
              <w:bottom w:val="single" w:sz="4" w:space="0" w:color="auto"/>
              <w:right w:val="single" w:sz="4" w:space="0" w:color="auto"/>
            </w:tcBorders>
            <w:shd w:val="clear" w:color="auto" w:fill="auto"/>
            <w:noWrap/>
            <w:vAlign w:val="center"/>
            <w:hideMark/>
          </w:tcPr>
          <w:p w14:paraId="4D28A4AD"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-51,00</w:t>
            </w:r>
          </w:p>
        </w:tc>
        <w:tc>
          <w:tcPr>
            <w:tcW w:w="992" w:type="dxa"/>
            <w:tcBorders>
              <w:top w:val="nil"/>
              <w:left w:val="nil"/>
              <w:bottom w:val="single" w:sz="4" w:space="0" w:color="auto"/>
              <w:right w:val="single" w:sz="4" w:space="0" w:color="auto"/>
            </w:tcBorders>
            <w:shd w:val="clear" w:color="auto" w:fill="auto"/>
            <w:noWrap/>
            <w:vAlign w:val="center"/>
            <w:hideMark/>
          </w:tcPr>
          <w:p w14:paraId="2B425A2A"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55,40</w:t>
            </w:r>
          </w:p>
        </w:tc>
        <w:tc>
          <w:tcPr>
            <w:tcW w:w="992" w:type="dxa"/>
            <w:tcBorders>
              <w:top w:val="nil"/>
              <w:left w:val="nil"/>
              <w:bottom w:val="single" w:sz="4" w:space="0" w:color="auto"/>
              <w:right w:val="single" w:sz="4" w:space="0" w:color="auto"/>
            </w:tcBorders>
            <w:shd w:val="clear" w:color="auto" w:fill="auto"/>
            <w:noWrap/>
            <w:vAlign w:val="center"/>
            <w:hideMark/>
          </w:tcPr>
          <w:p w14:paraId="2B89C484"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-44,60</w:t>
            </w:r>
          </w:p>
        </w:tc>
      </w:tr>
      <w:tr w:rsidR="0066583A" w:rsidRPr="00B16459" w14:paraId="07972647"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6D4C4F9E"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239744CE"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2014</w:t>
            </w:r>
          </w:p>
        </w:tc>
        <w:tc>
          <w:tcPr>
            <w:tcW w:w="850" w:type="dxa"/>
            <w:tcBorders>
              <w:top w:val="nil"/>
              <w:left w:val="nil"/>
              <w:bottom w:val="single" w:sz="4" w:space="0" w:color="auto"/>
              <w:right w:val="single" w:sz="4" w:space="0" w:color="auto"/>
            </w:tcBorders>
            <w:shd w:val="clear" w:color="auto" w:fill="auto"/>
            <w:noWrap/>
            <w:vAlign w:val="center"/>
            <w:hideMark/>
          </w:tcPr>
          <w:p w14:paraId="7D375598"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349</w:t>
            </w:r>
          </w:p>
        </w:tc>
        <w:tc>
          <w:tcPr>
            <w:tcW w:w="992" w:type="dxa"/>
            <w:tcBorders>
              <w:top w:val="nil"/>
              <w:left w:val="nil"/>
              <w:bottom w:val="single" w:sz="4" w:space="0" w:color="auto"/>
              <w:right w:val="single" w:sz="4" w:space="0" w:color="auto"/>
            </w:tcBorders>
            <w:shd w:val="clear" w:color="auto" w:fill="auto"/>
            <w:noWrap/>
            <w:vAlign w:val="center"/>
            <w:hideMark/>
          </w:tcPr>
          <w:p w14:paraId="4EDBA25A"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-11,00</w:t>
            </w:r>
          </w:p>
        </w:tc>
        <w:tc>
          <w:tcPr>
            <w:tcW w:w="1418" w:type="dxa"/>
            <w:tcBorders>
              <w:top w:val="nil"/>
              <w:left w:val="nil"/>
              <w:bottom w:val="single" w:sz="4" w:space="0" w:color="auto"/>
              <w:right w:val="single" w:sz="4" w:space="0" w:color="auto"/>
            </w:tcBorders>
            <w:shd w:val="clear" w:color="auto" w:fill="auto"/>
            <w:noWrap/>
            <w:vAlign w:val="center"/>
            <w:hideMark/>
          </w:tcPr>
          <w:p w14:paraId="5AF03388"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45,80</w:t>
            </w:r>
          </w:p>
        </w:tc>
        <w:tc>
          <w:tcPr>
            <w:tcW w:w="992" w:type="dxa"/>
            <w:tcBorders>
              <w:top w:val="nil"/>
              <w:left w:val="nil"/>
              <w:bottom w:val="single" w:sz="4" w:space="0" w:color="auto"/>
              <w:right w:val="single" w:sz="4" w:space="0" w:color="auto"/>
            </w:tcBorders>
            <w:shd w:val="clear" w:color="auto" w:fill="auto"/>
            <w:noWrap/>
            <w:vAlign w:val="center"/>
            <w:hideMark/>
          </w:tcPr>
          <w:p w14:paraId="4BF5C445"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-54,20</w:t>
            </w:r>
          </w:p>
        </w:tc>
        <w:tc>
          <w:tcPr>
            <w:tcW w:w="992" w:type="dxa"/>
            <w:tcBorders>
              <w:top w:val="nil"/>
              <w:left w:val="nil"/>
              <w:bottom w:val="single" w:sz="4" w:space="0" w:color="000000"/>
              <w:right w:val="single" w:sz="4" w:space="0" w:color="000000"/>
            </w:tcBorders>
            <w:shd w:val="clear" w:color="auto" w:fill="auto"/>
            <w:vAlign w:val="center"/>
            <w:hideMark/>
          </w:tcPr>
          <w:p w14:paraId="2E775911"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140</w:t>
            </w:r>
          </w:p>
        </w:tc>
        <w:tc>
          <w:tcPr>
            <w:tcW w:w="851" w:type="dxa"/>
            <w:tcBorders>
              <w:top w:val="nil"/>
              <w:left w:val="nil"/>
              <w:bottom w:val="single" w:sz="4" w:space="0" w:color="auto"/>
              <w:right w:val="single" w:sz="4" w:space="0" w:color="auto"/>
            </w:tcBorders>
            <w:shd w:val="clear" w:color="auto" w:fill="auto"/>
            <w:noWrap/>
            <w:vAlign w:val="center"/>
            <w:hideMark/>
          </w:tcPr>
          <w:p w14:paraId="33A0BE63"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6,00</w:t>
            </w:r>
          </w:p>
        </w:tc>
        <w:tc>
          <w:tcPr>
            <w:tcW w:w="1276" w:type="dxa"/>
            <w:tcBorders>
              <w:top w:val="nil"/>
              <w:left w:val="nil"/>
              <w:bottom w:val="single" w:sz="4" w:space="0" w:color="auto"/>
              <w:right w:val="single" w:sz="4" w:space="0" w:color="auto"/>
            </w:tcBorders>
            <w:shd w:val="clear" w:color="auto" w:fill="auto"/>
            <w:noWrap/>
            <w:vAlign w:val="center"/>
            <w:hideMark/>
          </w:tcPr>
          <w:p w14:paraId="38B4B44E"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46,85</w:t>
            </w:r>
          </w:p>
        </w:tc>
        <w:tc>
          <w:tcPr>
            <w:tcW w:w="1134" w:type="dxa"/>
            <w:tcBorders>
              <w:top w:val="nil"/>
              <w:left w:val="nil"/>
              <w:bottom w:val="single" w:sz="4" w:space="0" w:color="auto"/>
              <w:right w:val="single" w:sz="4" w:space="0" w:color="auto"/>
            </w:tcBorders>
            <w:shd w:val="clear" w:color="auto" w:fill="auto"/>
            <w:noWrap/>
            <w:vAlign w:val="center"/>
            <w:hideMark/>
          </w:tcPr>
          <w:p w14:paraId="0775F419"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-53,15</w:t>
            </w:r>
          </w:p>
        </w:tc>
        <w:tc>
          <w:tcPr>
            <w:tcW w:w="708" w:type="dxa"/>
            <w:tcBorders>
              <w:top w:val="nil"/>
              <w:left w:val="nil"/>
              <w:bottom w:val="single" w:sz="4" w:space="0" w:color="000000"/>
              <w:right w:val="single" w:sz="4" w:space="0" w:color="000000"/>
            </w:tcBorders>
            <w:shd w:val="clear" w:color="auto" w:fill="auto"/>
            <w:vAlign w:val="center"/>
            <w:hideMark/>
          </w:tcPr>
          <w:p w14:paraId="53221BCD"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209</w:t>
            </w:r>
          </w:p>
        </w:tc>
        <w:tc>
          <w:tcPr>
            <w:tcW w:w="993" w:type="dxa"/>
            <w:tcBorders>
              <w:top w:val="nil"/>
              <w:left w:val="nil"/>
              <w:bottom w:val="single" w:sz="4" w:space="0" w:color="auto"/>
              <w:right w:val="single" w:sz="4" w:space="0" w:color="auto"/>
            </w:tcBorders>
            <w:shd w:val="clear" w:color="auto" w:fill="auto"/>
            <w:noWrap/>
            <w:vAlign w:val="center"/>
            <w:hideMark/>
          </w:tcPr>
          <w:p w14:paraId="5E917491"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-17,00</w:t>
            </w:r>
          </w:p>
        </w:tc>
        <w:tc>
          <w:tcPr>
            <w:tcW w:w="992" w:type="dxa"/>
            <w:tcBorders>
              <w:top w:val="nil"/>
              <w:left w:val="nil"/>
              <w:bottom w:val="single" w:sz="4" w:space="0" w:color="auto"/>
              <w:right w:val="single" w:sz="4" w:space="0" w:color="auto"/>
            </w:tcBorders>
            <w:shd w:val="clear" w:color="auto" w:fill="auto"/>
            <w:noWrap/>
            <w:vAlign w:val="center"/>
            <w:hideMark/>
          </w:tcPr>
          <w:p w14:paraId="0D31CA80"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45,20</w:t>
            </w:r>
          </w:p>
        </w:tc>
        <w:tc>
          <w:tcPr>
            <w:tcW w:w="992" w:type="dxa"/>
            <w:tcBorders>
              <w:top w:val="nil"/>
              <w:left w:val="nil"/>
              <w:bottom w:val="single" w:sz="4" w:space="0" w:color="auto"/>
              <w:right w:val="single" w:sz="4" w:space="0" w:color="auto"/>
            </w:tcBorders>
            <w:shd w:val="clear" w:color="auto" w:fill="auto"/>
            <w:noWrap/>
            <w:vAlign w:val="center"/>
            <w:hideMark/>
          </w:tcPr>
          <w:p w14:paraId="4A325296"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-54,80</w:t>
            </w:r>
          </w:p>
        </w:tc>
      </w:tr>
      <w:tr w:rsidR="0066583A" w:rsidRPr="00B16459" w14:paraId="68F56A1C"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4CA426D7"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5072F706"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2015</w:t>
            </w:r>
          </w:p>
        </w:tc>
        <w:tc>
          <w:tcPr>
            <w:tcW w:w="850" w:type="dxa"/>
            <w:tcBorders>
              <w:top w:val="nil"/>
              <w:left w:val="nil"/>
              <w:bottom w:val="single" w:sz="4" w:space="0" w:color="auto"/>
              <w:right w:val="single" w:sz="4" w:space="0" w:color="auto"/>
            </w:tcBorders>
            <w:shd w:val="clear" w:color="auto" w:fill="auto"/>
            <w:noWrap/>
            <w:vAlign w:val="center"/>
            <w:hideMark/>
          </w:tcPr>
          <w:p w14:paraId="657B70C0"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447</w:t>
            </w:r>
          </w:p>
        </w:tc>
        <w:tc>
          <w:tcPr>
            <w:tcW w:w="992" w:type="dxa"/>
            <w:tcBorders>
              <w:top w:val="nil"/>
              <w:left w:val="nil"/>
              <w:bottom w:val="single" w:sz="4" w:space="0" w:color="auto"/>
              <w:right w:val="single" w:sz="4" w:space="0" w:color="auto"/>
            </w:tcBorders>
            <w:shd w:val="clear" w:color="auto" w:fill="auto"/>
            <w:noWrap/>
            <w:vAlign w:val="center"/>
            <w:hideMark/>
          </w:tcPr>
          <w:p w14:paraId="4BA17235"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98,00</w:t>
            </w:r>
          </w:p>
        </w:tc>
        <w:tc>
          <w:tcPr>
            <w:tcW w:w="1418" w:type="dxa"/>
            <w:tcBorders>
              <w:top w:val="nil"/>
              <w:left w:val="nil"/>
              <w:bottom w:val="single" w:sz="4" w:space="0" w:color="auto"/>
              <w:right w:val="single" w:sz="4" w:space="0" w:color="auto"/>
            </w:tcBorders>
            <w:shd w:val="clear" w:color="auto" w:fill="auto"/>
            <w:noWrap/>
            <w:vAlign w:val="center"/>
            <w:hideMark/>
          </w:tcPr>
          <w:p w14:paraId="0BA729C8"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44,40</w:t>
            </w:r>
          </w:p>
        </w:tc>
        <w:tc>
          <w:tcPr>
            <w:tcW w:w="992" w:type="dxa"/>
            <w:tcBorders>
              <w:top w:val="nil"/>
              <w:left w:val="nil"/>
              <w:bottom w:val="single" w:sz="4" w:space="0" w:color="auto"/>
              <w:right w:val="single" w:sz="4" w:space="0" w:color="auto"/>
            </w:tcBorders>
            <w:shd w:val="clear" w:color="auto" w:fill="auto"/>
            <w:noWrap/>
            <w:vAlign w:val="center"/>
            <w:hideMark/>
          </w:tcPr>
          <w:p w14:paraId="26FA9EEC"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-55,60</w:t>
            </w:r>
          </w:p>
        </w:tc>
        <w:tc>
          <w:tcPr>
            <w:tcW w:w="992" w:type="dxa"/>
            <w:tcBorders>
              <w:top w:val="nil"/>
              <w:left w:val="nil"/>
              <w:bottom w:val="single" w:sz="4" w:space="0" w:color="000000"/>
              <w:right w:val="single" w:sz="4" w:space="0" w:color="000000"/>
            </w:tcBorders>
            <w:shd w:val="clear" w:color="auto" w:fill="auto"/>
            <w:vAlign w:val="center"/>
            <w:hideMark/>
          </w:tcPr>
          <w:p w14:paraId="77AF7F39"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174</w:t>
            </w:r>
          </w:p>
        </w:tc>
        <w:tc>
          <w:tcPr>
            <w:tcW w:w="851" w:type="dxa"/>
            <w:tcBorders>
              <w:top w:val="nil"/>
              <w:left w:val="nil"/>
              <w:bottom w:val="single" w:sz="4" w:space="0" w:color="auto"/>
              <w:right w:val="single" w:sz="4" w:space="0" w:color="auto"/>
            </w:tcBorders>
            <w:shd w:val="clear" w:color="auto" w:fill="auto"/>
            <w:noWrap/>
            <w:vAlign w:val="center"/>
            <w:hideMark/>
          </w:tcPr>
          <w:p w14:paraId="22B0B674"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34,00</w:t>
            </w:r>
          </w:p>
        </w:tc>
        <w:tc>
          <w:tcPr>
            <w:tcW w:w="1276" w:type="dxa"/>
            <w:tcBorders>
              <w:top w:val="nil"/>
              <w:left w:val="nil"/>
              <w:bottom w:val="single" w:sz="4" w:space="0" w:color="auto"/>
              <w:right w:val="single" w:sz="4" w:space="0" w:color="auto"/>
            </w:tcBorders>
            <w:shd w:val="clear" w:color="auto" w:fill="auto"/>
            <w:noWrap/>
            <w:vAlign w:val="center"/>
            <w:hideMark/>
          </w:tcPr>
          <w:p w14:paraId="705446A5"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48,95</w:t>
            </w:r>
          </w:p>
        </w:tc>
        <w:tc>
          <w:tcPr>
            <w:tcW w:w="1134" w:type="dxa"/>
            <w:tcBorders>
              <w:top w:val="nil"/>
              <w:left w:val="nil"/>
              <w:bottom w:val="single" w:sz="4" w:space="0" w:color="auto"/>
              <w:right w:val="single" w:sz="4" w:space="0" w:color="auto"/>
            </w:tcBorders>
            <w:shd w:val="clear" w:color="auto" w:fill="auto"/>
            <w:noWrap/>
            <w:vAlign w:val="center"/>
            <w:hideMark/>
          </w:tcPr>
          <w:p w14:paraId="6C272538"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-51,05</w:t>
            </w:r>
          </w:p>
        </w:tc>
        <w:tc>
          <w:tcPr>
            <w:tcW w:w="708" w:type="dxa"/>
            <w:tcBorders>
              <w:top w:val="nil"/>
              <w:left w:val="nil"/>
              <w:bottom w:val="single" w:sz="4" w:space="0" w:color="000000"/>
              <w:right w:val="single" w:sz="4" w:space="0" w:color="000000"/>
            </w:tcBorders>
            <w:shd w:val="clear" w:color="auto" w:fill="auto"/>
            <w:vAlign w:val="center"/>
            <w:hideMark/>
          </w:tcPr>
          <w:p w14:paraId="34CBCA28"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273</w:t>
            </w:r>
          </w:p>
        </w:tc>
        <w:tc>
          <w:tcPr>
            <w:tcW w:w="993" w:type="dxa"/>
            <w:tcBorders>
              <w:top w:val="nil"/>
              <w:left w:val="nil"/>
              <w:bottom w:val="single" w:sz="4" w:space="0" w:color="auto"/>
              <w:right w:val="single" w:sz="4" w:space="0" w:color="auto"/>
            </w:tcBorders>
            <w:shd w:val="clear" w:color="auto" w:fill="auto"/>
            <w:noWrap/>
            <w:vAlign w:val="center"/>
            <w:hideMark/>
          </w:tcPr>
          <w:p w14:paraId="09174144"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64,00</w:t>
            </w:r>
          </w:p>
        </w:tc>
        <w:tc>
          <w:tcPr>
            <w:tcW w:w="992" w:type="dxa"/>
            <w:tcBorders>
              <w:top w:val="nil"/>
              <w:left w:val="nil"/>
              <w:bottom w:val="single" w:sz="4" w:space="0" w:color="auto"/>
              <w:right w:val="single" w:sz="4" w:space="0" w:color="auto"/>
            </w:tcBorders>
            <w:shd w:val="clear" w:color="auto" w:fill="auto"/>
            <w:noWrap/>
            <w:vAlign w:val="center"/>
            <w:hideMark/>
          </w:tcPr>
          <w:p w14:paraId="5C2F9449"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41,80</w:t>
            </w:r>
          </w:p>
        </w:tc>
        <w:tc>
          <w:tcPr>
            <w:tcW w:w="992" w:type="dxa"/>
            <w:tcBorders>
              <w:top w:val="nil"/>
              <w:left w:val="nil"/>
              <w:bottom w:val="single" w:sz="4" w:space="0" w:color="auto"/>
              <w:right w:val="single" w:sz="4" w:space="0" w:color="auto"/>
            </w:tcBorders>
            <w:shd w:val="clear" w:color="auto" w:fill="auto"/>
            <w:noWrap/>
            <w:vAlign w:val="center"/>
            <w:hideMark/>
          </w:tcPr>
          <w:p w14:paraId="28589268"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-58,20</w:t>
            </w:r>
          </w:p>
        </w:tc>
      </w:tr>
      <w:tr w:rsidR="0066583A" w:rsidRPr="00B16459" w14:paraId="660BE214"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29F49535"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270CCE59"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2016</w:t>
            </w:r>
          </w:p>
        </w:tc>
        <w:tc>
          <w:tcPr>
            <w:tcW w:w="850" w:type="dxa"/>
            <w:tcBorders>
              <w:top w:val="nil"/>
              <w:left w:val="nil"/>
              <w:bottom w:val="single" w:sz="4" w:space="0" w:color="auto"/>
              <w:right w:val="single" w:sz="4" w:space="0" w:color="auto"/>
            </w:tcBorders>
            <w:shd w:val="clear" w:color="auto" w:fill="auto"/>
            <w:noWrap/>
            <w:vAlign w:val="center"/>
            <w:hideMark/>
          </w:tcPr>
          <w:p w14:paraId="3154F9BC"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638</w:t>
            </w:r>
          </w:p>
        </w:tc>
        <w:tc>
          <w:tcPr>
            <w:tcW w:w="992" w:type="dxa"/>
            <w:tcBorders>
              <w:top w:val="nil"/>
              <w:left w:val="nil"/>
              <w:bottom w:val="single" w:sz="4" w:space="0" w:color="auto"/>
              <w:right w:val="single" w:sz="4" w:space="0" w:color="auto"/>
            </w:tcBorders>
            <w:shd w:val="clear" w:color="auto" w:fill="auto"/>
            <w:noWrap/>
            <w:vAlign w:val="center"/>
            <w:hideMark/>
          </w:tcPr>
          <w:p w14:paraId="23FD6D20"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191,00</w:t>
            </w:r>
          </w:p>
        </w:tc>
        <w:tc>
          <w:tcPr>
            <w:tcW w:w="1418" w:type="dxa"/>
            <w:tcBorders>
              <w:top w:val="nil"/>
              <w:left w:val="nil"/>
              <w:bottom w:val="single" w:sz="4" w:space="0" w:color="auto"/>
              <w:right w:val="single" w:sz="4" w:space="0" w:color="auto"/>
            </w:tcBorders>
            <w:shd w:val="clear" w:color="auto" w:fill="auto"/>
            <w:noWrap/>
            <w:vAlign w:val="center"/>
            <w:hideMark/>
          </w:tcPr>
          <w:p w14:paraId="4C503792"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56,87</w:t>
            </w:r>
          </w:p>
        </w:tc>
        <w:tc>
          <w:tcPr>
            <w:tcW w:w="992" w:type="dxa"/>
            <w:tcBorders>
              <w:top w:val="nil"/>
              <w:left w:val="nil"/>
              <w:bottom w:val="single" w:sz="4" w:space="0" w:color="auto"/>
              <w:right w:val="single" w:sz="4" w:space="0" w:color="auto"/>
            </w:tcBorders>
            <w:shd w:val="clear" w:color="auto" w:fill="auto"/>
            <w:noWrap/>
            <w:vAlign w:val="center"/>
            <w:hideMark/>
          </w:tcPr>
          <w:p w14:paraId="3C70B8CD"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-43,13</w:t>
            </w:r>
          </w:p>
        </w:tc>
        <w:tc>
          <w:tcPr>
            <w:tcW w:w="992" w:type="dxa"/>
            <w:tcBorders>
              <w:top w:val="nil"/>
              <w:left w:val="nil"/>
              <w:bottom w:val="single" w:sz="4" w:space="0" w:color="000000"/>
              <w:right w:val="single" w:sz="4" w:space="0" w:color="000000"/>
            </w:tcBorders>
            <w:shd w:val="clear" w:color="auto" w:fill="auto"/>
            <w:vAlign w:val="center"/>
            <w:hideMark/>
          </w:tcPr>
          <w:p w14:paraId="4B6E655E"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240</w:t>
            </w:r>
          </w:p>
        </w:tc>
        <w:tc>
          <w:tcPr>
            <w:tcW w:w="851" w:type="dxa"/>
            <w:tcBorders>
              <w:top w:val="nil"/>
              <w:left w:val="nil"/>
              <w:bottom w:val="single" w:sz="4" w:space="0" w:color="auto"/>
              <w:right w:val="single" w:sz="4" w:space="0" w:color="auto"/>
            </w:tcBorders>
            <w:shd w:val="clear" w:color="auto" w:fill="auto"/>
            <w:noWrap/>
            <w:vAlign w:val="center"/>
            <w:hideMark/>
          </w:tcPr>
          <w:p w14:paraId="65339945"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66,00</w:t>
            </w:r>
          </w:p>
        </w:tc>
        <w:tc>
          <w:tcPr>
            <w:tcW w:w="1276" w:type="dxa"/>
            <w:tcBorders>
              <w:top w:val="nil"/>
              <w:left w:val="nil"/>
              <w:bottom w:val="single" w:sz="4" w:space="0" w:color="auto"/>
              <w:right w:val="single" w:sz="4" w:space="0" w:color="auto"/>
            </w:tcBorders>
            <w:shd w:val="clear" w:color="auto" w:fill="auto"/>
            <w:noWrap/>
            <w:vAlign w:val="center"/>
            <w:hideMark/>
          </w:tcPr>
          <w:p w14:paraId="078BC8E8"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60,84</w:t>
            </w:r>
          </w:p>
        </w:tc>
        <w:tc>
          <w:tcPr>
            <w:tcW w:w="1134" w:type="dxa"/>
            <w:tcBorders>
              <w:top w:val="nil"/>
              <w:left w:val="nil"/>
              <w:bottom w:val="single" w:sz="4" w:space="0" w:color="auto"/>
              <w:right w:val="single" w:sz="4" w:space="0" w:color="auto"/>
            </w:tcBorders>
            <w:shd w:val="clear" w:color="auto" w:fill="auto"/>
            <w:noWrap/>
            <w:vAlign w:val="center"/>
            <w:hideMark/>
          </w:tcPr>
          <w:p w14:paraId="18A721C8"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-39,16</w:t>
            </w:r>
          </w:p>
        </w:tc>
        <w:tc>
          <w:tcPr>
            <w:tcW w:w="708" w:type="dxa"/>
            <w:tcBorders>
              <w:top w:val="nil"/>
              <w:left w:val="nil"/>
              <w:bottom w:val="single" w:sz="4" w:space="0" w:color="000000"/>
              <w:right w:val="single" w:sz="4" w:space="0" w:color="000000"/>
            </w:tcBorders>
            <w:shd w:val="clear" w:color="auto" w:fill="auto"/>
            <w:vAlign w:val="center"/>
            <w:hideMark/>
          </w:tcPr>
          <w:p w14:paraId="5EC7C3A8"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398</w:t>
            </w:r>
          </w:p>
        </w:tc>
        <w:tc>
          <w:tcPr>
            <w:tcW w:w="993" w:type="dxa"/>
            <w:tcBorders>
              <w:top w:val="nil"/>
              <w:left w:val="nil"/>
              <w:bottom w:val="single" w:sz="4" w:space="0" w:color="auto"/>
              <w:right w:val="single" w:sz="4" w:space="0" w:color="auto"/>
            </w:tcBorders>
            <w:shd w:val="clear" w:color="auto" w:fill="auto"/>
            <w:noWrap/>
            <w:vAlign w:val="center"/>
            <w:hideMark/>
          </w:tcPr>
          <w:p w14:paraId="30A9E13E"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125,00</w:t>
            </w:r>
          </w:p>
        </w:tc>
        <w:tc>
          <w:tcPr>
            <w:tcW w:w="992" w:type="dxa"/>
            <w:tcBorders>
              <w:top w:val="nil"/>
              <w:left w:val="nil"/>
              <w:bottom w:val="single" w:sz="4" w:space="0" w:color="auto"/>
              <w:right w:val="single" w:sz="4" w:space="0" w:color="auto"/>
            </w:tcBorders>
            <w:shd w:val="clear" w:color="auto" w:fill="auto"/>
            <w:noWrap/>
            <w:vAlign w:val="center"/>
            <w:hideMark/>
          </w:tcPr>
          <w:p w14:paraId="0032DFDE"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54,60</w:t>
            </w:r>
          </w:p>
        </w:tc>
        <w:tc>
          <w:tcPr>
            <w:tcW w:w="992" w:type="dxa"/>
            <w:tcBorders>
              <w:top w:val="nil"/>
              <w:left w:val="nil"/>
              <w:bottom w:val="single" w:sz="4" w:space="0" w:color="auto"/>
              <w:right w:val="single" w:sz="4" w:space="0" w:color="auto"/>
            </w:tcBorders>
            <w:shd w:val="clear" w:color="auto" w:fill="auto"/>
            <w:noWrap/>
            <w:vAlign w:val="center"/>
            <w:hideMark/>
          </w:tcPr>
          <w:p w14:paraId="3AC3010B"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-45,40</w:t>
            </w:r>
          </w:p>
        </w:tc>
      </w:tr>
      <w:tr w:rsidR="0066583A" w:rsidRPr="00B16459" w14:paraId="470EEF51"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70ED14BF"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5241CA6A"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2017</w:t>
            </w:r>
          </w:p>
        </w:tc>
        <w:tc>
          <w:tcPr>
            <w:tcW w:w="850" w:type="dxa"/>
            <w:tcBorders>
              <w:top w:val="nil"/>
              <w:left w:val="nil"/>
              <w:bottom w:val="single" w:sz="4" w:space="0" w:color="auto"/>
              <w:right w:val="single" w:sz="4" w:space="0" w:color="auto"/>
            </w:tcBorders>
            <w:shd w:val="clear" w:color="auto" w:fill="auto"/>
            <w:noWrap/>
            <w:vAlign w:val="center"/>
            <w:hideMark/>
          </w:tcPr>
          <w:p w14:paraId="40FF150E"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652</w:t>
            </w:r>
          </w:p>
        </w:tc>
        <w:tc>
          <w:tcPr>
            <w:tcW w:w="992" w:type="dxa"/>
            <w:tcBorders>
              <w:top w:val="nil"/>
              <w:left w:val="nil"/>
              <w:bottom w:val="single" w:sz="4" w:space="0" w:color="auto"/>
              <w:right w:val="single" w:sz="4" w:space="0" w:color="auto"/>
            </w:tcBorders>
            <w:shd w:val="clear" w:color="auto" w:fill="auto"/>
            <w:noWrap/>
            <w:vAlign w:val="center"/>
            <w:hideMark/>
          </w:tcPr>
          <w:p w14:paraId="14D79E0B"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14,00</w:t>
            </w:r>
          </w:p>
        </w:tc>
        <w:tc>
          <w:tcPr>
            <w:tcW w:w="1418" w:type="dxa"/>
            <w:tcBorders>
              <w:top w:val="nil"/>
              <w:left w:val="nil"/>
              <w:bottom w:val="single" w:sz="4" w:space="0" w:color="auto"/>
              <w:right w:val="single" w:sz="4" w:space="0" w:color="auto"/>
            </w:tcBorders>
            <w:shd w:val="clear" w:color="auto" w:fill="auto"/>
            <w:noWrap/>
            <w:vAlign w:val="center"/>
            <w:hideMark/>
          </w:tcPr>
          <w:p w14:paraId="2ED6CB50"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81,17</w:t>
            </w:r>
          </w:p>
        </w:tc>
        <w:tc>
          <w:tcPr>
            <w:tcW w:w="992" w:type="dxa"/>
            <w:tcBorders>
              <w:top w:val="nil"/>
              <w:left w:val="nil"/>
              <w:bottom w:val="single" w:sz="4" w:space="0" w:color="auto"/>
              <w:right w:val="single" w:sz="4" w:space="0" w:color="auto"/>
            </w:tcBorders>
            <w:shd w:val="clear" w:color="auto" w:fill="auto"/>
            <w:noWrap/>
            <w:vAlign w:val="center"/>
            <w:hideMark/>
          </w:tcPr>
          <w:p w14:paraId="01428233"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-18,83</w:t>
            </w:r>
          </w:p>
        </w:tc>
        <w:tc>
          <w:tcPr>
            <w:tcW w:w="992" w:type="dxa"/>
            <w:tcBorders>
              <w:top w:val="nil"/>
              <w:left w:val="nil"/>
              <w:bottom w:val="single" w:sz="4" w:space="0" w:color="000000"/>
              <w:right w:val="single" w:sz="4" w:space="0" w:color="000000"/>
            </w:tcBorders>
            <w:shd w:val="clear" w:color="auto" w:fill="auto"/>
            <w:vAlign w:val="center"/>
            <w:hideMark/>
          </w:tcPr>
          <w:p w14:paraId="6F89929A"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244</w:t>
            </w:r>
          </w:p>
        </w:tc>
        <w:tc>
          <w:tcPr>
            <w:tcW w:w="851" w:type="dxa"/>
            <w:tcBorders>
              <w:top w:val="nil"/>
              <w:left w:val="nil"/>
              <w:bottom w:val="single" w:sz="4" w:space="0" w:color="auto"/>
              <w:right w:val="single" w:sz="4" w:space="0" w:color="auto"/>
            </w:tcBorders>
            <w:shd w:val="clear" w:color="auto" w:fill="auto"/>
            <w:noWrap/>
            <w:vAlign w:val="center"/>
            <w:hideMark/>
          </w:tcPr>
          <w:p w14:paraId="0BCA0101"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4,00</w:t>
            </w:r>
          </w:p>
        </w:tc>
        <w:tc>
          <w:tcPr>
            <w:tcW w:w="1276" w:type="dxa"/>
            <w:tcBorders>
              <w:top w:val="nil"/>
              <w:left w:val="nil"/>
              <w:bottom w:val="single" w:sz="4" w:space="0" w:color="auto"/>
              <w:right w:val="single" w:sz="4" w:space="0" w:color="auto"/>
            </w:tcBorders>
            <w:shd w:val="clear" w:color="auto" w:fill="auto"/>
            <w:noWrap/>
            <w:vAlign w:val="center"/>
            <w:hideMark/>
          </w:tcPr>
          <w:p w14:paraId="5F954752"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83,92</w:t>
            </w:r>
          </w:p>
        </w:tc>
        <w:tc>
          <w:tcPr>
            <w:tcW w:w="1134" w:type="dxa"/>
            <w:tcBorders>
              <w:top w:val="nil"/>
              <w:left w:val="nil"/>
              <w:bottom w:val="single" w:sz="4" w:space="0" w:color="auto"/>
              <w:right w:val="single" w:sz="4" w:space="0" w:color="auto"/>
            </w:tcBorders>
            <w:shd w:val="clear" w:color="auto" w:fill="auto"/>
            <w:noWrap/>
            <w:vAlign w:val="center"/>
            <w:hideMark/>
          </w:tcPr>
          <w:p w14:paraId="7CDE0B52"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-16,08</w:t>
            </w:r>
          </w:p>
        </w:tc>
        <w:tc>
          <w:tcPr>
            <w:tcW w:w="708" w:type="dxa"/>
            <w:tcBorders>
              <w:top w:val="nil"/>
              <w:left w:val="nil"/>
              <w:bottom w:val="single" w:sz="4" w:space="0" w:color="000000"/>
              <w:right w:val="single" w:sz="4" w:space="0" w:color="000000"/>
            </w:tcBorders>
            <w:shd w:val="clear" w:color="auto" w:fill="auto"/>
            <w:vAlign w:val="center"/>
            <w:hideMark/>
          </w:tcPr>
          <w:p w14:paraId="6D6556A0"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408</w:t>
            </w:r>
          </w:p>
        </w:tc>
        <w:tc>
          <w:tcPr>
            <w:tcW w:w="993" w:type="dxa"/>
            <w:tcBorders>
              <w:top w:val="nil"/>
              <w:left w:val="nil"/>
              <w:bottom w:val="single" w:sz="4" w:space="0" w:color="auto"/>
              <w:right w:val="single" w:sz="4" w:space="0" w:color="auto"/>
            </w:tcBorders>
            <w:shd w:val="clear" w:color="auto" w:fill="auto"/>
            <w:noWrap/>
            <w:vAlign w:val="center"/>
            <w:hideMark/>
          </w:tcPr>
          <w:p w14:paraId="63B9327B"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10,00</w:t>
            </w:r>
          </w:p>
        </w:tc>
        <w:tc>
          <w:tcPr>
            <w:tcW w:w="992" w:type="dxa"/>
            <w:tcBorders>
              <w:top w:val="nil"/>
              <w:left w:val="nil"/>
              <w:bottom w:val="single" w:sz="4" w:space="0" w:color="auto"/>
              <w:right w:val="single" w:sz="4" w:space="0" w:color="auto"/>
            </w:tcBorders>
            <w:shd w:val="clear" w:color="auto" w:fill="auto"/>
            <w:noWrap/>
            <w:vAlign w:val="center"/>
            <w:hideMark/>
          </w:tcPr>
          <w:p w14:paraId="52D28A59"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79,60</w:t>
            </w:r>
          </w:p>
        </w:tc>
        <w:tc>
          <w:tcPr>
            <w:tcW w:w="992" w:type="dxa"/>
            <w:tcBorders>
              <w:top w:val="nil"/>
              <w:left w:val="nil"/>
              <w:bottom w:val="single" w:sz="4" w:space="0" w:color="auto"/>
              <w:right w:val="single" w:sz="4" w:space="0" w:color="auto"/>
            </w:tcBorders>
            <w:shd w:val="clear" w:color="auto" w:fill="auto"/>
            <w:noWrap/>
            <w:vAlign w:val="center"/>
            <w:hideMark/>
          </w:tcPr>
          <w:p w14:paraId="72126739"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-20,40</w:t>
            </w:r>
          </w:p>
        </w:tc>
      </w:tr>
      <w:tr w:rsidR="0066583A" w:rsidRPr="00B16459" w14:paraId="1DA0D19F"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22FFC8C6"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49C61F4F"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2018</w:t>
            </w:r>
          </w:p>
        </w:tc>
        <w:tc>
          <w:tcPr>
            <w:tcW w:w="850" w:type="dxa"/>
            <w:tcBorders>
              <w:top w:val="nil"/>
              <w:left w:val="nil"/>
              <w:bottom w:val="single" w:sz="4" w:space="0" w:color="auto"/>
              <w:right w:val="single" w:sz="4" w:space="0" w:color="auto"/>
            </w:tcBorders>
            <w:shd w:val="clear" w:color="auto" w:fill="auto"/>
            <w:noWrap/>
            <w:vAlign w:val="center"/>
            <w:hideMark/>
          </w:tcPr>
          <w:p w14:paraId="50ABE933"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652</w:t>
            </w:r>
          </w:p>
        </w:tc>
        <w:tc>
          <w:tcPr>
            <w:tcW w:w="992" w:type="dxa"/>
            <w:tcBorders>
              <w:top w:val="nil"/>
              <w:left w:val="nil"/>
              <w:bottom w:val="single" w:sz="4" w:space="0" w:color="auto"/>
              <w:right w:val="single" w:sz="4" w:space="0" w:color="auto"/>
            </w:tcBorders>
            <w:shd w:val="clear" w:color="auto" w:fill="auto"/>
            <w:noWrap/>
            <w:vAlign w:val="center"/>
            <w:hideMark/>
          </w:tcPr>
          <w:p w14:paraId="6E1E18A6"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13A49151"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82,95</w:t>
            </w:r>
          </w:p>
        </w:tc>
        <w:tc>
          <w:tcPr>
            <w:tcW w:w="992" w:type="dxa"/>
            <w:tcBorders>
              <w:top w:val="nil"/>
              <w:left w:val="nil"/>
              <w:bottom w:val="single" w:sz="4" w:space="0" w:color="auto"/>
              <w:right w:val="single" w:sz="4" w:space="0" w:color="auto"/>
            </w:tcBorders>
            <w:shd w:val="clear" w:color="auto" w:fill="auto"/>
            <w:noWrap/>
            <w:vAlign w:val="center"/>
            <w:hideMark/>
          </w:tcPr>
          <w:p w14:paraId="2B679164"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-17,05</w:t>
            </w:r>
          </w:p>
        </w:tc>
        <w:tc>
          <w:tcPr>
            <w:tcW w:w="992" w:type="dxa"/>
            <w:tcBorders>
              <w:top w:val="nil"/>
              <w:left w:val="nil"/>
              <w:bottom w:val="single" w:sz="4" w:space="0" w:color="000000"/>
              <w:right w:val="single" w:sz="4" w:space="0" w:color="000000"/>
            </w:tcBorders>
            <w:shd w:val="clear" w:color="auto" w:fill="auto"/>
            <w:vAlign w:val="center"/>
            <w:hideMark/>
          </w:tcPr>
          <w:p w14:paraId="3F416F50"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259</w:t>
            </w:r>
          </w:p>
        </w:tc>
        <w:tc>
          <w:tcPr>
            <w:tcW w:w="851" w:type="dxa"/>
            <w:tcBorders>
              <w:top w:val="nil"/>
              <w:left w:val="nil"/>
              <w:bottom w:val="single" w:sz="4" w:space="0" w:color="auto"/>
              <w:right w:val="single" w:sz="4" w:space="0" w:color="auto"/>
            </w:tcBorders>
            <w:shd w:val="clear" w:color="auto" w:fill="auto"/>
            <w:noWrap/>
            <w:vAlign w:val="center"/>
            <w:hideMark/>
          </w:tcPr>
          <w:p w14:paraId="4C581C90"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15,00</w:t>
            </w:r>
          </w:p>
        </w:tc>
        <w:tc>
          <w:tcPr>
            <w:tcW w:w="1276" w:type="dxa"/>
            <w:tcBorders>
              <w:top w:val="nil"/>
              <w:left w:val="nil"/>
              <w:bottom w:val="single" w:sz="4" w:space="0" w:color="auto"/>
              <w:right w:val="single" w:sz="4" w:space="0" w:color="auto"/>
            </w:tcBorders>
            <w:shd w:val="clear" w:color="auto" w:fill="auto"/>
            <w:noWrap/>
            <w:vAlign w:val="center"/>
            <w:hideMark/>
          </w:tcPr>
          <w:p w14:paraId="6B4CAB9C"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85,31</w:t>
            </w:r>
          </w:p>
        </w:tc>
        <w:tc>
          <w:tcPr>
            <w:tcW w:w="1134" w:type="dxa"/>
            <w:tcBorders>
              <w:top w:val="nil"/>
              <w:left w:val="nil"/>
              <w:bottom w:val="single" w:sz="4" w:space="0" w:color="auto"/>
              <w:right w:val="single" w:sz="4" w:space="0" w:color="auto"/>
            </w:tcBorders>
            <w:shd w:val="clear" w:color="auto" w:fill="auto"/>
            <w:noWrap/>
            <w:vAlign w:val="center"/>
            <w:hideMark/>
          </w:tcPr>
          <w:p w14:paraId="77605DB4"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-14,69</w:t>
            </w:r>
          </w:p>
        </w:tc>
        <w:tc>
          <w:tcPr>
            <w:tcW w:w="708" w:type="dxa"/>
            <w:tcBorders>
              <w:top w:val="nil"/>
              <w:left w:val="nil"/>
              <w:bottom w:val="single" w:sz="4" w:space="0" w:color="000000"/>
              <w:right w:val="single" w:sz="4" w:space="0" w:color="000000"/>
            </w:tcBorders>
            <w:shd w:val="clear" w:color="auto" w:fill="auto"/>
            <w:vAlign w:val="center"/>
            <w:hideMark/>
          </w:tcPr>
          <w:p w14:paraId="46F7C118"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393</w:t>
            </w:r>
          </w:p>
        </w:tc>
        <w:tc>
          <w:tcPr>
            <w:tcW w:w="993" w:type="dxa"/>
            <w:tcBorders>
              <w:top w:val="nil"/>
              <w:left w:val="nil"/>
              <w:bottom w:val="single" w:sz="4" w:space="0" w:color="auto"/>
              <w:right w:val="single" w:sz="4" w:space="0" w:color="auto"/>
            </w:tcBorders>
            <w:shd w:val="clear" w:color="auto" w:fill="auto"/>
            <w:noWrap/>
            <w:vAlign w:val="center"/>
            <w:hideMark/>
          </w:tcPr>
          <w:p w14:paraId="29B7958E"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-15,00</w:t>
            </w:r>
          </w:p>
        </w:tc>
        <w:tc>
          <w:tcPr>
            <w:tcW w:w="992" w:type="dxa"/>
            <w:tcBorders>
              <w:top w:val="nil"/>
              <w:left w:val="nil"/>
              <w:bottom w:val="single" w:sz="4" w:space="0" w:color="auto"/>
              <w:right w:val="single" w:sz="4" w:space="0" w:color="auto"/>
            </w:tcBorders>
            <w:shd w:val="clear" w:color="auto" w:fill="auto"/>
            <w:noWrap/>
            <w:vAlign w:val="center"/>
            <w:hideMark/>
          </w:tcPr>
          <w:p w14:paraId="02F12847"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81,60</w:t>
            </w:r>
          </w:p>
        </w:tc>
        <w:tc>
          <w:tcPr>
            <w:tcW w:w="992" w:type="dxa"/>
            <w:tcBorders>
              <w:top w:val="nil"/>
              <w:left w:val="nil"/>
              <w:bottom w:val="single" w:sz="4" w:space="0" w:color="auto"/>
              <w:right w:val="single" w:sz="4" w:space="0" w:color="auto"/>
            </w:tcBorders>
            <w:shd w:val="clear" w:color="auto" w:fill="auto"/>
            <w:noWrap/>
            <w:vAlign w:val="center"/>
            <w:hideMark/>
          </w:tcPr>
          <w:p w14:paraId="78A2EE67"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-18,40</w:t>
            </w:r>
          </w:p>
        </w:tc>
      </w:tr>
      <w:tr w:rsidR="0066583A" w:rsidRPr="00B16459" w14:paraId="37A97CA1"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3D96700B"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4F552113"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2019</w:t>
            </w:r>
          </w:p>
        </w:tc>
        <w:tc>
          <w:tcPr>
            <w:tcW w:w="850" w:type="dxa"/>
            <w:tcBorders>
              <w:top w:val="nil"/>
              <w:left w:val="nil"/>
              <w:bottom w:val="single" w:sz="4" w:space="0" w:color="auto"/>
              <w:right w:val="single" w:sz="4" w:space="0" w:color="auto"/>
            </w:tcBorders>
            <w:shd w:val="clear" w:color="auto" w:fill="auto"/>
            <w:noWrap/>
            <w:vAlign w:val="center"/>
            <w:hideMark/>
          </w:tcPr>
          <w:p w14:paraId="0FE2AFE5"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710</w:t>
            </w:r>
          </w:p>
        </w:tc>
        <w:tc>
          <w:tcPr>
            <w:tcW w:w="992" w:type="dxa"/>
            <w:tcBorders>
              <w:top w:val="nil"/>
              <w:left w:val="nil"/>
              <w:bottom w:val="single" w:sz="4" w:space="0" w:color="auto"/>
              <w:right w:val="single" w:sz="4" w:space="0" w:color="auto"/>
            </w:tcBorders>
            <w:shd w:val="clear" w:color="auto" w:fill="auto"/>
            <w:noWrap/>
            <w:vAlign w:val="center"/>
            <w:hideMark/>
          </w:tcPr>
          <w:p w14:paraId="06829D71"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58,00</w:t>
            </w:r>
          </w:p>
        </w:tc>
        <w:tc>
          <w:tcPr>
            <w:tcW w:w="1418" w:type="dxa"/>
            <w:tcBorders>
              <w:top w:val="nil"/>
              <w:left w:val="nil"/>
              <w:bottom w:val="single" w:sz="4" w:space="0" w:color="auto"/>
              <w:right w:val="single" w:sz="4" w:space="0" w:color="auto"/>
            </w:tcBorders>
            <w:shd w:val="clear" w:color="auto" w:fill="auto"/>
            <w:noWrap/>
            <w:vAlign w:val="center"/>
            <w:hideMark/>
          </w:tcPr>
          <w:p w14:paraId="5BDEA2D5"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82,95</w:t>
            </w:r>
          </w:p>
        </w:tc>
        <w:tc>
          <w:tcPr>
            <w:tcW w:w="992" w:type="dxa"/>
            <w:tcBorders>
              <w:top w:val="nil"/>
              <w:left w:val="nil"/>
              <w:bottom w:val="single" w:sz="4" w:space="0" w:color="auto"/>
              <w:right w:val="single" w:sz="4" w:space="0" w:color="auto"/>
            </w:tcBorders>
            <w:shd w:val="clear" w:color="auto" w:fill="auto"/>
            <w:noWrap/>
            <w:vAlign w:val="center"/>
            <w:hideMark/>
          </w:tcPr>
          <w:p w14:paraId="0719BAB8"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-17,05</w:t>
            </w:r>
          </w:p>
        </w:tc>
        <w:tc>
          <w:tcPr>
            <w:tcW w:w="992" w:type="dxa"/>
            <w:tcBorders>
              <w:top w:val="nil"/>
              <w:left w:val="nil"/>
              <w:bottom w:val="single" w:sz="4" w:space="0" w:color="000000"/>
              <w:right w:val="single" w:sz="4" w:space="0" w:color="000000"/>
            </w:tcBorders>
            <w:shd w:val="clear" w:color="auto" w:fill="auto"/>
            <w:vAlign w:val="center"/>
            <w:hideMark/>
          </w:tcPr>
          <w:p w14:paraId="011CE98F"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265</w:t>
            </w:r>
          </w:p>
        </w:tc>
        <w:tc>
          <w:tcPr>
            <w:tcW w:w="851" w:type="dxa"/>
            <w:tcBorders>
              <w:top w:val="nil"/>
              <w:left w:val="nil"/>
              <w:bottom w:val="single" w:sz="4" w:space="0" w:color="auto"/>
              <w:right w:val="single" w:sz="4" w:space="0" w:color="auto"/>
            </w:tcBorders>
            <w:shd w:val="clear" w:color="auto" w:fill="auto"/>
            <w:noWrap/>
            <w:vAlign w:val="center"/>
            <w:hideMark/>
          </w:tcPr>
          <w:p w14:paraId="4D38B5B7"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6,00</w:t>
            </w:r>
          </w:p>
        </w:tc>
        <w:tc>
          <w:tcPr>
            <w:tcW w:w="1276" w:type="dxa"/>
            <w:tcBorders>
              <w:top w:val="nil"/>
              <w:left w:val="nil"/>
              <w:bottom w:val="single" w:sz="4" w:space="0" w:color="auto"/>
              <w:right w:val="single" w:sz="4" w:space="0" w:color="auto"/>
            </w:tcBorders>
            <w:shd w:val="clear" w:color="auto" w:fill="auto"/>
            <w:noWrap/>
            <w:vAlign w:val="center"/>
            <w:hideMark/>
          </w:tcPr>
          <w:p w14:paraId="13A0121D"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90,56</w:t>
            </w:r>
          </w:p>
        </w:tc>
        <w:tc>
          <w:tcPr>
            <w:tcW w:w="1134" w:type="dxa"/>
            <w:tcBorders>
              <w:top w:val="nil"/>
              <w:left w:val="nil"/>
              <w:bottom w:val="single" w:sz="4" w:space="0" w:color="auto"/>
              <w:right w:val="single" w:sz="4" w:space="0" w:color="auto"/>
            </w:tcBorders>
            <w:shd w:val="clear" w:color="auto" w:fill="auto"/>
            <w:noWrap/>
            <w:vAlign w:val="center"/>
            <w:hideMark/>
          </w:tcPr>
          <w:p w14:paraId="7EE39F4C"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-9,44</w:t>
            </w:r>
          </w:p>
        </w:tc>
        <w:tc>
          <w:tcPr>
            <w:tcW w:w="708" w:type="dxa"/>
            <w:tcBorders>
              <w:top w:val="nil"/>
              <w:left w:val="nil"/>
              <w:bottom w:val="single" w:sz="4" w:space="0" w:color="000000"/>
              <w:right w:val="single" w:sz="4" w:space="0" w:color="000000"/>
            </w:tcBorders>
            <w:shd w:val="clear" w:color="auto" w:fill="auto"/>
            <w:vAlign w:val="center"/>
            <w:hideMark/>
          </w:tcPr>
          <w:p w14:paraId="7D6332B9"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445</w:t>
            </w:r>
          </w:p>
        </w:tc>
        <w:tc>
          <w:tcPr>
            <w:tcW w:w="993" w:type="dxa"/>
            <w:tcBorders>
              <w:top w:val="nil"/>
              <w:left w:val="nil"/>
              <w:bottom w:val="single" w:sz="4" w:space="0" w:color="auto"/>
              <w:right w:val="single" w:sz="4" w:space="0" w:color="auto"/>
            </w:tcBorders>
            <w:shd w:val="clear" w:color="auto" w:fill="auto"/>
            <w:noWrap/>
            <w:vAlign w:val="center"/>
            <w:hideMark/>
          </w:tcPr>
          <w:p w14:paraId="619DD6D2"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52,00</w:t>
            </w:r>
          </w:p>
        </w:tc>
        <w:tc>
          <w:tcPr>
            <w:tcW w:w="992" w:type="dxa"/>
            <w:tcBorders>
              <w:top w:val="nil"/>
              <w:left w:val="nil"/>
              <w:bottom w:val="single" w:sz="4" w:space="0" w:color="auto"/>
              <w:right w:val="single" w:sz="4" w:space="0" w:color="auto"/>
            </w:tcBorders>
            <w:shd w:val="clear" w:color="auto" w:fill="auto"/>
            <w:noWrap/>
            <w:vAlign w:val="center"/>
            <w:hideMark/>
          </w:tcPr>
          <w:p w14:paraId="7F471A9D"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78,60</w:t>
            </w:r>
          </w:p>
        </w:tc>
        <w:tc>
          <w:tcPr>
            <w:tcW w:w="992" w:type="dxa"/>
            <w:tcBorders>
              <w:top w:val="nil"/>
              <w:left w:val="nil"/>
              <w:bottom w:val="single" w:sz="4" w:space="0" w:color="auto"/>
              <w:right w:val="single" w:sz="4" w:space="0" w:color="auto"/>
            </w:tcBorders>
            <w:shd w:val="clear" w:color="auto" w:fill="auto"/>
            <w:noWrap/>
            <w:vAlign w:val="center"/>
            <w:hideMark/>
          </w:tcPr>
          <w:p w14:paraId="65D5018D"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-21,40</w:t>
            </w:r>
          </w:p>
        </w:tc>
      </w:tr>
      <w:tr w:rsidR="0066583A" w:rsidRPr="00B16459" w14:paraId="5A973037"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7C1EF05F"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49F85C14"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2020</w:t>
            </w:r>
          </w:p>
        </w:tc>
        <w:tc>
          <w:tcPr>
            <w:tcW w:w="850" w:type="dxa"/>
            <w:tcBorders>
              <w:top w:val="nil"/>
              <w:left w:val="nil"/>
              <w:bottom w:val="single" w:sz="4" w:space="0" w:color="auto"/>
              <w:right w:val="single" w:sz="4" w:space="0" w:color="auto"/>
            </w:tcBorders>
            <w:shd w:val="clear" w:color="auto" w:fill="auto"/>
            <w:noWrap/>
            <w:vAlign w:val="center"/>
            <w:hideMark/>
          </w:tcPr>
          <w:p w14:paraId="57F156F0"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623</w:t>
            </w:r>
          </w:p>
        </w:tc>
        <w:tc>
          <w:tcPr>
            <w:tcW w:w="992" w:type="dxa"/>
            <w:tcBorders>
              <w:top w:val="nil"/>
              <w:left w:val="nil"/>
              <w:bottom w:val="single" w:sz="4" w:space="0" w:color="auto"/>
              <w:right w:val="single" w:sz="4" w:space="0" w:color="auto"/>
            </w:tcBorders>
            <w:shd w:val="clear" w:color="auto" w:fill="auto"/>
            <w:noWrap/>
            <w:vAlign w:val="center"/>
            <w:hideMark/>
          </w:tcPr>
          <w:p w14:paraId="60A10FB3"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-87,00</w:t>
            </w:r>
          </w:p>
        </w:tc>
        <w:tc>
          <w:tcPr>
            <w:tcW w:w="1418" w:type="dxa"/>
            <w:tcBorders>
              <w:top w:val="nil"/>
              <w:left w:val="nil"/>
              <w:bottom w:val="single" w:sz="4" w:space="0" w:color="auto"/>
              <w:right w:val="single" w:sz="4" w:space="0" w:color="auto"/>
            </w:tcBorders>
            <w:shd w:val="clear" w:color="auto" w:fill="auto"/>
            <w:noWrap/>
            <w:vAlign w:val="center"/>
            <w:hideMark/>
          </w:tcPr>
          <w:p w14:paraId="1DE4300E"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90,33</w:t>
            </w:r>
          </w:p>
        </w:tc>
        <w:tc>
          <w:tcPr>
            <w:tcW w:w="992" w:type="dxa"/>
            <w:tcBorders>
              <w:top w:val="nil"/>
              <w:left w:val="nil"/>
              <w:bottom w:val="single" w:sz="4" w:space="0" w:color="auto"/>
              <w:right w:val="single" w:sz="4" w:space="0" w:color="auto"/>
            </w:tcBorders>
            <w:shd w:val="clear" w:color="auto" w:fill="auto"/>
            <w:noWrap/>
            <w:vAlign w:val="center"/>
            <w:hideMark/>
          </w:tcPr>
          <w:p w14:paraId="56143D63"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-9,67</w:t>
            </w:r>
          </w:p>
        </w:tc>
        <w:tc>
          <w:tcPr>
            <w:tcW w:w="992" w:type="dxa"/>
            <w:tcBorders>
              <w:top w:val="nil"/>
              <w:left w:val="nil"/>
              <w:bottom w:val="single" w:sz="4" w:space="0" w:color="000000"/>
              <w:right w:val="single" w:sz="4" w:space="0" w:color="000000"/>
            </w:tcBorders>
            <w:shd w:val="clear" w:color="auto" w:fill="auto"/>
            <w:vAlign w:val="center"/>
            <w:hideMark/>
          </w:tcPr>
          <w:p w14:paraId="6183D08F"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257</w:t>
            </w:r>
          </w:p>
        </w:tc>
        <w:tc>
          <w:tcPr>
            <w:tcW w:w="851" w:type="dxa"/>
            <w:tcBorders>
              <w:top w:val="nil"/>
              <w:left w:val="nil"/>
              <w:bottom w:val="single" w:sz="4" w:space="0" w:color="auto"/>
              <w:right w:val="single" w:sz="4" w:space="0" w:color="auto"/>
            </w:tcBorders>
            <w:shd w:val="clear" w:color="auto" w:fill="auto"/>
            <w:noWrap/>
            <w:vAlign w:val="center"/>
            <w:hideMark/>
          </w:tcPr>
          <w:p w14:paraId="18E4F6BD"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-8,00</w:t>
            </w:r>
          </w:p>
        </w:tc>
        <w:tc>
          <w:tcPr>
            <w:tcW w:w="1276" w:type="dxa"/>
            <w:tcBorders>
              <w:top w:val="nil"/>
              <w:left w:val="nil"/>
              <w:bottom w:val="single" w:sz="4" w:space="0" w:color="auto"/>
              <w:right w:val="single" w:sz="4" w:space="0" w:color="auto"/>
            </w:tcBorders>
            <w:shd w:val="clear" w:color="auto" w:fill="auto"/>
            <w:noWrap/>
            <w:vAlign w:val="center"/>
            <w:hideMark/>
          </w:tcPr>
          <w:p w14:paraId="22DA5CA5"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92,66</w:t>
            </w:r>
          </w:p>
        </w:tc>
        <w:tc>
          <w:tcPr>
            <w:tcW w:w="1134" w:type="dxa"/>
            <w:tcBorders>
              <w:top w:val="nil"/>
              <w:left w:val="nil"/>
              <w:bottom w:val="single" w:sz="4" w:space="0" w:color="auto"/>
              <w:right w:val="single" w:sz="4" w:space="0" w:color="auto"/>
            </w:tcBorders>
            <w:shd w:val="clear" w:color="auto" w:fill="auto"/>
            <w:noWrap/>
            <w:vAlign w:val="center"/>
            <w:hideMark/>
          </w:tcPr>
          <w:p w14:paraId="2E20F152"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-7,34</w:t>
            </w:r>
          </w:p>
        </w:tc>
        <w:tc>
          <w:tcPr>
            <w:tcW w:w="708" w:type="dxa"/>
            <w:tcBorders>
              <w:top w:val="nil"/>
              <w:left w:val="nil"/>
              <w:bottom w:val="single" w:sz="4" w:space="0" w:color="000000"/>
              <w:right w:val="single" w:sz="4" w:space="0" w:color="000000"/>
            </w:tcBorders>
            <w:shd w:val="clear" w:color="auto" w:fill="auto"/>
            <w:vAlign w:val="center"/>
            <w:hideMark/>
          </w:tcPr>
          <w:p w14:paraId="40D6A64A"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366</w:t>
            </w:r>
          </w:p>
        </w:tc>
        <w:tc>
          <w:tcPr>
            <w:tcW w:w="993" w:type="dxa"/>
            <w:tcBorders>
              <w:top w:val="nil"/>
              <w:left w:val="nil"/>
              <w:bottom w:val="single" w:sz="4" w:space="0" w:color="auto"/>
              <w:right w:val="single" w:sz="4" w:space="0" w:color="auto"/>
            </w:tcBorders>
            <w:shd w:val="clear" w:color="auto" w:fill="auto"/>
            <w:noWrap/>
            <w:vAlign w:val="center"/>
            <w:hideMark/>
          </w:tcPr>
          <w:p w14:paraId="05B63403"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-79,00</w:t>
            </w:r>
          </w:p>
        </w:tc>
        <w:tc>
          <w:tcPr>
            <w:tcW w:w="992" w:type="dxa"/>
            <w:tcBorders>
              <w:top w:val="nil"/>
              <w:left w:val="nil"/>
              <w:bottom w:val="single" w:sz="4" w:space="0" w:color="auto"/>
              <w:right w:val="single" w:sz="4" w:space="0" w:color="auto"/>
            </w:tcBorders>
            <w:shd w:val="clear" w:color="auto" w:fill="auto"/>
            <w:noWrap/>
            <w:vAlign w:val="center"/>
            <w:hideMark/>
          </w:tcPr>
          <w:p w14:paraId="39F60360"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89,00</w:t>
            </w:r>
          </w:p>
        </w:tc>
        <w:tc>
          <w:tcPr>
            <w:tcW w:w="992" w:type="dxa"/>
            <w:tcBorders>
              <w:top w:val="nil"/>
              <w:left w:val="nil"/>
              <w:bottom w:val="single" w:sz="4" w:space="0" w:color="auto"/>
              <w:right w:val="single" w:sz="4" w:space="0" w:color="auto"/>
            </w:tcBorders>
            <w:shd w:val="clear" w:color="auto" w:fill="auto"/>
            <w:noWrap/>
            <w:vAlign w:val="center"/>
            <w:hideMark/>
          </w:tcPr>
          <w:p w14:paraId="2DEC3AC4" w14:textId="77777777" w:rsidR="0066583A" w:rsidRPr="00B16459" w:rsidRDefault="0066583A" w:rsidP="004135FE">
            <w:pPr>
              <w:spacing w:after="0" w:line="240" w:lineRule="auto"/>
              <w:jc w:val="cente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t>-11,00</w:t>
            </w:r>
          </w:p>
        </w:tc>
      </w:tr>
      <w:tr w:rsidR="0066583A" w:rsidRPr="004135FE" w14:paraId="797C0910"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7521A4F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26C282A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2021</w:t>
            </w:r>
          </w:p>
        </w:tc>
        <w:tc>
          <w:tcPr>
            <w:tcW w:w="850" w:type="dxa"/>
            <w:tcBorders>
              <w:top w:val="nil"/>
              <w:left w:val="nil"/>
              <w:bottom w:val="nil"/>
              <w:right w:val="nil"/>
            </w:tcBorders>
            <w:shd w:val="clear" w:color="auto" w:fill="auto"/>
            <w:noWrap/>
            <w:vAlign w:val="center"/>
            <w:hideMark/>
          </w:tcPr>
          <w:p w14:paraId="0F1B224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786</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EFFB17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163,00</w:t>
            </w:r>
          </w:p>
        </w:tc>
        <w:tc>
          <w:tcPr>
            <w:tcW w:w="1418" w:type="dxa"/>
            <w:tcBorders>
              <w:top w:val="nil"/>
              <w:left w:val="nil"/>
              <w:bottom w:val="single" w:sz="4" w:space="0" w:color="auto"/>
              <w:right w:val="single" w:sz="4" w:space="0" w:color="auto"/>
            </w:tcBorders>
            <w:shd w:val="clear" w:color="auto" w:fill="auto"/>
            <w:noWrap/>
            <w:vAlign w:val="center"/>
            <w:hideMark/>
          </w:tcPr>
          <w:p w14:paraId="52475B9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79,26</w:t>
            </w:r>
          </w:p>
        </w:tc>
        <w:tc>
          <w:tcPr>
            <w:tcW w:w="992" w:type="dxa"/>
            <w:tcBorders>
              <w:top w:val="nil"/>
              <w:left w:val="nil"/>
              <w:bottom w:val="single" w:sz="4" w:space="0" w:color="auto"/>
              <w:right w:val="single" w:sz="4" w:space="0" w:color="auto"/>
            </w:tcBorders>
            <w:shd w:val="clear" w:color="auto" w:fill="auto"/>
            <w:noWrap/>
            <w:vAlign w:val="center"/>
            <w:hideMark/>
          </w:tcPr>
          <w:p w14:paraId="1690E53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-20,74</w:t>
            </w:r>
          </w:p>
        </w:tc>
        <w:tc>
          <w:tcPr>
            <w:tcW w:w="992" w:type="dxa"/>
            <w:tcBorders>
              <w:top w:val="nil"/>
              <w:left w:val="nil"/>
              <w:bottom w:val="single" w:sz="4" w:space="0" w:color="000000"/>
              <w:right w:val="single" w:sz="4" w:space="0" w:color="000000"/>
            </w:tcBorders>
            <w:shd w:val="clear" w:color="auto" w:fill="auto"/>
            <w:vAlign w:val="center"/>
            <w:hideMark/>
          </w:tcPr>
          <w:p w14:paraId="4FB6BF3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286</w:t>
            </w:r>
          </w:p>
        </w:tc>
        <w:tc>
          <w:tcPr>
            <w:tcW w:w="851" w:type="dxa"/>
            <w:tcBorders>
              <w:top w:val="nil"/>
              <w:left w:val="nil"/>
              <w:bottom w:val="single" w:sz="4" w:space="0" w:color="auto"/>
              <w:right w:val="single" w:sz="4" w:space="0" w:color="auto"/>
            </w:tcBorders>
            <w:shd w:val="clear" w:color="auto" w:fill="auto"/>
            <w:noWrap/>
            <w:vAlign w:val="center"/>
            <w:hideMark/>
          </w:tcPr>
          <w:p w14:paraId="30D225A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29,00</w:t>
            </w:r>
          </w:p>
        </w:tc>
        <w:tc>
          <w:tcPr>
            <w:tcW w:w="1276" w:type="dxa"/>
            <w:tcBorders>
              <w:top w:val="nil"/>
              <w:left w:val="nil"/>
              <w:bottom w:val="single" w:sz="4" w:space="0" w:color="auto"/>
              <w:right w:val="single" w:sz="4" w:space="0" w:color="auto"/>
            </w:tcBorders>
            <w:shd w:val="clear" w:color="auto" w:fill="auto"/>
            <w:noWrap/>
            <w:vAlign w:val="center"/>
            <w:hideMark/>
          </w:tcPr>
          <w:p w14:paraId="08FA4F0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89,86</w:t>
            </w:r>
          </w:p>
        </w:tc>
        <w:tc>
          <w:tcPr>
            <w:tcW w:w="1134" w:type="dxa"/>
            <w:tcBorders>
              <w:top w:val="nil"/>
              <w:left w:val="nil"/>
              <w:bottom w:val="single" w:sz="4" w:space="0" w:color="auto"/>
              <w:right w:val="single" w:sz="4" w:space="0" w:color="auto"/>
            </w:tcBorders>
            <w:shd w:val="clear" w:color="auto" w:fill="auto"/>
            <w:noWrap/>
            <w:vAlign w:val="center"/>
            <w:hideMark/>
          </w:tcPr>
          <w:p w14:paraId="05B5B81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-10,14</w:t>
            </w:r>
          </w:p>
        </w:tc>
        <w:tc>
          <w:tcPr>
            <w:tcW w:w="708" w:type="dxa"/>
            <w:tcBorders>
              <w:top w:val="nil"/>
              <w:left w:val="nil"/>
              <w:bottom w:val="single" w:sz="4" w:space="0" w:color="000000"/>
              <w:right w:val="single" w:sz="4" w:space="0" w:color="000000"/>
            </w:tcBorders>
            <w:shd w:val="clear" w:color="auto" w:fill="auto"/>
            <w:vAlign w:val="center"/>
            <w:hideMark/>
          </w:tcPr>
          <w:p w14:paraId="27637B2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500</w:t>
            </w:r>
          </w:p>
        </w:tc>
        <w:tc>
          <w:tcPr>
            <w:tcW w:w="993" w:type="dxa"/>
            <w:tcBorders>
              <w:top w:val="nil"/>
              <w:left w:val="nil"/>
              <w:bottom w:val="single" w:sz="4" w:space="0" w:color="auto"/>
              <w:right w:val="single" w:sz="4" w:space="0" w:color="auto"/>
            </w:tcBorders>
            <w:shd w:val="clear" w:color="auto" w:fill="auto"/>
            <w:noWrap/>
            <w:vAlign w:val="center"/>
            <w:hideMark/>
          </w:tcPr>
          <w:p w14:paraId="2E78879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134,00</w:t>
            </w:r>
          </w:p>
        </w:tc>
        <w:tc>
          <w:tcPr>
            <w:tcW w:w="992" w:type="dxa"/>
            <w:tcBorders>
              <w:top w:val="nil"/>
              <w:left w:val="nil"/>
              <w:bottom w:val="single" w:sz="4" w:space="0" w:color="auto"/>
              <w:right w:val="single" w:sz="4" w:space="0" w:color="auto"/>
            </w:tcBorders>
            <w:shd w:val="clear" w:color="auto" w:fill="auto"/>
            <w:noWrap/>
            <w:vAlign w:val="center"/>
            <w:hideMark/>
          </w:tcPr>
          <w:p w14:paraId="60F6B8C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73,20</w:t>
            </w:r>
          </w:p>
        </w:tc>
        <w:tc>
          <w:tcPr>
            <w:tcW w:w="992" w:type="dxa"/>
            <w:tcBorders>
              <w:top w:val="nil"/>
              <w:left w:val="nil"/>
              <w:bottom w:val="single" w:sz="4" w:space="0" w:color="auto"/>
              <w:right w:val="single" w:sz="4" w:space="0" w:color="auto"/>
            </w:tcBorders>
            <w:shd w:val="clear" w:color="auto" w:fill="auto"/>
            <w:noWrap/>
            <w:vAlign w:val="center"/>
            <w:hideMark/>
          </w:tcPr>
          <w:p w14:paraId="741C372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-26,80</w:t>
            </w:r>
          </w:p>
        </w:tc>
      </w:tr>
      <w:tr w:rsidR="00B16459" w:rsidRPr="004135FE" w14:paraId="52C0C58D" w14:textId="77777777" w:rsidTr="00E2614D">
        <w:trPr>
          <w:trHeight w:val="283"/>
        </w:trPr>
        <w:tc>
          <w:tcPr>
            <w:tcW w:w="1134" w:type="dxa"/>
            <w:vMerge/>
            <w:tcBorders>
              <w:top w:val="nil"/>
              <w:left w:val="single" w:sz="4" w:space="0" w:color="auto"/>
              <w:right w:val="single" w:sz="4" w:space="0" w:color="auto"/>
            </w:tcBorders>
            <w:vAlign w:val="center"/>
            <w:hideMark/>
          </w:tcPr>
          <w:p w14:paraId="2674927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right w:val="single" w:sz="4" w:space="0" w:color="auto"/>
            </w:tcBorders>
            <w:shd w:val="clear" w:color="000000" w:fill="FFFFFF"/>
            <w:noWrap/>
            <w:vAlign w:val="center"/>
            <w:hideMark/>
          </w:tcPr>
          <w:p w14:paraId="6122B49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среднее</w:t>
            </w:r>
          </w:p>
        </w:tc>
        <w:tc>
          <w:tcPr>
            <w:tcW w:w="850" w:type="dxa"/>
            <w:tcBorders>
              <w:top w:val="single" w:sz="4" w:space="0" w:color="auto"/>
              <w:left w:val="nil"/>
              <w:right w:val="single" w:sz="4" w:space="0" w:color="auto"/>
            </w:tcBorders>
            <w:shd w:val="clear" w:color="000000" w:fill="FFFFFF"/>
            <w:noWrap/>
            <w:vAlign w:val="center"/>
            <w:hideMark/>
          </w:tcPr>
          <w:p w14:paraId="0B77FAC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564,80</w:t>
            </w:r>
          </w:p>
        </w:tc>
        <w:tc>
          <w:tcPr>
            <w:tcW w:w="992" w:type="dxa"/>
            <w:tcBorders>
              <w:top w:val="nil"/>
              <w:left w:val="nil"/>
              <w:right w:val="single" w:sz="4" w:space="0" w:color="auto"/>
            </w:tcBorders>
            <w:shd w:val="clear" w:color="000000" w:fill="FFFFFF"/>
            <w:noWrap/>
            <w:vAlign w:val="center"/>
            <w:hideMark/>
          </w:tcPr>
          <w:p w14:paraId="14DB5A1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39,44</w:t>
            </w:r>
          </w:p>
        </w:tc>
        <w:tc>
          <w:tcPr>
            <w:tcW w:w="1418" w:type="dxa"/>
            <w:tcBorders>
              <w:top w:val="nil"/>
              <w:left w:val="nil"/>
              <w:right w:val="single" w:sz="4" w:space="0" w:color="auto"/>
            </w:tcBorders>
            <w:shd w:val="clear" w:color="000000" w:fill="FFFFFF"/>
            <w:noWrap/>
            <w:vAlign w:val="center"/>
            <w:hideMark/>
          </w:tcPr>
          <w:p w14:paraId="3E1AE82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106,90</w:t>
            </w:r>
          </w:p>
        </w:tc>
        <w:tc>
          <w:tcPr>
            <w:tcW w:w="992" w:type="dxa"/>
            <w:tcBorders>
              <w:top w:val="nil"/>
              <w:left w:val="nil"/>
              <w:right w:val="single" w:sz="4" w:space="0" w:color="auto"/>
            </w:tcBorders>
            <w:shd w:val="clear" w:color="000000" w:fill="FFFFFF"/>
            <w:noWrap/>
            <w:vAlign w:val="center"/>
            <w:hideMark/>
          </w:tcPr>
          <w:p w14:paraId="294855C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6,90</w:t>
            </w:r>
          </w:p>
        </w:tc>
        <w:tc>
          <w:tcPr>
            <w:tcW w:w="992" w:type="dxa"/>
            <w:tcBorders>
              <w:top w:val="nil"/>
              <w:left w:val="nil"/>
              <w:right w:val="single" w:sz="4" w:space="0" w:color="auto"/>
            </w:tcBorders>
            <w:shd w:val="clear" w:color="000000" w:fill="FFFFFF"/>
            <w:noWrap/>
            <w:vAlign w:val="center"/>
            <w:hideMark/>
          </w:tcPr>
          <w:p w14:paraId="570F0BE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215,30</w:t>
            </w:r>
          </w:p>
        </w:tc>
        <w:tc>
          <w:tcPr>
            <w:tcW w:w="851" w:type="dxa"/>
            <w:tcBorders>
              <w:top w:val="nil"/>
              <w:left w:val="nil"/>
              <w:right w:val="single" w:sz="4" w:space="0" w:color="auto"/>
            </w:tcBorders>
            <w:shd w:val="clear" w:color="000000" w:fill="FFFFFF"/>
            <w:noWrap/>
            <w:vAlign w:val="center"/>
            <w:hideMark/>
          </w:tcPr>
          <w:p w14:paraId="7747A21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14,67</w:t>
            </w:r>
          </w:p>
        </w:tc>
        <w:tc>
          <w:tcPr>
            <w:tcW w:w="1276" w:type="dxa"/>
            <w:tcBorders>
              <w:top w:val="nil"/>
              <w:left w:val="nil"/>
              <w:right w:val="single" w:sz="4" w:space="0" w:color="auto"/>
            </w:tcBorders>
            <w:shd w:val="clear" w:color="000000" w:fill="FFFFFF"/>
            <w:noWrap/>
            <w:vAlign w:val="center"/>
            <w:hideMark/>
          </w:tcPr>
          <w:p w14:paraId="1222F12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107,12</w:t>
            </w:r>
          </w:p>
        </w:tc>
        <w:tc>
          <w:tcPr>
            <w:tcW w:w="1134" w:type="dxa"/>
            <w:tcBorders>
              <w:top w:val="nil"/>
              <w:left w:val="nil"/>
              <w:right w:val="single" w:sz="4" w:space="0" w:color="auto"/>
            </w:tcBorders>
            <w:shd w:val="clear" w:color="000000" w:fill="FFFFFF"/>
            <w:noWrap/>
            <w:vAlign w:val="center"/>
            <w:hideMark/>
          </w:tcPr>
          <w:p w14:paraId="618B1F7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7,12</w:t>
            </w:r>
          </w:p>
        </w:tc>
        <w:tc>
          <w:tcPr>
            <w:tcW w:w="708" w:type="dxa"/>
            <w:tcBorders>
              <w:top w:val="nil"/>
              <w:left w:val="nil"/>
              <w:right w:val="single" w:sz="4" w:space="0" w:color="auto"/>
            </w:tcBorders>
            <w:shd w:val="clear" w:color="000000" w:fill="FFFFFF"/>
            <w:noWrap/>
            <w:vAlign w:val="center"/>
            <w:hideMark/>
          </w:tcPr>
          <w:p w14:paraId="3143FDF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349,50</w:t>
            </w:r>
          </w:p>
        </w:tc>
        <w:tc>
          <w:tcPr>
            <w:tcW w:w="993" w:type="dxa"/>
            <w:tcBorders>
              <w:top w:val="nil"/>
              <w:left w:val="nil"/>
              <w:right w:val="single" w:sz="4" w:space="0" w:color="auto"/>
            </w:tcBorders>
            <w:shd w:val="clear" w:color="000000" w:fill="FFFFFF"/>
            <w:noWrap/>
            <w:vAlign w:val="center"/>
            <w:hideMark/>
          </w:tcPr>
          <w:p w14:paraId="1871BFE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24,78</w:t>
            </w:r>
          </w:p>
        </w:tc>
        <w:tc>
          <w:tcPr>
            <w:tcW w:w="992" w:type="dxa"/>
            <w:tcBorders>
              <w:top w:val="nil"/>
              <w:left w:val="nil"/>
              <w:right w:val="single" w:sz="4" w:space="0" w:color="auto"/>
            </w:tcBorders>
            <w:shd w:val="clear" w:color="000000" w:fill="FFFFFF"/>
            <w:noWrap/>
            <w:vAlign w:val="center"/>
            <w:hideMark/>
          </w:tcPr>
          <w:p w14:paraId="5EDAA62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106,78</w:t>
            </w:r>
          </w:p>
        </w:tc>
        <w:tc>
          <w:tcPr>
            <w:tcW w:w="992" w:type="dxa"/>
            <w:tcBorders>
              <w:top w:val="nil"/>
              <w:left w:val="nil"/>
              <w:right w:val="single" w:sz="4" w:space="0" w:color="auto"/>
            </w:tcBorders>
            <w:shd w:val="clear" w:color="000000" w:fill="FFFFFF"/>
            <w:noWrap/>
            <w:vAlign w:val="center"/>
            <w:hideMark/>
          </w:tcPr>
          <w:p w14:paraId="05240AD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6,78</w:t>
            </w:r>
          </w:p>
        </w:tc>
      </w:tr>
    </w:tbl>
    <w:p w14:paraId="63AB3B5D" w14:textId="3B1151BA" w:rsidR="00B16459" w:rsidRDefault="00B16459"/>
    <w:p w14:paraId="2279187A" w14:textId="198E0169" w:rsidR="00B16459" w:rsidRPr="00B16459" w:rsidRDefault="00B16459">
      <w:pP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lastRenderedPageBreak/>
        <w:t>Продолжение таблицы 8</w:t>
      </w:r>
    </w:p>
    <w:tbl>
      <w:tblPr>
        <w:tblW w:w="14317" w:type="dxa"/>
        <w:tblInd w:w="-5" w:type="dxa"/>
        <w:tblLayout w:type="fixed"/>
        <w:tblLook w:val="04A0" w:firstRow="1" w:lastRow="0" w:firstColumn="1" w:lastColumn="0" w:noHBand="0" w:noVBand="1"/>
      </w:tblPr>
      <w:tblGrid>
        <w:gridCol w:w="1134"/>
        <w:gridCol w:w="993"/>
        <w:gridCol w:w="850"/>
        <w:gridCol w:w="992"/>
        <w:gridCol w:w="1418"/>
        <w:gridCol w:w="992"/>
        <w:gridCol w:w="992"/>
        <w:gridCol w:w="851"/>
        <w:gridCol w:w="1276"/>
        <w:gridCol w:w="1134"/>
        <w:gridCol w:w="708"/>
        <w:gridCol w:w="993"/>
        <w:gridCol w:w="992"/>
        <w:gridCol w:w="992"/>
      </w:tblGrid>
      <w:tr w:rsidR="00B16459" w:rsidRPr="004135FE" w14:paraId="7914F23C" w14:textId="77777777" w:rsidTr="00E2614D">
        <w:trPr>
          <w:trHeight w:val="283"/>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325353" w14:textId="06D5F6D6" w:rsidR="00B16459" w:rsidRPr="004135FE" w:rsidRDefault="00B76F7B"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B392DD" w14:textId="596B35CD" w:rsidR="00B16459" w:rsidRPr="004135FE" w:rsidRDefault="00B76F7B"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815D790" w14:textId="00FBCCF2" w:rsidR="00B16459" w:rsidRPr="004135FE" w:rsidRDefault="00B76F7B"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FBA0C0" w14:textId="56F220BA" w:rsidR="00B16459" w:rsidRPr="004135FE" w:rsidRDefault="00B76F7B"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52E640" w14:textId="21DE5DFC" w:rsidR="00B16459" w:rsidRPr="004135FE" w:rsidRDefault="00B76F7B"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5812DF" w14:textId="6AC84664" w:rsidR="00B16459" w:rsidRPr="004135FE" w:rsidRDefault="00B76F7B"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0D8C4E4" w14:textId="20414CDC" w:rsidR="00B16459" w:rsidRPr="004135FE" w:rsidRDefault="00B76F7B"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060412" w14:textId="042E685F" w:rsidR="00B16459" w:rsidRPr="004135FE" w:rsidRDefault="00B76F7B"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D6E494" w14:textId="0366ACD4" w:rsidR="00B16459" w:rsidRPr="004135FE" w:rsidRDefault="00B76F7B"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0BF664" w14:textId="5F1829CF" w:rsidR="00B16459" w:rsidRPr="004135FE" w:rsidRDefault="00B76F7B"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4F83CC8" w14:textId="15B9F545" w:rsidR="00B16459" w:rsidRPr="004135FE" w:rsidRDefault="00B76F7B"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40B86B" w14:textId="05B5B8F1" w:rsidR="00B16459" w:rsidRPr="004135FE" w:rsidRDefault="00B76F7B"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EFD311" w14:textId="28C532AA" w:rsidR="00B16459" w:rsidRPr="004135FE" w:rsidRDefault="00B76F7B"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80DFC2" w14:textId="0ABF1AB2" w:rsidR="00B16459" w:rsidRPr="004135FE" w:rsidRDefault="00B76F7B"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r>
      <w:tr w:rsidR="00B16459" w:rsidRPr="004135FE" w14:paraId="0F2E9857" w14:textId="77777777" w:rsidTr="00E2614D">
        <w:trPr>
          <w:trHeight w:val="283"/>
        </w:trPr>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679E3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CB43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96EF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348F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43AF0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F9F4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AD3B0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BF7C0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04E5C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F5AE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F53C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E779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F152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DB5A9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r>
      <w:tr w:rsidR="00B16459" w:rsidRPr="004135FE" w14:paraId="2E6D8BD5" w14:textId="77777777" w:rsidTr="00E2614D">
        <w:trPr>
          <w:trHeight w:val="283"/>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0996FA6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10F1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7DD99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1AB6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E9A0A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31,06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C5FC4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-68,94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6B9A5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DBD9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2E777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29,91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A8BEA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-70,09</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A70AF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DBC1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4B38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31,86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7928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-68,14</w:t>
            </w:r>
          </w:p>
        </w:tc>
      </w:tr>
      <w:tr w:rsidR="0066583A" w:rsidRPr="004135FE" w14:paraId="4A8339DD" w14:textId="77777777" w:rsidTr="00E2614D">
        <w:trPr>
          <w:trHeight w:val="283"/>
        </w:trPr>
        <w:tc>
          <w:tcPr>
            <w:tcW w:w="1134" w:type="dxa"/>
            <w:vMerge/>
            <w:tcBorders>
              <w:top w:val="single" w:sz="4" w:space="0" w:color="auto"/>
              <w:left w:val="single" w:sz="4" w:space="0" w:color="auto"/>
              <w:bottom w:val="single" w:sz="4" w:space="0" w:color="000000"/>
              <w:right w:val="single" w:sz="4" w:space="0" w:color="auto"/>
            </w:tcBorders>
            <w:vAlign w:val="center"/>
            <w:hideMark/>
          </w:tcPr>
          <w:p w14:paraId="3B9A30B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254C8BA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495E94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622DBF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70,00</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025DCC7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30,02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37A492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-69,98</w:t>
            </w:r>
          </w:p>
        </w:tc>
        <w:tc>
          <w:tcPr>
            <w:tcW w:w="992" w:type="dxa"/>
            <w:tcBorders>
              <w:top w:val="single" w:sz="4" w:space="0" w:color="auto"/>
              <w:left w:val="nil"/>
              <w:bottom w:val="single" w:sz="4" w:space="0" w:color="000000"/>
              <w:right w:val="single" w:sz="4" w:space="0" w:color="000000"/>
            </w:tcBorders>
            <w:shd w:val="clear" w:color="auto" w:fill="auto"/>
            <w:vAlign w:val="center"/>
            <w:hideMark/>
          </w:tcPr>
          <w:p w14:paraId="6556098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105</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0B984F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36,00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830008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29,49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49034D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-70,51</w:t>
            </w:r>
          </w:p>
        </w:tc>
        <w:tc>
          <w:tcPr>
            <w:tcW w:w="708" w:type="dxa"/>
            <w:tcBorders>
              <w:top w:val="single" w:sz="4" w:space="0" w:color="auto"/>
              <w:left w:val="nil"/>
              <w:bottom w:val="single" w:sz="4" w:space="0" w:color="000000"/>
              <w:right w:val="single" w:sz="4" w:space="0" w:color="000000"/>
            </w:tcBorders>
            <w:shd w:val="clear" w:color="auto" w:fill="auto"/>
            <w:vAlign w:val="center"/>
            <w:hideMark/>
          </w:tcPr>
          <w:p w14:paraId="6B48367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137</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4C5E073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34,00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E4875D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30,38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CDCB7C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-69,62</w:t>
            </w:r>
          </w:p>
        </w:tc>
      </w:tr>
      <w:tr w:rsidR="0066583A" w:rsidRPr="004135FE" w14:paraId="1DC1A640"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274FB4B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37D3C93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2015</w:t>
            </w:r>
          </w:p>
        </w:tc>
        <w:tc>
          <w:tcPr>
            <w:tcW w:w="850" w:type="dxa"/>
            <w:tcBorders>
              <w:top w:val="nil"/>
              <w:left w:val="nil"/>
              <w:bottom w:val="single" w:sz="4" w:space="0" w:color="auto"/>
              <w:right w:val="single" w:sz="4" w:space="0" w:color="auto"/>
            </w:tcBorders>
            <w:shd w:val="clear" w:color="auto" w:fill="auto"/>
            <w:vAlign w:val="center"/>
            <w:hideMark/>
          </w:tcPr>
          <w:p w14:paraId="52DBE1F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320</w:t>
            </w:r>
          </w:p>
        </w:tc>
        <w:tc>
          <w:tcPr>
            <w:tcW w:w="992" w:type="dxa"/>
            <w:tcBorders>
              <w:top w:val="nil"/>
              <w:left w:val="nil"/>
              <w:bottom w:val="single" w:sz="4" w:space="0" w:color="auto"/>
              <w:right w:val="single" w:sz="4" w:space="0" w:color="auto"/>
            </w:tcBorders>
            <w:shd w:val="clear" w:color="auto" w:fill="auto"/>
            <w:noWrap/>
            <w:vAlign w:val="center"/>
            <w:hideMark/>
          </w:tcPr>
          <w:p w14:paraId="587841B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78,00</w:t>
            </w:r>
          </w:p>
        </w:tc>
        <w:tc>
          <w:tcPr>
            <w:tcW w:w="1418" w:type="dxa"/>
            <w:tcBorders>
              <w:top w:val="nil"/>
              <w:left w:val="nil"/>
              <w:bottom w:val="single" w:sz="4" w:space="0" w:color="auto"/>
              <w:right w:val="single" w:sz="4" w:space="0" w:color="auto"/>
            </w:tcBorders>
            <w:shd w:val="clear" w:color="auto" w:fill="auto"/>
            <w:noWrap/>
            <w:vAlign w:val="center"/>
            <w:hideMark/>
          </w:tcPr>
          <w:p w14:paraId="187D7E1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42,23</w:t>
            </w:r>
          </w:p>
        </w:tc>
        <w:tc>
          <w:tcPr>
            <w:tcW w:w="992" w:type="dxa"/>
            <w:tcBorders>
              <w:top w:val="nil"/>
              <w:left w:val="nil"/>
              <w:bottom w:val="single" w:sz="4" w:space="0" w:color="auto"/>
              <w:right w:val="single" w:sz="4" w:space="0" w:color="auto"/>
            </w:tcBorders>
            <w:shd w:val="clear" w:color="auto" w:fill="auto"/>
            <w:noWrap/>
            <w:vAlign w:val="center"/>
            <w:hideMark/>
          </w:tcPr>
          <w:p w14:paraId="215B212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-57,77</w:t>
            </w:r>
          </w:p>
        </w:tc>
        <w:tc>
          <w:tcPr>
            <w:tcW w:w="992" w:type="dxa"/>
            <w:tcBorders>
              <w:top w:val="nil"/>
              <w:left w:val="nil"/>
              <w:bottom w:val="single" w:sz="4" w:space="0" w:color="000000"/>
              <w:right w:val="single" w:sz="4" w:space="0" w:color="000000"/>
            </w:tcBorders>
            <w:shd w:val="clear" w:color="auto" w:fill="auto"/>
            <w:vAlign w:val="center"/>
            <w:hideMark/>
          </w:tcPr>
          <w:p w14:paraId="4014BFF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124</w:t>
            </w:r>
          </w:p>
        </w:tc>
        <w:tc>
          <w:tcPr>
            <w:tcW w:w="851" w:type="dxa"/>
            <w:tcBorders>
              <w:top w:val="nil"/>
              <w:left w:val="nil"/>
              <w:bottom w:val="single" w:sz="4" w:space="0" w:color="auto"/>
              <w:right w:val="single" w:sz="4" w:space="0" w:color="auto"/>
            </w:tcBorders>
            <w:shd w:val="clear" w:color="auto" w:fill="auto"/>
            <w:noWrap/>
            <w:vAlign w:val="center"/>
            <w:hideMark/>
          </w:tcPr>
          <w:p w14:paraId="77157A4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19,00</w:t>
            </w:r>
          </w:p>
        </w:tc>
        <w:tc>
          <w:tcPr>
            <w:tcW w:w="1276" w:type="dxa"/>
            <w:tcBorders>
              <w:top w:val="nil"/>
              <w:left w:val="nil"/>
              <w:bottom w:val="single" w:sz="4" w:space="0" w:color="auto"/>
              <w:right w:val="single" w:sz="4" w:space="0" w:color="auto"/>
            </w:tcBorders>
            <w:shd w:val="clear" w:color="auto" w:fill="auto"/>
            <w:noWrap/>
            <w:vAlign w:val="center"/>
            <w:hideMark/>
          </w:tcPr>
          <w:p w14:paraId="0E004F2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44,87</w:t>
            </w:r>
          </w:p>
        </w:tc>
        <w:tc>
          <w:tcPr>
            <w:tcW w:w="1134" w:type="dxa"/>
            <w:tcBorders>
              <w:top w:val="nil"/>
              <w:left w:val="nil"/>
              <w:bottom w:val="single" w:sz="4" w:space="0" w:color="auto"/>
              <w:right w:val="single" w:sz="4" w:space="0" w:color="auto"/>
            </w:tcBorders>
            <w:shd w:val="clear" w:color="auto" w:fill="auto"/>
            <w:noWrap/>
            <w:vAlign w:val="center"/>
            <w:hideMark/>
          </w:tcPr>
          <w:p w14:paraId="3CE8895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-55,13</w:t>
            </w:r>
          </w:p>
        </w:tc>
        <w:tc>
          <w:tcPr>
            <w:tcW w:w="708" w:type="dxa"/>
            <w:tcBorders>
              <w:top w:val="nil"/>
              <w:left w:val="nil"/>
              <w:bottom w:val="single" w:sz="4" w:space="0" w:color="000000"/>
              <w:right w:val="single" w:sz="4" w:space="0" w:color="000000"/>
            </w:tcBorders>
            <w:shd w:val="clear" w:color="auto" w:fill="auto"/>
            <w:vAlign w:val="center"/>
            <w:hideMark/>
          </w:tcPr>
          <w:p w14:paraId="3FE8CA9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196</w:t>
            </w:r>
          </w:p>
        </w:tc>
        <w:tc>
          <w:tcPr>
            <w:tcW w:w="993" w:type="dxa"/>
            <w:tcBorders>
              <w:top w:val="nil"/>
              <w:left w:val="nil"/>
              <w:bottom w:val="single" w:sz="4" w:space="0" w:color="auto"/>
              <w:right w:val="single" w:sz="4" w:space="0" w:color="auto"/>
            </w:tcBorders>
            <w:shd w:val="clear" w:color="auto" w:fill="auto"/>
            <w:noWrap/>
            <w:vAlign w:val="center"/>
            <w:hideMark/>
          </w:tcPr>
          <w:p w14:paraId="60B08E0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59,00</w:t>
            </w:r>
          </w:p>
        </w:tc>
        <w:tc>
          <w:tcPr>
            <w:tcW w:w="992" w:type="dxa"/>
            <w:tcBorders>
              <w:top w:val="nil"/>
              <w:left w:val="nil"/>
              <w:bottom w:val="single" w:sz="4" w:space="0" w:color="auto"/>
              <w:right w:val="single" w:sz="4" w:space="0" w:color="auto"/>
            </w:tcBorders>
            <w:shd w:val="clear" w:color="auto" w:fill="auto"/>
            <w:noWrap/>
            <w:vAlign w:val="center"/>
            <w:hideMark/>
          </w:tcPr>
          <w:p w14:paraId="7045322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40,41</w:t>
            </w:r>
          </w:p>
        </w:tc>
        <w:tc>
          <w:tcPr>
            <w:tcW w:w="992" w:type="dxa"/>
            <w:tcBorders>
              <w:top w:val="nil"/>
              <w:left w:val="nil"/>
              <w:bottom w:val="single" w:sz="4" w:space="0" w:color="auto"/>
              <w:right w:val="single" w:sz="4" w:space="0" w:color="auto"/>
            </w:tcBorders>
            <w:shd w:val="clear" w:color="auto" w:fill="auto"/>
            <w:noWrap/>
            <w:vAlign w:val="center"/>
            <w:hideMark/>
          </w:tcPr>
          <w:p w14:paraId="29A0ED7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-59,59</w:t>
            </w:r>
          </w:p>
        </w:tc>
      </w:tr>
      <w:tr w:rsidR="0066583A" w:rsidRPr="004135FE" w14:paraId="417F90E0"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2913A07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70FEFBE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2016</w:t>
            </w:r>
          </w:p>
        </w:tc>
        <w:tc>
          <w:tcPr>
            <w:tcW w:w="850" w:type="dxa"/>
            <w:tcBorders>
              <w:top w:val="nil"/>
              <w:left w:val="nil"/>
              <w:bottom w:val="single" w:sz="4" w:space="0" w:color="auto"/>
              <w:right w:val="single" w:sz="4" w:space="0" w:color="auto"/>
            </w:tcBorders>
            <w:shd w:val="clear" w:color="auto" w:fill="auto"/>
            <w:vAlign w:val="center"/>
            <w:hideMark/>
          </w:tcPr>
          <w:p w14:paraId="011363A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299</w:t>
            </w:r>
          </w:p>
        </w:tc>
        <w:tc>
          <w:tcPr>
            <w:tcW w:w="992" w:type="dxa"/>
            <w:tcBorders>
              <w:top w:val="nil"/>
              <w:left w:val="nil"/>
              <w:bottom w:val="single" w:sz="4" w:space="0" w:color="auto"/>
              <w:right w:val="single" w:sz="4" w:space="0" w:color="auto"/>
            </w:tcBorders>
            <w:shd w:val="clear" w:color="auto" w:fill="auto"/>
            <w:noWrap/>
            <w:vAlign w:val="center"/>
            <w:hideMark/>
          </w:tcPr>
          <w:p w14:paraId="5FE2CC1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-21,00</w:t>
            </w:r>
          </w:p>
        </w:tc>
        <w:tc>
          <w:tcPr>
            <w:tcW w:w="1418" w:type="dxa"/>
            <w:tcBorders>
              <w:top w:val="nil"/>
              <w:left w:val="nil"/>
              <w:bottom w:val="single" w:sz="4" w:space="0" w:color="auto"/>
              <w:right w:val="single" w:sz="4" w:space="0" w:color="auto"/>
            </w:tcBorders>
            <w:shd w:val="clear" w:color="auto" w:fill="auto"/>
            <w:noWrap/>
            <w:vAlign w:val="center"/>
            <w:hideMark/>
          </w:tcPr>
          <w:p w14:paraId="1ABD7B8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55,85</w:t>
            </w:r>
          </w:p>
        </w:tc>
        <w:tc>
          <w:tcPr>
            <w:tcW w:w="992" w:type="dxa"/>
            <w:tcBorders>
              <w:top w:val="nil"/>
              <w:left w:val="nil"/>
              <w:bottom w:val="single" w:sz="4" w:space="0" w:color="auto"/>
              <w:right w:val="single" w:sz="4" w:space="0" w:color="auto"/>
            </w:tcBorders>
            <w:shd w:val="clear" w:color="auto" w:fill="auto"/>
            <w:noWrap/>
            <w:vAlign w:val="center"/>
            <w:hideMark/>
          </w:tcPr>
          <w:p w14:paraId="7239E80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-44,15</w:t>
            </w:r>
          </w:p>
        </w:tc>
        <w:tc>
          <w:tcPr>
            <w:tcW w:w="992" w:type="dxa"/>
            <w:tcBorders>
              <w:top w:val="nil"/>
              <w:left w:val="nil"/>
              <w:bottom w:val="single" w:sz="4" w:space="0" w:color="000000"/>
              <w:right w:val="single" w:sz="4" w:space="0" w:color="000000"/>
            </w:tcBorders>
            <w:shd w:val="clear" w:color="auto" w:fill="auto"/>
            <w:vAlign w:val="center"/>
            <w:hideMark/>
          </w:tcPr>
          <w:p w14:paraId="32872E8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133</w:t>
            </w:r>
          </w:p>
        </w:tc>
        <w:tc>
          <w:tcPr>
            <w:tcW w:w="851" w:type="dxa"/>
            <w:tcBorders>
              <w:top w:val="nil"/>
              <w:left w:val="nil"/>
              <w:bottom w:val="single" w:sz="4" w:space="0" w:color="auto"/>
              <w:right w:val="single" w:sz="4" w:space="0" w:color="auto"/>
            </w:tcBorders>
            <w:shd w:val="clear" w:color="auto" w:fill="auto"/>
            <w:noWrap/>
            <w:vAlign w:val="center"/>
            <w:hideMark/>
          </w:tcPr>
          <w:p w14:paraId="0710F71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9,00</w:t>
            </w:r>
          </w:p>
        </w:tc>
        <w:tc>
          <w:tcPr>
            <w:tcW w:w="1276" w:type="dxa"/>
            <w:tcBorders>
              <w:top w:val="nil"/>
              <w:left w:val="nil"/>
              <w:bottom w:val="single" w:sz="4" w:space="0" w:color="auto"/>
              <w:right w:val="single" w:sz="4" w:space="0" w:color="auto"/>
            </w:tcBorders>
            <w:shd w:val="clear" w:color="auto" w:fill="auto"/>
            <w:noWrap/>
            <w:vAlign w:val="center"/>
            <w:hideMark/>
          </w:tcPr>
          <w:p w14:paraId="30E4057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52,99</w:t>
            </w:r>
          </w:p>
        </w:tc>
        <w:tc>
          <w:tcPr>
            <w:tcW w:w="1134" w:type="dxa"/>
            <w:tcBorders>
              <w:top w:val="nil"/>
              <w:left w:val="nil"/>
              <w:bottom w:val="single" w:sz="4" w:space="0" w:color="auto"/>
              <w:right w:val="single" w:sz="4" w:space="0" w:color="auto"/>
            </w:tcBorders>
            <w:shd w:val="clear" w:color="auto" w:fill="auto"/>
            <w:noWrap/>
            <w:vAlign w:val="center"/>
            <w:hideMark/>
          </w:tcPr>
          <w:p w14:paraId="36B2BDD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-47,01</w:t>
            </w:r>
          </w:p>
        </w:tc>
        <w:tc>
          <w:tcPr>
            <w:tcW w:w="708" w:type="dxa"/>
            <w:tcBorders>
              <w:top w:val="nil"/>
              <w:left w:val="nil"/>
              <w:bottom w:val="single" w:sz="4" w:space="0" w:color="000000"/>
              <w:right w:val="single" w:sz="4" w:space="0" w:color="000000"/>
            </w:tcBorders>
            <w:shd w:val="clear" w:color="auto" w:fill="auto"/>
            <w:vAlign w:val="center"/>
            <w:hideMark/>
          </w:tcPr>
          <w:p w14:paraId="022899A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166</w:t>
            </w:r>
          </w:p>
        </w:tc>
        <w:tc>
          <w:tcPr>
            <w:tcW w:w="993" w:type="dxa"/>
            <w:tcBorders>
              <w:top w:val="nil"/>
              <w:left w:val="nil"/>
              <w:bottom w:val="single" w:sz="4" w:space="0" w:color="auto"/>
              <w:right w:val="single" w:sz="4" w:space="0" w:color="auto"/>
            </w:tcBorders>
            <w:shd w:val="clear" w:color="auto" w:fill="auto"/>
            <w:noWrap/>
            <w:vAlign w:val="center"/>
            <w:hideMark/>
          </w:tcPr>
          <w:p w14:paraId="6A9B3AE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-30,00</w:t>
            </w:r>
          </w:p>
        </w:tc>
        <w:tc>
          <w:tcPr>
            <w:tcW w:w="992" w:type="dxa"/>
            <w:tcBorders>
              <w:top w:val="nil"/>
              <w:left w:val="nil"/>
              <w:bottom w:val="single" w:sz="4" w:space="0" w:color="auto"/>
              <w:right w:val="single" w:sz="4" w:space="0" w:color="auto"/>
            </w:tcBorders>
            <w:shd w:val="clear" w:color="auto" w:fill="auto"/>
            <w:noWrap/>
            <w:vAlign w:val="center"/>
            <w:hideMark/>
          </w:tcPr>
          <w:p w14:paraId="602FF30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57,82</w:t>
            </w:r>
          </w:p>
        </w:tc>
        <w:tc>
          <w:tcPr>
            <w:tcW w:w="992" w:type="dxa"/>
            <w:tcBorders>
              <w:top w:val="nil"/>
              <w:left w:val="nil"/>
              <w:bottom w:val="single" w:sz="4" w:space="0" w:color="auto"/>
              <w:right w:val="single" w:sz="4" w:space="0" w:color="auto"/>
            </w:tcBorders>
            <w:shd w:val="clear" w:color="auto" w:fill="auto"/>
            <w:noWrap/>
            <w:vAlign w:val="center"/>
            <w:hideMark/>
          </w:tcPr>
          <w:p w14:paraId="2A8B6A7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-42,18</w:t>
            </w:r>
          </w:p>
        </w:tc>
      </w:tr>
      <w:tr w:rsidR="0066583A" w:rsidRPr="004135FE" w14:paraId="6C0DC7C7"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55E5A5B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661303C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2017</w:t>
            </w:r>
          </w:p>
        </w:tc>
        <w:tc>
          <w:tcPr>
            <w:tcW w:w="850" w:type="dxa"/>
            <w:tcBorders>
              <w:top w:val="nil"/>
              <w:left w:val="nil"/>
              <w:bottom w:val="single" w:sz="4" w:space="0" w:color="auto"/>
              <w:right w:val="single" w:sz="4" w:space="0" w:color="auto"/>
            </w:tcBorders>
            <w:shd w:val="clear" w:color="auto" w:fill="auto"/>
            <w:vAlign w:val="center"/>
            <w:hideMark/>
          </w:tcPr>
          <w:p w14:paraId="02846F7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492</w:t>
            </w:r>
          </w:p>
        </w:tc>
        <w:tc>
          <w:tcPr>
            <w:tcW w:w="992" w:type="dxa"/>
            <w:tcBorders>
              <w:top w:val="nil"/>
              <w:left w:val="nil"/>
              <w:bottom w:val="single" w:sz="4" w:space="0" w:color="auto"/>
              <w:right w:val="single" w:sz="4" w:space="0" w:color="auto"/>
            </w:tcBorders>
            <w:shd w:val="clear" w:color="auto" w:fill="auto"/>
            <w:noWrap/>
            <w:vAlign w:val="center"/>
            <w:hideMark/>
          </w:tcPr>
          <w:p w14:paraId="2DB3F17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193,00</w:t>
            </w:r>
          </w:p>
        </w:tc>
        <w:tc>
          <w:tcPr>
            <w:tcW w:w="1418" w:type="dxa"/>
            <w:tcBorders>
              <w:top w:val="nil"/>
              <w:left w:val="nil"/>
              <w:bottom w:val="single" w:sz="4" w:space="0" w:color="auto"/>
              <w:right w:val="single" w:sz="4" w:space="0" w:color="auto"/>
            </w:tcBorders>
            <w:shd w:val="clear" w:color="auto" w:fill="auto"/>
            <w:noWrap/>
            <w:vAlign w:val="center"/>
            <w:hideMark/>
          </w:tcPr>
          <w:p w14:paraId="6B43D4B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52,18</w:t>
            </w:r>
          </w:p>
        </w:tc>
        <w:tc>
          <w:tcPr>
            <w:tcW w:w="992" w:type="dxa"/>
            <w:tcBorders>
              <w:top w:val="nil"/>
              <w:left w:val="nil"/>
              <w:bottom w:val="single" w:sz="4" w:space="0" w:color="auto"/>
              <w:right w:val="single" w:sz="4" w:space="0" w:color="auto"/>
            </w:tcBorders>
            <w:shd w:val="clear" w:color="auto" w:fill="auto"/>
            <w:noWrap/>
            <w:vAlign w:val="center"/>
            <w:hideMark/>
          </w:tcPr>
          <w:p w14:paraId="2443BFC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-47,82</w:t>
            </w:r>
          </w:p>
        </w:tc>
        <w:tc>
          <w:tcPr>
            <w:tcW w:w="992" w:type="dxa"/>
            <w:tcBorders>
              <w:top w:val="nil"/>
              <w:left w:val="nil"/>
              <w:bottom w:val="single" w:sz="4" w:space="0" w:color="000000"/>
              <w:right w:val="single" w:sz="4" w:space="0" w:color="000000"/>
            </w:tcBorders>
            <w:shd w:val="clear" w:color="auto" w:fill="auto"/>
            <w:vAlign w:val="center"/>
            <w:hideMark/>
          </w:tcPr>
          <w:p w14:paraId="56210CB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191</w:t>
            </w:r>
          </w:p>
        </w:tc>
        <w:tc>
          <w:tcPr>
            <w:tcW w:w="851" w:type="dxa"/>
            <w:tcBorders>
              <w:top w:val="nil"/>
              <w:left w:val="nil"/>
              <w:bottom w:val="single" w:sz="4" w:space="0" w:color="auto"/>
              <w:right w:val="single" w:sz="4" w:space="0" w:color="auto"/>
            </w:tcBorders>
            <w:shd w:val="clear" w:color="auto" w:fill="auto"/>
            <w:noWrap/>
            <w:vAlign w:val="center"/>
            <w:hideMark/>
          </w:tcPr>
          <w:p w14:paraId="4CF2612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58,00</w:t>
            </w:r>
          </w:p>
        </w:tc>
        <w:tc>
          <w:tcPr>
            <w:tcW w:w="1276" w:type="dxa"/>
            <w:tcBorders>
              <w:top w:val="nil"/>
              <w:left w:val="nil"/>
              <w:bottom w:val="single" w:sz="4" w:space="0" w:color="auto"/>
              <w:right w:val="single" w:sz="4" w:space="0" w:color="auto"/>
            </w:tcBorders>
            <w:shd w:val="clear" w:color="auto" w:fill="auto"/>
            <w:noWrap/>
            <w:vAlign w:val="center"/>
            <w:hideMark/>
          </w:tcPr>
          <w:p w14:paraId="09864C1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56,84</w:t>
            </w:r>
          </w:p>
        </w:tc>
        <w:tc>
          <w:tcPr>
            <w:tcW w:w="1134" w:type="dxa"/>
            <w:tcBorders>
              <w:top w:val="nil"/>
              <w:left w:val="nil"/>
              <w:bottom w:val="single" w:sz="4" w:space="0" w:color="auto"/>
              <w:right w:val="single" w:sz="4" w:space="0" w:color="auto"/>
            </w:tcBorders>
            <w:shd w:val="clear" w:color="auto" w:fill="auto"/>
            <w:noWrap/>
            <w:vAlign w:val="center"/>
            <w:hideMark/>
          </w:tcPr>
          <w:p w14:paraId="002110C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-43,16</w:t>
            </w:r>
          </w:p>
        </w:tc>
        <w:tc>
          <w:tcPr>
            <w:tcW w:w="708" w:type="dxa"/>
            <w:tcBorders>
              <w:top w:val="nil"/>
              <w:left w:val="nil"/>
              <w:bottom w:val="single" w:sz="4" w:space="0" w:color="000000"/>
              <w:right w:val="single" w:sz="4" w:space="0" w:color="000000"/>
            </w:tcBorders>
            <w:shd w:val="clear" w:color="auto" w:fill="auto"/>
            <w:vAlign w:val="center"/>
            <w:hideMark/>
          </w:tcPr>
          <w:p w14:paraId="0F8D6BA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301</w:t>
            </w:r>
          </w:p>
        </w:tc>
        <w:tc>
          <w:tcPr>
            <w:tcW w:w="993" w:type="dxa"/>
            <w:tcBorders>
              <w:top w:val="nil"/>
              <w:left w:val="nil"/>
              <w:bottom w:val="single" w:sz="4" w:space="0" w:color="auto"/>
              <w:right w:val="single" w:sz="4" w:space="0" w:color="auto"/>
            </w:tcBorders>
            <w:shd w:val="clear" w:color="auto" w:fill="auto"/>
            <w:noWrap/>
            <w:vAlign w:val="center"/>
            <w:hideMark/>
          </w:tcPr>
          <w:p w14:paraId="3F67927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135,00</w:t>
            </w:r>
          </w:p>
        </w:tc>
        <w:tc>
          <w:tcPr>
            <w:tcW w:w="992" w:type="dxa"/>
            <w:tcBorders>
              <w:top w:val="nil"/>
              <w:left w:val="nil"/>
              <w:bottom w:val="single" w:sz="4" w:space="0" w:color="auto"/>
              <w:right w:val="single" w:sz="4" w:space="0" w:color="auto"/>
            </w:tcBorders>
            <w:shd w:val="clear" w:color="auto" w:fill="auto"/>
            <w:noWrap/>
            <w:vAlign w:val="center"/>
            <w:hideMark/>
          </w:tcPr>
          <w:p w14:paraId="036B2BF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48,97</w:t>
            </w:r>
          </w:p>
        </w:tc>
        <w:tc>
          <w:tcPr>
            <w:tcW w:w="992" w:type="dxa"/>
            <w:tcBorders>
              <w:top w:val="nil"/>
              <w:left w:val="nil"/>
              <w:bottom w:val="single" w:sz="4" w:space="0" w:color="auto"/>
              <w:right w:val="single" w:sz="4" w:space="0" w:color="auto"/>
            </w:tcBorders>
            <w:shd w:val="clear" w:color="auto" w:fill="auto"/>
            <w:noWrap/>
            <w:vAlign w:val="center"/>
            <w:hideMark/>
          </w:tcPr>
          <w:p w14:paraId="41837AE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-51,03</w:t>
            </w:r>
          </w:p>
        </w:tc>
      </w:tr>
      <w:tr w:rsidR="0066583A" w:rsidRPr="004135FE" w14:paraId="1862A7F5"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67B6066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4D210AB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2018</w:t>
            </w:r>
          </w:p>
        </w:tc>
        <w:tc>
          <w:tcPr>
            <w:tcW w:w="850" w:type="dxa"/>
            <w:tcBorders>
              <w:top w:val="nil"/>
              <w:left w:val="nil"/>
              <w:bottom w:val="single" w:sz="4" w:space="0" w:color="auto"/>
              <w:right w:val="single" w:sz="4" w:space="0" w:color="auto"/>
            </w:tcBorders>
            <w:shd w:val="clear" w:color="auto" w:fill="auto"/>
            <w:vAlign w:val="center"/>
            <w:hideMark/>
          </w:tcPr>
          <w:p w14:paraId="07A4F22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449</w:t>
            </w:r>
          </w:p>
        </w:tc>
        <w:tc>
          <w:tcPr>
            <w:tcW w:w="992" w:type="dxa"/>
            <w:tcBorders>
              <w:top w:val="nil"/>
              <w:left w:val="nil"/>
              <w:bottom w:val="single" w:sz="4" w:space="0" w:color="auto"/>
              <w:right w:val="single" w:sz="4" w:space="0" w:color="auto"/>
            </w:tcBorders>
            <w:shd w:val="clear" w:color="auto" w:fill="auto"/>
            <w:noWrap/>
            <w:vAlign w:val="center"/>
            <w:hideMark/>
          </w:tcPr>
          <w:p w14:paraId="5DE9F28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-43,00</w:t>
            </w:r>
          </w:p>
        </w:tc>
        <w:tc>
          <w:tcPr>
            <w:tcW w:w="1418" w:type="dxa"/>
            <w:tcBorders>
              <w:top w:val="nil"/>
              <w:left w:val="nil"/>
              <w:bottom w:val="single" w:sz="4" w:space="0" w:color="auto"/>
              <w:right w:val="single" w:sz="4" w:space="0" w:color="auto"/>
            </w:tcBorders>
            <w:shd w:val="clear" w:color="auto" w:fill="auto"/>
            <w:noWrap/>
            <w:vAlign w:val="center"/>
            <w:hideMark/>
          </w:tcPr>
          <w:p w14:paraId="7309AEE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85,86</w:t>
            </w:r>
          </w:p>
        </w:tc>
        <w:tc>
          <w:tcPr>
            <w:tcW w:w="992" w:type="dxa"/>
            <w:tcBorders>
              <w:top w:val="nil"/>
              <w:left w:val="nil"/>
              <w:bottom w:val="single" w:sz="4" w:space="0" w:color="auto"/>
              <w:right w:val="single" w:sz="4" w:space="0" w:color="auto"/>
            </w:tcBorders>
            <w:shd w:val="clear" w:color="auto" w:fill="auto"/>
            <w:noWrap/>
            <w:vAlign w:val="center"/>
            <w:hideMark/>
          </w:tcPr>
          <w:p w14:paraId="5588DFC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-14,14</w:t>
            </w:r>
          </w:p>
        </w:tc>
        <w:tc>
          <w:tcPr>
            <w:tcW w:w="992" w:type="dxa"/>
            <w:tcBorders>
              <w:top w:val="nil"/>
              <w:left w:val="nil"/>
              <w:bottom w:val="single" w:sz="4" w:space="0" w:color="000000"/>
              <w:right w:val="single" w:sz="4" w:space="0" w:color="000000"/>
            </w:tcBorders>
            <w:shd w:val="clear" w:color="auto" w:fill="auto"/>
            <w:vAlign w:val="center"/>
            <w:hideMark/>
          </w:tcPr>
          <w:p w14:paraId="7EFD2D0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171</w:t>
            </w:r>
          </w:p>
        </w:tc>
        <w:tc>
          <w:tcPr>
            <w:tcW w:w="851" w:type="dxa"/>
            <w:tcBorders>
              <w:top w:val="nil"/>
              <w:left w:val="nil"/>
              <w:bottom w:val="single" w:sz="4" w:space="0" w:color="auto"/>
              <w:right w:val="single" w:sz="4" w:space="0" w:color="auto"/>
            </w:tcBorders>
            <w:shd w:val="clear" w:color="auto" w:fill="auto"/>
            <w:noWrap/>
            <w:vAlign w:val="center"/>
            <w:hideMark/>
          </w:tcPr>
          <w:p w14:paraId="51B65D8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-20,00</w:t>
            </w:r>
          </w:p>
        </w:tc>
        <w:tc>
          <w:tcPr>
            <w:tcW w:w="1276" w:type="dxa"/>
            <w:tcBorders>
              <w:top w:val="nil"/>
              <w:left w:val="nil"/>
              <w:bottom w:val="single" w:sz="4" w:space="0" w:color="auto"/>
              <w:right w:val="single" w:sz="4" w:space="0" w:color="auto"/>
            </w:tcBorders>
            <w:shd w:val="clear" w:color="auto" w:fill="auto"/>
            <w:noWrap/>
            <w:vAlign w:val="center"/>
            <w:hideMark/>
          </w:tcPr>
          <w:p w14:paraId="5C2F168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81,62</w:t>
            </w:r>
          </w:p>
        </w:tc>
        <w:tc>
          <w:tcPr>
            <w:tcW w:w="1134" w:type="dxa"/>
            <w:tcBorders>
              <w:top w:val="nil"/>
              <w:left w:val="nil"/>
              <w:bottom w:val="single" w:sz="4" w:space="0" w:color="auto"/>
              <w:right w:val="single" w:sz="4" w:space="0" w:color="auto"/>
            </w:tcBorders>
            <w:shd w:val="clear" w:color="auto" w:fill="auto"/>
            <w:noWrap/>
            <w:vAlign w:val="center"/>
            <w:hideMark/>
          </w:tcPr>
          <w:p w14:paraId="1580170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-18,38</w:t>
            </w:r>
          </w:p>
        </w:tc>
        <w:tc>
          <w:tcPr>
            <w:tcW w:w="708" w:type="dxa"/>
            <w:tcBorders>
              <w:top w:val="nil"/>
              <w:left w:val="nil"/>
              <w:bottom w:val="single" w:sz="4" w:space="0" w:color="000000"/>
              <w:right w:val="single" w:sz="4" w:space="0" w:color="000000"/>
            </w:tcBorders>
            <w:shd w:val="clear" w:color="auto" w:fill="auto"/>
            <w:vAlign w:val="center"/>
            <w:hideMark/>
          </w:tcPr>
          <w:p w14:paraId="6DFF52A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278</w:t>
            </w:r>
          </w:p>
        </w:tc>
        <w:tc>
          <w:tcPr>
            <w:tcW w:w="993" w:type="dxa"/>
            <w:tcBorders>
              <w:top w:val="nil"/>
              <w:left w:val="nil"/>
              <w:bottom w:val="single" w:sz="4" w:space="0" w:color="auto"/>
              <w:right w:val="single" w:sz="4" w:space="0" w:color="auto"/>
            </w:tcBorders>
            <w:shd w:val="clear" w:color="auto" w:fill="auto"/>
            <w:noWrap/>
            <w:vAlign w:val="center"/>
            <w:hideMark/>
          </w:tcPr>
          <w:p w14:paraId="7712FA4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-23,00</w:t>
            </w:r>
          </w:p>
        </w:tc>
        <w:tc>
          <w:tcPr>
            <w:tcW w:w="992" w:type="dxa"/>
            <w:tcBorders>
              <w:top w:val="nil"/>
              <w:left w:val="nil"/>
              <w:bottom w:val="single" w:sz="4" w:space="0" w:color="auto"/>
              <w:right w:val="single" w:sz="4" w:space="0" w:color="auto"/>
            </w:tcBorders>
            <w:shd w:val="clear" w:color="auto" w:fill="auto"/>
            <w:noWrap/>
            <w:vAlign w:val="center"/>
            <w:hideMark/>
          </w:tcPr>
          <w:p w14:paraId="2E19652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88,79</w:t>
            </w:r>
          </w:p>
        </w:tc>
        <w:tc>
          <w:tcPr>
            <w:tcW w:w="992" w:type="dxa"/>
            <w:tcBorders>
              <w:top w:val="nil"/>
              <w:left w:val="nil"/>
              <w:bottom w:val="single" w:sz="4" w:space="0" w:color="auto"/>
              <w:right w:val="single" w:sz="4" w:space="0" w:color="auto"/>
            </w:tcBorders>
            <w:shd w:val="clear" w:color="auto" w:fill="auto"/>
            <w:noWrap/>
            <w:vAlign w:val="center"/>
            <w:hideMark/>
          </w:tcPr>
          <w:p w14:paraId="1F4AEC9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-11,21</w:t>
            </w:r>
          </w:p>
        </w:tc>
      </w:tr>
      <w:tr w:rsidR="0066583A" w:rsidRPr="004135FE" w14:paraId="557F4600"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1BD232B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69EFEEE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2019</w:t>
            </w:r>
          </w:p>
        </w:tc>
        <w:tc>
          <w:tcPr>
            <w:tcW w:w="850" w:type="dxa"/>
            <w:tcBorders>
              <w:top w:val="nil"/>
              <w:left w:val="nil"/>
              <w:bottom w:val="single" w:sz="4" w:space="0" w:color="auto"/>
              <w:right w:val="single" w:sz="4" w:space="0" w:color="auto"/>
            </w:tcBorders>
            <w:shd w:val="clear" w:color="auto" w:fill="auto"/>
            <w:vAlign w:val="center"/>
            <w:hideMark/>
          </w:tcPr>
          <w:p w14:paraId="34AD8AC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392</w:t>
            </w:r>
          </w:p>
        </w:tc>
        <w:tc>
          <w:tcPr>
            <w:tcW w:w="992" w:type="dxa"/>
            <w:tcBorders>
              <w:top w:val="nil"/>
              <w:left w:val="nil"/>
              <w:bottom w:val="single" w:sz="4" w:space="0" w:color="auto"/>
              <w:right w:val="single" w:sz="4" w:space="0" w:color="auto"/>
            </w:tcBorders>
            <w:shd w:val="clear" w:color="auto" w:fill="auto"/>
            <w:noWrap/>
            <w:vAlign w:val="center"/>
            <w:hideMark/>
          </w:tcPr>
          <w:p w14:paraId="00B2EE1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-57,00</w:t>
            </w:r>
          </w:p>
        </w:tc>
        <w:tc>
          <w:tcPr>
            <w:tcW w:w="1418" w:type="dxa"/>
            <w:tcBorders>
              <w:top w:val="nil"/>
              <w:left w:val="nil"/>
              <w:bottom w:val="single" w:sz="4" w:space="0" w:color="auto"/>
              <w:right w:val="single" w:sz="4" w:space="0" w:color="auto"/>
            </w:tcBorders>
            <w:shd w:val="clear" w:color="auto" w:fill="auto"/>
            <w:noWrap/>
            <w:vAlign w:val="center"/>
            <w:hideMark/>
          </w:tcPr>
          <w:p w14:paraId="6B646F0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78,36</w:t>
            </w:r>
          </w:p>
        </w:tc>
        <w:tc>
          <w:tcPr>
            <w:tcW w:w="992" w:type="dxa"/>
            <w:tcBorders>
              <w:top w:val="nil"/>
              <w:left w:val="nil"/>
              <w:bottom w:val="single" w:sz="4" w:space="0" w:color="auto"/>
              <w:right w:val="single" w:sz="4" w:space="0" w:color="auto"/>
            </w:tcBorders>
            <w:shd w:val="clear" w:color="auto" w:fill="auto"/>
            <w:noWrap/>
            <w:vAlign w:val="center"/>
            <w:hideMark/>
          </w:tcPr>
          <w:p w14:paraId="0704196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-21,64</w:t>
            </w:r>
          </w:p>
        </w:tc>
        <w:tc>
          <w:tcPr>
            <w:tcW w:w="992" w:type="dxa"/>
            <w:tcBorders>
              <w:top w:val="nil"/>
              <w:left w:val="nil"/>
              <w:bottom w:val="single" w:sz="4" w:space="0" w:color="000000"/>
              <w:right w:val="single" w:sz="4" w:space="0" w:color="000000"/>
            </w:tcBorders>
            <w:shd w:val="clear" w:color="auto" w:fill="auto"/>
            <w:vAlign w:val="center"/>
            <w:hideMark/>
          </w:tcPr>
          <w:p w14:paraId="434ED90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166</w:t>
            </w:r>
          </w:p>
        </w:tc>
        <w:tc>
          <w:tcPr>
            <w:tcW w:w="851" w:type="dxa"/>
            <w:tcBorders>
              <w:top w:val="nil"/>
              <w:left w:val="nil"/>
              <w:bottom w:val="single" w:sz="4" w:space="0" w:color="auto"/>
              <w:right w:val="single" w:sz="4" w:space="0" w:color="auto"/>
            </w:tcBorders>
            <w:shd w:val="clear" w:color="auto" w:fill="auto"/>
            <w:noWrap/>
            <w:vAlign w:val="center"/>
            <w:hideMark/>
          </w:tcPr>
          <w:p w14:paraId="42E9019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-5,00</w:t>
            </w:r>
          </w:p>
        </w:tc>
        <w:tc>
          <w:tcPr>
            <w:tcW w:w="1276" w:type="dxa"/>
            <w:tcBorders>
              <w:top w:val="nil"/>
              <w:left w:val="nil"/>
              <w:bottom w:val="single" w:sz="4" w:space="0" w:color="auto"/>
              <w:right w:val="single" w:sz="4" w:space="0" w:color="auto"/>
            </w:tcBorders>
            <w:shd w:val="clear" w:color="auto" w:fill="auto"/>
            <w:noWrap/>
            <w:vAlign w:val="center"/>
            <w:hideMark/>
          </w:tcPr>
          <w:p w14:paraId="7FEED71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73,08</w:t>
            </w:r>
          </w:p>
        </w:tc>
        <w:tc>
          <w:tcPr>
            <w:tcW w:w="1134" w:type="dxa"/>
            <w:tcBorders>
              <w:top w:val="nil"/>
              <w:left w:val="nil"/>
              <w:bottom w:val="single" w:sz="4" w:space="0" w:color="auto"/>
              <w:right w:val="single" w:sz="4" w:space="0" w:color="auto"/>
            </w:tcBorders>
            <w:shd w:val="clear" w:color="auto" w:fill="auto"/>
            <w:noWrap/>
            <w:vAlign w:val="center"/>
            <w:hideMark/>
          </w:tcPr>
          <w:p w14:paraId="08BE9A6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-26,92</w:t>
            </w:r>
          </w:p>
        </w:tc>
        <w:tc>
          <w:tcPr>
            <w:tcW w:w="708" w:type="dxa"/>
            <w:tcBorders>
              <w:top w:val="nil"/>
              <w:left w:val="nil"/>
              <w:bottom w:val="single" w:sz="4" w:space="0" w:color="000000"/>
              <w:right w:val="single" w:sz="4" w:space="0" w:color="000000"/>
            </w:tcBorders>
            <w:shd w:val="clear" w:color="auto" w:fill="auto"/>
            <w:vAlign w:val="center"/>
            <w:hideMark/>
          </w:tcPr>
          <w:p w14:paraId="133502A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226</w:t>
            </w:r>
          </w:p>
        </w:tc>
        <w:tc>
          <w:tcPr>
            <w:tcW w:w="993" w:type="dxa"/>
            <w:tcBorders>
              <w:top w:val="nil"/>
              <w:left w:val="nil"/>
              <w:bottom w:val="single" w:sz="4" w:space="0" w:color="auto"/>
              <w:right w:val="single" w:sz="4" w:space="0" w:color="auto"/>
            </w:tcBorders>
            <w:shd w:val="clear" w:color="auto" w:fill="auto"/>
            <w:noWrap/>
            <w:vAlign w:val="center"/>
            <w:hideMark/>
          </w:tcPr>
          <w:p w14:paraId="73B3C03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-52,00</w:t>
            </w:r>
          </w:p>
        </w:tc>
        <w:tc>
          <w:tcPr>
            <w:tcW w:w="992" w:type="dxa"/>
            <w:tcBorders>
              <w:top w:val="nil"/>
              <w:left w:val="nil"/>
              <w:bottom w:val="single" w:sz="4" w:space="0" w:color="auto"/>
              <w:right w:val="single" w:sz="4" w:space="0" w:color="auto"/>
            </w:tcBorders>
            <w:shd w:val="clear" w:color="auto" w:fill="auto"/>
            <w:noWrap/>
            <w:vAlign w:val="center"/>
            <w:hideMark/>
          </w:tcPr>
          <w:p w14:paraId="51E11DD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82,01</w:t>
            </w:r>
          </w:p>
        </w:tc>
        <w:tc>
          <w:tcPr>
            <w:tcW w:w="992" w:type="dxa"/>
            <w:tcBorders>
              <w:top w:val="nil"/>
              <w:left w:val="nil"/>
              <w:bottom w:val="single" w:sz="4" w:space="0" w:color="auto"/>
              <w:right w:val="single" w:sz="4" w:space="0" w:color="auto"/>
            </w:tcBorders>
            <w:shd w:val="clear" w:color="auto" w:fill="auto"/>
            <w:noWrap/>
            <w:vAlign w:val="center"/>
            <w:hideMark/>
          </w:tcPr>
          <w:p w14:paraId="4442E60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-17,99</w:t>
            </w:r>
          </w:p>
        </w:tc>
      </w:tr>
      <w:tr w:rsidR="0066583A" w:rsidRPr="004135FE" w14:paraId="254E29AD"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0EAD555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2AAF3D8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2020</w:t>
            </w:r>
          </w:p>
        </w:tc>
        <w:tc>
          <w:tcPr>
            <w:tcW w:w="850" w:type="dxa"/>
            <w:tcBorders>
              <w:top w:val="nil"/>
              <w:left w:val="nil"/>
              <w:bottom w:val="single" w:sz="4" w:space="0" w:color="auto"/>
              <w:right w:val="single" w:sz="4" w:space="0" w:color="auto"/>
            </w:tcBorders>
            <w:shd w:val="clear" w:color="auto" w:fill="auto"/>
            <w:vAlign w:val="center"/>
            <w:hideMark/>
          </w:tcPr>
          <w:p w14:paraId="1FD7240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409</w:t>
            </w:r>
          </w:p>
        </w:tc>
        <w:tc>
          <w:tcPr>
            <w:tcW w:w="992" w:type="dxa"/>
            <w:tcBorders>
              <w:top w:val="nil"/>
              <w:left w:val="nil"/>
              <w:bottom w:val="single" w:sz="4" w:space="0" w:color="auto"/>
              <w:right w:val="single" w:sz="4" w:space="0" w:color="auto"/>
            </w:tcBorders>
            <w:shd w:val="clear" w:color="auto" w:fill="auto"/>
            <w:noWrap/>
            <w:vAlign w:val="center"/>
            <w:hideMark/>
          </w:tcPr>
          <w:p w14:paraId="1B8CFF4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17,00</w:t>
            </w:r>
          </w:p>
        </w:tc>
        <w:tc>
          <w:tcPr>
            <w:tcW w:w="1418" w:type="dxa"/>
            <w:tcBorders>
              <w:top w:val="nil"/>
              <w:left w:val="nil"/>
              <w:bottom w:val="single" w:sz="4" w:space="0" w:color="auto"/>
              <w:right w:val="single" w:sz="4" w:space="0" w:color="auto"/>
            </w:tcBorders>
            <w:shd w:val="clear" w:color="auto" w:fill="auto"/>
            <w:noWrap/>
            <w:vAlign w:val="center"/>
            <w:hideMark/>
          </w:tcPr>
          <w:p w14:paraId="0B2AE4A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68,41</w:t>
            </w:r>
          </w:p>
        </w:tc>
        <w:tc>
          <w:tcPr>
            <w:tcW w:w="992" w:type="dxa"/>
            <w:tcBorders>
              <w:top w:val="nil"/>
              <w:left w:val="nil"/>
              <w:bottom w:val="single" w:sz="4" w:space="0" w:color="auto"/>
              <w:right w:val="single" w:sz="4" w:space="0" w:color="auto"/>
            </w:tcBorders>
            <w:shd w:val="clear" w:color="auto" w:fill="auto"/>
            <w:noWrap/>
            <w:vAlign w:val="center"/>
            <w:hideMark/>
          </w:tcPr>
          <w:p w14:paraId="0792663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-31,59</w:t>
            </w:r>
          </w:p>
        </w:tc>
        <w:tc>
          <w:tcPr>
            <w:tcW w:w="992" w:type="dxa"/>
            <w:tcBorders>
              <w:top w:val="nil"/>
              <w:left w:val="nil"/>
              <w:bottom w:val="single" w:sz="4" w:space="0" w:color="000000"/>
              <w:right w:val="single" w:sz="4" w:space="0" w:color="000000"/>
            </w:tcBorders>
            <w:shd w:val="clear" w:color="auto" w:fill="auto"/>
            <w:vAlign w:val="center"/>
            <w:hideMark/>
          </w:tcPr>
          <w:p w14:paraId="1667D80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176</w:t>
            </w:r>
          </w:p>
        </w:tc>
        <w:tc>
          <w:tcPr>
            <w:tcW w:w="851" w:type="dxa"/>
            <w:tcBorders>
              <w:top w:val="nil"/>
              <w:left w:val="nil"/>
              <w:bottom w:val="single" w:sz="4" w:space="0" w:color="auto"/>
              <w:right w:val="single" w:sz="4" w:space="0" w:color="auto"/>
            </w:tcBorders>
            <w:shd w:val="clear" w:color="auto" w:fill="auto"/>
            <w:noWrap/>
            <w:vAlign w:val="center"/>
            <w:hideMark/>
          </w:tcPr>
          <w:p w14:paraId="28D8013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10,00</w:t>
            </w:r>
          </w:p>
        </w:tc>
        <w:tc>
          <w:tcPr>
            <w:tcW w:w="1276" w:type="dxa"/>
            <w:tcBorders>
              <w:top w:val="nil"/>
              <w:left w:val="nil"/>
              <w:bottom w:val="single" w:sz="4" w:space="0" w:color="auto"/>
              <w:right w:val="single" w:sz="4" w:space="0" w:color="auto"/>
            </w:tcBorders>
            <w:shd w:val="clear" w:color="auto" w:fill="auto"/>
            <w:noWrap/>
            <w:vAlign w:val="center"/>
            <w:hideMark/>
          </w:tcPr>
          <w:p w14:paraId="01B2EE4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70,94</w:t>
            </w:r>
          </w:p>
        </w:tc>
        <w:tc>
          <w:tcPr>
            <w:tcW w:w="1134" w:type="dxa"/>
            <w:tcBorders>
              <w:top w:val="nil"/>
              <w:left w:val="nil"/>
              <w:bottom w:val="single" w:sz="4" w:space="0" w:color="auto"/>
              <w:right w:val="single" w:sz="4" w:space="0" w:color="auto"/>
            </w:tcBorders>
            <w:shd w:val="clear" w:color="auto" w:fill="auto"/>
            <w:noWrap/>
            <w:vAlign w:val="center"/>
            <w:hideMark/>
          </w:tcPr>
          <w:p w14:paraId="486AD63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-29,06</w:t>
            </w:r>
          </w:p>
        </w:tc>
        <w:tc>
          <w:tcPr>
            <w:tcW w:w="708" w:type="dxa"/>
            <w:tcBorders>
              <w:top w:val="nil"/>
              <w:left w:val="nil"/>
              <w:bottom w:val="single" w:sz="4" w:space="0" w:color="000000"/>
              <w:right w:val="single" w:sz="4" w:space="0" w:color="000000"/>
            </w:tcBorders>
            <w:shd w:val="clear" w:color="auto" w:fill="auto"/>
            <w:vAlign w:val="center"/>
            <w:hideMark/>
          </w:tcPr>
          <w:p w14:paraId="45A96C2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233</w:t>
            </w:r>
          </w:p>
        </w:tc>
        <w:tc>
          <w:tcPr>
            <w:tcW w:w="993" w:type="dxa"/>
            <w:tcBorders>
              <w:top w:val="nil"/>
              <w:left w:val="nil"/>
              <w:bottom w:val="single" w:sz="4" w:space="0" w:color="auto"/>
              <w:right w:val="single" w:sz="4" w:space="0" w:color="auto"/>
            </w:tcBorders>
            <w:shd w:val="clear" w:color="auto" w:fill="auto"/>
            <w:noWrap/>
            <w:vAlign w:val="center"/>
            <w:hideMark/>
          </w:tcPr>
          <w:p w14:paraId="0FA5FE8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7,00</w:t>
            </w:r>
          </w:p>
        </w:tc>
        <w:tc>
          <w:tcPr>
            <w:tcW w:w="992" w:type="dxa"/>
            <w:tcBorders>
              <w:top w:val="nil"/>
              <w:left w:val="nil"/>
              <w:bottom w:val="single" w:sz="4" w:space="0" w:color="auto"/>
              <w:right w:val="single" w:sz="4" w:space="0" w:color="auto"/>
            </w:tcBorders>
            <w:shd w:val="clear" w:color="auto" w:fill="auto"/>
            <w:noWrap/>
            <w:vAlign w:val="center"/>
            <w:hideMark/>
          </w:tcPr>
          <w:p w14:paraId="6E22B1B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66,67</w:t>
            </w:r>
          </w:p>
        </w:tc>
        <w:tc>
          <w:tcPr>
            <w:tcW w:w="992" w:type="dxa"/>
            <w:tcBorders>
              <w:top w:val="nil"/>
              <w:left w:val="nil"/>
              <w:bottom w:val="single" w:sz="4" w:space="0" w:color="auto"/>
              <w:right w:val="single" w:sz="4" w:space="0" w:color="auto"/>
            </w:tcBorders>
            <w:shd w:val="clear" w:color="auto" w:fill="auto"/>
            <w:noWrap/>
            <w:vAlign w:val="center"/>
            <w:hideMark/>
          </w:tcPr>
          <w:p w14:paraId="4408EBE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-33,33</w:t>
            </w:r>
          </w:p>
        </w:tc>
      </w:tr>
      <w:tr w:rsidR="0066583A" w:rsidRPr="004135FE" w14:paraId="46C087D9"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42A18CE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4AA6E5C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2021</w:t>
            </w:r>
          </w:p>
        </w:tc>
        <w:tc>
          <w:tcPr>
            <w:tcW w:w="850" w:type="dxa"/>
            <w:tcBorders>
              <w:top w:val="nil"/>
              <w:left w:val="nil"/>
              <w:bottom w:val="nil"/>
              <w:right w:val="nil"/>
            </w:tcBorders>
            <w:shd w:val="clear" w:color="auto" w:fill="auto"/>
            <w:noWrap/>
            <w:vAlign w:val="center"/>
            <w:hideMark/>
          </w:tcPr>
          <w:p w14:paraId="7FC948F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573</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80252B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164,00</w:t>
            </w:r>
          </w:p>
        </w:tc>
        <w:tc>
          <w:tcPr>
            <w:tcW w:w="1418" w:type="dxa"/>
            <w:tcBorders>
              <w:top w:val="nil"/>
              <w:left w:val="nil"/>
              <w:bottom w:val="single" w:sz="4" w:space="0" w:color="auto"/>
              <w:right w:val="single" w:sz="4" w:space="0" w:color="auto"/>
            </w:tcBorders>
            <w:shd w:val="clear" w:color="auto" w:fill="auto"/>
            <w:noWrap/>
            <w:vAlign w:val="center"/>
            <w:hideMark/>
          </w:tcPr>
          <w:p w14:paraId="3C2B84C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71,38</w:t>
            </w:r>
          </w:p>
        </w:tc>
        <w:tc>
          <w:tcPr>
            <w:tcW w:w="992" w:type="dxa"/>
            <w:tcBorders>
              <w:top w:val="nil"/>
              <w:left w:val="nil"/>
              <w:bottom w:val="single" w:sz="4" w:space="0" w:color="auto"/>
              <w:right w:val="single" w:sz="4" w:space="0" w:color="auto"/>
            </w:tcBorders>
            <w:shd w:val="clear" w:color="auto" w:fill="auto"/>
            <w:noWrap/>
            <w:vAlign w:val="center"/>
            <w:hideMark/>
          </w:tcPr>
          <w:p w14:paraId="6C929C4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-28,62</w:t>
            </w:r>
          </w:p>
        </w:tc>
        <w:tc>
          <w:tcPr>
            <w:tcW w:w="992" w:type="dxa"/>
            <w:tcBorders>
              <w:top w:val="nil"/>
              <w:left w:val="nil"/>
              <w:bottom w:val="single" w:sz="4" w:space="0" w:color="000000"/>
              <w:right w:val="single" w:sz="4" w:space="0" w:color="000000"/>
            </w:tcBorders>
            <w:shd w:val="clear" w:color="auto" w:fill="auto"/>
            <w:vAlign w:val="center"/>
            <w:hideMark/>
          </w:tcPr>
          <w:p w14:paraId="4F81B6D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234</w:t>
            </w:r>
          </w:p>
        </w:tc>
        <w:tc>
          <w:tcPr>
            <w:tcW w:w="851" w:type="dxa"/>
            <w:tcBorders>
              <w:top w:val="nil"/>
              <w:left w:val="nil"/>
              <w:bottom w:val="single" w:sz="4" w:space="0" w:color="auto"/>
              <w:right w:val="single" w:sz="4" w:space="0" w:color="auto"/>
            </w:tcBorders>
            <w:shd w:val="clear" w:color="auto" w:fill="auto"/>
            <w:noWrap/>
            <w:vAlign w:val="center"/>
            <w:hideMark/>
          </w:tcPr>
          <w:p w14:paraId="3E5043B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58,00</w:t>
            </w:r>
          </w:p>
        </w:tc>
        <w:tc>
          <w:tcPr>
            <w:tcW w:w="1276" w:type="dxa"/>
            <w:tcBorders>
              <w:top w:val="nil"/>
              <w:left w:val="nil"/>
              <w:bottom w:val="single" w:sz="4" w:space="0" w:color="auto"/>
              <w:right w:val="single" w:sz="4" w:space="0" w:color="auto"/>
            </w:tcBorders>
            <w:shd w:val="clear" w:color="auto" w:fill="auto"/>
            <w:noWrap/>
            <w:vAlign w:val="center"/>
            <w:hideMark/>
          </w:tcPr>
          <w:p w14:paraId="2843067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75,21</w:t>
            </w:r>
          </w:p>
        </w:tc>
        <w:tc>
          <w:tcPr>
            <w:tcW w:w="1134" w:type="dxa"/>
            <w:tcBorders>
              <w:top w:val="nil"/>
              <w:left w:val="nil"/>
              <w:bottom w:val="single" w:sz="4" w:space="0" w:color="auto"/>
              <w:right w:val="single" w:sz="4" w:space="0" w:color="auto"/>
            </w:tcBorders>
            <w:shd w:val="clear" w:color="auto" w:fill="auto"/>
            <w:noWrap/>
            <w:vAlign w:val="center"/>
            <w:hideMark/>
          </w:tcPr>
          <w:p w14:paraId="2E5B0F0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-24,79</w:t>
            </w:r>
          </w:p>
        </w:tc>
        <w:tc>
          <w:tcPr>
            <w:tcW w:w="708" w:type="dxa"/>
            <w:tcBorders>
              <w:top w:val="nil"/>
              <w:left w:val="nil"/>
              <w:bottom w:val="single" w:sz="4" w:space="0" w:color="000000"/>
              <w:right w:val="single" w:sz="4" w:space="0" w:color="000000"/>
            </w:tcBorders>
            <w:shd w:val="clear" w:color="auto" w:fill="auto"/>
            <w:vAlign w:val="center"/>
            <w:hideMark/>
          </w:tcPr>
          <w:p w14:paraId="765BF0D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339</w:t>
            </w:r>
          </w:p>
        </w:tc>
        <w:tc>
          <w:tcPr>
            <w:tcW w:w="993" w:type="dxa"/>
            <w:tcBorders>
              <w:top w:val="nil"/>
              <w:left w:val="nil"/>
              <w:bottom w:val="single" w:sz="4" w:space="0" w:color="auto"/>
              <w:right w:val="single" w:sz="4" w:space="0" w:color="auto"/>
            </w:tcBorders>
            <w:shd w:val="clear" w:color="auto" w:fill="auto"/>
            <w:noWrap/>
            <w:vAlign w:val="center"/>
            <w:hideMark/>
          </w:tcPr>
          <w:p w14:paraId="4033EAA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106,00</w:t>
            </w:r>
          </w:p>
        </w:tc>
        <w:tc>
          <w:tcPr>
            <w:tcW w:w="992" w:type="dxa"/>
            <w:tcBorders>
              <w:top w:val="nil"/>
              <w:left w:val="nil"/>
              <w:bottom w:val="single" w:sz="4" w:space="0" w:color="auto"/>
              <w:right w:val="single" w:sz="4" w:space="0" w:color="auto"/>
            </w:tcBorders>
            <w:shd w:val="clear" w:color="auto" w:fill="auto"/>
            <w:noWrap/>
            <w:vAlign w:val="center"/>
            <w:hideMark/>
          </w:tcPr>
          <w:p w14:paraId="22BF0F6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68,73</w:t>
            </w:r>
          </w:p>
        </w:tc>
        <w:tc>
          <w:tcPr>
            <w:tcW w:w="992" w:type="dxa"/>
            <w:tcBorders>
              <w:top w:val="nil"/>
              <w:left w:val="nil"/>
              <w:bottom w:val="single" w:sz="4" w:space="0" w:color="auto"/>
              <w:right w:val="single" w:sz="4" w:space="0" w:color="auto"/>
            </w:tcBorders>
            <w:shd w:val="clear" w:color="auto" w:fill="auto"/>
            <w:noWrap/>
            <w:vAlign w:val="center"/>
            <w:hideMark/>
          </w:tcPr>
          <w:p w14:paraId="16BF5F8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-31,27</w:t>
            </w:r>
          </w:p>
        </w:tc>
      </w:tr>
      <w:tr w:rsidR="00B16459" w:rsidRPr="004135FE" w14:paraId="09EEAE9A"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6328667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000000" w:fill="FFFFFF"/>
            <w:noWrap/>
            <w:vAlign w:val="center"/>
            <w:hideMark/>
          </w:tcPr>
          <w:p w14:paraId="1FEF22B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среднее</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3413B7A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352,60</w:t>
            </w:r>
          </w:p>
        </w:tc>
        <w:tc>
          <w:tcPr>
            <w:tcW w:w="992" w:type="dxa"/>
            <w:tcBorders>
              <w:top w:val="nil"/>
              <w:left w:val="nil"/>
              <w:bottom w:val="single" w:sz="4" w:space="0" w:color="auto"/>
              <w:right w:val="single" w:sz="4" w:space="0" w:color="auto"/>
            </w:tcBorders>
            <w:shd w:val="clear" w:color="000000" w:fill="FFFFFF"/>
            <w:noWrap/>
            <w:vAlign w:val="center"/>
            <w:hideMark/>
          </w:tcPr>
          <w:p w14:paraId="7378333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43,89</w:t>
            </w:r>
          </w:p>
        </w:tc>
        <w:tc>
          <w:tcPr>
            <w:tcW w:w="1418" w:type="dxa"/>
            <w:tcBorders>
              <w:top w:val="nil"/>
              <w:left w:val="nil"/>
              <w:bottom w:val="single" w:sz="4" w:space="0" w:color="auto"/>
              <w:right w:val="single" w:sz="4" w:space="0" w:color="auto"/>
            </w:tcBorders>
            <w:shd w:val="clear" w:color="000000" w:fill="FFFFFF"/>
            <w:noWrap/>
            <w:vAlign w:val="center"/>
            <w:hideMark/>
          </w:tcPr>
          <w:p w14:paraId="65529B4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113,87</w:t>
            </w:r>
          </w:p>
        </w:tc>
        <w:tc>
          <w:tcPr>
            <w:tcW w:w="992" w:type="dxa"/>
            <w:tcBorders>
              <w:top w:val="nil"/>
              <w:left w:val="nil"/>
              <w:bottom w:val="single" w:sz="4" w:space="0" w:color="auto"/>
              <w:right w:val="single" w:sz="4" w:space="0" w:color="auto"/>
            </w:tcBorders>
            <w:shd w:val="clear" w:color="000000" w:fill="FFFFFF"/>
            <w:noWrap/>
            <w:vAlign w:val="center"/>
            <w:hideMark/>
          </w:tcPr>
          <w:p w14:paraId="2D1ADC4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13,87</w:t>
            </w:r>
          </w:p>
        </w:tc>
        <w:tc>
          <w:tcPr>
            <w:tcW w:w="992" w:type="dxa"/>
            <w:tcBorders>
              <w:top w:val="nil"/>
              <w:left w:val="nil"/>
              <w:bottom w:val="single" w:sz="4" w:space="0" w:color="auto"/>
              <w:right w:val="single" w:sz="4" w:space="0" w:color="auto"/>
            </w:tcBorders>
            <w:shd w:val="clear" w:color="000000" w:fill="FFFFFF"/>
            <w:noWrap/>
            <w:vAlign w:val="center"/>
            <w:hideMark/>
          </w:tcPr>
          <w:p w14:paraId="7A80D36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143,90</w:t>
            </w:r>
          </w:p>
        </w:tc>
        <w:tc>
          <w:tcPr>
            <w:tcW w:w="851" w:type="dxa"/>
            <w:tcBorders>
              <w:top w:val="nil"/>
              <w:left w:val="nil"/>
              <w:bottom w:val="single" w:sz="4" w:space="0" w:color="auto"/>
              <w:right w:val="single" w:sz="4" w:space="0" w:color="auto"/>
            </w:tcBorders>
            <w:shd w:val="clear" w:color="000000" w:fill="FFFFFF"/>
            <w:noWrap/>
            <w:vAlign w:val="center"/>
            <w:hideMark/>
          </w:tcPr>
          <w:p w14:paraId="3B3AE0D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18,22</w:t>
            </w:r>
          </w:p>
        </w:tc>
        <w:tc>
          <w:tcPr>
            <w:tcW w:w="1276" w:type="dxa"/>
            <w:tcBorders>
              <w:top w:val="nil"/>
              <w:left w:val="nil"/>
              <w:bottom w:val="single" w:sz="4" w:space="0" w:color="auto"/>
              <w:right w:val="single" w:sz="4" w:space="0" w:color="auto"/>
            </w:tcBorders>
            <w:shd w:val="clear" w:color="000000" w:fill="FFFFFF"/>
            <w:noWrap/>
            <w:vAlign w:val="center"/>
            <w:hideMark/>
          </w:tcPr>
          <w:p w14:paraId="5CCFC05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114,35</w:t>
            </w:r>
          </w:p>
        </w:tc>
        <w:tc>
          <w:tcPr>
            <w:tcW w:w="1134" w:type="dxa"/>
            <w:tcBorders>
              <w:top w:val="nil"/>
              <w:left w:val="nil"/>
              <w:bottom w:val="single" w:sz="4" w:space="0" w:color="auto"/>
              <w:right w:val="single" w:sz="4" w:space="0" w:color="auto"/>
            </w:tcBorders>
            <w:shd w:val="clear" w:color="000000" w:fill="FFFFFF"/>
            <w:noWrap/>
            <w:vAlign w:val="center"/>
            <w:hideMark/>
          </w:tcPr>
          <w:p w14:paraId="2913951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14,35</w:t>
            </w:r>
          </w:p>
        </w:tc>
        <w:tc>
          <w:tcPr>
            <w:tcW w:w="708" w:type="dxa"/>
            <w:tcBorders>
              <w:top w:val="nil"/>
              <w:left w:val="nil"/>
              <w:bottom w:val="single" w:sz="4" w:space="0" w:color="auto"/>
              <w:right w:val="single" w:sz="4" w:space="0" w:color="auto"/>
            </w:tcBorders>
            <w:shd w:val="clear" w:color="000000" w:fill="FFFFFF"/>
            <w:noWrap/>
            <w:vAlign w:val="center"/>
            <w:hideMark/>
          </w:tcPr>
          <w:p w14:paraId="6F4B5D0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208,70</w:t>
            </w:r>
          </w:p>
        </w:tc>
        <w:tc>
          <w:tcPr>
            <w:tcW w:w="993" w:type="dxa"/>
            <w:tcBorders>
              <w:top w:val="nil"/>
              <w:left w:val="nil"/>
              <w:bottom w:val="single" w:sz="4" w:space="0" w:color="auto"/>
              <w:right w:val="single" w:sz="4" w:space="0" w:color="auto"/>
            </w:tcBorders>
            <w:shd w:val="clear" w:color="000000" w:fill="FFFFFF"/>
            <w:noWrap/>
            <w:vAlign w:val="center"/>
            <w:hideMark/>
          </w:tcPr>
          <w:p w14:paraId="393C04C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25,67</w:t>
            </w:r>
          </w:p>
        </w:tc>
        <w:tc>
          <w:tcPr>
            <w:tcW w:w="992" w:type="dxa"/>
            <w:tcBorders>
              <w:top w:val="nil"/>
              <w:left w:val="nil"/>
              <w:bottom w:val="single" w:sz="4" w:space="0" w:color="auto"/>
              <w:right w:val="single" w:sz="4" w:space="0" w:color="auto"/>
            </w:tcBorders>
            <w:shd w:val="clear" w:color="000000" w:fill="FFFFFF"/>
            <w:noWrap/>
            <w:vAlign w:val="center"/>
            <w:hideMark/>
          </w:tcPr>
          <w:p w14:paraId="4E8FDAE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113,55</w:t>
            </w:r>
          </w:p>
        </w:tc>
        <w:tc>
          <w:tcPr>
            <w:tcW w:w="992" w:type="dxa"/>
            <w:tcBorders>
              <w:top w:val="nil"/>
              <w:left w:val="nil"/>
              <w:bottom w:val="single" w:sz="4" w:space="0" w:color="auto"/>
              <w:right w:val="single" w:sz="4" w:space="0" w:color="auto"/>
            </w:tcBorders>
            <w:shd w:val="clear" w:color="000000" w:fill="FFFFFF"/>
            <w:noWrap/>
            <w:vAlign w:val="center"/>
            <w:hideMark/>
          </w:tcPr>
          <w:p w14:paraId="7FCD818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13,55</w:t>
            </w:r>
          </w:p>
        </w:tc>
      </w:tr>
      <w:tr w:rsidR="0066583A" w:rsidRPr="004135FE" w14:paraId="6285AFB2" w14:textId="77777777" w:rsidTr="00E2614D">
        <w:trPr>
          <w:trHeight w:val="283"/>
        </w:trPr>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4ACF0F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993" w:type="dxa"/>
            <w:tcBorders>
              <w:top w:val="nil"/>
              <w:left w:val="nil"/>
              <w:bottom w:val="single" w:sz="4" w:space="0" w:color="auto"/>
              <w:right w:val="single" w:sz="4" w:space="0" w:color="auto"/>
            </w:tcBorders>
            <w:shd w:val="clear" w:color="auto" w:fill="auto"/>
            <w:noWrap/>
            <w:vAlign w:val="center"/>
            <w:hideMark/>
          </w:tcPr>
          <w:p w14:paraId="19A5BF6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2012</w:t>
            </w:r>
          </w:p>
        </w:tc>
        <w:tc>
          <w:tcPr>
            <w:tcW w:w="850" w:type="dxa"/>
            <w:tcBorders>
              <w:top w:val="nil"/>
              <w:left w:val="nil"/>
              <w:bottom w:val="single" w:sz="4" w:space="0" w:color="auto"/>
              <w:right w:val="single" w:sz="4" w:space="0" w:color="auto"/>
            </w:tcBorders>
            <w:shd w:val="clear" w:color="auto" w:fill="auto"/>
            <w:vAlign w:val="center"/>
            <w:hideMark/>
          </w:tcPr>
          <w:p w14:paraId="06AB98D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550</w:t>
            </w:r>
          </w:p>
        </w:tc>
        <w:tc>
          <w:tcPr>
            <w:tcW w:w="992" w:type="dxa"/>
            <w:tcBorders>
              <w:top w:val="nil"/>
              <w:left w:val="nil"/>
              <w:bottom w:val="single" w:sz="4" w:space="0" w:color="auto"/>
              <w:right w:val="single" w:sz="4" w:space="0" w:color="auto"/>
            </w:tcBorders>
            <w:shd w:val="clear" w:color="auto" w:fill="auto"/>
            <w:noWrap/>
            <w:vAlign w:val="center"/>
            <w:hideMark/>
          </w:tcPr>
          <w:p w14:paraId="00128D0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1418" w:type="dxa"/>
            <w:tcBorders>
              <w:top w:val="nil"/>
              <w:left w:val="nil"/>
              <w:bottom w:val="single" w:sz="4" w:space="0" w:color="auto"/>
              <w:right w:val="single" w:sz="4" w:space="0" w:color="auto"/>
            </w:tcBorders>
            <w:shd w:val="clear" w:color="auto" w:fill="auto"/>
            <w:noWrap/>
            <w:vAlign w:val="center"/>
            <w:hideMark/>
          </w:tcPr>
          <w:p w14:paraId="62BA009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2" w:type="dxa"/>
            <w:tcBorders>
              <w:top w:val="nil"/>
              <w:left w:val="nil"/>
              <w:bottom w:val="single" w:sz="4" w:space="0" w:color="auto"/>
              <w:right w:val="single" w:sz="4" w:space="0" w:color="auto"/>
            </w:tcBorders>
            <w:shd w:val="clear" w:color="auto" w:fill="auto"/>
            <w:noWrap/>
            <w:vAlign w:val="center"/>
            <w:hideMark/>
          </w:tcPr>
          <w:p w14:paraId="14B67F8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2" w:type="dxa"/>
            <w:tcBorders>
              <w:top w:val="nil"/>
              <w:left w:val="nil"/>
              <w:bottom w:val="single" w:sz="4" w:space="0" w:color="000000"/>
              <w:right w:val="single" w:sz="4" w:space="0" w:color="000000"/>
            </w:tcBorders>
            <w:shd w:val="clear" w:color="auto" w:fill="auto"/>
            <w:vAlign w:val="center"/>
            <w:hideMark/>
          </w:tcPr>
          <w:p w14:paraId="3846FBC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203</w:t>
            </w:r>
          </w:p>
        </w:tc>
        <w:tc>
          <w:tcPr>
            <w:tcW w:w="851" w:type="dxa"/>
            <w:tcBorders>
              <w:top w:val="nil"/>
              <w:left w:val="nil"/>
              <w:bottom w:val="single" w:sz="4" w:space="0" w:color="auto"/>
              <w:right w:val="single" w:sz="4" w:space="0" w:color="auto"/>
            </w:tcBorders>
            <w:shd w:val="clear" w:color="auto" w:fill="auto"/>
            <w:noWrap/>
            <w:vAlign w:val="center"/>
            <w:hideMark/>
          </w:tcPr>
          <w:p w14:paraId="1636527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1276" w:type="dxa"/>
            <w:tcBorders>
              <w:top w:val="nil"/>
              <w:left w:val="nil"/>
              <w:bottom w:val="single" w:sz="4" w:space="0" w:color="auto"/>
              <w:right w:val="single" w:sz="4" w:space="0" w:color="auto"/>
            </w:tcBorders>
            <w:shd w:val="clear" w:color="auto" w:fill="auto"/>
            <w:noWrap/>
            <w:vAlign w:val="center"/>
            <w:hideMark/>
          </w:tcPr>
          <w:p w14:paraId="3D078B0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1134" w:type="dxa"/>
            <w:tcBorders>
              <w:top w:val="nil"/>
              <w:left w:val="nil"/>
              <w:bottom w:val="single" w:sz="4" w:space="0" w:color="auto"/>
              <w:right w:val="single" w:sz="4" w:space="0" w:color="auto"/>
            </w:tcBorders>
            <w:shd w:val="clear" w:color="auto" w:fill="auto"/>
            <w:noWrap/>
            <w:vAlign w:val="center"/>
            <w:hideMark/>
          </w:tcPr>
          <w:p w14:paraId="656CA06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708" w:type="dxa"/>
            <w:tcBorders>
              <w:top w:val="nil"/>
              <w:left w:val="nil"/>
              <w:bottom w:val="single" w:sz="4" w:space="0" w:color="000000"/>
              <w:right w:val="single" w:sz="4" w:space="0" w:color="000000"/>
            </w:tcBorders>
            <w:shd w:val="clear" w:color="auto" w:fill="auto"/>
            <w:vAlign w:val="center"/>
            <w:hideMark/>
          </w:tcPr>
          <w:p w14:paraId="1352264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347</w:t>
            </w:r>
          </w:p>
        </w:tc>
        <w:tc>
          <w:tcPr>
            <w:tcW w:w="993" w:type="dxa"/>
            <w:tcBorders>
              <w:top w:val="nil"/>
              <w:left w:val="nil"/>
              <w:bottom w:val="single" w:sz="4" w:space="0" w:color="auto"/>
              <w:right w:val="single" w:sz="4" w:space="0" w:color="auto"/>
            </w:tcBorders>
            <w:shd w:val="clear" w:color="auto" w:fill="auto"/>
            <w:noWrap/>
            <w:vAlign w:val="center"/>
            <w:hideMark/>
          </w:tcPr>
          <w:p w14:paraId="51930E4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2" w:type="dxa"/>
            <w:tcBorders>
              <w:top w:val="nil"/>
              <w:left w:val="nil"/>
              <w:bottom w:val="single" w:sz="4" w:space="0" w:color="auto"/>
              <w:right w:val="single" w:sz="4" w:space="0" w:color="auto"/>
            </w:tcBorders>
            <w:shd w:val="clear" w:color="auto" w:fill="auto"/>
            <w:noWrap/>
            <w:vAlign w:val="center"/>
            <w:hideMark/>
          </w:tcPr>
          <w:p w14:paraId="1197217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2" w:type="dxa"/>
            <w:tcBorders>
              <w:top w:val="nil"/>
              <w:left w:val="nil"/>
              <w:bottom w:val="single" w:sz="4" w:space="0" w:color="auto"/>
              <w:right w:val="single" w:sz="4" w:space="0" w:color="auto"/>
            </w:tcBorders>
            <w:shd w:val="clear" w:color="auto" w:fill="auto"/>
            <w:noWrap/>
            <w:vAlign w:val="center"/>
            <w:hideMark/>
          </w:tcPr>
          <w:p w14:paraId="6DEAC49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r>
      <w:tr w:rsidR="0066583A" w:rsidRPr="004135FE" w14:paraId="764CB545"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3DB238D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793AC57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2013</w:t>
            </w:r>
          </w:p>
        </w:tc>
        <w:tc>
          <w:tcPr>
            <w:tcW w:w="850" w:type="dxa"/>
            <w:tcBorders>
              <w:top w:val="nil"/>
              <w:left w:val="nil"/>
              <w:bottom w:val="single" w:sz="4" w:space="0" w:color="auto"/>
              <w:right w:val="single" w:sz="4" w:space="0" w:color="auto"/>
            </w:tcBorders>
            <w:shd w:val="clear" w:color="auto" w:fill="auto"/>
            <w:vAlign w:val="center"/>
            <w:hideMark/>
          </w:tcPr>
          <w:p w14:paraId="5EB6B67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707</w:t>
            </w:r>
          </w:p>
        </w:tc>
        <w:tc>
          <w:tcPr>
            <w:tcW w:w="992" w:type="dxa"/>
            <w:tcBorders>
              <w:top w:val="nil"/>
              <w:left w:val="nil"/>
              <w:bottom w:val="single" w:sz="4" w:space="0" w:color="auto"/>
              <w:right w:val="single" w:sz="4" w:space="0" w:color="auto"/>
            </w:tcBorders>
            <w:shd w:val="clear" w:color="auto" w:fill="auto"/>
            <w:noWrap/>
            <w:vAlign w:val="center"/>
            <w:hideMark/>
          </w:tcPr>
          <w:p w14:paraId="228277F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157,00</w:t>
            </w:r>
          </w:p>
        </w:tc>
        <w:tc>
          <w:tcPr>
            <w:tcW w:w="1418" w:type="dxa"/>
            <w:tcBorders>
              <w:top w:val="nil"/>
              <w:left w:val="nil"/>
              <w:bottom w:val="single" w:sz="4" w:space="0" w:color="auto"/>
              <w:right w:val="single" w:sz="4" w:space="0" w:color="auto"/>
            </w:tcBorders>
            <w:shd w:val="clear" w:color="auto" w:fill="auto"/>
            <w:noWrap/>
            <w:vAlign w:val="center"/>
            <w:hideMark/>
          </w:tcPr>
          <w:p w14:paraId="0240902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67,40</w:t>
            </w:r>
          </w:p>
        </w:tc>
        <w:tc>
          <w:tcPr>
            <w:tcW w:w="992" w:type="dxa"/>
            <w:tcBorders>
              <w:top w:val="nil"/>
              <w:left w:val="nil"/>
              <w:bottom w:val="single" w:sz="4" w:space="0" w:color="auto"/>
              <w:right w:val="single" w:sz="4" w:space="0" w:color="auto"/>
            </w:tcBorders>
            <w:shd w:val="clear" w:color="auto" w:fill="auto"/>
            <w:noWrap/>
            <w:vAlign w:val="center"/>
            <w:hideMark/>
          </w:tcPr>
          <w:p w14:paraId="01E5F63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-32,60</w:t>
            </w:r>
          </w:p>
        </w:tc>
        <w:tc>
          <w:tcPr>
            <w:tcW w:w="992" w:type="dxa"/>
            <w:tcBorders>
              <w:top w:val="nil"/>
              <w:left w:val="nil"/>
              <w:bottom w:val="single" w:sz="4" w:space="0" w:color="000000"/>
              <w:right w:val="single" w:sz="4" w:space="0" w:color="000000"/>
            </w:tcBorders>
            <w:shd w:val="clear" w:color="auto" w:fill="auto"/>
            <w:vAlign w:val="center"/>
            <w:hideMark/>
          </w:tcPr>
          <w:p w14:paraId="6E23669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221</w:t>
            </w:r>
          </w:p>
        </w:tc>
        <w:tc>
          <w:tcPr>
            <w:tcW w:w="851" w:type="dxa"/>
            <w:tcBorders>
              <w:top w:val="nil"/>
              <w:left w:val="nil"/>
              <w:bottom w:val="single" w:sz="4" w:space="0" w:color="auto"/>
              <w:right w:val="single" w:sz="4" w:space="0" w:color="auto"/>
            </w:tcBorders>
            <w:shd w:val="clear" w:color="auto" w:fill="auto"/>
            <w:noWrap/>
            <w:vAlign w:val="center"/>
            <w:hideMark/>
          </w:tcPr>
          <w:p w14:paraId="5F245C3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18,00</w:t>
            </w:r>
          </w:p>
        </w:tc>
        <w:tc>
          <w:tcPr>
            <w:tcW w:w="1276" w:type="dxa"/>
            <w:tcBorders>
              <w:top w:val="nil"/>
              <w:left w:val="nil"/>
              <w:bottom w:val="single" w:sz="4" w:space="0" w:color="auto"/>
              <w:right w:val="single" w:sz="4" w:space="0" w:color="auto"/>
            </w:tcBorders>
            <w:shd w:val="clear" w:color="auto" w:fill="auto"/>
            <w:noWrap/>
            <w:vAlign w:val="center"/>
            <w:hideMark/>
          </w:tcPr>
          <w:p w14:paraId="10F26B6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69,28</w:t>
            </w:r>
          </w:p>
        </w:tc>
        <w:tc>
          <w:tcPr>
            <w:tcW w:w="1134" w:type="dxa"/>
            <w:tcBorders>
              <w:top w:val="nil"/>
              <w:left w:val="nil"/>
              <w:bottom w:val="single" w:sz="4" w:space="0" w:color="auto"/>
              <w:right w:val="single" w:sz="4" w:space="0" w:color="auto"/>
            </w:tcBorders>
            <w:shd w:val="clear" w:color="auto" w:fill="auto"/>
            <w:noWrap/>
            <w:vAlign w:val="center"/>
            <w:hideMark/>
          </w:tcPr>
          <w:p w14:paraId="3F0ECB1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-30,72</w:t>
            </w:r>
          </w:p>
        </w:tc>
        <w:tc>
          <w:tcPr>
            <w:tcW w:w="708" w:type="dxa"/>
            <w:tcBorders>
              <w:top w:val="nil"/>
              <w:left w:val="nil"/>
              <w:bottom w:val="single" w:sz="4" w:space="0" w:color="000000"/>
              <w:right w:val="single" w:sz="4" w:space="0" w:color="000000"/>
            </w:tcBorders>
            <w:shd w:val="clear" w:color="auto" w:fill="auto"/>
            <w:vAlign w:val="center"/>
            <w:hideMark/>
          </w:tcPr>
          <w:p w14:paraId="35933E6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486</w:t>
            </w:r>
          </w:p>
        </w:tc>
        <w:tc>
          <w:tcPr>
            <w:tcW w:w="993" w:type="dxa"/>
            <w:tcBorders>
              <w:top w:val="nil"/>
              <w:left w:val="nil"/>
              <w:bottom w:val="single" w:sz="4" w:space="0" w:color="auto"/>
              <w:right w:val="single" w:sz="4" w:space="0" w:color="auto"/>
            </w:tcBorders>
            <w:shd w:val="clear" w:color="auto" w:fill="auto"/>
            <w:noWrap/>
            <w:vAlign w:val="center"/>
            <w:hideMark/>
          </w:tcPr>
          <w:p w14:paraId="6CCDBC9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139,00</w:t>
            </w:r>
          </w:p>
        </w:tc>
        <w:tc>
          <w:tcPr>
            <w:tcW w:w="992" w:type="dxa"/>
            <w:tcBorders>
              <w:top w:val="nil"/>
              <w:left w:val="nil"/>
              <w:bottom w:val="single" w:sz="4" w:space="0" w:color="auto"/>
              <w:right w:val="single" w:sz="4" w:space="0" w:color="auto"/>
            </w:tcBorders>
            <w:shd w:val="clear" w:color="auto" w:fill="auto"/>
            <w:noWrap/>
            <w:vAlign w:val="center"/>
            <w:hideMark/>
          </w:tcPr>
          <w:p w14:paraId="2BC928D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66,35</w:t>
            </w:r>
          </w:p>
        </w:tc>
        <w:tc>
          <w:tcPr>
            <w:tcW w:w="992" w:type="dxa"/>
            <w:tcBorders>
              <w:top w:val="nil"/>
              <w:left w:val="nil"/>
              <w:bottom w:val="single" w:sz="4" w:space="0" w:color="auto"/>
              <w:right w:val="single" w:sz="4" w:space="0" w:color="auto"/>
            </w:tcBorders>
            <w:shd w:val="clear" w:color="auto" w:fill="auto"/>
            <w:noWrap/>
            <w:vAlign w:val="center"/>
            <w:hideMark/>
          </w:tcPr>
          <w:p w14:paraId="5F3102F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-33,65</w:t>
            </w:r>
          </w:p>
        </w:tc>
      </w:tr>
      <w:tr w:rsidR="0066583A" w:rsidRPr="004135FE" w14:paraId="4C642D75"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77D3009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74CA89A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2014</w:t>
            </w:r>
          </w:p>
        </w:tc>
        <w:tc>
          <w:tcPr>
            <w:tcW w:w="850" w:type="dxa"/>
            <w:tcBorders>
              <w:top w:val="nil"/>
              <w:left w:val="nil"/>
              <w:bottom w:val="single" w:sz="4" w:space="0" w:color="auto"/>
              <w:right w:val="single" w:sz="4" w:space="0" w:color="auto"/>
            </w:tcBorders>
            <w:shd w:val="clear" w:color="auto" w:fill="auto"/>
            <w:vAlign w:val="center"/>
            <w:hideMark/>
          </w:tcPr>
          <w:p w14:paraId="1910B68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569</w:t>
            </w:r>
          </w:p>
        </w:tc>
        <w:tc>
          <w:tcPr>
            <w:tcW w:w="992" w:type="dxa"/>
            <w:tcBorders>
              <w:top w:val="nil"/>
              <w:left w:val="nil"/>
              <w:bottom w:val="single" w:sz="4" w:space="0" w:color="auto"/>
              <w:right w:val="single" w:sz="4" w:space="0" w:color="auto"/>
            </w:tcBorders>
            <w:shd w:val="clear" w:color="auto" w:fill="auto"/>
            <w:noWrap/>
            <w:vAlign w:val="center"/>
            <w:hideMark/>
          </w:tcPr>
          <w:p w14:paraId="3137E6B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-138,00</w:t>
            </w:r>
          </w:p>
        </w:tc>
        <w:tc>
          <w:tcPr>
            <w:tcW w:w="1418" w:type="dxa"/>
            <w:tcBorders>
              <w:top w:val="nil"/>
              <w:left w:val="nil"/>
              <w:bottom w:val="single" w:sz="4" w:space="0" w:color="auto"/>
              <w:right w:val="single" w:sz="4" w:space="0" w:color="auto"/>
            </w:tcBorders>
            <w:shd w:val="clear" w:color="auto" w:fill="auto"/>
            <w:noWrap/>
            <w:vAlign w:val="center"/>
            <w:hideMark/>
          </w:tcPr>
          <w:p w14:paraId="489AA36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86,64</w:t>
            </w:r>
          </w:p>
        </w:tc>
        <w:tc>
          <w:tcPr>
            <w:tcW w:w="992" w:type="dxa"/>
            <w:tcBorders>
              <w:top w:val="nil"/>
              <w:left w:val="nil"/>
              <w:bottom w:val="single" w:sz="4" w:space="0" w:color="auto"/>
              <w:right w:val="single" w:sz="4" w:space="0" w:color="auto"/>
            </w:tcBorders>
            <w:shd w:val="clear" w:color="auto" w:fill="auto"/>
            <w:noWrap/>
            <w:vAlign w:val="center"/>
            <w:hideMark/>
          </w:tcPr>
          <w:p w14:paraId="6F7B13E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-13,36</w:t>
            </w:r>
          </w:p>
        </w:tc>
        <w:tc>
          <w:tcPr>
            <w:tcW w:w="992" w:type="dxa"/>
            <w:tcBorders>
              <w:top w:val="nil"/>
              <w:left w:val="nil"/>
              <w:bottom w:val="single" w:sz="4" w:space="0" w:color="000000"/>
              <w:right w:val="single" w:sz="4" w:space="0" w:color="000000"/>
            </w:tcBorders>
            <w:shd w:val="clear" w:color="auto" w:fill="auto"/>
            <w:vAlign w:val="center"/>
            <w:hideMark/>
          </w:tcPr>
          <w:p w14:paraId="5FB7B0A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187</w:t>
            </w:r>
          </w:p>
        </w:tc>
        <w:tc>
          <w:tcPr>
            <w:tcW w:w="851" w:type="dxa"/>
            <w:tcBorders>
              <w:top w:val="nil"/>
              <w:left w:val="nil"/>
              <w:bottom w:val="single" w:sz="4" w:space="0" w:color="auto"/>
              <w:right w:val="single" w:sz="4" w:space="0" w:color="auto"/>
            </w:tcBorders>
            <w:shd w:val="clear" w:color="auto" w:fill="auto"/>
            <w:noWrap/>
            <w:vAlign w:val="center"/>
            <w:hideMark/>
          </w:tcPr>
          <w:p w14:paraId="2500DCC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-34,00</w:t>
            </w:r>
          </w:p>
        </w:tc>
        <w:tc>
          <w:tcPr>
            <w:tcW w:w="1276" w:type="dxa"/>
            <w:tcBorders>
              <w:top w:val="nil"/>
              <w:left w:val="nil"/>
              <w:bottom w:val="single" w:sz="4" w:space="0" w:color="auto"/>
              <w:right w:val="single" w:sz="4" w:space="0" w:color="auto"/>
            </w:tcBorders>
            <w:shd w:val="clear" w:color="auto" w:fill="auto"/>
            <w:noWrap/>
            <w:vAlign w:val="center"/>
            <w:hideMark/>
          </w:tcPr>
          <w:p w14:paraId="2D2347B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75,43</w:t>
            </w:r>
          </w:p>
        </w:tc>
        <w:tc>
          <w:tcPr>
            <w:tcW w:w="1134" w:type="dxa"/>
            <w:tcBorders>
              <w:top w:val="nil"/>
              <w:left w:val="nil"/>
              <w:bottom w:val="single" w:sz="4" w:space="0" w:color="auto"/>
              <w:right w:val="single" w:sz="4" w:space="0" w:color="auto"/>
            </w:tcBorders>
            <w:shd w:val="clear" w:color="auto" w:fill="auto"/>
            <w:noWrap/>
            <w:vAlign w:val="center"/>
            <w:hideMark/>
          </w:tcPr>
          <w:p w14:paraId="3D82130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-24,57</w:t>
            </w:r>
          </w:p>
        </w:tc>
        <w:tc>
          <w:tcPr>
            <w:tcW w:w="708" w:type="dxa"/>
            <w:tcBorders>
              <w:top w:val="nil"/>
              <w:left w:val="nil"/>
              <w:bottom w:val="single" w:sz="4" w:space="0" w:color="000000"/>
              <w:right w:val="single" w:sz="4" w:space="0" w:color="000000"/>
            </w:tcBorders>
            <w:shd w:val="clear" w:color="auto" w:fill="auto"/>
            <w:vAlign w:val="center"/>
            <w:hideMark/>
          </w:tcPr>
          <w:p w14:paraId="42203F6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382</w:t>
            </w:r>
          </w:p>
        </w:tc>
        <w:tc>
          <w:tcPr>
            <w:tcW w:w="993" w:type="dxa"/>
            <w:tcBorders>
              <w:top w:val="nil"/>
              <w:left w:val="nil"/>
              <w:bottom w:val="single" w:sz="4" w:space="0" w:color="auto"/>
              <w:right w:val="single" w:sz="4" w:space="0" w:color="auto"/>
            </w:tcBorders>
            <w:shd w:val="clear" w:color="auto" w:fill="auto"/>
            <w:noWrap/>
            <w:vAlign w:val="center"/>
            <w:hideMark/>
          </w:tcPr>
          <w:p w14:paraId="6A2CCF5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-104,00</w:t>
            </w:r>
          </w:p>
        </w:tc>
        <w:tc>
          <w:tcPr>
            <w:tcW w:w="992" w:type="dxa"/>
            <w:tcBorders>
              <w:top w:val="nil"/>
              <w:left w:val="nil"/>
              <w:bottom w:val="single" w:sz="4" w:space="0" w:color="auto"/>
              <w:right w:val="single" w:sz="4" w:space="0" w:color="auto"/>
            </w:tcBorders>
            <w:shd w:val="clear" w:color="auto" w:fill="auto"/>
            <w:noWrap/>
            <w:vAlign w:val="center"/>
            <w:hideMark/>
          </w:tcPr>
          <w:p w14:paraId="541B520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92,93</w:t>
            </w:r>
          </w:p>
        </w:tc>
        <w:tc>
          <w:tcPr>
            <w:tcW w:w="992" w:type="dxa"/>
            <w:tcBorders>
              <w:top w:val="nil"/>
              <w:left w:val="nil"/>
              <w:bottom w:val="single" w:sz="4" w:space="0" w:color="auto"/>
              <w:right w:val="single" w:sz="4" w:space="0" w:color="auto"/>
            </w:tcBorders>
            <w:shd w:val="clear" w:color="auto" w:fill="auto"/>
            <w:noWrap/>
            <w:vAlign w:val="center"/>
            <w:hideMark/>
          </w:tcPr>
          <w:p w14:paraId="37261E4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-7,07</w:t>
            </w:r>
          </w:p>
        </w:tc>
      </w:tr>
      <w:tr w:rsidR="0066583A" w:rsidRPr="004135FE" w14:paraId="5024BF97"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3A30CD0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7D36521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2015</w:t>
            </w:r>
          </w:p>
        </w:tc>
        <w:tc>
          <w:tcPr>
            <w:tcW w:w="850" w:type="dxa"/>
            <w:tcBorders>
              <w:top w:val="nil"/>
              <w:left w:val="nil"/>
              <w:bottom w:val="single" w:sz="4" w:space="0" w:color="auto"/>
              <w:right w:val="single" w:sz="4" w:space="0" w:color="auto"/>
            </w:tcBorders>
            <w:shd w:val="clear" w:color="auto" w:fill="auto"/>
            <w:vAlign w:val="center"/>
            <w:hideMark/>
          </w:tcPr>
          <w:p w14:paraId="27F93B2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572</w:t>
            </w:r>
          </w:p>
        </w:tc>
        <w:tc>
          <w:tcPr>
            <w:tcW w:w="992" w:type="dxa"/>
            <w:tcBorders>
              <w:top w:val="nil"/>
              <w:left w:val="nil"/>
              <w:bottom w:val="single" w:sz="4" w:space="0" w:color="auto"/>
              <w:right w:val="single" w:sz="4" w:space="0" w:color="auto"/>
            </w:tcBorders>
            <w:shd w:val="clear" w:color="auto" w:fill="auto"/>
            <w:noWrap/>
            <w:vAlign w:val="center"/>
            <w:hideMark/>
          </w:tcPr>
          <w:p w14:paraId="1F5F944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3,00</w:t>
            </w:r>
          </w:p>
        </w:tc>
        <w:tc>
          <w:tcPr>
            <w:tcW w:w="1418" w:type="dxa"/>
            <w:tcBorders>
              <w:top w:val="nil"/>
              <w:left w:val="nil"/>
              <w:bottom w:val="single" w:sz="4" w:space="0" w:color="auto"/>
              <w:right w:val="single" w:sz="4" w:space="0" w:color="auto"/>
            </w:tcBorders>
            <w:shd w:val="clear" w:color="auto" w:fill="auto"/>
            <w:noWrap/>
            <w:vAlign w:val="center"/>
            <w:hideMark/>
          </w:tcPr>
          <w:p w14:paraId="30C7147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69,73</w:t>
            </w:r>
          </w:p>
        </w:tc>
        <w:tc>
          <w:tcPr>
            <w:tcW w:w="992" w:type="dxa"/>
            <w:tcBorders>
              <w:top w:val="nil"/>
              <w:left w:val="nil"/>
              <w:bottom w:val="single" w:sz="4" w:space="0" w:color="auto"/>
              <w:right w:val="single" w:sz="4" w:space="0" w:color="auto"/>
            </w:tcBorders>
            <w:shd w:val="clear" w:color="auto" w:fill="auto"/>
            <w:noWrap/>
            <w:vAlign w:val="center"/>
            <w:hideMark/>
          </w:tcPr>
          <w:p w14:paraId="606A1D4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-30,27</w:t>
            </w:r>
          </w:p>
        </w:tc>
        <w:tc>
          <w:tcPr>
            <w:tcW w:w="992" w:type="dxa"/>
            <w:tcBorders>
              <w:top w:val="nil"/>
              <w:left w:val="nil"/>
              <w:bottom w:val="single" w:sz="4" w:space="0" w:color="000000"/>
              <w:right w:val="single" w:sz="4" w:space="0" w:color="000000"/>
            </w:tcBorders>
            <w:shd w:val="clear" w:color="auto" w:fill="auto"/>
            <w:vAlign w:val="center"/>
            <w:hideMark/>
          </w:tcPr>
          <w:p w14:paraId="61F2487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198</w:t>
            </w:r>
          </w:p>
        </w:tc>
        <w:tc>
          <w:tcPr>
            <w:tcW w:w="851" w:type="dxa"/>
            <w:tcBorders>
              <w:top w:val="nil"/>
              <w:left w:val="nil"/>
              <w:bottom w:val="single" w:sz="4" w:space="0" w:color="auto"/>
              <w:right w:val="single" w:sz="4" w:space="0" w:color="auto"/>
            </w:tcBorders>
            <w:shd w:val="clear" w:color="auto" w:fill="auto"/>
            <w:noWrap/>
            <w:vAlign w:val="center"/>
            <w:hideMark/>
          </w:tcPr>
          <w:p w14:paraId="26D3F4D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11,00</w:t>
            </w:r>
          </w:p>
        </w:tc>
        <w:tc>
          <w:tcPr>
            <w:tcW w:w="1276" w:type="dxa"/>
            <w:tcBorders>
              <w:top w:val="nil"/>
              <w:left w:val="nil"/>
              <w:bottom w:val="single" w:sz="4" w:space="0" w:color="auto"/>
              <w:right w:val="single" w:sz="4" w:space="0" w:color="auto"/>
            </w:tcBorders>
            <w:shd w:val="clear" w:color="auto" w:fill="auto"/>
            <w:noWrap/>
            <w:vAlign w:val="center"/>
            <w:hideMark/>
          </w:tcPr>
          <w:p w14:paraId="2C64F1F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63,82</w:t>
            </w:r>
          </w:p>
        </w:tc>
        <w:tc>
          <w:tcPr>
            <w:tcW w:w="1134" w:type="dxa"/>
            <w:tcBorders>
              <w:top w:val="nil"/>
              <w:left w:val="nil"/>
              <w:bottom w:val="single" w:sz="4" w:space="0" w:color="auto"/>
              <w:right w:val="single" w:sz="4" w:space="0" w:color="auto"/>
            </w:tcBorders>
            <w:shd w:val="clear" w:color="auto" w:fill="auto"/>
            <w:noWrap/>
            <w:vAlign w:val="center"/>
            <w:hideMark/>
          </w:tcPr>
          <w:p w14:paraId="37A34EF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-36,18</w:t>
            </w:r>
          </w:p>
        </w:tc>
        <w:tc>
          <w:tcPr>
            <w:tcW w:w="708" w:type="dxa"/>
            <w:tcBorders>
              <w:top w:val="nil"/>
              <w:left w:val="nil"/>
              <w:bottom w:val="single" w:sz="4" w:space="0" w:color="000000"/>
              <w:right w:val="single" w:sz="4" w:space="0" w:color="000000"/>
            </w:tcBorders>
            <w:shd w:val="clear" w:color="auto" w:fill="auto"/>
            <w:vAlign w:val="center"/>
            <w:hideMark/>
          </w:tcPr>
          <w:p w14:paraId="0F1A644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374</w:t>
            </w:r>
          </w:p>
        </w:tc>
        <w:tc>
          <w:tcPr>
            <w:tcW w:w="993" w:type="dxa"/>
            <w:tcBorders>
              <w:top w:val="nil"/>
              <w:left w:val="nil"/>
              <w:bottom w:val="single" w:sz="4" w:space="0" w:color="auto"/>
              <w:right w:val="single" w:sz="4" w:space="0" w:color="auto"/>
            </w:tcBorders>
            <w:shd w:val="clear" w:color="auto" w:fill="auto"/>
            <w:noWrap/>
            <w:vAlign w:val="center"/>
            <w:hideMark/>
          </w:tcPr>
          <w:p w14:paraId="0286CBB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-8,00</w:t>
            </w:r>
          </w:p>
        </w:tc>
        <w:tc>
          <w:tcPr>
            <w:tcW w:w="992" w:type="dxa"/>
            <w:tcBorders>
              <w:top w:val="nil"/>
              <w:left w:val="nil"/>
              <w:bottom w:val="single" w:sz="4" w:space="0" w:color="auto"/>
              <w:right w:val="single" w:sz="4" w:space="0" w:color="auto"/>
            </w:tcBorders>
            <w:shd w:val="clear" w:color="auto" w:fill="auto"/>
            <w:noWrap/>
            <w:vAlign w:val="center"/>
            <w:hideMark/>
          </w:tcPr>
          <w:p w14:paraId="084315D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73,04</w:t>
            </w:r>
          </w:p>
        </w:tc>
        <w:tc>
          <w:tcPr>
            <w:tcW w:w="992" w:type="dxa"/>
            <w:tcBorders>
              <w:top w:val="nil"/>
              <w:left w:val="nil"/>
              <w:bottom w:val="single" w:sz="4" w:space="0" w:color="auto"/>
              <w:right w:val="single" w:sz="4" w:space="0" w:color="auto"/>
            </w:tcBorders>
            <w:shd w:val="clear" w:color="auto" w:fill="auto"/>
            <w:noWrap/>
            <w:vAlign w:val="center"/>
            <w:hideMark/>
          </w:tcPr>
          <w:p w14:paraId="10A9761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-26,96</w:t>
            </w:r>
          </w:p>
        </w:tc>
      </w:tr>
      <w:tr w:rsidR="0066583A" w:rsidRPr="004135FE" w14:paraId="599A503F"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2CD6F3F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4D5AF0E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2016</w:t>
            </w:r>
          </w:p>
        </w:tc>
        <w:tc>
          <w:tcPr>
            <w:tcW w:w="850" w:type="dxa"/>
            <w:tcBorders>
              <w:top w:val="nil"/>
              <w:left w:val="nil"/>
              <w:bottom w:val="single" w:sz="4" w:space="0" w:color="auto"/>
              <w:right w:val="single" w:sz="4" w:space="0" w:color="auto"/>
            </w:tcBorders>
            <w:shd w:val="clear" w:color="auto" w:fill="auto"/>
            <w:vAlign w:val="center"/>
            <w:hideMark/>
          </w:tcPr>
          <w:p w14:paraId="34D8860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539</w:t>
            </w:r>
          </w:p>
        </w:tc>
        <w:tc>
          <w:tcPr>
            <w:tcW w:w="992" w:type="dxa"/>
            <w:tcBorders>
              <w:top w:val="nil"/>
              <w:left w:val="nil"/>
              <w:bottom w:val="single" w:sz="4" w:space="0" w:color="auto"/>
              <w:right w:val="single" w:sz="4" w:space="0" w:color="auto"/>
            </w:tcBorders>
            <w:shd w:val="clear" w:color="auto" w:fill="auto"/>
            <w:noWrap/>
            <w:vAlign w:val="center"/>
            <w:hideMark/>
          </w:tcPr>
          <w:p w14:paraId="719B095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-33,00</w:t>
            </w:r>
          </w:p>
        </w:tc>
        <w:tc>
          <w:tcPr>
            <w:tcW w:w="1418" w:type="dxa"/>
            <w:tcBorders>
              <w:top w:val="nil"/>
              <w:left w:val="nil"/>
              <w:bottom w:val="single" w:sz="4" w:space="0" w:color="auto"/>
              <w:right w:val="single" w:sz="4" w:space="0" w:color="auto"/>
            </w:tcBorders>
            <w:shd w:val="clear" w:color="auto" w:fill="auto"/>
            <w:noWrap/>
            <w:vAlign w:val="center"/>
            <w:hideMark/>
          </w:tcPr>
          <w:p w14:paraId="63C25B6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70,10</w:t>
            </w:r>
          </w:p>
        </w:tc>
        <w:tc>
          <w:tcPr>
            <w:tcW w:w="992" w:type="dxa"/>
            <w:tcBorders>
              <w:top w:val="nil"/>
              <w:left w:val="nil"/>
              <w:bottom w:val="single" w:sz="4" w:space="0" w:color="auto"/>
              <w:right w:val="single" w:sz="4" w:space="0" w:color="auto"/>
            </w:tcBorders>
            <w:shd w:val="clear" w:color="auto" w:fill="auto"/>
            <w:noWrap/>
            <w:vAlign w:val="center"/>
            <w:hideMark/>
          </w:tcPr>
          <w:p w14:paraId="3239173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-29,90</w:t>
            </w:r>
          </w:p>
        </w:tc>
        <w:tc>
          <w:tcPr>
            <w:tcW w:w="992" w:type="dxa"/>
            <w:tcBorders>
              <w:top w:val="nil"/>
              <w:left w:val="nil"/>
              <w:bottom w:val="single" w:sz="4" w:space="0" w:color="000000"/>
              <w:right w:val="single" w:sz="4" w:space="0" w:color="000000"/>
            </w:tcBorders>
            <w:shd w:val="clear" w:color="auto" w:fill="auto"/>
            <w:vAlign w:val="center"/>
            <w:hideMark/>
          </w:tcPr>
          <w:p w14:paraId="533C9DE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203</w:t>
            </w:r>
          </w:p>
        </w:tc>
        <w:tc>
          <w:tcPr>
            <w:tcW w:w="851" w:type="dxa"/>
            <w:tcBorders>
              <w:top w:val="nil"/>
              <w:left w:val="nil"/>
              <w:bottom w:val="single" w:sz="4" w:space="0" w:color="auto"/>
              <w:right w:val="single" w:sz="4" w:space="0" w:color="auto"/>
            </w:tcBorders>
            <w:shd w:val="clear" w:color="auto" w:fill="auto"/>
            <w:noWrap/>
            <w:vAlign w:val="center"/>
            <w:hideMark/>
          </w:tcPr>
          <w:p w14:paraId="5782899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5,00</w:t>
            </w:r>
          </w:p>
        </w:tc>
        <w:tc>
          <w:tcPr>
            <w:tcW w:w="1276" w:type="dxa"/>
            <w:tcBorders>
              <w:top w:val="nil"/>
              <w:left w:val="nil"/>
              <w:bottom w:val="single" w:sz="4" w:space="0" w:color="auto"/>
              <w:right w:val="single" w:sz="4" w:space="0" w:color="auto"/>
            </w:tcBorders>
            <w:shd w:val="clear" w:color="auto" w:fill="auto"/>
            <w:noWrap/>
            <w:vAlign w:val="center"/>
            <w:hideMark/>
          </w:tcPr>
          <w:p w14:paraId="45E594E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67,58</w:t>
            </w:r>
          </w:p>
        </w:tc>
        <w:tc>
          <w:tcPr>
            <w:tcW w:w="1134" w:type="dxa"/>
            <w:tcBorders>
              <w:top w:val="nil"/>
              <w:left w:val="nil"/>
              <w:bottom w:val="single" w:sz="4" w:space="0" w:color="auto"/>
              <w:right w:val="single" w:sz="4" w:space="0" w:color="auto"/>
            </w:tcBorders>
            <w:shd w:val="clear" w:color="auto" w:fill="auto"/>
            <w:noWrap/>
            <w:vAlign w:val="center"/>
            <w:hideMark/>
          </w:tcPr>
          <w:p w14:paraId="138DAE4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-32,42</w:t>
            </w:r>
          </w:p>
        </w:tc>
        <w:tc>
          <w:tcPr>
            <w:tcW w:w="708" w:type="dxa"/>
            <w:tcBorders>
              <w:top w:val="nil"/>
              <w:left w:val="nil"/>
              <w:bottom w:val="single" w:sz="4" w:space="0" w:color="000000"/>
              <w:right w:val="single" w:sz="4" w:space="0" w:color="000000"/>
            </w:tcBorders>
            <w:shd w:val="clear" w:color="auto" w:fill="auto"/>
            <w:vAlign w:val="center"/>
            <w:hideMark/>
          </w:tcPr>
          <w:p w14:paraId="3D64475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336</w:t>
            </w:r>
          </w:p>
        </w:tc>
        <w:tc>
          <w:tcPr>
            <w:tcW w:w="993" w:type="dxa"/>
            <w:tcBorders>
              <w:top w:val="nil"/>
              <w:left w:val="nil"/>
              <w:bottom w:val="single" w:sz="4" w:space="0" w:color="auto"/>
              <w:right w:val="single" w:sz="4" w:space="0" w:color="auto"/>
            </w:tcBorders>
            <w:shd w:val="clear" w:color="auto" w:fill="auto"/>
            <w:noWrap/>
            <w:vAlign w:val="center"/>
            <w:hideMark/>
          </w:tcPr>
          <w:p w14:paraId="4B10C09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-38,00</w:t>
            </w:r>
          </w:p>
        </w:tc>
        <w:tc>
          <w:tcPr>
            <w:tcW w:w="992" w:type="dxa"/>
            <w:tcBorders>
              <w:top w:val="nil"/>
              <w:left w:val="nil"/>
              <w:bottom w:val="single" w:sz="4" w:space="0" w:color="auto"/>
              <w:right w:val="single" w:sz="4" w:space="0" w:color="auto"/>
            </w:tcBorders>
            <w:shd w:val="clear" w:color="auto" w:fill="auto"/>
            <w:noWrap/>
            <w:vAlign w:val="center"/>
            <w:hideMark/>
          </w:tcPr>
          <w:p w14:paraId="5CBA779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71,51</w:t>
            </w:r>
          </w:p>
        </w:tc>
        <w:tc>
          <w:tcPr>
            <w:tcW w:w="992" w:type="dxa"/>
            <w:tcBorders>
              <w:top w:val="nil"/>
              <w:left w:val="nil"/>
              <w:bottom w:val="single" w:sz="4" w:space="0" w:color="auto"/>
              <w:right w:val="single" w:sz="4" w:space="0" w:color="auto"/>
            </w:tcBorders>
            <w:shd w:val="clear" w:color="auto" w:fill="auto"/>
            <w:noWrap/>
            <w:vAlign w:val="center"/>
            <w:hideMark/>
          </w:tcPr>
          <w:p w14:paraId="7889CD6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-28,49</w:t>
            </w:r>
          </w:p>
        </w:tc>
      </w:tr>
      <w:tr w:rsidR="0066583A" w:rsidRPr="004135FE" w14:paraId="799EC161"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10055AB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3876633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2017</w:t>
            </w:r>
          </w:p>
        </w:tc>
        <w:tc>
          <w:tcPr>
            <w:tcW w:w="850" w:type="dxa"/>
            <w:tcBorders>
              <w:top w:val="nil"/>
              <w:left w:val="nil"/>
              <w:bottom w:val="single" w:sz="4" w:space="0" w:color="auto"/>
              <w:right w:val="single" w:sz="4" w:space="0" w:color="auto"/>
            </w:tcBorders>
            <w:shd w:val="clear" w:color="auto" w:fill="auto"/>
            <w:vAlign w:val="center"/>
            <w:hideMark/>
          </w:tcPr>
          <w:p w14:paraId="30CA1AE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475</w:t>
            </w:r>
          </w:p>
        </w:tc>
        <w:tc>
          <w:tcPr>
            <w:tcW w:w="992" w:type="dxa"/>
            <w:tcBorders>
              <w:top w:val="nil"/>
              <w:left w:val="nil"/>
              <w:bottom w:val="single" w:sz="4" w:space="0" w:color="auto"/>
              <w:right w:val="single" w:sz="4" w:space="0" w:color="auto"/>
            </w:tcBorders>
            <w:shd w:val="clear" w:color="auto" w:fill="auto"/>
            <w:noWrap/>
            <w:vAlign w:val="center"/>
            <w:hideMark/>
          </w:tcPr>
          <w:p w14:paraId="5477513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-64,00</w:t>
            </w:r>
          </w:p>
        </w:tc>
        <w:tc>
          <w:tcPr>
            <w:tcW w:w="1418" w:type="dxa"/>
            <w:tcBorders>
              <w:top w:val="nil"/>
              <w:left w:val="nil"/>
              <w:bottom w:val="single" w:sz="4" w:space="0" w:color="auto"/>
              <w:right w:val="single" w:sz="4" w:space="0" w:color="auto"/>
            </w:tcBorders>
            <w:shd w:val="clear" w:color="auto" w:fill="auto"/>
            <w:noWrap/>
            <w:vAlign w:val="center"/>
            <w:hideMark/>
          </w:tcPr>
          <w:p w14:paraId="0074368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66,05</w:t>
            </w:r>
          </w:p>
        </w:tc>
        <w:tc>
          <w:tcPr>
            <w:tcW w:w="992" w:type="dxa"/>
            <w:tcBorders>
              <w:top w:val="nil"/>
              <w:left w:val="nil"/>
              <w:bottom w:val="single" w:sz="4" w:space="0" w:color="auto"/>
              <w:right w:val="single" w:sz="4" w:space="0" w:color="auto"/>
            </w:tcBorders>
            <w:shd w:val="clear" w:color="auto" w:fill="auto"/>
            <w:noWrap/>
            <w:vAlign w:val="center"/>
            <w:hideMark/>
          </w:tcPr>
          <w:p w14:paraId="055D8B3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-33,95</w:t>
            </w:r>
          </w:p>
        </w:tc>
        <w:tc>
          <w:tcPr>
            <w:tcW w:w="992" w:type="dxa"/>
            <w:tcBorders>
              <w:top w:val="nil"/>
              <w:left w:val="nil"/>
              <w:bottom w:val="single" w:sz="4" w:space="0" w:color="000000"/>
              <w:right w:val="single" w:sz="4" w:space="0" w:color="000000"/>
            </w:tcBorders>
            <w:shd w:val="clear" w:color="auto" w:fill="auto"/>
            <w:vAlign w:val="center"/>
            <w:hideMark/>
          </w:tcPr>
          <w:p w14:paraId="70B2046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186</w:t>
            </w:r>
          </w:p>
        </w:tc>
        <w:tc>
          <w:tcPr>
            <w:tcW w:w="851" w:type="dxa"/>
            <w:tcBorders>
              <w:top w:val="nil"/>
              <w:left w:val="nil"/>
              <w:bottom w:val="single" w:sz="4" w:space="0" w:color="auto"/>
              <w:right w:val="single" w:sz="4" w:space="0" w:color="auto"/>
            </w:tcBorders>
            <w:shd w:val="clear" w:color="auto" w:fill="auto"/>
            <w:noWrap/>
            <w:vAlign w:val="center"/>
            <w:hideMark/>
          </w:tcPr>
          <w:p w14:paraId="7860102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-17,00</w:t>
            </w:r>
          </w:p>
        </w:tc>
        <w:tc>
          <w:tcPr>
            <w:tcW w:w="1276" w:type="dxa"/>
            <w:tcBorders>
              <w:top w:val="nil"/>
              <w:left w:val="nil"/>
              <w:bottom w:val="single" w:sz="4" w:space="0" w:color="auto"/>
              <w:right w:val="single" w:sz="4" w:space="0" w:color="auto"/>
            </w:tcBorders>
            <w:shd w:val="clear" w:color="auto" w:fill="auto"/>
            <w:noWrap/>
            <w:vAlign w:val="center"/>
            <w:hideMark/>
          </w:tcPr>
          <w:p w14:paraId="1858D19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69,28</w:t>
            </w:r>
          </w:p>
        </w:tc>
        <w:tc>
          <w:tcPr>
            <w:tcW w:w="1134" w:type="dxa"/>
            <w:tcBorders>
              <w:top w:val="nil"/>
              <w:left w:val="nil"/>
              <w:bottom w:val="single" w:sz="4" w:space="0" w:color="auto"/>
              <w:right w:val="single" w:sz="4" w:space="0" w:color="auto"/>
            </w:tcBorders>
            <w:shd w:val="clear" w:color="auto" w:fill="auto"/>
            <w:noWrap/>
            <w:vAlign w:val="center"/>
            <w:hideMark/>
          </w:tcPr>
          <w:p w14:paraId="226D0F2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-30,72</w:t>
            </w:r>
          </w:p>
        </w:tc>
        <w:tc>
          <w:tcPr>
            <w:tcW w:w="708" w:type="dxa"/>
            <w:tcBorders>
              <w:top w:val="nil"/>
              <w:left w:val="nil"/>
              <w:bottom w:val="single" w:sz="4" w:space="0" w:color="000000"/>
              <w:right w:val="single" w:sz="4" w:space="0" w:color="000000"/>
            </w:tcBorders>
            <w:shd w:val="clear" w:color="auto" w:fill="auto"/>
            <w:vAlign w:val="center"/>
            <w:hideMark/>
          </w:tcPr>
          <w:p w14:paraId="4CEA423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289</w:t>
            </w:r>
          </w:p>
        </w:tc>
        <w:tc>
          <w:tcPr>
            <w:tcW w:w="993" w:type="dxa"/>
            <w:tcBorders>
              <w:top w:val="nil"/>
              <w:left w:val="nil"/>
              <w:bottom w:val="single" w:sz="4" w:space="0" w:color="auto"/>
              <w:right w:val="single" w:sz="4" w:space="0" w:color="auto"/>
            </w:tcBorders>
            <w:shd w:val="clear" w:color="auto" w:fill="auto"/>
            <w:noWrap/>
            <w:vAlign w:val="center"/>
            <w:hideMark/>
          </w:tcPr>
          <w:p w14:paraId="51FA76D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-47,00</w:t>
            </w:r>
          </w:p>
        </w:tc>
        <w:tc>
          <w:tcPr>
            <w:tcW w:w="992" w:type="dxa"/>
            <w:tcBorders>
              <w:top w:val="nil"/>
              <w:left w:val="nil"/>
              <w:bottom w:val="single" w:sz="4" w:space="0" w:color="auto"/>
              <w:right w:val="single" w:sz="4" w:space="0" w:color="auto"/>
            </w:tcBorders>
            <w:shd w:val="clear" w:color="auto" w:fill="auto"/>
            <w:noWrap/>
            <w:vAlign w:val="center"/>
            <w:hideMark/>
          </w:tcPr>
          <w:p w14:paraId="10AF026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64,24</w:t>
            </w:r>
          </w:p>
        </w:tc>
        <w:tc>
          <w:tcPr>
            <w:tcW w:w="992" w:type="dxa"/>
            <w:tcBorders>
              <w:top w:val="nil"/>
              <w:left w:val="nil"/>
              <w:bottom w:val="single" w:sz="4" w:space="0" w:color="auto"/>
              <w:right w:val="single" w:sz="4" w:space="0" w:color="auto"/>
            </w:tcBorders>
            <w:shd w:val="clear" w:color="auto" w:fill="auto"/>
            <w:noWrap/>
            <w:vAlign w:val="center"/>
            <w:hideMark/>
          </w:tcPr>
          <w:p w14:paraId="24FC2ED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-35,76</w:t>
            </w:r>
          </w:p>
        </w:tc>
      </w:tr>
      <w:tr w:rsidR="0066583A" w:rsidRPr="004135FE" w14:paraId="6C6404FB"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5A6D920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388931F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2018</w:t>
            </w:r>
          </w:p>
        </w:tc>
        <w:tc>
          <w:tcPr>
            <w:tcW w:w="850" w:type="dxa"/>
            <w:tcBorders>
              <w:top w:val="nil"/>
              <w:left w:val="nil"/>
              <w:bottom w:val="single" w:sz="4" w:space="0" w:color="auto"/>
              <w:right w:val="single" w:sz="4" w:space="0" w:color="auto"/>
            </w:tcBorders>
            <w:shd w:val="clear" w:color="auto" w:fill="auto"/>
            <w:vAlign w:val="center"/>
            <w:hideMark/>
          </w:tcPr>
          <w:p w14:paraId="024F063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554</w:t>
            </w:r>
          </w:p>
        </w:tc>
        <w:tc>
          <w:tcPr>
            <w:tcW w:w="992" w:type="dxa"/>
            <w:tcBorders>
              <w:top w:val="nil"/>
              <w:left w:val="nil"/>
              <w:bottom w:val="single" w:sz="4" w:space="0" w:color="auto"/>
              <w:right w:val="single" w:sz="4" w:space="0" w:color="auto"/>
            </w:tcBorders>
            <w:shd w:val="clear" w:color="auto" w:fill="auto"/>
            <w:noWrap/>
            <w:vAlign w:val="center"/>
            <w:hideMark/>
          </w:tcPr>
          <w:p w14:paraId="2CADF68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79,00</w:t>
            </w:r>
          </w:p>
        </w:tc>
        <w:tc>
          <w:tcPr>
            <w:tcW w:w="1418" w:type="dxa"/>
            <w:tcBorders>
              <w:top w:val="nil"/>
              <w:left w:val="nil"/>
              <w:bottom w:val="single" w:sz="4" w:space="0" w:color="auto"/>
              <w:right w:val="single" w:sz="4" w:space="0" w:color="auto"/>
            </w:tcBorders>
            <w:shd w:val="clear" w:color="auto" w:fill="auto"/>
            <w:noWrap/>
            <w:vAlign w:val="center"/>
            <w:hideMark/>
          </w:tcPr>
          <w:p w14:paraId="28D823C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58,21</w:t>
            </w:r>
          </w:p>
        </w:tc>
        <w:tc>
          <w:tcPr>
            <w:tcW w:w="992" w:type="dxa"/>
            <w:tcBorders>
              <w:top w:val="nil"/>
              <w:left w:val="nil"/>
              <w:bottom w:val="single" w:sz="4" w:space="0" w:color="auto"/>
              <w:right w:val="single" w:sz="4" w:space="0" w:color="auto"/>
            </w:tcBorders>
            <w:shd w:val="clear" w:color="auto" w:fill="auto"/>
            <w:noWrap/>
            <w:vAlign w:val="center"/>
            <w:hideMark/>
          </w:tcPr>
          <w:p w14:paraId="06E1DF7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-41,79</w:t>
            </w:r>
          </w:p>
        </w:tc>
        <w:tc>
          <w:tcPr>
            <w:tcW w:w="992" w:type="dxa"/>
            <w:tcBorders>
              <w:top w:val="nil"/>
              <w:left w:val="nil"/>
              <w:bottom w:val="single" w:sz="4" w:space="0" w:color="000000"/>
              <w:right w:val="single" w:sz="4" w:space="0" w:color="000000"/>
            </w:tcBorders>
            <w:shd w:val="clear" w:color="auto" w:fill="auto"/>
            <w:vAlign w:val="center"/>
            <w:hideMark/>
          </w:tcPr>
          <w:p w14:paraId="2245AA7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196</w:t>
            </w:r>
          </w:p>
        </w:tc>
        <w:tc>
          <w:tcPr>
            <w:tcW w:w="851" w:type="dxa"/>
            <w:tcBorders>
              <w:top w:val="nil"/>
              <w:left w:val="nil"/>
              <w:bottom w:val="single" w:sz="4" w:space="0" w:color="auto"/>
              <w:right w:val="single" w:sz="4" w:space="0" w:color="auto"/>
            </w:tcBorders>
            <w:shd w:val="clear" w:color="auto" w:fill="auto"/>
            <w:noWrap/>
            <w:vAlign w:val="center"/>
            <w:hideMark/>
          </w:tcPr>
          <w:p w14:paraId="65A9B52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10,00</w:t>
            </w:r>
          </w:p>
        </w:tc>
        <w:tc>
          <w:tcPr>
            <w:tcW w:w="1276" w:type="dxa"/>
            <w:tcBorders>
              <w:top w:val="nil"/>
              <w:left w:val="nil"/>
              <w:bottom w:val="single" w:sz="4" w:space="0" w:color="auto"/>
              <w:right w:val="single" w:sz="4" w:space="0" w:color="auto"/>
            </w:tcBorders>
            <w:shd w:val="clear" w:color="auto" w:fill="auto"/>
            <w:noWrap/>
            <w:vAlign w:val="center"/>
            <w:hideMark/>
          </w:tcPr>
          <w:p w14:paraId="3A987BA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63,48</w:t>
            </w:r>
          </w:p>
        </w:tc>
        <w:tc>
          <w:tcPr>
            <w:tcW w:w="1134" w:type="dxa"/>
            <w:tcBorders>
              <w:top w:val="nil"/>
              <w:left w:val="nil"/>
              <w:bottom w:val="single" w:sz="4" w:space="0" w:color="auto"/>
              <w:right w:val="single" w:sz="4" w:space="0" w:color="auto"/>
            </w:tcBorders>
            <w:shd w:val="clear" w:color="auto" w:fill="auto"/>
            <w:noWrap/>
            <w:vAlign w:val="center"/>
            <w:hideMark/>
          </w:tcPr>
          <w:p w14:paraId="06CC9CA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-36,52</w:t>
            </w:r>
          </w:p>
        </w:tc>
        <w:tc>
          <w:tcPr>
            <w:tcW w:w="708" w:type="dxa"/>
            <w:tcBorders>
              <w:top w:val="nil"/>
              <w:left w:val="nil"/>
              <w:bottom w:val="single" w:sz="4" w:space="0" w:color="000000"/>
              <w:right w:val="single" w:sz="4" w:space="0" w:color="000000"/>
            </w:tcBorders>
            <w:shd w:val="clear" w:color="auto" w:fill="auto"/>
            <w:vAlign w:val="center"/>
            <w:hideMark/>
          </w:tcPr>
          <w:p w14:paraId="72A1494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358</w:t>
            </w:r>
          </w:p>
        </w:tc>
        <w:tc>
          <w:tcPr>
            <w:tcW w:w="993" w:type="dxa"/>
            <w:tcBorders>
              <w:top w:val="nil"/>
              <w:left w:val="nil"/>
              <w:bottom w:val="single" w:sz="4" w:space="0" w:color="auto"/>
              <w:right w:val="single" w:sz="4" w:space="0" w:color="auto"/>
            </w:tcBorders>
            <w:shd w:val="clear" w:color="auto" w:fill="auto"/>
            <w:noWrap/>
            <w:vAlign w:val="center"/>
            <w:hideMark/>
          </w:tcPr>
          <w:p w14:paraId="308496D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69,00</w:t>
            </w:r>
          </w:p>
        </w:tc>
        <w:tc>
          <w:tcPr>
            <w:tcW w:w="992" w:type="dxa"/>
            <w:tcBorders>
              <w:top w:val="nil"/>
              <w:left w:val="nil"/>
              <w:bottom w:val="single" w:sz="4" w:space="0" w:color="auto"/>
              <w:right w:val="single" w:sz="4" w:space="0" w:color="auto"/>
            </w:tcBorders>
            <w:shd w:val="clear" w:color="auto" w:fill="auto"/>
            <w:noWrap/>
            <w:vAlign w:val="center"/>
            <w:hideMark/>
          </w:tcPr>
          <w:p w14:paraId="699A6C9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55,26</w:t>
            </w:r>
          </w:p>
        </w:tc>
        <w:tc>
          <w:tcPr>
            <w:tcW w:w="992" w:type="dxa"/>
            <w:tcBorders>
              <w:top w:val="nil"/>
              <w:left w:val="nil"/>
              <w:bottom w:val="single" w:sz="4" w:space="0" w:color="auto"/>
              <w:right w:val="single" w:sz="4" w:space="0" w:color="auto"/>
            </w:tcBorders>
            <w:shd w:val="clear" w:color="auto" w:fill="auto"/>
            <w:noWrap/>
            <w:vAlign w:val="center"/>
            <w:hideMark/>
          </w:tcPr>
          <w:p w14:paraId="6445FF6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-44,74</w:t>
            </w:r>
          </w:p>
        </w:tc>
      </w:tr>
      <w:tr w:rsidR="0066583A" w:rsidRPr="004135FE" w14:paraId="5976F190"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542006F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6BB8469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2019</w:t>
            </w:r>
          </w:p>
        </w:tc>
        <w:tc>
          <w:tcPr>
            <w:tcW w:w="850" w:type="dxa"/>
            <w:tcBorders>
              <w:top w:val="nil"/>
              <w:left w:val="nil"/>
              <w:bottom w:val="single" w:sz="4" w:space="0" w:color="auto"/>
              <w:right w:val="single" w:sz="4" w:space="0" w:color="auto"/>
            </w:tcBorders>
            <w:shd w:val="clear" w:color="auto" w:fill="auto"/>
            <w:vAlign w:val="center"/>
            <w:hideMark/>
          </w:tcPr>
          <w:p w14:paraId="1779CBC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589</w:t>
            </w:r>
          </w:p>
        </w:tc>
        <w:tc>
          <w:tcPr>
            <w:tcW w:w="992" w:type="dxa"/>
            <w:tcBorders>
              <w:top w:val="nil"/>
              <w:left w:val="nil"/>
              <w:bottom w:val="single" w:sz="4" w:space="0" w:color="auto"/>
              <w:right w:val="single" w:sz="4" w:space="0" w:color="auto"/>
            </w:tcBorders>
            <w:shd w:val="clear" w:color="auto" w:fill="auto"/>
            <w:noWrap/>
            <w:vAlign w:val="center"/>
            <w:hideMark/>
          </w:tcPr>
          <w:p w14:paraId="368C5E8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35,00</w:t>
            </w:r>
          </w:p>
        </w:tc>
        <w:tc>
          <w:tcPr>
            <w:tcW w:w="1418" w:type="dxa"/>
            <w:tcBorders>
              <w:top w:val="nil"/>
              <w:left w:val="nil"/>
              <w:bottom w:val="single" w:sz="4" w:space="0" w:color="auto"/>
              <w:right w:val="single" w:sz="4" w:space="0" w:color="auto"/>
            </w:tcBorders>
            <w:shd w:val="clear" w:color="auto" w:fill="auto"/>
            <w:noWrap/>
            <w:vAlign w:val="center"/>
            <w:hideMark/>
          </w:tcPr>
          <w:p w14:paraId="421224F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67,89</w:t>
            </w:r>
          </w:p>
        </w:tc>
        <w:tc>
          <w:tcPr>
            <w:tcW w:w="992" w:type="dxa"/>
            <w:tcBorders>
              <w:top w:val="nil"/>
              <w:left w:val="nil"/>
              <w:bottom w:val="single" w:sz="4" w:space="0" w:color="auto"/>
              <w:right w:val="single" w:sz="4" w:space="0" w:color="auto"/>
            </w:tcBorders>
            <w:shd w:val="clear" w:color="auto" w:fill="auto"/>
            <w:noWrap/>
            <w:vAlign w:val="center"/>
            <w:hideMark/>
          </w:tcPr>
          <w:p w14:paraId="4D21417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-32,11</w:t>
            </w:r>
          </w:p>
        </w:tc>
        <w:tc>
          <w:tcPr>
            <w:tcW w:w="992" w:type="dxa"/>
            <w:tcBorders>
              <w:top w:val="nil"/>
              <w:left w:val="nil"/>
              <w:bottom w:val="single" w:sz="4" w:space="0" w:color="000000"/>
              <w:right w:val="single" w:sz="4" w:space="0" w:color="000000"/>
            </w:tcBorders>
            <w:shd w:val="clear" w:color="auto" w:fill="auto"/>
            <w:vAlign w:val="center"/>
            <w:hideMark/>
          </w:tcPr>
          <w:p w14:paraId="0FD875D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224</w:t>
            </w:r>
          </w:p>
        </w:tc>
        <w:tc>
          <w:tcPr>
            <w:tcW w:w="851" w:type="dxa"/>
            <w:tcBorders>
              <w:top w:val="nil"/>
              <w:left w:val="nil"/>
              <w:bottom w:val="single" w:sz="4" w:space="0" w:color="auto"/>
              <w:right w:val="single" w:sz="4" w:space="0" w:color="auto"/>
            </w:tcBorders>
            <w:shd w:val="clear" w:color="auto" w:fill="auto"/>
            <w:noWrap/>
            <w:vAlign w:val="center"/>
            <w:hideMark/>
          </w:tcPr>
          <w:p w14:paraId="7E2DF1F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28,00</w:t>
            </w:r>
          </w:p>
        </w:tc>
        <w:tc>
          <w:tcPr>
            <w:tcW w:w="1276" w:type="dxa"/>
            <w:tcBorders>
              <w:top w:val="nil"/>
              <w:left w:val="nil"/>
              <w:bottom w:val="single" w:sz="4" w:space="0" w:color="auto"/>
              <w:right w:val="single" w:sz="4" w:space="0" w:color="auto"/>
            </w:tcBorders>
            <w:shd w:val="clear" w:color="auto" w:fill="auto"/>
            <w:noWrap/>
            <w:vAlign w:val="center"/>
            <w:hideMark/>
          </w:tcPr>
          <w:p w14:paraId="43A7FB9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66,89</w:t>
            </w:r>
          </w:p>
        </w:tc>
        <w:tc>
          <w:tcPr>
            <w:tcW w:w="1134" w:type="dxa"/>
            <w:tcBorders>
              <w:top w:val="nil"/>
              <w:left w:val="nil"/>
              <w:bottom w:val="single" w:sz="4" w:space="0" w:color="auto"/>
              <w:right w:val="single" w:sz="4" w:space="0" w:color="auto"/>
            </w:tcBorders>
            <w:shd w:val="clear" w:color="auto" w:fill="auto"/>
            <w:noWrap/>
            <w:vAlign w:val="center"/>
            <w:hideMark/>
          </w:tcPr>
          <w:p w14:paraId="1E6C146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-33,11</w:t>
            </w:r>
          </w:p>
        </w:tc>
        <w:tc>
          <w:tcPr>
            <w:tcW w:w="708" w:type="dxa"/>
            <w:tcBorders>
              <w:top w:val="nil"/>
              <w:left w:val="nil"/>
              <w:bottom w:val="single" w:sz="4" w:space="0" w:color="000000"/>
              <w:right w:val="single" w:sz="4" w:space="0" w:color="000000"/>
            </w:tcBorders>
            <w:shd w:val="clear" w:color="auto" w:fill="auto"/>
            <w:vAlign w:val="center"/>
            <w:hideMark/>
          </w:tcPr>
          <w:p w14:paraId="33572B2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365</w:t>
            </w:r>
          </w:p>
        </w:tc>
        <w:tc>
          <w:tcPr>
            <w:tcW w:w="993" w:type="dxa"/>
            <w:tcBorders>
              <w:top w:val="nil"/>
              <w:left w:val="nil"/>
              <w:bottom w:val="single" w:sz="4" w:space="0" w:color="auto"/>
              <w:right w:val="single" w:sz="4" w:space="0" w:color="auto"/>
            </w:tcBorders>
            <w:shd w:val="clear" w:color="auto" w:fill="auto"/>
            <w:noWrap/>
            <w:vAlign w:val="center"/>
            <w:hideMark/>
          </w:tcPr>
          <w:p w14:paraId="322037F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7,00</w:t>
            </w:r>
          </w:p>
        </w:tc>
        <w:tc>
          <w:tcPr>
            <w:tcW w:w="992" w:type="dxa"/>
            <w:tcBorders>
              <w:top w:val="nil"/>
              <w:left w:val="nil"/>
              <w:bottom w:val="single" w:sz="4" w:space="0" w:color="auto"/>
              <w:right w:val="single" w:sz="4" w:space="0" w:color="auto"/>
            </w:tcBorders>
            <w:shd w:val="clear" w:color="auto" w:fill="auto"/>
            <w:noWrap/>
            <w:vAlign w:val="center"/>
            <w:hideMark/>
          </w:tcPr>
          <w:p w14:paraId="190EBCD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68,45</w:t>
            </w:r>
          </w:p>
        </w:tc>
        <w:tc>
          <w:tcPr>
            <w:tcW w:w="992" w:type="dxa"/>
            <w:tcBorders>
              <w:top w:val="nil"/>
              <w:left w:val="nil"/>
              <w:bottom w:val="single" w:sz="4" w:space="0" w:color="auto"/>
              <w:right w:val="single" w:sz="4" w:space="0" w:color="auto"/>
            </w:tcBorders>
            <w:shd w:val="clear" w:color="auto" w:fill="auto"/>
            <w:noWrap/>
            <w:vAlign w:val="center"/>
            <w:hideMark/>
          </w:tcPr>
          <w:p w14:paraId="656E747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-31,55</w:t>
            </w:r>
          </w:p>
        </w:tc>
      </w:tr>
      <w:tr w:rsidR="0066583A" w:rsidRPr="004135FE" w14:paraId="7252ACB3"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431E169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7454E98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2020</w:t>
            </w:r>
          </w:p>
        </w:tc>
        <w:tc>
          <w:tcPr>
            <w:tcW w:w="850" w:type="dxa"/>
            <w:tcBorders>
              <w:top w:val="nil"/>
              <w:left w:val="nil"/>
              <w:bottom w:val="single" w:sz="4" w:space="0" w:color="auto"/>
              <w:right w:val="single" w:sz="4" w:space="0" w:color="auto"/>
            </w:tcBorders>
            <w:shd w:val="clear" w:color="auto" w:fill="auto"/>
            <w:vAlign w:val="center"/>
            <w:hideMark/>
          </w:tcPr>
          <w:p w14:paraId="788EED7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626</w:t>
            </w:r>
          </w:p>
        </w:tc>
        <w:tc>
          <w:tcPr>
            <w:tcW w:w="992" w:type="dxa"/>
            <w:tcBorders>
              <w:top w:val="nil"/>
              <w:left w:val="nil"/>
              <w:bottom w:val="single" w:sz="4" w:space="0" w:color="auto"/>
              <w:right w:val="single" w:sz="4" w:space="0" w:color="auto"/>
            </w:tcBorders>
            <w:shd w:val="clear" w:color="auto" w:fill="auto"/>
            <w:noWrap/>
            <w:vAlign w:val="center"/>
            <w:hideMark/>
          </w:tcPr>
          <w:p w14:paraId="1E3945A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37,00</w:t>
            </w:r>
          </w:p>
        </w:tc>
        <w:tc>
          <w:tcPr>
            <w:tcW w:w="1418" w:type="dxa"/>
            <w:tcBorders>
              <w:top w:val="nil"/>
              <w:left w:val="nil"/>
              <w:bottom w:val="single" w:sz="4" w:space="0" w:color="auto"/>
              <w:right w:val="single" w:sz="4" w:space="0" w:color="auto"/>
            </w:tcBorders>
            <w:shd w:val="clear" w:color="auto" w:fill="auto"/>
            <w:noWrap/>
            <w:vAlign w:val="center"/>
            <w:hideMark/>
          </w:tcPr>
          <w:p w14:paraId="1631D38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72,18</w:t>
            </w:r>
          </w:p>
        </w:tc>
        <w:tc>
          <w:tcPr>
            <w:tcW w:w="992" w:type="dxa"/>
            <w:tcBorders>
              <w:top w:val="nil"/>
              <w:left w:val="nil"/>
              <w:bottom w:val="single" w:sz="4" w:space="0" w:color="auto"/>
              <w:right w:val="single" w:sz="4" w:space="0" w:color="auto"/>
            </w:tcBorders>
            <w:shd w:val="clear" w:color="auto" w:fill="auto"/>
            <w:noWrap/>
            <w:vAlign w:val="center"/>
            <w:hideMark/>
          </w:tcPr>
          <w:p w14:paraId="108D0DA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-27,82</w:t>
            </w:r>
          </w:p>
        </w:tc>
        <w:tc>
          <w:tcPr>
            <w:tcW w:w="992" w:type="dxa"/>
            <w:tcBorders>
              <w:top w:val="nil"/>
              <w:left w:val="nil"/>
              <w:bottom w:val="single" w:sz="4" w:space="0" w:color="000000"/>
              <w:right w:val="single" w:sz="4" w:space="0" w:color="000000"/>
            </w:tcBorders>
            <w:shd w:val="clear" w:color="auto" w:fill="auto"/>
            <w:vAlign w:val="center"/>
            <w:hideMark/>
          </w:tcPr>
          <w:p w14:paraId="0E50B1A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218</w:t>
            </w:r>
          </w:p>
        </w:tc>
        <w:tc>
          <w:tcPr>
            <w:tcW w:w="851" w:type="dxa"/>
            <w:tcBorders>
              <w:top w:val="nil"/>
              <w:left w:val="nil"/>
              <w:bottom w:val="single" w:sz="4" w:space="0" w:color="auto"/>
              <w:right w:val="single" w:sz="4" w:space="0" w:color="auto"/>
            </w:tcBorders>
            <w:shd w:val="clear" w:color="auto" w:fill="auto"/>
            <w:noWrap/>
            <w:vAlign w:val="center"/>
            <w:hideMark/>
          </w:tcPr>
          <w:p w14:paraId="48BD320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-6,00</w:t>
            </w:r>
          </w:p>
        </w:tc>
        <w:tc>
          <w:tcPr>
            <w:tcW w:w="1276" w:type="dxa"/>
            <w:tcBorders>
              <w:top w:val="nil"/>
              <w:left w:val="nil"/>
              <w:bottom w:val="single" w:sz="4" w:space="0" w:color="auto"/>
              <w:right w:val="single" w:sz="4" w:space="0" w:color="auto"/>
            </w:tcBorders>
            <w:shd w:val="clear" w:color="auto" w:fill="auto"/>
            <w:noWrap/>
            <w:vAlign w:val="center"/>
            <w:hideMark/>
          </w:tcPr>
          <w:p w14:paraId="1D35443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76,45</w:t>
            </w:r>
          </w:p>
        </w:tc>
        <w:tc>
          <w:tcPr>
            <w:tcW w:w="1134" w:type="dxa"/>
            <w:tcBorders>
              <w:top w:val="nil"/>
              <w:left w:val="nil"/>
              <w:bottom w:val="single" w:sz="4" w:space="0" w:color="auto"/>
              <w:right w:val="single" w:sz="4" w:space="0" w:color="auto"/>
            </w:tcBorders>
            <w:shd w:val="clear" w:color="auto" w:fill="auto"/>
            <w:noWrap/>
            <w:vAlign w:val="center"/>
            <w:hideMark/>
          </w:tcPr>
          <w:p w14:paraId="1F8777C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-23,55</w:t>
            </w:r>
          </w:p>
        </w:tc>
        <w:tc>
          <w:tcPr>
            <w:tcW w:w="708" w:type="dxa"/>
            <w:tcBorders>
              <w:top w:val="nil"/>
              <w:left w:val="nil"/>
              <w:bottom w:val="single" w:sz="4" w:space="0" w:color="000000"/>
              <w:right w:val="single" w:sz="4" w:space="0" w:color="000000"/>
            </w:tcBorders>
            <w:shd w:val="clear" w:color="auto" w:fill="auto"/>
            <w:vAlign w:val="center"/>
            <w:hideMark/>
          </w:tcPr>
          <w:p w14:paraId="2B0B002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408</w:t>
            </w:r>
          </w:p>
        </w:tc>
        <w:tc>
          <w:tcPr>
            <w:tcW w:w="993" w:type="dxa"/>
            <w:tcBorders>
              <w:top w:val="nil"/>
              <w:left w:val="nil"/>
              <w:bottom w:val="single" w:sz="4" w:space="0" w:color="auto"/>
              <w:right w:val="single" w:sz="4" w:space="0" w:color="auto"/>
            </w:tcBorders>
            <w:shd w:val="clear" w:color="auto" w:fill="auto"/>
            <w:noWrap/>
            <w:vAlign w:val="center"/>
            <w:hideMark/>
          </w:tcPr>
          <w:p w14:paraId="6011E9D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43,00</w:t>
            </w:r>
          </w:p>
        </w:tc>
        <w:tc>
          <w:tcPr>
            <w:tcW w:w="992" w:type="dxa"/>
            <w:tcBorders>
              <w:top w:val="nil"/>
              <w:left w:val="nil"/>
              <w:bottom w:val="single" w:sz="4" w:space="0" w:color="auto"/>
              <w:right w:val="single" w:sz="4" w:space="0" w:color="auto"/>
            </w:tcBorders>
            <w:shd w:val="clear" w:color="auto" w:fill="auto"/>
            <w:noWrap/>
            <w:vAlign w:val="center"/>
            <w:hideMark/>
          </w:tcPr>
          <w:p w14:paraId="2A44480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69,79</w:t>
            </w:r>
          </w:p>
        </w:tc>
        <w:tc>
          <w:tcPr>
            <w:tcW w:w="992" w:type="dxa"/>
            <w:tcBorders>
              <w:top w:val="nil"/>
              <w:left w:val="nil"/>
              <w:bottom w:val="single" w:sz="4" w:space="0" w:color="auto"/>
              <w:right w:val="single" w:sz="4" w:space="0" w:color="auto"/>
            </w:tcBorders>
            <w:shd w:val="clear" w:color="auto" w:fill="auto"/>
            <w:noWrap/>
            <w:vAlign w:val="center"/>
            <w:hideMark/>
          </w:tcPr>
          <w:p w14:paraId="188CF2F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-30,21</w:t>
            </w:r>
          </w:p>
        </w:tc>
      </w:tr>
      <w:tr w:rsidR="0066583A" w:rsidRPr="004135FE" w14:paraId="25C4C583" w14:textId="77777777" w:rsidTr="00E2614D">
        <w:trPr>
          <w:trHeight w:val="283"/>
        </w:trPr>
        <w:tc>
          <w:tcPr>
            <w:tcW w:w="1134" w:type="dxa"/>
            <w:vMerge/>
            <w:tcBorders>
              <w:top w:val="nil"/>
              <w:left w:val="single" w:sz="4" w:space="0" w:color="auto"/>
              <w:right w:val="single" w:sz="4" w:space="0" w:color="auto"/>
            </w:tcBorders>
            <w:vAlign w:val="center"/>
            <w:hideMark/>
          </w:tcPr>
          <w:p w14:paraId="68B8323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right w:val="single" w:sz="4" w:space="0" w:color="auto"/>
            </w:tcBorders>
            <w:shd w:val="clear" w:color="auto" w:fill="auto"/>
            <w:noWrap/>
            <w:vAlign w:val="center"/>
            <w:hideMark/>
          </w:tcPr>
          <w:p w14:paraId="7D6BEE2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2021</w:t>
            </w:r>
          </w:p>
        </w:tc>
        <w:tc>
          <w:tcPr>
            <w:tcW w:w="850" w:type="dxa"/>
            <w:tcBorders>
              <w:top w:val="nil"/>
              <w:left w:val="nil"/>
              <w:right w:val="nil"/>
            </w:tcBorders>
            <w:shd w:val="clear" w:color="auto" w:fill="auto"/>
            <w:noWrap/>
            <w:vAlign w:val="center"/>
            <w:hideMark/>
          </w:tcPr>
          <w:p w14:paraId="309C3D8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816</w:t>
            </w:r>
          </w:p>
        </w:tc>
        <w:tc>
          <w:tcPr>
            <w:tcW w:w="992" w:type="dxa"/>
            <w:tcBorders>
              <w:top w:val="nil"/>
              <w:left w:val="single" w:sz="4" w:space="0" w:color="auto"/>
              <w:right w:val="single" w:sz="4" w:space="0" w:color="auto"/>
            </w:tcBorders>
            <w:shd w:val="clear" w:color="auto" w:fill="auto"/>
            <w:noWrap/>
            <w:vAlign w:val="center"/>
            <w:hideMark/>
          </w:tcPr>
          <w:p w14:paraId="74F0A16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190,00</w:t>
            </w:r>
          </w:p>
        </w:tc>
        <w:tc>
          <w:tcPr>
            <w:tcW w:w="1418" w:type="dxa"/>
            <w:tcBorders>
              <w:top w:val="nil"/>
              <w:left w:val="nil"/>
              <w:right w:val="single" w:sz="4" w:space="0" w:color="auto"/>
            </w:tcBorders>
            <w:shd w:val="clear" w:color="auto" w:fill="auto"/>
            <w:noWrap/>
            <w:vAlign w:val="center"/>
            <w:hideMark/>
          </w:tcPr>
          <w:p w14:paraId="4E6DE6C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76,72</w:t>
            </w:r>
          </w:p>
        </w:tc>
        <w:tc>
          <w:tcPr>
            <w:tcW w:w="992" w:type="dxa"/>
            <w:tcBorders>
              <w:top w:val="nil"/>
              <w:left w:val="nil"/>
              <w:right w:val="single" w:sz="4" w:space="0" w:color="auto"/>
            </w:tcBorders>
            <w:shd w:val="clear" w:color="auto" w:fill="auto"/>
            <w:noWrap/>
            <w:vAlign w:val="center"/>
            <w:hideMark/>
          </w:tcPr>
          <w:p w14:paraId="693C51C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-23,28</w:t>
            </w:r>
          </w:p>
        </w:tc>
        <w:tc>
          <w:tcPr>
            <w:tcW w:w="992" w:type="dxa"/>
            <w:tcBorders>
              <w:top w:val="nil"/>
              <w:left w:val="nil"/>
              <w:right w:val="single" w:sz="4" w:space="0" w:color="000000"/>
            </w:tcBorders>
            <w:shd w:val="clear" w:color="auto" w:fill="auto"/>
            <w:vAlign w:val="center"/>
            <w:hideMark/>
          </w:tcPr>
          <w:p w14:paraId="4A19996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293</w:t>
            </w:r>
          </w:p>
        </w:tc>
        <w:tc>
          <w:tcPr>
            <w:tcW w:w="851" w:type="dxa"/>
            <w:tcBorders>
              <w:top w:val="nil"/>
              <w:left w:val="nil"/>
              <w:right w:val="single" w:sz="4" w:space="0" w:color="auto"/>
            </w:tcBorders>
            <w:shd w:val="clear" w:color="auto" w:fill="auto"/>
            <w:noWrap/>
            <w:vAlign w:val="center"/>
            <w:hideMark/>
          </w:tcPr>
          <w:p w14:paraId="531DFB8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75,00</w:t>
            </w:r>
          </w:p>
        </w:tc>
        <w:tc>
          <w:tcPr>
            <w:tcW w:w="1276" w:type="dxa"/>
            <w:tcBorders>
              <w:top w:val="nil"/>
              <w:left w:val="nil"/>
              <w:right w:val="single" w:sz="4" w:space="0" w:color="auto"/>
            </w:tcBorders>
            <w:shd w:val="clear" w:color="auto" w:fill="auto"/>
            <w:noWrap/>
            <w:vAlign w:val="center"/>
            <w:hideMark/>
          </w:tcPr>
          <w:p w14:paraId="404722F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74,40</w:t>
            </w:r>
          </w:p>
        </w:tc>
        <w:tc>
          <w:tcPr>
            <w:tcW w:w="1134" w:type="dxa"/>
            <w:tcBorders>
              <w:top w:val="nil"/>
              <w:left w:val="nil"/>
              <w:right w:val="single" w:sz="4" w:space="0" w:color="auto"/>
            </w:tcBorders>
            <w:shd w:val="clear" w:color="auto" w:fill="auto"/>
            <w:noWrap/>
            <w:vAlign w:val="center"/>
            <w:hideMark/>
          </w:tcPr>
          <w:p w14:paraId="04161F8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-25,60</w:t>
            </w:r>
          </w:p>
        </w:tc>
        <w:tc>
          <w:tcPr>
            <w:tcW w:w="708" w:type="dxa"/>
            <w:tcBorders>
              <w:top w:val="nil"/>
              <w:left w:val="nil"/>
              <w:right w:val="single" w:sz="4" w:space="0" w:color="000000"/>
            </w:tcBorders>
            <w:shd w:val="clear" w:color="auto" w:fill="auto"/>
            <w:vAlign w:val="center"/>
            <w:hideMark/>
          </w:tcPr>
          <w:p w14:paraId="5FC51D5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523</w:t>
            </w:r>
          </w:p>
        </w:tc>
        <w:tc>
          <w:tcPr>
            <w:tcW w:w="993" w:type="dxa"/>
            <w:tcBorders>
              <w:top w:val="nil"/>
              <w:left w:val="nil"/>
              <w:right w:val="single" w:sz="4" w:space="0" w:color="auto"/>
            </w:tcBorders>
            <w:shd w:val="clear" w:color="auto" w:fill="auto"/>
            <w:noWrap/>
            <w:vAlign w:val="center"/>
            <w:hideMark/>
          </w:tcPr>
          <w:p w14:paraId="2802960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115,00</w:t>
            </w:r>
          </w:p>
        </w:tc>
        <w:tc>
          <w:tcPr>
            <w:tcW w:w="992" w:type="dxa"/>
            <w:tcBorders>
              <w:top w:val="nil"/>
              <w:left w:val="nil"/>
              <w:right w:val="single" w:sz="4" w:space="0" w:color="auto"/>
            </w:tcBorders>
            <w:shd w:val="clear" w:color="auto" w:fill="auto"/>
            <w:noWrap/>
            <w:vAlign w:val="center"/>
            <w:hideMark/>
          </w:tcPr>
          <w:p w14:paraId="0641553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78,01</w:t>
            </w:r>
          </w:p>
        </w:tc>
        <w:tc>
          <w:tcPr>
            <w:tcW w:w="992" w:type="dxa"/>
            <w:tcBorders>
              <w:top w:val="nil"/>
              <w:left w:val="nil"/>
              <w:right w:val="single" w:sz="4" w:space="0" w:color="auto"/>
            </w:tcBorders>
            <w:shd w:val="clear" w:color="auto" w:fill="auto"/>
            <w:noWrap/>
            <w:vAlign w:val="center"/>
            <w:hideMark/>
          </w:tcPr>
          <w:p w14:paraId="136F094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-21,99</w:t>
            </w:r>
          </w:p>
        </w:tc>
      </w:tr>
    </w:tbl>
    <w:p w14:paraId="70900CC1" w14:textId="77777777" w:rsidR="00B76F7B" w:rsidRDefault="00B76F7B" w:rsidP="00B76F7B">
      <w:pPr>
        <w:rPr>
          <w:rFonts w:ascii="Times New Roman" w:eastAsia="Times New Roman" w:hAnsi="Times New Roman" w:cs="Times New Roman"/>
          <w:bCs/>
          <w:sz w:val="28"/>
          <w:szCs w:val="28"/>
        </w:rPr>
      </w:pPr>
    </w:p>
    <w:p w14:paraId="294C6F83" w14:textId="745EB699" w:rsidR="00B76F7B" w:rsidRPr="00B16459" w:rsidRDefault="00B76F7B" w:rsidP="00B76F7B">
      <w:pP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lastRenderedPageBreak/>
        <w:t>Продолжение таблицы 8</w:t>
      </w:r>
    </w:p>
    <w:tbl>
      <w:tblPr>
        <w:tblW w:w="14317" w:type="dxa"/>
        <w:tblInd w:w="-5" w:type="dxa"/>
        <w:tblLayout w:type="fixed"/>
        <w:tblLook w:val="04A0" w:firstRow="1" w:lastRow="0" w:firstColumn="1" w:lastColumn="0" w:noHBand="0" w:noVBand="1"/>
      </w:tblPr>
      <w:tblGrid>
        <w:gridCol w:w="1134"/>
        <w:gridCol w:w="993"/>
        <w:gridCol w:w="850"/>
        <w:gridCol w:w="992"/>
        <w:gridCol w:w="1418"/>
        <w:gridCol w:w="992"/>
        <w:gridCol w:w="992"/>
        <w:gridCol w:w="851"/>
        <w:gridCol w:w="1276"/>
        <w:gridCol w:w="1134"/>
        <w:gridCol w:w="708"/>
        <w:gridCol w:w="993"/>
        <w:gridCol w:w="992"/>
        <w:gridCol w:w="992"/>
      </w:tblGrid>
      <w:tr w:rsidR="00B76F7B" w:rsidRPr="004135FE" w14:paraId="758690B3" w14:textId="77777777" w:rsidTr="00E2614D">
        <w:trPr>
          <w:trHeight w:val="283"/>
        </w:trPr>
        <w:tc>
          <w:tcPr>
            <w:tcW w:w="1134" w:type="dxa"/>
            <w:tcBorders>
              <w:top w:val="single" w:sz="4" w:space="0" w:color="auto"/>
              <w:left w:val="single" w:sz="4" w:space="0" w:color="auto"/>
              <w:bottom w:val="single" w:sz="4" w:space="0" w:color="auto"/>
              <w:right w:val="single" w:sz="4" w:space="0" w:color="auto"/>
            </w:tcBorders>
            <w:vAlign w:val="center"/>
          </w:tcPr>
          <w:p w14:paraId="420D48E4" w14:textId="608834F5" w:rsidR="00B76F7B" w:rsidRPr="004135FE" w:rsidRDefault="00B76F7B" w:rsidP="00B76F7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14:paraId="12B237E9" w14:textId="64649549" w:rsidR="00B76F7B" w:rsidRPr="004135FE" w:rsidRDefault="00B76F7B" w:rsidP="00B76F7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850" w:type="dxa"/>
            <w:tcBorders>
              <w:top w:val="single" w:sz="4" w:space="0" w:color="auto"/>
              <w:left w:val="nil"/>
              <w:bottom w:val="single" w:sz="4" w:space="0" w:color="auto"/>
              <w:right w:val="single" w:sz="4" w:space="0" w:color="auto"/>
            </w:tcBorders>
            <w:shd w:val="clear" w:color="000000" w:fill="FFFFFF"/>
            <w:noWrap/>
            <w:vAlign w:val="center"/>
          </w:tcPr>
          <w:p w14:paraId="5A179A65" w14:textId="01BFFC26" w:rsidR="00B76F7B" w:rsidRPr="004135FE" w:rsidRDefault="00B76F7B" w:rsidP="00B76F7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568AE9BC" w14:textId="3D38DD20" w:rsidR="00B76F7B" w:rsidRPr="004135FE" w:rsidRDefault="00B76F7B" w:rsidP="00B76F7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1418" w:type="dxa"/>
            <w:tcBorders>
              <w:top w:val="single" w:sz="4" w:space="0" w:color="auto"/>
              <w:left w:val="nil"/>
              <w:bottom w:val="single" w:sz="4" w:space="0" w:color="auto"/>
              <w:right w:val="single" w:sz="4" w:space="0" w:color="auto"/>
            </w:tcBorders>
            <w:shd w:val="clear" w:color="000000" w:fill="FFFFFF"/>
            <w:noWrap/>
            <w:vAlign w:val="center"/>
          </w:tcPr>
          <w:p w14:paraId="2A35B15B" w14:textId="4987EB9E" w:rsidR="00B76F7B" w:rsidRPr="004135FE" w:rsidRDefault="00B76F7B" w:rsidP="00B76F7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68E1C4A7" w14:textId="7E66F8D1" w:rsidR="00B76F7B" w:rsidRPr="004135FE" w:rsidRDefault="00B76F7B" w:rsidP="00B76F7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38421748" w14:textId="4F6463C2" w:rsidR="00B76F7B" w:rsidRPr="004135FE" w:rsidRDefault="00B76F7B" w:rsidP="00B76F7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851" w:type="dxa"/>
            <w:tcBorders>
              <w:top w:val="single" w:sz="4" w:space="0" w:color="auto"/>
              <w:left w:val="nil"/>
              <w:bottom w:val="single" w:sz="4" w:space="0" w:color="auto"/>
              <w:right w:val="single" w:sz="4" w:space="0" w:color="auto"/>
            </w:tcBorders>
            <w:shd w:val="clear" w:color="000000" w:fill="FFFFFF"/>
            <w:noWrap/>
            <w:vAlign w:val="center"/>
          </w:tcPr>
          <w:p w14:paraId="5A83EC1D" w14:textId="5953F0CD" w:rsidR="00B76F7B" w:rsidRPr="004135FE" w:rsidRDefault="00B76F7B" w:rsidP="00B76F7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1276" w:type="dxa"/>
            <w:tcBorders>
              <w:top w:val="single" w:sz="4" w:space="0" w:color="auto"/>
              <w:left w:val="nil"/>
              <w:bottom w:val="single" w:sz="4" w:space="0" w:color="auto"/>
              <w:right w:val="single" w:sz="4" w:space="0" w:color="auto"/>
            </w:tcBorders>
            <w:shd w:val="clear" w:color="000000" w:fill="FFFFFF"/>
            <w:noWrap/>
            <w:vAlign w:val="center"/>
          </w:tcPr>
          <w:p w14:paraId="1205EEE7" w14:textId="0449D4D3" w:rsidR="00B76F7B" w:rsidRPr="004135FE" w:rsidRDefault="00B76F7B" w:rsidP="00B76F7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1134" w:type="dxa"/>
            <w:tcBorders>
              <w:top w:val="single" w:sz="4" w:space="0" w:color="auto"/>
              <w:left w:val="nil"/>
              <w:bottom w:val="single" w:sz="4" w:space="0" w:color="auto"/>
              <w:right w:val="single" w:sz="4" w:space="0" w:color="auto"/>
            </w:tcBorders>
            <w:shd w:val="clear" w:color="000000" w:fill="FFFFFF"/>
            <w:noWrap/>
            <w:vAlign w:val="center"/>
          </w:tcPr>
          <w:p w14:paraId="08AAC9A5" w14:textId="1F7648CB" w:rsidR="00B76F7B" w:rsidRPr="004135FE" w:rsidRDefault="00B76F7B" w:rsidP="00B76F7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708" w:type="dxa"/>
            <w:tcBorders>
              <w:top w:val="single" w:sz="4" w:space="0" w:color="auto"/>
              <w:left w:val="nil"/>
              <w:bottom w:val="single" w:sz="4" w:space="0" w:color="auto"/>
              <w:right w:val="single" w:sz="4" w:space="0" w:color="auto"/>
            </w:tcBorders>
            <w:shd w:val="clear" w:color="000000" w:fill="FFFFFF"/>
            <w:noWrap/>
            <w:vAlign w:val="center"/>
          </w:tcPr>
          <w:p w14:paraId="1B067B7C" w14:textId="17D358AF" w:rsidR="00B76F7B" w:rsidRPr="004135FE" w:rsidRDefault="00B76F7B" w:rsidP="00B76F7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993" w:type="dxa"/>
            <w:tcBorders>
              <w:top w:val="single" w:sz="4" w:space="0" w:color="auto"/>
              <w:left w:val="nil"/>
              <w:bottom w:val="single" w:sz="4" w:space="0" w:color="auto"/>
              <w:right w:val="single" w:sz="4" w:space="0" w:color="auto"/>
            </w:tcBorders>
            <w:shd w:val="clear" w:color="000000" w:fill="FFFFFF"/>
            <w:noWrap/>
            <w:vAlign w:val="center"/>
          </w:tcPr>
          <w:p w14:paraId="62BC14E5" w14:textId="21FDE940" w:rsidR="00B76F7B" w:rsidRPr="004135FE" w:rsidRDefault="00B76F7B" w:rsidP="00B76F7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647A6EA7" w14:textId="24E9EE27" w:rsidR="00B76F7B" w:rsidRPr="004135FE" w:rsidRDefault="00B76F7B" w:rsidP="00B76F7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992" w:type="dxa"/>
            <w:tcBorders>
              <w:top w:val="single" w:sz="4" w:space="0" w:color="auto"/>
              <w:left w:val="nil"/>
              <w:bottom w:val="single" w:sz="4" w:space="0" w:color="auto"/>
              <w:right w:val="single" w:sz="4" w:space="0" w:color="auto"/>
            </w:tcBorders>
            <w:shd w:val="clear" w:color="000000" w:fill="FFFFFF"/>
            <w:noWrap/>
            <w:vAlign w:val="center"/>
          </w:tcPr>
          <w:p w14:paraId="47F3F839" w14:textId="3D6226F5" w:rsidR="00B76F7B" w:rsidRPr="004135FE" w:rsidRDefault="00B76F7B" w:rsidP="00B76F7B">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r>
      <w:tr w:rsidR="00B16459" w:rsidRPr="004135FE" w14:paraId="4BD26D05" w14:textId="77777777" w:rsidTr="00E2614D">
        <w:trPr>
          <w:trHeight w:val="283"/>
        </w:trPr>
        <w:tc>
          <w:tcPr>
            <w:tcW w:w="1134" w:type="dxa"/>
            <w:tcBorders>
              <w:top w:val="single" w:sz="4" w:space="0" w:color="auto"/>
              <w:left w:val="single" w:sz="4" w:space="0" w:color="auto"/>
              <w:bottom w:val="single" w:sz="4" w:space="0" w:color="000000"/>
              <w:right w:val="single" w:sz="4" w:space="0" w:color="auto"/>
            </w:tcBorders>
            <w:vAlign w:val="center"/>
            <w:hideMark/>
          </w:tcPr>
          <w:p w14:paraId="08D9F3B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single" w:sz="4" w:space="0" w:color="auto"/>
              <w:left w:val="nil"/>
              <w:bottom w:val="single" w:sz="4" w:space="0" w:color="auto"/>
              <w:right w:val="single" w:sz="4" w:space="0" w:color="auto"/>
            </w:tcBorders>
            <w:shd w:val="clear" w:color="000000" w:fill="FFFFFF"/>
            <w:noWrap/>
            <w:vAlign w:val="center"/>
            <w:hideMark/>
          </w:tcPr>
          <w:p w14:paraId="2C67145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среднее</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0983055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599,70</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14:paraId="027006D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29,56</w:t>
            </w:r>
          </w:p>
        </w:tc>
        <w:tc>
          <w:tcPr>
            <w:tcW w:w="1418" w:type="dxa"/>
            <w:tcBorders>
              <w:top w:val="single" w:sz="4" w:space="0" w:color="auto"/>
              <w:left w:val="nil"/>
              <w:bottom w:val="single" w:sz="4" w:space="0" w:color="auto"/>
              <w:right w:val="single" w:sz="4" w:space="0" w:color="auto"/>
            </w:tcBorders>
            <w:shd w:val="clear" w:color="000000" w:fill="FFFFFF"/>
            <w:noWrap/>
            <w:vAlign w:val="center"/>
            <w:hideMark/>
          </w:tcPr>
          <w:p w14:paraId="1EC316B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104,48</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14:paraId="3D4BFFB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4,48</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14:paraId="279E030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212,90</w:t>
            </w:r>
          </w:p>
        </w:tc>
        <w:tc>
          <w:tcPr>
            <w:tcW w:w="851" w:type="dxa"/>
            <w:tcBorders>
              <w:top w:val="single" w:sz="4" w:space="0" w:color="auto"/>
              <w:left w:val="nil"/>
              <w:bottom w:val="single" w:sz="4" w:space="0" w:color="auto"/>
              <w:right w:val="single" w:sz="4" w:space="0" w:color="auto"/>
            </w:tcBorders>
            <w:shd w:val="clear" w:color="000000" w:fill="FFFFFF"/>
            <w:noWrap/>
            <w:vAlign w:val="center"/>
            <w:hideMark/>
          </w:tcPr>
          <w:p w14:paraId="73E6B41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10,00</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14:paraId="749828C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104,16</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0C604FC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4,16</w:t>
            </w:r>
          </w:p>
        </w:tc>
        <w:tc>
          <w:tcPr>
            <w:tcW w:w="708" w:type="dxa"/>
            <w:tcBorders>
              <w:top w:val="single" w:sz="4" w:space="0" w:color="auto"/>
              <w:left w:val="nil"/>
              <w:bottom w:val="single" w:sz="4" w:space="0" w:color="auto"/>
              <w:right w:val="single" w:sz="4" w:space="0" w:color="auto"/>
            </w:tcBorders>
            <w:shd w:val="clear" w:color="000000" w:fill="FFFFFF"/>
            <w:noWrap/>
            <w:vAlign w:val="center"/>
            <w:hideMark/>
          </w:tcPr>
          <w:p w14:paraId="65E0584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386,80</w:t>
            </w:r>
          </w:p>
        </w:tc>
        <w:tc>
          <w:tcPr>
            <w:tcW w:w="993" w:type="dxa"/>
            <w:tcBorders>
              <w:top w:val="single" w:sz="4" w:space="0" w:color="auto"/>
              <w:left w:val="nil"/>
              <w:bottom w:val="single" w:sz="4" w:space="0" w:color="auto"/>
              <w:right w:val="single" w:sz="4" w:space="0" w:color="auto"/>
            </w:tcBorders>
            <w:shd w:val="clear" w:color="000000" w:fill="FFFFFF"/>
            <w:noWrap/>
            <w:vAlign w:val="center"/>
            <w:hideMark/>
          </w:tcPr>
          <w:p w14:paraId="6AA7B2B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19,56</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14:paraId="3E7F502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104,66</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14:paraId="35319FF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4,66</w:t>
            </w:r>
          </w:p>
        </w:tc>
      </w:tr>
      <w:tr w:rsidR="0066583A" w:rsidRPr="004135FE" w14:paraId="5DB20CC4" w14:textId="77777777" w:rsidTr="00E2614D">
        <w:trPr>
          <w:trHeight w:val="283"/>
        </w:trPr>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2AD2BA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993" w:type="dxa"/>
            <w:tcBorders>
              <w:top w:val="nil"/>
              <w:left w:val="nil"/>
              <w:bottom w:val="single" w:sz="4" w:space="0" w:color="auto"/>
              <w:right w:val="single" w:sz="4" w:space="0" w:color="auto"/>
            </w:tcBorders>
            <w:shd w:val="clear" w:color="auto" w:fill="auto"/>
            <w:noWrap/>
            <w:vAlign w:val="center"/>
            <w:hideMark/>
          </w:tcPr>
          <w:p w14:paraId="2871D4B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2012</w:t>
            </w:r>
          </w:p>
        </w:tc>
        <w:tc>
          <w:tcPr>
            <w:tcW w:w="850" w:type="dxa"/>
            <w:tcBorders>
              <w:top w:val="nil"/>
              <w:left w:val="nil"/>
              <w:bottom w:val="single" w:sz="4" w:space="0" w:color="auto"/>
              <w:right w:val="single" w:sz="4" w:space="0" w:color="auto"/>
            </w:tcBorders>
            <w:shd w:val="clear" w:color="auto" w:fill="auto"/>
            <w:vAlign w:val="center"/>
            <w:hideMark/>
          </w:tcPr>
          <w:p w14:paraId="31FAE2F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382</w:t>
            </w:r>
          </w:p>
        </w:tc>
        <w:tc>
          <w:tcPr>
            <w:tcW w:w="992" w:type="dxa"/>
            <w:tcBorders>
              <w:top w:val="nil"/>
              <w:left w:val="nil"/>
              <w:bottom w:val="single" w:sz="4" w:space="0" w:color="auto"/>
              <w:right w:val="single" w:sz="4" w:space="0" w:color="auto"/>
            </w:tcBorders>
            <w:shd w:val="clear" w:color="auto" w:fill="auto"/>
            <w:noWrap/>
            <w:vAlign w:val="center"/>
            <w:hideMark/>
          </w:tcPr>
          <w:p w14:paraId="00E1560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1418" w:type="dxa"/>
            <w:tcBorders>
              <w:top w:val="nil"/>
              <w:left w:val="nil"/>
              <w:bottom w:val="single" w:sz="4" w:space="0" w:color="auto"/>
              <w:right w:val="single" w:sz="4" w:space="0" w:color="auto"/>
            </w:tcBorders>
            <w:shd w:val="clear" w:color="auto" w:fill="auto"/>
            <w:noWrap/>
            <w:vAlign w:val="center"/>
            <w:hideMark/>
          </w:tcPr>
          <w:p w14:paraId="5FAE048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2" w:type="dxa"/>
            <w:tcBorders>
              <w:top w:val="nil"/>
              <w:left w:val="nil"/>
              <w:bottom w:val="single" w:sz="4" w:space="0" w:color="auto"/>
              <w:right w:val="single" w:sz="4" w:space="0" w:color="auto"/>
            </w:tcBorders>
            <w:shd w:val="clear" w:color="auto" w:fill="auto"/>
            <w:noWrap/>
            <w:vAlign w:val="center"/>
            <w:hideMark/>
          </w:tcPr>
          <w:p w14:paraId="31F0EC3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2" w:type="dxa"/>
            <w:tcBorders>
              <w:top w:val="nil"/>
              <w:left w:val="nil"/>
              <w:bottom w:val="single" w:sz="4" w:space="0" w:color="000000"/>
              <w:right w:val="single" w:sz="4" w:space="0" w:color="000000"/>
            </w:tcBorders>
            <w:shd w:val="clear" w:color="auto" w:fill="auto"/>
            <w:vAlign w:val="center"/>
            <w:hideMark/>
          </w:tcPr>
          <w:p w14:paraId="02A3B7C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113</w:t>
            </w:r>
          </w:p>
        </w:tc>
        <w:tc>
          <w:tcPr>
            <w:tcW w:w="851" w:type="dxa"/>
            <w:tcBorders>
              <w:top w:val="nil"/>
              <w:left w:val="nil"/>
              <w:bottom w:val="single" w:sz="4" w:space="0" w:color="auto"/>
              <w:right w:val="single" w:sz="4" w:space="0" w:color="auto"/>
            </w:tcBorders>
            <w:shd w:val="clear" w:color="auto" w:fill="auto"/>
            <w:noWrap/>
            <w:vAlign w:val="center"/>
            <w:hideMark/>
          </w:tcPr>
          <w:p w14:paraId="5DCD278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1276" w:type="dxa"/>
            <w:tcBorders>
              <w:top w:val="nil"/>
              <w:left w:val="nil"/>
              <w:bottom w:val="single" w:sz="4" w:space="0" w:color="auto"/>
              <w:right w:val="single" w:sz="4" w:space="0" w:color="auto"/>
            </w:tcBorders>
            <w:shd w:val="clear" w:color="auto" w:fill="auto"/>
            <w:noWrap/>
            <w:vAlign w:val="center"/>
            <w:hideMark/>
          </w:tcPr>
          <w:p w14:paraId="22732E2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1134" w:type="dxa"/>
            <w:tcBorders>
              <w:top w:val="nil"/>
              <w:left w:val="nil"/>
              <w:bottom w:val="single" w:sz="4" w:space="0" w:color="auto"/>
              <w:right w:val="single" w:sz="4" w:space="0" w:color="auto"/>
            </w:tcBorders>
            <w:shd w:val="clear" w:color="auto" w:fill="auto"/>
            <w:noWrap/>
            <w:vAlign w:val="center"/>
            <w:hideMark/>
          </w:tcPr>
          <w:p w14:paraId="37BE8E8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708" w:type="dxa"/>
            <w:tcBorders>
              <w:top w:val="nil"/>
              <w:left w:val="nil"/>
              <w:bottom w:val="single" w:sz="4" w:space="0" w:color="000000"/>
              <w:right w:val="single" w:sz="4" w:space="0" w:color="000000"/>
            </w:tcBorders>
            <w:shd w:val="clear" w:color="auto" w:fill="auto"/>
            <w:vAlign w:val="center"/>
            <w:hideMark/>
          </w:tcPr>
          <w:p w14:paraId="246E63E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269</w:t>
            </w:r>
          </w:p>
        </w:tc>
        <w:tc>
          <w:tcPr>
            <w:tcW w:w="993" w:type="dxa"/>
            <w:tcBorders>
              <w:top w:val="nil"/>
              <w:left w:val="nil"/>
              <w:bottom w:val="single" w:sz="4" w:space="0" w:color="auto"/>
              <w:right w:val="single" w:sz="4" w:space="0" w:color="auto"/>
            </w:tcBorders>
            <w:shd w:val="clear" w:color="auto" w:fill="auto"/>
            <w:noWrap/>
            <w:vAlign w:val="center"/>
            <w:hideMark/>
          </w:tcPr>
          <w:p w14:paraId="39FC4C3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2" w:type="dxa"/>
            <w:tcBorders>
              <w:top w:val="nil"/>
              <w:left w:val="nil"/>
              <w:bottom w:val="single" w:sz="4" w:space="0" w:color="auto"/>
              <w:right w:val="single" w:sz="4" w:space="0" w:color="auto"/>
            </w:tcBorders>
            <w:shd w:val="clear" w:color="auto" w:fill="auto"/>
            <w:noWrap/>
            <w:vAlign w:val="center"/>
            <w:hideMark/>
          </w:tcPr>
          <w:p w14:paraId="1F05DBD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2" w:type="dxa"/>
            <w:tcBorders>
              <w:top w:val="nil"/>
              <w:left w:val="nil"/>
              <w:bottom w:val="single" w:sz="4" w:space="0" w:color="auto"/>
              <w:right w:val="single" w:sz="4" w:space="0" w:color="auto"/>
            </w:tcBorders>
            <w:shd w:val="clear" w:color="auto" w:fill="auto"/>
            <w:noWrap/>
            <w:vAlign w:val="center"/>
            <w:hideMark/>
          </w:tcPr>
          <w:p w14:paraId="3ED071F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r>
      <w:tr w:rsidR="0066583A" w:rsidRPr="004135FE" w14:paraId="2F6A643C"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12A09FD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3720860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2013</w:t>
            </w:r>
          </w:p>
        </w:tc>
        <w:tc>
          <w:tcPr>
            <w:tcW w:w="850" w:type="dxa"/>
            <w:tcBorders>
              <w:top w:val="nil"/>
              <w:left w:val="nil"/>
              <w:bottom w:val="single" w:sz="4" w:space="0" w:color="auto"/>
              <w:right w:val="single" w:sz="4" w:space="0" w:color="auto"/>
            </w:tcBorders>
            <w:shd w:val="clear" w:color="auto" w:fill="auto"/>
            <w:vAlign w:val="center"/>
            <w:hideMark/>
          </w:tcPr>
          <w:p w14:paraId="75C341C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410</w:t>
            </w:r>
          </w:p>
        </w:tc>
        <w:tc>
          <w:tcPr>
            <w:tcW w:w="992" w:type="dxa"/>
            <w:tcBorders>
              <w:top w:val="nil"/>
              <w:left w:val="nil"/>
              <w:bottom w:val="single" w:sz="4" w:space="0" w:color="auto"/>
              <w:right w:val="single" w:sz="4" w:space="0" w:color="auto"/>
            </w:tcBorders>
            <w:shd w:val="clear" w:color="auto" w:fill="auto"/>
            <w:noWrap/>
            <w:vAlign w:val="center"/>
            <w:hideMark/>
          </w:tcPr>
          <w:p w14:paraId="5EBEDA0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28,00</w:t>
            </w:r>
          </w:p>
        </w:tc>
        <w:tc>
          <w:tcPr>
            <w:tcW w:w="1418" w:type="dxa"/>
            <w:tcBorders>
              <w:top w:val="nil"/>
              <w:left w:val="nil"/>
              <w:bottom w:val="single" w:sz="4" w:space="0" w:color="auto"/>
              <w:right w:val="single" w:sz="4" w:space="0" w:color="auto"/>
            </w:tcBorders>
            <w:shd w:val="clear" w:color="auto" w:fill="auto"/>
            <w:noWrap/>
            <w:vAlign w:val="center"/>
            <w:hideMark/>
          </w:tcPr>
          <w:p w14:paraId="5ABE8ED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50,93</w:t>
            </w:r>
          </w:p>
        </w:tc>
        <w:tc>
          <w:tcPr>
            <w:tcW w:w="992" w:type="dxa"/>
            <w:tcBorders>
              <w:top w:val="nil"/>
              <w:left w:val="nil"/>
              <w:bottom w:val="single" w:sz="4" w:space="0" w:color="auto"/>
              <w:right w:val="single" w:sz="4" w:space="0" w:color="auto"/>
            </w:tcBorders>
            <w:shd w:val="clear" w:color="auto" w:fill="auto"/>
            <w:noWrap/>
            <w:vAlign w:val="center"/>
            <w:hideMark/>
          </w:tcPr>
          <w:p w14:paraId="5B79A6B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-49,07</w:t>
            </w:r>
          </w:p>
        </w:tc>
        <w:tc>
          <w:tcPr>
            <w:tcW w:w="992" w:type="dxa"/>
            <w:tcBorders>
              <w:top w:val="nil"/>
              <w:left w:val="nil"/>
              <w:bottom w:val="single" w:sz="4" w:space="0" w:color="000000"/>
              <w:right w:val="single" w:sz="4" w:space="0" w:color="000000"/>
            </w:tcBorders>
            <w:shd w:val="clear" w:color="auto" w:fill="auto"/>
            <w:vAlign w:val="center"/>
            <w:hideMark/>
          </w:tcPr>
          <w:p w14:paraId="64FD9C8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165</w:t>
            </w:r>
          </w:p>
        </w:tc>
        <w:tc>
          <w:tcPr>
            <w:tcW w:w="851" w:type="dxa"/>
            <w:tcBorders>
              <w:top w:val="nil"/>
              <w:left w:val="nil"/>
              <w:bottom w:val="single" w:sz="4" w:space="0" w:color="auto"/>
              <w:right w:val="single" w:sz="4" w:space="0" w:color="auto"/>
            </w:tcBorders>
            <w:shd w:val="clear" w:color="auto" w:fill="auto"/>
            <w:noWrap/>
            <w:vAlign w:val="center"/>
            <w:hideMark/>
          </w:tcPr>
          <w:p w14:paraId="706C113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52,00</w:t>
            </w:r>
          </w:p>
        </w:tc>
        <w:tc>
          <w:tcPr>
            <w:tcW w:w="1276" w:type="dxa"/>
            <w:tcBorders>
              <w:top w:val="nil"/>
              <w:left w:val="nil"/>
              <w:bottom w:val="single" w:sz="4" w:space="0" w:color="auto"/>
              <w:right w:val="single" w:sz="4" w:space="0" w:color="auto"/>
            </w:tcBorders>
            <w:shd w:val="clear" w:color="auto" w:fill="auto"/>
            <w:noWrap/>
            <w:vAlign w:val="center"/>
            <w:hideMark/>
          </w:tcPr>
          <w:p w14:paraId="7CDE0B3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35,31</w:t>
            </w:r>
          </w:p>
        </w:tc>
        <w:tc>
          <w:tcPr>
            <w:tcW w:w="1134" w:type="dxa"/>
            <w:tcBorders>
              <w:top w:val="nil"/>
              <w:left w:val="nil"/>
              <w:bottom w:val="single" w:sz="4" w:space="0" w:color="auto"/>
              <w:right w:val="single" w:sz="4" w:space="0" w:color="auto"/>
            </w:tcBorders>
            <w:shd w:val="clear" w:color="auto" w:fill="auto"/>
            <w:noWrap/>
            <w:vAlign w:val="center"/>
            <w:hideMark/>
          </w:tcPr>
          <w:p w14:paraId="6D61A79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-64,69</w:t>
            </w:r>
          </w:p>
        </w:tc>
        <w:tc>
          <w:tcPr>
            <w:tcW w:w="708" w:type="dxa"/>
            <w:tcBorders>
              <w:top w:val="nil"/>
              <w:left w:val="nil"/>
              <w:bottom w:val="single" w:sz="4" w:space="0" w:color="000000"/>
              <w:right w:val="single" w:sz="4" w:space="0" w:color="000000"/>
            </w:tcBorders>
            <w:shd w:val="clear" w:color="auto" w:fill="auto"/>
            <w:vAlign w:val="center"/>
            <w:hideMark/>
          </w:tcPr>
          <w:p w14:paraId="5666CE2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245</w:t>
            </w:r>
          </w:p>
        </w:tc>
        <w:tc>
          <w:tcPr>
            <w:tcW w:w="993" w:type="dxa"/>
            <w:tcBorders>
              <w:top w:val="nil"/>
              <w:left w:val="nil"/>
              <w:bottom w:val="single" w:sz="4" w:space="0" w:color="auto"/>
              <w:right w:val="single" w:sz="4" w:space="0" w:color="auto"/>
            </w:tcBorders>
            <w:shd w:val="clear" w:color="auto" w:fill="auto"/>
            <w:noWrap/>
            <w:vAlign w:val="center"/>
            <w:hideMark/>
          </w:tcPr>
          <w:p w14:paraId="4100867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-24,00</w:t>
            </w:r>
          </w:p>
        </w:tc>
        <w:tc>
          <w:tcPr>
            <w:tcW w:w="992" w:type="dxa"/>
            <w:tcBorders>
              <w:top w:val="nil"/>
              <w:left w:val="nil"/>
              <w:bottom w:val="single" w:sz="4" w:space="0" w:color="auto"/>
              <w:right w:val="single" w:sz="4" w:space="0" w:color="auto"/>
            </w:tcBorders>
            <w:shd w:val="clear" w:color="auto" w:fill="auto"/>
            <w:noWrap/>
            <w:vAlign w:val="center"/>
            <w:hideMark/>
          </w:tcPr>
          <w:p w14:paraId="4C334F3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62,56</w:t>
            </w:r>
          </w:p>
        </w:tc>
        <w:tc>
          <w:tcPr>
            <w:tcW w:w="992" w:type="dxa"/>
            <w:tcBorders>
              <w:top w:val="nil"/>
              <w:left w:val="nil"/>
              <w:bottom w:val="single" w:sz="4" w:space="0" w:color="auto"/>
              <w:right w:val="single" w:sz="4" w:space="0" w:color="auto"/>
            </w:tcBorders>
            <w:shd w:val="clear" w:color="auto" w:fill="auto"/>
            <w:noWrap/>
            <w:vAlign w:val="center"/>
            <w:hideMark/>
          </w:tcPr>
          <w:p w14:paraId="6772852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-37,44</w:t>
            </w:r>
          </w:p>
        </w:tc>
      </w:tr>
      <w:tr w:rsidR="0066583A" w:rsidRPr="004135FE" w14:paraId="3A676835"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1F94277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11B9E52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2014</w:t>
            </w:r>
          </w:p>
        </w:tc>
        <w:tc>
          <w:tcPr>
            <w:tcW w:w="850" w:type="dxa"/>
            <w:tcBorders>
              <w:top w:val="nil"/>
              <w:left w:val="nil"/>
              <w:bottom w:val="single" w:sz="4" w:space="0" w:color="auto"/>
              <w:right w:val="single" w:sz="4" w:space="0" w:color="auto"/>
            </w:tcBorders>
            <w:shd w:val="clear" w:color="auto" w:fill="auto"/>
            <w:vAlign w:val="center"/>
            <w:hideMark/>
          </w:tcPr>
          <w:p w14:paraId="2397FCF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410</w:t>
            </w:r>
          </w:p>
        </w:tc>
        <w:tc>
          <w:tcPr>
            <w:tcW w:w="992" w:type="dxa"/>
            <w:tcBorders>
              <w:top w:val="nil"/>
              <w:left w:val="nil"/>
              <w:bottom w:val="single" w:sz="4" w:space="0" w:color="auto"/>
              <w:right w:val="single" w:sz="4" w:space="0" w:color="auto"/>
            </w:tcBorders>
            <w:shd w:val="clear" w:color="auto" w:fill="auto"/>
            <w:noWrap/>
            <w:vAlign w:val="center"/>
            <w:hideMark/>
          </w:tcPr>
          <w:p w14:paraId="18D0E26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0,00</w:t>
            </w:r>
          </w:p>
        </w:tc>
        <w:tc>
          <w:tcPr>
            <w:tcW w:w="1418" w:type="dxa"/>
            <w:tcBorders>
              <w:top w:val="nil"/>
              <w:left w:val="nil"/>
              <w:bottom w:val="single" w:sz="4" w:space="0" w:color="auto"/>
              <w:right w:val="single" w:sz="4" w:space="0" w:color="auto"/>
            </w:tcBorders>
            <w:shd w:val="clear" w:color="auto" w:fill="auto"/>
            <w:noWrap/>
            <w:vAlign w:val="center"/>
            <w:hideMark/>
          </w:tcPr>
          <w:p w14:paraId="208B671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54,67</w:t>
            </w:r>
          </w:p>
        </w:tc>
        <w:tc>
          <w:tcPr>
            <w:tcW w:w="992" w:type="dxa"/>
            <w:tcBorders>
              <w:top w:val="nil"/>
              <w:left w:val="nil"/>
              <w:bottom w:val="single" w:sz="4" w:space="0" w:color="auto"/>
              <w:right w:val="single" w:sz="4" w:space="0" w:color="auto"/>
            </w:tcBorders>
            <w:shd w:val="clear" w:color="auto" w:fill="auto"/>
            <w:noWrap/>
            <w:vAlign w:val="center"/>
            <w:hideMark/>
          </w:tcPr>
          <w:p w14:paraId="1EFF6C2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-45,33</w:t>
            </w:r>
          </w:p>
        </w:tc>
        <w:tc>
          <w:tcPr>
            <w:tcW w:w="992" w:type="dxa"/>
            <w:tcBorders>
              <w:top w:val="nil"/>
              <w:left w:val="nil"/>
              <w:bottom w:val="single" w:sz="4" w:space="0" w:color="000000"/>
              <w:right w:val="single" w:sz="4" w:space="0" w:color="000000"/>
            </w:tcBorders>
            <w:shd w:val="clear" w:color="auto" w:fill="auto"/>
            <w:vAlign w:val="center"/>
            <w:hideMark/>
          </w:tcPr>
          <w:p w14:paraId="47E4B28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154</w:t>
            </w:r>
          </w:p>
        </w:tc>
        <w:tc>
          <w:tcPr>
            <w:tcW w:w="851" w:type="dxa"/>
            <w:tcBorders>
              <w:top w:val="nil"/>
              <w:left w:val="nil"/>
              <w:bottom w:val="single" w:sz="4" w:space="0" w:color="auto"/>
              <w:right w:val="single" w:sz="4" w:space="0" w:color="auto"/>
            </w:tcBorders>
            <w:shd w:val="clear" w:color="auto" w:fill="auto"/>
            <w:noWrap/>
            <w:vAlign w:val="center"/>
            <w:hideMark/>
          </w:tcPr>
          <w:p w14:paraId="2BA13B1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-11,00</w:t>
            </w:r>
          </w:p>
        </w:tc>
        <w:tc>
          <w:tcPr>
            <w:tcW w:w="1276" w:type="dxa"/>
            <w:tcBorders>
              <w:top w:val="nil"/>
              <w:left w:val="nil"/>
              <w:bottom w:val="single" w:sz="4" w:space="0" w:color="auto"/>
              <w:right w:val="single" w:sz="4" w:space="0" w:color="auto"/>
            </w:tcBorders>
            <w:shd w:val="clear" w:color="auto" w:fill="auto"/>
            <w:noWrap/>
            <w:vAlign w:val="center"/>
            <w:hideMark/>
          </w:tcPr>
          <w:p w14:paraId="6364794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51,56</w:t>
            </w:r>
          </w:p>
        </w:tc>
        <w:tc>
          <w:tcPr>
            <w:tcW w:w="1134" w:type="dxa"/>
            <w:tcBorders>
              <w:top w:val="nil"/>
              <w:left w:val="nil"/>
              <w:bottom w:val="single" w:sz="4" w:space="0" w:color="auto"/>
              <w:right w:val="single" w:sz="4" w:space="0" w:color="auto"/>
            </w:tcBorders>
            <w:shd w:val="clear" w:color="auto" w:fill="auto"/>
            <w:noWrap/>
            <w:vAlign w:val="center"/>
            <w:hideMark/>
          </w:tcPr>
          <w:p w14:paraId="208CB0A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-48,44</w:t>
            </w:r>
          </w:p>
        </w:tc>
        <w:tc>
          <w:tcPr>
            <w:tcW w:w="708" w:type="dxa"/>
            <w:tcBorders>
              <w:top w:val="nil"/>
              <w:left w:val="nil"/>
              <w:bottom w:val="single" w:sz="4" w:space="0" w:color="000000"/>
              <w:right w:val="single" w:sz="4" w:space="0" w:color="000000"/>
            </w:tcBorders>
            <w:shd w:val="clear" w:color="auto" w:fill="auto"/>
            <w:vAlign w:val="center"/>
            <w:hideMark/>
          </w:tcPr>
          <w:p w14:paraId="5061715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256</w:t>
            </w:r>
          </w:p>
        </w:tc>
        <w:tc>
          <w:tcPr>
            <w:tcW w:w="993" w:type="dxa"/>
            <w:tcBorders>
              <w:top w:val="nil"/>
              <w:left w:val="nil"/>
              <w:bottom w:val="single" w:sz="4" w:space="0" w:color="auto"/>
              <w:right w:val="single" w:sz="4" w:space="0" w:color="auto"/>
            </w:tcBorders>
            <w:shd w:val="clear" w:color="auto" w:fill="auto"/>
            <w:noWrap/>
            <w:vAlign w:val="center"/>
            <w:hideMark/>
          </w:tcPr>
          <w:p w14:paraId="4546412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11,00</w:t>
            </w:r>
          </w:p>
        </w:tc>
        <w:tc>
          <w:tcPr>
            <w:tcW w:w="992" w:type="dxa"/>
            <w:tcBorders>
              <w:top w:val="nil"/>
              <w:left w:val="nil"/>
              <w:bottom w:val="single" w:sz="4" w:space="0" w:color="auto"/>
              <w:right w:val="single" w:sz="4" w:space="0" w:color="auto"/>
            </w:tcBorders>
            <w:shd w:val="clear" w:color="auto" w:fill="auto"/>
            <w:noWrap/>
            <w:vAlign w:val="center"/>
            <w:hideMark/>
          </w:tcPr>
          <w:p w14:paraId="333DEBC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56,98</w:t>
            </w:r>
          </w:p>
        </w:tc>
        <w:tc>
          <w:tcPr>
            <w:tcW w:w="992" w:type="dxa"/>
            <w:tcBorders>
              <w:top w:val="nil"/>
              <w:left w:val="nil"/>
              <w:bottom w:val="single" w:sz="4" w:space="0" w:color="auto"/>
              <w:right w:val="single" w:sz="4" w:space="0" w:color="auto"/>
            </w:tcBorders>
            <w:shd w:val="clear" w:color="auto" w:fill="auto"/>
            <w:noWrap/>
            <w:vAlign w:val="center"/>
            <w:hideMark/>
          </w:tcPr>
          <w:p w14:paraId="698BFCA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-43,02</w:t>
            </w:r>
          </w:p>
        </w:tc>
      </w:tr>
      <w:tr w:rsidR="0066583A" w:rsidRPr="004135FE" w14:paraId="50A93661"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2C158A2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5162C0C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2015</w:t>
            </w:r>
          </w:p>
        </w:tc>
        <w:tc>
          <w:tcPr>
            <w:tcW w:w="850" w:type="dxa"/>
            <w:tcBorders>
              <w:top w:val="nil"/>
              <w:left w:val="nil"/>
              <w:bottom w:val="single" w:sz="4" w:space="0" w:color="auto"/>
              <w:right w:val="single" w:sz="4" w:space="0" w:color="auto"/>
            </w:tcBorders>
            <w:shd w:val="clear" w:color="auto" w:fill="auto"/>
            <w:vAlign w:val="center"/>
            <w:hideMark/>
          </w:tcPr>
          <w:p w14:paraId="548A89B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348</w:t>
            </w:r>
          </w:p>
        </w:tc>
        <w:tc>
          <w:tcPr>
            <w:tcW w:w="992" w:type="dxa"/>
            <w:tcBorders>
              <w:top w:val="nil"/>
              <w:left w:val="nil"/>
              <w:bottom w:val="single" w:sz="4" w:space="0" w:color="auto"/>
              <w:right w:val="single" w:sz="4" w:space="0" w:color="auto"/>
            </w:tcBorders>
            <w:shd w:val="clear" w:color="auto" w:fill="auto"/>
            <w:noWrap/>
            <w:vAlign w:val="center"/>
            <w:hideMark/>
          </w:tcPr>
          <w:p w14:paraId="61D292F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-62,00</w:t>
            </w:r>
          </w:p>
        </w:tc>
        <w:tc>
          <w:tcPr>
            <w:tcW w:w="1418" w:type="dxa"/>
            <w:tcBorders>
              <w:top w:val="nil"/>
              <w:left w:val="nil"/>
              <w:bottom w:val="single" w:sz="4" w:space="0" w:color="auto"/>
              <w:right w:val="single" w:sz="4" w:space="0" w:color="auto"/>
            </w:tcBorders>
            <w:shd w:val="clear" w:color="auto" w:fill="auto"/>
            <w:noWrap/>
            <w:vAlign w:val="center"/>
            <w:hideMark/>
          </w:tcPr>
          <w:p w14:paraId="665BF06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54,67</w:t>
            </w:r>
          </w:p>
        </w:tc>
        <w:tc>
          <w:tcPr>
            <w:tcW w:w="992" w:type="dxa"/>
            <w:tcBorders>
              <w:top w:val="nil"/>
              <w:left w:val="nil"/>
              <w:bottom w:val="single" w:sz="4" w:space="0" w:color="auto"/>
              <w:right w:val="single" w:sz="4" w:space="0" w:color="auto"/>
            </w:tcBorders>
            <w:shd w:val="clear" w:color="auto" w:fill="auto"/>
            <w:noWrap/>
            <w:vAlign w:val="center"/>
            <w:hideMark/>
          </w:tcPr>
          <w:p w14:paraId="7021A85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-45,33</w:t>
            </w:r>
          </w:p>
        </w:tc>
        <w:tc>
          <w:tcPr>
            <w:tcW w:w="992" w:type="dxa"/>
            <w:tcBorders>
              <w:top w:val="nil"/>
              <w:left w:val="nil"/>
              <w:bottom w:val="single" w:sz="4" w:space="0" w:color="000000"/>
              <w:right w:val="single" w:sz="4" w:space="0" w:color="000000"/>
            </w:tcBorders>
            <w:shd w:val="clear" w:color="auto" w:fill="auto"/>
            <w:vAlign w:val="center"/>
            <w:hideMark/>
          </w:tcPr>
          <w:p w14:paraId="5644933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130</w:t>
            </w:r>
          </w:p>
        </w:tc>
        <w:tc>
          <w:tcPr>
            <w:tcW w:w="851" w:type="dxa"/>
            <w:tcBorders>
              <w:top w:val="nil"/>
              <w:left w:val="nil"/>
              <w:bottom w:val="single" w:sz="4" w:space="0" w:color="auto"/>
              <w:right w:val="single" w:sz="4" w:space="0" w:color="auto"/>
            </w:tcBorders>
            <w:shd w:val="clear" w:color="auto" w:fill="auto"/>
            <w:noWrap/>
            <w:vAlign w:val="center"/>
            <w:hideMark/>
          </w:tcPr>
          <w:p w14:paraId="1FD044A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-24,00</w:t>
            </w:r>
          </w:p>
        </w:tc>
        <w:tc>
          <w:tcPr>
            <w:tcW w:w="1276" w:type="dxa"/>
            <w:tcBorders>
              <w:top w:val="nil"/>
              <w:left w:val="nil"/>
              <w:bottom w:val="single" w:sz="4" w:space="0" w:color="auto"/>
              <w:right w:val="single" w:sz="4" w:space="0" w:color="auto"/>
            </w:tcBorders>
            <w:shd w:val="clear" w:color="auto" w:fill="auto"/>
            <w:noWrap/>
            <w:vAlign w:val="center"/>
            <w:hideMark/>
          </w:tcPr>
          <w:p w14:paraId="13E7745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48,13</w:t>
            </w:r>
          </w:p>
        </w:tc>
        <w:tc>
          <w:tcPr>
            <w:tcW w:w="1134" w:type="dxa"/>
            <w:tcBorders>
              <w:top w:val="nil"/>
              <w:left w:val="nil"/>
              <w:bottom w:val="single" w:sz="4" w:space="0" w:color="auto"/>
              <w:right w:val="single" w:sz="4" w:space="0" w:color="auto"/>
            </w:tcBorders>
            <w:shd w:val="clear" w:color="auto" w:fill="auto"/>
            <w:noWrap/>
            <w:vAlign w:val="center"/>
            <w:hideMark/>
          </w:tcPr>
          <w:p w14:paraId="31662E9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-51,88</w:t>
            </w:r>
          </w:p>
        </w:tc>
        <w:tc>
          <w:tcPr>
            <w:tcW w:w="708" w:type="dxa"/>
            <w:tcBorders>
              <w:top w:val="nil"/>
              <w:left w:val="nil"/>
              <w:bottom w:val="single" w:sz="4" w:space="0" w:color="000000"/>
              <w:right w:val="single" w:sz="4" w:space="0" w:color="000000"/>
            </w:tcBorders>
            <w:shd w:val="clear" w:color="auto" w:fill="auto"/>
            <w:vAlign w:val="center"/>
            <w:hideMark/>
          </w:tcPr>
          <w:p w14:paraId="3816A85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218</w:t>
            </w:r>
          </w:p>
        </w:tc>
        <w:tc>
          <w:tcPr>
            <w:tcW w:w="993" w:type="dxa"/>
            <w:tcBorders>
              <w:top w:val="nil"/>
              <w:left w:val="nil"/>
              <w:bottom w:val="single" w:sz="4" w:space="0" w:color="auto"/>
              <w:right w:val="single" w:sz="4" w:space="0" w:color="auto"/>
            </w:tcBorders>
            <w:shd w:val="clear" w:color="auto" w:fill="auto"/>
            <w:noWrap/>
            <w:vAlign w:val="center"/>
            <w:hideMark/>
          </w:tcPr>
          <w:p w14:paraId="58457FC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-38,00</w:t>
            </w:r>
          </w:p>
        </w:tc>
        <w:tc>
          <w:tcPr>
            <w:tcW w:w="992" w:type="dxa"/>
            <w:tcBorders>
              <w:top w:val="nil"/>
              <w:left w:val="nil"/>
              <w:bottom w:val="single" w:sz="4" w:space="0" w:color="auto"/>
              <w:right w:val="single" w:sz="4" w:space="0" w:color="auto"/>
            </w:tcBorders>
            <w:shd w:val="clear" w:color="auto" w:fill="auto"/>
            <w:noWrap/>
            <w:vAlign w:val="center"/>
            <w:hideMark/>
          </w:tcPr>
          <w:p w14:paraId="7D44C60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59,53</w:t>
            </w:r>
          </w:p>
        </w:tc>
        <w:tc>
          <w:tcPr>
            <w:tcW w:w="992" w:type="dxa"/>
            <w:tcBorders>
              <w:top w:val="nil"/>
              <w:left w:val="nil"/>
              <w:bottom w:val="single" w:sz="4" w:space="0" w:color="auto"/>
              <w:right w:val="single" w:sz="4" w:space="0" w:color="auto"/>
            </w:tcBorders>
            <w:shd w:val="clear" w:color="auto" w:fill="auto"/>
            <w:noWrap/>
            <w:vAlign w:val="center"/>
            <w:hideMark/>
          </w:tcPr>
          <w:p w14:paraId="526D92E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-40,47</w:t>
            </w:r>
          </w:p>
        </w:tc>
      </w:tr>
      <w:tr w:rsidR="0066583A" w:rsidRPr="004135FE" w14:paraId="666F1B58"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0698034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10C18A3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2016</w:t>
            </w:r>
          </w:p>
        </w:tc>
        <w:tc>
          <w:tcPr>
            <w:tcW w:w="850" w:type="dxa"/>
            <w:tcBorders>
              <w:top w:val="nil"/>
              <w:left w:val="nil"/>
              <w:bottom w:val="single" w:sz="4" w:space="0" w:color="auto"/>
              <w:right w:val="single" w:sz="4" w:space="0" w:color="auto"/>
            </w:tcBorders>
            <w:shd w:val="clear" w:color="auto" w:fill="auto"/>
            <w:vAlign w:val="center"/>
            <w:hideMark/>
          </w:tcPr>
          <w:p w14:paraId="6BDF286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486</w:t>
            </w:r>
          </w:p>
        </w:tc>
        <w:tc>
          <w:tcPr>
            <w:tcW w:w="992" w:type="dxa"/>
            <w:tcBorders>
              <w:top w:val="nil"/>
              <w:left w:val="nil"/>
              <w:bottom w:val="single" w:sz="4" w:space="0" w:color="auto"/>
              <w:right w:val="single" w:sz="4" w:space="0" w:color="auto"/>
            </w:tcBorders>
            <w:shd w:val="clear" w:color="auto" w:fill="auto"/>
            <w:noWrap/>
            <w:vAlign w:val="center"/>
            <w:hideMark/>
          </w:tcPr>
          <w:p w14:paraId="6B1DF6D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138,00</w:t>
            </w:r>
          </w:p>
        </w:tc>
        <w:tc>
          <w:tcPr>
            <w:tcW w:w="1418" w:type="dxa"/>
            <w:tcBorders>
              <w:top w:val="nil"/>
              <w:left w:val="nil"/>
              <w:bottom w:val="single" w:sz="4" w:space="0" w:color="auto"/>
              <w:right w:val="single" w:sz="4" w:space="0" w:color="auto"/>
            </w:tcBorders>
            <w:shd w:val="clear" w:color="auto" w:fill="auto"/>
            <w:noWrap/>
            <w:vAlign w:val="center"/>
            <w:hideMark/>
          </w:tcPr>
          <w:p w14:paraId="7794A1C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46,40</w:t>
            </w:r>
          </w:p>
        </w:tc>
        <w:tc>
          <w:tcPr>
            <w:tcW w:w="992" w:type="dxa"/>
            <w:tcBorders>
              <w:top w:val="nil"/>
              <w:left w:val="nil"/>
              <w:bottom w:val="single" w:sz="4" w:space="0" w:color="auto"/>
              <w:right w:val="single" w:sz="4" w:space="0" w:color="auto"/>
            </w:tcBorders>
            <w:shd w:val="clear" w:color="auto" w:fill="auto"/>
            <w:noWrap/>
            <w:vAlign w:val="center"/>
            <w:hideMark/>
          </w:tcPr>
          <w:p w14:paraId="1C1018C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-53,60</w:t>
            </w:r>
          </w:p>
        </w:tc>
        <w:tc>
          <w:tcPr>
            <w:tcW w:w="992" w:type="dxa"/>
            <w:tcBorders>
              <w:top w:val="nil"/>
              <w:left w:val="nil"/>
              <w:bottom w:val="single" w:sz="4" w:space="0" w:color="000000"/>
              <w:right w:val="single" w:sz="4" w:space="0" w:color="000000"/>
            </w:tcBorders>
            <w:shd w:val="clear" w:color="auto" w:fill="auto"/>
            <w:vAlign w:val="center"/>
            <w:hideMark/>
          </w:tcPr>
          <w:p w14:paraId="3092718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164</w:t>
            </w:r>
          </w:p>
        </w:tc>
        <w:tc>
          <w:tcPr>
            <w:tcW w:w="851" w:type="dxa"/>
            <w:tcBorders>
              <w:top w:val="nil"/>
              <w:left w:val="nil"/>
              <w:bottom w:val="single" w:sz="4" w:space="0" w:color="auto"/>
              <w:right w:val="single" w:sz="4" w:space="0" w:color="auto"/>
            </w:tcBorders>
            <w:shd w:val="clear" w:color="auto" w:fill="auto"/>
            <w:noWrap/>
            <w:vAlign w:val="center"/>
            <w:hideMark/>
          </w:tcPr>
          <w:p w14:paraId="7D19A0C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34,00</w:t>
            </w:r>
          </w:p>
        </w:tc>
        <w:tc>
          <w:tcPr>
            <w:tcW w:w="1276" w:type="dxa"/>
            <w:tcBorders>
              <w:top w:val="nil"/>
              <w:left w:val="nil"/>
              <w:bottom w:val="single" w:sz="4" w:space="0" w:color="auto"/>
              <w:right w:val="single" w:sz="4" w:space="0" w:color="auto"/>
            </w:tcBorders>
            <w:shd w:val="clear" w:color="auto" w:fill="auto"/>
            <w:noWrap/>
            <w:vAlign w:val="center"/>
            <w:hideMark/>
          </w:tcPr>
          <w:p w14:paraId="5B39EB9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40,63</w:t>
            </w:r>
          </w:p>
        </w:tc>
        <w:tc>
          <w:tcPr>
            <w:tcW w:w="1134" w:type="dxa"/>
            <w:tcBorders>
              <w:top w:val="nil"/>
              <w:left w:val="nil"/>
              <w:bottom w:val="single" w:sz="4" w:space="0" w:color="auto"/>
              <w:right w:val="single" w:sz="4" w:space="0" w:color="auto"/>
            </w:tcBorders>
            <w:shd w:val="clear" w:color="auto" w:fill="auto"/>
            <w:noWrap/>
            <w:vAlign w:val="center"/>
            <w:hideMark/>
          </w:tcPr>
          <w:p w14:paraId="58104FC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-59,38</w:t>
            </w:r>
          </w:p>
        </w:tc>
        <w:tc>
          <w:tcPr>
            <w:tcW w:w="708" w:type="dxa"/>
            <w:tcBorders>
              <w:top w:val="nil"/>
              <w:left w:val="nil"/>
              <w:bottom w:val="single" w:sz="4" w:space="0" w:color="000000"/>
              <w:right w:val="single" w:sz="4" w:space="0" w:color="000000"/>
            </w:tcBorders>
            <w:shd w:val="clear" w:color="auto" w:fill="auto"/>
            <w:vAlign w:val="center"/>
            <w:hideMark/>
          </w:tcPr>
          <w:p w14:paraId="04D1878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322</w:t>
            </w:r>
          </w:p>
        </w:tc>
        <w:tc>
          <w:tcPr>
            <w:tcW w:w="993" w:type="dxa"/>
            <w:tcBorders>
              <w:top w:val="nil"/>
              <w:left w:val="nil"/>
              <w:bottom w:val="single" w:sz="4" w:space="0" w:color="auto"/>
              <w:right w:val="single" w:sz="4" w:space="0" w:color="auto"/>
            </w:tcBorders>
            <w:shd w:val="clear" w:color="auto" w:fill="auto"/>
            <w:noWrap/>
            <w:vAlign w:val="center"/>
            <w:hideMark/>
          </w:tcPr>
          <w:p w14:paraId="7548C75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104,00</w:t>
            </w:r>
          </w:p>
        </w:tc>
        <w:tc>
          <w:tcPr>
            <w:tcW w:w="992" w:type="dxa"/>
            <w:tcBorders>
              <w:top w:val="nil"/>
              <w:left w:val="nil"/>
              <w:bottom w:val="single" w:sz="4" w:space="0" w:color="auto"/>
              <w:right w:val="single" w:sz="4" w:space="0" w:color="auto"/>
            </w:tcBorders>
            <w:shd w:val="clear" w:color="auto" w:fill="auto"/>
            <w:noWrap/>
            <w:vAlign w:val="center"/>
            <w:hideMark/>
          </w:tcPr>
          <w:p w14:paraId="04134BA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50,70</w:t>
            </w:r>
          </w:p>
        </w:tc>
        <w:tc>
          <w:tcPr>
            <w:tcW w:w="992" w:type="dxa"/>
            <w:tcBorders>
              <w:top w:val="nil"/>
              <w:left w:val="nil"/>
              <w:bottom w:val="single" w:sz="4" w:space="0" w:color="auto"/>
              <w:right w:val="single" w:sz="4" w:space="0" w:color="auto"/>
            </w:tcBorders>
            <w:shd w:val="clear" w:color="auto" w:fill="auto"/>
            <w:noWrap/>
            <w:vAlign w:val="center"/>
            <w:hideMark/>
          </w:tcPr>
          <w:p w14:paraId="7349848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-49,30</w:t>
            </w:r>
          </w:p>
        </w:tc>
      </w:tr>
      <w:tr w:rsidR="0066583A" w:rsidRPr="004135FE" w14:paraId="266686BE"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4F78DE3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6AF1458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2017</w:t>
            </w:r>
          </w:p>
        </w:tc>
        <w:tc>
          <w:tcPr>
            <w:tcW w:w="850" w:type="dxa"/>
            <w:tcBorders>
              <w:top w:val="nil"/>
              <w:left w:val="nil"/>
              <w:bottom w:val="single" w:sz="4" w:space="0" w:color="auto"/>
              <w:right w:val="single" w:sz="4" w:space="0" w:color="auto"/>
            </w:tcBorders>
            <w:shd w:val="clear" w:color="auto" w:fill="auto"/>
            <w:vAlign w:val="center"/>
            <w:hideMark/>
          </w:tcPr>
          <w:p w14:paraId="4506628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588</w:t>
            </w:r>
          </w:p>
        </w:tc>
        <w:tc>
          <w:tcPr>
            <w:tcW w:w="992" w:type="dxa"/>
            <w:tcBorders>
              <w:top w:val="nil"/>
              <w:left w:val="nil"/>
              <w:bottom w:val="single" w:sz="4" w:space="0" w:color="auto"/>
              <w:right w:val="single" w:sz="4" w:space="0" w:color="auto"/>
            </w:tcBorders>
            <w:shd w:val="clear" w:color="auto" w:fill="auto"/>
            <w:noWrap/>
            <w:vAlign w:val="center"/>
            <w:hideMark/>
          </w:tcPr>
          <w:p w14:paraId="20FEBE5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102,00</w:t>
            </w:r>
          </w:p>
        </w:tc>
        <w:tc>
          <w:tcPr>
            <w:tcW w:w="1418" w:type="dxa"/>
            <w:tcBorders>
              <w:top w:val="nil"/>
              <w:left w:val="nil"/>
              <w:bottom w:val="single" w:sz="4" w:space="0" w:color="auto"/>
              <w:right w:val="single" w:sz="4" w:space="0" w:color="auto"/>
            </w:tcBorders>
            <w:shd w:val="clear" w:color="auto" w:fill="auto"/>
            <w:noWrap/>
            <w:vAlign w:val="center"/>
            <w:hideMark/>
          </w:tcPr>
          <w:p w14:paraId="67D80B2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64,80</w:t>
            </w:r>
          </w:p>
        </w:tc>
        <w:tc>
          <w:tcPr>
            <w:tcW w:w="992" w:type="dxa"/>
            <w:tcBorders>
              <w:top w:val="nil"/>
              <w:left w:val="nil"/>
              <w:bottom w:val="single" w:sz="4" w:space="0" w:color="auto"/>
              <w:right w:val="single" w:sz="4" w:space="0" w:color="auto"/>
            </w:tcBorders>
            <w:shd w:val="clear" w:color="auto" w:fill="auto"/>
            <w:noWrap/>
            <w:vAlign w:val="center"/>
            <w:hideMark/>
          </w:tcPr>
          <w:p w14:paraId="662FEBC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-35,20</w:t>
            </w:r>
          </w:p>
        </w:tc>
        <w:tc>
          <w:tcPr>
            <w:tcW w:w="992" w:type="dxa"/>
            <w:tcBorders>
              <w:top w:val="nil"/>
              <w:left w:val="nil"/>
              <w:bottom w:val="single" w:sz="4" w:space="0" w:color="000000"/>
              <w:right w:val="single" w:sz="4" w:space="0" w:color="000000"/>
            </w:tcBorders>
            <w:shd w:val="clear" w:color="auto" w:fill="auto"/>
            <w:vAlign w:val="center"/>
            <w:hideMark/>
          </w:tcPr>
          <w:p w14:paraId="5775BFC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226</w:t>
            </w:r>
          </w:p>
        </w:tc>
        <w:tc>
          <w:tcPr>
            <w:tcW w:w="851" w:type="dxa"/>
            <w:tcBorders>
              <w:top w:val="nil"/>
              <w:left w:val="nil"/>
              <w:bottom w:val="single" w:sz="4" w:space="0" w:color="auto"/>
              <w:right w:val="single" w:sz="4" w:space="0" w:color="auto"/>
            </w:tcBorders>
            <w:shd w:val="clear" w:color="auto" w:fill="auto"/>
            <w:noWrap/>
            <w:vAlign w:val="center"/>
            <w:hideMark/>
          </w:tcPr>
          <w:p w14:paraId="5B4B513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62,00</w:t>
            </w:r>
          </w:p>
        </w:tc>
        <w:tc>
          <w:tcPr>
            <w:tcW w:w="1276" w:type="dxa"/>
            <w:tcBorders>
              <w:top w:val="nil"/>
              <w:left w:val="nil"/>
              <w:bottom w:val="single" w:sz="4" w:space="0" w:color="auto"/>
              <w:right w:val="single" w:sz="4" w:space="0" w:color="auto"/>
            </w:tcBorders>
            <w:shd w:val="clear" w:color="auto" w:fill="auto"/>
            <w:noWrap/>
            <w:vAlign w:val="center"/>
            <w:hideMark/>
          </w:tcPr>
          <w:p w14:paraId="7377AAF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51,25</w:t>
            </w:r>
          </w:p>
        </w:tc>
        <w:tc>
          <w:tcPr>
            <w:tcW w:w="1134" w:type="dxa"/>
            <w:tcBorders>
              <w:top w:val="nil"/>
              <w:left w:val="nil"/>
              <w:bottom w:val="single" w:sz="4" w:space="0" w:color="auto"/>
              <w:right w:val="single" w:sz="4" w:space="0" w:color="auto"/>
            </w:tcBorders>
            <w:shd w:val="clear" w:color="auto" w:fill="auto"/>
            <w:noWrap/>
            <w:vAlign w:val="center"/>
            <w:hideMark/>
          </w:tcPr>
          <w:p w14:paraId="50E65C2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-48,75</w:t>
            </w:r>
          </w:p>
        </w:tc>
        <w:tc>
          <w:tcPr>
            <w:tcW w:w="708" w:type="dxa"/>
            <w:tcBorders>
              <w:top w:val="nil"/>
              <w:left w:val="nil"/>
              <w:bottom w:val="single" w:sz="4" w:space="0" w:color="000000"/>
              <w:right w:val="single" w:sz="4" w:space="0" w:color="000000"/>
            </w:tcBorders>
            <w:shd w:val="clear" w:color="auto" w:fill="auto"/>
            <w:vAlign w:val="center"/>
            <w:hideMark/>
          </w:tcPr>
          <w:p w14:paraId="30696A2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362</w:t>
            </w:r>
          </w:p>
        </w:tc>
        <w:tc>
          <w:tcPr>
            <w:tcW w:w="993" w:type="dxa"/>
            <w:tcBorders>
              <w:top w:val="nil"/>
              <w:left w:val="nil"/>
              <w:bottom w:val="single" w:sz="4" w:space="0" w:color="auto"/>
              <w:right w:val="single" w:sz="4" w:space="0" w:color="auto"/>
            </w:tcBorders>
            <w:shd w:val="clear" w:color="auto" w:fill="auto"/>
            <w:noWrap/>
            <w:vAlign w:val="center"/>
            <w:hideMark/>
          </w:tcPr>
          <w:p w14:paraId="571B3AC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40,00</w:t>
            </w:r>
          </w:p>
        </w:tc>
        <w:tc>
          <w:tcPr>
            <w:tcW w:w="992" w:type="dxa"/>
            <w:tcBorders>
              <w:top w:val="nil"/>
              <w:left w:val="nil"/>
              <w:bottom w:val="single" w:sz="4" w:space="0" w:color="auto"/>
              <w:right w:val="single" w:sz="4" w:space="0" w:color="auto"/>
            </w:tcBorders>
            <w:shd w:val="clear" w:color="auto" w:fill="auto"/>
            <w:noWrap/>
            <w:vAlign w:val="center"/>
            <w:hideMark/>
          </w:tcPr>
          <w:p w14:paraId="4AAADCD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74,88</w:t>
            </w:r>
          </w:p>
        </w:tc>
        <w:tc>
          <w:tcPr>
            <w:tcW w:w="992" w:type="dxa"/>
            <w:tcBorders>
              <w:top w:val="nil"/>
              <w:left w:val="nil"/>
              <w:bottom w:val="single" w:sz="4" w:space="0" w:color="auto"/>
              <w:right w:val="single" w:sz="4" w:space="0" w:color="auto"/>
            </w:tcBorders>
            <w:shd w:val="clear" w:color="auto" w:fill="auto"/>
            <w:noWrap/>
            <w:vAlign w:val="center"/>
            <w:hideMark/>
          </w:tcPr>
          <w:p w14:paraId="17E77B0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-25,12</w:t>
            </w:r>
          </w:p>
        </w:tc>
      </w:tr>
      <w:tr w:rsidR="0066583A" w:rsidRPr="004135FE" w14:paraId="47E8031B"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464BF56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6B1223B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2018</w:t>
            </w:r>
          </w:p>
        </w:tc>
        <w:tc>
          <w:tcPr>
            <w:tcW w:w="850" w:type="dxa"/>
            <w:tcBorders>
              <w:top w:val="nil"/>
              <w:left w:val="nil"/>
              <w:bottom w:val="single" w:sz="4" w:space="0" w:color="auto"/>
              <w:right w:val="single" w:sz="4" w:space="0" w:color="auto"/>
            </w:tcBorders>
            <w:shd w:val="clear" w:color="auto" w:fill="auto"/>
            <w:vAlign w:val="center"/>
            <w:hideMark/>
          </w:tcPr>
          <w:p w14:paraId="31F21A2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659</w:t>
            </w:r>
          </w:p>
        </w:tc>
        <w:tc>
          <w:tcPr>
            <w:tcW w:w="992" w:type="dxa"/>
            <w:tcBorders>
              <w:top w:val="nil"/>
              <w:left w:val="nil"/>
              <w:bottom w:val="single" w:sz="4" w:space="0" w:color="auto"/>
              <w:right w:val="single" w:sz="4" w:space="0" w:color="auto"/>
            </w:tcBorders>
            <w:shd w:val="clear" w:color="auto" w:fill="auto"/>
            <w:noWrap/>
            <w:vAlign w:val="center"/>
            <w:hideMark/>
          </w:tcPr>
          <w:p w14:paraId="2FE0F8E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71,00</w:t>
            </w:r>
          </w:p>
        </w:tc>
        <w:tc>
          <w:tcPr>
            <w:tcW w:w="1418" w:type="dxa"/>
            <w:tcBorders>
              <w:top w:val="nil"/>
              <w:left w:val="nil"/>
              <w:bottom w:val="single" w:sz="4" w:space="0" w:color="auto"/>
              <w:right w:val="single" w:sz="4" w:space="0" w:color="auto"/>
            </w:tcBorders>
            <w:shd w:val="clear" w:color="auto" w:fill="auto"/>
            <w:noWrap/>
            <w:vAlign w:val="center"/>
            <w:hideMark/>
          </w:tcPr>
          <w:p w14:paraId="64B936A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78,40</w:t>
            </w:r>
          </w:p>
        </w:tc>
        <w:tc>
          <w:tcPr>
            <w:tcW w:w="992" w:type="dxa"/>
            <w:tcBorders>
              <w:top w:val="nil"/>
              <w:left w:val="nil"/>
              <w:bottom w:val="single" w:sz="4" w:space="0" w:color="auto"/>
              <w:right w:val="single" w:sz="4" w:space="0" w:color="auto"/>
            </w:tcBorders>
            <w:shd w:val="clear" w:color="auto" w:fill="auto"/>
            <w:noWrap/>
            <w:vAlign w:val="center"/>
            <w:hideMark/>
          </w:tcPr>
          <w:p w14:paraId="307310E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-21,60</w:t>
            </w:r>
          </w:p>
        </w:tc>
        <w:tc>
          <w:tcPr>
            <w:tcW w:w="992" w:type="dxa"/>
            <w:tcBorders>
              <w:top w:val="nil"/>
              <w:left w:val="nil"/>
              <w:bottom w:val="single" w:sz="4" w:space="0" w:color="000000"/>
              <w:right w:val="single" w:sz="4" w:space="0" w:color="000000"/>
            </w:tcBorders>
            <w:shd w:val="clear" w:color="auto" w:fill="auto"/>
            <w:vAlign w:val="center"/>
            <w:hideMark/>
          </w:tcPr>
          <w:p w14:paraId="495CD63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233</w:t>
            </w:r>
          </w:p>
        </w:tc>
        <w:tc>
          <w:tcPr>
            <w:tcW w:w="851" w:type="dxa"/>
            <w:tcBorders>
              <w:top w:val="nil"/>
              <w:left w:val="nil"/>
              <w:bottom w:val="single" w:sz="4" w:space="0" w:color="auto"/>
              <w:right w:val="single" w:sz="4" w:space="0" w:color="auto"/>
            </w:tcBorders>
            <w:shd w:val="clear" w:color="auto" w:fill="auto"/>
            <w:noWrap/>
            <w:vAlign w:val="center"/>
            <w:hideMark/>
          </w:tcPr>
          <w:p w14:paraId="0992194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7,00</w:t>
            </w:r>
          </w:p>
        </w:tc>
        <w:tc>
          <w:tcPr>
            <w:tcW w:w="1276" w:type="dxa"/>
            <w:tcBorders>
              <w:top w:val="nil"/>
              <w:left w:val="nil"/>
              <w:bottom w:val="single" w:sz="4" w:space="0" w:color="auto"/>
              <w:right w:val="single" w:sz="4" w:space="0" w:color="auto"/>
            </w:tcBorders>
            <w:shd w:val="clear" w:color="auto" w:fill="auto"/>
            <w:noWrap/>
            <w:vAlign w:val="center"/>
            <w:hideMark/>
          </w:tcPr>
          <w:p w14:paraId="44E1705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70,63</w:t>
            </w:r>
          </w:p>
        </w:tc>
        <w:tc>
          <w:tcPr>
            <w:tcW w:w="1134" w:type="dxa"/>
            <w:tcBorders>
              <w:top w:val="nil"/>
              <w:left w:val="nil"/>
              <w:bottom w:val="single" w:sz="4" w:space="0" w:color="auto"/>
              <w:right w:val="single" w:sz="4" w:space="0" w:color="auto"/>
            </w:tcBorders>
            <w:shd w:val="clear" w:color="auto" w:fill="auto"/>
            <w:noWrap/>
            <w:vAlign w:val="center"/>
            <w:hideMark/>
          </w:tcPr>
          <w:p w14:paraId="179FC3D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-29,38</w:t>
            </w:r>
          </w:p>
        </w:tc>
        <w:tc>
          <w:tcPr>
            <w:tcW w:w="708" w:type="dxa"/>
            <w:tcBorders>
              <w:top w:val="nil"/>
              <w:left w:val="nil"/>
              <w:bottom w:val="single" w:sz="4" w:space="0" w:color="000000"/>
              <w:right w:val="single" w:sz="4" w:space="0" w:color="000000"/>
            </w:tcBorders>
            <w:shd w:val="clear" w:color="auto" w:fill="auto"/>
            <w:vAlign w:val="center"/>
            <w:hideMark/>
          </w:tcPr>
          <w:p w14:paraId="67293A8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426</w:t>
            </w:r>
          </w:p>
        </w:tc>
        <w:tc>
          <w:tcPr>
            <w:tcW w:w="993" w:type="dxa"/>
            <w:tcBorders>
              <w:top w:val="nil"/>
              <w:left w:val="nil"/>
              <w:bottom w:val="single" w:sz="4" w:space="0" w:color="auto"/>
              <w:right w:val="single" w:sz="4" w:space="0" w:color="auto"/>
            </w:tcBorders>
            <w:shd w:val="clear" w:color="auto" w:fill="auto"/>
            <w:noWrap/>
            <w:vAlign w:val="center"/>
            <w:hideMark/>
          </w:tcPr>
          <w:p w14:paraId="33B7B0C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64,00</w:t>
            </w:r>
          </w:p>
        </w:tc>
        <w:tc>
          <w:tcPr>
            <w:tcW w:w="992" w:type="dxa"/>
            <w:tcBorders>
              <w:top w:val="nil"/>
              <w:left w:val="nil"/>
              <w:bottom w:val="single" w:sz="4" w:space="0" w:color="auto"/>
              <w:right w:val="single" w:sz="4" w:space="0" w:color="auto"/>
            </w:tcBorders>
            <w:shd w:val="clear" w:color="auto" w:fill="auto"/>
            <w:noWrap/>
            <w:vAlign w:val="center"/>
            <w:hideMark/>
          </w:tcPr>
          <w:p w14:paraId="29048FD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84,19</w:t>
            </w:r>
          </w:p>
        </w:tc>
        <w:tc>
          <w:tcPr>
            <w:tcW w:w="992" w:type="dxa"/>
            <w:tcBorders>
              <w:top w:val="nil"/>
              <w:left w:val="nil"/>
              <w:bottom w:val="single" w:sz="4" w:space="0" w:color="auto"/>
              <w:right w:val="single" w:sz="4" w:space="0" w:color="auto"/>
            </w:tcBorders>
            <w:shd w:val="clear" w:color="auto" w:fill="auto"/>
            <w:noWrap/>
            <w:vAlign w:val="center"/>
            <w:hideMark/>
          </w:tcPr>
          <w:p w14:paraId="2F0E052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-15,81</w:t>
            </w:r>
          </w:p>
        </w:tc>
      </w:tr>
      <w:tr w:rsidR="0066583A" w:rsidRPr="004135FE" w14:paraId="581EC38F"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2ACBF22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6D15D01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2019</w:t>
            </w:r>
          </w:p>
        </w:tc>
        <w:tc>
          <w:tcPr>
            <w:tcW w:w="850" w:type="dxa"/>
            <w:tcBorders>
              <w:top w:val="nil"/>
              <w:left w:val="nil"/>
              <w:bottom w:val="single" w:sz="4" w:space="0" w:color="auto"/>
              <w:right w:val="single" w:sz="4" w:space="0" w:color="auto"/>
            </w:tcBorders>
            <w:shd w:val="clear" w:color="auto" w:fill="auto"/>
            <w:vAlign w:val="center"/>
            <w:hideMark/>
          </w:tcPr>
          <w:p w14:paraId="78DC908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737</w:t>
            </w:r>
          </w:p>
        </w:tc>
        <w:tc>
          <w:tcPr>
            <w:tcW w:w="992" w:type="dxa"/>
            <w:tcBorders>
              <w:top w:val="nil"/>
              <w:left w:val="nil"/>
              <w:bottom w:val="single" w:sz="4" w:space="0" w:color="auto"/>
              <w:right w:val="single" w:sz="4" w:space="0" w:color="auto"/>
            </w:tcBorders>
            <w:shd w:val="clear" w:color="auto" w:fill="auto"/>
            <w:noWrap/>
            <w:vAlign w:val="center"/>
            <w:hideMark/>
          </w:tcPr>
          <w:p w14:paraId="40A0FE8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78,00</w:t>
            </w:r>
          </w:p>
        </w:tc>
        <w:tc>
          <w:tcPr>
            <w:tcW w:w="1418" w:type="dxa"/>
            <w:tcBorders>
              <w:top w:val="nil"/>
              <w:left w:val="nil"/>
              <w:bottom w:val="single" w:sz="4" w:space="0" w:color="auto"/>
              <w:right w:val="single" w:sz="4" w:space="0" w:color="auto"/>
            </w:tcBorders>
            <w:shd w:val="clear" w:color="auto" w:fill="auto"/>
            <w:noWrap/>
            <w:vAlign w:val="center"/>
            <w:hideMark/>
          </w:tcPr>
          <w:p w14:paraId="7B51748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87,87</w:t>
            </w:r>
          </w:p>
        </w:tc>
        <w:tc>
          <w:tcPr>
            <w:tcW w:w="992" w:type="dxa"/>
            <w:tcBorders>
              <w:top w:val="nil"/>
              <w:left w:val="nil"/>
              <w:bottom w:val="single" w:sz="4" w:space="0" w:color="auto"/>
              <w:right w:val="single" w:sz="4" w:space="0" w:color="auto"/>
            </w:tcBorders>
            <w:shd w:val="clear" w:color="auto" w:fill="auto"/>
            <w:noWrap/>
            <w:vAlign w:val="center"/>
            <w:hideMark/>
          </w:tcPr>
          <w:p w14:paraId="7EEF758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-12,13</w:t>
            </w:r>
          </w:p>
        </w:tc>
        <w:tc>
          <w:tcPr>
            <w:tcW w:w="992" w:type="dxa"/>
            <w:tcBorders>
              <w:top w:val="nil"/>
              <w:left w:val="nil"/>
              <w:bottom w:val="single" w:sz="4" w:space="0" w:color="000000"/>
              <w:right w:val="single" w:sz="4" w:space="0" w:color="000000"/>
            </w:tcBorders>
            <w:shd w:val="clear" w:color="auto" w:fill="auto"/>
            <w:vAlign w:val="center"/>
            <w:hideMark/>
          </w:tcPr>
          <w:p w14:paraId="437D38E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295</w:t>
            </w:r>
          </w:p>
        </w:tc>
        <w:tc>
          <w:tcPr>
            <w:tcW w:w="851" w:type="dxa"/>
            <w:tcBorders>
              <w:top w:val="nil"/>
              <w:left w:val="nil"/>
              <w:bottom w:val="single" w:sz="4" w:space="0" w:color="auto"/>
              <w:right w:val="single" w:sz="4" w:space="0" w:color="auto"/>
            </w:tcBorders>
            <w:shd w:val="clear" w:color="auto" w:fill="auto"/>
            <w:noWrap/>
            <w:vAlign w:val="center"/>
            <w:hideMark/>
          </w:tcPr>
          <w:p w14:paraId="35FDB77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62,00</w:t>
            </w:r>
          </w:p>
        </w:tc>
        <w:tc>
          <w:tcPr>
            <w:tcW w:w="1276" w:type="dxa"/>
            <w:tcBorders>
              <w:top w:val="nil"/>
              <w:left w:val="nil"/>
              <w:bottom w:val="single" w:sz="4" w:space="0" w:color="auto"/>
              <w:right w:val="single" w:sz="4" w:space="0" w:color="auto"/>
            </w:tcBorders>
            <w:shd w:val="clear" w:color="auto" w:fill="auto"/>
            <w:noWrap/>
            <w:vAlign w:val="center"/>
            <w:hideMark/>
          </w:tcPr>
          <w:p w14:paraId="6173074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72,81</w:t>
            </w:r>
          </w:p>
        </w:tc>
        <w:tc>
          <w:tcPr>
            <w:tcW w:w="1134" w:type="dxa"/>
            <w:tcBorders>
              <w:top w:val="nil"/>
              <w:left w:val="nil"/>
              <w:bottom w:val="single" w:sz="4" w:space="0" w:color="auto"/>
              <w:right w:val="single" w:sz="4" w:space="0" w:color="auto"/>
            </w:tcBorders>
            <w:shd w:val="clear" w:color="auto" w:fill="auto"/>
            <w:noWrap/>
            <w:vAlign w:val="center"/>
            <w:hideMark/>
          </w:tcPr>
          <w:p w14:paraId="14EADC2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-27,19</w:t>
            </w:r>
          </w:p>
        </w:tc>
        <w:tc>
          <w:tcPr>
            <w:tcW w:w="708" w:type="dxa"/>
            <w:tcBorders>
              <w:top w:val="nil"/>
              <w:left w:val="nil"/>
              <w:bottom w:val="single" w:sz="4" w:space="0" w:color="000000"/>
              <w:right w:val="single" w:sz="4" w:space="0" w:color="000000"/>
            </w:tcBorders>
            <w:shd w:val="clear" w:color="auto" w:fill="auto"/>
            <w:vAlign w:val="center"/>
            <w:hideMark/>
          </w:tcPr>
          <w:p w14:paraId="110B8D5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442</w:t>
            </w:r>
          </w:p>
        </w:tc>
        <w:tc>
          <w:tcPr>
            <w:tcW w:w="993" w:type="dxa"/>
            <w:tcBorders>
              <w:top w:val="nil"/>
              <w:left w:val="nil"/>
              <w:bottom w:val="single" w:sz="4" w:space="0" w:color="auto"/>
              <w:right w:val="single" w:sz="4" w:space="0" w:color="auto"/>
            </w:tcBorders>
            <w:shd w:val="clear" w:color="auto" w:fill="auto"/>
            <w:noWrap/>
            <w:vAlign w:val="center"/>
            <w:hideMark/>
          </w:tcPr>
          <w:p w14:paraId="033A3B0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16,00</w:t>
            </w:r>
          </w:p>
        </w:tc>
        <w:tc>
          <w:tcPr>
            <w:tcW w:w="992" w:type="dxa"/>
            <w:tcBorders>
              <w:top w:val="nil"/>
              <w:left w:val="nil"/>
              <w:bottom w:val="single" w:sz="4" w:space="0" w:color="auto"/>
              <w:right w:val="single" w:sz="4" w:space="0" w:color="auto"/>
            </w:tcBorders>
            <w:shd w:val="clear" w:color="auto" w:fill="auto"/>
            <w:noWrap/>
            <w:vAlign w:val="center"/>
            <w:hideMark/>
          </w:tcPr>
          <w:p w14:paraId="6BF6DE5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99,07</w:t>
            </w:r>
          </w:p>
        </w:tc>
        <w:tc>
          <w:tcPr>
            <w:tcW w:w="992" w:type="dxa"/>
            <w:tcBorders>
              <w:top w:val="nil"/>
              <w:left w:val="nil"/>
              <w:bottom w:val="single" w:sz="4" w:space="0" w:color="auto"/>
              <w:right w:val="single" w:sz="4" w:space="0" w:color="auto"/>
            </w:tcBorders>
            <w:shd w:val="clear" w:color="auto" w:fill="auto"/>
            <w:noWrap/>
            <w:vAlign w:val="center"/>
            <w:hideMark/>
          </w:tcPr>
          <w:p w14:paraId="78BBCFC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-0,93</w:t>
            </w:r>
          </w:p>
        </w:tc>
      </w:tr>
      <w:tr w:rsidR="0066583A" w:rsidRPr="004135FE" w14:paraId="76066822"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2F411CB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6FF680A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2020</w:t>
            </w:r>
          </w:p>
        </w:tc>
        <w:tc>
          <w:tcPr>
            <w:tcW w:w="850" w:type="dxa"/>
            <w:tcBorders>
              <w:top w:val="nil"/>
              <w:left w:val="nil"/>
              <w:bottom w:val="single" w:sz="4" w:space="0" w:color="auto"/>
              <w:right w:val="single" w:sz="4" w:space="0" w:color="auto"/>
            </w:tcBorders>
            <w:shd w:val="clear" w:color="auto" w:fill="auto"/>
            <w:vAlign w:val="center"/>
            <w:hideMark/>
          </w:tcPr>
          <w:p w14:paraId="5EB3468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602</w:t>
            </w:r>
          </w:p>
        </w:tc>
        <w:tc>
          <w:tcPr>
            <w:tcW w:w="992" w:type="dxa"/>
            <w:tcBorders>
              <w:top w:val="nil"/>
              <w:left w:val="nil"/>
              <w:bottom w:val="single" w:sz="4" w:space="0" w:color="auto"/>
              <w:right w:val="single" w:sz="4" w:space="0" w:color="auto"/>
            </w:tcBorders>
            <w:shd w:val="clear" w:color="auto" w:fill="auto"/>
            <w:noWrap/>
            <w:vAlign w:val="center"/>
            <w:hideMark/>
          </w:tcPr>
          <w:p w14:paraId="1EA5DFF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-135,00</w:t>
            </w:r>
          </w:p>
        </w:tc>
        <w:tc>
          <w:tcPr>
            <w:tcW w:w="1418" w:type="dxa"/>
            <w:tcBorders>
              <w:top w:val="nil"/>
              <w:left w:val="nil"/>
              <w:bottom w:val="single" w:sz="4" w:space="0" w:color="auto"/>
              <w:right w:val="single" w:sz="4" w:space="0" w:color="auto"/>
            </w:tcBorders>
            <w:shd w:val="clear" w:color="auto" w:fill="auto"/>
            <w:noWrap/>
            <w:vAlign w:val="center"/>
            <w:hideMark/>
          </w:tcPr>
          <w:p w14:paraId="5C8D092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98,27</w:t>
            </w:r>
          </w:p>
        </w:tc>
        <w:tc>
          <w:tcPr>
            <w:tcW w:w="992" w:type="dxa"/>
            <w:tcBorders>
              <w:top w:val="nil"/>
              <w:left w:val="nil"/>
              <w:bottom w:val="single" w:sz="4" w:space="0" w:color="auto"/>
              <w:right w:val="single" w:sz="4" w:space="0" w:color="auto"/>
            </w:tcBorders>
            <w:shd w:val="clear" w:color="auto" w:fill="auto"/>
            <w:noWrap/>
            <w:vAlign w:val="center"/>
            <w:hideMark/>
          </w:tcPr>
          <w:p w14:paraId="29A4E68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-1,73</w:t>
            </w:r>
          </w:p>
        </w:tc>
        <w:tc>
          <w:tcPr>
            <w:tcW w:w="992" w:type="dxa"/>
            <w:tcBorders>
              <w:top w:val="nil"/>
              <w:left w:val="nil"/>
              <w:bottom w:val="single" w:sz="4" w:space="0" w:color="000000"/>
              <w:right w:val="single" w:sz="4" w:space="0" w:color="000000"/>
            </w:tcBorders>
            <w:shd w:val="clear" w:color="auto" w:fill="auto"/>
            <w:vAlign w:val="center"/>
            <w:hideMark/>
          </w:tcPr>
          <w:p w14:paraId="362C75D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256</w:t>
            </w:r>
          </w:p>
        </w:tc>
        <w:tc>
          <w:tcPr>
            <w:tcW w:w="851" w:type="dxa"/>
            <w:tcBorders>
              <w:top w:val="nil"/>
              <w:left w:val="nil"/>
              <w:bottom w:val="single" w:sz="4" w:space="0" w:color="auto"/>
              <w:right w:val="single" w:sz="4" w:space="0" w:color="auto"/>
            </w:tcBorders>
            <w:shd w:val="clear" w:color="auto" w:fill="auto"/>
            <w:noWrap/>
            <w:vAlign w:val="center"/>
            <w:hideMark/>
          </w:tcPr>
          <w:p w14:paraId="62B1F77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-39,00</w:t>
            </w:r>
          </w:p>
        </w:tc>
        <w:tc>
          <w:tcPr>
            <w:tcW w:w="1276" w:type="dxa"/>
            <w:tcBorders>
              <w:top w:val="nil"/>
              <w:left w:val="nil"/>
              <w:bottom w:val="single" w:sz="4" w:space="0" w:color="auto"/>
              <w:right w:val="single" w:sz="4" w:space="0" w:color="auto"/>
            </w:tcBorders>
            <w:shd w:val="clear" w:color="auto" w:fill="auto"/>
            <w:noWrap/>
            <w:vAlign w:val="center"/>
            <w:hideMark/>
          </w:tcPr>
          <w:p w14:paraId="6070B20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92,19</w:t>
            </w:r>
          </w:p>
        </w:tc>
        <w:tc>
          <w:tcPr>
            <w:tcW w:w="1134" w:type="dxa"/>
            <w:tcBorders>
              <w:top w:val="nil"/>
              <w:left w:val="nil"/>
              <w:bottom w:val="single" w:sz="4" w:space="0" w:color="auto"/>
              <w:right w:val="single" w:sz="4" w:space="0" w:color="auto"/>
            </w:tcBorders>
            <w:shd w:val="clear" w:color="auto" w:fill="auto"/>
            <w:noWrap/>
            <w:vAlign w:val="center"/>
            <w:hideMark/>
          </w:tcPr>
          <w:p w14:paraId="5E6AB02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-7,81</w:t>
            </w:r>
          </w:p>
        </w:tc>
        <w:tc>
          <w:tcPr>
            <w:tcW w:w="708" w:type="dxa"/>
            <w:tcBorders>
              <w:top w:val="nil"/>
              <w:left w:val="nil"/>
              <w:bottom w:val="single" w:sz="4" w:space="0" w:color="000000"/>
              <w:right w:val="single" w:sz="4" w:space="0" w:color="000000"/>
            </w:tcBorders>
            <w:shd w:val="clear" w:color="auto" w:fill="auto"/>
            <w:vAlign w:val="center"/>
            <w:hideMark/>
          </w:tcPr>
          <w:p w14:paraId="3DF49A7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346</w:t>
            </w:r>
          </w:p>
        </w:tc>
        <w:tc>
          <w:tcPr>
            <w:tcW w:w="993" w:type="dxa"/>
            <w:tcBorders>
              <w:top w:val="nil"/>
              <w:left w:val="nil"/>
              <w:bottom w:val="single" w:sz="4" w:space="0" w:color="auto"/>
              <w:right w:val="single" w:sz="4" w:space="0" w:color="auto"/>
            </w:tcBorders>
            <w:shd w:val="clear" w:color="auto" w:fill="auto"/>
            <w:noWrap/>
            <w:vAlign w:val="center"/>
            <w:hideMark/>
          </w:tcPr>
          <w:p w14:paraId="6BD5A57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-96,00</w:t>
            </w:r>
          </w:p>
        </w:tc>
        <w:tc>
          <w:tcPr>
            <w:tcW w:w="992" w:type="dxa"/>
            <w:tcBorders>
              <w:top w:val="nil"/>
              <w:left w:val="nil"/>
              <w:bottom w:val="single" w:sz="4" w:space="0" w:color="auto"/>
              <w:right w:val="single" w:sz="4" w:space="0" w:color="auto"/>
            </w:tcBorders>
            <w:shd w:val="clear" w:color="auto" w:fill="auto"/>
            <w:noWrap/>
            <w:vAlign w:val="center"/>
            <w:hideMark/>
          </w:tcPr>
          <w:p w14:paraId="7E39737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102,79</w:t>
            </w:r>
          </w:p>
        </w:tc>
        <w:tc>
          <w:tcPr>
            <w:tcW w:w="992" w:type="dxa"/>
            <w:tcBorders>
              <w:top w:val="nil"/>
              <w:left w:val="nil"/>
              <w:bottom w:val="single" w:sz="4" w:space="0" w:color="auto"/>
              <w:right w:val="single" w:sz="4" w:space="0" w:color="auto"/>
            </w:tcBorders>
            <w:shd w:val="clear" w:color="auto" w:fill="auto"/>
            <w:noWrap/>
            <w:vAlign w:val="center"/>
            <w:hideMark/>
          </w:tcPr>
          <w:p w14:paraId="7D10512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2,79</w:t>
            </w:r>
          </w:p>
        </w:tc>
      </w:tr>
      <w:tr w:rsidR="0066583A" w:rsidRPr="004135FE" w14:paraId="7521AE99"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6ED5E34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1E7BF4A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2021</w:t>
            </w:r>
          </w:p>
        </w:tc>
        <w:tc>
          <w:tcPr>
            <w:tcW w:w="850" w:type="dxa"/>
            <w:tcBorders>
              <w:top w:val="nil"/>
              <w:left w:val="nil"/>
              <w:bottom w:val="nil"/>
              <w:right w:val="nil"/>
            </w:tcBorders>
            <w:shd w:val="clear" w:color="auto" w:fill="auto"/>
            <w:noWrap/>
            <w:vAlign w:val="center"/>
            <w:hideMark/>
          </w:tcPr>
          <w:p w14:paraId="1466766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750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9D81F6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148,00</w:t>
            </w:r>
          </w:p>
        </w:tc>
        <w:tc>
          <w:tcPr>
            <w:tcW w:w="1418" w:type="dxa"/>
            <w:tcBorders>
              <w:top w:val="nil"/>
              <w:left w:val="nil"/>
              <w:bottom w:val="single" w:sz="4" w:space="0" w:color="auto"/>
              <w:right w:val="single" w:sz="4" w:space="0" w:color="auto"/>
            </w:tcBorders>
            <w:shd w:val="clear" w:color="auto" w:fill="auto"/>
            <w:noWrap/>
            <w:vAlign w:val="center"/>
            <w:hideMark/>
          </w:tcPr>
          <w:p w14:paraId="333AC80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80,27</w:t>
            </w:r>
          </w:p>
        </w:tc>
        <w:tc>
          <w:tcPr>
            <w:tcW w:w="992" w:type="dxa"/>
            <w:tcBorders>
              <w:top w:val="nil"/>
              <w:left w:val="nil"/>
              <w:bottom w:val="single" w:sz="4" w:space="0" w:color="auto"/>
              <w:right w:val="single" w:sz="4" w:space="0" w:color="auto"/>
            </w:tcBorders>
            <w:shd w:val="clear" w:color="auto" w:fill="auto"/>
            <w:noWrap/>
            <w:vAlign w:val="center"/>
            <w:hideMark/>
          </w:tcPr>
          <w:p w14:paraId="7117B0A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-19,73</w:t>
            </w:r>
          </w:p>
        </w:tc>
        <w:tc>
          <w:tcPr>
            <w:tcW w:w="992" w:type="dxa"/>
            <w:tcBorders>
              <w:top w:val="nil"/>
              <w:left w:val="nil"/>
              <w:bottom w:val="single" w:sz="4" w:space="0" w:color="000000"/>
              <w:right w:val="single" w:sz="4" w:space="0" w:color="000000"/>
            </w:tcBorders>
            <w:shd w:val="clear" w:color="auto" w:fill="auto"/>
            <w:vAlign w:val="center"/>
            <w:hideMark/>
          </w:tcPr>
          <w:p w14:paraId="34E175F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320</w:t>
            </w:r>
          </w:p>
        </w:tc>
        <w:tc>
          <w:tcPr>
            <w:tcW w:w="851" w:type="dxa"/>
            <w:tcBorders>
              <w:top w:val="nil"/>
              <w:left w:val="nil"/>
              <w:bottom w:val="single" w:sz="4" w:space="0" w:color="auto"/>
              <w:right w:val="single" w:sz="4" w:space="0" w:color="auto"/>
            </w:tcBorders>
            <w:shd w:val="clear" w:color="auto" w:fill="auto"/>
            <w:noWrap/>
            <w:vAlign w:val="center"/>
            <w:hideMark/>
          </w:tcPr>
          <w:p w14:paraId="4876BF6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64,00</w:t>
            </w:r>
          </w:p>
        </w:tc>
        <w:tc>
          <w:tcPr>
            <w:tcW w:w="1276" w:type="dxa"/>
            <w:tcBorders>
              <w:top w:val="nil"/>
              <w:left w:val="nil"/>
              <w:bottom w:val="single" w:sz="4" w:space="0" w:color="auto"/>
              <w:right w:val="single" w:sz="4" w:space="0" w:color="auto"/>
            </w:tcBorders>
            <w:shd w:val="clear" w:color="auto" w:fill="auto"/>
            <w:noWrap/>
            <w:vAlign w:val="center"/>
            <w:hideMark/>
          </w:tcPr>
          <w:p w14:paraId="0E9A6B6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80,00</w:t>
            </w:r>
          </w:p>
        </w:tc>
        <w:tc>
          <w:tcPr>
            <w:tcW w:w="1134" w:type="dxa"/>
            <w:tcBorders>
              <w:top w:val="nil"/>
              <w:left w:val="nil"/>
              <w:bottom w:val="single" w:sz="4" w:space="0" w:color="auto"/>
              <w:right w:val="single" w:sz="4" w:space="0" w:color="auto"/>
            </w:tcBorders>
            <w:shd w:val="clear" w:color="auto" w:fill="auto"/>
            <w:noWrap/>
            <w:vAlign w:val="center"/>
            <w:hideMark/>
          </w:tcPr>
          <w:p w14:paraId="551707B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-20,00</w:t>
            </w:r>
          </w:p>
        </w:tc>
        <w:tc>
          <w:tcPr>
            <w:tcW w:w="708" w:type="dxa"/>
            <w:tcBorders>
              <w:top w:val="nil"/>
              <w:left w:val="nil"/>
              <w:bottom w:val="single" w:sz="4" w:space="0" w:color="000000"/>
              <w:right w:val="single" w:sz="4" w:space="0" w:color="000000"/>
            </w:tcBorders>
            <w:shd w:val="clear" w:color="auto" w:fill="auto"/>
            <w:vAlign w:val="center"/>
            <w:hideMark/>
          </w:tcPr>
          <w:p w14:paraId="6F90B5C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430</w:t>
            </w:r>
          </w:p>
        </w:tc>
        <w:tc>
          <w:tcPr>
            <w:tcW w:w="993" w:type="dxa"/>
            <w:tcBorders>
              <w:top w:val="nil"/>
              <w:left w:val="nil"/>
              <w:bottom w:val="single" w:sz="4" w:space="0" w:color="auto"/>
              <w:right w:val="single" w:sz="4" w:space="0" w:color="auto"/>
            </w:tcBorders>
            <w:shd w:val="clear" w:color="auto" w:fill="auto"/>
            <w:noWrap/>
            <w:vAlign w:val="center"/>
            <w:hideMark/>
          </w:tcPr>
          <w:p w14:paraId="1D9A5E2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84,00</w:t>
            </w:r>
          </w:p>
        </w:tc>
        <w:tc>
          <w:tcPr>
            <w:tcW w:w="992" w:type="dxa"/>
            <w:tcBorders>
              <w:top w:val="nil"/>
              <w:left w:val="nil"/>
              <w:bottom w:val="single" w:sz="4" w:space="0" w:color="auto"/>
              <w:right w:val="single" w:sz="4" w:space="0" w:color="auto"/>
            </w:tcBorders>
            <w:shd w:val="clear" w:color="auto" w:fill="auto"/>
            <w:noWrap/>
            <w:vAlign w:val="center"/>
            <w:hideMark/>
          </w:tcPr>
          <w:p w14:paraId="461A9CF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80,47</w:t>
            </w:r>
          </w:p>
        </w:tc>
        <w:tc>
          <w:tcPr>
            <w:tcW w:w="992" w:type="dxa"/>
            <w:tcBorders>
              <w:top w:val="nil"/>
              <w:left w:val="nil"/>
              <w:bottom w:val="single" w:sz="4" w:space="0" w:color="auto"/>
              <w:right w:val="single" w:sz="4" w:space="0" w:color="auto"/>
            </w:tcBorders>
            <w:shd w:val="clear" w:color="auto" w:fill="auto"/>
            <w:noWrap/>
            <w:vAlign w:val="center"/>
            <w:hideMark/>
          </w:tcPr>
          <w:p w14:paraId="06047C5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-19,53</w:t>
            </w:r>
          </w:p>
        </w:tc>
      </w:tr>
      <w:tr w:rsidR="00B16459" w:rsidRPr="004135FE" w14:paraId="315DEA65"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283423D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000000" w:fill="FFFFFF"/>
            <w:noWrap/>
            <w:vAlign w:val="center"/>
            <w:hideMark/>
          </w:tcPr>
          <w:p w14:paraId="7350878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среднее</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736D749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537,20</w:t>
            </w:r>
          </w:p>
        </w:tc>
        <w:tc>
          <w:tcPr>
            <w:tcW w:w="992" w:type="dxa"/>
            <w:tcBorders>
              <w:top w:val="nil"/>
              <w:left w:val="nil"/>
              <w:bottom w:val="single" w:sz="4" w:space="0" w:color="auto"/>
              <w:right w:val="single" w:sz="4" w:space="0" w:color="auto"/>
            </w:tcBorders>
            <w:shd w:val="clear" w:color="000000" w:fill="FFFFFF"/>
            <w:noWrap/>
            <w:vAlign w:val="center"/>
            <w:hideMark/>
          </w:tcPr>
          <w:p w14:paraId="491E46E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40,89</w:t>
            </w:r>
          </w:p>
        </w:tc>
        <w:tc>
          <w:tcPr>
            <w:tcW w:w="1418" w:type="dxa"/>
            <w:tcBorders>
              <w:top w:val="nil"/>
              <w:left w:val="nil"/>
              <w:bottom w:val="single" w:sz="4" w:space="0" w:color="auto"/>
              <w:right w:val="single" w:sz="4" w:space="0" w:color="auto"/>
            </w:tcBorders>
            <w:shd w:val="clear" w:color="000000" w:fill="FFFFFF"/>
            <w:noWrap/>
            <w:vAlign w:val="center"/>
            <w:hideMark/>
          </w:tcPr>
          <w:p w14:paraId="2991FBF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107,78</w:t>
            </w:r>
          </w:p>
        </w:tc>
        <w:tc>
          <w:tcPr>
            <w:tcW w:w="992" w:type="dxa"/>
            <w:tcBorders>
              <w:top w:val="nil"/>
              <w:left w:val="nil"/>
              <w:bottom w:val="single" w:sz="4" w:space="0" w:color="auto"/>
              <w:right w:val="single" w:sz="4" w:space="0" w:color="auto"/>
            </w:tcBorders>
            <w:shd w:val="clear" w:color="000000" w:fill="FFFFFF"/>
            <w:noWrap/>
            <w:vAlign w:val="center"/>
            <w:hideMark/>
          </w:tcPr>
          <w:p w14:paraId="607CA8A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7,78</w:t>
            </w:r>
          </w:p>
        </w:tc>
        <w:tc>
          <w:tcPr>
            <w:tcW w:w="992" w:type="dxa"/>
            <w:tcBorders>
              <w:top w:val="nil"/>
              <w:left w:val="nil"/>
              <w:bottom w:val="single" w:sz="4" w:space="0" w:color="auto"/>
              <w:right w:val="single" w:sz="4" w:space="0" w:color="auto"/>
            </w:tcBorders>
            <w:shd w:val="clear" w:color="000000" w:fill="FFFFFF"/>
            <w:noWrap/>
            <w:vAlign w:val="center"/>
            <w:hideMark/>
          </w:tcPr>
          <w:p w14:paraId="295EA15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205,60</w:t>
            </w:r>
          </w:p>
        </w:tc>
        <w:tc>
          <w:tcPr>
            <w:tcW w:w="851" w:type="dxa"/>
            <w:tcBorders>
              <w:top w:val="nil"/>
              <w:left w:val="nil"/>
              <w:bottom w:val="single" w:sz="4" w:space="0" w:color="auto"/>
              <w:right w:val="single" w:sz="4" w:space="0" w:color="auto"/>
            </w:tcBorders>
            <w:shd w:val="clear" w:color="000000" w:fill="FFFFFF"/>
            <w:noWrap/>
            <w:vAlign w:val="center"/>
            <w:hideMark/>
          </w:tcPr>
          <w:p w14:paraId="2E5FCFC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23,00</w:t>
            </w:r>
          </w:p>
        </w:tc>
        <w:tc>
          <w:tcPr>
            <w:tcW w:w="1276" w:type="dxa"/>
            <w:tcBorders>
              <w:top w:val="nil"/>
              <w:left w:val="nil"/>
              <w:bottom w:val="single" w:sz="4" w:space="0" w:color="auto"/>
              <w:right w:val="single" w:sz="4" w:space="0" w:color="auto"/>
            </w:tcBorders>
            <w:shd w:val="clear" w:color="000000" w:fill="FFFFFF"/>
            <w:noWrap/>
            <w:vAlign w:val="center"/>
            <w:hideMark/>
          </w:tcPr>
          <w:p w14:paraId="2CB220D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112,26</w:t>
            </w:r>
          </w:p>
        </w:tc>
        <w:tc>
          <w:tcPr>
            <w:tcW w:w="1134" w:type="dxa"/>
            <w:tcBorders>
              <w:top w:val="nil"/>
              <w:left w:val="nil"/>
              <w:bottom w:val="single" w:sz="4" w:space="0" w:color="auto"/>
              <w:right w:val="single" w:sz="4" w:space="0" w:color="auto"/>
            </w:tcBorders>
            <w:shd w:val="clear" w:color="000000" w:fill="FFFFFF"/>
            <w:noWrap/>
            <w:vAlign w:val="center"/>
            <w:hideMark/>
          </w:tcPr>
          <w:p w14:paraId="48A1B58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12,26</w:t>
            </w:r>
          </w:p>
        </w:tc>
        <w:tc>
          <w:tcPr>
            <w:tcW w:w="708" w:type="dxa"/>
            <w:tcBorders>
              <w:top w:val="nil"/>
              <w:left w:val="nil"/>
              <w:bottom w:val="single" w:sz="4" w:space="0" w:color="auto"/>
              <w:right w:val="single" w:sz="4" w:space="0" w:color="auto"/>
            </w:tcBorders>
            <w:shd w:val="clear" w:color="000000" w:fill="FFFFFF"/>
            <w:noWrap/>
            <w:vAlign w:val="center"/>
            <w:hideMark/>
          </w:tcPr>
          <w:p w14:paraId="7EBD364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331,60</w:t>
            </w:r>
          </w:p>
        </w:tc>
        <w:tc>
          <w:tcPr>
            <w:tcW w:w="993" w:type="dxa"/>
            <w:tcBorders>
              <w:top w:val="nil"/>
              <w:left w:val="nil"/>
              <w:bottom w:val="single" w:sz="4" w:space="0" w:color="auto"/>
              <w:right w:val="single" w:sz="4" w:space="0" w:color="auto"/>
            </w:tcBorders>
            <w:shd w:val="clear" w:color="000000" w:fill="FFFFFF"/>
            <w:noWrap/>
            <w:vAlign w:val="center"/>
            <w:hideMark/>
          </w:tcPr>
          <w:p w14:paraId="3BD8643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17,89</w:t>
            </w:r>
          </w:p>
        </w:tc>
        <w:tc>
          <w:tcPr>
            <w:tcW w:w="992" w:type="dxa"/>
            <w:tcBorders>
              <w:top w:val="nil"/>
              <w:left w:val="nil"/>
              <w:bottom w:val="single" w:sz="4" w:space="0" w:color="auto"/>
              <w:right w:val="single" w:sz="4" w:space="0" w:color="auto"/>
            </w:tcBorders>
            <w:shd w:val="clear" w:color="000000" w:fill="FFFFFF"/>
            <w:noWrap/>
            <w:vAlign w:val="center"/>
            <w:hideMark/>
          </w:tcPr>
          <w:p w14:paraId="778A4A3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105,35</w:t>
            </w:r>
          </w:p>
        </w:tc>
        <w:tc>
          <w:tcPr>
            <w:tcW w:w="992" w:type="dxa"/>
            <w:tcBorders>
              <w:top w:val="nil"/>
              <w:left w:val="nil"/>
              <w:bottom w:val="single" w:sz="4" w:space="0" w:color="auto"/>
              <w:right w:val="single" w:sz="4" w:space="0" w:color="auto"/>
            </w:tcBorders>
            <w:shd w:val="clear" w:color="000000" w:fill="FFFFFF"/>
            <w:noWrap/>
            <w:vAlign w:val="center"/>
            <w:hideMark/>
          </w:tcPr>
          <w:p w14:paraId="0F4DA92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5,35</w:t>
            </w:r>
          </w:p>
        </w:tc>
      </w:tr>
      <w:tr w:rsidR="0066583A" w:rsidRPr="004135FE" w14:paraId="135DABCC" w14:textId="77777777" w:rsidTr="00E2614D">
        <w:trPr>
          <w:trHeight w:val="283"/>
        </w:trPr>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AF6004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993" w:type="dxa"/>
            <w:tcBorders>
              <w:top w:val="nil"/>
              <w:left w:val="nil"/>
              <w:bottom w:val="single" w:sz="4" w:space="0" w:color="auto"/>
              <w:right w:val="single" w:sz="4" w:space="0" w:color="auto"/>
            </w:tcBorders>
            <w:shd w:val="clear" w:color="auto" w:fill="auto"/>
            <w:noWrap/>
            <w:vAlign w:val="center"/>
            <w:hideMark/>
          </w:tcPr>
          <w:p w14:paraId="4A74961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2012</w:t>
            </w:r>
          </w:p>
        </w:tc>
        <w:tc>
          <w:tcPr>
            <w:tcW w:w="850" w:type="dxa"/>
            <w:tcBorders>
              <w:top w:val="nil"/>
              <w:left w:val="nil"/>
              <w:bottom w:val="single" w:sz="4" w:space="0" w:color="auto"/>
              <w:right w:val="single" w:sz="4" w:space="0" w:color="auto"/>
            </w:tcBorders>
            <w:shd w:val="clear" w:color="auto" w:fill="auto"/>
            <w:vAlign w:val="center"/>
            <w:hideMark/>
          </w:tcPr>
          <w:p w14:paraId="75AF513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325</w:t>
            </w:r>
          </w:p>
        </w:tc>
        <w:tc>
          <w:tcPr>
            <w:tcW w:w="992" w:type="dxa"/>
            <w:tcBorders>
              <w:top w:val="nil"/>
              <w:left w:val="nil"/>
              <w:bottom w:val="single" w:sz="4" w:space="0" w:color="auto"/>
              <w:right w:val="single" w:sz="4" w:space="0" w:color="auto"/>
            </w:tcBorders>
            <w:shd w:val="clear" w:color="auto" w:fill="auto"/>
            <w:noWrap/>
            <w:vAlign w:val="center"/>
            <w:hideMark/>
          </w:tcPr>
          <w:p w14:paraId="61CB88CA" w14:textId="2CC48E4D" w:rsidR="0066583A" w:rsidRPr="004135FE" w:rsidRDefault="00077E0F"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418" w:type="dxa"/>
            <w:tcBorders>
              <w:top w:val="nil"/>
              <w:left w:val="nil"/>
              <w:bottom w:val="single" w:sz="4" w:space="0" w:color="auto"/>
              <w:right w:val="single" w:sz="4" w:space="0" w:color="auto"/>
            </w:tcBorders>
            <w:shd w:val="clear" w:color="auto" w:fill="auto"/>
            <w:noWrap/>
            <w:vAlign w:val="center"/>
            <w:hideMark/>
          </w:tcPr>
          <w:p w14:paraId="584B971B" w14:textId="0B93FB50" w:rsidR="0066583A" w:rsidRPr="004135FE" w:rsidRDefault="00077E0F"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auto"/>
              <w:right w:val="single" w:sz="4" w:space="0" w:color="auto"/>
            </w:tcBorders>
            <w:shd w:val="clear" w:color="auto" w:fill="auto"/>
            <w:noWrap/>
            <w:vAlign w:val="center"/>
            <w:hideMark/>
          </w:tcPr>
          <w:p w14:paraId="66F0CBF6" w14:textId="471CEFA6" w:rsidR="0066583A" w:rsidRPr="004135FE" w:rsidRDefault="00077E0F"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000000"/>
              <w:right w:val="single" w:sz="4" w:space="0" w:color="000000"/>
            </w:tcBorders>
            <w:shd w:val="clear" w:color="auto" w:fill="auto"/>
            <w:vAlign w:val="center"/>
            <w:hideMark/>
          </w:tcPr>
          <w:p w14:paraId="3ECD7E7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116</w:t>
            </w:r>
          </w:p>
        </w:tc>
        <w:tc>
          <w:tcPr>
            <w:tcW w:w="851" w:type="dxa"/>
            <w:tcBorders>
              <w:top w:val="nil"/>
              <w:left w:val="nil"/>
              <w:bottom w:val="single" w:sz="4" w:space="0" w:color="auto"/>
              <w:right w:val="single" w:sz="4" w:space="0" w:color="auto"/>
            </w:tcBorders>
            <w:shd w:val="clear" w:color="auto" w:fill="auto"/>
            <w:noWrap/>
            <w:vAlign w:val="center"/>
            <w:hideMark/>
          </w:tcPr>
          <w:p w14:paraId="6C78D2B3" w14:textId="3C228700" w:rsidR="0066583A" w:rsidRPr="004135FE" w:rsidRDefault="00077E0F"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276" w:type="dxa"/>
            <w:tcBorders>
              <w:top w:val="nil"/>
              <w:left w:val="nil"/>
              <w:bottom w:val="single" w:sz="4" w:space="0" w:color="auto"/>
              <w:right w:val="single" w:sz="4" w:space="0" w:color="auto"/>
            </w:tcBorders>
            <w:shd w:val="clear" w:color="auto" w:fill="auto"/>
            <w:noWrap/>
            <w:vAlign w:val="center"/>
            <w:hideMark/>
          </w:tcPr>
          <w:p w14:paraId="7237FD75" w14:textId="13A1E0B9" w:rsidR="0066583A" w:rsidRPr="004135FE" w:rsidRDefault="00077E0F"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134" w:type="dxa"/>
            <w:tcBorders>
              <w:top w:val="nil"/>
              <w:left w:val="nil"/>
              <w:bottom w:val="single" w:sz="4" w:space="0" w:color="auto"/>
              <w:right w:val="single" w:sz="4" w:space="0" w:color="auto"/>
            </w:tcBorders>
            <w:shd w:val="clear" w:color="auto" w:fill="auto"/>
            <w:noWrap/>
            <w:vAlign w:val="center"/>
            <w:hideMark/>
          </w:tcPr>
          <w:p w14:paraId="69036903" w14:textId="4436C4E4" w:rsidR="0066583A" w:rsidRPr="004135FE" w:rsidRDefault="00077E0F"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708" w:type="dxa"/>
            <w:tcBorders>
              <w:top w:val="nil"/>
              <w:left w:val="nil"/>
              <w:bottom w:val="single" w:sz="4" w:space="0" w:color="000000"/>
              <w:right w:val="single" w:sz="4" w:space="0" w:color="000000"/>
            </w:tcBorders>
            <w:shd w:val="clear" w:color="auto" w:fill="auto"/>
            <w:vAlign w:val="center"/>
            <w:hideMark/>
          </w:tcPr>
          <w:p w14:paraId="42E08D8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209</w:t>
            </w:r>
          </w:p>
        </w:tc>
        <w:tc>
          <w:tcPr>
            <w:tcW w:w="993" w:type="dxa"/>
            <w:tcBorders>
              <w:top w:val="nil"/>
              <w:left w:val="nil"/>
              <w:bottom w:val="single" w:sz="4" w:space="0" w:color="auto"/>
              <w:right w:val="single" w:sz="4" w:space="0" w:color="auto"/>
            </w:tcBorders>
            <w:shd w:val="clear" w:color="auto" w:fill="auto"/>
            <w:noWrap/>
            <w:vAlign w:val="center"/>
            <w:hideMark/>
          </w:tcPr>
          <w:p w14:paraId="3BA1598B" w14:textId="042C34B3" w:rsidR="0066583A" w:rsidRPr="004135FE" w:rsidRDefault="00077E0F"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auto"/>
              <w:right w:val="single" w:sz="4" w:space="0" w:color="auto"/>
            </w:tcBorders>
            <w:shd w:val="clear" w:color="auto" w:fill="auto"/>
            <w:noWrap/>
            <w:vAlign w:val="center"/>
            <w:hideMark/>
          </w:tcPr>
          <w:p w14:paraId="37F4EE82" w14:textId="2EEE70A6" w:rsidR="0066583A" w:rsidRPr="004135FE" w:rsidRDefault="00077E0F"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auto"/>
              <w:right w:val="single" w:sz="4" w:space="0" w:color="auto"/>
            </w:tcBorders>
            <w:shd w:val="clear" w:color="auto" w:fill="auto"/>
            <w:noWrap/>
            <w:vAlign w:val="center"/>
            <w:hideMark/>
          </w:tcPr>
          <w:p w14:paraId="4A6EAFDE" w14:textId="0C645DEF" w:rsidR="0066583A" w:rsidRPr="004135FE" w:rsidRDefault="00077E0F"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66583A" w:rsidRPr="004135FE" w14:paraId="5E3D0633"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0B9463E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56C9C15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2013</w:t>
            </w:r>
          </w:p>
        </w:tc>
        <w:tc>
          <w:tcPr>
            <w:tcW w:w="850" w:type="dxa"/>
            <w:tcBorders>
              <w:top w:val="nil"/>
              <w:left w:val="nil"/>
              <w:bottom w:val="single" w:sz="4" w:space="0" w:color="auto"/>
              <w:right w:val="single" w:sz="4" w:space="0" w:color="auto"/>
            </w:tcBorders>
            <w:shd w:val="clear" w:color="auto" w:fill="auto"/>
            <w:vAlign w:val="center"/>
            <w:hideMark/>
          </w:tcPr>
          <w:p w14:paraId="150A8BA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308</w:t>
            </w:r>
          </w:p>
        </w:tc>
        <w:tc>
          <w:tcPr>
            <w:tcW w:w="992" w:type="dxa"/>
            <w:tcBorders>
              <w:top w:val="nil"/>
              <w:left w:val="nil"/>
              <w:bottom w:val="single" w:sz="4" w:space="0" w:color="auto"/>
              <w:right w:val="single" w:sz="4" w:space="0" w:color="auto"/>
            </w:tcBorders>
            <w:shd w:val="clear" w:color="auto" w:fill="auto"/>
            <w:noWrap/>
            <w:vAlign w:val="center"/>
            <w:hideMark/>
          </w:tcPr>
          <w:p w14:paraId="509B90B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-17,00</w:t>
            </w:r>
          </w:p>
        </w:tc>
        <w:tc>
          <w:tcPr>
            <w:tcW w:w="1418" w:type="dxa"/>
            <w:tcBorders>
              <w:top w:val="nil"/>
              <w:left w:val="nil"/>
              <w:bottom w:val="single" w:sz="4" w:space="0" w:color="auto"/>
              <w:right w:val="single" w:sz="4" w:space="0" w:color="auto"/>
            </w:tcBorders>
            <w:shd w:val="clear" w:color="auto" w:fill="auto"/>
            <w:noWrap/>
            <w:vAlign w:val="center"/>
            <w:hideMark/>
          </w:tcPr>
          <w:p w14:paraId="7B0B34D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47,72</w:t>
            </w:r>
          </w:p>
        </w:tc>
        <w:tc>
          <w:tcPr>
            <w:tcW w:w="992" w:type="dxa"/>
            <w:tcBorders>
              <w:top w:val="nil"/>
              <w:left w:val="nil"/>
              <w:bottom w:val="single" w:sz="4" w:space="0" w:color="auto"/>
              <w:right w:val="single" w:sz="4" w:space="0" w:color="auto"/>
            </w:tcBorders>
            <w:shd w:val="clear" w:color="auto" w:fill="auto"/>
            <w:noWrap/>
            <w:vAlign w:val="center"/>
            <w:hideMark/>
          </w:tcPr>
          <w:p w14:paraId="77F6E1B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-52,28</w:t>
            </w:r>
          </w:p>
        </w:tc>
        <w:tc>
          <w:tcPr>
            <w:tcW w:w="992" w:type="dxa"/>
            <w:tcBorders>
              <w:top w:val="nil"/>
              <w:left w:val="nil"/>
              <w:bottom w:val="single" w:sz="4" w:space="0" w:color="000000"/>
              <w:right w:val="single" w:sz="4" w:space="0" w:color="000000"/>
            </w:tcBorders>
            <w:shd w:val="clear" w:color="auto" w:fill="auto"/>
            <w:vAlign w:val="center"/>
            <w:hideMark/>
          </w:tcPr>
          <w:p w14:paraId="553DF99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103</w:t>
            </w:r>
          </w:p>
        </w:tc>
        <w:tc>
          <w:tcPr>
            <w:tcW w:w="851" w:type="dxa"/>
            <w:tcBorders>
              <w:top w:val="nil"/>
              <w:left w:val="nil"/>
              <w:bottom w:val="single" w:sz="4" w:space="0" w:color="auto"/>
              <w:right w:val="single" w:sz="4" w:space="0" w:color="auto"/>
            </w:tcBorders>
            <w:shd w:val="clear" w:color="auto" w:fill="auto"/>
            <w:noWrap/>
            <w:vAlign w:val="center"/>
            <w:hideMark/>
          </w:tcPr>
          <w:p w14:paraId="459C835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-13,00</w:t>
            </w:r>
          </w:p>
        </w:tc>
        <w:tc>
          <w:tcPr>
            <w:tcW w:w="1276" w:type="dxa"/>
            <w:tcBorders>
              <w:top w:val="nil"/>
              <w:left w:val="nil"/>
              <w:bottom w:val="single" w:sz="4" w:space="0" w:color="auto"/>
              <w:right w:val="single" w:sz="4" w:space="0" w:color="auto"/>
            </w:tcBorders>
            <w:shd w:val="clear" w:color="auto" w:fill="auto"/>
            <w:noWrap/>
            <w:vAlign w:val="center"/>
            <w:hideMark/>
          </w:tcPr>
          <w:p w14:paraId="2067CC5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47,15</w:t>
            </w:r>
          </w:p>
        </w:tc>
        <w:tc>
          <w:tcPr>
            <w:tcW w:w="1134" w:type="dxa"/>
            <w:tcBorders>
              <w:top w:val="nil"/>
              <w:left w:val="nil"/>
              <w:bottom w:val="single" w:sz="4" w:space="0" w:color="auto"/>
              <w:right w:val="single" w:sz="4" w:space="0" w:color="auto"/>
            </w:tcBorders>
            <w:shd w:val="clear" w:color="auto" w:fill="auto"/>
            <w:noWrap/>
            <w:vAlign w:val="center"/>
            <w:hideMark/>
          </w:tcPr>
          <w:p w14:paraId="49170BB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-52,85</w:t>
            </w:r>
          </w:p>
        </w:tc>
        <w:tc>
          <w:tcPr>
            <w:tcW w:w="708" w:type="dxa"/>
            <w:tcBorders>
              <w:top w:val="nil"/>
              <w:left w:val="nil"/>
              <w:bottom w:val="single" w:sz="4" w:space="0" w:color="000000"/>
              <w:right w:val="single" w:sz="4" w:space="0" w:color="000000"/>
            </w:tcBorders>
            <w:shd w:val="clear" w:color="auto" w:fill="auto"/>
            <w:vAlign w:val="center"/>
            <w:hideMark/>
          </w:tcPr>
          <w:p w14:paraId="1429F4E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205</w:t>
            </w:r>
          </w:p>
        </w:tc>
        <w:tc>
          <w:tcPr>
            <w:tcW w:w="993" w:type="dxa"/>
            <w:tcBorders>
              <w:top w:val="nil"/>
              <w:left w:val="nil"/>
              <w:bottom w:val="single" w:sz="4" w:space="0" w:color="auto"/>
              <w:right w:val="single" w:sz="4" w:space="0" w:color="auto"/>
            </w:tcBorders>
            <w:shd w:val="clear" w:color="auto" w:fill="auto"/>
            <w:noWrap/>
            <w:vAlign w:val="center"/>
            <w:hideMark/>
          </w:tcPr>
          <w:p w14:paraId="28A41D7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-4,00</w:t>
            </w:r>
          </w:p>
        </w:tc>
        <w:tc>
          <w:tcPr>
            <w:tcW w:w="992" w:type="dxa"/>
            <w:tcBorders>
              <w:top w:val="nil"/>
              <w:left w:val="nil"/>
              <w:bottom w:val="single" w:sz="4" w:space="0" w:color="auto"/>
              <w:right w:val="single" w:sz="4" w:space="0" w:color="auto"/>
            </w:tcBorders>
            <w:shd w:val="clear" w:color="auto" w:fill="auto"/>
            <w:noWrap/>
            <w:vAlign w:val="center"/>
            <w:hideMark/>
          </w:tcPr>
          <w:p w14:paraId="3B0AAA1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48,05</w:t>
            </w:r>
          </w:p>
        </w:tc>
        <w:tc>
          <w:tcPr>
            <w:tcW w:w="992" w:type="dxa"/>
            <w:tcBorders>
              <w:top w:val="nil"/>
              <w:left w:val="nil"/>
              <w:bottom w:val="single" w:sz="4" w:space="0" w:color="auto"/>
              <w:right w:val="single" w:sz="4" w:space="0" w:color="auto"/>
            </w:tcBorders>
            <w:shd w:val="clear" w:color="auto" w:fill="auto"/>
            <w:noWrap/>
            <w:vAlign w:val="center"/>
            <w:hideMark/>
          </w:tcPr>
          <w:p w14:paraId="232BB14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-51,95</w:t>
            </w:r>
          </w:p>
        </w:tc>
      </w:tr>
      <w:tr w:rsidR="0066583A" w:rsidRPr="004135FE" w14:paraId="231869DE"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6623B3B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02B2172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2014</w:t>
            </w:r>
          </w:p>
        </w:tc>
        <w:tc>
          <w:tcPr>
            <w:tcW w:w="850" w:type="dxa"/>
            <w:tcBorders>
              <w:top w:val="nil"/>
              <w:left w:val="nil"/>
              <w:bottom w:val="single" w:sz="4" w:space="0" w:color="auto"/>
              <w:right w:val="single" w:sz="4" w:space="0" w:color="auto"/>
            </w:tcBorders>
            <w:shd w:val="clear" w:color="auto" w:fill="auto"/>
            <w:vAlign w:val="center"/>
            <w:hideMark/>
          </w:tcPr>
          <w:p w14:paraId="052ED1F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437</w:t>
            </w:r>
          </w:p>
        </w:tc>
        <w:tc>
          <w:tcPr>
            <w:tcW w:w="992" w:type="dxa"/>
            <w:tcBorders>
              <w:top w:val="nil"/>
              <w:left w:val="nil"/>
              <w:bottom w:val="single" w:sz="4" w:space="0" w:color="auto"/>
              <w:right w:val="single" w:sz="4" w:space="0" w:color="auto"/>
            </w:tcBorders>
            <w:shd w:val="clear" w:color="auto" w:fill="auto"/>
            <w:noWrap/>
            <w:vAlign w:val="center"/>
            <w:hideMark/>
          </w:tcPr>
          <w:p w14:paraId="7039BD4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129,00</w:t>
            </w:r>
          </w:p>
        </w:tc>
        <w:tc>
          <w:tcPr>
            <w:tcW w:w="1418" w:type="dxa"/>
            <w:tcBorders>
              <w:top w:val="nil"/>
              <w:left w:val="nil"/>
              <w:bottom w:val="single" w:sz="4" w:space="0" w:color="auto"/>
              <w:right w:val="single" w:sz="4" w:space="0" w:color="auto"/>
            </w:tcBorders>
            <w:shd w:val="clear" w:color="auto" w:fill="auto"/>
            <w:noWrap/>
            <w:vAlign w:val="center"/>
            <w:hideMark/>
          </w:tcPr>
          <w:p w14:paraId="7220629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45,23</w:t>
            </w:r>
          </w:p>
        </w:tc>
        <w:tc>
          <w:tcPr>
            <w:tcW w:w="992" w:type="dxa"/>
            <w:tcBorders>
              <w:top w:val="nil"/>
              <w:left w:val="nil"/>
              <w:bottom w:val="single" w:sz="4" w:space="0" w:color="auto"/>
              <w:right w:val="single" w:sz="4" w:space="0" w:color="auto"/>
            </w:tcBorders>
            <w:shd w:val="clear" w:color="auto" w:fill="auto"/>
            <w:noWrap/>
            <w:vAlign w:val="center"/>
            <w:hideMark/>
          </w:tcPr>
          <w:p w14:paraId="5F73494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-54,77</w:t>
            </w:r>
          </w:p>
        </w:tc>
        <w:tc>
          <w:tcPr>
            <w:tcW w:w="992" w:type="dxa"/>
            <w:tcBorders>
              <w:top w:val="nil"/>
              <w:left w:val="nil"/>
              <w:bottom w:val="single" w:sz="4" w:space="0" w:color="000000"/>
              <w:right w:val="single" w:sz="4" w:space="0" w:color="000000"/>
            </w:tcBorders>
            <w:shd w:val="clear" w:color="auto" w:fill="auto"/>
            <w:vAlign w:val="center"/>
            <w:hideMark/>
          </w:tcPr>
          <w:p w14:paraId="64CFA79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145</w:t>
            </w:r>
          </w:p>
        </w:tc>
        <w:tc>
          <w:tcPr>
            <w:tcW w:w="851" w:type="dxa"/>
            <w:tcBorders>
              <w:top w:val="nil"/>
              <w:left w:val="nil"/>
              <w:bottom w:val="single" w:sz="4" w:space="0" w:color="auto"/>
              <w:right w:val="single" w:sz="4" w:space="0" w:color="auto"/>
            </w:tcBorders>
            <w:shd w:val="clear" w:color="auto" w:fill="auto"/>
            <w:noWrap/>
            <w:vAlign w:val="center"/>
            <w:hideMark/>
          </w:tcPr>
          <w:p w14:paraId="0D5E75C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42,00</w:t>
            </w:r>
          </w:p>
        </w:tc>
        <w:tc>
          <w:tcPr>
            <w:tcW w:w="1276" w:type="dxa"/>
            <w:tcBorders>
              <w:top w:val="nil"/>
              <w:left w:val="nil"/>
              <w:bottom w:val="single" w:sz="4" w:space="0" w:color="auto"/>
              <w:right w:val="single" w:sz="4" w:space="0" w:color="auto"/>
            </w:tcBorders>
            <w:shd w:val="clear" w:color="auto" w:fill="auto"/>
            <w:noWrap/>
            <w:vAlign w:val="center"/>
            <w:hideMark/>
          </w:tcPr>
          <w:p w14:paraId="7BD80B4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41,87</w:t>
            </w:r>
          </w:p>
        </w:tc>
        <w:tc>
          <w:tcPr>
            <w:tcW w:w="1134" w:type="dxa"/>
            <w:tcBorders>
              <w:top w:val="nil"/>
              <w:left w:val="nil"/>
              <w:bottom w:val="single" w:sz="4" w:space="0" w:color="auto"/>
              <w:right w:val="single" w:sz="4" w:space="0" w:color="auto"/>
            </w:tcBorders>
            <w:shd w:val="clear" w:color="auto" w:fill="auto"/>
            <w:noWrap/>
            <w:vAlign w:val="center"/>
            <w:hideMark/>
          </w:tcPr>
          <w:p w14:paraId="2A36B74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-58,13</w:t>
            </w:r>
          </w:p>
        </w:tc>
        <w:tc>
          <w:tcPr>
            <w:tcW w:w="708" w:type="dxa"/>
            <w:tcBorders>
              <w:top w:val="nil"/>
              <w:left w:val="nil"/>
              <w:bottom w:val="single" w:sz="4" w:space="0" w:color="000000"/>
              <w:right w:val="single" w:sz="4" w:space="0" w:color="000000"/>
            </w:tcBorders>
            <w:shd w:val="clear" w:color="auto" w:fill="auto"/>
            <w:vAlign w:val="center"/>
            <w:hideMark/>
          </w:tcPr>
          <w:p w14:paraId="102125A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292</w:t>
            </w:r>
          </w:p>
        </w:tc>
        <w:tc>
          <w:tcPr>
            <w:tcW w:w="993" w:type="dxa"/>
            <w:tcBorders>
              <w:top w:val="nil"/>
              <w:left w:val="nil"/>
              <w:bottom w:val="single" w:sz="4" w:space="0" w:color="auto"/>
              <w:right w:val="single" w:sz="4" w:space="0" w:color="auto"/>
            </w:tcBorders>
            <w:shd w:val="clear" w:color="auto" w:fill="auto"/>
            <w:noWrap/>
            <w:vAlign w:val="center"/>
            <w:hideMark/>
          </w:tcPr>
          <w:p w14:paraId="62AD9CB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87,00</w:t>
            </w:r>
          </w:p>
        </w:tc>
        <w:tc>
          <w:tcPr>
            <w:tcW w:w="992" w:type="dxa"/>
            <w:tcBorders>
              <w:top w:val="nil"/>
              <w:left w:val="nil"/>
              <w:bottom w:val="single" w:sz="4" w:space="0" w:color="auto"/>
              <w:right w:val="single" w:sz="4" w:space="0" w:color="auto"/>
            </w:tcBorders>
            <w:shd w:val="clear" w:color="auto" w:fill="auto"/>
            <w:noWrap/>
            <w:vAlign w:val="center"/>
            <w:hideMark/>
          </w:tcPr>
          <w:p w14:paraId="396191F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47,13</w:t>
            </w:r>
          </w:p>
        </w:tc>
        <w:tc>
          <w:tcPr>
            <w:tcW w:w="992" w:type="dxa"/>
            <w:tcBorders>
              <w:top w:val="nil"/>
              <w:left w:val="nil"/>
              <w:bottom w:val="single" w:sz="4" w:space="0" w:color="auto"/>
              <w:right w:val="single" w:sz="4" w:space="0" w:color="auto"/>
            </w:tcBorders>
            <w:shd w:val="clear" w:color="auto" w:fill="auto"/>
            <w:noWrap/>
            <w:vAlign w:val="center"/>
            <w:hideMark/>
          </w:tcPr>
          <w:p w14:paraId="6F296BC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-52,87</w:t>
            </w:r>
          </w:p>
        </w:tc>
      </w:tr>
      <w:tr w:rsidR="0066583A" w:rsidRPr="004135FE" w14:paraId="0ECE294F"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7AA2228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39131CF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2015</w:t>
            </w:r>
          </w:p>
        </w:tc>
        <w:tc>
          <w:tcPr>
            <w:tcW w:w="850" w:type="dxa"/>
            <w:tcBorders>
              <w:top w:val="nil"/>
              <w:left w:val="nil"/>
              <w:bottom w:val="single" w:sz="4" w:space="0" w:color="auto"/>
              <w:right w:val="single" w:sz="4" w:space="0" w:color="auto"/>
            </w:tcBorders>
            <w:shd w:val="clear" w:color="auto" w:fill="auto"/>
            <w:vAlign w:val="center"/>
            <w:hideMark/>
          </w:tcPr>
          <w:p w14:paraId="2D4BD34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290</w:t>
            </w:r>
          </w:p>
        </w:tc>
        <w:tc>
          <w:tcPr>
            <w:tcW w:w="992" w:type="dxa"/>
            <w:tcBorders>
              <w:top w:val="nil"/>
              <w:left w:val="nil"/>
              <w:bottom w:val="single" w:sz="4" w:space="0" w:color="auto"/>
              <w:right w:val="single" w:sz="4" w:space="0" w:color="auto"/>
            </w:tcBorders>
            <w:shd w:val="clear" w:color="auto" w:fill="auto"/>
            <w:noWrap/>
            <w:vAlign w:val="center"/>
            <w:hideMark/>
          </w:tcPr>
          <w:p w14:paraId="50F51B9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-147,00</w:t>
            </w:r>
          </w:p>
        </w:tc>
        <w:tc>
          <w:tcPr>
            <w:tcW w:w="1418" w:type="dxa"/>
            <w:tcBorders>
              <w:top w:val="nil"/>
              <w:left w:val="nil"/>
              <w:bottom w:val="single" w:sz="4" w:space="0" w:color="auto"/>
              <w:right w:val="single" w:sz="4" w:space="0" w:color="auto"/>
            </w:tcBorders>
            <w:shd w:val="clear" w:color="auto" w:fill="auto"/>
            <w:noWrap/>
            <w:vAlign w:val="center"/>
            <w:hideMark/>
          </w:tcPr>
          <w:p w14:paraId="662F5C2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64,17</w:t>
            </w:r>
          </w:p>
        </w:tc>
        <w:tc>
          <w:tcPr>
            <w:tcW w:w="992" w:type="dxa"/>
            <w:tcBorders>
              <w:top w:val="nil"/>
              <w:left w:val="nil"/>
              <w:bottom w:val="single" w:sz="4" w:space="0" w:color="auto"/>
              <w:right w:val="single" w:sz="4" w:space="0" w:color="auto"/>
            </w:tcBorders>
            <w:shd w:val="clear" w:color="auto" w:fill="auto"/>
            <w:noWrap/>
            <w:vAlign w:val="center"/>
            <w:hideMark/>
          </w:tcPr>
          <w:p w14:paraId="41EFDD4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-35,83</w:t>
            </w:r>
          </w:p>
        </w:tc>
        <w:tc>
          <w:tcPr>
            <w:tcW w:w="992" w:type="dxa"/>
            <w:tcBorders>
              <w:top w:val="nil"/>
              <w:left w:val="nil"/>
              <w:bottom w:val="single" w:sz="4" w:space="0" w:color="000000"/>
              <w:right w:val="single" w:sz="4" w:space="0" w:color="000000"/>
            </w:tcBorders>
            <w:shd w:val="clear" w:color="auto" w:fill="auto"/>
            <w:vAlign w:val="center"/>
            <w:hideMark/>
          </w:tcPr>
          <w:p w14:paraId="2A099A3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101</w:t>
            </w:r>
          </w:p>
        </w:tc>
        <w:tc>
          <w:tcPr>
            <w:tcW w:w="851" w:type="dxa"/>
            <w:tcBorders>
              <w:top w:val="nil"/>
              <w:left w:val="nil"/>
              <w:bottom w:val="single" w:sz="4" w:space="0" w:color="auto"/>
              <w:right w:val="single" w:sz="4" w:space="0" w:color="auto"/>
            </w:tcBorders>
            <w:shd w:val="clear" w:color="auto" w:fill="auto"/>
            <w:noWrap/>
            <w:vAlign w:val="center"/>
            <w:hideMark/>
          </w:tcPr>
          <w:p w14:paraId="4D6E994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-44,00</w:t>
            </w:r>
          </w:p>
        </w:tc>
        <w:tc>
          <w:tcPr>
            <w:tcW w:w="1276" w:type="dxa"/>
            <w:tcBorders>
              <w:top w:val="nil"/>
              <w:left w:val="nil"/>
              <w:bottom w:val="single" w:sz="4" w:space="0" w:color="auto"/>
              <w:right w:val="single" w:sz="4" w:space="0" w:color="auto"/>
            </w:tcBorders>
            <w:shd w:val="clear" w:color="auto" w:fill="auto"/>
            <w:noWrap/>
            <w:vAlign w:val="center"/>
            <w:hideMark/>
          </w:tcPr>
          <w:p w14:paraId="26FC374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58,94</w:t>
            </w:r>
          </w:p>
        </w:tc>
        <w:tc>
          <w:tcPr>
            <w:tcW w:w="1134" w:type="dxa"/>
            <w:tcBorders>
              <w:top w:val="nil"/>
              <w:left w:val="nil"/>
              <w:bottom w:val="single" w:sz="4" w:space="0" w:color="auto"/>
              <w:right w:val="single" w:sz="4" w:space="0" w:color="auto"/>
            </w:tcBorders>
            <w:shd w:val="clear" w:color="auto" w:fill="auto"/>
            <w:noWrap/>
            <w:vAlign w:val="center"/>
            <w:hideMark/>
          </w:tcPr>
          <w:p w14:paraId="34E2696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-41,06</w:t>
            </w:r>
          </w:p>
        </w:tc>
        <w:tc>
          <w:tcPr>
            <w:tcW w:w="708" w:type="dxa"/>
            <w:tcBorders>
              <w:top w:val="nil"/>
              <w:left w:val="nil"/>
              <w:bottom w:val="single" w:sz="4" w:space="0" w:color="000000"/>
              <w:right w:val="single" w:sz="4" w:space="0" w:color="000000"/>
            </w:tcBorders>
            <w:shd w:val="clear" w:color="auto" w:fill="auto"/>
            <w:vAlign w:val="center"/>
            <w:hideMark/>
          </w:tcPr>
          <w:p w14:paraId="6CF170F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189</w:t>
            </w:r>
          </w:p>
        </w:tc>
        <w:tc>
          <w:tcPr>
            <w:tcW w:w="993" w:type="dxa"/>
            <w:tcBorders>
              <w:top w:val="nil"/>
              <w:left w:val="nil"/>
              <w:bottom w:val="single" w:sz="4" w:space="0" w:color="auto"/>
              <w:right w:val="single" w:sz="4" w:space="0" w:color="auto"/>
            </w:tcBorders>
            <w:shd w:val="clear" w:color="auto" w:fill="auto"/>
            <w:noWrap/>
            <w:vAlign w:val="center"/>
            <w:hideMark/>
          </w:tcPr>
          <w:p w14:paraId="0588E0C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-103,00</w:t>
            </w:r>
          </w:p>
        </w:tc>
        <w:tc>
          <w:tcPr>
            <w:tcW w:w="992" w:type="dxa"/>
            <w:tcBorders>
              <w:top w:val="nil"/>
              <w:left w:val="nil"/>
              <w:bottom w:val="single" w:sz="4" w:space="0" w:color="auto"/>
              <w:right w:val="single" w:sz="4" w:space="0" w:color="auto"/>
            </w:tcBorders>
            <w:shd w:val="clear" w:color="auto" w:fill="auto"/>
            <w:noWrap/>
            <w:vAlign w:val="center"/>
            <w:hideMark/>
          </w:tcPr>
          <w:p w14:paraId="6F23C26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67,13</w:t>
            </w:r>
          </w:p>
        </w:tc>
        <w:tc>
          <w:tcPr>
            <w:tcW w:w="992" w:type="dxa"/>
            <w:tcBorders>
              <w:top w:val="nil"/>
              <w:left w:val="nil"/>
              <w:bottom w:val="single" w:sz="4" w:space="0" w:color="auto"/>
              <w:right w:val="single" w:sz="4" w:space="0" w:color="auto"/>
            </w:tcBorders>
            <w:shd w:val="clear" w:color="auto" w:fill="auto"/>
            <w:noWrap/>
            <w:vAlign w:val="center"/>
            <w:hideMark/>
          </w:tcPr>
          <w:p w14:paraId="49E5C54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-32,87</w:t>
            </w:r>
          </w:p>
        </w:tc>
      </w:tr>
      <w:tr w:rsidR="0066583A" w:rsidRPr="004135FE" w14:paraId="0ED601D1"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1613807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0534E52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2016</w:t>
            </w:r>
          </w:p>
        </w:tc>
        <w:tc>
          <w:tcPr>
            <w:tcW w:w="850" w:type="dxa"/>
            <w:tcBorders>
              <w:top w:val="nil"/>
              <w:left w:val="nil"/>
              <w:bottom w:val="single" w:sz="4" w:space="0" w:color="auto"/>
              <w:right w:val="single" w:sz="4" w:space="0" w:color="auto"/>
            </w:tcBorders>
            <w:shd w:val="clear" w:color="auto" w:fill="auto"/>
            <w:vAlign w:val="center"/>
            <w:hideMark/>
          </w:tcPr>
          <w:p w14:paraId="59479CF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453</w:t>
            </w:r>
          </w:p>
        </w:tc>
        <w:tc>
          <w:tcPr>
            <w:tcW w:w="992" w:type="dxa"/>
            <w:tcBorders>
              <w:top w:val="nil"/>
              <w:left w:val="nil"/>
              <w:bottom w:val="single" w:sz="4" w:space="0" w:color="auto"/>
              <w:right w:val="single" w:sz="4" w:space="0" w:color="auto"/>
            </w:tcBorders>
            <w:shd w:val="clear" w:color="auto" w:fill="auto"/>
            <w:noWrap/>
            <w:vAlign w:val="center"/>
            <w:hideMark/>
          </w:tcPr>
          <w:p w14:paraId="2B5CEE5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163,00</w:t>
            </w:r>
          </w:p>
        </w:tc>
        <w:tc>
          <w:tcPr>
            <w:tcW w:w="1418" w:type="dxa"/>
            <w:tcBorders>
              <w:top w:val="nil"/>
              <w:left w:val="nil"/>
              <w:bottom w:val="single" w:sz="4" w:space="0" w:color="auto"/>
              <w:right w:val="single" w:sz="4" w:space="0" w:color="auto"/>
            </w:tcBorders>
            <w:shd w:val="clear" w:color="auto" w:fill="auto"/>
            <w:noWrap/>
            <w:vAlign w:val="center"/>
            <w:hideMark/>
          </w:tcPr>
          <w:p w14:paraId="272F83A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42,58</w:t>
            </w:r>
          </w:p>
        </w:tc>
        <w:tc>
          <w:tcPr>
            <w:tcW w:w="992" w:type="dxa"/>
            <w:tcBorders>
              <w:top w:val="nil"/>
              <w:left w:val="nil"/>
              <w:bottom w:val="single" w:sz="4" w:space="0" w:color="auto"/>
              <w:right w:val="single" w:sz="4" w:space="0" w:color="auto"/>
            </w:tcBorders>
            <w:shd w:val="clear" w:color="auto" w:fill="auto"/>
            <w:noWrap/>
            <w:vAlign w:val="center"/>
            <w:hideMark/>
          </w:tcPr>
          <w:p w14:paraId="64DB4D0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-57,42</w:t>
            </w:r>
          </w:p>
        </w:tc>
        <w:tc>
          <w:tcPr>
            <w:tcW w:w="992" w:type="dxa"/>
            <w:tcBorders>
              <w:top w:val="nil"/>
              <w:left w:val="nil"/>
              <w:bottom w:val="single" w:sz="4" w:space="0" w:color="000000"/>
              <w:right w:val="single" w:sz="4" w:space="0" w:color="000000"/>
            </w:tcBorders>
            <w:shd w:val="clear" w:color="auto" w:fill="auto"/>
            <w:vAlign w:val="center"/>
            <w:hideMark/>
          </w:tcPr>
          <w:p w14:paraId="4C27D75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162</w:t>
            </w:r>
          </w:p>
        </w:tc>
        <w:tc>
          <w:tcPr>
            <w:tcW w:w="851" w:type="dxa"/>
            <w:tcBorders>
              <w:top w:val="nil"/>
              <w:left w:val="nil"/>
              <w:bottom w:val="single" w:sz="4" w:space="0" w:color="auto"/>
              <w:right w:val="single" w:sz="4" w:space="0" w:color="auto"/>
            </w:tcBorders>
            <w:shd w:val="clear" w:color="auto" w:fill="auto"/>
            <w:noWrap/>
            <w:vAlign w:val="center"/>
            <w:hideMark/>
          </w:tcPr>
          <w:p w14:paraId="2F7C385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61,00</w:t>
            </w:r>
          </w:p>
        </w:tc>
        <w:tc>
          <w:tcPr>
            <w:tcW w:w="1276" w:type="dxa"/>
            <w:tcBorders>
              <w:top w:val="nil"/>
              <w:left w:val="nil"/>
              <w:bottom w:val="single" w:sz="4" w:space="0" w:color="auto"/>
              <w:right w:val="single" w:sz="4" w:space="0" w:color="auto"/>
            </w:tcBorders>
            <w:shd w:val="clear" w:color="auto" w:fill="auto"/>
            <w:noWrap/>
            <w:vAlign w:val="center"/>
            <w:hideMark/>
          </w:tcPr>
          <w:p w14:paraId="4B8A030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41,06</w:t>
            </w:r>
          </w:p>
        </w:tc>
        <w:tc>
          <w:tcPr>
            <w:tcW w:w="1134" w:type="dxa"/>
            <w:tcBorders>
              <w:top w:val="nil"/>
              <w:left w:val="nil"/>
              <w:bottom w:val="single" w:sz="4" w:space="0" w:color="auto"/>
              <w:right w:val="single" w:sz="4" w:space="0" w:color="auto"/>
            </w:tcBorders>
            <w:shd w:val="clear" w:color="auto" w:fill="auto"/>
            <w:noWrap/>
            <w:vAlign w:val="center"/>
            <w:hideMark/>
          </w:tcPr>
          <w:p w14:paraId="08A2D77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-58,94</w:t>
            </w:r>
          </w:p>
        </w:tc>
        <w:tc>
          <w:tcPr>
            <w:tcW w:w="708" w:type="dxa"/>
            <w:tcBorders>
              <w:top w:val="nil"/>
              <w:left w:val="nil"/>
              <w:bottom w:val="single" w:sz="4" w:space="0" w:color="000000"/>
              <w:right w:val="single" w:sz="4" w:space="0" w:color="000000"/>
            </w:tcBorders>
            <w:shd w:val="clear" w:color="auto" w:fill="auto"/>
            <w:vAlign w:val="center"/>
            <w:hideMark/>
          </w:tcPr>
          <w:p w14:paraId="6A30EBB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291</w:t>
            </w:r>
          </w:p>
        </w:tc>
        <w:tc>
          <w:tcPr>
            <w:tcW w:w="993" w:type="dxa"/>
            <w:tcBorders>
              <w:top w:val="nil"/>
              <w:left w:val="nil"/>
              <w:bottom w:val="single" w:sz="4" w:space="0" w:color="auto"/>
              <w:right w:val="single" w:sz="4" w:space="0" w:color="auto"/>
            </w:tcBorders>
            <w:shd w:val="clear" w:color="auto" w:fill="auto"/>
            <w:noWrap/>
            <w:vAlign w:val="center"/>
            <w:hideMark/>
          </w:tcPr>
          <w:p w14:paraId="71CF8C2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102,00</w:t>
            </w:r>
          </w:p>
        </w:tc>
        <w:tc>
          <w:tcPr>
            <w:tcW w:w="992" w:type="dxa"/>
            <w:tcBorders>
              <w:top w:val="nil"/>
              <w:left w:val="nil"/>
              <w:bottom w:val="single" w:sz="4" w:space="0" w:color="auto"/>
              <w:right w:val="single" w:sz="4" w:space="0" w:color="auto"/>
            </w:tcBorders>
            <w:shd w:val="clear" w:color="auto" w:fill="auto"/>
            <w:noWrap/>
            <w:vAlign w:val="center"/>
            <w:hideMark/>
          </w:tcPr>
          <w:p w14:paraId="424037E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43,45</w:t>
            </w:r>
          </w:p>
        </w:tc>
        <w:tc>
          <w:tcPr>
            <w:tcW w:w="992" w:type="dxa"/>
            <w:tcBorders>
              <w:top w:val="nil"/>
              <w:left w:val="nil"/>
              <w:bottom w:val="single" w:sz="4" w:space="0" w:color="auto"/>
              <w:right w:val="single" w:sz="4" w:space="0" w:color="auto"/>
            </w:tcBorders>
            <w:shd w:val="clear" w:color="auto" w:fill="auto"/>
            <w:noWrap/>
            <w:vAlign w:val="center"/>
            <w:hideMark/>
          </w:tcPr>
          <w:p w14:paraId="34ADE92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-56,55</w:t>
            </w:r>
          </w:p>
        </w:tc>
      </w:tr>
      <w:tr w:rsidR="0066583A" w:rsidRPr="004135FE" w14:paraId="76C53E9F" w14:textId="77777777" w:rsidTr="00E2614D">
        <w:trPr>
          <w:trHeight w:val="283"/>
        </w:trPr>
        <w:tc>
          <w:tcPr>
            <w:tcW w:w="1134" w:type="dxa"/>
            <w:vMerge/>
            <w:tcBorders>
              <w:top w:val="nil"/>
              <w:left w:val="single" w:sz="4" w:space="0" w:color="auto"/>
              <w:right w:val="single" w:sz="4" w:space="0" w:color="auto"/>
            </w:tcBorders>
            <w:vAlign w:val="center"/>
            <w:hideMark/>
          </w:tcPr>
          <w:p w14:paraId="43106C7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right w:val="single" w:sz="4" w:space="0" w:color="auto"/>
            </w:tcBorders>
            <w:shd w:val="clear" w:color="auto" w:fill="auto"/>
            <w:noWrap/>
            <w:vAlign w:val="center"/>
            <w:hideMark/>
          </w:tcPr>
          <w:p w14:paraId="681D09C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2017</w:t>
            </w:r>
          </w:p>
        </w:tc>
        <w:tc>
          <w:tcPr>
            <w:tcW w:w="850" w:type="dxa"/>
            <w:tcBorders>
              <w:top w:val="nil"/>
              <w:left w:val="nil"/>
              <w:right w:val="single" w:sz="4" w:space="0" w:color="auto"/>
            </w:tcBorders>
            <w:shd w:val="clear" w:color="auto" w:fill="auto"/>
            <w:vAlign w:val="center"/>
            <w:hideMark/>
          </w:tcPr>
          <w:p w14:paraId="3D0C481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439</w:t>
            </w:r>
          </w:p>
        </w:tc>
        <w:tc>
          <w:tcPr>
            <w:tcW w:w="992" w:type="dxa"/>
            <w:tcBorders>
              <w:top w:val="nil"/>
              <w:left w:val="nil"/>
              <w:right w:val="single" w:sz="4" w:space="0" w:color="auto"/>
            </w:tcBorders>
            <w:shd w:val="clear" w:color="auto" w:fill="auto"/>
            <w:noWrap/>
            <w:vAlign w:val="center"/>
            <w:hideMark/>
          </w:tcPr>
          <w:p w14:paraId="1B369AC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-14,00</w:t>
            </w:r>
          </w:p>
        </w:tc>
        <w:tc>
          <w:tcPr>
            <w:tcW w:w="1418" w:type="dxa"/>
            <w:tcBorders>
              <w:top w:val="nil"/>
              <w:left w:val="nil"/>
              <w:right w:val="single" w:sz="4" w:space="0" w:color="auto"/>
            </w:tcBorders>
            <w:shd w:val="clear" w:color="auto" w:fill="auto"/>
            <w:noWrap/>
            <w:vAlign w:val="center"/>
            <w:hideMark/>
          </w:tcPr>
          <w:p w14:paraId="18DCD13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66,52</w:t>
            </w:r>
          </w:p>
        </w:tc>
        <w:tc>
          <w:tcPr>
            <w:tcW w:w="992" w:type="dxa"/>
            <w:tcBorders>
              <w:top w:val="nil"/>
              <w:left w:val="nil"/>
              <w:right w:val="single" w:sz="4" w:space="0" w:color="auto"/>
            </w:tcBorders>
            <w:shd w:val="clear" w:color="auto" w:fill="auto"/>
            <w:noWrap/>
            <w:vAlign w:val="center"/>
            <w:hideMark/>
          </w:tcPr>
          <w:p w14:paraId="6A53B7D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-33,48</w:t>
            </w:r>
          </w:p>
        </w:tc>
        <w:tc>
          <w:tcPr>
            <w:tcW w:w="992" w:type="dxa"/>
            <w:tcBorders>
              <w:top w:val="nil"/>
              <w:left w:val="nil"/>
              <w:right w:val="single" w:sz="4" w:space="0" w:color="000000"/>
            </w:tcBorders>
            <w:shd w:val="clear" w:color="auto" w:fill="auto"/>
            <w:vAlign w:val="center"/>
            <w:hideMark/>
          </w:tcPr>
          <w:p w14:paraId="28BFE90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159</w:t>
            </w:r>
          </w:p>
        </w:tc>
        <w:tc>
          <w:tcPr>
            <w:tcW w:w="851" w:type="dxa"/>
            <w:tcBorders>
              <w:top w:val="nil"/>
              <w:left w:val="nil"/>
              <w:right w:val="single" w:sz="4" w:space="0" w:color="auto"/>
            </w:tcBorders>
            <w:shd w:val="clear" w:color="auto" w:fill="auto"/>
            <w:noWrap/>
            <w:vAlign w:val="center"/>
            <w:hideMark/>
          </w:tcPr>
          <w:p w14:paraId="655A8C8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-3,00</w:t>
            </w:r>
          </w:p>
        </w:tc>
        <w:tc>
          <w:tcPr>
            <w:tcW w:w="1276" w:type="dxa"/>
            <w:tcBorders>
              <w:top w:val="nil"/>
              <w:left w:val="nil"/>
              <w:right w:val="single" w:sz="4" w:space="0" w:color="auto"/>
            </w:tcBorders>
            <w:shd w:val="clear" w:color="auto" w:fill="auto"/>
            <w:noWrap/>
            <w:vAlign w:val="center"/>
            <w:hideMark/>
          </w:tcPr>
          <w:p w14:paraId="5DCED81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65,85</w:t>
            </w:r>
          </w:p>
        </w:tc>
        <w:tc>
          <w:tcPr>
            <w:tcW w:w="1134" w:type="dxa"/>
            <w:tcBorders>
              <w:top w:val="nil"/>
              <w:left w:val="nil"/>
              <w:right w:val="single" w:sz="4" w:space="0" w:color="auto"/>
            </w:tcBorders>
            <w:shd w:val="clear" w:color="auto" w:fill="auto"/>
            <w:noWrap/>
            <w:vAlign w:val="center"/>
            <w:hideMark/>
          </w:tcPr>
          <w:p w14:paraId="634590A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-34,15</w:t>
            </w:r>
          </w:p>
        </w:tc>
        <w:tc>
          <w:tcPr>
            <w:tcW w:w="708" w:type="dxa"/>
            <w:tcBorders>
              <w:top w:val="nil"/>
              <w:left w:val="nil"/>
              <w:right w:val="single" w:sz="4" w:space="0" w:color="000000"/>
            </w:tcBorders>
            <w:shd w:val="clear" w:color="auto" w:fill="auto"/>
            <w:vAlign w:val="center"/>
            <w:hideMark/>
          </w:tcPr>
          <w:p w14:paraId="7ECC02E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280</w:t>
            </w:r>
          </w:p>
        </w:tc>
        <w:tc>
          <w:tcPr>
            <w:tcW w:w="993" w:type="dxa"/>
            <w:tcBorders>
              <w:top w:val="nil"/>
              <w:left w:val="nil"/>
              <w:right w:val="single" w:sz="4" w:space="0" w:color="auto"/>
            </w:tcBorders>
            <w:shd w:val="clear" w:color="auto" w:fill="auto"/>
            <w:noWrap/>
            <w:vAlign w:val="center"/>
            <w:hideMark/>
          </w:tcPr>
          <w:p w14:paraId="739851C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-11,00</w:t>
            </w:r>
          </w:p>
        </w:tc>
        <w:tc>
          <w:tcPr>
            <w:tcW w:w="992" w:type="dxa"/>
            <w:tcBorders>
              <w:top w:val="nil"/>
              <w:left w:val="nil"/>
              <w:right w:val="single" w:sz="4" w:space="0" w:color="auto"/>
            </w:tcBorders>
            <w:shd w:val="clear" w:color="auto" w:fill="auto"/>
            <w:noWrap/>
            <w:vAlign w:val="center"/>
            <w:hideMark/>
          </w:tcPr>
          <w:p w14:paraId="35851A1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66,90</w:t>
            </w:r>
          </w:p>
        </w:tc>
        <w:tc>
          <w:tcPr>
            <w:tcW w:w="992" w:type="dxa"/>
            <w:tcBorders>
              <w:top w:val="nil"/>
              <w:left w:val="nil"/>
              <w:right w:val="single" w:sz="4" w:space="0" w:color="auto"/>
            </w:tcBorders>
            <w:shd w:val="clear" w:color="auto" w:fill="auto"/>
            <w:noWrap/>
            <w:vAlign w:val="center"/>
            <w:hideMark/>
          </w:tcPr>
          <w:p w14:paraId="4E46375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-33,10</w:t>
            </w:r>
          </w:p>
        </w:tc>
      </w:tr>
    </w:tbl>
    <w:p w14:paraId="6629EE50" w14:textId="77777777" w:rsidR="00B76F7B" w:rsidRDefault="00B76F7B" w:rsidP="00B76F7B">
      <w:pPr>
        <w:rPr>
          <w:rFonts w:ascii="Times New Roman" w:eastAsia="Times New Roman" w:hAnsi="Times New Roman" w:cs="Times New Roman"/>
          <w:bCs/>
          <w:sz w:val="28"/>
          <w:szCs w:val="28"/>
        </w:rPr>
      </w:pPr>
    </w:p>
    <w:p w14:paraId="6029BC6E" w14:textId="3C2EB030" w:rsidR="00B76F7B" w:rsidRPr="00B16459" w:rsidRDefault="00B76F7B" w:rsidP="00B76F7B">
      <w:pPr>
        <w:rPr>
          <w:rFonts w:ascii="Times New Roman" w:eastAsia="Times New Roman" w:hAnsi="Times New Roman" w:cs="Times New Roman"/>
          <w:bCs/>
          <w:sz w:val="28"/>
          <w:szCs w:val="28"/>
        </w:rPr>
      </w:pPr>
      <w:r w:rsidRPr="00B16459">
        <w:rPr>
          <w:rFonts w:ascii="Times New Roman" w:eastAsia="Times New Roman" w:hAnsi="Times New Roman" w:cs="Times New Roman"/>
          <w:bCs/>
          <w:sz w:val="28"/>
          <w:szCs w:val="28"/>
        </w:rPr>
        <w:lastRenderedPageBreak/>
        <w:t>Продолжение таблицы 8</w:t>
      </w:r>
    </w:p>
    <w:tbl>
      <w:tblPr>
        <w:tblW w:w="14317" w:type="dxa"/>
        <w:tblInd w:w="-5" w:type="dxa"/>
        <w:tblLayout w:type="fixed"/>
        <w:tblLook w:val="04A0" w:firstRow="1" w:lastRow="0" w:firstColumn="1" w:lastColumn="0" w:noHBand="0" w:noVBand="1"/>
      </w:tblPr>
      <w:tblGrid>
        <w:gridCol w:w="1134"/>
        <w:gridCol w:w="993"/>
        <w:gridCol w:w="850"/>
        <w:gridCol w:w="992"/>
        <w:gridCol w:w="1418"/>
        <w:gridCol w:w="992"/>
        <w:gridCol w:w="992"/>
        <w:gridCol w:w="851"/>
        <w:gridCol w:w="1276"/>
        <w:gridCol w:w="1134"/>
        <w:gridCol w:w="708"/>
        <w:gridCol w:w="993"/>
        <w:gridCol w:w="992"/>
        <w:gridCol w:w="992"/>
      </w:tblGrid>
      <w:tr w:rsidR="006C754C" w:rsidRPr="004135FE" w14:paraId="070A1AFE" w14:textId="77777777" w:rsidTr="00E2614D">
        <w:trPr>
          <w:trHeight w:val="283"/>
        </w:trPr>
        <w:tc>
          <w:tcPr>
            <w:tcW w:w="1134" w:type="dxa"/>
            <w:tcBorders>
              <w:top w:val="single" w:sz="4" w:space="0" w:color="auto"/>
              <w:left w:val="single" w:sz="4" w:space="0" w:color="auto"/>
              <w:bottom w:val="single" w:sz="4" w:space="0" w:color="auto"/>
              <w:right w:val="single" w:sz="4" w:space="0" w:color="auto"/>
            </w:tcBorders>
            <w:vAlign w:val="center"/>
          </w:tcPr>
          <w:p w14:paraId="6BE3030F" w14:textId="67DF635A"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F93B86" w14:textId="7FF35A6B"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A6D853B" w14:textId="35E0BC33"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9D0486" w14:textId="09A0B7CA"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C34539" w14:textId="75B769E4"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436C8D" w14:textId="186641CC"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7BA85D0C" w14:textId="25F6ED3A"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69112" w14:textId="0CF793CE"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F80ED1" w14:textId="10EDEF20"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5D595E" w14:textId="4F051B8E"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23A4523" w14:textId="2612CF04"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7B2F53" w14:textId="235FE28E"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D3544D" w14:textId="3138E810"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55DCF2" w14:textId="703CEEA9"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r>
      <w:tr w:rsidR="00B76F7B" w:rsidRPr="004135FE" w14:paraId="521F24C0" w14:textId="77777777" w:rsidTr="00E2614D">
        <w:trPr>
          <w:trHeight w:val="283"/>
        </w:trPr>
        <w:tc>
          <w:tcPr>
            <w:tcW w:w="1134" w:type="dxa"/>
            <w:vMerge w:val="restart"/>
            <w:tcBorders>
              <w:top w:val="single" w:sz="4" w:space="0" w:color="auto"/>
              <w:left w:val="single" w:sz="4" w:space="0" w:color="auto"/>
              <w:bottom w:val="single" w:sz="4" w:space="0" w:color="000000"/>
              <w:right w:val="single" w:sz="4" w:space="0" w:color="auto"/>
            </w:tcBorders>
            <w:vAlign w:val="center"/>
            <w:hideMark/>
          </w:tcPr>
          <w:p w14:paraId="080040F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0CC815A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2018</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2F4433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428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FC2BB9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-11,00</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0CA3756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64,46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5DB0F2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-35,54</w:t>
            </w:r>
          </w:p>
        </w:tc>
        <w:tc>
          <w:tcPr>
            <w:tcW w:w="992" w:type="dxa"/>
            <w:tcBorders>
              <w:top w:val="single" w:sz="4" w:space="0" w:color="auto"/>
              <w:left w:val="nil"/>
              <w:bottom w:val="single" w:sz="4" w:space="0" w:color="000000"/>
              <w:right w:val="single" w:sz="4" w:space="0" w:color="000000"/>
            </w:tcBorders>
            <w:shd w:val="clear" w:color="auto" w:fill="auto"/>
            <w:vAlign w:val="center"/>
            <w:hideMark/>
          </w:tcPr>
          <w:p w14:paraId="6FE17A9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149</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8283BC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-10,00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7A8A548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64,63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7D995F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-35,37</w:t>
            </w:r>
          </w:p>
        </w:tc>
        <w:tc>
          <w:tcPr>
            <w:tcW w:w="708" w:type="dxa"/>
            <w:tcBorders>
              <w:top w:val="single" w:sz="4" w:space="0" w:color="auto"/>
              <w:left w:val="nil"/>
              <w:bottom w:val="single" w:sz="4" w:space="0" w:color="000000"/>
              <w:right w:val="single" w:sz="4" w:space="0" w:color="000000"/>
            </w:tcBorders>
            <w:shd w:val="clear" w:color="auto" w:fill="auto"/>
            <w:vAlign w:val="center"/>
            <w:hideMark/>
          </w:tcPr>
          <w:p w14:paraId="615ACCD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279</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73704E9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683901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64,37</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03C3DE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-35,63</w:t>
            </w:r>
          </w:p>
        </w:tc>
      </w:tr>
      <w:tr w:rsidR="0066583A" w:rsidRPr="004135FE" w14:paraId="22C55EDA"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0FD1BA3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7BE06E2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2019</w:t>
            </w:r>
          </w:p>
        </w:tc>
        <w:tc>
          <w:tcPr>
            <w:tcW w:w="850" w:type="dxa"/>
            <w:tcBorders>
              <w:top w:val="nil"/>
              <w:left w:val="nil"/>
              <w:bottom w:val="single" w:sz="4" w:space="0" w:color="auto"/>
              <w:right w:val="single" w:sz="4" w:space="0" w:color="auto"/>
            </w:tcBorders>
            <w:shd w:val="clear" w:color="auto" w:fill="auto"/>
            <w:vAlign w:val="center"/>
            <w:hideMark/>
          </w:tcPr>
          <w:p w14:paraId="6BEE6FC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276</w:t>
            </w:r>
          </w:p>
        </w:tc>
        <w:tc>
          <w:tcPr>
            <w:tcW w:w="992" w:type="dxa"/>
            <w:tcBorders>
              <w:top w:val="nil"/>
              <w:left w:val="nil"/>
              <w:bottom w:val="single" w:sz="4" w:space="0" w:color="auto"/>
              <w:right w:val="single" w:sz="4" w:space="0" w:color="auto"/>
            </w:tcBorders>
            <w:shd w:val="clear" w:color="auto" w:fill="auto"/>
            <w:noWrap/>
            <w:vAlign w:val="center"/>
            <w:hideMark/>
          </w:tcPr>
          <w:p w14:paraId="3544477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-152,00</w:t>
            </w:r>
          </w:p>
        </w:tc>
        <w:tc>
          <w:tcPr>
            <w:tcW w:w="1418" w:type="dxa"/>
            <w:tcBorders>
              <w:top w:val="nil"/>
              <w:left w:val="nil"/>
              <w:bottom w:val="single" w:sz="4" w:space="0" w:color="auto"/>
              <w:right w:val="single" w:sz="4" w:space="0" w:color="auto"/>
            </w:tcBorders>
            <w:shd w:val="clear" w:color="auto" w:fill="auto"/>
            <w:noWrap/>
            <w:vAlign w:val="center"/>
            <w:hideMark/>
          </w:tcPr>
          <w:p w14:paraId="1776966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62,85</w:t>
            </w:r>
          </w:p>
        </w:tc>
        <w:tc>
          <w:tcPr>
            <w:tcW w:w="992" w:type="dxa"/>
            <w:tcBorders>
              <w:top w:val="nil"/>
              <w:left w:val="nil"/>
              <w:bottom w:val="single" w:sz="4" w:space="0" w:color="auto"/>
              <w:right w:val="single" w:sz="4" w:space="0" w:color="auto"/>
            </w:tcBorders>
            <w:shd w:val="clear" w:color="auto" w:fill="auto"/>
            <w:noWrap/>
            <w:vAlign w:val="center"/>
            <w:hideMark/>
          </w:tcPr>
          <w:p w14:paraId="3B74655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-37,15</w:t>
            </w:r>
          </w:p>
        </w:tc>
        <w:tc>
          <w:tcPr>
            <w:tcW w:w="992" w:type="dxa"/>
            <w:tcBorders>
              <w:top w:val="nil"/>
              <w:left w:val="nil"/>
              <w:bottom w:val="single" w:sz="4" w:space="0" w:color="000000"/>
              <w:right w:val="single" w:sz="4" w:space="0" w:color="000000"/>
            </w:tcBorders>
            <w:shd w:val="clear" w:color="auto" w:fill="auto"/>
            <w:vAlign w:val="center"/>
            <w:hideMark/>
          </w:tcPr>
          <w:p w14:paraId="7B6009A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116</w:t>
            </w:r>
          </w:p>
        </w:tc>
        <w:tc>
          <w:tcPr>
            <w:tcW w:w="851" w:type="dxa"/>
            <w:tcBorders>
              <w:top w:val="nil"/>
              <w:left w:val="nil"/>
              <w:bottom w:val="single" w:sz="4" w:space="0" w:color="auto"/>
              <w:right w:val="single" w:sz="4" w:space="0" w:color="auto"/>
            </w:tcBorders>
            <w:shd w:val="clear" w:color="auto" w:fill="auto"/>
            <w:noWrap/>
            <w:vAlign w:val="center"/>
            <w:hideMark/>
          </w:tcPr>
          <w:p w14:paraId="2E601A9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-33,00</w:t>
            </w:r>
          </w:p>
        </w:tc>
        <w:tc>
          <w:tcPr>
            <w:tcW w:w="1276" w:type="dxa"/>
            <w:tcBorders>
              <w:top w:val="nil"/>
              <w:left w:val="nil"/>
              <w:bottom w:val="single" w:sz="4" w:space="0" w:color="auto"/>
              <w:right w:val="single" w:sz="4" w:space="0" w:color="auto"/>
            </w:tcBorders>
            <w:shd w:val="clear" w:color="auto" w:fill="auto"/>
            <w:noWrap/>
            <w:vAlign w:val="center"/>
            <w:hideMark/>
          </w:tcPr>
          <w:p w14:paraId="37E9370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60,57</w:t>
            </w:r>
          </w:p>
        </w:tc>
        <w:tc>
          <w:tcPr>
            <w:tcW w:w="1134" w:type="dxa"/>
            <w:tcBorders>
              <w:top w:val="nil"/>
              <w:left w:val="nil"/>
              <w:bottom w:val="single" w:sz="4" w:space="0" w:color="auto"/>
              <w:right w:val="single" w:sz="4" w:space="0" w:color="auto"/>
            </w:tcBorders>
            <w:shd w:val="clear" w:color="auto" w:fill="auto"/>
            <w:noWrap/>
            <w:vAlign w:val="center"/>
            <w:hideMark/>
          </w:tcPr>
          <w:p w14:paraId="08F0BA0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-39,43</w:t>
            </w:r>
          </w:p>
        </w:tc>
        <w:tc>
          <w:tcPr>
            <w:tcW w:w="708" w:type="dxa"/>
            <w:tcBorders>
              <w:top w:val="nil"/>
              <w:left w:val="nil"/>
              <w:bottom w:val="single" w:sz="4" w:space="0" w:color="000000"/>
              <w:right w:val="single" w:sz="4" w:space="0" w:color="000000"/>
            </w:tcBorders>
            <w:shd w:val="clear" w:color="auto" w:fill="auto"/>
            <w:vAlign w:val="center"/>
            <w:hideMark/>
          </w:tcPr>
          <w:p w14:paraId="161E222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160</w:t>
            </w:r>
          </w:p>
        </w:tc>
        <w:tc>
          <w:tcPr>
            <w:tcW w:w="993" w:type="dxa"/>
            <w:tcBorders>
              <w:top w:val="nil"/>
              <w:left w:val="nil"/>
              <w:bottom w:val="single" w:sz="4" w:space="0" w:color="auto"/>
              <w:right w:val="single" w:sz="4" w:space="0" w:color="auto"/>
            </w:tcBorders>
            <w:shd w:val="clear" w:color="auto" w:fill="auto"/>
            <w:noWrap/>
            <w:vAlign w:val="center"/>
            <w:hideMark/>
          </w:tcPr>
          <w:p w14:paraId="1D11B43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-119,00</w:t>
            </w:r>
          </w:p>
        </w:tc>
        <w:tc>
          <w:tcPr>
            <w:tcW w:w="992" w:type="dxa"/>
            <w:tcBorders>
              <w:top w:val="nil"/>
              <w:left w:val="nil"/>
              <w:bottom w:val="single" w:sz="4" w:space="0" w:color="auto"/>
              <w:right w:val="single" w:sz="4" w:space="0" w:color="auto"/>
            </w:tcBorders>
            <w:shd w:val="clear" w:color="auto" w:fill="auto"/>
            <w:noWrap/>
            <w:vAlign w:val="center"/>
            <w:hideMark/>
          </w:tcPr>
          <w:p w14:paraId="4B3BB81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64,14</w:t>
            </w:r>
          </w:p>
        </w:tc>
        <w:tc>
          <w:tcPr>
            <w:tcW w:w="992" w:type="dxa"/>
            <w:tcBorders>
              <w:top w:val="nil"/>
              <w:left w:val="nil"/>
              <w:bottom w:val="single" w:sz="4" w:space="0" w:color="auto"/>
              <w:right w:val="single" w:sz="4" w:space="0" w:color="auto"/>
            </w:tcBorders>
            <w:shd w:val="clear" w:color="auto" w:fill="auto"/>
            <w:noWrap/>
            <w:vAlign w:val="center"/>
            <w:hideMark/>
          </w:tcPr>
          <w:p w14:paraId="4D1110F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-35,86</w:t>
            </w:r>
          </w:p>
        </w:tc>
      </w:tr>
      <w:tr w:rsidR="0066583A" w:rsidRPr="004135FE" w14:paraId="0531E203"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08D499B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5F1A47D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2020</w:t>
            </w:r>
          </w:p>
        </w:tc>
        <w:tc>
          <w:tcPr>
            <w:tcW w:w="850" w:type="dxa"/>
            <w:tcBorders>
              <w:top w:val="nil"/>
              <w:left w:val="nil"/>
              <w:bottom w:val="single" w:sz="4" w:space="0" w:color="auto"/>
              <w:right w:val="single" w:sz="4" w:space="0" w:color="auto"/>
            </w:tcBorders>
            <w:shd w:val="clear" w:color="auto" w:fill="auto"/>
            <w:vAlign w:val="center"/>
            <w:hideMark/>
          </w:tcPr>
          <w:p w14:paraId="0E41EF3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342</w:t>
            </w:r>
          </w:p>
        </w:tc>
        <w:tc>
          <w:tcPr>
            <w:tcW w:w="992" w:type="dxa"/>
            <w:tcBorders>
              <w:top w:val="nil"/>
              <w:left w:val="nil"/>
              <w:bottom w:val="single" w:sz="4" w:space="0" w:color="auto"/>
              <w:right w:val="single" w:sz="4" w:space="0" w:color="auto"/>
            </w:tcBorders>
            <w:shd w:val="clear" w:color="auto" w:fill="auto"/>
            <w:noWrap/>
            <w:vAlign w:val="center"/>
            <w:hideMark/>
          </w:tcPr>
          <w:p w14:paraId="12823BF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66,00</w:t>
            </w:r>
          </w:p>
        </w:tc>
        <w:tc>
          <w:tcPr>
            <w:tcW w:w="1418" w:type="dxa"/>
            <w:tcBorders>
              <w:top w:val="nil"/>
              <w:left w:val="nil"/>
              <w:bottom w:val="single" w:sz="4" w:space="0" w:color="auto"/>
              <w:right w:val="single" w:sz="4" w:space="0" w:color="auto"/>
            </w:tcBorders>
            <w:shd w:val="clear" w:color="auto" w:fill="auto"/>
            <w:noWrap/>
            <w:vAlign w:val="center"/>
            <w:hideMark/>
          </w:tcPr>
          <w:p w14:paraId="294239C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40,53</w:t>
            </w:r>
          </w:p>
        </w:tc>
        <w:tc>
          <w:tcPr>
            <w:tcW w:w="992" w:type="dxa"/>
            <w:tcBorders>
              <w:top w:val="nil"/>
              <w:left w:val="nil"/>
              <w:bottom w:val="single" w:sz="4" w:space="0" w:color="auto"/>
              <w:right w:val="single" w:sz="4" w:space="0" w:color="auto"/>
            </w:tcBorders>
            <w:shd w:val="clear" w:color="auto" w:fill="auto"/>
            <w:noWrap/>
            <w:vAlign w:val="center"/>
            <w:hideMark/>
          </w:tcPr>
          <w:p w14:paraId="6CB088F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-59,47</w:t>
            </w:r>
          </w:p>
        </w:tc>
        <w:tc>
          <w:tcPr>
            <w:tcW w:w="992" w:type="dxa"/>
            <w:tcBorders>
              <w:top w:val="nil"/>
              <w:left w:val="nil"/>
              <w:bottom w:val="single" w:sz="4" w:space="0" w:color="000000"/>
              <w:right w:val="single" w:sz="4" w:space="0" w:color="000000"/>
            </w:tcBorders>
            <w:shd w:val="clear" w:color="auto" w:fill="auto"/>
            <w:vAlign w:val="center"/>
            <w:hideMark/>
          </w:tcPr>
          <w:p w14:paraId="4B82A87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130</w:t>
            </w:r>
          </w:p>
        </w:tc>
        <w:tc>
          <w:tcPr>
            <w:tcW w:w="851" w:type="dxa"/>
            <w:tcBorders>
              <w:top w:val="nil"/>
              <w:left w:val="nil"/>
              <w:bottom w:val="single" w:sz="4" w:space="0" w:color="auto"/>
              <w:right w:val="single" w:sz="4" w:space="0" w:color="auto"/>
            </w:tcBorders>
            <w:shd w:val="clear" w:color="auto" w:fill="auto"/>
            <w:noWrap/>
            <w:vAlign w:val="center"/>
            <w:hideMark/>
          </w:tcPr>
          <w:p w14:paraId="6E84F30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14,00</w:t>
            </w:r>
          </w:p>
        </w:tc>
        <w:tc>
          <w:tcPr>
            <w:tcW w:w="1276" w:type="dxa"/>
            <w:tcBorders>
              <w:top w:val="nil"/>
              <w:left w:val="nil"/>
              <w:bottom w:val="single" w:sz="4" w:space="0" w:color="auto"/>
              <w:right w:val="single" w:sz="4" w:space="0" w:color="auto"/>
            </w:tcBorders>
            <w:shd w:val="clear" w:color="auto" w:fill="auto"/>
            <w:noWrap/>
            <w:vAlign w:val="center"/>
            <w:hideMark/>
          </w:tcPr>
          <w:p w14:paraId="7D6D518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47,15</w:t>
            </w:r>
          </w:p>
        </w:tc>
        <w:tc>
          <w:tcPr>
            <w:tcW w:w="1134" w:type="dxa"/>
            <w:tcBorders>
              <w:top w:val="nil"/>
              <w:left w:val="nil"/>
              <w:bottom w:val="single" w:sz="4" w:space="0" w:color="auto"/>
              <w:right w:val="single" w:sz="4" w:space="0" w:color="auto"/>
            </w:tcBorders>
            <w:shd w:val="clear" w:color="auto" w:fill="auto"/>
            <w:noWrap/>
            <w:vAlign w:val="center"/>
            <w:hideMark/>
          </w:tcPr>
          <w:p w14:paraId="65DD822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-52,85</w:t>
            </w:r>
          </w:p>
        </w:tc>
        <w:tc>
          <w:tcPr>
            <w:tcW w:w="708" w:type="dxa"/>
            <w:tcBorders>
              <w:top w:val="nil"/>
              <w:left w:val="nil"/>
              <w:bottom w:val="single" w:sz="4" w:space="0" w:color="000000"/>
              <w:right w:val="single" w:sz="4" w:space="0" w:color="000000"/>
            </w:tcBorders>
            <w:shd w:val="clear" w:color="auto" w:fill="auto"/>
            <w:vAlign w:val="center"/>
            <w:hideMark/>
          </w:tcPr>
          <w:p w14:paraId="7DD80C5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212</w:t>
            </w:r>
          </w:p>
        </w:tc>
        <w:tc>
          <w:tcPr>
            <w:tcW w:w="993" w:type="dxa"/>
            <w:tcBorders>
              <w:top w:val="nil"/>
              <w:left w:val="nil"/>
              <w:bottom w:val="single" w:sz="4" w:space="0" w:color="auto"/>
              <w:right w:val="single" w:sz="4" w:space="0" w:color="auto"/>
            </w:tcBorders>
            <w:shd w:val="clear" w:color="auto" w:fill="auto"/>
            <w:noWrap/>
            <w:vAlign w:val="center"/>
            <w:hideMark/>
          </w:tcPr>
          <w:p w14:paraId="645DE8C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52,00</w:t>
            </w:r>
          </w:p>
        </w:tc>
        <w:tc>
          <w:tcPr>
            <w:tcW w:w="992" w:type="dxa"/>
            <w:tcBorders>
              <w:top w:val="nil"/>
              <w:left w:val="nil"/>
              <w:bottom w:val="single" w:sz="4" w:space="0" w:color="auto"/>
              <w:right w:val="single" w:sz="4" w:space="0" w:color="auto"/>
            </w:tcBorders>
            <w:shd w:val="clear" w:color="auto" w:fill="auto"/>
            <w:noWrap/>
            <w:vAlign w:val="center"/>
            <w:hideMark/>
          </w:tcPr>
          <w:p w14:paraId="01B6FFD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36,78</w:t>
            </w:r>
          </w:p>
        </w:tc>
        <w:tc>
          <w:tcPr>
            <w:tcW w:w="992" w:type="dxa"/>
            <w:tcBorders>
              <w:top w:val="nil"/>
              <w:left w:val="nil"/>
              <w:bottom w:val="single" w:sz="4" w:space="0" w:color="auto"/>
              <w:right w:val="single" w:sz="4" w:space="0" w:color="auto"/>
            </w:tcBorders>
            <w:shd w:val="clear" w:color="auto" w:fill="auto"/>
            <w:noWrap/>
            <w:vAlign w:val="center"/>
            <w:hideMark/>
          </w:tcPr>
          <w:p w14:paraId="6482B3A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-63,22</w:t>
            </w:r>
          </w:p>
        </w:tc>
      </w:tr>
      <w:tr w:rsidR="0066583A" w:rsidRPr="004135FE" w14:paraId="2EE2EDCB"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65B8523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6B382DD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2021</w:t>
            </w:r>
          </w:p>
        </w:tc>
        <w:tc>
          <w:tcPr>
            <w:tcW w:w="850" w:type="dxa"/>
            <w:tcBorders>
              <w:top w:val="nil"/>
              <w:left w:val="nil"/>
              <w:bottom w:val="nil"/>
              <w:right w:val="nil"/>
            </w:tcBorders>
            <w:shd w:val="clear" w:color="auto" w:fill="auto"/>
            <w:noWrap/>
            <w:vAlign w:val="center"/>
            <w:hideMark/>
          </w:tcPr>
          <w:p w14:paraId="6542E9E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681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314B65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339,00</w:t>
            </w:r>
          </w:p>
        </w:tc>
        <w:tc>
          <w:tcPr>
            <w:tcW w:w="1418" w:type="dxa"/>
            <w:tcBorders>
              <w:top w:val="nil"/>
              <w:left w:val="nil"/>
              <w:bottom w:val="single" w:sz="4" w:space="0" w:color="auto"/>
              <w:right w:val="single" w:sz="4" w:space="0" w:color="auto"/>
            </w:tcBorders>
            <w:shd w:val="clear" w:color="auto" w:fill="auto"/>
            <w:noWrap/>
            <w:vAlign w:val="center"/>
            <w:hideMark/>
          </w:tcPr>
          <w:p w14:paraId="5CA4C70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50,22</w:t>
            </w:r>
          </w:p>
        </w:tc>
        <w:tc>
          <w:tcPr>
            <w:tcW w:w="992" w:type="dxa"/>
            <w:tcBorders>
              <w:top w:val="nil"/>
              <w:left w:val="nil"/>
              <w:bottom w:val="single" w:sz="4" w:space="0" w:color="auto"/>
              <w:right w:val="single" w:sz="4" w:space="0" w:color="auto"/>
            </w:tcBorders>
            <w:shd w:val="clear" w:color="auto" w:fill="auto"/>
            <w:noWrap/>
            <w:vAlign w:val="center"/>
            <w:hideMark/>
          </w:tcPr>
          <w:p w14:paraId="38744F0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-49,78</w:t>
            </w:r>
          </w:p>
        </w:tc>
        <w:tc>
          <w:tcPr>
            <w:tcW w:w="992" w:type="dxa"/>
            <w:tcBorders>
              <w:top w:val="nil"/>
              <w:left w:val="nil"/>
              <w:bottom w:val="single" w:sz="4" w:space="0" w:color="000000"/>
              <w:right w:val="single" w:sz="4" w:space="0" w:color="000000"/>
            </w:tcBorders>
            <w:shd w:val="clear" w:color="auto" w:fill="auto"/>
            <w:vAlign w:val="center"/>
            <w:hideMark/>
          </w:tcPr>
          <w:p w14:paraId="61099B0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246</w:t>
            </w:r>
          </w:p>
        </w:tc>
        <w:tc>
          <w:tcPr>
            <w:tcW w:w="851" w:type="dxa"/>
            <w:tcBorders>
              <w:top w:val="nil"/>
              <w:left w:val="nil"/>
              <w:bottom w:val="single" w:sz="4" w:space="0" w:color="auto"/>
              <w:right w:val="single" w:sz="4" w:space="0" w:color="auto"/>
            </w:tcBorders>
            <w:shd w:val="clear" w:color="auto" w:fill="auto"/>
            <w:noWrap/>
            <w:vAlign w:val="center"/>
            <w:hideMark/>
          </w:tcPr>
          <w:p w14:paraId="488E798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116,00</w:t>
            </w:r>
          </w:p>
        </w:tc>
        <w:tc>
          <w:tcPr>
            <w:tcW w:w="1276" w:type="dxa"/>
            <w:tcBorders>
              <w:top w:val="nil"/>
              <w:left w:val="nil"/>
              <w:bottom w:val="single" w:sz="4" w:space="0" w:color="auto"/>
              <w:right w:val="single" w:sz="4" w:space="0" w:color="auto"/>
            </w:tcBorders>
            <w:shd w:val="clear" w:color="auto" w:fill="auto"/>
            <w:noWrap/>
            <w:vAlign w:val="center"/>
            <w:hideMark/>
          </w:tcPr>
          <w:p w14:paraId="1CD8D2D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52,85</w:t>
            </w:r>
          </w:p>
        </w:tc>
        <w:tc>
          <w:tcPr>
            <w:tcW w:w="1134" w:type="dxa"/>
            <w:tcBorders>
              <w:top w:val="nil"/>
              <w:left w:val="nil"/>
              <w:bottom w:val="single" w:sz="4" w:space="0" w:color="auto"/>
              <w:right w:val="single" w:sz="4" w:space="0" w:color="auto"/>
            </w:tcBorders>
            <w:shd w:val="clear" w:color="auto" w:fill="auto"/>
            <w:noWrap/>
            <w:vAlign w:val="center"/>
            <w:hideMark/>
          </w:tcPr>
          <w:p w14:paraId="451C33D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-47,15</w:t>
            </w:r>
          </w:p>
        </w:tc>
        <w:tc>
          <w:tcPr>
            <w:tcW w:w="708" w:type="dxa"/>
            <w:tcBorders>
              <w:top w:val="nil"/>
              <w:left w:val="nil"/>
              <w:bottom w:val="single" w:sz="4" w:space="0" w:color="000000"/>
              <w:right w:val="single" w:sz="4" w:space="0" w:color="000000"/>
            </w:tcBorders>
            <w:shd w:val="clear" w:color="auto" w:fill="auto"/>
            <w:vAlign w:val="center"/>
            <w:hideMark/>
          </w:tcPr>
          <w:p w14:paraId="65FD23A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435</w:t>
            </w:r>
          </w:p>
        </w:tc>
        <w:tc>
          <w:tcPr>
            <w:tcW w:w="993" w:type="dxa"/>
            <w:tcBorders>
              <w:top w:val="nil"/>
              <w:left w:val="nil"/>
              <w:bottom w:val="single" w:sz="4" w:space="0" w:color="auto"/>
              <w:right w:val="single" w:sz="4" w:space="0" w:color="auto"/>
            </w:tcBorders>
            <w:shd w:val="clear" w:color="auto" w:fill="auto"/>
            <w:noWrap/>
            <w:vAlign w:val="center"/>
            <w:hideMark/>
          </w:tcPr>
          <w:p w14:paraId="3B4EB7F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223,00</w:t>
            </w:r>
          </w:p>
        </w:tc>
        <w:tc>
          <w:tcPr>
            <w:tcW w:w="992" w:type="dxa"/>
            <w:tcBorders>
              <w:top w:val="nil"/>
              <w:left w:val="nil"/>
              <w:bottom w:val="single" w:sz="4" w:space="0" w:color="auto"/>
              <w:right w:val="single" w:sz="4" w:space="0" w:color="auto"/>
            </w:tcBorders>
            <w:shd w:val="clear" w:color="auto" w:fill="auto"/>
            <w:noWrap/>
            <w:vAlign w:val="center"/>
            <w:hideMark/>
          </w:tcPr>
          <w:p w14:paraId="55F4F5F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48,74</w:t>
            </w:r>
          </w:p>
        </w:tc>
        <w:tc>
          <w:tcPr>
            <w:tcW w:w="992" w:type="dxa"/>
            <w:tcBorders>
              <w:top w:val="nil"/>
              <w:left w:val="nil"/>
              <w:bottom w:val="single" w:sz="4" w:space="0" w:color="auto"/>
              <w:right w:val="single" w:sz="4" w:space="0" w:color="auto"/>
            </w:tcBorders>
            <w:shd w:val="clear" w:color="auto" w:fill="auto"/>
            <w:noWrap/>
            <w:vAlign w:val="center"/>
            <w:hideMark/>
          </w:tcPr>
          <w:p w14:paraId="318DFB0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-51,26</w:t>
            </w:r>
          </w:p>
        </w:tc>
      </w:tr>
      <w:tr w:rsidR="00B16459" w:rsidRPr="004135FE" w14:paraId="0916D7E7"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52C9407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000000" w:fill="FFFFFF"/>
            <w:noWrap/>
            <w:vAlign w:val="center"/>
            <w:hideMark/>
          </w:tcPr>
          <w:p w14:paraId="0DBAE62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среднее</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561C469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397,90</w:t>
            </w:r>
          </w:p>
        </w:tc>
        <w:tc>
          <w:tcPr>
            <w:tcW w:w="992" w:type="dxa"/>
            <w:tcBorders>
              <w:top w:val="nil"/>
              <w:left w:val="nil"/>
              <w:bottom w:val="single" w:sz="4" w:space="0" w:color="auto"/>
              <w:right w:val="single" w:sz="4" w:space="0" w:color="auto"/>
            </w:tcBorders>
            <w:shd w:val="clear" w:color="000000" w:fill="FFFFFF"/>
            <w:noWrap/>
            <w:vAlign w:val="center"/>
            <w:hideMark/>
          </w:tcPr>
          <w:p w14:paraId="15CD530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39,56</w:t>
            </w:r>
          </w:p>
        </w:tc>
        <w:tc>
          <w:tcPr>
            <w:tcW w:w="1418" w:type="dxa"/>
            <w:tcBorders>
              <w:top w:val="nil"/>
              <w:left w:val="nil"/>
              <w:bottom w:val="single" w:sz="4" w:space="0" w:color="auto"/>
              <w:right w:val="single" w:sz="4" w:space="0" w:color="auto"/>
            </w:tcBorders>
            <w:shd w:val="clear" w:color="000000" w:fill="FFFFFF"/>
            <w:noWrap/>
            <w:vAlign w:val="center"/>
            <w:hideMark/>
          </w:tcPr>
          <w:p w14:paraId="00F6AED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108,57</w:t>
            </w:r>
          </w:p>
        </w:tc>
        <w:tc>
          <w:tcPr>
            <w:tcW w:w="992" w:type="dxa"/>
            <w:tcBorders>
              <w:top w:val="nil"/>
              <w:left w:val="nil"/>
              <w:bottom w:val="single" w:sz="4" w:space="0" w:color="auto"/>
              <w:right w:val="single" w:sz="4" w:space="0" w:color="auto"/>
            </w:tcBorders>
            <w:shd w:val="clear" w:color="000000" w:fill="FFFFFF"/>
            <w:noWrap/>
            <w:vAlign w:val="center"/>
            <w:hideMark/>
          </w:tcPr>
          <w:p w14:paraId="129D9D7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8,57</w:t>
            </w:r>
          </w:p>
        </w:tc>
        <w:tc>
          <w:tcPr>
            <w:tcW w:w="992" w:type="dxa"/>
            <w:tcBorders>
              <w:top w:val="nil"/>
              <w:left w:val="nil"/>
              <w:bottom w:val="single" w:sz="4" w:space="0" w:color="auto"/>
              <w:right w:val="single" w:sz="4" w:space="0" w:color="auto"/>
            </w:tcBorders>
            <w:shd w:val="clear" w:color="000000" w:fill="FFFFFF"/>
            <w:noWrap/>
            <w:vAlign w:val="center"/>
            <w:hideMark/>
          </w:tcPr>
          <w:p w14:paraId="43AF66C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142,70</w:t>
            </w:r>
          </w:p>
        </w:tc>
        <w:tc>
          <w:tcPr>
            <w:tcW w:w="851" w:type="dxa"/>
            <w:tcBorders>
              <w:top w:val="nil"/>
              <w:left w:val="nil"/>
              <w:bottom w:val="single" w:sz="4" w:space="0" w:color="auto"/>
              <w:right w:val="single" w:sz="4" w:space="0" w:color="auto"/>
            </w:tcBorders>
            <w:shd w:val="clear" w:color="000000" w:fill="FFFFFF"/>
            <w:noWrap/>
            <w:vAlign w:val="center"/>
            <w:hideMark/>
          </w:tcPr>
          <w:p w14:paraId="3B07BA2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14,44</w:t>
            </w:r>
          </w:p>
        </w:tc>
        <w:tc>
          <w:tcPr>
            <w:tcW w:w="1276" w:type="dxa"/>
            <w:tcBorders>
              <w:top w:val="nil"/>
              <w:left w:val="nil"/>
              <w:bottom w:val="single" w:sz="4" w:space="0" w:color="auto"/>
              <w:right w:val="single" w:sz="4" w:space="0" w:color="auto"/>
            </w:tcBorders>
            <w:shd w:val="clear" w:color="000000" w:fill="FFFFFF"/>
            <w:noWrap/>
            <w:vAlign w:val="center"/>
            <w:hideMark/>
          </w:tcPr>
          <w:p w14:paraId="327C322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108,71</w:t>
            </w:r>
          </w:p>
        </w:tc>
        <w:tc>
          <w:tcPr>
            <w:tcW w:w="1134" w:type="dxa"/>
            <w:tcBorders>
              <w:top w:val="nil"/>
              <w:left w:val="nil"/>
              <w:bottom w:val="single" w:sz="4" w:space="0" w:color="auto"/>
              <w:right w:val="single" w:sz="4" w:space="0" w:color="auto"/>
            </w:tcBorders>
            <w:shd w:val="clear" w:color="000000" w:fill="FFFFFF"/>
            <w:noWrap/>
            <w:vAlign w:val="center"/>
            <w:hideMark/>
          </w:tcPr>
          <w:p w14:paraId="619C8B1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8,71</w:t>
            </w:r>
          </w:p>
        </w:tc>
        <w:tc>
          <w:tcPr>
            <w:tcW w:w="708" w:type="dxa"/>
            <w:tcBorders>
              <w:top w:val="nil"/>
              <w:left w:val="nil"/>
              <w:bottom w:val="single" w:sz="4" w:space="0" w:color="auto"/>
              <w:right w:val="single" w:sz="4" w:space="0" w:color="auto"/>
            </w:tcBorders>
            <w:shd w:val="clear" w:color="000000" w:fill="FFFFFF"/>
            <w:noWrap/>
            <w:vAlign w:val="center"/>
            <w:hideMark/>
          </w:tcPr>
          <w:p w14:paraId="4D90961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255,20</w:t>
            </w:r>
          </w:p>
        </w:tc>
        <w:tc>
          <w:tcPr>
            <w:tcW w:w="993" w:type="dxa"/>
            <w:tcBorders>
              <w:top w:val="nil"/>
              <w:left w:val="nil"/>
              <w:bottom w:val="single" w:sz="4" w:space="0" w:color="auto"/>
              <w:right w:val="single" w:sz="4" w:space="0" w:color="auto"/>
            </w:tcBorders>
            <w:shd w:val="clear" w:color="000000" w:fill="FFFFFF"/>
            <w:noWrap/>
            <w:vAlign w:val="center"/>
            <w:hideMark/>
          </w:tcPr>
          <w:p w14:paraId="3EDA0A8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25,11</w:t>
            </w:r>
          </w:p>
        </w:tc>
        <w:tc>
          <w:tcPr>
            <w:tcW w:w="992" w:type="dxa"/>
            <w:tcBorders>
              <w:top w:val="nil"/>
              <w:left w:val="nil"/>
              <w:bottom w:val="single" w:sz="4" w:space="0" w:color="auto"/>
              <w:right w:val="single" w:sz="4" w:space="0" w:color="auto"/>
            </w:tcBorders>
            <w:shd w:val="clear" w:color="000000" w:fill="FFFFFF"/>
            <w:noWrap/>
            <w:vAlign w:val="center"/>
            <w:hideMark/>
          </w:tcPr>
          <w:p w14:paraId="4DD2BCA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108,49</w:t>
            </w:r>
          </w:p>
        </w:tc>
        <w:tc>
          <w:tcPr>
            <w:tcW w:w="992" w:type="dxa"/>
            <w:tcBorders>
              <w:top w:val="nil"/>
              <w:left w:val="nil"/>
              <w:bottom w:val="single" w:sz="4" w:space="0" w:color="auto"/>
              <w:right w:val="single" w:sz="4" w:space="0" w:color="auto"/>
            </w:tcBorders>
            <w:shd w:val="clear" w:color="000000" w:fill="FFFFFF"/>
            <w:noWrap/>
            <w:vAlign w:val="center"/>
            <w:hideMark/>
          </w:tcPr>
          <w:p w14:paraId="289C23D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8,49</w:t>
            </w:r>
          </w:p>
        </w:tc>
      </w:tr>
      <w:tr w:rsidR="0066583A" w:rsidRPr="004135FE" w14:paraId="10C0E26F" w14:textId="77777777" w:rsidTr="00E2614D">
        <w:trPr>
          <w:trHeight w:val="283"/>
        </w:trPr>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C657DA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993" w:type="dxa"/>
            <w:tcBorders>
              <w:top w:val="nil"/>
              <w:left w:val="nil"/>
              <w:bottom w:val="single" w:sz="4" w:space="0" w:color="auto"/>
              <w:right w:val="single" w:sz="4" w:space="0" w:color="auto"/>
            </w:tcBorders>
            <w:shd w:val="clear" w:color="auto" w:fill="auto"/>
            <w:noWrap/>
            <w:vAlign w:val="center"/>
            <w:hideMark/>
          </w:tcPr>
          <w:p w14:paraId="6C91529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2012</w:t>
            </w:r>
          </w:p>
        </w:tc>
        <w:tc>
          <w:tcPr>
            <w:tcW w:w="850" w:type="dxa"/>
            <w:tcBorders>
              <w:top w:val="nil"/>
              <w:left w:val="nil"/>
              <w:bottom w:val="single" w:sz="4" w:space="0" w:color="auto"/>
              <w:right w:val="single" w:sz="4" w:space="0" w:color="auto"/>
            </w:tcBorders>
            <w:shd w:val="clear" w:color="auto" w:fill="auto"/>
            <w:vAlign w:val="center"/>
            <w:hideMark/>
          </w:tcPr>
          <w:p w14:paraId="1E1B5C0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266</w:t>
            </w:r>
          </w:p>
        </w:tc>
        <w:tc>
          <w:tcPr>
            <w:tcW w:w="992" w:type="dxa"/>
            <w:tcBorders>
              <w:top w:val="nil"/>
              <w:left w:val="nil"/>
              <w:bottom w:val="single" w:sz="4" w:space="0" w:color="auto"/>
              <w:right w:val="single" w:sz="4" w:space="0" w:color="auto"/>
            </w:tcBorders>
            <w:shd w:val="clear" w:color="auto" w:fill="auto"/>
            <w:noWrap/>
            <w:vAlign w:val="center"/>
            <w:hideMark/>
          </w:tcPr>
          <w:p w14:paraId="1AA6504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1418" w:type="dxa"/>
            <w:tcBorders>
              <w:top w:val="nil"/>
              <w:left w:val="nil"/>
              <w:bottom w:val="single" w:sz="4" w:space="0" w:color="auto"/>
              <w:right w:val="single" w:sz="4" w:space="0" w:color="auto"/>
            </w:tcBorders>
            <w:shd w:val="clear" w:color="auto" w:fill="auto"/>
            <w:noWrap/>
            <w:vAlign w:val="center"/>
            <w:hideMark/>
          </w:tcPr>
          <w:p w14:paraId="7962CEE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2" w:type="dxa"/>
            <w:tcBorders>
              <w:top w:val="nil"/>
              <w:left w:val="nil"/>
              <w:bottom w:val="single" w:sz="4" w:space="0" w:color="auto"/>
              <w:right w:val="single" w:sz="4" w:space="0" w:color="auto"/>
            </w:tcBorders>
            <w:shd w:val="clear" w:color="auto" w:fill="auto"/>
            <w:noWrap/>
            <w:vAlign w:val="center"/>
            <w:hideMark/>
          </w:tcPr>
          <w:p w14:paraId="5EA800E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2" w:type="dxa"/>
            <w:tcBorders>
              <w:top w:val="nil"/>
              <w:left w:val="nil"/>
              <w:bottom w:val="single" w:sz="4" w:space="0" w:color="000000"/>
              <w:right w:val="single" w:sz="4" w:space="0" w:color="000000"/>
            </w:tcBorders>
            <w:shd w:val="clear" w:color="auto" w:fill="auto"/>
            <w:vAlign w:val="center"/>
            <w:hideMark/>
          </w:tcPr>
          <w:p w14:paraId="6E36A1E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84</w:t>
            </w:r>
          </w:p>
        </w:tc>
        <w:tc>
          <w:tcPr>
            <w:tcW w:w="851" w:type="dxa"/>
            <w:tcBorders>
              <w:top w:val="nil"/>
              <w:left w:val="nil"/>
              <w:bottom w:val="single" w:sz="4" w:space="0" w:color="auto"/>
              <w:right w:val="single" w:sz="4" w:space="0" w:color="auto"/>
            </w:tcBorders>
            <w:shd w:val="clear" w:color="auto" w:fill="auto"/>
            <w:noWrap/>
            <w:vAlign w:val="center"/>
            <w:hideMark/>
          </w:tcPr>
          <w:p w14:paraId="40EE503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1276" w:type="dxa"/>
            <w:tcBorders>
              <w:top w:val="nil"/>
              <w:left w:val="nil"/>
              <w:bottom w:val="single" w:sz="4" w:space="0" w:color="auto"/>
              <w:right w:val="single" w:sz="4" w:space="0" w:color="auto"/>
            </w:tcBorders>
            <w:shd w:val="clear" w:color="auto" w:fill="auto"/>
            <w:noWrap/>
            <w:vAlign w:val="center"/>
            <w:hideMark/>
          </w:tcPr>
          <w:p w14:paraId="11894A3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1134" w:type="dxa"/>
            <w:tcBorders>
              <w:top w:val="nil"/>
              <w:left w:val="nil"/>
              <w:bottom w:val="single" w:sz="4" w:space="0" w:color="auto"/>
              <w:right w:val="single" w:sz="4" w:space="0" w:color="auto"/>
            </w:tcBorders>
            <w:shd w:val="clear" w:color="auto" w:fill="auto"/>
            <w:noWrap/>
            <w:vAlign w:val="center"/>
            <w:hideMark/>
          </w:tcPr>
          <w:p w14:paraId="5AF1FFB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708" w:type="dxa"/>
            <w:tcBorders>
              <w:top w:val="nil"/>
              <w:left w:val="nil"/>
              <w:bottom w:val="single" w:sz="4" w:space="0" w:color="000000"/>
              <w:right w:val="single" w:sz="4" w:space="0" w:color="000000"/>
            </w:tcBorders>
            <w:shd w:val="clear" w:color="auto" w:fill="auto"/>
            <w:vAlign w:val="center"/>
            <w:hideMark/>
          </w:tcPr>
          <w:p w14:paraId="10EB1AF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182</w:t>
            </w:r>
          </w:p>
        </w:tc>
        <w:tc>
          <w:tcPr>
            <w:tcW w:w="993" w:type="dxa"/>
            <w:tcBorders>
              <w:top w:val="nil"/>
              <w:left w:val="nil"/>
              <w:bottom w:val="single" w:sz="4" w:space="0" w:color="auto"/>
              <w:right w:val="single" w:sz="4" w:space="0" w:color="auto"/>
            </w:tcBorders>
            <w:shd w:val="clear" w:color="auto" w:fill="auto"/>
            <w:noWrap/>
            <w:vAlign w:val="center"/>
            <w:hideMark/>
          </w:tcPr>
          <w:p w14:paraId="267664A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2" w:type="dxa"/>
            <w:tcBorders>
              <w:top w:val="nil"/>
              <w:left w:val="nil"/>
              <w:bottom w:val="single" w:sz="4" w:space="0" w:color="auto"/>
              <w:right w:val="single" w:sz="4" w:space="0" w:color="auto"/>
            </w:tcBorders>
            <w:shd w:val="clear" w:color="auto" w:fill="auto"/>
            <w:noWrap/>
            <w:vAlign w:val="center"/>
            <w:hideMark/>
          </w:tcPr>
          <w:p w14:paraId="26FF215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2" w:type="dxa"/>
            <w:tcBorders>
              <w:top w:val="nil"/>
              <w:left w:val="nil"/>
              <w:bottom w:val="single" w:sz="4" w:space="0" w:color="auto"/>
              <w:right w:val="single" w:sz="4" w:space="0" w:color="auto"/>
            </w:tcBorders>
            <w:shd w:val="clear" w:color="auto" w:fill="auto"/>
            <w:noWrap/>
            <w:vAlign w:val="center"/>
            <w:hideMark/>
          </w:tcPr>
          <w:p w14:paraId="24B00BC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r>
      <w:tr w:rsidR="0066583A" w:rsidRPr="004135FE" w14:paraId="1F0DA4DB"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52BB699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7ACE47E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2013</w:t>
            </w:r>
          </w:p>
        </w:tc>
        <w:tc>
          <w:tcPr>
            <w:tcW w:w="850" w:type="dxa"/>
            <w:tcBorders>
              <w:top w:val="nil"/>
              <w:left w:val="nil"/>
              <w:bottom w:val="single" w:sz="4" w:space="0" w:color="auto"/>
              <w:right w:val="single" w:sz="4" w:space="0" w:color="auto"/>
            </w:tcBorders>
            <w:shd w:val="clear" w:color="auto" w:fill="auto"/>
            <w:vAlign w:val="center"/>
            <w:hideMark/>
          </w:tcPr>
          <w:p w14:paraId="56A858E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334</w:t>
            </w:r>
          </w:p>
        </w:tc>
        <w:tc>
          <w:tcPr>
            <w:tcW w:w="992" w:type="dxa"/>
            <w:tcBorders>
              <w:top w:val="nil"/>
              <w:left w:val="nil"/>
              <w:bottom w:val="single" w:sz="4" w:space="0" w:color="auto"/>
              <w:right w:val="single" w:sz="4" w:space="0" w:color="auto"/>
            </w:tcBorders>
            <w:shd w:val="clear" w:color="auto" w:fill="auto"/>
            <w:noWrap/>
            <w:vAlign w:val="center"/>
            <w:hideMark/>
          </w:tcPr>
          <w:p w14:paraId="136791E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68,00</w:t>
            </w:r>
          </w:p>
        </w:tc>
        <w:tc>
          <w:tcPr>
            <w:tcW w:w="1418" w:type="dxa"/>
            <w:tcBorders>
              <w:top w:val="nil"/>
              <w:left w:val="nil"/>
              <w:bottom w:val="single" w:sz="4" w:space="0" w:color="auto"/>
              <w:right w:val="single" w:sz="4" w:space="0" w:color="auto"/>
            </w:tcBorders>
            <w:shd w:val="clear" w:color="auto" w:fill="auto"/>
            <w:noWrap/>
            <w:vAlign w:val="center"/>
            <w:hideMark/>
          </w:tcPr>
          <w:p w14:paraId="0755FC2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48,36</w:t>
            </w:r>
          </w:p>
        </w:tc>
        <w:tc>
          <w:tcPr>
            <w:tcW w:w="992" w:type="dxa"/>
            <w:tcBorders>
              <w:top w:val="nil"/>
              <w:left w:val="nil"/>
              <w:bottom w:val="single" w:sz="4" w:space="0" w:color="auto"/>
              <w:right w:val="single" w:sz="4" w:space="0" w:color="auto"/>
            </w:tcBorders>
            <w:shd w:val="clear" w:color="auto" w:fill="auto"/>
            <w:noWrap/>
            <w:vAlign w:val="center"/>
            <w:hideMark/>
          </w:tcPr>
          <w:p w14:paraId="08B8245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-51,64</w:t>
            </w:r>
          </w:p>
        </w:tc>
        <w:tc>
          <w:tcPr>
            <w:tcW w:w="992" w:type="dxa"/>
            <w:tcBorders>
              <w:top w:val="nil"/>
              <w:left w:val="nil"/>
              <w:bottom w:val="single" w:sz="4" w:space="0" w:color="000000"/>
              <w:right w:val="single" w:sz="4" w:space="0" w:color="000000"/>
            </w:tcBorders>
            <w:shd w:val="clear" w:color="auto" w:fill="auto"/>
            <w:vAlign w:val="center"/>
            <w:hideMark/>
          </w:tcPr>
          <w:p w14:paraId="1B56D6D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6D7D3A5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53,00</w:t>
            </w:r>
          </w:p>
        </w:tc>
        <w:tc>
          <w:tcPr>
            <w:tcW w:w="1276" w:type="dxa"/>
            <w:tcBorders>
              <w:top w:val="nil"/>
              <w:left w:val="nil"/>
              <w:bottom w:val="single" w:sz="4" w:space="0" w:color="auto"/>
              <w:right w:val="single" w:sz="4" w:space="0" w:color="auto"/>
            </w:tcBorders>
            <w:shd w:val="clear" w:color="auto" w:fill="auto"/>
            <w:noWrap/>
            <w:vAlign w:val="center"/>
            <w:hideMark/>
          </w:tcPr>
          <w:p w14:paraId="783410F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39,07</w:t>
            </w:r>
          </w:p>
        </w:tc>
        <w:tc>
          <w:tcPr>
            <w:tcW w:w="1134" w:type="dxa"/>
            <w:tcBorders>
              <w:top w:val="nil"/>
              <w:left w:val="nil"/>
              <w:bottom w:val="single" w:sz="4" w:space="0" w:color="auto"/>
              <w:right w:val="single" w:sz="4" w:space="0" w:color="auto"/>
            </w:tcBorders>
            <w:shd w:val="clear" w:color="auto" w:fill="auto"/>
            <w:noWrap/>
            <w:vAlign w:val="center"/>
            <w:hideMark/>
          </w:tcPr>
          <w:p w14:paraId="007AD8C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-60,93</w:t>
            </w:r>
          </w:p>
        </w:tc>
        <w:tc>
          <w:tcPr>
            <w:tcW w:w="708" w:type="dxa"/>
            <w:tcBorders>
              <w:top w:val="nil"/>
              <w:left w:val="nil"/>
              <w:bottom w:val="single" w:sz="4" w:space="0" w:color="000000"/>
              <w:right w:val="single" w:sz="4" w:space="0" w:color="000000"/>
            </w:tcBorders>
            <w:shd w:val="clear" w:color="auto" w:fill="auto"/>
            <w:vAlign w:val="center"/>
            <w:hideMark/>
          </w:tcPr>
          <w:p w14:paraId="03DAFB1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197</w:t>
            </w:r>
          </w:p>
        </w:tc>
        <w:tc>
          <w:tcPr>
            <w:tcW w:w="993" w:type="dxa"/>
            <w:tcBorders>
              <w:top w:val="nil"/>
              <w:left w:val="nil"/>
              <w:bottom w:val="single" w:sz="4" w:space="0" w:color="auto"/>
              <w:right w:val="single" w:sz="4" w:space="0" w:color="auto"/>
            </w:tcBorders>
            <w:shd w:val="clear" w:color="auto" w:fill="auto"/>
            <w:noWrap/>
            <w:vAlign w:val="center"/>
            <w:hideMark/>
          </w:tcPr>
          <w:p w14:paraId="02DEC4E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15,00</w:t>
            </w:r>
          </w:p>
        </w:tc>
        <w:tc>
          <w:tcPr>
            <w:tcW w:w="992" w:type="dxa"/>
            <w:tcBorders>
              <w:top w:val="nil"/>
              <w:left w:val="nil"/>
              <w:bottom w:val="single" w:sz="4" w:space="0" w:color="auto"/>
              <w:right w:val="single" w:sz="4" w:space="0" w:color="auto"/>
            </w:tcBorders>
            <w:shd w:val="clear" w:color="auto" w:fill="auto"/>
            <w:noWrap/>
            <w:vAlign w:val="center"/>
            <w:hideMark/>
          </w:tcPr>
          <w:p w14:paraId="373464F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54,33</w:t>
            </w:r>
          </w:p>
        </w:tc>
        <w:tc>
          <w:tcPr>
            <w:tcW w:w="992" w:type="dxa"/>
            <w:tcBorders>
              <w:top w:val="nil"/>
              <w:left w:val="nil"/>
              <w:bottom w:val="single" w:sz="4" w:space="0" w:color="auto"/>
              <w:right w:val="single" w:sz="4" w:space="0" w:color="auto"/>
            </w:tcBorders>
            <w:shd w:val="clear" w:color="auto" w:fill="auto"/>
            <w:noWrap/>
            <w:vAlign w:val="center"/>
            <w:hideMark/>
          </w:tcPr>
          <w:p w14:paraId="7012DF4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-45,67</w:t>
            </w:r>
          </w:p>
        </w:tc>
      </w:tr>
      <w:tr w:rsidR="0066583A" w:rsidRPr="004135FE" w14:paraId="0437D07E"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697A203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0D33338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2014</w:t>
            </w:r>
          </w:p>
        </w:tc>
        <w:tc>
          <w:tcPr>
            <w:tcW w:w="850" w:type="dxa"/>
            <w:tcBorders>
              <w:top w:val="nil"/>
              <w:left w:val="nil"/>
              <w:bottom w:val="single" w:sz="4" w:space="0" w:color="auto"/>
              <w:right w:val="single" w:sz="4" w:space="0" w:color="auto"/>
            </w:tcBorders>
            <w:shd w:val="clear" w:color="auto" w:fill="auto"/>
            <w:vAlign w:val="center"/>
            <w:hideMark/>
          </w:tcPr>
          <w:p w14:paraId="004C8F7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275</w:t>
            </w:r>
          </w:p>
        </w:tc>
        <w:tc>
          <w:tcPr>
            <w:tcW w:w="992" w:type="dxa"/>
            <w:tcBorders>
              <w:top w:val="nil"/>
              <w:left w:val="nil"/>
              <w:bottom w:val="single" w:sz="4" w:space="0" w:color="auto"/>
              <w:right w:val="single" w:sz="4" w:space="0" w:color="auto"/>
            </w:tcBorders>
            <w:shd w:val="clear" w:color="auto" w:fill="auto"/>
            <w:noWrap/>
            <w:vAlign w:val="center"/>
            <w:hideMark/>
          </w:tcPr>
          <w:p w14:paraId="1427D43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-59,00</w:t>
            </w:r>
          </w:p>
        </w:tc>
        <w:tc>
          <w:tcPr>
            <w:tcW w:w="1418" w:type="dxa"/>
            <w:tcBorders>
              <w:top w:val="nil"/>
              <w:left w:val="nil"/>
              <w:bottom w:val="single" w:sz="4" w:space="0" w:color="auto"/>
              <w:right w:val="single" w:sz="4" w:space="0" w:color="auto"/>
            </w:tcBorders>
            <w:shd w:val="clear" w:color="auto" w:fill="auto"/>
            <w:noWrap/>
            <w:vAlign w:val="center"/>
            <w:hideMark/>
          </w:tcPr>
          <w:p w14:paraId="5706217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60,73</w:t>
            </w:r>
          </w:p>
        </w:tc>
        <w:tc>
          <w:tcPr>
            <w:tcW w:w="992" w:type="dxa"/>
            <w:tcBorders>
              <w:top w:val="nil"/>
              <w:left w:val="nil"/>
              <w:bottom w:val="single" w:sz="4" w:space="0" w:color="auto"/>
              <w:right w:val="single" w:sz="4" w:space="0" w:color="auto"/>
            </w:tcBorders>
            <w:shd w:val="clear" w:color="auto" w:fill="auto"/>
            <w:noWrap/>
            <w:vAlign w:val="center"/>
            <w:hideMark/>
          </w:tcPr>
          <w:p w14:paraId="213EE3B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-39,27</w:t>
            </w:r>
          </w:p>
        </w:tc>
        <w:tc>
          <w:tcPr>
            <w:tcW w:w="992" w:type="dxa"/>
            <w:tcBorders>
              <w:top w:val="nil"/>
              <w:left w:val="nil"/>
              <w:bottom w:val="single" w:sz="4" w:space="0" w:color="000000"/>
              <w:right w:val="single" w:sz="4" w:space="0" w:color="000000"/>
            </w:tcBorders>
            <w:shd w:val="clear" w:color="auto" w:fill="auto"/>
            <w:vAlign w:val="center"/>
            <w:hideMark/>
          </w:tcPr>
          <w:p w14:paraId="04B3082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105</w:t>
            </w:r>
          </w:p>
        </w:tc>
        <w:tc>
          <w:tcPr>
            <w:tcW w:w="851" w:type="dxa"/>
            <w:tcBorders>
              <w:top w:val="nil"/>
              <w:left w:val="nil"/>
              <w:bottom w:val="single" w:sz="4" w:space="0" w:color="auto"/>
              <w:right w:val="single" w:sz="4" w:space="0" w:color="auto"/>
            </w:tcBorders>
            <w:shd w:val="clear" w:color="auto" w:fill="auto"/>
            <w:noWrap/>
            <w:vAlign w:val="center"/>
            <w:hideMark/>
          </w:tcPr>
          <w:p w14:paraId="634D634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-32,00</w:t>
            </w:r>
          </w:p>
        </w:tc>
        <w:tc>
          <w:tcPr>
            <w:tcW w:w="1276" w:type="dxa"/>
            <w:tcBorders>
              <w:top w:val="nil"/>
              <w:left w:val="nil"/>
              <w:bottom w:val="single" w:sz="4" w:space="0" w:color="auto"/>
              <w:right w:val="single" w:sz="4" w:space="0" w:color="auto"/>
            </w:tcBorders>
            <w:shd w:val="clear" w:color="auto" w:fill="auto"/>
            <w:noWrap/>
            <w:vAlign w:val="center"/>
            <w:hideMark/>
          </w:tcPr>
          <w:p w14:paraId="2AE5F50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63,72</w:t>
            </w:r>
          </w:p>
        </w:tc>
        <w:tc>
          <w:tcPr>
            <w:tcW w:w="1134" w:type="dxa"/>
            <w:tcBorders>
              <w:top w:val="nil"/>
              <w:left w:val="nil"/>
              <w:bottom w:val="single" w:sz="4" w:space="0" w:color="auto"/>
              <w:right w:val="single" w:sz="4" w:space="0" w:color="auto"/>
            </w:tcBorders>
            <w:shd w:val="clear" w:color="auto" w:fill="auto"/>
            <w:noWrap/>
            <w:vAlign w:val="center"/>
            <w:hideMark/>
          </w:tcPr>
          <w:p w14:paraId="52F5F8C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-36,28</w:t>
            </w:r>
          </w:p>
        </w:tc>
        <w:tc>
          <w:tcPr>
            <w:tcW w:w="708" w:type="dxa"/>
            <w:tcBorders>
              <w:top w:val="nil"/>
              <w:left w:val="nil"/>
              <w:bottom w:val="single" w:sz="4" w:space="0" w:color="000000"/>
              <w:right w:val="single" w:sz="4" w:space="0" w:color="000000"/>
            </w:tcBorders>
            <w:shd w:val="clear" w:color="auto" w:fill="auto"/>
            <w:vAlign w:val="center"/>
            <w:hideMark/>
          </w:tcPr>
          <w:p w14:paraId="41554E4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170</w:t>
            </w:r>
          </w:p>
        </w:tc>
        <w:tc>
          <w:tcPr>
            <w:tcW w:w="993" w:type="dxa"/>
            <w:tcBorders>
              <w:top w:val="nil"/>
              <w:left w:val="nil"/>
              <w:bottom w:val="single" w:sz="4" w:space="0" w:color="auto"/>
              <w:right w:val="single" w:sz="4" w:space="0" w:color="auto"/>
            </w:tcBorders>
            <w:shd w:val="clear" w:color="auto" w:fill="auto"/>
            <w:noWrap/>
            <w:vAlign w:val="center"/>
            <w:hideMark/>
          </w:tcPr>
          <w:p w14:paraId="00A8897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-27,00</w:t>
            </w:r>
          </w:p>
        </w:tc>
        <w:tc>
          <w:tcPr>
            <w:tcW w:w="992" w:type="dxa"/>
            <w:tcBorders>
              <w:top w:val="nil"/>
              <w:left w:val="nil"/>
              <w:bottom w:val="single" w:sz="4" w:space="0" w:color="auto"/>
              <w:right w:val="single" w:sz="4" w:space="0" w:color="auto"/>
            </w:tcBorders>
            <w:shd w:val="clear" w:color="auto" w:fill="auto"/>
            <w:noWrap/>
            <w:vAlign w:val="center"/>
            <w:hideMark/>
          </w:tcPr>
          <w:p w14:paraId="5CADFF8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58,81</w:t>
            </w:r>
          </w:p>
        </w:tc>
        <w:tc>
          <w:tcPr>
            <w:tcW w:w="992" w:type="dxa"/>
            <w:tcBorders>
              <w:top w:val="nil"/>
              <w:left w:val="nil"/>
              <w:bottom w:val="single" w:sz="4" w:space="0" w:color="auto"/>
              <w:right w:val="single" w:sz="4" w:space="0" w:color="auto"/>
            </w:tcBorders>
            <w:shd w:val="clear" w:color="auto" w:fill="auto"/>
            <w:noWrap/>
            <w:vAlign w:val="center"/>
            <w:hideMark/>
          </w:tcPr>
          <w:p w14:paraId="1A31D15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-41,19</w:t>
            </w:r>
          </w:p>
        </w:tc>
      </w:tr>
      <w:tr w:rsidR="0066583A" w:rsidRPr="004135FE" w14:paraId="3968625B"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6C4630D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5BCD65E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2015</w:t>
            </w:r>
          </w:p>
        </w:tc>
        <w:tc>
          <w:tcPr>
            <w:tcW w:w="850" w:type="dxa"/>
            <w:tcBorders>
              <w:top w:val="nil"/>
              <w:left w:val="nil"/>
              <w:bottom w:val="single" w:sz="4" w:space="0" w:color="auto"/>
              <w:right w:val="single" w:sz="4" w:space="0" w:color="auto"/>
            </w:tcBorders>
            <w:shd w:val="clear" w:color="auto" w:fill="auto"/>
            <w:vAlign w:val="center"/>
            <w:hideMark/>
          </w:tcPr>
          <w:p w14:paraId="71CA294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330</w:t>
            </w:r>
          </w:p>
        </w:tc>
        <w:tc>
          <w:tcPr>
            <w:tcW w:w="992" w:type="dxa"/>
            <w:tcBorders>
              <w:top w:val="nil"/>
              <w:left w:val="nil"/>
              <w:bottom w:val="single" w:sz="4" w:space="0" w:color="auto"/>
              <w:right w:val="single" w:sz="4" w:space="0" w:color="auto"/>
            </w:tcBorders>
            <w:shd w:val="clear" w:color="auto" w:fill="auto"/>
            <w:noWrap/>
            <w:vAlign w:val="center"/>
            <w:hideMark/>
          </w:tcPr>
          <w:p w14:paraId="739D652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55,00</w:t>
            </w:r>
          </w:p>
        </w:tc>
        <w:tc>
          <w:tcPr>
            <w:tcW w:w="1418" w:type="dxa"/>
            <w:tcBorders>
              <w:top w:val="nil"/>
              <w:left w:val="nil"/>
              <w:bottom w:val="single" w:sz="4" w:space="0" w:color="auto"/>
              <w:right w:val="single" w:sz="4" w:space="0" w:color="auto"/>
            </w:tcBorders>
            <w:shd w:val="clear" w:color="auto" w:fill="auto"/>
            <w:noWrap/>
            <w:vAlign w:val="center"/>
            <w:hideMark/>
          </w:tcPr>
          <w:p w14:paraId="783E480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50,00</w:t>
            </w:r>
          </w:p>
        </w:tc>
        <w:tc>
          <w:tcPr>
            <w:tcW w:w="992" w:type="dxa"/>
            <w:tcBorders>
              <w:top w:val="nil"/>
              <w:left w:val="nil"/>
              <w:bottom w:val="single" w:sz="4" w:space="0" w:color="auto"/>
              <w:right w:val="single" w:sz="4" w:space="0" w:color="auto"/>
            </w:tcBorders>
            <w:shd w:val="clear" w:color="auto" w:fill="auto"/>
            <w:noWrap/>
            <w:vAlign w:val="center"/>
            <w:hideMark/>
          </w:tcPr>
          <w:p w14:paraId="085E440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-50,00</w:t>
            </w:r>
          </w:p>
        </w:tc>
        <w:tc>
          <w:tcPr>
            <w:tcW w:w="992" w:type="dxa"/>
            <w:tcBorders>
              <w:top w:val="nil"/>
              <w:left w:val="nil"/>
              <w:bottom w:val="single" w:sz="4" w:space="0" w:color="000000"/>
              <w:right w:val="single" w:sz="4" w:space="0" w:color="000000"/>
            </w:tcBorders>
            <w:shd w:val="clear" w:color="auto" w:fill="auto"/>
            <w:vAlign w:val="center"/>
            <w:hideMark/>
          </w:tcPr>
          <w:p w14:paraId="2364BAC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116</w:t>
            </w:r>
          </w:p>
        </w:tc>
        <w:tc>
          <w:tcPr>
            <w:tcW w:w="851" w:type="dxa"/>
            <w:tcBorders>
              <w:top w:val="nil"/>
              <w:left w:val="nil"/>
              <w:bottom w:val="single" w:sz="4" w:space="0" w:color="auto"/>
              <w:right w:val="single" w:sz="4" w:space="0" w:color="auto"/>
            </w:tcBorders>
            <w:shd w:val="clear" w:color="auto" w:fill="auto"/>
            <w:noWrap/>
            <w:vAlign w:val="center"/>
            <w:hideMark/>
          </w:tcPr>
          <w:p w14:paraId="6A5D3B6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11,00</w:t>
            </w:r>
          </w:p>
        </w:tc>
        <w:tc>
          <w:tcPr>
            <w:tcW w:w="1276" w:type="dxa"/>
            <w:tcBorders>
              <w:top w:val="nil"/>
              <w:left w:val="nil"/>
              <w:bottom w:val="single" w:sz="4" w:space="0" w:color="auto"/>
              <w:right w:val="single" w:sz="4" w:space="0" w:color="auto"/>
            </w:tcBorders>
            <w:shd w:val="clear" w:color="auto" w:fill="auto"/>
            <w:noWrap/>
            <w:vAlign w:val="center"/>
            <w:hideMark/>
          </w:tcPr>
          <w:p w14:paraId="15BCCE9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48,84</w:t>
            </w:r>
          </w:p>
        </w:tc>
        <w:tc>
          <w:tcPr>
            <w:tcW w:w="1134" w:type="dxa"/>
            <w:tcBorders>
              <w:top w:val="nil"/>
              <w:left w:val="nil"/>
              <w:bottom w:val="single" w:sz="4" w:space="0" w:color="auto"/>
              <w:right w:val="single" w:sz="4" w:space="0" w:color="auto"/>
            </w:tcBorders>
            <w:shd w:val="clear" w:color="auto" w:fill="auto"/>
            <w:noWrap/>
            <w:vAlign w:val="center"/>
            <w:hideMark/>
          </w:tcPr>
          <w:p w14:paraId="074E271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-51,16</w:t>
            </w:r>
          </w:p>
        </w:tc>
        <w:tc>
          <w:tcPr>
            <w:tcW w:w="708" w:type="dxa"/>
            <w:tcBorders>
              <w:top w:val="nil"/>
              <w:left w:val="nil"/>
              <w:bottom w:val="single" w:sz="4" w:space="0" w:color="000000"/>
              <w:right w:val="single" w:sz="4" w:space="0" w:color="000000"/>
            </w:tcBorders>
            <w:shd w:val="clear" w:color="auto" w:fill="auto"/>
            <w:vAlign w:val="center"/>
            <w:hideMark/>
          </w:tcPr>
          <w:p w14:paraId="5C3F361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214</w:t>
            </w:r>
          </w:p>
        </w:tc>
        <w:tc>
          <w:tcPr>
            <w:tcW w:w="993" w:type="dxa"/>
            <w:tcBorders>
              <w:top w:val="nil"/>
              <w:left w:val="nil"/>
              <w:bottom w:val="single" w:sz="4" w:space="0" w:color="auto"/>
              <w:right w:val="single" w:sz="4" w:space="0" w:color="auto"/>
            </w:tcBorders>
            <w:shd w:val="clear" w:color="auto" w:fill="auto"/>
            <w:noWrap/>
            <w:vAlign w:val="center"/>
            <w:hideMark/>
          </w:tcPr>
          <w:p w14:paraId="000BC15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44,00</w:t>
            </w:r>
          </w:p>
        </w:tc>
        <w:tc>
          <w:tcPr>
            <w:tcW w:w="992" w:type="dxa"/>
            <w:tcBorders>
              <w:top w:val="nil"/>
              <w:left w:val="nil"/>
              <w:bottom w:val="single" w:sz="4" w:space="0" w:color="auto"/>
              <w:right w:val="single" w:sz="4" w:space="0" w:color="auto"/>
            </w:tcBorders>
            <w:shd w:val="clear" w:color="auto" w:fill="auto"/>
            <w:noWrap/>
            <w:vAlign w:val="center"/>
            <w:hideMark/>
          </w:tcPr>
          <w:p w14:paraId="5E03FE8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50,75</w:t>
            </w:r>
          </w:p>
        </w:tc>
        <w:tc>
          <w:tcPr>
            <w:tcW w:w="992" w:type="dxa"/>
            <w:tcBorders>
              <w:top w:val="nil"/>
              <w:left w:val="nil"/>
              <w:bottom w:val="single" w:sz="4" w:space="0" w:color="auto"/>
              <w:right w:val="single" w:sz="4" w:space="0" w:color="auto"/>
            </w:tcBorders>
            <w:shd w:val="clear" w:color="auto" w:fill="auto"/>
            <w:noWrap/>
            <w:vAlign w:val="center"/>
            <w:hideMark/>
          </w:tcPr>
          <w:p w14:paraId="5A48E43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-49,25</w:t>
            </w:r>
          </w:p>
        </w:tc>
      </w:tr>
      <w:tr w:rsidR="0066583A" w:rsidRPr="004135FE" w14:paraId="2F0225B4"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74921C5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24571DC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2016</w:t>
            </w:r>
          </w:p>
        </w:tc>
        <w:tc>
          <w:tcPr>
            <w:tcW w:w="850" w:type="dxa"/>
            <w:tcBorders>
              <w:top w:val="nil"/>
              <w:left w:val="nil"/>
              <w:bottom w:val="single" w:sz="4" w:space="0" w:color="auto"/>
              <w:right w:val="single" w:sz="4" w:space="0" w:color="auto"/>
            </w:tcBorders>
            <w:shd w:val="clear" w:color="auto" w:fill="auto"/>
            <w:vAlign w:val="center"/>
            <w:hideMark/>
          </w:tcPr>
          <w:p w14:paraId="3D1E878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345</w:t>
            </w:r>
          </w:p>
        </w:tc>
        <w:tc>
          <w:tcPr>
            <w:tcW w:w="992" w:type="dxa"/>
            <w:tcBorders>
              <w:top w:val="nil"/>
              <w:left w:val="nil"/>
              <w:bottom w:val="single" w:sz="4" w:space="0" w:color="auto"/>
              <w:right w:val="single" w:sz="4" w:space="0" w:color="auto"/>
            </w:tcBorders>
            <w:shd w:val="clear" w:color="auto" w:fill="auto"/>
            <w:noWrap/>
            <w:vAlign w:val="center"/>
            <w:hideMark/>
          </w:tcPr>
          <w:p w14:paraId="57431CC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15,00</w:t>
            </w:r>
          </w:p>
        </w:tc>
        <w:tc>
          <w:tcPr>
            <w:tcW w:w="1418" w:type="dxa"/>
            <w:tcBorders>
              <w:top w:val="nil"/>
              <w:left w:val="nil"/>
              <w:bottom w:val="single" w:sz="4" w:space="0" w:color="auto"/>
              <w:right w:val="single" w:sz="4" w:space="0" w:color="auto"/>
            </w:tcBorders>
            <w:shd w:val="clear" w:color="auto" w:fill="auto"/>
            <w:noWrap/>
            <w:vAlign w:val="center"/>
            <w:hideMark/>
          </w:tcPr>
          <w:p w14:paraId="44B35E4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60,00</w:t>
            </w:r>
          </w:p>
        </w:tc>
        <w:tc>
          <w:tcPr>
            <w:tcW w:w="992" w:type="dxa"/>
            <w:tcBorders>
              <w:top w:val="nil"/>
              <w:left w:val="nil"/>
              <w:bottom w:val="single" w:sz="4" w:space="0" w:color="auto"/>
              <w:right w:val="single" w:sz="4" w:space="0" w:color="auto"/>
            </w:tcBorders>
            <w:shd w:val="clear" w:color="auto" w:fill="auto"/>
            <w:noWrap/>
            <w:vAlign w:val="center"/>
            <w:hideMark/>
          </w:tcPr>
          <w:p w14:paraId="3035744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-40,00</w:t>
            </w:r>
          </w:p>
        </w:tc>
        <w:tc>
          <w:tcPr>
            <w:tcW w:w="992" w:type="dxa"/>
            <w:tcBorders>
              <w:top w:val="nil"/>
              <w:left w:val="nil"/>
              <w:bottom w:val="single" w:sz="4" w:space="0" w:color="000000"/>
              <w:right w:val="single" w:sz="4" w:space="0" w:color="000000"/>
            </w:tcBorders>
            <w:shd w:val="clear" w:color="auto" w:fill="auto"/>
            <w:vAlign w:val="center"/>
            <w:hideMark/>
          </w:tcPr>
          <w:p w14:paraId="0DBBC75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142</w:t>
            </w:r>
          </w:p>
        </w:tc>
        <w:tc>
          <w:tcPr>
            <w:tcW w:w="851" w:type="dxa"/>
            <w:tcBorders>
              <w:top w:val="nil"/>
              <w:left w:val="nil"/>
              <w:bottom w:val="single" w:sz="4" w:space="0" w:color="auto"/>
              <w:right w:val="single" w:sz="4" w:space="0" w:color="auto"/>
            </w:tcBorders>
            <w:shd w:val="clear" w:color="auto" w:fill="auto"/>
            <w:noWrap/>
            <w:vAlign w:val="center"/>
            <w:hideMark/>
          </w:tcPr>
          <w:p w14:paraId="77DB9A9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26,00</w:t>
            </w:r>
          </w:p>
        </w:tc>
        <w:tc>
          <w:tcPr>
            <w:tcW w:w="1276" w:type="dxa"/>
            <w:tcBorders>
              <w:top w:val="nil"/>
              <w:left w:val="nil"/>
              <w:bottom w:val="single" w:sz="4" w:space="0" w:color="auto"/>
              <w:right w:val="single" w:sz="4" w:space="0" w:color="auto"/>
            </w:tcBorders>
            <w:shd w:val="clear" w:color="auto" w:fill="auto"/>
            <w:noWrap/>
            <w:vAlign w:val="center"/>
            <w:hideMark/>
          </w:tcPr>
          <w:p w14:paraId="3EC5827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53,95</w:t>
            </w:r>
          </w:p>
        </w:tc>
        <w:tc>
          <w:tcPr>
            <w:tcW w:w="1134" w:type="dxa"/>
            <w:tcBorders>
              <w:top w:val="nil"/>
              <w:left w:val="nil"/>
              <w:bottom w:val="single" w:sz="4" w:space="0" w:color="auto"/>
              <w:right w:val="single" w:sz="4" w:space="0" w:color="auto"/>
            </w:tcBorders>
            <w:shd w:val="clear" w:color="auto" w:fill="auto"/>
            <w:noWrap/>
            <w:vAlign w:val="center"/>
            <w:hideMark/>
          </w:tcPr>
          <w:p w14:paraId="3A2B0EA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-46,05</w:t>
            </w:r>
          </w:p>
        </w:tc>
        <w:tc>
          <w:tcPr>
            <w:tcW w:w="708" w:type="dxa"/>
            <w:tcBorders>
              <w:top w:val="nil"/>
              <w:left w:val="nil"/>
              <w:bottom w:val="single" w:sz="4" w:space="0" w:color="000000"/>
              <w:right w:val="single" w:sz="4" w:space="0" w:color="000000"/>
            </w:tcBorders>
            <w:shd w:val="clear" w:color="auto" w:fill="auto"/>
            <w:vAlign w:val="center"/>
            <w:hideMark/>
          </w:tcPr>
          <w:p w14:paraId="20DF284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203</w:t>
            </w:r>
          </w:p>
        </w:tc>
        <w:tc>
          <w:tcPr>
            <w:tcW w:w="993" w:type="dxa"/>
            <w:tcBorders>
              <w:top w:val="nil"/>
              <w:left w:val="nil"/>
              <w:bottom w:val="single" w:sz="4" w:space="0" w:color="auto"/>
              <w:right w:val="single" w:sz="4" w:space="0" w:color="auto"/>
            </w:tcBorders>
            <w:shd w:val="clear" w:color="auto" w:fill="auto"/>
            <w:noWrap/>
            <w:vAlign w:val="center"/>
            <w:hideMark/>
          </w:tcPr>
          <w:p w14:paraId="2C197B1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-11,00</w:t>
            </w:r>
          </w:p>
        </w:tc>
        <w:tc>
          <w:tcPr>
            <w:tcW w:w="992" w:type="dxa"/>
            <w:tcBorders>
              <w:top w:val="nil"/>
              <w:left w:val="nil"/>
              <w:bottom w:val="single" w:sz="4" w:space="0" w:color="auto"/>
              <w:right w:val="single" w:sz="4" w:space="0" w:color="auto"/>
            </w:tcBorders>
            <w:shd w:val="clear" w:color="auto" w:fill="auto"/>
            <w:noWrap/>
            <w:vAlign w:val="center"/>
            <w:hideMark/>
          </w:tcPr>
          <w:p w14:paraId="68951EB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63,88</w:t>
            </w:r>
          </w:p>
        </w:tc>
        <w:tc>
          <w:tcPr>
            <w:tcW w:w="992" w:type="dxa"/>
            <w:tcBorders>
              <w:top w:val="nil"/>
              <w:left w:val="nil"/>
              <w:bottom w:val="single" w:sz="4" w:space="0" w:color="auto"/>
              <w:right w:val="single" w:sz="4" w:space="0" w:color="auto"/>
            </w:tcBorders>
            <w:shd w:val="clear" w:color="auto" w:fill="auto"/>
            <w:noWrap/>
            <w:vAlign w:val="center"/>
            <w:hideMark/>
          </w:tcPr>
          <w:p w14:paraId="3BC927A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-36,12</w:t>
            </w:r>
          </w:p>
        </w:tc>
      </w:tr>
      <w:tr w:rsidR="0066583A" w:rsidRPr="004135FE" w14:paraId="054E7DDC"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006D388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791EF14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2017</w:t>
            </w:r>
          </w:p>
        </w:tc>
        <w:tc>
          <w:tcPr>
            <w:tcW w:w="850" w:type="dxa"/>
            <w:tcBorders>
              <w:top w:val="nil"/>
              <w:left w:val="nil"/>
              <w:bottom w:val="single" w:sz="4" w:space="0" w:color="auto"/>
              <w:right w:val="single" w:sz="4" w:space="0" w:color="auto"/>
            </w:tcBorders>
            <w:shd w:val="clear" w:color="auto" w:fill="auto"/>
            <w:vAlign w:val="center"/>
            <w:hideMark/>
          </w:tcPr>
          <w:p w14:paraId="331B274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326</w:t>
            </w:r>
          </w:p>
        </w:tc>
        <w:tc>
          <w:tcPr>
            <w:tcW w:w="992" w:type="dxa"/>
            <w:tcBorders>
              <w:top w:val="nil"/>
              <w:left w:val="nil"/>
              <w:bottom w:val="single" w:sz="4" w:space="0" w:color="auto"/>
              <w:right w:val="single" w:sz="4" w:space="0" w:color="auto"/>
            </w:tcBorders>
            <w:shd w:val="clear" w:color="auto" w:fill="auto"/>
            <w:noWrap/>
            <w:vAlign w:val="center"/>
            <w:hideMark/>
          </w:tcPr>
          <w:p w14:paraId="33BDD4B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-19,00</w:t>
            </w:r>
          </w:p>
        </w:tc>
        <w:tc>
          <w:tcPr>
            <w:tcW w:w="1418" w:type="dxa"/>
            <w:tcBorders>
              <w:top w:val="nil"/>
              <w:left w:val="nil"/>
              <w:bottom w:val="single" w:sz="4" w:space="0" w:color="auto"/>
              <w:right w:val="single" w:sz="4" w:space="0" w:color="auto"/>
            </w:tcBorders>
            <w:shd w:val="clear" w:color="auto" w:fill="auto"/>
            <w:noWrap/>
            <w:vAlign w:val="center"/>
            <w:hideMark/>
          </w:tcPr>
          <w:p w14:paraId="14970E4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62,73</w:t>
            </w:r>
          </w:p>
        </w:tc>
        <w:tc>
          <w:tcPr>
            <w:tcW w:w="992" w:type="dxa"/>
            <w:tcBorders>
              <w:top w:val="nil"/>
              <w:left w:val="nil"/>
              <w:bottom w:val="single" w:sz="4" w:space="0" w:color="auto"/>
              <w:right w:val="single" w:sz="4" w:space="0" w:color="auto"/>
            </w:tcBorders>
            <w:shd w:val="clear" w:color="auto" w:fill="auto"/>
            <w:noWrap/>
            <w:vAlign w:val="center"/>
            <w:hideMark/>
          </w:tcPr>
          <w:p w14:paraId="020ACB4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-37,27</w:t>
            </w:r>
          </w:p>
        </w:tc>
        <w:tc>
          <w:tcPr>
            <w:tcW w:w="992" w:type="dxa"/>
            <w:tcBorders>
              <w:top w:val="nil"/>
              <w:left w:val="nil"/>
              <w:bottom w:val="single" w:sz="4" w:space="0" w:color="000000"/>
              <w:right w:val="single" w:sz="4" w:space="0" w:color="000000"/>
            </w:tcBorders>
            <w:shd w:val="clear" w:color="auto" w:fill="auto"/>
            <w:vAlign w:val="center"/>
            <w:hideMark/>
          </w:tcPr>
          <w:p w14:paraId="7325195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153</w:t>
            </w:r>
          </w:p>
        </w:tc>
        <w:tc>
          <w:tcPr>
            <w:tcW w:w="851" w:type="dxa"/>
            <w:tcBorders>
              <w:top w:val="nil"/>
              <w:left w:val="nil"/>
              <w:bottom w:val="single" w:sz="4" w:space="0" w:color="auto"/>
              <w:right w:val="single" w:sz="4" w:space="0" w:color="auto"/>
            </w:tcBorders>
            <w:shd w:val="clear" w:color="auto" w:fill="auto"/>
            <w:noWrap/>
            <w:vAlign w:val="center"/>
            <w:hideMark/>
          </w:tcPr>
          <w:p w14:paraId="714A016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11,00</w:t>
            </w:r>
          </w:p>
        </w:tc>
        <w:tc>
          <w:tcPr>
            <w:tcW w:w="1276" w:type="dxa"/>
            <w:tcBorders>
              <w:top w:val="nil"/>
              <w:left w:val="nil"/>
              <w:bottom w:val="single" w:sz="4" w:space="0" w:color="auto"/>
              <w:right w:val="single" w:sz="4" w:space="0" w:color="auto"/>
            </w:tcBorders>
            <w:shd w:val="clear" w:color="auto" w:fill="auto"/>
            <w:noWrap/>
            <w:vAlign w:val="center"/>
            <w:hideMark/>
          </w:tcPr>
          <w:p w14:paraId="3F26069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66,05</w:t>
            </w:r>
          </w:p>
        </w:tc>
        <w:tc>
          <w:tcPr>
            <w:tcW w:w="1134" w:type="dxa"/>
            <w:tcBorders>
              <w:top w:val="nil"/>
              <w:left w:val="nil"/>
              <w:bottom w:val="single" w:sz="4" w:space="0" w:color="auto"/>
              <w:right w:val="single" w:sz="4" w:space="0" w:color="auto"/>
            </w:tcBorders>
            <w:shd w:val="clear" w:color="auto" w:fill="auto"/>
            <w:noWrap/>
            <w:vAlign w:val="center"/>
            <w:hideMark/>
          </w:tcPr>
          <w:p w14:paraId="30D6E3A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-33,95</w:t>
            </w:r>
          </w:p>
        </w:tc>
        <w:tc>
          <w:tcPr>
            <w:tcW w:w="708" w:type="dxa"/>
            <w:tcBorders>
              <w:top w:val="nil"/>
              <w:left w:val="nil"/>
              <w:bottom w:val="single" w:sz="4" w:space="0" w:color="000000"/>
              <w:right w:val="single" w:sz="4" w:space="0" w:color="000000"/>
            </w:tcBorders>
            <w:shd w:val="clear" w:color="auto" w:fill="auto"/>
            <w:vAlign w:val="center"/>
            <w:hideMark/>
          </w:tcPr>
          <w:p w14:paraId="3EE79A7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173</w:t>
            </w:r>
          </w:p>
        </w:tc>
        <w:tc>
          <w:tcPr>
            <w:tcW w:w="993" w:type="dxa"/>
            <w:tcBorders>
              <w:top w:val="nil"/>
              <w:left w:val="nil"/>
              <w:bottom w:val="single" w:sz="4" w:space="0" w:color="auto"/>
              <w:right w:val="single" w:sz="4" w:space="0" w:color="auto"/>
            </w:tcBorders>
            <w:shd w:val="clear" w:color="auto" w:fill="auto"/>
            <w:noWrap/>
            <w:vAlign w:val="center"/>
            <w:hideMark/>
          </w:tcPr>
          <w:p w14:paraId="561D8E3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-30,00</w:t>
            </w:r>
          </w:p>
        </w:tc>
        <w:tc>
          <w:tcPr>
            <w:tcW w:w="992" w:type="dxa"/>
            <w:tcBorders>
              <w:top w:val="nil"/>
              <w:left w:val="nil"/>
              <w:bottom w:val="single" w:sz="4" w:space="0" w:color="auto"/>
              <w:right w:val="single" w:sz="4" w:space="0" w:color="auto"/>
            </w:tcBorders>
            <w:shd w:val="clear" w:color="auto" w:fill="auto"/>
            <w:noWrap/>
            <w:vAlign w:val="center"/>
            <w:hideMark/>
          </w:tcPr>
          <w:p w14:paraId="46E4A1C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60,60</w:t>
            </w:r>
          </w:p>
        </w:tc>
        <w:tc>
          <w:tcPr>
            <w:tcW w:w="992" w:type="dxa"/>
            <w:tcBorders>
              <w:top w:val="nil"/>
              <w:left w:val="nil"/>
              <w:bottom w:val="single" w:sz="4" w:space="0" w:color="auto"/>
              <w:right w:val="single" w:sz="4" w:space="0" w:color="auto"/>
            </w:tcBorders>
            <w:shd w:val="clear" w:color="auto" w:fill="auto"/>
            <w:noWrap/>
            <w:vAlign w:val="center"/>
            <w:hideMark/>
          </w:tcPr>
          <w:p w14:paraId="4C20118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-39,40</w:t>
            </w:r>
          </w:p>
        </w:tc>
      </w:tr>
      <w:tr w:rsidR="0066583A" w:rsidRPr="004135FE" w14:paraId="56CDB399"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2F3F0B6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20A56E3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2018</w:t>
            </w:r>
          </w:p>
        </w:tc>
        <w:tc>
          <w:tcPr>
            <w:tcW w:w="850" w:type="dxa"/>
            <w:tcBorders>
              <w:top w:val="nil"/>
              <w:left w:val="nil"/>
              <w:bottom w:val="single" w:sz="4" w:space="0" w:color="auto"/>
              <w:right w:val="single" w:sz="4" w:space="0" w:color="auto"/>
            </w:tcBorders>
            <w:shd w:val="clear" w:color="auto" w:fill="auto"/>
            <w:vAlign w:val="center"/>
            <w:hideMark/>
          </w:tcPr>
          <w:p w14:paraId="05833C1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334</w:t>
            </w:r>
          </w:p>
        </w:tc>
        <w:tc>
          <w:tcPr>
            <w:tcW w:w="992" w:type="dxa"/>
            <w:tcBorders>
              <w:top w:val="nil"/>
              <w:left w:val="nil"/>
              <w:bottom w:val="single" w:sz="4" w:space="0" w:color="auto"/>
              <w:right w:val="single" w:sz="4" w:space="0" w:color="auto"/>
            </w:tcBorders>
            <w:shd w:val="clear" w:color="auto" w:fill="auto"/>
            <w:noWrap/>
            <w:vAlign w:val="center"/>
            <w:hideMark/>
          </w:tcPr>
          <w:p w14:paraId="16A4B94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8,00</w:t>
            </w:r>
          </w:p>
        </w:tc>
        <w:tc>
          <w:tcPr>
            <w:tcW w:w="1418" w:type="dxa"/>
            <w:tcBorders>
              <w:top w:val="nil"/>
              <w:left w:val="nil"/>
              <w:bottom w:val="single" w:sz="4" w:space="0" w:color="auto"/>
              <w:right w:val="single" w:sz="4" w:space="0" w:color="auto"/>
            </w:tcBorders>
            <w:shd w:val="clear" w:color="auto" w:fill="auto"/>
            <w:noWrap/>
            <w:vAlign w:val="center"/>
            <w:hideMark/>
          </w:tcPr>
          <w:p w14:paraId="48640BB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59,27</w:t>
            </w:r>
          </w:p>
        </w:tc>
        <w:tc>
          <w:tcPr>
            <w:tcW w:w="992" w:type="dxa"/>
            <w:tcBorders>
              <w:top w:val="nil"/>
              <w:left w:val="nil"/>
              <w:bottom w:val="single" w:sz="4" w:space="0" w:color="auto"/>
              <w:right w:val="single" w:sz="4" w:space="0" w:color="auto"/>
            </w:tcBorders>
            <w:shd w:val="clear" w:color="auto" w:fill="auto"/>
            <w:noWrap/>
            <w:vAlign w:val="center"/>
            <w:hideMark/>
          </w:tcPr>
          <w:p w14:paraId="412162A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-40,73</w:t>
            </w:r>
          </w:p>
        </w:tc>
        <w:tc>
          <w:tcPr>
            <w:tcW w:w="992" w:type="dxa"/>
            <w:tcBorders>
              <w:top w:val="nil"/>
              <w:left w:val="nil"/>
              <w:bottom w:val="single" w:sz="4" w:space="0" w:color="000000"/>
              <w:right w:val="single" w:sz="4" w:space="0" w:color="000000"/>
            </w:tcBorders>
            <w:shd w:val="clear" w:color="auto" w:fill="auto"/>
            <w:vAlign w:val="center"/>
            <w:hideMark/>
          </w:tcPr>
          <w:p w14:paraId="38D2D3A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123</w:t>
            </w:r>
          </w:p>
        </w:tc>
        <w:tc>
          <w:tcPr>
            <w:tcW w:w="851" w:type="dxa"/>
            <w:tcBorders>
              <w:top w:val="nil"/>
              <w:left w:val="nil"/>
              <w:bottom w:val="single" w:sz="4" w:space="0" w:color="auto"/>
              <w:right w:val="single" w:sz="4" w:space="0" w:color="auto"/>
            </w:tcBorders>
            <w:shd w:val="clear" w:color="auto" w:fill="auto"/>
            <w:noWrap/>
            <w:vAlign w:val="center"/>
            <w:hideMark/>
          </w:tcPr>
          <w:p w14:paraId="0B0F450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-30,00</w:t>
            </w:r>
          </w:p>
        </w:tc>
        <w:tc>
          <w:tcPr>
            <w:tcW w:w="1276" w:type="dxa"/>
            <w:tcBorders>
              <w:top w:val="nil"/>
              <w:left w:val="nil"/>
              <w:bottom w:val="single" w:sz="4" w:space="0" w:color="auto"/>
              <w:right w:val="single" w:sz="4" w:space="0" w:color="auto"/>
            </w:tcBorders>
            <w:shd w:val="clear" w:color="auto" w:fill="auto"/>
            <w:noWrap/>
            <w:vAlign w:val="center"/>
            <w:hideMark/>
          </w:tcPr>
          <w:p w14:paraId="63D6F0D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71,16</w:t>
            </w:r>
          </w:p>
        </w:tc>
        <w:tc>
          <w:tcPr>
            <w:tcW w:w="1134" w:type="dxa"/>
            <w:tcBorders>
              <w:top w:val="nil"/>
              <w:left w:val="nil"/>
              <w:bottom w:val="single" w:sz="4" w:space="0" w:color="auto"/>
              <w:right w:val="single" w:sz="4" w:space="0" w:color="auto"/>
            </w:tcBorders>
            <w:shd w:val="clear" w:color="auto" w:fill="auto"/>
            <w:noWrap/>
            <w:vAlign w:val="center"/>
            <w:hideMark/>
          </w:tcPr>
          <w:p w14:paraId="47E2016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-28,84</w:t>
            </w:r>
          </w:p>
        </w:tc>
        <w:tc>
          <w:tcPr>
            <w:tcW w:w="708" w:type="dxa"/>
            <w:tcBorders>
              <w:top w:val="nil"/>
              <w:left w:val="nil"/>
              <w:bottom w:val="single" w:sz="4" w:space="0" w:color="000000"/>
              <w:right w:val="single" w:sz="4" w:space="0" w:color="000000"/>
            </w:tcBorders>
            <w:shd w:val="clear" w:color="auto" w:fill="auto"/>
            <w:vAlign w:val="center"/>
            <w:hideMark/>
          </w:tcPr>
          <w:p w14:paraId="445DC1E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211</w:t>
            </w:r>
          </w:p>
        </w:tc>
        <w:tc>
          <w:tcPr>
            <w:tcW w:w="993" w:type="dxa"/>
            <w:tcBorders>
              <w:top w:val="nil"/>
              <w:left w:val="nil"/>
              <w:bottom w:val="single" w:sz="4" w:space="0" w:color="auto"/>
              <w:right w:val="single" w:sz="4" w:space="0" w:color="auto"/>
            </w:tcBorders>
            <w:shd w:val="clear" w:color="auto" w:fill="auto"/>
            <w:noWrap/>
            <w:vAlign w:val="center"/>
            <w:hideMark/>
          </w:tcPr>
          <w:p w14:paraId="5BE5DA0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38,00</w:t>
            </w:r>
          </w:p>
        </w:tc>
        <w:tc>
          <w:tcPr>
            <w:tcW w:w="992" w:type="dxa"/>
            <w:tcBorders>
              <w:top w:val="nil"/>
              <w:left w:val="nil"/>
              <w:bottom w:val="single" w:sz="4" w:space="0" w:color="auto"/>
              <w:right w:val="single" w:sz="4" w:space="0" w:color="auto"/>
            </w:tcBorders>
            <w:shd w:val="clear" w:color="auto" w:fill="auto"/>
            <w:noWrap/>
            <w:vAlign w:val="center"/>
            <w:hideMark/>
          </w:tcPr>
          <w:p w14:paraId="1BE9D6B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51,64</w:t>
            </w:r>
          </w:p>
        </w:tc>
        <w:tc>
          <w:tcPr>
            <w:tcW w:w="992" w:type="dxa"/>
            <w:tcBorders>
              <w:top w:val="nil"/>
              <w:left w:val="nil"/>
              <w:bottom w:val="single" w:sz="4" w:space="0" w:color="auto"/>
              <w:right w:val="single" w:sz="4" w:space="0" w:color="auto"/>
            </w:tcBorders>
            <w:shd w:val="clear" w:color="auto" w:fill="auto"/>
            <w:noWrap/>
            <w:vAlign w:val="center"/>
            <w:hideMark/>
          </w:tcPr>
          <w:p w14:paraId="74E02A8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-48,36</w:t>
            </w:r>
          </w:p>
        </w:tc>
      </w:tr>
      <w:tr w:rsidR="0066583A" w:rsidRPr="004135FE" w14:paraId="4898CFF7"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2C6FD3F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59238D5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2019</w:t>
            </w:r>
          </w:p>
        </w:tc>
        <w:tc>
          <w:tcPr>
            <w:tcW w:w="850" w:type="dxa"/>
            <w:tcBorders>
              <w:top w:val="nil"/>
              <w:left w:val="nil"/>
              <w:bottom w:val="single" w:sz="4" w:space="0" w:color="auto"/>
              <w:right w:val="single" w:sz="4" w:space="0" w:color="auto"/>
            </w:tcBorders>
            <w:shd w:val="clear" w:color="auto" w:fill="auto"/>
            <w:vAlign w:val="center"/>
            <w:hideMark/>
          </w:tcPr>
          <w:p w14:paraId="43F1F79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442</w:t>
            </w:r>
          </w:p>
        </w:tc>
        <w:tc>
          <w:tcPr>
            <w:tcW w:w="992" w:type="dxa"/>
            <w:tcBorders>
              <w:top w:val="nil"/>
              <w:left w:val="nil"/>
              <w:bottom w:val="single" w:sz="4" w:space="0" w:color="auto"/>
              <w:right w:val="single" w:sz="4" w:space="0" w:color="auto"/>
            </w:tcBorders>
            <w:shd w:val="clear" w:color="auto" w:fill="auto"/>
            <w:noWrap/>
            <w:vAlign w:val="center"/>
            <w:hideMark/>
          </w:tcPr>
          <w:p w14:paraId="34B3D2B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108,00</w:t>
            </w:r>
          </w:p>
        </w:tc>
        <w:tc>
          <w:tcPr>
            <w:tcW w:w="1418" w:type="dxa"/>
            <w:tcBorders>
              <w:top w:val="nil"/>
              <w:left w:val="nil"/>
              <w:bottom w:val="single" w:sz="4" w:space="0" w:color="auto"/>
              <w:right w:val="single" w:sz="4" w:space="0" w:color="auto"/>
            </w:tcBorders>
            <w:shd w:val="clear" w:color="auto" w:fill="auto"/>
            <w:noWrap/>
            <w:vAlign w:val="center"/>
            <w:hideMark/>
          </w:tcPr>
          <w:p w14:paraId="71A78A2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60,73</w:t>
            </w:r>
          </w:p>
        </w:tc>
        <w:tc>
          <w:tcPr>
            <w:tcW w:w="992" w:type="dxa"/>
            <w:tcBorders>
              <w:top w:val="nil"/>
              <w:left w:val="nil"/>
              <w:bottom w:val="single" w:sz="4" w:space="0" w:color="auto"/>
              <w:right w:val="single" w:sz="4" w:space="0" w:color="auto"/>
            </w:tcBorders>
            <w:shd w:val="clear" w:color="auto" w:fill="auto"/>
            <w:noWrap/>
            <w:vAlign w:val="center"/>
            <w:hideMark/>
          </w:tcPr>
          <w:p w14:paraId="436CB61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-39,27</w:t>
            </w:r>
          </w:p>
        </w:tc>
        <w:tc>
          <w:tcPr>
            <w:tcW w:w="992" w:type="dxa"/>
            <w:tcBorders>
              <w:top w:val="nil"/>
              <w:left w:val="nil"/>
              <w:bottom w:val="single" w:sz="4" w:space="0" w:color="000000"/>
              <w:right w:val="single" w:sz="4" w:space="0" w:color="000000"/>
            </w:tcBorders>
            <w:shd w:val="clear" w:color="auto" w:fill="auto"/>
            <w:vAlign w:val="center"/>
            <w:hideMark/>
          </w:tcPr>
          <w:p w14:paraId="3C917C3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166</w:t>
            </w:r>
          </w:p>
        </w:tc>
        <w:tc>
          <w:tcPr>
            <w:tcW w:w="851" w:type="dxa"/>
            <w:tcBorders>
              <w:top w:val="nil"/>
              <w:left w:val="nil"/>
              <w:bottom w:val="single" w:sz="4" w:space="0" w:color="auto"/>
              <w:right w:val="single" w:sz="4" w:space="0" w:color="auto"/>
            </w:tcBorders>
            <w:shd w:val="clear" w:color="auto" w:fill="auto"/>
            <w:noWrap/>
            <w:vAlign w:val="center"/>
            <w:hideMark/>
          </w:tcPr>
          <w:p w14:paraId="34576C9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43,00</w:t>
            </w:r>
          </w:p>
        </w:tc>
        <w:tc>
          <w:tcPr>
            <w:tcW w:w="1276" w:type="dxa"/>
            <w:tcBorders>
              <w:top w:val="nil"/>
              <w:left w:val="nil"/>
              <w:bottom w:val="single" w:sz="4" w:space="0" w:color="auto"/>
              <w:right w:val="single" w:sz="4" w:space="0" w:color="auto"/>
            </w:tcBorders>
            <w:shd w:val="clear" w:color="auto" w:fill="auto"/>
            <w:noWrap/>
            <w:vAlign w:val="center"/>
            <w:hideMark/>
          </w:tcPr>
          <w:p w14:paraId="18ED236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57,21</w:t>
            </w:r>
          </w:p>
        </w:tc>
        <w:tc>
          <w:tcPr>
            <w:tcW w:w="1134" w:type="dxa"/>
            <w:tcBorders>
              <w:top w:val="nil"/>
              <w:left w:val="nil"/>
              <w:bottom w:val="single" w:sz="4" w:space="0" w:color="auto"/>
              <w:right w:val="single" w:sz="4" w:space="0" w:color="auto"/>
            </w:tcBorders>
            <w:shd w:val="clear" w:color="auto" w:fill="auto"/>
            <w:noWrap/>
            <w:vAlign w:val="center"/>
            <w:hideMark/>
          </w:tcPr>
          <w:p w14:paraId="5C735A9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-42,79</w:t>
            </w:r>
          </w:p>
        </w:tc>
        <w:tc>
          <w:tcPr>
            <w:tcW w:w="708" w:type="dxa"/>
            <w:tcBorders>
              <w:top w:val="nil"/>
              <w:left w:val="nil"/>
              <w:bottom w:val="single" w:sz="4" w:space="0" w:color="000000"/>
              <w:right w:val="single" w:sz="4" w:space="0" w:color="000000"/>
            </w:tcBorders>
            <w:shd w:val="clear" w:color="auto" w:fill="auto"/>
            <w:vAlign w:val="center"/>
            <w:hideMark/>
          </w:tcPr>
          <w:p w14:paraId="5067339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276</w:t>
            </w:r>
          </w:p>
        </w:tc>
        <w:tc>
          <w:tcPr>
            <w:tcW w:w="993" w:type="dxa"/>
            <w:tcBorders>
              <w:top w:val="nil"/>
              <w:left w:val="nil"/>
              <w:bottom w:val="single" w:sz="4" w:space="0" w:color="auto"/>
              <w:right w:val="single" w:sz="4" w:space="0" w:color="auto"/>
            </w:tcBorders>
            <w:shd w:val="clear" w:color="auto" w:fill="auto"/>
            <w:noWrap/>
            <w:vAlign w:val="center"/>
            <w:hideMark/>
          </w:tcPr>
          <w:p w14:paraId="2232EE7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65,00</w:t>
            </w:r>
          </w:p>
        </w:tc>
        <w:tc>
          <w:tcPr>
            <w:tcW w:w="992" w:type="dxa"/>
            <w:tcBorders>
              <w:top w:val="nil"/>
              <w:left w:val="nil"/>
              <w:bottom w:val="single" w:sz="4" w:space="0" w:color="auto"/>
              <w:right w:val="single" w:sz="4" w:space="0" w:color="auto"/>
            </w:tcBorders>
            <w:shd w:val="clear" w:color="auto" w:fill="auto"/>
            <w:noWrap/>
            <w:vAlign w:val="center"/>
            <w:hideMark/>
          </w:tcPr>
          <w:p w14:paraId="16F21C9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62,99</w:t>
            </w:r>
          </w:p>
        </w:tc>
        <w:tc>
          <w:tcPr>
            <w:tcW w:w="992" w:type="dxa"/>
            <w:tcBorders>
              <w:top w:val="nil"/>
              <w:left w:val="nil"/>
              <w:bottom w:val="single" w:sz="4" w:space="0" w:color="auto"/>
              <w:right w:val="single" w:sz="4" w:space="0" w:color="auto"/>
            </w:tcBorders>
            <w:shd w:val="clear" w:color="auto" w:fill="auto"/>
            <w:noWrap/>
            <w:vAlign w:val="center"/>
            <w:hideMark/>
          </w:tcPr>
          <w:p w14:paraId="613EFDB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-37,01</w:t>
            </w:r>
          </w:p>
        </w:tc>
      </w:tr>
      <w:tr w:rsidR="0066583A" w:rsidRPr="004135FE" w14:paraId="5EB58CCE"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296F193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262613D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2020</w:t>
            </w:r>
          </w:p>
        </w:tc>
        <w:tc>
          <w:tcPr>
            <w:tcW w:w="850" w:type="dxa"/>
            <w:tcBorders>
              <w:top w:val="nil"/>
              <w:left w:val="nil"/>
              <w:bottom w:val="single" w:sz="4" w:space="0" w:color="auto"/>
              <w:right w:val="single" w:sz="4" w:space="0" w:color="auto"/>
            </w:tcBorders>
            <w:shd w:val="clear" w:color="auto" w:fill="auto"/>
            <w:vAlign w:val="center"/>
            <w:hideMark/>
          </w:tcPr>
          <w:p w14:paraId="1DD3EAE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450</w:t>
            </w:r>
          </w:p>
        </w:tc>
        <w:tc>
          <w:tcPr>
            <w:tcW w:w="992" w:type="dxa"/>
            <w:tcBorders>
              <w:top w:val="nil"/>
              <w:left w:val="nil"/>
              <w:bottom w:val="single" w:sz="4" w:space="0" w:color="auto"/>
              <w:right w:val="single" w:sz="4" w:space="0" w:color="auto"/>
            </w:tcBorders>
            <w:shd w:val="clear" w:color="auto" w:fill="auto"/>
            <w:noWrap/>
            <w:vAlign w:val="center"/>
            <w:hideMark/>
          </w:tcPr>
          <w:p w14:paraId="65E8A5C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8,00</w:t>
            </w:r>
          </w:p>
        </w:tc>
        <w:tc>
          <w:tcPr>
            <w:tcW w:w="1418" w:type="dxa"/>
            <w:tcBorders>
              <w:top w:val="nil"/>
              <w:left w:val="nil"/>
              <w:bottom w:val="single" w:sz="4" w:space="0" w:color="auto"/>
              <w:right w:val="single" w:sz="4" w:space="0" w:color="auto"/>
            </w:tcBorders>
            <w:shd w:val="clear" w:color="auto" w:fill="auto"/>
            <w:noWrap/>
            <w:vAlign w:val="center"/>
            <w:hideMark/>
          </w:tcPr>
          <w:p w14:paraId="292C535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80,36</w:t>
            </w:r>
          </w:p>
        </w:tc>
        <w:tc>
          <w:tcPr>
            <w:tcW w:w="992" w:type="dxa"/>
            <w:tcBorders>
              <w:top w:val="nil"/>
              <w:left w:val="nil"/>
              <w:bottom w:val="single" w:sz="4" w:space="0" w:color="auto"/>
              <w:right w:val="single" w:sz="4" w:space="0" w:color="auto"/>
            </w:tcBorders>
            <w:shd w:val="clear" w:color="auto" w:fill="auto"/>
            <w:noWrap/>
            <w:vAlign w:val="center"/>
            <w:hideMark/>
          </w:tcPr>
          <w:p w14:paraId="2485926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-19,64</w:t>
            </w:r>
          </w:p>
        </w:tc>
        <w:tc>
          <w:tcPr>
            <w:tcW w:w="992" w:type="dxa"/>
            <w:tcBorders>
              <w:top w:val="nil"/>
              <w:left w:val="nil"/>
              <w:bottom w:val="single" w:sz="4" w:space="0" w:color="000000"/>
              <w:right w:val="single" w:sz="4" w:space="0" w:color="000000"/>
            </w:tcBorders>
            <w:shd w:val="clear" w:color="auto" w:fill="auto"/>
            <w:vAlign w:val="center"/>
            <w:hideMark/>
          </w:tcPr>
          <w:p w14:paraId="334E984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181</w:t>
            </w:r>
          </w:p>
        </w:tc>
        <w:tc>
          <w:tcPr>
            <w:tcW w:w="851" w:type="dxa"/>
            <w:tcBorders>
              <w:top w:val="nil"/>
              <w:left w:val="nil"/>
              <w:bottom w:val="single" w:sz="4" w:space="0" w:color="auto"/>
              <w:right w:val="single" w:sz="4" w:space="0" w:color="auto"/>
            </w:tcBorders>
            <w:shd w:val="clear" w:color="auto" w:fill="auto"/>
            <w:noWrap/>
            <w:vAlign w:val="center"/>
            <w:hideMark/>
          </w:tcPr>
          <w:p w14:paraId="6934458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15,00</w:t>
            </w:r>
          </w:p>
        </w:tc>
        <w:tc>
          <w:tcPr>
            <w:tcW w:w="1276" w:type="dxa"/>
            <w:tcBorders>
              <w:top w:val="nil"/>
              <w:left w:val="nil"/>
              <w:bottom w:val="single" w:sz="4" w:space="0" w:color="auto"/>
              <w:right w:val="single" w:sz="4" w:space="0" w:color="auto"/>
            </w:tcBorders>
            <w:shd w:val="clear" w:color="auto" w:fill="auto"/>
            <w:noWrap/>
            <w:vAlign w:val="center"/>
            <w:hideMark/>
          </w:tcPr>
          <w:p w14:paraId="155C9AF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77,21</w:t>
            </w:r>
          </w:p>
        </w:tc>
        <w:tc>
          <w:tcPr>
            <w:tcW w:w="1134" w:type="dxa"/>
            <w:tcBorders>
              <w:top w:val="nil"/>
              <w:left w:val="nil"/>
              <w:bottom w:val="single" w:sz="4" w:space="0" w:color="auto"/>
              <w:right w:val="single" w:sz="4" w:space="0" w:color="auto"/>
            </w:tcBorders>
            <w:shd w:val="clear" w:color="auto" w:fill="auto"/>
            <w:noWrap/>
            <w:vAlign w:val="center"/>
            <w:hideMark/>
          </w:tcPr>
          <w:p w14:paraId="1CB2F6A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-22,79</w:t>
            </w:r>
          </w:p>
        </w:tc>
        <w:tc>
          <w:tcPr>
            <w:tcW w:w="708" w:type="dxa"/>
            <w:tcBorders>
              <w:top w:val="nil"/>
              <w:left w:val="nil"/>
              <w:bottom w:val="single" w:sz="4" w:space="0" w:color="000000"/>
              <w:right w:val="single" w:sz="4" w:space="0" w:color="000000"/>
            </w:tcBorders>
            <w:shd w:val="clear" w:color="auto" w:fill="auto"/>
            <w:vAlign w:val="center"/>
            <w:hideMark/>
          </w:tcPr>
          <w:p w14:paraId="18ACA86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269</w:t>
            </w:r>
          </w:p>
        </w:tc>
        <w:tc>
          <w:tcPr>
            <w:tcW w:w="993" w:type="dxa"/>
            <w:tcBorders>
              <w:top w:val="nil"/>
              <w:left w:val="nil"/>
              <w:bottom w:val="single" w:sz="4" w:space="0" w:color="auto"/>
              <w:right w:val="single" w:sz="4" w:space="0" w:color="auto"/>
            </w:tcBorders>
            <w:shd w:val="clear" w:color="auto" w:fill="auto"/>
            <w:noWrap/>
            <w:vAlign w:val="center"/>
            <w:hideMark/>
          </w:tcPr>
          <w:p w14:paraId="32C635F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-7,00</w:t>
            </w:r>
          </w:p>
        </w:tc>
        <w:tc>
          <w:tcPr>
            <w:tcW w:w="992" w:type="dxa"/>
            <w:tcBorders>
              <w:top w:val="nil"/>
              <w:left w:val="nil"/>
              <w:bottom w:val="single" w:sz="4" w:space="0" w:color="auto"/>
              <w:right w:val="single" w:sz="4" w:space="0" w:color="auto"/>
            </w:tcBorders>
            <w:shd w:val="clear" w:color="auto" w:fill="auto"/>
            <w:noWrap/>
            <w:vAlign w:val="center"/>
            <w:hideMark/>
          </w:tcPr>
          <w:p w14:paraId="791017F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82,39</w:t>
            </w:r>
          </w:p>
        </w:tc>
        <w:tc>
          <w:tcPr>
            <w:tcW w:w="992" w:type="dxa"/>
            <w:tcBorders>
              <w:top w:val="nil"/>
              <w:left w:val="nil"/>
              <w:bottom w:val="single" w:sz="4" w:space="0" w:color="auto"/>
              <w:right w:val="single" w:sz="4" w:space="0" w:color="auto"/>
            </w:tcBorders>
            <w:shd w:val="clear" w:color="auto" w:fill="auto"/>
            <w:noWrap/>
            <w:vAlign w:val="center"/>
            <w:hideMark/>
          </w:tcPr>
          <w:p w14:paraId="79737DF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-17,61</w:t>
            </w:r>
          </w:p>
        </w:tc>
      </w:tr>
      <w:tr w:rsidR="0066583A" w:rsidRPr="004135FE" w14:paraId="1F2AB9DC"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75E7ADB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53FF975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2021</w:t>
            </w:r>
          </w:p>
        </w:tc>
        <w:tc>
          <w:tcPr>
            <w:tcW w:w="850" w:type="dxa"/>
            <w:tcBorders>
              <w:top w:val="nil"/>
              <w:left w:val="nil"/>
              <w:bottom w:val="nil"/>
              <w:right w:val="nil"/>
            </w:tcBorders>
            <w:shd w:val="clear" w:color="auto" w:fill="auto"/>
            <w:noWrap/>
            <w:vAlign w:val="center"/>
            <w:hideMark/>
          </w:tcPr>
          <w:p w14:paraId="0F5D293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550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401EEB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100,00</w:t>
            </w:r>
          </w:p>
        </w:tc>
        <w:tc>
          <w:tcPr>
            <w:tcW w:w="1418" w:type="dxa"/>
            <w:tcBorders>
              <w:top w:val="nil"/>
              <w:left w:val="nil"/>
              <w:bottom w:val="single" w:sz="4" w:space="0" w:color="auto"/>
              <w:right w:val="single" w:sz="4" w:space="0" w:color="auto"/>
            </w:tcBorders>
            <w:shd w:val="clear" w:color="auto" w:fill="auto"/>
            <w:noWrap/>
            <w:vAlign w:val="center"/>
            <w:hideMark/>
          </w:tcPr>
          <w:p w14:paraId="592F482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81,82</w:t>
            </w:r>
          </w:p>
        </w:tc>
        <w:tc>
          <w:tcPr>
            <w:tcW w:w="992" w:type="dxa"/>
            <w:tcBorders>
              <w:top w:val="nil"/>
              <w:left w:val="nil"/>
              <w:bottom w:val="single" w:sz="4" w:space="0" w:color="auto"/>
              <w:right w:val="single" w:sz="4" w:space="0" w:color="auto"/>
            </w:tcBorders>
            <w:shd w:val="clear" w:color="auto" w:fill="auto"/>
            <w:noWrap/>
            <w:vAlign w:val="center"/>
            <w:hideMark/>
          </w:tcPr>
          <w:p w14:paraId="05F0EFE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-18,18</w:t>
            </w:r>
          </w:p>
        </w:tc>
        <w:tc>
          <w:tcPr>
            <w:tcW w:w="992" w:type="dxa"/>
            <w:tcBorders>
              <w:top w:val="nil"/>
              <w:left w:val="nil"/>
              <w:bottom w:val="single" w:sz="4" w:space="0" w:color="000000"/>
              <w:right w:val="single" w:sz="4" w:space="0" w:color="000000"/>
            </w:tcBorders>
            <w:shd w:val="clear" w:color="auto" w:fill="auto"/>
            <w:vAlign w:val="center"/>
            <w:hideMark/>
          </w:tcPr>
          <w:p w14:paraId="0730D0B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215</w:t>
            </w:r>
          </w:p>
        </w:tc>
        <w:tc>
          <w:tcPr>
            <w:tcW w:w="851" w:type="dxa"/>
            <w:tcBorders>
              <w:top w:val="nil"/>
              <w:left w:val="nil"/>
              <w:bottom w:val="single" w:sz="4" w:space="0" w:color="auto"/>
              <w:right w:val="single" w:sz="4" w:space="0" w:color="auto"/>
            </w:tcBorders>
            <w:shd w:val="clear" w:color="auto" w:fill="auto"/>
            <w:noWrap/>
            <w:vAlign w:val="center"/>
            <w:hideMark/>
          </w:tcPr>
          <w:p w14:paraId="76C45EE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34,00</w:t>
            </w:r>
          </w:p>
        </w:tc>
        <w:tc>
          <w:tcPr>
            <w:tcW w:w="1276" w:type="dxa"/>
            <w:tcBorders>
              <w:top w:val="nil"/>
              <w:left w:val="nil"/>
              <w:bottom w:val="single" w:sz="4" w:space="0" w:color="auto"/>
              <w:right w:val="single" w:sz="4" w:space="0" w:color="auto"/>
            </w:tcBorders>
            <w:shd w:val="clear" w:color="auto" w:fill="auto"/>
            <w:noWrap/>
            <w:vAlign w:val="center"/>
            <w:hideMark/>
          </w:tcPr>
          <w:p w14:paraId="667A0DB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84,19</w:t>
            </w:r>
          </w:p>
        </w:tc>
        <w:tc>
          <w:tcPr>
            <w:tcW w:w="1134" w:type="dxa"/>
            <w:tcBorders>
              <w:top w:val="nil"/>
              <w:left w:val="nil"/>
              <w:bottom w:val="single" w:sz="4" w:space="0" w:color="auto"/>
              <w:right w:val="single" w:sz="4" w:space="0" w:color="auto"/>
            </w:tcBorders>
            <w:shd w:val="clear" w:color="auto" w:fill="auto"/>
            <w:noWrap/>
            <w:vAlign w:val="center"/>
            <w:hideMark/>
          </w:tcPr>
          <w:p w14:paraId="736C6C0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-15,81</w:t>
            </w:r>
          </w:p>
        </w:tc>
        <w:tc>
          <w:tcPr>
            <w:tcW w:w="708" w:type="dxa"/>
            <w:tcBorders>
              <w:top w:val="nil"/>
              <w:left w:val="nil"/>
              <w:bottom w:val="single" w:sz="4" w:space="0" w:color="000000"/>
              <w:right w:val="single" w:sz="4" w:space="0" w:color="000000"/>
            </w:tcBorders>
            <w:shd w:val="clear" w:color="auto" w:fill="auto"/>
            <w:vAlign w:val="center"/>
            <w:hideMark/>
          </w:tcPr>
          <w:p w14:paraId="21787CB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335</w:t>
            </w:r>
          </w:p>
        </w:tc>
        <w:tc>
          <w:tcPr>
            <w:tcW w:w="993" w:type="dxa"/>
            <w:tcBorders>
              <w:top w:val="nil"/>
              <w:left w:val="nil"/>
              <w:bottom w:val="single" w:sz="4" w:space="0" w:color="auto"/>
              <w:right w:val="single" w:sz="4" w:space="0" w:color="auto"/>
            </w:tcBorders>
            <w:shd w:val="clear" w:color="auto" w:fill="auto"/>
            <w:noWrap/>
            <w:vAlign w:val="center"/>
            <w:hideMark/>
          </w:tcPr>
          <w:p w14:paraId="2655593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66,00</w:t>
            </w:r>
          </w:p>
        </w:tc>
        <w:tc>
          <w:tcPr>
            <w:tcW w:w="992" w:type="dxa"/>
            <w:tcBorders>
              <w:top w:val="nil"/>
              <w:left w:val="nil"/>
              <w:bottom w:val="single" w:sz="4" w:space="0" w:color="auto"/>
              <w:right w:val="single" w:sz="4" w:space="0" w:color="auto"/>
            </w:tcBorders>
            <w:shd w:val="clear" w:color="auto" w:fill="auto"/>
            <w:noWrap/>
            <w:vAlign w:val="center"/>
            <w:hideMark/>
          </w:tcPr>
          <w:p w14:paraId="334C599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80,30</w:t>
            </w:r>
          </w:p>
        </w:tc>
        <w:tc>
          <w:tcPr>
            <w:tcW w:w="992" w:type="dxa"/>
            <w:tcBorders>
              <w:top w:val="nil"/>
              <w:left w:val="nil"/>
              <w:bottom w:val="single" w:sz="4" w:space="0" w:color="auto"/>
              <w:right w:val="single" w:sz="4" w:space="0" w:color="auto"/>
            </w:tcBorders>
            <w:shd w:val="clear" w:color="auto" w:fill="auto"/>
            <w:noWrap/>
            <w:vAlign w:val="center"/>
            <w:hideMark/>
          </w:tcPr>
          <w:p w14:paraId="1314C73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-19,70</w:t>
            </w:r>
          </w:p>
        </w:tc>
      </w:tr>
      <w:tr w:rsidR="00B16459" w:rsidRPr="004135FE" w14:paraId="3E8F9D8C"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4528E79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000000" w:fill="FFFFFF"/>
            <w:noWrap/>
            <w:vAlign w:val="center"/>
            <w:hideMark/>
          </w:tcPr>
          <w:p w14:paraId="4D496E5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среднее</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1519C07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365,20</w:t>
            </w:r>
          </w:p>
        </w:tc>
        <w:tc>
          <w:tcPr>
            <w:tcW w:w="992" w:type="dxa"/>
            <w:tcBorders>
              <w:top w:val="nil"/>
              <w:left w:val="nil"/>
              <w:bottom w:val="single" w:sz="4" w:space="0" w:color="auto"/>
              <w:right w:val="single" w:sz="4" w:space="0" w:color="auto"/>
            </w:tcBorders>
            <w:shd w:val="clear" w:color="000000" w:fill="FFFFFF"/>
            <w:noWrap/>
            <w:vAlign w:val="center"/>
            <w:hideMark/>
          </w:tcPr>
          <w:p w14:paraId="17F9611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31,56</w:t>
            </w:r>
          </w:p>
        </w:tc>
        <w:tc>
          <w:tcPr>
            <w:tcW w:w="1418" w:type="dxa"/>
            <w:tcBorders>
              <w:top w:val="nil"/>
              <w:left w:val="nil"/>
              <w:bottom w:val="single" w:sz="4" w:space="0" w:color="auto"/>
              <w:right w:val="single" w:sz="4" w:space="0" w:color="auto"/>
            </w:tcBorders>
            <w:shd w:val="clear" w:color="000000" w:fill="FFFFFF"/>
            <w:noWrap/>
            <w:vAlign w:val="center"/>
            <w:hideMark/>
          </w:tcPr>
          <w:p w14:paraId="550D4F6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108,41</w:t>
            </w:r>
          </w:p>
        </w:tc>
        <w:tc>
          <w:tcPr>
            <w:tcW w:w="992" w:type="dxa"/>
            <w:tcBorders>
              <w:top w:val="nil"/>
              <w:left w:val="nil"/>
              <w:bottom w:val="single" w:sz="4" w:space="0" w:color="auto"/>
              <w:right w:val="single" w:sz="4" w:space="0" w:color="auto"/>
            </w:tcBorders>
            <w:shd w:val="clear" w:color="000000" w:fill="FFFFFF"/>
            <w:noWrap/>
            <w:vAlign w:val="center"/>
            <w:hideMark/>
          </w:tcPr>
          <w:p w14:paraId="7AABB27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8,41</w:t>
            </w:r>
          </w:p>
        </w:tc>
        <w:tc>
          <w:tcPr>
            <w:tcW w:w="992" w:type="dxa"/>
            <w:tcBorders>
              <w:top w:val="nil"/>
              <w:left w:val="nil"/>
              <w:bottom w:val="single" w:sz="4" w:space="0" w:color="auto"/>
              <w:right w:val="single" w:sz="4" w:space="0" w:color="auto"/>
            </w:tcBorders>
            <w:shd w:val="clear" w:color="000000" w:fill="FFFFFF"/>
            <w:noWrap/>
            <w:vAlign w:val="center"/>
            <w:hideMark/>
          </w:tcPr>
          <w:p w14:paraId="27E9E10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142,20</w:t>
            </w:r>
          </w:p>
        </w:tc>
        <w:tc>
          <w:tcPr>
            <w:tcW w:w="851" w:type="dxa"/>
            <w:tcBorders>
              <w:top w:val="nil"/>
              <w:left w:val="nil"/>
              <w:bottom w:val="single" w:sz="4" w:space="0" w:color="auto"/>
              <w:right w:val="single" w:sz="4" w:space="0" w:color="auto"/>
            </w:tcBorders>
            <w:shd w:val="clear" w:color="000000" w:fill="FFFFFF"/>
            <w:noWrap/>
            <w:vAlign w:val="center"/>
            <w:hideMark/>
          </w:tcPr>
          <w:p w14:paraId="526AE87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14,56</w:t>
            </w:r>
          </w:p>
        </w:tc>
        <w:tc>
          <w:tcPr>
            <w:tcW w:w="1276" w:type="dxa"/>
            <w:tcBorders>
              <w:top w:val="nil"/>
              <w:left w:val="nil"/>
              <w:bottom w:val="single" w:sz="4" w:space="0" w:color="auto"/>
              <w:right w:val="single" w:sz="4" w:space="0" w:color="auto"/>
            </w:tcBorders>
            <w:shd w:val="clear" w:color="000000" w:fill="FFFFFF"/>
            <w:noWrap/>
            <w:vAlign w:val="center"/>
            <w:hideMark/>
          </w:tcPr>
          <w:p w14:paraId="6A65010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111,01</w:t>
            </w:r>
          </w:p>
        </w:tc>
        <w:tc>
          <w:tcPr>
            <w:tcW w:w="1134" w:type="dxa"/>
            <w:tcBorders>
              <w:top w:val="nil"/>
              <w:left w:val="nil"/>
              <w:bottom w:val="single" w:sz="4" w:space="0" w:color="auto"/>
              <w:right w:val="single" w:sz="4" w:space="0" w:color="auto"/>
            </w:tcBorders>
            <w:shd w:val="clear" w:color="000000" w:fill="FFFFFF"/>
            <w:noWrap/>
            <w:vAlign w:val="center"/>
            <w:hideMark/>
          </w:tcPr>
          <w:p w14:paraId="3FE58E0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11,01</w:t>
            </w:r>
          </w:p>
        </w:tc>
        <w:tc>
          <w:tcPr>
            <w:tcW w:w="708" w:type="dxa"/>
            <w:tcBorders>
              <w:top w:val="nil"/>
              <w:left w:val="nil"/>
              <w:bottom w:val="single" w:sz="4" w:space="0" w:color="auto"/>
              <w:right w:val="single" w:sz="4" w:space="0" w:color="auto"/>
            </w:tcBorders>
            <w:shd w:val="clear" w:color="000000" w:fill="FFFFFF"/>
            <w:noWrap/>
            <w:vAlign w:val="center"/>
            <w:hideMark/>
          </w:tcPr>
          <w:p w14:paraId="6485D77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223,00</w:t>
            </w:r>
          </w:p>
        </w:tc>
        <w:tc>
          <w:tcPr>
            <w:tcW w:w="993" w:type="dxa"/>
            <w:tcBorders>
              <w:top w:val="nil"/>
              <w:left w:val="nil"/>
              <w:bottom w:val="single" w:sz="4" w:space="0" w:color="auto"/>
              <w:right w:val="single" w:sz="4" w:space="0" w:color="auto"/>
            </w:tcBorders>
            <w:shd w:val="clear" w:color="000000" w:fill="FFFFFF"/>
            <w:noWrap/>
            <w:vAlign w:val="center"/>
            <w:hideMark/>
          </w:tcPr>
          <w:p w14:paraId="7DA7C9E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17,00</w:t>
            </w:r>
          </w:p>
        </w:tc>
        <w:tc>
          <w:tcPr>
            <w:tcW w:w="992" w:type="dxa"/>
            <w:tcBorders>
              <w:top w:val="nil"/>
              <w:left w:val="nil"/>
              <w:bottom w:val="single" w:sz="4" w:space="0" w:color="auto"/>
              <w:right w:val="single" w:sz="4" w:space="0" w:color="auto"/>
            </w:tcBorders>
            <w:shd w:val="clear" w:color="000000" w:fill="FFFFFF"/>
            <w:noWrap/>
            <w:vAlign w:val="center"/>
            <w:hideMark/>
          </w:tcPr>
          <w:p w14:paraId="28FA267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107,01</w:t>
            </w:r>
          </w:p>
        </w:tc>
        <w:tc>
          <w:tcPr>
            <w:tcW w:w="992" w:type="dxa"/>
            <w:tcBorders>
              <w:top w:val="nil"/>
              <w:left w:val="nil"/>
              <w:bottom w:val="single" w:sz="4" w:space="0" w:color="auto"/>
              <w:right w:val="single" w:sz="4" w:space="0" w:color="auto"/>
            </w:tcBorders>
            <w:shd w:val="clear" w:color="000000" w:fill="FFFFFF"/>
            <w:noWrap/>
            <w:vAlign w:val="center"/>
            <w:hideMark/>
          </w:tcPr>
          <w:p w14:paraId="1FA2AB3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7,01</w:t>
            </w:r>
          </w:p>
        </w:tc>
      </w:tr>
      <w:tr w:rsidR="00077E0F" w:rsidRPr="004135FE" w14:paraId="7207D524" w14:textId="77777777" w:rsidTr="00077E0F">
        <w:trPr>
          <w:trHeight w:val="283"/>
        </w:trPr>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69BD6A8" w14:textId="77777777" w:rsidR="00077E0F" w:rsidRPr="004135FE" w:rsidRDefault="00077E0F" w:rsidP="00077E0F">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993" w:type="dxa"/>
            <w:tcBorders>
              <w:top w:val="nil"/>
              <w:left w:val="nil"/>
              <w:bottom w:val="single" w:sz="4" w:space="0" w:color="auto"/>
              <w:right w:val="single" w:sz="4" w:space="0" w:color="auto"/>
            </w:tcBorders>
            <w:shd w:val="clear" w:color="auto" w:fill="auto"/>
            <w:noWrap/>
            <w:vAlign w:val="center"/>
            <w:hideMark/>
          </w:tcPr>
          <w:p w14:paraId="4386B9DB" w14:textId="77777777" w:rsidR="00077E0F" w:rsidRPr="004135FE" w:rsidRDefault="00077E0F" w:rsidP="00077E0F">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2012</w:t>
            </w:r>
          </w:p>
        </w:tc>
        <w:tc>
          <w:tcPr>
            <w:tcW w:w="850" w:type="dxa"/>
            <w:tcBorders>
              <w:top w:val="nil"/>
              <w:left w:val="nil"/>
              <w:bottom w:val="single" w:sz="4" w:space="0" w:color="auto"/>
              <w:right w:val="single" w:sz="4" w:space="0" w:color="auto"/>
            </w:tcBorders>
            <w:shd w:val="clear" w:color="auto" w:fill="auto"/>
            <w:noWrap/>
            <w:vAlign w:val="center"/>
            <w:hideMark/>
          </w:tcPr>
          <w:p w14:paraId="2294E3B2" w14:textId="01745433"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auto"/>
              <w:right w:val="single" w:sz="4" w:space="0" w:color="auto"/>
            </w:tcBorders>
            <w:shd w:val="clear" w:color="auto" w:fill="auto"/>
            <w:noWrap/>
            <w:vAlign w:val="center"/>
            <w:hideMark/>
          </w:tcPr>
          <w:p w14:paraId="44EFF509" w14:textId="1615EB66"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418" w:type="dxa"/>
            <w:tcBorders>
              <w:top w:val="nil"/>
              <w:left w:val="nil"/>
              <w:bottom w:val="single" w:sz="4" w:space="0" w:color="auto"/>
              <w:right w:val="single" w:sz="4" w:space="0" w:color="auto"/>
            </w:tcBorders>
            <w:shd w:val="clear" w:color="auto" w:fill="auto"/>
            <w:noWrap/>
            <w:vAlign w:val="center"/>
            <w:hideMark/>
          </w:tcPr>
          <w:p w14:paraId="44983E26" w14:textId="6132BF3E"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auto"/>
              <w:right w:val="single" w:sz="4" w:space="0" w:color="auto"/>
            </w:tcBorders>
            <w:shd w:val="clear" w:color="auto" w:fill="auto"/>
            <w:noWrap/>
            <w:vAlign w:val="center"/>
            <w:hideMark/>
          </w:tcPr>
          <w:p w14:paraId="1F951684" w14:textId="4FDB53BA"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auto"/>
              <w:right w:val="single" w:sz="4" w:space="0" w:color="auto"/>
            </w:tcBorders>
            <w:shd w:val="clear" w:color="auto" w:fill="auto"/>
            <w:noWrap/>
            <w:vAlign w:val="center"/>
            <w:hideMark/>
          </w:tcPr>
          <w:p w14:paraId="358D9035" w14:textId="5B5B18E5"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851" w:type="dxa"/>
            <w:tcBorders>
              <w:top w:val="nil"/>
              <w:left w:val="nil"/>
              <w:bottom w:val="single" w:sz="4" w:space="0" w:color="auto"/>
              <w:right w:val="single" w:sz="4" w:space="0" w:color="auto"/>
            </w:tcBorders>
            <w:shd w:val="clear" w:color="auto" w:fill="auto"/>
            <w:noWrap/>
            <w:vAlign w:val="center"/>
            <w:hideMark/>
          </w:tcPr>
          <w:p w14:paraId="12E21B52" w14:textId="733C4C6E"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276" w:type="dxa"/>
            <w:tcBorders>
              <w:top w:val="nil"/>
              <w:left w:val="nil"/>
              <w:bottom w:val="single" w:sz="4" w:space="0" w:color="auto"/>
              <w:right w:val="single" w:sz="4" w:space="0" w:color="auto"/>
            </w:tcBorders>
            <w:shd w:val="clear" w:color="auto" w:fill="auto"/>
            <w:noWrap/>
            <w:vAlign w:val="center"/>
          </w:tcPr>
          <w:p w14:paraId="073ED902" w14:textId="34365D65"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134" w:type="dxa"/>
            <w:tcBorders>
              <w:top w:val="nil"/>
              <w:left w:val="nil"/>
              <w:bottom w:val="single" w:sz="4" w:space="0" w:color="auto"/>
              <w:right w:val="single" w:sz="4" w:space="0" w:color="auto"/>
            </w:tcBorders>
            <w:shd w:val="clear" w:color="auto" w:fill="auto"/>
            <w:noWrap/>
            <w:vAlign w:val="center"/>
            <w:hideMark/>
          </w:tcPr>
          <w:p w14:paraId="1117C865" w14:textId="2BF51EBB"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708" w:type="dxa"/>
            <w:tcBorders>
              <w:top w:val="nil"/>
              <w:left w:val="nil"/>
              <w:bottom w:val="single" w:sz="4" w:space="0" w:color="auto"/>
              <w:right w:val="single" w:sz="4" w:space="0" w:color="auto"/>
            </w:tcBorders>
            <w:shd w:val="clear" w:color="auto" w:fill="auto"/>
            <w:noWrap/>
            <w:vAlign w:val="center"/>
            <w:hideMark/>
          </w:tcPr>
          <w:p w14:paraId="586F73AD" w14:textId="0C467BCE"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3" w:type="dxa"/>
            <w:tcBorders>
              <w:top w:val="nil"/>
              <w:left w:val="nil"/>
              <w:bottom w:val="single" w:sz="4" w:space="0" w:color="auto"/>
              <w:right w:val="single" w:sz="4" w:space="0" w:color="auto"/>
            </w:tcBorders>
            <w:shd w:val="clear" w:color="auto" w:fill="auto"/>
            <w:noWrap/>
            <w:vAlign w:val="center"/>
            <w:hideMark/>
          </w:tcPr>
          <w:p w14:paraId="46B59B66" w14:textId="436D0CCB"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auto"/>
              <w:right w:val="single" w:sz="4" w:space="0" w:color="auto"/>
            </w:tcBorders>
            <w:shd w:val="clear" w:color="auto" w:fill="auto"/>
            <w:noWrap/>
            <w:vAlign w:val="center"/>
            <w:hideMark/>
          </w:tcPr>
          <w:p w14:paraId="401772F1" w14:textId="21B7F83F"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auto"/>
              <w:right w:val="single" w:sz="4" w:space="0" w:color="auto"/>
            </w:tcBorders>
            <w:shd w:val="clear" w:color="auto" w:fill="auto"/>
            <w:noWrap/>
            <w:vAlign w:val="center"/>
            <w:hideMark/>
          </w:tcPr>
          <w:p w14:paraId="5EA16E0D" w14:textId="06918036"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077E0F" w:rsidRPr="004135FE" w14:paraId="5806049E" w14:textId="77777777" w:rsidTr="00E2614D">
        <w:trPr>
          <w:trHeight w:val="283"/>
        </w:trPr>
        <w:tc>
          <w:tcPr>
            <w:tcW w:w="1134" w:type="dxa"/>
            <w:vMerge/>
            <w:tcBorders>
              <w:top w:val="nil"/>
              <w:left w:val="single" w:sz="4" w:space="0" w:color="auto"/>
              <w:bottom w:val="single" w:sz="4" w:space="0" w:color="auto"/>
              <w:right w:val="single" w:sz="4" w:space="0" w:color="auto"/>
            </w:tcBorders>
            <w:vAlign w:val="center"/>
            <w:hideMark/>
          </w:tcPr>
          <w:p w14:paraId="3188BFEA" w14:textId="77777777" w:rsidR="00077E0F" w:rsidRPr="004135FE" w:rsidRDefault="00077E0F" w:rsidP="00077E0F">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663734F8" w14:textId="77777777" w:rsidR="00077E0F" w:rsidRPr="004135FE" w:rsidRDefault="00077E0F" w:rsidP="00077E0F">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2013</w:t>
            </w:r>
          </w:p>
        </w:tc>
        <w:tc>
          <w:tcPr>
            <w:tcW w:w="850" w:type="dxa"/>
            <w:tcBorders>
              <w:top w:val="nil"/>
              <w:left w:val="nil"/>
              <w:bottom w:val="single" w:sz="4" w:space="0" w:color="auto"/>
              <w:right w:val="single" w:sz="4" w:space="0" w:color="auto"/>
            </w:tcBorders>
            <w:shd w:val="clear" w:color="auto" w:fill="auto"/>
            <w:noWrap/>
            <w:vAlign w:val="center"/>
            <w:hideMark/>
          </w:tcPr>
          <w:p w14:paraId="6EF7FA70" w14:textId="66CEC8BF"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auto"/>
              <w:right w:val="single" w:sz="4" w:space="0" w:color="auto"/>
            </w:tcBorders>
            <w:shd w:val="clear" w:color="auto" w:fill="auto"/>
            <w:noWrap/>
            <w:vAlign w:val="center"/>
            <w:hideMark/>
          </w:tcPr>
          <w:p w14:paraId="3A4F8D8E" w14:textId="61F45EC0"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418" w:type="dxa"/>
            <w:tcBorders>
              <w:top w:val="nil"/>
              <w:left w:val="nil"/>
              <w:bottom w:val="single" w:sz="4" w:space="0" w:color="auto"/>
              <w:right w:val="single" w:sz="4" w:space="0" w:color="auto"/>
            </w:tcBorders>
            <w:shd w:val="clear" w:color="auto" w:fill="auto"/>
            <w:noWrap/>
            <w:vAlign w:val="center"/>
            <w:hideMark/>
          </w:tcPr>
          <w:p w14:paraId="18F64599" w14:textId="72DF9320"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auto"/>
              <w:right w:val="single" w:sz="4" w:space="0" w:color="auto"/>
            </w:tcBorders>
            <w:shd w:val="clear" w:color="auto" w:fill="auto"/>
            <w:noWrap/>
            <w:vAlign w:val="center"/>
            <w:hideMark/>
          </w:tcPr>
          <w:p w14:paraId="3AD8BD39" w14:textId="2C27EB47"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auto"/>
              <w:right w:val="single" w:sz="4" w:space="0" w:color="auto"/>
            </w:tcBorders>
            <w:shd w:val="clear" w:color="auto" w:fill="auto"/>
            <w:noWrap/>
            <w:vAlign w:val="center"/>
            <w:hideMark/>
          </w:tcPr>
          <w:p w14:paraId="27E007DA" w14:textId="50D6EEDE"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851" w:type="dxa"/>
            <w:tcBorders>
              <w:top w:val="nil"/>
              <w:left w:val="nil"/>
              <w:bottom w:val="single" w:sz="4" w:space="0" w:color="auto"/>
              <w:right w:val="single" w:sz="4" w:space="0" w:color="auto"/>
            </w:tcBorders>
            <w:shd w:val="clear" w:color="auto" w:fill="auto"/>
            <w:noWrap/>
            <w:vAlign w:val="center"/>
            <w:hideMark/>
          </w:tcPr>
          <w:p w14:paraId="589A0F5C" w14:textId="6B4CFEE9"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276" w:type="dxa"/>
            <w:tcBorders>
              <w:top w:val="nil"/>
              <w:left w:val="nil"/>
              <w:bottom w:val="single" w:sz="4" w:space="0" w:color="auto"/>
              <w:right w:val="single" w:sz="4" w:space="0" w:color="auto"/>
            </w:tcBorders>
            <w:shd w:val="clear" w:color="auto" w:fill="auto"/>
            <w:noWrap/>
            <w:vAlign w:val="center"/>
            <w:hideMark/>
          </w:tcPr>
          <w:p w14:paraId="294C1C1B" w14:textId="24A9CB74"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134" w:type="dxa"/>
            <w:tcBorders>
              <w:top w:val="nil"/>
              <w:left w:val="nil"/>
              <w:bottom w:val="single" w:sz="4" w:space="0" w:color="auto"/>
              <w:right w:val="single" w:sz="4" w:space="0" w:color="auto"/>
            </w:tcBorders>
            <w:shd w:val="clear" w:color="auto" w:fill="auto"/>
            <w:noWrap/>
            <w:vAlign w:val="center"/>
            <w:hideMark/>
          </w:tcPr>
          <w:p w14:paraId="67DF0FEC" w14:textId="75A8B67C"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708" w:type="dxa"/>
            <w:tcBorders>
              <w:top w:val="nil"/>
              <w:left w:val="nil"/>
              <w:bottom w:val="single" w:sz="4" w:space="0" w:color="auto"/>
              <w:right w:val="single" w:sz="4" w:space="0" w:color="auto"/>
            </w:tcBorders>
            <w:shd w:val="clear" w:color="auto" w:fill="auto"/>
            <w:noWrap/>
            <w:vAlign w:val="center"/>
            <w:hideMark/>
          </w:tcPr>
          <w:p w14:paraId="7372C1F3" w14:textId="0708339B"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3" w:type="dxa"/>
            <w:tcBorders>
              <w:top w:val="nil"/>
              <w:left w:val="nil"/>
              <w:bottom w:val="single" w:sz="4" w:space="0" w:color="auto"/>
              <w:right w:val="single" w:sz="4" w:space="0" w:color="auto"/>
            </w:tcBorders>
            <w:shd w:val="clear" w:color="auto" w:fill="auto"/>
            <w:noWrap/>
            <w:vAlign w:val="center"/>
            <w:hideMark/>
          </w:tcPr>
          <w:p w14:paraId="148772BA" w14:textId="49909C0A"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auto"/>
              <w:right w:val="single" w:sz="4" w:space="0" w:color="auto"/>
            </w:tcBorders>
            <w:shd w:val="clear" w:color="auto" w:fill="auto"/>
            <w:noWrap/>
            <w:vAlign w:val="center"/>
            <w:hideMark/>
          </w:tcPr>
          <w:p w14:paraId="2B490F55" w14:textId="29BB5CCF"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auto"/>
              <w:right w:val="single" w:sz="4" w:space="0" w:color="auto"/>
            </w:tcBorders>
            <w:shd w:val="clear" w:color="auto" w:fill="auto"/>
            <w:noWrap/>
            <w:vAlign w:val="center"/>
            <w:hideMark/>
          </w:tcPr>
          <w:p w14:paraId="2CDDE77A" w14:textId="16F04FBE"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077E0F" w:rsidRPr="004135FE" w14:paraId="0074A077" w14:textId="77777777" w:rsidTr="00E2614D">
        <w:trPr>
          <w:trHeight w:val="283"/>
        </w:trPr>
        <w:tc>
          <w:tcPr>
            <w:tcW w:w="1134" w:type="dxa"/>
            <w:vMerge/>
            <w:tcBorders>
              <w:top w:val="single" w:sz="4" w:space="0" w:color="auto"/>
              <w:left w:val="single" w:sz="4" w:space="0" w:color="auto"/>
              <w:right w:val="single" w:sz="4" w:space="0" w:color="auto"/>
            </w:tcBorders>
            <w:vAlign w:val="center"/>
            <w:hideMark/>
          </w:tcPr>
          <w:p w14:paraId="79EBFE4E" w14:textId="77777777" w:rsidR="00077E0F" w:rsidRPr="004135FE" w:rsidRDefault="00077E0F" w:rsidP="00077E0F">
            <w:pPr>
              <w:spacing w:after="0" w:line="240" w:lineRule="auto"/>
              <w:jc w:val="center"/>
              <w:rPr>
                <w:rFonts w:ascii="Times New Roman" w:eastAsia="Times New Roman" w:hAnsi="Times New Roman" w:cs="Times New Roman"/>
                <w:sz w:val="28"/>
                <w:szCs w:val="28"/>
              </w:rPr>
            </w:pPr>
          </w:p>
        </w:tc>
        <w:tc>
          <w:tcPr>
            <w:tcW w:w="993" w:type="dxa"/>
            <w:tcBorders>
              <w:top w:val="single" w:sz="4" w:space="0" w:color="auto"/>
              <w:left w:val="nil"/>
              <w:right w:val="single" w:sz="4" w:space="0" w:color="auto"/>
            </w:tcBorders>
            <w:shd w:val="clear" w:color="auto" w:fill="auto"/>
            <w:noWrap/>
            <w:vAlign w:val="center"/>
            <w:hideMark/>
          </w:tcPr>
          <w:p w14:paraId="6D87FF87" w14:textId="77777777" w:rsidR="00077E0F" w:rsidRPr="004135FE" w:rsidRDefault="00077E0F" w:rsidP="00077E0F">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2014</w:t>
            </w:r>
          </w:p>
        </w:tc>
        <w:tc>
          <w:tcPr>
            <w:tcW w:w="850" w:type="dxa"/>
            <w:tcBorders>
              <w:top w:val="single" w:sz="4" w:space="0" w:color="auto"/>
              <w:left w:val="nil"/>
              <w:right w:val="single" w:sz="4" w:space="0" w:color="auto"/>
            </w:tcBorders>
            <w:shd w:val="clear" w:color="auto" w:fill="auto"/>
            <w:noWrap/>
            <w:vAlign w:val="center"/>
            <w:hideMark/>
          </w:tcPr>
          <w:p w14:paraId="1562CE5D" w14:textId="25F82546"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single" w:sz="4" w:space="0" w:color="auto"/>
              <w:left w:val="nil"/>
              <w:right w:val="single" w:sz="4" w:space="0" w:color="auto"/>
            </w:tcBorders>
            <w:shd w:val="clear" w:color="auto" w:fill="auto"/>
            <w:noWrap/>
            <w:vAlign w:val="center"/>
            <w:hideMark/>
          </w:tcPr>
          <w:p w14:paraId="0A93840E" w14:textId="76E3DC84"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418" w:type="dxa"/>
            <w:tcBorders>
              <w:top w:val="single" w:sz="4" w:space="0" w:color="auto"/>
              <w:left w:val="nil"/>
              <w:right w:val="single" w:sz="4" w:space="0" w:color="auto"/>
            </w:tcBorders>
            <w:shd w:val="clear" w:color="auto" w:fill="auto"/>
            <w:noWrap/>
            <w:vAlign w:val="center"/>
            <w:hideMark/>
          </w:tcPr>
          <w:p w14:paraId="583DBE63" w14:textId="061C1828"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single" w:sz="4" w:space="0" w:color="auto"/>
              <w:left w:val="nil"/>
              <w:right w:val="single" w:sz="4" w:space="0" w:color="auto"/>
            </w:tcBorders>
            <w:shd w:val="clear" w:color="auto" w:fill="auto"/>
            <w:noWrap/>
            <w:vAlign w:val="center"/>
            <w:hideMark/>
          </w:tcPr>
          <w:p w14:paraId="53BDC9BC" w14:textId="1279BB11"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single" w:sz="4" w:space="0" w:color="auto"/>
              <w:left w:val="nil"/>
              <w:right w:val="single" w:sz="4" w:space="0" w:color="auto"/>
            </w:tcBorders>
            <w:shd w:val="clear" w:color="auto" w:fill="auto"/>
            <w:noWrap/>
            <w:vAlign w:val="center"/>
            <w:hideMark/>
          </w:tcPr>
          <w:p w14:paraId="32F10F1C" w14:textId="6096A725"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851" w:type="dxa"/>
            <w:tcBorders>
              <w:top w:val="single" w:sz="4" w:space="0" w:color="auto"/>
              <w:left w:val="nil"/>
              <w:right w:val="single" w:sz="4" w:space="0" w:color="auto"/>
            </w:tcBorders>
            <w:shd w:val="clear" w:color="auto" w:fill="auto"/>
            <w:noWrap/>
            <w:vAlign w:val="center"/>
            <w:hideMark/>
          </w:tcPr>
          <w:p w14:paraId="64DD6888" w14:textId="03DC20AB"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276" w:type="dxa"/>
            <w:tcBorders>
              <w:top w:val="single" w:sz="4" w:space="0" w:color="auto"/>
              <w:left w:val="nil"/>
              <w:right w:val="single" w:sz="4" w:space="0" w:color="auto"/>
            </w:tcBorders>
            <w:shd w:val="clear" w:color="auto" w:fill="auto"/>
            <w:noWrap/>
            <w:vAlign w:val="center"/>
            <w:hideMark/>
          </w:tcPr>
          <w:p w14:paraId="1D000E90" w14:textId="20EED9DD"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134" w:type="dxa"/>
            <w:tcBorders>
              <w:top w:val="single" w:sz="4" w:space="0" w:color="auto"/>
              <w:left w:val="nil"/>
              <w:right w:val="single" w:sz="4" w:space="0" w:color="auto"/>
            </w:tcBorders>
            <w:shd w:val="clear" w:color="auto" w:fill="auto"/>
            <w:noWrap/>
            <w:vAlign w:val="center"/>
            <w:hideMark/>
          </w:tcPr>
          <w:p w14:paraId="263B6608" w14:textId="646DA8FB"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708" w:type="dxa"/>
            <w:tcBorders>
              <w:top w:val="single" w:sz="4" w:space="0" w:color="auto"/>
              <w:left w:val="nil"/>
              <w:right w:val="single" w:sz="4" w:space="0" w:color="auto"/>
            </w:tcBorders>
            <w:shd w:val="clear" w:color="auto" w:fill="auto"/>
            <w:noWrap/>
            <w:vAlign w:val="center"/>
            <w:hideMark/>
          </w:tcPr>
          <w:p w14:paraId="4FC611D4" w14:textId="60B06366"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3" w:type="dxa"/>
            <w:tcBorders>
              <w:top w:val="single" w:sz="4" w:space="0" w:color="auto"/>
              <w:left w:val="nil"/>
              <w:right w:val="single" w:sz="4" w:space="0" w:color="auto"/>
            </w:tcBorders>
            <w:shd w:val="clear" w:color="auto" w:fill="auto"/>
            <w:noWrap/>
            <w:vAlign w:val="center"/>
            <w:hideMark/>
          </w:tcPr>
          <w:p w14:paraId="7CA6D272" w14:textId="4BBF12BC"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single" w:sz="4" w:space="0" w:color="auto"/>
              <w:left w:val="nil"/>
              <w:right w:val="single" w:sz="4" w:space="0" w:color="auto"/>
            </w:tcBorders>
            <w:shd w:val="clear" w:color="auto" w:fill="auto"/>
            <w:noWrap/>
            <w:vAlign w:val="center"/>
            <w:hideMark/>
          </w:tcPr>
          <w:p w14:paraId="26E456DA" w14:textId="13E43576"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single" w:sz="4" w:space="0" w:color="auto"/>
              <w:left w:val="nil"/>
              <w:right w:val="single" w:sz="4" w:space="0" w:color="auto"/>
            </w:tcBorders>
            <w:shd w:val="clear" w:color="auto" w:fill="auto"/>
            <w:noWrap/>
            <w:vAlign w:val="center"/>
            <w:hideMark/>
          </w:tcPr>
          <w:p w14:paraId="20E4B15A" w14:textId="1C2FE160" w:rsidR="00077E0F" w:rsidRPr="004135FE" w:rsidRDefault="00077E0F" w:rsidP="00077E0F">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bl>
    <w:p w14:paraId="6C9CC8B2" w14:textId="7565603A" w:rsidR="006C754C" w:rsidRPr="006C754C" w:rsidRDefault="006C754C">
      <w:pPr>
        <w:rPr>
          <w:rFonts w:ascii="Times New Roman" w:eastAsia="Times New Roman" w:hAnsi="Times New Roman" w:cs="Times New Roman"/>
          <w:bCs/>
          <w:sz w:val="28"/>
          <w:szCs w:val="28"/>
        </w:rPr>
      </w:pPr>
      <w:r w:rsidRPr="006C754C">
        <w:rPr>
          <w:rFonts w:ascii="Times New Roman" w:eastAsia="Times New Roman" w:hAnsi="Times New Roman" w:cs="Times New Roman"/>
          <w:bCs/>
          <w:sz w:val="28"/>
          <w:szCs w:val="28"/>
        </w:rPr>
        <w:lastRenderedPageBreak/>
        <w:t>Продолжение таблицы 8</w:t>
      </w:r>
    </w:p>
    <w:tbl>
      <w:tblPr>
        <w:tblW w:w="14317" w:type="dxa"/>
        <w:tblInd w:w="-5" w:type="dxa"/>
        <w:tblLayout w:type="fixed"/>
        <w:tblLook w:val="04A0" w:firstRow="1" w:lastRow="0" w:firstColumn="1" w:lastColumn="0" w:noHBand="0" w:noVBand="1"/>
      </w:tblPr>
      <w:tblGrid>
        <w:gridCol w:w="1134"/>
        <w:gridCol w:w="993"/>
        <w:gridCol w:w="850"/>
        <w:gridCol w:w="992"/>
        <w:gridCol w:w="1418"/>
        <w:gridCol w:w="992"/>
        <w:gridCol w:w="992"/>
        <w:gridCol w:w="851"/>
        <w:gridCol w:w="1276"/>
        <w:gridCol w:w="1134"/>
        <w:gridCol w:w="708"/>
        <w:gridCol w:w="993"/>
        <w:gridCol w:w="992"/>
        <w:gridCol w:w="992"/>
      </w:tblGrid>
      <w:tr w:rsidR="006C754C" w:rsidRPr="004135FE" w14:paraId="48F14D69" w14:textId="77777777" w:rsidTr="00E2614D">
        <w:trPr>
          <w:trHeight w:val="283"/>
        </w:trPr>
        <w:tc>
          <w:tcPr>
            <w:tcW w:w="1134" w:type="dxa"/>
            <w:tcBorders>
              <w:top w:val="single" w:sz="4" w:space="0" w:color="auto"/>
              <w:left w:val="single" w:sz="4" w:space="0" w:color="auto"/>
              <w:bottom w:val="single" w:sz="4" w:space="0" w:color="auto"/>
              <w:right w:val="single" w:sz="4" w:space="0" w:color="auto"/>
            </w:tcBorders>
            <w:vAlign w:val="center"/>
          </w:tcPr>
          <w:p w14:paraId="78A0112B" w14:textId="6C33992C"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BF9AC7" w14:textId="128819A2"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4A19D61" w14:textId="0A4C1E04"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1F9152" w14:textId="252841D7"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16ACAB" w14:textId="1472AC66"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EAC03C" w14:textId="0E4C8FFD"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1DDACC5" w14:textId="2A3C829A"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39C0E3" w14:textId="6E6B0F6E"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A9643C" w14:textId="1C3BE5BA"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772C3C" w14:textId="3C261880"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1E8EB3D" w14:textId="74DEC5B1"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955D4C" w14:textId="0D0132DF"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291A28" w14:textId="38BE9A20"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DD3970" w14:textId="3B642D23" w:rsidR="006C754C" w:rsidRPr="004135FE" w:rsidRDefault="006C754C"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r>
      <w:tr w:rsidR="0066583A" w:rsidRPr="004135FE" w14:paraId="2CFD26A7" w14:textId="77777777" w:rsidTr="00E2614D">
        <w:trPr>
          <w:trHeight w:val="283"/>
        </w:trPr>
        <w:tc>
          <w:tcPr>
            <w:tcW w:w="1134" w:type="dxa"/>
            <w:vMerge w:val="restart"/>
            <w:tcBorders>
              <w:top w:val="single" w:sz="4" w:space="0" w:color="auto"/>
              <w:left w:val="single" w:sz="4" w:space="0" w:color="auto"/>
              <w:bottom w:val="single" w:sz="4" w:space="0" w:color="000000"/>
              <w:right w:val="single" w:sz="4" w:space="0" w:color="auto"/>
            </w:tcBorders>
            <w:vAlign w:val="center"/>
            <w:hideMark/>
          </w:tcPr>
          <w:p w14:paraId="153CB5B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551522E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2015</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6E9A87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63</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CF0AE9A" w14:textId="3AC3C975" w:rsidR="0066583A" w:rsidRPr="004135FE" w:rsidRDefault="00901D83"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68672DD3" w14:textId="04146121" w:rsidR="0066583A" w:rsidRPr="004135FE" w:rsidRDefault="00901D83"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955D66F" w14:textId="1CDED761" w:rsidR="0066583A" w:rsidRPr="004135FE" w:rsidRDefault="00901D83"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single" w:sz="4" w:space="0" w:color="auto"/>
              <w:left w:val="nil"/>
              <w:bottom w:val="single" w:sz="4" w:space="0" w:color="000000"/>
              <w:right w:val="single" w:sz="4" w:space="0" w:color="000000"/>
            </w:tcBorders>
            <w:shd w:val="clear" w:color="auto" w:fill="auto"/>
            <w:vAlign w:val="center"/>
            <w:hideMark/>
          </w:tcPr>
          <w:p w14:paraId="4D1057E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7095B97" w14:textId="2BF9540B" w:rsidR="0066583A" w:rsidRPr="004135FE" w:rsidRDefault="00901D83"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0D0B7072" w14:textId="1719FF7E" w:rsidR="0066583A" w:rsidRPr="004135FE" w:rsidRDefault="00901D83"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AE58EEC" w14:textId="5B6B41EA" w:rsidR="0066583A" w:rsidRPr="004135FE" w:rsidRDefault="00901D83"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708" w:type="dxa"/>
            <w:tcBorders>
              <w:top w:val="single" w:sz="4" w:space="0" w:color="auto"/>
              <w:left w:val="nil"/>
              <w:bottom w:val="single" w:sz="4" w:space="0" w:color="000000"/>
              <w:right w:val="single" w:sz="4" w:space="0" w:color="000000"/>
            </w:tcBorders>
            <w:shd w:val="clear" w:color="auto" w:fill="auto"/>
            <w:vAlign w:val="center"/>
            <w:hideMark/>
          </w:tcPr>
          <w:p w14:paraId="23A8AE7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193A67BF" w14:textId="3CCC903D" w:rsidR="0066583A" w:rsidRPr="004135FE" w:rsidRDefault="00901D83"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0AAD3AA" w14:textId="0EC65306" w:rsidR="0066583A" w:rsidRPr="004135FE" w:rsidRDefault="00901D83"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4871352" w14:textId="696BBF01" w:rsidR="0066583A" w:rsidRPr="004135FE" w:rsidRDefault="00901D83"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66583A" w:rsidRPr="004135FE" w14:paraId="4BE39E65"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06C0A3C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2758756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2016</w:t>
            </w:r>
          </w:p>
        </w:tc>
        <w:tc>
          <w:tcPr>
            <w:tcW w:w="850" w:type="dxa"/>
            <w:tcBorders>
              <w:top w:val="nil"/>
              <w:left w:val="nil"/>
              <w:bottom w:val="single" w:sz="4" w:space="0" w:color="auto"/>
              <w:right w:val="single" w:sz="4" w:space="0" w:color="auto"/>
            </w:tcBorders>
            <w:shd w:val="clear" w:color="auto" w:fill="auto"/>
            <w:vAlign w:val="center"/>
            <w:hideMark/>
          </w:tcPr>
          <w:p w14:paraId="079C649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116</w:t>
            </w:r>
          </w:p>
        </w:tc>
        <w:tc>
          <w:tcPr>
            <w:tcW w:w="992" w:type="dxa"/>
            <w:tcBorders>
              <w:top w:val="nil"/>
              <w:left w:val="nil"/>
              <w:bottom w:val="single" w:sz="4" w:space="0" w:color="auto"/>
              <w:right w:val="single" w:sz="4" w:space="0" w:color="auto"/>
            </w:tcBorders>
            <w:shd w:val="clear" w:color="auto" w:fill="auto"/>
            <w:noWrap/>
            <w:vAlign w:val="center"/>
            <w:hideMark/>
          </w:tcPr>
          <w:p w14:paraId="15CB672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53,00</w:t>
            </w:r>
          </w:p>
        </w:tc>
        <w:tc>
          <w:tcPr>
            <w:tcW w:w="1418" w:type="dxa"/>
            <w:tcBorders>
              <w:top w:val="nil"/>
              <w:left w:val="nil"/>
              <w:bottom w:val="single" w:sz="4" w:space="0" w:color="auto"/>
              <w:right w:val="single" w:sz="4" w:space="0" w:color="auto"/>
            </w:tcBorders>
            <w:shd w:val="clear" w:color="auto" w:fill="auto"/>
            <w:noWrap/>
            <w:vAlign w:val="center"/>
            <w:hideMark/>
          </w:tcPr>
          <w:p w14:paraId="3740C71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20,06</w:t>
            </w:r>
          </w:p>
        </w:tc>
        <w:tc>
          <w:tcPr>
            <w:tcW w:w="992" w:type="dxa"/>
            <w:tcBorders>
              <w:top w:val="nil"/>
              <w:left w:val="nil"/>
              <w:bottom w:val="single" w:sz="4" w:space="0" w:color="auto"/>
              <w:right w:val="single" w:sz="4" w:space="0" w:color="auto"/>
            </w:tcBorders>
            <w:shd w:val="clear" w:color="auto" w:fill="auto"/>
            <w:noWrap/>
            <w:vAlign w:val="center"/>
            <w:hideMark/>
          </w:tcPr>
          <w:p w14:paraId="4B219BB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-79,94</w:t>
            </w:r>
          </w:p>
        </w:tc>
        <w:tc>
          <w:tcPr>
            <w:tcW w:w="992" w:type="dxa"/>
            <w:tcBorders>
              <w:top w:val="nil"/>
              <w:left w:val="nil"/>
              <w:bottom w:val="single" w:sz="4" w:space="0" w:color="000000"/>
              <w:right w:val="single" w:sz="4" w:space="0" w:color="000000"/>
            </w:tcBorders>
            <w:shd w:val="clear" w:color="auto" w:fill="auto"/>
            <w:vAlign w:val="center"/>
            <w:hideMark/>
          </w:tcPr>
          <w:p w14:paraId="63605CD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54</w:t>
            </w:r>
          </w:p>
        </w:tc>
        <w:tc>
          <w:tcPr>
            <w:tcW w:w="851" w:type="dxa"/>
            <w:tcBorders>
              <w:top w:val="nil"/>
              <w:left w:val="nil"/>
              <w:bottom w:val="single" w:sz="4" w:space="0" w:color="auto"/>
              <w:right w:val="single" w:sz="4" w:space="0" w:color="auto"/>
            </w:tcBorders>
            <w:shd w:val="clear" w:color="auto" w:fill="auto"/>
            <w:noWrap/>
            <w:vAlign w:val="center"/>
            <w:hideMark/>
          </w:tcPr>
          <w:p w14:paraId="02D7041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35,00</w:t>
            </w:r>
          </w:p>
        </w:tc>
        <w:tc>
          <w:tcPr>
            <w:tcW w:w="1276" w:type="dxa"/>
            <w:tcBorders>
              <w:top w:val="nil"/>
              <w:left w:val="nil"/>
              <w:bottom w:val="single" w:sz="4" w:space="0" w:color="auto"/>
              <w:right w:val="single" w:sz="4" w:space="0" w:color="auto"/>
            </w:tcBorders>
            <w:shd w:val="clear" w:color="auto" w:fill="auto"/>
            <w:noWrap/>
            <w:vAlign w:val="center"/>
            <w:hideMark/>
          </w:tcPr>
          <w:p w14:paraId="0DC3D71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16,67</w:t>
            </w:r>
          </w:p>
        </w:tc>
        <w:tc>
          <w:tcPr>
            <w:tcW w:w="1134" w:type="dxa"/>
            <w:tcBorders>
              <w:top w:val="nil"/>
              <w:left w:val="nil"/>
              <w:bottom w:val="single" w:sz="4" w:space="0" w:color="auto"/>
              <w:right w:val="single" w:sz="4" w:space="0" w:color="auto"/>
            </w:tcBorders>
            <w:shd w:val="clear" w:color="auto" w:fill="auto"/>
            <w:noWrap/>
            <w:vAlign w:val="center"/>
            <w:hideMark/>
          </w:tcPr>
          <w:p w14:paraId="2D1F822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-83,33</w:t>
            </w:r>
          </w:p>
        </w:tc>
        <w:tc>
          <w:tcPr>
            <w:tcW w:w="708" w:type="dxa"/>
            <w:tcBorders>
              <w:top w:val="nil"/>
              <w:left w:val="nil"/>
              <w:bottom w:val="single" w:sz="4" w:space="0" w:color="000000"/>
              <w:right w:val="single" w:sz="4" w:space="0" w:color="000000"/>
            </w:tcBorders>
            <w:shd w:val="clear" w:color="auto" w:fill="auto"/>
            <w:vAlign w:val="center"/>
            <w:hideMark/>
          </w:tcPr>
          <w:p w14:paraId="2CD1A34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62</w:t>
            </w:r>
          </w:p>
        </w:tc>
        <w:tc>
          <w:tcPr>
            <w:tcW w:w="993" w:type="dxa"/>
            <w:tcBorders>
              <w:top w:val="nil"/>
              <w:left w:val="nil"/>
              <w:bottom w:val="single" w:sz="4" w:space="0" w:color="auto"/>
              <w:right w:val="single" w:sz="4" w:space="0" w:color="auto"/>
            </w:tcBorders>
            <w:shd w:val="clear" w:color="auto" w:fill="auto"/>
            <w:noWrap/>
            <w:vAlign w:val="center"/>
            <w:hideMark/>
          </w:tcPr>
          <w:p w14:paraId="0171DE1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18,00</w:t>
            </w:r>
          </w:p>
        </w:tc>
        <w:tc>
          <w:tcPr>
            <w:tcW w:w="992" w:type="dxa"/>
            <w:tcBorders>
              <w:top w:val="nil"/>
              <w:left w:val="nil"/>
              <w:bottom w:val="single" w:sz="4" w:space="0" w:color="auto"/>
              <w:right w:val="single" w:sz="4" w:space="0" w:color="auto"/>
            </w:tcBorders>
            <w:shd w:val="clear" w:color="auto" w:fill="auto"/>
            <w:noWrap/>
            <w:vAlign w:val="center"/>
            <w:hideMark/>
          </w:tcPr>
          <w:p w14:paraId="0861150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22,00</w:t>
            </w:r>
          </w:p>
        </w:tc>
        <w:tc>
          <w:tcPr>
            <w:tcW w:w="992" w:type="dxa"/>
            <w:tcBorders>
              <w:top w:val="nil"/>
              <w:left w:val="nil"/>
              <w:bottom w:val="single" w:sz="4" w:space="0" w:color="auto"/>
              <w:right w:val="single" w:sz="4" w:space="0" w:color="auto"/>
            </w:tcBorders>
            <w:shd w:val="clear" w:color="auto" w:fill="auto"/>
            <w:noWrap/>
            <w:vAlign w:val="center"/>
            <w:hideMark/>
          </w:tcPr>
          <w:p w14:paraId="0F6FB79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-78,00</w:t>
            </w:r>
          </w:p>
        </w:tc>
      </w:tr>
      <w:tr w:rsidR="0066583A" w:rsidRPr="004135FE" w14:paraId="28509014"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76406C2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20822C6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2017</w:t>
            </w:r>
          </w:p>
        </w:tc>
        <w:tc>
          <w:tcPr>
            <w:tcW w:w="850" w:type="dxa"/>
            <w:tcBorders>
              <w:top w:val="nil"/>
              <w:left w:val="nil"/>
              <w:bottom w:val="single" w:sz="4" w:space="0" w:color="auto"/>
              <w:right w:val="single" w:sz="4" w:space="0" w:color="auto"/>
            </w:tcBorders>
            <w:shd w:val="clear" w:color="auto" w:fill="auto"/>
            <w:vAlign w:val="center"/>
            <w:hideMark/>
          </w:tcPr>
          <w:p w14:paraId="3CEF08A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131</w:t>
            </w:r>
          </w:p>
        </w:tc>
        <w:tc>
          <w:tcPr>
            <w:tcW w:w="992" w:type="dxa"/>
            <w:tcBorders>
              <w:top w:val="nil"/>
              <w:left w:val="nil"/>
              <w:bottom w:val="single" w:sz="4" w:space="0" w:color="auto"/>
              <w:right w:val="single" w:sz="4" w:space="0" w:color="auto"/>
            </w:tcBorders>
            <w:shd w:val="clear" w:color="auto" w:fill="auto"/>
            <w:noWrap/>
            <w:vAlign w:val="center"/>
            <w:hideMark/>
          </w:tcPr>
          <w:p w14:paraId="392C755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15,00</w:t>
            </w:r>
          </w:p>
        </w:tc>
        <w:tc>
          <w:tcPr>
            <w:tcW w:w="1418" w:type="dxa"/>
            <w:tcBorders>
              <w:top w:val="nil"/>
              <w:left w:val="nil"/>
              <w:bottom w:val="single" w:sz="4" w:space="0" w:color="auto"/>
              <w:right w:val="single" w:sz="4" w:space="0" w:color="auto"/>
            </w:tcBorders>
            <w:shd w:val="clear" w:color="auto" w:fill="auto"/>
            <w:noWrap/>
            <w:vAlign w:val="center"/>
            <w:hideMark/>
          </w:tcPr>
          <w:p w14:paraId="799F6A8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36,94</w:t>
            </w:r>
          </w:p>
        </w:tc>
        <w:tc>
          <w:tcPr>
            <w:tcW w:w="992" w:type="dxa"/>
            <w:tcBorders>
              <w:top w:val="nil"/>
              <w:left w:val="nil"/>
              <w:bottom w:val="single" w:sz="4" w:space="0" w:color="auto"/>
              <w:right w:val="single" w:sz="4" w:space="0" w:color="auto"/>
            </w:tcBorders>
            <w:shd w:val="clear" w:color="auto" w:fill="auto"/>
            <w:noWrap/>
            <w:vAlign w:val="center"/>
            <w:hideMark/>
          </w:tcPr>
          <w:p w14:paraId="73C736B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-63,06</w:t>
            </w:r>
          </w:p>
        </w:tc>
        <w:tc>
          <w:tcPr>
            <w:tcW w:w="992" w:type="dxa"/>
            <w:tcBorders>
              <w:top w:val="nil"/>
              <w:left w:val="nil"/>
              <w:bottom w:val="single" w:sz="4" w:space="0" w:color="000000"/>
              <w:right w:val="single" w:sz="4" w:space="0" w:color="000000"/>
            </w:tcBorders>
            <w:shd w:val="clear" w:color="auto" w:fill="auto"/>
            <w:vAlign w:val="center"/>
            <w:hideMark/>
          </w:tcPr>
          <w:p w14:paraId="3C8A79E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62</w:t>
            </w:r>
          </w:p>
        </w:tc>
        <w:tc>
          <w:tcPr>
            <w:tcW w:w="851" w:type="dxa"/>
            <w:tcBorders>
              <w:top w:val="nil"/>
              <w:left w:val="nil"/>
              <w:bottom w:val="single" w:sz="4" w:space="0" w:color="auto"/>
              <w:right w:val="single" w:sz="4" w:space="0" w:color="auto"/>
            </w:tcBorders>
            <w:shd w:val="clear" w:color="auto" w:fill="auto"/>
            <w:noWrap/>
            <w:vAlign w:val="center"/>
            <w:hideMark/>
          </w:tcPr>
          <w:p w14:paraId="2774272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8,00</w:t>
            </w:r>
          </w:p>
        </w:tc>
        <w:tc>
          <w:tcPr>
            <w:tcW w:w="1276" w:type="dxa"/>
            <w:tcBorders>
              <w:top w:val="nil"/>
              <w:left w:val="nil"/>
              <w:bottom w:val="single" w:sz="4" w:space="0" w:color="auto"/>
              <w:right w:val="single" w:sz="4" w:space="0" w:color="auto"/>
            </w:tcBorders>
            <w:shd w:val="clear" w:color="auto" w:fill="auto"/>
            <w:noWrap/>
            <w:vAlign w:val="center"/>
            <w:hideMark/>
          </w:tcPr>
          <w:p w14:paraId="2E0FDE6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47,37</w:t>
            </w:r>
          </w:p>
        </w:tc>
        <w:tc>
          <w:tcPr>
            <w:tcW w:w="1134" w:type="dxa"/>
            <w:tcBorders>
              <w:top w:val="nil"/>
              <w:left w:val="nil"/>
              <w:bottom w:val="single" w:sz="4" w:space="0" w:color="auto"/>
              <w:right w:val="single" w:sz="4" w:space="0" w:color="auto"/>
            </w:tcBorders>
            <w:shd w:val="clear" w:color="auto" w:fill="auto"/>
            <w:noWrap/>
            <w:vAlign w:val="center"/>
            <w:hideMark/>
          </w:tcPr>
          <w:p w14:paraId="31D34B2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-52,63</w:t>
            </w:r>
          </w:p>
        </w:tc>
        <w:tc>
          <w:tcPr>
            <w:tcW w:w="708" w:type="dxa"/>
            <w:tcBorders>
              <w:top w:val="nil"/>
              <w:left w:val="nil"/>
              <w:bottom w:val="single" w:sz="4" w:space="0" w:color="000000"/>
              <w:right w:val="single" w:sz="4" w:space="0" w:color="000000"/>
            </w:tcBorders>
            <w:shd w:val="clear" w:color="auto" w:fill="auto"/>
            <w:vAlign w:val="center"/>
            <w:hideMark/>
          </w:tcPr>
          <w:p w14:paraId="11F763E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69</w:t>
            </w:r>
          </w:p>
        </w:tc>
        <w:tc>
          <w:tcPr>
            <w:tcW w:w="993" w:type="dxa"/>
            <w:tcBorders>
              <w:top w:val="nil"/>
              <w:left w:val="nil"/>
              <w:bottom w:val="single" w:sz="4" w:space="0" w:color="auto"/>
              <w:right w:val="single" w:sz="4" w:space="0" w:color="auto"/>
            </w:tcBorders>
            <w:shd w:val="clear" w:color="auto" w:fill="auto"/>
            <w:noWrap/>
            <w:vAlign w:val="center"/>
            <w:hideMark/>
          </w:tcPr>
          <w:p w14:paraId="5ABF452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7,00</w:t>
            </w:r>
          </w:p>
        </w:tc>
        <w:tc>
          <w:tcPr>
            <w:tcW w:w="992" w:type="dxa"/>
            <w:tcBorders>
              <w:top w:val="nil"/>
              <w:left w:val="nil"/>
              <w:bottom w:val="single" w:sz="4" w:space="0" w:color="auto"/>
              <w:right w:val="single" w:sz="4" w:space="0" w:color="auto"/>
            </w:tcBorders>
            <w:shd w:val="clear" w:color="auto" w:fill="auto"/>
            <w:noWrap/>
            <w:vAlign w:val="center"/>
            <w:hideMark/>
          </w:tcPr>
          <w:p w14:paraId="76CC5BD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31,00</w:t>
            </w:r>
          </w:p>
        </w:tc>
        <w:tc>
          <w:tcPr>
            <w:tcW w:w="992" w:type="dxa"/>
            <w:tcBorders>
              <w:top w:val="nil"/>
              <w:left w:val="nil"/>
              <w:bottom w:val="single" w:sz="4" w:space="0" w:color="auto"/>
              <w:right w:val="single" w:sz="4" w:space="0" w:color="auto"/>
            </w:tcBorders>
            <w:shd w:val="clear" w:color="auto" w:fill="auto"/>
            <w:noWrap/>
            <w:vAlign w:val="center"/>
            <w:hideMark/>
          </w:tcPr>
          <w:p w14:paraId="18EBC77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-69,00</w:t>
            </w:r>
          </w:p>
        </w:tc>
      </w:tr>
      <w:tr w:rsidR="0066583A" w:rsidRPr="004135FE" w14:paraId="6CFC3296"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35B4134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5855481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2018</w:t>
            </w:r>
          </w:p>
        </w:tc>
        <w:tc>
          <w:tcPr>
            <w:tcW w:w="850" w:type="dxa"/>
            <w:tcBorders>
              <w:top w:val="nil"/>
              <w:left w:val="nil"/>
              <w:bottom w:val="single" w:sz="4" w:space="0" w:color="auto"/>
              <w:right w:val="single" w:sz="4" w:space="0" w:color="auto"/>
            </w:tcBorders>
            <w:shd w:val="clear" w:color="auto" w:fill="auto"/>
            <w:vAlign w:val="center"/>
            <w:hideMark/>
          </w:tcPr>
          <w:p w14:paraId="5ABC63E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191</w:t>
            </w:r>
          </w:p>
        </w:tc>
        <w:tc>
          <w:tcPr>
            <w:tcW w:w="992" w:type="dxa"/>
            <w:tcBorders>
              <w:top w:val="nil"/>
              <w:left w:val="nil"/>
              <w:bottom w:val="single" w:sz="4" w:space="0" w:color="auto"/>
              <w:right w:val="single" w:sz="4" w:space="0" w:color="auto"/>
            </w:tcBorders>
            <w:shd w:val="clear" w:color="auto" w:fill="auto"/>
            <w:noWrap/>
            <w:vAlign w:val="center"/>
            <w:hideMark/>
          </w:tcPr>
          <w:p w14:paraId="0850F62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60,00</w:t>
            </w:r>
          </w:p>
        </w:tc>
        <w:tc>
          <w:tcPr>
            <w:tcW w:w="1418" w:type="dxa"/>
            <w:tcBorders>
              <w:top w:val="nil"/>
              <w:left w:val="nil"/>
              <w:bottom w:val="single" w:sz="4" w:space="0" w:color="auto"/>
              <w:right w:val="single" w:sz="4" w:space="0" w:color="auto"/>
            </w:tcBorders>
            <w:shd w:val="clear" w:color="auto" w:fill="auto"/>
            <w:noWrap/>
            <w:vAlign w:val="center"/>
            <w:hideMark/>
          </w:tcPr>
          <w:p w14:paraId="24FEEA5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41,72</w:t>
            </w:r>
          </w:p>
        </w:tc>
        <w:tc>
          <w:tcPr>
            <w:tcW w:w="992" w:type="dxa"/>
            <w:tcBorders>
              <w:top w:val="nil"/>
              <w:left w:val="nil"/>
              <w:bottom w:val="single" w:sz="4" w:space="0" w:color="auto"/>
              <w:right w:val="single" w:sz="4" w:space="0" w:color="auto"/>
            </w:tcBorders>
            <w:shd w:val="clear" w:color="auto" w:fill="auto"/>
            <w:noWrap/>
            <w:vAlign w:val="center"/>
            <w:hideMark/>
          </w:tcPr>
          <w:p w14:paraId="6271C93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-58,28</w:t>
            </w:r>
          </w:p>
        </w:tc>
        <w:tc>
          <w:tcPr>
            <w:tcW w:w="992" w:type="dxa"/>
            <w:tcBorders>
              <w:top w:val="nil"/>
              <w:left w:val="nil"/>
              <w:bottom w:val="single" w:sz="4" w:space="0" w:color="000000"/>
              <w:right w:val="single" w:sz="4" w:space="0" w:color="000000"/>
            </w:tcBorders>
            <w:shd w:val="clear" w:color="auto" w:fill="auto"/>
            <w:vAlign w:val="center"/>
            <w:hideMark/>
          </w:tcPr>
          <w:p w14:paraId="42418EE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81</w:t>
            </w:r>
          </w:p>
        </w:tc>
        <w:tc>
          <w:tcPr>
            <w:tcW w:w="851" w:type="dxa"/>
            <w:tcBorders>
              <w:top w:val="nil"/>
              <w:left w:val="nil"/>
              <w:bottom w:val="single" w:sz="4" w:space="0" w:color="auto"/>
              <w:right w:val="single" w:sz="4" w:space="0" w:color="auto"/>
            </w:tcBorders>
            <w:shd w:val="clear" w:color="auto" w:fill="auto"/>
            <w:noWrap/>
            <w:vAlign w:val="center"/>
            <w:hideMark/>
          </w:tcPr>
          <w:p w14:paraId="681550F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19,00</w:t>
            </w:r>
          </w:p>
        </w:tc>
        <w:tc>
          <w:tcPr>
            <w:tcW w:w="1276" w:type="dxa"/>
            <w:tcBorders>
              <w:top w:val="nil"/>
              <w:left w:val="nil"/>
              <w:bottom w:val="single" w:sz="4" w:space="0" w:color="auto"/>
              <w:right w:val="single" w:sz="4" w:space="0" w:color="auto"/>
            </w:tcBorders>
            <w:shd w:val="clear" w:color="auto" w:fill="auto"/>
            <w:noWrap/>
            <w:vAlign w:val="center"/>
            <w:hideMark/>
          </w:tcPr>
          <w:p w14:paraId="14D12F3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54,39</w:t>
            </w:r>
          </w:p>
        </w:tc>
        <w:tc>
          <w:tcPr>
            <w:tcW w:w="1134" w:type="dxa"/>
            <w:tcBorders>
              <w:top w:val="nil"/>
              <w:left w:val="nil"/>
              <w:bottom w:val="single" w:sz="4" w:space="0" w:color="auto"/>
              <w:right w:val="single" w:sz="4" w:space="0" w:color="auto"/>
            </w:tcBorders>
            <w:shd w:val="clear" w:color="auto" w:fill="auto"/>
            <w:noWrap/>
            <w:vAlign w:val="center"/>
            <w:hideMark/>
          </w:tcPr>
          <w:p w14:paraId="380E008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-45,61</w:t>
            </w:r>
          </w:p>
        </w:tc>
        <w:tc>
          <w:tcPr>
            <w:tcW w:w="708" w:type="dxa"/>
            <w:tcBorders>
              <w:top w:val="nil"/>
              <w:left w:val="nil"/>
              <w:bottom w:val="single" w:sz="4" w:space="0" w:color="000000"/>
              <w:right w:val="single" w:sz="4" w:space="0" w:color="000000"/>
            </w:tcBorders>
            <w:shd w:val="clear" w:color="auto" w:fill="auto"/>
            <w:vAlign w:val="center"/>
            <w:hideMark/>
          </w:tcPr>
          <w:p w14:paraId="0C369B2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110</w:t>
            </w:r>
          </w:p>
        </w:tc>
        <w:tc>
          <w:tcPr>
            <w:tcW w:w="993" w:type="dxa"/>
            <w:tcBorders>
              <w:top w:val="nil"/>
              <w:left w:val="nil"/>
              <w:bottom w:val="single" w:sz="4" w:space="0" w:color="auto"/>
              <w:right w:val="single" w:sz="4" w:space="0" w:color="auto"/>
            </w:tcBorders>
            <w:shd w:val="clear" w:color="auto" w:fill="auto"/>
            <w:noWrap/>
            <w:vAlign w:val="center"/>
            <w:hideMark/>
          </w:tcPr>
          <w:p w14:paraId="25E9E5E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41,00</w:t>
            </w:r>
          </w:p>
        </w:tc>
        <w:tc>
          <w:tcPr>
            <w:tcW w:w="992" w:type="dxa"/>
            <w:tcBorders>
              <w:top w:val="nil"/>
              <w:left w:val="nil"/>
              <w:bottom w:val="single" w:sz="4" w:space="0" w:color="auto"/>
              <w:right w:val="single" w:sz="4" w:space="0" w:color="auto"/>
            </w:tcBorders>
            <w:shd w:val="clear" w:color="auto" w:fill="auto"/>
            <w:noWrap/>
            <w:vAlign w:val="center"/>
            <w:hideMark/>
          </w:tcPr>
          <w:p w14:paraId="1926A3F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34,50</w:t>
            </w:r>
          </w:p>
        </w:tc>
        <w:tc>
          <w:tcPr>
            <w:tcW w:w="992" w:type="dxa"/>
            <w:tcBorders>
              <w:top w:val="nil"/>
              <w:left w:val="nil"/>
              <w:bottom w:val="single" w:sz="4" w:space="0" w:color="auto"/>
              <w:right w:val="single" w:sz="4" w:space="0" w:color="auto"/>
            </w:tcBorders>
            <w:shd w:val="clear" w:color="auto" w:fill="auto"/>
            <w:noWrap/>
            <w:vAlign w:val="center"/>
            <w:hideMark/>
          </w:tcPr>
          <w:p w14:paraId="7A6E1A8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-65,50</w:t>
            </w:r>
          </w:p>
        </w:tc>
      </w:tr>
      <w:tr w:rsidR="0066583A" w:rsidRPr="004135FE" w14:paraId="0427F049"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222D8F6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48E3B72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2019</w:t>
            </w:r>
          </w:p>
        </w:tc>
        <w:tc>
          <w:tcPr>
            <w:tcW w:w="850" w:type="dxa"/>
            <w:tcBorders>
              <w:top w:val="nil"/>
              <w:left w:val="nil"/>
              <w:bottom w:val="single" w:sz="4" w:space="0" w:color="auto"/>
              <w:right w:val="single" w:sz="4" w:space="0" w:color="auto"/>
            </w:tcBorders>
            <w:shd w:val="clear" w:color="auto" w:fill="auto"/>
            <w:vAlign w:val="center"/>
            <w:hideMark/>
          </w:tcPr>
          <w:p w14:paraId="62F5AD8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284</w:t>
            </w:r>
          </w:p>
        </w:tc>
        <w:tc>
          <w:tcPr>
            <w:tcW w:w="992" w:type="dxa"/>
            <w:tcBorders>
              <w:top w:val="nil"/>
              <w:left w:val="nil"/>
              <w:bottom w:val="single" w:sz="4" w:space="0" w:color="auto"/>
              <w:right w:val="single" w:sz="4" w:space="0" w:color="auto"/>
            </w:tcBorders>
            <w:shd w:val="clear" w:color="auto" w:fill="auto"/>
            <w:noWrap/>
            <w:vAlign w:val="center"/>
            <w:hideMark/>
          </w:tcPr>
          <w:p w14:paraId="060FF36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93,00</w:t>
            </w:r>
          </w:p>
        </w:tc>
        <w:tc>
          <w:tcPr>
            <w:tcW w:w="1418" w:type="dxa"/>
            <w:tcBorders>
              <w:top w:val="nil"/>
              <w:left w:val="nil"/>
              <w:bottom w:val="single" w:sz="4" w:space="0" w:color="auto"/>
              <w:right w:val="single" w:sz="4" w:space="0" w:color="auto"/>
            </w:tcBorders>
            <w:shd w:val="clear" w:color="auto" w:fill="auto"/>
            <w:noWrap/>
            <w:vAlign w:val="center"/>
            <w:hideMark/>
          </w:tcPr>
          <w:p w14:paraId="2CF8C56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60,83</w:t>
            </w:r>
          </w:p>
        </w:tc>
        <w:tc>
          <w:tcPr>
            <w:tcW w:w="992" w:type="dxa"/>
            <w:tcBorders>
              <w:top w:val="nil"/>
              <w:left w:val="nil"/>
              <w:bottom w:val="single" w:sz="4" w:space="0" w:color="auto"/>
              <w:right w:val="single" w:sz="4" w:space="0" w:color="auto"/>
            </w:tcBorders>
            <w:shd w:val="clear" w:color="auto" w:fill="auto"/>
            <w:noWrap/>
            <w:vAlign w:val="center"/>
            <w:hideMark/>
          </w:tcPr>
          <w:p w14:paraId="5EBAC3B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-39,17</w:t>
            </w:r>
          </w:p>
        </w:tc>
        <w:tc>
          <w:tcPr>
            <w:tcW w:w="992" w:type="dxa"/>
            <w:tcBorders>
              <w:top w:val="nil"/>
              <w:left w:val="nil"/>
              <w:bottom w:val="single" w:sz="4" w:space="0" w:color="000000"/>
              <w:right w:val="single" w:sz="4" w:space="0" w:color="000000"/>
            </w:tcBorders>
            <w:shd w:val="clear" w:color="auto" w:fill="auto"/>
            <w:vAlign w:val="center"/>
            <w:hideMark/>
          </w:tcPr>
          <w:p w14:paraId="3DF3D4A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122</w:t>
            </w:r>
          </w:p>
        </w:tc>
        <w:tc>
          <w:tcPr>
            <w:tcW w:w="851" w:type="dxa"/>
            <w:tcBorders>
              <w:top w:val="nil"/>
              <w:left w:val="nil"/>
              <w:bottom w:val="single" w:sz="4" w:space="0" w:color="auto"/>
              <w:right w:val="single" w:sz="4" w:space="0" w:color="auto"/>
            </w:tcBorders>
            <w:shd w:val="clear" w:color="auto" w:fill="auto"/>
            <w:noWrap/>
            <w:vAlign w:val="center"/>
            <w:hideMark/>
          </w:tcPr>
          <w:p w14:paraId="4E32880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41,00</w:t>
            </w:r>
          </w:p>
        </w:tc>
        <w:tc>
          <w:tcPr>
            <w:tcW w:w="1276" w:type="dxa"/>
            <w:tcBorders>
              <w:top w:val="nil"/>
              <w:left w:val="nil"/>
              <w:bottom w:val="single" w:sz="4" w:space="0" w:color="auto"/>
              <w:right w:val="single" w:sz="4" w:space="0" w:color="auto"/>
            </w:tcBorders>
            <w:shd w:val="clear" w:color="auto" w:fill="auto"/>
            <w:noWrap/>
            <w:vAlign w:val="center"/>
            <w:hideMark/>
          </w:tcPr>
          <w:p w14:paraId="039846B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71,05</w:t>
            </w:r>
          </w:p>
        </w:tc>
        <w:tc>
          <w:tcPr>
            <w:tcW w:w="1134" w:type="dxa"/>
            <w:tcBorders>
              <w:top w:val="nil"/>
              <w:left w:val="nil"/>
              <w:bottom w:val="single" w:sz="4" w:space="0" w:color="auto"/>
              <w:right w:val="single" w:sz="4" w:space="0" w:color="auto"/>
            </w:tcBorders>
            <w:shd w:val="clear" w:color="auto" w:fill="auto"/>
            <w:noWrap/>
            <w:vAlign w:val="center"/>
            <w:hideMark/>
          </w:tcPr>
          <w:p w14:paraId="03DD7E6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-28,95</w:t>
            </w:r>
          </w:p>
        </w:tc>
        <w:tc>
          <w:tcPr>
            <w:tcW w:w="708" w:type="dxa"/>
            <w:tcBorders>
              <w:top w:val="nil"/>
              <w:left w:val="nil"/>
              <w:bottom w:val="single" w:sz="4" w:space="0" w:color="000000"/>
              <w:right w:val="single" w:sz="4" w:space="0" w:color="000000"/>
            </w:tcBorders>
            <w:shd w:val="clear" w:color="auto" w:fill="auto"/>
            <w:vAlign w:val="center"/>
            <w:hideMark/>
          </w:tcPr>
          <w:p w14:paraId="6345DC9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162</w:t>
            </w:r>
          </w:p>
        </w:tc>
        <w:tc>
          <w:tcPr>
            <w:tcW w:w="993" w:type="dxa"/>
            <w:tcBorders>
              <w:top w:val="nil"/>
              <w:left w:val="nil"/>
              <w:bottom w:val="single" w:sz="4" w:space="0" w:color="auto"/>
              <w:right w:val="single" w:sz="4" w:space="0" w:color="auto"/>
            </w:tcBorders>
            <w:shd w:val="clear" w:color="auto" w:fill="auto"/>
            <w:noWrap/>
            <w:vAlign w:val="center"/>
            <w:hideMark/>
          </w:tcPr>
          <w:p w14:paraId="0A2BD9F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52,00</w:t>
            </w:r>
          </w:p>
        </w:tc>
        <w:tc>
          <w:tcPr>
            <w:tcW w:w="992" w:type="dxa"/>
            <w:tcBorders>
              <w:top w:val="nil"/>
              <w:left w:val="nil"/>
              <w:bottom w:val="single" w:sz="4" w:space="0" w:color="auto"/>
              <w:right w:val="single" w:sz="4" w:space="0" w:color="auto"/>
            </w:tcBorders>
            <w:shd w:val="clear" w:color="auto" w:fill="auto"/>
            <w:noWrap/>
            <w:vAlign w:val="center"/>
            <w:hideMark/>
          </w:tcPr>
          <w:p w14:paraId="4F563F3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55,00</w:t>
            </w:r>
          </w:p>
        </w:tc>
        <w:tc>
          <w:tcPr>
            <w:tcW w:w="992" w:type="dxa"/>
            <w:tcBorders>
              <w:top w:val="nil"/>
              <w:left w:val="nil"/>
              <w:bottom w:val="single" w:sz="4" w:space="0" w:color="auto"/>
              <w:right w:val="single" w:sz="4" w:space="0" w:color="auto"/>
            </w:tcBorders>
            <w:shd w:val="clear" w:color="auto" w:fill="auto"/>
            <w:noWrap/>
            <w:vAlign w:val="center"/>
            <w:hideMark/>
          </w:tcPr>
          <w:p w14:paraId="3AC3C9F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-45,00</w:t>
            </w:r>
          </w:p>
        </w:tc>
      </w:tr>
      <w:tr w:rsidR="0066583A" w:rsidRPr="004135FE" w14:paraId="2EA30E94"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0B39D50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44AEED7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2020</w:t>
            </w:r>
          </w:p>
        </w:tc>
        <w:tc>
          <w:tcPr>
            <w:tcW w:w="850" w:type="dxa"/>
            <w:tcBorders>
              <w:top w:val="nil"/>
              <w:left w:val="nil"/>
              <w:bottom w:val="single" w:sz="4" w:space="0" w:color="auto"/>
              <w:right w:val="single" w:sz="4" w:space="0" w:color="auto"/>
            </w:tcBorders>
            <w:shd w:val="clear" w:color="auto" w:fill="auto"/>
            <w:vAlign w:val="center"/>
            <w:hideMark/>
          </w:tcPr>
          <w:p w14:paraId="05DA0D9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310</w:t>
            </w:r>
          </w:p>
        </w:tc>
        <w:tc>
          <w:tcPr>
            <w:tcW w:w="992" w:type="dxa"/>
            <w:tcBorders>
              <w:top w:val="nil"/>
              <w:left w:val="nil"/>
              <w:bottom w:val="single" w:sz="4" w:space="0" w:color="auto"/>
              <w:right w:val="single" w:sz="4" w:space="0" w:color="auto"/>
            </w:tcBorders>
            <w:shd w:val="clear" w:color="auto" w:fill="auto"/>
            <w:noWrap/>
            <w:vAlign w:val="center"/>
            <w:hideMark/>
          </w:tcPr>
          <w:p w14:paraId="1946FA6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26,00</w:t>
            </w:r>
          </w:p>
        </w:tc>
        <w:tc>
          <w:tcPr>
            <w:tcW w:w="1418" w:type="dxa"/>
            <w:tcBorders>
              <w:top w:val="nil"/>
              <w:left w:val="nil"/>
              <w:bottom w:val="single" w:sz="4" w:space="0" w:color="auto"/>
              <w:right w:val="single" w:sz="4" w:space="0" w:color="auto"/>
            </w:tcBorders>
            <w:shd w:val="clear" w:color="auto" w:fill="auto"/>
            <w:noWrap/>
            <w:vAlign w:val="center"/>
            <w:hideMark/>
          </w:tcPr>
          <w:p w14:paraId="5301C20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90,45</w:t>
            </w:r>
          </w:p>
        </w:tc>
        <w:tc>
          <w:tcPr>
            <w:tcW w:w="992" w:type="dxa"/>
            <w:tcBorders>
              <w:top w:val="nil"/>
              <w:left w:val="nil"/>
              <w:bottom w:val="single" w:sz="4" w:space="0" w:color="auto"/>
              <w:right w:val="single" w:sz="4" w:space="0" w:color="auto"/>
            </w:tcBorders>
            <w:shd w:val="clear" w:color="auto" w:fill="auto"/>
            <w:noWrap/>
            <w:vAlign w:val="center"/>
            <w:hideMark/>
          </w:tcPr>
          <w:p w14:paraId="057E24C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-9,55</w:t>
            </w:r>
          </w:p>
        </w:tc>
        <w:tc>
          <w:tcPr>
            <w:tcW w:w="992" w:type="dxa"/>
            <w:tcBorders>
              <w:top w:val="nil"/>
              <w:left w:val="nil"/>
              <w:bottom w:val="single" w:sz="4" w:space="0" w:color="000000"/>
              <w:right w:val="single" w:sz="4" w:space="0" w:color="000000"/>
            </w:tcBorders>
            <w:shd w:val="clear" w:color="auto" w:fill="auto"/>
            <w:vAlign w:val="center"/>
            <w:hideMark/>
          </w:tcPr>
          <w:p w14:paraId="53556E4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131</w:t>
            </w:r>
          </w:p>
        </w:tc>
        <w:tc>
          <w:tcPr>
            <w:tcW w:w="851" w:type="dxa"/>
            <w:tcBorders>
              <w:top w:val="nil"/>
              <w:left w:val="nil"/>
              <w:bottom w:val="single" w:sz="4" w:space="0" w:color="auto"/>
              <w:right w:val="single" w:sz="4" w:space="0" w:color="auto"/>
            </w:tcBorders>
            <w:shd w:val="clear" w:color="auto" w:fill="auto"/>
            <w:noWrap/>
            <w:vAlign w:val="center"/>
            <w:hideMark/>
          </w:tcPr>
          <w:p w14:paraId="0F75B74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9,00</w:t>
            </w:r>
          </w:p>
        </w:tc>
        <w:tc>
          <w:tcPr>
            <w:tcW w:w="1276" w:type="dxa"/>
            <w:tcBorders>
              <w:top w:val="nil"/>
              <w:left w:val="nil"/>
              <w:bottom w:val="single" w:sz="4" w:space="0" w:color="auto"/>
              <w:right w:val="single" w:sz="4" w:space="0" w:color="auto"/>
            </w:tcBorders>
            <w:shd w:val="clear" w:color="auto" w:fill="auto"/>
            <w:noWrap/>
            <w:vAlign w:val="center"/>
            <w:hideMark/>
          </w:tcPr>
          <w:p w14:paraId="3203D0F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107,02</w:t>
            </w:r>
          </w:p>
        </w:tc>
        <w:tc>
          <w:tcPr>
            <w:tcW w:w="1134" w:type="dxa"/>
            <w:tcBorders>
              <w:top w:val="nil"/>
              <w:left w:val="nil"/>
              <w:bottom w:val="single" w:sz="4" w:space="0" w:color="auto"/>
              <w:right w:val="single" w:sz="4" w:space="0" w:color="auto"/>
            </w:tcBorders>
            <w:shd w:val="clear" w:color="auto" w:fill="auto"/>
            <w:noWrap/>
            <w:vAlign w:val="center"/>
            <w:hideMark/>
          </w:tcPr>
          <w:p w14:paraId="57746ED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7,02</w:t>
            </w:r>
          </w:p>
        </w:tc>
        <w:tc>
          <w:tcPr>
            <w:tcW w:w="708" w:type="dxa"/>
            <w:tcBorders>
              <w:top w:val="nil"/>
              <w:left w:val="nil"/>
              <w:bottom w:val="single" w:sz="4" w:space="0" w:color="000000"/>
              <w:right w:val="single" w:sz="4" w:space="0" w:color="000000"/>
            </w:tcBorders>
            <w:shd w:val="clear" w:color="auto" w:fill="auto"/>
            <w:vAlign w:val="center"/>
            <w:hideMark/>
          </w:tcPr>
          <w:p w14:paraId="28CD298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179</w:t>
            </w:r>
          </w:p>
        </w:tc>
        <w:tc>
          <w:tcPr>
            <w:tcW w:w="993" w:type="dxa"/>
            <w:tcBorders>
              <w:top w:val="nil"/>
              <w:left w:val="nil"/>
              <w:bottom w:val="single" w:sz="4" w:space="0" w:color="auto"/>
              <w:right w:val="single" w:sz="4" w:space="0" w:color="auto"/>
            </w:tcBorders>
            <w:shd w:val="clear" w:color="auto" w:fill="auto"/>
            <w:noWrap/>
            <w:vAlign w:val="center"/>
            <w:hideMark/>
          </w:tcPr>
          <w:p w14:paraId="61BE66A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17,00</w:t>
            </w:r>
          </w:p>
        </w:tc>
        <w:tc>
          <w:tcPr>
            <w:tcW w:w="992" w:type="dxa"/>
            <w:tcBorders>
              <w:top w:val="nil"/>
              <w:left w:val="nil"/>
              <w:bottom w:val="single" w:sz="4" w:space="0" w:color="auto"/>
              <w:right w:val="single" w:sz="4" w:space="0" w:color="auto"/>
            </w:tcBorders>
            <w:shd w:val="clear" w:color="auto" w:fill="auto"/>
            <w:noWrap/>
            <w:vAlign w:val="center"/>
            <w:hideMark/>
          </w:tcPr>
          <w:p w14:paraId="6074C2E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81,00</w:t>
            </w:r>
          </w:p>
        </w:tc>
        <w:tc>
          <w:tcPr>
            <w:tcW w:w="992" w:type="dxa"/>
            <w:tcBorders>
              <w:top w:val="nil"/>
              <w:left w:val="nil"/>
              <w:bottom w:val="single" w:sz="4" w:space="0" w:color="auto"/>
              <w:right w:val="single" w:sz="4" w:space="0" w:color="auto"/>
            </w:tcBorders>
            <w:shd w:val="clear" w:color="auto" w:fill="auto"/>
            <w:noWrap/>
            <w:vAlign w:val="center"/>
            <w:hideMark/>
          </w:tcPr>
          <w:p w14:paraId="7A65CE2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-19,00</w:t>
            </w:r>
          </w:p>
        </w:tc>
      </w:tr>
      <w:tr w:rsidR="0066583A" w:rsidRPr="004135FE" w14:paraId="12499AF4"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40731E3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1B5A93F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2021</w:t>
            </w:r>
          </w:p>
        </w:tc>
        <w:tc>
          <w:tcPr>
            <w:tcW w:w="850" w:type="dxa"/>
            <w:tcBorders>
              <w:top w:val="nil"/>
              <w:left w:val="nil"/>
              <w:bottom w:val="nil"/>
              <w:right w:val="nil"/>
            </w:tcBorders>
            <w:shd w:val="clear" w:color="auto" w:fill="auto"/>
            <w:noWrap/>
            <w:vAlign w:val="center"/>
            <w:hideMark/>
          </w:tcPr>
          <w:p w14:paraId="7CEA89B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314</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CB1694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4,00</w:t>
            </w:r>
          </w:p>
        </w:tc>
        <w:tc>
          <w:tcPr>
            <w:tcW w:w="1418" w:type="dxa"/>
            <w:tcBorders>
              <w:top w:val="nil"/>
              <w:left w:val="nil"/>
              <w:bottom w:val="single" w:sz="4" w:space="0" w:color="auto"/>
              <w:right w:val="single" w:sz="4" w:space="0" w:color="auto"/>
            </w:tcBorders>
            <w:shd w:val="clear" w:color="auto" w:fill="auto"/>
            <w:noWrap/>
            <w:vAlign w:val="center"/>
            <w:hideMark/>
          </w:tcPr>
          <w:p w14:paraId="4D1F923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98,73</w:t>
            </w:r>
          </w:p>
        </w:tc>
        <w:tc>
          <w:tcPr>
            <w:tcW w:w="992" w:type="dxa"/>
            <w:tcBorders>
              <w:top w:val="nil"/>
              <w:left w:val="nil"/>
              <w:bottom w:val="single" w:sz="4" w:space="0" w:color="auto"/>
              <w:right w:val="single" w:sz="4" w:space="0" w:color="auto"/>
            </w:tcBorders>
            <w:shd w:val="clear" w:color="auto" w:fill="auto"/>
            <w:noWrap/>
            <w:vAlign w:val="center"/>
            <w:hideMark/>
          </w:tcPr>
          <w:p w14:paraId="4F3848C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-1,27</w:t>
            </w:r>
          </w:p>
        </w:tc>
        <w:tc>
          <w:tcPr>
            <w:tcW w:w="992" w:type="dxa"/>
            <w:tcBorders>
              <w:top w:val="nil"/>
              <w:left w:val="nil"/>
              <w:bottom w:val="single" w:sz="4" w:space="0" w:color="000000"/>
              <w:right w:val="single" w:sz="4" w:space="0" w:color="000000"/>
            </w:tcBorders>
            <w:shd w:val="clear" w:color="auto" w:fill="auto"/>
            <w:vAlign w:val="center"/>
            <w:hideMark/>
          </w:tcPr>
          <w:p w14:paraId="3D4BDD9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114</w:t>
            </w:r>
          </w:p>
        </w:tc>
        <w:tc>
          <w:tcPr>
            <w:tcW w:w="851" w:type="dxa"/>
            <w:tcBorders>
              <w:top w:val="nil"/>
              <w:left w:val="nil"/>
              <w:bottom w:val="single" w:sz="4" w:space="0" w:color="auto"/>
              <w:right w:val="single" w:sz="4" w:space="0" w:color="auto"/>
            </w:tcBorders>
            <w:shd w:val="clear" w:color="auto" w:fill="auto"/>
            <w:noWrap/>
            <w:vAlign w:val="center"/>
            <w:hideMark/>
          </w:tcPr>
          <w:p w14:paraId="2281D78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-17,00</w:t>
            </w:r>
          </w:p>
        </w:tc>
        <w:tc>
          <w:tcPr>
            <w:tcW w:w="1276" w:type="dxa"/>
            <w:tcBorders>
              <w:top w:val="nil"/>
              <w:left w:val="nil"/>
              <w:bottom w:val="single" w:sz="4" w:space="0" w:color="auto"/>
              <w:right w:val="single" w:sz="4" w:space="0" w:color="auto"/>
            </w:tcBorders>
            <w:shd w:val="clear" w:color="auto" w:fill="auto"/>
            <w:noWrap/>
            <w:vAlign w:val="center"/>
            <w:hideMark/>
          </w:tcPr>
          <w:p w14:paraId="6A35594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114,91</w:t>
            </w:r>
          </w:p>
        </w:tc>
        <w:tc>
          <w:tcPr>
            <w:tcW w:w="1134" w:type="dxa"/>
            <w:tcBorders>
              <w:top w:val="nil"/>
              <w:left w:val="nil"/>
              <w:bottom w:val="single" w:sz="4" w:space="0" w:color="auto"/>
              <w:right w:val="single" w:sz="4" w:space="0" w:color="auto"/>
            </w:tcBorders>
            <w:shd w:val="clear" w:color="auto" w:fill="auto"/>
            <w:noWrap/>
            <w:vAlign w:val="center"/>
            <w:hideMark/>
          </w:tcPr>
          <w:p w14:paraId="1BAF352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14,91</w:t>
            </w:r>
          </w:p>
        </w:tc>
        <w:tc>
          <w:tcPr>
            <w:tcW w:w="708" w:type="dxa"/>
            <w:tcBorders>
              <w:top w:val="nil"/>
              <w:left w:val="nil"/>
              <w:bottom w:val="single" w:sz="4" w:space="0" w:color="000000"/>
              <w:right w:val="single" w:sz="4" w:space="0" w:color="000000"/>
            </w:tcBorders>
            <w:shd w:val="clear" w:color="auto" w:fill="auto"/>
            <w:vAlign w:val="center"/>
            <w:hideMark/>
          </w:tcPr>
          <w:p w14:paraId="2B97587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200</w:t>
            </w:r>
          </w:p>
        </w:tc>
        <w:tc>
          <w:tcPr>
            <w:tcW w:w="993" w:type="dxa"/>
            <w:tcBorders>
              <w:top w:val="nil"/>
              <w:left w:val="nil"/>
              <w:bottom w:val="single" w:sz="4" w:space="0" w:color="auto"/>
              <w:right w:val="single" w:sz="4" w:space="0" w:color="auto"/>
            </w:tcBorders>
            <w:shd w:val="clear" w:color="auto" w:fill="auto"/>
            <w:noWrap/>
            <w:vAlign w:val="center"/>
            <w:hideMark/>
          </w:tcPr>
          <w:p w14:paraId="6829764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21,00</w:t>
            </w:r>
          </w:p>
        </w:tc>
        <w:tc>
          <w:tcPr>
            <w:tcW w:w="992" w:type="dxa"/>
            <w:tcBorders>
              <w:top w:val="nil"/>
              <w:left w:val="nil"/>
              <w:bottom w:val="single" w:sz="4" w:space="0" w:color="auto"/>
              <w:right w:val="single" w:sz="4" w:space="0" w:color="auto"/>
            </w:tcBorders>
            <w:shd w:val="clear" w:color="auto" w:fill="auto"/>
            <w:noWrap/>
            <w:vAlign w:val="center"/>
            <w:hideMark/>
          </w:tcPr>
          <w:p w14:paraId="19ABE36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89,50</w:t>
            </w:r>
          </w:p>
        </w:tc>
        <w:tc>
          <w:tcPr>
            <w:tcW w:w="992" w:type="dxa"/>
            <w:tcBorders>
              <w:top w:val="nil"/>
              <w:left w:val="nil"/>
              <w:bottom w:val="single" w:sz="4" w:space="0" w:color="auto"/>
              <w:right w:val="single" w:sz="4" w:space="0" w:color="auto"/>
            </w:tcBorders>
            <w:shd w:val="clear" w:color="auto" w:fill="auto"/>
            <w:noWrap/>
            <w:vAlign w:val="center"/>
            <w:hideMark/>
          </w:tcPr>
          <w:p w14:paraId="723FBD2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-10,50</w:t>
            </w:r>
          </w:p>
        </w:tc>
      </w:tr>
      <w:tr w:rsidR="00B16459" w:rsidRPr="004135FE" w14:paraId="7F61A4C6" w14:textId="77777777" w:rsidTr="00E2614D">
        <w:trPr>
          <w:trHeight w:val="283"/>
        </w:trPr>
        <w:tc>
          <w:tcPr>
            <w:tcW w:w="1134" w:type="dxa"/>
            <w:vMerge/>
            <w:tcBorders>
              <w:top w:val="nil"/>
              <w:left w:val="single" w:sz="4" w:space="0" w:color="auto"/>
              <w:bottom w:val="single" w:sz="4" w:space="0" w:color="000000"/>
              <w:right w:val="single" w:sz="4" w:space="0" w:color="auto"/>
            </w:tcBorders>
            <w:vAlign w:val="center"/>
            <w:hideMark/>
          </w:tcPr>
          <w:p w14:paraId="2CCA454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000000" w:fill="FFFFFF"/>
            <w:noWrap/>
            <w:vAlign w:val="center"/>
            <w:hideMark/>
          </w:tcPr>
          <w:p w14:paraId="66CF947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среднее</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447EBE5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201,29</w:t>
            </w:r>
          </w:p>
        </w:tc>
        <w:tc>
          <w:tcPr>
            <w:tcW w:w="992" w:type="dxa"/>
            <w:tcBorders>
              <w:top w:val="nil"/>
              <w:left w:val="nil"/>
              <w:bottom w:val="single" w:sz="4" w:space="0" w:color="auto"/>
              <w:right w:val="single" w:sz="4" w:space="0" w:color="auto"/>
            </w:tcBorders>
            <w:shd w:val="clear" w:color="000000" w:fill="FFFFFF"/>
            <w:noWrap/>
            <w:vAlign w:val="center"/>
            <w:hideMark/>
          </w:tcPr>
          <w:p w14:paraId="4D59032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41,83</w:t>
            </w:r>
          </w:p>
        </w:tc>
        <w:tc>
          <w:tcPr>
            <w:tcW w:w="1418" w:type="dxa"/>
            <w:tcBorders>
              <w:top w:val="nil"/>
              <w:left w:val="nil"/>
              <w:bottom w:val="single" w:sz="4" w:space="0" w:color="auto"/>
              <w:right w:val="single" w:sz="4" w:space="0" w:color="auto"/>
            </w:tcBorders>
            <w:shd w:val="clear" w:color="000000" w:fill="FFFFFF"/>
            <w:noWrap/>
            <w:vAlign w:val="center"/>
            <w:hideMark/>
          </w:tcPr>
          <w:p w14:paraId="6ADA7FB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130,70</w:t>
            </w:r>
          </w:p>
        </w:tc>
        <w:tc>
          <w:tcPr>
            <w:tcW w:w="992" w:type="dxa"/>
            <w:tcBorders>
              <w:top w:val="nil"/>
              <w:left w:val="nil"/>
              <w:bottom w:val="single" w:sz="4" w:space="0" w:color="auto"/>
              <w:right w:val="single" w:sz="4" w:space="0" w:color="auto"/>
            </w:tcBorders>
            <w:shd w:val="clear" w:color="000000" w:fill="FFFFFF"/>
            <w:noWrap/>
            <w:vAlign w:val="center"/>
            <w:hideMark/>
          </w:tcPr>
          <w:p w14:paraId="5B62E1E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30,70</w:t>
            </w:r>
          </w:p>
        </w:tc>
        <w:tc>
          <w:tcPr>
            <w:tcW w:w="992" w:type="dxa"/>
            <w:tcBorders>
              <w:top w:val="nil"/>
              <w:left w:val="nil"/>
              <w:bottom w:val="single" w:sz="4" w:space="0" w:color="auto"/>
              <w:right w:val="single" w:sz="4" w:space="0" w:color="auto"/>
            </w:tcBorders>
            <w:shd w:val="clear" w:color="000000" w:fill="FFFFFF"/>
            <w:noWrap/>
            <w:vAlign w:val="center"/>
            <w:hideMark/>
          </w:tcPr>
          <w:p w14:paraId="7B80505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83,29</w:t>
            </w:r>
          </w:p>
        </w:tc>
        <w:tc>
          <w:tcPr>
            <w:tcW w:w="851" w:type="dxa"/>
            <w:tcBorders>
              <w:top w:val="nil"/>
              <w:left w:val="nil"/>
              <w:bottom w:val="single" w:sz="4" w:space="0" w:color="auto"/>
              <w:right w:val="single" w:sz="4" w:space="0" w:color="auto"/>
            </w:tcBorders>
            <w:shd w:val="clear" w:color="000000" w:fill="FFFFFF"/>
            <w:noWrap/>
            <w:vAlign w:val="center"/>
            <w:hideMark/>
          </w:tcPr>
          <w:p w14:paraId="0498525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15,83</w:t>
            </w:r>
          </w:p>
        </w:tc>
        <w:tc>
          <w:tcPr>
            <w:tcW w:w="1276" w:type="dxa"/>
            <w:tcBorders>
              <w:top w:val="nil"/>
              <w:left w:val="nil"/>
              <w:bottom w:val="single" w:sz="4" w:space="0" w:color="auto"/>
              <w:right w:val="single" w:sz="4" w:space="0" w:color="auto"/>
            </w:tcBorders>
            <w:shd w:val="clear" w:color="000000" w:fill="FFFFFF"/>
            <w:noWrap/>
            <w:vAlign w:val="center"/>
            <w:hideMark/>
          </w:tcPr>
          <w:p w14:paraId="629B709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134,80</w:t>
            </w:r>
          </w:p>
        </w:tc>
        <w:tc>
          <w:tcPr>
            <w:tcW w:w="1134" w:type="dxa"/>
            <w:tcBorders>
              <w:top w:val="nil"/>
              <w:left w:val="nil"/>
              <w:bottom w:val="single" w:sz="4" w:space="0" w:color="auto"/>
              <w:right w:val="single" w:sz="4" w:space="0" w:color="auto"/>
            </w:tcBorders>
            <w:shd w:val="clear" w:color="000000" w:fill="FFFFFF"/>
            <w:noWrap/>
            <w:vAlign w:val="center"/>
            <w:hideMark/>
          </w:tcPr>
          <w:p w14:paraId="003BA91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34,80</w:t>
            </w:r>
          </w:p>
        </w:tc>
        <w:tc>
          <w:tcPr>
            <w:tcW w:w="708" w:type="dxa"/>
            <w:tcBorders>
              <w:top w:val="nil"/>
              <w:left w:val="nil"/>
              <w:bottom w:val="single" w:sz="4" w:space="0" w:color="auto"/>
              <w:right w:val="single" w:sz="4" w:space="0" w:color="auto"/>
            </w:tcBorders>
            <w:shd w:val="clear" w:color="000000" w:fill="FFFFFF"/>
            <w:noWrap/>
            <w:vAlign w:val="center"/>
            <w:hideMark/>
          </w:tcPr>
          <w:p w14:paraId="0BD3062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118,00</w:t>
            </w:r>
          </w:p>
        </w:tc>
        <w:tc>
          <w:tcPr>
            <w:tcW w:w="993" w:type="dxa"/>
            <w:tcBorders>
              <w:top w:val="nil"/>
              <w:left w:val="nil"/>
              <w:bottom w:val="single" w:sz="4" w:space="0" w:color="auto"/>
              <w:right w:val="single" w:sz="4" w:space="0" w:color="auto"/>
            </w:tcBorders>
            <w:shd w:val="clear" w:color="000000" w:fill="FFFFFF"/>
            <w:noWrap/>
            <w:vAlign w:val="center"/>
            <w:hideMark/>
          </w:tcPr>
          <w:p w14:paraId="39A04A2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26,00</w:t>
            </w:r>
          </w:p>
        </w:tc>
        <w:tc>
          <w:tcPr>
            <w:tcW w:w="992" w:type="dxa"/>
            <w:tcBorders>
              <w:top w:val="nil"/>
              <w:left w:val="nil"/>
              <w:bottom w:val="single" w:sz="4" w:space="0" w:color="auto"/>
              <w:right w:val="single" w:sz="4" w:space="0" w:color="auto"/>
            </w:tcBorders>
            <w:shd w:val="clear" w:color="000000" w:fill="FFFFFF"/>
            <w:noWrap/>
            <w:vAlign w:val="center"/>
            <w:hideMark/>
          </w:tcPr>
          <w:p w14:paraId="554AB58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128,71</w:t>
            </w:r>
          </w:p>
        </w:tc>
        <w:tc>
          <w:tcPr>
            <w:tcW w:w="992" w:type="dxa"/>
            <w:tcBorders>
              <w:top w:val="nil"/>
              <w:left w:val="nil"/>
              <w:bottom w:val="single" w:sz="4" w:space="0" w:color="auto"/>
              <w:right w:val="single" w:sz="4" w:space="0" w:color="auto"/>
            </w:tcBorders>
            <w:shd w:val="clear" w:color="000000" w:fill="FFFFFF"/>
            <w:noWrap/>
            <w:vAlign w:val="center"/>
            <w:hideMark/>
          </w:tcPr>
          <w:p w14:paraId="2E2292A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28,71</w:t>
            </w:r>
          </w:p>
        </w:tc>
      </w:tr>
      <w:tr w:rsidR="0066583A" w:rsidRPr="004135FE" w14:paraId="3EBF6ABE" w14:textId="77777777" w:rsidTr="00E2614D">
        <w:trPr>
          <w:trHeight w:val="283"/>
        </w:trPr>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FB4D6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993" w:type="dxa"/>
            <w:tcBorders>
              <w:top w:val="nil"/>
              <w:left w:val="nil"/>
              <w:bottom w:val="single" w:sz="4" w:space="0" w:color="auto"/>
              <w:right w:val="single" w:sz="4" w:space="0" w:color="auto"/>
            </w:tcBorders>
            <w:shd w:val="clear" w:color="auto" w:fill="auto"/>
            <w:noWrap/>
            <w:vAlign w:val="center"/>
            <w:hideMark/>
          </w:tcPr>
          <w:p w14:paraId="46D4F32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2012</w:t>
            </w:r>
          </w:p>
        </w:tc>
        <w:tc>
          <w:tcPr>
            <w:tcW w:w="850" w:type="dxa"/>
            <w:tcBorders>
              <w:top w:val="nil"/>
              <w:left w:val="nil"/>
              <w:bottom w:val="single" w:sz="4" w:space="0" w:color="auto"/>
              <w:right w:val="single" w:sz="4" w:space="0" w:color="auto"/>
            </w:tcBorders>
            <w:shd w:val="clear" w:color="auto" w:fill="auto"/>
            <w:vAlign w:val="center"/>
            <w:hideMark/>
          </w:tcPr>
          <w:p w14:paraId="7280383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376</w:t>
            </w:r>
          </w:p>
        </w:tc>
        <w:tc>
          <w:tcPr>
            <w:tcW w:w="992" w:type="dxa"/>
            <w:tcBorders>
              <w:top w:val="nil"/>
              <w:left w:val="nil"/>
              <w:bottom w:val="single" w:sz="4" w:space="0" w:color="auto"/>
              <w:right w:val="single" w:sz="4" w:space="0" w:color="auto"/>
            </w:tcBorders>
            <w:shd w:val="clear" w:color="auto" w:fill="auto"/>
            <w:noWrap/>
            <w:vAlign w:val="center"/>
            <w:hideMark/>
          </w:tcPr>
          <w:p w14:paraId="3BF98028" w14:textId="73E5DFF0" w:rsidR="0066583A" w:rsidRPr="004135FE" w:rsidRDefault="00077E0F"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418" w:type="dxa"/>
            <w:tcBorders>
              <w:top w:val="nil"/>
              <w:left w:val="nil"/>
              <w:bottom w:val="single" w:sz="4" w:space="0" w:color="auto"/>
              <w:right w:val="single" w:sz="4" w:space="0" w:color="auto"/>
            </w:tcBorders>
            <w:shd w:val="clear" w:color="auto" w:fill="auto"/>
            <w:noWrap/>
            <w:vAlign w:val="center"/>
            <w:hideMark/>
          </w:tcPr>
          <w:p w14:paraId="6DB640D7" w14:textId="54CCDFA4" w:rsidR="0066583A" w:rsidRPr="004135FE" w:rsidRDefault="00077E0F"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auto"/>
              <w:right w:val="single" w:sz="4" w:space="0" w:color="auto"/>
            </w:tcBorders>
            <w:shd w:val="clear" w:color="auto" w:fill="auto"/>
            <w:noWrap/>
            <w:vAlign w:val="center"/>
            <w:hideMark/>
          </w:tcPr>
          <w:p w14:paraId="03E26ECC" w14:textId="52AC6E51" w:rsidR="0066583A" w:rsidRPr="004135FE" w:rsidRDefault="00077E0F"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000000"/>
              <w:right w:val="single" w:sz="4" w:space="0" w:color="000000"/>
            </w:tcBorders>
            <w:shd w:val="clear" w:color="auto" w:fill="auto"/>
            <w:vAlign w:val="center"/>
            <w:hideMark/>
          </w:tcPr>
          <w:p w14:paraId="20C130C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124</w:t>
            </w:r>
          </w:p>
        </w:tc>
        <w:tc>
          <w:tcPr>
            <w:tcW w:w="851" w:type="dxa"/>
            <w:tcBorders>
              <w:top w:val="nil"/>
              <w:left w:val="nil"/>
              <w:bottom w:val="single" w:sz="4" w:space="0" w:color="auto"/>
              <w:right w:val="single" w:sz="4" w:space="0" w:color="auto"/>
            </w:tcBorders>
            <w:shd w:val="clear" w:color="auto" w:fill="auto"/>
            <w:noWrap/>
            <w:vAlign w:val="center"/>
            <w:hideMark/>
          </w:tcPr>
          <w:p w14:paraId="2E79CDCA" w14:textId="3C110E2A" w:rsidR="0066583A" w:rsidRPr="004135FE" w:rsidRDefault="00077E0F"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276" w:type="dxa"/>
            <w:tcBorders>
              <w:top w:val="nil"/>
              <w:left w:val="nil"/>
              <w:bottom w:val="single" w:sz="4" w:space="0" w:color="auto"/>
              <w:right w:val="single" w:sz="4" w:space="0" w:color="auto"/>
            </w:tcBorders>
            <w:shd w:val="clear" w:color="auto" w:fill="auto"/>
            <w:noWrap/>
            <w:vAlign w:val="center"/>
            <w:hideMark/>
          </w:tcPr>
          <w:p w14:paraId="11D88365" w14:textId="75593AF2" w:rsidR="0066583A" w:rsidRPr="004135FE" w:rsidRDefault="00077E0F"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134" w:type="dxa"/>
            <w:tcBorders>
              <w:top w:val="nil"/>
              <w:left w:val="nil"/>
              <w:bottom w:val="single" w:sz="4" w:space="0" w:color="auto"/>
              <w:right w:val="single" w:sz="4" w:space="0" w:color="auto"/>
            </w:tcBorders>
            <w:shd w:val="clear" w:color="auto" w:fill="auto"/>
            <w:noWrap/>
            <w:vAlign w:val="center"/>
            <w:hideMark/>
          </w:tcPr>
          <w:p w14:paraId="3A357855" w14:textId="7B374002" w:rsidR="0066583A" w:rsidRPr="004135FE" w:rsidRDefault="00077E0F"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708" w:type="dxa"/>
            <w:tcBorders>
              <w:top w:val="nil"/>
              <w:left w:val="nil"/>
              <w:bottom w:val="single" w:sz="4" w:space="0" w:color="000000"/>
              <w:right w:val="single" w:sz="4" w:space="0" w:color="000000"/>
            </w:tcBorders>
            <w:shd w:val="clear" w:color="auto" w:fill="auto"/>
            <w:vAlign w:val="center"/>
            <w:hideMark/>
          </w:tcPr>
          <w:p w14:paraId="3056290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252</w:t>
            </w:r>
          </w:p>
        </w:tc>
        <w:tc>
          <w:tcPr>
            <w:tcW w:w="993" w:type="dxa"/>
            <w:tcBorders>
              <w:top w:val="nil"/>
              <w:left w:val="nil"/>
              <w:bottom w:val="single" w:sz="4" w:space="0" w:color="auto"/>
              <w:right w:val="single" w:sz="4" w:space="0" w:color="auto"/>
            </w:tcBorders>
            <w:shd w:val="clear" w:color="auto" w:fill="auto"/>
            <w:noWrap/>
            <w:vAlign w:val="center"/>
            <w:hideMark/>
          </w:tcPr>
          <w:p w14:paraId="7470A457" w14:textId="119F94B9" w:rsidR="0066583A" w:rsidRPr="004135FE" w:rsidRDefault="00077E0F"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auto"/>
              <w:right w:val="single" w:sz="4" w:space="0" w:color="auto"/>
            </w:tcBorders>
            <w:shd w:val="clear" w:color="auto" w:fill="auto"/>
            <w:noWrap/>
            <w:vAlign w:val="center"/>
            <w:hideMark/>
          </w:tcPr>
          <w:p w14:paraId="205DA3A8" w14:textId="32194AC2" w:rsidR="0066583A" w:rsidRPr="004135FE" w:rsidRDefault="00077E0F"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992" w:type="dxa"/>
            <w:tcBorders>
              <w:top w:val="nil"/>
              <w:left w:val="nil"/>
              <w:bottom w:val="single" w:sz="4" w:space="0" w:color="auto"/>
              <w:right w:val="single" w:sz="4" w:space="0" w:color="auto"/>
            </w:tcBorders>
            <w:shd w:val="clear" w:color="auto" w:fill="auto"/>
            <w:noWrap/>
            <w:vAlign w:val="center"/>
            <w:hideMark/>
          </w:tcPr>
          <w:p w14:paraId="435C15DC" w14:textId="0F55CE3E" w:rsidR="0066583A" w:rsidRPr="004135FE" w:rsidRDefault="00077E0F"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66583A" w:rsidRPr="004135FE" w14:paraId="188506C3" w14:textId="77777777" w:rsidTr="00E2614D">
        <w:trPr>
          <w:trHeight w:val="283"/>
        </w:trPr>
        <w:tc>
          <w:tcPr>
            <w:tcW w:w="1134" w:type="dxa"/>
            <w:vMerge/>
            <w:tcBorders>
              <w:top w:val="nil"/>
              <w:left w:val="single" w:sz="4" w:space="0" w:color="auto"/>
              <w:bottom w:val="single" w:sz="4" w:space="0" w:color="auto"/>
              <w:right w:val="single" w:sz="4" w:space="0" w:color="auto"/>
            </w:tcBorders>
            <w:vAlign w:val="center"/>
            <w:hideMark/>
          </w:tcPr>
          <w:p w14:paraId="506EE25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48EE5CA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2013</w:t>
            </w:r>
          </w:p>
        </w:tc>
        <w:tc>
          <w:tcPr>
            <w:tcW w:w="850" w:type="dxa"/>
            <w:tcBorders>
              <w:top w:val="nil"/>
              <w:left w:val="nil"/>
              <w:bottom w:val="single" w:sz="4" w:space="0" w:color="auto"/>
              <w:right w:val="single" w:sz="4" w:space="0" w:color="auto"/>
            </w:tcBorders>
            <w:shd w:val="clear" w:color="auto" w:fill="auto"/>
            <w:vAlign w:val="center"/>
            <w:hideMark/>
          </w:tcPr>
          <w:p w14:paraId="7B664BB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358</w:t>
            </w:r>
          </w:p>
        </w:tc>
        <w:tc>
          <w:tcPr>
            <w:tcW w:w="992" w:type="dxa"/>
            <w:tcBorders>
              <w:top w:val="nil"/>
              <w:left w:val="nil"/>
              <w:bottom w:val="single" w:sz="4" w:space="0" w:color="auto"/>
              <w:right w:val="single" w:sz="4" w:space="0" w:color="auto"/>
            </w:tcBorders>
            <w:shd w:val="clear" w:color="auto" w:fill="auto"/>
            <w:noWrap/>
            <w:vAlign w:val="center"/>
            <w:hideMark/>
          </w:tcPr>
          <w:p w14:paraId="1E73706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-18,00</w:t>
            </w:r>
          </w:p>
        </w:tc>
        <w:tc>
          <w:tcPr>
            <w:tcW w:w="1418" w:type="dxa"/>
            <w:tcBorders>
              <w:top w:val="nil"/>
              <w:left w:val="nil"/>
              <w:bottom w:val="single" w:sz="4" w:space="0" w:color="auto"/>
              <w:right w:val="single" w:sz="4" w:space="0" w:color="auto"/>
            </w:tcBorders>
            <w:shd w:val="clear" w:color="auto" w:fill="auto"/>
            <w:noWrap/>
            <w:vAlign w:val="center"/>
            <w:hideMark/>
          </w:tcPr>
          <w:p w14:paraId="4DAC708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63,41</w:t>
            </w:r>
          </w:p>
        </w:tc>
        <w:tc>
          <w:tcPr>
            <w:tcW w:w="992" w:type="dxa"/>
            <w:tcBorders>
              <w:top w:val="nil"/>
              <w:left w:val="nil"/>
              <w:bottom w:val="single" w:sz="4" w:space="0" w:color="auto"/>
              <w:right w:val="single" w:sz="4" w:space="0" w:color="auto"/>
            </w:tcBorders>
            <w:shd w:val="clear" w:color="auto" w:fill="auto"/>
            <w:noWrap/>
            <w:vAlign w:val="center"/>
            <w:hideMark/>
          </w:tcPr>
          <w:p w14:paraId="6B665CC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-36,59</w:t>
            </w:r>
          </w:p>
        </w:tc>
        <w:tc>
          <w:tcPr>
            <w:tcW w:w="992" w:type="dxa"/>
            <w:tcBorders>
              <w:top w:val="nil"/>
              <w:left w:val="nil"/>
              <w:bottom w:val="single" w:sz="4" w:space="0" w:color="000000"/>
              <w:right w:val="single" w:sz="4" w:space="0" w:color="000000"/>
            </w:tcBorders>
            <w:shd w:val="clear" w:color="auto" w:fill="auto"/>
            <w:vAlign w:val="center"/>
            <w:hideMark/>
          </w:tcPr>
          <w:p w14:paraId="51017DA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132</w:t>
            </w:r>
          </w:p>
        </w:tc>
        <w:tc>
          <w:tcPr>
            <w:tcW w:w="851" w:type="dxa"/>
            <w:tcBorders>
              <w:top w:val="nil"/>
              <w:left w:val="nil"/>
              <w:bottom w:val="single" w:sz="4" w:space="0" w:color="auto"/>
              <w:right w:val="single" w:sz="4" w:space="0" w:color="auto"/>
            </w:tcBorders>
            <w:shd w:val="clear" w:color="auto" w:fill="auto"/>
            <w:noWrap/>
            <w:vAlign w:val="center"/>
            <w:hideMark/>
          </w:tcPr>
          <w:p w14:paraId="413D6CC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8,00</w:t>
            </w:r>
          </w:p>
        </w:tc>
        <w:tc>
          <w:tcPr>
            <w:tcW w:w="1276" w:type="dxa"/>
            <w:tcBorders>
              <w:top w:val="nil"/>
              <w:left w:val="nil"/>
              <w:bottom w:val="single" w:sz="4" w:space="0" w:color="auto"/>
              <w:right w:val="single" w:sz="4" w:space="0" w:color="auto"/>
            </w:tcBorders>
            <w:shd w:val="clear" w:color="auto" w:fill="auto"/>
            <w:noWrap/>
            <w:vAlign w:val="center"/>
            <w:hideMark/>
          </w:tcPr>
          <w:p w14:paraId="6C828EE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51,45</w:t>
            </w:r>
          </w:p>
        </w:tc>
        <w:tc>
          <w:tcPr>
            <w:tcW w:w="1134" w:type="dxa"/>
            <w:tcBorders>
              <w:top w:val="nil"/>
              <w:left w:val="nil"/>
              <w:bottom w:val="single" w:sz="4" w:space="0" w:color="auto"/>
              <w:right w:val="single" w:sz="4" w:space="0" w:color="auto"/>
            </w:tcBorders>
            <w:shd w:val="clear" w:color="auto" w:fill="auto"/>
            <w:noWrap/>
            <w:vAlign w:val="center"/>
            <w:hideMark/>
          </w:tcPr>
          <w:p w14:paraId="67B0AC0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-48,55</w:t>
            </w:r>
          </w:p>
        </w:tc>
        <w:tc>
          <w:tcPr>
            <w:tcW w:w="708" w:type="dxa"/>
            <w:tcBorders>
              <w:top w:val="nil"/>
              <w:left w:val="nil"/>
              <w:bottom w:val="single" w:sz="4" w:space="0" w:color="000000"/>
              <w:right w:val="single" w:sz="4" w:space="0" w:color="000000"/>
            </w:tcBorders>
            <w:shd w:val="clear" w:color="auto" w:fill="auto"/>
            <w:vAlign w:val="center"/>
            <w:hideMark/>
          </w:tcPr>
          <w:p w14:paraId="7FC545D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226</w:t>
            </w:r>
          </w:p>
        </w:tc>
        <w:tc>
          <w:tcPr>
            <w:tcW w:w="993" w:type="dxa"/>
            <w:tcBorders>
              <w:top w:val="nil"/>
              <w:left w:val="nil"/>
              <w:bottom w:val="single" w:sz="4" w:space="0" w:color="auto"/>
              <w:right w:val="single" w:sz="4" w:space="0" w:color="auto"/>
            </w:tcBorders>
            <w:shd w:val="clear" w:color="auto" w:fill="auto"/>
            <w:noWrap/>
            <w:vAlign w:val="center"/>
            <w:hideMark/>
          </w:tcPr>
          <w:p w14:paraId="4E1612A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-26,00</w:t>
            </w:r>
          </w:p>
        </w:tc>
        <w:tc>
          <w:tcPr>
            <w:tcW w:w="992" w:type="dxa"/>
            <w:tcBorders>
              <w:top w:val="nil"/>
              <w:left w:val="nil"/>
              <w:bottom w:val="single" w:sz="4" w:space="0" w:color="auto"/>
              <w:right w:val="single" w:sz="4" w:space="0" w:color="auto"/>
            </w:tcBorders>
            <w:shd w:val="clear" w:color="auto" w:fill="auto"/>
            <w:noWrap/>
            <w:vAlign w:val="center"/>
            <w:hideMark/>
          </w:tcPr>
          <w:p w14:paraId="3FD5F20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71,59</w:t>
            </w:r>
          </w:p>
        </w:tc>
        <w:tc>
          <w:tcPr>
            <w:tcW w:w="992" w:type="dxa"/>
            <w:tcBorders>
              <w:top w:val="nil"/>
              <w:left w:val="nil"/>
              <w:bottom w:val="single" w:sz="4" w:space="0" w:color="auto"/>
              <w:right w:val="single" w:sz="4" w:space="0" w:color="auto"/>
            </w:tcBorders>
            <w:shd w:val="clear" w:color="auto" w:fill="auto"/>
            <w:noWrap/>
            <w:vAlign w:val="center"/>
            <w:hideMark/>
          </w:tcPr>
          <w:p w14:paraId="0DB29ED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-28,41</w:t>
            </w:r>
          </w:p>
        </w:tc>
      </w:tr>
      <w:tr w:rsidR="0066583A" w:rsidRPr="004135FE" w14:paraId="29E75DFB" w14:textId="77777777" w:rsidTr="00E2614D">
        <w:trPr>
          <w:trHeight w:val="283"/>
        </w:trPr>
        <w:tc>
          <w:tcPr>
            <w:tcW w:w="1134" w:type="dxa"/>
            <w:vMerge/>
            <w:tcBorders>
              <w:top w:val="nil"/>
              <w:left w:val="single" w:sz="4" w:space="0" w:color="auto"/>
              <w:bottom w:val="single" w:sz="4" w:space="0" w:color="auto"/>
              <w:right w:val="single" w:sz="4" w:space="0" w:color="auto"/>
            </w:tcBorders>
            <w:vAlign w:val="center"/>
            <w:hideMark/>
          </w:tcPr>
          <w:p w14:paraId="42611A1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2232C77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2014</w:t>
            </w:r>
          </w:p>
        </w:tc>
        <w:tc>
          <w:tcPr>
            <w:tcW w:w="850" w:type="dxa"/>
            <w:tcBorders>
              <w:top w:val="nil"/>
              <w:left w:val="nil"/>
              <w:bottom w:val="single" w:sz="4" w:space="0" w:color="auto"/>
              <w:right w:val="single" w:sz="4" w:space="0" w:color="auto"/>
            </w:tcBorders>
            <w:shd w:val="clear" w:color="auto" w:fill="auto"/>
            <w:vAlign w:val="center"/>
            <w:hideMark/>
          </w:tcPr>
          <w:p w14:paraId="111BC5C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401</w:t>
            </w:r>
          </w:p>
        </w:tc>
        <w:tc>
          <w:tcPr>
            <w:tcW w:w="992" w:type="dxa"/>
            <w:tcBorders>
              <w:top w:val="nil"/>
              <w:left w:val="nil"/>
              <w:bottom w:val="single" w:sz="4" w:space="0" w:color="auto"/>
              <w:right w:val="single" w:sz="4" w:space="0" w:color="auto"/>
            </w:tcBorders>
            <w:shd w:val="clear" w:color="auto" w:fill="auto"/>
            <w:noWrap/>
            <w:vAlign w:val="center"/>
            <w:hideMark/>
          </w:tcPr>
          <w:p w14:paraId="7180169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43,00</w:t>
            </w:r>
          </w:p>
        </w:tc>
        <w:tc>
          <w:tcPr>
            <w:tcW w:w="1418" w:type="dxa"/>
            <w:tcBorders>
              <w:top w:val="nil"/>
              <w:left w:val="nil"/>
              <w:bottom w:val="single" w:sz="4" w:space="0" w:color="auto"/>
              <w:right w:val="single" w:sz="4" w:space="0" w:color="auto"/>
            </w:tcBorders>
            <w:shd w:val="clear" w:color="auto" w:fill="auto"/>
            <w:noWrap/>
            <w:vAlign w:val="center"/>
            <w:hideMark/>
          </w:tcPr>
          <w:p w14:paraId="59EEDBB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60,37</w:t>
            </w:r>
          </w:p>
        </w:tc>
        <w:tc>
          <w:tcPr>
            <w:tcW w:w="992" w:type="dxa"/>
            <w:tcBorders>
              <w:top w:val="nil"/>
              <w:left w:val="nil"/>
              <w:bottom w:val="single" w:sz="4" w:space="0" w:color="auto"/>
              <w:right w:val="single" w:sz="4" w:space="0" w:color="auto"/>
            </w:tcBorders>
            <w:shd w:val="clear" w:color="auto" w:fill="auto"/>
            <w:noWrap/>
            <w:vAlign w:val="center"/>
            <w:hideMark/>
          </w:tcPr>
          <w:p w14:paraId="3B70054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-39,63</w:t>
            </w:r>
          </w:p>
        </w:tc>
        <w:tc>
          <w:tcPr>
            <w:tcW w:w="992" w:type="dxa"/>
            <w:tcBorders>
              <w:top w:val="nil"/>
              <w:left w:val="nil"/>
              <w:bottom w:val="single" w:sz="4" w:space="0" w:color="000000"/>
              <w:right w:val="single" w:sz="4" w:space="0" w:color="000000"/>
            </w:tcBorders>
            <w:shd w:val="clear" w:color="auto" w:fill="auto"/>
            <w:vAlign w:val="center"/>
            <w:hideMark/>
          </w:tcPr>
          <w:p w14:paraId="538729B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129</w:t>
            </w:r>
          </w:p>
        </w:tc>
        <w:tc>
          <w:tcPr>
            <w:tcW w:w="851" w:type="dxa"/>
            <w:tcBorders>
              <w:top w:val="nil"/>
              <w:left w:val="nil"/>
              <w:bottom w:val="single" w:sz="4" w:space="0" w:color="auto"/>
              <w:right w:val="single" w:sz="4" w:space="0" w:color="auto"/>
            </w:tcBorders>
            <w:shd w:val="clear" w:color="auto" w:fill="auto"/>
            <w:noWrap/>
            <w:vAlign w:val="center"/>
            <w:hideMark/>
          </w:tcPr>
          <w:p w14:paraId="03574E4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-3,00</w:t>
            </w:r>
          </w:p>
        </w:tc>
        <w:tc>
          <w:tcPr>
            <w:tcW w:w="1276" w:type="dxa"/>
            <w:tcBorders>
              <w:top w:val="nil"/>
              <w:left w:val="nil"/>
              <w:bottom w:val="single" w:sz="4" w:space="0" w:color="auto"/>
              <w:right w:val="single" w:sz="4" w:space="0" w:color="auto"/>
            </w:tcBorders>
            <w:shd w:val="clear" w:color="auto" w:fill="auto"/>
            <w:noWrap/>
            <w:vAlign w:val="center"/>
            <w:hideMark/>
          </w:tcPr>
          <w:p w14:paraId="4762F7F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54,77</w:t>
            </w:r>
          </w:p>
        </w:tc>
        <w:tc>
          <w:tcPr>
            <w:tcW w:w="1134" w:type="dxa"/>
            <w:tcBorders>
              <w:top w:val="nil"/>
              <w:left w:val="nil"/>
              <w:bottom w:val="single" w:sz="4" w:space="0" w:color="auto"/>
              <w:right w:val="single" w:sz="4" w:space="0" w:color="auto"/>
            </w:tcBorders>
            <w:shd w:val="clear" w:color="auto" w:fill="auto"/>
            <w:noWrap/>
            <w:vAlign w:val="center"/>
            <w:hideMark/>
          </w:tcPr>
          <w:p w14:paraId="3ACFE0C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-45,23</w:t>
            </w:r>
          </w:p>
        </w:tc>
        <w:tc>
          <w:tcPr>
            <w:tcW w:w="708" w:type="dxa"/>
            <w:tcBorders>
              <w:top w:val="nil"/>
              <w:left w:val="nil"/>
              <w:bottom w:val="single" w:sz="4" w:space="0" w:color="000000"/>
              <w:right w:val="single" w:sz="4" w:space="0" w:color="000000"/>
            </w:tcBorders>
            <w:shd w:val="clear" w:color="auto" w:fill="auto"/>
            <w:vAlign w:val="center"/>
            <w:hideMark/>
          </w:tcPr>
          <w:p w14:paraId="53EFEE0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272</w:t>
            </w:r>
          </w:p>
        </w:tc>
        <w:tc>
          <w:tcPr>
            <w:tcW w:w="993" w:type="dxa"/>
            <w:tcBorders>
              <w:top w:val="nil"/>
              <w:left w:val="nil"/>
              <w:bottom w:val="single" w:sz="4" w:space="0" w:color="auto"/>
              <w:right w:val="single" w:sz="4" w:space="0" w:color="auto"/>
            </w:tcBorders>
            <w:shd w:val="clear" w:color="auto" w:fill="auto"/>
            <w:noWrap/>
            <w:vAlign w:val="center"/>
            <w:hideMark/>
          </w:tcPr>
          <w:p w14:paraId="368BE01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46,00</w:t>
            </w:r>
          </w:p>
        </w:tc>
        <w:tc>
          <w:tcPr>
            <w:tcW w:w="992" w:type="dxa"/>
            <w:tcBorders>
              <w:top w:val="nil"/>
              <w:left w:val="nil"/>
              <w:bottom w:val="single" w:sz="4" w:space="0" w:color="auto"/>
              <w:right w:val="single" w:sz="4" w:space="0" w:color="auto"/>
            </w:tcBorders>
            <w:shd w:val="clear" w:color="auto" w:fill="auto"/>
            <w:noWrap/>
            <w:vAlign w:val="center"/>
            <w:hideMark/>
          </w:tcPr>
          <w:p w14:paraId="2F2149E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64,20</w:t>
            </w:r>
          </w:p>
        </w:tc>
        <w:tc>
          <w:tcPr>
            <w:tcW w:w="992" w:type="dxa"/>
            <w:tcBorders>
              <w:top w:val="nil"/>
              <w:left w:val="nil"/>
              <w:bottom w:val="single" w:sz="4" w:space="0" w:color="auto"/>
              <w:right w:val="single" w:sz="4" w:space="0" w:color="auto"/>
            </w:tcBorders>
            <w:shd w:val="clear" w:color="auto" w:fill="auto"/>
            <w:noWrap/>
            <w:vAlign w:val="center"/>
            <w:hideMark/>
          </w:tcPr>
          <w:p w14:paraId="2B1D9B9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-35,80</w:t>
            </w:r>
          </w:p>
        </w:tc>
      </w:tr>
      <w:tr w:rsidR="0066583A" w:rsidRPr="004135FE" w14:paraId="3FF536C2" w14:textId="77777777" w:rsidTr="00E2614D">
        <w:trPr>
          <w:trHeight w:val="283"/>
        </w:trPr>
        <w:tc>
          <w:tcPr>
            <w:tcW w:w="1134" w:type="dxa"/>
            <w:vMerge/>
            <w:tcBorders>
              <w:top w:val="nil"/>
              <w:left w:val="single" w:sz="4" w:space="0" w:color="auto"/>
              <w:bottom w:val="single" w:sz="4" w:space="0" w:color="auto"/>
              <w:right w:val="single" w:sz="4" w:space="0" w:color="auto"/>
            </w:tcBorders>
            <w:vAlign w:val="center"/>
            <w:hideMark/>
          </w:tcPr>
          <w:p w14:paraId="2C0D236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0F13E94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2015</w:t>
            </w:r>
          </w:p>
        </w:tc>
        <w:tc>
          <w:tcPr>
            <w:tcW w:w="850" w:type="dxa"/>
            <w:tcBorders>
              <w:top w:val="nil"/>
              <w:left w:val="nil"/>
              <w:bottom w:val="single" w:sz="4" w:space="0" w:color="auto"/>
              <w:right w:val="single" w:sz="4" w:space="0" w:color="auto"/>
            </w:tcBorders>
            <w:shd w:val="clear" w:color="auto" w:fill="auto"/>
            <w:vAlign w:val="center"/>
            <w:hideMark/>
          </w:tcPr>
          <w:p w14:paraId="09E83D5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390</w:t>
            </w:r>
          </w:p>
        </w:tc>
        <w:tc>
          <w:tcPr>
            <w:tcW w:w="992" w:type="dxa"/>
            <w:tcBorders>
              <w:top w:val="nil"/>
              <w:left w:val="nil"/>
              <w:bottom w:val="single" w:sz="4" w:space="0" w:color="auto"/>
              <w:right w:val="single" w:sz="4" w:space="0" w:color="auto"/>
            </w:tcBorders>
            <w:shd w:val="clear" w:color="auto" w:fill="auto"/>
            <w:noWrap/>
            <w:vAlign w:val="center"/>
            <w:hideMark/>
          </w:tcPr>
          <w:p w14:paraId="2D867E4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-11,00</w:t>
            </w:r>
          </w:p>
        </w:tc>
        <w:tc>
          <w:tcPr>
            <w:tcW w:w="1418" w:type="dxa"/>
            <w:tcBorders>
              <w:top w:val="nil"/>
              <w:left w:val="nil"/>
              <w:bottom w:val="single" w:sz="4" w:space="0" w:color="auto"/>
              <w:right w:val="single" w:sz="4" w:space="0" w:color="auto"/>
            </w:tcBorders>
            <w:shd w:val="clear" w:color="auto" w:fill="auto"/>
            <w:noWrap/>
            <w:vAlign w:val="center"/>
            <w:hideMark/>
          </w:tcPr>
          <w:p w14:paraId="1BA69EA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67,62</w:t>
            </w:r>
          </w:p>
        </w:tc>
        <w:tc>
          <w:tcPr>
            <w:tcW w:w="992" w:type="dxa"/>
            <w:tcBorders>
              <w:top w:val="nil"/>
              <w:left w:val="nil"/>
              <w:bottom w:val="single" w:sz="4" w:space="0" w:color="auto"/>
              <w:right w:val="single" w:sz="4" w:space="0" w:color="auto"/>
            </w:tcBorders>
            <w:shd w:val="clear" w:color="auto" w:fill="auto"/>
            <w:noWrap/>
            <w:vAlign w:val="center"/>
            <w:hideMark/>
          </w:tcPr>
          <w:p w14:paraId="6220CC4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-32,38</w:t>
            </w:r>
          </w:p>
        </w:tc>
        <w:tc>
          <w:tcPr>
            <w:tcW w:w="992" w:type="dxa"/>
            <w:tcBorders>
              <w:top w:val="nil"/>
              <w:left w:val="nil"/>
              <w:bottom w:val="single" w:sz="4" w:space="0" w:color="000000"/>
              <w:right w:val="single" w:sz="4" w:space="0" w:color="000000"/>
            </w:tcBorders>
            <w:shd w:val="clear" w:color="auto" w:fill="auto"/>
            <w:vAlign w:val="center"/>
            <w:hideMark/>
          </w:tcPr>
          <w:p w14:paraId="1F4A6DD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134</w:t>
            </w:r>
          </w:p>
        </w:tc>
        <w:tc>
          <w:tcPr>
            <w:tcW w:w="851" w:type="dxa"/>
            <w:tcBorders>
              <w:top w:val="nil"/>
              <w:left w:val="nil"/>
              <w:bottom w:val="single" w:sz="4" w:space="0" w:color="auto"/>
              <w:right w:val="single" w:sz="4" w:space="0" w:color="auto"/>
            </w:tcBorders>
            <w:shd w:val="clear" w:color="auto" w:fill="auto"/>
            <w:noWrap/>
            <w:vAlign w:val="center"/>
            <w:hideMark/>
          </w:tcPr>
          <w:p w14:paraId="05643F4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5,00</w:t>
            </w:r>
          </w:p>
        </w:tc>
        <w:tc>
          <w:tcPr>
            <w:tcW w:w="1276" w:type="dxa"/>
            <w:tcBorders>
              <w:top w:val="nil"/>
              <w:left w:val="nil"/>
              <w:bottom w:val="single" w:sz="4" w:space="0" w:color="auto"/>
              <w:right w:val="single" w:sz="4" w:space="0" w:color="auto"/>
            </w:tcBorders>
            <w:shd w:val="clear" w:color="auto" w:fill="auto"/>
            <w:noWrap/>
            <w:vAlign w:val="center"/>
            <w:hideMark/>
          </w:tcPr>
          <w:p w14:paraId="71DC316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53,53</w:t>
            </w:r>
          </w:p>
        </w:tc>
        <w:tc>
          <w:tcPr>
            <w:tcW w:w="1134" w:type="dxa"/>
            <w:tcBorders>
              <w:top w:val="nil"/>
              <w:left w:val="nil"/>
              <w:bottom w:val="single" w:sz="4" w:space="0" w:color="auto"/>
              <w:right w:val="single" w:sz="4" w:space="0" w:color="auto"/>
            </w:tcBorders>
            <w:shd w:val="clear" w:color="auto" w:fill="auto"/>
            <w:noWrap/>
            <w:vAlign w:val="center"/>
            <w:hideMark/>
          </w:tcPr>
          <w:p w14:paraId="27610A0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-46,47</w:t>
            </w:r>
          </w:p>
        </w:tc>
        <w:tc>
          <w:tcPr>
            <w:tcW w:w="708" w:type="dxa"/>
            <w:tcBorders>
              <w:top w:val="nil"/>
              <w:left w:val="nil"/>
              <w:bottom w:val="single" w:sz="4" w:space="0" w:color="000000"/>
              <w:right w:val="single" w:sz="4" w:space="0" w:color="000000"/>
            </w:tcBorders>
            <w:shd w:val="clear" w:color="auto" w:fill="auto"/>
            <w:vAlign w:val="center"/>
            <w:hideMark/>
          </w:tcPr>
          <w:p w14:paraId="50C96EF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256</w:t>
            </w:r>
          </w:p>
        </w:tc>
        <w:tc>
          <w:tcPr>
            <w:tcW w:w="993" w:type="dxa"/>
            <w:tcBorders>
              <w:top w:val="nil"/>
              <w:left w:val="nil"/>
              <w:bottom w:val="single" w:sz="4" w:space="0" w:color="auto"/>
              <w:right w:val="single" w:sz="4" w:space="0" w:color="auto"/>
            </w:tcBorders>
            <w:shd w:val="clear" w:color="auto" w:fill="auto"/>
            <w:noWrap/>
            <w:vAlign w:val="center"/>
            <w:hideMark/>
          </w:tcPr>
          <w:p w14:paraId="5AB24F0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-16,00</w:t>
            </w:r>
          </w:p>
        </w:tc>
        <w:tc>
          <w:tcPr>
            <w:tcW w:w="992" w:type="dxa"/>
            <w:tcBorders>
              <w:top w:val="nil"/>
              <w:left w:val="nil"/>
              <w:bottom w:val="single" w:sz="4" w:space="0" w:color="auto"/>
              <w:right w:val="single" w:sz="4" w:space="0" w:color="auto"/>
            </w:tcBorders>
            <w:shd w:val="clear" w:color="auto" w:fill="auto"/>
            <w:noWrap/>
            <w:vAlign w:val="center"/>
            <w:hideMark/>
          </w:tcPr>
          <w:p w14:paraId="058E5E7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77,27</w:t>
            </w:r>
          </w:p>
        </w:tc>
        <w:tc>
          <w:tcPr>
            <w:tcW w:w="992" w:type="dxa"/>
            <w:tcBorders>
              <w:top w:val="nil"/>
              <w:left w:val="nil"/>
              <w:bottom w:val="single" w:sz="4" w:space="0" w:color="auto"/>
              <w:right w:val="single" w:sz="4" w:space="0" w:color="auto"/>
            </w:tcBorders>
            <w:shd w:val="clear" w:color="auto" w:fill="auto"/>
            <w:noWrap/>
            <w:vAlign w:val="center"/>
            <w:hideMark/>
          </w:tcPr>
          <w:p w14:paraId="41CBBBE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-22,73</w:t>
            </w:r>
          </w:p>
        </w:tc>
      </w:tr>
      <w:tr w:rsidR="0066583A" w:rsidRPr="004135FE" w14:paraId="19A75C00" w14:textId="77777777" w:rsidTr="00E2614D">
        <w:trPr>
          <w:trHeight w:val="283"/>
        </w:trPr>
        <w:tc>
          <w:tcPr>
            <w:tcW w:w="1134" w:type="dxa"/>
            <w:vMerge/>
            <w:tcBorders>
              <w:top w:val="nil"/>
              <w:left w:val="single" w:sz="4" w:space="0" w:color="auto"/>
              <w:bottom w:val="single" w:sz="4" w:space="0" w:color="auto"/>
              <w:right w:val="single" w:sz="4" w:space="0" w:color="auto"/>
            </w:tcBorders>
            <w:vAlign w:val="center"/>
            <w:hideMark/>
          </w:tcPr>
          <w:p w14:paraId="3D428B2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3CE0B5A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2016</w:t>
            </w:r>
          </w:p>
        </w:tc>
        <w:tc>
          <w:tcPr>
            <w:tcW w:w="850" w:type="dxa"/>
            <w:tcBorders>
              <w:top w:val="nil"/>
              <w:left w:val="nil"/>
              <w:bottom w:val="single" w:sz="4" w:space="0" w:color="auto"/>
              <w:right w:val="single" w:sz="4" w:space="0" w:color="auto"/>
            </w:tcBorders>
            <w:shd w:val="clear" w:color="auto" w:fill="auto"/>
            <w:vAlign w:val="center"/>
            <w:hideMark/>
          </w:tcPr>
          <w:p w14:paraId="13A6804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447</w:t>
            </w:r>
          </w:p>
        </w:tc>
        <w:tc>
          <w:tcPr>
            <w:tcW w:w="992" w:type="dxa"/>
            <w:tcBorders>
              <w:top w:val="nil"/>
              <w:left w:val="nil"/>
              <w:bottom w:val="single" w:sz="4" w:space="0" w:color="auto"/>
              <w:right w:val="single" w:sz="4" w:space="0" w:color="auto"/>
            </w:tcBorders>
            <w:shd w:val="clear" w:color="auto" w:fill="auto"/>
            <w:noWrap/>
            <w:vAlign w:val="center"/>
            <w:hideMark/>
          </w:tcPr>
          <w:p w14:paraId="7593A96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57,00</w:t>
            </w:r>
          </w:p>
        </w:tc>
        <w:tc>
          <w:tcPr>
            <w:tcW w:w="1418" w:type="dxa"/>
            <w:tcBorders>
              <w:top w:val="nil"/>
              <w:left w:val="nil"/>
              <w:bottom w:val="single" w:sz="4" w:space="0" w:color="auto"/>
              <w:right w:val="single" w:sz="4" w:space="0" w:color="auto"/>
            </w:tcBorders>
            <w:shd w:val="clear" w:color="auto" w:fill="auto"/>
            <w:noWrap/>
            <w:vAlign w:val="center"/>
            <w:hideMark/>
          </w:tcPr>
          <w:p w14:paraId="3CD712E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65,77</w:t>
            </w:r>
          </w:p>
        </w:tc>
        <w:tc>
          <w:tcPr>
            <w:tcW w:w="992" w:type="dxa"/>
            <w:tcBorders>
              <w:top w:val="nil"/>
              <w:left w:val="nil"/>
              <w:bottom w:val="single" w:sz="4" w:space="0" w:color="auto"/>
              <w:right w:val="single" w:sz="4" w:space="0" w:color="auto"/>
            </w:tcBorders>
            <w:shd w:val="clear" w:color="auto" w:fill="auto"/>
            <w:noWrap/>
            <w:vAlign w:val="center"/>
            <w:hideMark/>
          </w:tcPr>
          <w:p w14:paraId="21FC5E1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-34,23</w:t>
            </w:r>
          </w:p>
        </w:tc>
        <w:tc>
          <w:tcPr>
            <w:tcW w:w="992" w:type="dxa"/>
            <w:tcBorders>
              <w:top w:val="nil"/>
              <w:left w:val="nil"/>
              <w:bottom w:val="single" w:sz="4" w:space="0" w:color="000000"/>
              <w:right w:val="single" w:sz="4" w:space="0" w:color="000000"/>
            </w:tcBorders>
            <w:shd w:val="clear" w:color="auto" w:fill="auto"/>
            <w:vAlign w:val="center"/>
            <w:hideMark/>
          </w:tcPr>
          <w:p w14:paraId="69B35B9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186</w:t>
            </w:r>
          </w:p>
        </w:tc>
        <w:tc>
          <w:tcPr>
            <w:tcW w:w="851" w:type="dxa"/>
            <w:tcBorders>
              <w:top w:val="nil"/>
              <w:left w:val="nil"/>
              <w:bottom w:val="single" w:sz="4" w:space="0" w:color="auto"/>
              <w:right w:val="single" w:sz="4" w:space="0" w:color="auto"/>
            </w:tcBorders>
            <w:shd w:val="clear" w:color="auto" w:fill="auto"/>
            <w:noWrap/>
            <w:vAlign w:val="center"/>
            <w:hideMark/>
          </w:tcPr>
          <w:p w14:paraId="20CDC6F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52,00</w:t>
            </w:r>
          </w:p>
        </w:tc>
        <w:tc>
          <w:tcPr>
            <w:tcW w:w="1276" w:type="dxa"/>
            <w:tcBorders>
              <w:top w:val="nil"/>
              <w:left w:val="nil"/>
              <w:bottom w:val="single" w:sz="4" w:space="0" w:color="auto"/>
              <w:right w:val="single" w:sz="4" w:space="0" w:color="auto"/>
            </w:tcBorders>
            <w:shd w:val="clear" w:color="auto" w:fill="auto"/>
            <w:noWrap/>
            <w:vAlign w:val="center"/>
            <w:hideMark/>
          </w:tcPr>
          <w:p w14:paraId="1157998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55,60</w:t>
            </w:r>
          </w:p>
        </w:tc>
        <w:tc>
          <w:tcPr>
            <w:tcW w:w="1134" w:type="dxa"/>
            <w:tcBorders>
              <w:top w:val="nil"/>
              <w:left w:val="nil"/>
              <w:bottom w:val="single" w:sz="4" w:space="0" w:color="auto"/>
              <w:right w:val="single" w:sz="4" w:space="0" w:color="auto"/>
            </w:tcBorders>
            <w:shd w:val="clear" w:color="auto" w:fill="auto"/>
            <w:noWrap/>
            <w:vAlign w:val="center"/>
            <w:hideMark/>
          </w:tcPr>
          <w:p w14:paraId="68AA6E3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-44,40</w:t>
            </w:r>
          </w:p>
        </w:tc>
        <w:tc>
          <w:tcPr>
            <w:tcW w:w="708" w:type="dxa"/>
            <w:tcBorders>
              <w:top w:val="nil"/>
              <w:left w:val="nil"/>
              <w:bottom w:val="single" w:sz="4" w:space="0" w:color="000000"/>
              <w:right w:val="single" w:sz="4" w:space="0" w:color="000000"/>
            </w:tcBorders>
            <w:shd w:val="clear" w:color="auto" w:fill="auto"/>
            <w:vAlign w:val="center"/>
            <w:hideMark/>
          </w:tcPr>
          <w:p w14:paraId="6D5241F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261</w:t>
            </w:r>
          </w:p>
        </w:tc>
        <w:tc>
          <w:tcPr>
            <w:tcW w:w="993" w:type="dxa"/>
            <w:tcBorders>
              <w:top w:val="nil"/>
              <w:left w:val="nil"/>
              <w:bottom w:val="single" w:sz="4" w:space="0" w:color="auto"/>
              <w:right w:val="single" w:sz="4" w:space="0" w:color="auto"/>
            </w:tcBorders>
            <w:shd w:val="clear" w:color="auto" w:fill="auto"/>
            <w:noWrap/>
            <w:vAlign w:val="center"/>
            <w:hideMark/>
          </w:tcPr>
          <w:p w14:paraId="07B882D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5,00</w:t>
            </w:r>
          </w:p>
        </w:tc>
        <w:tc>
          <w:tcPr>
            <w:tcW w:w="992" w:type="dxa"/>
            <w:tcBorders>
              <w:top w:val="nil"/>
              <w:left w:val="nil"/>
              <w:bottom w:val="single" w:sz="4" w:space="0" w:color="auto"/>
              <w:right w:val="single" w:sz="4" w:space="0" w:color="auto"/>
            </w:tcBorders>
            <w:shd w:val="clear" w:color="auto" w:fill="auto"/>
            <w:noWrap/>
            <w:vAlign w:val="center"/>
            <w:hideMark/>
          </w:tcPr>
          <w:p w14:paraId="4C80F05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72,73</w:t>
            </w:r>
          </w:p>
        </w:tc>
        <w:tc>
          <w:tcPr>
            <w:tcW w:w="992" w:type="dxa"/>
            <w:tcBorders>
              <w:top w:val="nil"/>
              <w:left w:val="nil"/>
              <w:bottom w:val="single" w:sz="4" w:space="0" w:color="auto"/>
              <w:right w:val="single" w:sz="4" w:space="0" w:color="auto"/>
            </w:tcBorders>
            <w:shd w:val="clear" w:color="auto" w:fill="auto"/>
            <w:noWrap/>
            <w:vAlign w:val="center"/>
            <w:hideMark/>
          </w:tcPr>
          <w:p w14:paraId="0990F8D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-27,27</w:t>
            </w:r>
          </w:p>
        </w:tc>
      </w:tr>
      <w:tr w:rsidR="0066583A" w:rsidRPr="004135FE" w14:paraId="6ECAC797" w14:textId="77777777" w:rsidTr="00E2614D">
        <w:trPr>
          <w:trHeight w:val="283"/>
        </w:trPr>
        <w:tc>
          <w:tcPr>
            <w:tcW w:w="1134" w:type="dxa"/>
            <w:vMerge/>
            <w:tcBorders>
              <w:top w:val="nil"/>
              <w:left w:val="single" w:sz="4" w:space="0" w:color="auto"/>
              <w:bottom w:val="single" w:sz="4" w:space="0" w:color="auto"/>
              <w:right w:val="single" w:sz="4" w:space="0" w:color="auto"/>
            </w:tcBorders>
            <w:vAlign w:val="center"/>
            <w:hideMark/>
          </w:tcPr>
          <w:p w14:paraId="4481243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295674D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2017</w:t>
            </w:r>
          </w:p>
        </w:tc>
        <w:tc>
          <w:tcPr>
            <w:tcW w:w="850" w:type="dxa"/>
            <w:tcBorders>
              <w:top w:val="nil"/>
              <w:left w:val="nil"/>
              <w:bottom w:val="single" w:sz="4" w:space="0" w:color="auto"/>
              <w:right w:val="single" w:sz="4" w:space="0" w:color="auto"/>
            </w:tcBorders>
            <w:shd w:val="clear" w:color="auto" w:fill="auto"/>
            <w:vAlign w:val="center"/>
            <w:hideMark/>
          </w:tcPr>
          <w:p w14:paraId="74CD64C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575</w:t>
            </w:r>
          </w:p>
        </w:tc>
        <w:tc>
          <w:tcPr>
            <w:tcW w:w="992" w:type="dxa"/>
            <w:tcBorders>
              <w:top w:val="nil"/>
              <w:left w:val="nil"/>
              <w:bottom w:val="single" w:sz="4" w:space="0" w:color="auto"/>
              <w:right w:val="single" w:sz="4" w:space="0" w:color="auto"/>
            </w:tcBorders>
            <w:shd w:val="clear" w:color="auto" w:fill="auto"/>
            <w:noWrap/>
            <w:vAlign w:val="center"/>
            <w:hideMark/>
          </w:tcPr>
          <w:p w14:paraId="069FE5C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128,00</w:t>
            </w:r>
          </w:p>
        </w:tc>
        <w:tc>
          <w:tcPr>
            <w:tcW w:w="1418" w:type="dxa"/>
            <w:tcBorders>
              <w:top w:val="nil"/>
              <w:left w:val="nil"/>
              <w:bottom w:val="single" w:sz="4" w:space="0" w:color="auto"/>
              <w:right w:val="single" w:sz="4" w:space="0" w:color="auto"/>
            </w:tcBorders>
            <w:shd w:val="clear" w:color="auto" w:fill="auto"/>
            <w:noWrap/>
            <w:vAlign w:val="center"/>
            <w:hideMark/>
          </w:tcPr>
          <w:p w14:paraId="3F3E179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75,38</w:t>
            </w:r>
          </w:p>
        </w:tc>
        <w:tc>
          <w:tcPr>
            <w:tcW w:w="992" w:type="dxa"/>
            <w:tcBorders>
              <w:top w:val="nil"/>
              <w:left w:val="nil"/>
              <w:bottom w:val="single" w:sz="4" w:space="0" w:color="auto"/>
              <w:right w:val="single" w:sz="4" w:space="0" w:color="auto"/>
            </w:tcBorders>
            <w:shd w:val="clear" w:color="auto" w:fill="auto"/>
            <w:noWrap/>
            <w:vAlign w:val="center"/>
            <w:hideMark/>
          </w:tcPr>
          <w:p w14:paraId="4C1D07E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-24,62</w:t>
            </w:r>
          </w:p>
        </w:tc>
        <w:tc>
          <w:tcPr>
            <w:tcW w:w="992" w:type="dxa"/>
            <w:tcBorders>
              <w:top w:val="nil"/>
              <w:left w:val="nil"/>
              <w:bottom w:val="single" w:sz="4" w:space="0" w:color="000000"/>
              <w:right w:val="single" w:sz="4" w:space="0" w:color="000000"/>
            </w:tcBorders>
            <w:shd w:val="clear" w:color="auto" w:fill="auto"/>
            <w:vAlign w:val="center"/>
            <w:hideMark/>
          </w:tcPr>
          <w:p w14:paraId="10C5EEC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217</w:t>
            </w:r>
          </w:p>
        </w:tc>
        <w:tc>
          <w:tcPr>
            <w:tcW w:w="851" w:type="dxa"/>
            <w:tcBorders>
              <w:top w:val="nil"/>
              <w:left w:val="nil"/>
              <w:bottom w:val="single" w:sz="4" w:space="0" w:color="auto"/>
              <w:right w:val="single" w:sz="4" w:space="0" w:color="auto"/>
            </w:tcBorders>
            <w:shd w:val="clear" w:color="auto" w:fill="auto"/>
            <w:noWrap/>
            <w:vAlign w:val="center"/>
            <w:hideMark/>
          </w:tcPr>
          <w:p w14:paraId="146646C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31,00</w:t>
            </w:r>
          </w:p>
        </w:tc>
        <w:tc>
          <w:tcPr>
            <w:tcW w:w="1276" w:type="dxa"/>
            <w:tcBorders>
              <w:top w:val="nil"/>
              <w:left w:val="nil"/>
              <w:bottom w:val="single" w:sz="4" w:space="0" w:color="auto"/>
              <w:right w:val="single" w:sz="4" w:space="0" w:color="auto"/>
            </w:tcBorders>
            <w:shd w:val="clear" w:color="auto" w:fill="auto"/>
            <w:noWrap/>
            <w:vAlign w:val="center"/>
            <w:hideMark/>
          </w:tcPr>
          <w:p w14:paraId="32B5E4C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77,18</w:t>
            </w:r>
          </w:p>
        </w:tc>
        <w:tc>
          <w:tcPr>
            <w:tcW w:w="1134" w:type="dxa"/>
            <w:tcBorders>
              <w:top w:val="nil"/>
              <w:left w:val="nil"/>
              <w:bottom w:val="single" w:sz="4" w:space="0" w:color="auto"/>
              <w:right w:val="single" w:sz="4" w:space="0" w:color="auto"/>
            </w:tcBorders>
            <w:shd w:val="clear" w:color="auto" w:fill="auto"/>
            <w:noWrap/>
            <w:vAlign w:val="center"/>
            <w:hideMark/>
          </w:tcPr>
          <w:p w14:paraId="0716B81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-22,82</w:t>
            </w:r>
          </w:p>
        </w:tc>
        <w:tc>
          <w:tcPr>
            <w:tcW w:w="708" w:type="dxa"/>
            <w:tcBorders>
              <w:top w:val="nil"/>
              <w:left w:val="nil"/>
              <w:bottom w:val="single" w:sz="4" w:space="0" w:color="000000"/>
              <w:right w:val="single" w:sz="4" w:space="0" w:color="000000"/>
            </w:tcBorders>
            <w:shd w:val="clear" w:color="auto" w:fill="auto"/>
            <w:vAlign w:val="center"/>
            <w:hideMark/>
          </w:tcPr>
          <w:p w14:paraId="0DA1A96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358</w:t>
            </w:r>
          </w:p>
        </w:tc>
        <w:tc>
          <w:tcPr>
            <w:tcW w:w="993" w:type="dxa"/>
            <w:tcBorders>
              <w:top w:val="nil"/>
              <w:left w:val="nil"/>
              <w:bottom w:val="single" w:sz="4" w:space="0" w:color="auto"/>
              <w:right w:val="single" w:sz="4" w:space="0" w:color="auto"/>
            </w:tcBorders>
            <w:shd w:val="clear" w:color="auto" w:fill="auto"/>
            <w:noWrap/>
            <w:vAlign w:val="center"/>
            <w:hideMark/>
          </w:tcPr>
          <w:p w14:paraId="0DED3DE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97,00</w:t>
            </w:r>
          </w:p>
        </w:tc>
        <w:tc>
          <w:tcPr>
            <w:tcW w:w="992" w:type="dxa"/>
            <w:tcBorders>
              <w:top w:val="nil"/>
              <w:left w:val="nil"/>
              <w:bottom w:val="single" w:sz="4" w:space="0" w:color="auto"/>
              <w:right w:val="single" w:sz="4" w:space="0" w:color="auto"/>
            </w:tcBorders>
            <w:shd w:val="clear" w:color="auto" w:fill="auto"/>
            <w:noWrap/>
            <w:vAlign w:val="center"/>
            <w:hideMark/>
          </w:tcPr>
          <w:p w14:paraId="616C53B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74,15</w:t>
            </w:r>
          </w:p>
        </w:tc>
        <w:tc>
          <w:tcPr>
            <w:tcW w:w="992" w:type="dxa"/>
            <w:tcBorders>
              <w:top w:val="nil"/>
              <w:left w:val="nil"/>
              <w:bottom w:val="single" w:sz="4" w:space="0" w:color="auto"/>
              <w:right w:val="single" w:sz="4" w:space="0" w:color="auto"/>
            </w:tcBorders>
            <w:shd w:val="clear" w:color="auto" w:fill="auto"/>
            <w:noWrap/>
            <w:vAlign w:val="center"/>
            <w:hideMark/>
          </w:tcPr>
          <w:p w14:paraId="13D5091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-25,85</w:t>
            </w:r>
          </w:p>
        </w:tc>
      </w:tr>
      <w:tr w:rsidR="0066583A" w:rsidRPr="004135FE" w14:paraId="39EA0EED" w14:textId="77777777" w:rsidTr="00E2614D">
        <w:trPr>
          <w:trHeight w:val="283"/>
        </w:trPr>
        <w:tc>
          <w:tcPr>
            <w:tcW w:w="1134" w:type="dxa"/>
            <w:vMerge/>
            <w:tcBorders>
              <w:top w:val="nil"/>
              <w:left w:val="single" w:sz="4" w:space="0" w:color="auto"/>
              <w:bottom w:val="single" w:sz="4" w:space="0" w:color="auto"/>
              <w:right w:val="single" w:sz="4" w:space="0" w:color="auto"/>
            </w:tcBorders>
            <w:vAlign w:val="center"/>
            <w:hideMark/>
          </w:tcPr>
          <w:p w14:paraId="7457DEF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6A10C3C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2018</w:t>
            </w:r>
          </w:p>
        </w:tc>
        <w:tc>
          <w:tcPr>
            <w:tcW w:w="850" w:type="dxa"/>
            <w:tcBorders>
              <w:top w:val="nil"/>
              <w:left w:val="nil"/>
              <w:bottom w:val="single" w:sz="4" w:space="0" w:color="auto"/>
              <w:right w:val="single" w:sz="4" w:space="0" w:color="auto"/>
            </w:tcBorders>
            <w:shd w:val="clear" w:color="auto" w:fill="auto"/>
            <w:vAlign w:val="center"/>
            <w:hideMark/>
          </w:tcPr>
          <w:p w14:paraId="203294D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668</w:t>
            </w:r>
          </w:p>
        </w:tc>
        <w:tc>
          <w:tcPr>
            <w:tcW w:w="992" w:type="dxa"/>
            <w:tcBorders>
              <w:top w:val="nil"/>
              <w:left w:val="nil"/>
              <w:bottom w:val="single" w:sz="4" w:space="0" w:color="auto"/>
              <w:right w:val="single" w:sz="4" w:space="0" w:color="auto"/>
            </w:tcBorders>
            <w:shd w:val="clear" w:color="auto" w:fill="auto"/>
            <w:noWrap/>
            <w:vAlign w:val="center"/>
            <w:hideMark/>
          </w:tcPr>
          <w:p w14:paraId="4F859C4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93,00</w:t>
            </w:r>
          </w:p>
        </w:tc>
        <w:tc>
          <w:tcPr>
            <w:tcW w:w="1418" w:type="dxa"/>
            <w:tcBorders>
              <w:top w:val="nil"/>
              <w:left w:val="nil"/>
              <w:bottom w:val="single" w:sz="4" w:space="0" w:color="auto"/>
              <w:right w:val="single" w:sz="4" w:space="0" w:color="auto"/>
            </w:tcBorders>
            <w:shd w:val="clear" w:color="auto" w:fill="auto"/>
            <w:noWrap/>
            <w:vAlign w:val="center"/>
            <w:hideMark/>
          </w:tcPr>
          <w:p w14:paraId="53C9404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96,96</w:t>
            </w:r>
          </w:p>
        </w:tc>
        <w:tc>
          <w:tcPr>
            <w:tcW w:w="992" w:type="dxa"/>
            <w:tcBorders>
              <w:top w:val="nil"/>
              <w:left w:val="nil"/>
              <w:bottom w:val="single" w:sz="4" w:space="0" w:color="auto"/>
              <w:right w:val="single" w:sz="4" w:space="0" w:color="auto"/>
            </w:tcBorders>
            <w:shd w:val="clear" w:color="auto" w:fill="auto"/>
            <w:noWrap/>
            <w:vAlign w:val="center"/>
            <w:hideMark/>
          </w:tcPr>
          <w:p w14:paraId="6AB3167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-3,04</w:t>
            </w:r>
          </w:p>
        </w:tc>
        <w:tc>
          <w:tcPr>
            <w:tcW w:w="992" w:type="dxa"/>
            <w:tcBorders>
              <w:top w:val="nil"/>
              <w:left w:val="nil"/>
              <w:bottom w:val="single" w:sz="4" w:space="0" w:color="000000"/>
              <w:right w:val="single" w:sz="4" w:space="0" w:color="000000"/>
            </w:tcBorders>
            <w:shd w:val="clear" w:color="auto" w:fill="auto"/>
            <w:vAlign w:val="center"/>
            <w:hideMark/>
          </w:tcPr>
          <w:p w14:paraId="7371C20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227</w:t>
            </w:r>
          </w:p>
        </w:tc>
        <w:tc>
          <w:tcPr>
            <w:tcW w:w="851" w:type="dxa"/>
            <w:tcBorders>
              <w:top w:val="nil"/>
              <w:left w:val="nil"/>
              <w:bottom w:val="single" w:sz="4" w:space="0" w:color="auto"/>
              <w:right w:val="single" w:sz="4" w:space="0" w:color="auto"/>
            </w:tcBorders>
            <w:shd w:val="clear" w:color="auto" w:fill="auto"/>
            <w:noWrap/>
            <w:vAlign w:val="center"/>
            <w:hideMark/>
          </w:tcPr>
          <w:p w14:paraId="6E2E38F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10,00</w:t>
            </w:r>
          </w:p>
        </w:tc>
        <w:tc>
          <w:tcPr>
            <w:tcW w:w="1276" w:type="dxa"/>
            <w:tcBorders>
              <w:top w:val="nil"/>
              <w:left w:val="nil"/>
              <w:bottom w:val="single" w:sz="4" w:space="0" w:color="auto"/>
              <w:right w:val="single" w:sz="4" w:space="0" w:color="auto"/>
            </w:tcBorders>
            <w:shd w:val="clear" w:color="auto" w:fill="auto"/>
            <w:noWrap/>
            <w:vAlign w:val="center"/>
            <w:hideMark/>
          </w:tcPr>
          <w:p w14:paraId="7E4D8B8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90,04</w:t>
            </w:r>
          </w:p>
        </w:tc>
        <w:tc>
          <w:tcPr>
            <w:tcW w:w="1134" w:type="dxa"/>
            <w:tcBorders>
              <w:top w:val="nil"/>
              <w:left w:val="nil"/>
              <w:bottom w:val="single" w:sz="4" w:space="0" w:color="auto"/>
              <w:right w:val="single" w:sz="4" w:space="0" w:color="auto"/>
            </w:tcBorders>
            <w:shd w:val="clear" w:color="auto" w:fill="auto"/>
            <w:noWrap/>
            <w:vAlign w:val="center"/>
            <w:hideMark/>
          </w:tcPr>
          <w:p w14:paraId="7FEF258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-9,96</w:t>
            </w:r>
          </w:p>
        </w:tc>
        <w:tc>
          <w:tcPr>
            <w:tcW w:w="708" w:type="dxa"/>
            <w:tcBorders>
              <w:top w:val="nil"/>
              <w:left w:val="nil"/>
              <w:bottom w:val="single" w:sz="4" w:space="0" w:color="000000"/>
              <w:right w:val="single" w:sz="4" w:space="0" w:color="000000"/>
            </w:tcBorders>
            <w:shd w:val="clear" w:color="auto" w:fill="auto"/>
            <w:vAlign w:val="center"/>
            <w:hideMark/>
          </w:tcPr>
          <w:p w14:paraId="14801B7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441</w:t>
            </w:r>
          </w:p>
        </w:tc>
        <w:tc>
          <w:tcPr>
            <w:tcW w:w="993" w:type="dxa"/>
            <w:tcBorders>
              <w:top w:val="nil"/>
              <w:left w:val="nil"/>
              <w:bottom w:val="single" w:sz="4" w:space="0" w:color="auto"/>
              <w:right w:val="single" w:sz="4" w:space="0" w:color="auto"/>
            </w:tcBorders>
            <w:shd w:val="clear" w:color="auto" w:fill="auto"/>
            <w:noWrap/>
            <w:vAlign w:val="center"/>
            <w:hideMark/>
          </w:tcPr>
          <w:p w14:paraId="11A97EB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83,00</w:t>
            </w:r>
          </w:p>
        </w:tc>
        <w:tc>
          <w:tcPr>
            <w:tcW w:w="992" w:type="dxa"/>
            <w:tcBorders>
              <w:top w:val="nil"/>
              <w:left w:val="nil"/>
              <w:bottom w:val="single" w:sz="4" w:space="0" w:color="auto"/>
              <w:right w:val="single" w:sz="4" w:space="0" w:color="auto"/>
            </w:tcBorders>
            <w:shd w:val="clear" w:color="auto" w:fill="auto"/>
            <w:noWrap/>
            <w:vAlign w:val="center"/>
            <w:hideMark/>
          </w:tcPr>
          <w:p w14:paraId="2E6F02F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101,70</w:t>
            </w:r>
          </w:p>
        </w:tc>
        <w:tc>
          <w:tcPr>
            <w:tcW w:w="992" w:type="dxa"/>
            <w:tcBorders>
              <w:top w:val="nil"/>
              <w:left w:val="nil"/>
              <w:bottom w:val="single" w:sz="4" w:space="0" w:color="auto"/>
              <w:right w:val="single" w:sz="4" w:space="0" w:color="auto"/>
            </w:tcBorders>
            <w:shd w:val="clear" w:color="auto" w:fill="auto"/>
            <w:noWrap/>
            <w:vAlign w:val="center"/>
            <w:hideMark/>
          </w:tcPr>
          <w:p w14:paraId="73D127A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1,70</w:t>
            </w:r>
          </w:p>
        </w:tc>
      </w:tr>
      <w:tr w:rsidR="0066583A" w:rsidRPr="004135FE" w14:paraId="104792BD" w14:textId="77777777" w:rsidTr="00E2614D">
        <w:trPr>
          <w:trHeight w:val="283"/>
        </w:trPr>
        <w:tc>
          <w:tcPr>
            <w:tcW w:w="1134" w:type="dxa"/>
            <w:vMerge/>
            <w:tcBorders>
              <w:top w:val="nil"/>
              <w:left w:val="single" w:sz="4" w:space="0" w:color="auto"/>
              <w:bottom w:val="single" w:sz="4" w:space="0" w:color="auto"/>
              <w:right w:val="single" w:sz="4" w:space="0" w:color="auto"/>
            </w:tcBorders>
            <w:vAlign w:val="center"/>
            <w:hideMark/>
          </w:tcPr>
          <w:p w14:paraId="634B5FD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5DA9328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2019</w:t>
            </w:r>
          </w:p>
        </w:tc>
        <w:tc>
          <w:tcPr>
            <w:tcW w:w="850" w:type="dxa"/>
            <w:tcBorders>
              <w:top w:val="nil"/>
              <w:left w:val="nil"/>
              <w:bottom w:val="single" w:sz="4" w:space="0" w:color="auto"/>
              <w:right w:val="single" w:sz="4" w:space="0" w:color="auto"/>
            </w:tcBorders>
            <w:shd w:val="clear" w:color="auto" w:fill="auto"/>
            <w:vAlign w:val="center"/>
            <w:hideMark/>
          </w:tcPr>
          <w:p w14:paraId="3F03E99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602</w:t>
            </w:r>
          </w:p>
        </w:tc>
        <w:tc>
          <w:tcPr>
            <w:tcW w:w="992" w:type="dxa"/>
            <w:tcBorders>
              <w:top w:val="nil"/>
              <w:left w:val="nil"/>
              <w:bottom w:val="single" w:sz="4" w:space="0" w:color="auto"/>
              <w:right w:val="single" w:sz="4" w:space="0" w:color="auto"/>
            </w:tcBorders>
            <w:shd w:val="clear" w:color="auto" w:fill="auto"/>
            <w:noWrap/>
            <w:vAlign w:val="center"/>
            <w:hideMark/>
          </w:tcPr>
          <w:p w14:paraId="142608F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-66,00</w:t>
            </w:r>
          </w:p>
        </w:tc>
        <w:tc>
          <w:tcPr>
            <w:tcW w:w="1418" w:type="dxa"/>
            <w:tcBorders>
              <w:top w:val="nil"/>
              <w:left w:val="nil"/>
              <w:bottom w:val="single" w:sz="4" w:space="0" w:color="auto"/>
              <w:right w:val="single" w:sz="4" w:space="0" w:color="auto"/>
            </w:tcBorders>
            <w:shd w:val="clear" w:color="auto" w:fill="auto"/>
            <w:noWrap/>
            <w:vAlign w:val="center"/>
            <w:hideMark/>
          </w:tcPr>
          <w:p w14:paraId="12320EB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112,65</w:t>
            </w:r>
          </w:p>
        </w:tc>
        <w:tc>
          <w:tcPr>
            <w:tcW w:w="992" w:type="dxa"/>
            <w:tcBorders>
              <w:top w:val="nil"/>
              <w:left w:val="nil"/>
              <w:bottom w:val="single" w:sz="4" w:space="0" w:color="auto"/>
              <w:right w:val="single" w:sz="4" w:space="0" w:color="auto"/>
            </w:tcBorders>
            <w:shd w:val="clear" w:color="auto" w:fill="auto"/>
            <w:noWrap/>
            <w:vAlign w:val="center"/>
            <w:hideMark/>
          </w:tcPr>
          <w:p w14:paraId="256C7F4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12,65</w:t>
            </w:r>
          </w:p>
        </w:tc>
        <w:tc>
          <w:tcPr>
            <w:tcW w:w="992" w:type="dxa"/>
            <w:tcBorders>
              <w:top w:val="nil"/>
              <w:left w:val="nil"/>
              <w:bottom w:val="single" w:sz="4" w:space="0" w:color="000000"/>
              <w:right w:val="single" w:sz="4" w:space="0" w:color="000000"/>
            </w:tcBorders>
            <w:shd w:val="clear" w:color="auto" w:fill="auto"/>
            <w:vAlign w:val="center"/>
            <w:hideMark/>
          </w:tcPr>
          <w:p w14:paraId="4E5B314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218</w:t>
            </w:r>
          </w:p>
        </w:tc>
        <w:tc>
          <w:tcPr>
            <w:tcW w:w="851" w:type="dxa"/>
            <w:tcBorders>
              <w:top w:val="nil"/>
              <w:left w:val="nil"/>
              <w:bottom w:val="single" w:sz="4" w:space="0" w:color="auto"/>
              <w:right w:val="single" w:sz="4" w:space="0" w:color="auto"/>
            </w:tcBorders>
            <w:shd w:val="clear" w:color="auto" w:fill="auto"/>
            <w:noWrap/>
            <w:vAlign w:val="center"/>
            <w:hideMark/>
          </w:tcPr>
          <w:p w14:paraId="1B7EB8B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-9,00</w:t>
            </w:r>
          </w:p>
        </w:tc>
        <w:tc>
          <w:tcPr>
            <w:tcW w:w="1276" w:type="dxa"/>
            <w:tcBorders>
              <w:top w:val="nil"/>
              <w:left w:val="nil"/>
              <w:bottom w:val="single" w:sz="4" w:space="0" w:color="auto"/>
              <w:right w:val="single" w:sz="4" w:space="0" w:color="auto"/>
            </w:tcBorders>
            <w:shd w:val="clear" w:color="auto" w:fill="auto"/>
            <w:noWrap/>
            <w:vAlign w:val="center"/>
            <w:hideMark/>
          </w:tcPr>
          <w:p w14:paraId="67809C8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94,19</w:t>
            </w:r>
          </w:p>
        </w:tc>
        <w:tc>
          <w:tcPr>
            <w:tcW w:w="1134" w:type="dxa"/>
            <w:tcBorders>
              <w:top w:val="nil"/>
              <w:left w:val="nil"/>
              <w:bottom w:val="single" w:sz="4" w:space="0" w:color="auto"/>
              <w:right w:val="single" w:sz="4" w:space="0" w:color="auto"/>
            </w:tcBorders>
            <w:shd w:val="clear" w:color="auto" w:fill="auto"/>
            <w:noWrap/>
            <w:vAlign w:val="center"/>
            <w:hideMark/>
          </w:tcPr>
          <w:p w14:paraId="4C02617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-5,81</w:t>
            </w:r>
          </w:p>
        </w:tc>
        <w:tc>
          <w:tcPr>
            <w:tcW w:w="708" w:type="dxa"/>
            <w:tcBorders>
              <w:top w:val="nil"/>
              <w:left w:val="nil"/>
              <w:bottom w:val="single" w:sz="4" w:space="0" w:color="000000"/>
              <w:right w:val="single" w:sz="4" w:space="0" w:color="000000"/>
            </w:tcBorders>
            <w:shd w:val="clear" w:color="auto" w:fill="auto"/>
            <w:vAlign w:val="center"/>
            <w:hideMark/>
          </w:tcPr>
          <w:p w14:paraId="12617AA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384</w:t>
            </w:r>
          </w:p>
        </w:tc>
        <w:tc>
          <w:tcPr>
            <w:tcW w:w="993" w:type="dxa"/>
            <w:tcBorders>
              <w:top w:val="nil"/>
              <w:left w:val="nil"/>
              <w:bottom w:val="single" w:sz="4" w:space="0" w:color="auto"/>
              <w:right w:val="single" w:sz="4" w:space="0" w:color="auto"/>
            </w:tcBorders>
            <w:shd w:val="clear" w:color="auto" w:fill="auto"/>
            <w:noWrap/>
            <w:vAlign w:val="center"/>
            <w:hideMark/>
          </w:tcPr>
          <w:p w14:paraId="40AA440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-57,00</w:t>
            </w:r>
          </w:p>
        </w:tc>
        <w:tc>
          <w:tcPr>
            <w:tcW w:w="992" w:type="dxa"/>
            <w:tcBorders>
              <w:top w:val="nil"/>
              <w:left w:val="nil"/>
              <w:bottom w:val="single" w:sz="4" w:space="0" w:color="auto"/>
              <w:right w:val="single" w:sz="4" w:space="0" w:color="auto"/>
            </w:tcBorders>
            <w:shd w:val="clear" w:color="auto" w:fill="auto"/>
            <w:noWrap/>
            <w:vAlign w:val="center"/>
            <w:hideMark/>
          </w:tcPr>
          <w:p w14:paraId="5EFFF28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125,28</w:t>
            </w:r>
          </w:p>
        </w:tc>
        <w:tc>
          <w:tcPr>
            <w:tcW w:w="992" w:type="dxa"/>
            <w:tcBorders>
              <w:top w:val="nil"/>
              <w:left w:val="nil"/>
              <w:bottom w:val="single" w:sz="4" w:space="0" w:color="auto"/>
              <w:right w:val="single" w:sz="4" w:space="0" w:color="auto"/>
            </w:tcBorders>
            <w:shd w:val="clear" w:color="auto" w:fill="auto"/>
            <w:noWrap/>
            <w:vAlign w:val="center"/>
            <w:hideMark/>
          </w:tcPr>
          <w:p w14:paraId="1C0894F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25,28</w:t>
            </w:r>
          </w:p>
        </w:tc>
      </w:tr>
      <w:tr w:rsidR="0066583A" w:rsidRPr="004135FE" w14:paraId="752CD28F" w14:textId="77777777" w:rsidTr="00E2614D">
        <w:trPr>
          <w:trHeight w:val="283"/>
        </w:trPr>
        <w:tc>
          <w:tcPr>
            <w:tcW w:w="1134" w:type="dxa"/>
            <w:vMerge/>
            <w:tcBorders>
              <w:top w:val="nil"/>
              <w:left w:val="single" w:sz="4" w:space="0" w:color="auto"/>
              <w:bottom w:val="single" w:sz="4" w:space="0" w:color="auto"/>
              <w:right w:val="single" w:sz="4" w:space="0" w:color="auto"/>
            </w:tcBorders>
            <w:vAlign w:val="center"/>
            <w:hideMark/>
          </w:tcPr>
          <w:p w14:paraId="24D5095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1BD34C2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2020</w:t>
            </w:r>
          </w:p>
        </w:tc>
        <w:tc>
          <w:tcPr>
            <w:tcW w:w="850" w:type="dxa"/>
            <w:tcBorders>
              <w:top w:val="nil"/>
              <w:left w:val="nil"/>
              <w:bottom w:val="single" w:sz="4" w:space="0" w:color="auto"/>
              <w:right w:val="single" w:sz="4" w:space="0" w:color="auto"/>
            </w:tcBorders>
            <w:shd w:val="clear" w:color="auto" w:fill="auto"/>
            <w:vAlign w:val="center"/>
            <w:hideMark/>
          </w:tcPr>
          <w:p w14:paraId="141D6B4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491</w:t>
            </w:r>
          </w:p>
        </w:tc>
        <w:tc>
          <w:tcPr>
            <w:tcW w:w="992" w:type="dxa"/>
            <w:tcBorders>
              <w:top w:val="nil"/>
              <w:left w:val="nil"/>
              <w:bottom w:val="single" w:sz="4" w:space="0" w:color="auto"/>
              <w:right w:val="single" w:sz="4" w:space="0" w:color="auto"/>
            </w:tcBorders>
            <w:shd w:val="clear" w:color="auto" w:fill="auto"/>
            <w:noWrap/>
            <w:vAlign w:val="center"/>
            <w:hideMark/>
          </w:tcPr>
          <w:p w14:paraId="47AA61D5"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-111,00</w:t>
            </w:r>
          </w:p>
        </w:tc>
        <w:tc>
          <w:tcPr>
            <w:tcW w:w="1418" w:type="dxa"/>
            <w:tcBorders>
              <w:top w:val="nil"/>
              <w:left w:val="nil"/>
              <w:bottom w:val="single" w:sz="4" w:space="0" w:color="auto"/>
              <w:right w:val="single" w:sz="4" w:space="0" w:color="auto"/>
            </w:tcBorders>
            <w:shd w:val="clear" w:color="auto" w:fill="auto"/>
            <w:noWrap/>
            <w:vAlign w:val="center"/>
            <w:hideMark/>
          </w:tcPr>
          <w:p w14:paraId="6E7801B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101,52</w:t>
            </w:r>
          </w:p>
        </w:tc>
        <w:tc>
          <w:tcPr>
            <w:tcW w:w="992" w:type="dxa"/>
            <w:tcBorders>
              <w:top w:val="nil"/>
              <w:left w:val="nil"/>
              <w:bottom w:val="single" w:sz="4" w:space="0" w:color="auto"/>
              <w:right w:val="single" w:sz="4" w:space="0" w:color="auto"/>
            </w:tcBorders>
            <w:shd w:val="clear" w:color="auto" w:fill="auto"/>
            <w:noWrap/>
            <w:vAlign w:val="center"/>
            <w:hideMark/>
          </w:tcPr>
          <w:p w14:paraId="0CE5D0E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1,52</w:t>
            </w:r>
          </w:p>
        </w:tc>
        <w:tc>
          <w:tcPr>
            <w:tcW w:w="992" w:type="dxa"/>
            <w:tcBorders>
              <w:top w:val="nil"/>
              <w:left w:val="nil"/>
              <w:bottom w:val="single" w:sz="4" w:space="0" w:color="000000"/>
              <w:right w:val="single" w:sz="4" w:space="0" w:color="000000"/>
            </w:tcBorders>
            <w:shd w:val="clear" w:color="auto" w:fill="auto"/>
            <w:vAlign w:val="center"/>
            <w:hideMark/>
          </w:tcPr>
          <w:p w14:paraId="678CBDA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189</w:t>
            </w:r>
          </w:p>
        </w:tc>
        <w:tc>
          <w:tcPr>
            <w:tcW w:w="851" w:type="dxa"/>
            <w:tcBorders>
              <w:top w:val="nil"/>
              <w:left w:val="nil"/>
              <w:bottom w:val="single" w:sz="4" w:space="0" w:color="auto"/>
              <w:right w:val="single" w:sz="4" w:space="0" w:color="auto"/>
            </w:tcBorders>
            <w:shd w:val="clear" w:color="auto" w:fill="auto"/>
            <w:noWrap/>
            <w:vAlign w:val="center"/>
            <w:hideMark/>
          </w:tcPr>
          <w:p w14:paraId="1D55B52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-29,00</w:t>
            </w:r>
          </w:p>
        </w:tc>
        <w:tc>
          <w:tcPr>
            <w:tcW w:w="1276" w:type="dxa"/>
            <w:tcBorders>
              <w:top w:val="nil"/>
              <w:left w:val="nil"/>
              <w:bottom w:val="single" w:sz="4" w:space="0" w:color="auto"/>
              <w:right w:val="single" w:sz="4" w:space="0" w:color="auto"/>
            </w:tcBorders>
            <w:shd w:val="clear" w:color="auto" w:fill="auto"/>
            <w:noWrap/>
            <w:vAlign w:val="center"/>
            <w:hideMark/>
          </w:tcPr>
          <w:p w14:paraId="7C132CB9"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90,46</w:t>
            </w:r>
          </w:p>
        </w:tc>
        <w:tc>
          <w:tcPr>
            <w:tcW w:w="1134" w:type="dxa"/>
            <w:tcBorders>
              <w:top w:val="nil"/>
              <w:left w:val="nil"/>
              <w:bottom w:val="single" w:sz="4" w:space="0" w:color="auto"/>
              <w:right w:val="single" w:sz="4" w:space="0" w:color="auto"/>
            </w:tcBorders>
            <w:shd w:val="clear" w:color="auto" w:fill="auto"/>
            <w:noWrap/>
            <w:vAlign w:val="center"/>
            <w:hideMark/>
          </w:tcPr>
          <w:p w14:paraId="06A79EB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-9,54</w:t>
            </w:r>
          </w:p>
        </w:tc>
        <w:tc>
          <w:tcPr>
            <w:tcW w:w="708" w:type="dxa"/>
            <w:tcBorders>
              <w:top w:val="nil"/>
              <w:left w:val="nil"/>
              <w:bottom w:val="single" w:sz="4" w:space="0" w:color="000000"/>
              <w:right w:val="single" w:sz="4" w:space="0" w:color="000000"/>
            </w:tcBorders>
            <w:shd w:val="clear" w:color="auto" w:fill="auto"/>
            <w:vAlign w:val="center"/>
            <w:hideMark/>
          </w:tcPr>
          <w:p w14:paraId="6780560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302</w:t>
            </w:r>
          </w:p>
        </w:tc>
        <w:tc>
          <w:tcPr>
            <w:tcW w:w="993" w:type="dxa"/>
            <w:tcBorders>
              <w:top w:val="nil"/>
              <w:left w:val="nil"/>
              <w:bottom w:val="single" w:sz="4" w:space="0" w:color="auto"/>
              <w:right w:val="single" w:sz="4" w:space="0" w:color="auto"/>
            </w:tcBorders>
            <w:shd w:val="clear" w:color="auto" w:fill="auto"/>
            <w:noWrap/>
            <w:vAlign w:val="center"/>
            <w:hideMark/>
          </w:tcPr>
          <w:p w14:paraId="41702C7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-82,00</w:t>
            </w:r>
          </w:p>
        </w:tc>
        <w:tc>
          <w:tcPr>
            <w:tcW w:w="992" w:type="dxa"/>
            <w:tcBorders>
              <w:top w:val="nil"/>
              <w:left w:val="nil"/>
              <w:bottom w:val="single" w:sz="4" w:space="0" w:color="auto"/>
              <w:right w:val="single" w:sz="4" w:space="0" w:color="auto"/>
            </w:tcBorders>
            <w:shd w:val="clear" w:color="auto" w:fill="auto"/>
            <w:noWrap/>
            <w:vAlign w:val="center"/>
            <w:hideMark/>
          </w:tcPr>
          <w:p w14:paraId="0765E137"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109,09</w:t>
            </w:r>
          </w:p>
        </w:tc>
        <w:tc>
          <w:tcPr>
            <w:tcW w:w="992" w:type="dxa"/>
            <w:tcBorders>
              <w:top w:val="nil"/>
              <w:left w:val="nil"/>
              <w:bottom w:val="single" w:sz="4" w:space="0" w:color="auto"/>
              <w:right w:val="single" w:sz="4" w:space="0" w:color="auto"/>
            </w:tcBorders>
            <w:shd w:val="clear" w:color="auto" w:fill="auto"/>
            <w:noWrap/>
            <w:vAlign w:val="center"/>
            <w:hideMark/>
          </w:tcPr>
          <w:p w14:paraId="6A7DBF9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9,09</w:t>
            </w:r>
          </w:p>
        </w:tc>
      </w:tr>
      <w:tr w:rsidR="0066583A" w:rsidRPr="004135FE" w14:paraId="5A5EA73C" w14:textId="77777777" w:rsidTr="00E2614D">
        <w:trPr>
          <w:trHeight w:val="283"/>
        </w:trPr>
        <w:tc>
          <w:tcPr>
            <w:tcW w:w="1134" w:type="dxa"/>
            <w:vMerge/>
            <w:tcBorders>
              <w:top w:val="nil"/>
              <w:left w:val="single" w:sz="4" w:space="0" w:color="auto"/>
              <w:bottom w:val="single" w:sz="4" w:space="0" w:color="auto"/>
              <w:right w:val="single" w:sz="4" w:space="0" w:color="auto"/>
            </w:tcBorders>
            <w:vAlign w:val="center"/>
            <w:hideMark/>
          </w:tcPr>
          <w:p w14:paraId="5396A0B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auto" w:fill="auto"/>
            <w:noWrap/>
            <w:vAlign w:val="center"/>
            <w:hideMark/>
          </w:tcPr>
          <w:p w14:paraId="549FCA7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2021</w:t>
            </w:r>
          </w:p>
        </w:tc>
        <w:tc>
          <w:tcPr>
            <w:tcW w:w="850" w:type="dxa"/>
            <w:tcBorders>
              <w:top w:val="nil"/>
              <w:left w:val="nil"/>
              <w:bottom w:val="nil"/>
              <w:right w:val="nil"/>
            </w:tcBorders>
            <w:shd w:val="clear" w:color="auto" w:fill="auto"/>
            <w:noWrap/>
            <w:vAlign w:val="center"/>
            <w:hideMark/>
          </w:tcPr>
          <w:p w14:paraId="1127367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593</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86110A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102,00</w:t>
            </w:r>
          </w:p>
        </w:tc>
        <w:tc>
          <w:tcPr>
            <w:tcW w:w="1418" w:type="dxa"/>
            <w:tcBorders>
              <w:top w:val="nil"/>
              <w:left w:val="nil"/>
              <w:bottom w:val="single" w:sz="4" w:space="0" w:color="auto"/>
              <w:right w:val="single" w:sz="4" w:space="0" w:color="auto"/>
            </w:tcBorders>
            <w:shd w:val="clear" w:color="auto" w:fill="auto"/>
            <w:noWrap/>
            <w:vAlign w:val="center"/>
            <w:hideMark/>
          </w:tcPr>
          <w:p w14:paraId="2EC9A57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82,80</w:t>
            </w:r>
          </w:p>
        </w:tc>
        <w:tc>
          <w:tcPr>
            <w:tcW w:w="992" w:type="dxa"/>
            <w:tcBorders>
              <w:top w:val="nil"/>
              <w:left w:val="nil"/>
              <w:bottom w:val="single" w:sz="4" w:space="0" w:color="auto"/>
              <w:right w:val="single" w:sz="4" w:space="0" w:color="auto"/>
            </w:tcBorders>
            <w:shd w:val="clear" w:color="auto" w:fill="auto"/>
            <w:noWrap/>
            <w:vAlign w:val="center"/>
            <w:hideMark/>
          </w:tcPr>
          <w:p w14:paraId="08DCF623"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-17,20</w:t>
            </w:r>
          </w:p>
        </w:tc>
        <w:tc>
          <w:tcPr>
            <w:tcW w:w="992" w:type="dxa"/>
            <w:tcBorders>
              <w:top w:val="nil"/>
              <w:left w:val="nil"/>
              <w:bottom w:val="single" w:sz="4" w:space="0" w:color="000000"/>
              <w:right w:val="single" w:sz="4" w:space="0" w:color="000000"/>
            </w:tcBorders>
            <w:shd w:val="clear" w:color="auto" w:fill="auto"/>
            <w:vAlign w:val="center"/>
            <w:hideMark/>
          </w:tcPr>
          <w:p w14:paraId="1FDB498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241</w:t>
            </w:r>
          </w:p>
        </w:tc>
        <w:tc>
          <w:tcPr>
            <w:tcW w:w="851" w:type="dxa"/>
            <w:tcBorders>
              <w:top w:val="nil"/>
              <w:left w:val="nil"/>
              <w:bottom w:val="single" w:sz="4" w:space="0" w:color="auto"/>
              <w:right w:val="single" w:sz="4" w:space="0" w:color="auto"/>
            </w:tcBorders>
            <w:shd w:val="clear" w:color="auto" w:fill="auto"/>
            <w:noWrap/>
            <w:vAlign w:val="center"/>
            <w:hideMark/>
          </w:tcPr>
          <w:p w14:paraId="3AA064F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52,00</w:t>
            </w:r>
          </w:p>
        </w:tc>
        <w:tc>
          <w:tcPr>
            <w:tcW w:w="1276" w:type="dxa"/>
            <w:tcBorders>
              <w:top w:val="nil"/>
              <w:left w:val="nil"/>
              <w:bottom w:val="single" w:sz="4" w:space="0" w:color="auto"/>
              <w:right w:val="single" w:sz="4" w:space="0" w:color="auto"/>
            </w:tcBorders>
            <w:shd w:val="clear" w:color="auto" w:fill="auto"/>
            <w:noWrap/>
            <w:vAlign w:val="center"/>
            <w:hideMark/>
          </w:tcPr>
          <w:p w14:paraId="364EE01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78,42</w:t>
            </w:r>
          </w:p>
        </w:tc>
        <w:tc>
          <w:tcPr>
            <w:tcW w:w="1134" w:type="dxa"/>
            <w:tcBorders>
              <w:top w:val="nil"/>
              <w:left w:val="nil"/>
              <w:bottom w:val="single" w:sz="4" w:space="0" w:color="auto"/>
              <w:right w:val="single" w:sz="4" w:space="0" w:color="auto"/>
            </w:tcBorders>
            <w:shd w:val="clear" w:color="auto" w:fill="auto"/>
            <w:noWrap/>
            <w:vAlign w:val="center"/>
            <w:hideMark/>
          </w:tcPr>
          <w:p w14:paraId="0AF7328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-21,58</w:t>
            </w:r>
          </w:p>
        </w:tc>
        <w:tc>
          <w:tcPr>
            <w:tcW w:w="708" w:type="dxa"/>
            <w:tcBorders>
              <w:top w:val="nil"/>
              <w:left w:val="nil"/>
              <w:bottom w:val="single" w:sz="4" w:space="0" w:color="000000"/>
              <w:right w:val="single" w:sz="4" w:space="0" w:color="000000"/>
            </w:tcBorders>
            <w:shd w:val="clear" w:color="auto" w:fill="auto"/>
            <w:vAlign w:val="center"/>
            <w:hideMark/>
          </w:tcPr>
          <w:p w14:paraId="48599DD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352</w:t>
            </w:r>
          </w:p>
        </w:tc>
        <w:tc>
          <w:tcPr>
            <w:tcW w:w="993" w:type="dxa"/>
            <w:tcBorders>
              <w:top w:val="nil"/>
              <w:left w:val="nil"/>
              <w:bottom w:val="single" w:sz="4" w:space="0" w:color="auto"/>
              <w:right w:val="single" w:sz="4" w:space="0" w:color="auto"/>
            </w:tcBorders>
            <w:shd w:val="clear" w:color="auto" w:fill="auto"/>
            <w:noWrap/>
            <w:vAlign w:val="center"/>
            <w:hideMark/>
          </w:tcPr>
          <w:p w14:paraId="3109EBB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50,00</w:t>
            </w:r>
          </w:p>
        </w:tc>
        <w:tc>
          <w:tcPr>
            <w:tcW w:w="992" w:type="dxa"/>
            <w:tcBorders>
              <w:top w:val="nil"/>
              <w:left w:val="nil"/>
              <w:bottom w:val="single" w:sz="4" w:space="0" w:color="auto"/>
              <w:right w:val="single" w:sz="4" w:space="0" w:color="auto"/>
            </w:tcBorders>
            <w:shd w:val="clear" w:color="auto" w:fill="auto"/>
            <w:noWrap/>
            <w:vAlign w:val="center"/>
            <w:hideMark/>
          </w:tcPr>
          <w:p w14:paraId="64A3DF48"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85,80</w:t>
            </w:r>
          </w:p>
        </w:tc>
        <w:tc>
          <w:tcPr>
            <w:tcW w:w="992" w:type="dxa"/>
            <w:tcBorders>
              <w:top w:val="nil"/>
              <w:left w:val="nil"/>
              <w:bottom w:val="single" w:sz="4" w:space="0" w:color="auto"/>
              <w:right w:val="single" w:sz="4" w:space="0" w:color="auto"/>
            </w:tcBorders>
            <w:shd w:val="clear" w:color="auto" w:fill="auto"/>
            <w:noWrap/>
            <w:vAlign w:val="center"/>
            <w:hideMark/>
          </w:tcPr>
          <w:p w14:paraId="7DB9C24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-14,20</w:t>
            </w:r>
          </w:p>
        </w:tc>
      </w:tr>
      <w:tr w:rsidR="00B16459" w:rsidRPr="004135FE" w14:paraId="38C708F0" w14:textId="77777777" w:rsidTr="00E2614D">
        <w:trPr>
          <w:trHeight w:val="283"/>
        </w:trPr>
        <w:tc>
          <w:tcPr>
            <w:tcW w:w="1134" w:type="dxa"/>
            <w:vMerge/>
            <w:tcBorders>
              <w:top w:val="nil"/>
              <w:left w:val="single" w:sz="4" w:space="0" w:color="auto"/>
              <w:bottom w:val="single" w:sz="4" w:space="0" w:color="auto"/>
              <w:right w:val="single" w:sz="4" w:space="0" w:color="auto"/>
            </w:tcBorders>
            <w:vAlign w:val="center"/>
            <w:hideMark/>
          </w:tcPr>
          <w:p w14:paraId="7C427E7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4" w:space="0" w:color="auto"/>
            </w:tcBorders>
            <w:shd w:val="clear" w:color="000000" w:fill="FFFFFF"/>
            <w:noWrap/>
            <w:vAlign w:val="center"/>
            <w:hideMark/>
          </w:tcPr>
          <w:p w14:paraId="1DF9802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среднее</w:t>
            </w:r>
          </w:p>
        </w:tc>
        <w:tc>
          <w:tcPr>
            <w:tcW w:w="850" w:type="dxa"/>
            <w:tcBorders>
              <w:top w:val="single" w:sz="4" w:space="0" w:color="auto"/>
              <w:left w:val="nil"/>
              <w:bottom w:val="single" w:sz="4" w:space="0" w:color="auto"/>
              <w:right w:val="single" w:sz="4" w:space="0" w:color="auto"/>
            </w:tcBorders>
            <w:shd w:val="clear" w:color="000000" w:fill="FFFFFF"/>
            <w:noWrap/>
            <w:vAlign w:val="center"/>
            <w:hideMark/>
          </w:tcPr>
          <w:p w14:paraId="07B54C2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490,10</w:t>
            </w:r>
          </w:p>
        </w:tc>
        <w:tc>
          <w:tcPr>
            <w:tcW w:w="992" w:type="dxa"/>
            <w:tcBorders>
              <w:top w:val="nil"/>
              <w:left w:val="nil"/>
              <w:bottom w:val="single" w:sz="4" w:space="0" w:color="auto"/>
              <w:right w:val="single" w:sz="4" w:space="0" w:color="auto"/>
            </w:tcBorders>
            <w:shd w:val="clear" w:color="000000" w:fill="FFFFFF"/>
            <w:noWrap/>
            <w:vAlign w:val="center"/>
            <w:hideMark/>
          </w:tcPr>
          <w:p w14:paraId="5136552B"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24,11</w:t>
            </w:r>
          </w:p>
        </w:tc>
        <w:tc>
          <w:tcPr>
            <w:tcW w:w="1418" w:type="dxa"/>
            <w:tcBorders>
              <w:top w:val="nil"/>
              <w:left w:val="nil"/>
              <w:bottom w:val="single" w:sz="4" w:space="0" w:color="auto"/>
              <w:right w:val="single" w:sz="4" w:space="0" w:color="auto"/>
            </w:tcBorders>
            <w:shd w:val="clear" w:color="000000" w:fill="FFFFFF"/>
            <w:noWrap/>
            <w:vAlign w:val="center"/>
            <w:hideMark/>
          </w:tcPr>
          <w:p w14:paraId="2C6E41E4"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105,19</w:t>
            </w:r>
          </w:p>
        </w:tc>
        <w:tc>
          <w:tcPr>
            <w:tcW w:w="992" w:type="dxa"/>
            <w:tcBorders>
              <w:top w:val="nil"/>
              <w:left w:val="nil"/>
              <w:bottom w:val="single" w:sz="4" w:space="0" w:color="auto"/>
              <w:right w:val="single" w:sz="4" w:space="0" w:color="auto"/>
            </w:tcBorders>
            <w:shd w:val="clear" w:color="000000" w:fill="FFFFFF"/>
            <w:noWrap/>
            <w:vAlign w:val="center"/>
            <w:hideMark/>
          </w:tcPr>
          <w:p w14:paraId="1CE2978E"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5,19</w:t>
            </w:r>
          </w:p>
        </w:tc>
        <w:tc>
          <w:tcPr>
            <w:tcW w:w="992" w:type="dxa"/>
            <w:tcBorders>
              <w:top w:val="nil"/>
              <w:left w:val="nil"/>
              <w:bottom w:val="single" w:sz="4" w:space="0" w:color="auto"/>
              <w:right w:val="single" w:sz="4" w:space="0" w:color="auto"/>
            </w:tcBorders>
            <w:shd w:val="clear" w:color="000000" w:fill="FFFFFF"/>
            <w:noWrap/>
            <w:vAlign w:val="center"/>
            <w:hideMark/>
          </w:tcPr>
          <w:p w14:paraId="3BDCE041"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179,70</w:t>
            </w:r>
          </w:p>
        </w:tc>
        <w:tc>
          <w:tcPr>
            <w:tcW w:w="851" w:type="dxa"/>
            <w:tcBorders>
              <w:top w:val="nil"/>
              <w:left w:val="nil"/>
              <w:bottom w:val="single" w:sz="4" w:space="0" w:color="auto"/>
              <w:right w:val="single" w:sz="4" w:space="0" w:color="auto"/>
            </w:tcBorders>
            <w:shd w:val="clear" w:color="000000" w:fill="FFFFFF"/>
            <w:noWrap/>
            <w:vAlign w:val="center"/>
            <w:hideMark/>
          </w:tcPr>
          <w:p w14:paraId="2393E3E6"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13,00</w:t>
            </w:r>
          </w:p>
        </w:tc>
        <w:tc>
          <w:tcPr>
            <w:tcW w:w="1276" w:type="dxa"/>
            <w:tcBorders>
              <w:top w:val="nil"/>
              <w:left w:val="nil"/>
              <w:bottom w:val="single" w:sz="4" w:space="0" w:color="auto"/>
              <w:right w:val="single" w:sz="4" w:space="0" w:color="auto"/>
            </w:tcBorders>
            <w:shd w:val="clear" w:color="000000" w:fill="FFFFFF"/>
            <w:noWrap/>
            <w:vAlign w:val="center"/>
            <w:hideMark/>
          </w:tcPr>
          <w:p w14:paraId="7B9AB090"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107,66</w:t>
            </w:r>
          </w:p>
        </w:tc>
        <w:tc>
          <w:tcPr>
            <w:tcW w:w="1134" w:type="dxa"/>
            <w:tcBorders>
              <w:top w:val="nil"/>
              <w:left w:val="nil"/>
              <w:bottom w:val="single" w:sz="4" w:space="0" w:color="auto"/>
              <w:right w:val="single" w:sz="4" w:space="0" w:color="auto"/>
            </w:tcBorders>
            <w:shd w:val="clear" w:color="000000" w:fill="FFFFFF"/>
            <w:noWrap/>
            <w:vAlign w:val="center"/>
            <w:hideMark/>
          </w:tcPr>
          <w:p w14:paraId="7874857C"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7,66</w:t>
            </w:r>
          </w:p>
        </w:tc>
        <w:tc>
          <w:tcPr>
            <w:tcW w:w="708" w:type="dxa"/>
            <w:tcBorders>
              <w:top w:val="nil"/>
              <w:left w:val="nil"/>
              <w:bottom w:val="single" w:sz="4" w:space="0" w:color="auto"/>
              <w:right w:val="single" w:sz="4" w:space="0" w:color="auto"/>
            </w:tcBorders>
            <w:shd w:val="clear" w:color="000000" w:fill="FFFFFF"/>
            <w:noWrap/>
            <w:vAlign w:val="center"/>
            <w:hideMark/>
          </w:tcPr>
          <w:p w14:paraId="2931EBF2"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310,40</w:t>
            </w:r>
          </w:p>
        </w:tc>
        <w:tc>
          <w:tcPr>
            <w:tcW w:w="993" w:type="dxa"/>
            <w:tcBorders>
              <w:top w:val="nil"/>
              <w:left w:val="nil"/>
              <w:bottom w:val="single" w:sz="4" w:space="0" w:color="auto"/>
              <w:right w:val="single" w:sz="4" w:space="0" w:color="auto"/>
            </w:tcBorders>
            <w:shd w:val="clear" w:color="000000" w:fill="FFFFFF"/>
            <w:noWrap/>
            <w:vAlign w:val="center"/>
            <w:hideMark/>
          </w:tcPr>
          <w:p w14:paraId="7B356D2A"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11,11</w:t>
            </w:r>
          </w:p>
        </w:tc>
        <w:tc>
          <w:tcPr>
            <w:tcW w:w="992" w:type="dxa"/>
            <w:tcBorders>
              <w:top w:val="nil"/>
              <w:left w:val="nil"/>
              <w:bottom w:val="single" w:sz="4" w:space="0" w:color="auto"/>
              <w:right w:val="single" w:sz="4" w:space="0" w:color="auto"/>
            </w:tcBorders>
            <w:shd w:val="clear" w:color="000000" w:fill="FFFFFF"/>
            <w:noWrap/>
            <w:vAlign w:val="center"/>
            <w:hideMark/>
          </w:tcPr>
          <w:p w14:paraId="4BA9E4AF"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103,78</w:t>
            </w:r>
          </w:p>
        </w:tc>
        <w:tc>
          <w:tcPr>
            <w:tcW w:w="992" w:type="dxa"/>
            <w:tcBorders>
              <w:top w:val="nil"/>
              <w:left w:val="nil"/>
              <w:bottom w:val="single" w:sz="4" w:space="0" w:color="auto"/>
              <w:right w:val="single" w:sz="4" w:space="0" w:color="auto"/>
            </w:tcBorders>
            <w:shd w:val="clear" w:color="000000" w:fill="FFFFFF"/>
            <w:noWrap/>
            <w:vAlign w:val="center"/>
            <w:hideMark/>
          </w:tcPr>
          <w:p w14:paraId="4FB6F44D" w14:textId="77777777" w:rsidR="0066583A" w:rsidRPr="004135FE" w:rsidRDefault="0066583A"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3,78</w:t>
            </w:r>
          </w:p>
        </w:tc>
      </w:tr>
    </w:tbl>
    <w:p w14:paraId="46AEA64B" w14:textId="77777777" w:rsidR="0066583A" w:rsidRPr="004135FE" w:rsidRDefault="0066583A" w:rsidP="004135FE">
      <w:pPr>
        <w:spacing w:after="0" w:line="240" w:lineRule="auto"/>
        <w:jc w:val="both"/>
        <w:rPr>
          <w:rFonts w:ascii="Times New Roman" w:eastAsia="Times New Roman" w:hAnsi="Times New Roman" w:cs="Times New Roman"/>
          <w:b/>
          <w:sz w:val="28"/>
          <w:szCs w:val="28"/>
        </w:rPr>
        <w:sectPr w:rsidR="0066583A" w:rsidRPr="004135FE" w:rsidSect="00EC71C2">
          <w:type w:val="nextColumn"/>
          <w:pgSz w:w="16838" w:h="11906" w:orient="landscape"/>
          <w:pgMar w:top="1134" w:right="851" w:bottom="1134" w:left="1701" w:header="708" w:footer="708" w:gutter="0"/>
          <w:cols w:space="708"/>
          <w:docGrid w:linePitch="360"/>
        </w:sectPr>
      </w:pPr>
    </w:p>
    <w:p w14:paraId="5462FE0B" w14:textId="77777777" w:rsidR="0066583A" w:rsidRPr="004135FE" w:rsidRDefault="0066583A" w:rsidP="004135FE">
      <w:pPr>
        <w:spacing w:after="0" w:line="240" w:lineRule="auto"/>
        <w:ind w:firstLine="567"/>
        <w:jc w:val="both"/>
        <w:rPr>
          <w:rFonts w:ascii="Times New Roman" w:hAnsi="Times New Roman" w:cs="Times New Roman"/>
          <w:sz w:val="28"/>
          <w:szCs w:val="28"/>
        </w:rPr>
      </w:pPr>
      <w:r w:rsidRPr="004135FE">
        <w:rPr>
          <w:rFonts w:ascii="Times New Roman" w:hAnsi="Times New Roman" w:cs="Times New Roman"/>
          <w:sz w:val="28"/>
          <w:szCs w:val="28"/>
        </w:rPr>
        <w:lastRenderedPageBreak/>
        <w:t xml:space="preserve">Первичная заболеваемость по г.Алматы с 2012г по 2021 г выросла с 2508 человек до 5063человек (вырос с 180,27 до 237,57 </w:t>
      </w:r>
      <w:r w:rsidRPr="004135FE">
        <w:rPr>
          <w:rFonts w:ascii="Times New Roman" w:eastAsia="Times New Roman" w:hAnsi="Times New Roman" w:cs="Times New Roman"/>
          <w:sz w:val="28"/>
          <w:szCs w:val="28"/>
        </w:rPr>
        <w:t>случаев на 100 тыс. населения).</w:t>
      </w:r>
    </w:p>
    <w:p w14:paraId="74B8DC29" w14:textId="77777777" w:rsidR="0066583A" w:rsidRPr="004135FE" w:rsidRDefault="0066583A" w:rsidP="004135FE">
      <w:pPr>
        <w:spacing w:after="0" w:line="240" w:lineRule="auto"/>
        <w:ind w:firstLine="708"/>
        <w:jc w:val="both"/>
        <w:rPr>
          <w:rFonts w:ascii="Times New Roman" w:hAnsi="Times New Roman" w:cs="Times New Roman"/>
          <w:bCs/>
          <w:sz w:val="28"/>
          <w:szCs w:val="28"/>
        </w:rPr>
      </w:pPr>
      <w:r w:rsidRPr="004135FE">
        <w:rPr>
          <w:rFonts w:ascii="Times New Roman" w:eastAsiaTheme="minorHAnsi" w:hAnsi="Times New Roman" w:cs="Times New Roman"/>
          <w:sz w:val="28"/>
          <w:szCs w:val="28"/>
          <w:lang w:eastAsia="en-US"/>
        </w:rPr>
        <w:t xml:space="preserve">За 10лет </w:t>
      </w:r>
      <w:r w:rsidRPr="004135FE">
        <w:rPr>
          <w:rFonts w:ascii="Times New Roman" w:eastAsia="Times New Roman" w:hAnsi="Times New Roman" w:cs="Times New Roman"/>
          <w:sz w:val="28"/>
          <w:szCs w:val="28"/>
        </w:rPr>
        <w:t xml:space="preserve">наибольшая первичная заболеваемость зарегистрирована в Жетысуском районе, с </w:t>
      </w:r>
      <w:r w:rsidRPr="004135FE">
        <w:rPr>
          <w:rFonts w:ascii="Times New Roman" w:hAnsi="Times New Roman" w:cs="Times New Roman"/>
          <w:sz w:val="28"/>
          <w:szCs w:val="28"/>
        </w:rPr>
        <w:t xml:space="preserve">213,47 до 393,83 </w:t>
      </w:r>
      <w:r w:rsidRPr="004135FE">
        <w:rPr>
          <w:rFonts w:ascii="Times New Roman" w:eastAsia="Times New Roman" w:hAnsi="Times New Roman" w:cs="Times New Roman"/>
          <w:sz w:val="28"/>
          <w:szCs w:val="28"/>
        </w:rPr>
        <w:t xml:space="preserve">случаев на 100 тыс. населения. </w:t>
      </w:r>
    </w:p>
    <w:p w14:paraId="72E30DDF" w14:textId="75042A1F" w:rsidR="0066583A" w:rsidRPr="004135FE" w:rsidRDefault="0066583A" w:rsidP="004135FE">
      <w:pPr>
        <w:spacing w:after="0" w:line="240" w:lineRule="auto"/>
        <w:ind w:firstLine="567"/>
        <w:jc w:val="both"/>
        <w:rPr>
          <w:rFonts w:ascii="Times New Roman" w:eastAsiaTheme="minorHAnsi" w:hAnsi="Times New Roman" w:cs="Times New Roman"/>
          <w:bCs/>
          <w:sz w:val="28"/>
          <w:szCs w:val="28"/>
          <w:lang w:eastAsia="en-US"/>
        </w:rPr>
      </w:pPr>
      <w:r w:rsidRPr="004135FE">
        <w:rPr>
          <w:rFonts w:ascii="Times New Roman" w:eastAsia="Times New Roman" w:hAnsi="Times New Roman" w:cs="Times New Roman"/>
          <w:sz w:val="28"/>
          <w:szCs w:val="28"/>
        </w:rPr>
        <w:t xml:space="preserve">Динамический ряд </w:t>
      </w:r>
      <w:r w:rsidRPr="004135FE">
        <w:rPr>
          <w:rFonts w:ascii="Times New Roman" w:eastAsiaTheme="minorHAnsi" w:hAnsi="Times New Roman" w:cs="Times New Roman"/>
          <w:bCs/>
          <w:sz w:val="28"/>
          <w:szCs w:val="28"/>
          <w:lang w:eastAsia="en-US"/>
        </w:rPr>
        <w:t>СД2т по г.Алматы за 10лет выявил</w:t>
      </w:r>
      <w:r w:rsidR="00770B93" w:rsidRPr="004135FE">
        <w:rPr>
          <w:rFonts w:ascii="Times New Roman" w:eastAsiaTheme="minorHAnsi" w:hAnsi="Times New Roman" w:cs="Times New Roman"/>
          <w:bCs/>
          <w:sz w:val="28"/>
          <w:szCs w:val="28"/>
          <w:lang w:eastAsia="en-US"/>
        </w:rPr>
        <w:t xml:space="preserve"> рост первичной заболеваемости, кроме </w:t>
      </w:r>
      <w:r w:rsidRPr="004135FE">
        <w:rPr>
          <w:rFonts w:ascii="Times New Roman" w:eastAsia="Times New Roman" w:hAnsi="Times New Roman" w:cs="Times New Roman"/>
          <w:bCs/>
          <w:sz w:val="28"/>
          <w:szCs w:val="28"/>
        </w:rPr>
        <w:t>2020г</w:t>
      </w:r>
      <w:r w:rsidR="00770B93" w:rsidRPr="004135FE">
        <w:rPr>
          <w:rFonts w:ascii="Times New Roman" w:eastAsia="Times New Roman" w:hAnsi="Times New Roman" w:cs="Times New Roman"/>
          <w:bCs/>
          <w:sz w:val="28"/>
          <w:szCs w:val="28"/>
        </w:rPr>
        <w:t>: убыль на</w:t>
      </w:r>
      <w:r w:rsidRPr="004135FE">
        <w:rPr>
          <w:rFonts w:ascii="Times New Roman" w:eastAsia="Times New Roman" w:hAnsi="Times New Roman" w:cs="Times New Roman"/>
          <w:bCs/>
          <w:sz w:val="28"/>
          <w:szCs w:val="28"/>
        </w:rPr>
        <w:t xml:space="preserve"> (</w:t>
      </w:r>
      <w:r w:rsidRPr="004135FE">
        <w:rPr>
          <w:rFonts w:ascii="Times New Roman" w:eastAsia="Times New Roman" w:hAnsi="Times New Roman" w:cs="Times New Roman"/>
          <w:sz w:val="28"/>
          <w:szCs w:val="28"/>
        </w:rPr>
        <w:t xml:space="preserve">-179,00) человек, из них </w:t>
      </w:r>
      <w:r w:rsidRPr="004135FE">
        <w:rPr>
          <w:rFonts w:ascii="Times New Roman" w:eastAsia="Times New Roman" w:hAnsi="Times New Roman" w:cs="Times New Roman"/>
          <w:bCs/>
          <w:sz w:val="28"/>
          <w:szCs w:val="28"/>
        </w:rPr>
        <w:t>мужчины на (-34,00) случаев, женщины на (-145) случаев. В 2019г убыль замечен среди женщин в размере (-36), но это не дал отражение на общую динамику.</w:t>
      </w:r>
    </w:p>
    <w:p w14:paraId="66FF55DC" w14:textId="140DE431" w:rsidR="00770B93" w:rsidRPr="004135FE" w:rsidRDefault="0066583A" w:rsidP="004135FE">
      <w:pPr>
        <w:spacing w:after="0" w:line="240" w:lineRule="auto"/>
        <w:ind w:firstLine="567"/>
        <w:jc w:val="both"/>
        <w:rPr>
          <w:rFonts w:ascii="Times New Roman" w:hAnsi="Times New Roman" w:cs="Times New Roman"/>
          <w:sz w:val="28"/>
          <w:szCs w:val="28"/>
        </w:rPr>
      </w:pPr>
      <w:r w:rsidRPr="004135FE">
        <w:rPr>
          <w:rFonts w:ascii="Times New Roman" w:eastAsia="Times New Roman" w:hAnsi="Times New Roman" w:cs="Times New Roman"/>
          <w:sz w:val="28"/>
          <w:szCs w:val="28"/>
        </w:rPr>
        <w:t>Среди всех районов наибольший убыль (-152,00) был в 2019г в Жетысуском районе, но к 2021г наибольший абсолютный рост первичной заболеваемости СД2т выявлен так же в этом районе 339,00случаев. (данный факт мог бы подтвердиться результатами заболеваемости и смертности от СД2т ↔</w:t>
      </w:r>
      <w:r w:rsidRPr="004135FE">
        <w:rPr>
          <w:rFonts w:ascii="Times New Roman" w:eastAsia="Times New Roman" w:hAnsi="Times New Roman" w:cs="Times New Roman"/>
          <w:sz w:val="28"/>
          <w:szCs w:val="28"/>
          <w:lang w:val="en-US"/>
        </w:rPr>
        <w:t>Covid</w:t>
      </w:r>
      <w:r w:rsidRPr="004135FE">
        <w:rPr>
          <w:rFonts w:ascii="Times New Roman" w:eastAsia="Times New Roman" w:hAnsi="Times New Roman" w:cs="Times New Roman"/>
          <w:sz w:val="28"/>
          <w:szCs w:val="28"/>
        </w:rPr>
        <w:t xml:space="preserve">-19, рост СД2т из-за последствия, перенесенного </w:t>
      </w:r>
      <w:r w:rsidRPr="004135FE">
        <w:rPr>
          <w:rFonts w:ascii="Times New Roman" w:eastAsia="Times New Roman" w:hAnsi="Times New Roman" w:cs="Times New Roman"/>
          <w:sz w:val="28"/>
          <w:szCs w:val="28"/>
          <w:lang w:val="en-US"/>
        </w:rPr>
        <w:t>Covid</w:t>
      </w:r>
      <w:r w:rsidRPr="004135FE">
        <w:rPr>
          <w:rFonts w:ascii="Times New Roman" w:eastAsia="Times New Roman" w:hAnsi="Times New Roman" w:cs="Times New Roman"/>
          <w:sz w:val="28"/>
          <w:szCs w:val="28"/>
        </w:rPr>
        <w:t>-19 как поражение поджелудочной железы, но официальных регистрированных статистических данных нет в МЗРК)</w:t>
      </w:r>
    </w:p>
    <w:p w14:paraId="2CBEF53F" w14:textId="77777777" w:rsidR="00770B93" w:rsidRPr="004135FE" w:rsidRDefault="00770B93" w:rsidP="004135FE">
      <w:pPr>
        <w:autoSpaceDE w:val="0"/>
        <w:autoSpaceDN w:val="0"/>
        <w:adjustRightInd w:val="0"/>
        <w:spacing w:after="0" w:line="240" w:lineRule="auto"/>
        <w:rPr>
          <w:rFonts w:ascii="Times New Roman" w:eastAsiaTheme="minorHAnsi" w:hAnsi="Times New Roman" w:cs="Times New Roman"/>
          <w:sz w:val="28"/>
          <w:szCs w:val="28"/>
          <w:lang w:eastAsia="en-US"/>
        </w:rPr>
      </w:pPr>
    </w:p>
    <w:p w14:paraId="2FC4803E" w14:textId="24AA4926" w:rsidR="0066583A" w:rsidRPr="00ED689E" w:rsidRDefault="00ED689E">
      <w:pPr>
        <w:pStyle w:val="a3"/>
        <w:numPr>
          <w:ilvl w:val="1"/>
          <w:numId w:val="93"/>
        </w:numPr>
        <w:spacing w:after="0" w:line="240" w:lineRule="auto"/>
        <w:ind w:left="0" w:firstLine="709"/>
        <w:jc w:val="both"/>
        <w:textAlignment w:val="baseline"/>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0066583A" w:rsidRPr="00ED689E">
        <w:rPr>
          <w:rFonts w:ascii="Times New Roman" w:eastAsia="Times New Roman" w:hAnsi="Times New Roman" w:cs="Times New Roman"/>
          <w:b/>
          <w:sz w:val="28"/>
          <w:szCs w:val="28"/>
        </w:rPr>
        <w:t>Распространенность сахарного диабета 2</w:t>
      </w:r>
      <w:r w:rsidR="007A0421" w:rsidRPr="00ED689E">
        <w:rPr>
          <w:rFonts w:ascii="Times New Roman" w:eastAsia="Times New Roman" w:hAnsi="Times New Roman" w:cs="Times New Roman"/>
          <w:b/>
          <w:sz w:val="28"/>
          <w:szCs w:val="28"/>
        </w:rPr>
        <w:t xml:space="preserve"> </w:t>
      </w:r>
      <w:r w:rsidR="0066583A" w:rsidRPr="00ED689E">
        <w:rPr>
          <w:rFonts w:ascii="Times New Roman" w:eastAsia="Times New Roman" w:hAnsi="Times New Roman" w:cs="Times New Roman"/>
          <w:b/>
          <w:sz w:val="28"/>
          <w:szCs w:val="28"/>
        </w:rPr>
        <w:t>типа по г</w:t>
      </w:r>
      <w:r w:rsidR="007A0421" w:rsidRPr="00ED689E">
        <w:rPr>
          <w:rFonts w:ascii="Times New Roman" w:eastAsia="Times New Roman" w:hAnsi="Times New Roman" w:cs="Times New Roman"/>
          <w:b/>
          <w:sz w:val="28"/>
          <w:szCs w:val="28"/>
        </w:rPr>
        <w:t>.</w:t>
      </w:r>
      <w:r w:rsidR="0066583A" w:rsidRPr="00ED689E">
        <w:rPr>
          <w:rFonts w:ascii="Times New Roman" w:eastAsia="Times New Roman" w:hAnsi="Times New Roman" w:cs="Times New Roman"/>
          <w:b/>
          <w:sz w:val="28"/>
          <w:szCs w:val="28"/>
        </w:rPr>
        <w:t xml:space="preserve"> Алматы</w:t>
      </w:r>
    </w:p>
    <w:p w14:paraId="01CEA1DF" w14:textId="367C805F" w:rsidR="00482DD3" w:rsidRPr="004135FE" w:rsidRDefault="00482DD3" w:rsidP="00ED689E">
      <w:pPr>
        <w:spacing w:after="0" w:line="240" w:lineRule="auto"/>
        <w:ind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Согласно статистическим </w:t>
      </w:r>
      <w:r w:rsidR="00712178" w:rsidRPr="004135FE">
        <w:rPr>
          <w:rFonts w:ascii="Times New Roman" w:eastAsia="Times New Roman" w:hAnsi="Times New Roman" w:cs="Times New Roman"/>
          <w:sz w:val="28"/>
          <w:szCs w:val="28"/>
        </w:rPr>
        <w:t>отчетным</w:t>
      </w:r>
      <w:r w:rsidRPr="004135FE">
        <w:rPr>
          <w:rFonts w:ascii="Times New Roman" w:eastAsia="Times New Roman" w:hAnsi="Times New Roman" w:cs="Times New Roman"/>
          <w:sz w:val="28"/>
          <w:szCs w:val="28"/>
        </w:rPr>
        <w:t xml:space="preserve"> материалам РЦЭЗ, распространенность СД2т в 2012г составила 1 654,95 на 100 000 население, из них 510,25 мужчины и 1 144,7 женщины. В динамике определяется рост за десятилетний период, что соответствует распространенности СД2т к 2021г 2 098,79</w:t>
      </w:r>
      <w:r w:rsidR="007A0421" w:rsidRPr="004135FE">
        <w:rPr>
          <w:rFonts w:ascii="Times New Roman" w:eastAsia="Times New Roman" w:hAnsi="Times New Roman" w:cs="Times New Roman"/>
          <w:sz w:val="28"/>
          <w:szCs w:val="28"/>
        </w:rPr>
        <w:t xml:space="preserve"> на 100 000 население, из них 723,75 мужчины (34%) и 1 </w:t>
      </w:r>
      <w:r w:rsidR="005F2D6E" w:rsidRPr="004135FE">
        <w:rPr>
          <w:rFonts w:ascii="Times New Roman" w:eastAsia="Times New Roman" w:hAnsi="Times New Roman" w:cs="Times New Roman"/>
          <w:sz w:val="28"/>
          <w:szCs w:val="28"/>
        </w:rPr>
        <w:t>375,05 женщины (66%) (таблица 9</w:t>
      </w:r>
      <w:r w:rsidR="007A0421" w:rsidRPr="004135FE">
        <w:rPr>
          <w:rFonts w:ascii="Times New Roman" w:eastAsia="Times New Roman" w:hAnsi="Times New Roman" w:cs="Times New Roman"/>
          <w:sz w:val="28"/>
          <w:szCs w:val="28"/>
        </w:rPr>
        <w:t>).</w:t>
      </w:r>
    </w:p>
    <w:p w14:paraId="4C3E3860" w14:textId="0DA07DD4" w:rsidR="0066583A" w:rsidRPr="004135FE" w:rsidRDefault="0066583A" w:rsidP="004135FE">
      <w:pPr>
        <w:spacing w:after="0" w:line="240" w:lineRule="auto"/>
        <w:jc w:val="both"/>
        <w:textAlignment w:val="baseline"/>
        <w:rPr>
          <w:rFonts w:ascii="Times New Roman" w:eastAsiaTheme="minorHAnsi" w:hAnsi="Times New Roman" w:cs="Times New Roman"/>
          <w:b/>
          <w:sz w:val="28"/>
          <w:szCs w:val="28"/>
          <w:lang w:eastAsia="en-US"/>
        </w:rPr>
      </w:pPr>
    </w:p>
    <w:p w14:paraId="0A05946B" w14:textId="25E66C1D" w:rsidR="0066583A" w:rsidRDefault="005F2D6E" w:rsidP="00ED689E">
      <w:pPr>
        <w:spacing w:after="0" w:line="240" w:lineRule="auto"/>
        <w:jc w:val="both"/>
        <w:textAlignment w:val="baseline"/>
        <w:rPr>
          <w:rFonts w:ascii="Times New Roman" w:eastAsiaTheme="minorHAnsi" w:hAnsi="Times New Roman" w:cs="Times New Roman"/>
          <w:bCs/>
          <w:sz w:val="28"/>
          <w:szCs w:val="28"/>
          <w:lang w:eastAsia="en-US"/>
        </w:rPr>
      </w:pPr>
      <w:r w:rsidRPr="00ED689E">
        <w:rPr>
          <w:rFonts w:ascii="Times New Roman" w:eastAsiaTheme="minorHAnsi" w:hAnsi="Times New Roman" w:cs="Times New Roman"/>
          <w:bCs/>
          <w:sz w:val="28"/>
          <w:szCs w:val="28"/>
          <w:lang w:eastAsia="en-US"/>
        </w:rPr>
        <w:t>Таблица 9</w:t>
      </w:r>
      <w:r w:rsidR="0066583A" w:rsidRPr="00ED689E">
        <w:rPr>
          <w:rFonts w:ascii="Times New Roman" w:eastAsiaTheme="minorHAnsi" w:hAnsi="Times New Roman" w:cs="Times New Roman"/>
          <w:bCs/>
          <w:sz w:val="28"/>
          <w:szCs w:val="28"/>
          <w:lang w:eastAsia="en-US"/>
        </w:rPr>
        <w:t xml:space="preserve"> – </w:t>
      </w:r>
      <w:r w:rsidR="0066583A" w:rsidRPr="00ED689E">
        <w:rPr>
          <w:rFonts w:ascii="Times New Roman" w:hAnsi="Times New Roman" w:cs="Times New Roman"/>
          <w:bCs/>
          <w:sz w:val="28"/>
          <w:szCs w:val="28"/>
        </w:rPr>
        <w:t>Распространенность</w:t>
      </w:r>
      <w:r w:rsidR="0066583A" w:rsidRPr="00ED689E">
        <w:rPr>
          <w:rFonts w:ascii="Times New Roman" w:eastAsiaTheme="minorHAnsi" w:hAnsi="Times New Roman" w:cs="Times New Roman"/>
          <w:bCs/>
          <w:sz w:val="28"/>
          <w:szCs w:val="28"/>
          <w:lang w:eastAsia="en-US"/>
        </w:rPr>
        <w:t xml:space="preserve"> СД2т по половым признакам в г.</w:t>
      </w:r>
      <w:r w:rsidR="00ED689E" w:rsidRPr="00ED689E">
        <w:rPr>
          <w:rFonts w:ascii="Times New Roman" w:eastAsiaTheme="minorHAnsi" w:hAnsi="Times New Roman" w:cs="Times New Roman"/>
          <w:bCs/>
          <w:sz w:val="28"/>
          <w:szCs w:val="28"/>
          <w:lang w:eastAsia="en-US"/>
        </w:rPr>
        <w:t xml:space="preserve"> </w:t>
      </w:r>
      <w:r w:rsidR="0066583A" w:rsidRPr="00ED689E">
        <w:rPr>
          <w:rFonts w:ascii="Times New Roman" w:eastAsiaTheme="minorHAnsi" w:hAnsi="Times New Roman" w:cs="Times New Roman"/>
          <w:bCs/>
          <w:sz w:val="28"/>
          <w:szCs w:val="28"/>
          <w:lang w:eastAsia="en-US"/>
        </w:rPr>
        <w:t>Алматы с 2012-2021гг.</w:t>
      </w:r>
    </w:p>
    <w:p w14:paraId="13CE526E" w14:textId="77777777" w:rsidR="00ED689E" w:rsidRPr="00ED689E" w:rsidRDefault="00ED689E" w:rsidP="00ED689E">
      <w:pPr>
        <w:spacing w:after="0" w:line="240" w:lineRule="auto"/>
        <w:jc w:val="both"/>
        <w:textAlignment w:val="baseline"/>
        <w:rPr>
          <w:rFonts w:ascii="Times New Roman" w:eastAsiaTheme="minorHAnsi" w:hAnsi="Times New Roman" w:cs="Times New Roman"/>
          <w:bCs/>
          <w:sz w:val="28"/>
          <w:szCs w:val="28"/>
          <w:lang w:eastAsia="en-US"/>
        </w:rPr>
      </w:pPr>
    </w:p>
    <w:tbl>
      <w:tblPr>
        <w:tblW w:w="9366" w:type="dxa"/>
        <w:tblInd w:w="-5" w:type="dxa"/>
        <w:tblLook w:val="04A0" w:firstRow="1" w:lastRow="0" w:firstColumn="1" w:lastColumn="0" w:noHBand="0" w:noVBand="1"/>
      </w:tblPr>
      <w:tblGrid>
        <w:gridCol w:w="960"/>
        <w:gridCol w:w="1167"/>
        <w:gridCol w:w="1559"/>
        <w:gridCol w:w="1055"/>
        <w:gridCol w:w="1701"/>
        <w:gridCol w:w="1365"/>
        <w:gridCol w:w="1559"/>
      </w:tblGrid>
      <w:tr w:rsidR="0066583A" w:rsidRPr="004135FE" w14:paraId="2785FAE0" w14:textId="77777777" w:rsidTr="00A42E92">
        <w:trPr>
          <w:trHeight w:val="285"/>
        </w:trPr>
        <w:tc>
          <w:tcPr>
            <w:tcW w:w="960" w:type="dxa"/>
            <w:tcBorders>
              <w:top w:val="single" w:sz="4" w:space="0" w:color="auto"/>
              <w:left w:val="single" w:sz="4" w:space="0" w:color="auto"/>
              <w:bottom w:val="single" w:sz="4" w:space="0" w:color="auto"/>
              <w:right w:val="single" w:sz="4" w:space="0" w:color="auto"/>
            </w:tcBorders>
            <w:shd w:val="clear" w:color="auto" w:fill="auto"/>
            <w:noWrap/>
            <w:hideMark/>
          </w:tcPr>
          <w:p w14:paraId="131B82AC"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2726" w:type="dxa"/>
            <w:gridSpan w:val="2"/>
            <w:tcBorders>
              <w:top w:val="single" w:sz="4" w:space="0" w:color="auto"/>
              <w:left w:val="nil"/>
              <w:bottom w:val="single" w:sz="4" w:space="0" w:color="auto"/>
              <w:right w:val="single" w:sz="4" w:space="0" w:color="auto"/>
            </w:tcBorders>
            <w:shd w:val="clear" w:color="auto" w:fill="auto"/>
            <w:noWrap/>
            <w:hideMark/>
          </w:tcPr>
          <w:p w14:paraId="2170C3FF"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распространенность СД2т</w:t>
            </w:r>
          </w:p>
        </w:tc>
        <w:tc>
          <w:tcPr>
            <w:tcW w:w="2756" w:type="dxa"/>
            <w:gridSpan w:val="2"/>
            <w:tcBorders>
              <w:top w:val="single" w:sz="4" w:space="0" w:color="auto"/>
              <w:left w:val="nil"/>
              <w:bottom w:val="single" w:sz="4" w:space="0" w:color="auto"/>
              <w:right w:val="single" w:sz="4" w:space="0" w:color="auto"/>
            </w:tcBorders>
            <w:shd w:val="clear" w:color="auto" w:fill="auto"/>
            <w:noWrap/>
            <w:hideMark/>
          </w:tcPr>
          <w:p w14:paraId="7E1BDA5C"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мужчины</w:t>
            </w:r>
          </w:p>
        </w:tc>
        <w:tc>
          <w:tcPr>
            <w:tcW w:w="2924" w:type="dxa"/>
            <w:gridSpan w:val="2"/>
            <w:tcBorders>
              <w:top w:val="single" w:sz="4" w:space="0" w:color="auto"/>
              <w:left w:val="nil"/>
              <w:bottom w:val="single" w:sz="4" w:space="0" w:color="auto"/>
              <w:right w:val="single" w:sz="4" w:space="0" w:color="auto"/>
            </w:tcBorders>
            <w:shd w:val="clear" w:color="auto" w:fill="auto"/>
            <w:noWrap/>
            <w:hideMark/>
          </w:tcPr>
          <w:p w14:paraId="0D94FBA1"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женщины</w:t>
            </w:r>
          </w:p>
        </w:tc>
      </w:tr>
      <w:tr w:rsidR="0066583A" w:rsidRPr="004135FE" w14:paraId="08CD67CE" w14:textId="77777777" w:rsidTr="00A42E92">
        <w:trPr>
          <w:trHeight w:val="316"/>
        </w:trPr>
        <w:tc>
          <w:tcPr>
            <w:tcW w:w="960" w:type="dxa"/>
            <w:tcBorders>
              <w:top w:val="nil"/>
              <w:left w:val="single" w:sz="4" w:space="0" w:color="auto"/>
              <w:bottom w:val="single" w:sz="4" w:space="0" w:color="auto"/>
              <w:right w:val="single" w:sz="4" w:space="0" w:color="auto"/>
            </w:tcBorders>
            <w:shd w:val="clear" w:color="auto" w:fill="auto"/>
            <w:noWrap/>
            <w:hideMark/>
          </w:tcPr>
          <w:p w14:paraId="59F61D5E"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годы</w:t>
            </w:r>
          </w:p>
        </w:tc>
        <w:tc>
          <w:tcPr>
            <w:tcW w:w="1167" w:type="dxa"/>
            <w:tcBorders>
              <w:top w:val="nil"/>
              <w:left w:val="nil"/>
              <w:bottom w:val="single" w:sz="4" w:space="0" w:color="auto"/>
              <w:right w:val="single" w:sz="4" w:space="0" w:color="auto"/>
            </w:tcBorders>
            <w:shd w:val="clear" w:color="auto" w:fill="auto"/>
            <w:noWrap/>
            <w:hideMark/>
          </w:tcPr>
          <w:p w14:paraId="51D18F9D"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абс</w:t>
            </w:r>
          </w:p>
        </w:tc>
        <w:tc>
          <w:tcPr>
            <w:tcW w:w="1559" w:type="dxa"/>
            <w:tcBorders>
              <w:top w:val="nil"/>
              <w:left w:val="nil"/>
              <w:bottom w:val="single" w:sz="4" w:space="0" w:color="auto"/>
              <w:right w:val="single" w:sz="4" w:space="0" w:color="auto"/>
            </w:tcBorders>
            <w:shd w:val="clear" w:color="auto" w:fill="auto"/>
            <w:noWrap/>
            <w:hideMark/>
          </w:tcPr>
          <w:p w14:paraId="6F7F6C86"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 100тыс нас</w:t>
            </w:r>
          </w:p>
        </w:tc>
        <w:tc>
          <w:tcPr>
            <w:tcW w:w="1055" w:type="dxa"/>
            <w:tcBorders>
              <w:top w:val="nil"/>
              <w:left w:val="nil"/>
              <w:bottom w:val="single" w:sz="4" w:space="0" w:color="auto"/>
              <w:right w:val="single" w:sz="4" w:space="0" w:color="auto"/>
            </w:tcBorders>
            <w:shd w:val="clear" w:color="auto" w:fill="auto"/>
            <w:noWrap/>
            <w:hideMark/>
          </w:tcPr>
          <w:p w14:paraId="06733F81"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абс</w:t>
            </w:r>
          </w:p>
        </w:tc>
        <w:tc>
          <w:tcPr>
            <w:tcW w:w="1701" w:type="dxa"/>
            <w:tcBorders>
              <w:top w:val="nil"/>
              <w:left w:val="nil"/>
              <w:bottom w:val="single" w:sz="4" w:space="0" w:color="auto"/>
              <w:right w:val="single" w:sz="4" w:space="0" w:color="auto"/>
            </w:tcBorders>
            <w:shd w:val="clear" w:color="auto" w:fill="auto"/>
            <w:noWrap/>
            <w:hideMark/>
          </w:tcPr>
          <w:p w14:paraId="0E57DDDB"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 100тыс нас</w:t>
            </w:r>
          </w:p>
        </w:tc>
        <w:tc>
          <w:tcPr>
            <w:tcW w:w="1365" w:type="dxa"/>
            <w:tcBorders>
              <w:top w:val="nil"/>
              <w:left w:val="nil"/>
              <w:bottom w:val="single" w:sz="4" w:space="0" w:color="auto"/>
              <w:right w:val="single" w:sz="4" w:space="0" w:color="auto"/>
            </w:tcBorders>
            <w:shd w:val="clear" w:color="auto" w:fill="auto"/>
            <w:noWrap/>
            <w:hideMark/>
          </w:tcPr>
          <w:p w14:paraId="5BE6D18E"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абс</w:t>
            </w:r>
          </w:p>
        </w:tc>
        <w:tc>
          <w:tcPr>
            <w:tcW w:w="1559" w:type="dxa"/>
            <w:tcBorders>
              <w:top w:val="nil"/>
              <w:left w:val="nil"/>
              <w:bottom w:val="single" w:sz="4" w:space="0" w:color="auto"/>
              <w:right w:val="single" w:sz="4" w:space="0" w:color="auto"/>
            </w:tcBorders>
            <w:shd w:val="clear" w:color="auto" w:fill="auto"/>
            <w:noWrap/>
            <w:hideMark/>
          </w:tcPr>
          <w:p w14:paraId="41021ADD"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 100тыс нас</w:t>
            </w:r>
          </w:p>
        </w:tc>
      </w:tr>
      <w:tr w:rsidR="0066583A" w:rsidRPr="004135FE" w14:paraId="08EC18B6" w14:textId="77777777" w:rsidTr="00A42E92">
        <w:trPr>
          <w:trHeight w:val="315"/>
        </w:trPr>
        <w:tc>
          <w:tcPr>
            <w:tcW w:w="960" w:type="dxa"/>
            <w:tcBorders>
              <w:top w:val="nil"/>
              <w:left w:val="single" w:sz="4" w:space="0" w:color="auto"/>
              <w:bottom w:val="single" w:sz="4" w:space="0" w:color="auto"/>
              <w:right w:val="single" w:sz="4" w:space="0" w:color="auto"/>
            </w:tcBorders>
            <w:shd w:val="clear" w:color="auto" w:fill="auto"/>
            <w:noWrap/>
            <w:hideMark/>
          </w:tcPr>
          <w:p w14:paraId="4B14034E"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2012</w:t>
            </w:r>
          </w:p>
        </w:tc>
        <w:tc>
          <w:tcPr>
            <w:tcW w:w="1167" w:type="dxa"/>
            <w:tcBorders>
              <w:top w:val="nil"/>
              <w:left w:val="nil"/>
              <w:bottom w:val="single" w:sz="4" w:space="0" w:color="auto"/>
              <w:right w:val="single" w:sz="4" w:space="0" w:color="auto"/>
            </w:tcBorders>
            <w:shd w:val="clear" w:color="000000" w:fill="FFFFFF"/>
            <w:hideMark/>
          </w:tcPr>
          <w:p w14:paraId="59CFAD63"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23025</w:t>
            </w:r>
          </w:p>
        </w:tc>
        <w:tc>
          <w:tcPr>
            <w:tcW w:w="1559" w:type="dxa"/>
            <w:tcBorders>
              <w:top w:val="nil"/>
              <w:left w:val="nil"/>
              <w:bottom w:val="single" w:sz="4" w:space="0" w:color="auto"/>
              <w:right w:val="single" w:sz="4" w:space="0" w:color="auto"/>
            </w:tcBorders>
            <w:shd w:val="clear" w:color="auto" w:fill="auto"/>
            <w:noWrap/>
            <w:hideMark/>
          </w:tcPr>
          <w:p w14:paraId="0F3B97F1"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1654,95</w:t>
            </w:r>
          </w:p>
        </w:tc>
        <w:tc>
          <w:tcPr>
            <w:tcW w:w="1055" w:type="dxa"/>
            <w:tcBorders>
              <w:top w:val="nil"/>
              <w:left w:val="nil"/>
              <w:bottom w:val="single" w:sz="4" w:space="0" w:color="auto"/>
              <w:right w:val="single" w:sz="4" w:space="0" w:color="auto"/>
            </w:tcBorders>
            <w:shd w:val="clear" w:color="000000" w:fill="FFFFFF"/>
            <w:hideMark/>
          </w:tcPr>
          <w:p w14:paraId="7C40BE61"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7099</w:t>
            </w:r>
          </w:p>
        </w:tc>
        <w:tc>
          <w:tcPr>
            <w:tcW w:w="1701" w:type="dxa"/>
            <w:tcBorders>
              <w:top w:val="nil"/>
              <w:left w:val="nil"/>
              <w:bottom w:val="single" w:sz="4" w:space="0" w:color="auto"/>
              <w:right w:val="single" w:sz="4" w:space="0" w:color="auto"/>
            </w:tcBorders>
            <w:shd w:val="clear" w:color="auto" w:fill="auto"/>
            <w:noWrap/>
            <w:hideMark/>
          </w:tcPr>
          <w:p w14:paraId="5AD49A87"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510,25</w:t>
            </w:r>
          </w:p>
        </w:tc>
        <w:tc>
          <w:tcPr>
            <w:tcW w:w="1365" w:type="dxa"/>
            <w:tcBorders>
              <w:top w:val="nil"/>
              <w:left w:val="nil"/>
              <w:bottom w:val="single" w:sz="4" w:space="0" w:color="auto"/>
              <w:right w:val="single" w:sz="4" w:space="0" w:color="auto"/>
            </w:tcBorders>
            <w:shd w:val="clear" w:color="auto" w:fill="auto"/>
            <w:hideMark/>
          </w:tcPr>
          <w:p w14:paraId="293920A9"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15926</w:t>
            </w:r>
          </w:p>
        </w:tc>
        <w:tc>
          <w:tcPr>
            <w:tcW w:w="1559" w:type="dxa"/>
            <w:tcBorders>
              <w:top w:val="nil"/>
              <w:left w:val="nil"/>
              <w:bottom w:val="single" w:sz="4" w:space="0" w:color="auto"/>
              <w:right w:val="single" w:sz="4" w:space="0" w:color="auto"/>
            </w:tcBorders>
            <w:shd w:val="clear" w:color="auto" w:fill="auto"/>
            <w:noWrap/>
            <w:hideMark/>
          </w:tcPr>
          <w:p w14:paraId="0FA6B14A"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1144,7</w:t>
            </w:r>
          </w:p>
        </w:tc>
      </w:tr>
      <w:tr w:rsidR="0066583A" w:rsidRPr="004135FE" w14:paraId="37BF3DCC" w14:textId="77777777" w:rsidTr="00A42E92">
        <w:trPr>
          <w:trHeight w:val="315"/>
        </w:trPr>
        <w:tc>
          <w:tcPr>
            <w:tcW w:w="960" w:type="dxa"/>
            <w:tcBorders>
              <w:top w:val="nil"/>
              <w:left w:val="single" w:sz="4" w:space="0" w:color="auto"/>
              <w:bottom w:val="single" w:sz="4" w:space="0" w:color="auto"/>
              <w:right w:val="single" w:sz="4" w:space="0" w:color="auto"/>
            </w:tcBorders>
            <w:shd w:val="clear" w:color="auto" w:fill="auto"/>
            <w:noWrap/>
            <w:hideMark/>
          </w:tcPr>
          <w:p w14:paraId="647CB3C4"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2013</w:t>
            </w:r>
          </w:p>
        </w:tc>
        <w:tc>
          <w:tcPr>
            <w:tcW w:w="1167" w:type="dxa"/>
            <w:tcBorders>
              <w:top w:val="nil"/>
              <w:left w:val="nil"/>
              <w:bottom w:val="single" w:sz="4" w:space="0" w:color="auto"/>
              <w:right w:val="single" w:sz="4" w:space="0" w:color="auto"/>
            </w:tcBorders>
            <w:shd w:val="clear" w:color="000000" w:fill="FFFFFF"/>
            <w:hideMark/>
          </w:tcPr>
          <w:p w14:paraId="1F094224"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24520</w:t>
            </w:r>
          </w:p>
        </w:tc>
        <w:tc>
          <w:tcPr>
            <w:tcW w:w="1559" w:type="dxa"/>
            <w:tcBorders>
              <w:top w:val="nil"/>
              <w:left w:val="nil"/>
              <w:bottom w:val="single" w:sz="4" w:space="0" w:color="auto"/>
              <w:right w:val="single" w:sz="4" w:space="0" w:color="auto"/>
            </w:tcBorders>
            <w:shd w:val="clear" w:color="auto" w:fill="auto"/>
            <w:noWrap/>
            <w:hideMark/>
          </w:tcPr>
          <w:p w14:paraId="413B340C"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1733,77</w:t>
            </w:r>
          </w:p>
        </w:tc>
        <w:tc>
          <w:tcPr>
            <w:tcW w:w="1055" w:type="dxa"/>
            <w:tcBorders>
              <w:top w:val="nil"/>
              <w:left w:val="nil"/>
              <w:bottom w:val="single" w:sz="4" w:space="0" w:color="auto"/>
              <w:right w:val="single" w:sz="4" w:space="0" w:color="auto"/>
            </w:tcBorders>
            <w:shd w:val="clear" w:color="auto" w:fill="auto"/>
            <w:hideMark/>
          </w:tcPr>
          <w:p w14:paraId="17488974"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7634</w:t>
            </w:r>
          </w:p>
        </w:tc>
        <w:tc>
          <w:tcPr>
            <w:tcW w:w="1701" w:type="dxa"/>
            <w:tcBorders>
              <w:top w:val="nil"/>
              <w:left w:val="nil"/>
              <w:bottom w:val="single" w:sz="4" w:space="0" w:color="auto"/>
              <w:right w:val="single" w:sz="4" w:space="0" w:color="auto"/>
            </w:tcBorders>
            <w:shd w:val="clear" w:color="auto" w:fill="auto"/>
            <w:noWrap/>
            <w:hideMark/>
          </w:tcPr>
          <w:p w14:paraId="54CDD97E"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539,79</w:t>
            </w:r>
          </w:p>
        </w:tc>
        <w:tc>
          <w:tcPr>
            <w:tcW w:w="1365" w:type="dxa"/>
            <w:tcBorders>
              <w:top w:val="nil"/>
              <w:left w:val="nil"/>
              <w:bottom w:val="single" w:sz="4" w:space="0" w:color="auto"/>
              <w:right w:val="single" w:sz="4" w:space="0" w:color="auto"/>
            </w:tcBorders>
            <w:shd w:val="clear" w:color="auto" w:fill="auto"/>
            <w:hideMark/>
          </w:tcPr>
          <w:p w14:paraId="781D9302"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16886</w:t>
            </w:r>
          </w:p>
        </w:tc>
        <w:tc>
          <w:tcPr>
            <w:tcW w:w="1559" w:type="dxa"/>
            <w:tcBorders>
              <w:top w:val="nil"/>
              <w:left w:val="nil"/>
              <w:bottom w:val="single" w:sz="4" w:space="0" w:color="auto"/>
              <w:right w:val="single" w:sz="4" w:space="0" w:color="auto"/>
            </w:tcBorders>
            <w:shd w:val="clear" w:color="auto" w:fill="auto"/>
            <w:noWrap/>
            <w:hideMark/>
          </w:tcPr>
          <w:p w14:paraId="219DA492"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1193,98</w:t>
            </w:r>
          </w:p>
        </w:tc>
      </w:tr>
      <w:tr w:rsidR="0066583A" w:rsidRPr="004135FE" w14:paraId="1ED68A76" w14:textId="77777777" w:rsidTr="00A42E92">
        <w:trPr>
          <w:trHeight w:val="315"/>
        </w:trPr>
        <w:tc>
          <w:tcPr>
            <w:tcW w:w="960" w:type="dxa"/>
            <w:tcBorders>
              <w:top w:val="nil"/>
              <w:left w:val="single" w:sz="4" w:space="0" w:color="auto"/>
              <w:bottom w:val="single" w:sz="4" w:space="0" w:color="auto"/>
              <w:right w:val="single" w:sz="4" w:space="0" w:color="auto"/>
            </w:tcBorders>
            <w:shd w:val="clear" w:color="auto" w:fill="auto"/>
            <w:noWrap/>
            <w:hideMark/>
          </w:tcPr>
          <w:p w14:paraId="3EB27CE6"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2014</w:t>
            </w:r>
          </w:p>
        </w:tc>
        <w:tc>
          <w:tcPr>
            <w:tcW w:w="1167" w:type="dxa"/>
            <w:tcBorders>
              <w:top w:val="nil"/>
              <w:left w:val="nil"/>
              <w:bottom w:val="single" w:sz="4" w:space="0" w:color="auto"/>
              <w:right w:val="single" w:sz="4" w:space="0" w:color="auto"/>
            </w:tcBorders>
            <w:shd w:val="clear" w:color="000000" w:fill="FFFFFF"/>
            <w:hideMark/>
          </w:tcPr>
          <w:p w14:paraId="606E4976"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26044</w:t>
            </w:r>
          </w:p>
        </w:tc>
        <w:tc>
          <w:tcPr>
            <w:tcW w:w="1559" w:type="dxa"/>
            <w:tcBorders>
              <w:top w:val="nil"/>
              <w:left w:val="nil"/>
              <w:bottom w:val="single" w:sz="4" w:space="0" w:color="auto"/>
              <w:right w:val="single" w:sz="4" w:space="0" w:color="auto"/>
            </w:tcBorders>
            <w:shd w:val="clear" w:color="auto" w:fill="auto"/>
            <w:noWrap/>
            <w:hideMark/>
          </w:tcPr>
          <w:p w14:paraId="02051FC5"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1644,1</w:t>
            </w:r>
          </w:p>
        </w:tc>
        <w:tc>
          <w:tcPr>
            <w:tcW w:w="1055" w:type="dxa"/>
            <w:tcBorders>
              <w:top w:val="nil"/>
              <w:left w:val="nil"/>
              <w:bottom w:val="single" w:sz="4" w:space="0" w:color="auto"/>
              <w:right w:val="single" w:sz="4" w:space="0" w:color="auto"/>
            </w:tcBorders>
            <w:shd w:val="clear" w:color="000000" w:fill="FFFFFF"/>
            <w:hideMark/>
          </w:tcPr>
          <w:p w14:paraId="19A06B43"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8204</w:t>
            </w:r>
          </w:p>
        </w:tc>
        <w:tc>
          <w:tcPr>
            <w:tcW w:w="1701" w:type="dxa"/>
            <w:tcBorders>
              <w:top w:val="nil"/>
              <w:left w:val="nil"/>
              <w:bottom w:val="single" w:sz="4" w:space="0" w:color="auto"/>
              <w:right w:val="single" w:sz="4" w:space="0" w:color="auto"/>
            </w:tcBorders>
            <w:shd w:val="clear" w:color="auto" w:fill="auto"/>
            <w:noWrap/>
            <w:hideMark/>
          </w:tcPr>
          <w:p w14:paraId="3A3FA0A4"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517,9</w:t>
            </w:r>
          </w:p>
        </w:tc>
        <w:tc>
          <w:tcPr>
            <w:tcW w:w="1365" w:type="dxa"/>
            <w:tcBorders>
              <w:top w:val="nil"/>
              <w:left w:val="nil"/>
              <w:bottom w:val="single" w:sz="4" w:space="0" w:color="auto"/>
              <w:right w:val="single" w:sz="4" w:space="0" w:color="auto"/>
            </w:tcBorders>
            <w:shd w:val="clear" w:color="auto" w:fill="auto"/>
            <w:hideMark/>
          </w:tcPr>
          <w:p w14:paraId="36028002"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17840</w:t>
            </w:r>
          </w:p>
        </w:tc>
        <w:tc>
          <w:tcPr>
            <w:tcW w:w="1559" w:type="dxa"/>
            <w:tcBorders>
              <w:top w:val="nil"/>
              <w:left w:val="nil"/>
              <w:bottom w:val="single" w:sz="4" w:space="0" w:color="auto"/>
              <w:right w:val="single" w:sz="4" w:space="0" w:color="auto"/>
            </w:tcBorders>
            <w:shd w:val="clear" w:color="auto" w:fill="auto"/>
            <w:noWrap/>
            <w:hideMark/>
          </w:tcPr>
          <w:p w14:paraId="18F58AB2"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1126,2</w:t>
            </w:r>
          </w:p>
        </w:tc>
      </w:tr>
      <w:tr w:rsidR="0066583A" w:rsidRPr="004135FE" w14:paraId="7B8CA09F" w14:textId="77777777" w:rsidTr="00A42E92">
        <w:trPr>
          <w:trHeight w:val="315"/>
        </w:trPr>
        <w:tc>
          <w:tcPr>
            <w:tcW w:w="960" w:type="dxa"/>
            <w:tcBorders>
              <w:top w:val="nil"/>
              <w:left w:val="single" w:sz="4" w:space="0" w:color="auto"/>
              <w:bottom w:val="single" w:sz="4" w:space="0" w:color="auto"/>
              <w:right w:val="single" w:sz="4" w:space="0" w:color="auto"/>
            </w:tcBorders>
            <w:shd w:val="clear" w:color="auto" w:fill="auto"/>
            <w:noWrap/>
            <w:hideMark/>
          </w:tcPr>
          <w:p w14:paraId="278A8266"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2015</w:t>
            </w:r>
          </w:p>
        </w:tc>
        <w:tc>
          <w:tcPr>
            <w:tcW w:w="1167" w:type="dxa"/>
            <w:tcBorders>
              <w:top w:val="nil"/>
              <w:left w:val="nil"/>
              <w:bottom w:val="single" w:sz="4" w:space="0" w:color="auto"/>
              <w:right w:val="single" w:sz="4" w:space="0" w:color="auto"/>
            </w:tcBorders>
            <w:shd w:val="clear" w:color="000000" w:fill="FFFFFF"/>
            <w:hideMark/>
          </w:tcPr>
          <w:p w14:paraId="07B93902"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26606</w:t>
            </w:r>
          </w:p>
        </w:tc>
        <w:tc>
          <w:tcPr>
            <w:tcW w:w="1559" w:type="dxa"/>
            <w:tcBorders>
              <w:top w:val="nil"/>
              <w:left w:val="nil"/>
              <w:bottom w:val="single" w:sz="4" w:space="0" w:color="auto"/>
              <w:right w:val="single" w:sz="4" w:space="0" w:color="auto"/>
            </w:tcBorders>
            <w:shd w:val="clear" w:color="auto" w:fill="auto"/>
            <w:noWrap/>
            <w:hideMark/>
          </w:tcPr>
          <w:p w14:paraId="67CCACCF"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1642,54</w:t>
            </w:r>
          </w:p>
        </w:tc>
        <w:tc>
          <w:tcPr>
            <w:tcW w:w="1055" w:type="dxa"/>
            <w:tcBorders>
              <w:top w:val="nil"/>
              <w:left w:val="nil"/>
              <w:bottom w:val="single" w:sz="4" w:space="0" w:color="auto"/>
              <w:right w:val="single" w:sz="4" w:space="0" w:color="auto"/>
            </w:tcBorders>
            <w:shd w:val="clear" w:color="000000" w:fill="FFFFFF"/>
            <w:hideMark/>
          </w:tcPr>
          <w:p w14:paraId="320E6C0C"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8370</w:t>
            </w:r>
          </w:p>
        </w:tc>
        <w:tc>
          <w:tcPr>
            <w:tcW w:w="1701" w:type="dxa"/>
            <w:tcBorders>
              <w:top w:val="nil"/>
              <w:left w:val="nil"/>
              <w:bottom w:val="single" w:sz="4" w:space="0" w:color="auto"/>
              <w:right w:val="single" w:sz="4" w:space="0" w:color="auto"/>
            </w:tcBorders>
            <w:shd w:val="clear" w:color="auto" w:fill="auto"/>
            <w:noWrap/>
            <w:hideMark/>
          </w:tcPr>
          <w:p w14:paraId="6E53E2F2"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516,73</w:t>
            </w:r>
          </w:p>
        </w:tc>
        <w:tc>
          <w:tcPr>
            <w:tcW w:w="1365" w:type="dxa"/>
            <w:tcBorders>
              <w:top w:val="nil"/>
              <w:left w:val="nil"/>
              <w:bottom w:val="single" w:sz="4" w:space="0" w:color="auto"/>
              <w:right w:val="single" w:sz="4" w:space="0" w:color="auto"/>
            </w:tcBorders>
            <w:shd w:val="clear" w:color="auto" w:fill="auto"/>
            <w:hideMark/>
          </w:tcPr>
          <w:p w14:paraId="23364EE8"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18236</w:t>
            </w:r>
          </w:p>
        </w:tc>
        <w:tc>
          <w:tcPr>
            <w:tcW w:w="1559" w:type="dxa"/>
            <w:tcBorders>
              <w:top w:val="nil"/>
              <w:left w:val="nil"/>
              <w:bottom w:val="single" w:sz="4" w:space="0" w:color="auto"/>
              <w:right w:val="single" w:sz="4" w:space="0" w:color="auto"/>
            </w:tcBorders>
            <w:shd w:val="clear" w:color="auto" w:fill="auto"/>
            <w:noWrap/>
            <w:hideMark/>
          </w:tcPr>
          <w:p w14:paraId="757DF0D2"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1125,81</w:t>
            </w:r>
          </w:p>
        </w:tc>
      </w:tr>
      <w:tr w:rsidR="0066583A" w:rsidRPr="004135FE" w14:paraId="2A287EDC" w14:textId="77777777" w:rsidTr="00A42E92">
        <w:trPr>
          <w:trHeight w:val="315"/>
        </w:trPr>
        <w:tc>
          <w:tcPr>
            <w:tcW w:w="960" w:type="dxa"/>
            <w:tcBorders>
              <w:top w:val="nil"/>
              <w:left w:val="single" w:sz="4" w:space="0" w:color="auto"/>
              <w:bottom w:val="single" w:sz="4" w:space="0" w:color="auto"/>
              <w:right w:val="single" w:sz="4" w:space="0" w:color="auto"/>
            </w:tcBorders>
            <w:shd w:val="clear" w:color="auto" w:fill="auto"/>
            <w:noWrap/>
            <w:hideMark/>
          </w:tcPr>
          <w:p w14:paraId="5CFAE92C"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2016</w:t>
            </w:r>
          </w:p>
        </w:tc>
        <w:tc>
          <w:tcPr>
            <w:tcW w:w="1167" w:type="dxa"/>
            <w:tcBorders>
              <w:top w:val="nil"/>
              <w:left w:val="nil"/>
              <w:bottom w:val="single" w:sz="4" w:space="0" w:color="auto"/>
              <w:right w:val="single" w:sz="4" w:space="0" w:color="auto"/>
            </w:tcBorders>
            <w:shd w:val="clear" w:color="000000" w:fill="FFFFFF"/>
            <w:hideMark/>
          </w:tcPr>
          <w:p w14:paraId="20D02F1A"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30454</w:t>
            </w:r>
          </w:p>
        </w:tc>
        <w:tc>
          <w:tcPr>
            <w:tcW w:w="1559" w:type="dxa"/>
            <w:tcBorders>
              <w:top w:val="nil"/>
              <w:left w:val="nil"/>
              <w:bottom w:val="single" w:sz="4" w:space="0" w:color="auto"/>
              <w:right w:val="single" w:sz="4" w:space="0" w:color="auto"/>
            </w:tcBorders>
            <w:shd w:val="clear" w:color="auto" w:fill="auto"/>
            <w:noWrap/>
            <w:hideMark/>
          </w:tcPr>
          <w:p w14:paraId="6DABC46C"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1780</w:t>
            </w:r>
          </w:p>
        </w:tc>
        <w:tc>
          <w:tcPr>
            <w:tcW w:w="1055" w:type="dxa"/>
            <w:tcBorders>
              <w:top w:val="nil"/>
              <w:left w:val="nil"/>
              <w:bottom w:val="single" w:sz="4" w:space="0" w:color="auto"/>
              <w:right w:val="single" w:sz="4" w:space="0" w:color="auto"/>
            </w:tcBorders>
            <w:shd w:val="clear" w:color="000000" w:fill="FFFFFF"/>
            <w:hideMark/>
          </w:tcPr>
          <w:p w14:paraId="719B441D"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9753</w:t>
            </w:r>
          </w:p>
        </w:tc>
        <w:tc>
          <w:tcPr>
            <w:tcW w:w="1701" w:type="dxa"/>
            <w:tcBorders>
              <w:top w:val="nil"/>
              <w:left w:val="nil"/>
              <w:bottom w:val="single" w:sz="4" w:space="0" w:color="auto"/>
              <w:right w:val="single" w:sz="4" w:space="0" w:color="auto"/>
            </w:tcBorders>
            <w:shd w:val="clear" w:color="auto" w:fill="auto"/>
            <w:noWrap/>
            <w:hideMark/>
          </w:tcPr>
          <w:p w14:paraId="6C91077D"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570,05</w:t>
            </w:r>
          </w:p>
        </w:tc>
        <w:tc>
          <w:tcPr>
            <w:tcW w:w="1365" w:type="dxa"/>
            <w:tcBorders>
              <w:top w:val="nil"/>
              <w:left w:val="nil"/>
              <w:bottom w:val="single" w:sz="4" w:space="0" w:color="auto"/>
              <w:right w:val="single" w:sz="4" w:space="0" w:color="auto"/>
            </w:tcBorders>
            <w:shd w:val="clear" w:color="auto" w:fill="auto"/>
            <w:hideMark/>
          </w:tcPr>
          <w:p w14:paraId="12D94976"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20701</w:t>
            </w:r>
          </w:p>
        </w:tc>
        <w:tc>
          <w:tcPr>
            <w:tcW w:w="1559" w:type="dxa"/>
            <w:tcBorders>
              <w:top w:val="nil"/>
              <w:left w:val="nil"/>
              <w:bottom w:val="single" w:sz="4" w:space="0" w:color="auto"/>
              <w:right w:val="single" w:sz="4" w:space="0" w:color="auto"/>
            </w:tcBorders>
            <w:shd w:val="clear" w:color="auto" w:fill="auto"/>
            <w:noWrap/>
            <w:hideMark/>
          </w:tcPr>
          <w:p w14:paraId="34E401DE"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1209,95</w:t>
            </w:r>
          </w:p>
        </w:tc>
      </w:tr>
      <w:tr w:rsidR="0066583A" w:rsidRPr="004135FE" w14:paraId="42B8CD30" w14:textId="77777777" w:rsidTr="00A42E92">
        <w:trPr>
          <w:trHeight w:val="315"/>
        </w:trPr>
        <w:tc>
          <w:tcPr>
            <w:tcW w:w="960" w:type="dxa"/>
            <w:tcBorders>
              <w:top w:val="nil"/>
              <w:left w:val="single" w:sz="4" w:space="0" w:color="auto"/>
              <w:bottom w:val="single" w:sz="4" w:space="0" w:color="auto"/>
              <w:right w:val="single" w:sz="4" w:space="0" w:color="auto"/>
            </w:tcBorders>
            <w:shd w:val="clear" w:color="auto" w:fill="auto"/>
            <w:noWrap/>
            <w:hideMark/>
          </w:tcPr>
          <w:p w14:paraId="6E979643"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2017</w:t>
            </w:r>
          </w:p>
        </w:tc>
        <w:tc>
          <w:tcPr>
            <w:tcW w:w="1167" w:type="dxa"/>
            <w:tcBorders>
              <w:top w:val="nil"/>
              <w:left w:val="nil"/>
              <w:bottom w:val="single" w:sz="4" w:space="0" w:color="auto"/>
              <w:right w:val="single" w:sz="4" w:space="0" w:color="auto"/>
            </w:tcBorders>
            <w:shd w:val="clear" w:color="000000" w:fill="FFFFFF"/>
            <w:hideMark/>
          </w:tcPr>
          <w:p w14:paraId="486C6819"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32233</w:t>
            </w:r>
          </w:p>
        </w:tc>
        <w:tc>
          <w:tcPr>
            <w:tcW w:w="1559" w:type="dxa"/>
            <w:tcBorders>
              <w:top w:val="nil"/>
              <w:left w:val="nil"/>
              <w:bottom w:val="single" w:sz="4" w:space="0" w:color="auto"/>
              <w:right w:val="single" w:sz="4" w:space="0" w:color="auto"/>
            </w:tcBorders>
            <w:shd w:val="clear" w:color="auto" w:fill="auto"/>
            <w:noWrap/>
            <w:hideMark/>
          </w:tcPr>
          <w:p w14:paraId="01E26652"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1751,7</w:t>
            </w:r>
          </w:p>
        </w:tc>
        <w:tc>
          <w:tcPr>
            <w:tcW w:w="1055" w:type="dxa"/>
            <w:tcBorders>
              <w:top w:val="nil"/>
              <w:left w:val="nil"/>
              <w:bottom w:val="single" w:sz="4" w:space="0" w:color="auto"/>
              <w:right w:val="single" w:sz="4" w:space="0" w:color="auto"/>
            </w:tcBorders>
            <w:shd w:val="clear" w:color="000000" w:fill="FFFFFF"/>
            <w:hideMark/>
          </w:tcPr>
          <w:p w14:paraId="657C0618"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10531</w:t>
            </w:r>
          </w:p>
        </w:tc>
        <w:tc>
          <w:tcPr>
            <w:tcW w:w="1701" w:type="dxa"/>
            <w:tcBorders>
              <w:top w:val="nil"/>
              <w:left w:val="nil"/>
              <w:bottom w:val="single" w:sz="4" w:space="0" w:color="auto"/>
              <w:right w:val="single" w:sz="4" w:space="0" w:color="auto"/>
            </w:tcBorders>
            <w:shd w:val="clear" w:color="auto" w:fill="auto"/>
            <w:noWrap/>
            <w:hideMark/>
          </w:tcPr>
          <w:p w14:paraId="6202AA4D"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572,31</w:t>
            </w:r>
          </w:p>
        </w:tc>
        <w:tc>
          <w:tcPr>
            <w:tcW w:w="1365" w:type="dxa"/>
            <w:tcBorders>
              <w:top w:val="nil"/>
              <w:left w:val="nil"/>
              <w:bottom w:val="single" w:sz="4" w:space="0" w:color="auto"/>
              <w:right w:val="single" w:sz="4" w:space="0" w:color="auto"/>
            </w:tcBorders>
            <w:shd w:val="clear" w:color="auto" w:fill="auto"/>
            <w:hideMark/>
          </w:tcPr>
          <w:p w14:paraId="1B4C25D0"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21702</w:t>
            </w:r>
          </w:p>
        </w:tc>
        <w:tc>
          <w:tcPr>
            <w:tcW w:w="1559" w:type="dxa"/>
            <w:tcBorders>
              <w:top w:val="nil"/>
              <w:left w:val="nil"/>
              <w:bottom w:val="single" w:sz="4" w:space="0" w:color="auto"/>
              <w:right w:val="single" w:sz="4" w:space="0" w:color="auto"/>
            </w:tcBorders>
            <w:shd w:val="clear" w:color="auto" w:fill="auto"/>
            <w:noWrap/>
            <w:hideMark/>
          </w:tcPr>
          <w:p w14:paraId="53536E3C"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1179,39</w:t>
            </w:r>
          </w:p>
        </w:tc>
      </w:tr>
      <w:tr w:rsidR="0066583A" w:rsidRPr="004135FE" w14:paraId="7A433D25" w14:textId="77777777" w:rsidTr="00A42E92">
        <w:trPr>
          <w:trHeight w:val="315"/>
        </w:trPr>
        <w:tc>
          <w:tcPr>
            <w:tcW w:w="960" w:type="dxa"/>
            <w:tcBorders>
              <w:top w:val="nil"/>
              <w:left w:val="single" w:sz="4" w:space="0" w:color="auto"/>
              <w:bottom w:val="single" w:sz="4" w:space="0" w:color="auto"/>
              <w:right w:val="single" w:sz="4" w:space="0" w:color="auto"/>
            </w:tcBorders>
            <w:shd w:val="clear" w:color="auto" w:fill="auto"/>
            <w:noWrap/>
            <w:hideMark/>
          </w:tcPr>
          <w:p w14:paraId="46A478AA"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2018</w:t>
            </w:r>
          </w:p>
        </w:tc>
        <w:tc>
          <w:tcPr>
            <w:tcW w:w="1167" w:type="dxa"/>
            <w:tcBorders>
              <w:top w:val="nil"/>
              <w:left w:val="nil"/>
              <w:bottom w:val="single" w:sz="4" w:space="0" w:color="auto"/>
              <w:right w:val="single" w:sz="4" w:space="0" w:color="auto"/>
            </w:tcBorders>
            <w:shd w:val="clear" w:color="000000" w:fill="FFFFFF"/>
            <w:hideMark/>
          </w:tcPr>
          <w:p w14:paraId="2EB5DD83"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35914</w:t>
            </w:r>
          </w:p>
        </w:tc>
        <w:tc>
          <w:tcPr>
            <w:tcW w:w="1559" w:type="dxa"/>
            <w:tcBorders>
              <w:top w:val="nil"/>
              <w:left w:val="nil"/>
              <w:bottom w:val="single" w:sz="4" w:space="0" w:color="auto"/>
              <w:right w:val="single" w:sz="4" w:space="0" w:color="auto"/>
            </w:tcBorders>
            <w:shd w:val="clear" w:color="auto" w:fill="auto"/>
            <w:noWrap/>
            <w:hideMark/>
          </w:tcPr>
          <w:p w14:paraId="11FFB692"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1858,86</w:t>
            </w:r>
          </w:p>
        </w:tc>
        <w:tc>
          <w:tcPr>
            <w:tcW w:w="1055" w:type="dxa"/>
            <w:tcBorders>
              <w:top w:val="nil"/>
              <w:left w:val="nil"/>
              <w:bottom w:val="single" w:sz="4" w:space="0" w:color="auto"/>
              <w:right w:val="single" w:sz="4" w:space="0" w:color="auto"/>
            </w:tcBorders>
            <w:shd w:val="clear" w:color="000000" w:fill="FFFFFF"/>
            <w:hideMark/>
          </w:tcPr>
          <w:p w14:paraId="1A0BB990"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11875</w:t>
            </w:r>
          </w:p>
        </w:tc>
        <w:tc>
          <w:tcPr>
            <w:tcW w:w="1701" w:type="dxa"/>
            <w:tcBorders>
              <w:top w:val="nil"/>
              <w:left w:val="nil"/>
              <w:bottom w:val="single" w:sz="4" w:space="0" w:color="auto"/>
              <w:right w:val="single" w:sz="4" w:space="0" w:color="auto"/>
            </w:tcBorders>
            <w:shd w:val="clear" w:color="auto" w:fill="auto"/>
            <w:noWrap/>
            <w:hideMark/>
          </w:tcPr>
          <w:p w14:paraId="4EDA7778"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614,64</w:t>
            </w:r>
          </w:p>
        </w:tc>
        <w:tc>
          <w:tcPr>
            <w:tcW w:w="1365" w:type="dxa"/>
            <w:tcBorders>
              <w:top w:val="nil"/>
              <w:left w:val="nil"/>
              <w:bottom w:val="single" w:sz="4" w:space="0" w:color="auto"/>
              <w:right w:val="single" w:sz="4" w:space="0" w:color="auto"/>
            </w:tcBorders>
            <w:shd w:val="clear" w:color="auto" w:fill="auto"/>
            <w:hideMark/>
          </w:tcPr>
          <w:p w14:paraId="2E260C3D"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24039</w:t>
            </w:r>
          </w:p>
        </w:tc>
        <w:tc>
          <w:tcPr>
            <w:tcW w:w="1559" w:type="dxa"/>
            <w:tcBorders>
              <w:top w:val="nil"/>
              <w:left w:val="nil"/>
              <w:bottom w:val="single" w:sz="4" w:space="0" w:color="auto"/>
              <w:right w:val="single" w:sz="4" w:space="0" w:color="auto"/>
            </w:tcBorders>
            <w:shd w:val="clear" w:color="auto" w:fill="auto"/>
            <w:noWrap/>
            <w:hideMark/>
          </w:tcPr>
          <w:p w14:paraId="04B04B3E"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1244,23</w:t>
            </w:r>
          </w:p>
        </w:tc>
      </w:tr>
      <w:tr w:rsidR="0066583A" w:rsidRPr="004135FE" w14:paraId="69A6A479" w14:textId="77777777" w:rsidTr="00A42E92">
        <w:trPr>
          <w:trHeight w:val="315"/>
        </w:trPr>
        <w:tc>
          <w:tcPr>
            <w:tcW w:w="960" w:type="dxa"/>
            <w:tcBorders>
              <w:top w:val="nil"/>
              <w:left w:val="single" w:sz="4" w:space="0" w:color="auto"/>
              <w:bottom w:val="single" w:sz="4" w:space="0" w:color="auto"/>
              <w:right w:val="single" w:sz="4" w:space="0" w:color="auto"/>
            </w:tcBorders>
            <w:shd w:val="clear" w:color="auto" w:fill="auto"/>
            <w:noWrap/>
            <w:hideMark/>
          </w:tcPr>
          <w:p w14:paraId="008DBA6B"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2019</w:t>
            </w:r>
          </w:p>
        </w:tc>
        <w:tc>
          <w:tcPr>
            <w:tcW w:w="1167" w:type="dxa"/>
            <w:tcBorders>
              <w:top w:val="nil"/>
              <w:left w:val="nil"/>
              <w:bottom w:val="single" w:sz="4" w:space="0" w:color="auto"/>
              <w:right w:val="single" w:sz="4" w:space="0" w:color="auto"/>
            </w:tcBorders>
            <w:shd w:val="clear" w:color="000000" w:fill="FFFFFF"/>
            <w:hideMark/>
          </w:tcPr>
          <w:p w14:paraId="583545A7"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40506</w:t>
            </w:r>
          </w:p>
        </w:tc>
        <w:tc>
          <w:tcPr>
            <w:tcW w:w="1559" w:type="dxa"/>
            <w:tcBorders>
              <w:top w:val="nil"/>
              <w:left w:val="nil"/>
              <w:bottom w:val="single" w:sz="4" w:space="0" w:color="auto"/>
              <w:right w:val="single" w:sz="4" w:space="0" w:color="auto"/>
            </w:tcBorders>
            <w:shd w:val="clear" w:color="auto" w:fill="auto"/>
            <w:noWrap/>
            <w:hideMark/>
          </w:tcPr>
          <w:p w14:paraId="0EBE0D03"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2004,13</w:t>
            </w:r>
          </w:p>
        </w:tc>
        <w:tc>
          <w:tcPr>
            <w:tcW w:w="1055" w:type="dxa"/>
            <w:tcBorders>
              <w:top w:val="nil"/>
              <w:left w:val="nil"/>
              <w:bottom w:val="single" w:sz="4" w:space="0" w:color="auto"/>
              <w:right w:val="single" w:sz="4" w:space="0" w:color="auto"/>
            </w:tcBorders>
            <w:shd w:val="clear" w:color="000000" w:fill="FFFFFF"/>
            <w:hideMark/>
          </w:tcPr>
          <w:p w14:paraId="2C05D5E7"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13629</w:t>
            </w:r>
          </w:p>
        </w:tc>
        <w:tc>
          <w:tcPr>
            <w:tcW w:w="1701" w:type="dxa"/>
            <w:tcBorders>
              <w:top w:val="nil"/>
              <w:left w:val="nil"/>
              <w:bottom w:val="single" w:sz="4" w:space="0" w:color="auto"/>
              <w:right w:val="single" w:sz="4" w:space="0" w:color="auto"/>
            </w:tcBorders>
            <w:shd w:val="clear" w:color="auto" w:fill="auto"/>
            <w:noWrap/>
            <w:hideMark/>
          </w:tcPr>
          <w:p w14:paraId="76EBC007"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674,33</w:t>
            </w:r>
          </w:p>
        </w:tc>
        <w:tc>
          <w:tcPr>
            <w:tcW w:w="1365" w:type="dxa"/>
            <w:tcBorders>
              <w:top w:val="nil"/>
              <w:left w:val="nil"/>
              <w:bottom w:val="single" w:sz="4" w:space="0" w:color="auto"/>
              <w:right w:val="single" w:sz="4" w:space="0" w:color="auto"/>
            </w:tcBorders>
            <w:shd w:val="clear" w:color="auto" w:fill="auto"/>
            <w:hideMark/>
          </w:tcPr>
          <w:p w14:paraId="4D32C6D3"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26877</w:t>
            </w:r>
          </w:p>
        </w:tc>
        <w:tc>
          <w:tcPr>
            <w:tcW w:w="1559" w:type="dxa"/>
            <w:tcBorders>
              <w:top w:val="nil"/>
              <w:left w:val="nil"/>
              <w:bottom w:val="single" w:sz="4" w:space="0" w:color="auto"/>
              <w:right w:val="single" w:sz="4" w:space="0" w:color="auto"/>
            </w:tcBorders>
            <w:shd w:val="clear" w:color="auto" w:fill="auto"/>
            <w:noWrap/>
            <w:hideMark/>
          </w:tcPr>
          <w:p w14:paraId="30027747"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1329,8</w:t>
            </w:r>
          </w:p>
        </w:tc>
      </w:tr>
      <w:tr w:rsidR="0066583A" w:rsidRPr="004135FE" w14:paraId="4A4F4243" w14:textId="77777777" w:rsidTr="00A42E92">
        <w:trPr>
          <w:trHeight w:val="315"/>
        </w:trPr>
        <w:tc>
          <w:tcPr>
            <w:tcW w:w="960" w:type="dxa"/>
            <w:tcBorders>
              <w:top w:val="nil"/>
              <w:left w:val="single" w:sz="4" w:space="0" w:color="auto"/>
              <w:bottom w:val="single" w:sz="4" w:space="0" w:color="auto"/>
              <w:right w:val="single" w:sz="4" w:space="0" w:color="auto"/>
            </w:tcBorders>
            <w:shd w:val="clear" w:color="auto" w:fill="auto"/>
            <w:noWrap/>
            <w:hideMark/>
          </w:tcPr>
          <w:p w14:paraId="3900B350"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2020</w:t>
            </w:r>
          </w:p>
        </w:tc>
        <w:tc>
          <w:tcPr>
            <w:tcW w:w="1167" w:type="dxa"/>
            <w:tcBorders>
              <w:top w:val="nil"/>
              <w:left w:val="nil"/>
              <w:bottom w:val="single" w:sz="4" w:space="0" w:color="auto"/>
              <w:right w:val="single" w:sz="4" w:space="0" w:color="auto"/>
            </w:tcBorders>
            <w:shd w:val="clear" w:color="000000" w:fill="FFFFFF"/>
            <w:hideMark/>
          </w:tcPr>
          <w:p w14:paraId="6AEBD97A"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42334</w:t>
            </w:r>
          </w:p>
        </w:tc>
        <w:tc>
          <w:tcPr>
            <w:tcW w:w="1559" w:type="dxa"/>
            <w:tcBorders>
              <w:top w:val="nil"/>
              <w:left w:val="nil"/>
              <w:bottom w:val="single" w:sz="4" w:space="0" w:color="auto"/>
              <w:right w:val="single" w:sz="4" w:space="0" w:color="auto"/>
            </w:tcBorders>
            <w:shd w:val="clear" w:color="auto" w:fill="auto"/>
            <w:noWrap/>
            <w:hideMark/>
          </w:tcPr>
          <w:p w14:paraId="75032038"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2061,16</w:t>
            </w:r>
          </w:p>
        </w:tc>
        <w:tc>
          <w:tcPr>
            <w:tcW w:w="1055" w:type="dxa"/>
            <w:tcBorders>
              <w:top w:val="nil"/>
              <w:left w:val="nil"/>
              <w:bottom w:val="single" w:sz="4" w:space="0" w:color="auto"/>
              <w:right w:val="single" w:sz="4" w:space="0" w:color="auto"/>
            </w:tcBorders>
            <w:shd w:val="clear" w:color="000000" w:fill="FFFFFF"/>
            <w:hideMark/>
          </w:tcPr>
          <w:p w14:paraId="13F7EAC6"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14451</w:t>
            </w:r>
          </w:p>
        </w:tc>
        <w:tc>
          <w:tcPr>
            <w:tcW w:w="1701" w:type="dxa"/>
            <w:tcBorders>
              <w:top w:val="nil"/>
              <w:left w:val="nil"/>
              <w:bottom w:val="single" w:sz="4" w:space="0" w:color="auto"/>
              <w:right w:val="single" w:sz="4" w:space="0" w:color="auto"/>
            </w:tcBorders>
            <w:shd w:val="clear" w:color="auto" w:fill="auto"/>
            <w:noWrap/>
            <w:hideMark/>
          </w:tcPr>
          <w:p w14:paraId="28F66D19"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703,59</w:t>
            </w:r>
          </w:p>
        </w:tc>
        <w:tc>
          <w:tcPr>
            <w:tcW w:w="1365" w:type="dxa"/>
            <w:tcBorders>
              <w:top w:val="nil"/>
              <w:left w:val="nil"/>
              <w:bottom w:val="single" w:sz="4" w:space="0" w:color="auto"/>
              <w:right w:val="single" w:sz="4" w:space="0" w:color="auto"/>
            </w:tcBorders>
            <w:shd w:val="clear" w:color="auto" w:fill="auto"/>
            <w:hideMark/>
          </w:tcPr>
          <w:p w14:paraId="10C41048"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27883</w:t>
            </w:r>
          </w:p>
        </w:tc>
        <w:tc>
          <w:tcPr>
            <w:tcW w:w="1559" w:type="dxa"/>
            <w:tcBorders>
              <w:top w:val="nil"/>
              <w:left w:val="nil"/>
              <w:bottom w:val="single" w:sz="4" w:space="0" w:color="auto"/>
              <w:right w:val="single" w:sz="4" w:space="0" w:color="auto"/>
            </w:tcBorders>
            <w:shd w:val="clear" w:color="auto" w:fill="auto"/>
            <w:noWrap/>
            <w:hideMark/>
          </w:tcPr>
          <w:p w14:paraId="4CB15679"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1357,57</w:t>
            </w:r>
          </w:p>
        </w:tc>
      </w:tr>
      <w:tr w:rsidR="0066583A" w:rsidRPr="004135FE" w14:paraId="1630843F" w14:textId="77777777" w:rsidTr="00A42E92">
        <w:trPr>
          <w:trHeight w:val="315"/>
        </w:trPr>
        <w:tc>
          <w:tcPr>
            <w:tcW w:w="960" w:type="dxa"/>
            <w:tcBorders>
              <w:top w:val="nil"/>
              <w:left w:val="single" w:sz="4" w:space="0" w:color="auto"/>
              <w:bottom w:val="single" w:sz="4" w:space="0" w:color="auto"/>
              <w:right w:val="single" w:sz="4" w:space="0" w:color="auto"/>
            </w:tcBorders>
            <w:shd w:val="clear" w:color="auto" w:fill="auto"/>
            <w:noWrap/>
            <w:hideMark/>
          </w:tcPr>
          <w:p w14:paraId="5DADEA2A"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2021</w:t>
            </w:r>
          </w:p>
        </w:tc>
        <w:tc>
          <w:tcPr>
            <w:tcW w:w="1167" w:type="dxa"/>
            <w:tcBorders>
              <w:top w:val="nil"/>
              <w:left w:val="nil"/>
              <w:bottom w:val="single" w:sz="4" w:space="0" w:color="auto"/>
              <w:right w:val="single" w:sz="4" w:space="0" w:color="auto"/>
            </w:tcBorders>
            <w:shd w:val="clear" w:color="000000" w:fill="FFFFFF"/>
            <w:hideMark/>
          </w:tcPr>
          <w:p w14:paraId="73FD47B0"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44728</w:t>
            </w:r>
          </w:p>
        </w:tc>
        <w:tc>
          <w:tcPr>
            <w:tcW w:w="1559" w:type="dxa"/>
            <w:tcBorders>
              <w:top w:val="nil"/>
              <w:left w:val="nil"/>
              <w:bottom w:val="single" w:sz="4" w:space="0" w:color="auto"/>
              <w:right w:val="single" w:sz="4" w:space="0" w:color="auto"/>
            </w:tcBorders>
            <w:shd w:val="clear" w:color="auto" w:fill="auto"/>
            <w:noWrap/>
            <w:hideMark/>
          </w:tcPr>
          <w:p w14:paraId="56B4237F"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2098,79</w:t>
            </w:r>
          </w:p>
        </w:tc>
        <w:tc>
          <w:tcPr>
            <w:tcW w:w="1055" w:type="dxa"/>
            <w:tcBorders>
              <w:top w:val="nil"/>
              <w:left w:val="nil"/>
              <w:bottom w:val="single" w:sz="4" w:space="0" w:color="auto"/>
              <w:right w:val="single" w:sz="4" w:space="0" w:color="auto"/>
            </w:tcBorders>
            <w:shd w:val="clear" w:color="000000" w:fill="FFFFFF"/>
            <w:hideMark/>
          </w:tcPr>
          <w:p w14:paraId="57C2A304"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15424</w:t>
            </w:r>
          </w:p>
        </w:tc>
        <w:tc>
          <w:tcPr>
            <w:tcW w:w="1701" w:type="dxa"/>
            <w:tcBorders>
              <w:top w:val="nil"/>
              <w:left w:val="nil"/>
              <w:bottom w:val="single" w:sz="4" w:space="0" w:color="auto"/>
              <w:right w:val="single" w:sz="4" w:space="0" w:color="auto"/>
            </w:tcBorders>
            <w:shd w:val="clear" w:color="auto" w:fill="auto"/>
            <w:noWrap/>
            <w:hideMark/>
          </w:tcPr>
          <w:p w14:paraId="60F4AF29"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723,75</w:t>
            </w:r>
          </w:p>
        </w:tc>
        <w:tc>
          <w:tcPr>
            <w:tcW w:w="1365" w:type="dxa"/>
            <w:tcBorders>
              <w:top w:val="nil"/>
              <w:left w:val="nil"/>
              <w:bottom w:val="single" w:sz="4" w:space="0" w:color="auto"/>
              <w:right w:val="single" w:sz="4" w:space="0" w:color="auto"/>
            </w:tcBorders>
            <w:shd w:val="clear" w:color="auto" w:fill="auto"/>
            <w:hideMark/>
          </w:tcPr>
          <w:p w14:paraId="25F0A883"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29304</w:t>
            </w:r>
          </w:p>
        </w:tc>
        <w:tc>
          <w:tcPr>
            <w:tcW w:w="1559" w:type="dxa"/>
            <w:tcBorders>
              <w:top w:val="nil"/>
              <w:left w:val="nil"/>
              <w:bottom w:val="single" w:sz="4" w:space="0" w:color="auto"/>
              <w:right w:val="single" w:sz="4" w:space="0" w:color="auto"/>
            </w:tcBorders>
            <w:shd w:val="clear" w:color="auto" w:fill="auto"/>
            <w:noWrap/>
            <w:hideMark/>
          </w:tcPr>
          <w:p w14:paraId="1C7D83A8" w14:textId="77777777" w:rsidR="0066583A" w:rsidRPr="004135FE" w:rsidRDefault="0066583A"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1375,05</w:t>
            </w:r>
          </w:p>
        </w:tc>
      </w:tr>
    </w:tbl>
    <w:p w14:paraId="0C6E15E5" w14:textId="3E846B02" w:rsidR="007A0421" w:rsidRPr="004135FE" w:rsidRDefault="007A0421" w:rsidP="004135FE">
      <w:pPr>
        <w:spacing w:after="0" w:line="240" w:lineRule="auto"/>
        <w:jc w:val="both"/>
        <w:rPr>
          <w:rFonts w:ascii="Times New Roman" w:eastAsia="Times New Roman" w:hAnsi="Times New Roman" w:cs="Times New Roman"/>
          <w:sz w:val="28"/>
          <w:szCs w:val="28"/>
        </w:rPr>
      </w:pPr>
    </w:p>
    <w:p w14:paraId="78DDAD5B" w14:textId="12E027FB" w:rsidR="0066583A" w:rsidRPr="004135FE" w:rsidRDefault="0066583A" w:rsidP="004135FE">
      <w:pPr>
        <w:spacing w:after="0" w:line="240" w:lineRule="auto"/>
        <w:ind w:firstLine="567"/>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lastRenderedPageBreak/>
        <w:t>В Наурызбайском районе статистические данные охватывают пациентов с СД2т за 7</w:t>
      </w:r>
      <w:r w:rsidR="00543D8E" w:rsidRPr="004135FE">
        <w:rPr>
          <w:rFonts w:ascii="Times New Roman" w:eastAsia="Times New Roman" w:hAnsi="Times New Roman" w:cs="Times New Roman"/>
          <w:sz w:val="28"/>
          <w:szCs w:val="28"/>
        </w:rPr>
        <w:t xml:space="preserve"> </w:t>
      </w:r>
      <w:r w:rsidR="001C43BE" w:rsidRPr="004135FE">
        <w:rPr>
          <w:rFonts w:ascii="Times New Roman" w:eastAsia="Times New Roman" w:hAnsi="Times New Roman" w:cs="Times New Roman"/>
          <w:sz w:val="28"/>
          <w:szCs w:val="28"/>
        </w:rPr>
        <w:t xml:space="preserve">лет, в связи административно территориальному делению между городом и областью. </w:t>
      </w:r>
      <w:r w:rsidRPr="004135FE">
        <w:rPr>
          <w:rFonts w:ascii="Times New Roman" w:hAnsi="Times New Roman" w:cs="Times New Roman"/>
          <w:sz w:val="28"/>
          <w:szCs w:val="28"/>
        </w:rPr>
        <w:t>Остальные показатели районов представлены за 10 лет.</w:t>
      </w:r>
    </w:p>
    <w:p w14:paraId="77888AE6" w14:textId="1B4C5E63" w:rsidR="001C43BE" w:rsidRPr="004135FE" w:rsidRDefault="0066583A" w:rsidP="004135FE">
      <w:pPr>
        <w:spacing w:after="0" w:line="240" w:lineRule="auto"/>
        <w:ind w:firstLine="567"/>
        <w:jc w:val="both"/>
        <w:rPr>
          <w:rFonts w:ascii="Times New Roman" w:hAnsi="Times New Roman" w:cs="Times New Roman"/>
          <w:sz w:val="28"/>
          <w:szCs w:val="28"/>
        </w:rPr>
      </w:pPr>
      <w:r w:rsidRPr="004135FE">
        <w:rPr>
          <w:rFonts w:ascii="Times New Roman" w:hAnsi="Times New Roman" w:cs="Times New Roman"/>
          <w:sz w:val="28"/>
          <w:szCs w:val="28"/>
        </w:rPr>
        <w:t>Распространенность СД2т за период с начала введения</w:t>
      </w:r>
      <w:r w:rsidR="001C43BE" w:rsidRPr="004135FE">
        <w:rPr>
          <w:rFonts w:ascii="Times New Roman" w:hAnsi="Times New Roman" w:cs="Times New Roman"/>
          <w:sz w:val="28"/>
          <w:szCs w:val="28"/>
        </w:rPr>
        <w:t xml:space="preserve"> НРСД</w:t>
      </w:r>
      <w:r w:rsidRPr="004135FE">
        <w:rPr>
          <w:rFonts w:ascii="Times New Roman" w:hAnsi="Times New Roman" w:cs="Times New Roman"/>
          <w:sz w:val="28"/>
          <w:szCs w:val="28"/>
        </w:rPr>
        <w:t xml:space="preserve"> </w:t>
      </w:r>
      <w:r w:rsidR="001C43BE" w:rsidRPr="004135FE">
        <w:rPr>
          <w:rFonts w:ascii="Times New Roman" w:hAnsi="Times New Roman" w:cs="Times New Roman"/>
          <w:sz w:val="28"/>
          <w:szCs w:val="28"/>
        </w:rPr>
        <w:t xml:space="preserve">до 2021г имеет тенденцию роста среди обоих полов </w:t>
      </w:r>
      <w:r w:rsidR="00037BCC" w:rsidRPr="004135FE">
        <w:rPr>
          <w:rFonts w:ascii="Times New Roman" w:hAnsi="Times New Roman" w:cs="Times New Roman"/>
          <w:sz w:val="28"/>
          <w:szCs w:val="28"/>
        </w:rPr>
        <w:t xml:space="preserve">населения </w:t>
      </w:r>
      <w:r w:rsidR="001C43BE" w:rsidRPr="004135FE">
        <w:rPr>
          <w:rFonts w:ascii="Times New Roman" w:hAnsi="Times New Roman" w:cs="Times New Roman"/>
          <w:sz w:val="28"/>
          <w:szCs w:val="28"/>
        </w:rPr>
        <w:t>по всем районам.</w:t>
      </w:r>
    </w:p>
    <w:p w14:paraId="6D9BE675" w14:textId="1FB50501" w:rsidR="003F10A5" w:rsidRPr="004135FE" w:rsidRDefault="009B1E5F" w:rsidP="004135FE">
      <w:pPr>
        <w:spacing w:after="0" w:line="240" w:lineRule="auto"/>
        <w:ind w:firstLine="567"/>
        <w:jc w:val="both"/>
        <w:rPr>
          <w:rFonts w:ascii="Times New Roman" w:hAnsi="Times New Roman" w:cs="Times New Roman"/>
          <w:sz w:val="28"/>
          <w:szCs w:val="28"/>
        </w:rPr>
      </w:pPr>
      <w:r w:rsidRPr="004135FE">
        <w:rPr>
          <w:rFonts w:ascii="Times New Roman" w:hAnsi="Times New Roman" w:cs="Times New Roman"/>
          <w:sz w:val="28"/>
          <w:szCs w:val="28"/>
        </w:rPr>
        <w:t xml:space="preserve">В разрезе районов г.Алматы самый высокий рост СД2т в абсолютном значении зафиксирован в 2021г в Ауэзовском районе, что составила 7 692 случаев, из них 2 443 (32%) мужчины и 5 249 (68%) женщины. </w:t>
      </w:r>
    </w:p>
    <w:p w14:paraId="593ECD75" w14:textId="77777777" w:rsidR="00FE0EB5" w:rsidRPr="004135FE" w:rsidRDefault="0066583A"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 </w:t>
      </w:r>
      <w:r w:rsidR="00E10ED0" w:rsidRPr="004135FE">
        <w:rPr>
          <w:rFonts w:ascii="Times New Roman" w:eastAsia="Times New Roman" w:hAnsi="Times New Roman" w:cs="Times New Roman"/>
          <w:sz w:val="28"/>
          <w:szCs w:val="28"/>
        </w:rPr>
        <w:tab/>
      </w:r>
      <w:r w:rsidRPr="004135FE">
        <w:rPr>
          <w:rFonts w:ascii="Times New Roman" w:eastAsia="Times New Roman" w:hAnsi="Times New Roman" w:cs="Times New Roman"/>
          <w:sz w:val="28"/>
          <w:szCs w:val="28"/>
        </w:rPr>
        <w:t xml:space="preserve">Из расчета на 100 тысяч человек лидер среди районов Жетысуский, что составил </w:t>
      </w:r>
      <w:r w:rsidRPr="004135FE">
        <w:rPr>
          <w:rFonts w:ascii="Times New Roman" w:hAnsi="Times New Roman" w:cs="Times New Roman"/>
          <w:sz w:val="28"/>
          <w:szCs w:val="28"/>
        </w:rPr>
        <w:t>2831,43 на 100 тыс чел.</w:t>
      </w:r>
      <w:r w:rsidRPr="004135FE">
        <w:rPr>
          <w:rFonts w:ascii="Times New Roman" w:eastAsia="Times New Roman" w:hAnsi="Times New Roman" w:cs="Times New Roman"/>
          <w:sz w:val="28"/>
          <w:szCs w:val="28"/>
        </w:rPr>
        <w:t xml:space="preserve"> Самый низкий показатель распространенности СД2т </w:t>
      </w:r>
      <w:r w:rsidR="00E10ED0" w:rsidRPr="004135FE">
        <w:rPr>
          <w:rFonts w:ascii="Times New Roman" w:eastAsia="Times New Roman" w:hAnsi="Times New Roman" w:cs="Times New Roman"/>
          <w:sz w:val="28"/>
          <w:szCs w:val="28"/>
        </w:rPr>
        <w:t>в</w:t>
      </w:r>
      <w:r w:rsidRPr="004135FE">
        <w:rPr>
          <w:rFonts w:ascii="Times New Roman" w:eastAsia="Times New Roman" w:hAnsi="Times New Roman" w:cs="Times New Roman"/>
          <w:sz w:val="28"/>
          <w:szCs w:val="28"/>
        </w:rPr>
        <w:t xml:space="preserve"> 2021 г</w:t>
      </w:r>
      <w:r w:rsidR="00E10ED0" w:rsidRPr="004135FE">
        <w:rPr>
          <w:rFonts w:ascii="Times New Roman" w:eastAsia="Times New Roman" w:hAnsi="Times New Roman" w:cs="Times New Roman"/>
          <w:sz w:val="28"/>
          <w:szCs w:val="28"/>
        </w:rPr>
        <w:t xml:space="preserve"> среди всех районов отмечается в Наурызбайском районе, 2 189 случаев, 889 (41%) мужчин и 1 300 </w:t>
      </w:r>
      <w:r w:rsidR="00FE0EB5" w:rsidRPr="004135FE">
        <w:rPr>
          <w:rFonts w:ascii="Times New Roman" w:eastAsia="Times New Roman" w:hAnsi="Times New Roman" w:cs="Times New Roman"/>
          <w:sz w:val="28"/>
          <w:szCs w:val="28"/>
        </w:rPr>
        <w:t>(59%) женщин.</w:t>
      </w:r>
    </w:p>
    <w:p w14:paraId="5DE29C62" w14:textId="5D207EF5" w:rsidR="000E590D" w:rsidRPr="004135FE" w:rsidRDefault="0066583A" w:rsidP="004135FE">
      <w:pPr>
        <w:spacing w:after="0" w:line="240" w:lineRule="auto"/>
        <w:ind w:firstLine="708"/>
        <w:jc w:val="both"/>
        <w:rPr>
          <w:rFonts w:ascii="Times New Roman" w:eastAsia="Times New Roman" w:hAnsi="Times New Roman" w:cs="Times New Roman"/>
          <w:sz w:val="28"/>
          <w:szCs w:val="28"/>
        </w:rPr>
      </w:pPr>
      <w:r w:rsidRPr="004135FE">
        <w:rPr>
          <w:rStyle w:val="ad"/>
          <w:rFonts w:ascii="Times New Roman" w:hAnsi="Times New Roman" w:cs="Times New Roman"/>
          <w:sz w:val="28"/>
          <w:szCs w:val="28"/>
        </w:rPr>
        <w:t xml:space="preserve">Закономерность изменения числа случаев СД2т </w:t>
      </w:r>
      <w:r w:rsidR="00700130" w:rsidRPr="004135FE">
        <w:rPr>
          <w:rStyle w:val="ad"/>
          <w:rFonts w:ascii="Times New Roman" w:hAnsi="Times New Roman" w:cs="Times New Roman"/>
          <w:sz w:val="28"/>
          <w:szCs w:val="28"/>
        </w:rPr>
        <w:t>в динамике за 10 лет обработана в таблице 1</w:t>
      </w:r>
      <w:r w:rsidR="005F2D6E" w:rsidRPr="004135FE">
        <w:rPr>
          <w:rStyle w:val="ad"/>
          <w:rFonts w:ascii="Times New Roman" w:hAnsi="Times New Roman" w:cs="Times New Roman"/>
          <w:sz w:val="28"/>
          <w:szCs w:val="28"/>
        </w:rPr>
        <w:t>0</w:t>
      </w:r>
      <w:r w:rsidR="00700130" w:rsidRPr="004135FE">
        <w:rPr>
          <w:rStyle w:val="ad"/>
          <w:rFonts w:ascii="Times New Roman" w:hAnsi="Times New Roman" w:cs="Times New Roman"/>
          <w:sz w:val="28"/>
          <w:szCs w:val="28"/>
        </w:rPr>
        <w:t xml:space="preserve">. </w:t>
      </w:r>
      <w:r w:rsidR="00662900" w:rsidRPr="004135FE">
        <w:rPr>
          <w:rStyle w:val="ad"/>
          <w:rFonts w:ascii="Times New Roman" w:hAnsi="Times New Roman" w:cs="Times New Roman"/>
          <w:sz w:val="28"/>
          <w:szCs w:val="28"/>
        </w:rPr>
        <w:t xml:space="preserve">По г.Алматы в 2012г распространенность СД2т составила 23 025 </w:t>
      </w:r>
      <w:r w:rsidR="00712178" w:rsidRPr="004135FE">
        <w:rPr>
          <w:rStyle w:val="ad"/>
          <w:rFonts w:ascii="Times New Roman" w:hAnsi="Times New Roman" w:cs="Times New Roman"/>
          <w:sz w:val="28"/>
          <w:szCs w:val="28"/>
        </w:rPr>
        <w:t>случаев</w:t>
      </w:r>
      <w:r w:rsidR="00662900" w:rsidRPr="004135FE">
        <w:rPr>
          <w:rStyle w:val="ad"/>
          <w:rFonts w:ascii="Times New Roman" w:hAnsi="Times New Roman" w:cs="Times New Roman"/>
          <w:sz w:val="28"/>
          <w:szCs w:val="28"/>
        </w:rPr>
        <w:t xml:space="preserve">, из них 7 099 мужчин и 15 956 женщин, </w:t>
      </w:r>
      <w:r w:rsidRPr="004135FE">
        <w:rPr>
          <w:rFonts w:ascii="Times New Roman" w:eastAsia="Times New Roman" w:hAnsi="Times New Roman" w:cs="Times New Roman"/>
          <w:bCs/>
          <w:sz w:val="28"/>
          <w:szCs w:val="28"/>
        </w:rPr>
        <w:t xml:space="preserve">что еще раз подтверждает высокую предрасположенность СД2т среди женщин. </w:t>
      </w:r>
      <w:r w:rsidRPr="004135FE">
        <w:rPr>
          <w:rFonts w:ascii="Times New Roman" w:eastAsia="Times New Roman" w:hAnsi="Times New Roman" w:cs="Times New Roman"/>
          <w:sz w:val="28"/>
          <w:szCs w:val="28"/>
        </w:rPr>
        <w:t>За все годы в динамическом ряду распространенность СД2т в целом и по половым признакам</w:t>
      </w:r>
      <w:r w:rsidR="000E590D" w:rsidRPr="004135FE">
        <w:rPr>
          <w:rFonts w:ascii="Times New Roman" w:eastAsia="Times New Roman" w:hAnsi="Times New Roman" w:cs="Times New Roman"/>
          <w:sz w:val="28"/>
          <w:szCs w:val="28"/>
        </w:rPr>
        <w:t xml:space="preserve"> имеет тенденцию роста. В течение десяти лет отмечается равномерный рост показателей. Самый минимальный абсолютный прирост отмечается в 2015г, составляя всего 166 мужчин и 396 женщин. </w:t>
      </w:r>
      <w:r w:rsidR="002F3FB2" w:rsidRPr="004135FE">
        <w:rPr>
          <w:rFonts w:ascii="Times New Roman" w:eastAsia="Times New Roman" w:hAnsi="Times New Roman" w:cs="Times New Roman"/>
          <w:sz w:val="28"/>
          <w:szCs w:val="28"/>
        </w:rPr>
        <w:t>Максимальный абсолютный прирост в динамическом ряду отмечен в 2019г, составляя всего 1 754 мужчин и 2 838 женщин. За десятилетний период средний абсолютный прирост динамического ряда составил 2 411,44 случаев, из них 925,00 мужчин и 1 486,44 женщин</w:t>
      </w:r>
      <w:r w:rsidR="00FE0EB5" w:rsidRPr="004135FE">
        <w:rPr>
          <w:rFonts w:ascii="Times New Roman" w:eastAsia="Times New Roman" w:hAnsi="Times New Roman" w:cs="Times New Roman"/>
          <w:sz w:val="28"/>
          <w:szCs w:val="28"/>
        </w:rPr>
        <w:t>.</w:t>
      </w:r>
      <w:r w:rsidR="002F3FB2" w:rsidRPr="004135FE">
        <w:rPr>
          <w:rFonts w:ascii="Times New Roman" w:eastAsia="Times New Roman" w:hAnsi="Times New Roman" w:cs="Times New Roman"/>
          <w:sz w:val="28"/>
          <w:szCs w:val="28"/>
        </w:rPr>
        <w:t xml:space="preserve"> </w:t>
      </w:r>
      <w:r w:rsidR="00FE0EB5" w:rsidRPr="004135FE">
        <w:rPr>
          <w:rFonts w:ascii="Times New Roman" w:eastAsia="Times New Roman" w:hAnsi="Times New Roman" w:cs="Times New Roman"/>
          <w:sz w:val="28"/>
          <w:szCs w:val="28"/>
        </w:rPr>
        <w:t>Темп роста в сравнениях относительно к 2021г имеет положительный рост среди населения, составив 109,00% среди мужчин и 107,01% среди женщин. Средний темп прироста среди всего населения составил 7,66%, среди мужчин 9,00% и женщин 7,01%.</w:t>
      </w:r>
    </w:p>
    <w:p w14:paraId="2D8E65BC" w14:textId="09781448" w:rsidR="0066583A" w:rsidRPr="004135FE" w:rsidRDefault="00FE0EB5"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 </w:t>
      </w:r>
    </w:p>
    <w:p w14:paraId="79794583" w14:textId="77777777" w:rsidR="00ED689E" w:rsidRDefault="00ED689E" w:rsidP="004135FE">
      <w:pPr>
        <w:spacing w:after="0" w:line="240" w:lineRule="auto"/>
        <w:jc w:val="both"/>
        <w:rPr>
          <w:rFonts w:ascii="Times New Roman" w:eastAsia="Times New Roman" w:hAnsi="Times New Roman" w:cs="Times New Roman"/>
          <w:sz w:val="28"/>
          <w:szCs w:val="28"/>
        </w:rPr>
      </w:pPr>
    </w:p>
    <w:p w14:paraId="31840286" w14:textId="77777777" w:rsidR="00ED689E" w:rsidRDefault="00ED689E" w:rsidP="004135FE">
      <w:pPr>
        <w:spacing w:after="0" w:line="240" w:lineRule="auto"/>
        <w:jc w:val="both"/>
        <w:rPr>
          <w:rFonts w:ascii="Times New Roman" w:eastAsia="Times New Roman" w:hAnsi="Times New Roman" w:cs="Times New Roman"/>
          <w:sz w:val="28"/>
          <w:szCs w:val="28"/>
        </w:rPr>
      </w:pPr>
    </w:p>
    <w:p w14:paraId="2E795D41" w14:textId="77777777" w:rsidR="00ED689E" w:rsidRDefault="00ED689E" w:rsidP="004135FE">
      <w:pPr>
        <w:spacing w:after="0" w:line="240" w:lineRule="auto"/>
        <w:jc w:val="both"/>
        <w:rPr>
          <w:rFonts w:ascii="Times New Roman" w:eastAsia="Times New Roman" w:hAnsi="Times New Roman" w:cs="Times New Roman"/>
          <w:sz w:val="28"/>
          <w:szCs w:val="28"/>
        </w:rPr>
      </w:pPr>
    </w:p>
    <w:p w14:paraId="471A6F07" w14:textId="77777777" w:rsidR="00ED689E" w:rsidRDefault="00ED689E" w:rsidP="004135FE">
      <w:pPr>
        <w:spacing w:after="0" w:line="240" w:lineRule="auto"/>
        <w:jc w:val="both"/>
        <w:rPr>
          <w:rFonts w:ascii="Times New Roman" w:eastAsia="Times New Roman" w:hAnsi="Times New Roman" w:cs="Times New Roman"/>
          <w:sz w:val="28"/>
          <w:szCs w:val="28"/>
        </w:rPr>
      </w:pPr>
    </w:p>
    <w:p w14:paraId="281460D5" w14:textId="77777777" w:rsidR="00ED689E" w:rsidRDefault="00ED689E" w:rsidP="004135FE">
      <w:pPr>
        <w:spacing w:after="0" w:line="240" w:lineRule="auto"/>
        <w:jc w:val="both"/>
        <w:rPr>
          <w:rFonts w:ascii="Times New Roman" w:eastAsia="Times New Roman" w:hAnsi="Times New Roman" w:cs="Times New Roman"/>
          <w:sz w:val="28"/>
          <w:szCs w:val="28"/>
        </w:rPr>
      </w:pPr>
    </w:p>
    <w:p w14:paraId="429E6535" w14:textId="77777777" w:rsidR="00ED689E" w:rsidRDefault="00ED689E" w:rsidP="004135FE">
      <w:pPr>
        <w:spacing w:after="0" w:line="240" w:lineRule="auto"/>
        <w:jc w:val="both"/>
        <w:rPr>
          <w:rFonts w:ascii="Times New Roman" w:eastAsia="Times New Roman" w:hAnsi="Times New Roman" w:cs="Times New Roman"/>
          <w:sz w:val="28"/>
          <w:szCs w:val="28"/>
        </w:rPr>
      </w:pPr>
    </w:p>
    <w:p w14:paraId="1EB79889" w14:textId="77777777" w:rsidR="00ED689E" w:rsidRDefault="00ED689E" w:rsidP="004135FE">
      <w:pPr>
        <w:spacing w:after="0" w:line="240" w:lineRule="auto"/>
        <w:jc w:val="both"/>
        <w:rPr>
          <w:rFonts w:ascii="Times New Roman" w:eastAsia="Times New Roman" w:hAnsi="Times New Roman" w:cs="Times New Roman"/>
          <w:sz w:val="28"/>
          <w:szCs w:val="28"/>
        </w:rPr>
      </w:pPr>
    </w:p>
    <w:p w14:paraId="7848B289" w14:textId="77777777" w:rsidR="00ED689E" w:rsidRDefault="00ED689E" w:rsidP="004135FE">
      <w:pPr>
        <w:spacing w:after="0" w:line="240" w:lineRule="auto"/>
        <w:jc w:val="both"/>
        <w:rPr>
          <w:rFonts w:ascii="Times New Roman" w:eastAsia="Times New Roman" w:hAnsi="Times New Roman" w:cs="Times New Roman"/>
          <w:sz w:val="28"/>
          <w:szCs w:val="28"/>
        </w:rPr>
      </w:pPr>
    </w:p>
    <w:p w14:paraId="5A2477FF" w14:textId="77777777" w:rsidR="00ED689E" w:rsidRDefault="00ED689E" w:rsidP="004135FE">
      <w:pPr>
        <w:spacing w:after="0" w:line="240" w:lineRule="auto"/>
        <w:jc w:val="both"/>
        <w:rPr>
          <w:rFonts w:ascii="Times New Roman" w:eastAsia="Times New Roman" w:hAnsi="Times New Roman" w:cs="Times New Roman"/>
          <w:sz w:val="28"/>
          <w:szCs w:val="28"/>
        </w:rPr>
      </w:pPr>
    </w:p>
    <w:p w14:paraId="0F42D992" w14:textId="77777777" w:rsidR="00ED689E" w:rsidRDefault="00ED689E" w:rsidP="004135FE">
      <w:pPr>
        <w:spacing w:after="0" w:line="240" w:lineRule="auto"/>
        <w:jc w:val="both"/>
        <w:rPr>
          <w:rFonts w:ascii="Times New Roman" w:eastAsia="Times New Roman" w:hAnsi="Times New Roman" w:cs="Times New Roman"/>
          <w:sz w:val="28"/>
          <w:szCs w:val="28"/>
        </w:rPr>
      </w:pPr>
    </w:p>
    <w:p w14:paraId="54B02641" w14:textId="77777777" w:rsidR="00ED689E" w:rsidRDefault="00ED689E" w:rsidP="004135FE">
      <w:pPr>
        <w:spacing w:after="0" w:line="240" w:lineRule="auto"/>
        <w:jc w:val="both"/>
        <w:rPr>
          <w:rFonts w:ascii="Times New Roman" w:eastAsia="Times New Roman" w:hAnsi="Times New Roman" w:cs="Times New Roman"/>
          <w:sz w:val="28"/>
          <w:szCs w:val="28"/>
        </w:rPr>
      </w:pPr>
    </w:p>
    <w:p w14:paraId="32F8EF37" w14:textId="77777777" w:rsidR="00ED689E" w:rsidRDefault="00ED689E" w:rsidP="004135FE">
      <w:pPr>
        <w:spacing w:after="0" w:line="240" w:lineRule="auto"/>
        <w:jc w:val="both"/>
        <w:rPr>
          <w:rFonts w:ascii="Times New Roman" w:eastAsia="Times New Roman" w:hAnsi="Times New Roman" w:cs="Times New Roman"/>
          <w:sz w:val="28"/>
          <w:szCs w:val="28"/>
        </w:rPr>
      </w:pPr>
    </w:p>
    <w:p w14:paraId="326E28BB" w14:textId="77777777" w:rsidR="00ED689E" w:rsidRDefault="00ED689E" w:rsidP="004135FE">
      <w:pPr>
        <w:spacing w:after="0" w:line="240" w:lineRule="auto"/>
        <w:jc w:val="both"/>
        <w:rPr>
          <w:rFonts w:ascii="Times New Roman" w:eastAsia="Times New Roman" w:hAnsi="Times New Roman" w:cs="Times New Roman"/>
          <w:sz w:val="28"/>
          <w:szCs w:val="28"/>
        </w:rPr>
      </w:pPr>
    </w:p>
    <w:p w14:paraId="4A20B6C5" w14:textId="77777777" w:rsidR="00ED689E" w:rsidRDefault="00ED689E" w:rsidP="004135FE">
      <w:pPr>
        <w:spacing w:after="0" w:line="240" w:lineRule="auto"/>
        <w:jc w:val="both"/>
        <w:rPr>
          <w:rFonts w:ascii="Times New Roman" w:eastAsia="Times New Roman" w:hAnsi="Times New Roman" w:cs="Times New Roman"/>
          <w:sz w:val="28"/>
          <w:szCs w:val="28"/>
        </w:rPr>
      </w:pPr>
    </w:p>
    <w:p w14:paraId="69991A14" w14:textId="77777777" w:rsidR="00ED689E" w:rsidRDefault="00ED689E" w:rsidP="004135FE">
      <w:pPr>
        <w:spacing w:after="0" w:line="240" w:lineRule="auto"/>
        <w:jc w:val="both"/>
        <w:rPr>
          <w:rFonts w:ascii="Times New Roman" w:eastAsia="Times New Roman" w:hAnsi="Times New Roman" w:cs="Times New Roman"/>
          <w:sz w:val="28"/>
          <w:szCs w:val="28"/>
        </w:rPr>
      </w:pPr>
    </w:p>
    <w:p w14:paraId="318A5A9E" w14:textId="77777777" w:rsidR="00ED689E" w:rsidRDefault="00ED689E" w:rsidP="004135FE">
      <w:pPr>
        <w:spacing w:after="0" w:line="240" w:lineRule="auto"/>
        <w:jc w:val="both"/>
        <w:rPr>
          <w:rFonts w:ascii="Times New Roman" w:eastAsia="Times New Roman" w:hAnsi="Times New Roman" w:cs="Times New Roman"/>
          <w:sz w:val="28"/>
          <w:szCs w:val="28"/>
        </w:rPr>
        <w:sectPr w:rsidR="00ED689E" w:rsidSect="00EC71C2">
          <w:type w:val="nextColumn"/>
          <w:pgSz w:w="11906" w:h="16838"/>
          <w:pgMar w:top="1134" w:right="851" w:bottom="1134" w:left="1701" w:header="708" w:footer="300" w:gutter="0"/>
          <w:cols w:space="708"/>
          <w:docGrid w:linePitch="360"/>
        </w:sectPr>
      </w:pPr>
    </w:p>
    <w:p w14:paraId="4AE19B56" w14:textId="2F637E76" w:rsidR="0066583A" w:rsidRDefault="005F2D6E" w:rsidP="00E2614D">
      <w:pPr>
        <w:spacing w:after="0" w:line="240" w:lineRule="auto"/>
        <w:ind w:firstLine="284"/>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lastRenderedPageBreak/>
        <w:t>Таблица 10</w:t>
      </w:r>
      <w:r w:rsidR="00077E0F">
        <w:rPr>
          <w:rFonts w:ascii="Times New Roman" w:eastAsia="Times New Roman" w:hAnsi="Times New Roman" w:cs="Times New Roman"/>
          <w:sz w:val="28"/>
          <w:szCs w:val="28"/>
        </w:rPr>
        <w:t xml:space="preserve"> </w:t>
      </w:r>
      <w:r w:rsidR="0066583A" w:rsidRPr="004135FE">
        <w:rPr>
          <w:rFonts w:ascii="Times New Roman" w:eastAsia="Times New Roman" w:hAnsi="Times New Roman" w:cs="Times New Roman"/>
          <w:sz w:val="28"/>
          <w:szCs w:val="28"/>
        </w:rPr>
        <w:t xml:space="preserve">- </w:t>
      </w:r>
      <w:r w:rsidR="00077E0F">
        <w:rPr>
          <w:rFonts w:ascii="Times New Roman" w:eastAsia="Times New Roman" w:hAnsi="Times New Roman" w:cs="Times New Roman"/>
          <w:sz w:val="28"/>
          <w:szCs w:val="28"/>
        </w:rPr>
        <w:t>Д</w:t>
      </w:r>
      <w:r w:rsidR="0066583A" w:rsidRPr="004135FE">
        <w:rPr>
          <w:rFonts w:ascii="Times New Roman" w:eastAsia="Times New Roman" w:hAnsi="Times New Roman" w:cs="Times New Roman"/>
          <w:sz w:val="28"/>
          <w:szCs w:val="28"/>
        </w:rPr>
        <w:t>инамика числа случаев распространенности СД2т с 2012 по 2021 годы по г.</w:t>
      </w:r>
      <w:r w:rsidR="00077E0F">
        <w:rPr>
          <w:rFonts w:ascii="Times New Roman" w:eastAsia="Times New Roman" w:hAnsi="Times New Roman" w:cs="Times New Roman"/>
          <w:sz w:val="28"/>
          <w:szCs w:val="28"/>
        </w:rPr>
        <w:t xml:space="preserve"> </w:t>
      </w:r>
      <w:r w:rsidR="0066583A" w:rsidRPr="004135FE">
        <w:rPr>
          <w:rFonts w:ascii="Times New Roman" w:eastAsia="Times New Roman" w:hAnsi="Times New Roman" w:cs="Times New Roman"/>
          <w:sz w:val="28"/>
          <w:szCs w:val="28"/>
        </w:rPr>
        <w:t>Алматы</w:t>
      </w:r>
    </w:p>
    <w:p w14:paraId="5FE7CBBB" w14:textId="77777777" w:rsidR="006E1680" w:rsidRPr="004135FE" w:rsidRDefault="006E1680" w:rsidP="004135FE">
      <w:pPr>
        <w:spacing w:after="0" w:line="240" w:lineRule="auto"/>
        <w:jc w:val="both"/>
        <w:rPr>
          <w:rFonts w:ascii="Times New Roman" w:eastAsia="Times New Roman" w:hAnsi="Times New Roman" w:cs="Times New Roman"/>
          <w:sz w:val="28"/>
          <w:szCs w:val="28"/>
        </w:rPr>
      </w:pPr>
    </w:p>
    <w:tbl>
      <w:tblPr>
        <w:tblW w:w="14458" w:type="dxa"/>
        <w:tblInd w:w="274" w:type="dxa"/>
        <w:tblLayout w:type="fixed"/>
        <w:tblLook w:val="04A0" w:firstRow="1" w:lastRow="0" w:firstColumn="1" w:lastColumn="0" w:noHBand="0" w:noVBand="1"/>
      </w:tblPr>
      <w:tblGrid>
        <w:gridCol w:w="850"/>
        <w:gridCol w:w="1134"/>
        <w:gridCol w:w="1134"/>
        <w:gridCol w:w="1134"/>
        <w:gridCol w:w="993"/>
        <w:gridCol w:w="992"/>
        <w:gridCol w:w="992"/>
        <w:gridCol w:w="1134"/>
        <w:gridCol w:w="992"/>
        <w:gridCol w:w="1134"/>
        <w:gridCol w:w="1276"/>
        <w:gridCol w:w="1418"/>
        <w:gridCol w:w="1275"/>
      </w:tblGrid>
      <w:tr w:rsidR="00E2614D" w:rsidRPr="004135FE" w14:paraId="63673E1E" w14:textId="77777777" w:rsidTr="000A130A">
        <w:trPr>
          <w:trHeight w:val="315"/>
        </w:trPr>
        <w:tc>
          <w:tcPr>
            <w:tcW w:w="5245" w:type="dxa"/>
            <w:gridSpan w:val="5"/>
            <w:tcBorders>
              <w:top w:val="single" w:sz="8" w:space="0" w:color="auto"/>
              <w:left w:val="single" w:sz="8" w:space="0" w:color="auto"/>
              <w:bottom w:val="single" w:sz="4" w:space="0" w:color="auto"/>
              <w:right w:val="single" w:sz="8" w:space="0" w:color="000000"/>
            </w:tcBorders>
            <w:shd w:val="clear" w:color="auto" w:fill="auto"/>
            <w:noWrap/>
            <w:hideMark/>
          </w:tcPr>
          <w:p w14:paraId="4753B8EB" w14:textId="7F0F7168" w:rsidR="00E2614D" w:rsidRPr="004135FE" w:rsidRDefault="00E2614D" w:rsidP="00E2614D">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Всего по г</w:t>
            </w:r>
            <w:r>
              <w:rPr>
                <w:rFonts w:ascii="Times New Roman" w:eastAsia="Times New Roman" w:hAnsi="Times New Roman" w:cs="Times New Roman"/>
                <w:bCs/>
                <w:sz w:val="28"/>
                <w:szCs w:val="28"/>
              </w:rPr>
              <w:t>.</w:t>
            </w:r>
            <w:r w:rsidRPr="004135FE">
              <w:rPr>
                <w:rFonts w:ascii="Times New Roman" w:eastAsia="Times New Roman" w:hAnsi="Times New Roman" w:cs="Times New Roman"/>
                <w:bCs/>
                <w:sz w:val="28"/>
                <w:szCs w:val="28"/>
              </w:rPr>
              <w:t xml:space="preserve"> Алматы</w:t>
            </w:r>
          </w:p>
        </w:tc>
        <w:tc>
          <w:tcPr>
            <w:tcW w:w="4110" w:type="dxa"/>
            <w:gridSpan w:val="4"/>
            <w:tcBorders>
              <w:top w:val="single" w:sz="8" w:space="0" w:color="auto"/>
              <w:left w:val="nil"/>
              <w:bottom w:val="single" w:sz="4" w:space="0" w:color="auto"/>
              <w:right w:val="single" w:sz="8" w:space="0" w:color="000000"/>
            </w:tcBorders>
            <w:shd w:val="clear" w:color="auto" w:fill="auto"/>
            <w:noWrap/>
            <w:vAlign w:val="center"/>
            <w:hideMark/>
          </w:tcPr>
          <w:p w14:paraId="71E9EC0E" w14:textId="77777777" w:rsidR="00E2614D" w:rsidRPr="004135FE" w:rsidRDefault="00E2614D"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bCs/>
                <w:sz w:val="28"/>
                <w:szCs w:val="28"/>
              </w:rPr>
              <w:t>мужчины</w:t>
            </w:r>
          </w:p>
        </w:tc>
        <w:tc>
          <w:tcPr>
            <w:tcW w:w="5103" w:type="dxa"/>
            <w:gridSpan w:val="4"/>
            <w:tcBorders>
              <w:top w:val="single" w:sz="8" w:space="0" w:color="auto"/>
              <w:left w:val="nil"/>
              <w:bottom w:val="single" w:sz="4" w:space="0" w:color="auto"/>
              <w:right w:val="single" w:sz="8" w:space="0" w:color="000000"/>
            </w:tcBorders>
            <w:shd w:val="clear" w:color="auto" w:fill="auto"/>
            <w:noWrap/>
            <w:vAlign w:val="center"/>
            <w:hideMark/>
          </w:tcPr>
          <w:p w14:paraId="3611C960" w14:textId="77777777" w:rsidR="00E2614D" w:rsidRPr="004135FE" w:rsidRDefault="00E2614D"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женщины </w:t>
            </w:r>
          </w:p>
        </w:tc>
      </w:tr>
      <w:tr w:rsidR="006E1680" w:rsidRPr="004135FE" w14:paraId="2302E48C" w14:textId="77777777" w:rsidTr="000A130A">
        <w:trPr>
          <w:trHeight w:val="1003"/>
        </w:trPr>
        <w:tc>
          <w:tcPr>
            <w:tcW w:w="850" w:type="dxa"/>
            <w:tcBorders>
              <w:top w:val="nil"/>
              <w:left w:val="single" w:sz="8" w:space="0" w:color="auto"/>
              <w:bottom w:val="single" w:sz="4" w:space="0" w:color="auto"/>
              <w:right w:val="nil"/>
            </w:tcBorders>
            <w:shd w:val="clear" w:color="auto" w:fill="auto"/>
            <w:noWrap/>
            <w:hideMark/>
          </w:tcPr>
          <w:p w14:paraId="0AC6E15D" w14:textId="1E1C9858"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годы</w:t>
            </w:r>
          </w:p>
        </w:tc>
        <w:tc>
          <w:tcPr>
            <w:tcW w:w="1134" w:type="dxa"/>
            <w:tcBorders>
              <w:top w:val="nil"/>
              <w:left w:val="single" w:sz="8" w:space="0" w:color="auto"/>
              <w:bottom w:val="single" w:sz="4" w:space="0" w:color="auto"/>
              <w:right w:val="single" w:sz="4" w:space="0" w:color="auto"/>
            </w:tcBorders>
            <w:shd w:val="clear" w:color="auto" w:fill="auto"/>
            <w:noWrap/>
            <w:hideMark/>
          </w:tcPr>
          <w:p w14:paraId="0AC065CF" w14:textId="77777777" w:rsidR="0066583A" w:rsidRPr="004135FE" w:rsidRDefault="0066583A" w:rsidP="006E1680">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абс</w:t>
            </w:r>
          </w:p>
        </w:tc>
        <w:tc>
          <w:tcPr>
            <w:tcW w:w="1134" w:type="dxa"/>
            <w:tcBorders>
              <w:top w:val="nil"/>
              <w:left w:val="nil"/>
              <w:bottom w:val="single" w:sz="4" w:space="0" w:color="auto"/>
              <w:right w:val="single" w:sz="4" w:space="0" w:color="auto"/>
            </w:tcBorders>
            <w:shd w:val="clear" w:color="auto" w:fill="auto"/>
            <w:hideMark/>
          </w:tcPr>
          <w:p w14:paraId="120E7272" w14:textId="77777777" w:rsidR="0066583A" w:rsidRPr="004135FE" w:rsidRDefault="0066583A" w:rsidP="006E1680">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абс прирост</w:t>
            </w:r>
          </w:p>
        </w:tc>
        <w:tc>
          <w:tcPr>
            <w:tcW w:w="1134" w:type="dxa"/>
            <w:tcBorders>
              <w:top w:val="nil"/>
              <w:left w:val="nil"/>
              <w:bottom w:val="single" w:sz="4" w:space="0" w:color="auto"/>
              <w:right w:val="single" w:sz="4" w:space="0" w:color="auto"/>
            </w:tcBorders>
            <w:shd w:val="clear" w:color="auto" w:fill="auto"/>
            <w:hideMark/>
          </w:tcPr>
          <w:p w14:paraId="4F493463" w14:textId="1F7BEC0B" w:rsidR="0066583A" w:rsidRPr="004135FE" w:rsidRDefault="00FE0EB5" w:rsidP="006E168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темп роста отн 2021г (%</w:t>
            </w:r>
            <w:r w:rsidR="002358FD" w:rsidRPr="004135FE">
              <w:rPr>
                <w:rFonts w:ascii="Times New Roman" w:eastAsia="Times New Roman" w:hAnsi="Times New Roman" w:cs="Times New Roman"/>
                <w:sz w:val="28"/>
                <w:szCs w:val="28"/>
              </w:rPr>
              <w:t>)</w:t>
            </w:r>
          </w:p>
        </w:tc>
        <w:tc>
          <w:tcPr>
            <w:tcW w:w="993" w:type="dxa"/>
            <w:tcBorders>
              <w:top w:val="nil"/>
              <w:left w:val="nil"/>
              <w:bottom w:val="single" w:sz="4" w:space="0" w:color="auto"/>
              <w:right w:val="single" w:sz="8" w:space="0" w:color="auto"/>
            </w:tcBorders>
            <w:shd w:val="clear" w:color="auto" w:fill="auto"/>
          </w:tcPr>
          <w:p w14:paraId="6E9ACADB" w14:textId="77777777" w:rsidR="002358FD" w:rsidRPr="004135FE" w:rsidRDefault="002358FD" w:rsidP="006E168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темп прироста (%)</w:t>
            </w:r>
          </w:p>
          <w:p w14:paraId="466BA3EA" w14:textId="31B4C3BD" w:rsidR="0066583A" w:rsidRPr="004135FE" w:rsidRDefault="0066583A" w:rsidP="006E1680">
            <w:pPr>
              <w:spacing w:after="0" w:line="240" w:lineRule="auto"/>
              <w:jc w:val="center"/>
              <w:rPr>
                <w:rFonts w:ascii="Times New Roman" w:eastAsia="Times New Roman" w:hAnsi="Times New Roman" w:cs="Times New Roman"/>
                <w:bCs/>
                <w:sz w:val="28"/>
                <w:szCs w:val="28"/>
              </w:rPr>
            </w:pPr>
          </w:p>
        </w:tc>
        <w:tc>
          <w:tcPr>
            <w:tcW w:w="992" w:type="dxa"/>
            <w:tcBorders>
              <w:top w:val="nil"/>
              <w:left w:val="nil"/>
              <w:bottom w:val="single" w:sz="4" w:space="0" w:color="auto"/>
              <w:right w:val="single" w:sz="4" w:space="0" w:color="auto"/>
            </w:tcBorders>
            <w:shd w:val="clear" w:color="auto" w:fill="auto"/>
            <w:noWrap/>
            <w:hideMark/>
          </w:tcPr>
          <w:p w14:paraId="2A7C1BB4" w14:textId="77777777" w:rsidR="0066583A" w:rsidRPr="004135FE" w:rsidRDefault="0066583A" w:rsidP="006E1680">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абс</w:t>
            </w:r>
          </w:p>
        </w:tc>
        <w:tc>
          <w:tcPr>
            <w:tcW w:w="992" w:type="dxa"/>
            <w:tcBorders>
              <w:top w:val="nil"/>
              <w:left w:val="nil"/>
              <w:bottom w:val="single" w:sz="4" w:space="0" w:color="auto"/>
              <w:right w:val="single" w:sz="4" w:space="0" w:color="auto"/>
            </w:tcBorders>
            <w:shd w:val="clear" w:color="auto" w:fill="auto"/>
            <w:hideMark/>
          </w:tcPr>
          <w:p w14:paraId="763F9E1B" w14:textId="77777777" w:rsidR="0066583A" w:rsidRPr="004135FE" w:rsidRDefault="0066583A" w:rsidP="006E1680">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абс прирост</w:t>
            </w:r>
          </w:p>
        </w:tc>
        <w:tc>
          <w:tcPr>
            <w:tcW w:w="1134" w:type="dxa"/>
            <w:tcBorders>
              <w:top w:val="nil"/>
              <w:left w:val="nil"/>
              <w:bottom w:val="single" w:sz="4" w:space="0" w:color="auto"/>
              <w:right w:val="single" w:sz="4" w:space="0" w:color="auto"/>
            </w:tcBorders>
            <w:shd w:val="clear" w:color="auto" w:fill="auto"/>
            <w:hideMark/>
          </w:tcPr>
          <w:p w14:paraId="01A16A39" w14:textId="11DDC1E5" w:rsidR="0066583A" w:rsidRPr="004135FE" w:rsidRDefault="002358FD" w:rsidP="006E168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темп роста отн 2021г (%)</w:t>
            </w:r>
          </w:p>
        </w:tc>
        <w:tc>
          <w:tcPr>
            <w:tcW w:w="992" w:type="dxa"/>
            <w:tcBorders>
              <w:top w:val="nil"/>
              <w:left w:val="nil"/>
              <w:bottom w:val="single" w:sz="4" w:space="0" w:color="auto"/>
              <w:right w:val="single" w:sz="8" w:space="0" w:color="auto"/>
            </w:tcBorders>
            <w:shd w:val="clear" w:color="auto" w:fill="auto"/>
          </w:tcPr>
          <w:p w14:paraId="482D45B1" w14:textId="77777777" w:rsidR="002358FD" w:rsidRPr="004135FE" w:rsidRDefault="002358FD" w:rsidP="006E168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темп прироста (%)</w:t>
            </w:r>
          </w:p>
          <w:p w14:paraId="2874BC4A" w14:textId="5E3B7B83" w:rsidR="0066583A" w:rsidRPr="004135FE" w:rsidRDefault="0066583A" w:rsidP="006E1680">
            <w:pPr>
              <w:spacing w:after="0" w:line="240" w:lineRule="auto"/>
              <w:jc w:val="center"/>
              <w:rPr>
                <w:rFonts w:ascii="Times New Roman" w:eastAsia="Times New Roman" w:hAnsi="Times New Roman" w:cs="Times New Roman"/>
                <w:bCs/>
                <w:sz w:val="28"/>
                <w:szCs w:val="28"/>
              </w:rPr>
            </w:pPr>
          </w:p>
        </w:tc>
        <w:tc>
          <w:tcPr>
            <w:tcW w:w="1134" w:type="dxa"/>
            <w:tcBorders>
              <w:top w:val="nil"/>
              <w:left w:val="nil"/>
              <w:bottom w:val="single" w:sz="4" w:space="0" w:color="auto"/>
              <w:right w:val="single" w:sz="4" w:space="0" w:color="auto"/>
            </w:tcBorders>
            <w:shd w:val="clear" w:color="auto" w:fill="auto"/>
            <w:noWrap/>
            <w:hideMark/>
          </w:tcPr>
          <w:p w14:paraId="21682379" w14:textId="77777777" w:rsidR="0066583A" w:rsidRPr="004135FE" w:rsidRDefault="0066583A" w:rsidP="006E1680">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абс</w:t>
            </w:r>
          </w:p>
        </w:tc>
        <w:tc>
          <w:tcPr>
            <w:tcW w:w="1276" w:type="dxa"/>
            <w:tcBorders>
              <w:top w:val="nil"/>
              <w:left w:val="nil"/>
              <w:bottom w:val="single" w:sz="4" w:space="0" w:color="auto"/>
              <w:right w:val="single" w:sz="4" w:space="0" w:color="auto"/>
            </w:tcBorders>
            <w:shd w:val="clear" w:color="auto" w:fill="auto"/>
            <w:hideMark/>
          </w:tcPr>
          <w:p w14:paraId="3325ADF7" w14:textId="77777777" w:rsidR="0066583A" w:rsidRPr="004135FE" w:rsidRDefault="0066583A" w:rsidP="006E1680">
            <w:pPr>
              <w:spacing w:after="0" w:line="240" w:lineRule="auto"/>
              <w:jc w:val="center"/>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абс прирост</w:t>
            </w:r>
          </w:p>
        </w:tc>
        <w:tc>
          <w:tcPr>
            <w:tcW w:w="1418" w:type="dxa"/>
            <w:tcBorders>
              <w:top w:val="nil"/>
              <w:left w:val="nil"/>
              <w:bottom w:val="single" w:sz="4" w:space="0" w:color="auto"/>
              <w:right w:val="single" w:sz="4" w:space="0" w:color="auto"/>
            </w:tcBorders>
            <w:shd w:val="clear" w:color="auto" w:fill="auto"/>
          </w:tcPr>
          <w:p w14:paraId="478FA61F" w14:textId="4B24CFF1" w:rsidR="0066583A" w:rsidRPr="004135FE" w:rsidRDefault="002358FD" w:rsidP="006E168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темп роста отн 2021г (%)</w:t>
            </w:r>
          </w:p>
        </w:tc>
        <w:tc>
          <w:tcPr>
            <w:tcW w:w="1275" w:type="dxa"/>
            <w:tcBorders>
              <w:top w:val="nil"/>
              <w:left w:val="nil"/>
              <w:bottom w:val="single" w:sz="4" w:space="0" w:color="auto"/>
              <w:right w:val="single" w:sz="8" w:space="0" w:color="auto"/>
            </w:tcBorders>
            <w:shd w:val="clear" w:color="auto" w:fill="auto"/>
          </w:tcPr>
          <w:p w14:paraId="1726E7A5" w14:textId="77777777" w:rsidR="002358FD" w:rsidRPr="004135FE" w:rsidRDefault="002358FD" w:rsidP="006E168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темп прироста (%)</w:t>
            </w:r>
          </w:p>
          <w:p w14:paraId="6CE4DD18" w14:textId="3045E40D" w:rsidR="0066583A" w:rsidRPr="004135FE" w:rsidRDefault="0066583A" w:rsidP="006E1680">
            <w:pPr>
              <w:spacing w:after="0" w:line="240" w:lineRule="auto"/>
              <w:jc w:val="center"/>
              <w:rPr>
                <w:rFonts w:ascii="Times New Roman" w:eastAsia="Times New Roman" w:hAnsi="Times New Roman" w:cs="Times New Roman"/>
                <w:bCs/>
                <w:sz w:val="28"/>
                <w:szCs w:val="28"/>
              </w:rPr>
            </w:pPr>
          </w:p>
        </w:tc>
      </w:tr>
      <w:tr w:rsidR="000A130A" w:rsidRPr="004135FE" w14:paraId="5E07F3BB" w14:textId="77777777" w:rsidTr="000A130A">
        <w:trPr>
          <w:trHeight w:val="238"/>
        </w:trPr>
        <w:tc>
          <w:tcPr>
            <w:tcW w:w="850" w:type="dxa"/>
            <w:tcBorders>
              <w:top w:val="nil"/>
              <w:left w:val="single" w:sz="8" w:space="0" w:color="auto"/>
              <w:bottom w:val="single" w:sz="4" w:space="0" w:color="auto"/>
              <w:right w:val="nil"/>
            </w:tcBorders>
            <w:shd w:val="clear" w:color="auto" w:fill="auto"/>
            <w:noWrap/>
            <w:hideMark/>
          </w:tcPr>
          <w:p w14:paraId="41068808"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2012</w:t>
            </w:r>
          </w:p>
        </w:tc>
        <w:tc>
          <w:tcPr>
            <w:tcW w:w="1134" w:type="dxa"/>
            <w:tcBorders>
              <w:top w:val="nil"/>
              <w:left w:val="single" w:sz="8" w:space="0" w:color="auto"/>
              <w:bottom w:val="single" w:sz="4" w:space="0" w:color="auto"/>
              <w:right w:val="single" w:sz="4" w:space="0" w:color="auto"/>
            </w:tcBorders>
            <w:shd w:val="clear" w:color="000000" w:fill="FFFFFF"/>
          </w:tcPr>
          <w:p w14:paraId="329D6516"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23025</w:t>
            </w:r>
          </w:p>
        </w:tc>
        <w:tc>
          <w:tcPr>
            <w:tcW w:w="1134" w:type="dxa"/>
            <w:tcBorders>
              <w:top w:val="nil"/>
              <w:left w:val="nil"/>
              <w:bottom w:val="single" w:sz="4" w:space="0" w:color="auto"/>
              <w:right w:val="single" w:sz="4" w:space="0" w:color="auto"/>
            </w:tcBorders>
            <w:shd w:val="clear" w:color="000000" w:fill="FFFFFF"/>
          </w:tcPr>
          <w:p w14:paraId="5B3BD016" w14:textId="4A0D3837" w:rsidR="0066583A" w:rsidRPr="004135FE" w:rsidRDefault="0066583A" w:rsidP="006E1680">
            <w:pPr>
              <w:spacing w:after="0" w:line="240" w:lineRule="auto"/>
              <w:jc w:val="center"/>
              <w:rPr>
                <w:rFonts w:ascii="Times New Roman" w:eastAsia="Times New Roman" w:hAnsi="Times New Roman" w:cs="Times New Roman"/>
                <w:sz w:val="28"/>
                <w:szCs w:val="28"/>
              </w:rPr>
            </w:pPr>
          </w:p>
        </w:tc>
        <w:tc>
          <w:tcPr>
            <w:tcW w:w="1134" w:type="dxa"/>
            <w:tcBorders>
              <w:top w:val="nil"/>
              <w:left w:val="nil"/>
              <w:bottom w:val="single" w:sz="4" w:space="0" w:color="auto"/>
              <w:right w:val="single" w:sz="4" w:space="0" w:color="auto"/>
            </w:tcBorders>
            <w:shd w:val="clear" w:color="000000" w:fill="FFFFFF"/>
          </w:tcPr>
          <w:p w14:paraId="20AAC6B1" w14:textId="7832846C" w:rsidR="0066583A" w:rsidRPr="004135FE" w:rsidRDefault="0066583A" w:rsidP="006E1680">
            <w:pPr>
              <w:spacing w:after="0" w:line="240" w:lineRule="auto"/>
              <w:jc w:val="center"/>
              <w:rPr>
                <w:rFonts w:ascii="Times New Roman" w:eastAsia="Times New Roman" w:hAnsi="Times New Roman" w:cs="Times New Roman"/>
                <w:sz w:val="28"/>
                <w:szCs w:val="28"/>
              </w:rPr>
            </w:pPr>
          </w:p>
        </w:tc>
        <w:tc>
          <w:tcPr>
            <w:tcW w:w="993" w:type="dxa"/>
            <w:tcBorders>
              <w:top w:val="nil"/>
              <w:left w:val="nil"/>
              <w:bottom w:val="single" w:sz="4" w:space="0" w:color="auto"/>
              <w:right w:val="single" w:sz="8" w:space="0" w:color="auto"/>
            </w:tcBorders>
            <w:shd w:val="clear" w:color="000000" w:fill="FFFFFF"/>
          </w:tcPr>
          <w:p w14:paraId="529540F4" w14:textId="450F1965" w:rsidR="0066583A" w:rsidRPr="004135FE" w:rsidRDefault="0066583A" w:rsidP="006E1680">
            <w:pPr>
              <w:spacing w:after="0" w:line="240" w:lineRule="auto"/>
              <w:jc w:val="center"/>
              <w:rPr>
                <w:rFonts w:ascii="Times New Roman" w:eastAsia="Times New Roman" w:hAnsi="Times New Roman" w:cs="Times New Roman"/>
                <w:sz w:val="28"/>
                <w:szCs w:val="28"/>
              </w:rPr>
            </w:pPr>
          </w:p>
        </w:tc>
        <w:tc>
          <w:tcPr>
            <w:tcW w:w="992" w:type="dxa"/>
            <w:tcBorders>
              <w:top w:val="nil"/>
              <w:left w:val="nil"/>
              <w:bottom w:val="single" w:sz="4" w:space="0" w:color="auto"/>
              <w:right w:val="single" w:sz="4" w:space="0" w:color="auto"/>
            </w:tcBorders>
            <w:shd w:val="clear" w:color="000000" w:fill="FFFFFF"/>
          </w:tcPr>
          <w:p w14:paraId="42E9A383"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7099</w:t>
            </w:r>
          </w:p>
        </w:tc>
        <w:tc>
          <w:tcPr>
            <w:tcW w:w="992" w:type="dxa"/>
            <w:tcBorders>
              <w:top w:val="nil"/>
              <w:left w:val="nil"/>
              <w:bottom w:val="single" w:sz="4" w:space="0" w:color="auto"/>
              <w:right w:val="single" w:sz="4" w:space="0" w:color="auto"/>
            </w:tcBorders>
            <w:shd w:val="clear" w:color="000000" w:fill="FFFFFF"/>
          </w:tcPr>
          <w:p w14:paraId="1832AE63" w14:textId="6F4E22C3" w:rsidR="0066583A" w:rsidRPr="004135FE" w:rsidRDefault="0066583A" w:rsidP="006E1680">
            <w:pPr>
              <w:spacing w:after="0" w:line="240" w:lineRule="auto"/>
              <w:jc w:val="center"/>
              <w:rPr>
                <w:rFonts w:ascii="Times New Roman" w:eastAsia="Times New Roman" w:hAnsi="Times New Roman" w:cs="Times New Roman"/>
                <w:sz w:val="28"/>
                <w:szCs w:val="28"/>
              </w:rPr>
            </w:pPr>
          </w:p>
        </w:tc>
        <w:tc>
          <w:tcPr>
            <w:tcW w:w="1134" w:type="dxa"/>
            <w:tcBorders>
              <w:top w:val="nil"/>
              <w:left w:val="nil"/>
              <w:bottom w:val="single" w:sz="4" w:space="0" w:color="auto"/>
              <w:right w:val="single" w:sz="4" w:space="0" w:color="auto"/>
            </w:tcBorders>
            <w:shd w:val="clear" w:color="000000" w:fill="FFFFFF"/>
          </w:tcPr>
          <w:p w14:paraId="6B58BE9D" w14:textId="23988256" w:rsidR="0066583A" w:rsidRPr="004135FE" w:rsidRDefault="0066583A" w:rsidP="006E1680">
            <w:pPr>
              <w:spacing w:after="0" w:line="240" w:lineRule="auto"/>
              <w:jc w:val="center"/>
              <w:rPr>
                <w:rFonts w:ascii="Times New Roman" w:eastAsia="Times New Roman" w:hAnsi="Times New Roman" w:cs="Times New Roman"/>
                <w:sz w:val="28"/>
                <w:szCs w:val="28"/>
              </w:rPr>
            </w:pPr>
          </w:p>
        </w:tc>
        <w:tc>
          <w:tcPr>
            <w:tcW w:w="992" w:type="dxa"/>
            <w:tcBorders>
              <w:top w:val="nil"/>
              <w:left w:val="nil"/>
              <w:bottom w:val="single" w:sz="4" w:space="0" w:color="auto"/>
              <w:right w:val="single" w:sz="8" w:space="0" w:color="auto"/>
            </w:tcBorders>
            <w:shd w:val="clear" w:color="000000" w:fill="FFFFFF"/>
          </w:tcPr>
          <w:p w14:paraId="46958525" w14:textId="2CCCDB82" w:rsidR="0066583A" w:rsidRPr="004135FE" w:rsidRDefault="0066583A" w:rsidP="006E1680">
            <w:pPr>
              <w:spacing w:after="0" w:line="240" w:lineRule="auto"/>
              <w:jc w:val="center"/>
              <w:rPr>
                <w:rFonts w:ascii="Times New Roman" w:eastAsia="Times New Roman" w:hAnsi="Times New Roman" w:cs="Times New Roman"/>
                <w:sz w:val="28"/>
                <w:szCs w:val="28"/>
              </w:rPr>
            </w:pPr>
          </w:p>
        </w:tc>
        <w:tc>
          <w:tcPr>
            <w:tcW w:w="1134" w:type="dxa"/>
            <w:tcBorders>
              <w:top w:val="nil"/>
              <w:left w:val="nil"/>
              <w:bottom w:val="single" w:sz="4" w:space="0" w:color="auto"/>
              <w:right w:val="single" w:sz="4" w:space="0" w:color="auto"/>
            </w:tcBorders>
            <w:shd w:val="clear" w:color="auto" w:fill="auto"/>
            <w:noWrap/>
          </w:tcPr>
          <w:p w14:paraId="7121BCDF"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15926</w:t>
            </w:r>
          </w:p>
        </w:tc>
        <w:tc>
          <w:tcPr>
            <w:tcW w:w="1276" w:type="dxa"/>
            <w:tcBorders>
              <w:top w:val="nil"/>
              <w:left w:val="nil"/>
              <w:bottom w:val="single" w:sz="4" w:space="0" w:color="auto"/>
              <w:right w:val="single" w:sz="4" w:space="0" w:color="auto"/>
            </w:tcBorders>
            <w:shd w:val="clear" w:color="auto" w:fill="auto"/>
            <w:noWrap/>
          </w:tcPr>
          <w:p w14:paraId="3657AE73" w14:textId="4A0DE1E4" w:rsidR="0066583A" w:rsidRPr="004135FE" w:rsidRDefault="0066583A" w:rsidP="006E1680">
            <w:pPr>
              <w:spacing w:after="0" w:line="240" w:lineRule="auto"/>
              <w:jc w:val="center"/>
              <w:rPr>
                <w:rFonts w:ascii="Times New Roman" w:eastAsia="Times New Roman" w:hAnsi="Times New Roman" w:cs="Times New Roman"/>
                <w:sz w:val="28"/>
                <w:szCs w:val="28"/>
              </w:rPr>
            </w:pPr>
          </w:p>
        </w:tc>
        <w:tc>
          <w:tcPr>
            <w:tcW w:w="1418" w:type="dxa"/>
            <w:tcBorders>
              <w:top w:val="nil"/>
              <w:left w:val="nil"/>
              <w:bottom w:val="single" w:sz="4" w:space="0" w:color="auto"/>
              <w:right w:val="single" w:sz="4" w:space="0" w:color="auto"/>
            </w:tcBorders>
            <w:shd w:val="clear" w:color="auto" w:fill="auto"/>
            <w:noWrap/>
          </w:tcPr>
          <w:p w14:paraId="5CCC39EF" w14:textId="119FD59A" w:rsidR="0066583A" w:rsidRPr="004135FE" w:rsidRDefault="0066583A" w:rsidP="006E1680">
            <w:pPr>
              <w:spacing w:after="0" w:line="240" w:lineRule="auto"/>
              <w:jc w:val="center"/>
              <w:rPr>
                <w:rFonts w:ascii="Times New Roman" w:eastAsia="Times New Roman" w:hAnsi="Times New Roman" w:cs="Times New Roman"/>
                <w:sz w:val="28"/>
                <w:szCs w:val="28"/>
              </w:rPr>
            </w:pPr>
          </w:p>
        </w:tc>
        <w:tc>
          <w:tcPr>
            <w:tcW w:w="1275" w:type="dxa"/>
            <w:tcBorders>
              <w:top w:val="nil"/>
              <w:left w:val="nil"/>
              <w:bottom w:val="single" w:sz="4" w:space="0" w:color="auto"/>
              <w:right w:val="single" w:sz="8" w:space="0" w:color="auto"/>
            </w:tcBorders>
            <w:shd w:val="clear" w:color="auto" w:fill="auto"/>
            <w:noWrap/>
          </w:tcPr>
          <w:p w14:paraId="21D75C98" w14:textId="3BD22C65" w:rsidR="0066583A" w:rsidRPr="004135FE" w:rsidRDefault="0066583A" w:rsidP="006E1680">
            <w:pPr>
              <w:spacing w:after="0" w:line="240" w:lineRule="auto"/>
              <w:jc w:val="center"/>
              <w:rPr>
                <w:rFonts w:ascii="Times New Roman" w:eastAsia="Times New Roman" w:hAnsi="Times New Roman" w:cs="Times New Roman"/>
                <w:sz w:val="28"/>
                <w:szCs w:val="28"/>
              </w:rPr>
            </w:pPr>
          </w:p>
        </w:tc>
      </w:tr>
      <w:tr w:rsidR="000A130A" w:rsidRPr="004135FE" w14:paraId="39D46DD4" w14:textId="77777777" w:rsidTr="000A130A">
        <w:trPr>
          <w:trHeight w:val="315"/>
        </w:trPr>
        <w:tc>
          <w:tcPr>
            <w:tcW w:w="850" w:type="dxa"/>
            <w:tcBorders>
              <w:top w:val="nil"/>
              <w:left w:val="single" w:sz="8" w:space="0" w:color="auto"/>
              <w:bottom w:val="single" w:sz="4" w:space="0" w:color="auto"/>
              <w:right w:val="nil"/>
            </w:tcBorders>
            <w:shd w:val="clear" w:color="auto" w:fill="auto"/>
            <w:noWrap/>
            <w:hideMark/>
          </w:tcPr>
          <w:p w14:paraId="721E35D5"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2013</w:t>
            </w:r>
          </w:p>
        </w:tc>
        <w:tc>
          <w:tcPr>
            <w:tcW w:w="1134" w:type="dxa"/>
            <w:tcBorders>
              <w:top w:val="nil"/>
              <w:left w:val="single" w:sz="8" w:space="0" w:color="auto"/>
              <w:bottom w:val="single" w:sz="4" w:space="0" w:color="auto"/>
              <w:right w:val="single" w:sz="4" w:space="0" w:color="auto"/>
            </w:tcBorders>
            <w:shd w:val="clear" w:color="auto" w:fill="auto"/>
            <w:noWrap/>
          </w:tcPr>
          <w:p w14:paraId="0C04119C"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24520</w:t>
            </w:r>
          </w:p>
        </w:tc>
        <w:tc>
          <w:tcPr>
            <w:tcW w:w="1134" w:type="dxa"/>
            <w:tcBorders>
              <w:top w:val="nil"/>
              <w:left w:val="nil"/>
              <w:bottom w:val="single" w:sz="4" w:space="0" w:color="auto"/>
              <w:right w:val="single" w:sz="4" w:space="0" w:color="auto"/>
            </w:tcBorders>
            <w:shd w:val="clear" w:color="auto" w:fill="auto"/>
            <w:noWrap/>
          </w:tcPr>
          <w:p w14:paraId="13245070"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1495,00</w:t>
            </w:r>
          </w:p>
        </w:tc>
        <w:tc>
          <w:tcPr>
            <w:tcW w:w="1134" w:type="dxa"/>
            <w:tcBorders>
              <w:top w:val="nil"/>
              <w:left w:val="nil"/>
              <w:bottom w:val="single" w:sz="4" w:space="0" w:color="auto"/>
              <w:right w:val="single" w:sz="4" w:space="0" w:color="auto"/>
            </w:tcBorders>
            <w:shd w:val="clear" w:color="auto" w:fill="auto"/>
            <w:noWrap/>
          </w:tcPr>
          <w:p w14:paraId="732E8617"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51,48</w:t>
            </w:r>
          </w:p>
        </w:tc>
        <w:tc>
          <w:tcPr>
            <w:tcW w:w="993" w:type="dxa"/>
            <w:tcBorders>
              <w:top w:val="nil"/>
              <w:left w:val="nil"/>
              <w:bottom w:val="single" w:sz="4" w:space="0" w:color="auto"/>
              <w:right w:val="single" w:sz="8" w:space="0" w:color="auto"/>
            </w:tcBorders>
            <w:shd w:val="clear" w:color="auto" w:fill="auto"/>
            <w:noWrap/>
          </w:tcPr>
          <w:p w14:paraId="5ADB2367"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-48,52</w:t>
            </w:r>
          </w:p>
        </w:tc>
        <w:tc>
          <w:tcPr>
            <w:tcW w:w="992" w:type="dxa"/>
            <w:tcBorders>
              <w:top w:val="nil"/>
              <w:left w:val="nil"/>
              <w:bottom w:val="single" w:sz="4" w:space="0" w:color="auto"/>
              <w:right w:val="single" w:sz="4" w:space="0" w:color="auto"/>
            </w:tcBorders>
            <w:shd w:val="clear" w:color="000000" w:fill="FFFFFF"/>
          </w:tcPr>
          <w:p w14:paraId="23EA1AC9"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7634</w:t>
            </w:r>
          </w:p>
        </w:tc>
        <w:tc>
          <w:tcPr>
            <w:tcW w:w="992" w:type="dxa"/>
            <w:tcBorders>
              <w:top w:val="nil"/>
              <w:left w:val="nil"/>
              <w:bottom w:val="single" w:sz="4" w:space="0" w:color="auto"/>
              <w:right w:val="single" w:sz="4" w:space="0" w:color="auto"/>
            </w:tcBorders>
            <w:shd w:val="clear" w:color="000000" w:fill="FFFFFF"/>
          </w:tcPr>
          <w:p w14:paraId="671247DD"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535,00</w:t>
            </w:r>
          </w:p>
        </w:tc>
        <w:tc>
          <w:tcPr>
            <w:tcW w:w="1134" w:type="dxa"/>
            <w:tcBorders>
              <w:top w:val="nil"/>
              <w:left w:val="nil"/>
              <w:bottom w:val="single" w:sz="4" w:space="0" w:color="auto"/>
              <w:right w:val="single" w:sz="4" w:space="0" w:color="auto"/>
            </w:tcBorders>
            <w:shd w:val="clear" w:color="000000" w:fill="FFFFFF"/>
          </w:tcPr>
          <w:p w14:paraId="435BE7FD"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46,03</w:t>
            </w:r>
          </w:p>
        </w:tc>
        <w:tc>
          <w:tcPr>
            <w:tcW w:w="992" w:type="dxa"/>
            <w:tcBorders>
              <w:top w:val="nil"/>
              <w:left w:val="nil"/>
              <w:bottom w:val="single" w:sz="4" w:space="0" w:color="auto"/>
              <w:right w:val="single" w:sz="8" w:space="0" w:color="auto"/>
            </w:tcBorders>
            <w:shd w:val="clear" w:color="000000" w:fill="FFFFFF"/>
          </w:tcPr>
          <w:p w14:paraId="37DFB4AB"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-53,97</w:t>
            </w:r>
          </w:p>
        </w:tc>
        <w:tc>
          <w:tcPr>
            <w:tcW w:w="1134" w:type="dxa"/>
            <w:tcBorders>
              <w:top w:val="nil"/>
              <w:left w:val="nil"/>
              <w:bottom w:val="single" w:sz="4" w:space="0" w:color="auto"/>
              <w:right w:val="single" w:sz="4" w:space="0" w:color="auto"/>
            </w:tcBorders>
            <w:shd w:val="clear" w:color="auto" w:fill="auto"/>
            <w:noWrap/>
          </w:tcPr>
          <w:p w14:paraId="1C22E335"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16886</w:t>
            </w:r>
          </w:p>
        </w:tc>
        <w:tc>
          <w:tcPr>
            <w:tcW w:w="1276" w:type="dxa"/>
            <w:tcBorders>
              <w:top w:val="nil"/>
              <w:left w:val="nil"/>
              <w:bottom w:val="single" w:sz="4" w:space="0" w:color="auto"/>
              <w:right w:val="single" w:sz="4" w:space="0" w:color="auto"/>
            </w:tcBorders>
            <w:shd w:val="clear" w:color="auto" w:fill="auto"/>
            <w:noWrap/>
          </w:tcPr>
          <w:p w14:paraId="01732EFE"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960,00</w:t>
            </w:r>
          </w:p>
        </w:tc>
        <w:tc>
          <w:tcPr>
            <w:tcW w:w="1418" w:type="dxa"/>
            <w:tcBorders>
              <w:top w:val="nil"/>
              <w:left w:val="nil"/>
              <w:bottom w:val="single" w:sz="4" w:space="0" w:color="auto"/>
              <w:right w:val="single" w:sz="4" w:space="0" w:color="auto"/>
            </w:tcBorders>
            <w:shd w:val="clear" w:color="auto" w:fill="auto"/>
            <w:noWrap/>
          </w:tcPr>
          <w:p w14:paraId="3ADE655F"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54,35</w:t>
            </w:r>
          </w:p>
        </w:tc>
        <w:tc>
          <w:tcPr>
            <w:tcW w:w="1275" w:type="dxa"/>
            <w:tcBorders>
              <w:top w:val="nil"/>
              <w:left w:val="nil"/>
              <w:bottom w:val="single" w:sz="4" w:space="0" w:color="auto"/>
              <w:right w:val="single" w:sz="8" w:space="0" w:color="auto"/>
            </w:tcBorders>
            <w:shd w:val="clear" w:color="auto" w:fill="auto"/>
            <w:noWrap/>
          </w:tcPr>
          <w:p w14:paraId="00E3AF9B"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-45,65</w:t>
            </w:r>
          </w:p>
        </w:tc>
      </w:tr>
      <w:tr w:rsidR="000A130A" w:rsidRPr="004135FE" w14:paraId="731F6F74" w14:textId="77777777" w:rsidTr="000A130A">
        <w:trPr>
          <w:trHeight w:val="315"/>
        </w:trPr>
        <w:tc>
          <w:tcPr>
            <w:tcW w:w="850" w:type="dxa"/>
            <w:tcBorders>
              <w:top w:val="nil"/>
              <w:left w:val="single" w:sz="8" w:space="0" w:color="auto"/>
              <w:bottom w:val="single" w:sz="4" w:space="0" w:color="auto"/>
              <w:right w:val="nil"/>
            </w:tcBorders>
            <w:shd w:val="clear" w:color="auto" w:fill="auto"/>
            <w:noWrap/>
            <w:hideMark/>
          </w:tcPr>
          <w:p w14:paraId="2586316A"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2014</w:t>
            </w:r>
          </w:p>
        </w:tc>
        <w:tc>
          <w:tcPr>
            <w:tcW w:w="1134" w:type="dxa"/>
            <w:tcBorders>
              <w:top w:val="nil"/>
              <w:left w:val="single" w:sz="8" w:space="0" w:color="auto"/>
              <w:bottom w:val="single" w:sz="4" w:space="0" w:color="auto"/>
              <w:right w:val="single" w:sz="4" w:space="0" w:color="auto"/>
            </w:tcBorders>
            <w:shd w:val="clear" w:color="auto" w:fill="auto"/>
            <w:noWrap/>
          </w:tcPr>
          <w:p w14:paraId="282274D1"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26044</w:t>
            </w:r>
          </w:p>
        </w:tc>
        <w:tc>
          <w:tcPr>
            <w:tcW w:w="1134" w:type="dxa"/>
            <w:tcBorders>
              <w:top w:val="nil"/>
              <w:left w:val="nil"/>
              <w:bottom w:val="single" w:sz="4" w:space="0" w:color="auto"/>
              <w:right w:val="single" w:sz="4" w:space="0" w:color="auto"/>
            </w:tcBorders>
            <w:shd w:val="clear" w:color="auto" w:fill="auto"/>
            <w:noWrap/>
          </w:tcPr>
          <w:p w14:paraId="4CE85070"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1524,00</w:t>
            </w:r>
          </w:p>
        </w:tc>
        <w:tc>
          <w:tcPr>
            <w:tcW w:w="1134" w:type="dxa"/>
            <w:tcBorders>
              <w:top w:val="nil"/>
              <w:left w:val="nil"/>
              <w:bottom w:val="single" w:sz="4" w:space="0" w:color="auto"/>
              <w:right w:val="single" w:sz="4" w:space="0" w:color="auto"/>
            </w:tcBorders>
            <w:shd w:val="clear" w:color="auto" w:fill="auto"/>
            <w:noWrap/>
          </w:tcPr>
          <w:p w14:paraId="0762C2B7"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54,82</w:t>
            </w:r>
          </w:p>
        </w:tc>
        <w:tc>
          <w:tcPr>
            <w:tcW w:w="993" w:type="dxa"/>
            <w:tcBorders>
              <w:top w:val="nil"/>
              <w:left w:val="nil"/>
              <w:bottom w:val="single" w:sz="4" w:space="0" w:color="auto"/>
              <w:right w:val="single" w:sz="8" w:space="0" w:color="auto"/>
            </w:tcBorders>
            <w:shd w:val="clear" w:color="auto" w:fill="auto"/>
            <w:noWrap/>
          </w:tcPr>
          <w:p w14:paraId="72D49AC7"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-45,18</w:t>
            </w:r>
          </w:p>
        </w:tc>
        <w:tc>
          <w:tcPr>
            <w:tcW w:w="992" w:type="dxa"/>
            <w:tcBorders>
              <w:top w:val="nil"/>
              <w:left w:val="nil"/>
              <w:bottom w:val="single" w:sz="4" w:space="0" w:color="auto"/>
              <w:right w:val="single" w:sz="4" w:space="0" w:color="auto"/>
            </w:tcBorders>
            <w:shd w:val="clear" w:color="auto" w:fill="auto"/>
            <w:noWrap/>
          </w:tcPr>
          <w:p w14:paraId="6142BC40"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8204</w:t>
            </w:r>
          </w:p>
        </w:tc>
        <w:tc>
          <w:tcPr>
            <w:tcW w:w="992" w:type="dxa"/>
            <w:tcBorders>
              <w:top w:val="nil"/>
              <w:left w:val="nil"/>
              <w:bottom w:val="single" w:sz="4" w:space="0" w:color="auto"/>
              <w:right w:val="single" w:sz="4" w:space="0" w:color="auto"/>
            </w:tcBorders>
            <w:shd w:val="clear" w:color="000000" w:fill="FFFFFF"/>
          </w:tcPr>
          <w:p w14:paraId="583CDC1C"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570,00</w:t>
            </w:r>
          </w:p>
        </w:tc>
        <w:tc>
          <w:tcPr>
            <w:tcW w:w="1134" w:type="dxa"/>
            <w:tcBorders>
              <w:top w:val="nil"/>
              <w:left w:val="nil"/>
              <w:bottom w:val="single" w:sz="4" w:space="0" w:color="auto"/>
              <w:right w:val="single" w:sz="4" w:space="0" w:color="auto"/>
            </w:tcBorders>
            <w:shd w:val="clear" w:color="000000" w:fill="FFFFFF"/>
          </w:tcPr>
          <w:p w14:paraId="31D4F77D"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49,49</w:t>
            </w:r>
          </w:p>
        </w:tc>
        <w:tc>
          <w:tcPr>
            <w:tcW w:w="992" w:type="dxa"/>
            <w:tcBorders>
              <w:top w:val="nil"/>
              <w:left w:val="nil"/>
              <w:bottom w:val="single" w:sz="4" w:space="0" w:color="auto"/>
              <w:right w:val="single" w:sz="8" w:space="0" w:color="auto"/>
            </w:tcBorders>
            <w:shd w:val="clear" w:color="000000" w:fill="FFFFFF"/>
          </w:tcPr>
          <w:p w14:paraId="52273DAB"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-50,51</w:t>
            </w:r>
          </w:p>
        </w:tc>
        <w:tc>
          <w:tcPr>
            <w:tcW w:w="1134" w:type="dxa"/>
            <w:tcBorders>
              <w:top w:val="nil"/>
              <w:left w:val="nil"/>
              <w:bottom w:val="single" w:sz="4" w:space="0" w:color="auto"/>
              <w:right w:val="single" w:sz="4" w:space="0" w:color="auto"/>
            </w:tcBorders>
            <w:shd w:val="clear" w:color="auto" w:fill="auto"/>
            <w:noWrap/>
          </w:tcPr>
          <w:p w14:paraId="467598FF"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17840</w:t>
            </w:r>
          </w:p>
        </w:tc>
        <w:tc>
          <w:tcPr>
            <w:tcW w:w="1276" w:type="dxa"/>
            <w:tcBorders>
              <w:top w:val="nil"/>
              <w:left w:val="nil"/>
              <w:bottom w:val="single" w:sz="4" w:space="0" w:color="auto"/>
              <w:right w:val="single" w:sz="4" w:space="0" w:color="auto"/>
            </w:tcBorders>
            <w:shd w:val="clear" w:color="auto" w:fill="auto"/>
            <w:noWrap/>
          </w:tcPr>
          <w:p w14:paraId="287B3A3E"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954,00</w:t>
            </w:r>
          </w:p>
        </w:tc>
        <w:tc>
          <w:tcPr>
            <w:tcW w:w="1418" w:type="dxa"/>
            <w:tcBorders>
              <w:top w:val="nil"/>
              <w:left w:val="nil"/>
              <w:bottom w:val="single" w:sz="4" w:space="0" w:color="auto"/>
              <w:right w:val="single" w:sz="4" w:space="0" w:color="auto"/>
            </w:tcBorders>
            <w:shd w:val="clear" w:color="auto" w:fill="auto"/>
            <w:noWrap/>
          </w:tcPr>
          <w:p w14:paraId="1A761A91"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57,62</w:t>
            </w:r>
          </w:p>
        </w:tc>
        <w:tc>
          <w:tcPr>
            <w:tcW w:w="1275" w:type="dxa"/>
            <w:tcBorders>
              <w:top w:val="nil"/>
              <w:left w:val="nil"/>
              <w:bottom w:val="single" w:sz="4" w:space="0" w:color="auto"/>
              <w:right w:val="single" w:sz="8" w:space="0" w:color="auto"/>
            </w:tcBorders>
            <w:shd w:val="clear" w:color="auto" w:fill="auto"/>
            <w:noWrap/>
          </w:tcPr>
          <w:p w14:paraId="3FE5EF70"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-42,38</w:t>
            </w:r>
          </w:p>
        </w:tc>
      </w:tr>
      <w:tr w:rsidR="000A130A" w:rsidRPr="004135FE" w14:paraId="0DB3CDFE" w14:textId="77777777" w:rsidTr="000A130A">
        <w:trPr>
          <w:trHeight w:val="315"/>
        </w:trPr>
        <w:tc>
          <w:tcPr>
            <w:tcW w:w="850" w:type="dxa"/>
            <w:tcBorders>
              <w:top w:val="nil"/>
              <w:left w:val="single" w:sz="8" w:space="0" w:color="auto"/>
              <w:bottom w:val="single" w:sz="4" w:space="0" w:color="auto"/>
              <w:right w:val="nil"/>
            </w:tcBorders>
            <w:shd w:val="clear" w:color="auto" w:fill="auto"/>
            <w:noWrap/>
            <w:hideMark/>
          </w:tcPr>
          <w:p w14:paraId="1803B831"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2015</w:t>
            </w:r>
          </w:p>
        </w:tc>
        <w:tc>
          <w:tcPr>
            <w:tcW w:w="1134" w:type="dxa"/>
            <w:tcBorders>
              <w:top w:val="nil"/>
              <w:left w:val="single" w:sz="8" w:space="0" w:color="auto"/>
              <w:bottom w:val="single" w:sz="4" w:space="0" w:color="auto"/>
              <w:right w:val="single" w:sz="4" w:space="0" w:color="auto"/>
            </w:tcBorders>
            <w:shd w:val="clear" w:color="000000" w:fill="FFFFFF"/>
          </w:tcPr>
          <w:p w14:paraId="61BDFDCD"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26606</w:t>
            </w:r>
          </w:p>
        </w:tc>
        <w:tc>
          <w:tcPr>
            <w:tcW w:w="1134" w:type="dxa"/>
            <w:tcBorders>
              <w:top w:val="nil"/>
              <w:left w:val="nil"/>
              <w:bottom w:val="single" w:sz="4" w:space="0" w:color="auto"/>
              <w:right w:val="single" w:sz="4" w:space="0" w:color="auto"/>
            </w:tcBorders>
            <w:shd w:val="clear" w:color="auto" w:fill="auto"/>
            <w:noWrap/>
          </w:tcPr>
          <w:p w14:paraId="50BE7EAF"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562,00</w:t>
            </w:r>
          </w:p>
        </w:tc>
        <w:tc>
          <w:tcPr>
            <w:tcW w:w="1134" w:type="dxa"/>
            <w:tcBorders>
              <w:top w:val="nil"/>
              <w:left w:val="nil"/>
              <w:bottom w:val="single" w:sz="4" w:space="0" w:color="auto"/>
              <w:right w:val="single" w:sz="4" w:space="0" w:color="auto"/>
            </w:tcBorders>
            <w:shd w:val="clear" w:color="auto" w:fill="auto"/>
            <w:noWrap/>
          </w:tcPr>
          <w:p w14:paraId="370ED7EA"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58,23</w:t>
            </w:r>
          </w:p>
        </w:tc>
        <w:tc>
          <w:tcPr>
            <w:tcW w:w="993" w:type="dxa"/>
            <w:tcBorders>
              <w:top w:val="nil"/>
              <w:left w:val="nil"/>
              <w:bottom w:val="single" w:sz="4" w:space="0" w:color="auto"/>
              <w:right w:val="single" w:sz="8" w:space="0" w:color="auto"/>
            </w:tcBorders>
            <w:shd w:val="clear" w:color="auto" w:fill="auto"/>
            <w:noWrap/>
          </w:tcPr>
          <w:p w14:paraId="4F7E0BC4"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-41,77</w:t>
            </w:r>
          </w:p>
        </w:tc>
        <w:tc>
          <w:tcPr>
            <w:tcW w:w="992" w:type="dxa"/>
            <w:tcBorders>
              <w:top w:val="nil"/>
              <w:left w:val="nil"/>
              <w:bottom w:val="single" w:sz="4" w:space="0" w:color="auto"/>
              <w:right w:val="single" w:sz="4" w:space="0" w:color="auto"/>
            </w:tcBorders>
            <w:shd w:val="clear" w:color="000000" w:fill="FFFFFF"/>
          </w:tcPr>
          <w:p w14:paraId="31963D4A"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8370</w:t>
            </w:r>
          </w:p>
        </w:tc>
        <w:tc>
          <w:tcPr>
            <w:tcW w:w="992" w:type="dxa"/>
            <w:tcBorders>
              <w:top w:val="nil"/>
              <w:left w:val="nil"/>
              <w:bottom w:val="single" w:sz="4" w:space="0" w:color="auto"/>
              <w:right w:val="single" w:sz="4" w:space="0" w:color="auto"/>
            </w:tcBorders>
            <w:shd w:val="clear" w:color="000000" w:fill="FFFFFF"/>
          </w:tcPr>
          <w:p w14:paraId="6BBA069D"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166,00</w:t>
            </w:r>
          </w:p>
        </w:tc>
        <w:tc>
          <w:tcPr>
            <w:tcW w:w="1134" w:type="dxa"/>
            <w:tcBorders>
              <w:top w:val="nil"/>
              <w:left w:val="nil"/>
              <w:bottom w:val="single" w:sz="4" w:space="0" w:color="auto"/>
              <w:right w:val="single" w:sz="4" w:space="0" w:color="auto"/>
            </w:tcBorders>
            <w:shd w:val="clear" w:color="000000" w:fill="FFFFFF"/>
          </w:tcPr>
          <w:p w14:paraId="5A9CA0DB"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53,19</w:t>
            </w:r>
          </w:p>
        </w:tc>
        <w:tc>
          <w:tcPr>
            <w:tcW w:w="992" w:type="dxa"/>
            <w:tcBorders>
              <w:top w:val="nil"/>
              <w:left w:val="nil"/>
              <w:bottom w:val="single" w:sz="4" w:space="0" w:color="auto"/>
              <w:right w:val="single" w:sz="8" w:space="0" w:color="auto"/>
            </w:tcBorders>
            <w:shd w:val="clear" w:color="000000" w:fill="FFFFFF"/>
          </w:tcPr>
          <w:p w14:paraId="45D3DA15"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-46,81</w:t>
            </w:r>
          </w:p>
        </w:tc>
        <w:tc>
          <w:tcPr>
            <w:tcW w:w="1134" w:type="dxa"/>
            <w:tcBorders>
              <w:top w:val="nil"/>
              <w:left w:val="nil"/>
              <w:bottom w:val="single" w:sz="4" w:space="0" w:color="auto"/>
              <w:right w:val="single" w:sz="4" w:space="0" w:color="auto"/>
            </w:tcBorders>
            <w:shd w:val="clear" w:color="auto" w:fill="auto"/>
            <w:noWrap/>
          </w:tcPr>
          <w:p w14:paraId="6B624060"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18236</w:t>
            </w:r>
          </w:p>
        </w:tc>
        <w:tc>
          <w:tcPr>
            <w:tcW w:w="1276" w:type="dxa"/>
            <w:tcBorders>
              <w:top w:val="nil"/>
              <w:left w:val="nil"/>
              <w:bottom w:val="single" w:sz="4" w:space="0" w:color="auto"/>
              <w:right w:val="single" w:sz="4" w:space="0" w:color="auto"/>
            </w:tcBorders>
            <w:shd w:val="clear" w:color="auto" w:fill="auto"/>
            <w:noWrap/>
          </w:tcPr>
          <w:p w14:paraId="334CA088"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396,00</w:t>
            </w:r>
          </w:p>
        </w:tc>
        <w:tc>
          <w:tcPr>
            <w:tcW w:w="1418" w:type="dxa"/>
            <w:tcBorders>
              <w:top w:val="nil"/>
              <w:left w:val="nil"/>
              <w:bottom w:val="single" w:sz="4" w:space="0" w:color="auto"/>
              <w:right w:val="single" w:sz="4" w:space="0" w:color="auto"/>
            </w:tcBorders>
            <w:shd w:val="clear" w:color="auto" w:fill="auto"/>
            <w:noWrap/>
          </w:tcPr>
          <w:p w14:paraId="1DB74C69"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60,88</w:t>
            </w:r>
          </w:p>
        </w:tc>
        <w:tc>
          <w:tcPr>
            <w:tcW w:w="1275" w:type="dxa"/>
            <w:tcBorders>
              <w:top w:val="nil"/>
              <w:left w:val="nil"/>
              <w:bottom w:val="single" w:sz="4" w:space="0" w:color="auto"/>
              <w:right w:val="single" w:sz="8" w:space="0" w:color="auto"/>
            </w:tcBorders>
            <w:shd w:val="clear" w:color="auto" w:fill="auto"/>
            <w:noWrap/>
          </w:tcPr>
          <w:p w14:paraId="1BFB2B2B"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-39,12</w:t>
            </w:r>
          </w:p>
        </w:tc>
      </w:tr>
      <w:tr w:rsidR="000A130A" w:rsidRPr="004135FE" w14:paraId="43A7F5BF" w14:textId="77777777" w:rsidTr="000A130A">
        <w:trPr>
          <w:trHeight w:val="315"/>
        </w:trPr>
        <w:tc>
          <w:tcPr>
            <w:tcW w:w="850" w:type="dxa"/>
            <w:tcBorders>
              <w:top w:val="nil"/>
              <w:left w:val="single" w:sz="8" w:space="0" w:color="auto"/>
              <w:bottom w:val="single" w:sz="4" w:space="0" w:color="auto"/>
              <w:right w:val="nil"/>
            </w:tcBorders>
            <w:shd w:val="clear" w:color="auto" w:fill="auto"/>
            <w:noWrap/>
            <w:hideMark/>
          </w:tcPr>
          <w:p w14:paraId="45F233AF"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2016</w:t>
            </w:r>
          </w:p>
        </w:tc>
        <w:tc>
          <w:tcPr>
            <w:tcW w:w="1134" w:type="dxa"/>
            <w:tcBorders>
              <w:top w:val="nil"/>
              <w:left w:val="single" w:sz="8" w:space="0" w:color="auto"/>
              <w:bottom w:val="single" w:sz="4" w:space="0" w:color="auto"/>
              <w:right w:val="single" w:sz="4" w:space="0" w:color="auto"/>
            </w:tcBorders>
            <w:shd w:val="clear" w:color="000000" w:fill="FFFFFF"/>
          </w:tcPr>
          <w:p w14:paraId="77B59311"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30454</w:t>
            </w:r>
          </w:p>
        </w:tc>
        <w:tc>
          <w:tcPr>
            <w:tcW w:w="1134" w:type="dxa"/>
            <w:tcBorders>
              <w:top w:val="nil"/>
              <w:left w:val="nil"/>
              <w:bottom w:val="single" w:sz="4" w:space="0" w:color="auto"/>
              <w:right w:val="single" w:sz="4" w:space="0" w:color="auto"/>
            </w:tcBorders>
            <w:shd w:val="clear" w:color="auto" w:fill="auto"/>
            <w:noWrap/>
          </w:tcPr>
          <w:p w14:paraId="0BD7F2DB"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3848,00</w:t>
            </w:r>
          </w:p>
        </w:tc>
        <w:tc>
          <w:tcPr>
            <w:tcW w:w="1134" w:type="dxa"/>
            <w:tcBorders>
              <w:top w:val="nil"/>
              <w:left w:val="nil"/>
              <w:bottom w:val="single" w:sz="4" w:space="0" w:color="auto"/>
              <w:right w:val="single" w:sz="4" w:space="0" w:color="auto"/>
            </w:tcBorders>
            <w:shd w:val="clear" w:color="auto" w:fill="auto"/>
            <w:noWrap/>
          </w:tcPr>
          <w:p w14:paraId="768C82D0"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59,48</w:t>
            </w:r>
          </w:p>
        </w:tc>
        <w:tc>
          <w:tcPr>
            <w:tcW w:w="993" w:type="dxa"/>
            <w:tcBorders>
              <w:top w:val="nil"/>
              <w:left w:val="nil"/>
              <w:bottom w:val="single" w:sz="4" w:space="0" w:color="auto"/>
              <w:right w:val="single" w:sz="8" w:space="0" w:color="auto"/>
            </w:tcBorders>
            <w:shd w:val="clear" w:color="auto" w:fill="auto"/>
            <w:noWrap/>
          </w:tcPr>
          <w:p w14:paraId="07835BCE"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-40,52</w:t>
            </w:r>
          </w:p>
        </w:tc>
        <w:tc>
          <w:tcPr>
            <w:tcW w:w="992" w:type="dxa"/>
            <w:tcBorders>
              <w:top w:val="nil"/>
              <w:left w:val="nil"/>
              <w:bottom w:val="single" w:sz="4" w:space="0" w:color="auto"/>
              <w:right w:val="single" w:sz="4" w:space="0" w:color="auto"/>
            </w:tcBorders>
            <w:shd w:val="clear" w:color="auto" w:fill="auto"/>
            <w:noWrap/>
          </w:tcPr>
          <w:p w14:paraId="55659339"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9753</w:t>
            </w:r>
          </w:p>
        </w:tc>
        <w:tc>
          <w:tcPr>
            <w:tcW w:w="992" w:type="dxa"/>
            <w:tcBorders>
              <w:top w:val="nil"/>
              <w:left w:val="nil"/>
              <w:bottom w:val="single" w:sz="4" w:space="0" w:color="auto"/>
              <w:right w:val="single" w:sz="4" w:space="0" w:color="auto"/>
            </w:tcBorders>
            <w:shd w:val="clear" w:color="000000" w:fill="FFFFFF"/>
          </w:tcPr>
          <w:p w14:paraId="34CDE40C"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1383,00</w:t>
            </w:r>
          </w:p>
        </w:tc>
        <w:tc>
          <w:tcPr>
            <w:tcW w:w="1134" w:type="dxa"/>
            <w:tcBorders>
              <w:top w:val="nil"/>
              <w:left w:val="nil"/>
              <w:bottom w:val="single" w:sz="4" w:space="0" w:color="auto"/>
              <w:right w:val="single" w:sz="4" w:space="0" w:color="auto"/>
            </w:tcBorders>
            <w:shd w:val="clear" w:color="000000" w:fill="FFFFFF"/>
          </w:tcPr>
          <w:p w14:paraId="59B2813E"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54,27</w:t>
            </w:r>
          </w:p>
        </w:tc>
        <w:tc>
          <w:tcPr>
            <w:tcW w:w="992" w:type="dxa"/>
            <w:tcBorders>
              <w:top w:val="nil"/>
              <w:left w:val="nil"/>
              <w:bottom w:val="single" w:sz="4" w:space="0" w:color="auto"/>
              <w:right w:val="single" w:sz="8" w:space="0" w:color="auto"/>
            </w:tcBorders>
            <w:shd w:val="clear" w:color="000000" w:fill="FFFFFF"/>
          </w:tcPr>
          <w:p w14:paraId="3014FC0B"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-45,73</w:t>
            </w:r>
          </w:p>
        </w:tc>
        <w:tc>
          <w:tcPr>
            <w:tcW w:w="1134" w:type="dxa"/>
            <w:tcBorders>
              <w:top w:val="nil"/>
              <w:left w:val="nil"/>
              <w:bottom w:val="single" w:sz="4" w:space="0" w:color="auto"/>
              <w:right w:val="single" w:sz="4" w:space="0" w:color="auto"/>
            </w:tcBorders>
            <w:shd w:val="clear" w:color="auto" w:fill="auto"/>
            <w:noWrap/>
          </w:tcPr>
          <w:p w14:paraId="301607A4"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20701</w:t>
            </w:r>
          </w:p>
        </w:tc>
        <w:tc>
          <w:tcPr>
            <w:tcW w:w="1276" w:type="dxa"/>
            <w:tcBorders>
              <w:top w:val="nil"/>
              <w:left w:val="nil"/>
              <w:bottom w:val="single" w:sz="4" w:space="0" w:color="auto"/>
              <w:right w:val="single" w:sz="4" w:space="0" w:color="auto"/>
            </w:tcBorders>
            <w:shd w:val="clear" w:color="auto" w:fill="auto"/>
            <w:noWrap/>
          </w:tcPr>
          <w:p w14:paraId="582FE9A8"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2465,00</w:t>
            </w:r>
          </w:p>
        </w:tc>
        <w:tc>
          <w:tcPr>
            <w:tcW w:w="1418" w:type="dxa"/>
            <w:tcBorders>
              <w:top w:val="nil"/>
              <w:left w:val="nil"/>
              <w:bottom w:val="single" w:sz="4" w:space="0" w:color="auto"/>
              <w:right w:val="single" w:sz="4" w:space="0" w:color="auto"/>
            </w:tcBorders>
            <w:shd w:val="clear" w:color="auto" w:fill="auto"/>
            <w:noWrap/>
          </w:tcPr>
          <w:p w14:paraId="4123AC05"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62,23</w:t>
            </w:r>
          </w:p>
        </w:tc>
        <w:tc>
          <w:tcPr>
            <w:tcW w:w="1275" w:type="dxa"/>
            <w:tcBorders>
              <w:top w:val="nil"/>
              <w:left w:val="nil"/>
              <w:bottom w:val="single" w:sz="4" w:space="0" w:color="auto"/>
              <w:right w:val="single" w:sz="8" w:space="0" w:color="auto"/>
            </w:tcBorders>
            <w:shd w:val="clear" w:color="auto" w:fill="auto"/>
            <w:noWrap/>
          </w:tcPr>
          <w:p w14:paraId="108B1B6E"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-37,77</w:t>
            </w:r>
          </w:p>
        </w:tc>
      </w:tr>
      <w:tr w:rsidR="000A130A" w:rsidRPr="004135FE" w14:paraId="165A2469" w14:textId="77777777" w:rsidTr="000A130A">
        <w:trPr>
          <w:trHeight w:val="315"/>
        </w:trPr>
        <w:tc>
          <w:tcPr>
            <w:tcW w:w="850" w:type="dxa"/>
            <w:tcBorders>
              <w:top w:val="nil"/>
              <w:left w:val="single" w:sz="8" w:space="0" w:color="auto"/>
              <w:bottom w:val="single" w:sz="4" w:space="0" w:color="auto"/>
              <w:right w:val="nil"/>
            </w:tcBorders>
            <w:shd w:val="clear" w:color="auto" w:fill="auto"/>
            <w:noWrap/>
            <w:hideMark/>
          </w:tcPr>
          <w:p w14:paraId="1D8B6F5D"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2017</w:t>
            </w:r>
          </w:p>
        </w:tc>
        <w:tc>
          <w:tcPr>
            <w:tcW w:w="1134" w:type="dxa"/>
            <w:tcBorders>
              <w:top w:val="nil"/>
              <w:left w:val="single" w:sz="8" w:space="0" w:color="auto"/>
              <w:bottom w:val="single" w:sz="4" w:space="0" w:color="auto"/>
              <w:right w:val="single" w:sz="4" w:space="0" w:color="auto"/>
            </w:tcBorders>
            <w:shd w:val="clear" w:color="auto" w:fill="auto"/>
            <w:noWrap/>
          </w:tcPr>
          <w:p w14:paraId="093C0780"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32233</w:t>
            </w:r>
          </w:p>
        </w:tc>
        <w:tc>
          <w:tcPr>
            <w:tcW w:w="1134" w:type="dxa"/>
            <w:tcBorders>
              <w:top w:val="nil"/>
              <w:left w:val="nil"/>
              <w:bottom w:val="single" w:sz="4" w:space="0" w:color="auto"/>
              <w:right w:val="single" w:sz="4" w:space="0" w:color="auto"/>
            </w:tcBorders>
            <w:shd w:val="clear" w:color="auto" w:fill="auto"/>
            <w:noWrap/>
          </w:tcPr>
          <w:p w14:paraId="5EF85C44"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1779,00</w:t>
            </w:r>
          </w:p>
        </w:tc>
        <w:tc>
          <w:tcPr>
            <w:tcW w:w="1134" w:type="dxa"/>
            <w:tcBorders>
              <w:top w:val="nil"/>
              <w:left w:val="nil"/>
              <w:bottom w:val="single" w:sz="4" w:space="0" w:color="auto"/>
              <w:right w:val="single" w:sz="4" w:space="0" w:color="auto"/>
            </w:tcBorders>
            <w:shd w:val="clear" w:color="auto" w:fill="auto"/>
            <w:noWrap/>
          </w:tcPr>
          <w:p w14:paraId="78F88154"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68,09</w:t>
            </w:r>
          </w:p>
        </w:tc>
        <w:tc>
          <w:tcPr>
            <w:tcW w:w="993" w:type="dxa"/>
            <w:tcBorders>
              <w:top w:val="nil"/>
              <w:left w:val="nil"/>
              <w:bottom w:val="single" w:sz="4" w:space="0" w:color="auto"/>
              <w:right w:val="single" w:sz="8" w:space="0" w:color="auto"/>
            </w:tcBorders>
            <w:shd w:val="clear" w:color="auto" w:fill="auto"/>
            <w:noWrap/>
          </w:tcPr>
          <w:p w14:paraId="7086718B"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-31,91</w:t>
            </w:r>
          </w:p>
        </w:tc>
        <w:tc>
          <w:tcPr>
            <w:tcW w:w="992" w:type="dxa"/>
            <w:tcBorders>
              <w:top w:val="nil"/>
              <w:left w:val="nil"/>
              <w:bottom w:val="single" w:sz="4" w:space="0" w:color="auto"/>
              <w:right w:val="single" w:sz="4" w:space="0" w:color="auto"/>
            </w:tcBorders>
            <w:shd w:val="clear" w:color="000000" w:fill="FFFFFF"/>
          </w:tcPr>
          <w:p w14:paraId="70BECF6A"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10531</w:t>
            </w:r>
          </w:p>
        </w:tc>
        <w:tc>
          <w:tcPr>
            <w:tcW w:w="992" w:type="dxa"/>
            <w:tcBorders>
              <w:top w:val="nil"/>
              <w:left w:val="nil"/>
              <w:bottom w:val="single" w:sz="4" w:space="0" w:color="auto"/>
              <w:right w:val="single" w:sz="4" w:space="0" w:color="auto"/>
            </w:tcBorders>
            <w:shd w:val="clear" w:color="000000" w:fill="FFFFFF"/>
          </w:tcPr>
          <w:p w14:paraId="63280154"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778,00</w:t>
            </w:r>
          </w:p>
        </w:tc>
        <w:tc>
          <w:tcPr>
            <w:tcW w:w="1134" w:type="dxa"/>
            <w:tcBorders>
              <w:top w:val="nil"/>
              <w:left w:val="nil"/>
              <w:bottom w:val="single" w:sz="4" w:space="0" w:color="auto"/>
              <w:right w:val="single" w:sz="4" w:space="0" w:color="auto"/>
            </w:tcBorders>
            <w:shd w:val="clear" w:color="000000" w:fill="FFFFFF"/>
          </w:tcPr>
          <w:p w14:paraId="10C7DC0B"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63,23</w:t>
            </w:r>
          </w:p>
        </w:tc>
        <w:tc>
          <w:tcPr>
            <w:tcW w:w="992" w:type="dxa"/>
            <w:tcBorders>
              <w:top w:val="nil"/>
              <w:left w:val="nil"/>
              <w:bottom w:val="single" w:sz="4" w:space="0" w:color="auto"/>
              <w:right w:val="single" w:sz="8" w:space="0" w:color="auto"/>
            </w:tcBorders>
            <w:shd w:val="clear" w:color="000000" w:fill="FFFFFF"/>
          </w:tcPr>
          <w:p w14:paraId="5E515462"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-36,77</w:t>
            </w:r>
          </w:p>
        </w:tc>
        <w:tc>
          <w:tcPr>
            <w:tcW w:w="1134" w:type="dxa"/>
            <w:tcBorders>
              <w:top w:val="nil"/>
              <w:left w:val="nil"/>
              <w:bottom w:val="single" w:sz="4" w:space="0" w:color="auto"/>
              <w:right w:val="single" w:sz="4" w:space="0" w:color="auto"/>
            </w:tcBorders>
            <w:shd w:val="clear" w:color="auto" w:fill="auto"/>
            <w:noWrap/>
          </w:tcPr>
          <w:p w14:paraId="711F0AE4"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21702</w:t>
            </w:r>
          </w:p>
        </w:tc>
        <w:tc>
          <w:tcPr>
            <w:tcW w:w="1276" w:type="dxa"/>
            <w:tcBorders>
              <w:top w:val="nil"/>
              <w:left w:val="nil"/>
              <w:bottom w:val="single" w:sz="4" w:space="0" w:color="auto"/>
              <w:right w:val="single" w:sz="4" w:space="0" w:color="auto"/>
            </w:tcBorders>
            <w:shd w:val="clear" w:color="auto" w:fill="auto"/>
            <w:noWrap/>
          </w:tcPr>
          <w:p w14:paraId="4EF1BE1E"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1001,00</w:t>
            </w:r>
          </w:p>
        </w:tc>
        <w:tc>
          <w:tcPr>
            <w:tcW w:w="1418" w:type="dxa"/>
            <w:tcBorders>
              <w:top w:val="nil"/>
              <w:left w:val="nil"/>
              <w:bottom w:val="single" w:sz="4" w:space="0" w:color="auto"/>
              <w:right w:val="single" w:sz="4" w:space="0" w:color="auto"/>
            </w:tcBorders>
            <w:shd w:val="clear" w:color="auto" w:fill="auto"/>
            <w:noWrap/>
          </w:tcPr>
          <w:p w14:paraId="2B177751"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70,64</w:t>
            </w:r>
          </w:p>
        </w:tc>
        <w:tc>
          <w:tcPr>
            <w:tcW w:w="1275" w:type="dxa"/>
            <w:tcBorders>
              <w:top w:val="nil"/>
              <w:left w:val="nil"/>
              <w:bottom w:val="single" w:sz="4" w:space="0" w:color="auto"/>
              <w:right w:val="single" w:sz="8" w:space="0" w:color="auto"/>
            </w:tcBorders>
            <w:shd w:val="clear" w:color="auto" w:fill="auto"/>
            <w:noWrap/>
          </w:tcPr>
          <w:p w14:paraId="3E491FEA"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-29,36</w:t>
            </w:r>
          </w:p>
        </w:tc>
      </w:tr>
      <w:tr w:rsidR="000A130A" w:rsidRPr="004135FE" w14:paraId="25B9C337" w14:textId="77777777" w:rsidTr="000A130A">
        <w:trPr>
          <w:trHeight w:val="315"/>
        </w:trPr>
        <w:tc>
          <w:tcPr>
            <w:tcW w:w="850" w:type="dxa"/>
            <w:tcBorders>
              <w:top w:val="nil"/>
              <w:left w:val="single" w:sz="8" w:space="0" w:color="auto"/>
              <w:bottom w:val="single" w:sz="4" w:space="0" w:color="auto"/>
              <w:right w:val="nil"/>
            </w:tcBorders>
            <w:shd w:val="clear" w:color="auto" w:fill="auto"/>
            <w:noWrap/>
            <w:hideMark/>
          </w:tcPr>
          <w:p w14:paraId="1B337FCD"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2018</w:t>
            </w:r>
          </w:p>
        </w:tc>
        <w:tc>
          <w:tcPr>
            <w:tcW w:w="1134" w:type="dxa"/>
            <w:tcBorders>
              <w:top w:val="nil"/>
              <w:left w:val="single" w:sz="8" w:space="0" w:color="auto"/>
              <w:bottom w:val="single" w:sz="4" w:space="0" w:color="auto"/>
              <w:right w:val="single" w:sz="4" w:space="0" w:color="auto"/>
            </w:tcBorders>
            <w:shd w:val="clear" w:color="000000" w:fill="FFFFFF"/>
          </w:tcPr>
          <w:p w14:paraId="21BAA308"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35914</w:t>
            </w:r>
          </w:p>
        </w:tc>
        <w:tc>
          <w:tcPr>
            <w:tcW w:w="1134" w:type="dxa"/>
            <w:tcBorders>
              <w:top w:val="nil"/>
              <w:left w:val="nil"/>
              <w:bottom w:val="single" w:sz="4" w:space="0" w:color="auto"/>
              <w:right w:val="single" w:sz="4" w:space="0" w:color="auto"/>
            </w:tcBorders>
            <w:shd w:val="clear" w:color="auto" w:fill="auto"/>
            <w:noWrap/>
          </w:tcPr>
          <w:p w14:paraId="100D2F4B"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3681,00</w:t>
            </w:r>
          </w:p>
        </w:tc>
        <w:tc>
          <w:tcPr>
            <w:tcW w:w="1134" w:type="dxa"/>
            <w:tcBorders>
              <w:top w:val="nil"/>
              <w:left w:val="nil"/>
              <w:bottom w:val="single" w:sz="4" w:space="0" w:color="auto"/>
              <w:right w:val="single" w:sz="4" w:space="0" w:color="auto"/>
            </w:tcBorders>
            <w:shd w:val="clear" w:color="auto" w:fill="auto"/>
            <w:noWrap/>
          </w:tcPr>
          <w:p w14:paraId="64DC0B5D"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72,06</w:t>
            </w:r>
          </w:p>
        </w:tc>
        <w:tc>
          <w:tcPr>
            <w:tcW w:w="993" w:type="dxa"/>
            <w:tcBorders>
              <w:top w:val="nil"/>
              <w:left w:val="nil"/>
              <w:bottom w:val="single" w:sz="4" w:space="0" w:color="auto"/>
              <w:right w:val="single" w:sz="8" w:space="0" w:color="auto"/>
            </w:tcBorders>
            <w:shd w:val="clear" w:color="auto" w:fill="auto"/>
            <w:noWrap/>
          </w:tcPr>
          <w:p w14:paraId="68ACD4AF"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-27,94</w:t>
            </w:r>
          </w:p>
        </w:tc>
        <w:tc>
          <w:tcPr>
            <w:tcW w:w="992" w:type="dxa"/>
            <w:tcBorders>
              <w:top w:val="nil"/>
              <w:left w:val="nil"/>
              <w:bottom w:val="single" w:sz="4" w:space="0" w:color="auto"/>
              <w:right w:val="single" w:sz="4" w:space="0" w:color="auto"/>
            </w:tcBorders>
            <w:shd w:val="clear" w:color="000000" w:fill="FFFFFF"/>
          </w:tcPr>
          <w:p w14:paraId="49683EFA"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11875</w:t>
            </w:r>
          </w:p>
        </w:tc>
        <w:tc>
          <w:tcPr>
            <w:tcW w:w="992" w:type="dxa"/>
            <w:tcBorders>
              <w:top w:val="nil"/>
              <w:left w:val="nil"/>
              <w:bottom w:val="single" w:sz="4" w:space="0" w:color="auto"/>
              <w:right w:val="single" w:sz="4" w:space="0" w:color="auto"/>
            </w:tcBorders>
            <w:shd w:val="clear" w:color="000000" w:fill="FFFFFF"/>
          </w:tcPr>
          <w:p w14:paraId="3F44CAE5"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1344,00</w:t>
            </w:r>
          </w:p>
        </w:tc>
        <w:tc>
          <w:tcPr>
            <w:tcW w:w="1134" w:type="dxa"/>
            <w:tcBorders>
              <w:top w:val="nil"/>
              <w:left w:val="nil"/>
              <w:bottom w:val="single" w:sz="4" w:space="0" w:color="auto"/>
              <w:right w:val="single" w:sz="4" w:space="0" w:color="auto"/>
            </w:tcBorders>
            <w:shd w:val="clear" w:color="000000" w:fill="FFFFFF"/>
          </w:tcPr>
          <w:p w14:paraId="4D28975F"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68,28</w:t>
            </w:r>
          </w:p>
        </w:tc>
        <w:tc>
          <w:tcPr>
            <w:tcW w:w="992" w:type="dxa"/>
            <w:tcBorders>
              <w:top w:val="nil"/>
              <w:left w:val="nil"/>
              <w:bottom w:val="single" w:sz="4" w:space="0" w:color="auto"/>
              <w:right w:val="single" w:sz="8" w:space="0" w:color="auto"/>
            </w:tcBorders>
            <w:shd w:val="clear" w:color="000000" w:fill="FFFFFF"/>
          </w:tcPr>
          <w:p w14:paraId="2943EBBC"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-31,72</w:t>
            </w:r>
          </w:p>
        </w:tc>
        <w:tc>
          <w:tcPr>
            <w:tcW w:w="1134" w:type="dxa"/>
            <w:tcBorders>
              <w:top w:val="nil"/>
              <w:left w:val="nil"/>
              <w:bottom w:val="single" w:sz="4" w:space="0" w:color="auto"/>
              <w:right w:val="single" w:sz="4" w:space="0" w:color="auto"/>
            </w:tcBorders>
            <w:shd w:val="clear" w:color="auto" w:fill="auto"/>
            <w:noWrap/>
          </w:tcPr>
          <w:p w14:paraId="2DB74511"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24039</w:t>
            </w:r>
          </w:p>
        </w:tc>
        <w:tc>
          <w:tcPr>
            <w:tcW w:w="1276" w:type="dxa"/>
            <w:tcBorders>
              <w:top w:val="nil"/>
              <w:left w:val="nil"/>
              <w:bottom w:val="single" w:sz="4" w:space="0" w:color="auto"/>
              <w:right w:val="single" w:sz="4" w:space="0" w:color="auto"/>
            </w:tcBorders>
            <w:shd w:val="clear" w:color="auto" w:fill="auto"/>
            <w:noWrap/>
          </w:tcPr>
          <w:p w14:paraId="6AE178BC"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2337,00</w:t>
            </w:r>
          </w:p>
        </w:tc>
        <w:tc>
          <w:tcPr>
            <w:tcW w:w="1418" w:type="dxa"/>
            <w:tcBorders>
              <w:top w:val="nil"/>
              <w:left w:val="nil"/>
              <w:bottom w:val="single" w:sz="4" w:space="0" w:color="auto"/>
              <w:right w:val="single" w:sz="4" w:space="0" w:color="auto"/>
            </w:tcBorders>
            <w:shd w:val="clear" w:color="auto" w:fill="auto"/>
            <w:noWrap/>
          </w:tcPr>
          <w:p w14:paraId="66E1C326"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74,06</w:t>
            </w:r>
          </w:p>
        </w:tc>
        <w:tc>
          <w:tcPr>
            <w:tcW w:w="1275" w:type="dxa"/>
            <w:tcBorders>
              <w:top w:val="nil"/>
              <w:left w:val="nil"/>
              <w:bottom w:val="single" w:sz="4" w:space="0" w:color="auto"/>
              <w:right w:val="single" w:sz="8" w:space="0" w:color="auto"/>
            </w:tcBorders>
            <w:shd w:val="clear" w:color="auto" w:fill="auto"/>
            <w:noWrap/>
          </w:tcPr>
          <w:p w14:paraId="7E087692"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-25,94</w:t>
            </w:r>
          </w:p>
        </w:tc>
      </w:tr>
      <w:tr w:rsidR="000A130A" w:rsidRPr="004135FE" w14:paraId="7DC13C53" w14:textId="77777777" w:rsidTr="000A130A">
        <w:trPr>
          <w:trHeight w:val="315"/>
        </w:trPr>
        <w:tc>
          <w:tcPr>
            <w:tcW w:w="850" w:type="dxa"/>
            <w:tcBorders>
              <w:top w:val="nil"/>
              <w:left w:val="single" w:sz="8" w:space="0" w:color="auto"/>
              <w:bottom w:val="single" w:sz="8" w:space="0" w:color="auto"/>
              <w:right w:val="nil"/>
            </w:tcBorders>
            <w:shd w:val="clear" w:color="auto" w:fill="auto"/>
            <w:noWrap/>
            <w:hideMark/>
          </w:tcPr>
          <w:p w14:paraId="6282D857"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2019</w:t>
            </w:r>
          </w:p>
        </w:tc>
        <w:tc>
          <w:tcPr>
            <w:tcW w:w="1134" w:type="dxa"/>
            <w:tcBorders>
              <w:top w:val="nil"/>
              <w:left w:val="single" w:sz="8" w:space="0" w:color="auto"/>
              <w:bottom w:val="single" w:sz="8" w:space="0" w:color="auto"/>
              <w:right w:val="single" w:sz="4" w:space="0" w:color="auto"/>
            </w:tcBorders>
            <w:shd w:val="clear" w:color="000000" w:fill="FFFFFF"/>
          </w:tcPr>
          <w:p w14:paraId="50B266C2"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40506</w:t>
            </w:r>
          </w:p>
        </w:tc>
        <w:tc>
          <w:tcPr>
            <w:tcW w:w="1134" w:type="dxa"/>
            <w:tcBorders>
              <w:top w:val="nil"/>
              <w:left w:val="nil"/>
              <w:bottom w:val="single" w:sz="8" w:space="0" w:color="auto"/>
              <w:right w:val="single" w:sz="4" w:space="0" w:color="auto"/>
            </w:tcBorders>
            <w:shd w:val="clear" w:color="auto" w:fill="auto"/>
            <w:noWrap/>
          </w:tcPr>
          <w:p w14:paraId="671D028E"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4592,00</w:t>
            </w:r>
          </w:p>
        </w:tc>
        <w:tc>
          <w:tcPr>
            <w:tcW w:w="1134" w:type="dxa"/>
            <w:tcBorders>
              <w:top w:val="nil"/>
              <w:left w:val="nil"/>
              <w:bottom w:val="single" w:sz="8" w:space="0" w:color="auto"/>
              <w:right w:val="single" w:sz="4" w:space="0" w:color="auto"/>
            </w:tcBorders>
            <w:shd w:val="clear" w:color="auto" w:fill="auto"/>
            <w:noWrap/>
          </w:tcPr>
          <w:p w14:paraId="5EF7F8DF"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80,29</w:t>
            </w:r>
          </w:p>
        </w:tc>
        <w:tc>
          <w:tcPr>
            <w:tcW w:w="993" w:type="dxa"/>
            <w:tcBorders>
              <w:top w:val="nil"/>
              <w:left w:val="nil"/>
              <w:bottom w:val="single" w:sz="8" w:space="0" w:color="auto"/>
              <w:right w:val="single" w:sz="8" w:space="0" w:color="auto"/>
            </w:tcBorders>
            <w:shd w:val="clear" w:color="auto" w:fill="auto"/>
            <w:noWrap/>
          </w:tcPr>
          <w:p w14:paraId="6A136371"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-19,71</w:t>
            </w:r>
          </w:p>
        </w:tc>
        <w:tc>
          <w:tcPr>
            <w:tcW w:w="992" w:type="dxa"/>
            <w:tcBorders>
              <w:top w:val="nil"/>
              <w:left w:val="nil"/>
              <w:bottom w:val="single" w:sz="8" w:space="0" w:color="auto"/>
              <w:right w:val="single" w:sz="4" w:space="0" w:color="auto"/>
            </w:tcBorders>
            <w:shd w:val="clear" w:color="000000" w:fill="FFFFFF"/>
          </w:tcPr>
          <w:p w14:paraId="04DADD7E"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13629</w:t>
            </w:r>
          </w:p>
        </w:tc>
        <w:tc>
          <w:tcPr>
            <w:tcW w:w="992" w:type="dxa"/>
            <w:tcBorders>
              <w:top w:val="nil"/>
              <w:left w:val="nil"/>
              <w:bottom w:val="single" w:sz="8" w:space="0" w:color="auto"/>
              <w:right w:val="single" w:sz="4" w:space="0" w:color="auto"/>
            </w:tcBorders>
            <w:shd w:val="clear" w:color="000000" w:fill="FFFFFF"/>
          </w:tcPr>
          <w:p w14:paraId="5B6FCC6A"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1754,00</w:t>
            </w:r>
          </w:p>
        </w:tc>
        <w:tc>
          <w:tcPr>
            <w:tcW w:w="1134" w:type="dxa"/>
            <w:tcBorders>
              <w:top w:val="nil"/>
              <w:left w:val="nil"/>
              <w:bottom w:val="single" w:sz="8" w:space="0" w:color="auto"/>
              <w:right w:val="single" w:sz="4" w:space="0" w:color="auto"/>
            </w:tcBorders>
            <w:shd w:val="clear" w:color="000000" w:fill="FFFFFF"/>
          </w:tcPr>
          <w:p w14:paraId="6B01EDB3"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76,99</w:t>
            </w:r>
          </w:p>
        </w:tc>
        <w:tc>
          <w:tcPr>
            <w:tcW w:w="992" w:type="dxa"/>
            <w:tcBorders>
              <w:top w:val="nil"/>
              <w:left w:val="nil"/>
              <w:bottom w:val="single" w:sz="8" w:space="0" w:color="auto"/>
              <w:right w:val="single" w:sz="8" w:space="0" w:color="auto"/>
            </w:tcBorders>
            <w:shd w:val="clear" w:color="000000" w:fill="FFFFFF"/>
          </w:tcPr>
          <w:p w14:paraId="4408DB25"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-23,01</w:t>
            </w:r>
          </w:p>
        </w:tc>
        <w:tc>
          <w:tcPr>
            <w:tcW w:w="1134" w:type="dxa"/>
            <w:tcBorders>
              <w:top w:val="nil"/>
              <w:left w:val="nil"/>
              <w:bottom w:val="single" w:sz="8" w:space="0" w:color="auto"/>
              <w:right w:val="single" w:sz="4" w:space="0" w:color="auto"/>
            </w:tcBorders>
            <w:shd w:val="clear" w:color="auto" w:fill="auto"/>
            <w:noWrap/>
          </w:tcPr>
          <w:p w14:paraId="22CC02AB"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26877</w:t>
            </w:r>
          </w:p>
        </w:tc>
        <w:tc>
          <w:tcPr>
            <w:tcW w:w="1276" w:type="dxa"/>
            <w:tcBorders>
              <w:top w:val="nil"/>
              <w:left w:val="nil"/>
              <w:bottom w:val="single" w:sz="8" w:space="0" w:color="auto"/>
              <w:right w:val="single" w:sz="4" w:space="0" w:color="auto"/>
            </w:tcBorders>
            <w:shd w:val="clear" w:color="auto" w:fill="auto"/>
            <w:noWrap/>
          </w:tcPr>
          <w:p w14:paraId="078F2700"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2838,00</w:t>
            </w:r>
          </w:p>
        </w:tc>
        <w:tc>
          <w:tcPr>
            <w:tcW w:w="1418" w:type="dxa"/>
            <w:tcBorders>
              <w:top w:val="nil"/>
              <w:left w:val="nil"/>
              <w:bottom w:val="single" w:sz="8" w:space="0" w:color="auto"/>
              <w:right w:val="single" w:sz="4" w:space="0" w:color="auto"/>
            </w:tcBorders>
            <w:shd w:val="clear" w:color="auto" w:fill="auto"/>
            <w:noWrap/>
          </w:tcPr>
          <w:p w14:paraId="19D7EC6A"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82,03</w:t>
            </w:r>
          </w:p>
        </w:tc>
        <w:tc>
          <w:tcPr>
            <w:tcW w:w="1275" w:type="dxa"/>
            <w:tcBorders>
              <w:top w:val="nil"/>
              <w:left w:val="nil"/>
              <w:bottom w:val="single" w:sz="8" w:space="0" w:color="auto"/>
              <w:right w:val="single" w:sz="8" w:space="0" w:color="auto"/>
            </w:tcBorders>
            <w:shd w:val="clear" w:color="auto" w:fill="auto"/>
            <w:noWrap/>
          </w:tcPr>
          <w:p w14:paraId="0B9567F1"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-17,97</w:t>
            </w:r>
          </w:p>
        </w:tc>
      </w:tr>
      <w:tr w:rsidR="000A130A" w:rsidRPr="004135FE" w14:paraId="21459D45" w14:textId="77777777" w:rsidTr="000A130A">
        <w:trPr>
          <w:trHeight w:val="315"/>
        </w:trPr>
        <w:tc>
          <w:tcPr>
            <w:tcW w:w="850" w:type="dxa"/>
            <w:tcBorders>
              <w:top w:val="nil"/>
              <w:left w:val="single" w:sz="8" w:space="0" w:color="auto"/>
              <w:bottom w:val="single" w:sz="8" w:space="0" w:color="auto"/>
              <w:right w:val="nil"/>
            </w:tcBorders>
            <w:shd w:val="clear" w:color="auto" w:fill="auto"/>
            <w:noWrap/>
          </w:tcPr>
          <w:p w14:paraId="793429B2"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2020</w:t>
            </w:r>
          </w:p>
        </w:tc>
        <w:tc>
          <w:tcPr>
            <w:tcW w:w="1134" w:type="dxa"/>
            <w:tcBorders>
              <w:top w:val="nil"/>
              <w:left w:val="single" w:sz="8" w:space="0" w:color="auto"/>
              <w:bottom w:val="single" w:sz="8" w:space="0" w:color="auto"/>
              <w:right w:val="single" w:sz="4" w:space="0" w:color="auto"/>
            </w:tcBorders>
            <w:shd w:val="clear" w:color="000000" w:fill="FFFFFF"/>
          </w:tcPr>
          <w:p w14:paraId="61308115"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42334</w:t>
            </w:r>
          </w:p>
        </w:tc>
        <w:tc>
          <w:tcPr>
            <w:tcW w:w="1134" w:type="dxa"/>
            <w:tcBorders>
              <w:top w:val="nil"/>
              <w:left w:val="nil"/>
              <w:bottom w:val="single" w:sz="8" w:space="0" w:color="auto"/>
              <w:right w:val="single" w:sz="4" w:space="0" w:color="auto"/>
            </w:tcBorders>
            <w:shd w:val="clear" w:color="auto" w:fill="auto"/>
            <w:noWrap/>
          </w:tcPr>
          <w:p w14:paraId="1CD4E05E"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1828,00</w:t>
            </w:r>
          </w:p>
        </w:tc>
        <w:tc>
          <w:tcPr>
            <w:tcW w:w="1134" w:type="dxa"/>
            <w:tcBorders>
              <w:top w:val="nil"/>
              <w:left w:val="nil"/>
              <w:bottom w:val="single" w:sz="8" w:space="0" w:color="auto"/>
              <w:right w:val="single" w:sz="4" w:space="0" w:color="auto"/>
            </w:tcBorders>
            <w:shd w:val="clear" w:color="auto" w:fill="auto"/>
            <w:noWrap/>
          </w:tcPr>
          <w:p w14:paraId="2DB0328B"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90,56</w:t>
            </w:r>
          </w:p>
        </w:tc>
        <w:tc>
          <w:tcPr>
            <w:tcW w:w="993" w:type="dxa"/>
            <w:tcBorders>
              <w:top w:val="nil"/>
              <w:left w:val="nil"/>
              <w:bottom w:val="single" w:sz="8" w:space="0" w:color="auto"/>
              <w:right w:val="single" w:sz="8" w:space="0" w:color="auto"/>
            </w:tcBorders>
            <w:shd w:val="clear" w:color="auto" w:fill="auto"/>
            <w:noWrap/>
          </w:tcPr>
          <w:p w14:paraId="5B8FC168"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-9,44</w:t>
            </w:r>
          </w:p>
        </w:tc>
        <w:tc>
          <w:tcPr>
            <w:tcW w:w="992" w:type="dxa"/>
            <w:tcBorders>
              <w:top w:val="nil"/>
              <w:left w:val="nil"/>
              <w:bottom w:val="single" w:sz="8" w:space="0" w:color="auto"/>
              <w:right w:val="single" w:sz="4" w:space="0" w:color="auto"/>
            </w:tcBorders>
            <w:shd w:val="clear" w:color="000000" w:fill="FFFFFF"/>
          </w:tcPr>
          <w:p w14:paraId="34FB947D"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14451</w:t>
            </w:r>
          </w:p>
        </w:tc>
        <w:tc>
          <w:tcPr>
            <w:tcW w:w="992" w:type="dxa"/>
            <w:tcBorders>
              <w:top w:val="nil"/>
              <w:left w:val="nil"/>
              <w:bottom w:val="single" w:sz="8" w:space="0" w:color="auto"/>
              <w:right w:val="single" w:sz="4" w:space="0" w:color="auto"/>
            </w:tcBorders>
            <w:shd w:val="clear" w:color="000000" w:fill="FFFFFF"/>
          </w:tcPr>
          <w:p w14:paraId="327C53DB"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822,00</w:t>
            </w:r>
          </w:p>
        </w:tc>
        <w:tc>
          <w:tcPr>
            <w:tcW w:w="1134" w:type="dxa"/>
            <w:tcBorders>
              <w:top w:val="nil"/>
              <w:left w:val="nil"/>
              <w:bottom w:val="single" w:sz="8" w:space="0" w:color="auto"/>
              <w:right w:val="single" w:sz="4" w:space="0" w:color="auto"/>
            </w:tcBorders>
            <w:shd w:val="clear" w:color="000000" w:fill="FFFFFF"/>
          </w:tcPr>
          <w:p w14:paraId="66A9C73B"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88,36</w:t>
            </w:r>
          </w:p>
        </w:tc>
        <w:tc>
          <w:tcPr>
            <w:tcW w:w="992" w:type="dxa"/>
            <w:tcBorders>
              <w:top w:val="nil"/>
              <w:left w:val="nil"/>
              <w:bottom w:val="single" w:sz="8" w:space="0" w:color="auto"/>
              <w:right w:val="single" w:sz="8" w:space="0" w:color="auto"/>
            </w:tcBorders>
            <w:shd w:val="clear" w:color="000000" w:fill="FFFFFF"/>
          </w:tcPr>
          <w:p w14:paraId="1A4D1800"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-11,64</w:t>
            </w:r>
          </w:p>
        </w:tc>
        <w:tc>
          <w:tcPr>
            <w:tcW w:w="1134" w:type="dxa"/>
            <w:tcBorders>
              <w:top w:val="nil"/>
              <w:left w:val="nil"/>
              <w:bottom w:val="single" w:sz="8" w:space="0" w:color="auto"/>
              <w:right w:val="single" w:sz="4" w:space="0" w:color="auto"/>
            </w:tcBorders>
            <w:shd w:val="clear" w:color="auto" w:fill="auto"/>
            <w:noWrap/>
          </w:tcPr>
          <w:p w14:paraId="1A9E6B41"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27883</w:t>
            </w:r>
          </w:p>
        </w:tc>
        <w:tc>
          <w:tcPr>
            <w:tcW w:w="1276" w:type="dxa"/>
            <w:tcBorders>
              <w:top w:val="nil"/>
              <w:left w:val="nil"/>
              <w:bottom w:val="single" w:sz="8" w:space="0" w:color="auto"/>
              <w:right w:val="single" w:sz="4" w:space="0" w:color="auto"/>
            </w:tcBorders>
            <w:shd w:val="clear" w:color="auto" w:fill="auto"/>
            <w:noWrap/>
          </w:tcPr>
          <w:p w14:paraId="4A855961"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1006,00</w:t>
            </w:r>
          </w:p>
        </w:tc>
        <w:tc>
          <w:tcPr>
            <w:tcW w:w="1418" w:type="dxa"/>
            <w:tcBorders>
              <w:top w:val="nil"/>
              <w:left w:val="nil"/>
              <w:bottom w:val="single" w:sz="8" w:space="0" w:color="auto"/>
              <w:right w:val="single" w:sz="4" w:space="0" w:color="auto"/>
            </w:tcBorders>
            <w:shd w:val="clear" w:color="auto" w:fill="auto"/>
            <w:noWrap/>
          </w:tcPr>
          <w:p w14:paraId="78C2C3FD"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91,72</w:t>
            </w:r>
          </w:p>
        </w:tc>
        <w:tc>
          <w:tcPr>
            <w:tcW w:w="1275" w:type="dxa"/>
            <w:tcBorders>
              <w:top w:val="nil"/>
              <w:left w:val="nil"/>
              <w:bottom w:val="single" w:sz="8" w:space="0" w:color="auto"/>
              <w:right w:val="single" w:sz="8" w:space="0" w:color="auto"/>
            </w:tcBorders>
            <w:shd w:val="clear" w:color="auto" w:fill="auto"/>
            <w:noWrap/>
          </w:tcPr>
          <w:p w14:paraId="62E5B45F"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-8,28</w:t>
            </w:r>
          </w:p>
        </w:tc>
      </w:tr>
      <w:tr w:rsidR="000A130A" w:rsidRPr="004135FE" w14:paraId="732B96ED" w14:textId="77777777" w:rsidTr="000A130A">
        <w:trPr>
          <w:trHeight w:val="315"/>
        </w:trPr>
        <w:tc>
          <w:tcPr>
            <w:tcW w:w="850" w:type="dxa"/>
            <w:tcBorders>
              <w:top w:val="nil"/>
              <w:left w:val="single" w:sz="8" w:space="0" w:color="auto"/>
              <w:bottom w:val="single" w:sz="8" w:space="0" w:color="auto"/>
              <w:right w:val="nil"/>
            </w:tcBorders>
            <w:shd w:val="clear" w:color="auto" w:fill="auto"/>
            <w:noWrap/>
          </w:tcPr>
          <w:p w14:paraId="06AF241B"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2021</w:t>
            </w:r>
          </w:p>
        </w:tc>
        <w:tc>
          <w:tcPr>
            <w:tcW w:w="1134" w:type="dxa"/>
            <w:tcBorders>
              <w:top w:val="nil"/>
              <w:left w:val="single" w:sz="8" w:space="0" w:color="auto"/>
              <w:bottom w:val="single" w:sz="8" w:space="0" w:color="auto"/>
              <w:right w:val="single" w:sz="4" w:space="0" w:color="auto"/>
            </w:tcBorders>
            <w:shd w:val="clear" w:color="000000" w:fill="FFFFFF"/>
          </w:tcPr>
          <w:p w14:paraId="0808D097"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44728</w:t>
            </w:r>
          </w:p>
        </w:tc>
        <w:tc>
          <w:tcPr>
            <w:tcW w:w="1134" w:type="dxa"/>
            <w:tcBorders>
              <w:top w:val="nil"/>
              <w:left w:val="nil"/>
              <w:bottom w:val="single" w:sz="8" w:space="0" w:color="auto"/>
              <w:right w:val="single" w:sz="4" w:space="0" w:color="auto"/>
            </w:tcBorders>
            <w:shd w:val="clear" w:color="auto" w:fill="auto"/>
            <w:noWrap/>
          </w:tcPr>
          <w:p w14:paraId="5536EDD9"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2394,00</w:t>
            </w:r>
          </w:p>
        </w:tc>
        <w:tc>
          <w:tcPr>
            <w:tcW w:w="1134" w:type="dxa"/>
            <w:tcBorders>
              <w:top w:val="nil"/>
              <w:left w:val="nil"/>
              <w:bottom w:val="single" w:sz="8" w:space="0" w:color="auto"/>
              <w:right w:val="single" w:sz="4" w:space="0" w:color="auto"/>
            </w:tcBorders>
            <w:shd w:val="clear" w:color="auto" w:fill="auto"/>
            <w:noWrap/>
          </w:tcPr>
          <w:p w14:paraId="374F7221"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94,65</w:t>
            </w:r>
          </w:p>
        </w:tc>
        <w:tc>
          <w:tcPr>
            <w:tcW w:w="993" w:type="dxa"/>
            <w:tcBorders>
              <w:top w:val="nil"/>
              <w:left w:val="nil"/>
              <w:bottom w:val="single" w:sz="8" w:space="0" w:color="auto"/>
              <w:right w:val="single" w:sz="8" w:space="0" w:color="auto"/>
            </w:tcBorders>
            <w:shd w:val="clear" w:color="auto" w:fill="auto"/>
            <w:noWrap/>
          </w:tcPr>
          <w:p w14:paraId="7DDA1CB9"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-5,35</w:t>
            </w:r>
          </w:p>
        </w:tc>
        <w:tc>
          <w:tcPr>
            <w:tcW w:w="992" w:type="dxa"/>
            <w:tcBorders>
              <w:top w:val="nil"/>
              <w:left w:val="nil"/>
              <w:bottom w:val="single" w:sz="8" w:space="0" w:color="auto"/>
              <w:right w:val="single" w:sz="4" w:space="0" w:color="auto"/>
            </w:tcBorders>
            <w:shd w:val="clear" w:color="000000" w:fill="FFFFFF"/>
          </w:tcPr>
          <w:p w14:paraId="338CE303"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15424</w:t>
            </w:r>
          </w:p>
        </w:tc>
        <w:tc>
          <w:tcPr>
            <w:tcW w:w="992" w:type="dxa"/>
            <w:tcBorders>
              <w:top w:val="nil"/>
              <w:left w:val="nil"/>
              <w:bottom w:val="single" w:sz="8" w:space="0" w:color="auto"/>
              <w:right w:val="single" w:sz="4" w:space="0" w:color="auto"/>
            </w:tcBorders>
            <w:shd w:val="clear" w:color="000000" w:fill="FFFFFF"/>
          </w:tcPr>
          <w:p w14:paraId="3EEDC308"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973,00</w:t>
            </w:r>
          </w:p>
        </w:tc>
        <w:tc>
          <w:tcPr>
            <w:tcW w:w="1134" w:type="dxa"/>
            <w:tcBorders>
              <w:top w:val="nil"/>
              <w:left w:val="nil"/>
              <w:bottom w:val="single" w:sz="8" w:space="0" w:color="auto"/>
              <w:right w:val="single" w:sz="4" w:space="0" w:color="auto"/>
            </w:tcBorders>
            <w:shd w:val="clear" w:color="000000" w:fill="FFFFFF"/>
          </w:tcPr>
          <w:p w14:paraId="425FD4AF"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93,69</w:t>
            </w:r>
          </w:p>
        </w:tc>
        <w:tc>
          <w:tcPr>
            <w:tcW w:w="992" w:type="dxa"/>
            <w:tcBorders>
              <w:top w:val="nil"/>
              <w:left w:val="nil"/>
              <w:bottom w:val="single" w:sz="8" w:space="0" w:color="auto"/>
              <w:right w:val="single" w:sz="8" w:space="0" w:color="auto"/>
            </w:tcBorders>
            <w:shd w:val="clear" w:color="000000" w:fill="FFFFFF"/>
          </w:tcPr>
          <w:p w14:paraId="716F220D"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-6,31</w:t>
            </w:r>
          </w:p>
        </w:tc>
        <w:tc>
          <w:tcPr>
            <w:tcW w:w="1134" w:type="dxa"/>
            <w:tcBorders>
              <w:top w:val="nil"/>
              <w:left w:val="nil"/>
              <w:bottom w:val="single" w:sz="8" w:space="0" w:color="auto"/>
              <w:right w:val="single" w:sz="4" w:space="0" w:color="auto"/>
            </w:tcBorders>
            <w:shd w:val="clear" w:color="auto" w:fill="auto"/>
            <w:noWrap/>
          </w:tcPr>
          <w:p w14:paraId="4F7A3CD1"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29304</w:t>
            </w:r>
          </w:p>
        </w:tc>
        <w:tc>
          <w:tcPr>
            <w:tcW w:w="1276" w:type="dxa"/>
            <w:tcBorders>
              <w:top w:val="nil"/>
              <w:left w:val="nil"/>
              <w:bottom w:val="single" w:sz="8" w:space="0" w:color="auto"/>
              <w:right w:val="single" w:sz="4" w:space="0" w:color="auto"/>
            </w:tcBorders>
            <w:shd w:val="clear" w:color="auto" w:fill="auto"/>
            <w:noWrap/>
          </w:tcPr>
          <w:p w14:paraId="1F7BED94"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1421,00</w:t>
            </w:r>
          </w:p>
        </w:tc>
        <w:tc>
          <w:tcPr>
            <w:tcW w:w="1418" w:type="dxa"/>
            <w:tcBorders>
              <w:top w:val="nil"/>
              <w:left w:val="nil"/>
              <w:bottom w:val="single" w:sz="8" w:space="0" w:color="auto"/>
              <w:right w:val="single" w:sz="4" w:space="0" w:color="auto"/>
            </w:tcBorders>
            <w:shd w:val="clear" w:color="auto" w:fill="auto"/>
            <w:noWrap/>
          </w:tcPr>
          <w:p w14:paraId="7055FD76"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95,15</w:t>
            </w:r>
          </w:p>
        </w:tc>
        <w:tc>
          <w:tcPr>
            <w:tcW w:w="1275" w:type="dxa"/>
            <w:tcBorders>
              <w:top w:val="nil"/>
              <w:left w:val="nil"/>
              <w:bottom w:val="single" w:sz="8" w:space="0" w:color="auto"/>
              <w:right w:val="single" w:sz="8" w:space="0" w:color="auto"/>
            </w:tcBorders>
            <w:shd w:val="clear" w:color="auto" w:fill="auto"/>
            <w:noWrap/>
          </w:tcPr>
          <w:p w14:paraId="2DE988A3"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-4,85</w:t>
            </w:r>
          </w:p>
        </w:tc>
      </w:tr>
      <w:tr w:rsidR="006E1680" w:rsidRPr="004135FE" w14:paraId="22CB2771" w14:textId="77777777" w:rsidTr="000A130A">
        <w:trPr>
          <w:trHeight w:val="443"/>
        </w:trPr>
        <w:tc>
          <w:tcPr>
            <w:tcW w:w="850" w:type="dxa"/>
            <w:tcBorders>
              <w:top w:val="nil"/>
              <w:left w:val="single" w:sz="8" w:space="0" w:color="auto"/>
              <w:bottom w:val="single" w:sz="8" w:space="0" w:color="auto"/>
              <w:right w:val="nil"/>
            </w:tcBorders>
            <w:shd w:val="clear" w:color="auto" w:fill="auto"/>
            <w:hideMark/>
          </w:tcPr>
          <w:p w14:paraId="6A49E766"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среднее</w:t>
            </w:r>
          </w:p>
        </w:tc>
        <w:tc>
          <w:tcPr>
            <w:tcW w:w="1134" w:type="dxa"/>
            <w:tcBorders>
              <w:top w:val="nil"/>
              <w:left w:val="single" w:sz="8" w:space="0" w:color="auto"/>
              <w:bottom w:val="single" w:sz="8" w:space="0" w:color="auto"/>
              <w:right w:val="single" w:sz="4" w:space="0" w:color="auto"/>
            </w:tcBorders>
            <w:shd w:val="clear" w:color="auto" w:fill="auto"/>
            <w:noWrap/>
          </w:tcPr>
          <w:p w14:paraId="303F2413"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32636,40</w:t>
            </w:r>
          </w:p>
        </w:tc>
        <w:tc>
          <w:tcPr>
            <w:tcW w:w="1134" w:type="dxa"/>
            <w:tcBorders>
              <w:top w:val="nil"/>
              <w:left w:val="nil"/>
              <w:bottom w:val="single" w:sz="8" w:space="0" w:color="auto"/>
              <w:right w:val="single" w:sz="4" w:space="0" w:color="auto"/>
            </w:tcBorders>
            <w:shd w:val="clear" w:color="auto" w:fill="auto"/>
            <w:noWrap/>
          </w:tcPr>
          <w:p w14:paraId="0157B596"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2411,44</w:t>
            </w:r>
          </w:p>
        </w:tc>
        <w:tc>
          <w:tcPr>
            <w:tcW w:w="1134" w:type="dxa"/>
            <w:tcBorders>
              <w:top w:val="nil"/>
              <w:left w:val="nil"/>
              <w:bottom w:val="single" w:sz="8" w:space="0" w:color="auto"/>
              <w:right w:val="single" w:sz="4" w:space="0" w:color="auto"/>
            </w:tcBorders>
            <w:shd w:val="clear" w:color="auto" w:fill="auto"/>
            <w:noWrap/>
          </w:tcPr>
          <w:p w14:paraId="1CDDF650"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107,66</w:t>
            </w:r>
          </w:p>
        </w:tc>
        <w:tc>
          <w:tcPr>
            <w:tcW w:w="993" w:type="dxa"/>
            <w:tcBorders>
              <w:top w:val="nil"/>
              <w:left w:val="nil"/>
              <w:bottom w:val="single" w:sz="8" w:space="0" w:color="auto"/>
              <w:right w:val="single" w:sz="8" w:space="0" w:color="auto"/>
            </w:tcBorders>
            <w:shd w:val="clear" w:color="auto" w:fill="auto"/>
            <w:noWrap/>
          </w:tcPr>
          <w:p w14:paraId="0A3F2519"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7,66</w:t>
            </w:r>
          </w:p>
        </w:tc>
        <w:tc>
          <w:tcPr>
            <w:tcW w:w="992" w:type="dxa"/>
            <w:tcBorders>
              <w:top w:val="nil"/>
              <w:left w:val="nil"/>
              <w:bottom w:val="single" w:sz="8" w:space="0" w:color="auto"/>
              <w:right w:val="single" w:sz="4" w:space="0" w:color="auto"/>
            </w:tcBorders>
            <w:shd w:val="clear" w:color="auto" w:fill="auto"/>
            <w:noWrap/>
          </w:tcPr>
          <w:p w14:paraId="337EDA61"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10697,00</w:t>
            </w:r>
          </w:p>
        </w:tc>
        <w:tc>
          <w:tcPr>
            <w:tcW w:w="992" w:type="dxa"/>
            <w:tcBorders>
              <w:top w:val="nil"/>
              <w:left w:val="nil"/>
              <w:bottom w:val="single" w:sz="8" w:space="0" w:color="auto"/>
              <w:right w:val="single" w:sz="4" w:space="0" w:color="auto"/>
            </w:tcBorders>
            <w:shd w:val="clear" w:color="auto" w:fill="auto"/>
            <w:noWrap/>
          </w:tcPr>
          <w:p w14:paraId="248C9677"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925,00</w:t>
            </w:r>
          </w:p>
        </w:tc>
        <w:tc>
          <w:tcPr>
            <w:tcW w:w="1134" w:type="dxa"/>
            <w:tcBorders>
              <w:top w:val="nil"/>
              <w:left w:val="nil"/>
              <w:bottom w:val="single" w:sz="8" w:space="0" w:color="auto"/>
              <w:right w:val="single" w:sz="4" w:space="0" w:color="auto"/>
            </w:tcBorders>
            <w:shd w:val="clear" w:color="auto" w:fill="auto"/>
            <w:noWrap/>
          </w:tcPr>
          <w:p w14:paraId="40751F8C"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109,00</w:t>
            </w:r>
          </w:p>
        </w:tc>
        <w:tc>
          <w:tcPr>
            <w:tcW w:w="992" w:type="dxa"/>
            <w:tcBorders>
              <w:top w:val="nil"/>
              <w:left w:val="nil"/>
              <w:bottom w:val="single" w:sz="8" w:space="0" w:color="auto"/>
              <w:right w:val="single" w:sz="8" w:space="0" w:color="auto"/>
            </w:tcBorders>
            <w:shd w:val="clear" w:color="auto" w:fill="auto"/>
            <w:noWrap/>
          </w:tcPr>
          <w:p w14:paraId="6848048D"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9,00</w:t>
            </w:r>
          </w:p>
        </w:tc>
        <w:tc>
          <w:tcPr>
            <w:tcW w:w="1134" w:type="dxa"/>
            <w:tcBorders>
              <w:top w:val="nil"/>
              <w:left w:val="nil"/>
              <w:bottom w:val="single" w:sz="8" w:space="0" w:color="auto"/>
              <w:right w:val="single" w:sz="4" w:space="0" w:color="auto"/>
            </w:tcBorders>
            <w:shd w:val="clear" w:color="auto" w:fill="auto"/>
            <w:noWrap/>
          </w:tcPr>
          <w:p w14:paraId="2DE390B5"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21939,40</w:t>
            </w:r>
          </w:p>
        </w:tc>
        <w:tc>
          <w:tcPr>
            <w:tcW w:w="1276" w:type="dxa"/>
            <w:tcBorders>
              <w:top w:val="nil"/>
              <w:left w:val="nil"/>
              <w:bottom w:val="single" w:sz="8" w:space="0" w:color="auto"/>
              <w:right w:val="single" w:sz="4" w:space="0" w:color="auto"/>
            </w:tcBorders>
            <w:shd w:val="clear" w:color="auto" w:fill="auto"/>
            <w:noWrap/>
          </w:tcPr>
          <w:p w14:paraId="0E33306C"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1486,44</w:t>
            </w:r>
          </w:p>
        </w:tc>
        <w:tc>
          <w:tcPr>
            <w:tcW w:w="1418" w:type="dxa"/>
            <w:tcBorders>
              <w:top w:val="nil"/>
              <w:left w:val="nil"/>
              <w:bottom w:val="single" w:sz="8" w:space="0" w:color="auto"/>
              <w:right w:val="single" w:sz="4" w:space="0" w:color="auto"/>
            </w:tcBorders>
            <w:shd w:val="clear" w:color="auto" w:fill="auto"/>
            <w:noWrap/>
          </w:tcPr>
          <w:p w14:paraId="5CD54958"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107,01</w:t>
            </w:r>
          </w:p>
        </w:tc>
        <w:tc>
          <w:tcPr>
            <w:tcW w:w="1275" w:type="dxa"/>
            <w:tcBorders>
              <w:top w:val="nil"/>
              <w:left w:val="nil"/>
              <w:bottom w:val="single" w:sz="8" w:space="0" w:color="auto"/>
              <w:right w:val="single" w:sz="8" w:space="0" w:color="auto"/>
            </w:tcBorders>
            <w:shd w:val="clear" w:color="auto" w:fill="auto"/>
            <w:noWrap/>
          </w:tcPr>
          <w:p w14:paraId="7D6B91F4" w14:textId="77777777" w:rsidR="0066583A" w:rsidRPr="004135FE" w:rsidRDefault="0066583A" w:rsidP="006E1680">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7,01</w:t>
            </w:r>
          </w:p>
        </w:tc>
      </w:tr>
    </w:tbl>
    <w:p w14:paraId="23C321B6" w14:textId="77777777" w:rsidR="00ED689E" w:rsidRDefault="00ED689E" w:rsidP="004135FE">
      <w:pPr>
        <w:spacing w:after="0" w:line="240" w:lineRule="auto"/>
        <w:rPr>
          <w:rFonts w:ascii="Times New Roman" w:hAnsi="Times New Roman" w:cs="Times New Roman"/>
          <w:sz w:val="28"/>
          <w:szCs w:val="28"/>
        </w:rPr>
        <w:sectPr w:rsidR="00ED689E" w:rsidSect="00ED689E">
          <w:type w:val="nextColumn"/>
          <w:pgSz w:w="16838" w:h="11906" w:orient="landscape"/>
          <w:pgMar w:top="1701" w:right="1134" w:bottom="851" w:left="1134" w:header="709" w:footer="301" w:gutter="0"/>
          <w:cols w:space="708"/>
          <w:docGrid w:linePitch="360"/>
        </w:sectPr>
      </w:pPr>
    </w:p>
    <w:p w14:paraId="66B4DFCF" w14:textId="77777777" w:rsidR="0066583A" w:rsidRPr="004135FE" w:rsidRDefault="0066583A" w:rsidP="004135FE">
      <w:pPr>
        <w:spacing w:after="0" w:line="240" w:lineRule="auto"/>
        <w:rPr>
          <w:rFonts w:ascii="Times New Roman" w:hAnsi="Times New Roman" w:cs="Times New Roman"/>
          <w:sz w:val="28"/>
          <w:szCs w:val="28"/>
        </w:rPr>
      </w:pPr>
    </w:p>
    <w:p w14:paraId="43FAE629" w14:textId="23058AF6" w:rsidR="0066583A" w:rsidRPr="004135FE" w:rsidRDefault="0066583A" w:rsidP="006E1680">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bCs/>
          <w:sz w:val="28"/>
          <w:szCs w:val="28"/>
        </w:rPr>
        <w:t xml:space="preserve">Распространенность по СД 2 типа в разрезе по 8 районам и половым признакам г. Алматы на протяжении 10 </w:t>
      </w:r>
      <w:r w:rsidR="0091422E" w:rsidRPr="004135FE">
        <w:rPr>
          <w:rFonts w:ascii="Times New Roman" w:eastAsia="Times New Roman" w:hAnsi="Times New Roman" w:cs="Times New Roman"/>
          <w:bCs/>
          <w:sz w:val="28"/>
          <w:szCs w:val="28"/>
        </w:rPr>
        <w:t>лет был неравномерным</w:t>
      </w:r>
      <w:r w:rsidRPr="004135FE">
        <w:rPr>
          <w:rFonts w:ascii="Times New Roman" w:eastAsia="Times New Roman" w:hAnsi="Times New Roman" w:cs="Times New Roman"/>
          <w:bCs/>
          <w:sz w:val="28"/>
          <w:szCs w:val="28"/>
        </w:rPr>
        <w:t xml:space="preserve">. </w:t>
      </w:r>
    </w:p>
    <w:p w14:paraId="36F69714" w14:textId="44CBF4A1" w:rsidR="00890E8A" w:rsidRPr="004135FE" w:rsidRDefault="0066583A" w:rsidP="006E1680">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bCs/>
          <w:sz w:val="28"/>
          <w:szCs w:val="28"/>
        </w:rPr>
        <w:t>По Алмалинскому району абсолютный прирост СД 2</w:t>
      </w:r>
      <w:r w:rsidR="00BA3CA8">
        <w:rPr>
          <w:rFonts w:ascii="Times New Roman" w:eastAsia="Times New Roman" w:hAnsi="Times New Roman" w:cs="Times New Roman"/>
          <w:bCs/>
          <w:sz w:val="28"/>
          <w:szCs w:val="28"/>
        </w:rPr>
        <w:t xml:space="preserve"> </w:t>
      </w:r>
      <w:r w:rsidRPr="004135FE">
        <w:rPr>
          <w:rFonts w:ascii="Times New Roman" w:eastAsia="Times New Roman" w:hAnsi="Times New Roman" w:cs="Times New Roman"/>
          <w:bCs/>
          <w:sz w:val="28"/>
          <w:szCs w:val="28"/>
        </w:rPr>
        <w:t>типа с 2012</w:t>
      </w:r>
      <w:r w:rsidR="00BA3CA8">
        <w:rPr>
          <w:rFonts w:ascii="Times New Roman" w:eastAsia="Times New Roman" w:hAnsi="Times New Roman" w:cs="Times New Roman"/>
          <w:bCs/>
          <w:sz w:val="28"/>
          <w:szCs w:val="28"/>
        </w:rPr>
        <w:t xml:space="preserve"> </w:t>
      </w:r>
      <w:r w:rsidRPr="004135FE">
        <w:rPr>
          <w:rFonts w:ascii="Times New Roman" w:eastAsia="Times New Roman" w:hAnsi="Times New Roman" w:cs="Times New Roman"/>
          <w:bCs/>
          <w:sz w:val="28"/>
          <w:szCs w:val="28"/>
        </w:rPr>
        <w:t>г</w:t>
      </w:r>
      <w:r w:rsidR="00BA3CA8">
        <w:rPr>
          <w:rFonts w:ascii="Times New Roman" w:eastAsia="Times New Roman" w:hAnsi="Times New Roman" w:cs="Times New Roman"/>
          <w:bCs/>
          <w:sz w:val="28"/>
          <w:szCs w:val="28"/>
        </w:rPr>
        <w:t>.</w:t>
      </w:r>
      <w:r w:rsidRPr="004135FE">
        <w:rPr>
          <w:rFonts w:ascii="Times New Roman" w:eastAsia="Times New Roman" w:hAnsi="Times New Roman" w:cs="Times New Roman"/>
          <w:bCs/>
          <w:sz w:val="28"/>
          <w:szCs w:val="28"/>
        </w:rPr>
        <w:t xml:space="preserve"> по 2021</w:t>
      </w:r>
      <w:r w:rsidR="00BA3CA8">
        <w:rPr>
          <w:rFonts w:ascii="Times New Roman" w:eastAsia="Times New Roman" w:hAnsi="Times New Roman" w:cs="Times New Roman"/>
          <w:bCs/>
          <w:sz w:val="28"/>
          <w:szCs w:val="28"/>
        </w:rPr>
        <w:t xml:space="preserve"> </w:t>
      </w:r>
      <w:r w:rsidRPr="004135FE">
        <w:rPr>
          <w:rFonts w:ascii="Times New Roman" w:eastAsia="Times New Roman" w:hAnsi="Times New Roman" w:cs="Times New Roman"/>
          <w:bCs/>
          <w:sz w:val="28"/>
          <w:szCs w:val="28"/>
        </w:rPr>
        <w:t>г</w:t>
      </w:r>
      <w:r w:rsidR="00BA3CA8">
        <w:rPr>
          <w:rFonts w:ascii="Times New Roman" w:eastAsia="Times New Roman" w:hAnsi="Times New Roman" w:cs="Times New Roman"/>
          <w:bCs/>
          <w:sz w:val="28"/>
          <w:szCs w:val="28"/>
        </w:rPr>
        <w:t>.</w:t>
      </w:r>
      <w:r w:rsidRPr="004135FE">
        <w:rPr>
          <w:rFonts w:ascii="Times New Roman" w:eastAsia="Times New Roman" w:hAnsi="Times New Roman" w:cs="Times New Roman"/>
          <w:bCs/>
          <w:sz w:val="28"/>
          <w:szCs w:val="28"/>
        </w:rPr>
        <w:t xml:space="preserve"> выросла по базисному показателю с </w:t>
      </w:r>
      <w:r w:rsidRPr="004135FE">
        <w:rPr>
          <w:rFonts w:ascii="Times New Roman" w:eastAsia="Times New Roman" w:hAnsi="Times New Roman" w:cs="Times New Roman"/>
          <w:sz w:val="28"/>
          <w:szCs w:val="28"/>
        </w:rPr>
        <w:t>96,00</w:t>
      </w:r>
      <w:r w:rsidRPr="004135FE">
        <w:rPr>
          <w:rFonts w:ascii="Times New Roman" w:eastAsia="Times New Roman" w:hAnsi="Times New Roman" w:cs="Times New Roman"/>
          <w:bCs/>
          <w:sz w:val="28"/>
          <w:szCs w:val="28"/>
        </w:rPr>
        <w:t xml:space="preserve"> до </w:t>
      </w:r>
      <w:r w:rsidRPr="004135FE">
        <w:rPr>
          <w:rFonts w:ascii="Times New Roman" w:eastAsia="Times New Roman" w:hAnsi="Times New Roman" w:cs="Times New Roman"/>
          <w:sz w:val="28"/>
          <w:szCs w:val="28"/>
        </w:rPr>
        <w:t xml:space="preserve">411,00 случая, по среднему показателю 331,78. Наибольший показатель абсолютного прироста зафиксирован в 2017 году 738,00 случая. Наибольший убыль всего СД2т отмечается в 2014г-(-379,00), что соответственно составил среди мужчин- (-103,00) и женщин (-276,00). </w:t>
      </w:r>
      <w:r w:rsidRPr="004135FE">
        <w:rPr>
          <w:rFonts w:ascii="Times New Roman" w:eastAsia="Times New Roman" w:hAnsi="Times New Roman" w:cs="Times New Roman"/>
          <w:bCs/>
          <w:sz w:val="28"/>
          <w:szCs w:val="28"/>
        </w:rPr>
        <w:t xml:space="preserve">За десять лет темп роста относительно к 2021 году возрос с </w:t>
      </w:r>
      <w:r w:rsidRPr="004135FE">
        <w:rPr>
          <w:rFonts w:ascii="Times New Roman" w:eastAsia="Times New Roman" w:hAnsi="Times New Roman" w:cs="Times New Roman"/>
          <w:sz w:val="28"/>
          <w:szCs w:val="28"/>
        </w:rPr>
        <w:t>59,46</w:t>
      </w:r>
      <w:r w:rsidRPr="004135FE">
        <w:rPr>
          <w:rFonts w:ascii="Times New Roman" w:eastAsia="Times New Roman" w:hAnsi="Times New Roman" w:cs="Times New Roman"/>
          <w:bCs/>
          <w:sz w:val="28"/>
          <w:szCs w:val="28"/>
        </w:rPr>
        <w:t xml:space="preserve">% до </w:t>
      </w:r>
      <w:r w:rsidRPr="004135FE">
        <w:rPr>
          <w:rFonts w:ascii="Times New Roman" w:eastAsia="Times New Roman" w:hAnsi="Times New Roman" w:cs="Times New Roman"/>
          <w:sz w:val="28"/>
          <w:szCs w:val="28"/>
        </w:rPr>
        <w:t>94,42</w:t>
      </w:r>
      <w:r w:rsidRPr="004135FE">
        <w:rPr>
          <w:rFonts w:ascii="Times New Roman" w:eastAsia="Times New Roman" w:hAnsi="Times New Roman" w:cs="Times New Roman"/>
          <w:bCs/>
          <w:sz w:val="28"/>
          <w:szCs w:val="28"/>
        </w:rPr>
        <w:t>%</w:t>
      </w:r>
      <w:r w:rsidRPr="004135FE">
        <w:rPr>
          <w:rFonts w:ascii="Times New Roman" w:eastAsia="Times New Roman" w:hAnsi="Times New Roman" w:cs="Times New Roman"/>
          <w:sz w:val="28"/>
          <w:szCs w:val="28"/>
        </w:rPr>
        <w:t>, средний показатель 105,95</w:t>
      </w:r>
      <w:r w:rsidR="00890E8A" w:rsidRPr="004135FE">
        <w:rPr>
          <w:rFonts w:ascii="Times New Roman" w:eastAsia="Times New Roman" w:hAnsi="Times New Roman" w:cs="Times New Roman"/>
          <w:sz w:val="28"/>
          <w:szCs w:val="28"/>
        </w:rPr>
        <w:t>. Средний темп прироста составила всего 5,95%.</w:t>
      </w:r>
    </w:p>
    <w:p w14:paraId="774828B5" w14:textId="77777777" w:rsidR="0066583A" w:rsidRPr="004135FE" w:rsidRDefault="0066583A" w:rsidP="006E1680">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Алатауский район претерпел убыль по СД2т к 2013г (-77,00) случая, что отразился среди мужчин (-19,00) и женщин (-58,00) случаев. Все последующие годы абсолютный прирост имел равномерный рост и наибольший показатель зафиксирован 2016 году 594,00. К 2021г составил 342,00, в среднем показателе 306,33 случаев. </w:t>
      </w:r>
      <w:r w:rsidRPr="004135FE">
        <w:rPr>
          <w:rFonts w:ascii="Times New Roman" w:eastAsia="Times New Roman" w:hAnsi="Times New Roman" w:cs="Times New Roman"/>
          <w:bCs/>
          <w:sz w:val="28"/>
          <w:szCs w:val="28"/>
        </w:rPr>
        <w:t>Темп роста в сравнении относительно 2021 года</w:t>
      </w:r>
      <w:r w:rsidRPr="004135FE">
        <w:rPr>
          <w:rFonts w:ascii="Times New Roman" w:eastAsia="Times New Roman" w:hAnsi="Times New Roman" w:cs="Times New Roman"/>
          <w:sz w:val="28"/>
          <w:szCs w:val="28"/>
        </w:rPr>
        <w:t xml:space="preserve"> в среднем 113,51%. Т</w:t>
      </w:r>
      <w:r w:rsidRPr="004135FE">
        <w:rPr>
          <w:rFonts w:ascii="Times New Roman" w:eastAsia="Times New Roman" w:hAnsi="Times New Roman" w:cs="Times New Roman"/>
          <w:bCs/>
          <w:sz w:val="28"/>
          <w:szCs w:val="28"/>
        </w:rPr>
        <w:t>емп прироста в 2021 году по базисному показателю составило (</w:t>
      </w:r>
      <w:r w:rsidRPr="004135FE">
        <w:rPr>
          <w:rFonts w:ascii="Times New Roman" w:eastAsia="Times New Roman" w:hAnsi="Times New Roman" w:cs="Times New Roman"/>
          <w:sz w:val="28"/>
          <w:szCs w:val="28"/>
        </w:rPr>
        <w:t>-8,44</w:t>
      </w:r>
      <w:r w:rsidRPr="004135FE">
        <w:rPr>
          <w:rFonts w:ascii="Times New Roman" w:eastAsia="Times New Roman" w:hAnsi="Times New Roman" w:cs="Times New Roman"/>
          <w:bCs/>
          <w:sz w:val="28"/>
          <w:szCs w:val="28"/>
        </w:rPr>
        <w:t xml:space="preserve">%), </w:t>
      </w:r>
      <w:r w:rsidRPr="004135FE">
        <w:rPr>
          <w:rFonts w:ascii="Times New Roman" w:eastAsia="Times New Roman" w:hAnsi="Times New Roman" w:cs="Times New Roman"/>
          <w:sz w:val="28"/>
          <w:szCs w:val="28"/>
        </w:rPr>
        <w:t xml:space="preserve">средний показатель 13,51%. </w:t>
      </w:r>
    </w:p>
    <w:p w14:paraId="264EB0F3" w14:textId="77777777" w:rsidR="0066583A" w:rsidRPr="004135FE" w:rsidRDefault="0066583A" w:rsidP="006E1680">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По Ауэзовскому району наибольший </w:t>
      </w:r>
      <w:r w:rsidRPr="004135FE">
        <w:rPr>
          <w:rFonts w:ascii="Times New Roman" w:eastAsia="Times New Roman" w:hAnsi="Times New Roman" w:cs="Times New Roman"/>
          <w:bCs/>
          <w:sz w:val="28"/>
          <w:szCs w:val="28"/>
        </w:rPr>
        <w:t xml:space="preserve">абсолютный прирост </w:t>
      </w:r>
      <w:r w:rsidRPr="004135FE">
        <w:rPr>
          <w:rFonts w:ascii="Times New Roman" w:eastAsiaTheme="minorHAnsi" w:hAnsi="Times New Roman" w:cs="Times New Roman"/>
          <w:bCs/>
          <w:sz w:val="28"/>
          <w:szCs w:val="28"/>
          <w:lang w:eastAsia="en-US"/>
        </w:rPr>
        <w:t>СД 2типа</w:t>
      </w:r>
      <w:r w:rsidRPr="004135FE">
        <w:rPr>
          <w:rFonts w:ascii="Times New Roman" w:eastAsia="Times New Roman" w:hAnsi="Times New Roman" w:cs="Times New Roman"/>
          <w:bCs/>
          <w:sz w:val="28"/>
          <w:szCs w:val="28"/>
        </w:rPr>
        <w:t xml:space="preserve"> в 2019г году </w:t>
      </w:r>
      <w:r w:rsidRPr="004135FE">
        <w:rPr>
          <w:rFonts w:ascii="Times New Roman" w:eastAsia="Times New Roman" w:hAnsi="Times New Roman" w:cs="Times New Roman"/>
          <w:sz w:val="28"/>
          <w:szCs w:val="28"/>
        </w:rPr>
        <w:t xml:space="preserve">631,00случаев, наибольший убыль зафиксирован в динамике с 2016 по 2017 годы (-345,00), среди мужчин (-103,00) и женщин (-242,00) случаев. В 2020г так же отмечен убыль до (-83,00). Средний показатель всего абсолютного прироста за 10 лет составил 269,33. </w:t>
      </w:r>
      <w:r w:rsidRPr="004135FE">
        <w:rPr>
          <w:rFonts w:ascii="Times New Roman" w:eastAsia="Times New Roman" w:hAnsi="Times New Roman" w:cs="Times New Roman"/>
          <w:bCs/>
          <w:sz w:val="28"/>
          <w:szCs w:val="28"/>
        </w:rPr>
        <w:t xml:space="preserve">За десять лет темп роста относительно к 2021 году </w:t>
      </w:r>
      <w:r w:rsidRPr="004135FE">
        <w:rPr>
          <w:rFonts w:ascii="Times New Roman" w:eastAsia="Times New Roman" w:hAnsi="Times New Roman" w:cs="Times New Roman"/>
          <w:sz w:val="28"/>
          <w:szCs w:val="28"/>
        </w:rPr>
        <w:t>составил 104,30%. Т</w:t>
      </w:r>
      <w:r w:rsidRPr="004135FE">
        <w:rPr>
          <w:rFonts w:ascii="Times New Roman" w:eastAsia="Times New Roman" w:hAnsi="Times New Roman" w:cs="Times New Roman"/>
          <w:bCs/>
          <w:sz w:val="28"/>
          <w:szCs w:val="28"/>
        </w:rPr>
        <w:t>емп прироста в 2021 году по базисному показателю составил (</w:t>
      </w:r>
      <w:r w:rsidRPr="004135FE">
        <w:rPr>
          <w:rFonts w:ascii="Times New Roman" w:eastAsia="Times New Roman" w:hAnsi="Times New Roman" w:cs="Times New Roman"/>
          <w:sz w:val="28"/>
          <w:szCs w:val="28"/>
        </w:rPr>
        <w:t>-5,50</w:t>
      </w:r>
      <w:r w:rsidRPr="004135FE">
        <w:rPr>
          <w:rFonts w:ascii="Times New Roman" w:eastAsia="Times New Roman" w:hAnsi="Times New Roman" w:cs="Times New Roman"/>
          <w:bCs/>
          <w:sz w:val="28"/>
          <w:szCs w:val="28"/>
        </w:rPr>
        <w:t xml:space="preserve">%), </w:t>
      </w:r>
      <w:r w:rsidRPr="004135FE">
        <w:rPr>
          <w:rFonts w:ascii="Times New Roman" w:eastAsia="Times New Roman" w:hAnsi="Times New Roman" w:cs="Times New Roman"/>
          <w:sz w:val="28"/>
          <w:szCs w:val="28"/>
        </w:rPr>
        <w:t>средний показатель 4,30%.</w:t>
      </w:r>
    </w:p>
    <w:p w14:paraId="33E7243C" w14:textId="77777777" w:rsidR="0066583A" w:rsidRPr="004135FE" w:rsidRDefault="0066583A" w:rsidP="006E1680">
      <w:pPr>
        <w:spacing w:after="0" w:line="240" w:lineRule="auto"/>
        <w:ind w:firstLine="708"/>
        <w:jc w:val="both"/>
        <w:rPr>
          <w:rFonts w:ascii="Times New Roman" w:eastAsia="Times New Roman" w:hAnsi="Times New Roman" w:cs="Times New Roman"/>
          <w:bCs/>
          <w:sz w:val="28"/>
          <w:szCs w:val="28"/>
        </w:rPr>
      </w:pPr>
      <w:r w:rsidRPr="004135FE">
        <w:rPr>
          <w:rFonts w:ascii="Times New Roman" w:eastAsia="Times New Roman" w:hAnsi="Times New Roman" w:cs="Times New Roman"/>
          <w:sz w:val="28"/>
          <w:szCs w:val="28"/>
        </w:rPr>
        <w:t xml:space="preserve">По Бостандыкскому району наибольший </w:t>
      </w:r>
      <w:r w:rsidRPr="004135FE">
        <w:rPr>
          <w:rFonts w:ascii="Times New Roman" w:eastAsia="Times New Roman" w:hAnsi="Times New Roman" w:cs="Times New Roman"/>
          <w:bCs/>
          <w:sz w:val="28"/>
          <w:szCs w:val="28"/>
        </w:rPr>
        <w:t xml:space="preserve">абсолютный прирост </w:t>
      </w:r>
      <w:r w:rsidRPr="004135FE">
        <w:rPr>
          <w:rFonts w:ascii="Times New Roman" w:eastAsiaTheme="minorHAnsi" w:hAnsi="Times New Roman" w:cs="Times New Roman"/>
          <w:bCs/>
          <w:sz w:val="28"/>
          <w:szCs w:val="28"/>
          <w:lang w:eastAsia="en-US"/>
        </w:rPr>
        <w:t xml:space="preserve">СД 2типа </w:t>
      </w:r>
      <w:r w:rsidRPr="004135FE">
        <w:rPr>
          <w:rFonts w:ascii="Times New Roman" w:eastAsia="Times New Roman" w:hAnsi="Times New Roman" w:cs="Times New Roman"/>
          <w:bCs/>
          <w:sz w:val="28"/>
          <w:szCs w:val="28"/>
        </w:rPr>
        <w:t xml:space="preserve">в 2019г 873 случаев, в 2020г и 2021г резкое снижение роста до </w:t>
      </w:r>
      <w:r w:rsidRPr="004135FE">
        <w:rPr>
          <w:rFonts w:ascii="Times New Roman" w:eastAsia="Times New Roman" w:hAnsi="Times New Roman" w:cs="Times New Roman"/>
          <w:sz w:val="28"/>
          <w:szCs w:val="28"/>
        </w:rPr>
        <w:t>260,00</w:t>
      </w:r>
      <w:r w:rsidRPr="004135FE">
        <w:rPr>
          <w:rFonts w:ascii="Times New Roman" w:eastAsia="Times New Roman" w:hAnsi="Times New Roman" w:cs="Times New Roman"/>
          <w:bCs/>
          <w:sz w:val="28"/>
          <w:szCs w:val="28"/>
        </w:rPr>
        <w:t xml:space="preserve"> и </w:t>
      </w:r>
      <w:r w:rsidRPr="004135FE">
        <w:rPr>
          <w:rFonts w:ascii="Times New Roman" w:eastAsia="Times New Roman" w:hAnsi="Times New Roman" w:cs="Times New Roman"/>
          <w:sz w:val="28"/>
          <w:szCs w:val="28"/>
        </w:rPr>
        <w:t>313,00 случаев. Средний показатель</w:t>
      </w:r>
      <w:r w:rsidRPr="004135FE">
        <w:rPr>
          <w:rFonts w:ascii="Times New Roman" w:eastAsia="Times New Roman" w:hAnsi="Times New Roman" w:cs="Times New Roman"/>
          <w:bCs/>
          <w:sz w:val="28"/>
          <w:szCs w:val="28"/>
        </w:rPr>
        <w:t xml:space="preserve"> абсолютного прироста</w:t>
      </w:r>
      <w:r w:rsidRPr="004135FE">
        <w:rPr>
          <w:rFonts w:ascii="Times New Roman" w:eastAsia="Times New Roman" w:hAnsi="Times New Roman" w:cs="Times New Roman"/>
          <w:sz w:val="28"/>
          <w:szCs w:val="28"/>
        </w:rPr>
        <w:t xml:space="preserve"> 415,00. </w:t>
      </w:r>
      <w:r w:rsidRPr="004135FE">
        <w:rPr>
          <w:rFonts w:ascii="Times New Roman" w:eastAsia="Times New Roman" w:hAnsi="Times New Roman" w:cs="Times New Roman"/>
          <w:bCs/>
          <w:sz w:val="28"/>
          <w:szCs w:val="28"/>
        </w:rPr>
        <w:t xml:space="preserve">За 10 лет не отмечен убыль как среди общего количества, так и по половым признакам. Темп роста относительно к 2021 году возрос с </w:t>
      </w:r>
      <w:r w:rsidRPr="004135FE">
        <w:rPr>
          <w:rFonts w:ascii="Times New Roman" w:eastAsia="Times New Roman" w:hAnsi="Times New Roman" w:cs="Times New Roman"/>
          <w:sz w:val="28"/>
          <w:szCs w:val="28"/>
        </w:rPr>
        <w:t>49,66</w:t>
      </w:r>
      <w:r w:rsidRPr="004135FE">
        <w:rPr>
          <w:rFonts w:ascii="Times New Roman" w:eastAsia="Times New Roman" w:hAnsi="Times New Roman" w:cs="Times New Roman"/>
          <w:bCs/>
          <w:sz w:val="28"/>
          <w:szCs w:val="28"/>
        </w:rPr>
        <w:t xml:space="preserve">% до </w:t>
      </w:r>
      <w:r w:rsidRPr="004135FE">
        <w:rPr>
          <w:rFonts w:ascii="Times New Roman" w:eastAsia="Times New Roman" w:hAnsi="Times New Roman" w:cs="Times New Roman"/>
          <w:sz w:val="28"/>
          <w:szCs w:val="28"/>
        </w:rPr>
        <w:t>95,78</w:t>
      </w:r>
      <w:r w:rsidRPr="004135FE">
        <w:rPr>
          <w:rFonts w:ascii="Times New Roman" w:eastAsia="Times New Roman" w:hAnsi="Times New Roman" w:cs="Times New Roman"/>
          <w:bCs/>
          <w:sz w:val="28"/>
          <w:szCs w:val="28"/>
        </w:rPr>
        <w:t xml:space="preserve">%, </w:t>
      </w:r>
      <w:r w:rsidRPr="004135FE">
        <w:rPr>
          <w:rFonts w:ascii="Times New Roman" w:eastAsia="Times New Roman" w:hAnsi="Times New Roman" w:cs="Times New Roman"/>
          <w:sz w:val="28"/>
          <w:szCs w:val="28"/>
        </w:rPr>
        <w:t>средний показатель 108,09%. Т</w:t>
      </w:r>
      <w:r w:rsidRPr="004135FE">
        <w:rPr>
          <w:rFonts w:ascii="Times New Roman" w:eastAsia="Times New Roman" w:hAnsi="Times New Roman" w:cs="Times New Roman"/>
          <w:bCs/>
          <w:sz w:val="28"/>
          <w:szCs w:val="28"/>
        </w:rPr>
        <w:t>емп прироста в 2021 году по базисному показателю составил (</w:t>
      </w:r>
      <w:r w:rsidRPr="004135FE">
        <w:rPr>
          <w:rFonts w:ascii="Times New Roman" w:eastAsia="Times New Roman" w:hAnsi="Times New Roman" w:cs="Times New Roman"/>
          <w:sz w:val="28"/>
          <w:szCs w:val="28"/>
        </w:rPr>
        <w:t>-4,22</w:t>
      </w:r>
      <w:r w:rsidRPr="004135FE">
        <w:rPr>
          <w:rFonts w:ascii="Times New Roman" w:eastAsia="Times New Roman" w:hAnsi="Times New Roman" w:cs="Times New Roman"/>
          <w:bCs/>
          <w:sz w:val="28"/>
          <w:szCs w:val="28"/>
        </w:rPr>
        <w:t>%),</w:t>
      </w:r>
      <w:r w:rsidRPr="004135FE">
        <w:rPr>
          <w:rFonts w:ascii="Times New Roman" w:eastAsia="Times New Roman" w:hAnsi="Times New Roman" w:cs="Times New Roman"/>
          <w:sz w:val="28"/>
          <w:szCs w:val="28"/>
        </w:rPr>
        <w:t xml:space="preserve"> средний показатель 8,09%. Среди мужчин </w:t>
      </w:r>
      <w:r w:rsidRPr="004135FE">
        <w:rPr>
          <w:rFonts w:ascii="Times New Roman" w:eastAsia="Times New Roman" w:hAnsi="Times New Roman" w:cs="Times New Roman"/>
          <w:bCs/>
          <w:sz w:val="28"/>
          <w:szCs w:val="28"/>
        </w:rPr>
        <w:t xml:space="preserve">темп роста относительно к 2021 году составил </w:t>
      </w:r>
      <w:r w:rsidRPr="004135FE">
        <w:rPr>
          <w:rFonts w:ascii="Times New Roman" w:eastAsia="Times New Roman" w:hAnsi="Times New Roman" w:cs="Times New Roman"/>
          <w:sz w:val="28"/>
          <w:szCs w:val="28"/>
        </w:rPr>
        <w:t>93,32% и женщин 97,12%</w:t>
      </w:r>
    </w:p>
    <w:p w14:paraId="4565CFFD" w14:textId="77777777" w:rsidR="0066583A" w:rsidRPr="004135FE" w:rsidRDefault="0066583A" w:rsidP="006E1680">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По Жетысускому району наибольший</w:t>
      </w:r>
      <w:r w:rsidRPr="004135FE">
        <w:rPr>
          <w:rFonts w:ascii="Times New Roman" w:eastAsia="Times New Roman" w:hAnsi="Times New Roman" w:cs="Times New Roman"/>
          <w:bCs/>
          <w:sz w:val="28"/>
          <w:szCs w:val="28"/>
        </w:rPr>
        <w:t xml:space="preserve"> абсолютный прирост </w:t>
      </w:r>
      <w:r w:rsidRPr="004135FE">
        <w:rPr>
          <w:rFonts w:ascii="Times New Roman" w:eastAsiaTheme="minorHAnsi" w:hAnsi="Times New Roman" w:cs="Times New Roman"/>
          <w:bCs/>
          <w:sz w:val="28"/>
          <w:szCs w:val="28"/>
          <w:lang w:eastAsia="en-US"/>
        </w:rPr>
        <w:t xml:space="preserve">СД 2типа </w:t>
      </w:r>
      <w:r w:rsidRPr="004135FE">
        <w:rPr>
          <w:rFonts w:ascii="Times New Roman" w:eastAsia="Times New Roman" w:hAnsi="Times New Roman" w:cs="Times New Roman"/>
          <w:bCs/>
          <w:sz w:val="28"/>
          <w:szCs w:val="28"/>
        </w:rPr>
        <w:t>отмечен в 2016 году 704,00</w:t>
      </w:r>
      <w:r w:rsidRPr="004135FE">
        <w:rPr>
          <w:rFonts w:ascii="Times New Roman" w:eastAsia="Times New Roman" w:hAnsi="Times New Roman" w:cs="Times New Roman"/>
          <w:sz w:val="28"/>
          <w:szCs w:val="28"/>
        </w:rPr>
        <w:t>, наименьший рост с 2019г по 2020г, всего 152,00случаев, по среднему показателю составило 286,22. Наибольший убыль зафиксирован в 2015г (-470,00), среди мужчин (-151,00) и женщин (-319,00) случаев.  В динамике за</w:t>
      </w:r>
      <w:r w:rsidRPr="004135FE">
        <w:rPr>
          <w:rFonts w:ascii="Times New Roman" w:eastAsia="Times New Roman" w:hAnsi="Times New Roman" w:cs="Times New Roman"/>
          <w:bCs/>
          <w:sz w:val="28"/>
          <w:szCs w:val="28"/>
        </w:rPr>
        <w:t xml:space="preserve"> 10 лет темп роста в сравнении относительно 2021 года возрос с </w:t>
      </w:r>
      <w:r w:rsidRPr="004135FE">
        <w:rPr>
          <w:rFonts w:ascii="Times New Roman" w:eastAsia="Times New Roman" w:hAnsi="Times New Roman" w:cs="Times New Roman"/>
          <w:sz w:val="28"/>
          <w:szCs w:val="28"/>
        </w:rPr>
        <w:t>47,39</w:t>
      </w:r>
      <w:r w:rsidRPr="004135FE">
        <w:rPr>
          <w:rFonts w:ascii="Times New Roman" w:eastAsia="Times New Roman" w:hAnsi="Times New Roman" w:cs="Times New Roman"/>
          <w:bCs/>
          <w:sz w:val="28"/>
          <w:szCs w:val="28"/>
        </w:rPr>
        <w:t xml:space="preserve">% до </w:t>
      </w:r>
      <w:r w:rsidRPr="004135FE">
        <w:rPr>
          <w:rFonts w:ascii="Times New Roman" w:eastAsia="Times New Roman" w:hAnsi="Times New Roman" w:cs="Times New Roman"/>
          <w:sz w:val="28"/>
          <w:szCs w:val="28"/>
        </w:rPr>
        <w:t>93,42</w:t>
      </w:r>
      <w:r w:rsidRPr="004135FE">
        <w:rPr>
          <w:rFonts w:ascii="Times New Roman" w:eastAsia="Times New Roman" w:hAnsi="Times New Roman" w:cs="Times New Roman"/>
          <w:bCs/>
          <w:sz w:val="28"/>
          <w:szCs w:val="28"/>
        </w:rPr>
        <w:t>%</w:t>
      </w:r>
      <w:r w:rsidRPr="004135FE">
        <w:rPr>
          <w:rFonts w:ascii="Times New Roman" w:eastAsia="Times New Roman" w:hAnsi="Times New Roman" w:cs="Times New Roman"/>
          <w:sz w:val="28"/>
          <w:szCs w:val="28"/>
        </w:rPr>
        <w:t>, по среднему показателю определяется 108,65%. Т</w:t>
      </w:r>
      <w:r w:rsidRPr="004135FE">
        <w:rPr>
          <w:rFonts w:ascii="Times New Roman" w:eastAsia="Times New Roman" w:hAnsi="Times New Roman" w:cs="Times New Roman"/>
          <w:bCs/>
          <w:sz w:val="28"/>
          <w:szCs w:val="28"/>
        </w:rPr>
        <w:t>емп прироста в 2021 году по базисному показателю составил (</w:t>
      </w:r>
      <w:r w:rsidRPr="004135FE">
        <w:rPr>
          <w:rFonts w:ascii="Times New Roman" w:eastAsia="Times New Roman" w:hAnsi="Times New Roman" w:cs="Times New Roman"/>
          <w:sz w:val="28"/>
          <w:szCs w:val="28"/>
        </w:rPr>
        <w:t>-6,58</w:t>
      </w:r>
      <w:r w:rsidRPr="004135FE">
        <w:rPr>
          <w:rFonts w:ascii="Times New Roman" w:eastAsia="Times New Roman" w:hAnsi="Times New Roman" w:cs="Times New Roman"/>
          <w:bCs/>
          <w:sz w:val="28"/>
          <w:szCs w:val="28"/>
        </w:rPr>
        <w:t xml:space="preserve">%), </w:t>
      </w:r>
      <w:r w:rsidRPr="004135FE">
        <w:rPr>
          <w:rFonts w:ascii="Times New Roman" w:eastAsia="Times New Roman" w:hAnsi="Times New Roman" w:cs="Times New Roman"/>
          <w:sz w:val="28"/>
          <w:szCs w:val="28"/>
        </w:rPr>
        <w:t xml:space="preserve">средний показатель равен 8,65%. Среди мужчин </w:t>
      </w:r>
      <w:r w:rsidRPr="004135FE">
        <w:rPr>
          <w:rFonts w:ascii="Times New Roman" w:eastAsia="Times New Roman" w:hAnsi="Times New Roman" w:cs="Times New Roman"/>
          <w:bCs/>
          <w:sz w:val="28"/>
          <w:szCs w:val="28"/>
        </w:rPr>
        <w:t xml:space="preserve">темп роста в сравнении относительно 2021 года возрос с </w:t>
      </w:r>
      <w:r w:rsidRPr="004135FE">
        <w:rPr>
          <w:rFonts w:ascii="Times New Roman" w:eastAsia="Times New Roman" w:hAnsi="Times New Roman" w:cs="Times New Roman"/>
          <w:sz w:val="28"/>
          <w:szCs w:val="28"/>
        </w:rPr>
        <w:t>44,96% до 93,14% и среди женщин с 48,52% до 93,56%.</w:t>
      </w:r>
    </w:p>
    <w:p w14:paraId="6DE8ED9B" w14:textId="77777777" w:rsidR="0066583A" w:rsidRPr="004135FE" w:rsidRDefault="0066583A" w:rsidP="006E1680">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По Медеускому району наибольший</w:t>
      </w:r>
      <w:r w:rsidRPr="004135FE">
        <w:rPr>
          <w:rFonts w:ascii="Times New Roman" w:eastAsia="Times New Roman" w:hAnsi="Times New Roman" w:cs="Times New Roman"/>
          <w:bCs/>
          <w:sz w:val="28"/>
          <w:szCs w:val="28"/>
        </w:rPr>
        <w:t xml:space="preserve"> абсолютный прирост </w:t>
      </w:r>
      <w:r w:rsidRPr="004135FE">
        <w:rPr>
          <w:rFonts w:ascii="Times New Roman" w:eastAsiaTheme="minorHAnsi" w:hAnsi="Times New Roman" w:cs="Times New Roman"/>
          <w:bCs/>
          <w:sz w:val="28"/>
          <w:szCs w:val="28"/>
          <w:lang w:eastAsia="en-US"/>
        </w:rPr>
        <w:t xml:space="preserve">СД 2типа </w:t>
      </w:r>
      <w:r w:rsidRPr="004135FE">
        <w:rPr>
          <w:rFonts w:ascii="Times New Roman" w:eastAsia="Times New Roman" w:hAnsi="Times New Roman" w:cs="Times New Roman"/>
          <w:bCs/>
          <w:sz w:val="28"/>
          <w:szCs w:val="28"/>
        </w:rPr>
        <w:t xml:space="preserve">отмечен в 2019 году </w:t>
      </w:r>
      <w:r w:rsidRPr="004135FE">
        <w:rPr>
          <w:rFonts w:ascii="Times New Roman" w:eastAsia="Times New Roman" w:hAnsi="Times New Roman" w:cs="Times New Roman"/>
          <w:sz w:val="28"/>
          <w:szCs w:val="28"/>
        </w:rPr>
        <w:t xml:space="preserve">617,00, по среднему показателю составило 229,56.   Убыль </w:t>
      </w:r>
      <w:r w:rsidRPr="004135FE">
        <w:rPr>
          <w:rFonts w:ascii="Times New Roman" w:eastAsia="Times New Roman" w:hAnsi="Times New Roman" w:cs="Times New Roman"/>
          <w:sz w:val="28"/>
          <w:szCs w:val="28"/>
        </w:rPr>
        <w:lastRenderedPageBreak/>
        <w:t>зафиксирован в 2017г (-117,00), среди мужчин (-2,00) и женщин (-115,00) случаев. В динамике за</w:t>
      </w:r>
      <w:r w:rsidRPr="004135FE">
        <w:rPr>
          <w:rFonts w:ascii="Times New Roman" w:eastAsia="Times New Roman" w:hAnsi="Times New Roman" w:cs="Times New Roman"/>
          <w:bCs/>
          <w:sz w:val="28"/>
          <w:szCs w:val="28"/>
        </w:rPr>
        <w:t xml:space="preserve"> 10 лет темп роста в сравнении относительно 2021 года возрос с </w:t>
      </w:r>
      <w:r w:rsidRPr="004135FE">
        <w:rPr>
          <w:rFonts w:ascii="Times New Roman" w:eastAsia="Times New Roman" w:hAnsi="Times New Roman" w:cs="Times New Roman"/>
          <w:sz w:val="28"/>
          <w:szCs w:val="28"/>
        </w:rPr>
        <w:t>58,48</w:t>
      </w:r>
      <w:r w:rsidRPr="004135FE">
        <w:rPr>
          <w:rFonts w:ascii="Times New Roman" w:eastAsia="Times New Roman" w:hAnsi="Times New Roman" w:cs="Times New Roman"/>
          <w:bCs/>
          <w:sz w:val="28"/>
          <w:szCs w:val="28"/>
        </w:rPr>
        <w:t xml:space="preserve">% до </w:t>
      </w:r>
      <w:r w:rsidRPr="004135FE">
        <w:rPr>
          <w:rFonts w:ascii="Times New Roman" w:eastAsia="Times New Roman" w:hAnsi="Times New Roman" w:cs="Times New Roman"/>
          <w:sz w:val="28"/>
          <w:szCs w:val="28"/>
        </w:rPr>
        <w:t>95,14</w:t>
      </w:r>
      <w:r w:rsidRPr="004135FE">
        <w:rPr>
          <w:rFonts w:ascii="Times New Roman" w:eastAsia="Times New Roman" w:hAnsi="Times New Roman" w:cs="Times New Roman"/>
          <w:bCs/>
          <w:sz w:val="28"/>
          <w:szCs w:val="28"/>
        </w:rPr>
        <w:t>%</w:t>
      </w:r>
      <w:r w:rsidRPr="004135FE">
        <w:rPr>
          <w:rFonts w:ascii="Times New Roman" w:eastAsia="Times New Roman" w:hAnsi="Times New Roman" w:cs="Times New Roman"/>
          <w:sz w:val="28"/>
          <w:szCs w:val="28"/>
        </w:rPr>
        <w:t>, по среднему показателю определяется 106,14%. Т</w:t>
      </w:r>
      <w:r w:rsidRPr="004135FE">
        <w:rPr>
          <w:rFonts w:ascii="Times New Roman" w:eastAsia="Times New Roman" w:hAnsi="Times New Roman" w:cs="Times New Roman"/>
          <w:bCs/>
          <w:sz w:val="28"/>
          <w:szCs w:val="28"/>
        </w:rPr>
        <w:t>емп прироста в 2021 году по базисному показателю составил (</w:t>
      </w:r>
      <w:r w:rsidRPr="004135FE">
        <w:rPr>
          <w:rFonts w:ascii="Times New Roman" w:eastAsia="Times New Roman" w:hAnsi="Times New Roman" w:cs="Times New Roman"/>
          <w:sz w:val="28"/>
          <w:szCs w:val="28"/>
        </w:rPr>
        <w:t>-4,86</w:t>
      </w:r>
      <w:r w:rsidRPr="004135FE">
        <w:rPr>
          <w:rFonts w:ascii="Times New Roman" w:eastAsia="Times New Roman" w:hAnsi="Times New Roman" w:cs="Times New Roman"/>
          <w:bCs/>
          <w:sz w:val="28"/>
          <w:szCs w:val="28"/>
        </w:rPr>
        <w:t xml:space="preserve">%), </w:t>
      </w:r>
      <w:r w:rsidRPr="004135FE">
        <w:rPr>
          <w:rFonts w:ascii="Times New Roman" w:eastAsia="Times New Roman" w:hAnsi="Times New Roman" w:cs="Times New Roman"/>
          <w:sz w:val="28"/>
          <w:szCs w:val="28"/>
        </w:rPr>
        <w:t xml:space="preserve">средний показатель равен 6,14%. Среди мужчин </w:t>
      </w:r>
      <w:r w:rsidRPr="004135FE">
        <w:rPr>
          <w:rFonts w:ascii="Times New Roman" w:eastAsia="Times New Roman" w:hAnsi="Times New Roman" w:cs="Times New Roman"/>
          <w:bCs/>
          <w:sz w:val="28"/>
          <w:szCs w:val="28"/>
        </w:rPr>
        <w:t xml:space="preserve">темп роста в сравнении относительно 2021 года возрос с </w:t>
      </w:r>
      <w:r w:rsidRPr="004135FE">
        <w:rPr>
          <w:rFonts w:ascii="Times New Roman" w:eastAsia="Times New Roman" w:hAnsi="Times New Roman" w:cs="Times New Roman"/>
          <w:sz w:val="28"/>
          <w:szCs w:val="28"/>
        </w:rPr>
        <w:t>52,14% до 94,30% и среди женщин с 61,99% до 95,60%.</w:t>
      </w:r>
    </w:p>
    <w:p w14:paraId="1BF04534" w14:textId="5F74969C" w:rsidR="0066583A" w:rsidRPr="004135FE" w:rsidRDefault="0066583A" w:rsidP="006E1680">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По Наурызбайскому району статистическая обработка проведена </w:t>
      </w:r>
      <w:r w:rsidRPr="004135FE">
        <w:rPr>
          <w:rFonts w:ascii="Times New Roman" w:eastAsia="Times New Roman" w:hAnsi="Times New Roman" w:cs="Times New Roman"/>
          <w:bCs/>
          <w:sz w:val="28"/>
          <w:szCs w:val="28"/>
        </w:rPr>
        <w:t xml:space="preserve">с 2015 года по 2021 годы. Абсолютный прирост </w:t>
      </w:r>
      <w:r w:rsidRPr="004135FE">
        <w:rPr>
          <w:rFonts w:ascii="Times New Roman" w:eastAsiaTheme="minorHAnsi" w:hAnsi="Times New Roman" w:cs="Times New Roman"/>
          <w:bCs/>
          <w:sz w:val="28"/>
          <w:szCs w:val="28"/>
          <w:lang w:eastAsia="en-US"/>
        </w:rPr>
        <w:t>СД 2</w:t>
      </w:r>
      <w:r w:rsidR="00BA3CA8">
        <w:rPr>
          <w:rFonts w:ascii="Times New Roman" w:eastAsiaTheme="minorHAnsi" w:hAnsi="Times New Roman" w:cs="Times New Roman"/>
          <w:bCs/>
          <w:sz w:val="28"/>
          <w:szCs w:val="28"/>
          <w:lang w:eastAsia="en-US"/>
        </w:rPr>
        <w:t xml:space="preserve"> </w:t>
      </w:r>
      <w:r w:rsidRPr="004135FE">
        <w:rPr>
          <w:rFonts w:ascii="Times New Roman" w:eastAsiaTheme="minorHAnsi" w:hAnsi="Times New Roman" w:cs="Times New Roman"/>
          <w:bCs/>
          <w:sz w:val="28"/>
          <w:szCs w:val="28"/>
          <w:lang w:eastAsia="en-US"/>
        </w:rPr>
        <w:t>типа</w:t>
      </w:r>
      <w:r w:rsidRPr="004135FE">
        <w:rPr>
          <w:rFonts w:ascii="Times New Roman" w:eastAsia="Times New Roman" w:hAnsi="Times New Roman" w:cs="Times New Roman"/>
          <w:bCs/>
          <w:sz w:val="28"/>
          <w:szCs w:val="28"/>
        </w:rPr>
        <w:t xml:space="preserve"> к 2021 году составил </w:t>
      </w:r>
      <w:r w:rsidRPr="004135FE">
        <w:rPr>
          <w:rFonts w:ascii="Times New Roman" w:eastAsia="Times New Roman" w:hAnsi="Times New Roman" w:cs="Times New Roman"/>
          <w:sz w:val="28"/>
          <w:szCs w:val="28"/>
        </w:rPr>
        <w:t xml:space="preserve">298,00, средний показатель равен 299,17. </w:t>
      </w:r>
      <w:r w:rsidRPr="004135FE">
        <w:rPr>
          <w:rFonts w:ascii="Times New Roman" w:eastAsia="Times New Roman" w:hAnsi="Times New Roman" w:cs="Times New Roman"/>
          <w:bCs/>
          <w:sz w:val="28"/>
          <w:szCs w:val="28"/>
        </w:rPr>
        <w:t xml:space="preserve">За семь лет темп роста в сравнении относительно 2021 года возрос равномерно с </w:t>
      </w:r>
      <w:r w:rsidRPr="004135FE">
        <w:rPr>
          <w:rFonts w:ascii="Times New Roman" w:eastAsia="Times New Roman" w:hAnsi="Times New Roman" w:cs="Times New Roman"/>
          <w:sz w:val="28"/>
          <w:szCs w:val="28"/>
        </w:rPr>
        <w:t>18,00</w:t>
      </w:r>
      <w:r w:rsidRPr="004135FE">
        <w:rPr>
          <w:rFonts w:ascii="Times New Roman" w:eastAsia="Times New Roman" w:hAnsi="Times New Roman" w:cs="Times New Roman"/>
          <w:bCs/>
          <w:sz w:val="28"/>
          <w:szCs w:val="28"/>
        </w:rPr>
        <w:t xml:space="preserve">% до </w:t>
      </w:r>
      <w:r w:rsidRPr="004135FE">
        <w:rPr>
          <w:rFonts w:ascii="Times New Roman" w:eastAsia="Times New Roman" w:hAnsi="Times New Roman" w:cs="Times New Roman"/>
          <w:sz w:val="28"/>
          <w:szCs w:val="28"/>
        </w:rPr>
        <w:t>86,39</w:t>
      </w:r>
      <w:r w:rsidRPr="004135FE">
        <w:rPr>
          <w:rFonts w:ascii="Times New Roman" w:eastAsia="Times New Roman" w:hAnsi="Times New Roman" w:cs="Times New Roman"/>
          <w:bCs/>
          <w:sz w:val="28"/>
          <w:szCs w:val="28"/>
        </w:rPr>
        <w:t xml:space="preserve">%, </w:t>
      </w:r>
      <w:r w:rsidRPr="004135FE">
        <w:rPr>
          <w:rFonts w:ascii="Times New Roman" w:eastAsia="Times New Roman" w:hAnsi="Times New Roman" w:cs="Times New Roman"/>
          <w:sz w:val="28"/>
          <w:szCs w:val="28"/>
        </w:rPr>
        <w:t>средний показатель 133,08%. Т</w:t>
      </w:r>
      <w:r w:rsidRPr="004135FE">
        <w:rPr>
          <w:rFonts w:ascii="Times New Roman" w:eastAsia="Times New Roman" w:hAnsi="Times New Roman" w:cs="Times New Roman"/>
          <w:bCs/>
          <w:sz w:val="28"/>
          <w:szCs w:val="28"/>
        </w:rPr>
        <w:t>емп прироста в 2021 году по базисному показателю составил (</w:t>
      </w:r>
      <w:r w:rsidRPr="004135FE">
        <w:rPr>
          <w:rFonts w:ascii="Times New Roman" w:eastAsia="Times New Roman" w:hAnsi="Times New Roman" w:cs="Times New Roman"/>
          <w:sz w:val="28"/>
          <w:szCs w:val="28"/>
        </w:rPr>
        <w:t>-13,61</w:t>
      </w:r>
      <w:r w:rsidRPr="004135FE">
        <w:rPr>
          <w:rFonts w:ascii="Times New Roman" w:eastAsia="Times New Roman" w:hAnsi="Times New Roman" w:cs="Times New Roman"/>
          <w:bCs/>
          <w:sz w:val="28"/>
          <w:szCs w:val="28"/>
        </w:rPr>
        <w:t xml:space="preserve">%), </w:t>
      </w:r>
      <w:r w:rsidRPr="004135FE">
        <w:rPr>
          <w:rFonts w:ascii="Times New Roman" w:eastAsia="Times New Roman" w:hAnsi="Times New Roman" w:cs="Times New Roman"/>
          <w:sz w:val="28"/>
          <w:szCs w:val="28"/>
        </w:rPr>
        <w:t xml:space="preserve">средний показатель равен 33,08%. </w:t>
      </w:r>
      <w:r w:rsidRPr="004135FE">
        <w:rPr>
          <w:rFonts w:ascii="Times New Roman" w:eastAsiaTheme="minorHAnsi" w:hAnsi="Times New Roman" w:cs="Times New Roman"/>
          <w:bCs/>
          <w:sz w:val="28"/>
          <w:szCs w:val="28"/>
          <w:lang w:eastAsia="en-US"/>
        </w:rPr>
        <w:t>СД 2т</w:t>
      </w:r>
      <w:r w:rsidRPr="004135FE">
        <w:rPr>
          <w:rFonts w:ascii="Times New Roman" w:eastAsia="Times New Roman" w:hAnsi="Times New Roman" w:cs="Times New Roman"/>
          <w:bCs/>
          <w:sz w:val="28"/>
          <w:szCs w:val="28"/>
        </w:rPr>
        <w:t xml:space="preserve"> к 2021 году среди мужчин </w:t>
      </w:r>
      <w:r w:rsidRPr="004135FE">
        <w:rPr>
          <w:rFonts w:ascii="Times New Roman" w:eastAsia="Times New Roman" w:hAnsi="Times New Roman" w:cs="Times New Roman"/>
          <w:sz w:val="28"/>
          <w:szCs w:val="28"/>
        </w:rPr>
        <w:t xml:space="preserve">показатель абсолютного прироста </w:t>
      </w:r>
      <w:r w:rsidRPr="004135FE">
        <w:rPr>
          <w:rFonts w:ascii="Times New Roman" w:eastAsia="Times New Roman" w:hAnsi="Times New Roman" w:cs="Times New Roman"/>
          <w:bCs/>
          <w:sz w:val="28"/>
          <w:szCs w:val="28"/>
        </w:rPr>
        <w:t xml:space="preserve">имел </w:t>
      </w:r>
      <w:r w:rsidRPr="004135FE">
        <w:rPr>
          <w:rFonts w:ascii="Times New Roman" w:eastAsia="Times New Roman" w:hAnsi="Times New Roman" w:cs="Times New Roman"/>
          <w:sz w:val="28"/>
          <w:szCs w:val="28"/>
        </w:rPr>
        <w:t>117,00 и женщин 181,00 случаев.</w:t>
      </w:r>
    </w:p>
    <w:p w14:paraId="6B9B92F6" w14:textId="77777777" w:rsidR="0066583A" w:rsidRPr="004135FE" w:rsidRDefault="0066583A" w:rsidP="006E1680">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По Турксибскому району абсолютный</w:t>
      </w:r>
      <w:r w:rsidRPr="004135FE">
        <w:rPr>
          <w:rFonts w:ascii="Times New Roman" w:eastAsia="Times New Roman" w:hAnsi="Times New Roman" w:cs="Times New Roman"/>
          <w:bCs/>
          <w:sz w:val="28"/>
          <w:szCs w:val="28"/>
        </w:rPr>
        <w:t xml:space="preserve"> прирост </w:t>
      </w:r>
      <w:r w:rsidRPr="004135FE">
        <w:rPr>
          <w:rFonts w:ascii="Times New Roman" w:eastAsiaTheme="minorHAnsi" w:hAnsi="Times New Roman" w:cs="Times New Roman"/>
          <w:bCs/>
          <w:sz w:val="28"/>
          <w:szCs w:val="28"/>
          <w:lang w:eastAsia="en-US"/>
        </w:rPr>
        <w:t xml:space="preserve">СД 2типа </w:t>
      </w:r>
      <w:r w:rsidRPr="004135FE">
        <w:rPr>
          <w:rFonts w:ascii="Times New Roman" w:eastAsia="Times New Roman" w:hAnsi="Times New Roman" w:cs="Times New Roman"/>
          <w:sz w:val="28"/>
          <w:szCs w:val="28"/>
        </w:rPr>
        <w:t xml:space="preserve">имел наибольший рост в 2016г 658,00. Наименьший рост в 2021г 43,00случаев, среди мужчин 65,00 случаев и среди женщин убыль до (-22,00) случаев. Средний показатель </w:t>
      </w:r>
      <w:r w:rsidRPr="004135FE">
        <w:rPr>
          <w:rFonts w:ascii="Times New Roman" w:eastAsia="Times New Roman" w:hAnsi="Times New Roman" w:cs="Times New Roman"/>
          <w:bCs/>
          <w:sz w:val="28"/>
          <w:szCs w:val="28"/>
        </w:rPr>
        <w:t xml:space="preserve">темп роста в сравнении относительно 2021 года </w:t>
      </w:r>
      <w:r w:rsidRPr="004135FE">
        <w:rPr>
          <w:rFonts w:ascii="Times New Roman" w:eastAsia="Times New Roman" w:hAnsi="Times New Roman" w:cs="Times New Roman"/>
          <w:sz w:val="28"/>
          <w:szCs w:val="28"/>
        </w:rPr>
        <w:t>за 10 лет составило 107,63%. Т</w:t>
      </w:r>
      <w:r w:rsidRPr="004135FE">
        <w:rPr>
          <w:rFonts w:ascii="Times New Roman" w:eastAsia="Times New Roman" w:hAnsi="Times New Roman" w:cs="Times New Roman"/>
          <w:bCs/>
          <w:sz w:val="28"/>
          <w:szCs w:val="28"/>
        </w:rPr>
        <w:t>емп прироста в 2021 году по базисному показателю составил (</w:t>
      </w:r>
      <w:r w:rsidRPr="004135FE">
        <w:rPr>
          <w:rFonts w:ascii="Times New Roman" w:eastAsia="Times New Roman" w:hAnsi="Times New Roman" w:cs="Times New Roman"/>
          <w:sz w:val="28"/>
          <w:szCs w:val="28"/>
        </w:rPr>
        <w:t>-0,70</w:t>
      </w:r>
      <w:r w:rsidRPr="004135FE">
        <w:rPr>
          <w:rFonts w:ascii="Times New Roman" w:eastAsia="Times New Roman" w:hAnsi="Times New Roman" w:cs="Times New Roman"/>
          <w:bCs/>
          <w:sz w:val="28"/>
          <w:szCs w:val="28"/>
        </w:rPr>
        <w:t xml:space="preserve">%), </w:t>
      </w:r>
      <w:r w:rsidRPr="004135FE">
        <w:rPr>
          <w:rFonts w:ascii="Times New Roman" w:eastAsia="Times New Roman" w:hAnsi="Times New Roman" w:cs="Times New Roman"/>
          <w:sz w:val="28"/>
          <w:szCs w:val="28"/>
        </w:rPr>
        <w:t xml:space="preserve">средний показатель равен 7,63%. </w:t>
      </w:r>
    </w:p>
    <w:p w14:paraId="4A61D49D" w14:textId="77777777" w:rsidR="0066583A" w:rsidRPr="004135FE" w:rsidRDefault="0066583A" w:rsidP="006E1680">
      <w:pPr>
        <w:spacing w:after="0" w:line="240" w:lineRule="auto"/>
        <w:ind w:firstLine="708"/>
        <w:jc w:val="both"/>
        <w:rPr>
          <w:rFonts w:ascii="Times New Roman" w:eastAsia="Times New Roman" w:hAnsi="Times New Roman" w:cs="Times New Roman"/>
          <w:sz w:val="28"/>
          <w:szCs w:val="28"/>
        </w:rPr>
      </w:pPr>
    </w:p>
    <w:p w14:paraId="26265E95" w14:textId="77777777" w:rsidR="0066583A" w:rsidRPr="004135FE" w:rsidRDefault="0066583A" w:rsidP="006E1680">
      <w:pPr>
        <w:spacing w:after="0" w:line="240" w:lineRule="auto"/>
        <w:ind w:firstLine="708"/>
        <w:jc w:val="both"/>
        <w:rPr>
          <w:rFonts w:ascii="Times New Roman" w:eastAsia="Times New Roman" w:hAnsi="Times New Roman" w:cs="Times New Roman"/>
          <w:sz w:val="28"/>
          <w:szCs w:val="28"/>
        </w:rPr>
      </w:pPr>
    </w:p>
    <w:p w14:paraId="290741E9" w14:textId="77777777" w:rsidR="0066583A" w:rsidRPr="004135FE" w:rsidRDefault="0066583A" w:rsidP="006E1680">
      <w:pPr>
        <w:spacing w:after="0" w:line="240" w:lineRule="auto"/>
        <w:ind w:firstLine="708"/>
        <w:jc w:val="both"/>
        <w:rPr>
          <w:rFonts w:ascii="Times New Roman" w:eastAsia="Times New Roman" w:hAnsi="Times New Roman" w:cs="Times New Roman"/>
          <w:sz w:val="28"/>
          <w:szCs w:val="28"/>
        </w:rPr>
      </w:pPr>
    </w:p>
    <w:p w14:paraId="167861F0" w14:textId="77777777" w:rsidR="0066583A" w:rsidRPr="004135FE" w:rsidRDefault="0066583A" w:rsidP="004135FE">
      <w:pPr>
        <w:spacing w:after="0" w:line="240" w:lineRule="auto"/>
        <w:ind w:firstLine="708"/>
        <w:jc w:val="both"/>
        <w:rPr>
          <w:rFonts w:ascii="Times New Roman" w:eastAsia="Times New Roman" w:hAnsi="Times New Roman" w:cs="Times New Roman"/>
          <w:sz w:val="28"/>
          <w:szCs w:val="28"/>
        </w:rPr>
      </w:pPr>
    </w:p>
    <w:p w14:paraId="2351E2F2" w14:textId="77777777" w:rsidR="0066583A" w:rsidRPr="004135FE" w:rsidRDefault="0066583A" w:rsidP="004135FE">
      <w:pPr>
        <w:spacing w:after="0" w:line="240" w:lineRule="auto"/>
        <w:ind w:firstLine="708"/>
        <w:jc w:val="both"/>
        <w:rPr>
          <w:rFonts w:ascii="Times New Roman" w:eastAsia="Times New Roman" w:hAnsi="Times New Roman" w:cs="Times New Roman"/>
          <w:sz w:val="28"/>
          <w:szCs w:val="28"/>
        </w:rPr>
      </w:pPr>
    </w:p>
    <w:p w14:paraId="177C1E94" w14:textId="77777777" w:rsidR="0066583A" w:rsidRPr="004135FE" w:rsidRDefault="0066583A" w:rsidP="004135FE">
      <w:pPr>
        <w:spacing w:after="0" w:line="240" w:lineRule="auto"/>
        <w:ind w:firstLine="708"/>
        <w:jc w:val="both"/>
        <w:rPr>
          <w:rFonts w:ascii="Times New Roman" w:eastAsia="Times New Roman" w:hAnsi="Times New Roman" w:cs="Times New Roman"/>
          <w:sz w:val="28"/>
          <w:szCs w:val="28"/>
        </w:rPr>
      </w:pPr>
    </w:p>
    <w:p w14:paraId="0FADE43E" w14:textId="77777777" w:rsidR="0066583A" w:rsidRPr="004135FE" w:rsidRDefault="0066583A" w:rsidP="004135FE">
      <w:pPr>
        <w:spacing w:after="0" w:line="240" w:lineRule="auto"/>
        <w:ind w:firstLine="708"/>
        <w:jc w:val="both"/>
        <w:rPr>
          <w:rFonts w:ascii="Times New Roman" w:eastAsia="Times New Roman" w:hAnsi="Times New Roman" w:cs="Times New Roman"/>
          <w:sz w:val="28"/>
          <w:szCs w:val="28"/>
        </w:rPr>
      </w:pPr>
    </w:p>
    <w:p w14:paraId="1D19D526" w14:textId="77777777" w:rsidR="0066583A" w:rsidRPr="004135FE" w:rsidRDefault="0066583A" w:rsidP="004135FE">
      <w:pPr>
        <w:spacing w:after="0" w:line="240" w:lineRule="auto"/>
        <w:ind w:firstLine="708"/>
        <w:jc w:val="both"/>
        <w:rPr>
          <w:rFonts w:ascii="Times New Roman" w:eastAsia="Times New Roman" w:hAnsi="Times New Roman" w:cs="Times New Roman"/>
          <w:sz w:val="28"/>
          <w:szCs w:val="28"/>
        </w:rPr>
      </w:pPr>
    </w:p>
    <w:p w14:paraId="0312D63F" w14:textId="77777777" w:rsidR="0066583A" w:rsidRPr="004135FE" w:rsidRDefault="0066583A" w:rsidP="004135FE">
      <w:pPr>
        <w:spacing w:after="0" w:line="240" w:lineRule="auto"/>
        <w:ind w:firstLine="708"/>
        <w:jc w:val="both"/>
        <w:rPr>
          <w:rFonts w:ascii="Times New Roman" w:eastAsia="Times New Roman" w:hAnsi="Times New Roman" w:cs="Times New Roman"/>
          <w:sz w:val="28"/>
          <w:szCs w:val="28"/>
        </w:rPr>
      </w:pPr>
    </w:p>
    <w:p w14:paraId="04B1CE49" w14:textId="77777777" w:rsidR="0066583A" w:rsidRPr="004135FE" w:rsidRDefault="0066583A" w:rsidP="004135FE">
      <w:pPr>
        <w:spacing w:after="0" w:line="240" w:lineRule="auto"/>
        <w:ind w:firstLine="708"/>
        <w:jc w:val="both"/>
        <w:rPr>
          <w:rFonts w:ascii="Times New Roman" w:eastAsia="Times New Roman" w:hAnsi="Times New Roman" w:cs="Times New Roman"/>
          <w:sz w:val="28"/>
          <w:szCs w:val="28"/>
        </w:rPr>
      </w:pPr>
    </w:p>
    <w:p w14:paraId="34437E1F" w14:textId="77777777" w:rsidR="0066583A" w:rsidRPr="004135FE" w:rsidRDefault="0066583A" w:rsidP="004135FE">
      <w:pPr>
        <w:spacing w:after="0" w:line="240" w:lineRule="auto"/>
        <w:ind w:firstLine="708"/>
        <w:jc w:val="both"/>
        <w:rPr>
          <w:rFonts w:ascii="Times New Roman" w:eastAsia="Times New Roman" w:hAnsi="Times New Roman" w:cs="Times New Roman"/>
          <w:sz w:val="28"/>
          <w:szCs w:val="28"/>
        </w:rPr>
      </w:pPr>
    </w:p>
    <w:p w14:paraId="64B47565" w14:textId="77777777" w:rsidR="0066583A" w:rsidRPr="004135FE" w:rsidRDefault="0066583A" w:rsidP="004135FE">
      <w:pPr>
        <w:spacing w:after="0" w:line="240" w:lineRule="auto"/>
        <w:jc w:val="both"/>
        <w:rPr>
          <w:rFonts w:ascii="Times New Roman" w:eastAsia="Times New Roman" w:hAnsi="Times New Roman" w:cs="Times New Roman"/>
          <w:sz w:val="28"/>
          <w:szCs w:val="28"/>
        </w:rPr>
        <w:sectPr w:rsidR="0066583A" w:rsidRPr="004135FE" w:rsidSect="00ED689E">
          <w:pgSz w:w="11906" w:h="16838"/>
          <w:pgMar w:top="1134" w:right="851" w:bottom="1134" w:left="1701" w:header="708" w:footer="300" w:gutter="0"/>
          <w:cols w:space="708"/>
          <w:docGrid w:linePitch="360"/>
        </w:sectPr>
      </w:pPr>
    </w:p>
    <w:p w14:paraId="682EAF67" w14:textId="6B2020D9" w:rsidR="0066583A" w:rsidRDefault="0066583A"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lastRenderedPageBreak/>
        <w:t>Таблица 1</w:t>
      </w:r>
      <w:r w:rsidR="005F2D6E" w:rsidRPr="004135FE">
        <w:rPr>
          <w:rFonts w:ascii="Times New Roman" w:eastAsia="Times New Roman" w:hAnsi="Times New Roman" w:cs="Times New Roman"/>
          <w:sz w:val="28"/>
          <w:szCs w:val="28"/>
        </w:rPr>
        <w:t>1</w:t>
      </w:r>
      <w:r w:rsidRPr="004135FE">
        <w:rPr>
          <w:rFonts w:ascii="Times New Roman" w:eastAsia="Times New Roman" w:hAnsi="Times New Roman" w:cs="Times New Roman"/>
          <w:sz w:val="28"/>
          <w:szCs w:val="28"/>
        </w:rPr>
        <w:t>- Динамика числа случаев распространенности СД2т с 2012 по 2021 годы по районам и половым признакам г.</w:t>
      </w:r>
      <w:r w:rsidR="00FA5792">
        <w:rPr>
          <w:rFonts w:ascii="Times New Roman" w:eastAsia="Times New Roman" w:hAnsi="Times New Roman" w:cs="Times New Roman"/>
          <w:sz w:val="28"/>
          <w:szCs w:val="28"/>
        </w:rPr>
        <w:t xml:space="preserve"> </w:t>
      </w:r>
      <w:r w:rsidRPr="004135FE">
        <w:rPr>
          <w:rFonts w:ascii="Times New Roman" w:eastAsia="Times New Roman" w:hAnsi="Times New Roman" w:cs="Times New Roman"/>
          <w:sz w:val="28"/>
          <w:szCs w:val="28"/>
        </w:rPr>
        <w:t>Алматы</w:t>
      </w:r>
    </w:p>
    <w:p w14:paraId="242865AB" w14:textId="77777777" w:rsidR="006E1680" w:rsidRPr="004135FE" w:rsidRDefault="006E1680" w:rsidP="004135FE">
      <w:pPr>
        <w:spacing w:after="0" w:line="240" w:lineRule="auto"/>
        <w:jc w:val="both"/>
        <w:rPr>
          <w:rFonts w:ascii="Times New Roman" w:eastAsia="Times New Roman" w:hAnsi="Times New Roman" w:cs="Times New Roman"/>
          <w:sz w:val="28"/>
          <w:szCs w:val="28"/>
        </w:rPr>
      </w:pPr>
    </w:p>
    <w:tbl>
      <w:tblPr>
        <w:tblW w:w="14317" w:type="dxa"/>
        <w:tblInd w:w="-5" w:type="dxa"/>
        <w:tblLayout w:type="fixed"/>
        <w:tblLook w:val="04A0" w:firstRow="1" w:lastRow="0" w:firstColumn="1" w:lastColumn="0" w:noHBand="0" w:noVBand="1"/>
      </w:tblPr>
      <w:tblGrid>
        <w:gridCol w:w="1134"/>
        <w:gridCol w:w="993"/>
        <w:gridCol w:w="708"/>
        <w:gridCol w:w="993"/>
        <w:gridCol w:w="992"/>
        <w:gridCol w:w="1276"/>
        <w:gridCol w:w="850"/>
        <w:gridCol w:w="851"/>
        <w:gridCol w:w="1559"/>
        <w:gridCol w:w="992"/>
        <w:gridCol w:w="709"/>
        <w:gridCol w:w="1134"/>
        <w:gridCol w:w="1134"/>
        <w:gridCol w:w="992"/>
      </w:tblGrid>
      <w:tr w:rsidR="00FA5792" w:rsidRPr="006E1680" w14:paraId="666BCCBE" w14:textId="77777777" w:rsidTr="00BA3CA8">
        <w:trPr>
          <w:trHeight w:val="172"/>
        </w:trPr>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620BEE2A" w14:textId="77777777" w:rsidR="0066583A" w:rsidRPr="006E1680" w:rsidRDefault="0066583A" w:rsidP="004135FE">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 </w:t>
            </w:r>
          </w:p>
        </w:tc>
        <w:tc>
          <w:tcPr>
            <w:tcW w:w="993" w:type="dxa"/>
            <w:tcBorders>
              <w:top w:val="single" w:sz="4" w:space="0" w:color="auto"/>
              <w:left w:val="nil"/>
              <w:bottom w:val="single" w:sz="4" w:space="0" w:color="auto"/>
              <w:right w:val="single" w:sz="4" w:space="0" w:color="auto"/>
            </w:tcBorders>
            <w:shd w:val="clear" w:color="auto" w:fill="auto"/>
            <w:noWrap/>
            <w:hideMark/>
          </w:tcPr>
          <w:p w14:paraId="7EBCA2BC" w14:textId="77777777" w:rsidR="0066583A" w:rsidRPr="006E1680" w:rsidRDefault="0066583A" w:rsidP="004135FE">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 </w:t>
            </w:r>
          </w:p>
        </w:tc>
        <w:tc>
          <w:tcPr>
            <w:tcW w:w="3969" w:type="dxa"/>
            <w:gridSpan w:val="4"/>
            <w:tcBorders>
              <w:top w:val="single" w:sz="4" w:space="0" w:color="auto"/>
              <w:left w:val="nil"/>
              <w:bottom w:val="single" w:sz="4" w:space="0" w:color="auto"/>
              <w:right w:val="single" w:sz="4" w:space="0" w:color="auto"/>
            </w:tcBorders>
            <w:shd w:val="clear" w:color="auto" w:fill="auto"/>
            <w:noWrap/>
            <w:hideMark/>
          </w:tcPr>
          <w:p w14:paraId="25BC1291" w14:textId="77777777" w:rsidR="0066583A" w:rsidRPr="006E1680" w:rsidRDefault="0066583A" w:rsidP="004135FE">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всего</w:t>
            </w:r>
          </w:p>
        </w:tc>
        <w:tc>
          <w:tcPr>
            <w:tcW w:w="4252" w:type="dxa"/>
            <w:gridSpan w:val="4"/>
            <w:tcBorders>
              <w:top w:val="single" w:sz="4" w:space="0" w:color="auto"/>
              <w:left w:val="nil"/>
              <w:bottom w:val="single" w:sz="4" w:space="0" w:color="auto"/>
              <w:right w:val="single" w:sz="4" w:space="0" w:color="auto"/>
            </w:tcBorders>
            <w:shd w:val="clear" w:color="auto" w:fill="auto"/>
            <w:noWrap/>
            <w:hideMark/>
          </w:tcPr>
          <w:p w14:paraId="3B20F95A" w14:textId="77777777" w:rsidR="0066583A" w:rsidRPr="006E1680" w:rsidRDefault="0066583A" w:rsidP="004135FE">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мужчины</w:t>
            </w:r>
          </w:p>
        </w:tc>
        <w:tc>
          <w:tcPr>
            <w:tcW w:w="3969" w:type="dxa"/>
            <w:gridSpan w:val="4"/>
            <w:tcBorders>
              <w:top w:val="single" w:sz="4" w:space="0" w:color="auto"/>
              <w:left w:val="nil"/>
              <w:bottom w:val="single" w:sz="4" w:space="0" w:color="auto"/>
              <w:right w:val="single" w:sz="4" w:space="0" w:color="auto"/>
            </w:tcBorders>
            <w:shd w:val="clear" w:color="auto" w:fill="auto"/>
            <w:noWrap/>
            <w:hideMark/>
          </w:tcPr>
          <w:p w14:paraId="7B0ABFC4" w14:textId="05663F7B" w:rsidR="0066583A" w:rsidRPr="006E1680" w:rsidRDefault="006E1680" w:rsidP="006E1680">
            <w:pPr>
              <w:tabs>
                <w:tab w:val="center" w:pos="596"/>
                <w:tab w:val="left" w:pos="3274"/>
              </w:tabs>
              <w:spacing w:after="0" w:line="240" w:lineRule="auto"/>
              <w:ind w:right="2963"/>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66583A" w:rsidRPr="006E1680">
              <w:rPr>
                <w:rFonts w:ascii="Times New Roman" w:eastAsia="Times New Roman" w:hAnsi="Times New Roman" w:cs="Times New Roman"/>
                <w:sz w:val="24"/>
                <w:szCs w:val="24"/>
              </w:rPr>
              <w:t>женщины</w:t>
            </w:r>
            <w:r>
              <w:rPr>
                <w:rFonts w:ascii="Times New Roman" w:eastAsia="Times New Roman" w:hAnsi="Times New Roman" w:cs="Times New Roman"/>
                <w:sz w:val="24"/>
                <w:szCs w:val="24"/>
              </w:rPr>
              <w:tab/>
            </w:r>
          </w:p>
        </w:tc>
      </w:tr>
      <w:tr w:rsidR="00FA5792" w:rsidRPr="006E1680" w14:paraId="47B06687" w14:textId="77777777" w:rsidTr="00BA3CA8">
        <w:trPr>
          <w:trHeight w:val="770"/>
        </w:trPr>
        <w:tc>
          <w:tcPr>
            <w:tcW w:w="1134" w:type="dxa"/>
            <w:tcBorders>
              <w:top w:val="nil"/>
              <w:left w:val="single" w:sz="4" w:space="0" w:color="auto"/>
              <w:bottom w:val="single" w:sz="4" w:space="0" w:color="auto"/>
              <w:right w:val="single" w:sz="4" w:space="0" w:color="auto"/>
            </w:tcBorders>
            <w:shd w:val="clear" w:color="auto" w:fill="auto"/>
            <w:noWrap/>
            <w:hideMark/>
          </w:tcPr>
          <w:p w14:paraId="509A8FAE" w14:textId="77777777" w:rsidR="0066583A" w:rsidRPr="006E1680" w:rsidRDefault="0066583A" w:rsidP="004135FE">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Районы</w:t>
            </w:r>
          </w:p>
        </w:tc>
        <w:tc>
          <w:tcPr>
            <w:tcW w:w="993" w:type="dxa"/>
            <w:tcBorders>
              <w:top w:val="nil"/>
              <w:left w:val="nil"/>
              <w:bottom w:val="single" w:sz="4" w:space="0" w:color="auto"/>
              <w:right w:val="single" w:sz="4" w:space="0" w:color="auto"/>
            </w:tcBorders>
            <w:shd w:val="clear" w:color="auto" w:fill="auto"/>
            <w:noWrap/>
            <w:hideMark/>
          </w:tcPr>
          <w:p w14:paraId="5486ED50" w14:textId="77777777" w:rsidR="0066583A" w:rsidRPr="006E1680" w:rsidRDefault="0066583A" w:rsidP="004135FE">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годы</w:t>
            </w:r>
          </w:p>
        </w:tc>
        <w:tc>
          <w:tcPr>
            <w:tcW w:w="708" w:type="dxa"/>
            <w:tcBorders>
              <w:top w:val="nil"/>
              <w:left w:val="nil"/>
              <w:bottom w:val="single" w:sz="4" w:space="0" w:color="auto"/>
              <w:right w:val="single" w:sz="4" w:space="0" w:color="auto"/>
            </w:tcBorders>
            <w:shd w:val="clear" w:color="auto" w:fill="auto"/>
            <w:noWrap/>
            <w:hideMark/>
          </w:tcPr>
          <w:p w14:paraId="574AED81"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абс</w:t>
            </w:r>
          </w:p>
        </w:tc>
        <w:tc>
          <w:tcPr>
            <w:tcW w:w="993" w:type="dxa"/>
            <w:tcBorders>
              <w:top w:val="nil"/>
              <w:left w:val="nil"/>
              <w:bottom w:val="single" w:sz="4" w:space="0" w:color="auto"/>
              <w:right w:val="single" w:sz="4" w:space="0" w:color="auto"/>
            </w:tcBorders>
            <w:shd w:val="clear" w:color="auto" w:fill="auto"/>
            <w:hideMark/>
          </w:tcPr>
          <w:p w14:paraId="708646BA"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абс прирост</w:t>
            </w:r>
          </w:p>
        </w:tc>
        <w:tc>
          <w:tcPr>
            <w:tcW w:w="992" w:type="dxa"/>
            <w:tcBorders>
              <w:top w:val="nil"/>
              <w:left w:val="nil"/>
              <w:bottom w:val="single" w:sz="4" w:space="0" w:color="auto"/>
              <w:right w:val="single" w:sz="4" w:space="0" w:color="auto"/>
            </w:tcBorders>
            <w:shd w:val="clear" w:color="auto" w:fill="auto"/>
            <w:hideMark/>
          </w:tcPr>
          <w:p w14:paraId="6A5437BE"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 xml:space="preserve">Темп роста в сравнении </w:t>
            </w:r>
          </w:p>
          <w:p w14:paraId="3BEB5CB3"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 xml:space="preserve">относительно </w:t>
            </w:r>
          </w:p>
          <w:p w14:paraId="4F500F5A"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2021 года</w:t>
            </w:r>
          </w:p>
        </w:tc>
        <w:tc>
          <w:tcPr>
            <w:tcW w:w="1276" w:type="dxa"/>
            <w:tcBorders>
              <w:top w:val="nil"/>
              <w:left w:val="nil"/>
              <w:bottom w:val="single" w:sz="4" w:space="0" w:color="auto"/>
              <w:right w:val="single" w:sz="4" w:space="0" w:color="auto"/>
            </w:tcBorders>
            <w:shd w:val="clear" w:color="auto" w:fill="auto"/>
            <w:hideMark/>
          </w:tcPr>
          <w:p w14:paraId="4D69BEBF"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темп при</w:t>
            </w:r>
          </w:p>
          <w:p w14:paraId="6CC77110"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роста</w:t>
            </w:r>
          </w:p>
        </w:tc>
        <w:tc>
          <w:tcPr>
            <w:tcW w:w="850" w:type="dxa"/>
            <w:tcBorders>
              <w:top w:val="nil"/>
              <w:left w:val="nil"/>
              <w:bottom w:val="single" w:sz="4" w:space="0" w:color="auto"/>
              <w:right w:val="single" w:sz="4" w:space="0" w:color="auto"/>
            </w:tcBorders>
            <w:shd w:val="clear" w:color="auto" w:fill="auto"/>
            <w:noWrap/>
            <w:hideMark/>
          </w:tcPr>
          <w:p w14:paraId="3A495E2F"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абс</w:t>
            </w:r>
          </w:p>
        </w:tc>
        <w:tc>
          <w:tcPr>
            <w:tcW w:w="851" w:type="dxa"/>
            <w:tcBorders>
              <w:top w:val="nil"/>
              <w:left w:val="nil"/>
              <w:bottom w:val="single" w:sz="4" w:space="0" w:color="auto"/>
              <w:right w:val="single" w:sz="4" w:space="0" w:color="auto"/>
            </w:tcBorders>
            <w:shd w:val="clear" w:color="auto" w:fill="auto"/>
            <w:hideMark/>
          </w:tcPr>
          <w:p w14:paraId="2BAF1627"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абс при</w:t>
            </w:r>
          </w:p>
          <w:p w14:paraId="76F1B147"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рост</w:t>
            </w:r>
          </w:p>
        </w:tc>
        <w:tc>
          <w:tcPr>
            <w:tcW w:w="1559" w:type="dxa"/>
            <w:tcBorders>
              <w:top w:val="nil"/>
              <w:left w:val="nil"/>
              <w:bottom w:val="single" w:sz="4" w:space="0" w:color="auto"/>
              <w:right w:val="single" w:sz="4" w:space="0" w:color="auto"/>
            </w:tcBorders>
            <w:shd w:val="clear" w:color="auto" w:fill="auto"/>
            <w:hideMark/>
          </w:tcPr>
          <w:p w14:paraId="312AEC33"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Темп роста</w:t>
            </w:r>
          </w:p>
          <w:p w14:paraId="56B440A9"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 xml:space="preserve"> в сравнении </w:t>
            </w:r>
          </w:p>
          <w:p w14:paraId="5C216EF5"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относительно</w:t>
            </w:r>
          </w:p>
          <w:p w14:paraId="09AA857F"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 xml:space="preserve"> 2021 года</w:t>
            </w:r>
          </w:p>
        </w:tc>
        <w:tc>
          <w:tcPr>
            <w:tcW w:w="992" w:type="dxa"/>
            <w:tcBorders>
              <w:top w:val="nil"/>
              <w:left w:val="nil"/>
              <w:bottom w:val="single" w:sz="4" w:space="0" w:color="auto"/>
              <w:right w:val="single" w:sz="4" w:space="0" w:color="auto"/>
            </w:tcBorders>
            <w:shd w:val="clear" w:color="auto" w:fill="auto"/>
            <w:hideMark/>
          </w:tcPr>
          <w:p w14:paraId="6DD02077"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темп при</w:t>
            </w:r>
          </w:p>
          <w:p w14:paraId="647A726F"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роста</w:t>
            </w:r>
          </w:p>
        </w:tc>
        <w:tc>
          <w:tcPr>
            <w:tcW w:w="709" w:type="dxa"/>
            <w:tcBorders>
              <w:top w:val="nil"/>
              <w:left w:val="nil"/>
              <w:bottom w:val="single" w:sz="4" w:space="0" w:color="auto"/>
              <w:right w:val="single" w:sz="4" w:space="0" w:color="auto"/>
            </w:tcBorders>
            <w:shd w:val="clear" w:color="auto" w:fill="auto"/>
            <w:noWrap/>
            <w:hideMark/>
          </w:tcPr>
          <w:p w14:paraId="4884FA3E"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абс</w:t>
            </w:r>
          </w:p>
        </w:tc>
        <w:tc>
          <w:tcPr>
            <w:tcW w:w="1134" w:type="dxa"/>
            <w:tcBorders>
              <w:top w:val="nil"/>
              <w:left w:val="nil"/>
              <w:bottom w:val="single" w:sz="4" w:space="0" w:color="auto"/>
              <w:right w:val="single" w:sz="4" w:space="0" w:color="auto"/>
            </w:tcBorders>
            <w:shd w:val="clear" w:color="auto" w:fill="auto"/>
            <w:hideMark/>
          </w:tcPr>
          <w:p w14:paraId="30810846"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абс при</w:t>
            </w:r>
          </w:p>
          <w:p w14:paraId="6127208C" w14:textId="77777777" w:rsidR="0066583A" w:rsidRPr="006E1680" w:rsidRDefault="0066583A" w:rsidP="006E1680">
            <w:pPr>
              <w:spacing w:after="0" w:line="240" w:lineRule="auto"/>
              <w:ind w:right="536"/>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рост</w:t>
            </w:r>
          </w:p>
        </w:tc>
        <w:tc>
          <w:tcPr>
            <w:tcW w:w="1134" w:type="dxa"/>
            <w:tcBorders>
              <w:top w:val="nil"/>
              <w:left w:val="nil"/>
              <w:bottom w:val="single" w:sz="4" w:space="0" w:color="auto"/>
              <w:right w:val="single" w:sz="4" w:space="0" w:color="auto"/>
            </w:tcBorders>
            <w:shd w:val="clear" w:color="auto" w:fill="auto"/>
            <w:hideMark/>
          </w:tcPr>
          <w:p w14:paraId="351880C3"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Темп роста</w:t>
            </w:r>
          </w:p>
          <w:p w14:paraId="081093E2"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 xml:space="preserve"> в сравнении</w:t>
            </w:r>
          </w:p>
          <w:p w14:paraId="7F05ECCF"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относительно 2021 года</w:t>
            </w:r>
          </w:p>
        </w:tc>
        <w:tc>
          <w:tcPr>
            <w:tcW w:w="992" w:type="dxa"/>
            <w:tcBorders>
              <w:top w:val="nil"/>
              <w:left w:val="nil"/>
              <w:bottom w:val="single" w:sz="4" w:space="0" w:color="auto"/>
              <w:right w:val="single" w:sz="4" w:space="0" w:color="auto"/>
            </w:tcBorders>
            <w:shd w:val="clear" w:color="auto" w:fill="auto"/>
            <w:hideMark/>
          </w:tcPr>
          <w:p w14:paraId="215ACBBE"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темп при</w:t>
            </w:r>
          </w:p>
          <w:p w14:paraId="33470C52" w14:textId="77777777" w:rsidR="0066583A" w:rsidRPr="006E1680" w:rsidRDefault="0066583A" w:rsidP="004135FE">
            <w:pPr>
              <w:spacing w:after="0" w:line="240" w:lineRule="auto"/>
              <w:rPr>
                <w:rFonts w:ascii="Times New Roman" w:eastAsia="Times New Roman" w:hAnsi="Times New Roman" w:cs="Times New Roman"/>
                <w:bCs/>
                <w:sz w:val="24"/>
                <w:szCs w:val="24"/>
              </w:rPr>
            </w:pPr>
            <w:r w:rsidRPr="006E1680">
              <w:rPr>
                <w:rFonts w:ascii="Times New Roman" w:eastAsia="Times New Roman" w:hAnsi="Times New Roman" w:cs="Times New Roman"/>
                <w:bCs/>
                <w:sz w:val="24"/>
                <w:szCs w:val="24"/>
              </w:rPr>
              <w:t>роста</w:t>
            </w:r>
          </w:p>
        </w:tc>
      </w:tr>
      <w:tr w:rsidR="00FA5792" w:rsidRPr="006E1680" w14:paraId="74EC9A03" w14:textId="77777777" w:rsidTr="00BA3CA8">
        <w:trPr>
          <w:trHeight w:val="226"/>
        </w:trPr>
        <w:tc>
          <w:tcPr>
            <w:tcW w:w="1134" w:type="dxa"/>
            <w:tcBorders>
              <w:top w:val="nil"/>
              <w:left w:val="single" w:sz="4" w:space="0" w:color="auto"/>
              <w:bottom w:val="single" w:sz="4" w:space="0" w:color="auto"/>
              <w:right w:val="single" w:sz="4" w:space="0" w:color="auto"/>
            </w:tcBorders>
            <w:shd w:val="clear" w:color="auto" w:fill="auto"/>
            <w:noWrap/>
          </w:tcPr>
          <w:p w14:paraId="209F9997" w14:textId="33DD5110"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93" w:type="dxa"/>
            <w:tcBorders>
              <w:top w:val="nil"/>
              <w:left w:val="nil"/>
              <w:bottom w:val="single" w:sz="4" w:space="0" w:color="auto"/>
              <w:right w:val="single" w:sz="4" w:space="0" w:color="auto"/>
            </w:tcBorders>
            <w:shd w:val="clear" w:color="auto" w:fill="auto"/>
            <w:noWrap/>
          </w:tcPr>
          <w:p w14:paraId="25D3F16D" w14:textId="4C7BA2E9"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08" w:type="dxa"/>
            <w:tcBorders>
              <w:top w:val="nil"/>
              <w:left w:val="nil"/>
              <w:bottom w:val="single" w:sz="4" w:space="0" w:color="auto"/>
              <w:right w:val="single" w:sz="4" w:space="0" w:color="auto"/>
            </w:tcBorders>
            <w:shd w:val="clear" w:color="auto" w:fill="auto"/>
            <w:noWrap/>
          </w:tcPr>
          <w:p w14:paraId="4EE1A595" w14:textId="3E25A527" w:rsidR="00FA5792" w:rsidRPr="006E1680" w:rsidRDefault="00FA5792" w:rsidP="00FA5792">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w:t>
            </w:r>
          </w:p>
        </w:tc>
        <w:tc>
          <w:tcPr>
            <w:tcW w:w="993" w:type="dxa"/>
            <w:tcBorders>
              <w:top w:val="nil"/>
              <w:left w:val="nil"/>
              <w:bottom w:val="single" w:sz="4" w:space="0" w:color="auto"/>
              <w:right w:val="single" w:sz="4" w:space="0" w:color="auto"/>
            </w:tcBorders>
            <w:shd w:val="clear" w:color="auto" w:fill="auto"/>
          </w:tcPr>
          <w:p w14:paraId="419A2DCE" w14:textId="66680079" w:rsidR="00FA5792" w:rsidRPr="006E1680" w:rsidRDefault="00FA5792" w:rsidP="00FA5792">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w:t>
            </w:r>
          </w:p>
        </w:tc>
        <w:tc>
          <w:tcPr>
            <w:tcW w:w="992" w:type="dxa"/>
            <w:tcBorders>
              <w:top w:val="nil"/>
              <w:left w:val="nil"/>
              <w:bottom w:val="single" w:sz="4" w:space="0" w:color="auto"/>
              <w:right w:val="single" w:sz="4" w:space="0" w:color="auto"/>
            </w:tcBorders>
            <w:shd w:val="clear" w:color="auto" w:fill="auto"/>
          </w:tcPr>
          <w:p w14:paraId="52DC0829" w14:textId="3EE7102D" w:rsidR="00FA5792" w:rsidRPr="006E1680" w:rsidRDefault="00FA5792" w:rsidP="00FA5792">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5</w:t>
            </w:r>
          </w:p>
        </w:tc>
        <w:tc>
          <w:tcPr>
            <w:tcW w:w="1276" w:type="dxa"/>
            <w:tcBorders>
              <w:top w:val="nil"/>
              <w:left w:val="nil"/>
              <w:bottom w:val="single" w:sz="4" w:space="0" w:color="auto"/>
              <w:right w:val="single" w:sz="4" w:space="0" w:color="auto"/>
            </w:tcBorders>
            <w:shd w:val="clear" w:color="auto" w:fill="auto"/>
          </w:tcPr>
          <w:p w14:paraId="5E31DBF1" w14:textId="41646F9B" w:rsidR="00FA5792" w:rsidRPr="006E1680" w:rsidRDefault="00FA5792" w:rsidP="00FA5792">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6</w:t>
            </w:r>
          </w:p>
        </w:tc>
        <w:tc>
          <w:tcPr>
            <w:tcW w:w="850" w:type="dxa"/>
            <w:tcBorders>
              <w:top w:val="nil"/>
              <w:left w:val="nil"/>
              <w:bottom w:val="single" w:sz="4" w:space="0" w:color="auto"/>
              <w:right w:val="single" w:sz="4" w:space="0" w:color="auto"/>
            </w:tcBorders>
            <w:shd w:val="clear" w:color="auto" w:fill="auto"/>
            <w:noWrap/>
          </w:tcPr>
          <w:p w14:paraId="39CF9E98" w14:textId="451A5E4E" w:rsidR="00FA5792" w:rsidRPr="006E1680" w:rsidRDefault="00FA5792" w:rsidP="00FA5792">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7</w:t>
            </w:r>
          </w:p>
        </w:tc>
        <w:tc>
          <w:tcPr>
            <w:tcW w:w="851" w:type="dxa"/>
            <w:tcBorders>
              <w:top w:val="nil"/>
              <w:left w:val="nil"/>
              <w:bottom w:val="single" w:sz="4" w:space="0" w:color="auto"/>
              <w:right w:val="single" w:sz="4" w:space="0" w:color="auto"/>
            </w:tcBorders>
            <w:shd w:val="clear" w:color="auto" w:fill="auto"/>
          </w:tcPr>
          <w:p w14:paraId="6D03F23A" w14:textId="1FA0BDBD" w:rsidR="00FA5792" w:rsidRPr="006E1680" w:rsidRDefault="00FA5792" w:rsidP="00FA5792">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8</w:t>
            </w:r>
          </w:p>
        </w:tc>
        <w:tc>
          <w:tcPr>
            <w:tcW w:w="1559" w:type="dxa"/>
            <w:tcBorders>
              <w:top w:val="nil"/>
              <w:left w:val="nil"/>
              <w:bottom w:val="single" w:sz="4" w:space="0" w:color="auto"/>
              <w:right w:val="single" w:sz="4" w:space="0" w:color="auto"/>
            </w:tcBorders>
            <w:shd w:val="clear" w:color="auto" w:fill="auto"/>
          </w:tcPr>
          <w:p w14:paraId="4B708013" w14:textId="749BC89C" w:rsidR="00FA5792" w:rsidRPr="006E1680" w:rsidRDefault="00FA5792" w:rsidP="00FA5792">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9</w:t>
            </w:r>
          </w:p>
        </w:tc>
        <w:tc>
          <w:tcPr>
            <w:tcW w:w="992" w:type="dxa"/>
            <w:tcBorders>
              <w:top w:val="nil"/>
              <w:left w:val="nil"/>
              <w:bottom w:val="single" w:sz="4" w:space="0" w:color="auto"/>
              <w:right w:val="single" w:sz="4" w:space="0" w:color="auto"/>
            </w:tcBorders>
            <w:shd w:val="clear" w:color="auto" w:fill="auto"/>
          </w:tcPr>
          <w:p w14:paraId="35EE2D0C" w14:textId="23FF8955" w:rsidR="00FA5792" w:rsidRPr="006E1680" w:rsidRDefault="00FA5792" w:rsidP="00FA5792">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w:t>
            </w:r>
          </w:p>
        </w:tc>
        <w:tc>
          <w:tcPr>
            <w:tcW w:w="709" w:type="dxa"/>
            <w:tcBorders>
              <w:top w:val="nil"/>
              <w:left w:val="nil"/>
              <w:bottom w:val="single" w:sz="4" w:space="0" w:color="auto"/>
              <w:right w:val="single" w:sz="4" w:space="0" w:color="auto"/>
            </w:tcBorders>
            <w:shd w:val="clear" w:color="auto" w:fill="auto"/>
            <w:noWrap/>
          </w:tcPr>
          <w:p w14:paraId="0D42FE87" w14:textId="5EF03C83" w:rsidR="00FA5792" w:rsidRPr="006E1680" w:rsidRDefault="00FA5792" w:rsidP="00FA5792">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11</w:t>
            </w:r>
          </w:p>
        </w:tc>
        <w:tc>
          <w:tcPr>
            <w:tcW w:w="1134" w:type="dxa"/>
            <w:tcBorders>
              <w:top w:val="nil"/>
              <w:left w:val="nil"/>
              <w:bottom w:val="single" w:sz="4" w:space="0" w:color="auto"/>
              <w:right w:val="single" w:sz="4" w:space="0" w:color="auto"/>
            </w:tcBorders>
            <w:shd w:val="clear" w:color="auto" w:fill="auto"/>
          </w:tcPr>
          <w:p w14:paraId="5E2B3A5D" w14:textId="735375EA" w:rsidR="00FA5792" w:rsidRPr="006E1680" w:rsidRDefault="00FA5792" w:rsidP="00FA5792">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12</w:t>
            </w:r>
          </w:p>
        </w:tc>
        <w:tc>
          <w:tcPr>
            <w:tcW w:w="1134" w:type="dxa"/>
            <w:tcBorders>
              <w:top w:val="nil"/>
              <w:left w:val="nil"/>
              <w:bottom w:val="single" w:sz="4" w:space="0" w:color="auto"/>
              <w:right w:val="single" w:sz="4" w:space="0" w:color="auto"/>
            </w:tcBorders>
            <w:shd w:val="clear" w:color="auto" w:fill="auto"/>
          </w:tcPr>
          <w:p w14:paraId="3B6AD9E7" w14:textId="116F2529" w:rsidR="00FA5792" w:rsidRPr="006E1680" w:rsidRDefault="00FA5792" w:rsidP="00FA5792">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13</w:t>
            </w:r>
          </w:p>
        </w:tc>
        <w:tc>
          <w:tcPr>
            <w:tcW w:w="992" w:type="dxa"/>
            <w:tcBorders>
              <w:top w:val="nil"/>
              <w:left w:val="nil"/>
              <w:bottom w:val="single" w:sz="4" w:space="0" w:color="auto"/>
              <w:right w:val="single" w:sz="4" w:space="0" w:color="auto"/>
            </w:tcBorders>
            <w:shd w:val="clear" w:color="auto" w:fill="auto"/>
          </w:tcPr>
          <w:p w14:paraId="0D363DC6" w14:textId="16FD2EA9" w:rsidR="00FA5792" w:rsidRPr="006E1680" w:rsidRDefault="00FA5792" w:rsidP="00FA5792">
            <w:pPr>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14</w:t>
            </w:r>
          </w:p>
        </w:tc>
      </w:tr>
      <w:tr w:rsidR="00FA5792" w:rsidRPr="006E1680" w14:paraId="647A147F" w14:textId="77777777" w:rsidTr="00BA3CA8">
        <w:trPr>
          <w:trHeight w:val="255"/>
        </w:trPr>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555A207C" w14:textId="77777777" w:rsidR="0066583A" w:rsidRPr="006E1680" w:rsidRDefault="0066583A" w:rsidP="004135FE">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Алмалинский</w:t>
            </w:r>
          </w:p>
        </w:tc>
        <w:tc>
          <w:tcPr>
            <w:tcW w:w="993" w:type="dxa"/>
            <w:tcBorders>
              <w:top w:val="single" w:sz="4" w:space="0" w:color="auto"/>
              <w:left w:val="nil"/>
              <w:bottom w:val="single" w:sz="4" w:space="0" w:color="auto"/>
              <w:right w:val="single" w:sz="4" w:space="0" w:color="auto"/>
            </w:tcBorders>
            <w:shd w:val="clear" w:color="auto" w:fill="auto"/>
            <w:noWrap/>
            <w:hideMark/>
          </w:tcPr>
          <w:p w14:paraId="7D9D0DE9"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2012</w:t>
            </w:r>
          </w:p>
        </w:tc>
        <w:tc>
          <w:tcPr>
            <w:tcW w:w="708" w:type="dxa"/>
            <w:tcBorders>
              <w:top w:val="single" w:sz="4" w:space="0" w:color="auto"/>
              <w:left w:val="nil"/>
              <w:bottom w:val="single" w:sz="4" w:space="0" w:color="auto"/>
              <w:right w:val="single" w:sz="4" w:space="0" w:color="auto"/>
            </w:tcBorders>
            <w:shd w:val="clear" w:color="auto" w:fill="auto"/>
            <w:hideMark/>
          </w:tcPr>
          <w:p w14:paraId="0D2B8DD2"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4379</w:t>
            </w:r>
          </w:p>
        </w:tc>
        <w:tc>
          <w:tcPr>
            <w:tcW w:w="993" w:type="dxa"/>
            <w:tcBorders>
              <w:top w:val="single" w:sz="4" w:space="0" w:color="auto"/>
              <w:left w:val="nil"/>
              <w:bottom w:val="single" w:sz="4" w:space="0" w:color="auto"/>
              <w:right w:val="single" w:sz="4" w:space="0" w:color="auto"/>
            </w:tcBorders>
            <w:shd w:val="clear" w:color="auto" w:fill="auto"/>
            <w:noWrap/>
            <w:hideMark/>
          </w:tcPr>
          <w:p w14:paraId="5AEC7399" w14:textId="15B615DB" w:rsidR="0066583A" w:rsidRPr="006E1680" w:rsidRDefault="00077E0F" w:rsidP="00077E0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2" w:type="dxa"/>
            <w:tcBorders>
              <w:top w:val="single" w:sz="4" w:space="0" w:color="auto"/>
              <w:left w:val="nil"/>
              <w:bottom w:val="single" w:sz="4" w:space="0" w:color="auto"/>
              <w:right w:val="single" w:sz="4" w:space="0" w:color="auto"/>
            </w:tcBorders>
            <w:shd w:val="clear" w:color="auto" w:fill="auto"/>
            <w:noWrap/>
            <w:hideMark/>
          </w:tcPr>
          <w:p w14:paraId="3C1BAB45" w14:textId="0571248A" w:rsidR="0066583A" w:rsidRPr="006E1680" w:rsidRDefault="00077E0F" w:rsidP="00077E0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276" w:type="dxa"/>
            <w:tcBorders>
              <w:top w:val="single" w:sz="4" w:space="0" w:color="auto"/>
              <w:left w:val="nil"/>
              <w:bottom w:val="single" w:sz="4" w:space="0" w:color="auto"/>
              <w:right w:val="single" w:sz="4" w:space="0" w:color="auto"/>
            </w:tcBorders>
            <w:shd w:val="clear" w:color="auto" w:fill="auto"/>
            <w:noWrap/>
            <w:hideMark/>
          </w:tcPr>
          <w:p w14:paraId="0C86451F" w14:textId="60937B87" w:rsidR="0066583A" w:rsidRPr="006E1680" w:rsidRDefault="00077E0F" w:rsidP="00077E0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tcBorders>
              <w:top w:val="single" w:sz="4" w:space="0" w:color="auto"/>
              <w:left w:val="nil"/>
              <w:bottom w:val="single" w:sz="4" w:space="0" w:color="auto"/>
              <w:right w:val="single" w:sz="4" w:space="0" w:color="auto"/>
            </w:tcBorders>
            <w:shd w:val="clear" w:color="auto" w:fill="auto"/>
            <w:hideMark/>
          </w:tcPr>
          <w:p w14:paraId="16165B94"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1398</w:t>
            </w:r>
          </w:p>
        </w:tc>
        <w:tc>
          <w:tcPr>
            <w:tcW w:w="851" w:type="dxa"/>
            <w:tcBorders>
              <w:top w:val="single" w:sz="4" w:space="0" w:color="auto"/>
              <w:left w:val="nil"/>
              <w:bottom w:val="single" w:sz="4" w:space="0" w:color="auto"/>
              <w:right w:val="single" w:sz="4" w:space="0" w:color="auto"/>
            </w:tcBorders>
            <w:shd w:val="clear" w:color="auto" w:fill="auto"/>
            <w:noWrap/>
            <w:hideMark/>
          </w:tcPr>
          <w:p w14:paraId="72C401C6" w14:textId="14F6C921" w:rsidR="0066583A" w:rsidRPr="006E1680" w:rsidRDefault="00077E0F" w:rsidP="00077E0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559" w:type="dxa"/>
            <w:tcBorders>
              <w:top w:val="single" w:sz="4" w:space="0" w:color="auto"/>
              <w:left w:val="nil"/>
              <w:bottom w:val="single" w:sz="4" w:space="0" w:color="auto"/>
              <w:right w:val="single" w:sz="4" w:space="0" w:color="auto"/>
            </w:tcBorders>
            <w:shd w:val="clear" w:color="auto" w:fill="auto"/>
            <w:noWrap/>
            <w:hideMark/>
          </w:tcPr>
          <w:p w14:paraId="6484EDEE" w14:textId="5A8EBDB8" w:rsidR="0066583A" w:rsidRPr="006E1680" w:rsidRDefault="00077E0F" w:rsidP="00077E0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2" w:type="dxa"/>
            <w:tcBorders>
              <w:top w:val="single" w:sz="4" w:space="0" w:color="auto"/>
              <w:left w:val="nil"/>
              <w:bottom w:val="single" w:sz="4" w:space="0" w:color="auto"/>
              <w:right w:val="single" w:sz="4" w:space="0" w:color="auto"/>
            </w:tcBorders>
            <w:shd w:val="clear" w:color="auto" w:fill="auto"/>
            <w:noWrap/>
            <w:hideMark/>
          </w:tcPr>
          <w:p w14:paraId="5AA8BDF8" w14:textId="311127AB" w:rsidR="0066583A" w:rsidRPr="006E1680" w:rsidRDefault="00077E0F" w:rsidP="00077E0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709" w:type="dxa"/>
            <w:tcBorders>
              <w:top w:val="single" w:sz="4" w:space="0" w:color="auto"/>
              <w:left w:val="nil"/>
              <w:bottom w:val="single" w:sz="4" w:space="0" w:color="auto"/>
              <w:right w:val="single" w:sz="4" w:space="0" w:color="auto"/>
            </w:tcBorders>
            <w:shd w:val="clear" w:color="auto" w:fill="auto"/>
            <w:hideMark/>
          </w:tcPr>
          <w:p w14:paraId="168CAC43"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2981</w:t>
            </w:r>
          </w:p>
        </w:tc>
        <w:tc>
          <w:tcPr>
            <w:tcW w:w="1134" w:type="dxa"/>
            <w:tcBorders>
              <w:top w:val="single" w:sz="4" w:space="0" w:color="auto"/>
              <w:left w:val="nil"/>
              <w:bottom w:val="single" w:sz="4" w:space="0" w:color="auto"/>
              <w:right w:val="single" w:sz="4" w:space="0" w:color="auto"/>
            </w:tcBorders>
            <w:shd w:val="clear" w:color="auto" w:fill="auto"/>
            <w:noWrap/>
            <w:hideMark/>
          </w:tcPr>
          <w:p w14:paraId="2DB93FA9" w14:textId="7A2B8D34" w:rsidR="0066583A" w:rsidRPr="006E1680" w:rsidRDefault="00077E0F" w:rsidP="00077E0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Borders>
              <w:top w:val="single" w:sz="4" w:space="0" w:color="auto"/>
              <w:left w:val="nil"/>
              <w:bottom w:val="single" w:sz="4" w:space="0" w:color="auto"/>
              <w:right w:val="single" w:sz="4" w:space="0" w:color="auto"/>
            </w:tcBorders>
            <w:shd w:val="clear" w:color="auto" w:fill="auto"/>
            <w:noWrap/>
            <w:hideMark/>
          </w:tcPr>
          <w:p w14:paraId="36CC0E83" w14:textId="73D50C08" w:rsidR="0066583A" w:rsidRPr="006E1680" w:rsidRDefault="00077E0F" w:rsidP="00077E0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2" w:type="dxa"/>
            <w:tcBorders>
              <w:top w:val="single" w:sz="4" w:space="0" w:color="auto"/>
              <w:left w:val="nil"/>
              <w:bottom w:val="single" w:sz="4" w:space="0" w:color="auto"/>
              <w:right w:val="single" w:sz="4" w:space="0" w:color="auto"/>
            </w:tcBorders>
            <w:shd w:val="clear" w:color="auto" w:fill="auto"/>
            <w:noWrap/>
            <w:hideMark/>
          </w:tcPr>
          <w:p w14:paraId="4D558271" w14:textId="4F3B90C2" w:rsidR="0066583A" w:rsidRPr="006E1680" w:rsidRDefault="00077E0F" w:rsidP="00077E0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FA5792" w:rsidRPr="006E1680" w14:paraId="778F9B89" w14:textId="77777777" w:rsidTr="00BA3CA8">
        <w:trPr>
          <w:trHeight w:val="255"/>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3A71381C" w14:textId="77777777" w:rsidR="0066583A" w:rsidRPr="006E1680" w:rsidRDefault="0066583A" w:rsidP="004135FE">
            <w:pPr>
              <w:spacing w:after="0" w:line="240" w:lineRule="auto"/>
              <w:rPr>
                <w:rFonts w:ascii="Times New Roman" w:eastAsia="Times New Roman" w:hAnsi="Times New Roman" w:cs="Times New Roman"/>
                <w:sz w:val="24"/>
                <w:szCs w:val="24"/>
              </w:rPr>
            </w:pPr>
          </w:p>
        </w:tc>
        <w:tc>
          <w:tcPr>
            <w:tcW w:w="993" w:type="dxa"/>
            <w:tcBorders>
              <w:top w:val="single" w:sz="4" w:space="0" w:color="auto"/>
              <w:left w:val="nil"/>
              <w:bottom w:val="single" w:sz="4" w:space="0" w:color="auto"/>
              <w:right w:val="single" w:sz="4" w:space="0" w:color="auto"/>
            </w:tcBorders>
            <w:shd w:val="clear" w:color="auto" w:fill="auto"/>
            <w:noWrap/>
            <w:hideMark/>
          </w:tcPr>
          <w:p w14:paraId="24825A33"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2013</w:t>
            </w:r>
          </w:p>
        </w:tc>
        <w:tc>
          <w:tcPr>
            <w:tcW w:w="708" w:type="dxa"/>
            <w:tcBorders>
              <w:top w:val="single" w:sz="4" w:space="0" w:color="auto"/>
              <w:left w:val="nil"/>
              <w:bottom w:val="single" w:sz="4" w:space="0" w:color="auto"/>
              <w:right w:val="single" w:sz="4" w:space="0" w:color="auto"/>
            </w:tcBorders>
            <w:shd w:val="clear" w:color="auto" w:fill="auto"/>
            <w:hideMark/>
          </w:tcPr>
          <w:p w14:paraId="37CB09B4"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4475</w:t>
            </w:r>
          </w:p>
        </w:tc>
        <w:tc>
          <w:tcPr>
            <w:tcW w:w="993" w:type="dxa"/>
            <w:tcBorders>
              <w:top w:val="single" w:sz="4" w:space="0" w:color="auto"/>
              <w:left w:val="nil"/>
              <w:bottom w:val="single" w:sz="4" w:space="0" w:color="auto"/>
              <w:right w:val="single" w:sz="4" w:space="0" w:color="auto"/>
            </w:tcBorders>
            <w:shd w:val="clear" w:color="auto" w:fill="auto"/>
            <w:noWrap/>
            <w:hideMark/>
          </w:tcPr>
          <w:p w14:paraId="03401A8E"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96,00</w:t>
            </w:r>
          </w:p>
        </w:tc>
        <w:tc>
          <w:tcPr>
            <w:tcW w:w="992" w:type="dxa"/>
            <w:tcBorders>
              <w:top w:val="single" w:sz="4" w:space="0" w:color="auto"/>
              <w:left w:val="nil"/>
              <w:bottom w:val="single" w:sz="4" w:space="0" w:color="auto"/>
              <w:right w:val="single" w:sz="4" w:space="0" w:color="auto"/>
            </w:tcBorders>
            <w:shd w:val="clear" w:color="auto" w:fill="auto"/>
            <w:noWrap/>
            <w:hideMark/>
          </w:tcPr>
          <w:p w14:paraId="4D477D19"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59,46</w:t>
            </w:r>
          </w:p>
        </w:tc>
        <w:tc>
          <w:tcPr>
            <w:tcW w:w="1276" w:type="dxa"/>
            <w:tcBorders>
              <w:top w:val="single" w:sz="4" w:space="0" w:color="auto"/>
              <w:left w:val="nil"/>
              <w:bottom w:val="single" w:sz="4" w:space="0" w:color="auto"/>
              <w:right w:val="single" w:sz="4" w:space="0" w:color="auto"/>
            </w:tcBorders>
            <w:shd w:val="clear" w:color="auto" w:fill="auto"/>
            <w:noWrap/>
            <w:hideMark/>
          </w:tcPr>
          <w:p w14:paraId="4A96F4D0"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-40,54</w:t>
            </w:r>
          </w:p>
        </w:tc>
        <w:tc>
          <w:tcPr>
            <w:tcW w:w="850" w:type="dxa"/>
            <w:tcBorders>
              <w:top w:val="single" w:sz="4" w:space="0" w:color="auto"/>
              <w:left w:val="nil"/>
              <w:bottom w:val="single" w:sz="4" w:space="0" w:color="auto"/>
              <w:right w:val="single" w:sz="4" w:space="0" w:color="auto"/>
            </w:tcBorders>
            <w:shd w:val="clear" w:color="auto" w:fill="auto"/>
            <w:hideMark/>
          </w:tcPr>
          <w:p w14:paraId="1C3A9A0B"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1433</w:t>
            </w:r>
          </w:p>
        </w:tc>
        <w:tc>
          <w:tcPr>
            <w:tcW w:w="851" w:type="dxa"/>
            <w:tcBorders>
              <w:top w:val="single" w:sz="4" w:space="0" w:color="auto"/>
              <w:left w:val="nil"/>
              <w:bottom w:val="single" w:sz="4" w:space="0" w:color="auto"/>
              <w:right w:val="single" w:sz="4" w:space="0" w:color="auto"/>
            </w:tcBorders>
            <w:shd w:val="clear" w:color="auto" w:fill="auto"/>
            <w:noWrap/>
            <w:hideMark/>
          </w:tcPr>
          <w:p w14:paraId="0F34609B"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35,00</w:t>
            </w:r>
          </w:p>
        </w:tc>
        <w:tc>
          <w:tcPr>
            <w:tcW w:w="1559" w:type="dxa"/>
            <w:tcBorders>
              <w:top w:val="single" w:sz="4" w:space="0" w:color="auto"/>
              <w:left w:val="nil"/>
              <w:bottom w:val="single" w:sz="4" w:space="0" w:color="auto"/>
              <w:right w:val="single" w:sz="4" w:space="0" w:color="auto"/>
            </w:tcBorders>
            <w:shd w:val="clear" w:color="auto" w:fill="auto"/>
            <w:noWrap/>
            <w:hideMark/>
          </w:tcPr>
          <w:p w14:paraId="676ACE28"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54,61</w:t>
            </w:r>
          </w:p>
        </w:tc>
        <w:tc>
          <w:tcPr>
            <w:tcW w:w="992" w:type="dxa"/>
            <w:tcBorders>
              <w:top w:val="single" w:sz="4" w:space="0" w:color="auto"/>
              <w:left w:val="nil"/>
              <w:bottom w:val="single" w:sz="4" w:space="0" w:color="auto"/>
              <w:right w:val="single" w:sz="4" w:space="0" w:color="auto"/>
            </w:tcBorders>
            <w:shd w:val="clear" w:color="auto" w:fill="auto"/>
            <w:noWrap/>
            <w:hideMark/>
          </w:tcPr>
          <w:p w14:paraId="0773C90C"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-45,39</w:t>
            </w:r>
          </w:p>
        </w:tc>
        <w:tc>
          <w:tcPr>
            <w:tcW w:w="709" w:type="dxa"/>
            <w:tcBorders>
              <w:top w:val="single" w:sz="4" w:space="0" w:color="auto"/>
              <w:left w:val="nil"/>
              <w:bottom w:val="single" w:sz="4" w:space="0" w:color="auto"/>
              <w:right w:val="single" w:sz="4" w:space="0" w:color="auto"/>
            </w:tcBorders>
            <w:shd w:val="clear" w:color="auto" w:fill="auto"/>
            <w:hideMark/>
          </w:tcPr>
          <w:p w14:paraId="7FF49624"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3042</w:t>
            </w:r>
          </w:p>
        </w:tc>
        <w:tc>
          <w:tcPr>
            <w:tcW w:w="1134" w:type="dxa"/>
            <w:tcBorders>
              <w:top w:val="single" w:sz="4" w:space="0" w:color="auto"/>
              <w:left w:val="nil"/>
              <w:bottom w:val="single" w:sz="4" w:space="0" w:color="auto"/>
              <w:right w:val="single" w:sz="4" w:space="0" w:color="auto"/>
            </w:tcBorders>
            <w:shd w:val="clear" w:color="auto" w:fill="auto"/>
            <w:noWrap/>
            <w:hideMark/>
          </w:tcPr>
          <w:p w14:paraId="6530D98A"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61,00</w:t>
            </w:r>
          </w:p>
        </w:tc>
        <w:tc>
          <w:tcPr>
            <w:tcW w:w="1134" w:type="dxa"/>
            <w:tcBorders>
              <w:top w:val="single" w:sz="4" w:space="0" w:color="auto"/>
              <w:left w:val="nil"/>
              <w:bottom w:val="single" w:sz="4" w:space="0" w:color="auto"/>
              <w:right w:val="single" w:sz="4" w:space="0" w:color="auto"/>
            </w:tcBorders>
            <w:shd w:val="clear" w:color="auto" w:fill="auto"/>
            <w:noWrap/>
            <w:hideMark/>
          </w:tcPr>
          <w:p w14:paraId="1E1663B8"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62,04</w:t>
            </w:r>
          </w:p>
        </w:tc>
        <w:tc>
          <w:tcPr>
            <w:tcW w:w="992" w:type="dxa"/>
            <w:tcBorders>
              <w:top w:val="single" w:sz="4" w:space="0" w:color="auto"/>
              <w:left w:val="nil"/>
              <w:bottom w:val="single" w:sz="4" w:space="0" w:color="auto"/>
              <w:right w:val="single" w:sz="4" w:space="0" w:color="auto"/>
            </w:tcBorders>
            <w:shd w:val="clear" w:color="auto" w:fill="auto"/>
            <w:noWrap/>
            <w:hideMark/>
          </w:tcPr>
          <w:p w14:paraId="5BFC427D"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-37,96</w:t>
            </w:r>
          </w:p>
        </w:tc>
      </w:tr>
      <w:tr w:rsidR="00FA5792" w:rsidRPr="006E1680" w14:paraId="0C1C6960" w14:textId="77777777" w:rsidTr="00BA3CA8">
        <w:trPr>
          <w:trHeight w:val="255"/>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5B4EC6B6" w14:textId="77777777" w:rsidR="0066583A" w:rsidRPr="006E1680" w:rsidRDefault="0066583A" w:rsidP="004135FE">
            <w:pPr>
              <w:spacing w:after="0" w:line="240" w:lineRule="auto"/>
              <w:rPr>
                <w:rFonts w:ascii="Times New Roman" w:eastAsia="Times New Roman" w:hAnsi="Times New Roman" w:cs="Times New Roman"/>
                <w:sz w:val="24"/>
                <w:szCs w:val="24"/>
              </w:rPr>
            </w:pPr>
          </w:p>
        </w:tc>
        <w:tc>
          <w:tcPr>
            <w:tcW w:w="993" w:type="dxa"/>
            <w:tcBorders>
              <w:top w:val="single" w:sz="4" w:space="0" w:color="auto"/>
              <w:left w:val="nil"/>
              <w:bottom w:val="single" w:sz="4" w:space="0" w:color="auto"/>
              <w:right w:val="single" w:sz="4" w:space="0" w:color="auto"/>
            </w:tcBorders>
            <w:shd w:val="clear" w:color="auto" w:fill="auto"/>
            <w:noWrap/>
            <w:hideMark/>
          </w:tcPr>
          <w:p w14:paraId="782A1C57"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2014</w:t>
            </w:r>
          </w:p>
        </w:tc>
        <w:tc>
          <w:tcPr>
            <w:tcW w:w="708" w:type="dxa"/>
            <w:tcBorders>
              <w:top w:val="single" w:sz="4" w:space="0" w:color="auto"/>
              <w:left w:val="nil"/>
              <w:bottom w:val="single" w:sz="4" w:space="0" w:color="auto"/>
              <w:right w:val="single" w:sz="4" w:space="0" w:color="auto"/>
            </w:tcBorders>
            <w:shd w:val="clear" w:color="auto" w:fill="auto"/>
            <w:hideMark/>
          </w:tcPr>
          <w:p w14:paraId="028E28D9"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4096</w:t>
            </w:r>
          </w:p>
        </w:tc>
        <w:tc>
          <w:tcPr>
            <w:tcW w:w="993" w:type="dxa"/>
            <w:tcBorders>
              <w:top w:val="single" w:sz="4" w:space="0" w:color="auto"/>
              <w:left w:val="nil"/>
              <w:bottom w:val="single" w:sz="4" w:space="0" w:color="auto"/>
              <w:right w:val="single" w:sz="4" w:space="0" w:color="auto"/>
            </w:tcBorders>
            <w:shd w:val="clear" w:color="auto" w:fill="auto"/>
            <w:noWrap/>
            <w:hideMark/>
          </w:tcPr>
          <w:p w14:paraId="22C1CE65"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-379,00</w:t>
            </w:r>
          </w:p>
        </w:tc>
        <w:tc>
          <w:tcPr>
            <w:tcW w:w="992" w:type="dxa"/>
            <w:tcBorders>
              <w:top w:val="single" w:sz="4" w:space="0" w:color="auto"/>
              <w:left w:val="nil"/>
              <w:bottom w:val="single" w:sz="4" w:space="0" w:color="auto"/>
              <w:right w:val="single" w:sz="4" w:space="0" w:color="auto"/>
            </w:tcBorders>
            <w:shd w:val="clear" w:color="auto" w:fill="auto"/>
            <w:noWrap/>
            <w:hideMark/>
          </w:tcPr>
          <w:p w14:paraId="0017D010"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60,76</w:t>
            </w:r>
          </w:p>
        </w:tc>
        <w:tc>
          <w:tcPr>
            <w:tcW w:w="1276" w:type="dxa"/>
            <w:tcBorders>
              <w:top w:val="single" w:sz="4" w:space="0" w:color="auto"/>
              <w:left w:val="nil"/>
              <w:bottom w:val="single" w:sz="4" w:space="0" w:color="auto"/>
              <w:right w:val="single" w:sz="4" w:space="0" w:color="auto"/>
            </w:tcBorders>
            <w:shd w:val="clear" w:color="auto" w:fill="auto"/>
            <w:noWrap/>
            <w:hideMark/>
          </w:tcPr>
          <w:p w14:paraId="2C95B85A"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-39,24</w:t>
            </w:r>
          </w:p>
        </w:tc>
        <w:tc>
          <w:tcPr>
            <w:tcW w:w="850" w:type="dxa"/>
            <w:tcBorders>
              <w:top w:val="single" w:sz="4" w:space="0" w:color="auto"/>
              <w:left w:val="nil"/>
              <w:bottom w:val="single" w:sz="4" w:space="0" w:color="auto"/>
              <w:right w:val="single" w:sz="4" w:space="0" w:color="auto"/>
            </w:tcBorders>
            <w:shd w:val="clear" w:color="auto" w:fill="auto"/>
            <w:hideMark/>
          </w:tcPr>
          <w:p w14:paraId="06CE1391"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1330</w:t>
            </w:r>
          </w:p>
        </w:tc>
        <w:tc>
          <w:tcPr>
            <w:tcW w:w="851" w:type="dxa"/>
            <w:tcBorders>
              <w:top w:val="single" w:sz="4" w:space="0" w:color="auto"/>
              <w:left w:val="nil"/>
              <w:bottom w:val="single" w:sz="4" w:space="0" w:color="auto"/>
              <w:right w:val="single" w:sz="4" w:space="0" w:color="auto"/>
            </w:tcBorders>
            <w:shd w:val="clear" w:color="auto" w:fill="auto"/>
            <w:noWrap/>
            <w:hideMark/>
          </w:tcPr>
          <w:p w14:paraId="2AD14BA3"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-103,00</w:t>
            </w:r>
          </w:p>
        </w:tc>
        <w:tc>
          <w:tcPr>
            <w:tcW w:w="1559" w:type="dxa"/>
            <w:tcBorders>
              <w:top w:val="single" w:sz="4" w:space="0" w:color="auto"/>
              <w:left w:val="nil"/>
              <w:bottom w:val="single" w:sz="4" w:space="0" w:color="auto"/>
              <w:right w:val="single" w:sz="4" w:space="0" w:color="auto"/>
            </w:tcBorders>
            <w:shd w:val="clear" w:color="auto" w:fill="auto"/>
            <w:noWrap/>
            <w:hideMark/>
          </w:tcPr>
          <w:p w14:paraId="3A4F7B44"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55,98</w:t>
            </w:r>
          </w:p>
        </w:tc>
        <w:tc>
          <w:tcPr>
            <w:tcW w:w="992" w:type="dxa"/>
            <w:tcBorders>
              <w:top w:val="single" w:sz="4" w:space="0" w:color="auto"/>
              <w:left w:val="nil"/>
              <w:bottom w:val="single" w:sz="4" w:space="0" w:color="auto"/>
              <w:right w:val="single" w:sz="4" w:space="0" w:color="auto"/>
            </w:tcBorders>
            <w:shd w:val="clear" w:color="auto" w:fill="auto"/>
            <w:noWrap/>
            <w:hideMark/>
          </w:tcPr>
          <w:p w14:paraId="1638AB62"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-44,02</w:t>
            </w:r>
          </w:p>
        </w:tc>
        <w:tc>
          <w:tcPr>
            <w:tcW w:w="709" w:type="dxa"/>
            <w:tcBorders>
              <w:top w:val="single" w:sz="4" w:space="0" w:color="auto"/>
              <w:left w:val="nil"/>
              <w:bottom w:val="single" w:sz="4" w:space="0" w:color="auto"/>
              <w:right w:val="single" w:sz="4" w:space="0" w:color="auto"/>
            </w:tcBorders>
            <w:shd w:val="clear" w:color="auto" w:fill="auto"/>
            <w:hideMark/>
          </w:tcPr>
          <w:p w14:paraId="1713939D"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2766</w:t>
            </w:r>
          </w:p>
        </w:tc>
        <w:tc>
          <w:tcPr>
            <w:tcW w:w="1134" w:type="dxa"/>
            <w:tcBorders>
              <w:top w:val="single" w:sz="4" w:space="0" w:color="auto"/>
              <w:left w:val="nil"/>
              <w:bottom w:val="single" w:sz="4" w:space="0" w:color="auto"/>
              <w:right w:val="single" w:sz="4" w:space="0" w:color="auto"/>
            </w:tcBorders>
            <w:shd w:val="clear" w:color="auto" w:fill="auto"/>
            <w:noWrap/>
            <w:hideMark/>
          </w:tcPr>
          <w:p w14:paraId="6512ACAC"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-276,00</w:t>
            </w:r>
          </w:p>
        </w:tc>
        <w:tc>
          <w:tcPr>
            <w:tcW w:w="1134" w:type="dxa"/>
            <w:tcBorders>
              <w:top w:val="single" w:sz="4" w:space="0" w:color="auto"/>
              <w:left w:val="nil"/>
              <w:bottom w:val="single" w:sz="4" w:space="0" w:color="auto"/>
              <w:right w:val="single" w:sz="4" w:space="0" w:color="auto"/>
            </w:tcBorders>
            <w:shd w:val="clear" w:color="auto" w:fill="auto"/>
            <w:noWrap/>
            <w:hideMark/>
          </w:tcPr>
          <w:p w14:paraId="18773CFF"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63,31</w:t>
            </w:r>
          </w:p>
        </w:tc>
        <w:tc>
          <w:tcPr>
            <w:tcW w:w="992" w:type="dxa"/>
            <w:tcBorders>
              <w:top w:val="single" w:sz="4" w:space="0" w:color="auto"/>
              <w:left w:val="nil"/>
              <w:bottom w:val="single" w:sz="4" w:space="0" w:color="auto"/>
              <w:right w:val="single" w:sz="4" w:space="0" w:color="auto"/>
            </w:tcBorders>
            <w:shd w:val="clear" w:color="auto" w:fill="auto"/>
            <w:noWrap/>
            <w:hideMark/>
          </w:tcPr>
          <w:p w14:paraId="316BB570"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-36,69</w:t>
            </w:r>
          </w:p>
        </w:tc>
      </w:tr>
      <w:tr w:rsidR="00FA5792" w:rsidRPr="006E1680" w14:paraId="54CCB7F1" w14:textId="77777777" w:rsidTr="00BA3CA8">
        <w:trPr>
          <w:trHeight w:val="255"/>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390339A1" w14:textId="77777777" w:rsidR="0066583A" w:rsidRPr="006E1680" w:rsidRDefault="0066583A" w:rsidP="004135FE">
            <w:pPr>
              <w:spacing w:after="0" w:line="240" w:lineRule="auto"/>
              <w:rPr>
                <w:rFonts w:ascii="Times New Roman" w:eastAsia="Times New Roman" w:hAnsi="Times New Roman" w:cs="Times New Roman"/>
                <w:sz w:val="24"/>
                <w:szCs w:val="24"/>
              </w:rPr>
            </w:pPr>
          </w:p>
        </w:tc>
        <w:tc>
          <w:tcPr>
            <w:tcW w:w="993" w:type="dxa"/>
            <w:tcBorders>
              <w:top w:val="single" w:sz="4" w:space="0" w:color="auto"/>
              <w:left w:val="nil"/>
              <w:bottom w:val="single" w:sz="4" w:space="0" w:color="auto"/>
              <w:right w:val="single" w:sz="4" w:space="0" w:color="auto"/>
            </w:tcBorders>
            <w:shd w:val="clear" w:color="auto" w:fill="auto"/>
            <w:noWrap/>
            <w:hideMark/>
          </w:tcPr>
          <w:p w14:paraId="4BC6A057"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2015</w:t>
            </w:r>
          </w:p>
        </w:tc>
        <w:tc>
          <w:tcPr>
            <w:tcW w:w="708" w:type="dxa"/>
            <w:tcBorders>
              <w:top w:val="single" w:sz="4" w:space="0" w:color="auto"/>
              <w:left w:val="nil"/>
              <w:bottom w:val="single" w:sz="4" w:space="0" w:color="auto"/>
              <w:right w:val="single" w:sz="4" w:space="0" w:color="auto"/>
            </w:tcBorders>
            <w:shd w:val="clear" w:color="auto" w:fill="auto"/>
            <w:hideMark/>
          </w:tcPr>
          <w:p w14:paraId="1E02150E"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4054</w:t>
            </w:r>
          </w:p>
        </w:tc>
        <w:tc>
          <w:tcPr>
            <w:tcW w:w="993" w:type="dxa"/>
            <w:tcBorders>
              <w:top w:val="single" w:sz="4" w:space="0" w:color="auto"/>
              <w:left w:val="nil"/>
              <w:bottom w:val="single" w:sz="4" w:space="0" w:color="auto"/>
              <w:right w:val="single" w:sz="4" w:space="0" w:color="auto"/>
            </w:tcBorders>
            <w:shd w:val="clear" w:color="auto" w:fill="auto"/>
            <w:noWrap/>
            <w:hideMark/>
          </w:tcPr>
          <w:p w14:paraId="50EE7FB2"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-42,00</w:t>
            </w:r>
          </w:p>
        </w:tc>
        <w:tc>
          <w:tcPr>
            <w:tcW w:w="992" w:type="dxa"/>
            <w:tcBorders>
              <w:top w:val="single" w:sz="4" w:space="0" w:color="auto"/>
              <w:left w:val="nil"/>
              <w:bottom w:val="single" w:sz="4" w:space="0" w:color="auto"/>
              <w:right w:val="single" w:sz="4" w:space="0" w:color="auto"/>
            </w:tcBorders>
            <w:shd w:val="clear" w:color="auto" w:fill="auto"/>
            <w:noWrap/>
            <w:hideMark/>
          </w:tcPr>
          <w:p w14:paraId="68A59FAF"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55,61</w:t>
            </w:r>
          </w:p>
        </w:tc>
        <w:tc>
          <w:tcPr>
            <w:tcW w:w="1276" w:type="dxa"/>
            <w:tcBorders>
              <w:top w:val="single" w:sz="4" w:space="0" w:color="auto"/>
              <w:left w:val="nil"/>
              <w:bottom w:val="single" w:sz="4" w:space="0" w:color="auto"/>
              <w:right w:val="single" w:sz="4" w:space="0" w:color="auto"/>
            </w:tcBorders>
            <w:shd w:val="clear" w:color="auto" w:fill="auto"/>
            <w:noWrap/>
            <w:hideMark/>
          </w:tcPr>
          <w:p w14:paraId="34EBFC7A"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-44,39</w:t>
            </w:r>
          </w:p>
        </w:tc>
        <w:tc>
          <w:tcPr>
            <w:tcW w:w="850" w:type="dxa"/>
            <w:tcBorders>
              <w:top w:val="single" w:sz="4" w:space="0" w:color="auto"/>
              <w:left w:val="nil"/>
              <w:bottom w:val="single" w:sz="4" w:space="0" w:color="auto"/>
              <w:right w:val="single" w:sz="4" w:space="0" w:color="auto"/>
            </w:tcBorders>
            <w:shd w:val="clear" w:color="auto" w:fill="auto"/>
            <w:hideMark/>
          </w:tcPr>
          <w:p w14:paraId="5C41B07B"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1308</w:t>
            </w:r>
          </w:p>
        </w:tc>
        <w:tc>
          <w:tcPr>
            <w:tcW w:w="851" w:type="dxa"/>
            <w:tcBorders>
              <w:top w:val="single" w:sz="4" w:space="0" w:color="auto"/>
              <w:left w:val="nil"/>
              <w:bottom w:val="single" w:sz="4" w:space="0" w:color="auto"/>
              <w:right w:val="single" w:sz="4" w:space="0" w:color="auto"/>
            </w:tcBorders>
            <w:shd w:val="clear" w:color="auto" w:fill="auto"/>
            <w:noWrap/>
            <w:hideMark/>
          </w:tcPr>
          <w:p w14:paraId="5F1C488E"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-22,00</w:t>
            </w:r>
          </w:p>
        </w:tc>
        <w:tc>
          <w:tcPr>
            <w:tcW w:w="1559" w:type="dxa"/>
            <w:tcBorders>
              <w:top w:val="single" w:sz="4" w:space="0" w:color="auto"/>
              <w:left w:val="nil"/>
              <w:bottom w:val="single" w:sz="4" w:space="0" w:color="auto"/>
              <w:right w:val="single" w:sz="4" w:space="0" w:color="auto"/>
            </w:tcBorders>
            <w:shd w:val="clear" w:color="auto" w:fill="auto"/>
            <w:noWrap/>
            <w:hideMark/>
          </w:tcPr>
          <w:p w14:paraId="5B1862AD"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51,95</w:t>
            </w:r>
          </w:p>
        </w:tc>
        <w:tc>
          <w:tcPr>
            <w:tcW w:w="992" w:type="dxa"/>
            <w:tcBorders>
              <w:top w:val="single" w:sz="4" w:space="0" w:color="auto"/>
              <w:left w:val="nil"/>
              <w:bottom w:val="single" w:sz="4" w:space="0" w:color="auto"/>
              <w:right w:val="single" w:sz="4" w:space="0" w:color="auto"/>
            </w:tcBorders>
            <w:shd w:val="clear" w:color="auto" w:fill="auto"/>
            <w:noWrap/>
            <w:hideMark/>
          </w:tcPr>
          <w:p w14:paraId="518E60B0"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-48,05</w:t>
            </w:r>
          </w:p>
        </w:tc>
        <w:tc>
          <w:tcPr>
            <w:tcW w:w="709" w:type="dxa"/>
            <w:tcBorders>
              <w:top w:val="single" w:sz="4" w:space="0" w:color="auto"/>
              <w:left w:val="nil"/>
              <w:bottom w:val="single" w:sz="4" w:space="0" w:color="auto"/>
              <w:right w:val="single" w:sz="4" w:space="0" w:color="auto"/>
            </w:tcBorders>
            <w:shd w:val="clear" w:color="auto" w:fill="auto"/>
            <w:hideMark/>
          </w:tcPr>
          <w:p w14:paraId="5E20119C"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2746</w:t>
            </w:r>
          </w:p>
        </w:tc>
        <w:tc>
          <w:tcPr>
            <w:tcW w:w="1134" w:type="dxa"/>
            <w:tcBorders>
              <w:top w:val="single" w:sz="4" w:space="0" w:color="auto"/>
              <w:left w:val="nil"/>
              <w:bottom w:val="single" w:sz="4" w:space="0" w:color="auto"/>
              <w:right w:val="single" w:sz="4" w:space="0" w:color="auto"/>
            </w:tcBorders>
            <w:shd w:val="clear" w:color="auto" w:fill="auto"/>
            <w:noWrap/>
            <w:hideMark/>
          </w:tcPr>
          <w:p w14:paraId="0F506711"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-20,00</w:t>
            </w:r>
          </w:p>
        </w:tc>
        <w:tc>
          <w:tcPr>
            <w:tcW w:w="1134" w:type="dxa"/>
            <w:tcBorders>
              <w:top w:val="single" w:sz="4" w:space="0" w:color="auto"/>
              <w:left w:val="nil"/>
              <w:bottom w:val="single" w:sz="4" w:space="0" w:color="auto"/>
              <w:right w:val="single" w:sz="4" w:space="0" w:color="auto"/>
            </w:tcBorders>
            <w:shd w:val="clear" w:color="auto" w:fill="auto"/>
            <w:noWrap/>
            <w:hideMark/>
          </w:tcPr>
          <w:p w14:paraId="1A8E9F0A"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57,57</w:t>
            </w:r>
          </w:p>
        </w:tc>
        <w:tc>
          <w:tcPr>
            <w:tcW w:w="992" w:type="dxa"/>
            <w:tcBorders>
              <w:top w:val="single" w:sz="4" w:space="0" w:color="auto"/>
              <w:left w:val="nil"/>
              <w:bottom w:val="single" w:sz="4" w:space="0" w:color="auto"/>
              <w:right w:val="single" w:sz="4" w:space="0" w:color="auto"/>
            </w:tcBorders>
            <w:shd w:val="clear" w:color="auto" w:fill="auto"/>
            <w:noWrap/>
            <w:hideMark/>
          </w:tcPr>
          <w:p w14:paraId="6C780E62"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-42,43</w:t>
            </w:r>
          </w:p>
        </w:tc>
      </w:tr>
      <w:tr w:rsidR="00FA5792" w:rsidRPr="006E1680" w14:paraId="0D46D918" w14:textId="77777777" w:rsidTr="00BA3CA8">
        <w:trPr>
          <w:trHeight w:val="255"/>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CB97995" w14:textId="77777777" w:rsidR="0066583A" w:rsidRPr="006E1680" w:rsidRDefault="0066583A" w:rsidP="004135FE">
            <w:pPr>
              <w:spacing w:after="0" w:line="240" w:lineRule="auto"/>
              <w:rPr>
                <w:rFonts w:ascii="Times New Roman" w:eastAsia="Times New Roman" w:hAnsi="Times New Roman" w:cs="Times New Roman"/>
                <w:sz w:val="24"/>
                <w:szCs w:val="24"/>
              </w:rPr>
            </w:pPr>
          </w:p>
        </w:tc>
        <w:tc>
          <w:tcPr>
            <w:tcW w:w="993" w:type="dxa"/>
            <w:tcBorders>
              <w:top w:val="single" w:sz="4" w:space="0" w:color="auto"/>
              <w:left w:val="nil"/>
              <w:bottom w:val="single" w:sz="4" w:space="0" w:color="auto"/>
              <w:right w:val="single" w:sz="4" w:space="0" w:color="auto"/>
            </w:tcBorders>
            <w:shd w:val="clear" w:color="auto" w:fill="auto"/>
            <w:noWrap/>
            <w:hideMark/>
          </w:tcPr>
          <w:p w14:paraId="027A2B97"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2016</w:t>
            </w:r>
          </w:p>
        </w:tc>
        <w:tc>
          <w:tcPr>
            <w:tcW w:w="708" w:type="dxa"/>
            <w:tcBorders>
              <w:top w:val="single" w:sz="4" w:space="0" w:color="auto"/>
              <w:left w:val="nil"/>
              <w:bottom w:val="single" w:sz="4" w:space="0" w:color="auto"/>
              <w:right w:val="single" w:sz="4" w:space="0" w:color="auto"/>
            </w:tcBorders>
            <w:shd w:val="clear" w:color="auto" w:fill="auto"/>
            <w:hideMark/>
          </w:tcPr>
          <w:p w14:paraId="23E6E6E5"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4603</w:t>
            </w:r>
          </w:p>
        </w:tc>
        <w:tc>
          <w:tcPr>
            <w:tcW w:w="993" w:type="dxa"/>
            <w:tcBorders>
              <w:top w:val="single" w:sz="4" w:space="0" w:color="auto"/>
              <w:left w:val="nil"/>
              <w:bottom w:val="single" w:sz="4" w:space="0" w:color="auto"/>
              <w:right w:val="single" w:sz="4" w:space="0" w:color="auto"/>
            </w:tcBorders>
            <w:shd w:val="clear" w:color="auto" w:fill="auto"/>
            <w:noWrap/>
            <w:hideMark/>
          </w:tcPr>
          <w:p w14:paraId="6C34AB05"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549,00</w:t>
            </w:r>
          </w:p>
        </w:tc>
        <w:tc>
          <w:tcPr>
            <w:tcW w:w="992" w:type="dxa"/>
            <w:tcBorders>
              <w:top w:val="single" w:sz="4" w:space="0" w:color="auto"/>
              <w:left w:val="nil"/>
              <w:bottom w:val="single" w:sz="4" w:space="0" w:color="auto"/>
              <w:right w:val="single" w:sz="4" w:space="0" w:color="auto"/>
            </w:tcBorders>
            <w:shd w:val="clear" w:color="auto" w:fill="auto"/>
            <w:noWrap/>
            <w:hideMark/>
          </w:tcPr>
          <w:p w14:paraId="3B91C8C4"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55,04</w:t>
            </w:r>
          </w:p>
        </w:tc>
        <w:tc>
          <w:tcPr>
            <w:tcW w:w="1276" w:type="dxa"/>
            <w:tcBorders>
              <w:top w:val="single" w:sz="4" w:space="0" w:color="auto"/>
              <w:left w:val="nil"/>
              <w:bottom w:val="single" w:sz="4" w:space="0" w:color="auto"/>
              <w:right w:val="single" w:sz="4" w:space="0" w:color="auto"/>
            </w:tcBorders>
            <w:shd w:val="clear" w:color="auto" w:fill="auto"/>
            <w:noWrap/>
            <w:hideMark/>
          </w:tcPr>
          <w:p w14:paraId="62CFDB0C"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-44,96</w:t>
            </w:r>
          </w:p>
        </w:tc>
        <w:tc>
          <w:tcPr>
            <w:tcW w:w="850" w:type="dxa"/>
            <w:tcBorders>
              <w:top w:val="single" w:sz="4" w:space="0" w:color="auto"/>
              <w:left w:val="nil"/>
              <w:bottom w:val="single" w:sz="4" w:space="0" w:color="auto"/>
              <w:right w:val="single" w:sz="4" w:space="0" w:color="auto"/>
            </w:tcBorders>
            <w:shd w:val="clear" w:color="auto" w:fill="auto"/>
            <w:hideMark/>
          </w:tcPr>
          <w:p w14:paraId="5B133F03"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1494</w:t>
            </w:r>
          </w:p>
        </w:tc>
        <w:tc>
          <w:tcPr>
            <w:tcW w:w="851" w:type="dxa"/>
            <w:tcBorders>
              <w:top w:val="single" w:sz="4" w:space="0" w:color="auto"/>
              <w:left w:val="nil"/>
              <w:bottom w:val="single" w:sz="4" w:space="0" w:color="auto"/>
              <w:right w:val="single" w:sz="4" w:space="0" w:color="auto"/>
            </w:tcBorders>
            <w:shd w:val="clear" w:color="auto" w:fill="auto"/>
            <w:noWrap/>
            <w:hideMark/>
          </w:tcPr>
          <w:p w14:paraId="0C654643"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186,00</w:t>
            </w:r>
          </w:p>
        </w:tc>
        <w:tc>
          <w:tcPr>
            <w:tcW w:w="1559" w:type="dxa"/>
            <w:tcBorders>
              <w:top w:val="single" w:sz="4" w:space="0" w:color="auto"/>
              <w:left w:val="nil"/>
              <w:bottom w:val="single" w:sz="4" w:space="0" w:color="auto"/>
              <w:right w:val="single" w:sz="4" w:space="0" w:color="auto"/>
            </w:tcBorders>
            <w:shd w:val="clear" w:color="auto" w:fill="auto"/>
            <w:noWrap/>
            <w:hideMark/>
          </w:tcPr>
          <w:p w14:paraId="24452898"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51,09</w:t>
            </w:r>
          </w:p>
        </w:tc>
        <w:tc>
          <w:tcPr>
            <w:tcW w:w="992" w:type="dxa"/>
            <w:tcBorders>
              <w:top w:val="single" w:sz="4" w:space="0" w:color="auto"/>
              <w:left w:val="nil"/>
              <w:bottom w:val="single" w:sz="4" w:space="0" w:color="auto"/>
              <w:right w:val="single" w:sz="4" w:space="0" w:color="auto"/>
            </w:tcBorders>
            <w:shd w:val="clear" w:color="auto" w:fill="auto"/>
            <w:noWrap/>
            <w:hideMark/>
          </w:tcPr>
          <w:p w14:paraId="0C33282A"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-48,91</w:t>
            </w:r>
          </w:p>
        </w:tc>
        <w:tc>
          <w:tcPr>
            <w:tcW w:w="709" w:type="dxa"/>
            <w:tcBorders>
              <w:top w:val="single" w:sz="4" w:space="0" w:color="auto"/>
              <w:left w:val="nil"/>
              <w:bottom w:val="single" w:sz="4" w:space="0" w:color="auto"/>
              <w:right w:val="single" w:sz="4" w:space="0" w:color="auto"/>
            </w:tcBorders>
            <w:shd w:val="clear" w:color="auto" w:fill="auto"/>
            <w:hideMark/>
          </w:tcPr>
          <w:p w14:paraId="219877AD"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3109</w:t>
            </w:r>
          </w:p>
        </w:tc>
        <w:tc>
          <w:tcPr>
            <w:tcW w:w="1134" w:type="dxa"/>
            <w:tcBorders>
              <w:top w:val="single" w:sz="4" w:space="0" w:color="auto"/>
              <w:left w:val="nil"/>
              <w:bottom w:val="single" w:sz="4" w:space="0" w:color="auto"/>
              <w:right w:val="single" w:sz="4" w:space="0" w:color="auto"/>
            </w:tcBorders>
            <w:shd w:val="clear" w:color="auto" w:fill="auto"/>
            <w:noWrap/>
            <w:hideMark/>
          </w:tcPr>
          <w:p w14:paraId="7133E5F6"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363,00</w:t>
            </w:r>
          </w:p>
        </w:tc>
        <w:tc>
          <w:tcPr>
            <w:tcW w:w="1134" w:type="dxa"/>
            <w:tcBorders>
              <w:top w:val="single" w:sz="4" w:space="0" w:color="auto"/>
              <w:left w:val="nil"/>
              <w:bottom w:val="single" w:sz="4" w:space="0" w:color="auto"/>
              <w:right w:val="single" w:sz="4" w:space="0" w:color="auto"/>
            </w:tcBorders>
            <w:shd w:val="clear" w:color="auto" w:fill="auto"/>
            <w:noWrap/>
            <w:hideMark/>
          </w:tcPr>
          <w:p w14:paraId="6F09FE75"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57,15</w:t>
            </w:r>
          </w:p>
        </w:tc>
        <w:tc>
          <w:tcPr>
            <w:tcW w:w="992" w:type="dxa"/>
            <w:tcBorders>
              <w:top w:val="single" w:sz="4" w:space="0" w:color="auto"/>
              <w:left w:val="nil"/>
              <w:bottom w:val="single" w:sz="4" w:space="0" w:color="auto"/>
              <w:right w:val="single" w:sz="4" w:space="0" w:color="auto"/>
            </w:tcBorders>
            <w:shd w:val="clear" w:color="auto" w:fill="auto"/>
            <w:noWrap/>
            <w:hideMark/>
          </w:tcPr>
          <w:p w14:paraId="6D73C483"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-42,85</w:t>
            </w:r>
          </w:p>
        </w:tc>
      </w:tr>
      <w:tr w:rsidR="00FA5792" w:rsidRPr="006E1680" w14:paraId="2EE4C34F" w14:textId="77777777" w:rsidTr="00BA3CA8">
        <w:trPr>
          <w:trHeight w:val="255"/>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720318CD" w14:textId="77777777" w:rsidR="0066583A" w:rsidRPr="006E1680" w:rsidRDefault="0066583A" w:rsidP="004135FE">
            <w:pPr>
              <w:spacing w:after="0" w:line="240" w:lineRule="auto"/>
              <w:rPr>
                <w:rFonts w:ascii="Times New Roman" w:eastAsia="Times New Roman" w:hAnsi="Times New Roman" w:cs="Times New Roman"/>
                <w:sz w:val="24"/>
                <w:szCs w:val="24"/>
              </w:rPr>
            </w:pPr>
          </w:p>
        </w:tc>
        <w:tc>
          <w:tcPr>
            <w:tcW w:w="993" w:type="dxa"/>
            <w:tcBorders>
              <w:top w:val="single" w:sz="4" w:space="0" w:color="auto"/>
              <w:left w:val="nil"/>
              <w:bottom w:val="single" w:sz="4" w:space="0" w:color="auto"/>
              <w:right w:val="single" w:sz="4" w:space="0" w:color="auto"/>
            </w:tcBorders>
            <w:shd w:val="clear" w:color="auto" w:fill="auto"/>
            <w:noWrap/>
            <w:hideMark/>
          </w:tcPr>
          <w:p w14:paraId="7BDB5B51"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2017</w:t>
            </w:r>
          </w:p>
        </w:tc>
        <w:tc>
          <w:tcPr>
            <w:tcW w:w="708" w:type="dxa"/>
            <w:tcBorders>
              <w:top w:val="single" w:sz="4" w:space="0" w:color="auto"/>
              <w:left w:val="nil"/>
              <w:bottom w:val="single" w:sz="4" w:space="0" w:color="auto"/>
              <w:right w:val="single" w:sz="4" w:space="0" w:color="auto"/>
            </w:tcBorders>
            <w:shd w:val="clear" w:color="auto" w:fill="auto"/>
            <w:hideMark/>
          </w:tcPr>
          <w:p w14:paraId="294B3387"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5341</w:t>
            </w:r>
          </w:p>
        </w:tc>
        <w:tc>
          <w:tcPr>
            <w:tcW w:w="993" w:type="dxa"/>
            <w:tcBorders>
              <w:top w:val="single" w:sz="4" w:space="0" w:color="auto"/>
              <w:left w:val="nil"/>
              <w:bottom w:val="single" w:sz="4" w:space="0" w:color="auto"/>
              <w:right w:val="single" w:sz="4" w:space="0" w:color="auto"/>
            </w:tcBorders>
            <w:shd w:val="clear" w:color="auto" w:fill="auto"/>
            <w:noWrap/>
            <w:hideMark/>
          </w:tcPr>
          <w:p w14:paraId="45049AAF"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738,00</w:t>
            </w:r>
          </w:p>
        </w:tc>
        <w:tc>
          <w:tcPr>
            <w:tcW w:w="992" w:type="dxa"/>
            <w:tcBorders>
              <w:top w:val="single" w:sz="4" w:space="0" w:color="auto"/>
              <w:left w:val="nil"/>
              <w:bottom w:val="single" w:sz="4" w:space="0" w:color="auto"/>
              <w:right w:val="single" w:sz="4" w:space="0" w:color="auto"/>
            </w:tcBorders>
            <w:shd w:val="clear" w:color="auto" w:fill="auto"/>
            <w:noWrap/>
            <w:hideMark/>
          </w:tcPr>
          <w:p w14:paraId="5CAF00D7"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62,50</w:t>
            </w:r>
          </w:p>
        </w:tc>
        <w:tc>
          <w:tcPr>
            <w:tcW w:w="1276" w:type="dxa"/>
            <w:tcBorders>
              <w:top w:val="single" w:sz="4" w:space="0" w:color="auto"/>
              <w:left w:val="nil"/>
              <w:bottom w:val="single" w:sz="4" w:space="0" w:color="auto"/>
              <w:right w:val="single" w:sz="4" w:space="0" w:color="auto"/>
            </w:tcBorders>
            <w:shd w:val="clear" w:color="auto" w:fill="auto"/>
            <w:noWrap/>
            <w:hideMark/>
          </w:tcPr>
          <w:p w14:paraId="40C02D12"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-37,50</w:t>
            </w:r>
          </w:p>
        </w:tc>
        <w:tc>
          <w:tcPr>
            <w:tcW w:w="850" w:type="dxa"/>
            <w:tcBorders>
              <w:top w:val="single" w:sz="4" w:space="0" w:color="auto"/>
              <w:left w:val="nil"/>
              <w:bottom w:val="single" w:sz="4" w:space="0" w:color="auto"/>
              <w:right w:val="single" w:sz="4" w:space="0" w:color="auto"/>
            </w:tcBorders>
            <w:shd w:val="clear" w:color="auto" w:fill="auto"/>
            <w:hideMark/>
          </w:tcPr>
          <w:p w14:paraId="278DD3C6"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1752</w:t>
            </w:r>
          </w:p>
        </w:tc>
        <w:tc>
          <w:tcPr>
            <w:tcW w:w="851" w:type="dxa"/>
            <w:tcBorders>
              <w:top w:val="single" w:sz="4" w:space="0" w:color="auto"/>
              <w:left w:val="nil"/>
              <w:bottom w:val="single" w:sz="4" w:space="0" w:color="auto"/>
              <w:right w:val="single" w:sz="4" w:space="0" w:color="auto"/>
            </w:tcBorders>
            <w:shd w:val="clear" w:color="auto" w:fill="auto"/>
            <w:noWrap/>
            <w:hideMark/>
          </w:tcPr>
          <w:p w14:paraId="07020A4E"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258,00</w:t>
            </w:r>
          </w:p>
        </w:tc>
        <w:tc>
          <w:tcPr>
            <w:tcW w:w="1559" w:type="dxa"/>
            <w:tcBorders>
              <w:top w:val="single" w:sz="4" w:space="0" w:color="auto"/>
              <w:left w:val="nil"/>
              <w:bottom w:val="single" w:sz="4" w:space="0" w:color="auto"/>
              <w:right w:val="single" w:sz="4" w:space="0" w:color="auto"/>
            </w:tcBorders>
            <w:shd w:val="clear" w:color="auto" w:fill="auto"/>
            <w:noWrap/>
            <w:hideMark/>
          </w:tcPr>
          <w:p w14:paraId="74520EBA"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58,36</w:t>
            </w:r>
          </w:p>
        </w:tc>
        <w:tc>
          <w:tcPr>
            <w:tcW w:w="992" w:type="dxa"/>
            <w:tcBorders>
              <w:top w:val="single" w:sz="4" w:space="0" w:color="auto"/>
              <w:left w:val="nil"/>
              <w:bottom w:val="single" w:sz="4" w:space="0" w:color="auto"/>
              <w:right w:val="single" w:sz="4" w:space="0" w:color="auto"/>
            </w:tcBorders>
            <w:shd w:val="clear" w:color="auto" w:fill="auto"/>
            <w:noWrap/>
            <w:hideMark/>
          </w:tcPr>
          <w:p w14:paraId="0B0BDED9"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-41,64</w:t>
            </w:r>
          </w:p>
        </w:tc>
        <w:tc>
          <w:tcPr>
            <w:tcW w:w="709" w:type="dxa"/>
            <w:tcBorders>
              <w:top w:val="single" w:sz="4" w:space="0" w:color="auto"/>
              <w:left w:val="nil"/>
              <w:bottom w:val="single" w:sz="4" w:space="0" w:color="auto"/>
              <w:right w:val="single" w:sz="4" w:space="0" w:color="auto"/>
            </w:tcBorders>
            <w:shd w:val="clear" w:color="auto" w:fill="auto"/>
            <w:hideMark/>
          </w:tcPr>
          <w:p w14:paraId="6170E640"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3589</w:t>
            </w:r>
          </w:p>
        </w:tc>
        <w:tc>
          <w:tcPr>
            <w:tcW w:w="1134" w:type="dxa"/>
            <w:tcBorders>
              <w:top w:val="single" w:sz="4" w:space="0" w:color="auto"/>
              <w:left w:val="nil"/>
              <w:bottom w:val="single" w:sz="4" w:space="0" w:color="auto"/>
              <w:right w:val="single" w:sz="4" w:space="0" w:color="auto"/>
            </w:tcBorders>
            <w:shd w:val="clear" w:color="auto" w:fill="auto"/>
            <w:noWrap/>
            <w:hideMark/>
          </w:tcPr>
          <w:p w14:paraId="433E00AA"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480,00</w:t>
            </w:r>
          </w:p>
        </w:tc>
        <w:tc>
          <w:tcPr>
            <w:tcW w:w="1134" w:type="dxa"/>
            <w:tcBorders>
              <w:top w:val="single" w:sz="4" w:space="0" w:color="auto"/>
              <w:left w:val="nil"/>
              <w:bottom w:val="single" w:sz="4" w:space="0" w:color="auto"/>
              <w:right w:val="single" w:sz="4" w:space="0" w:color="auto"/>
            </w:tcBorders>
            <w:shd w:val="clear" w:color="auto" w:fill="auto"/>
            <w:noWrap/>
            <w:hideMark/>
          </w:tcPr>
          <w:p w14:paraId="3CAC4450"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64,70</w:t>
            </w:r>
          </w:p>
        </w:tc>
        <w:tc>
          <w:tcPr>
            <w:tcW w:w="992" w:type="dxa"/>
            <w:tcBorders>
              <w:top w:val="single" w:sz="4" w:space="0" w:color="auto"/>
              <w:left w:val="nil"/>
              <w:bottom w:val="single" w:sz="4" w:space="0" w:color="auto"/>
              <w:right w:val="single" w:sz="4" w:space="0" w:color="auto"/>
            </w:tcBorders>
            <w:shd w:val="clear" w:color="auto" w:fill="auto"/>
            <w:noWrap/>
            <w:hideMark/>
          </w:tcPr>
          <w:p w14:paraId="37C580A3"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-35,30</w:t>
            </w:r>
          </w:p>
        </w:tc>
      </w:tr>
      <w:tr w:rsidR="00FA5792" w:rsidRPr="006E1680" w14:paraId="6476DF60" w14:textId="77777777" w:rsidTr="00BA3CA8">
        <w:trPr>
          <w:trHeight w:val="255"/>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19257C3A" w14:textId="77777777" w:rsidR="0066583A" w:rsidRPr="006E1680" w:rsidRDefault="0066583A" w:rsidP="004135FE">
            <w:pPr>
              <w:spacing w:after="0" w:line="240" w:lineRule="auto"/>
              <w:rPr>
                <w:rFonts w:ascii="Times New Roman" w:eastAsia="Times New Roman" w:hAnsi="Times New Roman" w:cs="Times New Roman"/>
                <w:sz w:val="24"/>
                <w:szCs w:val="24"/>
              </w:rPr>
            </w:pPr>
          </w:p>
        </w:tc>
        <w:tc>
          <w:tcPr>
            <w:tcW w:w="993" w:type="dxa"/>
            <w:tcBorders>
              <w:top w:val="single" w:sz="4" w:space="0" w:color="auto"/>
              <w:left w:val="nil"/>
              <w:bottom w:val="single" w:sz="4" w:space="0" w:color="auto"/>
              <w:right w:val="single" w:sz="4" w:space="0" w:color="auto"/>
            </w:tcBorders>
            <w:shd w:val="clear" w:color="auto" w:fill="auto"/>
            <w:noWrap/>
            <w:hideMark/>
          </w:tcPr>
          <w:p w14:paraId="4E1B7E55"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2018</w:t>
            </w:r>
          </w:p>
        </w:tc>
        <w:tc>
          <w:tcPr>
            <w:tcW w:w="708" w:type="dxa"/>
            <w:tcBorders>
              <w:top w:val="single" w:sz="4" w:space="0" w:color="auto"/>
              <w:left w:val="nil"/>
              <w:bottom w:val="single" w:sz="4" w:space="0" w:color="auto"/>
              <w:right w:val="single" w:sz="4" w:space="0" w:color="auto"/>
            </w:tcBorders>
            <w:shd w:val="clear" w:color="auto" w:fill="auto"/>
            <w:hideMark/>
          </w:tcPr>
          <w:p w14:paraId="0FCA64BD"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5831</w:t>
            </w:r>
          </w:p>
        </w:tc>
        <w:tc>
          <w:tcPr>
            <w:tcW w:w="993" w:type="dxa"/>
            <w:tcBorders>
              <w:top w:val="single" w:sz="4" w:space="0" w:color="auto"/>
              <w:left w:val="nil"/>
              <w:bottom w:val="single" w:sz="4" w:space="0" w:color="auto"/>
              <w:right w:val="single" w:sz="4" w:space="0" w:color="auto"/>
            </w:tcBorders>
            <w:shd w:val="clear" w:color="auto" w:fill="auto"/>
            <w:noWrap/>
            <w:hideMark/>
          </w:tcPr>
          <w:p w14:paraId="628762AD"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490,00</w:t>
            </w:r>
          </w:p>
        </w:tc>
        <w:tc>
          <w:tcPr>
            <w:tcW w:w="992" w:type="dxa"/>
            <w:tcBorders>
              <w:top w:val="single" w:sz="4" w:space="0" w:color="auto"/>
              <w:left w:val="nil"/>
              <w:bottom w:val="single" w:sz="4" w:space="0" w:color="auto"/>
              <w:right w:val="single" w:sz="4" w:space="0" w:color="auto"/>
            </w:tcBorders>
            <w:shd w:val="clear" w:color="auto" w:fill="auto"/>
            <w:noWrap/>
            <w:hideMark/>
          </w:tcPr>
          <w:p w14:paraId="7EE173A4"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72,52</w:t>
            </w:r>
          </w:p>
        </w:tc>
        <w:tc>
          <w:tcPr>
            <w:tcW w:w="1276" w:type="dxa"/>
            <w:tcBorders>
              <w:top w:val="single" w:sz="4" w:space="0" w:color="auto"/>
              <w:left w:val="nil"/>
              <w:bottom w:val="single" w:sz="4" w:space="0" w:color="auto"/>
              <w:right w:val="single" w:sz="4" w:space="0" w:color="auto"/>
            </w:tcBorders>
            <w:shd w:val="clear" w:color="auto" w:fill="auto"/>
            <w:noWrap/>
            <w:hideMark/>
          </w:tcPr>
          <w:p w14:paraId="2A1E50E4"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-27,48</w:t>
            </w:r>
          </w:p>
        </w:tc>
        <w:tc>
          <w:tcPr>
            <w:tcW w:w="850" w:type="dxa"/>
            <w:tcBorders>
              <w:top w:val="single" w:sz="4" w:space="0" w:color="auto"/>
              <w:left w:val="nil"/>
              <w:bottom w:val="single" w:sz="4" w:space="0" w:color="auto"/>
              <w:right w:val="single" w:sz="4" w:space="0" w:color="auto"/>
            </w:tcBorders>
            <w:shd w:val="clear" w:color="auto" w:fill="auto"/>
            <w:hideMark/>
          </w:tcPr>
          <w:p w14:paraId="68120D79"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1936</w:t>
            </w:r>
          </w:p>
        </w:tc>
        <w:tc>
          <w:tcPr>
            <w:tcW w:w="851" w:type="dxa"/>
            <w:tcBorders>
              <w:top w:val="single" w:sz="4" w:space="0" w:color="auto"/>
              <w:left w:val="nil"/>
              <w:bottom w:val="single" w:sz="4" w:space="0" w:color="auto"/>
              <w:right w:val="single" w:sz="4" w:space="0" w:color="auto"/>
            </w:tcBorders>
            <w:shd w:val="clear" w:color="auto" w:fill="auto"/>
            <w:noWrap/>
            <w:hideMark/>
          </w:tcPr>
          <w:p w14:paraId="179BC236"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184,00</w:t>
            </w:r>
          </w:p>
        </w:tc>
        <w:tc>
          <w:tcPr>
            <w:tcW w:w="1559" w:type="dxa"/>
            <w:tcBorders>
              <w:top w:val="single" w:sz="4" w:space="0" w:color="auto"/>
              <w:left w:val="nil"/>
              <w:bottom w:val="single" w:sz="4" w:space="0" w:color="auto"/>
              <w:right w:val="single" w:sz="4" w:space="0" w:color="auto"/>
            </w:tcBorders>
            <w:shd w:val="clear" w:color="auto" w:fill="auto"/>
            <w:noWrap/>
            <w:hideMark/>
          </w:tcPr>
          <w:p w14:paraId="4D7650A2"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68,44</w:t>
            </w:r>
          </w:p>
        </w:tc>
        <w:tc>
          <w:tcPr>
            <w:tcW w:w="992" w:type="dxa"/>
            <w:tcBorders>
              <w:top w:val="single" w:sz="4" w:space="0" w:color="auto"/>
              <w:left w:val="nil"/>
              <w:bottom w:val="single" w:sz="4" w:space="0" w:color="auto"/>
              <w:right w:val="single" w:sz="4" w:space="0" w:color="auto"/>
            </w:tcBorders>
            <w:shd w:val="clear" w:color="auto" w:fill="auto"/>
            <w:noWrap/>
            <w:hideMark/>
          </w:tcPr>
          <w:p w14:paraId="4F002779"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-31,56</w:t>
            </w:r>
          </w:p>
        </w:tc>
        <w:tc>
          <w:tcPr>
            <w:tcW w:w="709" w:type="dxa"/>
            <w:tcBorders>
              <w:top w:val="single" w:sz="4" w:space="0" w:color="auto"/>
              <w:left w:val="nil"/>
              <w:bottom w:val="single" w:sz="4" w:space="0" w:color="auto"/>
              <w:right w:val="single" w:sz="4" w:space="0" w:color="auto"/>
            </w:tcBorders>
            <w:shd w:val="clear" w:color="auto" w:fill="auto"/>
            <w:hideMark/>
          </w:tcPr>
          <w:p w14:paraId="53F737E1"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3895</w:t>
            </w:r>
          </w:p>
        </w:tc>
        <w:tc>
          <w:tcPr>
            <w:tcW w:w="1134" w:type="dxa"/>
            <w:tcBorders>
              <w:top w:val="single" w:sz="4" w:space="0" w:color="auto"/>
              <w:left w:val="nil"/>
              <w:bottom w:val="single" w:sz="4" w:space="0" w:color="auto"/>
              <w:right w:val="single" w:sz="4" w:space="0" w:color="auto"/>
            </w:tcBorders>
            <w:shd w:val="clear" w:color="auto" w:fill="auto"/>
            <w:noWrap/>
            <w:hideMark/>
          </w:tcPr>
          <w:p w14:paraId="4E27944B"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306,00</w:t>
            </w:r>
          </w:p>
        </w:tc>
        <w:tc>
          <w:tcPr>
            <w:tcW w:w="1134" w:type="dxa"/>
            <w:tcBorders>
              <w:top w:val="single" w:sz="4" w:space="0" w:color="auto"/>
              <w:left w:val="nil"/>
              <w:bottom w:val="single" w:sz="4" w:space="0" w:color="auto"/>
              <w:right w:val="single" w:sz="4" w:space="0" w:color="auto"/>
            </w:tcBorders>
            <w:shd w:val="clear" w:color="auto" w:fill="auto"/>
            <w:noWrap/>
            <w:hideMark/>
          </w:tcPr>
          <w:p w14:paraId="5F70EE1E"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74,69</w:t>
            </w:r>
          </w:p>
        </w:tc>
        <w:tc>
          <w:tcPr>
            <w:tcW w:w="992" w:type="dxa"/>
            <w:tcBorders>
              <w:top w:val="single" w:sz="4" w:space="0" w:color="auto"/>
              <w:left w:val="nil"/>
              <w:bottom w:val="single" w:sz="4" w:space="0" w:color="auto"/>
              <w:right w:val="single" w:sz="4" w:space="0" w:color="auto"/>
            </w:tcBorders>
            <w:shd w:val="clear" w:color="auto" w:fill="auto"/>
            <w:noWrap/>
            <w:hideMark/>
          </w:tcPr>
          <w:p w14:paraId="0A6BCBD2"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-25,31</w:t>
            </w:r>
          </w:p>
        </w:tc>
      </w:tr>
      <w:tr w:rsidR="00FA5792" w:rsidRPr="006E1680" w14:paraId="1CDD553C" w14:textId="77777777" w:rsidTr="00BA3CA8">
        <w:trPr>
          <w:trHeight w:val="255"/>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3F644688" w14:textId="77777777" w:rsidR="0066583A" w:rsidRPr="006E1680" w:rsidRDefault="0066583A" w:rsidP="004135FE">
            <w:pPr>
              <w:spacing w:after="0" w:line="240" w:lineRule="auto"/>
              <w:rPr>
                <w:rFonts w:ascii="Times New Roman" w:eastAsia="Times New Roman" w:hAnsi="Times New Roman" w:cs="Times New Roman"/>
                <w:sz w:val="24"/>
                <w:szCs w:val="24"/>
              </w:rPr>
            </w:pPr>
          </w:p>
        </w:tc>
        <w:tc>
          <w:tcPr>
            <w:tcW w:w="993" w:type="dxa"/>
            <w:tcBorders>
              <w:top w:val="single" w:sz="4" w:space="0" w:color="auto"/>
              <w:left w:val="nil"/>
              <w:bottom w:val="single" w:sz="4" w:space="0" w:color="auto"/>
              <w:right w:val="single" w:sz="4" w:space="0" w:color="auto"/>
            </w:tcBorders>
            <w:shd w:val="clear" w:color="auto" w:fill="auto"/>
            <w:noWrap/>
            <w:hideMark/>
          </w:tcPr>
          <w:p w14:paraId="04F2B563"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2019</w:t>
            </w:r>
          </w:p>
        </w:tc>
        <w:tc>
          <w:tcPr>
            <w:tcW w:w="708" w:type="dxa"/>
            <w:tcBorders>
              <w:top w:val="single" w:sz="4" w:space="0" w:color="auto"/>
              <w:left w:val="nil"/>
              <w:bottom w:val="single" w:sz="4" w:space="0" w:color="auto"/>
              <w:right w:val="single" w:sz="4" w:space="0" w:color="auto"/>
            </w:tcBorders>
            <w:shd w:val="clear" w:color="auto" w:fill="auto"/>
            <w:hideMark/>
          </w:tcPr>
          <w:p w14:paraId="6E25529B"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6485</w:t>
            </w:r>
          </w:p>
        </w:tc>
        <w:tc>
          <w:tcPr>
            <w:tcW w:w="993" w:type="dxa"/>
            <w:tcBorders>
              <w:top w:val="single" w:sz="4" w:space="0" w:color="auto"/>
              <w:left w:val="nil"/>
              <w:bottom w:val="single" w:sz="4" w:space="0" w:color="auto"/>
              <w:right w:val="single" w:sz="4" w:space="0" w:color="auto"/>
            </w:tcBorders>
            <w:shd w:val="clear" w:color="auto" w:fill="auto"/>
            <w:noWrap/>
            <w:hideMark/>
          </w:tcPr>
          <w:p w14:paraId="28DEF4A1"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654,00</w:t>
            </w:r>
          </w:p>
        </w:tc>
        <w:tc>
          <w:tcPr>
            <w:tcW w:w="992" w:type="dxa"/>
            <w:tcBorders>
              <w:top w:val="single" w:sz="4" w:space="0" w:color="auto"/>
              <w:left w:val="nil"/>
              <w:bottom w:val="single" w:sz="4" w:space="0" w:color="auto"/>
              <w:right w:val="single" w:sz="4" w:space="0" w:color="auto"/>
            </w:tcBorders>
            <w:shd w:val="clear" w:color="auto" w:fill="auto"/>
            <w:noWrap/>
            <w:hideMark/>
          </w:tcPr>
          <w:p w14:paraId="0C5B82C2"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79,17</w:t>
            </w:r>
          </w:p>
        </w:tc>
        <w:tc>
          <w:tcPr>
            <w:tcW w:w="1276" w:type="dxa"/>
            <w:tcBorders>
              <w:top w:val="single" w:sz="4" w:space="0" w:color="auto"/>
              <w:left w:val="nil"/>
              <w:bottom w:val="single" w:sz="4" w:space="0" w:color="auto"/>
              <w:right w:val="single" w:sz="4" w:space="0" w:color="auto"/>
            </w:tcBorders>
            <w:shd w:val="clear" w:color="auto" w:fill="auto"/>
            <w:noWrap/>
            <w:hideMark/>
          </w:tcPr>
          <w:p w14:paraId="2DB3FDC8"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-20,83</w:t>
            </w:r>
          </w:p>
        </w:tc>
        <w:tc>
          <w:tcPr>
            <w:tcW w:w="850" w:type="dxa"/>
            <w:tcBorders>
              <w:top w:val="single" w:sz="4" w:space="0" w:color="auto"/>
              <w:left w:val="nil"/>
              <w:bottom w:val="single" w:sz="4" w:space="0" w:color="auto"/>
              <w:right w:val="single" w:sz="4" w:space="0" w:color="auto"/>
            </w:tcBorders>
            <w:shd w:val="clear" w:color="auto" w:fill="auto"/>
            <w:hideMark/>
          </w:tcPr>
          <w:p w14:paraId="6D1BA90F"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2199</w:t>
            </w:r>
          </w:p>
        </w:tc>
        <w:tc>
          <w:tcPr>
            <w:tcW w:w="851" w:type="dxa"/>
            <w:tcBorders>
              <w:top w:val="single" w:sz="4" w:space="0" w:color="auto"/>
              <w:left w:val="nil"/>
              <w:bottom w:val="single" w:sz="4" w:space="0" w:color="auto"/>
              <w:right w:val="single" w:sz="4" w:space="0" w:color="auto"/>
            </w:tcBorders>
            <w:shd w:val="clear" w:color="auto" w:fill="auto"/>
            <w:noWrap/>
            <w:hideMark/>
          </w:tcPr>
          <w:p w14:paraId="5931A89F"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263,00</w:t>
            </w:r>
          </w:p>
        </w:tc>
        <w:tc>
          <w:tcPr>
            <w:tcW w:w="1559" w:type="dxa"/>
            <w:tcBorders>
              <w:top w:val="single" w:sz="4" w:space="0" w:color="auto"/>
              <w:left w:val="nil"/>
              <w:bottom w:val="single" w:sz="4" w:space="0" w:color="auto"/>
              <w:right w:val="single" w:sz="4" w:space="0" w:color="auto"/>
            </w:tcBorders>
            <w:shd w:val="clear" w:color="auto" w:fill="auto"/>
            <w:noWrap/>
            <w:hideMark/>
          </w:tcPr>
          <w:p w14:paraId="611EC57C"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75,63</w:t>
            </w:r>
          </w:p>
        </w:tc>
        <w:tc>
          <w:tcPr>
            <w:tcW w:w="992" w:type="dxa"/>
            <w:tcBorders>
              <w:top w:val="single" w:sz="4" w:space="0" w:color="auto"/>
              <w:left w:val="nil"/>
              <w:bottom w:val="single" w:sz="4" w:space="0" w:color="auto"/>
              <w:right w:val="single" w:sz="4" w:space="0" w:color="auto"/>
            </w:tcBorders>
            <w:shd w:val="clear" w:color="auto" w:fill="auto"/>
            <w:noWrap/>
            <w:hideMark/>
          </w:tcPr>
          <w:p w14:paraId="748B0B32"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-24,38</w:t>
            </w:r>
          </w:p>
        </w:tc>
        <w:tc>
          <w:tcPr>
            <w:tcW w:w="709" w:type="dxa"/>
            <w:tcBorders>
              <w:top w:val="single" w:sz="4" w:space="0" w:color="auto"/>
              <w:left w:val="nil"/>
              <w:bottom w:val="single" w:sz="4" w:space="0" w:color="auto"/>
              <w:right w:val="single" w:sz="4" w:space="0" w:color="auto"/>
            </w:tcBorders>
            <w:shd w:val="clear" w:color="auto" w:fill="auto"/>
            <w:hideMark/>
          </w:tcPr>
          <w:p w14:paraId="1539859D"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4286</w:t>
            </w:r>
          </w:p>
        </w:tc>
        <w:tc>
          <w:tcPr>
            <w:tcW w:w="1134" w:type="dxa"/>
            <w:tcBorders>
              <w:top w:val="single" w:sz="4" w:space="0" w:color="auto"/>
              <w:left w:val="nil"/>
              <w:bottom w:val="single" w:sz="4" w:space="0" w:color="auto"/>
              <w:right w:val="single" w:sz="4" w:space="0" w:color="auto"/>
            </w:tcBorders>
            <w:shd w:val="clear" w:color="auto" w:fill="auto"/>
            <w:noWrap/>
            <w:hideMark/>
          </w:tcPr>
          <w:p w14:paraId="5AC782AB"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391,00</w:t>
            </w:r>
          </w:p>
        </w:tc>
        <w:tc>
          <w:tcPr>
            <w:tcW w:w="1134" w:type="dxa"/>
            <w:tcBorders>
              <w:top w:val="single" w:sz="4" w:space="0" w:color="auto"/>
              <w:left w:val="nil"/>
              <w:bottom w:val="single" w:sz="4" w:space="0" w:color="auto"/>
              <w:right w:val="single" w:sz="4" w:space="0" w:color="auto"/>
            </w:tcBorders>
            <w:shd w:val="clear" w:color="auto" w:fill="auto"/>
            <w:noWrap/>
            <w:hideMark/>
          </w:tcPr>
          <w:p w14:paraId="32ECC186"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81,06</w:t>
            </w:r>
          </w:p>
        </w:tc>
        <w:tc>
          <w:tcPr>
            <w:tcW w:w="992" w:type="dxa"/>
            <w:tcBorders>
              <w:top w:val="single" w:sz="4" w:space="0" w:color="auto"/>
              <w:left w:val="nil"/>
              <w:bottom w:val="single" w:sz="4" w:space="0" w:color="auto"/>
              <w:right w:val="single" w:sz="4" w:space="0" w:color="auto"/>
            </w:tcBorders>
            <w:shd w:val="clear" w:color="auto" w:fill="auto"/>
            <w:noWrap/>
            <w:hideMark/>
          </w:tcPr>
          <w:p w14:paraId="3FC8FEA2"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-18,94</w:t>
            </w:r>
          </w:p>
        </w:tc>
      </w:tr>
      <w:tr w:rsidR="00FA5792" w:rsidRPr="006E1680" w14:paraId="0B82F2C7" w14:textId="77777777" w:rsidTr="00BA3CA8">
        <w:trPr>
          <w:trHeight w:val="255"/>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721BA41A" w14:textId="77777777" w:rsidR="0066583A" w:rsidRPr="006E1680" w:rsidRDefault="0066583A" w:rsidP="004135FE">
            <w:pPr>
              <w:spacing w:after="0" w:line="240" w:lineRule="auto"/>
              <w:rPr>
                <w:rFonts w:ascii="Times New Roman" w:eastAsia="Times New Roman" w:hAnsi="Times New Roman" w:cs="Times New Roman"/>
                <w:sz w:val="24"/>
                <w:szCs w:val="24"/>
              </w:rPr>
            </w:pPr>
          </w:p>
        </w:tc>
        <w:tc>
          <w:tcPr>
            <w:tcW w:w="993" w:type="dxa"/>
            <w:tcBorders>
              <w:top w:val="single" w:sz="4" w:space="0" w:color="auto"/>
              <w:left w:val="nil"/>
              <w:bottom w:val="single" w:sz="4" w:space="0" w:color="auto"/>
              <w:right w:val="single" w:sz="4" w:space="0" w:color="auto"/>
            </w:tcBorders>
            <w:shd w:val="clear" w:color="auto" w:fill="auto"/>
            <w:noWrap/>
            <w:hideMark/>
          </w:tcPr>
          <w:p w14:paraId="29737A53"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2020</w:t>
            </w:r>
          </w:p>
        </w:tc>
        <w:tc>
          <w:tcPr>
            <w:tcW w:w="708" w:type="dxa"/>
            <w:tcBorders>
              <w:top w:val="single" w:sz="4" w:space="0" w:color="auto"/>
              <w:left w:val="nil"/>
              <w:bottom w:val="single" w:sz="4" w:space="0" w:color="auto"/>
              <w:right w:val="single" w:sz="4" w:space="0" w:color="auto"/>
            </w:tcBorders>
            <w:shd w:val="clear" w:color="auto" w:fill="auto"/>
            <w:hideMark/>
          </w:tcPr>
          <w:p w14:paraId="4E2885D0"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6954</w:t>
            </w:r>
          </w:p>
        </w:tc>
        <w:tc>
          <w:tcPr>
            <w:tcW w:w="993" w:type="dxa"/>
            <w:tcBorders>
              <w:top w:val="single" w:sz="4" w:space="0" w:color="auto"/>
              <w:left w:val="nil"/>
              <w:bottom w:val="single" w:sz="4" w:space="0" w:color="auto"/>
              <w:right w:val="single" w:sz="4" w:space="0" w:color="auto"/>
            </w:tcBorders>
            <w:shd w:val="clear" w:color="auto" w:fill="auto"/>
            <w:noWrap/>
            <w:hideMark/>
          </w:tcPr>
          <w:p w14:paraId="03A2573B"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469,00</w:t>
            </w:r>
          </w:p>
        </w:tc>
        <w:tc>
          <w:tcPr>
            <w:tcW w:w="992" w:type="dxa"/>
            <w:tcBorders>
              <w:top w:val="single" w:sz="4" w:space="0" w:color="auto"/>
              <w:left w:val="nil"/>
              <w:bottom w:val="single" w:sz="4" w:space="0" w:color="auto"/>
              <w:right w:val="single" w:sz="4" w:space="0" w:color="auto"/>
            </w:tcBorders>
            <w:shd w:val="clear" w:color="auto" w:fill="auto"/>
            <w:noWrap/>
            <w:hideMark/>
          </w:tcPr>
          <w:p w14:paraId="05F91DAC"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88,05</w:t>
            </w:r>
          </w:p>
        </w:tc>
        <w:tc>
          <w:tcPr>
            <w:tcW w:w="1276" w:type="dxa"/>
            <w:tcBorders>
              <w:top w:val="single" w:sz="4" w:space="0" w:color="auto"/>
              <w:left w:val="nil"/>
              <w:bottom w:val="single" w:sz="4" w:space="0" w:color="auto"/>
              <w:right w:val="single" w:sz="4" w:space="0" w:color="auto"/>
            </w:tcBorders>
            <w:shd w:val="clear" w:color="auto" w:fill="auto"/>
            <w:noWrap/>
            <w:hideMark/>
          </w:tcPr>
          <w:p w14:paraId="40F3FB8B"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-11,95</w:t>
            </w:r>
          </w:p>
        </w:tc>
        <w:tc>
          <w:tcPr>
            <w:tcW w:w="850" w:type="dxa"/>
            <w:tcBorders>
              <w:top w:val="single" w:sz="4" w:space="0" w:color="auto"/>
              <w:left w:val="nil"/>
              <w:bottom w:val="single" w:sz="4" w:space="0" w:color="auto"/>
              <w:right w:val="single" w:sz="4" w:space="0" w:color="auto"/>
            </w:tcBorders>
            <w:shd w:val="clear" w:color="auto" w:fill="auto"/>
            <w:hideMark/>
          </w:tcPr>
          <w:p w14:paraId="6B05D5D7"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2411</w:t>
            </w:r>
          </w:p>
        </w:tc>
        <w:tc>
          <w:tcPr>
            <w:tcW w:w="851" w:type="dxa"/>
            <w:tcBorders>
              <w:top w:val="single" w:sz="4" w:space="0" w:color="auto"/>
              <w:left w:val="nil"/>
              <w:bottom w:val="single" w:sz="4" w:space="0" w:color="auto"/>
              <w:right w:val="single" w:sz="4" w:space="0" w:color="auto"/>
            </w:tcBorders>
            <w:shd w:val="clear" w:color="auto" w:fill="auto"/>
            <w:noWrap/>
            <w:hideMark/>
          </w:tcPr>
          <w:p w14:paraId="59E98AD8"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212,00</w:t>
            </w:r>
          </w:p>
        </w:tc>
        <w:tc>
          <w:tcPr>
            <w:tcW w:w="1559" w:type="dxa"/>
            <w:tcBorders>
              <w:top w:val="single" w:sz="4" w:space="0" w:color="auto"/>
              <w:left w:val="nil"/>
              <w:bottom w:val="single" w:sz="4" w:space="0" w:color="auto"/>
              <w:right w:val="single" w:sz="4" w:space="0" w:color="auto"/>
            </w:tcBorders>
            <w:shd w:val="clear" w:color="auto" w:fill="auto"/>
            <w:noWrap/>
            <w:hideMark/>
          </w:tcPr>
          <w:p w14:paraId="6F80767A"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85,90</w:t>
            </w:r>
          </w:p>
        </w:tc>
        <w:tc>
          <w:tcPr>
            <w:tcW w:w="992" w:type="dxa"/>
            <w:tcBorders>
              <w:top w:val="single" w:sz="4" w:space="0" w:color="auto"/>
              <w:left w:val="nil"/>
              <w:bottom w:val="single" w:sz="4" w:space="0" w:color="auto"/>
              <w:right w:val="single" w:sz="4" w:space="0" w:color="auto"/>
            </w:tcBorders>
            <w:shd w:val="clear" w:color="auto" w:fill="auto"/>
            <w:noWrap/>
            <w:hideMark/>
          </w:tcPr>
          <w:p w14:paraId="2E4E29BF"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-14,10</w:t>
            </w:r>
          </w:p>
        </w:tc>
        <w:tc>
          <w:tcPr>
            <w:tcW w:w="709" w:type="dxa"/>
            <w:tcBorders>
              <w:top w:val="single" w:sz="4" w:space="0" w:color="auto"/>
              <w:left w:val="nil"/>
              <w:bottom w:val="single" w:sz="4" w:space="0" w:color="auto"/>
              <w:right w:val="single" w:sz="4" w:space="0" w:color="auto"/>
            </w:tcBorders>
            <w:shd w:val="clear" w:color="auto" w:fill="auto"/>
            <w:hideMark/>
          </w:tcPr>
          <w:p w14:paraId="07A44EF2"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4543</w:t>
            </w:r>
          </w:p>
        </w:tc>
        <w:tc>
          <w:tcPr>
            <w:tcW w:w="1134" w:type="dxa"/>
            <w:tcBorders>
              <w:top w:val="single" w:sz="4" w:space="0" w:color="auto"/>
              <w:left w:val="nil"/>
              <w:bottom w:val="single" w:sz="4" w:space="0" w:color="auto"/>
              <w:right w:val="single" w:sz="4" w:space="0" w:color="auto"/>
            </w:tcBorders>
            <w:shd w:val="clear" w:color="auto" w:fill="auto"/>
            <w:noWrap/>
            <w:hideMark/>
          </w:tcPr>
          <w:p w14:paraId="45754320"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257,00</w:t>
            </w:r>
          </w:p>
        </w:tc>
        <w:tc>
          <w:tcPr>
            <w:tcW w:w="1134" w:type="dxa"/>
            <w:tcBorders>
              <w:top w:val="single" w:sz="4" w:space="0" w:color="auto"/>
              <w:left w:val="nil"/>
              <w:bottom w:val="single" w:sz="4" w:space="0" w:color="auto"/>
              <w:right w:val="single" w:sz="4" w:space="0" w:color="auto"/>
            </w:tcBorders>
            <w:shd w:val="clear" w:color="auto" w:fill="auto"/>
            <w:noWrap/>
            <w:hideMark/>
          </w:tcPr>
          <w:p w14:paraId="3E9CF8B8"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89,20</w:t>
            </w:r>
          </w:p>
        </w:tc>
        <w:tc>
          <w:tcPr>
            <w:tcW w:w="992" w:type="dxa"/>
            <w:tcBorders>
              <w:top w:val="single" w:sz="4" w:space="0" w:color="auto"/>
              <w:left w:val="nil"/>
              <w:bottom w:val="single" w:sz="4" w:space="0" w:color="auto"/>
              <w:right w:val="single" w:sz="4" w:space="0" w:color="auto"/>
            </w:tcBorders>
            <w:shd w:val="clear" w:color="auto" w:fill="auto"/>
            <w:noWrap/>
            <w:hideMark/>
          </w:tcPr>
          <w:p w14:paraId="26FE795F"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-10,80</w:t>
            </w:r>
          </w:p>
        </w:tc>
      </w:tr>
      <w:tr w:rsidR="00FA5792" w:rsidRPr="006E1680" w14:paraId="296C15AA" w14:textId="77777777" w:rsidTr="00BA3CA8">
        <w:trPr>
          <w:trHeight w:val="255"/>
        </w:trPr>
        <w:tc>
          <w:tcPr>
            <w:tcW w:w="1134" w:type="dxa"/>
            <w:vMerge/>
            <w:tcBorders>
              <w:top w:val="single" w:sz="4" w:space="0" w:color="auto"/>
              <w:left w:val="single" w:sz="4" w:space="0" w:color="auto"/>
              <w:right w:val="single" w:sz="4" w:space="0" w:color="auto"/>
            </w:tcBorders>
            <w:vAlign w:val="center"/>
            <w:hideMark/>
          </w:tcPr>
          <w:p w14:paraId="39A877C9" w14:textId="77777777" w:rsidR="0066583A" w:rsidRPr="006E1680" w:rsidRDefault="0066583A" w:rsidP="004135FE">
            <w:pPr>
              <w:spacing w:after="0" w:line="240" w:lineRule="auto"/>
              <w:rPr>
                <w:rFonts w:ascii="Times New Roman" w:eastAsia="Times New Roman" w:hAnsi="Times New Roman" w:cs="Times New Roman"/>
                <w:sz w:val="24"/>
                <w:szCs w:val="24"/>
              </w:rPr>
            </w:pPr>
          </w:p>
        </w:tc>
        <w:tc>
          <w:tcPr>
            <w:tcW w:w="993" w:type="dxa"/>
            <w:tcBorders>
              <w:top w:val="single" w:sz="4" w:space="0" w:color="auto"/>
              <w:left w:val="nil"/>
              <w:right w:val="single" w:sz="4" w:space="0" w:color="auto"/>
            </w:tcBorders>
            <w:shd w:val="clear" w:color="auto" w:fill="auto"/>
            <w:noWrap/>
            <w:hideMark/>
          </w:tcPr>
          <w:p w14:paraId="0F083C67"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2021</w:t>
            </w:r>
          </w:p>
        </w:tc>
        <w:tc>
          <w:tcPr>
            <w:tcW w:w="708" w:type="dxa"/>
            <w:tcBorders>
              <w:top w:val="single" w:sz="4" w:space="0" w:color="auto"/>
              <w:left w:val="nil"/>
              <w:right w:val="single" w:sz="4" w:space="0" w:color="auto"/>
            </w:tcBorders>
            <w:shd w:val="clear" w:color="auto" w:fill="auto"/>
            <w:hideMark/>
          </w:tcPr>
          <w:p w14:paraId="4A0201DA"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7365</w:t>
            </w:r>
          </w:p>
        </w:tc>
        <w:tc>
          <w:tcPr>
            <w:tcW w:w="993" w:type="dxa"/>
            <w:tcBorders>
              <w:top w:val="single" w:sz="4" w:space="0" w:color="auto"/>
              <w:left w:val="nil"/>
              <w:right w:val="single" w:sz="4" w:space="0" w:color="auto"/>
            </w:tcBorders>
            <w:shd w:val="clear" w:color="auto" w:fill="auto"/>
            <w:noWrap/>
            <w:hideMark/>
          </w:tcPr>
          <w:p w14:paraId="4A0DD825"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411,00</w:t>
            </w:r>
          </w:p>
        </w:tc>
        <w:tc>
          <w:tcPr>
            <w:tcW w:w="992" w:type="dxa"/>
            <w:tcBorders>
              <w:top w:val="single" w:sz="4" w:space="0" w:color="auto"/>
              <w:left w:val="nil"/>
              <w:right w:val="single" w:sz="4" w:space="0" w:color="auto"/>
            </w:tcBorders>
            <w:shd w:val="clear" w:color="auto" w:fill="auto"/>
            <w:noWrap/>
            <w:hideMark/>
          </w:tcPr>
          <w:p w14:paraId="1029D604"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94,42</w:t>
            </w:r>
          </w:p>
        </w:tc>
        <w:tc>
          <w:tcPr>
            <w:tcW w:w="1276" w:type="dxa"/>
            <w:tcBorders>
              <w:top w:val="single" w:sz="4" w:space="0" w:color="auto"/>
              <w:left w:val="nil"/>
              <w:right w:val="single" w:sz="4" w:space="0" w:color="auto"/>
            </w:tcBorders>
            <w:shd w:val="clear" w:color="auto" w:fill="auto"/>
            <w:noWrap/>
            <w:hideMark/>
          </w:tcPr>
          <w:p w14:paraId="30041160"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-5,58</w:t>
            </w:r>
          </w:p>
        </w:tc>
        <w:tc>
          <w:tcPr>
            <w:tcW w:w="850" w:type="dxa"/>
            <w:tcBorders>
              <w:top w:val="single" w:sz="4" w:space="0" w:color="auto"/>
              <w:left w:val="nil"/>
              <w:right w:val="single" w:sz="4" w:space="0" w:color="auto"/>
            </w:tcBorders>
            <w:shd w:val="clear" w:color="auto" w:fill="auto"/>
            <w:hideMark/>
          </w:tcPr>
          <w:p w14:paraId="271B5303"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2560</w:t>
            </w:r>
          </w:p>
        </w:tc>
        <w:tc>
          <w:tcPr>
            <w:tcW w:w="851" w:type="dxa"/>
            <w:tcBorders>
              <w:top w:val="single" w:sz="4" w:space="0" w:color="auto"/>
              <w:left w:val="nil"/>
              <w:right w:val="single" w:sz="4" w:space="0" w:color="auto"/>
            </w:tcBorders>
            <w:shd w:val="clear" w:color="auto" w:fill="auto"/>
            <w:noWrap/>
            <w:hideMark/>
          </w:tcPr>
          <w:p w14:paraId="5E4C6A56"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149,00</w:t>
            </w:r>
          </w:p>
        </w:tc>
        <w:tc>
          <w:tcPr>
            <w:tcW w:w="1559" w:type="dxa"/>
            <w:tcBorders>
              <w:top w:val="single" w:sz="4" w:space="0" w:color="auto"/>
              <w:left w:val="nil"/>
              <w:right w:val="single" w:sz="4" w:space="0" w:color="auto"/>
            </w:tcBorders>
            <w:shd w:val="clear" w:color="auto" w:fill="auto"/>
            <w:noWrap/>
            <w:hideMark/>
          </w:tcPr>
          <w:p w14:paraId="349853B0"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94,18</w:t>
            </w:r>
          </w:p>
        </w:tc>
        <w:tc>
          <w:tcPr>
            <w:tcW w:w="992" w:type="dxa"/>
            <w:tcBorders>
              <w:top w:val="single" w:sz="4" w:space="0" w:color="auto"/>
              <w:left w:val="nil"/>
              <w:right w:val="single" w:sz="4" w:space="0" w:color="auto"/>
            </w:tcBorders>
            <w:shd w:val="clear" w:color="auto" w:fill="auto"/>
            <w:noWrap/>
            <w:hideMark/>
          </w:tcPr>
          <w:p w14:paraId="52CF56BC"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-5,82</w:t>
            </w:r>
          </w:p>
        </w:tc>
        <w:tc>
          <w:tcPr>
            <w:tcW w:w="709" w:type="dxa"/>
            <w:tcBorders>
              <w:top w:val="single" w:sz="4" w:space="0" w:color="auto"/>
              <w:left w:val="nil"/>
              <w:right w:val="single" w:sz="4" w:space="0" w:color="auto"/>
            </w:tcBorders>
            <w:shd w:val="clear" w:color="auto" w:fill="auto"/>
            <w:hideMark/>
          </w:tcPr>
          <w:p w14:paraId="773F554B"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4805</w:t>
            </w:r>
          </w:p>
        </w:tc>
        <w:tc>
          <w:tcPr>
            <w:tcW w:w="1134" w:type="dxa"/>
            <w:tcBorders>
              <w:top w:val="single" w:sz="4" w:space="0" w:color="auto"/>
              <w:left w:val="nil"/>
              <w:right w:val="single" w:sz="4" w:space="0" w:color="auto"/>
            </w:tcBorders>
            <w:shd w:val="clear" w:color="auto" w:fill="auto"/>
            <w:noWrap/>
            <w:hideMark/>
          </w:tcPr>
          <w:p w14:paraId="53B806C5"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262,00</w:t>
            </w:r>
          </w:p>
        </w:tc>
        <w:tc>
          <w:tcPr>
            <w:tcW w:w="1134" w:type="dxa"/>
            <w:tcBorders>
              <w:top w:val="single" w:sz="4" w:space="0" w:color="auto"/>
              <w:left w:val="nil"/>
              <w:right w:val="single" w:sz="4" w:space="0" w:color="auto"/>
            </w:tcBorders>
            <w:shd w:val="clear" w:color="auto" w:fill="auto"/>
            <w:noWrap/>
            <w:hideMark/>
          </w:tcPr>
          <w:p w14:paraId="55E89C64"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94,55</w:t>
            </w:r>
          </w:p>
        </w:tc>
        <w:tc>
          <w:tcPr>
            <w:tcW w:w="992" w:type="dxa"/>
            <w:tcBorders>
              <w:top w:val="single" w:sz="4" w:space="0" w:color="auto"/>
              <w:left w:val="nil"/>
              <w:right w:val="single" w:sz="4" w:space="0" w:color="auto"/>
            </w:tcBorders>
            <w:shd w:val="clear" w:color="auto" w:fill="auto"/>
            <w:noWrap/>
            <w:hideMark/>
          </w:tcPr>
          <w:p w14:paraId="57C48696" w14:textId="77777777" w:rsidR="0066583A" w:rsidRPr="006E1680" w:rsidRDefault="0066583A"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-5,45</w:t>
            </w:r>
          </w:p>
        </w:tc>
      </w:tr>
    </w:tbl>
    <w:p w14:paraId="1D923D84" w14:textId="4A99044A" w:rsidR="00FA5792" w:rsidRPr="00FA5792" w:rsidRDefault="00FA5792">
      <w:pPr>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lastRenderedPageBreak/>
        <w:t>Продолжение таблицы 11</w:t>
      </w:r>
    </w:p>
    <w:tbl>
      <w:tblPr>
        <w:tblW w:w="14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993"/>
        <w:gridCol w:w="708"/>
        <w:gridCol w:w="993"/>
        <w:gridCol w:w="992"/>
        <w:gridCol w:w="1276"/>
        <w:gridCol w:w="850"/>
        <w:gridCol w:w="851"/>
        <w:gridCol w:w="1559"/>
        <w:gridCol w:w="992"/>
        <w:gridCol w:w="709"/>
        <w:gridCol w:w="1134"/>
        <w:gridCol w:w="1134"/>
        <w:gridCol w:w="992"/>
      </w:tblGrid>
      <w:tr w:rsidR="00FA5792" w:rsidRPr="006E1680" w14:paraId="65D1AB74" w14:textId="77777777" w:rsidTr="00077E0F">
        <w:trPr>
          <w:trHeight w:val="255"/>
          <w:jc w:val="center"/>
        </w:trPr>
        <w:tc>
          <w:tcPr>
            <w:tcW w:w="1134" w:type="dxa"/>
          </w:tcPr>
          <w:p w14:paraId="7E3158E5" w14:textId="45EDF168"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93" w:type="dxa"/>
            <w:shd w:val="clear" w:color="auto" w:fill="auto"/>
            <w:noWrap/>
          </w:tcPr>
          <w:p w14:paraId="462C4D37" w14:textId="5452EB29"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08" w:type="dxa"/>
            <w:shd w:val="clear" w:color="auto" w:fill="auto"/>
            <w:noWrap/>
          </w:tcPr>
          <w:p w14:paraId="2C9B12EB" w14:textId="0C146F92"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3</w:t>
            </w:r>
          </w:p>
        </w:tc>
        <w:tc>
          <w:tcPr>
            <w:tcW w:w="993" w:type="dxa"/>
            <w:shd w:val="clear" w:color="auto" w:fill="auto"/>
            <w:noWrap/>
          </w:tcPr>
          <w:p w14:paraId="54319657" w14:textId="0708E831"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4</w:t>
            </w:r>
          </w:p>
        </w:tc>
        <w:tc>
          <w:tcPr>
            <w:tcW w:w="992" w:type="dxa"/>
            <w:shd w:val="clear" w:color="auto" w:fill="auto"/>
            <w:noWrap/>
          </w:tcPr>
          <w:p w14:paraId="0D6160B3" w14:textId="7BC06375"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5</w:t>
            </w:r>
          </w:p>
        </w:tc>
        <w:tc>
          <w:tcPr>
            <w:tcW w:w="1276" w:type="dxa"/>
            <w:shd w:val="clear" w:color="auto" w:fill="auto"/>
            <w:noWrap/>
          </w:tcPr>
          <w:p w14:paraId="6BC76560" w14:textId="1EB48088"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6</w:t>
            </w:r>
          </w:p>
        </w:tc>
        <w:tc>
          <w:tcPr>
            <w:tcW w:w="850" w:type="dxa"/>
            <w:shd w:val="clear" w:color="auto" w:fill="auto"/>
            <w:noWrap/>
          </w:tcPr>
          <w:p w14:paraId="5B891679" w14:textId="0DB3B328"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7</w:t>
            </w:r>
          </w:p>
        </w:tc>
        <w:tc>
          <w:tcPr>
            <w:tcW w:w="851" w:type="dxa"/>
            <w:shd w:val="clear" w:color="auto" w:fill="auto"/>
            <w:noWrap/>
          </w:tcPr>
          <w:p w14:paraId="353010E0" w14:textId="41ECBF87"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8</w:t>
            </w:r>
          </w:p>
        </w:tc>
        <w:tc>
          <w:tcPr>
            <w:tcW w:w="1559" w:type="dxa"/>
            <w:shd w:val="clear" w:color="auto" w:fill="auto"/>
            <w:noWrap/>
          </w:tcPr>
          <w:p w14:paraId="100430F4" w14:textId="327C6826"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9</w:t>
            </w:r>
          </w:p>
        </w:tc>
        <w:tc>
          <w:tcPr>
            <w:tcW w:w="992" w:type="dxa"/>
            <w:shd w:val="clear" w:color="auto" w:fill="auto"/>
            <w:noWrap/>
          </w:tcPr>
          <w:p w14:paraId="0BD6B060" w14:textId="69B445EE"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10</w:t>
            </w:r>
          </w:p>
        </w:tc>
        <w:tc>
          <w:tcPr>
            <w:tcW w:w="709" w:type="dxa"/>
            <w:shd w:val="clear" w:color="auto" w:fill="auto"/>
            <w:noWrap/>
          </w:tcPr>
          <w:p w14:paraId="4638FB09" w14:textId="43EBAA48"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11</w:t>
            </w:r>
          </w:p>
        </w:tc>
        <w:tc>
          <w:tcPr>
            <w:tcW w:w="1134" w:type="dxa"/>
            <w:shd w:val="clear" w:color="auto" w:fill="auto"/>
            <w:noWrap/>
          </w:tcPr>
          <w:p w14:paraId="13036FE6" w14:textId="42F0586F"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12</w:t>
            </w:r>
          </w:p>
        </w:tc>
        <w:tc>
          <w:tcPr>
            <w:tcW w:w="1134" w:type="dxa"/>
            <w:shd w:val="clear" w:color="auto" w:fill="auto"/>
            <w:noWrap/>
          </w:tcPr>
          <w:p w14:paraId="05E8860D" w14:textId="197D70B8"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13</w:t>
            </w:r>
          </w:p>
        </w:tc>
        <w:tc>
          <w:tcPr>
            <w:tcW w:w="992" w:type="dxa"/>
            <w:shd w:val="clear" w:color="auto" w:fill="auto"/>
            <w:noWrap/>
          </w:tcPr>
          <w:p w14:paraId="446B5CBE" w14:textId="7C5A06E0"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Cs/>
                <w:sz w:val="24"/>
                <w:szCs w:val="24"/>
              </w:rPr>
              <w:t>14</w:t>
            </w:r>
          </w:p>
        </w:tc>
      </w:tr>
      <w:tr w:rsidR="00FA5792" w:rsidRPr="006E1680" w14:paraId="7560A932" w14:textId="77777777" w:rsidTr="00077E0F">
        <w:trPr>
          <w:trHeight w:val="255"/>
          <w:jc w:val="center"/>
        </w:trPr>
        <w:tc>
          <w:tcPr>
            <w:tcW w:w="1134" w:type="dxa"/>
            <w:vAlign w:val="center"/>
            <w:hideMark/>
          </w:tcPr>
          <w:p w14:paraId="3287E730"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22BCDA6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 xml:space="preserve">среднее </w:t>
            </w:r>
          </w:p>
        </w:tc>
        <w:tc>
          <w:tcPr>
            <w:tcW w:w="708" w:type="dxa"/>
            <w:shd w:val="clear" w:color="auto" w:fill="auto"/>
            <w:noWrap/>
            <w:hideMark/>
          </w:tcPr>
          <w:p w14:paraId="4213839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5358,30</w:t>
            </w:r>
          </w:p>
        </w:tc>
        <w:tc>
          <w:tcPr>
            <w:tcW w:w="993" w:type="dxa"/>
            <w:shd w:val="clear" w:color="auto" w:fill="auto"/>
            <w:noWrap/>
            <w:hideMark/>
          </w:tcPr>
          <w:p w14:paraId="01AB764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331,78</w:t>
            </w:r>
          </w:p>
        </w:tc>
        <w:tc>
          <w:tcPr>
            <w:tcW w:w="992" w:type="dxa"/>
            <w:shd w:val="clear" w:color="auto" w:fill="auto"/>
            <w:noWrap/>
            <w:hideMark/>
          </w:tcPr>
          <w:p w14:paraId="29E5F78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105,95</w:t>
            </w:r>
          </w:p>
        </w:tc>
        <w:tc>
          <w:tcPr>
            <w:tcW w:w="1276" w:type="dxa"/>
            <w:shd w:val="clear" w:color="auto" w:fill="auto"/>
            <w:noWrap/>
            <w:hideMark/>
          </w:tcPr>
          <w:p w14:paraId="7656FA6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5,95</w:t>
            </w:r>
          </w:p>
        </w:tc>
        <w:tc>
          <w:tcPr>
            <w:tcW w:w="850" w:type="dxa"/>
            <w:shd w:val="clear" w:color="auto" w:fill="auto"/>
            <w:noWrap/>
            <w:hideMark/>
          </w:tcPr>
          <w:p w14:paraId="01D0F68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1782,10</w:t>
            </w:r>
          </w:p>
        </w:tc>
        <w:tc>
          <w:tcPr>
            <w:tcW w:w="851" w:type="dxa"/>
            <w:shd w:val="clear" w:color="auto" w:fill="auto"/>
            <w:noWrap/>
            <w:hideMark/>
          </w:tcPr>
          <w:p w14:paraId="488F041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129,11</w:t>
            </w:r>
          </w:p>
        </w:tc>
        <w:tc>
          <w:tcPr>
            <w:tcW w:w="1559" w:type="dxa"/>
            <w:shd w:val="clear" w:color="auto" w:fill="auto"/>
            <w:noWrap/>
            <w:hideMark/>
          </w:tcPr>
          <w:p w14:paraId="319CDF25"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106,95</w:t>
            </w:r>
          </w:p>
        </w:tc>
        <w:tc>
          <w:tcPr>
            <w:tcW w:w="992" w:type="dxa"/>
            <w:shd w:val="clear" w:color="auto" w:fill="auto"/>
            <w:noWrap/>
            <w:hideMark/>
          </w:tcPr>
          <w:p w14:paraId="6A29516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6,95</w:t>
            </w:r>
          </w:p>
        </w:tc>
        <w:tc>
          <w:tcPr>
            <w:tcW w:w="709" w:type="dxa"/>
            <w:shd w:val="clear" w:color="auto" w:fill="auto"/>
            <w:noWrap/>
            <w:hideMark/>
          </w:tcPr>
          <w:p w14:paraId="4E25AB4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3576,20</w:t>
            </w:r>
          </w:p>
        </w:tc>
        <w:tc>
          <w:tcPr>
            <w:tcW w:w="1134" w:type="dxa"/>
            <w:shd w:val="clear" w:color="auto" w:fill="auto"/>
            <w:noWrap/>
            <w:hideMark/>
          </w:tcPr>
          <w:p w14:paraId="16286CC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202,67</w:t>
            </w:r>
          </w:p>
        </w:tc>
        <w:tc>
          <w:tcPr>
            <w:tcW w:w="1134" w:type="dxa"/>
            <w:shd w:val="clear" w:color="auto" w:fill="auto"/>
            <w:noWrap/>
            <w:hideMark/>
          </w:tcPr>
          <w:p w14:paraId="27E0F72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105,45</w:t>
            </w:r>
          </w:p>
        </w:tc>
        <w:tc>
          <w:tcPr>
            <w:tcW w:w="992" w:type="dxa"/>
            <w:shd w:val="clear" w:color="auto" w:fill="auto"/>
            <w:noWrap/>
            <w:hideMark/>
          </w:tcPr>
          <w:p w14:paraId="7C76D1E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5,45</w:t>
            </w:r>
          </w:p>
        </w:tc>
      </w:tr>
      <w:tr w:rsidR="00077E0F" w:rsidRPr="006E1680" w14:paraId="1093C5A2" w14:textId="77777777" w:rsidTr="00077E0F">
        <w:trPr>
          <w:trHeight w:val="255"/>
          <w:jc w:val="center"/>
        </w:trPr>
        <w:tc>
          <w:tcPr>
            <w:tcW w:w="1134" w:type="dxa"/>
            <w:vMerge w:val="restart"/>
            <w:shd w:val="clear" w:color="auto" w:fill="auto"/>
            <w:noWrap/>
            <w:hideMark/>
          </w:tcPr>
          <w:p w14:paraId="1847C83F"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Алатауский</w:t>
            </w:r>
          </w:p>
        </w:tc>
        <w:tc>
          <w:tcPr>
            <w:tcW w:w="993" w:type="dxa"/>
            <w:shd w:val="clear" w:color="auto" w:fill="auto"/>
            <w:noWrap/>
            <w:hideMark/>
          </w:tcPr>
          <w:p w14:paraId="14D9CDB7"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2012</w:t>
            </w:r>
          </w:p>
        </w:tc>
        <w:tc>
          <w:tcPr>
            <w:tcW w:w="708" w:type="dxa"/>
            <w:shd w:val="clear" w:color="auto" w:fill="auto"/>
            <w:hideMark/>
          </w:tcPr>
          <w:p w14:paraId="02B59B22"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1295</w:t>
            </w:r>
          </w:p>
        </w:tc>
        <w:tc>
          <w:tcPr>
            <w:tcW w:w="993" w:type="dxa"/>
            <w:shd w:val="clear" w:color="auto" w:fill="auto"/>
            <w:noWrap/>
            <w:hideMark/>
          </w:tcPr>
          <w:p w14:paraId="0C0D1CEE" w14:textId="52A5885C" w:rsidR="00077E0F" w:rsidRPr="006E1680" w:rsidRDefault="00077E0F" w:rsidP="00077E0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2" w:type="dxa"/>
            <w:shd w:val="clear" w:color="auto" w:fill="auto"/>
            <w:noWrap/>
            <w:hideMark/>
          </w:tcPr>
          <w:p w14:paraId="6E1B8511" w14:textId="336D0B0A" w:rsidR="00077E0F" w:rsidRPr="006E1680" w:rsidRDefault="00077E0F" w:rsidP="00077E0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276" w:type="dxa"/>
            <w:shd w:val="clear" w:color="auto" w:fill="auto"/>
            <w:noWrap/>
            <w:hideMark/>
          </w:tcPr>
          <w:p w14:paraId="30CCCD43" w14:textId="794D3B66" w:rsidR="00077E0F" w:rsidRPr="006E1680" w:rsidRDefault="00077E0F" w:rsidP="00077E0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shd w:val="clear" w:color="auto" w:fill="auto"/>
            <w:hideMark/>
          </w:tcPr>
          <w:p w14:paraId="3BEB43DB"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463</w:t>
            </w:r>
          </w:p>
        </w:tc>
        <w:tc>
          <w:tcPr>
            <w:tcW w:w="851" w:type="dxa"/>
            <w:shd w:val="clear" w:color="auto" w:fill="auto"/>
            <w:noWrap/>
            <w:hideMark/>
          </w:tcPr>
          <w:p w14:paraId="4B96EB18" w14:textId="5EA108A9" w:rsidR="00077E0F" w:rsidRPr="006E1680" w:rsidRDefault="00077E0F" w:rsidP="00077E0F">
            <w:pPr>
              <w:spacing w:after="0" w:line="240" w:lineRule="auto"/>
              <w:jc w:val="center"/>
              <w:rPr>
                <w:rFonts w:ascii="Times New Roman" w:eastAsia="Times New Roman" w:hAnsi="Times New Roman" w:cs="Times New Roman"/>
                <w:sz w:val="24"/>
                <w:szCs w:val="24"/>
              </w:rPr>
            </w:pPr>
            <w:r w:rsidRPr="00781DC8">
              <w:rPr>
                <w:rFonts w:ascii="Times New Roman" w:eastAsia="Times New Roman" w:hAnsi="Times New Roman" w:cs="Times New Roman"/>
                <w:sz w:val="24"/>
                <w:szCs w:val="24"/>
              </w:rPr>
              <w:t>-</w:t>
            </w:r>
          </w:p>
        </w:tc>
        <w:tc>
          <w:tcPr>
            <w:tcW w:w="1559" w:type="dxa"/>
            <w:shd w:val="clear" w:color="auto" w:fill="auto"/>
            <w:noWrap/>
            <w:hideMark/>
          </w:tcPr>
          <w:p w14:paraId="77C5DCF2" w14:textId="4A722B09" w:rsidR="00077E0F" w:rsidRPr="006E1680" w:rsidRDefault="00077E0F" w:rsidP="00077E0F">
            <w:pPr>
              <w:spacing w:after="0" w:line="240" w:lineRule="auto"/>
              <w:jc w:val="center"/>
              <w:rPr>
                <w:rFonts w:ascii="Times New Roman" w:eastAsia="Times New Roman" w:hAnsi="Times New Roman" w:cs="Times New Roman"/>
                <w:sz w:val="24"/>
                <w:szCs w:val="24"/>
              </w:rPr>
            </w:pPr>
            <w:r w:rsidRPr="00781DC8">
              <w:rPr>
                <w:rFonts w:ascii="Times New Roman" w:eastAsia="Times New Roman" w:hAnsi="Times New Roman" w:cs="Times New Roman"/>
                <w:sz w:val="24"/>
                <w:szCs w:val="24"/>
              </w:rPr>
              <w:t>-</w:t>
            </w:r>
          </w:p>
        </w:tc>
        <w:tc>
          <w:tcPr>
            <w:tcW w:w="992" w:type="dxa"/>
            <w:shd w:val="clear" w:color="auto" w:fill="auto"/>
            <w:noWrap/>
            <w:hideMark/>
          </w:tcPr>
          <w:p w14:paraId="7CBA18F6" w14:textId="5FEBAE49" w:rsidR="00077E0F" w:rsidRPr="006E1680" w:rsidRDefault="00077E0F" w:rsidP="00077E0F">
            <w:pPr>
              <w:spacing w:after="0" w:line="240" w:lineRule="auto"/>
              <w:jc w:val="center"/>
              <w:rPr>
                <w:rFonts w:ascii="Times New Roman" w:eastAsia="Times New Roman" w:hAnsi="Times New Roman" w:cs="Times New Roman"/>
                <w:sz w:val="24"/>
                <w:szCs w:val="24"/>
              </w:rPr>
            </w:pPr>
            <w:r w:rsidRPr="00781DC8">
              <w:rPr>
                <w:rFonts w:ascii="Times New Roman" w:eastAsia="Times New Roman" w:hAnsi="Times New Roman" w:cs="Times New Roman"/>
                <w:sz w:val="24"/>
                <w:szCs w:val="24"/>
              </w:rPr>
              <w:t>-</w:t>
            </w:r>
          </w:p>
        </w:tc>
        <w:tc>
          <w:tcPr>
            <w:tcW w:w="709" w:type="dxa"/>
            <w:shd w:val="clear" w:color="auto" w:fill="auto"/>
            <w:hideMark/>
          </w:tcPr>
          <w:p w14:paraId="0A5C88AF"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832</w:t>
            </w:r>
          </w:p>
        </w:tc>
        <w:tc>
          <w:tcPr>
            <w:tcW w:w="1134" w:type="dxa"/>
            <w:shd w:val="clear" w:color="auto" w:fill="auto"/>
            <w:noWrap/>
            <w:hideMark/>
          </w:tcPr>
          <w:p w14:paraId="1AF46A08" w14:textId="1D6C4DE9" w:rsidR="00077E0F" w:rsidRPr="006E1680" w:rsidRDefault="00077E0F" w:rsidP="00077E0F">
            <w:pPr>
              <w:spacing w:after="0" w:line="240" w:lineRule="auto"/>
              <w:jc w:val="center"/>
              <w:rPr>
                <w:rFonts w:ascii="Times New Roman" w:eastAsia="Times New Roman" w:hAnsi="Times New Roman" w:cs="Times New Roman"/>
                <w:sz w:val="24"/>
                <w:szCs w:val="24"/>
              </w:rPr>
            </w:pPr>
            <w:r w:rsidRPr="008E109F">
              <w:rPr>
                <w:rFonts w:ascii="Times New Roman" w:eastAsia="Times New Roman" w:hAnsi="Times New Roman" w:cs="Times New Roman"/>
                <w:sz w:val="24"/>
                <w:szCs w:val="24"/>
              </w:rPr>
              <w:t>-</w:t>
            </w:r>
          </w:p>
        </w:tc>
        <w:tc>
          <w:tcPr>
            <w:tcW w:w="1134" w:type="dxa"/>
            <w:shd w:val="clear" w:color="auto" w:fill="auto"/>
            <w:noWrap/>
            <w:hideMark/>
          </w:tcPr>
          <w:p w14:paraId="2D94812F" w14:textId="0F90A7FB" w:rsidR="00077E0F" w:rsidRPr="006E1680" w:rsidRDefault="00077E0F" w:rsidP="00077E0F">
            <w:pPr>
              <w:spacing w:after="0" w:line="240" w:lineRule="auto"/>
              <w:jc w:val="center"/>
              <w:rPr>
                <w:rFonts w:ascii="Times New Roman" w:eastAsia="Times New Roman" w:hAnsi="Times New Roman" w:cs="Times New Roman"/>
                <w:sz w:val="24"/>
                <w:szCs w:val="24"/>
              </w:rPr>
            </w:pPr>
            <w:r w:rsidRPr="008E109F">
              <w:rPr>
                <w:rFonts w:ascii="Times New Roman" w:eastAsia="Times New Roman" w:hAnsi="Times New Roman" w:cs="Times New Roman"/>
                <w:sz w:val="24"/>
                <w:szCs w:val="24"/>
              </w:rPr>
              <w:t>-</w:t>
            </w:r>
          </w:p>
        </w:tc>
        <w:tc>
          <w:tcPr>
            <w:tcW w:w="992" w:type="dxa"/>
            <w:shd w:val="clear" w:color="auto" w:fill="auto"/>
            <w:noWrap/>
            <w:hideMark/>
          </w:tcPr>
          <w:p w14:paraId="352CBE78" w14:textId="0F8A86D2" w:rsidR="00077E0F" w:rsidRPr="006E1680" w:rsidRDefault="00077E0F" w:rsidP="00077E0F">
            <w:pPr>
              <w:spacing w:after="0" w:line="240" w:lineRule="auto"/>
              <w:jc w:val="center"/>
              <w:rPr>
                <w:rFonts w:ascii="Times New Roman" w:eastAsia="Times New Roman" w:hAnsi="Times New Roman" w:cs="Times New Roman"/>
                <w:sz w:val="24"/>
                <w:szCs w:val="24"/>
              </w:rPr>
            </w:pPr>
            <w:r w:rsidRPr="008E109F">
              <w:rPr>
                <w:rFonts w:ascii="Times New Roman" w:eastAsia="Times New Roman" w:hAnsi="Times New Roman" w:cs="Times New Roman"/>
                <w:sz w:val="24"/>
                <w:szCs w:val="24"/>
              </w:rPr>
              <w:t>-</w:t>
            </w:r>
          </w:p>
        </w:tc>
      </w:tr>
      <w:tr w:rsidR="00FA5792" w:rsidRPr="006E1680" w14:paraId="3D5D7402" w14:textId="77777777" w:rsidTr="00077E0F">
        <w:trPr>
          <w:trHeight w:val="255"/>
          <w:jc w:val="center"/>
        </w:trPr>
        <w:tc>
          <w:tcPr>
            <w:tcW w:w="1134" w:type="dxa"/>
            <w:vMerge/>
            <w:vAlign w:val="center"/>
            <w:hideMark/>
          </w:tcPr>
          <w:p w14:paraId="101188A2"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0BB36BD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2013</w:t>
            </w:r>
          </w:p>
        </w:tc>
        <w:tc>
          <w:tcPr>
            <w:tcW w:w="708" w:type="dxa"/>
            <w:shd w:val="clear" w:color="auto" w:fill="auto"/>
            <w:hideMark/>
          </w:tcPr>
          <w:p w14:paraId="7D3D11C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1218</w:t>
            </w:r>
          </w:p>
        </w:tc>
        <w:tc>
          <w:tcPr>
            <w:tcW w:w="993" w:type="dxa"/>
            <w:shd w:val="clear" w:color="auto" w:fill="auto"/>
            <w:noWrap/>
            <w:hideMark/>
          </w:tcPr>
          <w:p w14:paraId="2ADF4CF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-77,00</w:t>
            </w:r>
          </w:p>
        </w:tc>
        <w:tc>
          <w:tcPr>
            <w:tcW w:w="992" w:type="dxa"/>
            <w:shd w:val="clear" w:color="auto" w:fill="auto"/>
            <w:noWrap/>
            <w:hideMark/>
          </w:tcPr>
          <w:p w14:paraId="539790F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31,96</w:t>
            </w:r>
          </w:p>
        </w:tc>
        <w:tc>
          <w:tcPr>
            <w:tcW w:w="1276" w:type="dxa"/>
            <w:shd w:val="clear" w:color="auto" w:fill="auto"/>
            <w:noWrap/>
            <w:hideMark/>
          </w:tcPr>
          <w:p w14:paraId="78A2392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-68,04</w:t>
            </w:r>
          </w:p>
        </w:tc>
        <w:tc>
          <w:tcPr>
            <w:tcW w:w="850" w:type="dxa"/>
            <w:shd w:val="clear" w:color="auto" w:fill="auto"/>
            <w:hideMark/>
          </w:tcPr>
          <w:p w14:paraId="0276DDE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444</w:t>
            </w:r>
          </w:p>
        </w:tc>
        <w:tc>
          <w:tcPr>
            <w:tcW w:w="851" w:type="dxa"/>
            <w:shd w:val="clear" w:color="auto" w:fill="auto"/>
            <w:noWrap/>
            <w:hideMark/>
          </w:tcPr>
          <w:p w14:paraId="252B362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-19,00</w:t>
            </w:r>
          </w:p>
        </w:tc>
        <w:tc>
          <w:tcPr>
            <w:tcW w:w="1559" w:type="dxa"/>
            <w:shd w:val="clear" w:color="auto" w:fill="auto"/>
            <w:noWrap/>
            <w:hideMark/>
          </w:tcPr>
          <w:p w14:paraId="05C8D368"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29,19</w:t>
            </w:r>
          </w:p>
        </w:tc>
        <w:tc>
          <w:tcPr>
            <w:tcW w:w="992" w:type="dxa"/>
            <w:shd w:val="clear" w:color="auto" w:fill="auto"/>
            <w:noWrap/>
            <w:hideMark/>
          </w:tcPr>
          <w:p w14:paraId="0462FC7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-70,81</w:t>
            </w:r>
          </w:p>
        </w:tc>
        <w:tc>
          <w:tcPr>
            <w:tcW w:w="709" w:type="dxa"/>
            <w:shd w:val="clear" w:color="auto" w:fill="auto"/>
            <w:hideMark/>
          </w:tcPr>
          <w:p w14:paraId="647C709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774</w:t>
            </w:r>
          </w:p>
        </w:tc>
        <w:tc>
          <w:tcPr>
            <w:tcW w:w="1134" w:type="dxa"/>
            <w:shd w:val="clear" w:color="auto" w:fill="auto"/>
            <w:noWrap/>
            <w:hideMark/>
          </w:tcPr>
          <w:p w14:paraId="14F756E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-58,00</w:t>
            </w:r>
          </w:p>
        </w:tc>
        <w:tc>
          <w:tcPr>
            <w:tcW w:w="1134" w:type="dxa"/>
            <w:shd w:val="clear" w:color="auto" w:fill="auto"/>
            <w:noWrap/>
            <w:hideMark/>
          </w:tcPr>
          <w:p w14:paraId="6FCC8DF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33,74</w:t>
            </w:r>
          </w:p>
        </w:tc>
        <w:tc>
          <w:tcPr>
            <w:tcW w:w="992" w:type="dxa"/>
            <w:shd w:val="clear" w:color="auto" w:fill="auto"/>
            <w:noWrap/>
            <w:hideMark/>
          </w:tcPr>
          <w:p w14:paraId="156E23B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-66,26</w:t>
            </w:r>
          </w:p>
        </w:tc>
      </w:tr>
      <w:tr w:rsidR="00FA5792" w:rsidRPr="006E1680" w14:paraId="7BE8D16E" w14:textId="77777777" w:rsidTr="00077E0F">
        <w:trPr>
          <w:trHeight w:val="255"/>
          <w:jc w:val="center"/>
        </w:trPr>
        <w:tc>
          <w:tcPr>
            <w:tcW w:w="1134" w:type="dxa"/>
            <w:vMerge/>
            <w:vAlign w:val="center"/>
            <w:hideMark/>
          </w:tcPr>
          <w:p w14:paraId="4538379C"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18BA2F1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2014</w:t>
            </w:r>
          </w:p>
        </w:tc>
        <w:tc>
          <w:tcPr>
            <w:tcW w:w="708" w:type="dxa"/>
            <w:shd w:val="clear" w:color="auto" w:fill="auto"/>
            <w:hideMark/>
          </w:tcPr>
          <w:p w14:paraId="39AC7F6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1474</w:t>
            </w:r>
          </w:p>
        </w:tc>
        <w:tc>
          <w:tcPr>
            <w:tcW w:w="993" w:type="dxa"/>
            <w:shd w:val="clear" w:color="auto" w:fill="auto"/>
            <w:noWrap/>
            <w:hideMark/>
          </w:tcPr>
          <w:p w14:paraId="299FB52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256,00</w:t>
            </w:r>
          </w:p>
        </w:tc>
        <w:tc>
          <w:tcPr>
            <w:tcW w:w="992" w:type="dxa"/>
            <w:shd w:val="clear" w:color="auto" w:fill="auto"/>
            <w:noWrap/>
            <w:hideMark/>
          </w:tcPr>
          <w:p w14:paraId="6EF4ADB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30,06</w:t>
            </w:r>
          </w:p>
        </w:tc>
        <w:tc>
          <w:tcPr>
            <w:tcW w:w="1276" w:type="dxa"/>
            <w:shd w:val="clear" w:color="auto" w:fill="auto"/>
            <w:noWrap/>
            <w:hideMark/>
          </w:tcPr>
          <w:p w14:paraId="3BB959E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-69,94</w:t>
            </w:r>
          </w:p>
        </w:tc>
        <w:tc>
          <w:tcPr>
            <w:tcW w:w="850" w:type="dxa"/>
            <w:shd w:val="clear" w:color="auto" w:fill="auto"/>
            <w:hideMark/>
          </w:tcPr>
          <w:p w14:paraId="50BB396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546</w:t>
            </w:r>
          </w:p>
        </w:tc>
        <w:tc>
          <w:tcPr>
            <w:tcW w:w="851" w:type="dxa"/>
            <w:shd w:val="clear" w:color="auto" w:fill="auto"/>
            <w:noWrap/>
            <w:hideMark/>
          </w:tcPr>
          <w:p w14:paraId="399604A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102,00</w:t>
            </w:r>
          </w:p>
        </w:tc>
        <w:tc>
          <w:tcPr>
            <w:tcW w:w="1559" w:type="dxa"/>
            <w:shd w:val="clear" w:color="auto" w:fill="auto"/>
            <w:noWrap/>
            <w:hideMark/>
          </w:tcPr>
          <w:p w14:paraId="4B3C50A8"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27,99</w:t>
            </w:r>
          </w:p>
        </w:tc>
        <w:tc>
          <w:tcPr>
            <w:tcW w:w="992" w:type="dxa"/>
            <w:shd w:val="clear" w:color="auto" w:fill="auto"/>
            <w:noWrap/>
            <w:hideMark/>
          </w:tcPr>
          <w:p w14:paraId="63EF116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-72,01</w:t>
            </w:r>
          </w:p>
        </w:tc>
        <w:tc>
          <w:tcPr>
            <w:tcW w:w="709" w:type="dxa"/>
            <w:shd w:val="clear" w:color="auto" w:fill="auto"/>
            <w:hideMark/>
          </w:tcPr>
          <w:p w14:paraId="657B641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928</w:t>
            </w:r>
          </w:p>
        </w:tc>
        <w:tc>
          <w:tcPr>
            <w:tcW w:w="1134" w:type="dxa"/>
            <w:shd w:val="clear" w:color="auto" w:fill="auto"/>
            <w:noWrap/>
            <w:hideMark/>
          </w:tcPr>
          <w:p w14:paraId="49BCF2F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154,00</w:t>
            </w:r>
          </w:p>
        </w:tc>
        <w:tc>
          <w:tcPr>
            <w:tcW w:w="1134" w:type="dxa"/>
            <w:shd w:val="clear" w:color="auto" w:fill="auto"/>
            <w:noWrap/>
            <w:hideMark/>
          </w:tcPr>
          <w:p w14:paraId="70C1072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31,39</w:t>
            </w:r>
          </w:p>
        </w:tc>
        <w:tc>
          <w:tcPr>
            <w:tcW w:w="992" w:type="dxa"/>
            <w:shd w:val="clear" w:color="auto" w:fill="auto"/>
            <w:noWrap/>
            <w:hideMark/>
          </w:tcPr>
          <w:p w14:paraId="383C49D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-68,61</w:t>
            </w:r>
          </w:p>
        </w:tc>
      </w:tr>
      <w:tr w:rsidR="00FA5792" w:rsidRPr="006E1680" w14:paraId="28301F1C" w14:textId="77777777" w:rsidTr="00077E0F">
        <w:trPr>
          <w:trHeight w:val="255"/>
          <w:jc w:val="center"/>
        </w:trPr>
        <w:tc>
          <w:tcPr>
            <w:tcW w:w="1134" w:type="dxa"/>
            <w:vMerge/>
            <w:vAlign w:val="center"/>
            <w:hideMark/>
          </w:tcPr>
          <w:p w14:paraId="2DB7687E"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7030633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2015</w:t>
            </w:r>
          </w:p>
        </w:tc>
        <w:tc>
          <w:tcPr>
            <w:tcW w:w="708" w:type="dxa"/>
            <w:shd w:val="clear" w:color="auto" w:fill="auto"/>
            <w:hideMark/>
          </w:tcPr>
          <w:p w14:paraId="0B5C279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1666</w:t>
            </w:r>
          </w:p>
        </w:tc>
        <w:tc>
          <w:tcPr>
            <w:tcW w:w="993" w:type="dxa"/>
            <w:shd w:val="clear" w:color="auto" w:fill="auto"/>
            <w:noWrap/>
            <w:hideMark/>
          </w:tcPr>
          <w:p w14:paraId="69671B8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192,00</w:t>
            </w:r>
          </w:p>
        </w:tc>
        <w:tc>
          <w:tcPr>
            <w:tcW w:w="992" w:type="dxa"/>
            <w:shd w:val="clear" w:color="auto" w:fill="auto"/>
            <w:noWrap/>
            <w:hideMark/>
          </w:tcPr>
          <w:p w14:paraId="3397DDD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36,38</w:t>
            </w:r>
          </w:p>
        </w:tc>
        <w:tc>
          <w:tcPr>
            <w:tcW w:w="1276" w:type="dxa"/>
            <w:shd w:val="clear" w:color="auto" w:fill="auto"/>
            <w:noWrap/>
            <w:hideMark/>
          </w:tcPr>
          <w:p w14:paraId="6425513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-63,62</w:t>
            </w:r>
          </w:p>
        </w:tc>
        <w:tc>
          <w:tcPr>
            <w:tcW w:w="850" w:type="dxa"/>
            <w:shd w:val="clear" w:color="auto" w:fill="auto"/>
            <w:hideMark/>
          </w:tcPr>
          <w:p w14:paraId="06AAD22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608</w:t>
            </w:r>
          </w:p>
        </w:tc>
        <w:tc>
          <w:tcPr>
            <w:tcW w:w="851" w:type="dxa"/>
            <w:shd w:val="clear" w:color="auto" w:fill="auto"/>
            <w:noWrap/>
            <w:hideMark/>
          </w:tcPr>
          <w:p w14:paraId="624DDE9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62,00</w:t>
            </w:r>
          </w:p>
        </w:tc>
        <w:tc>
          <w:tcPr>
            <w:tcW w:w="1559" w:type="dxa"/>
            <w:shd w:val="clear" w:color="auto" w:fill="auto"/>
            <w:noWrap/>
            <w:hideMark/>
          </w:tcPr>
          <w:p w14:paraId="60612351"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34,43</w:t>
            </w:r>
          </w:p>
        </w:tc>
        <w:tc>
          <w:tcPr>
            <w:tcW w:w="992" w:type="dxa"/>
            <w:shd w:val="clear" w:color="auto" w:fill="auto"/>
            <w:noWrap/>
            <w:hideMark/>
          </w:tcPr>
          <w:p w14:paraId="0994B9D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-65,57</w:t>
            </w:r>
          </w:p>
        </w:tc>
        <w:tc>
          <w:tcPr>
            <w:tcW w:w="709" w:type="dxa"/>
            <w:shd w:val="clear" w:color="auto" w:fill="auto"/>
            <w:hideMark/>
          </w:tcPr>
          <w:p w14:paraId="29A91CC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1058</w:t>
            </w:r>
          </w:p>
        </w:tc>
        <w:tc>
          <w:tcPr>
            <w:tcW w:w="1134" w:type="dxa"/>
            <w:shd w:val="clear" w:color="auto" w:fill="auto"/>
            <w:noWrap/>
            <w:hideMark/>
          </w:tcPr>
          <w:p w14:paraId="57C2E62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130,00</w:t>
            </w:r>
          </w:p>
        </w:tc>
        <w:tc>
          <w:tcPr>
            <w:tcW w:w="1134" w:type="dxa"/>
            <w:shd w:val="clear" w:color="auto" w:fill="auto"/>
            <w:noWrap/>
            <w:hideMark/>
          </w:tcPr>
          <w:p w14:paraId="6B050FE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37,63</w:t>
            </w:r>
          </w:p>
        </w:tc>
        <w:tc>
          <w:tcPr>
            <w:tcW w:w="992" w:type="dxa"/>
            <w:shd w:val="clear" w:color="auto" w:fill="auto"/>
            <w:noWrap/>
            <w:hideMark/>
          </w:tcPr>
          <w:p w14:paraId="3C41178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-62,37</w:t>
            </w:r>
          </w:p>
        </w:tc>
      </w:tr>
      <w:tr w:rsidR="00FA5792" w:rsidRPr="006E1680" w14:paraId="2C754ECC" w14:textId="77777777" w:rsidTr="00077E0F">
        <w:trPr>
          <w:trHeight w:val="255"/>
          <w:jc w:val="center"/>
        </w:trPr>
        <w:tc>
          <w:tcPr>
            <w:tcW w:w="1134" w:type="dxa"/>
            <w:vMerge/>
            <w:vAlign w:val="center"/>
            <w:hideMark/>
          </w:tcPr>
          <w:p w14:paraId="59264E2F"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2D92593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2016</w:t>
            </w:r>
          </w:p>
        </w:tc>
        <w:tc>
          <w:tcPr>
            <w:tcW w:w="708" w:type="dxa"/>
            <w:shd w:val="clear" w:color="auto" w:fill="auto"/>
            <w:hideMark/>
          </w:tcPr>
          <w:p w14:paraId="6274406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2260</w:t>
            </w:r>
          </w:p>
        </w:tc>
        <w:tc>
          <w:tcPr>
            <w:tcW w:w="993" w:type="dxa"/>
            <w:shd w:val="clear" w:color="auto" w:fill="auto"/>
            <w:noWrap/>
            <w:hideMark/>
          </w:tcPr>
          <w:p w14:paraId="20D8AC6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594,00</w:t>
            </w:r>
          </w:p>
        </w:tc>
        <w:tc>
          <w:tcPr>
            <w:tcW w:w="992" w:type="dxa"/>
            <w:shd w:val="clear" w:color="auto" w:fill="auto"/>
            <w:noWrap/>
            <w:hideMark/>
          </w:tcPr>
          <w:p w14:paraId="335BC41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41,12</w:t>
            </w:r>
          </w:p>
        </w:tc>
        <w:tc>
          <w:tcPr>
            <w:tcW w:w="1276" w:type="dxa"/>
            <w:shd w:val="clear" w:color="auto" w:fill="auto"/>
            <w:noWrap/>
            <w:hideMark/>
          </w:tcPr>
          <w:p w14:paraId="627E6EC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-58,88</w:t>
            </w:r>
          </w:p>
        </w:tc>
        <w:tc>
          <w:tcPr>
            <w:tcW w:w="850" w:type="dxa"/>
            <w:shd w:val="clear" w:color="auto" w:fill="auto"/>
            <w:hideMark/>
          </w:tcPr>
          <w:p w14:paraId="276DEDD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854</w:t>
            </w:r>
          </w:p>
        </w:tc>
        <w:tc>
          <w:tcPr>
            <w:tcW w:w="851" w:type="dxa"/>
            <w:shd w:val="clear" w:color="auto" w:fill="auto"/>
            <w:noWrap/>
            <w:hideMark/>
          </w:tcPr>
          <w:p w14:paraId="3F4A278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246,00</w:t>
            </w:r>
          </w:p>
        </w:tc>
        <w:tc>
          <w:tcPr>
            <w:tcW w:w="1559" w:type="dxa"/>
            <w:shd w:val="clear" w:color="auto" w:fill="auto"/>
            <w:noWrap/>
            <w:hideMark/>
          </w:tcPr>
          <w:p w14:paraId="1ADA1D8A"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38,34</w:t>
            </w:r>
          </w:p>
        </w:tc>
        <w:tc>
          <w:tcPr>
            <w:tcW w:w="992" w:type="dxa"/>
            <w:shd w:val="clear" w:color="auto" w:fill="auto"/>
            <w:noWrap/>
            <w:hideMark/>
          </w:tcPr>
          <w:p w14:paraId="3CABE7E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-61,66</w:t>
            </w:r>
          </w:p>
        </w:tc>
        <w:tc>
          <w:tcPr>
            <w:tcW w:w="709" w:type="dxa"/>
            <w:shd w:val="clear" w:color="auto" w:fill="auto"/>
            <w:hideMark/>
          </w:tcPr>
          <w:p w14:paraId="29ECB90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1406</w:t>
            </w:r>
          </w:p>
        </w:tc>
        <w:tc>
          <w:tcPr>
            <w:tcW w:w="1134" w:type="dxa"/>
            <w:shd w:val="clear" w:color="auto" w:fill="auto"/>
            <w:noWrap/>
            <w:hideMark/>
          </w:tcPr>
          <w:p w14:paraId="7982094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348,00</w:t>
            </w:r>
          </w:p>
        </w:tc>
        <w:tc>
          <w:tcPr>
            <w:tcW w:w="1134" w:type="dxa"/>
            <w:shd w:val="clear" w:color="auto" w:fill="auto"/>
            <w:noWrap/>
            <w:hideMark/>
          </w:tcPr>
          <w:p w14:paraId="0CAB695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42,90</w:t>
            </w:r>
          </w:p>
        </w:tc>
        <w:tc>
          <w:tcPr>
            <w:tcW w:w="992" w:type="dxa"/>
            <w:shd w:val="clear" w:color="auto" w:fill="auto"/>
            <w:noWrap/>
            <w:hideMark/>
          </w:tcPr>
          <w:p w14:paraId="26F552C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-57,10</w:t>
            </w:r>
          </w:p>
        </w:tc>
      </w:tr>
      <w:tr w:rsidR="00FA5792" w:rsidRPr="006E1680" w14:paraId="1ED7BB87" w14:textId="77777777" w:rsidTr="00077E0F">
        <w:trPr>
          <w:trHeight w:val="255"/>
          <w:jc w:val="center"/>
        </w:trPr>
        <w:tc>
          <w:tcPr>
            <w:tcW w:w="1134" w:type="dxa"/>
            <w:vMerge/>
            <w:vAlign w:val="center"/>
            <w:hideMark/>
          </w:tcPr>
          <w:p w14:paraId="2B5CABEC"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1D3C3EF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2017</w:t>
            </w:r>
          </w:p>
        </w:tc>
        <w:tc>
          <w:tcPr>
            <w:tcW w:w="708" w:type="dxa"/>
            <w:shd w:val="clear" w:color="auto" w:fill="auto"/>
            <w:hideMark/>
          </w:tcPr>
          <w:p w14:paraId="2B489FD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2511</w:t>
            </w:r>
          </w:p>
        </w:tc>
        <w:tc>
          <w:tcPr>
            <w:tcW w:w="993" w:type="dxa"/>
            <w:shd w:val="clear" w:color="auto" w:fill="auto"/>
            <w:noWrap/>
            <w:hideMark/>
          </w:tcPr>
          <w:p w14:paraId="1C27C1B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251,00</w:t>
            </w:r>
          </w:p>
        </w:tc>
        <w:tc>
          <w:tcPr>
            <w:tcW w:w="992" w:type="dxa"/>
            <w:shd w:val="clear" w:color="auto" w:fill="auto"/>
            <w:noWrap/>
            <w:hideMark/>
          </w:tcPr>
          <w:p w14:paraId="3C40149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55,77</w:t>
            </w:r>
          </w:p>
        </w:tc>
        <w:tc>
          <w:tcPr>
            <w:tcW w:w="1276" w:type="dxa"/>
            <w:shd w:val="clear" w:color="auto" w:fill="auto"/>
            <w:noWrap/>
            <w:hideMark/>
          </w:tcPr>
          <w:p w14:paraId="0163207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-44,23</w:t>
            </w:r>
          </w:p>
        </w:tc>
        <w:tc>
          <w:tcPr>
            <w:tcW w:w="850" w:type="dxa"/>
            <w:shd w:val="clear" w:color="auto" w:fill="auto"/>
            <w:hideMark/>
          </w:tcPr>
          <w:p w14:paraId="52E1BB9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962</w:t>
            </w:r>
          </w:p>
        </w:tc>
        <w:tc>
          <w:tcPr>
            <w:tcW w:w="851" w:type="dxa"/>
            <w:shd w:val="clear" w:color="auto" w:fill="auto"/>
            <w:noWrap/>
            <w:hideMark/>
          </w:tcPr>
          <w:p w14:paraId="38E57BF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108,00</w:t>
            </w:r>
          </w:p>
        </w:tc>
        <w:tc>
          <w:tcPr>
            <w:tcW w:w="1559" w:type="dxa"/>
            <w:shd w:val="clear" w:color="auto" w:fill="auto"/>
            <w:noWrap/>
            <w:hideMark/>
          </w:tcPr>
          <w:p w14:paraId="56D0E926"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53,85</w:t>
            </w:r>
          </w:p>
        </w:tc>
        <w:tc>
          <w:tcPr>
            <w:tcW w:w="992" w:type="dxa"/>
            <w:shd w:val="clear" w:color="auto" w:fill="auto"/>
            <w:noWrap/>
            <w:hideMark/>
          </w:tcPr>
          <w:p w14:paraId="278D48C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-46,15</w:t>
            </w:r>
          </w:p>
        </w:tc>
        <w:tc>
          <w:tcPr>
            <w:tcW w:w="709" w:type="dxa"/>
            <w:shd w:val="clear" w:color="auto" w:fill="auto"/>
            <w:hideMark/>
          </w:tcPr>
          <w:p w14:paraId="722D91F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1549</w:t>
            </w:r>
          </w:p>
        </w:tc>
        <w:tc>
          <w:tcPr>
            <w:tcW w:w="1134" w:type="dxa"/>
            <w:shd w:val="clear" w:color="auto" w:fill="auto"/>
            <w:noWrap/>
            <w:hideMark/>
          </w:tcPr>
          <w:p w14:paraId="5945C03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143,00</w:t>
            </w:r>
          </w:p>
        </w:tc>
        <w:tc>
          <w:tcPr>
            <w:tcW w:w="1134" w:type="dxa"/>
            <w:shd w:val="clear" w:color="auto" w:fill="auto"/>
            <w:noWrap/>
            <w:hideMark/>
          </w:tcPr>
          <w:p w14:paraId="63EBF83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57,02</w:t>
            </w:r>
          </w:p>
        </w:tc>
        <w:tc>
          <w:tcPr>
            <w:tcW w:w="992" w:type="dxa"/>
            <w:shd w:val="clear" w:color="auto" w:fill="auto"/>
            <w:noWrap/>
            <w:hideMark/>
          </w:tcPr>
          <w:p w14:paraId="6E9D2D1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-42,98</w:t>
            </w:r>
          </w:p>
        </w:tc>
      </w:tr>
      <w:tr w:rsidR="00FA5792" w:rsidRPr="006E1680" w14:paraId="00900DB5" w14:textId="77777777" w:rsidTr="00077E0F">
        <w:trPr>
          <w:trHeight w:val="255"/>
          <w:jc w:val="center"/>
        </w:trPr>
        <w:tc>
          <w:tcPr>
            <w:tcW w:w="1134" w:type="dxa"/>
            <w:vMerge/>
            <w:vAlign w:val="center"/>
            <w:hideMark/>
          </w:tcPr>
          <w:p w14:paraId="5541DA5F"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5A634E6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2018</w:t>
            </w:r>
          </w:p>
        </w:tc>
        <w:tc>
          <w:tcPr>
            <w:tcW w:w="708" w:type="dxa"/>
            <w:shd w:val="clear" w:color="auto" w:fill="auto"/>
            <w:hideMark/>
          </w:tcPr>
          <w:p w14:paraId="2EC44BE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2947</w:t>
            </w:r>
          </w:p>
        </w:tc>
        <w:tc>
          <w:tcPr>
            <w:tcW w:w="993" w:type="dxa"/>
            <w:shd w:val="clear" w:color="auto" w:fill="auto"/>
            <w:noWrap/>
            <w:hideMark/>
          </w:tcPr>
          <w:p w14:paraId="3BA04EA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436,00</w:t>
            </w:r>
          </w:p>
        </w:tc>
        <w:tc>
          <w:tcPr>
            <w:tcW w:w="992" w:type="dxa"/>
            <w:shd w:val="clear" w:color="auto" w:fill="auto"/>
            <w:noWrap/>
            <w:hideMark/>
          </w:tcPr>
          <w:p w14:paraId="0FF755C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61,97</w:t>
            </w:r>
          </w:p>
        </w:tc>
        <w:tc>
          <w:tcPr>
            <w:tcW w:w="1276" w:type="dxa"/>
            <w:shd w:val="clear" w:color="auto" w:fill="auto"/>
            <w:noWrap/>
            <w:hideMark/>
          </w:tcPr>
          <w:p w14:paraId="1EA2BB1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-38,03</w:t>
            </w:r>
          </w:p>
        </w:tc>
        <w:tc>
          <w:tcPr>
            <w:tcW w:w="850" w:type="dxa"/>
            <w:shd w:val="clear" w:color="auto" w:fill="auto"/>
            <w:hideMark/>
          </w:tcPr>
          <w:p w14:paraId="63EF33B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1137</w:t>
            </w:r>
          </w:p>
        </w:tc>
        <w:tc>
          <w:tcPr>
            <w:tcW w:w="851" w:type="dxa"/>
            <w:shd w:val="clear" w:color="auto" w:fill="auto"/>
            <w:noWrap/>
            <w:hideMark/>
          </w:tcPr>
          <w:p w14:paraId="6AA1058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175,00</w:t>
            </w:r>
          </w:p>
        </w:tc>
        <w:tc>
          <w:tcPr>
            <w:tcW w:w="1559" w:type="dxa"/>
            <w:shd w:val="clear" w:color="auto" w:fill="auto"/>
            <w:noWrap/>
            <w:hideMark/>
          </w:tcPr>
          <w:p w14:paraId="3E5E998F"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60,66</w:t>
            </w:r>
          </w:p>
        </w:tc>
        <w:tc>
          <w:tcPr>
            <w:tcW w:w="992" w:type="dxa"/>
            <w:shd w:val="clear" w:color="auto" w:fill="auto"/>
            <w:noWrap/>
            <w:hideMark/>
          </w:tcPr>
          <w:p w14:paraId="4E35EAA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-39,34</w:t>
            </w:r>
          </w:p>
        </w:tc>
        <w:tc>
          <w:tcPr>
            <w:tcW w:w="709" w:type="dxa"/>
            <w:shd w:val="clear" w:color="auto" w:fill="auto"/>
            <w:hideMark/>
          </w:tcPr>
          <w:p w14:paraId="0577CB2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1810</w:t>
            </w:r>
          </w:p>
        </w:tc>
        <w:tc>
          <w:tcPr>
            <w:tcW w:w="1134" w:type="dxa"/>
            <w:shd w:val="clear" w:color="auto" w:fill="auto"/>
            <w:noWrap/>
            <w:hideMark/>
          </w:tcPr>
          <w:p w14:paraId="5FB88F3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261,00</w:t>
            </w:r>
          </w:p>
        </w:tc>
        <w:tc>
          <w:tcPr>
            <w:tcW w:w="1134" w:type="dxa"/>
            <w:shd w:val="clear" w:color="auto" w:fill="auto"/>
            <w:noWrap/>
            <w:hideMark/>
          </w:tcPr>
          <w:p w14:paraId="465C510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62,81</w:t>
            </w:r>
          </w:p>
        </w:tc>
        <w:tc>
          <w:tcPr>
            <w:tcW w:w="992" w:type="dxa"/>
            <w:shd w:val="clear" w:color="auto" w:fill="auto"/>
            <w:noWrap/>
            <w:hideMark/>
          </w:tcPr>
          <w:p w14:paraId="5E9E78E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-37,19</w:t>
            </w:r>
          </w:p>
        </w:tc>
      </w:tr>
      <w:tr w:rsidR="00FA5792" w:rsidRPr="006E1680" w14:paraId="19C9ABB7" w14:textId="77777777" w:rsidTr="00077E0F">
        <w:trPr>
          <w:trHeight w:val="255"/>
          <w:jc w:val="center"/>
        </w:trPr>
        <w:tc>
          <w:tcPr>
            <w:tcW w:w="1134" w:type="dxa"/>
            <w:vMerge/>
            <w:vAlign w:val="center"/>
            <w:hideMark/>
          </w:tcPr>
          <w:p w14:paraId="316A948C"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60D196C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2019</w:t>
            </w:r>
          </w:p>
        </w:tc>
        <w:tc>
          <w:tcPr>
            <w:tcW w:w="708" w:type="dxa"/>
            <w:shd w:val="clear" w:color="auto" w:fill="auto"/>
            <w:hideMark/>
          </w:tcPr>
          <w:p w14:paraId="63912B9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3421</w:t>
            </w:r>
          </w:p>
        </w:tc>
        <w:tc>
          <w:tcPr>
            <w:tcW w:w="993" w:type="dxa"/>
            <w:shd w:val="clear" w:color="auto" w:fill="auto"/>
            <w:noWrap/>
            <w:hideMark/>
          </w:tcPr>
          <w:p w14:paraId="5341135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474,00</w:t>
            </w:r>
          </w:p>
        </w:tc>
        <w:tc>
          <w:tcPr>
            <w:tcW w:w="992" w:type="dxa"/>
            <w:shd w:val="clear" w:color="auto" w:fill="auto"/>
            <w:noWrap/>
            <w:hideMark/>
          </w:tcPr>
          <w:p w14:paraId="0290F81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72,73</w:t>
            </w:r>
          </w:p>
        </w:tc>
        <w:tc>
          <w:tcPr>
            <w:tcW w:w="1276" w:type="dxa"/>
            <w:shd w:val="clear" w:color="auto" w:fill="auto"/>
            <w:noWrap/>
            <w:hideMark/>
          </w:tcPr>
          <w:p w14:paraId="0E8B006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-27,27</w:t>
            </w:r>
          </w:p>
        </w:tc>
        <w:tc>
          <w:tcPr>
            <w:tcW w:w="850" w:type="dxa"/>
            <w:shd w:val="clear" w:color="auto" w:fill="auto"/>
            <w:hideMark/>
          </w:tcPr>
          <w:p w14:paraId="059BF63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1352</w:t>
            </w:r>
          </w:p>
        </w:tc>
        <w:tc>
          <w:tcPr>
            <w:tcW w:w="851" w:type="dxa"/>
            <w:shd w:val="clear" w:color="auto" w:fill="auto"/>
            <w:noWrap/>
            <w:hideMark/>
          </w:tcPr>
          <w:p w14:paraId="4B40A72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215,00</w:t>
            </w:r>
          </w:p>
        </w:tc>
        <w:tc>
          <w:tcPr>
            <w:tcW w:w="1559" w:type="dxa"/>
            <w:shd w:val="clear" w:color="auto" w:fill="auto"/>
            <w:noWrap/>
            <w:hideMark/>
          </w:tcPr>
          <w:p w14:paraId="0A59EFA5"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71,69</w:t>
            </w:r>
          </w:p>
        </w:tc>
        <w:tc>
          <w:tcPr>
            <w:tcW w:w="992" w:type="dxa"/>
            <w:shd w:val="clear" w:color="auto" w:fill="auto"/>
            <w:noWrap/>
            <w:hideMark/>
          </w:tcPr>
          <w:p w14:paraId="374B4A4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-28,31</w:t>
            </w:r>
          </w:p>
        </w:tc>
        <w:tc>
          <w:tcPr>
            <w:tcW w:w="709" w:type="dxa"/>
            <w:shd w:val="clear" w:color="auto" w:fill="auto"/>
            <w:hideMark/>
          </w:tcPr>
          <w:p w14:paraId="5E6E897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2069</w:t>
            </w:r>
          </w:p>
        </w:tc>
        <w:tc>
          <w:tcPr>
            <w:tcW w:w="1134" w:type="dxa"/>
            <w:shd w:val="clear" w:color="auto" w:fill="auto"/>
            <w:noWrap/>
            <w:hideMark/>
          </w:tcPr>
          <w:p w14:paraId="519CB97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259,00</w:t>
            </w:r>
          </w:p>
        </w:tc>
        <w:tc>
          <w:tcPr>
            <w:tcW w:w="1134" w:type="dxa"/>
            <w:shd w:val="clear" w:color="auto" w:fill="auto"/>
            <w:noWrap/>
            <w:hideMark/>
          </w:tcPr>
          <w:p w14:paraId="0483707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73,40</w:t>
            </w:r>
          </w:p>
        </w:tc>
        <w:tc>
          <w:tcPr>
            <w:tcW w:w="992" w:type="dxa"/>
            <w:shd w:val="clear" w:color="auto" w:fill="auto"/>
            <w:noWrap/>
            <w:hideMark/>
          </w:tcPr>
          <w:p w14:paraId="417DFFC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-26,60</w:t>
            </w:r>
          </w:p>
        </w:tc>
      </w:tr>
      <w:tr w:rsidR="00FA5792" w:rsidRPr="006E1680" w14:paraId="7C772AB6" w14:textId="77777777" w:rsidTr="00077E0F">
        <w:trPr>
          <w:trHeight w:val="255"/>
          <w:jc w:val="center"/>
        </w:trPr>
        <w:tc>
          <w:tcPr>
            <w:tcW w:w="1134" w:type="dxa"/>
            <w:vMerge/>
            <w:vAlign w:val="center"/>
            <w:hideMark/>
          </w:tcPr>
          <w:p w14:paraId="68CD5715"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2892A50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2020</w:t>
            </w:r>
          </w:p>
        </w:tc>
        <w:tc>
          <w:tcPr>
            <w:tcW w:w="708" w:type="dxa"/>
            <w:shd w:val="clear" w:color="auto" w:fill="auto"/>
            <w:hideMark/>
          </w:tcPr>
          <w:p w14:paraId="1CD20D0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3710</w:t>
            </w:r>
          </w:p>
        </w:tc>
        <w:tc>
          <w:tcPr>
            <w:tcW w:w="993" w:type="dxa"/>
            <w:shd w:val="clear" w:color="auto" w:fill="auto"/>
            <w:noWrap/>
            <w:hideMark/>
          </w:tcPr>
          <w:p w14:paraId="414ABFA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289,00</w:t>
            </w:r>
          </w:p>
        </w:tc>
        <w:tc>
          <w:tcPr>
            <w:tcW w:w="992" w:type="dxa"/>
            <w:shd w:val="clear" w:color="auto" w:fill="auto"/>
            <w:noWrap/>
            <w:hideMark/>
          </w:tcPr>
          <w:p w14:paraId="6BA82C8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84,43</w:t>
            </w:r>
          </w:p>
        </w:tc>
        <w:tc>
          <w:tcPr>
            <w:tcW w:w="1276" w:type="dxa"/>
            <w:shd w:val="clear" w:color="auto" w:fill="auto"/>
            <w:noWrap/>
            <w:hideMark/>
          </w:tcPr>
          <w:p w14:paraId="2DC151B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-15,57</w:t>
            </w:r>
          </w:p>
        </w:tc>
        <w:tc>
          <w:tcPr>
            <w:tcW w:w="850" w:type="dxa"/>
            <w:shd w:val="clear" w:color="auto" w:fill="auto"/>
            <w:hideMark/>
          </w:tcPr>
          <w:p w14:paraId="6C67EFE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1469</w:t>
            </w:r>
          </w:p>
        </w:tc>
        <w:tc>
          <w:tcPr>
            <w:tcW w:w="851" w:type="dxa"/>
            <w:shd w:val="clear" w:color="auto" w:fill="auto"/>
            <w:noWrap/>
            <w:hideMark/>
          </w:tcPr>
          <w:p w14:paraId="6A6B73B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117,00</w:t>
            </w:r>
          </w:p>
        </w:tc>
        <w:tc>
          <w:tcPr>
            <w:tcW w:w="1559" w:type="dxa"/>
            <w:shd w:val="clear" w:color="auto" w:fill="auto"/>
            <w:noWrap/>
            <w:hideMark/>
          </w:tcPr>
          <w:p w14:paraId="37441F8F"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85,25</w:t>
            </w:r>
          </w:p>
        </w:tc>
        <w:tc>
          <w:tcPr>
            <w:tcW w:w="992" w:type="dxa"/>
            <w:shd w:val="clear" w:color="auto" w:fill="auto"/>
            <w:noWrap/>
            <w:hideMark/>
          </w:tcPr>
          <w:p w14:paraId="4B7B7B2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-14,75</w:t>
            </w:r>
          </w:p>
        </w:tc>
        <w:tc>
          <w:tcPr>
            <w:tcW w:w="709" w:type="dxa"/>
            <w:shd w:val="clear" w:color="auto" w:fill="auto"/>
            <w:hideMark/>
          </w:tcPr>
          <w:p w14:paraId="5B2F741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2241</w:t>
            </w:r>
          </w:p>
        </w:tc>
        <w:tc>
          <w:tcPr>
            <w:tcW w:w="1134" w:type="dxa"/>
            <w:shd w:val="clear" w:color="auto" w:fill="auto"/>
            <w:noWrap/>
            <w:hideMark/>
          </w:tcPr>
          <w:p w14:paraId="4685345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172,00</w:t>
            </w:r>
          </w:p>
        </w:tc>
        <w:tc>
          <w:tcPr>
            <w:tcW w:w="1134" w:type="dxa"/>
            <w:shd w:val="clear" w:color="auto" w:fill="auto"/>
            <w:noWrap/>
            <w:hideMark/>
          </w:tcPr>
          <w:p w14:paraId="7F35472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83,90</w:t>
            </w:r>
          </w:p>
        </w:tc>
        <w:tc>
          <w:tcPr>
            <w:tcW w:w="992" w:type="dxa"/>
            <w:shd w:val="clear" w:color="auto" w:fill="auto"/>
            <w:noWrap/>
            <w:hideMark/>
          </w:tcPr>
          <w:p w14:paraId="39F80F7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-16,10</w:t>
            </w:r>
          </w:p>
        </w:tc>
      </w:tr>
      <w:tr w:rsidR="00FA5792" w:rsidRPr="006E1680" w14:paraId="1518CD13" w14:textId="77777777" w:rsidTr="00077E0F">
        <w:trPr>
          <w:trHeight w:val="255"/>
          <w:jc w:val="center"/>
        </w:trPr>
        <w:tc>
          <w:tcPr>
            <w:tcW w:w="1134" w:type="dxa"/>
            <w:vMerge/>
            <w:vAlign w:val="center"/>
            <w:hideMark/>
          </w:tcPr>
          <w:p w14:paraId="02AE9570"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7EA78CF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2021</w:t>
            </w:r>
          </w:p>
        </w:tc>
        <w:tc>
          <w:tcPr>
            <w:tcW w:w="708" w:type="dxa"/>
            <w:shd w:val="clear" w:color="auto" w:fill="auto"/>
            <w:hideMark/>
          </w:tcPr>
          <w:p w14:paraId="7CD841D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4052</w:t>
            </w:r>
          </w:p>
        </w:tc>
        <w:tc>
          <w:tcPr>
            <w:tcW w:w="993" w:type="dxa"/>
            <w:shd w:val="clear" w:color="auto" w:fill="auto"/>
            <w:noWrap/>
            <w:hideMark/>
          </w:tcPr>
          <w:p w14:paraId="0F63B38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342,00</w:t>
            </w:r>
          </w:p>
        </w:tc>
        <w:tc>
          <w:tcPr>
            <w:tcW w:w="992" w:type="dxa"/>
            <w:shd w:val="clear" w:color="auto" w:fill="auto"/>
            <w:noWrap/>
            <w:hideMark/>
          </w:tcPr>
          <w:p w14:paraId="7EEBC9D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91,56</w:t>
            </w:r>
          </w:p>
        </w:tc>
        <w:tc>
          <w:tcPr>
            <w:tcW w:w="1276" w:type="dxa"/>
            <w:shd w:val="clear" w:color="auto" w:fill="auto"/>
            <w:noWrap/>
            <w:hideMark/>
          </w:tcPr>
          <w:p w14:paraId="36AC127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-8,44</w:t>
            </w:r>
          </w:p>
        </w:tc>
        <w:tc>
          <w:tcPr>
            <w:tcW w:w="850" w:type="dxa"/>
            <w:shd w:val="clear" w:color="auto" w:fill="auto"/>
            <w:hideMark/>
          </w:tcPr>
          <w:p w14:paraId="024DC17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1586</w:t>
            </w:r>
          </w:p>
        </w:tc>
        <w:tc>
          <w:tcPr>
            <w:tcW w:w="851" w:type="dxa"/>
            <w:shd w:val="clear" w:color="auto" w:fill="auto"/>
            <w:noWrap/>
            <w:hideMark/>
          </w:tcPr>
          <w:p w14:paraId="7C02CDD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117,00</w:t>
            </w:r>
          </w:p>
        </w:tc>
        <w:tc>
          <w:tcPr>
            <w:tcW w:w="1559" w:type="dxa"/>
            <w:shd w:val="clear" w:color="auto" w:fill="auto"/>
            <w:noWrap/>
            <w:hideMark/>
          </w:tcPr>
          <w:p w14:paraId="129F7705"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92,62</w:t>
            </w:r>
          </w:p>
        </w:tc>
        <w:tc>
          <w:tcPr>
            <w:tcW w:w="992" w:type="dxa"/>
            <w:shd w:val="clear" w:color="auto" w:fill="auto"/>
            <w:noWrap/>
            <w:hideMark/>
          </w:tcPr>
          <w:p w14:paraId="0AA5B0F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-7,38</w:t>
            </w:r>
          </w:p>
        </w:tc>
        <w:tc>
          <w:tcPr>
            <w:tcW w:w="709" w:type="dxa"/>
            <w:shd w:val="clear" w:color="auto" w:fill="auto"/>
            <w:hideMark/>
          </w:tcPr>
          <w:p w14:paraId="1183C04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2466</w:t>
            </w:r>
          </w:p>
        </w:tc>
        <w:tc>
          <w:tcPr>
            <w:tcW w:w="1134" w:type="dxa"/>
            <w:shd w:val="clear" w:color="auto" w:fill="auto"/>
            <w:noWrap/>
            <w:hideMark/>
          </w:tcPr>
          <w:p w14:paraId="0673A8D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225,00</w:t>
            </w:r>
          </w:p>
        </w:tc>
        <w:tc>
          <w:tcPr>
            <w:tcW w:w="1134" w:type="dxa"/>
            <w:shd w:val="clear" w:color="auto" w:fill="auto"/>
            <w:noWrap/>
            <w:hideMark/>
          </w:tcPr>
          <w:p w14:paraId="1E20825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90,88</w:t>
            </w:r>
          </w:p>
        </w:tc>
        <w:tc>
          <w:tcPr>
            <w:tcW w:w="992" w:type="dxa"/>
            <w:shd w:val="clear" w:color="auto" w:fill="auto"/>
            <w:noWrap/>
            <w:hideMark/>
          </w:tcPr>
          <w:p w14:paraId="6036103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-9,12</w:t>
            </w:r>
          </w:p>
        </w:tc>
      </w:tr>
      <w:tr w:rsidR="00FA5792" w:rsidRPr="006E1680" w14:paraId="38FE726A" w14:textId="77777777" w:rsidTr="00077E0F">
        <w:trPr>
          <w:trHeight w:val="255"/>
          <w:jc w:val="center"/>
        </w:trPr>
        <w:tc>
          <w:tcPr>
            <w:tcW w:w="1134" w:type="dxa"/>
            <w:vMerge/>
            <w:tcBorders>
              <w:bottom w:val="single" w:sz="4" w:space="0" w:color="auto"/>
            </w:tcBorders>
            <w:vAlign w:val="center"/>
            <w:hideMark/>
          </w:tcPr>
          <w:p w14:paraId="73800321"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tcBorders>
              <w:bottom w:val="single" w:sz="4" w:space="0" w:color="auto"/>
            </w:tcBorders>
            <w:shd w:val="clear" w:color="auto" w:fill="auto"/>
            <w:noWrap/>
            <w:hideMark/>
          </w:tcPr>
          <w:p w14:paraId="1104EFC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 xml:space="preserve">среднее </w:t>
            </w:r>
          </w:p>
        </w:tc>
        <w:tc>
          <w:tcPr>
            <w:tcW w:w="708" w:type="dxa"/>
            <w:tcBorders>
              <w:bottom w:val="single" w:sz="4" w:space="0" w:color="auto"/>
            </w:tcBorders>
            <w:shd w:val="clear" w:color="auto" w:fill="auto"/>
            <w:noWrap/>
            <w:hideMark/>
          </w:tcPr>
          <w:p w14:paraId="056FFA5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2455,40</w:t>
            </w:r>
          </w:p>
        </w:tc>
        <w:tc>
          <w:tcPr>
            <w:tcW w:w="993" w:type="dxa"/>
            <w:tcBorders>
              <w:bottom w:val="single" w:sz="4" w:space="0" w:color="auto"/>
            </w:tcBorders>
            <w:shd w:val="clear" w:color="auto" w:fill="auto"/>
            <w:noWrap/>
            <w:hideMark/>
          </w:tcPr>
          <w:p w14:paraId="33E2B86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306,33</w:t>
            </w:r>
          </w:p>
        </w:tc>
        <w:tc>
          <w:tcPr>
            <w:tcW w:w="992" w:type="dxa"/>
            <w:tcBorders>
              <w:bottom w:val="single" w:sz="4" w:space="0" w:color="auto"/>
            </w:tcBorders>
            <w:shd w:val="clear" w:color="auto" w:fill="auto"/>
            <w:noWrap/>
            <w:hideMark/>
          </w:tcPr>
          <w:p w14:paraId="1BC97CD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113,51</w:t>
            </w:r>
          </w:p>
        </w:tc>
        <w:tc>
          <w:tcPr>
            <w:tcW w:w="1276" w:type="dxa"/>
            <w:tcBorders>
              <w:bottom w:val="single" w:sz="4" w:space="0" w:color="auto"/>
            </w:tcBorders>
            <w:shd w:val="clear" w:color="auto" w:fill="auto"/>
            <w:noWrap/>
            <w:hideMark/>
          </w:tcPr>
          <w:p w14:paraId="1BC6549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13,51</w:t>
            </w:r>
          </w:p>
        </w:tc>
        <w:tc>
          <w:tcPr>
            <w:tcW w:w="850" w:type="dxa"/>
            <w:tcBorders>
              <w:bottom w:val="single" w:sz="4" w:space="0" w:color="auto"/>
            </w:tcBorders>
            <w:shd w:val="clear" w:color="auto" w:fill="auto"/>
            <w:noWrap/>
            <w:hideMark/>
          </w:tcPr>
          <w:p w14:paraId="22A8DA1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942,10</w:t>
            </w:r>
          </w:p>
        </w:tc>
        <w:tc>
          <w:tcPr>
            <w:tcW w:w="851" w:type="dxa"/>
            <w:tcBorders>
              <w:bottom w:val="single" w:sz="4" w:space="0" w:color="auto"/>
            </w:tcBorders>
            <w:shd w:val="clear" w:color="auto" w:fill="auto"/>
            <w:noWrap/>
            <w:hideMark/>
          </w:tcPr>
          <w:p w14:paraId="42C349A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124,78</w:t>
            </w:r>
          </w:p>
        </w:tc>
        <w:tc>
          <w:tcPr>
            <w:tcW w:w="1559" w:type="dxa"/>
            <w:tcBorders>
              <w:bottom w:val="single" w:sz="4" w:space="0" w:color="auto"/>
            </w:tcBorders>
            <w:shd w:val="clear" w:color="auto" w:fill="auto"/>
            <w:noWrap/>
            <w:hideMark/>
          </w:tcPr>
          <w:p w14:paraId="58EE107E"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114,66</w:t>
            </w:r>
          </w:p>
        </w:tc>
        <w:tc>
          <w:tcPr>
            <w:tcW w:w="992" w:type="dxa"/>
            <w:tcBorders>
              <w:bottom w:val="single" w:sz="4" w:space="0" w:color="auto"/>
            </w:tcBorders>
            <w:shd w:val="clear" w:color="auto" w:fill="auto"/>
            <w:noWrap/>
            <w:hideMark/>
          </w:tcPr>
          <w:p w14:paraId="3FFB96C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14,66</w:t>
            </w:r>
          </w:p>
        </w:tc>
        <w:tc>
          <w:tcPr>
            <w:tcW w:w="709" w:type="dxa"/>
            <w:tcBorders>
              <w:bottom w:val="single" w:sz="4" w:space="0" w:color="auto"/>
            </w:tcBorders>
            <w:shd w:val="clear" w:color="auto" w:fill="auto"/>
            <w:noWrap/>
            <w:hideMark/>
          </w:tcPr>
          <w:p w14:paraId="31D4247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1513,30</w:t>
            </w:r>
          </w:p>
        </w:tc>
        <w:tc>
          <w:tcPr>
            <w:tcW w:w="1134" w:type="dxa"/>
            <w:tcBorders>
              <w:bottom w:val="single" w:sz="4" w:space="0" w:color="auto"/>
            </w:tcBorders>
            <w:shd w:val="clear" w:color="auto" w:fill="auto"/>
            <w:noWrap/>
            <w:hideMark/>
          </w:tcPr>
          <w:p w14:paraId="3286B5D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181,56</w:t>
            </w:r>
          </w:p>
        </w:tc>
        <w:tc>
          <w:tcPr>
            <w:tcW w:w="1134" w:type="dxa"/>
            <w:tcBorders>
              <w:bottom w:val="single" w:sz="4" w:space="0" w:color="auto"/>
            </w:tcBorders>
            <w:shd w:val="clear" w:color="auto" w:fill="auto"/>
            <w:noWrap/>
            <w:hideMark/>
          </w:tcPr>
          <w:p w14:paraId="74FB4BE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112,83</w:t>
            </w:r>
          </w:p>
        </w:tc>
        <w:tc>
          <w:tcPr>
            <w:tcW w:w="992" w:type="dxa"/>
            <w:tcBorders>
              <w:bottom w:val="single" w:sz="4" w:space="0" w:color="auto"/>
            </w:tcBorders>
            <w:shd w:val="clear" w:color="auto" w:fill="auto"/>
            <w:noWrap/>
            <w:hideMark/>
          </w:tcPr>
          <w:p w14:paraId="679ACED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12,83</w:t>
            </w:r>
          </w:p>
        </w:tc>
      </w:tr>
      <w:tr w:rsidR="00901D83" w:rsidRPr="006E1680" w14:paraId="0CC5D0AB" w14:textId="77777777" w:rsidTr="00077E0F">
        <w:trPr>
          <w:trHeight w:val="255"/>
          <w:jc w:val="center"/>
        </w:trPr>
        <w:tc>
          <w:tcPr>
            <w:tcW w:w="1134" w:type="dxa"/>
            <w:vMerge w:val="restart"/>
            <w:shd w:val="clear" w:color="auto" w:fill="auto"/>
            <w:noWrap/>
            <w:hideMark/>
          </w:tcPr>
          <w:p w14:paraId="14781198" w14:textId="77777777" w:rsidR="00901D83" w:rsidRPr="006E1680" w:rsidRDefault="00901D83" w:rsidP="00901D83">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Ауэзовский</w:t>
            </w:r>
          </w:p>
        </w:tc>
        <w:tc>
          <w:tcPr>
            <w:tcW w:w="993" w:type="dxa"/>
            <w:shd w:val="clear" w:color="auto" w:fill="auto"/>
            <w:noWrap/>
            <w:hideMark/>
          </w:tcPr>
          <w:p w14:paraId="5D47B9D3" w14:textId="77777777" w:rsidR="00901D83" w:rsidRPr="006E1680" w:rsidRDefault="00901D83" w:rsidP="00901D83">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2012</w:t>
            </w:r>
          </w:p>
        </w:tc>
        <w:tc>
          <w:tcPr>
            <w:tcW w:w="708" w:type="dxa"/>
            <w:shd w:val="clear" w:color="auto" w:fill="auto"/>
            <w:hideMark/>
          </w:tcPr>
          <w:p w14:paraId="23B0CA0B" w14:textId="77777777" w:rsidR="00901D83" w:rsidRPr="006E1680" w:rsidRDefault="00901D83" w:rsidP="00901D83">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5268</w:t>
            </w:r>
          </w:p>
        </w:tc>
        <w:tc>
          <w:tcPr>
            <w:tcW w:w="993" w:type="dxa"/>
            <w:shd w:val="clear" w:color="auto" w:fill="auto"/>
            <w:noWrap/>
            <w:hideMark/>
          </w:tcPr>
          <w:p w14:paraId="5043BB2C" w14:textId="478068B9" w:rsidR="00901D83" w:rsidRPr="006E1680" w:rsidRDefault="00901D83" w:rsidP="00901D8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2" w:type="dxa"/>
            <w:shd w:val="clear" w:color="auto" w:fill="auto"/>
            <w:noWrap/>
            <w:hideMark/>
          </w:tcPr>
          <w:p w14:paraId="51706325" w14:textId="243E6AB5" w:rsidR="00901D83" w:rsidRPr="006E1680" w:rsidRDefault="00901D83" w:rsidP="00901D83">
            <w:pPr>
              <w:spacing w:after="0" w:line="240" w:lineRule="auto"/>
              <w:jc w:val="center"/>
              <w:rPr>
                <w:rFonts w:ascii="Times New Roman" w:eastAsia="Times New Roman" w:hAnsi="Times New Roman" w:cs="Times New Roman"/>
                <w:sz w:val="24"/>
                <w:szCs w:val="24"/>
              </w:rPr>
            </w:pPr>
            <w:r w:rsidRPr="00276314">
              <w:rPr>
                <w:rFonts w:ascii="Times New Roman" w:eastAsia="Times New Roman" w:hAnsi="Times New Roman" w:cs="Times New Roman"/>
                <w:sz w:val="24"/>
                <w:szCs w:val="24"/>
              </w:rPr>
              <w:t>-</w:t>
            </w:r>
          </w:p>
        </w:tc>
        <w:tc>
          <w:tcPr>
            <w:tcW w:w="1276" w:type="dxa"/>
            <w:shd w:val="clear" w:color="auto" w:fill="auto"/>
            <w:noWrap/>
            <w:hideMark/>
          </w:tcPr>
          <w:p w14:paraId="5F986C50" w14:textId="09907201" w:rsidR="00901D83" w:rsidRPr="006E1680" w:rsidRDefault="00901D83" w:rsidP="00901D83">
            <w:pPr>
              <w:spacing w:after="0" w:line="240" w:lineRule="auto"/>
              <w:jc w:val="center"/>
              <w:rPr>
                <w:rFonts w:ascii="Times New Roman" w:eastAsia="Times New Roman" w:hAnsi="Times New Roman" w:cs="Times New Roman"/>
                <w:sz w:val="24"/>
                <w:szCs w:val="24"/>
              </w:rPr>
            </w:pPr>
            <w:r w:rsidRPr="00276314">
              <w:rPr>
                <w:rFonts w:ascii="Times New Roman" w:eastAsia="Times New Roman" w:hAnsi="Times New Roman" w:cs="Times New Roman"/>
                <w:sz w:val="24"/>
                <w:szCs w:val="24"/>
              </w:rPr>
              <w:t>-</w:t>
            </w:r>
          </w:p>
        </w:tc>
        <w:tc>
          <w:tcPr>
            <w:tcW w:w="850" w:type="dxa"/>
            <w:shd w:val="clear" w:color="auto" w:fill="auto"/>
            <w:hideMark/>
          </w:tcPr>
          <w:p w14:paraId="75802C26" w14:textId="77777777" w:rsidR="00901D83" w:rsidRPr="006E1680" w:rsidRDefault="00901D83" w:rsidP="00901D83">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1631</w:t>
            </w:r>
          </w:p>
        </w:tc>
        <w:tc>
          <w:tcPr>
            <w:tcW w:w="851" w:type="dxa"/>
            <w:shd w:val="clear" w:color="auto" w:fill="auto"/>
            <w:noWrap/>
            <w:hideMark/>
          </w:tcPr>
          <w:p w14:paraId="512AAE02" w14:textId="0110AC48" w:rsidR="00901D83" w:rsidRPr="006E1680" w:rsidRDefault="00901D83" w:rsidP="00901D83">
            <w:pPr>
              <w:spacing w:after="0" w:line="240" w:lineRule="auto"/>
              <w:rPr>
                <w:rFonts w:ascii="Times New Roman" w:eastAsia="Times New Roman" w:hAnsi="Times New Roman" w:cs="Times New Roman"/>
                <w:sz w:val="24"/>
                <w:szCs w:val="24"/>
              </w:rPr>
            </w:pPr>
            <w:r w:rsidRPr="00104AF1">
              <w:rPr>
                <w:rFonts w:ascii="Times New Roman" w:eastAsia="Times New Roman" w:hAnsi="Times New Roman" w:cs="Times New Roman"/>
                <w:sz w:val="24"/>
                <w:szCs w:val="24"/>
              </w:rPr>
              <w:t>-</w:t>
            </w:r>
          </w:p>
        </w:tc>
        <w:tc>
          <w:tcPr>
            <w:tcW w:w="1559" w:type="dxa"/>
            <w:shd w:val="clear" w:color="auto" w:fill="auto"/>
            <w:noWrap/>
            <w:hideMark/>
          </w:tcPr>
          <w:p w14:paraId="6D625479" w14:textId="77ADF09A" w:rsidR="00901D83" w:rsidRPr="006E1680" w:rsidRDefault="00901D83" w:rsidP="00901D83">
            <w:pPr>
              <w:spacing w:after="0" w:line="240" w:lineRule="auto"/>
              <w:jc w:val="center"/>
              <w:rPr>
                <w:rFonts w:ascii="Times New Roman" w:eastAsia="Times New Roman" w:hAnsi="Times New Roman" w:cs="Times New Roman"/>
                <w:sz w:val="24"/>
                <w:szCs w:val="24"/>
              </w:rPr>
            </w:pPr>
            <w:r w:rsidRPr="00104AF1">
              <w:rPr>
                <w:rFonts w:ascii="Times New Roman" w:eastAsia="Times New Roman" w:hAnsi="Times New Roman" w:cs="Times New Roman"/>
                <w:sz w:val="24"/>
                <w:szCs w:val="24"/>
              </w:rPr>
              <w:t>-</w:t>
            </w:r>
          </w:p>
        </w:tc>
        <w:tc>
          <w:tcPr>
            <w:tcW w:w="992" w:type="dxa"/>
            <w:shd w:val="clear" w:color="auto" w:fill="auto"/>
            <w:noWrap/>
            <w:hideMark/>
          </w:tcPr>
          <w:p w14:paraId="704F8650" w14:textId="40735AD2" w:rsidR="00901D83" w:rsidRPr="006E1680" w:rsidRDefault="00901D83" w:rsidP="00901D83">
            <w:pPr>
              <w:spacing w:after="0" w:line="240" w:lineRule="auto"/>
              <w:rPr>
                <w:rFonts w:ascii="Times New Roman" w:eastAsia="Times New Roman" w:hAnsi="Times New Roman" w:cs="Times New Roman"/>
                <w:sz w:val="24"/>
                <w:szCs w:val="24"/>
              </w:rPr>
            </w:pPr>
            <w:r w:rsidRPr="00104AF1">
              <w:rPr>
                <w:rFonts w:ascii="Times New Roman" w:eastAsia="Times New Roman" w:hAnsi="Times New Roman" w:cs="Times New Roman"/>
                <w:sz w:val="24"/>
                <w:szCs w:val="24"/>
              </w:rPr>
              <w:t>-</w:t>
            </w:r>
          </w:p>
        </w:tc>
        <w:tc>
          <w:tcPr>
            <w:tcW w:w="709" w:type="dxa"/>
            <w:shd w:val="clear" w:color="auto" w:fill="auto"/>
            <w:hideMark/>
          </w:tcPr>
          <w:p w14:paraId="35E09BAE" w14:textId="77777777" w:rsidR="00901D83" w:rsidRPr="006E1680" w:rsidRDefault="00901D83" w:rsidP="00901D83">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3637</w:t>
            </w:r>
          </w:p>
        </w:tc>
        <w:tc>
          <w:tcPr>
            <w:tcW w:w="1134" w:type="dxa"/>
            <w:shd w:val="clear" w:color="auto" w:fill="auto"/>
            <w:noWrap/>
            <w:hideMark/>
          </w:tcPr>
          <w:p w14:paraId="04C13C5B" w14:textId="44449264" w:rsidR="00901D83" w:rsidRPr="006E1680" w:rsidRDefault="00901D83" w:rsidP="00901D8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shd w:val="clear" w:color="auto" w:fill="auto"/>
            <w:noWrap/>
            <w:hideMark/>
          </w:tcPr>
          <w:p w14:paraId="04350FE2" w14:textId="15B0E976" w:rsidR="00901D83" w:rsidRPr="006E1680" w:rsidRDefault="00901D83" w:rsidP="00901D8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92" w:type="dxa"/>
            <w:shd w:val="clear" w:color="auto" w:fill="auto"/>
            <w:noWrap/>
            <w:hideMark/>
          </w:tcPr>
          <w:p w14:paraId="02AEF3A6" w14:textId="3EF91342" w:rsidR="00901D83" w:rsidRPr="006E1680" w:rsidRDefault="00901D83" w:rsidP="00901D83">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FA5792" w:rsidRPr="006E1680" w14:paraId="6F9FF279" w14:textId="77777777" w:rsidTr="00077E0F">
        <w:trPr>
          <w:trHeight w:val="255"/>
          <w:jc w:val="center"/>
        </w:trPr>
        <w:tc>
          <w:tcPr>
            <w:tcW w:w="1134" w:type="dxa"/>
            <w:vMerge/>
            <w:vAlign w:val="center"/>
            <w:hideMark/>
          </w:tcPr>
          <w:p w14:paraId="1BE2EDCB"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6BC93BA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2013</w:t>
            </w:r>
          </w:p>
        </w:tc>
        <w:tc>
          <w:tcPr>
            <w:tcW w:w="708" w:type="dxa"/>
            <w:shd w:val="clear" w:color="auto" w:fill="auto"/>
            <w:hideMark/>
          </w:tcPr>
          <w:p w14:paraId="2202927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5703</w:t>
            </w:r>
          </w:p>
        </w:tc>
        <w:tc>
          <w:tcPr>
            <w:tcW w:w="993" w:type="dxa"/>
            <w:shd w:val="clear" w:color="auto" w:fill="auto"/>
            <w:noWrap/>
            <w:hideMark/>
          </w:tcPr>
          <w:p w14:paraId="57B95C7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435,00</w:t>
            </w:r>
          </w:p>
        </w:tc>
        <w:tc>
          <w:tcPr>
            <w:tcW w:w="992" w:type="dxa"/>
            <w:shd w:val="clear" w:color="auto" w:fill="auto"/>
            <w:noWrap/>
            <w:hideMark/>
          </w:tcPr>
          <w:p w14:paraId="7D1CD90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68,49</w:t>
            </w:r>
          </w:p>
        </w:tc>
        <w:tc>
          <w:tcPr>
            <w:tcW w:w="1276" w:type="dxa"/>
            <w:shd w:val="clear" w:color="auto" w:fill="auto"/>
            <w:noWrap/>
            <w:hideMark/>
          </w:tcPr>
          <w:p w14:paraId="56BFE52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-31,51</w:t>
            </w:r>
          </w:p>
        </w:tc>
        <w:tc>
          <w:tcPr>
            <w:tcW w:w="850" w:type="dxa"/>
            <w:shd w:val="clear" w:color="auto" w:fill="auto"/>
            <w:hideMark/>
          </w:tcPr>
          <w:p w14:paraId="1AC6AE6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1757</w:t>
            </w:r>
          </w:p>
        </w:tc>
        <w:tc>
          <w:tcPr>
            <w:tcW w:w="851" w:type="dxa"/>
            <w:shd w:val="clear" w:color="auto" w:fill="auto"/>
            <w:noWrap/>
            <w:hideMark/>
          </w:tcPr>
          <w:p w14:paraId="531DB02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126,00</w:t>
            </w:r>
          </w:p>
        </w:tc>
        <w:tc>
          <w:tcPr>
            <w:tcW w:w="1559" w:type="dxa"/>
            <w:shd w:val="clear" w:color="auto" w:fill="auto"/>
            <w:noWrap/>
            <w:hideMark/>
          </w:tcPr>
          <w:p w14:paraId="34FCE433"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66,76</w:t>
            </w:r>
          </w:p>
        </w:tc>
        <w:tc>
          <w:tcPr>
            <w:tcW w:w="992" w:type="dxa"/>
            <w:shd w:val="clear" w:color="auto" w:fill="auto"/>
            <w:noWrap/>
            <w:hideMark/>
          </w:tcPr>
          <w:p w14:paraId="64CB4C4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-33,24</w:t>
            </w:r>
          </w:p>
        </w:tc>
        <w:tc>
          <w:tcPr>
            <w:tcW w:w="709" w:type="dxa"/>
            <w:shd w:val="clear" w:color="auto" w:fill="auto"/>
            <w:hideMark/>
          </w:tcPr>
          <w:p w14:paraId="663ADC4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3946</w:t>
            </w:r>
          </w:p>
        </w:tc>
        <w:tc>
          <w:tcPr>
            <w:tcW w:w="1134" w:type="dxa"/>
            <w:shd w:val="clear" w:color="auto" w:fill="auto"/>
            <w:noWrap/>
            <w:hideMark/>
          </w:tcPr>
          <w:p w14:paraId="7B221D8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309,00</w:t>
            </w:r>
          </w:p>
        </w:tc>
        <w:tc>
          <w:tcPr>
            <w:tcW w:w="1134" w:type="dxa"/>
            <w:shd w:val="clear" w:color="auto" w:fill="auto"/>
            <w:noWrap/>
            <w:hideMark/>
          </w:tcPr>
          <w:p w14:paraId="66D3E70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69,29</w:t>
            </w:r>
          </w:p>
        </w:tc>
        <w:tc>
          <w:tcPr>
            <w:tcW w:w="992" w:type="dxa"/>
            <w:shd w:val="clear" w:color="auto" w:fill="auto"/>
            <w:noWrap/>
            <w:hideMark/>
          </w:tcPr>
          <w:p w14:paraId="6A523AA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-30,71</w:t>
            </w:r>
          </w:p>
        </w:tc>
      </w:tr>
      <w:tr w:rsidR="00FA5792" w:rsidRPr="006E1680" w14:paraId="3EE72CD0" w14:textId="77777777" w:rsidTr="00077E0F">
        <w:trPr>
          <w:trHeight w:val="255"/>
          <w:jc w:val="center"/>
        </w:trPr>
        <w:tc>
          <w:tcPr>
            <w:tcW w:w="1134" w:type="dxa"/>
            <w:vMerge/>
            <w:vAlign w:val="center"/>
            <w:hideMark/>
          </w:tcPr>
          <w:p w14:paraId="662610CE"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5D5F8A9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2014</w:t>
            </w:r>
          </w:p>
        </w:tc>
        <w:tc>
          <w:tcPr>
            <w:tcW w:w="708" w:type="dxa"/>
            <w:shd w:val="clear" w:color="auto" w:fill="auto"/>
            <w:hideMark/>
          </w:tcPr>
          <w:p w14:paraId="3555E32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6062</w:t>
            </w:r>
          </w:p>
        </w:tc>
        <w:tc>
          <w:tcPr>
            <w:tcW w:w="993" w:type="dxa"/>
            <w:shd w:val="clear" w:color="auto" w:fill="auto"/>
            <w:noWrap/>
            <w:hideMark/>
          </w:tcPr>
          <w:p w14:paraId="3AF856D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359,00</w:t>
            </w:r>
          </w:p>
        </w:tc>
        <w:tc>
          <w:tcPr>
            <w:tcW w:w="992" w:type="dxa"/>
            <w:shd w:val="clear" w:color="auto" w:fill="auto"/>
            <w:noWrap/>
            <w:hideMark/>
          </w:tcPr>
          <w:p w14:paraId="6429344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74,14</w:t>
            </w:r>
          </w:p>
        </w:tc>
        <w:tc>
          <w:tcPr>
            <w:tcW w:w="1276" w:type="dxa"/>
            <w:shd w:val="clear" w:color="auto" w:fill="auto"/>
            <w:noWrap/>
            <w:hideMark/>
          </w:tcPr>
          <w:p w14:paraId="1BC65E8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-25,86</w:t>
            </w:r>
          </w:p>
        </w:tc>
        <w:tc>
          <w:tcPr>
            <w:tcW w:w="850" w:type="dxa"/>
            <w:shd w:val="clear" w:color="auto" w:fill="auto"/>
            <w:hideMark/>
          </w:tcPr>
          <w:p w14:paraId="242554B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1873</w:t>
            </w:r>
          </w:p>
        </w:tc>
        <w:tc>
          <w:tcPr>
            <w:tcW w:w="851" w:type="dxa"/>
            <w:shd w:val="clear" w:color="auto" w:fill="auto"/>
            <w:noWrap/>
            <w:hideMark/>
          </w:tcPr>
          <w:p w14:paraId="4730752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116,00</w:t>
            </w:r>
          </w:p>
        </w:tc>
        <w:tc>
          <w:tcPr>
            <w:tcW w:w="1559" w:type="dxa"/>
            <w:shd w:val="clear" w:color="auto" w:fill="auto"/>
            <w:noWrap/>
            <w:hideMark/>
          </w:tcPr>
          <w:p w14:paraId="290B569A"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71,92</w:t>
            </w:r>
          </w:p>
        </w:tc>
        <w:tc>
          <w:tcPr>
            <w:tcW w:w="992" w:type="dxa"/>
            <w:shd w:val="clear" w:color="auto" w:fill="auto"/>
            <w:noWrap/>
            <w:hideMark/>
          </w:tcPr>
          <w:p w14:paraId="330607F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-28,08</w:t>
            </w:r>
          </w:p>
        </w:tc>
        <w:tc>
          <w:tcPr>
            <w:tcW w:w="709" w:type="dxa"/>
            <w:shd w:val="clear" w:color="auto" w:fill="auto"/>
            <w:hideMark/>
          </w:tcPr>
          <w:p w14:paraId="096C8D8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4189</w:t>
            </w:r>
          </w:p>
        </w:tc>
        <w:tc>
          <w:tcPr>
            <w:tcW w:w="1134" w:type="dxa"/>
            <w:shd w:val="clear" w:color="auto" w:fill="auto"/>
            <w:noWrap/>
            <w:hideMark/>
          </w:tcPr>
          <w:p w14:paraId="247D9AF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243,00</w:t>
            </w:r>
          </w:p>
        </w:tc>
        <w:tc>
          <w:tcPr>
            <w:tcW w:w="1134" w:type="dxa"/>
            <w:shd w:val="clear" w:color="auto" w:fill="auto"/>
            <w:noWrap/>
            <w:hideMark/>
          </w:tcPr>
          <w:p w14:paraId="01AE5D9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75,18</w:t>
            </w:r>
          </w:p>
        </w:tc>
        <w:tc>
          <w:tcPr>
            <w:tcW w:w="992" w:type="dxa"/>
            <w:shd w:val="clear" w:color="auto" w:fill="auto"/>
            <w:noWrap/>
            <w:hideMark/>
          </w:tcPr>
          <w:p w14:paraId="1949CA6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-24,82</w:t>
            </w:r>
          </w:p>
        </w:tc>
      </w:tr>
      <w:tr w:rsidR="00FA5792" w:rsidRPr="006E1680" w14:paraId="1B95BF07" w14:textId="77777777" w:rsidTr="00077E0F">
        <w:trPr>
          <w:trHeight w:val="255"/>
          <w:jc w:val="center"/>
        </w:trPr>
        <w:tc>
          <w:tcPr>
            <w:tcW w:w="1134" w:type="dxa"/>
            <w:vMerge/>
            <w:vAlign w:val="center"/>
            <w:hideMark/>
          </w:tcPr>
          <w:p w14:paraId="45AEEC0C"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62A262F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2015</w:t>
            </w:r>
          </w:p>
        </w:tc>
        <w:tc>
          <w:tcPr>
            <w:tcW w:w="708" w:type="dxa"/>
            <w:shd w:val="clear" w:color="auto" w:fill="auto"/>
            <w:hideMark/>
          </w:tcPr>
          <w:p w14:paraId="0ABACEE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6196</w:t>
            </w:r>
          </w:p>
        </w:tc>
        <w:tc>
          <w:tcPr>
            <w:tcW w:w="993" w:type="dxa"/>
            <w:shd w:val="clear" w:color="auto" w:fill="auto"/>
            <w:noWrap/>
            <w:hideMark/>
          </w:tcPr>
          <w:p w14:paraId="3BA070D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134,00</w:t>
            </w:r>
          </w:p>
        </w:tc>
        <w:tc>
          <w:tcPr>
            <w:tcW w:w="992" w:type="dxa"/>
            <w:shd w:val="clear" w:color="auto" w:fill="auto"/>
            <w:noWrap/>
            <w:hideMark/>
          </w:tcPr>
          <w:p w14:paraId="151520A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78,81</w:t>
            </w:r>
          </w:p>
        </w:tc>
        <w:tc>
          <w:tcPr>
            <w:tcW w:w="1276" w:type="dxa"/>
            <w:shd w:val="clear" w:color="auto" w:fill="auto"/>
            <w:noWrap/>
            <w:hideMark/>
          </w:tcPr>
          <w:p w14:paraId="6691690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-21,19</w:t>
            </w:r>
          </w:p>
        </w:tc>
        <w:tc>
          <w:tcPr>
            <w:tcW w:w="850" w:type="dxa"/>
            <w:shd w:val="clear" w:color="auto" w:fill="auto"/>
            <w:hideMark/>
          </w:tcPr>
          <w:p w14:paraId="7376EF4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1888</w:t>
            </w:r>
          </w:p>
        </w:tc>
        <w:tc>
          <w:tcPr>
            <w:tcW w:w="851" w:type="dxa"/>
            <w:shd w:val="clear" w:color="auto" w:fill="auto"/>
            <w:noWrap/>
            <w:hideMark/>
          </w:tcPr>
          <w:p w14:paraId="34C690C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15,00</w:t>
            </w:r>
          </w:p>
        </w:tc>
        <w:tc>
          <w:tcPr>
            <w:tcW w:w="1559" w:type="dxa"/>
            <w:shd w:val="clear" w:color="auto" w:fill="auto"/>
            <w:noWrap/>
            <w:hideMark/>
          </w:tcPr>
          <w:p w14:paraId="40ACB9E5"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76,67</w:t>
            </w:r>
          </w:p>
        </w:tc>
        <w:tc>
          <w:tcPr>
            <w:tcW w:w="992" w:type="dxa"/>
            <w:shd w:val="clear" w:color="auto" w:fill="auto"/>
            <w:noWrap/>
            <w:hideMark/>
          </w:tcPr>
          <w:p w14:paraId="3D64685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-23,33</w:t>
            </w:r>
          </w:p>
        </w:tc>
        <w:tc>
          <w:tcPr>
            <w:tcW w:w="709" w:type="dxa"/>
            <w:shd w:val="clear" w:color="auto" w:fill="auto"/>
            <w:hideMark/>
          </w:tcPr>
          <w:p w14:paraId="5003F63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4308</w:t>
            </w:r>
          </w:p>
        </w:tc>
        <w:tc>
          <w:tcPr>
            <w:tcW w:w="1134" w:type="dxa"/>
            <w:shd w:val="clear" w:color="auto" w:fill="auto"/>
            <w:noWrap/>
            <w:hideMark/>
          </w:tcPr>
          <w:p w14:paraId="4309C50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119,00</w:t>
            </w:r>
          </w:p>
        </w:tc>
        <w:tc>
          <w:tcPr>
            <w:tcW w:w="1134" w:type="dxa"/>
            <w:shd w:val="clear" w:color="auto" w:fill="auto"/>
            <w:noWrap/>
            <w:hideMark/>
          </w:tcPr>
          <w:p w14:paraId="68D8224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79,81</w:t>
            </w:r>
          </w:p>
        </w:tc>
        <w:tc>
          <w:tcPr>
            <w:tcW w:w="992" w:type="dxa"/>
            <w:shd w:val="clear" w:color="auto" w:fill="auto"/>
            <w:noWrap/>
            <w:hideMark/>
          </w:tcPr>
          <w:p w14:paraId="46A74F3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-20,19</w:t>
            </w:r>
          </w:p>
        </w:tc>
      </w:tr>
      <w:tr w:rsidR="00FA5792" w:rsidRPr="006E1680" w14:paraId="2D0204A2" w14:textId="77777777" w:rsidTr="00077E0F">
        <w:trPr>
          <w:trHeight w:val="255"/>
          <w:jc w:val="center"/>
        </w:trPr>
        <w:tc>
          <w:tcPr>
            <w:tcW w:w="1134" w:type="dxa"/>
            <w:vMerge/>
            <w:tcBorders>
              <w:bottom w:val="nil"/>
            </w:tcBorders>
            <w:vAlign w:val="center"/>
            <w:hideMark/>
          </w:tcPr>
          <w:p w14:paraId="5ACE3A2C"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tcBorders>
              <w:bottom w:val="nil"/>
            </w:tcBorders>
            <w:shd w:val="clear" w:color="auto" w:fill="auto"/>
            <w:noWrap/>
            <w:hideMark/>
          </w:tcPr>
          <w:p w14:paraId="349A808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2016</w:t>
            </w:r>
          </w:p>
        </w:tc>
        <w:tc>
          <w:tcPr>
            <w:tcW w:w="708" w:type="dxa"/>
            <w:tcBorders>
              <w:bottom w:val="nil"/>
            </w:tcBorders>
            <w:shd w:val="clear" w:color="auto" w:fill="auto"/>
            <w:hideMark/>
          </w:tcPr>
          <w:p w14:paraId="26418D0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6466</w:t>
            </w:r>
          </w:p>
        </w:tc>
        <w:tc>
          <w:tcPr>
            <w:tcW w:w="993" w:type="dxa"/>
            <w:tcBorders>
              <w:bottom w:val="nil"/>
            </w:tcBorders>
            <w:shd w:val="clear" w:color="auto" w:fill="auto"/>
            <w:noWrap/>
            <w:hideMark/>
          </w:tcPr>
          <w:p w14:paraId="3BCBA15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270,00</w:t>
            </w:r>
          </w:p>
        </w:tc>
        <w:tc>
          <w:tcPr>
            <w:tcW w:w="992" w:type="dxa"/>
            <w:tcBorders>
              <w:bottom w:val="nil"/>
            </w:tcBorders>
            <w:shd w:val="clear" w:color="auto" w:fill="auto"/>
            <w:noWrap/>
            <w:hideMark/>
          </w:tcPr>
          <w:p w14:paraId="0DF9DDC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80,55</w:t>
            </w:r>
          </w:p>
        </w:tc>
        <w:tc>
          <w:tcPr>
            <w:tcW w:w="1276" w:type="dxa"/>
            <w:tcBorders>
              <w:bottom w:val="nil"/>
            </w:tcBorders>
            <w:shd w:val="clear" w:color="auto" w:fill="auto"/>
            <w:noWrap/>
            <w:hideMark/>
          </w:tcPr>
          <w:p w14:paraId="45BECEB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-19,45</w:t>
            </w:r>
          </w:p>
        </w:tc>
        <w:tc>
          <w:tcPr>
            <w:tcW w:w="850" w:type="dxa"/>
            <w:tcBorders>
              <w:bottom w:val="nil"/>
            </w:tcBorders>
            <w:shd w:val="clear" w:color="auto" w:fill="auto"/>
            <w:hideMark/>
          </w:tcPr>
          <w:p w14:paraId="440D737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2006</w:t>
            </w:r>
          </w:p>
        </w:tc>
        <w:tc>
          <w:tcPr>
            <w:tcW w:w="851" w:type="dxa"/>
            <w:tcBorders>
              <w:bottom w:val="nil"/>
            </w:tcBorders>
            <w:shd w:val="clear" w:color="auto" w:fill="auto"/>
            <w:noWrap/>
            <w:hideMark/>
          </w:tcPr>
          <w:p w14:paraId="5313510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118,00</w:t>
            </w:r>
          </w:p>
        </w:tc>
        <w:tc>
          <w:tcPr>
            <w:tcW w:w="1559" w:type="dxa"/>
            <w:tcBorders>
              <w:bottom w:val="nil"/>
            </w:tcBorders>
            <w:shd w:val="clear" w:color="auto" w:fill="auto"/>
            <w:noWrap/>
            <w:hideMark/>
          </w:tcPr>
          <w:p w14:paraId="2719621A"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77,28</w:t>
            </w:r>
          </w:p>
        </w:tc>
        <w:tc>
          <w:tcPr>
            <w:tcW w:w="992" w:type="dxa"/>
            <w:tcBorders>
              <w:bottom w:val="nil"/>
            </w:tcBorders>
            <w:shd w:val="clear" w:color="auto" w:fill="auto"/>
            <w:noWrap/>
            <w:hideMark/>
          </w:tcPr>
          <w:p w14:paraId="13D5350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-22,72</w:t>
            </w:r>
          </w:p>
        </w:tc>
        <w:tc>
          <w:tcPr>
            <w:tcW w:w="709" w:type="dxa"/>
            <w:tcBorders>
              <w:bottom w:val="nil"/>
            </w:tcBorders>
            <w:shd w:val="clear" w:color="auto" w:fill="auto"/>
            <w:hideMark/>
          </w:tcPr>
          <w:p w14:paraId="755FD5C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4460</w:t>
            </w:r>
          </w:p>
        </w:tc>
        <w:tc>
          <w:tcPr>
            <w:tcW w:w="1134" w:type="dxa"/>
            <w:tcBorders>
              <w:bottom w:val="nil"/>
            </w:tcBorders>
            <w:shd w:val="clear" w:color="auto" w:fill="auto"/>
            <w:noWrap/>
            <w:hideMark/>
          </w:tcPr>
          <w:p w14:paraId="7899591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152,00</w:t>
            </w:r>
          </w:p>
        </w:tc>
        <w:tc>
          <w:tcPr>
            <w:tcW w:w="1134" w:type="dxa"/>
            <w:tcBorders>
              <w:bottom w:val="nil"/>
            </w:tcBorders>
            <w:shd w:val="clear" w:color="auto" w:fill="auto"/>
            <w:noWrap/>
            <w:hideMark/>
          </w:tcPr>
          <w:p w14:paraId="2DFC5FF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82,07</w:t>
            </w:r>
          </w:p>
        </w:tc>
        <w:tc>
          <w:tcPr>
            <w:tcW w:w="992" w:type="dxa"/>
            <w:tcBorders>
              <w:bottom w:val="nil"/>
            </w:tcBorders>
            <w:shd w:val="clear" w:color="auto" w:fill="auto"/>
            <w:noWrap/>
            <w:hideMark/>
          </w:tcPr>
          <w:p w14:paraId="45FA43A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-17,93</w:t>
            </w:r>
          </w:p>
        </w:tc>
      </w:tr>
    </w:tbl>
    <w:p w14:paraId="2937D845" w14:textId="77777777" w:rsidR="00FA5792" w:rsidRDefault="00FA5792"/>
    <w:p w14:paraId="7FC3C115" w14:textId="6479A18F" w:rsidR="00FA5792" w:rsidRPr="00FA5792" w:rsidRDefault="00FA5792">
      <w:pPr>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lastRenderedPageBreak/>
        <w:t>Продолжение таблицы 11</w:t>
      </w:r>
    </w:p>
    <w:tbl>
      <w:tblPr>
        <w:tblW w:w="1431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993"/>
        <w:gridCol w:w="708"/>
        <w:gridCol w:w="993"/>
        <w:gridCol w:w="992"/>
        <w:gridCol w:w="1276"/>
        <w:gridCol w:w="850"/>
        <w:gridCol w:w="851"/>
        <w:gridCol w:w="1559"/>
        <w:gridCol w:w="992"/>
        <w:gridCol w:w="709"/>
        <w:gridCol w:w="1134"/>
        <w:gridCol w:w="1134"/>
        <w:gridCol w:w="992"/>
      </w:tblGrid>
      <w:tr w:rsidR="00FA5792" w:rsidRPr="006E1680" w14:paraId="10C455BC" w14:textId="77777777" w:rsidTr="00BA3CA8">
        <w:trPr>
          <w:trHeight w:val="255"/>
        </w:trPr>
        <w:tc>
          <w:tcPr>
            <w:tcW w:w="1134" w:type="dxa"/>
            <w:vAlign w:val="center"/>
          </w:tcPr>
          <w:p w14:paraId="2DD8A30C" w14:textId="5719CE8F"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93" w:type="dxa"/>
            <w:shd w:val="clear" w:color="auto" w:fill="auto"/>
            <w:noWrap/>
          </w:tcPr>
          <w:p w14:paraId="6AF3C2F9" w14:textId="141625CF"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08" w:type="dxa"/>
            <w:shd w:val="clear" w:color="auto" w:fill="auto"/>
          </w:tcPr>
          <w:p w14:paraId="248BAC77" w14:textId="30B53238"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93" w:type="dxa"/>
            <w:shd w:val="clear" w:color="auto" w:fill="auto"/>
            <w:noWrap/>
          </w:tcPr>
          <w:p w14:paraId="1D641B30" w14:textId="325454C7"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92" w:type="dxa"/>
            <w:shd w:val="clear" w:color="auto" w:fill="auto"/>
            <w:noWrap/>
          </w:tcPr>
          <w:p w14:paraId="2473BEA1" w14:textId="6845263D"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276" w:type="dxa"/>
            <w:shd w:val="clear" w:color="auto" w:fill="auto"/>
            <w:noWrap/>
          </w:tcPr>
          <w:p w14:paraId="0764F731" w14:textId="3FD8EB18"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50" w:type="dxa"/>
            <w:shd w:val="clear" w:color="auto" w:fill="auto"/>
          </w:tcPr>
          <w:p w14:paraId="476BB7F7" w14:textId="7FBFD7FF"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51" w:type="dxa"/>
            <w:shd w:val="clear" w:color="auto" w:fill="auto"/>
            <w:noWrap/>
          </w:tcPr>
          <w:p w14:paraId="0A7D5C2B" w14:textId="7DCE617F"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559" w:type="dxa"/>
            <w:shd w:val="clear" w:color="auto" w:fill="auto"/>
            <w:noWrap/>
          </w:tcPr>
          <w:p w14:paraId="0645A482" w14:textId="717F3BBF"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92" w:type="dxa"/>
            <w:shd w:val="clear" w:color="auto" w:fill="auto"/>
            <w:noWrap/>
          </w:tcPr>
          <w:p w14:paraId="38C4BC42" w14:textId="34AA2720"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709" w:type="dxa"/>
            <w:shd w:val="clear" w:color="auto" w:fill="auto"/>
          </w:tcPr>
          <w:p w14:paraId="6E77102F" w14:textId="1DA8F697"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134" w:type="dxa"/>
            <w:shd w:val="clear" w:color="auto" w:fill="auto"/>
            <w:noWrap/>
          </w:tcPr>
          <w:p w14:paraId="68B4BD9A" w14:textId="4874641E"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134" w:type="dxa"/>
            <w:shd w:val="clear" w:color="auto" w:fill="auto"/>
            <w:noWrap/>
          </w:tcPr>
          <w:p w14:paraId="78DAB7C0" w14:textId="70D39F4B"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92" w:type="dxa"/>
            <w:shd w:val="clear" w:color="auto" w:fill="auto"/>
            <w:noWrap/>
          </w:tcPr>
          <w:p w14:paraId="79C835C9" w14:textId="0042C4FE"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r>
      <w:tr w:rsidR="00FA5792" w:rsidRPr="006E1680" w14:paraId="5A49227B" w14:textId="77777777" w:rsidTr="00BA3CA8">
        <w:trPr>
          <w:trHeight w:val="255"/>
        </w:trPr>
        <w:tc>
          <w:tcPr>
            <w:tcW w:w="1134" w:type="dxa"/>
            <w:vMerge w:val="restart"/>
            <w:vAlign w:val="center"/>
            <w:hideMark/>
          </w:tcPr>
          <w:p w14:paraId="41787FB6"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46C8402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2017</w:t>
            </w:r>
          </w:p>
        </w:tc>
        <w:tc>
          <w:tcPr>
            <w:tcW w:w="708" w:type="dxa"/>
            <w:shd w:val="clear" w:color="auto" w:fill="auto"/>
            <w:hideMark/>
          </w:tcPr>
          <w:p w14:paraId="0B53277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6121</w:t>
            </w:r>
          </w:p>
        </w:tc>
        <w:tc>
          <w:tcPr>
            <w:tcW w:w="993" w:type="dxa"/>
            <w:shd w:val="clear" w:color="auto" w:fill="auto"/>
            <w:noWrap/>
            <w:hideMark/>
          </w:tcPr>
          <w:p w14:paraId="101DB24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-345,00</w:t>
            </w:r>
          </w:p>
        </w:tc>
        <w:tc>
          <w:tcPr>
            <w:tcW w:w="992" w:type="dxa"/>
            <w:shd w:val="clear" w:color="auto" w:fill="auto"/>
            <w:noWrap/>
            <w:hideMark/>
          </w:tcPr>
          <w:p w14:paraId="5E4D5AE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84,06</w:t>
            </w:r>
          </w:p>
        </w:tc>
        <w:tc>
          <w:tcPr>
            <w:tcW w:w="1276" w:type="dxa"/>
            <w:shd w:val="clear" w:color="auto" w:fill="auto"/>
            <w:noWrap/>
            <w:hideMark/>
          </w:tcPr>
          <w:p w14:paraId="58A46B1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-15,94</w:t>
            </w:r>
          </w:p>
        </w:tc>
        <w:tc>
          <w:tcPr>
            <w:tcW w:w="850" w:type="dxa"/>
            <w:shd w:val="clear" w:color="auto" w:fill="auto"/>
            <w:hideMark/>
          </w:tcPr>
          <w:p w14:paraId="36AC324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1903</w:t>
            </w:r>
          </w:p>
        </w:tc>
        <w:tc>
          <w:tcPr>
            <w:tcW w:w="851" w:type="dxa"/>
            <w:shd w:val="clear" w:color="auto" w:fill="auto"/>
            <w:noWrap/>
            <w:hideMark/>
          </w:tcPr>
          <w:p w14:paraId="0711DC7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-103,00</w:t>
            </w:r>
          </w:p>
        </w:tc>
        <w:tc>
          <w:tcPr>
            <w:tcW w:w="1559" w:type="dxa"/>
            <w:shd w:val="clear" w:color="auto" w:fill="auto"/>
            <w:noWrap/>
            <w:hideMark/>
          </w:tcPr>
          <w:p w14:paraId="53434859"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82,11</w:t>
            </w:r>
          </w:p>
        </w:tc>
        <w:tc>
          <w:tcPr>
            <w:tcW w:w="992" w:type="dxa"/>
            <w:shd w:val="clear" w:color="auto" w:fill="auto"/>
            <w:noWrap/>
            <w:hideMark/>
          </w:tcPr>
          <w:p w14:paraId="573B61F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-17,89</w:t>
            </w:r>
          </w:p>
        </w:tc>
        <w:tc>
          <w:tcPr>
            <w:tcW w:w="709" w:type="dxa"/>
            <w:shd w:val="clear" w:color="auto" w:fill="auto"/>
            <w:hideMark/>
          </w:tcPr>
          <w:p w14:paraId="1C2AF0B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4218</w:t>
            </w:r>
          </w:p>
        </w:tc>
        <w:tc>
          <w:tcPr>
            <w:tcW w:w="1134" w:type="dxa"/>
            <w:shd w:val="clear" w:color="auto" w:fill="auto"/>
            <w:noWrap/>
            <w:hideMark/>
          </w:tcPr>
          <w:p w14:paraId="3661731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-242,00</w:t>
            </w:r>
          </w:p>
        </w:tc>
        <w:tc>
          <w:tcPr>
            <w:tcW w:w="1134" w:type="dxa"/>
            <w:shd w:val="clear" w:color="auto" w:fill="auto"/>
            <w:noWrap/>
            <w:hideMark/>
          </w:tcPr>
          <w:p w14:paraId="53895F0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84,97</w:t>
            </w:r>
          </w:p>
        </w:tc>
        <w:tc>
          <w:tcPr>
            <w:tcW w:w="992" w:type="dxa"/>
            <w:shd w:val="clear" w:color="auto" w:fill="auto"/>
            <w:noWrap/>
            <w:hideMark/>
          </w:tcPr>
          <w:p w14:paraId="580F33F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-15,03</w:t>
            </w:r>
          </w:p>
        </w:tc>
      </w:tr>
      <w:tr w:rsidR="00FA5792" w:rsidRPr="006E1680" w14:paraId="1744A5B1" w14:textId="77777777" w:rsidTr="00BA3CA8">
        <w:trPr>
          <w:trHeight w:val="255"/>
        </w:trPr>
        <w:tc>
          <w:tcPr>
            <w:tcW w:w="1134" w:type="dxa"/>
            <w:vMerge/>
            <w:vAlign w:val="center"/>
            <w:hideMark/>
          </w:tcPr>
          <w:p w14:paraId="42BCB8C7"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5D0979F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2018</w:t>
            </w:r>
          </w:p>
        </w:tc>
        <w:tc>
          <w:tcPr>
            <w:tcW w:w="708" w:type="dxa"/>
            <w:shd w:val="clear" w:color="auto" w:fill="auto"/>
            <w:hideMark/>
          </w:tcPr>
          <w:p w14:paraId="4F97EF9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6721</w:t>
            </w:r>
          </w:p>
        </w:tc>
        <w:tc>
          <w:tcPr>
            <w:tcW w:w="993" w:type="dxa"/>
            <w:shd w:val="clear" w:color="auto" w:fill="auto"/>
            <w:noWrap/>
            <w:hideMark/>
          </w:tcPr>
          <w:p w14:paraId="12D0247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600,00</w:t>
            </w:r>
          </w:p>
        </w:tc>
        <w:tc>
          <w:tcPr>
            <w:tcW w:w="992" w:type="dxa"/>
            <w:shd w:val="clear" w:color="auto" w:fill="auto"/>
            <w:noWrap/>
            <w:hideMark/>
          </w:tcPr>
          <w:p w14:paraId="5612C4B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79,58</w:t>
            </w:r>
          </w:p>
        </w:tc>
        <w:tc>
          <w:tcPr>
            <w:tcW w:w="1276" w:type="dxa"/>
            <w:shd w:val="clear" w:color="auto" w:fill="auto"/>
            <w:noWrap/>
            <w:hideMark/>
          </w:tcPr>
          <w:p w14:paraId="2910724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-20,42</w:t>
            </w:r>
          </w:p>
        </w:tc>
        <w:tc>
          <w:tcPr>
            <w:tcW w:w="850" w:type="dxa"/>
            <w:shd w:val="clear" w:color="auto" w:fill="auto"/>
            <w:hideMark/>
          </w:tcPr>
          <w:p w14:paraId="76FCB53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2114</w:t>
            </w:r>
          </w:p>
        </w:tc>
        <w:tc>
          <w:tcPr>
            <w:tcW w:w="851" w:type="dxa"/>
            <w:shd w:val="clear" w:color="auto" w:fill="auto"/>
            <w:noWrap/>
            <w:hideMark/>
          </w:tcPr>
          <w:p w14:paraId="57C07A8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211,00</w:t>
            </w:r>
          </w:p>
        </w:tc>
        <w:tc>
          <w:tcPr>
            <w:tcW w:w="1559" w:type="dxa"/>
            <w:shd w:val="clear" w:color="auto" w:fill="auto"/>
            <w:noWrap/>
            <w:hideMark/>
          </w:tcPr>
          <w:p w14:paraId="0E2AA4BB"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77,90</w:t>
            </w:r>
          </w:p>
        </w:tc>
        <w:tc>
          <w:tcPr>
            <w:tcW w:w="992" w:type="dxa"/>
            <w:shd w:val="clear" w:color="auto" w:fill="auto"/>
            <w:noWrap/>
            <w:hideMark/>
          </w:tcPr>
          <w:p w14:paraId="14FE592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-22,10</w:t>
            </w:r>
          </w:p>
        </w:tc>
        <w:tc>
          <w:tcPr>
            <w:tcW w:w="709" w:type="dxa"/>
            <w:shd w:val="clear" w:color="auto" w:fill="auto"/>
            <w:hideMark/>
          </w:tcPr>
          <w:p w14:paraId="7CAFD28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4607</w:t>
            </w:r>
          </w:p>
        </w:tc>
        <w:tc>
          <w:tcPr>
            <w:tcW w:w="1134" w:type="dxa"/>
            <w:shd w:val="clear" w:color="auto" w:fill="auto"/>
            <w:noWrap/>
            <w:hideMark/>
          </w:tcPr>
          <w:p w14:paraId="002BCA2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389,00</w:t>
            </w:r>
          </w:p>
        </w:tc>
        <w:tc>
          <w:tcPr>
            <w:tcW w:w="1134" w:type="dxa"/>
            <w:shd w:val="clear" w:color="auto" w:fill="auto"/>
            <w:noWrap/>
            <w:hideMark/>
          </w:tcPr>
          <w:p w14:paraId="2AF6F6A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80,36</w:t>
            </w:r>
          </w:p>
        </w:tc>
        <w:tc>
          <w:tcPr>
            <w:tcW w:w="992" w:type="dxa"/>
            <w:shd w:val="clear" w:color="auto" w:fill="auto"/>
            <w:noWrap/>
            <w:hideMark/>
          </w:tcPr>
          <w:p w14:paraId="5F60951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-19,64</w:t>
            </w:r>
          </w:p>
        </w:tc>
      </w:tr>
      <w:tr w:rsidR="00FA5792" w:rsidRPr="006E1680" w14:paraId="618D636E" w14:textId="77777777" w:rsidTr="00BA3CA8">
        <w:trPr>
          <w:trHeight w:val="255"/>
        </w:trPr>
        <w:tc>
          <w:tcPr>
            <w:tcW w:w="1134" w:type="dxa"/>
            <w:vMerge/>
            <w:vAlign w:val="center"/>
            <w:hideMark/>
          </w:tcPr>
          <w:p w14:paraId="3F954753"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5CDE14B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2019</w:t>
            </w:r>
          </w:p>
        </w:tc>
        <w:tc>
          <w:tcPr>
            <w:tcW w:w="708" w:type="dxa"/>
            <w:shd w:val="clear" w:color="auto" w:fill="auto"/>
            <w:hideMark/>
          </w:tcPr>
          <w:p w14:paraId="4ECCA67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7352</w:t>
            </w:r>
          </w:p>
        </w:tc>
        <w:tc>
          <w:tcPr>
            <w:tcW w:w="993" w:type="dxa"/>
            <w:shd w:val="clear" w:color="auto" w:fill="auto"/>
            <w:noWrap/>
            <w:hideMark/>
          </w:tcPr>
          <w:p w14:paraId="1C1AE6B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631,00</w:t>
            </w:r>
          </w:p>
        </w:tc>
        <w:tc>
          <w:tcPr>
            <w:tcW w:w="992" w:type="dxa"/>
            <w:shd w:val="clear" w:color="auto" w:fill="auto"/>
            <w:noWrap/>
            <w:hideMark/>
          </w:tcPr>
          <w:p w14:paraId="4F12D3C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87,38</w:t>
            </w:r>
          </w:p>
        </w:tc>
        <w:tc>
          <w:tcPr>
            <w:tcW w:w="1276" w:type="dxa"/>
            <w:shd w:val="clear" w:color="auto" w:fill="auto"/>
            <w:noWrap/>
            <w:hideMark/>
          </w:tcPr>
          <w:p w14:paraId="2052469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-12,62</w:t>
            </w:r>
          </w:p>
        </w:tc>
        <w:tc>
          <w:tcPr>
            <w:tcW w:w="850" w:type="dxa"/>
            <w:shd w:val="clear" w:color="auto" w:fill="auto"/>
            <w:hideMark/>
          </w:tcPr>
          <w:p w14:paraId="0F6AE08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2337</w:t>
            </w:r>
          </w:p>
        </w:tc>
        <w:tc>
          <w:tcPr>
            <w:tcW w:w="851" w:type="dxa"/>
            <w:shd w:val="clear" w:color="auto" w:fill="auto"/>
            <w:noWrap/>
            <w:hideMark/>
          </w:tcPr>
          <w:p w14:paraId="1234746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223,00</w:t>
            </w:r>
          </w:p>
        </w:tc>
        <w:tc>
          <w:tcPr>
            <w:tcW w:w="1559" w:type="dxa"/>
            <w:shd w:val="clear" w:color="auto" w:fill="auto"/>
            <w:noWrap/>
            <w:hideMark/>
          </w:tcPr>
          <w:p w14:paraId="0163948E"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86,53</w:t>
            </w:r>
          </w:p>
        </w:tc>
        <w:tc>
          <w:tcPr>
            <w:tcW w:w="992" w:type="dxa"/>
            <w:shd w:val="clear" w:color="auto" w:fill="auto"/>
            <w:noWrap/>
            <w:hideMark/>
          </w:tcPr>
          <w:p w14:paraId="6446B0F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-13,47</w:t>
            </w:r>
          </w:p>
        </w:tc>
        <w:tc>
          <w:tcPr>
            <w:tcW w:w="709" w:type="dxa"/>
            <w:shd w:val="clear" w:color="auto" w:fill="auto"/>
            <w:hideMark/>
          </w:tcPr>
          <w:p w14:paraId="070032C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5015</w:t>
            </w:r>
          </w:p>
        </w:tc>
        <w:tc>
          <w:tcPr>
            <w:tcW w:w="1134" w:type="dxa"/>
            <w:shd w:val="clear" w:color="auto" w:fill="auto"/>
            <w:noWrap/>
            <w:hideMark/>
          </w:tcPr>
          <w:p w14:paraId="2DA9A87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408,00</w:t>
            </w:r>
          </w:p>
        </w:tc>
        <w:tc>
          <w:tcPr>
            <w:tcW w:w="1134" w:type="dxa"/>
            <w:shd w:val="clear" w:color="auto" w:fill="auto"/>
            <w:noWrap/>
            <w:hideMark/>
          </w:tcPr>
          <w:p w14:paraId="60B05D0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87,77</w:t>
            </w:r>
          </w:p>
        </w:tc>
        <w:tc>
          <w:tcPr>
            <w:tcW w:w="992" w:type="dxa"/>
            <w:shd w:val="clear" w:color="auto" w:fill="auto"/>
            <w:noWrap/>
            <w:hideMark/>
          </w:tcPr>
          <w:p w14:paraId="68ECDAA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-12,23</w:t>
            </w:r>
          </w:p>
        </w:tc>
      </w:tr>
      <w:tr w:rsidR="00FA5792" w:rsidRPr="006E1680" w14:paraId="344DD8DF" w14:textId="77777777" w:rsidTr="00BA3CA8">
        <w:trPr>
          <w:trHeight w:val="255"/>
        </w:trPr>
        <w:tc>
          <w:tcPr>
            <w:tcW w:w="1134" w:type="dxa"/>
            <w:vMerge/>
            <w:vAlign w:val="center"/>
            <w:hideMark/>
          </w:tcPr>
          <w:p w14:paraId="082C4B3B"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264EC8D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2020</w:t>
            </w:r>
          </w:p>
        </w:tc>
        <w:tc>
          <w:tcPr>
            <w:tcW w:w="708" w:type="dxa"/>
            <w:shd w:val="clear" w:color="auto" w:fill="auto"/>
            <w:hideMark/>
          </w:tcPr>
          <w:p w14:paraId="377C832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7269</w:t>
            </w:r>
          </w:p>
        </w:tc>
        <w:tc>
          <w:tcPr>
            <w:tcW w:w="993" w:type="dxa"/>
            <w:shd w:val="clear" w:color="auto" w:fill="auto"/>
            <w:noWrap/>
            <w:hideMark/>
          </w:tcPr>
          <w:p w14:paraId="3EBF4F5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-83,00</w:t>
            </w:r>
          </w:p>
        </w:tc>
        <w:tc>
          <w:tcPr>
            <w:tcW w:w="992" w:type="dxa"/>
            <w:shd w:val="clear" w:color="auto" w:fill="auto"/>
            <w:noWrap/>
            <w:hideMark/>
          </w:tcPr>
          <w:p w14:paraId="4C53D25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95,58</w:t>
            </w:r>
          </w:p>
        </w:tc>
        <w:tc>
          <w:tcPr>
            <w:tcW w:w="1276" w:type="dxa"/>
            <w:shd w:val="clear" w:color="auto" w:fill="auto"/>
            <w:noWrap/>
            <w:hideMark/>
          </w:tcPr>
          <w:p w14:paraId="46B81DC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-4,42</w:t>
            </w:r>
          </w:p>
        </w:tc>
        <w:tc>
          <w:tcPr>
            <w:tcW w:w="850" w:type="dxa"/>
            <w:shd w:val="clear" w:color="auto" w:fill="auto"/>
            <w:hideMark/>
          </w:tcPr>
          <w:p w14:paraId="205A550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2301</w:t>
            </w:r>
          </w:p>
        </w:tc>
        <w:tc>
          <w:tcPr>
            <w:tcW w:w="851" w:type="dxa"/>
            <w:shd w:val="clear" w:color="auto" w:fill="auto"/>
            <w:noWrap/>
            <w:hideMark/>
          </w:tcPr>
          <w:p w14:paraId="447C8DD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-36,00</w:t>
            </w:r>
          </w:p>
        </w:tc>
        <w:tc>
          <w:tcPr>
            <w:tcW w:w="1559" w:type="dxa"/>
            <w:shd w:val="clear" w:color="auto" w:fill="auto"/>
            <w:noWrap/>
            <w:hideMark/>
          </w:tcPr>
          <w:p w14:paraId="795A2F98"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95,66</w:t>
            </w:r>
          </w:p>
        </w:tc>
        <w:tc>
          <w:tcPr>
            <w:tcW w:w="992" w:type="dxa"/>
            <w:shd w:val="clear" w:color="auto" w:fill="auto"/>
            <w:noWrap/>
            <w:hideMark/>
          </w:tcPr>
          <w:p w14:paraId="13E0C6C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-4,34</w:t>
            </w:r>
          </w:p>
        </w:tc>
        <w:tc>
          <w:tcPr>
            <w:tcW w:w="709" w:type="dxa"/>
            <w:shd w:val="clear" w:color="auto" w:fill="auto"/>
            <w:hideMark/>
          </w:tcPr>
          <w:p w14:paraId="313714D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4968</w:t>
            </w:r>
          </w:p>
        </w:tc>
        <w:tc>
          <w:tcPr>
            <w:tcW w:w="1134" w:type="dxa"/>
            <w:shd w:val="clear" w:color="auto" w:fill="auto"/>
            <w:noWrap/>
            <w:hideMark/>
          </w:tcPr>
          <w:p w14:paraId="2928483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-47,00</w:t>
            </w:r>
          </w:p>
        </w:tc>
        <w:tc>
          <w:tcPr>
            <w:tcW w:w="1134" w:type="dxa"/>
            <w:shd w:val="clear" w:color="auto" w:fill="auto"/>
            <w:noWrap/>
            <w:hideMark/>
          </w:tcPr>
          <w:p w14:paraId="0966347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95,54</w:t>
            </w:r>
          </w:p>
        </w:tc>
        <w:tc>
          <w:tcPr>
            <w:tcW w:w="992" w:type="dxa"/>
            <w:shd w:val="clear" w:color="auto" w:fill="auto"/>
            <w:noWrap/>
            <w:hideMark/>
          </w:tcPr>
          <w:p w14:paraId="30F7FA6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-4,46</w:t>
            </w:r>
          </w:p>
        </w:tc>
      </w:tr>
      <w:tr w:rsidR="00FA5792" w:rsidRPr="006E1680" w14:paraId="6D3A11A3" w14:textId="77777777" w:rsidTr="00BA3CA8">
        <w:trPr>
          <w:trHeight w:val="255"/>
        </w:trPr>
        <w:tc>
          <w:tcPr>
            <w:tcW w:w="1134" w:type="dxa"/>
            <w:vMerge/>
            <w:vAlign w:val="center"/>
            <w:hideMark/>
          </w:tcPr>
          <w:p w14:paraId="2985B73C"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09D3329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2021</w:t>
            </w:r>
          </w:p>
        </w:tc>
        <w:tc>
          <w:tcPr>
            <w:tcW w:w="708" w:type="dxa"/>
            <w:shd w:val="clear" w:color="auto" w:fill="auto"/>
            <w:hideMark/>
          </w:tcPr>
          <w:p w14:paraId="0647C03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7692</w:t>
            </w:r>
          </w:p>
        </w:tc>
        <w:tc>
          <w:tcPr>
            <w:tcW w:w="993" w:type="dxa"/>
            <w:shd w:val="clear" w:color="auto" w:fill="auto"/>
            <w:noWrap/>
            <w:hideMark/>
          </w:tcPr>
          <w:p w14:paraId="09A6BCA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423,00</w:t>
            </w:r>
          </w:p>
        </w:tc>
        <w:tc>
          <w:tcPr>
            <w:tcW w:w="992" w:type="dxa"/>
            <w:shd w:val="clear" w:color="auto" w:fill="auto"/>
            <w:noWrap/>
            <w:hideMark/>
          </w:tcPr>
          <w:p w14:paraId="5CA01A0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94,50</w:t>
            </w:r>
          </w:p>
        </w:tc>
        <w:tc>
          <w:tcPr>
            <w:tcW w:w="1276" w:type="dxa"/>
            <w:shd w:val="clear" w:color="auto" w:fill="auto"/>
            <w:noWrap/>
            <w:hideMark/>
          </w:tcPr>
          <w:p w14:paraId="051248D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-5,50</w:t>
            </w:r>
          </w:p>
        </w:tc>
        <w:tc>
          <w:tcPr>
            <w:tcW w:w="850" w:type="dxa"/>
            <w:shd w:val="clear" w:color="auto" w:fill="auto"/>
            <w:hideMark/>
          </w:tcPr>
          <w:p w14:paraId="29814DF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2443</w:t>
            </w:r>
          </w:p>
        </w:tc>
        <w:tc>
          <w:tcPr>
            <w:tcW w:w="851" w:type="dxa"/>
            <w:shd w:val="clear" w:color="auto" w:fill="auto"/>
            <w:noWrap/>
            <w:hideMark/>
          </w:tcPr>
          <w:p w14:paraId="6098480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142,00</w:t>
            </w:r>
          </w:p>
        </w:tc>
        <w:tc>
          <w:tcPr>
            <w:tcW w:w="1559" w:type="dxa"/>
            <w:shd w:val="clear" w:color="auto" w:fill="auto"/>
            <w:noWrap/>
            <w:hideMark/>
          </w:tcPr>
          <w:p w14:paraId="4D1126B0"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94,19</w:t>
            </w:r>
          </w:p>
        </w:tc>
        <w:tc>
          <w:tcPr>
            <w:tcW w:w="992" w:type="dxa"/>
            <w:shd w:val="clear" w:color="auto" w:fill="auto"/>
            <w:noWrap/>
            <w:hideMark/>
          </w:tcPr>
          <w:p w14:paraId="2606137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-5,81</w:t>
            </w:r>
          </w:p>
        </w:tc>
        <w:tc>
          <w:tcPr>
            <w:tcW w:w="709" w:type="dxa"/>
            <w:shd w:val="clear" w:color="auto" w:fill="auto"/>
            <w:hideMark/>
          </w:tcPr>
          <w:p w14:paraId="52259AC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5249</w:t>
            </w:r>
          </w:p>
        </w:tc>
        <w:tc>
          <w:tcPr>
            <w:tcW w:w="1134" w:type="dxa"/>
            <w:shd w:val="clear" w:color="auto" w:fill="auto"/>
            <w:noWrap/>
            <w:hideMark/>
          </w:tcPr>
          <w:p w14:paraId="07B01A1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281,00</w:t>
            </w:r>
          </w:p>
        </w:tc>
        <w:tc>
          <w:tcPr>
            <w:tcW w:w="1134" w:type="dxa"/>
            <w:shd w:val="clear" w:color="auto" w:fill="auto"/>
            <w:noWrap/>
            <w:hideMark/>
          </w:tcPr>
          <w:p w14:paraId="09E4BA1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94,65</w:t>
            </w:r>
          </w:p>
        </w:tc>
        <w:tc>
          <w:tcPr>
            <w:tcW w:w="992" w:type="dxa"/>
            <w:shd w:val="clear" w:color="auto" w:fill="auto"/>
            <w:noWrap/>
            <w:hideMark/>
          </w:tcPr>
          <w:p w14:paraId="26C4F6B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-5,35</w:t>
            </w:r>
          </w:p>
        </w:tc>
      </w:tr>
      <w:tr w:rsidR="00FA5792" w:rsidRPr="006E1680" w14:paraId="13E6793B" w14:textId="77777777" w:rsidTr="00BA3CA8">
        <w:trPr>
          <w:trHeight w:val="255"/>
        </w:trPr>
        <w:tc>
          <w:tcPr>
            <w:tcW w:w="1134" w:type="dxa"/>
            <w:vMerge/>
            <w:tcBorders>
              <w:bottom w:val="single" w:sz="4" w:space="0" w:color="auto"/>
            </w:tcBorders>
            <w:vAlign w:val="center"/>
            <w:hideMark/>
          </w:tcPr>
          <w:p w14:paraId="67C392C6"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tcBorders>
              <w:bottom w:val="single" w:sz="4" w:space="0" w:color="auto"/>
            </w:tcBorders>
            <w:shd w:val="clear" w:color="auto" w:fill="auto"/>
            <w:noWrap/>
            <w:hideMark/>
          </w:tcPr>
          <w:p w14:paraId="54E299C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 xml:space="preserve">среднее </w:t>
            </w:r>
          </w:p>
        </w:tc>
        <w:tc>
          <w:tcPr>
            <w:tcW w:w="708" w:type="dxa"/>
            <w:tcBorders>
              <w:bottom w:val="single" w:sz="4" w:space="0" w:color="auto"/>
            </w:tcBorders>
            <w:shd w:val="clear" w:color="auto" w:fill="auto"/>
            <w:noWrap/>
            <w:hideMark/>
          </w:tcPr>
          <w:p w14:paraId="143378E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6485,00</w:t>
            </w:r>
          </w:p>
        </w:tc>
        <w:tc>
          <w:tcPr>
            <w:tcW w:w="993" w:type="dxa"/>
            <w:tcBorders>
              <w:bottom w:val="single" w:sz="4" w:space="0" w:color="auto"/>
            </w:tcBorders>
            <w:shd w:val="clear" w:color="auto" w:fill="auto"/>
            <w:noWrap/>
            <w:hideMark/>
          </w:tcPr>
          <w:p w14:paraId="15B24CE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269,33</w:t>
            </w:r>
          </w:p>
        </w:tc>
        <w:tc>
          <w:tcPr>
            <w:tcW w:w="992" w:type="dxa"/>
            <w:tcBorders>
              <w:bottom w:val="single" w:sz="4" w:space="0" w:color="auto"/>
            </w:tcBorders>
            <w:shd w:val="clear" w:color="auto" w:fill="auto"/>
            <w:noWrap/>
            <w:hideMark/>
          </w:tcPr>
          <w:p w14:paraId="743CED9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104,30</w:t>
            </w:r>
          </w:p>
        </w:tc>
        <w:tc>
          <w:tcPr>
            <w:tcW w:w="1276" w:type="dxa"/>
            <w:tcBorders>
              <w:bottom w:val="single" w:sz="4" w:space="0" w:color="auto"/>
            </w:tcBorders>
            <w:shd w:val="clear" w:color="auto" w:fill="auto"/>
            <w:noWrap/>
            <w:hideMark/>
          </w:tcPr>
          <w:p w14:paraId="6074ACF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4,30</w:t>
            </w:r>
          </w:p>
        </w:tc>
        <w:tc>
          <w:tcPr>
            <w:tcW w:w="850" w:type="dxa"/>
            <w:tcBorders>
              <w:bottom w:val="single" w:sz="4" w:space="0" w:color="auto"/>
            </w:tcBorders>
            <w:shd w:val="clear" w:color="auto" w:fill="auto"/>
            <w:noWrap/>
            <w:hideMark/>
          </w:tcPr>
          <w:p w14:paraId="771CBFE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2025,30</w:t>
            </w:r>
          </w:p>
        </w:tc>
        <w:tc>
          <w:tcPr>
            <w:tcW w:w="851" w:type="dxa"/>
            <w:tcBorders>
              <w:bottom w:val="single" w:sz="4" w:space="0" w:color="auto"/>
            </w:tcBorders>
            <w:shd w:val="clear" w:color="auto" w:fill="auto"/>
            <w:noWrap/>
            <w:hideMark/>
          </w:tcPr>
          <w:p w14:paraId="24FB970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90,22</w:t>
            </w:r>
          </w:p>
        </w:tc>
        <w:tc>
          <w:tcPr>
            <w:tcW w:w="1559" w:type="dxa"/>
            <w:tcBorders>
              <w:bottom w:val="single" w:sz="4" w:space="0" w:color="auto"/>
            </w:tcBorders>
            <w:shd w:val="clear" w:color="auto" w:fill="auto"/>
            <w:noWrap/>
            <w:hideMark/>
          </w:tcPr>
          <w:p w14:paraId="62DEB127"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104,59</w:t>
            </w:r>
          </w:p>
        </w:tc>
        <w:tc>
          <w:tcPr>
            <w:tcW w:w="992" w:type="dxa"/>
            <w:tcBorders>
              <w:bottom w:val="single" w:sz="4" w:space="0" w:color="auto"/>
            </w:tcBorders>
            <w:shd w:val="clear" w:color="auto" w:fill="auto"/>
            <w:noWrap/>
            <w:hideMark/>
          </w:tcPr>
          <w:p w14:paraId="143F006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4,59</w:t>
            </w:r>
          </w:p>
        </w:tc>
        <w:tc>
          <w:tcPr>
            <w:tcW w:w="709" w:type="dxa"/>
            <w:tcBorders>
              <w:bottom w:val="single" w:sz="4" w:space="0" w:color="auto"/>
            </w:tcBorders>
            <w:shd w:val="clear" w:color="auto" w:fill="auto"/>
            <w:noWrap/>
            <w:hideMark/>
          </w:tcPr>
          <w:p w14:paraId="50005EF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4459,70</w:t>
            </w:r>
          </w:p>
        </w:tc>
        <w:tc>
          <w:tcPr>
            <w:tcW w:w="1134" w:type="dxa"/>
            <w:tcBorders>
              <w:bottom w:val="single" w:sz="4" w:space="0" w:color="auto"/>
            </w:tcBorders>
            <w:shd w:val="clear" w:color="auto" w:fill="auto"/>
            <w:noWrap/>
            <w:hideMark/>
          </w:tcPr>
          <w:p w14:paraId="39471B5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179,11</w:t>
            </w:r>
          </w:p>
        </w:tc>
        <w:tc>
          <w:tcPr>
            <w:tcW w:w="1134" w:type="dxa"/>
            <w:tcBorders>
              <w:bottom w:val="single" w:sz="4" w:space="0" w:color="auto"/>
            </w:tcBorders>
            <w:shd w:val="clear" w:color="auto" w:fill="auto"/>
            <w:noWrap/>
            <w:hideMark/>
          </w:tcPr>
          <w:p w14:paraId="77F1BA7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104,16</w:t>
            </w:r>
          </w:p>
        </w:tc>
        <w:tc>
          <w:tcPr>
            <w:tcW w:w="992" w:type="dxa"/>
            <w:tcBorders>
              <w:bottom w:val="single" w:sz="4" w:space="0" w:color="auto"/>
            </w:tcBorders>
            <w:shd w:val="clear" w:color="auto" w:fill="auto"/>
            <w:noWrap/>
            <w:hideMark/>
          </w:tcPr>
          <w:p w14:paraId="0F8C495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4,16</w:t>
            </w:r>
          </w:p>
        </w:tc>
      </w:tr>
      <w:tr w:rsidR="00901D83" w:rsidRPr="006E1680" w14:paraId="1717D079" w14:textId="77777777" w:rsidTr="00BA3CA8">
        <w:trPr>
          <w:trHeight w:val="255"/>
        </w:trPr>
        <w:tc>
          <w:tcPr>
            <w:tcW w:w="1134" w:type="dxa"/>
            <w:vMerge w:val="restart"/>
            <w:shd w:val="clear" w:color="auto" w:fill="auto"/>
            <w:noWrap/>
            <w:hideMark/>
          </w:tcPr>
          <w:p w14:paraId="0BC5921F" w14:textId="77777777" w:rsidR="00901D83" w:rsidRPr="006E1680" w:rsidRDefault="00901D83" w:rsidP="00901D83">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Бостандыкский</w:t>
            </w:r>
          </w:p>
        </w:tc>
        <w:tc>
          <w:tcPr>
            <w:tcW w:w="993" w:type="dxa"/>
            <w:shd w:val="clear" w:color="auto" w:fill="auto"/>
            <w:noWrap/>
            <w:hideMark/>
          </w:tcPr>
          <w:p w14:paraId="35835FE4" w14:textId="77777777" w:rsidR="00901D83" w:rsidRPr="006E1680" w:rsidRDefault="00901D83" w:rsidP="00901D83">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2012</w:t>
            </w:r>
          </w:p>
        </w:tc>
        <w:tc>
          <w:tcPr>
            <w:tcW w:w="708" w:type="dxa"/>
            <w:shd w:val="clear" w:color="auto" w:fill="auto"/>
            <w:hideMark/>
          </w:tcPr>
          <w:p w14:paraId="0C028340" w14:textId="77777777" w:rsidR="00901D83" w:rsidRPr="006E1680" w:rsidRDefault="00901D83" w:rsidP="00901D83">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3685</w:t>
            </w:r>
          </w:p>
        </w:tc>
        <w:tc>
          <w:tcPr>
            <w:tcW w:w="993" w:type="dxa"/>
            <w:shd w:val="clear" w:color="auto" w:fill="auto"/>
            <w:noWrap/>
            <w:hideMark/>
          </w:tcPr>
          <w:p w14:paraId="5771E46C" w14:textId="75632BAD" w:rsidR="00901D83" w:rsidRPr="006E1680" w:rsidRDefault="00901D83" w:rsidP="00901D83">
            <w:pPr>
              <w:spacing w:after="0" w:line="240" w:lineRule="auto"/>
              <w:jc w:val="center"/>
              <w:rPr>
                <w:rFonts w:ascii="Times New Roman" w:eastAsia="Times New Roman" w:hAnsi="Times New Roman" w:cs="Times New Roman"/>
                <w:sz w:val="24"/>
                <w:szCs w:val="24"/>
              </w:rPr>
            </w:pPr>
            <w:r w:rsidRPr="00B4307D">
              <w:rPr>
                <w:rFonts w:ascii="Times New Roman" w:eastAsia="Times New Roman" w:hAnsi="Times New Roman" w:cs="Times New Roman"/>
                <w:sz w:val="24"/>
                <w:szCs w:val="24"/>
              </w:rPr>
              <w:t>-</w:t>
            </w:r>
          </w:p>
        </w:tc>
        <w:tc>
          <w:tcPr>
            <w:tcW w:w="992" w:type="dxa"/>
            <w:shd w:val="clear" w:color="auto" w:fill="auto"/>
            <w:noWrap/>
            <w:hideMark/>
          </w:tcPr>
          <w:p w14:paraId="4754E996" w14:textId="31E08FCE" w:rsidR="00901D83" w:rsidRPr="006E1680" w:rsidRDefault="00901D83" w:rsidP="00901D83">
            <w:pPr>
              <w:spacing w:after="0" w:line="240" w:lineRule="auto"/>
              <w:jc w:val="center"/>
              <w:rPr>
                <w:rFonts w:ascii="Times New Roman" w:eastAsia="Times New Roman" w:hAnsi="Times New Roman" w:cs="Times New Roman"/>
                <w:sz w:val="24"/>
                <w:szCs w:val="24"/>
              </w:rPr>
            </w:pPr>
            <w:r w:rsidRPr="00B4307D">
              <w:rPr>
                <w:rFonts w:ascii="Times New Roman" w:eastAsia="Times New Roman" w:hAnsi="Times New Roman" w:cs="Times New Roman"/>
                <w:sz w:val="24"/>
                <w:szCs w:val="24"/>
              </w:rPr>
              <w:t>-</w:t>
            </w:r>
          </w:p>
        </w:tc>
        <w:tc>
          <w:tcPr>
            <w:tcW w:w="1276" w:type="dxa"/>
            <w:shd w:val="clear" w:color="auto" w:fill="auto"/>
            <w:noWrap/>
            <w:hideMark/>
          </w:tcPr>
          <w:p w14:paraId="1F91FDFB" w14:textId="184ABF68" w:rsidR="00901D83" w:rsidRPr="006E1680" w:rsidRDefault="00901D83" w:rsidP="00901D83">
            <w:pPr>
              <w:spacing w:after="0" w:line="240" w:lineRule="auto"/>
              <w:jc w:val="center"/>
              <w:rPr>
                <w:rFonts w:ascii="Times New Roman" w:eastAsia="Times New Roman" w:hAnsi="Times New Roman" w:cs="Times New Roman"/>
                <w:sz w:val="24"/>
                <w:szCs w:val="24"/>
              </w:rPr>
            </w:pPr>
            <w:r w:rsidRPr="00B4307D">
              <w:rPr>
                <w:rFonts w:ascii="Times New Roman" w:eastAsia="Times New Roman" w:hAnsi="Times New Roman" w:cs="Times New Roman"/>
                <w:sz w:val="24"/>
                <w:szCs w:val="24"/>
              </w:rPr>
              <w:t>-</w:t>
            </w:r>
          </w:p>
        </w:tc>
        <w:tc>
          <w:tcPr>
            <w:tcW w:w="850" w:type="dxa"/>
            <w:shd w:val="clear" w:color="auto" w:fill="auto"/>
            <w:hideMark/>
          </w:tcPr>
          <w:p w14:paraId="3EC93B88" w14:textId="77777777" w:rsidR="00901D83" w:rsidRPr="006E1680" w:rsidRDefault="00901D83" w:rsidP="00901D83">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1094</w:t>
            </w:r>
          </w:p>
        </w:tc>
        <w:tc>
          <w:tcPr>
            <w:tcW w:w="851" w:type="dxa"/>
            <w:shd w:val="clear" w:color="auto" w:fill="auto"/>
            <w:noWrap/>
            <w:hideMark/>
          </w:tcPr>
          <w:p w14:paraId="48FDB6D5" w14:textId="7BAA5FEF" w:rsidR="00901D83" w:rsidRPr="006E1680" w:rsidRDefault="00901D83" w:rsidP="00901D83">
            <w:pPr>
              <w:spacing w:after="0" w:line="240" w:lineRule="auto"/>
              <w:jc w:val="center"/>
              <w:rPr>
                <w:rFonts w:ascii="Times New Roman" w:eastAsia="Times New Roman" w:hAnsi="Times New Roman" w:cs="Times New Roman"/>
                <w:sz w:val="24"/>
                <w:szCs w:val="24"/>
              </w:rPr>
            </w:pPr>
            <w:r w:rsidRPr="00BF1880">
              <w:rPr>
                <w:rFonts w:ascii="Times New Roman" w:eastAsia="Times New Roman" w:hAnsi="Times New Roman" w:cs="Times New Roman"/>
                <w:sz w:val="24"/>
                <w:szCs w:val="24"/>
              </w:rPr>
              <w:t>-</w:t>
            </w:r>
          </w:p>
        </w:tc>
        <w:tc>
          <w:tcPr>
            <w:tcW w:w="1559" w:type="dxa"/>
            <w:shd w:val="clear" w:color="auto" w:fill="auto"/>
            <w:noWrap/>
            <w:hideMark/>
          </w:tcPr>
          <w:p w14:paraId="485BEED5" w14:textId="522F48B6" w:rsidR="00901D83" w:rsidRPr="006E1680" w:rsidRDefault="00901D83" w:rsidP="00901D83">
            <w:pPr>
              <w:spacing w:after="0" w:line="240" w:lineRule="auto"/>
              <w:jc w:val="center"/>
              <w:rPr>
                <w:rFonts w:ascii="Times New Roman" w:eastAsia="Times New Roman" w:hAnsi="Times New Roman" w:cs="Times New Roman"/>
                <w:sz w:val="24"/>
                <w:szCs w:val="24"/>
              </w:rPr>
            </w:pPr>
            <w:r w:rsidRPr="00BF1880">
              <w:rPr>
                <w:rFonts w:ascii="Times New Roman" w:eastAsia="Times New Roman" w:hAnsi="Times New Roman" w:cs="Times New Roman"/>
                <w:sz w:val="24"/>
                <w:szCs w:val="24"/>
              </w:rPr>
              <w:t>-</w:t>
            </w:r>
          </w:p>
        </w:tc>
        <w:tc>
          <w:tcPr>
            <w:tcW w:w="992" w:type="dxa"/>
            <w:shd w:val="clear" w:color="auto" w:fill="auto"/>
            <w:noWrap/>
            <w:hideMark/>
          </w:tcPr>
          <w:p w14:paraId="09E638F9" w14:textId="16B73BE2" w:rsidR="00901D83" w:rsidRPr="006E1680" w:rsidRDefault="00901D83" w:rsidP="00901D83">
            <w:pPr>
              <w:spacing w:after="0" w:line="240" w:lineRule="auto"/>
              <w:jc w:val="center"/>
              <w:rPr>
                <w:rFonts w:ascii="Times New Roman" w:eastAsia="Times New Roman" w:hAnsi="Times New Roman" w:cs="Times New Roman"/>
                <w:sz w:val="24"/>
                <w:szCs w:val="24"/>
              </w:rPr>
            </w:pPr>
            <w:r w:rsidRPr="00BF1880">
              <w:rPr>
                <w:rFonts w:ascii="Times New Roman" w:eastAsia="Times New Roman" w:hAnsi="Times New Roman" w:cs="Times New Roman"/>
                <w:sz w:val="24"/>
                <w:szCs w:val="24"/>
              </w:rPr>
              <w:t>-</w:t>
            </w:r>
          </w:p>
        </w:tc>
        <w:tc>
          <w:tcPr>
            <w:tcW w:w="709" w:type="dxa"/>
            <w:shd w:val="clear" w:color="auto" w:fill="auto"/>
            <w:hideMark/>
          </w:tcPr>
          <w:p w14:paraId="602468E5" w14:textId="77777777" w:rsidR="00901D83" w:rsidRPr="006E1680" w:rsidRDefault="00901D83" w:rsidP="00901D83">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2591</w:t>
            </w:r>
          </w:p>
        </w:tc>
        <w:tc>
          <w:tcPr>
            <w:tcW w:w="1134" w:type="dxa"/>
            <w:shd w:val="clear" w:color="auto" w:fill="auto"/>
            <w:noWrap/>
            <w:hideMark/>
          </w:tcPr>
          <w:p w14:paraId="6FD8FB1F" w14:textId="0362C3C9" w:rsidR="00901D83" w:rsidRPr="006E1680" w:rsidRDefault="00901D83" w:rsidP="00901D83">
            <w:pPr>
              <w:spacing w:after="0" w:line="240" w:lineRule="auto"/>
              <w:jc w:val="center"/>
              <w:rPr>
                <w:rFonts w:ascii="Times New Roman" w:eastAsia="Times New Roman" w:hAnsi="Times New Roman" w:cs="Times New Roman"/>
                <w:sz w:val="24"/>
                <w:szCs w:val="24"/>
              </w:rPr>
            </w:pPr>
            <w:r w:rsidRPr="00DE4FB5">
              <w:rPr>
                <w:rFonts w:ascii="Times New Roman" w:eastAsia="Times New Roman" w:hAnsi="Times New Roman" w:cs="Times New Roman"/>
                <w:sz w:val="24"/>
                <w:szCs w:val="24"/>
              </w:rPr>
              <w:t>-</w:t>
            </w:r>
          </w:p>
        </w:tc>
        <w:tc>
          <w:tcPr>
            <w:tcW w:w="1134" w:type="dxa"/>
            <w:shd w:val="clear" w:color="auto" w:fill="auto"/>
            <w:noWrap/>
            <w:hideMark/>
          </w:tcPr>
          <w:p w14:paraId="7226BD9C" w14:textId="6464DE6B" w:rsidR="00901D83" w:rsidRPr="006E1680" w:rsidRDefault="00901D83" w:rsidP="00901D83">
            <w:pPr>
              <w:spacing w:after="0" w:line="240" w:lineRule="auto"/>
              <w:jc w:val="center"/>
              <w:rPr>
                <w:rFonts w:ascii="Times New Roman" w:eastAsia="Times New Roman" w:hAnsi="Times New Roman" w:cs="Times New Roman"/>
                <w:sz w:val="24"/>
                <w:szCs w:val="24"/>
              </w:rPr>
            </w:pPr>
            <w:r w:rsidRPr="00DE4FB5">
              <w:rPr>
                <w:rFonts w:ascii="Times New Roman" w:eastAsia="Times New Roman" w:hAnsi="Times New Roman" w:cs="Times New Roman"/>
                <w:sz w:val="24"/>
                <w:szCs w:val="24"/>
              </w:rPr>
              <w:t>-</w:t>
            </w:r>
          </w:p>
        </w:tc>
        <w:tc>
          <w:tcPr>
            <w:tcW w:w="992" w:type="dxa"/>
            <w:shd w:val="clear" w:color="auto" w:fill="auto"/>
            <w:noWrap/>
            <w:hideMark/>
          </w:tcPr>
          <w:p w14:paraId="5344F27F" w14:textId="2F219390" w:rsidR="00901D83" w:rsidRPr="006E1680" w:rsidRDefault="00901D83" w:rsidP="00901D83">
            <w:pPr>
              <w:spacing w:after="0" w:line="240" w:lineRule="auto"/>
              <w:jc w:val="center"/>
              <w:rPr>
                <w:rFonts w:ascii="Times New Roman" w:eastAsia="Times New Roman" w:hAnsi="Times New Roman" w:cs="Times New Roman"/>
                <w:sz w:val="24"/>
                <w:szCs w:val="24"/>
              </w:rPr>
            </w:pPr>
            <w:r w:rsidRPr="00DE4FB5">
              <w:rPr>
                <w:rFonts w:ascii="Times New Roman" w:eastAsia="Times New Roman" w:hAnsi="Times New Roman" w:cs="Times New Roman"/>
                <w:sz w:val="24"/>
                <w:szCs w:val="24"/>
              </w:rPr>
              <w:t>-</w:t>
            </w:r>
          </w:p>
        </w:tc>
      </w:tr>
      <w:tr w:rsidR="00FA5792" w:rsidRPr="006E1680" w14:paraId="68109448" w14:textId="77777777" w:rsidTr="00BA3CA8">
        <w:trPr>
          <w:trHeight w:val="255"/>
        </w:trPr>
        <w:tc>
          <w:tcPr>
            <w:tcW w:w="1134" w:type="dxa"/>
            <w:vMerge/>
            <w:vAlign w:val="center"/>
            <w:hideMark/>
          </w:tcPr>
          <w:p w14:paraId="07A57FBD"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7322179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2013</w:t>
            </w:r>
          </w:p>
        </w:tc>
        <w:tc>
          <w:tcPr>
            <w:tcW w:w="708" w:type="dxa"/>
            <w:shd w:val="clear" w:color="auto" w:fill="auto"/>
            <w:hideMark/>
          </w:tcPr>
          <w:p w14:paraId="7DF053A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3985</w:t>
            </w:r>
          </w:p>
        </w:tc>
        <w:tc>
          <w:tcPr>
            <w:tcW w:w="993" w:type="dxa"/>
            <w:shd w:val="clear" w:color="auto" w:fill="auto"/>
            <w:noWrap/>
            <w:hideMark/>
          </w:tcPr>
          <w:p w14:paraId="07C5E5F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300,00</w:t>
            </w:r>
          </w:p>
        </w:tc>
        <w:tc>
          <w:tcPr>
            <w:tcW w:w="992" w:type="dxa"/>
            <w:shd w:val="clear" w:color="auto" w:fill="auto"/>
            <w:noWrap/>
            <w:hideMark/>
          </w:tcPr>
          <w:p w14:paraId="4E1311E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49,66</w:t>
            </w:r>
          </w:p>
        </w:tc>
        <w:tc>
          <w:tcPr>
            <w:tcW w:w="1276" w:type="dxa"/>
            <w:shd w:val="clear" w:color="auto" w:fill="auto"/>
            <w:noWrap/>
            <w:hideMark/>
          </w:tcPr>
          <w:p w14:paraId="4CA2FCC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-50,34</w:t>
            </w:r>
          </w:p>
        </w:tc>
        <w:tc>
          <w:tcPr>
            <w:tcW w:w="850" w:type="dxa"/>
            <w:shd w:val="clear" w:color="auto" w:fill="auto"/>
            <w:hideMark/>
          </w:tcPr>
          <w:p w14:paraId="23C9003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1224</w:t>
            </w:r>
          </w:p>
        </w:tc>
        <w:tc>
          <w:tcPr>
            <w:tcW w:w="851" w:type="dxa"/>
            <w:shd w:val="clear" w:color="auto" w:fill="auto"/>
            <w:noWrap/>
            <w:hideMark/>
          </w:tcPr>
          <w:p w14:paraId="711928B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130,00</w:t>
            </w:r>
          </w:p>
        </w:tc>
        <w:tc>
          <w:tcPr>
            <w:tcW w:w="1559" w:type="dxa"/>
            <w:shd w:val="clear" w:color="auto" w:fill="auto"/>
            <w:noWrap/>
            <w:hideMark/>
          </w:tcPr>
          <w:p w14:paraId="6D3C21A3"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41,74</w:t>
            </w:r>
          </w:p>
        </w:tc>
        <w:tc>
          <w:tcPr>
            <w:tcW w:w="992" w:type="dxa"/>
            <w:shd w:val="clear" w:color="auto" w:fill="auto"/>
            <w:noWrap/>
            <w:hideMark/>
          </w:tcPr>
          <w:p w14:paraId="36E361B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-58,26</w:t>
            </w:r>
          </w:p>
        </w:tc>
        <w:tc>
          <w:tcPr>
            <w:tcW w:w="709" w:type="dxa"/>
            <w:shd w:val="clear" w:color="auto" w:fill="auto"/>
            <w:hideMark/>
          </w:tcPr>
          <w:p w14:paraId="4C28EB9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2761</w:t>
            </w:r>
          </w:p>
        </w:tc>
        <w:tc>
          <w:tcPr>
            <w:tcW w:w="1134" w:type="dxa"/>
            <w:shd w:val="clear" w:color="auto" w:fill="auto"/>
            <w:noWrap/>
            <w:hideMark/>
          </w:tcPr>
          <w:p w14:paraId="58E3FE7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170,00</w:t>
            </w:r>
          </w:p>
        </w:tc>
        <w:tc>
          <w:tcPr>
            <w:tcW w:w="1134" w:type="dxa"/>
            <w:shd w:val="clear" w:color="auto" w:fill="auto"/>
            <w:noWrap/>
            <w:hideMark/>
          </w:tcPr>
          <w:p w14:paraId="3DA4FA0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53,99</w:t>
            </w:r>
          </w:p>
        </w:tc>
        <w:tc>
          <w:tcPr>
            <w:tcW w:w="992" w:type="dxa"/>
            <w:shd w:val="clear" w:color="auto" w:fill="auto"/>
            <w:noWrap/>
            <w:hideMark/>
          </w:tcPr>
          <w:p w14:paraId="7D19F67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-46,01</w:t>
            </w:r>
          </w:p>
        </w:tc>
      </w:tr>
      <w:tr w:rsidR="00FA5792" w:rsidRPr="006E1680" w14:paraId="0E7689CC" w14:textId="77777777" w:rsidTr="00BA3CA8">
        <w:trPr>
          <w:trHeight w:val="255"/>
        </w:trPr>
        <w:tc>
          <w:tcPr>
            <w:tcW w:w="1134" w:type="dxa"/>
            <w:vMerge/>
            <w:vAlign w:val="center"/>
            <w:hideMark/>
          </w:tcPr>
          <w:p w14:paraId="5F158DC2"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58EC322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2014</w:t>
            </w:r>
          </w:p>
        </w:tc>
        <w:tc>
          <w:tcPr>
            <w:tcW w:w="708" w:type="dxa"/>
            <w:shd w:val="clear" w:color="auto" w:fill="auto"/>
            <w:hideMark/>
          </w:tcPr>
          <w:p w14:paraId="784BEFF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4337</w:t>
            </w:r>
          </w:p>
        </w:tc>
        <w:tc>
          <w:tcPr>
            <w:tcW w:w="993" w:type="dxa"/>
            <w:shd w:val="clear" w:color="auto" w:fill="auto"/>
            <w:noWrap/>
            <w:hideMark/>
          </w:tcPr>
          <w:p w14:paraId="144261C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352,00</w:t>
            </w:r>
          </w:p>
        </w:tc>
        <w:tc>
          <w:tcPr>
            <w:tcW w:w="992" w:type="dxa"/>
            <w:shd w:val="clear" w:color="auto" w:fill="auto"/>
            <w:noWrap/>
            <w:hideMark/>
          </w:tcPr>
          <w:p w14:paraId="51ADD0D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53,71</w:t>
            </w:r>
          </w:p>
        </w:tc>
        <w:tc>
          <w:tcPr>
            <w:tcW w:w="1276" w:type="dxa"/>
            <w:shd w:val="clear" w:color="auto" w:fill="auto"/>
            <w:noWrap/>
            <w:hideMark/>
          </w:tcPr>
          <w:p w14:paraId="143238E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-46,29</w:t>
            </w:r>
          </w:p>
        </w:tc>
        <w:tc>
          <w:tcPr>
            <w:tcW w:w="850" w:type="dxa"/>
            <w:shd w:val="clear" w:color="auto" w:fill="auto"/>
            <w:hideMark/>
          </w:tcPr>
          <w:p w14:paraId="65BEADF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1358</w:t>
            </w:r>
          </w:p>
        </w:tc>
        <w:tc>
          <w:tcPr>
            <w:tcW w:w="851" w:type="dxa"/>
            <w:shd w:val="clear" w:color="auto" w:fill="auto"/>
            <w:noWrap/>
            <w:hideMark/>
          </w:tcPr>
          <w:p w14:paraId="5F25D79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134,00</w:t>
            </w:r>
          </w:p>
        </w:tc>
        <w:tc>
          <w:tcPr>
            <w:tcW w:w="1559" w:type="dxa"/>
            <w:shd w:val="clear" w:color="auto" w:fill="auto"/>
            <w:noWrap/>
            <w:hideMark/>
          </w:tcPr>
          <w:p w14:paraId="49CBBDE7"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46,70</w:t>
            </w:r>
          </w:p>
        </w:tc>
        <w:tc>
          <w:tcPr>
            <w:tcW w:w="992" w:type="dxa"/>
            <w:shd w:val="clear" w:color="auto" w:fill="auto"/>
            <w:noWrap/>
            <w:hideMark/>
          </w:tcPr>
          <w:p w14:paraId="284113C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-53,30</w:t>
            </w:r>
          </w:p>
        </w:tc>
        <w:tc>
          <w:tcPr>
            <w:tcW w:w="709" w:type="dxa"/>
            <w:shd w:val="clear" w:color="auto" w:fill="auto"/>
            <w:hideMark/>
          </w:tcPr>
          <w:p w14:paraId="63A13A8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2979</w:t>
            </w:r>
          </w:p>
        </w:tc>
        <w:tc>
          <w:tcPr>
            <w:tcW w:w="1134" w:type="dxa"/>
            <w:shd w:val="clear" w:color="auto" w:fill="auto"/>
            <w:noWrap/>
            <w:hideMark/>
          </w:tcPr>
          <w:p w14:paraId="3B4EF01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218,00</w:t>
            </w:r>
          </w:p>
        </w:tc>
        <w:tc>
          <w:tcPr>
            <w:tcW w:w="1134" w:type="dxa"/>
            <w:shd w:val="clear" w:color="auto" w:fill="auto"/>
            <w:noWrap/>
            <w:hideMark/>
          </w:tcPr>
          <w:p w14:paraId="5E5E3C4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57,53</w:t>
            </w:r>
          </w:p>
        </w:tc>
        <w:tc>
          <w:tcPr>
            <w:tcW w:w="992" w:type="dxa"/>
            <w:shd w:val="clear" w:color="auto" w:fill="auto"/>
            <w:noWrap/>
            <w:hideMark/>
          </w:tcPr>
          <w:p w14:paraId="603C903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-42,47</w:t>
            </w:r>
          </w:p>
        </w:tc>
      </w:tr>
      <w:tr w:rsidR="00FA5792" w:rsidRPr="006E1680" w14:paraId="0EC3A873" w14:textId="77777777" w:rsidTr="00BA3CA8">
        <w:trPr>
          <w:trHeight w:val="255"/>
        </w:trPr>
        <w:tc>
          <w:tcPr>
            <w:tcW w:w="1134" w:type="dxa"/>
            <w:vMerge/>
            <w:vAlign w:val="center"/>
            <w:hideMark/>
          </w:tcPr>
          <w:p w14:paraId="74910078"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79CBDF9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2015</w:t>
            </w:r>
          </w:p>
        </w:tc>
        <w:tc>
          <w:tcPr>
            <w:tcW w:w="708" w:type="dxa"/>
            <w:shd w:val="clear" w:color="auto" w:fill="auto"/>
            <w:hideMark/>
          </w:tcPr>
          <w:p w14:paraId="1D4EC37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4493</w:t>
            </w:r>
          </w:p>
        </w:tc>
        <w:tc>
          <w:tcPr>
            <w:tcW w:w="993" w:type="dxa"/>
            <w:shd w:val="clear" w:color="auto" w:fill="auto"/>
            <w:noWrap/>
            <w:hideMark/>
          </w:tcPr>
          <w:p w14:paraId="71AE351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156,00</w:t>
            </w:r>
          </w:p>
        </w:tc>
        <w:tc>
          <w:tcPr>
            <w:tcW w:w="992" w:type="dxa"/>
            <w:shd w:val="clear" w:color="auto" w:fill="auto"/>
            <w:noWrap/>
            <w:hideMark/>
          </w:tcPr>
          <w:p w14:paraId="4338041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58,45</w:t>
            </w:r>
          </w:p>
        </w:tc>
        <w:tc>
          <w:tcPr>
            <w:tcW w:w="1276" w:type="dxa"/>
            <w:shd w:val="clear" w:color="auto" w:fill="auto"/>
            <w:noWrap/>
            <w:hideMark/>
          </w:tcPr>
          <w:p w14:paraId="57025BB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-41,55</w:t>
            </w:r>
          </w:p>
        </w:tc>
        <w:tc>
          <w:tcPr>
            <w:tcW w:w="850" w:type="dxa"/>
            <w:shd w:val="clear" w:color="auto" w:fill="auto"/>
            <w:hideMark/>
          </w:tcPr>
          <w:p w14:paraId="1086835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1423</w:t>
            </w:r>
          </w:p>
        </w:tc>
        <w:tc>
          <w:tcPr>
            <w:tcW w:w="851" w:type="dxa"/>
            <w:shd w:val="clear" w:color="auto" w:fill="auto"/>
            <w:noWrap/>
            <w:hideMark/>
          </w:tcPr>
          <w:p w14:paraId="136A132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65,00</w:t>
            </w:r>
          </w:p>
        </w:tc>
        <w:tc>
          <w:tcPr>
            <w:tcW w:w="1559" w:type="dxa"/>
            <w:shd w:val="clear" w:color="auto" w:fill="auto"/>
            <w:noWrap/>
            <w:hideMark/>
          </w:tcPr>
          <w:p w14:paraId="676D7185"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51,81</w:t>
            </w:r>
          </w:p>
        </w:tc>
        <w:tc>
          <w:tcPr>
            <w:tcW w:w="992" w:type="dxa"/>
            <w:shd w:val="clear" w:color="auto" w:fill="auto"/>
            <w:noWrap/>
            <w:hideMark/>
          </w:tcPr>
          <w:p w14:paraId="6CA8D78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-48,19</w:t>
            </w:r>
          </w:p>
        </w:tc>
        <w:tc>
          <w:tcPr>
            <w:tcW w:w="709" w:type="dxa"/>
            <w:shd w:val="clear" w:color="auto" w:fill="auto"/>
            <w:hideMark/>
          </w:tcPr>
          <w:p w14:paraId="24622D1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3070</w:t>
            </w:r>
          </w:p>
        </w:tc>
        <w:tc>
          <w:tcPr>
            <w:tcW w:w="1134" w:type="dxa"/>
            <w:shd w:val="clear" w:color="auto" w:fill="auto"/>
            <w:noWrap/>
            <w:hideMark/>
          </w:tcPr>
          <w:p w14:paraId="6567ADE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91,00</w:t>
            </w:r>
          </w:p>
        </w:tc>
        <w:tc>
          <w:tcPr>
            <w:tcW w:w="1134" w:type="dxa"/>
            <w:shd w:val="clear" w:color="auto" w:fill="auto"/>
            <w:noWrap/>
            <w:hideMark/>
          </w:tcPr>
          <w:p w14:paraId="55886B9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62,08</w:t>
            </w:r>
          </w:p>
        </w:tc>
        <w:tc>
          <w:tcPr>
            <w:tcW w:w="992" w:type="dxa"/>
            <w:shd w:val="clear" w:color="auto" w:fill="auto"/>
            <w:noWrap/>
            <w:hideMark/>
          </w:tcPr>
          <w:p w14:paraId="6D952BF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-37,92</w:t>
            </w:r>
          </w:p>
        </w:tc>
      </w:tr>
      <w:tr w:rsidR="00FA5792" w:rsidRPr="006E1680" w14:paraId="78CC5D88" w14:textId="77777777" w:rsidTr="00BA3CA8">
        <w:trPr>
          <w:trHeight w:val="255"/>
        </w:trPr>
        <w:tc>
          <w:tcPr>
            <w:tcW w:w="1134" w:type="dxa"/>
            <w:vMerge/>
            <w:vAlign w:val="center"/>
            <w:hideMark/>
          </w:tcPr>
          <w:p w14:paraId="03220CD6"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4C53250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2016</w:t>
            </w:r>
          </w:p>
        </w:tc>
        <w:tc>
          <w:tcPr>
            <w:tcW w:w="708" w:type="dxa"/>
            <w:shd w:val="clear" w:color="auto" w:fill="auto"/>
            <w:hideMark/>
          </w:tcPr>
          <w:p w14:paraId="2CC0CC6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4979</w:t>
            </w:r>
          </w:p>
        </w:tc>
        <w:tc>
          <w:tcPr>
            <w:tcW w:w="993" w:type="dxa"/>
            <w:shd w:val="clear" w:color="auto" w:fill="auto"/>
            <w:noWrap/>
            <w:hideMark/>
          </w:tcPr>
          <w:p w14:paraId="7B6F294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486,00</w:t>
            </w:r>
          </w:p>
        </w:tc>
        <w:tc>
          <w:tcPr>
            <w:tcW w:w="992" w:type="dxa"/>
            <w:shd w:val="clear" w:color="auto" w:fill="auto"/>
            <w:noWrap/>
            <w:hideMark/>
          </w:tcPr>
          <w:p w14:paraId="728F145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60,55</w:t>
            </w:r>
          </w:p>
        </w:tc>
        <w:tc>
          <w:tcPr>
            <w:tcW w:w="1276" w:type="dxa"/>
            <w:shd w:val="clear" w:color="auto" w:fill="auto"/>
            <w:noWrap/>
            <w:hideMark/>
          </w:tcPr>
          <w:p w14:paraId="760BD9D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-39,45</w:t>
            </w:r>
          </w:p>
        </w:tc>
        <w:tc>
          <w:tcPr>
            <w:tcW w:w="850" w:type="dxa"/>
            <w:shd w:val="clear" w:color="auto" w:fill="auto"/>
            <w:hideMark/>
          </w:tcPr>
          <w:p w14:paraId="3FB0182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1594</w:t>
            </w:r>
          </w:p>
        </w:tc>
        <w:tc>
          <w:tcPr>
            <w:tcW w:w="851" w:type="dxa"/>
            <w:shd w:val="clear" w:color="auto" w:fill="auto"/>
            <w:noWrap/>
            <w:hideMark/>
          </w:tcPr>
          <w:p w14:paraId="619B089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171,00</w:t>
            </w:r>
          </w:p>
        </w:tc>
        <w:tc>
          <w:tcPr>
            <w:tcW w:w="1559" w:type="dxa"/>
            <w:shd w:val="clear" w:color="auto" w:fill="auto"/>
            <w:noWrap/>
            <w:hideMark/>
          </w:tcPr>
          <w:p w14:paraId="13A5C886"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54,29</w:t>
            </w:r>
          </w:p>
        </w:tc>
        <w:tc>
          <w:tcPr>
            <w:tcW w:w="992" w:type="dxa"/>
            <w:shd w:val="clear" w:color="auto" w:fill="auto"/>
            <w:noWrap/>
            <w:hideMark/>
          </w:tcPr>
          <w:p w14:paraId="5A0A889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-45,71</w:t>
            </w:r>
          </w:p>
        </w:tc>
        <w:tc>
          <w:tcPr>
            <w:tcW w:w="709" w:type="dxa"/>
            <w:shd w:val="clear" w:color="auto" w:fill="auto"/>
            <w:hideMark/>
          </w:tcPr>
          <w:p w14:paraId="6126960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3385</w:t>
            </w:r>
          </w:p>
        </w:tc>
        <w:tc>
          <w:tcPr>
            <w:tcW w:w="1134" w:type="dxa"/>
            <w:shd w:val="clear" w:color="auto" w:fill="auto"/>
            <w:noWrap/>
            <w:hideMark/>
          </w:tcPr>
          <w:p w14:paraId="2056FCA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315,00</w:t>
            </w:r>
          </w:p>
        </w:tc>
        <w:tc>
          <w:tcPr>
            <w:tcW w:w="1134" w:type="dxa"/>
            <w:shd w:val="clear" w:color="auto" w:fill="auto"/>
            <w:noWrap/>
            <w:hideMark/>
          </w:tcPr>
          <w:p w14:paraId="4426CE7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63,97</w:t>
            </w:r>
          </w:p>
        </w:tc>
        <w:tc>
          <w:tcPr>
            <w:tcW w:w="992" w:type="dxa"/>
            <w:shd w:val="clear" w:color="auto" w:fill="auto"/>
            <w:noWrap/>
            <w:hideMark/>
          </w:tcPr>
          <w:p w14:paraId="1FCC39A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-36,03</w:t>
            </w:r>
          </w:p>
        </w:tc>
      </w:tr>
      <w:tr w:rsidR="00FA5792" w:rsidRPr="006E1680" w14:paraId="4AD8853A" w14:textId="77777777" w:rsidTr="00BA3CA8">
        <w:trPr>
          <w:trHeight w:val="255"/>
        </w:trPr>
        <w:tc>
          <w:tcPr>
            <w:tcW w:w="1134" w:type="dxa"/>
            <w:vMerge/>
            <w:vAlign w:val="center"/>
            <w:hideMark/>
          </w:tcPr>
          <w:p w14:paraId="532D2E81"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075DEDB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2017</w:t>
            </w:r>
          </w:p>
        </w:tc>
        <w:tc>
          <w:tcPr>
            <w:tcW w:w="708" w:type="dxa"/>
            <w:shd w:val="clear" w:color="auto" w:fill="auto"/>
            <w:hideMark/>
          </w:tcPr>
          <w:p w14:paraId="39748F8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5407</w:t>
            </w:r>
          </w:p>
        </w:tc>
        <w:tc>
          <w:tcPr>
            <w:tcW w:w="993" w:type="dxa"/>
            <w:shd w:val="clear" w:color="auto" w:fill="auto"/>
            <w:noWrap/>
            <w:hideMark/>
          </w:tcPr>
          <w:p w14:paraId="47B3A51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428,00</w:t>
            </w:r>
          </w:p>
        </w:tc>
        <w:tc>
          <w:tcPr>
            <w:tcW w:w="992" w:type="dxa"/>
            <w:shd w:val="clear" w:color="auto" w:fill="auto"/>
            <w:noWrap/>
            <w:hideMark/>
          </w:tcPr>
          <w:p w14:paraId="51D0EB7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67,10</w:t>
            </w:r>
          </w:p>
        </w:tc>
        <w:tc>
          <w:tcPr>
            <w:tcW w:w="1276" w:type="dxa"/>
            <w:shd w:val="clear" w:color="auto" w:fill="auto"/>
            <w:noWrap/>
            <w:hideMark/>
          </w:tcPr>
          <w:p w14:paraId="56E565E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-32,90</w:t>
            </w:r>
          </w:p>
        </w:tc>
        <w:tc>
          <w:tcPr>
            <w:tcW w:w="850" w:type="dxa"/>
            <w:shd w:val="clear" w:color="auto" w:fill="auto"/>
            <w:hideMark/>
          </w:tcPr>
          <w:p w14:paraId="39843C6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1759</w:t>
            </w:r>
          </w:p>
        </w:tc>
        <w:tc>
          <w:tcPr>
            <w:tcW w:w="851" w:type="dxa"/>
            <w:shd w:val="clear" w:color="auto" w:fill="auto"/>
            <w:noWrap/>
            <w:hideMark/>
          </w:tcPr>
          <w:p w14:paraId="210EB05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165,00</w:t>
            </w:r>
          </w:p>
        </w:tc>
        <w:tc>
          <w:tcPr>
            <w:tcW w:w="1559" w:type="dxa"/>
            <w:shd w:val="clear" w:color="auto" w:fill="auto"/>
            <w:noWrap/>
            <w:hideMark/>
          </w:tcPr>
          <w:p w14:paraId="4B908AF2"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60,82</w:t>
            </w:r>
          </w:p>
        </w:tc>
        <w:tc>
          <w:tcPr>
            <w:tcW w:w="992" w:type="dxa"/>
            <w:shd w:val="clear" w:color="auto" w:fill="auto"/>
            <w:noWrap/>
            <w:hideMark/>
          </w:tcPr>
          <w:p w14:paraId="032F315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-39,18</w:t>
            </w:r>
          </w:p>
        </w:tc>
        <w:tc>
          <w:tcPr>
            <w:tcW w:w="709" w:type="dxa"/>
            <w:shd w:val="clear" w:color="auto" w:fill="auto"/>
            <w:hideMark/>
          </w:tcPr>
          <w:p w14:paraId="4485B99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3648</w:t>
            </w:r>
          </w:p>
        </w:tc>
        <w:tc>
          <w:tcPr>
            <w:tcW w:w="1134" w:type="dxa"/>
            <w:shd w:val="clear" w:color="auto" w:fill="auto"/>
            <w:noWrap/>
            <w:hideMark/>
          </w:tcPr>
          <w:p w14:paraId="592EAD6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263,00</w:t>
            </w:r>
          </w:p>
        </w:tc>
        <w:tc>
          <w:tcPr>
            <w:tcW w:w="1134" w:type="dxa"/>
            <w:shd w:val="clear" w:color="auto" w:fill="auto"/>
            <w:noWrap/>
            <w:hideMark/>
          </w:tcPr>
          <w:p w14:paraId="6EBF327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70,54</w:t>
            </w:r>
          </w:p>
        </w:tc>
        <w:tc>
          <w:tcPr>
            <w:tcW w:w="992" w:type="dxa"/>
            <w:shd w:val="clear" w:color="auto" w:fill="auto"/>
            <w:noWrap/>
            <w:hideMark/>
          </w:tcPr>
          <w:p w14:paraId="37FEF3B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-29,46</w:t>
            </w:r>
          </w:p>
        </w:tc>
      </w:tr>
      <w:tr w:rsidR="00FA5792" w:rsidRPr="006E1680" w14:paraId="03142992" w14:textId="77777777" w:rsidTr="00BA3CA8">
        <w:trPr>
          <w:trHeight w:val="255"/>
        </w:trPr>
        <w:tc>
          <w:tcPr>
            <w:tcW w:w="1134" w:type="dxa"/>
            <w:vMerge/>
            <w:vAlign w:val="center"/>
            <w:hideMark/>
          </w:tcPr>
          <w:p w14:paraId="6F7BE26D"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7EAA601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2018</w:t>
            </w:r>
          </w:p>
        </w:tc>
        <w:tc>
          <w:tcPr>
            <w:tcW w:w="708" w:type="dxa"/>
            <w:shd w:val="clear" w:color="auto" w:fill="auto"/>
            <w:hideMark/>
          </w:tcPr>
          <w:p w14:paraId="6934386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5974</w:t>
            </w:r>
          </w:p>
        </w:tc>
        <w:tc>
          <w:tcPr>
            <w:tcW w:w="993" w:type="dxa"/>
            <w:shd w:val="clear" w:color="auto" w:fill="auto"/>
            <w:noWrap/>
            <w:hideMark/>
          </w:tcPr>
          <w:p w14:paraId="1363B0B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567,00</w:t>
            </w:r>
          </w:p>
        </w:tc>
        <w:tc>
          <w:tcPr>
            <w:tcW w:w="992" w:type="dxa"/>
            <w:shd w:val="clear" w:color="auto" w:fill="auto"/>
            <w:noWrap/>
            <w:hideMark/>
          </w:tcPr>
          <w:p w14:paraId="728011C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72,87</w:t>
            </w:r>
          </w:p>
        </w:tc>
        <w:tc>
          <w:tcPr>
            <w:tcW w:w="1276" w:type="dxa"/>
            <w:shd w:val="clear" w:color="auto" w:fill="auto"/>
            <w:noWrap/>
            <w:hideMark/>
          </w:tcPr>
          <w:p w14:paraId="36371EA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-27,13</w:t>
            </w:r>
          </w:p>
        </w:tc>
        <w:tc>
          <w:tcPr>
            <w:tcW w:w="850" w:type="dxa"/>
            <w:shd w:val="clear" w:color="auto" w:fill="auto"/>
            <w:hideMark/>
          </w:tcPr>
          <w:p w14:paraId="7BA0471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1961</w:t>
            </w:r>
          </w:p>
        </w:tc>
        <w:tc>
          <w:tcPr>
            <w:tcW w:w="851" w:type="dxa"/>
            <w:shd w:val="clear" w:color="auto" w:fill="auto"/>
            <w:noWrap/>
            <w:hideMark/>
          </w:tcPr>
          <w:p w14:paraId="4ED3DCF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202,00</w:t>
            </w:r>
          </w:p>
        </w:tc>
        <w:tc>
          <w:tcPr>
            <w:tcW w:w="1559" w:type="dxa"/>
            <w:shd w:val="clear" w:color="auto" w:fill="auto"/>
            <w:noWrap/>
            <w:hideMark/>
          </w:tcPr>
          <w:p w14:paraId="30D12F79"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67,11</w:t>
            </w:r>
          </w:p>
        </w:tc>
        <w:tc>
          <w:tcPr>
            <w:tcW w:w="992" w:type="dxa"/>
            <w:shd w:val="clear" w:color="auto" w:fill="auto"/>
            <w:noWrap/>
            <w:hideMark/>
          </w:tcPr>
          <w:p w14:paraId="641707D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-32,89</w:t>
            </w:r>
          </w:p>
        </w:tc>
        <w:tc>
          <w:tcPr>
            <w:tcW w:w="709" w:type="dxa"/>
            <w:shd w:val="clear" w:color="auto" w:fill="auto"/>
            <w:hideMark/>
          </w:tcPr>
          <w:p w14:paraId="629425C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4013</w:t>
            </w:r>
          </w:p>
        </w:tc>
        <w:tc>
          <w:tcPr>
            <w:tcW w:w="1134" w:type="dxa"/>
            <w:shd w:val="clear" w:color="auto" w:fill="auto"/>
            <w:noWrap/>
            <w:hideMark/>
          </w:tcPr>
          <w:p w14:paraId="687B4F3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365,00</w:t>
            </w:r>
          </w:p>
        </w:tc>
        <w:tc>
          <w:tcPr>
            <w:tcW w:w="1134" w:type="dxa"/>
            <w:shd w:val="clear" w:color="auto" w:fill="auto"/>
            <w:noWrap/>
            <w:hideMark/>
          </w:tcPr>
          <w:p w14:paraId="5D9AC2B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76,02</w:t>
            </w:r>
          </w:p>
        </w:tc>
        <w:tc>
          <w:tcPr>
            <w:tcW w:w="992" w:type="dxa"/>
            <w:shd w:val="clear" w:color="auto" w:fill="auto"/>
            <w:noWrap/>
            <w:hideMark/>
          </w:tcPr>
          <w:p w14:paraId="152D39E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-23,98</w:t>
            </w:r>
          </w:p>
        </w:tc>
      </w:tr>
      <w:tr w:rsidR="00FA5792" w:rsidRPr="006E1680" w14:paraId="5A9FC425" w14:textId="77777777" w:rsidTr="00BA3CA8">
        <w:trPr>
          <w:trHeight w:val="255"/>
        </w:trPr>
        <w:tc>
          <w:tcPr>
            <w:tcW w:w="1134" w:type="dxa"/>
            <w:vMerge/>
            <w:vAlign w:val="center"/>
            <w:hideMark/>
          </w:tcPr>
          <w:p w14:paraId="378B6BCE"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7AB3864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2019</w:t>
            </w:r>
          </w:p>
        </w:tc>
        <w:tc>
          <w:tcPr>
            <w:tcW w:w="708" w:type="dxa"/>
            <w:shd w:val="clear" w:color="auto" w:fill="auto"/>
            <w:hideMark/>
          </w:tcPr>
          <w:p w14:paraId="5433CE8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6847</w:t>
            </w:r>
          </w:p>
        </w:tc>
        <w:tc>
          <w:tcPr>
            <w:tcW w:w="993" w:type="dxa"/>
            <w:shd w:val="clear" w:color="auto" w:fill="auto"/>
            <w:noWrap/>
            <w:hideMark/>
          </w:tcPr>
          <w:p w14:paraId="6286DE7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873,00</w:t>
            </w:r>
          </w:p>
        </w:tc>
        <w:tc>
          <w:tcPr>
            <w:tcW w:w="992" w:type="dxa"/>
            <w:shd w:val="clear" w:color="auto" w:fill="auto"/>
            <w:noWrap/>
            <w:hideMark/>
          </w:tcPr>
          <w:p w14:paraId="6B10873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80,51</w:t>
            </w:r>
          </w:p>
        </w:tc>
        <w:tc>
          <w:tcPr>
            <w:tcW w:w="1276" w:type="dxa"/>
            <w:shd w:val="clear" w:color="auto" w:fill="auto"/>
            <w:noWrap/>
            <w:hideMark/>
          </w:tcPr>
          <w:p w14:paraId="7421287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-19,49</w:t>
            </w:r>
          </w:p>
        </w:tc>
        <w:tc>
          <w:tcPr>
            <w:tcW w:w="850" w:type="dxa"/>
            <w:shd w:val="clear" w:color="auto" w:fill="auto"/>
            <w:hideMark/>
          </w:tcPr>
          <w:p w14:paraId="371A606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2299</w:t>
            </w:r>
          </w:p>
        </w:tc>
        <w:tc>
          <w:tcPr>
            <w:tcW w:w="851" w:type="dxa"/>
            <w:shd w:val="clear" w:color="auto" w:fill="auto"/>
            <w:noWrap/>
            <w:hideMark/>
          </w:tcPr>
          <w:p w14:paraId="09F237E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338,00</w:t>
            </w:r>
          </w:p>
        </w:tc>
        <w:tc>
          <w:tcPr>
            <w:tcW w:w="1559" w:type="dxa"/>
            <w:shd w:val="clear" w:color="auto" w:fill="auto"/>
            <w:noWrap/>
            <w:hideMark/>
          </w:tcPr>
          <w:p w14:paraId="2C574786"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74,82</w:t>
            </w:r>
          </w:p>
        </w:tc>
        <w:tc>
          <w:tcPr>
            <w:tcW w:w="992" w:type="dxa"/>
            <w:shd w:val="clear" w:color="auto" w:fill="auto"/>
            <w:noWrap/>
            <w:hideMark/>
          </w:tcPr>
          <w:p w14:paraId="2B5FB8C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-25,18</w:t>
            </w:r>
          </w:p>
        </w:tc>
        <w:tc>
          <w:tcPr>
            <w:tcW w:w="709" w:type="dxa"/>
            <w:shd w:val="clear" w:color="auto" w:fill="auto"/>
            <w:hideMark/>
          </w:tcPr>
          <w:p w14:paraId="1240364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4548</w:t>
            </w:r>
          </w:p>
        </w:tc>
        <w:tc>
          <w:tcPr>
            <w:tcW w:w="1134" w:type="dxa"/>
            <w:shd w:val="clear" w:color="auto" w:fill="auto"/>
            <w:noWrap/>
            <w:hideMark/>
          </w:tcPr>
          <w:p w14:paraId="446F446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535,00</w:t>
            </w:r>
          </w:p>
        </w:tc>
        <w:tc>
          <w:tcPr>
            <w:tcW w:w="1134" w:type="dxa"/>
            <w:shd w:val="clear" w:color="auto" w:fill="auto"/>
            <w:noWrap/>
            <w:hideMark/>
          </w:tcPr>
          <w:p w14:paraId="7B9FA12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83,62</w:t>
            </w:r>
          </w:p>
        </w:tc>
        <w:tc>
          <w:tcPr>
            <w:tcW w:w="992" w:type="dxa"/>
            <w:shd w:val="clear" w:color="auto" w:fill="auto"/>
            <w:noWrap/>
            <w:hideMark/>
          </w:tcPr>
          <w:p w14:paraId="35F6DD9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-16,38</w:t>
            </w:r>
          </w:p>
        </w:tc>
      </w:tr>
      <w:tr w:rsidR="00FA5792" w:rsidRPr="006E1680" w14:paraId="44F4DAA5" w14:textId="77777777" w:rsidTr="00BA3CA8">
        <w:trPr>
          <w:trHeight w:val="255"/>
        </w:trPr>
        <w:tc>
          <w:tcPr>
            <w:tcW w:w="1134" w:type="dxa"/>
            <w:vMerge/>
            <w:vAlign w:val="center"/>
            <w:hideMark/>
          </w:tcPr>
          <w:p w14:paraId="3E34948F"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023418F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2020</w:t>
            </w:r>
          </w:p>
        </w:tc>
        <w:tc>
          <w:tcPr>
            <w:tcW w:w="708" w:type="dxa"/>
            <w:shd w:val="clear" w:color="auto" w:fill="auto"/>
            <w:hideMark/>
          </w:tcPr>
          <w:p w14:paraId="23AEFF4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7107</w:t>
            </w:r>
          </w:p>
        </w:tc>
        <w:tc>
          <w:tcPr>
            <w:tcW w:w="993" w:type="dxa"/>
            <w:shd w:val="clear" w:color="auto" w:fill="auto"/>
            <w:noWrap/>
            <w:hideMark/>
          </w:tcPr>
          <w:p w14:paraId="0B84BD3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260,00</w:t>
            </w:r>
          </w:p>
        </w:tc>
        <w:tc>
          <w:tcPr>
            <w:tcW w:w="992" w:type="dxa"/>
            <w:shd w:val="clear" w:color="auto" w:fill="auto"/>
            <w:noWrap/>
            <w:hideMark/>
          </w:tcPr>
          <w:p w14:paraId="7E5C813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92,28</w:t>
            </w:r>
          </w:p>
        </w:tc>
        <w:tc>
          <w:tcPr>
            <w:tcW w:w="1276" w:type="dxa"/>
            <w:shd w:val="clear" w:color="auto" w:fill="auto"/>
            <w:noWrap/>
            <w:hideMark/>
          </w:tcPr>
          <w:p w14:paraId="3DD6BDD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-7,72</w:t>
            </w:r>
          </w:p>
        </w:tc>
        <w:tc>
          <w:tcPr>
            <w:tcW w:w="850" w:type="dxa"/>
            <w:shd w:val="clear" w:color="auto" w:fill="auto"/>
            <w:hideMark/>
          </w:tcPr>
          <w:p w14:paraId="723E332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2446</w:t>
            </w:r>
          </w:p>
        </w:tc>
        <w:tc>
          <w:tcPr>
            <w:tcW w:w="851" w:type="dxa"/>
            <w:shd w:val="clear" w:color="auto" w:fill="auto"/>
            <w:noWrap/>
            <w:hideMark/>
          </w:tcPr>
          <w:p w14:paraId="573C582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147,00</w:t>
            </w:r>
          </w:p>
        </w:tc>
        <w:tc>
          <w:tcPr>
            <w:tcW w:w="1559" w:type="dxa"/>
            <w:shd w:val="clear" w:color="auto" w:fill="auto"/>
            <w:noWrap/>
            <w:hideMark/>
          </w:tcPr>
          <w:p w14:paraId="410E77A8"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87,71</w:t>
            </w:r>
          </w:p>
        </w:tc>
        <w:tc>
          <w:tcPr>
            <w:tcW w:w="992" w:type="dxa"/>
            <w:shd w:val="clear" w:color="auto" w:fill="auto"/>
            <w:noWrap/>
            <w:hideMark/>
          </w:tcPr>
          <w:p w14:paraId="6311374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-12,29</w:t>
            </w:r>
          </w:p>
        </w:tc>
        <w:tc>
          <w:tcPr>
            <w:tcW w:w="709" w:type="dxa"/>
            <w:shd w:val="clear" w:color="auto" w:fill="auto"/>
            <w:hideMark/>
          </w:tcPr>
          <w:p w14:paraId="26838BE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4661</w:t>
            </w:r>
          </w:p>
        </w:tc>
        <w:tc>
          <w:tcPr>
            <w:tcW w:w="1134" w:type="dxa"/>
            <w:shd w:val="clear" w:color="auto" w:fill="auto"/>
            <w:noWrap/>
            <w:hideMark/>
          </w:tcPr>
          <w:p w14:paraId="1F9B956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113,00</w:t>
            </w:r>
          </w:p>
        </w:tc>
        <w:tc>
          <w:tcPr>
            <w:tcW w:w="1134" w:type="dxa"/>
            <w:shd w:val="clear" w:color="auto" w:fill="auto"/>
            <w:noWrap/>
            <w:hideMark/>
          </w:tcPr>
          <w:p w14:paraId="2EBE905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94,77</w:t>
            </w:r>
          </w:p>
        </w:tc>
        <w:tc>
          <w:tcPr>
            <w:tcW w:w="992" w:type="dxa"/>
            <w:shd w:val="clear" w:color="auto" w:fill="auto"/>
            <w:noWrap/>
            <w:hideMark/>
          </w:tcPr>
          <w:p w14:paraId="5FB52FB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-5,23</w:t>
            </w:r>
          </w:p>
        </w:tc>
      </w:tr>
      <w:tr w:rsidR="00FA5792" w:rsidRPr="006E1680" w14:paraId="39443A7E" w14:textId="77777777" w:rsidTr="00BA3CA8">
        <w:trPr>
          <w:trHeight w:val="255"/>
        </w:trPr>
        <w:tc>
          <w:tcPr>
            <w:tcW w:w="1134" w:type="dxa"/>
            <w:vMerge/>
            <w:tcBorders>
              <w:bottom w:val="nil"/>
            </w:tcBorders>
            <w:vAlign w:val="center"/>
            <w:hideMark/>
          </w:tcPr>
          <w:p w14:paraId="0074D140"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tcBorders>
              <w:bottom w:val="nil"/>
            </w:tcBorders>
            <w:shd w:val="clear" w:color="auto" w:fill="auto"/>
            <w:noWrap/>
            <w:hideMark/>
          </w:tcPr>
          <w:p w14:paraId="1C8C278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2021</w:t>
            </w:r>
          </w:p>
        </w:tc>
        <w:tc>
          <w:tcPr>
            <w:tcW w:w="708" w:type="dxa"/>
            <w:tcBorders>
              <w:bottom w:val="nil"/>
            </w:tcBorders>
            <w:shd w:val="clear" w:color="auto" w:fill="auto"/>
            <w:hideMark/>
          </w:tcPr>
          <w:p w14:paraId="47D5C82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7420</w:t>
            </w:r>
          </w:p>
        </w:tc>
        <w:tc>
          <w:tcPr>
            <w:tcW w:w="993" w:type="dxa"/>
            <w:tcBorders>
              <w:bottom w:val="nil"/>
            </w:tcBorders>
            <w:shd w:val="clear" w:color="auto" w:fill="auto"/>
            <w:noWrap/>
            <w:hideMark/>
          </w:tcPr>
          <w:p w14:paraId="6F6D530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313,00</w:t>
            </w:r>
          </w:p>
        </w:tc>
        <w:tc>
          <w:tcPr>
            <w:tcW w:w="992" w:type="dxa"/>
            <w:tcBorders>
              <w:bottom w:val="nil"/>
            </w:tcBorders>
            <w:shd w:val="clear" w:color="auto" w:fill="auto"/>
            <w:noWrap/>
            <w:hideMark/>
          </w:tcPr>
          <w:p w14:paraId="5017329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95,78</w:t>
            </w:r>
          </w:p>
        </w:tc>
        <w:tc>
          <w:tcPr>
            <w:tcW w:w="1276" w:type="dxa"/>
            <w:tcBorders>
              <w:bottom w:val="nil"/>
            </w:tcBorders>
            <w:shd w:val="clear" w:color="auto" w:fill="auto"/>
            <w:noWrap/>
            <w:hideMark/>
          </w:tcPr>
          <w:p w14:paraId="24FDDA0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-4,22</w:t>
            </w:r>
          </w:p>
        </w:tc>
        <w:tc>
          <w:tcPr>
            <w:tcW w:w="850" w:type="dxa"/>
            <w:tcBorders>
              <w:bottom w:val="nil"/>
            </w:tcBorders>
            <w:shd w:val="clear" w:color="auto" w:fill="auto"/>
            <w:hideMark/>
          </w:tcPr>
          <w:p w14:paraId="39A0FC7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2621</w:t>
            </w:r>
          </w:p>
        </w:tc>
        <w:tc>
          <w:tcPr>
            <w:tcW w:w="851" w:type="dxa"/>
            <w:tcBorders>
              <w:bottom w:val="nil"/>
            </w:tcBorders>
            <w:shd w:val="clear" w:color="auto" w:fill="auto"/>
            <w:noWrap/>
            <w:hideMark/>
          </w:tcPr>
          <w:p w14:paraId="7002C34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175,00</w:t>
            </w:r>
          </w:p>
        </w:tc>
        <w:tc>
          <w:tcPr>
            <w:tcW w:w="1559" w:type="dxa"/>
            <w:tcBorders>
              <w:bottom w:val="nil"/>
            </w:tcBorders>
            <w:shd w:val="clear" w:color="auto" w:fill="auto"/>
            <w:noWrap/>
            <w:hideMark/>
          </w:tcPr>
          <w:p w14:paraId="350AC819"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93,32</w:t>
            </w:r>
          </w:p>
        </w:tc>
        <w:tc>
          <w:tcPr>
            <w:tcW w:w="992" w:type="dxa"/>
            <w:tcBorders>
              <w:bottom w:val="nil"/>
            </w:tcBorders>
            <w:shd w:val="clear" w:color="auto" w:fill="auto"/>
            <w:noWrap/>
            <w:hideMark/>
          </w:tcPr>
          <w:p w14:paraId="79AB353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-6,68</w:t>
            </w:r>
          </w:p>
        </w:tc>
        <w:tc>
          <w:tcPr>
            <w:tcW w:w="709" w:type="dxa"/>
            <w:tcBorders>
              <w:bottom w:val="nil"/>
            </w:tcBorders>
            <w:shd w:val="clear" w:color="auto" w:fill="auto"/>
            <w:hideMark/>
          </w:tcPr>
          <w:p w14:paraId="3826039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4799</w:t>
            </w:r>
          </w:p>
        </w:tc>
        <w:tc>
          <w:tcPr>
            <w:tcW w:w="1134" w:type="dxa"/>
            <w:tcBorders>
              <w:bottom w:val="nil"/>
            </w:tcBorders>
            <w:shd w:val="clear" w:color="auto" w:fill="auto"/>
            <w:noWrap/>
            <w:hideMark/>
          </w:tcPr>
          <w:p w14:paraId="25643B6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138,00</w:t>
            </w:r>
          </w:p>
        </w:tc>
        <w:tc>
          <w:tcPr>
            <w:tcW w:w="1134" w:type="dxa"/>
            <w:tcBorders>
              <w:bottom w:val="nil"/>
            </w:tcBorders>
            <w:shd w:val="clear" w:color="auto" w:fill="auto"/>
            <w:noWrap/>
            <w:hideMark/>
          </w:tcPr>
          <w:p w14:paraId="1146C05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97,12</w:t>
            </w:r>
          </w:p>
        </w:tc>
        <w:tc>
          <w:tcPr>
            <w:tcW w:w="992" w:type="dxa"/>
            <w:tcBorders>
              <w:bottom w:val="nil"/>
            </w:tcBorders>
            <w:shd w:val="clear" w:color="auto" w:fill="auto"/>
            <w:noWrap/>
            <w:hideMark/>
          </w:tcPr>
          <w:p w14:paraId="624CD99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-2,88</w:t>
            </w:r>
          </w:p>
        </w:tc>
      </w:tr>
    </w:tbl>
    <w:p w14:paraId="4DFA228A" w14:textId="77777777" w:rsidR="00FA5792" w:rsidRDefault="00FA5792"/>
    <w:p w14:paraId="1C8BFAD3" w14:textId="52BC297F" w:rsidR="00FA5792" w:rsidRDefault="00FA5792" w:rsidP="00FA5792">
      <w:pPr>
        <w:spacing w:after="0" w:line="240" w:lineRule="auto"/>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lastRenderedPageBreak/>
        <w:t>Продолжение таблицы 11</w:t>
      </w:r>
    </w:p>
    <w:p w14:paraId="1790C7E1" w14:textId="77777777" w:rsidR="00FA5792" w:rsidRPr="00FA5792" w:rsidRDefault="00FA5792" w:rsidP="00FA5792">
      <w:pPr>
        <w:spacing w:after="0" w:line="240" w:lineRule="auto"/>
        <w:rPr>
          <w:rFonts w:ascii="Times New Roman" w:eastAsia="Times New Roman" w:hAnsi="Times New Roman" w:cs="Times New Roman"/>
          <w:sz w:val="28"/>
          <w:szCs w:val="28"/>
        </w:rPr>
      </w:pPr>
    </w:p>
    <w:tbl>
      <w:tblPr>
        <w:tblW w:w="1431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993"/>
        <w:gridCol w:w="708"/>
        <w:gridCol w:w="993"/>
        <w:gridCol w:w="992"/>
        <w:gridCol w:w="1276"/>
        <w:gridCol w:w="850"/>
        <w:gridCol w:w="851"/>
        <w:gridCol w:w="1559"/>
        <w:gridCol w:w="992"/>
        <w:gridCol w:w="709"/>
        <w:gridCol w:w="1134"/>
        <w:gridCol w:w="1134"/>
        <w:gridCol w:w="992"/>
      </w:tblGrid>
      <w:tr w:rsidR="00FA5792" w:rsidRPr="006E1680" w14:paraId="4767C502" w14:textId="77777777" w:rsidTr="00BA3CA8">
        <w:trPr>
          <w:trHeight w:val="255"/>
        </w:trPr>
        <w:tc>
          <w:tcPr>
            <w:tcW w:w="1134" w:type="dxa"/>
            <w:vAlign w:val="center"/>
          </w:tcPr>
          <w:p w14:paraId="3DEECF16" w14:textId="72FDBD1C"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93" w:type="dxa"/>
            <w:shd w:val="clear" w:color="auto" w:fill="auto"/>
            <w:noWrap/>
          </w:tcPr>
          <w:p w14:paraId="0D8B5337" w14:textId="0B4CBDC8"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08" w:type="dxa"/>
            <w:shd w:val="clear" w:color="auto" w:fill="auto"/>
            <w:noWrap/>
          </w:tcPr>
          <w:p w14:paraId="35041EC0" w14:textId="1A1956A2"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93" w:type="dxa"/>
            <w:shd w:val="clear" w:color="auto" w:fill="auto"/>
            <w:noWrap/>
          </w:tcPr>
          <w:p w14:paraId="7A1C874F" w14:textId="591D4870"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92" w:type="dxa"/>
            <w:shd w:val="clear" w:color="auto" w:fill="auto"/>
            <w:noWrap/>
          </w:tcPr>
          <w:p w14:paraId="337FE08E" w14:textId="5370C462"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276" w:type="dxa"/>
            <w:shd w:val="clear" w:color="auto" w:fill="auto"/>
            <w:noWrap/>
          </w:tcPr>
          <w:p w14:paraId="4BD66EFE" w14:textId="282AB952"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50" w:type="dxa"/>
            <w:shd w:val="clear" w:color="auto" w:fill="auto"/>
            <w:noWrap/>
          </w:tcPr>
          <w:p w14:paraId="7C6CE415" w14:textId="0A1450D7"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51" w:type="dxa"/>
            <w:shd w:val="clear" w:color="auto" w:fill="auto"/>
            <w:noWrap/>
          </w:tcPr>
          <w:p w14:paraId="7876E35A" w14:textId="486DF79C"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559" w:type="dxa"/>
            <w:shd w:val="clear" w:color="auto" w:fill="auto"/>
            <w:noWrap/>
          </w:tcPr>
          <w:p w14:paraId="03FCD8ED" w14:textId="3DC0FBA8"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92" w:type="dxa"/>
            <w:shd w:val="clear" w:color="auto" w:fill="auto"/>
            <w:noWrap/>
          </w:tcPr>
          <w:p w14:paraId="161ABEDD" w14:textId="55E1F2C3"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709" w:type="dxa"/>
            <w:shd w:val="clear" w:color="auto" w:fill="auto"/>
            <w:noWrap/>
          </w:tcPr>
          <w:p w14:paraId="1B18D1B2" w14:textId="07096FE9"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134" w:type="dxa"/>
            <w:shd w:val="clear" w:color="auto" w:fill="auto"/>
            <w:noWrap/>
          </w:tcPr>
          <w:p w14:paraId="22314FFD" w14:textId="58D9FEB4"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134" w:type="dxa"/>
            <w:shd w:val="clear" w:color="auto" w:fill="auto"/>
            <w:noWrap/>
          </w:tcPr>
          <w:p w14:paraId="58D66AD6" w14:textId="18D84F3C"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92" w:type="dxa"/>
            <w:shd w:val="clear" w:color="auto" w:fill="auto"/>
            <w:noWrap/>
          </w:tcPr>
          <w:p w14:paraId="34CD69FC" w14:textId="530DD912"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r>
      <w:tr w:rsidR="00FA5792" w:rsidRPr="006E1680" w14:paraId="4B10EA0F" w14:textId="77777777" w:rsidTr="00BA3CA8">
        <w:trPr>
          <w:trHeight w:val="255"/>
        </w:trPr>
        <w:tc>
          <w:tcPr>
            <w:tcW w:w="1134" w:type="dxa"/>
            <w:vAlign w:val="center"/>
            <w:hideMark/>
          </w:tcPr>
          <w:p w14:paraId="0984B5F0"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43447A9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 xml:space="preserve">среднее </w:t>
            </w:r>
          </w:p>
        </w:tc>
        <w:tc>
          <w:tcPr>
            <w:tcW w:w="708" w:type="dxa"/>
            <w:shd w:val="clear" w:color="auto" w:fill="auto"/>
            <w:noWrap/>
            <w:hideMark/>
          </w:tcPr>
          <w:p w14:paraId="351F30B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5423,40</w:t>
            </w:r>
          </w:p>
        </w:tc>
        <w:tc>
          <w:tcPr>
            <w:tcW w:w="993" w:type="dxa"/>
            <w:shd w:val="clear" w:color="auto" w:fill="auto"/>
            <w:noWrap/>
            <w:hideMark/>
          </w:tcPr>
          <w:p w14:paraId="089BE79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415,00</w:t>
            </w:r>
          </w:p>
        </w:tc>
        <w:tc>
          <w:tcPr>
            <w:tcW w:w="992" w:type="dxa"/>
            <w:shd w:val="clear" w:color="auto" w:fill="auto"/>
            <w:noWrap/>
            <w:hideMark/>
          </w:tcPr>
          <w:p w14:paraId="60107E4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108,09</w:t>
            </w:r>
          </w:p>
        </w:tc>
        <w:tc>
          <w:tcPr>
            <w:tcW w:w="1276" w:type="dxa"/>
            <w:shd w:val="clear" w:color="auto" w:fill="auto"/>
            <w:noWrap/>
            <w:hideMark/>
          </w:tcPr>
          <w:p w14:paraId="73C904E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8,09</w:t>
            </w:r>
          </w:p>
        </w:tc>
        <w:tc>
          <w:tcPr>
            <w:tcW w:w="850" w:type="dxa"/>
            <w:shd w:val="clear" w:color="auto" w:fill="auto"/>
            <w:noWrap/>
            <w:hideMark/>
          </w:tcPr>
          <w:p w14:paraId="01CE7BC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1777,90</w:t>
            </w:r>
          </w:p>
        </w:tc>
        <w:tc>
          <w:tcPr>
            <w:tcW w:w="851" w:type="dxa"/>
            <w:shd w:val="clear" w:color="auto" w:fill="auto"/>
            <w:noWrap/>
            <w:hideMark/>
          </w:tcPr>
          <w:p w14:paraId="696F0AA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169,67</w:t>
            </w:r>
          </w:p>
        </w:tc>
        <w:tc>
          <w:tcPr>
            <w:tcW w:w="1559" w:type="dxa"/>
            <w:shd w:val="clear" w:color="auto" w:fill="auto"/>
            <w:noWrap/>
            <w:hideMark/>
          </w:tcPr>
          <w:p w14:paraId="63F8C3EB"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110,19</w:t>
            </w:r>
          </w:p>
        </w:tc>
        <w:tc>
          <w:tcPr>
            <w:tcW w:w="992" w:type="dxa"/>
            <w:shd w:val="clear" w:color="auto" w:fill="auto"/>
            <w:noWrap/>
            <w:hideMark/>
          </w:tcPr>
          <w:p w14:paraId="59810D0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10,19</w:t>
            </w:r>
          </w:p>
        </w:tc>
        <w:tc>
          <w:tcPr>
            <w:tcW w:w="709" w:type="dxa"/>
            <w:shd w:val="clear" w:color="auto" w:fill="auto"/>
            <w:noWrap/>
            <w:hideMark/>
          </w:tcPr>
          <w:p w14:paraId="46DC91C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3645,50</w:t>
            </w:r>
          </w:p>
        </w:tc>
        <w:tc>
          <w:tcPr>
            <w:tcW w:w="1134" w:type="dxa"/>
            <w:shd w:val="clear" w:color="auto" w:fill="auto"/>
            <w:noWrap/>
            <w:hideMark/>
          </w:tcPr>
          <w:p w14:paraId="16D1D59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245,33</w:t>
            </w:r>
          </w:p>
        </w:tc>
        <w:tc>
          <w:tcPr>
            <w:tcW w:w="1134" w:type="dxa"/>
            <w:shd w:val="clear" w:color="auto" w:fill="auto"/>
            <w:noWrap/>
            <w:hideMark/>
          </w:tcPr>
          <w:p w14:paraId="0AFBC83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107,09</w:t>
            </w:r>
          </w:p>
        </w:tc>
        <w:tc>
          <w:tcPr>
            <w:tcW w:w="992" w:type="dxa"/>
            <w:shd w:val="clear" w:color="auto" w:fill="auto"/>
            <w:noWrap/>
            <w:hideMark/>
          </w:tcPr>
          <w:p w14:paraId="783CAEF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7,09</w:t>
            </w:r>
          </w:p>
        </w:tc>
      </w:tr>
      <w:tr w:rsidR="00077E0F" w:rsidRPr="006E1680" w14:paraId="4B029F42" w14:textId="77777777" w:rsidTr="00077E0F">
        <w:trPr>
          <w:trHeight w:val="255"/>
        </w:trPr>
        <w:tc>
          <w:tcPr>
            <w:tcW w:w="1134" w:type="dxa"/>
            <w:vMerge w:val="restart"/>
            <w:shd w:val="clear" w:color="auto" w:fill="auto"/>
            <w:noWrap/>
            <w:hideMark/>
          </w:tcPr>
          <w:p w14:paraId="62F0216E"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Жетысуский</w:t>
            </w:r>
          </w:p>
        </w:tc>
        <w:tc>
          <w:tcPr>
            <w:tcW w:w="993" w:type="dxa"/>
            <w:shd w:val="clear" w:color="auto" w:fill="auto"/>
            <w:noWrap/>
            <w:hideMark/>
          </w:tcPr>
          <w:p w14:paraId="313F6CF3"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2012</w:t>
            </w:r>
          </w:p>
        </w:tc>
        <w:tc>
          <w:tcPr>
            <w:tcW w:w="708" w:type="dxa"/>
            <w:shd w:val="clear" w:color="auto" w:fill="auto"/>
            <w:hideMark/>
          </w:tcPr>
          <w:p w14:paraId="69438702"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2320</w:t>
            </w:r>
          </w:p>
        </w:tc>
        <w:tc>
          <w:tcPr>
            <w:tcW w:w="993" w:type="dxa"/>
            <w:shd w:val="clear" w:color="auto" w:fill="auto"/>
            <w:noWrap/>
            <w:hideMark/>
          </w:tcPr>
          <w:p w14:paraId="5E9F44AC" w14:textId="41FB016A" w:rsidR="00077E0F" w:rsidRPr="006E1680" w:rsidRDefault="00077E0F" w:rsidP="00077E0F">
            <w:pPr>
              <w:spacing w:after="0" w:line="240" w:lineRule="auto"/>
              <w:jc w:val="center"/>
              <w:rPr>
                <w:rFonts w:ascii="Times New Roman" w:eastAsia="Times New Roman" w:hAnsi="Times New Roman" w:cs="Times New Roman"/>
                <w:sz w:val="24"/>
                <w:szCs w:val="24"/>
              </w:rPr>
            </w:pPr>
            <w:r w:rsidRPr="00365508">
              <w:rPr>
                <w:rFonts w:ascii="Times New Roman" w:eastAsia="Times New Roman" w:hAnsi="Times New Roman" w:cs="Times New Roman"/>
                <w:sz w:val="24"/>
                <w:szCs w:val="24"/>
              </w:rPr>
              <w:t>-</w:t>
            </w:r>
          </w:p>
        </w:tc>
        <w:tc>
          <w:tcPr>
            <w:tcW w:w="992" w:type="dxa"/>
            <w:shd w:val="clear" w:color="auto" w:fill="auto"/>
            <w:noWrap/>
            <w:hideMark/>
          </w:tcPr>
          <w:p w14:paraId="1F1A585F" w14:textId="144088A5" w:rsidR="00077E0F" w:rsidRPr="006E1680" w:rsidRDefault="00077E0F" w:rsidP="00077E0F">
            <w:pPr>
              <w:spacing w:after="0" w:line="240" w:lineRule="auto"/>
              <w:jc w:val="center"/>
              <w:rPr>
                <w:rFonts w:ascii="Times New Roman" w:eastAsia="Times New Roman" w:hAnsi="Times New Roman" w:cs="Times New Roman"/>
                <w:sz w:val="24"/>
                <w:szCs w:val="24"/>
              </w:rPr>
            </w:pPr>
            <w:r w:rsidRPr="00365508">
              <w:rPr>
                <w:rFonts w:ascii="Times New Roman" w:eastAsia="Times New Roman" w:hAnsi="Times New Roman" w:cs="Times New Roman"/>
                <w:sz w:val="24"/>
                <w:szCs w:val="24"/>
              </w:rPr>
              <w:t>-</w:t>
            </w:r>
          </w:p>
        </w:tc>
        <w:tc>
          <w:tcPr>
            <w:tcW w:w="1276" w:type="dxa"/>
            <w:shd w:val="clear" w:color="auto" w:fill="auto"/>
            <w:noWrap/>
            <w:hideMark/>
          </w:tcPr>
          <w:p w14:paraId="50BCFED7" w14:textId="0AC6EE99" w:rsidR="00077E0F" w:rsidRPr="006E1680" w:rsidRDefault="00077E0F" w:rsidP="00077E0F">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50" w:type="dxa"/>
            <w:shd w:val="clear" w:color="auto" w:fill="auto"/>
            <w:hideMark/>
          </w:tcPr>
          <w:p w14:paraId="7D895F22"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701</w:t>
            </w:r>
          </w:p>
        </w:tc>
        <w:tc>
          <w:tcPr>
            <w:tcW w:w="851" w:type="dxa"/>
            <w:shd w:val="clear" w:color="auto" w:fill="auto"/>
            <w:noWrap/>
          </w:tcPr>
          <w:p w14:paraId="1A13A42C" w14:textId="052D04ED" w:rsidR="00077E0F" w:rsidRPr="006E1680" w:rsidRDefault="00077E0F" w:rsidP="00077E0F">
            <w:pPr>
              <w:spacing w:after="0" w:line="240" w:lineRule="auto"/>
              <w:jc w:val="center"/>
              <w:rPr>
                <w:rFonts w:ascii="Times New Roman" w:eastAsia="Times New Roman" w:hAnsi="Times New Roman" w:cs="Times New Roman"/>
                <w:sz w:val="24"/>
                <w:szCs w:val="24"/>
              </w:rPr>
            </w:pPr>
            <w:r w:rsidRPr="00A910F5">
              <w:rPr>
                <w:rFonts w:ascii="Times New Roman" w:eastAsia="Times New Roman" w:hAnsi="Times New Roman" w:cs="Times New Roman"/>
                <w:sz w:val="24"/>
                <w:szCs w:val="24"/>
              </w:rPr>
              <w:t>-</w:t>
            </w:r>
          </w:p>
        </w:tc>
        <w:tc>
          <w:tcPr>
            <w:tcW w:w="1559" w:type="dxa"/>
            <w:shd w:val="clear" w:color="auto" w:fill="auto"/>
            <w:noWrap/>
          </w:tcPr>
          <w:p w14:paraId="7E8DF988" w14:textId="2B229BD7" w:rsidR="00077E0F" w:rsidRPr="006E1680" w:rsidRDefault="00077E0F" w:rsidP="00077E0F">
            <w:pPr>
              <w:spacing w:after="0" w:line="240" w:lineRule="auto"/>
              <w:jc w:val="center"/>
              <w:rPr>
                <w:rFonts w:ascii="Times New Roman" w:eastAsia="Times New Roman" w:hAnsi="Times New Roman" w:cs="Times New Roman"/>
                <w:sz w:val="24"/>
                <w:szCs w:val="24"/>
              </w:rPr>
            </w:pPr>
            <w:r w:rsidRPr="00A910F5">
              <w:rPr>
                <w:rFonts w:ascii="Times New Roman" w:eastAsia="Times New Roman" w:hAnsi="Times New Roman" w:cs="Times New Roman"/>
                <w:sz w:val="24"/>
                <w:szCs w:val="24"/>
              </w:rPr>
              <w:t>-</w:t>
            </w:r>
          </w:p>
        </w:tc>
        <w:tc>
          <w:tcPr>
            <w:tcW w:w="992" w:type="dxa"/>
            <w:shd w:val="clear" w:color="auto" w:fill="auto"/>
            <w:noWrap/>
          </w:tcPr>
          <w:p w14:paraId="27AAD689" w14:textId="69C1533B" w:rsidR="00077E0F" w:rsidRPr="006E1680" w:rsidRDefault="00077E0F" w:rsidP="00077E0F">
            <w:pPr>
              <w:spacing w:after="0" w:line="240" w:lineRule="auto"/>
              <w:jc w:val="center"/>
              <w:rPr>
                <w:rFonts w:ascii="Times New Roman" w:eastAsia="Times New Roman" w:hAnsi="Times New Roman" w:cs="Times New Roman"/>
                <w:sz w:val="24"/>
                <w:szCs w:val="24"/>
              </w:rPr>
            </w:pPr>
            <w:r w:rsidRPr="00A910F5">
              <w:rPr>
                <w:rFonts w:ascii="Times New Roman" w:eastAsia="Times New Roman" w:hAnsi="Times New Roman" w:cs="Times New Roman"/>
                <w:sz w:val="24"/>
                <w:szCs w:val="24"/>
              </w:rPr>
              <w:t>-</w:t>
            </w:r>
          </w:p>
        </w:tc>
        <w:tc>
          <w:tcPr>
            <w:tcW w:w="709" w:type="dxa"/>
            <w:shd w:val="clear" w:color="auto" w:fill="auto"/>
            <w:hideMark/>
          </w:tcPr>
          <w:p w14:paraId="5FF5109F"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1619</w:t>
            </w:r>
          </w:p>
        </w:tc>
        <w:tc>
          <w:tcPr>
            <w:tcW w:w="1134" w:type="dxa"/>
            <w:shd w:val="clear" w:color="auto" w:fill="auto"/>
            <w:noWrap/>
            <w:hideMark/>
          </w:tcPr>
          <w:p w14:paraId="578B8F35" w14:textId="4C64BF9B" w:rsidR="00077E0F" w:rsidRPr="006E1680" w:rsidRDefault="00077E0F" w:rsidP="00077E0F">
            <w:pPr>
              <w:spacing w:after="0" w:line="240" w:lineRule="auto"/>
              <w:jc w:val="center"/>
              <w:rPr>
                <w:rFonts w:ascii="Times New Roman" w:eastAsia="Times New Roman" w:hAnsi="Times New Roman" w:cs="Times New Roman"/>
                <w:sz w:val="24"/>
                <w:szCs w:val="24"/>
              </w:rPr>
            </w:pPr>
            <w:r w:rsidRPr="00240A81">
              <w:rPr>
                <w:rFonts w:ascii="Times New Roman" w:eastAsia="Times New Roman" w:hAnsi="Times New Roman" w:cs="Times New Roman"/>
                <w:sz w:val="24"/>
                <w:szCs w:val="24"/>
              </w:rPr>
              <w:t>-</w:t>
            </w:r>
          </w:p>
        </w:tc>
        <w:tc>
          <w:tcPr>
            <w:tcW w:w="1134" w:type="dxa"/>
            <w:shd w:val="clear" w:color="auto" w:fill="auto"/>
            <w:noWrap/>
            <w:hideMark/>
          </w:tcPr>
          <w:p w14:paraId="2001D03A" w14:textId="3156868D" w:rsidR="00077E0F" w:rsidRPr="006E1680" w:rsidRDefault="00077E0F" w:rsidP="00077E0F">
            <w:pPr>
              <w:spacing w:after="0" w:line="240" w:lineRule="auto"/>
              <w:jc w:val="center"/>
              <w:rPr>
                <w:rFonts w:ascii="Times New Roman" w:eastAsia="Times New Roman" w:hAnsi="Times New Roman" w:cs="Times New Roman"/>
                <w:sz w:val="24"/>
                <w:szCs w:val="24"/>
              </w:rPr>
            </w:pPr>
            <w:r w:rsidRPr="00240A81">
              <w:rPr>
                <w:rFonts w:ascii="Times New Roman" w:eastAsia="Times New Roman" w:hAnsi="Times New Roman" w:cs="Times New Roman"/>
                <w:sz w:val="24"/>
                <w:szCs w:val="24"/>
              </w:rPr>
              <w:t>-</w:t>
            </w:r>
          </w:p>
        </w:tc>
        <w:tc>
          <w:tcPr>
            <w:tcW w:w="992" w:type="dxa"/>
            <w:shd w:val="clear" w:color="auto" w:fill="auto"/>
            <w:noWrap/>
            <w:hideMark/>
          </w:tcPr>
          <w:p w14:paraId="009E1119" w14:textId="1A3034DB" w:rsidR="00077E0F" w:rsidRPr="006E1680" w:rsidRDefault="00077E0F" w:rsidP="00077E0F">
            <w:pPr>
              <w:spacing w:after="0" w:line="240" w:lineRule="auto"/>
              <w:jc w:val="center"/>
              <w:rPr>
                <w:rFonts w:ascii="Times New Roman" w:eastAsia="Times New Roman" w:hAnsi="Times New Roman" w:cs="Times New Roman"/>
                <w:sz w:val="24"/>
                <w:szCs w:val="24"/>
              </w:rPr>
            </w:pPr>
            <w:r w:rsidRPr="00240A81">
              <w:rPr>
                <w:rFonts w:ascii="Times New Roman" w:eastAsia="Times New Roman" w:hAnsi="Times New Roman" w:cs="Times New Roman"/>
                <w:sz w:val="24"/>
                <w:szCs w:val="24"/>
              </w:rPr>
              <w:t>-</w:t>
            </w:r>
          </w:p>
        </w:tc>
      </w:tr>
      <w:tr w:rsidR="00077E0F" w:rsidRPr="006E1680" w14:paraId="036E6C98" w14:textId="77777777" w:rsidTr="00BA3CA8">
        <w:trPr>
          <w:trHeight w:val="255"/>
        </w:trPr>
        <w:tc>
          <w:tcPr>
            <w:tcW w:w="1134" w:type="dxa"/>
            <w:vMerge/>
            <w:vAlign w:val="center"/>
            <w:hideMark/>
          </w:tcPr>
          <w:p w14:paraId="3EA48324" w14:textId="77777777" w:rsidR="00077E0F" w:rsidRPr="006E1680" w:rsidRDefault="00077E0F" w:rsidP="00077E0F">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4847CB0D"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2013</w:t>
            </w:r>
          </w:p>
        </w:tc>
        <w:tc>
          <w:tcPr>
            <w:tcW w:w="708" w:type="dxa"/>
            <w:shd w:val="clear" w:color="auto" w:fill="auto"/>
            <w:hideMark/>
          </w:tcPr>
          <w:p w14:paraId="05459CCD"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2616</w:t>
            </w:r>
          </w:p>
        </w:tc>
        <w:tc>
          <w:tcPr>
            <w:tcW w:w="993" w:type="dxa"/>
            <w:shd w:val="clear" w:color="auto" w:fill="auto"/>
            <w:noWrap/>
            <w:hideMark/>
          </w:tcPr>
          <w:p w14:paraId="5A9D073D"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296,00</w:t>
            </w:r>
          </w:p>
        </w:tc>
        <w:tc>
          <w:tcPr>
            <w:tcW w:w="992" w:type="dxa"/>
            <w:shd w:val="clear" w:color="auto" w:fill="auto"/>
            <w:noWrap/>
            <w:hideMark/>
          </w:tcPr>
          <w:p w14:paraId="552B93CA"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47,39</w:t>
            </w:r>
          </w:p>
        </w:tc>
        <w:tc>
          <w:tcPr>
            <w:tcW w:w="1276" w:type="dxa"/>
            <w:shd w:val="clear" w:color="auto" w:fill="auto"/>
            <w:noWrap/>
            <w:hideMark/>
          </w:tcPr>
          <w:p w14:paraId="03D1840E"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-52,61</w:t>
            </w:r>
          </w:p>
        </w:tc>
        <w:tc>
          <w:tcPr>
            <w:tcW w:w="850" w:type="dxa"/>
            <w:shd w:val="clear" w:color="auto" w:fill="auto"/>
            <w:hideMark/>
          </w:tcPr>
          <w:p w14:paraId="17C3AE22"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786</w:t>
            </w:r>
          </w:p>
        </w:tc>
        <w:tc>
          <w:tcPr>
            <w:tcW w:w="851" w:type="dxa"/>
            <w:shd w:val="clear" w:color="auto" w:fill="auto"/>
            <w:noWrap/>
            <w:hideMark/>
          </w:tcPr>
          <w:p w14:paraId="48FC05CC"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85,00</w:t>
            </w:r>
          </w:p>
        </w:tc>
        <w:tc>
          <w:tcPr>
            <w:tcW w:w="1559" w:type="dxa"/>
            <w:shd w:val="clear" w:color="auto" w:fill="auto"/>
            <w:noWrap/>
            <w:hideMark/>
          </w:tcPr>
          <w:p w14:paraId="07774CD6" w14:textId="77777777" w:rsidR="00077E0F" w:rsidRPr="006E1680" w:rsidRDefault="00077E0F"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44,96</w:t>
            </w:r>
          </w:p>
        </w:tc>
        <w:tc>
          <w:tcPr>
            <w:tcW w:w="992" w:type="dxa"/>
            <w:shd w:val="clear" w:color="auto" w:fill="auto"/>
            <w:noWrap/>
            <w:hideMark/>
          </w:tcPr>
          <w:p w14:paraId="06CB6C89"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-55,04</w:t>
            </w:r>
          </w:p>
        </w:tc>
        <w:tc>
          <w:tcPr>
            <w:tcW w:w="709" w:type="dxa"/>
            <w:shd w:val="clear" w:color="auto" w:fill="auto"/>
            <w:hideMark/>
          </w:tcPr>
          <w:p w14:paraId="450F7F7D"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1830</w:t>
            </w:r>
          </w:p>
        </w:tc>
        <w:tc>
          <w:tcPr>
            <w:tcW w:w="1134" w:type="dxa"/>
            <w:shd w:val="clear" w:color="auto" w:fill="auto"/>
            <w:noWrap/>
            <w:hideMark/>
          </w:tcPr>
          <w:p w14:paraId="7E9AAF54"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211,00</w:t>
            </w:r>
          </w:p>
        </w:tc>
        <w:tc>
          <w:tcPr>
            <w:tcW w:w="1134" w:type="dxa"/>
            <w:shd w:val="clear" w:color="auto" w:fill="auto"/>
            <w:noWrap/>
            <w:hideMark/>
          </w:tcPr>
          <w:p w14:paraId="0F453051"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48,52</w:t>
            </w:r>
          </w:p>
        </w:tc>
        <w:tc>
          <w:tcPr>
            <w:tcW w:w="992" w:type="dxa"/>
            <w:shd w:val="clear" w:color="auto" w:fill="auto"/>
            <w:noWrap/>
            <w:hideMark/>
          </w:tcPr>
          <w:p w14:paraId="6C5B3E35"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-51,48</w:t>
            </w:r>
          </w:p>
        </w:tc>
      </w:tr>
      <w:tr w:rsidR="00077E0F" w:rsidRPr="006E1680" w14:paraId="24A9005C" w14:textId="77777777" w:rsidTr="00BA3CA8">
        <w:trPr>
          <w:trHeight w:val="255"/>
        </w:trPr>
        <w:tc>
          <w:tcPr>
            <w:tcW w:w="1134" w:type="dxa"/>
            <w:vMerge/>
            <w:vAlign w:val="center"/>
            <w:hideMark/>
          </w:tcPr>
          <w:p w14:paraId="3E48C814" w14:textId="77777777" w:rsidR="00077E0F" w:rsidRPr="006E1680" w:rsidRDefault="00077E0F" w:rsidP="00077E0F">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09307E56"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2014</w:t>
            </w:r>
          </w:p>
        </w:tc>
        <w:tc>
          <w:tcPr>
            <w:tcW w:w="708" w:type="dxa"/>
            <w:shd w:val="clear" w:color="auto" w:fill="auto"/>
            <w:hideMark/>
          </w:tcPr>
          <w:p w14:paraId="246B5F44"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3145</w:t>
            </w:r>
          </w:p>
        </w:tc>
        <w:tc>
          <w:tcPr>
            <w:tcW w:w="993" w:type="dxa"/>
            <w:shd w:val="clear" w:color="auto" w:fill="auto"/>
            <w:noWrap/>
            <w:hideMark/>
          </w:tcPr>
          <w:p w14:paraId="46328C1E"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529,00</w:t>
            </w:r>
          </w:p>
        </w:tc>
        <w:tc>
          <w:tcPr>
            <w:tcW w:w="992" w:type="dxa"/>
            <w:shd w:val="clear" w:color="auto" w:fill="auto"/>
            <w:noWrap/>
            <w:hideMark/>
          </w:tcPr>
          <w:p w14:paraId="1C3641A1"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53,43</w:t>
            </w:r>
          </w:p>
        </w:tc>
        <w:tc>
          <w:tcPr>
            <w:tcW w:w="1276" w:type="dxa"/>
            <w:shd w:val="clear" w:color="auto" w:fill="auto"/>
            <w:noWrap/>
            <w:hideMark/>
          </w:tcPr>
          <w:p w14:paraId="68807216"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-46,57</w:t>
            </w:r>
          </w:p>
        </w:tc>
        <w:tc>
          <w:tcPr>
            <w:tcW w:w="850" w:type="dxa"/>
            <w:shd w:val="clear" w:color="auto" w:fill="auto"/>
            <w:hideMark/>
          </w:tcPr>
          <w:p w14:paraId="22A5A377"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964</w:t>
            </w:r>
          </w:p>
        </w:tc>
        <w:tc>
          <w:tcPr>
            <w:tcW w:w="851" w:type="dxa"/>
            <w:shd w:val="clear" w:color="auto" w:fill="auto"/>
            <w:noWrap/>
            <w:hideMark/>
          </w:tcPr>
          <w:p w14:paraId="477CCE2B"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178,00</w:t>
            </w:r>
          </w:p>
        </w:tc>
        <w:tc>
          <w:tcPr>
            <w:tcW w:w="1559" w:type="dxa"/>
            <w:shd w:val="clear" w:color="auto" w:fill="auto"/>
            <w:noWrap/>
            <w:hideMark/>
          </w:tcPr>
          <w:p w14:paraId="19FE1B78" w14:textId="77777777" w:rsidR="00077E0F" w:rsidRPr="006E1680" w:rsidRDefault="00077E0F"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50,42</w:t>
            </w:r>
          </w:p>
        </w:tc>
        <w:tc>
          <w:tcPr>
            <w:tcW w:w="992" w:type="dxa"/>
            <w:shd w:val="clear" w:color="auto" w:fill="auto"/>
            <w:noWrap/>
            <w:hideMark/>
          </w:tcPr>
          <w:p w14:paraId="447087E3"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-49,58</w:t>
            </w:r>
          </w:p>
        </w:tc>
        <w:tc>
          <w:tcPr>
            <w:tcW w:w="709" w:type="dxa"/>
            <w:shd w:val="clear" w:color="auto" w:fill="auto"/>
            <w:hideMark/>
          </w:tcPr>
          <w:p w14:paraId="2C19D945"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2181</w:t>
            </w:r>
          </w:p>
        </w:tc>
        <w:tc>
          <w:tcPr>
            <w:tcW w:w="1134" w:type="dxa"/>
            <w:shd w:val="clear" w:color="auto" w:fill="auto"/>
            <w:noWrap/>
            <w:hideMark/>
          </w:tcPr>
          <w:p w14:paraId="76B102AE"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351,00</w:t>
            </w:r>
          </w:p>
        </w:tc>
        <w:tc>
          <w:tcPr>
            <w:tcW w:w="1134" w:type="dxa"/>
            <w:shd w:val="clear" w:color="auto" w:fill="auto"/>
            <w:noWrap/>
            <w:hideMark/>
          </w:tcPr>
          <w:p w14:paraId="7FC0CC83"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54,84</w:t>
            </w:r>
          </w:p>
        </w:tc>
        <w:tc>
          <w:tcPr>
            <w:tcW w:w="992" w:type="dxa"/>
            <w:shd w:val="clear" w:color="auto" w:fill="auto"/>
            <w:noWrap/>
            <w:hideMark/>
          </w:tcPr>
          <w:p w14:paraId="2272AECF"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-45,16</w:t>
            </w:r>
          </w:p>
        </w:tc>
      </w:tr>
      <w:tr w:rsidR="00077E0F" w:rsidRPr="006E1680" w14:paraId="4E076881" w14:textId="77777777" w:rsidTr="00BA3CA8">
        <w:trPr>
          <w:trHeight w:val="255"/>
        </w:trPr>
        <w:tc>
          <w:tcPr>
            <w:tcW w:w="1134" w:type="dxa"/>
            <w:vMerge/>
            <w:vAlign w:val="center"/>
            <w:hideMark/>
          </w:tcPr>
          <w:p w14:paraId="027F9601" w14:textId="77777777" w:rsidR="00077E0F" w:rsidRPr="006E1680" w:rsidRDefault="00077E0F" w:rsidP="00077E0F">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73AA49E6"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2015</w:t>
            </w:r>
          </w:p>
        </w:tc>
        <w:tc>
          <w:tcPr>
            <w:tcW w:w="708" w:type="dxa"/>
            <w:shd w:val="clear" w:color="auto" w:fill="auto"/>
            <w:hideMark/>
          </w:tcPr>
          <w:p w14:paraId="66E1FCD5"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2675</w:t>
            </w:r>
          </w:p>
        </w:tc>
        <w:tc>
          <w:tcPr>
            <w:tcW w:w="993" w:type="dxa"/>
            <w:shd w:val="clear" w:color="auto" w:fill="auto"/>
            <w:noWrap/>
            <w:hideMark/>
          </w:tcPr>
          <w:p w14:paraId="06AD671A"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-470,00</w:t>
            </w:r>
          </w:p>
        </w:tc>
        <w:tc>
          <w:tcPr>
            <w:tcW w:w="992" w:type="dxa"/>
            <w:shd w:val="clear" w:color="auto" w:fill="auto"/>
            <w:noWrap/>
            <w:hideMark/>
          </w:tcPr>
          <w:p w14:paraId="4558FD41"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64,24</w:t>
            </w:r>
          </w:p>
        </w:tc>
        <w:tc>
          <w:tcPr>
            <w:tcW w:w="1276" w:type="dxa"/>
            <w:shd w:val="clear" w:color="auto" w:fill="auto"/>
            <w:noWrap/>
            <w:hideMark/>
          </w:tcPr>
          <w:p w14:paraId="01F871EC"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-35,76</w:t>
            </w:r>
          </w:p>
        </w:tc>
        <w:tc>
          <w:tcPr>
            <w:tcW w:w="850" w:type="dxa"/>
            <w:shd w:val="clear" w:color="auto" w:fill="auto"/>
            <w:hideMark/>
          </w:tcPr>
          <w:p w14:paraId="33370CE7"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813</w:t>
            </w:r>
          </w:p>
        </w:tc>
        <w:tc>
          <w:tcPr>
            <w:tcW w:w="851" w:type="dxa"/>
            <w:shd w:val="clear" w:color="auto" w:fill="auto"/>
            <w:noWrap/>
            <w:hideMark/>
          </w:tcPr>
          <w:p w14:paraId="61F6CD2A"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-151,00</w:t>
            </w:r>
          </w:p>
        </w:tc>
        <w:tc>
          <w:tcPr>
            <w:tcW w:w="1559" w:type="dxa"/>
            <w:shd w:val="clear" w:color="auto" w:fill="auto"/>
            <w:noWrap/>
            <w:hideMark/>
          </w:tcPr>
          <w:p w14:paraId="5429AD88" w14:textId="77777777" w:rsidR="00077E0F" w:rsidRPr="006E1680" w:rsidRDefault="00077E0F"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61,83</w:t>
            </w:r>
          </w:p>
        </w:tc>
        <w:tc>
          <w:tcPr>
            <w:tcW w:w="992" w:type="dxa"/>
            <w:shd w:val="clear" w:color="auto" w:fill="auto"/>
            <w:noWrap/>
            <w:hideMark/>
          </w:tcPr>
          <w:p w14:paraId="5DF31C1C"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-38,17</w:t>
            </w:r>
          </w:p>
        </w:tc>
        <w:tc>
          <w:tcPr>
            <w:tcW w:w="709" w:type="dxa"/>
            <w:shd w:val="clear" w:color="auto" w:fill="auto"/>
            <w:hideMark/>
          </w:tcPr>
          <w:p w14:paraId="528A58FB"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1862</w:t>
            </w:r>
          </w:p>
        </w:tc>
        <w:tc>
          <w:tcPr>
            <w:tcW w:w="1134" w:type="dxa"/>
            <w:shd w:val="clear" w:color="auto" w:fill="auto"/>
            <w:noWrap/>
            <w:hideMark/>
          </w:tcPr>
          <w:p w14:paraId="208463DC"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-319,00</w:t>
            </w:r>
          </w:p>
        </w:tc>
        <w:tc>
          <w:tcPr>
            <w:tcW w:w="1134" w:type="dxa"/>
            <w:shd w:val="clear" w:color="auto" w:fill="auto"/>
            <w:noWrap/>
            <w:hideMark/>
          </w:tcPr>
          <w:p w14:paraId="11F7BE20"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65,36</w:t>
            </w:r>
          </w:p>
        </w:tc>
        <w:tc>
          <w:tcPr>
            <w:tcW w:w="992" w:type="dxa"/>
            <w:shd w:val="clear" w:color="auto" w:fill="auto"/>
            <w:noWrap/>
            <w:hideMark/>
          </w:tcPr>
          <w:p w14:paraId="684584E0"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-34,64</w:t>
            </w:r>
          </w:p>
        </w:tc>
      </w:tr>
      <w:tr w:rsidR="00077E0F" w:rsidRPr="006E1680" w14:paraId="1DEDED2F" w14:textId="77777777" w:rsidTr="00BA3CA8">
        <w:trPr>
          <w:trHeight w:val="255"/>
        </w:trPr>
        <w:tc>
          <w:tcPr>
            <w:tcW w:w="1134" w:type="dxa"/>
            <w:vMerge/>
            <w:vAlign w:val="center"/>
            <w:hideMark/>
          </w:tcPr>
          <w:p w14:paraId="0D41029F" w14:textId="77777777" w:rsidR="00077E0F" w:rsidRPr="006E1680" w:rsidRDefault="00077E0F" w:rsidP="00077E0F">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120E3481"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2016</w:t>
            </w:r>
          </w:p>
        </w:tc>
        <w:tc>
          <w:tcPr>
            <w:tcW w:w="708" w:type="dxa"/>
            <w:shd w:val="clear" w:color="auto" w:fill="auto"/>
            <w:hideMark/>
          </w:tcPr>
          <w:p w14:paraId="4600E8D1"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3379</w:t>
            </w:r>
          </w:p>
        </w:tc>
        <w:tc>
          <w:tcPr>
            <w:tcW w:w="993" w:type="dxa"/>
            <w:shd w:val="clear" w:color="auto" w:fill="auto"/>
            <w:noWrap/>
            <w:hideMark/>
          </w:tcPr>
          <w:p w14:paraId="2BF07D5B"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704,00</w:t>
            </w:r>
          </w:p>
        </w:tc>
        <w:tc>
          <w:tcPr>
            <w:tcW w:w="992" w:type="dxa"/>
            <w:shd w:val="clear" w:color="auto" w:fill="auto"/>
            <w:noWrap/>
            <w:hideMark/>
          </w:tcPr>
          <w:p w14:paraId="4405E752"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54,64</w:t>
            </w:r>
          </w:p>
        </w:tc>
        <w:tc>
          <w:tcPr>
            <w:tcW w:w="1276" w:type="dxa"/>
            <w:shd w:val="clear" w:color="auto" w:fill="auto"/>
            <w:noWrap/>
            <w:hideMark/>
          </w:tcPr>
          <w:p w14:paraId="318817C5"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-45,36</w:t>
            </w:r>
          </w:p>
        </w:tc>
        <w:tc>
          <w:tcPr>
            <w:tcW w:w="850" w:type="dxa"/>
            <w:shd w:val="clear" w:color="auto" w:fill="auto"/>
            <w:hideMark/>
          </w:tcPr>
          <w:p w14:paraId="4D04B862"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1016</w:t>
            </w:r>
          </w:p>
        </w:tc>
        <w:tc>
          <w:tcPr>
            <w:tcW w:w="851" w:type="dxa"/>
            <w:shd w:val="clear" w:color="auto" w:fill="auto"/>
            <w:noWrap/>
            <w:hideMark/>
          </w:tcPr>
          <w:p w14:paraId="49225CF2"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203,00</w:t>
            </w:r>
          </w:p>
        </w:tc>
        <w:tc>
          <w:tcPr>
            <w:tcW w:w="1559" w:type="dxa"/>
            <w:shd w:val="clear" w:color="auto" w:fill="auto"/>
            <w:noWrap/>
            <w:hideMark/>
          </w:tcPr>
          <w:p w14:paraId="4654857B" w14:textId="77777777" w:rsidR="00077E0F" w:rsidRPr="006E1680" w:rsidRDefault="00077E0F"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52,15</w:t>
            </w:r>
          </w:p>
        </w:tc>
        <w:tc>
          <w:tcPr>
            <w:tcW w:w="992" w:type="dxa"/>
            <w:shd w:val="clear" w:color="auto" w:fill="auto"/>
            <w:noWrap/>
            <w:hideMark/>
          </w:tcPr>
          <w:p w14:paraId="3391AA28"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-47,85</w:t>
            </w:r>
          </w:p>
        </w:tc>
        <w:tc>
          <w:tcPr>
            <w:tcW w:w="709" w:type="dxa"/>
            <w:shd w:val="clear" w:color="auto" w:fill="auto"/>
            <w:hideMark/>
          </w:tcPr>
          <w:p w14:paraId="76399EA3"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2363</w:t>
            </w:r>
          </w:p>
        </w:tc>
        <w:tc>
          <w:tcPr>
            <w:tcW w:w="1134" w:type="dxa"/>
            <w:shd w:val="clear" w:color="auto" w:fill="auto"/>
            <w:noWrap/>
            <w:hideMark/>
          </w:tcPr>
          <w:p w14:paraId="1B87D8D1"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501,00</w:t>
            </w:r>
          </w:p>
        </w:tc>
        <w:tc>
          <w:tcPr>
            <w:tcW w:w="1134" w:type="dxa"/>
            <w:shd w:val="clear" w:color="auto" w:fill="auto"/>
            <w:noWrap/>
            <w:hideMark/>
          </w:tcPr>
          <w:p w14:paraId="4595784E"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55,80</w:t>
            </w:r>
          </w:p>
        </w:tc>
        <w:tc>
          <w:tcPr>
            <w:tcW w:w="992" w:type="dxa"/>
            <w:shd w:val="clear" w:color="auto" w:fill="auto"/>
            <w:noWrap/>
            <w:hideMark/>
          </w:tcPr>
          <w:p w14:paraId="123532E3"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-44,20</w:t>
            </w:r>
          </w:p>
        </w:tc>
      </w:tr>
      <w:tr w:rsidR="00077E0F" w:rsidRPr="006E1680" w14:paraId="2CDA4F6A" w14:textId="77777777" w:rsidTr="00BA3CA8">
        <w:trPr>
          <w:trHeight w:val="255"/>
        </w:trPr>
        <w:tc>
          <w:tcPr>
            <w:tcW w:w="1134" w:type="dxa"/>
            <w:vMerge/>
            <w:vAlign w:val="center"/>
            <w:hideMark/>
          </w:tcPr>
          <w:p w14:paraId="4BB0D8D3" w14:textId="77777777" w:rsidR="00077E0F" w:rsidRPr="006E1680" w:rsidRDefault="00077E0F" w:rsidP="00077E0F">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5A7AEBB2"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2017</w:t>
            </w:r>
          </w:p>
        </w:tc>
        <w:tc>
          <w:tcPr>
            <w:tcW w:w="708" w:type="dxa"/>
            <w:shd w:val="clear" w:color="auto" w:fill="auto"/>
            <w:hideMark/>
          </w:tcPr>
          <w:p w14:paraId="38B0EBB9"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3705</w:t>
            </w:r>
          </w:p>
        </w:tc>
        <w:tc>
          <w:tcPr>
            <w:tcW w:w="993" w:type="dxa"/>
            <w:shd w:val="clear" w:color="auto" w:fill="auto"/>
            <w:noWrap/>
            <w:hideMark/>
          </w:tcPr>
          <w:p w14:paraId="764FECCC"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326,00</w:t>
            </w:r>
          </w:p>
        </w:tc>
        <w:tc>
          <w:tcPr>
            <w:tcW w:w="992" w:type="dxa"/>
            <w:shd w:val="clear" w:color="auto" w:fill="auto"/>
            <w:noWrap/>
            <w:hideMark/>
          </w:tcPr>
          <w:p w14:paraId="733C5115"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69,02</w:t>
            </w:r>
          </w:p>
        </w:tc>
        <w:tc>
          <w:tcPr>
            <w:tcW w:w="1276" w:type="dxa"/>
            <w:shd w:val="clear" w:color="auto" w:fill="auto"/>
            <w:noWrap/>
            <w:hideMark/>
          </w:tcPr>
          <w:p w14:paraId="6BFF7FF2"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-30,98</w:t>
            </w:r>
          </w:p>
        </w:tc>
        <w:tc>
          <w:tcPr>
            <w:tcW w:w="850" w:type="dxa"/>
            <w:shd w:val="clear" w:color="auto" w:fill="auto"/>
            <w:hideMark/>
          </w:tcPr>
          <w:p w14:paraId="43DC67B7"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1127</w:t>
            </w:r>
          </w:p>
        </w:tc>
        <w:tc>
          <w:tcPr>
            <w:tcW w:w="851" w:type="dxa"/>
            <w:shd w:val="clear" w:color="auto" w:fill="auto"/>
            <w:noWrap/>
            <w:hideMark/>
          </w:tcPr>
          <w:p w14:paraId="7983BA9B"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111,00</w:t>
            </w:r>
          </w:p>
        </w:tc>
        <w:tc>
          <w:tcPr>
            <w:tcW w:w="1559" w:type="dxa"/>
            <w:shd w:val="clear" w:color="auto" w:fill="auto"/>
            <w:noWrap/>
            <w:hideMark/>
          </w:tcPr>
          <w:p w14:paraId="4D9AD86D" w14:textId="77777777" w:rsidR="00077E0F" w:rsidRPr="006E1680" w:rsidRDefault="00077E0F"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65,17</w:t>
            </w:r>
          </w:p>
        </w:tc>
        <w:tc>
          <w:tcPr>
            <w:tcW w:w="992" w:type="dxa"/>
            <w:shd w:val="clear" w:color="auto" w:fill="auto"/>
            <w:noWrap/>
            <w:hideMark/>
          </w:tcPr>
          <w:p w14:paraId="486D9AD9"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-34,83</w:t>
            </w:r>
          </w:p>
        </w:tc>
        <w:tc>
          <w:tcPr>
            <w:tcW w:w="709" w:type="dxa"/>
            <w:shd w:val="clear" w:color="auto" w:fill="auto"/>
            <w:hideMark/>
          </w:tcPr>
          <w:p w14:paraId="2FDA5B16"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2578</w:t>
            </w:r>
          </w:p>
        </w:tc>
        <w:tc>
          <w:tcPr>
            <w:tcW w:w="1134" w:type="dxa"/>
            <w:shd w:val="clear" w:color="auto" w:fill="auto"/>
            <w:noWrap/>
            <w:hideMark/>
          </w:tcPr>
          <w:p w14:paraId="66E5362E"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215,00</w:t>
            </w:r>
          </w:p>
        </w:tc>
        <w:tc>
          <w:tcPr>
            <w:tcW w:w="1134" w:type="dxa"/>
            <w:shd w:val="clear" w:color="auto" w:fill="auto"/>
            <w:noWrap/>
            <w:hideMark/>
          </w:tcPr>
          <w:p w14:paraId="025C5EBA"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70,81</w:t>
            </w:r>
          </w:p>
        </w:tc>
        <w:tc>
          <w:tcPr>
            <w:tcW w:w="992" w:type="dxa"/>
            <w:shd w:val="clear" w:color="auto" w:fill="auto"/>
            <w:noWrap/>
            <w:hideMark/>
          </w:tcPr>
          <w:p w14:paraId="2CAABB25"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-29,19</w:t>
            </w:r>
          </w:p>
        </w:tc>
      </w:tr>
      <w:tr w:rsidR="00077E0F" w:rsidRPr="006E1680" w14:paraId="511D28A4" w14:textId="77777777" w:rsidTr="00BA3CA8">
        <w:trPr>
          <w:trHeight w:val="255"/>
        </w:trPr>
        <w:tc>
          <w:tcPr>
            <w:tcW w:w="1134" w:type="dxa"/>
            <w:vMerge/>
            <w:vAlign w:val="center"/>
            <w:hideMark/>
          </w:tcPr>
          <w:p w14:paraId="4E255F3D" w14:textId="77777777" w:rsidR="00077E0F" w:rsidRPr="006E1680" w:rsidRDefault="00077E0F" w:rsidP="00077E0F">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0AC376D0"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2018</w:t>
            </w:r>
          </w:p>
        </w:tc>
        <w:tc>
          <w:tcPr>
            <w:tcW w:w="708" w:type="dxa"/>
            <w:shd w:val="clear" w:color="auto" w:fill="auto"/>
            <w:hideMark/>
          </w:tcPr>
          <w:p w14:paraId="07B1C044"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4038</w:t>
            </w:r>
          </w:p>
        </w:tc>
        <w:tc>
          <w:tcPr>
            <w:tcW w:w="993" w:type="dxa"/>
            <w:shd w:val="clear" w:color="auto" w:fill="auto"/>
            <w:noWrap/>
            <w:hideMark/>
          </w:tcPr>
          <w:p w14:paraId="492994BE"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333,00</w:t>
            </w:r>
          </w:p>
        </w:tc>
        <w:tc>
          <w:tcPr>
            <w:tcW w:w="992" w:type="dxa"/>
            <w:shd w:val="clear" w:color="auto" w:fill="auto"/>
            <w:noWrap/>
            <w:hideMark/>
          </w:tcPr>
          <w:p w14:paraId="5B3C2506"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75,67</w:t>
            </w:r>
          </w:p>
        </w:tc>
        <w:tc>
          <w:tcPr>
            <w:tcW w:w="1276" w:type="dxa"/>
            <w:shd w:val="clear" w:color="auto" w:fill="auto"/>
            <w:noWrap/>
            <w:hideMark/>
          </w:tcPr>
          <w:p w14:paraId="2D653584"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-24,33</w:t>
            </w:r>
          </w:p>
        </w:tc>
        <w:tc>
          <w:tcPr>
            <w:tcW w:w="850" w:type="dxa"/>
            <w:shd w:val="clear" w:color="auto" w:fill="auto"/>
            <w:hideMark/>
          </w:tcPr>
          <w:p w14:paraId="1EC2D6BB"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1237</w:t>
            </w:r>
          </w:p>
        </w:tc>
        <w:tc>
          <w:tcPr>
            <w:tcW w:w="851" w:type="dxa"/>
            <w:shd w:val="clear" w:color="auto" w:fill="auto"/>
            <w:noWrap/>
            <w:hideMark/>
          </w:tcPr>
          <w:p w14:paraId="33B48C3E"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110,00</w:t>
            </w:r>
          </w:p>
        </w:tc>
        <w:tc>
          <w:tcPr>
            <w:tcW w:w="1559" w:type="dxa"/>
            <w:shd w:val="clear" w:color="auto" w:fill="auto"/>
            <w:noWrap/>
            <w:hideMark/>
          </w:tcPr>
          <w:p w14:paraId="3074E4DD" w14:textId="77777777" w:rsidR="00077E0F" w:rsidRPr="006E1680" w:rsidRDefault="00077E0F"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72,29</w:t>
            </w:r>
          </w:p>
        </w:tc>
        <w:tc>
          <w:tcPr>
            <w:tcW w:w="992" w:type="dxa"/>
            <w:shd w:val="clear" w:color="auto" w:fill="auto"/>
            <w:noWrap/>
            <w:hideMark/>
          </w:tcPr>
          <w:p w14:paraId="0F7CD0EC"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-27,71</w:t>
            </w:r>
          </w:p>
        </w:tc>
        <w:tc>
          <w:tcPr>
            <w:tcW w:w="709" w:type="dxa"/>
            <w:shd w:val="clear" w:color="auto" w:fill="auto"/>
            <w:hideMark/>
          </w:tcPr>
          <w:p w14:paraId="4267B105"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2801</w:t>
            </w:r>
          </w:p>
        </w:tc>
        <w:tc>
          <w:tcPr>
            <w:tcW w:w="1134" w:type="dxa"/>
            <w:shd w:val="clear" w:color="auto" w:fill="auto"/>
            <w:noWrap/>
            <w:hideMark/>
          </w:tcPr>
          <w:p w14:paraId="1EFEEB01"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223,00</w:t>
            </w:r>
          </w:p>
        </w:tc>
        <w:tc>
          <w:tcPr>
            <w:tcW w:w="1134" w:type="dxa"/>
            <w:shd w:val="clear" w:color="auto" w:fill="auto"/>
            <w:noWrap/>
            <w:hideMark/>
          </w:tcPr>
          <w:p w14:paraId="348A4534"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77,26</w:t>
            </w:r>
          </w:p>
        </w:tc>
        <w:tc>
          <w:tcPr>
            <w:tcW w:w="992" w:type="dxa"/>
            <w:shd w:val="clear" w:color="auto" w:fill="auto"/>
            <w:noWrap/>
            <w:hideMark/>
          </w:tcPr>
          <w:p w14:paraId="378DAC70"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-22,74</w:t>
            </w:r>
          </w:p>
        </w:tc>
      </w:tr>
      <w:tr w:rsidR="00077E0F" w:rsidRPr="006E1680" w14:paraId="63D9AA7C" w14:textId="77777777" w:rsidTr="00BA3CA8">
        <w:trPr>
          <w:trHeight w:val="255"/>
        </w:trPr>
        <w:tc>
          <w:tcPr>
            <w:tcW w:w="1134" w:type="dxa"/>
            <w:vMerge/>
            <w:vAlign w:val="center"/>
            <w:hideMark/>
          </w:tcPr>
          <w:p w14:paraId="66AD0141" w14:textId="77777777" w:rsidR="00077E0F" w:rsidRPr="006E1680" w:rsidRDefault="00077E0F" w:rsidP="00077E0F">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1616071D"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2019</w:t>
            </w:r>
          </w:p>
        </w:tc>
        <w:tc>
          <w:tcPr>
            <w:tcW w:w="708" w:type="dxa"/>
            <w:shd w:val="clear" w:color="auto" w:fill="auto"/>
            <w:hideMark/>
          </w:tcPr>
          <w:p w14:paraId="661B979C"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4422</w:t>
            </w:r>
          </w:p>
        </w:tc>
        <w:tc>
          <w:tcPr>
            <w:tcW w:w="993" w:type="dxa"/>
            <w:shd w:val="clear" w:color="auto" w:fill="auto"/>
            <w:noWrap/>
            <w:hideMark/>
          </w:tcPr>
          <w:p w14:paraId="4B941EBA"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384,00</w:t>
            </w:r>
          </w:p>
        </w:tc>
        <w:tc>
          <w:tcPr>
            <w:tcW w:w="992" w:type="dxa"/>
            <w:shd w:val="clear" w:color="auto" w:fill="auto"/>
            <w:noWrap/>
            <w:hideMark/>
          </w:tcPr>
          <w:p w14:paraId="0C6BA45C"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82,48</w:t>
            </w:r>
          </w:p>
        </w:tc>
        <w:tc>
          <w:tcPr>
            <w:tcW w:w="1276" w:type="dxa"/>
            <w:shd w:val="clear" w:color="auto" w:fill="auto"/>
            <w:noWrap/>
            <w:hideMark/>
          </w:tcPr>
          <w:p w14:paraId="188D0849"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-17,52</w:t>
            </w:r>
          </w:p>
        </w:tc>
        <w:tc>
          <w:tcPr>
            <w:tcW w:w="850" w:type="dxa"/>
            <w:shd w:val="clear" w:color="auto" w:fill="auto"/>
            <w:hideMark/>
          </w:tcPr>
          <w:p w14:paraId="75838819"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1374</w:t>
            </w:r>
          </w:p>
        </w:tc>
        <w:tc>
          <w:tcPr>
            <w:tcW w:w="851" w:type="dxa"/>
            <w:shd w:val="clear" w:color="auto" w:fill="auto"/>
            <w:noWrap/>
            <w:hideMark/>
          </w:tcPr>
          <w:p w14:paraId="52090E08"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137,00</w:t>
            </w:r>
          </w:p>
        </w:tc>
        <w:tc>
          <w:tcPr>
            <w:tcW w:w="1559" w:type="dxa"/>
            <w:shd w:val="clear" w:color="auto" w:fill="auto"/>
            <w:noWrap/>
            <w:hideMark/>
          </w:tcPr>
          <w:p w14:paraId="406C38ED" w14:textId="77777777" w:rsidR="00077E0F" w:rsidRPr="006E1680" w:rsidRDefault="00077E0F"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79,35</w:t>
            </w:r>
          </w:p>
        </w:tc>
        <w:tc>
          <w:tcPr>
            <w:tcW w:w="992" w:type="dxa"/>
            <w:shd w:val="clear" w:color="auto" w:fill="auto"/>
            <w:noWrap/>
            <w:hideMark/>
          </w:tcPr>
          <w:p w14:paraId="12D0A4C8"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-20,65</w:t>
            </w:r>
          </w:p>
        </w:tc>
        <w:tc>
          <w:tcPr>
            <w:tcW w:w="709" w:type="dxa"/>
            <w:shd w:val="clear" w:color="auto" w:fill="auto"/>
            <w:hideMark/>
          </w:tcPr>
          <w:p w14:paraId="694E4779"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3048</w:t>
            </w:r>
          </w:p>
        </w:tc>
        <w:tc>
          <w:tcPr>
            <w:tcW w:w="1134" w:type="dxa"/>
            <w:shd w:val="clear" w:color="auto" w:fill="auto"/>
            <w:noWrap/>
            <w:hideMark/>
          </w:tcPr>
          <w:p w14:paraId="7B18DD59"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247,00</w:t>
            </w:r>
          </w:p>
        </w:tc>
        <w:tc>
          <w:tcPr>
            <w:tcW w:w="1134" w:type="dxa"/>
            <w:shd w:val="clear" w:color="auto" w:fill="auto"/>
            <w:noWrap/>
            <w:hideMark/>
          </w:tcPr>
          <w:p w14:paraId="03F08ADC"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83,94</w:t>
            </w:r>
          </w:p>
        </w:tc>
        <w:tc>
          <w:tcPr>
            <w:tcW w:w="992" w:type="dxa"/>
            <w:shd w:val="clear" w:color="auto" w:fill="auto"/>
            <w:noWrap/>
            <w:hideMark/>
          </w:tcPr>
          <w:p w14:paraId="3E0BC036"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-16,06</w:t>
            </w:r>
          </w:p>
        </w:tc>
      </w:tr>
      <w:tr w:rsidR="00077E0F" w:rsidRPr="006E1680" w14:paraId="79CF4F29" w14:textId="77777777" w:rsidTr="00BA3CA8">
        <w:trPr>
          <w:trHeight w:val="255"/>
        </w:trPr>
        <w:tc>
          <w:tcPr>
            <w:tcW w:w="1134" w:type="dxa"/>
            <w:vMerge/>
            <w:vAlign w:val="center"/>
            <w:hideMark/>
          </w:tcPr>
          <w:p w14:paraId="306E5334" w14:textId="77777777" w:rsidR="00077E0F" w:rsidRPr="006E1680" w:rsidRDefault="00077E0F" w:rsidP="00077E0F">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137ACAE9"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2020</w:t>
            </w:r>
          </w:p>
        </w:tc>
        <w:tc>
          <w:tcPr>
            <w:tcW w:w="708" w:type="dxa"/>
            <w:shd w:val="clear" w:color="auto" w:fill="auto"/>
            <w:hideMark/>
          </w:tcPr>
          <w:p w14:paraId="68C6F807"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4574</w:t>
            </w:r>
          </w:p>
        </w:tc>
        <w:tc>
          <w:tcPr>
            <w:tcW w:w="993" w:type="dxa"/>
            <w:shd w:val="clear" w:color="auto" w:fill="auto"/>
            <w:noWrap/>
            <w:hideMark/>
          </w:tcPr>
          <w:p w14:paraId="342604E7"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152,00</w:t>
            </w:r>
          </w:p>
        </w:tc>
        <w:tc>
          <w:tcPr>
            <w:tcW w:w="992" w:type="dxa"/>
            <w:shd w:val="clear" w:color="auto" w:fill="auto"/>
            <w:noWrap/>
            <w:hideMark/>
          </w:tcPr>
          <w:p w14:paraId="3196DC06"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90,32</w:t>
            </w:r>
          </w:p>
        </w:tc>
        <w:tc>
          <w:tcPr>
            <w:tcW w:w="1276" w:type="dxa"/>
            <w:shd w:val="clear" w:color="auto" w:fill="auto"/>
            <w:noWrap/>
            <w:hideMark/>
          </w:tcPr>
          <w:p w14:paraId="03839E50"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-9,68</w:t>
            </w:r>
          </w:p>
        </w:tc>
        <w:tc>
          <w:tcPr>
            <w:tcW w:w="850" w:type="dxa"/>
            <w:shd w:val="clear" w:color="auto" w:fill="auto"/>
            <w:hideMark/>
          </w:tcPr>
          <w:p w14:paraId="6B5D0527"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1452</w:t>
            </w:r>
          </w:p>
        </w:tc>
        <w:tc>
          <w:tcPr>
            <w:tcW w:w="851" w:type="dxa"/>
            <w:shd w:val="clear" w:color="auto" w:fill="auto"/>
            <w:noWrap/>
            <w:hideMark/>
          </w:tcPr>
          <w:p w14:paraId="6A9B9BCE"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78,00</w:t>
            </w:r>
          </w:p>
        </w:tc>
        <w:tc>
          <w:tcPr>
            <w:tcW w:w="1559" w:type="dxa"/>
            <w:shd w:val="clear" w:color="auto" w:fill="auto"/>
            <w:noWrap/>
            <w:hideMark/>
          </w:tcPr>
          <w:p w14:paraId="6EB52ABD" w14:textId="77777777" w:rsidR="00077E0F" w:rsidRPr="006E1680" w:rsidRDefault="00077E0F"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88,13</w:t>
            </w:r>
          </w:p>
        </w:tc>
        <w:tc>
          <w:tcPr>
            <w:tcW w:w="992" w:type="dxa"/>
            <w:shd w:val="clear" w:color="auto" w:fill="auto"/>
            <w:noWrap/>
            <w:hideMark/>
          </w:tcPr>
          <w:p w14:paraId="37358CFF"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-11,87</w:t>
            </w:r>
          </w:p>
        </w:tc>
        <w:tc>
          <w:tcPr>
            <w:tcW w:w="709" w:type="dxa"/>
            <w:shd w:val="clear" w:color="auto" w:fill="auto"/>
            <w:hideMark/>
          </w:tcPr>
          <w:p w14:paraId="1C6EE1B0"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3122</w:t>
            </w:r>
          </w:p>
        </w:tc>
        <w:tc>
          <w:tcPr>
            <w:tcW w:w="1134" w:type="dxa"/>
            <w:shd w:val="clear" w:color="auto" w:fill="auto"/>
            <w:noWrap/>
            <w:hideMark/>
          </w:tcPr>
          <w:p w14:paraId="64D4E89D"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74,00</w:t>
            </w:r>
          </w:p>
        </w:tc>
        <w:tc>
          <w:tcPr>
            <w:tcW w:w="1134" w:type="dxa"/>
            <w:shd w:val="clear" w:color="auto" w:fill="auto"/>
            <w:noWrap/>
            <w:hideMark/>
          </w:tcPr>
          <w:p w14:paraId="56ECBA68"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91,34</w:t>
            </w:r>
          </w:p>
        </w:tc>
        <w:tc>
          <w:tcPr>
            <w:tcW w:w="992" w:type="dxa"/>
            <w:shd w:val="clear" w:color="auto" w:fill="auto"/>
            <w:noWrap/>
            <w:hideMark/>
          </w:tcPr>
          <w:p w14:paraId="52B80CC9"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-8,66</w:t>
            </w:r>
          </w:p>
        </w:tc>
      </w:tr>
      <w:tr w:rsidR="00077E0F" w:rsidRPr="006E1680" w14:paraId="79361230" w14:textId="77777777" w:rsidTr="00BA3CA8">
        <w:trPr>
          <w:trHeight w:val="255"/>
        </w:trPr>
        <w:tc>
          <w:tcPr>
            <w:tcW w:w="1134" w:type="dxa"/>
            <w:vMerge/>
            <w:vAlign w:val="center"/>
            <w:hideMark/>
          </w:tcPr>
          <w:p w14:paraId="211CD76D" w14:textId="77777777" w:rsidR="00077E0F" w:rsidRPr="006E1680" w:rsidRDefault="00077E0F" w:rsidP="00077E0F">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6A812A11"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2021</w:t>
            </w:r>
          </w:p>
        </w:tc>
        <w:tc>
          <w:tcPr>
            <w:tcW w:w="708" w:type="dxa"/>
            <w:shd w:val="clear" w:color="auto" w:fill="auto"/>
            <w:hideMark/>
          </w:tcPr>
          <w:p w14:paraId="7837B43A"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4896</w:t>
            </w:r>
          </w:p>
        </w:tc>
        <w:tc>
          <w:tcPr>
            <w:tcW w:w="993" w:type="dxa"/>
            <w:shd w:val="clear" w:color="auto" w:fill="auto"/>
            <w:noWrap/>
            <w:hideMark/>
          </w:tcPr>
          <w:p w14:paraId="0C09FE0C"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322,00</w:t>
            </w:r>
          </w:p>
        </w:tc>
        <w:tc>
          <w:tcPr>
            <w:tcW w:w="992" w:type="dxa"/>
            <w:shd w:val="clear" w:color="auto" w:fill="auto"/>
            <w:noWrap/>
            <w:hideMark/>
          </w:tcPr>
          <w:p w14:paraId="7663D844"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93,42</w:t>
            </w:r>
          </w:p>
        </w:tc>
        <w:tc>
          <w:tcPr>
            <w:tcW w:w="1276" w:type="dxa"/>
            <w:shd w:val="clear" w:color="auto" w:fill="auto"/>
            <w:noWrap/>
            <w:hideMark/>
          </w:tcPr>
          <w:p w14:paraId="6F6C9499"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-6,58</w:t>
            </w:r>
          </w:p>
        </w:tc>
        <w:tc>
          <w:tcPr>
            <w:tcW w:w="850" w:type="dxa"/>
            <w:shd w:val="clear" w:color="auto" w:fill="auto"/>
            <w:hideMark/>
          </w:tcPr>
          <w:p w14:paraId="338DA100"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1559</w:t>
            </w:r>
          </w:p>
        </w:tc>
        <w:tc>
          <w:tcPr>
            <w:tcW w:w="851" w:type="dxa"/>
            <w:shd w:val="clear" w:color="auto" w:fill="auto"/>
            <w:noWrap/>
            <w:hideMark/>
          </w:tcPr>
          <w:p w14:paraId="5B665ABC"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107,00</w:t>
            </w:r>
          </w:p>
        </w:tc>
        <w:tc>
          <w:tcPr>
            <w:tcW w:w="1559" w:type="dxa"/>
            <w:shd w:val="clear" w:color="auto" w:fill="auto"/>
            <w:noWrap/>
            <w:hideMark/>
          </w:tcPr>
          <w:p w14:paraId="00B3C10E" w14:textId="77777777" w:rsidR="00077E0F" w:rsidRPr="006E1680" w:rsidRDefault="00077E0F"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93,14</w:t>
            </w:r>
          </w:p>
        </w:tc>
        <w:tc>
          <w:tcPr>
            <w:tcW w:w="992" w:type="dxa"/>
            <w:shd w:val="clear" w:color="auto" w:fill="auto"/>
            <w:noWrap/>
            <w:hideMark/>
          </w:tcPr>
          <w:p w14:paraId="0B01F900"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-6,86</w:t>
            </w:r>
          </w:p>
        </w:tc>
        <w:tc>
          <w:tcPr>
            <w:tcW w:w="709" w:type="dxa"/>
            <w:shd w:val="clear" w:color="auto" w:fill="auto"/>
            <w:hideMark/>
          </w:tcPr>
          <w:p w14:paraId="65BA3058"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3337</w:t>
            </w:r>
          </w:p>
        </w:tc>
        <w:tc>
          <w:tcPr>
            <w:tcW w:w="1134" w:type="dxa"/>
            <w:shd w:val="clear" w:color="auto" w:fill="auto"/>
            <w:noWrap/>
            <w:hideMark/>
          </w:tcPr>
          <w:p w14:paraId="32DD7FEA"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215,00</w:t>
            </w:r>
          </w:p>
        </w:tc>
        <w:tc>
          <w:tcPr>
            <w:tcW w:w="1134" w:type="dxa"/>
            <w:shd w:val="clear" w:color="auto" w:fill="auto"/>
            <w:noWrap/>
            <w:hideMark/>
          </w:tcPr>
          <w:p w14:paraId="7681115E"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93,56</w:t>
            </w:r>
          </w:p>
        </w:tc>
        <w:tc>
          <w:tcPr>
            <w:tcW w:w="992" w:type="dxa"/>
            <w:shd w:val="clear" w:color="auto" w:fill="auto"/>
            <w:noWrap/>
            <w:hideMark/>
          </w:tcPr>
          <w:p w14:paraId="5084296D"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-6,44</w:t>
            </w:r>
          </w:p>
        </w:tc>
      </w:tr>
      <w:tr w:rsidR="00077E0F" w:rsidRPr="006E1680" w14:paraId="436C45E7" w14:textId="77777777" w:rsidTr="00BA3CA8">
        <w:trPr>
          <w:trHeight w:val="255"/>
        </w:trPr>
        <w:tc>
          <w:tcPr>
            <w:tcW w:w="1134" w:type="dxa"/>
            <w:vMerge/>
            <w:tcBorders>
              <w:bottom w:val="single" w:sz="4" w:space="0" w:color="auto"/>
            </w:tcBorders>
            <w:vAlign w:val="center"/>
            <w:hideMark/>
          </w:tcPr>
          <w:p w14:paraId="2A64A23E" w14:textId="77777777" w:rsidR="00077E0F" w:rsidRPr="006E1680" w:rsidRDefault="00077E0F" w:rsidP="00077E0F">
            <w:pPr>
              <w:spacing w:after="0" w:line="240" w:lineRule="auto"/>
              <w:rPr>
                <w:rFonts w:ascii="Times New Roman" w:eastAsia="Times New Roman" w:hAnsi="Times New Roman" w:cs="Times New Roman"/>
                <w:sz w:val="24"/>
                <w:szCs w:val="24"/>
              </w:rPr>
            </w:pPr>
          </w:p>
        </w:tc>
        <w:tc>
          <w:tcPr>
            <w:tcW w:w="993" w:type="dxa"/>
            <w:tcBorders>
              <w:bottom w:val="single" w:sz="4" w:space="0" w:color="auto"/>
            </w:tcBorders>
            <w:shd w:val="clear" w:color="auto" w:fill="auto"/>
            <w:noWrap/>
            <w:hideMark/>
          </w:tcPr>
          <w:p w14:paraId="71B0E017"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 xml:space="preserve">среднее </w:t>
            </w:r>
          </w:p>
        </w:tc>
        <w:tc>
          <w:tcPr>
            <w:tcW w:w="708" w:type="dxa"/>
            <w:tcBorders>
              <w:bottom w:val="single" w:sz="4" w:space="0" w:color="auto"/>
            </w:tcBorders>
            <w:shd w:val="clear" w:color="auto" w:fill="auto"/>
            <w:noWrap/>
            <w:hideMark/>
          </w:tcPr>
          <w:p w14:paraId="2991BBB5"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3577,00</w:t>
            </w:r>
          </w:p>
        </w:tc>
        <w:tc>
          <w:tcPr>
            <w:tcW w:w="993" w:type="dxa"/>
            <w:tcBorders>
              <w:bottom w:val="single" w:sz="4" w:space="0" w:color="auto"/>
            </w:tcBorders>
            <w:shd w:val="clear" w:color="auto" w:fill="auto"/>
            <w:noWrap/>
            <w:hideMark/>
          </w:tcPr>
          <w:p w14:paraId="56DAD137"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286,22</w:t>
            </w:r>
          </w:p>
        </w:tc>
        <w:tc>
          <w:tcPr>
            <w:tcW w:w="992" w:type="dxa"/>
            <w:tcBorders>
              <w:bottom w:val="single" w:sz="4" w:space="0" w:color="auto"/>
            </w:tcBorders>
            <w:shd w:val="clear" w:color="auto" w:fill="auto"/>
            <w:noWrap/>
            <w:hideMark/>
          </w:tcPr>
          <w:p w14:paraId="2399093E"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108,65</w:t>
            </w:r>
          </w:p>
        </w:tc>
        <w:tc>
          <w:tcPr>
            <w:tcW w:w="1276" w:type="dxa"/>
            <w:tcBorders>
              <w:bottom w:val="single" w:sz="4" w:space="0" w:color="auto"/>
            </w:tcBorders>
            <w:shd w:val="clear" w:color="auto" w:fill="auto"/>
            <w:noWrap/>
            <w:hideMark/>
          </w:tcPr>
          <w:p w14:paraId="41045655"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8,65</w:t>
            </w:r>
          </w:p>
        </w:tc>
        <w:tc>
          <w:tcPr>
            <w:tcW w:w="850" w:type="dxa"/>
            <w:tcBorders>
              <w:bottom w:val="single" w:sz="4" w:space="0" w:color="auto"/>
            </w:tcBorders>
            <w:shd w:val="clear" w:color="auto" w:fill="auto"/>
            <w:noWrap/>
            <w:hideMark/>
          </w:tcPr>
          <w:p w14:paraId="5E70C74E"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1102,90</w:t>
            </w:r>
          </w:p>
        </w:tc>
        <w:tc>
          <w:tcPr>
            <w:tcW w:w="851" w:type="dxa"/>
            <w:tcBorders>
              <w:bottom w:val="single" w:sz="4" w:space="0" w:color="auto"/>
            </w:tcBorders>
            <w:shd w:val="clear" w:color="auto" w:fill="auto"/>
            <w:noWrap/>
            <w:hideMark/>
          </w:tcPr>
          <w:p w14:paraId="279ADFAB"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95,33</w:t>
            </w:r>
          </w:p>
        </w:tc>
        <w:tc>
          <w:tcPr>
            <w:tcW w:w="1559" w:type="dxa"/>
            <w:tcBorders>
              <w:bottom w:val="single" w:sz="4" w:space="0" w:color="auto"/>
            </w:tcBorders>
            <w:shd w:val="clear" w:color="auto" w:fill="auto"/>
            <w:noWrap/>
            <w:hideMark/>
          </w:tcPr>
          <w:p w14:paraId="7B835EE9" w14:textId="77777777" w:rsidR="00077E0F" w:rsidRPr="006E1680" w:rsidRDefault="00077E0F"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109,29</w:t>
            </w:r>
          </w:p>
        </w:tc>
        <w:tc>
          <w:tcPr>
            <w:tcW w:w="992" w:type="dxa"/>
            <w:tcBorders>
              <w:bottom w:val="single" w:sz="4" w:space="0" w:color="auto"/>
            </w:tcBorders>
            <w:shd w:val="clear" w:color="auto" w:fill="auto"/>
            <w:noWrap/>
            <w:hideMark/>
          </w:tcPr>
          <w:p w14:paraId="79DD0EE5"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9,29</w:t>
            </w:r>
          </w:p>
        </w:tc>
        <w:tc>
          <w:tcPr>
            <w:tcW w:w="709" w:type="dxa"/>
            <w:tcBorders>
              <w:bottom w:val="single" w:sz="4" w:space="0" w:color="auto"/>
            </w:tcBorders>
            <w:shd w:val="clear" w:color="auto" w:fill="auto"/>
            <w:noWrap/>
            <w:hideMark/>
          </w:tcPr>
          <w:p w14:paraId="309169F1"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2474,10</w:t>
            </w:r>
          </w:p>
        </w:tc>
        <w:tc>
          <w:tcPr>
            <w:tcW w:w="1134" w:type="dxa"/>
            <w:tcBorders>
              <w:bottom w:val="single" w:sz="4" w:space="0" w:color="auto"/>
            </w:tcBorders>
            <w:shd w:val="clear" w:color="auto" w:fill="auto"/>
            <w:noWrap/>
            <w:hideMark/>
          </w:tcPr>
          <w:p w14:paraId="559A1B0A"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190,89</w:t>
            </w:r>
          </w:p>
        </w:tc>
        <w:tc>
          <w:tcPr>
            <w:tcW w:w="1134" w:type="dxa"/>
            <w:tcBorders>
              <w:bottom w:val="single" w:sz="4" w:space="0" w:color="auto"/>
            </w:tcBorders>
            <w:shd w:val="clear" w:color="auto" w:fill="auto"/>
            <w:noWrap/>
            <w:hideMark/>
          </w:tcPr>
          <w:p w14:paraId="140C3C55"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108,37</w:t>
            </w:r>
          </w:p>
        </w:tc>
        <w:tc>
          <w:tcPr>
            <w:tcW w:w="992" w:type="dxa"/>
            <w:tcBorders>
              <w:bottom w:val="single" w:sz="4" w:space="0" w:color="auto"/>
            </w:tcBorders>
            <w:shd w:val="clear" w:color="auto" w:fill="auto"/>
            <w:noWrap/>
            <w:hideMark/>
          </w:tcPr>
          <w:p w14:paraId="3473395C"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8,37</w:t>
            </w:r>
          </w:p>
        </w:tc>
      </w:tr>
      <w:tr w:rsidR="00077E0F" w:rsidRPr="006E1680" w14:paraId="00194255" w14:textId="77777777" w:rsidTr="00BA3CA8">
        <w:trPr>
          <w:trHeight w:val="255"/>
        </w:trPr>
        <w:tc>
          <w:tcPr>
            <w:tcW w:w="1134" w:type="dxa"/>
            <w:vMerge w:val="restart"/>
            <w:shd w:val="clear" w:color="auto" w:fill="auto"/>
            <w:noWrap/>
            <w:hideMark/>
          </w:tcPr>
          <w:p w14:paraId="2BC293B3"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Медеуский</w:t>
            </w:r>
          </w:p>
        </w:tc>
        <w:tc>
          <w:tcPr>
            <w:tcW w:w="993" w:type="dxa"/>
            <w:shd w:val="clear" w:color="auto" w:fill="auto"/>
            <w:noWrap/>
            <w:hideMark/>
          </w:tcPr>
          <w:p w14:paraId="62A8F944"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2012</w:t>
            </w:r>
          </w:p>
        </w:tc>
        <w:tc>
          <w:tcPr>
            <w:tcW w:w="708" w:type="dxa"/>
            <w:shd w:val="clear" w:color="auto" w:fill="auto"/>
            <w:hideMark/>
          </w:tcPr>
          <w:p w14:paraId="076F8B3C"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2910</w:t>
            </w:r>
          </w:p>
        </w:tc>
        <w:tc>
          <w:tcPr>
            <w:tcW w:w="993" w:type="dxa"/>
            <w:shd w:val="clear" w:color="auto" w:fill="auto"/>
            <w:noWrap/>
            <w:hideMark/>
          </w:tcPr>
          <w:p w14:paraId="5D3D34FE" w14:textId="76B0FAEE" w:rsidR="00077E0F" w:rsidRPr="006E1680" w:rsidRDefault="00077E0F" w:rsidP="00077E0F">
            <w:pPr>
              <w:spacing w:after="0" w:line="240" w:lineRule="auto"/>
              <w:jc w:val="center"/>
              <w:rPr>
                <w:rFonts w:ascii="Times New Roman" w:eastAsia="Times New Roman" w:hAnsi="Times New Roman" w:cs="Times New Roman"/>
                <w:sz w:val="24"/>
                <w:szCs w:val="24"/>
              </w:rPr>
            </w:pPr>
            <w:r w:rsidRPr="00994F7B">
              <w:rPr>
                <w:rFonts w:ascii="Times New Roman" w:eastAsia="Times New Roman" w:hAnsi="Times New Roman" w:cs="Times New Roman"/>
                <w:sz w:val="24"/>
                <w:szCs w:val="24"/>
              </w:rPr>
              <w:t>-</w:t>
            </w:r>
          </w:p>
        </w:tc>
        <w:tc>
          <w:tcPr>
            <w:tcW w:w="992" w:type="dxa"/>
            <w:shd w:val="clear" w:color="auto" w:fill="auto"/>
            <w:noWrap/>
            <w:hideMark/>
          </w:tcPr>
          <w:p w14:paraId="1026D6F5" w14:textId="14401B63" w:rsidR="00077E0F" w:rsidRPr="006E1680" w:rsidRDefault="00077E0F" w:rsidP="00077E0F">
            <w:pPr>
              <w:spacing w:after="0" w:line="240" w:lineRule="auto"/>
              <w:jc w:val="center"/>
              <w:rPr>
                <w:rFonts w:ascii="Times New Roman" w:eastAsia="Times New Roman" w:hAnsi="Times New Roman" w:cs="Times New Roman"/>
                <w:sz w:val="24"/>
                <w:szCs w:val="24"/>
              </w:rPr>
            </w:pPr>
            <w:r w:rsidRPr="00994F7B">
              <w:rPr>
                <w:rFonts w:ascii="Times New Roman" w:eastAsia="Times New Roman" w:hAnsi="Times New Roman" w:cs="Times New Roman"/>
                <w:sz w:val="24"/>
                <w:szCs w:val="24"/>
              </w:rPr>
              <w:t>-</w:t>
            </w:r>
          </w:p>
        </w:tc>
        <w:tc>
          <w:tcPr>
            <w:tcW w:w="1276" w:type="dxa"/>
            <w:shd w:val="clear" w:color="auto" w:fill="auto"/>
            <w:noWrap/>
            <w:hideMark/>
          </w:tcPr>
          <w:p w14:paraId="3D1130F2" w14:textId="6BFD5E99" w:rsidR="00077E0F" w:rsidRPr="006E1680" w:rsidRDefault="00077E0F" w:rsidP="00077E0F">
            <w:pPr>
              <w:spacing w:after="0" w:line="240" w:lineRule="auto"/>
              <w:jc w:val="center"/>
              <w:rPr>
                <w:rFonts w:ascii="Times New Roman" w:eastAsia="Times New Roman" w:hAnsi="Times New Roman" w:cs="Times New Roman"/>
                <w:sz w:val="24"/>
                <w:szCs w:val="24"/>
              </w:rPr>
            </w:pPr>
            <w:r w:rsidRPr="00994F7B">
              <w:rPr>
                <w:rFonts w:ascii="Times New Roman" w:eastAsia="Times New Roman" w:hAnsi="Times New Roman" w:cs="Times New Roman"/>
                <w:sz w:val="24"/>
                <w:szCs w:val="24"/>
              </w:rPr>
              <w:t>-</w:t>
            </w:r>
          </w:p>
        </w:tc>
        <w:tc>
          <w:tcPr>
            <w:tcW w:w="850" w:type="dxa"/>
            <w:shd w:val="clear" w:color="auto" w:fill="auto"/>
            <w:hideMark/>
          </w:tcPr>
          <w:p w14:paraId="578F99BE"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924</w:t>
            </w:r>
          </w:p>
        </w:tc>
        <w:tc>
          <w:tcPr>
            <w:tcW w:w="851" w:type="dxa"/>
            <w:shd w:val="clear" w:color="auto" w:fill="auto"/>
            <w:noWrap/>
            <w:hideMark/>
          </w:tcPr>
          <w:p w14:paraId="3B09E218" w14:textId="147DC63C" w:rsidR="00077E0F" w:rsidRPr="006E1680" w:rsidRDefault="00077E0F" w:rsidP="00077E0F">
            <w:pPr>
              <w:spacing w:after="0" w:line="240" w:lineRule="auto"/>
              <w:jc w:val="center"/>
              <w:rPr>
                <w:rFonts w:ascii="Times New Roman" w:eastAsia="Times New Roman" w:hAnsi="Times New Roman" w:cs="Times New Roman"/>
                <w:sz w:val="24"/>
                <w:szCs w:val="24"/>
              </w:rPr>
            </w:pPr>
            <w:r w:rsidRPr="00D570C3">
              <w:rPr>
                <w:rFonts w:ascii="Times New Roman" w:eastAsia="Times New Roman" w:hAnsi="Times New Roman" w:cs="Times New Roman"/>
                <w:sz w:val="24"/>
                <w:szCs w:val="24"/>
              </w:rPr>
              <w:t>-</w:t>
            </w:r>
          </w:p>
        </w:tc>
        <w:tc>
          <w:tcPr>
            <w:tcW w:w="1559" w:type="dxa"/>
            <w:shd w:val="clear" w:color="auto" w:fill="auto"/>
            <w:noWrap/>
            <w:hideMark/>
          </w:tcPr>
          <w:p w14:paraId="053384EB" w14:textId="382AAF3C" w:rsidR="00077E0F" w:rsidRPr="006E1680" w:rsidRDefault="00077E0F" w:rsidP="00077E0F">
            <w:pPr>
              <w:spacing w:after="0" w:line="240" w:lineRule="auto"/>
              <w:jc w:val="center"/>
              <w:rPr>
                <w:rFonts w:ascii="Times New Roman" w:eastAsia="Times New Roman" w:hAnsi="Times New Roman" w:cs="Times New Roman"/>
                <w:sz w:val="24"/>
                <w:szCs w:val="24"/>
              </w:rPr>
            </w:pPr>
            <w:r w:rsidRPr="00D570C3">
              <w:rPr>
                <w:rFonts w:ascii="Times New Roman" w:eastAsia="Times New Roman" w:hAnsi="Times New Roman" w:cs="Times New Roman"/>
                <w:sz w:val="24"/>
                <w:szCs w:val="24"/>
              </w:rPr>
              <w:t>-</w:t>
            </w:r>
          </w:p>
        </w:tc>
        <w:tc>
          <w:tcPr>
            <w:tcW w:w="992" w:type="dxa"/>
            <w:shd w:val="clear" w:color="auto" w:fill="auto"/>
            <w:noWrap/>
            <w:hideMark/>
          </w:tcPr>
          <w:p w14:paraId="247EE8D0" w14:textId="5AB2638B" w:rsidR="00077E0F" w:rsidRPr="006E1680" w:rsidRDefault="00077E0F" w:rsidP="00077E0F">
            <w:pPr>
              <w:spacing w:after="0" w:line="240" w:lineRule="auto"/>
              <w:jc w:val="center"/>
              <w:rPr>
                <w:rFonts w:ascii="Times New Roman" w:eastAsia="Times New Roman" w:hAnsi="Times New Roman" w:cs="Times New Roman"/>
                <w:sz w:val="24"/>
                <w:szCs w:val="24"/>
              </w:rPr>
            </w:pPr>
            <w:r w:rsidRPr="00D570C3">
              <w:rPr>
                <w:rFonts w:ascii="Times New Roman" w:eastAsia="Times New Roman" w:hAnsi="Times New Roman" w:cs="Times New Roman"/>
                <w:sz w:val="24"/>
                <w:szCs w:val="24"/>
              </w:rPr>
              <w:t>-</w:t>
            </w:r>
          </w:p>
        </w:tc>
        <w:tc>
          <w:tcPr>
            <w:tcW w:w="709" w:type="dxa"/>
            <w:shd w:val="clear" w:color="auto" w:fill="auto"/>
            <w:hideMark/>
          </w:tcPr>
          <w:p w14:paraId="33B64B4E"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1986</w:t>
            </w:r>
          </w:p>
        </w:tc>
        <w:tc>
          <w:tcPr>
            <w:tcW w:w="1134" w:type="dxa"/>
            <w:shd w:val="clear" w:color="auto" w:fill="auto"/>
            <w:noWrap/>
            <w:hideMark/>
          </w:tcPr>
          <w:p w14:paraId="7373BDB5" w14:textId="294A2B4C" w:rsidR="00077E0F" w:rsidRPr="006E1680" w:rsidRDefault="00077E0F" w:rsidP="00077E0F">
            <w:pPr>
              <w:spacing w:after="0" w:line="240" w:lineRule="auto"/>
              <w:jc w:val="center"/>
              <w:rPr>
                <w:rFonts w:ascii="Times New Roman" w:eastAsia="Times New Roman" w:hAnsi="Times New Roman" w:cs="Times New Roman"/>
                <w:sz w:val="24"/>
                <w:szCs w:val="24"/>
              </w:rPr>
            </w:pPr>
            <w:r w:rsidRPr="00713906">
              <w:rPr>
                <w:rFonts w:ascii="Times New Roman" w:eastAsia="Times New Roman" w:hAnsi="Times New Roman" w:cs="Times New Roman"/>
                <w:sz w:val="24"/>
                <w:szCs w:val="24"/>
              </w:rPr>
              <w:t>-</w:t>
            </w:r>
          </w:p>
        </w:tc>
        <w:tc>
          <w:tcPr>
            <w:tcW w:w="1134" w:type="dxa"/>
            <w:shd w:val="clear" w:color="auto" w:fill="auto"/>
            <w:noWrap/>
            <w:hideMark/>
          </w:tcPr>
          <w:p w14:paraId="3A41C8CF" w14:textId="4B0F5AD1" w:rsidR="00077E0F" w:rsidRPr="006E1680" w:rsidRDefault="00077E0F" w:rsidP="00077E0F">
            <w:pPr>
              <w:spacing w:after="0" w:line="240" w:lineRule="auto"/>
              <w:jc w:val="center"/>
              <w:rPr>
                <w:rFonts w:ascii="Times New Roman" w:eastAsia="Times New Roman" w:hAnsi="Times New Roman" w:cs="Times New Roman"/>
                <w:sz w:val="24"/>
                <w:szCs w:val="24"/>
              </w:rPr>
            </w:pPr>
            <w:r w:rsidRPr="00713906">
              <w:rPr>
                <w:rFonts w:ascii="Times New Roman" w:eastAsia="Times New Roman" w:hAnsi="Times New Roman" w:cs="Times New Roman"/>
                <w:sz w:val="24"/>
                <w:szCs w:val="24"/>
              </w:rPr>
              <w:t>-</w:t>
            </w:r>
          </w:p>
        </w:tc>
        <w:tc>
          <w:tcPr>
            <w:tcW w:w="992" w:type="dxa"/>
            <w:shd w:val="clear" w:color="auto" w:fill="auto"/>
            <w:noWrap/>
            <w:hideMark/>
          </w:tcPr>
          <w:p w14:paraId="08C17103" w14:textId="71628D88" w:rsidR="00077E0F" w:rsidRPr="006E1680" w:rsidRDefault="00077E0F" w:rsidP="00077E0F">
            <w:pPr>
              <w:spacing w:after="0" w:line="240" w:lineRule="auto"/>
              <w:jc w:val="center"/>
              <w:rPr>
                <w:rFonts w:ascii="Times New Roman" w:eastAsia="Times New Roman" w:hAnsi="Times New Roman" w:cs="Times New Roman"/>
                <w:sz w:val="24"/>
                <w:szCs w:val="24"/>
              </w:rPr>
            </w:pPr>
            <w:r w:rsidRPr="00713906">
              <w:rPr>
                <w:rFonts w:ascii="Times New Roman" w:eastAsia="Times New Roman" w:hAnsi="Times New Roman" w:cs="Times New Roman"/>
                <w:sz w:val="24"/>
                <w:szCs w:val="24"/>
              </w:rPr>
              <w:t>-</w:t>
            </w:r>
          </w:p>
        </w:tc>
      </w:tr>
      <w:tr w:rsidR="00077E0F" w:rsidRPr="006E1680" w14:paraId="4C348629" w14:textId="77777777" w:rsidTr="00BA3CA8">
        <w:trPr>
          <w:trHeight w:val="255"/>
        </w:trPr>
        <w:tc>
          <w:tcPr>
            <w:tcW w:w="1134" w:type="dxa"/>
            <w:vMerge/>
            <w:vAlign w:val="center"/>
            <w:hideMark/>
          </w:tcPr>
          <w:p w14:paraId="641259DE" w14:textId="77777777" w:rsidR="00077E0F" w:rsidRPr="006E1680" w:rsidRDefault="00077E0F" w:rsidP="00077E0F">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2F0E932F"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2013</w:t>
            </w:r>
          </w:p>
        </w:tc>
        <w:tc>
          <w:tcPr>
            <w:tcW w:w="708" w:type="dxa"/>
            <w:shd w:val="clear" w:color="auto" w:fill="auto"/>
            <w:hideMark/>
          </w:tcPr>
          <w:p w14:paraId="5D314B03"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3227</w:t>
            </w:r>
          </w:p>
        </w:tc>
        <w:tc>
          <w:tcPr>
            <w:tcW w:w="993" w:type="dxa"/>
            <w:shd w:val="clear" w:color="auto" w:fill="auto"/>
            <w:noWrap/>
            <w:hideMark/>
          </w:tcPr>
          <w:p w14:paraId="4717A33B"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317,00</w:t>
            </w:r>
          </w:p>
        </w:tc>
        <w:tc>
          <w:tcPr>
            <w:tcW w:w="992" w:type="dxa"/>
            <w:shd w:val="clear" w:color="auto" w:fill="auto"/>
            <w:noWrap/>
            <w:hideMark/>
          </w:tcPr>
          <w:p w14:paraId="70DDF2E9"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58,48</w:t>
            </w:r>
          </w:p>
        </w:tc>
        <w:tc>
          <w:tcPr>
            <w:tcW w:w="1276" w:type="dxa"/>
            <w:shd w:val="clear" w:color="auto" w:fill="auto"/>
            <w:noWrap/>
            <w:hideMark/>
          </w:tcPr>
          <w:p w14:paraId="0DBCC4BE"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-41,52</w:t>
            </w:r>
          </w:p>
        </w:tc>
        <w:tc>
          <w:tcPr>
            <w:tcW w:w="850" w:type="dxa"/>
            <w:shd w:val="clear" w:color="auto" w:fill="auto"/>
            <w:hideMark/>
          </w:tcPr>
          <w:p w14:paraId="1DD45650"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1064</w:t>
            </w:r>
          </w:p>
        </w:tc>
        <w:tc>
          <w:tcPr>
            <w:tcW w:w="851" w:type="dxa"/>
            <w:shd w:val="clear" w:color="auto" w:fill="auto"/>
            <w:noWrap/>
            <w:hideMark/>
          </w:tcPr>
          <w:p w14:paraId="75FFF1C2"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140,00</w:t>
            </w:r>
          </w:p>
        </w:tc>
        <w:tc>
          <w:tcPr>
            <w:tcW w:w="1559" w:type="dxa"/>
            <w:shd w:val="clear" w:color="auto" w:fill="auto"/>
            <w:noWrap/>
            <w:hideMark/>
          </w:tcPr>
          <w:p w14:paraId="76EA903E" w14:textId="77777777" w:rsidR="00077E0F" w:rsidRPr="006E1680" w:rsidRDefault="00077E0F"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52,14</w:t>
            </w:r>
          </w:p>
        </w:tc>
        <w:tc>
          <w:tcPr>
            <w:tcW w:w="992" w:type="dxa"/>
            <w:shd w:val="clear" w:color="auto" w:fill="auto"/>
            <w:noWrap/>
            <w:hideMark/>
          </w:tcPr>
          <w:p w14:paraId="1FAC829A"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-47,86</w:t>
            </w:r>
          </w:p>
        </w:tc>
        <w:tc>
          <w:tcPr>
            <w:tcW w:w="709" w:type="dxa"/>
            <w:shd w:val="clear" w:color="auto" w:fill="auto"/>
            <w:hideMark/>
          </w:tcPr>
          <w:p w14:paraId="381B0CF6"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2163</w:t>
            </w:r>
          </w:p>
        </w:tc>
        <w:tc>
          <w:tcPr>
            <w:tcW w:w="1134" w:type="dxa"/>
            <w:shd w:val="clear" w:color="auto" w:fill="auto"/>
            <w:noWrap/>
            <w:hideMark/>
          </w:tcPr>
          <w:p w14:paraId="00CD09FF"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177,00</w:t>
            </w:r>
          </w:p>
        </w:tc>
        <w:tc>
          <w:tcPr>
            <w:tcW w:w="1134" w:type="dxa"/>
            <w:shd w:val="clear" w:color="auto" w:fill="auto"/>
            <w:noWrap/>
            <w:hideMark/>
          </w:tcPr>
          <w:p w14:paraId="550519D5"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61,99</w:t>
            </w:r>
          </w:p>
        </w:tc>
        <w:tc>
          <w:tcPr>
            <w:tcW w:w="992" w:type="dxa"/>
            <w:shd w:val="clear" w:color="auto" w:fill="auto"/>
            <w:noWrap/>
            <w:hideMark/>
          </w:tcPr>
          <w:p w14:paraId="3FBCE1F0"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-38,01</w:t>
            </w:r>
          </w:p>
        </w:tc>
      </w:tr>
      <w:tr w:rsidR="00077E0F" w:rsidRPr="006E1680" w14:paraId="72E35AD6" w14:textId="77777777" w:rsidTr="00BA3CA8">
        <w:trPr>
          <w:trHeight w:val="255"/>
        </w:trPr>
        <w:tc>
          <w:tcPr>
            <w:tcW w:w="1134" w:type="dxa"/>
            <w:vMerge/>
            <w:vAlign w:val="center"/>
            <w:hideMark/>
          </w:tcPr>
          <w:p w14:paraId="160BA1CC" w14:textId="77777777" w:rsidR="00077E0F" w:rsidRPr="006E1680" w:rsidRDefault="00077E0F" w:rsidP="00077E0F">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574ACCD9"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2014</w:t>
            </w:r>
          </w:p>
        </w:tc>
        <w:tc>
          <w:tcPr>
            <w:tcW w:w="708" w:type="dxa"/>
            <w:shd w:val="clear" w:color="auto" w:fill="auto"/>
            <w:hideMark/>
          </w:tcPr>
          <w:p w14:paraId="6BA19472"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3387</w:t>
            </w:r>
          </w:p>
        </w:tc>
        <w:tc>
          <w:tcPr>
            <w:tcW w:w="993" w:type="dxa"/>
            <w:shd w:val="clear" w:color="auto" w:fill="auto"/>
            <w:noWrap/>
            <w:hideMark/>
          </w:tcPr>
          <w:p w14:paraId="30C8BDAB"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160,00</w:t>
            </w:r>
          </w:p>
        </w:tc>
        <w:tc>
          <w:tcPr>
            <w:tcW w:w="992" w:type="dxa"/>
            <w:shd w:val="clear" w:color="auto" w:fill="auto"/>
            <w:noWrap/>
            <w:hideMark/>
          </w:tcPr>
          <w:p w14:paraId="20212476"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64,85</w:t>
            </w:r>
          </w:p>
        </w:tc>
        <w:tc>
          <w:tcPr>
            <w:tcW w:w="1276" w:type="dxa"/>
            <w:shd w:val="clear" w:color="auto" w:fill="auto"/>
            <w:noWrap/>
            <w:hideMark/>
          </w:tcPr>
          <w:p w14:paraId="32808674"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-35,15</w:t>
            </w:r>
          </w:p>
        </w:tc>
        <w:tc>
          <w:tcPr>
            <w:tcW w:w="850" w:type="dxa"/>
            <w:shd w:val="clear" w:color="auto" w:fill="auto"/>
            <w:hideMark/>
          </w:tcPr>
          <w:p w14:paraId="07B2E3D7"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1128</w:t>
            </w:r>
          </w:p>
        </w:tc>
        <w:tc>
          <w:tcPr>
            <w:tcW w:w="851" w:type="dxa"/>
            <w:shd w:val="clear" w:color="auto" w:fill="auto"/>
            <w:noWrap/>
            <w:hideMark/>
          </w:tcPr>
          <w:p w14:paraId="74DB5E75"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64,00</w:t>
            </w:r>
          </w:p>
        </w:tc>
        <w:tc>
          <w:tcPr>
            <w:tcW w:w="1559" w:type="dxa"/>
            <w:shd w:val="clear" w:color="auto" w:fill="auto"/>
            <w:noWrap/>
            <w:hideMark/>
          </w:tcPr>
          <w:p w14:paraId="1EC3A6EB" w14:textId="77777777" w:rsidR="00077E0F" w:rsidRPr="006E1680" w:rsidRDefault="00077E0F"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60,05</w:t>
            </w:r>
          </w:p>
        </w:tc>
        <w:tc>
          <w:tcPr>
            <w:tcW w:w="992" w:type="dxa"/>
            <w:shd w:val="clear" w:color="auto" w:fill="auto"/>
            <w:noWrap/>
            <w:hideMark/>
          </w:tcPr>
          <w:p w14:paraId="52E734F3"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-39,95</w:t>
            </w:r>
          </w:p>
        </w:tc>
        <w:tc>
          <w:tcPr>
            <w:tcW w:w="709" w:type="dxa"/>
            <w:shd w:val="clear" w:color="auto" w:fill="auto"/>
            <w:hideMark/>
          </w:tcPr>
          <w:p w14:paraId="0AE7353B"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2259</w:t>
            </w:r>
          </w:p>
        </w:tc>
        <w:tc>
          <w:tcPr>
            <w:tcW w:w="1134" w:type="dxa"/>
            <w:shd w:val="clear" w:color="auto" w:fill="auto"/>
            <w:noWrap/>
            <w:hideMark/>
          </w:tcPr>
          <w:p w14:paraId="62F1E1F0"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96,00</w:t>
            </w:r>
          </w:p>
        </w:tc>
        <w:tc>
          <w:tcPr>
            <w:tcW w:w="1134" w:type="dxa"/>
            <w:shd w:val="clear" w:color="auto" w:fill="auto"/>
            <w:noWrap/>
            <w:hideMark/>
          </w:tcPr>
          <w:p w14:paraId="7475954B"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67,51</w:t>
            </w:r>
          </w:p>
        </w:tc>
        <w:tc>
          <w:tcPr>
            <w:tcW w:w="992" w:type="dxa"/>
            <w:shd w:val="clear" w:color="auto" w:fill="auto"/>
            <w:noWrap/>
            <w:hideMark/>
          </w:tcPr>
          <w:p w14:paraId="5DED47AB"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-32,49</w:t>
            </w:r>
          </w:p>
        </w:tc>
      </w:tr>
      <w:tr w:rsidR="00077E0F" w:rsidRPr="006E1680" w14:paraId="6CECBFD6" w14:textId="77777777" w:rsidTr="00BA3CA8">
        <w:trPr>
          <w:trHeight w:val="255"/>
        </w:trPr>
        <w:tc>
          <w:tcPr>
            <w:tcW w:w="1134" w:type="dxa"/>
            <w:vMerge/>
            <w:vAlign w:val="center"/>
            <w:hideMark/>
          </w:tcPr>
          <w:p w14:paraId="1720BD47" w14:textId="77777777" w:rsidR="00077E0F" w:rsidRPr="006E1680" w:rsidRDefault="00077E0F" w:rsidP="00077E0F">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5E0A183F"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2015</w:t>
            </w:r>
          </w:p>
        </w:tc>
        <w:tc>
          <w:tcPr>
            <w:tcW w:w="708" w:type="dxa"/>
            <w:shd w:val="clear" w:color="auto" w:fill="auto"/>
            <w:hideMark/>
          </w:tcPr>
          <w:p w14:paraId="4450FF5B"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3415</w:t>
            </w:r>
          </w:p>
        </w:tc>
        <w:tc>
          <w:tcPr>
            <w:tcW w:w="993" w:type="dxa"/>
            <w:shd w:val="clear" w:color="auto" w:fill="auto"/>
            <w:noWrap/>
            <w:hideMark/>
          </w:tcPr>
          <w:p w14:paraId="7261110F"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28,00</w:t>
            </w:r>
          </w:p>
        </w:tc>
        <w:tc>
          <w:tcPr>
            <w:tcW w:w="992" w:type="dxa"/>
            <w:shd w:val="clear" w:color="auto" w:fill="auto"/>
            <w:noWrap/>
            <w:hideMark/>
          </w:tcPr>
          <w:p w14:paraId="10D865D6"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68,07</w:t>
            </w:r>
          </w:p>
        </w:tc>
        <w:tc>
          <w:tcPr>
            <w:tcW w:w="1276" w:type="dxa"/>
            <w:shd w:val="clear" w:color="auto" w:fill="auto"/>
            <w:noWrap/>
            <w:hideMark/>
          </w:tcPr>
          <w:p w14:paraId="58C7801B"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-31,93</w:t>
            </w:r>
          </w:p>
        </w:tc>
        <w:tc>
          <w:tcPr>
            <w:tcW w:w="850" w:type="dxa"/>
            <w:shd w:val="clear" w:color="auto" w:fill="auto"/>
            <w:hideMark/>
          </w:tcPr>
          <w:p w14:paraId="788A82F1"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1133</w:t>
            </w:r>
          </w:p>
        </w:tc>
        <w:tc>
          <w:tcPr>
            <w:tcW w:w="851" w:type="dxa"/>
            <w:shd w:val="clear" w:color="auto" w:fill="auto"/>
            <w:noWrap/>
            <w:hideMark/>
          </w:tcPr>
          <w:p w14:paraId="74CE5068"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5,00</w:t>
            </w:r>
          </w:p>
        </w:tc>
        <w:tc>
          <w:tcPr>
            <w:tcW w:w="1559" w:type="dxa"/>
            <w:shd w:val="clear" w:color="auto" w:fill="auto"/>
            <w:noWrap/>
            <w:hideMark/>
          </w:tcPr>
          <w:p w14:paraId="29EFA589" w14:textId="77777777" w:rsidR="00077E0F" w:rsidRPr="006E1680" w:rsidRDefault="00077E0F"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63,66</w:t>
            </w:r>
          </w:p>
        </w:tc>
        <w:tc>
          <w:tcPr>
            <w:tcW w:w="992" w:type="dxa"/>
            <w:shd w:val="clear" w:color="auto" w:fill="auto"/>
            <w:noWrap/>
            <w:hideMark/>
          </w:tcPr>
          <w:p w14:paraId="69AE4711"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-36,34</w:t>
            </w:r>
          </w:p>
        </w:tc>
        <w:tc>
          <w:tcPr>
            <w:tcW w:w="709" w:type="dxa"/>
            <w:shd w:val="clear" w:color="auto" w:fill="auto"/>
            <w:hideMark/>
          </w:tcPr>
          <w:p w14:paraId="5DE95042"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2282</w:t>
            </w:r>
          </w:p>
        </w:tc>
        <w:tc>
          <w:tcPr>
            <w:tcW w:w="1134" w:type="dxa"/>
            <w:shd w:val="clear" w:color="auto" w:fill="auto"/>
            <w:noWrap/>
            <w:hideMark/>
          </w:tcPr>
          <w:p w14:paraId="5AB8E232"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23,00</w:t>
            </w:r>
          </w:p>
        </w:tc>
        <w:tc>
          <w:tcPr>
            <w:tcW w:w="1134" w:type="dxa"/>
            <w:shd w:val="clear" w:color="auto" w:fill="auto"/>
            <w:noWrap/>
            <w:hideMark/>
          </w:tcPr>
          <w:p w14:paraId="01CA796D"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70,51</w:t>
            </w:r>
          </w:p>
        </w:tc>
        <w:tc>
          <w:tcPr>
            <w:tcW w:w="992" w:type="dxa"/>
            <w:shd w:val="clear" w:color="auto" w:fill="auto"/>
            <w:noWrap/>
            <w:hideMark/>
          </w:tcPr>
          <w:p w14:paraId="4FA0F53B"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-29,49</w:t>
            </w:r>
          </w:p>
        </w:tc>
      </w:tr>
      <w:tr w:rsidR="00077E0F" w:rsidRPr="006E1680" w14:paraId="360C1766" w14:textId="77777777" w:rsidTr="00BA3CA8">
        <w:trPr>
          <w:trHeight w:val="255"/>
        </w:trPr>
        <w:tc>
          <w:tcPr>
            <w:tcW w:w="1134" w:type="dxa"/>
            <w:vMerge/>
            <w:vAlign w:val="center"/>
            <w:hideMark/>
          </w:tcPr>
          <w:p w14:paraId="518858B2" w14:textId="77777777" w:rsidR="00077E0F" w:rsidRPr="006E1680" w:rsidRDefault="00077E0F" w:rsidP="00077E0F">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76BF8A7D"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2016</w:t>
            </w:r>
          </w:p>
        </w:tc>
        <w:tc>
          <w:tcPr>
            <w:tcW w:w="708" w:type="dxa"/>
            <w:shd w:val="clear" w:color="auto" w:fill="auto"/>
            <w:hideMark/>
          </w:tcPr>
          <w:p w14:paraId="2D30D7D8"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3809</w:t>
            </w:r>
          </w:p>
        </w:tc>
        <w:tc>
          <w:tcPr>
            <w:tcW w:w="993" w:type="dxa"/>
            <w:shd w:val="clear" w:color="auto" w:fill="auto"/>
            <w:noWrap/>
            <w:hideMark/>
          </w:tcPr>
          <w:p w14:paraId="45D54BD1"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394,00</w:t>
            </w:r>
          </w:p>
        </w:tc>
        <w:tc>
          <w:tcPr>
            <w:tcW w:w="992" w:type="dxa"/>
            <w:shd w:val="clear" w:color="auto" w:fill="auto"/>
            <w:noWrap/>
            <w:hideMark/>
          </w:tcPr>
          <w:p w14:paraId="22CA5C4E"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68,63</w:t>
            </w:r>
          </w:p>
        </w:tc>
        <w:tc>
          <w:tcPr>
            <w:tcW w:w="1276" w:type="dxa"/>
            <w:shd w:val="clear" w:color="auto" w:fill="auto"/>
            <w:noWrap/>
            <w:hideMark/>
          </w:tcPr>
          <w:p w14:paraId="4843EBD6"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-31,37</w:t>
            </w:r>
          </w:p>
        </w:tc>
        <w:tc>
          <w:tcPr>
            <w:tcW w:w="850" w:type="dxa"/>
            <w:shd w:val="clear" w:color="auto" w:fill="auto"/>
            <w:hideMark/>
          </w:tcPr>
          <w:p w14:paraId="70BB3FDD"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1276</w:t>
            </w:r>
          </w:p>
        </w:tc>
        <w:tc>
          <w:tcPr>
            <w:tcW w:w="851" w:type="dxa"/>
            <w:shd w:val="clear" w:color="auto" w:fill="auto"/>
            <w:noWrap/>
            <w:hideMark/>
          </w:tcPr>
          <w:p w14:paraId="5A8DFA4B"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143,00</w:t>
            </w:r>
          </w:p>
        </w:tc>
        <w:tc>
          <w:tcPr>
            <w:tcW w:w="1559" w:type="dxa"/>
            <w:shd w:val="clear" w:color="auto" w:fill="auto"/>
            <w:noWrap/>
            <w:hideMark/>
          </w:tcPr>
          <w:p w14:paraId="13C7F693" w14:textId="77777777" w:rsidR="00077E0F" w:rsidRPr="006E1680" w:rsidRDefault="00077E0F"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63,94</w:t>
            </w:r>
          </w:p>
        </w:tc>
        <w:tc>
          <w:tcPr>
            <w:tcW w:w="992" w:type="dxa"/>
            <w:shd w:val="clear" w:color="auto" w:fill="auto"/>
            <w:noWrap/>
            <w:hideMark/>
          </w:tcPr>
          <w:p w14:paraId="794B2B62"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-36,06</w:t>
            </w:r>
          </w:p>
        </w:tc>
        <w:tc>
          <w:tcPr>
            <w:tcW w:w="709" w:type="dxa"/>
            <w:shd w:val="clear" w:color="auto" w:fill="auto"/>
            <w:hideMark/>
          </w:tcPr>
          <w:p w14:paraId="53CC4177"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2533</w:t>
            </w:r>
          </w:p>
        </w:tc>
        <w:tc>
          <w:tcPr>
            <w:tcW w:w="1134" w:type="dxa"/>
            <w:shd w:val="clear" w:color="auto" w:fill="auto"/>
            <w:noWrap/>
            <w:hideMark/>
          </w:tcPr>
          <w:p w14:paraId="5DF85D9A"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251,00</w:t>
            </w:r>
          </w:p>
        </w:tc>
        <w:tc>
          <w:tcPr>
            <w:tcW w:w="1134" w:type="dxa"/>
            <w:shd w:val="clear" w:color="auto" w:fill="auto"/>
            <w:noWrap/>
            <w:hideMark/>
          </w:tcPr>
          <w:p w14:paraId="1C2BC1F3"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71,22</w:t>
            </w:r>
          </w:p>
        </w:tc>
        <w:tc>
          <w:tcPr>
            <w:tcW w:w="992" w:type="dxa"/>
            <w:shd w:val="clear" w:color="auto" w:fill="auto"/>
            <w:noWrap/>
            <w:hideMark/>
          </w:tcPr>
          <w:p w14:paraId="55BC5B6C"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-28,78</w:t>
            </w:r>
          </w:p>
        </w:tc>
      </w:tr>
      <w:tr w:rsidR="00077E0F" w:rsidRPr="006E1680" w14:paraId="4FD90720" w14:textId="77777777" w:rsidTr="00BA3CA8">
        <w:trPr>
          <w:trHeight w:val="255"/>
        </w:trPr>
        <w:tc>
          <w:tcPr>
            <w:tcW w:w="1134" w:type="dxa"/>
            <w:vMerge/>
            <w:tcBorders>
              <w:bottom w:val="nil"/>
            </w:tcBorders>
            <w:vAlign w:val="center"/>
            <w:hideMark/>
          </w:tcPr>
          <w:p w14:paraId="08EA83BE" w14:textId="77777777" w:rsidR="00077E0F" w:rsidRPr="006E1680" w:rsidRDefault="00077E0F" w:rsidP="00077E0F">
            <w:pPr>
              <w:spacing w:after="0" w:line="240" w:lineRule="auto"/>
              <w:rPr>
                <w:rFonts w:ascii="Times New Roman" w:eastAsia="Times New Roman" w:hAnsi="Times New Roman" w:cs="Times New Roman"/>
                <w:sz w:val="24"/>
                <w:szCs w:val="24"/>
              </w:rPr>
            </w:pPr>
          </w:p>
        </w:tc>
        <w:tc>
          <w:tcPr>
            <w:tcW w:w="993" w:type="dxa"/>
            <w:tcBorders>
              <w:bottom w:val="nil"/>
            </w:tcBorders>
            <w:shd w:val="clear" w:color="auto" w:fill="auto"/>
            <w:noWrap/>
            <w:hideMark/>
          </w:tcPr>
          <w:p w14:paraId="27CCC1C7"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2017</w:t>
            </w:r>
          </w:p>
        </w:tc>
        <w:tc>
          <w:tcPr>
            <w:tcW w:w="708" w:type="dxa"/>
            <w:tcBorders>
              <w:bottom w:val="nil"/>
            </w:tcBorders>
            <w:shd w:val="clear" w:color="auto" w:fill="auto"/>
            <w:hideMark/>
          </w:tcPr>
          <w:p w14:paraId="7532BA25"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3692</w:t>
            </w:r>
          </w:p>
        </w:tc>
        <w:tc>
          <w:tcPr>
            <w:tcW w:w="993" w:type="dxa"/>
            <w:tcBorders>
              <w:bottom w:val="nil"/>
            </w:tcBorders>
            <w:shd w:val="clear" w:color="auto" w:fill="auto"/>
            <w:noWrap/>
            <w:hideMark/>
          </w:tcPr>
          <w:p w14:paraId="361C08E4"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-117,00</w:t>
            </w:r>
          </w:p>
        </w:tc>
        <w:tc>
          <w:tcPr>
            <w:tcW w:w="992" w:type="dxa"/>
            <w:tcBorders>
              <w:bottom w:val="nil"/>
            </w:tcBorders>
            <w:shd w:val="clear" w:color="auto" w:fill="auto"/>
            <w:noWrap/>
            <w:hideMark/>
          </w:tcPr>
          <w:p w14:paraId="6C8DD895"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76,55</w:t>
            </w:r>
          </w:p>
        </w:tc>
        <w:tc>
          <w:tcPr>
            <w:tcW w:w="1276" w:type="dxa"/>
            <w:tcBorders>
              <w:bottom w:val="nil"/>
            </w:tcBorders>
            <w:shd w:val="clear" w:color="auto" w:fill="auto"/>
            <w:noWrap/>
            <w:hideMark/>
          </w:tcPr>
          <w:p w14:paraId="18BAD074"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-23,45</w:t>
            </w:r>
          </w:p>
        </w:tc>
        <w:tc>
          <w:tcPr>
            <w:tcW w:w="850" w:type="dxa"/>
            <w:tcBorders>
              <w:bottom w:val="nil"/>
            </w:tcBorders>
            <w:shd w:val="clear" w:color="auto" w:fill="auto"/>
            <w:hideMark/>
          </w:tcPr>
          <w:p w14:paraId="51DBC396"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1274</w:t>
            </w:r>
          </w:p>
        </w:tc>
        <w:tc>
          <w:tcPr>
            <w:tcW w:w="851" w:type="dxa"/>
            <w:tcBorders>
              <w:bottom w:val="nil"/>
            </w:tcBorders>
            <w:shd w:val="clear" w:color="auto" w:fill="auto"/>
            <w:noWrap/>
            <w:hideMark/>
          </w:tcPr>
          <w:p w14:paraId="76EB3C56"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-2,00</w:t>
            </w:r>
          </w:p>
        </w:tc>
        <w:tc>
          <w:tcPr>
            <w:tcW w:w="1559" w:type="dxa"/>
            <w:tcBorders>
              <w:bottom w:val="nil"/>
            </w:tcBorders>
            <w:shd w:val="clear" w:color="auto" w:fill="auto"/>
            <w:noWrap/>
            <w:hideMark/>
          </w:tcPr>
          <w:p w14:paraId="3976B032" w14:textId="77777777" w:rsidR="00077E0F" w:rsidRPr="006E1680" w:rsidRDefault="00077E0F"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72,01</w:t>
            </w:r>
          </w:p>
        </w:tc>
        <w:tc>
          <w:tcPr>
            <w:tcW w:w="992" w:type="dxa"/>
            <w:tcBorders>
              <w:bottom w:val="nil"/>
            </w:tcBorders>
            <w:shd w:val="clear" w:color="auto" w:fill="auto"/>
            <w:noWrap/>
            <w:hideMark/>
          </w:tcPr>
          <w:p w14:paraId="195238DF"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-27,99</w:t>
            </w:r>
          </w:p>
        </w:tc>
        <w:tc>
          <w:tcPr>
            <w:tcW w:w="709" w:type="dxa"/>
            <w:tcBorders>
              <w:bottom w:val="nil"/>
            </w:tcBorders>
            <w:shd w:val="clear" w:color="auto" w:fill="auto"/>
            <w:hideMark/>
          </w:tcPr>
          <w:p w14:paraId="025C7A2A"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2418</w:t>
            </w:r>
          </w:p>
        </w:tc>
        <w:tc>
          <w:tcPr>
            <w:tcW w:w="1134" w:type="dxa"/>
            <w:tcBorders>
              <w:bottom w:val="nil"/>
            </w:tcBorders>
            <w:shd w:val="clear" w:color="auto" w:fill="auto"/>
            <w:noWrap/>
            <w:hideMark/>
          </w:tcPr>
          <w:p w14:paraId="30C744BF"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-115,00</w:t>
            </w:r>
          </w:p>
        </w:tc>
        <w:tc>
          <w:tcPr>
            <w:tcW w:w="1134" w:type="dxa"/>
            <w:tcBorders>
              <w:bottom w:val="nil"/>
            </w:tcBorders>
            <w:shd w:val="clear" w:color="auto" w:fill="auto"/>
            <w:noWrap/>
            <w:hideMark/>
          </w:tcPr>
          <w:p w14:paraId="67A522A9"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79,06</w:t>
            </w:r>
          </w:p>
        </w:tc>
        <w:tc>
          <w:tcPr>
            <w:tcW w:w="992" w:type="dxa"/>
            <w:tcBorders>
              <w:bottom w:val="nil"/>
            </w:tcBorders>
            <w:shd w:val="clear" w:color="auto" w:fill="auto"/>
            <w:noWrap/>
            <w:hideMark/>
          </w:tcPr>
          <w:p w14:paraId="452FA4FB"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-20,94</w:t>
            </w:r>
          </w:p>
        </w:tc>
      </w:tr>
    </w:tbl>
    <w:p w14:paraId="5FB5C9AD" w14:textId="50CC5C10" w:rsidR="00FA5792" w:rsidRDefault="00FA5792" w:rsidP="00FA5792">
      <w:pPr>
        <w:spacing w:after="0" w:line="240" w:lineRule="auto"/>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lastRenderedPageBreak/>
        <w:t>Продолжение таблицы 11</w:t>
      </w:r>
    </w:p>
    <w:p w14:paraId="4AF4B2FF" w14:textId="77777777" w:rsidR="00FA5792" w:rsidRDefault="00FA5792" w:rsidP="00FA5792">
      <w:pPr>
        <w:spacing w:after="0" w:line="240" w:lineRule="auto"/>
        <w:rPr>
          <w:rFonts w:ascii="Times New Roman" w:eastAsia="Times New Roman" w:hAnsi="Times New Roman" w:cs="Times New Roman"/>
          <w:sz w:val="28"/>
          <w:szCs w:val="28"/>
        </w:rPr>
      </w:pPr>
    </w:p>
    <w:tbl>
      <w:tblPr>
        <w:tblW w:w="1431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993"/>
        <w:gridCol w:w="708"/>
        <w:gridCol w:w="993"/>
        <w:gridCol w:w="992"/>
        <w:gridCol w:w="1276"/>
        <w:gridCol w:w="850"/>
        <w:gridCol w:w="851"/>
        <w:gridCol w:w="1559"/>
        <w:gridCol w:w="992"/>
        <w:gridCol w:w="709"/>
        <w:gridCol w:w="1134"/>
        <w:gridCol w:w="1134"/>
        <w:gridCol w:w="992"/>
      </w:tblGrid>
      <w:tr w:rsidR="00FA5792" w:rsidRPr="006E1680" w14:paraId="5F43B373" w14:textId="77777777" w:rsidTr="00BA3CA8">
        <w:trPr>
          <w:trHeight w:val="255"/>
        </w:trPr>
        <w:tc>
          <w:tcPr>
            <w:tcW w:w="1134" w:type="dxa"/>
            <w:vAlign w:val="center"/>
          </w:tcPr>
          <w:p w14:paraId="473DC5D8" w14:textId="4348265B"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93" w:type="dxa"/>
            <w:shd w:val="clear" w:color="auto" w:fill="auto"/>
            <w:noWrap/>
          </w:tcPr>
          <w:p w14:paraId="27DBD29A" w14:textId="41F45A42"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08" w:type="dxa"/>
            <w:shd w:val="clear" w:color="auto" w:fill="auto"/>
          </w:tcPr>
          <w:p w14:paraId="372B1D56" w14:textId="563770B7"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93" w:type="dxa"/>
            <w:shd w:val="clear" w:color="auto" w:fill="auto"/>
            <w:noWrap/>
          </w:tcPr>
          <w:p w14:paraId="0C113959" w14:textId="27EBF50C"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92" w:type="dxa"/>
            <w:shd w:val="clear" w:color="auto" w:fill="auto"/>
            <w:noWrap/>
          </w:tcPr>
          <w:p w14:paraId="0BD1BB4A" w14:textId="22249BA9"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276" w:type="dxa"/>
            <w:shd w:val="clear" w:color="auto" w:fill="auto"/>
            <w:noWrap/>
          </w:tcPr>
          <w:p w14:paraId="080AC2F4" w14:textId="7174751D"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50" w:type="dxa"/>
            <w:shd w:val="clear" w:color="auto" w:fill="auto"/>
          </w:tcPr>
          <w:p w14:paraId="1FE5BF8B" w14:textId="1BBDC7C2"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51" w:type="dxa"/>
            <w:shd w:val="clear" w:color="auto" w:fill="auto"/>
            <w:noWrap/>
          </w:tcPr>
          <w:p w14:paraId="4BF1F41D" w14:textId="5AA51872"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559" w:type="dxa"/>
            <w:shd w:val="clear" w:color="auto" w:fill="auto"/>
            <w:noWrap/>
          </w:tcPr>
          <w:p w14:paraId="1C2ED45B" w14:textId="0AA7A562"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92" w:type="dxa"/>
            <w:shd w:val="clear" w:color="auto" w:fill="auto"/>
            <w:noWrap/>
          </w:tcPr>
          <w:p w14:paraId="4B95560A" w14:textId="439084A4"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709" w:type="dxa"/>
            <w:shd w:val="clear" w:color="auto" w:fill="auto"/>
          </w:tcPr>
          <w:p w14:paraId="3B129334" w14:textId="4269F98A"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134" w:type="dxa"/>
            <w:shd w:val="clear" w:color="auto" w:fill="auto"/>
            <w:noWrap/>
          </w:tcPr>
          <w:p w14:paraId="52A5F600" w14:textId="19D569BC"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134" w:type="dxa"/>
            <w:shd w:val="clear" w:color="auto" w:fill="auto"/>
            <w:noWrap/>
          </w:tcPr>
          <w:p w14:paraId="43DB3C1C" w14:textId="3A205B5C"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92" w:type="dxa"/>
            <w:shd w:val="clear" w:color="auto" w:fill="auto"/>
            <w:noWrap/>
          </w:tcPr>
          <w:p w14:paraId="4C9DDD68" w14:textId="50BDE658"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r>
      <w:tr w:rsidR="00FA5792" w:rsidRPr="006E1680" w14:paraId="6CC00FA2" w14:textId="77777777" w:rsidTr="00BA3CA8">
        <w:trPr>
          <w:trHeight w:val="255"/>
        </w:trPr>
        <w:tc>
          <w:tcPr>
            <w:tcW w:w="1134" w:type="dxa"/>
            <w:vMerge w:val="restart"/>
            <w:vAlign w:val="center"/>
            <w:hideMark/>
          </w:tcPr>
          <w:p w14:paraId="53F33D93"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358E204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2018</w:t>
            </w:r>
          </w:p>
        </w:tc>
        <w:tc>
          <w:tcPr>
            <w:tcW w:w="708" w:type="dxa"/>
            <w:shd w:val="clear" w:color="auto" w:fill="auto"/>
            <w:hideMark/>
          </w:tcPr>
          <w:p w14:paraId="2878D82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3908</w:t>
            </w:r>
          </w:p>
        </w:tc>
        <w:tc>
          <w:tcPr>
            <w:tcW w:w="993" w:type="dxa"/>
            <w:shd w:val="clear" w:color="auto" w:fill="auto"/>
            <w:noWrap/>
            <w:hideMark/>
          </w:tcPr>
          <w:p w14:paraId="3F09F96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216,00</w:t>
            </w:r>
          </w:p>
        </w:tc>
        <w:tc>
          <w:tcPr>
            <w:tcW w:w="992" w:type="dxa"/>
            <w:shd w:val="clear" w:color="auto" w:fill="auto"/>
            <w:noWrap/>
            <w:hideMark/>
          </w:tcPr>
          <w:p w14:paraId="7CB1FA6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74,20</w:t>
            </w:r>
          </w:p>
        </w:tc>
        <w:tc>
          <w:tcPr>
            <w:tcW w:w="1276" w:type="dxa"/>
            <w:shd w:val="clear" w:color="auto" w:fill="auto"/>
            <w:noWrap/>
            <w:hideMark/>
          </w:tcPr>
          <w:p w14:paraId="52E0F3C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-25,80</w:t>
            </w:r>
          </w:p>
        </w:tc>
        <w:tc>
          <w:tcPr>
            <w:tcW w:w="850" w:type="dxa"/>
            <w:shd w:val="clear" w:color="auto" w:fill="auto"/>
            <w:hideMark/>
          </w:tcPr>
          <w:p w14:paraId="1AF5CEF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1341</w:t>
            </w:r>
          </w:p>
        </w:tc>
        <w:tc>
          <w:tcPr>
            <w:tcW w:w="851" w:type="dxa"/>
            <w:shd w:val="clear" w:color="auto" w:fill="auto"/>
            <w:noWrap/>
            <w:hideMark/>
          </w:tcPr>
          <w:p w14:paraId="6311F59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67,00</w:t>
            </w:r>
          </w:p>
        </w:tc>
        <w:tc>
          <w:tcPr>
            <w:tcW w:w="1559" w:type="dxa"/>
            <w:shd w:val="clear" w:color="auto" w:fill="auto"/>
            <w:noWrap/>
            <w:hideMark/>
          </w:tcPr>
          <w:p w14:paraId="430727C6"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71,90</w:t>
            </w:r>
          </w:p>
        </w:tc>
        <w:tc>
          <w:tcPr>
            <w:tcW w:w="992" w:type="dxa"/>
            <w:shd w:val="clear" w:color="auto" w:fill="auto"/>
            <w:noWrap/>
            <w:hideMark/>
          </w:tcPr>
          <w:p w14:paraId="048DBE2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-28,10</w:t>
            </w:r>
          </w:p>
        </w:tc>
        <w:tc>
          <w:tcPr>
            <w:tcW w:w="709" w:type="dxa"/>
            <w:shd w:val="clear" w:color="auto" w:fill="auto"/>
            <w:hideMark/>
          </w:tcPr>
          <w:p w14:paraId="4CC5D01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2567</w:t>
            </w:r>
          </w:p>
        </w:tc>
        <w:tc>
          <w:tcPr>
            <w:tcW w:w="1134" w:type="dxa"/>
            <w:shd w:val="clear" w:color="auto" w:fill="auto"/>
            <w:noWrap/>
            <w:hideMark/>
          </w:tcPr>
          <w:p w14:paraId="5BCCD2F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149,00</w:t>
            </w:r>
          </w:p>
        </w:tc>
        <w:tc>
          <w:tcPr>
            <w:tcW w:w="1134" w:type="dxa"/>
            <w:shd w:val="clear" w:color="auto" w:fill="auto"/>
            <w:noWrap/>
            <w:hideMark/>
          </w:tcPr>
          <w:p w14:paraId="5BC6ABB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75,47</w:t>
            </w:r>
          </w:p>
        </w:tc>
        <w:tc>
          <w:tcPr>
            <w:tcW w:w="992" w:type="dxa"/>
            <w:shd w:val="clear" w:color="auto" w:fill="auto"/>
            <w:noWrap/>
            <w:hideMark/>
          </w:tcPr>
          <w:p w14:paraId="6FB7799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-24,53</w:t>
            </w:r>
          </w:p>
        </w:tc>
      </w:tr>
      <w:tr w:rsidR="00FA5792" w:rsidRPr="006E1680" w14:paraId="5A6B2DB0" w14:textId="77777777" w:rsidTr="00BA3CA8">
        <w:trPr>
          <w:trHeight w:val="255"/>
        </w:trPr>
        <w:tc>
          <w:tcPr>
            <w:tcW w:w="1134" w:type="dxa"/>
            <w:vMerge/>
            <w:vAlign w:val="center"/>
            <w:hideMark/>
          </w:tcPr>
          <w:p w14:paraId="1F24B735"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5E9541B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2019</w:t>
            </w:r>
          </w:p>
        </w:tc>
        <w:tc>
          <w:tcPr>
            <w:tcW w:w="708" w:type="dxa"/>
            <w:shd w:val="clear" w:color="auto" w:fill="auto"/>
            <w:hideMark/>
          </w:tcPr>
          <w:p w14:paraId="1F081FE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4525</w:t>
            </w:r>
          </w:p>
        </w:tc>
        <w:tc>
          <w:tcPr>
            <w:tcW w:w="993" w:type="dxa"/>
            <w:shd w:val="clear" w:color="auto" w:fill="auto"/>
            <w:noWrap/>
            <w:hideMark/>
          </w:tcPr>
          <w:p w14:paraId="15BC501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617,00</w:t>
            </w:r>
          </w:p>
        </w:tc>
        <w:tc>
          <w:tcPr>
            <w:tcW w:w="992" w:type="dxa"/>
            <w:shd w:val="clear" w:color="auto" w:fill="auto"/>
            <w:noWrap/>
            <w:hideMark/>
          </w:tcPr>
          <w:p w14:paraId="74582E4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78,54</w:t>
            </w:r>
          </w:p>
        </w:tc>
        <w:tc>
          <w:tcPr>
            <w:tcW w:w="1276" w:type="dxa"/>
            <w:shd w:val="clear" w:color="auto" w:fill="auto"/>
            <w:noWrap/>
            <w:hideMark/>
          </w:tcPr>
          <w:p w14:paraId="75F564E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-21,46</w:t>
            </w:r>
          </w:p>
        </w:tc>
        <w:tc>
          <w:tcPr>
            <w:tcW w:w="850" w:type="dxa"/>
            <w:shd w:val="clear" w:color="auto" w:fill="auto"/>
            <w:hideMark/>
          </w:tcPr>
          <w:p w14:paraId="622C50B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1572</w:t>
            </w:r>
          </w:p>
        </w:tc>
        <w:tc>
          <w:tcPr>
            <w:tcW w:w="851" w:type="dxa"/>
            <w:shd w:val="clear" w:color="auto" w:fill="auto"/>
            <w:noWrap/>
            <w:hideMark/>
          </w:tcPr>
          <w:p w14:paraId="5921B79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231,00</w:t>
            </w:r>
          </w:p>
        </w:tc>
        <w:tc>
          <w:tcPr>
            <w:tcW w:w="1559" w:type="dxa"/>
            <w:shd w:val="clear" w:color="auto" w:fill="auto"/>
            <w:noWrap/>
            <w:hideMark/>
          </w:tcPr>
          <w:p w14:paraId="7D8C7198"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75,68</w:t>
            </w:r>
          </w:p>
        </w:tc>
        <w:tc>
          <w:tcPr>
            <w:tcW w:w="992" w:type="dxa"/>
            <w:shd w:val="clear" w:color="auto" w:fill="auto"/>
            <w:noWrap/>
            <w:hideMark/>
          </w:tcPr>
          <w:p w14:paraId="0FEEC35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-24,32</w:t>
            </w:r>
          </w:p>
        </w:tc>
        <w:tc>
          <w:tcPr>
            <w:tcW w:w="709" w:type="dxa"/>
            <w:shd w:val="clear" w:color="auto" w:fill="auto"/>
            <w:hideMark/>
          </w:tcPr>
          <w:p w14:paraId="55C8A27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2953</w:t>
            </w:r>
          </w:p>
        </w:tc>
        <w:tc>
          <w:tcPr>
            <w:tcW w:w="1134" w:type="dxa"/>
            <w:shd w:val="clear" w:color="auto" w:fill="auto"/>
            <w:noWrap/>
            <w:hideMark/>
          </w:tcPr>
          <w:p w14:paraId="0D0DA27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386,00</w:t>
            </w:r>
          </w:p>
        </w:tc>
        <w:tc>
          <w:tcPr>
            <w:tcW w:w="1134" w:type="dxa"/>
            <w:shd w:val="clear" w:color="auto" w:fill="auto"/>
            <w:noWrap/>
            <w:hideMark/>
          </w:tcPr>
          <w:p w14:paraId="5F1EBD5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80,12</w:t>
            </w:r>
          </w:p>
        </w:tc>
        <w:tc>
          <w:tcPr>
            <w:tcW w:w="992" w:type="dxa"/>
            <w:shd w:val="clear" w:color="auto" w:fill="auto"/>
            <w:noWrap/>
            <w:hideMark/>
          </w:tcPr>
          <w:p w14:paraId="3953AEF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-19,88</w:t>
            </w:r>
          </w:p>
        </w:tc>
      </w:tr>
      <w:tr w:rsidR="00FA5792" w:rsidRPr="006E1680" w14:paraId="1BA0B559" w14:textId="77777777" w:rsidTr="00BA3CA8">
        <w:trPr>
          <w:trHeight w:val="255"/>
        </w:trPr>
        <w:tc>
          <w:tcPr>
            <w:tcW w:w="1134" w:type="dxa"/>
            <w:vMerge/>
            <w:vAlign w:val="center"/>
            <w:hideMark/>
          </w:tcPr>
          <w:p w14:paraId="5CC4A67B"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7F33ABF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2020</w:t>
            </w:r>
          </w:p>
        </w:tc>
        <w:tc>
          <w:tcPr>
            <w:tcW w:w="708" w:type="dxa"/>
            <w:shd w:val="clear" w:color="auto" w:fill="auto"/>
            <w:hideMark/>
          </w:tcPr>
          <w:p w14:paraId="7C587F5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4734</w:t>
            </w:r>
          </w:p>
        </w:tc>
        <w:tc>
          <w:tcPr>
            <w:tcW w:w="993" w:type="dxa"/>
            <w:shd w:val="clear" w:color="auto" w:fill="auto"/>
            <w:noWrap/>
            <w:hideMark/>
          </w:tcPr>
          <w:p w14:paraId="6A1AF6D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209,00</w:t>
            </w:r>
          </w:p>
        </w:tc>
        <w:tc>
          <w:tcPr>
            <w:tcW w:w="992" w:type="dxa"/>
            <w:shd w:val="clear" w:color="auto" w:fill="auto"/>
            <w:noWrap/>
            <w:hideMark/>
          </w:tcPr>
          <w:p w14:paraId="277B764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90,94</w:t>
            </w:r>
          </w:p>
        </w:tc>
        <w:tc>
          <w:tcPr>
            <w:tcW w:w="1276" w:type="dxa"/>
            <w:shd w:val="clear" w:color="auto" w:fill="auto"/>
            <w:noWrap/>
            <w:hideMark/>
          </w:tcPr>
          <w:p w14:paraId="4675978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-9,06</w:t>
            </w:r>
          </w:p>
        </w:tc>
        <w:tc>
          <w:tcPr>
            <w:tcW w:w="850" w:type="dxa"/>
            <w:shd w:val="clear" w:color="auto" w:fill="auto"/>
            <w:hideMark/>
          </w:tcPr>
          <w:p w14:paraId="2841E03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1671</w:t>
            </w:r>
          </w:p>
        </w:tc>
        <w:tc>
          <w:tcPr>
            <w:tcW w:w="851" w:type="dxa"/>
            <w:shd w:val="clear" w:color="auto" w:fill="auto"/>
            <w:noWrap/>
            <w:hideMark/>
          </w:tcPr>
          <w:p w14:paraId="024297B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99,00</w:t>
            </w:r>
          </w:p>
        </w:tc>
        <w:tc>
          <w:tcPr>
            <w:tcW w:w="1559" w:type="dxa"/>
            <w:shd w:val="clear" w:color="auto" w:fill="auto"/>
            <w:noWrap/>
            <w:hideMark/>
          </w:tcPr>
          <w:p w14:paraId="4FC2E7C6"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88,71</w:t>
            </w:r>
          </w:p>
        </w:tc>
        <w:tc>
          <w:tcPr>
            <w:tcW w:w="992" w:type="dxa"/>
            <w:shd w:val="clear" w:color="auto" w:fill="auto"/>
            <w:noWrap/>
            <w:hideMark/>
          </w:tcPr>
          <w:p w14:paraId="03427BC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-11,29</w:t>
            </w:r>
          </w:p>
        </w:tc>
        <w:tc>
          <w:tcPr>
            <w:tcW w:w="709" w:type="dxa"/>
            <w:shd w:val="clear" w:color="auto" w:fill="auto"/>
            <w:hideMark/>
          </w:tcPr>
          <w:p w14:paraId="2893AB3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3063</w:t>
            </w:r>
          </w:p>
        </w:tc>
        <w:tc>
          <w:tcPr>
            <w:tcW w:w="1134" w:type="dxa"/>
            <w:shd w:val="clear" w:color="auto" w:fill="auto"/>
            <w:noWrap/>
            <w:hideMark/>
          </w:tcPr>
          <w:p w14:paraId="441CCEC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110,00</w:t>
            </w:r>
          </w:p>
        </w:tc>
        <w:tc>
          <w:tcPr>
            <w:tcW w:w="1134" w:type="dxa"/>
            <w:shd w:val="clear" w:color="auto" w:fill="auto"/>
            <w:noWrap/>
            <w:hideMark/>
          </w:tcPr>
          <w:p w14:paraId="203578B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92,17</w:t>
            </w:r>
          </w:p>
        </w:tc>
        <w:tc>
          <w:tcPr>
            <w:tcW w:w="992" w:type="dxa"/>
            <w:shd w:val="clear" w:color="auto" w:fill="auto"/>
            <w:noWrap/>
            <w:hideMark/>
          </w:tcPr>
          <w:p w14:paraId="3E63F45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-7,83</w:t>
            </w:r>
          </w:p>
        </w:tc>
      </w:tr>
      <w:tr w:rsidR="00FA5792" w:rsidRPr="006E1680" w14:paraId="7910DC15" w14:textId="77777777" w:rsidTr="00BA3CA8">
        <w:trPr>
          <w:trHeight w:val="255"/>
        </w:trPr>
        <w:tc>
          <w:tcPr>
            <w:tcW w:w="1134" w:type="dxa"/>
            <w:vMerge/>
            <w:vAlign w:val="center"/>
            <w:hideMark/>
          </w:tcPr>
          <w:p w14:paraId="7F59DCB6"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357539F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2021</w:t>
            </w:r>
          </w:p>
        </w:tc>
        <w:tc>
          <w:tcPr>
            <w:tcW w:w="708" w:type="dxa"/>
            <w:shd w:val="clear" w:color="auto" w:fill="auto"/>
            <w:hideMark/>
          </w:tcPr>
          <w:p w14:paraId="6D3D785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4976</w:t>
            </w:r>
          </w:p>
        </w:tc>
        <w:tc>
          <w:tcPr>
            <w:tcW w:w="993" w:type="dxa"/>
            <w:shd w:val="clear" w:color="auto" w:fill="auto"/>
            <w:noWrap/>
            <w:hideMark/>
          </w:tcPr>
          <w:p w14:paraId="6A3EA9F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242,00</w:t>
            </w:r>
          </w:p>
        </w:tc>
        <w:tc>
          <w:tcPr>
            <w:tcW w:w="992" w:type="dxa"/>
            <w:shd w:val="clear" w:color="auto" w:fill="auto"/>
            <w:noWrap/>
            <w:hideMark/>
          </w:tcPr>
          <w:p w14:paraId="010BA5C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95,14</w:t>
            </w:r>
          </w:p>
        </w:tc>
        <w:tc>
          <w:tcPr>
            <w:tcW w:w="1276" w:type="dxa"/>
            <w:shd w:val="clear" w:color="auto" w:fill="auto"/>
            <w:noWrap/>
            <w:hideMark/>
          </w:tcPr>
          <w:p w14:paraId="36E3817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-4,86</w:t>
            </w:r>
          </w:p>
        </w:tc>
        <w:tc>
          <w:tcPr>
            <w:tcW w:w="850" w:type="dxa"/>
            <w:shd w:val="clear" w:color="auto" w:fill="auto"/>
            <w:hideMark/>
          </w:tcPr>
          <w:p w14:paraId="50EB42B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1772</w:t>
            </w:r>
          </w:p>
        </w:tc>
        <w:tc>
          <w:tcPr>
            <w:tcW w:w="851" w:type="dxa"/>
            <w:shd w:val="clear" w:color="auto" w:fill="auto"/>
            <w:noWrap/>
            <w:hideMark/>
          </w:tcPr>
          <w:p w14:paraId="6C6C706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101,00</w:t>
            </w:r>
          </w:p>
        </w:tc>
        <w:tc>
          <w:tcPr>
            <w:tcW w:w="1559" w:type="dxa"/>
            <w:shd w:val="clear" w:color="auto" w:fill="auto"/>
            <w:noWrap/>
            <w:hideMark/>
          </w:tcPr>
          <w:p w14:paraId="17200EA9"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94,30</w:t>
            </w:r>
          </w:p>
        </w:tc>
        <w:tc>
          <w:tcPr>
            <w:tcW w:w="992" w:type="dxa"/>
            <w:shd w:val="clear" w:color="auto" w:fill="auto"/>
            <w:noWrap/>
            <w:hideMark/>
          </w:tcPr>
          <w:p w14:paraId="43DF1F9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-5,70</w:t>
            </w:r>
          </w:p>
        </w:tc>
        <w:tc>
          <w:tcPr>
            <w:tcW w:w="709" w:type="dxa"/>
            <w:shd w:val="clear" w:color="auto" w:fill="auto"/>
            <w:hideMark/>
          </w:tcPr>
          <w:p w14:paraId="61CAE40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3204</w:t>
            </w:r>
          </w:p>
        </w:tc>
        <w:tc>
          <w:tcPr>
            <w:tcW w:w="1134" w:type="dxa"/>
            <w:shd w:val="clear" w:color="auto" w:fill="auto"/>
            <w:noWrap/>
            <w:hideMark/>
          </w:tcPr>
          <w:p w14:paraId="3F9ABF0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141,00</w:t>
            </w:r>
          </w:p>
        </w:tc>
        <w:tc>
          <w:tcPr>
            <w:tcW w:w="1134" w:type="dxa"/>
            <w:shd w:val="clear" w:color="auto" w:fill="auto"/>
            <w:noWrap/>
            <w:hideMark/>
          </w:tcPr>
          <w:p w14:paraId="2E9F4B4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95,60</w:t>
            </w:r>
          </w:p>
        </w:tc>
        <w:tc>
          <w:tcPr>
            <w:tcW w:w="992" w:type="dxa"/>
            <w:shd w:val="clear" w:color="auto" w:fill="auto"/>
            <w:noWrap/>
            <w:hideMark/>
          </w:tcPr>
          <w:p w14:paraId="3016E30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-4,40</w:t>
            </w:r>
          </w:p>
        </w:tc>
      </w:tr>
      <w:tr w:rsidR="00FA5792" w:rsidRPr="006E1680" w14:paraId="30FB153A" w14:textId="77777777" w:rsidTr="00BA3CA8">
        <w:trPr>
          <w:trHeight w:val="255"/>
        </w:trPr>
        <w:tc>
          <w:tcPr>
            <w:tcW w:w="1134" w:type="dxa"/>
            <w:vMerge/>
            <w:vAlign w:val="center"/>
            <w:hideMark/>
          </w:tcPr>
          <w:p w14:paraId="16D80F96"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79DAAE0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 xml:space="preserve">среднее </w:t>
            </w:r>
          </w:p>
        </w:tc>
        <w:tc>
          <w:tcPr>
            <w:tcW w:w="708" w:type="dxa"/>
            <w:shd w:val="clear" w:color="auto" w:fill="auto"/>
            <w:noWrap/>
            <w:hideMark/>
          </w:tcPr>
          <w:p w14:paraId="5552454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3858,30</w:t>
            </w:r>
          </w:p>
        </w:tc>
        <w:tc>
          <w:tcPr>
            <w:tcW w:w="993" w:type="dxa"/>
            <w:shd w:val="clear" w:color="auto" w:fill="auto"/>
            <w:noWrap/>
            <w:hideMark/>
          </w:tcPr>
          <w:p w14:paraId="5038009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229,56</w:t>
            </w:r>
          </w:p>
        </w:tc>
        <w:tc>
          <w:tcPr>
            <w:tcW w:w="992" w:type="dxa"/>
            <w:shd w:val="clear" w:color="auto" w:fill="auto"/>
            <w:noWrap/>
            <w:hideMark/>
          </w:tcPr>
          <w:p w14:paraId="0F7AA3B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106,14</w:t>
            </w:r>
          </w:p>
        </w:tc>
        <w:tc>
          <w:tcPr>
            <w:tcW w:w="1276" w:type="dxa"/>
            <w:shd w:val="clear" w:color="auto" w:fill="auto"/>
            <w:noWrap/>
            <w:hideMark/>
          </w:tcPr>
          <w:p w14:paraId="6EE7E35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6,14</w:t>
            </w:r>
          </w:p>
        </w:tc>
        <w:tc>
          <w:tcPr>
            <w:tcW w:w="850" w:type="dxa"/>
            <w:shd w:val="clear" w:color="auto" w:fill="auto"/>
            <w:noWrap/>
            <w:hideMark/>
          </w:tcPr>
          <w:p w14:paraId="510A945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1315,50</w:t>
            </w:r>
          </w:p>
        </w:tc>
        <w:tc>
          <w:tcPr>
            <w:tcW w:w="851" w:type="dxa"/>
            <w:shd w:val="clear" w:color="auto" w:fill="auto"/>
            <w:noWrap/>
            <w:hideMark/>
          </w:tcPr>
          <w:p w14:paraId="1DE8DB5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94,22</w:t>
            </w:r>
          </w:p>
        </w:tc>
        <w:tc>
          <w:tcPr>
            <w:tcW w:w="1559" w:type="dxa"/>
            <w:shd w:val="clear" w:color="auto" w:fill="auto"/>
            <w:noWrap/>
            <w:hideMark/>
          </w:tcPr>
          <w:p w14:paraId="09337260"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107,50</w:t>
            </w:r>
          </w:p>
        </w:tc>
        <w:tc>
          <w:tcPr>
            <w:tcW w:w="992" w:type="dxa"/>
            <w:shd w:val="clear" w:color="auto" w:fill="auto"/>
            <w:noWrap/>
            <w:hideMark/>
          </w:tcPr>
          <w:p w14:paraId="15B7713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7,50</w:t>
            </w:r>
          </w:p>
        </w:tc>
        <w:tc>
          <w:tcPr>
            <w:tcW w:w="709" w:type="dxa"/>
            <w:shd w:val="clear" w:color="auto" w:fill="auto"/>
            <w:noWrap/>
            <w:hideMark/>
          </w:tcPr>
          <w:p w14:paraId="397F287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2542,80</w:t>
            </w:r>
          </w:p>
        </w:tc>
        <w:tc>
          <w:tcPr>
            <w:tcW w:w="1134" w:type="dxa"/>
            <w:shd w:val="clear" w:color="auto" w:fill="auto"/>
            <w:noWrap/>
            <w:hideMark/>
          </w:tcPr>
          <w:p w14:paraId="5E41379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135,33</w:t>
            </w:r>
          </w:p>
        </w:tc>
        <w:tc>
          <w:tcPr>
            <w:tcW w:w="1134" w:type="dxa"/>
            <w:shd w:val="clear" w:color="auto" w:fill="auto"/>
            <w:noWrap/>
            <w:hideMark/>
          </w:tcPr>
          <w:p w14:paraId="06FFC46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105,46</w:t>
            </w:r>
          </w:p>
        </w:tc>
        <w:tc>
          <w:tcPr>
            <w:tcW w:w="992" w:type="dxa"/>
            <w:shd w:val="clear" w:color="auto" w:fill="auto"/>
            <w:noWrap/>
            <w:hideMark/>
          </w:tcPr>
          <w:p w14:paraId="1D1E5DA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5,46</w:t>
            </w:r>
          </w:p>
        </w:tc>
      </w:tr>
      <w:tr w:rsidR="00077E0F" w:rsidRPr="006E1680" w14:paraId="1E1BF2AC" w14:textId="77777777" w:rsidTr="00BA3CA8">
        <w:trPr>
          <w:trHeight w:val="255"/>
        </w:trPr>
        <w:tc>
          <w:tcPr>
            <w:tcW w:w="1134" w:type="dxa"/>
            <w:vMerge w:val="restart"/>
            <w:shd w:val="clear" w:color="auto" w:fill="auto"/>
            <w:noWrap/>
            <w:hideMark/>
          </w:tcPr>
          <w:p w14:paraId="2B6A11D6"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Наурызбайский</w:t>
            </w:r>
          </w:p>
        </w:tc>
        <w:tc>
          <w:tcPr>
            <w:tcW w:w="993" w:type="dxa"/>
            <w:shd w:val="clear" w:color="auto" w:fill="auto"/>
            <w:noWrap/>
            <w:hideMark/>
          </w:tcPr>
          <w:p w14:paraId="1F3B0853"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2012</w:t>
            </w:r>
          </w:p>
        </w:tc>
        <w:tc>
          <w:tcPr>
            <w:tcW w:w="708" w:type="dxa"/>
            <w:shd w:val="clear" w:color="auto" w:fill="auto"/>
            <w:noWrap/>
            <w:hideMark/>
          </w:tcPr>
          <w:p w14:paraId="36BB19DE" w14:textId="20B69703"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993" w:type="dxa"/>
            <w:shd w:val="clear" w:color="auto" w:fill="auto"/>
            <w:noWrap/>
            <w:hideMark/>
          </w:tcPr>
          <w:p w14:paraId="42DC1897" w14:textId="407AA305"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992" w:type="dxa"/>
            <w:shd w:val="clear" w:color="auto" w:fill="auto"/>
            <w:noWrap/>
            <w:hideMark/>
          </w:tcPr>
          <w:p w14:paraId="10A82283" w14:textId="48AA00E3"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1276" w:type="dxa"/>
            <w:shd w:val="clear" w:color="auto" w:fill="auto"/>
            <w:noWrap/>
            <w:hideMark/>
          </w:tcPr>
          <w:p w14:paraId="1D40C446" w14:textId="1B5E6FA5"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850" w:type="dxa"/>
            <w:shd w:val="clear" w:color="auto" w:fill="auto"/>
            <w:noWrap/>
            <w:hideMark/>
          </w:tcPr>
          <w:p w14:paraId="58B66C3F" w14:textId="4384B3E8"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851" w:type="dxa"/>
            <w:shd w:val="clear" w:color="auto" w:fill="auto"/>
            <w:noWrap/>
            <w:hideMark/>
          </w:tcPr>
          <w:p w14:paraId="69639D47" w14:textId="73B4EA77"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1559" w:type="dxa"/>
            <w:shd w:val="clear" w:color="auto" w:fill="auto"/>
            <w:noWrap/>
            <w:hideMark/>
          </w:tcPr>
          <w:p w14:paraId="2D959851" w14:textId="3062390E"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992" w:type="dxa"/>
            <w:shd w:val="clear" w:color="auto" w:fill="auto"/>
            <w:noWrap/>
            <w:hideMark/>
          </w:tcPr>
          <w:p w14:paraId="5F012800" w14:textId="26D931E5"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709" w:type="dxa"/>
            <w:shd w:val="clear" w:color="auto" w:fill="auto"/>
            <w:noWrap/>
            <w:hideMark/>
          </w:tcPr>
          <w:p w14:paraId="4A687A44" w14:textId="60C44C12"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1134" w:type="dxa"/>
            <w:shd w:val="clear" w:color="auto" w:fill="auto"/>
            <w:noWrap/>
            <w:hideMark/>
          </w:tcPr>
          <w:p w14:paraId="25275C9E" w14:textId="38E0E430"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1134" w:type="dxa"/>
            <w:shd w:val="clear" w:color="auto" w:fill="auto"/>
            <w:noWrap/>
            <w:hideMark/>
          </w:tcPr>
          <w:p w14:paraId="7218F209" w14:textId="18973712"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992" w:type="dxa"/>
            <w:shd w:val="clear" w:color="auto" w:fill="auto"/>
            <w:noWrap/>
            <w:hideMark/>
          </w:tcPr>
          <w:p w14:paraId="420A3EE7" w14:textId="45178146"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r>
      <w:tr w:rsidR="00077E0F" w:rsidRPr="006E1680" w14:paraId="3B38D2FA" w14:textId="77777777" w:rsidTr="00BA3CA8">
        <w:trPr>
          <w:trHeight w:val="255"/>
        </w:trPr>
        <w:tc>
          <w:tcPr>
            <w:tcW w:w="1134" w:type="dxa"/>
            <w:vMerge/>
            <w:vAlign w:val="center"/>
            <w:hideMark/>
          </w:tcPr>
          <w:p w14:paraId="3139604A" w14:textId="77777777" w:rsidR="00077E0F" w:rsidRPr="006E1680" w:rsidRDefault="00077E0F" w:rsidP="00077E0F">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012FCC61"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2013</w:t>
            </w:r>
          </w:p>
        </w:tc>
        <w:tc>
          <w:tcPr>
            <w:tcW w:w="708" w:type="dxa"/>
            <w:shd w:val="clear" w:color="auto" w:fill="auto"/>
            <w:noWrap/>
            <w:hideMark/>
          </w:tcPr>
          <w:p w14:paraId="21C06262" w14:textId="0D94ED9A"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993" w:type="dxa"/>
            <w:shd w:val="clear" w:color="auto" w:fill="auto"/>
            <w:noWrap/>
            <w:hideMark/>
          </w:tcPr>
          <w:p w14:paraId="6C8B0578" w14:textId="39F21FC6"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992" w:type="dxa"/>
            <w:shd w:val="clear" w:color="auto" w:fill="auto"/>
            <w:noWrap/>
            <w:hideMark/>
          </w:tcPr>
          <w:p w14:paraId="2C5DB6F5" w14:textId="7E0BF955"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1276" w:type="dxa"/>
            <w:shd w:val="clear" w:color="auto" w:fill="auto"/>
            <w:noWrap/>
            <w:hideMark/>
          </w:tcPr>
          <w:p w14:paraId="22409585" w14:textId="0FB8CF7B"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850" w:type="dxa"/>
            <w:shd w:val="clear" w:color="auto" w:fill="auto"/>
            <w:noWrap/>
            <w:hideMark/>
          </w:tcPr>
          <w:p w14:paraId="22B4D1DB" w14:textId="17B5EA94"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851" w:type="dxa"/>
            <w:shd w:val="clear" w:color="auto" w:fill="auto"/>
            <w:noWrap/>
            <w:hideMark/>
          </w:tcPr>
          <w:p w14:paraId="0DE37D6D" w14:textId="04869F7F"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1559" w:type="dxa"/>
            <w:shd w:val="clear" w:color="auto" w:fill="auto"/>
            <w:noWrap/>
            <w:hideMark/>
          </w:tcPr>
          <w:p w14:paraId="6B4F8148" w14:textId="2E7C0F41"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992" w:type="dxa"/>
            <w:shd w:val="clear" w:color="auto" w:fill="auto"/>
            <w:noWrap/>
            <w:hideMark/>
          </w:tcPr>
          <w:p w14:paraId="641F9A52" w14:textId="62A36F75"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709" w:type="dxa"/>
            <w:shd w:val="clear" w:color="auto" w:fill="auto"/>
            <w:noWrap/>
            <w:hideMark/>
          </w:tcPr>
          <w:p w14:paraId="2B701CAC" w14:textId="59155F4A"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1134" w:type="dxa"/>
            <w:shd w:val="clear" w:color="auto" w:fill="auto"/>
            <w:noWrap/>
            <w:hideMark/>
          </w:tcPr>
          <w:p w14:paraId="0708C702" w14:textId="355915F4"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1134" w:type="dxa"/>
            <w:shd w:val="clear" w:color="auto" w:fill="auto"/>
            <w:noWrap/>
            <w:hideMark/>
          </w:tcPr>
          <w:p w14:paraId="76C74701" w14:textId="346964C3"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992" w:type="dxa"/>
            <w:shd w:val="clear" w:color="auto" w:fill="auto"/>
            <w:noWrap/>
            <w:hideMark/>
          </w:tcPr>
          <w:p w14:paraId="55FBE2CE" w14:textId="44C7EEBC"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r>
      <w:tr w:rsidR="00077E0F" w:rsidRPr="006E1680" w14:paraId="21AD24D6" w14:textId="77777777" w:rsidTr="00BA3CA8">
        <w:trPr>
          <w:trHeight w:val="255"/>
        </w:trPr>
        <w:tc>
          <w:tcPr>
            <w:tcW w:w="1134" w:type="dxa"/>
            <w:vMerge/>
            <w:vAlign w:val="center"/>
            <w:hideMark/>
          </w:tcPr>
          <w:p w14:paraId="0E028801" w14:textId="77777777" w:rsidR="00077E0F" w:rsidRPr="006E1680" w:rsidRDefault="00077E0F" w:rsidP="00077E0F">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12285746"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2014</w:t>
            </w:r>
          </w:p>
        </w:tc>
        <w:tc>
          <w:tcPr>
            <w:tcW w:w="708" w:type="dxa"/>
            <w:shd w:val="clear" w:color="auto" w:fill="auto"/>
            <w:noWrap/>
            <w:hideMark/>
          </w:tcPr>
          <w:p w14:paraId="30A8C1CB" w14:textId="389E491C"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993" w:type="dxa"/>
            <w:shd w:val="clear" w:color="auto" w:fill="auto"/>
            <w:noWrap/>
            <w:hideMark/>
          </w:tcPr>
          <w:p w14:paraId="551F4669" w14:textId="2B4F341E"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992" w:type="dxa"/>
            <w:shd w:val="clear" w:color="auto" w:fill="auto"/>
            <w:noWrap/>
            <w:hideMark/>
          </w:tcPr>
          <w:p w14:paraId="2BDD16CB" w14:textId="5CE68807"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1276" w:type="dxa"/>
            <w:shd w:val="clear" w:color="auto" w:fill="auto"/>
            <w:noWrap/>
            <w:hideMark/>
          </w:tcPr>
          <w:p w14:paraId="5BC02BC2" w14:textId="4F9AE936"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850" w:type="dxa"/>
            <w:shd w:val="clear" w:color="auto" w:fill="auto"/>
            <w:noWrap/>
            <w:hideMark/>
          </w:tcPr>
          <w:p w14:paraId="765B8C49" w14:textId="2936CB3C"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851" w:type="dxa"/>
            <w:shd w:val="clear" w:color="auto" w:fill="auto"/>
            <w:noWrap/>
            <w:hideMark/>
          </w:tcPr>
          <w:p w14:paraId="3121D26B" w14:textId="3F158C9A"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1559" w:type="dxa"/>
            <w:shd w:val="clear" w:color="auto" w:fill="auto"/>
            <w:noWrap/>
            <w:hideMark/>
          </w:tcPr>
          <w:p w14:paraId="79921D1F" w14:textId="14549486"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992" w:type="dxa"/>
            <w:shd w:val="clear" w:color="auto" w:fill="auto"/>
            <w:noWrap/>
            <w:hideMark/>
          </w:tcPr>
          <w:p w14:paraId="75742EB0" w14:textId="67D19626"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709" w:type="dxa"/>
            <w:shd w:val="clear" w:color="auto" w:fill="auto"/>
            <w:noWrap/>
            <w:hideMark/>
          </w:tcPr>
          <w:p w14:paraId="052FFCAB" w14:textId="1A48932D"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1134" w:type="dxa"/>
            <w:shd w:val="clear" w:color="auto" w:fill="auto"/>
            <w:noWrap/>
            <w:hideMark/>
          </w:tcPr>
          <w:p w14:paraId="1CFCE0CC" w14:textId="2144A1C2"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1134" w:type="dxa"/>
            <w:shd w:val="clear" w:color="auto" w:fill="auto"/>
            <w:noWrap/>
            <w:hideMark/>
          </w:tcPr>
          <w:p w14:paraId="2C48C030" w14:textId="4ACE65F3"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c>
          <w:tcPr>
            <w:tcW w:w="992" w:type="dxa"/>
            <w:shd w:val="clear" w:color="auto" w:fill="auto"/>
            <w:noWrap/>
            <w:hideMark/>
          </w:tcPr>
          <w:p w14:paraId="7E01AF40" w14:textId="3DEED7FD" w:rsidR="00077E0F" w:rsidRPr="006E1680" w:rsidRDefault="00077E0F" w:rsidP="00077E0F">
            <w:pPr>
              <w:spacing w:after="0" w:line="240" w:lineRule="auto"/>
              <w:jc w:val="center"/>
              <w:rPr>
                <w:rFonts w:ascii="Times New Roman" w:eastAsia="Times New Roman" w:hAnsi="Times New Roman" w:cs="Times New Roman"/>
                <w:sz w:val="24"/>
                <w:szCs w:val="24"/>
              </w:rPr>
            </w:pPr>
            <w:r w:rsidRPr="005079CC">
              <w:rPr>
                <w:rFonts w:ascii="Times New Roman" w:eastAsia="Times New Roman" w:hAnsi="Times New Roman" w:cs="Times New Roman"/>
                <w:sz w:val="24"/>
                <w:szCs w:val="24"/>
              </w:rPr>
              <w:t>-</w:t>
            </w:r>
          </w:p>
        </w:tc>
      </w:tr>
      <w:tr w:rsidR="00077E0F" w:rsidRPr="006E1680" w14:paraId="18158E54" w14:textId="77777777" w:rsidTr="00BA3CA8">
        <w:trPr>
          <w:trHeight w:val="255"/>
        </w:trPr>
        <w:tc>
          <w:tcPr>
            <w:tcW w:w="1134" w:type="dxa"/>
            <w:vMerge/>
            <w:vAlign w:val="center"/>
            <w:hideMark/>
          </w:tcPr>
          <w:p w14:paraId="0A6ADF84" w14:textId="77777777" w:rsidR="00077E0F" w:rsidRPr="006E1680" w:rsidRDefault="00077E0F" w:rsidP="00077E0F">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410D8027"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2015</w:t>
            </w:r>
          </w:p>
        </w:tc>
        <w:tc>
          <w:tcPr>
            <w:tcW w:w="708" w:type="dxa"/>
            <w:shd w:val="clear" w:color="auto" w:fill="auto"/>
            <w:hideMark/>
          </w:tcPr>
          <w:p w14:paraId="3DFA30A9"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394</w:t>
            </w:r>
          </w:p>
        </w:tc>
        <w:tc>
          <w:tcPr>
            <w:tcW w:w="993" w:type="dxa"/>
            <w:shd w:val="clear" w:color="auto" w:fill="auto"/>
            <w:noWrap/>
            <w:hideMark/>
          </w:tcPr>
          <w:p w14:paraId="42298ABA" w14:textId="6CC1D696" w:rsidR="00077E0F" w:rsidRPr="006E1680" w:rsidRDefault="00077E0F" w:rsidP="00077E0F">
            <w:pPr>
              <w:spacing w:after="0" w:line="240" w:lineRule="auto"/>
              <w:jc w:val="center"/>
              <w:rPr>
                <w:rFonts w:ascii="Times New Roman" w:eastAsia="Times New Roman" w:hAnsi="Times New Roman" w:cs="Times New Roman"/>
                <w:sz w:val="24"/>
                <w:szCs w:val="24"/>
              </w:rPr>
            </w:pPr>
            <w:r w:rsidRPr="00661E1D">
              <w:rPr>
                <w:rFonts w:ascii="Times New Roman" w:eastAsia="Times New Roman" w:hAnsi="Times New Roman" w:cs="Times New Roman"/>
                <w:sz w:val="24"/>
                <w:szCs w:val="24"/>
              </w:rPr>
              <w:t>-</w:t>
            </w:r>
          </w:p>
        </w:tc>
        <w:tc>
          <w:tcPr>
            <w:tcW w:w="992" w:type="dxa"/>
            <w:shd w:val="clear" w:color="auto" w:fill="auto"/>
            <w:noWrap/>
            <w:hideMark/>
          </w:tcPr>
          <w:p w14:paraId="4EBBD869" w14:textId="615658DD" w:rsidR="00077E0F" w:rsidRPr="006E1680" w:rsidRDefault="00077E0F" w:rsidP="00077E0F">
            <w:pPr>
              <w:spacing w:after="0" w:line="240" w:lineRule="auto"/>
              <w:jc w:val="center"/>
              <w:rPr>
                <w:rFonts w:ascii="Times New Roman" w:eastAsia="Times New Roman" w:hAnsi="Times New Roman" w:cs="Times New Roman"/>
                <w:sz w:val="24"/>
                <w:szCs w:val="24"/>
              </w:rPr>
            </w:pPr>
            <w:r w:rsidRPr="00661E1D">
              <w:rPr>
                <w:rFonts w:ascii="Times New Roman" w:eastAsia="Times New Roman" w:hAnsi="Times New Roman" w:cs="Times New Roman"/>
                <w:sz w:val="24"/>
                <w:szCs w:val="24"/>
              </w:rPr>
              <w:t>-</w:t>
            </w:r>
          </w:p>
        </w:tc>
        <w:tc>
          <w:tcPr>
            <w:tcW w:w="1276" w:type="dxa"/>
            <w:shd w:val="clear" w:color="auto" w:fill="auto"/>
            <w:noWrap/>
            <w:hideMark/>
          </w:tcPr>
          <w:p w14:paraId="176A21FE" w14:textId="2531C0F1" w:rsidR="00077E0F" w:rsidRPr="006E1680" w:rsidRDefault="00077E0F" w:rsidP="00077E0F">
            <w:pPr>
              <w:spacing w:after="0" w:line="240" w:lineRule="auto"/>
              <w:jc w:val="center"/>
              <w:rPr>
                <w:rFonts w:ascii="Times New Roman" w:eastAsia="Times New Roman" w:hAnsi="Times New Roman" w:cs="Times New Roman"/>
                <w:sz w:val="24"/>
                <w:szCs w:val="24"/>
              </w:rPr>
            </w:pPr>
            <w:r w:rsidRPr="00661E1D">
              <w:rPr>
                <w:rFonts w:ascii="Times New Roman" w:eastAsia="Times New Roman" w:hAnsi="Times New Roman" w:cs="Times New Roman"/>
                <w:sz w:val="24"/>
                <w:szCs w:val="24"/>
              </w:rPr>
              <w:t>-</w:t>
            </w:r>
          </w:p>
        </w:tc>
        <w:tc>
          <w:tcPr>
            <w:tcW w:w="850" w:type="dxa"/>
            <w:shd w:val="clear" w:color="auto" w:fill="auto"/>
            <w:hideMark/>
          </w:tcPr>
          <w:p w14:paraId="5DA6CBB0"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138</w:t>
            </w:r>
          </w:p>
        </w:tc>
        <w:tc>
          <w:tcPr>
            <w:tcW w:w="851" w:type="dxa"/>
            <w:shd w:val="clear" w:color="auto" w:fill="auto"/>
            <w:noWrap/>
            <w:hideMark/>
          </w:tcPr>
          <w:p w14:paraId="62E1048A" w14:textId="6350751D" w:rsidR="00077E0F" w:rsidRPr="006E1680" w:rsidRDefault="00077E0F" w:rsidP="00077E0F">
            <w:pPr>
              <w:spacing w:after="0" w:line="240" w:lineRule="auto"/>
              <w:jc w:val="center"/>
              <w:rPr>
                <w:rFonts w:ascii="Times New Roman" w:eastAsia="Times New Roman" w:hAnsi="Times New Roman" w:cs="Times New Roman"/>
                <w:sz w:val="24"/>
                <w:szCs w:val="24"/>
              </w:rPr>
            </w:pPr>
            <w:r w:rsidRPr="00A810A9">
              <w:rPr>
                <w:rFonts w:ascii="Times New Roman" w:eastAsia="Times New Roman" w:hAnsi="Times New Roman" w:cs="Times New Roman"/>
                <w:sz w:val="24"/>
                <w:szCs w:val="24"/>
              </w:rPr>
              <w:t>-</w:t>
            </w:r>
          </w:p>
        </w:tc>
        <w:tc>
          <w:tcPr>
            <w:tcW w:w="1559" w:type="dxa"/>
            <w:shd w:val="clear" w:color="auto" w:fill="auto"/>
            <w:noWrap/>
            <w:hideMark/>
          </w:tcPr>
          <w:p w14:paraId="6D7807A8" w14:textId="2A7B4E3A" w:rsidR="00077E0F" w:rsidRPr="006E1680" w:rsidRDefault="00077E0F" w:rsidP="00077E0F">
            <w:pPr>
              <w:spacing w:after="0" w:line="240" w:lineRule="auto"/>
              <w:jc w:val="center"/>
              <w:rPr>
                <w:rFonts w:ascii="Times New Roman" w:eastAsia="Times New Roman" w:hAnsi="Times New Roman" w:cs="Times New Roman"/>
                <w:sz w:val="24"/>
                <w:szCs w:val="24"/>
              </w:rPr>
            </w:pPr>
            <w:r w:rsidRPr="00A810A9">
              <w:rPr>
                <w:rFonts w:ascii="Times New Roman" w:eastAsia="Times New Roman" w:hAnsi="Times New Roman" w:cs="Times New Roman"/>
                <w:sz w:val="24"/>
                <w:szCs w:val="24"/>
              </w:rPr>
              <w:t>-</w:t>
            </w:r>
          </w:p>
        </w:tc>
        <w:tc>
          <w:tcPr>
            <w:tcW w:w="992" w:type="dxa"/>
            <w:shd w:val="clear" w:color="auto" w:fill="auto"/>
            <w:noWrap/>
            <w:hideMark/>
          </w:tcPr>
          <w:p w14:paraId="30CABCF5" w14:textId="3975015C" w:rsidR="00077E0F" w:rsidRPr="006E1680" w:rsidRDefault="00077E0F" w:rsidP="00077E0F">
            <w:pPr>
              <w:spacing w:after="0" w:line="240" w:lineRule="auto"/>
              <w:jc w:val="center"/>
              <w:rPr>
                <w:rFonts w:ascii="Times New Roman" w:eastAsia="Times New Roman" w:hAnsi="Times New Roman" w:cs="Times New Roman"/>
                <w:sz w:val="24"/>
                <w:szCs w:val="24"/>
              </w:rPr>
            </w:pPr>
            <w:r w:rsidRPr="00A810A9">
              <w:rPr>
                <w:rFonts w:ascii="Times New Roman" w:eastAsia="Times New Roman" w:hAnsi="Times New Roman" w:cs="Times New Roman"/>
                <w:sz w:val="24"/>
                <w:szCs w:val="24"/>
              </w:rPr>
              <w:t>-</w:t>
            </w:r>
          </w:p>
        </w:tc>
        <w:tc>
          <w:tcPr>
            <w:tcW w:w="709" w:type="dxa"/>
            <w:shd w:val="clear" w:color="auto" w:fill="auto"/>
            <w:hideMark/>
          </w:tcPr>
          <w:p w14:paraId="6CBFBF78"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256</w:t>
            </w:r>
          </w:p>
        </w:tc>
        <w:tc>
          <w:tcPr>
            <w:tcW w:w="1134" w:type="dxa"/>
            <w:shd w:val="clear" w:color="auto" w:fill="auto"/>
            <w:noWrap/>
            <w:hideMark/>
          </w:tcPr>
          <w:p w14:paraId="13214ED7" w14:textId="6A72F9BA" w:rsidR="00077E0F" w:rsidRPr="006E1680" w:rsidRDefault="00077E0F" w:rsidP="00077E0F">
            <w:pPr>
              <w:spacing w:after="0" w:line="240" w:lineRule="auto"/>
              <w:jc w:val="center"/>
              <w:rPr>
                <w:rFonts w:ascii="Times New Roman" w:eastAsia="Times New Roman" w:hAnsi="Times New Roman" w:cs="Times New Roman"/>
                <w:sz w:val="24"/>
                <w:szCs w:val="24"/>
              </w:rPr>
            </w:pPr>
            <w:r w:rsidRPr="005B2984">
              <w:rPr>
                <w:rFonts w:ascii="Times New Roman" w:eastAsia="Times New Roman" w:hAnsi="Times New Roman" w:cs="Times New Roman"/>
                <w:sz w:val="24"/>
                <w:szCs w:val="24"/>
              </w:rPr>
              <w:t>-</w:t>
            </w:r>
          </w:p>
        </w:tc>
        <w:tc>
          <w:tcPr>
            <w:tcW w:w="1134" w:type="dxa"/>
            <w:shd w:val="clear" w:color="auto" w:fill="auto"/>
            <w:noWrap/>
            <w:hideMark/>
          </w:tcPr>
          <w:p w14:paraId="7FDA4579" w14:textId="43442F20" w:rsidR="00077E0F" w:rsidRPr="006E1680" w:rsidRDefault="00077E0F" w:rsidP="00077E0F">
            <w:pPr>
              <w:spacing w:after="0" w:line="240" w:lineRule="auto"/>
              <w:jc w:val="center"/>
              <w:rPr>
                <w:rFonts w:ascii="Times New Roman" w:eastAsia="Times New Roman" w:hAnsi="Times New Roman" w:cs="Times New Roman"/>
                <w:sz w:val="24"/>
                <w:szCs w:val="24"/>
              </w:rPr>
            </w:pPr>
            <w:r w:rsidRPr="005B2984">
              <w:rPr>
                <w:rFonts w:ascii="Times New Roman" w:eastAsia="Times New Roman" w:hAnsi="Times New Roman" w:cs="Times New Roman"/>
                <w:sz w:val="24"/>
                <w:szCs w:val="24"/>
              </w:rPr>
              <w:t>-</w:t>
            </w:r>
          </w:p>
        </w:tc>
        <w:tc>
          <w:tcPr>
            <w:tcW w:w="992" w:type="dxa"/>
            <w:shd w:val="clear" w:color="auto" w:fill="auto"/>
            <w:noWrap/>
            <w:hideMark/>
          </w:tcPr>
          <w:p w14:paraId="73A83C13" w14:textId="461C4C18" w:rsidR="00077E0F" w:rsidRPr="006E1680" w:rsidRDefault="00077E0F" w:rsidP="00077E0F">
            <w:pPr>
              <w:spacing w:after="0" w:line="240" w:lineRule="auto"/>
              <w:jc w:val="center"/>
              <w:rPr>
                <w:rFonts w:ascii="Times New Roman" w:eastAsia="Times New Roman" w:hAnsi="Times New Roman" w:cs="Times New Roman"/>
                <w:sz w:val="24"/>
                <w:szCs w:val="24"/>
              </w:rPr>
            </w:pPr>
            <w:r w:rsidRPr="005B2984">
              <w:rPr>
                <w:rFonts w:ascii="Times New Roman" w:eastAsia="Times New Roman" w:hAnsi="Times New Roman" w:cs="Times New Roman"/>
                <w:sz w:val="24"/>
                <w:szCs w:val="24"/>
              </w:rPr>
              <w:t>-</w:t>
            </w:r>
          </w:p>
        </w:tc>
      </w:tr>
      <w:tr w:rsidR="00FA5792" w:rsidRPr="006E1680" w14:paraId="7CD83F01" w14:textId="77777777" w:rsidTr="00BA3CA8">
        <w:trPr>
          <w:trHeight w:val="255"/>
        </w:trPr>
        <w:tc>
          <w:tcPr>
            <w:tcW w:w="1134" w:type="dxa"/>
            <w:vMerge/>
            <w:vAlign w:val="center"/>
            <w:hideMark/>
          </w:tcPr>
          <w:p w14:paraId="0E01F5E0"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7C423F2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2016</w:t>
            </w:r>
          </w:p>
        </w:tc>
        <w:tc>
          <w:tcPr>
            <w:tcW w:w="708" w:type="dxa"/>
            <w:shd w:val="clear" w:color="auto" w:fill="auto"/>
            <w:hideMark/>
          </w:tcPr>
          <w:p w14:paraId="147EB96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587</w:t>
            </w:r>
          </w:p>
        </w:tc>
        <w:tc>
          <w:tcPr>
            <w:tcW w:w="993" w:type="dxa"/>
            <w:shd w:val="clear" w:color="auto" w:fill="auto"/>
            <w:noWrap/>
            <w:hideMark/>
          </w:tcPr>
          <w:p w14:paraId="5C9A86D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193,00</w:t>
            </w:r>
          </w:p>
        </w:tc>
        <w:tc>
          <w:tcPr>
            <w:tcW w:w="992" w:type="dxa"/>
            <w:shd w:val="clear" w:color="auto" w:fill="auto"/>
            <w:noWrap/>
            <w:hideMark/>
          </w:tcPr>
          <w:p w14:paraId="2F33E6A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18,00</w:t>
            </w:r>
          </w:p>
        </w:tc>
        <w:tc>
          <w:tcPr>
            <w:tcW w:w="1276" w:type="dxa"/>
            <w:shd w:val="clear" w:color="auto" w:fill="auto"/>
            <w:noWrap/>
            <w:hideMark/>
          </w:tcPr>
          <w:p w14:paraId="752595B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-82,00</w:t>
            </w:r>
          </w:p>
        </w:tc>
        <w:tc>
          <w:tcPr>
            <w:tcW w:w="850" w:type="dxa"/>
            <w:shd w:val="clear" w:color="auto" w:fill="auto"/>
            <w:hideMark/>
          </w:tcPr>
          <w:p w14:paraId="3DEDC55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212</w:t>
            </w:r>
          </w:p>
        </w:tc>
        <w:tc>
          <w:tcPr>
            <w:tcW w:w="851" w:type="dxa"/>
            <w:shd w:val="clear" w:color="auto" w:fill="auto"/>
            <w:noWrap/>
            <w:hideMark/>
          </w:tcPr>
          <w:p w14:paraId="65B9044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74,00</w:t>
            </w:r>
          </w:p>
        </w:tc>
        <w:tc>
          <w:tcPr>
            <w:tcW w:w="1559" w:type="dxa"/>
            <w:shd w:val="clear" w:color="auto" w:fill="auto"/>
            <w:noWrap/>
            <w:hideMark/>
          </w:tcPr>
          <w:p w14:paraId="05E712C9"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15,52</w:t>
            </w:r>
          </w:p>
        </w:tc>
        <w:tc>
          <w:tcPr>
            <w:tcW w:w="992" w:type="dxa"/>
            <w:shd w:val="clear" w:color="auto" w:fill="auto"/>
            <w:noWrap/>
            <w:hideMark/>
          </w:tcPr>
          <w:p w14:paraId="0CC8527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-84,48</w:t>
            </w:r>
          </w:p>
        </w:tc>
        <w:tc>
          <w:tcPr>
            <w:tcW w:w="709" w:type="dxa"/>
            <w:shd w:val="clear" w:color="auto" w:fill="auto"/>
            <w:hideMark/>
          </w:tcPr>
          <w:p w14:paraId="7C10172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375</w:t>
            </w:r>
          </w:p>
        </w:tc>
        <w:tc>
          <w:tcPr>
            <w:tcW w:w="1134" w:type="dxa"/>
            <w:shd w:val="clear" w:color="auto" w:fill="auto"/>
            <w:noWrap/>
            <w:hideMark/>
          </w:tcPr>
          <w:p w14:paraId="1054823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119,00</w:t>
            </w:r>
          </w:p>
        </w:tc>
        <w:tc>
          <w:tcPr>
            <w:tcW w:w="1134" w:type="dxa"/>
            <w:shd w:val="clear" w:color="auto" w:fill="auto"/>
            <w:noWrap/>
            <w:hideMark/>
          </w:tcPr>
          <w:p w14:paraId="151546F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19,69</w:t>
            </w:r>
          </w:p>
        </w:tc>
        <w:tc>
          <w:tcPr>
            <w:tcW w:w="992" w:type="dxa"/>
            <w:shd w:val="clear" w:color="auto" w:fill="auto"/>
            <w:noWrap/>
            <w:hideMark/>
          </w:tcPr>
          <w:p w14:paraId="6C510FC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-80,31</w:t>
            </w:r>
          </w:p>
        </w:tc>
      </w:tr>
      <w:tr w:rsidR="00FA5792" w:rsidRPr="006E1680" w14:paraId="004E2E7F" w14:textId="77777777" w:rsidTr="00BA3CA8">
        <w:trPr>
          <w:trHeight w:val="255"/>
        </w:trPr>
        <w:tc>
          <w:tcPr>
            <w:tcW w:w="1134" w:type="dxa"/>
            <w:vMerge/>
            <w:vAlign w:val="center"/>
            <w:hideMark/>
          </w:tcPr>
          <w:p w14:paraId="0EF5FC3B"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0DDA287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2017</w:t>
            </w:r>
          </w:p>
        </w:tc>
        <w:tc>
          <w:tcPr>
            <w:tcW w:w="708" w:type="dxa"/>
            <w:shd w:val="clear" w:color="auto" w:fill="auto"/>
            <w:hideMark/>
          </w:tcPr>
          <w:p w14:paraId="054E5C0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843</w:t>
            </w:r>
          </w:p>
        </w:tc>
        <w:tc>
          <w:tcPr>
            <w:tcW w:w="993" w:type="dxa"/>
            <w:shd w:val="clear" w:color="auto" w:fill="auto"/>
            <w:noWrap/>
            <w:hideMark/>
          </w:tcPr>
          <w:p w14:paraId="2A2E593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256,00</w:t>
            </w:r>
          </w:p>
        </w:tc>
        <w:tc>
          <w:tcPr>
            <w:tcW w:w="992" w:type="dxa"/>
            <w:shd w:val="clear" w:color="auto" w:fill="auto"/>
            <w:noWrap/>
            <w:hideMark/>
          </w:tcPr>
          <w:p w14:paraId="4F22059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26,82</w:t>
            </w:r>
          </w:p>
        </w:tc>
        <w:tc>
          <w:tcPr>
            <w:tcW w:w="1276" w:type="dxa"/>
            <w:shd w:val="clear" w:color="auto" w:fill="auto"/>
            <w:noWrap/>
            <w:hideMark/>
          </w:tcPr>
          <w:p w14:paraId="673D9E4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-73,18</w:t>
            </w:r>
          </w:p>
        </w:tc>
        <w:tc>
          <w:tcPr>
            <w:tcW w:w="850" w:type="dxa"/>
            <w:shd w:val="clear" w:color="auto" w:fill="auto"/>
            <w:hideMark/>
          </w:tcPr>
          <w:p w14:paraId="41ED6ED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332</w:t>
            </w:r>
          </w:p>
        </w:tc>
        <w:tc>
          <w:tcPr>
            <w:tcW w:w="851" w:type="dxa"/>
            <w:shd w:val="clear" w:color="auto" w:fill="auto"/>
            <w:noWrap/>
            <w:hideMark/>
          </w:tcPr>
          <w:p w14:paraId="4CC1392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120,00</w:t>
            </w:r>
          </w:p>
        </w:tc>
        <w:tc>
          <w:tcPr>
            <w:tcW w:w="1559" w:type="dxa"/>
            <w:shd w:val="clear" w:color="auto" w:fill="auto"/>
            <w:noWrap/>
            <w:hideMark/>
          </w:tcPr>
          <w:p w14:paraId="2BBA0587"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23,85</w:t>
            </w:r>
          </w:p>
        </w:tc>
        <w:tc>
          <w:tcPr>
            <w:tcW w:w="992" w:type="dxa"/>
            <w:shd w:val="clear" w:color="auto" w:fill="auto"/>
            <w:noWrap/>
            <w:hideMark/>
          </w:tcPr>
          <w:p w14:paraId="1A72D1A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-76,15</w:t>
            </w:r>
          </w:p>
        </w:tc>
        <w:tc>
          <w:tcPr>
            <w:tcW w:w="709" w:type="dxa"/>
            <w:shd w:val="clear" w:color="auto" w:fill="auto"/>
            <w:hideMark/>
          </w:tcPr>
          <w:p w14:paraId="41E1C3B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511</w:t>
            </w:r>
          </w:p>
        </w:tc>
        <w:tc>
          <w:tcPr>
            <w:tcW w:w="1134" w:type="dxa"/>
            <w:shd w:val="clear" w:color="auto" w:fill="auto"/>
            <w:noWrap/>
            <w:hideMark/>
          </w:tcPr>
          <w:p w14:paraId="0D1D36D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136,00</w:t>
            </w:r>
          </w:p>
        </w:tc>
        <w:tc>
          <w:tcPr>
            <w:tcW w:w="1134" w:type="dxa"/>
            <w:shd w:val="clear" w:color="auto" w:fill="auto"/>
            <w:noWrap/>
            <w:hideMark/>
          </w:tcPr>
          <w:p w14:paraId="34CDB24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28,85</w:t>
            </w:r>
          </w:p>
        </w:tc>
        <w:tc>
          <w:tcPr>
            <w:tcW w:w="992" w:type="dxa"/>
            <w:shd w:val="clear" w:color="auto" w:fill="auto"/>
            <w:noWrap/>
            <w:hideMark/>
          </w:tcPr>
          <w:p w14:paraId="523CC49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-71,15</w:t>
            </w:r>
          </w:p>
        </w:tc>
      </w:tr>
      <w:tr w:rsidR="00FA5792" w:rsidRPr="006E1680" w14:paraId="711F4812" w14:textId="77777777" w:rsidTr="00BA3CA8">
        <w:trPr>
          <w:trHeight w:val="255"/>
        </w:trPr>
        <w:tc>
          <w:tcPr>
            <w:tcW w:w="1134" w:type="dxa"/>
            <w:vMerge/>
            <w:vAlign w:val="center"/>
            <w:hideMark/>
          </w:tcPr>
          <w:p w14:paraId="525A719D"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72C565B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2018</w:t>
            </w:r>
          </w:p>
        </w:tc>
        <w:tc>
          <w:tcPr>
            <w:tcW w:w="708" w:type="dxa"/>
            <w:shd w:val="clear" w:color="auto" w:fill="auto"/>
            <w:hideMark/>
          </w:tcPr>
          <w:p w14:paraId="19DBB88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1265</w:t>
            </w:r>
          </w:p>
        </w:tc>
        <w:tc>
          <w:tcPr>
            <w:tcW w:w="993" w:type="dxa"/>
            <w:shd w:val="clear" w:color="auto" w:fill="auto"/>
            <w:noWrap/>
            <w:hideMark/>
          </w:tcPr>
          <w:p w14:paraId="1D4302E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422,00</w:t>
            </w:r>
          </w:p>
        </w:tc>
        <w:tc>
          <w:tcPr>
            <w:tcW w:w="992" w:type="dxa"/>
            <w:shd w:val="clear" w:color="auto" w:fill="auto"/>
            <w:noWrap/>
            <w:hideMark/>
          </w:tcPr>
          <w:p w14:paraId="2ED385C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38,51</w:t>
            </w:r>
          </w:p>
        </w:tc>
        <w:tc>
          <w:tcPr>
            <w:tcW w:w="1276" w:type="dxa"/>
            <w:shd w:val="clear" w:color="auto" w:fill="auto"/>
            <w:noWrap/>
            <w:hideMark/>
          </w:tcPr>
          <w:p w14:paraId="03BF002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-61,49</w:t>
            </w:r>
          </w:p>
        </w:tc>
        <w:tc>
          <w:tcPr>
            <w:tcW w:w="850" w:type="dxa"/>
            <w:shd w:val="clear" w:color="auto" w:fill="auto"/>
            <w:hideMark/>
          </w:tcPr>
          <w:p w14:paraId="517687A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515</w:t>
            </w:r>
          </w:p>
        </w:tc>
        <w:tc>
          <w:tcPr>
            <w:tcW w:w="851" w:type="dxa"/>
            <w:shd w:val="clear" w:color="auto" w:fill="auto"/>
            <w:noWrap/>
            <w:hideMark/>
          </w:tcPr>
          <w:p w14:paraId="4B3DF7B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183,00</w:t>
            </w:r>
          </w:p>
        </w:tc>
        <w:tc>
          <w:tcPr>
            <w:tcW w:w="1559" w:type="dxa"/>
            <w:shd w:val="clear" w:color="auto" w:fill="auto"/>
            <w:noWrap/>
            <w:hideMark/>
          </w:tcPr>
          <w:p w14:paraId="235410BA"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37,35</w:t>
            </w:r>
          </w:p>
        </w:tc>
        <w:tc>
          <w:tcPr>
            <w:tcW w:w="992" w:type="dxa"/>
            <w:shd w:val="clear" w:color="auto" w:fill="auto"/>
            <w:noWrap/>
            <w:hideMark/>
          </w:tcPr>
          <w:p w14:paraId="6B1277B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-62,65</w:t>
            </w:r>
          </w:p>
        </w:tc>
        <w:tc>
          <w:tcPr>
            <w:tcW w:w="709" w:type="dxa"/>
            <w:shd w:val="clear" w:color="auto" w:fill="auto"/>
            <w:hideMark/>
          </w:tcPr>
          <w:p w14:paraId="3E87F15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750</w:t>
            </w:r>
          </w:p>
        </w:tc>
        <w:tc>
          <w:tcPr>
            <w:tcW w:w="1134" w:type="dxa"/>
            <w:shd w:val="clear" w:color="auto" w:fill="auto"/>
            <w:noWrap/>
            <w:hideMark/>
          </w:tcPr>
          <w:p w14:paraId="0042574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239,00</w:t>
            </w:r>
          </w:p>
        </w:tc>
        <w:tc>
          <w:tcPr>
            <w:tcW w:w="1134" w:type="dxa"/>
            <w:shd w:val="clear" w:color="auto" w:fill="auto"/>
            <w:noWrap/>
            <w:hideMark/>
          </w:tcPr>
          <w:p w14:paraId="0C1AC28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39,31</w:t>
            </w:r>
          </w:p>
        </w:tc>
        <w:tc>
          <w:tcPr>
            <w:tcW w:w="992" w:type="dxa"/>
            <w:shd w:val="clear" w:color="auto" w:fill="auto"/>
            <w:noWrap/>
            <w:hideMark/>
          </w:tcPr>
          <w:p w14:paraId="79A6051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-60,69</w:t>
            </w:r>
          </w:p>
        </w:tc>
      </w:tr>
      <w:tr w:rsidR="00FA5792" w:rsidRPr="006E1680" w14:paraId="0C214F87" w14:textId="77777777" w:rsidTr="00BA3CA8">
        <w:trPr>
          <w:trHeight w:val="255"/>
        </w:trPr>
        <w:tc>
          <w:tcPr>
            <w:tcW w:w="1134" w:type="dxa"/>
            <w:vMerge/>
            <w:vAlign w:val="center"/>
            <w:hideMark/>
          </w:tcPr>
          <w:p w14:paraId="581CD918"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65C13F9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2019</w:t>
            </w:r>
          </w:p>
        </w:tc>
        <w:tc>
          <w:tcPr>
            <w:tcW w:w="708" w:type="dxa"/>
            <w:shd w:val="clear" w:color="auto" w:fill="auto"/>
            <w:hideMark/>
          </w:tcPr>
          <w:p w14:paraId="41B2585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1619</w:t>
            </w:r>
          </w:p>
        </w:tc>
        <w:tc>
          <w:tcPr>
            <w:tcW w:w="993" w:type="dxa"/>
            <w:shd w:val="clear" w:color="auto" w:fill="auto"/>
            <w:noWrap/>
            <w:hideMark/>
          </w:tcPr>
          <w:p w14:paraId="71F376B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354,00</w:t>
            </w:r>
          </w:p>
        </w:tc>
        <w:tc>
          <w:tcPr>
            <w:tcW w:w="992" w:type="dxa"/>
            <w:shd w:val="clear" w:color="auto" w:fill="auto"/>
            <w:noWrap/>
            <w:hideMark/>
          </w:tcPr>
          <w:p w14:paraId="241F23E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57,79</w:t>
            </w:r>
          </w:p>
        </w:tc>
        <w:tc>
          <w:tcPr>
            <w:tcW w:w="1276" w:type="dxa"/>
            <w:shd w:val="clear" w:color="auto" w:fill="auto"/>
            <w:noWrap/>
            <w:hideMark/>
          </w:tcPr>
          <w:p w14:paraId="59B1167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-42,21</w:t>
            </w:r>
          </w:p>
        </w:tc>
        <w:tc>
          <w:tcPr>
            <w:tcW w:w="850" w:type="dxa"/>
            <w:shd w:val="clear" w:color="auto" w:fill="auto"/>
            <w:hideMark/>
          </w:tcPr>
          <w:p w14:paraId="79B8440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663</w:t>
            </w:r>
          </w:p>
        </w:tc>
        <w:tc>
          <w:tcPr>
            <w:tcW w:w="851" w:type="dxa"/>
            <w:shd w:val="clear" w:color="auto" w:fill="auto"/>
            <w:noWrap/>
            <w:hideMark/>
          </w:tcPr>
          <w:p w14:paraId="2D17789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148,00</w:t>
            </w:r>
          </w:p>
        </w:tc>
        <w:tc>
          <w:tcPr>
            <w:tcW w:w="1559" w:type="dxa"/>
            <w:shd w:val="clear" w:color="auto" w:fill="auto"/>
            <w:noWrap/>
            <w:hideMark/>
          </w:tcPr>
          <w:p w14:paraId="787B33C4"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57,93</w:t>
            </w:r>
          </w:p>
        </w:tc>
        <w:tc>
          <w:tcPr>
            <w:tcW w:w="992" w:type="dxa"/>
            <w:shd w:val="clear" w:color="auto" w:fill="auto"/>
            <w:noWrap/>
            <w:hideMark/>
          </w:tcPr>
          <w:p w14:paraId="297DD56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-42,07</w:t>
            </w:r>
          </w:p>
        </w:tc>
        <w:tc>
          <w:tcPr>
            <w:tcW w:w="709" w:type="dxa"/>
            <w:shd w:val="clear" w:color="auto" w:fill="auto"/>
            <w:hideMark/>
          </w:tcPr>
          <w:p w14:paraId="5B7072C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956</w:t>
            </w:r>
          </w:p>
        </w:tc>
        <w:tc>
          <w:tcPr>
            <w:tcW w:w="1134" w:type="dxa"/>
            <w:shd w:val="clear" w:color="auto" w:fill="auto"/>
            <w:noWrap/>
            <w:hideMark/>
          </w:tcPr>
          <w:p w14:paraId="03F1575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206,00</w:t>
            </w:r>
          </w:p>
        </w:tc>
        <w:tc>
          <w:tcPr>
            <w:tcW w:w="1134" w:type="dxa"/>
            <w:shd w:val="clear" w:color="auto" w:fill="auto"/>
            <w:noWrap/>
            <w:hideMark/>
          </w:tcPr>
          <w:p w14:paraId="5CB0DD9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57,69</w:t>
            </w:r>
          </w:p>
        </w:tc>
        <w:tc>
          <w:tcPr>
            <w:tcW w:w="992" w:type="dxa"/>
            <w:shd w:val="clear" w:color="auto" w:fill="auto"/>
            <w:noWrap/>
            <w:hideMark/>
          </w:tcPr>
          <w:p w14:paraId="083248D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-42,31</w:t>
            </w:r>
          </w:p>
        </w:tc>
      </w:tr>
      <w:tr w:rsidR="00FA5792" w:rsidRPr="006E1680" w14:paraId="2AB40E3A" w14:textId="77777777" w:rsidTr="00BA3CA8">
        <w:trPr>
          <w:trHeight w:val="255"/>
        </w:trPr>
        <w:tc>
          <w:tcPr>
            <w:tcW w:w="1134" w:type="dxa"/>
            <w:vMerge/>
            <w:vAlign w:val="center"/>
            <w:hideMark/>
          </w:tcPr>
          <w:p w14:paraId="74F4A556"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6877D66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2020</w:t>
            </w:r>
          </w:p>
        </w:tc>
        <w:tc>
          <w:tcPr>
            <w:tcW w:w="708" w:type="dxa"/>
            <w:shd w:val="clear" w:color="auto" w:fill="auto"/>
            <w:hideMark/>
          </w:tcPr>
          <w:p w14:paraId="5868A7C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1891</w:t>
            </w:r>
          </w:p>
        </w:tc>
        <w:tc>
          <w:tcPr>
            <w:tcW w:w="993" w:type="dxa"/>
            <w:shd w:val="clear" w:color="auto" w:fill="auto"/>
            <w:noWrap/>
            <w:hideMark/>
          </w:tcPr>
          <w:p w14:paraId="41FA256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272,00</w:t>
            </w:r>
          </w:p>
        </w:tc>
        <w:tc>
          <w:tcPr>
            <w:tcW w:w="992" w:type="dxa"/>
            <w:shd w:val="clear" w:color="auto" w:fill="auto"/>
            <w:noWrap/>
            <w:hideMark/>
          </w:tcPr>
          <w:p w14:paraId="347A00F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73,96</w:t>
            </w:r>
          </w:p>
        </w:tc>
        <w:tc>
          <w:tcPr>
            <w:tcW w:w="1276" w:type="dxa"/>
            <w:shd w:val="clear" w:color="auto" w:fill="auto"/>
            <w:noWrap/>
            <w:hideMark/>
          </w:tcPr>
          <w:p w14:paraId="4784CD9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-26,04</w:t>
            </w:r>
          </w:p>
        </w:tc>
        <w:tc>
          <w:tcPr>
            <w:tcW w:w="850" w:type="dxa"/>
            <w:shd w:val="clear" w:color="auto" w:fill="auto"/>
            <w:hideMark/>
          </w:tcPr>
          <w:p w14:paraId="4CCEFD7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772</w:t>
            </w:r>
          </w:p>
        </w:tc>
        <w:tc>
          <w:tcPr>
            <w:tcW w:w="851" w:type="dxa"/>
            <w:shd w:val="clear" w:color="auto" w:fill="auto"/>
            <w:noWrap/>
            <w:hideMark/>
          </w:tcPr>
          <w:p w14:paraId="3BDF2E4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109,00</w:t>
            </w:r>
          </w:p>
        </w:tc>
        <w:tc>
          <w:tcPr>
            <w:tcW w:w="1559" w:type="dxa"/>
            <w:shd w:val="clear" w:color="auto" w:fill="auto"/>
            <w:noWrap/>
            <w:hideMark/>
          </w:tcPr>
          <w:p w14:paraId="7C0018E9"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74,58</w:t>
            </w:r>
          </w:p>
        </w:tc>
        <w:tc>
          <w:tcPr>
            <w:tcW w:w="992" w:type="dxa"/>
            <w:shd w:val="clear" w:color="auto" w:fill="auto"/>
            <w:noWrap/>
            <w:hideMark/>
          </w:tcPr>
          <w:p w14:paraId="2AC893C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-25,42</w:t>
            </w:r>
          </w:p>
        </w:tc>
        <w:tc>
          <w:tcPr>
            <w:tcW w:w="709" w:type="dxa"/>
            <w:shd w:val="clear" w:color="auto" w:fill="auto"/>
            <w:hideMark/>
          </w:tcPr>
          <w:p w14:paraId="6BDA6AA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1119</w:t>
            </w:r>
          </w:p>
        </w:tc>
        <w:tc>
          <w:tcPr>
            <w:tcW w:w="1134" w:type="dxa"/>
            <w:shd w:val="clear" w:color="auto" w:fill="auto"/>
            <w:noWrap/>
            <w:hideMark/>
          </w:tcPr>
          <w:p w14:paraId="353A39F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163,00</w:t>
            </w:r>
          </w:p>
        </w:tc>
        <w:tc>
          <w:tcPr>
            <w:tcW w:w="1134" w:type="dxa"/>
            <w:shd w:val="clear" w:color="auto" w:fill="auto"/>
            <w:noWrap/>
            <w:hideMark/>
          </w:tcPr>
          <w:p w14:paraId="15CECD0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73,54</w:t>
            </w:r>
          </w:p>
        </w:tc>
        <w:tc>
          <w:tcPr>
            <w:tcW w:w="992" w:type="dxa"/>
            <w:shd w:val="clear" w:color="auto" w:fill="auto"/>
            <w:noWrap/>
            <w:hideMark/>
          </w:tcPr>
          <w:p w14:paraId="399BD7D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-26,46</w:t>
            </w:r>
          </w:p>
        </w:tc>
      </w:tr>
      <w:tr w:rsidR="00FA5792" w:rsidRPr="006E1680" w14:paraId="1B3A8ADD" w14:textId="77777777" w:rsidTr="00BA3CA8">
        <w:trPr>
          <w:trHeight w:val="255"/>
        </w:trPr>
        <w:tc>
          <w:tcPr>
            <w:tcW w:w="1134" w:type="dxa"/>
            <w:vMerge/>
            <w:vAlign w:val="center"/>
            <w:hideMark/>
          </w:tcPr>
          <w:p w14:paraId="5892869C"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0842E9B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2021</w:t>
            </w:r>
          </w:p>
        </w:tc>
        <w:tc>
          <w:tcPr>
            <w:tcW w:w="708" w:type="dxa"/>
            <w:shd w:val="clear" w:color="auto" w:fill="auto"/>
            <w:hideMark/>
          </w:tcPr>
          <w:p w14:paraId="0A0CB93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2189</w:t>
            </w:r>
          </w:p>
        </w:tc>
        <w:tc>
          <w:tcPr>
            <w:tcW w:w="993" w:type="dxa"/>
            <w:shd w:val="clear" w:color="auto" w:fill="auto"/>
            <w:noWrap/>
            <w:hideMark/>
          </w:tcPr>
          <w:p w14:paraId="252970F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298,00</w:t>
            </w:r>
          </w:p>
        </w:tc>
        <w:tc>
          <w:tcPr>
            <w:tcW w:w="992" w:type="dxa"/>
            <w:shd w:val="clear" w:color="auto" w:fill="auto"/>
            <w:noWrap/>
            <w:hideMark/>
          </w:tcPr>
          <w:p w14:paraId="41E0216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86,39</w:t>
            </w:r>
          </w:p>
        </w:tc>
        <w:tc>
          <w:tcPr>
            <w:tcW w:w="1276" w:type="dxa"/>
            <w:shd w:val="clear" w:color="auto" w:fill="auto"/>
            <w:noWrap/>
            <w:hideMark/>
          </w:tcPr>
          <w:p w14:paraId="4E6E4C8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-13,61</w:t>
            </w:r>
          </w:p>
        </w:tc>
        <w:tc>
          <w:tcPr>
            <w:tcW w:w="850" w:type="dxa"/>
            <w:shd w:val="clear" w:color="auto" w:fill="auto"/>
            <w:hideMark/>
          </w:tcPr>
          <w:p w14:paraId="787B98C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889</w:t>
            </w:r>
          </w:p>
        </w:tc>
        <w:tc>
          <w:tcPr>
            <w:tcW w:w="851" w:type="dxa"/>
            <w:shd w:val="clear" w:color="auto" w:fill="auto"/>
            <w:noWrap/>
            <w:hideMark/>
          </w:tcPr>
          <w:p w14:paraId="38A12F8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117,00</w:t>
            </w:r>
          </w:p>
        </w:tc>
        <w:tc>
          <w:tcPr>
            <w:tcW w:w="1559" w:type="dxa"/>
            <w:shd w:val="clear" w:color="auto" w:fill="auto"/>
            <w:noWrap/>
            <w:hideMark/>
          </w:tcPr>
          <w:p w14:paraId="1AA87C00"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86,84</w:t>
            </w:r>
          </w:p>
        </w:tc>
        <w:tc>
          <w:tcPr>
            <w:tcW w:w="992" w:type="dxa"/>
            <w:shd w:val="clear" w:color="auto" w:fill="auto"/>
            <w:noWrap/>
            <w:hideMark/>
          </w:tcPr>
          <w:p w14:paraId="4CA9C37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-13,16</w:t>
            </w:r>
          </w:p>
        </w:tc>
        <w:tc>
          <w:tcPr>
            <w:tcW w:w="709" w:type="dxa"/>
            <w:shd w:val="clear" w:color="auto" w:fill="auto"/>
            <w:hideMark/>
          </w:tcPr>
          <w:p w14:paraId="27BBD62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1300</w:t>
            </w:r>
          </w:p>
        </w:tc>
        <w:tc>
          <w:tcPr>
            <w:tcW w:w="1134" w:type="dxa"/>
            <w:shd w:val="clear" w:color="auto" w:fill="auto"/>
            <w:noWrap/>
            <w:hideMark/>
          </w:tcPr>
          <w:p w14:paraId="6C12E1D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181,00</w:t>
            </w:r>
          </w:p>
        </w:tc>
        <w:tc>
          <w:tcPr>
            <w:tcW w:w="1134" w:type="dxa"/>
            <w:shd w:val="clear" w:color="auto" w:fill="auto"/>
            <w:noWrap/>
            <w:hideMark/>
          </w:tcPr>
          <w:p w14:paraId="2B6FE3B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86,08</w:t>
            </w:r>
          </w:p>
        </w:tc>
        <w:tc>
          <w:tcPr>
            <w:tcW w:w="992" w:type="dxa"/>
            <w:shd w:val="clear" w:color="auto" w:fill="auto"/>
            <w:noWrap/>
            <w:hideMark/>
          </w:tcPr>
          <w:p w14:paraId="7E804DE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-13,92</w:t>
            </w:r>
          </w:p>
        </w:tc>
      </w:tr>
      <w:tr w:rsidR="00FA5792" w:rsidRPr="006E1680" w14:paraId="66665CCE" w14:textId="77777777" w:rsidTr="00BA3CA8">
        <w:trPr>
          <w:trHeight w:val="255"/>
        </w:trPr>
        <w:tc>
          <w:tcPr>
            <w:tcW w:w="1134" w:type="dxa"/>
            <w:vMerge/>
            <w:tcBorders>
              <w:bottom w:val="single" w:sz="4" w:space="0" w:color="auto"/>
            </w:tcBorders>
            <w:vAlign w:val="center"/>
            <w:hideMark/>
          </w:tcPr>
          <w:p w14:paraId="2FEE0D3D"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tcBorders>
              <w:bottom w:val="single" w:sz="4" w:space="0" w:color="auto"/>
            </w:tcBorders>
            <w:shd w:val="clear" w:color="auto" w:fill="auto"/>
            <w:noWrap/>
            <w:hideMark/>
          </w:tcPr>
          <w:p w14:paraId="5A7EA58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 xml:space="preserve">среднее </w:t>
            </w:r>
          </w:p>
        </w:tc>
        <w:tc>
          <w:tcPr>
            <w:tcW w:w="708" w:type="dxa"/>
            <w:tcBorders>
              <w:bottom w:val="single" w:sz="4" w:space="0" w:color="auto"/>
            </w:tcBorders>
            <w:shd w:val="clear" w:color="auto" w:fill="auto"/>
            <w:noWrap/>
            <w:hideMark/>
          </w:tcPr>
          <w:p w14:paraId="47A18AC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1255,43</w:t>
            </w:r>
          </w:p>
        </w:tc>
        <w:tc>
          <w:tcPr>
            <w:tcW w:w="993" w:type="dxa"/>
            <w:tcBorders>
              <w:bottom w:val="single" w:sz="4" w:space="0" w:color="auto"/>
            </w:tcBorders>
            <w:shd w:val="clear" w:color="auto" w:fill="auto"/>
            <w:noWrap/>
            <w:hideMark/>
          </w:tcPr>
          <w:p w14:paraId="1B56DB5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299,17</w:t>
            </w:r>
          </w:p>
        </w:tc>
        <w:tc>
          <w:tcPr>
            <w:tcW w:w="992" w:type="dxa"/>
            <w:tcBorders>
              <w:bottom w:val="single" w:sz="4" w:space="0" w:color="auto"/>
            </w:tcBorders>
            <w:shd w:val="clear" w:color="auto" w:fill="auto"/>
            <w:noWrap/>
            <w:hideMark/>
          </w:tcPr>
          <w:p w14:paraId="6E29CF5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133,08</w:t>
            </w:r>
          </w:p>
        </w:tc>
        <w:tc>
          <w:tcPr>
            <w:tcW w:w="1276" w:type="dxa"/>
            <w:tcBorders>
              <w:bottom w:val="single" w:sz="4" w:space="0" w:color="auto"/>
            </w:tcBorders>
            <w:shd w:val="clear" w:color="auto" w:fill="auto"/>
            <w:noWrap/>
            <w:hideMark/>
          </w:tcPr>
          <w:p w14:paraId="5504B0B9"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33,08</w:t>
            </w:r>
          </w:p>
        </w:tc>
        <w:tc>
          <w:tcPr>
            <w:tcW w:w="850" w:type="dxa"/>
            <w:tcBorders>
              <w:bottom w:val="single" w:sz="4" w:space="0" w:color="auto"/>
            </w:tcBorders>
            <w:shd w:val="clear" w:color="auto" w:fill="auto"/>
            <w:noWrap/>
            <w:hideMark/>
          </w:tcPr>
          <w:p w14:paraId="2FFC7AF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503,00</w:t>
            </w:r>
          </w:p>
        </w:tc>
        <w:tc>
          <w:tcPr>
            <w:tcW w:w="851" w:type="dxa"/>
            <w:tcBorders>
              <w:bottom w:val="single" w:sz="4" w:space="0" w:color="auto"/>
            </w:tcBorders>
            <w:shd w:val="clear" w:color="auto" w:fill="auto"/>
            <w:noWrap/>
            <w:hideMark/>
          </w:tcPr>
          <w:p w14:paraId="0405C30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125,17</w:t>
            </w:r>
          </w:p>
        </w:tc>
        <w:tc>
          <w:tcPr>
            <w:tcW w:w="1559" w:type="dxa"/>
            <w:tcBorders>
              <w:bottom w:val="single" w:sz="4" w:space="0" w:color="auto"/>
            </w:tcBorders>
            <w:shd w:val="clear" w:color="auto" w:fill="auto"/>
            <w:noWrap/>
            <w:hideMark/>
          </w:tcPr>
          <w:p w14:paraId="6C16A11A"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136,41</w:t>
            </w:r>
          </w:p>
        </w:tc>
        <w:tc>
          <w:tcPr>
            <w:tcW w:w="992" w:type="dxa"/>
            <w:tcBorders>
              <w:bottom w:val="single" w:sz="4" w:space="0" w:color="auto"/>
            </w:tcBorders>
            <w:shd w:val="clear" w:color="auto" w:fill="auto"/>
            <w:noWrap/>
            <w:hideMark/>
          </w:tcPr>
          <w:p w14:paraId="3B2F54F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36,41</w:t>
            </w:r>
          </w:p>
        </w:tc>
        <w:tc>
          <w:tcPr>
            <w:tcW w:w="709" w:type="dxa"/>
            <w:tcBorders>
              <w:bottom w:val="single" w:sz="4" w:space="0" w:color="auto"/>
            </w:tcBorders>
            <w:shd w:val="clear" w:color="auto" w:fill="auto"/>
            <w:noWrap/>
            <w:hideMark/>
          </w:tcPr>
          <w:p w14:paraId="21DA43A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752,43</w:t>
            </w:r>
          </w:p>
        </w:tc>
        <w:tc>
          <w:tcPr>
            <w:tcW w:w="1134" w:type="dxa"/>
            <w:tcBorders>
              <w:bottom w:val="single" w:sz="4" w:space="0" w:color="auto"/>
            </w:tcBorders>
            <w:shd w:val="clear" w:color="auto" w:fill="auto"/>
            <w:noWrap/>
            <w:hideMark/>
          </w:tcPr>
          <w:p w14:paraId="4D61DD3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181,00</w:t>
            </w:r>
          </w:p>
        </w:tc>
        <w:tc>
          <w:tcPr>
            <w:tcW w:w="1134" w:type="dxa"/>
            <w:tcBorders>
              <w:bottom w:val="single" w:sz="4" w:space="0" w:color="auto"/>
            </w:tcBorders>
            <w:shd w:val="clear" w:color="auto" w:fill="auto"/>
            <w:noWrap/>
            <w:hideMark/>
          </w:tcPr>
          <w:p w14:paraId="3E7083B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131,10</w:t>
            </w:r>
          </w:p>
        </w:tc>
        <w:tc>
          <w:tcPr>
            <w:tcW w:w="992" w:type="dxa"/>
            <w:tcBorders>
              <w:bottom w:val="single" w:sz="4" w:space="0" w:color="auto"/>
            </w:tcBorders>
            <w:shd w:val="clear" w:color="auto" w:fill="auto"/>
            <w:noWrap/>
            <w:hideMark/>
          </w:tcPr>
          <w:p w14:paraId="7D7AADB1"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31,10</w:t>
            </w:r>
          </w:p>
        </w:tc>
      </w:tr>
      <w:tr w:rsidR="00077E0F" w:rsidRPr="006E1680" w14:paraId="70D9E7E6" w14:textId="77777777" w:rsidTr="00BA3CA8">
        <w:trPr>
          <w:trHeight w:val="255"/>
        </w:trPr>
        <w:tc>
          <w:tcPr>
            <w:tcW w:w="1134" w:type="dxa"/>
            <w:vMerge w:val="restart"/>
            <w:shd w:val="clear" w:color="auto" w:fill="auto"/>
            <w:noWrap/>
            <w:hideMark/>
          </w:tcPr>
          <w:p w14:paraId="00032E45"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Турксибский</w:t>
            </w:r>
          </w:p>
        </w:tc>
        <w:tc>
          <w:tcPr>
            <w:tcW w:w="993" w:type="dxa"/>
            <w:shd w:val="clear" w:color="auto" w:fill="auto"/>
            <w:noWrap/>
            <w:hideMark/>
          </w:tcPr>
          <w:p w14:paraId="1512C1F8"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2012</w:t>
            </w:r>
          </w:p>
        </w:tc>
        <w:tc>
          <w:tcPr>
            <w:tcW w:w="708" w:type="dxa"/>
            <w:shd w:val="clear" w:color="auto" w:fill="auto"/>
            <w:hideMark/>
          </w:tcPr>
          <w:p w14:paraId="0BA803B7"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3168</w:t>
            </w:r>
          </w:p>
        </w:tc>
        <w:tc>
          <w:tcPr>
            <w:tcW w:w="993" w:type="dxa"/>
            <w:shd w:val="clear" w:color="auto" w:fill="auto"/>
            <w:noWrap/>
            <w:hideMark/>
          </w:tcPr>
          <w:p w14:paraId="47A342C2" w14:textId="5290AD54" w:rsidR="00077E0F" w:rsidRPr="006E1680" w:rsidRDefault="00077E0F" w:rsidP="00077E0F">
            <w:pPr>
              <w:spacing w:after="0" w:line="240" w:lineRule="auto"/>
              <w:jc w:val="center"/>
              <w:rPr>
                <w:rFonts w:ascii="Times New Roman" w:eastAsia="Times New Roman" w:hAnsi="Times New Roman" w:cs="Times New Roman"/>
                <w:sz w:val="24"/>
                <w:szCs w:val="24"/>
              </w:rPr>
            </w:pPr>
            <w:r w:rsidRPr="003176A3">
              <w:rPr>
                <w:rFonts w:ascii="Times New Roman" w:eastAsia="Times New Roman" w:hAnsi="Times New Roman" w:cs="Times New Roman"/>
                <w:sz w:val="24"/>
                <w:szCs w:val="24"/>
              </w:rPr>
              <w:t>-</w:t>
            </w:r>
          </w:p>
        </w:tc>
        <w:tc>
          <w:tcPr>
            <w:tcW w:w="992" w:type="dxa"/>
            <w:shd w:val="clear" w:color="auto" w:fill="auto"/>
            <w:noWrap/>
            <w:hideMark/>
          </w:tcPr>
          <w:p w14:paraId="5D44E24E" w14:textId="71C74887" w:rsidR="00077E0F" w:rsidRPr="006E1680" w:rsidRDefault="00077E0F" w:rsidP="00077E0F">
            <w:pPr>
              <w:spacing w:after="0" w:line="240" w:lineRule="auto"/>
              <w:jc w:val="center"/>
              <w:rPr>
                <w:rFonts w:ascii="Times New Roman" w:eastAsia="Times New Roman" w:hAnsi="Times New Roman" w:cs="Times New Roman"/>
                <w:sz w:val="24"/>
                <w:szCs w:val="24"/>
              </w:rPr>
            </w:pPr>
            <w:r w:rsidRPr="003176A3">
              <w:rPr>
                <w:rFonts w:ascii="Times New Roman" w:eastAsia="Times New Roman" w:hAnsi="Times New Roman" w:cs="Times New Roman"/>
                <w:sz w:val="24"/>
                <w:szCs w:val="24"/>
              </w:rPr>
              <w:t>-</w:t>
            </w:r>
          </w:p>
        </w:tc>
        <w:tc>
          <w:tcPr>
            <w:tcW w:w="1276" w:type="dxa"/>
            <w:shd w:val="clear" w:color="auto" w:fill="auto"/>
            <w:noWrap/>
            <w:hideMark/>
          </w:tcPr>
          <w:p w14:paraId="36AAB9FB" w14:textId="10D26D80" w:rsidR="00077E0F" w:rsidRPr="006E1680" w:rsidRDefault="00077E0F" w:rsidP="00077E0F">
            <w:pPr>
              <w:spacing w:after="0" w:line="240" w:lineRule="auto"/>
              <w:jc w:val="center"/>
              <w:rPr>
                <w:rFonts w:ascii="Times New Roman" w:eastAsia="Times New Roman" w:hAnsi="Times New Roman" w:cs="Times New Roman"/>
                <w:sz w:val="24"/>
                <w:szCs w:val="24"/>
              </w:rPr>
            </w:pPr>
            <w:r w:rsidRPr="003176A3">
              <w:rPr>
                <w:rFonts w:ascii="Times New Roman" w:eastAsia="Times New Roman" w:hAnsi="Times New Roman" w:cs="Times New Roman"/>
                <w:sz w:val="24"/>
                <w:szCs w:val="24"/>
              </w:rPr>
              <w:t>-</w:t>
            </w:r>
          </w:p>
        </w:tc>
        <w:tc>
          <w:tcPr>
            <w:tcW w:w="850" w:type="dxa"/>
            <w:shd w:val="clear" w:color="auto" w:fill="auto"/>
            <w:hideMark/>
          </w:tcPr>
          <w:p w14:paraId="4EAD9E63"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888</w:t>
            </w:r>
          </w:p>
        </w:tc>
        <w:tc>
          <w:tcPr>
            <w:tcW w:w="851" w:type="dxa"/>
            <w:shd w:val="clear" w:color="auto" w:fill="auto"/>
            <w:noWrap/>
            <w:hideMark/>
          </w:tcPr>
          <w:p w14:paraId="75A20B63" w14:textId="02ACD66A" w:rsidR="00077E0F" w:rsidRPr="006E1680" w:rsidRDefault="00077E0F" w:rsidP="00077E0F">
            <w:pPr>
              <w:spacing w:after="0" w:line="240" w:lineRule="auto"/>
              <w:jc w:val="center"/>
              <w:rPr>
                <w:rFonts w:ascii="Times New Roman" w:eastAsia="Times New Roman" w:hAnsi="Times New Roman" w:cs="Times New Roman"/>
                <w:sz w:val="24"/>
                <w:szCs w:val="24"/>
              </w:rPr>
            </w:pPr>
            <w:r w:rsidRPr="00815D8F">
              <w:rPr>
                <w:rFonts w:ascii="Times New Roman" w:eastAsia="Times New Roman" w:hAnsi="Times New Roman" w:cs="Times New Roman"/>
                <w:sz w:val="24"/>
                <w:szCs w:val="24"/>
              </w:rPr>
              <w:t>-</w:t>
            </w:r>
          </w:p>
        </w:tc>
        <w:tc>
          <w:tcPr>
            <w:tcW w:w="1559" w:type="dxa"/>
            <w:shd w:val="clear" w:color="auto" w:fill="auto"/>
            <w:noWrap/>
            <w:hideMark/>
          </w:tcPr>
          <w:p w14:paraId="649BC37B" w14:textId="3BAA5ACD" w:rsidR="00077E0F" w:rsidRPr="006E1680" w:rsidRDefault="00077E0F" w:rsidP="00077E0F">
            <w:pPr>
              <w:spacing w:after="0" w:line="240" w:lineRule="auto"/>
              <w:jc w:val="center"/>
              <w:rPr>
                <w:rFonts w:ascii="Times New Roman" w:eastAsia="Times New Roman" w:hAnsi="Times New Roman" w:cs="Times New Roman"/>
                <w:sz w:val="24"/>
                <w:szCs w:val="24"/>
              </w:rPr>
            </w:pPr>
            <w:r w:rsidRPr="00815D8F">
              <w:rPr>
                <w:rFonts w:ascii="Times New Roman" w:eastAsia="Times New Roman" w:hAnsi="Times New Roman" w:cs="Times New Roman"/>
                <w:sz w:val="24"/>
                <w:szCs w:val="24"/>
              </w:rPr>
              <w:t>-</w:t>
            </w:r>
          </w:p>
        </w:tc>
        <w:tc>
          <w:tcPr>
            <w:tcW w:w="992" w:type="dxa"/>
            <w:shd w:val="clear" w:color="auto" w:fill="auto"/>
            <w:noWrap/>
            <w:hideMark/>
          </w:tcPr>
          <w:p w14:paraId="46A742E4" w14:textId="369D44CA" w:rsidR="00077E0F" w:rsidRPr="006E1680" w:rsidRDefault="00077E0F" w:rsidP="00077E0F">
            <w:pPr>
              <w:spacing w:after="0" w:line="240" w:lineRule="auto"/>
              <w:jc w:val="center"/>
              <w:rPr>
                <w:rFonts w:ascii="Times New Roman" w:eastAsia="Times New Roman" w:hAnsi="Times New Roman" w:cs="Times New Roman"/>
                <w:sz w:val="24"/>
                <w:szCs w:val="24"/>
              </w:rPr>
            </w:pPr>
            <w:r w:rsidRPr="00815D8F">
              <w:rPr>
                <w:rFonts w:ascii="Times New Roman" w:eastAsia="Times New Roman" w:hAnsi="Times New Roman" w:cs="Times New Roman"/>
                <w:sz w:val="24"/>
                <w:szCs w:val="24"/>
              </w:rPr>
              <w:t>-</w:t>
            </w:r>
          </w:p>
        </w:tc>
        <w:tc>
          <w:tcPr>
            <w:tcW w:w="709" w:type="dxa"/>
            <w:shd w:val="clear" w:color="auto" w:fill="auto"/>
            <w:hideMark/>
          </w:tcPr>
          <w:p w14:paraId="19BDEC50" w14:textId="77777777" w:rsidR="00077E0F" w:rsidRPr="006E1680" w:rsidRDefault="00077E0F" w:rsidP="00077E0F">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2280</w:t>
            </w:r>
          </w:p>
        </w:tc>
        <w:tc>
          <w:tcPr>
            <w:tcW w:w="1134" w:type="dxa"/>
            <w:shd w:val="clear" w:color="auto" w:fill="auto"/>
            <w:noWrap/>
            <w:hideMark/>
          </w:tcPr>
          <w:p w14:paraId="261F777B" w14:textId="33386A0A" w:rsidR="00077E0F" w:rsidRPr="006E1680" w:rsidRDefault="00077E0F" w:rsidP="00077E0F">
            <w:pPr>
              <w:spacing w:after="0" w:line="240" w:lineRule="auto"/>
              <w:jc w:val="center"/>
              <w:rPr>
                <w:rFonts w:ascii="Times New Roman" w:eastAsia="Times New Roman" w:hAnsi="Times New Roman" w:cs="Times New Roman"/>
                <w:sz w:val="24"/>
                <w:szCs w:val="24"/>
              </w:rPr>
            </w:pPr>
            <w:r w:rsidRPr="00083B14">
              <w:rPr>
                <w:rFonts w:ascii="Times New Roman" w:eastAsia="Times New Roman" w:hAnsi="Times New Roman" w:cs="Times New Roman"/>
                <w:sz w:val="24"/>
                <w:szCs w:val="24"/>
              </w:rPr>
              <w:t>-</w:t>
            </w:r>
          </w:p>
        </w:tc>
        <w:tc>
          <w:tcPr>
            <w:tcW w:w="1134" w:type="dxa"/>
            <w:shd w:val="clear" w:color="auto" w:fill="auto"/>
            <w:noWrap/>
            <w:hideMark/>
          </w:tcPr>
          <w:p w14:paraId="203768ED" w14:textId="00444EBC" w:rsidR="00077E0F" w:rsidRPr="006E1680" w:rsidRDefault="00077E0F" w:rsidP="00077E0F">
            <w:pPr>
              <w:spacing w:after="0" w:line="240" w:lineRule="auto"/>
              <w:jc w:val="center"/>
              <w:rPr>
                <w:rFonts w:ascii="Times New Roman" w:eastAsia="Times New Roman" w:hAnsi="Times New Roman" w:cs="Times New Roman"/>
                <w:sz w:val="24"/>
                <w:szCs w:val="24"/>
              </w:rPr>
            </w:pPr>
            <w:r w:rsidRPr="00083B14">
              <w:rPr>
                <w:rFonts w:ascii="Times New Roman" w:eastAsia="Times New Roman" w:hAnsi="Times New Roman" w:cs="Times New Roman"/>
                <w:sz w:val="24"/>
                <w:szCs w:val="24"/>
              </w:rPr>
              <w:t>-</w:t>
            </w:r>
          </w:p>
        </w:tc>
        <w:tc>
          <w:tcPr>
            <w:tcW w:w="992" w:type="dxa"/>
            <w:shd w:val="clear" w:color="auto" w:fill="auto"/>
            <w:noWrap/>
            <w:hideMark/>
          </w:tcPr>
          <w:p w14:paraId="08C10B44" w14:textId="5D2437D2" w:rsidR="00077E0F" w:rsidRPr="006E1680" w:rsidRDefault="00077E0F" w:rsidP="00077E0F">
            <w:pPr>
              <w:spacing w:after="0" w:line="240" w:lineRule="auto"/>
              <w:jc w:val="center"/>
              <w:rPr>
                <w:rFonts w:ascii="Times New Roman" w:eastAsia="Times New Roman" w:hAnsi="Times New Roman" w:cs="Times New Roman"/>
                <w:sz w:val="24"/>
                <w:szCs w:val="24"/>
              </w:rPr>
            </w:pPr>
            <w:r w:rsidRPr="00083B14">
              <w:rPr>
                <w:rFonts w:ascii="Times New Roman" w:eastAsia="Times New Roman" w:hAnsi="Times New Roman" w:cs="Times New Roman"/>
                <w:sz w:val="24"/>
                <w:szCs w:val="24"/>
              </w:rPr>
              <w:t>-</w:t>
            </w:r>
          </w:p>
        </w:tc>
      </w:tr>
      <w:tr w:rsidR="00FA5792" w:rsidRPr="006E1680" w14:paraId="4BEBF1C5" w14:textId="77777777" w:rsidTr="00BA3CA8">
        <w:trPr>
          <w:trHeight w:val="255"/>
        </w:trPr>
        <w:tc>
          <w:tcPr>
            <w:tcW w:w="1134" w:type="dxa"/>
            <w:vMerge/>
            <w:vAlign w:val="center"/>
            <w:hideMark/>
          </w:tcPr>
          <w:p w14:paraId="72A2453C"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5646F12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2013</w:t>
            </w:r>
          </w:p>
        </w:tc>
        <w:tc>
          <w:tcPr>
            <w:tcW w:w="708" w:type="dxa"/>
            <w:shd w:val="clear" w:color="auto" w:fill="auto"/>
            <w:hideMark/>
          </w:tcPr>
          <w:p w14:paraId="7A9F383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3296</w:t>
            </w:r>
          </w:p>
        </w:tc>
        <w:tc>
          <w:tcPr>
            <w:tcW w:w="993" w:type="dxa"/>
            <w:shd w:val="clear" w:color="auto" w:fill="auto"/>
            <w:noWrap/>
            <w:hideMark/>
          </w:tcPr>
          <w:p w14:paraId="493C934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128,00</w:t>
            </w:r>
          </w:p>
        </w:tc>
        <w:tc>
          <w:tcPr>
            <w:tcW w:w="992" w:type="dxa"/>
            <w:shd w:val="clear" w:color="auto" w:fill="auto"/>
            <w:noWrap/>
            <w:hideMark/>
          </w:tcPr>
          <w:p w14:paraId="33EA3FC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51,61</w:t>
            </w:r>
          </w:p>
        </w:tc>
        <w:tc>
          <w:tcPr>
            <w:tcW w:w="1276" w:type="dxa"/>
            <w:shd w:val="clear" w:color="auto" w:fill="auto"/>
            <w:noWrap/>
            <w:hideMark/>
          </w:tcPr>
          <w:p w14:paraId="3C9E090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-48,39</w:t>
            </w:r>
          </w:p>
        </w:tc>
        <w:tc>
          <w:tcPr>
            <w:tcW w:w="850" w:type="dxa"/>
            <w:shd w:val="clear" w:color="auto" w:fill="auto"/>
            <w:hideMark/>
          </w:tcPr>
          <w:p w14:paraId="15CDAA9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926</w:t>
            </w:r>
          </w:p>
        </w:tc>
        <w:tc>
          <w:tcPr>
            <w:tcW w:w="851" w:type="dxa"/>
            <w:shd w:val="clear" w:color="auto" w:fill="auto"/>
            <w:noWrap/>
            <w:hideMark/>
          </w:tcPr>
          <w:p w14:paraId="0E1704A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38,00</w:t>
            </w:r>
          </w:p>
        </w:tc>
        <w:tc>
          <w:tcPr>
            <w:tcW w:w="1559" w:type="dxa"/>
            <w:shd w:val="clear" w:color="auto" w:fill="auto"/>
            <w:noWrap/>
            <w:hideMark/>
          </w:tcPr>
          <w:p w14:paraId="241B512B"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44,53</w:t>
            </w:r>
          </w:p>
        </w:tc>
        <w:tc>
          <w:tcPr>
            <w:tcW w:w="992" w:type="dxa"/>
            <w:shd w:val="clear" w:color="auto" w:fill="auto"/>
            <w:noWrap/>
            <w:hideMark/>
          </w:tcPr>
          <w:p w14:paraId="47059CD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-55,47</w:t>
            </w:r>
          </w:p>
        </w:tc>
        <w:tc>
          <w:tcPr>
            <w:tcW w:w="709" w:type="dxa"/>
            <w:shd w:val="clear" w:color="auto" w:fill="auto"/>
            <w:hideMark/>
          </w:tcPr>
          <w:p w14:paraId="3D5DA84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2370</w:t>
            </w:r>
          </w:p>
        </w:tc>
        <w:tc>
          <w:tcPr>
            <w:tcW w:w="1134" w:type="dxa"/>
            <w:shd w:val="clear" w:color="auto" w:fill="auto"/>
            <w:noWrap/>
            <w:hideMark/>
          </w:tcPr>
          <w:p w14:paraId="4D0CDDD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90,00</w:t>
            </w:r>
          </w:p>
        </w:tc>
        <w:tc>
          <w:tcPr>
            <w:tcW w:w="1134" w:type="dxa"/>
            <w:shd w:val="clear" w:color="auto" w:fill="auto"/>
            <w:noWrap/>
            <w:hideMark/>
          </w:tcPr>
          <w:p w14:paraId="01A86B1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55,02</w:t>
            </w:r>
          </w:p>
        </w:tc>
        <w:tc>
          <w:tcPr>
            <w:tcW w:w="992" w:type="dxa"/>
            <w:shd w:val="clear" w:color="auto" w:fill="auto"/>
            <w:noWrap/>
            <w:hideMark/>
          </w:tcPr>
          <w:p w14:paraId="3520F1E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-44,98</w:t>
            </w:r>
          </w:p>
        </w:tc>
      </w:tr>
      <w:tr w:rsidR="00FA5792" w:rsidRPr="006E1680" w14:paraId="7268A64F" w14:textId="77777777" w:rsidTr="00BA3CA8">
        <w:trPr>
          <w:trHeight w:val="255"/>
        </w:trPr>
        <w:tc>
          <w:tcPr>
            <w:tcW w:w="1134" w:type="dxa"/>
            <w:vMerge/>
            <w:vAlign w:val="center"/>
            <w:hideMark/>
          </w:tcPr>
          <w:p w14:paraId="35A6FE47"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shd w:val="clear" w:color="auto" w:fill="auto"/>
            <w:noWrap/>
            <w:hideMark/>
          </w:tcPr>
          <w:p w14:paraId="6275B49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2014</w:t>
            </w:r>
          </w:p>
        </w:tc>
        <w:tc>
          <w:tcPr>
            <w:tcW w:w="708" w:type="dxa"/>
            <w:shd w:val="clear" w:color="auto" w:fill="auto"/>
            <w:hideMark/>
          </w:tcPr>
          <w:p w14:paraId="589D2984"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3543</w:t>
            </w:r>
          </w:p>
        </w:tc>
        <w:tc>
          <w:tcPr>
            <w:tcW w:w="993" w:type="dxa"/>
            <w:shd w:val="clear" w:color="auto" w:fill="auto"/>
            <w:noWrap/>
            <w:hideMark/>
          </w:tcPr>
          <w:p w14:paraId="204E9D0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247,00</w:t>
            </w:r>
          </w:p>
        </w:tc>
        <w:tc>
          <w:tcPr>
            <w:tcW w:w="992" w:type="dxa"/>
            <w:shd w:val="clear" w:color="auto" w:fill="auto"/>
            <w:noWrap/>
            <w:hideMark/>
          </w:tcPr>
          <w:p w14:paraId="02EBA503"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53,70</w:t>
            </w:r>
          </w:p>
        </w:tc>
        <w:tc>
          <w:tcPr>
            <w:tcW w:w="1276" w:type="dxa"/>
            <w:shd w:val="clear" w:color="auto" w:fill="auto"/>
            <w:noWrap/>
            <w:hideMark/>
          </w:tcPr>
          <w:p w14:paraId="25261AC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-46,30</w:t>
            </w:r>
          </w:p>
        </w:tc>
        <w:tc>
          <w:tcPr>
            <w:tcW w:w="850" w:type="dxa"/>
            <w:shd w:val="clear" w:color="auto" w:fill="auto"/>
            <w:hideMark/>
          </w:tcPr>
          <w:p w14:paraId="41DE81CA"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1005</w:t>
            </w:r>
          </w:p>
        </w:tc>
        <w:tc>
          <w:tcPr>
            <w:tcW w:w="851" w:type="dxa"/>
            <w:shd w:val="clear" w:color="auto" w:fill="auto"/>
            <w:noWrap/>
            <w:hideMark/>
          </w:tcPr>
          <w:p w14:paraId="1025FB0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79,00</w:t>
            </w:r>
          </w:p>
        </w:tc>
        <w:tc>
          <w:tcPr>
            <w:tcW w:w="1559" w:type="dxa"/>
            <w:shd w:val="clear" w:color="auto" w:fill="auto"/>
            <w:noWrap/>
            <w:hideMark/>
          </w:tcPr>
          <w:p w14:paraId="1C1BEA73"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46,44</w:t>
            </w:r>
          </w:p>
        </w:tc>
        <w:tc>
          <w:tcPr>
            <w:tcW w:w="992" w:type="dxa"/>
            <w:shd w:val="clear" w:color="auto" w:fill="auto"/>
            <w:noWrap/>
            <w:hideMark/>
          </w:tcPr>
          <w:p w14:paraId="75FE0C60"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-53,56</w:t>
            </w:r>
          </w:p>
        </w:tc>
        <w:tc>
          <w:tcPr>
            <w:tcW w:w="709" w:type="dxa"/>
            <w:shd w:val="clear" w:color="auto" w:fill="auto"/>
            <w:hideMark/>
          </w:tcPr>
          <w:p w14:paraId="2E2DAD7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2538</w:t>
            </w:r>
          </w:p>
        </w:tc>
        <w:tc>
          <w:tcPr>
            <w:tcW w:w="1134" w:type="dxa"/>
            <w:shd w:val="clear" w:color="auto" w:fill="auto"/>
            <w:noWrap/>
            <w:hideMark/>
          </w:tcPr>
          <w:p w14:paraId="2964B255"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168,00</w:t>
            </w:r>
          </w:p>
        </w:tc>
        <w:tc>
          <w:tcPr>
            <w:tcW w:w="1134" w:type="dxa"/>
            <w:shd w:val="clear" w:color="auto" w:fill="auto"/>
            <w:noWrap/>
            <w:hideMark/>
          </w:tcPr>
          <w:p w14:paraId="171A234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57,19</w:t>
            </w:r>
          </w:p>
        </w:tc>
        <w:tc>
          <w:tcPr>
            <w:tcW w:w="992" w:type="dxa"/>
            <w:shd w:val="clear" w:color="auto" w:fill="auto"/>
            <w:noWrap/>
            <w:hideMark/>
          </w:tcPr>
          <w:p w14:paraId="60C7F75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-42,81</w:t>
            </w:r>
          </w:p>
        </w:tc>
      </w:tr>
      <w:tr w:rsidR="00FA5792" w:rsidRPr="006E1680" w14:paraId="3E7EFF7F" w14:textId="77777777" w:rsidTr="00BA3CA8">
        <w:trPr>
          <w:trHeight w:val="255"/>
        </w:trPr>
        <w:tc>
          <w:tcPr>
            <w:tcW w:w="1134" w:type="dxa"/>
            <w:vMerge/>
            <w:tcBorders>
              <w:bottom w:val="nil"/>
            </w:tcBorders>
            <w:vAlign w:val="center"/>
            <w:hideMark/>
          </w:tcPr>
          <w:p w14:paraId="33C11F82" w14:textId="77777777" w:rsidR="00FA5792" w:rsidRPr="006E1680" w:rsidRDefault="00FA5792" w:rsidP="00FA5792">
            <w:pPr>
              <w:spacing w:after="0" w:line="240" w:lineRule="auto"/>
              <w:rPr>
                <w:rFonts w:ascii="Times New Roman" w:eastAsia="Times New Roman" w:hAnsi="Times New Roman" w:cs="Times New Roman"/>
                <w:sz w:val="24"/>
                <w:szCs w:val="24"/>
              </w:rPr>
            </w:pPr>
          </w:p>
        </w:tc>
        <w:tc>
          <w:tcPr>
            <w:tcW w:w="993" w:type="dxa"/>
            <w:tcBorders>
              <w:bottom w:val="nil"/>
            </w:tcBorders>
            <w:shd w:val="clear" w:color="auto" w:fill="auto"/>
            <w:noWrap/>
            <w:hideMark/>
          </w:tcPr>
          <w:p w14:paraId="12E28CF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2015</w:t>
            </w:r>
          </w:p>
        </w:tc>
        <w:tc>
          <w:tcPr>
            <w:tcW w:w="708" w:type="dxa"/>
            <w:tcBorders>
              <w:bottom w:val="nil"/>
            </w:tcBorders>
            <w:shd w:val="clear" w:color="auto" w:fill="auto"/>
            <w:hideMark/>
          </w:tcPr>
          <w:p w14:paraId="184728FE"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3713</w:t>
            </w:r>
          </w:p>
        </w:tc>
        <w:tc>
          <w:tcPr>
            <w:tcW w:w="993" w:type="dxa"/>
            <w:tcBorders>
              <w:bottom w:val="nil"/>
            </w:tcBorders>
            <w:shd w:val="clear" w:color="auto" w:fill="auto"/>
            <w:noWrap/>
            <w:hideMark/>
          </w:tcPr>
          <w:p w14:paraId="7CFC4766"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170,00</w:t>
            </w:r>
          </w:p>
        </w:tc>
        <w:tc>
          <w:tcPr>
            <w:tcW w:w="992" w:type="dxa"/>
            <w:tcBorders>
              <w:bottom w:val="nil"/>
            </w:tcBorders>
            <w:shd w:val="clear" w:color="auto" w:fill="auto"/>
            <w:noWrap/>
            <w:hideMark/>
          </w:tcPr>
          <w:p w14:paraId="754C1DE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57,72</w:t>
            </w:r>
          </w:p>
        </w:tc>
        <w:tc>
          <w:tcPr>
            <w:tcW w:w="1276" w:type="dxa"/>
            <w:tcBorders>
              <w:bottom w:val="nil"/>
            </w:tcBorders>
            <w:shd w:val="clear" w:color="auto" w:fill="auto"/>
            <w:noWrap/>
            <w:hideMark/>
          </w:tcPr>
          <w:p w14:paraId="0424C8F8"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-42,28</w:t>
            </w:r>
          </w:p>
        </w:tc>
        <w:tc>
          <w:tcPr>
            <w:tcW w:w="850" w:type="dxa"/>
            <w:tcBorders>
              <w:bottom w:val="nil"/>
            </w:tcBorders>
            <w:shd w:val="clear" w:color="auto" w:fill="auto"/>
            <w:hideMark/>
          </w:tcPr>
          <w:p w14:paraId="123E8AAB"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1059</w:t>
            </w:r>
          </w:p>
        </w:tc>
        <w:tc>
          <w:tcPr>
            <w:tcW w:w="851" w:type="dxa"/>
            <w:tcBorders>
              <w:bottom w:val="nil"/>
            </w:tcBorders>
            <w:shd w:val="clear" w:color="auto" w:fill="auto"/>
            <w:noWrap/>
            <w:hideMark/>
          </w:tcPr>
          <w:p w14:paraId="045A7AEC"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54,00</w:t>
            </w:r>
          </w:p>
        </w:tc>
        <w:tc>
          <w:tcPr>
            <w:tcW w:w="1559" w:type="dxa"/>
            <w:tcBorders>
              <w:bottom w:val="nil"/>
            </w:tcBorders>
            <w:shd w:val="clear" w:color="auto" w:fill="auto"/>
            <w:noWrap/>
            <w:hideMark/>
          </w:tcPr>
          <w:p w14:paraId="1E2A5713"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50,40</w:t>
            </w:r>
          </w:p>
        </w:tc>
        <w:tc>
          <w:tcPr>
            <w:tcW w:w="992" w:type="dxa"/>
            <w:tcBorders>
              <w:bottom w:val="nil"/>
            </w:tcBorders>
            <w:shd w:val="clear" w:color="auto" w:fill="auto"/>
            <w:noWrap/>
            <w:hideMark/>
          </w:tcPr>
          <w:p w14:paraId="595B353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-49,60</w:t>
            </w:r>
          </w:p>
        </w:tc>
        <w:tc>
          <w:tcPr>
            <w:tcW w:w="709" w:type="dxa"/>
            <w:tcBorders>
              <w:bottom w:val="nil"/>
            </w:tcBorders>
            <w:shd w:val="clear" w:color="auto" w:fill="auto"/>
            <w:hideMark/>
          </w:tcPr>
          <w:p w14:paraId="1B164DFD"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2654</w:t>
            </w:r>
          </w:p>
        </w:tc>
        <w:tc>
          <w:tcPr>
            <w:tcW w:w="1134" w:type="dxa"/>
            <w:tcBorders>
              <w:bottom w:val="nil"/>
            </w:tcBorders>
            <w:shd w:val="clear" w:color="auto" w:fill="auto"/>
            <w:noWrap/>
            <w:hideMark/>
          </w:tcPr>
          <w:p w14:paraId="41BA9ACF"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116,00</w:t>
            </w:r>
          </w:p>
        </w:tc>
        <w:tc>
          <w:tcPr>
            <w:tcW w:w="1134" w:type="dxa"/>
            <w:tcBorders>
              <w:bottom w:val="nil"/>
            </w:tcBorders>
            <w:shd w:val="clear" w:color="auto" w:fill="auto"/>
            <w:noWrap/>
            <w:hideMark/>
          </w:tcPr>
          <w:p w14:paraId="2ED1BE02"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61,25</w:t>
            </w:r>
          </w:p>
        </w:tc>
        <w:tc>
          <w:tcPr>
            <w:tcW w:w="992" w:type="dxa"/>
            <w:tcBorders>
              <w:bottom w:val="nil"/>
            </w:tcBorders>
            <w:shd w:val="clear" w:color="auto" w:fill="auto"/>
            <w:noWrap/>
            <w:hideMark/>
          </w:tcPr>
          <w:p w14:paraId="3F731F27" w14:textId="77777777" w:rsidR="00FA5792" w:rsidRPr="006E1680" w:rsidRDefault="00FA5792" w:rsidP="00FA5792">
            <w:pPr>
              <w:spacing w:after="0" w:line="240" w:lineRule="auto"/>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-38,75</w:t>
            </w:r>
          </w:p>
        </w:tc>
      </w:tr>
    </w:tbl>
    <w:p w14:paraId="203A91D1" w14:textId="01F8BC39" w:rsidR="00FA5792" w:rsidRDefault="00FA5792"/>
    <w:p w14:paraId="3E597A26" w14:textId="20388FB7" w:rsidR="00FA5792" w:rsidRDefault="00FA5792" w:rsidP="00FA5792">
      <w:pPr>
        <w:spacing w:after="0"/>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lastRenderedPageBreak/>
        <w:t>Продолжение таблицы 11</w:t>
      </w:r>
    </w:p>
    <w:p w14:paraId="34EE3606" w14:textId="77777777" w:rsidR="00FA5792" w:rsidRDefault="00FA5792" w:rsidP="00FA5792">
      <w:pPr>
        <w:spacing w:after="0"/>
        <w:rPr>
          <w:rFonts w:ascii="Times New Roman" w:eastAsia="Times New Roman" w:hAnsi="Times New Roman" w:cs="Times New Roman"/>
          <w:sz w:val="28"/>
          <w:szCs w:val="28"/>
        </w:rPr>
      </w:pPr>
    </w:p>
    <w:tbl>
      <w:tblPr>
        <w:tblW w:w="1431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993"/>
        <w:gridCol w:w="708"/>
        <w:gridCol w:w="993"/>
        <w:gridCol w:w="992"/>
        <w:gridCol w:w="1276"/>
        <w:gridCol w:w="850"/>
        <w:gridCol w:w="851"/>
        <w:gridCol w:w="1559"/>
        <w:gridCol w:w="992"/>
        <w:gridCol w:w="709"/>
        <w:gridCol w:w="1134"/>
        <w:gridCol w:w="1134"/>
        <w:gridCol w:w="992"/>
      </w:tblGrid>
      <w:tr w:rsidR="00FA5792" w:rsidRPr="006E1680" w14:paraId="19C56375" w14:textId="77777777" w:rsidTr="00BA3CA8">
        <w:trPr>
          <w:trHeight w:val="255"/>
        </w:trPr>
        <w:tc>
          <w:tcPr>
            <w:tcW w:w="1134" w:type="dxa"/>
            <w:vAlign w:val="center"/>
          </w:tcPr>
          <w:p w14:paraId="2184F9B4" w14:textId="44853022"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93" w:type="dxa"/>
            <w:shd w:val="clear" w:color="auto" w:fill="auto"/>
            <w:noWrap/>
          </w:tcPr>
          <w:p w14:paraId="056C3C78" w14:textId="44945DC5"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08" w:type="dxa"/>
            <w:shd w:val="clear" w:color="auto" w:fill="auto"/>
          </w:tcPr>
          <w:p w14:paraId="24588569" w14:textId="0ADE2B1B"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93" w:type="dxa"/>
            <w:shd w:val="clear" w:color="auto" w:fill="auto"/>
            <w:noWrap/>
          </w:tcPr>
          <w:p w14:paraId="7302E15C" w14:textId="08286ACD"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92" w:type="dxa"/>
            <w:shd w:val="clear" w:color="auto" w:fill="auto"/>
            <w:noWrap/>
          </w:tcPr>
          <w:p w14:paraId="508C8CEB" w14:textId="1195F299"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276" w:type="dxa"/>
            <w:shd w:val="clear" w:color="auto" w:fill="auto"/>
            <w:noWrap/>
          </w:tcPr>
          <w:p w14:paraId="3B06EF02" w14:textId="40888CEE"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50" w:type="dxa"/>
            <w:shd w:val="clear" w:color="auto" w:fill="auto"/>
          </w:tcPr>
          <w:p w14:paraId="140BFF30" w14:textId="51936CE3"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51" w:type="dxa"/>
            <w:shd w:val="clear" w:color="auto" w:fill="auto"/>
            <w:noWrap/>
          </w:tcPr>
          <w:p w14:paraId="2B4997A6" w14:textId="1FC525EC"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559" w:type="dxa"/>
            <w:shd w:val="clear" w:color="auto" w:fill="auto"/>
            <w:noWrap/>
          </w:tcPr>
          <w:p w14:paraId="414B9285" w14:textId="694C7FF6"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92" w:type="dxa"/>
            <w:shd w:val="clear" w:color="auto" w:fill="auto"/>
            <w:noWrap/>
          </w:tcPr>
          <w:p w14:paraId="0B40E2A5" w14:textId="47123E8D"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709" w:type="dxa"/>
            <w:shd w:val="clear" w:color="auto" w:fill="auto"/>
          </w:tcPr>
          <w:p w14:paraId="53437DC0" w14:textId="0B1519B8"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134" w:type="dxa"/>
            <w:shd w:val="clear" w:color="auto" w:fill="auto"/>
            <w:noWrap/>
          </w:tcPr>
          <w:p w14:paraId="5F3C1639" w14:textId="5FB71AE2"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134" w:type="dxa"/>
            <w:shd w:val="clear" w:color="auto" w:fill="auto"/>
            <w:noWrap/>
          </w:tcPr>
          <w:p w14:paraId="1F2D82FE" w14:textId="28E94A74"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92" w:type="dxa"/>
            <w:shd w:val="clear" w:color="auto" w:fill="auto"/>
            <w:noWrap/>
          </w:tcPr>
          <w:p w14:paraId="30070E89" w14:textId="7EA986CC" w:rsidR="00FA5792" w:rsidRPr="006E1680" w:rsidRDefault="00FA5792" w:rsidP="00FA579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r>
      <w:tr w:rsidR="00FA5792" w:rsidRPr="006E1680" w14:paraId="3221FCDF" w14:textId="77777777" w:rsidTr="00BA3CA8">
        <w:trPr>
          <w:trHeight w:val="255"/>
        </w:trPr>
        <w:tc>
          <w:tcPr>
            <w:tcW w:w="1134" w:type="dxa"/>
            <w:vMerge w:val="restart"/>
            <w:vAlign w:val="center"/>
            <w:hideMark/>
          </w:tcPr>
          <w:p w14:paraId="291C8D4B"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p>
        </w:tc>
        <w:tc>
          <w:tcPr>
            <w:tcW w:w="993" w:type="dxa"/>
            <w:shd w:val="clear" w:color="auto" w:fill="auto"/>
            <w:noWrap/>
            <w:hideMark/>
          </w:tcPr>
          <w:p w14:paraId="47654E23"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2016</w:t>
            </w:r>
          </w:p>
        </w:tc>
        <w:tc>
          <w:tcPr>
            <w:tcW w:w="708" w:type="dxa"/>
            <w:shd w:val="clear" w:color="auto" w:fill="auto"/>
            <w:hideMark/>
          </w:tcPr>
          <w:p w14:paraId="14737108"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4371</w:t>
            </w:r>
          </w:p>
        </w:tc>
        <w:tc>
          <w:tcPr>
            <w:tcW w:w="993" w:type="dxa"/>
            <w:shd w:val="clear" w:color="auto" w:fill="auto"/>
            <w:noWrap/>
            <w:hideMark/>
          </w:tcPr>
          <w:p w14:paraId="2BC3EAFE"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658,00</w:t>
            </w:r>
          </w:p>
        </w:tc>
        <w:tc>
          <w:tcPr>
            <w:tcW w:w="992" w:type="dxa"/>
            <w:shd w:val="clear" w:color="auto" w:fill="auto"/>
            <w:noWrap/>
            <w:hideMark/>
          </w:tcPr>
          <w:p w14:paraId="161AD6C3"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60,49</w:t>
            </w:r>
          </w:p>
        </w:tc>
        <w:tc>
          <w:tcPr>
            <w:tcW w:w="1276" w:type="dxa"/>
            <w:shd w:val="clear" w:color="auto" w:fill="auto"/>
            <w:noWrap/>
            <w:hideMark/>
          </w:tcPr>
          <w:p w14:paraId="1EADAB11"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-39,51</w:t>
            </w:r>
          </w:p>
        </w:tc>
        <w:tc>
          <w:tcPr>
            <w:tcW w:w="850" w:type="dxa"/>
            <w:shd w:val="clear" w:color="auto" w:fill="auto"/>
            <w:hideMark/>
          </w:tcPr>
          <w:p w14:paraId="078875CF"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1301</w:t>
            </w:r>
          </w:p>
        </w:tc>
        <w:tc>
          <w:tcPr>
            <w:tcW w:w="851" w:type="dxa"/>
            <w:shd w:val="clear" w:color="auto" w:fill="auto"/>
            <w:noWrap/>
            <w:hideMark/>
          </w:tcPr>
          <w:p w14:paraId="191C3661"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242,00</w:t>
            </w:r>
          </w:p>
        </w:tc>
        <w:tc>
          <w:tcPr>
            <w:tcW w:w="1559" w:type="dxa"/>
            <w:shd w:val="clear" w:color="auto" w:fill="auto"/>
            <w:noWrap/>
            <w:hideMark/>
          </w:tcPr>
          <w:p w14:paraId="6A5EF935"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53,11</w:t>
            </w:r>
          </w:p>
        </w:tc>
        <w:tc>
          <w:tcPr>
            <w:tcW w:w="992" w:type="dxa"/>
            <w:shd w:val="clear" w:color="auto" w:fill="auto"/>
            <w:noWrap/>
            <w:hideMark/>
          </w:tcPr>
          <w:p w14:paraId="588B5B84"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-46,89</w:t>
            </w:r>
          </w:p>
        </w:tc>
        <w:tc>
          <w:tcPr>
            <w:tcW w:w="709" w:type="dxa"/>
            <w:shd w:val="clear" w:color="auto" w:fill="auto"/>
            <w:hideMark/>
          </w:tcPr>
          <w:p w14:paraId="7542BB0E"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3070</w:t>
            </w:r>
          </w:p>
        </w:tc>
        <w:tc>
          <w:tcPr>
            <w:tcW w:w="1134" w:type="dxa"/>
            <w:shd w:val="clear" w:color="auto" w:fill="auto"/>
            <w:noWrap/>
            <w:hideMark/>
          </w:tcPr>
          <w:p w14:paraId="1C0EFBB4"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416,00</w:t>
            </w:r>
          </w:p>
        </w:tc>
        <w:tc>
          <w:tcPr>
            <w:tcW w:w="1134" w:type="dxa"/>
            <w:shd w:val="clear" w:color="auto" w:fill="auto"/>
            <w:noWrap/>
            <w:hideMark/>
          </w:tcPr>
          <w:p w14:paraId="05DAE65C"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64,04</w:t>
            </w:r>
          </w:p>
        </w:tc>
        <w:tc>
          <w:tcPr>
            <w:tcW w:w="992" w:type="dxa"/>
            <w:shd w:val="clear" w:color="auto" w:fill="auto"/>
            <w:noWrap/>
            <w:hideMark/>
          </w:tcPr>
          <w:p w14:paraId="39C41337"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-35,96</w:t>
            </w:r>
          </w:p>
        </w:tc>
      </w:tr>
      <w:tr w:rsidR="00FA5792" w:rsidRPr="006E1680" w14:paraId="2861AF03" w14:textId="77777777" w:rsidTr="00BA3CA8">
        <w:trPr>
          <w:trHeight w:val="255"/>
        </w:trPr>
        <w:tc>
          <w:tcPr>
            <w:tcW w:w="1134" w:type="dxa"/>
            <w:vMerge/>
            <w:vAlign w:val="center"/>
            <w:hideMark/>
          </w:tcPr>
          <w:p w14:paraId="5CEED352"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p>
        </w:tc>
        <w:tc>
          <w:tcPr>
            <w:tcW w:w="993" w:type="dxa"/>
            <w:shd w:val="clear" w:color="auto" w:fill="auto"/>
            <w:noWrap/>
            <w:hideMark/>
          </w:tcPr>
          <w:p w14:paraId="512DE899"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2017</w:t>
            </w:r>
          </w:p>
        </w:tc>
        <w:tc>
          <w:tcPr>
            <w:tcW w:w="708" w:type="dxa"/>
            <w:shd w:val="clear" w:color="auto" w:fill="auto"/>
            <w:hideMark/>
          </w:tcPr>
          <w:p w14:paraId="6941206D"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4613</w:t>
            </w:r>
          </w:p>
        </w:tc>
        <w:tc>
          <w:tcPr>
            <w:tcW w:w="993" w:type="dxa"/>
            <w:shd w:val="clear" w:color="auto" w:fill="auto"/>
            <w:noWrap/>
            <w:hideMark/>
          </w:tcPr>
          <w:p w14:paraId="0285F68E"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242,00</w:t>
            </w:r>
          </w:p>
        </w:tc>
        <w:tc>
          <w:tcPr>
            <w:tcW w:w="992" w:type="dxa"/>
            <w:shd w:val="clear" w:color="auto" w:fill="auto"/>
            <w:noWrap/>
            <w:hideMark/>
          </w:tcPr>
          <w:p w14:paraId="685049D9"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71,21</w:t>
            </w:r>
          </w:p>
        </w:tc>
        <w:tc>
          <w:tcPr>
            <w:tcW w:w="1276" w:type="dxa"/>
            <w:shd w:val="clear" w:color="auto" w:fill="auto"/>
            <w:noWrap/>
            <w:hideMark/>
          </w:tcPr>
          <w:p w14:paraId="6B2E06BD"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-28,79</w:t>
            </w:r>
          </w:p>
        </w:tc>
        <w:tc>
          <w:tcPr>
            <w:tcW w:w="850" w:type="dxa"/>
            <w:shd w:val="clear" w:color="auto" w:fill="auto"/>
            <w:hideMark/>
          </w:tcPr>
          <w:p w14:paraId="5FC569A2"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1422</w:t>
            </w:r>
          </w:p>
        </w:tc>
        <w:tc>
          <w:tcPr>
            <w:tcW w:w="851" w:type="dxa"/>
            <w:shd w:val="clear" w:color="auto" w:fill="auto"/>
            <w:noWrap/>
            <w:hideMark/>
          </w:tcPr>
          <w:p w14:paraId="33725820"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121,00</w:t>
            </w:r>
          </w:p>
        </w:tc>
        <w:tc>
          <w:tcPr>
            <w:tcW w:w="1559" w:type="dxa"/>
            <w:shd w:val="clear" w:color="auto" w:fill="auto"/>
            <w:noWrap/>
            <w:hideMark/>
          </w:tcPr>
          <w:p w14:paraId="44AB8929"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65,25</w:t>
            </w:r>
          </w:p>
        </w:tc>
        <w:tc>
          <w:tcPr>
            <w:tcW w:w="992" w:type="dxa"/>
            <w:shd w:val="clear" w:color="auto" w:fill="auto"/>
            <w:noWrap/>
            <w:hideMark/>
          </w:tcPr>
          <w:p w14:paraId="03B9B2F4"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-34,75</w:t>
            </w:r>
          </w:p>
        </w:tc>
        <w:tc>
          <w:tcPr>
            <w:tcW w:w="709" w:type="dxa"/>
            <w:shd w:val="clear" w:color="auto" w:fill="auto"/>
            <w:hideMark/>
          </w:tcPr>
          <w:p w14:paraId="0612F1F1"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3191</w:t>
            </w:r>
          </w:p>
        </w:tc>
        <w:tc>
          <w:tcPr>
            <w:tcW w:w="1134" w:type="dxa"/>
            <w:shd w:val="clear" w:color="auto" w:fill="auto"/>
            <w:noWrap/>
            <w:hideMark/>
          </w:tcPr>
          <w:p w14:paraId="1FD85FFA"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121,00</w:t>
            </w:r>
          </w:p>
        </w:tc>
        <w:tc>
          <w:tcPr>
            <w:tcW w:w="1134" w:type="dxa"/>
            <w:shd w:val="clear" w:color="auto" w:fill="auto"/>
            <w:noWrap/>
            <w:hideMark/>
          </w:tcPr>
          <w:p w14:paraId="4AE6C0DA"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74,08</w:t>
            </w:r>
          </w:p>
        </w:tc>
        <w:tc>
          <w:tcPr>
            <w:tcW w:w="992" w:type="dxa"/>
            <w:shd w:val="clear" w:color="auto" w:fill="auto"/>
            <w:noWrap/>
            <w:hideMark/>
          </w:tcPr>
          <w:p w14:paraId="11814C88"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-25,92</w:t>
            </w:r>
          </w:p>
        </w:tc>
      </w:tr>
      <w:tr w:rsidR="00FA5792" w:rsidRPr="006E1680" w14:paraId="4D17197D" w14:textId="77777777" w:rsidTr="00BA3CA8">
        <w:trPr>
          <w:trHeight w:val="255"/>
        </w:trPr>
        <w:tc>
          <w:tcPr>
            <w:tcW w:w="1134" w:type="dxa"/>
            <w:vMerge/>
            <w:vAlign w:val="center"/>
            <w:hideMark/>
          </w:tcPr>
          <w:p w14:paraId="4683C302"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p>
        </w:tc>
        <w:tc>
          <w:tcPr>
            <w:tcW w:w="993" w:type="dxa"/>
            <w:shd w:val="clear" w:color="auto" w:fill="auto"/>
            <w:noWrap/>
            <w:hideMark/>
          </w:tcPr>
          <w:p w14:paraId="47DCF10D"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2018</w:t>
            </w:r>
          </w:p>
        </w:tc>
        <w:tc>
          <w:tcPr>
            <w:tcW w:w="708" w:type="dxa"/>
            <w:shd w:val="clear" w:color="auto" w:fill="auto"/>
            <w:hideMark/>
          </w:tcPr>
          <w:p w14:paraId="02186AF3"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5230</w:t>
            </w:r>
          </w:p>
        </w:tc>
        <w:tc>
          <w:tcPr>
            <w:tcW w:w="993" w:type="dxa"/>
            <w:shd w:val="clear" w:color="auto" w:fill="auto"/>
            <w:noWrap/>
            <w:hideMark/>
          </w:tcPr>
          <w:p w14:paraId="7DCB9CFA"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617,00</w:t>
            </w:r>
          </w:p>
        </w:tc>
        <w:tc>
          <w:tcPr>
            <w:tcW w:w="992" w:type="dxa"/>
            <w:shd w:val="clear" w:color="auto" w:fill="auto"/>
            <w:noWrap/>
            <w:hideMark/>
          </w:tcPr>
          <w:p w14:paraId="07522594"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75,15</w:t>
            </w:r>
          </w:p>
        </w:tc>
        <w:tc>
          <w:tcPr>
            <w:tcW w:w="1276" w:type="dxa"/>
            <w:shd w:val="clear" w:color="auto" w:fill="auto"/>
            <w:noWrap/>
            <w:hideMark/>
          </w:tcPr>
          <w:p w14:paraId="75784174"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-24,85</w:t>
            </w:r>
          </w:p>
        </w:tc>
        <w:tc>
          <w:tcPr>
            <w:tcW w:w="850" w:type="dxa"/>
            <w:shd w:val="clear" w:color="auto" w:fill="auto"/>
            <w:hideMark/>
          </w:tcPr>
          <w:p w14:paraId="2174032B"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1634</w:t>
            </w:r>
          </w:p>
        </w:tc>
        <w:tc>
          <w:tcPr>
            <w:tcW w:w="851" w:type="dxa"/>
            <w:shd w:val="clear" w:color="auto" w:fill="auto"/>
            <w:noWrap/>
            <w:hideMark/>
          </w:tcPr>
          <w:p w14:paraId="7AAA3E31"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212,00</w:t>
            </w:r>
          </w:p>
        </w:tc>
        <w:tc>
          <w:tcPr>
            <w:tcW w:w="1559" w:type="dxa"/>
            <w:shd w:val="clear" w:color="auto" w:fill="auto"/>
            <w:noWrap/>
            <w:hideMark/>
          </w:tcPr>
          <w:p w14:paraId="7020D921"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71,31</w:t>
            </w:r>
          </w:p>
        </w:tc>
        <w:tc>
          <w:tcPr>
            <w:tcW w:w="992" w:type="dxa"/>
            <w:shd w:val="clear" w:color="auto" w:fill="auto"/>
            <w:noWrap/>
            <w:hideMark/>
          </w:tcPr>
          <w:p w14:paraId="3736C698"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-28,69</w:t>
            </w:r>
          </w:p>
        </w:tc>
        <w:tc>
          <w:tcPr>
            <w:tcW w:w="709" w:type="dxa"/>
            <w:shd w:val="clear" w:color="auto" w:fill="auto"/>
            <w:hideMark/>
          </w:tcPr>
          <w:p w14:paraId="4B6D7595"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3596</w:t>
            </w:r>
          </w:p>
        </w:tc>
        <w:tc>
          <w:tcPr>
            <w:tcW w:w="1134" w:type="dxa"/>
            <w:shd w:val="clear" w:color="auto" w:fill="auto"/>
            <w:noWrap/>
            <w:hideMark/>
          </w:tcPr>
          <w:p w14:paraId="4144B018"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405,00</w:t>
            </w:r>
          </w:p>
        </w:tc>
        <w:tc>
          <w:tcPr>
            <w:tcW w:w="1134" w:type="dxa"/>
            <w:shd w:val="clear" w:color="auto" w:fill="auto"/>
            <w:noWrap/>
            <w:hideMark/>
          </w:tcPr>
          <w:p w14:paraId="03244FD4"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77,00</w:t>
            </w:r>
          </w:p>
        </w:tc>
        <w:tc>
          <w:tcPr>
            <w:tcW w:w="992" w:type="dxa"/>
            <w:shd w:val="clear" w:color="auto" w:fill="auto"/>
            <w:noWrap/>
            <w:hideMark/>
          </w:tcPr>
          <w:p w14:paraId="231739F4"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-23,00</w:t>
            </w:r>
          </w:p>
        </w:tc>
      </w:tr>
      <w:tr w:rsidR="00FA5792" w:rsidRPr="006E1680" w14:paraId="5AEB8A92" w14:textId="77777777" w:rsidTr="00BA3CA8">
        <w:trPr>
          <w:trHeight w:val="255"/>
        </w:trPr>
        <w:tc>
          <w:tcPr>
            <w:tcW w:w="1134" w:type="dxa"/>
            <w:vMerge/>
            <w:vAlign w:val="center"/>
            <w:hideMark/>
          </w:tcPr>
          <w:p w14:paraId="0A39A4B5"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p>
        </w:tc>
        <w:tc>
          <w:tcPr>
            <w:tcW w:w="993" w:type="dxa"/>
            <w:shd w:val="clear" w:color="auto" w:fill="auto"/>
            <w:noWrap/>
            <w:hideMark/>
          </w:tcPr>
          <w:p w14:paraId="6070747E"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2019</w:t>
            </w:r>
          </w:p>
        </w:tc>
        <w:tc>
          <w:tcPr>
            <w:tcW w:w="708" w:type="dxa"/>
            <w:shd w:val="clear" w:color="auto" w:fill="auto"/>
            <w:hideMark/>
          </w:tcPr>
          <w:p w14:paraId="5531DD37"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5835</w:t>
            </w:r>
          </w:p>
        </w:tc>
        <w:tc>
          <w:tcPr>
            <w:tcW w:w="993" w:type="dxa"/>
            <w:shd w:val="clear" w:color="auto" w:fill="auto"/>
            <w:noWrap/>
            <w:hideMark/>
          </w:tcPr>
          <w:p w14:paraId="75005FD8"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605,00</w:t>
            </w:r>
          </w:p>
        </w:tc>
        <w:tc>
          <w:tcPr>
            <w:tcW w:w="992" w:type="dxa"/>
            <w:shd w:val="clear" w:color="auto" w:fill="auto"/>
            <w:noWrap/>
            <w:hideMark/>
          </w:tcPr>
          <w:p w14:paraId="2A69CBA5"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85,21</w:t>
            </w:r>
          </w:p>
        </w:tc>
        <w:tc>
          <w:tcPr>
            <w:tcW w:w="1276" w:type="dxa"/>
            <w:shd w:val="clear" w:color="auto" w:fill="auto"/>
            <w:noWrap/>
            <w:hideMark/>
          </w:tcPr>
          <w:p w14:paraId="37B63B41"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-14,79</w:t>
            </w:r>
          </w:p>
        </w:tc>
        <w:tc>
          <w:tcPr>
            <w:tcW w:w="850" w:type="dxa"/>
            <w:shd w:val="clear" w:color="auto" w:fill="auto"/>
            <w:hideMark/>
          </w:tcPr>
          <w:p w14:paraId="650BFCEF"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1833</w:t>
            </w:r>
          </w:p>
        </w:tc>
        <w:tc>
          <w:tcPr>
            <w:tcW w:w="851" w:type="dxa"/>
            <w:shd w:val="clear" w:color="auto" w:fill="auto"/>
            <w:noWrap/>
            <w:hideMark/>
          </w:tcPr>
          <w:p w14:paraId="17F3523D"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199,00</w:t>
            </w:r>
          </w:p>
        </w:tc>
        <w:tc>
          <w:tcPr>
            <w:tcW w:w="1559" w:type="dxa"/>
            <w:shd w:val="clear" w:color="auto" w:fill="auto"/>
            <w:noWrap/>
            <w:hideMark/>
          </w:tcPr>
          <w:p w14:paraId="6CA6B9D6"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81,95</w:t>
            </w:r>
          </w:p>
        </w:tc>
        <w:tc>
          <w:tcPr>
            <w:tcW w:w="992" w:type="dxa"/>
            <w:shd w:val="clear" w:color="auto" w:fill="auto"/>
            <w:noWrap/>
            <w:hideMark/>
          </w:tcPr>
          <w:p w14:paraId="5334321D"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-18,05</w:t>
            </w:r>
          </w:p>
        </w:tc>
        <w:tc>
          <w:tcPr>
            <w:tcW w:w="709" w:type="dxa"/>
            <w:shd w:val="clear" w:color="auto" w:fill="auto"/>
            <w:hideMark/>
          </w:tcPr>
          <w:p w14:paraId="1473679E"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4002</w:t>
            </w:r>
          </w:p>
        </w:tc>
        <w:tc>
          <w:tcPr>
            <w:tcW w:w="1134" w:type="dxa"/>
            <w:shd w:val="clear" w:color="auto" w:fill="auto"/>
            <w:noWrap/>
            <w:hideMark/>
          </w:tcPr>
          <w:p w14:paraId="2A5ACD26"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406,00</w:t>
            </w:r>
          </w:p>
        </w:tc>
        <w:tc>
          <w:tcPr>
            <w:tcW w:w="1134" w:type="dxa"/>
            <w:shd w:val="clear" w:color="auto" w:fill="auto"/>
            <w:noWrap/>
            <w:hideMark/>
          </w:tcPr>
          <w:p w14:paraId="787CFFD8"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86,78</w:t>
            </w:r>
          </w:p>
        </w:tc>
        <w:tc>
          <w:tcPr>
            <w:tcW w:w="992" w:type="dxa"/>
            <w:shd w:val="clear" w:color="auto" w:fill="auto"/>
            <w:noWrap/>
            <w:hideMark/>
          </w:tcPr>
          <w:p w14:paraId="6E7007E3"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-13,22</w:t>
            </w:r>
          </w:p>
        </w:tc>
      </w:tr>
      <w:tr w:rsidR="00FA5792" w:rsidRPr="006E1680" w14:paraId="721AC4D3" w14:textId="77777777" w:rsidTr="00BA3CA8">
        <w:trPr>
          <w:trHeight w:val="255"/>
        </w:trPr>
        <w:tc>
          <w:tcPr>
            <w:tcW w:w="1134" w:type="dxa"/>
            <w:vMerge/>
            <w:vAlign w:val="center"/>
            <w:hideMark/>
          </w:tcPr>
          <w:p w14:paraId="192FEDAA"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p>
        </w:tc>
        <w:tc>
          <w:tcPr>
            <w:tcW w:w="993" w:type="dxa"/>
            <w:shd w:val="clear" w:color="auto" w:fill="auto"/>
            <w:noWrap/>
            <w:hideMark/>
          </w:tcPr>
          <w:p w14:paraId="5EBD5871"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2020</w:t>
            </w:r>
          </w:p>
        </w:tc>
        <w:tc>
          <w:tcPr>
            <w:tcW w:w="708" w:type="dxa"/>
            <w:shd w:val="clear" w:color="auto" w:fill="auto"/>
            <w:hideMark/>
          </w:tcPr>
          <w:p w14:paraId="20F6BE0B"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6095</w:t>
            </w:r>
          </w:p>
        </w:tc>
        <w:tc>
          <w:tcPr>
            <w:tcW w:w="993" w:type="dxa"/>
            <w:shd w:val="clear" w:color="auto" w:fill="auto"/>
            <w:noWrap/>
            <w:hideMark/>
          </w:tcPr>
          <w:p w14:paraId="34E5816A"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260,00</w:t>
            </w:r>
          </w:p>
        </w:tc>
        <w:tc>
          <w:tcPr>
            <w:tcW w:w="992" w:type="dxa"/>
            <w:shd w:val="clear" w:color="auto" w:fill="auto"/>
            <w:noWrap/>
            <w:hideMark/>
          </w:tcPr>
          <w:p w14:paraId="63A29C0B"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95,06</w:t>
            </w:r>
          </w:p>
        </w:tc>
        <w:tc>
          <w:tcPr>
            <w:tcW w:w="1276" w:type="dxa"/>
            <w:shd w:val="clear" w:color="auto" w:fill="auto"/>
            <w:noWrap/>
            <w:hideMark/>
          </w:tcPr>
          <w:p w14:paraId="70493858"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-4,94</w:t>
            </w:r>
          </w:p>
        </w:tc>
        <w:tc>
          <w:tcPr>
            <w:tcW w:w="850" w:type="dxa"/>
            <w:shd w:val="clear" w:color="auto" w:fill="auto"/>
            <w:hideMark/>
          </w:tcPr>
          <w:p w14:paraId="44038CD1"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1929</w:t>
            </w:r>
          </w:p>
        </w:tc>
        <w:tc>
          <w:tcPr>
            <w:tcW w:w="851" w:type="dxa"/>
            <w:shd w:val="clear" w:color="auto" w:fill="auto"/>
            <w:noWrap/>
            <w:hideMark/>
          </w:tcPr>
          <w:p w14:paraId="573E09B6"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96,00</w:t>
            </w:r>
          </w:p>
        </w:tc>
        <w:tc>
          <w:tcPr>
            <w:tcW w:w="1559" w:type="dxa"/>
            <w:shd w:val="clear" w:color="auto" w:fill="auto"/>
            <w:noWrap/>
            <w:hideMark/>
          </w:tcPr>
          <w:p w14:paraId="02077884"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91,93</w:t>
            </w:r>
          </w:p>
        </w:tc>
        <w:tc>
          <w:tcPr>
            <w:tcW w:w="992" w:type="dxa"/>
            <w:shd w:val="clear" w:color="auto" w:fill="auto"/>
            <w:noWrap/>
            <w:hideMark/>
          </w:tcPr>
          <w:p w14:paraId="73A71AEB"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-8,07</w:t>
            </w:r>
          </w:p>
        </w:tc>
        <w:tc>
          <w:tcPr>
            <w:tcW w:w="709" w:type="dxa"/>
            <w:shd w:val="clear" w:color="auto" w:fill="auto"/>
            <w:hideMark/>
          </w:tcPr>
          <w:p w14:paraId="6CC0A7B3"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4166</w:t>
            </w:r>
          </w:p>
        </w:tc>
        <w:tc>
          <w:tcPr>
            <w:tcW w:w="1134" w:type="dxa"/>
            <w:shd w:val="clear" w:color="auto" w:fill="auto"/>
            <w:noWrap/>
            <w:hideMark/>
          </w:tcPr>
          <w:p w14:paraId="35EE7863"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164,00</w:t>
            </w:r>
          </w:p>
        </w:tc>
        <w:tc>
          <w:tcPr>
            <w:tcW w:w="1134" w:type="dxa"/>
            <w:shd w:val="clear" w:color="auto" w:fill="auto"/>
            <w:noWrap/>
            <w:hideMark/>
          </w:tcPr>
          <w:p w14:paraId="188D3945"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96,57</w:t>
            </w:r>
          </w:p>
        </w:tc>
        <w:tc>
          <w:tcPr>
            <w:tcW w:w="992" w:type="dxa"/>
            <w:shd w:val="clear" w:color="auto" w:fill="auto"/>
            <w:noWrap/>
            <w:hideMark/>
          </w:tcPr>
          <w:p w14:paraId="7CDAD498"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-3,43</w:t>
            </w:r>
          </w:p>
        </w:tc>
      </w:tr>
      <w:tr w:rsidR="00FA5792" w:rsidRPr="006E1680" w14:paraId="1EA127BC" w14:textId="77777777" w:rsidTr="00BA3CA8">
        <w:trPr>
          <w:trHeight w:val="255"/>
        </w:trPr>
        <w:tc>
          <w:tcPr>
            <w:tcW w:w="1134" w:type="dxa"/>
            <w:vMerge/>
            <w:vAlign w:val="center"/>
            <w:hideMark/>
          </w:tcPr>
          <w:p w14:paraId="07FDCB5E"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p>
        </w:tc>
        <w:tc>
          <w:tcPr>
            <w:tcW w:w="993" w:type="dxa"/>
            <w:shd w:val="clear" w:color="auto" w:fill="auto"/>
            <w:noWrap/>
            <w:hideMark/>
          </w:tcPr>
          <w:p w14:paraId="2E6F7A3D"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2021</w:t>
            </w:r>
          </w:p>
        </w:tc>
        <w:tc>
          <w:tcPr>
            <w:tcW w:w="708" w:type="dxa"/>
            <w:shd w:val="clear" w:color="auto" w:fill="auto"/>
            <w:hideMark/>
          </w:tcPr>
          <w:p w14:paraId="05B14CA2"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6138</w:t>
            </w:r>
          </w:p>
        </w:tc>
        <w:tc>
          <w:tcPr>
            <w:tcW w:w="993" w:type="dxa"/>
            <w:shd w:val="clear" w:color="auto" w:fill="auto"/>
            <w:noWrap/>
            <w:hideMark/>
          </w:tcPr>
          <w:p w14:paraId="7DD5877D"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43,00</w:t>
            </w:r>
          </w:p>
        </w:tc>
        <w:tc>
          <w:tcPr>
            <w:tcW w:w="992" w:type="dxa"/>
            <w:shd w:val="clear" w:color="auto" w:fill="auto"/>
            <w:noWrap/>
            <w:hideMark/>
          </w:tcPr>
          <w:p w14:paraId="03BBBFCC"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99,30</w:t>
            </w:r>
          </w:p>
        </w:tc>
        <w:tc>
          <w:tcPr>
            <w:tcW w:w="1276" w:type="dxa"/>
            <w:shd w:val="clear" w:color="auto" w:fill="auto"/>
            <w:noWrap/>
            <w:hideMark/>
          </w:tcPr>
          <w:p w14:paraId="54B9B27A"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-0,70</w:t>
            </w:r>
          </w:p>
        </w:tc>
        <w:tc>
          <w:tcPr>
            <w:tcW w:w="850" w:type="dxa"/>
            <w:shd w:val="clear" w:color="auto" w:fill="auto"/>
            <w:hideMark/>
          </w:tcPr>
          <w:p w14:paraId="7300C317"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1994</w:t>
            </w:r>
          </w:p>
        </w:tc>
        <w:tc>
          <w:tcPr>
            <w:tcW w:w="851" w:type="dxa"/>
            <w:shd w:val="clear" w:color="auto" w:fill="auto"/>
            <w:noWrap/>
            <w:hideMark/>
          </w:tcPr>
          <w:p w14:paraId="7F494236"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65,00</w:t>
            </w:r>
          </w:p>
        </w:tc>
        <w:tc>
          <w:tcPr>
            <w:tcW w:w="1559" w:type="dxa"/>
            <w:shd w:val="clear" w:color="auto" w:fill="auto"/>
            <w:noWrap/>
            <w:hideMark/>
          </w:tcPr>
          <w:p w14:paraId="387E115F"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96,74</w:t>
            </w:r>
          </w:p>
        </w:tc>
        <w:tc>
          <w:tcPr>
            <w:tcW w:w="992" w:type="dxa"/>
            <w:shd w:val="clear" w:color="auto" w:fill="auto"/>
            <w:noWrap/>
            <w:hideMark/>
          </w:tcPr>
          <w:p w14:paraId="576D37D0"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-3,26</w:t>
            </w:r>
          </w:p>
        </w:tc>
        <w:tc>
          <w:tcPr>
            <w:tcW w:w="709" w:type="dxa"/>
            <w:shd w:val="clear" w:color="auto" w:fill="auto"/>
            <w:hideMark/>
          </w:tcPr>
          <w:p w14:paraId="1402F949"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4144</w:t>
            </w:r>
          </w:p>
        </w:tc>
        <w:tc>
          <w:tcPr>
            <w:tcW w:w="1134" w:type="dxa"/>
            <w:shd w:val="clear" w:color="auto" w:fill="auto"/>
            <w:noWrap/>
            <w:hideMark/>
          </w:tcPr>
          <w:p w14:paraId="51222D60"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-22,00</w:t>
            </w:r>
          </w:p>
        </w:tc>
        <w:tc>
          <w:tcPr>
            <w:tcW w:w="1134" w:type="dxa"/>
            <w:shd w:val="clear" w:color="auto" w:fill="auto"/>
            <w:noWrap/>
            <w:hideMark/>
          </w:tcPr>
          <w:p w14:paraId="27339D22"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100,53</w:t>
            </w:r>
          </w:p>
        </w:tc>
        <w:tc>
          <w:tcPr>
            <w:tcW w:w="992" w:type="dxa"/>
            <w:shd w:val="clear" w:color="auto" w:fill="auto"/>
            <w:noWrap/>
            <w:hideMark/>
          </w:tcPr>
          <w:p w14:paraId="021FF25A"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0,53</w:t>
            </w:r>
          </w:p>
        </w:tc>
      </w:tr>
      <w:tr w:rsidR="00FA5792" w:rsidRPr="006E1680" w14:paraId="158C876B" w14:textId="77777777" w:rsidTr="00BA3CA8">
        <w:trPr>
          <w:trHeight w:val="255"/>
        </w:trPr>
        <w:tc>
          <w:tcPr>
            <w:tcW w:w="1134" w:type="dxa"/>
            <w:vMerge/>
            <w:vAlign w:val="center"/>
            <w:hideMark/>
          </w:tcPr>
          <w:p w14:paraId="277E2441"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p>
        </w:tc>
        <w:tc>
          <w:tcPr>
            <w:tcW w:w="993" w:type="dxa"/>
            <w:shd w:val="clear" w:color="auto" w:fill="auto"/>
            <w:noWrap/>
            <w:hideMark/>
          </w:tcPr>
          <w:p w14:paraId="2D418AA3" w14:textId="517E590A"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среднее</w:t>
            </w:r>
          </w:p>
        </w:tc>
        <w:tc>
          <w:tcPr>
            <w:tcW w:w="708" w:type="dxa"/>
            <w:shd w:val="clear" w:color="auto" w:fill="auto"/>
            <w:noWrap/>
            <w:hideMark/>
          </w:tcPr>
          <w:p w14:paraId="46704B75"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4600,20</w:t>
            </w:r>
          </w:p>
        </w:tc>
        <w:tc>
          <w:tcPr>
            <w:tcW w:w="993" w:type="dxa"/>
            <w:shd w:val="clear" w:color="auto" w:fill="auto"/>
            <w:noWrap/>
            <w:hideMark/>
          </w:tcPr>
          <w:p w14:paraId="5D0BA2D7"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330,00</w:t>
            </w:r>
          </w:p>
        </w:tc>
        <w:tc>
          <w:tcPr>
            <w:tcW w:w="992" w:type="dxa"/>
            <w:shd w:val="clear" w:color="auto" w:fill="auto"/>
            <w:noWrap/>
            <w:hideMark/>
          </w:tcPr>
          <w:p w14:paraId="2272FC0E"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107,63</w:t>
            </w:r>
          </w:p>
        </w:tc>
        <w:tc>
          <w:tcPr>
            <w:tcW w:w="1276" w:type="dxa"/>
            <w:shd w:val="clear" w:color="auto" w:fill="auto"/>
            <w:noWrap/>
            <w:hideMark/>
          </w:tcPr>
          <w:p w14:paraId="303C78C8"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7,63</w:t>
            </w:r>
          </w:p>
        </w:tc>
        <w:tc>
          <w:tcPr>
            <w:tcW w:w="850" w:type="dxa"/>
            <w:shd w:val="clear" w:color="auto" w:fill="auto"/>
            <w:noWrap/>
            <w:hideMark/>
          </w:tcPr>
          <w:p w14:paraId="1AF26660"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1399,10</w:t>
            </w:r>
          </w:p>
        </w:tc>
        <w:tc>
          <w:tcPr>
            <w:tcW w:w="851" w:type="dxa"/>
            <w:shd w:val="clear" w:color="auto" w:fill="auto"/>
            <w:noWrap/>
            <w:hideMark/>
          </w:tcPr>
          <w:p w14:paraId="604E42EB"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122,89</w:t>
            </w:r>
          </w:p>
        </w:tc>
        <w:tc>
          <w:tcPr>
            <w:tcW w:w="1559" w:type="dxa"/>
            <w:shd w:val="clear" w:color="auto" w:fill="auto"/>
            <w:noWrap/>
            <w:hideMark/>
          </w:tcPr>
          <w:p w14:paraId="356A2D9A"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109,40</w:t>
            </w:r>
          </w:p>
        </w:tc>
        <w:tc>
          <w:tcPr>
            <w:tcW w:w="992" w:type="dxa"/>
            <w:shd w:val="clear" w:color="auto" w:fill="auto"/>
            <w:noWrap/>
            <w:hideMark/>
          </w:tcPr>
          <w:p w14:paraId="45644CEE"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9,40</w:t>
            </w:r>
          </w:p>
        </w:tc>
        <w:tc>
          <w:tcPr>
            <w:tcW w:w="709" w:type="dxa"/>
            <w:shd w:val="clear" w:color="auto" w:fill="auto"/>
            <w:noWrap/>
            <w:hideMark/>
          </w:tcPr>
          <w:p w14:paraId="33E81416"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3201,10</w:t>
            </w:r>
          </w:p>
        </w:tc>
        <w:tc>
          <w:tcPr>
            <w:tcW w:w="1134" w:type="dxa"/>
            <w:shd w:val="clear" w:color="auto" w:fill="auto"/>
            <w:noWrap/>
            <w:hideMark/>
          </w:tcPr>
          <w:p w14:paraId="695770B9"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207,11</w:t>
            </w:r>
          </w:p>
        </w:tc>
        <w:tc>
          <w:tcPr>
            <w:tcW w:w="1134" w:type="dxa"/>
            <w:shd w:val="clear" w:color="auto" w:fill="auto"/>
            <w:noWrap/>
            <w:hideMark/>
          </w:tcPr>
          <w:p w14:paraId="5A8C5627"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106,86</w:t>
            </w:r>
          </w:p>
        </w:tc>
        <w:tc>
          <w:tcPr>
            <w:tcW w:w="992" w:type="dxa"/>
            <w:shd w:val="clear" w:color="auto" w:fill="auto"/>
            <w:noWrap/>
            <w:hideMark/>
          </w:tcPr>
          <w:p w14:paraId="54D1F40D" w14:textId="77777777" w:rsidR="00FA5792" w:rsidRPr="006E1680" w:rsidRDefault="00FA5792" w:rsidP="00077E0F">
            <w:pPr>
              <w:spacing w:after="0" w:line="240" w:lineRule="auto"/>
              <w:jc w:val="center"/>
              <w:rPr>
                <w:rFonts w:ascii="Times New Roman" w:eastAsia="Times New Roman" w:hAnsi="Times New Roman" w:cs="Times New Roman"/>
                <w:sz w:val="24"/>
                <w:szCs w:val="24"/>
              </w:rPr>
            </w:pPr>
            <w:r w:rsidRPr="006E1680">
              <w:rPr>
                <w:rFonts w:ascii="Times New Roman" w:eastAsia="Times New Roman" w:hAnsi="Times New Roman" w:cs="Times New Roman"/>
                <w:sz w:val="24"/>
                <w:szCs w:val="24"/>
              </w:rPr>
              <w:t>6,86</w:t>
            </w:r>
          </w:p>
        </w:tc>
      </w:tr>
    </w:tbl>
    <w:p w14:paraId="4B33CE8A" w14:textId="77777777" w:rsidR="0066583A" w:rsidRPr="004135FE" w:rsidRDefault="0066583A" w:rsidP="00077E0F">
      <w:pPr>
        <w:spacing w:after="0" w:line="240" w:lineRule="auto"/>
        <w:jc w:val="center"/>
        <w:rPr>
          <w:rFonts w:ascii="Times New Roman" w:eastAsia="Times New Roman" w:hAnsi="Times New Roman" w:cs="Times New Roman"/>
          <w:sz w:val="28"/>
          <w:szCs w:val="28"/>
        </w:rPr>
      </w:pPr>
    </w:p>
    <w:p w14:paraId="1D876697" w14:textId="77777777" w:rsidR="0066583A" w:rsidRPr="004135FE" w:rsidRDefault="0066583A" w:rsidP="004135FE">
      <w:pPr>
        <w:spacing w:after="0" w:line="240" w:lineRule="auto"/>
        <w:ind w:firstLine="567"/>
        <w:jc w:val="both"/>
        <w:rPr>
          <w:rFonts w:ascii="Times New Roman" w:eastAsia="Times New Roman" w:hAnsi="Times New Roman" w:cs="Times New Roman"/>
          <w:sz w:val="28"/>
          <w:szCs w:val="28"/>
        </w:rPr>
      </w:pPr>
    </w:p>
    <w:p w14:paraId="6E777C41" w14:textId="77777777" w:rsidR="0066583A" w:rsidRPr="004135FE" w:rsidRDefault="0066583A" w:rsidP="004135FE">
      <w:pPr>
        <w:spacing w:after="0" w:line="240" w:lineRule="auto"/>
        <w:ind w:firstLine="567"/>
        <w:jc w:val="both"/>
        <w:rPr>
          <w:rFonts w:ascii="Times New Roman" w:eastAsia="Times New Roman" w:hAnsi="Times New Roman" w:cs="Times New Roman"/>
          <w:sz w:val="28"/>
          <w:szCs w:val="28"/>
        </w:rPr>
      </w:pPr>
    </w:p>
    <w:p w14:paraId="78E6BBCD" w14:textId="77777777" w:rsidR="0066583A" w:rsidRPr="004135FE" w:rsidRDefault="0066583A" w:rsidP="004135FE">
      <w:pPr>
        <w:spacing w:after="0" w:line="240" w:lineRule="auto"/>
        <w:ind w:firstLine="567"/>
        <w:jc w:val="both"/>
        <w:rPr>
          <w:rFonts w:ascii="Times New Roman" w:eastAsia="Times New Roman" w:hAnsi="Times New Roman" w:cs="Times New Roman"/>
          <w:sz w:val="28"/>
          <w:szCs w:val="28"/>
        </w:rPr>
      </w:pPr>
    </w:p>
    <w:p w14:paraId="46BFA0C8" w14:textId="77777777" w:rsidR="0066583A" w:rsidRPr="004135FE" w:rsidRDefault="0066583A" w:rsidP="004135FE">
      <w:pPr>
        <w:spacing w:after="0" w:line="240" w:lineRule="auto"/>
        <w:ind w:firstLine="567"/>
        <w:jc w:val="both"/>
        <w:rPr>
          <w:rFonts w:ascii="Times New Roman" w:eastAsia="Times New Roman" w:hAnsi="Times New Roman" w:cs="Times New Roman"/>
          <w:sz w:val="28"/>
          <w:szCs w:val="28"/>
        </w:rPr>
      </w:pPr>
    </w:p>
    <w:p w14:paraId="4087F57E" w14:textId="77777777" w:rsidR="0066583A" w:rsidRPr="004135FE" w:rsidRDefault="0066583A" w:rsidP="004135FE">
      <w:pPr>
        <w:spacing w:after="0" w:line="240" w:lineRule="auto"/>
        <w:ind w:firstLine="567"/>
        <w:jc w:val="both"/>
        <w:rPr>
          <w:rFonts w:ascii="Times New Roman" w:eastAsia="Times New Roman" w:hAnsi="Times New Roman" w:cs="Times New Roman"/>
          <w:sz w:val="28"/>
          <w:szCs w:val="28"/>
        </w:rPr>
      </w:pPr>
    </w:p>
    <w:p w14:paraId="3AE1BEA3" w14:textId="77777777" w:rsidR="0066583A" w:rsidRPr="004135FE" w:rsidRDefault="0066583A" w:rsidP="004135FE">
      <w:pPr>
        <w:spacing w:after="0" w:line="240" w:lineRule="auto"/>
        <w:ind w:firstLine="567"/>
        <w:jc w:val="both"/>
        <w:rPr>
          <w:rFonts w:ascii="Times New Roman" w:eastAsia="Times New Roman" w:hAnsi="Times New Roman" w:cs="Times New Roman"/>
          <w:sz w:val="28"/>
          <w:szCs w:val="28"/>
        </w:rPr>
      </w:pPr>
    </w:p>
    <w:p w14:paraId="015B4138" w14:textId="77777777" w:rsidR="0066583A" w:rsidRPr="004135FE" w:rsidRDefault="0066583A" w:rsidP="004135FE">
      <w:pPr>
        <w:spacing w:after="0" w:line="240" w:lineRule="auto"/>
        <w:ind w:firstLine="567"/>
        <w:jc w:val="both"/>
        <w:rPr>
          <w:rFonts w:ascii="Times New Roman" w:eastAsia="Times New Roman" w:hAnsi="Times New Roman" w:cs="Times New Roman"/>
          <w:sz w:val="28"/>
          <w:szCs w:val="28"/>
        </w:rPr>
      </w:pPr>
    </w:p>
    <w:p w14:paraId="24E1B831" w14:textId="77777777" w:rsidR="0066583A" w:rsidRPr="004135FE" w:rsidRDefault="0066583A" w:rsidP="004135FE">
      <w:pPr>
        <w:spacing w:after="0" w:line="240" w:lineRule="auto"/>
        <w:ind w:firstLine="567"/>
        <w:jc w:val="both"/>
        <w:rPr>
          <w:rFonts w:ascii="Times New Roman" w:eastAsia="Times New Roman" w:hAnsi="Times New Roman" w:cs="Times New Roman"/>
          <w:sz w:val="28"/>
          <w:szCs w:val="28"/>
        </w:rPr>
      </w:pPr>
    </w:p>
    <w:p w14:paraId="02640826" w14:textId="77777777" w:rsidR="0066583A" w:rsidRPr="004135FE" w:rsidRDefault="0066583A" w:rsidP="004135FE">
      <w:pPr>
        <w:spacing w:after="0" w:line="240" w:lineRule="auto"/>
        <w:ind w:firstLine="567"/>
        <w:jc w:val="both"/>
        <w:rPr>
          <w:rFonts w:ascii="Times New Roman" w:eastAsia="Times New Roman" w:hAnsi="Times New Roman" w:cs="Times New Roman"/>
          <w:sz w:val="28"/>
          <w:szCs w:val="28"/>
        </w:rPr>
      </w:pPr>
    </w:p>
    <w:p w14:paraId="52993856" w14:textId="77777777" w:rsidR="0066583A" w:rsidRPr="004135FE" w:rsidRDefault="0066583A" w:rsidP="004135FE">
      <w:pPr>
        <w:spacing w:after="0" w:line="240" w:lineRule="auto"/>
        <w:ind w:firstLine="567"/>
        <w:jc w:val="both"/>
        <w:rPr>
          <w:rFonts w:ascii="Times New Roman" w:eastAsia="Times New Roman" w:hAnsi="Times New Roman" w:cs="Times New Roman"/>
          <w:sz w:val="28"/>
          <w:szCs w:val="28"/>
        </w:rPr>
      </w:pPr>
    </w:p>
    <w:p w14:paraId="5B1328FA" w14:textId="77777777" w:rsidR="0066583A" w:rsidRPr="004135FE" w:rsidRDefault="0066583A" w:rsidP="004135FE">
      <w:pPr>
        <w:spacing w:after="0" w:line="240" w:lineRule="auto"/>
        <w:ind w:firstLine="567"/>
        <w:jc w:val="both"/>
        <w:rPr>
          <w:rFonts w:ascii="Times New Roman" w:eastAsia="Times New Roman" w:hAnsi="Times New Roman" w:cs="Times New Roman"/>
          <w:sz w:val="28"/>
          <w:szCs w:val="28"/>
        </w:rPr>
      </w:pPr>
    </w:p>
    <w:p w14:paraId="0917DCEF" w14:textId="77777777" w:rsidR="0066583A" w:rsidRPr="004135FE" w:rsidRDefault="0066583A" w:rsidP="004135FE">
      <w:pPr>
        <w:spacing w:after="0" w:line="240" w:lineRule="auto"/>
        <w:ind w:firstLine="567"/>
        <w:jc w:val="both"/>
        <w:rPr>
          <w:rFonts w:ascii="Times New Roman" w:eastAsia="Times New Roman" w:hAnsi="Times New Roman" w:cs="Times New Roman"/>
          <w:sz w:val="28"/>
          <w:szCs w:val="28"/>
        </w:rPr>
      </w:pPr>
    </w:p>
    <w:p w14:paraId="0AADF49D" w14:textId="77777777" w:rsidR="00890E8A" w:rsidRPr="004135FE" w:rsidRDefault="00890E8A" w:rsidP="004135FE">
      <w:pPr>
        <w:spacing w:after="0" w:line="240" w:lineRule="auto"/>
        <w:jc w:val="both"/>
        <w:rPr>
          <w:rFonts w:ascii="Times New Roman" w:hAnsi="Times New Roman" w:cs="Times New Roman"/>
          <w:b/>
          <w:bCs/>
          <w:sz w:val="28"/>
          <w:szCs w:val="28"/>
        </w:rPr>
        <w:sectPr w:rsidR="00890E8A" w:rsidRPr="004135FE" w:rsidSect="00EC71C2">
          <w:type w:val="nextColumn"/>
          <w:pgSz w:w="16838" w:h="11906" w:orient="landscape"/>
          <w:pgMar w:top="1134" w:right="851" w:bottom="1134" w:left="1701" w:header="283" w:footer="170" w:gutter="0"/>
          <w:cols w:space="708"/>
          <w:docGrid w:linePitch="360"/>
        </w:sectPr>
      </w:pPr>
    </w:p>
    <w:p w14:paraId="738375B1" w14:textId="7AEA5438" w:rsidR="0066583A" w:rsidRPr="004135FE" w:rsidRDefault="0066583A" w:rsidP="004135FE">
      <w:pPr>
        <w:spacing w:after="0" w:line="240" w:lineRule="auto"/>
        <w:jc w:val="both"/>
        <w:rPr>
          <w:rFonts w:ascii="Times New Roman" w:hAnsi="Times New Roman" w:cs="Times New Roman"/>
          <w:b/>
          <w:bCs/>
          <w:sz w:val="28"/>
          <w:szCs w:val="28"/>
        </w:rPr>
      </w:pPr>
    </w:p>
    <w:p w14:paraId="47864DB9" w14:textId="5C32F741" w:rsidR="00890E8A" w:rsidRPr="004135FE" w:rsidRDefault="00C13E50" w:rsidP="004135FE">
      <w:pPr>
        <w:spacing w:after="0" w:line="240" w:lineRule="auto"/>
        <w:ind w:firstLine="567"/>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По предоставленным отчетным данным РЦЭЗ по СД2т, наибольшие случаи </w:t>
      </w:r>
      <w:r w:rsidR="00712178" w:rsidRPr="004135FE">
        <w:rPr>
          <w:rFonts w:ascii="Times New Roman" w:eastAsia="Times New Roman" w:hAnsi="Times New Roman" w:cs="Times New Roman"/>
          <w:sz w:val="28"/>
          <w:szCs w:val="28"/>
        </w:rPr>
        <w:t>зафиксирован</w:t>
      </w:r>
      <w:r w:rsidRPr="004135FE">
        <w:rPr>
          <w:rFonts w:ascii="Times New Roman" w:eastAsia="Times New Roman" w:hAnsi="Times New Roman" w:cs="Times New Roman"/>
          <w:sz w:val="28"/>
          <w:szCs w:val="28"/>
        </w:rPr>
        <w:t xml:space="preserve"> от 40 лет (97,67%), особенно обращает внимание возраст от 65-69лет (рисунок 5).</w:t>
      </w:r>
      <w:r w:rsidR="005A1F3B" w:rsidRPr="004135FE">
        <w:rPr>
          <w:rFonts w:ascii="Times New Roman" w:eastAsia="Times New Roman" w:hAnsi="Times New Roman" w:cs="Times New Roman"/>
          <w:sz w:val="28"/>
          <w:szCs w:val="28"/>
        </w:rPr>
        <w:t xml:space="preserve"> В возрастной группе старше 70 лет всего мужчин 24,08% и женщин 75,92%, что соответствует к выводу, чем старше возраст, тем меньше мужчин с СД2т (рисунок 6).</w:t>
      </w:r>
    </w:p>
    <w:p w14:paraId="4DC4FC18" w14:textId="765F77DD" w:rsidR="0066583A" w:rsidRPr="004135FE" w:rsidRDefault="0066583A" w:rsidP="004135FE">
      <w:pPr>
        <w:spacing w:after="0" w:line="240" w:lineRule="auto"/>
        <w:ind w:firstLine="567"/>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СД2т характерен для взрослого населения, но по данным статистики мы обнаружили, что есть вероятность возникновения болезни с самого рождения.</w:t>
      </w:r>
    </w:p>
    <w:p w14:paraId="1908035B" w14:textId="16C2BB83" w:rsidR="0066583A" w:rsidRDefault="0066583A" w:rsidP="004135FE">
      <w:pPr>
        <w:spacing w:after="0" w:line="240" w:lineRule="auto"/>
        <w:ind w:firstLine="567"/>
        <w:jc w:val="both"/>
        <w:rPr>
          <w:rFonts w:ascii="Times New Roman" w:eastAsia="Times New Roman" w:hAnsi="Times New Roman" w:cs="Times New Roman"/>
          <w:sz w:val="28"/>
          <w:szCs w:val="28"/>
        </w:rPr>
      </w:pPr>
    </w:p>
    <w:p w14:paraId="47A04617" w14:textId="77777777" w:rsidR="00BA3CA8" w:rsidRPr="004135FE" w:rsidRDefault="00BA3CA8" w:rsidP="004135FE">
      <w:pPr>
        <w:spacing w:after="0" w:line="240" w:lineRule="auto"/>
        <w:ind w:firstLine="567"/>
        <w:jc w:val="both"/>
        <w:rPr>
          <w:rFonts w:ascii="Times New Roman" w:eastAsia="Times New Roman" w:hAnsi="Times New Roman" w:cs="Times New Roman"/>
          <w:sz w:val="28"/>
          <w:szCs w:val="28"/>
        </w:rPr>
      </w:pPr>
    </w:p>
    <w:p w14:paraId="63757D58" w14:textId="77777777" w:rsidR="0066583A" w:rsidRPr="004135FE" w:rsidRDefault="0066583A" w:rsidP="00FA5792">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noProof/>
          <w:sz w:val="28"/>
          <w:szCs w:val="28"/>
        </w:rPr>
        <w:drawing>
          <wp:inline distT="0" distB="0" distL="0" distR="0" wp14:anchorId="4826B8D1" wp14:editId="63D76606">
            <wp:extent cx="5508171" cy="2171700"/>
            <wp:effectExtent l="0" t="0" r="1651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0356DC2" w14:textId="77777777" w:rsidR="00FA5792" w:rsidRDefault="00FA5792" w:rsidP="00FA5792">
      <w:pPr>
        <w:spacing w:after="0" w:line="240" w:lineRule="auto"/>
        <w:jc w:val="center"/>
        <w:rPr>
          <w:rFonts w:ascii="Times New Roman" w:hAnsi="Times New Roman" w:cs="Times New Roman"/>
          <w:sz w:val="28"/>
          <w:szCs w:val="28"/>
        </w:rPr>
      </w:pPr>
    </w:p>
    <w:p w14:paraId="2D567728" w14:textId="6AADAE5B" w:rsidR="0066583A" w:rsidRDefault="0066583A" w:rsidP="00FA5792">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w:t>
      </w:r>
      <w:r w:rsidRPr="004135FE">
        <w:rPr>
          <w:rFonts w:ascii="Times New Roman" w:hAnsi="Times New Roman" w:cs="Times New Roman"/>
          <w:sz w:val="28"/>
          <w:szCs w:val="28"/>
          <w:lang w:val="kk-KZ"/>
        </w:rPr>
        <w:t>унок 5</w:t>
      </w:r>
      <w:r w:rsidRPr="004135FE">
        <w:rPr>
          <w:rFonts w:ascii="Times New Roman" w:hAnsi="Times New Roman" w:cs="Times New Roman"/>
          <w:sz w:val="28"/>
          <w:szCs w:val="28"/>
        </w:rPr>
        <w:t xml:space="preserve"> </w:t>
      </w:r>
      <w:r w:rsidR="00FA5792">
        <w:rPr>
          <w:rFonts w:ascii="Times New Roman" w:hAnsi="Times New Roman" w:cs="Times New Roman"/>
          <w:sz w:val="28"/>
          <w:szCs w:val="28"/>
        </w:rPr>
        <w:t>–</w:t>
      </w:r>
      <w:r w:rsidRPr="004135FE">
        <w:rPr>
          <w:rFonts w:ascii="Times New Roman" w:hAnsi="Times New Roman" w:cs="Times New Roman"/>
          <w:sz w:val="28"/>
          <w:szCs w:val="28"/>
        </w:rPr>
        <w:t xml:space="preserve"> Половозрастной показатель распространенности СД2т по </w:t>
      </w:r>
      <w:r w:rsidR="00FA5792">
        <w:rPr>
          <w:rFonts w:ascii="Times New Roman" w:hAnsi="Times New Roman" w:cs="Times New Roman"/>
          <w:sz w:val="28"/>
          <w:szCs w:val="28"/>
        </w:rPr>
        <w:t xml:space="preserve">                    </w:t>
      </w:r>
      <w:r w:rsidRPr="004135FE">
        <w:rPr>
          <w:rFonts w:ascii="Times New Roman" w:hAnsi="Times New Roman" w:cs="Times New Roman"/>
          <w:sz w:val="28"/>
          <w:szCs w:val="28"/>
        </w:rPr>
        <w:t>г.</w:t>
      </w:r>
      <w:r w:rsidR="00FA5792">
        <w:rPr>
          <w:rFonts w:ascii="Times New Roman" w:hAnsi="Times New Roman" w:cs="Times New Roman"/>
          <w:sz w:val="28"/>
          <w:szCs w:val="28"/>
        </w:rPr>
        <w:t xml:space="preserve"> </w:t>
      </w:r>
      <w:r w:rsidRPr="004135FE">
        <w:rPr>
          <w:rFonts w:ascii="Times New Roman" w:hAnsi="Times New Roman" w:cs="Times New Roman"/>
          <w:sz w:val="28"/>
          <w:szCs w:val="28"/>
        </w:rPr>
        <w:t>Алматы</w:t>
      </w:r>
      <w:r w:rsidR="005A1F3B" w:rsidRPr="004135FE">
        <w:rPr>
          <w:rFonts w:ascii="Times New Roman" w:hAnsi="Times New Roman" w:cs="Times New Roman"/>
          <w:sz w:val="28"/>
          <w:szCs w:val="28"/>
        </w:rPr>
        <w:t>, 2021</w:t>
      </w:r>
      <w:r w:rsidR="00FA5792">
        <w:rPr>
          <w:rFonts w:ascii="Times New Roman" w:hAnsi="Times New Roman" w:cs="Times New Roman"/>
          <w:sz w:val="28"/>
          <w:szCs w:val="28"/>
        </w:rPr>
        <w:t xml:space="preserve"> </w:t>
      </w:r>
      <w:r w:rsidR="005A1F3B" w:rsidRPr="004135FE">
        <w:rPr>
          <w:rFonts w:ascii="Times New Roman" w:hAnsi="Times New Roman" w:cs="Times New Roman"/>
          <w:sz w:val="28"/>
          <w:szCs w:val="28"/>
        </w:rPr>
        <w:t>г.</w:t>
      </w:r>
    </w:p>
    <w:p w14:paraId="2406B645" w14:textId="77777777" w:rsidR="00BA3CA8" w:rsidRPr="004135FE" w:rsidRDefault="00BA3CA8" w:rsidP="00FA5792">
      <w:pPr>
        <w:spacing w:after="0" w:line="240" w:lineRule="auto"/>
        <w:jc w:val="center"/>
        <w:rPr>
          <w:rFonts w:ascii="Times New Roman" w:hAnsi="Times New Roman" w:cs="Times New Roman"/>
          <w:sz w:val="28"/>
          <w:szCs w:val="28"/>
        </w:rPr>
      </w:pPr>
    </w:p>
    <w:p w14:paraId="6925F95E" w14:textId="77777777" w:rsidR="0066583A" w:rsidRPr="004135FE" w:rsidRDefault="0066583A" w:rsidP="004135FE">
      <w:pPr>
        <w:spacing w:after="0" w:line="240" w:lineRule="auto"/>
        <w:jc w:val="both"/>
        <w:rPr>
          <w:rFonts w:ascii="Times New Roman" w:eastAsia="Times New Roman" w:hAnsi="Times New Roman" w:cs="Times New Roman"/>
          <w:sz w:val="28"/>
          <w:szCs w:val="28"/>
        </w:rPr>
      </w:pPr>
    </w:p>
    <w:p w14:paraId="70DC820F" w14:textId="77777777" w:rsidR="0066583A" w:rsidRPr="004135FE" w:rsidRDefault="0066583A" w:rsidP="00FA5792">
      <w:pPr>
        <w:spacing w:after="0" w:line="240" w:lineRule="auto"/>
        <w:jc w:val="center"/>
        <w:rPr>
          <w:rFonts w:ascii="Times New Roman" w:hAnsi="Times New Roman" w:cs="Times New Roman"/>
          <w:sz w:val="28"/>
          <w:szCs w:val="28"/>
        </w:rPr>
      </w:pPr>
      <w:r w:rsidRPr="004135FE">
        <w:rPr>
          <w:rFonts w:ascii="Times New Roman" w:hAnsi="Times New Roman" w:cs="Times New Roman"/>
          <w:noProof/>
          <w:sz w:val="28"/>
          <w:szCs w:val="28"/>
        </w:rPr>
        <w:drawing>
          <wp:inline distT="0" distB="0" distL="0" distR="0" wp14:anchorId="0BBC948D" wp14:editId="134F8531">
            <wp:extent cx="5322842" cy="2122170"/>
            <wp:effectExtent l="0" t="0" r="11430" b="1143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8CB820D" w14:textId="77777777" w:rsidR="00FA5792" w:rsidRDefault="00FA5792" w:rsidP="00FA5792">
      <w:pPr>
        <w:spacing w:after="0" w:line="240" w:lineRule="auto"/>
        <w:jc w:val="center"/>
        <w:rPr>
          <w:rFonts w:ascii="Times New Roman" w:hAnsi="Times New Roman" w:cs="Times New Roman"/>
          <w:sz w:val="28"/>
          <w:szCs w:val="28"/>
        </w:rPr>
      </w:pPr>
    </w:p>
    <w:p w14:paraId="3C41F378" w14:textId="148805EA" w:rsidR="005A1F3B" w:rsidRPr="004135FE" w:rsidRDefault="0066583A" w:rsidP="00FA5792">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w:t>
      </w:r>
      <w:r w:rsidRPr="004135FE">
        <w:rPr>
          <w:rFonts w:ascii="Times New Roman" w:hAnsi="Times New Roman" w:cs="Times New Roman"/>
          <w:sz w:val="28"/>
          <w:szCs w:val="28"/>
          <w:lang w:val="kk-KZ"/>
        </w:rPr>
        <w:t xml:space="preserve">унок 6 </w:t>
      </w:r>
      <w:r w:rsidR="005A1F3B" w:rsidRPr="004135FE">
        <w:rPr>
          <w:rFonts w:ascii="Times New Roman" w:hAnsi="Times New Roman" w:cs="Times New Roman"/>
          <w:sz w:val="28"/>
          <w:szCs w:val="28"/>
        </w:rPr>
        <w:t>–</w:t>
      </w:r>
      <w:r w:rsidRPr="004135FE">
        <w:rPr>
          <w:rFonts w:ascii="Times New Roman" w:hAnsi="Times New Roman" w:cs="Times New Roman"/>
          <w:sz w:val="28"/>
          <w:szCs w:val="28"/>
        </w:rPr>
        <w:t xml:space="preserve"> </w:t>
      </w:r>
      <w:r w:rsidR="00712178" w:rsidRPr="004135FE">
        <w:rPr>
          <w:rFonts w:ascii="Times New Roman" w:hAnsi="Times New Roman" w:cs="Times New Roman"/>
          <w:sz w:val="28"/>
          <w:szCs w:val="28"/>
        </w:rPr>
        <w:t>Возрастное</w:t>
      </w:r>
      <w:r w:rsidR="005A1F3B" w:rsidRPr="004135FE">
        <w:rPr>
          <w:rFonts w:ascii="Times New Roman" w:hAnsi="Times New Roman" w:cs="Times New Roman"/>
          <w:sz w:val="28"/>
          <w:szCs w:val="28"/>
        </w:rPr>
        <w:t xml:space="preserve"> соотношение распространенности </w:t>
      </w:r>
      <w:r w:rsidR="00DC6C50" w:rsidRPr="004135FE">
        <w:rPr>
          <w:rFonts w:ascii="Times New Roman" w:hAnsi="Times New Roman" w:cs="Times New Roman"/>
          <w:sz w:val="28"/>
          <w:szCs w:val="28"/>
        </w:rPr>
        <w:t>СД2т по г.Алматы, 2021</w:t>
      </w:r>
      <w:r w:rsidR="00FA5792">
        <w:rPr>
          <w:rFonts w:ascii="Times New Roman" w:hAnsi="Times New Roman" w:cs="Times New Roman"/>
          <w:sz w:val="28"/>
          <w:szCs w:val="28"/>
        </w:rPr>
        <w:t xml:space="preserve"> </w:t>
      </w:r>
      <w:r w:rsidR="00DC6C50" w:rsidRPr="004135FE">
        <w:rPr>
          <w:rFonts w:ascii="Times New Roman" w:hAnsi="Times New Roman" w:cs="Times New Roman"/>
          <w:sz w:val="28"/>
          <w:szCs w:val="28"/>
        </w:rPr>
        <w:t>г</w:t>
      </w:r>
      <w:r w:rsidR="00FA5792">
        <w:rPr>
          <w:rFonts w:ascii="Times New Roman" w:hAnsi="Times New Roman" w:cs="Times New Roman"/>
          <w:sz w:val="28"/>
          <w:szCs w:val="28"/>
        </w:rPr>
        <w:t>.</w:t>
      </w:r>
      <w:r w:rsidR="00DC6C50" w:rsidRPr="004135FE">
        <w:rPr>
          <w:rFonts w:ascii="Times New Roman" w:hAnsi="Times New Roman" w:cs="Times New Roman"/>
          <w:sz w:val="28"/>
          <w:szCs w:val="28"/>
        </w:rPr>
        <w:t xml:space="preserve"> (%)</w:t>
      </w:r>
    </w:p>
    <w:p w14:paraId="15EA1E40" w14:textId="77777777" w:rsidR="0066583A" w:rsidRPr="004135FE" w:rsidRDefault="0066583A" w:rsidP="004135FE">
      <w:pPr>
        <w:spacing w:after="0" w:line="240" w:lineRule="auto"/>
        <w:ind w:firstLine="567"/>
        <w:jc w:val="both"/>
        <w:rPr>
          <w:rFonts w:ascii="Times New Roman" w:eastAsia="Times New Roman" w:hAnsi="Times New Roman" w:cs="Times New Roman"/>
          <w:b/>
          <w:sz w:val="28"/>
          <w:szCs w:val="28"/>
        </w:rPr>
      </w:pPr>
    </w:p>
    <w:p w14:paraId="2F57CB34" w14:textId="76582E21" w:rsidR="0066583A" w:rsidRPr="004135FE" w:rsidRDefault="0066583A" w:rsidP="004135FE">
      <w:pPr>
        <w:spacing w:after="0" w:line="240" w:lineRule="auto"/>
        <w:ind w:firstLine="567"/>
        <w:jc w:val="both"/>
        <w:rPr>
          <w:rFonts w:ascii="Times New Roman" w:hAnsi="Times New Roman" w:cs="Times New Roman"/>
          <w:sz w:val="28"/>
          <w:szCs w:val="28"/>
        </w:rPr>
      </w:pPr>
      <w:r w:rsidRPr="004135FE">
        <w:rPr>
          <w:rFonts w:ascii="Times New Roman" w:hAnsi="Times New Roman" w:cs="Times New Roman"/>
          <w:sz w:val="28"/>
          <w:szCs w:val="28"/>
        </w:rPr>
        <w:t>Распространенность СД2т по г.</w:t>
      </w:r>
      <w:r w:rsidR="00FA5792">
        <w:rPr>
          <w:rFonts w:ascii="Times New Roman" w:hAnsi="Times New Roman" w:cs="Times New Roman"/>
          <w:sz w:val="28"/>
          <w:szCs w:val="28"/>
        </w:rPr>
        <w:t xml:space="preserve"> </w:t>
      </w:r>
      <w:r w:rsidRPr="004135FE">
        <w:rPr>
          <w:rFonts w:ascii="Times New Roman" w:hAnsi="Times New Roman" w:cs="Times New Roman"/>
          <w:sz w:val="28"/>
          <w:szCs w:val="28"/>
        </w:rPr>
        <w:t>Алматы с 2012 по 2021 г</w:t>
      </w:r>
      <w:r w:rsidR="00FA5792">
        <w:rPr>
          <w:rFonts w:ascii="Times New Roman" w:hAnsi="Times New Roman" w:cs="Times New Roman"/>
          <w:sz w:val="28"/>
          <w:szCs w:val="28"/>
        </w:rPr>
        <w:t xml:space="preserve">. </w:t>
      </w:r>
      <w:r w:rsidRPr="004135FE">
        <w:rPr>
          <w:rFonts w:ascii="Times New Roman" w:hAnsi="Times New Roman" w:cs="Times New Roman"/>
          <w:sz w:val="28"/>
          <w:szCs w:val="28"/>
        </w:rPr>
        <w:t xml:space="preserve">выросла с </w:t>
      </w:r>
      <w:r w:rsidRPr="004135FE">
        <w:rPr>
          <w:rFonts w:ascii="Times New Roman" w:eastAsia="Times New Roman" w:hAnsi="Times New Roman" w:cs="Times New Roman"/>
          <w:sz w:val="28"/>
          <w:szCs w:val="28"/>
        </w:rPr>
        <w:t>23025</w:t>
      </w:r>
      <w:r w:rsidRPr="004135FE">
        <w:rPr>
          <w:rFonts w:ascii="Times New Roman" w:hAnsi="Times New Roman" w:cs="Times New Roman"/>
          <w:sz w:val="28"/>
          <w:szCs w:val="28"/>
        </w:rPr>
        <w:t xml:space="preserve"> человек до </w:t>
      </w:r>
      <w:r w:rsidRPr="004135FE">
        <w:rPr>
          <w:rFonts w:ascii="Times New Roman" w:eastAsia="Times New Roman" w:hAnsi="Times New Roman" w:cs="Times New Roman"/>
          <w:sz w:val="28"/>
          <w:szCs w:val="28"/>
        </w:rPr>
        <w:t>44728</w:t>
      </w:r>
      <w:r w:rsidRPr="004135FE">
        <w:rPr>
          <w:rFonts w:ascii="Times New Roman" w:hAnsi="Times New Roman" w:cs="Times New Roman"/>
          <w:sz w:val="28"/>
          <w:szCs w:val="28"/>
        </w:rPr>
        <w:t xml:space="preserve">человек (вырос с </w:t>
      </w:r>
      <w:r w:rsidRPr="004135FE">
        <w:rPr>
          <w:rFonts w:ascii="Times New Roman" w:eastAsia="Times New Roman" w:hAnsi="Times New Roman" w:cs="Times New Roman"/>
          <w:sz w:val="28"/>
          <w:szCs w:val="28"/>
        </w:rPr>
        <w:t xml:space="preserve">1654,95 </w:t>
      </w:r>
      <w:r w:rsidRPr="004135FE">
        <w:rPr>
          <w:rFonts w:ascii="Times New Roman" w:hAnsi="Times New Roman" w:cs="Times New Roman"/>
          <w:sz w:val="28"/>
          <w:szCs w:val="28"/>
        </w:rPr>
        <w:t xml:space="preserve">до </w:t>
      </w:r>
      <w:r w:rsidRPr="004135FE">
        <w:rPr>
          <w:rFonts w:ascii="Times New Roman" w:eastAsia="Times New Roman" w:hAnsi="Times New Roman" w:cs="Times New Roman"/>
          <w:sz w:val="28"/>
          <w:szCs w:val="28"/>
        </w:rPr>
        <w:t xml:space="preserve">2098,79 случаев на 100 тыс. нас.), из них мужчины с 7099 до 15424 человек (с 510,25 до 723,75 случаев на 100 тыс. нас.) и женщины с 15926 до 29304 человек (с 1144,7 до 1375,05 на 100 тыс. нас). </w:t>
      </w:r>
    </w:p>
    <w:p w14:paraId="561B4755" w14:textId="77777777" w:rsidR="0066583A" w:rsidRPr="004135FE" w:rsidRDefault="0066583A" w:rsidP="00FA5792">
      <w:pPr>
        <w:spacing w:after="0" w:line="240" w:lineRule="auto"/>
        <w:ind w:firstLine="708"/>
        <w:jc w:val="both"/>
        <w:rPr>
          <w:rFonts w:ascii="Times New Roman" w:hAnsi="Times New Roman" w:cs="Times New Roman"/>
          <w:bCs/>
          <w:sz w:val="28"/>
          <w:szCs w:val="28"/>
        </w:rPr>
      </w:pPr>
      <w:r w:rsidRPr="004135FE">
        <w:rPr>
          <w:rFonts w:ascii="Times New Roman" w:eastAsiaTheme="minorHAnsi" w:hAnsi="Times New Roman" w:cs="Times New Roman"/>
          <w:sz w:val="28"/>
          <w:szCs w:val="28"/>
          <w:lang w:eastAsia="en-US"/>
        </w:rPr>
        <w:lastRenderedPageBreak/>
        <w:t xml:space="preserve">Среди 8 районов города наибольшее количество общей заболеваемости выявлен в </w:t>
      </w:r>
      <w:r w:rsidRPr="004135FE">
        <w:rPr>
          <w:rFonts w:ascii="Times New Roman" w:eastAsia="Times New Roman" w:hAnsi="Times New Roman" w:cs="Times New Roman"/>
          <w:sz w:val="28"/>
          <w:szCs w:val="28"/>
        </w:rPr>
        <w:t xml:space="preserve">Жетысуском районе, </w:t>
      </w:r>
      <w:r w:rsidRPr="004135FE">
        <w:rPr>
          <w:rFonts w:ascii="Times New Roman" w:eastAsiaTheme="minorHAnsi" w:hAnsi="Times New Roman" w:cs="Times New Roman"/>
          <w:sz w:val="28"/>
          <w:szCs w:val="28"/>
          <w:lang w:eastAsia="en-US"/>
        </w:rPr>
        <w:t xml:space="preserve">распространенность СД2т выросла </w:t>
      </w:r>
      <w:r w:rsidRPr="004135FE">
        <w:rPr>
          <w:rFonts w:ascii="Times New Roman" w:eastAsia="Times New Roman" w:hAnsi="Times New Roman" w:cs="Times New Roman"/>
          <w:sz w:val="28"/>
          <w:szCs w:val="28"/>
        </w:rPr>
        <w:t xml:space="preserve">с </w:t>
      </w:r>
      <w:r w:rsidRPr="004135FE">
        <w:rPr>
          <w:rFonts w:ascii="Times New Roman" w:hAnsi="Times New Roman" w:cs="Times New Roman"/>
          <w:sz w:val="28"/>
          <w:szCs w:val="28"/>
        </w:rPr>
        <w:t>1523,87 до 2831,43 на 100 тыс</w:t>
      </w:r>
      <w:r w:rsidRPr="004135FE">
        <w:rPr>
          <w:rFonts w:ascii="Times New Roman" w:eastAsia="Times New Roman" w:hAnsi="Times New Roman" w:cs="Times New Roman"/>
          <w:sz w:val="28"/>
          <w:szCs w:val="28"/>
        </w:rPr>
        <w:t xml:space="preserve">. населения. </w:t>
      </w:r>
    </w:p>
    <w:p w14:paraId="6F8C5F9E" w14:textId="77777777" w:rsidR="0066583A" w:rsidRPr="004135FE" w:rsidRDefault="0066583A" w:rsidP="00FA5792">
      <w:pPr>
        <w:spacing w:after="0" w:line="240" w:lineRule="auto"/>
        <w:ind w:firstLine="708"/>
        <w:jc w:val="both"/>
        <w:rPr>
          <w:rFonts w:ascii="Times New Roman" w:eastAsia="Times New Roman" w:hAnsi="Times New Roman" w:cs="Times New Roman"/>
          <w:bCs/>
          <w:sz w:val="28"/>
          <w:szCs w:val="28"/>
        </w:rPr>
      </w:pPr>
      <w:r w:rsidRPr="004135FE">
        <w:rPr>
          <w:rFonts w:ascii="Times New Roman" w:eastAsia="Times New Roman" w:hAnsi="Times New Roman" w:cs="Times New Roman"/>
          <w:sz w:val="28"/>
          <w:szCs w:val="28"/>
        </w:rPr>
        <w:t xml:space="preserve">Динамический ряд распространённости </w:t>
      </w:r>
      <w:r w:rsidRPr="004135FE">
        <w:rPr>
          <w:rFonts w:ascii="Times New Roman" w:eastAsiaTheme="minorHAnsi" w:hAnsi="Times New Roman" w:cs="Times New Roman"/>
          <w:bCs/>
          <w:sz w:val="28"/>
          <w:szCs w:val="28"/>
          <w:lang w:eastAsia="en-US"/>
        </w:rPr>
        <w:t>СД2т по г.Алматы за 10лет выявил, что абсолютная скорость изменения ряда динамики в сторону</w:t>
      </w:r>
      <w:r w:rsidRPr="004135FE">
        <w:rPr>
          <w:rFonts w:ascii="Times New Roman" w:eastAsia="Times New Roman" w:hAnsi="Times New Roman" w:cs="Times New Roman"/>
          <w:bCs/>
          <w:sz w:val="28"/>
          <w:szCs w:val="28"/>
        </w:rPr>
        <w:t xml:space="preserve"> роста. </w:t>
      </w:r>
      <w:r w:rsidRPr="004135FE">
        <w:rPr>
          <w:rFonts w:ascii="Times New Roman" w:eastAsia="Times New Roman" w:hAnsi="Times New Roman" w:cs="Times New Roman"/>
          <w:sz w:val="28"/>
          <w:szCs w:val="28"/>
        </w:rPr>
        <w:t xml:space="preserve">Максимальный абсолютный прирост за 10 лет зафиксирован в 2019г </w:t>
      </w:r>
      <w:r w:rsidRPr="004135FE">
        <w:rPr>
          <w:rFonts w:ascii="Times New Roman" w:hAnsi="Times New Roman" w:cs="Times New Roman"/>
          <w:sz w:val="28"/>
          <w:szCs w:val="28"/>
        </w:rPr>
        <w:t>4592,00 случая</w:t>
      </w:r>
      <w:r w:rsidRPr="004135FE">
        <w:rPr>
          <w:rFonts w:ascii="Times New Roman" w:eastAsia="Times New Roman" w:hAnsi="Times New Roman" w:cs="Times New Roman"/>
          <w:sz w:val="28"/>
          <w:szCs w:val="28"/>
        </w:rPr>
        <w:t>, среди мужчин составил 1754 случая, среди женщин 2838 случая.</w:t>
      </w:r>
    </w:p>
    <w:p w14:paraId="773D2522" w14:textId="77777777" w:rsidR="0066583A" w:rsidRPr="004135FE" w:rsidRDefault="0066583A" w:rsidP="00FA5792">
      <w:pPr>
        <w:spacing w:after="0" w:line="240" w:lineRule="auto"/>
        <w:ind w:firstLine="708"/>
        <w:jc w:val="both"/>
        <w:rPr>
          <w:rFonts w:ascii="Times New Roman" w:eastAsia="Times New Roman" w:hAnsi="Times New Roman" w:cs="Times New Roman"/>
          <w:bCs/>
          <w:sz w:val="28"/>
          <w:szCs w:val="28"/>
        </w:rPr>
      </w:pPr>
      <w:r w:rsidRPr="004135FE">
        <w:rPr>
          <w:rFonts w:ascii="Times New Roman" w:eastAsia="Times New Roman" w:hAnsi="Times New Roman" w:cs="Times New Roman"/>
          <w:sz w:val="28"/>
          <w:szCs w:val="28"/>
        </w:rPr>
        <w:t xml:space="preserve">Среди всех районов наибольший </w:t>
      </w:r>
      <w:r w:rsidRPr="004135FE">
        <w:rPr>
          <w:rFonts w:ascii="Times New Roman" w:eastAsia="Times New Roman" w:hAnsi="Times New Roman" w:cs="Times New Roman"/>
          <w:bCs/>
          <w:sz w:val="28"/>
          <w:szCs w:val="28"/>
        </w:rPr>
        <w:t xml:space="preserve">абсолютный прирост </w:t>
      </w:r>
      <w:r w:rsidRPr="004135FE">
        <w:rPr>
          <w:rFonts w:ascii="Times New Roman" w:eastAsiaTheme="minorHAnsi" w:hAnsi="Times New Roman" w:cs="Times New Roman"/>
          <w:bCs/>
          <w:sz w:val="28"/>
          <w:szCs w:val="28"/>
          <w:lang w:eastAsia="en-US"/>
        </w:rPr>
        <w:t xml:space="preserve">СД 2типа </w:t>
      </w:r>
      <w:r w:rsidRPr="004135FE">
        <w:rPr>
          <w:rFonts w:ascii="Times New Roman" w:eastAsia="Times New Roman" w:hAnsi="Times New Roman" w:cs="Times New Roman"/>
          <w:bCs/>
          <w:sz w:val="28"/>
          <w:szCs w:val="28"/>
        </w:rPr>
        <w:t>в 2019г 873 случаев в</w:t>
      </w:r>
      <w:r w:rsidRPr="004135FE">
        <w:rPr>
          <w:rFonts w:ascii="Times New Roman" w:eastAsia="Times New Roman" w:hAnsi="Times New Roman" w:cs="Times New Roman"/>
          <w:sz w:val="28"/>
          <w:szCs w:val="28"/>
        </w:rPr>
        <w:t xml:space="preserve"> Бостандыкском районе</w:t>
      </w:r>
      <w:r w:rsidRPr="004135FE">
        <w:rPr>
          <w:rFonts w:ascii="Times New Roman" w:eastAsia="Times New Roman" w:hAnsi="Times New Roman" w:cs="Times New Roman"/>
          <w:bCs/>
          <w:sz w:val="28"/>
          <w:szCs w:val="28"/>
        </w:rPr>
        <w:t xml:space="preserve">, в 2020г и 2021г резкое снижение роста до </w:t>
      </w:r>
      <w:r w:rsidRPr="004135FE">
        <w:rPr>
          <w:rFonts w:ascii="Times New Roman" w:eastAsia="Times New Roman" w:hAnsi="Times New Roman" w:cs="Times New Roman"/>
          <w:sz w:val="28"/>
          <w:szCs w:val="28"/>
        </w:rPr>
        <w:t>260,00</w:t>
      </w:r>
      <w:r w:rsidRPr="004135FE">
        <w:rPr>
          <w:rFonts w:ascii="Times New Roman" w:eastAsia="Times New Roman" w:hAnsi="Times New Roman" w:cs="Times New Roman"/>
          <w:bCs/>
          <w:sz w:val="28"/>
          <w:szCs w:val="28"/>
        </w:rPr>
        <w:t xml:space="preserve"> и </w:t>
      </w:r>
      <w:r w:rsidRPr="004135FE">
        <w:rPr>
          <w:rFonts w:ascii="Times New Roman" w:eastAsia="Times New Roman" w:hAnsi="Times New Roman" w:cs="Times New Roman"/>
          <w:sz w:val="28"/>
          <w:szCs w:val="28"/>
        </w:rPr>
        <w:t xml:space="preserve">313,00 случаев (период обострения </w:t>
      </w:r>
      <w:r w:rsidRPr="004135FE">
        <w:rPr>
          <w:rFonts w:ascii="Times New Roman" w:eastAsia="Times New Roman" w:hAnsi="Times New Roman" w:cs="Times New Roman"/>
          <w:sz w:val="28"/>
          <w:szCs w:val="28"/>
          <w:lang w:val="en-US"/>
        </w:rPr>
        <w:t>Covid</w:t>
      </w:r>
      <w:r w:rsidRPr="004135FE">
        <w:rPr>
          <w:rFonts w:ascii="Times New Roman" w:eastAsia="Times New Roman" w:hAnsi="Times New Roman" w:cs="Times New Roman"/>
          <w:sz w:val="28"/>
          <w:szCs w:val="28"/>
        </w:rPr>
        <w:t xml:space="preserve">-19)  </w:t>
      </w:r>
    </w:p>
    <w:p w14:paraId="7FC6898D" w14:textId="77777777" w:rsidR="0066583A" w:rsidRPr="004135FE" w:rsidRDefault="0066583A" w:rsidP="00FA5792">
      <w:pPr>
        <w:spacing w:after="0" w:line="240" w:lineRule="auto"/>
        <w:ind w:firstLine="708"/>
        <w:jc w:val="both"/>
        <w:rPr>
          <w:rFonts w:ascii="Times New Roman" w:eastAsia="Times New Roman" w:hAnsi="Times New Roman" w:cs="Times New Roman"/>
          <w:bCs/>
          <w:sz w:val="28"/>
          <w:szCs w:val="28"/>
        </w:rPr>
      </w:pPr>
      <w:r w:rsidRPr="004135FE">
        <w:rPr>
          <w:rFonts w:ascii="Times New Roman" w:eastAsia="Times New Roman" w:hAnsi="Times New Roman" w:cs="Times New Roman"/>
          <w:sz w:val="28"/>
          <w:szCs w:val="28"/>
        </w:rPr>
        <w:t>Наибольший убыль зафиксирован в 2015г (-470,00) в Жетысуском районе, среди мужчин (-151,00) и женщин (-319,00) случаев (реформирования административно-территориального деления между соседними районами)</w:t>
      </w:r>
    </w:p>
    <w:p w14:paraId="7E97DE54" w14:textId="77777777" w:rsidR="0066583A" w:rsidRPr="004135FE" w:rsidRDefault="0066583A" w:rsidP="00FA5792">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bCs/>
          <w:sz w:val="28"/>
          <w:szCs w:val="28"/>
        </w:rPr>
        <w:t>Н</w:t>
      </w:r>
      <w:r w:rsidRPr="004135FE">
        <w:rPr>
          <w:rFonts w:ascii="Times New Roman" w:eastAsia="Times New Roman" w:hAnsi="Times New Roman" w:cs="Times New Roman"/>
          <w:sz w:val="28"/>
          <w:szCs w:val="28"/>
        </w:rPr>
        <w:t>аибольшее количество пациентов составляют возрастные группы старше 40 лет (97,67%), резкий подъем данных фиксируется от 65-69 лет и старше. Самые высокие половые различия составляют в группе старше 70 лет, мужчины 24,08% женщины 75,92%. СД2т</w:t>
      </w:r>
      <w:r w:rsidRPr="004135FE">
        <w:rPr>
          <w:rFonts w:ascii="Times New Roman" w:eastAsiaTheme="minorHAnsi" w:hAnsi="Times New Roman" w:cs="Times New Roman"/>
          <w:sz w:val="28"/>
          <w:szCs w:val="28"/>
          <w:lang w:eastAsia="en-US"/>
        </w:rPr>
        <w:t xml:space="preserve"> молодеет, было установлено распространенность среди детей начиная с возрастной группы 0-14 лет.</w:t>
      </w:r>
    </w:p>
    <w:p w14:paraId="00D2D1A5" w14:textId="7FE281E8" w:rsidR="00DC6C50" w:rsidRPr="004135FE" w:rsidRDefault="00DC6C50" w:rsidP="00FA5792">
      <w:pPr>
        <w:spacing w:after="0" w:line="240" w:lineRule="auto"/>
        <w:ind w:firstLine="708"/>
        <w:jc w:val="both"/>
        <w:rPr>
          <w:rFonts w:ascii="Times New Roman" w:eastAsia="Times New Roman" w:hAnsi="Times New Roman" w:cs="Times New Roman"/>
          <w:sz w:val="28"/>
          <w:szCs w:val="28"/>
        </w:rPr>
      </w:pPr>
    </w:p>
    <w:p w14:paraId="66D82535" w14:textId="10D50494" w:rsidR="0066583A" w:rsidRPr="004135FE" w:rsidRDefault="0066583A" w:rsidP="00FA5792">
      <w:pPr>
        <w:tabs>
          <w:tab w:val="left" w:pos="2040"/>
        </w:tabs>
        <w:spacing w:after="0" w:line="240" w:lineRule="auto"/>
        <w:ind w:firstLine="708"/>
        <w:jc w:val="both"/>
        <w:textAlignment w:val="baseline"/>
        <w:rPr>
          <w:rFonts w:ascii="Times New Roman" w:eastAsiaTheme="minorHAnsi" w:hAnsi="Times New Roman" w:cs="Times New Roman"/>
          <w:b/>
          <w:sz w:val="28"/>
          <w:szCs w:val="28"/>
          <w:lang w:eastAsia="en-US"/>
        </w:rPr>
      </w:pPr>
      <w:r w:rsidRPr="00DF3804">
        <w:rPr>
          <w:rFonts w:ascii="Times New Roman" w:eastAsiaTheme="minorHAnsi" w:hAnsi="Times New Roman" w:cs="Times New Roman"/>
          <w:b/>
          <w:sz w:val="28"/>
          <w:szCs w:val="28"/>
          <w:lang w:eastAsia="en-US"/>
        </w:rPr>
        <w:t xml:space="preserve">3.3 Стандартизированный повозрастной расчет по </w:t>
      </w:r>
      <w:r w:rsidR="00D10F5E" w:rsidRPr="00DF3804">
        <w:rPr>
          <w:rFonts w:ascii="Times New Roman" w:eastAsiaTheme="minorHAnsi" w:hAnsi="Times New Roman" w:cs="Times New Roman"/>
          <w:b/>
          <w:sz w:val="28"/>
          <w:szCs w:val="28"/>
          <w:lang w:eastAsia="en-US"/>
        </w:rPr>
        <w:t>СД2т в разрезе районов г.</w:t>
      </w:r>
      <w:r w:rsidR="00FA5792" w:rsidRPr="00DF3804">
        <w:rPr>
          <w:rFonts w:ascii="Times New Roman" w:eastAsiaTheme="minorHAnsi" w:hAnsi="Times New Roman" w:cs="Times New Roman"/>
          <w:b/>
          <w:sz w:val="28"/>
          <w:szCs w:val="28"/>
          <w:lang w:eastAsia="en-US"/>
        </w:rPr>
        <w:t xml:space="preserve"> </w:t>
      </w:r>
      <w:r w:rsidR="00D10F5E" w:rsidRPr="00DF3804">
        <w:rPr>
          <w:rFonts w:ascii="Times New Roman" w:eastAsiaTheme="minorHAnsi" w:hAnsi="Times New Roman" w:cs="Times New Roman"/>
          <w:b/>
          <w:sz w:val="28"/>
          <w:szCs w:val="28"/>
          <w:lang w:eastAsia="en-US"/>
        </w:rPr>
        <w:t>Алматы</w:t>
      </w:r>
    </w:p>
    <w:p w14:paraId="4C202562" w14:textId="113ED0E9" w:rsidR="00DC6C50" w:rsidRPr="004135FE" w:rsidRDefault="0066583A" w:rsidP="00FA5792">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Стандартизованные показатели по распространенности СД2т</w:t>
      </w:r>
      <w:r w:rsidR="00DC6C50" w:rsidRPr="004135FE">
        <w:rPr>
          <w:rFonts w:ascii="Times New Roman" w:eastAsiaTheme="minorHAnsi" w:hAnsi="Times New Roman" w:cs="Times New Roman"/>
          <w:sz w:val="28"/>
          <w:szCs w:val="28"/>
          <w:lang w:eastAsia="en-US"/>
        </w:rPr>
        <w:t xml:space="preserve"> исключает различие выборок по возрасту населения между районами.</w:t>
      </w:r>
    </w:p>
    <w:p w14:paraId="0D185798" w14:textId="2CA6F3BB" w:rsidR="0066583A" w:rsidRPr="004135FE" w:rsidRDefault="0066583A" w:rsidP="00FA5792">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 xml:space="preserve">Данный расчет позволил более корректно сравнивать распространенность СД2т по районам г. Алматы повозрастному показателю. Расчет проведен в 5 этапах: </w:t>
      </w:r>
    </w:p>
    <w:p w14:paraId="79E526ED" w14:textId="6B256E8A" w:rsidR="0066583A" w:rsidRPr="004135FE" w:rsidRDefault="00BA3CA8" w:rsidP="00FA5792">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0066583A" w:rsidRPr="004135FE">
        <w:rPr>
          <w:rFonts w:ascii="Times New Roman" w:eastAsiaTheme="minorHAnsi" w:hAnsi="Times New Roman" w:cs="Times New Roman"/>
          <w:sz w:val="28"/>
          <w:szCs w:val="28"/>
          <w:lang w:eastAsia="en-US"/>
        </w:rPr>
        <w:t xml:space="preserve">1 этап. Вычисление показателей </w:t>
      </w:r>
      <w:r w:rsidR="0066583A" w:rsidRPr="004135FE">
        <w:rPr>
          <w:rFonts w:ascii="Times New Roman" w:eastAsia="Times New Roman" w:hAnsi="Times New Roman" w:cs="Times New Roman"/>
          <w:bCs/>
          <w:sz w:val="28"/>
          <w:szCs w:val="28"/>
        </w:rPr>
        <w:t>распространенности СД2т</w:t>
      </w:r>
      <w:r w:rsidR="0066583A" w:rsidRPr="004135FE">
        <w:rPr>
          <w:rFonts w:ascii="Times New Roman" w:eastAsiaTheme="minorHAnsi" w:hAnsi="Times New Roman" w:cs="Times New Roman"/>
          <w:sz w:val="28"/>
          <w:szCs w:val="28"/>
          <w:lang w:eastAsia="en-US"/>
        </w:rPr>
        <w:t xml:space="preserve"> для каждого района по возрастным группам. </w:t>
      </w:r>
    </w:p>
    <w:p w14:paraId="67134197" w14:textId="5393D998" w:rsidR="0066583A" w:rsidRPr="004135FE" w:rsidRDefault="0066583A" w:rsidP="00FA5792">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4135FE">
        <w:rPr>
          <w:rFonts w:ascii="Times New Roman" w:eastAsia="TimesNewRomanPSMT" w:hAnsi="Times New Roman" w:cs="Times New Roman"/>
          <w:sz w:val="28"/>
          <w:szCs w:val="28"/>
          <w:lang w:eastAsia="en-US"/>
        </w:rPr>
        <w:t xml:space="preserve">Для расчета </w:t>
      </w:r>
      <w:r w:rsidRPr="004135FE">
        <w:rPr>
          <w:rFonts w:ascii="Times New Roman" w:eastAsia="Times New Roman" w:hAnsi="Times New Roman" w:cs="Times New Roman"/>
          <w:bCs/>
          <w:sz w:val="28"/>
          <w:szCs w:val="28"/>
        </w:rPr>
        <w:t>интенсивных показателей распространенности СД2т по районам</w:t>
      </w:r>
      <w:r w:rsidRPr="004135FE">
        <w:rPr>
          <w:rFonts w:ascii="Times New Roman" w:hAnsi="Times New Roman" w:cs="Times New Roman"/>
          <w:sz w:val="28"/>
          <w:szCs w:val="28"/>
        </w:rPr>
        <w:t xml:space="preserve"> </w:t>
      </w:r>
      <w:r w:rsidRPr="004135FE">
        <w:rPr>
          <w:rFonts w:ascii="Times New Roman" w:eastAsia="TimesNewRomanPSMT" w:hAnsi="Times New Roman" w:cs="Times New Roman"/>
          <w:sz w:val="28"/>
          <w:szCs w:val="28"/>
          <w:lang w:eastAsia="en-US"/>
        </w:rPr>
        <w:t xml:space="preserve">использованы данные </w:t>
      </w:r>
      <w:r w:rsidRPr="004135FE">
        <w:rPr>
          <w:rFonts w:ascii="Times New Roman" w:hAnsi="Times New Roman" w:cs="Times New Roman"/>
          <w:sz w:val="28"/>
          <w:szCs w:val="28"/>
        </w:rPr>
        <w:t xml:space="preserve">предоставленные </w:t>
      </w:r>
      <w:r w:rsidRPr="004135FE">
        <w:rPr>
          <w:rFonts w:ascii="Times New Roman" w:eastAsia="Times New Roman" w:hAnsi="Times New Roman" w:cs="Times New Roman"/>
          <w:sz w:val="28"/>
          <w:szCs w:val="28"/>
        </w:rPr>
        <w:t>Алматинским городским филиалом РЦЭЗ</w:t>
      </w:r>
      <w:r w:rsidRPr="004135FE">
        <w:rPr>
          <w:rFonts w:ascii="Times New Roman" w:hAnsi="Times New Roman" w:cs="Times New Roman"/>
          <w:sz w:val="28"/>
          <w:szCs w:val="28"/>
        </w:rPr>
        <w:t xml:space="preserve"> по НРСД за 10 лет с 2012-2021гг. Материалы </w:t>
      </w:r>
      <w:r w:rsidRPr="004135FE">
        <w:rPr>
          <w:rFonts w:ascii="Times New Roman" w:eastAsia="TimesNewRomanPSMT" w:hAnsi="Times New Roman" w:cs="Times New Roman"/>
          <w:sz w:val="28"/>
          <w:szCs w:val="28"/>
          <w:lang w:eastAsia="en-US"/>
        </w:rPr>
        <w:t xml:space="preserve">за 10-летний период по районам </w:t>
      </w:r>
      <w:r w:rsidRPr="004135FE">
        <w:rPr>
          <w:rFonts w:ascii="Times New Roman" w:hAnsi="Times New Roman" w:cs="Times New Roman"/>
          <w:sz w:val="28"/>
          <w:szCs w:val="28"/>
        </w:rPr>
        <w:t xml:space="preserve">по распространенности </w:t>
      </w:r>
      <w:r w:rsidRPr="004135FE">
        <w:rPr>
          <w:rFonts w:ascii="Times New Roman" w:eastAsia="TimesNewRomanPSMT" w:hAnsi="Times New Roman" w:cs="Times New Roman"/>
          <w:sz w:val="28"/>
          <w:szCs w:val="28"/>
          <w:lang w:eastAsia="en-US"/>
        </w:rPr>
        <w:t xml:space="preserve">с повозрастными группами указаны в таблицах </w:t>
      </w:r>
      <w:r w:rsidR="0091422E" w:rsidRPr="004135FE">
        <w:rPr>
          <w:rFonts w:ascii="Times New Roman" w:eastAsia="TimesNewRomanPSMT" w:hAnsi="Times New Roman" w:cs="Times New Roman"/>
          <w:sz w:val="28"/>
          <w:szCs w:val="28"/>
          <w:lang w:eastAsia="en-US"/>
        </w:rPr>
        <w:t>60-61</w:t>
      </w:r>
      <w:r w:rsidR="00B7259E" w:rsidRPr="004135FE">
        <w:rPr>
          <w:rFonts w:ascii="Times New Roman" w:eastAsia="TimesNewRomanPSMT" w:hAnsi="Times New Roman" w:cs="Times New Roman"/>
          <w:sz w:val="28"/>
          <w:szCs w:val="28"/>
          <w:lang w:eastAsia="en-US"/>
        </w:rPr>
        <w:t xml:space="preserve"> (</w:t>
      </w:r>
      <w:r w:rsidR="00712178" w:rsidRPr="004135FE">
        <w:rPr>
          <w:rFonts w:ascii="Times New Roman" w:eastAsia="TimesNewRomanPSMT" w:hAnsi="Times New Roman" w:cs="Times New Roman"/>
          <w:sz w:val="28"/>
          <w:szCs w:val="28"/>
          <w:lang w:eastAsia="en-US"/>
        </w:rPr>
        <w:t>Приложение</w:t>
      </w:r>
      <w:r w:rsidR="00B7259E" w:rsidRPr="004135FE">
        <w:rPr>
          <w:rFonts w:ascii="Times New Roman" w:eastAsia="TimesNewRomanPSMT" w:hAnsi="Times New Roman" w:cs="Times New Roman"/>
          <w:sz w:val="28"/>
          <w:szCs w:val="28"/>
          <w:lang w:eastAsia="en-US"/>
        </w:rPr>
        <w:t xml:space="preserve"> А)</w:t>
      </w:r>
      <w:r w:rsidRPr="004135FE">
        <w:rPr>
          <w:rFonts w:ascii="Times New Roman" w:eastAsia="TimesNewRomanPSMT" w:hAnsi="Times New Roman" w:cs="Times New Roman"/>
          <w:sz w:val="28"/>
          <w:szCs w:val="28"/>
          <w:lang w:eastAsia="en-US"/>
        </w:rPr>
        <w:t xml:space="preserve"> и данные о возрастной структуре среднегодовой численности населения указаны в </w:t>
      </w:r>
      <w:r w:rsidR="0091422E" w:rsidRPr="004135FE">
        <w:rPr>
          <w:rFonts w:ascii="Times New Roman" w:eastAsia="TimesNewRomanPSMT" w:hAnsi="Times New Roman" w:cs="Times New Roman"/>
          <w:sz w:val="28"/>
          <w:szCs w:val="28"/>
          <w:lang w:eastAsia="en-US"/>
        </w:rPr>
        <w:t>таблице 56</w:t>
      </w:r>
      <w:r w:rsidR="00B7259E" w:rsidRPr="004135FE">
        <w:rPr>
          <w:rFonts w:ascii="Times New Roman" w:eastAsia="TimesNewRomanPSMT" w:hAnsi="Times New Roman" w:cs="Times New Roman"/>
          <w:sz w:val="28"/>
          <w:szCs w:val="28"/>
          <w:lang w:eastAsia="en-US"/>
        </w:rPr>
        <w:t xml:space="preserve"> (</w:t>
      </w:r>
      <w:r w:rsidR="00712178" w:rsidRPr="004135FE">
        <w:rPr>
          <w:rFonts w:ascii="Times New Roman" w:eastAsia="TimesNewRomanPSMT" w:hAnsi="Times New Roman" w:cs="Times New Roman"/>
          <w:sz w:val="28"/>
          <w:szCs w:val="28"/>
          <w:lang w:eastAsia="en-US"/>
        </w:rPr>
        <w:t>Приложение</w:t>
      </w:r>
      <w:r w:rsidR="00B7259E" w:rsidRPr="004135FE">
        <w:rPr>
          <w:rFonts w:ascii="Times New Roman" w:eastAsia="TimesNewRomanPSMT" w:hAnsi="Times New Roman" w:cs="Times New Roman"/>
          <w:sz w:val="28"/>
          <w:szCs w:val="28"/>
          <w:lang w:eastAsia="en-US"/>
        </w:rPr>
        <w:t xml:space="preserve"> А)</w:t>
      </w:r>
      <w:r w:rsidRPr="004135FE">
        <w:rPr>
          <w:rFonts w:ascii="Times New Roman" w:eastAsia="TimesNewRomanPSMT" w:hAnsi="Times New Roman" w:cs="Times New Roman"/>
          <w:sz w:val="28"/>
          <w:szCs w:val="28"/>
          <w:lang w:eastAsia="en-US"/>
        </w:rPr>
        <w:t>.</w:t>
      </w:r>
    </w:p>
    <w:p w14:paraId="68C8227B" w14:textId="45CCC227" w:rsidR="0066583A" w:rsidRPr="004135FE" w:rsidRDefault="00BA3CA8" w:rsidP="00FA5792">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0066583A" w:rsidRPr="004135FE">
        <w:rPr>
          <w:rFonts w:ascii="Times New Roman" w:eastAsiaTheme="minorHAnsi" w:hAnsi="Times New Roman" w:cs="Times New Roman"/>
          <w:sz w:val="28"/>
          <w:szCs w:val="28"/>
          <w:lang w:eastAsia="en-US"/>
        </w:rPr>
        <w:t xml:space="preserve">2 этап. </w:t>
      </w:r>
      <w:r w:rsidR="0066583A" w:rsidRPr="004135FE">
        <w:rPr>
          <w:rFonts w:ascii="Times New Roman" w:eastAsia="Times New Roman" w:hAnsi="Times New Roman" w:cs="Times New Roman"/>
          <w:sz w:val="28"/>
          <w:szCs w:val="28"/>
        </w:rPr>
        <w:t>Выбор и расчет стандарта.</w:t>
      </w:r>
      <w:r w:rsidR="0066583A" w:rsidRPr="004135FE">
        <w:rPr>
          <w:rFonts w:ascii="Times New Roman" w:eastAsiaTheme="minorHAnsi" w:hAnsi="Times New Roman" w:cs="Times New Roman"/>
          <w:sz w:val="28"/>
          <w:szCs w:val="28"/>
          <w:lang w:eastAsia="en-US"/>
        </w:rPr>
        <w:t xml:space="preserve"> Число принятый за стандарт для групп по возрасту и районов г.Алматы, средний состав групп, вместе взятых</w:t>
      </w:r>
      <w:r w:rsidR="00DC6C50" w:rsidRPr="004135FE">
        <w:rPr>
          <w:rFonts w:ascii="Times New Roman" w:eastAsiaTheme="minorHAnsi" w:hAnsi="Times New Roman" w:cs="Times New Roman"/>
          <w:sz w:val="28"/>
          <w:szCs w:val="28"/>
          <w:lang w:eastAsia="en-US"/>
        </w:rPr>
        <w:t>.</w:t>
      </w:r>
      <w:r w:rsidR="0066583A" w:rsidRPr="004135FE">
        <w:rPr>
          <w:rFonts w:ascii="Times New Roman" w:eastAsiaTheme="minorHAnsi" w:hAnsi="Times New Roman" w:cs="Times New Roman"/>
          <w:sz w:val="28"/>
          <w:szCs w:val="28"/>
          <w:lang w:eastAsia="en-US"/>
        </w:rPr>
        <w:t xml:space="preserve"> </w:t>
      </w:r>
      <w:r w:rsidR="00712178" w:rsidRPr="004135FE">
        <w:rPr>
          <w:rFonts w:ascii="Times New Roman" w:eastAsiaTheme="minorHAnsi" w:hAnsi="Times New Roman" w:cs="Times New Roman"/>
          <w:sz w:val="28"/>
          <w:szCs w:val="28"/>
          <w:lang w:eastAsia="en-US"/>
        </w:rPr>
        <w:t xml:space="preserve"> </w:t>
      </w:r>
    </w:p>
    <w:p w14:paraId="6B622FA2" w14:textId="680D3305" w:rsidR="002E7380" w:rsidRPr="004135FE" w:rsidRDefault="0066583A" w:rsidP="00FA5792">
      <w:pPr>
        <w:autoSpaceDE w:val="0"/>
        <w:autoSpaceDN w:val="0"/>
        <w:adjustRightInd w:val="0"/>
        <w:spacing w:after="0" w:line="240" w:lineRule="auto"/>
        <w:ind w:firstLine="708"/>
        <w:jc w:val="both"/>
        <w:rPr>
          <w:rFonts w:ascii="Times New Roman" w:eastAsia="TimesNewRomanPSMT" w:hAnsi="Times New Roman" w:cs="Times New Roman"/>
          <w:sz w:val="28"/>
          <w:szCs w:val="28"/>
          <w:lang w:eastAsia="en-US"/>
        </w:rPr>
      </w:pPr>
      <w:r w:rsidRPr="004135FE">
        <w:rPr>
          <w:rFonts w:ascii="Times New Roman" w:eastAsia="TimesNewRomanPSMT" w:hAnsi="Times New Roman" w:cs="Times New Roman"/>
          <w:sz w:val="28"/>
          <w:szCs w:val="28"/>
          <w:lang w:eastAsia="en-US"/>
        </w:rPr>
        <w:t>При расчете распространенности по районам за стандарт принят</w:t>
      </w:r>
      <w:r w:rsidR="002E7380" w:rsidRPr="004135FE">
        <w:rPr>
          <w:rFonts w:ascii="Times New Roman" w:eastAsia="TimesNewRomanPSMT" w:hAnsi="Times New Roman" w:cs="Times New Roman"/>
          <w:sz w:val="28"/>
          <w:szCs w:val="28"/>
          <w:lang w:eastAsia="en-US"/>
        </w:rPr>
        <w:t xml:space="preserve"> структура населения по среднему возрасту, с предположением для всех районов близкой к изучаемой как в стандарте</w:t>
      </w:r>
      <w:r w:rsidR="00BA3CA8">
        <w:rPr>
          <w:rFonts w:ascii="Times New Roman" w:eastAsia="TimesNewRomanPSMT" w:hAnsi="Times New Roman" w:cs="Times New Roman"/>
          <w:sz w:val="28"/>
          <w:szCs w:val="28"/>
          <w:lang w:eastAsia="en-US"/>
        </w:rPr>
        <w:t>.</w:t>
      </w:r>
    </w:p>
    <w:p w14:paraId="5826CC10" w14:textId="77777777" w:rsidR="002E7380" w:rsidRPr="004135FE" w:rsidRDefault="002E7380" w:rsidP="00FA5792">
      <w:pPr>
        <w:autoSpaceDE w:val="0"/>
        <w:autoSpaceDN w:val="0"/>
        <w:adjustRightInd w:val="0"/>
        <w:spacing w:after="0" w:line="240" w:lineRule="auto"/>
        <w:ind w:firstLine="708"/>
        <w:jc w:val="both"/>
        <w:rPr>
          <w:rFonts w:ascii="Times New Roman" w:eastAsia="TimesNewRomanPSMT" w:hAnsi="Times New Roman" w:cs="Times New Roman"/>
          <w:sz w:val="28"/>
          <w:szCs w:val="28"/>
          <w:lang w:eastAsia="en-US"/>
        </w:rPr>
      </w:pPr>
    </w:p>
    <w:p w14:paraId="2A4F6E76" w14:textId="77777777" w:rsidR="0066583A" w:rsidRPr="004135FE" w:rsidRDefault="0066583A" w:rsidP="00BA3CA8">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sidRPr="004135FE">
        <w:rPr>
          <w:noProof/>
          <w:sz w:val="28"/>
          <w:szCs w:val="28"/>
        </w:rPr>
        <w:lastRenderedPageBreak/>
        <w:drawing>
          <wp:inline distT="0" distB="0" distL="0" distR="0" wp14:anchorId="5ABEC4A0" wp14:editId="071A3228">
            <wp:extent cx="5915025" cy="2190750"/>
            <wp:effectExtent l="0" t="0" r="9525"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15025" cy="2190750"/>
                    </a:xfrm>
                    <a:prstGeom prst="rect">
                      <a:avLst/>
                    </a:prstGeom>
                  </pic:spPr>
                </pic:pic>
              </a:graphicData>
            </a:graphic>
          </wp:inline>
        </w:drawing>
      </w:r>
    </w:p>
    <w:p w14:paraId="2135F3E1" w14:textId="77777777" w:rsidR="00BA3CA8" w:rsidRDefault="00BA3CA8" w:rsidP="00BA3CA8">
      <w:pPr>
        <w:spacing w:after="0" w:line="240" w:lineRule="auto"/>
        <w:jc w:val="center"/>
        <w:rPr>
          <w:rFonts w:ascii="Times New Roman" w:eastAsiaTheme="minorHAnsi" w:hAnsi="Times New Roman" w:cs="Times New Roman"/>
          <w:sz w:val="28"/>
          <w:szCs w:val="28"/>
          <w:lang w:eastAsia="en-US"/>
        </w:rPr>
      </w:pPr>
    </w:p>
    <w:p w14:paraId="444D726B" w14:textId="705D3A47" w:rsidR="0066583A" w:rsidRPr="004135FE" w:rsidRDefault="0066583A" w:rsidP="00BA3CA8">
      <w:pPr>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 xml:space="preserve">Рисунок 7- </w:t>
      </w:r>
      <w:r w:rsidR="00BA3CA8">
        <w:rPr>
          <w:rFonts w:ascii="Times New Roman" w:eastAsiaTheme="minorHAnsi" w:hAnsi="Times New Roman" w:cs="Times New Roman"/>
          <w:sz w:val="28"/>
          <w:szCs w:val="28"/>
          <w:lang w:eastAsia="en-US"/>
        </w:rPr>
        <w:t>Р</w:t>
      </w:r>
      <w:r w:rsidRPr="004135FE">
        <w:rPr>
          <w:rFonts w:ascii="Times New Roman" w:eastAsiaTheme="minorHAnsi" w:hAnsi="Times New Roman" w:cs="Times New Roman"/>
          <w:sz w:val="28"/>
          <w:szCs w:val="28"/>
          <w:lang w:eastAsia="en-US"/>
        </w:rPr>
        <w:t>асчет - стандартизованного показателя для изучаемого населения</w:t>
      </w:r>
    </w:p>
    <w:p w14:paraId="6A2B4CA2" w14:textId="77777777" w:rsidR="0066583A" w:rsidRPr="004135FE" w:rsidRDefault="0066583A" w:rsidP="004135FE">
      <w:pPr>
        <w:spacing w:after="0" w:line="240" w:lineRule="auto"/>
        <w:jc w:val="both"/>
        <w:rPr>
          <w:rFonts w:ascii="Times New Roman" w:eastAsiaTheme="minorHAnsi" w:hAnsi="Times New Roman" w:cs="Times New Roman"/>
          <w:sz w:val="28"/>
          <w:szCs w:val="28"/>
          <w:lang w:eastAsia="en-US"/>
        </w:rPr>
      </w:pPr>
    </w:p>
    <w:p w14:paraId="1A27D3EC" w14:textId="44D0DE03" w:rsidR="0066583A" w:rsidRPr="004135FE" w:rsidRDefault="00BA3CA8" w:rsidP="004135FE">
      <w:pPr>
        <w:spacing w:after="0" w:line="240" w:lineRule="auto"/>
        <w:ind w:firstLine="708"/>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0066583A" w:rsidRPr="004135FE">
        <w:rPr>
          <w:rFonts w:ascii="Times New Roman" w:eastAsiaTheme="minorHAnsi" w:hAnsi="Times New Roman" w:cs="Times New Roman"/>
          <w:sz w:val="28"/>
          <w:szCs w:val="28"/>
          <w:lang w:eastAsia="en-US"/>
        </w:rPr>
        <w:t xml:space="preserve">3 этап. Расчет </w:t>
      </w:r>
      <w:r w:rsidR="0066583A" w:rsidRPr="004135FE">
        <w:rPr>
          <w:rFonts w:ascii="Times New Roman" w:eastAsia="Times New Roman" w:hAnsi="Times New Roman" w:cs="Times New Roman"/>
          <w:sz w:val="28"/>
          <w:szCs w:val="28"/>
        </w:rPr>
        <w:t xml:space="preserve">«ожидаемых величин» </w:t>
      </w:r>
      <w:r w:rsidR="0066583A" w:rsidRPr="004135FE">
        <w:rPr>
          <w:rFonts w:ascii="Times New Roman" w:eastAsia="Times New Roman" w:hAnsi="Times New Roman" w:cs="Times New Roman"/>
          <w:bCs/>
          <w:sz w:val="28"/>
          <w:szCs w:val="28"/>
        </w:rPr>
        <w:t>распространенности</w:t>
      </w:r>
      <w:r w:rsidR="0066583A" w:rsidRPr="004135FE">
        <w:rPr>
          <w:rFonts w:ascii="Times New Roman" w:eastAsia="Times New Roman" w:hAnsi="Times New Roman" w:cs="Times New Roman"/>
          <w:sz w:val="28"/>
          <w:szCs w:val="28"/>
        </w:rPr>
        <w:t xml:space="preserve"> для каждой группы стандарта на 1000 человек </w:t>
      </w:r>
      <w:r w:rsidR="0066583A" w:rsidRPr="004135FE">
        <w:rPr>
          <w:rFonts w:ascii="Times New Roman" w:eastAsiaTheme="minorHAnsi" w:hAnsi="Times New Roman" w:cs="Times New Roman"/>
          <w:sz w:val="28"/>
          <w:szCs w:val="28"/>
          <w:lang w:eastAsia="en-US"/>
        </w:rPr>
        <w:t xml:space="preserve">(в программе </w:t>
      </w:r>
      <w:r w:rsidR="0066583A" w:rsidRPr="004135FE">
        <w:rPr>
          <w:rFonts w:ascii="Times New Roman" w:eastAsiaTheme="minorHAnsi" w:hAnsi="Times New Roman" w:cs="Times New Roman"/>
          <w:sz w:val="28"/>
          <w:szCs w:val="28"/>
          <w:lang w:val="en-US" w:eastAsia="en-US"/>
        </w:rPr>
        <w:t>Excel</w:t>
      </w:r>
      <w:r w:rsidR="0066583A" w:rsidRPr="004135FE">
        <w:rPr>
          <w:rFonts w:ascii="Times New Roman" w:eastAsiaTheme="minorHAnsi" w:hAnsi="Times New Roman" w:cs="Times New Roman"/>
          <w:sz w:val="28"/>
          <w:szCs w:val="28"/>
          <w:lang w:eastAsia="en-US"/>
        </w:rPr>
        <w:t xml:space="preserve"> проведен расчет, сколько должно быть число распространенности по районам каждой возрастной группе, если бы возрастная структура больных была бы как в стандарте)</w:t>
      </w:r>
    </w:p>
    <w:p w14:paraId="04F9BBE3" w14:textId="354C09CA" w:rsidR="0066583A" w:rsidRPr="004135FE" w:rsidRDefault="00BA3CA8" w:rsidP="004135FE">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0066583A" w:rsidRPr="004135FE">
        <w:rPr>
          <w:rFonts w:ascii="Times New Roman" w:eastAsiaTheme="minorHAnsi" w:hAnsi="Times New Roman" w:cs="Times New Roman"/>
          <w:sz w:val="28"/>
          <w:szCs w:val="28"/>
          <w:lang w:eastAsia="en-US"/>
        </w:rPr>
        <w:t xml:space="preserve">4 этап. Расчет стандартизованного показателя </w:t>
      </w:r>
      <w:r w:rsidR="0066583A" w:rsidRPr="004135FE">
        <w:rPr>
          <w:rFonts w:ascii="Times New Roman" w:eastAsia="Times New Roman" w:hAnsi="Times New Roman" w:cs="Times New Roman"/>
          <w:bCs/>
          <w:sz w:val="28"/>
          <w:szCs w:val="28"/>
        </w:rPr>
        <w:t>распространенности</w:t>
      </w:r>
      <w:r w:rsidR="0066583A" w:rsidRPr="004135FE">
        <w:rPr>
          <w:rFonts w:ascii="Times New Roman" w:eastAsia="Times New Roman" w:hAnsi="Times New Roman" w:cs="Times New Roman"/>
          <w:sz w:val="28"/>
          <w:szCs w:val="28"/>
        </w:rPr>
        <w:t xml:space="preserve"> на 1000 человек</w:t>
      </w:r>
      <w:r w:rsidR="0066583A" w:rsidRPr="004135FE">
        <w:rPr>
          <w:rFonts w:ascii="Times New Roman" w:eastAsiaTheme="minorHAnsi" w:hAnsi="Times New Roman" w:cs="Times New Roman"/>
          <w:sz w:val="28"/>
          <w:szCs w:val="28"/>
          <w:lang w:eastAsia="en-US"/>
        </w:rPr>
        <w:t xml:space="preserve">, так же проведен в программе </w:t>
      </w:r>
      <w:r w:rsidR="0066583A" w:rsidRPr="004135FE">
        <w:rPr>
          <w:rFonts w:ascii="Times New Roman" w:eastAsiaTheme="minorHAnsi" w:hAnsi="Times New Roman" w:cs="Times New Roman"/>
          <w:sz w:val="28"/>
          <w:szCs w:val="28"/>
          <w:lang w:val="en-US" w:eastAsia="en-US"/>
        </w:rPr>
        <w:t>Excel</w:t>
      </w:r>
      <w:r>
        <w:rPr>
          <w:rFonts w:ascii="Times New Roman" w:eastAsiaTheme="minorHAnsi" w:hAnsi="Times New Roman" w:cs="Times New Roman"/>
          <w:sz w:val="28"/>
          <w:szCs w:val="28"/>
          <w:lang w:eastAsia="en-US"/>
        </w:rPr>
        <w:t>.</w:t>
      </w:r>
    </w:p>
    <w:p w14:paraId="7BA99AF3" w14:textId="103F0C93" w:rsidR="0066583A" w:rsidRPr="004135FE" w:rsidRDefault="00BA3CA8" w:rsidP="004135FE">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 xml:space="preserve">- </w:t>
      </w:r>
      <w:r w:rsidR="0066583A" w:rsidRPr="004135FE">
        <w:rPr>
          <w:rFonts w:ascii="Times New Roman" w:eastAsiaTheme="minorHAnsi" w:hAnsi="Times New Roman" w:cs="Times New Roman"/>
          <w:sz w:val="28"/>
          <w:szCs w:val="28"/>
          <w:lang w:eastAsia="en-US"/>
        </w:rPr>
        <w:t xml:space="preserve">5 этап. Сравнение групп по стандартизированным показателям: </w:t>
      </w:r>
    </w:p>
    <w:p w14:paraId="34AA51EA" w14:textId="77777777" w:rsidR="0066583A" w:rsidRPr="004135FE" w:rsidRDefault="0066583A"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eastAsia="TimesNewRomanPSMT" w:hAnsi="Times New Roman" w:cs="Times New Roman"/>
          <w:sz w:val="28"/>
          <w:szCs w:val="28"/>
          <w:lang w:eastAsia="en-US"/>
        </w:rPr>
        <w:t xml:space="preserve">Не стандартизированные показатели распространенности по СД2т в Алматы к 2021г показали наибольшие случаи в Жетысуском районе, что равен </w:t>
      </w:r>
      <w:r w:rsidRPr="004135FE">
        <w:rPr>
          <w:rFonts w:ascii="Times New Roman" w:hAnsi="Times New Roman" w:cs="Times New Roman"/>
          <w:sz w:val="28"/>
          <w:szCs w:val="28"/>
        </w:rPr>
        <w:t>28,31 при расчете на 1000 человек, п</w:t>
      </w:r>
      <w:r w:rsidRPr="004135FE">
        <w:rPr>
          <w:rFonts w:ascii="Times New Roman" w:eastAsia="TimesNewRomanPSMT" w:hAnsi="Times New Roman" w:cs="Times New Roman"/>
          <w:sz w:val="28"/>
          <w:szCs w:val="28"/>
          <w:lang w:eastAsia="en-US"/>
        </w:rPr>
        <w:t>осле прямой стандартизации</w:t>
      </w:r>
      <w:r w:rsidRPr="004135FE">
        <w:rPr>
          <w:rFonts w:ascii="Times New Roman" w:hAnsi="Times New Roman" w:cs="Times New Roman"/>
          <w:sz w:val="28"/>
          <w:szCs w:val="28"/>
        </w:rPr>
        <w:t xml:space="preserve"> 29,16 при расчете на 1000 человек.</w:t>
      </w:r>
      <w:r w:rsidRPr="004135FE">
        <w:rPr>
          <w:rFonts w:ascii="Times New Roman" w:eastAsia="Times New Roman" w:hAnsi="Times New Roman" w:cs="Times New Roman"/>
          <w:sz w:val="28"/>
          <w:szCs w:val="28"/>
        </w:rPr>
        <w:t xml:space="preserve"> Данные по Ауэзовскому району показывает небольшие изменения между до</w:t>
      </w:r>
      <w:r w:rsidRPr="004135FE">
        <w:rPr>
          <w:rFonts w:ascii="Times New Roman" w:hAnsi="Times New Roman" w:cs="Times New Roman"/>
          <w:sz w:val="28"/>
          <w:szCs w:val="28"/>
        </w:rPr>
        <w:t xml:space="preserve"> 24,60 и после стандартизации 24,13 при расчете на 1000 человек. Напротив, в </w:t>
      </w:r>
      <w:r w:rsidRPr="004135FE">
        <w:rPr>
          <w:rFonts w:ascii="Times New Roman" w:eastAsia="Times New Roman" w:hAnsi="Times New Roman" w:cs="Times New Roman"/>
          <w:sz w:val="28"/>
          <w:szCs w:val="28"/>
        </w:rPr>
        <w:t xml:space="preserve">Алатауском и Наурызбайском районах имеются наибольший разрыв числа случаев распространенности СД2т между до </w:t>
      </w:r>
      <w:r w:rsidRPr="004135FE">
        <w:rPr>
          <w:rFonts w:ascii="Times New Roman" w:hAnsi="Times New Roman" w:cs="Times New Roman"/>
          <w:sz w:val="28"/>
          <w:szCs w:val="28"/>
        </w:rPr>
        <w:t xml:space="preserve">16,50 и после </w:t>
      </w:r>
      <w:r w:rsidRPr="004135FE">
        <w:rPr>
          <w:rFonts w:ascii="Times New Roman" w:eastAsiaTheme="minorHAnsi" w:hAnsi="Times New Roman" w:cs="Times New Roman"/>
          <w:sz w:val="28"/>
          <w:szCs w:val="28"/>
          <w:lang w:eastAsia="en-US"/>
        </w:rPr>
        <w:t>стандартизированного коэффициента общей заболеваемости, что равен</w:t>
      </w:r>
      <w:r w:rsidRPr="004135FE">
        <w:rPr>
          <w:rFonts w:ascii="Times New Roman" w:hAnsi="Times New Roman" w:cs="Times New Roman"/>
          <w:sz w:val="28"/>
          <w:szCs w:val="28"/>
        </w:rPr>
        <w:t xml:space="preserve"> 26,56 при расчете на 1000 человек, соответственно до 16,43 и после 21,68 на 1000человек.</w:t>
      </w:r>
    </w:p>
    <w:p w14:paraId="05155EBF" w14:textId="3CDE4C1B" w:rsidR="0066583A" w:rsidRPr="004135FE" w:rsidRDefault="0066583A" w:rsidP="004135FE">
      <w:pPr>
        <w:autoSpaceDE w:val="0"/>
        <w:autoSpaceDN w:val="0"/>
        <w:adjustRightInd w:val="0"/>
        <w:spacing w:after="0" w:line="240" w:lineRule="auto"/>
        <w:ind w:firstLine="708"/>
        <w:jc w:val="both"/>
        <w:rPr>
          <w:rFonts w:ascii="Times New Roman" w:eastAsia="TimesNewRomanPSMT" w:hAnsi="Times New Roman" w:cs="Times New Roman"/>
          <w:sz w:val="28"/>
          <w:szCs w:val="28"/>
          <w:lang w:eastAsia="en-US"/>
        </w:rPr>
      </w:pPr>
      <w:r w:rsidRPr="004135FE">
        <w:rPr>
          <w:rFonts w:ascii="Times New Roman" w:eastAsia="TimesNewRomanPSMT" w:hAnsi="Times New Roman" w:cs="Times New Roman"/>
          <w:sz w:val="28"/>
          <w:szCs w:val="28"/>
          <w:lang w:eastAsia="en-US"/>
        </w:rPr>
        <w:t>Этот пример иллюстрирует эпидемиологическую и социальную значимость внедрения метода стандартизации для формирования стратегий развития как служб здравоохранения, так и социального сектора с целью принятия научно</w:t>
      </w:r>
      <w:r w:rsidR="00CC6B82" w:rsidRPr="004135FE">
        <w:rPr>
          <w:rFonts w:ascii="Times New Roman" w:eastAsia="TimesNewRomanPSMT" w:hAnsi="Times New Roman" w:cs="Times New Roman"/>
          <w:sz w:val="28"/>
          <w:szCs w:val="28"/>
          <w:lang w:eastAsia="en-US"/>
        </w:rPr>
        <w:t>-</w:t>
      </w:r>
      <w:r w:rsidRPr="004135FE">
        <w:rPr>
          <w:rFonts w:ascii="Times New Roman" w:eastAsia="TimesNewRomanPSMT" w:hAnsi="Times New Roman" w:cs="Times New Roman"/>
          <w:sz w:val="28"/>
          <w:szCs w:val="28"/>
          <w:lang w:eastAsia="en-US"/>
        </w:rPr>
        <w:t>обоснованных решений и прогнозирования ситуации.</w:t>
      </w:r>
    </w:p>
    <w:p w14:paraId="2E8A4DA7" w14:textId="256FAE53" w:rsidR="009D1403" w:rsidRPr="004135FE" w:rsidRDefault="009D1403" w:rsidP="004135FE">
      <w:pPr>
        <w:spacing w:after="0" w:line="240" w:lineRule="auto"/>
        <w:jc w:val="both"/>
        <w:rPr>
          <w:rFonts w:ascii="Times New Roman" w:eastAsia="Times New Roman" w:hAnsi="Times New Roman" w:cs="Times New Roman"/>
          <w:sz w:val="28"/>
          <w:szCs w:val="28"/>
        </w:rPr>
      </w:pPr>
    </w:p>
    <w:p w14:paraId="4A49C9B5" w14:textId="0BCBF4A2" w:rsidR="00E541BD" w:rsidRDefault="00E541BD" w:rsidP="004135FE">
      <w:pPr>
        <w:spacing w:after="0" w:line="240" w:lineRule="auto"/>
        <w:jc w:val="both"/>
        <w:rPr>
          <w:rFonts w:ascii="Times New Roman" w:eastAsia="Times New Roman" w:hAnsi="Times New Roman" w:cs="Times New Roman"/>
          <w:sz w:val="28"/>
          <w:szCs w:val="28"/>
        </w:rPr>
      </w:pPr>
    </w:p>
    <w:p w14:paraId="2A749018" w14:textId="54C8A6C2" w:rsidR="00E541BD" w:rsidRDefault="00E541BD" w:rsidP="004135FE">
      <w:pPr>
        <w:spacing w:after="0" w:line="240" w:lineRule="auto"/>
        <w:jc w:val="both"/>
        <w:rPr>
          <w:rFonts w:ascii="Times New Roman" w:eastAsia="Times New Roman" w:hAnsi="Times New Roman" w:cs="Times New Roman"/>
          <w:sz w:val="28"/>
          <w:szCs w:val="28"/>
        </w:rPr>
      </w:pPr>
    </w:p>
    <w:p w14:paraId="30B2499A" w14:textId="42BE6CB7" w:rsidR="00E541BD" w:rsidRDefault="00E541BD" w:rsidP="004135FE">
      <w:pPr>
        <w:spacing w:after="0" w:line="240" w:lineRule="auto"/>
        <w:jc w:val="both"/>
        <w:rPr>
          <w:rFonts w:ascii="Times New Roman" w:eastAsia="Times New Roman" w:hAnsi="Times New Roman" w:cs="Times New Roman"/>
          <w:sz w:val="28"/>
          <w:szCs w:val="28"/>
        </w:rPr>
      </w:pPr>
    </w:p>
    <w:p w14:paraId="1E5D852B" w14:textId="77777777" w:rsidR="00E541BD" w:rsidRPr="004135FE" w:rsidRDefault="00E541BD" w:rsidP="004135FE">
      <w:pPr>
        <w:spacing w:after="0" w:line="240" w:lineRule="auto"/>
        <w:jc w:val="both"/>
        <w:rPr>
          <w:rFonts w:ascii="Times New Roman" w:eastAsia="Times New Roman" w:hAnsi="Times New Roman" w:cs="Times New Roman"/>
          <w:sz w:val="28"/>
          <w:szCs w:val="28"/>
        </w:rPr>
      </w:pPr>
    </w:p>
    <w:p w14:paraId="6D71C06F" w14:textId="77777777" w:rsidR="00E541BD" w:rsidRDefault="00E541BD" w:rsidP="004135FE">
      <w:pPr>
        <w:spacing w:after="0" w:line="240" w:lineRule="auto"/>
        <w:jc w:val="both"/>
        <w:rPr>
          <w:rFonts w:ascii="Times New Roman" w:eastAsia="Times New Roman" w:hAnsi="Times New Roman" w:cs="Times New Roman"/>
          <w:sz w:val="24"/>
          <w:szCs w:val="24"/>
        </w:rPr>
        <w:sectPr w:rsidR="00E541BD" w:rsidSect="00EC71C2">
          <w:type w:val="nextColumn"/>
          <w:pgSz w:w="11906" w:h="16838"/>
          <w:pgMar w:top="1134" w:right="851" w:bottom="1134" w:left="1701" w:header="283" w:footer="170" w:gutter="0"/>
          <w:cols w:space="708"/>
          <w:docGrid w:linePitch="360"/>
        </w:sectPr>
      </w:pPr>
    </w:p>
    <w:tbl>
      <w:tblPr>
        <w:tblStyle w:val="a5"/>
        <w:tblpPr w:leftFromText="180" w:rightFromText="180" w:vertAnchor="page" w:horzAnchor="margin" w:tblpXSpec="center" w:tblpY="2361"/>
        <w:tblW w:w="14029" w:type="dxa"/>
        <w:tblLayout w:type="fixed"/>
        <w:tblLook w:val="04A0" w:firstRow="1" w:lastRow="0" w:firstColumn="1" w:lastColumn="0" w:noHBand="0" w:noVBand="1"/>
      </w:tblPr>
      <w:tblGrid>
        <w:gridCol w:w="2122"/>
        <w:gridCol w:w="1068"/>
        <w:gridCol w:w="1200"/>
        <w:gridCol w:w="1158"/>
        <w:gridCol w:w="1266"/>
        <w:gridCol w:w="1092"/>
        <w:gridCol w:w="1303"/>
        <w:gridCol w:w="1134"/>
        <w:gridCol w:w="1276"/>
        <w:gridCol w:w="1134"/>
        <w:gridCol w:w="1276"/>
      </w:tblGrid>
      <w:tr w:rsidR="00E575E6" w:rsidRPr="00E575E6" w14:paraId="7AA72EBC" w14:textId="77777777" w:rsidTr="00490AF6">
        <w:tc>
          <w:tcPr>
            <w:tcW w:w="2122" w:type="dxa"/>
            <w:vMerge w:val="restart"/>
          </w:tcPr>
          <w:p w14:paraId="2C2E08F5" w14:textId="77777777" w:rsidR="00E575E6" w:rsidRPr="00E575E6" w:rsidRDefault="00E575E6" w:rsidP="00901D83">
            <w:pPr>
              <w:spacing w:after="0" w:line="240" w:lineRule="auto"/>
              <w:jc w:val="both"/>
              <w:rPr>
                <w:rFonts w:ascii="Times New Roman" w:eastAsia="Times New Roman" w:hAnsi="Times New Roman" w:cs="Times New Roman"/>
                <w:sz w:val="28"/>
                <w:szCs w:val="28"/>
              </w:rPr>
            </w:pPr>
            <w:r w:rsidRPr="00E575E6">
              <w:rPr>
                <w:rFonts w:ascii="Times New Roman" w:eastAsia="Times New Roman" w:hAnsi="Times New Roman" w:cs="Times New Roman"/>
                <w:sz w:val="28"/>
                <w:szCs w:val="28"/>
              </w:rPr>
              <w:lastRenderedPageBreak/>
              <w:t>Районы</w:t>
            </w:r>
          </w:p>
        </w:tc>
        <w:tc>
          <w:tcPr>
            <w:tcW w:w="2268" w:type="dxa"/>
            <w:gridSpan w:val="2"/>
          </w:tcPr>
          <w:p w14:paraId="7D1A62F6" w14:textId="77777777" w:rsidR="00E575E6" w:rsidRPr="00E575E6" w:rsidRDefault="00E575E6"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2012</w:t>
            </w:r>
          </w:p>
        </w:tc>
        <w:tc>
          <w:tcPr>
            <w:tcW w:w="2424" w:type="dxa"/>
            <w:gridSpan w:val="2"/>
          </w:tcPr>
          <w:p w14:paraId="78536DE7" w14:textId="77777777" w:rsidR="00E575E6" w:rsidRPr="00E575E6" w:rsidRDefault="00E575E6"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2013</w:t>
            </w:r>
          </w:p>
        </w:tc>
        <w:tc>
          <w:tcPr>
            <w:tcW w:w="2395" w:type="dxa"/>
            <w:gridSpan w:val="2"/>
          </w:tcPr>
          <w:p w14:paraId="33AC1E8B" w14:textId="77777777" w:rsidR="00E575E6" w:rsidRPr="00E575E6" w:rsidRDefault="00E575E6"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2014</w:t>
            </w:r>
          </w:p>
        </w:tc>
        <w:tc>
          <w:tcPr>
            <w:tcW w:w="2410" w:type="dxa"/>
            <w:gridSpan w:val="2"/>
          </w:tcPr>
          <w:p w14:paraId="78F7221D" w14:textId="4CB3E606" w:rsidR="00E575E6" w:rsidRPr="00E575E6" w:rsidRDefault="00E575E6"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2015</w:t>
            </w:r>
          </w:p>
        </w:tc>
        <w:tc>
          <w:tcPr>
            <w:tcW w:w="2410" w:type="dxa"/>
            <w:gridSpan w:val="2"/>
          </w:tcPr>
          <w:p w14:paraId="7DA9EAF2" w14:textId="2DF90932" w:rsidR="00E575E6" w:rsidRPr="00E575E6" w:rsidRDefault="00E575E6"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2016</w:t>
            </w:r>
          </w:p>
        </w:tc>
      </w:tr>
      <w:tr w:rsidR="00E575E6" w:rsidRPr="00E575E6" w14:paraId="72D8445E" w14:textId="77777777" w:rsidTr="00490AF6">
        <w:tc>
          <w:tcPr>
            <w:tcW w:w="2122" w:type="dxa"/>
            <w:vMerge/>
          </w:tcPr>
          <w:p w14:paraId="7AB8E6FE" w14:textId="77777777" w:rsidR="009D1403" w:rsidRPr="00E575E6" w:rsidRDefault="009D1403" w:rsidP="00901D83">
            <w:pPr>
              <w:spacing w:after="0" w:line="240" w:lineRule="auto"/>
              <w:jc w:val="both"/>
              <w:rPr>
                <w:rFonts w:ascii="Times New Roman" w:eastAsia="Times New Roman" w:hAnsi="Times New Roman" w:cs="Times New Roman"/>
                <w:sz w:val="28"/>
                <w:szCs w:val="28"/>
              </w:rPr>
            </w:pPr>
          </w:p>
        </w:tc>
        <w:tc>
          <w:tcPr>
            <w:tcW w:w="1068" w:type="dxa"/>
          </w:tcPr>
          <w:p w14:paraId="2282927D"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грубый</w:t>
            </w:r>
          </w:p>
        </w:tc>
        <w:tc>
          <w:tcPr>
            <w:tcW w:w="1200" w:type="dxa"/>
          </w:tcPr>
          <w:p w14:paraId="063A94C3"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стандарт</w:t>
            </w:r>
          </w:p>
        </w:tc>
        <w:tc>
          <w:tcPr>
            <w:tcW w:w="1158" w:type="dxa"/>
          </w:tcPr>
          <w:p w14:paraId="1069BE08"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грубый</w:t>
            </w:r>
          </w:p>
        </w:tc>
        <w:tc>
          <w:tcPr>
            <w:tcW w:w="1266" w:type="dxa"/>
          </w:tcPr>
          <w:p w14:paraId="43ABED6E"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стандарт</w:t>
            </w:r>
          </w:p>
        </w:tc>
        <w:tc>
          <w:tcPr>
            <w:tcW w:w="1092" w:type="dxa"/>
          </w:tcPr>
          <w:p w14:paraId="35C07B77"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грубый</w:t>
            </w:r>
          </w:p>
        </w:tc>
        <w:tc>
          <w:tcPr>
            <w:tcW w:w="1303" w:type="dxa"/>
          </w:tcPr>
          <w:p w14:paraId="344D4A4A"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стандарт</w:t>
            </w:r>
          </w:p>
        </w:tc>
        <w:tc>
          <w:tcPr>
            <w:tcW w:w="1134" w:type="dxa"/>
          </w:tcPr>
          <w:p w14:paraId="1427CC5B"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грубый</w:t>
            </w:r>
          </w:p>
        </w:tc>
        <w:tc>
          <w:tcPr>
            <w:tcW w:w="1276" w:type="dxa"/>
          </w:tcPr>
          <w:p w14:paraId="55D77FDF"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стандарт</w:t>
            </w:r>
          </w:p>
        </w:tc>
        <w:tc>
          <w:tcPr>
            <w:tcW w:w="1134" w:type="dxa"/>
          </w:tcPr>
          <w:p w14:paraId="47516C6C"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грубый</w:t>
            </w:r>
          </w:p>
        </w:tc>
        <w:tc>
          <w:tcPr>
            <w:tcW w:w="1276" w:type="dxa"/>
          </w:tcPr>
          <w:p w14:paraId="19B93FFB"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стандарт</w:t>
            </w:r>
          </w:p>
        </w:tc>
      </w:tr>
      <w:tr w:rsidR="00E575E6" w:rsidRPr="00E575E6" w14:paraId="2F8CB8B2" w14:textId="77777777" w:rsidTr="00490AF6">
        <w:tc>
          <w:tcPr>
            <w:tcW w:w="2122" w:type="dxa"/>
          </w:tcPr>
          <w:p w14:paraId="6DC3AF39" w14:textId="77777777" w:rsidR="009D1403" w:rsidRPr="00E575E6" w:rsidRDefault="009D1403" w:rsidP="00901D83">
            <w:pPr>
              <w:spacing w:after="0" w:line="240" w:lineRule="auto"/>
              <w:jc w:val="both"/>
              <w:rPr>
                <w:rFonts w:ascii="Times New Roman" w:eastAsia="Times New Roman" w:hAnsi="Times New Roman" w:cs="Times New Roman"/>
                <w:sz w:val="28"/>
                <w:szCs w:val="28"/>
              </w:rPr>
            </w:pPr>
            <w:r w:rsidRPr="00E575E6">
              <w:rPr>
                <w:rFonts w:ascii="Times New Roman" w:eastAsia="Times New Roman" w:hAnsi="Times New Roman" w:cs="Times New Roman"/>
                <w:sz w:val="28"/>
                <w:szCs w:val="28"/>
              </w:rPr>
              <w:t>Алмалинский</w:t>
            </w:r>
          </w:p>
        </w:tc>
        <w:tc>
          <w:tcPr>
            <w:tcW w:w="1068" w:type="dxa"/>
          </w:tcPr>
          <w:p w14:paraId="07261F43"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18,87</w:t>
            </w:r>
          </w:p>
        </w:tc>
        <w:tc>
          <w:tcPr>
            <w:tcW w:w="1200" w:type="dxa"/>
          </w:tcPr>
          <w:p w14:paraId="5C8A0310"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16,08</w:t>
            </w:r>
          </w:p>
        </w:tc>
        <w:tc>
          <w:tcPr>
            <w:tcW w:w="1158" w:type="dxa"/>
          </w:tcPr>
          <w:p w14:paraId="35A45FB8"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20,07</w:t>
            </w:r>
          </w:p>
        </w:tc>
        <w:tc>
          <w:tcPr>
            <w:tcW w:w="1266" w:type="dxa"/>
          </w:tcPr>
          <w:p w14:paraId="7DF8E6B0"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18,57</w:t>
            </w:r>
          </w:p>
        </w:tc>
        <w:tc>
          <w:tcPr>
            <w:tcW w:w="1092" w:type="dxa"/>
          </w:tcPr>
          <w:p w14:paraId="50B6EDC4"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14,32</w:t>
            </w:r>
          </w:p>
        </w:tc>
        <w:tc>
          <w:tcPr>
            <w:tcW w:w="1303" w:type="dxa"/>
          </w:tcPr>
          <w:p w14:paraId="14CC4D8D"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25,34</w:t>
            </w:r>
          </w:p>
        </w:tc>
        <w:tc>
          <w:tcPr>
            <w:tcW w:w="1134" w:type="dxa"/>
          </w:tcPr>
          <w:p w14:paraId="7CC7C96D"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16,56</w:t>
            </w:r>
          </w:p>
        </w:tc>
        <w:tc>
          <w:tcPr>
            <w:tcW w:w="1276" w:type="dxa"/>
          </w:tcPr>
          <w:p w14:paraId="17874513"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14,85</w:t>
            </w:r>
          </w:p>
        </w:tc>
        <w:tc>
          <w:tcPr>
            <w:tcW w:w="1134" w:type="dxa"/>
          </w:tcPr>
          <w:p w14:paraId="3B71A1B9"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18,96</w:t>
            </w:r>
          </w:p>
        </w:tc>
        <w:tc>
          <w:tcPr>
            <w:tcW w:w="1276" w:type="dxa"/>
          </w:tcPr>
          <w:p w14:paraId="11561C6A"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16,67</w:t>
            </w:r>
          </w:p>
        </w:tc>
      </w:tr>
      <w:tr w:rsidR="00E575E6" w:rsidRPr="00E575E6" w14:paraId="05B8FE64" w14:textId="77777777" w:rsidTr="00490AF6">
        <w:tc>
          <w:tcPr>
            <w:tcW w:w="2122" w:type="dxa"/>
          </w:tcPr>
          <w:p w14:paraId="44964241" w14:textId="77777777" w:rsidR="009D1403" w:rsidRPr="00E575E6" w:rsidRDefault="009D1403" w:rsidP="00901D83">
            <w:pPr>
              <w:spacing w:after="0" w:line="240" w:lineRule="auto"/>
              <w:jc w:val="both"/>
              <w:rPr>
                <w:rFonts w:ascii="Times New Roman" w:eastAsia="Times New Roman" w:hAnsi="Times New Roman" w:cs="Times New Roman"/>
                <w:sz w:val="28"/>
                <w:szCs w:val="28"/>
              </w:rPr>
            </w:pPr>
            <w:r w:rsidRPr="00E575E6">
              <w:rPr>
                <w:rFonts w:ascii="Times New Roman" w:eastAsia="Times New Roman" w:hAnsi="Times New Roman" w:cs="Times New Roman"/>
                <w:sz w:val="28"/>
                <w:szCs w:val="28"/>
              </w:rPr>
              <w:t>Алатауский</w:t>
            </w:r>
          </w:p>
        </w:tc>
        <w:tc>
          <w:tcPr>
            <w:tcW w:w="1068" w:type="dxa"/>
          </w:tcPr>
          <w:p w14:paraId="53789D4A"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12,32</w:t>
            </w:r>
          </w:p>
        </w:tc>
        <w:tc>
          <w:tcPr>
            <w:tcW w:w="1200" w:type="dxa"/>
          </w:tcPr>
          <w:p w14:paraId="55370C61"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19,02</w:t>
            </w:r>
          </w:p>
        </w:tc>
        <w:tc>
          <w:tcPr>
            <w:tcW w:w="1158" w:type="dxa"/>
          </w:tcPr>
          <w:p w14:paraId="3BE2BFAD"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9,33</w:t>
            </w:r>
          </w:p>
        </w:tc>
        <w:tc>
          <w:tcPr>
            <w:tcW w:w="1266" w:type="dxa"/>
          </w:tcPr>
          <w:p w14:paraId="04E032E8"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13,80</w:t>
            </w:r>
          </w:p>
        </w:tc>
        <w:tc>
          <w:tcPr>
            <w:tcW w:w="1092" w:type="dxa"/>
          </w:tcPr>
          <w:p w14:paraId="280DA6B4"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9,34</w:t>
            </w:r>
          </w:p>
        </w:tc>
        <w:tc>
          <w:tcPr>
            <w:tcW w:w="1303" w:type="dxa"/>
          </w:tcPr>
          <w:p w14:paraId="2EC1189D"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14,59</w:t>
            </w:r>
          </w:p>
        </w:tc>
        <w:tc>
          <w:tcPr>
            <w:tcW w:w="1134" w:type="dxa"/>
          </w:tcPr>
          <w:p w14:paraId="40DA14FA"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9,33</w:t>
            </w:r>
          </w:p>
        </w:tc>
        <w:tc>
          <w:tcPr>
            <w:tcW w:w="1276" w:type="dxa"/>
          </w:tcPr>
          <w:p w14:paraId="0963A1C7"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14,66</w:t>
            </w:r>
          </w:p>
        </w:tc>
        <w:tc>
          <w:tcPr>
            <w:tcW w:w="1134" w:type="dxa"/>
          </w:tcPr>
          <w:p w14:paraId="4E41F26F"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11,53</w:t>
            </w:r>
          </w:p>
        </w:tc>
        <w:tc>
          <w:tcPr>
            <w:tcW w:w="1276" w:type="dxa"/>
          </w:tcPr>
          <w:p w14:paraId="52FE6D6E"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18,39</w:t>
            </w:r>
          </w:p>
        </w:tc>
      </w:tr>
      <w:tr w:rsidR="00E575E6" w:rsidRPr="00E575E6" w14:paraId="36E730F4" w14:textId="77777777" w:rsidTr="00490AF6">
        <w:tc>
          <w:tcPr>
            <w:tcW w:w="2122" w:type="dxa"/>
          </w:tcPr>
          <w:p w14:paraId="2503E53F" w14:textId="77777777" w:rsidR="009D1403" w:rsidRPr="00E575E6" w:rsidRDefault="009D1403" w:rsidP="00901D83">
            <w:pPr>
              <w:spacing w:after="0" w:line="240" w:lineRule="auto"/>
              <w:jc w:val="both"/>
              <w:rPr>
                <w:rFonts w:ascii="Times New Roman" w:eastAsia="Times New Roman" w:hAnsi="Times New Roman" w:cs="Times New Roman"/>
                <w:sz w:val="28"/>
                <w:szCs w:val="28"/>
              </w:rPr>
            </w:pPr>
            <w:r w:rsidRPr="00E575E6">
              <w:rPr>
                <w:rFonts w:ascii="Times New Roman" w:eastAsia="Times New Roman" w:hAnsi="Times New Roman" w:cs="Times New Roman"/>
                <w:sz w:val="28"/>
                <w:szCs w:val="28"/>
              </w:rPr>
              <w:t>Ауэзовский</w:t>
            </w:r>
          </w:p>
        </w:tc>
        <w:tc>
          <w:tcPr>
            <w:tcW w:w="1068" w:type="dxa"/>
          </w:tcPr>
          <w:p w14:paraId="217E6E17"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21,08</w:t>
            </w:r>
          </w:p>
        </w:tc>
        <w:tc>
          <w:tcPr>
            <w:tcW w:w="1200" w:type="dxa"/>
          </w:tcPr>
          <w:p w14:paraId="0A5237C8"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20,64</w:t>
            </w:r>
          </w:p>
        </w:tc>
        <w:tc>
          <w:tcPr>
            <w:tcW w:w="1158" w:type="dxa"/>
          </w:tcPr>
          <w:p w14:paraId="0F32BBD1"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23,11</w:t>
            </w:r>
          </w:p>
        </w:tc>
        <w:tc>
          <w:tcPr>
            <w:tcW w:w="1266" w:type="dxa"/>
          </w:tcPr>
          <w:p w14:paraId="285BF155"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22,98</w:t>
            </w:r>
          </w:p>
        </w:tc>
        <w:tc>
          <w:tcPr>
            <w:tcW w:w="1092" w:type="dxa"/>
          </w:tcPr>
          <w:p w14:paraId="6A460A64"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21,12</w:t>
            </w:r>
          </w:p>
        </w:tc>
        <w:tc>
          <w:tcPr>
            <w:tcW w:w="1303" w:type="dxa"/>
          </w:tcPr>
          <w:p w14:paraId="1C09873B"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21,99</w:t>
            </w:r>
          </w:p>
        </w:tc>
        <w:tc>
          <w:tcPr>
            <w:tcW w:w="1134" w:type="dxa"/>
          </w:tcPr>
          <w:p w14:paraId="3495A14D"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22,52</w:t>
            </w:r>
          </w:p>
        </w:tc>
        <w:tc>
          <w:tcPr>
            <w:tcW w:w="1276" w:type="dxa"/>
          </w:tcPr>
          <w:p w14:paraId="6B59C9A8"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22,96</w:t>
            </w:r>
          </w:p>
        </w:tc>
        <w:tc>
          <w:tcPr>
            <w:tcW w:w="1134" w:type="dxa"/>
          </w:tcPr>
          <w:p w14:paraId="6E9A2532"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21,94</w:t>
            </w:r>
          </w:p>
        </w:tc>
        <w:tc>
          <w:tcPr>
            <w:tcW w:w="1276" w:type="dxa"/>
          </w:tcPr>
          <w:p w14:paraId="2A91D00C"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22,91</w:t>
            </w:r>
          </w:p>
        </w:tc>
      </w:tr>
      <w:tr w:rsidR="00E575E6" w:rsidRPr="00E575E6" w14:paraId="493D5142" w14:textId="77777777" w:rsidTr="00490AF6">
        <w:tc>
          <w:tcPr>
            <w:tcW w:w="2122" w:type="dxa"/>
          </w:tcPr>
          <w:p w14:paraId="5E4DDD40" w14:textId="77777777" w:rsidR="009D1403" w:rsidRPr="00E575E6" w:rsidRDefault="009D1403" w:rsidP="00901D83">
            <w:pPr>
              <w:spacing w:after="0" w:line="240" w:lineRule="auto"/>
              <w:jc w:val="both"/>
              <w:rPr>
                <w:rFonts w:ascii="Times New Roman" w:eastAsia="Times New Roman" w:hAnsi="Times New Roman" w:cs="Times New Roman"/>
                <w:sz w:val="28"/>
                <w:szCs w:val="28"/>
              </w:rPr>
            </w:pPr>
            <w:r w:rsidRPr="00E575E6">
              <w:rPr>
                <w:rFonts w:ascii="Times New Roman" w:eastAsia="Times New Roman" w:hAnsi="Times New Roman" w:cs="Times New Roman"/>
                <w:sz w:val="28"/>
                <w:szCs w:val="28"/>
              </w:rPr>
              <w:t>Бостандыкский</w:t>
            </w:r>
          </w:p>
        </w:tc>
        <w:tc>
          <w:tcPr>
            <w:tcW w:w="1068" w:type="dxa"/>
          </w:tcPr>
          <w:p w14:paraId="6C2DCD91"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12,05</w:t>
            </w:r>
          </w:p>
        </w:tc>
        <w:tc>
          <w:tcPr>
            <w:tcW w:w="1200" w:type="dxa"/>
          </w:tcPr>
          <w:p w14:paraId="34343467"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13,74</w:t>
            </w:r>
          </w:p>
        </w:tc>
        <w:tc>
          <w:tcPr>
            <w:tcW w:w="1158" w:type="dxa"/>
          </w:tcPr>
          <w:p w14:paraId="51CB2FA7"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13,35</w:t>
            </w:r>
          </w:p>
        </w:tc>
        <w:tc>
          <w:tcPr>
            <w:tcW w:w="1266" w:type="dxa"/>
          </w:tcPr>
          <w:p w14:paraId="7AF00A82"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15,91</w:t>
            </w:r>
          </w:p>
        </w:tc>
        <w:tc>
          <w:tcPr>
            <w:tcW w:w="1092" w:type="dxa"/>
          </w:tcPr>
          <w:p w14:paraId="65D00C32"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12,54</w:t>
            </w:r>
          </w:p>
        </w:tc>
        <w:tc>
          <w:tcPr>
            <w:tcW w:w="1303" w:type="dxa"/>
          </w:tcPr>
          <w:p w14:paraId="7970B473"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14,75</w:t>
            </w:r>
          </w:p>
        </w:tc>
        <w:tc>
          <w:tcPr>
            <w:tcW w:w="1134" w:type="dxa"/>
          </w:tcPr>
          <w:p w14:paraId="73C79B42"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14,30</w:t>
            </w:r>
          </w:p>
        </w:tc>
        <w:tc>
          <w:tcPr>
            <w:tcW w:w="1276" w:type="dxa"/>
          </w:tcPr>
          <w:p w14:paraId="4B9C1A01"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16,58</w:t>
            </w:r>
          </w:p>
        </w:tc>
        <w:tc>
          <w:tcPr>
            <w:tcW w:w="1134" w:type="dxa"/>
          </w:tcPr>
          <w:p w14:paraId="3E9E68E9"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15,27</w:t>
            </w:r>
          </w:p>
        </w:tc>
        <w:tc>
          <w:tcPr>
            <w:tcW w:w="1276" w:type="dxa"/>
          </w:tcPr>
          <w:p w14:paraId="5E2B9699"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17,91</w:t>
            </w:r>
          </w:p>
        </w:tc>
      </w:tr>
      <w:tr w:rsidR="00E575E6" w:rsidRPr="00E575E6" w14:paraId="5F7AE55F" w14:textId="77777777" w:rsidTr="00490AF6">
        <w:tc>
          <w:tcPr>
            <w:tcW w:w="2122" w:type="dxa"/>
          </w:tcPr>
          <w:p w14:paraId="50633D79" w14:textId="77777777" w:rsidR="009D1403" w:rsidRPr="00E575E6" w:rsidRDefault="009D1403" w:rsidP="00901D83">
            <w:pPr>
              <w:spacing w:after="0" w:line="240" w:lineRule="auto"/>
              <w:jc w:val="both"/>
              <w:rPr>
                <w:rFonts w:ascii="Times New Roman" w:eastAsia="Times New Roman" w:hAnsi="Times New Roman" w:cs="Times New Roman"/>
                <w:sz w:val="28"/>
                <w:szCs w:val="28"/>
              </w:rPr>
            </w:pPr>
            <w:r w:rsidRPr="00E575E6">
              <w:rPr>
                <w:rFonts w:ascii="Times New Roman" w:eastAsia="Times New Roman" w:hAnsi="Times New Roman" w:cs="Times New Roman"/>
                <w:sz w:val="28"/>
                <w:szCs w:val="28"/>
              </w:rPr>
              <w:t>Жетысуский</w:t>
            </w:r>
          </w:p>
        </w:tc>
        <w:tc>
          <w:tcPr>
            <w:tcW w:w="1068" w:type="dxa"/>
          </w:tcPr>
          <w:p w14:paraId="0A3A2566"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15,24</w:t>
            </w:r>
          </w:p>
        </w:tc>
        <w:tc>
          <w:tcPr>
            <w:tcW w:w="1200" w:type="dxa"/>
          </w:tcPr>
          <w:p w14:paraId="73B976BE"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13,62</w:t>
            </w:r>
          </w:p>
        </w:tc>
        <w:tc>
          <w:tcPr>
            <w:tcW w:w="1158" w:type="dxa"/>
          </w:tcPr>
          <w:p w14:paraId="2D0D5C2C"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17,29</w:t>
            </w:r>
          </w:p>
        </w:tc>
        <w:tc>
          <w:tcPr>
            <w:tcW w:w="1266" w:type="dxa"/>
          </w:tcPr>
          <w:p w14:paraId="7495D547"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16,98</w:t>
            </w:r>
          </w:p>
        </w:tc>
        <w:tc>
          <w:tcPr>
            <w:tcW w:w="1092" w:type="dxa"/>
          </w:tcPr>
          <w:p w14:paraId="33240812"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19,13</w:t>
            </w:r>
          </w:p>
        </w:tc>
        <w:tc>
          <w:tcPr>
            <w:tcW w:w="1303" w:type="dxa"/>
          </w:tcPr>
          <w:p w14:paraId="08565703"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18,94</w:t>
            </w:r>
          </w:p>
        </w:tc>
        <w:tc>
          <w:tcPr>
            <w:tcW w:w="1134" w:type="dxa"/>
          </w:tcPr>
          <w:p w14:paraId="7354B19A"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16,08</w:t>
            </w:r>
          </w:p>
        </w:tc>
        <w:tc>
          <w:tcPr>
            <w:tcW w:w="1276" w:type="dxa"/>
          </w:tcPr>
          <w:p w14:paraId="132E64E6"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19,14</w:t>
            </w:r>
          </w:p>
        </w:tc>
        <w:tc>
          <w:tcPr>
            <w:tcW w:w="1134" w:type="dxa"/>
          </w:tcPr>
          <w:p w14:paraId="75E17A15"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19,67</w:t>
            </w:r>
          </w:p>
        </w:tc>
        <w:tc>
          <w:tcPr>
            <w:tcW w:w="1276" w:type="dxa"/>
          </w:tcPr>
          <w:p w14:paraId="6615701D"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23,68</w:t>
            </w:r>
          </w:p>
        </w:tc>
      </w:tr>
      <w:tr w:rsidR="00E575E6" w:rsidRPr="00E575E6" w14:paraId="41C384ED" w14:textId="77777777" w:rsidTr="00490AF6">
        <w:tc>
          <w:tcPr>
            <w:tcW w:w="2122" w:type="dxa"/>
          </w:tcPr>
          <w:p w14:paraId="08BE4961" w14:textId="77777777" w:rsidR="009D1403" w:rsidRPr="00E575E6" w:rsidRDefault="009D1403" w:rsidP="00901D83">
            <w:pPr>
              <w:spacing w:after="0" w:line="240" w:lineRule="auto"/>
              <w:jc w:val="both"/>
              <w:rPr>
                <w:rFonts w:ascii="Times New Roman" w:eastAsia="Times New Roman" w:hAnsi="Times New Roman" w:cs="Times New Roman"/>
                <w:sz w:val="28"/>
                <w:szCs w:val="28"/>
              </w:rPr>
            </w:pPr>
            <w:r w:rsidRPr="00E575E6">
              <w:rPr>
                <w:rFonts w:ascii="Times New Roman" w:eastAsia="Times New Roman" w:hAnsi="Times New Roman" w:cs="Times New Roman"/>
                <w:sz w:val="28"/>
                <w:szCs w:val="28"/>
              </w:rPr>
              <w:t>Медеуский</w:t>
            </w:r>
          </w:p>
        </w:tc>
        <w:tc>
          <w:tcPr>
            <w:tcW w:w="1068" w:type="dxa"/>
          </w:tcPr>
          <w:p w14:paraId="0711B5E1"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16,78</w:t>
            </w:r>
          </w:p>
        </w:tc>
        <w:tc>
          <w:tcPr>
            <w:tcW w:w="1200" w:type="dxa"/>
          </w:tcPr>
          <w:p w14:paraId="4D7B2F96"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16,90</w:t>
            </w:r>
          </w:p>
        </w:tc>
        <w:tc>
          <w:tcPr>
            <w:tcW w:w="1158" w:type="dxa"/>
          </w:tcPr>
          <w:p w14:paraId="09DD65D6"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18,18</w:t>
            </w:r>
          </w:p>
        </w:tc>
        <w:tc>
          <w:tcPr>
            <w:tcW w:w="1266" w:type="dxa"/>
          </w:tcPr>
          <w:p w14:paraId="0D987C24"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18,78</w:t>
            </w:r>
          </w:p>
        </w:tc>
        <w:tc>
          <w:tcPr>
            <w:tcW w:w="1092" w:type="dxa"/>
          </w:tcPr>
          <w:p w14:paraId="2DDF29CD"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18,10</w:t>
            </w:r>
          </w:p>
        </w:tc>
        <w:tc>
          <w:tcPr>
            <w:tcW w:w="1303" w:type="dxa"/>
          </w:tcPr>
          <w:p w14:paraId="65536434"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18,51</w:t>
            </w:r>
          </w:p>
        </w:tc>
        <w:tc>
          <w:tcPr>
            <w:tcW w:w="1134" w:type="dxa"/>
          </w:tcPr>
          <w:p w14:paraId="4B380AB6"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17,89</w:t>
            </w:r>
          </w:p>
        </w:tc>
        <w:tc>
          <w:tcPr>
            <w:tcW w:w="1276" w:type="dxa"/>
          </w:tcPr>
          <w:p w14:paraId="3FFFD091"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18,02</w:t>
            </w:r>
          </w:p>
        </w:tc>
        <w:tc>
          <w:tcPr>
            <w:tcW w:w="1134" w:type="dxa"/>
          </w:tcPr>
          <w:p w14:paraId="53F12C75"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18,30</w:t>
            </w:r>
          </w:p>
        </w:tc>
        <w:tc>
          <w:tcPr>
            <w:tcW w:w="1276" w:type="dxa"/>
          </w:tcPr>
          <w:p w14:paraId="66435FEA"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18,88</w:t>
            </w:r>
          </w:p>
        </w:tc>
      </w:tr>
      <w:tr w:rsidR="00E575E6" w:rsidRPr="00E575E6" w14:paraId="5C6CE255" w14:textId="77777777" w:rsidTr="00490AF6">
        <w:tc>
          <w:tcPr>
            <w:tcW w:w="2122" w:type="dxa"/>
            <w:tcBorders>
              <w:bottom w:val="single" w:sz="4" w:space="0" w:color="auto"/>
            </w:tcBorders>
          </w:tcPr>
          <w:p w14:paraId="04CF47AD" w14:textId="77777777" w:rsidR="009D1403" w:rsidRPr="00E575E6" w:rsidRDefault="009D1403" w:rsidP="00901D83">
            <w:pPr>
              <w:spacing w:after="0" w:line="240" w:lineRule="auto"/>
              <w:jc w:val="both"/>
              <w:rPr>
                <w:rFonts w:ascii="Times New Roman" w:eastAsia="Times New Roman" w:hAnsi="Times New Roman" w:cs="Times New Roman"/>
                <w:sz w:val="28"/>
                <w:szCs w:val="28"/>
              </w:rPr>
            </w:pPr>
            <w:r w:rsidRPr="00E575E6">
              <w:rPr>
                <w:rFonts w:ascii="Times New Roman" w:eastAsia="Times New Roman" w:hAnsi="Times New Roman" w:cs="Times New Roman"/>
                <w:sz w:val="28"/>
                <w:szCs w:val="28"/>
              </w:rPr>
              <w:t>Наурызбайский</w:t>
            </w:r>
          </w:p>
        </w:tc>
        <w:tc>
          <w:tcPr>
            <w:tcW w:w="1068" w:type="dxa"/>
            <w:tcBorders>
              <w:bottom w:val="single" w:sz="4" w:space="0" w:color="auto"/>
            </w:tcBorders>
          </w:tcPr>
          <w:p w14:paraId="1EFD6794"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w:t>
            </w:r>
          </w:p>
        </w:tc>
        <w:tc>
          <w:tcPr>
            <w:tcW w:w="1200" w:type="dxa"/>
            <w:tcBorders>
              <w:bottom w:val="single" w:sz="4" w:space="0" w:color="auto"/>
            </w:tcBorders>
          </w:tcPr>
          <w:p w14:paraId="7A7B674A"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w:t>
            </w:r>
          </w:p>
        </w:tc>
        <w:tc>
          <w:tcPr>
            <w:tcW w:w="1158" w:type="dxa"/>
            <w:tcBorders>
              <w:bottom w:val="single" w:sz="4" w:space="0" w:color="auto"/>
            </w:tcBorders>
          </w:tcPr>
          <w:p w14:paraId="6B366982"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w:t>
            </w:r>
          </w:p>
        </w:tc>
        <w:tc>
          <w:tcPr>
            <w:tcW w:w="1266" w:type="dxa"/>
            <w:tcBorders>
              <w:bottom w:val="single" w:sz="4" w:space="0" w:color="auto"/>
            </w:tcBorders>
          </w:tcPr>
          <w:p w14:paraId="217A8229"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w:t>
            </w:r>
          </w:p>
        </w:tc>
        <w:tc>
          <w:tcPr>
            <w:tcW w:w="1092" w:type="dxa"/>
            <w:tcBorders>
              <w:bottom w:val="single" w:sz="4" w:space="0" w:color="auto"/>
            </w:tcBorders>
          </w:tcPr>
          <w:p w14:paraId="73E021F4"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w:t>
            </w:r>
          </w:p>
        </w:tc>
        <w:tc>
          <w:tcPr>
            <w:tcW w:w="1303" w:type="dxa"/>
            <w:tcBorders>
              <w:bottom w:val="single" w:sz="4" w:space="0" w:color="auto"/>
            </w:tcBorders>
          </w:tcPr>
          <w:p w14:paraId="78837D48"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w:t>
            </w:r>
          </w:p>
        </w:tc>
        <w:tc>
          <w:tcPr>
            <w:tcW w:w="1134" w:type="dxa"/>
            <w:tcBorders>
              <w:bottom w:val="single" w:sz="4" w:space="0" w:color="auto"/>
            </w:tcBorders>
          </w:tcPr>
          <w:p w14:paraId="676A25DF"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8,45</w:t>
            </w:r>
          </w:p>
        </w:tc>
        <w:tc>
          <w:tcPr>
            <w:tcW w:w="1276" w:type="dxa"/>
            <w:tcBorders>
              <w:bottom w:val="single" w:sz="4" w:space="0" w:color="auto"/>
            </w:tcBorders>
          </w:tcPr>
          <w:p w14:paraId="6E3BB972"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10,79</w:t>
            </w:r>
          </w:p>
        </w:tc>
        <w:tc>
          <w:tcPr>
            <w:tcW w:w="1134" w:type="dxa"/>
            <w:tcBorders>
              <w:bottom w:val="single" w:sz="4" w:space="0" w:color="auto"/>
            </w:tcBorders>
          </w:tcPr>
          <w:p w14:paraId="044637AA"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11,26</w:t>
            </w:r>
          </w:p>
        </w:tc>
        <w:tc>
          <w:tcPr>
            <w:tcW w:w="1276" w:type="dxa"/>
            <w:tcBorders>
              <w:bottom w:val="single" w:sz="4" w:space="0" w:color="auto"/>
            </w:tcBorders>
          </w:tcPr>
          <w:p w14:paraId="14D221F1"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14,47</w:t>
            </w:r>
          </w:p>
        </w:tc>
      </w:tr>
      <w:tr w:rsidR="00E575E6" w:rsidRPr="00E575E6" w14:paraId="2BAB1C19" w14:textId="77777777" w:rsidTr="00490AF6">
        <w:tc>
          <w:tcPr>
            <w:tcW w:w="2122" w:type="dxa"/>
            <w:tcBorders>
              <w:bottom w:val="nil"/>
            </w:tcBorders>
          </w:tcPr>
          <w:p w14:paraId="5833B12B" w14:textId="77777777" w:rsidR="009D1403" w:rsidRPr="00E575E6" w:rsidRDefault="009D1403" w:rsidP="00901D83">
            <w:pPr>
              <w:spacing w:after="0" w:line="240" w:lineRule="auto"/>
              <w:jc w:val="both"/>
              <w:rPr>
                <w:rFonts w:ascii="Times New Roman" w:eastAsia="Times New Roman" w:hAnsi="Times New Roman" w:cs="Times New Roman"/>
                <w:sz w:val="28"/>
                <w:szCs w:val="28"/>
              </w:rPr>
            </w:pPr>
            <w:r w:rsidRPr="00E575E6">
              <w:rPr>
                <w:rFonts w:ascii="Times New Roman" w:eastAsia="Times New Roman" w:hAnsi="Times New Roman" w:cs="Times New Roman"/>
                <w:sz w:val="28"/>
                <w:szCs w:val="28"/>
              </w:rPr>
              <w:t>Турксибский</w:t>
            </w:r>
          </w:p>
        </w:tc>
        <w:tc>
          <w:tcPr>
            <w:tcW w:w="1068" w:type="dxa"/>
            <w:tcBorders>
              <w:bottom w:val="nil"/>
            </w:tcBorders>
          </w:tcPr>
          <w:p w14:paraId="522093BD"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18,38</w:t>
            </w:r>
          </w:p>
        </w:tc>
        <w:tc>
          <w:tcPr>
            <w:tcW w:w="1200" w:type="dxa"/>
            <w:tcBorders>
              <w:bottom w:val="nil"/>
            </w:tcBorders>
          </w:tcPr>
          <w:p w14:paraId="46D0A0B0"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16,97</w:t>
            </w:r>
          </w:p>
        </w:tc>
        <w:tc>
          <w:tcPr>
            <w:tcW w:w="1158" w:type="dxa"/>
            <w:tcBorders>
              <w:bottom w:val="nil"/>
            </w:tcBorders>
          </w:tcPr>
          <w:p w14:paraId="4CB15069"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17,65</w:t>
            </w:r>
          </w:p>
        </w:tc>
        <w:tc>
          <w:tcPr>
            <w:tcW w:w="1266" w:type="dxa"/>
            <w:tcBorders>
              <w:bottom w:val="nil"/>
            </w:tcBorders>
          </w:tcPr>
          <w:p w14:paraId="4966A921"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17,22</w:t>
            </w:r>
          </w:p>
        </w:tc>
        <w:tc>
          <w:tcPr>
            <w:tcW w:w="1092" w:type="dxa"/>
            <w:tcBorders>
              <w:bottom w:val="nil"/>
            </w:tcBorders>
          </w:tcPr>
          <w:p w14:paraId="027340CB"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17,19</w:t>
            </w:r>
          </w:p>
        </w:tc>
        <w:tc>
          <w:tcPr>
            <w:tcW w:w="1303" w:type="dxa"/>
            <w:tcBorders>
              <w:bottom w:val="nil"/>
            </w:tcBorders>
          </w:tcPr>
          <w:p w14:paraId="1A894B25"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17,32</w:t>
            </w:r>
          </w:p>
        </w:tc>
        <w:tc>
          <w:tcPr>
            <w:tcW w:w="1134" w:type="dxa"/>
            <w:tcBorders>
              <w:bottom w:val="nil"/>
            </w:tcBorders>
          </w:tcPr>
          <w:p w14:paraId="2014820B"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18,26</w:t>
            </w:r>
          </w:p>
        </w:tc>
        <w:tc>
          <w:tcPr>
            <w:tcW w:w="1276" w:type="dxa"/>
            <w:tcBorders>
              <w:bottom w:val="nil"/>
            </w:tcBorders>
          </w:tcPr>
          <w:p w14:paraId="4DCDA1EF"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17,72</w:t>
            </w:r>
          </w:p>
        </w:tc>
        <w:tc>
          <w:tcPr>
            <w:tcW w:w="1134" w:type="dxa"/>
            <w:tcBorders>
              <w:bottom w:val="nil"/>
            </w:tcBorders>
          </w:tcPr>
          <w:p w14:paraId="64CA21AB"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19,94</w:t>
            </w:r>
          </w:p>
        </w:tc>
        <w:tc>
          <w:tcPr>
            <w:tcW w:w="1276" w:type="dxa"/>
            <w:tcBorders>
              <w:bottom w:val="nil"/>
            </w:tcBorders>
          </w:tcPr>
          <w:p w14:paraId="397A80C7" w14:textId="77777777" w:rsidR="009D1403" w:rsidRPr="00E575E6" w:rsidRDefault="009D1403" w:rsidP="00901D83">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19,87</w:t>
            </w:r>
          </w:p>
        </w:tc>
      </w:tr>
    </w:tbl>
    <w:p w14:paraId="64AE26C7" w14:textId="7ED77E5C" w:rsidR="00E575E6" w:rsidRDefault="00E575E6" w:rsidP="00E575E6">
      <w:pPr>
        <w:spacing w:after="0" w:line="240" w:lineRule="auto"/>
        <w:jc w:val="both"/>
        <w:rPr>
          <w:rFonts w:ascii="Times New Roman" w:eastAsiaTheme="minorHAnsi" w:hAnsi="Times New Roman" w:cs="Times New Roman"/>
          <w:bCs/>
          <w:sz w:val="28"/>
          <w:szCs w:val="28"/>
          <w:lang w:eastAsia="en-US"/>
        </w:rPr>
      </w:pPr>
      <w:r>
        <w:rPr>
          <w:rFonts w:ascii="Times New Roman" w:eastAsiaTheme="minorHAnsi" w:hAnsi="Times New Roman" w:cs="Times New Roman"/>
          <w:sz w:val="28"/>
          <w:szCs w:val="28"/>
          <w:lang w:eastAsia="en-US"/>
        </w:rPr>
        <w:t xml:space="preserve">     </w:t>
      </w:r>
      <w:r w:rsidRPr="004135FE">
        <w:rPr>
          <w:rFonts w:ascii="Times New Roman" w:eastAsiaTheme="minorHAnsi" w:hAnsi="Times New Roman" w:cs="Times New Roman"/>
          <w:sz w:val="28"/>
          <w:szCs w:val="28"/>
          <w:lang w:eastAsia="en-US"/>
        </w:rPr>
        <w:t xml:space="preserve">Таблица 12 – </w:t>
      </w:r>
      <w:r w:rsidRPr="004135FE">
        <w:rPr>
          <w:rFonts w:ascii="Times New Roman" w:eastAsiaTheme="minorHAnsi" w:hAnsi="Times New Roman" w:cs="Times New Roman"/>
          <w:bCs/>
          <w:sz w:val="28"/>
          <w:szCs w:val="28"/>
          <w:lang w:eastAsia="en-US"/>
        </w:rPr>
        <w:t>Расчет стандартизированных показателей распространенности по СД2т по г.Алматы (2012-2021гг)</w:t>
      </w:r>
    </w:p>
    <w:p w14:paraId="213A9CE0" w14:textId="4286FBFB" w:rsidR="009D1403" w:rsidRPr="004135FE" w:rsidRDefault="009D1403" w:rsidP="004135FE">
      <w:pPr>
        <w:spacing w:after="0" w:line="240" w:lineRule="auto"/>
        <w:jc w:val="both"/>
        <w:rPr>
          <w:rFonts w:ascii="Times New Roman" w:eastAsia="Times New Roman" w:hAnsi="Times New Roman" w:cs="Times New Roman"/>
          <w:sz w:val="28"/>
          <w:szCs w:val="28"/>
        </w:rPr>
      </w:pPr>
    </w:p>
    <w:tbl>
      <w:tblPr>
        <w:tblStyle w:val="a5"/>
        <w:tblW w:w="14033" w:type="dxa"/>
        <w:tblInd w:w="279" w:type="dxa"/>
        <w:tblLayout w:type="fixed"/>
        <w:tblLook w:val="04A0" w:firstRow="1" w:lastRow="0" w:firstColumn="1" w:lastColumn="0" w:noHBand="0" w:noVBand="1"/>
      </w:tblPr>
      <w:tblGrid>
        <w:gridCol w:w="2126"/>
        <w:gridCol w:w="992"/>
        <w:gridCol w:w="1276"/>
        <w:gridCol w:w="1134"/>
        <w:gridCol w:w="1276"/>
        <w:gridCol w:w="1134"/>
        <w:gridCol w:w="1276"/>
        <w:gridCol w:w="1134"/>
        <w:gridCol w:w="1275"/>
        <w:gridCol w:w="1134"/>
        <w:gridCol w:w="1276"/>
      </w:tblGrid>
      <w:tr w:rsidR="00E575E6" w:rsidRPr="00E575E6" w14:paraId="6B29205E" w14:textId="77777777" w:rsidTr="00490AF6">
        <w:tc>
          <w:tcPr>
            <w:tcW w:w="2126" w:type="dxa"/>
            <w:vMerge w:val="restart"/>
          </w:tcPr>
          <w:p w14:paraId="1ADCDA81" w14:textId="77777777" w:rsidR="009D1403" w:rsidRPr="00E575E6" w:rsidRDefault="009D1403" w:rsidP="004135FE">
            <w:pPr>
              <w:spacing w:after="0" w:line="240" w:lineRule="auto"/>
              <w:jc w:val="both"/>
              <w:rPr>
                <w:rFonts w:ascii="Times New Roman" w:eastAsia="Times New Roman" w:hAnsi="Times New Roman" w:cs="Times New Roman"/>
                <w:sz w:val="28"/>
                <w:szCs w:val="28"/>
              </w:rPr>
            </w:pPr>
            <w:r w:rsidRPr="00E575E6">
              <w:rPr>
                <w:rFonts w:ascii="Times New Roman" w:eastAsia="Times New Roman" w:hAnsi="Times New Roman" w:cs="Times New Roman"/>
                <w:sz w:val="28"/>
                <w:szCs w:val="28"/>
              </w:rPr>
              <w:t>Районы</w:t>
            </w:r>
          </w:p>
        </w:tc>
        <w:tc>
          <w:tcPr>
            <w:tcW w:w="2268" w:type="dxa"/>
            <w:gridSpan w:val="2"/>
          </w:tcPr>
          <w:p w14:paraId="25B75684"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2017</w:t>
            </w:r>
          </w:p>
        </w:tc>
        <w:tc>
          <w:tcPr>
            <w:tcW w:w="2410" w:type="dxa"/>
            <w:gridSpan w:val="2"/>
          </w:tcPr>
          <w:p w14:paraId="057EBCA8"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2018</w:t>
            </w:r>
          </w:p>
        </w:tc>
        <w:tc>
          <w:tcPr>
            <w:tcW w:w="2410" w:type="dxa"/>
            <w:gridSpan w:val="2"/>
          </w:tcPr>
          <w:p w14:paraId="6A181D12"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2019</w:t>
            </w:r>
          </w:p>
        </w:tc>
        <w:tc>
          <w:tcPr>
            <w:tcW w:w="2409" w:type="dxa"/>
            <w:gridSpan w:val="2"/>
          </w:tcPr>
          <w:p w14:paraId="3A20238A"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2020</w:t>
            </w:r>
          </w:p>
        </w:tc>
        <w:tc>
          <w:tcPr>
            <w:tcW w:w="2410" w:type="dxa"/>
            <w:gridSpan w:val="2"/>
          </w:tcPr>
          <w:p w14:paraId="7E004377"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2021</w:t>
            </w:r>
          </w:p>
        </w:tc>
      </w:tr>
      <w:tr w:rsidR="00E575E6" w:rsidRPr="00E575E6" w14:paraId="340AE3C2" w14:textId="77777777" w:rsidTr="00490AF6">
        <w:tc>
          <w:tcPr>
            <w:tcW w:w="2126" w:type="dxa"/>
            <w:vMerge/>
          </w:tcPr>
          <w:p w14:paraId="23CBA4F8" w14:textId="77777777" w:rsidR="009D1403" w:rsidRPr="00E575E6" w:rsidRDefault="009D1403" w:rsidP="004135FE">
            <w:pPr>
              <w:spacing w:after="0" w:line="240" w:lineRule="auto"/>
              <w:jc w:val="both"/>
              <w:rPr>
                <w:rFonts w:ascii="Times New Roman" w:eastAsia="Times New Roman" w:hAnsi="Times New Roman" w:cs="Times New Roman"/>
                <w:sz w:val="28"/>
                <w:szCs w:val="28"/>
              </w:rPr>
            </w:pPr>
          </w:p>
        </w:tc>
        <w:tc>
          <w:tcPr>
            <w:tcW w:w="992" w:type="dxa"/>
          </w:tcPr>
          <w:p w14:paraId="56848A72"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грубый</w:t>
            </w:r>
          </w:p>
        </w:tc>
        <w:tc>
          <w:tcPr>
            <w:tcW w:w="1276" w:type="dxa"/>
          </w:tcPr>
          <w:p w14:paraId="35C014C7"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стандарт</w:t>
            </w:r>
          </w:p>
        </w:tc>
        <w:tc>
          <w:tcPr>
            <w:tcW w:w="1134" w:type="dxa"/>
          </w:tcPr>
          <w:p w14:paraId="24E9D635"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грубый</w:t>
            </w:r>
          </w:p>
        </w:tc>
        <w:tc>
          <w:tcPr>
            <w:tcW w:w="1276" w:type="dxa"/>
          </w:tcPr>
          <w:p w14:paraId="39CB86C5"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стандарт</w:t>
            </w:r>
          </w:p>
        </w:tc>
        <w:tc>
          <w:tcPr>
            <w:tcW w:w="1134" w:type="dxa"/>
          </w:tcPr>
          <w:p w14:paraId="4FFE1366"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грубый</w:t>
            </w:r>
          </w:p>
        </w:tc>
        <w:tc>
          <w:tcPr>
            <w:tcW w:w="1276" w:type="dxa"/>
          </w:tcPr>
          <w:p w14:paraId="613B161B"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стандарт</w:t>
            </w:r>
          </w:p>
        </w:tc>
        <w:tc>
          <w:tcPr>
            <w:tcW w:w="1134" w:type="dxa"/>
          </w:tcPr>
          <w:p w14:paraId="32CBF2C9"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грубый</w:t>
            </w:r>
          </w:p>
        </w:tc>
        <w:tc>
          <w:tcPr>
            <w:tcW w:w="1275" w:type="dxa"/>
          </w:tcPr>
          <w:p w14:paraId="552DCEDA"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стандарт</w:t>
            </w:r>
          </w:p>
        </w:tc>
        <w:tc>
          <w:tcPr>
            <w:tcW w:w="1134" w:type="dxa"/>
          </w:tcPr>
          <w:p w14:paraId="5965661F"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грубый</w:t>
            </w:r>
          </w:p>
        </w:tc>
        <w:tc>
          <w:tcPr>
            <w:tcW w:w="1276" w:type="dxa"/>
          </w:tcPr>
          <w:p w14:paraId="220BA6CE"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eastAsia="Times New Roman" w:hAnsi="Times New Roman" w:cs="Times New Roman"/>
                <w:sz w:val="28"/>
                <w:szCs w:val="28"/>
              </w:rPr>
              <w:t>стандарт</w:t>
            </w:r>
          </w:p>
        </w:tc>
      </w:tr>
      <w:tr w:rsidR="00E575E6" w:rsidRPr="00E575E6" w14:paraId="209016E9" w14:textId="77777777" w:rsidTr="00490AF6">
        <w:tc>
          <w:tcPr>
            <w:tcW w:w="2126" w:type="dxa"/>
          </w:tcPr>
          <w:p w14:paraId="20D068CA" w14:textId="77777777" w:rsidR="009D1403" w:rsidRPr="00E575E6" w:rsidRDefault="009D1403" w:rsidP="004135FE">
            <w:pPr>
              <w:spacing w:after="0" w:line="240" w:lineRule="auto"/>
              <w:jc w:val="both"/>
              <w:rPr>
                <w:rFonts w:ascii="Times New Roman" w:eastAsia="Times New Roman" w:hAnsi="Times New Roman" w:cs="Times New Roman"/>
                <w:sz w:val="28"/>
                <w:szCs w:val="28"/>
              </w:rPr>
            </w:pPr>
            <w:r w:rsidRPr="00E575E6">
              <w:rPr>
                <w:rFonts w:ascii="Times New Roman" w:eastAsia="Times New Roman" w:hAnsi="Times New Roman" w:cs="Times New Roman"/>
                <w:sz w:val="28"/>
                <w:szCs w:val="28"/>
              </w:rPr>
              <w:t>Алмалинский</w:t>
            </w:r>
          </w:p>
        </w:tc>
        <w:tc>
          <w:tcPr>
            <w:tcW w:w="992" w:type="dxa"/>
          </w:tcPr>
          <w:p w14:paraId="7650C2A7"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17,13</w:t>
            </w:r>
          </w:p>
        </w:tc>
        <w:tc>
          <w:tcPr>
            <w:tcW w:w="1276" w:type="dxa"/>
          </w:tcPr>
          <w:p w14:paraId="1348867E"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16,53</w:t>
            </w:r>
          </w:p>
        </w:tc>
        <w:tc>
          <w:tcPr>
            <w:tcW w:w="1134" w:type="dxa"/>
          </w:tcPr>
          <w:p w14:paraId="605C5322"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17,23</w:t>
            </w:r>
          </w:p>
        </w:tc>
        <w:tc>
          <w:tcPr>
            <w:tcW w:w="1276" w:type="dxa"/>
          </w:tcPr>
          <w:p w14:paraId="50EE2481"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16,99</w:t>
            </w:r>
          </w:p>
        </w:tc>
        <w:tc>
          <w:tcPr>
            <w:tcW w:w="1134" w:type="dxa"/>
          </w:tcPr>
          <w:p w14:paraId="5AFB4AF1"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18,22</w:t>
            </w:r>
          </w:p>
        </w:tc>
        <w:tc>
          <w:tcPr>
            <w:tcW w:w="1276" w:type="dxa"/>
          </w:tcPr>
          <w:p w14:paraId="7576F6D5"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17,82</w:t>
            </w:r>
          </w:p>
        </w:tc>
        <w:tc>
          <w:tcPr>
            <w:tcW w:w="1134" w:type="dxa"/>
          </w:tcPr>
          <w:p w14:paraId="6FE8502C"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19,86</w:t>
            </w:r>
          </w:p>
        </w:tc>
        <w:tc>
          <w:tcPr>
            <w:tcW w:w="1275" w:type="dxa"/>
          </w:tcPr>
          <w:p w14:paraId="3E589F7F"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19,04</w:t>
            </w:r>
          </w:p>
        </w:tc>
        <w:tc>
          <w:tcPr>
            <w:tcW w:w="1134" w:type="dxa"/>
          </w:tcPr>
          <w:p w14:paraId="68EB9A2F"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20,25</w:t>
            </w:r>
          </w:p>
        </w:tc>
        <w:tc>
          <w:tcPr>
            <w:tcW w:w="1276" w:type="dxa"/>
          </w:tcPr>
          <w:p w14:paraId="3186EF1E"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19,71</w:t>
            </w:r>
          </w:p>
        </w:tc>
      </w:tr>
      <w:tr w:rsidR="00E575E6" w:rsidRPr="00E575E6" w14:paraId="19500208" w14:textId="77777777" w:rsidTr="00490AF6">
        <w:tc>
          <w:tcPr>
            <w:tcW w:w="2126" w:type="dxa"/>
          </w:tcPr>
          <w:p w14:paraId="52CBA749" w14:textId="77777777" w:rsidR="009D1403" w:rsidRPr="00E575E6" w:rsidRDefault="009D1403" w:rsidP="004135FE">
            <w:pPr>
              <w:spacing w:after="0" w:line="240" w:lineRule="auto"/>
              <w:jc w:val="both"/>
              <w:rPr>
                <w:rFonts w:ascii="Times New Roman" w:eastAsia="Times New Roman" w:hAnsi="Times New Roman" w:cs="Times New Roman"/>
                <w:sz w:val="28"/>
                <w:szCs w:val="28"/>
              </w:rPr>
            </w:pPr>
            <w:r w:rsidRPr="00E575E6">
              <w:rPr>
                <w:rFonts w:ascii="Times New Roman" w:eastAsia="Times New Roman" w:hAnsi="Times New Roman" w:cs="Times New Roman"/>
                <w:sz w:val="28"/>
                <w:szCs w:val="28"/>
              </w:rPr>
              <w:t>Алатауский</w:t>
            </w:r>
          </w:p>
        </w:tc>
        <w:tc>
          <w:tcPr>
            <w:tcW w:w="992" w:type="dxa"/>
          </w:tcPr>
          <w:p w14:paraId="69DD6FA9"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12,35</w:t>
            </w:r>
          </w:p>
        </w:tc>
        <w:tc>
          <w:tcPr>
            <w:tcW w:w="1276" w:type="dxa"/>
          </w:tcPr>
          <w:p w14:paraId="6F11A5EC"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20,14</w:t>
            </w:r>
          </w:p>
        </w:tc>
        <w:tc>
          <w:tcPr>
            <w:tcW w:w="1134" w:type="dxa"/>
          </w:tcPr>
          <w:p w14:paraId="13172E6C"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13,89</w:t>
            </w:r>
          </w:p>
        </w:tc>
        <w:tc>
          <w:tcPr>
            <w:tcW w:w="1276" w:type="dxa"/>
          </w:tcPr>
          <w:p w14:paraId="7B5C970F"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22,65</w:t>
            </w:r>
          </w:p>
        </w:tc>
        <w:tc>
          <w:tcPr>
            <w:tcW w:w="1134" w:type="dxa"/>
          </w:tcPr>
          <w:p w14:paraId="2A1C12A3"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15,26</w:t>
            </w:r>
          </w:p>
        </w:tc>
        <w:tc>
          <w:tcPr>
            <w:tcW w:w="1276" w:type="dxa"/>
          </w:tcPr>
          <w:p w14:paraId="1203B82E"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24,81</w:t>
            </w:r>
          </w:p>
        </w:tc>
        <w:tc>
          <w:tcPr>
            <w:tcW w:w="1134" w:type="dxa"/>
          </w:tcPr>
          <w:p w14:paraId="33BD82B2"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15,85</w:t>
            </w:r>
          </w:p>
        </w:tc>
        <w:tc>
          <w:tcPr>
            <w:tcW w:w="1275" w:type="dxa"/>
          </w:tcPr>
          <w:p w14:paraId="084BB32B"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25,46</w:t>
            </w:r>
          </w:p>
        </w:tc>
        <w:tc>
          <w:tcPr>
            <w:tcW w:w="1134" w:type="dxa"/>
          </w:tcPr>
          <w:p w14:paraId="5B253D8E"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16,50</w:t>
            </w:r>
          </w:p>
        </w:tc>
        <w:tc>
          <w:tcPr>
            <w:tcW w:w="1276" w:type="dxa"/>
          </w:tcPr>
          <w:p w14:paraId="3EB74E9F"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26,56</w:t>
            </w:r>
          </w:p>
        </w:tc>
      </w:tr>
      <w:tr w:rsidR="00E575E6" w:rsidRPr="00E575E6" w14:paraId="67746B12" w14:textId="77777777" w:rsidTr="00490AF6">
        <w:tc>
          <w:tcPr>
            <w:tcW w:w="2126" w:type="dxa"/>
          </w:tcPr>
          <w:p w14:paraId="2D6A9F56" w14:textId="77777777" w:rsidR="009D1403" w:rsidRPr="00E575E6" w:rsidRDefault="009D1403" w:rsidP="004135FE">
            <w:pPr>
              <w:spacing w:after="0" w:line="240" w:lineRule="auto"/>
              <w:jc w:val="both"/>
              <w:rPr>
                <w:rFonts w:ascii="Times New Roman" w:eastAsia="Times New Roman" w:hAnsi="Times New Roman" w:cs="Times New Roman"/>
                <w:sz w:val="28"/>
                <w:szCs w:val="28"/>
              </w:rPr>
            </w:pPr>
            <w:r w:rsidRPr="00E575E6">
              <w:rPr>
                <w:rFonts w:ascii="Times New Roman" w:eastAsia="Times New Roman" w:hAnsi="Times New Roman" w:cs="Times New Roman"/>
                <w:sz w:val="28"/>
                <w:szCs w:val="28"/>
              </w:rPr>
              <w:t>Ауэзовский</w:t>
            </w:r>
          </w:p>
        </w:tc>
        <w:tc>
          <w:tcPr>
            <w:tcW w:w="992" w:type="dxa"/>
          </w:tcPr>
          <w:p w14:paraId="6E6F6315"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21,86</w:t>
            </w:r>
          </w:p>
        </w:tc>
        <w:tc>
          <w:tcPr>
            <w:tcW w:w="1276" w:type="dxa"/>
          </w:tcPr>
          <w:p w14:paraId="4239095A"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22,31</w:t>
            </w:r>
          </w:p>
        </w:tc>
        <w:tc>
          <w:tcPr>
            <w:tcW w:w="1134" w:type="dxa"/>
          </w:tcPr>
          <w:p w14:paraId="21288AC1"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22,76</w:t>
            </w:r>
          </w:p>
        </w:tc>
        <w:tc>
          <w:tcPr>
            <w:tcW w:w="1276" w:type="dxa"/>
          </w:tcPr>
          <w:p w14:paraId="2B5FC569"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23,14</w:t>
            </w:r>
          </w:p>
        </w:tc>
        <w:tc>
          <w:tcPr>
            <w:tcW w:w="1134" w:type="dxa"/>
          </w:tcPr>
          <w:p w14:paraId="142528EF"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24,51</w:t>
            </w:r>
          </w:p>
        </w:tc>
        <w:tc>
          <w:tcPr>
            <w:tcW w:w="1276" w:type="dxa"/>
          </w:tcPr>
          <w:p w14:paraId="70A01FDB"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24,48</w:t>
            </w:r>
          </w:p>
        </w:tc>
        <w:tc>
          <w:tcPr>
            <w:tcW w:w="1134" w:type="dxa"/>
          </w:tcPr>
          <w:p w14:paraId="49F2F5E4"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23,69</w:t>
            </w:r>
          </w:p>
        </w:tc>
        <w:tc>
          <w:tcPr>
            <w:tcW w:w="1275" w:type="dxa"/>
          </w:tcPr>
          <w:p w14:paraId="08D003DF"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23,38</w:t>
            </w:r>
          </w:p>
        </w:tc>
        <w:tc>
          <w:tcPr>
            <w:tcW w:w="1134" w:type="dxa"/>
          </w:tcPr>
          <w:p w14:paraId="2F3145E6"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24,60</w:t>
            </w:r>
          </w:p>
        </w:tc>
        <w:tc>
          <w:tcPr>
            <w:tcW w:w="1276" w:type="dxa"/>
          </w:tcPr>
          <w:p w14:paraId="105351C3"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24,13</w:t>
            </w:r>
          </w:p>
        </w:tc>
      </w:tr>
      <w:tr w:rsidR="00E575E6" w:rsidRPr="00E575E6" w14:paraId="6A25C844" w14:textId="77777777" w:rsidTr="00490AF6">
        <w:tc>
          <w:tcPr>
            <w:tcW w:w="2126" w:type="dxa"/>
          </w:tcPr>
          <w:p w14:paraId="783C8B72" w14:textId="77777777" w:rsidR="009D1403" w:rsidRPr="00E575E6" w:rsidRDefault="009D1403" w:rsidP="004135FE">
            <w:pPr>
              <w:spacing w:after="0" w:line="240" w:lineRule="auto"/>
              <w:jc w:val="both"/>
              <w:rPr>
                <w:rFonts w:ascii="Times New Roman" w:eastAsia="Times New Roman" w:hAnsi="Times New Roman" w:cs="Times New Roman"/>
                <w:sz w:val="28"/>
                <w:szCs w:val="28"/>
              </w:rPr>
            </w:pPr>
            <w:r w:rsidRPr="00E575E6">
              <w:rPr>
                <w:rFonts w:ascii="Times New Roman" w:eastAsia="Times New Roman" w:hAnsi="Times New Roman" w:cs="Times New Roman"/>
                <w:sz w:val="28"/>
                <w:szCs w:val="28"/>
              </w:rPr>
              <w:t>Бостандыкский</w:t>
            </w:r>
          </w:p>
        </w:tc>
        <w:tc>
          <w:tcPr>
            <w:tcW w:w="992" w:type="dxa"/>
          </w:tcPr>
          <w:p w14:paraId="45BE828F"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16,07</w:t>
            </w:r>
          </w:p>
        </w:tc>
        <w:tc>
          <w:tcPr>
            <w:tcW w:w="1276" w:type="dxa"/>
          </w:tcPr>
          <w:p w14:paraId="38A38263"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17,78</w:t>
            </w:r>
          </w:p>
        </w:tc>
        <w:tc>
          <w:tcPr>
            <w:tcW w:w="1134" w:type="dxa"/>
          </w:tcPr>
          <w:p w14:paraId="73CDF304"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17,19</w:t>
            </w:r>
          </w:p>
        </w:tc>
        <w:tc>
          <w:tcPr>
            <w:tcW w:w="1276" w:type="dxa"/>
          </w:tcPr>
          <w:p w14:paraId="3EF0E59A"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18,68</w:t>
            </w:r>
          </w:p>
        </w:tc>
        <w:tc>
          <w:tcPr>
            <w:tcW w:w="1134" w:type="dxa"/>
          </w:tcPr>
          <w:p w14:paraId="3AA5163E"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18,49</w:t>
            </w:r>
          </w:p>
        </w:tc>
        <w:tc>
          <w:tcPr>
            <w:tcW w:w="1276" w:type="dxa"/>
          </w:tcPr>
          <w:p w14:paraId="6A53256F"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20,53</w:t>
            </w:r>
          </w:p>
        </w:tc>
        <w:tc>
          <w:tcPr>
            <w:tcW w:w="1134" w:type="dxa"/>
          </w:tcPr>
          <w:p w14:paraId="12CFF628"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18,59</w:t>
            </w:r>
          </w:p>
        </w:tc>
        <w:tc>
          <w:tcPr>
            <w:tcW w:w="1275" w:type="dxa"/>
          </w:tcPr>
          <w:p w14:paraId="4F232669"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19,91</w:t>
            </w:r>
          </w:p>
        </w:tc>
        <w:tc>
          <w:tcPr>
            <w:tcW w:w="1134" w:type="dxa"/>
          </w:tcPr>
          <w:p w14:paraId="128567BC"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18,15</w:t>
            </w:r>
          </w:p>
        </w:tc>
        <w:tc>
          <w:tcPr>
            <w:tcW w:w="1276" w:type="dxa"/>
          </w:tcPr>
          <w:p w14:paraId="22E945C1"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19,83</w:t>
            </w:r>
          </w:p>
        </w:tc>
      </w:tr>
      <w:tr w:rsidR="00E575E6" w:rsidRPr="00E575E6" w14:paraId="2F0B2F95" w14:textId="77777777" w:rsidTr="00490AF6">
        <w:tc>
          <w:tcPr>
            <w:tcW w:w="2126" w:type="dxa"/>
          </w:tcPr>
          <w:p w14:paraId="4680B9A9" w14:textId="77777777" w:rsidR="009D1403" w:rsidRPr="00E575E6" w:rsidRDefault="009D1403" w:rsidP="004135FE">
            <w:pPr>
              <w:spacing w:after="0" w:line="240" w:lineRule="auto"/>
              <w:jc w:val="both"/>
              <w:rPr>
                <w:rFonts w:ascii="Times New Roman" w:eastAsia="Times New Roman" w:hAnsi="Times New Roman" w:cs="Times New Roman"/>
                <w:sz w:val="28"/>
                <w:szCs w:val="28"/>
              </w:rPr>
            </w:pPr>
            <w:r w:rsidRPr="00E575E6">
              <w:rPr>
                <w:rFonts w:ascii="Times New Roman" w:eastAsia="Times New Roman" w:hAnsi="Times New Roman" w:cs="Times New Roman"/>
                <w:sz w:val="28"/>
                <w:szCs w:val="28"/>
              </w:rPr>
              <w:t>Жетысуский</w:t>
            </w:r>
          </w:p>
        </w:tc>
        <w:tc>
          <w:tcPr>
            <w:tcW w:w="992" w:type="dxa"/>
          </w:tcPr>
          <w:p w14:paraId="535F63E2"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21,28</w:t>
            </w:r>
          </w:p>
        </w:tc>
        <w:tc>
          <w:tcPr>
            <w:tcW w:w="1276" w:type="dxa"/>
          </w:tcPr>
          <w:p w14:paraId="0D87A6A0"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25,17</w:t>
            </w:r>
          </w:p>
        </w:tc>
        <w:tc>
          <w:tcPr>
            <w:tcW w:w="1134" w:type="dxa"/>
          </w:tcPr>
          <w:p w14:paraId="28101394"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22,93</w:t>
            </w:r>
          </w:p>
        </w:tc>
        <w:tc>
          <w:tcPr>
            <w:tcW w:w="1276" w:type="dxa"/>
          </w:tcPr>
          <w:p w14:paraId="0BCBEB3D"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26,60</w:t>
            </w:r>
          </w:p>
        </w:tc>
        <w:tc>
          <w:tcPr>
            <w:tcW w:w="1134" w:type="dxa"/>
          </w:tcPr>
          <w:p w14:paraId="290C27CD"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24,29</w:t>
            </w:r>
          </w:p>
        </w:tc>
        <w:tc>
          <w:tcPr>
            <w:tcW w:w="1276" w:type="dxa"/>
          </w:tcPr>
          <w:p w14:paraId="525FB67E"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28,26</w:t>
            </w:r>
          </w:p>
        </w:tc>
        <w:tc>
          <w:tcPr>
            <w:tcW w:w="1134" w:type="dxa"/>
          </w:tcPr>
          <w:p w14:paraId="3CE8E381"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25,13</w:t>
            </w:r>
          </w:p>
        </w:tc>
        <w:tc>
          <w:tcPr>
            <w:tcW w:w="1275" w:type="dxa"/>
          </w:tcPr>
          <w:p w14:paraId="4D6C9CA3"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28,60</w:t>
            </w:r>
          </w:p>
        </w:tc>
        <w:tc>
          <w:tcPr>
            <w:tcW w:w="1134" w:type="dxa"/>
          </w:tcPr>
          <w:p w14:paraId="5AC1EBB6"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28,31</w:t>
            </w:r>
          </w:p>
        </w:tc>
        <w:tc>
          <w:tcPr>
            <w:tcW w:w="1276" w:type="dxa"/>
          </w:tcPr>
          <w:p w14:paraId="5C7C7E6E"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29,16</w:t>
            </w:r>
          </w:p>
        </w:tc>
      </w:tr>
      <w:tr w:rsidR="00E575E6" w:rsidRPr="00E575E6" w14:paraId="6848002D" w14:textId="77777777" w:rsidTr="00490AF6">
        <w:tc>
          <w:tcPr>
            <w:tcW w:w="2126" w:type="dxa"/>
          </w:tcPr>
          <w:p w14:paraId="5B2D3700" w14:textId="77777777" w:rsidR="009D1403" w:rsidRPr="00E575E6" w:rsidRDefault="009D1403" w:rsidP="004135FE">
            <w:pPr>
              <w:spacing w:after="0" w:line="240" w:lineRule="auto"/>
              <w:jc w:val="both"/>
              <w:rPr>
                <w:rFonts w:ascii="Times New Roman" w:eastAsia="Times New Roman" w:hAnsi="Times New Roman" w:cs="Times New Roman"/>
                <w:sz w:val="28"/>
                <w:szCs w:val="28"/>
              </w:rPr>
            </w:pPr>
            <w:r w:rsidRPr="00E575E6">
              <w:rPr>
                <w:rFonts w:ascii="Times New Roman" w:eastAsia="Times New Roman" w:hAnsi="Times New Roman" w:cs="Times New Roman"/>
                <w:sz w:val="28"/>
                <w:szCs w:val="28"/>
              </w:rPr>
              <w:t>Медеуский</w:t>
            </w:r>
          </w:p>
        </w:tc>
        <w:tc>
          <w:tcPr>
            <w:tcW w:w="992" w:type="dxa"/>
          </w:tcPr>
          <w:p w14:paraId="70A3ECF7"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16,53</w:t>
            </w:r>
          </w:p>
        </w:tc>
        <w:tc>
          <w:tcPr>
            <w:tcW w:w="1276" w:type="dxa"/>
          </w:tcPr>
          <w:p w14:paraId="5BC6A422"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18,12</w:t>
            </w:r>
          </w:p>
        </w:tc>
        <w:tc>
          <w:tcPr>
            <w:tcW w:w="1134" w:type="dxa"/>
          </w:tcPr>
          <w:p w14:paraId="6E939579"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16,93</w:t>
            </w:r>
          </w:p>
        </w:tc>
        <w:tc>
          <w:tcPr>
            <w:tcW w:w="1276" w:type="dxa"/>
          </w:tcPr>
          <w:p w14:paraId="2EDA3D17"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18,53</w:t>
            </w:r>
          </w:p>
        </w:tc>
        <w:tc>
          <w:tcPr>
            <w:tcW w:w="1134" w:type="dxa"/>
          </w:tcPr>
          <w:p w14:paraId="05667832"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19,68</w:t>
            </w:r>
          </w:p>
        </w:tc>
        <w:tc>
          <w:tcPr>
            <w:tcW w:w="1276" w:type="dxa"/>
          </w:tcPr>
          <w:p w14:paraId="471DCBAA"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20,66</w:t>
            </w:r>
          </w:p>
        </w:tc>
        <w:tc>
          <w:tcPr>
            <w:tcW w:w="1134" w:type="dxa"/>
          </w:tcPr>
          <w:p w14:paraId="5D1B06C2"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20,49</w:t>
            </w:r>
          </w:p>
        </w:tc>
        <w:tc>
          <w:tcPr>
            <w:tcW w:w="1275" w:type="dxa"/>
          </w:tcPr>
          <w:p w14:paraId="70DF1DAF"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21,03</w:t>
            </w:r>
          </w:p>
        </w:tc>
        <w:tc>
          <w:tcPr>
            <w:tcW w:w="1134" w:type="dxa"/>
          </w:tcPr>
          <w:p w14:paraId="3A82C147"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20,43</w:t>
            </w:r>
          </w:p>
        </w:tc>
        <w:tc>
          <w:tcPr>
            <w:tcW w:w="1276" w:type="dxa"/>
          </w:tcPr>
          <w:p w14:paraId="453DA0A0"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21,86</w:t>
            </w:r>
          </w:p>
        </w:tc>
      </w:tr>
      <w:tr w:rsidR="00E575E6" w:rsidRPr="00E575E6" w14:paraId="68F416AC" w14:textId="77777777" w:rsidTr="00490AF6">
        <w:tc>
          <w:tcPr>
            <w:tcW w:w="2126" w:type="dxa"/>
          </w:tcPr>
          <w:p w14:paraId="2D3BA753" w14:textId="77777777" w:rsidR="009D1403" w:rsidRPr="00E575E6" w:rsidRDefault="009D1403" w:rsidP="004135FE">
            <w:pPr>
              <w:spacing w:after="0" w:line="240" w:lineRule="auto"/>
              <w:jc w:val="both"/>
              <w:rPr>
                <w:rFonts w:ascii="Times New Roman" w:eastAsia="Times New Roman" w:hAnsi="Times New Roman" w:cs="Times New Roman"/>
                <w:sz w:val="28"/>
                <w:szCs w:val="28"/>
              </w:rPr>
            </w:pPr>
            <w:r w:rsidRPr="00E575E6">
              <w:rPr>
                <w:rFonts w:ascii="Times New Roman" w:eastAsia="Times New Roman" w:hAnsi="Times New Roman" w:cs="Times New Roman"/>
                <w:sz w:val="28"/>
                <w:szCs w:val="28"/>
              </w:rPr>
              <w:t>Наурызбайский</w:t>
            </w:r>
          </w:p>
        </w:tc>
        <w:tc>
          <w:tcPr>
            <w:tcW w:w="992" w:type="dxa"/>
          </w:tcPr>
          <w:p w14:paraId="648EE0FC"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10,11</w:t>
            </w:r>
          </w:p>
        </w:tc>
        <w:tc>
          <w:tcPr>
            <w:tcW w:w="1276" w:type="dxa"/>
          </w:tcPr>
          <w:p w14:paraId="585A0879"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13,52</w:t>
            </w:r>
          </w:p>
        </w:tc>
        <w:tc>
          <w:tcPr>
            <w:tcW w:w="1134" w:type="dxa"/>
          </w:tcPr>
          <w:p w14:paraId="1103FD80"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12,85</w:t>
            </w:r>
          </w:p>
        </w:tc>
        <w:tc>
          <w:tcPr>
            <w:tcW w:w="1276" w:type="dxa"/>
          </w:tcPr>
          <w:p w14:paraId="6120CE6C"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17,22</w:t>
            </w:r>
          </w:p>
        </w:tc>
        <w:tc>
          <w:tcPr>
            <w:tcW w:w="1134" w:type="dxa"/>
          </w:tcPr>
          <w:p w14:paraId="429BE48B"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14,12</w:t>
            </w:r>
          </w:p>
        </w:tc>
        <w:tc>
          <w:tcPr>
            <w:tcW w:w="1276" w:type="dxa"/>
          </w:tcPr>
          <w:p w14:paraId="719B8421"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18,84</w:t>
            </w:r>
          </w:p>
        </w:tc>
        <w:tc>
          <w:tcPr>
            <w:tcW w:w="1134" w:type="dxa"/>
          </w:tcPr>
          <w:p w14:paraId="7628EBCF"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15,72</w:t>
            </w:r>
          </w:p>
        </w:tc>
        <w:tc>
          <w:tcPr>
            <w:tcW w:w="1275" w:type="dxa"/>
          </w:tcPr>
          <w:p w14:paraId="1AEB4DED"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20,61</w:t>
            </w:r>
          </w:p>
        </w:tc>
        <w:tc>
          <w:tcPr>
            <w:tcW w:w="1134" w:type="dxa"/>
          </w:tcPr>
          <w:p w14:paraId="50193BF6"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16,43</w:t>
            </w:r>
          </w:p>
        </w:tc>
        <w:tc>
          <w:tcPr>
            <w:tcW w:w="1276" w:type="dxa"/>
          </w:tcPr>
          <w:p w14:paraId="731E356A" w14:textId="77777777" w:rsidR="009D1403" w:rsidRPr="00E575E6" w:rsidRDefault="009D1403" w:rsidP="004135FE">
            <w:pPr>
              <w:spacing w:after="0" w:line="240" w:lineRule="auto"/>
              <w:jc w:val="center"/>
              <w:rPr>
                <w:rFonts w:ascii="Times New Roman" w:hAnsi="Times New Roman" w:cs="Times New Roman"/>
                <w:sz w:val="28"/>
                <w:szCs w:val="28"/>
              </w:rPr>
            </w:pPr>
            <w:r w:rsidRPr="00E575E6">
              <w:rPr>
                <w:rFonts w:ascii="Times New Roman" w:hAnsi="Times New Roman" w:cs="Times New Roman"/>
                <w:sz w:val="28"/>
                <w:szCs w:val="28"/>
              </w:rPr>
              <w:t>21,68</w:t>
            </w:r>
          </w:p>
        </w:tc>
      </w:tr>
      <w:tr w:rsidR="00E575E6" w:rsidRPr="00E575E6" w14:paraId="7857CCD9" w14:textId="77777777" w:rsidTr="00490AF6">
        <w:tc>
          <w:tcPr>
            <w:tcW w:w="2126" w:type="dxa"/>
          </w:tcPr>
          <w:p w14:paraId="7427D3B3" w14:textId="6D835E1A" w:rsidR="00E575E6" w:rsidRPr="00E575E6" w:rsidRDefault="00E575E6" w:rsidP="00E575E6">
            <w:pPr>
              <w:spacing w:after="0" w:line="240" w:lineRule="auto"/>
              <w:jc w:val="both"/>
              <w:rPr>
                <w:rFonts w:ascii="Times New Roman" w:eastAsia="Times New Roman" w:hAnsi="Times New Roman" w:cs="Times New Roman"/>
                <w:sz w:val="28"/>
                <w:szCs w:val="28"/>
              </w:rPr>
            </w:pPr>
            <w:r w:rsidRPr="00E575E6">
              <w:rPr>
                <w:rFonts w:ascii="Times New Roman" w:eastAsia="Times New Roman" w:hAnsi="Times New Roman" w:cs="Times New Roman"/>
                <w:sz w:val="28"/>
                <w:szCs w:val="28"/>
              </w:rPr>
              <w:t>Турксибский</w:t>
            </w:r>
          </w:p>
        </w:tc>
        <w:tc>
          <w:tcPr>
            <w:tcW w:w="992" w:type="dxa"/>
          </w:tcPr>
          <w:p w14:paraId="36F17CEE" w14:textId="63BE0CD8" w:rsidR="00E575E6" w:rsidRPr="00E575E6" w:rsidRDefault="00E575E6" w:rsidP="00E575E6">
            <w:pPr>
              <w:spacing w:after="0" w:line="240" w:lineRule="auto"/>
              <w:jc w:val="center"/>
              <w:rPr>
                <w:rFonts w:ascii="Times New Roman" w:hAnsi="Times New Roman" w:cs="Times New Roman"/>
                <w:sz w:val="28"/>
                <w:szCs w:val="28"/>
              </w:rPr>
            </w:pPr>
            <w:r w:rsidRPr="00E541BD">
              <w:rPr>
                <w:rFonts w:ascii="Times New Roman" w:hAnsi="Times New Roman" w:cs="Times New Roman"/>
                <w:sz w:val="24"/>
                <w:szCs w:val="24"/>
              </w:rPr>
              <w:t>20,26</w:t>
            </w:r>
          </w:p>
        </w:tc>
        <w:tc>
          <w:tcPr>
            <w:tcW w:w="1276" w:type="dxa"/>
          </w:tcPr>
          <w:p w14:paraId="69527686" w14:textId="0CFFAEFC" w:rsidR="00E575E6" w:rsidRPr="00E575E6" w:rsidRDefault="00E575E6" w:rsidP="00E575E6">
            <w:pPr>
              <w:spacing w:after="0" w:line="240" w:lineRule="auto"/>
              <w:jc w:val="center"/>
              <w:rPr>
                <w:rFonts w:ascii="Times New Roman" w:hAnsi="Times New Roman" w:cs="Times New Roman"/>
                <w:sz w:val="28"/>
                <w:szCs w:val="28"/>
              </w:rPr>
            </w:pPr>
            <w:r w:rsidRPr="00E541BD">
              <w:rPr>
                <w:rFonts w:ascii="Times New Roman" w:hAnsi="Times New Roman" w:cs="Times New Roman"/>
                <w:sz w:val="24"/>
                <w:szCs w:val="24"/>
              </w:rPr>
              <w:t>20,24</w:t>
            </w:r>
          </w:p>
        </w:tc>
        <w:tc>
          <w:tcPr>
            <w:tcW w:w="1134" w:type="dxa"/>
          </w:tcPr>
          <w:p w14:paraId="1B99D823" w14:textId="47E8BE55" w:rsidR="00E575E6" w:rsidRPr="00E575E6" w:rsidRDefault="00E575E6" w:rsidP="00E575E6">
            <w:pPr>
              <w:spacing w:after="0" w:line="240" w:lineRule="auto"/>
              <w:jc w:val="center"/>
              <w:rPr>
                <w:rFonts w:ascii="Times New Roman" w:hAnsi="Times New Roman" w:cs="Times New Roman"/>
                <w:sz w:val="28"/>
                <w:szCs w:val="28"/>
              </w:rPr>
            </w:pPr>
            <w:r w:rsidRPr="00E541BD">
              <w:rPr>
                <w:rFonts w:ascii="Times New Roman" w:hAnsi="Times New Roman" w:cs="Times New Roman"/>
                <w:sz w:val="24"/>
                <w:szCs w:val="24"/>
              </w:rPr>
              <w:t>22,41</w:t>
            </w:r>
          </w:p>
        </w:tc>
        <w:tc>
          <w:tcPr>
            <w:tcW w:w="1276" w:type="dxa"/>
          </w:tcPr>
          <w:p w14:paraId="780567F1" w14:textId="46DA92FA" w:rsidR="00E575E6" w:rsidRPr="00E575E6" w:rsidRDefault="00E575E6" w:rsidP="00E575E6">
            <w:pPr>
              <w:spacing w:after="0" w:line="240" w:lineRule="auto"/>
              <w:jc w:val="center"/>
              <w:rPr>
                <w:rFonts w:ascii="Times New Roman" w:hAnsi="Times New Roman" w:cs="Times New Roman"/>
                <w:sz w:val="28"/>
                <w:szCs w:val="28"/>
              </w:rPr>
            </w:pPr>
            <w:r w:rsidRPr="00E541BD">
              <w:rPr>
                <w:rFonts w:ascii="Times New Roman" w:hAnsi="Times New Roman" w:cs="Times New Roman"/>
                <w:sz w:val="24"/>
                <w:szCs w:val="24"/>
              </w:rPr>
              <w:t>22,22</w:t>
            </w:r>
          </w:p>
        </w:tc>
        <w:tc>
          <w:tcPr>
            <w:tcW w:w="1134" w:type="dxa"/>
          </w:tcPr>
          <w:p w14:paraId="02716F5B" w14:textId="4A456154" w:rsidR="00E575E6" w:rsidRPr="00E575E6" w:rsidRDefault="00E575E6" w:rsidP="00E575E6">
            <w:pPr>
              <w:spacing w:after="0" w:line="240" w:lineRule="auto"/>
              <w:jc w:val="center"/>
              <w:rPr>
                <w:rFonts w:ascii="Times New Roman" w:hAnsi="Times New Roman" w:cs="Times New Roman"/>
                <w:sz w:val="28"/>
                <w:szCs w:val="28"/>
              </w:rPr>
            </w:pPr>
            <w:r w:rsidRPr="00E541BD">
              <w:rPr>
                <w:rFonts w:ascii="Times New Roman" w:hAnsi="Times New Roman" w:cs="Times New Roman"/>
                <w:sz w:val="24"/>
                <w:szCs w:val="24"/>
              </w:rPr>
              <w:t>23,90</w:t>
            </w:r>
          </w:p>
        </w:tc>
        <w:tc>
          <w:tcPr>
            <w:tcW w:w="1276" w:type="dxa"/>
          </w:tcPr>
          <w:p w14:paraId="54C9B1A0" w14:textId="62B3AB8E" w:rsidR="00E575E6" w:rsidRPr="00E575E6" w:rsidRDefault="00E575E6" w:rsidP="00E575E6">
            <w:pPr>
              <w:spacing w:after="0" w:line="240" w:lineRule="auto"/>
              <w:jc w:val="center"/>
              <w:rPr>
                <w:rFonts w:ascii="Times New Roman" w:hAnsi="Times New Roman" w:cs="Times New Roman"/>
                <w:sz w:val="28"/>
                <w:szCs w:val="28"/>
              </w:rPr>
            </w:pPr>
            <w:r w:rsidRPr="00E541BD">
              <w:rPr>
                <w:rFonts w:ascii="Times New Roman" w:hAnsi="Times New Roman" w:cs="Times New Roman"/>
                <w:sz w:val="24"/>
                <w:szCs w:val="24"/>
              </w:rPr>
              <w:t>24,19</w:t>
            </w:r>
          </w:p>
        </w:tc>
        <w:tc>
          <w:tcPr>
            <w:tcW w:w="1134" w:type="dxa"/>
          </w:tcPr>
          <w:p w14:paraId="58B0307A" w14:textId="21C950D6" w:rsidR="00E575E6" w:rsidRPr="00E575E6" w:rsidRDefault="00E575E6" w:rsidP="00E575E6">
            <w:pPr>
              <w:spacing w:after="0" w:line="240" w:lineRule="auto"/>
              <w:jc w:val="center"/>
              <w:rPr>
                <w:rFonts w:ascii="Times New Roman" w:hAnsi="Times New Roman" w:cs="Times New Roman"/>
                <w:sz w:val="28"/>
                <w:szCs w:val="28"/>
              </w:rPr>
            </w:pPr>
            <w:r w:rsidRPr="00E541BD">
              <w:rPr>
                <w:rFonts w:ascii="Times New Roman" w:hAnsi="Times New Roman" w:cs="Times New Roman"/>
                <w:sz w:val="24"/>
                <w:szCs w:val="24"/>
              </w:rPr>
              <w:t>24,66</w:t>
            </w:r>
          </w:p>
        </w:tc>
        <w:tc>
          <w:tcPr>
            <w:tcW w:w="1275" w:type="dxa"/>
          </w:tcPr>
          <w:p w14:paraId="7A4091A2" w14:textId="432EEAF2" w:rsidR="00E575E6" w:rsidRPr="00E575E6" w:rsidRDefault="00E575E6" w:rsidP="00E575E6">
            <w:pPr>
              <w:spacing w:after="0" w:line="240" w:lineRule="auto"/>
              <w:jc w:val="center"/>
              <w:rPr>
                <w:rFonts w:ascii="Times New Roman" w:hAnsi="Times New Roman" w:cs="Times New Roman"/>
                <w:sz w:val="28"/>
                <w:szCs w:val="28"/>
              </w:rPr>
            </w:pPr>
            <w:r w:rsidRPr="00E541BD">
              <w:rPr>
                <w:rFonts w:ascii="Times New Roman" w:hAnsi="Times New Roman" w:cs="Times New Roman"/>
                <w:sz w:val="24"/>
                <w:szCs w:val="24"/>
              </w:rPr>
              <w:t>24,61</w:t>
            </w:r>
          </w:p>
        </w:tc>
        <w:tc>
          <w:tcPr>
            <w:tcW w:w="1134" w:type="dxa"/>
          </w:tcPr>
          <w:p w14:paraId="1A1FE179" w14:textId="79F83182" w:rsidR="00E575E6" w:rsidRPr="00E575E6" w:rsidRDefault="00E575E6" w:rsidP="00E575E6">
            <w:pPr>
              <w:spacing w:after="0" w:line="240" w:lineRule="auto"/>
              <w:jc w:val="center"/>
              <w:rPr>
                <w:rFonts w:ascii="Times New Roman" w:hAnsi="Times New Roman" w:cs="Times New Roman"/>
                <w:sz w:val="28"/>
                <w:szCs w:val="28"/>
              </w:rPr>
            </w:pPr>
            <w:r w:rsidRPr="00E541BD">
              <w:rPr>
                <w:rFonts w:ascii="Times New Roman" w:hAnsi="Times New Roman" w:cs="Times New Roman"/>
                <w:sz w:val="24"/>
                <w:szCs w:val="24"/>
              </w:rPr>
              <w:t>24,47</w:t>
            </w:r>
          </w:p>
        </w:tc>
        <w:tc>
          <w:tcPr>
            <w:tcW w:w="1276" w:type="dxa"/>
          </w:tcPr>
          <w:p w14:paraId="5419AEE8" w14:textId="41904223" w:rsidR="00E575E6" w:rsidRPr="00E575E6" w:rsidRDefault="00E575E6" w:rsidP="00E575E6">
            <w:pPr>
              <w:spacing w:after="0" w:line="240" w:lineRule="auto"/>
              <w:jc w:val="center"/>
              <w:rPr>
                <w:rFonts w:ascii="Times New Roman" w:hAnsi="Times New Roman" w:cs="Times New Roman"/>
                <w:sz w:val="28"/>
                <w:szCs w:val="28"/>
              </w:rPr>
            </w:pPr>
            <w:r w:rsidRPr="00E541BD">
              <w:rPr>
                <w:rFonts w:ascii="Times New Roman" w:hAnsi="Times New Roman" w:cs="Times New Roman"/>
                <w:sz w:val="24"/>
                <w:szCs w:val="24"/>
              </w:rPr>
              <w:t>24,16</w:t>
            </w:r>
          </w:p>
        </w:tc>
      </w:tr>
    </w:tbl>
    <w:p w14:paraId="3FF04B13" w14:textId="77777777" w:rsidR="00E541BD" w:rsidRDefault="00E541BD" w:rsidP="004135FE">
      <w:pPr>
        <w:spacing w:after="0" w:line="240" w:lineRule="auto"/>
        <w:jc w:val="both"/>
        <w:rPr>
          <w:rFonts w:ascii="Times New Roman" w:eastAsia="Times New Roman" w:hAnsi="Times New Roman" w:cs="Times New Roman"/>
          <w:sz w:val="24"/>
          <w:szCs w:val="24"/>
        </w:rPr>
        <w:sectPr w:rsidR="00E541BD" w:rsidSect="00E541BD">
          <w:type w:val="nextColumn"/>
          <w:pgSz w:w="16838" w:h="11906" w:orient="landscape"/>
          <w:pgMar w:top="1701" w:right="1134" w:bottom="851" w:left="1134" w:header="284" w:footer="170" w:gutter="0"/>
          <w:cols w:space="708"/>
          <w:docGrid w:linePitch="360"/>
        </w:sectPr>
      </w:pPr>
    </w:p>
    <w:p w14:paraId="071B9D25" w14:textId="0C16CBC8" w:rsidR="002E7380" w:rsidRPr="004135FE" w:rsidRDefault="002E7380"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04D56D39" w14:textId="74980598" w:rsidR="0066583A" w:rsidRPr="004135FE" w:rsidRDefault="0066583A" w:rsidP="002F1555">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 xml:space="preserve">Если бы возрастная </w:t>
      </w:r>
      <w:r w:rsidRPr="004135FE">
        <w:rPr>
          <w:rFonts w:ascii="Times New Roman" w:hAnsi="Times New Roman" w:cs="Times New Roman"/>
          <w:sz w:val="28"/>
          <w:szCs w:val="28"/>
        </w:rPr>
        <w:t>структура</w:t>
      </w:r>
      <w:r w:rsidRPr="004135FE">
        <w:rPr>
          <w:rFonts w:ascii="Times New Roman" w:eastAsiaTheme="minorHAnsi" w:hAnsi="Times New Roman" w:cs="Times New Roman"/>
          <w:sz w:val="28"/>
          <w:szCs w:val="28"/>
          <w:lang w:eastAsia="en-US"/>
        </w:rPr>
        <w:t xml:space="preserve"> и численность населения по районам была бы такая же как в стандарте, то коэффициент распространенности составил бы рост от начала расчета до 2021 г по </w:t>
      </w:r>
      <w:r w:rsidRPr="004135FE">
        <w:rPr>
          <w:rFonts w:ascii="Times New Roman" w:eastAsia="Times New Roman" w:hAnsi="Times New Roman" w:cs="Times New Roman"/>
          <w:sz w:val="28"/>
          <w:szCs w:val="28"/>
        </w:rPr>
        <w:t xml:space="preserve">Жетысускому району от </w:t>
      </w:r>
      <w:r w:rsidRPr="004135FE">
        <w:rPr>
          <w:rFonts w:ascii="Times New Roman" w:hAnsi="Times New Roman" w:cs="Times New Roman"/>
          <w:sz w:val="28"/>
          <w:szCs w:val="28"/>
        </w:rPr>
        <w:t>13,62</w:t>
      </w:r>
      <w:r w:rsidRPr="004135FE">
        <w:rPr>
          <w:rFonts w:ascii="Times New Roman" w:eastAsia="Times New Roman" w:hAnsi="Times New Roman" w:cs="Times New Roman"/>
          <w:sz w:val="28"/>
          <w:szCs w:val="28"/>
        </w:rPr>
        <w:t xml:space="preserve"> до </w:t>
      </w:r>
      <w:r w:rsidRPr="004135FE">
        <w:rPr>
          <w:rFonts w:ascii="Times New Roman" w:hAnsi="Times New Roman" w:cs="Times New Roman"/>
          <w:sz w:val="28"/>
          <w:szCs w:val="28"/>
        </w:rPr>
        <w:t xml:space="preserve">29,16 на 1000 пациентов, по </w:t>
      </w:r>
      <w:r w:rsidRPr="004135FE">
        <w:rPr>
          <w:rFonts w:ascii="Times New Roman" w:eastAsia="Times New Roman" w:hAnsi="Times New Roman" w:cs="Times New Roman"/>
          <w:sz w:val="28"/>
          <w:szCs w:val="28"/>
        </w:rPr>
        <w:t xml:space="preserve">Алатаускому от </w:t>
      </w:r>
      <w:r w:rsidRPr="004135FE">
        <w:rPr>
          <w:rFonts w:ascii="Times New Roman" w:hAnsi="Times New Roman" w:cs="Times New Roman"/>
          <w:sz w:val="28"/>
          <w:szCs w:val="28"/>
        </w:rPr>
        <w:t>19,02 до</w:t>
      </w:r>
      <w:r w:rsidRPr="004135FE">
        <w:rPr>
          <w:rFonts w:ascii="Times New Roman" w:eastAsia="Times New Roman" w:hAnsi="Times New Roman" w:cs="Times New Roman"/>
          <w:sz w:val="28"/>
          <w:szCs w:val="28"/>
        </w:rPr>
        <w:t xml:space="preserve"> </w:t>
      </w:r>
      <w:r w:rsidRPr="004135FE">
        <w:rPr>
          <w:rFonts w:ascii="Times New Roman" w:hAnsi="Times New Roman" w:cs="Times New Roman"/>
          <w:sz w:val="28"/>
          <w:szCs w:val="28"/>
        </w:rPr>
        <w:t xml:space="preserve">26,56, по </w:t>
      </w:r>
      <w:r w:rsidRPr="004135FE">
        <w:rPr>
          <w:rFonts w:ascii="Times New Roman" w:eastAsia="Times New Roman" w:hAnsi="Times New Roman" w:cs="Times New Roman"/>
          <w:sz w:val="28"/>
          <w:szCs w:val="28"/>
        </w:rPr>
        <w:t xml:space="preserve">Турксибскому от </w:t>
      </w:r>
      <w:r w:rsidRPr="004135FE">
        <w:rPr>
          <w:rFonts w:ascii="Times New Roman" w:hAnsi="Times New Roman" w:cs="Times New Roman"/>
          <w:sz w:val="28"/>
          <w:szCs w:val="28"/>
        </w:rPr>
        <w:t xml:space="preserve">16,97 до 24,16, по </w:t>
      </w:r>
      <w:r w:rsidRPr="004135FE">
        <w:rPr>
          <w:rFonts w:ascii="Times New Roman" w:eastAsia="Times New Roman" w:hAnsi="Times New Roman" w:cs="Times New Roman"/>
          <w:sz w:val="28"/>
          <w:szCs w:val="28"/>
        </w:rPr>
        <w:t xml:space="preserve">Ауэзовскому от </w:t>
      </w:r>
      <w:r w:rsidRPr="004135FE">
        <w:rPr>
          <w:rFonts w:ascii="Times New Roman" w:hAnsi="Times New Roman" w:cs="Times New Roman"/>
          <w:sz w:val="28"/>
          <w:szCs w:val="28"/>
        </w:rPr>
        <w:t xml:space="preserve">20,64 до 24,13, по </w:t>
      </w:r>
      <w:r w:rsidRPr="004135FE">
        <w:rPr>
          <w:rFonts w:ascii="Times New Roman" w:eastAsia="Times New Roman" w:hAnsi="Times New Roman" w:cs="Times New Roman"/>
          <w:sz w:val="28"/>
          <w:szCs w:val="28"/>
        </w:rPr>
        <w:t xml:space="preserve">Медеускому от </w:t>
      </w:r>
      <w:r w:rsidRPr="004135FE">
        <w:rPr>
          <w:rFonts w:ascii="Times New Roman" w:hAnsi="Times New Roman" w:cs="Times New Roman"/>
          <w:sz w:val="28"/>
          <w:szCs w:val="28"/>
        </w:rPr>
        <w:t xml:space="preserve">16,90 до 21,86, по </w:t>
      </w:r>
      <w:r w:rsidRPr="004135FE">
        <w:rPr>
          <w:rFonts w:ascii="Times New Roman" w:eastAsia="Times New Roman" w:hAnsi="Times New Roman" w:cs="Times New Roman"/>
          <w:sz w:val="28"/>
          <w:szCs w:val="28"/>
        </w:rPr>
        <w:t>Наурызбайскому</w:t>
      </w:r>
      <w:r w:rsidRPr="004135FE">
        <w:rPr>
          <w:rFonts w:ascii="Times New Roman" w:hAnsi="Times New Roman" w:cs="Times New Roman"/>
          <w:sz w:val="28"/>
          <w:szCs w:val="28"/>
        </w:rPr>
        <w:t xml:space="preserve"> от 10,79 до 21,68, по </w:t>
      </w:r>
      <w:r w:rsidRPr="004135FE">
        <w:rPr>
          <w:rFonts w:ascii="Times New Roman" w:eastAsia="Times New Roman" w:hAnsi="Times New Roman" w:cs="Times New Roman"/>
          <w:sz w:val="28"/>
          <w:szCs w:val="28"/>
        </w:rPr>
        <w:t>Бостандыкскому</w:t>
      </w:r>
      <w:r w:rsidRPr="004135FE">
        <w:rPr>
          <w:rFonts w:ascii="Times New Roman" w:hAnsi="Times New Roman" w:cs="Times New Roman"/>
          <w:sz w:val="28"/>
          <w:szCs w:val="28"/>
        </w:rPr>
        <w:t xml:space="preserve"> от 13,74 до 19,83, </w:t>
      </w:r>
      <w:r w:rsidRPr="004135FE">
        <w:rPr>
          <w:rFonts w:ascii="Times New Roman" w:eastAsia="Times New Roman" w:hAnsi="Times New Roman" w:cs="Times New Roman"/>
          <w:sz w:val="28"/>
          <w:szCs w:val="28"/>
        </w:rPr>
        <w:t xml:space="preserve">Алмалинскому от </w:t>
      </w:r>
      <w:r w:rsidRPr="004135FE">
        <w:rPr>
          <w:rFonts w:ascii="Times New Roman" w:hAnsi="Times New Roman" w:cs="Times New Roman"/>
          <w:sz w:val="28"/>
          <w:szCs w:val="28"/>
        </w:rPr>
        <w:t>16,08 до 19,71 на 1000 пациентов.</w:t>
      </w:r>
    </w:p>
    <w:p w14:paraId="0ACBC3DB" w14:textId="77777777" w:rsidR="0066583A" w:rsidRPr="004135FE" w:rsidRDefault="0066583A" w:rsidP="004135FE">
      <w:pPr>
        <w:autoSpaceDE w:val="0"/>
        <w:autoSpaceDN w:val="0"/>
        <w:adjustRightInd w:val="0"/>
        <w:spacing w:after="0" w:line="240" w:lineRule="auto"/>
        <w:jc w:val="both"/>
        <w:rPr>
          <w:rFonts w:ascii="Times New Roman" w:eastAsiaTheme="minorHAnsi" w:hAnsi="Times New Roman" w:cs="Times New Roman"/>
          <w:b/>
          <w:sz w:val="28"/>
          <w:szCs w:val="28"/>
          <w:lang w:eastAsia="en-US"/>
        </w:rPr>
      </w:pPr>
    </w:p>
    <w:p w14:paraId="4625591D" w14:textId="77777777" w:rsidR="0066583A" w:rsidRPr="004135FE" w:rsidRDefault="0066583A" w:rsidP="00DF3804">
      <w:pPr>
        <w:autoSpaceDE w:val="0"/>
        <w:autoSpaceDN w:val="0"/>
        <w:adjustRightInd w:val="0"/>
        <w:spacing w:after="0" w:line="240" w:lineRule="auto"/>
        <w:jc w:val="center"/>
        <w:rPr>
          <w:rFonts w:ascii="Times New Roman" w:eastAsiaTheme="minorHAnsi" w:hAnsi="Times New Roman" w:cs="Times New Roman"/>
          <w:b/>
          <w:sz w:val="28"/>
          <w:szCs w:val="28"/>
          <w:lang w:eastAsia="en-US"/>
        </w:rPr>
      </w:pPr>
      <w:r w:rsidRPr="004135FE">
        <w:rPr>
          <w:noProof/>
          <w:sz w:val="28"/>
          <w:szCs w:val="28"/>
        </w:rPr>
        <w:drawing>
          <wp:inline distT="0" distB="0" distL="0" distR="0" wp14:anchorId="43AAC605" wp14:editId="517E0393">
            <wp:extent cx="5905500" cy="2524125"/>
            <wp:effectExtent l="0" t="0" r="0" b="9525"/>
            <wp:docPr id="282" name="Диаграмма 28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4FCF549" w14:textId="77777777" w:rsidR="00BA3CA8" w:rsidRDefault="00BA3CA8" w:rsidP="00BA3CA8">
      <w:pPr>
        <w:autoSpaceDE w:val="0"/>
        <w:autoSpaceDN w:val="0"/>
        <w:adjustRightInd w:val="0"/>
        <w:spacing w:after="0" w:line="240" w:lineRule="auto"/>
        <w:jc w:val="center"/>
        <w:rPr>
          <w:rFonts w:ascii="Times New Roman" w:eastAsiaTheme="minorHAnsi" w:hAnsi="Times New Roman" w:cs="Times New Roman"/>
          <w:sz w:val="28"/>
          <w:szCs w:val="28"/>
          <w:lang w:eastAsia="en-US"/>
        </w:rPr>
      </w:pPr>
    </w:p>
    <w:p w14:paraId="21D87BFD" w14:textId="27B39BB7" w:rsidR="0066583A" w:rsidRPr="004135FE" w:rsidRDefault="0066583A" w:rsidP="00BA3CA8">
      <w:pPr>
        <w:autoSpaceDE w:val="0"/>
        <w:autoSpaceDN w:val="0"/>
        <w:adjustRightInd w:val="0"/>
        <w:spacing w:after="0" w:line="240" w:lineRule="auto"/>
        <w:jc w:val="center"/>
        <w:rPr>
          <w:rFonts w:ascii="Times New Roman" w:eastAsiaTheme="minorHAnsi" w:hAnsi="Times New Roman" w:cs="Times New Roman"/>
          <w:bCs/>
          <w:sz w:val="28"/>
          <w:szCs w:val="28"/>
          <w:lang w:eastAsia="en-US"/>
        </w:rPr>
      </w:pPr>
      <w:r w:rsidRPr="004135FE">
        <w:rPr>
          <w:rFonts w:ascii="Times New Roman" w:eastAsiaTheme="minorHAnsi" w:hAnsi="Times New Roman" w:cs="Times New Roman"/>
          <w:sz w:val="28"/>
          <w:szCs w:val="28"/>
          <w:lang w:eastAsia="en-US"/>
        </w:rPr>
        <w:t>Рисунок 8</w:t>
      </w:r>
      <w:r w:rsidR="00DF3804">
        <w:rPr>
          <w:rFonts w:ascii="Times New Roman" w:eastAsiaTheme="minorHAnsi" w:hAnsi="Times New Roman" w:cs="Times New Roman"/>
          <w:sz w:val="28"/>
          <w:szCs w:val="28"/>
          <w:lang w:eastAsia="en-US"/>
        </w:rPr>
        <w:t xml:space="preserve"> </w:t>
      </w:r>
      <w:r w:rsidRPr="004135FE">
        <w:rPr>
          <w:rFonts w:ascii="Times New Roman" w:eastAsiaTheme="minorHAnsi" w:hAnsi="Times New Roman" w:cs="Times New Roman"/>
          <w:sz w:val="28"/>
          <w:szCs w:val="28"/>
          <w:lang w:eastAsia="en-US"/>
        </w:rPr>
        <w:t>- Сравнение</w:t>
      </w:r>
      <w:r w:rsidRPr="004135FE">
        <w:rPr>
          <w:rFonts w:ascii="Times New Roman" w:eastAsiaTheme="minorHAnsi" w:hAnsi="Times New Roman" w:cs="Times New Roman"/>
          <w:b/>
          <w:sz w:val="28"/>
          <w:szCs w:val="28"/>
          <w:lang w:eastAsia="en-US"/>
        </w:rPr>
        <w:t xml:space="preserve"> </w:t>
      </w:r>
      <w:r w:rsidRPr="004135FE">
        <w:rPr>
          <w:rFonts w:ascii="Times New Roman" w:eastAsiaTheme="minorHAnsi" w:hAnsi="Times New Roman" w:cs="Times New Roman"/>
          <w:bCs/>
          <w:sz w:val="28"/>
          <w:szCs w:val="28"/>
          <w:lang w:eastAsia="en-US"/>
        </w:rPr>
        <w:t>показателей 2012г и 2021г стандартизированной распространенности СД2т по районам (*расчет в Наурызбайском районе проведен со дня его основания, с 2015</w:t>
      </w:r>
      <w:r w:rsidR="002F1555">
        <w:rPr>
          <w:rFonts w:ascii="Times New Roman" w:eastAsiaTheme="minorHAnsi" w:hAnsi="Times New Roman" w:cs="Times New Roman"/>
          <w:bCs/>
          <w:sz w:val="28"/>
          <w:szCs w:val="28"/>
          <w:lang w:eastAsia="en-US"/>
        </w:rPr>
        <w:t xml:space="preserve"> </w:t>
      </w:r>
      <w:r w:rsidRPr="004135FE">
        <w:rPr>
          <w:rFonts w:ascii="Times New Roman" w:eastAsiaTheme="minorHAnsi" w:hAnsi="Times New Roman" w:cs="Times New Roman"/>
          <w:bCs/>
          <w:sz w:val="28"/>
          <w:szCs w:val="28"/>
          <w:lang w:eastAsia="en-US"/>
        </w:rPr>
        <w:t>г</w:t>
      </w:r>
      <w:r w:rsidR="002F1555">
        <w:rPr>
          <w:rFonts w:ascii="Times New Roman" w:eastAsiaTheme="minorHAnsi" w:hAnsi="Times New Roman" w:cs="Times New Roman"/>
          <w:bCs/>
          <w:sz w:val="28"/>
          <w:szCs w:val="28"/>
          <w:lang w:eastAsia="en-US"/>
        </w:rPr>
        <w:t>.</w:t>
      </w:r>
      <w:r w:rsidRPr="004135FE">
        <w:rPr>
          <w:rFonts w:ascii="Times New Roman" w:eastAsiaTheme="minorHAnsi" w:hAnsi="Times New Roman" w:cs="Times New Roman"/>
          <w:bCs/>
          <w:sz w:val="28"/>
          <w:szCs w:val="28"/>
          <w:lang w:eastAsia="en-US"/>
        </w:rPr>
        <w:t>)</w:t>
      </w:r>
    </w:p>
    <w:p w14:paraId="09195335" w14:textId="77777777" w:rsidR="0066583A" w:rsidRPr="004135FE" w:rsidRDefault="0066583A" w:rsidP="004135FE">
      <w:pPr>
        <w:autoSpaceDE w:val="0"/>
        <w:autoSpaceDN w:val="0"/>
        <w:adjustRightInd w:val="0"/>
        <w:spacing w:after="0" w:line="240" w:lineRule="auto"/>
        <w:rPr>
          <w:rFonts w:ascii="Times New Roman" w:eastAsiaTheme="minorHAnsi" w:hAnsi="Times New Roman" w:cs="Times New Roman"/>
          <w:bCs/>
          <w:sz w:val="28"/>
          <w:szCs w:val="28"/>
          <w:lang w:eastAsia="en-US"/>
        </w:rPr>
      </w:pPr>
    </w:p>
    <w:p w14:paraId="2B99D7DF" w14:textId="77777777" w:rsidR="0066583A" w:rsidRPr="004135FE" w:rsidRDefault="0066583A" w:rsidP="004135FE">
      <w:pPr>
        <w:autoSpaceDE w:val="0"/>
        <w:autoSpaceDN w:val="0"/>
        <w:adjustRightInd w:val="0"/>
        <w:spacing w:after="0" w:line="240" w:lineRule="auto"/>
        <w:ind w:firstLine="708"/>
        <w:jc w:val="both"/>
        <w:rPr>
          <w:rFonts w:ascii="Times New Roman" w:eastAsiaTheme="minorHAnsi" w:hAnsi="Times New Roman" w:cs="Times New Roman"/>
          <w:bCs/>
          <w:sz w:val="28"/>
          <w:szCs w:val="28"/>
          <w:lang w:eastAsia="en-US"/>
        </w:rPr>
      </w:pPr>
      <w:r w:rsidRPr="004135FE">
        <w:rPr>
          <w:rFonts w:ascii="Times New Roman" w:eastAsiaTheme="minorHAnsi" w:hAnsi="Times New Roman" w:cs="Times New Roman"/>
          <w:bCs/>
          <w:sz w:val="28"/>
          <w:szCs w:val="28"/>
          <w:lang w:eastAsia="en-US"/>
        </w:rPr>
        <w:t>Показатели проведенного расчета необходимо учитывать при планировании организации медицинской помощи. Несмотря на то что мы использовали грубые показатели, они у нас со стандартами практический одинаковые и мы можем опираться на эти грубые показатели, так как они являются объективными. Это доказывает достоверность данных.</w:t>
      </w:r>
    </w:p>
    <w:p w14:paraId="47FB41A8" w14:textId="77777777" w:rsidR="0066583A" w:rsidRPr="004135FE" w:rsidRDefault="0066583A" w:rsidP="004135FE">
      <w:pPr>
        <w:tabs>
          <w:tab w:val="left" w:pos="3480"/>
        </w:tabs>
        <w:autoSpaceDE w:val="0"/>
        <w:autoSpaceDN w:val="0"/>
        <w:adjustRightInd w:val="0"/>
        <w:spacing w:after="0" w:line="240" w:lineRule="auto"/>
        <w:jc w:val="both"/>
        <w:rPr>
          <w:rFonts w:ascii="Times New Roman" w:eastAsiaTheme="minorHAnsi" w:hAnsi="Times New Roman" w:cs="Times New Roman"/>
          <w:bCs/>
          <w:sz w:val="28"/>
          <w:szCs w:val="28"/>
          <w:lang w:eastAsia="en-US"/>
        </w:rPr>
      </w:pPr>
      <w:r w:rsidRPr="004135FE">
        <w:rPr>
          <w:rFonts w:ascii="Times New Roman" w:eastAsiaTheme="minorHAnsi" w:hAnsi="Times New Roman" w:cs="Times New Roman"/>
          <w:sz w:val="28"/>
          <w:szCs w:val="28"/>
          <w:lang w:eastAsia="en-US"/>
        </w:rPr>
        <w:t xml:space="preserve">Но есть два района, отличающиеся результатами проведенного расчета. </w:t>
      </w:r>
      <w:r w:rsidRPr="004135FE">
        <w:rPr>
          <w:rFonts w:ascii="Times New Roman" w:eastAsiaTheme="minorHAnsi" w:hAnsi="Times New Roman" w:cs="Times New Roman"/>
          <w:bCs/>
          <w:sz w:val="28"/>
          <w:szCs w:val="28"/>
          <w:lang w:eastAsia="en-US"/>
        </w:rPr>
        <w:t>Вероятно, уровень распространенности СД2т в Алатауском и Наурызбайском районах выше.</w:t>
      </w:r>
    </w:p>
    <w:p w14:paraId="0D1293FD" w14:textId="77777777" w:rsidR="0066583A" w:rsidRPr="004135FE" w:rsidRDefault="0066583A" w:rsidP="004135FE">
      <w:pPr>
        <w:autoSpaceDE w:val="0"/>
        <w:autoSpaceDN w:val="0"/>
        <w:adjustRightInd w:val="0"/>
        <w:spacing w:after="0" w:line="240" w:lineRule="auto"/>
        <w:jc w:val="both"/>
        <w:rPr>
          <w:rFonts w:ascii="Times New Roman" w:eastAsiaTheme="minorHAnsi" w:hAnsi="Times New Roman" w:cs="Times New Roman"/>
          <w:b/>
          <w:sz w:val="28"/>
          <w:szCs w:val="28"/>
          <w:lang w:eastAsia="en-US"/>
        </w:rPr>
      </w:pPr>
    </w:p>
    <w:p w14:paraId="1CC40F1A" w14:textId="77777777" w:rsidR="0066583A" w:rsidRPr="004135FE" w:rsidRDefault="0066583A" w:rsidP="00DF3804">
      <w:pPr>
        <w:autoSpaceDE w:val="0"/>
        <w:autoSpaceDN w:val="0"/>
        <w:adjustRightInd w:val="0"/>
        <w:spacing w:after="0" w:line="240" w:lineRule="auto"/>
        <w:jc w:val="center"/>
        <w:rPr>
          <w:rFonts w:ascii="Times New Roman" w:eastAsiaTheme="minorHAnsi" w:hAnsi="Times New Roman" w:cs="Times New Roman"/>
          <w:b/>
          <w:sz w:val="28"/>
          <w:szCs w:val="28"/>
          <w:lang w:eastAsia="en-US"/>
        </w:rPr>
      </w:pPr>
      <w:r w:rsidRPr="004135FE">
        <w:rPr>
          <w:noProof/>
          <w:sz w:val="28"/>
          <w:szCs w:val="28"/>
        </w:rPr>
        <w:lastRenderedPageBreak/>
        <w:drawing>
          <wp:inline distT="0" distB="0" distL="0" distR="0" wp14:anchorId="637D44C9" wp14:editId="038E811A">
            <wp:extent cx="5800725" cy="2457450"/>
            <wp:effectExtent l="0" t="0" r="9525" b="0"/>
            <wp:docPr id="281" name="Диаграмма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2BEC89E" w14:textId="77777777" w:rsidR="00DF3804" w:rsidRDefault="00DF3804" w:rsidP="00DF3804">
      <w:pPr>
        <w:autoSpaceDE w:val="0"/>
        <w:autoSpaceDN w:val="0"/>
        <w:adjustRightInd w:val="0"/>
        <w:spacing w:after="0" w:line="240" w:lineRule="auto"/>
        <w:jc w:val="center"/>
        <w:rPr>
          <w:rFonts w:ascii="Times New Roman" w:eastAsiaTheme="minorHAnsi" w:hAnsi="Times New Roman" w:cs="Times New Roman"/>
          <w:sz w:val="28"/>
          <w:szCs w:val="28"/>
          <w:lang w:eastAsia="en-US"/>
        </w:rPr>
      </w:pPr>
    </w:p>
    <w:p w14:paraId="28842925" w14:textId="7A540BDE" w:rsidR="0066583A" w:rsidRPr="004135FE" w:rsidRDefault="0066583A" w:rsidP="00DF3804">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Рисунок 9</w:t>
      </w:r>
      <w:r w:rsidR="00DF3804">
        <w:rPr>
          <w:rFonts w:ascii="Times New Roman" w:eastAsiaTheme="minorHAnsi" w:hAnsi="Times New Roman" w:cs="Times New Roman"/>
          <w:sz w:val="28"/>
          <w:szCs w:val="28"/>
          <w:lang w:eastAsia="en-US"/>
        </w:rPr>
        <w:t xml:space="preserve"> </w:t>
      </w:r>
      <w:r w:rsidRPr="004135FE">
        <w:rPr>
          <w:rFonts w:ascii="Times New Roman" w:eastAsiaTheme="minorHAnsi" w:hAnsi="Times New Roman" w:cs="Times New Roman"/>
          <w:sz w:val="28"/>
          <w:szCs w:val="28"/>
          <w:lang w:eastAsia="en-US"/>
        </w:rPr>
        <w:t xml:space="preserve">- </w:t>
      </w:r>
      <w:r w:rsidRPr="004135FE">
        <w:rPr>
          <w:rFonts w:ascii="Times New Roman" w:eastAsiaTheme="minorHAnsi" w:hAnsi="Times New Roman" w:cs="Times New Roman"/>
          <w:bCs/>
          <w:sz w:val="28"/>
          <w:szCs w:val="28"/>
          <w:lang w:eastAsia="en-US"/>
        </w:rPr>
        <w:t>Расчет грубого и стандартизированного показателей распространенности по СД2т по районам г.Алматы на 2021</w:t>
      </w:r>
      <w:r w:rsidR="00490AF6">
        <w:rPr>
          <w:rFonts w:ascii="Times New Roman" w:eastAsiaTheme="minorHAnsi" w:hAnsi="Times New Roman" w:cs="Times New Roman"/>
          <w:bCs/>
          <w:sz w:val="28"/>
          <w:szCs w:val="28"/>
          <w:lang w:eastAsia="en-US"/>
        </w:rPr>
        <w:t xml:space="preserve"> </w:t>
      </w:r>
      <w:r w:rsidRPr="004135FE">
        <w:rPr>
          <w:rFonts w:ascii="Times New Roman" w:eastAsiaTheme="minorHAnsi" w:hAnsi="Times New Roman" w:cs="Times New Roman"/>
          <w:bCs/>
          <w:sz w:val="28"/>
          <w:szCs w:val="28"/>
          <w:lang w:eastAsia="en-US"/>
        </w:rPr>
        <w:t>г</w:t>
      </w:r>
      <w:r w:rsidR="00490AF6">
        <w:rPr>
          <w:rFonts w:ascii="Times New Roman" w:eastAsiaTheme="minorHAnsi" w:hAnsi="Times New Roman" w:cs="Times New Roman"/>
          <w:bCs/>
          <w:sz w:val="28"/>
          <w:szCs w:val="28"/>
          <w:lang w:eastAsia="en-US"/>
        </w:rPr>
        <w:t>.</w:t>
      </w:r>
    </w:p>
    <w:p w14:paraId="712B3BF7" w14:textId="77777777" w:rsidR="0066583A" w:rsidRPr="004135FE" w:rsidRDefault="0066583A" w:rsidP="004135FE">
      <w:pPr>
        <w:tabs>
          <w:tab w:val="left" w:pos="3480"/>
        </w:tabs>
        <w:autoSpaceDE w:val="0"/>
        <w:autoSpaceDN w:val="0"/>
        <w:adjustRightInd w:val="0"/>
        <w:spacing w:after="0" w:line="240" w:lineRule="auto"/>
        <w:jc w:val="both"/>
        <w:rPr>
          <w:rFonts w:ascii="Times New Roman" w:eastAsiaTheme="minorHAnsi" w:hAnsi="Times New Roman" w:cs="Times New Roman"/>
          <w:b/>
          <w:sz w:val="28"/>
          <w:szCs w:val="28"/>
          <w:lang w:eastAsia="en-US"/>
        </w:rPr>
      </w:pPr>
    </w:p>
    <w:p w14:paraId="22A87688" w14:textId="5F134185" w:rsidR="0066583A" w:rsidRPr="004135FE" w:rsidRDefault="0066583A" w:rsidP="00DF3804">
      <w:pPr>
        <w:tabs>
          <w:tab w:val="left" w:pos="567"/>
        </w:tabs>
        <w:autoSpaceDE w:val="0"/>
        <w:autoSpaceDN w:val="0"/>
        <w:adjustRightInd w:val="0"/>
        <w:spacing w:after="0" w:line="240" w:lineRule="auto"/>
        <w:ind w:firstLine="709"/>
        <w:jc w:val="both"/>
        <w:rPr>
          <w:rFonts w:ascii="Times New Roman" w:eastAsiaTheme="minorHAnsi" w:hAnsi="Times New Roman" w:cs="Times New Roman"/>
          <w:bCs/>
          <w:sz w:val="28"/>
          <w:szCs w:val="28"/>
          <w:lang w:eastAsia="en-US"/>
        </w:rPr>
      </w:pPr>
      <w:r w:rsidRPr="004135FE">
        <w:rPr>
          <w:rFonts w:ascii="Times New Roman" w:eastAsiaTheme="minorHAnsi" w:hAnsi="Times New Roman" w:cs="Times New Roman"/>
          <w:bCs/>
          <w:sz w:val="28"/>
          <w:szCs w:val="28"/>
          <w:lang w:eastAsia="en-US"/>
        </w:rPr>
        <w:t xml:space="preserve">Алатауский район является вторым сравнительно новым районом г.Алматы, после Наурызбайского. Но результаты расчета превосходят среди всех районов. </w:t>
      </w:r>
    </w:p>
    <w:p w14:paraId="33D8065D" w14:textId="77777777" w:rsidR="0066583A" w:rsidRPr="004135FE" w:rsidRDefault="0066583A" w:rsidP="00DF3804">
      <w:pPr>
        <w:tabs>
          <w:tab w:val="left" w:pos="3480"/>
        </w:tabs>
        <w:autoSpaceDE w:val="0"/>
        <w:autoSpaceDN w:val="0"/>
        <w:adjustRightInd w:val="0"/>
        <w:spacing w:after="0" w:line="240" w:lineRule="auto"/>
        <w:ind w:firstLine="709"/>
        <w:jc w:val="both"/>
        <w:rPr>
          <w:rFonts w:ascii="Times New Roman" w:eastAsiaTheme="minorHAnsi" w:hAnsi="Times New Roman" w:cs="Times New Roman"/>
          <w:bCs/>
          <w:sz w:val="28"/>
          <w:szCs w:val="28"/>
          <w:lang w:eastAsia="en-US"/>
        </w:rPr>
      </w:pPr>
      <w:r w:rsidRPr="004135FE">
        <w:rPr>
          <w:rFonts w:ascii="Times New Roman" w:eastAsiaTheme="minorHAnsi" w:hAnsi="Times New Roman" w:cs="Times New Roman"/>
          <w:bCs/>
          <w:sz w:val="28"/>
          <w:szCs w:val="28"/>
          <w:lang w:eastAsia="en-US"/>
        </w:rPr>
        <w:t xml:space="preserve"> Алатауский район обоснован в 2008г, в результате </w:t>
      </w:r>
      <w:r w:rsidRPr="004135FE">
        <w:rPr>
          <w:rFonts w:ascii="Times New Roman" w:hAnsi="Times New Roman" w:cs="Times New Roman"/>
          <w:bCs/>
          <w:sz w:val="28"/>
          <w:szCs w:val="28"/>
        </w:rPr>
        <w:t>разукрупнения</w:t>
      </w:r>
      <w:r w:rsidRPr="004135FE">
        <w:rPr>
          <w:rFonts w:ascii="Times New Roman" w:eastAsiaTheme="minorHAnsi" w:hAnsi="Times New Roman" w:cs="Times New Roman"/>
          <w:bCs/>
          <w:sz w:val="28"/>
          <w:szCs w:val="28"/>
          <w:lang w:eastAsia="en-US"/>
        </w:rPr>
        <w:t xml:space="preserve"> Ауэзовского района, отделившегося от него, севернее проспекта Рыскулова.  Географический одноименные районы Алатауский до 1993г, который был присоединен к Ауэзовскому району и после 2008г находятся в разных местах, общее только название.</w:t>
      </w:r>
    </w:p>
    <w:p w14:paraId="0178F827" w14:textId="00C56502" w:rsidR="0066583A" w:rsidRPr="004135FE" w:rsidRDefault="0066583A" w:rsidP="00DF3804">
      <w:pPr>
        <w:tabs>
          <w:tab w:val="left" w:pos="567"/>
        </w:tabs>
        <w:autoSpaceDE w:val="0"/>
        <w:autoSpaceDN w:val="0"/>
        <w:adjustRightInd w:val="0"/>
        <w:spacing w:after="0" w:line="240" w:lineRule="auto"/>
        <w:ind w:firstLine="709"/>
        <w:jc w:val="both"/>
        <w:rPr>
          <w:rFonts w:ascii="Times New Roman" w:eastAsiaTheme="minorHAnsi" w:hAnsi="Times New Roman" w:cs="Times New Roman"/>
          <w:bCs/>
          <w:sz w:val="28"/>
          <w:szCs w:val="28"/>
          <w:lang w:eastAsia="en-US"/>
        </w:rPr>
      </w:pPr>
      <w:r w:rsidRPr="004135FE">
        <w:rPr>
          <w:rFonts w:ascii="Times New Roman" w:eastAsiaTheme="minorHAnsi" w:hAnsi="Times New Roman" w:cs="Times New Roman"/>
          <w:bCs/>
          <w:sz w:val="28"/>
          <w:szCs w:val="28"/>
          <w:lang w:eastAsia="en-US"/>
        </w:rPr>
        <w:t>Расчет грубого и стандартизированного показателей распространенности по СД2т по Алатаускому району проведен за 10 лет, с 2012г по 2021г. Минимальная разница между грубыми и стандартизованными показателями составили в 2013г, который с каждым годом имел рост. Максимальная разница отмечается в 2021г, что составила 16,5 против 26,56 из расчета на 1000 человек, как видно на рисунке 10. Данный расчет характеризует систематическое увеличение пробелов в организации оказания медицинской помощи и профилактических мер по борьбе с СД2т среди населения района, так же оценивает уровень межсекторального сотрудничества между ответственными организациями за состояние здоровья и населением района включая социальные детерминанты влияющие на укрепление здоровья.</w:t>
      </w:r>
    </w:p>
    <w:p w14:paraId="18D4A5E5" w14:textId="77777777" w:rsidR="0066583A" w:rsidRPr="004135FE" w:rsidRDefault="0066583A" w:rsidP="004135FE">
      <w:pPr>
        <w:tabs>
          <w:tab w:val="left" w:pos="3480"/>
        </w:tabs>
        <w:autoSpaceDE w:val="0"/>
        <w:autoSpaceDN w:val="0"/>
        <w:adjustRightInd w:val="0"/>
        <w:spacing w:after="0" w:line="240" w:lineRule="auto"/>
        <w:jc w:val="both"/>
        <w:rPr>
          <w:rFonts w:ascii="Times New Roman" w:eastAsiaTheme="minorHAnsi" w:hAnsi="Times New Roman" w:cs="Times New Roman"/>
          <w:b/>
          <w:i/>
          <w:sz w:val="28"/>
          <w:szCs w:val="28"/>
          <w:lang w:eastAsia="en-US"/>
        </w:rPr>
      </w:pPr>
    </w:p>
    <w:p w14:paraId="30ECFEBC" w14:textId="77777777" w:rsidR="0066583A" w:rsidRPr="004135FE" w:rsidRDefault="0066583A" w:rsidP="00DF3804">
      <w:pPr>
        <w:tabs>
          <w:tab w:val="left" w:pos="3480"/>
        </w:tabs>
        <w:autoSpaceDE w:val="0"/>
        <w:autoSpaceDN w:val="0"/>
        <w:adjustRightInd w:val="0"/>
        <w:spacing w:after="0" w:line="240" w:lineRule="auto"/>
        <w:jc w:val="center"/>
        <w:rPr>
          <w:rFonts w:ascii="Times New Roman" w:eastAsiaTheme="minorHAnsi" w:hAnsi="Times New Roman" w:cs="Times New Roman"/>
          <w:b/>
          <w:sz w:val="28"/>
          <w:szCs w:val="28"/>
          <w:lang w:eastAsia="en-US"/>
        </w:rPr>
      </w:pPr>
      <w:r w:rsidRPr="004135FE">
        <w:rPr>
          <w:noProof/>
          <w:sz w:val="28"/>
          <w:szCs w:val="28"/>
        </w:rPr>
        <w:lastRenderedPageBreak/>
        <w:drawing>
          <wp:inline distT="0" distB="0" distL="0" distR="0" wp14:anchorId="345E0996" wp14:editId="56A6B706">
            <wp:extent cx="5829300" cy="2295525"/>
            <wp:effectExtent l="0" t="0" r="0" b="9525"/>
            <wp:docPr id="285" name="Диаграмма 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F604C96" w14:textId="77777777" w:rsidR="00DF3804" w:rsidRDefault="00DF3804" w:rsidP="00DF3804">
      <w:pPr>
        <w:autoSpaceDE w:val="0"/>
        <w:autoSpaceDN w:val="0"/>
        <w:adjustRightInd w:val="0"/>
        <w:spacing w:after="0" w:line="240" w:lineRule="auto"/>
        <w:jc w:val="center"/>
        <w:rPr>
          <w:rFonts w:ascii="Times New Roman" w:eastAsiaTheme="minorHAnsi" w:hAnsi="Times New Roman" w:cs="Times New Roman"/>
          <w:sz w:val="28"/>
          <w:szCs w:val="28"/>
          <w:lang w:eastAsia="en-US"/>
        </w:rPr>
      </w:pPr>
    </w:p>
    <w:p w14:paraId="0EF54EA6" w14:textId="772AC818" w:rsidR="0066583A" w:rsidRPr="004135FE" w:rsidRDefault="0066583A" w:rsidP="00DF3804">
      <w:pPr>
        <w:autoSpaceDE w:val="0"/>
        <w:autoSpaceDN w:val="0"/>
        <w:adjustRightInd w:val="0"/>
        <w:spacing w:after="0" w:line="240" w:lineRule="auto"/>
        <w:jc w:val="center"/>
        <w:rPr>
          <w:rFonts w:ascii="Times New Roman" w:eastAsiaTheme="minorHAnsi" w:hAnsi="Times New Roman" w:cs="Times New Roman"/>
          <w:bCs/>
          <w:sz w:val="28"/>
          <w:szCs w:val="28"/>
          <w:lang w:eastAsia="en-US"/>
        </w:rPr>
      </w:pPr>
      <w:r w:rsidRPr="004135FE">
        <w:rPr>
          <w:rFonts w:ascii="Times New Roman" w:eastAsiaTheme="minorHAnsi" w:hAnsi="Times New Roman" w:cs="Times New Roman"/>
          <w:sz w:val="28"/>
          <w:szCs w:val="28"/>
          <w:lang w:eastAsia="en-US"/>
        </w:rPr>
        <w:t>Рисунок10</w:t>
      </w:r>
      <w:r w:rsidR="00DF3804">
        <w:rPr>
          <w:rFonts w:ascii="Times New Roman" w:eastAsiaTheme="minorHAnsi" w:hAnsi="Times New Roman" w:cs="Times New Roman"/>
          <w:sz w:val="28"/>
          <w:szCs w:val="28"/>
          <w:lang w:eastAsia="en-US"/>
        </w:rPr>
        <w:t xml:space="preserve"> </w:t>
      </w:r>
      <w:r w:rsidRPr="004135FE">
        <w:rPr>
          <w:rFonts w:ascii="Times New Roman" w:eastAsiaTheme="minorHAnsi" w:hAnsi="Times New Roman" w:cs="Times New Roman"/>
          <w:sz w:val="28"/>
          <w:szCs w:val="28"/>
          <w:lang w:eastAsia="en-US"/>
        </w:rPr>
        <w:t xml:space="preserve">- </w:t>
      </w:r>
      <w:r w:rsidRPr="004135FE">
        <w:rPr>
          <w:rFonts w:ascii="Times New Roman" w:eastAsiaTheme="minorHAnsi" w:hAnsi="Times New Roman" w:cs="Times New Roman"/>
          <w:bCs/>
          <w:sz w:val="28"/>
          <w:szCs w:val="28"/>
          <w:lang w:eastAsia="en-US"/>
        </w:rPr>
        <w:t>Расчет грубого и стандартизированного показателей распространенности по СД2т по Алатаускому району 2012-2021</w:t>
      </w:r>
      <w:r w:rsidR="00077E0F">
        <w:rPr>
          <w:rFonts w:ascii="Times New Roman" w:eastAsiaTheme="minorHAnsi" w:hAnsi="Times New Roman" w:cs="Times New Roman"/>
          <w:bCs/>
          <w:sz w:val="28"/>
          <w:szCs w:val="28"/>
          <w:lang w:eastAsia="en-US"/>
        </w:rPr>
        <w:t xml:space="preserve"> </w:t>
      </w:r>
      <w:r w:rsidRPr="004135FE">
        <w:rPr>
          <w:rFonts w:ascii="Times New Roman" w:eastAsiaTheme="minorHAnsi" w:hAnsi="Times New Roman" w:cs="Times New Roman"/>
          <w:bCs/>
          <w:sz w:val="28"/>
          <w:szCs w:val="28"/>
          <w:lang w:eastAsia="en-US"/>
        </w:rPr>
        <w:t>гг.</w:t>
      </w:r>
    </w:p>
    <w:p w14:paraId="73D6F80D" w14:textId="77777777" w:rsidR="0066583A" w:rsidRPr="004135FE" w:rsidRDefault="0066583A" w:rsidP="004135FE">
      <w:pPr>
        <w:tabs>
          <w:tab w:val="left" w:pos="3480"/>
        </w:tabs>
        <w:autoSpaceDE w:val="0"/>
        <w:autoSpaceDN w:val="0"/>
        <w:adjustRightInd w:val="0"/>
        <w:spacing w:after="0" w:line="240" w:lineRule="auto"/>
        <w:jc w:val="both"/>
        <w:rPr>
          <w:rFonts w:ascii="Times New Roman" w:eastAsiaTheme="minorHAnsi" w:hAnsi="Times New Roman" w:cs="Times New Roman"/>
          <w:b/>
          <w:sz w:val="28"/>
          <w:szCs w:val="28"/>
          <w:lang w:eastAsia="en-US"/>
        </w:rPr>
      </w:pPr>
    </w:p>
    <w:p w14:paraId="18F706B2" w14:textId="2D9A8D7D" w:rsidR="0066583A" w:rsidRPr="004135FE" w:rsidRDefault="0066583A" w:rsidP="00DF3804">
      <w:pPr>
        <w:tabs>
          <w:tab w:val="left" w:pos="567"/>
        </w:tabs>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 xml:space="preserve">Наурызбайский район образован в 2 июля 2014г. На внеочередной 19 сессии Маслихата было принято решение создать новый 8-ой район из части земель Ауэзовского и Бостандыкского районов и областного Карасайского района. Годовой отчет статистических данных сахарного диабета 2типа по Наурызбайскому району имеются в НРСД начиная с 2015г. </w:t>
      </w:r>
    </w:p>
    <w:p w14:paraId="57C88F30" w14:textId="1D32C44A" w:rsidR="0066583A" w:rsidRPr="004135FE" w:rsidRDefault="0066583A" w:rsidP="00DF3804">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bCs/>
          <w:sz w:val="28"/>
          <w:szCs w:val="28"/>
          <w:lang w:eastAsia="en-US"/>
        </w:rPr>
        <w:t>Расчет грубого и стандартизированного показателей распространенности по СД2т по Наурызбайскому району проведен с 2015г по 2021г. По результатам расчета с каждым годом распространенность СД2т имел рост. Так же нарастала разница между грубым и стандартизованным показателями, соответственно максимальная разница приходится к 2021г.</w:t>
      </w:r>
      <w:r w:rsidRPr="004135FE">
        <w:rPr>
          <w:rFonts w:ascii="Times New Roman" w:eastAsiaTheme="minorHAnsi" w:hAnsi="Times New Roman" w:cs="Times New Roman"/>
          <w:sz w:val="28"/>
          <w:szCs w:val="28"/>
          <w:lang w:eastAsia="en-US"/>
        </w:rPr>
        <w:t xml:space="preserve"> </w:t>
      </w:r>
    </w:p>
    <w:p w14:paraId="442A0AF1" w14:textId="77777777" w:rsidR="0066583A" w:rsidRPr="004135FE" w:rsidRDefault="0066583A" w:rsidP="00DF3804">
      <w:pPr>
        <w:tabs>
          <w:tab w:val="left" w:pos="3480"/>
        </w:tabs>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 xml:space="preserve">Вероятно, это связано с факторами урбанизации, инфраструктурой медицинской организации, кадровыми ресурсами (укомплектованность и подготовка), уровнем организаций медицинской помощи, солидарной ответственностью населения, активностью, медицинской грамотностью, качеством и уровнем жизни населения. Учитывая результаты проведенного нами расчета стандартизации </w:t>
      </w:r>
      <w:r w:rsidRPr="004135FE">
        <w:rPr>
          <w:rFonts w:ascii="Times New Roman" w:hAnsi="Times New Roman" w:cs="Times New Roman"/>
          <w:sz w:val="28"/>
          <w:szCs w:val="28"/>
        </w:rPr>
        <w:t>повозрастным</w:t>
      </w:r>
      <w:r w:rsidRPr="004135FE">
        <w:rPr>
          <w:rFonts w:ascii="Times New Roman" w:eastAsiaTheme="minorHAnsi" w:hAnsi="Times New Roman" w:cs="Times New Roman"/>
          <w:sz w:val="28"/>
          <w:szCs w:val="28"/>
          <w:lang w:eastAsia="en-US"/>
        </w:rPr>
        <w:t xml:space="preserve"> группам СД2т, Наурызбайскому району необходима повысить межсекторальное сотрудничество между Акиматом, </w:t>
      </w:r>
      <w:r w:rsidRPr="004135FE">
        <w:rPr>
          <w:rFonts w:ascii="Times New Roman" w:hAnsi="Times New Roman" w:cs="Times New Roman"/>
          <w:sz w:val="28"/>
          <w:szCs w:val="28"/>
        </w:rPr>
        <w:t>Службой общественного здоровья</w:t>
      </w:r>
      <w:r w:rsidRPr="004135FE">
        <w:rPr>
          <w:rFonts w:ascii="Times New Roman" w:eastAsiaTheme="minorHAnsi" w:hAnsi="Times New Roman" w:cs="Times New Roman"/>
          <w:sz w:val="28"/>
          <w:szCs w:val="28"/>
          <w:lang w:eastAsia="en-US"/>
        </w:rPr>
        <w:t>, медицинскими организациями оказывающие ПМСП, общим населением и пациентами с СД2т.</w:t>
      </w:r>
    </w:p>
    <w:p w14:paraId="1BF2859C" w14:textId="77777777" w:rsidR="0066583A" w:rsidRPr="004135FE" w:rsidRDefault="0066583A" w:rsidP="004135FE">
      <w:pPr>
        <w:tabs>
          <w:tab w:val="left" w:pos="3480"/>
        </w:tabs>
        <w:autoSpaceDE w:val="0"/>
        <w:autoSpaceDN w:val="0"/>
        <w:adjustRightInd w:val="0"/>
        <w:spacing w:after="0" w:line="240" w:lineRule="auto"/>
        <w:jc w:val="both"/>
        <w:rPr>
          <w:rFonts w:ascii="Times New Roman" w:eastAsiaTheme="minorHAnsi" w:hAnsi="Times New Roman" w:cs="Times New Roman"/>
          <w:b/>
          <w:sz w:val="28"/>
          <w:szCs w:val="28"/>
          <w:lang w:eastAsia="en-US"/>
        </w:rPr>
      </w:pPr>
    </w:p>
    <w:p w14:paraId="41FC8524" w14:textId="77777777" w:rsidR="0066583A" w:rsidRPr="004135FE" w:rsidRDefault="0066583A" w:rsidP="00DF3804">
      <w:pPr>
        <w:tabs>
          <w:tab w:val="left" w:pos="3480"/>
        </w:tabs>
        <w:autoSpaceDE w:val="0"/>
        <w:autoSpaceDN w:val="0"/>
        <w:adjustRightInd w:val="0"/>
        <w:spacing w:after="0" w:line="240" w:lineRule="auto"/>
        <w:jc w:val="center"/>
        <w:rPr>
          <w:rFonts w:ascii="Times New Roman" w:eastAsiaTheme="minorHAnsi" w:hAnsi="Times New Roman" w:cs="Times New Roman"/>
          <w:b/>
          <w:sz w:val="28"/>
          <w:szCs w:val="28"/>
          <w:lang w:eastAsia="en-US"/>
        </w:rPr>
      </w:pPr>
      <w:r w:rsidRPr="004135FE">
        <w:rPr>
          <w:noProof/>
          <w:sz w:val="28"/>
          <w:szCs w:val="28"/>
        </w:rPr>
        <w:lastRenderedPageBreak/>
        <w:drawing>
          <wp:inline distT="0" distB="0" distL="0" distR="0" wp14:anchorId="77B5D9FA" wp14:editId="72DDEA23">
            <wp:extent cx="5724525" cy="2324100"/>
            <wp:effectExtent l="0" t="0" r="9525" b="0"/>
            <wp:docPr id="286" name="Диаграмма 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0D296D4" w14:textId="77777777" w:rsidR="00DF3804" w:rsidRDefault="00DF3804"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410E8B62" w14:textId="0C66FEA5" w:rsidR="00B47983" w:rsidRPr="004135FE" w:rsidRDefault="0066583A" w:rsidP="00DF3804">
      <w:pPr>
        <w:autoSpaceDE w:val="0"/>
        <w:autoSpaceDN w:val="0"/>
        <w:adjustRightInd w:val="0"/>
        <w:spacing w:after="0" w:line="240" w:lineRule="auto"/>
        <w:jc w:val="center"/>
        <w:rPr>
          <w:rFonts w:ascii="Times New Roman" w:eastAsiaTheme="minorHAnsi" w:hAnsi="Times New Roman" w:cs="Times New Roman"/>
          <w:bCs/>
          <w:sz w:val="28"/>
          <w:szCs w:val="28"/>
          <w:lang w:eastAsia="en-US"/>
        </w:rPr>
      </w:pPr>
      <w:r w:rsidRPr="004135FE">
        <w:rPr>
          <w:rFonts w:ascii="Times New Roman" w:eastAsiaTheme="minorHAnsi" w:hAnsi="Times New Roman" w:cs="Times New Roman"/>
          <w:sz w:val="28"/>
          <w:szCs w:val="28"/>
          <w:lang w:eastAsia="en-US"/>
        </w:rPr>
        <w:t>Рисунок</w:t>
      </w:r>
      <w:r w:rsidR="00B47983" w:rsidRPr="004135FE">
        <w:rPr>
          <w:rFonts w:ascii="Times New Roman" w:eastAsiaTheme="minorHAnsi" w:hAnsi="Times New Roman" w:cs="Times New Roman"/>
          <w:sz w:val="28"/>
          <w:szCs w:val="28"/>
          <w:lang w:eastAsia="en-US"/>
        </w:rPr>
        <w:t xml:space="preserve"> </w:t>
      </w:r>
      <w:r w:rsidRPr="004135FE">
        <w:rPr>
          <w:rFonts w:ascii="Times New Roman" w:eastAsiaTheme="minorHAnsi" w:hAnsi="Times New Roman" w:cs="Times New Roman"/>
          <w:sz w:val="28"/>
          <w:szCs w:val="28"/>
          <w:lang w:eastAsia="en-US"/>
        </w:rPr>
        <w:t>11</w:t>
      </w:r>
      <w:r w:rsidR="00DF3804">
        <w:rPr>
          <w:rFonts w:ascii="Times New Roman" w:eastAsiaTheme="minorHAnsi" w:hAnsi="Times New Roman" w:cs="Times New Roman"/>
          <w:sz w:val="28"/>
          <w:szCs w:val="28"/>
          <w:lang w:eastAsia="en-US"/>
        </w:rPr>
        <w:t xml:space="preserve"> </w:t>
      </w:r>
      <w:r w:rsidRPr="004135FE">
        <w:rPr>
          <w:rFonts w:ascii="Times New Roman" w:eastAsiaTheme="minorHAnsi" w:hAnsi="Times New Roman" w:cs="Times New Roman"/>
          <w:sz w:val="28"/>
          <w:szCs w:val="28"/>
          <w:lang w:eastAsia="en-US"/>
        </w:rPr>
        <w:t xml:space="preserve">- </w:t>
      </w:r>
      <w:r w:rsidRPr="004135FE">
        <w:rPr>
          <w:rFonts w:ascii="Times New Roman" w:eastAsiaTheme="minorHAnsi" w:hAnsi="Times New Roman" w:cs="Times New Roman"/>
          <w:bCs/>
          <w:sz w:val="28"/>
          <w:szCs w:val="28"/>
          <w:lang w:eastAsia="en-US"/>
        </w:rPr>
        <w:t>Расчет грубого и стандартизированного показателей распространенности по СД2т по Наурызбайскому району 2015-2021</w:t>
      </w:r>
      <w:r w:rsidR="00DF3804">
        <w:rPr>
          <w:rFonts w:ascii="Times New Roman" w:eastAsiaTheme="minorHAnsi" w:hAnsi="Times New Roman" w:cs="Times New Roman"/>
          <w:bCs/>
          <w:sz w:val="28"/>
          <w:szCs w:val="28"/>
          <w:lang w:eastAsia="en-US"/>
        </w:rPr>
        <w:t xml:space="preserve"> </w:t>
      </w:r>
      <w:r w:rsidRPr="004135FE">
        <w:rPr>
          <w:rFonts w:ascii="Times New Roman" w:eastAsiaTheme="minorHAnsi" w:hAnsi="Times New Roman" w:cs="Times New Roman"/>
          <w:bCs/>
          <w:sz w:val="28"/>
          <w:szCs w:val="28"/>
          <w:lang w:eastAsia="en-US"/>
        </w:rPr>
        <w:t>гг.</w:t>
      </w:r>
    </w:p>
    <w:p w14:paraId="4190FBDA" w14:textId="3738E849" w:rsidR="00B47983" w:rsidRPr="004135FE" w:rsidRDefault="00B47983" w:rsidP="004135FE">
      <w:pPr>
        <w:autoSpaceDE w:val="0"/>
        <w:autoSpaceDN w:val="0"/>
        <w:adjustRightInd w:val="0"/>
        <w:spacing w:after="0" w:line="240" w:lineRule="auto"/>
        <w:jc w:val="both"/>
        <w:rPr>
          <w:rFonts w:ascii="Times New Roman" w:eastAsiaTheme="minorHAnsi" w:hAnsi="Times New Roman" w:cs="Times New Roman"/>
          <w:bCs/>
          <w:sz w:val="28"/>
          <w:szCs w:val="28"/>
          <w:lang w:eastAsia="en-US"/>
        </w:rPr>
      </w:pPr>
    </w:p>
    <w:p w14:paraId="1D340746" w14:textId="77777777" w:rsidR="00B47983" w:rsidRPr="004135FE" w:rsidRDefault="00B47983" w:rsidP="004135FE">
      <w:pPr>
        <w:autoSpaceDE w:val="0"/>
        <w:autoSpaceDN w:val="0"/>
        <w:adjustRightInd w:val="0"/>
        <w:spacing w:after="0" w:line="240" w:lineRule="auto"/>
        <w:jc w:val="both"/>
        <w:rPr>
          <w:rFonts w:ascii="Times New Roman" w:eastAsiaTheme="minorHAnsi" w:hAnsi="Times New Roman" w:cs="Times New Roman"/>
          <w:bCs/>
          <w:sz w:val="28"/>
          <w:szCs w:val="28"/>
          <w:lang w:eastAsia="en-US"/>
        </w:rPr>
      </w:pPr>
    </w:p>
    <w:p w14:paraId="621C6748" w14:textId="77777777" w:rsidR="0066583A" w:rsidRPr="00DF3804" w:rsidRDefault="0066583A" w:rsidP="00DF3804">
      <w:pPr>
        <w:pStyle w:val="Default"/>
        <w:ind w:firstLine="709"/>
        <w:jc w:val="both"/>
        <w:rPr>
          <w:rFonts w:ascii="Times New Roman" w:hAnsi="Times New Roman" w:cs="Times New Roman"/>
          <w:bCs/>
          <w:sz w:val="28"/>
          <w:szCs w:val="28"/>
        </w:rPr>
      </w:pPr>
      <w:r w:rsidRPr="00DF3804">
        <w:rPr>
          <w:rFonts w:ascii="Times New Roman" w:hAnsi="Times New Roman" w:cs="Times New Roman"/>
          <w:bCs/>
          <w:sz w:val="28"/>
          <w:szCs w:val="28"/>
        </w:rPr>
        <w:t xml:space="preserve">При грубом расчете: Стандартизированный коэффициент распространенности (на 1000 пациентов) в </w:t>
      </w:r>
      <w:r w:rsidRPr="00DF3804">
        <w:rPr>
          <w:rFonts w:ascii="Times New Roman" w:eastAsia="TimesNewRomanPSMT" w:hAnsi="Times New Roman" w:cs="Times New Roman"/>
          <w:bCs/>
          <w:sz w:val="28"/>
          <w:szCs w:val="28"/>
        </w:rPr>
        <w:t xml:space="preserve">Жетысуском районе </w:t>
      </w:r>
      <w:r w:rsidRPr="00DF3804">
        <w:rPr>
          <w:rFonts w:ascii="Times New Roman" w:hAnsi="Times New Roman" w:cs="Times New Roman"/>
          <w:bCs/>
          <w:sz w:val="28"/>
          <w:szCs w:val="28"/>
        </w:rPr>
        <w:t>выше, чем в остальных районах.</w:t>
      </w:r>
      <w:r w:rsidRPr="00DF3804">
        <w:rPr>
          <w:rFonts w:ascii="Times New Roman" w:eastAsia="TimesNewRomanPSMT" w:hAnsi="Times New Roman" w:cs="Times New Roman"/>
          <w:bCs/>
          <w:sz w:val="28"/>
          <w:szCs w:val="28"/>
        </w:rPr>
        <w:t xml:space="preserve"> То есть в 2021г по г. Алматы наибольшие случаи по СД2т отмечены в Жетысуском районе </w:t>
      </w:r>
      <w:r w:rsidRPr="00DF3804">
        <w:rPr>
          <w:rFonts w:ascii="Times New Roman" w:hAnsi="Times New Roman" w:cs="Times New Roman"/>
          <w:bCs/>
          <w:sz w:val="28"/>
          <w:szCs w:val="28"/>
        </w:rPr>
        <w:t>28,31 при расчете на 1000 человек, п</w:t>
      </w:r>
      <w:r w:rsidRPr="00DF3804">
        <w:rPr>
          <w:rFonts w:ascii="Times New Roman" w:eastAsia="TimesNewRomanPSMT" w:hAnsi="Times New Roman" w:cs="Times New Roman"/>
          <w:bCs/>
          <w:sz w:val="28"/>
          <w:szCs w:val="28"/>
        </w:rPr>
        <w:t>осле прямой стандартизации</w:t>
      </w:r>
      <w:r w:rsidRPr="00DF3804">
        <w:rPr>
          <w:rFonts w:ascii="Times New Roman" w:hAnsi="Times New Roman" w:cs="Times New Roman"/>
          <w:bCs/>
          <w:sz w:val="28"/>
          <w:szCs w:val="28"/>
        </w:rPr>
        <w:t xml:space="preserve"> 29,16 при расчете на 1000 человек.</w:t>
      </w:r>
    </w:p>
    <w:p w14:paraId="76B31A62" w14:textId="265AF214" w:rsidR="0066583A" w:rsidRPr="004135FE" w:rsidRDefault="0066583A" w:rsidP="004135FE">
      <w:pPr>
        <w:autoSpaceDE w:val="0"/>
        <w:autoSpaceDN w:val="0"/>
        <w:adjustRightInd w:val="0"/>
        <w:spacing w:after="0" w:line="240" w:lineRule="auto"/>
        <w:jc w:val="both"/>
        <w:rPr>
          <w:rFonts w:ascii="Times New Roman" w:eastAsiaTheme="minorHAnsi" w:hAnsi="Times New Roman" w:cs="Times New Roman"/>
          <w:bCs/>
          <w:sz w:val="28"/>
          <w:szCs w:val="28"/>
          <w:lang w:eastAsia="en-US"/>
        </w:rPr>
      </w:pPr>
      <w:r w:rsidRPr="00DF3804">
        <w:rPr>
          <w:rFonts w:ascii="Times New Roman" w:eastAsiaTheme="minorHAnsi" w:hAnsi="Times New Roman" w:cs="Times New Roman"/>
          <w:bCs/>
          <w:sz w:val="28"/>
          <w:szCs w:val="28"/>
          <w:lang w:eastAsia="en-US"/>
        </w:rPr>
        <w:t>После повозрастной стандартизации:</w:t>
      </w:r>
      <w:r w:rsidR="00490AF6">
        <w:rPr>
          <w:rFonts w:ascii="Times New Roman" w:eastAsiaTheme="minorHAnsi" w:hAnsi="Times New Roman" w:cs="Times New Roman"/>
          <w:bCs/>
          <w:sz w:val="28"/>
          <w:szCs w:val="28"/>
          <w:lang w:eastAsia="en-US"/>
        </w:rPr>
        <w:t xml:space="preserve"> </w:t>
      </w:r>
      <w:r w:rsidRPr="00DF3804">
        <w:rPr>
          <w:rFonts w:ascii="Times New Roman" w:eastAsiaTheme="minorHAnsi" w:hAnsi="Times New Roman" w:cs="Times New Roman"/>
          <w:bCs/>
          <w:sz w:val="28"/>
          <w:szCs w:val="28"/>
          <w:lang w:eastAsia="en-US"/>
        </w:rPr>
        <w:t xml:space="preserve">Если бы возрастная </w:t>
      </w:r>
      <w:r w:rsidRPr="00DF3804">
        <w:rPr>
          <w:rFonts w:ascii="Times New Roman" w:hAnsi="Times New Roman" w:cs="Times New Roman"/>
          <w:bCs/>
          <w:sz w:val="28"/>
          <w:szCs w:val="28"/>
        </w:rPr>
        <w:t>структура</w:t>
      </w:r>
      <w:r w:rsidRPr="00DF3804">
        <w:rPr>
          <w:rFonts w:ascii="Times New Roman" w:eastAsiaTheme="minorHAnsi" w:hAnsi="Times New Roman" w:cs="Times New Roman"/>
          <w:bCs/>
          <w:sz w:val="28"/>
          <w:szCs w:val="28"/>
          <w:lang w:eastAsia="en-US"/>
        </w:rPr>
        <w:t xml:space="preserve"> и численность населения по районам была бы такая же как в стандарте, то максимальная разница коэффициентов распространенности</w:t>
      </w:r>
      <w:r w:rsidRPr="004135FE">
        <w:rPr>
          <w:rFonts w:ascii="Times New Roman" w:eastAsiaTheme="minorHAnsi" w:hAnsi="Times New Roman" w:cs="Times New Roman"/>
          <w:sz w:val="28"/>
          <w:szCs w:val="28"/>
          <w:lang w:eastAsia="en-US"/>
        </w:rPr>
        <w:t xml:space="preserve"> СД2т </w:t>
      </w:r>
      <w:r w:rsidRPr="004135FE">
        <w:rPr>
          <w:rFonts w:ascii="Times New Roman" w:eastAsiaTheme="minorHAnsi" w:hAnsi="Times New Roman" w:cs="Times New Roman"/>
          <w:bCs/>
          <w:sz w:val="28"/>
          <w:szCs w:val="28"/>
          <w:lang w:eastAsia="en-US"/>
        </w:rPr>
        <w:t>отмечается в Алатауском районе в 2021г, что составила 16,5 против 26,56 из расчета на 1000 человек. Что соответствует самому высокому показателю распространенности СД2т среди всех районов г.Алматы. В этом районе необходима активизировать взаимодействие всех ответственных руководящих лиц Государственных и частных организации, с привлечением более широкого межсекторального сотрудничества заинтересованных секторов: представителей здравоохранения, средств массовой информации, представителей министерства культуры и образования, спорта и туризма, градоначальства, градостроения, сельского хозяйства и питания, финансов. Превратить населения района в активное звено в ответственности за свое здоровье, родных и близких.</w:t>
      </w:r>
    </w:p>
    <w:p w14:paraId="50080AA6" w14:textId="77777777" w:rsidR="0066583A" w:rsidRPr="004135FE" w:rsidRDefault="0066583A"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339A53B9" w14:textId="3D7D8339" w:rsidR="00D10F5E" w:rsidRPr="00DF3804" w:rsidRDefault="00DF3804" w:rsidP="00DF3804">
      <w:pPr>
        <w:pStyle w:val="a3"/>
        <w:spacing w:after="0" w:line="240" w:lineRule="auto"/>
        <w:ind w:left="0" w:firstLine="567"/>
        <w:jc w:val="both"/>
        <w:textAlignment w:val="baseline"/>
        <w:rPr>
          <w:rFonts w:ascii="Times New Roman" w:hAnsi="Times New Roman" w:cs="Times New Roman"/>
          <w:b/>
          <w:sz w:val="28"/>
          <w:szCs w:val="28"/>
        </w:rPr>
      </w:pPr>
      <w:r>
        <w:rPr>
          <w:rFonts w:ascii="Times New Roman" w:hAnsi="Times New Roman" w:cs="Times New Roman"/>
          <w:b/>
          <w:sz w:val="28"/>
          <w:szCs w:val="28"/>
        </w:rPr>
        <w:t xml:space="preserve">3.4 </w:t>
      </w:r>
      <w:r w:rsidR="0066583A" w:rsidRPr="00DF3804">
        <w:rPr>
          <w:rFonts w:ascii="Times New Roman" w:hAnsi="Times New Roman" w:cs="Times New Roman"/>
          <w:b/>
          <w:sz w:val="28"/>
          <w:szCs w:val="28"/>
        </w:rPr>
        <w:t>Прогноз распространенности СД2т общего населения и по половы</w:t>
      </w:r>
      <w:r w:rsidR="00D10F5E" w:rsidRPr="00DF3804">
        <w:rPr>
          <w:rFonts w:ascii="Times New Roman" w:hAnsi="Times New Roman" w:cs="Times New Roman"/>
          <w:b/>
          <w:sz w:val="28"/>
          <w:szCs w:val="28"/>
        </w:rPr>
        <w:t>м признакам</w:t>
      </w:r>
    </w:p>
    <w:p w14:paraId="50E61D24" w14:textId="7D794F43" w:rsidR="0066583A" w:rsidRPr="004135FE" w:rsidRDefault="0066583A" w:rsidP="004135FE">
      <w:pPr>
        <w:spacing w:after="0" w:line="240" w:lineRule="auto"/>
        <w:ind w:firstLine="567"/>
        <w:jc w:val="both"/>
        <w:textAlignment w:val="baseline"/>
        <w:rPr>
          <w:rFonts w:ascii="Times New Roman" w:hAnsi="Times New Roman" w:cs="Times New Roman"/>
          <w:sz w:val="28"/>
          <w:szCs w:val="28"/>
        </w:rPr>
      </w:pPr>
      <w:r w:rsidRPr="004135FE">
        <w:rPr>
          <w:rFonts w:ascii="Times New Roman" w:hAnsi="Times New Roman" w:cs="Times New Roman"/>
          <w:sz w:val="28"/>
          <w:szCs w:val="28"/>
        </w:rPr>
        <w:t xml:space="preserve">Для оценки динамики по ретроспективным данным предоставленный РЦЭЗ отчета показателей распространенности СД2т с 2012г до 2021г, нами была составлена прогнозная оценка к 2023 году, который был выполнен методом линейной регрессии. Учитывая преимущества и недостатки исследования трендовой модели, нами составлен прогноз распространенности </w:t>
      </w:r>
      <w:r w:rsidRPr="004135FE">
        <w:rPr>
          <w:rFonts w:ascii="Times New Roman" w:hAnsi="Times New Roman" w:cs="Times New Roman"/>
          <w:sz w:val="28"/>
          <w:szCs w:val="28"/>
        </w:rPr>
        <w:lastRenderedPageBreak/>
        <w:t>СД2т вперед на 2 периода. Началом прогноза послужила 2021г и завершение прогноза-2023</w:t>
      </w:r>
      <w:r w:rsidR="00DF3804">
        <w:rPr>
          <w:rFonts w:ascii="Times New Roman" w:hAnsi="Times New Roman" w:cs="Times New Roman"/>
          <w:sz w:val="28"/>
          <w:szCs w:val="28"/>
        </w:rPr>
        <w:t xml:space="preserve"> </w:t>
      </w:r>
      <w:r w:rsidRPr="004135FE">
        <w:rPr>
          <w:rFonts w:ascii="Times New Roman" w:hAnsi="Times New Roman" w:cs="Times New Roman"/>
          <w:sz w:val="28"/>
          <w:szCs w:val="28"/>
        </w:rPr>
        <w:t>г.</w:t>
      </w:r>
    </w:p>
    <w:p w14:paraId="26F8D9C0" w14:textId="77777777" w:rsidR="0066583A" w:rsidRPr="004135FE" w:rsidRDefault="0066583A"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eastAsiaTheme="minorHAnsi" w:hAnsi="Times New Roman" w:cs="Times New Roman"/>
          <w:sz w:val="28"/>
          <w:szCs w:val="28"/>
          <w:lang w:eastAsia="en-US"/>
        </w:rPr>
        <w:t xml:space="preserve">Выполнение расчета прогнозирования на 100тыс население, показал следующие результаты по увеличению распространенности в тенденции. </w:t>
      </w:r>
      <w:r w:rsidRPr="004135FE">
        <w:rPr>
          <w:rFonts w:ascii="Times New Roman" w:hAnsi="Times New Roman" w:cs="Times New Roman"/>
          <w:noProof/>
          <w:sz w:val="28"/>
          <w:szCs w:val="28"/>
        </w:rPr>
        <w:t xml:space="preserve">Согласно прогностической оценке ожидается дальнейшее увеличение распространенности СД2т </w:t>
      </w:r>
      <w:r w:rsidRPr="004135FE">
        <w:rPr>
          <w:rFonts w:ascii="Times New Roman" w:eastAsia="Times New Roman" w:hAnsi="Times New Roman" w:cs="Times New Roman"/>
          <w:sz w:val="28"/>
          <w:szCs w:val="28"/>
        </w:rPr>
        <w:t xml:space="preserve">среди всего населения г Алматы с 2098,79 до 2206,17с ДИ (2036,32; 2376,01) </w:t>
      </w:r>
      <w:r w:rsidRPr="004135FE">
        <w:rPr>
          <w:rFonts w:ascii="Times New Roman" w:hAnsi="Times New Roman" w:cs="Times New Roman"/>
          <w:sz w:val="28"/>
          <w:szCs w:val="28"/>
        </w:rPr>
        <w:t>на 100тыс населения (р=0,001) статистически значимы. Уравнение</w:t>
      </w:r>
      <w:r w:rsidRPr="004135FE">
        <w:rPr>
          <w:rFonts w:ascii="Times New Roman" w:eastAsiaTheme="minorHAnsi" w:hAnsi="Times New Roman" w:cs="Times New Roman"/>
          <w:sz w:val="28"/>
          <w:szCs w:val="28"/>
          <w:lang w:eastAsia="en-US"/>
        </w:rPr>
        <w:t xml:space="preserve"> линейной регрессии </w:t>
      </w:r>
      <w:r w:rsidRPr="004135FE">
        <w:rPr>
          <w:rFonts w:ascii="Times New Roman" w:eastAsiaTheme="minorHAnsi" w:hAnsi="Times New Roman" w:cs="Times New Roman"/>
          <w:sz w:val="28"/>
          <w:szCs w:val="28"/>
          <w:lang w:val="en-US" w:eastAsia="en-US"/>
        </w:rPr>
        <w:t>y</w:t>
      </w:r>
      <w:r w:rsidRPr="004135FE">
        <w:rPr>
          <w:rFonts w:ascii="Times New Roman" w:eastAsiaTheme="minorHAnsi" w:hAnsi="Times New Roman" w:cs="Times New Roman"/>
          <w:sz w:val="28"/>
          <w:szCs w:val="28"/>
          <w:lang w:eastAsia="en-US"/>
        </w:rPr>
        <w:t xml:space="preserve"> = 52,77</w:t>
      </w:r>
      <w:r w:rsidRPr="004135FE">
        <w:rPr>
          <w:rFonts w:ascii="Times New Roman" w:eastAsiaTheme="minorHAnsi" w:hAnsi="Times New Roman" w:cs="Times New Roman"/>
          <w:sz w:val="28"/>
          <w:szCs w:val="28"/>
          <w:lang w:val="en-US" w:eastAsia="en-US"/>
        </w:rPr>
        <w:t>x</w:t>
      </w:r>
      <w:r w:rsidRPr="004135FE">
        <w:rPr>
          <w:rFonts w:ascii="Times New Roman" w:eastAsiaTheme="minorHAnsi" w:hAnsi="Times New Roman" w:cs="Times New Roman"/>
          <w:sz w:val="28"/>
          <w:szCs w:val="28"/>
          <w:lang w:eastAsia="en-US"/>
        </w:rPr>
        <w:t xml:space="preserve"> + 1532,8 </w:t>
      </w:r>
      <w:r w:rsidRPr="004135FE">
        <w:rPr>
          <w:rFonts w:ascii="Times New Roman" w:hAnsi="Times New Roman" w:cs="Times New Roman"/>
          <w:sz w:val="28"/>
          <w:szCs w:val="28"/>
        </w:rPr>
        <w:t xml:space="preserve">и величина достоверности аппроксимации </w:t>
      </w:r>
      <w:r w:rsidRPr="004135FE">
        <w:rPr>
          <w:rFonts w:ascii="Times New Roman" w:eastAsiaTheme="minorHAnsi" w:hAnsi="Times New Roman" w:cs="Times New Roman"/>
          <w:sz w:val="28"/>
          <w:szCs w:val="28"/>
          <w:lang w:val="en-US" w:eastAsia="en-US"/>
        </w:rPr>
        <w:t>R</w:t>
      </w:r>
      <w:r w:rsidRPr="004135FE">
        <w:rPr>
          <w:rFonts w:ascii="Times New Roman" w:eastAsiaTheme="minorHAnsi" w:hAnsi="Times New Roman" w:cs="Times New Roman"/>
          <w:sz w:val="28"/>
          <w:szCs w:val="28"/>
          <w:lang w:eastAsia="en-US"/>
        </w:rPr>
        <w:t xml:space="preserve">² = 0,8367 в целом высокие. </w:t>
      </w:r>
      <w:r w:rsidRPr="004135FE">
        <w:rPr>
          <w:rFonts w:ascii="Times New Roman" w:eastAsia="Times New Roman" w:hAnsi="Times New Roman" w:cs="Times New Roman"/>
          <w:sz w:val="28"/>
          <w:szCs w:val="28"/>
          <w:lang w:val="en-US"/>
        </w:rPr>
        <w:t>Alpha</w:t>
      </w:r>
      <w:r w:rsidRPr="004135FE">
        <w:rPr>
          <w:rFonts w:ascii="Times New Roman" w:eastAsia="Times New Roman" w:hAnsi="Times New Roman" w:cs="Times New Roman"/>
          <w:sz w:val="28"/>
          <w:szCs w:val="28"/>
        </w:rPr>
        <w:t xml:space="preserve"> 0,75, </w:t>
      </w:r>
      <w:r w:rsidRPr="004135FE">
        <w:rPr>
          <w:rFonts w:ascii="Times New Roman" w:eastAsia="Times New Roman" w:hAnsi="Times New Roman" w:cs="Times New Roman"/>
          <w:sz w:val="28"/>
          <w:szCs w:val="28"/>
          <w:lang w:val="en-US"/>
        </w:rPr>
        <w:t>MASE</w:t>
      </w:r>
      <w:r w:rsidRPr="004135FE">
        <w:rPr>
          <w:rFonts w:ascii="Times New Roman" w:eastAsia="Times New Roman" w:hAnsi="Times New Roman" w:cs="Times New Roman"/>
          <w:sz w:val="28"/>
          <w:szCs w:val="28"/>
        </w:rPr>
        <w:t xml:space="preserve"> 0,73, </w:t>
      </w:r>
      <w:r w:rsidRPr="004135FE">
        <w:rPr>
          <w:rFonts w:ascii="Times New Roman" w:eastAsia="Times New Roman" w:hAnsi="Times New Roman" w:cs="Times New Roman"/>
          <w:sz w:val="28"/>
          <w:szCs w:val="28"/>
          <w:lang w:val="kk-KZ"/>
        </w:rPr>
        <w:t>Средняя абсолютная ошибка в процентах</w:t>
      </w:r>
      <w:r w:rsidRPr="004135FE">
        <w:rPr>
          <w:rFonts w:ascii="Times New Roman" w:eastAsia="Times New Roman" w:hAnsi="Times New Roman" w:cs="Times New Roman"/>
          <w:sz w:val="28"/>
          <w:szCs w:val="28"/>
        </w:rPr>
        <w:t xml:space="preserve"> </w:t>
      </w:r>
      <w:r w:rsidRPr="004135FE">
        <w:rPr>
          <w:rFonts w:ascii="Times New Roman" w:eastAsia="Times New Roman" w:hAnsi="Times New Roman" w:cs="Times New Roman"/>
          <w:sz w:val="28"/>
          <w:szCs w:val="28"/>
          <w:lang w:val="en-US"/>
        </w:rPr>
        <w:t>SMAPE</w:t>
      </w:r>
      <w:r w:rsidRPr="004135FE">
        <w:rPr>
          <w:rFonts w:ascii="Times New Roman" w:eastAsia="Times New Roman" w:hAnsi="Times New Roman" w:cs="Times New Roman"/>
          <w:sz w:val="28"/>
          <w:szCs w:val="28"/>
        </w:rPr>
        <w:t xml:space="preserve"> 0,03, </w:t>
      </w:r>
      <w:r w:rsidRPr="004135FE">
        <w:rPr>
          <w:rFonts w:ascii="Times New Roman" w:eastAsia="Times New Roman" w:hAnsi="Times New Roman" w:cs="Times New Roman"/>
          <w:sz w:val="28"/>
          <w:szCs w:val="28"/>
          <w:lang w:val="kk-KZ"/>
        </w:rPr>
        <w:t xml:space="preserve">Средняя абсолютная ошибка </w:t>
      </w:r>
      <w:r w:rsidRPr="004135FE">
        <w:rPr>
          <w:rFonts w:ascii="Times New Roman" w:eastAsia="Times New Roman" w:hAnsi="Times New Roman" w:cs="Times New Roman"/>
          <w:sz w:val="28"/>
          <w:szCs w:val="28"/>
          <w:lang w:val="en-US"/>
        </w:rPr>
        <w:t>MAE</w:t>
      </w:r>
      <w:r w:rsidRPr="004135FE">
        <w:rPr>
          <w:rFonts w:ascii="Times New Roman" w:eastAsia="Times New Roman" w:hAnsi="Times New Roman" w:cs="Times New Roman"/>
          <w:sz w:val="28"/>
          <w:szCs w:val="28"/>
        </w:rPr>
        <w:t xml:space="preserve"> 55,63, </w:t>
      </w:r>
      <w:r w:rsidRPr="004135FE">
        <w:rPr>
          <w:rFonts w:ascii="Times New Roman" w:eastAsia="Times New Roman" w:hAnsi="Times New Roman" w:cs="Times New Roman"/>
          <w:sz w:val="28"/>
          <w:szCs w:val="28"/>
          <w:lang w:val="kk-KZ"/>
        </w:rPr>
        <w:t>Квадратный корень из среднеквадратичной ошибки</w:t>
      </w:r>
      <w:r w:rsidRPr="004135FE">
        <w:rPr>
          <w:rFonts w:ascii="Times New Roman" w:eastAsia="Times New Roman" w:hAnsi="Times New Roman" w:cs="Times New Roman"/>
          <w:sz w:val="28"/>
          <w:szCs w:val="28"/>
        </w:rPr>
        <w:t xml:space="preserve"> </w:t>
      </w:r>
      <w:r w:rsidRPr="004135FE">
        <w:rPr>
          <w:rFonts w:ascii="Times New Roman" w:eastAsia="Times New Roman" w:hAnsi="Times New Roman" w:cs="Times New Roman"/>
          <w:sz w:val="28"/>
          <w:szCs w:val="28"/>
          <w:lang w:val="en-US"/>
        </w:rPr>
        <w:t>RMSE</w:t>
      </w:r>
      <w:r w:rsidRPr="004135FE">
        <w:rPr>
          <w:rFonts w:ascii="Times New Roman" w:eastAsia="Times New Roman" w:hAnsi="Times New Roman" w:cs="Times New Roman"/>
          <w:sz w:val="28"/>
          <w:szCs w:val="28"/>
        </w:rPr>
        <w:t xml:space="preserve"> 69,29</w:t>
      </w:r>
    </w:p>
    <w:p w14:paraId="33C67544" w14:textId="77777777" w:rsidR="0066583A" w:rsidRPr="004135FE" w:rsidRDefault="0066583A" w:rsidP="004135FE">
      <w:pPr>
        <w:spacing w:after="0" w:line="240" w:lineRule="auto"/>
        <w:jc w:val="both"/>
        <w:rPr>
          <w:rFonts w:ascii="Times New Roman" w:eastAsia="Times New Roman" w:hAnsi="Times New Roman" w:cs="Times New Roman"/>
          <w:sz w:val="28"/>
          <w:szCs w:val="28"/>
        </w:rPr>
      </w:pPr>
    </w:p>
    <w:p w14:paraId="5F8D755D" w14:textId="65A52B95" w:rsidR="0066583A" w:rsidRDefault="0066583A"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lang w:val="kk-KZ"/>
        </w:rPr>
        <w:t>Таблица 1</w:t>
      </w:r>
      <w:r w:rsidR="00B728EF" w:rsidRPr="004135FE">
        <w:rPr>
          <w:rFonts w:ascii="Times New Roman" w:hAnsi="Times New Roman" w:cs="Times New Roman"/>
          <w:sz w:val="28"/>
          <w:szCs w:val="28"/>
          <w:lang w:val="kk-KZ"/>
        </w:rPr>
        <w:t>3</w:t>
      </w:r>
      <w:r w:rsidR="00E9724B">
        <w:rPr>
          <w:rFonts w:ascii="Times New Roman" w:hAnsi="Times New Roman" w:cs="Times New Roman"/>
          <w:sz w:val="28"/>
          <w:szCs w:val="28"/>
          <w:lang w:val="kk-KZ"/>
        </w:rPr>
        <w:t xml:space="preserve"> </w:t>
      </w:r>
      <w:r w:rsidRPr="004135FE">
        <w:rPr>
          <w:rFonts w:ascii="Times New Roman" w:hAnsi="Times New Roman" w:cs="Times New Roman"/>
          <w:sz w:val="28"/>
          <w:szCs w:val="28"/>
          <w:lang w:val="kk-KZ"/>
        </w:rPr>
        <w:t>-</w:t>
      </w:r>
      <w:r w:rsidR="00E9724B">
        <w:rPr>
          <w:rFonts w:ascii="Times New Roman" w:hAnsi="Times New Roman" w:cs="Times New Roman"/>
          <w:sz w:val="28"/>
          <w:szCs w:val="28"/>
          <w:lang w:val="kk-KZ"/>
        </w:rPr>
        <w:t xml:space="preserve"> </w:t>
      </w:r>
      <w:r w:rsidRPr="004135FE">
        <w:rPr>
          <w:rFonts w:ascii="Times New Roman" w:hAnsi="Times New Roman" w:cs="Times New Roman"/>
          <w:sz w:val="28"/>
          <w:szCs w:val="28"/>
        </w:rPr>
        <w:t>Математическое  прогнозирование уровня распространенности СД2т</w:t>
      </w:r>
      <w:r w:rsidRPr="004135FE">
        <w:rPr>
          <w:rFonts w:ascii="Times New Roman" w:hAnsi="Times New Roman" w:cs="Times New Roman"/>
          <w:sz w:val="28"/>
          <w:szCs w:val="28"/>
          <w:lang w:val="kk-KZ"/>
        </w:rPr>
        <w:t xml:space="preserve"> по</w:t>
      </w:r>
      <w:r w:rsidRPr="004135FE">
        <w:rPr>
          <w:rFonts w:ascii="Times New Roman" w:hAnsi="Times New Roman" w:cs="Times New Roman"/>
          <w:sz w:val="28"/>
          <w:szCs w:val="28"/>
        </w:rPr>
        <w:t xml:space="preserve"> г.Алматы (на 100</w:t>
      </w:r>
      <w:r w:rsidR="00E9724B">
        <w:rPr>
          <w:rFonts w:ascii="Times New Roman" w:hAnsi="Times New Roman" w:cs="Times New Roman"/>
          <w:sz w:val="28"/>
          <w:szCs w:val="28"/>
        </w:rPr>
        <w:t xml:space="preserve"> </w:t>
      </w:r>
      <w:r w:rsidRPr="004135FE">
        <w:rPr>
          <w:rFonts w:ascii="Times New Roman" w:hAnsi="Times New Roman" w:cs="Times New Roman"/>
          <w:sz w:val="28"/>
          <w:szCs w:val="28"/>
        </w:rPr>
        <w:t>тыс</w:t>
      </w:r>
      <w:r w:rsidR="00E9724B">
        <w:rPr>
          <w:rFonts w:ascii="Times New Roman" w:hAnsi="Times New Roman" w:cs="Times New Roman"/>
          <w:sz w:val="28"/>
          <w:szCs w:val="28"/>
        </w:rPr>
        <w:t>.</w:t>
      </w:r>
      <w:r w:rsidRPr="004135FE">
        <w:rPr>
          <w:rFonts w:ascii="Times New Roman" w:hAnsi="Times New Roman" w:cs="Times New Roman"/>
          <w:sz w:val="28"/>
          <w:szCs w:val="28"/>
        </w:rPr>
        <w:t xml:space="preserve"> населения)</w:t>
      </w:r>
    </w:p>
    <w:p w14:paraId="613B1E80" w14:textId="77777777" w:rsidR="00DF3804" w:rsidRPr="004135FE" w:rsidRDefault="00DF3804" w:rsidP="004135FE">
      <w:pPr>
        <w:spacing w:after="0" w:line="240" w:lineRule="auto"/>
        <w:jc w:val="both"/>
        <w:rPr>
          <w:rFonts w:ascii="Times New Roman" w:hAnsi="Times New Roman" w:cs="Times New Roman"/>
          <w:sz w:val="28"/>
          <w:szCs w:val="28"/>
        </w:rPr>
      </w:pPr>
    </w:p>
    <w:tbl>
      <w:tblPr>
        <w:tblStyle w:val="af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418"/>
        <w:gridCol w:w="1353"/>
        <w:gridCol w:w="2766"/>
        <w:gridCol w:w="2678"/>
      </w:tblGrid>
      <w:tr w:rsidR="0066583A" w:rsidRPr="004135FE" w14:paraId="753F797C" w14:textId="77777777" w:rsidTr="00490AF6">
        <w:tc>
          <w:tcPr>
            <w:tcW w:w="1129" w:type="dxa"/>
          </w:tcPr>
          <w:p w14:paraId="50DC4B73" w14:textId="77777777" w:rsidR="0066583A" w:rsidRPr="00E9724B" w:rsidRDefault="0066583A" w:rsidP="004135FE">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bCs/>
                <w:sz w:val="24"/>
                <w:szCs w:val="24"/>
              </w:rPr>
              <w:t>Период</w:t>
            </w:r>
          </w:p>
        </w:tc>
        <w:tc>
          <w:tcPr>
            <w:tcW w:w="1418" w:type="dxa"/>
          </w:tcPr>
          <w:p w14:paraId="2E474C60" w14:textId="66AB048F" w:rsidR="0066583A" w:rsidRPr="00E9724B" w:rsidRDefault="0066583A" w:rsidP="004135FE">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bCs/>
                <w:sz w:val="24"/>
                <w:szCs w:val="24"/>
              </w:rPr>
              <w:t>г.</w:t>
            </w:r>
            <w:r w:rsidR="00E9724B" w:rsidRPr="00E9724B">
              <w:rPr>
                <w:rFonts w:ascii="Times New Roman" w:eastAsia="Times New Roman" w:hAnsi="Times New Roman" w:cs="Times New Roman"/>
                <w:bCs/>
                <w:sz w:val="24"/>
                <w:szCs w:val="24"/>
              </w:rPr>
              <w:t xml:space="preserve"> </w:t>
            </w:r>
            <w:r w:rsidRPr="00E9724B">
              <w:rPr>
                <w:rFonts w:ascii="Times New Roman" w:eastAsia="Times New Roman" w:hAnsi="Times New Roman" w:cs="Times New Roman"/>
                <w:bCs/>
                <w:sz w:val="24"/>
                <w:szCs w:val="24"/>
              </w:rPr>
              <w:t>Алматы</w:t>
            </w:r>
          </w:p>
        </w:tc>
        <w:tc>
          <w:tcPr>
            <w:tcW w:w="1353" w:type="dxa"/>
          </w:tcPr>
          <w:p w14:paraId="0049D14D" w14:textId="77777777" w:rsidR="0066583A" w:rsidRPr="00E9724B" w:rsidRDefault="0066583A" w:rsidP="004135FE">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bCs/>
                <w:sz w:val="24"/>
                <w:szCs w:val="24"/>
              </w:rPr>
              <w:t>Прогноз</w:t>
            </w:r>
          </w:p>
        </w:tc>
        <w:tc>
          <w:tcPr>
            <w:tcW w:w="2766" w:type="dxa"/>
          </w:tcPr>
          <w:p w14:paraId="2AEF22F5" w14:textId="77777777" w:rsidR="0066583A" w:rsidRPr="00E9724B" w:rsidRDefault="0066583A" w:rsidP="004135FE">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95% ДИ для прогноза</w:t>
            </w:r>
            <w:r w:rsidRPr="00E9724B">
              <w:rPr>
                <w:rFonts w:ascii="Times New Roman" w:eastAsia="Times New Roman" w:hAnsi="Times New Roman" w:cs="Times New Roman"/>
                <w:bCs/>
                <w:sz w:val="24"/>
                <w:szCs w:val="24"/>
              </w:rPr>
              <w:t xml:space="preserve"> (низкой вероятности)</w:t>
            </w:r>
          </w:p>
        </w:tc>
        <w:tc>
          <w:tcPr>
            <w:tcW w:w="2678" w:type="dxa"/>
          </w:tcPr>
          <w:p w14:paraId="331CDC62" w14:textId="77777777" w:rsidR="0066583A" w:rsidRPr="00E9724B" w:rsidRDefault="0066583A" w:rsidP="004135FE">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95% ДИ для прогноза</w:t>
            </w:r>
            <w:r w:rsidRPr="00E9724B">
              <w:rPr>
                <w:rFonts w:ascii="Times New Roman" w:eastAsia="Times New Roman" w:hAnsi="Times New Roman" w:cs="Times New Roman"/>
                <w:bCs/>
                <w:sz w:val="24"/>
                <w:szCs w:val="24"/>
              </w:rPr>
              <w:t xml:space="preserve"> (высокой вероятности)</w:t>
            </w:r>
          </w:p>
        </w:tc>
      </w:tr>
      <w:tr w:rsidR="00DF3804" w:rsidRPr="004135FE" w14:paraId="3489B87E" w14:textId="77777777" w:rsidTr="00490AF6">
        <w:tc>
          <w:tcPr>
            <w:tcW w:w="1129" w:type="dxa"/>
          </w:tcPr>
          <w:p w14:paraId="1F247ABE" w14:textId="7777777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2012</w:t>
            </w:r>
          </w:p>
        </w:tc>
        <w:tc>
          <w:tcPr>
            <w:tcW w:w="1418" w:type="dxa"/>
          </w:tcPr>
          <w:p w14:paraId="558585B1" w14:textId="7777777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1654,95</w:t>
            </w:r>
          </w:p>
        </w:tc>
        <w:tc>
          <w:tcPr>
            <w:tcW w:w="1353" w:type="dxa"/>
          </w:tcPr>
          <w:p w14:paraId="7E66B9C1" w14:textId="340E0EC9"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c>
          <w:tcPr>
            <w:tcW w:w="2766" w:type="dxa"/>
          </w:tcPr>
          <w:p w14:paraId="45F114E1" w14:textId="6F1977F9"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c>
          <w:tcPr>
            <w:tcW w:w="2678" w:type="dxa"/>
          </w:tcPr>
          <w:p w14:paraId="4CBAC7A4" w14:textId="33A5F666"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r>
      <w:tr w:rsidR="00DF3804" w:rsidRPr="004135FE" w14:paraId="41C8BAD9" w14:textId="77777777" w:rsidTr="00490AF6">
        <w:tc>
          <w:tcPr>
            <w:tcW w:w="1129" w:type="dxa"/>
          </w:tcPr>
          <w:p w14:paraId="2277926A" w14:textId="7777777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2013</w:t>
            </w:r>
          </w:p>
        </w:tc>
        <w:tc>
          <w:tcPr>
            <w:tcW w:w="1418" w:type="dxa"/>
          </w:tcPr>
          <w:p w14:paraId="6038C1C6" w14:textId="7777777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1733,77</w:t>
            </w:r>
          </w:p>
        </w:tc>
        <w:tc>
          <w:tcPr>
            <w:tcW w:w="1353" w:type="dxa"/>
          </w:tcPr>
          <w:p w14:paraId="7C6EBDE4" w14:textId="08BD04D8"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c>
          <w:tcPr>
            <w:tcW w:w="2766" w:type="dxa"/>
          </w:tcPr>
          <w:p w14:paraId="3F77C26C" w14:textId="3F1C79E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c>
          <w:tcPr>
            <w:tcW w:w="2678" w:type="dxa"/>
          </w:tcPr>
          <w:p w14:paraId="706A86F8" w14:textId="00EA7BBA"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r>
      <w:tr w:rsidR="00DF3804" w:rsidRPr="004135FE" w14:paraId="559B70C7" w14:textId="77777777" w:rsidTr="00490AF6">
        <w:tc>
          <w:tcPr>
            <w:tcW w:w="1129" w:type="dxa"/>
          </w:tcPr>
          <w:p w14:paraId="4CB50041" w14:textId="7777777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2014</w:t>
            </w:r>
          </w:p>
        </w:tc>
        <w:tc>
          <w:tcPr>
            <w:tcW w:w="1418" w:type="dxa"/>
          </w:tcPr>
          <w:p w14:paraId="56D7AD41" w14:textId="7777777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1644,1</w:t>
            </w:r>
          </w:p>
        </w:tc>
        <w:tc>
          <w:tcPr>
            <w:tcW w:w="1353" w:type="dxa"/>
          </w:tcPr>
          <w:p w14:paraId="2B1E892E" w14:textId="566F8319"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c>
          <w:tcPr>
            <w:tcW w:w="2766" w:type="dxa"/>
          </w:tcPr>
          <w:p w14:paraId="4D817922" w14:textId="427D62DE"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c>
          <w:tcPr>
            <w:tcW w:w="2678" w:type="dxa"/>
          </w:tcPr>
          <w:p w14:paraId="7B10FBDE" w14:textId="3E994BCA"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r>
      <w:tr w:rsidR="00DF3804" w:rsidRPr="004135FE" w14:paraId="18DE3804" w14:textId="77777777" w:rsidTr="00490AF6">
        <w:tc>
          <w:tcPr>
            <w:tcW w:w="1129" w:type="dxa"/>
          </w:tcPr>
          <w:p w14:paraId="47426952" w14:textId="7777777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2015</w:t>
            </w:r>
          </w:p>
        </w:tc>
        <w:tc>
          <w:tcPr>
            <w:tcW w:w="1418" w:type="dxa"/>
          </w:tcPr>
          <w:p w14:paraId="59CF3F43" w14:textId="7777777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1642,54</w:t>
            </w:r>
          </w:p>
        </w:tc>
        <w:tc>
          <w:tcPr>
            <w:tcW w:w="1353" w:type="dxa"/>
          </w:tcPr>
          <w:p w14:paraId="7EBACA53" w14:textId="0F052B81"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c>
          <w:tcPr>
            <w:tcW w:w="2766" w:type="dxa"/>
          </w:tcPr>
          <w:p w14:paraId="5EF0BBF3" w14:textId="5F46B138"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c>
          <w:tcPr>
            <w:tcW w:w="2678" w:type="dxa"/>
          </w:tcPr>
          <w:p w14:paraId="54674566" w14:textId="19FD4739"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r>
      <w:tr w:rsidR="00DF3804" w:rsidRPr="004135FE" w14:paraId="071E721C" w14:textId="77777777" w:rsidTr="00490AF6">
        <w:tc>
          <w:tcPr>
            <w:tcW w:w="1129" w:type="dxa"/>
          </w:tcPr>
          <w:p w14:paraId="2017C2C1" w14:textId="7777777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2016</w:t>
            </w:r>
          </w:p>
        </w:tc>
        <w:tc>
          <w:tcPr>
            <w:tcW w:w="1418" w:type="dxa"/>
          </w:tcPr>
          <w:p w14:paraId="4A971CA9" w14:textId="7777777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1780</w:t>
            </w:r>
          </w:p>
        </w:tc>
        <w:tc>
          <w:tcPr>
            <w:tcW w:w="1353" w:type="dxa"/>
          </w:tcPr>
          <w:p w14:paraId="2233623A" w14:textId="5462AA09"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c>
          <w:tcPr>
            <w:tcW w:w="2766" w:type="dxa"/>
          </w:tcPr>
          <w:p w14:paraId="284C14F4" w14:textId="360991A1"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c>
          <w:tcPr>
            <w:tcW w:w="2678" w:type="dxa"/>
          </w:tcPr>
          <w:p w14:paraId="09CC8BDE" w14:textId="24A2158C"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r>
      <w:tr w:rsidR="00DF3804" w:rsidRPr="004135FE" w14:paraId="4BC86006" w14:textId="77777777" w:rsidTr="00490AF6">
        <w:tc>
          <w:tcPr>
            <w:tcW w:w="1129" w:type="dxa"/>
          </w:tcPr>
          <w:p w14:paraId="360C40F6" w14:textId="7777777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2017</w:t>
            </w:r>
          </w:p>
        </w:tc>
        <w:tc>
          <w:tcPr>
            <w:tcW w:w="1418" w:type="dxa"/>
          </w:tcPr>
          <w:p w14:paraId="0F24FE54" w14:textId="7777777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1751,7</w:t>
            </w:r>
          </w:p>
        </w:tc>
        <w:tc>
          <w:tcPr>
            <w:tcW w:w="1353" w:type="dxa"/>
          </w:tcPr>
          <w:p w14:paraId="193D91A4" w14:textId="6822019F"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c>
          <w:tcPr>
            <w:tcW w:w="2766" w:type="dxa"/>
          </w:tcPr>
          <w:p w14:paraId="6A091219" w14:textId="282490A0"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c>
          <w:tcPr>
            <w:tcW w:w="2678" w:type="dxa"/>
          </w:tcPr>
          <w:p w14:paraId="79083AE5" w14:textId="79216C6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r>
      <w:tr w:rsidR="00DF3804" w:rsidRPr="004135FE" w14:paraId="70C68BF8" w14:textId="77777777" w:rsidTr="00490AF6">
        <w:tc>
          <w:tcPr>
            <w:tcW w:w="1129" w:type="dxa"/>
          </w:tcPr>
          <w:p w14:paraId="61189155" w14:textId="7777777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2018</w:t>
            </w:r>
          </w:p>
        </w:tc>
        <w:tc>
          <w:tcPr>
            <w:tcW w:w="1418" w:type="dxa"/>
          </w:tcPr>
          <w:p w14:paraId="068C4AD7" w14:textId="7777777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1858,86</w:t>
            </w:r>
          </w:p>
        </w:tc>
        <w:tc>
          <w:tcPr>
            <w:tcW w:w="1353" w:type="dxa"/>
          </w:tcPr>
          <w:p w14:paraId="4F1FCF3B" w14:textId="7BA50F3E"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c>
          <w:tcPr>
            <w:tcW w:w="2766" w:type="dxa"/>
          </w:tcPr>
          <w:p w14:paraId="125DDBF5" w14:textId="1DCD1A60"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c>
          <w:tcPr>
            <w:tcW w:w="2678" w:type="dxa"/>
          </w:tcPr>
          <w:p w14:paraId="35CC1175" w14:textId="1248B5BD"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r>
      <w:tr w:rsidR="00DF3804" w:rsidRPr="004135FE" w14:paraId="00619843" w14:textId="77777777" w:rsidTr="00490AF6">
        <w:tc>
          <w:tcPr>
            <w:tcW w:w="1129" w:type="dxa"/>
          </w:tcPr>
          <w:p w14:paraId="0BF49A77" w14:textId="7777777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2019</w:t>
            </w:r>
          </w:p>
        </w:tc>
        <w:tc>
          <w:tcPr>
            <w:tcW w:w="1418" w:type="dxa"/>
          </w:tcPr>
          <w:p w14:paraId="41D673F6" w14:textId="7777777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2004,13</w:t>
            </w:r>
          </w:p>
        </w:tc>
        <w:tc>
          <w:tcPr>
            <w:tcW w:w="1353" w:type="dxa"/>
          </w:tcPr>
          <w:p w14:paraId="5B2B8F10" w14:textId="0646BF9A"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c>
          <w:tcPr>
            <w:tcW w:w="2766" w:type="dxa"/>
          </w:tcPr>
          <w:p w14:paraId="311C4BD4" w14:textId="60799CF4"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c>
          <w:tcPr>
            <w:tcW w:w="2678" w:type="dxa"/>
          </w:tcPr>
          <w:p w14:paraId="2595D6E3" w14:textId="0A70D321"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r>
      <w:tr w:rsidR="00DF3804" w:rsidRPr="004135FE" w14:paraId="63BC4A74" w14:textId="77777777" w:rsidTr="00490AF6">
        <w:tc>
          <w:tcPr>
            <w:tcW w:w="1129" w:type="dxa"/>
          </w:tcPr>
          <w:p w14:paraId="3B1AF4FE" w14:textId="7777777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2020</w:t>
            </w:r>
          </w:p>
        </w:tc>
        <w:tc>
          <w:tcPr>
            <w:tcW w:w="1418" w:type="dxa"/>
          </w:tcPr>
          <w:p w14:paraId="14358606" w14:textId="77777777"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2061,16</w:t>
            </w:r>
          </w:p>
        </w:tc>
        <w:tc>
          <w:tcPr>
            <w:tcW w:w="1353" w:type="dxa"/>
          </w:tcPr>
          <w:p w14:paraId="64635C8F" w14:textId="63313702"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c>
          <w:tcPr>
            <w:tcW w:w="2766" w:type="dxa"/>
          </w:tcPr>
          <w:p w14:paraId="52E2C59F" w14:textId="348732CE"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c>
          <w:tcPr>
            <w:tcW w:w="2678" w:type="dxa"/>
          </w:tcPr>
          <w:p w14:paraId="60C43F46" w14:textId="256046B2" w:rsidR="00DF3804" w:rsidRPr="00E9724B" w:rsidRDefault="00DF3804" w:rsidP="00DF3804">
            <w:pPr>
              <w:spacing w:after="0" w:line="240" w:lineRule="auto"/>
              <w:jc w:val="center"/>
              <w:rPr>
                <w:rFonts w:ascii="Times New Roman" w:hAnsi="Times New Roman" w:cs="Times New Roman"/>
                <w:sz w:val="24"/>
                <w:szCs w:val="24"/>
              </w:rPr>
            </w:pPr>
            <w:r w:rsidRPr="00E9724B">
              <w:rPr>
                <w:rFonts w:ascii="Times New Roman" w:hAnsi="Times New Roman" w:cs="Times New Roman"/>
                <w:sz w:val="24"/>
                <w:szCs w:val="24"/>
              </w:rPr>
              <w:t>-</w:t>
            </w:r>
          </w:p>
        </w:tc>
      </w:tr>
      <w:tr w:rsidR="0066583A" w:rsidRPr="004135FE" w14:paraId="73E7EA58" w14:textId="77777777" w:rsidTr="00490AF6">
        <w:tc>
          <w:tcPr>
            <w:tcW w:w="1129" w:type="dxa"/>
          </w:tcPr>
          <w:p w14:paraId="49811ECE" w14:textId="77777777" w:rsidR="0066583A" w:rsidRPr="00E9724B" w:rsidRDefault="0066583A" w:rsidP="004135FE">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2021</w:t>
            </w:r>
          </w:p>
        </w:tc>
        <w:tc>
          <w:tcPr>
            <w:tcW w:w="1418" w:type="dxa"/>
          </w:tcPr>
          <w:p w14:paraId="7987966E" w14:textId="77777777" w:rsidR="0066583A" w:rsidRPr="00E9724B" w:rsidRDefault="0066583A" w:rsidP="004135FE">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2098,79</w:t>
            </w:r>
          </w:p>
        </w:tc>
        <w:tc>
          <w:tcPr>
            <w:tcW w:w="1353" w:type="dxa"/>
          </w:tcPr>
          <w:p w14:paraId="61A2F2BE" w14:textId="77777777" w:rsidR="0066583A" w:rsidRPr="00E9724B" w:rsidRDefault="0066583A" w:rsidP="004135FE">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2098,79</w:t>
            </w:r>
          </w:p>
        </w:tc>
        <w:tc>
          <w:tcPr>
            <w:tcW w:w="2766" w:type="dxa"/>
          </w:tcPr>
          <w:p w14:paraId="43475BBC" w14:textId="77777777" w:rsidR="0066583A" w:rsidRPr="00E9724B" w:rsidRDefault="0066583A" w:rsidP="004135FE">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2098,79</w:t>
            </w:r>
          </w:p>
        </w:tc>
        <w:tc>
          <w:tcPr>
            <w:tcW w:w="2678" w:type="dxa"/>
          </w:tcPr>
          <w:p w14:paraId="239706AD" w14:textId="77777777" w:rsidR="0066583A" w:rsidRPr="00E9724B" w:rsidRDefault="0066583A" w:rsidP="004135FE">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2098,79</w:t>
            </w:r>
          </w:p>
        </w:tc>
      </w:tr>
      <w:tr w:rsidR="0066583A" w:rsidRPr="004135FE" w14:paraId="7A8C380F" w14:textId="77777777" w:rsidTr="00490AF6">
        <w:tc>
          <w:tcPr>
            <w:tcW w:w="1129" w:type="dxa"/>
          </w:tcPr>
          <w:p w14:paraId="23162775" w14:textId="77777777" w:rsidR="0066583A" w:rsidRPr="00E9724B" w:rsidRDefault="0066583A" w:rsidP="004135FE">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2022</w:t>
            </w:r>
          </w:p>
        </w:tc>
        <w:tc>
          <w:tcPr>
            <w:tcW w:w="1418" w:type="dxa"/>
          </w:tcPr>
          <w:p w14:paraId="23F48627" w14:textId="42F5A89D" w:rsidR="0066583A" w:rsidRPr="00E9724B" w:rsidRDefault="00490AF6" w:rsidP="004135F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353" w:type="dxa"/>
          </w:tcPr>
          <w:p w14:paraId="76CB470E" w14:textId="77777777" w:rsidR="0066583A" w:rsidRPr="00E9724B" w:rsidRDefault="0066583A" w:rsidP="004135FE">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2153,43</w:t>
            </w:r>
          </w:p>
        </w:tc>
        <w:tc>
          <w:tcPr>
            <w:tcW w:w="2766" w:type="dxa"/>
          </w:tcPr>
          <w:p w14:paraId="6F71C976" w14:textId="77777777" w:rsidR="0066583A" w:rsidRPr="00E9724B" w:rsidRDefault="0066583A" w:rsidP="004135FE">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2017,62</w:t>
            </w:r>
          </w:p>
        </w:tc>
        <w:tc>
          <w:tcPr>
            <w:tcW w:w="2678" w:type="dxa"/>
          </w:tcPr>
          <w:p w14:paraId="7B4AAAED" w14:textId="77777777" w:rsidR="0066583A" w:rsidRPr="00E9724B" w:rsidRDefault="0066583A" w:rsidP="004135FE">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2289,24</w:t>
            </w:r>
          </w:p>
        </w:tc>
      </w:tr>
      <w:tr w:rsidR="0066583A" w:rsidRPr="004135FE" w14:paraId="779242E5" w14:textId="77777777" w:rsidTr="00490AF6">
        <w:tc>
          <w:tcPr>
            <w:tcW w:w="1129" w:type="dxa"/>
          </w:tcPr>
          <w:p w14:paraId="704FA24A" w14:textId="77777777" w:rsidR="0066583A" w:rsidRPr="00E9724B" w:rsidRDefault="0066583A" w:rsidP="004135FE">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2023</w:t>
            </w:r>
          </w:p>
        </w:tc>
        <w:tc>
          <w:tcPr>
            <w:tcW w:w="1418" w:type="dxa"/>
          </w:tcPr>
          <w:p w14:paraId="3A11E10D" w14:textId="54F9ACD9" w:rsidR="0066583A" w:rsidRPr="00E9724B" w:rsidRDefault="00490AF6" w:rsidP="004135F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353" w:type="dxa"/>
          </w:tcPr>
          <w:p w14:paraId="5AF3866A" w14:textId="77777777" w:rsidR="0066583A" w:rsidRPr="00E9724B" w:rsidRDefault="0066583A" w:rsidP="004135FE">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2206,17</w:t>
            </w:r>
          </w:p>
        </w:tc>
        <w:tc>
          <w:tcPr>
            <w:tcW w:w="2766" w:type="dxa"/>
          </w:tcPr>
          <w:p w14:paraId="4B78706A" w14:textId="77777777" w:rsidR="0066583A" w:rsidRPr="00E9724B" w:rsidRDefault="0066583A" w:rsidP="004135FE">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2036,32</w:t>
            </w:r>
          </w:p>
        </w:tc>
        <w:tc>
          <w:tcPr>
            <w:tcW w:w="2678" w:type="dxa"/>
          </w:tcPr>
          <w:p w14:paraId="667D7F87" w14:textId="77777777" w:rsidR="0066583A" w:rsidRPr="00E9724B" w:rsidRDefault="0066583A" w:rsidP="004135FE">
            <w:pPr>
              <w:spacing w:after="0" w:line="240" w:lineRule="auto"/>
              <w:jc w:val="center"/>
              <w:rPr>
                <w:rFonts w:ascii="Times New Roman" w:hAnsi="Times New Roman" w:cs="Times New Roman"/>
                <w:sz w:val="24"/>
                <w:szCs w:val="24"/>
              </w:rPr>
            </w:pPr>
            <w:r w:rsidRPr="00E9724B">
              <w:rPr>
                <w:rFonts w:ascii="Times New Roman" w:eastAsia="Times New Roman" w:hAnsi="Times New Roman" w:cs="Times New Roman"/>
                <w:sz w:val="24"/>
                <w:szCs w:val="24"/>
              </w:rPr>
              <w:t>2376,01</w:t>
            </w:r>
          </w:p>
        </w:tc>
      </w:tr>
    </w:tbl>
    <w:p w14:paraId="411D37C3" w14:textId="77777777" w:rsidR="0066583A" w:rsidRPr="004135FE" w:rsidRDefault="0066583A" w:rsidP="004135FE">
      <w:pPr>
        <w:spacing w:after="0" w:line="240" w:lineRule="auto"/>
        <w:jc w:val="both"/>
        <w:rPr>
          <w:rFonts w:ascii="Times New Roman" w:hAnsi="Times New Roman" w:cs="Times New Roman"/>
          <w:sz w:val="28"/>
          <w:szCs w:val="28"/>
        </w:rPr>
      </w:pPr>
    </w:p>
    <w:p w14:paraId="3A34525C" w14:textId="77777777" w:rsidR="00E9724B" w:rsidRDefault="0066583A" w:rsidP="00E9724B">
      <w:pPr>
        <w:spacing w:after="0" w:line="240" w:lineRule="auto"/>
        <w:jc w:val="center"/>
        <w:rPr>
          <w:rFonts w:ascii="Times New Roman" w:hAnsi="Times New Roman" w:cs="Times New Roman"/>
          <w:sz w:val="28"/>
          <w:szCs w:val="28"/>
        </w:rPr>
      </w:pPr>
      <w:r w:rsidRPr="004135FE">
        <w:rPr>
          <w:noProof/>
          <w:sz w:val="28"/>
          <w:szCs w:val="28"/>
        </w:rPr>
        <w:drawing>
          <wp:inline distT="0" distB="0" distL="0" distR="0" wp14:anchorId="2042D158" wp14:editId="5315193F">
            <wp:extent cx="5524500" cy="2085975"/>
            <wp:effectExtent l="0" t="0" r="0" b="952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9F50C3B" w14:textId="77777777" w:rsidR="00E9724B" w:rsidRDefault="00E9724B" w:rsidP="00E9724B">
      <w:pPr>
        <w:spacing w:after="0" w:line="240" w:lineRule="auto"/>
        <w:jc w:val="center"/>
        <w:rPr>
          <w:rFonts w:ascii="Times New Roman" w:hAnsi="Times New Roman" w:cs="Times New Roman"/>
          <w:sz w:val="28"/>
          <w:szCs w:val="28"/>
        </w:rPr>
      </w:pPr>
    </w:p>
    <w:p w14:paraId="18F11553" w14:textId="116AE21D" w:rsidR="0066583A" w:rsidRPr="004135FE" w:rsidRDefault="0066583A" w:rsidP="00E9724B">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12 – Прогноз уровня распространенности СД2т среди всего населения по г Алматы с 95% ДИ на среднесрочный период до 2023 г</w:t>
      </w:r>
      <w:r w:rsidR="00E9724B">
        <w:rPr>
          <w:rFonts w:ascii="Times New Roman" w:hAnsi="Times New Roman" w:cs="Times New Roman"/>
          <w:sz w:val="28"/>
          <w:szCs w:val="28"/>
        </w:rPr>
        <w:t>.</w:t>
      </w:r>
      <w:r w:rsidRPr="004135FE">
        <w:rPr>
          <w:rFonts w:ascii="Times New Roman" w:hAnsi="Times New Roman" w:cs="Times New Roman"/>
          <w:sz w:val="28"/>
          <w:szCs w:val="28"/>
        </w:rPr>
        <w:t xml:space="preserve"> (на 100</w:t>
      </w:r>
      <w:r w:rsidR="00E9724B">
        <w:rPr>
          <w:rFonts w:ascii="Times New Roman" w:hAnsi="Times New Roman" w:cs="Times New Roman"/>
          <w:sz w:val="28"/>
          <w:szCs w:val="28"/>
        </w:rPr>
        <w:t xml:space="preserve"> </w:t>
      </w:r>
      <w:r w:rsidRPr="004135FE">
        <w:rPr>
          <w:rFonts w:ascii="Times New Roman" w:hAnsi="Times New Roman" w:cs="Times New Roman"/>
          <w:sz w:val="28"/>
          <w:szCs w:val="28"/>
        </w:rPr>
        <w:t>тыс</w:t>
      </w:r>
      <w:r w:rsidR="00E9724B">
        <w:rPr>
          <w:rFonts w:ascii="Times New Roman" w:hAnsi="Times New Roman" w:cs="Times New Roman"/>
          <w:sz w:val="28"/>
          <w:szCs w:val="28"/>
        </w:rPr>
        <w:t>.</w:t>
      </w:r>
      <w:r w:rsidRPr="004135FE">
        <w:rPr>
          <w:rFonts w:ascii="Times New Roman" w:hAnsi="Times New Roman" w:cs="Times New Roman"/>
          <w:sz w:val="28"/>
          <w:szCs w:val="28"/>
        </w:rPr>
        <w:t xml:space="preserve"> населения)</w:t>
      </w:r>
    </w:p>
    <w:p w14:paraId="73CBD0B0" w14:textId="77777777" w:rsidR="0066583A" w:rsidRPr="004135FE" w:rsidRDefault="0066583A" w:rsidP="004135FE">
      <w:pPr>
        <w:spacing w:after="0" w:line="240" w:lineRule="auto"/>
        <w:jc w:val="both"/>
        <w:rPr>
          <w:rFonts w:ascii="Times New Roman" w:hAnsi="Times New Roman" w:cs="Times New Roman"/>
          <w:sz w:val="28"/>
          <w:szCs w:val="28"/>
        </w:rPr>
      </w:pPr>
    </w:p>
    <w:p w14:paraId="6D11F156" w14:textId="77777777" w:rsidR="0066583A" w:rsidRPr="004135FE" w:rsidRDefault="0066583A" w:rsidP="004135FE">
      <w:pPr>
        <w:spacing w:after="0" w:line="240" w:lineRule="auto"/>
        <w:ind w:firstLine="708"/>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lastRenderedPageBreak/>
        <w:t xml:space="preserve">Прогнозирование распространенности СД2т среди мужчин г.Алматы на 100тыс население, с помощью </w:t>
      </w:r>
      <w:r w:rsidRPr="004135FE">
        <w:rPr>
          <w:rFonts w:ascii="Times New Roman" w:hAnsi="Times New Roman" w:cs="Times New Roman"/>
          <w:sz w:val="28"/>
          <w:szCs w:val="28"/>
        </w:rPr>
        <w:t>уравнения</w:t>
      </w:r>
      <w:r w:rsidRPr="004135FE">
        <w:rPr>
          <w:rFonts w:ascii="Times New Roman" w:eastAsiaTheme="minorHAnsi" w:hAnsi="Times New Roman" w:cs="Times New Roman"/>
          <w:sz w:val="28"/>
          <w:szCs w:val="28"/>
          <w:lang w:eastAsia="en-US"/>
        </w:rPr>
        <w:t xml:space="preserve"> линейной регрессии </w:t>
      </w:r>
      <w:r w:rsidRPr="004135FE">
        <w:rPr>
          <w:rFonts w:ascii="Times New Roman" w:eastAsiaTheme="minorHAnsi" w:hAnsi="Times New Roman" w:cs="Times New Roman"/>
          <w:sz w:val="28"/>
          <w:szCs w:val="28"/>
          <w:lang w:val="en-US" w:eastAsia="en-US"/>
        </w:rPr>
        <w:t>y</w:t>
      </w:r>
      <w:r w:rsidRPr="004135FE">
        <w:rPr>
          <w:rFonts w:ascii="Times New Roman" w:eastAsiaTheme="minorHAnsi" w:hAnsi="Times New Roman" w:cs="Times New Roman"/>
          <w:sz w:val="28"/>
          <w:szCs w:val="28"/>
          <w:lang w:eastAsia="en-US"/>
        </w:rPr>
        <w:t xml:space="preserve"> = 25,129</w:t>
      </w:r>
      <w:r w:rsidRPr="004135FE">
        <w:rPr>
          <w:rFonts w:ascii="Times New Roman" w:eastAsiaTheme="minorHAnsi" w:hAnsi="Times New Roman" w:cs="Times New Roman"/>
          <w:sz w:val="28"/>
          <w:szCs w:val="28"/>
          <w:lang w:val="en-US" w:eastAsia="en-US"/>
        </w:rPr>
        <w:t>x</w:t>
      </w:r>
      <w:r w:rsidRPr="004135FE">
        <w:rPr>
          <w:rFonts w:ascii="Times New Roman" w:eastAsiaTheme="minorHAnsi" w:hAnsi="Times New Roman" w:cs="Times New Roman"/>
          <w:sz w:val="28"/>
          <w:szCs w:val="28"/>
          <w:lang w:eastAsia="en-US"/>
        </w:rPr>
        <w:t xml:space="preserve"> + 456,13 и </w:t>
      </w:r>
      <w:r w:rsidRPr="004135FE">
        <w:rPr>
          <w:rFonts w:ascii="Times New Roman" w:eastAsiaTheme="minorHAnsi" w:hAnsi="Times New Roman" w:cs="Times New Roman"/>
          <w:sz w:val="28"/>
          <w:szCs w:val="28"/>
          <w:lang w:val="en-US" w:eastAsia="en-US"/>
        </w:rPr>
        <w:t>R</w:t>
      </w:r>
      <w:r w:rsidRPr="004135FE">
        <w:rPr>
          <w:rFonts w:ascii="Times New Roman" w:eastAsiaTheme="minorHAnsi" w:hAnsi="Times New Roman" w:cs="Times New Roman"/>
          <w:sz w:val="28"/>
          <w:szCs w:val="28"/>
          <w:lang w:eastAsia="en-US"/>
        </w:rPr>
        <w:t xml:space="preserve">² = 0,8908 в целом высокие. </w:t>
      </w:r>
      <w:r w:rsidRPr="004135FE">
        <w:rPr>
          <w:rFonts w:ascii="Times New Roman" w:eastAsia="Times New Roman" w:hAnsi="Times New Roman" w:cs="Times New Roman"/>
          <w:sz w:val="28"/>
          <w:szCs w:val="28"/>
          <w:lang w:val="en-US"/>
        </w:rPr>
        <w:t>Alpha</w:t>
      </w:r>
      <w:r w:rsidRPr="004135FE">
        <w:rPr>
          <w:rFonts w:ascii="Times New Roman" w:eastAsia="Times New Roman" w:hAnsi="Times New Roman" w:cs="Times New Roman"/>
          <w:sz w:val="28"/>
          <w:szCs w:val="28"/>
        </w:rPr>
        <w:t xml:space="preserve"> 0,90, </w:t>
      </w:r>
      <w:r w:rsidRPr="004135FE">
        <w:rPr>
          <w:rFonts w:ascii="Times New Roman" w:eastAsia="Times New Roman" w:hAnsi="Times New Roman" w:cs="Times New Roman"/>
          <w:sz w:val="28"/>
          <w:szCs w:val="28"/>
          <w:lang w:val="en-US"/>
        </w:rPr>
        <w:t>MASE</w:t>
      </w:r>
      <w:r w:rsidRPr="004135FE">
        <w:rPr>
          <w:rFonts w:ascii="Times New Roman" w:eastAsia="Times New Roman" w:hAnsi="Times New Roman" w:cs="Times New Roman"/>
          <w:sz w:val="28"/>
          <w:szCs w:val="28"/>
        </w:rPr>
        <w:t xml:space="preserve"> 0,66, </w:t>
      </w:r>
      <w:r w:rsidRPr="004135FE">
        <w:rPr>
          <w:rFonts w:ascii="Times New Roman" w:eastAsia="Times New Roman" w:hAnsi="Times New Roman" w:cs="Times New Roman"/>
          <w:sz w:val="28"/>
          <w:szCs w:val="28"/>
          <w:lang w:val="en-US"/>
        </w:rPr>
        <w:t>SMAPE</w:t>
      </w:r>
      <w:r w:rsidRPr="004135FE">
        <w:rPr>
          <w:rFonts w:ascii="Times New Roman" w:eastAsia="Times New Roman" w:hAnsi="Times New Roman" w:cs="Times New Roman"/>
          <w:sz w:val="28"/>
          <w:szCs w:val="28"/>
        </w:rPr>
        <w:t xml:space="preserve"> 0,03, </w:t>
      </w:r>
      <w:r w:rsidRPr="004135FE">
        <w:rPr>
          <w:rFonts w:ascii="Times New Roman" w:eastAsia="Times New Roman" w:hAnsi="Times New Roman" w:cs="Times New Roman"/>
          <w:sz w:val="28"/>
          <w:szCs w:val="28"/>
          <w:lang w:val="en-US"/>
        </w:rPr>
        <w:t>MAE</w:t>
      </w:r>
      <w:r w:rsidRPr="004135FE">
        <w:rPr>
          <w:rFonts w:ascii="Times New Roman" w:eastAsia="Times New Roman" w:hAnsi="Times New Roman" w:cs="Times New Roman"/>
          <w:sz w:val="28"/>
          <w:szCs w:val="28"/>
        </w:rPr>
        <w:t xml:space="preserve"> 19,07, </w:t>
      </w:r>
      <w:r w:rsidRPr="004135FE">
        <w:rPr>
          <w:rFonts w:ascii="Times New Roman" w:eastAsia="Times New Roman" w:hAnsi="Times New Roman" w:cs="Times New Roman"/>
          <w:sz w:val="28"/>
          <w:szCs w:val="28"/>
          <w:lang w:val="en-US"/>
        </w:rPr>
        <w:t>RMSE</w:t>
      </w:r>
      <w:r w:rsidRPr="004135FE">
        <w:rPr>
          <w:rFonts w:ascii="Times New Roman" w:eastAsia="Times New Roman" w:hAnsi="Times New Roman" w:cs="Times New Roman"/>
          <w:sz w:val="28"/>
          <w:szCs w:val="28"/>
        </w:rPr>
        <w:t xml:space="preserve"> 24,10. </w:t>
      </w:r>
      <w:r w:rsidRPr="004135FE">
        <w:rPr>
          <w:rFonts w:ascii="Times New Roman" w:eastAsiaTheme="minorHAnsi" w:hAnsi="Times New Roman" w:cs="Times New Roman"/>
          <w:sz w:val="28"/>
          <w:szCs w:val="28"/>
          <w:lang w:eastAsia="en-US"/>
        </w:rPr>
        <w:t xml:space="preserve">Следует отметить, что ожидается дальнейшее увеличение уровня распространенности СД2т среди мужчин г.Алматы </w:t>
      </w:r>
      <w:r w:rsidRPr="004135FE">
        <w:rPr>
          <w:rFonts w:ascii="Times New Roman" w:eastAsia="Times New Roman" w:hAnsi="Times New Roman" w:cs="Times New Roman"/>
          <w:sz w:val="28"/>
          <w:szCs w:val="28"/>
        </w:rPr>
        <w:t xml:space="preserve">с 723,75 до 774,40 с ДИ (710,83; 837,97) </w:t>
      </w:r>
      <w:r w:rsidRPr="004135FE">
        <w:rPr>
          <w:rFonts w:ascii="Times New Roman" w:hAnsi="Times New Roman" w:cs="Times New Roman"/>
          <w:sz w:val="28"/>
          <w:szCs w:val="28"/>
        </w:rPr>
        <w:t xml:space="preserve">на 100тыс населения (р=0,001) статистически значимы. </w:t>
      </w:r>
    </w:p>
    <w:p w14:paraId="646464C1" w14:textId="77777777" w:rsidR="0066583A" w:rsidRPr="004135FE" w:rsidRDefault="0066583A" w:rsidP="004135FE">
      <w:pPr>
        <w:spacing w:after="0" w:line="240" w:lineRule="auto"/>
        <w:ind w:firstLine="708"/>
        <w:jc w:val="both"/>
        <w:rPr>
          <w:rFonts w:ascii="Times New Roman" w:eastAsiaTheme="minorHAnsi" w:hAnsi="Times New Roman" w:cs="Times New Roman"/>
          <w:sz w:val="28"/>
          <w:szCs w:val="28"/>
          <w:lang w:eastAsia="en-US"/>
        </w:rPr>
      </w:pPr>
    </w:p>
    <w:p w14:paraId="7A7A2B55" w14:textId="6BF5C3FE" w:rsidR="0066583A" w:rsidRDefault="0066583A"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lang w:val="kk-KZ"/>
        </w:rPr>
        <w:t>Таблица 1</w:t>
      </w:r>
      <w:r w:rsidR="00B728EF" w:rsidRPr="004135FE">
        <w:rPr>
          <w:rFonts w:ascii="Times New Roman" w:hAnsi="Times New Roman" w:cs="Times New Roman"/>
          <w:sz w:val="28"/>
          <w:szCs w:val="28"/>
          <w:lang w:val="kk-KZ"/>
        </w:rPr>
        <w:t>4</w:t>
      </w:r>
      <w:r w:rsidR="00D471F4">
        <w:rPr>
          <w:rFonts w:ascii="Times New Roman" w:hAnsi="Times New Roman" w:cs="Times New Roman"/>
          <w:sz w:val="28"/>
          <w:szCs w:val="28"/>
          <w:lang w:val="kk-KZ"/>
        </w:rPr>
        <w:t xml:space="preserve"> </w:t>
      </w:r>
      <w:r w:rsidRPr="004135FE">
        <w:rPr>
          <w:rFonts w:ascii="Times New Roman" w:hAnsi="Times New Roman" w:cs="Times New Roman"/>
          <w:sz w:val="28"/>
          <w:szCs w:val="28"/>
          <w:lang w:val="kk-KZ"/>
        </w:rPr>
        <w:t>-</w:t>
      </w:r>
      <w:r w:rsidR="00E9724B">
        <w:rPr>
          <w:rFonts w:ascii="Times New Roman" w:hAnsi="Times New Roman" w:cs="Times New Roman"/>
          <w:sz w:val="28"/>
          <w:szCs w:val="28"/>
          <w:lang w:val="kk-KZ"/>
        </w:rPr>
        <w:t xml:space="preserve"> </w:t>
      </w:r>
      <w:r w:rsidRPr="004135FE">
        <w:rPr>
          <w:rFonts w:ascii="Times New Roman" w:hAnsi="Times New Roman" w:cs="Times New Roman"/>
          <w:sz w:val="28"/>
          <w:szCs w:val="28"/>
        </w:rPr>
        <w:t>Математическое  прогнозирование уровня распространенности СД2т</w:t>
      </w:r>
      <w:r w:rsidRPr="004135FE">
        <w:rPr>
          <w:rFonts w:ascii="Times New Roman" w:hAnsi="Times New Roman" w:cs="Times New Roman"/>
          <w:sz w:val="28"/>
          <w:szCs w:val="28"/>
          <w:lang w:val="kk-KZ"/>
        </w:rPr>
        <w:t xml:space="preserve"> среди мужчин по</w:t>
      </w:r>
      <w:r w:rsidRPr="004135FE">
        <w:rPr>
          <w:rFonts w:ascii="Times New Roman" w:hAnsi="Times New Roman" w:cs="Times New Roman"/>
          <w:sz w:val="28"/>
          <w:szCs w:val="28"/>
        </w:rPr>
        <w:t xml:space="preserve"> г.Алматы (на 100</w:t>
      </w:r>
      <w:r w:rsidR="00E9724B">
        <w:rPr>
          <w:rFonts w:ascii="Times New Roman" w:hAnsi="Times New Roman" w:cs="Times New Roman"/>
          <w:sz w:val="28"/>
          <w:szCs w:val="28"/>
        </w:rPr>
        <w:t xml:space="preserve"> </w:t>
      </w:r>
      <w:r w:rsidRPr="004135FE">
        <w:rPr>
          <w:rFonts w:ascii="Times New Roman" w:hAnsi="Times New Roman" w:cs="Times New Roman"/>
          <w:sz w:val="28"/>
          <w:szCs w:val="28"/>
        </w:rPr>
        <w:t>тыс</w:t>
      </w:r>
      <w:r w:rsidR="00E9724B">
        <w:rPr>
          <w:rFonts w:ascii="Times New Roman" w:hAnsi="Times New Roman" w:cs="Times New Roman"/>
          <w:sz w:val="28"/>
          <w:szCs w:val="28"/>
        </w:rPr>
        <w:t>.</w:t>
      </w:r>
      <w:r w:rsidRPr="004135FE">
        <w:rPr>
          <w:rFonts w:ascii="Times New Roman" w:hAnsi="Times New Roman" w:cs="Times New Roman"/>
          <w:sz w:val="28"/>
          <w:szCs w:val="28"/>
        </w:rPr>
        <w:t xml:space="preserve"> населения)</w:t>
      </w:r>
    </w:p>
    <w:p w14:paraId="2E55B589" w14:textId="77777777" w:rsidR="00E9724B" w:rsidRPr="004135FE" w:rsidRDefault="00E9724B" w:rsidP="004135FE">
      <w:pPr>
        <w:spacing w:after="0" w:line="240" w:lineRule="auto"/>
        <w:jc w:val="both"/>
        <w:rPr>
          <w:rFonts w:ascii="Times New Roman" w:hAnsi="Times New Roman" w:cs="Times New Roman"/>
          <w:sz w:val="28"/>
          <w:szCs w:val="28"/>
        </w:rPr>
      </w:pPr>
    </w:p>
    <w:tbl>
      <w:tblPr>
        <w:tblStyle w:val="af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558"/>
        <w:gridCol w:w="1214"/>
        <w:gridCol w:w="2765"/>
        <w:gridCol w:w="2678"/>
      </w:tblGrid>
      <w:tr w:rsidR="0066583A" w:rsidRPr="004135FE" w14:paraId="5AAC8384" w14:textId="77777777" w:rsidTr="00E9724B">
        <w:trPr>
          <w:trHeight w:val="113"/>
        </w:trPr>
        <w:tc>
          <w:tcPr>
            <w:tcW w:w="1129" w:type="dxa"/>
          </w:tcPr>
          <w:p w14:paraId="3BDD594F" w14:textId="77777777" w:rsidR="0066583A" w:rsidRPr="004135FE" w:rsidRDefault="0066583A" w:rsidP="004135FE">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bCs/>
                <w:sz w:val="28"/>
                <w:szCs w:val="28"/>
              </w:rPr>
              <w:t>Период</w:t>
            </w:r>
          </w:p>
        </w:tc>
        <w:tc>
          <w:tcPr>
            <w:tcW w:w="1558" w:type="dxa"/>
          </w:tcPr>
          <w:p w14:paraId="35B8083D" w14:textId="77777777" w:rsidR="0066583A" w:rsidRPr="004135FE" w:rsidRDefault="0066583A" w:rsidP="004135FE">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bCs/>
                <w:sz w:val="28"/>
                <w:szCs w:val="28"/>
              </w:rPr>
              <w:t>Мужчины г.Алматы</w:t>
            </w:r>
          </w:p>
        </w:tc>
        <w:tc>
          <w:tcPr>
            <w:tcW w:w="1214" w:type="dxa"/>
          </w:tcPr>
          <w:p w14:paraId="7020CC25" w14:textId="77777777" w:rsidR="0066583A" w:rsidRPr="004135FE" w:rsidRDefault="0066583A" w:rsidP="004135FE">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bCs/>
                <w:sz w:val="28"/>
                <w:szCs w:val="28"/>
              </w:rPr>
              <w:t>Прогноз</w:t>
            </w:r>
          </w:p>
        </w:tc>
        <w:tc>
          <w:tcPr>
            <w:tcW w:w="2765" w:type="dxa"/>
          </w:tcPr>
          <w:p w14:paraId="3544AC4A" w14:textId="77777777" w:rsidR="0066583A" w:rsidRPr="004135FE" w:rsidRDefault="0066583A"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95% ДИ для прогноза</w:t>
            </w:r>
            <w:r w:rsidRPr="004135FE">
              <w:rPr>
                <w:rFonts w:ascii="Times New Roman" w:eastAsia="Times New Roman" w:hAnsi="Times New Roman" w:cs="Times New Roman"/>
                <w:bCs/>
                <w:sz w:val="28"/>
                <w:szCs w:val="28"/>
              </w:rPr>
              <w:t xml:space="preserve"> (низкой вероятности)</w:t>
            </w:r>
          </w:p>
        </w:tc>
        <w:tc>
          <w:tcPr>
            <w:tcW w:w="2678" w:type="dxa"/>
          </w:tcPr>
          <w:p w14:paraId="26926EAC" w14:textId="77777777" w:rsidR="0066583A" w:rsidRPr="004135FE" w:rsidRDefault="0066583A"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95% ДИ для прогноза</w:t>
            </w:r>
            <w:r w:rsidRPr="004135FE">
              <w:rPr>
                <w:rFonts w:ascii="Times New Roman" w:eastAsia="Times New Roman" w:hAnsi="Times New Roman" w:cs="Times New Roman"/>
                <w:bCs/>
                <w:sz w:val="28"/>
                <w:szCs w:val="28"/>
              </w:rPr>
              <w:t xml:space="preserve"> (высокой вероятности)</w:t>
            </w:r>
          </w:p>
        </w:tc>
      </w:tr>
      <w:tr w:rsidR="00E9724B" w:rsidRPr="004135FE" w14:paraId="5097BF95" w14:textId="77777777" w:rsidTr="00E9724B">
        <w:trPr>
          <w:trHeight w:val="113"/>
        </w:trPr>
        <w:tc>
          <w:tcPr>
            <w:tcW w:w="1129" w:type="dxa"/>
          </w:tcPr>
          <w:p w14:paraId="273E4049" w14:textId="77777777" w:rsidR="00E9724B" w:rsidRPr="004135FE" w:rsidRDefault="00E9724B" w:rsidP="00E9724B">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2012</w:t>
            </w:r>
          </w:p>
        </w:tc>
        <w:tc>
          <w:tcPr>
            <w:tcW w:w="1558" w:type="dxa"/>
          </w:tcPr>
          <w:p w14:paraId="1A35087D" w14:textId="77777777" w:rsidR="00E9724B" w:rsidRPr="004135FE" w:rsidRDefault="00E9724B" w:rsidP="00E9724B">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510,25</w:t>
            </w:r>
          </w:p>
        </w:tc>
        <w:tc>
          <w:tcPr>
            <w:tcW w:w="1214" w:type="dxa"/>
          </w:tcPr>
          <w:p w14:paraId="7F936053" w14:textId="7CBA54B2"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c>
          <w:tcPr>
            <w:tcW w:w="2765" w:type="dxa"/>
          </w:tcPr>
          <w:p w14:paraId="53E343D7" w14:textId="48EA4637"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c>
          <w:tcPr>
            <w:tcW w:w="2678" w:type="dxa"/>
          </w:tcPr>
          <w:p w14:paraId="50AE7A54" w14:textId="33308AD9"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r>
      <w:tr w:rsidR="00E9724B" w:rsidRPr="004135FE" w14:paraId="0DFE1497" w14:textId="77777777" w:rsidTr="00E9724B">
        <w:trPr>
          <w:trHeight w:val="113"/>
        </w:trPr>
        <w:tc>
          <w:tcPr>
            <w:tcW w:w="1129" w:type="dxa"/>
          </w:tcPr>
          <w:p w14:paraId="689D9383" w14:textId="77777777" w:rsidR="00E9724B" w:rsidRPr="004135FE" w:rsidRDefault="00E9724B" w:rsidP="00E9724B">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2013</w:t>
            </w:r>
          </w:p>
        </w:tc>
        <w:tc>
          <w:tcPr>
            <w:tcW w:w="1558" w:type="dxa"/>
          </w:tcPr>
          <w:p w14:paraId="0031075F" w14:textId="77777777" w:rsidR="00E9724B" w:rsidRPr="004135FE" w:rsidRDefault="00E9724B" w:rsidP="00E9724B">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539,79</w:t>
            </w:r>
          </w:p>
        </w:tc>
        <w:tc>
          <w:tcPr>
            <w:tcW w:w="1214" w:type="dxa"/>
          </w:tcPr>
          <w:p w14:paraId="73F487DF" w14:textId="13502016"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c>
          <w:tcPr>
            <w:tcW w:w="2765" w:type="dxa"/>
          </w:tcPr>
          <w:p w14:paraId="070D7758" w14:textId="5E948BE3"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c>
          <w:tcPr>
            <w:tcW w:w="2678" w:type="dxa"/>
          </w:tcPr>
          <w:p w14:paraId="2AA81A1A" w14:textId="684B64CC"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r>
      <w:tr w:rsidR="00E9724B" w:rsidRPr="004135FE" w14:paraId="3492AD38" w14:textId="77777777" w:rsidTr="00E9724B">
        <w:trPr>
          <w:trHeight w:val="113"/>
        </w:trPr>
        <w:tc>
          <w:tcPr>
            <w:tcW w:w="1129" w:type="dxa"/>
          </w:tcPr>
          <w:p w14:paraId="6768A0B9" w14:textId="77777777" w:rsidR="00E9724B" w:rsidRPr="004135FE" w:rsidRDefault="00E9724B" w:rsidP="00E9724B">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2014</w:t>
            </w:r>
          </w:p>
        </w:tc>
        <w:tc>
          <w:tcPr>
            <w:tcW w:w="1558" w:type="dxa"/>
          </w:tcPr>
          <w:p w14:paraId="33EAB811" w14:textId="77777777" w:rsidR="00E9724B" w:rsidRPr="004135FE" w:rsidRDefault="00E9724B" w:rsidP="00E9724B">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517,90</w:t>
            </w:r>
          </w:p>
        </w:tc>
        <w:tc>
          <w:tcPr>
            <w:tcW w:w="1214" w:type="dxa"/>
          </w:tcPr>
          <w:p w14:paraId="4EA43C5E" w14:textId="03EBA35E"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c>
          <w:tcPr>
            <w:tcW w:w="2765" w:type="dxa"/>
          </w:tcPr>
          <w:p w14:paraId="0DACB3F9" w14:textId="03C7707D"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c>
          <w:tcPr>
            <w:tcW w:w="2678" w:type="dxa"/>
          </w:tcPr>
          <w:p w14:paraId="3581186C" w14:textId="2F66DF45"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r>
      <w:tr w:rsidR="00E9724B" w:rsidRPr="004135FE" w14:paraId="156B6A2C" w14:textId="77777777" w:rsidTr="00E9724B">
        <w:trPr>
          <w:trHeight w:val="113"/>
        </w:trPr>
        <w:tc>
          <w:tcPr>
            <w:tcW w:w="1129" w:type="dxa"/>
          </w:tcPr>
          <w:p w14:paraId="7A0C09D8" w14:textId="77777777" w:rsidR="00E9724B" w:rsidRPr="004135FE" w:rsidRDefault="00E9724B" w:rsidP="00E9724B">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2015</w:t>
            </w:r>
          </w:p>
        </w:tc>
        <w:tc>
          <w:tcPr>
            <w:tcW w:w="1558" w:type="dxa"/>
          </w:tcPr>
          <w:p w14:paraId="3AE28EC4" w14:textId="77777777" w:rsidR="00E9724B" w:rsidRPr="004135FE" w:rsidRDefault="00E9724B" w:rsidP="00E9724B">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516,73</w:t>
            </w:r>
          </w:p>
        </w:tc>
        <w:tc>
          <w:tcPr>
            <w:tcW w:w="1214" w:type="dxa"/>
          </w:tcPr>
          <w:p w14:paraId="208BD33E" w14:textId="01E7098B"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c>
          <w:tcPr>
            <w:tcW w:w="2765" w:type="dxa"/>
          </w:tcPr>
          <w:p w14:paraId="2F33A36D" w14:textId="153329E7"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c>
          <w:tcPr>
            <w:tcW w:w="2678" w:type="dxa"/>
          </w:tcPr>
          <w:p w14:paraId="6B116563" w14:textId="189028E5"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r>
      <w:tr w:rsidR="00E9724B" w:rsidRPr="004135FE" w14:paraId="0E1EAFAC" w14:textId="77777777" w:rsidTr="00E9724B">
        <w:trPr>
          <w:trHeight w:val="113"/>
        </w:trPr>
        <w:tc>
          <w:tcPr>
            <w:tcW w:w="1129" w:type="dxa"/>
          </w:tcPr>
          <w:p w14:paraId="54D4E057" w14:textId="77777777" w:rsidR="00E9724B" w:rsidRPr="004135FE" w:rsidRDefault="00E9724B" w:rsidP="00E9724B">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2016</w:t>
            </w:r>
          </w:p>
        </w:tc>
        <w:tc>
          <w:tcPr>
            <w:tcW w:w="1558" w:type="dxa"/>
          </w:tcPr>
          <w:p w14:paraId="05AF58F4" w14:textId="77777777" w:rsidR="00E9724B" w:rsidRPr="004135FE" w:rsidRDefault="00E9724B" w:rsidP="00E9724B">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570,05</w:t>
            </w:r>
          </w:p>
        </w:tc>
        <w:tc>
          <w:tcPr>
            <w:tcW w:w="1214" w:type="dxa"/>
          </w:tcPr>
          <w:p w14:paraId="32F438F8" w14:textId="1765DC69"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c>
          <w:tcPr>
            <w:tcW w:w="2765" w:type="dxa"/>
          </w:tcPr>
          <w:p w14:paraId="5E3A6200" w14:textId="66DB4920"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c>
          <w:tcPr>
            <w:tcW w:w="2678" w:type="dxa"/>
          </w:tcPr>
          <w:p w14:paraId="00CE8706" w14:textId="6D7D8FF6"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r>
      <w:tr w:rsidR="00E9724B" w:rsidRPr="004135FE" w14:paraId="1F23C22E" w14:textId="77777777" w:rsidTr="00E9724B">
        <w:trPr>
          <w:trHeight w:val="113"/>
        </w:trPr>
        <w:tc>
          <w:tcPr>
            <w:tcW w:w="1129" w:type="dxa"/>
          </w:tcPr>
          <w:p w14:paraId="4A461FB1" w14:textId="77777777" w:rsidR="00E9724B" w:rsidRPr="004135FE" w:rsidRDefault="00E9724B" w:rsidP="00E9724B">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2017</w:t>
            </w:r>
          </w:p>
        </w:tc>
        <w:tc>
          <w:tcPr>
            <w:tcW w:w="1558" w:type="dxa"/>
          </w:tcPr>
          <w:p w14:paraId="7F3AB635" w14:textId="77777777" w:rsidR="00E9724B" w:rsidRPr="004135FE" w:rsidRDefault="00E9724B" w:rsidP="00E9724B">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572,31</w:t>
            </w:r>
          </w:p>
        </w:tc>
        <w:tc>
          <w:tcPr>
            <w:tcW w:w="1214" w:type="dxa"/>
          </w:tcPr>
          <w:p w14:paraId="0A6CFCCD" w14:textId="39C5637E"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c>
          <w:tcPr>
            <w:tcW w:w="2765" w:type="dxa"/>
          </w:tcPr>
          <w:p w14:paraId="122B0D88" w14:textId="05913209"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c>
          <w:tcPr>
            <w:tcW w:w="2678" w:type="dxa"/>
          </w:tcPr>
          <w:p w14:paraId="18B2D1B5" w14:textId="0508C81B"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r>
      <w:tr w:rsidR="00E9724B" w:rsidRPr="004135FE" w14:paraId="01D015CF" w14:textId="77777777" w:rsidTr="00E9724B">
        <w:trPr>
          <w:trHeight w:val="113"/>
        </w:trPr>
        <w:tc>
          <w:tcPr>
            <w:tcW w:w="1129" w:type="dxa"/>
          </w:tcPr>
          <w:p w14:paraId="39DD25BE" w14:textId="77777777" w:rsidR="00E9724B" w:rsidRPr="004135FE" w:rsidRDefault="00E9724B" w:rsidP="00E9724B">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2018</w:t>
            </w:r>
          </w:p>
        </w:tc>
        <w:tc>
          <w:tcPr>
            <w:tcW w:w="1558" w:type="dxa"/>
          </w:tcPr>
          <w:p w14:paraId="73FDCB5A" w14:textId="77777777" w:rsidR="00E9724B" w:rsidRPr="004135FE" w:rsidRDefault="00E9724B" w:rsidP="00E9724B">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614,64</w:t>
            </w:r>
          </w:p>
        </w:tc>
        <w:tc>
          <w:tcPr>
            <w:tcW w:w="1214" w:type="dxa"/>
          </w:tcPr>
          <w:p w14:paraId="6A6F3A06" w14:textId="64869DDB"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c>
          <w:tcPr>
            <w:tcW w:w="2765" w:type="dxa"/>
          </w:tcPr>
          <w:p w14:paraId="4811DB9C" w14:textId="2E393BD8"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c>
          <w:tcPr>
            <w:tcW w:w="2678" w:type="dxa"/>
          </w:tcPr>
          <w:p w14:paraId="7022CAEF" w14:textId="3CF1717A"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r>
      <w:tr w:rsidR="00E9724B" w:rsidRPr="004135FE" w14:paraId="548E68D8" w14:textId="77777777" w:rsidTr="00E9724B">
        <w:trPr>
          <w:trHeight w:val="113"/>
        </w:trPr>
        <w:tc>
          <w:tcPr>
            <w:tcW w:w="1129" w:type="dxa"/>
          </w:tcPr>
          <w:p w14:paraId="26E157BB" w14:textId="77777777" w:rsidR="00E9724B" w:rsidRPr="004135FE" w:rsidRDefault="00E9724B" w:rsidP="00E9724B">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2019</w:t>
            </w:r>
          </w:p>
        </w:tc>
        <w:tc>
          <w:tcPr>
            <w:tcW w:w="1558" w:type="dxa"/>
          </w:tcPr>
          <w:p w14:paraId="2DEF56E3" w14:textId="77777777" w:rsidR="00E9724B" w:rsidRPr="004135FE" w:rsidRDefault="00E9724B" w:rsidP="00E9724B">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674,33</w:t>
            </w:r>
          </w:p>
        </w:tc>
        <w:tc>
          <w:tcPr>
            <w:tcW w:w="1214" w:type="dxa"/>
          </w:tcPr>
          <w:p w14:paraId="51E5048D" w14:textId="1B62C688"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c>
          <w:tcPr>
            <w:tcW w:w="2765" w:type="dxa"/>
          </w:tcPr>
          <w:p w14:paraId="59EC7701" w14:textId="64B98643"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c>
          <w:tcPr>
            <w:tcW w:w="2678" w:type="dxa"/>
          </w:tcPr>
          <w:p w14:paraId="5F9E3CC6" w14:textId="159B1B9B"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r>
      <w:tr w:rsidR="00E9724B" w:rsidRPr="004135FE" w14:paraId="1FC59456" w14:textId="77777777" w:rsidTr="00E9724B">
        <w:trPr>
          <w:trHeight w:val="113"/>
        </w:trPr>
        <w:tc>
          <w:tcPr>
            <w:tcW w:w="1129" w:type="dxa"/>
          </w:tcPr>
          <w:p w14:paraId="76591C67" w14:textId="77777777" w:rsidR="00E9724B" w:rsidRPr="004135FE" w:rsidRDefault="00E9724B" w:rsidP="00E9724B">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2020</w:t>
            </w:r>
          </w:p>
        </w:tc>
        <w:tc>
          <w:tcPr>
            <w:tcW w:w="1558" w:type="dxa"/>
          </w:tcPr>
          <w:p w14:paraId="53A397DF" w14:textId="77777777" w:rsidR="00E9724B" w:rsidRPr="004135FE" w:rsidRDefault="00E9724B" w:rsidP="00E9724B">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703,59</w:t>
            </w:r>
          </w:p>
        </w:tc>
        <w:tc>
          <w:tcPr>
            <w:tcW w:w="1214" w:type="dxa"/>
          </w:tcPr>
          <w:p w14:paraId="46063AFA" w14:textId="37671F6E"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c>
          <w:tcPr>
            <w:tcW w:w="2765" w:type="dxa"/>
          </w:tcPr>
          <w:p w14:paraId="7811510C" w14:textId="3C60AC68"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c>
          <w:tcPr>
            <w:tcW w:w="2678" w:type="dxa"/>
          </w:tcPr>
          <w:p w14:paraId="4B5F3D75" w14:textId="7A7ECB51" w:rsidR="00E9724B" w:rsidRPr="004135FE" w:rsidRDefault="00E9724B" w:rsidP="00E9724B">
            <w:pPr>
              <w:spacing w:after="0" w:line="240" w:lineRule="auto"/>
              <w:jc w:val="center"/>
              <w:rPr>
                <w:rFonts w:ascii="Times New Roman" w:hAnsi="Times New Roman" w:cs="Times New Roman"/>
                <w:sz w:val="28"/>
                <w:szCs w:val="28"/>
              </w:rPr>
            </w:pPr>
            <w:r w:rsidRPr="00E9724B">
              <w:rPr>
                <w:rFonts w:ascii="Times New Roman" w:hAnsi="Times New Roman" w:cs="Times New Roman"/>
                <w:sz w:val="24"/>
                <w:szCs w:val="24"/>
              </w:rPr>
              <w:t>-</w:t>
            </w:r>
          </w:p>
        </w:tc>
      </w:tr>
      <w:tr w:rsidR="0066583A" w:rsidRPr="004135FE" w14:paraId="6F59F077" w14:textId="77777777" w:rsidTr="00E9724B">
        <w:trPr>
          <w:trHeight w:val="113"/>
        </w:trPr>
        <w:tc>
          <w:tcPr>
            <w:tcW w:w="1129" w:type="dxa"/>
          </w:tcPr>
          <w:p w14:paraId="79D8711E" w14:textId="77777777" w:rsidR="0066583A" w:rsidRPr="004135FE" w:rsidRDefault="0066583A" w:rsidP="004135FE">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2021</w:t>
            </w:r>
          </w:p>
        </w:tc>
        <w:tc>
          <w:tcPr>
            <w:tcW w:w="1558" w:type="dxa"/>
          </w:tcPr>
          <w:p w14:paraId="7F788FD8" w14:textId="77777777" w:rsidR="0066583A" w:rsidRPr="004135FE" w:rsidRDefault="0066583A" w:rsidP="004135FE">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723,75</w:t>
            </w:r>
          </w:p>
        </w:tc>
        <w:tc>
          <w:tcPr>
            <w:tcW w:w="1214" w:type="dxa"/>
          </w:tcPr>
          <w:p w14:paraId="4F334CBA" w14:textId="77777777" w:rsidR="0066583A" w:rsidRPr="004135FE" w:rsidRDefault="0066583A" w:rsidP="004135FE">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723,75</w:t>
            </w:r>
          </w:p>
        </w:tc>
        <w:tc>
          <w:tcPr>
            <w:tcW w:w="2765" w:type="dxa"/>
          </w:tcPr>
          <w:p w14:paraId="7E134DC3" w14:textId="77777777" w:rsidR="0066583A" w:rsidRPr="004135FE" w:rsidRDefault="0066583A" w:rsidP="004135FE">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723,75</w:t>
            </w:r>
          </w:p>
        </w:tc>
        <w:tc>
          <w:tcPr>
            <w:tcW w:w="2678" w:type="dxa"/>
          </w:tcPr>
          <w:p w14:paraId="459B3C02" w14:textId="77777777" w:rsidR="0066583A" w:rsidRPr="004135FE" w:rsidRDefault="0066583A" w:rsidP="004135FE">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723,75</w:t>
            </w:r>
          </w:p>
        </w:tc>
      </w:tr>
      <w:tr w:rsidR="0066583A" w:rsidRPr="004135FE" w14:paraId="2590069A" w14:textId="77777777" w:rsidTr="00E9724B">
        <w:trPr>
          <w:trHeight w:val="113"/>
        </w:trPr>
        <w:tc>
          <w:tcPr>
            <w:tcW w:w="1129" w:type="dxa"/>
          </w:tcPr>
          <w:p w14:paraId="686AF9F7" w14:textId="77777777" w:rsidR="0066583A" w:rsidRPr="004135FE" w:rsidRDefault="0066583A" w:rsidP="004135FE">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2022</w:t>
            </w:r>
          </w:p>
        </w:tc>
        <w:tc>
          <w:tcPr>
            <w:tcW w:w="1558" w:type="dxa"/>
          </w:tcPr>
          <w:p w14:paraId="6B0478EE" w14:textId="0A05B925" w:rsidR="0066583A" w:rsidRPr="004135FE" w:rsidRDefault="00490AF6" w:rsidP="004135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214" w:type="dxa"/>
          </w:tcPr>
          <w:p w14:paraId="25A03A7F" w14:textId="77777777" w:rsidR="0066583A" w:rsidRPr="004135FE" w:rsidRDefault="0066583A" w:rsidP="004135FE">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749,28</w:t>
            </w:r>
          </w:p>
        </w:tc>
        <w:tc>
          <w:tcPr>
            <w:tcW w:w="2765" w:type="dxa"/>
          </w:tcPr>
          <w:p w14:paraId="0EF0F3AE" w14:textId="77777777" w:rsidR="0066583A" w:rsidRPr="004135FE" w:rsidRDefault="0066583A" w:rsidP="004135FE">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702,05</w:t>
            </w:r>
          </w:p>
        </w:tc>
        <w:tc>
          <w:tcPr>
            <w:tcW w:w="2678" w:type="dxa"/>
          </w:tcPr>
          <w:p w14:paraId="4CC11002" w14:textId="77777777" w:rsidR="0066583A" w:rsidRPr="004135FE" w:rsidRDefault="0066583A" w:rsidP="004135FE">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796,51</w:t>
            </w:r>
          </w:p>
        </w:tc>
      </w:tr>
      <w:tr w:rsidR="0066583A" w:rsidRPr="004135FE" w14:paraId="57E58D75" w14:textId="77777777" w:rsidTr="00E9724B">
        <w:trPr>
          <w:trHeight w:val="113"/>
        </w:trPr>
        <w:tc>
          <w:tcPr>
            <w:tcW w:w="1129" w:type="dxa"/>
          </w:tcPr>
          <w:p w14:paraId="215A0EAD" w14:textId="77777777" w:rsidR="0066583A" w:rsidRPr="004135FE" w:rsidRDefault="0066583A" w:rsidP="004135FE">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2023</w:t>
            </w:r>
          </w:p>
        </w:tc>
        <w:tc>
          <w:tcPr>
            <w:tcW w:w="1558" w:type="dxa"/>
          </w:tcPr>
          <w:p w14:paraId="16F1B654" w14:textId="189C65AF" w:rsidR="0066583A" w:rsidRPr="004135FE" w:rsidRDefault="00490AF6" w:rsidP="004135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214" w:type="dxa"/>
          </w:tcPr>
          <w:p w14:paraId="51EC5FD3" w14:textId="77777777" w:rsidR="0066583A" w:rsidRPr="004135FE" w:rsidRDefault="0066583A" w:rsidP="004135FE">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774,40</w:t>
            </w:r>
          </w:p>
        </w:tc>
        <w:tc>
          <w:tcPr>
            <w:tcW w:w="2765" w:type="dxa"/>
          </w:tcPr>
          <w:p w14:paraId="7424FB0A" w14:textId="77777777" w:rsidR="0066583A" w:rsidRPr="004135FE" w:rsidRDefault="0066583A" w:rsidP="004135FE">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710,83</w:t>
            </w:r>
          </w:p>
        </w:tc>
        <w:tc>
          <w:tcPr>
            <w:tcW w:w="2678" w:type="dxa"/>
          </w:tcPr>
          <w:p w14:paraId="49BFA339" w14:textId="77777777" w:rsidR="0066583A" w:rsidRPr="004135FE" w:rsidRDefault="0066583A" w:rsidP="004135FE">
            <w:pPr>
              <w:spacing w:after="0" w:line="240" w:lineRule="auto"/>
              <w:jc w:val="center"/>
              <w:rPr>
                <w:rFonts w:ascii="Times New Roman" w:hAnsi="Times New Roman" w:cs="Times New Roman"/>
                <w:sz w:val="28"/>
                <w:szCs w:val="28"/>
              </w:rPr>
            </w:pPr>
            <w:r w:rsidRPr="004135FE">
              <w:rPr>
                <w:rFonts w:ascii="Times New Roman" w:eastAsia="Times New Roman" w:hAnsi="Times New Roman" w:cs="Times New Roman"/>
                <w:sz w:val="28"/>
                <w:szCs w:val="28"/>
              </w:rPr>
              <w:t>837,97</w:t>
            </w:r>
          </w:p>
        </w:tc>
      </w:tr>
    </w:tbl>
    <w:p w14:paraId="1C70B3D9" w14:textId="77777777" w:rsidR="0066583A" w:rsidRPr="004135FE" w:rsidRDefault="0066583A" w:rsidP="004135FE">
      <w:pPr>
        <w:spacing w:after="0" w:line="240" w:lineRule="auto"/>
        <w:jc w:val="both"/>
        <w:rPr>
          <w:rFonts w:ascii="Times New Roman" w:hAnsi="Times New Roman" w:cs="Times New Roman"/>
          <w:sz w:val="28"/>
          <w:szCs w:val="28"/>
        </w:rPr>
      </w:pPr>
    </w:p>
    <w:p w14:paraId="2AB0465A" w14:textId="77777777" w:rsidR="0066583A" w:rsidRPr="004135FE" w:rsidRDefault="0066583A" w:rsidP="00223103">
      <w:pPr>
        <w:spacing w:after="0" w:line="240" w:lineRule="auto"/>
        <w:jc w:val="center"/>
        <w:rPr>
          <w:rFonts w:ascii="Times New Roman" w:hAnsi="Times New Roman" w:cs="Times New Roman"/>
          <w:sz w:val="28"/>
          <w:szCs w:val="28"/>
        </w:rPr>
      </w:pPr>
      <w:r w:rsidRPr="004135FE">
        <w:rPr>
          <w:noProof/>
          <w:sz w:val="28"/>
          <w:szCs w:val="28"/>
        </w:rPr>
        <w:drawing>
          <wp:inline distT="0" distB="0" distL="0" distR="0" wp14:anchorId="631A15A9" wp14:editId="7ABDED2D">
            <wp:extent cx="5848350" cy="2219325"/>
            <wp:effectExtent l="0" t="0" r="0" b="952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89A3754" w14:textId="77777777" w:rsidR="00223103" w:rsidRDefault="00223103" w:rsidP="004135FE">
      <w:pPr>
        <w:spacing w:after="0" w:line="240" w:lineRule="auto"/>
        <w:jc w:val="both"/>
        <w:rPr>
          <w:rFonts w:ascii="Times New Roman" w:hAnsi="Times New Roman" w:cs="Times New Roman"/>
          <w:sz w:val="28"/>
          <w:szCs w:val="28"/>
        </w:rPr>
      </w:pPr>
    </w:p>
    <w:p w14:paraId="4787BF37" w14:textId="70B2DB76" w:rsidR="0066583A" w:rsidRPr="004135FE" w:rsidRDefault="0066583A" w:rsidP="00490AF6">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13 – Прогноз уровня распространенности СД2т среди мужчин по г Алматы с 95% ДИ на среднесрочный период до 2023 г (на 100тыс населения)</w:t>
      </w:r>
    </w:p>
    <w:p w14:paraId="6B7238B7" w14:textId="77777777" w:rsidR="00223103" w:rsidRDefault="00223103" w:rsidP="004135FE">
      <w:pPr>
        <w:spacing w:after="0" w:line="240" w:lineRule="auto"/>
        <w:ind w:firstLine="708"/>
        <w:jc w:val="both"/>
        <w:rPr>
          <w:rFonts w:ascii="Times New Roman" w:eastAsiaTheme="minorHAnsi" w:hAnsi="Times New Roman" w:cs="Times New Roman"/>
          <w:sz w:val="28"/>
          <w:szCs w:val="28"/>
          <w:lang w:eastAsia="en-US"/>
        </w:rPr>
      </w:pPr>
    </w:p>
    <w:p w14:paraId="3DBF76A0" w14:textId="70D3096C" w:rsidR="0066583A" w:rsidRPr="004135FE" w:rsidRDefault="0066583A"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eastAsiaTheme="minorHAnsi" w:hAnsi="Times New Roman" w:cs="Times New Roman"/>
          <w:sz w:val="28"/>
          <w:szCs w:val="28"/>
          <w:lang w:eastAsia="en-US"/>
        </w:rPr>
        <w:t xml:space="preserve">Так же </w:t>
      </w:r>
      <w:r w:rsidRPr="004135FE">
        <w:rPr>
          <w:rFonts w:ascii="Times New Roman" w:hAnsi="Times New Roman" w:cs="Times New Roman"/>
          <w:sz w:val="28"/>
          <w:szCs w:val="28"/>
        </w:rPr>
        <w:t>нами выполнен аналогичный</w:t>
      </w:r>
      <w:r w:rsidRPr="004135FE">
        <w:rPr>
          <w:sz w:val="28"/>
          <w:szCs w:val="28"/>
        </w:rPr>
        <w:t xml:space="preserve"> </w:t>
      </w:r>
      <w:r w:rsidRPr="004135FE">
        <w:rPr>
          <w:rFonts w:ascii="Times New Roman" w:eastAsiaTheme="minorHAnsi" w:hAnsi="Times New Roman" w:cs="Times New Roman"/>
          <w:sz w:val="28"/>
          <w:szCs w:val="28"/>
          <w:lang w:eastAsia="en-US"/>
        </w:rPr>
        <w:t>математический прогноз уровня распространенности СД2т среди женщин по г.</w:t>
      </w:r>
      <w:r w:rsidR="00710B97">
        <w:rPr>
          <w:rFonts w:ascii="Times New Roman" w:eastAsiaTheme="minorHAnsi" w:hAnsi="Times New Roman" w:cs="Times New Roman"/>
          <w:sz w:val="28"/>
          <w:szCs w:val="28"/>
          <w:lang w:eastAsia="en-US"/>
        </w:rPr>
        <w:t xml:space="preserve"> </w:t>
      </w:r>
      <w:r w:rsidRPr="004135FE">
        <w:rPr>
          <w:rFonts w:ascii="Times New Roman" w:eastAsiaTheme="minorHAnsi" w:hAnsi="Times New Roman" w:cs="Times New Roman"/>
          <w:sz w:val="28"/>
          <w:szCs w:val="28"/>
          <w:lang w:eastAsia="en-US"/>
        </w:rPr>
        <w:t>Алматы на 100 тыс</w:t>
      </w:r>
      <w:r w:rsidR="00710B97">
        <w:rPr>
          <w:rFonts w:ascii="Times New Roman" w:eastAsiaTheme="minorHAnsi" w:hAnsi="Times New Roman" w:cs="Times New Roman"/>
          <w:sz w:val="28"/>
          <w:szCs w:val="28"/>
          <w:lang w:eastAsia="en-US"/>
        </w:rPr>
        <w:t>.</w:t>
      </w:r>
      <w:r w:rsidRPr="004135FE">
        <w:rPr>
          <w:rFonts w:ascii="Times New Roman" w:eastAsiaTheme="minorHAnsi" w:hAnsi="Times New Roman" w:cs="Times New Roman"/>
          <w:sz w:val="28"/>
          <w:szCs w:val="28"/>
          <w:lang w:eastAsia="en-US"/>
        </w:rPr>
        <w:t xml:space="preserve"> населения, </w:t>
      </w:r>
      <w:r w:rsidRPr="004135FE">
        <w:rPr>
          <w:rFonts w:ascii="Times New Roman" w:eastAsia="Times New Roman" w:hAnsi="Times New Roman" w:cs="Times New Roman"/>
          <w:sz w:val="28"/>
          <w:szCs w:val="28"/>
        </w:rPr>
        <w:lastRenderedPageBreak/>
        <w:t xml:space="preserve">с использованием уравнении линейной регрессии </w:t>
      </w:r>
      <w:r w:rsidRPr="004135FE">
        <w:rPr>
          <w:rFonts w:ascii="Times New Roman" w:eastAsia="Times New Roman" w:hAnsi="Times New Roman" w:cs="Times New Roman"/>
          <w:sz w:val="28"/>
          <w:szCs w:val="28"/>
          <w:lang w:val="en-US"/>
        </w:rPr>
        <w:t>y</w:t>
      </w:r>
      <w:r w:rsidRPr="004135FE">
        <w:rPr>
          <w:rFonts w:ascii="Times New Roman" w:eastAsia="Times New Roman" w:hAnsi="Times New Roman" w:cs="Times New Roman"/>
          <w:sz w:val="28"/>
          <w:szCs w:val="28"/>
        </w:rPr>
        <w:t xml:space="preserve"> = 27,642</w:t>
      </w:r>
      <w:r w:rsidRPr="004135FE">
        <w:rPr>
          <w:rFonts w:ascii="Times New Roman" w:eastAsia="Times New Roman" w:hAnsi="Times New Roman" w:cs="Times New Roman"/>
          <w:sz w:val="28"/>
          <w:szCs w:val="28"/>
          <w:lang w:val="en-US"/>
        </w:rPr>
        <w:t>x</w:t>
      </w:r>
      <w:r w:rsidRPr="004135FE">
        <w:rPr>
          <w:rFonts w:ascii="Times New Roman" w:eastAsia="Times New Roman" w:hAnsi="Times New Roman" w:cs="Times New Roman"/>
          <w:sz w:val="28"/>
          <w:szCs w:val="28"/>
        </w:rPr>
        <w:t xml:space="preserve"> + 1076,6 и </w:t>
      </w:r>
      <w:r w:rsidRPr="004135FE">
        <w:rPr>
          <w:rFonts w:ascii="Times New Roman" w:eastAsia="Times New Roman" w:hAnsi="Times New Roman" w:cs="Times New Roman"/>
          <w:sz w:val="28"/>
          <w:szCs w:val="28"/>
          <w:lang w:val="en-US"/>
        </w:rPr>
        <w:t>R</w:t>
      </w:r>
      <w:r w:rsidRPr="004135FE">
        <w:rPr>
          <w:rFonts w:ascii="Times New Roman" w:eastAsia="Times New Roman" w:hAnsi="Times New Roman" w:cs="Times New Roman"/>
          <w:sz w:val="28"/>
          <w:szCs w:val="28"/>
        </w:rPr>
        <w:t xml:space="preserve">² = 0,7819, в целом высокие. Значение параметра базы </w:t>
      </w:r>
      <w:r w:rsidRPr="004135FE">
        <w:rPr>
          <w:rFonts w:ascii="Times New Roman" w:eastAsia="Times New Roman" w:hAnsi="Times New Roman" w:cs="Times New Roman"/>
          <w:sz w:val="28"/>
          <w:szCs w:val="28"/>
          <w:lang w:val="en-US"/>
        </w:rPr>
        <w:t>Alpha</w:t>
      </w:r>
      <w:r w:rsidRPr="004135FE">
        <w:rPr>
          <w:rFonts w:ascii="Times New Roman" w:eastAsia="Times New Roman" w:hAnsi="Times New Roman" w:cs="Times New Roman"/>
          <w:sz w:val="28"/>
          <w:szCs w:val="28"/>
        </w:rPr>
        <w:t xml:space="preserve"> 0,75, средняя абсолютная масштабированная погрешность (мера точности прогноза) </w:t>
      </w:r>
      <w:r w:rsidRPr="004135FE">
        <w:rPr>
          <w:rFonts w:ascii="Times New Roman" w:eastAsia="Times New Roman" w:hAnsi="Times New Roman" w:cs="Times New Roman"/>
          <w:sz w:val="28"/>
          <w:szCs w:val="28"/>
          <w:lang w:val="en-US"/>
        </w:rPr>
        <w:t>MASE</w:t>
      </w:r>
      <w:r w:rsidRPr="004135FE">
        <w:rPr>
          <w:rFonts w:ascii="Times New Roman" w:eastAsia="Times New Roman" w:hAnsi="Times New Roman" w:cs="Times New Roman"/>
          <w:sz w:val="28"/>
          <w:szCs w:val="28"/>
        </w:rPr>
        <w:t xml:space="preserve"> 0,77, симметричная средняя абсолютная процентная погрешность (мера точности на основе процентных погрешностей) </w:t>
      </w:r>
      <w:r w:rsidRPr="004135FE">
        <w:rPr>
          <w:rFonts w:ascii="Times New Roman" w:eastAsia="Times New Roman" w:hAnsi="Times New Roman" w:cs="Times New Roman"/>
          <w:sz w:val="28"/>
          <w:szCs w:val="28"/>
          <w:lang w:val="en-US"/>
        </w:rPr>
        <w:t>SMAPE</w:t>
      </w:r>
      <w:r w:rsidRPr="004135FE">
        <w:rPr>
          <w:rFonts w:ascii="Times New Roman" w:eastAsia="Times New Roman" w:hAnsi="Times New Roman" w:cs="Times New Roman"/>
          <w:sz w:val="28"/>
          <w:szCs w:val="28"/>
        </w:rPr>
        <w:t xml:space="preserve"> 0,03, симметричная средняя абсолютная процентная погрешность (мера точности на основе процентных погрешностей) </w:t>
      </w:r>
      <w:r w:rsidRPr="004135FE">
        <w:rPr>
          <w:rFonts w:ascii="Times New Roman" w:eastAsia="Times New Roman" w:hAnsi="Times New Roman" w:cs="Times New Roman"/>
          <w:sz w:val="28"/>
          <w:szCs w:val="28"/>
          <w:lang w:val="en-US"/>
        </w:rPr>
        <w:t>MAE</w:t>
      </w:r>
      <w:r w:rsidRPr="004135FE">
        <w:rPr>
          <w:rFonts w:ascii="Times New Roman" w:eastAsia="Times New Roman" w:hAnsi="Times New Roman" w:cs="Times New Roman"/>
          <w:sz w:val="28"/>
          <w:szCs w:val="28"/>
        </w:rPr>
        <w:t xml:space="preserve"> 36,56, среднеквадратическая погрешность (мера расхождения между спрогнозированными и наблюдаемыми значениями) </w:t>
      </w:r>
      <w:r w:rsidRPr="004135FE">
        <w:rPr>
          <w:rFonts w:ascii="Times New Roman" w:eastAsia="Times New Roman" w:hAnsi="Times New Roman" w:cs="Times New Roman"/>
          <w:sz w:val="28"/>
          <w:szCs w:val="28"/>
          <w:lang w:val="en-US"/>
        </w:rPr>
        <w:t>RMSE</w:t>
      </w:r>
      <w:r w:rsidRPr="004135FE">
        <w:rPr>
          <w:rFonts w:ascii="Times New Roman" w:eastAsia="Times New Roman" w:hAnsi="Times New Roman" w:cs="Times New Roman"/>
          <w:sz w:val="28"/>
          <w:szCs w:val="28"/>
        </w:rPr>
        <w:t xml:space="preserve"> 45,15.</w:t>
      </w:r>
    </w:p>
    <w:p w14:paraId="7536A333" w14:textId="551EDAF7" w:rsidR="0066583A" w:rsidRPr="004135FE" w:rsidRDefault="0066583A"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noProof/>
          <w:sz w:val="28"/>
          <w:szCs w:val="28"/>
        </w:rPr>
        <w:t xml:space="preserve">Согласно проведенной прогностической оценке </w:t>
      </w:r>
      <w:r w:rsidRPr="004135FE">
        <w:rPr>
          <w:rFonts w:ascii="Times New Roman" w:eastAsiaTheme="minorHAnsi" w:hAnsi="Times New Roman" w:cs="Times New Roman"/>
          <w:sz w:val="28"/>
          <w:szCs w:val="28"/>
          <w:lang w:eastAsia="en-US"/>
        </w:rPr>
        <w:t xml:space="preserve">ожидается дальнейшее увеличение уровня распространенности СД2т среди женщин с </w:t>
      </w:r>
      <w:r w:rsidRPr="004135FE">
        <w:rPr>
          <w:rFonts w:ascii="Times New Roman" w:eastAsia="Times New Roman" w:hAnsi="Times New Roman" w:cs="Times New Roman"/>
          <w:sz w:val="28"/>
          <w:szCs w:val="28"/>
        </w:rPr>
        <w:t xml:space="preserve">1375,05 до 1431,81 с ДИ (1321,15; 1542,47) </w:t>
      </w:r>
      <w:r w:rsidRPr="004135FE">
        <w:rPr>
          <w:rFonts w:ascii="Times New Roman" w:hAnsi="Times New Roman" w:cs="Times New Roman"/>
          <w:sz w:val="28"/>
          <w:szCs w:val="28"/>
        </w:rPr>
        <w:t>на 100 тыс</w:t>
      </w:r>
      <w:r w:rsidR="00710B97">
        <w:rPr>
          <w:rFonts w:ascii="Times New Roman" w:hAnsi="Times New Roman" w:cs="Times New Roman"/>
          <w:sz w:val="28"/>
          <w:szCs w:val="28"/>
        </w:rPr>
        <w:t>.</w:t>
      </w:r>
      <w:r w:rsidRPr="004135FE">
        <w:rPr>
          <w:rFonts w:ascii="Times New Roman" w:hAnsi="Times New Roman" w:cs="Times New Roman"/>
          <w:sz w:val="28"/>
          <w:szCs w:val="28"/>
        </w:rPr>
        <w:t xml:space="preserve"> населения (р=0,001) статистически значимы.</w:t>
      </w:r>
    </w:p>
    <w:p w14:paraId="4C1FDBE1" w14:textId="77777777" w:rsidR="0066583A" w:rsidRPr="004135FE" w:rsidRDefault="0066583A" w:rsidP="004135FE">
      <w:pPr>
        <w:spacing w:after="0" w:line="240" w:lineRule="auto"/>
        <w:ind w:firstLine="708"/>
        <w:jc w:val="both"/>
        <w:rPr>
          <w:rFonts w:ascii="Times New Roman" w:eastAsiaTheme="minorHAnsi" w:hAnsi="Times New Roman" w:cs="Times New Roman"/>
          <w:sz w:val="28"/>
          <w:szCs w:val="28"/>
          <w:lang w:eastAsia="en-US"/>
        </w:rPr>
      </w:pPr>
    </w:p>
    <w:p w14:paraId="7D43266B" w14:textId="4019262D" w:rsidR="0066583A" w:rsidRDefault="0066583A"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lang w:val="kk-KZ"/>
        </w:rPr>
        <w:t>Таблица 1</w:t>
      </w:r>
      <w:r w:rsidR="00B728EF" w:rsidRPr="004135FE">
        <w:rPr>
          <w:rFonts w:ascii="Times New Roman" w:hAnsi="Times New Roman" w:cs="Times New Roman"/>
          <w:sz w:val="28"/>
          <w:szCs w:val="28"/>
          <w:lang w:val="kk-KZ"/>
        </w:rPr>
        <w:t>5</w:t>
      </w:r>
      <w:r w:rsidR="00D471F4">
        <w:rPr>
          <w:rFonts w:ascii="Times New Roman" w:hAnsi="Times New Roman" w:cs="Times New Roman"/>
          <w:sz w:val="28"/>
          <w:szCs w:val="28"/>
          <w:lang w:val="kk-KZ"/>
        </w:rPr>
        <w:t xml:space="preserve"> </w:t>
      </w:r>
      <w:r w:rsidRPr="004135FE">
        <w:rPr>
          <w:rFonts w:ascii="Times New Roman" w:hAnsi="Times New Roman" w:cs="Times New Roman"/>
          <w:sz w:val="28"/>
          <w:szCs w:val="28"/>
          <w:lang w:val="kk-KZ"/>
        </w:rPr>
        <w:t>-</w:t>
      </w:r>
      <w:r w:rsidR="00D471F4">
        <w:rPr>
          <w:rFonts w:ascii="Times New Roman" w:hAnsi="Times New Roman" w:cs="Times New Roman"/>
          <w:sz w:val="28"/>
          <w:szCs w:val="28"/>
          <w:lang w:val="kk-KZ"/>
        </w:rPr>
        <w:t xml:space="preserve"> </w:t>
      </w:r>
      <w:r w:rsidRPr="004135FE">
        <w:rPr>
          <w:rFonts w:ascii="Times New Roman" w:hAnsi="Times New Roman" w:cs="Times New Roman"/>
          <w:sz w:val="28"/>
          <w:szCs w:val="28"/>
        </w:rPr>
        <w:t>Математическое  прогнозирование уровня распространенности СД2т среди женщин</w:t>
      </w:r>
      <w:r w:rsidRPr="004135FE">
        <w:rPr>
          <w:rFonts w:ascii="Times New Roman" w:hAnsi="Times New Roman" w:cs="Times New Roman"/>
          <w:sz w:val="28"/>
          <w:szCs w:val="28"/>
          <w:lang w:val="kk-KZ"/>
        </w:rPr>
        <w:t xml:space="preserve"> по</w:t>
      </w:r>
      <w:r w:rsidRPr="004135FE">
        <w:rPr>
          <w:rFonts w:ascii="Times New Roman" w:hAnsi="Times New Roman" w:cs="Times New Roman"/>
          <w:sz w:val="28"/>
          <w:szCs w:val="28"/>
        </w:rPr>
        <w:t xml:space="preserve"> г.Алматы (на 100</w:t>
      </w:r>
      <w:r w:rsidR="00710B97">
        <w:rPr>
          <w:rFonts w:ascii="Times New Roman" w:hAnsi="Times New Roman" w:cs="Times New Roman"/>
          <w:sz w:val="28"/>
          <w:szCs w:val="28"/>
        </w:rPr>
        <w:t xml:space="preserve"> </w:t>
      </w:r>
      <w:r w:rsidRPr="004135FE">
        <w:rPr>
          <w:rFonts w:ascii="Times New Roman" w:hAnsi="Times New Roman" w:cs="Times New Roman"/>
          <w:sz w:val="28"/>
          <w:szCs w:val="28"/>
        </w:rPr>
        <w:t>тыс</w:t>
      </w:r>
      <w:r w:rsidR="00710B97">
        <w:rPr>
          <w:rFonts w:ascii="Times New Roman" w:hAnsi="Times New Roman" w:cs="Times New Roman"/>
          <w:sz w:val="28"/>
          <w:szCs w:val="28"/>
        </w:rPr>
        <w:t>.</w:t>
      </w:r>
      <w:r w:rsidRPr="004135FE">
        <w:rPr>
          <w:rFonts w:ascii="Times New Roman" w:hAnsi="Times New Roman" w:cs="Times New Roman"/>
          <w:sz w:val="28"/>
          <w:szCs w:val="28"/>
        </w:rPr>
        <w:t xml:space="preserve"> населения)</w:t>
      </w:r>
    </w:p>
    <w:p w14:paraId="6184DB67" w14:textId="77777777" w:rsidR="00710B97" w:rsidRPr="004135FE" w:rsidRDefault="00710B97" w:rsidP="004135FE">
      <w:pPr>
        <w:spacing w:after="0" w:line="240" w:lineRule="auto"/>
        <w:jc w:val="both"/>
        <w:rPr>
          <w:rFonts w:ascii="Times New Roman" w:hAnsi="Times New Roman" w:cs="Times New Roman"/>
          <w:sz w:val="28"/>
          <w:szCs w:val="28"/>
        </w:rPr>
      </w:pPr>
    </w:p>
    <w:tbl>
      <w:tblPr>
        <w:tblStyle w:val="af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558"/>
        <w:gridCol w:w="1214"/>
        <w:gridCol w:w="2765"/>
        <w:gridCol w:w="2678"/>
      </w:tblGrid>
      <w:tr w:rsidR="0066583A" w:rsidRPr="00D471F4" w14:paraId="4F1002BF" w14:textId="77777777" w:rsidTr="00710B97">
        <w:tc>
          <w:tcPr>
            <w:tcW w:w="1129" w:type="dxa"/>
          </w:tcPr>
          <w:p w14:paraId="1425D55A" w14:textId="77777777" w:rsidR="0066583A" w:rsidRPr="00D471F4" w:rsidRDefault="0066583A" w:rsidP="004135FE">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bCs/>
                <w:sz w:val="24"/>
                <w:szCs w:val="24"/>
              </w:rPr>
              <w:t>Период</w:t>
            </w:r>
          </w:p>
        </w:tc>
        <w:tc>
          <w:tcPr>
            <w:tcW w:w="1558" w:type="dxa"/>
          </w:tcPr>
          <w:p w14:paraId="0A76A88D" w14:textId="77777777" w:rsidR="0066583A" w:rsidRPr="00D471F4" w:rsidRDefault="0066583A" w:rsidP="004135FE">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bCs/>
                <w:sz w:val="24"/>
                <w:szCs w:val="24"/>
              </w:rPr>
              <w:t>Женщины г.Алматы</w:t>
            </w:r>
          </w:p>
        </w:tc>
        <w:tc>
          <w:tcPr>
            <w:tcW w:w="1214" w:type="dxa"/>
          </w:tcPr>
          <w:p w14:paraId="052CEE4F" w14:textId="77777777" w:rsidR="0066583A" w:rsidRPr="00D471F4" w:rsidRDefault="0066583A" w:rsidP="004135FE">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bCs/>
                <w:sz w:val="24"/>
                <w:szCs w:val="24"/>
              </w:rPr>
              <w:t>Прогноз</w:t>
            </w:r>
          </w:p>
        </w:tc>
        <w:tc>
          <w:tcPr>
            <w:tcW w:w="2765" w:type="dxa"/>
          </w:tcPr>
          <w:p w14:paraId="27BF124F" w14:textId="77777777" w:rsidR="0066583A" w:rsidRPr="00D471F4" w:rsidRDefault="0066583A" w:rsidP="004135FE">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95% ДИ для прогноза</w:t>
            </w:r>
            <w:r w:rsidRPr="00D471F4">
              <w:rPr>
                <w:rFonts w:ascii="Times New Roman" w:eastAsia="Times New Roman" w:hAnsi="Times New Roman" w:cs="Times New Roman"/>
                <w:bCs/>
                <w:sz w:val="24"/>
                <w:szCs w:val="24"/>
              </w:rPr>
              <w:t xml:space="preserve"> (низкой вероятности)</w:t>
            </w:r>
          </w:p>
        </w:tc>
        <w:tc>
          <w:tcPr>
            <w:tcW w:w="2678" w:type="dxa"/>
          </w:tcPr>
          <w:p w14:paraId="682E30B8" w14:textId="77777777" w:rsidR="0066583A" w:rsidRPr="00D471F4" w:rsidRDefault="0066583A" w:rsidP="004135FE">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95% ДИ для прогноза</w:t>
            </w:r>
            <w:r w:rsidRPr="00D471F4">
              <w:rPr>
                <w:rFonts w:ascii="Times New Roman" w:eastAsia="Times New Roman" w:hAnsi="Times New Roman" w:cs="Times New Roman"/>
                <w:bCs/>
                <w:sz w:val="24"/>
                <w:szCs w:val="24"/>
              </w:rPr>
              <w:t xml:space="preserve"> (высокой вероятности)</w:t>
            </w:r>
          </w:p>
        </w:tc>
      </w:tr>
      <w:tr w:rsidR="00710B97" w:rsidRPr="00D471F4" w14:paraId="1FC613CD" w14:textId="77777777" w:rsidTr="00710B97">
        <w:tc>
          <w:tcPr>
            <w:tcW w:w="1129" w:type="dxa"/>
          </w:tcPr>
          <w:p w14:paraId="3446358D" w14:textId="7777777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2012</w:t>
            </w:r>
          </w:p>
        </w:tc>
        <w:tc>
          <w:tcPr>
            <w:tcW w:w="1558" w:type="dxa"/>
          </w:tcPr>
          <w:p w14:paraId="048125BD" w14:textId="7777777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1144,7</w:t>
            </w:r>
          </w:p>
        </w:tc>
        <w:tc>
          <w:tcPr>
            <w:tcW w:w="1214" w:type="dxa"/>
          </w:tcPr>
          <w:p w14:paraId="69916A05" w14:textId="3411E6F6"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c>
          <w:tcPr>
            <w:tcW w:w="2765" w:type="dxa"/>
          </w:tcPr>
          <w:p w14:paraId="0A9D4206" w14:textId="6B5D5EDC"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c>
          <w:tcPr>
            <w:tcW w:w="2678" w:type="dxa"/>
          </w:tcPr>
          <w:p w14:paraId="4DFA8B7D" w14:textId="6F9E0C6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r>
      <w:tr w:rsidR="00710B97" w:rsidRPr="00D471F4" w14:paraId="59628191" w14:textId="77777777" w:rsidTr="00710B97">
        <w:tc>
          <w:tcPr>
            <w:tcW w:w="1129" w:type="dxa"/>
          </w:tcPr>
          <w:p w14:paraId="0CF26DB4" w14:textId="7777777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2013</w:t>
            </w:r>
          </w:p>
        </w:tc>
        <w:tc>
          <w:tcPr>
            <w:tcW w:w="1558" w:type="dxa"/>
          </w:tcPr>
          <w:p w14:paraId="4B6737C8" w14:textId="7777777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1193,98</w:t>
            </w:r>
          </w:p>
        </w:tc>
        <w:tc>
          <w:tcPr>
            <w:tcW w:w="1214" w:type="dxa"/>
          </w:tcPr>
          <w:p w14:paraId="51D3BFA2" w14:textId="2DD6419C"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c>
          <w:tcPr>
            <w:tcW w:w="2765" w:type="dxa"/>
          </w:tcPr>
          <w:p w14:paraId="436B8ABC" w14:textId="780CFEF3"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c>
          <w:tcPr>
            <w:tcW w:w="2678" w:type="dxa"/>
          </w:tcPr>
          <w:p w14:paraId="0FB622D2" w14:textId="1D4EB83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r>
      <w:tr w:rsidR="00710B97" w:rsidRPr="00D471F4" w14:paraId="356B4FBD" w14:textId="77777777" w:rsidTr="00710B97">
        <w:tc>
          <w:tcPr>
            <w:tcW w:w="1129" w:type="dxa"/>
          </w:tcPr>
          <w:p w14:paraId="3311891E" w14:textId="7777777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2014</w:t>
            </w:r>
          </w:p>
        </w:tc>
        <w:tc>
          <w:tcPr>
            <w:tcW w:w="1558" w:type="dxa"/>
          </w:tcPr>
          <w:p w14:paraId="42C61DE3" w14:textId="7777777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1126,2</w:t>
            </w:r>
          </w:p>
        </w:tc>
        <w:tc>
          <w:tcPr>
            <w:tcW w:w="1214" w:type="dxa"/>
          </w:tcPr>
          <w:p w14:paraId="45756D13" w14:textId="0F9FDA23"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c>
          <w:tcPr>
            <w:tcW w:w="2765" w:type="dxa"/>
          </w:tcPr>
          <w:p w14:paraId="44E6430D" w14:textId="259DB92C"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c>
          <w:tcPr>
            <w:tcW w:w="2678" w:type="dxa"/>
          </w:tcPr>
          <w:p w14:paraId="50A718B2" w14:textId="6FFDE5ED"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r>
      <w:tr w:rsidR="00710B97" w:rsidRPr="00D471F4" w14:paraId="630AE692" w14:textId="77777777" w:rsidTr="00710B97">
        <w:tc>
          <w:tcPr>
            <w:tcW w:w="1129" w:type="dxa"/>
          </w:tcPr>
          <w:p w14:paraId="70DECECA" w14:textId="7777777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2015</w:t>
            </w:r>
          </w:p>
        </w:tc>
        <w:tc>
          <w:tcPr>
            <w:tcW w:w="1558" w:type="dxa"/>
          </w:tcPr>
          <w:p w14:paraId="2EB00003" w14:textId="7777777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1125,81</w:t>
            </w:r>
          </w:p>
        </w:tc>
        <w:tc>
          <w:tcPr>
            <w:tcW w:w="1214" w:type="dxa"/>
          </w:tcPr>
          <w:p w14:paraId="30FD4AD5" w14:textId="028029BD"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c>
          <w:tcPr>
            <w:tcW w:w="2765" w:type="dxa"/>
          </w:tcPr>
          <w:p w14:paraId="002C9BC2" w14:textId="2ED5A16E"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c>
          <w:tcPr>
            <w:tcW w:w="2678" w:type="dxa"/>
          </w:tcPr>
          <w:p w14:paraId="4A6014CD" w14:textId="7A6AAE0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r>
      <w:tr w:rsidR="00710B97" w:rsidRPr="00D471F4" w14:paraId="5EDC059C" w14:textId="77777777" w:rsidTr="00710B97">
        <w:tc>
          <w:tcPr>
            <w:tcW w:w="1129" w:type="dxa"/>
          </w:tcPr>
          <w:p w14:paraId="343C5F0F" w14:textId="7777777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2016</w:t>
            </w:r>
          </w:p>
        </w:tc>
        <w:tc>
          <w:tcPr>
            <w:tcW w:w="1558" w:type="dxa"/>
          </w:tcPr>
          <w:p w14:paraId="0B178B22" w14:textId="7777777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1209,95</w:t>
            </w:r>
          </w:p>
        </w:tc>
        <w:tc>
          <w:tcPr>
            <w:tcW w:w="1214" w:type="dxa"/>
          </w:tcPr>
          <w:p w14:paraId="2141522C" w14:textId="09CDF3E8"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c>
          <w:tcPr>
            <w:tcW w:w="2765" w:type="dxa"/>
          </w:tcPr>
          <w:p w14:paraId="61FA2C03" w14:textId="549EC7A2"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c>
          <w:tcPr>
            <w:tcW w:w="2678" w:type="dxa"/>
          </w:tcPr>
          <w:p w14:paraId="55775A9C" w14:textId="69A34956"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r>
      <w:tr w:rsidR="00710B97" w:rsidRPr="00D471F4" w14:paraId="7565D0FE" w14:textId="77777777" w:rsidTr="00710B97">
        <w:tc>
          <w:tcPr>
            <w:tcW w:w="1129" w:type="dxa"/>
          </w:tcPr>
          <w:p w14:paraId="39D023F0" w14:textId="7777777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2017</w:t>
            </w:r>
          </w:p>
        </w:tc>
        <w:tc>
          <w:tcPr>
            <w:tcW w:w="1558" w:type="dxa"/>
          </w:tcPr>
          <w:p w14:paraId="00FF881B" w14:textId="7777777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1179,39</w:t>
            </w:r>
          </w:p>
        </w:tc>
        <w:tc>
          <w:tcPr>
            <w:tcW w:w="1214" w:type="dxa"/>
          </w:tcPr>
          <w:p w14:paraId="66152615" w14:textId="3D12C042"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c>
          <w:tcPr>
            <w:tcW w:w="2765" w:type="dxa"/>
          </w:tcPr>
          <w:p w14:paraId="5462EF43" w14:textId="6A5D8769"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c>
          <w:tcPr>
            <w:tcW w:w="2678" w:type="dxa"/>
          </w:tcPr>
          <w:p w14:paraId="7281B767" w14:textId="38415FC1"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r>
      <w:tr w:rsidR="00710B97" w:rsidRPr="00D471F4" w14:paraId="6B518739" w14:textId="77777777" w:rsidTr="00710B97">
        <w:tc>
          <w:tcPr>
            <w:tcW w:w="1129" w:type="dxa"/>
          </w:tcPr>
          <w:p w14:paraId="5E0F93BD" w14:textId="7777777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2018</w:t>
            </w:r>
          </w:p>
        </w:tc>
        <w:tc>
          <w:tcPr>
            <w:tcW w:w="1558" w:type="dxa"/>
          </w:tcPr>
          <w:p w14:paraId="16A3900E" w14:textId="7777777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1244,23</w:t>
            </w:r>
          </w:p>
        </w:tc>
        <w:tc>
          <w:tcPr>
            <w:tcW w:w="1214" w:type="dxa"/>
          </w:tcPr>
          <w:p w14:paraId="1BDA2D20" w14:textId="13667E8F"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c>
          <w:tcPr>
            <w:tcW w:w="2765" w:type="dxa"/>
          </w:tcPr>
          <w:p w14:paraId="1C01D568" w14:textId="2120C720"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c>
          <w:tcPr>
            <w:tcW w:w="2678" w:type="dxa"/>
          </w:tcPr>
          <w:p w14:paraId="0D64B3C7" w14:textId="3F033E1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r>
      <w:tr w:rsidR="00710B97" w:rsidRPr="00D471F4" w14:paraId="73862BEC" w14:textId="77777777" w:rsidTr="00710B97">
        <w:tc>
          <w:tcPr>
            <w:tcW w:w="1129" w:type="dxa"/>
          </w:tcPr>
          <w:p w14:paraId="31BD7CCF" w14:textId="7777777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2019</w:t>
            </w:r>
          </w:p>
        </w:tc>
        <w:tc>
          <w:tcPr>
            <w:tcW w:w="1558" w:type="dxa"/>
          </w:tcPr>
          <w:p w14:paraId="4D69E8A4" w14:textId="7777777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1329,8</w:t>
            </w:r>
          </w:p>
        </w:tc>
        <w:tc>
          <w:tcPr>
            <w:tcW w:w="1214" w:type="dxa"/>
          </w:tcPr>
          <w:p w14:paraId="730EB471" w14:textId="5E11EF4A"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c>
          <w:tcPr>
            <w:tcW w:w="2765" w:type="dxa"/>
          </w:tcPr>
          <w:p w14:paraId="162D3D3A" w14:textId="0183D365"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c>
          <w:tcPr>
            <w:tcW w:w="2678" w:type="dxa"/>
          </w:tcPr>
          <w:p w14:paraId="60929C61" w14:textId="7A71BD10"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r>
      <w:tr w:rsidR="00710B97" w:rsidRPr="00D471F4" w14:paraId="37F74E21" w14:textId="77777777" w:rsidTr="00710B97">
        <w:tc>
          <w:tcPr>
            <w:tcW w:w="1129" w:type="dxa"/>
          </w:tcPr>
          <w:p w14:paraId="7D4FF225" w14:textId="7777777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2020</w:t>
            </w:r>
          </w:p>
        </w:tc>
        <w:tc>
          <w:tcPr>
            <w:tcW w:w="1558" w:type="dxa"/>
          </w:tcPr>
          <w:p w14:paraId="7F09678E" w14:textId="77777777"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1357,57</w:t>
            </w:r>
          </w:p>
        </w:tc>
        <w:tc>
          <w:tcPr>
            <w:tcW w:w="1214" w:type="dxa"/>
          </w:tcPr>
          <w:p w14:paraId="26D6A501" w14:textId="7115E4B0"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c>
          <w:tcPr>
            <w:tcW w:w="2765" w:type="dxa"/>
          </w:tcPr>
          <w:p w14:paraId="1384D8EE" w14:textId="39518915"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c>
          <w:tcPr>
            <w:tcW w:w="2678" w:type="dxa"/>
          </w:tcPr>
          <w:p w14:paraId="6A82D376" w14:textId="786EFE4D" w:rsidR="00710B97" w:rsidRPr="00D471F4" w:rsidRDefault="00710B97" w:rsidP="00710B97">
            <w:pPr>
              <w:spacing w:after="0" w:line="240" w:lineRule="auto"/>
              <w:jc w:val="center"/>
              <w:rPr>
                <w:rFonts w:ascii="Times New Roman" w:hAnsi="Times New Roman" w:cs="Times New Roman"/>
                <w:sz w:val="24"/>
                <w:szCs w:val="24"/>
              </w:rPr>
            </w:pPr>
            <w:r w:rsidRPr="00D471F4">
              <w:rPr>
                <w:rFonts w:ascii="Times New Roman" w:hAnsi="Times New Roman" w:cs="Times New Roman"/>
                <w:sz w:val="24"/>
                <w:szCs w:val="24"/>
              </w:rPr>
              <w:t>-</w:t>
            </w:r>
          </w:p>
        </w:tc>
      </w:tr>
      <w:tr w:rsidR="0066583A" w:rsidRPr="00D471F4" w14:paraId="31AB7FA2" w14:textId="77777777" w:rsidTr="00710B97">
        <w:tc>
          <w:tcPr>
            <w:tcW w:w="1129" w:type="dxa"/>
          </w:tcPr>
          <w:p w14:paraId="257D0FEC" w14:textId="77777777" w:rsidR="0066583A" w:rsidRPr="00D471F4" w:rsidRDefault="0066583A" w:rsidP="004135FE">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2021</w:t>
            </w:r>
          </w:p>
        </w:tc>
        <w:tc>
          <w:tcPr>
            <w:tcW w:w="1558" w:type="dxa"/>
          </w:tcPr>
          <w:p w14:paraId="49D89299" w14:textId="77777777" w:rsidR="0066583A" w:rsidRPr="00D471F4" w:rsidRDefault="0066583A" w:rsidP="004135FE">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1375,05</w:t>
            </w:r>
          </w:p>
        </w:tc>
        <w:tc>
          <w:tcPr>
            <w:tcW w:w="1214" w:type="dxa"/>
          </w:tcPr>
          <w:p w14:paraId="147CC476" w14:textId="77777777" w:rsidR="0066583A" w:rsidRPr="00D471F4" w:rsidRDefault="0066583A" w:rsidP="004135FE">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1375,05</w:t>
            </w:r>
          </w:p>
        </w:tc>
        <w:tc>
          <w:tcPr>
            <w:tcW w:w="2765" w:type="dxa"/>
          </w:tcPr>
          <w:p w14:paraId="1189A448" w14:textId="77777777" w:rsidR="0066583A" w:rsidRPr="00D471F4" w:rsidRDefault="0066583A" w:rsidP="004135FE">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1375,05</w:t>
            </w:r>
          </w:p>
        </w:tc>
        <w:tc>
          <w:tcPr>
            <w:tcW w:w="2678" w:type="dxa"/>
          </w:tcPr>
          <w:p w14:paraId="68702795" w14:textId="77777777" w:rsidR="0066583A" w:rsidRPr="00D471F4" w:rsidRDefault="0066583A" w:rsidP="004135FE">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1375,05</w:t>
            </w:r>
          </w:p>
        </w:tc>
      </w:tr>
      <w:tr w:rsidR="0066583A" w:rsidRPr="00D471F4" w14:paraId="2C83882A" w14:textId="77777777" w:rsidTr="00710B97">
        <w:tc>
          <w:tcPr>
            <w:tcW w:w="1129" w:type="dxa"/>
          </w:tcPr>
          <w:p w14:paraId="1B4C3109" w14:textId="77777777" w:rsidR="0066583A" w:rsidRPr="00D471F4" w:rsidRDefault="0066583A" w:rsidP="004135FE">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2022</w:t>
            </w:r>
          </w:p>
        </w:tc>
        <w:tc>
          <w:tcPr>
            <w:tcW w:w="1558" w:type="dxa"/>
          </w:tcPr>
          <w:p w14:paraId="5501EF2C" w14:textId="0968DD4C" w:rsidR="0066583A" w:rsidRPr="00D471F4" w:rsidRDefault="00490AF6" w:rsidP="004135F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14" w:type="dxa"/>
          </w:tcPr>
          <w:p w14:paraId="46416112" w14:textId="77777777" w:rsidR="0066583A" w:rsidRPr="00D471F4" w:rsidRDefault="0066583A" w:rsidP="004135FE">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1404,19</w:t>
            </w:r>
          </w:p>
        </w:tc>
        <w:tc>
          <w:tcPr>
            <w:tcW w:w="2765" w:type="dxa"/>
          </w:tcPr>
          <w:p w14:paraId="5535D391" w14:textId="77777777" w:rsidR="0066583A" w:rsidRPr="00D471F4" w:rsidRDefault="0066583A" w:rsidP="004135FE">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1315,71</w:t>
            </w:r>
          </w:p>
        </w:tc>
        <w:tc>
          <w:tcPr>
            <w:tcW w:w="2678" w:type="dxa"/>
          </w:tcPr>
          <w:p w14:paraId="0D024E53" w14:textId="77777777" w:rsidR="0066583A" w:rsidRPr="00D471F4" w:rsidRDefault="0066583A" w:rsidP="004135FE">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1492,67</w:t>
            </w:r>
          </w:p>
        </w:tc>
      </w:tr>
      <w:tr w:rsidR="0066583A" w:rsidRPr="00D471F4" w14:paraId="19DB56F0" w14:textId="77777777" w:rsidTr="00710B97">
        <w:tc>
          <w:tcPr>
            <w:tcW w:w="1129" w:type="dxa"/>
          </w:tcPr>
          <w:p w14:paraId="4D0B8E12" w14:textId="77777777" w:rsidR="0066583A" w:rsidRPr="00D471F4" w:rsidRDefault="0066583A" w:rsidP="004135FE">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2023</w:t>
            </w:r>
          </w:p>
        </w:tc>
        <w:tc>
          <w:tcPr>
            <w:tcW w:w="1558" w:type="dxa"/>
          </w:tcPr>
          <w:p w14:paraId="4F562812" w14:textId="16FE65A2" w:rsidR="0066583A" w:rsidRPr="00D471F4" w:rsidRDefault="00490AF6" w:rsidP="004135F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14" w:type="dxa"/>
          </w:tcPr>
          <w:p w14:paraId="374C2B15" w14:textId="77777777" w:rsidR="0066583A" w:rsidRPr="00D471F4" w:rsidRDefault="0066583A" w:rsidP="004135FE">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1431,81</w:t>
            </w:r>
          </w:p>
        </w:tc>
        <w:tc>
          <w:tcPr>
            <w:tcW w:w="2765" w:type="dxa"/>
          </w:tcPr>
          <w:p w14:paraId="001D97BB" w14:textId="77777777" w:rsidR="0066583A" w:rsidRPr="00D471F4" w:rsidRDefault="0066583A" w:rsidP="004135FE">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1321,15</w:t>
            </w:r>
          </w:p>
        </w:tc>
        <w:tc>
          <w:tcPr>
            <w:tcW w:w="2678" w:type="dxa"/>
          </w:tcPr>
          <w:p w14:paraId="0A527EE9" w14:textId="77777777" w:rsidR="0066583A" w:rsidRPr="00D471F4" w:rsidRDefault="0066583A" w:rsidP="004135FE">
            <w:pPr>
              <w:spacing w:after="0" w:line="240" w:lineRule="auto"/>
              <w:jc w:val="center"/>
              <w:rPr>
                <w:rFonts w:ascii="Times New Roman" w:hAnsi="Times New Roman" w:cs="Times New Roman"/>
                <w:sz w:val="24"/>
                <w:szCs w:val="24"/>
              </w:rPr>
            </w:pPr>
            <w:r w:rsidRPr="00D471F4">
              <w:rPr>
                <w:rFonts w:ascii="Times New Roman" w:eastAsia="Times New Roman" w:hAnsi="Times New Roman" w:cs="Times New Roman"/>
                <w:sz w:val="24"/>
                <w:szCs w:val="24"/>
              </w:rPr>
              <w:t>1542,47</w:t>
            </w:r>
          </w:p>
        </w:tc>
      </w:tr>
    </w:tbl>
    <w:p w14:paraId="0EA2F013" w14:textId="1FDA5987" w:rsidR="0066583A" w:rsidRDefault="0066583A" w:rsidP="004135FE">
      <w:pPr>
        <w:spacing w:after="0" w:line="240" w:lineRule="auto"/>
        <w:jc w:val="both"/>
        <w:rPr>
          <w:rFonts w:ascii="Times New Roman" w:hAnsi="Times New Roman" w:cs="Times New Roman"/>
          <w:sz w:val="28"/>
          <w:szCs w:val="28"/>
        </w:rPr>
      </w:pPr>
    </w:p>
    <w:p w14:paraId="1BE0CAA8" w14:textId="77777777" w:rsidR="0066583A" w:rsidRPr="004135FE" w:rsidRDefault="0066583A" w:rsidP="00710B97">
      <w:pPr>
        <w:spacing w:after="0" w:line="240" w:lineRule="auto"/>
        <w:jc w:val="center"/>
        <w:rPr>
          <w:rFonts w:ascii="Times New Roman" w:hAnsi="Times New Roman" w:cs="Times New Roman"/>
          <w:sz w:val="28"/>
          <w:szCs w:val="28"/>
        </w:rPr>
      </w:pPr>
      <w:r w:rsidRPr="004135FE">
        <w:rPr>
          <w:noProof/>
          <w:sz w:val="28"/>
          <w:szCs w:val="28"/>
        </w:rPr>
        <w:drawing>
          <wp:inline distT="0" distB="0" distL="0" distR="0" wp14:anchorId="6340D00E" wp14:editId="75467F7F">
            <wp:extent cx="5210175" cy="2133600"/>
            <wp:effectExtent l="0" t="0" r="9525"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3C383C8" w14:textId="77777777" w:rsidR="00D471F4" w:rsidRDefault="00D471F4" w:rsidP="00D471F4">
      <w:pPr>
        <w:spacing w:after="0" w:line="240" w:lineRule="auto"/>
        <w:jc w:val="center"/>
        <w:rPr>
          <w:rFonts w:ascii="Times New Roman" w:hAnsi="Times New Roman" w:cs="Times New Roman"/>
          <w:sz w:val="28"/>
          <w:szCs w:val="28"/>
        </w:rPr>
      </w:pPr>
    </w:p>
    <w:p w14:paraId="19CB3E47" w14:textId="6F6228C8" w:rsidR="0066583A" w:rsidRPr="004135FE" w:rsidRDefault="0066583A" w:rsidP="00D471F4">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14 – Прогноз уровня распространенности СД2т среди женщин по г Алматы с 95% ДИ на среднесрочный период до 2023 г (на 100</w:t>
      </w:r>
      <w:r w:rsidR="00D471F4">
        <w:rPr>
          <w:rFonts w:ascii="Times New Roman" w:hAnsi="Times New Roman" w:cs="Times New Roman"/>
          <w:sz w:val="28"/>
          <w:szCs w:val="28"/>
        </w:rPr>
        <w:t xml:space="preserve"> </w:t>
      </w:r>
      <w:r w:rsidRPr="004135FE">
        <w:rPr>
          <w:rFonts w:ascii="Times New Roman" w:hAnsi="Times New Roman" w:cs="Times New Roman"/>
          <w:sz w:val="28"/>
          <w:szCs w:val="28"/>
        </w:rPr>
        <w:t>тыс</w:t>
      </w:r>
      <w:r w:rsidR="00D471F4">
        <w:rPr>
          <w:rFonts w:ascii="Times New Roman" w:hAnsi="Times New Roman" w:cs="Times New Roman"/>
          <w:sz w:val="28"/>
          <w:szCs w:val="28"/>
        </w:rPr>
        <w:t>.</w:t>
      </w:r>
      <w:r w:rsidRPr="004135FE">
        <w:rPr>
          <w:rFonts w:ascii="Times New Roman" w:hAnsi="Times New Roman" w:cs="Times New Roman"/>
          <w:sz w:val="28"/>
          <w:szCs w:val="28"/>
        </w:rPr>
        <w:t xml:space="preserve"> населения)</w:t>
      </w:r>
    </w:p>
    <w:p w14:paraId="78F9601E" w14:textId="77777777" w:rsidR="0066583A" w:rsidRPr="004135FE" w:rsidRDefault="0066583A" w:rsidP="00D471F4">
      <w:pPr>
        <w:pStyle w:val="af8"/>
        <w:ind w:firstLine="709"/>
        <w:jc w:val="both"/>
        <w:rPr>
          <w:rFonts w:ascii="Times New Roman" w:hAnsi="Times New Roman"/>
          <w:sz w:val="28"/>
          <w:szCs w:val="28"/>
        </w:rPr>
      </w:pPr>
      <w:r w:rsidRPr="004135FE">
        <w:rPr>
          <w:rFonts w:ascii="Times New Roman" w:hAnsi="Times New Roman"/>
          <w:sz w:val="28"/>
          <w:szCs w:val="28"/>
        </w:rPr>
        <w:lastRenderedPageBreak/>
        <w:t xml:space="preserve">Анализ официальных данных по г Алматы за последние десять лет свидетельствует о значительном преобладании распространенности СД2т среди женского пола. </w:t>
      </w:r>
      <w:r w:rsidRPr="004135FE">
        <w:rPr>
          <w:rFonts w:ascii="Times New Roman" w:hAnsi="Times New Roman"/>
          <w:sz w:val="28"/>
          <w:szCs w:val="28"/>
          <w:shd w:val="clear" w:color="auto" w:fill="FFFFFF"/>
        </w:rPr>
        <w:t>Т</w:t>
      </w:r>
      <w:r w:rsidRPr="004135FE">
        <w:rPr>
          <w:rFonts w:ascii="Times New Roman" w:hAnsi="Times New Roman"/>
          <w:sz w:val="28"/>
          <w:szCs w:val="28"/>
        </w:rPr>
        <w:t>акже сохраняется тенденция роста случаев распространенности СД2т среди мужчин в сравнении с началом и концом исследуемого периода.</w:t>
      </w:r>
    </w:p>
    <w:p w14:paraId="11E964B0" w14:textId="6517EDE9" w:rsidR="0066583A" w:rsidRPr="004135FE" w:rsidRDefault="0066583A" w:rsidP="00D471F4">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Следует отметить, что рост численности населения города </w:t>
      </w:r>
      <w:r w:rsidR="00E85973" w:rsidRPr="004135FE">
        <w:rPr>
          <w:rFonts w:ascii="Times New Roman" w:hAnsi="Times New Roman" w:cs="Times New Roman"/>
          <w:sz w:val="28"/>
          <w:szCs w:val="28"/>
        </w:rPr>
        <w:t>возрос</w:t>
      </w:r>
      <w:r w:rsidRPr="004135FE">
        <w:rPr>
          <w:rFonts w:ascii="Times New Roman" w:hAnsi="Times New Roman" w:cs="Times New Roman"/>
          <w:sz w:val="28"/>
          <w:szCs w:val="28"/>
        </w:rPr>
        <w:t xml:space="preserve"> с </w:t>
      </w:r>
      <w:r w:rsidRPr="004135FE">
        <w:rPr>
          <w:rFonts w:ascii="Times New Roman" w:eastAsia="Times New Roman" w:hAnsi="Times New Roman" w:cs="Times New Roman"/>
          <w:sz w:val="28"/>
          <w:szCs w:val="28"/>
        </w:rPr>
        <w:t>1391284 (из них муж-601512 и жен- 789772) в 2012 году до 2131130 (из них муж-967118 и жен- 1164012) в 2021году</w:t>
      </w:r>
      <w:r w:rsidRPr="004135FE">
        <w:rPr>
          <w:rFonts w:ascii="Times New Roman" w:hAnsi="Times New Roman" w:cs="Times New Roman"/>
          <w:sz w:val="28"/>
          <w:szCs w:val="28"/>
        </w:rPr>
        <w:t>. Таким образом, проблема роста СД2т среди населения, особенно трудоспособного возраста, несмотря на многочисленных документации и совещании, как на местном, так и на мировом уровнях остается актуальной. В связи с чем, актуальность поиска организационных решений совершенствования оказания медицинской помощи на уровне ПМСП для больных с СД2т, сохраняется, принимая во внимание отсутствие исследований в РК по межсекторальному сотрудничеству при СД2т.</w:t>
      </w:r>
    </w:p>
    <w:p w14:paraId="41C86085" w14:textId="756E8974" w:rsidR="0066583A" w:rsidRPr="004135FE" w:rsidRDefault="0066583A" w:rsidP="00D471F4">
      <w:pPr>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hAnsi="Times New Roman" w:cs="Times New Roman"/>
          <w:noProof/>
          <w:sz w:val="28"/>
          <w:szCs w:val="28"/>
        </w:rPr>
        <w:t xml:space="preserve">Согласно проведенной прогностической оценке </w:t>
      </w:r>
      <w:r w:rsidRPr="004135FE">
        <w:rPr>
          <w:rFonts w:ascii="Times New Roman" w:eastAsiaTheme="minorHAnsi" w:hAnsi="Times New Roman" w:cs="Times New Roman"/>
          <w:sz w:val="28"/>
          <w:szCs w:val="28"/>
          <w:lang w:eastAsia="en-US"/>
        </w:rPr>
        <w:t>ожидается дальнейшее увеличение уровня распространенности СД2т</w:t>
      </w:r>
      <w:r w:rsidR="00D471F4">
        <w:rPr>
          <w:rFonts w:ascii="Times New Roman" w:eastAsiaTheme="minorHAnsi" w:hAnsi="Times New Roman" w:cs="Times New Roman"/>
          <w:sz w:val="28"/>
          <w:szCs w:val="28"/>
          <w:lang w:eastAsia="en-US"/>
        </w:rPr>
        <w:t>.</w:t>
      </w:r>
    </w:p>
    <w:p w14:paraId="3F2BAB14" w14:textId="19BBBFFC" w:rsidR="0066583A" w:rsidRPr="004135FE" w:rsidRDefault="0066583A" w:rsidP="00D471F4">
      <w:pPr>
        <w:spacing w:after="0" w:line="240" w:lineRule="auto"/>
        <w:ind w:firstLine="709"/>
        <w:jc w:val="both"/>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 xml:space="preserve">Согласно прогнозу, составленный на следующие 2 периода, ожидается дальнейшее увеличение уровня распространенности СД2т </w:t>
      </w:r>
      <w:r w:rsidRPr="004135FE">
        <w:rPr>
          <w:rFonts w:ascii="Times New Roman" w:eastAsia="Times New Roman" w:hAnsi="Times New Roman" w:cs="Times New Roman"/>
          <w:sz w:val="28"/>
          <w:szCs w:val="28"/>
        </w:rPr>
        <w:t>среди всего населения г Алматы с 2098,79 до 2206,17</w:t>
      </w:r>
      <w:r w:rsidR="00CA7948" w:rsidRPr="004135FE">
        <w:rPr>
          <w:rFonts w:ascii="Times New Roman" w:eastAsia="Times New Roman" w:hAnsi="Times New Roman" w:cs="Times New Roman"/>
          <w:sz w:val="28"/>
          <w:szCs w:val="28"/>
        </w:rPr>
        <w:t xml:space="preserve"> </w:t>
      </w:r>
      <w:r w:rsidRPr="004135FE">
        <w:rPr>
          <w:rFonts w:ascii="Times New Roman" w:eastAsia="Times New Roman" w:hAnsi="Times New Roman" w:cs="Times New Roman"/>
          <w:sz w:val="28"/>
          <w:szCs w:val="28"/>
        </w:rPr>
        <w:t xml:space="preserve">с ДИ (2036,32; 2376,01) </w:t>
      </w:r>
      <w:r w:rsidRPr="004135FE">
        <w:rPr>
          <w:rFonts w:ascii="Times New Roman" w:hAnsi="Times New Roman" w:cs="Times New Roman"/>
          <w:sz w:val="28"/>
          <w:szCs w:val="28"/>
        </w:rPr>
        <w:t xml:space="preserve">на 100тыс населения, </w:t>
      </w:r>
      <w:r w:rsidRPr="004135FE">
        <w:rPr>
          <w:rFonts w:ascii="Times New Roman" w:eastAsiaTheme="minorHAnsi" w:hAnsi="Times New Roman" w:cs="Times New Roman"/>
          <w:sz w:val="28"/>
          <w:szCs w:val="28"/>
          <w:lang w:eastAsia="en-US"/>
        </w:rPr>
        <w:t xml:space="preserve">среди мужчин </w:t>
      </w:r>
      <w:r w:rsidRPr="004135FE">
        <w:rPr>
          <w:rFonts w:ascii="Times New Roman" w:eastAsia="Times New Roman" w:hAnsi="Times New Roman" w:cs="Times New Roman"/>
          <w:sz w:val="28"/>
          <w:szCs w:val="28"/>
        </w:rPr>
        <w:t xml:space="preserve">с 723,75 до 774,40 с ДИ (710,83; 837,97) </w:t>
      </w:r>
      <w:r w:rsidRPr="004135FE">
        <w:rPr>
          <w:rFonts w:ascii="Times New Roman" w:hAnsi="Times New Roman" w:cs="Times New Roman"/>
          <w:sz w:val="28"/>
          <w:szCs w:val="28"/>
        </w:rPr>
        <w:t xml:space="preserve">на 100тыс населения, </w:t>
      </w:r>
      <w:r w:rsidRPr="004135FE">
        <w:rPr>
          <w:rFonts w:ascii="Times New Roman" w:eastAsiaTheme="minorHAnsi" w:hAnsi="Times New Roman" w:cs="Times New Roman"/>
          <w:sz w:val="28"/>
          <w:szCs w:val="28"/>
          <w:lang w:eastAsia="en-US"/>
        </w:rPr>
        <w:t xml:space="preserve">среди женщин с </w:t>
      </w:r>
      <w:r w:rsidRPr="004135FE">
        <w:rPr>
          <w:rFonts w:ascii="Times New Roman" w:eastAsia="Times New Roman" w:hAnsi="Times New Roman" w:cs="Times New Roman"/>
          <w:sz w:val="28"/>
          <w:szCs w:val="28"/>
        </w:rPr>
        <w:t xml:space="preserve">1375,05 до 1431,81 с ДИ (1321,15; 1542,47) </w:t>
      </w:r>
      <w:r w:rsidRPr="004135FE">
        <w:rPr>
          <w:rFonts w:ascii="Times New Roman" w:hAnsi="Times New Roman" w:cs="Times New Roman"/>
          <w:sz w:val="28"/>
          <w:szCs w:val="28"/>
        </w:rPr>
        <w:t xml:space="preserve">на 100 тыс населения статистически значимы. Такая тенденция роста ожидается </w:t>
      </w:r>
      <w:r w:rsidRPr="004135FE">
        <w:rPr>
          <w:rFonts w:ascii="Times New Roman" w:eastAsiaTheme="minorHAnsi" w:hAnsi="Times New Roman" w:cs="Times New Roman"/>
          <w:sz w:val="28"/>
          <w:szCs w:val="28"/>
          <w:lang w:eastAsia="en-US"/>
        </w:rPr>
        <w:t xml:space="preserve">при неизменной стратегии ведения образа жизни и профилактических мер факторов риска, как со стороны всего населения, так и правительства. </w:t>
      </w:r>
    </w:p>
    <w:p w14:paraId="34D33E04" w14:textId="572DA2E1" w:rsidR="0066583A" w:rsidRPr="004135FE" w:rsidRDefault="00234C4D" w:rsidP="00D471F4">
      <w:pPr>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Р</w:t>
      </w:r>
      <w:r w:rsidR="0066583A" w:rsidRPr="004135FE">
        <w:rPr>
          <w:rFonts w:ascii="Times New Roman" w:eastAsiaTheme="minorHAnsi" w:hAnsi="Times New Roman" w:cs="Times New Roman"/>
          <w:sz w:val="28"/>
          <w:szCs w:val="28"/>
          <w:lang w:eastAsia="en-US"/>
        </w:rPr>
        <w:t>езу</w:t>
      </w:r>
      <w:r w:rsidRPr="004135FE">
        <w:rPr>
          <w:rFonts w:ascii="Times New Roman" w:eastAsiaTheme="minorHAnsi" w:hAnsi="Times New Roman" w:cs="Times New Roman"/>
          <w:sz w:val="28"/>
          <w:szCs w:val="28"/>
          <w:lang w:eastAsia="en-US"/>
        </w:rPr>
        <w:t>льтат данного исследования может быть использован</w:t>
      </w:r>
      <w:r w:rsidR="0066583A" w:rsidRPr="004135FE">
        <w:rPr>
          <w:rFonts w:ascii="Times New Roman" w:eastAsiaTheme="minorHAnsi" w:hAnsi="Times New Roman" w:cs="Times New Roman"/>
          <w:sz w:val="28"/>
          <w:szCs w:val="28"/>
          <w:lang w:eastAsia="en-US"/>
        </w:rPr>
        <w:t xml:space="preserve"> для организации и планирования объема помощи, обеспечения услуг, оказываемые медицинским персонал</w:t>
      </w:r>
      <w:r w:rsidRPr="004135FE">
        <w:rPr>
          <w:rFonts w:ascii="Times New Roman" w:eastAsiaTheme="minorHAnsi" w:hAnsi="Times New Roman" w:cs="Times New Roman"/>
          <w:sz w:val="28"/>
          <w:szCs w:val="28"/>
          <w:lang w:eastAsia="en-US"/>
        </w:rPr>
        <w:t>ом</w:t>
      </w:r>
      <w:r w:rsidR="0066583A" w:rsidRPr="004135FE">
        <w:rPr>
          <w:rFonts w:ascii="Times New Roman" w:eastAsiaTheme="minorHAnsi" w:hAnsi="Times New Roman" w:cs="Times New Roman"/>
          <w:sz w:val="28"/>
          <w:szCs w:val="28"/>
          <w:lang w:eastAsia="en-US"/>
        </w:rPr>
        <w:t xml:space="preserve"> и их укомплектованность, доступность лекарственного обеспечения на уровне ПМСП, приверженность</w:t>
      </w:r>
      <w:r w:rsidRPr="004135FE">
        <w:rPr>
          <w:rFonts w:ascii="Times New Roman" w:eastAsiaTheme="minorHAnsi" w:hAnsi="Times New Roman" w:cs="Times New Roman"/>
          <w:sz w:val="28"/>
          <w:szCs w:val="28"/>
          <w:lang w:eastAsia="en-US"/>
        </w:rPr>
        <w:t xml:space="preserve"> населения к рекомендациям</w:t>
      </w:r>
      <w:r w:rsidR="0066583A" w:rsidRPr="004135FE">
        <w:rPr>
          <w:rFonts w:ascii="Times New Roman" w:eastAsiaTheme="minorHAnsi" w:hAnsi="Times New Roman" w:cs="Times New Roman"/>
          <w:sz w:val="28"/>
          <w:szCs w:val="28"/>
          <w:lang w:eastAsia="en-US"/>
        </w:rPr>
        <w:t xml:space="preserve">, качество лечения и профилактику осложнении при СД2т.  </w:t>
      </w:r>
    </w:p>
    <w:p w14:paraId="0CCE6BCE" w14:textId="163D5001" w:rsidR="00D10F5E" w:rsidRPr="004135FE" w:rsidRDefault="00D10F5E" w:rsidP="004135FE">
      <w:pPr>
        <w:spacing w:after="0" w:line="240" w:lineRule="auto"/>
        <w:ind w:firstLine="708"/>
        <w:jc w:val="both"/>
        <w:rPr>
          <w:rFonts w:ascii="Times New Roman" w:eastAsiaTheme="minorHAnsi" w:hAnsi="Times New Roman" w:cs="Times New Roman"/>
          <w:sz w:val="28"/>
          <w:szCs w:val="28"/>
          <w:lang w:eastAsia="en-US"/>
        </w:rPr>
      </w:pPr>
    </w:p>
    <w:p w14:paraId="62F83DC1" w14:textId="1B7C3B8D" w:rsidR="00234C4D" w:rsidRPr="004135FE" w:rsidRDefault="00D471F4" w:rsidP="00D471F4">
      <w:pPr>
        <w:pStyle w:val="a3"/>
        <w:numPr>
          <w:ilvl w:val="1"/>
          <w:numId w:val="95"/>
        </w:numPr>
        <w:tabs>
          <w:tab w:val="left" w:pos="1134"/>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66583A" w:rsidRPr="004135FE">
        <w:rPr>
          <w:rFonts w:ascii="Times New Roman" w:hAnsi="Times New Roman" w:cs="Times New Roman"/>
          <w:b/>
          <w:sz w:val="28"/>
          <w:szCs w:val="28"/>
        </w:rPr>
        <w:t xml:space="preserve">Доступность лекарственных средств </w:t>
      </w:r>
      <w:r w:rsidR="00234C4D" w:rsidRPr="004135FE">
        <w:rPr>
          <w:rFonts w:ascii="Times New Roman" w:hAnsi="Times New Roman" w:cs="Times New Roman"/>
          <w:b/>
          <w:sz w:val="28"/>
          <w:szCs w:val="28"/>
        </w:rPr>
        <w:t xml:space="preserve">по сахарному диабету </w:t>
      </w:r>
    </w:p>
    <w:p w14:paraId="4CA83A2D" w14:textId="27CB05A7" w:rsidR="0066583A" w:rsidRPr="004135FE" w:rsidRDefault="00E6178E"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Согласно проведенному анализу ВОЗ, в Республике Казахстан доступны все необходимые лекарственные препараты для населения с СД2т. Самых необходимых групп ЛС составляют инсулины, метформины, сульфанилмочевина, которые регулируются действующими нормативными документами страны</w:t>
      </w:r>
      <w:r w:rsidR="00892CB0" w:rsidRPr="004135FE">
        <w:rPr>
          <w:rFonts w:ascii="Times New Roman" w:hAnsi="Times New Roman" w:cs="Times New Roman"/>
          <w:sz w:val="28"/>
          <w:szCs w:val="28"/>
        </w:rPr>
        <w:t xml:space="preserve"> [1</w:t>
      </w:r>
      <w:r w:rsidR="00B7259E" w:rsidRPr="004135FE">
        <w:rPr>
          <w:rFonts w:ascii="Times New Roman" w:hAnsi="Times New Roman" w:cs="Times New Roman"/>
          <w:sz w:val="28"/>
          <w:szCs w:val="28"/>
        </w:rPr>
        <w:t>70</w:t>
      </w:r>
      <w:r w:rsidR="00892CB0" w:rsidRPr="004135FE">
        <w:rPr>
          <w:rFonts w:ascii="Times New Roman" w:hAnsi="Times New Roman" w:cs="Times New Roman"/>
          <w:sz w:val="28"/>
          <w:szCs w:val="28"/>
        </w:rPr>
        <w:t>]</w:t>
      </w:r>
      <w:r w:rsidRPr="004135FE">
        <w:rPr>
          <w:rFonts w:ascii="Times New Roman" w:hAnsi="Times New Roman" w:cs="Times New Roman"/>
          <w:sz w:val="28"/>
          <w:szCs w:val="28"/>
        </w:rPr>
        <w:t>.</w:t>
      </w:r>
    </w:p>
    <w:p w14:paraId="2704AD56" w14:textId="6377D1D6" w:rsidR="0066583A" w:rsidRPr="004135FE" w:rsidRDefault="00153676" w:rsidP="004135FE">
      <w:pPr>
        <w:autoSpaceDE w:val="0"/>
        <w:autoSpaceDN w:val="0"/>
        <w:adjustRightInd w:val="0"/>
        <w:spacing w:after="0" w:line="240" w:lineRule="auto"/>
        <w:ind w:firstLine="708"/>
        <w:jc w:val="both"/>
        <w:rPr>
          <w:rFonts w:ascii="Times New Roman" w:eastAsiaTheme="minorHAnsi" w:hAnsi="Times New Roman" w:cs="Times New Roman"/>
          <w:bCs/>
          <w:sz w:val="28"/>
          <w:szCs w:val="28"/>
          <w:lang w:eastAsia="en-US"/>
        </w:rPr>
      </w:pPr>
      <w:r w:rsidRPr="004135FE">
        <w:rPr>
          <w:rFonts w:ascii="Times New Roman" w:eastAsiaTheme="minorHAnsi" w:hAnsi="Times New Roman" w:cs="Times New Roman"/>
          <w:sz w:val="28"/>
          <w:szCs w:val="28"/>
          <w:lang w:eastAsia="en-US"/>
        </w:rPr>
        <w:t xml:space="preserve">Нами проведен анализ доступности лекарственных препаратов при сахарном диабете по г.Алматы. Согласно полученным результатам, </w:t>
      </w:r>
      <w:r w:rsidR="0066583A" w:rsidRPr="004135FE">
        <w:rPr>
          <w:rFonts w:ascii="Times New Roman" w:hAnsi="Times New Roman" w:cs="Times New Roman"/>
          <w:bCs/>
          <w:sz w:val="28"/>
          <w:szCs w:val="28"/>
        </w:rPr>
        <w:t>нуждающи</w:t>
      </w:r>
      <w:r w:rsidRPr="004135FE">
        <w:rPr>
          <w:rFonts w:ascii="Times New Roman" w:hAnsi="Times New Roman" w:cs="Times New Roman"/>
          <w:bCs/>
          <w:sz w:val="28"/>
          <w:szCs w:val="28"/>
        </w:rPr>
        <w:t>еся</w:t>
      </w:r>
      <w:r w:rsidR="0066583A" w:rsidRPr="004135FE">
        <w:rPr>
          <w:rFonts w:ascii="Times New Roman" w:hAnsi="Times New Roman" w:cs="Times New Roman"/>
          <w:bCs/>
          <w:sz w:val="28"/>
          <w:szCs w:val="28"/>
        </w:rPr>
        <w:t xml:space="preserve"> в ЛС</w:t>
      </w:r>
      <w:r w:rsidR="0066583A" w:rsidRPr="004135FE">
        <w:rPr>
          <w:rFonts w:ascii="Times New Roman" w:eastAsiaTheme="minorHAnsi" w:hAnsi="Times New Roman" w:cs="Times New Roman"/>
          <w:bCs/>
          <w:sz w:val="28"/>
          <w:szCs w:val="28"/>
          <w:lang w:eastAsia="en-US"/>
        </w:rPr>
        <w:t xml:space="preserve"> в 2020г и 2021г составили соответственно </w:t>
      </w:r>
      <w:r w:rsidR="0066583A" w:rsidRPr="004135FE">
        <w:rPr>
          <w:rFonts w:ascii="Times New Roman" w:hAnsi="Times New Roman" w:cs="Times New Roman"/>
          <w:sz w:val="28"/>
          <w:szCs w:val="28"/>
        </w:rPr>
        <w:t>38 399 и</w:t>
      </w:r>
      <w:r w:rsidR="0066583A" w:rsidRPr="004135FE">
        <w:rPr>
          <w:rFonts w:ascii="Times New Roman" w:eastAsiaTheme="minorHAnsi" w:hAnsi="Times New Roman" w:cs="Times New Roman"/>
          <w:bCs/>
          <w:sz w:val="28"/>
          <w:szCs w:val="28"/>
          <w:lang w:eastAsia="en-US"/>
        </w:rPr>
        <w:t xml:space="preserve"> </w:t>
      </w:r>
      <w:r w:rsidR="0066583A" w:rsidRPr="004135FE">
        <w:rPr>
          <w:rFonts w:ascii="Times New Roman" w:hAnsi="Times New Roman" w:cs="Times New Roman"/>
          <w:sz w:val="28"/>
          <w:szCs w:val="28"/>
        </w:rPr>
        <w:t>43 085</w:t>
      </w:r>
      <w:r w:rsidR="0066583A" w:rsidRPr="004135FE">
        <w:rPr>
          <w:rFonts w:ascii="Times New Roman" w:eastAsiaTheme="minorHAnsi" w:hAnsi="Times New Roman" w:cs="Times New Roman"/>
          <w:bCs/>
          <w:sz w:val="28"/>
          <w:szCs w:val="28"/>
          <w:lang w:eastAsia="en-US"/>
        </w:rPr>
        <w:t xml:space="preserve"> человек, были выписаны </w:t>
      </w:r>
      <w:r w:rsidR="0066583A" w:rsidRPr="004135FE">
        <w:rPr>
          <w:rFonts w:ascii="Times New Roman" w:hAnsi="Times New Roman" w:cs="Times New Roman"/>
          <w:sz w:val="28"/>
          <w:szCs w:val="28"/>
        </w:rPr>
        <w:t>378 447 и 399 744 рецептов, которые соответствуют обеспеченному количеству только в эти годы</w:t>
      </w:r>
      <w:r w:rsidR="003044D6" w:rsidRPr="004135FE">
        <w:rPr>
          <w:rFonts w:ascii="Times New Roman" w:eastAsiaTheme="minorHAnsi" w:hAnsi="Times New Roman" w:cs="Times New Roman"/>
          <w:bCs/>
          <w:sz w:val="28"/>
          <w:szCs w:val="28"/>
          <w:lang w:val="kk-KZ" w:eastAsia="en-US"/>
        </w:rPr>
        <w:t xml:space="preserve"> (Таблица </w:t>
      </w:r>
      <w:r w:rsidR="00B728EF" w:rsidRPr="004135FE">
        <w:rPr>
          <w:rFonts w:ascii="Times New Roman" w:eastAsiaTheme="minorHAnsi" w:hAnsi="Times New Roman" w:cs="Times New Roman"/>
          <w:bCs/>
          <w:sz w:val="28"/>
          <w:szCs w:val="28"/>
          <w:lang w:val="kk-KZ" w:eastAsia="en-US"/>
        </w:rPr>
        <w:t>16</w:t>
      </w:r>
      <w:r w:rsidR="0066583A" w:rsidRPr="004135FE">
        <w:rPr>
          <w:rFonts w:ascii="Times New Roman" w:eastAsiaTheme="minorHAnsi" w:hAnsi="Times New Roman" w:cs="Times New Roman"/>
          <w:bCs/>
          <w:sz w:val="28"/>
          <w:szCs w:val="28"/>
          <w:lang w:val="kk-KZ" w:eastAsia="en-US"/>
        </w:rPr>
        <w:t>)</w:t>
      </w:r>
      <w:r w:rsidR="0066583A" w:rsidRPr="004135FE">
        <w:rPr>
          <w:rFonts w:ascii="Times New Roman" w:hAnsi="Times New Roman" w:cs="Times New Roman"/>
          <w:sz w:val="28"/>
          <w:szCs w:val="28"/>
        </w:rPr>
        <w:t>.</w:t>
      </w:r>
      <w:r w:rsidR="0066583A" w:rsidRPr="004135FE">
        <w:rPr>
          <w:rFonts w:ascii="Times New Roman" w:eastAsiaTheme="minorHAnsi" w:hAnsi="Times New Roman" w:cs="Times New Roman"/>
          <w:bCs/>
          <w:sz w:val="28"/>
          <w:szCs w:val="28"/>
          <w:lang w:eastAsia="en-US"/>
        </w:rPr>
        <w:t xml:space="preserve"> Остальные годы не совпадают по количеству нуждающихся и обеспеченных рецептов.</w:t>
      </w:r>
    </w:p>
    <w:p w14:paraId="797A8D29" w14:textId="77777777" w:rsidR="0066583A" w:rsidRPr="004135FE" w:rsidRDefault="0066583A" w:rsidP="004135FE">
      <w:pPr>
        <w:autoSpaceDE w:val="0"/>
        <w:autoSpaceDN w:val="0"/>
        <w:adjustRightInd w:val="0"/>
        <w:spacing w:after="0" w:line="240" w:lineRule="auto"/>
        <w:jc w:val="both"/>
        <w:rPr>
          <w:rFonts w:ascii="Times New Roman" w:eastAsiaTheme="minorHAnsi" w:hAnsi="Times New Roman" w:cs="Times New Roman"/>
          <w:bCs/>
          <w:sz w:val="28"/>
          <w:szCs w:val="28"/>
          <w:lang w:eastAsia="en-US"/>
        </w:rPr>
      </w:pPr>
    </w:p>
    <w:p w14:paraId="7E06D43C" w14:textId="77777777" w:rsidR="00D471F4" w:rsidRDefault="00D471F4" w:rsidP="004135FE">
      <w:pPr>
        <w:autoSpaceDE w:val="0"/>
        <w:autoSpaceDN w:val="0"/>
        <w:adjustRightInd w:val="0"/>
        <w:spacing w:after="0" w:line="240" w:lineRule="auto"/>
        <w:jc w:val="both"/>
        <w:rPr>
          <w:rFonts w:ascii="Times New Roman" w:eastAsiaTheme="minorHAnsi" w:hAnsi="Times New Roman" w:cs="Times New Roman"/>
          <w:bCs/>
          <w:sz w:val="28"/>
          <w:szCs w:val="28"/>
          <w:lang w:val="kk-KZ" w:eastAsia="en-US"/>
        </w:rPr>
        <w:sectPr w:rsidR="00D471F4" w:rsidSect="00E541BD">
          <w:pgSz w:w="11906" w:h="16838"/>
          <w:pgMar w:top="1134" w:right="851" w:bottom="1134" w:left="1701" w:header="283" w:footer="170" w:gutter="0"/>
          <w:cols w:space="708"/>
          <w:docGrid w:linePitch="360"/>
        </w:sectPr>
      </w:pPr>
    </w:p>
    <w:p w14:paraId="6D8664B0" w14:textId="5688E31E" w:rsidR="0066583A" w:rsidRDefault="0066583A" w:rsidP="004135FE">
      <w:pPr>
        <w:autoSpaceDE w:val="0"/>
        <w:autoSpaceDN w:val="0"/>
        <w:adjustRightInd w:val="0"/>
        <w:spacing w:after="0" w:line="240" w:lineRule="auto"/>
        <w:jc w:val="both"/>
        <w:rPr>
          <w:rFonts w:ascii="Times New Roman" w:eastAsiaTheme="minorHAnsi" w:hAnsi="Times New Roman" w:cs="Times New Roman"/>
          <w:bCs/>
          <w:sz w:val="28"/>
          <w:szCs w:val="28"/>
          <w:lang w:val="kk-KZ" w:eastAsia="en-US"/>
        </w:rPr>
      </w:pPr>
      <w:r w:rsidRPr="004135FE">
        <w:rPr>
          <w:rFonts w:ascii="Times New Roman" w:eastAsiaTheme="minorHAnsi" w:hAnsi="Times New Roman" w:cs="Times New Roman"/>
          <w:bCs/>
          <w:sz w:val="28"/>
          <w:szCs w:val="28"/>
          <w:lang w:val="kk-KZ" w:eastAsia="en-US"/>
        </w:rPr>
        <w:lastRenderedPageBreak/>
        <w:t>Таблица</w:t>
      </w:r>
      <w:r w:rsidR="003044D6" w:rsidRPr="004135FE">
        <w:rPr>
          <w:rFonts w:ascii="Times New Roman" w:eastAsiaTheme="minorHAnsi" w:hAnsi="Times New Roman" w:cs="Times New Roman"/>
          <w:bCs/>
          <w:sz w:val="28"/>
          <w:szCs w:val="28"/>
          <w:lang w:val="kk-KZ" w:eastAsia="en-US"/>
        </w:rPr>
        <w:t xml:space="preserve"> </w:t>
      </w:r>
      <w:r w:rsidR="00B728EF" w:rsidRPr="004135FE">
        <w:rPr>
          <w:rFonts w:ascii="Times New Roman" w:eastAsiaTheme="minorHAnsi" w:hAnsi="Times New Roman" w:cs="Times New Roman"/>
          <w:bCs/>
          <w:sz w:val="28"/>
          <w:szCs w:val="28"/>
          <w:lang w:val="kk-KZ" w:eastAsia="en-US"/>
        </w:rPr>
        <w:t>16</w:t>
      </w:r>
      <w:r w:rsidR="00D471F4">
        <w:rPr>
          <w:rFonts w:ascii="Times New Roman" w:eastAsiaTheme="minorHAnsi" w:hAnsi="Times New Roman" w:cs="Times New Roman"/>
          <w:bCs/>
          <w:sz w:val="28"/>
          <w:szCs w:val="28"/>
          <w:lang w:val="kk-KZ" w:eastAsia="en-US"/>
        </w:rPr>
        <w:t xml:space="preserve"> </w:t>
      </w:r>
      <w:r w:rsidRPr="004135FE">
        <w:rPr>
          <w:rFonts w:ascii="Times New Roman" w:eastAsiaTheme="minorHAnsi" w:hAnsi="Times New Roman" w:cs="Times New Roman"/>
          <w:bCs/>
          <w:sz w:val="28"/>
          <w:szCs w:val="28"/>
          <w:lang w:val="kk-KZ" w:eastAsia="en-US"/>
        </w:rPr>
        <w:t>- Данные Информационной Системы Лекарственного Обеспечения (ИСЛО) пациентов с СД по г. Алматы (за 7 лет)</w:t>
      </w:r>
    </w:p>
    <w:p w14:paraId="5C7DD20F" w14:textId="77777777" w:rsidR="00D471F4" w:rsidRPr="004135FE" w:rsidRDefault="00D471F4" w:rsidP="004135FE">
      <w:pPr>
        <w:autoSpaceDE w:val="0"/>
        <w:autoSpaceDN w:val="0"/>
        <w:adjustRightInd w:val="0"/>
        <w:spacing w:after="0" w:line="240" w:lineRule="auto"/>
        <w:jc w:val="both"/>
        <w:rPr>
          <w:rFonts w:ascii="Times New Roman" w:eastAsiaTheme="minorHAnsi" w:hAnsi="Times New Roman" w:cs="Times New Roman"/>
          <w:bCs/>
          <w:sz w:val="28"/>
          <w:szCs w:val="28"/>
          <w:lang w:val="kk-KZ" w:eastAsia="en-US"/>
        </w:rPr>
      </w:pPr>
    </w:p>
    <w:tbl>
      <w:tblPr>
        <w:tblW w:w="14742" w:type="dxa"/>
        <w:tblInd w:w="-5" w:type="dxa"/>
        <w:tblLayout w:type="fixed"/>
        <w:tblLook w:val="04A0" w:firstRow="1" w:lastRow="0" w:firstColumn="1" w:lastColumn="0" w:noHBand="0" w:noVBand="1"/>
      </w:tblPr>
      <w:tblGrid>
        <w:gridCol w:w="851"/>
        <w:gridCol w:w="1559"/>
        <w:gridCol w:w="1701"/>
        <w:gridCol w:w="1701"/>
        <w:gridCol w:w="1843"/>
        <w:gridCol w:w="1417"/>
        <w:gridCol w:w="1985"/>
        <w:gridCol w:w="1843"/>
        <w:gridCol w:w="1842"/>
      </w:tblGrid>
      <w:tr w:rsidR="004954F5" w:rsidRPr="004954F5" w14:paraId="24589C8F" w14:textId="77777777" w:rsidTr="004954F5">
        <w:trPr>
          <w:trHeight w:val="416"/>
        </w:trPr>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57D1AB72" w14:textId="77777777" w:rsidR="0066583A" w:rsidRPr="004954F5" w:rsidRDefault="0066583A" w:rsidP="004954F5">
            <w:pPr>
              <w:spacing w:after="0" w:line="240" w:lineRule="auto"/>
              <w:jc w:val="center"/>
              <w:rPr>
                <w:rFonts w:ascii="Times New Roman" w:eastAsia="Times New Roman" w:hAnsi="Times New Roman" w:cs="Times New Roman"/>
                <w:sz w:val="24"/>
                <w:szCs w:val="24"/>
              </w:rPr>
            </w:pPr>
            <w:r w:rsidRPr="004954F5">
              <w:rPr>
                <w:rFonts w:ascii="Times New Roman" w:hAnsi="Times New Roman" w:cs="Times New Roman"/>
                <w:sz w:val="24"/>
                <w:szCs w:val="24"/>
              </w:rPr>
              <w:t>Годы</w:t>
            </w:r>
          </w:p>
        </w:tc>
        <w:tc>
          <w:tcPr>
            <w:tcW w:w="1559" w:type="dxa"/>
            <w:tcBorders>
              <w:top w:val="single" w:sz="4" w:space="0" w:color="auto"/>
              <w:left w:val="nil"/>
              <w:bottom w:val="single" w:sz="4" w:space="0" w:color="auto"/>
              <w:right w:val="single" w:sz="4" w:space="0" w:color="auto"/>
            </w:tcBorders>
            <w:shd w:val="clear" w:color="auto" w:fill="auto"/>
            <w:hideMark/>
          </w:tcPr>
          <w:p w14:paraId="21AB29D4"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Нозологии</w:t>
            </w:r>
          </w:p>
        </w:tc>
        <w:tc>
          <w:tcPr>
            <w:tcW w:w="1701" w:type="dxa"/>
            <w:tcBorders>
              <w:top w:val="single" w:sz="4" w:space="0" w:color="auto"/>
              <w:left w:val="nil"/>
              <w:bottom w:val="single" w:sz="4" w:space="0" w:color="auto"/>
              <w:right w:val="single" w:sz="4" w:space="0" w:color="auto"/>
            </w:tcBorders>
            <w:shd w:val="clear" w:color="auto" w:fill="auto"/>
            <w:hideMark/>
          </w:tcPr>
          <w:p w14:paraId="3E7075B2"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Кол. пациентов нуждающихся в ЛС</w:t>
            </w:r>
          </w:p>
        </w:tc>
        <w:tc>
          <w:tcPr>
            <w:tcW w:w="1701" w:type="dxa"/>
            <w:tcBorders>
              <w:top w:val="single" w:sz="4" w:space="0" w:color="auto"/>
              <w:left w:val="nil"/>
              <w:bottom w:val="single" w:sz="4" w:space="0" w:color="auto"/>
              <w:right w:val="single" w:sz="4" w:space="0" w:color="auto"/>
            </w:tcBorders>
            <w:shd w:val="clear" w:color="auto" w:fill="auto"/>
            <w:hideMark/>
          </w:tcPr>
          <w:p w14:paraId="7B5FF2AB"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Кол. выписанных рецептов</w:t>
            </w:r>
          </w:p>
        </w:tc>
        <w:tc>
          <w:tcPr>
            <w:tcW w:w="1843" w:type="dxa"/>
            <w:tcBorders>
              <w:top w:val="single" w:sz="4" w:space="0" w:color="auto"/>
              <w:left w:val="nil"/>
              <w:bottom w:val="single" w:sz="4" w:space="0" w:color="auto"/>
              <w:right w:val="single" w:sz="4" w:space="0" w:color="auto"/>
            </w:tcBorders>
            <w:shd w:val="clear" w:color="auto" w:fill="auto"/>
            <w:hideMark/>
          </w:tcPr>
          <w:p w14:paraId="2AED957D"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Стоимость ЛС по выписанным рецептам</w:t>
            </w:r>
          </w:p>
        </w:tc>
        <w:tc>
          <w:tcPr>
            <w:tcW w:w="1417" w:type="dxa"/>
            <w:tcBorders>
              <w:top w:val="single" w:sz="4" w:space="0" w:color="auto"/>
              <w:left w:val="nil"/>
              <w:bottom w:val="single" w:sz="4" w:space="0" w:color="auto"/>
              <w:right w:val="single" w:sz="4" w:space="0" w:color="auto"/>
            </w:tcBorders>
            <w:shd w:val="clear" w:color="auto" w:fill="auto"/>
            <w:hideMark/>
          </w:tcPr>
          <w:p w14:paraId="778CB08D"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Кол. пациентов, обеспечен.</w:t>
            </w:r>
          </w:p>
        </w:tc>
        <w:tc>
          <w:tcPr>
            <w:tcW w:w="1985" w:type="dxa"/>
            <w:tcBorders>
              <w:top w:val="single" w:sz="4" w:space="0" w:color="auto"/>
              <w:left w:val="nil"/>
              <w:bottom w:val="single" w:sz="4" w:space="0" w:color="auto"/>
              <w:right w:val="single" w:sz="4" w:space="0" w:color="auto"/>
            </w:tcBorders>
            <w:shd w:val="clear" w:color="auto" w:fill="auto"/>
            <w:hideMark/>
          </w:tcPr>
          <w:p w14:paraId="6B5E10C0"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Кол. обеспеченных рецептов</w:t>
            </w:r>
          </w:p>
        </w:tc>
        <w:tc>
          <w:tcPr>
            <w:tcW w:w="1843" w:type="dxa"/>
            <w:tcBorders>
              <w:top w:val="single" w:sz="4" w:space="0" w:color="auto"/>
              <w:left w:val="nil"/>
              <w:bottom w:val="single" w:sz="4" w:space="0" w:color="auto"/>
              <w:right w:val="single" w:sz="4" w:space="0" w:color="auto"/>
            </w:tcBorders>
            <w:shd w:val="clear" w:color="auto" w:fill="auto"/>
            <w:hideMark/>
          </w:tcPr>
          <w:p w14:paraId="12B57596"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Стоимость выписанных по рецептам ЛС</w:t>
            </w:r>
          </w:p>
        </w:tc>
        <w:tc>
          <w:tcPr>
            <w:tcW w:w="1842" w:type="dxa"/>
            <w:tcBorders>
              <w:top w:val="single" w:sz="4" w:space="0" w:color="auto"/>
              <w:left w:val="nil"/>
              <w:bottom w:val="single" w:sz="4" w:space="0" w:color="auto"/>
              <w:right w:val="single" w:sz="4" w:space="0" w:color="auto"/>
            </w:tcBorders>
            <w:shd w:val="clear" w:color="auto" w:fill="auto"/>
            <w:hideMark/>
          </w:tcPr>
          <w:p w14:paraId="566CBB41" w14:textId="3D8CDB20"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Стоимость закупленных ЛС (на 1 пациента)</w:t>
            </w:r>
          </w:p>
        </w:tc>
      </w:tr>
      <w:tr w:rsidR="004954F5" w:rsidRPr="004954F5" w14:paraId="4041D477" w14:textId="77777777" w:rsidTr="004954F5">
        <w:trPr>
          <w:trHeight w:val="435"/>
        </w:trPr>
        <w:tc>
          <w:tcPr>
            <w:tcW w:w="851" w:type="dxa"/>
            <w:tcBorders>
              <w:top w:val="nil"/>
              <w:left w:val="single" w:sz="4" w:space="0" w:color="auto"/>
              <w:bottom w:val="single" w:sz="4" w:space="0" w:color="auto"/>
              <w:right w:val="single" w:sz="4" w:space="0" w:color="auto"/>
            </w:tcBorders>
            <w:shd w:val="clear" w:color="auto" w:fill="auto"/>
            <w:noWrap/>
            <w:hideMark/>
          </w:tcPr>
          <w:p w14:paraId="767ADBA9"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2015</w:t>
            </w:r>
          </w:p>
        </w:tc>
        <w:tc>
          <w:tcPr>
            <w:tcW w:w="1559" w:type="dxa"/>
            <w:tcBorders>
              <w:top w:val="nil"/>
              <w:left w:val="nil"/>
              <w:bottom w:val="single" w:sz="4" w:space="0" w:color="auto"/>
              <w:right w:val="single" w:sz="4" w:space="0" w:color="auto"/>
            </w:tcBorders>
            <w:shd w:val="clear" w:color="auto" w:fill="auto"/>
            <w:hideMark/>
          </w:tcPr>
          <w:p w14:paraId="6249C7B2"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СД. E10, E11-E14 (D)</w:t>
            </w:r>
          </w:p>
        </w:tc>
        <w:tc>
          <w:tcPr>
            <w:tcW w:w="1701" w:type="dxa"/>
            <w:tcBorders>
              <w:top w:val="nil"/>
              <w:left w:val="nil"/>
              <w:bottom w:val="single" w:sz="4" w:space="0" w:color="auto"/>
              <w:right w:val="single" w:sz="4" w:space="0" w:color="auto"/>
            </w:tcBorders>
            <w:shd w:val="clear" w:color="auto" w:fill="auto"/>
            <w:hideMark/>
          </w:tcPr>
          <w:p w14:paraId="437EE7AF"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23 903</w:t>
            </w:r>
          </w:p>
        </w:tc>
        <w:tc>
          <w:tcPr>
            <w:tcW w:w="1701" w:type="dxa"/>
            <w:tcBorders>
              <w:top w:val="nil"/>
              <w:left w:val="nil"/>
              <w:bottom w:val="single" w:sz="4" w:space="0" w:color="auto"/>
              <w:right w:val="single" w:sz="4" w:space="0" w:color="auto"/>
            </w:tcBorders>
            <w:shd w:val="clear" w:color="auto" w:fill="auto"/>
            <w:hideMark/>
          </w:tcPr>
          <w:p w14:paraId="768AED40"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176 499</w:t>
            </w:r>
          </w:p>
        </w:tc>
        <w:tc>
          <w:tcPr>
            <w:tcW w:w="1843" w:type="dxa"/>
            <w:tcBorders>
              <w:top w:val="nil"/>
              <w:left w:val="nil"/>
              <w:bottom w:val="single" w:sz="4" w:space="0" w:color="auto"/>
              <w:right w:val="single" w:sz="4" w:space="0" w:color="auto"/>
            </w:tcBorders>
            <w:shd w:val="clear" w:color="auto" w:fill="auto"/>
            <w:hideMark/>
          </w:tcPr>
          <w:p w14:paraId="4ABCB7CC"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368657888,50</w:t>
            </w:r>
          </w:p>
        </w:tc>
        <w:tc>
          <w:tcPr>
            <w:tcW w:w="1417" w:type="dxa"/>
            <w:tcBorders>
              <w:top w:val="nil"/>
              <w:left w:val="nil"/>
              <w:bottom w:val="single" w:sz="4" w:space="0" w:color="auto"/>
              <w:right w:val="single" w:sz="4" w:space="0" w:color="auto"/>
            </w:tcBorders>
            <w:shd w:val="clear" w:color="auto" w:fill="auto"/>
            <w:hideMark/>
          </w:tcPr>
          <w:p w14:paraId="44E3D737"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23 572</w:t>
            </w:r>
          </w:p>
        </w:tc>
        <w:tc>
          <w:tcPr>
            <w:tcW w:w="1985" w:type="dxa"/>
            <w:tcBorders>
              <w:top w:val="nil"/>
              <w:left w:val="nil"/>
              <w:bottom w:val="single" w:sz="4" w:space="0" w:color="auto"/>
              <w:right w:val="single" w:sz="4" w:space="0" w:color="auto"/>
            </w:tcBorders>
            <w:shd w:val="clear" w:color="auto" w:fill="auto"/>
            <w:hideMark/>
          </w:tcPr>
          <w:p w14:paraId="73C4251B"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168 623</w:t>
            </w:r>
          </w:p>
        </w:tc>
        <w:tc>
          <w:tcPr>
            <w:tcW w:w="1843" w:type="dxa"/>
            <w:tcBorders>
              <w:top w:val="nil"/>
              <w:left w:val="nil"/>
              <w:bottom w:val="single" w:sz="4" w:space="0" w:color="auto"/>
              <w:right w:val="single" w:sz="4" w:space="0" w:color="auto"/>
            </w:tcBorders>
            <w:shd w:val="clear" w:color="auto" w:fill="auto"/>
            <w:hideMark/>
          </w:tcPr>
          <w:p w14:paraId="46D06BA1"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354926106,30</w:t>
            </w:r>
          </w:p>
        </w:tc>
        <w:tc>
          <w:tcPr>
            <w:tcW w:w="1842" w:type="dxa"/>
            <w:tcBorders>
              <w:top w:val="nil"/>
              <w:left w:val="nil"/>
              <w:bottom w:val="single" w:sz="4" w:space="0" w:color="auto"/>
              <w:right w:val="single" w:sz="4" w:space="0" w:color="auto"/>
            </w:tcBorders>
            <w:shd w:val="clear" w:color="auto" w:fill="auto"/>
            <w:hideMark/>
          </w:tcPr>
          <w:p w14:paraId="44BDCBD7"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15 057,11</w:t>
            </w:r>
          </w:p>
        </w:tc>
      </w:tr>
      <w:tr w:rsidR="004954F5" w:rsidRPr="004954F5" w14:paraId="711ACB1F" w14:textId="77777777" w:rsidTr="004954F5">
        <w:trPr>
          <w:trHeight w:val="570"/>
        </w:trPr>
        <w:tc>
          <w:tcPr>
            <w:tcW w:w="851" w:type="dxa"/>
            <w:tcBorders>
              <w:top w:val="nil"/>
              <w:left w:val="single" w:sz="4" w:space="0" w:color="auto"/>
              <w:bottom w:val="single" w:sz="4" w:space="0" w:color="auto"/>
              <w:right w:val="single" w:sz="4" w:space="0" w:color="auto"/>
            </w:tcBorders>
            <w:shd w:val="clear" w:color="auto" w:fill="auto"/>
            <w:noWrap/>
            <w:hideMark/>
          </w:tcPr>
          <w:p w14:paraId="3880BF82"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2016</w:t>
            </w:r>
          </w:p>
        </w:tc>
        <w:tc>
          <w:tcPr>
            <w:tcW w:w="1559" w:type="dxa"/>
            <w:tcBorders>
              <w:top w:val="nil"/>
              <w:left w:val="nil"/>
              <w:bottom w:val="single" w:sz="4" w:space="0" w:color="auto"/>
              <w:right w:val="single" w:sz="4" w:space="0" w:color="auto"/>
            </w:tcBorders>
            <w:shd w:val="clear" w:color="auto" w:fill="auto"/>
            <w:hideMark/>
          </w:tcPr>
          <w:p w14:paraId="3E3FB5BE"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СД. E10, E11-E14 (D)</w:t>
            </w:r>
          </w:p>
        </w:tc>
        <w:tc>
          <w:tcPr>
            <w:tcW w:w="1701" w:type="dxa"/>
            <w:tcBorders>
              <w:top w:val="nil"/>
              <w:left w:val="nil"/>
              <w:bottom w:val="single" w:sz="4" w:space="0" w:color="auto"/>
              <w:right w:val="single" w:sz="4" w:space="0" w:color="auto"/>
            </w:tcBorders>
            <w:shd w:val="clear" w:color="auto" w:fill="auto"/>
            <w:hideMark/>
          </w:tcPr>
          <w:p w14:paraId="2D2C19DC"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30 391</w:t>
            </w:r>
          </w:p>
        </w:tc>
        <w:tc>
          <w:tcPr>
            <w:tcW w:w="1701" w:type="dxa"/>
            <w:tcBorders>
              <w:top w:val="nil"/>
              <w:left w:val="nil"/>
              <w:bottom w:val="single" w:sz="4" w:space="0" w:color="auto"/>
              <w:right w:val="single" w:sz="4" w:space="0" w:color="auto"/>
            </w:tcBorders>
            <w:shd w:val="clear" w:color="auto" w:fill="auto"/>
            <w:hideMark/>
          </w:tcPr>
          <w:p w14:paraId="0FE8CC9D"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255 783</w:t>
            </w:r>
          </w:p>
        </w:tc>
        <w:tc>
          <w:tcPr>
            <w:tcW w:w="1843" w:type="dxa"/>
            <w:tcBorders>
              <w:top w:val="nil"/>
              <w:left w:val="nil"/>
              <w:bottom w:val="single" w:sz="4" w:space="0" w:color="auto"/>
              <w:right w:val="single" w:sz="4" w:space="0" w:color="auto"/>
            </w:tcBorders>
            <w:shd w:val="clear" w:color="auto" w:fill="auto"/>
            <w:hideMark/>
          </w:tcPr>
          <w:p w14:paraId="70FE65A5"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749031432,94</w:t>
            </w:r>
          </w:p>
        </w:tc>
        <w:tc>
          <w:tcPr>
            <w:tcW w:w="1417" w:type="dxa"/>
            <w:tcBorders>
              <w:top w:val="nil"/>
              <w:left w:val="nil"/>
              <w:bottom w:val="single" w:sz="4" w:space="0" w:color="auto"/>
              <w:right w:val="single" w:sz="4" w:space="0" w:color="auto"/>
            </w:tcBorders>
            <w:shd w:val="clear" w:color="auto" w:fill="auto"/>
            <w:hideMark/>
          </w:tcPr>
          <w:p w14:paraId="6A8E5723"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30 123</w:t>
            </w:r>
          </w:p>
        </w:tc>
        <w:tc>
          <w:tcPr>
            <w:tcW w:w="1985" w:type="dxa"/>
            <w:tcBorders>
              <w:top w:val="nil"/>
              <w:left w:val="nil"/>
              <w:bottom w:val="single" w:sz="4" w:space="0" w:color="auto"/>
              <w:right w:val="single" w:sz="4" w:space="0" w:color="auto"/>
            </w:tcBorders>
            <w:shd w:val="clear" w:color="auto" w:fill="auto"/>
            <w:hideMark/>
          </w:tcPr>
          <w:p w14:paraId="71B1BEA4"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247 727</w:t>
            </w:r>
          </w:p>
        </w:tc>
        <w:tc>
          <w:tcPr>
            <w:tcW w:w="1843" w:type="dxa"/>
            <w:tcBorders>
              <w:top w:val="nil"/>
              <w:left w:val="nil"/>
              <w:bottom w:val="single" w:sz="4" w:space="0" w:color="auto"/>
              <w:right w:val="single" w:sz="4" w:space="0" w:color="auto"/>
            </w:tcBorders>
            <w:shd w:val="clear" w:color="auto" w:fill="auto"/>
            <w:hideMark/>
          </w:tcPr>
          <w:p w14:paraId="4AEB8D1E"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723547926,92</w:t>
            </w:r>
          </w:p>
        </w:tc>
        <w:tc>
          <w:tcPr>
            <w:tcW w:w="1842" w:type="dxa"/>
            <w:tcBorders>
              <w:top w:val="nil"/>
              <w:left w:val="nil"/>
              <w:bottom w:val="single" w:sz="4" w:space="0" w:color="auto"/>
              <w:right w:val="single" w:sz="4" w:space="0" w:color="auto"/>
            </w:tcBorders>
            <w:shd w:val="clear" w:color="auto" w:fill="auto"/>
            <w:hideMark/>
          </w:tcPr>
          <w:p w14:paraId="49919555"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24 019,78</w:t>
            </w:r>
          </w:p>
        </w:tc>
      </w:tr>
      <w:tr w:rsidR="004954F5" w:rsidRPr="004954F5" w14:paraId="08D0CE4E" w14:textId="77777777" w:rsidTr="004954F5">
        <w:trPr>
          <w:trHeight w:val="495"/>
        </w:trPr>
        <w:tc>
          <w:tcPr>
            <w:tcW w:w="851" w:type="dxa"/>
            <w:tcBorders>
              <w:top w:val="nil"/>
              <w:left w:val="single" w:sz="4" w:space="0" w:color="auto"/>
              <w:bottom w:val="single" w:sz="4" w:space="0" w:color="auto"/>
              <w:right w:val="single" w:sz="4" w:space="0" w:color="auto"/>
            </w:tcBorders>
            <w:shd w:val="clear" w:color="auto" w:fill="auto"/>
            <w:noWrap/>
            <w:hideMark/>
          </w:tcPr>
          <w:p w14:paraId="2BEF5E06"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2017</w:t>
            </w:r>
          </w:p>
        </w:tc>
        <w:tc>
          <w:tcPr>
            <w:tcW w:w="1559" w:type="dxa"/>
            <w:tcBorders>
              <w:top w:val="nil"/>
              <w:left w:val="nil"/>
              <w:bottom w:val="single" w:sz="4" w:space="0" w:color="auto"/>
              <w:right w:val="single" w:sz="4" w:space="0" w:color="auto"/>
            </w:tcBorders>
            <w:shd w:val="clear" w:color="auto" w:fill="auto"/>
            <w:hideMark/>
          </w:tcPr>
          <w:p w14:paraId="18F6C61A"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СД. E10, E11-E14 (D)</w:t>
            </w:r>
          </w:p>
        </w:tc>
        <w:tc>
          <w:tcPr>
            <w:tcW w:w="1701" w:type="dxa"/>
            <w:tcBorders>
              <w:top w:val="nil"/>
              <w:left w:val="nil"/>
              <w:bottom w:val="single" w:sz="4" w:space="0" w:color="auto"/>
              <w:right w:val="single" w:sz="4" w:space="0" w:color="auto"/>
            </w:tcBorders>
            <w:shd w:val="clear" w:color="auto" w:fill="auto"/>
            <w:hideMark/>
          </w:tcPr>
          <w:p w14:paraId="4E1A9695"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33 835</w:t>
            </w:r>
          </w:p>
        </w:tc>
        <w:tc>
          <w:tcPr>
            <w:tcW w:w="1701" w:type="dxa"/>
            <w:tcBorders>
              <w:top w:val="nil"/>
              <w:left w:val="nil"/>
              <w:bottom w:val="single" w:sz="4" w:space="0" w:color="auto"/>
              <w:right w:val="single" w:sz="4" w:space="0" w:color="auto"/>
            </w:tcBorders>
            <w:shd w:val="clear" w:color="auto" w:fill="auto"/>
            <w:hideMark/>
          </w:tcPr>
          <w:p w14:paraId="6D0FA260"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387 065</w:t>
            </w:r>
          </w:p>
        </w:tc>
        <w:tc>
          <w:tcPr>
            <w:tcW w:w="1843" w:type="dxa"/>
            <w:tcBorders>
              <w:top w:val="nil"/>
              <w:left w:val="nil"/>
              <w:bottom w:val="single" w:sz="4" w:space="0" w:color="auto"/>
              <w:right w:val="single" w:sz="4" w:space="0" w:color="auto"/>
            </w:tcBorders>
            <w:shd w:val="clear" w:color="auto" w:fill="auto"/>
            <w:hideMark/>
          </w:tcPr>
          <w:p w14:paraId="0BD52B53"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2032341775,82</w:t>
            </w:r>
          </w:p>
        </w:tc>
        <w:tc>
          <w:tcPr>
            <w:tcW w:w="1417" w:type="dxa"/>
            <w:tcBorders>
              <w:top w:val="nil"/>
              <w:left w:val="nil"/>
              <w:bottom w:val="single" w:sz="4" w:space="0" w:color="auto"/>
              <w:right w:val="single" w:sz="4" w:space="0" w:color="auto"/>
            </w:tcBorders>
            <w:shd w:val="clear" w:color="auto" w:fill="auto"/>
            <w:hideMark/>
          </w:tcPr>
          <w:p w14:paraId="0BEBB8BE"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33 148</w:t>
            </w:r>
          </w:p>
        </w:tc>
        <w:tc>
          <w:tcPr>
            <w:tcW w:w="1985" w:type="dxa"/>
            <w:tcBorders>
              <w:top w:val="nil"/>
              <w:left w:val="nil"/>
              <w:bottom w:val="single" w:sz="4" w:space="0" w:color="auto"/>
              <w:right w:val="single" w:sz="4" w:space="0" w:color="auto"/>
            </w:tcBorders>
            <w:shd w:val="clear" w:color="auto" w:fill="auto"/>
            <w:hideMark/>
          </w:tcPr>
          <w:p w14:paraId="6D1AFD3B"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352 260</w:t>
            </w:r>
          </w:p>
        </w:tc>
        <w:tc>
          <w:tcPr>
            <w:tcW w:w="1843" w:type="dxa"/>
            <w:tcBorders>
              <w:top w:val="nil"/>
              <w:left w:val="nil"/>
              <w:bottom w:val="single" w:sz="4" w:space="0" w:color="auto"/>
              <w:right w:val="single" w:sz="4" w:space="0" w:color="auto"/>
            </w:tcBorders>
            <w:shd w:val="clear" w:color="auto" w:fill="auto"/>
            <w:hideMark/>
          </w:tcPr>
          <w:p w14:paraId="3F71A0B8"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1864944358,90</w:t>
            </w:r>
          </w:p>
        </w:tc>
        <w:tc>
          <w:tcPr>
            <w:tcW w:w="1842" w:type="dxa"/>
            <w:tcBorders>
              <w:top w:val="nil"/>
              <w:left w:val="nil"/>
              <w:bottom w:val="single" w:sz="4" w:space="0" w:color="auto"/>
              <w:right w:val="single" w:sz="4" w:space="0" w:color="auto"/>
            </w:tcBorders>
            <w:shd w:val="clear" w:color="auto" w:fill="auto"/>
            <w:hideMark/>
          </w:tcPr>
          <w:p w14:paraId="052F760F"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56 261,14</w:t>
            </w:r>
          </w:p>
        </w:tc>
      </w:tr>
      <w:tr w:rsidR="004954F5" w:rsidRPr="004954F5" w14:paraId="426D7F49" w14:textId="77777777" w:rsidTr="004954F5">
        <w:trPr>
          <w:trHeight w:val="372"/>
        </w:trPr>
        <w:tc>
          <w:tcPr>
            <w:tcW w:w="851" w:type="dxa"/>
            <w:vMerge w:val="restart"/>
            <w:tcBorders>
              <w:top w:val="nil"/>
              <w:left w:val="single" w:sz="4" w:space="0" w:color="auto"/>
              <w:bottom w:val="single" w:sz="4" w:space="0" w:color="auto"/>
              <w:right w:val="single" w:sz="4" w:space="0" w:color="auto"/>
            </w:tcBorders>
            <w:shd w:val="clear" w:color="auto" w:fill="auto"/>
            <w:noWrap/>
            <w:hideMark/>
          </w:tcPr>
          <w:p w14:paraId="4D874A4C"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2018</w:t>
            </w:r>
          </w:p>
        </w:tc>
        <w:tc>
          <w:tcPr>
            <w:tcW w:w="1559" w:type="dxa"/>
            <w:tcBorders>
              <w:top w:val="nil"/>
              <w:left w:val="nil"/>
              <w:bottom w:val="single" w:sz="4" w:space="0" w:color="auto"/>
              <w:right w:val="single" w:sz="4" w:space="0" w:color="auto"/>
            </w:tcBorders>
            <w:shd w:val="clear" w:color="auto" w:fill="auto"/>
            <w:hideMark/>
          </w:tcPr>
          <w:p w14:paraId="5A3A15C8" w14:textId="7079C870"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СД. E11, Е10</w:t>
            </w:r>
          </w:p>
        </w:tc>
        <w:tc>
          <w:tcPr>
            <w:tcW w:w="1701" w:type="dxa"/>
            <w:tcBorders>
              <w:top w:val="nil"/>
              <w:left w:val="nil"/>
              <w:bottom w:val="single" w:sz="4" w:space="0" w:color="auto"/>
              <w:right w:val="single" w:sz="4" w:space="0" w:color="auto"/>
            </w:tcBorders>
            <w:shd w:val="clear" w:color="auto" w:fill="auto"/>
            <w:hideMark/>
          </w:tcPr>
          <w:p w14:paraId="01628123"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35 613</w:t>
            </w:r>
          </w:p>
        </w:tc>
        <w:tc>
          <w:tcPr>
            <w:tcW w:w="1701" w:type="dxa"/>
            <w:tcBorders>
              <w:top w:val="nil"/>
              <w:left w:val="nil"/>
              <w:bottom w:val="single" w:sz="4" w:space="0" w:color="auto"/>
              <w:right w:val="single" w:sz="4" w:space="0" w:color="auto"/>
            </w:tcBorders>
            <w:shd w:val="clear" w:color="auto" w:fill="auto"/>
            <w:hideMark/>
          </w:tcPr>
          <w:p w14:paraId="3B00C946"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341 872</w:t>
            </w:r>
          </w:p>
        </w:tc>
        <w:tc>
          <w:tcPr>
            <w:tcW w:w="1843" w:type="dxa"/>
            <w:tcBorders>
              <w:top w:val="nil"/>
              <w:left w:val="nil"/>
              <w:bottom w:val="single" w:sz="4" w:space="0" w:color="auto"/>
              <w:right w:val="single" w:sz="4" w:space="0" w:color="auto"/>
            </w:tcBorders>
            <w:shd w:val="clear" w:color="auto" w:fill="auto"/>
            <w:hideMark/>
          </w:tcPr>
          <w:p w14:paraId="283646B1"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2181532793,36</w:t>
            </w:r>
          </w:p>
        </w:tc>
        <w:tc>
          <w:tcPr>
            <w:tcW w:w="1417" w:type="dxa"/>
            <w:tcBorders>
              <w:top w:val="nil"/>
              <w:left w:val="nil"/>
              <w:bottom w:val="single" w:sz="4" w:space="0" w:color="auto"/>
              <w:right w:val="single" w:sz="4" w:space="0" w:color="auto"/>
            </w:tcBorders>
            <w:shd w:val="clear" w:color="auto" w:fill="auto"/>
            <w:hideMark/>
          </w:tcPr>
          <w:p w14:paraId="4542C573"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35 012</w:t>
            </w:r>
          </w:p>
        </w:tc>
        <w:tc>
          <w:tcPr>
            <w:tcW w:w="1985" w:type="dxa"/>
            <w:tcBorders>
              <w:top w:val="nil"/>
              <w:left w:val="nil"/>
              <w:bottom w:val="single" w:sz="4" w:space="0" w:color="auto"/>
              <w:right w:val="single" w:sz="4" w:space="0" w:color="auto"/>
            </w:tcBorders>
            <w:shd w:val="clear" w:color="auto" w:fill="auto"/>
            <w:hideMark/>
          </w:tcPr>
          <w:p w14:paraId="2D9D9BC1"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314 949</w:t>
            </w:r>
          </w:p>
        </w:tc>
        <w:tc>
          <w:tcPr>
            <w:tcW w:w="1843" w:type="dxa"/>
            <w:tcBorders>
              <w:top w:val="nil"/>
              <w:left w:val="nil"/>
              <w:bottom w:val="single" w:sz="4" w:space="0" w:color="auto"/>
              <w:right w:val="single" w:sz="4" w:space="0" w:color="auto"/>
            </w:tcBorders>
            <w:shd w:val="clear" w:color="auto" w:fill="auto"/>
            <w:hideMark/>
          </w:tcPr>
          <w:p w14:paraId="126CFFD3"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1967180871,27</w:t>
            </w:r>
          </w:p>
        </w:tc>
        <w:tc>
          <w:tcPr>
            <w:tcW w:w="1842" w:type="dxa"/>
            <w:tcBorders>
              <w:top w:val="nil"/>
              <w:left w:val="nil"/>
              <w:bottom w:val="single" w:sz="4" w:space="0" w:color="auto"/>
              <w:right w:val="single" w:sz="4" w:space="0" w:color="auto"/>
            </w:tcBorders>
            <w:shd w:val="clear" w:color="auto" w:fill="auto"/>
            <w:hideMark/>
          </w:tcPr>
          <w:p w14:paraId="7A9F0AC7"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56 185,90</w:t>
            </w:r>
          </w:p>
        </w:tc>
      </w:tr>
      <w:tr w:rsidR="004954F5" w:rsidRPr="004954F5" w14:paraId="3C6796E0" w14:textId="77777777" w:rsidTr="004954F5">
        <w:trPr>
          <w:trHeight w:val="375"/>
        </w:trPr>
        <w:tc>
          <w:tcPr>
            <w:tcW w:w="851" w:type="dxa"/>
            <w:vMerge/>
            <w:tcBorders>
              <w:top w:val="nil"/>
              <w:left w:val="single" w:sz="4" w:space="0" w:color="auto"/>
              <w:bottom w:val="single" w:sz="4" w:space="0" w:color="auto"/>
              <w:right w:val="single" w:sz="4" w:space="0" w:color="auto"/>
            </w:tcBorders>
            <w:vAlign w:val="center"/>
            <w:hideMark/>
          </w:tcPr>
          <w:p w14:paraId="7DB8EB42" w14:textId="77777777" w:rsidR="0066583A" w:rsidRPr="004954F5" w:rsidRDefault="0066583A" w:rsidP="004954F5">
            <w:pPr>
              <w:spacing w:after="0" w:line="240" w:lineRule="auto"/>
              <w:jc w:val="center"/>
              <w:rPr>
                <w:rFonts w:ascii="Times New Roman" w:hAnsi="Times New Roman" w:cs="Times New Roman"/>
                <w:sz w:val="24"/>
                <w:szCs w:val="24"/>
              </w:rPr>
            </w:pPr>
          </w:p>
        </w:tc>
        <w:tc>
          <w:tcPr>
            <w:tcW w:w="1559" w:type="dxa"/>
            <w:tcBorders>
              <w:top w:val="nil"/>
              <w:left w:val="nil"/>
              <w:bottom w:val="single" w:sz="4" w:space="0" w:color="auto"/>
              <w:right w:val="single" w:sz="4" w:space="0" w:color="auto"/>
            </w:tcBorders>
            <w:shd w:val="clear" w:color="auto" w:fill="auto"/>
            <w:hideMark/>
          </w:tcPr>
          <w:p w14:paraId="3A2637B7"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СД. E10, E11-E14 (D)</w:t>
            </w:r>
          </w:p>
        </w:tc>
        <w:tc>
          <w:tcPr>
            <w:tcW w:w="1701" w:type="dxa"/>
            <w:tcBorders>
              <w:top w:val="nil"/>
              <w:left w:val="nil"/>
              <w:bottom w:val="single" w:sz="4" w:space="0" w:color="auto"/>
              <w:right w:val="single" w:sz="4" w:space="0" w:color="auto"/>
            </w:tcBorders>
            <w:shd w:val="clear" w:color="auto" w:fill="auto"/>
            <w:hideMark/>
          </w:tcPr>
          <w:p w14:paraId="67344151"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9 141</w:t>
            </w:r>
          </w:p>
        </w:tc>
        <w:tc>
          <w:tcPr>
            <w:tcW w:w="1701" w:type="dxa"/>
            <w:tcBorders>
              <w:top w:val="nil"/>
              <w:left w:val="nil"/>
              <w:bottom w:val="single" w:sz="4" w:space="0" w:color="auto"/>
              <w:right w:val="single" w:sz="4" w:space="0" w:color="auto"/>
            </w:tcBorders>
            <w:shd w:val="clear" w:color="auto" w:fill="auto"/>
            <w:hideMark/>
          </w:tcPr>
          <w:p w14:paraId="5ABAB876"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22 908</w:t>
            </w:r>
          </w:p>
        </w:tc>
        <w:tc>
          <w:tcPr>
            <w:tcW w:w="1843" w:type="dxa"/>
            <w:tcBorders>
              <w:top w:val="nil"/>
              <w:left w:val="nil"/>
              <w:bottom w:val="single" w:sz="4" w:space="0" w:color="auto"/>
              <w:right w:val="single" w:sz="4" w:space="0" w:color="auto"/>
            </w:tcBorders>
            <w:shd w:val="clear" w:color="auto" w:fill="auto"/>
            <w:hideMark/>
          </w:tcPr>
          <w:p w14:paraId="48436042"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133882542,87</w:t>
            </w:r>
          </w:p>
        </w:tc>
        <w:tc>
          <w:tcPr>
            <w:tcW w:w="1417" w:type="dxa"/>
            <w:tcBorders>
              <w:top w:val="nil"/>
              <w:left w:val="nil"/>
              <w:bottom w:val="single" w:sz="4" w:space="0" w:color="auto"/>
              <w:right w:val="single" w:sz="4" w:space="0" w:color="auto"/>
            </w:tcBorders>
            <w:shd w:val="clear" w:color="auto" w:fill="auto"/>
            <w:hideMark/>
          </w:tcPr>
          <w:p w14:paraId="5BD09233"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8 794</w:t>
            </w:r>
          </w:p>
        </w:tc>
        <w:tc>
          <w:tcPr>
            <w:tcW w:w="1985" w:type="dxa"/>
            <w:tcBorders>
              <w:top w:val="nil"/>
              <w:left w:val="nil"/>
              <w:bottom w:val="single" w:sz="4" w:space="0" w:color="auto"/>
              <w:right w:val="single" w:sz="4" w:space="0" w:color="auto"/>
            </w:tcBorders>
            <w:shd w:val="clear" w:color="auto" w:fill="auto"/>
            <w:hideMark/>
          </w:tcPr>
          <w:p w14:paraId="6B85A0A4"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21 829</w:t>
            </w:r>
          </w:p>
        </w:tc>
        <w:tc>
          <w:tcPr>
            <w:tcW w:w="1843" w:type="dxa"/>
            <w:tcBorders>
              <w:top w:val="nil"/>
              <w:left w:val="nil"/>
              <w:bottom w:val="single" w:sz="4" w:space="0" w:color="auto"/>
              <w:right w:val="single" w:sz="4" w:space="0" w:color="auto"/>
            </w:tcBorders>
            <w:shd w:val="clear" w:color="auto" w:fill="auto"/>
            <w:hideMark/>
          </w:tcPr>
          <w:p w14:paraId="0070A5EC"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126386849,97</w:t>
            </w:r>
          </w:p>
        </w:tc>
        <w:tc>
          <w:tcPr>
            <w:tcW w:w="1842" w:type="dxa"/>
            <w:tcBorders>
              <w:top w:val="nil"/>
              <w:left w:val="nil"/>
              <w:bottom w:val="single" w:sz="4" w:space="0" w:color="auto"/>
              <w:right w:val="single" w:sz="4" w:space="0" w:color="auto"/>
            </w:tcBorders>
            <w:shd w:val="clear" w:color="auto" w:fill="auto"/>
            <w:hideMark/>
          </w:tcPr>
          <w:p w14:paraId="7C9A0966"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14 371,94</w:t>
            </w:r>
          </w:p>
        </w:tc>
      </w:tr>
      <w:tr w:rsidR="004954F5" w:rsidRPr="004954F5" w14:paraId="58BEA0AC" w14:textId="77777777" w:rsidTr="004954F5">
        <w:trPr>
          <w:trHeight w:val="488"/>
        </w:trPr>
        <w:tc>
          <w:tcPr>
            <w:tcW w:w="851" w:type="dxa"/>
            <w:vMerge w:val="restart"/>
            <w:tcBorders>
              <w:top w:val="nil"/>
              <w:left w:val="single" w:sz="4" w:space="0" w:color="auto"/>
              <w:bottom w:val="single" w:sz="4" w:space="0" w:color="auto"/>
              <w:right w:val="single" w:sz="4" w:space="0" w:color="auto"/>
            </w:tcBorders>
            <w:shd w:val="clear" w:color="auto" w:fill="auto"/>
            <w:noWrap/>
            <w:hideMark/>
          </w:tcPr>
          <w:p w14:paraId="6D13E850"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2019</w:t>
            </w:r>
          </w:p>
        </w:tc>
        <w:tc>
          <w:tcPr>
            <w:tcW w:w="1559" w:type="dxa"/>
            <w:tcBorders>
              <w:top w:val="nil"/>
              <w:left w:val="nil"/>
              <w:bottom w:val="single" w:sz="4" w:space="0" w:color="auto"/>
              <w:right w:val="single" w:sz="4" w:space="0" w:color="auto"/>
            </w:tcBorders>
            <w:shd w:val="clear" w:color="auto" w:fill="auto"/>
            <w:hideMark/>
          </w:tcPr>
          <w:p w14:paraId="2FC43635" w14:textId="0B0B5AF0"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СД. E11, Е10</w:t>
            </w:r>
          </w:p>
        </w:tc>
        <w:tc>
          <w:tcPr>
            <w:tcW w:w="1701" w:type="dxa"/>
            <w:tcBorders>
              <w:top w:val="nil"/>
              <w:left w:val="nil"/>
              <w:bottom w:val="single" w:sz="4" w:space="0" w:color="auto"/>
              <w:right w:val="single" w:sz="4" w:space="0" w:color="auto"/>
            </w:tcBorders>
            <w:shd w:val="clear" w:color="auto" w:fill="auto"/>
            <w:hideMark/>
          </w:tcPr>
          <w:p w14:paraId="15604D86"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35 278</w:t>
            </w:r>
          </w:p>
        </w:tc>
        <w:tc>
          <w:tcPr>
            <w:tcW w:w="1701" w:type="dxa"/>
            <w:tcBorders>
              <w:top w:val="nil"/>
              <w:left w:val="nil"/>
              <w:bottom w:val="single" w:sz="4" w:space="0" w:color="auto"/>
              <w:right w:val="single" w:sz="4" w:space="0" w:color="auto"/>
            </w:tcBorders>
            <w:shd w:val="clear" w:color="auto" w:fill="auto"/>
            <w:hideMark/>
          </w:tcPr>
          <w:p w14:paraId="2A8ABEFC"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350 171</w:t>
            </w:r>
          </w:p>
        </w:tc>
        <w:tc>
          <w:tcPr>
            <w:tcW w:w="1843" w:type="dxa"/>
            <w:tcBorders>
              <w:top w:val="nil"/>
              <w:left w:val="nil"/>
              <w:bottom w:val="single" w:sz="4" w:space="0" w:color="auto"/>
              <w:right w:val="single" w:sz="4" w:space="0" w:color="auto"/>
            </w:tcBorders>
            <w:shd w:val="clear" w:color="auto" w:fill="auto"/>
            <w:hideMark/>
          </w:tcPr>
          <w:p w14:paraId="27CD90F5"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2335048663,29</w:t>
            </w:r>
          </w:p>
        </w:tc>
        <w:tc>
          <w:tcPr>
            <w:tcW w:w="1417" w:type="dxa"/>
            <w:tcBorders>
              <w:top w:val="nil"/>
              <w:left w:val="nil"/>
              <w:bottom w:val="single" w:sz="4" w:space="0" w:color="auto"/>
              <w:right w:val="single" w:sz="4" w:space="0" w:color="auto"/>
            </w:tcBorders>
            <w:shd w:val="clear" w:color="auto" w:fill="auto"/>
            <w:hideMark/>
          </w:tcPr>
          <w:p w14:paraId="143EBE74"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35 237</w:t>
            </w:r>
          </w:p>
        </w:tc>
        <w:tc>
          <w:tcPr>
            <w:tcW w:w="1985" w:type="dxa"/>
            <w:tcBorders>
              <w:top w:val="nil"/>
              <w:left w:val="nil"/>
              <w:bottom w:val="single" w:sz="4" w:space="0" w:color="auto"/>
              <w:right w:val="single" w:sz="4" w:space="0" w:color="auto"/>
            </w:tcBorders>
            <w:shd w:val="clear" w:color="auto" w:fill="auto"/>
            <w:hideMark/>
          </w:tcPr>
          <w:p w14:paraId="461D2B80"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341 164</w:t>
            </w:r>
          </w:p>
        </w:tc>
        <w:tc>
          <w:tcPr>
            <w:tcW w:w="1843" w:type="dxa"/>
            <w:tcBorders>
              <w:top w:val="nil"/>
              <w:left w:val="nil"/>
              <w:bottom w:val="single" w:sz="4" w:space="0" w:color="auto"/>
              <w:right w:val="single" w:sz="4" w:space="0" w:color="auto"/>
            </w:tcBorders>
            <w:shd w:val="clear" w:color="auto" w:fill="auto"/>
            <w:hideMark/>
          </w:tcPr>
          <w:p w14:paraId="681AB2A7"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2272385851,27</w:t>
            </w:r>
          </w:p>
        </w:tc>
        <w:tc>
          <w:tcPr>
            <w:tcW w:w="1842" w:type="dxa"/>
            <w:tcBorders>
              <w:top w:val="nil"/>
              <w:left w:val="nil"/>
              <w:bottom w:val="single" w:sz="4" w:space="0" w:color="auto"/>
              <w:right w:val="single" w:sz="4" w:space="0" w:color="auto"/>
            </w:tcBorders>
            <w:shd w:val="clear" w:color="auto" w:fill="auto"/>
            <w:hideMark/>
          </w:tcPr>
          <w:p w14:paraId="634492BF"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64 488,63</w:t>
            </w:r>
          </w:p>
        </w:tc>
      </w:tr>
      <w:tr w:rsidR="004954F5" w:rsidRPr="004954F5" w14:paraId="25FBDF66" w14:textId="77777777" w:rsidTr="004954F5">
        <w:trPr>
          <w:trHeight w:val="465"/>
        </w:trPr>
        <w:tc>
          <w:tcPr>
            <w:tcW w:w="851" w:type="dxa"/>
            <w:vMerge/>
            <w:tcBorders>
              <w:top w:val="nil"/>
              <w:left w:val="single" w:sz="4" w:space="0" w:color="auto"/>
              <w:bottom w:val="single" w:sz="4" w:space="0" w:color="auto"/>
              <w:right w:val="single" w:sz="4" w:space="0" w:color="auto"/>
            </w:tcBorders>
            <w:vAlign w:val="center"/>
            <w:hideMark/>
          </w:tcPr>
          <w:p w14:paraId="2426C6EB" w14:textId="77777777" w:rsidR="0066583A" w:rsidRPr="004954F5" w:rsidRDefault="0066583A" w:rsidP="004954F5">
            <w:pPr>
              <w:spacing w:after="0" w:line="240" w:lineRule="auto"/>
              <w:jc w:val="center"/>
              <w:rPr>
                <w:rFonts w:ascii="Times New Roman" w:hAnsi="Times New Roman" w:cs="Times New Roman"/>
                <w:sz w:val="24"/>
                <w:szCs w:val="24"/>
              </w:rPr>
            </w:pPr>
          </w:p>
        </w:tc>
        <w:tc>
          <w:tcPr>
            <w:tcW w:w="1559" w:type="dxa"/>
            <w:tcBorders>
              <w:top w:val="nil"/>
              <w:left w:val="nil"/>
              <w:bottom w:val="single" w:sz="4" w:space="0" w:color="auto"/>
              <w:right w:val="single" w:sz="4" w:space="0" w:color="auto"/>
            </w:tcBorders>
            <w:shd w:val="clear" w:color="auto" w:fill="auto"/>
            <w:hideMark/>
          </w:tcPr>
          <w:p w14:paraId="7EA9F671"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СД. E10, E11-E14 (D)</w:t>
            </w:r>
          </w:p>
        </w:tc>
        <w:tc>
          <w:tcPr>
            <w:tcW w:w="1701" w:type="dxa"/>
            <w:tcBorders>
              <w:top w:val="nil"/>
              <w:left w:val="nil"/>
              <w:bottom w:val="single" w:sz="4" w:space="0" w:color="auto"/>
              <w:right w:val="single" w:sz="4" w:space="0" w:color="auto"/>
            </w:tcBorders>
            <w:shd w:val="clear" w:color="auto" w:fill="auto"/>
            <w:hideMark/>
          </w:tcPr>
          <w:p w14:paraId="59603B6B"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0</w:t>
            </w:r>
          </w:p>
        </w:tc>
        <w:tc>
          <w:tcPr>
            <w:tcW w:w="1701" w:type="dxa"/>
            <w:tcBorders>
              <w:top w:val="nil"/>
              <w:left w:val="nil"/>
              <w:bottom w:val="single" w:sz="4" w:space="0" w:color="auto"/>
              <w:right w:val="single" w:sz="4" w:space="0" w:color="auto"/>
            </w:tcBorders>
            <w:shd w:val="clear" w:color="auto" w:fill="auto"/>
            <w:hideMark/>
          </w:tcPr>
          <w:p w14:paraId="5BD46723"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0</w:t>
            </w:r>
          </w:p>
        </w:tc>
        <w:tc>
          <w:tcPr>
            <w:tcW w:w="1843" w:type="dxa"/>
            <w:tcBorders>
              <w:top w:val="nil"/>
              <w:left w:val="nil"/>
              <w:bottom w:val="single" w:sz="4" w:space="0" w:color="auto"/>
              <w:right w:val="single" w:sz="4" w:space="0" w:color="auto"/>
            </w:tcBorders>
            <w:shd w:val="clear" w:color="auto" w:fill="auto"/>
            <w:hideMark/>
          </w:tcPr>
          <w:p w14:paraId="7E859FCC"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0</w:t>
            </w:r>
          </w:p>
        </w:tc>
        <w:tc>
          <w:tcPr>
            <w:tcW w:w="1417" w:type="dxa"/>
            <w:tcBorders>
              <w:top w:val="nil"/>
              <w:left w:val="nil"/>
              <w:bottom w:val="single" w:sz="4" w:space="0" w:color="auto"/>
              <w:right w:val="single" w:sz="4" w:space="0" w:color="auto"/>
            </w:tcBorders>
            <w:shd w:val="clear" w:color="auto" w:fill="auto"/>
            <w:hideMark/>
          </w:tcPr>
          <w:p w14:paraId="67505F80"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11</w:t>
            </w:r>
          </w:p>
        </w:tc>
        <w:tc>
          <w:tcPr>
            <w:tcW w:w="1985" w:type="dxa"/>
            <w:tcBorders>
              <w:top w:val="nil"/>
              <w:left w:val="nil"/>
              <w:bottom w:val="single" w:sz="4" w:space="0" w:color="auto"/>
              <w:right w:val="single" w:sz="4" w:space="0" w:color="auto"/>
            </w:tcBorders>
            <w:shd w:val="clear" w:color="auto" w:fill="auto"/>
            <w:hideMark/>
          </w:tcPr>
          <w:p w14:paraId="116C9E39"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11</w:t>
            </w:r>
          </w:p>
        </w:tc>
        <w:tc>
          <w:tcPr>
            <w:tcW w:w="1843" w:type="dxa"/>
            <w:tcBorders>
              <w:top w:val="nil"/>
              <w:left w:val="nil"/>
              <w:bottom w:val="single" w:sz="4" w:space="0" w:color="auto"/>
              <w:right w:val="single" w:sz="4" w:space="0" w:color="auto"/>
            </w:tcBorders>
            <w:shd w:val="clear" w:color="auto" w:fill="auto"/>
            <w:hideMark/>
          </w:tcPr>
          <w:p w14:paraId="0EFEB9B1"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43493,87</w:t>
            </w:r>
          </w:p>
        </w:tc>
        <w:tc>
          <w:tcPr>
            <w:tcW w:w="1842" w:type="dxa"/>
            <w:tcBorders>
              <w:top w:val="nil"/>
              <w:left w:val="nil"/>
              <w:bottom w:val="single" w:sz="4" w:space="0" w:color="auto"/>
              <w:right w:val="single" w:sz="4" w:space="0" w:color="auto"/>
            </w:tcBorders>
            <w:shd w:val="clear" w:color="auto" w:fill="auto"/>
            <w:hideMark/>
          </w:tcPr>
          <w:p w14:paraId="5D266BA1"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3 953,99</w:t>
            </w:r>
          </w:p>
        </w:tc>
      </w:tr>
      <w:tr w:rsidR="004954F5" w:rsidRPr="004954F5" w14:paraId="03F1F432" w14:textId="77777777" w:rsidTr="004954F5">
        <w:trPr>
          <w:trHeight w:val="450"/>
        </w:trPr>
        <w:tc>
          <w:tcPr>
            <w:tcW w:w="851" w:type="dxa"/>
            <w:tcBorders>
              <w:top w:val="nil"/>
              <w:left w:val="single" w:sz="4" w:space="0" w:color="auto"/>
              <w:bottom w:val="single" w:sz="4" w:space="0" w:color="auto"/>
              <w:right w:val="single" w:sz="4" w:space="0" w:color="auto"/>
            </w:tcBorders>
            <w:shd w:val="clear" w:color="auto" w:fill="auto"/>
            <w:noWrap/>
            <w:hideMark/>
          </w:tcPr>
          <w:p w14:paraId="4AB612B6"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2020</w:t>
            </w:r>
          </w:p>
        </w:tc>
        <w:tc>
          <w:tcPr>
            <w:tcW w:w="1559" w:type="dxa"/>
            <w:tcBorders>
              <w:top w:val="nil"/>
              <w:left w:val="nil"/>
              <w:bottom w:val="single" w:sz="4" w:space="0" w:color="auto"/>
              <w:right w:val="single" w:sz="4" w:space="0" w:color="auto"/>
            </w:tcBorders>
            <w:shd w:val="clear" w:color="auto" w:fill="auto"/>
            <w:hideMark/>
          </w:tcPr>
          <w:p w14:paraId="45F8B4F8"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СД. E10, E11-E14 (D)</w:t>
            </w:r>
          </w:p>
        </w:tc>
        <w:tc>
          <w:tcPr>
            <w:tcW w:w="1701" w:type="dxa"/>
            <w:tcBorders>
              <w:top w:val="nil"/>
              <w:left w:val="nil"/>
              <w:bottom w:val="single" w:sz="4" w:space="0" w:color="auto"/>
              <w:right w:val="single" w:sz="4" w:space="0" w:color="auto"/>
            </w:tcBorders>
            <w:shd w:val="clear" w:color="auto" w:fill="auto"/>
            <w:hideMark/>
          </w:tcPr>
          <w:p w14:paraId="71437AAA"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38 399</w:t>
            </w:r>
          </w:p>
        </w:tc>
        <w:tc>
          <w:tcPr>
            <w:tcW w:w="1701" w:type="dxa"/>
            <w:tcBorders>
              <w:top w:val="nil"/>
              <w:left w:val="nil"/>
              <w:bottom w:val="single" w:sz="4" w:space="0" w:color="auto"/>
              <w:right w:val="single" w:sz="4" w:space="0" w:color="auto"/>
            </w:tcBorders>
            <w:shd w:val="clear" w:color="auto" w:fill="auto"/>
            <w:hideMark/>
          </w:tcPr>
          <w:p w14:paraId="44C5AD2A"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378 447</w:t>
            </w:r>
          </w:p>
        </w:tc>
        <w:tc>
          <w:tcPr>
            <w:tcW w:w="1843" w:type="dxa"/>
            <w:tcBorders>
              <w:top w:val="nil"/>
              <w:left w:val="nil"/>
              <w:bottom w:val="single" w:sz="4" w:space="0" w:color="auto"/>
              <w:right w:val="single" w:sz="4" w:space="0" w:color="auto"/>
            </w:tcBorders>
            <w:shd w:val="clear" w:color="auto" w:fill="auto"/>
            <w:hideMark/>
          </w:tcPr>
          <w:p w14:paraId="6E910330"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3614677000,71</w:t>
            </w:r>
          </w:p>
        </w:tc>
        <w:tc>
          <w:tcPr>
            <w:tcW w:w="1417" w:type="dxa"/>
            <w:tcBorders>
              <w:top w:val="nil"/>
              <w:left w:val="nil"/>
              <w:bottom w:val="single" w:sz="4" w:space="0" w:color="auto"/>
              <w:right w:val="single" w:sz="4" w:space="0" w:color="auto"/>
            </w:tcBorders>
            <w:shd w:val="clear" w:color="auto" w:fill="auto"/>
            <w:hideMark/>
          </w:tcPr>
          <w:p w14:paraId="4C344DF6"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38 399</w:t>
            </w:r>
          </w:p>
        </w:tc>
        <w:tc>
          <w:tcPr>
            <w:tcW w:w="1985" w:type="dxa"/>
            <w:tcBorders>
              <w:top w:val="nil"/>
              <w:left w:val="nil"/>
              <w:bottom w:val="single" w:sz="4" w:space="0" w:color="auto"/>
              <w:right w:val="single" w:sz="4" w:space="0" w:color="auto"/>
            </w:tcBorders>
            <w:shd w:val="clear" w:color="auto" w:fill="auto"/>
            <w:hideMark/>
          </w:tcPr>
          <w:p w14:paraId="0D9FA439"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378 447</w:t>
            </w:r>
          </w:p>
        </w:tc>
        <w:tc>
          <w:tcPr>
            <w:tcW w:w="1843" w:type="dxa"/>
            <w:tcBorders>
              <w:top w:val="nil"/>
              <w:left w:val="nil"/>
              <w:bottom w:val="single" w:sz="4" w:space="0" w:color="auto"/>
              <w:right w:val="single" w:sz="4" w:space="0" w:color="auto"/>
            </w:tcBorders>
            <w:shd w:val="clear" w:color="auto" w:fill="auto"/>
            <w:hideMark/>
          </w:tcPr>
          <w:p w14:paraId="406BC79E"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3614677000,71</w:t>
            </w:r>
          </w:p>
        </w:tc>
        <w:tc>
          <w:tcPr>
            <w:tcW w:w="1842" w:type="dxa"/>
            <w:tcBorders>
              <w:top w:val="nil"/>
              <w:left w:val="nil"/>
              <w:bottom w:val="single" w:sz="4" w:space="0" w:color="auto"/>
              <w:right w:val="single" w:sz="4" w:space="0" w:color="auto"/>
            </w:tcBorders>
            <w:shd w:val="clear" w:color="auto" w:fill="auto"/>
            <w:hideMark/>
          </w:tcPr>
          <w:p w14:paraId="01D5D8FC"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95507,62</w:t>
            </w:r>
          </w:p>
        </w:tc>
      </w:tr>
      <w:tr w:rsidR="004954F5" w:rsidRPr="004954F5" w14:paraId="5A6DC701" w14:textId="77777777" w:rsidTr="004954F5">
        <w:trPr>
          <w:trHeight w:val="450"/>
        </w:trPr>
        <w:tc>
          <w:tcPr>
            <w:tcW w:w="851" w:type="dxa"/>
            <w:tcBorders>
              <w:top w:val="nil"/>
              <w:left w:val="single" w:sz="4" w:space="0" w:color="auto"/>
              <w:bottom w:val="single" w:sz="4" w:space="0" w:color="auto"/>
              <w:right w:val="single" w:sz="4" w:space="0" w:color="auto"/>
            </w:tcBorders>
            <w:shd w:val="clear" w:color="auto" w:fill="auto"/>
            <w:noWrap/>
            <w:hideMark/>
          </w:tcPr>
          <w:p w14:paraId="7431E1ED"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2021</w:t>
            </w:r>
          </w:p>
        </w:tc>
        <w:tc>
          <w:tcPr>
            <w:tcW w:w="1559" w:type="dxa"/>
            <w:tcBorders>
              <w:top w:val="nil"/>
              <w:left w:val="nil"/>
              <w:bottom w:val="single" w:sz="4" w:space="0" w:color="auto"/>
              <w:right w:val="single" w:sz="4" w:space="0" w:color="auto"/>
            </w:tcBorders>
            <w:shd w:val="clear" w:color="auto" w:fill="auto"/>
            <w:hideMark/>
          </w:tcPr>
          <w:p w14:paraId="38B54809"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СД. E10, E11-E14 (D)</w:t>
            </w:r>
          </w:p>
        </w:tc>
        <w:tc>
          <w:tcPr>
            <w:tcW w:w="1701" w:type="dxa"/>
            <w:tcBorders>
              <w:top w:val="nil"/>
              <w:left w:val="nil"/>
              <w:bottom w:val="single" w:sz="4" w:space="0" w:color="auto"/>
              <w:right w:val="single" w:sz="4" w:space="0" w:color="auto"/>
            </w:tcBorders>
            <w:shd w:val="clear" w:color="auto" w:fill="auto"/>
            <w:hideMark/>
          </w:tcPr>
          <w:p w14:paraId="1D995112"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43 085</w:t>
            </w:r>
          </w:p>
        </w:tc>
        <w:tc>
          <w:tcPr>
            <w:tcW w:w="1701" w:type="dxa"/>
            <w:tcBorders>
              <w:top w:val="nil"/>
              <w:left w:val="nil"/>
              <w:bottom w:val="single" w:sz="4" w:space="0" w:color="auto"/>
              <w:right w:val="single" w:sz="4" w:space="0" w:color="auto"/>
            </w:tcBorders>
            <w:shd w:val="clear" w:color="auto" w:fill="auto"/>
            <w:hideMark/>
          </w:tcPr>
          <w:p w14:paraId="1DC7E42D"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399 744</w:t>
            </w:r>
          </w:p>
        </w:tc>
        <w:tc>
          <w:tcPr>
            <w:tcW w:w="1843" w:type="dxa"/>
            <w:tcBorders>
              <w:top w:val="nil"/>
              <w:left w:val="nil"/>
              <w:bottom w:val="single" w:sz="4" w:space="0" w:color="auto"/>
              <w:right w:val="single" w:sz="4" w:space="0" w:color="auto"/>
            </w:tcBorders>
            <w:shd w:val="clear" w:color="auto" w:fill="auto"/>
            <w:hideMark/>
          </w:tcPr>
          <w:p w14:paraId="18895483"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5341889235,14</w:t>
            </w:r>
          </w:p>
        </w:tc>
        <w:tc>
          <w:tcPr>
            <w:tcW w:w="1417" w:type="dxa"/>
            <w:tcBorders>
              <w:top w:val="nil"/>
              <w:left w:val="nil"/>
              <w:bottom w:val="single" w:sz="4" w:space="0" w:color="auto"/>
              <w:right w:val="single" w:sz="4" w:space="0" w:color="auto"/>
            </w:tcBorders>
            <w:shd w:val="clear" w:color="auto" w:fill="auto"/>
            <w:hideMark/>
          </w:tcPr>
          <w:p w14:paraId="677BE7F9"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43 085</w:t>
            </w:r>
          </w:p>
        </w:tc>
        <w:tc>
          <w:tcPr>
            <w:tcW w:w="1985" w:type="dxa"/>
            <w:tcBorders>
              <w:top w:val="nil"/>
              <w:left w:val="nil"/>
              <w:bottom w:val="single" w:sz="4" w:space="0" w:color="auto"/>
              <w:right w:val="single" w:sz="4" w:space="0" w:color="auto"/>
            </w:tcBorders>
            <w:shd w:val="clear" w:color="auto" w:fill="auto"/>
            <w:hideMark/>
          </w:tcPr>
          <w:p w14:paraId="177F391D"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399744</w:t>
            </w:r>
          </w:p>
        </w:tc>
        <w:tc>
          <w:tcPr>
            <w:tcW w:w="1843" w:type="dxa"/>
            <w:tcBorders>
              <w:top w:val="nil"/>
              <w:left w:val="nil"/>
              <w:bottom w:val="single" w:sz="4" w:space="0" w:color="auto"/>
              <w:right w:val="single" w:sz="4" w:space="0" w:color="auto"/>
            </w:tcBorders>
            <w:shd w:val="clear" w:color="auto" w:fill="auto"/>
            <w:hideMark/>
          </w:tcPr>
          <w:p w14:paraId="06BED878"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5341889235,14</w:t>
            </w:r>
          </w:p>
        </w:tc>
        <w:tc>
          <w:tcPr>
            <w:tcW w:w="1842" w:type="dxa"/>
            <w:tcBorders>
              <w:top w:val="nil"/>
              <w:left w:val="nil"/>
              <w:bottom w:val="single" w:sz="4" w:space="0" w:color="auto"/>
              <w:right w:val="single" w:sz="4" w:space="0" w:color="auto"/>
            </w:tcBorders>
            <w:shd w:val="clear" w:color="auto" w:fill="auto"/>
            <w:hideMark/>
          </w:tcPr>
          <w:p w14:paraId="62831948"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126648,08</w:t>
            </w:r>
          </w:p>
        </w:tc>
      </w:tr>
      <w:tr w:rsidR="004954F5" w:rsidRPr="004954F5" w14:paraId="2998BE4B" w14:textId="77777777" w:rsidTr="004954F5">
        <w:trPr>
          <w:trHeight w:val="300"/>
        </w:trPr>
        <w:tc>
          <w:tcPr>
            <w:tcW w:w="2410" w:type="dxa"/>
            <w:gridSpan w:val="2"/>
            <w:tcBorders>
              <w:top w:val="single" w:sz="4" w:space="0" w:color="auto"/>
              <w:left w:val="single" w:sz="4" w:space="0" w:color="auto"/>
              <w:bottom w:val="single" w:sz="4" w:space="0" w:color="auto"/>
              <w:right w:val="single" w:sz="4" w:space="0" w:color="auto"/>
            </w:tcBorders>
            <w:shd w:val="clear" w:color="auto" w:fill="auto"/>
            <w:noWrap/>
            <w:hideMark/>
          </w:tcPr>
          <w:p w14:paraId="40786820"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Итого</w:t>
            </w:r>
          </w:p>
        </w:tc>
        <w:tc>
          <w:tcPr>
            <w:tcW w:w="1701" w:type="dxa"/>
            <w:tcBorders>
              <w:top w:val="nil"/>
              <w:left w:val="nil"/>
              <w:bottom w:val="single" w:sz="4" w:space="0" w:color="auto"/>
              <w:right w:val="single" w:sz="4" w:space="0" w:color="auto"/>
            </w:tcBorders>
            <w:shd w:val="clear" w:color="auto" w:fill="auto"/>
            <w:noWrap/>
            <w:hideMark/>
          </w:tcPr>
          <w:p w14:paraId="663F69A4"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249 645</w:t>
            </w:r>
          </w:p>
        </w:tc>
        <w:tc>
          <w:tcPr>
            <w:tcW w:w="1701" w:type="dxa"/>
            <w:tcBorders>
              <w:top w:val="nil"/>
              <w:left w:val="nil"/>
              <w:bottom w:val="single" w:sz="4" w:space="0" w:color="auto"/>
              <w:right w:val="single" w:sz="4" w:space="0" w:color="auto"/>
            </w:tcBorders>
            <w:shd w:val="clear" w:color="auto" w:fill="auto"/>
            <w:noWrap/>
            <w:hideMark/>
          </w:tcPr>
          <w:p w14:paraId="29C4A680"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2 312 489</w:t>
            </w:r>
          </w:p>
        </w:tc>
        <w:tc>
          <w:tcPr>
            <w:tcW w:w="1843" w:type="dxa"/>
            <w:tcBorders>
              <w:top w:val="nil"/>
              <w:left w:val="nil"/>
              <w:bottom w:val="single" w:sz="4" w:space="0" w:color="auto"/>
              <w:right w:val="single" w:sz="4" w:space="0" w:color="auto"/>
            </w:tcBorders>
            <w:shd w:val="clear" w:color="auto" w:fill="auto"/>
            <w:noWrap/>
            <w:hideMark/>
          </w:tcPr>
          <w:p w14:paraId="783441E1"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16757061333</w:t>
            </w:r>
          </w:p>
        </w:tc>
        <w:tc>
          <w:tcPr>
            <w:tcW w:w="1417" w:type="dxa"/>
            <w:tcBorders>
              <w:top w:val="nil"/>
              <w:left w:val="nil"/>
              <w:bottom w:val="single" w:sz="4" w:space="0" w:color="auto"/>
              <w:right w:val="single" w:sz="4" w:space="0" w:color="auto"/>
            </w:tcBorders>
            <w:shd w:val="clear" w:color="auto" w:fill="auto"/>
            <w:noWrap/>
            <w:hideMark/>
          </w:tcPr>
          <w:p w14:paraId="07D05C96"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247 381</w:t>
            </w:r>
          </w:p>
        </w:tc>
        <w:tc>
          <w:tcPr>
            <w:tcW w:w="1985" w:type="dxa"/>
            <w:tcBorders>
              <w:top w:val="nil"/>
              <w:left w:val="nil"/>
              <w:bottom w:val="single" w:sz="4" w:space="0" w:color="auto"/>
              <w:right w:val="single" w:sz="4" w:space="0" w:color="auto"/>
            </w:tcBorders>
            <w:shd w:val="clear" w:color="auto" w:fill="auto"/>
            <w:noWrap/>
            <w:hideMark/>
          </w:tcPr>
          <w:p w14:paraId="5F7CA61B"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2224754</w:t>
            </w:r>
          </w:p>
        </w:tc>
        <w:tc>
          <w:tcPr>
            <w:tcW w:w="1843" w:type="dxa"/>
            <w:tcBorders>
              <w:top w:val="nil"/>
              <w:left w:val="nil"/>
              <w:bottom w:val="single" w:sz="4" w:space="0" w:color="auto"/>
              <w:right w:val="single" w:sz="4" w:space="0" w:color="auto"/>
            </w:tcBorders>
            <w:shd w:val="clear" w:color="auto" w:fill="auto"/>
            <w:noWrap/>
            <w:hideMark/>
          </w:tcPr>
          <w:p w14:paraId="4BFD3BD0"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16265981694</w:t>
            </w:r>
          </w:p>
        </w:tc>
        <w:tc>
          <w:tcPr>
            <w:tcW w:w="1842" w:type="dxa"/>
            <w:tcBorders>
              <w:top w:val="nil"/>
              <w:left w:val="nil"/>
              <w:bottom w:val="single" w:sz="4" w:space="0" w:color="auto"/>
              <w:right w:val="single" w:sz="4" w:space="0" w:color="auto"/>
            </w:tcBorders>
            <w:shd w:val="clear" w:color="auto" w:fill="auto"/>
            <w:noWrap/>
            <w:hideMark/>
          </w:tcPr>
          <w:p w14:paraId="4CEC8AE1" w14:textId="77777777" w:rsidR="0066583A" w:rsidRPr="004954F5" w:rsidRDefault="0066583A" w:rsidP="004954F5">
            <w:pPr>
              <w:spacing w:after="0" w:line="240" w:lineRule="auto"/>
              <w:jc w:val="center"/>
              <w:rPr>
                <w:rFonts w:ascii="Times New Roman" w:hAnsi="Times New Roman" w:cs="Times New Roman"/>
                <w:sz w:val="24"/>
                <w:szCs w:val="24"/>
              </w:rPr>
            </w:pPr>
            <w:r w:rsidRPr="004954F5">
              <w:rPr>
                <w:rFonts w:ascii="Times New Roman" w:hAnsi="Times New Roman" w:cs="Times New Roman"/>
                <w:sz w:val="24"/>
                <w:szCs w:val="24"/>
              </w:rPr>
              <w:t>456 494</w:t>
            </w:r>
          </w:p>
        </w:tc>
      </w:tr>
    </w:tbl>
    <w:p w14:paraId="6708FFC0" w14:textId="77777777" w:rsidR="00D471F4" w:rsidRDefault="00D471F4" w:rsidP="004135FE">
      <w:pPr>
        <w:spacing w:after="0" w:line="240" w:lineRule="auto"/>
        <w:jc w:val="both"/>
        <w:rPr>
          <w:rFonts w:ascii="Times New Roman" w:eastAsia="Times New Roman" w:hAnsi="Times New Roman" w:cs="Times New Roman"/>
          <w:bCs/>
          <w:sz w:val="28"/>
          <w:szCs w:val="28"/>
          <w:lang w:val="kk-KZ"/>
        </w:rPr>
        <w:sectPr w:rsidR="00D471F4" w:rsidSect="00D471F4">
          <w:pgSz w:w="16838" w:h="11906" w:orient="landscape"/>
          <w:pgMar w:top="1701" w:right="1134" w:bottom="851" w:left="1134" w:header="284" w:footer="170" w:gutter="0"/>
          <w:cols w:space="708"/>
          <w:docGrid w:linePitch="360"/>
        </w:sectPr>
      </w:pPr>
    </w:p>
    <w:p w14:paraId="63C913F1" w14:textId="790CBC89" w:rsidR="0066583A" w:rsidRPr="004135FE" w:rsidRDefault="0066583A" w:rsidP="004135FE">
      <w:pPr>
        <w:spacing w:after="0" w:line="240" w:lineRule="auto"/>
        <w:jc w:val="both"/>
        <w:rPr>
          <w:rFonts w:ascii="Times New Roman" w:eastAsia="Times New Roman" w:hAnsi="Times New Roman" w:cs="Times New Roman"/>
          <w:bCs/>
          <w:sz w:val="28"/>
          <w:szCs w:val="28"/>
          <w:lang w:val="kk-KZ"/>
        </w:rPr>
      </w:pPr>
    </w:p>
    <w:p w14:paraId="0667D996" w14:textId="25096020" w:rsidR="00816FCB" w:rsidRPr="004135FE" w:rsidRDefault="0059619C" w:rsidP="004135FE">
      <w:pPr>
        <w:autoSpaceDE w:val="0"/>
        <w:autoSpaceDN w:val="0"/>
        <w:adjustRightInd w:val="0"/>
        <w:spacing w:after="0" w:line="240" w:lineRule="auto"/>
        <w:ind w:firstLine="708"/>
        <w:jc w:val="both"/>
        <w:rPr>
          <w:rFonts w:ascii="Times New Roman" w:eastAsiaTheme="minorHAnsi" w:hAnsi="Times New Roman" w:cs="Times New Roman"/>
          <w:bCs/>
          <w:sz w:val="28"/>
          <w:szCs w:val="28"/>
          <w:lang w:eastAsia="en-US"/>
        </w:rPr>
      </w:pPr>
      <w:r w:rsidRPr="004135FE">
        <w:rPr>
          <w:rFonts w:ascii="Times New Roman" w:eastAsiaTheme="minorHAnsi" w:hAnsi="Times New Roman" w:cs="Times New Roman"/>
          <w:bCs/>
          <w:sz w:val="28"/>
          <w:szCs w:val="28"/>
          <w:lang w:eastAsia="en-US"/>
        </w:rPr>
        <w:t xml:space="preserve">Согласно </w:t>
      </w:r>
      <w:r w:rsidR="00FC42C5" w:rsidRPr="004135FE">
        <w:rPr>
          <w:rFonts w:ascii="Times New Roman" w:eastAsiaTheme="minorHAnsi" w:hAnsi="Times New Roman" w:cs="Times New Roman"/>
          <w:bCs/>
          <w:sz w:val="28"/>
          <w:szCs w:val="28"/>
          <w:lang w:eastAsia="en-US"/>
        </w:rPr>
        <w:t>анализу динамического ряда,</w:t>
      </w:r>
      <w:r w:rsidRPr="004135FE">
        <w:rPr>
          <w:rFonts w:ascii="Times New Roman" w:eastAsiaTheme="minorHAnsi" w:hAnsi="Times New Roman" w:cs="Times New Roman"/>
          <w:bCs/>
          <w:sz w:val="28"/>
          <w:szCs w:val="28"/>
          <w:lang w:eastAsia="en-US"/>
        </w:rPr>
        <w:t xml:space="preserve"> </w:t>
      </w:r>
      <w:r w:rsidR="00FC42C5" w:rsidRPr="004135FE">
        <w:rPr>
          <w:rFonts w:ascii="Times New Roman" w:eastAsiaTheme="minorHAnsi" w:hAnsi="Times New Roman" w:cs="Times New Roman"/>
          <w:bCs/>
          <w:sz w:val="28"/>
          <w:szCs w:val="28"/>
          <w:lang w:eastAsia="en-US"/>
        </w:rPr>
        <w:t>составленный по диабету, в 2018г обеспеченных лекарствами составил</w:t>
      </w:r>
      <w:r w:rsidR="00816FCB" w:rsidRPr="004135FE">
        <w:rPr>
          <w:rFonts w:ascii="Times New Roman" w:eastAsiaTheme="minorHAnsi" w:hAnsi="Times New Roman" w:cs="Times New Roman"/>
          <w:bCs/>
          <w:sz w:val="28"/>
          <w:szCs w:val="28"/>
          <w:lang w:eastAsia="en-US"/>
        </w:rPr>
        <w:t xml:space="preserve"> рост в </w:t>
      </w:r>
      <w:r w:rsidR="00E85973" w:rsidRPr="004135FE">
        <w:rPr>
          <w:rFonts w:ascii="Times New Roman" w:eastAsiaTheme="minorHAnsi" w:hAnsi="Times New Roman" w:cs="Times New Roman"/>
          <w:bCs/>
          <w:sz w:val="28"/>
          <w:szCs w:val="28"/>
          <w:lang w:eastAsia="en-US"/>
        </w:rPr>
        <w:t>количестве</w:t>
      </w:r>
      <w:r w:rsidR="00816FCB" w:rsidRPr="004135FE">
        <w:rPr>
          <w:rFonts w:ascii="Times New Roman" w:eastAsiaTheme="minorHAnsi" w:hAnsi="Times New Roman" w:cs="Times New Roman"/>
          <w:bCs/>
          <w:sz w:val="28"/>
          <w:szCs w:val="28"/>
          <w:lang w:eastAsia="en-US"/>
        </w:rPr>
        <w:t xml:space="preserve"> 10,658 человек, что соответствует максимальному значению за 7 лет. В</w:t>
      </w:r>
      <w:r w:rsidR="00FC42C5" w:rsidRPr="004135FE">
        <w:rPr>
          <w:rFonts w:ascii="Times New Roman" w:eastAsiaTheme="minorHAnsi" w:hAnsi="Times New Roman" w:cs="Times New Roman"/>
          <w:bCs/>
          <w:sz w:val="28"/>
          <w:szCs w:val="28"/>
          <w:lang w:eastAsia="en-US"/>
        </w:rPr>
        <w:t xml:space="preserve"> 2019г отмечается убыль на (-8558) количества пациентов, обеспеченных ЛС.</w:t>
      </w:r>
      <w:r w:rsidR="00C629C8" w:rsidRPr="004135FE">
        <w:rPr>
          <w:rFonts w:ascii="Times New Roman" w:eastAsiaTheme="minorHAnsi" w:hAnsi="Times New Roman" w:cs="Times New Roman"/>
          <w:bCs/>
          <w:sz w:val="28"/>
          <w:szCs w:val="28"/>
          <w:lang w:eastAsia="en-US"/>
        </w:rPr>
        <w:t xml:space="preserve"> </w:t>
      </w:r>
      <w:r w:rsidR="00816FCB" w:rsidRPr="004135FE">
        <w:rPr>
          <w:rFonts w:ascii="Times New Roman" w:eastAsiaTheme="minorHAnsi" w:hAnsi="Times New Roman" w:cs="Times New Roman"/>
          <w:bCs/>
          <w:sz w:val="28"/>
          <w:szCs w:val="28"/>
          <w:lang w:eastAsia="en-US"/>
        </w:rPr>
        <w:t>Средний абсолютный прирост составил 3252,17 случ</w:t>
      </w:r>
      <w:r w:rsidR="00C629C8" w:rsidRPr="004135FE">
        <w:rPr>
          <w:rFonts w:ascii="Times New Roman" w:eastAsiaTheme="minorHAnsi" w:hAnsi="Times New Roman" w:cs="Times New Roman"/>
          <w:bCs/>
          <w:sz w:val="28"/>
          <w:szCs w:val="28"/>
          <w:lang w:eastAsia="en-US"/>
        </w:rPr>
        <w:t>аев, средний темп роста 110,57%, темп прироста 10,57%</w:t>
      </w:r>
      <w:r w:rsidR="0066583A" w:rsidRPr="004135FE">
        <w:rPr>
          <w:rFonts w:ascii="Times New Roman" w:eastAsiaTheme="minorHAnsi" w:hAnsi="Times New Roman" w:cs="Times New Roman"/>
          <w:bCs/>
          <w:sz w:val="28"/>
          <w:szCs w:val="28"/>
          <w:lang w:eastAsia="en-US"/>
        </w:rPr>
        <w:t xml:space="preserve"> </w:t>
      </w:r>
      <w:r w:rsidR="003044D6" w:rsidRPr="004135FE">
        <w:rPr>
          <w:rFonts w:ascii="Times New Roman" w:eastAsiaTheme="minorHAnsi" w:hAnsi="Times New Roman" w:cs="Times New Roman"/>
          <w:bCs/>
          <w:sz w:val="28"/>
          <w:szCs w:val="28"/>
          <w:lang w:eastAsia="en-US"/>
        </w:rPr>
        <w:t xml:space="preserve">(таблица </w:t>
      </w:r>
      <w:r w:rsidR="00B728EF" w:rsidRPr="004135FE">
        <w:rPr>
          <w:rFonts w:ascii="Times New Roman" w:eastAsiaTheme="minorHAnsi" w:hAnsi="Times New Roman" w:cs="Times New Roman"/>
          <w:bCs/>
          <w:sz w:val="28"/>
          <w:szCs w:val="28"/>
          <w:lang w:eastAsia="en-US"/>
        </w:rPr>
        <w:t>17</w:t>
      </w:r>
      <w:r w:rsidR="0066583A" w:rsidRPr="004135FE">
        <w:rPr>
          <w:rFonts w:ascii="Times New Roman" w:eastAsiaTheme="minorHAnsi" w:hAnsi="Times New Roman" w:cs="Times New Roman"/>
          <w:bCs/>
          <w:sz w:val="28"/>
          <w:szCs w:val="28"/>
          <w:lang w:eastAsia="en-US"/>
        </w:rPr>
        <w:t>).</w:t>
      </w:r>
    </w:p>
    <w:p w14:paraId="5697C44B" w14:textId="388DB418" w:rsidR="0066583A" w:rsidRPr="004135FE" w:rsidRDefault="0066583A" w:rsidP="004135FE">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135FE">
        <w:rPr>
          <w:rFonts w:ascii="Times New Roman" w:eastAsiaTheme="minorHAnsi" w:hAnsi="Times New Roman" w:cs="Times New Roman"/>
          <w:bCs/>
          <w:sz w:val="28"/>
          <w:szCs w:val="28"/>
          <w:lang w:eastAsia="en-US"/>
        </w:rPr>
        <w:t xml:space="preserve">Абсолютный прирост в динамике вырос с </w:t>
      </w:r>
      <w:r w:rsidRPr="004135FE">
        <w:rPr>
          <w:rFonts w:ascii="Times New Roman" w:eastAsia="Times New Roman" w:hAnsi="Times New Roman" w:cs="Times New Roman"/>
          <w:sz w:val="28"/>
          <w:szCs w:val="28"/>
        </w:rPr>
        <w:t xml:space="preserve">79104,00 до 21297,00 штук обеспеченных рецептов за 7 лет, что в среднем составил 38520,17штук рецептов. </w:t>
      </w:r>
      <w:r w:rsidR="00C629C8" w:rsidRPr="004135FE">
        <w:rPr>
          <w:rFonts w:ascii="Times New Roman" w:eastAsia="Times New Roman" w:hAnsi="Times New Roman" w:cs="Times New Roman"/>
          <w:sz w:val="28"/>
          <w:szCs w:val="28"/>
        </w:rPr>
        <w:t xml:space="preserve">Максимальный прирост обеспеченных рецептов </w:t>
      </w:r>
      <w:r w:rsidR="00080C7B" w:rsidRPr="004135FE">
        <w:rPr>
          <w:rFonts w:ascii="Times New Roman" w:eastAsia="Times New Roman" w:hAnsi="Times New Roman" w:cs="Times New Roman"/>
          <w:sz w:val="28"/>
          <w:szCs w:val="28"/>
        </w:rPr>
        <w:t xml:space="preserve">отмечен в 2017г, что соответствует 104 533шт бланков. </w:t>
      </w:r>
      <w:r w:rsidRPr="004135FE">
        <w:rPr>
          <w:rFonts w:ascii="Times New Roman" w:eastAsiaTheme="minorHAnsi" w:hAnsi="Times New Roman" w:cs="Times New Roman"/>
          <w:bCs/>
          <w:sz w:val="28"/>
          <w:szCs w:val="28"/>
          <w:lang w:eastAsia="en-US"/>
        </w:rPr>
        <w:t>Т</w:t>
      </w:r>
      <w:r w:rsidRPr="004135FE">
        <w:rPr>
          <w:rFonts w:ascii="Times New Roman" w:hAnsi="Times New Roman" w:cs="Times New Roman"/>
          <w:bCs/>
          <w:sz w:val="28"/>
          <w:szCs w:val="28"/>
        </w:rPr>
        <w:t>емп роста в сравнении относительно к 2021 году</w:t>
      </w:r>
      <w:r w:rsidRPr="004135FE">
        <w:rPr>
          <w:rFonts w:ascii="Times New Roman" w:eastAsiaTheme="minorHAnsi" w:hAnsi="Times New Roman" w:cs="Times New Roman"/>
          <w:bCs/>
          <w:sz w:val="28"/>
          <w:szCs w:val="28"/>
          <w:lang w:eastAsia="en-US"/>
        </w:rPr>
        <w:t xml:space="preserve"> в среднем составил (</w:t>
      </w:r>
      <w:r w:rsidRPr="004135FE">
        <w:rPr>
          <w:rFonts w:ascii="Times New Roman" w:eastAsia="Times New Roman" w:hAnsi="Times New Roman" w:cs="Times New Roman"/>
          <w:sz w:val="28"/>
          <w:szCs w:val="28"/>
        </w:rPr>
        <w:t xml:space="preserve">-98,85%). </w:t>
      </w:r>
      <w:r w:rsidR="00080C7B" w:rsidRPr="004135FE">
        <w:rPr>
          <w:rFonts w:ascii="Times New Roman" w:eastAsia="Times New Roman" w:hAnsi="Times New Roman" w:cs="Times New Roman"/>
          <w:sz w:val="28"/>
          <w:szCs w:val="28"/>
        </w:rPr>
        <w:t>В среднем показателе количество обеспеченных рецептами имеет убыль до (-198,855)</w:t>
      </w:r>
      <w:r w:rsidR="00490AF6">
        <w:rPr>
          <w:rFonts w:ascii="Times New Roman" w:eastAsia="Times New Roman" w:hAnsi="Times New Roman" w:cs="Times New Roman"/>
          <w:sz w:val="28"/>
          <w:szCs w:val="28"/>
        </w:rPr>
        <w:t>.</w:t>
      </w:r>
    </w:p>
    <w:p w14:paraId="0CCBEB3C" w14:textId="7CF0C58F" w:rsidR="00623018" w:rsidRPr="004135FE" w:rsidRDefault="00623018" w:rsidP="004135FE">
      <w:pPr>
        <w:spacing w:after="0" w:line="240" w:lineRule="auto"/>
        <w:jc w:val="both"/>
        <w:rPr>
          <w:rFonts w:ascii="Times New Roman" w:eastAsia="Times New Roman" w:hAnsi="Times New Roman" w:cs="Times New Roman"/>
          <w:bCs/>
          <w:sz w:val="28"/>
          <w:szCs w:val="28"/>
        </w:rPr>
      </w:pPr>
    </w:p>
    <w:p w14:paraId="4CC4B583" w14:textId="77777777" w:rsidR="004954F5" w:rsidRDefault="004954F5" w:rsidP="004135FE">
      <w:pPr>
        <w:spacing w:after="0" w:line="240" w:lineRule="auto"/>
        <w:jc w:val="both"/>
        <w:rPr>
          <w:rFonts w:ascii="Times New Roman" w:eastAsia="Times New Roman" w:hAnsi="Times New Roman" w:cs="Times New Roman"/>
          <w:bCs/>
          <w:sz w:val="28"/>
          <w:szCs w:val="28"/>
          <w:lang w:val="kk-KZ"/>
        </w:rPr>
        <w:sectPr w:rsidR="004954F5" w:rsidSect="00E541BD">
          <w:pgSz w:w="11906" w:h="16838"/>
          <w:pgMar w:top="1134" w:right="851" w:bottom="1134" w:left="1701" w:header="283" w:footer="170" w:gutter="0"/>
          <w:cols w:space="708"/>
          <w:docGrid w:linePitch="360"/>
        </w:sectPr>
      </w:pPr>
    </w:p>
    <w:p w14:paraId="175244A5" w14:textId="25981E49" w:rsidR="0066583A" w:rsidRDefault="004954F5" w:rsidP="004135FE">
      <w:pPr>
        <w:spacing w:after="0" w:line="240" w:lineRule="auto"/>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lastRenderedPageBreak/>
        <w:t xml:space="preserve">    </w:t>
      </w:r>
      <w:r w:rsidR="0066583A" w:rsidRPr="004135FE">
        <w:rPr>
          <w:rFonts w:ascii="Times New Roman" w:eastAsia="Times New Roman" w:hAnsi="Times New Roman" w:cs="Times New Roman"/>
          <w:bCs/>
          <w:sz w:val="28"/>
          <w:szCs w:val="28"/>
          <w:lang w:val="kk-KZ"/>
        </w:rPr>
        <w:t xml:space="preserve">Таблица </w:t>
      </w:r>
      <w:r w:rsidR="00B728EF" w:rsidRPr="004135FE">
        <w:rPr>
          <w:rFonts w:ascii="Times New Roman" w:eastAsia="Times New Roman" w:hAnsi="Times New Roman" w:cs="Times New Roman"/>
          <w:bCs/>
          <w:sz w:val="28"/>
          <w:szCs w:val="28"/>
          <w:lang w:val="kk-KZ"/>
        </w:rPr>
        <w:t>17</w:t>
      </w:r>
      <w:r w:rsidR="0066583A" w:rsidRPr="004135FE">
        <w:rPr>
          <w:rFonts w:ascii="Times New Roman" w:eastAsia="Times New Roman" w:hAnsi="Times New Roman" w:cs="Times New Roman"/>
          <w:bCs/>
          <w:sz w:val="28"/>
          <w:szCs w:val="28"/>
          <w:lang w:val="kk-KZ"/>
        </w:rPr>
        <w:t xml:space="preserve"> – </w:t>
      </w:r>
      <w:r w:rsidR="00623018" w:rsidRPr="004135FE">
        <w:rPr>
          <w:rFonts w:ascii="Times New Roman" w:eastAsia="Times New Roman" w:hAnsi="Times New Roman" w:cs="Times New Roman"/>
          <w:bCs/>
          <w:sz w:val="28"/>
          <w:szCs w:val="28"/>
          <w:lang w:val="kk-KZ"/>
        </w:rPr>
        <w:t>Динамический ряд обеспеченности пациентов с сахарным диабетом</w:t>
      </w:r>
    </w:p>
    <w:p w14:paraId="6BB311AA" w14:textId="77777777" w:rsidR="004954F5" w:rsidRPr="004135FE" w:rsidRDefault="004954F5" w:rsidP="004135FE">
      <w:pPr>
        <w:spacing w:after="0" w:line="240" w:lineRule="auto"/>
        <w:jc w:val="both"/>
        <w:rPr>
          <w:rFonts w:ascii="Times New Roman" w:eastAsia="Times New Roman" w:hAnsi="Times New Roman" w:cs="Times New Roman"/>
          <w:bCs/>
          <w:sz w:val="28"/>
          <w:szCs w:val="28"/>
          <w:lang w:val="kk-KZ"/>
        </w:rPr>
      </w:pPr>
    </w:p>
    <w:tbl>
      <w:tblPr>
        <w:tblStyle w:val="a5"/>
        <w:tblW w:w="14033" w:type="dxa"/>
        <w:tblInd w:w="279" w:type="dxa"/>
        <w:tblLayout w:type="fixed"/>
        <w:tblLook w:val="04A0" w:firstRow="1" w:lastRow="0" w:firstColumn="1" w:lastColumn="0" w:noHBand="0" w:noVBand="1"/>
      </w:tblPr>
      <w:tblGrid>
        <w:gridCol w:w="1559"/>
        <w:gridCol w:w="1701"/>
        <w:gridCol w:w="1276"/>
        <w:gridCol w:w="1417"/>
        <w:gridCol w:w="1418"/>
        <w:gridCol w:w="1701"/>
        <w:gridCol w:w="1417"/>
        <w:gridCol w:w="1701"/>
        <w:gridCol w:w="1843"/>
      </w:tblGrid>
      <w:tr w:rsidR="001A3A85" w:rsidRPr="001A3A85" w14:paraId="3FA22EE6" w14:textId="77777777" w:rsidTr="001A3A85">
        <w:trPr>
          <w:trHeight w:val="680"/>
        </w:trPr>
        <w:tc>
          <w:tcPr>
            <w:tcW w:w="1559" w:type="dxa"/>
            <w:hideMark/>
          </w:tcPr>
          <w:p w14:paraId="64F0F197" w14:textId="34FB82D0" w:rsidR="0066583A" w:rsidRPr="001A3A85" w:rsidRDefault="00A543BD" w:rsidP="001A3A85">
            <w:pPr>
              <w:spacing w:after="0" w:line="240" w:lineRule="auto"/>
              <w:jc w:val="center"/>
              <w:rPr>
                <w:rFonts w:ascii="Times New Roman" w:eastAsia="Times New Roman" w:hAnsi="Times New Roman" w:cs="Times New Roman"/>
                <w:bCs/>
                <w:sz w:val="28"/>
                <w:szCs w:val="28"/>
              </w:rPr>
            </w:pPr>
            <w:r w:rsidRPr="001A3A85">
              <w:rPr>
                <w:rFonts w:ascii="Times New Roman" w:eastAsia="Times New Roman" w:hAnsi="Times New Roman" w:cs="Times New Roman"/>
                <w:bCs/>
                <w:sz w:val="28"/>
                <w:szCs w:val="28"/>
              </w:rPr>
              <w:t>годы</w:t>
            </w:r>
          </w:p>
        </w:tc>
        <w:tc>
          <w:tcPr>
            <w:tcW w:w="1701" w:type="dxa"/>
          </w:tcPr>
          <w:p w14:paraId="0A711BEE" w14:textId="6DAE8C55" w:rsidR="0066583A" w:rsidRPr="001A3A85" w:rsidRDefault="00A543BD" w:rsidP="001A3A85">
            <w:pPr>
              <w:spacing w:after="0" w:line="240" w:lineRule="auto"/>
              <w:jc w:val="center"/>
              <w:rPr>
                <w:rFonts w:ascii="Times New Roman" w:eastAsia="Times New Roman" w:hAnsi="Times New Roman" w:cs="Times New Roman"/>
                <w:bCs/>
                <w:sz w:val="28"/>
                <w:szCs w:val="28"/>
              </w:rPr>
            </w:pPr>
            <w:r w:rsidRPr="001A3A85">
              <w:rPr>
                <w:rFonts w:ascii="Times New Roman" w:eastAsia="Times New Roman" w:hAnsi="Times New Roman" w:cs="Times New Roman"/>
                <w:bCs/>
                <w:sz w:val="28"/>
                <w:szCs w:val="28"/>
              </w:rPr>
              <w:t>обеспечены ЛС</w:t>
            </w:r>
          </w:p>
        </w:tc>
        <w:tc>
          <w:tcPr>
            <w:tcW w:w="1276" w:type="dxa"/>
          </w:tcPr>
          <w:p w14:paraId="3049266B" w14:textId="57A6CAD8" w:rsidR="0066583A" w:rsidRPr="001A3A85" w:rsidRDefault="00623018" w:rsidP="001A3A85">
            <w:pPr>
              <w:spacing w:after="0" w:line="240" w:lineRule="auto"/>
              <w:jc w:val="center"/>
              <w:rPr>
                <w:rFonts w:ascii="Times New Roman" w:eastAsia="Times New Roman" w:hAnsi="Times New Roman" w:cs="Times New Roman"/>
                <w:bCs/>
                <w:sz w:val="28"/>
                <w:szCs w:val="28"/>
              </w:rPr>
            </w:pPr>
            <w:r w:rsidRPr="001A3A85">
              <w:rPr>
                <w:rFonts w:ascii="Times New Roman" w:eastAsia="Times New Roman" w:hAnsi="Times New Roman" w:cs="Times New Roman"/>
                <w:bCs/>
                <w:sz w:val="28"/>
                <w:szCs w:val="28"/>
              </w:rPr>
              <w:t xml:space="preserve">абс. </w:t>
            </w:r>
            <w:r w:rsidR="00A543BD" w:rsidRPr="001A3A85">
              <w:rPr>
                <w:rFonts w:ascii="Times New Roman" w:eastAsia="Times New Roman" w:hAnsi="Times New Roman" w:cs="Times New Roman"/>
                <w:bCs/>
                <w:sz w:val="28"/>
                <w:szCs w:val="28"/>
              </w:rPr>
              <w:t>прирост</w:t>
            </w:r>
          </w:p>
        </w:tc>
        <w:tc>
          <w:tcPr>
            <w:tcW w:w="1417" w:type="dxa"/>
          </w:tcPr>
          <w:p w14:paraId="0153B01D" w14:textId="27493613" w:rsidR="0066583A" w:rsidRPr="001A3A85" w:rsidRDefault="00623018" w:rsidP="001A3A85">
            <w:pPr>
              <w:spacing w:after="0" w:line="240" w:lineRule="auto"/>
              <w:jc w:val="center"/>
              <w:rPr>
                <w:rFonts w:ascii="Times New Roman" w:eastAsia="Times New Roman" w:hAnsi="Times New Roman" w:cs="Times New Roman"/>
                <w:b/>
                <w:bCs/>
                <w:sz w:val="28"/>
                <w:szCs w:val="28"/>
              </w:rPr>
            </w:pPr>
            <w:r w:rsidRPr="001A3A85">
              <w:rPr>
                <w:rFonts w:ascii="Times New Roman" w:eastAsia="Times New Roman" w:hAnsi="Times New Roman" w:cs="Times New Roman"/>
                <w:bCs/>
                <w:sz w:val="28"/>
                <w:szCs w:val="28"/>
              </w:rPr>
              <w:t>темп роста в отн</w:t>
            </w:r>
            <w:r w:rsidR="001A3A85" w:rsidRPr="001A3A85">
              <w:rPr>
                <w:rFonts w:ascii="Times New Roman" w:eastAsia="Times New Roman" w:hAnsi="Times New Roman" w:cs="Times New Roman"/>
                <w:bCs/>
                <w:sz w:val="28"/>
                <w:szCs w:val="28"/>
              </w:rPr>
              <w:t>.</w:t>
            </w:r>
            <w:r w:rsidRPr="001A3A85">
              <w:rPr>
                <w:rFonts w:ascii="Times New Roman" w:eastAsia="Times New Roman" w:hAnsi="Times New Roman" w:cs="Times New Roman"/>
                <w:bCs/>
                <w:sz w:val="28"/>
                <w:szCs w:val="28"/>
              </w:rPr>
              <w:t xml:space="preserve"> 2021</w:t>
            </w:r>
          </w:p>
        </w:tc>
        <w:tc>
          <w:tcPr>
            <w:tcW w:w="1418" w:type="dxa"/>
          </w:tcPr>
          <w:p w14:paraId="029808D4" w14:textId="46432E3D" w:rsidR="0066583A" w:rsidRPr="001A3A85" w:rsidRDefault="00623018" w:rsidP="001A3A85">
            <w:pPr>
              <w:spacing w:after="0" w:line="240" w:lineRule="auto"/>
              <w:jc w:val="center"/>
              <w:rPr>
                <w:rFonts w:ascii="Times New Roman" w:eastAsia="Times New Roman" w:hAnsi="Times New Roman" w:cs="Times New Roman"/>
                <w:bCs/>
                <w:sz w:val="28"/>
                <w:szCs w:val="28"/>
              </w:rPr>
            </w:pPr>
            <w:r w:rsidRPr="001A3A85">
              <w:rPr>
                <w:rFonts w:ascii="Times New Roman" w:eastAsia="Times New Roman" w:hAnsi="Times New Roman" w:cs="Times New Roman"/>
                <w:bCs/>
                <w:sz w:val="28"/>
                <w:szCs w:val="28"/>
              </w:rPr>
              <w:t>темп прироста (%)</w:t>
            </w:r>
          </w:p>
        </w:tc>
        <w:tc>
          <w:tcPr>
            <w:tcW w:w="1701" w:type="dxa"/>
          </w:tcPr>
          <w:p w14:paraId="527D6908" w14:textId="53B17D96" w:rsidR="0066583A" w:rsidRPr="001A3A85" w:rsidRDefault="00A543BD" w:rsidP="001A3A85">
            <w:pPr>
              <w:spacing w:after="0" w:line="240" w:lineRule="auto"/>
              <w:jc w:val="center"/>
              <w:rPr>
                <w:rFonts w:ascii="Times New Roman" w:eastAsia="Times New Roman" w:hAnsi="Times New Roman" w:cs="Times New Roman"/>
                <w:bCs/>
                <w:sz w:val="28"/>
                <w:szCs w:val="28"/>
              </w:rPr>
            </w:pPr>
            <w:r w:rsidRPr="001A3A85">
              <w:rPr>
                <w:rFonts w:ascii="Times New Roman" w:eastAsia="Times New Roman" w:hAnsi="Times New Roman" w:cs="Times New Roman"/>
                <w:bCs/>
                <w:sz w:val="28"/>
                <w:szCs w:val="28"/>
              </w:rPr>
              <w:t>обеспечены рецептами ЛС</w:t>
            </w:r>
          </w:p>
        </w:tc>
        <w:tc>
          <w:tcPr>
            <w:tcW w:w="1417" w:type="dxa"/>
          </w:tcPr>
          <w:p w14:paraId="4BAE9B35" w14:textId="69A48795" w:rsidR="00623018" w:rsidRPr="001A3A85" w:rsidRDefault="00623018" w:rsidP="001A3A85">
            <w:pPr>
              <w:spacing w:after="0" w:line="240" w:lineRule="auto"/>
              <w:jc w:val="center"/>
              <w:rPr>
                <w:rFonts w:ascii="Times New Roman" w:eastAsia="Times New Roman" w:hAnsi="Times New Roman" w:cs="Times New Roman"/>
                <w:bCs/>
                <w:sz w:val="28"/>
                <w:szCs w:val="28"/>
              </w:rPr>
            </w:pPr>
            <w:r w:rsidRPr="001A3A85">
              <w:rPr>
                <w:rFonts w:ascii="Times New Roman" w:eastAsia="Times New Roman" w:hAnsi="Times New Roman" w:cs="Times New Roman"/>
                <w:bCs/>
                <w:sz w:val="28"/>
                <w:szCs w:val="28"/>
              </w:rPr>
              <w:t>абс. прирост</w:t>
            </w:r>
          </w:p>
          <w:p w14:paraId="3033377B" w14:textId="6CB0AC2F" w:rsidR="0066583A" w:rsidRPr="001A3A85" w:rsidRDefault="0066583A" w:rsidP="001A3A85">
            <w:pPr>
              <w:spacing w:after="0" w:line="240" w:lineRule="auto"/>
              <w:jc w:val="center"/>
              <w:rPr>
                <w:rFonts w:ascii="Times New Roman" w:eastAsia="Times New Roman" w:hAnsi="Times New Roman" w:cs="Times New Roman"/>
                <w:b/>
                <w:bCs/>
                <w:sz w:val="28"/>
                <w:szCs w:val="28"/>
              </w:rPr>
            </w:pPr>
          </w:p>
        </w:tc>
        <w:tc>
          <w:tcPr>
            <w:tcW w:w="1701" w:type="dxa"/>
          </w:tcPr>
          <w:p w14:paraId="37E42421" w14:textId="3033872A" w:rsidR="0066583A" w:rsidRPr="001A3A85" w:rsidRDefault="00623018" w:rsidP="001A3A85">
            <w:pPr>
              <w:spacing w:after="0" w:line="240" w:lineRule="auto"/>
              <w:jc w:val="center"/>
              <w:rPr>
                <w:rFonts w:ascii="Times New Roman" w:eastAsia="Times New Roman" w:hAnsi="Times New Roman" w:cs="Times New Roman"/>
                <w:b/>
                <w:bCs/>
                <w:sz w:val="28"/>
                <w:szCs w:val="28"/>
              </w:rPr>
            </w:pPr>
            <w:r w:rsidRPr="001A3A85">
              <w:rPr>
                <w:rFonts w:ascii="Times New Roman" w:eastAsia="Times New Roman" w:hAnsi="Times New Roman" w:cs="Times New Roman"/>
                <w:bCs/>
                <w:sz w:val="28"/>
                <w:szCs w:val="28"/>
              </w:rPr>
              <w:t>темп роста в отн</w:t>
            </w:r>
            <w:r w:rsidR="001A3A85" w:rsidRPr="001A3A85">
              <w:rPr>
                <w:rFonts w:ascii="Times New Roman" w:eastAsia="Times New Roman" w:hAnsi="Times New Roman" w:cs="Times New Roman"/>
                <w:bCs/>
                <w:sz w:val="28"/>
                <w:szCs w:val="28"/>
              </w:rPr>
              <w:t>.</w:t>
            </w:r>
            <w:r w:rsidRPr="001A3A85">
              <w:rPr>
                <w:rFonts w:ascii="Times New Roman" w:eastAsia="Times New Roman" w:hAnsi="Times New Roman" w:cs="Times New Roman"/>
                <w:bCs/>
                <w:sz w:val="28"/>
                <w:szCs w:val="28"/>
              </w:rPr>
              <w:t xml:space="preserve"> 2021</w:t>
            </w:r>
          </w:p>
        </w:tc>
        <w:tc>
          <w:tcPr>
            <w:tcW w:w="1843" w:type="dxa"/>
          </w:tcPr>
          <w:p w14:paraId="464AD38A" w14:textId="08DB7E4A" w:rsidR="0066583A" w:rsidRPr="001A3A85" w:rsidRDefault="00623018" w:rsidP="001A3A85">
            <w:pPr>
              <w:spacing w:after="0" w:line="240" w:lineRule="auto"/>
              <w:jc w:val="center"/>
              <w:rPr>
                <w:rFonts w:ascii="Times New Roman" w:eastAsia="Times New Roman" w:hAnsi="Times New Roman" w:cs="Times New Roman"/>
                <w:bCs/>
                <w:sz w:val="28"/>
                <w:szCs w:val="28"/>
              </w:rPr>
            </w:pPr>
            <w:r w:rsidRPr="001A3A85">
              <w:rPr>
                <w:rFonts w:ascii="Times New Roman" w:eastAsia="Times New Roman" w:hAnsi="Times New Roman" w:cs="Times New Roman"/>
                <w:bCs/>
                <w:sz w:val="28"/>
                <w:szCs w:val="28"/>
              </w:rPr>
              <w:t>темп прироста (%)</w:t>
            </w:r>
          </w:p>
        </w:tc>
      </w:tr>
      <w:tr w:rsidR="001A3A85" w:rsidRPr="001A3A85" w14:paraId="1EB8BC22" w14:textId="77777777" w:rsidTr="001A3A85">
        <w:trPr>
          <w:trHeight w:val="351"/>
        </w:trPr>
        <w:tc>
          <w:tcPr>
            <w:tcW w:w="1559" w:type="dxa"/>
            <w:noWrap/>
            <w:vAlign w:val="center"/>
            <w:hideMark/>
          </w:tcPr>
          <w:p w14:paraId="4BEDF842"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2015</w:t>
            </w:r>
          </w:p>
        </w:tc>
        <w:tc>
          <w:tcPr>
            <w:tcW w:w="1701" w:type="dxa"/>
            <w:vAlign w:val="center"/>
            <w:hideMark/>
          </w:tcPr>
          <w:p w14:paraId="0359D97E"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23 572</w:t>
            </w:r>
          </w:p>
        </w:tc>
        <w:tc>
          <w:tcPr>
            <w:tcW w:w="1276" w:type="dxa"/>
            <w:vAlign w:val="center"/>
            <w:hideMark/>
          </w:tcPr>
          <w:p w14:paraId="28F95E43" w14:textId="2F42D80F" w:rsidR="0066583A" w:rsidRPr="001A3A85" w:rsidRDefault="00490AF6" w:rsidP="001A3A85">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417" w:type="dxa"/>
            <w:vAlign w:val="center"/>
            <w:hideMark/>
          </w:tcPr>
          <w:p w14:paraId="01A1FF9E" w14:textId="32677B09" w:rsidR="0066583A" w:rsidRPr="001A3A85" w:rsidRDefault="00490AF6" w:rsidP="001A3A85">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418" w:type="dxa"/>
            <w:vAlign w:val="center"/>
            <w:hideMark/>
          </w:tcPr>
          <w:p w14:paraId="3ED80A9E" w14:textId="46E7DBF7" w:rsidR="0066583A" w:rsidRPr="001A3A85" w:rsidRDefault="00490AF6" w:rsidP="001A3A85">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701" w:type="dxa"/>
            <w:vAlign w:val="center"/>
            <w:hideMark/>
          </w:tcPr>
          <w:p w14:paraId="011C2E6A"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168 623</w:t>
            </w:r>
          </w:p>
        </w:tc>
        <w:tc>
          <w:tcPr>
            <w:tcW w:w="1417" w:type="dxa"/>
            <w:vAlign w:val="center"/>
            <w:hideMark/>
          </w:tcPr>
          <w:p w14:paraId="312D3D60" w14:textId="47EE6873" w:rsidR="0066583A" w:rsidRPr="001A3A85" w:rsidRDefault="00490AF6" w:rsidP="001A3A85">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701" w:type="dxa"/>
            <w:vAlign w:val="center"/>
            <w:hideMark/>
          </w:tcPr>
          <w:p w14:paraId="2F984D71" w14:textId="2029D5D3" w:rsidR="0066583A" w:rsidRPr="001A3A85" w:rsidRDefault="00490AF6" w:rsidP="001A3A85">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843" w:type="dxa"/>
            <w:noWrap/>
            <w:vAlign w:val="center"/>
            <w:hideMark/>
          </w:tcPr>
          <w:p w14:paraId="00DFA48F" w14:textId="7FFCD584" w:rsidR="0066583A" w:rsidRPr="001A3A85" w:rsidRDefault="00490AF6" w:rsidP="001A3A85">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1A3A85" w:rsidRPr="001A3A85" w14:paraId="3E81534D" w14:textId="77777777" w:rsidTr="001A3A85">
        <w:trPr>
          <w:trHeight w:val="300"/>
        </w:trPr>
        <w:tc>
          <w:tcPr>
            <w:tcW w:w="1559" w:type="dxa"/>
            <w:noWrap/>
            <w:vAlign w:val="center"/>
            <w:hideMark/>
          </w:tcPr>
          <w:p w14:paraId="30162CB3"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2016</w:t>
            </w:r>
          </w:p>
        </w:tc>
        <w:tc>
          <w:tcPr>
            <w:tcW w:w="1701" w:type="dxa"/>
            <w:vAlign w:val="center"/>
            <w:hideMark/>
          </w:tcPr>
          <w:p w14:paraId="5DBD892C"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30 123</w:t>
            </w:r>
          </w:p>
        </w:tc>
        <w:tc>
          <w:tcPr>
            <w:tcW w:w="1276" w:type="dxa"/>
            <w:vAlign w:val="center"/>
            <w:hideMark/>
          </w:tcPr>
          <w:p w14:paraId="4B443506"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6551,00</w:t>
            </w:r>
          </w:p>
        </w:tc>
        <w:tc>
          <w:tcPr>
            <w:tcW w:w="1417" w:type="dxa"/>
            <w:vAlign w:val="center"/>
            <w:hideMark/>
          </w:tcPr>
          <w:p w14:paraId="12B3116E"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54,71</w:t>
            </w:r>
          </w:p>
        </w:tc>
        <w:tc>
          <w:tcPr>
            <w:tcW w:w="1418" w:type="dxa"/>
            <w:vAlign w:val="center"/>
            <w:hideMark/>
          </w:tcPr>
          <w:p w14:paraId="7AB0722A"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-45,29</w:t>
            </w:r>
          </w:p>
        </w:tc>
        <w:tc>
          <w:tcPr>
            <w:tcW w:w="1701" w:type="dxa"/>
            <w:vAlign w:val="center"/>
            <w:hideMark/>
          </w:tcPr>
          <w:p w14:paraId="5E18A0DA"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247 727</w:t>
            </w:r>
          </w:p>
        </w:tc>
        <w:tc>
          <w:tcPr>
            <w:tcW w:w="1417" w:type="dxa"/>
            <w:vAlign w:val="center"/>
            <w:hideMark/>
          </w:tcPr>
          <w:p w14:paraId="71DFC51A"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79104,00</w:t>
            </w:r>
          </w:p>
        </w:tc>
        <w:tc>
          <w:tcPr>
            <w:tcW w:w="1701" w:type="dxa"/>
            <w:vAlign w:val="center"/>
            <w:hideMark/>
          </w:tcPr>
          <w:p w14:paraId="30996497"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42,18</w:t>
            </w:r>
          </w:p>
        </w:tc>
        <w:tc>
          <w:tcPr>
            <w:tcW w:w="1843" w:type="dxa"/>
            <w:noWrap/>
            <w:vAlign w:val="center"/>
            <w:hideMark/>
          </w:tcPr>
          <w:p w14:paraId="07B4CF4C"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-57,82</w:t>
            </w:r>
          </w:p>
        </w:tc>
      </w:tr>
      <w:tr w:rsidR="001A3A85" w:rsidRPr="001A3A85" w14:paraId="1864E1DF" w14:textId="77777777" w:rsidTr="001A3A85">
        <w:trPr>
          <w:trHeight w:val="300"/>
        </w:trPr>
        <w:tc>
          <w:tcPr>
            <w:tcW w:w="1559" w:type="dxa"/>
            <w:noWrap/>
            <w:vAlign w:val="center"/>
            <w:hideMark/>
          </w:tcPr>
          <w:p w14:paraId="02658FC3"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2017</w:t>
            </w:r>
          </w:p>
        </w:tc>
        <w:tc>
          <w:tcPr>
            <w:tcW w:w="1701" w:type="dxa"/>
            <w:vAlign w:val="center"/>
            <w:hideMark/>
          </w:tcPr>
          <w:p w14:paraId="0D48D6B4"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33 148</w:t>
            </w:r>
          </w:p>
        </w:tc>
        <w:tc>
          <w:tcPr>
            <w:tcW w:w="1276" w:type="dxa"/>
            <w:vAlign w:val="center"/>
            <w:hideMark/>
          </w:tcPr>
          <w:p w14:paraId="3E6166F9"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3025,00</w:t>
            </w:r>
          </w:p>
        </w:tc>
        <w:tc>
          <w:tcPr>
            <w:tcW w:w="1417" w:type="dxa"/>
            <w:vAlign w:val="center"/>
            <w:hideMark/>
          </w:tcPr>
          <w:p w14:paraId="39B8360A"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69,92</w:t>
            </w:r>
          </w:p>
        </w:tc>
        <w:tc>
          <w:tcPr>
            <w:tcW w:w="1418" w:type="dxa"/>
            <w:vAlign w:val="center"/>
            <w:hideMark/>
          </w:tcPr>
          <w:p w14:paraId="6AFDF526"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-30,08</w:t>
            </w:r>
          </w:p>
        </w:tc>
        <w:tc>
          <w:tcPr>
            <w:tcW w:w="1701" w:type="dxa"/>
            <w:vAlign w:val="center"/>
            <w:hideMark/>
          </w:tcPr>
          <w:p w14:paraId="2BB292A4"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352 260</w:t>
            </w:r>
          </w:p>
        </w:tc>
        <w:tc>
          <w:tcPr>
            <w:tcW w:w="1417" w:type="dxa"/>
            <w:vAlign w:val="center"/>
            <w:hideMark/>
          </w:tcPr>
          <w:p w14:paraId="7CB05D57"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104533,00</w:t>
            </w:r>
          </w:p>
        </w:tc>
        <w:tc>
          <w:tcPr>
            <w:tcW w:w="1701" w:type="dxa"/>
            <w:vAlign w:val="center"/>
            <w:hideMark/>
          </w:tcPr>
          <w:p w14:paraId="14F9C28D"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61,97</w:t>
            </w:r>
          </w:p>
        </w:tc>
        <w:tc>
          <w:tcPr>
            <w:tcW w:w="1843" w:type="dxa"/>
            <w:noWrap/>
            <w:vAlign w:val="center"/>
            <w:hideMark/>
          </w:tcPr>
          <w:p w14:paraId="4CA95D16"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-38,03</w:t>
            </w:r>
          </w:p>
        </w:tc>
      </w:tr>
      <w:tr w:rsidR="001A3A85" w:rsidRPr="001A3A85" w14:paraId="40824923" w14:textId="77777777" w:rsidTr="001A3A85">
        <w:trPr>
          <w:trHeight w:val="300"/>
        </w:trPr>
        <w:tc>
          <w:tcPr>
            <w:tcW w:w="1559" w:type="dxa"/>
            <w:noWrap/>
            <w:vAlign w:val="center"/>
            <w:hideMark/>
          </w:tcPr>
          <w:p w14:paraId="7139E96C"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2018</w:t>
            </w:r>
          </w:p>
        </w:tc>
        <w:tc>
          <w:tcPr>
            <w:tcW w:w="1701" w:type="dxa"/>
            <w:vAlign w:val="center"/>
            <w:hideMark/>
          </w:tcPr>
          <w:p w14:paraId="55BCC407"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43 806</w:t>
            </w:r>
          </w:p>
        </w:tc>
        <w:tc>
          <w:tcPr>
            <w:tcW w:w="1276" w:type="dxa"/>
            <w:vAlign w:val="center"/>
            <w:hideMark/>
          </w:tcPr>
          <w:p w14:paraId="45B91AAF"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10658,00</w:t>
            </w:r>
          </w:p>
        </w:tc>
        <w:tc>
          <w:tcPr>
            <w:tcW w:w="1417" w:type="dxa"/>
            <w:vAlign w:val="center"/>
            <w:hideMark/>
          </w:tcPr>
          <w:p w14:paraId="694172C1"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76,94</w:t>
            </w:r>
          </w:p>
        </w:tc>
        <w:tc>
          <w:tcPr>
            <w:tcW w:w="1418" w:type="dxa"/>
            <w:vAlign w:val="center"/>
            <w:hideMark/>
          </w:tcPr>
          <w:p w14:paraId="0EDC4563"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-23,06</w:t>
            </w:r>
          </w:p>
        </w:tc>
        <w:tc>
          <w:tcPr>
            <w:tcW w:w="1701" w:type="dxa"/>
            <w:vAlign w:val="center"/>
            <w:hideMark/>
          </w:tcPr>
          <w:p w14:paraId="335E9054"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336 778</w:t>
            </w:r>
          </w:p>
        </w:tc>
        <w:tc>
          <w:tcPr>
            <w:tcW w:w="1417" w:type="dxa"/>
            <w:vAlign w:val="center"/>
            <w:hideMark/>
          </w:tcPr>
          <w:p w14:paraId="4DD3A42E"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-15482,00</w:t>
            </w:r>
          </w:p>
        </w:tc>
        <w:tc>
          <w:tcPr>
            <w:tcW w:w="1701" w:type="dxa"/>
            <w:vAlign w:val="center"/>
            <w:hideMark/>
          </w:tcPr>
          <w:p w14:paraId="4B4E655B"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88,12</w:t>
            </w:r>
          </w:p>
        </w:tc>
        <w:tc>
          <w:tcPr>
            <w:tcW w:w="1843" w:type="dxa"/>
            <w:noWrap/>
            <w:vAlign w:val="center"/>
            <w:hideMark/>
          </w:tcPr>
          <w:p w14:paraId="19933C70"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-11,88</w:t>
            </w:r>
          </w:p>
        </w:tc>
      </w:tr>
      <w:tr w:rsidR="001A3A85" w:rsidRPr="001A3A85" w14:paraId="0ADFB419" w14:textId="77777777" w:rsidTr="001A3A85">
        <w:trPr>
          <w:trHeight w:val="300"/>
        </w:trPr>
        <w:tc>
          <w:tcPr>
            <w:tcW w:w="1559" w:type="dxa"/>
            <w:noWrap/>
            <w:vAlign w:val="center"/>
            <w:hideMark/>
          </w:tcPr>
          <w:p w14:paraId="613CA33F"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2019</w:t>
            </w:r>
          </w:p>
        </w:tc>
        <w:tc>
          <w:tcPr>
            <w:tcW w:w="1701" w:type="dxa"/>
            <w:vAlign w:val="center"/>
            <w:hideMark/>
          </w:tcPr>
          <w:p w14:paraId="6E4F986D"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35248</w:t>
            </w:r>
          </w:p>
        </w:tc>
        <w:tc>
          <w:tcPr>
            <w:tcW w:w="1276" w:type="dxa"/>
            <w:vAlign w:val="center"/>
            <w:hideMark/>
          </w:tcPr>
          <w:p w14:paraId="7E97870E"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-8558,00</w:t>
            </w:r>
          </w:p>
        </w:tc>
        <w:tc>
          <w:tcPr>
            <w:tcW w:w="1417" w:type="dxa"/>
            <w:vAlign w:val="center"/>
            <w:hideMark/>
          </w:tcPr>
          <w:p w14:paraId="16250EDD"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101,67</w:t>
            </w:r>
          </w:p>
        </w:tc>
        <w:tc>
          <w:tcPr>
            <w:tcW w:w="1418" w:type="dxa"/>
            <w:vAlign w:val="center"/>
            <w:hideMark/>
          </w:tcPr>
          <w:p w14:paraId="26B7E19E"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1,67</w:t>
            </w:r>
          </w:p>
        </w:tc>
        <w:tc>
          <w:tcPr>
            <w:tcW w:w="1701" w:type="dxa"/>
            <w:vAlign w:val="center"/>
            <w:hideMark/>
          </w:tcPr>
          <w:p w14:paraId="7757401D"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341 175</w:t>
            </w:r>
          </w:p>
        </w:tc>
        <w:tc>
          <w:tcPr>
            <w:tcW w:w="1417" w:type="dxa"/>
            <w:vAlign w:val="center"/>
            <w:hideMark/>
          </w:tcPr>
          <w:p w14:paraId="694390F1"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4397,00</w:t>
            </w:r>
          </w:p>
        </w:tc>
        <w:tc>
          <w:tcPr>
            <w:tcW w:w="1701" w:type="dxa"/>
            <w:vAlign w:val="center"/>
            <w:hideMark/>
          </w:tcPr>
          <w:p w14:paraId="601C69DB"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84,25</w:t>
            </w:r>
          </w:p>
        </w:tc>
        <w:tc>
          <w:tcPr>
            <w:tcW w:w="1843" w:type="dxa"/>
            <w:noWrap/>
            <w:vAlign w:val="center"/>
            <w:hideMark/>
          </w:tcPr>
          <w:p w14:paraId="3D15DD83"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-15,75</w:t>
            </w:r>
          </w:p>
        </w:tc>
      </w:tr>
      <w:tr w:rsidR="001A3A85" w:rsidRPr="001A3A85" w14:paraId="78024E8B" w14:textId="77777777" w:rsidTr="001A3A85">
        <w:trPr>
          <w:trHeight w:val="300"/>
        </w:trPr>
        <w:tc>
          <w:tcPr>
            <w:tcW w:w="1559" w:type="dxa"/>
            <w:noWrap/>
            <w:vAlign w:val="center"/>
            <w:hideMark/>
          </w:tcPr>
          <w:p w14:paraId="430CDDD3"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2020</w:t>
            </w:r>
          </w:p>
        </w:tc>
        <w:tc>
          <w:tcPr>
            <w:tcW w:w="1701" w:type="dxa"/>
            <w:vAlign w:val="center"/>
            <w:hideMark/>
          </w:tcPr>
          <w:p w14:paraId="5FA6D113"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38 399</w:t>
            </w:r>
          </w:p>
        </w:tc>
        <w:tc>
          <w:tcPr>
            <w:tcW w:w="1276" w:type="dxa"/>
            <w:vAlign w:val="center"/>
            <w:hideMark/>
          </w:tcPr>
          <w:p w14:paraId="1DAFB58C"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3151,00</w:t>
            </w:r>
          </w:p>
        </w:tc>
        <w:tc>
          <w:tcPr>
            <w:tcW w:w="1417" w:type="dxa"/>
            <w:vAlign w:val="center"/>
            <w:hideMark/>
          </w:tcPr>
          <w:p w14:paraId="78D4880F"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81,81</w:t>
            </w:r>
          </w:p>
        </w:tc>
        <w:tc>
          <w:tcPr>
            <w:tcW w:w="1418" w:type="dxa"/>
            <w:vAlign w:val="center"/>
            <w:hideMark/>
          </w:tcPr>
          <w:p w14:paraId="0C749D3D"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-18,19</w:t>
            </w:r>
          </w:p>
        </w:tc>
        <w:tc>
          <w:tcPr>
            <w:tcW w:w="1701" w:type="dxa"/>
            <w:vAlign w:val="center"/>
            <w:hideMark/>
          </w:tcPr>
          <w:p w14:paraId="70C0F550"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378 447</w:t>
            </w:r>
          </w:p>
        </w:tc>
        <w:tc>
          <w:tcPr>
            <w:tcW w:w="1417" w:type="dxa"/>
            <w:vAlign w:val="center"/>
            <w:hideMark/>
          </w:tcPr>
          <w:p w14:paraId="358FFB32"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37272,00</w:t>
            </w:r>
          </w:p>
        </w:tc>
        <w:tc>
          <w:tcPr>
            <w:tcW w:w="1701" w:type="dxa"/>
            <w:vAlign w:val="center"/>
            <w:hideMark/>
          </w:tcPr>
          <w:p w14:paraId="6FA46DD3"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85,35</w:t>
            </w:r>
          </w:p>
        </w:tc>
        <w:tc>
          <w:tcPr>
            <w:tcW w:w="1843" w:type="dxa"/>
            <w:noWrap/>
            <w:vAlign w:val="center"/>
            <w:hideMark/>
          </w:tcPr>
          <w:p w14:paraId="12162E7E"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-14,65</w:t>
            </w:r>
          </w:p>
        </w:tc>
      </w:tr>
      <w:tr w:rsidR="001A3A85" w:rsidRPr="001A3A85" w14:paraId="1E8EFFF4" w14:textId="77777777" w:rsidTr="001A3A85">
        <w:trPr>
          <w:trHeight w:val="300"/>
        </w:trPr>
        <w:tc>
          <w:tcPr>
            <w:tcW w:w="1559" w:type="dxa"/>
            <w:noWrap/>
            <w:vAlign w:val="center"/>
            <w:hideMark/>
          </w:tcPr>
          <w:p w14:paraId="0B8C223C"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2021</w:t>
            </w:r>
          </w:p>
        </w:tc>
        <w:tc>
          <w:tcPr>
            <w:tcW w:w="1701" w:type="dxa"/>
            <w:vAlign w:val="center"/>
            <w:hideMark/>
          </w:tcPr>
          <w:p w14:paraId="1A0A1577"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43 085</w:t>
            </w:r>
          </w:p>
        </w:tc>
        <w:tc>
          <w:tcPr>
            <w:tcW w:w="1276" w:type="dxa"/>
            <w:vAlign w:val="center"/>
            <w:hideMark/>
          </w:tcPr>
          <w:p w14:paraId="0FE63C84"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4686,00</w:t>
            </w:r>
          </w:p>
        </w:tc>
        <w:tc>
          <w:tcPr>
            <w:tcW w:w="1417" w:type="dxa"/>
            <w:vAlign w:val="center"/>
            <w:hideMark/>
          </w:tcPr>
          <w:p w14:paraId="0EAC55F8"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89,12</w:t>
            </w:r>
          </w:p>
        </w:tc>
        <w:tc>
          <w:tcPr>
            <w:tcW w:w="1418" w:type="dxa"/>
            <w:vAlign w:val="center"/>
            <w:hideMark/>
          </w:tcPr>
          <w:p w14:paraId="046ABF8C"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-10,88</w:t>
            </w:r>
          </w:p>
        </w:tc>
        <w:tc>
          <w:tcPr>
            <w:tcW w:w="1701" w:type="dxa"/>
            <w:vAlign w:val="center"/>
            <w:hideMark/>
          </w:tcPr>
          <w:p w14:paraId="0E431708"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399 744</w:t>
            </w:r>
          </w:p>
        </w:tc>
        <w:tc>
          <w:tcPr>
            <w:tcW w:w="1417" w:type="dxa"/>
            <w:vAlign w:val="center"/>
            <w:hideMark/>
          </w:tcPr>
          <w:p w14:paraId="3ED75816"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21297,00</w:t>
            </w:r>
          </w:p>
        </w:tc>
        <w:tc>
          <w:tcPr>
            <w:tcW w:w="1701" w:type="dxa"/>
            <w:vAlign w:val="center"/>
            <w:hideMark/>
          </w:tcPr>
          <w:p w14:paraId="665B1716"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94,67</w:t>
            </w:r>
          </w:p>
        </w:tc>
        <w:tc>
          <w:tcPr>
            <w:tcW w:w="1843" w:type="dxa"/>
            <w:noWrap/>
            <w:vAlign w:val="center"/>
            <w:hideMark/>
          </w:tcPr>
          <w:p w14:paraId="4F9191B0"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-5,33</w:t>
            </w:r>
          </w:p>
        </w:tc>
      </w:tr>
      <w:tr w:rsidR="001A3A85" w:rsidRPr="001A3A85" w14:paraId="1683F6DA" w14:textId="77777777" w:rsidTr="001A3A85">
        <w:trPr>
          <w:trHeight w:val="510"/>
        </w:trPr>
        <w:tc>
          <w:tcPr>
            <w:tcW w:w="1559" w:type="dxa"/>
            <w:vAlign w:val="center"/>
            <w:hideMark/>
          </w:tcPr>
          <w:p w14:paraId="6EFE0682" w14:textId="77777777" w:rsidR="0066583A" w:rsidRPr="001A3A85" w:rsidRDefault="0066583A" w:rsidP="001A3A85">
            <w:pPr>
              <w:spacing w:after="0" w:line="24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средний показатель</w:t>
            </w:r>
          </w:p>
        </w:tc>
        <w:tc>
          <w:tcPr>
            <w:tcW w:w="1701" w:type="dxa"/>
            <w:noWrap/>
            <w:vAlign w:val="center"/>
            <w:hideMark/>
          </w:tcPr>
          <w:p w14:paraId="224CA563"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35 340</w:t>
            </w:r>
          </w:p>
        </w:tc>
        <w:tc>
          <w:tcPr>
            <w:tcW w:w="1276" w:type="dxa"/>
            <w:noWrap/>
            <w:vAlign w:val="center"/>
            <w:hideMark/>
          </w:tcPr>
          <w:p w14:paraId="717179B0"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3252,17</w:t>
            </w:r>
          </w:p>
        </w:tc>
        <w:tc>
          <w:tcPr>
            <w:tcW w:w="1417" w:type="dxa"/>
            <w:noWrap/>
            <w:vAlign w:val="center"/>
            <w:hideMark/>
          </w:tcPr>
          <w:p w14:paraId="29565405"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110,57</w:t>
            </w:r>
          </w:p>
        </w:tc>
        <w:tc>
          <w:tcPr>
            <w:tcW w:w="1418" w:type="dxa"/>
            <w:noWrap/>
            <w:vAlign w:val="center"/>
            <w:hideMark/>
          </w:tcPr>
          <w:p w14:paraId="6FE1F9B0"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10,57</w:t>
            </w:r>
          </w:p>
        </w:tc>
        <w:tc>
          <w:tcPr>
            <w:tcW w:w="1701" w:type="dxa"/>
            <w:noWrap/>
            <w:vAlign w:val="center"/>
            <w:hideMark/>
          </w:tcPr>
          <w:p w14:paraId="4B34C5C7"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317 822</w:t>
            </w:r>
          </w:p>
        </w:tc>
        <w:tc>
          <w:tcPr>
            <w:tcW w:w="1417" w:type="dxa"/>
            <w:vAlign w:val="center"/>
            <w:hideMark/>
          </w:tcPr>
          <w:p w14:paraId="42945269"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38520,17</w:t>
            </w:r>
          </w:p>
        </w:tc>
        <w:tc>
          <w:tcPr>
            <w:tcW w:w="1701" w:type="dxa"/>
            <w:noWrap/>
            <w:vAlign w:val="center"/>
            <w:hideMark/>
          </w:tcPr>
          <w:p w14:paraId="4F2A6E4B"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-98,85</w:t>
            </w:r>
          </w:p>
        </w:tc>
        <w:tc>
          <w:tcPr>
            <w:tcW w:w="1843" w:type="dxa"/>
            <w:noWrap/>
            <w:vAlign w:val="center"/>
            <w:hideMark/>
          </w:tcPr>
          <w:p w14:paraId="29D61F85" w14:textId="77777777" w:rsidR="0066583A" w:rsidRPr="001A3A85" w:rsidRDefault="0066583A" w:rsidP="001A3A85">
            <w:pPr>
              <w:spacing w:after="0" w:line="360" w:lineRule="auto"/>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-198,85</w:t>
            </w:r>
          </w:p>
        </w:tc>
      </w:tr>
    </w:tbl>
    <w:p w14:paraId="31745382" w14:textId="77777777" w:rsidR="004954F5" w:rsidRDefault="004954F5" w:rsidP="004135FE">
      <w:pPr>
        <w:spacing w:after="0" w:line="240" w:lineRule="auto"/>
        <w:jc w:val="both"/>
        <w:rPr>
          <w:rFonts w:ascii="Times New Roman" w:hAnsi="Times New Roman" w:cs="Times New Roman"/>
          <w:sz w:val="28"/>
          <w:szCs w:val="28"/>
        </w:rPr>
        <w:sectPr w:rsidR="004954F5" w:rsidSect="004954F5">
          <w:pgSz w:w="16838" w:h="11906" w:orient="landscape"/>
          <w:pgMar w:top="1701" w:right="1134" w:bottom="851" w:left="1134" w:header="284" w:footer="170" w:gutter="0"/>
          <w:cols w:space="708"/>
          <w:docGrid w:linePitch="360"/>
        </w:sectPr>
      </w:pPr>
    </w:p>
    <w:p w14:paraId="5FA1D240" w14:textId="77777777" w:rsidR="0066583A" w:rsidRPr="004135FE" w:rsidRDefault="0066583A" w:rsidP="004135FE">
      <w:pPr>
        <w:spacing w:after="0" w:line="240" w:lineRule="auto"/>
        <w:jc w:val="both"/>
        <w:rPr>
          <w:rFonts w:ascii="Times New Roman" w:hAnsi="Times New Roman" w:cs="Times New Roman"/>
          <w:sz w:val="28"/>
          <w:szCs w:val="28"/>
        </w:rPr>
      </w:pPr>
    </w:p>
    <w:p w14:paraId="5E0BBEE9" w14:textId="7B59C7E9" w:rsidR="0066583A" w:rsidRPr="004135FE" w:rsidRDefault="0066583A"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Для оценки динамики по ретроспективным данным предоставленный РЦЭЗ отчета показателей ИСЛО с 2015г до 2021г по </w:t>
      </w:r>
      <w:r w:rsidRPr="004135FE">
        <w:rPr>
          <w:rFonts w:ascii="Times New Roman" w:hAnsi="Times New Roman" w:cs="Times New Roman"/>
          <w:bCs/>
          <w:sz w:val="28"/>
          <w:szCs w:val="28"/>
        </w:rPr>
        <w:t xml:space="preserve">стоимости </w:t>
      </w:r>
      <w:r w:rsidRPr="004135FE">
        <w:rPr>
          <w:rFonts w:ascii="Times New Roman" w:eastAsiaTheme="minorHAnsi" w:hAnsi="Times New Roman" w:cs="Times New Roman"/>
          <w:bCs/>
          <w:sz w:val="28"/>
          <w:szCs w:val="28"/>
          <w:lang w:eastAsia="en-US"/>
        </w:rPr>
        <w:t xml:space="preserve">обеспеченных </w:t>
      </w:r>
      <w:r w:rsidRPr="004135FE">
        <w:rPr>
          <w:rFonts w:ascii="Times New Roman" w:hAnsi="Times New Roman" w:cs="Times New Roman"/>
          <w:bCs/>
          <w:sz w:val="28"/>
          <w:szCs w:val="28"/>
        </w:rPr>
        <w:t>ЛС по рецептам по</w:t>
      </w:r>
      <w:r w:rsidRPr="004135FE">
        <w:rPr>
          <w:rFonts w:ascii="Times New Roman" w:hAnsi="Times New Roman" w:cs="Times New Roman"/>
          <w:sz w:val="28"/>
          <w:szCs w:val="28"/>
        </w:rPr>
        <w:t xml:space="preserve"> СД г Алматы составлен прогноз вперед на 2 периода. Началом прогноза послужила 2021г и завершение прогноза 2023</w:t>
      </w:r>
      <w:r w:rsidR="001A3A85">
        <w:rPr>
          <w:rFonts w:ascii="Times New Roman" w:hAnsi="Times New Roman" w:cs="Times New Roman"/>
          <w:sz w:val="28"/>
          <w:szCs w:val="28"/>
        </w:rPr>
        <w:t xml:space="preserve"> </w:t>
      </w:r>
      <w:r w:rsidRPr="004135FE">
        <w:rPr>
          <w:rFonts w:ascii="Times New Roman" w:hAnsi="Times New Roman" w:cs="Times New Roman"/>
          <w:sz w:val="28"/>
          <w:szCs w:val="28"/>
        </w:rPr>
        <w:t xml:space="preserve">г. Был использован метод линейной регрессии, где </w:t>
      </w:r>
      <w:r w:rsidRPr="004135FE">
        <w:rPr>
          <w:rFonts w:ascii="Times New Roman" w:eastAsiaTheme="minorHAnsi" w:hAnsi="Times New Roman" w:cs="Times New Roman"/>
          <w:sz w:val="28"/>
          <w:szCs w:val="28"/>
          <w:lang w:val="en-US" w:eastAsia="en-US"/>
        </w:rPr>
        <w:t>y</w:t>
      </w:r>
      <w:r w:rsidRPr="004135FE">
        <w:rPr>
          <w:rFonts w:ascii="Times New Roman" w:eastAsiaTheme="minorHAnsi" w:hAnsi="Times New Roman" w:cs="Times New Roman"/>
          <w:sz w:val="28"/>
          <w:szCs w:val="28"/>
          <w:lang w:eastAsia="en-US"/>
        </w:rPr>
        <w:t xml:space="preserve"> = 8</w:t>
      </w:r>
      <w:r w:rsidRPr="004135FE">
        <w:rPr>
          <w:rFonts w:ascii="Times New Roman" w:eastAsiaTheme="minorHAnsi" w:hAnsi="Times New Roman" w:cs="Times New Roman"/>
          <w:sz w:val="28"/>
          <w:szCs w:val="28"/>
          <w:lang w:val="en-US" w:eastAsia="en-US"/>
        </w:rPr>
        <w:t>E</w:t>
      </w:r>
      <w:r w:rsidRPr="004135FE">
        <w:rPr>
          <w:rFonts w:ascii="Times New Roman" w:eastAsiaTheme="minorHAnsi" w:hAnsi="Times New Roman" w:cs="Times New Roman"/>
          <w:sz w:val="28"/>
          <w:szCs w:val="28"/>
          <w:lang w:eastAsia="en-US"/>
        </w:rPr>
        <w:t>+08</w:t>
      </w:r>
      <w:r w:rsidRPr="004135FE">
        <w:rPr>
          <w:rFonts w:ascii="Times New Roman" w:eastAsiaTheme="minorHAnsi" w:hAnsi="Times New Roman" w:cs="Times New Roman"/>
          <w:sz w:val="28"/>
          <w:szCs w:val="28"/>
          <w:lang w:val="en-US" w:eastAsia="en-US"/>
        </w:rPr>
        <w:t>x</w:t>
      </w:r>
      <w:r w:rsidRPr="004135FE">
        <w:rPr>
          <w:rFonts w:ascii="Times New Roman" w:eastAsiaTheme="minorHAnsi" w:hAnsi="Times New Roman" w:cs="Times New Roman"/>
          <w:sz w:val="28"/>
          <w:szCs w:val="28"/>
          <w:lang w:eastAsia="en-US"/>
        </w:rPr>
        <w:t xml:space="preserve"> - 7</w:t>
      </w:r>
      <w:r w:rsidRPr="004135FE">
        <w:rPr>
          <w:rFonts w:ascii="Times New Roman" w:eastAsiaTheme="minorHAnsi" w:hAnsi="Times New Roman" w:cs="Times New Roman"/>
          <w:sz w:val="28"/>
          <w:szCs w:val="28"/>
          <w:lang w:val="en-US" w:eastAsia="en-US"/>
        </w:rPr>
        <w:t>E</w:t>
      </w:r>
      <w:r w:rsidRPr="004135FE">
        <w:rPr>
          <w:rFonts w:ascii="Times New Roman" w:eastAsiaTheme="minorHAnsi" w:hAnsi="Times New Roman" w:cs="Times New Roman"/>
          <w:sz w:val="28"/>
          <w:szCs w:val="28"/>
          <w:lang w:eastAsia="en-US"/>
        </w:rPr>
        <w:t xml:space="preserve">+08, </w:t>
      </w:r>
      <w:r w:rsidRPr="004135FE">
        <w:rPr>
          <w:rFonts w:ascii="Times New Roman" w:eastAsiaTheme="minorHAnsi" w:hAnsi="Times New Roman" w:cs="Times New Roman"/>
          <w:sz w:val="28"/>
          <w:szCs w:val="28"/>
          <w:lang w:val="en-US" w:eastAsia="en-US"/>
        </w:rPr>
        <w:t>R</w:t>
      </w:r>
      <w:r w:rsidRPr="004135FE">
        <w:rPr>
          <w:rFonts w:ascii="Times New Roman" w:eastAsiaTheme="minorHAnsi" w:hAnsi="Times New Roman" w:cs="Times New Roman"/>
          <w:sz w:val="28"/>
          <w:szCs w:val="28"/>
          <w:lang w:eastAsia="en-US"/>
        </w:rPr>
        <w:t xml:space="preserve">² = 0,9103 </w:t>
      </w:r>
      <w:r w:rsidRPr="004135FE">
        <w:rPr>
          <w:rFonts w:ascii="Times New Roman" w:hAnsi="Times New Roman" w:cs="Times New Roman"/>
          <w:sz w:val="28"/>
          <w:szCs w:val="28"/>
        </w:rPr>
        <w:t xml:space="preserve">показывает, что уравнение и величина достоверности аппроксимации </w:t>
      </w:r>
      <w:r w:rsidRPr="004135FE">
        <w:rPr>
          <w:rFonts w:ascii="Times New Roman" w:hAnsi="Times New Roman" w:cs="Times New Roman"/>
          <w:sz w:val="28"/>
          <w:szCs w:val="28"/>
          <w:lang w:val="en-US"/>
        </w:rPr>
        <w:t>R</w:t>
      </w:r>
      <w:r w:rsidRPr="004135FE">
        <w:rPr>
          <w:rFonts w:ascii="Times New Roman" w:hAnsi="Times New Roman" w:cs="Times New Roman"/>
          <w:sz w:val="28"/>
          <w:szCs w:val="28"/>
          <w:vertAlign w:val="superscript"/>
        </w:rPr>
        <w:t>2</w:t>
      </w:r>
      <w:r w:rsidRPr="004135FE">
        <w:rPr>
          <w:rFonts w:ascii="Times New Roman" w:hAnsi="Times New Roman" w:cs="Times New Roman"/>
          <w:sz w:val="28"/>
          <w:szCs w:val="28"/>
        </w:rPr>
        <w:t xml:space="preserve"> высокие. </w:t>
      </w:r>
      <w:r w:rsidRPr="004135FE">
        <w:rPr>
          <w:rFonts w:ascii="Times New Roman" w:eastAsia="Times New Roman" w:hAnsi="Times New Roman" w:cs="Times New Roman"/>
          <w:sz w:val="28"/>
          <w:szCs w:val="28"/>
        </w:rPr>
        <w:t xml:space="preserve">Alpha 0,13, MASE- 0,52, </w:t>
      </w:r>
      <w:r w:rsidRPr="004135FE">
        <w:rPr>
          <w:rFonts w:ascii="Times New Roman" w:eastAsia="Times New Roman" w:hAnsi="Times New Roman" w:cs="Times New Roman"/>
          <w:sz w:val="28"/>
          <w:szCs w:val="28"/>
          <w:lang w:val="kk-KZ"/>
        </w:rPr>
        <w:t>Средняя абсолютная ошибка в процентах</w:t>
      </w:r>
      <w:r w:rsidRPr="004135FE">
        <w:rPr>
          <w:rFonts w:ascii="Times New Roman" w:eastAsia="Times New Roman" w:hAnsi="Times New Roman" w:cs="Times New Roman"/>
          <w:sz w:val="28"/>
          <w:szCs w:val="28"/>
        </w:rPr>
        <w:t xml:space="preserve"> SMAPE </w:t>
      </w:r>
      <w:r w:rsidRPr="004135FE">
        <w:rPr>
          <w:rFonts w:ascii="Times New Roman" w:eastAsia="Times New Roman" w:hAnsi="Times New Roman" w:cs="Times New Roman"/>
          <w:sz w:val="28"/>
          <w:szCs w:val="28"/>
          <w:lang w:val="kk-KZ"/>
        </w:rPr>
        <w:t xml:space="preserve"> </w:t>
      </w:r>
      <w:r w:rsidRPr="004135FE">
        <w:rPr>
          <w:rFonts w:ascii="Times New Roman" w:eastAsia="Times New Roman" w:hAnsi="Times New Roman" w:cs="Times New Roman"/>
          <w:sz w:val="28"/>
          <w:szCs w:val="28"/>
        </w:rPr>
        <w:t xml:space="preserve">0,18, </w:t>
      </w:r>
      <w:r w:rsidRPr="004135FE">
        <w:rPr>
          <w:rFonts w:ascii="Times New Roman" w:eastAsia="Times New Roman" w:hAnsi="Times New Roman" w:cs="Times New Roman"/>
          <w:sz w:val="28"/>
          <w:szCs w:val="28"/>
          <w:lang w:val="kk-KZ"/>
        </w:rPr>
        <w:t xml:space="preserve">Средняя абсолютная ошибка </w:t>
      </w:r>
      <w:r w:rsidRPr="004135FE">
        <w:rPr>
          <w:rFonts w:ascii="Times New Roman" w:eastAsia="Times New Roman" w:hAnsi="Times New Roman" w:cs="Times New Roman"/>
          <w:sz w:val="28"/>
          <w:szCs w:val="28"/>
        </w:rPr>
        <w:t xml:space="preserve">MAE 433 792 422,40, </w:t>
      </w:r>
      <w:r w:rsidRPr="004135FE">
        <w:rPr>
          <w:rFonts w:ascii="Times New Roman" w:eastAsia="Times New Roman" w:hAnsi="Times New Roman" w:cs="Times New Roman"/>
          <w:sz w:val="28"/>
          <w:szCs w:val="28"/>
          <w:lang w:val="kk-KZ"/>
        </w:rPr>
        <w:t>Квадратный корень из среднеквадратичной ошибки</w:t>
      </w:r>
      <w:r w:rsidRPr="004135FE">
        <w:rPr>
          <w:rFonts w:ascii="Times New Roman" w:eastAsia="Times New Roman" w:hAnsi="Times New Roman" w:cs="Times New Roman"/>
          <w:sz w:val="28"/>
          <w:szCs w:val="28"/>
        </w:rPr>
        <w:t xml:space="preserve"> RMSE 548 779 035,77</w:t>
      </w:r>
      <w:r w:rsidRPr="004135FE">
        <w:rPr>
          <w:rFonts w:ascii="Times New Roman" w:hAnsi="Times New Roman" w:cs="Times New Roman"/>
          <w:noProof/>
          <w:sz w:val="28"/>
          <w:szCs w:val="28"/>
        </w:rPr>
        <w:t xml:space="preserve"> Согласно прогностической оценке ожидается дальнейшее увеличение суммы обеспеченных ЛС по рецептам с </w:t>
      </w:r>
      <w:r w:rsidRPr="004135FE">
        <w:rPr>
          <w:rFonts w:ascii="Times New Roman" w:eastAsia="Times New Roman" w:hAnsi="Times New Roman" w:cs="Times New Roman"/>
          <w:sz w:val="28"/>
          <w:szCs w:val="28"/>
        </w:rPr>
        <w:t>5 341 889 235,14 тенге</w:t>
      </w:r>
      <w:r w:rsidRPr="004135FE">
        <w:rPr>
          <w:rFonts w:ascii="Times New Roman" w:hAnsi="Times New Roman" w:cs="Times New Roman"/>
          <w:noProof/>
          <w:sz w:val="28"/>
          <w:szCs w:val="28"/>
        </w:rPr>
        <w:t xml:space="preserve"> </w:t>
      </w:r>
      <w:r w:rsidRPr="004135FE">
        <w:rPr>
          <w:rFonts w:ascii="Times New Roman" w:eastAsia="Times New Roman" w:hAnsi="Times New Roman" w:cs="Times New Roman"/>
          <w:sz w:val="28"/>
          <w:szCs w:val="28"/>
        </w:rPr>
        <w:t>до 6 204 762 566,38 тенге с ДИ (5 120 536 045,04; 7 288 989 087,73)</w:t>
      </w:r>
      <w:r w:rsidRPr="004135FE">
        <w:rPr>
          <w:rFonts w:ascii="Times New Roman" w:eastAsiaTheme="minorHAnsi" w:hAnsi="Times New Roman" w:cs="Times New Roman"/>
          <w:bCs/>
          <w:sz w:val="28"/>
          <w:szCs w:val="28"/>
          <w:lang w:val="kk-KZ" w:eastAsia="en-US"/>
        </w:rPr>
        <w:t xml:space="preserve"> тенге</w:t>
      </w:r>
      <w:r w:rsidRPr="004135FE">
        <w:rPr>
          <w:rFonts w:ascii="Times New Roman" w:hAnsi="Times New Roman" w:cs="Times New Roman"/>
          <w:sz w:val="28"/>
          <w:szCs w:val="28"/>
        </w:rPr>
        <w:t xml:space="preserve"> (р=0,001) статистически значимы</w:t>
      </w:r>
      <w:r w:rsidRPr="004135FE">
        <w:rPr>
          <w:rFonts w:ascii="Times New Roman" w:eastAsia="Times New Roman" w:hAnsi="Times New Roman" w:cs="Times New Roman"/>
          <w:sz w:val="28"/>
          <w:szCs w:val="28"/>
        </w:rPr>
        <w:t xml:space="preserve"> </w:t>
      </w:r>
      <w:r w:rsidR="003044D6" w:rsidRPr="004135FE">
        <w:rPr>
          <w:rFonts w:ascii="Times New Roman" w:eastAsia="Times New Roman" w:hAnsi="Times New Roman" w:cs="Times New Roman"/>
          <w:sz w:val="28"/>
          <w:szCs w:val="28"/>
        </w:rPr>
        <w:t xml:space="preserve">(таблица </w:t>
      </w:r>
      <w:r w:rsidR="00B728EF" w:rsidRPr="004135FE">
        <w:rPr>
          <w:rFonts w:ascii="Times New Roman" w:eastAsia="Times New Roman" w:hAnsi="Times New Roman" w:cs="Times New Roman"/>
          <w:sz w:val="28"/>
          <w:szCs w:val="28"/>
        </w:rPr>
        <w:t>18</w:t>
      </w:r>
      <w:r w:rsidRPr="004135FE">
        <w:rPr>
          <w:rFonts w:ascii="Times New Roman" w:eastAsia="Times New Roman" w:hAnsi="Times New Roman" w:cs="Times New Roman"/>
          <w:sz w:val="28"/>
          <w:szCs w:val="28"/>
        </w:rPr>
        <w:t>).</w:t>
      </w:r>
    </w:p>
    <w:p w14:paraId="03A7CC70" w14:textId="77777777" w:rsidR="0066583A" w:rsidRPr="004135FE" w:rsidRDefault="0066583A" w:rsidP="004135FE">
      <w:pPr>
        <w:autoSpaceDE w:val="0"/>
        <w:autoSpaceDN w:val="0"/>
        <w:adjustRightInd w:val="0"/>
        <w:spacing w:after="0" w:line="240" w:lineRule="auto"/>
        <w:jc w:val="both"/>
        <w:rPr>
          <w:rFonts w:ascii="Times New Roman" w:eastAsiaTheme="minorHAnsi" w:hAnsi="Times New Roman" w:cs="Times New Roman"/>
          <w:bCs/>
          <w:sz w:val="28"/>
          <w:szCs w:val="28"/>
          <w:lang w:eastAsia="en-US"/>
        </w:rPr>
      </w:pPr>
    </w:p>
    <w:p w14:paraId="575A855B" w14:textId="5FDBCE81" w:rsidR="0066583A" w:rsidRDefault="0066583A" w:rsidP="004135FE">
      <w:pPr>
        <w:autoSpaceDE w:val="0"/>
        <w:autoSpaceDN w:val="0"/>
        <w:adjustRightInd w:val="0"/>
        <w:spacing w:after="0" w:line="240" w:lineRule="auto"/>
        <w:jc w:val="both"/>
        <w:rPr>
          <w:rFonts w:ascii="Times New Roman" w:eastAsiaTheme="minorHAnsi" w:hAnsi="Times New Roman" w:cs="Times New Roman"/>
          <w:bCs/>
          <w:sz w:val="28"/>
          <w:szCs w:val="28"/>
          <w:lang w:val="kk-KZ" w:eastAsia="en-US"/>
        </w:rPr>
      </w:pPr>
      <w:r w:rsidRPr="004135FE">
        <w:rPr>
          <w:rFonts w:ascii="Times New Roman" w:hAnsi="Times New Roman" w:cs="Times New Roman"/>
          <w:sz w:val="28"/>
          <w:szCs w:val="28"/>
          <w:lang w:val="kk-KZ"/>
        </w:rPr>
        <w:t xml:space="preserve">Таблица </w:t>
      </w:r>
      <w:r w:rsidR="00B728EF" w:rsidRPr="004135FE">
        <w:rPr>
          <w:rFonts w:ascii="Times New Roman" w:hAnsi="Times New Roman" w:cs="Times New Roman"/>
          <w:sz w:val="28"/>
          <w:szCs w:val="28"/>
          <w:lang w:val="kk-KZ"/>
        </w:rPr>
        <w:t>18</w:t>
      </w:r>
      <w:r w:rsidRPr="004135FE">
        <w:rPr>
          <w:rFonts w:ascii="Times New Roman" w:hAnsi="Times New Roman" w:cs="Times New Roman"/>
          <w:sz w:val="28"/>
          <w:szCs w:val="28"/>
          <w:lang w:val="kk-KZ"/>
        </w:rPr>
        <w:t xml:space="preserve"> - </w:t>
      </w:r>
      <w:r w:rsidRPr="004135FE">
        <w:rPr>
          <w:rFonts w:ascii="Times New Roman" w:hAnsi="Times New Roman" w:cs="Times New Roman"/>
          <w:sz w:val="28"/>
          <w:szCs w:val="28"/>
        </w:rPr>
        <w:t xml:space="preserve">Математическое  прогнозирование </w:t>
      </w:r>
      <w:r w:rsidRPr="004135FE">
        <w:rPr>
          <w:rFonts w:ascii="Times New Roman" w:hAnsi="Times New Roman" w:cs="Times New Roman"/>
          <w:bCs/>
          <w:sz w:val="28"/>
          <w:szCs w:val="28"/>
        </w:rPr>
        <w:t xml:space="preserve">стоимости </w:t>
      </w:r>
      <w:r w:rsidRPr="004135FE">
        <w:rPr>
          <w:rFonts w:ascii="Times New Roman" w:eastAsiaTheme="minorHAnsi" w:hAnsi="Times New Roman" w:cs="Times New Roman"/>
          <w:bCs/>
          <w:sz w:val="28"/>
          <w:szCs w:val="28"/>
          <w:lang w:eastAsia="en-US"/>
        </w:rPr>
        <w:t xml:space="preserve">обеспеченных </w:t>
      </w:r>
      <w:r w:rsidRPr="004135FE">
        <w:rPr>
          <w:rFonts w:ascii="Times New Roman" w:hAnsi="Times New Roman" w:cs="Times New Roman"/>
          <w:bCs/>
          <w:sz w:val="28"/>
          <w:szCs w:val="28"/>
        </w:rPr>
        <w:t xml:space="preserve">ЛС по рецептам </w:t>
      </w:r>
      <w:r w:rsidRPr="004135FE">
        <w:rPr>
          <w:rFonts w:ascii="Times New Roman" w:eastAsiaTheme="minorHAnsi" w:hAnsi="Times New Roman" w:cs="Times New Roman"/>
          <w:bCs/>
          <w:sz w:val="28"/>
          <w:szCs w:val="28"/>
          <w:lang w:eastAsia="en-US"/>
        </w:rPr>
        <w:t>(по СД по г.Алматы</w:t>
      </w:r>
      <w:r w:rsidRPr="004135FE">
        <w:rPr>
          <w:rFonts w:ascii="Times New Roman" w:eastAsiaTheme="minorHAnsi" w:hAnsi="Times New Roman" w:cs="Times New Roman"/>
          <w:bCs/>
          <w:sz w:val="28"/>
          <w:szCs w:val="28"/>
          <w:lang w:val="kk-KZ" w:eastAsia="en-US"/>
        </w:rPr>
        <w:t>), в тенге</w:t>
      </w:r>
    </w:p>
    <w:p w14:paraId="0E8E121E" w14:textId="77777777" w:rsidR="001A3A85" w:rsidRPr="004135FE" w:rsidRDefault="001A3A85" w:rsidP="004135FE">
      <w:pPr>
        <w:autoSpaceDE w:val="0"/>
        <w:autoSpaceDN w:val="0"/>
        <w:adjustRightInd w:val="0"/>
        <w:spacing w:after="0" w:line="240" w:lineRule="auto"/>
        <w:jc w:val="both"/>
        <w:rPr>
          <w:rFonts w:ascii="Times New Roman" w:eastAsiaTheme="minorHAnsi" w:hAnsi="Times New Roman" w:cs="Times New Roman"/>
          <w:bCs/>
          <w:sz w:val="28"/>
          <w:szCs w:val="28"/>
          <w:lang w:eastAsia="en-US"/>
        </w:rPr>
      </w:pPr>
    </w:p>
    <w:tbl>
      <w:tblPr>
        <w:tblStyle w:val="af9"/>
        <w:tblW w:w="95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9"/>
        <w:gridCol w:w="1982"/>
        <w:gridCol w:w="1989"/>
        <w:gridCol w:w="2135"/>
        <w:gridCol w:w="2140"/>
      </w:tblGrid>
      <w:tr w:rsidR="0066583A" w:rsidRPr="001A3A85" w14:paraId="27C79DA8" w14:textId="77777777" w:rsidTr="00A42E92">
        <w:tc>
          <w:tcPr>
            <w:tcW w:w="1269" w:type="dxa"/>
          </w:tcPr>
          <w:p w14:paraId="46BAD564" w14:textId="77777777" w:rsidR="0066583A" w:rsidRPr="001A3A85" w:rsidRDefault="0066583A"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1A3A85">
              <w:rPr>
                <w:rFonts w:ascii="Times New Roman" w:eastAsia="Times New Roman" w:hAnsi="Times New Roman" w:cs="Times New Roman"/>
                <w:sz w:val="28"/>
                <w:szCs w:val="28"/>
              </w:rPr>
              <w:t>Период</w:t>
            </w:r>
          </w:p>
        </w:tc>
        <w:tc>
          <w:tcPr>
            <w:tcW w:w="1982" w:type="dxa"/>
          </w:tcPr>
          <w:p w14:paraId="0899354C" w14:textId="77777777" w:rsidR="0066583A" w:rsidRPr="001A3A85" w:rsidRDefault="0066583A"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1A3A85">
              <w:rPr>
                <w:rFonts w:ascii="Times New Roman" w:eastAsia="Times New Roman" w:hAnsi="Times New Roman" w:cs="Times New Roman"/>
                <w:sz w:val="28"/>
                <w:szCs w:val="28"/>
              </w:rPr>
              <w:t>Стоимость</w:t>
            </w:r>
          </w:p>
        </w:tc>
        <w:tc>
          <w:tcPr>
            <w:tcW w:w="1989" w:type="dxa"/>
          </w:tcPr>
          <w:p w14:paraId="789E6186" w14:textId="77777777" w:rsidR="0066583A" w:rsidRPr="001A3A85" w:rsidRDefault="0066583A"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1A3A85">
              <w:rPr>
                <w:rFonts w:ascii="Times New Roman" w:eastAsia="Times New Roman" w:hAnsi="Times New Roman" w:cs="Times New Roman"/>
                <w:sz w:val="28"/>
                <w:szCs w:val="28"/>
              </w:rPr>
              <w:t>Прогноз</w:t>
            </w:r>
          </w:p>
        </w:tc>
        <w:tc>
          <w:tcPr>
            <w:tcW w:w="2135" w:type="dxa"/>
          </w:tcPr>
          <w:p w14:paraId="6F10455E" w14:textId="77777777" w:rsidR="0066583A" w:rsidRPr="001A3A85" w:rsidRDefault="0066583A"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1A3A85">
              <w:rPr>
                <w:rFonts w:ascii="Times New Roman" w:eastAsia="Times New Roman" w:hAnsi="Times New Roman" w:cs="Times New Roman"/>
                <w:sz w:val="28"/>
                <w:szCs w:val="28"/>
              </w:rPr>
              <w:t>95% ДИ (нижний)</w:t>
            </w:r>
          </w:p>
        </w:tc>
        <w:tc>
          <w:tcPr>
            <w:tcW w:w="2140" w:type="dxa"/>
          </w:tcPr>
          <w:p w14:paraId="5E42125F" w14:textId="77777777" w:rsidR="0066583A" w:rsidRPr="001A3A85" w:rsidRDefault="0066583A"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1A3A85">
              <w:rPr>
                <w:rFonts w:ascii="Times New Roman" w:eastAsia="Times New Roman" w:hAnsi="Times New Roman" w:cs="Times New Roman"/>
                <w:sz w:val="28"/>
                <w:szCs w:val="28"/>
              </w:rPr>
              <w:t>95% ДИ (высокий)</w:t>
            </w:r>
          </w:p>
        </w:tc>
      </w:tr>
      <w:tr w:rsidR="001A3A85" w:rsidRPr="001A3A85" w14:paraId="7874AB57" w14:textId="77777777" w:rsidTr="00A42E92">
        <w:tc>
          <w:tcPr>
            <w:tcW w:w="1269" w:type="dxa"/>
          </w:tcPr>
          <w:p w14:paraId="2FF7F306" w14:textId="77777777"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1A3A85">
              <w:rPr>
                <w:rFonts w:ascii="Times New Roman" w:eastAsia="Times New Roman" w:hAnsi="Times New Roman" w:cs="Times New Roman"/>
                <w:sz w:val="28"/>
                <w:szCs w:val="28"/>
              </w:rPr>
              <w:t>2015</w:t>
            </w:r>
          </w:p>
        </w:tc>
        <w:tc>
          <w:tcPr>
            <w:tcW w:w="1982" w:type="dxa"/>
          </w:tcPr>
          <w:p w14:paraId="1A60C5C4" w14:textId="77777777" w:rsidR="001A3A85" w:rsidRDefault="001A3A85" w:rsidP="001A3A85">
            <w:pPr>
              <w:autoSpaceDE w:val="0"/>
              <w:autoSpaceDN w:val="0"/>
              <w:adjustRightInd w:val="0"/>
              <w:spacing w:after="0"/>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354 926 106,30</w:t>
            </w:r>
          </w:p>
          <w:p w14:paraId="56330179" w14:textId="118E47AF"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p>
        </w:tc>
        <w:tc>
          <w:tcPr>
            <w:tcW w:w="1989" w:type="dxa"/>
          </w:tcPr>
          <w:p w14:paraId="7DCC660E" w14:textId="39F99F31"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t>-</w:t>
            </w:r>
          </w:p>
        </w:tc>
        <w:tc>
          <w:tcPr>
            <w:tcW w:w="2135" w:type="dxa"/>
          </w:tcPr>
          <w:p w14:paraId="257424E4" w14:textId="67764080"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E9724B">
              <w:rPr>
                <w:rFonts w:ascii="Times New Roman" w:hAnsi="Times New Roman" w:cs="Times New Roman"/>
                <w:sz w:val="24"/>
                <w:szCs w:val="24"/>
              </w:rPr>
              <w:t>-</w:t>
            </w:r>
          </w:p>
        </w:tc>
        <w:tc>
          <w:tcPr>
            <w:tcW w:w="2140" w:type="dxa"/>
          </w:tcPr>
          <w:p w14:paraId="73B817C4" w14:textId="3B76DD45"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E9724B">
              <w:rPr>
                <w:rFonts w:ascii="Times New Roman" w:hAnsi="Times New Roman" w:cs="Times New Roman"/>
                <w:sz w:val="24"/>
                <w:szCs w:val="24"/>
              </w:rPr>
              <w:t>-</w:t>
            </w:r>
          </w:p>
        </w:tc>
      </w:tr>
      <w:tr w:rsidR="001A3A85" w:rsidRPr="001A3A85" w14:paraId="72D83A89" w14:textId="77777777" w:rsidTr="00A42E92">
        <w:tc>
          <w:tcPr>
            <w:tcW w:w="1269" w:type="dxa"/>
          </w:tcPr>
          <w:p w14:paraId="2EDE3399" w14:textId="77777777"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1A3A85">
              <w:rPr>
                <w:rFonts w:ascii="Times New Roman" w:eastAsia="Times New Roman" w:hAnsi="Times New Roman" w:cs="Times New Roman"/>
                <w:sz w:val="28"/>
                <w:szCs w:val="28"/>
              </w:rPr>
              <w:t>2016</w:t>
            </w:r>
          </w:p>
        </w:tc>
        <w:tc>
          <w:tcPr>
            <w:tcW w:w="1982" w:type="dxa"/>
          </w:tcPr>
          <w:p w14:paraId="5AAF5A12" w14:textId="77777777" w:rsidR="001A3A85" w:rsidRDefault="001A3A85" w:rsidP="001A3A85">
            <w:pPr>
              <w:autoSpaceDE w:val="0"/>
              <w:autoSpaceDN w:val="0"/>
              <w:adjustRightInd w:val="0"/>
              <w:spacing w:after="0"/>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723 547 926,92</w:t>
            </w:r>
          </w:p>
          <w:p w14:paraId="1D6E4C53" w14:textId="0D8FA4BB"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p>
        </w:tc>
        <w:tc>
          <w:tcPr>
            <w:tcW w:w="1989" w:type="dxa"/>
          </w:tcPr>
          <w:p w14:paraId="2B72DA87" w14:textId="0A5009B7"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E9724B">
              <w:rPr>
                <w:rFonts w:ascii="Times New Roman" w:hAnsi="Times New Roman" w:cs="Times New Roman"/>
                <w:sz w:val="24"/>
                <w:szCs w:val="24"/>
              </w:rPr>
              <w:t>-</w:t>
            </w:r>
          </w:p>
        </w:tc>
        <w:tc>
          <w:tcPr>
            <w:tcW w:w="2135" w:type="dxa"/>
          </w:tcPr>
          <w:p w14:paraId="703646BB" w14:textId="3E955407"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E9724B">
              <w:rPr>
                <w:rFonts w:ascii="Times New Roman" w:hAnsi="Times New Roman" w:cs="Times New Roman"/>
                <w:sz w:val="24"/>
                <w:szCs w:val="24"/>
              </w:rPr>
              <w:t>-</w:t>
            </w:r>
          </w:p>
        </w:tc>
        <w:tc>
          <w:tcPr>
            <w:tcW w:w="2140" w:type="dxa"/>
          </w:tcPr>
          <w:p w14:paraId="6D445E08" w14:textId="5A1383CB"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E9724B">
              <w:rPr>
                <w:rFonts w:ascii="Times New Roman" w:hAnsi="Times New Roman" w:cs="Times New Roman"/>
                <w:sz w:val="24"/>
                <w:szCs w:val="24"/>
              </w:rPr>
              <w:t>-</w:t>
            </w:r>
          </w:p>
        </w:tc>
      </w:tr>
      <w:tr w:rsidR="001A3A85" w:rsidRPr="001A3A85" w14:paraId="7399C3C2" w14:textId="77777777" w:rsidTr="00A42E92">
        <w:tc>
          <w:tcPr>
            <w:tcW w:w="1269" w:type="dxa"/>
          </w:tcPr>
          <w:p w14:paraId="6C4A8DAE" w14:textId="77777777"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1A3A85">
              <w:rPr>
                <w:rFonts w:ascii="Times New Roman" w:eastAsia="Times New Roman" w:hAnsi="Times New Roman" w:cs="Times New Roman"/>
                <w:sz w:val="28"/>
                <w:szCs w:val="28"/>
              </w:rPr>
              <w:t>2017</w:t>
            </w:r>
          </w:p>
        </w:tc>
        <w:tc>
          <w:tcPr>
            <w:tcW w:w="1982" w:type="dxa"/>
          </w:tcPr>
          <w:p w14:paraId="032A4C6B" w14:textId="77777777"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1A3A85">
              <w:rPr>
                <w:rFonts w:ascii="Times New Roman" w:eastAsia="Times New Roman" w:hAnsi="Times New Roman" w:cs="Times New Roman"/>
                <w:sz w:val="28"/>
                <w:szCs w:val="28"/>
              </w:rPr>
              <w:t>1 864 944 358,90</w:t>
            </w:r>
          </w:p>
        </w:tc>
        <w:tc>
          <w:tcPr>
            <w:tcW w:w="1989" w:type="dxa"/>
          </w:tcPr>
          <w:p w14:paraId="08C25042" w14:textId="3B9167CE"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E9724B">
              <w:rPr>
                <w:rFonts w:ascii="Times New Roman" w:hAnsi="Times New Roman" w:cs="Times New Roman"/>
                <w:sz w:val="24"/>
                <w:szCs w:val="24"/>
              </w:rPr>
              <w:t>-</w:t>
            </w:r>
          </w:p>
        </w:tc>
        <w:tc>
          <w:tcPr>
            <w:tcW w:w="2135" w:type="dxa"/>
          </w:tcPr>
          <w:p w14:paraId="218DADFA" w14:textId="01C56F1B"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E9724B">
              <w:rPr>
                <w:rFonts w:ascii="Times New Roman" w:hAnsi="Times New Roman" w:cs="Times New Roman"/>
                <w:sz w:val="24"/>
                <w:szCs w:val="24"/>
              </w:rPr>
              <w:t>-</w:t>
            </w:r>
          </w:p>
        </w:tc>
        <w:tc>
          <w:tcPr>
            <w:tcW w:w="2140" w:type="dxa"/>
          </w:tcPr>
          <w:p w14:paraId="53580A8E" w14:textId="39B3F9E2"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E9724B">
              <w:rPr>
                <w:rFonts w:ascii="Times New Roman" w:hAnsi="Times New Roman" w:cs="Times New Roman"/>
                <w:sz w:val="24"/>
                <w:szCs w:val="24"/>
              </w:rPr>
              <w:t>-</w:t>
            </w:r>
          </w:p>
        </w:tc>
      </w:tr>
      <w:tr w:rsidR="001A3A85" w:rsidRPr="001A3A85" w14:paraId="3F808719" w14:textId="77777777" w:rsidTr="00A42E92">
        <w:tc>
          <w:tcPr>
            <w:tcW w:w="1269" w:type="dxa"/>
          </w:tcPr>
          <w:p w14:paraId="6CF7EDA6" w14:textId="77777777"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1A3A85">
              <w:rPr>
                <w:rFonts w:ascii="Times New Roman" w:eastAsia="Times New Roman" w:hAnsi="Times New Roman" w:cs="Times New Roman"/>
                <w:sz w:val="28"/>
                <w:szCs w:val="28"/>
              </w:rPr>
              <w:t>2018</w:t>
            </w:r>
          </w:p>
        </w:tc>
        <w:tc>
          <w:tcPr>
            <w:tcW w:w="1982" w:type="dxa"/>
          </w:tcPr>
          <w:p w14:paraId="7E64E306" w14:textId="77777777"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1A3A85">
              <w:rPr>
                <w:rFonts w:ascii="Times New Roman" w:eastAsia="Times New Roman" w:hAnsi="Times New Roman" w:cs="Times New Roman"/>
                <w:sz w:val="28"/>
                <w:szCs w:val="28"/>
              </w:rPr>
              <w:t>1 967 180 871,27</w:t>
            </w:r>
          </w:p>
        </w:tc>
        <w:tc>
          <w:tcPr>
            <w:tcW w:w="1989" w:type="dxa"/>
          </w:tcPr>
          <w:p w14:paraId="7F6668C4" w14:textId="544817C3"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E9724B">
              <w:rPr>
                <w:rFonts w:ascii="Times New Roman" w:hAnsi="Times New Roman" w:cs="Times New Roman"/>
                <w:sz w:val="24"/>
                <w:szCs w:val="24"/>
              </w:rPr>
              <w:t>-</w:t>
            </w:r>
          </w:p>
        </w:tc>
        <w:tc>
          <w:tcPr>
            <w:tcW w:w="2135" w:type="dxa"/>
          </w:tcPr>
          <w:p w14:paraId="16CE36B2" w14:textId="3EEA6445"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E9724B">
              <w:rPr>
                <w:rFonts w:ascii="Times New Roman" w:hAnsi="Times New Roman" w:cs="Times New Roman"/>
                <w:sz w:val="24"/>
                <w:szCs w:val="24"/>
              </w:rPr>
              <w:t>-</w:t>
            </w:r>
          </w:p>
        </w:tc>
        <w:tc>
          <w:tcPr>
            <w:tcW w:w="2140" w:type="dxa"/>
          </w:tcPr>
          <w:p w14:paraId="0014F826" w14:textId="48862599"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E9724B">
              <w:rPr>
                <w:rFonts w:ascii="Times New Roman" w:hAnsi="Times New Roman" w:cs="Times New Roman"/>
                <w:sz w:val="24"/>
                <w:szCs w:val="24"/>
              </w:rPr>
              <w:t>-</w:t>
            </w:r>
          </w:p>
        </w:tc>
      </w:tr>
      <w:tr w:rsidR="001A3A85" w:rsidRPr="001A3A85" w14:paraId="6D8935AB" w14:textId="77777777" w:rsidTr="00A42E92">
        <w:tc>
          <w:tcPr>
            <w:tcW w:w="1269" w:type="dxa"/>
          </w:tcPr>
          <w:p w14:paraId="40CB93E3" w14:textId="77777777"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1A3A85">
              <w:rPr>
                <w:rFonts w:ascii="Times New Roman" w:eastAsia="Times New Roman" w:hAnsi="Times New Roman" w:cs="Times New Roman"/>
                <w:sz w:val="28"/>
                <w:szCs w:val="28"/>
              </w:rPr>
              <w:t>2019</w:t>
            </w:r>
          </w:p>
        </w:tc>
        <w:tc>
          <w:tcPr>
            <w:tcW w:w="1982" w:type="dxa"/>
          </w:tcPr>
          <w:p w14:paraId="5CF54FB8" w14:textId="77777777"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1A3A85">
              <w:rPr>
                <w:rFonts w:ascii="Times New Roman" w:eastAsia="Times New Roman" w:hAnsi="Times New Roman" w:cs="Times New Roman"/>
                <w:sz w:val="28"/>
                <w:szCs w:val="28"/>
              </w:rPr>
              <w:t>2 272 385 851,27</w:t>
            </w:r>
          </w:p>
        </w:tc>
        <w:tc>
          <w:tcPr>
            <w:tcW w:w="1989" w:type="dxa"/>
          </w:tcPr>
          <w:p w14:paraId="4A002108" w14:textId="6CC46A14"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E9724B">
              <w:rPr>
                <w:rFonts w:ascii="Times New Roman" w:hAnsi="Times New Roman" w:cs="Times New Roman"/>
                <w:sz w:val="24"/>
                <w:szCs w:val="24"/>
              </w:rPr>
              <w:t>-</w:t>
            </w:r>
          </w:p>
        </w:tc>
        <w:tc>
          <w:tcPr>
            <w:tcW w:w="2135" w:type="dxa"/>
          </w:tcPr>
          <w:p w14:paraId="02000BEC" w14:textId="411580C9"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E9724B">
              <w:rPr>
                <w:rFonts w:ascii="Times New Roman" w:hAnsi="Times New Roman" w:cs="Times New Roman"/>
                <w:sz w:val="24"/>
                <w:szCs w:val="24"/>
              </w:rPr>
              <w:t>-</w:t>
            </w:r>
          </w:p>
        </w:tc>
        <w:tc>
          <w:tcPr>
            <w:tcW w:w="2140" w:type="dxa"/>
          </w:tcPr>
          <w:p w14:paraId="56D6124F" w14:textId="5D5D37E5"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E9724B">
              <w:rPr>
                <w:rFonts w:ascii="Times New Roman" w:hAnsi="Times New Roman" w:cs="Times New Roman"/>
                <w:sz w:val="24"/>
                <w:szCs w:val="24"/>
              </w:rPr>
              <w:t>-</w:t>
            </w:r>
          </w:p>
        </w:tc>
      </w:tr>
      <w:tr w:rsidR="001A3A85" w:rsidRPr="001A3A85" w14:paraId="51D951F5" w14:textId="77777777" w:rsidTr="00A42E92">
        <w:tc>
          <w:tcPr>
            <w:tcW w:w="1269" w:type="dxa"/>
          </w:tcPr>
          <w:p w14:paraId="43DCD137" w14:textId="77777777"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1A3A85">
              <w:rPr>
                <w:rFonts w:ascii="Times New Roman" w:eastAsia="Times New Roman" w:hAnsi="Times New Roman" w:cs="Times New Roman"/>
                <w:sz w:val="28"/>
                <w:szCs w:val="28"/>
              </w:rPr>
              <w:t>2020</w:t>
            </w:r>
          </w:p>
        </w:tc>
        <w:tc>
          <w:tcPr>
            <w:tcW w:w="1982" w:type="dxa"/>
          </w:tcPr>
          <w:p w14:paraId="0952FAA2" w14:textId="77777777"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1A3A85">
              <w:rPr>
                <w:rFonts w:ascii="Times New Roman" w:eastAsia="Times New Roman" w:hAnsi="Times New Roman" w:cs="Times New Roman"/>
                <w:sz w:val="28"/>
                <w:szCs w:val="28"/>
              </w:rPr>
              <w:t>3 614 677 000,71</w:t>
            </w:r>
          </w:p>
        </w:tc>
        <w:tc>
          <w:tcPr>
            <w:tcW w:w="1989" w:type="dxa"/>
          </w:tcPr>
          <w:p w14:paraId="4F65CF8C" w14:textId="46268417"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E9724B">
              <w:rPr>
                <w:rFonts w:ascii="Times New Roman" w:hAnsi="Times New Roman" w:cs="Times New Roman"/>
                <w:sz w:val="24"/>
                <w:szCs w:val="24"/>
              </w:rPr>
              <w:t>-</w:t>
            </w:r>
          </w:p>
        </w:tc>
        <w:tc>
          <w:tcPr>
            <w:tcW w:w="2135" w:type="dxa"/>
          </w:tcPr>
          <w:p w14:paraId="0FD81EA1" w14:textId="70FA7110"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E9724B">
              <w:rPr>
                <w:rFonts w:ascii="Times New Roman" w:hAnsi="Times New Roman" w:cs="Times New Roman"/>
                <w:sz w:val="24"/>
                <w:szCs w:val="24"/>
              </w:rPr>
              <w:t>-</w:t>
            </w:r>
          </w:p>
        </w:tc>
        <w:tc>
          <w:tcPr>
            <w:tcW w:w="2140" w:type="dxa"/>
          </w:tcPr>
          <w:p w14:paraId="711BC81F" w14:textId="5C3639CF"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E9724B">
              <w:rPr>
                <w:rFonts w:ascii="Times New Roman" w:hAnsi="Times New Roman" w:cs="Times New Roman"/>
                <w:sz w:val="24"/>
                <w:szCs w:val="24"/>
              </w:rPr>
              <w:t>-</w:t>
            </w:r>
          </w:p>
        </w:tc>
      </w:tr>
      <w:tr w:rsidR="001A3A85" w:rsidRPr="001A3A85" w14:paraId="5B58FEEE" w14:textId="77777777" w:rsidTr="00A42E92">
        <w:tc>
          <w:tcPr>
            <w:tcW w:w="1269" w:type="dxa"/>
          </w:tcPr>
          <w:p w14:paraId="192A1838" w14:textId="77777777"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1A3A85">
              <w:rPr>
                <w:rFonts w:ascii="Times New Roman" w:eastAsia="Times New Roman" w:hAnsi="Times New Roman" w:cs="Times New Roman"/>
                <w:sz w:val="28"/>
                <w:szCs w:val="28"/>
              </w:rPr>
              <w:t>2021</w:t>
            </w:r>
          </w:p>
        </w:tc>
        <w:tc>
          <w:tcPr>
            <w:tcW w:w="1982" w:type="dxa"/>
          </w:tcPr>
          <w:p w14:paraId="7EEFEB9D" w14:textId="77777777"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1A3A85">
              <w:rPr>
                <w:rFonts w:ascii="Times New Roman" w:eastAsia="Times New Roman" w:hAnsi="Times New Roman" w:cs="Times New Roman"/>
                <w:sz w:val="28"/>
                <w:szCs w:val="28"/>
              </w:rPr>
              <w:t>5 341 889 235,14</w:t>
            </w:r>
          </w:p>
        </w:tc>
        <w:tc>
          <w:tcPr>
            <w:tcW w:w="1989" w:type="dxa"/>
          </w:tcPr>
          <w:p w14:paraId="552EECFB" w14:textId="77777777"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1A3A85">
              <w:rPr>
                <w:rFonts w:ascii="Times New Roman" w:eastAsia="Times New Roman" w:hAnsi="Times New Roman" w:cs="Times New Roman"/>
                <w:sz w:val="28"/>
                <w:szCs w:val="28"/>
              </w:rPr>
              <w:t>5 341 889 235,14</w:t>
            </w:r>
          </w:p>
        </w:tc>
        <w:tc>
          <w:tcPr>
            <w:tcW w:w="2135" w:type="dxa"/>
          </w:tcPr>
          <w:p w14:paraId="04463846" w14:textId="2140D922"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E9724B">
              <w:rPr>
                <w:rFonts w:ascii="Times New Roman" w:hAnsi="Times New Roman" w:cs="Times New Roman"/>
                <w:sz w:val="24"/>
                <w:szCs w:val="24"/>
              </w:rPr>
              <w:t>-</w:t>
            </w:r>
          </w:p>
        </w:tc>
        <w:tc>
          <w:tcPr>
            <w:tcW w:w="2140" w:type="dxa"/>
          </w:tcPr>
          <w:p w14:paraId="14E975CD" w14:textId="77777777" w:rsidR="001A3A85" w:rsidRPr="001A3A85" w:rsidRDefault="001A3A85" w:rsidP="001A3A85">
            <w:pPr>
              <w:autoSpaceDE w:val="0"/>
              <w:autoSpaceDN w:val="0"/>
              <w:adjustRightInd w:val="0"/>
              <w:spacing w:after="0"/>
              <w:jc w:val="center"/>
              <w:rPr>
                <w:rFonts w:ascii="Times New Roman" w:eastAsiaTheme="minorHAnsi" w:hAnsi="Times New Roman" w:cs="Times New Roman"/>
                <w:sz w:val="28"/>
                <w:szCs w:val="28"/>
                <w:lang w:eastAsia="en-US"/>
              </w:rPr>
            </w:pPr>
            <w:r w:rsidRPr="001A3A85">
              <w:rPr>
                <w:rFonts w:ascii="Times New Roman" w:eastAsia="Times New Roman" w:hAnsi="Times New Roman" w:cs="Times New Roman"/>
                <w:sz w:val="28"/>
                <w:szCs w:val="28"/>
              </w:rPr>
              <w:t>5 341 889 235,14</w:t>
            </w:r>
          </w:p>
        </w:tc>
      </w:tr>
      <w:tr w:rsidR="001A3A85" w:rsidRPr="001A3A85" w14:paraId="2E8A2C0E" w14:textId="77777777" w:rsidTr="00A42E92">
        <w:tc>
          <w:tcPr>
            <w:tcW w:w="1269" w:type="dxa"/>
          </w:tcPr>
          <w:p w14:paraId="0038D8EA" w14:textId="77777777" w:rsidR="001A3A85" w:rsidRPr="001A3A85" w:rsidRDefault="001A3A85" w:rsidP="001A3A85">
            <w:pPr>
              <w:autoSpaceDE w:val="0"/>
              <w:autoSpaceDN w:val="0"/>
              <w:adjustRightInd w:val="0"/>
              <w:spacing w:after="0"/>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2022</w:t>
            </w:r>
          </w:p>
        </w:tc>
        <w:tc>
          <w:tcPr>
            <w:tcW w:w="1982" w:type="dxa"/>
          </w:tcPr>
          <w:p w14:paraId="1FE6446E" w14:textId="21982F4D" w:rsidR="001A3A85" w:rsidRPr="001A3A85" w:rsidRDefault="00490AF6" w:rsidP="001A3A85">
            <w:pPr>
              <w:autoSpaceDE w:val="0"/>
              <w:autoSpaceDN w:val="0"/>
              <w:adjustRightInd w:val="0"/>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989" w:type="dxa"/>
          </w:tcPr>
          <w:p w14:paraId="5FDBE503" w14:textId="77777777" w:rsidR="001A3A85" w:rsidRPr="001A3A85" w:rsidRDefault="001A3A85" w:rsidP="001A3A85">
            <w:pPr>
              <w:autoSpaceDE w:val="0"/>
              <w:autoSpaceDN w:val="0"/>
              <w:adjustRightInd w:val="0"/>
              <w:spacing w:after="0"/>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5 450 848 303,91</w:t>
            </w:r>
          </w:p>
        </w:tc>
        <w:tc>
          <w:tcPr>
            <w:tcW w:w="2135" w:type="dxa"/>
          </w:tcPr>
          <w:p w14:paraId="11ED7D08" w14:textId="7826D3B6" w:rsidR="001A3A85" w:rsidRPr="001A3A85" w:rsidRDefault="001A3A85" w:rsidP="001A3A85">
            <w:pPr>
              <w:autoSpaceDE w:val="0"/>
              <w:autoSpaceDN w:val="0"/>
              <w:adjustRightInd w:val="0"/>
              <w:spacing w:after="0"/>
              <w:jc w:val="center"/>
              <w:rPr>
                <w:rFonts w:ascii="Times New Roman" w:eastAsia="Times New Roman" w:hAnsi="Times New Roman" w:cs="Times New Roman"/>
                <w:sz w:val="28"/>
                <w:szCs w:val="28"/>
              </w:rPr>
            </w:pPr>
            <w:r w:rsidRPr="00E9724B">
              <w:rPr>
                <w:rFonts w:ascii="Times New Roman" w:hAnsi="Times New Roman" w:cs="Times New Roman"/>
                <w:sz w:val="24"/>
                <w:szCs w:val="24"/>
              </w:rPr>
              <w:t>-</w:t>
            </w:r>
          </w:p>
        </w:tc>
        <w:tc>
          <w:tcPr>
            <w:tcW w:w="2140" w:type="dxa"/>
          </w:tcPr>
          <w:p w14:paraId="5EE266AF" w14:textId="77777777" w:rsidR="001A3A85" w:rsidRPr="001A3A85" w:rsidRDefault="001A3A85" w:rsidP="001A3A85">
            <w:pPr>
              <w:autoSpaceDE w:val="0"/>
              <w:autoSpaceDN w:val="0"/>
              <w:adjustRightInd w:val="0"/>
              <w:spacing w:after="0"/>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6 526 435 449,50</w:t>
            </w:r>
          </w:p>
        </w:tc>
      </w:tr>
      <w:tr w:rsidR="001A3A85" w:rsidRPr="001A3A85" w14:paraId="0C0DE167" w14:textId="77777777" w:rsidTr="00A42E92">
        <w:tc>
          <w:tcPr>
            <w:tcW w:w="1269" w:type="dxa"/>
          </w:tcPr>
          <w:p w14:paraId="05C8DED2" w14:textId="77777777" w:rsidR="001A3A85" w:rsidRPr="001A3A85" w:rsidRDefault="001A3A85" w:rsidP="001A3A85">
            <w:pPr>
              <w:autoSpaceDE w:val="0"/>
              <w:autoSpaceDN w:val="0"/>
              <w:adjustRightInd w:val="0"/>
              <w:spacing w:after="0"/>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2023</w:t>
            </w:r>
          </w:p>
        </w:tc>
        <w:tc>
          <w:tcPr>
            <w:tcW w:w="1982" w:type="dxa"/>
          </w:tcPr>
          <w:p w14:paraId="0618C794" w14:textId="665B6AAC" w:rsidR="001A3A85" w:rsidRPr="001A3A85" w:rsidRDefault="00490AF6" w:rsidP="001A3A85">
            <w:pPr>
              <w:autoSpaceDE w:val="0"/>
              <w:autoSpaceDN w:val="0"/>
              <w:adjustRightInd w:val="0"/>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989" w:type="dxa"/>
          </w:tcPr>
          <w:p w14:paraId="7FAD2F76" w14:textId="77777777" w:rsidR="001A3A85" w:rsidRPr="001A3A85" w:rsidRDefault="001A3A85" w:rsidP="001A3A85">
            <w:pPr>
              <w:autoSpaceDE w:val="0"/>
              <w:autoSpaceDN w:val="0"/>
              <w:adjustRightInd w:val="0"/>
              <w:spacing w:after="0"/>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6 204 762 566,38</w:t>
            </w:r>
          </w:p>
        </w:tc>
        <w:tc>
          <w:tcPr>
            <w:tcW w:w="2135" w:type="dxa"/>
          </w:tcPr>
          <w:p w14:paraId="3202B2A3" w14:textId="77777777" w:rsidR="001A3A85" w:rsidRPr="001A3A85" w:rsidRDefault="001A3A85" w:rsidP="001A3A85">
            <w:pPr>
              <w:autoSpaceDE w:val="0"/>
              <w:autoSpaceDN w:val="0"/>
              <w:adjustRightInd w:val="0"/>
              <w:spacing w:after="0"/>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5 120 536 045,04</w:t>
            </w:r>
          </w:p>
        </w:tc>
        <w:tc>
          <w:tcPr>
            <w:tcW w:w="2140" w:type="dxa"/>
          </w:tcPr>
          <w:p w14:paraId="2C8BD8EE" w14:textId="77777777" w:rsidR="001A3A85" w:rsidRPr="001A3A85" w:rsidRDefault="001A3A85" w:rsidP="001A3A85">
            <w:pPr>
              <w:autoSpaceDE w:val="0"/>
              <w:autoSpaceDN w:val="0"/>
              <w:adjustRightInd w:val="0"/>
              <w:spacing w:after="0"/>
              <w:jc w:val="center"/>
              <w:rPr>
                <w:rFonts w:ascii="Times New Roman" w:eastAsia="Times New Roman" w:hAnsi="Times New Roman" w:cs="Times New Roman"/>
                <w:sz w:val="28"/>
                <w:szCs w:val="28"/>
              </w:rPr>
            </w:pPr>
            <w:r w:rsidRPr="001A3A85">
              <w:rPr>
                <w:rFonts w:ascii="Times New Roman" w:eastAsia="Times New Roman" w:hAnsi="Times New Roman" w:cs="Times New Roman"/>
                <w:sz w:val="28"/>
                <w:szCs w:val="28"/>
              </w:rPr>
              <w:t>7 288 989 087,73</w:t>
            </w:r>
          </w:p>
        </w:tc>
      </w:tr>
    </w:tbl>
    <w:p w14:paraId="0B8CF613" w14:textId="77777777" w:rsidR="0066583A" w:rsidRPr="004135FE" w:rsidRDefault="0066583A" w:rsidP="004135FE">
      <w:pPr>
        <w:autoSpaceDE w:val="0"/>
        <w:autoSpaceDN w:val="0"/>
        <w:adjustRightInd w:val="0"/>
        <w:spacing w:after="0" w:line="240" w:lineRule="auto"/>
        <w:jc w:val="both"/>
        <w:rPr>
          <w:rFonts w:ascii="Times New Roman" w:hAnsi="Times New Roman" w:cs="Times New Roman"/>
          <w:sz w:val="28"/>
          <w:szCs w:val="28"/>
        </w:rPr>
      </w:pPr>
    </w:p>
    <w:p w14:paraId="39C8FF95" w14:textId="77777777" w:rsidR="0066583A" w:rsidRPr="004135FE" w:rsidRDefault="0066583A" w:rsidP="001A3A85">
      <w:pPr>
        <w:autoSpaceDE w:val="0"/>
        <w:autoSpaceDN w:val="0"/>
        <w:adjustRightInd w:val="0"/>
        <w:spacing w:after="0" w:line="240" w:lineRule="auto"/>
        <w:jc w:val="center"/>
        <w:rPr>
          <w:rFonts w:ascii="Times New Roman" w:hAnsi="Times New Roman" w:cs="Times New Roman"/>
          <w:sz w:val="28"/>
          <w:szCs w:val="28"/>
        </w:rPr>
      </w:pPr>
      <w:r w:rsidRPr="004135FE">
        <w:rPr>
          <w:noProof/>
          <w:sz w:val="28"/>
          <w:szCs w:val="28"/>
        </w:rPr>
        <w:lastRenderedPageBreak/>
        <w:drawing>
          <wp:inline distT="0" distB="0" distL="0" distR="0" wp14:anchorId="22956663" wp14:editId="25E375BC">
            <wp:extent cx="5705475" cy="2314575"/>
            <wp:effectExtent l="0" t="0" r="9525" b="9525"/>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071C0D7" w14:textId="77777777" w:rsidR="001A3A85" w:rsidRDefault="001A3A85" w:rsidP="004135FE">
      <w:pPr>
        <w:autoSpaceDE w:val="0"/>
        <w:autoSpaceDN w:val="0"/>
        <w:adjustRightInd w:val="0"/>
        <w:spacing w:after="0" w:line="240" w:lineRule="auto"/>
        <w:jc w:val="both"/>
        <w:rPr>
          <w:rFonts w:ascii="Times New Roman" w:hAnsi="Times New Roman" w:cs="Times New Roman"/>
          <w:sz w:val="28"/>
          <w:szCs w:val="28"/>
        </w:rPr>
      </w:pPr>
    </w:p>
    <w:p w14:paraId="6F01D84F" w14:textId="3F4B3D66" w:rsidR="0066583A" w:rsidRPr="004135FE" w:rsidRDefault="0066583A" w:rsidP="001A3A85">
      <w:pPr>
        <w:autoSpaceDE w:val="0"/>
        <w:autoSpaceDN w:val="0"/>
        <w:adjustRightInd w:val="0"/>
        <w:spacing w:after="0" w:line="240" w:lineRule="auto"/>
        <w:jc w:val="center"/>
        <w:rPr>
          <w:rFonts w:ascii="Times New Roman" w:eastAsiaTheme="minorHAnsi" w:hAnsi="Times New Roman" w:cs="Times New Roman"/>
          <w:bCs/>
          <w:sz w:val="28"/>
          <w:szCs w:val="28"/>
          <w:lang w:eastAsia="en-US"/>
        </w:rPr>
      </w:pPr>
      <w:r w:rsidRPr="004135FE">
        <w:rPr>
          <w:rFonts w:ascii="Times New Roman" w:hAnsi="Times New Roman" w:cs="Times New Roman"/>
          <w:sz w:val="28"/>
          <w:szCs w:val="28"/>
        </w:rPr>
        <w:t xml:space="preserve">Рисунок 15 – Прогноз </w:t>
      </w:r>
      <w:r w:rsidRPr="004135FE">
        <w:rPr>
          <w:rFonts w:ascii="Times New Roman" w:hAnsi="Times New Roman" w:cs="Times New Roman"/>
          <w:bCs/>
          <w:sz w:val="28"/>
          <w:szCs w:val="28"/>
        </w:rPr>
        <w:t xml:space="preserve">стоимости </w:t>
      </w:r>
      <w:r w:rsidRPr="004135FE">
        <w:rPr>
          <w:rFonts w:ascii="Times New Roman" w:eastAsiaTheme="minorHAnsi" w:hAnsi="Times New Roman" w:cs="Times New Roman"/>
          <w:bCs/>
          <w:sz w:val="28"/>
          <w:szCs w:val="28"/>
          <w:lang w:eastAsia="en-US"/>
        </w:rPr>
        <w:t xml:space="preserve">обеспеченных </w:t>
      </w:r>
      <w:r w:rsidRPr="004135FE">
        <w:rPr>
          <w:rFonts w:ascii="Times New Roman" w:hAnsi="Times New Roman" w:cs="Times New Roman"/>
          <w:bCs/>
          <w:sz w:val="28"/>
          <w:szCs w:val="28"/>
        </w:rPr>
        <w:t xml:space="preserve">ЛС по рецептам </w:t>
      </w:r>
      <w:r w:rsidRPr="004135FE">
        <w:rPr>
          <w:rFonts w:ascii="Times New Roman" w:eastAsiaTheme="minorHAnsi" w:hAnsi="Times New Roman" w:cs="Times New Roman"/>
          <w:bCs/>
          <w:sz w:val="28"/>
          <w:szCs w:val="28"/>
          <w:lang w:val="kk-KZ" w:eastAsia="en-US"/>
        </w:rPr>
        <w:t>в тенге</w:t>
      </w:r>
      <w:r w:rsidRPr="004135FE">
        <w:rPr>
          <w:rFonts w:ascii="Times New Roman" w:hAnsi="Times New Roman" w:cs="Times New Roman"/>
          <w:sz w:val="28"/>
          <w:szCs w:val="28"/>
        </w:rPr>
        <w:t xml:space="preserve"> </w:t>
      </w:r>
      <w:r w:rsidRPr="004135FE">
        <w:rPr>
          <w:rFonts w:ascii="Times New Roman" w:eastAsiaTheme="minorHAnsi" w:hAnsi="Times New Roman" w:cs="Times New Roman"/>
          <w:bCs/>
          <w:sz w:val="28"/>
          <w:szCs w:val="28"/>
          <w:lang w:eastAsia="en-US"/>
        </w:rPr>
        <w:t>(по СД по г.</w:t>
      </w:r>
      <w:r w:rsidR="00077E0F">
        <w:rPr>
          <w:rFonts w:ascii="Times New Roman" w:eastAsiaTheme="minorHAnsi" w:hAnsi="Times New Roman" w:cs="Times New Roman"/>
          <w:bCs/>
          <w:sz w:val="28"/>
          <w:szCs w:val="28"/>
          <w:lang w:eastAsia="en-US"/>
        </w:rPr>
        <w:t xml:space="preserve"> </w:t>
      </w:r>
      <w:r w:rsidRPr="004135FE">
        <w:rPr>
          <w:rFonts w:ascii="Times New Roman" w:eastAsiaTheme="minorHAnsi" w:hAnsi="Times New Roman" w:cs="Times New Roman"/>
          <w:bCs/>
          <w:sz w:val="28"/>
          <w:szCs w:val="28"/>
          <w:lang w:eastAsia="en-US"/>
        </w:rPr>
        <w:t>Алматы</w:t>
      </w:r>
      <w:r w:rsidRPr="004135FE">
        <w:rPr>
          <w:rFonts w:ascii="Times New Roman" w:eastAsiaTheme="minorHAnsi" w:hAnsi="Times New Roman" w:cs="Times New Roman"/>
          <w:bCs/>
          <w:sz w:val="28"/>
          <w:szCs w:val="28"/>
          <w:lang w:val="kk-KZ" w:eastAsia="en-US"/>
        </w:rPr>
        <w:t xml:space="preserve">), </w:t>
      </w:r>
      <w:r w:rsidRPr="004135FE">
        <w:rPr>
          <w:rFonts w:ascii="Times New Roman" w:hAnsi="Times New Roman" w:cs="Times New Roman"/>
          <w:sz w:val="28"/>
          <w:szCs w:val="28"/>
        </w:rPr>
        <w:t>с 95% ДИ на среднесрочный период до 2023 г.</w:t>
      </w:r>
    </w:p>
    <w:p w14:paraId="34D43F18" w14:textId="77777777" w:rsidR="0066583A" w:rsidRPr="004135FE" w:rsidRDefault="0066583A" w:rsidP="004135FE">
      <w:pPr>
        <w:autoSpaceDE w:val="0"/>
        <w:autoSpaceDN w:val="0"/>
        <w:adjustRightInd w:val="0"/>
        <w:spacing w:after="0" w:line="240" w:lineRule="auto"/>
        <w:jc w:val="both"/>
        <w:rPr>
          <w:rFonts w:ascii="Times New Roman" w:eastAsiaTheme="minorHAnsi" w:hAnsi="Times New Roman" w:cs="Times New Roman"/>
          <w:bCs/>
          <w:sz w:val="28"/>
          <w:szCs w:val="28"/>
          <w:lang w:eastAsia="en-US"/>
        </w:rPr>
      </w:pPr>
    </w:p>
    <w:p w14:paraId="7F752703" w14:textId="46DEC3A0" w:rsidR="00E121C6" w:rsidRPr="004135FE" w:rsidRDefault="00080C7B" w:rsidP="004135FE">
      <w:pPr>
        <w:spacing w:after="0" w:line="240" w:lineRule="auto"/>
        <w:ind w:firstLine="708"/>
        <w:jc w:val="both"/>
        <w:rPr>
          <w:rFonts w:ascii="Times New Roman" w:eastAsiaTheme="minorHAnsi" w:hAnsi="Times New Roman" w:cs="Times New Roman"/>
          <w:bCs/>
          <w:sz w:val="28"/>
          <w:szCs w:val="28"/>
          <w:lang w:eastAsia="en-US"/>
        </w:rPr>
      </w:pPr>
      <w:r w:rsidRPr="004135FE">
        <w:rPr>
          <w:rFonts w:ascii="Times New Roman" w:eastAsiaTheme="minorHAnsi" w:hAnsi="Times New Roman" w:cs="Times New Roman"/>
          <w:bCs/>
          <w:sz w:val="28"/>
          <w:szCs w:val="28"/>
          <w:lang w:eastAsia="en-US"/>
        </w:rPr>
        <w:t xml:space="preserve">Согласно </w:t>
      </w:r>
      <w:r w:rsidR="00E121C6" w:rsidRPr="004135FE">
        <w:rPr>
          <w:rFonts w:ascii="Times New Roman" w:eastAsiaTheme="minorHAnsi" w:hAnsi="Times New Roman" w:cs="Times New Roman"/>
          <w:bCs/>
          <w:sz w:val="28"/>
          <w:szCs w:val="28"/>
          <w:lang w:eastAsia="en-US"/>
        </w:rPr>
        <w:t>проведенному анализу</w:t>
      </w:r>
      <w:r w:rsidRPr="004135FE">
        <w:rPr>
          <w:rFonts w:ascii="Times New Roman" w:eastAsiaTheme="minorHAnsi" w:hAnsi="Times New Roman" w:cs="Times New Roman"/>
          <w:bCs/>
          <w:sz w:val="28"/>
          <w:szCs w:val="28"/>
          <w:lang w:eastAsia="en-US"/>
        </w:rPr>
        <w:t>,</w:t>
      </w:r>
      <w:r w:rsidR="00E121C6" w:rsidRPr="004135FE">
        <w:rPr>
          <w:rFonts w:ascii="Times New Roman" w:eastAsiaTheme="minorHAnsi" w:hAnsi="Times New Roman" w:cs="Times New Roman"/>
          <w:bCs/>
          <w:sz w:val="28"/>
          <w:szCs w:val="28"/>
          <w:lang w:eastAsia="en-US"/>
        </w:rPr>
        <w:t xml:space="preserve"> имеется тенденция роста суммы обеспеченных ЛС, кроме 2018г. Но количество обеспеченных рецептов в этом году, подтверждает, что не было проблем с выделением финансов за каждого пациента.</w:t>
      </w:r>
      <w:r w:rsidRPr="004135FE">
        <w:rPr>
          <w:rFonts w:ascii="Times New Roman" w:eastAsiaTheme="minorHAnsi" w:hAnsi="Times New Roman" w:cs="Times New Roman"/>
          <w:bCs/>
          <w:sz w:val="28"/>
          <w:szCs w:val="28"/>
          <w:lang w:eastAsia="en-US"/>
        </w:rPr>
        <w:t xml:space="preserve"> </w:t>
      </w:r>
    </w:p>
    <w:p w14:paraId="0C16C452" w14:textId="447F557C" w:rsidR="0066583A" w:rsidRPr="004135FE" w:rsidRDefault="0066583A" w:rsidP="004135FE">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135FE">
        <w:rPr>
          <w:rFonts w:ascii="Times New Roman" w:eastAsiaTheme="minorHAnsi" w:hAnsi="Times New Roman" w:cs="Times New Roman"/>
          <w:sz w:val="28"/>
          <w:szCs w:val="28"/>
          <w:lang w:eastAsia="en-US"/>
        </w:rPr>
        <w:t xml:space="preserve">Так же математическое прогнозирование </w:t>
      </w:r>
      <w:r w:rsidRPr="004135FE">
        <w:rPr>
          <w:rFonts w:ascii="Times New Roman" w:hAnsi="Times New Roman" w:cs="Times New Roman"/>
          <w:bCs/>
          <w:sz w:val="28"/>
          <w:szCs w:val="28"/>
        </w:rPr>
        <w:t>стоимости</w:t>
      </w:r>
      <w:r w:rsidRPr="004135FE">
        <w:rPr>
          <w:rFonts w:ascii="Times New Roman" w:hAnsi="Times New Roman" w:cs="Times New Roman"/>
          <w:b/>
          <w:bCs/>
          <w:sz w:val="28"/>
          <w:szCs w:val="28"/>
        </w:rPr>
        <w:t xml:space="preserve"> </w:t>
      </w:r>
      <w:r w:rsidRPr="004135FE">
        <w:rPr>
          <w:rFonts w:ascii="Times New Roman" w:hAnsi="Times New Roman" w:cs="Times New Roman"/>
          <w:bCs/>
          <w:sz w:val="28"/>
          <w:szCs w:val="28"/>
        </w:rPr>
        <w:t xml:space="preserve">закупленных ЛС </w:t>
      </w:r>
      <w:r w:rsidRPr="004135FE">
        <w:rPr>
          <w:rFonts w:ascii="Times New Roman" w:eastAsiaTheme="minorHAnsi" w:hAnsi="Times New Roman" w:cs="Times New Roman"/>
          <w:bCs/>
          <w:sz w:val="28"/>
          <w:szCs w:val="28"/>
          <w:lang w:val="kk-KZ" w:eastAsia="en-US"/>
        </w:rPr>
        <w:t>в тенге</w:t>
      </w:r>
      <w:r w:rsidRPr="004135FE">
        <w:rPr>
          <w:rFonts w:ascii="Times New Roman" w:hAnsi="Times New Roman" w:cs="Times New Roman"/>
          <w:bCs/>
          <w:sz w:val="28"/>
          <w:szCs w:val="28"/>
        </w:rPr>
        <w:t xml:space="preserve"> (на 1 пациента </w:t>
      </w:r>
      <w:r w:rsidRPr="004135FE">
        <w:rPr>
          <w:rFonts w:ascii="Times New Roman" w:eastAsiaTheme="minorHAnsi" w:hAnsi="Times New Roman" w:cs="Times New Roman"/>
          <w:bCs/>
          <w:sz w:val="28"/>
          <w:szCs w:val="28"/>
          <w:lang w:eastAsia="en-US"/>
        </w:rPr>
        <w:t>по СД по г.</w:t>
      </w:r>
      <w:r w:rsidR="00077E0F">
        <w:rPr>
          <w:rFonts w:ascii="Times New Roman" w:eastAsiaTheme="minorHAnsi" w:hAnsi="Times New Roman" w:cs="Times New Roman"/>
          <w:bCs/>
          <w:sz w:val="28"/>
          <w:szCs w:val="28"/>
          <w:lang w:eastAsia="en-US"/>
        </w:rPr>
        <w:t xml:space="preserve"> </w:t>
      </w:r>
      <w:r w:rsidRPr="004135FE">
        <w:rPr>
          <w:rFonts w:ascii="Times New Roman" w:eastAsiaTheme="minorHAnsi" w:hAnsi="Times New Roman" w:cs="Times New Roman"/>
          <w:bCs/>
          <w:sz w:val="28"/>
          <w:szCs w:val="28"/>
          <w:lang w:eastAsia="en-US"/>
        </w:rPr>
        <w:t>Алматы</w:t>
      </w:r>
      <w:r w:rsidRPr="004135FE">
        <w:rPr>
          <w:rFonts w:ascii="Times New Roman" w:eastAsiaTheme="minorHAnsi" w:hAnsi="Times New Roman" w:cs="Times New Roman"/>
          <w:bCs/>
          <w:sz w:val="28"/>
          <w:szCs w:val="28"/>
          <w:lang w:val="kk-KZ" w:eastAsia="en-US"/>
        </w:rPr>
        <w:t>)</w:t>
      </w:r>
      <w:r w:rsidRPr="004135FE">
        <w:rPr>
          <w:rFonts w:ascii="Times New Roman" w:eastAsiaTheme="minorHAnsi" w:hAnsi="Times New Roman" w:cs="Times New Roman"/>
          <w:sz w:val="28"/>
          <w:szCs w:val="28"/>
          <w:lang w:eastAsia="en-US"/>
        </w:rPr>
        <w:t xml:space="preserve">, </w:t>
      </w:r>
      <w:r w:rsidRPr="004135FE">
        <w:rPr>
          <w:rFonts w:ascii="Times New Roman" w:eastAsia="Times New Roman" w:hAnsi="Times New Roman" w:cs="Times New Roman"/>
          <w:sz w:val="28"/>
          <w:szCs w:val="28"/>
        </w:rPr>
        <w:t xml:space="preserve">с использованием уравнении линейной регрессии </w:t>
      </w:r>
      <w:r w:rsidRPr="004135FE">
        <w:rPr>
          <w:rFonts w:ascii="Times New Roman" w:eastAsia="Times New Roman" w:hAnsi="Times New Roman" w:cs="Times New Roman"/>
          <w:sz w:val="28"/>
          <w:szCs w:val="28"/>
          <w:lang w:val="en-US"/>
        </w:rPr>
        <w:t>y</w:t>
      </w:r>
      <w:r w:rsidRPr="004135FE">
        <w:rPr>
          <w:rFonts w:ascii="Times New Roman" w:eastAsia="Times New Roman" w:hAnsi="Times New Roman" w:cs="Times New Roman"/>
          <w:sz w:val="28"/>
          <w:szCs w:val="28"/>
        </w:rPr>
        <w:t xml:space="preserve"> = 17356</w:t>
      </w:r>
      <w:r w:rsidRPr="004135FE">
        <w:rPr>
          <w:rFonts w:ascii="Times New Roman" w:eastAsia="Times New Roman" w:hAnsi="Times New Roman" w:cs="Times New Roman"/>
          <w:sz w:val="28"/>
          <w:szCs w:val="28"/>
          <w:lang w:val="en-US"/>
        </w:rPr>
        <w:t>x</w:t>
      </w:r>
      <w:r w:rsidRPr="004135FE">
        <w:rPr>
          <w:rFonts w:ascii="Times New Roman" w:eastAsia="Times New Roman" w:hAnsi="Times New Roman" w:cs="Times New Roman"/>
          <w:sz w:val="28"/>
          <w:szCs w:val="28"/>
        </w:rPr>
        <w:t xml:space="preserve"> - 6829,7, </w:t>
      </w:r>
      <w:r w:rsidRPr="004135FE">
        <w:rPr>
          <w:rFonts w:ascii="Times New Roman" w:eastAsia="Times New Roman" w:hAnsi="Times New Roman" w:cs="Times New Roman"/>
          <w:sz w:val="28"/>
          <w:szCs w:val="28"/>
          <w:lang w:val="en-US"/>
        </w:rPr>
        <w:t>R</w:t>
      </w:r>
      <w:r w:rsidRPr="004135FE">
        <w:rPr>
          <w:rFonts w:ascii="Times New Roman" w:eastAsia="Times New Roman" w:hAnsi="Times New Roman" w:cs="Times New Roman"/>
          <w:sz w:val="28"/>
          <w:szCs w:val="28"/>
        </w:rPr>
        <w:t xml:space="preserve">² = 0,9352 высокие. Значение параметра базы </w:t>
      </w:r>
      <w:r w:rsidRPr="004135FE">
        <w:rPr>
          <w:rFonts w:ascii="Times New Roman" w:eastAsia="Times New Roman" w:hAnsi="Times New Roman" w:cs="Times New Roman"/>
          <w:sz w:val="28"/>
          <w:szCs w:val="28"/>
          <w:lang w:val="en-US"/>
        </w:rPr>
        <w:t>Alpha</w:t>
      </w:r>
      <w:r w:rsidRPr="004135FE">
        <w:rPr>
          <w:rFonts w:ascii="Times New Roman" w:eastAsia="Times New Roman" w:hAnsi="Times New Roman" w:cs="Times New Roman"/>
          <w:sz w:val="28"/>
          <w:szCs w:val="28"/>
        </w:rPr>
        <w:t xml:space="preserve"> 0,10, средняя абсолютная масштабированная погрешность (мера точности прогноза) </w:t>
      </w:r>
      <w:r w:rsidRPr="004135FE">
        <w:rPr>
          <w:rFonts w:ascii="Times New Roman" w:eastAsia="Times New Roman" w:hAnsi="Times New Roman" w:cs="Times New Roman"/>
          <w:sz w:val="28"/>
          <w:szCs w:val="28"/>
          <w:lang w:val="en-US"/>
        </w:rPr>
        <w:t>MASE</w:t>
      </w:r>
      <w:r w:rsidRPr="004135FE">
        <w:rPr>
          <w:rFonts w:ascii="Times New Roman" w:eastAsia="Times New Roman" w:hAnsi="Times New Roman" w:cs="Times New Roman"/>
          <w:sz w:val="28"/>
          <w:szCs w:val="28"/>
        </w:rPr>
        <w:t xml:space="preserve"> 0,46, симметричная средняя абсолютная процентная погрешность (мера точности на основе процентных погрешностей) </w:t>
      </w:r>
      <w:r w:rsidRPr="004135FE">
        <w:rPr>
          <w:rFonts w:ascii="Times New Roman" w:eastAsia="Times New Roman" w:hAnsi="Times New Roman" w:cs="Times New Roman"/>
          <w:sz w:val="28"/>
          <w:szCs w:val="28"/>
          <w:lang w:val="en-US"/>
        </w:rPr>
        <w:t>SMAPE</w:t>
      </w:r>
      <w:r w:rsidRPr="004135FE">
        <w:rPr>
          <w:rFonts w:ascii="Times New Roman" w:eastAsia="Times New Roman" w:hAnsi="Times New Roman" w:cs="Times New Roman"/>
          <w:sz w:val="28"/>
          <w:szCs w:val="28"/>
        </w:rPr>
        <w:t xml:space="preserve"> 0,14, симметричная средняя абсолютная процентная погрешность (мера точности на основе процентных погрешностей) </w:t>
      </w:r>
      <w:r w:rsidRPr="004135FE">
        <w:rPr>
          <w:rFonts w:ascii="Times New Roman" w:eastAsia="Times New Roman" w:hAnsi="Times New Roman" w:cs="Times New Roman"/>
          <w:sz w:val="28"/>
          <w:szCs w:val="28"/>
          <w:lang w:val="en-US"/>
        </w:rPr>
        <w:t>MAE</w:t>
      </w:r>
      <w:r w:rsidRPr="004135FE">
        <w:rPr>
          <w:rFonts w:ascii="Times New Roman" w:eastAsia="Times New Roman" w:hAnsi="Times New Roman" w:cs="Times New Roman"/>
          <w:sz w:val="28"/>
          <w:szCs w:val="28"/>
        </w:rPr>
        <w:t xml:space="preserve"> 8 497,38, среднеквадратическая погрешность (мера расхождения между спрогнозированными и наблюдаемыми значениями) </w:t>
      </w:r>
      <w:r w:rsidRPr="004135FE">
        <w:rPr>
          <w:rFonts w:ascii="Times New Roman" w:eastAsia="Times New Roman" w:hAnsi="Times New Roman" w:cs="Times New Roman"/>
          <w:sz w:val="28"/>
          <w:szCs w:val="28"/>
          <w:lang w:val="en-US"/>
        </w:rPr>
        <w:t>RMSE</w:t>
      </w:r>
      <w:r w:rsidRPr="004135FE">
        <w:rPr>
          <w:rFonts w:ascii="Times New Roman" w:eastAsia="Times New Roman" w:hAnsi="Times New Roman" w:cs="Times New Roman"/>
          <w:sz w:val="28"/>
          <w:szCs w:val="28"/>
        </w:rPr>
        <w:t xml:space="preserve"> 10 170,46 Следует отметить, что ожидается дальнейшее увеличение суммы </w:t>
      </w:r>
      <w:r w:rsidRPr="004135FE">
        <w:rPr>
          <w:rFonts w:ascii="Times New Roman" w:eastAsiaTheme="minorHAnsi" w:hAnsi="Times New Roman" w:cs="Times New Roman"/>
          <w:sz w:val="28"/>
          <w:szCs w:val="28"/>
          <w:lang w:eastAsia="en-US"/>
        </w:rPr>
        <w:t xml:space="preserve">с </w:t>
      </w:r>
      <w:r w:rsidRPr="004135FE">
        <w:rPr>
          <w:rFonts w:ascii="Times New Roman" w:eastAsia="Times New Roman" w:hAnsi="Times New Roman" w:cs="Times New Roman"/>
          <w:sz w:val="28"/>
          <w:szCs w:val="28"/>
        </w:rPr>
        <w:t xml:space="preserve">126 648,08 до 151 480,68 с ДИ (131 445,53; 171 515,82) </w:t>
      </w:r>
      <w:r w:rsidRPr="004135FE">
        <w:rPr>
          <w:rFonts w:ascii="Times New Roman" w:eastAsiaTheme="minorHAnsi" w:hAnsi="Times New Roman" w:cs="Times New Roman"/>
          <w:bCs/>
          <w:sz w:val="28"/>
          <w:szCs w:val="28"/>
          <w:lang w:val="kk-KZ" w:eastAsia="en-US"/>
        </w:rPr>
        <w:t>тенге</w:t>
      </w:r>
      <w:r w:rsidRPr="004135FE">
        <w:rPr>
          <w:rFonts w:ascii="Times New Roman" w:eastAsia="Times New Roman" w:hAnsi="Times New Roman" w:cs="Times New Roman"/>
          <w:sz w:val="28"/>
          <w:szCs w:val="28"/>
        </w:rPr>
        <w:t xml:space="preserve"> </w:t>
      </w:r>
      <w:r w:rsidRPr="004135FE">
        <w:rPr>
          <w:rFonts w:ascii="Times New Roman" w:hAnsi="Times New Roman" w:cs="Times New Roman"/>
          <w:sz w:val="28"/>
          <w:szCs w:val="28"/>
        </w:rPr>
        <w:t>(р=0,001) статистически значимы</w:t>
      </w:r>
      <w:r w:rsidRPr="004135FE">
        <w:rPr>
          <w:rFonts w:ascii="Times New Roman" w:eastAsia="Times New Roman" w:hAnsi="Times New Roman" w:cs="Times New Roman"/>
          <w:sz w:val="28"/>
          <w:szCs w:val="28"/>
        </w:rPr>
        <w:t xml:space="preserve">. </w:t>
      </w:r>
    </w:p>
    <w:p w14:paraId="60762354" w14:textId="77777777" w:rsidR="0066583A" w:rsidRPr="004135FE" w:rsidRDefault="0066583A" w:rsidP="004135FE">
      <w:pPr>
        <w:autoSpaceDE w:val="0"/>
        <w:autoSpaceDN w:val="0"/>
        <w:adjustRightInd w:val="0"/>
        <w:spacing w:after="0" w:line="240" w:lineRule="auto"/>
        <w:jc w:val="both"/>
        <w:rPr>
          <w:rFonts w:ascii="Times New Roman" w:eastAsiaTheme="minorHAnsi" w:hAnsi="Times New Roman" w:cs="Times New Roman"/>
          <w:bCs/>
          <w:sz w:val="28"/>
          <w:szCs w:val="28"/>
          <w:lang w:eastAsia="en-US"/>
        </w:rPr>
      </w:pPr>
    </w:p>
    <w:p w14:paraId="2F36276E" w14:textId="43B91941" w:rsidR="0066583A" w:rsidRDefault="0066583A" w:rsidP="004135FE">
      <w:pPr>
        <w:autoSpaceDE w:val="0"/>
        <w:autoSpaceDN w:val="0"/>
        <w:adjustRightInd w:val="0"/>
        <w:spacing w:after="0" w:line="240" w:lineRule="auto"/>
        <w:jc w:val="both"/>
        <w:rPr>
          <w:rFonts w:ascii="Times New Roman" w:eastAsiaTheme="minorHAnsi" w:hAnsi="Times New Roman" w:cs="Times New Roman"/>
          <w:bCs/>
          <w:sz w:val="28"/>
          <w:szCs w:val="28"/>
          <w:lang w:val="kk-KZ" w:eastAsia="en-US"/>
        </w:rPr>
      </w:pPr>
      <w:r w:rsidRPr="004135FE">
        <w:rPr>
          <w:rFonts w:ascii="Times New Roman" w:hAnsi="Times New Roman" w:cs="Times New Roman"/>
          <w:sz w:val="28"/>
          <w:szCs w:val="28"/>
          <w:lang w:val="kk-KZ"/>
        </w:rPr>
        <w:t xml:space="preserve">Таблица </w:t>
      </w:r>
      <w:r w:rsidR="00B728EF" w:rsidRPr="004135FE">
        <w:rPr>
          <w:rFonts w:ascii="Times New Roman" w:hAnsi="Times New Roman" w:cs="Times New Roman"/>
          <w:sz w:val="28"/>
          <w:szCs w:val="28"/>
          <w:lang w:val="kk-KZ"/>
        </w:rPr>
        <w:t>19</w:t>
      </w:r>
      <w:r w:rsidRPr="004135FE">
        <w:rPr>
          <w:rFonts w:ascii="Times New Roman" w:hAnsi="Times New Roman" w:cs="Times New Roman"/>
          <w:sz w:val="28"/>
          <w:szCs w:val="28"/>
          <w:lang w:val="kk-KZ"/>
        </w:rPr>
        <w:t xml:space="preserve"> - </w:t>
      </w:r>
      <w:r w:rsidRPr="004135FE">
        <w:rPr>
          <w:rFonts w:ascii="Times New Roman" w:hAnsi="Times New Roman" w:cs="Times New Roman"/>
          <w:sz w:val="28"/>
          <w:szCs w:val="28"/>
        </w:rPr>
        <w:t xml:space="preserve">Математическое  прогнозирование </w:t>
      </w:r>
      <w:r w:rsidRPr="004135FE">
        <w:rPr>
          <w:rFonts w:ascii="Times New Roman" w:hAnsi="Times New Roman" w:cs="Times New Roman"/>
          <w:bCs/>
          <w:sz w:val="28"/>
          <w:szCs w:val="28"/>
        </w:rPr>
        <w:t>стоимости</w:t>
      </w:r>
      <w:r w:rsidRPr="004135FE">
        <w:rPr>
          <w:rFonts w:ascii="Times New Roman" w:hAnsi="Times New Roman" w:cs="Times New Roman"/>
          <w:b/>
          <w:bCs/>
          <w:sz w:val="28"/>
          <w:szCs w:val="28"/>
        </w:rPr>
        <w:t xml:space="preserve"> </w:t>
      </w:r>
      <w:r w:rsidRPr="004135FE">
        <w:rPr>
          <w:rFonts w:ascii="Times New Roman" w:hAnsi="Times New Roman" w:cs="Times New Roman"/>
          <w:bCs/>
          <w:sz w:val="28"/>
          <w:szCs w:val="28"/>
        </w:rPr>
        <w:t xml:space="preserve">закупленных ЛС (на 1 пациента </w:t>
      </w:r>
      <w:r w:rsidRPr="004135FE">
        <w:rPr>
          <w:rFonts w:ascii="Times New Roman" w:eastAsiaTheme="minorHAnsi" w:hAnsi="Times New Roman" w:cs="Times New Roman"/>
          <w:bCs/>
          <w:sz w:val="28"/>
          <w:szCs w:val="28"/>
          <w:lang w:eastAsia="en-US"/>
        </w:rPr>
        <w:t>по СД по г.Алматы</w:t>
      </w:r>
      <w:r w:rsidRPr="004135FE">
        <w:rPr>
          <w:rFonts w:ascii="Times New Roman" w:eastAsiaTheme="minorHAnsi" w:hAnsi="Times New Roman" w:cs="Times New Roman"/>
          <w:bCs/>
          <w:sz w:val="28"/>
          <w:szCs w:val="28"/>
          <w:lang w:val="kk-KZ" w:eastAsia="en-US"/>
        </w:rPr>
        <w:t>), в тенге</w:t>
      </w:r>
    </w:p>
    <w:p w14:paraId="2F0ABE83" w14:textId="77777777" w:rsidR="001A3A85" w:rsidRPr="004135FE" w:rsidRDefault="001A3A85" w:rsidP="004135FE">
      <w:pPr>
        <w:autoSpaceDE w:val="0"/>
        <w:autoSpaceDN w:val="0"/>
        <w:adjustRightInd w:val="0"/>
        <w:spacing w:after="0" w:line="240" w:lineRule="auto"/>
        <w:jc w:val="both"/>
        <w:rPr>
          <w:rFonts w:ascii="Times New Roman" w:eastAsiaTheme="minorHAnsi" w:hAnsi="Times New Roman" w:cs="Times New Roman"/>
          <w:bCs/>
          <w:sz w:val="28"/>
          <w:szCs w:val="28"/>
          <w:lang w:eastAsia="en-US"/>
        </w:rPr>
      </w:pPr>
    </w:p>
    <w:tbl>
      <w:tblPr>
        <w:tblStyle w:val="af9"/>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3"/>
        <w:gridCol w:w="1983"/>
        <w:gridCol w:w="1699"/>
        <w:gridCol w:w="1985"/>
        <w:gridCol w:w="1701"/>
      </w:tblGrid>
      <w:tr w:rsidR="0066583A" w:rsidRPr="001A3A85" w14:paraId="27B8FA2E" w14:textId="77777777" w:rsidTr="001A3A85">
        <w:tc>
          <w:tcPr>
            <w:tcW w:w="1983" w:type="dxa"/>
          </w:tcPr>
          <w:p w14:paraId="4B937F9A" w14:textId="77777777" w:rsidR="0066583A" w:rsidRPr="001A3A85" w:rsidRDefault="0066583A" w:rsidP="004135FE">
            <w:pPr>
              <w:autoSpaceDE w:val="0"/>
              <w:autoSpaceDN w:val="0"/>
              <w:adjustRightInd w:val="0"/>
              <w:spacing w:after="0" w:line="240" w:lineRule="auto"/>
              <w:jc w:val="center"/>
              <w:rPr>
                <w:rFonts w:ascii="Times New Roman" w:eastAsiaTheme="minorHAnsi" w:hAnsi="Times New Roman" w:cs="Times New Roman"/>
                <w:sz w:val="24"/>
                <w:szCs w:val="24"/>
                <w:lang w:eastAsia="en-US"/>
              </w:rPr>
            </w:pPr>
            <w:r w:rsidRPr="001A3A85">
              <w:rPr>
                <w:rFonts w:ascii="Times New Roman" w:eastAsia="Times New Roman" w:hAnsi="Times New Roman" w:cs="Times New Roman"/>
                <w:sz w:val="24"/>
                <w:szCs w:val="24"/>
              </w:rPr>
              <w:t>Период</w:t>
            </w:r>
          </w:p>
        </w:tc>
        <w:tc>
          <w:tcPr>
            <w:tcW w:w="1983" w:type="dxa"/>
          </w:tcPr>
          <w:p w14:paraId="74930C36" w14:textId="77777777" w:rsidR="0066583A" w:rsidRPr="001A3A85" w:rsidRDefault="0066583A" w:rsidP="004135FE">
            <w:pPr>
              <w:autoSpaceDE w:val="0"/>
              <w:autoSpaceDN w:val="0"/>
              <w:adjustRightInd w:val="0"/>
              <w:spacing w:after="0" w:line="240" w:lineRule="auto"/>
              <w:jc w:val="center"/>
              <w:rPr>
                <w:rFonts w:ascii="Times New Roman" w:eastAsiaTheme="minorHAnsi" w:hAnsi="Times New Roman" w:cs="Times New Roman"/>
                <w:sz w:val="24"/>
                <w:szCs w:val="24"/>
                <w:lang w:eastAsia="en-US"/>
              </w:rPr>
            </w:pPr>
            <w:r w:rsidRPr="001A3A85">
              <w:rPr>
                <w:rFonts w:ascii="Times New Roman" w:eastAsia="Times New Roman" w:hAnsi="Times New Roman" w:cs="Times New Roman"/>
                <w:sz w:val="24"/>
                <w:szCs w:val="24"/>
              </w:rPr>
              <w:t>Стоимость</w:t>
            </w:r>
          </w:p>
        </w:tc>
        <w:tc>
          <w:tcPr>
            <w:tcW w:w="1699" w:type="dxa"/>
          </w:tcPr>
          <w:p w14:paraId="48486894" w14:textId="77777777" w:rsidR="0066583A" w:rsidRPr="001A3A85" w:rsidRDefault="0066583A" w:rsidP="004135FE">
            <w:pPr>
              <w:autoSpaceDE w:val="0"/>
              <w:autoSpaceDN w:val="0"/>
              <w:adjustRightInd w:val="0"/>
              <w:spacing w:after="0" w:line="240" w:lineRule="auto"/>
              <w:jc w:val="center"/>
              <w:rPr>
                <w:rFonts w:ascii="Times New Roman" w:eastAsiaTheme="minorHAnsi" w:hAnsi="Times New Roman" w:cs="Times New Roman"/>
                <w:sz w:val="24"/>
                <w:szCs w:val="24"/>
                <w:lang w:eastAsia="en-US"/>
              </w:rPr>
            </w:pPr>
            <w:r w:rsidRPr="001A3A85">
              <w:rPr>
                <w:rFonts w:ascii="Times New Roman" w:eastAsia="Times New Roman" w:hAnsi="Times New Roman" w:cs="Times New Roman"/>
                <w:sz w:val="24"/>
                <w:szCs w:val="24"/>
              </w:rPr>
              <w:t>Прогноз</w:t>
            </w:r>
          </w:p>
        </w:tc>
        <w:tc>
          <w:tcPr>
            <w:tcW w:w="1985" w:type="dxa"/>
          </w:tcPr>
          <w:p w14:paraId="1CE0E470" w14:textId="77777777" w:rsidR="0066583A" w:rsidRPr="001A3A85" w:rsidRDefault="0066583A" w:rsidP="004135FE">
            <w:pPr>
              <w:autoSpaceDE w:val="0"/>
              <w:autoSpaceDN w:val="0"/>
              <w:adjustRightInd w:val="0"/>
              <w:spacing w:after="0" w:line="240" w:lineRule="auto"/>
              <w:jc w:val="center"/>
              <w:rPr>
                <w:rFonts w:ascii="Times New Roman" w:eastAsiaTheme="minorHAnsi" w:hAnsi="Times New Roman" w:cs="Times New Roman"/>
                <w:sz w:val="24"/>
                <w:szCs w:val="24"/>
                <w:lang w:eastAsia="en-US"/>
              </w:rPr>
            </w:pPr>
            <w:r w:rsidRPr="001A3A85">
              <w:rPr>
                <w:rFonts w:ascii="Times New Roman" w:eastAsia="Times New Roman" w:hAnsi="Times New Roman" w:cs="Times New Roman"/>
                <w:sz w:val="24"/>
                <w:szCs w:val="24"/>
              </w:rPr>
              <w:t>95% ДИ (нижний)</w:t>
            </w:r>
          </w:p>
        </w:tc>
        <w:tc>
          <w:tcPr>
            <w:tcW w:w="1701" w:type="dxa"/>
          </w:tcPr>
          <w:p w14:paraId="7AA85B06" w14:textId="77777777" w:rsidR="0066583A" w:rsidRPr="001A3A85" w:rsidRDefault="0066583A" w:rsidP="004135FE">
            <w:pPr>
              <w:autoSpaceDE w:val="0"/>
              <w:autoSpaceDN w:val="0"/>
              <w:adjustRightInd w:val="0"/>
              <w:spacing w:after="0" w:line="240" w:lineRule="auto"/>
              <w:jc w:val="center"/>
              <w:rPr>
                <w:rFonts w:ascii="Times New Roman" w:eastAsiaTheme="minorHAnsi" w:hAnsi="Times New Roman" w:cs="Times New Roman"/>
                <w:sz w:val="24"/>
                <w:szCs w:val="24"/>
                <w:lang w:eastAsia="en-US"/>
              </w:rPr>
            </w:pPr>
            <w:r w:rsidRPr="001A3A85">
              <w:rPr>
                <w:rFonts w:ascii="Times New Roman" w:eastAsia="Times New Roman" w:hAnsi="Times New Roman" w:cs="Times New Roman"/>
                <w:sz w:val="24"/>
                <w:szCs w:val="24"/>
              </w:rPr>
              <w:t>95% ДИ (высокий)</w:t>
            </w:r>
          </w:p>
        </w:tc>
      </w:tr>
      <w:tr w:rsidR="001A3A85" w:rsidRPr="001A3A85" w14:paraId="7C5B8C02" w14:textId="77777777" w:rsidTr="001A3A85">
        <w:tc>
          <w:tcPr>
            <w:tcW w:w="1983" w:type="dxa"/>
          </w:tcPr>
          <w:p w14:paraId="7E627A11" w14:textId="77777777"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sz w:val="24"/>
                <w:szCs w:val="24"/>
                <w:lang w:eastAsia="en-US"/>
              </w:rPr>
            </w:pPr>
            <w:r w:rsidRPr="001A3A85">
              <w:rPr>
                <w:rFonts w:ascii="Times New Roman" w:eastAsia="Times New Roman" w:hAnsi="Times New Roman" w:cs="Times New Roman"/>
                <w:sz w:val="24"/>
                <w:szCs w:val="24"/>
              </w:rPr>
              <w:t>2015</w:t>
            </w:r>
          </w:p>
        </w:tc>
        <w:tc>
          <w:tcPr>
            <w:tcW w:w="1983" w:type="dxa"/>
          </w:tcPr>
          <w:p w14:paraId="22F1E9B2" w14:textId="77777777"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sz w:val="24"/>
                <w:szCs w:val="24"/>
                <w:lang w:eastAsia="en-US"/>
              </w:rPr>
            </w:pPr>
            <w:r w:rsidRPr="001A3A85">
              <w:rPr>
                <w:rFonts w:ascii="Times New Roman" w:eastAsia="Times New Roman" w:hAnsi="Times New Roman" w:cs="Times New Roman"/>
                <w:sz w:val="24"/>
                <w:szCs w:val="24"/>
              </w:rPr>
              <w:t>15 057,11</w:t>
            </w:r>
          </w:p>
        </w:tc>
        <w:tc>
          <w:tcPr>
            <w:tcW w:w="1699" w:type="dxa"/>
          </w:tcPr>
          <w:p w14:paraId="359F0D88" w14:textId="1942EE63"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w:t>
            </w:r>
          </w:p>
        </w:tc>
        <w:tc>
          <w:tcPr>
            <w:tcW w:w="1985" w:type="dxa"/>
          </w:tcPr>
          <w:p w14:paraId="31D6F944" w14:textId="08D56383"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sz w:val="24"/>
                <w:szCs w:val="24"/>
                <w:lang w:eastAsia="en-US"/>
              </w:rPr>
            </w:pPr>
            <w:r w:rsidRPr="00E42CEC">
              <w:rPr>
                <w:rFonts w:ascii="Times New Roman" w:eastAsiaTheme="minorHAnsi" w:hAnsi="Times New Roman" w:cs="Times New Roman"/>
                <w:sz w:val="24"/>
                <w:szCs w:val="24"/>
                <w:lang w:eastAsia="en-US"/>
              </w:rPr>
              <w:t>-</w:t>
            </w:r>
          </w:p>
        </w:tc>
        <w:tc>
          <w:tcPr>
            <w:tcW w:w="1701" w:type="dxa"/>
          </w:tcPr>
          <w:p w14:paraId="1F257DE5" w14:textId="6071C698"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sz w:val="24"/>
                <w:szCs w:val="24"/>
                <w:lang w:eastAsia="en-US"/>
              </w:rPr>
            </w:pPr>
            <w:r w:rsidRPr="00122722">
              <w:rPr>
                <w:rFonts w:ascii="Times New Roman" w:eastAsiaTheme="minorHAnsi" w:hAnsi="Times New Roman" w:cs="Times New Roman"/>
                <w:sz w:val="24"/>
                <w:szCs w:val="24"/>
                <w:lang w:eastAsia="en-US"/>
              </w:rPr>
              <w:t>-</w:t>
            </w:r>
          </w:p>
        </w:tc>
      </w:tr>
      <w:tr w:rsidR="001A3A85" w:rsidRPr="001A3A85" w14:paraId="162783DF" w14:textId="77777777" w:rsidTr="001A3A85">
        <w:tc>
          <w:tcPr>
            <w:tcW w:w="1983" w:type="dxa"/>
          </w:tcPr>
          <w:p w14:paraId="5F17366A" w14:textId="77777777"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2016</w:t>
            </w:r>
          </w:p>
        </w:tc>
        <w:tc>
          <w:tcPr>
            <w:tcW w:w="1983" w:type="dxa"/>
          </w:tcPr>
          <w:p w14:paraId="188F6CEF" w14:textId="77777777"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24 019,78</w:t>
            </w:r>
          </w:p>
        </w:tc>
        <w:tc>
          <w:tcPr>
            <w:tcW w:w="1699" w:type="dxa"/>
          </w:tcPr>
          <w:p w14:paraId="5152B9EE" w14:textId="312762B9"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6B16A5">
              <w:rPr>
                <w:rFonts w:ascii="Times New Roman" w:eastAsiaTheme="minorHAnsi" w:hAnsi="Times New Roman" w:cs="Times New Roman"/>
                <w:sz w:val="24"/>
                <w:szCs w:val="24"/>
                <w:lang w:eastAsia="en-US"/>
              </w:rPr>
              <w:t>-</w:t>
            </w:r>
          </w:p>
        </w:tc>
        <w:tc>
          <w:tcPr>
            <w:tcW w:w="1985" w:type="dxa"/>
          </w:tcPr>
          <w:p w14:paraId="6DB3C6A2" w14:textId="7D574013"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E42CEC">
              <w:rPr>
                <w:rFonts w:ascii="Times New Roman" w:eastAsiaTheme="minorHAnsi" w:hAnsi="Times New Roman" w:cs="Times New Roman"/>
                <w:sz w:val="24"/>
                <w:szCs w:val="24"/>
                <w:lang w:eastAsia="en-US"/>
              </w:rPr>
              <w:t>-</w:t>
            </w:r>
          </w:p>
        </w:tc>
        <w:tc>
          <w:tcPr>
            <w:tcW w:w="1701" w:type="dxa"/>
          </w:tcPr>
          <w:p w14:paraId="24D839A0" w14:textId="07DCAD08"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22722">
              <w:rPr>
                <w:rFonts w:ascii="Times New Roman" w:eastAsiaTheme="minorHAnsi" w:hAnsi="Times New Roman" w:cs="Times New Roman"/>
                <w:sz w:val="24"/>
                <w:szCs w:val="24"/>
                <w:lang w:eastAsia="en-US"/>
              </w:rPr>
              <w:t>-</w:t>
            </w:r>
          </w:p>
        </w:tc>
      </w:tr>
      <w:tr w:rsidR="001A3A85" w:rsidRPr="001A3A85" w14:paraId="3FC80DDD" w14:textId="77777777" w:rsidTr="001A3A85">
        <w:tc>
          <w:tcPr>
            <w:tcW w:w="1983" w:type="dxa"/>
          </w:tcPr>
          <w:p w14:paraId="04FAC633" w14:textId="77777777"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2017</w:t>
            </w:r>
          </w:p>
        </w:tc>
        <w:tc>
          <w:tcPr>
            <w:tcW w:w="1983" w:type="dxa"/>
          </w:tcPr>
          <w:p w14:paraId="2392513F" w14:textId="77777777"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56 261,14</w:t>
            </w:r>
          </w:p>
        </w:tc>
        <w:tc>
          <w:tcPr>
            <w:tcW w:w="1699" w:type="dxa"/>
          </w:tcPr>
          <w:p w14:paraId="3F4392A3" w14:textId="4F0316CB"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6B16A5">
              <w:rPr>
                <w:rFonts w:ascii="Times New Roman" w:eastAsiaTheme="minorHAnsi" w:hAnsi="Times New Roman" w:cs="Times New Roman"/>
                <w:sz w:val="24"/>
                <w:szCs w:val="24"/>
                <w:lang w:eastAsia="en-US"/>
              </w:rPr>
              <w:t>-</w:t>
            </w:r>
          </w:p>
        </w:tc>
        <w:tc>
          <w:tcPr>
            <w:tcW w:w="1985" w:type="dxa"/>
          </w:tcPr>
          <w:p w14:paraId="1E5D4C43" w14:textId="17420E8B"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E42CEC">
              <w:rPr>
                <w:rFonts w:ascii="Times New Roman" w:eastAsiaTheme="minorHAnsi" w:hAnsi="Times New Roman" w:cs="Times New Roman"/>
                <w:sz w:val="24"/>
                <w:szCs w:val="24"/>
                <w:lang w:eastAsia="en-US"/>
              </w:rPr>
              <w:t>-</w:t>
            </w:r>
          </w:p>
        </w:tc>
        <w:tc>
          <w:tcPr>
            <w:tcW w:w="1701" w:type="dxa"/>
          </w:tcPr>
          <w:p w14:paraId="7C436008" w14:textId="37E6D064"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22722">
              <w:rPr>
                <w:rFonts w:ascii="Times New Roman" w:eastAsiaTheme="minorHAnsi" w:hAnsi="Times New Roman" w:cs="Times New Roman"/>
                <w:sz w:val="24"/>
                <w:szCs w:val="24"/>
                <w:lang w:eastAsia="en-US"/>
              </w:rPr>
              <w:t>-</w:t>
            </w:r>
          </w:p>
        </w:tc>
      </w:tr>
      <w:tr w:rsidR="001A3A85" w:rsidRPr="001A3A85" w14:paraId="542F1DE4" w14:textId="77777777" w:rsidTr="001A3A85">
        <w:tc>
          <w:tcPr>
            <w:tcW w:w="1983" w:type="dxa"/>
          </w:tcPr>
          <w:p w14:paraId="78C8B3F8" w14:textId="77777777"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2018</w:t>
            </w:r>
          </w:p>
        </w:tc>
        <w:tc>
          <w:tcPr>
            <w:tcW w:w="1983" w:type="dxa"/>
          </w:tcPr>
          <w:p w14:paraId="46AD2562" w14:textId="77777777"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56 185,90</w:t>
            </w:r>
          </w:p>
        </w:tc>
        <w:tc>
          <w:tcPr>
            <w:tcW w:w="1699" w:type="dxa"/>
          </w:tcPr>
          <w:p w14:paraId="7B7FF6D7" w14:textId="448E3D71"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6B16A5">
              <w:rPr>
                <w:rFonts w:ascii="Times New Roman" w:eastAsiaTheme="minorHAnsi" w:hAnsi="Times New Roman" w:cs="Times New Roman"/>
                <w:sz w:val="24"/>
                <w:szCs w:val="24"/>
                <w:lang w:eastAsia="en-US"/>
              </w:rPr>
              <w:t>-</w:t>
            </w:r>
          </w:p>
        </w:tc>
        <w:tc>
          <w:tcPr>
            <w:tcW w:w="1985" w:type="dxa"/>
          </w:tcPr>
          <w:p w14:paraId="772D98ED" w14:textId="5C34A4DD"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E42CEC">
              <w:rPr>
                <w:rFonts w:ascii="Times New Roman" w:eastAsiaTheme="minorHAnsi" w:hAnsi="Times New Roman" w:cs="Times New Roman"/>
                <w:sz w:val="24"/>
                <w:szCs w:val="24"/>
                <w:lang w:eastAsia="en-US"/>
              </w:rPr>
              <w:t>-</w:t>
            </w:r>
          </w:p>
        </w:tc>
        <w:tc>
          <w:tcPr>
            <w:tcW w:w="1701" w:type="dxa"/>
          </w:tcPr>
          <w:p w14:paraId="2B50C1FF" w14:textId="2CD566EB"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22722">
              <w:rPr>
                <w:rFonts w:ascii="Times New Roman" w:eastAsiaTheme="minorHAnsi" w:hAnsi="Times New Roman" w:cs="Times New Roman"/>
                <w:sz w:val="24"/>
                <w:szCs w:val="24"/>
                <w:lang w:eastAsia="en-US"/>
              </w:rPr>
              <w:t>-</w:t>
            </w:r>
          </w:p>
        </w:tc>
      </w:tr>
      <w:tr w:rsidR="001A3A85" w:rsidRPr="001A3A85" w14:paraId="10E77909" w14:textId="77777777" w:rsidTr="001A3A85">
        <w:tc>
          <w:tcPr>
            <w:tcW w:w="1983" w:type="dxa"/>
          </w:tcPr>
          <w:p w14:paraId="2E9A8DE5" w14:textId="77777777"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2019</w:t>
            </w:r>
          </w:p>
        </w:tc>
        <w:tc>
          <w:tcPr>
            <w:tcW w:w="1983" w:type="dxa"/>
          </w:tcPr>
          <w:p w14:paraId="7A424A67" w14:textId="77777777"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64 488,63</w:t>
            </w:r>
          </w:p>
        </w:tc>
        <w:tc>
          <w:tcPr>
            <w:tcW w:w="1699" w:type="dxa"/>
          </w:tcPr>
          <w:p w14:paraId="5C2D44CE" w14:textId="1FD7EDC5"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6B16A5">
              <w:rPr>
                <w:rFonts w:ascii="Times New Roman" w:eastAsiaTheme="minorHAnsi" w:hAnsi="Times New Roman" w:cs="Times New Roman"/>
                <w:sz w:val="24"/>
                <w:szCs w:val="24"/>
                <w:lang w:eastAsia="en-US"/>
              </w:rPr>
              <w:t>-</w:t>
            </w:r>
          </w:p>
        </w:tc>
        <w:tc>
          <w:tcPr>
            <w:tcW w:w="1985" w:type="dxa"/>
          </w:tcPr>
          <w:p w14:paraId="4FB5888C" w14:textId="6AA59F3B"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E42CEC">
              <w:rPr>
                <w:rFonts w:ascii="Times New Roman" w:eastAsiaTheme="minorHAnsi" w:hAnsi="Times New Roman" w:cs="Times New Roman"/>
                <w:sz w:val="24"/>
                <w:szCs w:val="24"/>
                <w:lang w:eastAsia="en-US"/>
              </w:rPr>
              <w:t>-</w:t>
            </w:r>
          </w:p>
        </w:tc>
        <w:tc>
          <w:tcPr>
            <w:tcW w:w="1701" w:type="dxa"/>
          </w:tcPr>
          <w:p w14:paraId="02444A6A" w14:textId="11DA1001"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22722">
              <w:rPr>
                <w:rFonts w:ascii="Times New Roman" w:eastAsiaTheme="minorHAnsi" w:hAnsi="Times New Roman" w:cs="Times New Roman"/>
                <w:sz w:val="24"/>
                <w:szCs w:val="24"/>
                <w:lang w:eastAsia="en-US"/>
              </w:rPr>
              <w:t>-</w:t>
            </w:r>
          </w:p>
        </w:tc>
      </w:tr>
      <w:tr w:rsidR="001A3A85" w:rsidRPr="001A3A85" w14:paraId="2621B231" w14:textId="77777777" w:rsidTr="001A3A85">
        <w:tc>
          <w:tcPr>
            <w:tcW w:w="1983" w:type="dxa"/>
          </w:tcPr>
          <w:p w14:paraId="1B1B0E6A" w14:textId="77777777"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2020</w:t>
            </w:r>
          </w:p>
        </w:tc>
        <w:tc>
          <w:tcPr>
            <w:tcW w:w="1983" w:type="dxa"/>
          </w:tcPr>
          <w:p w14:paraId="7804AF34" w14:textId="77777777"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95 507,62</w:t>
            </w:r>
          </w:p>
        </w:tc>
        <w:tc>
          <w:tcPr>
            <w:tcW w:w="1699" w:type="dxa"/>
          </w:tcPr>
          <w:p w14:paraId="66C24EA8" w14:textId="39C9709D"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6B16A5">
              <w:rPr>
                <w:rFonts w:ascii="Times New Roman" w:eastAsiaTheme="minorHAnsi" w:hAnsi="Times New Roman" w:cs="Times New Roman"/>
                <w:sz w:val="24"/>
                <w:szCs w:val="24"/>
                <w:lang w:eastAsia="en-US"/>
              </w:rPr>
              <w:t>-</w:t>
            </w:r>
          </w:p>
        </w:tc>
        <w:tc>
          <w:tcPr>
            <w:tcW w:w="1985" w:type="dxa"/>
          </w:tcPr>
          <w:p w14:paraId="47506B1B" w14:textId="6EDA7851"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E42CEC">
              <w:rPr>
                <w:rFonts w:ascii="Times New Roman" w:eastAsiaTheme="minorHAnsi" w:hAnsi="Times New Roman" w:cs="Times New Roman"/>
                <w:sz w:val="24"/>
                <w:szCs w:val="24"/>
                <w:lang w:eastAsia="en-US"/>
              </w:rPr>
              <w:t>-</w:t>
            </w:r>
          </w:p>
        </w:tc>
        <w:tc>
          <w:tcPr>
            <w:tcW w:w="1701" w:type="dxa"/>
          </w:tcPr>
          <w:p w14:paraId="7329D01C" w14:textId="75A4A68A" w:rsidR="001A3A85" w:rsidRPr="001A3A85" w:rsidRDefault="001A3A85" w:rsidP="001A3A8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22722">
              <w:rPr>
                <w:rFonts w:ascii="Times New Roman" w:eastAsiaTheme="minorHAnsi" w:hAnsi="Times New Roman" w:cs="Times New Roman"/>
                <w:sz w:val="24"/>
                <w:szCs w:val="24"/>
                <w:lang w:eastAsia="en-US"/>
              </w:rPr>
              <w:t>-</w:t>
            </w:r>
          </w:p>
        </w:tc>
      </w:tr>
      <w:tr w:rsidR="0066583A" w:rsidRPr="001A3A85" w14:paraId="4469C592" w14:textId="77777777" w:rsidTr="001A3A85">
        <w:tc>
          <w:tcPr>
            <w:tcW w:w="1983" w:type="dxa"/>
          </w:tcPr>
          <w:p w14:paraId="75BDCA8E" w14:textId="77777777" w:rsidR="0066583A" w:rsidRPr="001A3A85" w:rsidRDefault="0066583A" w:rsidP="004135FE">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2021</w:t>
            </w:r>
          </w:p>
        </w:tc>
        <w:tc>
          <w:tcPr>
            <w:tcW w:w="1983" w:type="dxa"/>
          </w:tcPr>
          <w:p w14:paraId="0D1091BD" w14:textId="77777777" w:rsidR="0066583A" w:rsidRPr="001A3A85" w:rsidRDefault="0066583A" w:rsidP="004135FE">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126 648,08</w:t>
            </w:r>
          </w:p>
        </w:tc>
        <w:tc>
          <w:tcPr>
            <w:tcW w:w="1699" w:type="dxa"/>
          </w:tcPr>
          <w:p w14:paraId="4FB3C5B8" w14:textId="77777777" w:rsidR="0066583A" w:rsidRPr="001A3A85" w:rsidRDefault="0066583A" w:rsidP="004135FE">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126 648,08</w:t>
            </w:r>
          </w:p>
        </w:tc>
        <w:tc>
          <w:tcPr>
            <w:tcW w:w="1985" w:type="dxa"/>
          </w:tcPr>
          <w:p w14:paraId="3EB4F750" w14:textId="77777777" w:rsidR="0066583A" w:rsidRPr="001A3A85" w:rsidRDefault="0066583A" w:rsidP="004135FE">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126 648,08</w:t>
            </w:r>
          </w:p>
        </w:tc>
        <w:tc>
          <w:tcPr>
            <w:tcW w:w="1701" w:type="dxa"/>
          </w:tcPr>
          <w:p w14:paraId="3F809F3D" w14:textId="77777777" w:rsidR="0066583A" w:rsidRPr="001A3A85" w:rsidRDefault="0066583A" w:rsidP="004135FE">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126 648,08</w:t>
            </w:r>
          </w:p>
        </w:tc>
      </w:tr>
      <w:tr w:rsidR="0066583A" w:rsidRPr="001A3A85" w14:paraId="5FE8AAAA" w14:textId="77777777" w:rsidTr="001A3A85">
        <w:tc>
          <w:tcPr>
            <w:tcW w:w="1983" w:type="dxa"/>
          </w:tcPr>
          <w:p w14:paraId="28CD46C9" w14:textId="77777777" w:rsidR="0066583A" w:rsidRPr="001A3A85" w:rsidRDefault="0066583A" w:rsidP="004135FE">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2022</w:t>
            </w:r>
          </w:p>
        </w:tc>
        <w:tc>
          <w:tcPr>
            <w:tcW w:w="1983" w:type="dxa"/>
          </w:tcPr>
          <w:p w14:paraId="66215134" w14:textId="63FF514F" w:rsidR="0066583A" w:rsidRPr="001A3A85" w:rsidRDefault="00077E0F" w:rsidP="004135FE">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Pr>
                <w:rFonts w:ascii="Times New Roman" w:eastAsiaTheme="minorHAnsi" w:hAnsi="Times New Roman" w:cs="Times New Roman"/>
                <w:bCs/>
                <w:sz w:val="24"/>
                <w:szCs w:val="24"/>
                <w:lang w:eastAsia="en-US"/>
              </w:rPr>
              <w:t>-</w:t>
            </w:r>
          </w:p>
        </w:tc>
        <w:tc>
          <w:tcPr>
            <w:tcW w:w="1699" w:type="dxa"/>
          </w:tcPr>
          <w:p w14:paraId="27351CF9" w14:textId="77777777" w:rsidR="0066583A" w:rsidRPr="001A3A85" w:rsidRDefault="0066583A" w:rsidP="004135FE">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134 147,34</w:t>
            </w:r>
          </w:p>
        </w:tc>
        <w:tc>
          <w:tcPr>
            <w:tcW w:w="1985" w:type="dxa"/>
          </w:tcPr>
          <w:p w14:paraId="3BA53135" w14:textId="77777777" w:rsidR="0066583A" w:rsidRPr="001A3A85" w:rsidRDefault="0066583A" w:rsidP="004135FE">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114 213,61</w:t>
            </w:r>
          </w:p>
        </w:tc>
        <w:tc>
          <w:tcPr>
            <w:tcW w:w="1701" w:type="dxa"/>
          </w:tcPr>
          <w:p w14:paraId="4B5D934C" w14:textId="77777777" w:rsidR="0066583A" w:rsidRPr="001A3A85" w:rsidRDefault="0066583A" w:rsidP="004135FE">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154 081,07</w:t>
            </w:r>
          </w:p>
        </w:tc>
      </w:tr>
      <w:tr w:rsidR="0066583A" w:rsidRPr="001A3A85" w14:paraId="0AA7940A" w14:textId="77777777" w:rsidTr="001A3A85">
        <w:tc>
          <w:tcPr>
            <w:tcW w:w="1983" w:type="dxa"/>
          </w:tcPr>
          <w:p w14:paraId="7BE836B6" w14:textId="77777777" w:rsidR="0066583A" w:rsidRPr="001A3A85" w:rsidRDefault="0066583A" w:rsidP="004135FE">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2023</w:t>
            </w:r>
          </w:p>
        </w:tc>
        <w:tc>
          <w:tcPr>
            <w:tcW w:w="1983" w:type="dxa"/>
          </w:tcPr>
          <w:p w14:paraId="1687E718" w14:textId="54DF26AE" w:rsidR="0066583A" w:rsidRPr="001A3A85" w:rsidRDefault="00077E0F" w:rsidP="004135FE">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Pr>
                <w:rFonts w:ascii="Times New Roman" w:eastAsiaTheme="minorHAnsi" w:hAnsi="Times New Roman" w:cs="Times New Roman"/>
                <w:bCs/>
                <w:sz w:val="24"/>
                <w:szCs w:val="24"/>
                <w:lang w:eastAsia="en-US"/>
              </w:rPr>
              <w:t>-</w:t>
            </w:r>
          </w:p>
        </w:tc>
        <w:tc>
          <w:tcPr>
            <w:tcW w:w="1699" w:type="dxa"/>
          </w:tcPr>
          <w:p w14:paraId="76B94AAC" w14:textId="77777777" w:rsidR="0066583A" w:rsidRPr="001A3A85" w:rsidRDefault="0066583A" w:rsidP="004135FE">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151 480,68</w:t>
            </w:r>
          </w:p>
        </w:tc>
        <w:tc>
          <w:tcPr>
            <w:tcW w:w="1985" w:type="dxa"/>
          </w:tcPr>
          <w:p w14:paraId="3D72A936" w14:textId="77777777" w:rsidR="0066583A" w:rsidRPr="001A3A85" w:rsidRDefault="0066583A" w:rsidP="004135FE">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131 445,53</w:t>
            </w:r>
          </w:p>
        </w:tc>
        <w:tc>
          <w:tcPr>
            <w:tcW w:w="1701" w:type="dxa"/>
          </w:tcPr>
          <w:p w14:paraId="72D258DA" w14:textId="77777777" w:rsidR="0066583A" w:rsidRPr="001A3A85" w:rsidRDefault="0066583A" w:rsidP="004135FE">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sidRPr="001A3A85">
              <w:rPr>
                <w:rFonts w:ascii="Times New Roman" w:eastAsia="Times New Roman" w:hAnsi="Times New Roman" w:cs="Times New Roman"/>
                <w:sz w:val="24"/>
                <w:szCs w:val="24"/>
              </w:rPr>
              <w:t>171 515,82</w:t>
            </w:r>
          </w:p>
        </w:tc>
      </w:tr>
    </w:tbl>
    <w:p w14:paraId="59E70C63" w14:textId="77777777" w:rsidR="0066583A" w:rsidRPr="004135FE" w:rsidRDefault="0066583A" w:rsidP="004135FE">
      <w:pPr>
        <w:autoSpaceDE w:val="0"/>
        <w:autoSpaceDN w:val="0"/>
        <w:adjustRightInd w:val="0"/>
        <w:spacing w:after="0" w:line="240" w:lineRule="auto"/>
        <w:jc w:val="both"/>
        <w:rPr>
          <w:rFonts w:ascii="Times New Roman" w:hAnsi="Times New Roman" w:cs="Times New Roman"/>
          <w:sz w:val="28"/>
          <w:szCs w:val="28"/>
        </w:rPr>
      </w:pPr>
    </w:p>
    <w:p w14:paraId="0FD31A1E" w14:textId="77777777" w:rsidR="0066583A" w:rsidRPr="004135FE" w:rsidRDefault="0066583A" w:rsidP="001A3A85">
      <w:pPr>
        <w:autoSpaceDE w:val="0"/>
        <w:autoSpaceDN w:val="0"/>
        <w:adjustRightInd w:val="0"/>
        <w:spacing w:after="0" w:line="240" w:lineRule="auto"/>
        <w:jc w:val="center"/>
        <w:rPr>
          <w:rFonts w:ascii="Times New Roman" w:hAnsi="Times New Roman" w:cs="Times New Roman"/>
          <w:sz w:val="28"/>
          <w:szCs w:val="28"/>
        </w:rPr>
      </w:pPr>
      <w:r w:rsidRPr="004135FE">
        <w:rPr>
          <w:noProof/>
          <w:sz w:val="28"/>
          <w:szCs w:val="28"/>
        </w:rPr>
        <w:drawing>
          <wp:inline distT="0" distB="0" distL="0" distR="0" wp14:anchorId="1B96331E" wp14:editId="40DE700E">
            <wp:extent cx="5734050" cy="2619375"/>
            <wp:effectExtent l="0" t="0" r="0" b="9525"/>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F2AEC68" w14:textId="77777777" w:rsidR="001A3A85" w:rsidRDefault="001A3A85" w:rsidP="001A3A85">
      <w:pPr>
        <w:autoSpaceDE w:val="0"/>
        <w:autoSpaceDN w:val="0"/>
        <w:adjustRightInd w:val="0"/>
        <w:spacing w:after="0" w:line="240" w:lineRule="auto"/>
        <w:ind w:firstLine="708"/>
        <w:jc w:val="center"/>
        <w:rPr>
          <w:rFonts w:ascii="Times New Roman" w:hAnsi="Times New Roman" w:cs="Times New Roman"/>
          <w:sz w:val="28"/>
          <w:szCs w:val="28"/>
        </w:rPr>
      </w:pPr>
    </w:p>
    <w:p w14:paraId="309DB6CF" w14:textId="307DA4E0" w:rsidR="0066583A" w:rsidRPr="004135FE" w:rsidRDefault="0066583A" w:rsidP="001A3A85">
      <w:pPr>
        <w:autoSpaceDE w:val="0"/>
        <w:autoSpaceDN w:val="0"/>
        <w:adjustRightInd w:val="0"/>
        <w:spacing w:after="0" w:line="240" w:lineRule="auto"/>
        <w:ind w:firstLine="708"/>
        <w:jc w:val="center"/>
        <w:rPr>
          <w:rFonts w:ascii="Times New Roman" w:eastAsiaTheme="minorHAnsi" w:hAnsi="Times New Roman" w:cs="Times New Roman"/>
          <w:bCs/>
          <w:sz w:val="28"/>
          <w:szCs w:val="28"/>
          <w:lang w:eastAsia="en-US"/>
        </w:rPr>
      </w:pPr>
      <w:r w:rsidRPr="004135FE">
        <w:rPr>
          <w:rFonts w:ascii="Times New Roman" w:hAnsi="Times New Roman" w:cs="Times New Roman"/>
          <w:sz w:val="28"/>
          <w:szCs w:val="28"/>
        </w:rPr>
        <w:t xml:space="preserve">Рисунок 16 – Прогноз </w:t>
      </w:r>
      <w:r w:rsidRPr="004135FE">
        <w:rPr>
          <w:rFonts w:ascii="Times New Roman" w:eastAsiaTheme="minorHAnsi" w:hAnsi="Times New Roman" w:cs="Times New Roman"/>
          <w:bCs/>
          <w:sz w:val="28"/>
          <w:szCs w:val="28"/>
          <w:lang w:val="kk-KZ" w:eastAsia="en-US"/>
        </w:rPr>
        <w:t>с</w:t>
      </w:r>
      <w:r w:rsidRPr="004135FE">
        <w:rPr>
          <w:rFonts w:ascii="Times New Roman" w:eastAsiaTheme="minorHAnsi" w:hAnsi="Times New Roman" w:cs="Times New Roman"/>
          <w:bCs/>
          <w:sz w:val="28"/>
          <w:szCs w:val="28"/>
          <w:lang w:eastAsia="en-US"/>
        </w:rPr>
        <w:t xml:space="preserve">уммы средств в тенге, затраченных на обеспечение ЛС из расчета на 1 пациента с СД, </w:t>
      </w:r>
      <w:r w:rsidRPr="004135FE">
        <w:rPr>
          <w:rFonts w:ascii="Times New Roman" w:hAnsi="Times New Roman" w:cs="Times New Roman"/>
          <w:sz w:val="28"/>
          <w:szCs w:val="28"/>
        </w:rPr>
        <w:t>с 95% ДИ на среднесрочный период до 2023 г.</w:t>
      </w:r>
    </w:p>
    <w:p w14:paraId="5F3F3D5A" w14:textId="0722082E" w:rsidR="0066583A" w:rsidRPr="004135FE" w:rsidRDefault="0066583A"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 </w:t>
      </w:r>
    </w:p>
    <w:p w14:paraId="4F87ECDD" w14:textId="0CBC331E" w:rsidR="0066583A" w:rsidRPr="004135FE" w:rsidRDefault="0066583A" w:rsidP="004135FE">
      <w:pPr>
        <w:spacing w:after="0" w:line="240" w:lineRule="auto"/>
        <w:ind w:firstLine="708"/>
        <w:jc w:val="both"/>
        <w:rPr>
          <w:rFonts w:ascii="Times New Roman" w:eastAsiaTheme="minorHAnsi" w:hAnsi="Times New Roman" w:cs="Times New Roman"/>
          <w:b/>
          <w:sz w:val="28"/>
          <w:szCs w:val="28"/>
          <w:lang w:eastAsia="en-US"/>
        </w:rPr>
      </w:pPr>
      <w:r w:rsidRPr="004135FE">
        <w:rPr>
          <w:rFonts w:ascii="Times New Roman" w:eastAsiaTheme="minorHAnsi" w:hAnsi="Times New Roman" w:cs="Times New Roman"/>
          <w:bCs/>
          <w:sz w:val="28"/>
          <w:szCs w:val="28"/>
          <w:lang w:eastAsia="en-US"/>
        </w:rPr>
        <w:t>На основании вышеизложенного нами был сделан ряд выводов.</w:t>
      </w:r>
    </w:p>
    <w:p w14:paraId="2C96BB9E" w14:textId="77777777" w:rsidR="0066583A" w:rsidRPr="004135FE" w:rsidRDefault="0066583A"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Комплексная медицинская информационная система для автоматизации лечебно-профилактических учреждений и соответствующие приказы совершенствуют эффективный контроль над расходами в сфере здравоохранения и способствуют стандартизации клинической деятельности, предлагая наименее затратный алгоритм развития персонализированной медицины.</w:t>
      </w:r>
    </w:p>
    <w:p w14:paraId="2DA8745E" w14:textId="7DB50567" w:rsidR="0066583A" w:rsidRPr="004135FE" w:rsidRDefault="0066583A"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eastAsiaTheme="minorHAnsi" w:hAnsi="Times New Roman" w:cs="Times New Roman"/>
          <w:bCs/>
          <w:sz w:val="28"/>
          <w:szCs w:val="28"/>
          <w:lang w:eastAsia="en-US"/>
        </w:rPr>
        <w:t>В 2021</w:t>
      </w:r>
      <w:r w:rsidR="001A3A85">
        <w:rPr>
          <w:rFonts w:ascii="Times New Roman" w:eastAsiaTheme="minorHAnsi" w:hAnsi="Times New Roman" w:cs="Times New Roman"/>
          <w:bCs/>
          <w:sz w:val="28"/>
          <w:szCs w:val="28"/>
          <w:lang w:eastAsia="en-US"/>
        </w:rPr>
        <w:t xml:space="preserve"> </w:t>
      </w:r>
      <w:r w:rsidRPr="004135FE">
        <w:rPr>
          <w:rFonts w:ascii="Times New Roman" w:eastAsiaTheme="minorHAnsi" w:hAnsi="Times New Roman" w:cs="Times New Roman"/>
          <w:bCs/>
          <w:sz w:val="28"/>
          <w:szCs w:val="28"/>
          <w:lang w:eastAsia="en-US"/>
        </w:rPr>
        <w:t>г</w:t>
      </w:r>
      <w:r w:rsidR="001A3A85">
        <w:rPr>
          <w:rFonts w:ascii="Times New Roman" w:eastAsiaTheme="minorHAnsi" w:hAnsi="Times New Roman" w:cs="Times New Roman"/>
          <w:bCs/>
          <w:sz w:val="28"/>
          <w:szCs w:val="28"/>
          <w:lang w:eastAsia="en-US"/>
        </w:rPr>
        <w:t>оду</w:t>
      </w:r>
      <w:r w:rsidRPr="004135FE">
        <w:rPr>
          <w:rFonts w:ascii="Times New Roman" w:eastAsiaTheme="minorHAnsi" w:hAnsi="Times New Roman" w:cs="Times New Roman"/>
          <w:bCs/>
          <w:sz w:val="28"/>
          <w:szCs w:val="28"/>
          <w:lang w:eastAsia="en-US"/>
        </w:rPr>
        <w:t xml:space="preserve"> </w:t>
      </w:r>
      <w:r w:rsidRPr="004135FE">
        <w:rPr>
          <w:rFonts w:ascii="Times New Roman" w:hAnsi="Times New Roman" w:cs="Times New Roman"/>
          <w:bCs/>
          <w:sz w:val="28"/>
          <w:szCs w:val="28"/>
        </w:rPr>
        <w:t>нуждающихся в ЛС по СД</w:t>
      </w:r>
      <w:r w:rsidRPr="004135FE">
        <w:rPr>
          <w:rFonts w:ascii="Times New Roman" w:eastAsiaTheme="minorHAnsi" w:hAnsi="Times New Roman" w:cs="Times New Roman"/>
          <w:bCs/>
          <w:sz w:val="28"/>
          <w:szCs w:val="28"/>
          <w:lang w:eastAsia="en-US"/>
        </w:rPr>
        <w:t xml:space="preserve"> </w:t>
      </w:r>
      <w:r w:rsidRPr="004135FE">
        <w:rPr>
          <w:rFonts w:ascii="Times New Roman" w:hAnsi="Times New Roman" w:cs="Times New Roman"/>
          <w:bCs/>
          <w:sz w:val="28"/>
          <w:szCs w:val="28"/>
        </w:rPr>
        <w:t xml:space="preserve">и обеспеченных составило </w:t>
      </w:r>
      <w:r w:rsidRPr="004135FE">
        <w:rPr>
          <w:rFonts w:ascii="Times New Roman" w:hAnsi="Times New Roman" w:cs="Times New Roman"/>
          <w:sz w:val="28"/>
          <w:szCs w:val="28"/>
        </w:rPr>
        <w:t>38 399</w:t>
      </w:r>
      <w:r w:rsidRPr="004135FE">
        <w:rPr>
          <w:rFonts w:ascii="Times New Roman" w:hAnsi="Times New Roman" w:cs="Times New Roman"/>
          <w:bCs/>
          <w:sz w:val="28"/>
          <w:szCs w:val="28"/>
        </w:rPr>
        <w:t xml:space="preserve"> человек.</w:t>
      </w:r>
    </w:p>
    <w:p w14:paraId="3284F711" w14:textId="014DF2FD" w:rsidR="0066583A" w:rsidRPr="004135FE" w:rsidRDefault="0066583A"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Максимальный прирост, обеспеченных ЛС определена в 2018 году +10 658,00 человек. </w:t>
      </w:r>
      <w:r w:rsidRPr="004135FE">
        <w:rPr>
          <w:rFonts w:ascii="Times New Roman" w:eastAsiaTheme="minorHAnsi" w:hAnsi="Times New Roman" w:cs="Times New Roman"/>
          <w:bCs/>
          <w:sz w:val="28"/>
          <w:szCs w:val="28"/>
          <w:lang w:eastAsia="en-US"/>
        </w:rPr>
        <w:t>В 2019</w:t>
      </w:r>
      <w:r w:rsidR="001A3A85">
        <w:rPr>
          <w:rFonts w:ascii="Times New Roman" w:eastAsiaTheme="minorHAnsi" w:hAnsi="Times New Roman" w:cs="Times New Roman"/>
          <w:bCs/>
          <w:sz w:val="28"/>
          <w:szCs w:val="28"/>
          <w:lang w:eastAsia="en-US"/>
        </w:rPr>
        <w:t xml:space="preserve"> </w:t>
      </w:r>
      <w:r w:rsidRPr="004135FE">
        <w:rPr>
          <w:rFonts w:ascii="Times New Roman" w:eastAsiaTheme="minorHAnsi" w:hAnsi="Times New Roman" w:cs="Times New Roman"/>
          <w:bCs/>
          <w:sz w:val="28"/>
          <w:szCs w:val="28"/>
          <w:lang w:eastAsia="en-US"/>
        </w:rPr>
        <w:t>г</w:t>
      </w:r>
      <w:r w:rsidR="001A3A85">
        <w:rPr>
          <w:rFonts w:ascii="Times New Roman" w:eastAsiaTheme="minorHAnsi" w:hAnsi="Times New Roman" w:cs="Times New Roman"/>
          <w:bCs/>
          <w:sz w:val="28"/>
          <w:szCs w:val="28"/>
          <w:lang w:eastAsia="en-US"/>
        </w:rPr>
        <w:t>оду</w:t>
      </w:r>
      <w:r w:rsidRPr="004135FE">
        <w:rPr>
          <w:rFonts w:ascii="Times New Roman" w:eastAsiaTheme="minorHAnsi" w:hAnsi="Times New Roman" w:cs="Times New Roman"/>
          <w:bCs/>
          <w:sz w:val="28"/>
          <w:szCs w:val="28"/>
          <w:lang w:eastAsia="en-US"/>
        </w:rPr>
        <w:t xml:space="preserve"> абсолютная скорость имела максимальную убыль нуждающихся в ЛС (</w:t>
      </w:r>
      <w:r w:rsidRPr="004135FE">
        <w:rPr>
          <w:rFonts w:ascii="Times New Roman" w:hAnsi="Times New Roman" w:cs="Times New Roman"/>
          <w:sz w:val="28"/>
          <w:szCs w:val="28"/>
        </w:rPr>
        <w:t xml:space="preserve">-8 558 человек). </w:t>
      </w:r>
      <w:r w:rsidRPr="004135FE">
        <w:rPr>
          <w:rFonts w:ascii="Times New Roman" w:eastAsiaTheme="minorHAnsi" w:hAnsi="Times New Roman" w:cs="Times New Roman"/>
          <w:bCs/>
          <w:sz w:val="28"/>
          <w:szCs w:val="28"/>
          <w:lang w:eastAsia="en-US"/>
        </w:rPr>
        <w:t>Средний темп роста</w:t>
      </w:r>
      <w:r w:rsidRPr="004135FE">
        <w:rPr>
          <w:rFonts w:ascii="Times New Roman" w:eastAsiaTheme="minorHAnsi" w:hAnsi="Times New Roman" w:cs="Times New Roman"/>
          <w:b/>
          <w:bCs/>
          <w:sz w:val="28"/>
          <w:szCs w:val="28"/>
          <w:lang w:eastAsia="en-US"/>
        </w:rPr>
        <w:t xml:space="preserve"> </w:t>
      </w:r>
      <w:r w:rsidRPr="004135FE">
        <w:rPr>
          <w:rFonts w:ascii="Times New Roman" w:eastAsiaTheme="minorHAnsi" w:hAnsi="Times New Roman" w:cs="Times New Roman"/>
          <w:bCs/>
          <w:sz w:val="28"/>
          <w:szCs w:val="28"/>
          <w:lang w:eastAsia="en-US"/>
        </w:rPr>
        <w:t xml:space="preserve">за 7 летний период изменился на </w:t>
      </w:r>
      <w:r w:rsidRPr="004135FE">
        <w:rPr>
          <w:rFonts w:ascii="Times New Roman" w:hAnsi="Times New Roman" w:cs="Times New Roman"/>
          <w:sz w:val="28"/>
          <w:szCs w:val="28"/>
        </w:rPr>
        <w:t>110,57%</w:t>
      </w:r>
      <w:r w:rsidRPr="004135FE">
        <w:rPr>
          <w:rFonts w:ascii="Times New Roman" w:eastAsiaTheme="minorHAnsi" w:hAnsi="Times New Roman" w:cs="Times New Roman"/>
          <w:bCs/>
          <w:sz w:val="28"/>
          <w:szCs w:val="28"/>
          <w:lang w:eastAsia="en-US"/>
        </w:rPr>
        <w:t xml:space="preserve">. </w:t>
      </w:r>
    </w:p>
    <w:p w14:paraId="32071481" w14:textId="03227166" w:rsidR="0066583A" w:rsidRPr="004135FE" w:rsidRDefault="0066583A" w:rsidP="004135FE">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135FE">
        <w:rPr>
          <w:rFonts w:ascii="Times New Roman" w:eastAsiaTheme="minorHAnsi" w:hAnsi="Times New Roman" w:cs="Times New Roman"/>
          <w:bCs/>
          <w:sz w:val="28"/>
          <w:szCs w:val="28"/>
          <w:lang w:eastAsia="en-US"/>
        </w:rPr>
        <w:t>С 2015</w:t>
      </w:r>
      <w:r w:rsidR="00E831AF">
        <w:rPr>
          <w:rFonts w:ascii="Times New Roman" w:eastAsiaTheme="minorHAnsi" w:hAnsi="Times New Roman" w:cs="Times New Roman"/>
          <w:bCs/>
          <w:sz w:val="28"/>
          <w:szCs w:val="28"/>
          <w:lang w:eastAsia="en-US"/>
        </w:rPr>
        <w:t xml:space="preserve"> </w:t>
      </w:r>
      <w:r w:rsidRPr="004135FE">
        <w:rPr>
          <w:rFonts w:ascii="Times New Roman" w:eastAsiaTheme="minorHAnsi" w:hAnsi="Times New Roman" w:cs="Times New Roman"/>
          <w:bCs/>
          <w:sz w:val="28"/>
          <w:szCs w:val="28"/>
          <w:lang w:eastAsia="en-US"/>
        </w:rPr>
        <w:t>г</w:t>
      </w:r>
      <w:r w:rsidR="00E831AF">
        <w:rPr>
          <w:rFonts w:ascii="Times New Roman" w:eastAsiaTheme="minorHAnsi" w:hAnsi="Times New Roman" w:cs="Times New Roman"/>
          <w:bCs/>
          <w:sz w:val="28"/>
          <w:szCs w:val="28"/>
          <w:lang w:eastAsia="en-US"/>
        </w:rPr>
        <w:t>ода</w:t>
      </w:r>
      <w:r w:rsidRPr="004135FE">
        <w:rPr>
          <w:rFonts w:ascii="Times New Roman" w:eastAsiaTheme="minorHAnsi" w:hAnsi="Times New Roman" w:cs="Times New Roman"/>
          <w:bCs/>
          <w:sz w:val="28"/>
          <w:szCs w:val="28"/>
          <w:lang w:eastAsia="en-US"/>
        </w:rPr>
        <w:t xml:space="preserve"> по 2021</w:t>
      </w:r>
      <w:r w:rsidR="00E831AF">
        <w:rPr>
          <w:rFonts w:ascii="Times New Roman" w:eastAsiaTheme="minorHAnsi" w:hAnsi="Times New Roman" w:cs="Times New Roman"/>
          <w:bCs/>
          <w:sz w:val="28"/>
          <w:szCs w:val="28"/>
          <w:lang w:eastAsia="en-US"/>
        </w:rPr>
        <w:t xml:space="preserve"> </w:t>
      </w:r>
      <w:r w:rsidRPr="004135FE">
        <w:rPr>
          <w:rFonts w:ascii="Times New Roman" w:eastAsiaTheme="minorHAnsi" w:hAnsi="Times New Roman" w:cs="Times New Roman"/>
          <w:bCs/>
          <w:sz w:val="28"/>
          <w:szCs w:val="28"/>
          <w:lang w:eastAsia="en-US"/>
        </w:rPr>
        <w:t>г</w:t>
      </w:r>
      <w:r w:rsidR="00E831AF">
        <w:rPr>
          <w:rFonts w:ascii="Times New Roman" w:eastAsiaTheme="minorHAnsi" w:hAnsi="Times New Roman" w:cs="Times New Roman"/>
          <w:bCs/>
          <w:sz w:val="28"/>
          <w:szCs w:val="28"/>
          <w:lang w:eastAsia="en-US"/>
        </w:rPr>
        <w:t>од</w:t>
      </w:r>
      <w:r w:rsidRPr="004135FE">
        <w:rPr>
          <w:rFonts w:ascii="Times New Roman" w:eastAsiaTheme="minorHAnsi" w:hAnsi="Times New Roman" w:cs="Times New Roman"/>
          <w:bCs/>
          <w:sz w:val="28"/>
          <w:szCs w:val="28"/>
          <w:lang w:eastAsia="en-US"/>
        </w:rPr>
        <w:t xml:space="preserve"> абсолютный прирост в динамике вырос с </w:t>
      </w:r>
      <w:r w:rsidRPr="004135FE">
        <w:rPr>
          <w:rFonts w:ascii="Times New Roman" w:eastAsia="Times New Roman" w:hAnsi="Times New Roman" w:cs="Times New Roman"/>
          <w:sz w:val="28"/>
          <w:szCs w:val="28"/>
        </w:rPr>
        <w:t>79104,00 до 21297,00 штук обеспеченных рецептов, что в среднем составил 38520,17штук рецептов.</w:t>
      </w:r>
      <w:r w:rsidR="00D244C9" w:rsidRPr="004135FE">
        <w:rPr>
          <w:rFonts w:ascii="Times New Roman" w:eastAsia="Times New Roman" w:hAnsi="Times New Roman" w:cs="Times New Roman"/>
          <w:sz w:val="28"/>
          <w:szCs w:val="28"/>
        </w:rPr>
        <w:t xml:space="preserve"> Максимальный прирост обеспеченных рецептов отмечен в 2017г, что соответствует 104 533шт бланков. </w:t>
      </w:r>
      <w:r w:rsidRPr="004135FE">
        <w:rPr>
          <w:rFonts w:ascii="Times New Roman" w:eastAsiaTheme="minorHAnsi" w:hAnsi="Times New Roman" w:cs="Times New Roman"/>
          <w:bCs/>
          <w:sz w:val="28"/>
          <w:szCs w:val="28"/>
          <w:lang w:eastAsia="en-US"/>
        </w:rPr>
        <w:t>Т</w:t>
      </w:r>
      <w:r w:rsidRPr="004135FE">
        <w:rPr>
          <w:rFonts w:ascii="Times New Roman" w:hAnsi="Times New Roman" w:cs="Times New Roman"/>
          <w:bCs/>
          <w:sz w:val="28"/>
          <w:szCs w:val="28"/>
        </w:rPr>
        <w:t>емп роста в сравнении относительно к 2021 году</w:t>
      </w:r>
      <w:r w:rsidRPr="004135FE">
        <w:rPr>
          <w:rFonts w:ascii="Times New Roman" w:eastAsiaTheme="minorHAnsi" w:hAnsi="Times New Roman" w:cs="Times New Roman"/>
          <w:bCs/>
          <w:sz w:val="28"/>
          <w:szCs w:val="28"/>
          <w:lang w:eastAsia="en-US"/>
        </w:rPr>
        <w:t xml:space="preserve"> в среднем составил (</w:t>
      </w:r>
      <w:r w:rsidRPr="004135FE">
        <w:rPr>
          <w:rFonts w:ascii="Times New Roman" w:eastAsia="Times New Roman" w:hAnsi="Times New Roman" w:cs="Times New Roman"/>
          <w:sz w:val="28"/>
          <w:szCs w:val="28"/>
        </w:rPr>
        <w:t xml:space="preserve">-98,85%). </w:t>
      </w:r>
    </w:p>
    <w:p w14:paraId="54AA5DB9" w14:textId="77777777" w:rsidR="0066583A" w:rsidRPr="004135FE" w:rsidRDefault="0066583A"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Согласно проведенному прогнозу </w:t>
      </w:r>
      <w:r w:rsidRPr="004135FE">
        <w:rPr>
          <w:rFonts w:ascii="Times New Roman" w:hAnsi="Times New Roman" w:cs="Times New Roman"/>
          <w:bCs/>
          <w:sz w:val="28"/>
          <w:szCs w:val="28"/>
        </w:rPr>
        <w:t xml:space="preserve">стоимости </w:t>
      </w:r>
      <w:r w:rsidRPr="004135FE">
        <w:rPr>
          <w:rFonts w:ascii="Times New Roman" w:eastAsiaTheme="minorHAnsi" w:hAnsi="Times New Roman" w:cs="Times New Roman"/>
          <w:bCs/>
          <w:sz w:val="28"/>
          <w:szCs w:val="28"/>
          <w:lang w:eastAsia="en-US"/>
        </w:rPr>
        <w:t xml:space="preserve">обеспеченных </w:t>
      </w:r>
      <w:r w:rsidRPr="004135FE">
        <w:rPr>
          <w:rFonts w:ascii="Times New Roman" w:hAnsi="Times New Roman" w:cs="Times New Roman"/>
          <w:bCs/>
          <w:sz w:val="28"/>
          <w:szCs w:val="28"/>
        </w:rPr>
        <w:t>ЛС по рецептам по</w:t>
      </w:r>
      <w:r w:rsidRPr="004135FE">
        <w:rPr>
          <w:rFonts w:ascii="Times New Roman" w:hAnsi="Times New Roman" w:cs="Times New Roman"/>
          <w:sz w:val="28"/>
          <w:szCs w:val="28"/>
        </w:rPr>
        <w:t xml:space="preserve"> СД </w:t>
      </w:r>
      <w:r w:rsidRPr="004135FE">
        <w:rPr>
          <w:rFonts w:ascii="Times New Roman" w:hAnsi="Times New Roman" w:cs="Times New Roman"/>
          <w:noProof/>
          <w:sz w:val="28"/>
          <w:szCs w:val="28"/>
        </w:rPr>
        <w:t xml:space="preserve">ожидается дальнейшее увеличение суммы обеспеченных ЛС по рецептам с </w:t>
      </w:r>
      <w:r w:rsidRPr="004135FE">
        <w:rPr>
          <w:rFonts w:ascii="Times New Roman" w:eastAsia="Times New Roman" w:hAnsi="Times New Roman" w:cs="Times New Roman"/>
          <w:sz w:val="28"/>
          <w:szCs w:val="28"/>
        </w:rPr>
        <w:t>5 341 889 235,14 тенге</w:t>
      </w:r>
      <w:r w:rsidRPr="004135FE">
        <w:rPr>
          <w:rFonts w:ascii="Times New Roman" w:hAnsi="Times New Roman" w:cs="Times New Roman"/>
          <w:noProof/>
          <w:sz w:val="28"/>
          <w:szCs w:val="28"/>
        </w:rPr>
        <w:t xml:space="preserve"> </w:t>
      </w:r>
      <w:r w:rsidRPr="004135FE">
        <w:rPr>
          <w:rFonts w:ascii="Times New Roman" w:eastAsia="Times New Roman" w:hAnsi="Times New Roman" w:cs="Times New Roman"/>
          <w:sz w:val="28"/>
          <w:szCs w:val="28"/>
        </w:rPr>
        <w:t>до 6 204 762 566,38 тенге с ДИ (5 120 536 045,04; 7 288 989 087,73)</w:t>
      </w:r>
      <w:r w:rsidRPr="004135FE">
        <w:rPr>
          <w:rFonts w:ascii="Times New Roman" w:eastAsiaTheme="minorHAnsi" w:hAnsi="Times New Roman" w:cs="Times New Roman"/>
          <w:bCs/>
          <w:sz w:val="28"/>
          <w:szCs w:val="28"/>
          <w:lang w:val="kk-KZ" w:eastAsia="en-US"/>
        </w:rPr>
        <w:t xml:space="preserve"> тенге</w:t>
      </w:r>
      <w:r w:rsidRPr="004135FE">
        <w:rPr>
          <w:rFonts w:ascii="Times New Roman" w:hAnsi="Times New Roman" w:cs="Times New Roman"/>
          <w:sz w:val="28"/>
          <w:szCs w:val="28"/>
        </w:rPr>
        <w:t xml:space="preserve"> (р=0,001) статистически значимы. </w:t>
      </w:r>
      <w:r w:rsidRPr="004135FE">
        <w:rPr>
          <w:rFonts w:ascii="Times New Roman" w:eastAsiaTheme="minorHAnsi" w:hAnsi="Times New Roman" w:cs="Times New Roman"/>
          <w:sz w:val="28"/>
          <w:szCs w:val="28"/>
          <w:lang w:eastAsia="en-US"/>
        </w:rPr>
        <w:t xml:space="preserve">Согласно прогнозированию </w:t>
      </w:r>
      <w:r w:rsidRPr="004135FE">
        <w:rPr>
          <w:rFonts w:ascii="Times New Roman" w:hAnsi="Times New Roman" w:cs="Times New Roman"/>
          <w:bCs/>
          <w:sz w:val="28"/>
          <w:szCs w:val="28"/>
        </w:rPr>
        <w:t>стоимости,</w:t>
      </w:r>
      <w:r w:rsidRPr="004135FE">
        <w:rPr>
          <w:rFonts w:ascii="Times New Roman" w:hAnsi="Times New Roman" w:cs="Times New Roman"/>
          <w:b/>
          <w:bCs/>
          <w:sz w:val="28"/>
          <w:szCs w:val="28"/>
        </w:rPr>
        <w:t xml:space="preserve"> </w:t>
      </w:r>
      <w:r w:rsidRPr="004135FE">
        <w:rPr>
          <w:rFonts w:ascii="Times New Roman" w:hAnsi="Times New Roman" w:cs="Times New Roman"/>
          <w:bCs/>
          <w:sz w:val="28"/>
          <w:szCs w:val="28"/>
        </w:rPr>
        <w:t xml:space="preserve">закупленных ЛС </w:t>
      </w:r>
      <w:r w:rsidRPr="004135FE">
        <w:rPr>
          <w:rFonts w:ascii="Times New Roman" w:eastAsiaTheme="minorHAnsi" w:hAnsi="Times New Roman" w:cs="Times New Roman"/>
          <w:bCs/>
          <w:sz w:val="28"/>
          <w:szCs w:val="28"/>
          <w:lang w:val="kk-KZ" w:eastAsia="en-US"/>
        </w:rPr>
        <w:t>в тенге</w:t>
      </w:r>
      <w:r w:rsidRPr="004135FE">
        <w:rPr>
          <w:rFonts w:ascii="Times New Roman" w:hAnsi="Times New Roman" w:cs="Times New Roman"/>
          <w:bCs/>
          <w:sz w:val="28"/>
          <w:szCs w:val="28"/>
        </w:rPr>
        <w:t xml:space="preserve"> (на 1 пациента </w:t>
      </w:r>
      <w:r w:rsidRPr="004135FE">
        <w:rPr>
          <w:rFonts w:ascii="Times New Roman" w:eastAsiaTheme="minorHAnsi" w:hAnsi="Times New Roman" w:cs="Times New Roman"/>
          <w:bCs/>
          <w:sz w:val="28"/>
          <w:szCs w:val="28"/>
          <w:lang w:eastAsia="en-US"/>
        </w:rPr>
        <w:t>по СД по г.Алматы</w:t>
      </w:r>
      <w:r w:rsidRPr="004135FE">
        <w:rPr>
          <w:rFonts w:ascii="Times New Roman" w:eastAsiaTheme="minorHAnsi" w:hAnsi="Times New Roman" w:cs="Times New Roman"/>
          <w:bCs/>
          <w:sz w:val="28"/>
          <w:szCs w:val="28"/>
          <w:lang w:val="kk-KZ" w:eastAsia="en-US"/>
        </w:rPr>
        <w:t>)</w:t>
      </w:r>
      <w:r w:rsidRPr="004135FE">
        <w:rPr>
          <w:rFonts w:ascii="Times New Roman" w:eastAsiaTheme="minorHAnsi" w:hAnsi="Times New Roman" w:cs="Times New Roman"/>
          <w:sz w:val="28"/>
          <w:szCs w:val="28"/>
          <w:lang w:eastAsia="en-US"/>
        </w:rPr>
        <w:t xml:space="preserve"> </w:t>
      </w:r>
      <w:r w:rsidRPr="004135FE">
        <w:rPr>
          <w:rFonts w:ascii="Times New Roman" w:eastAsia="Times New Roman" w:hAnsi="Times New Roman" w:cs="Times New Roman"/>
          <w:sz w:val="28"/>
          <w:szCs w:val="28"/>
        </w:rPr>
        <w:t xml:space="preserve">ожидается дальнейшее увеличение суммы </w:t>
      </w:r>
      <w:r w:rsidRPr="004135FE">
        <w:rPr>
          <w:rFonts w:ascii="Times New Roman" w:eastAsiaTheme="minorHAnsi" w:hAnsi="Times New Roman" w:cs="Times New Roman"/>
          <w:sz w:val="28"/>
          <w:szCs w:val="28"/>
          <w:lang w:eastAsia="en-US"/>
        </w:rPr>
        <w:t xml:space="preserve">с </w:t>
      </w:r>
      <w:r w:rsidRPr="004135FE">
        <w:rPr>
          <w:rFonts w:ascii="Times New Roman" w:eastAsia="Times New Roman" w:hAnsi="Times New Roman" w:cs="Times New Roman"/>
          <w:sz w:val="28"/>
          <w:szCs w:val="28"/>
        </w:rPr>
        <w:t xml:space="preserve">126 648,08 до 151 480,68 с ДИ (131 445,53; 171 515,82) </w:t>
      </w:r>
      <w:r w:rsidRPr="004135FE">
        <w:rPr>
          <w:rFonts w:ascii="Times New Roman" w:eastAsiaTheme="minorHAnsi" w:hAnsi="Times New Roman" w:cs="Times New Roman"/>
          <w:bCs/>
          <w:sz w:val="28"/>
          <w:szCs w:val="28"/>
          <w:lang w:val="kk-KZ" w:eastAsia="en-US"/>
        </w:rPr>
        <w:t>тенге</w:t>
      </w:r>
      <w:r w:rsidRPr="004135FE">
        <w:rPr>
          <w:rFonts w:ascii="Times New Roman" w:eastAsia="Times New Roman" w:hAnsi="Times New Roman" w:cs="Times New Roman"/>
          <w:sz w:val="28"/>
          <w:szCs w:val="28"/>
        </w:rPr>
        <w:t xml:space="preserve"> </w:t>
      </w:r>
      <w:r w:rsidRPr="004135FE">
        <w:rPr>
          <w:rFonts w:ascii="Times New Roman" w:hAnsi="Times New Roman" w:cs="Times New Roman"/>
          <w:sz w:val="28"/>
          <w:szCs w:val="28"/>
        </w:rPr>
        <w:t>(р=0,001) статистически значимы</w:t>
      </w:r>
      <w:r w:rsidRPr="004135FE">
        <w:rPr>
          <w:rFonts w:ascii="Times New Roman" w:eastAsia="Times New Roman" w:hAnsi="Times New Roman" w:cs="Times New Roman"/>
          <w:sz w:val="28"/>
          <w:szCs w:val="28"/>
        </w:rPr>
        <w:t>.</w:t>
      </w:r>
    </w:p>
    <w:p w14:paraId="48FFBE37" w14:textId="77777777" w:rsidR="006050C4" w:rsidRPr="004135FE" w:rsidRDefault="006050C4" w:rsidP="004135FE">
      <w:pPr>
        <w:autoSpaceDE w:val="0"/>
        <w:autoSpaceDN w:val="0"/>
        <w:adjustRightInd w:val="0"/>
        <w:spacing w:after="0" w:line="240" w:lineRule="auto"/>
        <w:jc w:val="both"/>
        <w:rPr>
          <w:rFonts w:ascii="Times New Roman" w:eastAsiaTheme="minorHAnsi" w:hAnsi="Times New Roman" w:cs="Times New Roman"/>
          <w:b/>
          <w:bCs/>
          <w:sz w:val="28"/>
          <w:szCs w:val="28"/>
          <w:lang w:eastAsia="en-US"/>
        </w:rPr>
      </w:pPr>
    </w:p>
    <w:p w14:paraId="3A2BB741" w14:textId="77777777" w:rsidR="00E831AF" w:rsidRDefault="00E831AF" w:rsidP="00E831AF">
      <w:pPr>
        <w:autoSpaceDE w:val="0"/>
        <w:autoSpaceDN w:val="0"/>
        <w:adjustRightInd w:val="0"/>
        <w:spacing w:after="0" w:line="240" w:lineRule="auto"/>
        <w:ind w:firstLine="709"/>
        <w:jc w:val="both"/>
        <w:rPr>
          <w:rFonts w:ascii="Times New Roman" w:eastAsiaTheme="minorHAnsi" w:hAnsi="Times New Roman" w:cs="Times New Roman"/>
          <w:b/>
          <w:bCs/>
          <w:sz w:val="28"/>
          <w:szCs w:val="28"/>
          <w:lang w:eastAsia="en-US"/>
        </w:rPr>
      </w:pPr>
      <w:r>
        <w:rPr>
          <w:rFonts w:ascii="Times New Roman" w:eastAsiaTheme="minorHAnsi" w:hAnsi="Times New Roman" w:cs="Times New Roman"/>
          <w:b/>
          <w:bCs/>
          <w:sz w:val="28"/>
          <w:szCs w:val="28"/>
          <w:lang w:eastAsia="en-US"/>
        </w:rPr>
        <w:lastRenderedPageBreak/>
        <w:t>Выводы по разделу 3</w:t>
      </w:r>
    </w:p>
    <w:p w14:paraId="26DA5947" w14:textId="7D1A53F3" w:rsidR="0066583A" w:rsidRPr="004135FE" w:rsidRDefault="0066583A" w:rsidP="00E831AF">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Первичная заболеваемость по г.Алматы с 2012г по 2021 г выросла с 2508 человек до 5063человек (вырос с 180,27 до 237,57 </w:t>
      </w:r>
      <w:r w:rsidRPr="004135FE">
        <w:rPr>
          <w:rFonts w:ascii="Times New Roman" w:eastAsia="Times New Roman" w:hAnsi="Times New Roman" w:cs="Times New Roman"/>
          <w:sz w:val="28"/>
          <w:szCs w:val="28"/>
        </w:rPr>
        <w:t>случаев на 100 тыс. населения), р</w:t>
      </w:r>
      <w:r w:rsidRPr="004135FE">
        <w:rPr>
          <w:rFonts w:ascii="Times New Roman" w:hAnsi="Times New Roman" w:cs="Times New Roman"/>
          <w:sz w:val="28"/>
          <w:szCs w:val="28"/>
        </w:rPr>
        <w:t xml:space="preserve">аспространенность СД2т по г.Алматы с 2012г по 2021 г выросла с </w:t>
      </w:r>
      <w:r w:rsidRPr="004135FE">
        <w:rPr>
          <w:rFonts w:ascii="Times New Roman" w:eastAsia="Times New Roman" w:hAnsi="Times New Roman" w:cs="Times New Roman"/>
          <w:sz w:val="28"/>
          <w:szCs w:val="28"/>
        </w:rPr>
        <w:t>23025</w:t>
      </w:r>
      <w:r w:rsidRPr="004135FE">
        <w:rPr>
          <w:rFonts w:ascii="Times New Roman" w:hAnsi="Times New Roman" w:cs="Times New Roman"/>
          <w:sz w:val="28"/>
          <w:szCs w:val="28"/>
        </w:rPr>
        <w:t xml:space="preserve"> человек до </w:t>
      </w:r>
      <w:r w:rsidRPr="004135FE">
        <w:rPr>
          <w:rFonts w:ascii="Times New Roman" w:eastAsia="Times New Roman" w:hAnsi="Times New Roman" w:cs="Times New Roman"/>
          <w:sz w:val="28"/>
          <w:szCs w:val="28"/>
        </w:rPr>
        <w:t xml:space="preserve">44728 </w:t>
      </w:r>
      <w:r w:rsidRPr="004135FE">
        <w:rPr>
          <w:rFonts w:ascii="Times New Roman" w:hAnsi="Times New Roman" w:cs="Times New Roman"/>
          <w:sz w:val="28"/>
          <w:szCs w:val="28"/>
        </w:rPr>
        <w:t xml:space="preserve">человек (вырос с </w:t>
      </w:r>
      <w:r w:rsidRPr="004135FE">
        <w:rPr>
          <w:rFonts w:ascii="Times New Roman" w:eastAsia="Times New Roman" w:hAnsi="Times New Roman" w:cs="Times New Roman"/>
          <w:sz w:val="28"/>
          <w:szCs w:val="28"/>
        </w:rPr>
        <w:t xml:space="preserve">1654,95 </w:t>
      </w:r>
      <w:r w:rsidRPr="004135FE">
        <w:rPr>
          <w:rFonts w:ascii="Times New Roman" w:hAnsi="Times New Roman" w:cs="Times New Roman"/>
          <w:sz w:val="28"/>
          <w:szCs w:val="28"/>
        </w:rPr>
        <w:t xml:space="preserve">до </w:t>
      </w:r>
      <w:r w:rsidRPr="004135FE">
        <w:rPr>
          <w:rFonts w:ascii="Times New Roman" w:eastAsia="Times New Roman" w:hAnsi="Times New Roman" w:cs="Times New Roman"/>
          <w:sz w:val="28"/>
          <w:szCs w:val="28"/>
        </w:rPr>
        <w:t>2098,79 случаев на 100 тыс. нас.)</w:t>
      </w:r>
    </w:p>
    <w:p w14:paraId="219FAED2" w14:textId="77777777" w:rsidR="0066583A" w:rsidRPr="004135FE" w:rsidRDefault="0066583A" w:rsidP="004135FE">
      <w:pPr>
        <w:spacing w:after="0" w:line="240" w:lineRule="auto"/>
        <w:ind w:firstLine="567"/>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Динамический ряд </w:t>
      </w:r>
      <w:r w:rsidRPr="004135FE">
        <w:rPr>
          <w:rFonts w:ascii="Times New Roman" w:eastAsiaTheme="minorHAnsi" w:hAnsi="Times New Roman" w:cs="Times New Roman"/>
          <w:bCs/>
          <w:sz w:val="28"/>
          <w:szCs w:val="28"/>
          <w:lang w:eastAsia="en-US"/>
        </w:rPr>
        <w:t>СД2т по г.Алматы за 10лет выявил, что абсолютная скорость изменения ряда динамики в сторону</w:t>
      </w:r>
      <w:r w:rsidRPr="004135FE">
        <w:rPr>
          <w:rFonts w:ascii="Times New Roman" w:eastAsia="Times New Roman" w:hAnsi="Times New Roman" w:cs="Times New Roman"/>
          <w:bCs/>
          <w:sz w:val="28"/>
          <w:szCs w:val="28"/>
        </w:rPr>
        <w:t xml:space="preserve"> роста. Во всех районах в 2019г, 2020г, 2021г в динамике отмечаются резкие изменения роста и убыли. Н</w:t>
      </w:r>
      <w:r w:rsidRPr="004135FE">
        <w:rPr>
          <w:rFonts w:ascii="Times New Roman" w:eastAsia="Times New Roman" w:hAnsi="Times New Roman" w:cs="Times New Roman"/>
          <w:sz w:val="28"/>
          <w:szCs w:val="28"/>
        </w:rPr>
        <w:t xml:space="preserve">аибольший убыль (-152,00) был в 2019г в Жетысуском районе, но к 2021г наибольший абсолютный рост первичной заболеваемости СД2т выявлен так же в этом районе 339,00случаев. Наибольший </w:t>
      </w:r>
      <w:r w:rsidRPr="004135FE">
        <w:rPr>
          <w:rFonts w:ascii="Times New Roman" w:eastAsia="Times New Roman" w:hAnsi="Times New Roman" w:cs="Times New Roman"/>
          <w:bCs/>
          <w:sz w:val="28"/>
          <w:szCs w:val="28"/>
        </w:rPr>
        <w:t xml:space="preserve">абсолютный прирост распространенности </w:t>
      </w:r>
      <w:r w:rsidRPr="004135FE">
        <w:rPr>
          <w:rFonts w:ascii="Times New Roman" w:eastAsiaTheme="minorHAnsi" w:hAnsi="Times New Roman" w:cs="Times New Roman"/>
          <w:bCs/>
          <w:sz w:val="28"/>
          <w:szCs w:val="28"/>
          <w:lang w:eastAsia="en-US"/>
        </w:rPr>
        <w:t xml:space="preserve">СД 2типа </w:t>
      </w:r>
      <w:r w:rsidRPr="004135FE">
        <w:rPr>
          <w:rFonts w:ascii="Times New Roman" w:eastAsia="Times New Roman" w:hAnsi="Times New Roman" w:cs="Times New Roman"/>
          <w:bCs/>
          <w:sz w:val="28"/>
          <w:szCs w:val="28"/>
        </w:rPr>
        <w:t>в 2019г 873 случаев в</w:t>
      </w:r>
      <w:r w:rsidRPr="004135FE">
        <w:rPr>
          <w:rFonts w:ascii="Times New Roman" w:eastAsia="Times New Roman" w:hAnsi="Times New Roman" w:cs="Times New Roman"/>
          <w:sz w:val="28"/>
          <w:szCs w:val="28"/>
        </w:rPr>
        <w:t xml:space="preserve"> Бостандыкском районе</w:t>
      </w:r>
      <w:r w:rsidRPr="004135FE">
        <w:rPr>
          <w:rFonts w:ascii="Times New Roman" w:eastAsia="Times New Roman" w:hAnsi="Times New Roman" w:cs="Times New Roman"/>
          <w:bCs/>
          <w:sz w:val="28"/>
          <w:szCs w:val="28"/>
        </w:rPr>
        <w:t xml:space="preserve">, в 2020г и 2021г резкое снижение роста до </w:t>
      </w:r>
      <w:r w:rsidRPr="004135FE">
        <w:rPr>
          <w:rFonts w:ascii="Times New Roman" w:eastAsia="Times New Roman" w:hAnsi="Times New Roman" w:cs="Times New Roman"/>
          <w:sz w:val="28"/>
          <w:szCs w:val="28"/>
        </w:rPr>
        <w:t>260,00</w:t>
      </w:r>
      <w:r w:rsidRPr="004135FE">
        <w:rPr>
          <w:rFonts w:ascii="Times New Roman" w:eastAsia="Times New Roman" w:hAnsi="Times New Roman" w:cs="Times New Roman"/>
          <w:bCs/>
          <w:sz w:val="28"/>
          <w:szCs w:val="28"/>
        </w:rPr>
        <w:t xml:space="preserve"> и </w:t>
      </w:r>
      <w:r w:rsidRPr="004135FE">
        <w:rPr>
          <w:rFonts w:ascii="Times New Roman" w:eastAsia="Times New Roman" w:hAnsi="Times New Roman" w:cs="Times New Roman"/>
          <w:sz w:val="28"/>
          <w:szCs w:val="28"/>
        </w:rPr>
        <w:t xml:space="preserve">313,00 случаев (период обострения </w:t>
      </w:r>
      <w:r w:rsidRPr="004135FE">
        <w:rPr>
          <w:rFonts w:ascii="Times New Roman" w:eastAsia="Times New Roman" w:hAnsi="Times New Roman" w:cs="Times New Roman"/>
          <w:sz w:val="28"/>
          <w:szCs w:val="28"/>
          <w:lang w:val="en-US"/>
        </w:rPr>
        <w:t>Covid</w:t>
      </w:r>
      <w:r w:rsidRPr="004135FE">
        <w:rPr>
          <w:rFonts w:ascii="Times New Roman" w:eastAsia="Times New Roman" w:hAnsi="Times New Roman" w:cs="Times New Roman"/>
          <w:sz w:val="28"/>
          <w:szCs w:val="28"/>
        </w:rPr>
        <w:t xml:space="preserve">-19)  </w:t>
      </w:r>
    </w:p>
    <w:p w14:paraId="06026058" w14:textId="77777777" w:rsidR="0066583A" w:rsidRPr="004135FE" w:rsidRDefault="0066583A" w:rsidP="004135FE">
      <w:pPr>
        <w:spacing w:after="0" w:line="240" w:lineRule="auto"/>
        <w:ind w:firstLine="567"/>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СД2т</w:t>
      </w:r>
      <w:r w:rsidRPr="004135FE">
        <w:rPr>
          <w:rFonts w:ascii="Times New Roman" w:eastAsiaTheme="minorHAnsi" w:hAnsi="Times New Roman" w:cs="Times New Roman"/>
          <w:sz w:val="28"/>
          <w:szCs w:val="28"/>
          <w:lang w:eastAsia="en-US"/>
        </w:rPr>
        <w:t xml:space="preserve"> молодеет, было установлено распространенность среди детей начиная с рождения. </w:t>
      </w:r>
      <w:r w:rsidRPr="004135FE">
        <w:rPr>
          <w:rFonts w:ascii="Times New Roman" w:eastAsia="Times New Roman" w:hAnsi="Times New Roman" w:cs="Times New Roman"/>
          <w:sz w:val="28"/>
          <w:szCs w:val="28"/>
        </w:rPr>
        <w:t>97,67% всего СД2т зафиксирован от 40 лет. Самые высокие половые различия в группе старше 70 лет, мужчины 24,08% женщины 75,92%.</w:t>
      </w:r>
    </w:p>
    <w:p w14:paraId="2436D056" w14:textId="77777777" w:rsidR="0066583A" w:rsidRPr="004135FE" w:rsidRDefault="0066583A" w:rsidP="004135FE">
      <w:pPr>
        <w:spacing w:after="0" w:line="240" w:lineRule="auto"/>
        <w:ind w:firstLine="567"/>
        <w:jc w:val="both"/>
        <w:rPr>
          <w:rFonts w:ascii="Times New Roman" w:eastAsia="Times New Roman" w:hAnsi="Times New Roman" w:cs="Times New Roman"/>
          <w:sz w:val="28"/>
          <w:szCs w:val="28"/>
        </w:rPr>
      </w:pPr>
      <w:r w:rsidRPr="004135FE">
        <w:rPr>
          <w:rFonts w:ascii="Times New Roman" w:eastAsiaTheme="minorHAnsi" w:hAnsi="Times New Roman" w:cs="Times New Roman"/>
          <w:sz w:val="28"/>
          <w:szCs w:val="28"/>
          <w:lang w:eastAsia="en-US"/>
        </w:rPr>
        <w:t xml:space="preserve">За 10лет </w:t>
      </w:r>
      <w:r w:rsidRPr="004135FE">
        <w:rPr>
          <w:rFonts w:ascii="Times New Roman" w:eastAsia="Times New Roman" w:hAnsi="Times New Roman" w:cs="Times New Roman"/>
          <w:sz w:val="28"/>
          <w:szCs w:val="28"/>
        </w:rPr>
        <w:t xml:space="preserve">наибольшая первичная заболеваемость и </w:t>
      </w:r>
      <w:r w:rsidRPr="004135FE">
        <w:rPr>
          <w:rFonts w:ascii="Times New Roman" w:eastAsiaTheme="minorHAnsi" w:hAnsi="Times New Roman" w:cs="Times New Roman"/>
          <w:sz w:val="28"/>
          <w:szCs w:val="28"/>
          <w:lang w:eastAsia="en-US"/>
        </w:rPr>
        <w:t>распространенность СД2т</w:t>
      </w:r>
      <w:r w:rsidRPr="004135FE">
        <w:rPr>
          <w:rFonts w:ascii="Times New Roman" w:eastAsia="Times New Roman" w:hAnsi="Times New Roman" w:cs="Times New Roman"/>
          <w:sz w:val="28"/>
          <w:szCs w:val="28"/>
        </w:rPr>
        <w:t xml:space="preserve"> зарегистрирована в Жетысуском районе, нестандартизованный </w:t>
      </w:r>
      <w:r w:rsidRPr="004135FE">
        <w:rPr>
          <w:rFonts w:ascii="Times New Roman" w:hAnsi="Times New Roman" w:cs="Times New Roman"/>
          <w:sz w:val="28"/>
          <w:szCs w:val="28"/>
        </w:rPr>
        <w:t>28,31 при расчете на 1000 человек, п</w:t>
      </w:r>
      <w:r w:rsidRPr="004135FE">
        <w:rPr>
          <w:rFonts w:ascii="Times New Roman" w:eastAsia="TimesNewRomanPSMT" w:hAnsi="Times New Roman" w:cs="Times New Roman"/>
          <w:sz w:val="28"/>
          <w:szCs w:val="28"/>
          <w:lang w:eastAsia="en-US"/>
        </w:rPr>
        <w:t>осле прямой стандартизации</w:t>
      </w:r>
      <w:r w:rsidRPr="004135FE">
        <w:rPr>
          <w:rFonts w:ascii="Times New Roman" w:hAnsi="Times New Roman" w:cs="Times New Roman"/>
          <w:sz w:val="28"/>
          <w:szCs w:val="28"/>
        </w:rPr>
        <w:t xml:space="preserve"> 29,16 при расчете на 1000 человек</w:t>
      </w:r>
      <w:r w:rsidRPr="004135FE">
        <w:rPr>
          <w:rFonts w:ascii="Times New Roman" w:eastAsia="Times New Roman" w:hAnsi="Times New Roman" w:cs="Times New Roman"/>
          <w:sz w:val="28"/>
          <w:szCs w:val="28"/>
        </w:rPr>
        <w:t>.</w:t>
      </w:r>
    </w:p>
    <w:p w14:paraId="32C8B162" w14:textId="43D58A82" w:rsidR="00A42E92" w:rsidRPr="004135FE" w:rsidRDefault="00A42E92" w:rsidP="004135FE">
      <w:pPr>
        <w:spacing w:after="0" w:line="240" w:lineRule="auto"/>
        <w:ind w:firstLine="567"/>
        <w:jc w:val="both"/>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 xml:space="preserve">Согласно прогнозу, составленный на следующие 2 </w:t>
      </w:r>
      <w:r w:rsidR="00BF2F9D" w:rsidRPr="004135FE">
        <w:rPr>
          <w:rFonts w:ascii="Times New Roman" w:eastAsiaTheme="minorHAnsi" w:hAnsi="Times New Roman" w:cs="Times New Roman"/>
          <w:sz w:val="28"/>
          <w:szCs w:val="28"/>
          <w:lang w:eastAsia="en-US"/>
        </w:rPr>
        <w:t>периода,</w:t>
      </w:r>
      <w:r w:rsidR="00D244C9" w:rsidRPr="004135FE">
        <w:rPr>
          <w:rFonts w:ascii="Times New Roman" w:eastAsia="Times New Roman" w:hAnsi="Times New Roman" w:cs="Times New Roman"/>
          <w:sz w:val="28"/>
          <w:szCs w:val="28"/>
        </w:rPr>
        <w:t xml:space="preserve"> </w:t>
      </w:r>
      <w:r w:rsidR="00E85973" w:rsidRPr="004135FE">
        <w:rPr>
          <w:rFonts w:ascii="Times New Roman" w:eastAsia="Times New Roman" w:hAnsi="Times New Roman" w:cs="Times New Roman"/>
          <w:sz w:val="28"/>
          <w:szCs w:val="28"/>
        </w:rPr>
        <w:t>рассчитанный</w:t>
      </w:r>
      <w:r w:rsidR="00D244C9" w:rsidRPr="004135FE">
        <w:rPr>
          <w:rFonts w:ascii="Times New Roman" w:eastAsia="Times New Roman" w:hAnsi="Times New Roman" w:cs="Times New Roman"/>
          <w:sz w:val="28"/>
          <w:szCs w:val="28"/>
        </w:rPr>
        <w:t xml:space="preserve"> на 100 000 нас</w:t>
      </w:r>
      <w:r w:rsidRPr="004135FE">
        <w:rPr>
          <w:rFonts w:ascii="Times New Roman" w:eastAsiaTheme="minorHAnsi" w:hAnsi="Times New Roman" w:cs="Times New Roman"/>
          <w:sz w:val="28"/>
          <w:szCs w:val="28"/>
          <w:lang w:eastAsia="en-US"/>
        </w:rPr>
        <w:t>,</w:t>
      </w:r>
      <w:r w:rsidR="00593A1C" w:rsidRPr="004135FE">
        <w:rPr>
          <w:rFonts w:ascii="Times New Roman" w:eastAsiaTheme="minorHAnsi" w:hAnsi="Times New Roman" w:cs="Times New Roman"/>
          <w:sz w:val="28"/>
          <w:szCs w:val="28"/>
          <w:lang w:eastAsia="en-US"/>
        </w:rPr>
        <w:t xml:space="preserve"> к 2023г</w:t>
      </w:r>
      <w:r w:rsidRPr="004135FE">
        <w:rPr>
          <w:rFonts w:ascii="Times New Roman" w:eastAsiaTheme="minorHAnsi" w:hAnsi="Times New Roman" w:cs="Times New Roman"/>
          <w:sz w:val="28"/>
          <w:szCs w:val="28"/>
          <w:lang w:eastAsia="en-US"/>
        </w:rPr>
        <w:t xml:space="preserve"> ожидается дальнейшее увеличение уровня распространенности СД2т </w:t>
      </w:r>
      <w:r w:rsidRPr="004135FE">
        <w:rPr>
          <w:rFonts w:ascii="Times New Roman" w:eastAsia="Times New Roman" w:hAnsi="Times New Roman" w:cs="Times New Roman"/>
          <w:sz w:val="28"/>
          <w:szCs w:val="28"/>
        </w:rPr>
        <w:t>среди всего населения г Алматы с 2098,79 до 2206,17с ДИ (2036,32; 2376,01)</w:t>
      </w:r>
      <w:r w:rsidRPr="004135FE">
        <w:rPr>
          <w:rFonts w:ascii="Times New Roman" w:hAnsi="Times New Roman" w:cs="Times New Roman"/>
          <w:sz w:val="28"/>
          <w:szCs w:val="28"/>
        </w:rPr>
        <w:t xml:space="preserve">, </w:t>
      </w:r>
      <w:r w:rsidRPr="004135FE">
        <w:rPr>
          <w:rFonts w:ascii="Times New Roman" w:eastAsiaTheme="minorHAnsi" w:hAnsi="Times New Roman" w:cs="Times New Roman"/>
          <w:sz w:val="28"/>
          <w:szCs w:val="28"/>
          <w:lang w:eastAsia="en-US"/>
        </w:rPr>
        <w:t xml:space="preserve">среди мужчин </w:t>
      </w:r>
      <w:r w:rsidRPr="004135FE">
        <w:rPr>
          <w:rFonts w:ascii="Times New Roman" w:eastAsia="Times New Roman" w:hAnsi="Times New Roman" w:cs="Times New Roman"/>
          <w:sz w:val="28"/>
          <w:szCs w:val="28"/>
        </w:rPr>
        <w:t xml:space="preserve">с 723,75 до 774,40 </w:t>
      </w:r>
      <w:r w:rsidR="00D244C9" w:rsidRPr="004135FE">
        <w:rPr>
          <w:rFonts w:ascii="Times New Roman" w:eastAsia="Times New Roman" w:hAnsi="Times New Roman" w:cs="Times New Roman"/>
          <w:sz w:val="28"/>
          <w:szCs w:val="28"/>
        </w:rPr>
        <w:t>с ДИ (710,83; 837,97)</w:t>
      </w:r>
      <w:r w:rsidRPr="004135FE">
        <w:rPr>
          <w:rFonts w:ascii="Times New Roman" w:hAnsi="Times New Roman" w:cs="Times New Roman"/>
          <w:sz w:val="28"/>
          <w:szCs w:val="28"/>
        </w:rPr>
        <w:t xml:space="preserve">, </w:t>
      </w:r>
      <w:r w:rsidRPr="004135FE">
        <w:rPr>
          <w:rFonts w:ascii="Times New Roman" w:eastAsiaTheme="minorHAnsi" w:hAnsi="Times New Roman" w:cs="Times New Roman"/>
          <w:sz w:val="28"/>
          <w:szCs w:val="28"/>
          <w:lang w:eastAsia="en-US"/>
        </w:rPr>
        <w:t xml:space="preserve">среди женщин с </w:t>
      </w:r>
      <w:r w:rsidRPr="004135FE">
        <w:rPr>
          <w:rFonts w:ascii="Times New Roman" w:eastAsia="Times New Roman" w:hAnsi="Times New Roman" w:cs="Times New Roman"/>
          <w:sz w:val="28"/>
          <w:szCs w:val="28"/>
        </w:rPr>
        <w:t xml:space="preserve">1375,05 до 1431,81 с ДИ (1321,15; 1542,47) </w:t>
      </w:r>
      <w:r w:rsidRPr="004135FE">
        <w:rPr>
          <w:rFonts w:ascii="Times New Roman" w:hAnsi="Times New Roman" w:cs="Times New Roman"/>
          <w:sz w:val="28"/>
          <w:szCs w:val="28"/>
        </w:rPr>
        <w:t xml:space="preserve">статистически значимы. Такая тенденция роста ожидается </w:t>
      </w:r>
      <w:r w:rsidRPr="004135FE">
        <w:rPr>
          <w:rFonts w:ascii="Times New Roman" w:eastAsiaTheme="minorHAnsi" w:hAnsi="Times New Roman" w:cs="Times New Roman"/>
          <w:sz w:val="28"/>
          <w:szCs w:val="28"/>
          <w:lang w:eastAsia="en-US"/>
        </w:rPr>
        <w:t xml:space="preserve">при неизменной стратегии ведения образа жизни и профилактических мер факторов риска, как со стороны всего населения, так и правительства. </w:t>
      </w:r>
    </w:p>
    <w:p w14:paraId="567C5093" w14:textId="12BF715A" w:rsidR="0066583A" w:rsidRPr="004135FE" w:rsidRDefault="0066583A" w:rsidP="004135FE">
      <w:pPr>
        <w:autoSpaceDE w:val="0"/>
        <w:autoSpaceDN w:val="0"/>
        <w:adjustRightInd w:val="0"/>
        <w:spacing w:after="0" w:line="240" w:lineRule="auto"/>
        <w:ind w:firstLine="708"/>
        <w:jc w:val="both"/>
        <w:rPr>
          <w:rFonts w:ascii="Times New Roman" w:eastAsiaTheme="minorHAnsi" w:hAnsi="Times New Roman" w:cs="Times New Roman"/>
          <w:bCs/>
          <w:sz w:val="28"/>
          <w:szCs w:val="28"/>
          <w:lang w:eastAsia="en-US"/>
        </w:rPr>
      </w:pPr>
      <w:r w:rsidRPr="004135FE">
        <w:rPr>
          <w:rFonts w:ascii="Times New Roman" w:eastAsiaTheme="minorHAnsi" w:hAnsi="Times New Roman" w:cs="Times New Roman"/>
          <w:bCs/>
          <w:sz w:val="28"/>
          <w:szCs w:val="28"/>
          <w:lang w:eastAsia="en-US"/>
        </w:rPr>
        <w:t>В 2021</w:t>
      </w:r>
      <w:r w:rsidR="00077E0F">
        <w:rPr>
          <w:rFonts w:ascii="Times New Roman" w:eastAsiaTheme="minorHAnsi" w:hAnsi="Times New Roman" w:cs="Times New Roman"/>
          <w:bCs/>
          <w:sz w:val="28"/>
          <w:szCs w:val="28"/>
          <w:lang w:eastAsia="en-US"/>
        </w:rPr>
        <w:t xml:space="preserve"> </w:t>
      </w:r>
      <w:r w:rsidRPr="004135FE">
        <w:rPr>
          <w:rFonts w:ascii="Times New Roman" w:eastAsiaTheme="minorHAnsi" w:hAnsi="Times New Roman" w:cs="Times New Roman"/>
          <w:bCs/>
          <w:sz w:val="28"/>
          <w:szCs w:val="28"/>
          <w:lang w:eastAsia="en-US"/>
        </w:rPr>
        <w:t>г</w:t>
      </w:r>
      <w:r w:rsidR="00077E0F">
        <w:rPr>
          <w:rFonts w:ascii="Times New Roman" w:eastAsiaTheme="minorHAnsi" w:hAnsi="Times New Roman" w:cs="Times New Roman"/>
          <w:bCs/>
          <w:sz w:val="28"/>
          <w:szCs w:val="28"/>
          <w:lang w:eastAsia="en-US"/>
        </w:rPr>
        <w:t>оду</w:t>
      </w:r>
      <w:r w:rsidRPr="004135FE">
        <w:rPr>
          <w:rFonts w:ascii="Times New Roman" w:eastAsiaTheme="minorHAnsi" w:hAnsi="Times New Roman" w:cs="Times New Roman"/>
          <w:bCs/>
          <w:sz w:val="28"/>
          <w:szCs w:val="28"/>
          <w:lang w:eastAsia="en-US"/>
        </w:rPr>
        <w:t xml:space="preserve"> </w:t>
      </w:r>
      <w:r w:rsidRPr="004135FE">
        <w:rPr>
          <w:rFonts w:ascii="Times New Roman" w:hAnsi="Times New Roman" w:cs="Times New Roman"/>
          <w:bCs/>
          <w:sz w:val="28"/>
          <w:szCs w:val="28"/>
        </w:rPr>
        <w:t>нуждающихся в ЛС по СД</w:t>
      </w:r>
      <w:r w:rsidRPr="004135FE">
        <w:rPr>
          <w:rFonts w:ascii="Times New Roman" w:eastAsiaTheme="minorHAnsi" w:hAnsi="Times New Roman" w:cs="Times New Roman"/>
          <w:bCs/>
          <w:sz w:val="28"/>
          <w:szCs w:val="28"/>
          <w:lang w:eastAsia="en-US"/>
        </w:rPr>
        <w:t xml:space="preserve"> </w:t>
      </w:r>
      <w:r w:rsidRPr="004135FE">
        <w:rPr>
          <w:rFonts w:ascii="Times New Roman" w:hAnsi="Times New Roman" w:cs="Times New Roman"/>
          <w:bCs/>
          <w:sz w:val="28"/>
          <w:szCs w:val="28"/>
        </w:rPr>
        <w:t xml:space="preserve">и обеспеченных составило </w:t>
      </w:r>
      <w:r w:rsidRPr="004135FE">
        <w:rPr>
          <w:rFonts w:ascii="Times New Roman" w:hAnsi="Times New Roman" w:cs="Times New Roman"/>
          <w:sz w:val="28"/>
          <w:szCs w:val="28"/>
        </w:rPr>
        <w:t>38 399</w:t>
      </w:r>
      <w:r w:rsidRPr="004135FE">
        <w:rPr>
          <w:rFonts w:ascii="Times New Roman" w:hAnsi="Times New Roman" w:cs="Times New Roman"/>
          <w:bCs/>
          <w:sz w:val="28"/>
          <w:szCs w:val="28"/>
        </w:rPr>
        <w:t xml:space="preserve"> человек. </w:t>
      </w:r>
      <w:r w:rsidRPr="004135FE">
        <w:rPr>
          <w:rFonts w:ascii="Times New Roman" w:eastAsiaTheme="minorHAnsi" w:hAnsi="Times New Roman" w:cs="Times New Roman"/>
          <w:bCs/>
          <w:sz w:val="28"/>
          <w:szCs w:val="28"/>
          <w:lang w:eastAsia="en-US"/>
        </w:rPr>
        <w:t>В 2019г зафиксирован максимальный убыль нуждающихся в ЛС (</w:t>
      </w:r>
      <w:r w:rsidRPr="004135FE">
        <w:rPr>
          <w:rFonts w:ascii="Times New Roman" w:hAnsi="Times New Roman" w:cs="Times New Roman"/>
          <w:sz w:val="28"/>
          <w:szCs w:val="28"/>
        </w:rPr>
        <w:t xml:space="preserve">-8 558 человек). </w:t>
      </w:r>
      <w:r w:rsidR="006050C4" w:rsidRPr="004135FE">
        <w:rPr>
          <w:rFonts w:ascii="Times New Roman" w:hAnsi="Times New Roman" w:cs="Times New Roman"/>
          <w:sz w:val="28"/>
          <w:szCs w:val="28"/>
        </w:rPr>
        <w:t>Максимальный прирост обеспеченных ЛС (104533 рецептов) зафиксирован в 2017г</w:t>
      </w:r>
      <w:r w:rsidRPr="004135FE">
        <w:rPr>
          <w:rFonts w:ascii="Times New Roman" w:eastAsiaTheme="minorHAnsi" w:hAnsi="Times New Roman" w:cs="Times New Roman"/>
          <w:bCs/>
          <w:sz w:val="28"/>
          <w:szCs w:val="28"/>
          <w:lang w:eastAsia="en-US"/>
        </w:rPr>
        <w:t xml:space="preserve"> </w:t>
      </w:r>
    </w:p>
    <w:p w14:paraId="7A2BFFB3" w14:textId="49C2517F" w:rsidR="0066583A" w:rsidRPr="004135FE" w:rsidRDefault="0066583A"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Согласно проведенному прогнозу </w:t>
      </w:r>
      <w:r w:rsidRPr="004135FE">
        <w:rPr>
          <w:rFonts w:ascii="Times New Roman" w:hAnsi="Times New Roman" w:cs="Times New Roman"/>
          <w:bCs/>
          <w:sz w:val="28"/>
          <w:szCs w:val="28"/>
        </w:rPr>
        <w:t xml:space="preserve">стоимости </w:t>
      </w:r>
      <w:r w:rsidRPr="004135FE">
        <w:rPr>
          <w:rFonts w:ascii="Times New Roman" w:eastAsiaTheme="minorHAnsi" w:hAnsi="Times New Roman" w:cs="Times New Roman"/>
          <w:bCs/>
          <w:sz w:val="28"/>
          <w:szCs w:val="28"/>
          <w:lang w:eastAsia="en-US"/>
        </w:rPr>
        <w:t xml:space="preserve">обеспеченных </w:t>
      </w:r>
      <w:r w:rsidRPr="004135FE">
        <w:rPr>
          <w:rFonts w:ascii="Times New Roman" w:hAnsi="Times New Roman" w:cs="Times New Roman"/>
          <w:bCs/>
          <w:sz w:val="28"/>
          <w:szCs w:val="28"/>
        </w:rPr>
        <w:t>ЛС по рецептам по</w:t>
      </w:r>
      <w:r w:rsidRPr="004135FE">
        <w:rPr>
          <w:rFonts w:ascii="Times New Roman" w:hAnsi="Times New Roman" w:cs="Times New Roman"/>
          <w:sz w:val="28"/>
          <w:szCs w:val="28"/>
        </w:rPr>
        <w:t xml:space="preserve"> СД</w:t>
      </w:r>
      <w:r w:rsidR="00593A1C" w:rsidRPr="004135FE">
        <w:rPr>
          <w:rFonts w:ascii="Times New Roman" w:hAnsi="Times New Roman" w:cs="Times New Roman"/>
          <w:sz w:val="28"/>
          <w:szCs w:val="28"/>
        </w:rPr>
        <w:t>, к 2023</w:t>
      </w:r>
      <w:r w:rsidR="00077E0F">
        <w:rPr>
          <w:rFonts w:ascii="Times New Roman" w:hAnsi="Times New Roman" w:cs="Times New Roman"/>
          <w:sz w:val="28"/>
          <w:szCs w:val="28"/>
        </w:rPr>
        <w:t xml:space="preserve"> </w:t>
      </w:r>
      <w:r w:rsidR="00593A1C" w:rsidRPr="004135FE">
        <w:rPr>
          <w:rFonts w:ascii="Times New Roman" w:hAnsi="Times New Roman" w:cs="Times New Roman"/>
          <w:sz w:val="28"/>
          <w:szCs w:val="28"/>
        </w:rPr>
        <w:t>г</w:t>
      </w:r>
      <w:r w:rsidR="00077E0F">
        <w:rPr>
          <w:rFonts w:ascii="Times New Roman" w:hAnsi="Times New Roman" w:cs="Times New Roman"/>
          <w:sz w:val="28"/>
          <w:szCs w:val="28"/>
        </w:rPr>
        <w:t>.</w:t>
      </w:r>
      <w:r w:rsidRPr="004135FE">
        <w:rPr>
          <w:rFonts w:ascii="Times New Roman" w:hAnsi="Times New Roman" w:cs="Times New Roman"/>
          <w:sz w:val="28"/>
          <w:szCs w:val="28"/>
        </w:rPr>
        <w:t xml:space="preserve"> </w:t>
      </w:r>
      <w:r w:rsidRPr="004135FE">
        <w:rPr>
          <w:rFonts w:ascii="Times New Roman" w:hAnsi="Times New Roman" w:cs="Times New Roman"/>
          <w:noProof/>
          <w:sz w:val="28"/>
          <w:szCs w:val="28"/>
        </w:rPr>
        <w:t xml:space="preserve">ожидается дальнейшее увеличение суммы обеспеченных ЛС по рецептам с </w:t>
      </w:r>
      <w:r w:rsidRPr="004135FE">
        <w:rPr>
          <w:rFonts w:ascii="Times New Roman" w:eastAsia="Times New Roman" w:hAnsi="Times New Roman" w:cs="Times New Roman"/>
          <w:sz w:val="28"/>
          <w:szCs w:val="28"/>
        </w:rPr>
        <w:t>5 341 889 235,14 тенге</w:t>
      </w:r>
      <w:r w:rsidRPr="004135FE">
        <w:rPr>
          <w:rFonts w:ascii="Times New Roman" w:hAnsi="Times New Roman" w:cs="Times New Roman"/>
          <w:noProof/>
          <w:sz w:val="28"/>
          <w:szCs w:val="28"/>
        </w:rPr>
        <w:t xml:space="preserve"> </w:t>
      </w:r>
      <w:r w:rsidRPr="004135FE">
        <w:rPr>
          <w:rFonts w:ascii="Times New Roman" w:eastAsia="Times New Roman" w:hAnsi="Times New Roman" w:cs="Times New Roman"/>
          <w:sz w:val="28"/>
          <w:szCs w:val="28"/>
        </w:rPr>
        <w:t>до 6 204 762 566,38 тенге с ДИ (5 120 536 045,04; 7 288 989 087,73)</w:t>
      </w:r>
      <w:r w:rsidRPr="004135FE">
        <w:rPr>
          <w:rFonts w:ascii="Times New Roman" w:eastAsiaTheme="minorHAnsi" w:hAnsi="Times New Roman" w:cs="Times New Roman"/>
          <w:bCs/>
          <w:sz w:val="28"/>
          <w:szCs w:val="28"/>
          <w:lang w:val="kk-KZ" w:eastAsia="en-US"/>
        </w:rPr>
        <w:t xml:space="preserve"> тенге</w:t>
      </w:r>
      <w:r w:rsidRPr="004135FE">
        <w:rPr>
          <w:rFonts w:ascii="Times New Roman" w:hAnsi="Times New Roman" w:cs="Times New Roman"/>
          <w:sz w:val="28"/>
          <w:szCs w:val="28"/>
        </w:rPr>
        <w:t xml:space="preserve"> (р=0,001) статистически значимы. </w:t>
      </w:r>
      <w:r w:rsidRPr="004135FE">
        <w:rPr>
          <w:rFonts w:ascii="Times New Roman" w:eastAsiaTheme="minorHAnsi" w:hAnsi="Times New Roman" w:cs="Times New Roman"/>
          <w:sz w:val="28"/>
          <w:szCs w:val="28"/>
          <w:lang w:eastAsia="en-US"/>
        </w:rPr>
        <w:t xml:space="preserve">Согласно прогнозированию </w:t>
      </w:r>
      <w:r w:rsidRPr="004135FE">
        <w:rPr>
          <w:rFonts w:ascii="Times New Roman" w:hAnsi="Times New Roman" w:cs="Times New Roman"/>
          <w:bCs/>
          <w:sz w:val="28"/>
          <w:szCs w:val="28"/>
        </w:rPr>
        <w:t>стоимости,</w:t>
      </w:r>
      <w:r w:rsidRPr="004135FE">
        <w:rPr>
          <w:rFonts w:ascii="Times New Roman" w:hAnsi="Times New Roman" w:cs="Times New Roman"/>
          <w:b/>
          <w:bCs/>
          <w:sz w:val="28"/>
          <w:szCs w:val="28"/>
        </w:rPr>
        <w:t xml:space="preserve"> </w:t>
      </w:r>
      <w:r w:rsidRPr="004135FE">
        <w:rPr>
          <w:rFonts w:ascii="Times New Roman" w:hAnsi="Times New Roman" w:cs="Times New Roman"/>
          <w:bCs/>
          <w:sz w:val="28"/>
          <w:szCs w:val="28"/>
        </w:rPr>
        <w:t xml:space="preserve">закупленных ЛС </w:t>
      </w:r>
      <w:r w:rsidRPr="004135FE">
        <w:rPr>
          <w:rFonts w:ascii="Times New Roman" w:eastAsiaTheme="minorHAnsi" w:hAnsi="Times New Roman" w:cs="Times New Roman"/>
          <w:bCs/>
          <w:sz w:val="28"/>
          <w:szCs w:val="28"/>
          <w:lang w:val="kk-KZ" w:eastAsia="en-US"/>
        </w:rPr>
        <w:t>в тенге</w:t>
      </w:r>
      <w:r w:rsidRPr="004135FE">
        <w:rPr>
          <w:rFonts w:ascii="Times New Roman" w:hAnsi="Times New Roman" w:cs="Times New Roman"/>
          <w:bCs/>
          <w:sz w:val="28"/>
          <w:szCs w:val="28"/>
        </w:rPr>
        <w:t xml:space="preserve"> (на 1 пациента </w:t>
      </w:r>
      <w:r w:rsidRPr="004135FE">
        <w:rPr>
          <w:rFonts w:ascii="Times New Roman" w:eastAsiaTheme="minorHAnsi" w:hAnsi="Times New Roman" w:cs="Times New Roman"/>
          <w:bCs/>
          <w:sz w:val="28"/>
          <w:szCs w:val="28"/>
          <w:lang w:eastAsia="en-US"/>
        </w:rPr>
        <w:t>по СД по г.Алматы</w:t>
      </w:r>
      <w:r w:rsidRPr="004135FE">
        <w:rPr>
          <w:rFonts w:ascii="Times New Roman" w:eastAsiaTheme="minorHAnsi" w:hAnsi="Times New Roman" w:cs="Times New Roman"/>
          <w:bCs/>
          <w:sz w:val="28"/>
          <w:szCs w:val="28"/>
          <w:lang w:val="kk-KZ" w:eastAsia="en-US"/>
        </w:rPr>
        <w:t>)</w:t>
      </w:r>
      <w:r w:rsidR="00593A1C" w:rsidRPr="004135FE">
        <w:rPr>
          <w:rFonts w:ascii="Times New Roman" w:eastAsiaTheme="minorHAnsi" w:hAnsi="Times New Roman" w:cs="Times New Roman"/>
          <w:bCs/>
          <w:sz w:val="28"/>
          <w:szCs w:val="28"/>
          <w:lang w:val="kk-KZ" w:eastAsia="en-US"/>
        </w:rPr>
        <w:t>, к 2023</w:t>
      </w:r>
      <w:r w:rsidR="00077E0F">
        <w:rPr>
          <w:rFonts w:ascii="Times New Roman" w:eastAsiaTheme="minorHAnsi" w:hAnsi="Times New Roman" w:cs="Times New Roman"/>
          <w:bCs/>
          <w:sz w:val="28"/>
          <w:szCs w:val="28"/>
          <w:lang w:val="kk-KZ" w:eastAsia="en-US"/>
        </w:rPr>
        <w:t xml:space="preserve"> </w:t>
      </w:r>
      <w:r w:rsidR="00593A1C" w:rsidRPr="004135FE">
        <w:rPr>
          <w:rFonts w:ascii="Times New Roman" w:eastAsiaTheme="minorHAnsi" w:hAnsi="Times New Roman" w:cs="Times New Roman"/>
          <w:bCs/>
          <w:sz w:val="28"/>
          <w:szCs w:val="28"/>
          <w:lang w:val="kk-KZ" w:eastAsia="en-US"/>
        </w:rPr>
        <w:t>г</w:t>
      </w:r>
      <w:r w:rsidR="00077E0F">
        <w:rPr>
          <w:rFonts w:ascii="Times New Roman" w:eastAsiaTheme="minorHAnsi" w:hAnsi="Times New Roman" w:cs="Times New Roman"/>
          <w:bCs/>
          <w:sz w:val="28"/>
          <w:szCs w:val="28"/>
          <w:lang w:val="kk-KZ" w:eastAsia="en-US"/>
        </w:rPr>
        <w:t>.</w:t>
      </w:r>
      <w:r w:rsidRPr="004135FE">
        <w:rPr>
          <w:rFonts w:ascii="Times New Roman" w:eastAsiaTheme="minorHAnsi" w:hAnsi="Times New Roman" w:cs="Times New Roman"/>
          <w:sz w:val="28"/>
          <w:szCs w:val="28"/>
          <w:lang w:eastAsia="en-US"/>
        </w:rPr>
        <w:t xml:space="preserve"> </w:t>
      </w:r>
      <w:r w:rsidRPr="004135FE">
        <w:rPr>
          <w:rFonts w:ascii="Times New Roman" w:eastAsia="Times New Roman" w:hAnsi="Times New Roman" w:cs="Times New Roman"/>
          <w:sz w:val="28"/>
          <w:szCs w:val="28"/>
        </w:rPr>
        <w:t xml:space="preserve">ожидается дальнейшее увеличение суммы </w:t>
      </w:r>
      <w:r w:rsidRPr="004135FE">
        <w:rPr>
          <w:rFonts w:ascii="Times New Roman" w:eastAsiaTheme="minorHAnsi" w:hAnsi="Times New Roman" w:cs="Times New Roman"/>
          <w:sz w:val="28"/>
          <w:szCs w:val="28"/>
          <w:lang w:eastAsia="en-US"/>
        </w:rPr>
        <w:t xml:space="preserve">с </w:t>
      </w:r>
      <w:r w:rsidRPr="004135FE">
        <w:rPr>
          <w:rFonts w:ascii="Times New Roman" w:eastAsia="Times New Roman" w:hAnsi="Times New Roman" w:cs="Times New Roman"/>
          <w:sz w:val="28"/>
          <w:szCs w:val="28"/>
        </w:rPr>
        <w:t xml:space="preserve">126 648,08 до 151 480,68 с ДИ (131 445,53; 171 515,82) </w:t>
      </w:r>
      <w:r w:rsidRPr="004135FE">
        <w:rPr>
          <w:rFonts w:ascii="Times New Roman" w:eastAsiaTheme="minorHAnsi" w:hAnsi="Times New Roman" w:cs="Times New Roman"/>
          <w:bCs/>
          <w:sz w:val="28"/>
          <w:szCs w:val="28"/>
          <w:lang w:val="kk-KZ" w:eastAsia="en-US"/>
        </w:rPr>
        <w:t>тенге</w:t>
      </w:r>
      <w:r w:rsidRPr="004135FE">
        <w:rPr>
          <w:rFonts w:ascii="Times New Roman" w:eastAsia="Times New Roman" w:hAnsi="Times New Roman" w:cs="Times New Roman"/>
          <w:sz w:val="28"/>
          <w:szCs w:val="28"/>
        </w:rPr>
        <w:t xml:space="preserve"> </w:t>
      </w:r>
      <w:r w:rsidRPr="004135FE">
        <w:rPr>
          <w:rFonts w:ascii="Times New Roman" w:hAnsi="Times New Roman" w:cs="Times New Roman"/>
          <w:sz w:val="28"/>
          <w:szCs w:val="28"/>
        </w:rPr>
        <w:t>(р=0,001) статистически значимы</w:t>
      </w:r>
      <w:r w:rsidRPr="004135FE">
        <w:rPr>
          <w:rFonts w:ascii="Times New Roman" w:eastAsia="Times New Roman" w:hAnsi="Times New Roman" w:cs="Times New Roman"/>
          <w:sz w:val="28"/>
          <w:szCs w:val="28"/>
        </w:rPr>
        <w:t>.</w:t>
      </w:r>
    </w:p>
    <w:p w14:paraId="3881C11E" w14:textId="43A07E67" w:rsidR="00D83E5F" w:rsidRPr="004135FE" w:rsidRDefault="00D83E5F" w:rsidP="004135FE">
      <w:pPr>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t xml:space="preserve"> </w:t>
      </w:r>
    </w:p>
    <w:p w14:paraId="2167EE81" w14:textId="2B358F59" w:rsidR="000A7B8A" w:rsidRPr="004135FE" w:rsidRDefault="000A7B8A" w:rsidP="004135FE">
      <w:pPr>
        <w:spacing w:after="0" w:line="240" w:lineRule="auto"/>
        <w:jc w:val="both"/>
        <w:rPr>
          <w:rFonts w:ascii="Times New Roman" w:hAnsi="Times New Roman" w:cs="Times New Roman"/>
          <w:sz w:val="28"/>
          <w:szCs w:val="28"/>
        </w:rPr>
      </w:pPr>
    </w:p>
    <w:p w14:paraId="6FFF7E81" w14:textId="77777777" w:rsidR="000948D6" w:rsidRPr="004135FE" w:rsidRDefault="000948D6" w:rsidP="004135FE">
      <w:pPr>
        <w:autoSpaceDE w:val="0"/>
        <w:autoSpaceDN w:val="0"/>
        <w:adjustRightInd w:val="0"/>
        <w:spacing w:after="0" w:line="240" w:lineRule="auto"/>
        <w:jc w:val="both"/>
        <w:rPr>
          <w:rFonts w:ascii="Times New Roman" w:hAnsi="Times New Roman" w:cs="Times New Roman"/>
          <w:b/>
          <w:sz w:val="28"/>
          <w:szCs w:val="28"/>
        </w:rPr>
        <w:sectPr w:rsidR="000948D6" w:rsidRPr="004135FE" w:rsidSect="00E541BD">
          <w:pgSz w:w="11906" w:h="16838"/>
          <w:pgMar w:top="1134" w:right="851" w:bottom="1134" w:left="1701" w:header="283" w:footer="170" w:gutter="0"/>
          <w:cols w:space="708"/>
          <w:docGrid w:linePitch="360"/>
        </w:sectPr>
      </w:pPr>
    </w:p>
    <w:p w14:paraId="2EC950E8" w14:textId="39C1232D" w:rsidR="007A2C38" w:rsidRPr="004135FE" w:rsidRDefault="007A2C38" w:rsidP="00CE0D4F">
      <w:pPr>
        <w:tabs>
          <w:tab w:val="left" w:pos="284"/>
        </w:tabs>
        <w:spacing w:after="0" w:line="240" w:lineRule="auto"/>
        <w:ind w:firstLine="709"/>
        <w:jc w:val="both"/>
        <w:rPr>
          <w:rFonts w:ascii="Times New Roman" w:hAnsi="Times New Roman" w:cs="Times New Roman"/>
          <w:b/>
          <w:caps/>
          <w:sz w:val="28"/>
          <w:szCs w:val="28"/>
        </w:rPr>
      </w:pPr>
      <w:r w:rsidRPr="004135FE">
        <w:rPr>
          <w:rFonts w:ascii="Times New Roman" w:hAnsi="Times New Roman" w:cs="Times New Roman"/>
          <w:b/>
          <w:caps/>
          <w:sz w:val="28"/>
          <w:szCs w:val="28"/>
        </w:rPr>
        <w:lastRenderedPageBreak/>
        <w:t xml:space="preserve">4 </w:t>
      </w:r>
      <w:r w:rsidR="00F231B0" w:rsidRPr="004135FE">
        <w:rPr>
          <w:rFonts w:ascii="Times New Roman" w:hAnsi="Times New Roman" w:cs="Times New Roman"/>
          <w:b/>
          <w:caps/>
          <w:sz w:val="28"/>
          <w:szCs w:val="28"/>
        </w:rPr>
        <w:t xml:space="preserve">Результаты </w:t>
      </w:r>
      <w:r w:rsidR="00362A34" w:rsidRPr="004135FE">
        <w:rPr>
          <w:rFonts w:ascii="Times New Roman" w:hAnsi="Times New Roman" w:cs="Times New Roman"/>
          <w:b/>
          <w:caps/>
          <w:sz w:val="28"/>
          <w:szCs w:val="28"/>
        </w:rPr>
        <w:t>Социологическо</w:t>
      </w:r>
      <w:r w:rsidR="00F231B0" w:rsidRPr="004135FE">
        <w:rPr>
          <w:rFonts w:ascii="Times New Roman" w:hAnsi="Times New Roman" w:cs="Times New Roman"/>
          <w:b/>
          <w:caps/>
          <w:sz w:val="28"/>
          <w:szCs w:val="28"/>
        </w:rPr>
        <w:t>го</w:t>
      </w:r>
      <w:r w:rsidR="00362A34" w:rsidRPr="004135FE">
        <w:rPr>
          <w:rFonts w:ascii="Times New Roman" w:hAnsi="Times New Roman" w:cs="Times New Roman"/>
          <w:b/>
          <w:caps/>
          <w:sz w:val="28"/>
          <w:szCs w:val="28"/>
        </w:rPr>
        <w:t xml:space="preserve"> исследовани</w:t>
      </w:r>
      <w:r w:rsidR="00F231B0" w:rsidRPr="004135FE">
        <w:rPr>
          <w:rFonts w:ascii="Times New Roman" w:hAnsi="Times New Roman" w:cs="Times New Roman"/>
          <w:b/>
          <w:caps/>
          <w:sz w:val="28"/>
          <w:szCs w:val="28"/>
        </w:rPr>
        <w:t>я</w:t>
      </w:r>
      <w:r w:rsidR="00362A34" w:rsidRPr="004135FE">
        <w:rPr>
          <w:rFonts w:ascii="Times New Roman" w:hAnsi="Times New Roman" w:cs="Times New Roman"/>
          <w:b/>
          <w:caps/>
          <w:sz w:val="28"/>
          <w:szCs w:val="28"/>
        </w:rPr>
        <w:t xml:space="preserve"> для определения </w:t>
      </w:r>
      <w:r w:rsidR="00362A34" w:rsidRPr="004135FE">
        <w:rPr>
          <w:rFonts w:ascii="Times New Roman" w:eastAsia="Times New Roman" w:hAnsi="Times New Roman" w:cs="Times New Roman"/>
          <w:b/>
          <w:caps/>
          <w:sz w:val="28"/>
          <w:szCs w:val="28"/>
        </w:rPr>
        <w:t>потребностей</w:t>
      </w:r>
      <w:r w:rsidRPr="004135FE">
        <w:rPr>
          <w:rFonts w:ascii="Times New Roman" w:eastAsia="Times New Roman" w:hAnsi="Times New Roman" w:cs="Times New Roman"/>
          <w:b/>
          <w:caps/>
          <w:sz w:val="28"/>
          <w:szCs w:val="28"/>
        </w:rPr>
        <w:t xml:space="preserve"> </w:t>
      </w:r>
      <w:r w:rsidR="00362A34" w:rsidRPr="004135FE">
        <w:rPr>
          <w:rFonts w:ascii="Times New Roman" w:eastAsia="Times New Roman" w:hAnsi="Times New Roman" w:cs="Times New Roman"/>
          <w:b/>
          <w:caps/>
          <w:sz w:val="28"/>
          <w:szCs w:val="28"/>
        </w:rPr>
        <w:t>респондентов</w:t>
      </w:r>
      <w:r w:rsidRPr="004135FE">
        <w:rPr>
          <w:rFonts w:ascii="Times New Roman" w:eastAsia="Times New Roman" w:hAnsi="Times New Roman" w:cs="Times New Roman"/>
          <w:b/>
          <w:caps/>
          <w:sz w:val="28"/>
          <w:szCs w:val="28"/>
        </w:rPr>
        <w:t xml:space="preserve"> </w:t>
      </w:r>
      <w:r w:rsidRPr="004135FE">
        <w:rPr>
          <w:rFonts w:ascii="Times New Roman" w:eastAsia="Times New Roman" w:hAnsi="Times New Roman" w:cs="Times New Roman"/>
          <w:b/>
          <w:caps/>
          <w:sz w:val="28"/>
          <w:szCs w:val="28"/>
          <w:lang w:val="kk-KZ"/>
        </w:rPr>
        <w:t xml:space="preserve">по совершенствованию оказания медицинской помощи </w:t>
      </w:r>
      <w:r w:rsidR="00362A34" w:rsidRPr="004135FE">
        <w:rPr>
          <w:rFonts w:ascii="Times New Roman" w:eastAsia="Times New Roman" w:hAnsi="Times New Roman" w:cs="Times New Roman"/>
          <w:b/>
          <w:caps/>
          <w:sz w:val="28"/>
          <w:szCs w:val="28"/>
          <w:lang w:val="kk-KZ"/>
        </w:rPr>
        <w:t>и межсекторального сотрудничества при СД2т</w:t>
      </w:r>
      <w:r w:rsidRPr="004135FE">
        <w:rPr>
          <w:rFonts w:ascii="Times New Roman" w:hAnsi="Times New Roman" w:cs="Times New Roman"/>
          <w:b/>
          <w:caps/>
          <w:sz w:val="28"/>
          <w:szCs w:val="28"/>
        </w:rPr>
        <w:t xml:space="preserve"> </w:t>
      </w:r>
    </w:p>
    <w:p w14:paraId="7C319C0F" w14:textId="77777777" w:rsidR="007A2C38" w:rsidRPr="004135FE" w:rsidRDefault="007A2C38" w:rsidP="00CE0D4F">
      <w:pPr>
        <w:tabs>
          <w:tab w:val="left" w:pos="284"/>
        </w:tabs>
        <w:spacing w:after="0" w:line="240" w:lineRule="auto"/>
        <w:ind w:firstLine="709"/>
        <w:jc w:val="both"/>
        <w:rPr>
          <w:rFonts w:ascii="Times New Roman" w:hAnsi="Times New Roman" w:cs="Times New Roman"/>
          <w:b/>
          <w:caps/>
          <w:sz w:val="28"/>
          <w:szCs w:val="28"/>
        </w:rPr>
      </w:pPr>
    </w:p>
    <w:p w14:paraId="344FE8EB" w14:textId="25EF8720" w:rsidR="00821A27" w:rsidRPr="004135FE" w:rsidRDefault="007A2C38" w:rsidP="00CE0D4F">
      <w:pPr>
        <w:tabs>
          <w:tab w:val="left" w:pos="284"/>
        </w:tabs>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
          <w:caps/>
          <w:sz w:val="28"/>
          <w:szCs w:val="28"/>
        </w:rPr>
        <w:t>4.1</w:t>
      </w:r>
      <w:r w:rsidR="00821A27" w:rsidRPr="004135FE">
        <w:rPr>
          <w:rFonts w:ascii="Times New Roman" w:hAnsi="Times New Roman" w:cs="Times New Roman"/>
          <w:b/>
          <w:caps/>
          <w:sz w:val="28"/>
          <w:szCs w:val="28"/>
        </w:rPr>
        <w:t>.</w:t>
      </w:r>
      <w:r w:rsidRPr="004135FE">
        <w:rPr>
          <w:rFonts w:ascii="Times New Roman" w:hAnsi="Times New Roman" w:cs="Times New Roman"/>
          <w:b/>
          <w:caps/>
          <w:sz w:val="28"/>
          <w:szCs w:val="28"/>
        </w:rPr>
        <w:t xml:space="preserve"> </w:t>
      </w:r>
      <w:r w:rsidR="00CE0D4F">
        <w:rPr>
          <w:rFonts w:ascii="Times New Roman" w:hAnsi="Times New Roman" w:cs="Times New Roman"/>
          <w:b/>
          <w:sz w:val="28"/>
          <w:szCs w:val="28"/>
          <w:lang w:val="kk-KZ"/>
        </w:rPr>
        <w:t>Р</w:t>
      </w:r>
      <w:r w:rsidR="00CE0D4F" w:rsidRPr="004135FE">
        <w:rPr>
          <w:rFonts w:ascii="Times New Roman" w:hAnsi="Times New Roman" w:cs="Times New Roman"/>
          <w:b/>
          <w:sz w:val="28"/>
          <w:szCs w:val="28"/>
        </w:rPr>
        <w:t>езультаты социологического исследования среди медицинских работников</w:t>
      </w:r>
    </w:p>
    <w:p w14:paraId="722CC925" w14:textId="3C4B0DDC" w:rsidR="007A2C38" w:rsidRPr="00CE0D4F" w:rsidRDefault="008B7DA9" w:rsidP="00CE0D4F">
      <w:pPr>
        <w:tabs>
          <w:tab w:val="left" w:pos="284"/>
        </w:tabs>
        <w:autoSpaceDE w:val="0"/>
        <w:autoSpaceDN w:val="0"/>
        <w:adjustRightInd w:val="0"/>
        <w:spacing w:after="0" w:line="240" w:lineRule="auto"/>
        <w:ind w:firstLine="709"/>
        <w:jc w:val="both"/>
        <w:rPr>
          <w:rFonts w:ascii="Times New Roman" w:hAnsi="Times New Roman" w:cs="Times New Roman"/>
          <w:bCs/>
          <w:sz w:val="28"/>
          <w:szCs w:val="28"/>
        </w:rPr>
      </w:pPr>
      <w:r w:rsidRPr="00CE0D4F">
        <w:rPr>
          <w:rFonts w:ascii="Times New Roman" w:hAnsi="Times New Roman" w:cs="Times New Roman"/>
          <w:bCs/>
          <w:sz w:val="28"/>
          <w:szCs w:val="28"/>
        </w:rPr>
        <w:t>4.1.1</w:t>
      </w:r>
      <w:r w:rsidR="00CE0D4F">
        <w:rPr>
          <w:rFonts w:ascii="Times New Roman" w:hAnsi="Times New Roman" w:cs="Times New Roman"/>
          <w:bCs/>
          <w:sz w:val="28"/>
          <w:szCs w:val="28"/>
          <w:lang w:val="kk-KZ"/>
        </w:rPr>
        <w:t xml:space="preserve"> </w:t>
      </w:r>
      <w:r w:rsidRPr="00CE0D4F">
        <w:rPr>
          <w:rFonts w:ascii="Times New Roman" w:hAnsi="Times New Roman" w:cs="Times New Roman"/>
          <w:bCs/>
          <w:sz w:val="28"/>
          <w:szCs w:val="28"/>
        </w:rPr>
        <w:t>Персонализированный подход к пациентам</w:t>
      </w:r>
    </w:p>
    <w:p w14:paraId="7C41046A" w14:textId="416F5003" w:rsidR="007A2C38" w:rsidRPr="004135FE" w:rsidRDefault="007A2C38" w:rsidP="004135FE">
      <w:pPr>
        <w:autoSpaceDE w:val="0"/>
        <w:autoSpaceDN w:val="0"/>
        <w:adjustRightInd w:val="0"/>
        <w:spacing w:after="0" w:line="240" w:lineRule="auto"/>
        <w:ind w:firstLine="360"/>
        <w:jc w:val="both"/>
        <w:rPr>
          <w:rFonts w:ascii="Times New Roman" w:hAnsi="Times New Roman" w:cs="Times New Roman"/>
          <w:sz w:val="28"/>
          <w:szCs w:val="28"/>
        </w:rPr>
      </w:pPr>
      <w:r w:rsidRPr="00CE0D4F">
        <w:rPr>
          <w:rFonts w:ascii="Times New Roman" w:hAnsi="Times New Roman" w:cs="Times New Roman"/>
          <w:bCs/>
          <w:caps/>
          <w:sz w:val="28"/>
          <w:szCs w:val="28"/>
        </w:rPr>
        <w:tab/>
      </w:r>
      <w:r w:rsidRPr="00CE0D4F">
        <w:rPr>
          <w:rFonts w:ascii="Times New Roman" w:hAnsi="Times New Roman" w:cs="Times New Roman"/>
          <w:bCs/>
          <w:sz w:val="28"/>
          <w:szCs w:val="28"/>
        </w:rPr>
        <w:t>Согласно проведенному анализу опроса, при персонализированном</w:t>
      </w:r>
      <w:r w:rsidRPr="004135FE">
        <w:rPr>
          <w:rFonts w:ascii="Times New Roman" w:hAnsi="Times New Roman" w:cs="Times New Roman"/>
          <w:sz w:val="28"/>
          <w:szCs w:val="28"/>
        </w:rPr>
        <w:t xml:space="preserve"> подходе для выбора пероральных сахароснижающих препаратов (ПССП) для пациентов с СД2т, большинство врачей уделяют особое внимание на сопутствующие заболевание и противопоказании при назначениях лечения-91,4%. </w:t>
      </w:r>
      <w:r w:rsidRPr="004135FE">
        <w:rPr>
          <w:rFonts w:ascii="Times New Roman" w:eastAsia="Times New Roman" w:hAnsi="Times New Roman" w:cs="Times New Roman"/>
          <w:sz w:val="28"/>
          <w:szCs w:val="28"/>
        </w:rPr>
        <w:t>По возможности купирования гипергликемии рассматривают 8,6% врачей.</w:t>
      </w:r>
      <w:r w:rsidRPr="004135FE">
        <w:rPr>
          <w:rFonts w:ascii="Times New Roman" w:hAnsi="Times New Roman" w:cs="Times New Roman"/>
          <w:sz w:val="28"/>
          <w:szCs w:val="28"/>
        </w:rPr>
        <w:t xml:space="preserve"> В опросе были варианты, которых никто не рассматривал как важную критерию персонализированного подхода и соответственно не отразились на анализе опроса: «Социально-экономическую возможность пациента», «Возраст и пол», «Генетические маркеры», «Всех пациентов начинаем с таблетки метформин». </w:t>
      </w:r>
    </w:p>
    <w:p w14:paraId="65533E22" w14:textId="5FD2D042" w:rsidR="007A2C38" w:rsidRPr="004135FE" w:rsidRDefault="007A2C38" w:rsidP="004135FE">
      <w:pPr>
        <w:pStyle w:val="a3"/>
        <w:widowControl w:val="0"/>
        <w:autoSpaceDE w:val="0"/>
        <w:autoSpaceDN w:val="0"/>
        <w:adjustRightInd w:val="0"/>
        <w:spacing w:after="0" w:line="240" w:lineRule="auto"/>
        <w:ind w:left="0"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Существуют убедительные доказательства того, что генетический фактор сильно влияет на индивидуальный риск развития СД2т. </w:t>
      </w:r>
      <w:r w:rsidR="00AA0167" w:rsidRPr="004135FE">
        <w:rPr>
          <w:rFonts w:ascii="Times New Roman" w:hAnsi="Times New Roman" w:cs="Times New Roman"/>
          <w:sz w:val="28"/>
          <w:szCs w:val="28"/>
        </w:rPr>
        <w:t>[171</w:t>
      </w:r>
      <w:r w:rsidRPr="004135FE">
        <w:rPr>
          <w:rFonts w:ascii="Times New Roman" w:hAnsi="Times New Roman" w:cs="Times New Roman"/>
          <w:sz w:val="28"/>
          <w:szCs w:val="28"/>
        </w:rPr>
        <w:t xml:space="preserve">]. </w:t>
      </w:r>
      <w:r w:rsidRPr="004135FE">
        <w:rPr>
          <w:rFonts w:ascii="Times New Roman" w:eastAsia="Times New Roman" w:hAnsi="Times New Roman" w:cs="Times New Roman"/>
          <w:sz w:val="28"/>
          <w:szCs w:val="28"/>
        </w:rPr>
        <w:t xml:space="preserve"> </w:t>
      </w:r>
      <w:r w:rsidRPr="004135FE">
        <w:rPr>
          <w:rFonts w:ascii="Times New Roman" w:hAnsi="Times New Roman" w:cs="Times New Roman"/>
          <w:sz w:val="28"/>
          <w:szCs w:val="28"/>
        </w:rPr>
        <w:t xml:space="preserve"> </w:t>
      </w:r>
      <w:r w:rsidRPr="004135FE">
        <w:rPr>
          <w:rFonts w:ascii="Times New Roman" w:eastAsia="Times New Roman" w:hAnsi="Times New Roman" w:cs="Times New Roman"/>
          <w:sz w:val="28"/>
          <w:szCs w:val="28"/>
        </w:rPr>
        <w:t xml:space="preserve">По результатам опроса 17,10% врачей впервые слышат о генетическом маркере </w:t>
      </w:r>
      <w:r w:rsidRPr="004135FE">
        <w:rPr>
          <w:rFonts w:ascii="Times New Roman" w:hAnsi="Times New Roman" w:cs="Times New Roman"/>
          <w:sz w:val="28"/>
          <w:szCs w:val="28"/>
        </w:rPr>
        <w:t>СД2т</w:t>
      </w:r>
      <w:r w:rsidRPr="004135FE">
        <w:rPr>
          <w:rFonts w:ascii="Times New Roman" w:eastAsia="Times New Roman" w:hAnsi="Times New Roman" w:cs="Times New Roman"/>
          <w:sz w:val="28"/>
          <w:szCs w:val="28"/>
        </w:rPr>
        <w:t xml:space="preserve">, 25,7% направляли пациентов с СД2т на данный вид анализа на уровне ПМСП. </w:t>
      </w:r>
      <w:r w:rsidRPr="004135FE">
        <w:rPr>
          <w:rFonts w:ascii="Times New Roman" w:hAnsi="Times New Roman" w:cs="Times New Roman"/>
          <w:sz w:val="28"/>
          <w:szCs w:val="28"/>
        </w:rPr>
        <w:t>В нашей стране не развита фармакогенетика при СД2т и противоречивые результаты ответа являются показателем неосведомленности некоторых врачей ПМСП.</w:t>
      </w:r>
    </w:p>
    <w:p w14:paraId="45838048" w14:textId="77777777" w:rsidR="007A2C38" w:rsidRPr="004135FE" w:rsidRDefault="007A2C38" w:rsidP="004135FE">
      <w:pPr>
        <w:pStyle w:val="a3"/>
        <w:spacing w:after="0" w:line="240" w:lineRule="auto"/>
        <w:ind w:left="0" w:firstLine="708"/>
        <w:jc w:val="both"/>
        <w:rPr>
          <w:rFonts w:ascii="Times New Roman" w:eastAsia="Times New Roman" w:hAnsi="Times New Roman" w:cs="Times New Roman"/>
          <w:sz w:val="28"/>
          <w:szCs w:val="28"/>
        </w:rPr>
      </w:pPr>
      <w:r w:rsidRPr="004135FE">
        <w:rPr>
          <w:rFonts w:ascii="Times New Roman" w:hAnsi="Times New Roman" w:cs="Times New Roman"/>
          <w:sz w:val="28"/>
          <w:szCs w:val="28"/>
        </w:rPr>
        <w:t xml:space="preserve">По результатам проведенного социологического исследования, </w:t>
      </w:r>
      <w:r w:rsidRPr="004135FE">
        <w:rPr>
          <w:rFonts w:ascii="Times New Roman" w:eastAsia="Times New Roman" w:hAnsi="Times New Roman" w:cs="Times New Roman"/>
          <w:sz w:val="28"/>
          <w:szCs w:val="28"/>
        </w:rPr>
        <w:t xml:space="preserve">врачи эндокринологи утверждают, что индивидуальный подбор физической активности (ФА) с учетом противопоказании и мер предосторожностей для пациентов с СД2т проводят 42,9% СМР эндокринологического кабинета и 40% пациентов </w:t>
      </w:r>
      <w:r w:rsidRPr="004135FE">
        <w:rPr>
          <w:rFonts w:ascii="Times New Roman" w:hAnsi="Times New Roman" w:cs="Times New Roman"/>
          <w:sz w:val="28"/>
          <w:szCs w:val="28"/>
        </w:rPr>
        <w:t>самостоятельно</w:t>
      </w:r>
      <w:r w:rsidRPr="004135FE">
        <w:rPr>
          <w:rFonts w:ascii="Times New Roman" w:eastAsia="Times New Roman" w:hAnsi="Times New Roman" w:cs="Times New Roman"/>
          <w:sz w:val="28"/>
          <w:szCs w:val="28"/>
        </w:rPr>
        <w:t xml:space="preserve"> подбирают ФА, опираясь полученным знаниям от ШД. </w:t>
      </w:r>
    </w:p>
    <w:p w14:paraId="60DD3381" w14:textId="77777777" w:rsidR="007A2C38" w:rsidRPr="004135FE" w:rsidRDefault="007A2C38" w:rsidP="004135FE">
      <w:pPr>
        <w:pStyle w:val="a3"/>
        <w:spacing w:after="0" w:line="240" w:lineRule="auto"/>
        <w:ind w:left="0" w:firstLine="708"/>
        <w:jc w:val="both"/>
        <w:rPr>
          <w:rFonts w:ascii="Times New Roman" w:eastAsia="Times New Roman" w:hAnsi="Times New Roman" w:cs="Times New Roman"/>
          <w:i/>
          <w:sz w:val="28"/>
          <w:szCs w:val="28"/>
        </w:rPr>
      </w:pPr>
      <w:r w:rsidRPr="004135FE">
        <w:rPr>
          <w:rFonts w:ascii="Times New Roman" w:hAnsi="Times New Roman" w:cs="Times New Roman"/>
          <w:sz w:val="28"/>
          <w:szCs w:val="28"/>
        </w:rPr>
        <w:t xml:space="preserve">В итоге, ни один врач эндокринолог не проводит </w:t>
      </w:r>
      <w:r w:rsidRPr="004135FE">
        <w:rPr>
          <w:rFonts w:ascii="Times New Roman" w:eastAsia="Times New Roman" w:hAnsi="Times New Roman" w:cs="Times New Roman"/>
          <w:sz w:val="28"/>
          <w:szCs w:val="28"/>
        </w:rPr>
        <w:t>индивидуальный подбор ФА с учетом противопоказании и мер предосторожностей для пациентов с СД2т.</w:t>
      </w:r>
      <w:r w:rsidRPr="004135FE">
        <w:rPr>
          <w:rFonts w:ascii="Times New Roman" w:eastAsia="Times New Roman" w:hAnsi="Times New Roman" w:cs="Times New Roman"/>
          <w:i/>
          <w:sz w:val="28"/>
          <w:szCs w:val="28"/>
        </w:rPr>
        <w:t xml:space="preserve"> Пациенты с СД2т больше привязаны к эндокринологам, так как нозологическая единица находится под их контролем. По рекомендациям </w:t>
      </w:r>
      <w:r w:rsidRPr="004135FE">
        <w:rPr>
          <w:rFonts w:ascii="Times New Roman" w:eastAsia="Times New Roman" w:hAnsi="Times New Roman" w:cs="Times New Roman"/>
          <w:i/>
          <w:sz w:val="28"/>
          <w:szCs w:val="28"/>
          <w:lang w:val="en-US"/>
        </w:rPr>
        <w:t>ADA</w:t>
      </w:r>
      <w:r w:rsidRPr="004135FE">
        <w:rPr>
          <w:rFonts w:ascii="Times New Roman" w:eastAsia="Times New Roman" w:hAnsi="Times New Roman" w:cs="Times New Roman"/>
          <w:i/>
          <w:sz w:val="28"/>
          <w:szCs w:val="28"/>
          <w:lang w:val="kk-KZ"/>
        </w:rPr>
        <w:t xml:space="preserve">, врачи эндокринологи, учитывая состояние здоровья пациента подбирают ФА, для каждого пациента, а обучение проводится в ШД или ЗОЖ. </w:t>
      </w:r>
      <w:r w:rsidRPr="004135FE">
        <w:rPr>
          <w:rFonts w:ascii="Times New Roman" w:eastAsia="Times New Roman" w:hAnsi="Times New Roman" w:cs="Times New Roman"/>
          <w:i/>
          <w:sz w:val="28"/>
          <w:szCs w:val="28"/>
        </w:rPr>
        <w:t>Без требования в Казахстанском протоколе диагностики и лечения, эндокринологи ПМСП не обязуются взяться за дополнительную услугу, поэтому рекомендуем внести изменения в данный документ.</w:t>
      </w:r>
    </w:p>
    <w:p w14:paraId="210DC48A" w14:textId="77777777" w:rsidR="007A2C38" w:rsidRPr="004135FE" w:rsidRDefault="007A2C38" w:rsidP="004135FE">
      <w:pPr>
        <w:pStyle w:val="a3"/>
        <w:spacing w:after="0" w:line="240" w:lineRule="auto"/>
        <w:ind w:left="0" w:firstLine="708"/>
        <w:jc w:val="both"/>
        <w:rPr>
          <w:rFonts w:ascii="Times New Roman" w:eastAsia="Times New Roman" w:hAnsi="Times New Roman" w:cs="Times New Roman"/>
          <w:i/>
          <w:sz w:val="28"/>
          <w:szCs w:val="28"/>
        </w:rPr>
      </w:pPr>
    </w:p>
    <w:p w14:paraId="2839B275" w14:textId="77777777" w:rsidR="007A2C38" w:rsidRPr="004135FE" w:rsidRDefault="007A2C38" w:rsidP="00935879">
      <w:pPr>
        <w:pStyle w:val="a3"/>
        <w:widowControl w:val="0"/>
        <w:autoSpaceDE w:val="0"/>
        <w:autoSpaceDN w:val="0"/>
        <w:adjustRightInd w:val="0"/>
        <w:spacing w:after="0" w:line="240" w:lineRule="auto"/>
        <w:ind w:left="0" w:firstLine="708"/>
        <w:jc w:val="center"/>
        <w:rPr>
          <w:rFonts w:ascii="Times New Roman" w:hAnsi="Times New Roman" w:cs="Times New Roman"/>
          <w:sz w:val="28"/>
          <w:szCs w:val="28"/>
        </w:rPr>
      </w:pPr>
      <w:r w:rsidRPr="004135FE">
        <w:rPr>
          <w:noProof/>
          <w:sz w:val="28"/>
          <w:szCs w:val="28"/>
        </w:rPr>
        <w:lastRenderedPageBreak/>
        <w:drawing>
          <wp:inline distT="0" distB="0" distL="0" distR="0" wp14:anchorId="63480D00" wp14:editId="458948BF">
            <wp:extent cx="4572000" cy="2480733"/>
            <wp:effectExtent l="0" t="0" r="0" b="15240"/>
            <wp:docPr id="135" name="Диаграмма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8DCD26A" w14:textId="77777777" w:rsidR="00935879" w:rsidRDefault="00935879" w:rsidP="00935879">
      <w:pPr>
        <w:spacing w:after="0" w:line="240" w:lineRule="auto"/>
        <w:jc w:val="center"/>
        <w:rPr>
          <w:rFonts w:ascii="Times New Roman" w:eastAsia="Times New Roman" w:hAnsi="Times New Roman" w:cs="Times New Roman"/>
          <w:sz w:val="28"/>
          <w:szCs w:val="28"/>
        </w:rPr>
      </w:pPr>
    </w:p>
    <w:p w14:paraId="4880018E" w14:textId="61788D97" w:rsidR="007A2C38" w:rsidRPr="004135FE" w:rsidRDefault="007A2C38" w:rsidP="0093587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Рисунок 17- </w:t>
      </w:r>
      <w:r w:rsidRPr="004135FE">
        <w:rPr>
          <w:rFonts w:ascii="Times New Roman" w:hAnsi="Times New Roman" w:cs="Times New Roman"/>
          <w:sz w:val="28"/>
          <w:szCs w:val="28"/>
        </w:rPr>
        <w:t xml:space="preserve">Частота </w:t>
      </w:r>
      <w:r w:rsidRPr="004135FE">
        <w:rPr>
          <w:rFonts w:ascii="Times New Roman" w:eastAsia="Times New Roman" w:hAnsi="Times New Roman" w:cs="Times New Roman"/>
          <w:sz w:val="28"/>
          <w:szCs w:val="28"/>
        </w:rPr>
        <w:t>индивидуального подбора физической активности с учетом противопоказании и мер предосторожностей для пациентов с СД2т</w:t>
      </w:r>
    </w:p>
    <w:p w14:paraId="71C87043" w14:textId="77777777" w:rsidR="007A2C38" w:rsidRPr="004135FE" w:rsidRDefault="007A2C38" w:rsidP="004135FE">
      <w:pPr>
        <w:widowControl w:val="0"/>
        <w:autoSpaceDE w:val="0"/>
        <w:autoSpaceDN w:val="0"/>
        <w:adjustRightInd w:val="0"/>
        <w:spacing w:after="0" w:line="240" w:lineRule="auto"/>
        <w:jc w:val="both"/>
        <w:rPr>
          <w:rFonts w:ascii="Times New Roman" w:hAnsi="Times New Roman" w:cs="Times New Roman"/>
          <w:sz w:val="28"/>
          <w:szCs w:val="28"/>
        </w:rPr>
      </w:pPr>
    </w:p>
    <w:p w14:paraId="3187A5B7" w14:textId="3BBE0486" w:rsidR="007A2C38" w:rsidRDefault="007A2C38" w:rsidP="00935879">
      <w:pPr>
        <w:pStyle w:val="a3"/>
        <w:tabs>
          <w:tab w:val="center" w:pos="567"/>
          <w:tab w:val="left" w:pos="851"/>
        </w:tabs>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eastAsia="Times New Roman" w:hAnsi="Times New Roman" w:cs="Times New Roman"/>
          <w:sz w:val="28"/>
          <w:szCs w:val="28"/>
        </w:rPr>
        <w:t>48,60% в</w:t>
      </w:r>
      <w:r w:rsidRPr="004135FE">
        <w:rPr>
          <w:rFonts w:ascii="Times New Roman" w:hAnsi="Times New Roman" w:cs="Times New Roman"/>
          <w:sz w:val="28"/>
          <w:szCs w:val="28"/>
        </w:rPr>
        <w:t xml:space="preserve">рачей эндокринологов проводят обследования на репродуктивный потенциал среди женщин фертильного возраста (ЖФВ) с СД2т в основном при предъявлении жалоб на нарушение </w:t>
      </w:r>
      <w:r w:rsidRPr="004135FE">
        <w:rPr>
          <w:rFonts w:ascii="Times New Roman" w:eastAsia="Times New Roman" w:hAnsi="Times New Roman" w:cs="Times New Roman"/>
          <w:sz w:val="28"/>
          <w:szCs w:val="28"/>
        </w:rPr>
        <w:t xml:space="preserve">менструального цикла, </w:t>
      </w:r>
      <w:r w:rsidRPr="004135FE">
        <w:rPr>
          <w:rFonts w:ascii="Times New Roman" w:hAnsi="Times New Roman" w:cs="Times New Roman"/>
          <w:sz w:val="28"/>
          <w:szCs w:val="28"/>
        </w:rPr>
        <w:t>25,</w:t>
      </w:r>
      <w:r w:rsidRPr="004135FE">
        <w:rPr>
          <w:rFonts w:ascii="Times New Roman" w:eastAsia="Times New Roman" w:hAnsi="Times New Roman" w:cs="Times New Roman"/>
          <w:sz w:val="28"/>
          <w:szCs w:val="28"/>
        </w:rPr>
        <w:t>7% п</w:t>
      </w:r>
      <w:r w:rsidRPr="004135FE">
        <w:rPr>
          <w:rFonts w:ascii="Times New Roman" w:hAnsi="Times New Roman" w:cs="Times New Roman"/>
          <w:sz w:val="28"/>
          <w:szCs w:val="28"/>
        </w:rPr>
        <w:t>ри возникновении проблем с зачатием ребенка у пациента с СД2т. 11,40% врачей направляют к гинекологу и 8,6% проводят обследование женщин с СД2т, если м</w:t>
      </w:r>
      <w:r w:rsidRPr="004135FE">
        <w:rPr>
          <w:rFonts w:ascii="Times New Roman" w:eastAsia="Times New Roman" w:hAnsi="Times New Roman" w:cs="Times New Roman"/>
          <w:sz w:val="28"/>
          <w:szCs w:val="28"/>
        </w:rPr>
        <w:t>олодой возраст и есть клинические симптомы.</w:t>
      </w:r>
      <w:r w:rsidRPr="004135FE">
        <w:rPr>
          <w:rFonts w:ascii="Times New Roman" w:hAnsi="Times New Roman" w:cs="Times New Roman"/>
          <w:sz w:val="28"/>
          <w:szCs w:val="28"/>
        </w:rPr>
        <w:t xml:space="preserve"> Есть и врачи, которые не ведут обследования ни при каких обстоятельствах-5,7%. Так же без курации остаются все женщины, если направлены гинекологом с установленным диагнозом. </w:t>
      </w:r>
    </w:p>
    <w:p w14:paraId="03C06AC4" w14:textId="77777777" w:rsidR="00935879" w:rsidRPr="004135FE" w:rsidRDefault="00935879" w:rsidP="00935879">
      <w:pPr>
        <w:pStyle w:val="a3"/>
        <w:tabs>
          <w:tab w:val="center" w:pos="567"/>
          <w:tab w:val="left" w:pos="851"/>
        </w:tabs>
        <w:autoSpaceDE w:val="0"/>
        <w:autoSpaceDN w:val="0"/>
        <w:adjustRightInd w:val="0"/>
        <w:spacing w:after="0" w:line="240" w:lineRule="auto"/>
        <w:ind w:left="0" w:firstLine="709"/>
        <w:jc w:val="both"/>
        <w:rPr>
          <w:rFonts w:ascii="Times New Roman" w:hAnsi="Times New Roman" w:cs="Times New Roman"/>
          <w:bCs/>
          <w:sz w:val="28"/>
          <w:szCs w:val="28"/>
        </w:rPr>
      </w:pPr>
    </w:p>
    <w:p w14:paraId="3BED1C32" w14:textId="77777777" w:rsidR="007A2C38" w:rsidRPr="004135FE" w:rsidRDefault="007A2C38" w:rsidP="00935879">
      <w:pPr>
        <w:pStyle w:val="a3"/>
        <w:tabs>
          <w:tab w:val="center" w:pos="567"/>
        </w:tabs>
        <w:autoSpaceDE w:val="0"/>
        <w:autoSpaceDN w:val="0"/>
        <w:adjustRightInd w:val="0"/>
        <w:spacing w:after="0" w:line="240" w:lineRule="auto"/>
        <w:ind w:left="0"/>
        <w:jc w:val="center"/>
        <w:rPr>
          <w:rFonts w:ascii="Times New Roman" w:hAnsi="Times New Roman" w:cs="Times New Roman"/>
          <w:bCs/>
          <w:sz w:val="28"/>
          <w:szCs w:val="28"/>
        </w:rPr>
      </w:pPr>
      <w:r w:rsidRPr="004135FE">
        <w:rPr>
          <w:noProof/>
          <w:sz w:val="28"/>
          <w:szCs w:val="28"/>
        </w:rPr>
        <w:drawing>
          <wp:inline distT="0" distB="0" distL="0" distR="0" wp14:anchorId="31ABB796" wp14:editId="55D1F877">
            <wp:extent cx="4572000" cy="2446867"/>
            <wp:effectExtent l="0" t="0" r="0" b="10795"/>
            <wp:docPr id="132" name="Диаграмма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10508681" w14:textId="77777777" w:rsidR="00935879" w:rsidRDefault="00935879" w:rsidP="00935879">
      <w:pPr>
        <w:spacing w:after="0" w:line="240" w:lineRule="auto"/>
        <w:jc w:val="center"/>
        <w:rPr>
          <w:rFonts w:ascii="Times New Roman" w:eastAsia="Times New Roman" w:hAnsi="Times New Roman" w:cs="Times New Roman"/>
          <w:sz w:val="28"/>
          <w:szCs w:val="28"/>
        </w:rPr>
      </w:pPr>
    </w:p>
    <w:p w14:paraId="125F8548" w14:textId="4D1A9846" w:rsidR="007A2C38" w:rsidRPr="004135FE" w:rsidRDefault="007A2C38" w:rsidP="0093587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Рисунок 18- </w:t>
      </w:r>
      <w:r w:rsidRPr="004135FE">
        <w:rPr>
          <w:rFonts w:ascii="Times New Roman" w:hAnsi="Times New Roman" w:cs="Times New Roman"/>
          <w:sz w:val="28"/>
          <w:szCs w:val="28"/>
        </w:rPr>
        <w:t>Частота обследования репродуктивного потенциала среди ЖФВ с СД2т на уровне ПМСП</w:t>
      </w:r>
    </w:p>
    <w:p w14:paraId="7588C9D5"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p>
    <w:p w14:paraId="1BB3F6CE" w14:textId="77777777" w:rsidR="007A2C38" w:rsidRPr="004135FE" w:rsidRDefault="007A2C38" w:rsidP="00935879">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rPr>
      </w:pPr>
      <w:r w:rsidRPr="004135FE">
        <w:rPr>
          <w:rFonts w:ascii="Times New Roman" w:hAnsi="Times New Roman" w:cs="Times New Roman"/>
          <w:sz w:val="28"/>
          <w:szCs w:val="28"/>
        </w:rPr>
        <w:t xml:space="preserve">При СД2т в 90% случаях пациенты имеют ожирение, которое в свою очередь способствуют развитию гипогонадизма. Исследование показало, что </w:t>
      </w:r>
      <w:r w:rsidRPr="004135FE">
        <w:rPr>
          <w:rFonts w:ascii="Times New Roman" w:hAnsi="Times New Roman" w:cs="Times New Roman"/>
          <w:sz w:val="28"/>
          <w:szCs w:val="28"/>
        </w:rPr>
        <w:lastRenderedPageBreak/>
        <w:t xml:space="preserve">врачи не имеющие квалификационную категорию при предъявлении характерных жалоб в </w:t>
      </w:r>
      <w:r w:rsidRPr="004135FE">
        <w:rPr>
          <w:rFonts w:ascii="Times New Roman" w:eastAsia="Times New Roman" w:hAnsi="Times New Roman" w:cs="Times New Roman"/>
          <w:color w:val="000000"/>
          <w:sz w:val="28"/>
          <w:szCs w:val="28"/>
        </w:rPr>
        <w:t>76,9</w:t>
      </w:r>
      <w:r w:rsidRPr="004135FE">
        <w:rPr>
          <w:rFonts w:ascii="Times New Roman" w:eastAsia="Times New Roman" w:hAnsi="Times New Roman" w:cs="Times New Roman"/>
          <w:sz w:val="28"/>
          <w:szCs w:val="28"/>
        </w:rPr>
        <w:t>%</w:t>
      </w:r>
      <w:r w:rsidRPr="004135FE">
        <w:rPr>
          <w:rFonts w:ascii="Times New Roman" w:hAnsi="Times New Roman" w:cs="Times New Roman"/>
          <w:sz w:val="28"/>
          <w:szCs w:val="28"/>
        </w:rPr>
        <w:t xml:space="preserve"> случаях проводят диагностику и лечение гипогонадизма пациенту с СД2т, а в </w:t>
      </w:r>
      <w:r w:rsidRPr="004135FE">
        <w:rPr>
          <w:rFonts w:ascii="Times New Roman" w:eastAsia="Times New Roman" w:hAnsi="Times New Roman" w:cs="Times New Roman"/>
          <w:color w:val="000000"/>
          <w:sz w:val="28"/>
          <w:szCs w:val="28"/>
        </w:rPr>
        <w:t xml:space="preserve">23,1% случаях не проводят. Врачи с высшей категорией проводят обследование репродуктивной функции в 57,1% случаях после соответственных жалоб пациента, в 28,6% случаях при ожирении объективного характера, 14,3%- не проводят. Врачи первой </w:t>
      </w:r>
      <w:r w:rsidRPr="004135FE">
        <w:rPr>
          <w:rFonts w:ascii="Times New Roman" w:hAnsi="Times New Roman" w:cs="Times New Roman"/>
          <w:sz w:val="28"/>
          <w:szCs w:val="28"/>
        </w:rPr>
        <w:t xml:space="preserve">квалификационной категории берутся за обследование и лечение пациентов </w:t>
      </w:r>
      <w:r w:rsidRPr="004135FE">
        <w:rPr>
          <w:rFonts w:ascii="Times New Roman" w:hAnsi="Times New Roman" w:cs="Times New Roman"/>
          <w:sz w:val="28"/>
          <w:szCs w:val="28"/>
          <w:lang w:val="kk-KZ"/>
        </w:rPr>
        <w:t>при наличии</w:t>
      </w:r>
      <w:r w:rsidRPr="004135FE">
        <w:rPr>
          <w:rFonts w:ascii="Times New Roman" w:hAnsi="Times New Roman" w:cs="Times New Roman"/>
          <w:sz w:val="28"/>
          <w:szCs w:val="28"/>
        </w:rPr>
        <w:t xml:space="preserve"> жалоб</w:t>
      </w:r>
      <w:r w:rsidRPr="004135FE">
        <w:rPr>
          <w:rFonts w:ascii="Times New Roman" w:hAnsi="Times New Roman" w:cs="Times New Roman"/>
          <w:sz w:val="28"/>
          <w:szCs w:val="28"/>
          <w:lang w:val="kk-KZ"/>
        </w:rPr>
        <w:t xml:space="preserve"> </w:t>
      </w:r>
      <w:r w:rsidRPr="004135FE">
        <w:rPr>
          <w:rFonts w:ascii="Times New Roman" w:hAnsi="Times New Roman" w:cs="Times New Roman"/>
          <w:sz w:val="28"/>
          <w:szCs w:val="28"/>
        </w:rPr>
        <w:t xml:space="preserve">в </w:t>
      </w:r>
      <w:r w:rsidRPr="004135FE">
        <w:rPr>
          <w:rFonts w:ascii="Times New Roman" w:eastAsia="Times New Roman" w:hAnsi="Times New Roman" w:cs="Times New Roman"/>
          <w:color w:val="000000"/>
          <w:sz w:val="28"/>
          <w:szCs w:val="28"/>
        </w:rPr>
        <w:t xml:space="preserve">50% случаях, направляют урологу-30%, при ожирении- 20%. Врачи второй </w:t>
      </w:r>
      <w:r w:rsidRPr="004135FE">
        <w:rPr>
          <w:rFonts w:ascii="Times New Roman" w:hAnsi="Times New Roman" w:cs="Times New Roman"/>
          <w:sz w:val="28"/>
          <w:szCs w:val="28"/>
        </w:rPr>
        <w:t xml:space="preserve">квалификационной категории </w:t>
      </w:r>
      <w:r w:rsidRPr="004135FE">
        <w:rPr>
          <w:rFonts w:ascii="Times New Roman" w:eastAsia="Times New Roman" w:hAnsi="Times New Roman" w:cs="Times New Roman"/>
          <w:color w:val="000000"/>
          <w:sz w:val="28"/>
          <w:szCs w:val="28"/>
        </w:rPr>
        <w:t>проводят обследование пациентов с СД2т молодого возраста с клиническими симптомами гипогонадизма и направляют урологу в 40% случаях, 20% при наличии характерных жалоб.</w:t>
      </w:r>
    </w:p>
    <w:p w14:paraId="620FEB37" w14:textId="77777777" w:rsidR="007A2C38" w:rsidRPr="004135FE" w:rsidRDefault="007A2C38" w:rsidP="00935879">
      <w:pPr>
        <w:pStyle w:val="a3"/>
        <w:widowControl w:val="0"/>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Анализ ответов респондентов показали, что не все случаи гипогонадизма при СД2т контролируются. Наибольшее количество врачей</w:t>
      </w:r>
      <w:r w:rsidRPr="004135FE">
        <w:rPr>
          <w:rFonts w:ascii="Times New Roman" w:hAnsi="Times New Roman" w:cs="Times New Roman"/>
          <w:i/>
          <w:sz w:val="28"/>
          <w:szCs w:val="28"/>
        </w:rPr>
        <w:t xml:space="preserve"> </w:t>
      </w:r>
      <w:r w:rsidRPr="004135FE">
        <w:rPr>
          <w:rFonts w:ascii="Times New Roman" w:hAnsi="Times New Roman" w:cs="Times New Roman"/>
          <w:sz w:val="28"/>
          <w:szCs w:val="28"/>
        </w:rPr>
        <w:t>проводят обследование на наличие синдрома гипогонадизма и лечение, только при предъявлении жалоб со стороны пациента. В клинической практике диагностика и лечение гипогонадизма должны проводиться не только при жалобе, но и при объективном осмотре, клинических данных, а также в сотрудничестве с другими специалистами. (χ2=28,894, df=12, p=0,004).</w:t>
      </w:r>
    </w:p>
    <w:p w14:paraId="17BF8788" w14:textId="77777777" w:rsidR="007A2C38" w:rsidRPr="004135FE" w:rsidRDefault="007A2C38" w:rsidP="00935879">
      <w:pPr>
        <w:pStyle w:val="a3"/>
        <w:widowControl w:val="0"/>
        <w:autoSpaceDE w:val="0"/>
        <w:autoSpaceDN w:val="0"/>
        <w:adjustRightInd w:val="0"/>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У </w:t>
      </w:r>
      <w:r w:rsidRPr="004135FE">
        <w:rPr>
          <w:rFonts w:ascii="Times New Roman" w:eastAsia="Times New Roman" w:hAnsi="Times New Roman" w:cs="Times New Roman"/>
          <w:color w:val="000000"/>
          <w:sz w:val="28"/>
          <w:szCs w:val="28"/>
        </w:rPr>
        <w:t>90</w:t>
      </w:r>
      <w:r w:rsidRPr="004135FE">
        <w:rPr>
          <w:rFonts w:ascii="Times New Roman" w:eastAsia="Times New Roman" w:hAnsi="Times New Roman" w:cs="Times New Roman"/>
          <w:sz w:val="28"/>
          <w:szCs w:val="28"/>
        </w:rPr>
        <w:t>%</w:t>
      </w:r>
      <w:r w:rsidRPr="004135FE">
        <w:rPr>
          <w:rFonts w:ascii="Times New Roman" w:hAnsi="Times New Roman" w:cs="Times New Roman"/>
          <w:sz w:val="28"/>
          <w:szCs w:val="28"/>
        </w:rPr>
        <w:t xml:space="preserve"> врачей первой и </w:t>
      </w:r>
      <w:r w:rsidRPr="004135FE">
        <w:rPr>
          <w:rFonts w:ascii="Times New Roman" w:eastAsia="Times New Roman" w:hAnsi="Times New Roman" w:cs="Times New Roman"/>
          <w:color w:val="000000"/>
          <w:sz w:val="28"/>
          <w:szCs w:val="28"/>
        </w:rPr>
        <w:t>57,1</w:t>
      </w:r>
      <w:r w:rsidRPr="004135FE">
        <w:rPr>
          <w:rFonts w:ascii="Times New Roman" w:eastAsia="Times New Roman" w:hAnsi="Times New Roman" w:cs="Times New Roman"/>
          <w:sz w:val="28"/>
          <w:szCs w:val="28"/>
        </w:rPr>
        <w:t>%</w:t>
      </w:r>
      <w:r w:rsidRPr="004135FE">
        <w:rPr>
          <w:rFonts w:ascii="Times New Roman" w:hAnsi="Times New Roman" w:cs="Times New Roman"/>
          <w:sz w:val="28"/>
          <w:szCs w:val="28"/>
        </w:rPr>
        <w:t xml:space="preserve"> высшей категории в своей эндокринной практике ГСД возникший во время беременности в единичный раз переходил на</w:t>
      </w:r>
      <w:r w:rsidRPr="004135FE">
        <w:rPr>
          <w:rFonts w:ascii="Times New Roman" w:hAnsi="Times New Roman" w:cs="Times New Roman"/>
          <w:sz w:val="28"/>
          <w:szCs w:val="28"/>
          <w:lang w:val="kk-KZ"/>
        </w:rPr>
        <w:t xml:space="preserve"> хроническую форму</w:t>
      </w:r>
      <w:r w:rsidRPr="004135FE">
        <w:rPr>
          <w:rFonts w:ascii="Times New Roman" w:hAnsi="Times New Roman" w:cs="Times New Roman"/>
          <w:sz w:val="28"/>
          <w:szCs w:val="28"/>
        </w:rPr>
        <w:t xml:space="preserve"> СД2т после родов. </w:t>
      </w:r>
      <w:r w:rsidRPr="004135FE">
        <w:rPr>
          <w:rFonts w:ascii="Times New Roman" w:eastAsia="Times New Roman" w:hAnsi="Times New Roman" w:cs="Times New Roman"/>
          <w:color w:val="000000"/>
          <w:sz w:val="28"/>
          <w:szCs w:val="28"/>
        </w:rPr>
        <w:t>53,8</w:t>
      </w:r>
      <w:r w:rsidRPr="004135FE">
        <w:rPr>
          <w:rFonts w:ascii="Times New Roman" w:eastAsia="Times New Roman" w:hAnsi="Times New Roman" w:cs="Times New Roman"/>
          <w:sz w:val="28"/>
          <w:szCs w:val="28"/>
        </w:rPr>
        <w:t xml:space="preserve">% </w:t>
      </w:r>
      <w:r w:rsidRPr="004135FE">
        <w:rPr>
          <w:rFonts w:ascii="Times New Roman" w:hAnsi="Times New Roman" w:cs="Times New Roman"/>
          <w:sz w:val="28"/>
          <w:szCs w:val="28"/>
        </w:rPr>
        <w:t>врачей без категории не сталкивались с ГСД на своей практике (χ2=33,530, df=9, p=0,0001). Различия между группами квалификационной категории врачей высоко достоверны.</w:t>
      </w:r>
    </w:p>
    <w:p w14:paraId="29BF2B1F" w14:textId="77777777" w:rsidR="007A2C38" w:rsidRPr="004135FE" w:rsidRDefault="007A2C38" w:rsidP="004135FE">
      <w:pPr>
        <w:pStyle w:val="a3"/>
        <w:spacing w:after="0" w:line="240" w:lineRule="auto"/>
        <w:ind w:left="0" w:firstLine="708"/>
        <w:jc w:val="both"/>
        <w:rPr>
          <w:rFonts w:ascii="Times New Roman" w:eastAsia="Times New Roman" w:hAnsi="Times New Roman" w:cs="Times New Roman"/>
          <w:sz w:val="28"/>
          <w:szCs w:val="28"/>
        </w:rPr>
      </w:pPr>
    </w:p>
    <w:p w14:paraId="25E61F60" w14:textId="4B85C0D0" w:rsidR="007A2C38" w:rsidRDefault="007A2C38" w:rsidP="00935879">
      <w:pPr>
        <w:pStyle w:val="a3"/>
        <w:spacing w:after="0" w:line="240" w:lineRule="auto"/>
        <w:ind w:left="0"/>
        <w:jc w:val="both"/>
        <w:rPr>
          <w:rFonts w:ascii="Times New Roman" w:hAnsi="Times New Roman" w:cs="Times New Roman"/>
          <w:sz w:val="28"/>
          <w:szCs w:val="28"/>
        </w:rPr>
      </w:pPr>
      <w:r w:rsidRPr="004135FE">
        <w:rPr>
          <w:rFonts w:ascii="Times New Roman" w:hAnsi="Times New Roman" w:cs="Times New Roman"/>
          <w:sz w:val="28"/>
          <w:szCs w:val="28"/>
        </w:rPr>
        <w:t>Таблица 2</w:t>
      </w:r>
      <w:r w:rsidR="00B728EF" w:rsidRPr="004135FE">
        <w:rPr>
          <w:rFonts w:ascii="Times New Roman" w:hAnsi="Times New Roman" w:cs="Times New Roman"/>
          <w:sz w:val="28"/>
          <w:szCs w:val="28"/>
        </w:rPr>
        <w:t>0</w:t>
      </w:r>
      <w:r w:rsidR="00935879">
        <w:rPr>
          <w:rFonts w:ascii="Times New Roman" w:hAnsi="Times New Roman" w:cs="Times New Roman"/>
          <w:sz w:val="28"/>
          <w:szCs w:val="28"/>
          <w:lang w:val="kk-KZ"/>
        </w:rPr>
        <w:t xml:space="preserve"> </w:t>
      </w:r>
      <w:r w:rsidRPr="004135FE">
        <w:rPr>
          <w:rFonts w:ascii="Times New Roman" w:hAnsi="Times New Roman" w:cs="Times New Roman"/>
          <w:sz w:val="28"/>
          <w:szCs w:val="28"/>
        </w:rPr>
        <w:t>- Взаимосвязь квалификационной категории врачей эндокринологов с процессом работы с пациентами с СД2т на уровне ПМСП</w:t>
      </w:r>
    </w:p>
    <w:p w14:paraId="3A395291" w14:textId="77777777" w:rsidR="00935879" w:rsidRPr="004135FE" w:rsidRDefault="00935879" w:rsidP="00935879">
      <w:pPr>
        <w:pStyle w:val="a3"/>
        <w:spacing w:after="0" w:line="240" w:lineRule="auto"/>
        <w:ind w:left="0"/>
        <w:jc w:val="both"/>
        <w:rPr>
          <w:rFonts w:ascii="Times New Roman" w:hAnsi="Times New Roman" w:cs="Times New Roman"/>
          <w:caps/>
          <w:sz w:val="28"/>
          <w:szCs w:val="28"/>
        </w:rPr>
      </w:pPr>
    </w:p>
    <w:tbl>
      <w:tblPr>
        <w:tblStyle w:val="a5"/>
        <w:tblW w:w="9344" w:type="dxa"/>
        <w:tblLook w:val="04A0" w:firstRow="1" w:lastRow="0" w:firstColumn="1" w:lastColumn="0" w:noHBand="0" w:noVBand="1"/>
      </w:tblPr>
      <w:tblGrid>
        <w:gridCol w:w="2898"/>
        <w:gridCol w:w="1318"/>
        <w:gridCol w:w="1298"/>
        <w:gridCol w:w="1238"/>
        <w:gridCol w:w="1358"/>
        <w:gridCol w:w="1234"/>
      </w:tblGrid>
      <w:tr w:rsidR="007A2C38" w:rsidRPr="00935879" w14:paraId="2C25273C" w14:textId="77777777" w:rsidTr="00935879">
        <w:trPr>
          <w:trHeight w:val="315"/>
        </w:trPr>
        <w:tc>
          <w:tcPr>
            <w:tcW w:w="2898" w:type="dxa"/>
          </w:tcPr>
          <w:p w14:paraId="084E7AEC"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Варианты ответов</w:t>
            </w:r>
          </w:p>
        </w:tc>
        <w:tc>
          <w:tcPr>
            <w:tcW w:w="1318" w:type="dxa"/>
            <w:noWrap/>
            <w:hideMark/>
          </w:tcPr>
          <w:p w14:paraId="45CE696E"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Высшая  категория</w:t>
            </w:r>
          </w:p>
        </w:tc>
        <w:tc>
          <w:tcPr>
            <w:tcW w:w="1298" w:type="dxa"/>
            <w:noWrap/>
            <w:hideMark/>
          </w:tcPr>
          <w:p w14:paraId="1AAF758F"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1 квалиф. категория</w:t>
            </w:r>
          </w:p>
        </w:tc>
        <w:tc>
          <w:tcPr>
            <w:tcW w:w="1238" w:type="dxa"/>
            <w:noWrap/>
            <w:hideMark/>
          </w:tcPr>
          <w:p w14:paraId="583DA532"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2  квалиф. категория</w:t>
            </w:r>
          </w:p>
        </w:tc>
        <w:tc>
          <w:tcPr>
            <w:tcW w:w="1358" w:type="dxa"/>
            <w:noWrap/>
            <w:hideMark/>
          </w:tcPr>
          <w:p w14:paraId="4FF75C7C"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нет категории</w:t>
            </w:r>
          </w:p>
        </w:tc>
        <w:tc>
          <w:tcPr>
            <w:tcW w:w="1234" w:type="dxa"/>
            <w:noWrap/>
            <w:hideMark/>
          </w:tcPr>
          <w:p w14:paraId="5FA3DB69"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Всего</w:t>
            </w:r>
          </w:p>
        </w:tc>
      </w:tr>
      <w:tr w:rsidR="007A2C38" w:rsidRPr="00935879" w14:paraId="153C3DC6" w14:textId="77777777" w:rsidTr="00935879">
        <w:trPr>
          <w:trHeight w:val="315"/>
        </w:trPr>
        <w:tc>
          <w:tcPr>
            <w:tcW w:w="2898" w:type="dxa"/>
            <w:noWrap/>
            <w:hideMark/>
          </w:tcPr>
          <w:p w14:paraId="285EE557"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 1</w:t>
            </w:r>
          </w:p>
        </w:tc>
        <w:tc>
          <w:tcPr>
            <w:tcW w:w="1318" w:type="dxa"/>
            <w:noWrap/>
            <w:hideMark/>
          </w:tcPr>
          <w:p w14:paraId="5B910B74"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2 </w:t>
            </w:r>
          </w:p>
        </w:tc>
        <w:tc>
          <w:tcPr>
            <w:tcW w:w="1298" w:type="dxa"/>
            <w:noWrap/>
            <w:hideMark/>
          </w:tcPr>
          <w:p w14:paraId="66713A9A"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3 </w:t>
            </w:r>
          </w:p>
        </w:tc>
        <w:tc>
          <w:tcPr>
            <w:tcW w:w="1238" w:type="dxa"/>
            <w:noWrap/>
            <w:hideMark/>
          </w:tcPr>
          <w:p w14:paraId="20E22181"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4 </w:t>
            </w:r>
          </w:p>
        </w:tc>
        <w:tc>
          <w:tcPr>
            <w:tcW w:w="1358" w:type="dxa"/>
            <w:noWrap/>
            <w:hideMark/>
          </w:tcPr>
          <w:p w14:paraId="1E2C197F"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5 </w:t>
            </w:r>
          </w:p>
        </w:tc>
        <w:tc>
          <w:tcPr>
            <w:tcW w:w="1234" w:type="dxa"/>
            <w:noWrap/>
            <w:hideMark/>
          </w:tcPr>
          <w:p w14:paraId="1CDAE97E"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6 </w:t>
            </w:r>
          </w:p>
        </w:tc>
      </w:tr>
      <w:tr w:rsidR="007A2C38" w:rsidRPr="00935879" w14:paraId="6DCCF9FC" w14:textId="77777777" w:rsidTr="00935879">
        <w:trPr>
          <w:trHeight w:val="315"/>
        </w:trPr>
        <w:tc>
          <w:tcPr>
            <w:tcW w:w="9344" w:type="dxa"/>
            <w:gridSpan w:val="6"/>
            <w:noWrap/>
            <w:hideMark/>
          </w:tcPr>
          <w:p w14:paraId="39407664" w14:textId="77777777" w:rsidR="007A2C38"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Факторы, влияющие на необходимость обследования, лечения гипогонадизма среди мужчин с СД2т </w:t>
            </w:r>
          </w:p>
          <w:p w14:paraId="431A94D8" w14:textId="55304E80" w:rsidR="00935879" w:rsidRPr="00935879" w:rsidRDefault="00935879" w:rsidP="004135FE">
            <w:pPr>
              <w:spacing w:after="0" w:line="240" w:lineRule="auto"/>
              <w:jc w:val="center"/>
              <w:rPr>
                <w:rFonts w:ascii="Times New Roman" w:eastAsia="Times New Roman" w:hAnsi="Times New Roman" w:cs="Times New Roman"/>
                <w:color w:val="000000"/>
                <w:sz w:val="24"/>
                <w:szCs w:val="24"/>
              </w:rPr>
            </w:pPr>
          </w:p>
        </w:tc>
      </w:tr>
      <w:tr w:rsidR="007A2C38" w:rsidRPr="00935879" w14:paraId="24414A6B" w14:textId="77777777" w:rsidTr="00935879">
        <w:trPr>
          <w:trHeight w:val="293"/>
        </w:trPr>
        <w:tc>
          <w:tcPr>
            <w:tcW w:w="2898" w:type="dxa"/>
            <w:noWrap/>
            <w:hideMark/>
          </w:tcPr>
          <w:p w14:paraId="6B9F1861" w14:textId="77777777" w:rsidR="007A2C38" w:rsidRPr="00935879" w:rsidRDefault="007A2C38" w:rsidP="004135FE">
            <w:pPr>
              <w:spacing w:after="0" w:line="240" w:lineRule="auto"/>
              <w:jc w:val="both"/>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Если есть жалобы</w:t>
            </w:r>
          </w:p>
        </w:tc>
        <w:tc>
          <w:tcPr>
            <w:tcW w:w="1318" w:type="dxa"/>
            <w:noWrap/>
            <w:hideMark/>
          </w:tcPr>
          <w:p w14:paraId="5177275D" w14:textId="7D8DEFC6"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4</w:t>
            </w:r>
            <w:r w:rsidR="00935879" w:rsidRPr="00935879">
              <w:rPr>
                <w:rFonts w:ascii="Times New Roman" w:eastAsia="Times New Roman" w:hAnsi="Times New Roman" w:cs="Times New Roman"/>
                <w:color w:val="000000"/>
                <w:sz w:val="24"/>
                <w:szCs w:val="24"/>
                <w:lang w:val="kk-KZ"/>
              </w:rPr>
              <w:t xml:space="preserve"> </w:t>
            </w:r>
            <w:r w:rsidRPr="00935879">
              <w:rPr>
                <w:rFonts w:ascii="Times New Roman" w:eastAsia="Times New Roman" w:hAnsi="Times New Roman" w:cs="Times New Roman"/>
                <w:color w:val="000000"/>
                <w:sz w:val="24"/>
                <w:szCs w:val="24"/>
              </w:rPr>
              <w:t>(57,1%)</w:t>
            </w:r>
          </w:p>
        </w:tc>
        <w:tc>
          <w:tcPr>
            <w:tcW w:w="1298" w:type="dxa"/>
            <w:noWrap/>
            <w:hideMark/>
          </w:tcPr>
          <w:p w14:paraId="632E0ACD" w14:textId="58503782" w:rsidR="007A2C38" w:rsidRPr="00935879" w:rsidRDefault="007A2C38" w:rsidP="00935879">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5</w:t>
            </w:r>
            <w:r w:rsidR="00935879" w:rsidRPr="00935879">
              <w:rPr>
                <w:rFonts w:ascii="Times New Roman" w:eastAsia="Times New Roman" w:hAnsi="Times New Roman" w:cs="Times New Roman"/>
                <w:color w:val="000000"/>
                <w:sz w:val="24"/>
                <w:szCs w:val="24"/>
                <w:lang w:val="kk-KZ"/>
              </w:rPr>
              <w:t xml:space="preserve"> </w:t>
            </w:r>
            <w:r w:rsidRPr="00935879">
              <w:rPr>
                <w:rFonts w:ascii="Times New Roman" w:eastAsia="Times New Roman" w:hAnsi="Times New Roman" w:cs="Times New Roman"/>
                <w:color w:val="000000"/>
                <w:sz w:val="24"/>
                <w:szCs w:val="24"/>
              </w:rPr>
              <w:t>(50%)</w:t>
            </w:r>
          </w:p>
        </w:tc>
        <w:tc>
          <w:tcPr>
            <w:tcW w:w="1238" w:type="dxa"/>
            <w:noWrap/>
            <w:hideMark/>
          </w:tcPr>
          <w:p w14:paraId="78614983" w14:textId="186E5038" w:rsidR="007A2C38" w:rsidRPr="00935879" w:rsidRDefault="007A2C38" w:rsidP="00935879">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1</w:t>
            </w:r>
            <w:r w:rsidR="00935879" w:rsidRPr="00935879">
              <w:rPr>
                <w:rFonts w:ascii="Times New Roman" w:eastAsia="Times New Roman" w:hAnsi="Times New Roman" w:cs="Times New Roman"/>
                <w:color w:val="000000"/>
                <w:sz w:val="24"/>
                <w:szCs w:val="24"/>
                <w:lang w:val="kk-KZ"/>
              </w:rPr>
              <w:t xml:space="preserve"> </w:t>
            </w:r>
            <w:r w:rsidRPr="00935879">
              <w:rPr>
                <w:rFonts w:ascii="Times New Roman" w:eastAsia="Times New Roman" w:hAnsi="Times New Roman" w:cs="Times New Roman"/>
                <w:color w:val="000000"/>
                <w:sz w:val="24"/>
                <w:szCs w:val="24"/>
              </w:rPr>
              <w:t>(20%)</w:t>
            </w:r>
          </w:p>
        </w:tc>
        <w:tc>
          <w:tcPr>
            <w:tcW w:w="1358" w:type="dxa"/>
            <w:noWrap/>
            <w:hideMark/>
          </w:tcPr>
          <w:p w14:paraId="474E2E23" w14:textId="303A105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10</w:t>
            </w:r>
            <w:r w:rsidR="00935879" w:rsidRPr="00935879">
              <w:rPr>
                <w:rFonts w:ascii="Times New Roman" w:eastAsia="Times New Roman" w:hAnsi="Times New Roman" w:cs="Times New Roman"/>
                <w:color w:val="000000"/>
                <w:sz w:val="24"/>
                <w:szCs w:val="24"/>
                <w:lang w:val="kk-KZ"/>
              </w:rPr>
              <w:t xml:space="preserve"> </w:t>
            </w:r>
            <w:r w:rsidRPr="00935879">
              <w:rPr>
                <w:rFonts w:ascii="Times New Roman" w:eastAsia="Times New Roman" w:hAnsi="Times New Roman" w:cs="Times New Roman"/>
                <w:color w:val="000000"/>
                <w:sz w:val="24"/>
                <w:szCs w:val="24"/>
              </w:rPr>
              <w:t>(76,9%)</w:t>
            </w:r>
          </w:p>
        </w:tc>
        <w:tc>
          <w:tcPr>
            <w:tcW w:w="1234" w:type="dxa"/>
            <w:noWrap/>
            <w:hideMark/>
          </w:tcPr>
          <w:p w14:paraId="1D4CBED2" w14:textId="5B082D96"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20</w:t>
            </w:r>
            <w:r w:rsidR="00935879" w:rsidRPr="00935879">
              <w:rPr>
                <w:rFonts w:ascii="Times New Roman" w:eastAsia="Times New Roman" w:hAnsi="Times New Roman" w:cs="Times New Roman"/>
                <w:color w:val="000000"/>
                <w:sz w:val="24"/>
                <w:szCs w:val="24"/>
                <w:lang w:val="kk-KZ"/>
              </w:rPr>
              <w:t xml:space="preserve"> </w:t>
            </w:r>
            <w:r w:rsidRPr="00935879">
              <w:rPr>
                <w:rFonts w:ascii="Times New Roman" w:eastAsia="Times New Roman" w:hAnsi="Times New Roman" w:cs="Times New Roman"/>
                <w:color w:val="000000"/>
                <w:sz w:val="24"/>
                <w:szCs w:val="24"/>
              </w:rPr>
              <w:t>57,1%)</w:t>
            </w:r>
          </w:p>
        </w:tc>
      </w:tr>
      <w:tr w:rsidR="007A2C38" w:rsidRPr="00935879" w14:paraId="189B5C94" w14:textId="77777777" w:rsidTr="00935879">
        <w:trPr>
          <w:trHeight w:val="411"/>
        </w:trPr>
        <w:tc>
          <w:tcPr>
            <w:tcW w:w="2898" w:type="dxa"/>
            <w:noWrap/>
            <w:hideMark/>
          </w:tcPr>
          <w:p w14:paraId="77D0B353" w14:textId="77777777" w:rsidR="007A2C38" w:rsidRPr="00935879" w:rsidRDefault="007A2C38" w:rsidP="004135FE">
            <w:pPr>
              <w:spacing w:after="0" w:line="240" w:lineRule="auto"/>
              <w:jc w:val="both"/>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Если объективно вижу наличие ожирения</w:t>
            </w:r>
          </w:p>
        </w:tc>
        <w:tc>
          <w:tcPr>
            <w:tcW w:w="1318" w:type="dxa"/>
            <w:noWrap/>
            <w:hideMark/>
          </w:tcPr>
          <w:p w14:paraId="1C7C69CC" w14:textId="4F7DB456" w:rsidR="007A2C38" w:rsidRPr="00935879" w:rsidRDefault="007A2C38" w:rsidP="00935879">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2</w:t>
            </w:r>
            <w:r w:rsidR="00935879">
              <w:rPr>
                <w:rFonts w:ascii="Times New Roman" w:eastAsia="Times New Roman" w:hAnsi="Times New Roman" w:cs="Times New Roman"/>
                <w:color w:val="000000"/>
                <w:sz w:val="24"/>
                <w:szCs w:val="24"/>
                <w:lang w:val="kk-KZ"/>
              </w:rPr>
              <w:t xml:space="preserve"> </w:t>
            </w:r>
            <w:r w:rsidRPr="00935879">
              <w:rPr>
                <w:rFonts w:ascii="Times New Roman" w:eastAsia="Times New Roman" w:hAnsi="Times New Roman" w:cs="Times New Roman"/>
                <w:color w:val="000000"/>
                <w:sz w:val="24"/>
                <w:szCs w:val="24"/>
              </w:rPr>
              <w:t>(28,6%)</w:t>
            </w:r>
          </w:p>
        </w:tc>
        <w:tc>
          <w:tcPr>
            <w:tcW w:w="1298" w:type="dxa"/>
            <w:noWrap/>
            <w:hideMark/>
          </w:tcPr>
          <w:p w14:paraId="6BF36749" w14:textId="247C3251" w:rsidR="007A2C38" w:rsidRPr="00935879" w:rsidRDefault="007A2C38" w:rsidP="00935879">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2</w:t>
            </w:r>
            <w:r w:rsidR="00935879" w:rsidRPr="00935879">
              <w:rPr>
                <w:rFonts w:ascii="Times New Roman" w:eastAsia="Times New Roman" w:hAnsi="Times New Roman" w:cs="Times New Roman"/>
                <w:color w:val="000000"/>
                <w:sz w:val="24"/>
                <w:szCs w:val="24"/>
                <w:lang w:val="kk-KZ"/>
              </w:rPr>
              <w:t xml:space="preserve"> </w:t>
            </w:r>
            <w:r w:rsidRPr="00935879">
              <w:rPr>
                <w:rFonts w:ascii="Times New Roman" w:eastAsia="Times New Roman" w:hAnsi="Times New Roman" w:cs="Times New Roman"/>
                <w:color w:val="000000"/>
                <w:sz w:val="24"/>
                <w:szCs w:val="24"/>
              </w:rPr>
              <w:t>(20%)</w:t>
            </w:r>
          </w:p>
        </w:tc>
        <w:tc>
          <w:tcPr>
            <w:tcW w:w="1238" w:type="dxa"/>
            <w:noWrap/>
            <w:hideMark/>
          </w:tcPr>
          <w:p w14:paraId="73CE53DA"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c>
          <w:tcPr>
            <w:tcW w:w="1358" w:type="dxa"/>
            <w:noWrap/>
            <w:hideMark/>
          </w:tcPr>
          <w:p w14:paraId="4D73C79C"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c>
          <w:tcPr>
            <w:tcW w:w="1234" w:type="dxa"/>
            <w:noWrap/>
            <w:hideMark/>
          </w:tcPr>
          <w:p w14:paraId="6DBD776C" w14:textId="4AA52A37" w:rsidR="007A2C38" w:rsidRPr="00935879" w:rsidRDefault="007A2C38" w:rsidP="00935879">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4</w:t>
            </w:r>
            <w:r w:rsidR="00935879">
              <w:rPr>
                <w:rFonts w:ascii="Times New Roman" w:eastAsia="Times New Roman" w:hAnsi="Times New Roman" w:cs="Times New Roman"/>
                <w:color w:val="000000"/>
                <w:sz w:val="24"/>
                <w:szCs w:val="24"/>
                <w:lang w:val="kk-KZ"/>
              </w:rPr>
              <w:t xml:space="preserve"> </w:t>
            </w:r>
            <w:r w:rsidRPr="00935879">
              <w:rPr>
                <w:rFonts w:ascii="Times New Roman" w:eastAsia="Times New Roman" w:hAnsi="Times New Roman" w:cs="Times New Roman"/>
                <w:color w:val="000000"/>
                <w:sz w:val="24"/>
                <w:szCs w:val="24"/>
              </w:rPr>
              <w:t>(11,4%)</w:t>
            </w:r>
          </w:p>
        </w:tc>
      </w:tr>
      <w:tr w:rsidR="007A2C38" w:rsidRPr="00935879" w14:paraId="345E0D98" w14:textId="77777777" w:rsidTr="00935879">
        <w:trPr>
          <w:trHeight w:val="362"/>
        </w:trPr>
        <w:tc>
          <w:tcPr>
            <w:tcW w:w="2898" w:type="dxa"/>
            <w:noWrap/>
            <w:hideMark/>
          </w:tcPr>
          <w:p w14:paraId="1B3B5470" w14:textId="77777777" w:rsidR="007A2C38" w:rsidRPr="00935879" w:rsidRDefault="007A2C38" w:rsidP="004135FE">
            <w:pPr>
              <w:spacing w:after="0" w:line="240" w:lineRule="auto"/>
              <w:jc w:val="both"/>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Молодой возраст и есть клинические симптомы</w:t>
            </w:r>
          </w:p>
        </w:tc>
        <w:tc>
          <w:tcPr>
            <w:tcW w:w="1318" w:type="dxa"/>
            <w:noWrap/>
            <w:hideMark/>
          </w:tcPr>
          <w:p w14:paraId="4E2308C8"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c>
          <w:tcPr>
            <w:tcW w:w="1298" w:type="dxa"/>
            <w:noWrap/>
            <w:hideMark/>
          </w:tcPr>
          <w:p w14:paraId="3114AE0F"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c>
          <w:tcPr>
            <w:tcW w:w="1238" w:type="dxa"/>
            <w:noWrap/>
            <w:hideMark/>
          </w:tcPr>
          <w:p w14:paraId="01664148" w14:textId="749C42B5" w:rsidR="007A2C38" w:rsidRPr="00935879" w:rsidRDefault="007A2C38" w:rsidP="00935879">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2</w:t>
            </w:r>
            <w:r w:rsidR="00935879">
              <w:rPr>
                <w:rFonts w:ascii="Times New Roman" w:eastAsia="Times New Roman" w:hAnsi="Times New Roman" w:cs="Times New Roman"/>
                <w:color w:val="000000"/>
                <w:sz w:val="24"/>
                <w:szCs w:val="24"/>
                <w:lang w:val="kk-KZ"/>
              </w:rPr>
              <w:t xml:space="preserve"> </w:t>
            </w:r>
            <w:r w:rsidRPr="00935879">
              <w:rPr>
                <w:rFonts w:ascii="Times New Roman" w:eastAsia="Times New Roman" w:hAnsi="Times New Roman" w:cs="Times New Roman"/>
                <w:color w:val="000000"/>
                <w:sz w:val="24"/>
                <w:szCs w:val="24"/>
              </w:rPr>
              <w:t>(40%)</w:t>
            </w:r>
          </w:p>
        </w:tc>
        <w:tc>
          <w:tcPr>
            <w:tcW w:w="1358" w:type="dxa"/>
            <w:noWrap/>
            <w:hideMark/>
          </w:tcPr>
          <w:p w14:paraId="4AE313BD"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c>
          <w:tcPr>
            <w:tcW w:w="1234" w:type="dxa"/>
            <w:noWrap/>
            <w:hideMark/>
          </w:tcPr>
          <w:p w14:paraId="0479166D" w14:textId="1760F6D3" w:rsidR="007A2C38" w:rsidRPr="00935879" w:rsidRDefault="007A2C38" w:rsidP="00935879">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2</w:t>
            </w:r>
            <w:r w:rsidR="00935879">
              <w:rPr>
                <w:rFonts w:ascii="Times New Roman" w:eastAsia="Times New Roman" w:hAnsi="Times New Roman" w:cs="Times New Roman"/>
                <w:color w:val="000000"/>
                <w:sz w:val="24"/>
                <w:szCs w:val="24"/>
                <w:lang w:val="kk-KZ"/>
              </w:rPr>
              <w:t xml:space="preserve"> </w:t>
            </w:r>
            <w:r w:rsidRPr="00935879">
              <w:rPr>
                <w:rFonts w:ascii="Times New Roman" w:eastAsia="Times New Roman" w:hAnsi="Times New Roman" w:cs="Times New Roman"/>
                <w:color w:val="000000"/>
                <w:sz w:val="24"/>
                <w:szCs w:val="24"/>
              </w:rPr>
              <w:t>(5,7%)</w:t>
            </w:r>
          </w:p>
        </w:tc>
      </w:tr>
      <w:tr w:rsidR="007A2C38" w:rsidRPr="00935879" w14:paraId="43F5B37A" w14:textId="77777777" w:rsidTr="00935879">
        <w:trPr>
          <w:trHeight w:val="183"/>
        </w:trPr>
        <w:tc>
          <w:tcPr>
            <w:tcW w:w="2898" w:type="dxa"/>
            <w:noWrap/>
            <w:hideMark/>
          </w:tcPr>
          <w:p w14:paraId="173C4A53" w14:textId="77777777" w:rsidR="007A2C38" w:rsidRPr="00935879" w:rsidRDefault="007A2C38" w:rsidP="004135FE">
            <w:pPr>
              <w:spacing w:after="0" w:line="240" w:lineRule="auto"/>
              <w:jc w:val="both"/>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Направляю урологу</w:t>
            </w:r>
          </w:p>
        </w:tc>
        <w:tc>
          <w:tcPr>
            <w:tcW w:w="1318" w:type="dxa"/>
            <w:noWrap/>
            <w:hideMark/>
          </w:tcPr>
          <w:p w14:paraId="7EFC1E47"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c>
          <w:tcPr>
            <w:tcW w:w="1298" w:type="dxa"/>
            <w:noWrap/>
            <w:hideMark/>
          </w:tcPr>
          <w:p w14:paraId="2922789D" w14:textId="7DE9BB70"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3</w:t>
            </w:r>
            <w:r w:rsidR="00935879">
              <w:rPr>
                <w:rFonts w:ascii="Times New Roman" w:eastAsia="Times New Roman" w:hAnsi="Times New Roman" w:cs="Times New Roman"/>
                <w:color w:val="000000"/>
                <w:sz w:val="24"/>
                <w:szCs w:val="24"/>
                <w:lang w:val="kk-KZ"/>
              </w:rPr>
              <w:t xml:space="preserve"> </w:t>
            </w:r>
            <w:r w:rsidRPr="00935879">
              <w:rPr>
                <w:rFonts w:ascii="Times New Roman" w:eastAsia="Times New Roman" w:hAnsi="Times New Roman" w:cs="Times New Roman"/>
                <w:color w:val="000000"/>
                <w:sz w:val="24"/>
                <w:szCs w:val="24"/>
              </w:rPr>
              <w:t>(30%)</w:t>
            </w:r>
          </w:p>
        </w:tc>
        <w:tc>
          <w:tcPr>
            <w:tcW w:w="1238" w:type="dxa"/>
            <w:noWrap/>
            <w:hideMark/>
          </w:tcPr>
          <w:p w14:paraId="2A79EB64" w14:textId="0AC8C023"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2</w:t>
            </w:r>
            <w:r w:rsidR="00935879">
              <w:rPr>
                <w:rFonts w:ascii="Times New Roman" w:eastAsia="Times New Roman" w:hAnsi="Times New Roman" w:cs="Times New Roman"/>
                <w:color w:val="000000"/>
                <w:sz w:val="24"/>
                <w:szCs w:val="24"/>
                <w:lang w:val="kk-KZ"/>
              </w:rPr>
              <w:t xml:space="preserve"> </w:t>
            </w:r>
            <w:r w:rsidRPr="00935879">
              <w:rPr>
                <w:rFonts w:ascii="Times New Roman" w:eastAsia="Times New Roman" w:hAnsi="Times New Roman" w:cs="Times New Roman"/>
                <w:color w:val="000000"/>
                <w:sz w:val="24"/>
                <w:szCs w:val="24"/>
              </w:rPr>
              <w:t>(40%)</w:t>
            </w:r>
          </w:p>
        </w:tc>
        <w:tc>
          <w:tcPr>
            <w:tcW w:w="1358" w:type="dxa"/>
            <w:noWrap/>
            <w:hideMark/>
          </w:tcPr>
          <w:p w14:paraId="22481254"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c>
          <w:tcPr>
            <w:tcW w:w="1234" w:type="dxa"/>
            <w:noWrap/>
            <w:hideMark/>
          </w:tcPr>
          <w:p w14:paraId="41F3E06E" w14:textId="527FA959"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5</w:t>
            </w:r>
            <w:r w:rsidR="00935879">
              <w:rPr>
                <w:rFonts w:ascii="Times New Roman" w:eastAsia="Times New Roman" w:hAnsi="Times New Roman" w:cs="Times New Roman"/>
                <w:color w:val="000000"/>
                <w:sz w:val="24"/>
                <w:szCs w:val="24"/>
                <w:lang w:val="kk-KZ"/>
              </w:rPr>
              <w:t xml:space="preserve"> </w:t>
            </w:r>
            <w:r w:rsidRPr="00935879">
              <w:rPr>
                <w:rFonts w:ascii="Times New Roman" w:eastAsia="Times New Roman" w:hAnsi="Times New Roman" w:cs="Times New Roman"/>
                <w:color w:val="000000"/>
                <w:sz w:val="24"/>
                <w:szCs w:val="24"/>
              </w:rPr>
              <w:t>(14,3%)</w:t>
            </w:r>
          </w:p>
        </w:tc>
      </w:tr>
      <w:tr w:rsidR="007A2C38" w:rsidRPr="00935879" w14:paraId="64CC809B" w14:textId="77777777" w:rsidTr="00935879">
        <w:trPr>
          <w:trHeight w:val="513"/>
        </w:trPr>
        <w:tc>
          <w:tcPr>
            <w:tcW w:w="2898" w:type="dxa"/>
            <w:tcBorders>
              <w:bottom w:val="single" w:sz="4" w:space="0" w:color="auto"/>
            </w:tcBorders>
            <w:noWrap/>
            <w:hideMark/>
          </w:tcPr>
          <w:p w14:paraId="43F32F27" w14:textId="77777777" w:rsidR="007A2C38" w:rsidRPr="00935879" w:rsidRDefault="007A2C38" w:rsidP="004135FE">
            <w:pPr>
              <w:spacing w:after="0" w:line="240" w:lineRule="auto"/>
              <w:jc w:val="both"/>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Направлен урологом с установленным синдромом</w:t>
            </w:r>
          </w:p>
        </w:tc>
        <w:tc>
          <w:tcPr>
            <w:tcW w:w="1318" w:type="dxa"/>
            <w:tcBorders>
              <w:bottom w:val="single" w:sz="4" w:space="0" w:color="auto"/>
            </w:tcBorders>
            <w:noWrap/>
            <w:hideMark/>
          </w:tcPr>
          <w:p w14:paraId="6364D138"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c>
          <w:tcPr>
            <w:tcW w:w="1298" w:type="dxa"/>
            <w:tcBorders>
              <w:bottom w:val="single" w:sz="4" w:space="0" w:color="auto"/>
            </w:tcBorders>
            <w:noWrap/>
            <w:hideMark/>
          </w:tcPr>
          <w:p w14:paraId="2DBB3A52"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c>
          <w:tcPr>
            <w:tcW w:w="1238" w:type="dxa"/>
            <w:tcBorders>
              <w:bottom w:val="single" w:sz="4" w:space="0" w:color="auto"/>
            </w:tcBorders>
            <w:noWrap/>
            <w:hideMark/>
          </w:tcPr>
          <w:p w14:paraId="02B921A0"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c>
          <w:tcPr>
            <w:tcW w:w="1358" w:type="dxa"/>
            <w:tcBorders>
              <w:bottom w:val="single" w:sz="4" w:space="0" w:color="auto"/>
            </w:tcBorders>
            <w:noWrap/>
            <w:hideMark/>
          </w:tcPr>
          <w:p w14:paraId="134BB5B1"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c>
          <w:tcPr>
            <w:tcW w:w="1234" w:type="dxa"/>
            <w:tcBorders>
              <w:bottom w:val="single" w:sz="4" w:space="0" w:color="auto"/>
            </w:tcBorders>
            <w:noWrap/>
            <w:hideMark/>
          </w:tcPr>
          <w:p w14:paraId="5A86147A"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r>
      <w:tr w:rsidR="007A2C38" w:rsidRPr="00935879" w14:paraId="5BA4F7E7" w14:textId="77777777" w:rsidTr="00935879">
        <w:trPr>
          <w:trHeight w:val="266"/>
        </w:trPr>
        <w:tc>
          <w:tcPr>
            <w:tcW w:w="2898" w:type="dxa"/>
            <w:tcBorders>
              <w:bottom w:val="nil"/>
            </w:tcBorders>
            <w:noWrap/>
            <w:hideMark/>
          </w:tcPr>
          <w:p w14:paraId="146EB6EB" w14:textId="77777777" w:rsidR="007A2C38" w:rsidRPr="00935879" w:rsidRDefault="007A2C38" w:rsidP="004135FE">
            <w:pPr>
              <w:spacing w:after="0" w:line="240" w:lineRule="auto"/>
              <w:jc w:val="both"/>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Не провожу</w:t>
            </w:r>
          </w:p>
        </w:tc>
        <w:tc>
          <w:tcPr>
            <w:tcW w:w="1318" w:type="dxa"/>
            <w:tcBorders>
              <w:bottom w:val="nil"/>
            </w:tcBorders>
            <w:noWrap/>
            <w:hideMark/>
          </w:tcPr>
          <w:p w14:paraId="766C0B77" w14:textId="0690A2BD"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1</w:t>
            </w:r>
            <w:r w:rsidR="00935879">
              <w:rPr>
                <w:rFonts w:ascii="Times New Roman" w:eastAsia="Times New Roman" w:hAnsi="Times New Roman" w:cs="Times New Roman"/>
                <w:color w:val="000000"/>
                <w:sz w:val="24"/>
                <w:szCs w:val="24"/>
                <w:lang w:val="kk-KZ"/>
              </w:rPr>
              <w:t xml:space="preserve"> </w:t>
            </w:r>
            <w:r w:rsidRPr="00935879">
              <w:rPr>
                <w:rFonts w:ascii="Times New Roman" w:eastAsia="Times New Roman" w:hAnsi="Times New Roman" w:cs="Times New Roman"/>
                <w:color w:val="000000"/>
                <w:sz w:val="24"/>
                <w:szCs w:val="24"/>
              </w:rPr>
              <w:t>(14,3%)</w:t>
            </w:r>
          </w:p>
        </w:tc>
        <w:tc>
          <w:tcPr>
            <w:tcW w:w="1298" w:type="dxa"/>
            <w:tcBorders>
              <w:bottom w:val="nil"/>
            </w:tcBorders>
            <w:noWrap/>
            <w:hideMark/>
          </w:tcPr>
          <w:p w14:paraId="2A00D9FB"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c>
          <w:tcPr>
            <w:tcW w:w="1238" w:type="dxa"/>
            <w:tcBorders>
              <w:bottom w:val="nil"/>
            </w:tcBorders>
            <w:noWrap/>
            <w:hideMark/>
          </w:tcPr>
          <w:p w14:paraId="7DB72E7F"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c>
          <w:tcPr>
            <w:tcW w:w="1358" w:type="dxa"/>
            <w:tcBorders>
              <w:bottom w:val="nil"/>
            </w:tcBorders>
            <w:noWrap/>
            <w:hideMark/>
          </w:tcPr>
          <w:p w14:paraId="777FC6CE" w14:textId="75BFD33F"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3</w:t>
            </w:r>
            <w:r w:rsidR="00935879">
              <w:rPr>
                <w:rFonts w:ascii="Times New Roman" w:eastAsia="Times New Roman" w:hAnsi="Times New Roman" w:cs="Times New Roman"/>
                <w:color w:val="000000"/>
                <w:sz w:val="24"/>
                <w:szCs w:val="24"/>
                <w:lang w:val="kk-KZ"/>
              </w:rPr>
              <w:t xml:space="preserve"> </w:t>
            </w:r>
            <w:r w:rsidRPr="00935879">
              <w:rPr>
                <w:rFonts w:ascii="Times New Roman" w:eastAsia="Times New Roman" w:hAnsi="Times New Roman" w:cs="Times New Roman"/>
                <w:color w:val="000000"/>
                <w:sz w:val="24"/>
                <w:szCs w:val="24"/>
              </w:rPr>
              <w:t>(23,1%)</w:t>
            </w:r>
          </w:p>
        </w:tc>
        <w:tc>
          <w:tcPr>
            <w:tcW w:w="1234" w:type="dxa"/>
            <w:tcBorders>
              <w:bottom w:val="nil"/>
            </w:tcBorders>
            <w:noWrap/>
            <w:hideMark/>
          </w:tcPr>
          <w:p w14:paraId="7BFAB2A9" w14:textId="5B1806A1"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4</w:t>
            </w:r>
            <w:r w:rsidR="00935879">
              <w:rPr>
                <w:rFonts w:ascii="Times New Roman" w:eastAsia="Times New Roman" w:hAnsi="Times New Roman" w:cs="Times New Roman"/>
                <w:color w:val="000000"/>
                <w:sz w:val="24"/>
                <w:szCs w:val="24"/>
                <w:lang w:val="kk-KZ"/>
              </w:rPr>
              <w:t xml:space="preserve"> </w:t>
            </w:r>
            <w:r w:rsidRPr="00935879">
              <w:rPr>
                <w:rFonts w:ascii="Times New Roman" w:eastAsia="Times New Roman" w:hAnsi="Times New Roman" w:cs="Times New Roman"/>
                <w:color w:val="000000"/>
                <w:sz w:val="24"/>
                <w:szCs w:val="24"/>
              </w:rPr>
              <w:t>(11,4%)</w:t>
            </w:r>
          </w:p>
        </w:tc>
      </w:tr>
    </w:tbl>
    <w:p w14:paraId="066B0BB8" w14:textId="53AD373B" w:rsidR="00935879" w:rsidRDefault="00935879"/>
    <w:p w14:paraId="4B50E736" w14:textId="77777777" w:rsidR="00935879" w:rsidRDefault="00935879" w:rsidP="00935879">
      <w:pPr>
        <w:pStyle w:val="a3"/>
        <w:spacing w:after="0" w:line="240" w:lineRule="auto"/>
        <w:ind w:left="0"/>
        <w:jc w:val="both"/>
        <w:rPr>
          <w:rFonts w:ascii="Times New Roman" w:hAnsi="Times New Roman" w:cs="Times New Roman"/>
          <w:sz w:val="28"/>
          <w:szCs w:val="28"/>
        </w:rPr>
      </w:pPr>
    </w:p>
    <w:p w14:paraId="372CC4C6" w14:textId="79C2D8C8" w:rsidR="00935879" w:rsidRDefault="00935879" w:rsidP="00935879">
      <w:pPr>
        <w:pStyle w:val="a3"/>
        <w:spacing w:after="0" w:line="240" w:lineRule="auto"/>
        <w:ind w:left="0"/>
        <w:jc w:val="both"/>
        <w:rPr>
          <w:rFonts w:ascii="Times New Roman" w:hAnsi="Times New Roman" w:cs="Times New Roman"/>
          <w:sz w:val="28"/>
          <w:szCs w:val="28"/>
        </w:rPr>
      </w:pPr>
      <w:r w:rsidRPr="00935879">
        <w:rPr>
          <w:rFonts w:ascii="Times New Roman" w:hAnsi="Times New Roman" w:cs="Times New Roman"/>
          <w:sz w:val="28"/>
          <w:szCs w:val="28"/>
        </w:rPr>
        <w:t>Продолжение таблицы 20</w:t>
      </w:r>
    </w:p>
    <w:p w14:paraId="43036C83" w14:textId="77777777" w:rsidR="00935879" w:rsidRPr="00935879" w:rsidRDefault="00935879" w:rsidP="00935879">
      <w:pPr>
        <w:pStyle w:val="a3"/>
        <w:spacing w:after="0" w:line="240" w:lineRule="auto"/>
        <w:ind w:left="0"/>
        <w:jc w:val="both"/>
        <w:rPr>
          <w:rFonts w:ascii="Times New Roman" w:hAnsi="Times New Roman" w:cs="Times New Roman"/>
          <w:sz w:val="28"/>
          <w:szCs w:val="28"/>
        </w:rPr>
      </w:pPr>
    </w:p>
    <w:tbl>
      <w:tblPr>
        <w:tblStyle w:val="a5"/>
        <w:tblW w:w="9344" w:type="dxa"/>
        <w:tblLook w:val="04A0" w:firstRow="1" w:lastRow="0" w:firstColumn="1" w:lastColumn="0" w:noHBand="0" w:noVBand="1"/>
      </w:tblPr>
      <w:tblGrid>
        <w:gridCol w:w="2896"/>
        <w:gridCol w:w="1318"/>
        <w:gridCol w:w="1298"/>
        <w:gridCol w:w="1238"/>
        <w:gridCol w:w="1358"/>
        <w:gridCol w:w="1236"/>
      </w:tblGrid>
      <w:tr w:rsidR="00935879" w:rsidRPr="00935879" w14:paraId="54BB2008" w14:textId="77777777" w:rsidTr="00935879">
        <w:trPr>
          <w:trHeight w:val="315"/>
        </w:trPr>
        <w:tc>
          <w:tcPr>
            <w:tcW w:w="2898" w:type="dxa"/>
            <w:noWrap/>
          </w:tcPr>
          <w:p w14:paraId="21BE5D85" w14:textId="29C8C7B9" w:rsidR="00935879" w:rsidRPr="00935879" w:rsidRDefault="00935879" w:rsidP="00935879">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1</w:t>
            </w:r>
          </w:p>
        </w:tc>
        <w:tc>
          <w:tcPr>
            <w:tcW w:w="1318" w:type="dxa"/>
            <w:noWrap/>
          </w:tcPr>
          <w:p w14:paraId="1F1685D8" w14:textId="16A2BE81" w:rsidR="00935879" w:rsidRPr="00935879" w:rsidRDefault="00935879" w:rsidP="00935879">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2</w:t>
            </w:r>
          </w:p>
        </w:tc>
        <w:tc>
          <w:tcPr>
            <w:tcW w:w="1298" w:type="dxa"/>
            <w:noWrap/>
          </w:tcPr>
          <w:p w14:paraId="3E1970BB" w14:textId="7C731A79" w:rsidR="00935879" w:rsidRPr="00935879" w:rsidRDefault="00935879" w:rsidP="00935879">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3</w:t>
            </w:r>
          </w:p>
        </w:tc>
        <w:tc>
          <w:tcPr>
            <w:tcW w:w="1238" w:type="dxa"/>
            <w:noWrap/>
          </w:tcPr>
          <w:p w14:paraId="710697CA" w14:textId="66CB9C53" w:rsidR="00935879" w:rsidRPr="00935879" w:rsidRDefault="00935879" w:rsidP="00935879">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4</w:t>
            </w:r>
          </w:p>
        </w:tc>
        <w:tc>
          <w:tcPr>
            <w:tcW w:w="1358" w:type="dxa"/>
            <w:noWrap/>
          </w:tcPr>
          <w:p w14:paraId="24FA02C4" w14:textId="2C390C79" w:rsidR="00935879" w:rsidRPr="00935879" w:rsidRDefault="00935879" w:rsidP="00935879">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5</w:t>
            </w:r>
          </w:p>
        </w:tc>
        <w:tc>
          <w:tcPr>
            <w:tcW w:w="1234" w:type="dxa"/>
            <w:noWrap/>
          </w:tcPr>
          <w:p w14:paraId="2648DFB6" w14:textId="23A03C26" w:rsidR="00935879" w:rsidRPr="00935879" w:rsidRDefault="00935879" w:rsidP="00935879">
            <w:pPr>
              <w:spacing w:after="0" w:line="240" w:lineRule="auto"/>
              <w:jc w:val="center"/>
              <w:rPr>
                <w:rFonts w:ascii="Times New Roman" w:eastAsia="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6</w:t>
            </w:r>
          </w:p>
        </w:tc>
      </w:tr>
      <w:tr w:rsidR="007A2C38" w:rsidRPr="00935879" w14:paraId="48A89BF4" w14:textId="77777777" w:rsidTr="00935879">
        <w:trPr>
          <w:trHeight w:val="315"/>
        </w:trPr>
        <w:tc>
          <w:tcPr>
            <w:tcW w:w="2898" w:type="dxa"/>
            <w:noWrap/>
            <w:hideMark/>
          </w:tcPr>
          <w:p w14:paraId="62C73228" w14:textId="77777777" w:rsidR="007A2C38" w:rsidRPr="00935879" w:rsidRDefault="007A2C38" w:rsidP="004135FE">
            <w:pPr>
              <w:spacing w:after="0" w:line="240" w:lineRule="auto"/>
              <w:jc w:val="both"/>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 </w:t>
            </w:r>
            <w:r w:rsidRPr="00935879">
              <w:rPr>
                <w:rFonts w:ascii="Times New Roman" w:eastAsia="Times New Roman" w:hAnsi="Times New Roman" w:cs="Times New Roman"/>
                <w:color w:val="000000"/>
                <w:sz w:val="24"/>
                <w:szCs w:val="24"/>
                <w:lang w:val="en-US"/>
              </w:rPr>
              <w:t>p-value</w:t>
            </w:r>
          </w:p>
        </w:tc>
        <w:tc>
          <w:tcPr>
            <w:tcW w:w="1318" w:type="dxa"/>
            <w:noWrap/>
          </w:tcPr>
          <w:p w14:paraId="0EDC0F30"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0,004</w:t>
            </w:r>
          </w:p>
        </w:tc>
        <w:tc>
          <w:tcPr>
            <w:tcW w:w="1298" w:type="dxa"/>
            <w:noWrap/>
          </w:tcPr>
          <w:p w14:paraId="2B3F5212" w14:textId="7335D168" w:rsidR="007A2C38" w:rsidRPr="00935879" w:rsidRDefault="00490AF6" w:rsidP="004135F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38" w:type="dxa"/>
            <w:noWrap/>
          </w:tcPr>
          <w:p w14:paraId="373C47C5" w14:textId="72AF7D5C" w:rsidR="007A2C38" w:rsidRPr="00935879" w:rsidRDefault="00490AF6" w:rsidP="004135F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358" w:type="dxa"/>
            <w:noWrap/>
          </w:tcPr>
          <w:p w14:paraId="1E9A1222" w14:textId="516938EB" w:rsidR="007A2C38" w:rsidRPr="00935879" w:rsidRDefault="00490AF6" w:rsidP="004135F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34" w:type="dxa"/>
            <w:noWrap/>
          </w:tcPr>
          <w:p w14:paraId="17B6535C" w14:textId="4CB96B02" w:rsidR="007A2C38" w:rsidRPr="00935879" w:rsidRDefault="00490AF6" w:rsidP="004135F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7A2C38" w:rsidRPr="00935879" w14:paraId="00B0320E" w14:textId="77777777" w:rsidTr="00935879">
        <w:trPr>
          <w:trHeight w:val="315"/>
        </w:trPr>
        <w:tc>
          <w:tcPr>
            <w:tcW w:w="9344" w:type="dxa"/>
            <w:gridSpan w:val="6"/>
            <w:noWrap/>
          </w:tcPr>
          <w:p w14:paraId="0773CDF0"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Частота перехода ГСД в СД2т после родов у женщин (случаи из практики и опыта врача)</w:t>
            </w:r>
          </w:p>
        </w:tc>
      </w:tr>
      <w:tr w:rsidR="007A2C38" w:rsidRPr="00935879" w14:paraId="65B3F344" w14:textId="77777777" w:rsidTr="00935879">
        <w:trPr>
          <w:trHeight w:val="315"/>
        </w:trPr>
        <w:tc>
          <w:tcPr>
            <w:tcW w:w="2898" w:type="dxa"/>
            <w:noWrap/>
            <w:hideMark/>
          </w:tcPr>
          <w:p w14:paraId="027CE99A" w14:textId="77777777" w:rsidR="007A2C38" w:rsidRPr="00935879" w:rsidRDefault="007A2C38" w:rsidP="004135FE">
            <w:pPr>
              <w:spacing w:after="0" w:line="240" w:lineRule="auto"/>
              <w:jc w:val="both"/>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Не наблюдал(а)</w:t>
            </w:r>
          </w:p>
        </w:tc>
        <w:tc>
          <w:tcPr>
            <w:tcW w:w="1318" w:type="dxa"/>
            <w:noWrap/>
            <w:hideMark/>
          </w:tcPr>
          <w:p w14:paraId="0D1A7A5D"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c>
          <w:tcPr>
            <w:tcW w:w="1298" w:type="dxa"/>
            <w:noWrap/>
            <w:hideMark/>
          </w:tcPr>
          <w:p w14:paraId="4BD4F05A"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1(10%)</w:t>
            </w:r>
          </w:p>
        </w:tc>
        <w:tc>
          <w:tcPr>
            <w:tcW w:w="1238" w:type="dxa"/>
            <w:noWrap/>
            <w:hideMark/>
          </w:tcPr>
          <w:p w14:paraId="43157E7D"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c>
          <w:tcPr>
            <w:tcW w:w="1358" w:type="dxa"/>
            <w:noWrap/>
            <w:hideMark/>
          </w:tcPr>
          <w:p w14:paraId="2AA26152"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7(53,8%)</w:t>
            </w:r>
          </w:p>
        </w:tc>
        <w:tc>
          <w:tcPr>
            <w:tcW w:w="1234" w:type="dxa"/>
            <w:noWrap/>
            <w:hideMark/>
          </w:tcPr>
          <w:p w14:paraId="327C4D73"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8(22,9%)</w:t>
            </w:r>
          </w:p>
        </w:tc>
      </w:tr>
      <w:tr w:rsidR="007A2C38" w:rsidRPr="00935879" w14:paraId="59DE956F" w14:textId="77777777" w:rsidTr="00935879">
        <w:trPr>
          <w:trHeight w:val="298"/>
        </w:trPr>
        <w:tc>
          <w:tcPr>
            <w:tcW w:w="2898" w:type="dxa"/>
            <w:noWrap/>
            <w:hideMark/>
          </w:tcPr>
          <w:p w14:paraId="43886446" w14:textId="77777777" w:rsidR="007A2C38" w:rsidRPr="00935879" w:rsidRDefault="007A2C38" w:rsidP="004135FE">
            <w:pPr>
              <w:spacing w:after="0" w:line="240" w:lineRule="auto"/>
              <w:jc w:val="both"/>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Не было такого случая</w:t>
            </w:r>
          </w:p>
        </w:tc>
        <w:tc>
          <w:tcPr>
            <w:tcW w:w="1318" w:type="dxa"/>
            <w:noWrap/>
            <w:hideMark/>
          </w:tcPr>
          <w:p w14:paraId="627BB2D6"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c>
          <w:tcPr>
            <w:tcW w:w="1298" w:type="dxa"/>
            <w:noWrap/>
            <w:hideMark/>
          </w:tcPr>
          <w:p w14:paraId="3E889AAD"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c>
          <w:tcPr>
            <w:tcW w:w="1238" w:type="dxa"/>
            <w:noWrap/>
            <w:hideMark/>
          </w:tcPr>
          <w:p w14:paraId="19A2BE02"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3(60%)</w:t>
            </w:r>
          </w:p>
        </w:tc>
        <w:tc>
          <w:tcPr>
            <w:tcW w:w="1358" w:type="dxa"/>
            <w:noWrap/>
            <w:hideMark/>
          </w:tcPr>
          <w:p w14:paraId="1360206E"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2(15,4%)</w:t>
            </w:r>
          </w:p>
        </w:tc>
        <w:tc>
          <w:tcPr>
            <w:tcW w:w="1234" w:type="dxa"/>
            <w:noWrap/>
            <w:hideMark/>
          </w:tcPr>
          <w:p w14:paraId="69C8DD4C"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5(14,3%)</w:t>
            </w:r>
          </w:p>
        </w:tc>
      </w:tr>
      <w:tr w:rsidR="007A2C38" w:rsidRPr="00935879" w14:paraId="2D6DCA76" w14:textId="77777777" w:rsidTr="00935879">
        <w:trPr>
          <w:trHeight w:val="274"/>
        </w:trPr>
        <w:tc>
          <w:tcPr>
            <w:tcW w:w="2898" w:type="dxa"/>
            <w:noWrap/>
            <w:hideMark/>
          </w:tcPr>
          <w:p w14:paraId="4B17A195" w14:textId="77777777" w:rsidR="007A2C38" w:rsidRPr="00935879" w:rsidRDefault="007A2C38" w:rsidP="004135FE">
            <w:pPr>
              <w:spacing w:after="0" w:line="240" w:lineRule="auto"/>
              <w:jc w:val="both"/>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Единичный случай</w:t>
            </w:r>
          </w:p>
        </w:tc>
        <w:tc>
          <w:tcPr>
            <w:tcW w:w="1318" w:type="dxa"/>
            <w:noWrap/>
            <w:hideMark/>
          </w:tcPr>
          <w:p w14:paraId="649EBE4C"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4(57,1%)</w:t>
            </w:r>
          </w:p>
        </w:tc>
        <w:tc>
          <w:tcPr>
            <w:tcW w:w="1298" w:type="dxa"/>
            <w:noWrap/>
            <w:hideMark/>
          </w:tcPr>
          <w:p w14:paraId="38F75C66"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9(90%)</w:t>
            </w:r>
          </w:p>
        </w:tc>
        <w:tc>
          <w:tcPr>
            <w:tcW w:w="1238" w:type="dxa"/>
            <w:noWrap/>
            <w:hideMark/>
          </w:tcPr>
          <w:p w14:paraId="04A09963"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c>
          <w:tcPr>
            <w:tcW w:w="1358" w:type="dxa"/>
            <w:noWrap/>
            <w:hideMark/>
          </w:tcPr>
          <w:p w14:paraId="202926C3"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3(23,1%)</w:t>
            </w:r>
          </w:p>
        </w:tc>
        <w:tc>
          <w:tcPr>
            <w:tcW w:w="1234" w:type="dxa"/>
            <w:noWrap/>
            <w:hideMark/>
          </w:tcPr>
          <w:p w14:paraId="65C0B85E"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16(45,7%)</w:t>
            </w:r>
          </w:p>
        </w:tc>
      </w:tr>
      <w:tr w:rsidR="007A2C38" w:rsidRPr="00935879" w14:paraId="287A42D4" w14:textId="77777777" w:rsidTr="00935879">
        <w:trPr>
          <w:trHeight w:val="264"/>
        </w:trPr>
        <w:tc>
          <w:tcPr>
            <w:tcW w:w="2898" w:type="dxa"/>
            <w:noWrap/>
            <w:hideMark/>
          </w:tcPr>
          <w:p w14:paraId="67FCE250" w14:textId="77777777" w:rsidR="007A2C38" w:rsidRPr="00935879" w:rsidRDefault="007A2C38" w:rsidP="004135FE">
            <w:pPr>
              <w:spacing w:after="0" w:line="240" w:lineRule="auto"/>
              <w:jc w:val="both"/>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Часто</w:t>
            </w:r>
          </w:p>
        </w:tc>
        <w:tc>
          <w:tcPr>
            <w:tcW w:w="1318" w:type="dxa"/>
            <w:noWrap/>
            <w:hideMark/>
          </w:tcPr>
          <w:p w14:paraId="6B8301E8"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3(42,9%)</w:t>
            </w:r>
          </w:p>
        </w:tc>
        <w:tc>
          <w:tcPr>
            <w:tcW w:w="1298" w:type="dxa"/>
            <w:noWrap/>
            <w:hideMark/>
          </w:tcPr>
          <w:p w14:paraId="1BED223C"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0</w:t>
            </w:r>
          </w:p>
        </w:tc>
        <w:tc>
          <w:tcPr>
            <w:tcW w:w="1238" w:type="dxa"/>
            <w:noWrap/>
            <w:hideMark/>
          </w:tcPr>
          <w:p w14:paraId="7347227F"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2(40%)</w:t>
            </w:r>
          </w:p>
        </w:tc>
        <w:tc>
          <w:tcPr>
            <w:tcW w:w="1358" w:type="dxa"/>
            <w:noWrap/>
            <w:hideMark/>
          </w:tcPr>
          <w:p w14:paraId="0B036604"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1(7,7%)</w:t>
            </w:r>
          </w:p>
        </w:tc>
        <w:tc>
          <w:tcPr>
            <w:tcW w:w="1234" w:type="dxa"/>
            <w:noWrap/>
            <w:hideMark/>
          </w:tcPr>
          <w:p w14:paraId="1C6D4EF1"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6(17,1%)</w:t>
            </w:r>
          </w:p>
        </w:tc>
      </w:tr>
      <w:tr w:rsidR="007A2C38" w:rsidRPr="00935879" w14:paraId="483B0452" w14:textId="77777777" w:rsidTr="00935879">
        <w:trPr>
          <w:trHeight w:val="281"/>
        </w:trPr>
        <w:tc>
          <w:tcPr>
            <w:tcW w:w="2898" w:type="dxa"/>
            <w:noWrap/>
          </w:tcPr>
          <w:p w14:paraId="7562793B" w14:textId="77777777" w:rsidR="007A2C38" w:rsidRPr="00935879" w:rsidRDefault="007A2C38" w:rsidP="004135FE">
            <w:pPr>
              <w:spacing w:after="0" w:line="240" w:lineRule="auto"/>
              <w:jc w:val="both"/>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 Итого</w:t>
            </w:r>
          </w:p>
        </w:tc>
        <w:tc>
          <w:tcPr>
            <w:tcW w:w="1318" w:type="dxa"/>
            <w:noWrap/>
          </w:tcPr>
          <w:p w14:paraId="5DD1D1CE"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7(100%)</w:t>
            </w:r>
          </w:p>
        </w:tc>
        <w:tc>
          <w:tcPr>
            <w:tcW w:w="1298" w:type="dxa"/>
            <w:noWrap/>
          </w:tcPr>
          <w:p w14:paraId="556AB1F6"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10(100%)</w:t>
            </w:r>
          </w:p>
        </w:tc>
        <w:tc>
          <w:tcPr>
            <w:tcW w:w="1238" w:type="dxa"/>
            <w:noWrap/>
          </w:tcPr>
          <w:p w14:paraId="793A1A4F"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5(100%)</w:t>
            </w:r>
          </w:p>
        </w:tc>
        <w:tc>
          <w:tcPr>
            <w:tcW w:w="1358" w:type="dxa"/>
            <w:noWrap/>
          </w:tcPr>
          <w:p w14:paraId="451030C6"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13(100%)</w:t>
            </w:r>
          </w:p>
        </w:tc>
        <w:tc>
          <w:tcPr>
            <w:tcW w:w="1234" w:type="dxa"/>
            <w:noWrap/>
          </w:tcPr>
          <w:p w14:paraId="192C014F"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rPr>
              <w:t>35(100%)</w:t>
            </w:r>
          </w:p>
        </w:tc>
      </w:tr>
      <w:tr w:rsidR="007A2C38" w:rsidRPr="00935879" w14:paraId="40008447" w14:textId="77777777" w:rsidTr="00935879">
        <w:trPr>
          <w:trHeight w:val="315"/>
        </w:trPr>
        <w:tc>
          <w:tcPr>
            <w:tcW w:w="2898" w:type="dxa"/>
            <w:noWrap/>
          </w:tcPr>
          <w:p w14:paraId="1B21A8B7" w14:textId="77777777" w:rsidR="007A2C38" w:rsidRPr="00935879" w:rsidRDefault="007A2C38" w:rsidP="004135FE">
            <w:pPr>
              <w:spacing w:after="0" w:line="240" w:lineRule="auto"/>
              <w:jc w:val="both"/>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lang w:val="en-US"/>
              </w:rPr>
              <w:t>p-value</w:t>
            </w:r>
          </w:p>
        </w:tc>
        <w:tc>
          <w:tcPr>
            <w:tcW w:w="1318" w:type="dxa"/>
            <w:noWrap/>
          </w:tcPr>
          <w:p w14:paraId="75522FAC" w14:textId="77777777" w:rsidR="007A2C38" w:rsidRPr="00935879" w:rsidRDefault="007A2C38" w:rsidP="004135FE">
            <w:pPr>
              <w:spacing w:after="0" w:line="240" w:lineRule="auto"/>
              <w:jc w:val="center"/>
              <w:rPr>
                <w:rFonts w:ascii="Times New Roman" w:eastAsia="Times New Roman" w:hAnsi="Times New Roman" w:cs="Times New Roman"/>
                <w:color w:val="000000"/>
                <w:sz w:val="24"/>
                <w:szCs w:val="24"/>
              </w:rPr>
            </w:pPr>
            <w:r w:rsidRPr="00935879">
              <w:rPr>
                <w:rFonts w:ascii="Times New Roman" w:eastAsia="Times New Roman" w:hAnsi="Times New Roman" w:cs="Times New Roman"/>
                <w:color w:val="000000"/>
                <w:sz w:val="24"/>
                <w:szCs w:val="24"/>
                <w:lang w:val="en-US"/>
              </w:rPr>
              <w:t>0,001</w:t>
            </w:r>
          </w:p>
        </w:tc>
        <w:tc>
          <w:tcPr>
            <w:tcW w:w="1298" w:type="dxa"/>
            <w:noWrap/>
          </w:tcPr>
          <w:p w14:paraId="6CFBC65A" w14:textId="004B0B30" w:rsidR="007A2C38" w:rsidRPr="00935879" w:rsidRDefault="00490AF6" w:rsidP="004135F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38" w:type="dxa"/>
            <w:noWrap/>
          </w:tcPr>
          <w:p w14:paraId="11F5680E" w14:textId="59F8F3A6" w:rsidR="007A2C38" w:rsidRPr="00935879" w:rsidRDefault="00490AF6" w:rsidP="004135F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358" w:type="dxa"/>
            <w:noWrap/>
          </w:tcPr>
          <w:p w14:paraId="0EA59038" w14:textId="3EA7FE86" w:rsidR="007A2C38" w:rsidRPr="00935879" w:rsidRDefault="00490AF6" w:rsidP="004135F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34" w:type="dxa"/>
            <w:noWrap/>
          </w:tcPr>
          <w:p w14:paraId="009A717D" w14:textId="4DDC2D06" w:rsidR="007A2C38" w:rsidRPr="00935879" w:rsidRDefault="00490AF6" w:rsidP="004135F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bl>
    <w:p w14:paraId="6EDF76A7" w14:textId="77777777" w:rsidR="007A2C38" w:rsidRPr="004135FE" w:rsidRDefault="007A2C38" w:rsidP="004135FE">
      <w:pPr>
        <w:spacing w:after="0" w:line="240" w:lineRule="auto"/>
        <w:jc w:val="both"/>
        <w:rPr>
          <w:rFonts w:ascii="Times New Roman" w:hAnsi="Times New Roman" w:cs="Times New Roman"/>
          <w:b/>
          <w:sz w:val="28"/>
          <w:szCs w:val="28"/>
        </w:rPr>
      </w:pPr>
    </w:p>
    <w:p w14:paraId="2A2CE21C" w14:textId="77777777" w:rsidR="007A2C38" w:rsidRPr="004135FE" w:rsidRDefault="007A2C38" w:rsidP="004135FE">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При персонализированном подходе для выбора ПССП для пациентов с СД2т, большинство врачей независимо от квалификационной категории уделяют особое внимание на сопутствующие заболевание и противопоказании, при назначениях лечения. «Возраст и пол», «Генетические маркеры» не рассматривают.</w:t>
      </w:r>
    </w:p>
    <w:p w14:paraId="16EB0A5D" w14:textId="77777777" w:rsidR="007A2C38" w:rsidRPr="004135FE" w:rsidRDefault="007A2C38" w:rsidP="004135FE">
      <w:pPr>
        <w:pStyle w:val="a3"/>
        <w:widowControl w:val="0"/>
        <w:autoSpaceDE w:val="0"/>
        <w:autoSpaceDN w:val="0"/>
        <w:adjustRightInd w:val="0"/>
        <w:spacing w:after="0" w:line="240" w:lineRule="auto"/>
        <w:ind w:left="0"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t xml:space="preserve">42,8% врачей не информированы о </w:t>
      </w:r>
      <w:r w:rsidRPr="004135FE">
        <w:rPr>
          <w:rFonts w:ascii="Times New Roman" w:hAnsi="Times New Roman" w:cs="Times New Roman"/>
          <w:sz w:val="28"/>
          <w:szCs w:val="28"/>
        </w:rPr>
        <w:t>генетическом обследовании маркеров СД2т, хотя основа персонализированного подхода к пациентам лежит на фармакогенетике.</w:t>
      </w:r>
    </w:p>
    <w:p w14:paraId="51F9627B" w14:textId="77777777" w:rsidR="007A2C38" w:rsidRPr="004135FE" w:rsidRDefault="007A2C38" w:rsidP="000B7241">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По результатам социологического опроса среди врачей эндокринологов, н</w:t>
      </w:r>
      <w:r w:rsidRPr="004135FE">
        <w:rPr>
          <w:rFonts w:ascii="Times New Roman" w:hAnsi="Times New Roman" w:cs="Times New Roman"/>
          <w:sz w:val="28"/>
          <w:szCs w:val="28"/>
        </w:rPr>
        <w:t xml:space="preserve">и один врач эндокринолог не проводит </w:t>
      </w:r>
      <w:r w:rsidRPr="004135FE">
        <w:rPr>
          <w:rFonts w:ascii="Times New Roman" w:eastAsia="Times New Roman" w:hAnsi="Times New Roman" w:cs="Times New Roman"/>
          <w:sz w:val="28"/>
          <w:szCs w:val="28"/>
        </w:rPr>
        <w:t xml:space="preserve">индивидуальный подбор ФА с учетом противопоказании и мер предосторожностей для пациентов с СД2т. Выяснились факты, подтверждающие о несостоятельности Школы Диабета в плане этого вопроса и не полноценной консультации врачей эндокринологов. Большинство пациентов не курируются и не владеют самоменеджментом касательно ФА, хотя это один из видов не медикаментозной эффективной коррекции гипергликемии и профилактика микро и макрососудистых осложнении СД2типа. </w:t>
      </w:r>
      <w:r w:rsidRPr="004135FE">
        <w:rPr>
          <w:rFonts w:ascii="Times New Roman" w:hAnsi="Times New Roman" w:cs="Times New Roman"/>
          <w:sz w:val="28"/>
          <w:szCs w:val="28"/>
        </w:rPr>
        <w:t>Необходима поднять медицинскую и коммуникативную грамотность медицинского персонала.</w:t>
      </w:r>
    </w:p>
    <w:p w14:paraId="6743FA93" w14:textId="732E9D74" w:rsidR="007A2C38" w:rsidRPr="004135FE" w:rsidRDefault="007A2C38" w:rsidP="000B7241">
      <w:pPr>
        <w:pStyle w:val="a3"/>
        <w:tabs>
          <w:tab w:val="center" w:pos="567"/>
        </w:tabs>
        <w:autoSpaceDE w:val="0"/>
        <w:autoSpaceDN w:val="0"/>
        <w:adjustRightInd w:val="0"/>
        <w:spacing w:after="0" w:line="240" w:lineRule="auto"/>
        <w:ind w:left="0" w:firstLine="709"/>
        <w:jc w:val="both"/>
        <w:rPr>
          <w:rFonts w:ascii="Times New Roman" w:hAnsi="Times New Roman" w:cs="Times New Roman"/>
          <w:bCs/>
          <w:sz w:val="28"/>
          <w:szCs w:val="28"/>
        </w:rPr>
      </w:pPr>
      <w:r w:rsidRPr="004135FE">
        <w:rPr>
          <w:rFonts w:ascii="Times New Roman" w:hAnsi="Times New Roman" w:cs="Times New Roman"/>
          <w:sz w:val="28"/>
          <w:szCs w:val="28"/>
        </w:rPr>
        <w:t>57,1% врачей эндокринологов проводят обследование на наличие гипогонадизма и 48,6% обследование репродуктивного потенциала женщин только при предъявлении характерных жалоб пациентов с СД2т. Пациенты, направленные урологом и гинекологом с установленным диагнозом, остаются без курации со стороны эндокринологов. Данная картина описывает, что нет рациональной взаимосвязи между врачами для совместного решения проблемы пациента с СД2т на уровне ПМСП, как среди женщин, так и среди мужчин.</w:t>
      </w:r>
    </w:p>
    <w:p w14:paraId="35F0B6D7" w14:textId="77777777" w:rsidR="007A2C38" w:rsidRPr="004135FE" w:rsidRDefault="007A2C38" w:rsidP="000B7241">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На практике врачей эндокринологов 17,1% случаи гестационного диабета, возникший во время беременности у женщин часто переходили на СД2т после родов. </w:t>
      </w:r>
      <w:r w:rsidRPr="004135FE">
        <w:rPr>
          <w:rFonts w:ascii="Times New Roman" w:eastAsiaTheme="minorHAnsi" w:hAnsi="Times New Roman" w:cs="Times New Roman"/>
          <w:sz w:val="28"/>
          <w:szCs w:val="28"/>
          <w:lang w:eastAsia="en-US"/>
        </w:rPr>
        <w:t xml:space="preserve">Женщин с гестационным диабетом после родов необходимо привлечь к рутинному скринингу уровня сахара и обучению в </w:t>
      </w:r>
      <w:r w:rsidRPr="004135FE">
        <w:rPr>
          <w:rFonts w:ascii="Times New Roman" w:eastAsiaTheme="minorHAnsi" w:hAnsi="Times New Roman" w:cs="Times New Roman"/>
          <w:sz w:val="28"/>
          <w:szCs w:val="28"/>
          <w:lang w:eastAsia="en-US"/>
        </w:rPr>
        <w:lastRenderedPageBreak/>
        <w:t>ШД, для медицинской просвещённости и солидарной ответственности за себя и ребенка.</w:t>
      </w:r>
    </w:p>
    <w:p w14:paraId="6EA31CFC" w14:textId="7B7A43AD"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t>Как вывод данного подраздела, мы так же р</w:t>
      </w:r>
      <w:r w:rsidRPr="004135FE">
        <w:rPr>
          <w:rFonts w:ascii="Times New Roman" w:hAnsi="Times New Roman" w:cs="Times New Roman"/>
          <w:sz w:val="28"/>
          <w:szCs w:val="28"/>
        </w:rPr>
        <w:t xml:space="preserve">екомендуем пересмотреть протокол диагностики и лечения, включить фармакогенетику как вид диагностики при СД2 и внести в ГОБМП </w:t>
      </w:r>
      <w:r w:rsidRPr="004135FE">
        <w:rPr>
          <w:rFonts w:ascii="Times New Roman" w:hAnsi="Times New Roman" w:cs="Times New Roman"/>
          <w:sz w:val="28"/>
          <w:szCs w:val="28"/>
          <w:lang w:val="kk-KZ"/>
        </w:rPr>
        <w:t xml:space="preserve">или </w:t>
      </w:r>
      <w:r w:rsidRPr="004135FE">
        <w:rPr>
          <w:rFonts w:ascii="Times New Roman" w:hAnsi="Times New Roman" w:cs="Times New Roman"/>
          <w:sz w:val="28"/>
          <w:szCs w:val="28"/>
        </w:rPr>
        <w:t>ОСМС как услугу на уровне ПМСП. В процессе прогрессирования осложнений пациенты с СД2 типа переходят на инсулинотерапию частично, в зависимости тяжести осложнения может быть назначена базис-болюсная инсулинотерапия. Экономический выгоднее дать усилие на уровне профилактики или назначения рационального персонализированного лечения опираясь на фармакогенетику при верифицированном диагнозе СД2т давностью не более 1</w:t>
      </w:r>
      <w:r w:rsidR="000B7241">
        <w:rPr>
          <w:rFonts w:ascii="Times New Roman" w:hAnsi="Times New Roman" w:cs="Times New Roman"/>
          <w:sz w:val="28"/>
          <w:szCs w:val="28"/>
          <w:lang w:val="kk-KZ"/>
        </w:rPr>
        <w:t xml:space="preserve"> </w:t>
      </w:r>
      <w:r w:rsidRPr="004135FE">
        <w:rPr>
          <w:rFonts w:ascii="Times New Roman" w:hAnsi="Times New Roman" w:cs="Times New Roman"/>
          <w:sz w:val="28"/>
          <w:szCs w:val="28"/>
        </w:rPr>
        <w:t>года. Так же, поднять посещаемость Школы Диабета для развития самоменеджмента пациентов, так же компенсировать уровень глюкозы не медикаментозным путем правильного питания и физической активности, уход за собой и телом, развить медицинскую грамотность и солидарную ответственность населения.</w:t>
      </w:r>
    </w:p>
    <w:p w14:paraId="029BE94F" w14:textId="64AA9AA7" w:rsidR="007A2C38" w:rsidRPr="004135FE" w:rsidRDefault="007A2C38" w:rsidP="004135FE">
      <w:pPr>
        <w:spacing w:after="0" w:line="240" w:lineRule="auto"/>
        <w:jc w:val="both"/>
        <w:rPr>
          <w:rFonts w:ascii="Times New Roman" w:hAnsi="Times New Roman" w:cs="Times New Roman"/>
          <w:sz w:val="28"/>
          <w:szCs w:val="28"/>
        </w:rPr>
      </w:pPr>
    </w:p>
    <w:p w14:paraId="246A79CF" w14:textId="38F17065" w:rsidR="007A2C38" w:rsidRPr="000B7241" w:rsidRDefault="008B7DA9" w:rsidP="000B7241">
      <w:pPr>
        <w:spacing w:after="0" w:line="240" w:lineRule="auto"/>
        <w:ind w:firstLine="709"/>
        <w:jc w:val="both"/>
        <w:rPr>
          <w:rFonts w:ascii="Times New Roman" w:hAnsi="Times New Roman" w:cs="Times New Roman"/>
          <w:bCs/>
          <w:sz w:val="28"/>
          <w:szCs w:val="28"/>
        </w:rPr>
      </w:pPr>
      <w:r w:rsidRPr="000B7241">
        <w:rPr>
          <w:rFonts w:ascii="Times New Roman" w:hAnsi="Times New Roman" w:cs="Times New Roman"/>
          <w:bCs/>
          <w:sz w:val="28"/>
          <w:szCs w:val="28"/>
        </w:rPr>
        <w:t>4.1.2 Доступность психосоциальной поддержки пациентам с СД2т</w:t>
      </w:r>
    </w:p>
    <w:p w14:paraId="23CFB937" w14:textId="56FB084B" w:rsidR="007A2C38" w:rsidRPr="000B7241" w:rsidRDefault="007A2C38" w:rsidP="004135FE">
      <w:pPr>
        <w:spacing w:after="0" w:line="240" w:lineRule="auto"/>
        <w:ind w:firstLine="708"/>
        <w:jc w:val="both"/>
        <w:rPr>
          <w:rFonts w:ascii="Times New Roman" w:hAnsi="Times New Roman" w:cs="Times New Roman"/>
          <w:sz w:val="28"/>
          <w:szCs w:val="28"/>
          <w:lang w:val="kk-KZ"/>
        </w:rPr>
      </w:pPr>
      <w:r w:rsidRPr="004135FE">
        <w:rPr>
          <w:rFonts w:ascii="Times New Roman" w:hAnsi="Times New Roman" w:cs="Times New Roman"/>
          <w:sz w:val="28"/>
          <w:szCs w:val="28"/>
        </w:rPr>
        <w:t xml:space="preserve">Учитывая эпидемиологический процесс пандемии </w:t>
      </w:r>
      <w:r w:rsidRPr="004135FE">
        <w:rPr>
          <w:rFonts w:ascii="Times New Roman" w:hAnsi="Times New Roman" w:cs="Times New Roman"/>
          <w:sz w:val="28"/>
          <w:szCs w:val="28"/>
          <w:lang w:val="en-US"/>
        </w:rPr>
        <w:t>Covid</w:t>
      </w:r>
      <w:r w:rsidRPr="004135FE">
        <w:rPr>
          <w:rFonts w:ascii="Times New Roman" w:hAnsi="Times New Roman" w:cs="Times New Roman"/>
          <w:sz w:val="28"/>
          <w:szCs w:val="28"/>
        </w:rPr>
        <w:t>-19, ВОЗ выделил сахарный диабет как высокий уровень риска инфицирования и необходимость акцентирования внимания на отдельные категории пациен</w:t>
      </w:r>
      <w:r w:rsidR="00AA0167" w:rsidRPr="004135FE">
        <w:rPr>
          <w:rFonts w:ascii="Times New Roman" w:hAnsi="Times New Roman" w:cs="Times New Roman"/>
          <w:sz w:val="28"/>
          <w:szCs w:val="28"/>
        </w:rPr>
        <w:t>тов из групп особого риска [172</w:t>
      </w:r>
      <w:r w:rsidRPr="004135FE">
        <w:rPr>
          <w:rFonts w:ascii="Times New Roman" w:hAnsi="Times New Roman" w:cs="Times New Roman"/>
          <w:sz w:val="28"/>
          <w:szCs w:val="28"/>
        </w:rPr>
        <w:t>]</w:t>
      </w:r>
      <w:r w:rsidR="000B7241">
        <w:rPr>
          <w:rFonts w:ascii="Times New Roman" w:hAnsi="Times New Roman" w:cs="Times New Roman"/>
          <w:sz w:val="28"/>
          <w:szCs w:val="28"/>
          <w:lang w:val="kk-KZ"/>
        </w:rPr>
        <w:t>.</w:t>
      </w:r>
    </w:p>
    <w:p w14:paraId="4442A4F8" w14:textId="0DEF1CE3" w:rsidR="004D684D"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Многие пациенты с диагнозом СД2т испытывают психосоциальное бремя и проблемы психического здоровья, связанные с этим заболеванием. Дистресс на почве СД2т оказывает выраженное влияние на поведение больного по уходу за собой и контроль заболеваний. Оказание психосоциальной поддержки пациентам может повысить качество жизни, благополучие, связанное со здоровьем, способность к самообслуживанию и контроль над заболеванием, а также уменьшить депрессивные симптомы.</w:t>
      </w:r>
    </w:p>
    <w:p w14:paraId="128B55DF" w14:textId="777A05AD" w:rsidR="007A2C38" w:rsidRPr="000B7241" w:rsidRDefault="007A2C38" w:rsidP="004135FE">
      <w:pPr>
        <w:tabs>
          <w:tab w:val="left" w:pos="284"/>
        </w:tabs>
        <w:spacing w:after="0" w:line="240" w:lineRule="auto"/>
        <w:jc w:val="both"/>
        <w:rPr>
          <w:rFonts w:ascii="Times New Roman" w:hAnsi="Times New Roman" w:cs="Times New Roman"/>
          <w:bCs/>
          <w:sz w:val="28"/>
          <w:szCs w:val="28"/>
          <w:lang w:val="kk-KZ"/>
        </w:rPr>
      </w:pPr>
      <w:r w:rsidRPr="004135FE">
        <w:rPr>
          <w:rFonts w:ascii="Times New Roman" w:hAnsi="Times New Roman" w:cs="Times New Roman"/>
          <w:bCs/>
          <w:sz w:val="28"/>
          <w:szCs w:val="28"/>
        </w:rPr>
        <w:tab/>
      </w:r>
      <w:r w:rsidRPr="004135FE">
        <w:rPr>
          <w:rFonts w:ascii="Times New Roman" w:hAnsi="Times New Roman" w:cs="Times New Roman"/>
          <w:bCs/>
          <w:sz w:val="28"/>
          <w:szCs w:val="28"/>
        </w:rPr>
        <w:tab/>
      </w:r>
      <w:r w:rsidR="006514B5" w:rsidRPr="004135FE">
        <w:rPr>
          <w:rFonts w:ascii="Times New Roman" w:hAnsi="Times New Roman" w:cs="Times New Roman"/>
          <w:bCs/>
          <w:sz w:val="28"/>
          <w:szCs w:val="28"/>
        </w:rPr>
        <w:t>В международных протоколах диагностики и лечения СД2т, психосоциальная помощь пациентов является обязательным терапевтическим процессом, для повышения уровня качества жизни и благополучия.</w:t>
      </w:r>
      <w:r w:rsidR="00C973CE" w:rsidRPr="004135FE">
        <w:rPr>
          <w:rFonts w:ascii="Times New Roman" w:hAnsi="Times New Roman" w:cs="Times New Roman"/>
          <w:bCs/>
          <w:sz w:val="28"/>
          <w:szCs w:val="28"/>
        </w:rPr>
        <w:t xml:space="preserve"> Помощь состоит в определениях необходимости оказания поддержки и делегирование пациента согласно тяжести его </w:t>
      </w:r>
      <w:r w:rsidR="00C973CE" w:rsidRPr="00272615">
        <w:rPr>
          <w:rFonts w:ascii="Times New Roman" w:hAnsi="Times New Roman" w:cs="Times New Roman"/>
          <w:bCs/>
          <w:sz w:val="28"/>
          <w:szCs w:val="28"/>
        </w:rPr>
        <w:t>состояния</w:t>
      </w:r>
      <w:r w:rsidRPr="00272615">
        <w:rPr>
          <w:rFonts w:ascii="Times New Roman" w:hAnsi="Times New Roman" w:cs="Times New Roman"/>
          <w:sz w:val="28"/>
          <w:szCs w:val="28"/>
        </w:rPr>
        <w:t xml:space="preserve"> [8]</w:t>
      </w:r>
      <w:r w:rsidR="000B7241" w:rsidRPr="00272615">
        <w:rPr>
          <w:rFonts w:ascii="Times New Roman" w:hAnsi="Times New Roman" w:cs="Times New Roman"/>
          <w:sz w:val="28"/>
          <w:szCs w:val="28"/>
          <w:lang w:val="kk-KZ"/>
        </w:rPr>
        <w:t>.</w:t>
      </w:r>
    </w:p>
    <w:p w14:paraId="066A0749" w14:textId="5D8F79AD" w:rsidR="007A2C38" w:rsidRPr="000B7241" w:rsidRDefault="007A2C38" w:rsidP="004135FE">
      <w:pPr>
        <w:spacing w:after="0" w:line="240" w:lineRule="auto"/>
        <w:ind w:firstLine="708"/>
        <w:jc w:val="both"/>
        <w:rPr>
          <w:rFonts w:ascii="Times New Roman" w:hAnsi="Times New Roman" w:cs="Times New Roman"/>
          <w:sz w:val="28"/>
          <w:szCs w:val="28"/>
          <w:lang w:val="kk-KZ"/>
        </w:rPr>
      </w:pPr>
      <w:r w:rsidRPr="004135FE">
        <w:rPr>
          <w:rFonts w:ascii="Times New Roman" w:hAnsi="Times New Roman" w:cs="Times New Roman"/>
          <w:sz w:val="28"/>
          <w:szCs w:val="28"/>
        </w:rPr>
        <w:t xml:space="preserve">В </w:t>
      </w:r>
      <w:r w:rsidR="00C973CE" w:rsidRPr="004135FE">
        <w:rPr>
          <w:rFonts w:ascii="Times New Roman" w:hAnsi="Times New Roman" w:cs="Times New Roman"/>
          <w:sz w:val="28"/>
          <w:szCs w:val="28"/>
        </w:rPr>
        <w:t xml:space="preserve">отечественном клиническом протоколе </w:t>
      </w:r>
      <w:r w:rsidRPr="004135FE">
        <w:rPr>
          <w:rFonts w:ascii="Times New Roman" w:hAnsi="Times New Roman" w:cs="Times New Roman"/>
          <w:sz w:val="28"/>
          <w:szCs w:val="28"/>
        </w:rPr>
        <w:t>тактика лечения охватывает диетотерапию, ФА, обучение, самоконтр</w:t>
      </w:r>
      <w:r w:rsidR="00C973CE" w:rsidRPr="004135FE">
        <w:rPr>
          <w:rFonts w:ascii="Times New Roman" w:hAnsi="Times New Roman" w:cs="Times New Roman"/>
          <w:sz w:val="28"/>
          <w:szCs w:val="28"/>
        </w:rPr>
        <w:t xml:space="preserve">оль, сахароснижающие препараты. </w:t>
      </w:r>
      <w:r w:rsidR="00DA410E" w:rsidRPr="004135FE">
        <w:rPr>
          <w:rFonts w:ascii="Times New Roman" w:hAnsi="Times New Roman" w:cs="Times New Roman"/>
          <w:sz w:val="28"/>
          <w:szCs w:val="28"/>
        </w:rPr>
        <w:t>Согласно документу, п</w:t>
      </w:r>
      <w:r w:rsidRPr="004135FE">
        <w:rPr>
          <w:rFonts w:ascii="Times New Roman" w:hAnsi="Times New Roman" w:cs="Times New Roman"/>
          <w:sz w:val="28"/>
          <w:szCs w:val="28"/>
        </w:rPr>
        <w:t>сихосоциальная поддержка не входит в терапевти</w:t>
      </w:r>
      <w:r w:rsidR="00AA0167" w:rsidRPr="004135FE">
        <w:rPr>
          <w:rFonts w:ascii="Times New Roman" w:hAnsi="Times New Roman" w:cs="Times New Roman"/>
          <w:sz w:val="28"/>
          <w:szCs w:val="28"/>
        </w:rPr>
        <w:t>ческую цель на уровне ПМСП [173</w:t>
      </w:r>
      <w:r w:rsidRPr="004135FE">
        <w:rPr>
          <w:rFonts w:ascii="Times New Roman" w:hAnsi="Times New Roman" w:cs="Times New Roman"/>
          <w:sz w:val="28"/>
          <w:szCs w:val="28"/>
        </w:rPr>
        <w:t>]</w:t>
      </w:r>
      <w:r w:rsidR="000B7241">
        <w:rPr>
          <w:rFonts w:ascii="Times New Roman" w:hAnsi="Times New Roman" w:cs="Times New Roman"/>
          <w:sz w:val="28"/>
          <w:szCs w:val="28"/>
          <w:lang w:val="kk-KZ"/>
        </w:rPr>
        <w:t>.</w:t>
      </w:r>
    </w:p>
    <w:p w14:paraId="2CA622A2"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В процессе определения необходимости пациента и оказания психосоциальной поддержки медперсоналом по разным жизненным событиям при СД2т, на плечи эндокринологов возлагаются наибольшая часть работы. Очень важно вовремя и правильно оценить ситуацию и принять меры по специфике проблемы.</w:t>
      </w:r>
    </w:p>
    <w:p w14:paraId="7C8B73A5" w14:textId="77777777" w:rsidR="007A2C38" w:rsidRPr="004135FE" w:rsidRDefault="007A2C38"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lastRenderedPageBreak/>
        <w:t>В социологическом опросе среди врачей эндокринологов рассмотрены ряд вопросов, требующих особое внимание и обязательное оказание психосоциальной поддержки.</w:t>
      </w:r>
    </w:p>
    <w:p w14:paraId="0CE07622" w14:textId="0FEB8C5A" w:rsidR="007A2C38" w:rsidRPr="004135FE" w:rsidRDefault="007A2C38" w:rsidP="000B7241">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Оценка психосоциального статуса должен проводится на уровне врача эндокринолога, охватывая все клинические ситуации указанных на рисунке 19. </w:t>
      </w:r>
    </w:p>
    <w:p w14:paraId="1A20AD20" w14:textId="643BB89D" w:rsidR="007A2C38" w:rsidRPr="004135FE" w:rsidRDefault="007A2C38" w:rsidP="000B7241">
      <w:pPr>
        <w:tabs>
          <w:tab w:val="left" w:pos="284"/>
        </w:tabs>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По результатам опроса, необходимость пациента в психосоциальной поддержке медперсоналом оцениваются в</w:t>
      </w:r>
      <w:r w:rsidRPr="004135FE">
        <w:rPr>
          <w:rFonts w:ascii="Times New Roman" w:hAnsi="Times New Roman" w:cs="Times New Roman"/>
          <w:b/>
          <w:sz w:val="28"/>
          <w:szCs w:val="28"/>
        </w:rPr>
        <w:t xml:space="preserve"> </w:t>
      </w:r>
      <w:r w:rsidRPr="004135FE">
        <w:rPr>
          <w:rFonts w:ascii="Times New Roman" w:hAnsi="Times New Roman" w:cs="Times New Roman"/>
          <w:sz w:val="28"/>
          <w:szCs w:val="28"/>
        </w:rPr>
        <w:t xml:space="preserve">3% ДИ </w:t>
      </w:r>
      <w:r w:rsidRPr="004135FE">
        <w:rPr>
          <w:rFonts w:ascii="Times New Roman" w:eastAsia="Times New Roman" w:hAnsi="Times New Roman" w:cs="Times New Roman"/>
          <w:sz w:val="28"/>
          <w:szCs w:val="28"/>
        </w:rPr>
        <w:t xml:space="preserve">(-16,41; 24,05) </w:t>
      </w:r>
      <w:r w:rsidRPr="004135FE">
        <w:rPr>
          <w:rFonts w:ascii="Times New Roman" w:hAnsi="Times New Roman" w:cs="Times New Roman"/>
          <w:sz w:val="28"/>
          <w:szCs w:val="28"/>
        </w:rPr>
        <w:t xml:space="preserve">на дебюте заболевания, 3% ДИ </w:t>
      </w:r>
      <w:r w:rsidRPr="004135FE">
        <w:rPr>
          <w:rFonts w:ascii="Times New Roman" w:eastAsia="Times New Roman" w:hAnsi="Times New Roman" w:cs="Times New Roman"/>
          <w:sz w:val="28"/>
          <w:szCs w:val="28"/>
        </w:rPr>
        <w:t>(-16,41; 24,05)</w:t>
      </w:r>
      <w:r w:rsidRPr="004135FE">
        <w:rPr>
          <w:rFonts w:ascii="Times New Roman" w:hAnsi="Times New Roman" w:cs="Times New Roman"/>
          <w:sz w:val="28"/>
          <w:szCs w:val="28"/>
        </w:rPr>
        <w:t xml:space="preserve"> при появлении или значительной прогрессировании осложнений течения СД2т, 3% ДИ </w:t>
      </w:r>
      <w:r w:rsidRPr="004135FE">
        <w:rPr>
          <w:rFonts w:ascii="Times New Roman" w:eastAsia="Times New Roman" w:hAnsi="Times New Roman" w:cs="Times New Roman"/>
          <w:sz w:val="28"/>
          <w:szCs w:val="28"/>
        </w:rPr>
        <w:t>(-16,41; 24,05)</w:t>
      </w:r>
      <w:r w:rsidRPr="004135FE">
        <w:rPr>
          <w:rFonts w:ascii="Times New Roman" w:hAnsi="Times New Roman" w:cs="Times New Roman"/>
          <w:sz w:val="28"/>
          <w:szCs w:val="28"/>
        </w:rPr>
        <w:t xml:space="preserve"> при изменении терапевтического режима (перевод с ПССП на инсулин, перевод с инъекционного способа введения инсулина на постоянную подкожную инфузию инсулина (помповую терапию). Во всех вышеизложенных клинических ситуациях 71% ДИ </w:t>
      </w:r>
      <w:r w:rsidRPr="004135FE">
        <w:rPr>
          <w:rFonts w:ascii="Times New Roman" w:eastAsia="Times New Roman" w:hAnsi="Times New Roman" w:cs="Times New Roman"/>
          <w:sz w:val="28"/>
          <w:szCs w:val="28"/>
        </w:rPr>
        <w:t xml:space="preserve">(69,30; 73,57) </w:t>
      </w:r>
      <w:r w:rsidRPr="004135FE">
        <w:rPr>
          <w:rFonts w:ascii="Times New Roman" w:hAnsi="Times New Roman" w:cs="Times New Roman"/>
          <w:sz w:val="28"/>
          <w:szCs w:val="28"/>
        </w:rPr>
        <w:t xml:space="preserve">врачей эндокринологов проводят оценку необходимости пациентов в психосоциальной поддержке, 20% ДИ </w:t>
      </w:r>
      <w:r w:rsidRPr="004135FE">
        <w:rPr>
          <w:rFonts w:ascii="Times New Roman" w:eastAsia="Times New Roman" w:hAnsi="Times New Roman" w:cs="Times New Roman"/>
          <w:sz w:val="28"/>
          <w:szCs w:val="28"/>
        </w:rPr>
        <w:t>(13,37; 26,89)</w:t>
      </w:r>
      <w:r w:rsidRPr="004135FE">
        <w:rPr>
          <w:rFonts w:ascii="Times New Roman" w:hAnsi="Times New Roman" w:cs="Times New Roman"/>
          <w:sz w:val="28"/>
          <w:szCs w:val="28"/>
        </w:rPr>
        <w:t xml:space="preserve"> не определяют из-за нехватки времени. </w:t>
      </w:r>
    </w:p>
    <w:p w14:paraId="729E75FF"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p>
    <w:p w14:paraId="44219B84"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noProof/>
          <w:sz w:val="28"/>
          <w:szCs w:val="28"/>
        </w:rPr>
        <w:drawing>
          <wp:inline distT="0" distB="0" distL="0" distR="0" wp14:anchorId="01DC5E02" wp14:editId="27AFA7E0">
            <wp:extent cx="6105525" cy="2324100"/>
            <wp:effectExtent l="0" t="0" r="9525" b="0"/>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154E48B" w14:textId="77777777" w:rsidR="000B7241" w:rsidRDefault="000B7241" w:rsidP="000B7241">
      <w:pPr>
        <w:widowControl w:val="0"/>
        <w:tabs>
          <w:tab w:val="center" w:pos="4046"/>
        </w:tabs>
        <w:autoSpaceDE w:val="0"/>
        <w:autoSpaceDN w:val="0"/>
        <w:adjustRightInd w:val="0"/>
        <w:spacing w:after="0" w:line="240" w:lineRule="auto"/>
        <w:jc w:val="center"/>
        <w:rPr>
          <w:rFonts w:ascii="Times New Roman" w:hAnsi="Times New Roman" w:cs="Times New Roman"/>
          <w:sz w:val="28"/>
          <w:szCs w:val="28"/>
        </w:rPr>
      </w:pPr>
    </w:p>
    <w:p w14:paraId="5857F5BC" w14:textId="622645E9" w:rsidR="007A2C38" w:rsidRPr="004135FE" w:rsidRDefault="007A2C38" w:rsidP="000B7241">
      <w:pPr>
        <w:widowControl w:val="0"/>
        <w:tabs>
          <w:tab w:val="center" w:pos="4046"/>
        </w:tabs>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19- Признаки определения необходимости пациента в психосоциальной поддержке медперсонала по мнению врачей эндокринологов</w:t>
      </w:r>
    </w:p>
    <w:p w14:paraId="417B24E2"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b/>
          <w:bCs/>
          <w:sz w:val="28"/>
          <w:szCs w:val="28"/>
        </w:rPr>
      </w:pPr>
    </w:p>
    <w:p w14:paraId="2C42C80C" w14:textId="3BD9DB55" w:rsidR="007A2C38" w:rsidRPr="004135FE" w:rsidRDefault="007A2C38" w:rsidP="004135FE">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По мнению опрошенных врачей эндокринологов, в 11,1% случаях в дебюте заболевании СД2т и при изменении терапевтического режима (</w:t>
      </w:r>
      <w:r w:rsidRPr="004135FE">
        <w:rPr>
          <w:rFonts w:ascii="Times New Roman" w:hAnsi="Times New Roman" w:cs="Times New Roman"/>
          <w:i/>
          <w:sz w:val="28"/>
          <w:szCs w:val="28"/>
        </w:rPr>
        <w:t>перевод с ПССП на инсулин, перевод с инъекционного способа введения инсулина на постоянную подкожную инфузию инсулина (помповую терапию</w:t>
      </w:r>
      <w:r w:rsidRPr="004135FE">
        <w:rPr>
          <w:rFonts w:ascii="Times New Roman" w:hAnsi="Times New Roman" w:cs="Times New Roman"/>
          <w:sz w:val="28"/>
          <w:szCs w:val="28"/>
        </w:rPr>
        <w:t xml:space="preserve">), оценку психологического статуса на необходимость консультации и поддержки проводят врачи психологи/психотерапевты. При появлении или значительного прогрессирования осложнений течения СД2т, в 50,0% случаях ВОП проводят оценку статуса пациента. Со слов эндокринологов, в 100,0% случаях врачи-эндокринологи и социальные работники, 66,7% психологи/психотерапевты, 50,0% ВОП проводят оценку необходимости помощи во всех вышеизложенных ситуациях (Рисунок 20). Различия между </w:t>
      </w:r>
      <w:r w:rsidRPr="004135FE">
        <w:rPr>
          <w:rFonts w:ascii="Times New Roman" w:hAnsi="Times New Roman" w:cs="Times New Roman"/>
          <w:sz w:val="28"/>
          <w:szCs w:val="28"/>
        </w:rPr>
        <w:lastRenderedPageBreak/>
        <w:t xml:space="preserve">группами признаков определения необходимости пациента в психосоциальной поддержке медперсонала высоко достоверны (χ2=46,848a, df=16, p=0,0001). Согласно литературным источникам по диабетологии, в данной клинической ситуации оценку статуса и оказание основной помощи делегируются по специфике врачам эндокринологам. </w:t>
      </w:r>
    </w:p>
    <w:p w14:paraId="190134F3"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noProof/>
          <w:sz w:val="28"/>
          <w:szCs w:val="28"/>
        </w:rPr>
      </w:pPr>
    </w:p>
    <w:p w14:paraId="078B8134" w14:textId="77777777" w:rsidR="000B7241" w:rsidRDefault="007A2C38" w:rsidP="000B7241">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noProof/>
          <w:sz w:val="28"/>
          <w:szCs w:val="28"/>
        </w:rPr>
        <w:drawing>
          <wp:inline distT="0" distB="0" distL="0" distR="0" wp14:anchorId="240BC3A8" wp14:editId="5B963FB0">
            <wp:extent cx="5648325" cy="2724150"/>
            <wp:effectExtent l="0" t="0" r="9525"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4135FE">
        <w:rPr>
          <w:rFonts w:ascii="Times New Roman" w:hAnsi="Times New Roman" w:cs="Times New Roman"/>
          <w:sz w:val="28"/>
          <w:szCs w:val="28"/>
        </w:rPr>
        <w:br w:type="textWrapping" w:clear="all"/>
      </w:r>
    </w:p>
    <w:p w14:paraId="5E5917C8" w14:textId="0DE857C6" w:rsidR="007A2C38" w:rsidRPr="004135FE" w:rsidRDefault="007A2C38" w:rsidP="000B7241">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20</w:t>
      </w:r>
      <w:r w:rsidR="000B7241">
        <w:rPr>
          <w:rFonts w:ascii="Times New Roman" w:hAnsi="Times New Roman" w:cs="Times New Roman"/>
          <w:sz w:val="28"/>
          <w:szCs w:val="28"/>
          <w:lang w:val="kk-KZ"/>
        </w:rPr>
        <w:t xml:space="preserve"> </w:t>
      </w:r>
      <w:r w:rsidRPr="004135FE">
        <w:rPr>
          <w:rFonts w:ascii="Times New Roman" w:hAnsi="Times New Roman" w:cs="Times New Roman"/>
          <w:sz w:val="28"/>
          <w:szCs w:val="28"/>
        </w:rPr>
        <w:t>- Взаимосвязь признаков определения необходимости пациента в психосоциальной поддержке медперсонала и кем проводится оценка психологического статуса</w:t>
      </w:r>
    </w:p>
    <w:p w14:paraId="1AF234C4"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b/>
          <w:bCs/>
          <w:sz w:val="28"/>
          <w:szCs w:val="28"/>
        </w:rPr>
      </w:pPr>
    </w:p>
    <w:p w14:paraId="58DF0643" w14:textId="5F0290BE" w:rsidR="007A2C38" w:rsidRPr="004135FE" w:rsidRDefault="007A2C38"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При организации психосоциальной помощи по мнению эндокринологов (</w:t>
      </w:r>
      <w:r w:rsidR="000B7241">
        <w:rPr>
          <w:rFonts w:ascii="Times New Roman" w:hAnsi="Times New Roman" w:cs="Times New Roman"/>
          <w:sz w:val="28"/>
          <w:szCs w:val="28"/>
          <w:lang w:val="kk-KZ"/>
        </w:rPr>
        <w:t>т</w:t>
      </w:r>
      <w:r w:rsidRPr="004135FE">
        <w:rPr>
          <w:rFonts w:ascii="Times New Roman" w:hAnsi="Times New Roman" w:cs="Times New Roman"/>
          <w:sz w:val="28"/>
          <w:szCs w:val="28"/>
        </w:rPr>
        <w:t>аблица 2</w:t>
      </w:r>
      <w:r w:rsidR="00B728EF" w:rsidRPr="004135FE">
        <w:rPr>
          <w:rFonts w:ascii="Times New Roman" w:hAnsi="Times New Roman" w:cs="Times New Roman"/>
          <w:sz w:val="28"/>
          <w:szCs w:val="28"/>
        </w:rPr>
        <w:t>1</w:t>
      </w:r>
      <w:r w:rsidRPr="004135FE">
        <w:rPr>
          <w:rFonts w:ascii="Times New Roman" w:hAnsi="Times New Roman" w:cs="Times New Roman"/>
          <w:sz w:val="28"/>
          <w:szCs w:val="28"/>
        </w:rPr>
        <w:t xml:space="preserve">), оценка психологического статуса на необходимость консультации и поддержки проводят в 40% ДИ </w:t>
      </w:r>
      <w:r w:rsidRPr="004135FE">
        <w:rPr>
          <w:rFonts w:ascii="Times New Roman" w:eastAsia="Times New Roman" w:hAnsi="Times New Roman" w:cs="Times New Roman"/>
          <w:sz w:val="28"/>
          <w:szCs w:val="28"/>
        </w:rPr>
        <w:t>(35,94; 44,19)</w:t>
      </w:r>
      <w:r w:rsidRPr="004135FE">
        <w:rPr>
          <w:rFonts w:ascii="Times New Roman" w:hAnsi="Times New Roman" w:cs="Times New Roman"/>
          <w:sz w:val="28"/>
          <w:szCs w:val="28"/>
        </w:rPr>
        <w:t xml:space="preserve"> случаях врачи эндокринологи, 5,7% ДИ </w:t>
      </w:r>
      <w:r w:rsidRPr="004135FE">
        <w:rPr>
          <w:rFonts w:ascii="Times New Roman" w:eastAsia="Times New Roman" w:hAnsi="Times New Roman" w:cs="Times New Roman"/>
          <w:sz w:val="28"/>
          <w:szCs w:val="28"/>
        </w:rPr>
        <w:t>(-7,76; 20,09)</w:t>
      </w:r>
      <w:r w:rsidRPr="004135FE">
        <w:rPr>
          <w:rFonts w:ascii="Times New Roman" w:hAnsi="Times New Roman" w:cs="Times New Roman"/>
          <w:sz w:val="28"/>
          <w:szCs w:val="28"/>
        </w:rPr>
        <w:t xml:space="preserve"> ВОП, 25,7% ДИ </w:t>
      </w:r>
      <w:r w:rsidRPr="004135FE">
        <w:rPr>
          <w:rFonts w:ascii="Times New Roman" w:eastAsia="Times New Roman" w:hAnsi="Times New Roman" w:cs="Times New Roman"/>
          <w:sz w:val="28"/>
          <w:szCs w:val="28"/>
        </w:rPr>
        <w:t>(20,07; 31,54)</w:t>
      </w:r>
      <w:r w:rsidRPr="004135FE">
        <w:rPr>
          <w:rFonts w:ascii="Times New Roman" w:hAnsi="Times New Roman" w:cs="Times New Roman"/>
          <w:sz w:val="28"/>
          <w:szCs w:val="28"/>
        </w:rPr>
        <w:t xml:space="preserve"> врачи психологи/психотерапевты, 8,6%ДИ </w:t>
      </w:r>
      <w:r w:rsidRPr="004135FE">
        <w:rPr>
          <w:rFonts w:ascii="Times New Roman" w:eastAsia="Times New Roman" w:hAnsi="Times New Roman" w:cs="Times New Roman"/>
          <w:sz w:val="28"/>
          <w:szCs w:val="28"/>
        </w:rPr>
        <w:t>(-2,22; 20,04)</w:t>
      </w:r>
      <w:r w:rsidRPr="004135FE">
        <w:rPr>
          <w:rFonts w:ascii="Times New Roman" w:hAnsi="Times New Roman" w:cs="Times New Roman"/>
          <w:sz w:val="28"/>
          <w:szCs w:val="28"/>
        </w:rPr>
        <w:t xml:space="preserve"> социальные работники. Согласно опросу, в 20%ДИ </w:t>
      </w:r>
      <w:r w:rsidRPr="004135FE">
        <w:rPr>
          <w:rFonts w:ascii="Times New Roman" w:eastAsia="Times New Roman" w:hAnsi="Times New Roman" w:cs="Times New Roman"/>
          <w:sz w:val="28"/>
          <w:szCs w:val="28"/>
        </w:rPr>
        <w:t>(13,37; 26,89)</w:t>
      </w:r>
      <w:r w:rsidRPr="004135FE">
        <w:rPr>
          <w:rFonts w:ascii="Times New Roman" w:hAnsi="Times New Roman" w:cs="Times New Roman"/>
          <w:sz w:val="28"/>
          <w:szCs w:val="28"/>
        </w:rPr>
        <w:t xml:space="preserve"> случаях никем не оцениваются статус пациента, так же медицинские сестры эндокринологического кабинета не проводят оценку статуса пациента.</w:t>
      </w:r>
    </w:p>
    <w:p w14:paraId="7F0027FB" w14:textId="77777777" w:rsidR="007A2C38" w:rsidRPr="004135FE" w:rsidRDefault="007A2C38"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После оценки психосоциального статуса пациента, в зависимости от специфики выявленных психологических и социальных проблем в оказании помощи пациенту участвуют разные специалисты. По мнению эндокринологов, при наличии низкой приверженности лечению, обусловленного заболеванием дистресса, умеренно повышенной тревоги в 48,6% ДИ </w:t>
      </w:r>
      <w:r w:rsidRPr="004135FE">
        <w:rPr>
          <w:rFonts w:ascii="Times New Roman" w:eastAsia="Times New Roman" w:hAnsi="Times New Roman" w:cs="Times New Roman"/>
          <w:sz w:val="28"/>
          <w:szCs w:val="28"/>
        </w:rPr>
        <w:t>(45,19; 52,12)</w:t>
      </w:r>
      <w:r w:rsidRPr="004135FE">
        <w:rPr>
          <w:rFonts w:ascii="Times New Roman" w:hAnsi="Times New Roman" w:cs="Times New Roman"/>
          <w:sz w:val="28"/>
          <w:szCs w:val="28"/>
        </w:rPr>
        <w:t xml:space="preserve"> случаях врачи эндокринологи, 22,9% ДИ </w:t>
      </w:r>
      <w:r w:rsidRPr="004135FE">
        <w:rPr>
          <w:rFonts w:ascii="Times New Roman" w:eastAsia="Times New Roman" w:hAnsi="Times New Roman" w:cs="Times New Roman"/>
          <w:sz w:val="28"/>
          <w:szCs w:val="28"/>
        </w:rPr>
        <w:t>(16,82; 29,22)</w:t>
      </w:r>
      <w:r w:rsidRPr="004135FE">
        <w:rPr>
          <w:rFonts w:ascii="Times New Roman" w:hAnsi="Times New Roman" w:cs="Times New Roman"/>
          <w:sz w:val="28"/>
          <w:szCs w:val="28"/>
        </w:rPr>
        <w:t xml:space="preserve"> врачи психологи/психотерапевты,</w:t>
      </w:r>
      <w:r w:rsidRPr="004135FE">
        <w:rPr>
          <w:rFonts w:ascii="Times New Roman" w:hAnsi="Times New Roman" w:cs="Times New Roman"/>
          <w:b/>
          <w:sz w:val="28"/>
          <w:szCs w:val="28"/>
        </w:rPr>
        <w:t xml:space="preserve"> </w:t>
      </w:r>
      <w:r w:rsidRPr="004135FE">
        <w:rPr>
          <w:rFonts w:ascii="Times New Roman" w:hAnsi="Times New Roman" w:cs="Times New Roman"/>
          <w:sz w:val="28"/>
          <w:szCs w:val="28"/>
        </w:rPr>
        <w:t>5,7%</w:t>
      </w:r>
      <w:r w:rsidRPr="004135FE">
        <w:rPr>
          <w:rFonts w:ascii="Times New Roman" w:eastAsia="Times New Roman" w:hAnsi="Times New Roman" w:cs="Times New Roman"/>
          <w:sz w:val="28"/>
          <w:szCs w:val="28"/>
        </w:rPr>
        <w:t>(-7,76; 20,09)</w:t>
      </w:r>
      <w:r w:rsidRPr="004135FE">
        <w:rPr>
          <w:rFonts w:ascii="Times New Roman" w:hAnsi="Times New Roman" w:cs="Times New Roman"/>
          <w:sz w:val="28"/>
          <w:szCs w:val="28"/>
        </w:rPr>
        <w:t xml:space="preserve"> ВОП и медсестры эндокринологов оказывают психосоциальную поддержку пациентам. При этом 8,6% ДИ </w:t>
      </w:r>
      <w:r w:rsidRPr="004135FE">
        <w:rPr>
          <w:rFonts w:ascii="Times New Roman" w:eastAsia="Times New Roman" w:hAnsi="Times New Roman" w:cs="Times New Roman"/>
          <w:sz w:val="28"/>
          <w:szCs w:val="28"/>
        </w:rPr>
        <w:t>(-2,22; 20,04)</w:t>
      </w:r>
      <w:r w:rsidRPr="004135FE">
        <w:rPr>
          <w:rFonts w:ascii="Times New Roman" w:hAnsi="Times New Roman" w:cs="Times New Roman"/>
          <w:sz w:val="28"/>
          <w:szCs w:val="28"/>
        </w:rPr>
        <w:t xml:space="preserve"> социальных работников</w:t>
      </w:r>
      <w:r w:rsidRPr="004135FE">
        <w:rPr>
          <w:rFonts w:ascii="Times New Roman" w:hAnsi="Times New Roman" w:cs="Times New Roman"/>
          <w:b/>
          <w:sz w:val="28"/>
          <w:szCs w:val="28"/>
        </w:rPr>
        <w:t xml:space="preserve"> </w:t>
      </w:r>
      <w:r w:rsidRPr="004135FE">
        <w:rPr>
          <w:rFonts w:ascii="Times New Roman" w:hAnsi="Times New Roman" w:cs="Times New Roman"/>
          <w:sz w:val="28"/>
          <w:szCs w:val="28"/>
        </w:rPr>
        <w:t xml:space="preserve">оказывают помощь и 8,6% ДИ </w:t>
      </w:r>
      <w:r w:rsidRPr="004135FE">
        <w:rPr>
          <w:rFonts w:ascii="Times New Roman" w:eastAsia="Times New Roman" w:hAnsi="Times New Roman" w:cs="Times New Roman"/>
          <w:sz w:val="28"/>
          <w:szCs w:val="28"/>
        </w:rPr>
        <w:t xml:space="preserve">(-2,22; 20,04) </w:t>
      </w:r>
      <w:r w:rsidRPr="004135FE">
        <w:rPr>
          <w:rFonts w:ascii="Times New Roman" w:hAnsi="Times New Roman" w:cs="Times New Roman"/>
          <w:sz w:val="28"/>
          <w:szCs w:val="28"/>
        </w:rPr>
        <w:t xml:space="preserve">поддержка пациентов никем не оказываются. По специфике при наличии вышеуказанных признаков психосоциальной дезадаптации обусловленного дистрессом, которые были предъявлены при жалобе пациента </w:t>
      </w:r>
      <w:r w:rsidRPr="004135FE">
        <w:rPr>
          <w:rFonts w:ascii="Times New Roman" w:hAnsi="Times New Roman" w:cs="Times New Roman"/>
          <w:sz w:val="28"/>
          <w:szCs w:val="28"/>
        </w:rPr>
        <w:lastRenderedPageBreak/>
        <w:t>к врачу эндокринологу, должны распределяться врачам психотерапевтам, психологам.</w:t>
      </w:r>
    </w:p>
    <w:p w14:paraId="440ABAC0" w14:textId="77777777" w:rsidR="007A2C38" w:rsidRPr="004135FE" w:rsidRDefault="007A2C38" w:rsidP="004135FE">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Психосоциальную поддержку пациентов, при наличии признаков психических расстройств, в том числе клинический значимой тревоги и депрессии, расстройств пищевого поведения, выраженных когнитивных нарушений оказывают в 85,7% ДИ </w:t>
      </w:r>
      <w:r w:rsidRPr="004135FE">
        <w:rPr>
          <w:rFonts w:ascii="Times New Roman" w:eastAsia="Times New Roman" w:hAnsi="Times New Roman" w:cs="Times New Roman"/>
          <w:sz w:val="28"/>
          <w:szCs w:val="28"/>
        </w:rPr>
        <w:t>(84,35; 87,12)</w:t>
      </w:r>
      <w:r w:rsidRPr="004135FE">
        <w:rPr>
          <w:rFonts w:ascii="Times New Roman" w:hAnsi="Times New Roman" w:cs="Times New Roman"/>
          <w:sz w:val="28"/>
          <w:szCs w:val="28"/>
        </w:rPr>
        <w:t xml:space="preserve"> случаях врачи психологи/психотерапевты, в 2,9% ДИ </w:t>
      </w:r>
      <w:r w:rsidRPr="004135FE">
        <w:rPr>
          <w:rFonts w:ascii="Times New Roman" w:eastAsia="Times New Roman" w:hAnsi="Times New Roman" w:cs="Times New Roman"/>
          <w:sz w:val="28"/>
          <w:szCs w:val="28"/>
        </w:rPr>
        <w:t>(-16,41; 24,05) случаях</w:t>
      </w:r>
      <w:r w:rsidRPr="004135FE">
        <w:rPr>
          <w:rFonts w:ascii="Times New Roman" w:hAnsi="Times New Roman" w:cs="Times New Roman"/>
          <w:sz w:val="28"/>
          <w:szCs w:val="28"/>
        </w:rPr>
        <w:t xml:space="preserve"> врачи эндокринологи и их СМР, ВОП. Согласно опросу, в данной клинической ситуации социальный работник не участвует, а в 5,7% ДИ </w:t>
      </w:r>
      <w:r w:rsidRPr="004135FE">
        <w:rPr>
          <w:rFonts w:ascii="Times New Roman" w:eastAsia="Times New Roman" w:hAnsi="Times New Roman" w:cs="Times New Roman"/>
          <w:sz w:val="28"/>
          <w:szCs w:val="28"/>
        </w:rPr>
        <w:t>(-7,76; 20,09)</w:t>
      </w:r>
      <w:r w:rsidRPr="004135FE">
        <w:rPr>
          <w:rFonts w:ascii="Times New Roman" w:hAnsi="Times New Roman" w:cs="Times New Roman"/>
          <w:sz w:val="28"/>
          <w:szCs w:val="28"/>
        </w:rPr>
        <w:t xml:space="preserve"> никем не проводится поддержка пациентов.  По международным литературным источникам, после оценки данной клинической ситуации врачом эндокринологом, пациент должен быть направлен по специфике врачам психиатрам, психотерапевтам.</w:t>
      </w:r>
    </w:p>
    <w:p w14:paraId="6AAB273F" w14:textId="77777777" w:rsidR="007A2C38" w:rsidRPr="004135FE" w:rsidRDefault="007A2C38" w:rsidP="004135FE">
      <w:pPr>
        <w:spacing w:after="0" w:line="240" w:lineRule="auto"/>
        <w:ind w:firstLine="709"/>
        <w:jc w:val="both"/>
        <w:rPr>
          <w:rFonts w:ascii="Times New Roman" w:hAnsi="Times New Roman" w:cs="Times New Roman"/>
          <w:sz w:val="28"/>
          <w:szCs w:val="28"/>
        </w:rPr>
      </w:pPr>
    </w:p>
    <w:p w14:paraId="430D9160" w14:textId="3A6D3374" w:rsidR="007A2C38" w:rsidRDefault="007A2C38"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Таблица 2</w:t>
      </w:r>
      <w:r w:rsidR="00B728EF" w:rsidRPr="004135FE">
        <w:rPr>
          <w:rFonts w:ascii="Times New Roman" w:hAnsi="Times New Roman" w:cs="Times New Roman"/>
          <w:sz w:val="28"/>
          <w:szCs w:val="28"/>
        </w:rPr>
        <w:t>1</w:t>
      </w:r>
      <w:r w:rsidR="000B7241">
        <w:rPr>
          <w:rFonts w:ascii="Times New Roman" w:hAnsi="Times New Roman" w:cs="Times New Roman"/>
          <w:sz w:val="28"/>
          <w:szCs w:val="28"/>
          <w:lang w:val="kk-KZ"/>
        </w:rPr>
        <w:t xml:space="preserve"> </w:t>
      </w:r>
      <w:r w:rsidRPr="004135FE">
        <w:rPr>
          <w:rFonts w:ascii="Times New Roman" w:hAnsi="Times New Roman" w:cs="Times New Roman"/>
          <w:sz w:val="28"/>
          <w:szCs w:val="28"/>
        </w:rPr>
        <w:t xml:space="preserve">- Организация психосоциальной помощи по мнению эндокринологов  </w:t>
      </w:r>
    </w:p>
    <w:p w14:paraId="0A5BBFB0" w14:textId="77777777" w:rsidR="000B7241" w:rsidRPr="004135FE" w:rsidRDefault="000B7241" w:rsidP="004135FE">
      <w:pPr>
        <w:spacing w:after="0" w:line="240" w:lineRule="auto"/>
        <w:jc w:val="both"/>
        <w:rPr>
          <w:rFonts w:ascii="Times New Roman" w:hAnsi="Times New Roman" w:cs="Times New Roman"/>
          <w:b/>
          <w:sz w:val="28"/>
          <w:szCs w:val="28"/>
        </w:rPr>
      </w:pPr>
    </w:p>
    <w:tbl>
      <w:tblPr>
        <w:tblStyle w:val="af9"/>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9"/>
        <w:gridCol w:w="753"/>
        <w:gridCol w:w="791"/>
        <w:gridCol w:w="948"/>
        <w:gridCol w:w="12"/>
        <w:gridCol w:w="632"/>
        <w:gridCol w:w="846"/>
        <w:gridCol w:w="1143"/>
        <w:gridCol w:w="644"/>
        <w:gridCol w:w="791"/>
        <w:gridCol w:w="1042"/>
      </w:tblGrid>
      <w:tr w:rsidR="007A2C38" w:rsidRPr="000B7241" w14:paraId="49A5CE75" w14:textId="77777777" w:rsidTr="000B7241">
        <w:tc>
          <w:tcPr>
            <w:tcW w:w="1736" w:type="dxa"/>
            <w:vMerge w:val="restart"/>
          </w:tcPr>
          <w:p w14:paraId="7A8EE285" w14:textId="77777777" w:rsidR="007A2C38" w:rsidRPr="000B7241" w:rsidRDefault="007A2C38" w:rsidP="004135FE">
            <w:pPr>
              <w:tabs>
                <w:tab w:val="left" w:pos="284"/>
              </w:tabs>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вопрос</w:t>
            </w:r>
          </w:p>
        </w:tc>
        <w:tc>
          <w:tcPr>
            <w:tcW w:w="2509" w:type="dxa"/>
            <w:gridSpan w:val="4"/>
          </w:tcPr>
          <w:p w14:paraId="5694EF91"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Кем проводится оценка психологического статуса на необходимость консультации и поддержки?</w:t>
            </w:r>
          </w:p>
        </w:tc>
        <w:tc>
          <w:tcPr>
            <w:tcW w:w="2624" w:type="dxa"/>
            <w:gridSpan w:val="3"/>
          </w:tcPr>
          <w:p w14:paraId="2AB77335"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Кем оказывается психосоциальная поддержка пациентов, при наличии низкой приверженности лечению, обусловленного заболеванием дистресса, умеренно повышенной тревоги?</w:t>
            </w:r>
          </w:p>
        </w:tc>
        <w:tc>
          <w:tcPr>
            <w:tcW w:w="2482" w:type="dxa"/>
            <w:gridSpan w:val="3"/>
          </w:tcPr>
          <w:p w14:paraId="5ACB7073"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Кем оказывается психосоциальная поддержка пациентов, при наличии признаков психических расстройств, в т.ч. клинически значимой тревоги и депрессии, расстройств пищевого поведения, выраженных когнитивных нарушений?</w:t>
            </w:r>
          </w:p>
        </w:tc>
      </w:tr>
      <w:tr w:rsidR="007A2C38" w:rsidRPr="000B7241" w14:paraId="581DFE5E" w14:textId="77777777" w:rsidTr="000B7241">
        <w:tc>
          <w:tcPr>
            <w:tcW w:w="1736" w:type="dxa"/>
            <w:vMerge/>
          </w:tcPr>
          <w:p w14:paraId="78EE40CF"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p>
        </w:tc>
        <w:tc>
          <w:tcPr>
            <w:tcW w:w="756" w:type="dxa"/>
          </w:tcPr>
          <w:p w14:paraId="67392B06"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Абс</w:t>
            </w:r>
          </w:p>
        </w:tc>
        <w:tc>
          <w:tcPr>
            <w:tcW w:w="792" w:type="dxa"/>
          </w:tcPr>
          <w:p w14:paraId="17347FB1"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w:t>
            </w:r>
          </w:p>
        </w:tc>
        <w:tc>
          <w:tcPr>
            <w:tcW w:w="949" w:type="dxa"/>
          </w:tcPr>
          <w:p w14:paraId="54135C1A"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ДИ</w:t>
            </w:r>
          </w:p>
        </w:tc>
        <w:tc>
          <w:tcPr>
            <w:tcW w:w="645" w:type="dxa"/>
            <w:gridSpan w:val="2"/>
          </w:tcPr>
          <w:p w14:paraId="05C13122"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Абс</w:t>
            </w:r>
          </w:p>
        </w:tc>
        <w:tc>
          <w:tcPr>
            <w:tcW w:w="846" w:type="dxa"/>
          </w:tcPr>
          <w:p w14:paraId="5F86971A"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w:t>
            </w:r>
          </w:p>
        </w:tc>
        <w:tc>
          <w:tcPr>
            <w:tcW w:w="1145" w:type="dxa"/>
          </w:tcPr>
          <w:p w14:paraId="495FB1A9"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ДИ</w:t>
            </w:r>
          </w:p>
        </w:tc>
        <w:tc>
          <w:tcPr>
            <w:tcW w:w="645" w:type="dxa"/>
          </w:tcPr>
          <w:p w14:paraId="772F8BD7"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Абс</w:t>
            </w:r>
          </w:p>
        </w:tc>
        <w:tc>
          <w:tcPr>
            <w:tcW w:w="792" w:type="dxa"/>
          </w:tcPr>
          <w:p w14:paraId="7614A313"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w:t>
            </w:r>
          </w:p>
        </w:tc>
        <w:tc>
          <w:tcPr>
            <w:tcW w:w="1045" w:type="dxa"/>
          </w:tcPr>
          <w:p w14:paraId="10C1065E"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ДИ</w:t>
            </w:r>
          </w:p>
        </w:tc>
      </w:tr>
      <w:tr w:rsidR="007A2C38" w:rsidRPr="000B7241" w14:paraId="28DB9408" w14:textId="77777777" w:rsidTr="000B7241">
        <w:tc>
          <w:tcPr>
            <w:tcW w:w="1736" w:type="dxa"/>
          </w:tcPr>
          <w:p w14:paraId="11B43B29"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Врач эндокринолог</w:t>
            </w:r>
          </w:p>
        </w:tc>
        <w:tc>
          <w:tcPr>
            <w:tcW w:w="756" w:type="dxa"/>
          </w:tcPr>
          <w:p w14:paraId="4A4E53A9"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14</w:t>
            </w:r>
          </w:p>
        </w:tc>
        <w:tc>
          <w:tcPr>
            <w:tcW w:w="792" w:type="dxa"/>
          </w:tcPr>
          <w:p w14:paraId="39EC43FA"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40,0</w:t>
            </w:r>
          </w:p>
        </w:tc>
        <w:tc>
          <w:tcPr>
            <w:tcW w:w="949" w:type="dxa"/>
          </w:tcPr>
          <w:p w14:paraId="37F88F89"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eastAsia="Times New Roman" w:hAnsi="Times New Roman" w:cs="Times New Roman"/>
                <w:sz w:val="24"/>
                <w:szCs w:val="24"/>
              </w:rPr>
              <w:t>(35,94; 44,19)</w:t>
            </w:r>
          </w:p>
        </w:tc>
        <w:tc>
          <w:tcPr>
            <w:tcW w:w="645" w:type="dxa"/>
            <w:gridSpan w:val="2"/>
          </w:tcPr>
          <w:p w14:paraId="55A739B5"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17</w:t>
            </w:r>
          </w:p>
        </w:tc>
        <w:tc>
          <w:tcPr>
            <w:tcW w:w="846" w:type="dxa"/>
          </w:tcPr>
          <w:p w14:paraId="0B5DC4C6"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48,6</w:t>
            </w:r>
          </w:p>
        </w:tc>
        <w:tc>
          <w:tcPr>
            <w:tcW w:w="1145" w:type="dxa"/>
          </w:tcPr>
          <w:p w14:paraId="2752A89D" w14:textId="77777777" w:rsidR="007A2C38" w:rsidRPr="000B7241" w:rsidRDefault="007A2C38" w:rsidP="004135FE">
            <w:pPr>
              <w:spacing w:after="0" w:line="240" w:lineRule="auto"/>
              <w:jc w:val="center"/>
              <w:rPr>
                <w:rFonts w:ascii="Times New Roman" w:eastAsia="Times New Roman" w:hAnsi="Times New Roman" w:cs="Times New Roman"/>
                <w:sz w:val="24"/>
                <w:szCs w:val="24"/>
              </w:rPr>
            </w:pPr>
            <w:r w:rsidRPr="000B7241">
              <w:rPr>
                <w:rFonts w:ascii="Times New Roman" w:eastAsia="Times New Roman" w:hAnsi="Times New Roman" w:cs="Times New Roman"/>
                <w:sz w:val="24"/>
                <w:szCs w:val="24"/>
              </w:rPr>
              <w:t>(45,19; 52,12)</w:t>
            </w:r>
          </w:p>
        </w:tc>
        <w:tc>
          <w:tcPr>
            <w:tcW w:w="645" w:type="dxa"/>
          </w:tcPr>
          <w:p w14:paraId="291B49DB"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1</w:t>
            </w:r>
          </w:p>
        </w:tc>
        <w:tc>
          <w:tcPr>
            <w:tcW w:w="792" w:type="dxa"/>
          </w:tcPr>
          <w:p w14:paraId="16ED2097"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2,9</w:t>
            </w:r>
          </w:p>
        </w:tc>
        <w:tc>
          <w:tcPr>
            <w:tcW w:w="1045" w:type="dxa"/>
          </w:tcPr>
          <w:p w14:paraId="22080604" w14:textId="77777777" w:rsidR="007A2C38" w:rsidRPr="000B7241" w:rsidRDefault="007A2C38" w:rsidP="004135FE">
            <w:pPr>
              <w:spacing w:after="0" w:line="240" w:lineRule="auto"/>
              <w:jc w:val="center"/>
              <w:rPr>
                <w:rFonts w:ascii="Times New Roman" w:hAnsi="Times New Roman" w:cs="Times New Roman"/>
                <w:sz w:val="24"/>
                <w:szCs w:val="24"/>
              </w:rPr>
            </w:pPr>
            <w:r w:rsidRPr="000B7241">
              <w:rPr>
                <w:rFonts w:ascii="Times New Roman" w:eastAsia="Times New Roman" w:hAnsi="Times New Roman" w:cs="Times New Roman"/>
                <w:sz w:val="24"/>
                <w:szCs w:val="24"/>
              </w:rPr>
              <w:t>(-16,41; 24,05)</w:t>
            </w:r>
          </w:p>
        </w:tc>
      </w:tr>
      <w:tr w:rsidR="007A2C38" w:rsidRPr="000B7241" w14:paraId="4D118B09" w14:textId="77777777" w:rsidTr="000B7241">
        <w:tc>
          <w:tcPr>
            <w:tcW w:w="1736" w:type="dxa"/>
          </w:tcPr>
          <w:p w14:paraId="0ACAC2D0"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Медсестра эндокринолога</w:t>
            </w:r>
          </w:p>
        </w:tc>
        <w:tc>
          <w:tcPr>
            <w:tcW w:w="756" w:type="dxa"/>
          </w:tcPr>
          <w:p w14:paraId="1FA0591E"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0</w:t>
            </w:r>
          </w:p>
        </w:tc>
        <w:tc>
          <w:tcPr>
            <w:tcW w:w="792" w:type="dxa"/>
          </w:tcPr>
          <w:p w14:paraId="6587862C"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0,0</w:t>
            </w:r>
          </w:p>
        </w:tc>
        <w:tc>
          <w:tcPr>
            <w:tcW w:w="949" w:type="dxa"/>
          </w:tcPr>
          <w:p w14:paraId="1B33419E"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p>
        </w:tc>
        <w:tc>
          <w:tcPr>
            <w:tcW w:w="645" w:type="dxa"/>
            <w:gridSpan w:val="2"/>
          </w:tcPr>
          <w:p w14:paraId="18691900"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2</w:t>
            </w:r>
          </w:p>
        </w:tc>
        <w:tc>
          <w:tcPr>
            <w:tcW w:w="846" w:type="dxa"/>
          </w:tcPr>
          <w:p w14:paraId="12F0DD3C"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5,7</w:t>
            </w:r>
          </w:p>
        </w:tc>
        <w:tc>
          <w:tcPr>
            <w:tcW w:w="1145" w:type="dxa"/>
          </w:tcPr>
          <w:p w14:paraId="3D63FE2B" w14:textId="77777777" w:rsidR="007A2C38" w:rsidRPr="000B7241" w:rsidRDefault="007A2C38" w:rsidP="004135FE">
            <w:pPr>
              <w:spacing w:after="0" w:line="240" w:lineRule="auto"/>
              <w:jc w:val="center"/>
              <w:rPr>
                <w:rFonts w:ascii="Times New Roman" w:eastAsia="Times New Roman" w:hAnsi="Times New Roman" w:cs="Times New Roman"/>
                <w:sz w:val="24"/>
                <w:szCs w:val="24"/>
              </w:rPr>
            </w:pPr>
            <w:r w:rsidRPr="000B7241">
              <w:rPr>
                <w:rFonts w:ascii="Times New Roman" w:eastAsia="Times New Roman" w:hAnsi="Times New Roman" w:cs="Times New Roman"/>
                <w:sz w:val="24"/>
                <w:szCs w:val="24"/>
              </w:rPr>
              <w:t>(-7,76; 20,09)</w:t>
            </w:r>
          </w:p>
        </w:tc>
        <w:tc>
          <w:tcPr>
            <w:tcW w:w="645" w:type="dxa"/>
          </w:tcPr>
          <w:p w14:paraId="401A9A60"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1</w:t>
            </w:r>
          </w:p>
        </w:tc>
        <w:tc>
          <w:tcPr>
            <w:tcW w:w="792" w:type="dxa"/>
          </w:tcPr>
          <w:p w14:paraId="57A13E26"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2,9</w:t>
            </w:r>
          </w:p>
        </w:tc>
        <w:tc>
          <w:tcPr>
            <w:tcW w:w="1045" w:type="dxa"/>
          </w:tcPr>
          <w:p w14:paraId="5FDA1982" w14:textId="77777777" w:rsidR="007A2C38" w:rsidRPr="000B7241" w:rsidRDefault="007A2C38" w:rsidP="004135FE">
            <w:pPr>
              <w:spacing w:after="0" w:line="240" w:lineRule="auto"/>
              <w:jc w:val="center"/>
              <w:rPr>
                <w:rFonts w:ascii="Times New Roman" w:hAnsi="Times New Roman" w:cs="Times New Roman"/>
                <w:sz w:val="24"/>
                <w:szCs w:val="24"/>
              </w:rPr>
            </w:pPr>
            <w:r w:rsidRPr="000B7241">
              <w:rPr>
                <w:rFonts w:ascii="Times New Roman" w:eastAsia="Times New Roman" w:hAnsi="Times New Roman" w:cs="Times New Roman"/>
                <w:sz w:val="24"/>
                <w:szCs w:val="24"/>
              </w:rPr>
              <w:t>(-16,41; 24,05)</w:t>
            </w:r>
          </w:p>
        </w:tc>
      </w:tr>
      <w:tr w:rsidR="007A2C38" w:rsidRPr="000B7241" w14:paraId="79E11E67" w14:textId="77777777" w:rsidTr="000B7241">
        <w:tc>
          <w:tcPr>
            <w:tcW w:w="1736" w:type="dxa"/>
          </w:tcPr>
          <w:p w14:paraId="350FA6F2"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ВОП</w:t>
            </w:r>
          </w:p>
        </w:tc>
        <w:tc>
          <w:tcPr>
            <w:tcW w:w="756" w:type="dxa"/>
          </w:tcPr>
          <w:p w14:paraId="3484611D"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2</w:t>
            </w:r>
          </w:p>
        </w:tc>
        <w:tc>
          <w:tcPr>
            <w:tcW w:w="792" w:type="dxa"/>
          </w:tcPr>
          <w:p w14:paraId="558E6F26"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5,7</w:t>
            </w:r>
          </w:p>
        </w:tc>
        <w:tc>
          <w:tcPr>
            <w:tcW w:w="949" w:type="dxa"/>
          </w:tcPr>
          <w:p w14:paraId="544AE7EF" w14:textId="77777777" w:rsidR="007A2C38" w:rsidRPr="000B7241" w:rsidRDefault="007A2C38" w:rsidP="004135FE">
            <w:pPr>
              <w:spacing w:after="0" w:line="240" w:lineRule="auto"/>
              <w:jc w:val="center"/>
              <w:rPr>
                <w:rFonts w:ascii="Times New Roman" w:eastAsia="Times New Roman" w:hAnsi="Times New Roman" w:cs="Times New Roman"/>
                <w:sz w:val="24"/>
                <w:szCs w:val="24"/>
              </w:rPr>
            </w:pPr>
            <w:r w:rsidRPr="000B7241">
              <w:rPr>
                <w:rFonts w:ascii="Times New Roman" w:eastAsia="Times New Roman" w:hAnsi="Times New Roman" w:cs="Times New Roman"/>
                <w:sz w:val="24"/>
                <w:szCs w:val="24"/>
              </w:rPr>
              <w:t>(-7,76; 20,09)</w:t>
            </w:r>
          </w:p>
        </w:tc>
        <w:tc>
          <w:tcPr>
            <w:tcW w:w="645" w:type="dxa"/>
            <w:gridSpan w:val="2"/>
          </w:tcPr>
          <w:p w14:paraId="58B0A193"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2</w:t>
            </w:r>
          </w:p>
        </w:tc>
        <w:tc>
          <w:tcPr>
            <w:tcW w:w="846" w:type="dxa"/>
          </w:tcPr>
          <w:p w14:paraId="0B3377DF"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5,7</w:t>
            </w:r>
          </w:p>
        </w:tc>
        <w:tc>
          <w:tcPr>
            <w:tcW w:w="1145" w:type="dxa"/>
          </w:tcPr>
          <w:p w14:paraId="508A55F7"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eastAsia="Times New Roman" w:hAnsi="Times New Roman" w:cs="Times New Roman"/>
                <w:sz w:val="24"/>
                <w:szCs w:val="24"/>
              </w:rPr>
              <w:t>(-7,76; 20,09)</w:t>
            </w:r>
          </w:p>
        </w:tc>
        <w:tc>
          <w:tcPr>
            <w:tcW w:w="645" w:type="dxa"/>
          </w:tcPr>
          <w:p w14:paraId="6610C829"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1</w:t>
            </w:r>
          </w:p>
        </w:tc>
        <w:tc>
          <w:tcPr>
            <w:tcW w:w="792" w:type="dxa"/>
          </w:tcPr>
          <w:p w14:paraId="2CDBA829"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2,9</w:t>
            </w:r>
          </w:p>
        </w:tc>
        <w:tc>
          <w:tcPr>
            <w:tcW w:w="1045" w:type="dxa"/>
          </w:tcPr>
          <w:p w14:paraId="01CEE984" w14:textId="77777777" w:rsidR="007A2C38" w:rsidRPr="000B7241" w:rsidRDefault="007A2C38" w:rsidP="004135FE">
            <w:pPr>
              <w:spacing w:after="0" w:line="240" w:lineRule="auto"/>
              <w:jc w:val="center"/>
              <w:rPr>
                <w:rFonts w:ascii="Times New Roman" w:hAnsi="Times New Roman" w:cs="Times New Roman"/>
                <w:sz w:val="24"/>
                <w:szCs w:val="24"/>
              </w:rPr>
            </w:pPr>
            <w:r w:rsidRPr="000B7241">
              <w:rPr>
                <w:rFonts w:ascii="Times New Roman" w:eastAsia="Times New Roman" w:hAnsi="Times New Roman" w:cs="Times New Roman"/>
                <w:sz w:val="24"/>
                <w:szCs w:val="24"/>
              </w:rPr>
              <w:t>(-16,41; 24,05)</w:t>
            </w:r>
          </w:p>
        </w:tc>
      </w:tr>
      <w:tr w:rsidR="007A2C38" w:rsidRPr="000B7241" w14:paraId="3273BE2F" w14:textId="77777777" w:rsidTr="000B7241">
        <w:tc>
          <w:tcPr>
            <w:tcW w:w="1736" w:type="dxa"/>
          </w:tcPr>
          <w:p w14:paraId="4C585120" w14:textId="4C3578EE"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Врач психолог</w:t>
            </w:r>
            <w:r w:rsidR="000B7241">
              <w:rPr>
                <w:rFonts w:ascii="Times New Roman" w:hAnsi="Times New Roman" w:cs="Times New Roman"/>
                <w:sz w:val="24"/>
                <w:szCs w:val="24"/>
                <w:lang w:val="kk-KZ"/>
              </w:rPr>
              <w:t>/</w:t>
            </w:r>
          </w:p>
          <w:p w14:paraId="732D2531"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психотерапевт</w:t>
            </w:r>
          </w:p>
        </w:tc>
        <w:tc>
          <w:tcPr>
            <w:tcW w:w="756" w:type="dxa"/>
          </w:tcPr>
          <w:p w14:paraId="25F8D093"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9</w:t>
            </w:r>
          </w:p>
        </w:tc>
        <w:tc>
          <w:tcPr>
            <w:tcW w:w="792" w:type="dxa"/>
          </w:tcPr>
          <w:p w14:paraId="55664FF9"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25,7</w:t>
            </w:r>
          </w:p>
        </w:tc>
        <w:tc>
          <w:tcPr>
            <w:tcW w:w="949" w:type="dxa"/>
          </w:tcPr>
          <w:p w14:paraId="5116E29E" w14:textId="77777777" w:rsidR="007A2C38" w:rsidRPr="000B7241" w:rsidRDefault="007A2C38" w:rsidP="004135FE">
            <w:pPr>
              <w:spacing w:after="0" w:line="240" w:lineRule="auto"/>
              <w:jc w:val="center"/>
              <w:rPr>
                <w:rFonts w:ascii="Times New Roman" w:eastAsia="Times New Roman" w:hAnsi="Times New Roman" w:cs="Times New Roman"/>
                <w:sz w:val="24"/>
                <w:szCs w:val="24"/>
              </w:rPr>
            </w:pPr>
            <w:r w:rsidRPr="000B7241">
              <w:rPr>
                <w:rFonts w:ascii="Times New Roman" w:eastAsia="Times New Roman" w:hAnsi="Times New Roman" w:cs="Times New Roman"/>
                <w:sz w:val="24"/>
                <w:szCs w:val="24"/>
              </w:rPr>
              <w:t>(20,07; 31,54)</w:t>
            </w:r>
          </w:p>
        </w:tc>
        <w:tc>
          <w:tcPr>
            <w:tcW w:w="645" w:type="dxa"/>
            <w:gridSpan w:val="2"/>
          </w:tcPr>
          <w:p w14:paraId="76009519"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8</w:t>
            </w:r>
          </w:p>
        </w:tc>
        <w:tc>
          <w:tcPr>
            <w:tcW w:w="846" w:type="dxa"/>
          </w:tcPr>
          <w:p w14:paraId="0F64C7C9"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22,9</w:t>
            </w:r>
          </w:p>
        </w:tc>
        <w:tc>
          <w:tcPr>
            <w:tcW w:w="1145" w:type="dxa"/>
          </w:tcPr>
          <w:p w14:paraId="28512C7C" w14:textId="77777777" w:rsidR="007A2C38" w:rsidRPr="000B7241" w:rsidRDefault="007A2C38" w:rsidP="004135FE">
            <w:pPr>
              <w:spacing w:after="0" w:line="240" w:lineRule="auto"/>
              <w:jc w:val="center"/>
              <w:rPr>
                <w:rFonts w:ascii="Times New Roman" w:eastAsia="Times New Roman" w:hAnsi="Times New Roman" w:cs="Times New Roman"/>
                <w:sz w:val="24"/>
                <w:szCs w:val="24"/>
              </w:rPr>
            </w:pPr>
            <w:r w:rsidRPr="000B7241">
              <w:rPr>
                <w:rFonts w:ascii="Times New Roman" w:eastAsia="Times New Roman" w:hAnsi="Times New Roman" w:cs="Times New Roman"/>
                <w:sz w:val="24"/>
                <w:szCs w:val="24"/>
              </w:rPr>
              <w:t>(16,82; 29,22)</w:t>
            </w:r>
          </w:p>
        </w:tc>
        <w:tc>
          <w:tcPr>
            <w:tcW w:w="645" w:type="dxa"/>
          </w:tcPr>
          <w:p w14:paraId="4D2448F1"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30</w:t>
            </w:r>
          </w:p>
        </w:tc>
        <w:tc>
          <w:tcPr>
            <w:tcW w:w="792" w:type="dxa"/>
          </w:tcPr>
          <w:p w14:paraId="040F32BA"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85,7</w:t>
            </w:r>
          </w:p>
        </w:tc>
        <w:tc>
          <w:tcPr>
            <w:tcW w:w="1045" w:type="dxa"/>
          </w:tcPr>
          <w:p w14:paraId="5619AFA2"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eastAsia="Times New Roman" w:hAnsi="Times New Roman" w:cs="Times New Roman"/>
                <w:sz w:val="24"/>
                <w:szCs w:val="24"/>
              </w:rPr>
              <w:t>(84,35; 87,12)</w:t>
            </w:r>
          </w:p>
        </w:tc>
      </w:tr>
      <w:tr w:rsidR="007A2C38" w:rsidRPr="000B7241" w14:paraId="60A11781" w14:textId="77777777" w:rsidTr="000B7241">
        <w:tc>
          <w:tcPr>
            <w:tcW w:w="1736" w:type="dxa"/>
          </w:tcPr>
          <w:p w14:paraId="1D53CCDF"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Социальный работник</w:t>
            </w:r>
          </w:p>
        </w:tc>
        <w:tc>
          <w:tcPr>
            <w:tcW w:w="756" w:type="dxa"/>
          </w:tcPr>
          <w:p w14:paraId="32E7388A"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3</w:t>
            </w:r>
          </w:p>
        </w:tc>
        <w:tc>
          <w:tcPr>
            <w:tcW w:w="792" w:type="dxa"/>
          </w:tcPr>
          <w:p w14:paraId="6B70E271"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8,6</w:t>
            </w:r>
          </w:p>
        </w:tc>
        <w:tc>
          <w:tcPr>
            <w:tcW w:w="949" w:type="dxa"/>
          </w:tcPr>
          <w:p w14:paraId="64AC00DC" w14:textId="77777777" w:rsidR="007A2C38" w:rsidRPr="000B7241" w:rsidRDefault="007A2C38" w:rsidP="004135FE">
            <w:pPr>
              <w:spacing w:after="0" w:line="240" w:lineRule="auto"/>
              <w:jc w:val="center"/>
              <w:rPr>
                <w:rFonts w:ascii="Times New Roman" w:eastAsia="Times New Roman" w:hAnsi="Times New Roman" w:cs="Times New Roman"/>
                <w:sz w:val="24"/>
                <w:szCs w:val="24"/>
              </w:rPr>
            </w:pPr>
            <w:r w:rsidRPr="000B7241">
              <w:rPr>
                <w:rFonts w:ascii="Times New Roman" w:eastAsia="Times New Roman" w:hAnsi="Times New Roman" w:cs="Times New Roman"/>
                <w:sz w:val="24"/>
                <w:szCs w:val="24"/>
              </w:rPr>
              <w:t>(-2,22; 20,04)</w:t>
            </w:r>
          </w:p>
        </w:tc>
        <w:tc>
          <w:tcPr>
            <w:tcW w:w="645" w:type="dxa"/>
            <w:gridSpan w:val="2"/>
          </w:tcPr>
          <w:p w14:paraId="35A9E2D8"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3</w:t>
            </w:r>
          </w:p>
        </w:tc>
        <w:tc>
          <w:tcPr>
            <w:tcW w:w="846" w:type="dxa"/>
          </w:tcPr>
          <w:p w14:paraId="51705A06"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8,6</w:t>
            </w:r>
          </w:p>
        </w:tc>
        <w:tc>
          <w:tcPr>
            <w:tcW w:w="1145" w:type="dxa"/>
          </w:tcPr>
          <w:p w14:paraId="5E3A850D" w14:textId="77777777" w:rsidR="007A2C38" w:rsidRPr="000B7241" w:rsidRDefault="007A2C38" w:rsidP="004135FE">
            <w:pPr>
              <w:spacing w:after="0" w:line="240" w:lineRule="auto"/>
              <w:jc w:val="center"/>
              <w:rPr>
                <w:rFonts w:ascii="Times New Roman" w:eastAsia="Times New Roman" w:hAnsi="Times New Roman" w:cs="Times New Roman"/>
                <w:sz w:val="24"/>
                <w:szCs w:val="24"/>
              </w:rPr>
            </w:pPr>
            <w:r w:rsidRPr="000B7241">
              <w:rPr>
                <w:rFonts w:ascii="Times New Roman" w:eastAsia="Times New Roman" w:hAnsi="Times New Roman" w:cs="Times New Roman"/>
                <w:sz w:val="24"/>
                <w:szCs w:val="24"/>
              </w:rPr>
              <w:t>(-2,22; 20,04)</w:t>
            </w:r>
          </w:p>
        </w:tc>
        <w:tc>
          <w:tcPr>
            <w:tcW w:w="645" w:type="dxa"/>
          </w:tcPr>
          <w:p w14:paraId="060F1AA5"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0</w:t>
            </w:r>
          </w:p>
        </w:tc>
        <w:tc>
          <w:tcPr>
            <w:tcW w:w="792" w:type="dxa"/>
          </w:tcPr>
          <w:p w14:paraId="0C7DD408"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0,0</w:t>
            </w:r>
          </w:p>
        </w:tc>
        <w:tc>
          <w:tcPr>
            <w:tcW w:w="1045" w:type="dxa"/>
          </w:tcPr>
          <w:p w14:paraId="523BF133"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p>
        </w:tc>
      </w:tr>
      <w:tr w:rsidR="007A2C38" w:rsidRPr="000B7241" w14:paraId="00165EB5" w14:textId="77777777" w:rsidTr="000B7241">
        <w:tc>
          <w:tcPr>
            <w:tcW w:w="1736" w:type="dxa"/>
          </w:tcPr>
          <w:p w14:paraId="1F0F91DF"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Никем</w:t>
            </w:r>
          </w:p>
        </w:tc>
        <w:tc>
          <w:tcPr>
            <w:tcW w:w="756" w:type="dxa"/>
          </w:tcPr>
          <w:p w14:paraId="335BE1F8"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7</w:t>
            </w:r>
          </w:p>
        </w:tc>
        <w:tc>
          <w:tcPr>
            <w:tcW w:w="792" w:type="dxa"/>
          </w:tcPr>
          <w:p w14:paraId="66F8A548"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20,0</w:t>
            </w:r>
          </w:p>
        </w:tc>
        <w:tc>
          <w:tcPr>
            <w:tcW w:w="949" w:type="dxa"/>
          </w:tcPr>
          <w:p w14:paraId="6BE9B237" w14:textId="77777777" w:rsidR="007A2C38" w:rsidRPr="000B7241" w:rsidRDefault="007A2C38" w:rsidP="004135FE">
            <w:pPr>
              <w:spacing w:after="0" w:line="240" w:lineRule="auto"/>
              <w:jc w:val="center"/>
              <w:rPr>
                <w:rFonts w:ascii="Times New Roman" w:eastAsia="Times New Roman" w:hAnsi="Times New Roman" w:cs="Times New Roman"/>
                <w:sz w:val="24"/>
                <w:szCs w:val="24"/>
              </w:rPr>
            </w:pPr>
            <w:r w:rsidRPr="000B7241">
              <w:rPr>
                <w:rFonts w:ascii="Times New Roman" w:eastAsia="Times New Roman" w:hAnsi="Times New Roman" w:cs="Times New Roman"/>
                <w:sz w:val="24"/>
                <w:szCs w:val="24"/>
              </w:rPr>
              <w:t>(13,37; 26,89)</w:t>
            </w:r>
          </w:p>
        </w:tc>
        <w:tc>
          <w:tcPr>
            <w:tcW w:w="645" w:type="dxa"/>
            <w:gridSpan w:val="2"/>
          </w:tcPr>
          <w:p w14:paraId="7F66D9DE"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3</w:t>
            </w:r>
          </w:p>
        </w:tc>
        <w:tc>
          <w:tcPr>
            <w:tcW w:w="846" w:type="dxa"/>
          </w:tcPr>
          <w:p w14:paraId="27C11D73"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8,6</w:t>
            </w:r>
          </w:p>
        </w:tc>
        <w:tc>
          <w:tcPr>
            <w:tcW w:w="1145" w:type="dxa"/>
          </w:tcPr>
          <w:p w14:paraId="36938BBC"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eastAsia="Times New Roman" w:hAnsi="Times New Roman" w:cs="Times New Roman"/>
                <w:sz w:val="24"/>
                <w:szCs w:val="24"/>
              </w:rPr>
              <w:t>(-2,22; 20,04)</w:t>
            </w:r>
          </w:p>
        </w:tc>
        <w:tc>
          <w:tcPr>
            <w:tcW w:w="645" w:type="dxa"/>
          </w:tcPr>
          <w:p w14:paraId="556485A9"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2</w:t>
            </w:r>
          </w:p>
        </w:tc>
        <w:tc>
          <w:tcPr>
            <w:tcW w:w="792" w:type="dxa"/>
          </w:tcPr>
          <w:p w14:paraId="0C68807C"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5,7</w:t>
            </w:r>
          </w:p>
        </w:tc>
        <w:tc>
          <w:tcPr>
            <w:tcW w:w="1045" w:type="dxa"/>
          </w:tcPr>
          <w:p w14:paraId="2015D197"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eastAsia="Times New Roman" w:hAnsi="Times New Roman" w:cs="Times New Roman"/>
                <w:sz w:val="24"/>
                <w:szCs w:val="24"/>
              </w:rPr>
              <w:t>(-7,76; 20,09)</w:t>
            </w:r>
          </w:p>
        </w:tc>
      </w:tr>
      <w:tr w:rsidR="007A2C38" w:rsidRPr="000B7241" w14:paraId="2E3F0D02" w14:textId="77777777" w:rsidTr="000B7241">
        <w:tc>
          <w:tcPr>
            <w:tcW w:w="1736" w:type="dxa"/>
          </w:tcPr>
          <w:p w14:paraId="753BF8DA"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Итого</w:t>
            </w:r>
          </w:p>
        </w:tc>
        <w:tc>
          <w:tcPr>
            <w:tcW w:w="756" w:type="dxa"/>
          </w:tcPr>
          <w:p w14:paraId="18C6BEC2"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35</w:t>
            </w:r>
          </w:p>
        </w:tc>
        <w:tc>
          <w:tcPr>
            <w:tcW w:w="792" w:type="dxa"/>
          </w:tcPr>
          <w:p w14:paraId="1B90C776"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100,0</w:t>
            </w:r>
          </w:p>
        </w:tc>
        <w:tc>
          <w:tcPr>
            <w:tcW w:w="949" w:type="dxa"/>
          </w:tcPr>
          <w:p w14:paraId="1C40A913"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p>
        </w:tc>
        <w:tc>
          <w:tcPr>
            <w:tcW w:w="645" w:type="dxa"/>
            <w:gridSpan w:val="2"/>
          </w:tcPr>
          <w:p w14:paraId="77A30202"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35</w:t>
            </w:r>
          </w:p>
        </w:tc>
        <w:tc>
          <w:tcPr>
            <w:tcW w:w="846" w:type="dxa"/>
          </w:tcPr>
          <w:p w14:paraId="43910B33"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100,0</w:t>
            </w:r>
          </w:p>
        </w:tc>
        <w:tc>
          <w:tcPr>
            <w:tcW w:w="1145" w:type="dxa"/>
          </w:tcPr>
          <w:p w14:paraId="2E6782C3"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p>
        </w:tc>
        <w:tc>
          <w:tcPr>
            <w:tcW w:w="645" w:type="dxa"/>
          </w:tcPr>
          <w:p w14:paraId="54104782"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35</w:t>
            </w:r>
          </w:p>
        </w:tc>
        <w:tc>
          <w:tcPr>
            <w:tcW w:w="792" w:type="dxa"/>
          </w:tcPr>
          <w:p w14:paraId="0F9429CF" w14:textId="77777777" w:rsidR="007A2C38" w:rsidRPr="000B7241"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0B7241">
              <w:rPr>
                <w:rFonts w:ascii="Times New Roman" w:hAnsi="Times New Roman" w:cs="Times New Roman"/>
                <w:sz w:val="24"/>
                <w:szCs w:val="24"/>
              </w:rPr>
              <w:t>100,0</w:t>
            </w:r>
          </w:p>
        </w:tc>
        <w:tc>
          <w:tcPr>
            <w:tcW w:w="1045" w:type="dxa"/>
          </w:tcPr>
          <w:p w14:paraId="4214AD09" w14:textId="77777777" w:rsidR="007A2C38" w:rsidRPr="000B7241" w:rsidRDefault="007A2C38" w:rsidP="004135FE">
            <w:pPr>
              <w:autoSpaceDE w:val="0"/>
              <w:autoSpaceDN w:val="0"/>
              <w:adjustRightInd w:val="0"/>
              <w:spacing w:after="0" w:line="240" w:lineRule="auto"/>
              <w:jc w:val="center"/>
              <w:rPr>
                <w:rFonts w:ascii="Times New Roman" w:hAnsi="Times New Roman" w:cs="Times New Roman"/>
                <w:sz w:val="24"/>
                <w:szCs w:val="24"/>
              </w:rPr>
            </w:pPr>
          </w:p>
        </w:tc>
      </w:tr>
    </w:tbl>
    <w:p w14:paraId="43E2DE4B" w14:textId="77777777" w:rsidR="007A2C38" w:rsidRPr="004135FE" w:rsidRDefault="007A2C38" w:rsidP="004135FE">
      <w:pPr>
        <w:spacing w:after="0" w:line="240" w:lineRule="auto"/>
        <w:jc w:val="both"/>
        <w:rPr>
          <w:rFonts w:ascii="Times New Roman" w:hAnsi="Times New Roman" w:cs="Times New Roman"/>
          <w:sz w:val="28"/>
          <w:szCs w:val="28"/>
        </w:rPr>
      </w:pPr>
    </w:p>
    <w:p w14:paraId="71861A94" w14:textId="77777777" w:rsidR="007A2C38" w:rsidRPr="004135FE" w:rsidRDefault="007A2C38" w:rsidP="000B7241">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lastRenderedPageBreak/>
        <w:t xml:space="preserve">Оценка психосоциального статуса должен проводится на уровне врача эндокринолога, со слов эндокринологов в 20% ДИ </w:t>
      </w:r>
      <w:r w:rsidRPr="004135FE">
        <w:rPr>
          <w:rFonts w:ascii="Times New Roman" w:eastAsia="Times New Roman" w:hAnsi="Times New Roman" w:cs="Times New Roman"/>
          <w:sz w:val="28"/>
          <w:szCs w:val="28"/>
        </w:rPr>
        <w:t>(13,37; 26,89) случаях никто</w:t>
      </w:r>
      <w:r w:rsidRPr="004135FE">
        <w:rPr>
          <w:rFonts w:ascii="Times New Roman" w:hAnsi="Times New Roman" w:cs="Times New Roman"/>
          <w:sz w:val="28"/>
          <w:szCs w:val="28"/>
        </w:rPr>
        <w:t xml:space="preserve"> не определяет из-за нехватки времени. В зависимости от специфики выявленных психологических и социальных проблем в оказании помощи пациенту участвуют разные специалисты, которых информируют эндокринологи. Но не все случаи охвачены под контроль медицинского персонала. Этот вопрос требует решения в организации помощи пациентам с СД2т на уровне ПМСП, в виде внесения дополнения в протокол лечения и диагностики СД2т и контроля исполнения на уровне МЗРК и администрации МО и СОЗ.</w:t>
      </w:r>
    </w:p>
    <w:p w14:paraId="40B68DFC" w14:textId="77777777" w:rsidR="007A2C38" w:rsidRPr="004135FE" w:rsidRDefault="007A2C38" w:rsidP="000B7241">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Необходимость включения оказания психосоциальной поддержки в терапевтический процесс пациентов с СД2т в протокол лечения и диагностики созрела как никогда, учитывая стрессовые ситуации, которые влекут вред на здоровья уязвимой группы при ситуации пандемии </w:t>
      </w:r>
      <w:r w:rsidRPr="004135FE">
        <w:rPr>
          <w:rFonts w:ascii="Times New Roman" w:hAnsi="Times New Roman" w:cs="Times New Roman"/>
          <w:sz w:val="28"/>
          <w:szCs w:val="28"/>
          <w:lang w:val="en-US"/>
        </w:rPr>
        <w:t>Covid</w:t>
      </w:r>
      <w:r w:rsidRPr="004135FE">
        <w:rPr>
          <w:rFonts w:ascii="Times New Roman" w:hAnsi="Times New Roman" w:cs="Times New Roman"/>
          <w:sz w:val="28"/>
          <w:szCs w:val="28"/>
        </w:rPr>
        <w:t xml:space="preserve">-19. В результате способствуя самоконтролю диабета и достичь большей приверженности физическим упражнениям и диете, снижению уровня гликозилированного гемоглобина, уменьшению числа диабетических осложнений и снижению риска смертности. </w:t>
      </w:r>
    </w:p>
    <w:p w14:paraId="3671DDE1" w14:textId="11300194" w:rsidR="007A2C38" w:rsidRPr="004135FE" w:rsidRDefault="007A2C38" w:rsidP="000B7241">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Для устранения возможных конфликтных моментов, обучить всех врачей эндокринологов по единой, утвержденной программе повышения квалификации по психосоциальной поддержке. Пересмотреть нагрузку на 1 врача и длительность время приема на 1 пациента. А для облегчения работы врача эндокринолога на приеме и с целью профилактики психосоциального благополучия пациентов и совершенствования самоконтроля и управления заболеванием, необходимо привлечь специалистов психологов, психотерапевтов в программах обучения в рамках «Школы диабета». В определенных ситуациях при оказании психосоциальной поддержки пациента с СД2т, надо привлечь семью, особенно если несовершеннолетний или не способный к самоуходу, самоконтролю пациент.</w:t>
      </w:r>
    </w:p>
    <w:p w14:paraId="79B932C6" w14:textId="77777777" w:rsidR="008B7DA9" w:rsidRPr="004135FE" w:rsidRDefault="008B7DA9" w:rsidP="004135FE">
      <w:pPr>
        <w:spacing w:after="0" w:line="240" w:lineRule="auto"/>
        <w:ind w:firstLine="360"/>
        <w:jc w:val="both"/>
        <w:rPr>
          <w:rFonts w:ascii="Times New Roman" w:hAnsi="Times New Roman" w:cs="Times New Roman"/>
          <w:sz w:val="28"/>
          <w:szCs w:val="28"/>
        </w:rPr>
      </w:pPr>
    </w:p>
    <w:p w14:paraId="5DADC26B" w14:textId="7CD56E8B" w:rsidR="008B7DA9" w:rsidRPr="000B7241" w:rsidRDefault="008B7DA9" w:rsidP="004135FE">
      <w:pPr>
        <w:spacing w:after="0" w:line="240" w:lineRule="auto"/>
        <w:ind w:firstLine="360"/>
        <w:jc w:val="both"/>
        <w:rPr>
          <w:rFonts w:ascii="Times New Roman" w:hAnsi="Times New Roman" w:cs="Times New Roman"/>
          <w:bCs/>
          <w:sz w:val="28"/>
          <w:szCs w:val="28"/>
        </w:rPr>
      </w:pPr>
      <w:r w:rsidRPr="000B7241">
        <w:rPr>
          <w:rFonts w:ascii="Times New Roman" w:hAnsi="Times New Roman" w:cs="Times New Roman"/>
          <w:bCs/>
          <w:sz w:val="28"/>
          <w:szCs w:val="28"/>
        </w:rPr>
        <w:t>4.1.3 Качество оснащенности ресурсами и удовлетворенность рабочим местом</w:t>
      </w:r>
    </w:p>
    <w:p w14:paraId="16DB54AC" w14:textId="0D6E2BDF" w:rsidR="007A2C38" w:rsidRPr="004135FE" w:rsidRDefault="007A2C38" w:rsidP="004135FE">
      <w:pPr>
        <w:tabs>
          <w:tab w:val="left" w:pos="567"/>
        </w:tabs>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ab/>
        <w:t>Выявлено, что для врачей эндокринологов со стажем работы свыше 30 лет практический 100,0% - наиболее частым источником информации о сахарном диабете являются алгоритмы, протоколы и приказы. Для 50,0% - врачей со стажем работы свыше 15 лет -  основным источником информации служат - повышение квалификации на бюджетной основе, а также электронный чат, сообщества эндокринологов. Интернет ресурсы являются основным источником информации о диабете для 41,7% - врачей эндокринологов со стажем работы от 5 до 10 лет.  Никто не выбрал варианты ответа «Мастер классы» и «Повышение квалификации на платной основе» (χ2=9,743, df=12, p=0,039).</w:t>
      </w:r>
      <w:r w:rsidRPr="004135FE">
        <w:rPr>
          <w:rFonts w:ascii="Times New Roman" w:hAnsi="Times New Roman" w:cs="Times New Roman"/>
          <w:b/>
          <w:bCs/>
          <w:sz w:val="28"/>
          <w:szCs w:val="28"/>
        </w:rPr>
        <w:tab/>
      </w:r>
    </w:p>
    <w:p w14:paraId="774C17CF" w14:textId="77777777" w:rsidR="007A2C38" w:rsidRPr="004135FE" w:rsidRDefault="007A2C38"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noProof/>
          <w:sz w:val="28"/>
          <w:szCs w:val="28"/>
        </w:rPr>
        <w:lastRenderedPageBreak/>
        <w:drawing>
          <wp:inline distT="0" distB="0" distL="0" distR="0" wp14:anchorId="12CE2B73" wp14:editId="0A659C0B">
            <wp:extent cx="6362700" cy="2438220"/>
            <wp:effectExtent l="0" t="0" r="0" b="635"/>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20F59A8" w14:textId="77777777" w:rsidR="000B7241" w:rsidRDefault="000B7241" w:rsidP="004135FE">
      <w:pPr>
        <w:tabs>
          <w:tab w:val="left" w:pos="284"/>
        </w:tabs>
        <w:spacing w:after="0" w:line="240" w:lineRule="auto"/>
        <w:jc w:val="both"/>
        <w:rPr>
          <w:rFonts w:ascii="Times New Roman" w:hAnsi="Times New Roman" w:cs="Times New Roman"/>
          <w:sz w:val="28"/>
          <w:szCs w:val="28"/>
        </w:rPr>
      </w:pPr>
    </w:p>
    <w:p w14:paraId="3D3A4B6C" w14:textId="22FEBFC3" w:rsidR="007A2C38" w:rsidRPr="004135FE" w:rsidRDefault="007A2C38" w:rsidP="000B7241">
      <w:pPr>
        <w:tabs>
          <w:tab w:val="left" w:pos="284"/>
        </w:tabs>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21- Влияние стажа работы врача эндокринолога на источник информации о СД2т</w:t>
      </w:r>
    </w:p>
    <w:p w14:paraId="006C4561" w14:textId="77777777" w:rsidR="007A2C38" w:rsidRPr="004135FE" w:rsidRDefault="007A2C38" w:rsidP="004135FE">
      <w:pPr>
        <w:tabs>
          <w:tab w:val="left" w:pos="284"/>
        </w:tabs>
        <w:spacing w:after="0" w:line="240" w:lineRule="auto"/>
        <w:jc w:val="both"/>
        <w:rPr>
          <w:rFonts w:ascii="Times New Roman" w:hAnsi="Times New Roman" w:cs="Times New Roman"/>
          <w:sz w:val="28"/>
          <w:szCs w:val="28"/>
        </w:rPr>
      </w:pPr>
    </w:p>
    <w:p w14:paraId="54AE573B" w14:textId="5511BFBF" w:rsidR="007A2C38" w:rsidRDefault="007A2C38" w:rsidP="004135FE">
      <w:pPr>
        <w:tabs>
          <w:tab w:val="left" w:pos="284"/>
        </w:tabs>
        <w:spacing w:after="0" w:line="240" w:lineRule="auto"/>
        <w:ind w:firstLine="567"/>
        <w:jc w:val="both"/>
        <w:rPr>
          <w:rFonts w:ascii="Times New Roman" w:hAnsi="Times New Roman" w:cs="Times New Roman"/>
          <w:sz w:val="28"/>
          <w:szCs w:val="28"/>
        </w:rPr>
      </w:pPr>
      <w:r w:rsidRPr="004135FE">
        <w:rPr>
          <w:rFonts w:ascii="Times New Roman" w:hAnsi="Times New Roman" w:cs="Times New Roman"/>
          <w:sz w:val="28"/>
          <w:szCs w:val="28"/>
        </w:rPr>
        <w:t xml:space="preserve">По электронному талону поликлиники на прием 1 пациента в кабинет эндокринолога выделено 15минут. На оформление документации в программе КМИС наибольшая часть врачей эндокринологов в 25,7% ДИ </w:t>
      </w:r>
      <w:r w:rsidRPr="004135FE">
        <w:rPr>
          <w:rFonts w:ascii="Times New Roman" w:eastAsia="Times New Roman" w:hAnsi="Times New Roman" w:cs="Times New Roman"/>
          <w:sz w:val="28"/>
          <w:szCs w:val="28"/>
        </w:rPr>
        <w:t>(20,07; 31,54) случаях</w:t>
      </w:r>
      <w:r w:rsidRPr="004135FE">
        <w:rPr>
          <w:rFonts w:ascii="Times New Roman" w:hAnsi="Times New Roman" w:cs="Times New Roman"/>
          <w:sz w:val="28"/>
          <w:szCs w:val="28"/>
        </w:rPr>
        <w:t xml:space="preserve"> тратят по 5 и по 10 мин. В 22,9% ДИ </w:t>
      </w:r>
      <w:r w:rsidRPr="004135FE">
        <w:rPr>
          <w:rFonts w:ascii="Times New Roman" w:eastAsia="Times New Roman" w:hAnsi="Times New Roman" w:cs="Times New Roman"/>
          <w:sz w:val="28"/>
          <w:szCs w:val="28"/>
        </w:rPr>
        <w:t>(16,82; 29,22) случаях</w:t>
      </w:r>
      <w:r w:rsidRPr="004135FE">
        <w:rPr>
          <w:rFonts w:ascii="Times New Roman" w:hAnsi="Times New Roman" w:cs="Times New Roman"/>
          <w:sz w:val="28"/>
          <w:szCs w:val="28"/>
        </w:rPr>
        <w:t xml:space="preserve"> - по 7 мин и по 13 минут. В 2,9% ДИ </w:t>
      </w:r>
      <w:r w:rsidRPr="004135FE">
        <w:rPr>
          <w:rFonts w:ascii="Times New Roman" w:eastAsia="Times New Roman" w:hAnsi="Times New Roman" w:cs="Times New Roman"/>
          <w:sz w:val="28"/>
          <w:szCs w:val="28"/>
        </w:rPr>
        <w:t>(-16,41; 24,05) случаях</w:t>
      </w:r>
      <w:r w:rsidRPr="004135FE">
        <w:rPr>
          <w:rFonts w:ascii="Times New Roman" w:hAnsi="Times New Roman" w:cs="Times New Roman"/>
          <w:sz w:val="28"/>
          <w:szCs w:val="28"/>
        </w:rPr>
        <w:t xml:space="preserve"> врачи за 2 мин оформляют документы.</w:t>
      </w:r>
    </w:p>
    <w:p w14:paraId="24F5F015" w14:textId="77777777" w:rsidR="000B7241" w:rsidRPr="004135FE" w:rsidRDefault="000B7241" w:rsidP="004135FE">
      <w:pPr>
        <w:tabs>
          <w:tab w:val="left" w:pos="284"/>
        </w:tabs>
        <w:spacing w:after="0" w:line="240" w:lineRule="auto"/>
        <w:ind w:firstLine="567"/>
        <w:jc w:val="both"/>
        <w:rPr>
          <w:rFonts w:ascii="Times New Roman" w:hAnsi="Times New Roman" w:cs="Times New Roman"/>
          <w:sz w:val="28"/>
          <w:szCs w:val="28"/>
        </w:rPr>
      </w:pPr>
    </w:p>
    <w:p w14:paraId="3F5546BB" w14:textId="77777777" w:rsidR="007A2C38" w:rsidRPr="004135FE" w:rsidRDefault="007A2C38" w:rsidP="000B7241">
      <w:pPr>
        <w:tabs>
          <w:tab w:val="left" w:pos="284"/>
        </w:tabs>
        <w:spacing w:after="0" w:line="240" w:lineRule="auto"/>
        <w:jc w:val="center"/>
        <w:rPr>
          <w:rFonts w:ascii="Times New Roman" w:hAnsi="Times New Roman" w:cs="Times New Roman"/>
          <w:sz w:val="28"/>
          <w:szCs w:val="28"/>
        </w:rPr>
      </w:pPr>
      <w:r w:rsidRPr="004135FE">
        <w:rPr>
          <w:rFonts w:ascii="Times New Roman" w:hAnsi="Times New Roman" w:cs="Times New Roman"/>
          <w:noProof/>
          <w:sz w:val="28"/>
          <w:szCs w:val="28"/>
        </w:rPr>
        <w:drawing>
          <wp:inline distT="0" distB="0" distL="0" distR="0" wp14:anchorId="77200D7C" wp14:editId="3EBD50D9">
            <wp:extent cx="5007610" cy="2415397"/>
            <wp:effectExtent l="0" t="0" r="2540" b="444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9574C29" w14:textId="77777777" w:rsidR="000B7241" w:rsidRDefault="000B7241" w:rsidP="000B7241">
      <w:pPr>
        <w:tabs>
          <w:tab w:val="left" w:pos="284"/>
        </w:tabs>
        <w:spacing w:after="0" w:line="240" w:lineRule="auto"/>
        <w:jc w:val="center"/>
        <w:rPr>
          <w:rFonts w:ascii="Times New Roman" w:hAnsi="Times New Roman" w:cs="Times New Roman"/>
          <w:sz w:val="28"/>
          <w:szCs w:val="28"/>
        </w:rPr>
      </w:pPr>
    </w:p>
    <w:p w14:paraId="45874023" w14:textId="15CCB563" w:rsidR="007A2C38" w:rsidRPr="004135FE" w:rsidRDefault="007A2C38" w:rsidP="000B7241">
      <w:pPr>
        <w:tabs>
          <w:tab w:val="left" w:pos="284"/>
        </w:tabs>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22- Трата времени на оформление документации в программе КМИС во время приема пациента</w:t>
      </w:r>
    </w:p>
    <w:p w14:paraId="70B44E23" w14:textId="77777777" w:rsidR="007A2C38" w:rsidRPr="004135FE" w:rsidRDefault="007A2C38" w:rsidP="004135FE">
      <w:pPr>
        <w:tabs>
          <w:tab w:val="center" w:pos="3513"/>
        </w:tabs>
        <w:autoSpaceDE w:val="0"/>
        <w:autoSpaceDN w:val="0"/>
        <w:adjustRightInd w:val="0"/>
        <w:spacing w:after="0" w:line="240" w:lineRule="auto"/>
        <w:jc w:val="both"/>
        <w:rPr>
          <w:rFonts w:ascii="Times New Roman" w:hAnsi="Times New Roman" w:cs="Times New Roman"/>
          <w:b/>
          <w:bCs/>
          <w:sz w:val="28"/>
          <w:szCs w:val="28"/>
        </w:rPr>
      </w:pPr>
    </w:p>
    <w:p w14:paraId="5026833C" w14:textId="77777777" w:rsidR="007A2C38" w:rsidRPr="004135FE" w:rsidRDefault="007A2C38" w:rsidP="004135FE">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Электронный документооборот внедрен в медицинские организации с целью сокращения бумажного дублирования</w:t>
      </w:r>
      <w:r w:rsidRPr="004135FE">
        <w:rPr>
          <w:rFonts w:ascii="Times New Roman" w:hAnsi="Times New Roman" w:cs="Times New Roman"/>
          <w:sz w:val="28"/>
          <w:szCs w:val="28"/>
          <w:lang w:val="kk-KZ"/>
        </w:rPr>
        <w:t xml:space="preserve"> и установления систематизированной связи между отделами, рациональный контакт между коллегами работающих в одной организации. </w:t>
      </w:r>
      <w:r w:rsidRPr="004135FE">
        <w:rPr>
          <w:rFonts w:ascii="Times New Roman" w:hAnsi="Times New Roman" w:cs="Times New Roman"/>
          <w:sz w:val="28"/>
          <w:szCs w:val="28"/>
        </w:rPr>
        <w:t>По мнению эндокринологов, в 31,4% ДИ (</w:t>
      </w:r>
      <w:r w:rsidRPr="004135FE">
        <w:rPr>
          <w:rFonts w:ascii="Times New Roman" w:eastAsia="Times New Roman" w:hAnsi="Times New Roman" w:cs="Times New Roman"/>
          <w:sz w:val="28"/>
          <w:szCs w:val="28"/>
        </w:rPr>
        <w:t xml:space="preserve">26,51;36,47) случаях </w:t>
      </w:r>
      <w:r w:rsidRPr="004135FE">
        <w:rPr>
          <w:rFonts w:ascii="Times New Roman" w:hAnsi="Times New Roman" w:cs="Times New Roman"/>
          <w:sz w:val="28"/>
          <w:szCs w:val="28"/>
        </w:rPr>
        <w:t xml:space="preserve">электронный документооборот оптимизировал работу с снижением траты ресурса "Время" на 41-60%, в 22,9% </w:t>
      </w:r>
      <w:r w:rsidRPr="004135FE">
        <w:rPr>
          <w:rFonts w:ascii="Times New Roman" w:hAnsi="Times New Roman" w:cs="Times New Roman"/>
          <w:sz w:val="28"/>
          <w:szCs w:val="28"/>
        </w:rPr>
        <w:lastRenderedPageBreak/>
        <w:t>ДИ (</w:t>
      </w:r>
      <w:r w:rsidRPr="004135FE">
        <w:rPr>
          <w:rFonts w:ascii="Times New Roman" w:eastAsia="Times New Roman" w:hAnsi="Times New Roman" w:cs="Times New Roman"/>
          <w:sz w:val="28"/>
          <w:szCs w:val="28"/>
        </w:rPr>
        <w:t>16,82; 29,22) случаях показатель составила</w:t>
      </w:r>
      <w:r w:rsidRPr="004135FE">
        <w:rPr>
          <w:rFonts w:ascii="Times New Roman" w:hAnsi="Times New Roman" w:cs="Times New Roman"/>
          <w:sz w:val="28"/>
          <w:szCs w:val="28"/>
        </w:rPr>
        <w:t xml:space="preserve"> ниже 20%; Так же снижение траты ресурса "Время" с внедрением электронного документооборота в 20% ДИ (</w:t>
      </w:r>
      <w:r w:rsidRPr="004135FE">
        <w:rPr>
          <w:rFonts w:ascii="Times New Roman" w:eastAsia="Times New Roman" w:hAnsi="Times New Roman" w:cs="Times New Roman"/>
          <w:sz w:val="28"/>
          <w:szCs w:val="28"/>
        </w:rPr>
        <w:t xml:space="preserve">13,37;26,89) случаях </w:t>
      </w:r>
      <w:r w:rsidRPr="004135FE">
        <w:rPr>
          <w:rFonts w:ascii="Times New Roman" w:hAnsi="Times New Roman" w:cs="Times New Roman"/>
          <w:sz w:val="28"/>
          <w:szCs w:val="28"/>
        </w:rPr>
        <w:t>врачи оценили на 20-40% и 71-80%.</w:t>
      </w:r>
    </w:p>
    <w:p w14:paraId="70856BA3" w14:textId="77777777" w:rsidR="007A2C38" w:rsidRPr="004135FE" w:rsidRDefault="007A2C38" w:rsidP="00520CBB">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По мнению 37,1% ДИ (</w:t>
      </w:r>
      <w:r w:rsidRPr="004135FE">
        <w:rPr>
          <w:rFonts w:ascii="Times New Roman" w:eastAsia="Times New Roman" w:hAnsi="Times New Roman" w:cs="Times New Roman"/>
          <w:sz w:val="28"/>
          <w:szCs w:val="28"/>
        </w:rPr>
        <w:t>32,79;41,56)</w:t>
      </w:r>
      <w:r w:rsidRPr="004135FE">
        <w:rPr>
          <w:rFonts w:ascii="Times New Roman" w:hAnsi="Times New Roman" w:cs="Times New Roman"/>
          <w:sz w:val="28"/>
          <w:szCs w:val="28"/>
        </w:rPr>
        <w:t xml:space="preserve"> - эндокринологов электронный документооборот сократил бумажное дублирование</w:t>
      </w:r>
      <w:r w:rsidRPr="004135FE">
        <w:rPr>
          <w:rFonts w:ascii="Times New Roman" w:hAnsi="Times New Roman" w:cs="Times New Roman"/>
          <w:sz w:val="28"/>
          <w:szCs w:val="28"/>
          <w:lang w:val="kk-KZ"/>
        </w:rPr>
        <w:t xml:space="preserve"> и установил систематизированную связь между отделами, рациональный контакт между коллегами работающих в одной организации</w:t>
      </w:r>
      <w:r w:rsidRPr="004135FE">
        <w:rPr>
          <w:rFonts w:ascii="Times New Roman" w:hAnsi="Times New Roman" w:cs="Times New Roman"/>
          <w:sz w:val="28"/>
          <w:szCs w:val="28"/>
        </w:rPr>
        <w:t xml:space="preserve"> на 41-60%, что привело к снижению траты ресурса «труда».</w:t>
      </w:r>
    </w:p>
    <w:p w14:paraId="497F3A0F" w14:textId="77777777" w:rsidR="007A2C38" w:rsidRPr="004135FE" w:rsidRDefault="007A2C38" w:rsidP="00520CBB">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По результатам опроса, удовлетворенность процессом в кабинете эндокринолога из расчета 100% в 34,3% ДИ (</w:t>
      </w:r>
      <w:r w:rsidRPr="004135FE">
        <w:rPr>
          <w:rFonts w:ascii="Times New Roman" w:eastAsia="Times New Roman" w:hAnsi="Times New Roman" w:cs="Times New Roman"/>
          <w:sz w:val="28"/>
          <w:szCs w:val="28"/>
        </w:rPr>
        <w:t xml:space="preserve">29,71;39,04) случаях </w:t>
      </w:r>
      <w:r w:rsidRPr="004135FE">
        <w:rPr>
          <w:rFonts w:ascii="Times New Roman" w:hAnsi="Times New Roman" w:cs="Times New Roman"/>
          <w:sz w:val="28"/>
          <w:szCs w:val="28"/>
        </w:rPr>
        <w:t xml:space="preserve">составила 81-90% в обычное время, а во время карантина по </w:t>
      </w:r>
      <w:r w:rsidRPr="004135FE">
        <w:rPr>
          <w:rFonts w:ascii="Times New Roman" w:hAnsi="Times New Roman" w:cs="Times New Roman"/>
          <w:sz w:val="28"/>
          <w:szCs w:val="28"/>
          <w:lang w:val="en-US"/>
        </w:rPr>
        <w:t>COVID</w:t>
      </w:r>
      <w:r w:rsidRPr="004135FE">
        <w:rPr>
          <w:rFonts w:ascii="Times New Roman" w:hAnsi="Times New Roman" w:cs="Times New Roman"/>
          <w:sz w:val="28"/>
          <w:szCs w:val="28"/>
        </w:rPr>
        <w:t>-19 снизилась до 41-60%. Данный показатель характеризует не готовность администрации МО работать в стрессовых ситуациях, что накладывает груз в работе медицинского персонала.</w:t>
      </w:r>
    </w:p>
    <w:p w14:paraId="30E33661" w14:textId="77777777" w:rsidR="007A2C38" w:rsidRPr="004135FE" w:rsidRDefault="007A2C38" w:rsidP="004135FE">
      <w:pPr>
        <w:spacing w:after="0" w:line="240" w:lineRule="auto"/>
        <w:ind w:firstLine="709"/>
        <w:jc w:val="both"/>
        <w:rPr>
          <w:rFonts w:ascii="Times New Roman" w:hAnsi="Times New Roman" w:cs="Times New Roman"/>
          <w:sz w:val="28"/>
          <w:szCs w:val="28"/>
        </w:rPr>
      </w:pPr>
    </w:p>
    <w:p w14:paraId="17A9F46B" w14:textId="6F2C786D" w:rsidR="007A2C38" w:rsidRDefault="007A2C38" w:rsidP="00520CBB">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Таблица 2</w:t>
      </w:r>
      <w:r w:rsidR="00B728EF" w:rsidRPr="004135FE">
        <w:rPr>
          <w:rFonts w:ascii="Times New Roman" w:hAnsi="Times New Roman" w:cs="Times New Roman"/>
          <w:sz w:val="28"/>
          <w:szCs w:val="28"/>
        </w:rPr>
        <w:t>2</w:t>
      </w:r>
      <w:r w:rsidR="00077E0F">
        <w:rPr>
          <w:rFonts w:ascii="Times New Roman" w:hAnsi="Times New Roman" w:cs="Times New Roman"/>
          <w:sz w:val="28"/>
          <w:szCs w:val="28"/>
        </w:rPr>
        <w:t xml:space="preserve"> </w:t>
      </w:r>
      <w:r w:rsidRPr="004135FE">
        <w:rPr>
          <w:rFonts w:ascii="Times New Roman" w:hAnsi="Times New Roman" w:cs="Times New Roman"/>
          <w:sz w:val="28"/>
          <w:szCs w:val="28"/>
        </w:rPr>
        <w:t>-</w:t>
      </w:r>
      <w:r w:rsidR="00077E0F">
        <w:rPr>
          <w:rFonts w:ascii="Times New Roman" w:hAnsi="Times New Roman" w:cs="Times New Roman"/>
          <w:sz w:val="28"/>
          <w:szCs w:val="28"/>
        </w:rPr>
        <w:t xml:space="preserve"> </w:t>
      </w:r>
      <w:r w:rsidRPr="004135FE">
        <w:rPr>
          <w:rFonts w:ascii="Times New Roman" w:hAnsi="Times New Roman" w:cs="Times New Roman"/>
          <w:sz w:val="28"/>
          <w:szCs w:val="28"/>
        </w:rPr>
        <w:t>Удовлетворенность врачей рабочим процессом на уровне ПМСП</w:t>
      </w:r>
    </w:p>
    <w:p w14:paraId="0302C91B" w14:textId="77777777" w:rsidR="00520CBB" w:rsidRPr="004135FE" w:rsidRDefault="00520CBB" w:rsidP="00520CBB">
      <w:pPr>
        <w:spacing w:after="0" w:line="240" w:lineRule="auto"/>
        <w:jc w:val="both"/>
        <w:rPr>
          <w:rFonts w:ascii="Times New Roman" w:hAnsi="Times New Roman" w:cs="Times New Roman"/>
          <w:sz w:val="28"/>
          <w:szCs w:val="28"/>
        </w:rPr>
      </w:pPr>
    </w:p>
    <w:tbl>
      <w:tblPr>
        <w:tblStyle w:val="af9"/>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850"/>
        <w:gridCol w:w="1051"/>
        <w:gridCol w:w="1075"/>
        <w:gridCol w:w="975"/>
        <w:gridCol w:w="1010"/>
        <w:gridCol w:w="1040"/>
        <w:gridCol w:w="1134"/>
        <w:gridCol w:w="1221"/>
      </w:tblGrid>
      <w:tr w:rsidR="007A2C38" w:rsidRPr="00520CBB" w14:paraId="229F7955" w14:textId="77777777" w:rsidTr="00743EA6">
        <w:trPr>
          <w:gridAfter w:val="2"/>
          <w:wAfter w:w="2355" w:type="dxa"/>
          <w:trHeight w:val="1483"/>
        </w:trPr>
        <w:tc>
          <w:tcPr>
            <w:tcW w:w="988" w:type="dxa"/>
            <w:vMerge w:val="restart"/>
          </w:tcPr>
          <w:p w14:paraId="6E1263CB" w14:textId="77777777" w:rsidR="007A2C38" w:rsidRPr="00520CBB" w:rsidRDefault="007A2C38" w:rsidP="004135FE">
            <w:pPr>
              <w:tabs>
                <w:tab w:val="left" w:pos="284"/>
              </w:tabs>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вопрос</w:t>
            </w:r>
          </w:p>
        </w:tc>
        <w:tc>
          <w:tcPr>
            <w:tcW w:w="3951" w:type="dxa"/>
            <w:gridSpan w:val="4"/>
          </w:tcPr>
          <w:p w14:paraId="528B420E" w14:textId="77777777" w:rsidR="007A2C38" w:rsidRPr="00520CBB"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Из 100% на сколько электронный документооборот сократил бумажное дублирование</w:t>
            </w:r>
            <w:r w:rsidRPr="00520CBB">
              <w:rPr>
                <w:rFonts w:ascii="Times New Roman" w:hAnsi="Times New Roman" w:cs="Times New Roman"/>
                <w:sz w:val="24"/>
                <w:szCs w:val="24"/>
                <w:lang w:val="kk-KZ"/>
              </w:rPr>
              <w:t xml:space="preserve"> и установил систематизированную связь между отделами, рациональный контакт между коллегами работающих в одной организации</w:t>
            </w:r>
            <w:r w:rsidRPr="00520CBB">
              <w:rPr>
                <w:rFonts w:ascii="Times New Roman" w:hAnsi="Times New Roman" w:cs="Times New Roman"/>
                <w:sz w:val="24"/>
                <w:szCs w:val="24"/>
              </w:rPr>
              <w:t>?</w:t>
            </w:r>
          </w:p>
        </w:tc>
        <w:tc>
          <w:tcPr>
            <w:tcW w:w="2050" w:type="dxa"/>
            <w:gridSpan w:val="2"/>
          </w:tcPr>
          <w:p w14:paraId="4371EEB9" w14:textId="77777777" w:rsidR="007A2C38" w:rsidRPr="00520CBB" w:rsidRDefault="007A2C38" w:rsidP="004135FE">
            <w:pPr>
              <w:tabs>
                <w:tab w:val="left" w:pos="284"/>
              </w:tabs>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Из 100% на сколько Вы удовлетворены процессом в кабинете эндокринолога?</w:t>
            </w:r>
          </w:p>
          <w:p w14:paraId="04E00EAB" w14:textId="77777777" w:rsidR="007A2C38" w:rsidRPr="00520CBB" w:rsidRDefault="007A2C38" w:rsidP="004135FE">
            <w:pPr>
              <w:tabs>
                <w:tab w:val="left" w:pos="284"/>
              </w:tabs>
              <w:spacing w:after="0" w:line="240" w:lineRule="auto"/>
              <w:jc w:val="center"/>
              <w:rPr>
                <w:rFonts w:ascii="Times New Roman" w:hAnsi="Times New Roman" w:cs="Times New Roman"/>
                <w:sz w:val="24"/>
                <w:szCs w:val="24"/>
              </w:rPr>
            </w:pPr>
          </w:p>
        </w:tc>
      </w:tr>
      <w:tr w:rsidR="00743EA6" w:rsidRPr="00520CBB" w14:paraId="2F42FC47" w14:textId="77777777" w:rsidTr="00743EA6">
        <w:trPr>
          <w:gridAfter w:val="1"/>
          <w:wAfter w:w="1221" w:type="dxa"/>
          <w:trHeight w:val="1253"/>
        </w:trPr>
        <w:tc>
          <w:tcPr>
            <w:tcW w:w="988" w:type="dxa"/>
            <w:vMerge/>
          </w:tcPr>
          <w:p w14:paraId="5AFE8918" w14:textId="77777777" w:rsidR="007A2C38" w:rsidRPr="00520CBB" w:rsidRDefault="007A2C38" w:rsidP="004135FE">
            <w:pPr>
              <w:autoSpaceDE w:val="0"/>
              <w:autoSpaceDN w:val="0"/>
              <w:adjustRightInd w:val="0"/>
              <w:spacing w:after="0" w:line="240" w:lineRule="auto"/>
              <w:jc w:val="center"/>
              <w:rPr>
                <w:rFonts w:ascii="Times New Roman" w:hAnsi="Times New Roman" w:cs="Times New Roman"/>
                <w:sz w:val="24"/>
                <w:szCs w:val="24"/>
              </w:rPr>
            </w:pPr>
          </w:p>
        </w:tc>
        <w:tc>
          <w:tcPr>
            <w:tcW w:w="1901" w:type="dxa"/>
            <w:gridSpan w:val="2"/>
          </w:tcPr>
          <w:p w14:paraId="71DE480A" w14:textId="77777777" w:rsidR="007A2C38" w:rsidRPr="00520CBB"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Снижение траты ресурса «время»:</w:t>
            </w:r>
          </w:p>
        </w:tc>
        <w:tc>
          <w:tcPr>
            <w:tcW w:w="2050" w:type="dxa"/>
            <w:gridSpan w:val="2"/>
          </w:tcPr>
          <w:p w14:paraId="777E9E2B" w14:textId="77777777" w:rsidR="007A2C38" w:rsidRPr="00520CBB"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Снижение траты ресурса «труда»:</w:t>
            </w:r>
          </w:p>
        </w:tc>
        <w:tc>
          <w:tcPr>
            <w:tcW w:w="2050" w:type="dxa"/>
            <w:gridSpan w:val="2"/>
          </w:tcPr>
          <w:p w14:paraId="4F86BF3F" w14:textId="77777777" w:rsidR="007A2C38" w:rsidRPr="00520CBB"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В обычное время</w:t>
            </w:r>
          </w:p>
        </w:tc>
        <w:tc>
          <w:tcPr>
            <w:tcW w:w="1134" w:type="dxa"/>
          </w:tcPr>
          <w:p w14:paraId="7F63B5D0" w14:textId="77777777" w:rsidR="007A2C38" w:rsidRPr="00520CBB"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 xml:space="preserve">Во время карантина по </w:t>
            </w:r>
            <w:r w:rsidRPr="00520CBB">
              <w:rPr>
                <w:rFonts w:ascii="Times New Roman" w:hAnsi="Times New Roman" w:cs="Times New Roman"/>
                <w:sz w:val="24"/>
                <w:szCs w:val="24"/>
                <w:lang w:val="en-US"/>
              </w:rPr>
              <w:t>COVID</w:t>
            </w:r>
            <w:r w:rsidRPr="00520CBB">
              <w:rPr>
                <w:rFonts w:ascii="Times New Roman" w:hAnsi="Times New Roman" w:cs="Times New Roman"/>
                <w:sz w:val="24"/>
                <w:szCs w:val="24"/>
              </w:rPr>
              <w:t>-19</w:t>
            </w:r>
          </w:p>
        </w:tc>
      </w:tr>
      <w:tr w:rsidR="00520CBB" w:rsidRPr="00520CBB" w14:paraId="6B85C49A" w14:textId="77777777" w:rsidTr="00743EA6">
        <w:trPr>
          <w:trHeight w:val="256"/>
        </w:trPr>
        <w:tc>
          <w:tcPr>
            <w:tcW w:w="988" w:type="dxa"/>
            <w:vMerge/>
          </w:tcPr>
          <w:p w14:paraId="37D4F241"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p>
        </w:tc>
        <w:tc>
          <w:tcPr>
            <w:tcW w:w="850" w:type="dxa"/>
          </w:tcPr>
          <w:p w14:paraId="5144DF01" w14:textId="77777777" w:rsidR="00743EA6"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Абс</w:t>
            </w:r>
          </w:p>
          <w:p w14:paraId="7F5E85DF" w14:textId="2190F648"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w:t>
            </w:r>
          </w:p>
        </w:tc>
        <w:tc>
          <w:tcPr>
            <w:tcW w:w="1051" w:type="dxa"/>
          </w:tcPr>
          <w:p w14:paraId="6842A92E"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ДИ</w:t>
            </w:r>
          </w:p>
        </w:tc>
        <w:tc>
          <w:tcPr>
            <w:tcW w:w="1075" w:type="dxa"/>
          </w:tcPr>
          <w:p w14:paraId="654A3626" w14:textId="77777777" w:rsidR="00743EA6"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Абс</w:t>
            </w:r>
          </w:p>
          <w:p w14:paraId="60613C93" w14:textId="5A2C01B4"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w:t>
            </w:r>
          </w:p>
        </w:tc>
        <w:tc>
          <w:tcPr>
            <w:tcW w:w="975" w:type="dxa"/>
          </w:tcPr>
          <w:p w14:paraId="0D5DBEB4"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ДИ</w:t>
            </w:r>
          </w:p>
        </w:tc>
        <w:tc>
          <w:tcPr>
            <w:tcW w:w="1010" w:type="dxa"/>
          </w:tcPr>
          <w:p w14:paraId="4D6FA78F" w14:textId="77777777" w:rsidR="00743EA6"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Абс</w:t>
            </w:r>
          </w:p>
          <w:p w14:paraId="6069B710" w14:textId="6B0C2EE3"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w:t>
            </w:r>
          </w:p>
        </w:tc>
        <w:tc>
          <w:tcPr>
            <w:tcW w:w="1040" w:type="dxa"/>
          </w:tcPr>
          <w:p w14:paraId="52A0B914"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ДИ</w:t>
            </w:r>
          </w:p>
        </w:tc>
        <w:tc>
          <w:tcPr>
            <w:tcW w:w="1134" w:type="dxa"/>
          </w:tcPr>
          <w:p w14:paraId="63CFE204" w14:textId="77777777" w:rsidR="00743EA6"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Абс</w:t>
            </w:r>
          </w:p>
          <w:p w14:paraId="7AE90D0D" w14:textId="4F7C04C5"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w:t>
            </w:r>
          </w:p>
        </w:tc>
        <w:tc>
          <w:tcPr>
            <w:tcW w:w="1221" w:type="dxa"/>
          </w:tcPr>
          <w:p w14:paraId="59A6B54A"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ДИ</w:t>
            </w:r>
          </w:p>
        </w:tc>
      </w:tr>
      <w:tr w:rsidR="00743EA6" w:rsidRPr="00520CBB" w14:paraId="2A9ACC8D" w14:textId="77777777" w:rsidTr="00743EA6">
        <w:trPr>
          <w:trHeight w:val="256"/>
        </w:trPr>
        <w:tc>
          <w:tcPr>
            <w:tcW w:w="988" w:type="dxa"/>
          </w:tcPr>
          <w:p w14:paraId="3B140B55" w14:textId="0FA60F46" w:rsidR="00743EA6" w:rsidRPr="00743EA6" w:rsidRDefault="00743EA6" w:rsidP="004135FE">
            <w:pPr>
              <w:widowControl w:val="0"/>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50" w:type="dxa"/>
          </w:tcPr>
          <w:p w14:paraId="0B037F2B" w14:textId="70A49FEE" w:rsidR="00743EA6" w:rsidRPr="00743EA6" w:rsidRDefault="00743EA6" w:rsidP="004135FE">
            <w:pPr>
              <w:widowControl w:val="0"/>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51" w:type="dxa"/>
          </w:tcPr>
          <w:p w14:paraId="20324C72" w14:textId="769873CE" w:rsidR="00743EA6" w:rsidRPr="00743EA6" w:rsidRDefault="00743EA6" w:rsidP="004135FE">
            <w:pPr>
              <w:widowControl w:val="0"/>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075" w:type="dxa"/>
          </w:tcPr>
          <w:p w14:paraId="44AB7141" w14:textId="519F99E6" w:rsidR="00743EA6" w:rsidRPr="00743EA6" w:rsidRDefault="00743EA6" w:rsidP="004135FE">
            <w:pPr>
              <w:widowControl w:val="0"/>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975" w:type="dxa"/>
          </w:tcPr>
          <w:p w14:paraId="00249B2A" w14:textId="72DFF454" w:rsidR="00743EA6" w:rsidRPr="00743EA6" w:rsidRDefault="00743EA6" w:rsidP="004135FE">
            <w:pPr>
              <w:widowControl w:val="0"/>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010" w:type="dxa"/>
          </w:tcPr>
          <w:p w14:paraId="176157DA" w14:textId="14AD2A50" w:rsidR="00743EA6" w:rsidRPr="00743EA6" w:rsidRDefault="00743EA6" w:rsidP="004135FE">
            <w:pPr>
              <w:widowControl w:val="0"/>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040" w:type="dxa"/>
          </w:tcPr>
          <w:p w14:paraId="0C740584" w14:textId="523CF2D6" w:rsidR="00743EA6" w:rsidRPr="00743EA6" w:rsidRDefault="00743EA6" w:rsidP="004135FE">
            <w:pPr>
              <w:widowControl w:val="0"/>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134" w:type="dxa"/>
          </w:tcPr>
          <w:p w14:paraId="5A044717" w14:textId="073CE94B" w:rsidR="00743EA6" w:rsidRPr="00743EA6" w:rsidRDefault="00743EA6" w:rsidP="004135FE">
            <w:pPr>
              <w:widowControl w:val="0"/>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221" w:type="dxa"/>
          </w:tcPr>
          <w:p w14:paraId="71281AD8" w14:textId="46CE84CA" w:rsidR="00743EA6" w:rsidRPr="00743EA6" w:rsidRDefault="00743EA6" w:rsidP="004135FE">
            <w:pPr>
              <w:widowControl w:val="0"/>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w:t>
            </w:r>
          </w:p>
        </w:tc>
      </w:tr>
      <w:tr w:rsidR="00520CBB" w:rsidRPr="00520CBB" w14:paraId="6D68161C" w14:textId="77777777" w:rsidTr="00743EA6">
        <w:trPr>
          <w:trHeight w:val="485"/>
        </w:trPr>
        <w:tc>
          <w:tcPr>
            <w:tcW w:w="988" w:type="dxa"/>
          </w:tcPr>
          <w:p w14:paraId="05D4374B" w14:textId="77777777" w:rsidR="007A2C38" w:rsidRPr="00520CBB" w:rsidRDefault="007A2C38" w:rsidP="004135FE">
            <w:pPr>
              <w:widowControl w:val="0"/>
              <w:autoSpaceDE w:val="0"/>
              <w:autoSpaceDN w:val="0"/>
              <w:adjustRightInd w:val="0"/>
              <w:spacing w:after="0" w:line="240" w:lineRule="auto"/>
              <w:rPr>
                <w:rFonts w:ascii="Times New Roman" w:hAnsi="Times New Roman" w:cs="Times New Roman"/>
                <w:sz w:val="24"/>
                <w:szCs w:val="24"/>
              </w:rPr>
            </w:pPr>
            <w:r w:rsidRPr="00520CBB">
              <w:rPr>
                <w:rFonts w:ascii="Times New Roman" w:hAnsi="Times New Roman" w:cs="Times New Roman"/>
                <w:sz w:val="24"/>
                <w:szCs w:val="24"/>
              </w:rPr>
              <w:t>ниже 20%</w:t>
            </w:r>
          </w:p>
        </w:tc>
        <w:tc>
          <w:tcPr>
            <w:tcW w:w="850" w:type="dxa"/>
          </w:tcPr>
          <w:p w14:paraId="3959E8BA" w14:textId="391E953C"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8</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(22,9)</w:t>
            </w:r>
          </w:p>
        </w:tc>
        <w:tc>
          <w:tcPr>
            <w:tcW w:w="1051" w:type="dxa"/>
          </w:tcPr>
          <w:p w14:paraId="4941EF0D"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eastAsia="Times New Roman" w:hAnsi="Times New Roman" w:cs="Times New Roman"/>
                <w:sz w:val="24"/>
                <w:szCs w:val="24"/>
              </w:rPr>
              <w:t>16,82; 29,22</w:t>
            </w:r>
          </w:p>
        </w:tc>
        <w:tc>
          <w:tcPr>
            <w:tcW w:w="1075" w:type="dxa"/>
          </w:tcPr>
          <w:p w14:paraId="017CAA81" w14:textId="654FFA35"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8</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(22,9)</w:t>
            </w:r>
          </w:p>
        </w:tc>
        <w:tc>
          <w:tcPr>
            <w:tcW w:w="975" w:type="dxa"/>
          </w:tcPr>
          <w:p w14:paraId="26A5D61B"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16,82;29,22</w:t>
            </w:r>
          </w:p>
        </w:tc>
        <w:tc>
          <w:tcPr>
            <w:tcW w:w="1010" w:type="dxa"/>
          </w:tcPr>
          <w:p w14:paraId="431388F9" w14:textId="483EB42C"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2</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(5,7)</w:t>
            </w:r>
          </w:p>
        </w:tc>
        <w:tc>
          <w:tcPr>
            <w:tcW w:w="1040" w:type="dxa"/>
          </w:tcPr>
          <w:p w14:paraId="5F7AA284"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-7,76;20,09</w:t>
            </w:r>
          </w:p>
        </w:tc>
        <w:tc>
          <w:tcPr>
            <w:tcW w:w="1134" w:type="dxa"/>
          </w:tcPr>
          <w:p w14:paraId="7EB9933E" w14:textId="2892CB8F"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5</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(14,3)</w:t>
            </w:r>
          </w:p>
        </w:tc>
        <w:tc>
          <w:tcPr>
            <w:tcW w:w="1221" w:type="dxa"/>
          </w:tcPr>
          <w:p w14:paraId="3052A3F1"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6,19;22,79</w:t>
            </w:r>
          </w:p>
        </w:tc>
      </w:tr>
      <w:tr w:rsidR="00520CBB" w:rsidRPr="00520CBB" w14:paraId="3ED0B3AA" w14:textId="77777777" w:rsidTr="00743EA6">
        <w:trPr>
          <w:trHeight w:val="185"/>
        </w:trPr>
        <w:tc>
          <w:tcPr>
            <w:tcW w:w="988" w:type="dxa"/>
          </w:tcPr>
          <w:p w14:paraId="4D252DE7"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20-40%</w:t>
            </w:r>
          </w:p>
        </w:tc>
        <w:tc>
          <w:tcPr>
            <w:tcW w:w="850" w:type="dxa"/>
          </w:tcPr>
          <w:p w14:paraId="265EC8F7" w14:textId="2298030B"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7</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(20,0)</w:t>
            </w:r>
          </w:p>
        </w:tc>
        <w:tc>
          <w:tcPr>
            <w:tcW w:w="1051" w:type="dxa"/>
          </w:tcPr>
          <w:p w14:paraId="1D50819A"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13,37;26,89</w:t>
            </w:r>
          </w:p>
        </w:tc>
        <w:tc>
          <w:tcPr>
            <w:tcW w:w="1075" w:type="dxa"/>
          </w:tcPr>
          <w:p w14:paraId="3488AA91" w14:textId="352A54F1"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5</w:t>
            </w:r>
            <w:r w:rsidR="00743EA6">
              <w:rPr>
                <w:rFonts w:ascii="Times New Roman" w:hAnsi="Times New Roman" w:cs="Times New Roman"/>
                <w:sz w:val="24"/>
                <w:szCs w:val="24"/>
                <w:lang w:val="kk-KZ"/>
              </w:rPr>
              <w:t xml:space="preserve">т </w:t>
            </w:r>
            <w:r w:rsidRPr="00520CBB">
              <w:rPr>
                <w:rFonts w:ascii="Times New Roman" w:hAnsi="Times New Roman" w:cs="Times New Roman"/>
                <w:sz w:val="24"/>
                <w:szCs w:val="24"/>
              </w:rPr>
              <w:t>(14,3)</w:t>
            </w:r>
          </w:p>
        </w:tc>
        <w:tc>
          <w:tcPr>
            <w:tcW w:w="975" w:type="dxa"/>
          </w:tcPr>
          <w:p w14:paraId="7A044A4C"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6,19;22,79</w:t>
            </w:r>
          </w:p>
        </w:tc>
        <w:tc>
          <w:tcPr>
            <w:tcW w:w="1010" w:type="dxa"/>
          </w:tcPr>
          <w:p w14:paraId="11A34CB5" w14:textId="34098368"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4</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(11,4)</w:t>
            </w:r>
          </w:p>
        </w:tc>
        <w:tc>
          <w:tcPr>
            <w:tcW w:w="1040" w:type="dxa"/>
          </w:tcPr>
          <w:p w14:paraId="40C28269"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2,18;21,09</w:t>
            </w:r>
          </w:p>
        </w:tc>
        <w:tc>
          <w:tcPr>
            <w:tcW w:w="1134" w:type="dxa"/>
          </w:tcPr>
          <w:p w14:paraId="0111DB01" w14:textId="6C030F29"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9</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(25,7)</w:t>
            </w:r>
          </w:p>
        </w:tc>
        <w:tc>
          <w:tcPr>
            <w:tcW w:w="1221" w:type="dxa"/>
          </w:tcPr>
          <w:p w14:paraId="250B5536"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20,07;31,54</w:t>
            </w:r>
          </w:p>
        </w:tc>
      </w:tr>
      <w:tr w:rsidR="00520CBB" w:rsidRPr="00520CBB" w14:paraId="4D90542D" w14:textId="77777777" w:rsidTr="00743EA6">
        <w:trPr>
          <w:trHeight w:val="485"/>
        </w:trPr>
        <w:tc>
          <w:tcPr>
            <w:tcW w:w="988" w:type="dxa"/>
          </w:tcPr>
          <w:p w14:paraId="678944D4"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41-60%</w:t>
            </w:r>
          </w:p>
        </w:tc>
        <w:tc>
          <w:tcPr>
            <w:tcW w:w="850" w:type="dxa"/>
          </w:tcPr>
          <w:p w14:paraId="182266DD" w14:textId="4C6984B1"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11</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(31,4)</w:t>
            </w:r>
          </w:p>
        </w:tc>
        <w:tc>
          <w:tcPr>
            <w:tcW w:w="1051" w:type="dxa"/>
          </w:tcPr>
          <w:p w14:paraId="7AD0EAB2"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26,51;36,47</w:t>
            </w:r>
          </w:p>
        </w:tc>
        <w:tc>
          <w:tcPr>
            <w:tcW w:w="1075" w:type="dxa"/>
          </w:tcPr>
          <w:p w14:paraId="3BC8BAA1" w14:textId="07144A41"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13</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(37,1)</w:t>
            </w:r>
          </w:p>
        </w:tc>
        <w:tc>
          <w:tcPr>
            <w:tcW w:w="975" w:type="dxa"/>
          </w:tcPr>
          <w:p w14:paraId="1EAC9805"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32,79;41,56</w:t>
            </w:r>
          </w:p>
        </w:tc>
        <w:tc>
          <w:tcPr>
            <w:tcW w:w="1010" w:type="dxa"/>
          </w:tcPr>
          <w:p w14:paraId="5E50B003" w14:textId="30714BD2"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6</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(17,1)</w:t>
            </w:r>
          </w:p>
        </w:tc>
        <w:tc>
          <w:tcPr>
            <w:tcW w:w="1040" w:type="dxa"/>
          </w:tcPr>
          <w:p w14:paraId="587D45C5"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9,81;24,70</w:t>
            </w:r>
          </w:p>
        </w:tc>
        <w:tc>
          <w:tcPr>
            <w:tcW w:w="1134" w:type="dxa"/>
          </w:tcPr>
          <w:p w14:paraId="58EA78DF" w14:textId="05769793"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12</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(34,3)</w:t>
            </w:r>
          </w:p>
        </w:tc>
        <w:tc>
          <w:tcPr>
            <w:tcW w:w="1221" w:type="dxa"/>
          </w:tcPr>
          <w:p w14:paraId="362BE8D7"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29,71;39,04</w:t>
            </w:r>
          </w:p>
        </w:tc>
      </w:tr>
      <w:tr w:rsidR="00520CBB" w:rsidRPr="00520CBB" w14:paraId="591F9E75" w14:textId="77777777" w:rsidTr="00743EA6">
        <w:trPr>
          <w:trHeight w:val="498"/>
        </w:trPr>
        <w:tc>
          <w:tcPr>
            <w:tcW w:w="988" w:type="dxa"/>
            <w:tcBorders>
              <w:bottom w:val="single" w:sz="4" w:space="0" w:color="auto"/>
            </w:tcBorders>
          </w:tcPr>
          <w:p w14:paraId="34FA148C"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61-70%</w:t>
            </w:r>
          </w:p>
        </w:tc>
        <w:tc>
          <w:tcPr>
            <w:tcW w:w="850" w:type="dxa"/>
            <w:tcBorders>
              <w:bottom w:val="single" w:sz="4" w:space="0" w:color="auto"/>
            </w:tcBorders>
          </w:tcPr>
          <w:p w14:paraId="78F2FC4C" w14:textId="31A1A58A"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1</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(2,9)</w:t>
            </w:r>
          </w:p>
        </w:tc>
        <w:tc>
          <w:tcPr>
            <w:tcW w:w="1051" w:type="dxa"/>
            <w:tcBorders>
              <w:bottom w:val="single" w:sz="4" w:space="0" w:color="auto"/>
            </w:tcBorders>
          </w:tcPr>
          <w:p w14:paraId="1CC5EDB7"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-16,41;24,05</w:t>
            </w:r>
          </w:p>
        </w:tc>
        <w:tc>
          <w:tcPr>
            <w:tcW w:w="1075" w:type="dxa"/>
            <w:tcBorders>
              <w:bottom w:val="single" w:sz="4" w:space="0" w:color="auto"/>
            </w:tcBorders>
          </w:tcPr>
          <w:p w14:paraId="703D53EE" w14:textId="21586F62"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1</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(2,9)</w:t>
            </w:r>
          </w:p>
        </w:tc>
        <w:tc>
          <w:tcPr>
            <w:tcW w:w="975" w:type="dxa"/>
            <w:tcBorders>
              <w:bottom w:val="single" w:sz="4" w:space="0" w:color="auto"/>
            </w:tcBorders>
          </w:tcPr>
          <w:p w14:paraId="7BC9B21D"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-16,41;24,05</w:t>
            </w:r>
          </w:p>
        </w:tc>
        <w:tc>
          <w:tcPr>
            <w:tcW w:w="1010" w:type="dxa"/>
            <w:tcBorders>
              <w:bottom w:val="single" w:sz="4" w:space="0" w:color="auto"/>
            </w:tcBorders>
          </w:tcPr>
          <w:p w14:paraId="03C30F08" w14:textId="58B5CAAE"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5</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(14,3)</w:t>
            </w:r>
          </w:p>
        </w:tc>
        <w:tc>
          <w:tcPr>
            <w:tcW w:w="1040" w:type="dxa"/>
            <w:tcBorders>
              <w:bottom w:val="single" w:sz="4" w:space="0" w:color="auto"/>
            </w:tcBorders>
          </w:tcPr>
          <w:p w14:paraId="6D244932"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6,19;22,79</w:t>
            </w:r>
          </w:p>
        </w:tc>
        <w:tc>
          <w:tcPr>
            <w:tcW w:w="1134" w:type="dxa"/>
            <w:tcBorders>
              <w:bottom w:val="single" w:sz="4" w:space="0" w:color="auto"/>
            </w:tcBorders>
          </w:tcPr>
          <w:p w14:paraId="2418F236" w14:textId="512D6B5F"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5</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(14,3)</w:t>
            </w:r>
          </w:p>
        </w:tc>
        <w:tc>
          <w:tcPr>
            <w:tcW w:w="1221" w:type="dxa"/>
            <w:tcBorders>
              <w:bottom w:val="single" w:sz="4" w:space="0" w:color="auto"/>
            </w:tcBorders>
          </w:tcPr>
          <w:p w14:paraId="6C10BC95"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6,19;22,79</w:t>
            </w:r>
          </w:p>
        </w:tc>
      </w:tr>
      <w:tr w:rsidR="00520CBB" w:rsidRPr="00520CBB" w14:paraId="58F8A47F" w14:textId="77777777" w:rsidTr="00743EA6">
        <w:trPr>
          <w:trHeight w:val="485"/>
        </w:trPr>
        <w:tc>
          <w:tcPr>
            <w:tcW w:w="988" w:type="dxa"/>
            <w:tcBorders>
              <w:bottom w:val="nil"/>
            </w:tcBorders>
          </w:tcPr>
          <w:p w14:paraId="2D0ED1EF"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71-80%</w:t>
            </w:r>
          </w:p>
        </w:tc>
        <w:tc>
          <w:tcPr>
            <w:tcW w:w="850" w:type="dxa"/>
            <w:tcBorders>
              <w:bottom w:val="nil"/>
            </w:tcBorders>
          </w:tcPr>
          <w:p w14:paraId="2C989917" w14:textId="567D0682"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7</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(20,0)</w:t>
            </w:r>
          </w:p>
        </w:tc>
        <w:tc>
          <w:tcPr>
            <w:tcW w:w="1051" w:type="dxa"/>
            <w:tcBorders>
              <w:bottom w:val="nil"/>
            </w:tcBorders>
          </w:tcPr>
          <w:p w14:paraId="7535C3F8"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13,37;26,89</w:t>
            </w:r>
          </w:p>
        </w:tc>
        <w:tc>
          <w:tcPr>
            <w:tcW w:w="1075" w:type="dxa"/>
            <w:tcBorders>
              <w:bottom w:val="nil"/>
            </w:tcBorders>
          </w:tcPr>
          <w:p w14:paraId="2AABFF46" w14:textId="156F91C1"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7</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(20,0)</w:t>
            </w:r>
          </w:p>
        </w:tc>
        <w:tc>
          <w:tcPr>
            <w:tcW w:w="975" w:type="dxa"/>
            <w:tcBorders>
              <w:bottom w:val="nil"/>
            </w:tcBorders>
          </w:tcPr>
          <w:p w14:paraId="236CF5C6"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13,37;26,89</w:t>
            </w:r>
          </w:p>
        </w:tc>
        <w:tc>
          <w:tcPr>
            <w:tcW w:w="1010" w:type="dxa"/>
            <w:tcBorders>
              <w:bottom w:val="nil"/>
            </w:tcBorders>
          </w:tcPr>
          <w:p w14:paraId="261D8280" w14:textId="74375B7F"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3</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(8,6)</w:t>
            </w:r>
          </w:p>
        </w:tc>
        <w:tc>
          <w:tcPr>
            <w:tcW w:w="1040" w:type="dxa"/>
            <w:tcBorders>
              <w:bottom w:val="nil"/>
            </w:tcBorders>
          </w:tcPr>
          <w:p w14:paraId="55242C9C"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-2,22;20,04</w:t>
            </w:r>
          </w:p>
        </w:tc>
        <w:tc>
          <w:tcPr>
            <w:tcW w:w="1134" w:type="dxa"/>
            <w:tcBorders>
              <w:bottom w:val="nil"/>
            </w:tcBorders>
          </w:tcPr>
          <w:p w14:paraId="67D03AC8" w14:textId="0ABE14CC"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3</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(8,6)</w:t>
            </w:r>
          </w:p>
        </w:tc>
        <w:tc>
          <w:tcPr>
            <w:tcW w:w="1221" w:type="dxa"/>
            <w:tcBorders>
              <w:bottom w:val="nil"/>
            </w:tcBorders>
          </w:tcPr>
          <w:p w14:paraId="3A6BE9E4"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-2,22;20,04</w:t>
            </w:r>
          </w:p>
        </w:tc>
      </w:tr>
    </w:tbl>
    <w:p w14:paraId="50B868E1" w14:textId="77777777" w:rsidR="00743EA6" w:rsidRDefault="00743EA6">
      <w:pPr>
        <w:rPr>
          <w:lang w:val="kk-KZ"/>
        </w:rPr>
      </w:pPr>
    </w:p>
    <w:p w14:paraId="14BD174A" w14:textId="2893FF5D" w:rsidR="00743EA6" w:rsidRPr="00743EA6" w:rsidRDefault="00743EA6">
      <w:pPr>
        <w:rPr>
          <w:rFonts w:ascii="Times New Roman" w:hAnsi="Times New Roman" w:cs="Times New Roman"/>
          <w:sz w:val="28"/>
          <w:szCs w:val="28"/>
        </w:rPr>
      </w:pPr>
      <w:r w:rsidRPr="00743EA6">
        <w:rPr>
          <w:rFonts w:ascii="Times New Roman" w:hAnsi="Times New Roman" w:cs="Times New Roman"/>
          <w:sz w:val="28"/>
          <w:szCs w:val="28"/>
        </w:rPr>
        <w:lastRenderedPageBreak/>
        <w:t>Продолжение таблицы 22</w:t>
      </w:r>
    </w:p>
    <w:tbl>
      <w:tblPr>
        <w:tblStyle w:val="af9"/>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850"/>
        <w:gridCol w:w="1051"/>
        <w:gridCol w:w="1075"/>
        <w:gridCol w:w="975"/>
        <w:gridCol w:w="1010"/>
        <w:gridCol w:w="1040"/>
        <w:gridCol w:w="1134"/>
        <w:gridCol w:w="1221"/>
      </w:tblGrid>
      <w:tr w:rsidR="00743EA6" w:rsidRPr="00520CBB" w14:paraId="5F974869" w14:textId="77777777" w:rsidTr="00743EA6">
        <w:trPr>
          <w:trHeight w:val="273"/>
        </w:trPr>
        <w:tc>
          <w:tcPr>
            <w:tcW w:w="988" w:type="dxa"/>
          </w:tcPr>
          <w:p w14:paraId="4256D24B" w14:textId="49C1CF24" w:rsidR="00743EA6" w:rsidRPr="00743EA6" w:rsidRDefault="00743EA6" w:rsidP="004135FE">
            <w:pPr>
              <w:widowControl w:val="0"/>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50" w:type="dxa"/>
          </w:tcPr>
          <w:p w14:paraId="17CE4E22" w14:textId="2B34809B" w:rsidR="00743EA6" w:rsidRPr="00743EA6" w:rsidRDefault="00743EA6" w:rsidP="004135FE">
            <w:pPr>
              <w:widowControl w:val="0"/>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051" w:type="dxa"/>
          </w:tcPr>
          <w:p w14:paraId="60981B62" w14:textId="18367CB3" w:rsidR="00743EA6" w:rsidRPr="00743EA6" w:rsidRDefault="00743EA6" w:rsidP="004135FE">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p>
        </w:tc>
        <w:tc>
          <w:tcPr>
            <w:tcW w:w="1075" w:type="dxa"/>
          </w:tcPr>
          <w:p w14:paraId="465F5ECF" w14:textId="7D5A8FF4" w:rsidR="00743EA6" w:rsidRPr="00743EA6" w:rsidRDefault="00743EA6" w:rsidP="004135FE">
            <w:pPr>
              <w:widowControl w:val="0"/>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975" w:type="dxa"/>
          </w:tcPr>
          <w:p w14:paraId="53C50DBB" w14:textId="165174EF" w:rsidR="00743EA6" w:rsidRPr="00743EA6" w:rsidRDefault="00743EA6" w:rsidP="004135FE">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w:t>
            </w:r>
          </w:p>
        </w:tc>
        <w:tc>
          <w:tcPr>
            <w:tcW w:w="1010" w:type="dxa"/>
          </w:tcPr>
          <w:p w14:paraId="49AC934D" w14:textId="4DFFC0E0" w:rsidR="00743EA6" w:rsidRPr="00743EA6" w:rsidRDefault="00743EA6" w:rsidP="004135FE">
            <w:pPr>
              <w:widowControl w:val="0"/>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040" w:type="dxa"/>
          </w:tcPr>
          <w:p w14:paraId="7C9BDF0A" w14:textId="67973939" w:rsidR="00743EA6" w:rsidRPr="00743EA6" w:rsidRDefault="00743EA6" w:rsidP="004135FE">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7</w:t>
            </w:r>
          </w:p>
        </w:tc>
        <w:tc>
          <w:tcPr>
            <w:tcW w:w="1134" w:type="dxa"/>
          </w:tcPr>
          <w:p w14:paraId="02C87C52" w14:textId="2F7B3678" w:rsidR="00743EA6" w:rsidRPr="00743EA6" w:rsidRDefault="00743EA6" w:rsidP="004135FE">
            <w:pPr>
              <w:widowControl w:val="0"/>
              <w:autoSpaceDE w:val="0"/>
              <w:autoSpaceDN w:val="0"/>
              <w:adjustRightInd w:val="0"/>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221" w:type="dxa"/>
          </w:tcPr>
          <w:p w14:paraId="605608AA" w14:textId="24E56F9D" w:rsidR="00743EA6" w:rsidRPr="00743EA6" w:rsidRDefault="00743EA6" w:rsidP="004135FE">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9</w:t>
            </w:r>
          </w:p>
        </w:tc>
      </w:tr>
      <w:tr w:rsidR="00520CBB" w:rsidRPr="00520CBB" w14:paraId="4873F5B4" w14:textId="77777777" w:rsidTr="00743EA6">
        <w:trPr>
          <w:trHeight w:val="498"/>
        </w:trPr>
        <w:tc>
          <w:tcPr>
            <w:tcW w:w="988" w:type="dxa"/>
          </w:tcPr>
          <w:p w14:paraId="55CB7FB7"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81-90%</w:t>
            </w:r>
          </w:p>
        </w:tc>
        <w:tc>
          <w:tcPr>
            <w:tcW w:w="850" w:type="dxa"/>
          </w:tcPr>
          <w:p w14:paraId="7AEF78AD" w14:textId="39307AC0"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0</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(0,0%)</w:t>
            </w:r>
          </w:p>
        </w:tc>
        <w:tc>
          <w:tcPr>
            <w:tcW w:w="1051" w:type="dxa"/>
          </w:tcPr>
          <w:p w14:paraId="4FF585F3"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p>
        </w:tc>
        <w:tc>
          <w:tcPr>
            <w:tcW w:w="1075" w:type="dxa"/>
          </w:tcPr>
          <w:p w14:paraId="192093EC" w14:textId="13E1EAC6"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1</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(2,9)</w:t>
            </w:r>
          </w:p>
        </w:tc>
        <w:tc>
          <w:tcPr>
            <w:tcW w:w="975" w:type="dxa"/>
          </w:tcPr>
          <w:p w14:paraId="11D773A5"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-16,41;24,05</w:t>
            </w:r>
          </w:p>
        </w:tc>
        <w:tc>
          <w:tcPr>
            <w:tcW w:w="1010" w:type="dxa"/>
          </w:tcPr>
          <w:p w14:paraId="117C292E" w14:textId="5CF86B4B"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12</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(34,3)</w:t>
            </w:r>
          </w:p>
        </w:tc>
        <w:tc>
          <w:tcPr>
            <w:tcW w:w="1040" w:type="dxa"/>
          </w:tcPr>
          <w:p w14:paraId="634491F1"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29,71;39,04</w:t>
            </w:r>
          </w:p>
        </w:tc>
        <w:tc>
          <w:tcPr>
            <w:tcW w:w="1134" w:type="dxa"/>
          </w:tcPr>
          <w:p w14:paraId="589FA849" w14:textId="41391362"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1</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(2,9)</w:t>
            </w:r>
          </w:p>
        </w:tc>
        <w:tc>
          <w:tcPr>
            <w:tcW w:w="1221" w:type="dxa"/>
          </w:tcPr>
          <w:p w14:paraId="0007DB47"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-16,41;24,05</w:t>
            </w:r>
          </w:p>
        </w:tc>
      </w:tr>
      <w:tr w:rsidR="00520CBB" w:rsidRPr="00520CBB" w14:paraId="497B7D83" w14:textId="77777777" w:rsidTr="00743EA6">
        <w:trPr>
          <w:trHeight w:val="485"/>
        </w:trPr>
        <w:tc>
          <w:tcPr>
            <w:tcW w:w="988" w:type="dxa"/>
          </w:tcPr>
          <w:p w14:paraId="23A5DC1A"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91-100%</w:t>
            </w:r>
          </w:p>
        </w:tc>
        <w:tc>
          <w:tcPr>
            <w:tcW w:w="850" w:type="dxa"/>
          </w:tcPr>
          <w:p w14:paraId="2CF98D2A" w14:textId="45A96919"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1</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(2,9)</w:t>
            </w:r>
          </w:p>
        </w:tc>
        <w:tc>
          <w:tcPr>
            <w:tcW w:w="1051" w:type="dxa"/>
          </w:tcPr>
          <w:p w14:paraId="7CA9552D"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eastAsia="Times New Roman" w:hAnsi="Times New Roman" w:cs="Times New Roman"/>
                <w:sz w:val="24"/>
                <w:szCs w:val="24"/>
              </w:rPr>
              <w:t>-16,41;24,05</w:t>
            </w:r>
          </w:p>
        </w:tc>
        <w:tc>
          <w:tcPr>
            <w:tcW w:w="1075" w:type="dxa"/>
          </w:tcPr>
          <w:p w14:paraId="0735A626" w14:textId="0F31BD66"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0</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(0,0%)</w:t>
            </w:r>
          </w:p>
        </w:tc>
        <w:tc>
          <w:tcPr>
            <w:tcW w:w="975" w:type="dxa"/>
          </w:tcPr>
          <w:p w14:paraId="3033AA97"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p>
        </w:tc>
        <w:tc>
          <w:tcPr>
            <w:tcW w:w="1010" w:type="dxa"/>
          </w:tcPr>
          <w:p w14:paraId="492431D4" w14:textId="023BB951"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3</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(8,6)</w:t>
            </w:r>
          </w:p>
        </w:tc>
        <w:tc>
          <w:tcPr>
            <w:tcW w:w="1040" w:type="dxa"/>
          </w:tcPr>
          <w:p w14:paraId="0C987D17" w14:textId="77777777" w:rsidR="007A2C38" w:rsidRPr="00520CBB" w:rsidRDefault="007A2C38" w:rsidP="004135FE">
            <w:pPr>
              <w:spacing w:after="0" w:line="240" w:lineRule="auto"/>
              <w:jc w:val="center"/>
              <w:rPr>
                <w:rFonts w:ascii="Times New Roman" w:eastAsia="Times New Roman" w:hAnsi="Times New Roman" w:cs="Times New Roman"/>
                <w:sz w:val="24"/>
                <w:szCs w:val="24"/>
              </w:rPr>
            </w:pPr>
            <w:r w:rsidRPr="00520CBB">
              <w:rPr>
                <w:rFonts w:ascii="Times New Roman" w:eastAsia="Times New Roman" w:hAnsi="Times New Roman" w:cs="Times New Roman"/>
                <w:sz w:val="24"/>
                <w:szCs w:val="24"/>
              </w:rPr>
              <w:t>-2,22;20,04</w:t>
            </w:r>
          </w:p>
        </w:tc>
        <w:tc>
          <w:tcPr>
            <w:tcW w:w="1134" w:type="dxa"/>
          </w:tcPr>
          <w:p w14:paraId="5103A47C" w14:textId="484101F0"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0</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(0,0%)</w:t>
            </w:r>
          </w:p>
        </w:tc>
        <w:tc>
          <w:tcPr>
            <w:tcW w:w="1221" w:type="dxa"/>
          </w:tcPr>
          <w:p w14:paraId="13CA0DAE"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p>
        </w:tc>
      </w:tr>
      <w:tr w:rsidR="00520CBB" w:rsidRPr="00520CBB" w14:paraId="65426500" w14:textId="77777777" w:rsidTr="00743EA6">
        <w:trPr>
          <w:trHeight w:val="242"/>
        </w:trPr>
        <w:tc>
          <w:tcPr>
            <w:tcW w:w="988" w:type="dxa"/>
          </w:tcPr>
          <w:p w14:paraId="218AF85D"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Итого</w:t>
            </w:r>
          </w:p>
        </w:tc>
        <w:tc>
          <w:tcPr>
            <w:tcW w:w="850" w:type="dxa"/>
          </w:tcPr>
          <w:p w14:paraId="6B66BF3B" w14:textId="2E7A1B26"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35</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(100,0)</w:t>
            </w:r>
          </w:p>
        </w:tc>
        <w:tc>
          <w:tcPr>
            <w:tcW w:w="1051" w:type="dxa"/>
          </w:tcPr>
          <w:p w14:paraId="5FC32428"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p>
        </w:tc>
        <w:tc>
          <w:tcPr>
            <w:tcW w:w="1075" w:type="dxa"/>
          </w:tcPr>
          <w:p w14:paraId="5C4EF7C2" w14:textId="00F0BC72"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35</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(100,0)</w:t>
            </w:r>
          </w:p>
        </w:tc>
        <w:tc>
          <w:tcPr>
            <w:tcW w:w="975" w:type="dxa"/>
          </w:tcPr>
          <w:p w14:paraId="5C83B686"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p>
        </w:tc>
        <w:tc>
          <w:tcPr>
            <w:tcW w:w="1010" w:type="dxa"/>
          </w:tcPr>
          <w:p w14:paraId="43FE25D8" w14:textId="307483CA"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35</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(100,0)</w:t>
            </w:r>
          </w:p>
        </w:tc>
        <w:tc>
          <w:tcPr>
            <w:tcW w:w="1040" w:type="dxa"/>
          </w:tcPr>
          <w:p w14:paraId="07FEB048"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p>
        </w:tc>
        <w:tc>
          <w:tcPr>
            <w:tcW w:w="1134" w:type="dxa"/>
          </w:tcPr>
          <w:p w14:paraId="50BD6158" w14:textId="00F41FCC"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r w:rsidRPr="00520CBB">
              <w:rPr>
                <w:rFonts w:ascii="Times New Roman" w:hAnsi="Times New Roman" w:cs="Times New Roman"/>
                <w:sz w:val="24"/>
                <w:szCs w:val="24"/>
              </w:rPr>
              <w:t>35</w:t>
            </w:r>
            <w:r w:rsidR="00743EA6">
              <w:rPr>
                <w:rFonts w:ascii="Times New Roman" w:hAnsi="Times New Roman" w:cs="Times New Roman"/>
                <w:sz w:val="24"/>
                <w:szCs w:val="24"/>
                <w:lang w:val="kk-KZ"/>
              </w:rPr>
              <w:t xml:space="preserve"> </w:t>
            </w:r>
            <w:r w:rsidRPr="00520CBB">
              <w:rPr>
                <w:rFonts w:ascii="Times New Roman" w:hAnsi="Times New Roman" w:cs="Times New Roman"/>
                <w:sz w:val="24"/>
                <w:szCs w:val="24"/>
              </w:rPr>
              <w:t>(100,0)</w:t>
            </w:r>
          </w:p>
        </w:tc>
        <w:tc>
          <w:tcPr>
            <w:tcW w:w="1221" w:type="dxa"/>
          </w:tcPr>
          <w:p w14:paraId="0C4C46BC" w14:textId="77777777" w:rsidR="007A2C38" w:rsidRPr="00520CBB" w:rsidRDefault="007A2C38" w:rsidP="004135FE">
            <w:pPr>
              <w:widowControl w:val="0"/>
              <w:autoSpaceDE w:val="0"/>
              <w:autoSpaceDN w:val="0"/>
              <w:adjustRightInd w:val="0"/>
              <w:spacing w:after="0" w:line="240" w:lineRule="auto"/>
              <w:jc w:val="center"/>
              <w:rPr>
                <w:rFonts w:ascii="Times New Roman" w:hAnsi="Times New Roman" w:cs="Times New Roman"/>
                <w:sz w:val="24"/>
                <w:szCs w:val="24"/>
              </w:rPr>
            </w:pPr>
          </w:p>
        </w:tc>
      </w:tr>
    </w:tbl>
    <w:p w14:paraId="3F298E83" w14:textId="77777777" w:rsidR="007A2C38" w:rsidRPr="004135FE" w:rsidRDefault="007A2C38" w:rsidP="004135FE">
      <w:pPr>
        <w:spacing w:after="0" w:line="240" w:lineRule="auto"/>
        <w:jc w:val="both"/>
        <w:rPr>
          <w:rFonts w:ascii="Times New Roman" w:hAnsi="Times New Roman" w:cs="Times New Roman"/>
          <w:sz w:val="28"/>
          <w:szCs w:val="28"/>
        </w:rPr>
      </w:pPr>
    </w:p>
    <w:p w14:paraId="384D0571" w14:textId="77777777" w:rsidR="007A2C38" w:rsidRPr="004135FE" w:rsidRDefault="007A2C38"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После завершения консультации у 100,0% врачей эндокринологов «иногда» возникает чувство, что не смогли оказать помощь в полной мере по причине - сложившегося неприятного отношения к данному пациенту, прием пациента прерывается совещанием поликлиники, неконтролируемые осложнения заболевании на амбулаторном уровне, отсутствия приверженности пациента к рекомендациям. 81,8% - эндокринологов считают, что иногда оформление документации отвлекает от главного, а часто отметили - 18,2%. Среди врачей никто не выбрал вариантов частоту возникновения чувств «</w:t>
      </w:r>
      <w:r w:rsidRPr="004135FE">
        <w:rPr>
          <w:rFonts w:ascii="Times New Roman" w:hAnsi="Times New Roman" w:cs="Times New Roman"/>
          <w:sz w:val="28"/>
          <w:szCs w:val="28"/>
          <w:lang w:val="kk-KZ"/>
        </w:rPr>
        <w:t>В</w:t>
      </w:r>
      <w:r w:rsidRPr="004135FE">
        <w:rPr>
          <w:rFonts w:ascii="Times New Roman" w:hAnsi="Times New Roman" w:cs="Times New Roman"/>
          <w:sz w:val="28"/>
          <w:szCs w:val="28"/>
        </w:rPr>
        <w:t>сегда» и «</w:t>
      </w:r>
      <w:r w:rsidRPr="004135FE">
        <w:rPr>
          <w:rFonts w:ascii="Times New Roman" w:hAnsi="Times New Roman" w:cs="Times New Roman"/>
          <w:sz w:val="28"/>
          <w:szCs w:val="28"/>
          <w:lang w:val="kk-KZ"/>
        </w:rPr>
        <w:t>Н</w:t>
      </w:r>
      <w:r w:rsidRPr="004135FE">
        <w:rPr>
          <w:rFonts w:ascii="Times New Roman" w:hAnsi="Times New Roman" w:cs="Times New Roman"/>
          <w:sz w:val="28"/>
          <w:szCs w:val="28"/>
        </w:rPr>
        <w:t>икогда». (χ2=86,314a, df=8, p=0,0001).</w:t>
      </w:r>
    </w:p>
    <w:p w14:paraId="7DD68F52" w14:textId="77777777" w:rsidR="007A2C38" w:rsidRPr="004135FE" w:rsidRDefault="007A2C38" w:rsidP="004135FE">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ab/>
      </w:r>
    </w:p>
    <w:p w14:paraId="2B4543BD" w14:textId="01516E4A" w:rsidR="007A2C38"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Таблица 2</w:t>
      </w:r>
      <w:r w:rsidR="00B728EF" w:rsidRPr="004135FE">
        <w:rPr>
          <w:rFonts w:ascii="Times New Roman" w:hAnsi="Times New Roman" w:cs="Times New Roman"/>
          <w:sz w:val="28"/>
          <w:szCs w:val="28"/>
        </w:rPr>
        <w:t>3</w:t>
      </w:r>
      <w:r w:rsidRPr="004135FE">
        <w:rPr>
          <w:rFonts w:ascii="Times New Roman" w:hAnsi="Times New Roman" w:cs="Times New Roman"/>
          <w:sz w:val="28"/>
          <w:szCs w:val="28"/>
        </w:rPr>
        <w:t>- Влияние причины на частоту возникновения чувств оказания не полной консультации пациенту</w:t>
      </w:r>
    </w:p>
    <w:p w14:paraId="2C00CC80" w14:textId="77777777" w:rsidR="00743EA6" w:rsidRPr="004135FE" w:rsidRDefault="00743EA6" w:rsidP="004135FE">
      <w:pPr>
        <w:autoSpaceDE w:val="0"/>
        <w:autoSpaceDN w:val="0"/>
        <w:adjustRightInd w:val="0"/>
        <w:spacing w:after="0" w:line="240" w:lineRule="auto"/>
        <w:jc w:val="both"/>
        <w:rPr>
          <w:rFonts w:ascii="Times New Roman" w:hAnsi="Times New Roman" w:cs="Times New Roman"/>
          <w:sz w:val="28"/>
          <w:szCs w:val="28"/>
        </w:rPr>
      </w:pPr>
    </w:p>
    <w:tbl>
      <w:tblPr>
        <w:tblStyle w:val="af9"/>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0"/>
        <w:gridCol w:w="1266"/>
        <w:gridCol w:w="1546"/>
        <w:gridCol w:w="1546"/>
        <w:gridCol w:w="986"/>
      </w:tblGrid>
      <w:tr w:rsidR="007A2C38" w:rsidRPr="004135FE" w14:paraId="4CCC2DDB" w14:textId="77777777" w:rsidTr="00743EA6">
        <w:trPr>
          <w:trHeight w:val="579"/>
        </w:trPr>
        <w:tc>
          <w:tcPr>
            <w:tcW w:w="4392" w:type="dxa"/>
          </w:tcPr>
          <w:p w14:paraId="1B446262" w14:textId="77777777" w:rsidR="007A2C38" w:rsidRPr="004135FE" w:rsidRDefault="007A2C38" w:rsidP="006277D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Причина</w:t>
            </w:r>
          </w:p>
        </w:tc>
        <w:tc>
          <w:tcPr>
            <w:tcW w:w="1159" w:type="dxa"/>
          </w:tcPr>
          <w:p w14:paraId="297F1056" w14:textId="20F25CEE" w:rsidR="007A2C38" w:rsidRPr="004135FE" w:rsidRDefault="006277DE" w:rsidP="006277DE">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Ч</w:t>
            </w:r>
            <w:r w:rsidR="007A2C38" w:rsidRPr="004135FE">
              <w:rPr>
                <w:rFonts w:ascii="Times New Roman" w:hAnsi="Times New Roman" w:cs="Times New Roman"/>
                <w:sz w:val="28"/>
                <w:szCs w:val="28"/>
              </w:rPr>
              <w:t>асто</w:t>
            </w:r>
          </w:p>
        </w:tc>
        <w:tc>
          <w:tcPr>
            <w:tcW w:w="1416" w:type="dxa"/>
          </w:tcPr>
          <w:p w14:paraId="0AA278B4" w14:textId="1F1C306F" w:rsidR="007A2C38" w:rsidRPr="004135FE" w:rsidRDefault="006277DE" w:rsidP="006277DE">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И</w:t>
            </w:r>
            <w:r w:rsidR="007A2C38" w:rsidRPr="004135FE">
              <w:rPr>
                <w:rFonts w:ascii="Times New Roman" w:hAnsi="Times New Roman" w:cs="Times New Roman"/>
                <w:sz w:val="28"/>
                <w:szCs w:val="28"/>
              </w:rPr>
              <w:t>ногда</w:t>
            </w:r>
          </w:p>
        </w:tc>
        <w:tc>
          <w:tcPr>
            <w:tcW w:w="1416" w:type="dxa"/>
          </w:tcPr>
          <w:p w14:paraId="15FD537B" w14:textId="5BCC7D9A" w:rsidR="007A2C38" w:rsidRPr="004135FE" w:rsidRDefault="006277DE" w:rsidP="006277DE">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И</w:t>
            </w:r>
            <w:r w:rsidR="007A2C38" w:rsidRPr="004135FE">
              <w:rPr>
                <w:rFonts w:ascii="Times New Roman" w:hAnsi="Times New Roman" w:cs="Times New Roman"/>
                <w:sz w:val="28"/>
                <w:szCs w:val="28"/>
              </w:rPr>
              <w:t>того</w:t>
            </w:r>
          </w:p>
        </w:tc>
        <w:tc>
          <w:tcPr>
            <w:tcW w:w="961" w:type="dxa"/>
          </w:tcPr>
          <w:p w14:paraId="3278511A" w14:textId="1B684CC1" w:rsidR="007A2C38" w:rsidRPr="004135FE" w:rsidRDefault="006277DE" w:rsidP="006277DE">
            <w:pPr>
              <w:autoSpaceDE w:val="0"/>
              <w:autoSpaceDN w:val="0"/>
              <w:adjustRightInd w:val="0"/>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Р</w:t>
            </w:r>
            <w:r w:rsidR="007A2C38" w:rsidRPr="004135FE">
              <w:rPr>
                <w:rFonts w:ascii="Times New Roman" w:hAnsi="Times New Roman" w:cs="Times New Roman"/>
                <w:sz w:val="28"/>
                <w:szCs w:val="28"/>
                <w:lang w:val="en-US"/>
              </w:rPr>
              <w:t>-value</w:t>
            </w:r>
          </w:p>
        </w:tc>
      </w:tr>
      <w:tr w:rsidR="007A2C38" w:rsidRPr="004135FE" w14:paraId="565F6E9E" w14:textId="77777777" w:rsidTr="00743EA6">
        <w:trPr>
          <w:trHeight w:val="565"/>
        </w:trPr>
        <w:tc>
          <w:tcPr>
            <w:tcW w:w="4392" w:type="dxa"/>
          </w:tcPr>
          <w:p w14:paraId="50081B7A"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Сложившееся неприятное отношение к данному пациенту</w:t>
            </w:r>
          </w:p>
        </w:tc>
        <w:tc>
          <w:tcPr>
            <w:tcW w:w="1159" w:type="dxa"/>
          </w:tcPr>
          <w:p w14:paraId="6212E6E4"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0(0,0%)</w:t>
            </w:r>
          </w:p>
        </w:tc>
        <w:tc>
          <w:tcPr>
            <w:tcW w:w="1416" w:type="dxa"/>
          </w:tcPr>
          <w:p w14:paraId="0A30B54A"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1(100,0%)</w:t>
            </w:r>
          </w:p>
        </w:tc>
        <w:tc>
          <w:tcPr>
            <w:tcW w:w="1416" w:type="dxa"/>
          </w:tcPr>
          <w:p w14:paraId="09A7800C"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1(100,0%)</w:t>
            </w:r>
          </w:p>
        </w:tc>
        <w:tc>
          <w:tcPr>
            <w:tcW w:w="961" w:type="dxa"/>
            <w:vMerge w:val="restart"/>
          </w:tcPr>
          <w:p w14:paraId="79E80D9E"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0,0001</w:t>
            </w:r>
          </w:p>
        </w:tc>
      </w:tr>
      <w:tr w:rsidR="007A2C38" w:rsidRPr="004135FE" w14:paraId="26FC03A0" w14:textId="77777777" w:rsidTr="00743EA6">
        <w:trPr>
          <w:trHeight w:val="579"/>
        </w:trPr>
        <w:tc>
          <w:tcPr>
            <w:tcW w:w="4392" w:type="dxa"/>
          </w:tcPr>
          <w:p w14:paraId="262385EE"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Прием пациента прерывается совещанием поликлиники</w:t>
            </w:r>
          </w:p>
        </w:tc>
        <w:tc>
          <w:tcPr>
            <w:tcW w:w="1159" w:type="dxa"/>
          </w:tcPr>
          <w:p w14:paraId="3BD5CFD5"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0(0,0%)</w:t>
            </w:r>
          </w:p>
        </w:tc>
        <w:tc>
          <w:tcPr>
            <w:tcW w:w="1416" w:type="dxa"/>
          </w:tcPr>
          <w:p w14:paraId="1492E617"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1(100,0%)</w:t>
            </w:r>
          </w:p>
        </w:tc>
        <w:tc>
          <w:tcPr>
            <w:tcW w:w="1416" w:type="dxa"/>
          </w:tcPr>
          <w:p w14:paraId="6291AD50"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1(100,0%)</w:t>
            </w:r>
          </w:p>
        </w:tc>
        <w:tc>
          <w:tcPr>
            <w:tcW w:w="961" w:type="dxa"/>
            <w:vMerge/>
          </w:tcPr>
          <w:p w14:paraId="09B2AF4E"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p>
        </w:tc>
      </w:tr>
      <w:tr w:rsidR="007A2C38" w:rsidRPr="004135FE" w14:paraId="63E37CF8" w14:textId="77777777" w:rsidTr="00743EA6">
        <w:trPr>
          <w:trHeight w:val="565"/>
        </w:trPr>
        <w:tc>
          <w:tcPr>
            <w:tcW w:w="4392" w:type="dxa"/>
          </w:tcPr>
          <w:p w14:paraId="2D23E51F"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Оформление документации отвлекает от главного</w:t>
            </w:r>
          </w:p>
        </w:tc>
        <w:tc>
          <w:tcPr>
            <w:tcW w:w="1159" w:type="dxa"/>
          </w:tcPr>
          <w:p w14:paraId="5519A17D"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2(18,2%)</w:t>
            </w:r>
          </w:p>
        </w:tc>
        <w:tc>
          <w:tcPr>
            <w:tcW w:w="1416" w:type="dxa"/>
          </w:tcPr>
          <w:p w14:paraId="53552056"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lang w:val="en-US"/>
              </w:rPr>
            </w:pPr>
            <w:r w:rsidRPr="004135FE">
              <w:rPr>
                <w:rFonts w:ascii="Times New Roman" w:hAnsi="Times New Roman" w:cs="Times New Roman"/>
                <w:sz w:val="28"/>
                <w:szCs w:val="28"/>
              </w:rPr>
              <w:t>9</w:t>
            </w:r>
            <w:r w:rsidRPr="004135FE">
              <w:rPr>
                <w:rFonts w:ascii="Times New Roman" w:hAnsi="Times New Roman" w:cs="Times New Roman"/>
                <w:sz w:val="28"/>
                <w:szCs w:val="28"/>
                <w:lang w:val="en-US"/>
              </w:rPr>
              <w:t>(</w:t>
            </w:r>
            <w:r w:rsidRPr="004135FE">
              <w:rPr>
                <w:rFonts w:ascii="Times New Roman" w:hAnsi="Times New Roman" w:cs="Times New Roman"/>
                <w:sz w:val="28"/>
                <w:szCs w:val="28"/>
              </w:rPr>
              <w:t>81,8%</w:t>
            </w:r>
            <w:r w:rsidRPr="004135FE">
              <w:rPr>
                <w:rFonts w:ascii="Times New Roman" w:hAnsi="Times New Roman" w:cs="Times New Roman"/>
                <w:sz w:val="28"/>
                <w:szCs w:val="28"/>
                <w:lang w:val="en-US"/>
              </w:rPr>
              <w:t>)</w:t>
            </w:r>
          </w:p>
        </w:tc>
        <w:tc>
          <w:tcPr>
            <w:tcW w:w="1416" w:type="dxa"/>
          </w:tcPr>
          <w:p w14:paraId="03C65A9D"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11(100,0%)</w:t>
            </w:r>
          </w:p>
        </w:tc>
        <w:tc>
          <w:tcPr>
            <w:tcW w:w="961" w:type="dxa"/>
            <w:vMerge/>
          </w:tcPr>
          <w:p w14:paraId="6B8EE491"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p>
        </w:tc>
      </w:tr>
      <w:tr w:rsidR="007A2C38" w:rsidRPr="004135FE" w14:paraId="6FA86760" w14:textId="77777777" w:rsidTr="00743EA6">
        <w:trPr>
          <w:trHeight w:val="579"/>
        </w:trPr>
        <w:tc>
          <w:tcPr>
            <w:tcW w:w="4392" w:type="dxa"/>
          </w:tcPr>
          <w:p w14:paraId="293E1E52"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Неконтролируемые осложнения заболевании на амбулаторном уровне</w:t>
            </w:r>
          </w:p>
        </w:tc>
        <w:tc>
          <w:tcPr>
            <w:tcW w:w="1159" w:type="dxa"/>
          </w:tcPr>
          <w:p w14:paraId="4F1DFCAA"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0(0,0%)</w:t>
            </w:r>
          </w:p>
        </w:tc>
        <w:tc>
          <w:tcPr>
            <w:tcW w:w="1416" w:type="dxa"/>
          </w:tcPr>
          <w:p w14:paraId="4C72ED88"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11(100,0%)</w:t>
            </w:r>
          </w:p>
        </w:tc>
        <w:tc>
          <w:tcPr>
            <w:tcW w:w="1416" w:type="dxa"/>
          </w:tcPr>
          <w:p w14:paraId="700F6A32"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11(100,0%)</w:t>
            </w:r>
          </w:p>
        </w:tc>
        <w:tc>
          <w:tcPr>
            <w:tcW w:w="961" w:type="dxa"/>
            <w:vMerge/>
          </w:tcPr>
          <w:p w14:paraId="1A6A00AB"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p>
        </w:tc>
      </w:tr>
      <w:tr w:rsidR="007A2C38" w:rsidRPr="004135FE" w14:paraId="2C573993" w14:textId="77777777" w:rsidTr="00743EA6">
        <w:trPr>
          <w:trHeight w:val="579"/>
        </w:trPr>
        <w:tc>
          <w:tcPr>
            <w:tcW w:w="4392" w:type="dxa"/>
          </w:tcPr>
          <w:p w14:paraId="2A92C41D"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Нет приверженности пациента к рекомендациям </w:t>
            </w:r>
          </w:p>
        </w:tc>
        <w:tc>
          <w:tcPr>
            <w:tcW w:w="1159" w:type="dxa"/>
          </w:tcPr>
          <w:p w14:paraId="5B7A5849"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0(0,0%)</w:t>
            </w:r>
          </w:p>
        </w:tc>
        <w:tc>
          <w:tcPr>
            <w:tcW w:w="1416" w:type="dxa"/>
          </w:tcPr>
          <w:p w14:paraId="7F99DADB"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11(100,0%)</w:t>
            </w:r>
          </w:p>
        </w:tc>
        <w:tc>
          <w:tcPr>
            <w:tcW w:w="1416" w:type="dxa"/>
          </w:tcPr>
          <w:p w14:paraId="4C6E0ACE"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11(100,0%)</w:t>
            </w:r>
          </w:p>
        </w:tc>
        <w:tc>
          <w:tcPr>
            <w:tcW w:w="961" w:type="dxa"/>
            <w:vMerge/>
          </w:tcPr>
          <w:p w14:paraId="34A1556E"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p>
        </w:tc>
      </w:tr>
      <w:tr w:rsidR="007A2C38" w:rsidRPr="004135FE" w14:paraId="7B5EB7FA" w14:textId="77777777" w:rsidTr="00743EA6">
        <w:trPr>
          <w:trHeight w:val="269"/>
        </w:trPr>
        <w:tc>
          <w:tcPr>
            <w:tcW w:w="4392" w:type="dxa"/>
          </w:tcPr>
          <w:p w14:paraId="2948835C"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Итого</w:t>
            </w:r>
          </w:p>
        </w:tc>
        <w:tc>
          <w:tcPr>
            <w:tcW w:w="1159" w:type="dxa"/>
          </w:tcPr>
          <w:p w14:paraId="5DE43AC9"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2(5,7%)</w:t>
            </w:r>
          </w:p>
        </w:tc>
        <w:tc>
          <w:tcPr>
            <w:tcW w:w="1416" w:type="dxa"/>
          </w:tcPr>
          <w:p w14:paraId="17B00D1C"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33(94,3%)</w:t>
            </w:r>
          </w:p>
        </w:tc>
        <w:tc>
          <w:tcPr>
            <w:tcW w:w="1416" w:type="dxa"/>
          </w:tcPr>
          <w:p w14:paraId="57F3A7B6"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lang w:val="en-US"/>
              </w:rPr>
            </w:pPr>
            <w:r w:rsidRPr="004135FE">
              <w:rPr>
                <w:rFonts w:ascii="Times New Roman" w:hAnsi="Times New Roman" w:cs="Times New Roman"/>
                <w:sz w:val="28"/>
                <w:szCs w:val="28"/>
              </w:rPr>
              <w:t>35</w:t>
            </w:r>
            <w:r w:rsidRPr="004135FE">
              <w:rPr>
                <w:rFonts w:ascii="Times New Roman" w:hAnsi="Times New Roman" w:cs="Times New Roman"/>
                <w:sz w:val="28"/>
                <w:szCs w:val="28"/>
                <w:lang w:val="en-US"/>
              </w:rPr>
              <w:t>(</w:t>
            </w:r>
            <w:r w:rsidRPr="004135FE">
              <w:rPr>
                <w:rFonts w:ascii="Times New Roman" w:hAnsi="Times New Roman" w:cs="Times New Roman"/>
                <w:sz w:val="28"/>
                <w:szCs w:val="28"/>
              </w:rPr>
              <w:t>100,0%</w:t>
            </w:r>
            <w:r w:rsidRPr="004135FE">
              <w:rPr>
                <w:rFonts w:ascii="Times New Roman" w:hAnsi="Times New Roman" w:cs="Times New Roman"/>
                <w:sz w:val="28"/>
                <w:szCs w:val="28"/>
                <w:lang w:val="en-US"/>
              </w:rPr>
              <w:t>)</w:t>
            </w:r>
          </w:p>
        </w:tc>
        <w:tc>
          <w:tcPr>
            <w:tcW w:w="961" w:type="dxa"/>
            <w:vMerge/>
          </w:tcPr>
          <w:p w14:paraId="3975E854"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p>
        </w:tc>
      </w:tr>
    </w:tbl>
    <w:p w14:paraId="7BC4ED60" w14:textId="77777777" w:rsidR="007A2C38" w:rsidRPr="004135FE" w:rsidRDefault="007A2C38" w:rsidP="004135FE">
      <w:pPr>
        <w:widowControl w:val="0"/>
        <w:tabs>
          <w:tab w:val="center" w:pos="4118"/>
        </w:tabs>
        <w:autoSpaceDE w:val="0"/>
        <w:autoSpaceDN w:val="0"/>
        <w:adjustRightInd w:val="0"/>
        <w:spacing w:after="0" w:line="240" w:lineRule="auto"/>
        <w:jc w:val="both"/>
        <w:rPr>
          <w:rFonts w:ascii="Times New Roman" w:hAnsi="Times New Roman" w:cs="Times New Roman"/>
          <w:b/>
          <w:bCs/>
          <w:sz w:val="28"/>
          <w:szCs w:val="28"/>
        </w:rPr>
      </w:pPr>
    </w:p>
    <w:p w14:paraId="4CD369F2" w14:textId="77777777" w:rsidR="007A2C38" w:rsidRPr="004135FE" w:rsidRDefault="007A2C38"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При подаче заявки необходимых ЛС по приказу №666 для пациентов с СД 2 типа на амбулаторном уровне, у врачей эндокринологов возникают разного рода трудностей. </w:t>
      </w:r>
    </w:p>
    <w:p w14:paraId="65943C4F" w14:textId="77777777" w:rsidR="007A2C38" w:rsidRPr="004135FE" w:rsidRDefault="007A2C38" w:rsidP="004135FE">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По мнению 80,0% - врачей эндокринологов в возрасте 31-35 лет при подаче заявки необходимых ЛС основной проблемой является то, что при </w:t>
      </w:r>
      <w:r w:rsidRPr="004135FE">
        <w:rPr>
          <w:rFonts w:ascii="Times New Roman" w:hAnsi="Times New Roman" w:cs="Times New Roman"/>
          <w:sz w:val="28"/>
          <w:szCs w:val="28"/>
        </w:rPr>
        <w:lastRenderedPageBreak/>
        <w:t>оформлении учитывается прирост заболеваемости на 15%, но бухгалтерия и провизор урезают заявку более чем на 20%. 50,0% - эндокринологов в возрасте 26-30 лет считают, что это кропотливая работа с учетом потребности каждого пациента. 11,1% врачей в возрасте 56-60лет беспокоят политика ценообразования и качества препарата. (χ2=8,318, df=9, p=0,05).</w:t>
      </w:r>
    </w:p>
    <w:p w14:paraId="02DA82E9" w14:textId="77777777" w:rsidR="007A2C38" w:rsidRPr="004135FE" w:rsidRDefault="007A2C38" w:rsidP="004135FE">
      <w:pPr>
        <w:spacing w:after="0" w:line="240" w:lineRule="auto"/>
        <w:ind w:firstLine="709"/>
        <w:jc w:val="both"/>
        <w:rPr>
          <w:rFonts w:ascii="Times New Roman" w:hAnsi="Times New Roman" w:cs="Times New Roman"/>
          <w:sz w:val="28"/>
          <w:szCs w:val="28"/>
        </w:rPr>
      </w:pPr>
    </w:p>
    <w:p w14:paraId="13DCE0D1" w14:textId="77777777" w:rsidR="007A2C38" w:rsidRPr="004135FE" w:rsidRDefault="007A2C38" w:rsidP="006277DE">
      <w:pPr>
        <w:spacing w:after="0" w:line="240" w:lineRule="auto"/>
        <w:rPr>
          <w:rFonts w:ascii="Times New Roman" w:hAnsi="Times New Roman" w:cs="Times New Roman"/>
          <w:sz w:val="28"/>
          <w:szCs w:val="28"/>
        </w:rPr>
      </w:pPr>
      <w:r w:rsidRPr="004135FE">
        <w:rPr>
          <w:rFonts w:ascii="Times New Roman" w:hAnsi="Times New Roman" w:cs="Times New Roman"/>
          <w:noProof/>
          <w:sz w:val="28"/>
          <w:szCs w:val="28"/>
        </w:rPr>
        <w:drawing>
          <wp:inline distT="0" distB="0" distL="0" distR="0" wp14:anchorId="0BB87042" wp14:editId="71793EDE">
            <wp:extent cx="6153150" cy="3057525"/>
            <wp:effectExtent l="0" t="0" r="0" b="0"/>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04383B4" w14:textId="77777777" w:rsidR="00BB59D1" w:rsidRDefault="00BB59D1" w:rsidP="00BB59D1">
      <w:pPr>
        <w:spacing w:after="0" w:line="240" w:lineRule="auto"/>
        <w:jc w:val="center"/>
        <w:rPr>
          <w:rFonts w:ascii="Times New Roman" w:hAnsi="Times New Roman" w:cs="Times New Roman"/>
          <w:sz w:val="28"/>
          <w:szCs w:val="28"/>
        </w:rPr>
      </w:pPr>
    </w:p>
    <w:p w14:paraId="1BA95FF0" w14:textId="75B51DC2" w:rsidR="007A2C38" w:rsidRPr="004135FE" w:rsidRDefault="007A2C38" w:rsidP="00BB59D1">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23 - Влияние возраста врача эндокринолога на возникающие проблемы при подаче заявки необходимых ЛС по приказу №666 для пациентов с СД 2 типа на амбулаторном уровне</w:t>
      </w:r>
    </w:p>
    <w:p w14:paraId="4BD23288" w14:textId="77777777" w:rsidR="007A2C38" w:rsidRPr="004135FE" w:rsidRDefault="007A2C38" w:rsidP="004135FE">
      <w:pPr>
        <w:spacing w:after="0" w:line="240" w:lineRule="auto"/>
        <w:ind w:firstLine="708"/>
        <w:jc w:val="both"/>
        <w:rPr>
          <w:rFonts w:ascii="Times New Roman" w:hAnsi="Times New Roman" w:cs="Times New Roman"/>
          <w:sz w:val="28"/>
          <w:szCs w:val="28"/>
        </w:rPr>
      </w:pPr>
    </w:p>
    <w:p w14:paraId="59E97C06" w14:textId="77777777" w:rsidR="007A2C38" w:rsidRPr="004135FE" w:rsidRDefault="007A2C38" w:rsidP="004135FE">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Выявлено, что со стороны коллег в 75,0% случаях врачи терапевты допускают ошибки, которые определяются при составлении эндокринологом годового отчета по СД2т в программах НРСД, ЭРДБ, ИСЛО, КМИС, что в свою очередь снижает удовлетворенность рабочим процессом до 41-60%. (χ2=5,125, df=3, p=0,01). Среди коллег допускающих частых ошибок не были отмечены «Гинекологи», «Кардиологи», «Невропатологи».  Рекомендуется повышать взаимодействие между коллегами, для снижения ошибок в работе с электронным документооборотом. </w:t>
      </w:r>
    </w:p>
    <w:p w14:paraId="6D47CC3E" w14:textId="77777777" w:rsidR="007A2C38" w:rsidRPr="004135FE" w:rsidRDefault="007A2C38" w:rsidP="00BB59D1">
      <w:pPr>
        <w:spacing w:after="0" w:line="240" w:lineRule="auto"/>
        <w:jc w:val="center"/>
        <w:rPr>
          <w:rFonts w:ascii="Times New Roman" w:hAnsi="Times New Roman" w:cs="Times New Roman"/>
          <w:sz w:val="28"/>
          <w:szCs w:val="28"/>
        </w:rPr>
      </w:pPr>
      <w:r w:rsidRPr="004135FE">
        <w:rPr>
          <w:rFonts w:ascii="Times New Roman" w:hAnsi="Times New Roman" w:cs="Times New Roman"/>
          <w:noProof/>
          <w:sz w:val="28"/>
          <w:szCs w:val="28"/>
        </w:rPr>
        <w:lastRenderedPageBreak/>
        <w:drawing>
          <wp:inline distT="0" distB="0" distL="0" distR="0" wp14:anchorId="3ACCE3DB" wp14:editId="19924F9D">
            <wp:extent cx="6163310" cy="2667000"/>
            <wp:effectExtent l="0" t="0" r="8890" b="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9A9C159" w14:textId="77777777" w:rsidR="00BB59D1" w:rsidRDefault="00BB59D1" w:rsidP="004135FE">
      <w:pPr>
        <w:spacing w:after="0" w:line="240" w:lineRule="auto"/>
        <w:ind w:firstLine="709"/>
        <w:jc w:val="both"/>
        <w:rPr>
          <w:rFonts w:ascii="Times New Roman" w:hAnsi="Times New Roman" w:cs="Times New Roman"/>
          <w:sz w:val="28"/>
          <w:szCs w:val="28"/>
        </w:rPr>
      </w:pPr>
    </w:p>
    <w:p w14:paraId="76734D19" w14:textId="63E4E62E" w:rsidR="007A2C38" w:rsidRPr="004135FE" w:rsidRDefault="007A2C38" w:rsidP="00BB59D1">
      <w:pPr>
        <w:spacing w:after="0" w:line="240" w:lineRule="auto"/>
        <w:ind w:firstLine="709"/>
        <w:jc w:val="center"/>
        <w:rPr>
          <w:rFonts w:ascii="Times New Roman" w:hAnsi="Times New Roman" w:cs="Times New Roman"/>
          <w:sz w:val="28"/>
          <w:szCs w:val="28"/>
        </w:rPr>
      </w:pPr>
      <w:r w:rsidRPr="004135FE">
        <w:rPr>
          <w:rFonts w:ascii="Times New Roman" w:hAnsi="Times New Roman" w:cs="Times New Roman"/>
          <w:sz w:val="28"/>
          <w:szCs w:val="28"/>
        </w:rPr>
        <w:t>Рисунок 24</w:t>
      </w:r>
      <w:r w:rsidR="00BB59D1">
        <w:rPr>
          <w:rFonts w:ascii="Times New Roman" w:hAnsi="Times New Roman" w:cs="Times New Roman"/>
          <w:sz w:val="28"/>
          <w:szCs w:val="28"/>
          <w:lang w:val="kk-KZ"/>
        </w:rPr>
        <w:t xml:space="preserve"> </w:t>
      </w:r>
      <w:r w:rsidRPr="004135FE">
        <w:rPr>
          <w:rFonts w:ascii="Times New Roman" w:hAnsi="Times New Roman" w:cs="Times New Roman"/>
          <w:sz w:val="28"/>
          <w:szCs w:val="28"/>
        </w:rPr>
        <w:t>- Удовлетворенности процессом в кабинете эндокринолога в обычное время и кем допускаются ошибки со стороны коллег при составлении годовых отчетов по СД2т в программах НРСД, ЭРДБ, ИСЛО, КМИС</w:t>
      </w:r>
    </w:p>
    <w:p w14:paraId="4061AB8C" w14:textId="222E439F" w:rsidR="007A2C38" w:rsidRPr="004135FE" w:rsidRDefault="007A2C38" w:rsidP="00BB59D1">
      <w:pPr>
        <w:spacing w:after="0" w:line="240" w:lineRule="auto"/>
        <w:ind w:firstLine="709"/>
        <w:jc w:val="center"/>
        <w:rPr>
          <w:rFonts w:ascii="Times New Roman" w:hAnsi="Times New Roman" w:cs="Times New Roman"/>
          <w:sz w:val="28"/>
          <w:szCs w:val="28"/>
        </w:rPr>
      </w:pPr>
    </w:p>
    <w:p w14:paraId="7DFEF040"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При оказании медицинской услуги невыездным пациентам с СД2т во время карантина по </w:t>
      </w:r>
      <w:r w:rsidRPr="004135FE">
        <w:rPr>
          <w:rFonts w:ascii="Times New Roman" w:hAnsi="Times New Roman" w:cs="Times New Roman"/>
          <w:sz w:val="28"/>
          <w:szCs w:val="28"/>
          <w:lang w:val="en-US"/>
        </w:rPr>
        <w:t>COVID</w:t>
      </w:r>
      <w:r w:rsidRPr="004135FE">
        <w:rPr>
          <w:rFonts w:ascii="Times New Roman" w:hAnsi="Times New Roman" w:cs="Times New Roman"/>
          <w:sz w:val="28"/>
          <w:szCs w:val="28"/>
        </w:rPr>
        <w:t>-19, о</w:t>
      </w:r>
      <w:r w:rsidRPr="004135FE">
        <w:rPr>
          <w:rFonts w:ascii="Times New Roman" w:hAnsi="Times New Roman" w:cs="Times New Roman"/>
          <w:bCs/>
          <w:sz w:val="28"/>
          <w:szCs w:val="28"/>
        </w:rPr>
        <w:t>сновная рука помощи предоставлена врачам эндокринологам со стороны ВОП и их медсестер. Во многих городских поликлиниках во время карантина врачи эндокринологи работали целый день в одиночку и без медсестры, так как были приняты меры по оформлению нетрудового отпуска сотрудников. Выявлено,</w:t>
      </w:r>
      <w:r w:rsidRPr="004135FE">
        <w:rPr>
          <w:rFonts w:ascii="Times New Roman" w:hAnsi="Times New Roman" w:cs="Times New Roman"/>
          <w:sz w:val="28"/>
          <w:szCs w:val="28"/>
        </w:rPr>
        <w:t xml:space="preserve"> что 85,7% - социальных работников поддержали и помогали эндокринологам во время карантина по </w:t>
      </w:r>
      <w:r w:rsidRPr="004135FE">
        <w:rPr>
          <w:rFonts w:ascii="Times New Roman" w:hAnsi="Times New Roman" w:cs="Times New Roman"/>
          <w:sz w:val="28"/>
          <w:szCs w:val="28"/>
          <w:lang w:val="en-US"/>
        </w:rPr>
        <w:t>COVID</w:t>
      </w:r>
      <w:r w:rsidRPr="004135FE">
        <w:rPr>
          <w:rFonts w:ascii="Times New Roman" w:hAnsi="Times New Roman" w:cs="Times New Roman"/>
          <w:sz w:val="28"/>
          <w:szCs w:val="28"/>
        </w:rPr>
        <w:t>-19 для оказания помощи невыездным пациентам с СД2т, при этом удовлетворенность эндокринологов составило 41-60%. 25% врачей эндокринологов качество оказания помощи ВОП и их медсестер оценили на 61-70%. Оказание помощи со стороны медсестры кабинета эндокринолога в 50% случаях вызвали удовлетворенность врача всего на 20-40%. Необходимо дальше налаживать качественную командную работу между сотрудниками на уровне ПМСП. (χ2=489,000, df=42, p=0,0001).</w:t>
      </w:r>
    </w:p>
    <w:p w14:paraId="3853B1A6" w14:textId="616694F3" w:rsidR="007A2C38" w:rsidRPr="004135FE" w:rsidRDefault="00BB59D1" w:rsidP="00BB59D1">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A09BC72" wp14:editId="0286E8DE">
            <wp:extent cx="5600449" cy="2726690"/>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56">
                      <a:extLst>
                        <a:ext uri="{28A0092B-C50C-407E-A947-70E740481C1C}">
                          <a14:useLocalDpi xmlns:a14="http://schemas.microsoft.com/office/drawing/2010/main" val="0"/>
                        </a:ext>
                      </a:extLst>
                    </a:blip>
                    <a:stretch>
                      <a:fillRect/>
                    </a:stretch>
                  </pic:blipFill>
                  <pic:spPr>
                    <a:xfrm>
                      <a:off x="0" y="0"/>
                      <a:ext cx="5603388" cy="2728121"/>
                    </a:xfrm>
                    <a:prstGeom prst="rect">
                      <a:avLst/>
                    </a:prstGeom>
                    <a:ln>
                      <a:noFill/>
                    </a:ln>
                  </pic:spPr>
                </pic:pic>
              </a:graphicData>
            </a:graphic>
          </wp:inline>
        </w:drawing>
      </w:r>
    </w:p>
    <w:p w14:paraId="7DD30471" w14:textId="6644EC2D" w:rsidR="007A2C38" w:rsidRPr="004135FE" w:rsidRDefault="007A2C38" w:rsidP="00BB59D1">
      <w:pPr>
        <w:spacing w:after="0" w:line="240" w:lineRule="auto"/>
        <w:jc w:val="center"/>
        <w:rPr>
          <w:rFonts w:ascii="Times New Roman" w:hAnsi="Times New Roman" w:cs="Times New Roman"/>
          <w:sz w:val="28"/>
          <w:szCs w:val="28"/>
          <w:lang w:val="kk-KZ"/>
        </w:rPr>
      </w:pPr>
      <w:r w:rsidRPr="004135FE">
        <w:rPr>
          <w:rFonts w:ascii="Times New Roman" w:hAnsi="Times New Roman" w:cs="Times New Roman"/>
          <w:sz w:val="28"/>
          <w:szCs w:val="28"/>
        </w:rPr>
        <w:t>Рисунок 25- Влияние п</w:t>
      </w:r>
      <w:r w:rsidRPr="004135FE">
        <w:rPr>
          <w:rFonts w:ascii="Times New Roman" w:hAnsi="Times New Roman" w:cs="Times New Roman"/>
          <w:sz w:val="28"/>
          <w:szCs w:val="28"/>
          <w:lang w:val="kk-KZ"/>
        </w:rPr>
        <w:t xml:space="preserve">оддержки со стороны </w:t>
      </w:r>
      <w:r w:rsidRPr="004135FE">
        <w:rPr>
          <w:rFonts w:ascii="Times New Roman" w:hAnsi="Times New Roman" w:cs="Times New Roman"/>
          <w:sz w:val="28"/>
          <w:szCs w:val="28"/>
        </w:rPr>
        <w:t xml:space="preserve">коллег для оказания помощи невыездным пациентам с СД2т во время карантина по </w:t>
      </w:r>
      <w:r w:rsidRPr="004135FE">
        <w:rPr>
          <w:rFonts w:ascii="Times New Roman" w:hAnsi="Times New Roman" w:cs="Times New Roman"/>
          <w:sz w:val="28"/>
          <w:szCs w:val="28"/>
          <w:lang w:val="en-US"/>
        </w:rPr>
        <w:t>COVID</w:t>
      </w:r>
      <w:r w:rsidRPr="004135FE">
        <w:rPr>
          <w:rFonts w:ascii="Times New Roman" w:hAnsi="Times New Roman" w:cs="Times New Roman"/>
          <w:sz w:val="28"/>
          <w:szCs w:val="28"/>
        </w:rPr>
        <w:t>-19 на удовлетворенность эндокринологов процессом в кабинете</w:t>
      </w:r>
    </w:p>
    <w:p w14:paraId="235E6CC5" w14:textId="77777777" w:rsidR="007A2C38" w:rsidRPr="004135FE" w:rsidRDefault="007A2C38" w:rsidP="004135FE">
      <w:pPr>
        <w:tabs>
          <w:tab w:val="left" w:pos="284"/>
        </w:tabs>
        <w:spacing w:after="0" w:line="240" w:lineRule="auto"/>
        <w:jc w:val="both"/>
        <w:rPr>
          <w:rFonts w:ascii="Times New Roman" w:hAnsi="Times New Roman" w:cs="Times New Roman"/>
          <w:sz w:val="28"/>
          <w:szCs w:val="28"/>
        </w:rPr>
      </w:pPr>
    </w:p>
    <w:p w14:paraId="787F9602" w14:textId="12B830ED" w:rsidR="007A2C38" w:rsidRPr="004135FE" w:rsidRDefault="007A2C38" w:rsidP="00BB59D1">
      <w:pPr>
        <w:tabs>
          <w:tab w:val="left" w:pos="284"/>
        </w:tabs>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Статистический значимо, что врачи иногда думают о смене специальности на другую по причине, что большая часть времени уходит на оформление документации-100% и отсутствие солидарной ответственности за свое здоровье у пациентов, что выводит труд врача на нет- 40,0%. 66,7% - эндокринологов часто думают о смене профессии по причине того, что выполняют функциональные обязанности, не входящие в их компетенции. Низкая заработная плата являясь причиной не удовлетворенности в 45,0% случаев, врачи никогда не думали о смене специальности на другую. Напротив, в 40% случаях иногда и 15% часто посещали мысли о смене работы эндокринолога (χ2=339,157, df=8, p=0,0001). Среди опрошенных врачей никто не выбрал варианты «Не удовлетворяют протоколы и приказы по эндокринологической помощи пациентам с СД2т» и «Конфликты интересов с начальством касательно пациентов с СД2т»</w:t>
      </w:r>
      <w:r w:rsidR="00490AF6">
        <w:rPr>
          <w:rFonts w:ascii="Times New Roman" w:hAnsi="Times New Roman" w:cs="Times New Roman"/>
          <w:sz w:val="28"/>
          <w:szCs w:val="28"/>
        </w:rPr>
        <w:t>.</w:t>
      </w:r>
    </w:p>
    <w:p w14:paraId="1E8B918E" w14:textId="77777777" w:rsidR="007A2C38" w:rsidRPr="004135FE" w:rsidRDefault="007A2C38"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noProof/>
          <w:sz w:val="28"/>
          <w:szCs w:val="28"/>
        </w:rPr>
        <w:drawing>
          <wp:inline distT="0" distB="0" distL="0" distR="0" wp14:anchorId="15C61A0C" wp14:editId="16481493">
            <wp:extent cx="5972175" cy="2381250"/>
            <wp:effectExtent l="0" t="0" r="0" b="0"/>
            <wp:docPr id="69"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B5BB5C5" w14:textId="2DB30190" w:rsidR="007A2C38" w:rsidRPr="004135FE" w:rsidRDefault="007A2C38" w:rsidP="004248C6">
      <w:pPr>
        <w:tabs>
          <w:tab w:val="left" w:pos="284"/>
        </w:tabs>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26</w:t>
      </w:r>
      <w:r w:rsidR="00077E0F">
        <w:rPr>
          <w:rFonts w:ascii="Times New Roman" w:hAnsi="Times New Roman" w:cs="Times New Roman"/>
          <w:sz w:val="28"/>
          <w:szCs w:val="28"/>
        </w:rPr>
        <w:t xml:space="preserve"> </w:t>
      </w:r>
      <w:r w:rsidRPr="004135FE">
        <w:rPr>
          <w:rFonts w:ascii="Times New Roman" w:hAnsi="Times New Roman" w:cs="Times New Roman"/>
          <w:sz w:val="28"/>
          <w:szCs w:val="28"/>
        </w:rPr>
        <w:t>- Влияние причины неудовлетворенности на частоту мысли о смене специальности врача эндокринолога</w:t>
      </w:r>
    </w:p>
    <w:p w14:paraId="2B0438E4" w14:textId="474FB041" w:rsidR="007A2C38" w:rsidRPr="004135FE" w:rsidRDefault="007A2C38" w:rsidP="004248C6">
      <w:pPr>
        <w:widowControl w:val="0"/>
        <w:tabs>
          <w:tab w:val="left" w:pos="571"/>
          <w:tab w:val="center" w:pos="3427"/>
        </w:tabs>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
          <w:bCs/>
          <w:sz w:val="28"/>
          <w:szCs w:val="28"/>
        </w:rPr>
        <w:lastRenderedPageBreak/>
        <w:tab/>
      </w:r>
      <w:r w:rsidRPr="004135FE">
        <w:rPr>
          <w:rFonts w:ascii="Times New Roman" w:hAnsi="Times New Roman" w:cs="Times New Roman"/>
          <w:sz w:val="28"/>
          <w:szCs w:val="28"/>
        </w:rPr>
        <w:t>Для врачей эндокринологов со стажем работы свыше 30 лет практический 100,0% - наиболее частым источником информации о СД2т являются алгоритмы, протоколы и приказы</w:t>
      </w:r>
      <w:r w:rsidR="00077E0F">
        <w:rPr>
          <w:rFonts w:ascii="Times New Roman" w:hAnsi="Times New Roman" w:cs="Times New Roman"/>
          <w:sz w:val="28"/>
          <w:szCs w:val="28"/>
        </w:rPr>
        <w:t>.</w:t>
      </w:r>
    </w:p>
    <w:p w14:paraId="5C07522D" w14:textId="77777777" w:rsidR="007A2C38" w:rsidRPr="004135FE" w:rsidRDefault="007A2C38" w:rsidP="004248C6">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Отсутствия приверженности пациента к рекомендациям и неконтролируемые осложнения заболевании на амбулаторном уровне провоцируют чувство неполноценно проведенной консультации у врачей</w:t>
      </w:r>
    </w:p>
    <w:p w14:paraId="1FE86FE7" w14:textId="77777777" w:rsidR="007A2C38" w:rsidRPr="004135FE" w:rsidRDefault="007A2C38" w:rsidP="004248C6">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Оформление заявки необходимых ЛС по приказу №666 для пациентов с СД 2 типа на амбулаторном уровне, у врачей эндокринологов требует неоплачиваемого дополнительного кропотливого труда и времени после работы, затрудняющие политикой ценообразования и качества препарата с коррекцией бухгалтерии. Учитывая маркетинговый ход фармацевтических представителей, что может помешать на рациональном назначении фармакотерапии, периодический необходимо повышение медицинской грамотности по доказательной медицине и ЛС, особенно молодых специалистов, на которых держится количество медицинского персонала ПМСП. Так же, дополнительные функции медицинского персонала, необходимо стимулировать в виде вознаграждения, для повышения результатов ресурсов труда. </w:t>
      </w:r>
    </w:p>
    <w:p w14:paraId="3319A572" w14:textId="77777777" w:rsidR="007A2C38" w:rsidRPr="004135FE" w:rsidRDefault="007A2C38" w:rsidP="004248C6">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Участковые терапевты и ВОП часто допускают ошибки, которые определяются при составлении годовых отчетов по СД2т в программах НРСД, ЭРДБ, ИСЛО, КМИС, что в свою очередь влияет на неудовлетворенность процессом в кабинете эндокринолога. Удовлетворенность процессом в кабинете эндокринолога из расчета 100% на 81-90% составила у 34,3% врачей в обычное время и во время карантина по </w:t>
      </w:r>
      <w:r w:rsidRPr="004135FE">
        <w:rPr>
          <w:rFonts w:ascii="Times New Roman" w:hAnsi="Times New Roman" w:cs="Times New Roman"/>
          <w:sz w:val="28"/>
          <w:szCs w:val="28"/>
          <w:lang w:val="en-US"/>
        </w:rPr>
        <w:t>COVID</w:t>
      </w:r>
      <w:r w:rsidRPr="004135FE">
        <w:rPr>
          <w:rFonts w:ascii="Times New Roman" w:hAnsi="Times New Roman" w:cs="Times New Roman"/>
          <w:sz w:val="28"/>
          <w:szCs w:val="28"/>
        </w:rPr>
        <w:t>-19 снизилась на 41-60%.</w:t>
      </w:r>
    </w:p>
    <w:p w14:paraId="245DD50A" w14:textId="77777777" w:rsidR="007A2C38" w:rsidRDefault="007A2C38" w:rsidP="004248C6">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Периодические мысли о смене специальности у эндокринологов вызваны не довольствием низкой заработной платы, траты времени на оформление документации, действия, не входящие в функциональные обязанности, отсутствием солидарной ответственности за свое здоровье у пациентов, что выводит труд врача на нет. С целью предотвращения профессионального выгорания медицинского персонала, что в свою очередь влияет на качество обслуживания населения, необходимо организовывать тренинги или консультации для врачей и СМР с участием психологов.</w:t>
      </w:r>
    </w:p>
    <w:p w14:paraId="49FD0918" w14:textId="77777777" w:rsidR="0065696E" w:rsidRDefault="0065696E" w:rsidP="0065696E">
      <w:pPr>
        <w:tabs>
          <w:tab w:val="left" w:pos="5535"/>
        </w:tabs>
        <w:spacing w:after="0" w:line="240" w:lineRule="auto"/>
        <w:rPr>
          <w:rFonts w:ascii="Times New Roman" w:hAnsi="Times New Roman" w:cs="Times New Roman"/>
          <w:sz w:val="28"/>
          <w:szCs w:val="28"/>
        </w:rPr>
      </w:pPr>
    </w:p>
    <w:p w14:paraId="257080F4" w14:textId="547C9215" w:rsidR="007A2C38" w:rsidRPr="004135FE" w:rsidRDefault="007A2C38" w:rsidP="0065696E">
      <w:pPr>
        <w:tabs>
          <w:tab w:val="left" w:pos="5535"/>
        </w:tabs>
        <w:spacing w:after="0" w:line="240" w:lineRule="auto"/>
        <w:ind w:firstLine="709"/>
        <w:jc w:val="both"/>
        <w:rPr>
          <w:rFonts w:ascii="Times New Roman" w:hAnsi="Times New Roman" w:cs="Times New Roman"/>
          <w:b/>
          <w:i/>
          <w:sz w:val="28"/>
          <w:szCs w:val="28"/>
        </w:rPr>
      </w:pPr>
      <w:r w:rsidRPr="004135FE">
        <w:rPr>
          <w:rFonts w:ascii="Times New Roman" w:hAnsi="Times New Roman" w:cs="Times New Roman"/>
          <w:b/>
          <w:caps/>
          <w:sz w:val="28"/>
          <w:szCs w:val="28"/>
        </w:rPr>
        <w:t>4.2</w:t>
      </w:r>
      <w:r w:rsidR="00F231B0" w:rsidRPr="004135FE">
        <w:rPr>
          <w:rFonts w:ascii="Times New Roman" w:hAnsi="Times New Roman" w:cs="Times New Roman"/>
          <w:b/>
          <w:caps/>
          <w:sz w:val="28"/>
          <w:szCs w:val="28"/>
        </w:rPr>
        <w:t xml:space="preserve"> </w:t>
      </w:r>
      <w:r w:rsidR="004248C6">
        <w:rPr>
          <w:rFonts w:ascii="Times New Roman" w:hAnsi="Times New Roman" w:cs="Times New Roman"/>
          <w:b/>
          <w:sz w:val="28"/>
          <w:szCs w:val="28"/>
          <w:lang w:val="kk-KZ"/>
        </w:rPr>
        <w:t>Р</w:t>
      </w:r>
      <w:r w:rsidR="004248C6" w:rsidRPr="004135FE">
        <w:rPr>
          <w:rFonts w:ascii="Times New Roman" w:hAnsi="Times New Roman" w:cs="Times New Roman"/>
          <w:b/>
          <w:sz w:val="28"/>
          <w:szCs w:val="28"/>
        </w:rPr>
        <w:t>езультаты социологического исследования респондентов, с сахарным диабетом 2 типа</w:t>
      </w:r>
    </w:p>
    <w:p w14:paraId="680FE203" w14:textId="602A9EA7" w:rsidR="007A2C38" w:rsidRPr="004135FE" w:rsidRDefault="007A2C38" w:rsidP="0065696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Согласно проведенному анализу результатов социологического исследования среди респондентов составлена модель профилактических мер по СД2т через влияни</w:t>
      </w:r>
      <w:r w:rsidR="0012208E" w:rsidRPr="004135FE">
        <w:rPr>
          <w:rFonts w:ascii="Times New Roman" w:hAnsi="Times New Roman" w:cs="Times New Roman"/>
          <w:sz w:val="28"/>
          <w:szCs w:val="28"/>
        </w:rPr>
        <w:t>е</w:t>
      </w:r>
      <w:r w:rsidRPr="004135FE">
        <w:rPr>
          <w:rFonts w:ascii="Times New Roman" w:hAnsi="Times New Roman" w:cs="Times New Roman"/>
          <w:sz w:val="28"/>
          <w:szCs w:val="28"/>
        </w:rPr>
        <w:t xml:space="preserve"> на факторы риска, по которому выстроена структура описания полученных результатов исследования. </w:t>
      </w:r>
      <w:r w:rsidRPr="004135FE">
        <w:rPr>
          <w:rFonts w:ascii="Times New Roman" w:eastAsia="Times New Roman" w:hAnsi="Times New Roman" w:cs="Times New Roman"/>
          <w:sz w:val="28"/>
          <w:szCs w:val="28"/>
        </w:rPr>
        <w:t xml:space="preserve"> </w:t>
      </w:r>
    </w:p>
    <w:p w14:paraId="445E70F8" w14:textId="77777777" w:rsidR="007A2C38" w:rsidRPr="004135FE" w:rsidRDefault="007A2C38" w:rsidP="004135FE">
      <w:pPr>
        <w:spacing w:after="0" w:line="240" w:lineRule="auto"/>
        <w:rPr>
          <w:rFonts w:ascii="Times New Roman" w:eastAsiaTheme="minorHAnsi" w:hAnsi="Times New Roman" w:cs="Times New Roman"/>
          <w:sz w:val="28"/>
          <w:szCs w:val="28"/>
          <w:lang w:eastAsia="en-US"/>
        </w:rPr>
      </w:pPr>
    </w:p>
    <w:p w14:paraId="7620B8CD" w14:textId="58E53914" w:rsidR="007A2C38" w:rsidRPr="004135FE" w:rsidRDefault="004248C6" w:rsidP="00490AF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C65C1A6" wp14:editId="0078F600">
            <wp:extent cx="5939790" cy="3230245"/>
            <wp:effectExtent l="0" t="0" r="381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58">
                      <a:extLst>
                        <a:ext uri="{28A0092B-C50C-407E-A947-70E740481C1C}">
                          <a14:useLocalDpi xmlns:a14="http://schemas.microsoft.com/office/drawing/2010/main" val="0"/>
                        </a:ext>
                      </a:extLst>
                    </a:blip>
                    <a:stretch>
                      <a:fillRect/>
                    </a:stretch>
                  </pic:blipFill>
                  <pic:spPr>
                    <a:xfrm>
                      <a:off x="0" y="0"/>
                      <a:ext cx="5939790" cy="3230245"/>
                    </a:xfrm>
                    <a:prstGeom prst="rect">
                      <a:avLst/>
                    </a:prstGeom>
                  </pic:spPr>
                </pic:pic>
              </a:graphicData>
            </a:graphic>
          </wp:inline>
        </w:drawing>
      </w:r>
    </w:p>
    <w:p w14:paraId="50225E7F" w14:textId="77777777" w:rsidR="004248C6" w:rsidRDefault="004248C6" w:rsidP="004135FE">
      <w:pPr>
        <w:spacing w:after="0" w:line="240" w:lineRule="auto"/>
        <w:ind w:firstLine="708"/>
        <w:jc w:val="both"/>
        <w:rPr>
          <w:rFonts w:ascii="Times New Roman" w:hAnsi="Times New Roman" w:cs="Times New Roman"/>
          <w:bCs/>
          <w:sz w:val="28"/>
          <w:szCs w:val="28"/>
        </w:rPr>
      </w:pPr>
    </w:p>
    <w:p w14:paraId="605E8117" w14:textId="6AB580FD" w:rsidR="007A2C38" w:rsidRPr="004135FE" w:rsidRDefault="00B6197B" w:rsidP="00490AF6">
      <w:pPr>
        <w:spacing w:after="0" w:line="240" w:lineRule="auto"/>
        <w:jc w:val="center"/>
        <w:rPr>
          <w:rFonts w:ascii="Times New Roman" w:hAnsi="Times New Roman" w:cs="Times New Roman"/>
          <w:sz w:val="28"/>
          <w:szCs w:val="28"/>
        </w:rPr>
      </w:pPr>
      <w:r w:rsidRPr="004135FE">
        <w:rPr>
          <w:rFonts w:ascii="Times New Roman" w:hAnsi="Times New Roman" w:cs="Times New Roman"/>
          <w:bCs/>
          <w:sz w:val="28"/>
          <w:szCs w:val="28"/>
        </w:rPr>
        <w:t>Рисунок 27</w:t>
      </w:r>
      <w:r w:rsidR="007A2C38" w:rsidRPr="004135FE">
        <w:rPr>
          <w:rFonts w:ascii="Times New Roman" w:hAnsi="Times New Roman" w:cs="Times New Roman"/>
          <w:bCs/>
          <w:sz w:val="28"/>
          <w:szCs w:val="28"/>
        </w:rPr>
        <w:t xml:space="preserve"> -</w:t>
      </w:r>
      <w:r w:rsidR="007A2C38" w:rsidRPr="004135FE">
        <w:rPr>
          <w:rFonts w:ascii="Times New Roman" w:hAnsi="Times New Roman" w:cs="Times New Roman"/>
          <w:sz w:val="28"/>
          <w:szCs w:val="28"/>
        </w:rPr>
        <w:t xml:space="preserve"> модель профилактических мер по СД2т </w:t>
      </w:r>
      <w:r w:rsidR="00FE1432" w:rsidRPr="004135FE">
        <w:rPr>
          <w:rFonts w:ascii="Times New Roman" w:hAnsi="Times New Roman" w:cs="Times New Roman"/>
          <w:sz w:val="28"/>
          <w:szCs w:val="28"/>
        </w:rPr>
        <w:t>на разных уровнях</w:t>
      </w:r>
    </w:p>
    <w:p w14:paraId="248B297F" w14:textId="77777777" w:rsidR="007A2C38" w:rsidRPr="004135FE" w:rsidRDefault="007A2C38" w:rsidP="004135FE">
      <w:pPr>
        <w:spacing w:after="0" w:line="240" w:lineRule="auto"/>
        <w:ind w:firstLine="708"/>
        <w:jc w:val="both"/>
        <w:rPr>
          <w:rFonts w:ascii="Times New Roman" w:hAnsi="Times New Roman" w:cs="Times New Roman"/>
          <w:sz w:val="28"/>
          <w:szCs w:val="28"/>
        </w:rPr>
      </w:pPr>
    </w:p>
    <w:p w14:paraId="1CFC9168" w14:textId="3B4346A7" w:rsidR="00FE1432" w:rsidRPr="00D52DDD" w:rsidRDefault="007A2C38" w:rsidP="004135FE">
      <w:pPr>
        <w:spacing w:after="0" w:line="240" w:lineRule="auto"/>
        <w:ind w:firstLine="708"/>
        <w:jc w:val="both"/>
        <w:rPr>
          <w:rFonts w:ascii="Times New Roman" w:eastAsia="Times New Roman" w:hAnsi="Times New Roman" w:cs="Times New Roman"/>
          <w:sz w:val="28"/>
          <w:szCs w:val="28"/>
        </w:rPr>
      </w:pPr>
      <w:r w:rsidRPr="00D52DDD">
        <w:rPr>
          <w:rFonts w:ascii="Times New Roman" w:eastAsia="Times New Roman" w:hAnsi="Times New Roman" w:cs="Times New Roman"/>
          <w:sz w:val="28"/>
          <w:szCs w:val="28"/>
        </w:rPr>
        <w:t>4.2.1</w:t>
      </w:r>
      <w:r w:rsidR="00FE1432" w:rsidRPr="00D52DDD">
        <w:rPr>
          <w:rFonts w:ascii="Times New Roman" w:eastAsia="Times New Roman" w:hAnsi="Times New Roman" w:cs="Times New Roman"/>
          <w:sz w:val="28"/>
          <w:szCs w:val="28"/>
        </w:rPr>
        <w:t xml:space="preserve"> Факторы риска развития сахарного диабета </w:t>
      </w:r>
      <w:r w:rsidR="008F76E3" w:rsidRPr="00D52DDD">
        <w:rPr>
          <w:rFonts w:ascii="Times New Roman" w:eastAsia="Times New Roman" w:hAnsi="Times New Roman" w:cs="Times New Roman"/>
          <w:sz w:val="28"/>
          <w:szCs w:val="28"/>
        </w:rPr>
        <w:t xml:space="preserve">2 </w:t>
      </w:r>
      <w:r w:rsidR="00FE1432" w:rsidRPr="00D52DDD">
        <w:rPr>
          <w:rFonts w:ascii="Times New Roman" w:eastAsia="Times New Roman" w:hAnsi="Times New Roman" w:cs="Times New Roman"/>
          <w:sz w:val="28"/>
          <w:szCs w:val="28"/>
        </w:rPr>
        <w:t>типа</w:t>
      </w:r>
    </w:p>
    <w:p w14:paraId="31F470D6" w14:textId="3ED410D2" w:rsidR="007A2C38" w:rsidRPr="004135FE" w:rsidRDefault="007A2C38" w:rsidP="004135FE">
      <w:pPr>
        <w:shd w:val="clear" w:color="auto" w:fill="FFFFFF"/>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bCs/>
          <w:sz w:val="28"/>
          <w:szCs w:val="28"/>
        </w:rPr>
        <w:t>Опираясь на многочисленные исследования, международные и национальные стандарты принятые ВОЗ, Консенсус экспертов Американской ассоциации клинических эндокринологов и Американского колледжа эндокринологов (</w:t>
      </w:r>
      <w:r w:rsidRPr="004135FE">
        <w:rPr>
          <w:rFonts w:ascii="Times New Roman" w:eastAsia="Times New Roman" w:hAnsi="Times New Roman" w:cs="Times New Roman"/>
          <w:bCs/>
          <w:sz w:val="28"/>
          <w:szCs w:val="28"/>
          <w:lang w:val="en-US"/>
        </w:rPr>
        <w:t>AACE</w:t>
      </w:r>
      <w:r w:rsidRPr="004135FE">
        <w:rPr>
          <w:rFonts w:ascii="Times New Roman" w:eastAsia="Times New Roman" w:hAnsi="Times New Roman" w:cs="Times New Roman"/>
          <w:bCs/>
          <w:sz w:val="28"/>
          <w:szCs w:val="28"/>
        </w:rPr>
        <w:t>/</w:t>
      </w:r>
      <w:r w:rsidRPr="004135FE">
        <w:rPr>
          <w:rFonts w:ascii="Times New Roman" w:eastAsia="Times New Roman" w:hAnsi="Times New Roman" w:cs="Times New Roman"/>
          <w:bCs/>
          <w:sz w:val="28"/>
          <w:szCs w:val="28"/>
          <w:lang w:val="en-US"/>
        </w:rPr>
        <w:t>ACE</w:t>
      </w:r>
      <w:r w:rsidRPr="004135FE">
        <w:rPr>
          <w:rFonts w:ascii="Times New Roman" w:eastAsia="Times New Roman" w:hAnsi="Times New Roman" w:cs="Times New Roman"/>
          <w:bCs/>
          <w:sz w:val="28"/>
          <w:szCs w:val="28"/>
        </w:rPr>
        <w:t>), рекомендации Американской диабетической ассоциации (</w:t>
      </w:r>
      <w:r w:rsidRPr="004135FE">
        <w:rPr>
          <w:rFonts w:ascii="Times New Roman" w:eastAsia="Times New Roman" w:hAnsi="Times New Roman" w:cs="Times New Roman"/>
          <w:bCs/>
          <w:sz w:val="28"/>
          <w:szCs w:val="28"/>
          <w:lang w:val="en-US"/>
        </w:rPr>
        <w:t>ADA</w:t>
      </w:r>
      <w:r w:rsidRPr="004135FE">
        <w:rPr>
          <w:rFonts w:ascii="Times New Roman" w:eastAsia="Times New Roman" w:hAnsi="Times New Roman" w:cs="Times New Roman"/>
          <w:bCs/>
          <w:sz w:val="28"/>
          <w:szCs w:val="28"/>
        </w:rPr>
        <w:t>), Международной диабетической федерации (</w:t>
      </w:r>
      <w:r w:rsidRPr="004135FE">
        <w:rPr>
          <w:rFonts w:ascii="Times New Roman" w:eastAsia="Times New Roman" w:hAnsi="Times New Roman" w:cs="Times New Roman"/>
          <w:bCs/>
          <w:sz w:val="28"/>
          <w:szCs w:val="28"/>
          <w:lang w:val="en-US"/>
        </w:rPr>
        <w:t>IDF</w:t>
      </w:r>
      <w:r w:rsidRPr="004135FE">
        <w:rPr>
          <w:rFonts w:ascii="Times New Roman" w:eastAsia="Times New Roman" w:hAnsi="Times New Roman" w:cs="Times New Roman"/>
          <w:bCs/>
          <w:sz w:val="28"/>
          <w:szCs w:val="28"/>
        </w:rPr>
        <w:t>), Российской ассоциации эндокринологов</w:t>
      </w:r>
      <w:r w:rsidRPr="004135FE">
        <w:rPr>
          <w:rFonts w:ascii="Times New Roman" w:eastAsia="Times New Roman" w:hAnsi="Times New Roman" w:cs="Times New Roman"/>
          <w:bCs/>
          <w:sz w:val="28"/>
          <w:szCs w:val="28"/>
          <w:lang w:val="kk-KZ"/>
        </w:rPr>
        <w:t xml:space="preserve"> </w:t>
      </w:r>
      <w:r w:rsidRPr="004135FE">
        <w:rPr>
          <w:rFonts w:ascii="Times New Roman" w:eastAsia="Times New Roman" w:hAnsi="Times New Roman" w:cs="Times New Roman"/>
          <w:bCs/>
          <w:sz w:val="28"/>
          <w:szCs w:val="28"/>
        </w:rPr>
        <w:t>(РАЭ), Диабетической ассоциации Республики Казахстан (ДФРК), т</w:t>
      </w:r>
      <w:r w:rsidRPr="004135FE">
        <w:rPr>
          <w:rFonts w:ascii="Times New Roman" w:hAnsi="Times New Roman" w:cs="Times New Roman"/>
          <w:sz w:val="28"/>
          <w:szCs w:val="28"/>
        </w:rPr>
        <w:t>радиционно факторы риска, стимулирующие развитие СД2т делят на немодифицируемые (которых невозможно изменить) и модифицируемые (на которые можно повлиять).</w:t>
      </w:r>
    </w:p>
    <w:p w14:paraId="61605DED" w14:textId="77777777" w:rsidR="007A2C38" w:rsidRPr="00D52DDD" w:rsidRDefault="007A2C38" w:rsidP="004135FE">
      <w:pPr>
        <w:spacing w:after="0" w:line="240" w:lineRule="auto"/>
        <w:ind w:firstLine="708"/>
        <w:jc w:val="both"/>
        <w:rPr>
          <w:rFonts w:ascii="Times New Roman" w:hAnsi="Times New Roman" w:cs="Times New Roman"/>
          <w:bCs/>
          <w:sz w:val="28"/>
          <w:szCs w:val="28"/>
        </w:rPr>
      </w:pPr>
      <w:r w:rsidRPr="00D52DDD">
        <w:rPr>
          <w:rFonts w:ascii="Times New Roman" w:hAnsi="Times New Roman" w:cs="Times New Roman"/>
          <w:bCs/>
          <w:sz w:val="28"/>
          <w:szCs w:val="28"/>
        </w:rPr>
        <w:t>Немодифицируемые ф</w:t>
      </w:r>
      <w:r w:rsidRPr="00D52DDD">
        <w:rPr>
          <w:rFonts w:ascii="Times New Roman" w:eastAsia="Times New Roman" w:hAnsi="Times New Roman" w:cs="Times New Roman"/>
          <w:bCs/>
          <w:sz w:val="28"/>
          <w:szCs w:val="28"/>
        </w:rPr>
        <w:t>акторы риска развития СД2т.</w:t>
      </w:r>
    </w:p>
    <w:p w14:paraId="49002CA2"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i/>
          <w:sz w:val="28"/>
          <w:szCs w:val="28"/>
        </w:rPr>
        <w:t>Генетическая предрасположенность/ семейный анамнез</w:t>
      </w:r>
      <w:r w:rsidRPr="004135FE">
        <w:rPr>
          <w:rFonts w:ascii="Times New Roman" w:hAnsi="Times New Roman" w:cs="Times New Roman"/>
          <w:sz w:val="28"/>
          <w:szCs w:val="28"/>
        </w:rPr>
        <w:t>. По данным метаанализов, если у ребенка оба родителя болеют СД2, то вероятность развития заболевания у него составляет от 60 до 100%. Если один из родителей, то риск развития болезни уменьшается до 30-80%. Как показал анализ результатов нашего исследования семейный анамнез респондентов, в</w:t>
      </w:r>
      <w:r w:rsidRPr="004135FE">
        <w:rPr>
          <w:rFonts w:ascii="Times New Roman" w:hAnsi="Times New Roman" w:cs="Times New Roman"/>
          <w:bCs/>
          <w:sz w:val="28"/>
          <w:szCs w:val="28"/>
        </w:rPr>
        <w:t xml:space="preserve"> 38,8% случаях </w:t>
      </w:r>
      <w:r w:rsidRPr="004135FE">
        <w:rPr>
          <w:rFonts w:ascii="Times New Roman" w:hAnsi="Times New Roman" w:cs="Times New Roman"/>
          <w:sz w:val="28"/>
          <w:szCs w:val="28"/>
        </w:rPr>
        <w:t>у кровных родственников первой линий имеются СД2т. В 50,2% случаях семейный анамнез не отягощен.</w:t>
      </w:r>
    </w:p>
    <w:p w14:paraId="26BD0D08" w14:textId="77777777" w:rsidR="007A2C38" w:rsidRPr="004135FE" w:rsidRDefault="007A2C38" w:rsidP="004135FE">
      <w:pPr>
        <w:widowControl w:val="0"/>
        <w:tabs>
          <w:tab w:val="center" w:pos="4132"/>
        </w:tabs>
        <w:autoSpaceDE w:val="0"/>
        <w:autoSpaceDN w:val="0"/>
        <w:adjustRightInd w:val="0"/>
        <w:spacing w:after="0" w:line="240" w:lineRule="auto"/>
        <w:jc w:val="both"/>
        <w:rPr>
          <w:rFonts w:ascii="Times New Roman" w:hAnsi="Times New Roman" w:cs="Times New Roman"/>
          <w:b/>
          <w:bCs/>
          <w:sz w:val="28"/>
          <w:szCs w:val="28"/>
        </w:rPr>
      </w:pPr>
    </w:p>
    <w:p w14:paraId="3DA9BF01" w14:textId="77777777" w:rsidR="007A2C38" w:rsidRPr="004135FE" w:rsidRDefault="007A2C38" w:rsidP="00490AF6">
      <w:pPr>
        <w:widowControl w:val="0"/>
        <w:tabs>
          <w:tab w:val="center" w:pos="4132"/>
        </w:tabs>
        <w:autoSpaceDE w:val="0"/>
        <w:autoSpaceDN w:val="0"/>
        <w:adjustRightInd w:val="0"/>
        <w:spacing w:after="0" w:line="240" w:lineRule="auto"/>
        <w:ind w:firstLine="709"/>
        <w:jc w:val="center"/>
        <w:rPr>
          <w:rFonts w:ascii="Times New Roman" w:hAnsi="Times New Roman" w:cs="Times New Roman"/>
          <w:b/>
          <w:bCs/>
          <w:sz w:val="28"/>
          <w:szCs w:val="28"/>
        </w:rPr>
      </w:pPr>
      <w:r w:rsidRPr="004135FE">
        <w:rPr>
          <w:rFonts w:ascii="Times New Roman" w:hAnsi="Times New Roman" w:cs="Times New Roman"/>
          <w:noProof/>
          <w:sz w:val="28"/>
          <w:szCs w:val="28"/>
        </w:rPr>
        <w:lastRenderedPageBreak/>
        <w:drawing>
          <wp:inline distT="0" distB="0" distL="0" distR="0" wp14:anchorId="0671C2F8" wp14:editId="1DAAA75E">
            <wp:extent cx="5063706" cy="2743200"/>
            <wp:effectExtent l="0" t="0" r="3810"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1C4268E" w14:textId="77777777" w:rsidR="00D52DDD" w:rsidRDefault="00D52DDD" w:rsidP="00D52DDD">
      <w:pPr>
        <w:widowControl w:val="0"/>
        <w:tabs>
          <w:tab w:val="center" w:pos="4132"/>
        </w:tabs>
        <w:autoSpaceDE w:val="0"/>
        <w:autoSpaceDN w:val="0"/>
        <w:adjustRightInd w:val="0"/>
        <w:spacing w:after="0" w:line="240" w:lineRule="auto"/>
        <w:jc w:val="center"/>
        <w:rPr>
          <w:rFonts w:ascii="Times New Roman" w:hAnsi="Times New Roman" w:cs="Times New Roman"/>
          <w:sz w:val="28"/>
          <w:szCs w:val="28"/>
        </w:rPr>
      </w:pPr>
    </w:p>
    <w:p w14:paraId="34114DB3" w14:textId="3ED663EC" w:rsidR="007A2C38" w:rsidRPr="004135FE" w:rsidRDefault="00B6197B" w:rsidP="00D52DDD">
      <w:pPr>
        <w:widowControl w:val="0"/>
        <w:tabs>
          <w:tab w:val="center" w:pos="4132"/>
        </w:tabs>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28</w:t>
      </w:r>
      <w:r w:rsidR="007A2C38" w:rsidRPr="004135FE">
        <w:rPr>
          <w:rFonts w:ascii="Times New Roman" w:hAnsi="Times New Roman" w:cs="Times New Roman"/>
          <w:sz w:val="28"/>
          <w:szCs w:val="28"/>
        </w:rPr>
        <w:t xml:space="preserve"> - Состояния здоровья кровных родственников пациентов с СД 2т</w:t>
      </w:r>
    </w:p>
    <w:p w14:paraId="16DE98AF" w14:textId="77777777" w:rsidR="007A2C38" w:rsidRPr="004135FE" w:rsidRDefault="007A2C38" w:rsidP="004135FE">
      <w:pPr>
        <w:spacing w:after="0" w:line="240" w:lineRule="auto"/>
        <w:jc w:val="both"/>
        <w:rPr>
          <w:rFonts w:ascii="Times New Roman" w:hAnsi="Times New Roman" w:cs="Times New Roman"/>
          <w:sz w:val="28"/>
          <w:szCs w:val="28"/>
        </w:rPr>
      </w:pPr>
    </w:p>
    <w:p w14:paraId="74941E14"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 </w:t>
      </w:r>
      <w:r w:rsidRPr="004135FE">
        <w:rPr>
          <w:rFonts w:ascii="Times New Roman" w:hAnsi="Times New Roman" w:cs="Times New Roman"/>
          <w:i/>
          <w:sz w:val="28"/>
          <w:szCs w:val="28"/>
        </w:rPr>
        <w:t>Нарушения в период внутриутробного развития</w:t>
      </w:r>
      <w:r w:rsidRPr="004135FE">
        <w:rPr>
          <w:rFonts w:ascii="Times New Roman" w:hAnsi="Times New Roman" w:cs="Times New Roman"/>
          <w:sz w:val="28"/>
          <w:szCs w:val="28"/>
        </w:rPr>
        <w:t>. Относительный риск развития СД2т во взрослой жизни повышен у лиц с массой тела при рождении 4000г и более. Так же низкая масса тела при рождении менее 2500г во взрослой жизни имеют сниженную функцию ß-клеток, инсулинорезистентность и повышенную заболеваемость СД. Кроме того, преждевременно рожденные независимо от массы тела тоже могут иметь повышенный риск развития СД2т во взрослой жизни. Данный фактор риска не рассматривалась как фактор риска при исследовании, так как вопросы массы тела и доношенность при рождении большинство участники могут указать только приблизительно. Данный вопрос актуален для следующего поколения, у которых все медицинские параметры указаны в электронном паспорте здоровья, доступный через гаджеты. Рекомендуем данный фактор риска использовать в следующих научных работах, который может иметь повышенный риск развития СД2т во взрослой жизни.</w:t>
      </w:r>
    </w:p>
    <w:p w14:paraId="7152E16B"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i/>
          <w:sz w:val="28"/>
          <w:szCs w:val="28"/>
        </w:rPr>
        <w:t xml:space="preserve">Возраст и пол. </w:t>
      </w:r>
      <w:r w:rsidRPr="004135FE">
        <w:rPr>
          <w:rFonts w:ascii="Times New Roman" w:hAnsi="Times New Roman" w:cs="Times New Roman"/>
          <w:sz w:val="28"/>
          <w:szCs w:val="28"/>
        </w:rPr>
        <w:t xml:space="preserve"> Риск развития СД2т увеличивается с возрастом, особенно после 45 лет, учитывая кумулирования предрасполагающих и сопутствующих заболевании. Научно доказано, что ж</w:t>
      </w:r>
      <w:r w:rsidRPr="004135FE">
        <w:rPr>
          <w:rFonts w:ascii="Times New Roman" w:eastAsia="Times New Roman" w:hAnsi="Times New Roman" w:cs="Times New Roman"/>
          <w:sz w:val="28"/>
          <w:szCs w:val="28"/>
        </w:rPr>
        <w:t xml:space="preserve">енский пол более подвержен к СД2т в силу гормонального статуса. </w:t>
      </w:r>
      <w:r w:rsidRPr="004135FE">
        <w:rPr>
          <w:rFonts w:ascii="Times New Roman" w:hAnsi="Times New Roman" w:cs="Times New Roman"/>
          <w:sz w:val="28"/>
          <w:szCs w:val="28"/>
        </w:rPr>
        <w:t>По результату проведенного анализа, средний возраст участвовавших в опросе мужчин с СД2т составило 55,42±9,94, а женщин - 56,34±9,70. Средний возраст мужчин, в которым был поставлен диагноз СД2т 49,20±10,23, у женщин 49,37±9,30. Так же, учитывая половые признаки составлены вопросы отдельно для женщин и мужчин, которые мы рассмотрим в подразделе о репродуктивном потенциале пациентов с СД2т.</w:t>
      </w:r>
    </w:p>
    <w:p w14:paraId="139EC554" w14:textId="77777777" w:rsidR="007A2C38" w:rsidRPr="004135FE" w:rsidRDefault="007A2C38" w:rsidP="004135FE">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135FE">
        <w:rPr>
          <w:rFonts w:ascii="Times New Roman" w:hAnsi="Times New Roman" w:cs="Times New Roman"/>
          <w:i/>
          <w:sz w:val="28"/>
          <w:szCs w:val="28"/>
        </w:rPr>
        <w:t>Этническая принадлежность:</w:t>
      </w:r>
      <w:r w:rsidRPr="004135FE">
        <w:rPr>
          <w:rFonts w:ascii="Times New Roman" w:hAnsi="Times New Roman" w:cs="Times New Roman"/>
          <w:sz w:val="28"/>
          <w:szCs w:val="28"/>
        </w:rPr>
        <w:t xml:space="preserve"> азиаты, латиноамериканцы, африканцы подвержены большему риску, чем другие группы. В нашем исследовании этническая принадлежность</w:t>
      </w:r>
      <w:r w:rsidRPr="004135FE">
        <w:rPr>
          <w:rFonts w:ascii="Times New Roman" w:hAnsi="Times New Roman" w:cs="Times New Roman"/>
          <w:i/>
          <w:sz w:val="28"/>
          <w:szCs w:val="28"/>
        </w:rPr>
        <w:t xml:space="preserve"> </w:t>
      </w:r>
      <w:r w:rsidRPr="004135FE">
        <w:rPr>
          <w:rFonts w:ascii="Times New Roman" w:hAnsi="Times New Roman" w:cs="Times New Roman"/>
          <w:sz w:val="28"/>
          <w:szCs w:val="28"/>
        </w:rPr>
        <w:t>не рассматривалась как фактор риска,</w:t>
      </w:r>
      <w:r w:rsidRPr="004135FE">
        <w:rPr>
          <w:rFonts w:ascii="Times New Roman" w:eastAsia="Times New Roman" w:hAnsi="Times New Roman" w:cs="Times New Roman"/>
          <w:sz w:val="28"/>
          <w:szCs w:val="28"/>
        </w:rPr>
        <w:t xml:space="preserve"> участвовали респонденты разной национальности.  </w:t>
      </w:r>
    </w:p>
    <w:p w14:paraId="4D04D9F1" w14:textId="77777777" w:rsidR="007A2C38" w:rsidRPr="004135FE" w:rsidRDefault="007A2C38" w:rsidP="004135FE">
      <w:pPr>
        <w:widowControl w:val="0"/>
        <w:autoSpaceDE w:val="0"/>
        <w:autoSpaceDN w:val="0"/>
        <w:adjustRightInd w:val="0"/>
        <w:spacing w:after="0" w:line="240" w:lineRule="auto"/>
        <w:ind w:firstLine="708"/>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lastRenderedPageBreak/>
        <w:t xml:space="preserve">Выше указанные факторы обусловлены генетикой организма каждого человека, которое предопределено заранее. Как показывает последние международные исследования, имея генетические факторы риска в большинстве случаях развитие СД2т можно отсрочить или контролировать более мягкое течение при соблюдении ЗОЖ и приверженности к назначениям. Это зависит в первую очередь от солидарной ответственности, </w:t>
      </w:r>
      <w:r w:rsidRPr="004135FE">
        <w:rPr>
          <w:rFonts w:ascii="Times New Roman" w:hAnsi="Times New Roman" w:cs="Times New Roman"/>
          <w:sz w:val="28"/>
          <w:szCs w:val="28"/>
        </w:rPr>
        <w:t>медицинской образованности людей, информированности и активности в сохранении собственного здоровья, при котором межсекторальное сотрудничество оказывает большое влияние при пропаганде ЗОЖ среди населения.</w:t>
      </w:r>
    </w:p>
    <w:p w14:paraId="784A932A" w14:textId="41716EEF" w:rsidR="008F76E3" w:rsidRPr="00D52DDD" w:rsidRDefault="008F76E3" w:rsidP="004135FE">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D52DDD">
        <w:rPr>
          <w:rFonts w:ascii="Times New Roman" w:eastAsia="Times New Roman" w:hAnsi="Times New Roman" w:cs="Times New Roman"/>
          <w:sz w:val="28"/>
          <w:szCs w:val="28"/>
        </w:rPr>
        <w:t>Модифицируемые факторы риска развития СД 2т</w:t>
      </w:r>
    </w:p>
    <w:p w14:paraId="5B898FB9" w14:textId="2FEEFAD5"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i/>
          <w:sz w:val="28"/>
          <w:szCs w:val="28"/>
        </w:rPr>
        <w:t>Ожирение и масса тела</w:t>
      </w:r>
      <w:r w:rsidRPr="004135FE">
        <w:rPr>
          <w:rFonts w:ascii="Times New Roman" w:hAnsi="Times New Roman" w:cs="Times New Roman"/>
          <w:sz w:val="28"/>
          <w:szCs w:val="28"/>
        </w:rPr>
        <w:t xml:space="preserve">. Чем выше индекс массы тела (ИМТ), тем выше риск заболевания СД2т. Если добавить к нему еще один немодифицируемый фактор, например, наследственность, то избежать сахарного диабета будет достаточно сложно. </w:t>
      </w:r>
      <w:r w:rsidRPr="004135FE">
        <w:rPr>
          <w:rFonts w:ascii="Times New Roman" w:hAnsi="Times New Roman" w:cs="Times New Roman"/>
          <w:sz w:val="28"/>
          <w:szCs w:val="28"/>
          <w:shd w:val="clear" w:color="auto" w:fill="FFFFFF"/>
        </w:rPr>
        <w:t>Для предупреждения распространения СД проводится диагностика ранних нарушений углеводного обмена. Американская Ассоциация Диабета рекомендует проводить регулярный скрининг гликемии всем взрослым с ИМТ более 25 кг/м2, сочетающийся с любым из дополнительных факторов риска.</w:t>
      </w:r>
    </w:p>
    <w:p w14:paraId="475B82E6" w14:textId="77777777" w:rsidR="007A2C38" w:rsidRPr="004135FE" w:rsidRDefault="007A2C38" w:rsidP="004135FE">
      <w:pPr>
        <w:spacing w:after="0" w:line="240" w:lineRule="auto"/>
        <w:ind w:firstLine="708"/>
        <w:jc w:val="both"/>
        <w:rPr>
          <w:rFonts w:ascii="Times New Roman" w:hAnsi="Times New Roman" w:cs="Times New Roman"/>
          <w:b/>
          <w:sz w:val="28"/>
          <w:szCs w:val="28"/>
        </w:rPr>
      </w:pPr>
      <w:r w:rsidRPr="004135FE">
        <w:rPr>
          <w:rFonts w:ascii="Times New Roman" w:hAnsi="Times New Roman" w:cs="Times New Roman"/>
          <w:sz w:val="28"/>
          <w:szCs w:val="28"/>
        </w:rPr>
        <w:t>Анализ исследования показал, что в среднем ИМТ у мужчин составил 29,5</w:t>
      </w:r>
      <w:r w:rsidRPr="004135FE">
        <w:rPr>
          <w:rFonts w:ascii="Times New Roman" w:eastAsia="Times New Roman" w:hAnsi="Times New Roman" w:cs="Times New Roman"/>
          <w:sz w:val="28"/>
          <w:szCs w:val="28"/>
        </w:rPr>
        <w:t>±</w:t>
      </w:r>
      <w:r w:rsidRPr="004135FE">
        <w:rPr>
          <w:rFonts w:ascii="Times New Roman" w:hAnsi="Times New Roman" w:cs="Times New Roman"/>
          <w:sz w:val="28"/>
          <w:szCs w:val="28"/>
        </w:rPr>
        <w:t>3,9 и у женщин 30,1</w:t>
      </w:r>
      <w:r w:rsidRPr="004135FE">
        <w:rPr>
          <w:rFonts w:ascii="Times New Roman" w:eastAsia="Times New Roman" w:hAnsi="Times New Roman" w:cs="Times New Roman"/>
          <w:sz w:val="28"/>
          <w:szCs w:val="28"/>
        </w:rPr>
        <w:t>±</w:t>
      </w:r>
      <w:r w:rsidRPr="004135FE">
        <w:rPr>
          <w:rFonts w:ascii="Times New Roman" w:hAnsi="Times New Roman" w:cs="Times New Roman"/>
          <w:sz w:val="28"/>
          <w:szCs w:val="28"/>
        </w:rPr>
        <w:t xml:space="preserve">4,6. Распределение пациентов СД 2 типа по половому признаку и ИМТ показало, что 38,6% - женщин имеют избыточный вес, 33,2% - женщин страдают ожирением </w:t>
      </w:r>
      <w:r w:rsidRPr="004135FE">
        <w:rPr>
          <w:rFonts w:ascii="Times New Roman" w:hAnsi="Times New Roman" w:cs="Times New Roman"/>
          <w:sz w:val="28"/>
          <w:szCs w:val="28"/>
          <w:lang w:val="en-US"/>
        </w:rPr>
        <w:t>I</w:t>
      </w:r>
      <w:r w:rsidRPr="004135FE">
        <w:rPr>
          <w:rFonts w:ascii="Times New Roman" w:hAnsi="Times New Roman" w:cs="Times New Roman"/>
          <w:sz w:val="28"/>
          <w:szCs w:val="28"/>
        </w:rPr>
        <w:t xml:space="preserve"> степени. Среди мужчин 49,5% - имеют избыточный вес, тогда как 30,5% - страдают ожирением I степени. У 13,6% - женщин нормальный вес, в то время как нормальный вес у 11,0% - мужчин.  Среди женщин ожирение </w:t>
      </w:r>
      <w:r w:rsidRPr="004135FE">
        <w:rPr>
          <w:rFonts w:ascii="Times New Roman" w:eastAsia="Times New Roman" w:hAnsi="Times New Roman" w:cs="Times New Roman"/>
          <w:sz w:val="28"/>
          <w:szCs w:val="28"/>
        </w:rPr>
        <w:t xml:space="preserve">ІІ и ІІІ степени встречается чаще, чем у мужчин. </w:t>
      </w:r>
      <w:r w:rsidRPr="004135FE">
        <w:rPr>
          <w:rFonts w:ascii="Times New Roman" w:hAnsi="Times New Roman" w:cs="Times New Roman"/>
          <w:sz w:val="28"/>
          <w:szCs w:val="28"/>
        </w:rPr>
        <w:t>Ниже нормального веса встречается среди обоих полов, который характеризует декомпенсаторную функцию поджелудочной железы.</w:t>
      </w:r>
    </w:p>
    <w:p w14:paraId="1CB99177" w14:textId="77777777" w:rsidR="007A2C38" w:rsidRPr="004135FE" w:rsidRDefault="007A2C38" w:rsidP="004135FE">
      <w:pPr>
        <w:pStyle w:val="a3"/>
        <w:spacing w:after="0" w:line="240" w:lineRule="auto"/>
        <w:ind w:left="0"/>
        <w:jc w:val="both"/>
        <w:rPr>
          <w:rFonts w:ascii="Times New Roman" w:hAnsi="Times New Roman" w:cs="Times New Roman"/>
          <w:sz w:val="28"/>
          <w:szCs w:val="28"/>
        </w:rPr>
      </w:pPr>
      <w:r w:rsidRPr="004135FE">
        <w:rPr>
          <w:rFonts w:ascii="Times New Roman" w:hAnsi="Times New Roman" w:cs="Times New Roman"/>
          <w:sz w:val="28"/>
          <w:szCs w:val="28"/>
        </w:rPr>
        <w:tab/>
      </w:r>
    </w:p>
    <w:p w14:paraId="160E48E4" w14:textId="51383E49" w:rsidR="007A2C38" w:rsidRDefault="00B728EF"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bCs/>
          <w:sz w:val="28"/>
          <w:szCs w:val="28"/>
        </w:rPr>
        <w:t>Таблица 24</w:t>
      </w:r>
      <w:r w:rsidR="0065696E">
        <w:rPr>
          <w:rFonts w:ascii="Times New Roman" w:hAnsi="Times New Roman" w:cs="Times New Roman"/>
          <w:bCs/>
          <w:sz w:val="28"/>
          <w:szCs w:val="28"/>
          <w:lang w:val="kk-KZ"/>
        </w:rPr>
        <w:t xml:space="preserve"> </w:t>
      </w:r>
      <w:r w:rsidR="007A2C38" w:rsidRPr="004135FE">
        <w:rPr>
          <w:rFonts w:ascii="Times New Roman" w:hAnsi="Times New Roman" w:cs="Times New Roman"/>
          <w:bCs/>
          <w:sz w:val="28"/>
          <w:szCs w:val="28"/>
        </w:rPr>
        <w:t xml:space="preserve">- </w:t>
      </w:r>
      <w:r w:rsidR="007A2C38" w:rsidRPr="004135FE">
        <w:rPr>
          <w:rFonts w:ascii="Times New Roman" w:hAnsi="Times New Roman" w:cs="Times New Roman"/>
          <w:sz w:val="28"/>
          <w:szCs w:val="28"/>
        </w:rPr>
        <w:t>Индекс массы тела респондентов с СД2т</w:t>
      </w:r>
    </w:p>
    <w:p w14:paraId="0C847990" w14:textId="77777777" w:rsidR="0065696E" w:rsidRPr="004135FE" w:rsidRDefault="0065696E" w:rsidP="004135FE">
      <w:pPr>
        <w:spacing w:after="0" w:line="240" w:lineRule="auto"/>
        <w:jc w:val="both"/>
        <w:rPr>
          <w:rFonts w:ascii="Times New Roman" w:hAnsi="Times New Roman" w:cs="Times New Roman"/>
          <w:sz w:val="28"/>
          <w:szCs w:val="28"/>
        </w:rPr>
      </w:pPr>
    </w:p>
    <w:tbl>
      <w:tblPr>
        <w:tblW w:w="934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5"/>
        <w:gridCol w:w="758"/>
        <w:gridCol w:w="1103"/>
        <w:gridCol w:w="1100"/>
        <w:gridCol w:w="925"/>
        <w:gridCol w:w="925"/>
        <w:gridCol w:w="915"/>
        <w:gridCol w:w="1092"/>
        <w:gridCol w:w="1336"/>
      </w:tblGrid>
      <w:tr w:rsidR="007A2C38" w:rsidRPr="0065696E" w14:paraId="27A9658E" w14:textId="77777777" w:rsidTr="0065696E">
        <w:trPr>
          <w:trHeight w:val="187"/>
        </w:trPr>
        <w:tc>
          <w:tcPr>
            <w:tcW w:w="823" w:type="dxa"/>
            <w:shd w:val="clear" w:color="auto" w:fill="auto"/>
            <w:noWrap/>
            <w:hideMark/>
          </w:tcPr>
          <w:p w14:paraId="3D0F1152"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Пол респондентов</w:t>
            </w:r>
          </w:p>
        </w:tc>
        <w:tc>
          <w:tcPr>
            <w:tcW w:w="790" w:type="dxa"/>
            <w:shd w:val="clear" w:color="auto" w:fill="auto"/>
            <w:noWrap/>
            <w:hideMark/>
          </w:tcPr>
          <w:p w14:paraId="06183D00"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Ниже норм веса</w:t>
            </w:r>
          </w:p>
        </w:tc>
        <w:tc>
          <w:tcPr>
            <w:tcW w:w="1154" w:type="dxa"/>
            <w:shd w:val="clear" w:color="auto" w:fill="auto"/>
            <w:noWrap/>
            <w:hideMark/>
          </w:tcPr>
          <w:p w14:paraId="6AE8E40B"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нормальный вес</w:t>
            </w:r>
          </w:p>
        </w:tc>
        <w:tc>
          <w:tcPr>
            <w:tcW w:w="1151" w:type="dxa"/>
            <w:shd w:val="clear" w:color="auto" w:fill="auto"/>
            <w:noWrap/>
            <w:hideMark/>
          </w:tcPr>
          <w:p w14:paraId="038158EF"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избыточный вес</w:t>
            </w:r>
          </w:p>
        </w:tc>
        <w:tc>
          <w:tcPr>
            <w:tcW w:w="966" w:type="dxa"/>
            <w:shd w:val="clear" w:color="auto" w:fill="auto"/>
            <w:noWrap/>
            <w:hideMark/>
          </w:tcPr>
          <w:p w14:paraId="143D81B3"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ожирение I степени</w:t>
            </w:r>
          </w:p>
        </w:tc>
        <w:tc>
          <w:tcPr>
            <w:tcW w:w="966" w:type="dxa"/>
            <w:shd w:val="clear" w:color="auto" w:fill="auto"/>
            <w:noWrap/>
            <w:hideMark/>
          </w:tcPr>
          <w:p w14:paraId="16A55E56"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ожирение ІІ степени</w:t>
            </w:r>
          </w:p>
        </w:tc>
        <w:tc>
          <w:tcPr>
            <w:tcW w:w="955" w:type="dxa"/>
            <w:shd w:val="clear" w:color="auto" w:fill="auto"/>
            <w:noWrap/>
            <w:hideMark/>
          </w:tcPr>
          <w:p w14:paraId="6120C675"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ожирение ІІІ степени</w:t>
            </w:r>
          </w:p>
        </w:tc>
        <w:tc>
          <w:tcPr>
            <w:tcW w:w="1143" w:type="dxa"/>
            <w:shd w:val="clear" w:color="auto" w:fill="auto"/>
          </w:tcPr>
          <w:p w14:paraId="416A5FB4"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всего</w:t>
            </w:r>
          </w:p>
        </w:tc>
        <w:tc>
          <w:tcPr>
            <w:tcW w:w="1401" w:type="dxa"/>
          </w:tcPr>
          <w:p w14:paraId="28E65721" w14:textId="77777777" w:rsidR="007A2C38" w:rsidRPr="0065696E" w:rsidRDefault="007A2C38" w:rsidP="00D52DDD">
            <w:pPr>
              <w:tabs>
                <w:tab w:val="left" w:pos="993"/>
              </w:tabs>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Среднее±станд. отклонение ИМТ</w:t>
            </w:r>
          </w:p>
        </w:tc>
      </w:tr>
      <w:tr w:rsidR="007A2C38" w:rsidRPr="0065696E" w14:paraId="7DFD507F" w14:textId="77777777" w:rsidTr="0065696E">
        <w:trPr>
          <w:trHeight w:val="187"/>
        </w:trPr>
        <w:tc>
          <w:tcPr>
            <w:tcW w:w="823" w:type="dxa"/>
            <w:shd w:val="clear" w:color="auto" w:fill="auto"/>
            <w:noWrap/>
            <w:hideMark/>
          </w:tcPr>
          <w:p w14:paraId="28A9C6E3"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мужчины</w:t>
            </w:r>
          </w:p>
        </w:tc>
        <w:tc>
          <w:tcPr>
            <w:tcW w:w="790" w:type="dxa"/>
            <w:shd w:val="clear" w:color="auto" w:fill="auto"/>
            <w:noWrap/>
            <w:hideMark/>
          </w:tcPr>
          <w:p w14:paraId="143FC530"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1(0,5%)</w:t>
            </w:r>
          </w:p>
        </w:tc>
        <w:tc>
          <w:tcPr>
            <w:tcW w:w="1154" w:type="dxa"/>
            <w:shd w:val="clear" w:color="auto" w:fill="auto"/>
            <w:noWrap/>
            <w:hideMark/>
          </w:tcPr>
          <w:p w14:paraId="6D7C8A4B"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22(11,0%)</w:t>
            </w:r>
          </w:p>
        </w:tc>
        <w:tc>
          <w:tcPr>
            <w:tcW w:w="1151" w:type="dxa"/>
            <w:shd w:val="clear" w:color="auto" w:fill="auto"/>
            <w:noWrap/>
            <w:hideMark/>
          </w:tcPr>
          <w:p w14:paraId="5DD24080"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99(49,5%)</w:t>
            </w:r>
          </w:p>
        </w:tc>
        <w:tc>
          <w:tcPr>
            <w:tcW w:w="966" w:type="dxa"/>
            <w:shd w:val="clear" w:color="auto" w:fill="auto"/>
            <w:noWrap/>
            <w:hideMark/>
          </w:tcPr>
          <w:p w14:paraId="66016602"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61(30,5%)</w:t>
            </w:r>
          </w:p>
        </w:tc>
        <w:tc>
          <w:tcPr>
            <w:tcW w:w="966" w:type="dxa"/>
            <w:shd w:val="clear" w:color="auto" w:fill="auto"/>
            <w:noWrap/>
            <w:hideMark/>
          </w:tcPr>
          <w:p w14:paraId="5EB35010"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16(8,0%)</w:t>
            </w:r>
          </w:p>
        </w:tc>
        <w:tc>
          <w:tcPr>
            <w:tcW w:w="955" w:type="dxa"/>
            <w:shd w:val="clear" w:color="auto" w:fill="auto"/>
            <w:noWrap/>
            <w:hideMark/>
          </w:tcPr>
          <w:p w14:paraId="201360E3"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1(0,5%)</w:t>
            </w:r>
          </w:p>
        </w:tc>
        <w:tc>
          <w:tcPr>
            <w:tcW w:w="1143" w:type="dxa"/>
            <w:shd w:val="clear" w:color="auto" w:fill="auto"/>
            <w:noWrap/>
            <w:hideMark/>
          </w:tcPr>
          <w:p w14:paraId="2278AD99"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200(100,0%)</w:t>
            </w:r>
          </w:p>
        </w:tc>
        <w:tc>
          <w:tcPr>
            <w:tcW w:w="1401" w:type="dxa"/>
          </w:tcPr>
          <w:p w14:paraId="0AA884DA"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hAnsi="Times New Roman" w:cs="Times New Roman"/>
                <w:sz w:val="24"/>
                <w:szCs w:val="24"/>
              </w:rPr>
              <w:t>29,5</w:t>
            </w:r>
            <w:r w:rsidRPr="0065696E">
              <w:rPr>
                <w:rFonts w:ascii="Times New Roman" w:eastAsia="Times New Roman" w:hAnsi="Times New Roman" w:cs="Times New Roman"/>
                <w:sz w:val="24"/>
                <w:szCs w:val="24"/>
              </w:rPr>
              <w:t>±</w:t>
            </w:r>
            <w:r w:rsidRPr="0065696E">
              <w:rPr>
                <w:rFonts w:ascii="Times New Roman" w:hAnsi="Times New Roman" w:cs="Times New Roman"/>
                <w:sz w:val="24"/>
                <w:szCs w:val="24"/>
              </w:rPr>
              <w:t>3,9</w:t>
            </w:r>
          </w:p>
        </w:tc>
      </w:tr>
      <w:tr w:rsidR="007A2C38" w:rsidRPr="0065696E" w14:paraId="7BBEF4FF" w14:textId="77777777" w:rsidTr="0065696E">
        <w:trPr>
          <w:trHeight w:val="187"/>
        </w:trPr>
        <w:tc>
          <w:tcPr>
            <w:tcW w:w="823" w:type="dxa"/>
            <w:shd w:val="clear" w:color="auto" w:fill="auto"/>
            <w:noWrap/>
            <w:hideMark/>
          </w:tcPr>
          <w:p w14:paraId="7A0605E7"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женщины</w:t>
            </w:r>
          </w:p>
        </w:tc>
        <w:tc>
          <w:tcPr>
            <w:tcW w:w="790" w:type="dxa"/>
            <w:shd w:val="clear" w:color="auto" w:fill="auto"/>
            <w:noWrap/>
            <w:hideMark/>
          </w:tcPr>
          <w:p w14:paraId="541D732A"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1(0,4%)</w:t>
            </w:r>
          </w:p>
        </w:tc>
        <w:tc>
          <w:tcPr>
            <w:tcW w:w="1154" w:type="dxa"/>
            <w:shd w:val="clear" w:color="auto" w:fill="auto"/>
            <w:noWrap/>
            <w:hideMark/>
          </w:tcPr>
          <w:p w14:paraId="08D80307"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38(13,6%)</w:t>
            </w:r>
          </w:p>
        </w:tc>
        <w:tc>
          <w:tcPr>
            <w:tcW w:w="1151" w:type="dxa"/>
            <w:shd w:val="clear" w:color="auto" w:fill="auto"/>
            <w:noWrap/>
            <w:hideMark/>
          </w:tcPr>
          <w:p w14:paraId="61F8E52E"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108(38,6%)</w:t>
            </w:r>
          </w:p>
        </w:tc>
        <w:tc>
          <w:tcPr>
            <w:tcW w:w="966" w:type="dxa"/>
            <w:shd w:val="clear" w:color="auto" w:fill="auto"/>
            <w:noWrap/>
            <w:hideMark/>
          </w:tcPr>
          <w:p w14:paraId="247CF40C"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93(33,2%)</w:t>
            </w:r>
          </w:p>
        </w:tc>
        <w:tc>
          <w:tcPr>
            <w:tcW w:w="966" w:type="dxa"/>
            <w:shd w:val="clear" w:color="auto" w:fill="auto"/>
            <w:noWrap/>
            <w:hideMark/>
          </w:tcPr>
          <w:p w14:paraId="68AB3E22"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34(12,1%)</w:t>
            </w:r>
          </w:p>
        </w:tc>
        <w:tc>
          <w:tcPr>
            <w:tcW w:w="955" w:type="dxa"/>
            <w:shd w:val="clear" w:color="auto" w:fill="auto"/>
            <w:noWrap/>
            <w:hideMark/>
          </w:tcPr>
          <w:p w14:paraId="0C7B8D06"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6(2,1%)</w:t>
            </w:r>
          </w:p>
        </w:tc>
        <w:tc>
          <w:tcPr>
            <w:tcW w:w="1143" w:type="dxa"/>
            <w:shd w:val="clear" w:color="auto" w:fill="auto"/>
            <w:noWrap/>
            <w:hideMark/>
          </w:tcPr>
          <w:p w14:paraId="7ADDDD84" w14:textId="77777777" w:rsidR="007A2C38" w:rsidRPr="0065696E" w:rsidRDefault="007A2C38" w:rsidP="00D52DDD">
            <w:pPr>
              <w:spacing w:after="0" w:line="240" w:lineRule="auto"/>
              <w:jc w:val="center"/>
              <w:rPr>
                <w:rFonts w:ascii="Times New Roman" w:eastAsia="Times New Roman" w:hAnsi="Times New Roman" w:cs="Times New Roman"/>
                <w:sz w:val="24"/>
                <w:szCs w:val="24"/>
              </w:rPr>
            </w:pPr>
            <w:r w:rsidRPr="0065696E">
              <w:rPr>
                <w:rFonts w:ascii="Times New Roman" w:eastAsia="Times New Roman" w:hAnsi="Times New Roman" w:cs="Times New Roman"/>
                <w:sz w:val="24"/>
                <w:szCs w:val="24"/>
              </w:rPr>
              <w:t>280(100,0%)</w:t>
            </w:r>
          </w:p>
        </w:tc>
        <w:tc>
          <w:tcPr>
            <w:tcW w:w="1401" w:type="dxa"/>
          </w:tcPr>
          <w:p w14:paraId="2C8815F4" w14:textId="77777777" w:rsidR="007A2C38" w:rsidRPr="0065696E" w:rsidRDefault="007A2C38" w:rsidP="00D52DDD">
            <w:pPr>
              <w:spacing w:after="0" w:line="240" w:lineRule="auto"/>
              <w:jc w:val="center"/>
              <w:rPr>
                <w:rFonts w:ascii="Times New Roman" w:hAnsi="Times New Roman" w:cs="Times New Roman"/>
                <w:sz w:val="24"/>
                <w:szCs w:val="24"/>
              </w:rPr>
            </w:pPr>
            <w:r w:rsidRPr="0065696E">
              <w:rPr>
                <w:rFonts w:ascii="Times New Roman" w:hAnsi="Times New Roman" w:cs="Times New Roman"/>
                <w:sz w:val="24"/>
                <w:szCs w:val="24"/>
              </w:rPr>
              <w:t>30,1</w:t>
            </w:r>
            <w:r w:rsidRPr="0065696E">
              <w:rPr>
                <w:rFonts w:ascii="Times New Roman" w:eastAsia="Times New Roman" w:hAnsi="Times New Roman" w:cs="Times New Roman"/>
                <w:sz w:val="24"/>
                <w:szCs w:val="24"/>
              </w:rPr>
              <w:t>±</w:t>
            </w:r>
            <w:r w:rsidRPr="0065696E">
              <w:rPr>
                <w:rFonts w:ascii="Times New Roman" w:hAnsi="Times New Roman" w:cs="Times New Roman"/>
                <w:sz w:val="24"/>
                <w:szCs w:val="24"/>
              </w:rPr>
              <w:t>4,6</w:t>
            </w:r>
          </w:p>
        </w:tc>
      </w:tr>
      <w:tr w:rsidR="007A2C38" w:rsidRPr="0065696E" w14:paraId="478F4866" w14:textId="77777777" w:rsidTr="0065696E">
        <w:trPr>
          <w:trHeight w:val="187"/>
        </w:trPr>
        <w:tc>
          <w:tcPr>
            <w:tcW w:w="9349" w:type="dxa"/>
            <w:gridSpan w:val="9"/>
            <w:shd w:val="clear" w:color="auto" w:fill="auto"/>
            <w:noWrap/>
            <w:vAlign w:val="bottom"/>
          </w:tcPr>
          <w:p w14:paraId="73A90056" w14:textId="77777777" w:rsidR="007A2C38" w:rsidRDefault="007A2C38" w:rsidP="004135FE">
            <w:pPr>
              <w:spacing w:after="0" w:line="240" w:lineRule="auto"/>
              <w:jc w:val="both"/>
              <w:rPr>
                <w:rFonts w:ascii="Times New Roman" w:hAnsi="Times New Roman" w:cs="Times New Roman"/>
                <w:sz w:val="24"/>
                <w:szCs w:val="24"/>
              </w:rPr>
            </w:pPr>
            <w:r w:rsidRPr="0065696E">
              <w:rPr>
                <w:rFonts w:ascii="Times New Roman" w:eastAsia="Times New Roman" w:hAnsi="Times New Roman" w:cs="Times New Roman"/>
                <w:sz w:val="24"/>
                <w:szCs w:val="24"/>
                <w:lang w:val="en-US"/>
              </w:rPr>
              <w:t>p</w:t>
            </w:r>
            <w:r w:rsidRPr="0065696E">
              <w:rPr>
                <w:rFonts w:ascii="Times New Roman" w:eastAsia="Times New Roman" w:hAnsi="Times New Roman" w:cs="Times New Roman"/>
                <w:sz w:val="24"/>
                <w:szCs w:val="24"/>
              </w:rPr>
              <w:t>-</w:t>
            </w:r>
            <w:r w:rsidRPr="0065696E">
              <w:rPr>
                <w:rFonts w:ascii="Times New Roman" w:eastAsia="Times New Roman" w:hAnsi="Times New Roman" w:cs="Times New Roman"/>
                <w:sz w:val="24"/>
                <w:szCs w:val="24"/>
                <w:lang w:val="en-US"/>
              </w:rPr>
              <w:t>value</w:t>
            </w:r>
            <w:r w:rsidRPr="0065696E">
              <w:rPr>
                <w:rFonts w:ascii="Times New Roman" w:eastAsia="Times New Roman" w:hAnsi="Times New Roman" w:cs="Times New Roman"/>
                <w:sz w:val="24"/>
                <w:szCs w:val="24"/>
              </w:rPr>
              <w:t xml:space="preserve"> </w:t>
            </w:r>
            <w:r w:rsidRPr="0065696E">
              <w:rPr>
                <w:rFonts w:ascii="Times New Roman" w:hAnsi="Times New Roman" w:cs="Times New Roman"/>
                <w:sz w:val="24"/>
                <w:szCs w:val="24"/>
              </w:rPr>
              <w:t>0,001, различия между группами высоко достоверны</w:t>
            </w:r>
          </w:p>
          <w:p w14:paraId="67C9E627" w14:textId="14574970" w:rsidR="00242938" w:rsidRPr="0065696E" w:rsidRDefault="00242938" w:rsidP="004135FE">
            <w:pPr>
              <w:spacing w:after="0" w:line="240" w:lineRule="auto"/>
              <w:jc w:val="both"/>
              <w:rPr>
                <w:rFonts w:ascii="Times New Roman" w:hAnsi="Times New Roman" w:cs="Times New Roman"/>
                <w:sz w:val="24"/>
                <w:szCs w:val="24"/>
              </w:rPr>
            </w:pPr>
          </w:p>
        </w:tc>
      </w:tr>
    </w:tbl>
    <w:p w14:paraId="5ED94FEA" w14:textId="77777777" w:rsidR="007A2C38" w:rsidRPr="004135FE" w:rsidRDefault="007A2C38" w:rsidP="004135FE">
      <w:pPr>
        <w:spacing w:after="0" w:line="240" w:lineRule="auto"/>
        <w:jc w:val="both"/>
        <w:rPr>
          <w:rFonts w:ascii="Times New Roman" w:hAnsi="Times New Roman" w:cs="Times New Roman"/>
          <w:sz w:val="28"/>
          <w:szCs w:val="28"/>
        </w:rPr>
      </w:pPr>
    </w:p>
    <w:p w14:paraId="51DB9C33" w14:textId="117C69BE" w:rsidR="007A2C38" w:rsidRPr="004135FE" w:rsidRDefault="007A2C38"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i/>
          <w:sz w:val="28"/>
          <w:szCs w:val="28"/>
        </w:rPr>
        <w:t>Факторы питания и дислепидемия</w:t>
      </w:r>
      <w:r w:rsidRPr="004135FE">
        <w:rPr>
          <w:rFonts w:ascii="Times New Roman" w:hAnsi="Times New Roman" w:cs="Times New Roman"/>
          <w:sz w:val="28"/>
          <w:szCs w:val="28"/>
        </w:rPr>
        <w:t xml:space="preserve">. </w:t>
      </w:r>
      <w:r w:rsidR="00D726A7" w:rsidRPr="004135FE">
        <w:rPr>
          <w:rFonts w:ascii="Times New Roman" w:hAnsi="Times New Roman" w:cs="Times New Roman"/>
          <w:sz w:val="28"/>
          <w:szCs w:val="28"/>
        </w:rPr>
        <w:t>Н</w:t>
      </w:r>
      <w:r w:rsidRPr="004135FE">
        <w:rPr>
          <w:rFonts w:ascii="Times New Roman" w:eastAsiaTheme="minorHAnsi" w:hAnsi="Times New Roman" w:cs="Times New Roman"/>
          <w:iCs/>
          <w:sz w:val="28"/>
          <w:szCs w:val="28"/>
          <w:lang w:eastAsia="en-US"/>
        </w:rPr>
        <w:t>едостаточное потребление фруктов и овощей</w:t>
      </w:r>
      <w:r w:rsidRPr="004135FE">
        <w:rPr>
          <w:rFonts w:ascii="Times New Roman" w:hAnsi="Times New Roman" w:cs="Times New Roman"/>
          <w:sz w:val="28"/>
          <w:szCs w:val="28"/>
        </w:rPr>
        <w:t>, «фаст-фуд», быстрая урбанизация могут привести не только к СД2т, но и сердечно-сосудистых и онкологических заболевании.  Многочисленные исследования подтверждают</w:t>
      </w:r>
      <w:r w:rsidR="008F76E3" w:rsidRPr="004135FE">
        <w:rPr>
          <w:rFonts w:ascii="Times New Roman" w:hAnsi="Times New Roman" w:cs="Times New Roman"/>
          <w:sz w:val="28"/>
          <w:szCs w:val="28"/>
        </w:rPr>
        <w:t xml:space="preserve">, что регулярное употребление сладких напитков увеличивают риска на 83%. </w:t>
      </w:r>
      <w:r w:rsidRPr="004135FE">
        <w:rPr>
          <w:rFonts w:ascii="Times New Roman" w:eastAsiaTheme="minorHAnsi" w:hAnsi="Times New Roman" w:cs="Times New Roman"/>
          <w:sz w:val="28"/>
          <w:szCs w:val="28"/>
          <w:lang w:eastAsia="en-US"/>
        </w:rPr>
        <w:t xml:space="preserve">Содержание в рационе питания </w:t>
      </w:r>
      <w:r w:rsidRPr="004135FE">
        <w:rPr>
          <w:rFonts w:ascii="Times New Roman" w:eastAsiaTheme="minorHAnsi" w:hAnsi="Times New Roman" w:cs="Times New Roman"/>
          <w:sz w:val="28"/>
          <w:szCs w:val="28"/>
          <w:lang w:eastAsia="en-US"/>
        </w:rPr>
        <w:lastRenderedPageBreak/>
        <w:t>фруктов и овощей является одним из</w:t>
      </w:r>
      <w:r w:rsidR="00AA0167" w:rsidRPr="004135FE">
        <w:rPr>
          <w:rFonts w:ascii="Times New Roman" w:eastAsiaTheme="minorHAnsi" w:hAnsi="Times New Roman" w:cs="Times New Roman"/>
          <w:sz w:val="28"/>
          <w:szCs w:val="28"/>
          <w:lang w:eastAsia="en-US"/>
        </w:rPr>
        <w:t xml:space="preserve"> элементов здорового питания [174</w:t>
      </w:r>
      <w:r w:rsidRPr="004135FE">
        <w:rPr>
          <w:rFonts w:ascii="Times New Roman" w:eastAsiaTheme="minorHAnsi" w:hAnsi="Times New Roman" w:cs="Times New Roman"/>
          <w:sz w:val="28"/>
          <w:szCs w:val="28"/>
          <w:lang w:eastAsia="en-US"/>
        </w:rPr>
        <w:t>], поэтому данный параметр был использован нами при изучении работы.</w:t>
      </w:r>
    </w:p>
    <w:p w14:paraId="71042259" w14:textId="77777777" w:rsidR="007A2C38" w:rsidRPr="004135FE" w:rsidRDefault="007A2C38"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Проведенный социологический опрос показал, что каждый день потребляют в пищу овощи 61,90% респондентов и фрукты, ягоды- 38,33%. Редко в рацион питания входят овощи у 38,10% пациентов с СД2т и фрукты, ягоды - 46,67%. Не употребляют в пищу фрукты и ягоды 15,00% пациентов. Насколько зависит рацион питания от социологического статуса было изучена в следующем подразделе. Клинические параметры крови, как уровень холестерина и липидов не были использованы.</w:t>
      </w:r>
    </w:p>
    <w:p w14:paraId="46A697A8" w14:textId="77777777" w:rsidR="007A2C38" w:rsidRPr="004135FE" w:rsidRDefault="007A2C38" w:rsidP="004135FE">
      <w:pPr>
        <w:spacing w:after="0" w:line="240" w:lineRule="auto"/>
        <w:jc w:val="both"/>
        <w:rPr>
          <w:rFonts w:ascii="Times New Roman" w:hAnsi="Times New Roman" w:cs="Times New Roman"/>
          <w:sz w:val="28"/>
          <w:szCs w:val="28"/>
        </w:rPr>
      </w:pPr>
    </w:p>
    <w:p w14:paraId="208EC9E5" w14:textId="77777777" w:rsidR="00242938" w:rsidRDefault="007A2C38" w:rsidP="00242938">
      <w:pPr>
        <w:spacing w:after="0" w:line="240" w:lineRule="auto"/>
        <w:jc w:val="center"/>
        <w:rPr>
          <w:rFonts w:ascii="Times New Roman" w:hAnsi="Times New Roman" w:cs="Times New Roman"/>
          <w:sz w:val="28"/>
          <w:szCs w:val="28"/>
        </w:rPr>
      </w:pPr>
      <w:r w:rsidRPr="004135FE">
        <w:rPr>
          <w:noProof/>
          <w:sz w:val="28"/>
          <w:szCs w:val="28"/>
        </w:rPr>
        <w:drawing>
          <wp:inline distT="0" distB="0" distL="0" distR="0" wp14:anchorId="2EB2D587" wp14:editId="4E9CE247">
            <wp:extent cx="2886710" cy="2387600"/>
            <wp:effectExtent l="0" t="0" r="0"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7152016" w14:textId="77777777" w:rsidR="00242938" w:rsidRDefault="00242938" w:rsidP="00242938">
      <w:pPr>
        <w:spacing w:after="0" w:line="240" w:lineRule="auto"/>
        <w:jc w:val="center"/>
        <w:rPr>
          <w:rFonts w:ascii="Times New Roman" w:hAnsi="Times New Roman" w:cs="Times New Roman"/>
          <w:sz w:val="28"/>
          <w:szCs w:val="28"/>
        </w:rPr>
      </w:pPr>
    </w:p>
    <w:p w14:paraId="6C727BD1" w14:textId="6CC6DA9A" w:rsidR="00242938" w:rsidRDefault="00242938" w:rsidP="00242938">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29</w:t>
      </w:r>
      <w:r w:rsidR="005E0EA9">
        <w:rPr>
          <w:rFonts w:ascii="Times New Roman" w:hAnsi="Times New Roman" w:cs="Times New Roman"/>
          <w:sz w:val="28"/>
          <w:szCs w:val="28"/>
          <w:lang w:val="kk-KZ"/>
        </w:rPr>
        <w:t xml:space="preserve"> </w:t>
      </w:r>
      <w:r w:rsidRPr="004135FE">
        <w:rPr>
          <w:rFonts w:ascii="Times New Roman" w:hAnsi="Times New Roman" w:cs="Times New Roman"/>
          <w:sz w:val="28"/>
          <w:szCs w:val="28"/>
        </w:rPr>
        <w:t xml:space="preserve">- Частота потребления овощей          </w:t>
      </w:r>
    </w:p>
    <w:p w14:paraId="7E0EE079" w14:textId="77777777" w:rsidR="00242938" w:rsidRDefault="00242938" w:rsidP="00242938">
      <w:pPr>
        <w:spacing w:after="0" w:line="240" w:lineRule="auto"/>
        <w:jc w:val="center"/>
        <w:rPr>
          <w:rFonts w:ascii="Times New Roman" w:hAnsi="Times New Roman" w:cs="Times New Roman"/>
          <w:sz w:val="28"/>
          <w:szCs w:val="28"/>
        </w:rPr>
      </w:pPr>
    </w:p>
    <w:p w14:paraId="293CF37D" w14:textId="77777777" w:rsidR="00242938" w:rsidRDefault="00242938" w:rsidP="00242938">
      <w:pPr>
        <w:spacing w:after="0" w:line="240" w:lineRule="auto"/>
        <w:jc w:val="center"/>
        <w:rPr>
          <w:rFonts w:ascii="Times New Roman" w:hAnsi="Times New Roman" w:cs="Times New Roman"/>
          <w:sz w:val="28"/>
          <w:szCs w:val="28"/>
        </w:rPr>
      </w:pPr>
    </w:p>
    <w:p w14:paraId="0014F475" w14:textId="1BC68083" w:rsidR="007A2C38" w:rsidRPr="004135FE" w:rsidRDefault="007A2C38" w:rsidP="00242938">
      <w:pPr>
        <w:spacing w:after="0" w:line="240" w:lineRule="auto"/>
        <w:jc w:val="center"/>
        <w:rPr>
          <w:rFonts w:ascii="Times New Roman" w:hAnsi="Times New Roman" w:cs="Times New Roman"/>
          <w:sz w:val="28"/>
          <w:szCs w:val="28"/>
        </w:rPr>
      </w:pPr>
      <w:r w:rsidRPr="004135FE">
        <w:rPr>
          <w:noProof/>
          <w:sz w:val="28"/>
          <w:szCs w:val="28"/>
        </w:rPr>
        <w:drawing>
          <wp:inline distT="0" distB="0" distL="0" distR="0" wp14:anchorId="7B42975E" wp14:editId="4E9D1C6C">
            <wp:extent cx="3048000" cy="2387600"/>
            <wp:effectExtent l="0" t="0" r="0" b="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49626B8F" w14:textId="77777777" w:rsidR="00242938" w:rsidRDefault="00242938" w:rsidP="00242938">
      <w:pPr>
        <w:spacing w:after="0" w:line="240" w:lineRule="auto"/>
        <w:jc w:val="center"/>
        <w:rPr>
          <w:rFonts w:ascii="Times New Roman" w:hAnsi="Times New Roman" w:cs="Times New Roman"/>
          <w:sz w:val="28"/>
          <w:szCs w:val="28"/>
        </w:rPr>
      </w:pPr>
    </w:p>
    <w:p w14:paraId="3EF2D99C" w14:textId="23BD41BB" w:rsidR="007A2C38" w:rsidRPr="004135FE" w:rsidRDefault="00B6197B" w:rsidP="00242938">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30</w:t>
      </w:r>
      <w:r w:rsidR="005E0EA9">
        <w:rPr>
          <w:rFonts w:ascii="Times New Roman" w:hAnsi="Times New Roman" w:cs="Times New Roman"/>
          <w:sz w:val="28"/>
          <w:szCs w:val="28"/>
          <w:lang w:val="kk-KZ"/>
        </w:rPr>
        <w:t xml:space="preserve"> </w:t>
      </w:r>
      <w:r w:rsidR="007A2C38" w:rsidRPr="004135FE">
        <w:rPr>
          <w:rFonts w:ascii="Times New Roman" w:hAnsi="Times New Roman" w:cs="Times New Roman"/>
          <w:sz w:val="28"/>
          <w:szCs w:val="28"/>
        </w:rPr>
        <w:t>- Частота потребления фруктов и ягод</w:t>
      </w:r>
    </w:p>
    <w:p w14:paraId="77C69CE0" w14:textId="29878AF5" w:rsidR="007A2C38" w:rsidRPr="004135FE" w:rsidRDefault="007A2C38" w:rsidP="004135FE">
      <w:pPr>
        <w:spacing w:after="0" w:line="240" w:lineRule="auto"/>
        <w:jc w:val="both"/>
        <w:rPr>
          <w:rFonts w:ascii="Times New Roman" w:hAnsi="Times New Roman" w:cs="Times New Roman"/>
          <w:sz w:val="28"/>
          <w:szCs w:val="28"/>
        </w:rPr>
      </w:pPr>
    </w:p>
    <w:p w14:paraId="4FEAA162" w14:textId="0575DE93" w:rsidR="00D726A7" w:rsidRPr="004135FE" w:rsidRDefault="00D726A7" w:rsidP="00242938">
      <w:pPr>
        <w:spacing w:after="0" w:line="240" w:lineRule="auto"/>
        <w:ind w:firstLine="709"/>
        <w:jc w:val="both"/>
        <w:rPr>
          <w:rFonts w:ascii="Times New Roman" w:hAnsi="Times New Roman" w:cs="Times New Roman"/>
          <w:i/>
          <w:sz w:val="28"/>
          <w:szCs w:val="28"/>
        </w:rPr>
      </w:pPr>
      <w:r w:rsidRPr="004135FE">
        <w:rPr>
          <w:rFonts w:ascii="Times New Roman" w:hAnsi="Times New Roman" w:cs="Times New Roman"/>
          <w:i/>
          <w:sz w:val="28"/>
          <w:szCs w:val="28"/>
        </w:rPr>
        <w:t xml:space="preserve">Гиподинамия или НФА. </w:t>
      </w:r>
      <w:r w:rsidRPr="004135FE">
        <w:rPr>
          <w:rFonts w:ascii="Times New Roman" w:hAnsi="Times New Roman" w:cs="Times New Roman"/>
          <w:sz w:val="28"/>
          <w:szCs w:val="28"/>
        </w:rPr>
        <w:t>Распространенность гиподинамии в мире составил 70% среди мужчин и 86% среди женщин, который повышает риск развития СД2т в три раза, чем у населения с оптимальной нагрузкой.</w:t>
      </w:r>
    </w:p>
    <w:p w14:paraId="7442ED6D" w14:textId="77777777" w:rsidR="007A2C38" w:rsidRPr="004135FE" w:rsidRDefault="007A2C38" w:rsidP="00242938">
      <w:pPr>
        <w:tabs>
          <w:tab w:val="left" w:pos="315"/>
          <w:tab w:val="center" w:pos="2880"/>
        </w:tabs>
        <w:autoSpaceDE w:val="0"/>
        <w:autoSpaceDN w:val="0"/>
        <w:adjustRightInd w:val="0"/>
        <w:spacing w:after="0" w:line="240" w:lineRule="auto"/>
        <w:ind w:firstLine="709"/>
        <w:jc w:val="both"/>
        <w:rPr>
          <w:rFonts w:ascii="Times New Roman" w:hAnsi="Times New Roman" w:cs="Times New Roman"/>
          <w:bCs/>
          <w:sz w:val="28"/>
          <w:szCs w:val="28"/>
        </w:rPr>
      </w:pPr>
      <w:r w:rsidRPr="004135FE">
        <w:rPr>
          <w:rFonts w:ascii="Times New Roman" w:hAnsi="Times New Roman" w:cs="Times New Roman"/>
          <w:bCs/>
          <w:sz w:val="28"/>
          <w:szCs w:val="28"/>
        </w:rPr>
        <w:lastRenderedPageBreak/>
        <w:tab/>
        <w:t xml:space="preserve">Среди всех опрошенных наибольшая часть пациентов не видят причин для занятия физическими упражнениями, из них мужчины- 30,5%, женщины – 25,7%. Это характеризует низкую медицинскую грамотность и информированность населения.  Нет мотивации у 6,0% мужчин и 4,3% женщин, характеризует низкую приверженность. </w:t>
      </w:r>
      <w:r w:rsidRPr="004135FE">
        <w:rPr>
          <w:rFonts w:ascii="Times New Roman" w:hAnsi="Times New Roman" w:cs="Times New Roman"/>
          <w:sz w:val="28"/>
          <w:szCs w:val="28"/>
        </w:rPr>
        <w:t>Дорого посещать спорт комплекс</w:t>
      </w:r>
      <w:r w:rsidRPr="004135FE">
        <w:rPr>
          <w:rFonts w:ascii="Times New Roman" w:hAnsi="Times New Roman" w:cs="Times New Roman"/>
          <w:bCs/>
          <w:sz w:val="28"/>
          <w:szCs w:val="28"/>
        </w:rPr>
        <w:t xml:space="preserve"> 12,5% мужчинам и 11,4% женщинам. На сегодняшний день, если социальный статус и уровень дохода не позволяют посещение спорт комплекса, есть множество бесплатных и доступных видов физической активности, которые зависят от мотивации человека. </w:t>
      </w:r>
    </w:p>
    <w:p w14:paraId="469B521A" w14:textId="77777777" w:rsidR="007A2C38" w:rsidRPr="004135FE" w:rsidRDefault="007A2C38" w:rsidP="00242938">
      <w:pPr>
        <w:tabs>
          <w:tab w:val="left" w:pos="315"/>
          <w:tab w:val="center" w:pos="2880"/>
        </w:tabs>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Cs/>
          <w:sz w:val="28"/>
          <w:szCs w:val="28"/>
        </w:rPr>
        <w:tab/>
        <w:t xml:space="preserve">По состоянию здоровья не занимаются 19,40% среди всех опрошенных. У некоторых пациентов сердце не переносят нагрузок, из них мужчины- 11,0%, женщины – 11,4%.  </w:t>
      </w:r>
      <w:r w:rsidRPr="004135FE">
        <w:rPr>
          <w:rFonts w:ascii="Times New Roman" w:hAnsi="Times New Roman" w:cs="Times New Roman"/>
          <w:sz w:val="28"/>
          <w:szCs w:val="28"/>
        </w:rPr>
        <w:t xml:space="preserve">Из-за трудности купирования гипогликемии не занимаются физическими упражнениями </w:t>
      </w:r>
      <w:r w:rsidRPr="004135FE">
        <w:rPr>
          <w:rFonts w:ascii="Times New Roman" w:hAnsi="Times New Roman" w:cs="Times New Roman"/>
          <w:bCs/>
          <w:sz w:val="28"/>
          <w:szCs w:val="28"/>
        </w:rPr>
        <w:t xml:space="preserve">4,0% мужчин и 5% женщин.  Среди опрошенных есть пациенты, страдающие ортостатической гипотензией, по этой причине 2,5%- мужчин, 4,3%- женщин не занимаются физической нагрузкой </w:t>
      </w:r>
      <w:r w:rsidRPr="004135FE">
        <w:rPr>
          <w:rFonts w:ascii="Times New Roman" w:hAnsi="Times New Roman" w:cs="Times New Roman"/>
          <w:sz w:val="28"/>
          <w:szCs w:val="28"/>
        </w:rPr>
        <w:t>(χ2=3,701, df=6, p=0,05).</w:t>
      </w:r>
    </w:p>
    <w:p w14:paraId="4FA991AD" w14:textId="77777777" w:rsidR="007A2C38" w:rsidRPr="004135FE" w:rsidRDefault="007A2C38" w:rsidP="00242938">
      <w:pPr>
        <w:spacing w:after="0" w:line="240" w:lineRule="auto"/>
        <w:ind w:firstLine="709"/>
        <w:jc w:val="both"/>
        <w:rPr>
          <w:rFonts w:ascii="Times New Roman" w:hAnsi="Times New Roman" w:cs="Times New Roman"/>
          <w:sz w:val="28"/>
          <w:szCs w:val="28"/>
        </w:rPr>
      </w:pPr>
    </w:p>
    <w:p w14:paraId="374678B5"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lang w:val="en-US"/>
        </w:rPr>
      </w:pPr>
      <w:r w:rsidRPr="004135FE">
        <w:rPr>
          <w:rFonts w:ascii="Times New Roman" w:hAnsi="Times New Roman" w:cs="Times New Roman"/>
          <w:noProof/>
          <w:sz w:val="28"/>
          <w:szCs w:val="28"/>
        </w:rPr>
        <w:drawing>
          <wp:inline distT="0" distB="0" distL="0" distR="0" wp14:anchorId="0FE81ED4" wp14:editId="5B824E32">
            <wp:extent cx="6008914" cy="2536371"/>
            <wp:effectExtent l="0" t="0" r="0" b="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5918FF2" w14:textId="4DA181A5" w:rsidR="007A2C38" w:rsidRPr="004135FE" w:rsidRDefault="00B6197B" w:rsidP="00242938">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bCs/>
          <w:sz w:val="28"/>
          <w:szCs w:val="28"/>
        </w:rPr>
        <w:t>Рисунок 31</w:t>
      </w:r>
      <w:r w:rsidR="007A2C38" w:rsidRPr="004135FE">
        <w:rPr>
          <w:rFonts w:ascii="Times New Roman" w:hAnsi="Times New Roman" w:cs="Times New Roman"/>
          <w:bCs/>
          <w:sz w:val="28"/>
          <w:szCs w:val="28"/>
        </w:rPr>
        <w:t xml:space="preserve"> – Влияние половой принадлежности </w:t>
      </w:r>
      <w:r w:rsidR="007A2C38" w:rsidRPr="004135FE">
        <w:rPr>
          <w:rFonts w:ascii="Times New Roman" w:hAnsi="Times New Roman" w:cs="Times New Roman"/>
          <w:sz w:val="28"/>
          <w:szCs w:val="28"/>
        </w:rPr>
        <w:t>пациентов с СД2т</w:t>
      </w:r>
      <w:r w:rsidR="007A2C38" w:rsidRPr="004135FE">
        <w:rPr>
          <w:rFonts w:ascii="Times New Roman" w:hAnsi="Times New Roman" w:cs="Times New Roman"/>
          <w:bCs/>
          <w:sz w:val="28"/>
          <w:szCs w:val="28"/>
        </w:rPr>
        <w:t xml:space="preserve"> на причины, по которой не занимаются</w:t>
      </w:r>
      <w:r w:rsidR="007A2C38" w:rsidRPr="004135FE">
        <w:rPr>
          <w:rFonts w:ascii="Times New Roman" w:hAnsi="Times New Roman" w:cs="Times New Roman"/>
          <w:sz w:val="28"/>
          <w:szCs w:val="28"/>
        </w:rPr>
        <w:t xml:space="preserve"> физическими нагрузками</w:t>
      </w:r>
    </w:p>
    <w:p w14:paraId="5C4C08BC"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p>
    <w:p w14:paraId="6BF7FB9F" w14:textId="4182C844"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i/>
          <w:sz w:val="28"/>
          <w:szCs w:val="28"/>
        </w:rPr>
        <w:t>Курение (активное и пассивное) и алкоголь</w:t>
      </w:r>
      <w:r w:rsidRPr="004135FE">
        <w:rPr>
          <w:rFonts w:ascii="Times New Roman" w:hAnsi="Times New Roman" w:cs="Times New Roman"/>
          <w:sz w:val="28"/>
          <w:szCs w:val="28"/>
        </w:rPr>
        <w:t xml:space="preserve">. </w:t>
      </w:r>
    </w:p>
    <w:p w14:paraId="237CEF1C"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Как показало наше социологическое исследование, большинство опрошенных не курят и не употребляют алкогольных напитков, соответственно 67,90% и 59,80%. </w:t>
      </w:r>
    </w:p>
    <w:p w14:paraId="0AEDD1D4"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Среди респондентов 16,90% по 3-5 штук, 7,90% менее 1 пачки, 7,30% более 1 пачки сигарет курят в день. Редко употребляют алкоголь 32,50%, около 2 раза в неделю 5,20%, ежедневно 2,50% пациентов с СД2т.</w:t>
      </w:r>
    </w:p>
    <w:p w14:paraId="60975E85" w14:textId="77777777" w:rsidR="007A2C38" w:rsidRPr="004135FE" w:rsidRDefault="007A2C38" w:rsidP="004135FE">
      <w:pPr>
        <w:spacing w:after="0" w:line="240" w:lineRule="auto"/>
        <w:ind w:firstLine="708"/>
        <w:jc w:val="both"/>
        <w:rPr>
          <w:rFonts w:ascii="Times New Roman" w:hAnsi="Times New Roman" w:cs="Times New Roman"/>
          <w:sz w:val="28"/>
          <w:szCs w:val="28"/>
        </w:rPr>
      </w:pPr>
    </w:p>
    <w:p w14:paraId="5FE74AE9" w14:textId="0710C541" w:rsidR="00242938" w:rsidRDefault="007A2C38" w:rsidP="005E0EA9">
      <w:pPr>
        <w:spacing w:after="0" w:line="240" w:lineRule="auto"/>
        <w:jc w:val="center"/>
        <w:rPr>
          <w:rFonts w:ascii="Times New Roman" w:hAnsi="Times New Roman" w:cs="Times New Roman"/>
          <w:sz w:val="28"/>
          <w:szCs w:val="28"/>
        </w:rPr>
      </w:pPr>
      <w:r w:rsidRPr="004135FE">
        <w:rPr>
          <w:noProof/>
          <w:sz w:val="28"/>
          <w:szCs w:val="28"/>
        </w:rPr>
        <w:lastRenderedPageBreak/>
        <w:drawing>
          <wp:inline distT="0" distB="0" distL="0" distR="0" wp14:anchorId="4FA28EC9" wp14:editId="19B8217F">
            <wp:extent cx="3081866" cy="2319655"/>
            <wp:effectExtent l="0" t="0" r="4445" b="444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739EFCE" w14:textId="77777777" w:rsidR="00242938" w:rsidRDefault="00242938" w:rsidP="004135FE">
      <w:pPr>
        <w:spacing w:after="0" w:line="240" w:lineRule="auto"/>
        <w:jc w:val="both"/>
        <w:rPr>
          <w:rFonts w:ascii="Times New Roman" w:hAnsi="Times New Roman" w:cs="Times New Roman"/>
          <w:sz w:val="28"/>
          <w:szCs w:val="28"/>
        </w:rPr>
      </w:pPr>
    </w:p>
    <w:p w14:paraId="3903C465" w14:textId="77420DD1" w:rsidR="00242938" w:rsidRDefault="00242938" w:rsidP="005E0EA9">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32- Частота потребления сигарет</w:t>
      </w:r>
    </w:p>
    <w:p w14:paraId="3C18FDCB" w14:textId="77777777" w:rsidR="005E0EA9" w:rsidRDefault="005E0EA9" w:rsidP="005E0EA9">
      <w:pPr>
        <w:spacing w:after="0" w:line="240" w:lineRule="auto"/>
        <w:jc w:val="center"/>
        <w:rPr>
          <w:rFonts w:ascii="Times New Roman" w:hAnsi="Times New Roman" w:cs="Times New Roman"/>
          <w:sz w:val="28"/>
          <w:szCs w:val="28"/>
        </w:rPr>
      </w:pPr>
    </w:p>
    <w:p w14:paraId="2A121079" w14:textId="25CD19C2" w:rsidR="007A2C38" w:rsidRDefault="007A2C38" w:rsidP="005E0EA9">
      <w:pPr>
        <w:spacing w:after="0" w:line="240" w:lineRule="auto"/>
        <w:jc w:val="center"/>
        <w:rPr>
          <w:rFonts w:ascii="Times New Roman" w:hAnsi="Times New Roman" w:cs="Times New Roman"/>
          <w:sz w:val="28"/>
          <w:szCs w:val="28"/>
        </w:rPr>
      </w:pPr>
      <w:r w:rsidRPr="004135FE">
        <w:rPr>
          <w:noProof/>
          <w:sz w:val="28"/>
          <w:szCs w:val="28"/>
        </w:rPr>
        <w:drawing>
          <wp:inline distT="0" distB="0" distL="0" distR="0" wp14:anchorId="546AD29B" wp14:editId="47E9C3B4">
            <wp:extent cx="2988733" cy="2319655"/>
            <wp:effectExtent l="0" t="0" r="2540" b="4445"/>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4861E61E" w14:textId="77777777" w:rsidR="005E0EA9" w:rsidRPr="004135FE" w:rsidRDefault="005E0EA9" w:rsidP="005E0EA9">
      <w:pPr>
        <w:spacing w:after="0" w:line="240" w:lineRule="auto"/>
        <w:jc w:val="center"/>
        <w:rPr>
          <w:rFonts w:ascii="Times New Roman" w:hAnsi="Times New Roman" w:cs="Times New Roman"/>
          <w:sz w:val="28"/>
          <w:szCs w:val="28"/>
        </w:rPr>
      </w:pPr>
    </w:p>
    <w:p w14:paraId="120ECAFA" w14:textId="43177DCE" w:rsidR="007A2C38" w:rsidRPr="004135FE" w:rsidRDefault="007A2C38" w:rsidP="005E0EA9">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3</w:t>
      </w:r>
      <w:r w:rsidR="00B6197B" w:rsidRPr="004135FE">
        <w:rPr>
          <w:rFonts w:ascii="Times New Roman" w:hAnsi="Times New Roman" w:cs="Times New Roman"/>
          <w:sz w:val="28"/>
          <w:szCs w:val="28"/>
        </w:rPr>
        <w:t>3</w:t>
      </w:r>
      <w:r w:rsidRPr="004135FE">
        <w:rPr>
          <w:rFonts w:ascii="Times New Roman" w:hAnsi="Times New Roman" w:cs="Times New Roman"/>
          <w:sz w:val="28"/>
          <w:szCs w:val="28"/>
        </w:rPr>
        <w:t>- Частота употребления алкоголя</w:t>
      </w:r>
    </w:p>
    <w:p w14:paraId="5C8D8434" w14:textId="77777777" w:rsidR="007A2C38" w:rsidRPr="004135FE" w:rsidRDefault="007A2C38" w:rsidP="004135FE">
      <w:pPr>
        <w:spacing w:after="0" w:line="240" w:lineRule="auto"/>
        <w:ind w:firstLine="708"/>
        <w:jc w:val="both"/>
        <w:rPr>
          <w:rFonts w:ascii="Times New Roman" w:hAnsi="Times New Roman" w:cs="Times New Roman"/>
          <w:sz w:val="28"/>
          <w:szCs w:val="28"/>
        </w:rPr>
      </w:pPr>
    </w:p>
    <w:p w14:paraId="3C159F40" w14:textId="77777777" w:rsidR="007A2C38" w:rsidRPr="004135FE" w:rsidRDefault="007A2C38" w:rsidP="005E0EA9">
      <w:pPr>
        <w:spacing w:after="0" w:line="240" w:lineRule="auto"/>
        <w:ind w:firstLine="709"/>
        <w:rPr>
          <w:rFonts w:ascii="Times New Roman" w:hAnsi="Times New Roman" w:cs="Times New Roman"/>
          <w:sz w:val="28"/>
          <w:szCs w:val="28"/>
        </w:rPr>
      </w:pPr>
      <w:r w:rsidRPr="004135FE">
        <w:rPr>
          <w:rFonts w:ascii="Times New Roman" w:hAnsi="Times New Roman" w:cs="Times New Roman"/>
          <w:sz w:val="28"/>
          <w:szCs w:val="28"/>
        </w:rPr>
        <w:t xml:space="preserve">- </w:t>
      </w:r>
      <w:r w:rsidRPr="004135FE">
        <w:rPr>
          <w:rFonts w:ascii="Times New Roman" w:hAnsi="Times New Roman" w:cs="Times New Roman"/>
          <w:i/>
          <w:sz w:val="28"/>
          <w:szCs w:val="28"/>
        </w:rPr>
        <w:t>Предрасполагающие заболевания</w:t>
      </w:r>
      <w:r w:rsidRPr="004135FE">
        <w:rPr>
          <w:rFonts w:ascii="Times New Roman" w:hAnsi="Times New Roman" w:cs="Times New Roman"/>
          <w:sz w:val="28"/>
          <w:szCs w:val="28"/>
        </w:rPr>
        <w:t>: предиабет (нарушенная гликемия натощак и нарушенная толерантность к глюкозе), артериальная гипертония, сердечно-сосудистые заболевания, метаболический синдром, атеросклероз, нарушения жирового обмена, синдром поликистозных яичников у женщин (30-40% риск СД2т).</w:t>
      </w:r>
    </w:p>
    <w:p w14:paraId="248B245B" w14:textId="77777777" w:rsidR="007A2C38" w:rsidRPr="004135FE" w:rsidRDefault="007A2C38"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hAnsi="Times New Roman" w:cs="Times New Roman"/>
          <w:sz w:val="28"/>
          <w:szCs w:val="28"/>
        </w:rPr>
        <w:t xml:space="preserve">Из анамнеза всех участников социологического опроса выяснились артериальная гипертензия 71%, </w:t>
      </w:r>
      <w:r w:rsidRPr="004135FE">
        <w:rPr>
          <w:rFonts w:ascii="Times New Roman" w:eastAsia="Times New Roman" w:hAnsi="Times New Roman" w:cs="Times New Roman"/>
          <w:sz w:val="28"/>
          <w:szCs w:val="28"/>
        </w:rPr>
        <w:t xml:space="preserve">ишемическая болезнь сердца 45,4%, хронические печеночные заболевания 10,2%, глазные заболевания 8,3%, неврологические заболевания 14%, заболевания опорно- двигательной системы, суставов 5,6%, онкологические заболевания 2,1%. Так же при исследовании репродуктивного потенциала выяснилась </w:t>
      </w:r>
      <w:r w:rsidRPr="004135FE">
        <w:rPr>
          <w:rFonts w:ascii="Times New Roman" w:hAnsi="Times New Roman" w:cs="Times New Roman"/>
          <w:sz w:val="28"/>
          <w:szCs w:val="28"/>
        </w:rPr>
        <w:t xml:space="preserve">поликистоз яичников у </w:t>
      </w:r>
      <w:r w:rsidRPr="004135FE">
        <w:rPr>
          <w:rFonts w:ascii="Times New Roman" w:eastAsia="Times New Roman" w:hAnsi="Times New Roman" w:cs="Times New Roman"/>
          <w:sz w:val="28"/>
          <w:szCs w:val="28"/>
        </w:rPr>
        <w:t xml:space="preserve">2,7% женщин, у которых имеются кровные родственники с СД2т. </w:t>
      </w:r>
    </w:p>
    <w:p w14:paraId="08FE8330" w14:textId="77777777" w:rsidR="007A2C38" w:rsidRPr="004135FE" w:rsidRDefault="007A2C38" w:rsidP="004135FE">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4135FE">
        <w:rPr>
          <w:rFonts w:ascii="Times New Roman" w:hAnsi="Times New Roman" w:cs="Times New Roman"/>
          <w:noProof/>
          <w:sz w:val="28"/>
          <w:szCs w:val="28"/>
        </w:rPr>
        <w:lastRenderedPageBreak/>
        <w:drawing>
          <wp:anchor distT="0" distB="0" distL="114300" distR="114300" simplePos="0" relativeHeight="252166144" behindDoc="0" locked="0" layoutInCell="1" allowOverlap="1" wp14:anchorId="23C9D818" wp14:editId="55C23AF3">
            <wp:simplePos x="0" y="0"/>
            <wp:positionH relativeFrom="margin">
              <wp:posOffset>-635</wp:posOffset>
            </wp:positionH>
            <wp:positionV relativeFrom="paragraph">
              <wp:posOffset>176530</wp:posOffset>
            </wp:positionV>
            <wp:extent cx="5316220" cy="2370455"/>
            <wp:effectExtent l="0" t="0" r="0" b="0"/>
            <wp:wrapSquare wrapText="bothSides"/>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V relativeFrom="margin">
              <wp14:pctHeight>0</wp14:pctHeight>
            </wp14:sizeRelV>
          </wp:anchor>
        </w:drawing>
      </w:r>
    </w:p>
    <w:p w14:paraId="26FB90E5" w14:textId="77777777" w:rsidR="007A2C38" w:rsidRPr="004135FE" w:rsidRDefault="007A2C38" w:rsidP="004135FE">
      <w:pPr>
        <w:widowControl w:val="0"/>
        <w:autoSpaceDE w:val="0"/>
        <w:autoSpaceDN w:val="0"/>
        <w:adjustRightInd w:val="0"/>
        <w:spacing w:after="0" w:line="240" w:lineRule="auto"/>
        <w:jc w:val="both"/>
        <w:rPr>
          <w:rFonts w:ascii="Times New Roman" w:hAnsi="Times New Roman" w:cs="Times New Roman"/>
          <w:bCs/>
          <w:sz w:val="28"/>
          <w:szCs w:val="28"/>
        </w:rPr>
      </w:pPr>
    </w:p>
    <w:p w14:paraId="1BF26D79" w14:textId="77777777" w:rsidR="007A2C38" w:rsidRPr="004135FE" w:rsidRDefault="007A2C38" w:rsidP="004135FE">
      <w:pPr>
        <w:widowControl w:val="0"/>
        <w:autoSpaceDE w:val="0"/>
        <w:autoSpaceDN w:val="0"/>
        <w:adjustRightInd w:val="0"/>
        <w:spacing w:after="0" w:line="240" w:lineRule="auto"/>
        <w:jc w:val="both"/>
        <w:rPr>
          <w:rFonts w:ascii="Times New Roman" w:hAnsi="Times New Roman" w:cs="Times New Roman"/>
          <w:bCs/>
          <w:sz w:val="28"/>
          <w:szCs w:val="28"/>
        </w:rPr>
      </w:pPr>
    </w:p>
    <w:p w14:paraId="3E5E6AFD" w14:textId="77777777" w:rsidR="007A2C38" w:rsidRPr="004135FE" w:rsidRDefault="007A2C38" w:rsidP="004135FE">
      <w:pPr>
        <w:widowControl w:val="0"/>
        <w:autoSpaceDE w:val="0"/>
        <w:autoSpaceDN w:val="0"/>
        <w:adjustRightInd w:val="0"/>
        <w:spacing w:after="0" w:line="240" w:lineRule="auto"/>
        <w:jc w:val="both"/>
        <w:rPr>
          <w:rFonts w:ascii="Times New Roman" w:hAnsi="Times New Roman" w:cs="Times New Roman"/>
          <w:bCs/>
          <w:sz w:val="28"/>
          <w:szCs w:val="28"/>
        </w:rPr>
      </w:pPr>
    </w:p>
    <w:p w14:paraId="473B2FF2" w14:textId="77777777" w:rsidR="007A2C38" w:rsidRPr="004135FE" w:rsidRDefault="007A2C38" w:rsidP="004135FE">
      <w:pPr>
        <w:widowControl w:val="0"/>
        <w:autoSpaceDE w:val="0"/>
        <w:autoSpaceDN w:val="0"/>
        <w:adjustRightInd w:val="0"/>
        <w:spacing w:after="0" w:line="240" w:lineRule="auto"/>
        <w:jc w:val="both"/>
        <w:rPr>
          <w:rFonts w:ascii="Times New Roman" w:hAnsi="Times New Roman" w:cs="Times New Roman"/>
          <w:bCs/>
          <w:sz w:val="28"/>
          <w:szCs w:val="28"/>
        </w:rPr>
      </w:pPr>
    </w:p>
    <w:p w14:paraId="44AB2E0E" w14:textId="77777777" w:rsidR="007A2C38" w:rsidRPr="004135FE" w:rsidRDefault="007A2C38" w:rsidP="004135FE">
      <w:pPr>
        <w:widowControl w:val="0"/>
        <w:autoSpaceDE w:val="0"/>
        <w:autoSpaceDN w:val="0"/>
        <w:adjustRightInd w:val="0"/>
        <w:spacing w:after="0" w:line="240" w:lineRule="auto"/>
        <w:jc w:val="both"/>
        <w:rPr>
          <w:rFonts w:ascii="Times New Roman" w:hAnsi="Times New Roman" w:cs="Times New Roman"/>
          <w:bCs/>
          <w:sz w:val="28"/>
          <w:szCs w:val="28"/>
        </w:rPr>
      </w:pPr>
    </w:p>
    <w:p w14:paraId="7612B270" w14:textId="77777777" w:rsidR="007A2C38" w:rsidRPr="004135FE" w:rsidRDefault="007A2C38" w:rsidP="004135FE">
      <w:pPr>
        <w:widowControl w:val="0"/>
        <w:autoSpaceDE w:val="0"/>
        <w:autoSpaceDN w:val="0"/>
        <w:adjustRightInd w:val="0"/>
        <w:spacing w:after="0" w:line="240" w:lineRule="auto"/>
        <w:jc w:val="both"/>
        <w:rPr>
          <w:rFonts w:ascii="Times New Roman" w:hAnsi="Times New Roman" w:cs="Times New Roman"/>
          <w:bCs/>
          <w:sz w:val="28"/>
          <w:szCs w:val="28"/>
        </w:rPr>
      </w:pPr>
    </w:p>
    <w:p w14:paraId="46546D58" w14:textId="0D7FCE10" w:rsidR="007A2C38" w:rsidRPr="005E0EA9" w:rsidRDefault="005E0EA9" w:rsidP="004135FE">
      <w:pPr>
        <w:widowControl w:val="0"/>
        <w:autoSpaceDE w:val="0"/>
        <w:autoSpaceDN w:val="0"/>
        <w:adjustRightInd w:val="0"/>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p>
    <w:p w14:paraId="2FF3B025" w14:textId="77777777" w:rsidR="007A2C38" w:rsidRPr="004135FE" w:rsidRDefault="007A2C38" w:rsidP="004135FE">
      <w:pPr>
        <w:widowControl w:val="0"/>
        <w:autoSpaceDE w:val="0"/>
        <w:autoSpaceDN w:val="0"/>
        <w:adjustRightInd w:val="0"/>
        <w:spacing w:after="0" w:line="240" w:lineRule="auto"/>
        <w:jc w:val="both"/>
        <w:rPr>
          <w:rFonts w:ascii="Times New Roman" w:hAnsi="Times New Roman" w:cs="Times New Roman"/>
          <w:bCs/>
          <w:sz w:val="28"/>
          <w:szCs w:val="28"/>
        </w:rPr>
      </w:pPr>
    </w:p>
    <w:p w14:paraId="32B959DA" w14:textId="77777777" w:rsidR="007A2C38" w:rsidRPr="004135FE" w:rsidRDefault="007A2C38" w:rsidP="004135FE">
      <w:pPr>
        <w:widowControl w:val="0"/>
        <w:autoSpaceDE w:val="0"/>
        <w:autoSpaceDN w:val="0"/>
        <w:adjustRightInd w:val="0"/>
        <w:spacing w:after="0" w:line="240" w:lineRule="auto"/>
        <w:jc w:val="both"/>
        <w:rPr>
          <w:rFonts w:ascii="Times New Roman" w:hAnsi="Times New Roman" w:cs="Times New Roman"/>
          <w:bCs/>
          <w:sz w:val="28"/>
          <w:szCs w:val="28"/>
        </w:rPr>
      </w:pPr>
    </w:p>
    <w:p w14:paraId="0BB8D4F1" w14:textId="77777777" w:rsidR="007A2C38" w:rsidRPr="004135FE" w:rsidRDefault="007A2C38" w:rsidP="004135FE">
      <w:pPr>
        <w:widowControl w:val="0"/>
        <w:autoSpaceDE w:val="0"/>
        <w:autoSpaceDN w:val="0"/>
        <w:adjustRightInd w:val="0"/>
        <w:spacing w:after="0" w:line="240" w:lineRule="auto"/>
        <w:jc w:val="both"/>
        <w:rPr>
          <w:rFonts w:ascii="Times New Roman" w:hAnsi="Times New Roman" w:cs="Times New Roman"/>
          <w:bCs/>
          <w:sz w:val="28"/>
          <w:szCs w:val="28"/>
        </w:rPr>
      </w:pPr>
    </w:p>
    <w:p w14:paraId="4CCDE5BC" w14:textId="77777777" w:rsidR="007A2C38" w:rsidRPr="004135FE" w:rsidRDefault="007A2C38" w:rsidP="004135FE">
      <w:pPr>
        <w:widowControl w:val="0"/>
        <w:autoSpaceDE w:val="0"/>
        <w:autoSpaceDN w:val="0"/>
        <w:adjustRightInd w:val="0"/>
        <w:spacing w:after="0" w:line="240" w:lineRule="auto"/>
        <w:jc w:val="both"/>
        <w:rPr>
          <w:rFonts w:ascii="Times New Roman" w:hAnsi="Times New Roman" w:cs="Times New Roman"/>
          <w:bCs/>
          <w:sz w:val="28"/>
          <w:szCs w:val="28"/>
        </w:rPr>
      </w:pPr>
    </w:p>
    <w:p w14:paraId="11F34261" w14:textId="77777777" w:rsidR="007A2C38" w:rsidRPr="004135FE" w:rsidRDefault="007A2C38" w:rsidP="004135FE">
      <w:pPr>
        <w:widowControl w:val="0"/>
        <w:autoSpaceDE w:val="0"/>
        <w:autoSpaceDN w:val="0"/>
        <w:adjustRightInd w:val="0"/>
        <w:spacing w:after="0" w:line="240" w:lineRule="auto"/>
        <w:jc w:val="both"/>
        <w:rPr>
          <w:rFonts w:ascii="Times New Roman" w:hAnsi="Times New Roman" w:cs="Times New Roman"/>
          <w:bCs/>
          <w:sz w:val="28"/>
          <w:szCs w:val="28"/>
        </w:rPr>
      </w:pPr>
    </w:p>
    <w:p w14:paraId="6CDEB9F4" w14:textId="77777777" w:rsidR="007A2C38" w:rsidRPr="004135FE" w:rsidRDefault="007A2C38" w:rsidP="004135FE">
      <w:pPr>
        <w:widowControl w:val="0"/>
        <w:autoSpaceDE w:val="0"/>
        <w:autoSpaceDN w:val="0"/>
        <w:adjustRightInd w:val="0"/>
        <w:spacing w:after="0" w:line="240" w:lineRule="auto"/>
        <w:jc w:val="both"/>
        <w:rPr>
          <w:rFonts w:ascii="Times New Roman" w:hAnsi="Times New Roman" w:cs="Times New Roman"/>
          <w:bCs/>
          <w:sz w:val="28"/>
          <w:szCs w:val="28"/>
        </w:rPr>
      </w:pPr>
    </w:p>
    <w:p w14:paraId="433198C5" w14:textId="55AA052E" w:rsidR="007A2C38" w:rsidRPr="004135FE" w:rsidRDefault="007A2C38" w:rsidP="005E0EA9">
      <w:pPr>
        <w:widowControl w:val="0"/>
        <w:autoSpaceDE w:val="0"/>
        <w:autoSpaceDN w:val="0"/>
        <w:adjustRightInd w:val="0"/>
        <w:spacing w:after="0" w:line="240" w:lineRule="auto"/>
        <w:jc w:val="center"/>
        <w:rPr>
          <w:rFonts w:ascii="Times New Roman" w:hAnsi="Times New Roman" w:cs="Times New Roman"/>
          <w:b/>
          <w:bCs/>
          <w:sz w:val="28"/>
          <w:szCs w:val="28"/>
        </w:rPr>
      </w:pPr>
      <w:r w:rsidRPr="004135FE">
        <w:rPr>
          <w:rFonts w:ascii="Times New Roman" w:hAnsi="Times New Roman" w:cs="Times New Roman"/>
          <w:bCs/>
          <w:sz w:val="28"/>
          <w:szCs w:val="28"/>
        </w:rPr>
        <w:t>Рисунок 3</w:t>
      </w:r>
      <w:r w:rsidR="00B6197B" w:rsidRPr="004135FE">
        <w:rPr>
          <w:rFonts w:ascii="Times New Roman" w:hAnsi="Times New Roman" w:cs="Times New Roman"/>
          <w:bCs/>
          <w:sz w:val="28"/>
          <w:szCs w:val="28"/>
        </w:rPr>
        <w:t>4</w:t>
      </w:r>
      <w:r w:rsidRPr="004135FE">
        <w:rPr>
          <w:rFonts w:ascii="Times New Roman" w:hAnsi="Times New Roman" w:cs="Times New Roman"/>
          <w:bCs/>
          <w:sz w:val="28"/>
          <w:szCs w:val="28"/>
        </w:rPr>
        <w:t xml:space="preserve"> - Наличие сопутствующих заболевании у пациентов с СД2т</w:t>
      </w:r>
    </w:p>
    <w:p w14:paraId="60BEA81D" w14:textId="77777777" w:rsidR="007A2C38" w:rsidRPr="004135FE" w:rsidRDefault="007A2C38" w:rsidP="004135FE">
      <w:pPr>
        <w:spacing w:after="0" w:line="240" w:lineRule="auto"/>
        <w:rPr>
          <w:rFonts w:ascii="Times New Roman" w:hAnsi="Times New Roman" w:cs="Times New Roman"/>
          <w:b/>
          <w:i/>
          <w:sz w:val="28"/>
          <w:szCs w:val="28"/>
        </w:rPr>
      </w:pPr>
    </w:p>
    <w:p w14:paraId="0D44459E" w14:textId="77777777" w:rsidR="007A2C38" w:rsidRPr="005E0EA9" w:rsidRDefault="007A2C38" w:rsidP="005E0EA9">
      <w:pPr>
        <w:spacing w:after="0" w:line="240" w:lineRule="auto"/>
        <w:ind w:firstLine="709"/>
        <w:jc w:val="both"/>
        <w:rPr>
          <w:rFonts w:ascii="Times New Roman" w:hAnsi="Times New Roman" w:cs="Times New Roman"/>
          <w:bCs/>
          <w:i/>
          <w:sz w:val="28"/>
          <w:szCs w:val="28"/>
        </w:rPr>
      </w:pPr>
      <w:r w:rsidRPr="005E0EA9">
        <w:rPr>
          <w:rFonts w:ascii="Times New Roman" w:hAnsi="Times New Roman" w:cs="Times New Roman"/>
          <w:bCs/>
          <w:i/>
          <w:sz w:val="28"/>
          <w:szCs w:val="28"/>
        </w:rPr>
        <w:t>Другие группы факторов риска развития СД2т.</w:t>
      </w:r>
    </w:p>
    <w:p w14:paraId="1A039DEF" w14:textId="77777777" w:rsidR="00A16DE0" w:rsidRPr="004135FE" w:rsidRDefault="007A2C38" w:rsidP="005E0EA9">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К другим факторам риска развития СД2т относятся:</w:t>
      </w:r>
      <w:r w:rsidR="00A16DE0" w:rsidRPr="004135FE">
        <w:rPr>
          <w:rFonts w:ascii="Times New Roman" w:hAnsi="Times New Roman" w:cs="Times New Roman"/>
          <w:sz w:val="28"/>
          <w:szCs w:val="28"/>
        </w:rPr>
        <w:t xml:space="preserve"> </w:t>
      </w:r>
    </w:p>
    <w:p w14:paraId="0F2F7327" w14:textId="67538891" w:rsidR="007A2C38" w:rsidRPr="004135FE" w:rsidRDefault="00A16DE0" w:rsidP="005E0EA9">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 Состояние здоровья при беременности, как нарушение ИМТ, гипергликемия, отягощенный анамнез с ГСД, исход родов с весом 4кг ребенка, врожденные пороки у ребенка. </w:t>
      </w:r>
    </w:p>
    <w:p w14:paraId="58F632A9" w14:textId="1EF8A0D2" w:rsidR="007A2C38" w:rsidRPr="004135FE" w:rsidRDefault="007A2C38" w:rsidP="005E0EA9">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 Стресс и депрессия </w:t>
      </w:r>
    </w:p>
    <w:p w14:paraId="62BD84E0" w14:textId="4AB2C28C" w:rsidR="00A16DE0" w:rsidRPr="004135FE" w:rsidRDefault="00A16DE0" w:rsidP="005E0EA9">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w:t>
      </w:r>
      <w:r w:rsidR="005E0EA9">
        <w:rPr>
          <w:rFonts w:ascii="Times New Roman" w:hAnsi="Times New Roman" w:cs="Times New Roman"/>
          <w:sz w:val="28"/>
          <w:szCs w:val="28"/>
          <w:lang w:val="kk-KZ"/>
        </w:rPr>
        <w:t xml:space="preserve"> </w:t>
      </w:r>
      <w:r w:rsidRPr="004135FE">
        <w:rPr>
          <w:rFonts w:ascii="Times New Roman" w:hAnsi="Times New Roman" w:cs="Times New Roman"/>
          <w:sz w:val="28"/>
          <w:szCs w:val="28"/>
        </w:rPr>
        <w:t>Социальные детерминанты</w:t>
      </w:r>
      <w:r w:rsidR="00E73C1A" w:rsidRPr="004135FE">
        <w:rPr>
          <w:rFonts w:ascii="Times New Roman" w:hAnsi="Times New Roman" w:cs="Times New Roman"/>
          <w:sz w:val="28"/>
          <w:szCs w:val="28"/>
        </w:rPr>
        <w:t>, финансовое неблагополучие.</w:t>
      </w:r>
    </w:p>
    <w:p w14:paraId="780253A2" w14:textId="46DE5E6F" w:rsidR="007A2C38" w:rsidRPr="004135FE" w:rsidRDefault="00E73C1A" w:rsidP="005E0EA9">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w:t>
      </w:r>
      <w:r w:rsidR="005E0EA9">
        <w:rPr>
          <w:rFonts w:ascii="Times New Roman" w:hAnsi="Times New Roman" w:cs="Times New Roman"/>
          <w:sz w:val="28"/>
          <w:szCs w:val="28"/>
          <w:lang w:val="kk-KZ"/>
        </w:rPr>
        <w:t xml:space="preserve"> </w:t>
      </w:r>
      <w:r w:rsidR="007A2C38" w:rsidRPr="004135FE">
        <w:rPr>
          <w:rFonts w:ascii="Times New Roman" w:hAnsi="Times New Roman" w:cs="Times New Roman"/>
          <w:sz w:val="28"/>
          <w:szCs w:val="28"/>
        </w:rPr>
        <w:t>Уровень образования, трудовая занятость, доход так же влияет на низкую медицинскую грамотность и вовлеченность обучающих тренингов, приверженность, доступность медицинской услуги и ЛС.</w:t>
      </w:r>
    </w:p>
    <w:p w14:paraId="0C4F70AE" w14:textId="77777777" w:rsidR="007A2C38" w:rsidRPr="004135FE" w:rsidRDefault="007A2C38" w:rsidP="005E0EA9">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Вышеуказанные факторы риска более детально изучены и описаны в соответствующих подразделах данной главы, посвященные репродуктивному потенциалу пациентов с СД2т, психосоциальной поддержке пациентов, влияние социально-экономических детерминант на здоровье.</w:t>
      </w:r>
    </w:p>
    <w:p w14:paraId="5EA27C61" w14:textId="77777777" w:rsidR="007A2C38" w:rsidRPr="004135FE" w:rsidRDefault="007A2C38" w:rsidP="005E0EA9">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Таким образом, через управления и влияния на факторы риска необходимо реализовать профилактические меры в борьбе с СД2т</w:t>
      </w:r>
    </w:p>
    <w:p w14:paraId="4F3B1CC0" w14:textId="4922E1C8" w:rsidR="007A2C38" w:rsidRPr="004135FE" w:rsidRDefault="007A2C38" w:rsidP="004135FE">
      <w:pPr>
        <w:shd w:val="clear" w:color="auto" w:fill="FFFFFF"/>
        <w:spacing w:after="0" w:line="240" w:lineRule="auto"/>
        <w:jc w:val="both"/>
        <w:rPr>
          <w:rFonts w:ascii="Times New Roman" w:eastAsia="Times New Roman" w:hAnsi="Times New Roman" w:cs="Times New Roman"/>
          <w:sz w:val="28"/>
          <w:szCs w:val="28"/>
        </w:rPr>
      </w:pPr>
    </w:p>
    <w:p w14:paraId="22E8F2D5" w14:textId="3AC8A332" w:rsidR="007A2C38" w:rsidRPr="005E0EA9" w:rsidRDefault="007A2C38" w:rsidP="005E0EA9">
      <w:pPr>
        <w:spacing w:after="0" w:line="240" w:lineRule="auto"/>
        <w:ind w:firstLine="709"/>
        <w:jc w:val="both"/>
        <w:rPr>
          <w:rFonts w:ascii="Times New Roman" w:hAnsi="Times New Roman" w:cs="Times New Roman"/>
          <w:sz w:val="28"/>
          <w:szCs w:val="28"/>
        </w:rPr>
      </w:pPr>
      <w:r w:rsidRPr="005E0EA9">
        <w:rPr>
          <w:rFonts w:ascii="Times New Roman" w:eastAsia="Times New Roman" w:hAnsi="Times New Roman" w:cs="Times New Roman"/>
          <w:sz w:val="28"/>
          <w:szCs w:val="28"/>
        </w:rPr>
        <w:t xml:space="preserve">4.2.2.1 </w:t>
      </w:r>
      <w:r w:rsidRPr="005E0EA9">
        <w:rPr>
          <w:rFonts w:ascii="Times New Roman" w:hAnsi="Times New Roman" w:cs="Times New Roman"/>
          <w:sz w:val="28"/>
          <w:szCs w:val="28"/>
        </w:rPr>
        <w:t>Возможности профилактических мер при реализации межсекторального сотрудниче</w:t>
      </w:r>
      <w:r w:rsidR="00DF6E9B" w:rsidRPr="005E0EA9">
        <w:rPr>
          <w:rFonts w:ascii="Times New Roman" w:hAnsi="Times New Roman" w:cs="Times New Roman"/>
          <w:sz w:val="28"/>
          <w:szCs w:val="28"/>
        </w:rPr>
        <w:t>ства на государственном уровне</w:t>
      </w:r>
    </w:p>
    <w:p w14:paraId="5DB8AB2C" w14:textId="77777777" w:rsidR="007A2C38" w:rsidRPr="004135FE" w:rsidRDefault="007A2C38" w:rsidP="004135FE">
      <w:pPr>
        <w:spacing w:after="0" w:line="240" w:lineRule="auto"/>
        <w:ind w:firstLine="708"/>
        <w:jc w:val="both"/>
        <w:rPr>
          <w:rFonts w:ascii="Times New Roman" w:hAnsi="Times New Roman" w:cs="Times New Roman"/>
          <w:b/>
          <w:sz w:val="28"/>
          <w:szCs w:val="28"/>
        </w:rPr>
      </w:pPr>
      <w:r w:rsidRPr="005E0EA9">
        <w:rPr>
          <w:rFonts w:ascii="Times New Roman" w:hAnsi="Times New Roman" w:cs="Times New Roman"/>
          <w:bCs/>
          <w:i/>
          <w:sz w:val="28"/>
          <w:szCs w:val="28"/>
        </w:rPr>
        <w:t>1. Образ жизни и социальный статус/занятость респондентов с СД2т.</w:t>
      </w:r>
      <w:r w:rsidRPr="004135FE">
        <w:rPr>
          <w:rFonts w:ascii="Times New Roman" w:hAnsi="Times New Roman" w:cs="Times New Roman"/>
          <w:sz w:val="28"/>
          <w:szCs w:val="28"/>
        </w:rPr>
        <w:t xml:space="preserve"> Одним из главных определяющих факторов в образе жизни при СД2т, является социальный статус/занятость, которые влияют на определенный уровень свободу выбора и действия пациента. По результату нашего исследования, выявлено влияние социального статуса пациента с его действием, касательно получения информации о наличии препарата в аптеке поликлиники.  Среди опрошенных по социальному статусу </w:t>
      </w:r>
      <w:r w:rsidRPr="004135FE">
        <w:rPr>
          <w:rFonts w:ascii="Times New Roman" w:eastAsia="Times New Roman" w:hAnsi="Times New Roman" w:cs="Times New Roman"/>
          <w:color w:val="000000"/>
          <w:sz w:val="28"/>
          <w:szCs w:val="28"/>
        </w:rPr>
        <w:t>35,64</w:t>
      </w:r>
      <w:r w:rsidRPr="004135FE">
        <w:rPr>
          <w:rFonts w:ascii="Times New Roman" w:eastAsia="Times New Roman" w:hAnsi="Times New Roman" w:cs="Times New Roman"/>
          <w:sz w:val="28"/>
          <w:szCs w:val="28"/>
        </w:rPr>
        <w:t xml:space="preserve">% </w:t>
      </w:r>
      <w:r w:rsidRPr="004135FE">
        <w:rPr>
          <w:rFonts w:ascii="Times New Roman" w:hAnsi="Times New Roman" w:cs="Times New Roman"/>
          <w:sz w:val="28"/>
          <w:szCs w:val="28"/>
        </w:rPr>
        <w:t xml:space="preserve">занятые и </w:t>
      </w:r>
      <w:r w:rsidRPr="004135FE">
        <w:rPr>
          <w:rFonts w:ascii="Times New Roman" w:eastAsia="Times New Roman" w:hAnsi="Times New Roman" w:cs="Times New Roman"/>
          <w:color w:val="000000"/>
          <w:sz w:val="28"/>
          <w:szCs w:val="28"/>
        </w:rPr>
        <w:t>28,06</w:t>
      </w:r>
      <w:r w:rsidRPr="004135FE">
        <w:rPr>
          <w:rFonts w:ascii="Times New Roman" w:eastAsia="Times New Roman" w:hAnsi="Times New Roman" w:cs="Times New Roman"/>
          <w:sz w:val="28"/>
          <w:szCs w:val="28"/>
        </w:rPr>
        <w:t xml:space="preserve">% без работные </w:t>
      </w:r>
      <w:r w:rsidRPr="004135FE">
        <w:rPr>
          <w:rFonts w:ascii="Times New Roman" w:hAnsi="Times New Roman" w:cs="Times New Roman"/>
          <w:sz w:val="28"/>
          <w:szCs w:val="28"/>
        </w:rPr>
        <w:t xml:space="preserve">о поступлениях препарата при отсутствии их в аптеке поликлиники получают уведомления от медицинской сестры кабинета </w:t>
      </w:r>
      <w:r w:rsidRPr="004135FE">
        <w:rPr>
          <w:rFonts w:ascii="Times New Roman" w:hAnsi="Times New Roman" w:cs="Times New Roman"/>
          <w:sz w:val="28"/>
          <w:szCs w:val="28"/>
        </w:rPr>
        <w:lastRenderedPageBreak/>
        <w:t xml:space="preserve">эндокринолога.  </w:t>
      </w:r>
      <w:r w:rsidRPr="004135FE">
        <w:rPr>
          <w:rFonts w:ascii="Times New Roman" w:eastAsia="Times New Roman" w:hAnsi="Times New Roman" w:cs="Times New Roman"/>
          <w:color w:val="000000"/>
          <w:sz w:val="28"/>
          <w:szCs w:val="28"/>
        </w:rPr>
        <w:t>21,78</w:t>
      </w:r>
      <w:r w:rsidRPr="004135FE">
        <w:rPr>
          <w:rFonts w:ascii="Times New Roman" w:eastAsia="Times New Roman" w:hAnsi="Times New Roman" w:cs="Times New Roman"/>
          <w:sz w:val="28"/>
          <w:szCs w:val="28"/>
        </w:rPr>
        <w:t xml:space="preserve">% занятые, </w:t>
      </w:r>
      <w:r w:rsidRPr="004135FE">
        <w:rPr>
          <w:rFonts w:ascii="Times New Roman" w:eastAsia="Times New Roman" w:hAnsi="Times New Roman" w:cs="Times New Roman"/>
          <w:color w:val="000000"/>
          <w:sz w:val="28"/>
          <w:szCs w:val="28"/>
        </w:rPr>
        <w:t>21,58</w:t>
      </w:r>
      <w:r w:rsidRPr="004135FE">
        <w:rPr>
          <w:rFonts w:ascii="Times New Roman" w:eastAsia="Times New Roman" w:hAnsi="Times New Roman" w:cs="Times New Roman"/>
          <w:sz w:val="28"/>
          <w:szCs w:val="28"/>
        </w:rPr>
        <w:t xml:space="preserve">% безработных </w:t>
      </w:r>
      <w:r w:rsidRPr="004135FE">
        <w:rPr>
          <w:rFonts w:ascii="Times New Roman" w:hAnsi="Times New Roman" w:cs="Times New Roman"/>
          <w:sz w:val="28"/>
          <w:szCs w:val="28"/>
        </w:rPr>
        <w:t xml:space="preserve">получают уведомления от врача эндокринолога, </w:t>
      </w:r>
      <w:r w:rsidRPr="004135FE">
        <w:rPr>
          <w:rFonts w:ascii="Times New Roman" w:eastAsia="Times New Roman" w:hAnsi="Times New Roman" w:cs="Times New Roman"/>
          <w:color w:val="000000"/>
          <w:sz w:val="28"/>
          <w:szCs w:val="28"/>
        </w:rPr>
        <w:t>23,02</w:t>
      </w:r>
      <w:r w:rsidRPr="004135FE">
        <w:rPr>
          <w:rFonts w:ascii="Times New Roman" w:eastAsia="Times New Roman" w:hAnsi="Times New Roman" w:cs="Times New Roman"/>
          <w:sz w:val="28"/>
          <w:szCs w:val="28"/>
        </w:rPr>
        <w:t xml:space="preserve">% без работные, </w:t>
      </w:r>
      <w:r w:rsidRPr="004135FE">
        <w:rPr>
          <w:rFonts w:ascii="Times New Roman" w:eastAsia="Times New Roman" w:hAnsi="Times New Roman" w:cs="Times New Roman"/>
          <w:color w:val="000000"/>
          <w:sz w:val="28"/>
          <w:szCs w:val="28"/>
        </w:rPr>
        <w:t>19,31</w:t>
      </w:r>
      <w:r w:rsidRPr="004135FE">
        <w:rPr>
          <w:rFonts w:ascii="Times New Roman" w:eastAsia="Times New Roman" w:hAnsi="Times New Roman" w:cs="Times New Roman"/>
          <w:sz w:val="28"/>
          <w:szCs w:val="28"/>
        </w:rPr>
        <w:t xml:space="preserve">% </w:t>
      </w:r>
      <w:r w:rsidRPr="004135FE">
        <w:rPr>
          <w:rFonts w:ascii="Times New Roman" w:hAnsi="Times New Roman" w:cs="Times New Roman"/>
          <w:sz w:val="28"/>
          <w:szCs w:val="28"/>
        </w:rPr>
        <w:t xml:space="preserve">занятые от ВОП, </w:t>
      </w:r>
      <w:r w:rsidRPr="004135FE">
        <w:rPr>
          <w:rFonts w:ascii="Times New Roman" w:eastAsia="Times New Roman" w:hAnsi="Times New Roman" w:cs="Times New Roman"/>
          <w:color w:val="000000"/>
          <w:sz w:val="28"/>
          <w:szCs w:val="28"/>
        </w:rPr>
        <w:t>22,66</w:t>
      </w:r>
      <w:r w:rsidRPr="004135FE">
        <w:rPr>
          <w:rFonts w:ascii="Times New Roman" w:eastAsia="Times New Roman" w:hAnsi="Times New Roman" w:cs="Times New Roman"/>
          <w:sz w:val="28"/>
          <w:szCs w:val="28"/>
        </w:rPr>
        <w:t xml:space="preserve">% без работные, </w:t>
      </w:r>
      <w:r w:rsidRPr="004135FE">
        <w:rPr>
          <w:rFonts w:ascii="Times New Roman" w:eastAsia="Times New Roman" w:hAnsi="Times New Roman" w:cs="Times New Roman"/>
          <w:color w:val="000000"/>
          <w:sz w:val="28"/>
          <w:szCs w:val="28"/>
        </w:rPr>
        <w:t>19,80</w:t>
      </w:r>
      <w:r w:rsidRPr="004135FE">
        <w:rPr>
          <w:rFonts w:ascii="Times New Roman" w:eastAsia="Times New Roman" w:hAnsi="Times New Roman" w:cs="Times New Roman"/>
          <w:sz w:val="28"/>
          <w:szCs w:val="28"/>
        </w:rPr>
        <w:t>%</w:t>
      </w:r>
      <w:r w:rsidRPr="004135FE">
        <w:rPr>
          <w:rFonts w:ascii="Times New Roman" w:hAnsi="Times New Roman" w:cs="Times New Roman"/>
          <w:sz w:val="28"/>
          <w:szCs w:val="28"/>
        </w:rPr>
        <w:t xml:space="preserve"> занятые от провизора аптеки. (χ2=54,253, df=32, p=0,04).  </w:t>
      </w:r>
    </w:p>
    <w:p w14:paraId="108B9001" w14:textId="77777777" w:rsidR="007A2C38" w:rsidRPr="004135FE" w:rsidRDefault="007A2C38" w:rsidP="004135FE">
      <w:pPr>
        <w:spacing w:after="0" w:line="240" w:lineRule="auto"/>
        <w:ind w:firstLine="567"/>
        <w:jc w:val="both"/>
        <w:rPr>
          <w:rFonts w:ascii="Times New Roman" w:eastAsia="Times New Roman" w:hAnsi="Times New Roman" w:cs="Times New Roman"/>
          <w:sz w:val="28"/>
          <w:szCs w:val="28"/>
        </w:rPr>
      </w:pPr>
      <w:r w:rsidRPr="004135FE">
        <w:rPr>
          <w:rFonts w:ascii="Times New Roman" w:hAnsi="Times New Roman" w:cs="Times New Roman"/>
          <w:bCs/>
          <w:sz w:val="28"/>
          <w:szCs w:val="28"/>
        </w:rPr>
        <w:t>Выявлено, что социальный статус пациента влияет на приверженность назначениям эндокринолога</w:t>
      </w:r>
      <w:r w:rsidRPr="004135FE">
        <w:rPr>
          <w:rFonts w:ascii="Times New Roman" w:hAnsi="Times New Roman" w:cs="Times New Roman"/>
          <w:sz w:val="28"/>
          <w:szCs w:val="28"/>
        </w:rPr>
        <w:t xml:space="preserve">, которые не выдаются по бесплатному рецепту. Анализ ответов пациентов с СД2т показало, что </w:t>
      </w:r>
      <w:r w:rsidRPr="004135FE">
        <w:rPr>
          <w:rFonts w:ascii="Times New Roman" w:eastAsia="Times New Roman" w:hAnsi="Times New Roman" w:cs="Times New Roman"/>
          <w:color w:val="000000"/>
          <w:sz w:val="28"/>
          <w:szCs w:val="28"/>
        </w:rPr>
        <w:t>59,41</w:t>
      </w:r>
      <w:r w:rsidRPr="004135FE">
        <w:rPr>
          <w:rFonts w:ascii="Times New Roman" w:hAnsi="Times New Roman" w:cs="Times New Roman"/>
          <w:sz w:val="28"/>
          <w:szCs w:val="28"/>
        </w:rPr>
        <w:t xml:space="preserve">% занятых и </w:t>
      </w:r>
      <w:r w:rsidRPr="004135FE">
        <w:rPr>
          <w:rFonts w:ascii="Times New Roman" w:eastAsia="Times New Roman" w:hAnsi="Times New Roman" w:cs="Times New Roman"/>
          <w:color w:val="000000"/>
          <w:sz w:val="28"/>
          <w:szCs w:val="28"/>
        </w:rPr>
        <w:t>50,00</w:t>
      </w:r>
      <w:r w:rsidRPr="004135FE">
        <w:rPr>
          <w:rFonts w:ascii="Times New Roman" w:hAnsi="Times New Roman" w:cs="Times New Roman"/>
          <w:sz w:val="28"/>
          <w:szCs w:val="28"/>
        </w:rPr>
        <w:t xml:space="preserve">% безработных приобретают за свой счет назначенные ЛС, </w:t>
      </w:r>
      <w:r w:rsidRPr="004135FE">
        <w:rPr>
          <w:rFonts w:ascii="Times New Roman" w:eastAsia="Times New Roman" w:hAnsi="Times New Roman" w:cs="Times New Roman"/>
          <w:color w:val="000000"/>
          <w:sz w:val="28"/>
          <w:szCs w:val="28"/>
        </w:rPr>
        <w:t>26,98</w:t>
      </w:r>
      <w:r w:rsidRPr="004135FE">
        <w:rPr>
          <w:rFonts w:ascii="Times New Roman" w:eastAsia="Times New Roman" w:hAnsi="Times New Roman" w:cs="Times New Roman"/>
          <w:sz w:val="28"/>
          <w:szCs w:val="28"/>
        </w:rPr>
        <w:t xml:space="preserve">% безработных и </w:t>
      </w:r>
      <w:r w:rsidRPr="004135FE">
        <w:rPr>
          <w:rFonts w:ascii="Times New Roman" w:eastAsia="Times New Roman" w:hAnsi="Times New Roman" w:cs="Times New Roman"/>
          <w:color w:val="000000"/>
          <w:sz w:val="28"/>
          <w:szCs w:val="28"/>
        </w:rPr>
        <w:t xml:space="preserve">18,81% </w:t>
      </w:r>
      <w:r w:rsidRPr="004135FE">
        <w:rPr>
          <w:rFonts w:ascii="Times New Roman" w:eastAsia="Times New Roman" w:hAnsi="Times New Roman" w:cs="Times New Roman"/>
          <w:sz w:val="28"/>
          <w:szCs w:val="28"/>
        </w:rPr>
        <w:t xml:space="preserve">занятые </w:t>
      </w:r>
      <w:r w:rsidRPr="004135FE">
        <w:rPr>
          <w:rFonts w:ascii="Times New Roman" w:hAnsi="Times New Roman" w:cs="Times New Roman"/>
          <w:sz w:val="28"/>
          <w:szCs w:val="28"/>
        </w:rPr>
        <w:t xml:space="preserve">не имеют возможность принимают препараты на платной основе. </w:t>
      </w:r>
      <w:r w:rsidRPr="004135FE">
        <w:rPr>
          <w:rFonts w:ascii="Times New Roman" w:eastAsia="Times New Roman" w:hAnsi="Times New Roman" w:cs="Times New Roman"/>
          <w:color w:val="000000"/>
          <w:sz w:val="28"/>
          <w:szCs w:val="28"/>
        </w:rPr>
        <w:t>23,02</w:t>
      </w:r>
      <w:r w:rsidRPr="004135FE">
        <w:rPr>
          <w:rFonts w:ascii="Times New Roman" w:eastAsia="Times New Roman" w:hAnsi="Times New Roman" w:cs="Times New Roman"/>
          <w:sz w:val="28"/>
          <w:szCs w:val="28"/>
        </w:rPr>
        <w:t xml:space="preserve">% безработных и </w:t>
      </w:r>
      <w:r w:rsidRPr="004135FE">
        <w:rPr>
          <w:rFonts w:ascii="Times New Roman" w:eastAsia="Times New Roman" w:hAnsi="Times New Roman" w:cs="Times New Roman"/>
          <w:color w:val="000000"/>
          <w:sz w:val="28"/>
          <w:szCs w:val="28"/>
        </w:rPr>
        <w:t xml:space="preserve">21,78% </w:t>
      </w:r>
      <w:r w:rsidRPr="004135FE">
        <w:rPr>
          <w:rFonts w:ascii="Times New Roman" w:eastAsia="Times New Roman" w:hAnsi="Times New Roman" w:cs="Times New Roman"/>
          <w:sz w:val="28"/>
          <w:szCs w:val="28"/>
        </w:rPr>
        <w:t xml:space="preserve">занятых иногда </w:t>
      </w:r>
      <w:r w:rsidRPr="004135FE">
        <w:rPr>
          <w:rFonts w:ascii="Times New Roman" w:hAnsi="Times New Roman" w:cs="Times New Roman"/>
          <w:sz w:val="28"/>
          <w:szCs w:val="28"/>
        </w:rPr>
        <w:t xml:space="preserve">приобретают назначенные препараты за свой счет (χ2=37,375, </w:t>
      </w:r>
      <w:r w:rsidRPr="004135FE">
        <w:rPr>
          <w:rFonts w:ascii="Times New Roman" w:hAnsi="Times New Roman" w:cs="Times New Roman"/>
          <w:sz w:val="28"/>
          <w:szCs w:val="28"/>
          <w:lang w:val="en-US"/>
        </w:rPr>
        <w:t>df</w:t>
      </w:r>
      <w:r w:rsidRPr="004135FE">
        <w:rPr>
          <w:rFonts w:ascii="Times New Roman" w:hAnsi="Times New Roman" w:cs="Times New Roman"/>
          <w:sz w:val="28"/>
          <w:szCs w:val="28"/>
        </w:rPr>
        <w:t xml:space="preserve">=16, </w:t>
      </w:r>
      <w:r w:rsidRPr="004135FE">
        <w:rPr>
          <w:rFonts w:ascii="Times New Roman" w:hAnsi="Times New Roman" w:cs="Times New Roman"/>
          <w:sz w:val="28"/>
          <w:szCs w:val="28"/>
          <w:lang w:val="en-US"/>
        </w:rPr>
        <w:t>p</w:t>
      </w:r>
      <w:r w:rsidRPr="004135FE">
        <w:rPr>
          <w:rFonts w:ascii="Times New Roman" w:hAnsi="Times New Roman" w:cs="Times New Roman"/>
          <w:sz w:val="28"/>
          <w:szCs w:val="28"/>
        </w:rPr>
        <w:t>=0,002).</w:t>
      </w:r>
    </w:p>
    <w:p w14:paraId="552021BF" w14:textId="0F6A9BE6" w:rsidR="007A2C38" w:rsidRPr="004135FE" w:rsidRDefault="007A2C38" w:rsidP="004135FE">
      <w:pPr>
        <w:spacing w:after="0" w:line="240" w:lineRule="auto"/>
        <w:ind w:firstLine="567"/>
        <w:jc w:val="both"/>
        <w:rPr>
          <w:rFonts w:ascii="Times New Roman" w:hAnsi="Times New Roman" w:cs="Times New Roman"/>
          <w:sz w:val="28"/>
          <w:szCs w:val="28"/>
        </w:rPr>
      </w:pPr>
      <w:r w:rsidRPr="004135FE">
        <w:rPr>
          <w:rFonts w:ascii="Times New Roman" w:hAnsi="Times New Roman" w:cs="Times New Roman"/>
          <w:sz w:val="28"/>
          <w:szCs w:val="28"/>
        </w:rPr>
        <w:t xml:space="preserve">Среди опрошенных </w:t>
      </w:r>
      <w:r w:rsidRPr="004135FE">
        <w:rPr>
          <w:rFonts w:ascii="Times New Roman" w:eastAsia="Times New Roman" w:hAnsi="Times New Roman" w:cs="Times New Roman"/>
          <w:color w:val="000000"/>
          <w:sz w:val="28"/>
          <w:szCs w:val="28"/>
        </w:rPr>
        <w:t>73,02</w:t>
      </w:r>
      <w:r w:rsidRPr="004135FE">
        <w:rPr>
          <w:rFonts w:ascii="Times New Roman" w:hAnsi="Times New Roman" w:cs="Times New Roman"/>
          <w:sz w:val="28"/>
          <w:szCs w:val="28"/>
        </w:rPr>
        <w:t xml:space="preserve">% безработных и </w:t>
      </w:r>
      <w:r w:rsidRPr="004135FE">
        <w:rPr>
          <w:rFonts w:ascii="Times New Roman" w:eastAsia="Times New Roman" w:hAnsi="Times New Roman" w:cs="Times New Roman"/>
          <w:color w:val="000000"/>
          <w:sz w:val="28"/>
          <w:szCs w:val="28"/>
        </w:rPr>
        <w:t>60,89</w:t>
      </w:r>
      <w:r w:rsidRPr="004135FE">
        <w:rPr>
          <w:rFonts w:ascii="Times New Roman" w:hAnsi="Times New Roman" w:cs="Times New Roman"/>
          <w:sz w:val="28"/>
          <w:szCs w:val="28"/>
        </w:rPr>
        <w:t xml:space="preserve">% занятых не курят сигарет вообще. Более 1 пачки в день курят </w:t>
      </w:r>
      <w:r w:rsidRPr="004135FE">
        <w:rPr>
          <w:rFonts w:ascii="Times New Roman" w:eastAsia="Times New Roman" w:hAnsi="Times New Roman" w:cs="Times New Roman"/>
          <w:color w:val="000000"/>
          <w:sz w:val="28"/>
          <w:szCs w:val="28"/>
        </w:rPr>
        <w:t>10,89</w:t>
      </w:r>
      <w:r w:rsidRPr="004135FE">
        <w:rPr>
          <w:rFonts w:ascii="Times New Roman" w:hAnsi="Times New Roman" w:cs="Times New Roman"/>
          <w:sz w:val="28"/>
          <w:szCs w:val="28"/>
        </w:rPr>
        <w:t xml:space="preserve">% занятых и </w:t>
      </w:r>
      <w:r w:rsidRPr="004135FE">
        <w:rPr>
          <w:rFonts w:ascii="Times New Roman" w:eastAsia="Times New Roman" w:hAnsi="Times New Roman" w:cs="Times New Roman"/>
          <w:color w:val="000000"/>
          <w:sz w:val="28"/>
          <w:szCs w:val="28"/>
        </w:rPr>
        <w:t>4,68</w:t>
      </w:r>
      <w:r w:rsidRPr="004135FE">
        <w:rPr>
          <w:rFonts w:ascii="Times New Roman" w:hAnsi="Times New Roman" w:cs="Times New Roman"/>
          <w:sz w:val="28"/>
          <w:szCs w:val="28"/>
        </w:rPr>
        <w:t>% б</w:t>
      </w:r>
      <w:r w:rsidR="0012208E" w:rsidRPr="004135FE">
        <w:rPr>
          <w:rFonts w:ascii="Times New Roman" w:hAnsi="Times New Roman" w:cs="Times New Roman"/>
          <w:sz w:val="28"/>
          <w:szCs w:val="28"/>
        </w:rPr>
        <w:t>езработных (χ2=54,526, df=24, p=</w:t>
      </w:r>
      <w:r w:rsidRPr="004135FE">
        <w:rPr>
          <w:rFonts w:ascii="Times New Roman" w:hAnsi="Times New Roman" w:cs="Times New Roman"/>
          <w:sz w:val="28"/>
          <w:szCs w:val="28"/>
        </w:rPr>
        <w:t xml:space="preserve">0,0001). Так же достоверно установлена, что </w:t>
      </w:r>
      <w:r w:rsidRPr="004135FE">
        <w:rPr>
          <w:rFonts w:ascii="Times New Roman" w:eastAsia="Times New Roman" w:hAnsi="Times New Roman" w:cs="Times New Roman"/>
          <w:color w:val="000000"/>
          <w:sz w:val="28"/>
          <w:szCs w:val="28"/>
        </w:rPr>
        <w:t>67,99</w:t>
      </w:r>
      <w:r w:rsidRPr="004135FE">
        <w:rPr>
          <w:rFonts w:ascii="Times New Roman" w:eastAsia="Times New Roman" w:hAnsi="Times New Roman" w:cs="Times New Roman"/>
          <w:sz w:val="28"/>
          <w:szCs w:val="28"/>
        </w:rPr>
        <w:t xml:space="preserve">% безработных и </w:t>
      </w:r>
      <w:r w:rsidRPr="004135FE">
        <w:rPr>
          <w:rFonts w:ascii="Times New Roman" w:eastAsia="Times New Roman" w:hAnsi="Times New Roman" w:cs="Times New Roman"/>
          <w:color w:val="000000"/>
          <w:sz w:val="28"/>
          <w:szCs w:val="28"/>
        </w:rPr>
        <w:t>48,51</w:t>
      </w:r>
      <w:r w:rsidRPr="004135FE">
        <w:rPr>
          <w:rFonts w:ascii="Times New Roman" w:eastAsia="Times New Roman" w:hAnsi="Times New Roman" w:cs="Times New Roman"/>
          <w:sz w:val="28"/>
          <w:szCs w:val="28"/>
        </w:rPr>
        <w:t xml:space="preserve">% занятых не употребляют алкоголь. </w:t>
      </w:r>
      <w:r w:rsidRPr="004135FE">
        <w:rPr>
          <w:rFonts w:ascii="Times New Roman" w:eastAsia="Times New Roman" w:hAnsi="Times New Roman" w:cs="Times New Roman"/>
          <w:color w:val="000000"/>
          <w:sz w:val="28"/>
          <w:szCs w:val="28"/>
        </w:rPr>
        <w:t>39,11</w:t>
      </w:r>
      <w:r w:rsidRPr="004135FE">
        <w:rPr>
          <w:rFonts w:ascii="Times New Roman" w:eastAsia="Times New Roman" w:hAnsi="Times New Roman" w:cs="Times New Roman"/>
          <w:sz w:val="28"/>
          <w:szCs w:val="28"/>
        </w:rPr>
        <w:t xml:space="preserve">% занятых и </w:t>
      </w:r>
      <w:r w:rsidRPr="004135FE">
        <w:rPr>
          <w:rFonts w:ascii="Times New Roman" w:eastAsia="Times New Roman" w:hAnsi="Times New Roman" w:cs="Times New Roman"/>
          <w:color w:val="000000"/>
          <w:sz w:val="28"/>
          <w:szCs w:val="28"/>
        </w:rPr>
        <w:t>27,70</w:t>
      </w:r>
      <w:r w:rsidRPr="004135FE">
        <w:rPr>
          <w:rFonts w:ascii="Times New Roman" w:eastAsia="Times New Roman" w:hAnsi="Times New Roman" w:cs="Times New Roman"/>
          <w:sz w:val="28"/>
          <w:szCs w:val="28"/>
        </w:rPr>
        <w:t xml:space="preserve">% безработных редко, а </w:t>
      </w:r>
      <w:r w:rsidRPr="004135FE">
        <w:rPr>
          <w:rFonts w:ascii="Times New Roman" w:eastAsia="Times New Roman" w:hAnsi="Times New Roman" w:cs="Times New Roman"/>
          <w:color w:val="000000"/>
          <w:sz w:val="28"/>
          <w:szCs w:val="28"/>
        </w:rPr>
        <w:t>9,90</w:t>
      </w:r>
      <w:r w:rsidRPr="004135FE">
        <w:rPr>
          <w:rFonts w:ascii="Times New Roman" w:eastAsia="Times New Roman" w:hAnsi="Times New Roman" w:cs="Times New Roman"/>
          <w:sz w:val="28"/>
          <w:szCs w:val="28"/>
        </w:rPr>
        <w:t xml:space="preserve">% занятых и 1,80% безработных 2 раза в неделю употребляют </w:t>
      </w:r>
      <w:r w:rsidRPr="004135FE">
        <w:rPr>
          <w:rFonts w:ascii="Times New Roman" w:hAnsi="Times New Roman" w:cs="Times New Roman"/>
          <w:sz w:val="28"/>
          <w:szCs w:val="28"/>
        </w:rPr>
        <w:t xml:space="preserve">алкогольные напитки (χ2=53,063, df=24, p=0,001).  </w:t>
      </w:r>
    </w:p>
    <w:p w14:paraId="4CBB7CBE" w14:textId="77777777" w:rsidR="007A2C38" w:rsidRPr="005E0EA9" w:rsidRDefault="007A2C38" w:rsidP="004135FE">
      <w:pPr>
        <w:tabs>
          <w:tab w:val="left" w:pos="1014"/>
        </w:tabs>
        <w:spacing w:after="0" w:line="240" w:lineRule="auto"/>
        <w:jc w:val="both"/>
        <w:rPr>
          <w:rFonts w:ascii="Times New Roman" w:hAnsi="Times New Roman" w:cs="Times New Roman"/>
          <w:sz w:val="24"/>
          <w:szCs w:val="24"/>
        </w:rPr>
      </w:pPr>
    </w:p>
    <w:p w14:paraId="4FAD757D" w14:textId="57297744" w:rsidR="007A2C38" w:rsidRDefault="003044D6" w:rsidP="004135FE">
      <w:pPr>
        <w:tabs>
          <w:tab w:val="left" w:pos="101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Таблица 2</w:t>
      </w:r>
      <w:r w:rsidR="00B728EF" w:rsidRPr="004135FE">
        <w:rPr>
          <w:rFonts w:ascii="Times New Roman" w:hAnsi="Times New Roman" w:cs="Times New Roman"/>
          <w:sz w:val="28"/>
          <w:szCs w:val="28"/>
        </w:rPr>
        <w:t>5</w:t>
      </w:r>
      <w:r w:rsidR="00077E0F">
        <w:rPr>
          <w:rFonts w:ascii="Times New Roman" w:hAnsi="Times New Roman" w:cs="Times New Roman"/>
          <w:sz w:val="28"/>
          <w:szCs w:val="28"/>
        </w:rPr>
        <w:t xml:space="preserve"> </w:t>
      </w:r>
      <w:r w:rsidR="007A2C38" w:rsidRPr="004135FE">
        <w:rPr>
          <w:rFonts w:ascii="Times New Roman" w:hAnsi="Times New Roman" w:cs="Times New Roman"/>
          <w:sz w:val="28"/>
          <w:szCs w:val="28"/>
        </w:rPr>
        <w:t xml:space="preserve">- Влияние социального статуса/занятости пациента на информированность, приверженность и образ жизни пациентов с СД2т </w:t>
      </w:r>
    </w:p>
    <w:p w14:paraId="26B90CF1" w14:textId="77777777" w:rsidR="005E0EA9" w:rsidRPr="005E0EA9" w:rsidRDefault="005E0EA9" w:rsidP="004135FE">
      <w:pPr>
        <w:tabs>
          <w:tab w:val="left" w:pos="1014"/>
        </w:tabs>
        <w:spacing w:after="0" w:line="240" w:lineRule="auto"/>
        <w:jc w:val="both"/>
        <w:rPr>
          <w:rFonts w:ascii="Times New Roman" w:hAnsi="Times New Roman" w:cs="Times New Roman"/>
          <w:b/>
          <w:sz w:val="24"/>
          <w:szCs w:val="24"/>
        </w:rPr>
      </w:pPr>
    </w:p>
    <w:tbl>
      <w:tblPr>
        <w:tblStyle w:val="af9"/>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6"/>
        <w:gridCol w:w="2249"/>
        <w:gridCol w:w="1985"/>
        <w:gridCol w:w="1843"/>
      </w:tblGrid>
      <w:tr w:rsidR="007A2C38" w:rsidRPr="005E0EA9" w14:paraId="72600158" w14:textId="77777777" w:rsidTr="005E0EA9">
        <w:trPr>
          <w:trHeight w:val="227"/>
          <w:jc w:val="center"/>
        </w:trPr>
        <w:tc>
          <w:tcPr>
            <w:tcW w:w="3416" w:type="dxa"/>
          </w:tcPr>
          <w:p w14:paraId="4C812EE6" w14:textId="77777777" w:rsidR="007A2C38" w:rsidRPr="005E0EA9" w:rsidRDefault="007A2C38" w:rsidP="005E0EA9">
            <w:pPr>
              <w:spacing w:after="0" w:line="240" w:lineRule="auto"/>
              <w:jc w:val="center"/>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Варианты ответов</w:t>
            </w:r>
          </w:p>
        </w:tc>
        <w:tc>
          <w:tcPr>
            <w:tcW w:w="2249" w:type="dxa"/>
            <w:noWrap/>
            <w:hideMark/>
          </w:tcPr>
          <w:p w14:paraId="12F11C60" w14:textId="6399B8E7" w:rsidR="007A2C38" w:rsidRPr="005E0EA9" w:rsidRDefault="007A2C38" w:rsidP="005E0EA9">
            <w:pPr>
              <w:spacing w:after="0" w:line="240" w:lineRule="auto"/>
              <w:jc w:val="center"/>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занятые</w:t>
            </w:r>
          </w:p>
        </w:tc>
        <w:tc>
          <w:tcPr>
            <w:tcW w:w="1985" w:type="dxa"/>
            <w:noWrap/>
            <w:hideMark/>
          </w:tcPr>
          <w:p w14:paraId="46DA5B27" w14:textId="77777777" w:rsidR="007A2C38" w:rsidRPr="005E0EA9" w:rsidRDefault="007A2C38" w:rsidP="005E0EA9">
            <w:pPr>
              <w:spacing w:after="0" w:line="240" w:lineRule="auto"/>
              <w:jc w:val="center"/>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без работы</w:t>
            </w:r>
          </w:p>
        </w:tc>
        <w:tc>
          <w:tcPr>
            <w:tcW w:w="1843" w:type="dxa"/>
            <w:noWrap/>
            <w:hideMark/>
          </w:tcPr>
          <w:p w14:paraId="41E7BD8F" w14:textId="77777777" w:rsidR="007A2C38" w:rsidRPr="005E0EA9" w:rsidRDefault="007A2C38" w:rsidP="005E0EA9">
            <w:pPr>
              <w:spacing w:after="0" w:line="240" w:lineRule="auto"/>
              <w:jc w:val="center"/>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итого</w:t>
            </w:r>
          </w:p>
        </w:tc>
      </w:tr>
      <w:tr w:rsidR="007A2C38" w:rsidRPr="005E0EA9" w14:paraId="2BE24A8A" w14:textId="77777777" w:rsidTr="005E0EA9">
        <w:trPr>
          <w:trHeight w:val="111"/>
          <w:jc w:val="center"/>
        </w:trPr>
        <w:tc>
          <w:tcPr>
            <w:tcW w:w="3416" w:type="dxa"/>
          </w:tcPr>
          <w:p w14:paraId="68208A79" w14:textId="77777777" w:rsidR="007A2C38" w:rsidRPr="005E0EA9" w:rsidRDefault="007A2C38" w:rsidP="005E0EA9">
            <w:pPr>
              <w:spacing w:after="0" w:line="240" w:lineRule="auto"/>
              <w:jc w:val="center"/>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1</w:t>
            </w:r>
          </w:p>
        </w:tc>
        <w:tc>
          <w:tcPr>
            <w:tcW w:w="2249" w:type="dxa"/>
            <w:noWrap/>
          </w:tcPr>
          <w:p w14:paraId="436D2763" w14:textId="77777777" w:rsidR="007A2C38" w:rsidRPr="005E0EA9" w:rsidRDefault="007A2C38" w:rsidP="005E0EA9">
            <w:pPr>
              <w:spacing w:after="0" w:line="240" w:lineRule="auto"/>
              <w:jc w:val="center"/>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2</w:t>
            </w:r>
          </w:p>
        </w:tc>
        <w:tc>
          <w:tcPr>
            <w:tcW w:w="1985" w:type="dxa"/>
            <w:noWrap/>
          </w:tcPr>
          <w:p w14:paraId="4D8CDC3A" w14:textId="77777777" w:rsidR="007A2C38" w:rsidRPr="005E0EA9" w:rsidRDefault="007A2C38" w:rsidP="005E0EA9">
            <w:pPr>
              <w:spacing w:after="0" w:line="240" w:lineRule="auto"/>
              <w:jc w:val="center"/>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3</w:t>
            </w:r>
          </w:p>
        </w:tc>
        <w:tc>
          <w:tcPr>
            <w:tcW w:w="1843" w:type="dxa"/>
            <w:noWrap/>
          </w:tcPr>
          <w:p w14:paraId="2FE9800D" w14:textId="77777777" w:rsidR="007A2C38" w:rsidRPr="005E0EA9" w:rsidRDefault="007A2C38" w:rsidP="005E0EA9">
            <w:pPr>
              <w:spacing w:after="0" w:line="240" w:lineRule="auto"/>
              <w:jc w:val="center"/>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4</w:t>
            </w:r>
          </w:p>
        </w:tc>
      </w:tr>
      <w:tr w:rsidR="007A2C38" w:rsidRPr="005E0EA9" w14:paraId="7F0CC4EF" w14:textId="77777777" w:rsidTr="005E0EA9">
        <w:trPr>
          <w:trHeight w:val="227"/>
          <w:jc w:val="center"/>
        </w:trPr>
        <w:tc>
          <w:tcPr>
            <w:tcW w:w="9493" w:type="dxa"/>
            <w:gridSpan w:val="4"/>
          </w:tcPr>
          <w:p w14:paraId="2352657A"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Информированность и приверженность к рекомендациям</w:t>
            </w:r>
          </w:p>
          <w:p w14:paraId="2B0BCEE4"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hAnsi="Times New Roman" w:cs="Times New Roman"/>
                <w:sz w:val="28"/>
                <w:szCs w:val="28"/>
              </w:rPr>
              <w:t>Действия пациента, касательно получения информации о наличии препарата в аптеке поликлиники.</w:t>
            </w:r>
          </w:p>
        </w:tc>
      </w:tr>
      <w:tr w:rsidR="007A2C38" w:rsidRPr="005E0EA9" w14:paraId="743A2E71" w14:textId="77777777" w:rsidTr="005E0EA9">
        <w:trPr>
          <w:trHeight w:val="227"/>
          <w:jc w:val="center"/>
        </w:trPr>
        <w:tc>
          <w:tcPr>
            <w:tcW w:w="3416" w:type="dxa"/>
            <w:noWrap/>
            <w:hideMark/>
          </w:tcPr>
          <w:p w14:paraId="27EC094D"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От врача эндокринолога</w:t>
            </w:r>
          </w:p>
        </w:tc>
        <w:tc>
          <w:tcPr>
            <w:tcW w:w="2249" w:type="dxa"/>
            <w:noWrap/>
            <w:hideMark/>
          </w:tcPr>
          <w:p w14:paraId="252D87D8"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44</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21,78</w:t>
            </w:r>
            <w:r w:rsidRPr="005E0EA9">
              <w:rPr>
                <w:rFonts w:ascii="Times New Roman" w:eastAsia="Times New Roman" w:hAnsi="Times New Roman" w:cs="Times New Roman"/>
                <w:color w:val="000000"/>
                <w:sz w:val="28"/>
                <w:szCs w:val="28"/>
                <w:lang w:val="en-US"/>
              </w:rPr>
              <w:t>%)</w:t>
            </w:r>
          </w:p>
        </w:tc>
        <w:tc>
          <w:tcPr>
            <w:tcW w:w="1985" w:type="dxa"/>
            <w:noWrap/>
            <w:hideMark/>
          </w:tcPr>
          <w:p w14:paraId="5EC13E23"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60</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21,58</w:t>
            </w:r>
            <w:r w:rsidRPr="005E0EA9">
              <w:rPr>
                <w:rFonts w:ascii="Times New Roman" w:eastAsia="Times New Roman" w:hAnsi="Times New Roman" w:cs="Times New Roman"/>
                <w:color w:val="000000"/>
                <w:sz w:val="28"/>
                <w:szCs w:val="28"/>
                <w:lang w:val="en-US"/>
              </w:rPr>
              <w:t>%)</w:t>
            </w:r>
          </w:p>
        </w:tc>
        <w:tc>
          <w:tcPr>
            <w:tcW w:w="1843" w:type="dxa"/>
            <w:noWrap/>
            <w:hideMark/>
          </w:tcPr>
          <w:p w14:paraId="3679A84C"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104</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21,67</w:t>
            </w:r>
            <w:r w:rsidRPr="005E0EA9">
              <w:rPr>
                <w:rFonts w:ascii="Times New Roman" w:eastAsia="Times New Roman" w:hAnsi="Times New Roman" w:cs="Times New Roman"/>
                <w:color w:val="000000"/>
                <w:sz w:val="28"/>
                <w:szCs w:val="28"/>
                <w:lang w:val="en-US"/>
              </w:rPr>
              <w:t>%)</w:t>
            </w:r>
          </w:p>
        </w:tc>
      </w:tr>
      <w:tr w:rsidR="007A2C38" w:rsidRPr="005E0EA9" w14:paraId="486C1228" w14:textId="77777777" w:rsidTr="005E0EA9">
        <w:trPr>
          <w:trHeight w:val="227"/>
          <w:jc w:val="center"/>
        </w:trPr>
        <w:tc>
          <w:tcPr>
            <w:tcW w:w="3416" w:type="dxa"/>
            <w:noWrap/>
            <w:hideMark/>
          </w:tcPr>
          <w:p w14:paraId="7714A626"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От медсестры эндокринолога</w:t>
            </w:r>
          </w:p>
        </w:tc>
        <w:tc>
          <w:tcPr>
            <w:tcW w:w="2249" w:type="dxa"/>
            <w:noWrap/>
            <w:hideMark/>
          </w:tcPr>
          <w:p w14:paraId="6E36FECE"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72</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35,64</w:t>
            </w:r>
            <w:r w:rsidRPr="005E0EA9">
              <w:rPr>
                <w:rFonts w:ascii="Times New Roman" w:eastAsia="Times New Roman" w:hAnsi="Times New Roman" w:cs="Times New Roman"/>
                <w:color w:val="000000"/>
                <w:sz w:val="28"/>
                <w:szCs w:val="28"/>
                <w:lang w:val="en-US"/>
              </w:rPr>
              <w:t>%)</w:t>
            </w:r>
          </w:p>
        </w:tc>
        <w:tc>
          <w:tcPr>
            <w:tcW w:w="1985" w:type="dxa"/>
            <w:noWrap/>
            <w:hideMark/>
          </w:tcPr>
          <w:p w14:paraId="4EDA208B"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78</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28,06</w:t>
            </w:r>
            <w:r w:rsidRPr="005E0EA9">
              <w:rPr>
                <w:rFonts w:ascii="Times New Roman" w:eastAsia="Times New Roman" w:hAnsi="Times New Roman" w:cs="Times New Roman"/>
                <w:color w:val="000000"/>
                <w:sz w:val="28"/>
                <w:szCs w:val="28"/>
                <w:lang w:val="en-US"/>
              </w:rPr>
              <w:t>%)</w:t>
            </w:r>
          </w:p>
        </w:tc>
        <w:tc>
          <w:tcPr>
            <w:tcW w:w="1843" w:type="dxa"/>
            <w:noWrap/>
            <w:hideMark/>
          </w:tcPr>
          <w:p w14:paraId="211F4A24"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150</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31,25</w:t>
            </w:r>
            <w:r w:rsidRPr="005E0EA9">
              <w:rPr>
                <w:rFonts w:ascii="Times New Roman" w:eastAsia="Times New Roman" w:hAnsi="Times New Roman" w:cs="Times New Roman"/>
                <w:color w:val="000000"/>
                <w:sz w:val="28"/>
                <w:szCs w:val="28"/>
                <w:lang w:val="en-US"/>
              </w:rPr>
              <w:t>%)</w:t>
            </w:r>
          </w:p>
        </w:tc>
      </w:tr>
      <w:tr w:rsidR="007A2C38" w:rsidRPr="005E0EA9" w14:paraId="25AB85FF" w14:textId="77777777" w:rsidTr="005E0EA9">
        <w:trPr>
          <w:trHeight w:val="227"/>
          <w:jc w:val="center"/>
        </w:trPr>
        <w:tc>
          <w:tcPr>
            <w:tcW w:w="3416" w:type="dxa"/>
            <w:noWrap/>
            <w:hideMark/>
          </w:tcPr>
          <w:p w14:paraId="75016284"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От врача общей практики</w:t>
            </w:r>
          </w:p>
        </w:tc>
        <w:tc>
          <w:tcPr>
            <w:tcW w:w="2249" w:type="dxa"/>
            <w:noWrap/>
            <w:hideMark/>
          </w:tcPr>
          <w:p w14:paraId="512D67ED"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39</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19,31</w:t>
            </w:r>
            <w:r w:rsidRPr="005E0EA9">
              <w:rPr>
                <w:rFonts w:ascii="Times New Roman" w:eastAsia="Times New Roman" w:hAnsi="Times New Roman" w:cs="Times New Roman"/>
                <w:color w:val="000000"/>
                <w:sz w:val="28"/>
                <w:szCs w:val="28"/>
                <w:lang w:val="en-US"/>
              </w:rPr>
              <w:t>%)</w:t>
            </w:r>
          </w:p>
        </w:tc>
        <w:tc>
          <w:tcPr>
            <w:tcW w:w="1985" w:type="dxa"/>
            <w:noWrap/>
            <w:hideMark/>
          </w:tcPr>
          <w:p w14:paraId="55F8C03E"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64</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23,02</w:t>
            </w:r>
            <w:r w:rsidRPr="005E0EA9">
              <w:rPr>
                <w:rFonts w:ascii="Times New Roman" w:eastAsia="Times New Roman" w:hAnsi="Times New Roman" w:cs="Times New Roman"/>
                <w:color w:val="000000"/>
                <w:sz w:val="28"/>
                <w:szCs w:val="28"/>
                <w:lang w:val="en-US"/>
              </w:rPr>
              <w:t>%)</w:t>
            </w:r>
          </w:p>
        </w:tc>
        <w:tc>
          <w:tcPr>
            <w:tcW w:w="1843" w:type="dxa"/>
            <w:noWrap/>
            <w:hideMark/>
          </w:tcPr>
          <w:p w14:paraId="42F3FFDC"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103</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21,46</w:t>
            </w:r>
            <w:r w:rsidRPr="005E0EA9">
              <w:rPr>
                <w:rFonts w:ascii="Times New Roman" w:eastAsia="Times New Roman" w:hAnsi="Times New Roman" w:cs="Times New Roman"/>
                <w:color w:val="000000"/>
                <w:sz w:val="28"/>
                <w:szCs w:val="28"/>
                <w:lang w:val="en-US"/>
              </w:rPr>
              <w:t>%)</w:t>
            </w:r>
          </w:p>
        </w:tc>
      </w:tr>
      <w:tr w:rsidR="007A2C38" w:rsidRPr="005E0EA9" w14:paraId="12461DC2" w14:textId="77777777" w:rsidTr="005E0EA9">
        <w:trPr>
          <w:trHeight w:val="227"/>
          <w:jc w:val="center"/>
        </w:trPr>
        <w:tc>
          <w:tcPr>
            <w:tcW w:w="3416" w:type="dxa"/>
            <w:noWrap/>
            <w:hideMark/>
          </w:tcPr>
          <w:p w14:paraId="404050C4"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От провизора аптеки</w:t>
            </w:r>
          </w:p>
        </w:tc>
        <w:tc>
          <w:tcPr>
            <w:tcW w:w="2249" w:type="dxa"/>
            <w:noWrap/>
            <w:hideMark/>
          </w:tcPr>
          <w:p w14:paraId="7E6753D4"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40</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19,80</w:t>
            </w:r>
            <w:r w:rsidRPr="005E0EA9">
              <w:rPr>
                <w:rFonts w:ascii="Times New Roman" w:eastAsia="Times New Roman" w:hAnsi="Times New Roman" w:cs="Times New Roman"/>
                <w:color w:val="000000"/>
                <w:sz w:val="28"/>
                <w:szCs w:val="28"/>
                <w:lang w:val="en-US"/>
              </w:rPr>
              <w:t>%)</w:t>
            </w:r>
          </w:p>
        </w:tc>
        <w:tc>
          <w:tcPr>
            <w:tcW w:w="1985" w:type="dxa"/>
            <w:noWrap/>
            <w:hideMark/>
          </w:tcPr>
          <w:p w14:paraId="5D07EA0B"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63</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22,66</w:t>
            </w:r>
            <w:r w:rsidRPr="005E0EA9">
              <w:rPr>
                <w:rFonts w:ascii="Times New Roman" w:eastAsia="Times New Roman" w:hAnsi="Times New Roman" w:cs="Times New Roman"/>
                <w:color w:val="000000"/>
                <w:sz w:val="28"/>
                <w:szCs w:val="28"/>
                <w:lang w:val="en-US"/>
              </w:rPr>
              <w:t>%)</w:t>
            </w:r>
          </w:p>
        </w:tc>
        <w:tc>
          <w:tcPr>
            <w:tcW w:w="1843" w:type="dxa"/>
            <w:noWrap/>
            <w:hideMark/>
          </w:tcPr>
          <w:p w14:paraId="13AA95EB"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103</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21,46</w:t>
            </w:r>
            <w:r w:rsidRPr="005E0EA9">
              <w:rPr>
                <w:rFonts w:ascii="Times New Roman" w:eastAsia="Times New Roman" w:hAnsi="Times New Roman" w:cs="Times New Roman"/>
                <w:color w:val="000000"/>
                <w:sz w:val="28"/>
                <w:szCs w:val="28"/>
                <w:lang w:val="en-US"/>
              </w:rPr>
              <w:t>%)</w:t>
            </w:r>
          </w:p>
        </w:tc>
      </w:tr>
      <w:tr w:rsidR="007A2C38" w:rsidRPr="005E0EA9" w14:paraId="76E19F7B" w14:textId="77777777" w:rsidTr="005E0EA9">
        <w:trPr>
          <w:trHeight w:val="227"/>
          <w:jc w:val="center"/>
        </w:trPr>
        <w:tc>
          <w:tcPr>
            <w:tcW w:w="3416" w:type="dxa"/>
            <w:noWrap/>
            <w:hideMark/>
          </w:tcPr>
          <w:p w14:paraId="26F05699"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Call  центр регистратуры</w:t>
            </w:r>
          </w:p>
        </w:tc>
        <w:tc>
          <w:tcPr>
            <w:tcW w:w="2249" w:type="dxa"/>
            <w:noWrap/>
            <w:hideMark/>
          </w:tcPr>
          <w:p w14:paraId="6D36EB1E"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7</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3,47</w:t>
            </w:r>
            <w:r w:rsidRPr="005E0EA9">
              <w:rPr>
                <w:rFonts w:ascii="Times New Roman" w:eastAsia="Times New Roman" w:hAnsi="Times New Roman" w:cs="Times New Roman"/>
                <w:color w:val="000000"/>
                <w:sz w:val="28"/>
                <w:szCs w:val="28"/>
                <w:lang w:val="en-US"/>
              </w:rPr>
              <w:t>%)</w:t>
            </w:r>
          </w:p>
        </w:tc>
        <w:tc>
          <w:tcPr>
            <w:tcW w:w="1985" w:type="dxa"/>
            <w:noWrap/>
            <w:hideMark/>
          </w:tcPr>
          <w:p w14:paraId="6EE6DF4C"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13</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4,68</w:t>
            </w:r>
            <w:r w:rsidRPr="005E0EA9">
              <w:rPr>
                <w:rFonts w:ascii="Times New Roman" w:eastAsia="Times New Roman" w:hAnsi="Times New Roman" w:cs="Times New Roman"/>
                <w:color w:val="000000"/>
                <w:sz w:val="28"/>
                <w:szCs w:val="28"/>
                <w:lang w:val="en-US"/>
              </w:rPr>
              <w:t>%)</w:t>
            </w:r>
          </w:p>
        </w:tc>
        <w:tc>
          <w:tcPr>
            <w:tcW w:w="1843" w:type="dxa"/>
            <w:noWrap/>
            <w:hideMark/>
          </w:tcPr>
          <w:p w14:paraId="2A115B20"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20</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4,17</w:t>
            </w:r>
            <w:r w:rsidRPr="005E0EA9">
              <w:rPr>
                <w:rFonts w:ascii="Times New Roman" w:eastAsia="Times New Roman" w:hAnsi="Times New Roman" w:cs="Times New Roman"/>
                <w:color w:val="000000"/>
                <w:sz w:val="28"/>
                <w:szCs w:val="28"/>
                <w:lang w:val="en-US"/>
              </w:rPr>
              <w:t>%)</w:t>
            </w:r>
          </w:p>
        </w:tc>
      </w:tr>
      <w:tr w:rsidR="007A2C38" w:rsidRPr="005E0EA9" w14:paraId="6378DDC6" w14:textId="77777777" w:rsidTr="005E0EA9">
        <w:trPr>
          <w:trHeight w:val="227"/>
          <w:jc w:val="center"/>
        </w:trPr>
        <w:tc>
          <w:tcPr>
            <w:tcW w:w="3416" w:type="dxa"/>
            <w:noWrap/>
          </w:tcPr>
          <w:p w14:paraId="48B02F1D"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lang w:val="en-US"/>
              </w:rPr>
              <w:t>p</w:t>
            </w:r>
            <w:r w:rsidRPr="005E0EA9">
              <w:rPr>
                <w:rFonts w:ascii="Times New Roman" w:eastAsia="Times New Roman" w:hAnsi="Times New Roman" w:cs="Times New Roman"/>
                <w:sz w:val="28"/>
                <w:szCs w:val="28"/>
              </w:rPr>
              <w:t>-</w:t>
            </w:r>
            <w:r w:rsidRPr="005E0EA9">
              <w:rPr>
                <w:rFonts w:ascii="Times New Roman" w:eastAsia="Times New Roman" w:hAnsi="Times New Roman" w:cs="Times New Roman"/>
                <w:sz w:val="28"/>
                <w:szCs w:val="28"/>
                <w:lang w:val="en-US"/>
              </w:rPr>
              <w:t>value</w:t>
            </w:r>
          </w:p>
        </w:tc>
        <w:tc>
          <w:tcPr>
            <w:tcW w:w="2249" w:type="dxa"/>
            <w:noWrap/>
          </w:tcPr>
          <w:p w14:paraId="2A0C4813" w14:textId="77777777" w:rsidR="007A2C38" w:rsidRPr="005E0EA9" w:rsidRDefault="007A2C38" w:rsidP="004135FE">
            <w:pPr>
              <w:spacing w:after="0" w:line="240" w:lineRule="auto"/>
              <w:rPr>
                <w:rFonts w:ascii="Times New Roman" w:eastAsia="Times New Roman" w:hAnsi="Times New Roman" w:cs="Times New Roman"/>
                <w:color w:val="000000"/>
                <w:sz w:val="28"/>
                <w:szCs w:val="28"/>
              </w:rPr>
            </w:pPr>
            <w:r w:rsidRPr="005E0EA9">
              <w:rPr>
                <w:rFonts w:ascii="Times New Roman" w:hAnsi="Times New Roman" w:cs="Times New Roman"/>
                <w:sz w:val="28"/>
                <w:szCs w:val="28"/>
              </w:rPr>
              <w:t>0,04</w:t>
            </w:r>
          </w:p>
        </w:tc>
        <w:tc>
          <w:tcPr>
            <w:tcW w:w="1985" w:type="dxa"/>
            <w:noWrap/>
          </w:tcPr>
          <w:p w14:paraId="3435C0E4" w14:textId="2F60442A" w:rsidR="007A2C38" w:rsidRPr="005E0EA9" w:rsidRDefault="00490AF6" w:rsidP="00490AF6">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843" w:type="dxa"/>
            <w:noWrap/>
          </w:tcPr>
          <w:p w14:paraId="0D35C951" w14:textId="1B23BECD" w:rsidR="007A2C38" w:rsidRPr="005E0EA9" w:rsidRDefault="00490AF6" w:rsidP="00490AF6">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r>
      <w:tr w:rsidR="007A2C38" w:rsidRPr="005E0EA9" w14:paraId="034C1784" w14:textId="77777777" w:rsidTr="005E0EA9">
        <w:trPr>
          <w:trHeight w:val="227"/>
          <w:jc w:val="center"/>
        </w:trPr>
        <w:tc>
          <w:tcPr>
            <w:tcW w:w="9493" w:type="dxa"/>
            <w:gridSpan w:val="4"/>
            <w:noWrap/>
          </w:tcPr>
          <w:p w14:paraId="2EE0DB5C" w14:textId="77777777" w:rsidR="007A2C38" w:rsidRPr="005E0EA9" w:rsidRDefault="007A2C38" w:rsidP="004135FE">
            <w:pPr>
              <w:spacing w:after="0" w:line="240" w:lineRule="auto"/>
              <w:rPr>
                <w:rFonts w:ascii="Times New Roman" w:eastAsia="Times New Roman" w:hAnsi="Times New Roman" w:cs="Times New Roman"/>
                <w:color w:val="000000"/>
                <w:sz w:val="28"/>
                <w:szCs w:val="28"/>
              </w:rPr>
            </w:pPr>
            <w:r w:rsidRPr="005E0EA9">
              <w:rPr>
                <w:rFonts w:ascii="Times New Roman" w:hAnsi="Times New Roman" w:cs="Times New Roman"/>
                <w:sz w:val="28"/>
                <w:szCs w:val="28"/>
              </w:rPr>
              <w:t>Приверженность к рекомендованным врачом-эндокринологом ЛС, которые не выдаются по бесплатному рецепту</w:t>
            </w:r>
          </w:p>
        </w:tc>
      </w:tr>
      <w:tr w:rsidR="007A2C38" w:rsidRPr="005E0EA9" w14:paraId="542F5FDE" w14:textId="77777777" w:rsidTr="005E0EA9">
        <w:trPr>
          <w:trHeight w:val="227"/>
          <w:jc w:val="center"/>
        </w:trPr>
        <w:tc>
          <w:tcPr>
            <w:tcW w:w="3416" w:type="dxa"/>
            <w:noWrap/>
            <w:hideMark/>
          </w:tcPr>
          <w:p w14:paraId="192ED42F"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Да</w:t>
            </w:r>
          </w:p>
        </w:tc>
        <w:tc>
          <w:tcPr>
            <w:tcW w:w="2249" w:type="dxa"/>
            <w:noWrap/>
            <w:hideMark/>
          </w:tcPr>
          <w:p w14:paraId="348ECF84"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120</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59,41</w:t>
            </w:r>
            <w:r w:rsidRPr="005E0EA9">
              <w:rPr>
                <w:rFonts w:ascii="Times New Roman" w:eastAsia="Times New Roman" w:hAnsi="Times New Roman" w:cs="Times New Roman"/>
                <w:color w:val="000000"/>
                <w:sz w:val="28"/>
                <w:szCs w:val="28"/>
                <w:lang w:val="en-US"/>
              </w:rPr>
              <w:t>%)</w:t>
            </w:r>
          </w:p>
        </w:tc>
        <w:tc>
          <w:tcPr>
            <w:tcW w:w="1985" w:type="dxa"/>
            <w:noWrap/>
            <w:hideMark/>
          </w:tcPr>
          <w:p w14:paraId="65BBCD86"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139</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50,00</w:t>
            </w:r>
            <w:r w:rsidRPr="005E0EA9">
              <w:rPr>
                <w:rFonts w:ascii="Times New Roman" w:eastAsia="Times New Roman" w:hAnsi="Times New Roman" w:cs="Times New Roman"/>
                <w:color w:val="000000"/>
                <w:sz w:val="28"/>
                <w:szCs w:val="28"/>
                <w:lang w:val="en-US"/>
              </w:rPr>
              <w:t>%)</w:t>
            </w:r>
          </w:p>
        </w:tc>
        <w:tc>
          <w:tcPr>
            <w:tcW w:w="1843" w:type="dxa"/>
            <w:noWrap/>
            <w:hideMark/>
          </w:tcPr>
          <w:p w14:paraId="70C86DF6"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259</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53,96</w:t>
            </w:r>
            <w:r w:rsidRPr="005E0EA9">
              <w:rPr>
                <w:rFonts w:ascii="Times New Roman" w:eastAsia="Times New Roman" w:hAnsi="Times New Roman" w:cs="Times New Roman"/>
                <w:color w:val="000000"/>
                <w:sz w:val="28"/>
                <w:szCs w:val="28"/>
                <w:lang w:val="en-US"/>
              </w:rPr>
              <w:t>%)</w:t>
            </w:r>
          </w:p>
        </w:tc>
      </w:tr>
      <w:tr w:rsidR="007A2C38" w:rsidRPr="005E0EA9" w14:paraId="2092C185" w14:textId="77777777" w:rsidTr="005E0EA9">
        <w:trPr>
          <w:trHeight w:val="227"/>
          <w:jc w:val="center"/>
        </w:trPr>
        <w:tc>
          <w:tcPr>
            <w:tcW w:w="3416" w:type="dxa"/>
            <w:noWrap/>
            <w:hideMark/>
          </w:tcPr>
          <w:p w14:paraId="387D97E6"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Нет</w:t>
            </w:r>
          </w:p>
        </w:tc>
        <w:tc>
          <w:tcPr>
            <w:tcW w:w="2249" w:type="dxa"/>
            <w:noWrap/>
            <w:hideMark/>
          </w:tcPr>
          <w:p w14:paraId="45391AA3"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38</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18,81</w:t>
            </w:r>
            <w:r w:rsidRPr="005E0EA9">
              <w:rPr>
                <w:rFonts w:ascii="Times New Roman" w:eastAsia="Times New Roman" w:hAnsi="Times New Roman" w:cs="Times New Roman"/>
                <w:color w:val="000000"/>
                <w:sz w:val="28"/>
                <w:szCs w:val="28"/>
                <w:lang w:val="en-US"/>
              </w:rPr>
              <w:t>%)</w:t>
            </w:r>
          </w:p>
        </w:tc>
        <w:tc>
          <w:tcPr>
            <w:tcW w:w="1985" w:type="dxa"/>
            <w:noWrap/>
            <w:hideMark/>
          </w:tcPr>
          <w:p w14:paraId="3ABFAF04"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75</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26,98</w:t>
            </w:r>
            <w:r w:rsidRPr="005E0EA9">
              <w:rPr>
                <w:rFonts w:ascii="Times New Roman" w:eastAsia="Times New Roman" w:hAnsi="Times New Roman" w:cs="Times New Roman"/>
                <w:color w:val="000000"/>
                <w:sz w:val="28"/>
                <w:szCs w:val="28"/>
                <w:lang w:val="en-US"/>
              </w:rPr>
              <w:t>%)</w:t>
            </w:r>
          </w:p>
        </w:tc>
        <w:tc>
          <w:tcPr>
            <w:tcW w:w="1843" w:type="dxa"/>
            <w:noWrap/>
            <w:hideMark/>
          </w:tcPr>
          <w:p w14:paraId="66A9F116"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113</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23,54</w:t>
            </w:r>
            <w:r w:rsidRPr="005E0EA9">
              <w:rPr>
                <w:rFonts w:ascii="Times New Roman" w:eastAsia="Times New Roman" w:hAnsi="Times New Roman" w:cs="Times New Roman"/>
                <w:color w:val="000000"/>
                <w:sz w:val="28"/>
                <w:szCs w:val="28"/>
                <w:lang w:val="en-US"/>
              </w:rPr>
              <w:t>%)</w:t>
            </w:r>
          </w:p>
        </w:tc>
      </w:tr>
      <w:tr w:rsidR="007A2C38" w:rsidRPr="005E0EA9" w14:paraId="509129EF" w14:textId="77777777" w:rsidTr="005E0EA9">
        <w:trPr>
          <w:trHeight w:val="227"/>
          <w:jc w:val="center"/>
        </w:trPr>
        <w:tc>
          <w:tcPr>
            <w:tcW w:w="3416" w:type="dxa"/>
            <w:noWrap/>
            <w:hideMark/>
          </w:tcPr>
          <w:p w14:paraId="3916CDB4"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иногда</w:t>
            </w:r>
          </w:p>
        </w:tc>
        <w:tc>
          <w:tcPr>
            <w:tcW w:w="2249" w:type="dxa"/>
            <w:noWrap/>
            <w:hideMark/>
          </w:tcPr>
          <w:p w14:paraId="3ADE49AF"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44</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21,78</w:t>
            </w:r>
            <w:r w:rsidRPr="005E0EA9">
              <w:rPr>
                <w:rFonts w:ascii="Times New Roman" w:eastAsia="Times New Roman" w:hAnsi="Times New Roman" w:cs="Times New Roman"/>
                <w:color w:val="000000"/>
                <w:sz w:val="28"/>
                <w:szCs w:val="28"/>
                <w:lang w:val="en-US"/>
              </w:rPr>
              <w:t>%)</w:t>
            </w:r>
          </w:p>
        </w:tc>
        <w:tc>
          <w:tcPr>
            <w:tcW w:w="1985" w:type="dxa"/>
            <w:noWrap/>
            <w:hideMark/>
          </w:tcPr>
          <w:p w14:paraId="7CBD8980"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64</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23,02</w:t>
            </w:r>
            <w:r w:rsidRPr="005E0EA9">
              <w:rPr>
                <w:rFonts w:ascii="Times New Roman" w:eastAsia="Times New Roman" w:hAnsi="Times New Roman" w:cs="Times New Roman"/>
                <w:color w:val="000000"/>
                <w:sz w:val="28"/>
                <w:szCs w:val="28"/>
                <w:lang w:val="en-US"/>
              </w:rPr>
              <w:t>%)</w:t>
            </w:r>
          </w:p>
        </w:tc>
        <w:tc>
          <w:tcPr>
            <w:tcW w:w="1843" w:type="dxa"/>
            <w:noWrap/>
            <w:hideMark/>
          </w:tcPr>
          <w:p w14:paraId="0E50E5EB"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108</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22,50</w:t>
            </w:r>
            <w:r w:rsidRPr="005E0EA9">
              <w:rPr>
                <w:rFonts w:ascii="Times New Roman" w:eastAsia="Times New Roman" w:hAnsi="Times New Roman" w:cs="Times New Roman"/>
                <w:color w:val="000000"/>
                <w:sz w:val="28"/>
                <w:szCs w:val="28"/>
                <w:lang w:val="en-US"/>
              </w:rPr>
              <w:t>%)</w:t>
            </w:r>
          </w:p>
        </w:tc>
      </w:tr>
      <w:tr w:rsidR="007A2C38" w:rsidRPr="005E0EA9" w14:paraId="2403A534" w14:textId="77777777" w:rsidTr="005E0EA9">
        <w:trPr>
          <w:trHeight w:val="227"/>
          <w:jc w:val="center"/>
        </w:trPr>
        <w:tc>
          <w:tcPr>
            <w:tcW w:w="3416" w:type="dxa"/>
            <w:noWrap/>
          </w:tcPr>
          <w:p w14:paraId="6C028D30"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lang w:val="en-US"/>
              </w:rPr>
              <w:t>p</w:t>
            </w:r>
            <w:r w:rsidRPr="005E0EA9">
              <w:rPr>
                <w:rFonts w:ascii="Times New Roman" w:eastAsia="Times New Roman" w:hAnsi="Times New Roman" w:cs="Times New Roman"/>
                <w:sz w:val="28"/>
                <w:szCs w:val="28"/>
              </w:rPr>
              <w:t>-</w:t>
            </w:r>
            <w:r w:rsidRPr="005E0EA9">
              <w:rPr>
                <w:rFonts w:ascii="Times New Roman" w:eastAsia="Times New Roman" w:hAnsi="Times New Roman" w:cs="Times New Roman"/>
                <w:sz w:val="28"/>
                <w:szCs w:val="28"/>
                <w:lang w:val="en-US"/>
              </w:rPr>
              <w:t>value</w:t>
            </w:r>
          </w:p>
        </w:tc>
        <w:tc>
          <w:tcPr>
            <w:tcW w:w="2249" w:type="dxa"/>
            <w:noWrap/>
          </w:tcPr>
          <w:p w14:paraId="38EF62B3" w14:textId="77777777" w:rsidR="007A2C38" w:rsidRPr="005E0EA9" w:rsidRDefault="007A2C38" w:rsidP="004135FE">
            <w:pPr>
              <w:spacing w:after="0" w:line="240" w:lineRule="auto"/>
              <w:rPr>
                <w:rFonts w:ascii="Times New Roman" w:eastAsia="Times New Roman" w:hAnsi="Times New Roman" w:cs="Times New Roman"/>
                <w:color w:val="000000"/>
                <w:sz w:val="28"/>
                <w:szCs w:val="28"/>
              </w:rPr>
            </w:pPr>
            <w:r w:rsidRPr="005E0EA9">
              <w:rPr>
                <w:rFonts w:ascii="Times New Roman" w:hAnsi="Times New Roman" w:cs="Times New Roman"/>
                <w:sz w:val="28"/>
                <w:szCs w:val="28"/>
              </w:rPr>
              <w:t>0,002</w:t>
            </w:r>
          </w:p>
        </w:tc>
        <w:tc>
          <w:tcPr>
            <w:tcW w:w="1985" w:type="dxa"/>
            <w:noWrap/>
          </w:tcPr>
          <w:p w14:paraId="52AA3508" w14:textId="77777777" w:rsidR="007A2C38" w:rsidRPr="005E0EA9" w:rsidRDefault="007A2C38" w:rsidP="004135FE">
            <w:pPr>
              <w:spacing w:after="0" w:line="240" w:lineRule="auto"/>
              <w:rPr>
                <w:rFonts w:ascii="Times New Roman" w:eastAsia="Times New Roman" w:hAnsi="Times New Roman" w:cs="Times New Roman"/>
                <w:color w:val="000000"/>
                <w:sz w:val="28"/>
                <w:szCs w:val="28"/>
              </w:rPr>
            </w:pPr>
          </w:p>
        </w:tc>
        <w:tc>
          <w:tcPr>
            <w:tcW w:w="1843" w:type="dxa"/>
            <w:noWrap/>
          </w:tcPr>
          <w:p w14:paraId="66C16319" w14:textId="77777777" w:rsidR="007A2C38" w:rsidRPr="005E0EA9" w:rsidRDefault="007A2C38" w:rsidP="004135FE">
            <w:pPr>
              <w:spacing w:after="0" w:line="240" w:lineRule="auto"/>
              <w:rPr>
                <w:rFonts w:ascii="Times New Roman" w:eastAsia="Times New Roman" w:hAnsi="Times New Roman" w:cs="Times New Roman"/>
                <w:color w:val="000000"/>
                <w:sz w:val="28"/>
                <w:szCs w:val="28"/>
              </w:rPr>
            </w:pPr>
          </w:p>
        </w:tc>
      </w:tr>
      <w:tr w:rsidR="007A2C38" w:rsidRPr="005E0EA9" w14:paraId="1113421F" w14:textId="77777777" w:rsidTr="005E0EA9">
        <w:trPr>
          <w:trHeight w:val="227"/>
          <w:jc w:val="center"/>
        </w:trPr>
        <w:tc>
          <w:tcPr>
            <w:tcW w:w="9493" w:type="dxa"/>
            <w:gridSpan w:val="4"/>
            <w:noWrap/>
          </w:tcPr>
          <w:p w14:paraId="3AE57DAE" w14:textId="77777777" w:rsidR="007A2C38" w:rsidRPr="005E0EA9" w:rsidRDefault="007A2C38" w:rsidP="004135FE">
            <w:pPr>
              <w:spacing w:after="0" w:line="240" w:lineRule="auto"/>
              <w:rPr>
                <w:rFonts w:ascii="Times New Roman" w:eastAsia="Times New Roman" w:hAnsi="Times New Roman" w:cs="Times New Roman"/>
                <w:color w:val="000000"/>
                <w:sz w:val="28"/>
                <w:szCs w:val="28"/>
              </w:rPr>
            </w:pPr>
            <w:r w:rsidRPr="005E0EA9">
              <w:rPr>
                <w:rFonts w:ascii="Times New Roman" w:eastAsia="Times New Roman" w:hAnsi="Times New Roman" w:cs="Times New Roman"/>
                <w:sz w:val="28"/>
                <w:szCs w:val="28"/>
              </w:rPr>
              <w:t xml:space="preserve">Образ жизни. </w:t>
            </w:r>
            <w:r w:rsidRPr="005E0EA9">
              <w:rPr>
                <w:rFonts w:ascii="Times New Roman" w:hAnsi="Times New Roman" w:cs="Times New Roman"/>
                <w:sz w:val="28"/>
                <w:szCs w:val="28"/>
              </w:rPr>
              <w:t>Частота выкуренных сигарет в день</w:t>
            </w:r>
          </w:p>
        </w:tc>
      </w:tr>
      <w:tr w:rsidR="007A2C38" w:rsidRPr="005E0EA9" w14:paraId="6F08A5ED" w14:textId="77777777" w:rsidTr="005E0EA9">
        <w:trPr>
          <w:trHeight w:val="227"/>
          <w:jc w:val="center"/>
        </w:trPr>
        <w:tc>
          <w:tcPr>
            <w:tcW w:w="3416" w:type="dxa"/>
            <w:noWrap/>
            <w:hideMark/>
          </w:tcPr>
          <w:p w14:paraId="2ADC64CC"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3-5 штук</w:t>
            </w:r>
          </w:p>
        </w:tc>
        <w:tc>
          <w:tcPr>
            <w:tcW w:w="2249" w:type="dxa"/>
            <w:noWrap/>
            <w:hideMark/>
          </w:tcPr>
          <w:p w14:paraId="6413AF2A"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36(17,82%)</w:t>
            </w:r>
          </w:p>
        </w:tc>
        <w:tc>
          <w:tcPr>
            <w:tcW w:w="1985" w:type="dxa"/>
            <w:noWrap/>
            <w:hideMark/>
          </w:tcPr>
          <w:p w14:paraId="6233BBEB"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45(16,19%)</w:t>
            </w:r>
          </w:p>
        </w:tc>
        <w:tc>
          <w:tcPr>
            <w:tcW w:w="1843" w:type="dxa"/>
            <w:noWrap/>
            <w:hideMark/>
          </w:tcPr>
          <w:p w14:paraId="75BD0228"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81(16,88%)</w:t>
            </w:r>
          </w:p>
        </w:tc>
      </w:tr>
      <w:tr w:rsidR="007A2C38" w:rsidRPr="005E0EA9" w14:paraId="62E9C1BC" w14:textId="77777777" w:rsidTr="005E0EA9">
        <w:trPr>
          <w:trHeight w:val="227"/>
          <w:jc w:val="center"/>
        </w:trPr>
        <w:tc>
          <w:tcPr>
            <w:tcW w:w="3416" w:type="dxa"/>
            <w:noWrap/>
            <w:hideMark/>
          </w:tcPr>
          <w:p w14:paraId="39D2566E"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Менее 1 пачки</w:t>
            </w:r>
          </w:p>
        </w:tc>
        <w:tc>
          <w:tcPr>
            <w:tcW w:w="2249" w:type="dxa"/>
            <w:noWrap/>
            <w:hideMark/>
          </w:tcPr>
          <w:p w14:paraId="554A9200"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21(10,40%)</w:t>
            </w:r>
          </w:p>
        </w:tc>
        <w:tc>
          <w:tcPr>
            <w:tcW w:w="1985" w:type="dxa"/>
            <w:noWrap/>
            <w:hideMark/>
          </w:tcPr>
          <w:p w14:paraId="28CFF440"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17(6,12%)</w:t>
            </w:r>
          </w:p>
        </w:tc>
        <w:tc>
          <w:tcPr>
            <w:tcW w:w="1843" w:type="dxa"/>
            <w:noWrap/>
            <w:hideMark/>
          </w:tcPr>
          <w:p w14:paraId="4CDA0474"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38(7,92%)</w:t>
            </w:r>
          </w:p>
        </w:tc>
      </w:tr>
      <w:tr w:rsidR="007A2C38" w:rsidRPr="005E0EA9" w14:paraId="6B362533" w14:textId="77777777" w:rsidTr="005E0EA9">
        <w:trPr>
          <w:trHeight w:val="227"/>
          <w:jc w:val="center"/>
        </w:trPr>
        <w:tc>
          <w:tcPr>
            <w:tcW w:w="3416" w:type="dxa"/>
            <w:noWrap/>
            <w:hideMark/>
          </w:tcPr>
          <w:p w14:paraId="3CBA4335"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Более 1 пачки</w:t>
            </w:r>
          </w:p>
        </w:tc>
        <w:tc>
          <w:tcPr>
            <w:tcW w:w="2249" w:type="dxa"/>
            <w:noWrap/>
            <w:hideMark/>
          </w:tcPr>
          <w:p w14:paraId="50B11009"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22(10,89%)</w:t>
            </w:r>
          </w:p>
        </w:tc>
        <w:tc>
          <w:tcPr>
            <w:tcW w:w="1985" w:type="dxa"/>
            <w:noWrap/>
            <w:hideMark/>
          </w:tcPr>
          <w:p w14:paraId="33C1038F"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13(4,68%)</w:t>
            </w:r>
          </w:p>
        </w:tc>
        <w:tc>
          <w:tcPr>
            <w:tcW w:w="1843" w:type="dxa"/>
            <w:noWrap/>
            <w:hideMark/>
          </w:tcPr>
          <w:p w14:paraId="0EB25A12"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35</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7,29</w:t>
            </w:r>
            <w:r w:rsidRPr="005E0EA9">
              <w:rPr>
                <w:rFonts w:ascii="Times New Roman" w:eastAsia="Times New Roman" w:hAnsi="Times New Roman" w:cs="Times New Roman"/>
                <w:color w:val="000000"/>
                <w:sz w:val="28"/>
                <w:szCs w:val="28"/>
                <w:lang w:val="en-US"/>
              </w:rPr>
              <w:t>%)</w:t>
            </w:r>
          </w:p>
        </w:tc>
      </w:tr>
      <w:tr w:rsidR="007A2C38" w:rsidRPr="005E0EA9" w14:paraId="7BB1C0B8" w14:textId="77777777" w:rsidTr="005E0EA9">
        <w:trPr>
          <w:trHeight w:val="227"/>
          <w:jc w:val="center"/>
        </w:trPr>
        <w:tc>
          <w:tcPr>
            <w:tcW w:w="3416" w:type="dxa"/>
            <w:tcBorders>
              <w:bottom w:val="single" w:sz="4" w:space="0" w:color="auto"/>
            </w:tcBorders>
            <w:noWrap/>
            <w:hideMark/>
          </w:tcPr>
          <w:p w14:paraId="173E0C5E"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Не курю</w:t>
            </w:r>
          </w:p>
        </w:tc>
        <w:tc>
          <w:tcPr>
            <w:tcW w:w="2249" w:type="dxa"/>
            <w:tcBorders>
              <w:bottom w:val="single" w:sz="4" w:space="0" w:color="auto"/>
            </w:tcBorders>
            <w:noWrap/>
            <w:hideMark/>
          </w:tcPr>
          <w:p w14:paraId="426D28EC"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123</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60,89</w:t>
            </w:r>
            <w:r w:rsidRPr="005E0EA9">
              <w:rPr>
                <w:rFonts w:ascii="Times New Roman" w:eastAsia="Times New Roman" w:hAnsi="Times New Roman" w:cs="Times New Roman"/>
                <w:color w:val="000000"/>
                <w:sz w:val="28"/>
                <w:szCs w:val="28"/>
                <w:lang w:val="en-US"/>
              </w:rPr>
              <w:t>%)</w:t>
            </w:r>
          </w:p>
        </w:tc>
        <w:tc>
          <w:tcPr>
            <w:tcW w:w="1985" w:type="dxa"/>
            <w:tcBorders>
              <w:bottom w:val="single" w:sz="4" w:space="0" w:color="auto"/>
            </w:tcBorders>
            <w:noWrap/>
            <w:hideMark/>
          </w:tcPr>
          <w:p w14:paraId="70C7B71B"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203</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73,02</w:t>
            </w:r>
            <w:r w:rsidRPr="005E0EA9">
              <w:rPr>
                <w:rFonts w:ascii="Times New Roman" w:eastAsia="Times New Roman" w:hAnsi="Times New Roman" w:cs="Times New Roman"/>
                <w:color w:val="000000"/>
                <w:sz w:val="28"/>
                <w:szCs w:val="28"/>
                <w:lang w:val="en-US"/>
              </w:rPr>
              <w:t>%)</w:t>
            </w:r>
          </w:p>
        </w:tc>
        <w:tc>
          <w:tcPr>
            <w:tcW w:w="1843" w:type="dxa"/>
            <w:tcBorders>
              <w:bottom w:val="single" w:sz="4" w:space="0" w:color="auto"/>
            </w:tcBorders>
            <w:noWrap/>
            <w:hideMark/>
          </w:tcPr>
          <w:p w14:paraId="38C86AB0"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326</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67,92</w:t>
            </w:r>
            <w:r w:rsidRPr="005E0EA9">
              <w:rPr>
                <w:rFonts w:ascii="Times New Roman" w:eastAsia="Times New Roman" w:hAnsi="Times New Roman" w:cs="Times New Roman"/>
                <w:color w:val="000000"/>
                <w:sz w:val="28"/>
                <w:szCs w:val="28"/>
                <w:lang w:val="en-US"/>
              </w:rPr>
              <w:t>%)</w:t>
            </w:r>
          </w:p>
        </w:tc>
      </w:tr>
      <w:tr w:rsidR="007A2C38" w:rsidRPr="005E0EA9" w14:paraId="27B299F4" w14:textId="77777777" w:rsidTr="005E0EA9">
        <w:trPr>
          <w:trHeight w:val="227"/>
          <w:jc w:val="center"/>
        </w:trPr>
        <w:tc>
          <w:tcPr>
            <w:tcW w:w="3416" w:type="dxa"/>
            <w:tcBorders>
              <w:bottom w:val="nil"/>
            </w:tcBorders>
            <w:noWrap/>
          </w:tcPr>
          <w:p w14:paraId="6D3B4A6D"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lang w:val="en-US"/>
              </w:rPr>
              <w:t>p</w:t>
            </w:r>
            <w:r w:rsidRPr="005E0EA9">
              <w:rPr>
                <w:rFonts w:ascii="Times New Roman" w:eastAsia="Times New Roman" w:hAnsi="Times New Roman" w:cs="Times New Roman"/>
                <w:sz w:val="28"/>
                <w:szCs w:val="28"/>
              </w:rPr>
              <w:t>-</w:t>
            </w:r>
            <w:r w:rsidRPr="005E0EA9">
              <w:rPr>
                <w:rFonts w:ascii="Times New Roman" w:eastAsia="Times New Roman" w:hAnsi="Times New Roman" w:cs="Times New Roman"/>
                <w:sz w:val="28"/>
                <w:szCs w:val="28"/>
                <w:lang w:val="en-US"/>
              </w:rPr>
              <w:t>value</w:t>
            </w:r>
          </w:p>
        </w:tc>
        <w:tc>
          <w:tcPr>
            <w:tcW w:w="2249" w:type="dxa"/>
            <w:tcBorders>
              <w:bottom w:val="nil"/>
            </w:tcBorders>
            <w:noWrap/>
          </w:tcPr>
          <w:p w14:paraId="16A333E8" w14:textId="77777777" w:rsidR="007A2C38" w:rsidRPr="005E0EA9" w:rsidRDefault="007A2C38" w:rsidP="004135FE">
            <w:pPr>
              <w:spacing w:after="0" w:line="240" w:lineRule="auto"/>
              <w:rPr>
                <w:rFonts w:ascii="Times New Roman" w:eastAsia="Times New Roman" w:hAnsi="Times New Roman" w:cs="Times New Roman"/>
                <w:color w:val="000000"/>
                <w:sz w:val="28"/>
                <w:szCs w:val="28"/>
              </w:rPr>
            </w:pPr>
            <w:r w:rsidRPr="005E0EA9">
              <w:rPr>
                <w:rFonts w:ascii="Times New Roman" w:hAnsi="Times New Roman" w:cs="Times New Roman"/>
                <w:sz w:val="28"/>
                <w:szCs w:val="28"/>
              </w:rPr>
              <w:t xml:space="preserve">0,0001  </w:t>
            </w:r>
          </w:p>
        </w:tc>
        <w:tc>
          <w:tcPr>
            <w:tcW w:w="1985" w:type="dxa"/>
            <w:tcBorders>
              <w:bottom w:val="nil"/>
            </w:tcBorders>
            <w:noWrap/>
          </w:tcPr>
          <w:p w14:paraId="0E0B0BF3" w14:textId="77777777" w:rsidR="007A2C38" w:rsidRPr="005E0EA9" w:rsidRDefault="007A2C38" w:rsidP="004135FE">
            <w:pPr>
              <w:spacing w:after="0" w:line="240" w:lineRule="auto"/>
              <w:rPr>
                <w:rFonts w:ascii="Times New Roman" w:eastAsia="Times New Roman" w:hAnsi="Times New Roman" w:cs="Times New Roman"/>
                <w:color w:val="000000"/>
                <w:sz w:val="28"/>
                <w:szCs w:val="28"/>
              </w:rPr>
            </w:pPr>
          </w:p>
        </w:tc>
        <w:tc>
          <w:tcPr>
            <w:tcW w:w="1843" w:type="dxa"/>
            <w:tcBorders>
              <w:bottom w:val="nil"/>
            </w:tcBorders>
            <w:noWrap/>
          </w:tcPr>
          <w:p w14:paraId="58D61363" w14:textId="77777777" w:rsidR="007A2C38" w:rsidRPr="005E0EA9" w:rsidRDefault="007A2C38" w:rsidP="004135FE">
            <w:pPr>
              <w:spacing w:after="0" w:line="240" w:lineRule="auto"/>
              <w:rPr>
                <w:rFonts w:ascii="Times New Roman" w:eastAsia="Times New Roman" w:hAnsi="Times New Roman" w:cs="Times New Roman"/>
                <w:color w:val="000000"/>
                <w:sz w:val="28"/>
                <w:szCs w:val="28"/>
              </w:rPr>
            </w:pPr>
          </w:p>
        </w:tc>
      </w:tr>
    </w:tbl>
    <w:p w14:paraId="3C552F97" w14:textId="75753336" w:rsidR="005E0EA9" w:rsidRPr="005E0EA9" w:rsidRDefault="005E0EA9">
      <w:pPr>
        <w:rPr>
          <w:rFonts w:ascii="Times New Roman" w:hAnsi="Times New Roman" w:cs="Times New Roman"/>
          <w:sz w:val="28"/>
          <w:szCs w:val="28"/>
        </w:rPr>
      </w:pPr>
      <w:r w:rsidRPr="005E0EA9">
        <w:rPr>
          <w:rFonts w:ascii="Times New Roman" w:hAnsi="Times New Roman" w:cs="Times New Roman"/>
          <w:sz w:val="28"/>
          <w:szCs w:val="28"/>
        </w:rPr>
        <w:lastRenderedPageBreak/>
        <w:t>Продолжение таблицы 25</w:t>
      </w:r>
    </w:p>
    <w:tbl>
      <w:tblPr>
        <w:tblStyle w:val="af9"/>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6"/>
        <w:gridCol w:w="2249"/>
        <w:gridCol w:w="1985"/>
        <w:gridCol w:w="1843"/>
      </w:tblGrid>
      <w:tr w:rsidR="005E0EA9" w:rsidRPr="005E0EA9" w14:paraId="1DD120CA" w14:textId="77777777" w:rsidTr="005E0EA9">
        <w:trPr>
          <w:trHeight w:val="227"/>
          <w:jc w:val="center"/>
        </w:trPr>
        <w:tc>
          <w:tcPr>
            <w:tcW w:w="3416" w:type="dxa"/>
            <w:noWrap/>
          </w:tcPr>
          <w:p w14:paraId="1996E2FB" w14:textId="6366F6BD" w:rsidR="005E0EA9" w:rsidRPr="005E0EA9" w:rsidRDefault="005E0EA9" w:rsidP="005E0EA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2249" w:type="dxa"/>
          </w:tcPr>
          <w:p w14:paraId="4C8E7526" w14:textId="0014A660" w:rsidR="005E0EA9" w:rsidRPr="005E0EA9" w:rsidRDefault="005E0EA9" w:rsidP="005E0EA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985" w:type="dxa"/>
          </w:tcPr>
          <w:p w14:paraId="103114F7" w14:textId="333F7210" w:rsidR="005E0EA9" w:rsidRPr="005E0EA9" w:rsidRDefault="005E0EA9" w:rsidP="005E0EA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843" w:type="dxa"/>
          </w:tcPr>
          <w:p w14:paraId="36560A2D" w14:textId="2407AAB4" w:rsidR="005E0EA9" w:rsidRPr="005E0EA9" w:rsidRDefault="005E0EA9" w:rsidP="005E0EA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5E0EA9" w:rsidRPr="005E0EA9" w14:paraId="55C7993F" w14:textId="77777777" w:rsidTr="0052168E">
        <w:trPr>
          <w:trHeight w:val="227"/>
          <w:jc w:val="center"/>
        </w:trPr>
        <w:tc>
          <w:tcPr>
            <w:tcW w:w="9493" w:type="dxa"/>
            <w:gridSpan w:val="4"/>
            <w:noWrap/>
          </w:tcPr>
          <w:p w14:paraId="7B786BAC" w14:textId="3D692299" w:rsidR="005E0EA9" w:rsidRPr="005E0EA9" w:rsidRDefault="005E0EA9" w:rsidP="004135FE">
            <w:pPr>
              <w:spacing w:after="0" w:line="240" w:lineRule="auto"/>
              <w:rPr>
                <w:rFonts w:ascii="Times New Roman" w:eastAsia="Times New Roman" w:hAnsi="Times New Roman" w:cs="Times New Roman"/>
                <w:color w:val="000000"/>
                <w:sz w:val="28"/>
                <w:szCs w:val="28"/>
              </w:rPr>
            </w:pPr>
            <w:r w:rsidRPr="005E0EA9">
              <w:rPr>
                <w:rFonts w:ascii="Times New Roman" w:hAnsi="Times New Roman" w:cs="Times New Roman"/>
                <w:sz w:val="28"/>
                <w:szCs w:val="28"/>
              </w:rPr>
              <w:t>Частота употребления алкогольных напитков</w:t>
            </w:r>
          </w:p>
        </w:tc>
      </w:tr>
      <w:tr w:rsidR="007A2C38" w:rsidRPr="005E0EA9" w14:paraId="744B1D8D" w14:textId="77777777" w:rsidTr="005E0EA9">
        <w:trPr>
          <w:trHeight w:val="227"/>
          <w:jc w:val="center"/>
        </w:trPr>
        <w:tc>
          <w:tcPr>
            <w:tcW w:w="3416" w:type="dxa"/>
            <w:noWrap/>
            <w:hideMark/>
          </w:tcPr>
          <w:p w14:paraId="20CA4624"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Редко</w:t>
            </w:r>
          </w:p>
        </w:tc>
        <w:tc>
          <w:tcPr>
            <w:tcW w:w="2249" w:type="dxa"/>
            <w:noWrap/>
            <w:hideMark/>
          </w:tcPr>
          <w:p w14:paraId="0AF1A487"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79</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39,11</w:t>
            </w:r>
            <w:r w:rsidRPr="005E0EA9">
              <w:rPr>
                <w:rFonts w:ascii="Times New Roman" w:eastAsia="Times New Roman" w:hAnsi="Times New Roman" w:cs="Times New Roman"/>
                <w:color w:val="000000"/>
                <w:sz w:val="28"/>
                <w:szCs w:val="28"/>
                <w:lang w:val="en-US"/>
              </w:rPr>
              <w:t>%)</w:t>
            </w:r>
          </w:p>
        </w:tc>
        <w:tc>
          <w:tcPr>
            <w:tcW w:w="1985" w:type="dxa"/>
            <w:noWrap/>
            <w:hideMark/>
          </w:tcPr>
          <w:p w14:paraId="73419386"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77</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27,70</w:t>
            </w:r>
            <w:r w:rsidRPr="005E0EA9">
              <w:rPr>
                <w:rFonts w:ascii="Times New Roman" w:eastAsia="Times New Roman" w:hAnsi="Times New Roman" w:cs="Times New Roman"/>
                <w:color w:val="000000"/>
                <w:sz w:val="28"/>
                <w:szCs w:val="28"/>
                <w:lang w:val="en-US"/>
              </w:rPr>
              <w:t>%)</w:t>
            </w:r>
          </w:p>
        </w:tc>
        <w:tc>
          <w:tcPr>
            <w:tcW w:w="1843" w:type="dxa"/>
            <w:noWrap/>
            <w:hideMark/>
          </w:tcPr>
          <w:p w14:paraId="35C57CA2"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156</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32,50</w:t>
            </w:r>
            <w:r w:rsidRPr="005E0EA9">
              <w:rPr>
                <w:rFonts w:ascii="Times New Roman" w:eastAsia="Times New Roman" w:hAnsi="Times New Roman" w:cs="Times New Roman"/>
                <w:color w:val="000000"/>
                <w:sz w:val="28"/>
                <w:szCs w:val="28"/>
                <w:lang w:val="en-US"/>
              </w:rPr>
              <w:t>%)</w:t>
            </w:r>
          </w:p>
        </w:tc>
      </w:tr>
      <w:tr w:rsidR="007A2C38" w:rsidRPr="005E0EA9" w14:paraId="6E1E31D9" w14:textId="77777777" w:rsidTr="005E0EA9">
        <w:trPr>
          <w:trHeight w:val="227"/>
          <w:jc w:val="center"/>
        </w:trPr>
        <w:tc>
          <w:tcPr>
            <w:tcW w:w="3416" w:type="dxa"/>
            <w:noWrap/>
            <w:hideMark/>
          </w:tcPr>
          <w:p w14:paraId="00B9AE1A"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Около 2 раз в неделю</w:t>
            </w:r>
          </w:p>
        </w:tc>
        <w:tc>
          <w:tcPr>
            <w:tcW w:w="2249" w:type="dxa"/>
            <w:noWrap/>
            <w:hideMark/>
          </w:tcPr>
          <w:p w14:paraId="6E58C2EE"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20</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9,90</w:t>
            </w:r>
            <w:r w:rsidRPr="005E0EA9">
              <w:rPr>
                <w:rFonts w:ascii="Times New Roman" w:eastAsia="Times New Roman" w:hAnsi="Times New Roman" w:cs="Times New Roman"/>
                <w:color w:val="000000"/>
                <w:sz w:val="28"/>
                <w:szCs w:val="28"/>
                <w:lang w:val="en-US"/>
              </w:rPr>
              <w:t>%)</w:t>
            </w:r>
          </w:p>
        </w:tc>
        <w:tc>
          <w:tcPr>
            <w:tcW w:w="1985" w:type="dxa"/>
            <w:noWrap/>
            <w:hideMark/>
          </w:tcPr>
          <w:p w14:paraId="5E3B1A19"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5</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1,80</w:t>
            </w:r>
            <w:r w:rsidRPr="005E0EA9">
              <w:rPr>
                <w:rFonts w:ascii="Times New Roman" w:eastAsia="Times New Roman" w:hAnsi="Times New Roman" w:cs="Times New Roman"/>
                <w:color w:val="000000"/>
                <w:sz w:val="28"/>
                <w:szCs w:val="28"/>
                <w:lang w:val="en-US"/>
              </w:rPr>
              <w:t>%)</w:t>
            </w:r>
          </w:p>
        </w:tc>
        <w:tc>
          <w:tcPr>
            <w:tcW w:w="1843" w:type="dxa"/>
            <w:noWrap/>
            <w:hideMark/>
          </w:tcPr>
          <w:p w14:paraId="1C651D35"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25</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5,21</w:t>
            </w:r>
            <w:r w:rsidRPr="005E0EA9">
              <w:rPr>
                <w:rFonts w:ascii="Times New Roman" w:eastAsia="Times New Roman" w:hAnsi="Times New Roman" w:cs="Times New Roman"/>
                <w:color w:val="000000"/>
                <w:sz w:val="28"/>
                <w:szCs w:val="28"/>
                <w:lang w:val="en-US"/>
              </w:rPr>
              <w:t>%)</w:t>
            </w:r>
          </w:p>
        </w:tc>
      </w:tr>
      <w:tr w:rsidR="007A2C38" w:rsidRPr="005E0EA9" w14:paraId="1A404F2F" w14:textId="77777777" w:rsidTr="005E0EA9">
        <w:trPr>
          <w:trHeight w:val="227"/>
          <w:jc w:val="center"/>
        </w:trPr>
        <w:tc>
          <w:tcPr>
            <w:tcW w:w="3416" w:type="dxa"/>
            <w:noWrap/>
            <w:hideMark/>
          </w:tcPr>
          <w:p w14:paraId="176B497F"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Ежедневно</w:t>
            </w:r>
          </w:p>
        </w:tc>
        <w:tc>
          <w:tcPr>
            <w:tcW w:w="2249" w:type="dxa"/>
            <w:noWrap/>
            <w:hideMark/>
          </w:tcPr>
          <w:p w14:paraId="09EF43C3"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5</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2,48</w:t>
            </w:r>
            <w:r w:rsidRPr="005E0EA9">
              <w:rPr>
                <w:rFonts w:ascii="Times New Roman" w:eastAsia="Times New Roman" w:hAnsi="Times New Roman" w:cs="Times New Roman"/>
                <w:color w:val="000000"/>
                <w:sz w:val="28"/>
                <w:szCs w:val="28"/>
                <w:lang w:val="en-US"/>
              </w:rPr>
              <w:t>%)</w:t>
            </w:r>
          </w:p>
        </w:tc>
        <w:tc>
          <w:tcPr>
            <w:tcW w:w="1985" w:type="dxa"/>
            <w:noWrap/>
            <w:hideMark/>
          </w:tcPr>
          <w:p w14:paraId="3B075347"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7</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2,52</w:t>
            </w:r>
            <w:r w:rsidRPr="005E0EA9">
              <w:rPr>
                <w:rFonts w:ascii="Times New Roman" w:eastAsia="Times New Roman" w:hAnsi="Times New Roman" w:cs="Times New Roman"/>
                <w:color w:val="000000"/>
                <w:sz w:val="28"/>
                <w:szCs w:val="28"/>
                <w:lang w:val="en-US"/>
              </w:rPr>
              <w:t>%)</w:t>
            </w:r>
          </w:p>
        </w:tc>
        <w:tc>
          <w:tcPr>
            <w:tcW w:w="1843" w:type="dxa"/>
            <w:noWrap/>
            <w:hideMark/>
          </w:tcPr>
          <w:p w14:paraId="2312908E"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12</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2,50</w:t>
            </w:r>
            <w:r w:rsidRPr="005E0EA9">
              <w:rPr>
                <w:rFonts w:ascii="Times New Roman" w:eastAsia="Times New Roman" w:hAnsi="Times New Roman" w:cs="Times New Roman"/>
                <w:color w:val="000000"/>
                <w:sz w:val="28"/>
                <w:szCs w:val="28"/>
                <w:lang w:val="en-US"/>
              </w:rPr>
              <w:t>%)</w:t>
            </w:r>
          </w:p>
        </w:tc>
      </w:tr>
      <w:tr w:rsidR="007A2C38" w:rsidRPr="005E0EA9" w14:paraId="04DC728C" w14:textId="77777777" w:rsidTr="005E0EA9">
        <w:trPr>
          <w:trHeight w:val="227"/>
          <w:jc w:val="center"/>
        </w:trPr>
        <w:tc>
          <w:tcPr>
            <w:tcW w:w="3416" w:type="dxa"/>
            <w:noWrap/>
            <w:hideMark/>
          </w:tcPr>
          <w:p w14:paraId="302A8F5F"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rPr>
              <w:t>Не употребляю</w:t>
            </w:r>
          </w:p>
        </w:tc>
        <w:tc>
          <w:tcPr>
            <w:tcW w:w="2249" w:type="dxa"/>
            <w:noWrap/>
            <w:hideMark/>
          </w:tcPr>
          <w:p w14:paraId="6BCB0C6C"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98</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48,51</w:t>
            </w:r>
            <w:r w:rsidRPr="005E0EA9">
              <w:rPr>
                <w:rFonts w:ascii="Times New Roman" w:eastAsia="Times New Roman" w:hAnsi="Times New Roman" w:cs="Times New Roman"/>
                <w:color w:val="000000"/>
                <w:sz w:val="28"/>
                <w:szCs w:val="28"/>
                <w:lang w:val="en-US"/>
              </w:rPr>
              <w:t>%)</w:t>
            </w:r>
          </w:p>
        </w:tc>
        <w:tc>
          <w:tcPr>
            <w:tcW w:w="1985" w:type="dxa"/>
            <w:noWrap/>
            <w:hideMark/>
          </w:tcPr>
          <w:p w14:paraId="67A86E10"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189</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67,99</w:t>
            </w:r>
            <w:r w:rsidRPr="005E0EA9">
              <w:rPr>
                <w:rFonts w:ascii="Times New Roman" w:eastAsia="Times New Roman" w:hAnsi="Times New Roman" w:cs="Times New Roman"/>
                <w:color w:val="000000"/>
                <w:sz w:val="28"/>
                <w:szCs w:val="28"/>
                <w:lang w:val="en-US"/>
              </w:rPr>
              <w:t>%)</w:t>
            </w:r>
          </w:p>
        </w:tc>
        <w:tc>
          <w:tcPr>
            <w:tcW w:w="1843" w:type="dxa"/>
            <w:noWrap/>
            <w:hideMark/>
          </w:tcPr>
          <w:p w14:paraId="43934C21"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color w:val="000000"/>
                <w:sz w:val="28"/>
                <w:szCs w:val="28"/>
              </w:rPr>
              <w:t>287</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59,79</w:t>
            </w:r>
            <w:r w:rsidRPr="005E0EA9">
              <w:rPr>
                <w:rFonts w:ascii="Times New Roman" w:eastAsia="Times New Roman" w:hAnsi="Times New Roman" w:cs="Times New Roman"/>
                <w:color w:val="000000"/>
                <w:sz w:val="28"/>
                <w:szCs w:val="28"/>
                <w:lang w:val="en-US"/>
              </w:rPr>
              <w:t>%)</w:t>
            </w:r>
          </w:p>
        </w:tc>
      </w:tr>
      <w:tr w:rsidR="007A2C38" w:rsidRPr="005E0EA9" w14:paraId="10DF240B" w14:textId="77777777" w:rsidTr="005E0EA9">
        <w:trPr>
          <w:trHeight w:val="227"/>
          <w:jc w:val="center"/>
        </w:trPr>
        <w:tc>
          <w:tcPr>
            <w:tcW w:w="3416" w:type="dxa"/>
            <w:noWrap/>
          </w:tcPr>
          <w:p w14:paraId="18230F32"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lang w:val="kk-KZ"/>
              </w:rPr>
              <w:t>ИТОГО</w:t>
            </w:r>
          </w:p>
        </w:tc>
        <w:tc>
          <w:tcPr>
            <w:tcW w:w="2249" w:type="dxa"/>
            <w:noWrap/>
          </w:tcPr>
          <w:p w14:paraId="140ABCB2" w14:textId="77777777" w:rsidR="007A2C38" w:rsidRPr="005E0EA9" w:rsidRDefault="007A2C38" w:rsidP="004135FE">
            <w:pPr>
              <w:spacing w:after="0" w:line="240" w:lineRule="auto"/>
              <w:rPr>
                <w:rFonts w:ascii="Times New Roman" w:eastAsia="Times New Roman" w:hAnsi="Times New Roman" w:cs="Times New Roman"/>
                <w:color w:val="000000"/>
                <w:sz w:val="28"/>
                <w:szCs w:val="28"/>
              </w:rPr>
            </w:pPr>
            <w:r w:rsidRPr="005E0EA9">
              <w:rPr>
                <w:rFonts w:ascii="Times New Roman" w:eastAsia="Times New Roman" w:hAnsi="Times New Roman" w:cs="Times New Roman"/>
                <w:color w:val="000000"/>
                <w:sz w:val="28"/>
                <w:szCs w:val="28"/>
              </w:rPr>
              <w:t>202</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100,00</w:t>
            </w:r>
            <w:r w:rsidRPr="005E0EA9">
              <w:rPr>
                <w:rFonts w:ascii="Times New Roman" w:eastAsia="Times New Roman" w:hAnsi="Times New Roman" w:cs="Times New Roman"/>
                <w:color w:val="000000"/>
                <w:sz w:val="28"/>
                <w:szCs w:val="28"/>
                <w:lang w:val="en-US"/>
              </w:rPr>
              <w:t>%)</w:t>
            </w:r>
          </w:p>
        </w:tc>
        <w:tc>
          <w:tcPr>
            <w:tcW w:w="1985" w:type="dxa"/>
            <w:noWrap/>
          </w:tcPr>
          <w:p w14:paraId="7AF5AFBC" w14:textId="77777777" w:rsidR="007A2C38" w:rsidRPr="005E0EA9" w:rsidRDefault="007A2C38" w:rsidP="004135FE">
            <w:pPr>
              <w:spacing w:after="0" w:line="240" w:lineRule="auto"/>
              <w:rPr>
                <w:rFonts w:ascii="Times New Roman" w:eastAsia="Times New Roman" w:hAnsi="Times New Roman" w:cs="Times New Roman"/>
                <w:color w:val="000000"/>
                <w:sz w:val="28"/>
                <w:szCs w:val="28"/>
              </w:rPr>
            </w:pPr>
            <w:r w:rsidRPr="005E0EA9">
              <w:rPr>
                <w:rFonts w:ascii="Times New Roman" w:eastAsia="Times New Roman" w:hAnsi="Times New Roman" w:cs="Times New Roman"/>
                <w:color w:val="000000"/>
                <w:sz w:val="28"/>
                <w:szCs w:val="28"/>
              </w:rPr>
              <w:t>278</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100,00</w:t>
            </w:r>
            <w:r w:rsidRPr="005E0EA9">
              <w:rPr>
                <w:rFonts w:ascii="Times New Roman" w:eastAsia="Times New Roman" w:hAnsi="Times New Roman" w:cs="Times New Roman"/>
                <w:color w:val="000000"/>
                <w:sz w:val="28"/>
                <w:szCs w:val="28"/>
                <w:lang w:val="en-US"/>
              </w:rPr>
              <w:t>%)</w:t>
            </w:r>
          </w:p>
        </w:tc>
        <w:tc>
          <w:tcPr>
            <w:tcW w:w="1843" w:type="dxa"/>
            <w:noWrap/>
          </w:tcPr>
          <w:p w14:paraId="3E63AC8B" w14:textId="77777777" w:rsidR="007A2C38" w:rsidRPr="005E0EA9" w:rsidRDefault="007A2C38" w:rsidP="004135FE">
            <w:pPr>
              <w:spacing w:after="0" w:line="240" w:lineRule="auto"/>
              <w:rPr>
                <w:rFonts w:ascii="Times New Roman" w:eastAsia="Times New Roman" w:hAnsi="Times New Roman" w:cs="Times New Roman"/>
                <w:color w:val="000000"/>
                <w:sz w:val="28"/>
                <w:szCs w:val="28"/>
              </w:rPr>
            </w:pPr>
            <w:r w:rsidRPr="005E0EA9">
              <w:rPr>
                <w:rFonts w:ascii="Times New Roman" w:eastAsia="Times New Roman" w:hAnsi="Times New Roman" w:cs="Times New Roman"/>
                <w:color w:val="000000"/>
                <w:sz w:val="28"/>
                <w:szCs w:val="28"/>
              </w:rPr>
              <w:t>480</w:t>
            </w:r>
            <w:r w:rsidRPr="005E0EA9">
              <w:rPr>
                <w:rFonts w:ascii="Times New Roman" w:eastAsia="Times New Roman" w:hAnsi="Times New Roman" w:cs="Times New Roman"/>
                <w:color w:val="000000"/>
                <w:sz w:val="28"/>
                <w:szCs w:val="28"/>
                <w:lang w:val="en-US"/>
              </w:rPr>
              <w:t>(</w:t>
            </w:r>
            <w:r w:rsidRPr="005E0EA9">
              <w:rPr>
                <w:rFonts w:ascii="Times New Roman" w:eastAsia="Times New Roman" w:hAnsi="Times New Roman" w:cs="Times New Roman"/>
                <w:color w:val="000000"/>
                <w:sz w:val="28"/>
                <w:szCs w:val="28"/>
              </w:rPr>
              <w:t>100,00</w:t>
            </w:r>
            <w:r w:rsidRPr="005E0EA9">
              <w:rPr>
                <w:rFonts w:ascii="Times New Roman" w:eastAsia="Times New Roman" w:hAnsi="Times New Roman" w:cs="Times New Roman"/>
                <w:color w:val="000000"/>
                <w:sz w:val="28"/>
                <w:szCs w:val="28"/>
                <w:lang w:val="en-US"/>
              </w:rPr>
              <w:t>%)</w:t>
            </w:r>
          </w:p>
        </w:tc>
      </w:tr>
      <w:tr w:rsidR="007A2C38" w:rsidRPr="005E0EA9" w14:paraId="39F35A7B" w14:textId="77777777" w:rsidTr="005E0EA9">
        <w:trPr>
          <w:trHeight w:val="227"/>
          <w:jc w:val="center"/>
        </w:trPr>
        <w:tc>
          <w:tcPr>
            <w:tcW w:w="3416" w:type="dxa"/>
            <w:noWrap/>
          </w:tcPr>
          <w:p w14:paraId="5B7681C7" w14:textId="77777777" w:rsidR="007A2C38" w:rsidRPr="005E0EA9" w:rsidRDefault="007A2C38" w:rsidP="004135FE">
            <w:pPr>
              <w:spacing w:after="0" w:line="240" w:lineRule="auto"/>
              <w:rPr>
                <w:rFonts w:ascii="Times New Roman" w:eastAsia="Times New Roman" w:hAnsi="Times New Roman" w:cs="Times New Roman"/>
                <w:sz w:val="28"/>
                <w:szCs w:val="28"/>
              </w:rPr>
            </w:pPr>
            <w:r w:rsidRPr="005E0EA9">
              <w:rPr>
                <w:rFonts w:ascii="Times New Roman" w:eastAsia="Times New Roman" w:hAnsi="Times New Roman" w:cs="Times New Roman"/>
                <w:sz w:val="28"/>
                <w:szCs w:val="28"/>
                <w:lang w:val="en-US"/>
              </w:rPr>
              <w:t>p</w:t>
            </w:r>
            <w:r w:rsidRPr="005E0EA9">
              <w:rPr>
                <w:rFonts w:ascii="Times New Roman" w:eastAsia="Times New Roman" w:hAnsi="Times New Roman" w:cs="Times New Roman"/>
                <w:sz w:val="28"/>
                <w:szCs w:val="28"/>
              </w:rPr>
              <w:t>-</w:t>
            </w:r>
            <w:r w:rsidRPr="005E0EA9">
              <w:rPr>
                <w:rFonts w:ascii="Times New Roman" w:eastAsia="Times New Roman" w:hAnsi="Times New Roman" w:cs="Times New Roman"/>
                <w:sz w:val="28"/>
                <w:szCs w:val="28"/>
                <w:lang w:val="en-US"/>
              </w:rPr>
              <w:t>value</w:t>
            </w:r>
          </w:p>
        </w:tc>
        <w:tc>
          <w:tcPr>
            <w:tcW w:w="2249" w:type="dxa"/>
            <w:noWrap/>
          </w:tcPr>
          <w:p w14:paraId="6C5D8994" w14:textId="77777777" w:rsidR="007A2C38" w:rsidRPr="005E0EA9" w:rsidRDefault="007A2C38" w:rsidP="004135FE">
            <w:pPr>
              <w:spacing w:after="0" w:line="240" w:lineRule="auto"/>
              <w:rPr>
                <w:rFonts w:ascii="Times New Roman" w:eastAsia="Times New Roman" w:hAnsi="Times New Roman" w:cs="Times New Roman"/>
                <w:color w:val="000000"/>
                <w:sz w:val="28"/>
                <w:szCs w:val="28"/>
              </w:rPr>
            </w:pPr>
            <w:r w:rsidRPr="005E0EA9">
              <w:rPr>
                <w:rFonts w:ascii="Times New Roman" w:hAnsi="Times New Roman" w:cs="Times New Roman"/>
                <w:sz w:val="28"/>
                <w:szCs w:val="28"/>
              </w:rPr>
              <w:t>0,001</w:t>
            </w:r>
          </w:p>
        </w:tc>
        <w:tc>
          <w:tcPr>
            <w:tcW w:w="1985" w:type="dxa"/>
            <w:noWrap/>
          </w:tcPr>
          <w:p w14:paraId="5B73EE3F" w14:textId="455B7326" w:rsidR="007A2C38" w:rsidRPr="005E0EA9" w:rsidRDefault="00490AF6" w:rsidP="00490AF6">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843" w:type="dxa"/>
            <w:noWrap/>
          </w:tcPr>
          <w:p w14:paraId="0987CDEB" w14:textId="605D46E1" w:rsidR="007A2C38" w:rsidRPr="005E0EA9" w:rsidRDefault="00490AF6" w:rsidP="00490AF6">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r>
    </w:tbl>
    <w:p w14:paraId="47E2FDAB" w14:textId="77777777" w:rsidR="007A2C38" w:rsidRPr="004135FE" w:rsidRDefault="007A2C38" w:rsidP="004135FE">
      <w:pPr>
        <w:spacing w:after="0" w:line="240" w:lineRule="auto"/>
        <w:ind w:firstLine="567"/>
        <w:jc w:val="both"/>
        <w:rPr>
          <w:rFonts w:ascii="Times New Roman" w:hAnsi="Times New Roman" w:cs="Times New Roman"/>
          <w:b/>
          <w:sz w:val="28"/>
          <w:szCs w:val="28"/>
        </w:rPr>
      </w:pPr>
    </w:p>
    <w:p w14:paraId="6A2A72EB" w14:textId="77777777" w:rsidR="007A2C38" w:rsidRPr="004135FE" w:rsidRDefault="007A2C38" w:rsidP="004135FE">
      <w:pPr>
        <w:spacing w:after="0" w:line="240" w:lineRule="auto"/>
        <w:ind w:firstLine="567"/>
        <w:jc w:val="both"/>
        <w:rPr>
          <w:rFonts w:ascii="Times New Roman" w:hAnsi="Times New Roman" w:cs="Times New Roman"/>
          <w:color w:val="000000"/>
          <w:sz w:val="28"/>
          <w:szCs w:val="28"/>
        </w:rPr>
      </w:pPr>
      <w:r w:rsidRPr="004135FE">
        <w:rPr>
          <w:rFonts w:ascii="Times New Roman" w:hAnsi="Times New Roman" w:cs="Times New Roman"/>
          <w:sz w:val="28"/>
          <w:szCs w:val="28"/>
        </w:rPr>
        <w:t>Среди социальных проблем, как трудности первые годы брака занимают место социально-бытовая и психологическая неготовность населения, что в свою очередь может привести к аборту и разводу. Согласно опросу, основными трудностями являются ж</w:t>
      </w:r>
      <w:r w:rsidRPr="004135FE">
        <w:rPr>
          <w:rFonts w:ascii="Times New Roman" w:hAnsi="Times New Roman" w:cs="Times New Roman"/>
          <w:color w:val="000000"/>
          <w:sz w:val="28"/>
          <w:szCs w:val="28"/>
        </w:rPr>
        <w:t>илищные условия-23,3%, семейные взаимоотношения 18,3%, материальные-17,1%, сочетать работу и семью-16,7%.</w:t>
      </w:r>
    </w:p>
    <w:p w14:paraId="79878D7D" w14:textId="77777777" w:rsidR="007A2C38" w:rsidRPr="004135FE" w:rsidRDefault="007A2C38" w:rsidP="004135FE">
      <w:pPr>
        <w:pStyle w:val="a3"/>
        <w:tabs>
          <w:tab w:val="left" w:pos="426"/>
        </w:tabs>
        <w:spacing w:after="0" w:line="240" w:lineRule="auto"/>
        <w:ind w:left="0"/>
        <w:jc w:val="both"/>
        <w:rPr>
          <w:rFonts w:ascii="Times New Roman" w:hAnsi="Times New Roman" w:cs="Times New Roman"/>
          <w:sz w:val="28"/>
          <w:szCs w:val="28"/>
        </w:rPr>
      </w:pPr>
      <w:r w:rsidRPr="004135FE">
        <w:rPr>
          <w:rFonts w:ascii="Times New Roman" w:hAnsi="Times New Roman" w:cs="Times New Roman"/>
          <w:sz w:val="28"/>
          <w:szCs w:val="28"/>
        </w:rPr>
        <w:tab/>
        <w:t xml:space="preserve">На вопрос «Какие меры необходимы для повышения рождаемости?» были получены в большинстве ответы социального характера: улучшение жилищных условии- 23,8%, повышения материального благосостояния 15,4%, формирование в обществе приоритета материнства- отцовства и изменение отношения к семье 10,0%, увеличение денежного пособия на детей- 6,9%, обеспечение детскими дошкольными организациями- 3,8%. Так же были получены варианты ответов, как другие меры-17,9%, меры, связанные с укреплением физического здоровья-14,0% и с улучшением медицинской помощи-8,3%. </w:t>
      </w:r>
    </w:p>
    <w:p w14:paraId="604BF8BB" w14:textId="77777777" w:rsidR="007A2C38" w:rsidRPr="004135FE" w:rsidRDefault="007A2C38" w:rsidP="004135FE">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По мнению 61,4% - пациентов в первые годы брака основной проблемой были жилищные условия и их улучшение, которые необходимы для повышения рождаемости. В первые годы брака у 58,1% - пациентов были материальные проблемы, и они считают, что повышение материального благосостояния позволит повысить рождаемость. У 48,5% - пациентов были трудности связанные с совмещением работы и семьи и, по их мнению, увеличение денежного пособия на детей будет способствовать уровню рождаемости. У 28,4% - пациентов в первые годы брака были проблемы, связанные с семейными взаимоотношениями, а у 25,4% - пациентов сочетать работу и семью, при этом опрошенные пациенты считают, что на повышение рождаемости влияет укрепление физического здоровья. (χ2=325,403, df=35, p=0,0001). </w:t>
      </w:r>
    </w:p>
    <w:p w14:paraId="5D9215BE" w14:textId="77777777" w:rsidR="007A2C38" w:rsidRPr="004135FE" w:rsidRDefault="007A2C38" w:rsidP="004135FE">
      <w:pPr>
        <w:spacing w:after="0" w:line="240" w:lineRule="auto"/>
        <w:ind w:firstLine="709"/>
        <w:jc w:val="both"/>
        <w:rPr>
          <w:rFonts w:ascii="Times New Roman" w:hAnsi="Times New Roman" w:cs="Times New Roman"/>
          <w:sz w:val="28"/>
          <w:szCs w:val="28"/>
        </w:rPr>
      </w:pPr>
    </w:p>
    <w:p w14:paraId="485904DF" w14:textId="77777777" w:rsidR="007A2C38" w:rsidRPr="004135FE" w:rsidRDefault="007A2C38" w:rsidP="004135FE">
      <w:pPr>
        <w:spacing w:after="0" w:line="240" w:lineRule="auto"/>
        <w:ind w:firstLine="567"/>
        <w:jc w:val="both"/>
        <w:rPr>
          <w:rFonts w:ascii="Times New Roman" w:hAnsi="Times New Roman" w:cs="Times New Roman"/>
          <w:b/>
          <w:sz w:val="28"/>
          <w:szCs w:val="28"/>
        </w:rPr>
      </w:pPr>
    </w:p>
    <w:p w14:paraId="1A1CB99A" w14:textId="77777777" w:rsidR="007A2C38" w:rsidRPr="004135FE" w:rsidRDefault="007A2C38" w:rsidP="004135FE">
      <w:pPr>
        <w:spacing w:after="0" w:line="240" w:lineRule="auto"/>
        <w:ind w:firstLine="567"/>
        <w:jc w:val="both"/>
        <w:rPr>
          <w:rFonts w:ascii="Times New Roman" w:hAnsi="Times New Roman" w:cs="Times New Roman"/>
          <w:b/>
          <w:sz w:val="28"/>
          <w:szCs w:val="28"/>
        </w:rPr>
        <w:sectPr w:rsidR="007A2C38" w:rsidRPr="004135FE" w:rsidSect="00EC71C2">
          <w:type w:val="nextColumn"/>
          <w:pgSz w:w="11906" w:h="16838"/>
          <w:pgMar w:top="1134" w:right="851" w:bottom="1134" w:left="1701" w:header="708" w:footer="708" w:gutter="0"/>
          <w:cols w:space="708"/>
          <w:docGrid w:linePitch="360"/>
        </w:sectPr>
      </w:pPr>
    </w:p>
    <w:p w14:paraId="5B091393" w14:textId="6A7DBCF7" w:rsidR="007A2C38" w:rsidRPr="00490AF6" w:rsidRDefault="00D83A34" w:rsidP="00D83A34">
      <w:pPr>
        <w:spacing w:after="0" w:line="240" w:lineRule="auto"/>
        <w:jc w:val="both"/>
        <w:rPr>
          <w:rFonts w:ascii="Times New Roman" w:hAnsi="Times New Roman" w:cs="Times New Roman"/>
          <w:sz w:val="28"/>
          <w:szCs w:val="28"/>
        </w:rPr>
      </w:pPr>
      <w:r w:rsidRPr="00490AF6">
        <w:rPr>
          <w:rFonts w:ascii="Times New Roman" w:hAnsi="Times New Roman" w:cs="Times New Roman"/>
          <w:sz w:val="32"/>
          <w:szCs w:val="32"/>
        </w:rPr>
        <w:lastRenderedPageBreak/>
        <w:t>Та</w:t>
      </w:r>
      <w:r w:rsidRPr="00490AF6">
        <w:rPr>
          <w:rFonts w:ascii="Times New Roman" w:hAnsi="Times New Roman" w:cs="Times New Roman"/>
          <w:sz w:val="28"/>
          <w:szCs w:val="28"/>
        </w:rPr>
        <w:t>блица 26</w:t>
      </w:r>
      <w:r w:rsidRPr="00490AF6">
        <w:rPr>
          <w:rFonts w:ascii="Times New Roman" w:hAnsi="Times New Roman" w:cs="Times New Roman"/>
          <w:b/>
          <w:sz w:val="28"/>
          <w:szCs w:val="28"/>
        </w:rPr>
        <w:t xml:space="preserve">- </w:t>
      </w:r>
      <w:r w:rsidRPr="00490AF6">
        <w:rPr>
          <w:rFonts w:ascii="Times New Roman" w:hAnsi="Times New Roman" w:cs="Times New Roman"/>
          <w:sz w:val="28"/>
          <w:szCs w:val="28"/>
        </w:rPr>
        <w:t>Виды трудностей в первые годы брака и меры для повышения рождаемости</w:t>
      </w:r>
    </w:p>
    <w:tbl>
      <w:tblPr>
        <w:tblStyle w:val="a5"/>
        <w:tblpPr w:leftFromText="180" w:rightFromText="180" w:vertAnchor="text" w:horzAnchor="margin" w:tblpY="252"/>
        <w:tblW w:w="14276" w:type="dxa"/>
        <w:tblLook w:val="04A0" w:firstRow="1" w:lastRow="0" w:firstColumn="1" w:lastColumn="0" w:noHBand="0" w:noVBand="1"/>
      </w:tblPr>
      <w:tblGrid>
        <w:gridCol w:w="1207"/>
        <w:gridCol w:w="1689"/>
        <w:gridCol w:w="1162"/>
        <w:gridCol w:w="1494"/>
        <w:gridCol w:w="1196"/>
        <w:gridCol w:w="1453"/>
        <w:gridCol w:w="1439"/>
        <w:gridCol w:w="1250"/>
        <w:gridCol w:w="1272"/>
        <w:gridCol w:w="1037"/>
        <w:gridCol w:w="1077"/>
      </w:tblGrid>
      <w:tr w:rsidR="00D83A34" w:rsidRPr="005E0EA9" w14:paraId="68DE3D70" w14:textId="77777777" w:rsidTr="00B270B3">
        <w:trPr>
          <w:trHeight w:val="238"/>
        </w:trPr>
        <w:tc>
          <w:tcPr>
            <w:tcW w:w="2908" w:type="dxa"/>
            <w:gridSpan w:val="2"/>
            <w:vMerge w:val="restart"/>
            <w:noWrap/>
            <w:hideMark/>
          </w:tcPr>
          <w:p w14:paraId="190097E3"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p>
          <w:p w14:paraId="46CFA5D3"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Вопрос</w:t>
            </w:r>
          </w:p>
          <w:p w14:paraId="271958A2"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p>
          <w:p w14:paraId="126A158C"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p>
        </w:tc>
        <w:tc>
          <w:tcPr>
            <w:tcW w:w="11368" w:type="dxa"/>
            <w:gridSpan w:val="9"/>
            <w:noWrap/>
            <w:hideMark/>
          </w:tcPr>
          <w:p w14:paraId="0AC95568"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Какие меры необходимы для повышения рождаемости</w:t>
            </w:r>
          </w:p>
        </w:tc>
      </w:tr>
      <w:tr w:rsidR="00B270B3" w:rsidRPr="00D83A34" w14:paraId="542BDD7B" w14:textId="77777777" w:rsidTr="00B270B3">
        <w:trPr>
          <w:trHeight w:val="261"/>
        </w:trPr>
        <w:tc>
          <w:tcPr>
            <w:tcW w:w="2908" w:type="dxa"/>
            <w:gridSpan w:val="2"/>
            <w:vMerge/>
            <w:noWrap/>
            <w:hideMark/>
          </w:tcPr>
          <w:p w14:paraId="30E7D68B"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p>
        </w:tc>
        <w:tc>
          <w:tcPr>
            <w:tcW w:w="1166" w:type="dxa"/>
            <w:noWrap/>
            <w:hideMark/>
          </w:tcPr>
          <w:p w14:paraId="491E58B4"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Улучшение жилищных условии</w:t>
            </w:r>
          </w:p>
        </w:tc>
        <w:tc>
          <w:tcPr>
            <w:tcW w:w="1500" w:type="dxa"/>
            <w:noWrap/>
            <w:hideMark/>
          </w:tcPr>
          <w:p w14:paraId="2C3DD2CD"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Повышения материального благосостояния</w:t>
            </w:r>
          </w:p>
        </w:tc>
        <w:tc>
          <w:tcPr>
            <w:tcW w:w="1201" w:type="dxa"/>
            <w:noWrap/>
            <w:hideMark/>
          </w:tcPr>
          <w:p w14:paraId="5ACCBB0B"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Увеличение денежного пособия на детей</w:t>
            </w:r>
          </w:p>
        </w:tc>
        <w:tc>
          <w:tcPr>
            <w:tcW w:w="1459" w:type="dxa"/>
            <w:noWrap/>
            <w:hideMark/>
          </w:tcPr>
          <w:p w14:paraId="7B307427"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Обеспечение детскими дошкольными организациями</w:t>
            </w:r>
          </w:p>
        </w:tc>
        <w:tc>
          <w:tcPr>
            <w:tcW w:w="1445" w:type="dxa"/>
            <w:noWrap/>
            <w:hideMark/>
          </w:tcPr>
          <w:p w14:paraId="0CE4F03C"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Формирование в обществе приоритета материнства- отцовства</w:t>
            </w:r>
          </w:p>
        </w:tc>
        <w:tc>
          <w:tcPr>
            <w:tcW w:w="1254" w:type="dxa"/>
            <w:noWrap/>
            <w:hideMark/>
          </w:tcPr>
          <w:p w14:paraId="45E0EF36"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Укрепление физического здоровья</w:t>
            </w:r>
          </w:p>
        </w:tc>
        <w:tc>
          <w:tcPr>
            <w:tcW w:w="969" w:type="dxa"/>
            <w:noWrap/>
            <w:hideMark/>
          </w:tcPr>
          <w:p w14:paraId="6145B40C" w14:textId="77777777" w:rsidR="00D83A34" w:rsidRPr="00D83A34" w:rsidRDefault="00D83A34" w:rsidP="00D83A34">
            <w:pPr>
              <w:spacing w:after="0" w:line="240" w:lineRule="auto"/>
              <w:ind w:right="138"/>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Улучшение мед. помощи</w:t>
            </w:r>
          </w:p>
        </w:tc>
        <w:tc>
          <w:tcPr>
            <w:tcW w:w="1245" w:type="dxa"/>
            <w:noWrap/>
            <w:hideMark/>
          </w:tcPr>
          <w:p w14:paraId="4A190A7F"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Другое</w:t>
            </w:r>
          </w:p>
        </w:tc>
        <w:tc>
          <w:tcPr>
            <w:tcW w:w="1129" w:type="dxa"/>
            <w:noWrap/>
            <w:hideMark/>
          </w:tcPr>
          <w:p w14:paraId="3DB497AF"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Всего</w:t>
            </w:r>
          </w:p>
        </w:tc>
      </w:tr>
      <w:tr w:rsidR="00B270B3" w:rsidRPr="00D83A34" w14:paraId="7223CD82" w14:textId="77777777" w:rsidTr="00B270B3">
        <w:trPr>
          <w:trHeight w:val="261"/>
        </w:trPr>
        <w:tc>
          <w:tcPr>
            <w:tcW w:w="1212" w:type="dxa"/>
            <w:vMerge w:val="restart"/>
            <w:noWrap/>
            <w:hideMark/>
          </w:tcPr>
          <w:p w14:paraId="31DC8769" w14:textId="77777777" w:rsidR="00D83A34" w:rsidRPr="00D83A34" w:rsidRDefault="00D83A34" w:rsidP="00D83A34">
            <w:pPr>
              <w:spacing w:after="0" w:line="240" w:lineRule="auto"/>
              <w:jc w:val="center"/>
              <w:rPr>
                <w:rFonts w:ascii="Times New Roman" w:eastAsia="Times New Roman" w:hAnsi="Times New Roman" w:cs="Times New Roman"/>
                <w:bCs/>
                <w:color w:val="000000"/>
                <w:sz w:val="24"/>
                <w:szCs w:val="24"/>
              </w:rPr>
            </w:pPr>
            <w:r w:rsidRPr="00D83A34">
              <w:rPr>
                <w:rFonts w:ascii="Times New Roman" w:eastAsia="Times New Roman" w:hAnsi="Times New Roman" w:cs="Times New Roman"/>
                <w:bCs/>
                <w:color w:val="000000"/>
                <w:sz w:val="24"/>
                <w:szCs w:val="24"/>
              </w:rPr>
              <w:t>Какие трудности встречались в первые годы брака</w:t>
            </w:r>
          </w:p>
          <w:p w14:paraId="744384CF"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p>
          <w:p w14:paraId="5D4AE5D8"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p>
          <w:p w14:paraId="1D6077FF"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p>
          <w:p w14:paraId="18E83407"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p>
          <w:p w14:paraId="1F20A179" w14:textId="77777777" w:rsidR="00D83A34" w:rsidRPr="00D83A34" w:rsidRDefault="00D83A34" w:rsidP="00D83A34">
            <w:pPr>
              <w:spacing w:after="0" w:line="240" w:lineRule="auto"/>
              <w:jc w:val="center"/>
              <w:rPr>
                <w:rFonts w:ascii="Times New Roman" w:eastAsia="Times New Roman" w:hAnsi="Times New Roman" w:cs="Times New Roman"/>
                <w:b/>
                <w:bCs/>
                <w:color w:val="000000"/>
                <w:sz w:val="24"/>
                <w:szCs w:val="24"/>
              </w:rPr>
            </w:pPr>
          </w:p>
          <w:p w14:paraId="41DF69E3" w14:textId="77777777" w:rsidR="00D83A34" w:rsidRPr="00D83A34" w:rsidRDefault="00D83A34" w:rsidP="00D83A34">
            <w:pPr>
              <w:spacing w:after="0" w:line="240" w:lineRule="auto"/>
              <w:jc w:val="center"/>
              <w:rPr>
                <w:rFonts w:ascii="Times New Roman" w:eastAsia="Times New Roman" w:hAnsi="Times New Roman" w:cs="Times New Roman"/>
                <w:b/>
                <w:bCs/>
                <w:color w:val="000000"/>
                <w:sz w:val="24"/>
                <w:szCs w:val="24"/>
              </w:rPr>
            </w:pPr>
          </w:p>
        </w:tc>
        <w:tc>
          <w:tcPr>
            <w:tcW w:w="1696" w:type="dxa"/>
            <w:noWrap/>
            <w:hideMark/>
          </w:tcPr>
          <w:p w14:paraId="32EDF585"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Не вступал в брак</w:t>
            </w:r>
          </w:p>
        </w:tc>
        <w:tc>
          <w:tcPr>
            <w:tcW w:w="1166" w:type="dxa"/>
            <w:noWrap/>
            <w:hideMark/>
          </w:tcPr>
          <w:p w14:paraId="6DF0B0CD"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0</w:t>
            </w:r>
          </w:p>
        </w:tc>
        <w:tc>
          <w:tcPr>
            <w:tcW w:w="1500" w:type="dxa"/>
            <w:noWrap/>
            <w:hideMark/>
          </w:tcPr>
          <w:p w14:paraId="45BB9F3C"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0</w:t>
            </w:r>
          </w:p>
        </w:tc>
        <w:tc>
          <w:tcPr>
            <w:tcW w:w="1201" w:type="dxa"/>
            <w:noWrap/>
            <w:hideMark/>
          </w:tcPr>
          <w:p w14:paraId="49D896E4"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0</w:t>
            </w:r>
          </w:p>
        </w:tc>
        <w:tc>
          <w:tcPr>
            <w:tcW w:w="1459" w:type="dxa"/>
            <w:noWrap/>
            <w:hideMark/>
          </w:tcPr>
          <w:p w14:paraId="1521775B"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0</w:t>
            </w:r>
          </w:p>
        </w:tc>
        <w:tc>
          <w:tcPr>
            <w:tcW w:w="1445" w:type="dxa"/>
            <w:noWrap/>
            <w:hideMark/>
          </w:tcPr>
          <w:p w14:paraId="3FEC9F52"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0</w:t>
            </w:r>
          </w:p>
        </w:tc>
        <w:tc>
          <w:tcPr>
            <w:tcW w:w="1254" w:type="dxa"/>
            <w:noWrap/>
            <w:hideMark/>
          </w:tcPr>
          <w:p w14:paraId="73A8EEA5"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0</w:t>
            </w:r>
          </w:p>
        </w:tc>
        <w:tc>
          <w:tcPr>
            <w:tcW w:w="969" w:type="dxa"/>
            <w:noWrap/>
            <w:hideMark/>
          </w:tcPr>
          <w:p w14:paraId="32D81253"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0</w:t>
            </w:r>
          </w:p>
        </w:tc>
        <w:tc>
          <w:tcPr>
            <w:tcW w:w="1245" w:type="dxa"/>
            <w:noWrap/>
            <w:hideMark/>
          </w:tcPr>
          <w:p w14:paraId="160106FE" w14:textId="77777777" w:rsidR="00B270B3"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w:t>
            </w:r>
          </w:p>
          <w:p w14:paraId="2643C0A9" w14:textId="5D620FB2"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(1,2%)</w:t>
            </w:r>
          </w:p>
        </w:tc>
        <w:tc>
          <w:tcPr>
            <w:tcW w:w="1129" w:type="dxa"/>
            <w:noWrap/>
            <w:hideMark/>
          </w:tcPr>
          <w:p w14:paraId="1042EA51" w14:textId="1A06EB93"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w:t>
            </w:r>
            <w:r w:rsidR="00B270B3">
              <w:rPr>
                <w:rFonts w:ascii="Times New Roman" w:eastAsia="Times New Roman" w:hAnsi="Times New Roman" w:cs="Times New Roman"/>
                <w:color w:val="000000"/>
                <w:sz w:val="24"/>
                <w:szCs w:val="24"/>
              </w:rPr>
              <w:t xml:space="preserve"> </w:t>
            </w:r>
            <w:r w:rsidRPr="00D83A34">
              <w:rPr>
                <w:rFonts w:ascii="Times New Roman" w:eastAsia="Times New Roman" w:hAnsi="Times New Roman" w:cs="Times New Roman"/>
                <w:color w:val="000000"/>
                <w:sz w:val="24"/>
                <w:szCs w:val="24"/>
              </w:rPr>
              <w:t>(0,2%)</w:t>
            </w:r>
          </w:p>
        </w:tc>
      </w:tr>
      <w:tr w:rsidR="00B270B3" w:rsidRPr="00D83A34" w14:paraId="50320E0A" w14:textId="77777777" w:rsidTr="00B270B3">
        <w:trPr>
          <w:trHeight w:val="261"/>
        </w:trPr>
        <w:tc>
          <w:tcPr>
            <w:tcW w:w="1212" w:type="dxa"/>
            <w:vMerge/>
            <w:noWrap/>
            <w:hideMark/>
          </w:tcPr>
          <w:p w14:paraId="628FFB3F"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p>
        </w:tc>
        <w:tc>
          <w:tcPr>
            <w:tcW w:w="1696" w:type="dxa"/>
            <w:noWrap/>
            <w:hideMark/>
          </w:tcPr>
          <w:p w14:paraId="48A68604"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Жилищные условия</w:t>
            </w:r>
          </w:p>
        </w:tc>
        <w:tc>
          <w:tcPr>
            <w:tcW w:w="1166" w:type="dxa"/>
            <w:noWrap/>
            <w:hideMark/>
          </w:tcPr>
          <w:p w14:paraId="37701109" w14:textId="5A62321E"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70</w:t>
            </w:r>
            <w:r w:rsidR="00B270B3">
              <w:rPr>
                <w:rFonts w:ascii="Times New Roman" w:eastAsia="Times New Roman" w:hAnsi="Times New Roman" w:cs="Times New Roman"/>
                <w:color w:val="000000"/>
                <w:sz w:val="24"/>
                <w:szCs w:val="24"/>
              </w:rPr>
              <w:t xml:space="preserve"> </w:t>
            </w:r>
            <w:r w:rsidRPr="00D83A34">
              <w:rPr>
                <w:rFonts w:ascii="Times New Roman" w:eastAsia="Times New Roman" w:hAnsi="Times New Roman" w:cs="Times New Roman"/>
                <w:color w:val="000000"/>
                <w:sz w:val="24"/>
                <w:szCs w:val="24"/>
              </w:rPr>
              <w:t>(61,4%)</w:t>
            </w:r>
          </w:p>
        </w:tc>
        <w:tc>
          <w:tcPr>
            <w:tcW w:w="1500" w:type="dxa"/>
            <w:noWrap/>
            <w:hideMark/>
          </w:tcPr>
          <w:p w14:paraId="614A47FB"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10(13,5%)</w:t>
            </w:r>
          </w:p>
        </w:tc>
        <w:tc>
          <w:tcPr>
            <w:tcW w:w="1201" w:type="dxa"/>
            <w:noWrap/>
            <w:hideMark/>
          </w:tcPr>
          <w:p w14:paraId="79B84D7C"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3(9,1%)</w:t>
            </w:r>
          </w:p>
        </w:tc>
        <w:tc>
          <w:tcPr>
            <w:tcW w:w="1459" w:type="dxa"/>
            <w:noWrap/>
            <w:hideMark/>
          </w:tcPr>
          <w:p w14:paraId="2E817E11"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3(16,7%)</w:t>
            </w:r>
          </w:p>
        </w:tc>
        <w:tc>
          <w:tcPr>
            <w:tcW w:w="1445" w:type="dxa"/>
            <w:noWrap/>
            <w:hideMark/>
          </w:tcPr>
          <w:p w14:paraId="38CE1AEF"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4(8,3%)</w:t>
            </w:r>
          </w:p>
        </w:tc>
        <w:tc>
          <w:tcPr>
            <w:tcW w:w="1254" w:type="dxa"/>
            <w:noWrap/>
            <w:hideMark/>
          </w:tcPr>
          <w:p w14:paraId="55EC049C"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8(11,9%)</w:t>
            </w:r>
          </w:p>
        </w:tc>
        <w:tc>
          <w:tcPr>
            <w:tcW w:w="969" w:type="dxa"/>
            <w:noWrap/>
            <w:hideMark/>
          </w:tcPr>
          <w:p w14:paraId="5A79C0F1"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7(17,5%)</w:t>
            </w:r>
          </w:p>
        </w:tc>
        <w:tc>
          <w:tcPr>
            <w:tcW w:w="1245" w:type="dxa"/>
            <w:noWrap/>
            <w:hideMark/>
          </w:tcPr>
          <w:p w14:paraId="0A8E247B" w14:textId="77777777" w:rsidR="00B270B3"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7</w:t>
            </w:r>
          </w:p>
          <w:p w14:paraId="0BEBC973" w14:textId="40760442"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(8,1%)</w:t>
            </w:r>
          </w:p>
        </w:tc>
        <w:tc>
          <w:tcPr>
            <w:tcW w:w="1129" w:type="dxa"/>
            <w:noWrap/>
            <w:hideMark/>
          </w:tcPr>
          <w:p w14:paraId="6F9C09D4" w14:textId="16881888"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112</w:t>
            </w:r>
            <w:r w:rsidR="00B270B3">
              <w:rPr>
                <w:rFonts w:ascii="Times New Roman" w:eastAsia="Times New Roman" w:hAnsi="Times New Roman" w:cs="Times New Roman"/>
                <w:color w:val="000000"/>
                <w:sz w:val="24"/>
                <w:szCs w:val="24"/>
              </w:rPr>
              <w:t xml:space="preserve"> </w:t>
            </w:r>
            <w:r w:rsidRPr="00D83A34">
              <w:rPr>
                <w:rFonts w:ascii="Times New Roman" w:eastAsia="Times New Roman" w:hAnsi="Times New Roman" w:cs="Times New Roman"/>
                <w:color w:val="000000"/>
                <w:sz w:val="24"/>
                <w:szCs w:val="24"/>
              </w:rPr>
              <w:t>(23,3%)</w:t>
            </w:r>
          </w:p>
        </w:tc>
      </w:tr>
      <w:tr w:rsidR="00B270B3" w:rsidRPr="00D83A34" w14:paraId="77AF6880" w14:textId="77777777" w:rsidTr="00B270B3">
        <w:trPr>
          <w:trHeight w:val="261"/>
        </w:trPr>
        <w:tc>
          <w:tcPr>
            <w:tcW w:w="1212" w:type="dxa"/>
            <w:vMerge/>
            <w:noWrap/>
            <w:hideMark/>
          </w:tcPr>
          <w:p w14:paraId="2B517192"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p>
        </w:tc>
        <w:tc>
          <w:tcPr>
            <w:tcW w:w="1696" w:type="dxa"/>
            <w:noWrap/>
            <w:hideMark/>
          </w:tcPr>
          <w:p w14:paraId="6E7EC301"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Материальные</w:t>
            </w:r>
          </w:p>
        </w:tc>
        <w:tc>
          <w:tcPr>
            <w:tcW w:w="1166" w:type="dxa"/>
            <w:noWrap/>
            <w:hideMark/>
          </w:tcPr>
          <w:p w14:paraId="100BFCD2"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11(9,6%)</w:t>
            </w:r>
          </w:p>
        </w:tc>
        <w:tc>
          <w:tcPr>
            <w:tcW w:w="1500" w:type="dxa"/>
            <w:noWrap/>
            <w:hideMark/>
          </w:tcPr>
          <w:p w14:paraId="36EEB6B7"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43(58,1%)</w:t>
            </w:r>
          </w:p>
        </w:tc>
        <w:tc>
          <w:tcPr>
            <w:tcW w:w="1201" w:type="dxa"/>
            <w:noWrap/>
            <w:hideMark/>
          </w:tcPr>
          <w:p w14:paraId="7EE46DAF"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2(6,1%)</w:t>
            </w:r>
          </w:p>
        </w:tc>
        <w:tc>
          <w:tcPr>
            <w:tcW w:w="1459" w:type="dxa"/>
            <w:noWrap/>
            <w:hideMark/>
          </w:tcPr>
          <w:p w14:paraId="1C50BF4C"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1(5,6%)</w:t>
            </w:r>
          </w:p>
        </w:tc>
        <w:tc>
          <w:tcPr>
            <w:tcW w:w="1445" w:type="dxa"/>
            <w:noWrap/>
            <w:hideMark/>
          </w:tcPr>
          <w:p w14:paraId="60C78FAA"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9(18,8%)</w:t>
            </w:r>
          </w:p>
        </w:tc>
        <w:tc>
          <w:tcPr>
            <w:tcW w:w="1254" w:type="dxa"/>
            <w:noWrap/>
            <w:hideMark/>
          </w:tcPr>
          <w:p w14:paraId="62DF4A6B"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4(6,0%)</w:t>
            </w:r>
          </w:p>
        </w:tc>
        <w:tc>
          <w:tcPr>
            <w:tcW w:w="969" w:type="dxa"/>
            <w:noWrap/>
            <w:hideMark/>
          </w:tcPr>
          <w:p w14:paraId="2B36C6A9"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3(7,5%)</w:t>
            </w:r>
          </w:p>
        </w:tc>
        <w:tc>
          <w:tcPr>
            <w:tcW w:w="1245" w:type="dxa"/>
            <w:noWrap/>
            <w:hideMark/>
          </w:tcPr>
          <w:p w14:paraId="6F70086D" w14:textId="79BB1AFA"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9</w:t>
            </w:r>
            <w:r w:rsidR="00B270B3">
              <w:rPr>
                <w:rFonts w:ascii="Times New Roman" w:eastAsia="Times New Roman" w:hAnsi="Times New Roman" w:cs="Times New Roman"/>
                <w:color w:val="000000"/>
                <w:sz w:val="24"/>
                <w:szCs w:val="24"/>
              </w:rPr>
              <w:t xml:space="preserve"> </w:t>
            </w:r>
            <w:r w:rsidRPr="00D83A34">
              <w:rPr>
                <w:rFonts w:ascii="Times New Roman" w:eastAsia="Times New Roman" w:hAnsi="Times New Roman" w:cs="Times New Roman"/>
                <w:color w:val="000000"/>
                <w:sz w:val="24"/>
                <w:szCs w:val="24"/>
              </w:rPr>
              <w:t>(10,5%)</w:t>
            </w:r>
          </w:p>
        </w:tc>
        <w:tc>
          <w:tcPr>
            <w:tcW w:w="1129" w:type="dxa"/>
            <w:noWrap/>
            <w:hideMark/>
          </w:tcPr>
          <w:p w14:paraId="38001EEE" w14:textId="7E21E0BC"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82</w:t>
            </w:r>
            <w:r w:rsidR="00B270B3">
              <w:rPr>
                <w:rFonts w:ascii="Times New Roman" w:eastAsia="Times New Roman" w:hAnsi="Times New Roman" w:cs="Times New Roman"/>
                <w:color w:val="000000"/>
                <w:sz w:val="24"/>
                <w:szCs w:val="24"/>
              </w:rPr>
              <w:t xml:space="preserve"> </w:t>
            </w:r>
            <w:r w:rsidRPr="00D83A34">
              <w:rPr>
                <w:rFonts w:ascii="Times New Roman" w:eastAsia="Times New Roman" w:hAnsi="Times New Roman" w:cs="Times New Roman"/>
                <w:color w:val="000000"/>
                <w:sz w:val="24"/>
                <w:szCs w:val="24"/>
              </w:rPr>
              <w:t>(17,1%)</w:t>
            </w:r>
          </w:p>
        </w:tc>
      </w:tr>
      <w:tr w:rsidR="00B270B3" w:rsidRPr="00D83A34" w14:paraId="3326861B" w14:textId="77777777" w:rsidTr="00B270B3">
        <w:trPr>
          <w:trHeight w:val="261"/>
        </w:trPr>
        <w:tc>
          <w:tcPr>
            <w:tcW w:w="1212" w:type="dxa"/>
            <w:vMerge/>
            <w:noWrap/>
            <w:hideMark/>
          </w:tcPr>
          <w:p w14:paraId="1F48E0C0"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p>
        </w:tc>
        <w:tc>
          <w:tcPr>
            <w:tcW w:w="1696" w:type="dxa"/>
            <w:noWrap/>
            <w:hideMark/>
          </w:tcPr>
          <w:p w14:paraId="49E2EF1B"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Семейные взаимоотношения</w:t>
            </w:r>
          </w:p>
        </w:tc>
        <w:tc>
          <w:tcPr>
            <w:tcW w:w="1166" w:type="dxa"/>
            <w:noWrap/>
            <w:hideMark/>
          </w:tcPr>
          <w:p w14:paraId="21FBB1FB"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10(8,8%)</w:t>
            </w:r>
          </w:p>
        </w:tc>
        <w:tc>
          <w:tcPr>
            <w:tcW w:w="1500" w:type="dxa"/>
            <w:noWrap/>
            <w:hideMark/>
          </w:tcPr>
          <w:p w14:paraId="4FE7B57C"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11(14,9%)</w:t>
            </w:r>
          </w:p>
        </w:tc>
        <w:tc>
          <w:tcPr>
            <w:tcW w:w="1201" w:type="dxa"/>
            <w:noWrap/>
            <w:hideMark/>
          </w:tcPr>
          <w:p w14:paraId="072A44F2"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9(27,3%)</w:t>
            </w:r>
          </w:p>
        </w:tc>
        <w:tc>
          <w:tcPr>
            <w:tcW w:w="1459" w:type="dxa"/>
            <w:noWrap/>
            <w:hideMark/>
          </w:tcPr>
          <w:p w14:paraId="7BA3A4CB"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3(16,7%)</w:t>
            </w:r>
          </w:p>
        </w:tc>
        <w:tc>
          <w:tcPr>
            <w:tcW w:w="1445" w:type="dxa"/>
            <w:noWrap/>
            <w:hideMark/>
          </w:tcPr>
          <w:p w14:paraId="4FF5F861"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15(31,3%)</w:t>
            </w:r>
          </w:p>
        </w:tc>
        <w:tc>
          <w:tcPr>
            <w:tcW w:w="1254" w:type="dxa"/>
            <w:noWrap/>
            <w:hideMark/>
          </w:tcPr>
          <w:p w14:paraId="2A468C2A"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19(28,4%)</w:t>
            </w:r>
          </w:p>
        </w:tc>
        <w:tc>
          <w:tcPr>
            <w:tcW w:w="969" w:type="dxa"/>
            <w:noWrap/>
            <w:hideMark/>
          </w:tcPr>
          <w:p w14:paraId="6F7BE273"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8(20%)</w:t>
            </w:r>
          </w:p>
        </w:tc>
        <w:tc>
          <w:tcPr>
            <w:tcW w:w="1245" w:type="dxa"/>
            <w:noWrap/>
            <w:hideMark/>
          </w:tcPr>
          <w:p w14:paraId="2ADFEF1D" w14:textId="77777777" w:rsidR="00490AF6"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13</w:t>
            </w:r>
          </w:p>
          <w:p w14:paraId="7EAB42A5" w14:textId="3BF115D9"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(15,1%)</w:t>
            </w:r>
          </w:p>
        </w:tc>
        <w:tc>
          <w:tcPr>
            <w:tcW w:w="1129" w:type="dxa"/>
            <w:noWrap/>
            <w:hideMark/>
          </w:tcPr>
          <w:p w14:paraId="0B28B14D" w14:textId="74B78980"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88</w:t>
            </w:r>
            <w:r w:rsidR="00B270B3">
              <w:rPr>
                <w:rFonts w:ascii="Times New Roman" w:eastAsia="Times New Roman" w:hAnsi="Times New Roman" w:cs="Times New Roman"/>
                <w:color w:val="000000"/>
                <w:sz w:val="24"/>
                <w:szCs w:val="24"/>
              </w:rPr>
              <w:t xml:space="preserve"> </w:t>
            </w:r>
            <w:r w:rsidRPr="00D83A34">
              <w:rPr>
                <w:rFonts w:ascii="Times New Roman" w:eastAsia="Times New Roman" w:hAnsi="Times New Roman" w:cs="Times New Roman"/>
                <w:color w:val="000000"/>
                <w:sz w:val="24"/>
                <w:szCs w:val="24"/>
              </w:rPr>
              <w:t>(18,3%)</w:t>
            </w:r>
          </w:p>
        </w:tc>
      </w:tr>
      <w:tr w:rsidR="00B270B3" w:rsidRPr="00D83A34" w14:paraId="52F29909" w14:textId="77777777" w:rsidTr="00B270B3">
        <w:trPr>
          <w:trHeight w:val="261"/>
        </w:trPr>
        <w:tc>
          <w:tcPr>
            <w:tcW w:w="1212" w:type="dxa"/>
            <w:vMerge/>
            <w:noWrap/>
            <w:hideMark/>
          </w:tcPr>
          <w:p w14:paraId="67F376F3"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p>
        </w:tc>
        <w:tc>
          <w:tcPr>
            <w:tcW w:w="1696" w:type="dxa"/>
            <w:noWrap/>
            <w:hideMark/>
          </w:tcPr>
          <w:p w14:paraId="02272A83"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Сочетать работу и семью</w:t>
            </w:r>
          </w:p>
        </w:tc>
        <w:tc>
          <w:tcPr>
            <w:tcW w:w="1166" w:type="dxa"/>
            <w:noWrap/>
            <w:hideMark/>
          </w:tcPr>
          <w:p w14:paraId="33969C16"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11(9,6%)</w:t>
            </w:r>
          </w:p>
        </w:tc>
        <w:tc>
          <w:tcPr>
            <w:tcW w:w="1500" w:type="dxa"/>
            <w:noWrap/>
            <w:hideMark/>
          </w:tcPr>
          <w:p w14:paraId="33EED030"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3(4,1%)</w:t>
            </w:r>
          </w:p>
        </w:tc>
        <w:tc>
          <w:tcPr>
            <w:tcW w:w="1201" w:type="dxa"/>
            <w:noWrap/>
            <w:hideMark/>
          </w:tcPr>
          <w:p w14:paraId="01F6842A" w14:textId="77777777" w:rsidR="00490AF6"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16</w:t>
            </w:r>
          </w:p>
          <w:p w14:paraId="6BB583E6" w14:textId="01E3245C"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(48,5%)</w:t>
            </w:r>
          </w:p>
        </w:tc>
        <w:tc>
          <w:tcPr>
            <w:tcW w:w="1459" w:type="dxa"/>
            <w:noWrap/>
            <w:hideMark/>
          </w:tcPr>
          <w:p w14:paraId="2D91ECD1"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10(55,6%)</w:t>
            </w:r>
          </w:p>
        </w:tc>
        <w:tc>
          <w:tcPr>
            <w:tcW w:w="1445" w:type="dxa"/>
            <w:noWrap/>
            <w:hideMark/>
          </w:tcPr>
          <w:p w14:paraId="5236D4E2"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10(20,8%)</w:t>
            </w:r>
          </w:p>
        </w:tc>
        <w:tc>
          <w:tcPr>
            <w:tcW w:w="1254" w:type="dxa"/>
            <w:noWrap/>
            <w:hideMark/>
          </w:tcPr>
          <w:p w14:paraId="1C91BC78"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17(25,4%)</w:t>
            </w:r>
          </w:p>
        </w:tc>
        <w:tc>
          <w:tcPr>
            <w:tcW w:w="969" w:type="dxa"/>
            <w:noWrap/>
            <w:hideMark/>
          </w:tcPr>
          <w:p w14:paraId="1DF7FD52"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7(17,5%)</w:t>
            </w:r>
          </w:p>
        </w:tc>
        <w:tc>
          <w:tcPr>
            <w:tcW w:w="1245" w:type="dxa"/>
            <w:noWrap/>
            <w:hideMark/>
          </w:tcPr>
          <w:p w14:paraId="4DBDEF55"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6(7,0%)</w:t>
            </w:r>
          </w:p>
        </w:tc>
        <w:tc>
          <w:tcPr>
            <w:tcW w:w="1129" w:type="dxa"/>
            <w:noWrap/>
            <w:hideMark/>
          </w:tcPr>
          <w:p w14:paraId="03A3BF5D" w14:textId="77777777" w:rsidR="00490AF6"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80</w:t>
            </w:r>
          </w:p>
          <w:p w14:paraId="0A9360BB" w14:textId="7A0DEF56"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(16,7%)</w:t>
            </w:r>
          </w:p>
        </w:tc>
      </w:tr>
      <w:tr w:rsidR="00B270B3" w:rsidRPr="00D83A34" w14:paraId="5334C786" w14:textId="77777777" w:rsidTr="00B270B3">
        <w:trPr>
          <w:trHeight w:val="453"/>
        </w:trPr>
        <w:tc>
          <w:tcPr>
            <w:tcW w:w="1212" w:type="dxa"/>
            <w:vMerge/>
            <w:noWrap/>
            <w:hideMark/>
          </w:tcPr>
          <w:p w14:paraId="3FE5C377"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p>
        </w:tc>
        <w:tc>
          <w:tcPr>
            <w:tcW w:w="1696" w:type="dxa"/>
            <w:noWrap/>
            <w:hideMark/>
          </w:tcPr>
          <w:p w14:paraId="6C8873DC"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Другое</w:t>
            </w:r>
          </w:p>
        </w:tc>
        <w:tc>
          <w:tcPr>
            <w:tcW w:w="1166" w:type="dxa"/>
            <w:noWrap/>
            <w:hideMark/>
          </w:tcPr>
          <w:p w14:paraId="260A5098" w14:textId="77777777" w:rsidR="00490AF6"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12</w:t>
            </w:r>
          </w:p>
          <w:p w14:paraId="49D1B1A3" w14:textId="757509EA"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(10,5%)</w:t>
            </w:r>
          </w:p>
        </w:tc>
        <w:tc>
          <w:tcPr>
            <w:tcW w:w="1500" w:type="dxa"/>
            <w:noWrap/>
            <w:hideMark/>
          </w:tcPr>
          <w:p w14:paraId="0C9897A7"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7(9,5%)</w:t>
            </w:r>
          </w:p>
        </w:tc>
        <w:tc>
          <w:tcPr>
            <w:tcW w:w="1201" w:type="dxa"/>
            <w:noWrap/>
            <w:hideMark/>
          </w:tcPr>
          <w:p w14:paraId="54FEA88D"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3(9,1%)</w:t>
            </w:r>
          </w:p>
        </w:tc>
        <w:tc>
          <w:tcPr>
            <w:tcW w:w="1459" w:type="dxa"/>
            <w:noWrap/>
            <w:hideMark/>
          </w:tcPr>
          <w:p w14:paraId="4894FC9E"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1(5,6%)</w:t>
            </w:r>
          </w:p>
        </w:tc>
        <w:tc>
          <w:tcPr>
            <w:tcW w:w="1445" w:type="dxa"/>
            <w:noWrap/>
            <w:hideMark/>
          </w:tcPr>
          <w:p w14:paraId="16AC199C"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10(20,8%)</w:t>
            </w:r>
          </w:p>
        </w:tc>
        <w:tc>
          <w:tcPr>
            <w:tcW w:w="1254" w:type="dxa"/>
            <w:noWrap/>
            <w:hideMark/>
          </w:tcPr>
          <w:p w14:paraId="635F31D6"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19(28,4%)</w:t>
            </w:r>
          </w:p>
        </w:tc>
        <w:tc>
          <w:tcPr>
            <w:tcW w:w="969" w:type="dxa"/>
            <w:noWrap/>
            <w:hideMark/>
          </w:tcPr>
          <w:p w14:paraId="5607D979"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15(37,5%)</w:t>
            </w:r>
          </w:p>
        </w:tc>
        <w:tc>
          <w:tcPr>
            <w:tcW w:w="1245" w:type="dxa"/>
            <w:noWrap/>
            <w:hideMark/>
          </w:tcPr>
          <w:p w14:paraId="581B11D9" w14:textId="77777777" w:rsidR="00490AF6"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50</w:t>
            </w:r>
          </w:p>
          <w:p w14:paraId="062EE508" w14:textId="46E19B99"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(58,1%)</w:t>
            </w:r>
          </w:p>
        </w:tc>
        <w:tc>
          <w:tcPr>
            <w:tcW w:w="1129" w:type="dxa"/>
            <w:noWrap/>
            <w:hideMark/>
          </w:tcPr>
          <w:p w14:paraId="1273A858" w14:textId="77777777" w:rsidR="00490AF6"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117</w:t>
            </w:r>
          </w:p>
          <w:p w14:paraId="501510DD" w14:textId="2188A6CC"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(24,4%)</w:t>
            </w:r>
          </w:p>
        </w:tc>
      </w:tr>
      <w:tr w:rsidR="00B270B3" w:rsidRPr="00D83A34" w14:paraId="1749979C" w14:textId="77777777" w:rsidTr="00B270B3">
        <w:trPr>
          <w:trHeight w:val="261"/>
        </w:trPr>
        <w:tc>
          <w:tcPr>
            <w:tcW w:w="1212" w:type="dxa"/>
            <w:vMerge/>
            <w:noWrap/>
            <w:hideMark/>
          </w:tcPr>
          <w:p w14:paraId="2AD74655"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p>
        </w:tc>
        <w:tc>
          <w:tcPr>
            <w:tcW w:w="1696" w:type="dxa"/>
            <w:noWrap/>
            <w:hideMark/>
          </w:tcPr>
          <w:p w14:paraId="1FB1FEE0"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bCs/>
                <w:color w:val="000000"/>
                <w:sz w:val="24"/>
                <w:szCs w:val="24"/>
              </w:rPr>
              <w:t>Итого</w:t>
            </w:r>
          </w:p>
        </w:tc>
        <w:tc>
          <w:tcPr>
            <w:tcW w:w="1166" w:type="dxa"/>
            <w:noWrap/>
            <w:hideMark/>
          </w:tcPr>
          <w:p w14:paraId="0A8BA29B" w14:textId="4630D4D8"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114</w:t>
            </w:r>
            <w:r w:rsidR="00B270B3">
              <w:rPr>
                <w:rFonts w:ascii="Times New Roman" w:eastAsia="Times New Roman" w:hAnsi="Times New Roman" w:cs="Times New Roman"/>
                <w:color w:val="000000"/>
                <w:sz w:val="24"/>
                <w:szCs w:val="24"/>
              </w:rPr>
              <w:t xml:space="preserve"> </w:t>
            </w:r>
            <w:r w:rsidRPr="00D83A34">
              <w:rPr>
                <w:rFonts w:ascii="Times New Roman" w:eastAsia="Times New Roman" w:hAnsi="Times New Roman" w:cs="Times New Roman"/>
                <w:color w:val="000000"/>
                <w:sz w:val="24"/>
                <w:szCs w:val="24"/>
              </w:rPr>
              <w:t>(100%)</w:t>
            </w:r>
          </w:p>
        </w:tc>
        <w:tc>
          <w:tcPr>
            <w:tcW w:w="1500" w:type="dxa"/>
            <w:noWrap/>
            <w:hideMark/>
          </w:tcPr>
          <w:p w14:paraId="29E9D5DF"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74(100%)</w:t>
            </w:r>
          </w:p>
        </w:tc>
        <w:tc>
          <w:tcPr>
            <w:tcW w:w="1201" w:type="dxa"/>
            <w:noWrap/>
            <w:hideMark/>
          </w:tcPr>
          <w:p w14:paraId="0ABEA362"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33(100%)</w:t>
            </w:r>
          </w:p>
        </w:tc>
        <w:tc>
          <w:tcPr>
            <w:tcW w:w="1459" w:type="dxa"/>
            <w:noWrap/>
            <w:hideMark/>
          </w:tcPr>
          <w:p w14:paraId="4E8E9222"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18(100%)</w:t>
            </w:r>
          </w:p>
        </w:tc>
        <w:tc>
          <w:tcPr>
            <w:tcW w:w="1445" w:type="dxa"/>
            <w:noWrap/>
            <w:hideMark/>
          </w:tcPr>
          <w:p w14:paraId="4E8910A5"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48(100%)</w:t>
            </w:r>
          </w:p>
        </w:tc>
        <w:tc>
          <w:tcPr>
            <w:tcW w:w="1254" w:type="dxa"/>
            <w:noWrap/>
            <w:hideMark/>
          </w:tcPr>
          <w:p w14:paraId="7B50722A"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67(100%)</w:t>
            </w:r>
          </w:p>
        </w:tc>
        <w:tc>
          <w:tcPr>
            <w:tcW w:w="969" w:type="dxa"/>
            <w:noWrap/>
            <w:hideMark/>
          </w:tcPr>
          <w:p w14:paraId="5838A87F"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40(100%)</w:t>
            </w:r>
          </w:p>
        </w:tc>
        <w:tc>
          <w:tcPr>
            <w:tcW w:w="1245" w:type="dxa"/>
            <w:noWrap/>
            <w:hideMark/>
          </w:tcPr>
          <w:p w14:paraId="67411578" w14:textId="77777777" w:rsidR="00490AF6"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86</w:t>
            </w:r>
          </w:p>
          <w:p w14:paraId="10A4F811" w14:textId="74C290FC"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(100%)</w:t>
            </w:r>
          </w:p>
        </w:tc>
        <w:tc>
          <w:tcPr>
            <w:tcW w:w="1129" w:type="dxa"/>
            <w:noWrap/>
            <w:hideMark/>
          </w:tcPr>
          <w:p w14:paraId="23CD552E"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480(100%)</w:t>
            </w:r>
          </w:p>
        </w:tc>
      </w:tr>
      <w:tr w:rsidR="00B270B3" w:rsidRPr="00D83A34" w14:paraId="0C9C5A17" w14:textId="77777777" w:rsidTr="00B270B3">
        <w:trPr>
          <w:trHeight w:val="261"/>
        </w:trPr>
        <w:tc>
          <w:tcPr>
            <w:tcW w:w="1212" w:type="dxa"/>
            <w:vMerge/>
            <w:noWrap/>
          </w:tcPr>
          <w:p w14:paraId="7D4A039A" w14:textId="77777777" w:rsidR="00D83A34" w:rsidRPr="00D83A34" w:rsidRDefault="00D83A34" w:rsidP="00D83A34">
            <w:pPr>
              <w:spacing w:after="0" w:line="240" w:lineRule="auto"/>
              <w:jc w:val="center"/>
              <w:rPr>
                <w:rFonts w:ascii="Times New Roman" w:eastAsia="Times New Roman" w:hAnsi="Times New Roman" w:cs="Times New Roman"/>
                <w:color w:val="000000"/>
                <w:sz w:val="20"/>
                <w:szCs w:val="20"/>
              </w:rPr>
            </w:pPr>
          </w:p>
        </w:tc>
        <w:tc>
          <w:tcPr>
            <w:tcW w:w="1696" w:type="dxa"/>
            <w:noWrap/>
          </w:tcPr>
          <w:p w14:paraId="1B79132C"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lang w:val="en-US"/>
              </w:rPr>
              <w:t>p-value</w:t>
            </w:r>
          </w:p>
        </w:tc>
        <w:tc>
          <w:tcPr>
            <w:tcW w:w="1166" w:type="dxa"/>
            <w:noWrap/>
          </w:tcPr>
          <w:p w14:paraId="0EE14BF0" w14:textId="77777777" w:rsidR="00D83A34" w:rsidRPr="00D83A34" w:rsidRDefault="00D83A34" w:rsidP="00D83A34">
            <w:pPr>
              <w:spacing w:after="0" w:line="240" w:lineRule="auto"/>
              <w:jc w:val="center"/>
              <w:rPr>
                <w:rFonts w:ascii="Times New Roman" w:eastAsia="Times New Roman" w:hAnsi="Times New Roman" w:cs="Times New Roman"/>
                <w:color w:val="000000"/>
                <w:sz w:val="24"/>
                <w:szCs w:val="24"/>
              </w:rPr>
            </w:pPr>
            <w:r w:rsidRPr="00D83A34">
              <w:rPr>
                <w:rFonts w:ascii="Times New Roman" w:eastAsia="Times New Roman" w:hAnsi="Times New Roman" w:cs="Times New Roman"/>
                <w:color w:val="000000"/>
                <w:sz w:val="24"/>
                <w:szCs w:val="24"/>
              </w:rPr>
              <w:t>0,0001</w:t>
            </w:r>
          </w:p>
        </w:tc>
        <w:tc>
          <w:tcPr>
            <w:tcW w:w="1500" w:type="dxa"/>
            <w:noWrap/>
          </w:tcPr>
          <w:p w14:paraId="742AFE91" w14:textId="6CD15ABF" w:rsidR="00D83A34" w:rsidRPr="00D83A34" w:rsidRDefault="00077E0F" w:rsidP="00D83A3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1201" w:type="dxa"/>
            <w:noWrap/>
          </w:tcPr>
          <w:p w14:paraId="3074EC59" w14:textId="36933292" w:rsidR="00D83A34" w:rsidRPr="00D83A34" w:rsidRDefault="00077E0F" w:rsidP="00D83A3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1459" w:type="dxa"/>
            <w:noWrap/>
          </w:tcPr>
          <w:p w14:paraId="109BECEC" w14:textId="4807D525" w:rsidR="00D83A34" w:rsidRPr="00D83A34" w:rsidRDefault="00077E0F" w:rsidP="00D83A3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1445" w:type="dxa"/>
            <w:noWrap/>
          </w:tcPr>
          <w:p w14:paraId="48DCE45D" w14:textId="6F88B891" w:rsidR="00D83A34" w:rsidRPr="00D83A34" w:rsidRDefault="00077E0F" w:rsidP="00D83A3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1254" w:type="dxa"/>
            <w:noWrap/>
          </w:tcPr>
          <w:p w14:paraId="5D319A53" w14:textId="6B1D817E" w:rsidR="00D83A34" w:rsidRPr="00D83A34" w:rsidRDefault="00077E0F" w:rsidP="00D83A3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969" w:type="dxa"/>
            <w:noWrap/>
          </w:tcPr>
          <w:p w14:paraId="52FA5A7D" w14:textId="65FDB17D" w:rsidR="00D83A34" w:rsidRPr="00D83A34" w:rsidRDefault="00077E0F" w:rsidP="00D83A3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1245" w:type="dxa"/>
            <w:noWrap/>
          </w:tcPr>
          <w:p w14:paraId="696E3C4F" w14:textId="508EE5D8" w:rsidR="00D83A34" w:rsidRPr="00D83A34" w:rsidRDefault="00077E0F" w:rsidP="00D83A3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1129" w:type="dxa"/>
            <w:noWrap/>
          </w:tcPr>
          <w:p w14:paraId="450C86CE" w14:textId="15147CB8" w:rsidR="00D83A34" w:rsidRPr="00D83A34" w:rsidRDefault="00077E0F" w:rsidP="00D83A34">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r>
    </w:tbl>
    <w:p w14:paraId="20991472" w14:textId="77777777" w:rsidR="005E0EA9" w:rsidRPr="005E0EA9" w:rsidRDefault="005E0EA9" w:rsidP="005E0EA9">
      <w:pPr>
        <w:spacing w:after="0" w:line="240" w:lineRule="auto"/>
        <w:jc w:val="both"/>
        <w:rPr>
          <w:rFonts w:ascii="Times New Roman" w:hAnsi="Times New Roman" w:cs="Times New Roman"/>
          <w:b/>
          <w:sz w:val="24"/>
          <w:szCs w:val="24"/>
        </w:rPr>
      </w:pPr>
    </w:p>
    <w:p w14:paraId="3ADDC0FD" w14:textId="77777777" w:rsidR="007A2C38" w:rsidRPr="00D83A34" w:rsidRDefault="007A2C38" w:rsidP="004135FE">
      <w:pPr>
        <w:spacing w:after="0" w:line="240" w:lineRule="auto"/>
        <w:jc w:val="both"/>
        <w:rPr>
          <w:rFonts w:ascii="Times New Roman" w:hAnsi="Times New Roman" w:cs="Times New Roman"/>
          <w:b/>
          <w:sz w:val="10"/>
          <w:szCs w:val="10"/>
        </w:rPr>
      </w:pPr>
    </w:p>
    <w:p w14:paraId="684186E5" w14:textId="77777777" w:rsidR="007A2C38" w:rsidRPr="00D83A34" w:rsidRDefault="007A2C38" w:rsidP="004135FE">
      <w:pPr>
        <w:spacing w:after="0" w:line="240" w:lineRule="auto"/>
        <w:jc w:val="both"/>
        <w:rPr>
          <w:rFonts w:ascii="Times New Roman" w:hAnsi="Times New Roman" w:cs="Times New Roman"/>
          <w:b/>
          <w:sz w:val="10"/>
          <w:szCs w:val="10"/>
        </w:rPr>
      </w:pPr>
    </w:p>
    <w:p w14:paraId="34E0FFFE" w14:textId="77777777" w:rsidR="007A2C38" w:rsidRPr="00D83A34" w:rsidRDefault="007A2C38" w:rsidP="004135FE">
      <w:pPr>
        <w:spacing w:after="0" w:line="240" w:lineRule="auto"/>
        <w:jc w:val="both"/>
        <w:rPr>
          <w:rFonts w:ascii="Times New Roman" w:hAnsi="Times New Roman" w:cs="Times New Roman"/>
          <w:b/>
          <w:sz w:val="10"/>
          <w:szCs w:val="10"/>
        </w:rPr>
      </w:pPr>
    </w:p>
    <w:p w14:paraId="36C99654" w14:textId="77777777" w:rsidR="007A2C38" w:rsidRPr="004135FE" w:rsidRDefault="007A2C38" w:rsidP="004135FE">
      <w:pPr>
        <w:spacing w:after="0" w:line="240" w:lineRule="auto"/>
        <w:jc w:val="both"/>
        <w:rPr>
          <w:rFonts w:ascii="Times New Roman" w:hAnsi="Times New Roman" w:cs="Times New Roman"/>
          <w:b/>
          <w:sz w:val="28"/>
          <w:szCs w:val="28"/>
        </w:rPr>
      </w:pPr>
    </w:p>
    <w:p w14:paraId="6E98F34C" w14:textId="77777777" w:rsidR="007A2C38" w:rsidRPr="004135FE" w:rsidRDefault="007A2C38" w:rsidP="004135FE">
      <w:pPr>
        <w:spacing w:after="0" w:line="240" w:lineRule="auto"/>
        <w:jc w:val="both"/>
        <w:rPr>
          <w:rFonts w:ascii="Times New Roman" w:hAnsi="Times New Roman" w:cs="Times New Roman"/>
          <w:b/>
          <w:sz w:val="28"/>
          <w:szCs w:val="28"/>
        </w:rPr>
      </w:pPr>
    </w:p>
    <w:p w14:paraId="7CBAA231" w14:textId="77777777" w:rsidR="007A2C38" w:rsidRPr="004135FE" w:rsidRDefault="007A2C38" w:rsidP="004135FE">
      <w:pPr>
        <w:spacing w:after="0" w:line="240" w:lineRule="auto"/>
        <w:jc w:val="both"/>
        <w:rPr>
          <w:rFonts w:ascii="Times New Roman" w:hAnsi="Times New Roman" w:cs="Times New Roman"/>
          <w:b/>
          <w:sz w:val="28"/>
          <w:szCs w:val="28"/>
        </w:rPr>
      </w:pPr>
    </w:p>
    <w:p w14:paraId="52591987" w14:textId="77777777" w:rsidR="007A2C38" w:rsidRPr="004135FE" w:rsidRDefault="007A2C38" w:rsidP="004135FE">
      <w:pPr>
        <w:spacing w:after="0" w:line="240" w:lineRule="auto"/>
        <w:jc w:val="both"/>
        <w:rPr>
          <w:rFonts w:ascii="Times New Roman" w:hAnsi="Times New Roman" w:cs="Times New Roman"/>
          <w:b/>
          <w:sz w:val="28"/>
          <w:szCs w:val="28"/>
        </w:rPr>
        <w:sectPr w:rsidR="007A2C38" w:rsidRPr="004135FE" w:rsidSect="00EC71C2">
          <w:type w:val="nextColumn"/>
          <w:pgSz w:w="16838" w:h="11906" w:orient="landscape"/>
          <w:pgMar w:top="1134" w:right="851" w:bottom="1134" w:left="1701" w:header="708" w:footer="708" w:gutter="0"/>
          <w:cols w:space="708"/>
          <w:docGrid w:linePitch="360"/>
        </w:sectPr>
      </w:pPr>
    </w:p>
    <w:p w14:paraId="3F353C2A" w14:textId="77777777" w:rsidR="007A2C38" w:rsidRPr="004135FE" w:rsidRDefault="007A2C38" w:rsidP="00DE6AAF">
      <w:pPr>
        <w:spacing w:after="0" w:line="240" w:lineRule="auto"/>
        <w:ind w:firstLine="709"/>
        <w:jc w:val="both"/>
        <w:rPr>
          <w:rFonts w:ascii="Times New Roman" w:hAnsi="Times New Roman" w:cs="Times New Roman"/>
          <w:b/>
          <w:sz w:val="28"/>
          <w:szCs w:val="28"/>
        </w:rPr>
      </w:pPr>
      <w:r w:rsidRPr="00DE6AAF">
        <w:rPr>
          <w:rFonts w:ascii="Times New Roman" w:hAnsi="Times New Roman" w:cs="Times New Roman"/>
          <w:bCs/>
          <w:sz w:val="28"/>
          <w:szCs w:val="28"/>
        </w:rPr>
        <w:lastRenderedPageBreak/>
        <w:t>Таким образом,</w:t>
      </w:r>
      <w:r w:rsidRPr="004135FE">
        <w:rPr>
          <w:rFonts w:ascii="Times New Roman" w:hAnsi="Times New Roman" w:cs="Times New Roman"/>
          <w:b/>
          <w:sz w:val="28"/>
          <w:szCs w:val="28"/>
        </w:rPr>
        <w:t xml:space="preserve"> </w:t>
      </w:r>
      <w:r w:rsidRPr="004135FE">
        <w:rPr>
          <w:rFonts w:ascii="Times New Roman" w:hAnsi="Times New Roman" w:cs="Times New Roman"/>
          <w:sz w:val="28"/>
          <w:szCs w:val="28"/>
        </w:rPr>
        <w:t>согласно действующим НПА доступ к узкому специалисту, как эндокринолог, необходимо иметь направление от ВОП или терапевта, при этом быть застрахованным. Но как видно по опросу, трудоустроенные респонденты имеют больше возможности контакта с персоналом эндокринологического кабинета и обращаемость за услугой ПМСП.</w:t>
      </w:r>
    </w:p>
    <w:p w14:paraId="7851F537" w14:textId="77777777" w:rsidR="007A2C38" w:rsidRPr="004135FE" w:rsidRDefault="007A2C38" w:rsidP="00DE6AAF">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Статистические данные нашего исследования подтверждают, что необходим определенный размер бюджета, которого больше у лиц со стабильным доходом, как на приобретения ЛС, которые не входят в бесплатный перечень, так и на вредные привычки в виде алкоголь и курение.</w:t>
      </w:r>
    </w:p>
    <w:p w14:paraId="7B3936A3" w14:textId="77777777" w:rsidR="007A2C38" w:rsidRPr="00DE6AAF" w:rsidRDefault="007A2C38" w:rsidP="00DE6AAF">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Безработные респонденты (всего 42,08%) сгруппированы от лиц нигде не работающих, пенсионеров по возрасту, имеющих инвалидность по СД, домашнее хозяйство, студенты и другие. Большинство людей, не имеющих коллектив, чувствуют одиночество, социальное угнетение, низкую мотивацию и самооценку. К сожалению, в нашем опросе не были включены вопросы по субъективным ощущениям, телесное самочувствие и отдельные аспекты эмоционального и социального благополучия, определяющие качества жизни, как в опроснике </w:t>
      </w:r>
      <w:r w:rsidRPr="004135FE">
        <w:rPr>
          <w:rFonts w:ascii="Times New Roman" w:hAnsi="Times New Roman" w:cs="Times New Roman"/>
          <w:sz w:val="28"/>
          <w:szCs w:val="28"/>
          <w:lang w:val="en-US"/>
        </w:rPr>
        <w:t>SF</w:t>
      </w:r>
      <w:r w:rsidRPr="004135FE">
        <w:rPr>
          <w:rFonts w:ascii="Times New Roman" w:hAnsi="Times New Roman" w:cs="Times New Roman"/>
          <w:sz w:val="28"/>
          <w:szCs w:val="28"/>
        </w:rPr>
        <w:t xml:space="preserve">-36 и его варианты, </w:t>
      </w:r>
      <w:r w:rsidRPr="004135FE">
        <w:rPr>
          <w:rFonts w:ascii="Times New Roman" w:hAnsi="Times New Roman" w:cs="Times New Roman"/>
          <w:sz w:val="28"/>
          <w:szCs w:val="28"/>
          <w:lang w:val="en-US"/>
        </w:rPr>
        <w:t>EuroQol</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Health</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Profile</w:t>
      </w:r>
      <w:r w:rsidRPr="004135FE">
        <w:rPr>
          <w:rFonts w:ascii="Times New Roman" w:hAnsi="Times New Roman" w:cs="Times New Roman"/>
          <w:sz w:val="28"/>
          <w:szCs w:val="28"/>
        </w:rPr>
        <w:t>. Эти опросники часто используются для оценки качества жизни, но они позволяют изучить лишь субъективное состояние здоровья респондента, то есть то что он думает о своем здоровье</w:t>
      </w:r>
      <w:r w:rsidRPr="00DE6AAF">
        <w:rPr>
          <w:rFonts w:ascii="Times New Roman" w:hAnsi="Times New Roman" w:cs="Times New Roman"/>
          <w:sz w:val="28"/>
          <w:szCs w:val="28"/>
        </w:rPr>
        <w:t xml:space="preserve">. </w:t>
      </w:r>
      <w:r w:rsidRPr="00DE6AAF">
        <w:rPr>
          <w:rFonts w:ascii="Times New Roman" w:hAnsi="Times New Roman" w:cs="Times New Roman"/>
          <w:i/>
          <w:sz w:val="28"/>
          <w:szCs w:val="28"/>
        </w:rPr>
        <w:t>Мы рекомендуем нашим отечественным научным сотрудникам изучить в своих исследованиях уровень качества жизни и чувство одиночества при СД2т, так как необходимо чтобы были созданы специальные программы и кружки, трудоустройство на государственном уровне в зависимости от возраста и состояния здоровья.</w:t>
      </w:r>
    </w:p>
    <w:p w14:paraId="5CF20E90" w14:textId="550A74B4" w:rsidR="007A2C38" w:rsidRPr="004135FE" w:rsidRDefault="007A2C38" w:rsidP="00DE6AAF">
      <w:pPr>
        <w:tabs>
          <w:tab w:val="left" w:pos="567"/>
        </w:tabs>
        <w:spacing w:after="0" w:line="240" w:lineRule="auto"/>
        <w:ind w:firstLine="709"/>
        <w:jc w:val="both"/>
        <w:rPr>
          <w:rFonts w:ascii="Times New Roman" w:hAnsi="Times New Roman" w:cs="Times New Roman"/>
          <w:sz w:val="28"/>
          <w:szCs w:val="28"/>
        </w:rPr>
      </w:pPr>
      <w:r w:rsidRPr="00DE6AAF">
        <w:rPr>
          <w:rFonts w:ascii="Times New Roman" w:hAnsi="Times New Roman" w:cs="Times New Roman"/>
          <w:sz w:val="28"/>
          <w:szCs w:val="28"/>
        </w:rPr>
        <w:t>Так же выяснилась, что для повышения рождаемости необходима</w:t>
      </w:r>
      <w:r w:rsidRPr="004135FE">
        <w:rPr>
          <w:rFonts w:ascii="Times New Roman" w:hAnsi="Times New Roman" w:cs="Times New Roman"/>
          <w:sz w:val="28"/>
          <w:szCs w:val="28"/>
        </w:rPr>
        <w:t xml:space="preserve"> работа с населением по планированию семьи во избежание социально-бытовых и медицинских проблем. В свою очередь со стороны государства необходимы меры по улучшению благосостояния народа, увеличение программ, поддерживающих молодежь. </w:t>
      </w:r>
    </w:p>
    <w:p w14:paraId="35B2C22A" w14:textId="4784B3B7" w:rsidR="007A2C38" w:rsidRPr="00DE6AAF" w:rsidRDefault="007A2C38" w:rsidP="00DE6AAF">
      <w:pPr>
        <w:tabs>
          <w:tab w:val="left" w:pos="1014"/>
        </w:tabs>
        <w:spacing w:after="0" w:line="240" w:lineRule="auto"/>
        <w:ind w:firstLine="709"/>
        <w:jc w:val="both"/>
        <w:rPr>
          <w:rFonts w:ascii="Times New Roman" w:hAnsi="Times New Roman" w:cs="Times New Roman"/>
          <w:bCs/>
          <w:sz w:val="28"/>
          <w:szCs w:val="28"/>
        </w:rPr>
      </w:pPr>
      <w:r w:rsidRPr="004135FE">
        <w:rPr>
          <w:rFonts w:ascii="Times New Roman" w:hAnsi="Times New Roman" w:cs="Times New Roman"/>
          <w:sz w:val="28"/>
          <w:szCs w:val="28"/>
        </w:rPr>
        <w:t xml:space="preserve"> </w:t>
      </w:r>
      <w:r w:rsidRPr="00DE6AAF">
        <w:rPr>
          <w:rFonts w:ascii="Times New Roman" w:hAnsi="Times New Roman" w:cs="Times New Roman"/>
          <w:bCs/>
          <w:i/>
          <w:sz w:val="28"/>
          <w:szCs w:val="28"/>
        </w:rPr>
        <w:t xml:space="preserve">Образ жизни и </w:t>
      </w:r>
      <w:r w:rsidR="00DF6E9B" w:rsidRPr="00DE6AAF">
        <w:rPr>
          <w:rFonts w:ascii="Times New Roman" w:hAnsi="Times New Roman" w:cs="Times New Roman"/>
          <w:bCs/>
          <w:i/>
          <w:sz w:val="28"/>
          <w:szCs w:val="28"/>
        </w:rPr>
        <w:t>образование респондентов с СД2т</w:t>
      </w:r>
    </w:p>
    <w:p w14:paraId="25CF9F19" w14:textId="205E19A4" w:rsidR="007A2C38" w:rsidRPr="004135FE" w:rsidRDefault="007A2C38" w:rsidP="00DE6AAF">
      <w:pPr>
        <w:tabs>
          <w:tab w:val="left" w:pos="567"/>
        </w:tabs>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Образование человека во многих случаях совпадает медицинской грамотностью, что в достаточном уровне может повлиять на образ жизни и самоконтроль. В следующем анализе определяется влияние образования на образ жизни </w:t>
      </w:r>
      <w:r w:rsidR="00B728EF" w:rsidRPr="004135FE">
        <w:rPr>
          <w:rFonts w:ascii="Times New Roman" w:hAnsi="Times New Roman" w:cs="Times New Roman"/>
          <w:sz w:val="28"/>
          <w:szCs w:val="28"/>
        </w:rPr>
        <w:t>и поведения при СД2т (Таблица 27</w:t>
      </w:r>
      <w:r w:rsidRPr="004135FE">
        <w:rPr>
          <w:rFonts w:ascii="Times New Roman" w:hAnsi="Times New Roman" w:cs="Times New Roman"/>
          <w:sz w:val="28"/>
          <w:szCs w:val="28"/>
        </w:rPr>
        <w:t>).</w:t>
      </w:r>
    </w:p>
    <w:p w14:paraId="291753C1" w14:textId="77777777" w:rsidR="007A2C38" w:rsidRPr="004135FE" w:rsidRDefault="007A2C38" w:rsidP="00DE6AAF">
      <w:pPr>
        <w:autoSpaceDE w:val="0"/>
        <w:autoSpaceDN w:val="0"/>
        <w:adjustRightInd w:val="0"/>
        <w:spacing w:after="0" w:line="240" w:lineRule="auto"/>
        <w:ind w:firstLine="709"/>
        <w:jc w:val="both"/>
        <w:rPr>
          <w:rFonts w:ascii="Times New Roman" w:hAnsi="Times New Roman" w:cs="Times New Roman"/>
          <w:i/>
          <w:sz w:val="28"/>
          <w:szCs w:val="28"/>
        </w:rPr>
      </w:pPr>
      <w:r w:rsidRPr="004135FE">
        <w:rPr>
          <w:rFonts w:ascii="Times New Roman" w:hAnsi="Times New Roman" w:cs="Times New Roman"/>
          <w:sz w:val="28"/>
          <w:szCs w:val="28"/>
        </w:rPr>
        <w:t xml:space="preserve">По результату опроса, выявлено влияние образования на занятость респондентов с СД2т. Имея высшее образование </w:t>
      </w:r>
      <w:r w:rsidRPr="004135FE">
        <w:rPr>
          <w:rFonts w:ascii="Times New Roman" w:eastAsia="Times New Roman" w:hAnsi="Times New Roman" w:cs="Times New Roman"/>
          <w:sz w:val="28"/>
          <w:szCs w:val="28"/>
        </w:rPr>
        <w:t xml:space="preserve">54,04% опрошенных трудоустроены </w:t>
      </w:r>
      <w:r w:rsidRPr="004135FE">
        <w:rPr>
          <w:rFonts w:ascii="Times New Roman" w:hAnsi="Times New Roman" w:cs="Times New Roman"/>
          <w:sz w:val="28"/>
          <w:szCs w:val="28"/>
        </w:rPr>
        <w:t xml:space="preserve">и </w:t>
      </w:r>
      <w:r w:rsidRPr="004135FE">
        <w:rPr>
          <w:rFonts w:ascii="Times New Roman" w:eastAsia="Times New Roman" w:hAnsi="Times New Roman" w:cs="Times New Roman"/>
          <w:color w:val="000000"/>
          <w:sz w:val="28"/>
          <w:szCs w:val="28"/>
        </w:rPr>
        <w:t>45,96</w:t>
      </w:r>
      <w:r w:rsidRPr="004135FE">
        <w:rPr>
          <w:rFonts w:ascii="Times New Roman" w:eastAsia="Times New Roman" w:hAnsi="Times New Roman" w:cs="Times New Roman"/>
          <w:sz w:val="28"/>
          <w:szCs w:val="28"/>
        </w:rPr>
        <w:t>%</w:t>
      </w:r>
      <w:r w:rsidRPr="004135FE">
        <w:rPr>
          <w:rFonts w:ascii="Times New Roman" w:hAnsi="Times New Roman" w:cs="Times New Roman"/>
          <w:sz w:val="28"/>
          <w:szCs w:val="28"/>
        </w:rPr>
        <w:t xml:space="preserve"> безработные, с другим образованием соответственно 36,05% и 63,95% (χ2=40,514, df=24, p=0,019). </w:t>
      </w:r>
    </w:p>
    <w:p w14:paraId="7EF4EC80" w14:textId="77777777" w:rsidR="007A2C38" w:rsidRPr="004135FE" w:rsidRDefault="007A2C38" w:rsidP="00DE6AAF">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Согласно опросу, не зависимо от статуса, большинство респондентов не курят и не пьют алкоголь. Наличие образования не влияет на частоту употребления сигарет (χ2=7,639, df=9, p=0,571) и алкогольных напитков (χ2=13,596, df=9, p=0,137).  </w:t>
      </w:r>
    </w:p>
    <w:p w14:paraId="1521DF17" w14:textId="77777777" w:rsidR="007A2C38" w:rsidRPr="004135FE" w:rsidRDefault="007A2C38" w:rsidP="00DE6AAF">
      <w:pPr>
        <w:spacing w:after="0" w:line="240" w:lineRule="auto"/>
        <w:ind w:firstLine="709"/>
        <w:jc w:val="both"/>
        <w:rPr>
          <w:rFonts w:ascii="Times New Roman" w:hAnsi="Times New Roman" w:cs="Times New Roman"/>
          <w:sz w:val="28"/>
          <w:szCs w:val="28"/>
        </w:rPr>
      </w:pPr>
    </w:p>
    <w:p w14:paraId="4F78411B" w14:textId="32C372F4" w:rsidR="007A2C38" w:rsidRDefault="00B728EF"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lastRenderedPageBreak/>
        <w:t>Таблица 27</w:t>
      </w:r>
      <w:r w:rsidR="007A2C38" w:rsidRPr="004135FE">
        <w:rPr>
          <w:rFonts w:ascii="Times New Roman" w:hAnsi="Times New Roman" w:cs="Times New Roman"/>
          <w:sz w:val="28"/>
          <w:szCs w:val="28"/>
        </w:rPr>
        <w:t>- Влияние образования пациента на образ жизни</w:t>
      </w:r>
    </w:p>
    <w:p w14:paraId="0F1DCA4B" w14:textId="77777777" w:rsidR="00DE6AAF" w:rsidRPr="004135FE" w:rsidRDefault="00DE6AAF" w:rsidP="004135FE">
      <w:pPr>
        <w:spacing w:after="0" w:line="240" w:lineRule="auto"/>
        <w:jc w:val="both"/>
        <w:rPr>
          <w:rFonts w:ascii="Times New Roman" w:hAnsi="Times New Roman" w:cs="Times New Roman"/>
          <w:b/>
          <w:sz w:val="28"/>
          <w:szCs w:val="28"/>
        </w:rPr>
      </w:pPr>
    </w:p>
    <w:tbl>
      <w:tblPr>
        <w:tblStyle w:val="af9"/>
        <w:tblpPr w:leftFromText="180" w:rightFromText="180" w:vertAnchor="text" w:tblpY="1"/>
        <w:tblOverlap w:val="neve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126"/>
        <w:gridCol w:w="1985"/>
        <w:gridCol w:w="2405"/>
      </w:tblGrid>
      <w:tr w:rsidR="007A2C38" w:rsidRPr="00DE6AAF" w14:paraId="24C8DBE3" w14:textId="77777777" w:rsidTr="00DE6AAF">
        <w:trPr>
          <w:trHeight w:val="283"/>
        </w:trPr>
        <w:tc>
          <w:tcPr>
            <w:tcW w:w="2835" w:type="dxa"/>
            <w:noWrap/>
          </w:tcPr>
          <w:p w14:paraId="53669B26"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rPr>
              <w:t>Варианты ответов</w:t>
            </w:r>
          </w:p>
        </w:tc>
        <w:tc>
          <w:tcPr>
            <w:tcW w:w="2126" w:type="dxa"/>
            <w:noWrap/>
          </w:tcPr>
          <w:p w14:paraId="225AE1B0" w14:textId="105ED3B4"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rPr>
              <w:t>высшее</w:t>
            </w:r>
          </w:p>
        </w:tc>
        <w:tc>
          <w:tcPr>
            <w:tcW w:w="1985" w:type="dxa"/>
            <w:noWrap/>
          </w:tcPr>
          <w:p w14:paraId="1390F176"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rPr>
              <w:t>другие</w:t>
            </w:r>
          </w:p>
        </w:tc>
        <w:tc>
          <w:tcPr>
            <w:tcW w:w="2405" w:type="dxa"/>
            <w:noWrap/>
          </w:tcPr>
          <w:p w14:paraId="3A8BEB26"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rPr>
              <w:t>Total</w:t>
            </w:r>
          </w:p>
        </w:tc>
      </w:tr>
      <w:tr w:rsidR="007A2C38" w:rsidRPr="00DE6AAF" w14:paraId="7ABC1CF6" w14:textId="77777777" w:rsidTr="00DE6AAF">
        <w:trPr>
          <w:trHeight w:val="283"/>
        </w:trPr>
        <w:tc>
          <w:tcPr>
            <w:tcW w:w="9351" w:type="dxa"/>
            <w:gridSpan w:val="4"/>
            <w:noWrap/>
          </w:tcPr>
          <w:p w14:paraId="48A84717"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rPr>
              <w:t>Занятость</w:t>
            </w:r>
          </w:p>
        </w:tc>
      </w:tr>
      <w:tr w:rsidR="007A2C38" w:rsidRPr="00DE6AAF" w14:paraId="5E90964A" w14:textId="77777777" w:rsidTr="00DE6AAF">
        <w:trPr>
          <w:trHeight w:val="283"/>
        </w:trPr>
        <w:tc>
          <w:tcPr>
            <w:tcW w:w="2835" w:type="dxa"/>
            <w:noWrap/>
            <w:hideMark/>
          </w:tcPr>
          <w:p w14:paraId="1DB000E1"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rPr>
              <w:t>занятые</w:t>
            </w:r>
          </w:p>
        </w:tc>
        <w:tc>
          <w:tcPr>
            <w:tcW w:w="2126" w:type="dxa"/>
            <w:noWrap/>
            <w:vAlign w:val="center"/>
            <w:hideMark/>
          </w:tcPr>
          <w:p w14:paraId="041E86CB"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87(54,04%)</w:t>
            </w:r>
          </w:p>
        </w:tc>
        <w:tc>
          <w:tcPr>
            <w:tcW w:w="1985" w:type="dxa"/>
            <w:noWrap/>
            <w:vAlign w:val="center"/>
            <w:hideMark/>
          </w:tcPr>
          <w:p w14:paraId="2225BF10"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115(36,05%)</w:t>
            </w:r>
          </w:p>
        </w:tc>
        <w:tc>
          <w:tcPr>
            <w:tcW w:w="2405" w:type="dxa"/>
            <w:noWrap/>
            <w:vAlign w:val="center"/>
            <w:hideMark/>
          </w:tcPr>
          <w:p w14:paraId="1D1F8DD3"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202(42,08%)</w:t>
            </w:r>
          </w:p>
        </w:tc>
      </w:tr>
      <w:tr w:rsidR="007A2C38" w:rsidRPr="00DE6AAF" w14:paraId="00DBA345" w14:textId="77777777" w:rsidTr="00DE6AAF">
        <w:trPr>
          <w:trHeight w:val="283"/>
        </w:trPr>
        <w:tc>
          <w:tcPr>
            <w:tcW w:w="2835" w:type="dxa"/>
            <w:noWrap/>
            <w:hideMark/>
          </w:tcPr>
          <w:p w14:paraId="6BE28F63"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rPr>
              <w:t>без работы</w:t>
            </w:r>
          </w:p>
        </w:tc>
        <w:tc>
          <w:tcPr>
            <w:tcW w:w="2126" w:type="dxa"/>
            <w:noWrap/>
            <w:vAlign w:val="center"/>
            <w:hideMark/>
          </w:tcPr>
          <w:p w14:paraId="6DA3C87E"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74(45,96%)</w:t>
            </w:r>
          </w:p>
        </w:tc>
        <w:tc>
          <w:tcPr>
            <w:tcW w:w="1985" w:type="dxa"/>
            <w:noWrap/>
            <w:vAlign w:val="center"/>
            <w:hideMark/>
          </w:tcPr>
          <w:p w14:paraId="3F4F699B"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204(63,95%)</w:t>
            </w:r>
          </w:p>
        </w:tc>
        <w:tc>
          <w:tcPr>
            <w:tcW w:w="2405" w:type="dxa"/>
            <w:noWrap/>
            <w:vAlign w:val="center"/>
            <w:hideMark/>
          </w:tcPr>
          <w:p w14:paraId="6493456F"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278(57,92%)</w:t>
            </w:r>
          </w:p>
        </w:tc>
      </w:tr>
      <w:tr w:rsidR="007A2C38" w:rsidRPr="00DE6AAF" w14:paraId="070093D9" w14:textId="77777777" w:rsidTr="00DE6AAF">
        <w:trPr>
          <w:trHeight w:val="283"/>
        </w:trPr>
        <w:tc>
          <w:tcPr>
            <w:tcW w:w="2835" w:type="dxa"/>
            <w:noWrap/>
          </w:tcPr>
          <w:p w14:paraId="05134FC8"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lang w:val="en-US"/>
              </w:rPr>
              <w:t>p</w:t>
            </w:r>
            <w:r w:rsidRPr="00DE6AAF">
              <w:rPr>
                <w:rFonts w:ascii="Times New Roman" w:eastAsia="Times New Roman" w:hAnsi="Times New Roman" w:cs="Times New Roman"/>
                <w:sz w:val="28"/>
                <w:szCs w:val="28"/>
              </w:rPr>
              <w:t>-</w:t>
            </w:r>
            <w:r w:rsidRPr="00DE6AAF">
              <w:rPr>
                <w:rFonts w:ascii="Times New Roman" w:eastAsia="Times New Roman" w:hAnsi="Times New Roman" w:cs="Times New Roman"/>
                <w:sz w:val="28"/>
                <w:szCs w:val="28"/>
                <w:lang w:val="en-US"/>
              </w:rPr>
              <w:t>value</w:t>
            </w:r>
          </w:p>
        </w:tc>
        <w:tc>
          <w:tcPr>
            <w:tcW w:w="2126" w:type="dxa"/>
            <w:noWrap/>
            <w:vAlign w:val="center"/>
          </w:tcPr>
          <w:p w14:paraId="50E86A99" w14:textId="77777777" w:rsidR="007A2C38" w:rsidRPr="00DE6AAF" w:rsidRDefault="007A2C38" w:rsidP="00DE6AAF">
            <w:pPr>
              <w:spacing w:after="0" w:line="240" w:lineRule="auto"/>
              <w:jc w:val="center"/>
              <w:rPr>
                <w:rFonts w:ascii="Times New Roman" w:eastAsia="Times New Roman" w:hAnsi="Times New Roman" w:cs="Times New Roman"/>
                <w:color w:val="000000"/>
                <w:sz w:val="28"/>
                <w:szCs w:val="28"/>
              </w:rPr>
            </w:pPr>
            <w:r w:rsidRPr="00DE6AAF">
              <w:rPr>
                <w:rFonts w:ascii="Times New Roman" w:hAnsi="Times New Roman" w:cs="Times New Roman"/>
                <w:sz w:val="28"/>
                <w:szCs w:val="28"/>
              </w:rPr>
              <w:t>0,019</w:t>
            </w:r>
          </w:p>
        </w:tc>
        <w:tc>
          <w:tcPr>
            <w:tcW w:w="1985" w:type="dxa"/>
            <w:noWrap/>
            <w:vAlign w:val="center"/>
          </w:tcPr>
          <w:p w14:paraId="7F4E44BB" w14:textId="75D50A0E" w:rsidR="007A2C38" w:rsidRPr="00DE6AAF" w:rsidRDefault="00DE6AAF" w:rsidP="00DE6AAF">
            <w:pP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p>
        </w:tc>
        <w:tc>
          <w:tcPr>
            <w:tcW w:w="2405" w:type="dxa"/>
            <w:noWrap/>
            <w:vAlign w:val="center"/>
          </w:tcPr>
          <w:p w14:paraId="78AFB004" w14:textId="5F986E87" w:rsidR="007A2C38" w:rsidRPr="00DE6AAF" w:rsidRDefault="00DE6AAF" w:rsidP="00DE6AAF">
            <w:pP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p>
        </w:tc>
      </w:tr>
      <w:tr w:rsidR="007A2C38" w:rsidRPr="00DE6AAF" w14:paraId="4CA4CAC8" w14:textId="77777777" w:rsidTr="00DE6AAF">
        <w:trPr>
          <w:trHeight w:val="283"/>
        </w:trPr>
        <w:tc>
          <w:tcPr>
            <w:tcW w:w="9351" w:type="dxa"/>
            <w:gridSpan w:val="4"/>
            <w:noWrap/>
          </w:tcPr>
          <w:p w14:paraId="3C34B231" w14:textId="77777777" w:rsidR="007A2C38" w:rsidRPr="00DE6AAF" w:rsidRDefault="007A2C38" w:rsidP="00DE6AAF">
            <w:pPr>
              <w:spacing w:after="0" w:line="240" w:lineRule="auto"/>
              <w:jc w:val="center"/>
              <w:rPr>
                <w:rFonts w:ascii="Times New Roman" w:eastAsia="Times New Roman" w:hAnsi="Times New Roman" w:cs="Times New Roman"/>
                <w:color w:val="000000"/>
                <w:sz w:val="28"/>
                <w:szCs w:val="28"/>
              </w:rPr>
            </w:pPr>
            <w:r w:rsidRPr="00DE6AAF">
              <w:rPr>
                <w:rFonts w:ascii="Times New Roman" w:hAnsi="Times New Roman" w:cs="Times New Roman"/>
                <w:sz w:val="28"/>
                <w:szCs w:val="28"/>
              </w:rPr>
              <w:t>Частота выкуренных сигарет в день</w:t>
            </w:r>
          </w:p>
        </w:tc>
      </w:tr>
      <w:tr w:rsidR="007A2C38" w:rsidRPr="00DE6AAF" w14:paraId="2EDEEE09" w14:textId="77777777" w:rsidTr="00DE6AAF">
        <w:trPr>
          <w:trHeight w:val="283"/>
        </w:trPr>
        <w:tc>
          <w:tcPr>
            <w:tcW w:w="2835" w:type="dxa"/>
            <w:noWrap/>
            <w:hideMark/>
          </w:tcPr>
          <w:p w14:paraId="69043159"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rPr>
              <w:t>3-5 штук</w:t>
            </w:r>
          </w:p>
        </w:tc>
        <w:tc>
          <w:tcPr>
            <w:tcW w:w="2126" w:type="dxa"/>
            <w:noWrap/>
            <w:vAlign w:val="center"/>
            <w:hideMark/>
          </w:tcPr>
          <w:p w14:paraId="60E6033D"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25(15,53%)</w:t>
            </w:r>
          </w:p>
        </w:tc>
        <w:tc>
          <w:tcPr>
            <w:tcW w:w="1985" w:type="dxa"/>
            <w:noWrap/>
            <w:vAlign w:val="center"/>
            <w:hideMark/>
          </w:tcPr>
          <w:p w14:paraId="7317282E"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56(17,55%)</w:t>
            </w:r>
          </w:p>
        </w:tc>
        <w:tc>
          <w:tcPr>
            <w:tcW w:w="2405" w:type="dxa"/>
            <w:noWrap/>
            <w:vAlign w:val="center"/>
            <w:hideMark/>
          </w:tcPr>
          <w:p w14:paraId="5A6D5190"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81(16,88%)</w:t>
            </w:r>
          </w:p>
        </w:tc>
      </w:tr>
      <w:tr w:rsidR="007A2C38" w:rsidRPr="00DE6AAF" w14:paraId="0AC95889" w14:textId="77777777" w:rsidTr="00DE6AAF">
        <w:trPr>
          <w:trHeight w:val="283"/>
        </w:trPr>
        <w:tc>
          <w:tcPr>
            <w:tcW w:w="2835" w:type="dxa"/>
            <w:noWrap/>
            <w:hideMark/>
          </w:tcPr>
          <w:p w14:paraId="395E9840"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rPr>
              <w:t>Менее 1 пачки</w:t>
            </w:r>
          </w:p>
        </w:tc>
        <w:tc>
          <w:tcPr>
            <w:tcW w:w="2126" w:type="dxa"/>
            <w:noWrap/>
            <w:vAlign w:val="center"/>
            <w:hideMark/>
          </w:tcPr>
          <w:p w14:paraId="7D03A5F0"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16(9,94%)</w:t>
            </w:r>
          </w:p>
        </w:tc>
        <w:tc>
          <w:tcPr>
            <w:tcW w:w="1985" w:type="dxa"/>
            <w:noWrap/>
            <w:vAlign w:val="center"/>
            <w:hideMark/>
          </w:tcPr>
          <w:p w14:paraId="1001EE76"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22(6,90%)</w:t>
            </w:r>
          </w:p>
        </w:tc>
        <w:tc>
          <w:tcPr>
            <w:tcW w:w="2405" w:type="dxa"/>
            <w:noWrap/>
            <w:vAlign w:val="center"/>
            <w:hideMark/>
          </w:tcPr>
          <w:p w14:paraId="3525EB87"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38(7,92%)</w:t>
            </w:r>
          </w:p>
        </w:tc>
      </w:tr>
      <w:tr w:rsidR="007A2C38" w:rsidRPr="00DE6AAF" w14:paraId="36C4D062" w14:textId="77777777" w:rsidTr="00DE6AAF">
        <w:trPr>
          <w:trHeight w:val="283"/>
        </w:trPr>
        <w:tc>
          <w:tcPr>
            <w:tcW w:w="2835" w:type="dxa"/>
            <w:noWrap/>
            <w:hideMark/>
          </w:tcPr>
          <w:p w14:paraId="695645FA"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rPr>
              <w:t>Более 1 пачки</w:t>
            </w:r>
          </w:p>
        </w:tc>
        <w:tc>
          <w:tcPr>
            <w:tcW w:w="2126" w:type="dxa"/>
            <w:noWrap/>
            <w:vAlign w:val="center"/>
            <w:hideMark/>
          </w:tcPr>
          <w:p w14:paraId="2DC7693B"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12(7,45%)</w:t>
            </w:r>
          </w:p>
        </w:tc>
        <w:tc>
          <w:tcPr>
            <w:tcW w:w="1985" w:type="dxa"/>
            <w:noWrap/>
            <w:vAlign w:val="center"/>
            <w:hideMark/>
          </w:tcPr>
          <w:p w14:paraId="561CB501"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23(7,21%)</w:t>
            </w:r>
          </w:p>
        </w:tc>
        <w:tc>
          <w:tcPr>
            <w:tcW w:w="2405" w:type="dxa"/>
            <w:noWrap/>
            <w:vAlign w:val="center"/>
            <w:hideMark/>
          </w:tcPr>
          <w:p w14:paraId="2658C686"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35(7,29%)</w:t>
            </w:r>
          </w:p>
        </w:tc>
      </w:tr>
      <w:tr w:rsidR="007A2C38" w:rsidRPr="00DE6AAF" w14:paraId="7A3D7149" w14:textId="77777777" w:rsidTr="00DE6AAF">
        <w:trPr>
          <w:trHeight w:val="283"/>
        </w:trPr>
        <w:tc>
          <w:tcPr>
            <w:tcW w:w="2835" w:type="dxa"/>
            <w:noWrap/>
            <w:hideMark/>
          </w:tcPr>
          <w:p w14:paraId="377B00F1"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rPr>
              <w:t>Не курю</w:t>
            </w:r>
          </w:p>
        </w:tc>
        <w:tc>
          <w:tcPr>
            <w:tcW w:w="2126" w:type="dxa"/>
            <w:noWrap/>
            <w:vAlign w:val="center"/>
            <w:hideMark/>
          </w:tcPr>
          <w:p w14:paraId="04DFE004"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108(67,08%)</w:t>
            </w:r>
          </w:p>
        </w:tc>
        <w:tc>
          <w:tcPr>
            <w:tcW w:w="1985" w:type="dxa"/>
            <w:noWrap/>
            <w:vAlign w:val="center"/>
            <w:hideMark/>
          </w:tcPr>
          <w:p w14:paraId="1BA1B15A"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218(68,34%)</w:t>
            </w:r>
          </w:p>
        </w:tc>
        <w:tc>
          <w:tcPr>
            <w:tcW w:w="2405" w:type="dxa"/>
            <w:noWrap/>
            <w:vAlign w:val="center"/>
            <w:hideMark/>
          </w:tcPr>
          <w:p w14:paraId="251D9081"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326(67,92%)</w:t>
            </w:r>
          </w:p>
        </w:tc>
      </w:tr>
      <w:tr w:rsidR="007A2C38" w:rsidRPr="00DE6AAF" w14:paraId="6779F998" w14:textId="77777777" w:rsidTr="00DE6AAF">
        <w:trPr>
          <w:trHeight w:val="283"/>
        </w:trPr>
        <w:tc>
          <w:tcPr>
            <w:tcW w:w="2835" w:type="dxa"/>
            <w:noWrap/>
          </w:tcPr>
          <w:p w14:paraId="22300837"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lang w:val="en-US"/>
              </w:rPr>
              <w:t>p</w:t>
            </w:r>
            <w:r w:rsidRPr="00DE6AAF">
              <w:rPr>
                <w:rFonts w:ascii="Times New Roman" w:eastAsia="Times New Roman" w:hAnsi="Times New Roman" w:cs="Times New Roman"/>
                <w:sz w:val="28"/>
                <w:szCs w:val="28"/>
              </w:rPr>
              <w:t>-</w:t>
            </w:r>
            <w:r w:rsidRPr="00DE6AAF">
              <w:rPr>
                <w:rFonts w:ascii="Times New Roman" w:eastAsia="Times New Roman" w:hAnsi="Times New Roman" w:cs="Times New Roman"/>
                <w:sz w:val="28"/>
                <w:szCs w:val="28"/>
                <w:lang w:val="en-US"/>
              </w:rPr>
              <w:t>value</w:t>
            </w:r>
          </w:p>
        </w:tc>
        <w:tc>
          <w:tcPr>
            <w:tcW w:w="2126" w:type="dxa"/>
            <w:noWrap/>
            <w:vAlign w:val="center"/>
          </w:tcPr>
          <w:p w14:paraId="27B7E1DA" w14:textId="77777777" w:rsidR="007A2C38" w:rsidRPr="00DE6AAF" w:rsidRDefault="007A2C38" w:rsidP="00DE6AAF">
            <w:pPr>
              <w:spacing w:after="0" w:line="240" w:lineRule="auto"/>
              <w:jc w:val="center"/>
              <w:rPr>
                <w:rFonts w:ascii="Times New Roman" w:eastAsia="Times New Roman" w:hAnsi="Times New Roman" w:cs="Times New Roman"/>
                <w:color w:val="000000"/>
                <w:sz w:val="28"/>
                <w:szCs w:val="28"/>
              </w:rPr>
            </w:pPr>
            <w:r w:rsidRPr="00DE6AAF">
              <w:rPr>
                <w:rFonts w:ascii="Times New Roman" w:hAnsi="Times New Roman" w:cs="Times New Roman"/>
                <w:sz w:val="28"/>
                <w:szCs w:val="28"/>
              </w:rPr>
              <w:t>0,571</w:t>
            </w:r>
          </w:p>
        </w:tc>
        <w:tc>
          <w:tcPr>
            <w:tcW w:w="1985" w:type="dxa"/>
            <w:noWrap/>
            <w:vAlign w:val="center"/>
          </w:tcPr>
          <w:p w14:paraId="546020B1" w14:textId="25912E71" w:rsidR="007A2C38" w:rsidRPr="00DE6AAF" w:rsidRDefault="00DE6AAF" w:rsidP="00DE6AAF">
            <w:pP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p>
        </w:tc>
        <w:tc>
          <w:tcPr>
            <w:tcW w:w="2405" w:type="dxa"/>
            <w:noWrap/>
            <w:vAlign w:val="center"/>
          </w:tcPr>
          <w:p w14:paraId="06D2FE7F" w14:textId="4DAF77EC" w:rsidR="007A2C38" w:rsidRPr="00DE6AAF" w:rsidRDefault="00DE6AAF" w:rsidP="00DE6AAF">
            <w:pP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p>
        </w:tc>
      </w:tr>
      <w:tr w:rsidR="007A2C38" w:rsidRPr="00DE6AAF" w14:paraId="558577D7" w14:textId="77777777" w:rsidTr="00DE6AAF">
        <w:trPr>
          <w:trHeight w:val="283"/>
        </w:trPr>
        <w:tc>
          <w:tcPr>
            <w:tcW w:w="9351" w:type="dxa"/>
            <w:gridSpan w:val="4"/>
            <w:noWrap/>
          </w:tcPr>
          <w:p w14:paraId="4D69238B" w14:textId="77777777" w:rsidR="007A2C38" w:rsidRPr="00DE6AAF" w:rsidRDefault="007A2C38" w:rsidP="00DE6AAF">
            <w:pPr>
              <w:spacing w:after="0" w:line="240" w:lineRule="auto"/>
              <w:jc w:val="center"/>
              <w:rPr>
                <w:rFonts w:ascii="Times New Roman" w:eastAsia="Times New Roman" w:hAnsi="Times New Roman" w:cs="Times New Roman"/>
                <w:color w:val="000000"/>
                <w:sz w:val="28"/>
                <w:szCs w:val="28"/>
              </w:rPr>
            </w:pPr>
            <w:r w:rsidRPr="00DE6AAF">
              <w:rPr>
                <w:rFonts w:ascii="Times New Roman" w:hAnsi="Times New Roman" w:cs="Times New Roman"/>
                <w:sz w:val="28"/>
                <w:szCs w:val="28"/>
              </w:rPr>
              <w:t>Частота употребления алкогольных напитков</w:t>
            </w:r>
          </w:p>
        </w:tc>
      </w:tr>
      <w:tr w:rsidR="007A2C38" w:rsidRPr="00DE6AAF" w14:paraId="11647BAA" w14:textId="77777777" w:rsidTr="00DE6AAF">
        <w:trPr>
          <w:trHeight w:val="283"/>
        </w:trPr>
        <w:tc>
          <w:tcPr>
            <w:tcW w:w="2835" w:type="dxa"/>
            <w:noWrap/>
            <w:hideMark/>
          </w:tcPr>
          <w:p w14:paraId="7C5365F8"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rPr>
              <w:t>Редко</w:t>
            </w:r>
          </w:p>
        </w:tc>
        <w:tc>
          <w:tcPr>
            <w:tcW w:w="2126" w:type="dxa"/>
            <w:noWrap/>
            <w:vAlign w:val="center"/>
            <w:hideMark/>
          </w:tcPr>
          <w:p w14:paraId="267BC665"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58(36,02%)</w:t>
            </w:r>
          </w:p>
        </w:tc>
        <w:tc>
          <w:tcPr>
            <w:tcW w:w="1985" w:type="dxa"/>
            <w:noWrap/>
            <w:vAlign w:val="center"/>
            <w:hideMark/>
          </w:tcPr>
          <w:p w14:paraId="7576C85C"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98(30,72%)</w:t>
            </w:r>
          </w:p>
        </w:tc>
        <w:tc>
          <w:tcPr>
            <w:tcW w:w="2405" w:type="dxa"/>
            <w:noWrap/>
            <w:vAlign w:val="center"/>
            <w:hideMark/>
          </w:tcPr>
          <w:p w14:paraId="68F1700C"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156(32,50%)</w:t>
            </w:r>
          </w:p>
        </w:tc>
      </w:tr>
      <w:tr w:rsidR="007A2C38" w:rsidRPr="00DE6AAF" w14:paraId="17F1E384" w14:textId="77777777" w:rsidTr="00DE6AAF">
        <w:trPr>
          <w:trHeight w:val="283"/>
        </w:trPr>
        <w:tc>
          <w:tcPr>
            <w:tcW w:w="2835" w:type="dxa"/>
            <w:noWrap/>
            <w:hideMark/>
          </w:tcPr>
          <w:p w14:paraId="56E8F389"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rPr>
              <w:t>Около 2 раз в неделю</w:t>
            </w:r>
          </w:p>
        </w:tc>
        <w:tc>
          <w:tcPr>
            <w:tcW w:w="2126" w:type="dxa"/>
            <w:noWrap/>
            <w:vAlign w:val="center"/>
            <w:hideMark/>
          </w:tcPr>
          <w:p w14:paraId="41D3B340"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12(7,45%)</w:t>
            </w:r>
          </w:p>
        </w:tc>
        <w:tc>
          <w:tcPr>
            <w:tcW w:w="1985" w:type="dxa"/>
            <w:noWrap/>
            <w:vAlign w:val="center"/>
            <w:hideMark/>
          </w:tcPr>
          <w:p w14:paraId="719067FA"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13(4,08%)</w:t>
            </w:r>
          </w:p>
        </w:tc>
        <w:tc>
          <w:tcPr>
            <w:tcW w:w="2405" w:type="dxa"/>
            <w:noWrap/>
            <w:vAlign w:val="center"/>
            <w:hideMark/>
          </w:tcPr>
          <w:p w14:paraId="4BF1D7D5"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25(5,21%)</w:t>
            </w:r>
          </w:p>
        </w:tc>
      </w:tr>
      <w:tr w:rsidR="007A2C38" w:rsidRPr="00DE6AAF" w14:paraId="389528BC" w14:textId="77777777" w:rsidTr="00DE6AAF">
        <w:trPr>
          <w:trHeight w:val="283"/>
        </w:trPr>
        <w:tc>
          <w:tcPr>
            <w:tcW w:w="2835" w:type="dxa"/>
            <w:noWrap/>
            <w:hideMark/>
          </w:tcPr>
          <w:p w14:paraId="35B21054"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rPr>
              <w:t>Ежедневно</w:t>
            </w:r>
          </w:p>
        </w:tc>
        <w:tc>
          <w:tcPr>
            <w:tcW w:w="2126" w:type="dxa"/>
            <w:noWrap/>
            <w:vAlign w:val="center"/>
            <w:hideMark/>
          </w:tcPr>
          <w:p w14:paraId="0B292409"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4(2,48%)</w:t>
            </w:r>
          </w:p>
        </w:tc>
        <w:tc>
          <w:tcPr>
            <w:tcW w:w="1985" w:type="dxa"/>
            <w:noWrap/>
            <w:vAlign w:val="center"/>
            <w:hideMark/>
          </w:tcPr>
          <w:p w14:paraId="4458259E"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8(2,51%)</w:t>
            </w:r>
          </w:p>
        </w:tc>
        <w:tc>
          <w:tcPr>
            <w:tcW w:w="2405" w:type="dxa"/>
            <w:noWrap/>
            <w:vAlign w:val="center"/>
            <w:hideMark/>
          </w:tcPr>
          <w:p w14:paraId="04A7E8A8"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12(2,50%)</w:t>
            </w:r>
          </w:p>
        </w:tc>
      </w:tr>
      <w:tr w:rsidR="007A2C38" w:rsidRPr="00DE6AAF" w14:paraId="2CC39606" w14:textId="77777777" w:rsidTr="00DE6AAF">
        <w:trPr>
          <w:trHeight w:val="283"/>
        </w:trPr>
        <w:tc>
          <w:tcPr>
            <w:tcW w:w="2835" w:type="dxa"/>
            <w:noWrap/>
            <w:hideMark/>
          </w:tcPr>
          <w:p w14:paraId="4D487483"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rPr>
              <w:t>Не употребляю</w:t>
            </w:r>
          </w:p>
        </w:tc>
        <w:tc>
          <w:tcPr>
            <w:tcW w:w="2126" w:type="dxa"/>
            <w:noWrap/>
            <w:vAlign w:val="center"/>
            <w:hideMark/>
          </w:tcPr>
          <w:p w14:paraId="6FAA929D"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87(54,04%)</w:t>
            </w:r>
          </w:p>
        </w:tc>
        <w:tc>
          <w:tcPr>
            <w:tcW w:w="1985" w:type="dxa"/>
            <w:noWrap/>
            <w:vAlign w:val="center"/>
            <w:hideMark/>
          </w:tcPr>
          <w:p w14:paraId="7DC786BE"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200(62,70%)</w:t>
            </w:r>
          </w:p>
        </w:tc>
        <w:tc>
          <w:tcPr>
            <w:tcW w:w="2405" w:type="dxa"/>
            <w:noWrap/>
            <w:vAlign w:val="center"/>
            <w:hideMark/>
          </w:tcPr>
          <w:p w14:paraId="6A893503"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color w:val="000000"/>
                <w:sz w:val="28"/>
                <w:szCs w:val="28"/>
              </w:rPr>
              <w:t>287(59,79%)</w:t>
            </w:r>
          </w:p>
        </w:tc>
      </w:tr>
      <w:tr w:rsidR="007A2C38" w:rsidRPr="00DE6AAF" w14:paraId="5B895C3C" w14:textId="77777777" w:rsidTr="00DE6AAF">
        <w:trPr>
          <w:trHeight w:val="283"/>
        </w:trPr>
        <w:tc>
          <w:tcPr>
            <w:tcW w:w="2835" w:type="dxa"/>
            <w:noWrap/>
          </w:tcPr>
          <w:p w14:paraId="665F272A"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lang w:val="en-US"/>
              </w:rPr>
              <w:t>p</w:t>
            </w:r>
            <w:r w:rsidRPr="00DE6AAF">
              <w:rPr>
                <w:rFonts w:ascii="Times New Roman" w:eastAsia="Times New Roman" w:hAnsi="Times New Roman" w:cs="Times New Roman"/>
                <w:sz w:val="28"/>
                <w:szCs w:val="28"/>
              </w:rPr>
              <w:t>-</w:t>
            </w:r>
            <w:r w:rsidRPr="00DE6AAF">
              <w:rPr>
                <w:rFonts w:ascii="Times New Roman" w:eastAsia="Times New Roman" w:hAnsi="Times New Roman" w:cs="Times New Roman"/>
                <w:sz w:val="28"/>
                <w:szCs w:val="28"/>
                <w:lang w:val="en-US"/>
              </w:rPr>
              <w:t>value</w:t>
            </w:r>
          </w:p>
        </w:tc>
        <w:tc>
          <w:tcPr>
            <w:tcW w:w="2126" w:type="dxa"/>
            <w:noWrap/>
            <w:vAlign w:val="center"/>
          </w:tcPr>
          <w:p w14:paraId="6B6E5EEE" w14:textId="77777777" w:rsidR="007A2C38" w:rsidRPr="00DE6AAF" w:rsidRDefault="007A2C38" w:rsidP="00DE6AAF">
            <w:pPr>
              <w:spacing w:after="0" w:line="240" w:lineRule="auto"/>
              <w:jc w:val="center"/>
              <w:rPr>
                <w:rFonts w:ascii="Times New Roman" w:eastAsia="Times New Roman" w:hAnsi="Times New Roman" w:cs="Times New Roman"/>
                <w:color w:val="000000"/>
                <w:sz w:val="28"/>
                <w:szCs w:val="28"/>
              </w:rPr>
            </w:pPr>
            <w:r w:rsidRPr="00DE6AAF">
              <w:rPr>
                <w:rFonts w:ascii="Times New Roman" w:hAnsi="Times New Roman" w:cs="Times New Roman"/>
                <w:sz w:val="28"/>
                <w:szCs w:val="28"/>
              </w:rPr>
              <w:t>0,137</w:t>
            </w:r>
          </w:p>
        </w:tc>
        <w:tc>
          <w:tcPr>
            <w:tcW w:w="1985" w:type="dxa"/>
            <w:noWrap/>
            <w:vAlign w:val="center"/>
          </w:tcPr>
          <w:p w14:paraId="043CC727" w14:textId="49A6F852" w:rsidR="007A2C38" w:rsidRPr="00DE6AAF" w:rsidRDefault="00DE6AAF" w:rsidP="00DE6AAF">
            <w:pP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p>
        </w:tc>
        <w:tc>
          <w:tcPr>
            <w:tcW w:w="2405" w:type="dxa"/>
            <w:noWrap/>
            <w:vAlign w:val="center"/>
          </w:tcPr>
          <w:p w14:paraId="2AB0CBDB" w14:textId="79C65B3C" w:rsidR="007A2C38" w:rsidRPr="00DE6AAF" w:rsidRDefault="00DE6AAF" w:rsidP="00DE6AAF">
            <w:pP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p>
        </w:tc>
      </w:tr>
      <w:tr w:rsidR="007A2C38" w:rsidRPr="00DE6AAF" w14:paraId="498AF81E" w14:textId="77777777" w:rsidTr="00DE6AAF">
        <w:trPr>
          <w:trHeight w:val="283"/>
        </w:trPr>
        <w:tc>
          <w:tcPr>
            <w:tcW w:w="2835" w:type="dxa"/>
            <w:noWrap/>
          </w:tcPr>
          <w:p w14:paraId="3FA4552B"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rPr>
              <w:t>ИТОГО</w:t>
            </w:r>
          </w:p>
        </w:tc>
        <w:tc>
          <w:tcPr>
            <w:tcW w:w="2126" w:type="dxa"/>
            <w:noWrap/>
            <w:vAlign w:val="bottom"/>
          </w:tcPr>
          <w:p w14:paraId="1E6437A0" w14:textId="77777777" w:rsidR="007A2C38" w:rsidRPr="00DE6AAF" w:rsidRDefault="007A2C38" w:rsidP="00DE6AAF">
            <w:pPr>
              <w:spacing w:after="0" w:line="240" w:lineRule="auto"/>
              <w:jc w:val="center"/>
              <w:rPr>
                <w:rFonts w:ascii="Times New Roman" w:eastAsia="Times New Roman" w:hAnsi="Times New Roman" w:cs="Times New Roman"/>
                <w:color w:val="000000"/>
                <w:sz w:val="28"/>
                <w:szCs w:val="28"/>
              </w:rPr>
            </w:pPr>
            <w:r w:rsidRPr="00DE6AAF">
              <w:rPr>
                <w:rFonts w:ascii="Times New Roman" w:eastAsia="Times New Roman" w:hAnsi="Times New Roman" w:cs="Times New Roman"/>
                <w:color w:val="000000"/>
                <w:sz w:val="28"/>
                <w:szCs w:val="28"/>
              </w:rPr>
              <w:t>161(100,00%)</w:t>
            </w:r>
          </w:p>
        </w:tc>
        <w:tc>
          <w:tcPr>
            <w:tcW w:w="1985" w:type="dxa"/>
            <w:noWrap/>
            <w:vAlign w:val="bottom"/>
          </w:tcPr>
          <w:p w14:paraId="05B6C946" w14:textId="77777777" w:rsidR="007A2C38" w:rsidRPr="00DE6AAF" w:rsidRDefault="007A2C38" w:rsidP="00DE6AAF">
            <w:pPr>
              <w:spacing w:after="0" w:line="240" w:lineRule="auto"/>
              <w:jc w:val="center"/>
              <w:rPr>
                <w:rFonts w:ascii="Times New Roman" w:eastAsia="Times New Roman" w:hAnsi="Times New Roman" w:cs="Times New Roman"/>
                <w:color w:val="000000"/>
                <w:sz w:val="28"/>
                <w:szCs w:val="28"/>
              </w:rPr>
            </w:pPr>
            <w:r w:rsidRPr="00DE6AAF">
              <w:rPr>
                <w:rFonts w:ascii="Times New Roman" w:eastAsia="Times New Roman" w:hAnsi="Times New Roman" w:cs="Times New Roman"/>
                <w:color w:val="000000"/>
                <w:sz w:val="28"/>
                <w:szCs w:val="28"/>
              </w:rPr>
              <w:t>319(100,00%)</w:t>
            </w:r>
          </w:p>
        </w:tc>
        <w:tc>
          <w:tcPr>
            <w:tcW w:w="2405" w:type="dxa"/>
            <w:noWrap/>
            <w:vAlign w:val="center"/>
          </w:tcPr>
          <w:p w14:paraId="5054353B" w14:textId="77777777" w:rsidR="007A2C38" w:rsidRPr="00DE6AAF" w:rsidRDefault="007A2C38" w:rsidP="00DE6AAF">
            <w:pPr>
              <w:spacing w:after="0" w:line="240" w:lineRule="auto"/>
              <w:jc w:val="center"/>
              <w:rPr>
                <w:rFonts w:ascii="Times New Roman" w:eastAsia="Times New Roman" w:hAnsi="Times New Roman" w:cs="Times New Roman"/>
                <w:color w:val="000000"/>
                <w:sz w:val="28"/>
                <w:szCs w:val="28"/>
              </w:rPr>
            </w:pPr>
            <w:r w:rsidRPr="00DE6AAF">
              <w:rPr>
                <w:rFonts w:ascii="Times New Roman" w:eastAsia="Times New Roman" w:hAnsi="Times New Roman" w:cs="Times New Roman"/>
                <w:color w:val="000000"/>
                <w:sz w:val="28"/>
                <w:szCs w:val="28"/>
              </w:rPr>
              <w:t>480(100,00%)</w:t>
            </w:r>
          </w:p>
        </w:tc>
      </w:tr>
      <w:tr w:rsidR="007A2C38" w:rsidRPr="00DE6AAF" w14:paraId="6BEC7466" w14:textId="77777777" w:rsidTr="00DE6AAF">
        <w:trPr>
          <w:trHeight w:val="283"/>
        </w:trPr>
        <w:tc>
          <w:tcPr>
            <w:tcW w:w="2835" w:type="dxa"/>
            <w:noWrap/>
          </w:tcPr>
          <w:p w14:paraId="735D6F03" w14:textId="77777777" w:rsidR="007A2C38" w:rsidRPr="00DE6AAF" w:rsidRDefault="007A2C38" w:rsidP="00DE6AAF">
            <w:pPr>
              <w:spacing w:after="0" w:line="240" w:lineRule="auto"/>
              <w:jc w:val="center"/>
              <w:rPr>
                <w:rFonts w:ascii="Times New Roman" w:eastAsia="Times New Roman" w:hAnsi="Times New Roman" w:cs="Times New Roman"/>
                <w:sz w:val="28"/>
                <w:szCs w:val="28"/>
              </w:rPr>
            </w:pPr>
            <w:r w:rsidRPr="00DE6AAF">
              <w:rPr>
                <w:rFonts w:ascii="Times New Roman" w:eastAsia="Times New Roman" w:hAnsi="Times New Roman" w:cs="Times New Roman"/>
                <w:sz w:val="28"/>
                <w:szCs w:val="28"/>
                <w:lang w:val="en-US"/>
              </w:rPr>
              <w:t>p</w:t>
            </w:r>
            <w:r w:rsidRPr="00DE6AAF">
              <w:rPr>
                <w:rFonts w:ascii="Times New Roman" w:eastAsia="Times New Roman" w:hAnsi="Times New Roman" w:cs="Times New Roman"/>
                <w:sz w:val="28"/>
                <w:szCs w:val="28"/>
              </w:rPr>
              <w:t>-</w:t>
            </w:r>
            <w:r w:rsidRPr="00DE6AAF">
              <w:rPr>
                <w:rFonts w:ascii="Times New Roman" w:eastAsia="Times New Roman" w:hAnsi="Times New Roman" w:cs="Times New Roman"/>
                <w:sz w:val="28"/>
                <w:szCs w:val="28"/>
                <w:lang w:val="en-US"/>
              </w:rPr>
              <w:t>value</w:t>
            </w:r>
          </w:p>
        </w:tc>
        <w:tc>
          <w:tcPr>
            <w:tcW w:w="2126" w:type="dxa"/>
            <w:noWrap/>
            <w:vAlign w:val="center"/>
          </w:tcPr>
          <w:p w14:paraId="6278B74E" w14:textId="77777777" w:rsidR="007A2C38" w:rsidRPr="00DE6AAF" w:rsidRDefault="007A2C38" w:rsidP="00DE6AAF">
            <w:pPr>
              <w:spacing w:after="0" w:line="240" w:lineRule="auto"/>
              <w:jc w:val="center"/>
              <w:rPr>
                <w:rFonts w:ascii="Times New Roman" w:eastAsia="Times New Roman" w:hAnsi="Times New Roman" w:cs="Times New Roman"/>
                <w:color w:val="000000"/>
                <w:sz w:val="28"/>
                <w:szCs w:val="28"/>
              </w:rPr>
            </w:pPr>
            <w:r w:rsidRPr="00DE6AAF">
              <w:rPr>
                <w:rFonts w:ascii="Times New Roman" w:hAnsi="Times New Roman" w:cs="Times New Roman"/>
                <w:sz w:val="28"/>
                <w:szCs w:val="28"/>
              </w:rPr>
              <w:t>0,137</w:t>
            </w:r>
          </w:p>
        </w:tc>
        <w:tc>
          <w:tcPr>
            <w:tcW w:w="1985" w:type="dxa"/>
            <w:noWrap/>
            <w:vAlign w:val="center"/>
          </w:tcPr>
          <w:p w14:paraId="4C1D16DC" w14:textId="20EC6913" w:rsidR="007A2C38" w:rsidRPr="00DE6AAF" w:rsidRDefault="00DE6AAF" w:rsidP="00DE6AAF">
            <w:pP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p>
        </w:tc>
        <w:tc>
          <w:tcPr>
            <w:tcW w:w="2405" w:type="dxa"/>
            <w:noWrap/>
            <w:vAlign w:val="center"/>
          </w:tcPr>
          <w:p w14:paraId="1302C280" w14:textId="2887B8B9" w:rsidR="007A2C38" w:rsidRPr="00DE6AAF" w:rsidRDefault="00DE6AAF" w:rsidP="00DE6AAF">
            <w:pP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p>
        </w:tc>
      </w:tr>
    </w:tbl>
    <w:p w14:paraId="6D546C98" w14:textId="77777777" w:rsidR="00DE6AAF" w:rsidRDefault="00DE6AAF" w:rsidP="00DE6AAF">
      <w:pPr>
        <w:autoSpaceDE w:val="0"/>
        <w:autoSpaceDN w:val="0"/>
        <w:adjustRightInd w:val="0"/>
        <w:spacing w:after="0" w:line="240" w:lineRule="auto"/>
        <w:ind w:firstLine="709"/>
        <w:jc w:val="both"/>
        <w:rPr>
          <w:rFonts w:ascii="Times New Roman" w:hAnsi="Times New Roman" w:cs="Times New Roman"/>
          <w:b/>
          <w:sz w:val="28"/>
          <w:szCs w:val="28"/>
        </w:rPr>
      </w:pPr>
    </w:p>
    <w:p w14:paraId="01812E86" w14:textId="6D97A2FB" w:rsidR="007A2C38" w:rsidRPr="00DE6AAF" w:rsidRDefault="00DE6AAF" w:rsidP="00DE6AAF">
      <w:pPr>
        <w:autoSpaceDE w:val="0"/>
        <w:autoSpaceDN w:val="0"/>
        <w:adjustRightInd w:val="0"/>
        <w:spacing w:after="0" w:line="240" w:lineRule="auto"/>
        <w:ind w:firstLine="709"/>
        <w:jc w:val="both"/>
        <w:rPr>
          <w:rFonts w:ascii="Times New Roman" w:hAnsi="Times New Roman" w:cs="Times New Roman"/>
          <w:bCs/>
          <w:sz w:val="28"/>
          <w:szCs w:val="28"/>
        </w:rPr>
      </w:pPr>
      <w:r w:rsidRPr="00DE6AAF">
        <w:rPr>
          <w:rFonts w:ascii="Times New Roman" w:hAnsi="Times New Roman" w:cs="Times New Roman"/>
          <w:bCs/>
          <w:sz w:val="28"/>
          <w:szCs w:val="28"/>
          <w:lang w:val="kk-KZ"/>
        </w:rPr>
        <w:t>Т</w:t>
      </w:r>
      <w:r w:rsidR="007A2C38" w:rsidRPr="00DE6AAF">
        <w:rPr>
          <w:rFonts w:ascii="Times New Roman" w:hAnsi="Times New Roman" w:cs="Times New Roman"/>
          <w:bCs/>
          <w:sz w:val="28"/>
          <w:szCs w:val="28"/>
        </w:rPr>
        <w:t xml:space="preserve">аким образом, </w:t>
      </w:r>
      <w:r w:rsidR="007A2C38" w:rsidRPr="00DE6AAF">
        <w:rPr>
          <w:rFonts w:ascii="Times New Roman" w:eastAsia="Times New Roman" w:hAnsi="Times New Roman" w:cs="Times New Roman"/>
          <w:bCs/>
          <w:color w:val="000000"/>
          <w:sz w:val="28"/>
          <w:szCs w:val="28"/>
        </w:rPr>
        <w:t>45,96</w:t>
      </w:r>
      <w:r w:rsidR="007A2C38" w:rsidRPr="00DE6AAF">
        <w:rPr>
          <w:rFonts w:ascii="Times New Roman" w:eastAsia="Times New Roman" w:hAnsi="Times New Roman" w:cs="Times New Roman"/>
          <w:bCs/>
          <w:sz w:val="28"/>
          <w:szCs w:val="28"/>
        </w:rPr>
        <w:t>%</w:t>
      </w:r>
      <w:r w:rsidR="007A2C38" w:rsidRPr="00DE6AAF">
        <w:rPr>
          <w:rFonts w:ascii="Times New Roman" w:hAnsi="Times New Roman" w:cs="Times New Roman"/>
          <w:bCs/>
          <w:sz w:val="28"/>
          <w:szCs w:val="28"/>
        </w:rPr>
        <w:t xml:space="preserve"> респондентов имеют высшее образование, но не трудоустроены со стабильным доходом. Необходимо учитывать общее состояние здоровья, стадию компенсации, осложнения и сопутствующие заболевания, при котором возможность трудиться ежедневно или на сменной работе ограничиваются. Это еще раз подтверждает, что человеческий капитал, это его здоровье. На государственном уровне необходимо принять меры по трудоустройству пациентов с СД2т, учитывая возможности и ограничения каждого человека.</w:t>
      </w:r>
    </w:p>
    <w:p w14:paraId="53E27995" w14:textId="77777777" w:rsidR="007A2C38" w:rsidRPr="00DE6AAF" w:rsidRDefault="007A2C38" w:rsidP="00DE6AAF">
      <w:pPr>
        <w:autoSpaceDE w:val="0"/>
        <w:autoSpaceDN w:val="0"/>
        <w:adjustRightInd w:val="0"/>
        <w:spacing w:after="0" w:line="240" w:lineRule="auto"/>
        <w:ind w:firstLine="709"/>
        <w:jc w:val="both"/>
        <w:rPr>
          <w:rFonts w:ascii="Times New Roman" w:hAnsi="Times New Roman" w:cs="Times New Roman"/>
          <w:bCs/>
          <w:sz w:val="28"/>
          <w:szCs w:val="28"/>
        </w:rPr>
      </w:pPr>
      <w:r w:rsidRPr="00DE6AAF">
        <w:rPr>
          <w:rFonts w:ascii="Times New Roman" w:hAnsi="Times New Roman" w:cs="Times New Roman"/>
          <w:bCs/>
          <w:sz w:val="28"/>
          <w:szCs w:val="28"/>
        </w:rPr>
        <w:t>По результату нашего исследования, уровень образования не влияет на вредные привычки. Соответственно медицинскую грамотность о вреде алкоголя и курения необходимо улучшать на уровне всего населения, независимо от образования и наличия СД2т.</w:t>
      </w:r>
    </w:p>
    <w:p w14:paraId="0ADDF26B" w14:textId="4A3C8346" w:rsidR="007A2C38" w:rsidRPr="004135FE" w:rsidRDefault="007A2C38" w:rsidP="00DE6AAF">
      <w:pPr>
        <w:spacing w:after="0" w:line="240" w:lineRule="auto"/>
        <w:ind w:firstLine="709"/>
        <w:jc w:val="both"/>
        <w:rPr>
          <w:rFonts w:ascii="Times New Roman" w:hAnsi="Times New Roman" w:cs="Times New Roman"/>
          <w:sz w:val="28"/>
          <w:szCs w:val="28"/>
        </w:rPr>
      </w:pPr>
      <w:r w:rsidRPr="008F106D">
        <w:rPr>
          <w:rFonts w:ascii="Times New Roman" w:hAnsi="Times New Roman" w:cs="Times New Roman"/>
          <w:bCs/>
          <w:i/>
          <w:sz w:val="28"/>
          <w:szCs w:val="28"/>
        </w:rPr>
        <w:t>Медицинская грамотность и индекс массы тела респондентов с СД2т.</w:t>
      </w:r>
      <w:r w:rsidRPr="004135FE">
        <w:rPr>
          <w:rFonts w:ascii="Times New Roman" w:hAnsi="Times New Roman" w:cs="Times New Roman"/>
          <w:sz w:val="28"/>
          <w:szCs w:val="28"/>
        </w:rPr>
        <w:t xml:space="preserve">  Нормальный вес имеют </w:t>
      </w:r>
      <w:r w:rsidRPr="004135FE">
        <w:rPr>
          <w:rFonts w:ascii="Times New Roman" w:eastAsia="Times New Roman" w:hAnsi="Times New Roman" w:cs="Times New Roman"/>
          <w:color w:val="000000"/>
          <w:sz w:val="28"/>
          <w:szCs w:val="28"/>
        </w:rPr>
        <w:t xml:space="preserve">15,53% </w:t>
      </w:r>
      <w:r w:rsidRPr="004135FE">
        <w:rPr>
          <w:rFonts w:ascii="Times New Roman" w:hAnsi="Times New Roman" w:cs="Times New Roman"/>
          <w:sz w:val="28"/>
          <w:szCs w:val="28"/>
        </w:rPr>
        <w:t xml:space="preserve">пациентов </w:t>
      </w:r>
      <w:r w:rsidRPr="004135FE">
        <w:rPr>
          <w:rFonts w:ascii="Times New Roman" w:eastAsia="Times New Roman" w:hAnsi="Times New Roman" w:cs="Times New Roman"/>
          <w:color w:val="000000"/>
          <w:sz w:val="28"/>
          <w:szCs w:val="28"/>
        </w:rPr>
        <w:t>с высшим</w:t>
      </w:r>
      <w:r w:rsidRPr="004135FE">
        <w:rPr>
          <w:rFonts w:ascii="Times New Roman" w:hAnsi="Times New Roman" w:cs="Times New Roman"/>
          <w:sz w:val="28"/>
          <w:szCs w:val="28"/>
        </w:rPr>
        <w:t xml:space="preserve"> и </w:t>
      </w:r>
      <w:r w:rsidRPr="004135FE">
        <w:rPr>
          <w:rFonts w:ascii="Times New Roman" w:eastAsia="Times New Roman" w:hAnsi="Times New Roman" w:cs="Times New Roman"/>
          <w:color w:val="000000"/>
          <w:sz w:val="28"/>
          <w:szCs w:val="28"/>
        </w:rPr>
        <w:t>10,97 другими образованиями</w:t>
      </w:r>
      <w:r w:rsidRPr="004135FE">
        <w:rPr>
          <w:rFonts w:ascii="Times New Roman" w:hAnsi="Times New Roman" w:cs="Times New Roman"/>
          <w:sz w:val="28"/>
          <w:szCs w:val="28"/>
        </w:rPr>
        <w:t>. О</w:t>
      </w:r>
      <w:r w:rsidRPr="004135FE">
        <w:rPr>
          <w:rFonts w:ascii="Times New Roman" w:eastAsia="Times New Roman" w:hAnsi="Times New Roman" w:cs="Times New Roman"/>
          <w:sz w:val="28"/>
          <w:szCs w:val="28"/>
        </w:rPr>
        <w:t xml:space="preserve">жирение II степени отмечается у </w:t>
      </w:r>
      <w:r w:rsidRPr="004135FE">
        <w:rPr>
          <w:rFonts w:ascii="Times New Roman" w:eastAsia="Times New Roman" w:hAnsi="Times New Roman" w:cs="Times New Roman"/>
          <w:color w:val="000000"/>
          <w:sz w:val="28"/>
          <w:szCs w:val="28"/>
        </w:rPr>
        <w:t>11,91</w:t>
      </w:r>
      <w:r w:rsidRPr="004135FE">
        <w:rPr>
          <w:rFonts w:ascii="Times New Roman" w:eastAsia="Times New Roman" w:hAnsi="Times New Roman" w:cs="Times New Roman"/>
          <w:sz w:val="28"/>
          <w:szCs w:val="28"/>
        </w:rPr>
        <w:t xml:space="preserve">% пациентов другим и </w:t>
      </w:r>
      <w:r w:rsidRPr="004135FE">
        <w:rPr>
          <w:rFonts w:ascii="Times New Roman" w:eastAsia="Times New Roman" w:hAnsi="Times New Roman" w:cs="Times New Roman"/>
          <w:color w:val="000000"/>
          <w:sz w:val="28"/>
          <w:szCs w:val="28"/>
        </w:rPr>
        <w:t>7,45</w:t>
      </w:r>
      <w:r w:rsidRPr="004135FE">
        <w:rPr>
          <w:rFonts w:ascii="Times New Roman" w:eastAsia="Times New Roman" w:hAnsi="Times New Roman" w:cs="Times New Roman"/>
          <w:sz w:val="28"/>
          <w:szCs w:val="28"/>
        </w:rPr>
        <w:t>% высшим образованиями</w:t>
      </w:r>
      <w:r w:rsidRPr="004135FE">
        <w:rPr>
          <w:rFonts w:ascii="Times New Roman" w:hAnsi="Times New Roman" w:cs="Times New Roman"/>
          <w:sz w:val="28"/>
          <w:szCs w:val="28"/>
        </w:rPr>
        <w:t xml:space="preserve"> p=0,028</w:t>
      </w:r>
      <w:r w:rsidRPr="004135FE">
        <w:rPr>
          <w:rFonts w:ascii="Times New Roman" w:eastAsia="Times New Roman" w:hAnsi="Times New Roman" w:cs="Times New Roman"/>
          <w:sz w:val="28"/>
          <w:szCs w:val="28"/>
        </w:rPr>
        <w:t>.</w:t>
      </w:r>
      <w:r w:rsidRPr="004135FE">
        <w:rPr>
          <w:rFonts w:ascii="Times New Roman" w:hAnsi="Times New Roman" w:cs="Times New Roman"/>
          <w:sz w:val="28"/>
          <w:szCs w:val="28"/>
        </w:rPr>
        <w:t xml:space="preserve"> </w:t>
      </w:r>
    </w:p>
    <w:p w14:paraId="7FA9A239" w14:textId="77777777" w:rsidR="007A2C38" w:rsidRPr="004135FE" w:rsidRDefault="007A2C38" w:rsidP="004135FE">
      <w:pPr>
        <w:spacing w:after="0" w:line="240" w:lineRule="auto"/>
        <w:ind w:firstLine="708"/>
        <w:rPr>
          <w:rFonts w:ascii="Times New Roman" w:hAnsi="Times New Roman" w:cs="Times New Roman"/>
          <w:b/>
          <w:sz w:val="28"/>
          <w:szCs w:val="28"/>
        </w:rPr>
      </w:pPr>
    </w:p>
    <w:p w14:paraId="29C15D1E" w14:textId="77777777" w:rsidR="007A2C38" w:rsidRPr="004135FE" w:rsidRDefault="007A2C38" w:rsidP="004135FE">
      <w:pPr>
        <w:spacing w:after="0" w:line="240" w:lineRule="auto"/>
        <w:ind w:firstLine="567"/>
        <w:rPr>
          <w:rFonts w:ascii="Times New Roman" w:hAnsi="Times New Roman" w:cs="Times New Roman"/>
          <w:b/>
          <w:sz w:val="28"/>
          <w:szCs w:val="28"/>
        </w:rPr>
      </w:pPr>
      <w:r w:rsidRPr="004135FE">
        <w:rPr>
          <w:noProof/>
          <w:sz w:val="28"/>
          <w:szCs w:val="28"/>
        </w:rPr>
        <w:lastRenderedPageBreak/>
        <w:drawing>
          <wp:inline distT="0" distB="0" distL="0" distR="0" wp14:anchorId="21F55B6F" wp14:editId="15D85883">
            <wp:extent cx="5334000" cy="2486025"/>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E46688C" w14:textId="77777777" w:rsidR="00D76356" w:rsidRDefault="00D76356" w:rsidP="00D76356">
      <w:pPr>
        <w:spacing w:after="0" w:line="240" w:lineRule="auto"/>
        <w:ind w:firstLine="567"/>
        <w:jc w:val="center"/>
        <w:rPr>
          <w:rFonts w:ascii="Times New Roman" w:hAnsi="Times New Roman" w:cs="Times New Roman"/>
          <w:sz w:val="28"/>
          <w:szCs w:val="28"/>
        </w:rPr>
      </w:pPr>
    </w:p>
    <w:p w14:paraId="7A1E1DD7" w14:textId="27C867E4" w:rsidR="007A2C38" w:rsidRPr="004135FE" w:rsidRDefault="007A2C38" w:rsidP="00D76356">
      <w:pPr>
        <w:spacing w:after="0" w:line="240" w:lineRule="auto"/>
        <w:ind w:firstLine="567"/>
        <w:jc w:val="center"/>
        <w:rPr>
          <w:rFonts w:ascii="Times New Roman" w:hAnsi="Times New Roman" w:cs="Times New Roman"/>
          <w:sz w:val="28"/>
          <w:szCs w:val="28"/>
        </w:rPr>
      </w:pPr>
      <w:r w:rsidRPr="004135FE">
        <w:rPr>
          <w:rFonts w:ascii="Times New Roman" w:hAnsi="Times New Roman" w:cs="Times New Roman"/>
          <w:sz w:val="28"/>
          <w:szCs w:val="28"/>
        </w:rPr>
        <w:t>Рисунок 35 – Влияние образования на ИМТ</w:t>
      </w:r>
    </w:p>
    <w:p w14:paraId="706BA80E" w14:textId="77777777" w:rsidR="007A2C38" w:rsidRPr="004135FE" w:rsidRDefault="007A2C38" w:rsidP="004135FE">
      <w:pPr>
        <w:tabs>
          <w:tab w:val="center" w:pos="567"/>
        </w:tabs>
        <w:autoSpaceDE w:val="0"/>
        <w:autoSpaceDN w:val="0"/>
        <w:adjustRightInd w:val="0"/>
        <w:spacing w:after="0" w:line="240" w:lineRule="auto"/>
        <w:ind w:firstLine="567"/>
        <w:jc w:val="both"/>
        <w:rPr>
          <w:rFonts w:ascii="Times New Roman" w:hAnsi="Times New Roman" w:cs="Times New Roman"/>
          <w:sz w:val="28"/>
          <w:szCs w:val="28"/>
        </w:rPr>
      </w:pPr>
    </w:p>
    <w:p w14:paraId="6D1B111A" w14:textId="77777777" w:rsidR="007A2C38" w:rsidRPr="004135FE" w:rsidRDefault="007A2C38" w:rsidP="004135FE">
      <w:pPr>
        <w:tabs>
          <w:tab w:val="center" w:pos="567"/>
        </w:tabs>
        <w:autoSpaceDE w:val="0"/>
        <w:autoSpaceDN w:val="0"/>
        <w:adjustRightInd w:val="0"/>
        <w:spacing w:after="0" w:line="240" w:lineRule="auto"/>
        <w:ind w:firstLine="567"/>
        <w:jc w:val="both"/>
        <w:rPr>
          <w:rFonts w:ascii="Times New Roman" w:hAnsi="Times New Roman" w:cs="Times New Roman"/>
          <w:sz w:val="28"/>
          <w:szCs w:val="28"/>
        </w:rPr>
      </w:pPr>
      <w:r w:rsidRPr="004135FE">
        <w:rPr>
          <w:rFonts w:ascii="Times New Roman" w:hAnsi="Times New Roman" w:cs="Times New Roman"/>
          <w:sz w:val="28"/>
          <w:szCs w:val="28"/>
        </w:rPr>
        <w:t xml:space="preserve">Индекс массы тела среди семейных и других показали схожие результаты. Семейные пациенты в </w:t>
      </w:r>
      <w:r w:rsidRPr="004135FE">
        <w:rPr>
          <w:rFonts w:ascii="Times New Roman" w:eastAsia="Times New Roman" w:hAnsi="Times New Roman" w:cs="Times New Roman"/>
          <w:sz w:val="28"/>
          <w:szCs w:val="28"/>
        </w:rPr>
        <w:t>44,24% случаях имеют избыточный вес, 30,94%- ожирение I степени, 10,79%- ожирение ІІ степени</w:t>
      </w:r>
      <w:r w:rsidRPr="004135FE">
        <w:rPr>
          <w:rFonts w:ascii="Times New Roman" w:hAnsi="Times New Roman" w:cs="Times New Roman"/>
          <w:sz w:val="28"/>
          <w:szCs w:val="28"/>
        </w:rPr>
        <w:t xml:space="preserve"> (χ2=55,063, </w:t>
      </w:r>
      <w:r w:rsidRPr="004135FE">
        <w:rPr>
          <w:rFonts w:ascii="Times New Roman" w:hAnsi="Times New Roman" w:cs="Times New Roman"/>
          <w:sz w:val="28"/>
          <w:szCs w:val="28"/>
          <w:lang w:val="en-US"/>
        </w:rPr>
        <w:t>df</w:t>
      </w:r>
      <w:r w:rsidRPr="004135FE">
        <w:rPr>
          <w:rFonts w:ascii="Times New Roman" w:hAnsi="Times New Roman" w:cs="Times New Roman"/>
          <w:sz w:val="28"/>
          <w:szCs w:val="28"/>
        </w:rPr>
        <w:t xml:space="preserve">=24, </w:t>
      </w:r>
      <w:r w:rsidRPr="004135FE">
        <w:rPr>
          <w:rFonts w:ascii="Times New Roman" w:hAnsi="Times New Roman" w:cs="Times New Roman"/>
          <w:sz w:val="28"/>
          <w:szCs w:val="28"/>
          <w:lang w:val="en-US"/>
        </w:rPr>
        <w:t>p</w:t>
      </w:r>
      <w:r w:rsidRPr="004135FE">
        <w:rPr>
          <w:rFonts w:ascii="Times New Roman" w:hAnsi="Times New Roman" w:cs="Times New Roman"/>
          <w:sz w:val="28"/>
          <w:szCs w:val="28"/>
        </w:rPr>
        <w:t>=0,05).</w:t>
      </w:r>
    </w:p>
    <w:p w14:paraId="426C0190" w14:textId="77777777" w:rsidR="007A2C38" w:rsidRPr="004135FE" w:rsidRDefault="007A2C38" w:rsidP="004135FE">
      <w:pPr>
        <w:spacing w:after="0" w:line="240" w:lineRule="auto"/>
        <w:rPr>
          <w:rFonts w:ascii="Times New Roman" w:hAnsi="Times New Roman" w:cs="Times New Roman"/>
          <w:b/>
          <w:sz w:val="28"/>
          <w:szCs w:val="28"/>
        </w:rPr>
      </w:pPr>
    </w:p>
    <w:p w14:paraId="4484D98A" w14:textId="77777777" w:rsidR="007A2C38" w:rsidRPr="004135FE" w:rsidRDefault="007A2C38" w:rsidP="004135FE">
      <w:pPr>
        <w:spacing w:after="0" w:line="240" w:lineRule="auto"/>
        <w:ind w:firstLine="709"/>
        <w:jc w:val="both"/>
        <w:rPr>
          <w:rFonts w:ascii="Times New Roman" w:hAnsi="Times New Roman" w:cs="Times New Roman"/>
          <w:sz w:val="28"/>
          <w:szCs w:val="28"/>
        </w:rPr>
      </w:pPr>
      <w:r w:rsidRPr="004135FE">
        <w:rPr>
          <w:noProof/>
          <w:sz w:val="28"/>
          <w:szCs w:val="28"/>
        </w:rPr>
        <w:drawing>
          <wp:inline distT="0" distB="0" distL="0" distR="0" wp14:anchorId="024D7DC3" wp14:editId="07072D87">
            <wp:extent cx="4986020" cy="2362200"/>
            <wp:effectExtent l="0" t="0" r="508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BF919FE" w14:textId="77777777" w:rsidR="00D76356" w:rsidRDefault="00D76356" w:rsidP="00D76356">
      <w:pPr>
        <w:spacing w:after="0" w:line="240" w:lineRule="auto"/>
        <w:ind w:firstLine="708"/>
        <w:jc w:val="center"/>
        <w:rPr>
          <w:rFonts w:ascii="Times New Roman" w:hAnsi="Times New Roman" w:cs="Times New Roman"/>
          <w:sz w:val="28"/>
          <w:szCs w:val="28"/>
        </w:rPr>
      </w:pPr>
    </w:p>
    <w:p w14:paraId="379A5003" w14:textId="396A3ED4" w:rsidR="007A2C38" w:rsidRPr="004135FE" w:rsidRDefault="007A2C38" w:rsidP="00D76356">
      <w:pPr>
        <w:spacing w:after="0" w:line="240" w:lineRule="auto"/>
        <w:ind w:firstLine="708"/>
        <w:jc w:val="center"/>
        <w:rPr>
          <w:rFonts w:ascii="Times New Roman" w:hAnsi="Times New Roman" w:cs="Times New Roman"/>
          <w:sz w:val="28"/>
          <w:szCs w:val="28"/>
        </w:rPr>
      </w:pPr>
      <w:r w:rsidRPr="004135FE">
        <w:rPr>
          <w:rFonts w:ascii="Times New Roman" w:hAnsi="Times New Roman" w:cs="Times New Roman"/>
          <w:sz w:val="28"/>
          <w:szCs w:val="28"/>
        </w:rPr>
        <w:t>Рисунок 36 –Влияние семейного положения на ИМТ</w:t>
      </w:r>
    </w:p>
    <w:p w14:paraId="5D6E9244" w14:textId="77777777" w:rsidR="00DF6E9B" w:rsidRPr="004135FE" w:rsidRDefault="00DF6E9B" w:rsidP="004135FE">
      <w:pPr>
        <w:spacing w:after="0" w:line="240" w:lineRule="auto"/>
        <w:ind w:firstLine="708"/>
        <w:jc w:val="both"/>
        <w:rPr>
          <w:rFonts w:ascii="Times New Roman" w:hAnsi="Times New Roman" w:cs="Times New Roman"/>
          <w:b/>
          <w:sz w:val="28"/>
          <w:szCs w:val="28"/>
        </w:rPr>
      </w:pPr>
    </w:p>
    <w:p w14:paraId="29DCD24B" w14:textId="0A372A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При оценке ответов респондентов выяснилась, что</w:t>
      </w:r>
      <w:r w:rsidRPr="004135FE">
        <w:rPr>
          <w:rFonts w:ascii="Times New Roman" w:hAnsi="Times New Roman" w:cs="Times New Roman"/>
          <w:b/>
          <w:sz w:val="28"/>
          <w:szCs w:val="28"/>
        </w:rPr>
        <w:t xml:space="preserve"> </w:t>
      </w:r>
      <w:r w:rsidRPr="004135FE">
        <w:rPr>
          <w:rFonts w:ascii="Times New Roman" w:eastAsia="Times New Roman" w:hAnsi="Times New Roman" w:cs="Times New Roman"/>
          <w:color w:val="000000"/>
          <w:sz w:val="28"/>
          <w:szCs w:val="28"/>
        </w:rPr>
        <w:t xml:space="preserve">31,8% пациентов с </w:t>
      </w:r>
      <w:r w:rsidRPr="004135FE">
        <w:rPr>
          <w:rFonts w:ascii="Times New Roman" w:eastAsia="Times New Roman" w:hAnsi="Times New Roman" w:cs="Times New Roman"/>
          <w:sz w:val="28"/>
          <w:szCs w:val="28"/>
        </w:rPr>
        <w:t xml:space="preserve">ожирением I степени, </w:t>
      </w:r>
      <w:r w:rsidRPr="004135FE">
        <w:rPr>
          <w:rFonts w:ascii="Times New Roman" w:eastAsia="Times New Roman" w:hAnsi="Times New Roman" w:cs="Times New Roman"/>
          <w:color w:val="000000"/>
          <w:sz w:val="28"/>
          <w:szCs w:val="28"/>
        </w:rPr>
        <w:t xml:space="preserve">28,5% с </w:t>
      </w:r>
      <w:r w:rsidRPr="004135FE">
        <w:rPr>
          <w:rFonts w:ascii="Times New Roman" w:eastAsia="Times New Roman" w:hAnsi="Times New Roman" w:cs="Times New Roman"/>
          <w:sz w:val="28"/>
          <w:szCs w:val="28"/>
        </w:rPr>
        <w:t xml:space="preserve">избыточным весом, </w:t>
      </w:r>
      <w:r w:rsidRPr="004135FE">
        <w:rPr>
          <w:rFonts w:ascii="Times New Roman" w:eastAsia="Times New Roman" w:hAnsi="Times New Roman" w:cs="Times New Roman"/>
          <w:color w:val="000000"/>
          <w:sz w:val="28"/>
          <w:szCs w:val="28"/>
        </w:rPr>
        <w:t xml:space="preserve">22% с </w:t>
      </w:r>
      <w:r w:rsidRPr="004135FE">
        <w:rPr>
          <w:rFonts w:ascii="Times New Roman" w:eastAsia="Times New Roman" w:hAnsi="Times New Roman" w:cs="Times New Roman"/>
          <w:sz w:val="28"/>
          <w:szCs w:val="28"/>
        </w:rPr>
        <w:t xml:space="preserve">ожирением III степени </w:t>
      </w:r>
      <w:r w:rsidRPr="004135FE">
        <w:rPr>
          <w:rFonts w:ascii="Times New Roman" w:hAnsi="Times New Roman" w:cs="Times New Roman"/>
          <w:sz w:val="28"/>
          <w:szCs w:val="28"/>
        </w:rPr>
        <w:t>посещали Школу Диабета, к</w:t>
      </w:r>
      <w:r w:rsidRPr="004135FE">
        <w:rPr>
          <w:rFonts w:ascii="Times New Roman" w:eastAsia="Times New Roman" w:hAnsi="Times New Roman" w:cs="Times New Roman"/>
          <w:sz w:val="28"/>
          <w:szCs w:val="28"/>
        </w:rPr>
        <w:t xml:space="preserve">огда впервые выявили диагноз. Прошедшие обучение в дебюте заболевания соответствует в совокупности </w:t>
      </w:r>
      <w:r w:rsidRPr="004135FE">
        <w:rPr>
          <w:rFonts w:ascii="Times New Roman" w:hAnsi="Times New Roman" w:cs="Times New Roman"/>
          <w:sz w:val="28"/>
          <w:szCs w:val="28"/>
        </w:rPr>
        <w:t xml:space="preserve">большинству опрошенных, которые составили всего </w:t>
      </w:r>
      <w:r w:rsidRPr="004135FE">
        <w:rPr>
          <w:rFonts w:ascii="Times New Roman" w:eastAsia="Times New Roman" w:hAnsi="Times New Roman" w:cs="Times New Roman"/>
          <w:color w:val="000000"/>
          <w:sz w:val="28"/>
          <w:szCs w:val="28"/>
        </w:rPr>
        <w:t xml:space="preserve">27,3%. 42,9% пациентов имеющие </w:t>
      </w:r>
      <w:r w:rsidRPr="004135FE">
        <w:rPr>
          <w:rFonts w:ascii="Times New Roman" w:eastAsia="Times New Roman" w:hAnsi="Times New Roman" w:cs="Times New Roman"/>
          <w:sz w:val="28"/>
          <w:szCs w:val="28"/>
        </w:rPr>
        <w:t xml:space="preserve">ожирение III степени, </w:t>
      </w:r>
      <w:r w:rsidRPr="004135FE">
        <w:rPr>
          <w:rFonts w:ascii="Times New Roman" w:eastAsia="Times New Roman" w:hAnsi="Times New Roman" w:cs="Times New Roman"/>
          <w:color w:val="000000"/>
          <w:sz w:val="28"/>
          <w:szCs w:val="28"/>
        </w:rPr>
        <w:t xml:space="preserve">33,3% нормальный вес, 28% </w:t>
      </w:r>
      <w:r w:rsidRPr="004135FE">
        <w:rPr>
          <w:rFonts w:ascii="Times New Roman" w:eastAsia="Times New Roman" w:hAnsi="Times New Roman" w:cs="Times New Roman"/>
          <w:sz w:val="28"/>
          <w:szCs w:val="28"/>
        </w:rPr>
        <w:t xml:space="preserve">ожирение II степени, </w:t>
      </w:r>
      <w:r w:rsidRPr="004135FE">
        <w:rPr>
          <w:rFonts w:ascii="Times New Roman" w:eastAsia="Times New Roman" w:hAnsi="Times New Roman" w:cs="Times New Roman"/>
          <w:color w:val="000000"/>
          <w:sz w:val="28"/>
          <w:szCs w:val="28"/>
        </w:rPr>
        <w:t>22,7%</w:t>
      </w:r>
      <w:r w:rsidRPr="004135FE">
        <w:rPr>
          <w:rFonts w:ascii="Times New Roman" w:eastAsia="Times New Roman" w:hAnsi="Times New Roman" w:cs="Times New Roman"/>
          <w:sz w:val="28"/>
          <w:szCs w:val="28"/>
        </w:rPr>
        <w:t xml:space="preserve"> ожирение I степени прошли обучение в</w:t>
      </w:r>
      <w:r w:rsidRPr="004135FE">
        <w:rPr>
          <w:rFonts w:ascii="Times New Roman" w:eastAsia="Times New Roman" w:hAnsi="Times New Roman" w:cs="Times New Roman"/>
          <w:color w:val="000000"/>
          <w:sz w:val="28"/>
          <w:szCs w:val="28"/>
        </w:rPr>
        <w:t xml:space="preserve"> этом году </w:t>
      </w:r>
      <w:r w:rsidRPr="004135FE">
        <w:rPr>
          <w:rFonts w:ascii="Times New Roman" w:hAnsi="Times New Roman" w:cs="Times New Roman"/>
          <w:sz w:val="28"/>
          <w:szCs w:val="28"/>
        </w:rPr>
        <w:t>(χ2=32,522, df=20, p=0,038)</w:t>
      </w:r>
      <w:r w:rsidRPr="004135FE">
        <w:rPr>
          <w:rFonts w:ascii="Times New Roman" w:eastAsia="Times New Roman" w:hAnsi="Times New Roman" w:cs="Times New Roman"/>
          <w:color w:val="000000"/>
          <w:sz w:val="28"/>
          <w:szCs w:val="28"/>
        </w:rPr>
        <w:t xml:space="preserve">. Среди опрошенных с разным уровнем ИМТ были пациенты, прошедшие обучение в ШД год назад, а также те, которые </w:t>
      </w:r>
      <w:r w:rsidRPr="004135FE">
        <w:rPr>
          <w:rFonts w:ascii="Times New Roman" w:hAnsi="Times New Roman" w:cs="Times New Roman"/>
          <w:sz w:val="28"/>
          <w:szCs w:val="28"/>
        </w:rPr>
        <w:t xml:space="preserve">никогда не посещали ШД, хотя было рекомендовано медперсоналом. Среди респондентов </w:t>
      </w:r>
      <w:r w:rsidRPr="004135FE">
        <w:rPr>
          <w:rFonts w:ascii="Times New Roman" w:hAnsi="Times New Roman" w:cs="Times New Roman"/>
          <w:sz w:val="28"/>
          <w:szCs w:val="28"/>
        </w:rPr>
        <w:lastRenderedPageBreak/>
        <w:t>были н</w:t>
      </w:r>
      <w:r w:rsidRPr="004135FE">
        <w:rPr>
          <w:rFonts w:ascii="Times New Roman" w:eastAsia="Times New Roman" w:hAnsi="Times New Roman" w:cs="Times New Roman"/>
          <w:sz w:val="28"/>
          <w:szCs w:val="28"/>
        </w:rPr>
        <w:t xml:space="preserve">е знающие о существовании ШД и не было рекомендовано медперсоналом. За этот контингент ответственны все, начиная от информирования на популяционном уровне, оказания услуг ПМСП, мед персонала общей практики и узкой специальности, заканчивая активностью населения. </w:t>
      </w:r>
      <w:r w:rsidRPr="004135FE">
        <w:rPr>
          <w:rFonts w:ascii="Times New Roman" w:eastAsia="Times New Roman" w:hAnsi="Times New Roman" w:cs="Times New Roman"/>
          <w:color w:val="000000"/>
          <w:sz w:val="28"/>
          <w:szCs w:val="28"/>
        </w:rPr>
        <w:t xml:space="preserve"> </w:t>
      </w:r>
      <w:r w:rsidRPr="004135FE">
        <w:rPr>
          <w:rFonts w:ascii="Times New Roman" w:hAnsi="Times New Roman" w:cs="Times New Roman"/>
          <w:sz w:val="28"/>
          <w:szCs w:val="28"/>
        </w:rPr>
        <w:t xml:space="preserve">Информированность и приобретенная медицинская грамотность взаимосвязана с самоконтролем пациентов. </w:t>
      </w:r>
      <w:r w:rsidRPr="004135FE">
        <w:rPr>
          <w:rFonts w:ascii="Times New Roman" w:eastAsia="Times New Roman" w:hAnsi="Times New Roman" w:cs="Times New Roman"/>
          <w:color w:val="000000"/>
          <w:sz w:val="28"/>
          <w:szCs w:val="28"/>
        </w:rPr>
        <w:t xml:space="preserve">42,9% пациентов с </w:t>
      </w:r>
      <w:r w:rsidRPr="004135FE">
        <w:rPr>
          <w:rFonts w:ascii="Times New Roman" w:hAnsi="Times New Roman" w:cs="Times New Roman"/>
          <w:sz w:val="28"/>
          <w:szCs w:val="28"/>
        </w:rPr>
        <w:t>ожирением ІІІ и 40,0% ІІ степени проверяют уровень сахара только при ухудшении самочувствия и такой уровень самоконтроля соответствует большинству остальных пациентов. В приоритете, не имея точный алгоритм действия в голове пациента для контроля своей болезни и самопомощи, чревато острыми осложнениями, как коматозное состояние разного вида с летальным исходом, так и хроническими. Избыточная масса тела дает инсулинорезистетный эффект, что ухудшает показатели сахара крови, при котором необходима больше контроля.</w:t>
      </w:r>
    </w:p>
    <w:p w14:paraId="177C6163" w14:textId="77777777" w:rsidR="007A2C38" w:rsidRPr="004135FE" w:rsidRDefault="007A2C38" w:rsidP="004135FE">
      <w:pPr>
        <w:spacing w:after="0" w:line="240" w:lineRule="auto"/>
        <w:jc w:val="both"/>
        <w:rPr>
          <w:rFonts w:ascii="Times New Roman" w:hAnsi="Times New Roman" w:cs="Times New Roman"/>
          <w:bCs/>
          <w:sz w:val="28"/>
          <w:szCs w:val="28"/>
        </w:rPr>
      </w:pPr>
    </w:p>
    <w:p w14:paraId="19B0DA26" w14:textId="6AA2B0AA" w:rsidR="007A2C38" w:rsidRDefault="007A2C38" w:rsidP="004135FE">
      <w:pPr>
        <w:spacing w:after="0" w:line="240" w:lineRule="auto"/>
        <w:jc w:val="both"/>
        <w:rPr>
          <w:rFonts w:ascii="Times New Roman" w:hAnsi="Times New Roman" w:cs="Times New Roman"/>
          <w:bCs/>
          <w:sz w:val="28"/>
          <w:szCs w:val="28"/>
        </w:rPr>
      </w:pPr>
      <w:r w:rsidRPr="004135FE">
        <w:rPr>
          <w:rFonts w:ascii="Times New Roman" w:hAnsi="Times New Roman" w:cs="Times New Roman"/>
          <w:bCs/>
          <w:sz w:val="28"/>
          <w:szCs w:val="28"/>
        </w:rPr>
        <w:t>Та</w:t>
      </w:r>
      <w:r w:rsidR="00B728EF" w:rsidRPr="004135FE">
        <w:rPr>
          <w:rFonts w:ascii="Times New Roman" w:hAnsi="Times New Roman" w:cs="Times New Roman"/>
          <w:bCs/>
          <w:sz w:val="28"/>
          <w:szCs w:val="28"/>
        </w:rPr>
        <w:t>блица 28</w:t>
      </w:r>
      <w:r w:rsidR="00BE3EC2">
        <w:rPr>
          <w:rFonts w:ascii="Times New Roman" w:hAnsi="Times New Roman" w:cs="Times New Roman"/>
          <w:bCs/>
          <w:sz w:val="28"/>
          <w:szCs w:val="28"/>
          <w:lang w:val="kk-KZ"/>
        </w:rPr>
        <w:t xml:space="preserve"> </w:t>
      </w:r>
      <w:r w:rsidRPr="004135FE">
        <w:rPr>
          <w:rFonts w:ascii="Times New Roman" w:hAnsi="Times New Roman" w:cs="Times New Roman"/>
          <w:bCs/>
          <w:sz w:val="28"/>
          <w:szCs w:val="28"/>
        </w:rPr>
        <w:t>- ИМТ пациентов и их медицинская грамотность</w:t>
      </w:r>
    </w:p>
    <w:p w14:paraId="07A2C39E" w14:textId="77777777" w:rsidR="0070111F" w:rsidRPr="004135FE" w:rsidRDefault="0070111F" w:rsidP="004135FE">
      <w:pPr>
        <w:spacing w:after="0" w:line="240" w:lineRule="auto"/>
        <w:jc w:val="both"/>
        <w:rPr>
          <w:rFonts w:ascii="Times New Roman" w:hAnsi="Times New Roman" w:cs="Times New Roman"/>
          <w:sz w:val="28"/>
          <w:szCs w:val="28"/>
        </w:rPr>
      </w:pPr>
    </w:p>
    <w:tbl>
      <w:tblPr>
        <w:tblW w:w="94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1"/>
        <w:gridCol w:w="1269"/>
        <w:gridCol w:w="1127"/>
        <w:gridCol w:w="1127"/>
        <w:gridCol w:w="1269"/>
        <w:gridCol w:w="1268"/>
        <w:gridCol w:w="1080"/>
        <w:gridCol w:w="1130"/>
      </w:tblGrid>
      <w:tr w:rsidR="00023411" w:rsidRPr="00D76356" w14:paraId="0AAC630A" w14:textId="77777777" w:rsidTr="00023411">
        <w:trPr>
          <w:trHeight w:val="298"/>
          <w:jc w:val="center"/>
        </w:trPr>
        <w:tc>
          <w:tcPr>
            <w:tcW w:w="1171" w:type="dxa"/>
            <w:shd w:val="clear" w:color="auto" w:fill="auto"/>
            <w:noWrap/>
            <w:hideMark/>
          </w:tcPr>
          <w:p w14:paraId="30ADACB6" w14:textId="77777777" w:rsidR="007A2C38" w:rsidRPr="00D76356" w:rsidRDefault="007A2C38" w:rsidP="00D76356">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Варианты ответов</w:t>
            </w:r>
          </w:p>
        </w:tc>
        <w:tc>
          <w:tcPr>
            <w:tcW w:w="1269" w:type="dxa"/>
            <w:shd w:val="clear" w:color="auto" w:fill="auto"/>
            <w:noWrap/>
            <w:hideMark/>
          </w:tcPr>
          <w:p w14:paraId="11C791D8" w14:textId="77777777" w:rsidR="007A2C38" w:rsidRPr="00D76356" w:rsidRDefault="007A2C38" w:rsidP="00D76356">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Ниже норм веса</w:t>
            </w:r>
          </w:p>
        </w:tc>
        <w:tc>
          <w:tcPr>
            <w:tcW w:w="1127" w:type="dxa"/>
            <w:shd w:val="clear" w:color="auto" w:fill="auto"/>
            <w:noWrap/>
            <w:hideMark/>
          </w:tcPr>
          <w:p w14:paraId="3032C923" w14:textId="77777777" w:rsidR="007A2C38" w:rsidRPr="00D76356" w:rsidRDefault="007A2C38" w:rsidP="00D76356">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нормальный вес</w:t>
            </w:r>
          </w:p>
        </w:tc>
        <w:tc>
          <w:tcPr>
            <w:tcW w:w="1127" w:type="dxa"/>
            <w:shd w:val="clear" w:color="auto" w:fill="auto"/>
            <w:noWrap/>
            <w:hideMark/>
          </w:tcPr>
          <w:p w14:paraId="275B0A00" w14:textId="77777777" w:rsidR="007A2C38" w:rsidRPr="00D76356" w:rsidRDefault="007A2C38" w:rsidP="00D76356">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избыточный вес</w:t>
            </w:r>
          </w:p>
        </w:tc>
        <w:tc>
          <w:tcPr>
            <w:tcW w:w="1269" w:type="dxa"/>
            <w:shd w:val="clear" w:color="auto" w:fill="auto"/>
            <w:noWrap/>
            <w:hideMark/>
          </w:tcPr>
          <w:p w14:paraId="6A9B6402" w14:textId="77777777" w:rsidR="007A2C38" w:rsidRPr="00D76356" w:rsidRDefault="007A2C38" w:rsidP="00D76356">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ожирение I степени</w:t>
            </w:r>
          </w:p>
        </w:tc>
        <w:tc>
          <w:tcPr>
            <w:tcW w:w="1268" w:type="dxa"/>
            <w:shd w:val="clear" w:color="auto" w:fill="auto"/>
            <w:noWrap/>
            <w:hideMark/>
          </w:tcPr>
          <w:p w14:paraId="6658A1E7" w14:textId="77777777" w:rsidR="007A2C38" w:rsidRPr="00D76356" w:rsidRDefault="007A2C38" w:rsidP="00D76356">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ожирение ІІ степени</w:t>
            </w:r>
          </w:p>
        </w:tc>
        <w:tc>
          <w:tcPr>
            <w:tcW w:w="1080" w:type="dxa"/>
            <w:shd w:val="clear" w:color="auto" w:fill="auto"/>
            <w:noWrap/>
            <w:hideMark/>
          </w:tcPr>
          <w:p w14:paraId="7147FA73" w14:textId="77777777" w:rsidR="007A2C38" w:rsidRPr="00D76356" w:rsidRDefault="007A2C38" w:rsidP="00CF4912">
            <w:pPr>
              <w:spacing w:after="0" w:line="240" w:lineRule="auto"/>
              <w:ind w:left="12"/>
              <w:jc w:val="center"/>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ожирение ІІІ степени</w:t>
            </w:r>
          </w:p>
        </w:tc>
        <w:tc>
          <w:tcPr>
            <w:tcW w:w="1127" w:type="dxa"/>
            <w:shd w:val="clear" w:color="auto" w:fill="auto"/>
          </w:tcPr>
          <w:p w14:paraId="715FFE51" w14:textId="3B0F728C" w:rsidR="007A2C38" w:rsidRPr="00CF4912" w:rsidRDefault="00CF4912" w:rsidP="00CF4912">
            <w:pPr>
              <w:spacing w:after="0" w:line="240" w:lineRule="auto"/>
              <w:ind w:left="12"/>
              <w:jc w:val="center"/>
              <w:rPr>
                <w:rFonts w:ascii="Times New Roman" w:eastAsia="Times New Roman" w:hAnsi="Times New Roman" w:cs="Times New Roman"/>
                <w:sz w:val="24"/>
                <w:szCs w:val="24"/>
              </w:rPr>
            </w:pPr>
            <w:r w:rsidRPr="00CF4912">
              <w:rPr>
                <w:rFonts w:ascii="Times New Roman" w:eastAsia="Times New Roman" w:hAnsi="Times New Roman" w:cs="Times New Roman"/>
                <w:sz w:val="24"/>
                <w:szCs w:val="24"/>
              </w:rPr>
              <w:t>Всего</w:t>
            </w:r>
          </w:p>
        </w:tc>
      </w:tr>
      <w:tr w:rsidR="00023411" w:rsidRPr="00D76356" w14:paraId="2381FC20" w14:textId="77777777" w:rsidTr="00023411">
        <w:trPr>
          <w:trHeight w:val="298"/>
          <w:jc w:val="center"/>
        </w:trPr>
        <w:tc>
          <w:tcPr>
            <w:tcW w:w="1171" w:type="dxa"/>
            <w:shd w:val="clear" w:color="auto" w:fill="auto"/>
            <w:noWrap/>
            <w:vAlign w:val="bottom"/>
          </w:tcPr>
          <w:p w14:paraId="1260229E" w14:textId="77777777" w:rsidR="007A2C38" w:rsidRPr="00D76356" w:rsidRDefault="007A2C38" w:rsidP="00D76356">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1</w:t>
            </w:r>
          </w:p>
        </w:tc>
        <w:tc>
          <w:tcPr>
            <w:tcW w:w="1269" w:type="dxa"/>
            <w:shd w:val="clear" w:color="auto" w:fill="auto"/>
            <w:noWrap/>
            <w:vAlign w:val="bottom"/>
          </w:tcPr>
          <w:p w14:paraId="0D1CD2C8" w14:textId="77777777" w:rsidR="007A2C38" w:rsidRPr="00D76356" w:rsidRDefault="007A2C38" w:rsidP="00D76356">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2</w:t>
            </w:r>
          </w:p>
        </w:tc>
        <w:tc>
          <w:tcPr>
            <w:tcW w:w="1127" w:type="dxa"/>
            <w:shd w:val="clear" w:color="auto" w:fill="auto"/>
            <w:noWrap/>
            <w:vAlign w:val="bottom"/>
          </w:tcPr>
          <w:p w14:paraId="25CEEBCB" w14:textId="77777777" w:rsidR="007A2C38" w:rsidRPr="00D76356" w:rsidRDefault="007A2C38" w:rsidP="00D76356">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3</w:t>
            </w:r>
          </w:p>
        </w:tc>
        <w:tc>
          <w:tcPr>
            <w:tcW w:w="1127" w:type="dxa"/>
            <w:shd w:val="clear" w:color="auto" w:fill="auto"/>
            <w:noWrap/>
            <w:vAlign w:val="bottom"/>
          </w:tcPr>
          <w:p w14:paraId="0E3899E0" w14:textId="77777777" w:rsidR="007A2C38" w:rsidRPr="00D76356" w:rsidRDefault="007A2C38" w:rsidP="00D76356">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4</w:t>
            </w:r>
          </w:p>
        </w:tc>
        <w:tc>
          <w:tcPr>
            <w:tcW w:w="1269" w:type="dxa"/>
            <w:shd w:val="clear" w:color="auto" w:fill="auto"/>
            <w:noWrap/>
            <w:vAlign w:val="bottom"/>
          </w:tcPr>
          <w:p w14:paraId="2C73D2A9" w14:textId="77777777" w:rsidR="007A2C38" w:rsidRPr="00D76356" w:rsidRDefault="007A2C38" w:rsidP="00D76356">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5</w:t>
            </w:r>
          </w:p>
        </w:tc>
        <w:tc>
          <w:tcPr>
            <w:tcW w:w="1268" w:type="dxa"/>
            <w:shd w:val="clear" w:color="auto" w:fill="auto"/>
            <w:noWrap/>
            <w:vAlign w:val="bottom"/>
          </w:tcPr>
          <w:p w14:paraId="72655E48" w14:textId="77777777" w:rsidR="007A2C38" w:rsidRPr="00D76356" w:rsidRDefault="007A2C38" w:rsidP="00D76356">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6</w:t>
            </w:r>
          </w:p>
        </w:tc>
        <w:tc>
          <w:tcPr>
            <w:tcW w:w="1080" w:type="dxa"/>
            <w:shd w:val="clear" w:color="auto" w:fill="auto"/>
            <w:noWrap/>
            <w:vAlign w:val="bottom"/>
          </w:tcPr>
          <w:p w14:paraId="35DED589" w14:textId="77777777" w:rsidR="007A2C38" w:rsidRPr="00D76356" w:rsidRDefault="007A2C38" w:rsidP="00CF4912">
            <w:pPr>
              <w:spacing w:after="0" w:line="240" w:lineRule="auto"/>
              <w:ind w:left="12"/>
              <w:jc w:val="center"/>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7</w:t>
            </w:r>
          </w:p>
        </w:tc>
        <w:tc>
          <w:tcPr>
            <w:tcW w:w="1127" w:type="dxa"/>
            <w:shd w:val="clear" w:color="auto" w:fill="auto"/>
            <w:vAlign w:val="bottom"/>
          </w:tcPr>
          <w:p w14:paraId="40B2B978" w14:textId="77777777" w:rsidR="007A2C38" w:rsidRPr="00D76356" w:rsidRDefault="007A2C38" w:rsidP="00CF4912">
            <w:pPr>
              <w:spacing w:after="0" w:line="240" w:lineRule="auto"/>
              <w:ind w:left="12"/>
              <w:jc w:val="center"/>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8</w:t>
            </w:r>
          </w:p>
        </w:tc>
      </w:tr>
      <w:tr w:rsidR="00CF4912" w:rsidRPr="00D76356" w14:paraId="65EAAFE8" w14:textId="77777777" w:rsidTr="00023411">
        <w:trPr>
          <w:trHeight w:val="298"/>
          <w:jc w:val="center"/>
        </w:trPr>
        <w:tc>
          <w:tcPr>
            <w:tcW w:w="9441" w:type="dxa"/>
            <w:gridSpan w:val="8"/>
            <w:shd w:val="clear" w:color="auto" w:fill="auto"/>
            <w:noWrap/>
            <w:vAlign w:val="bottom"/>
          </w:tcPr>
          <w:p w14:paraId="4CB20EB2" w14:textId="77777777" w:rsidR="007A2C38" w:rsidRPr="00D76356" w:rsidRDefault="007A2C38" w:rsidP="00CF4912">
            <w:pPr>
              <w:spacing w:after="0" w:line="240" w:lineRule="auto"/>
              <w:ind w:left="12"/>
              <w:jc w:val="both"/>
              <w:rPr>
                <w:rFonts w:ascii="Times New Roman" w:eastAsia="Times New Roman" w:hAnsi="Times New Roman" w:cs="Times New Roman"/>
                <w:sz w:val="24"/>
                <w:szCs w:val="24"/>
              </w:rPr>
            </w:pPr>
            <w:r w:rsidRPr="00D76356">
              <w:rPr>
                <w:rFonts w:ascii="Times New Roman" w:hAnsi="Times New Roman" w:cs="Times New Roman"/>
                <w:sz w:val="24"/>
                <w:szCs w:val="24"/>
              </w:rPr>
              <w:t>Период последнего прохождения обучения в ШД</w:t>
            </w:r>
          </w:p>
        </w:tc>
      </w:tr>
      <w:tr w:rsidR="00023411" w:rsidRPr="00D76356" w14:paraId="284B5113" w14:textId="77777777" w:rsidTr="00023411">
        <w:trPr>
          <w:trHeight w:val="298"/>
          <w:jc w:val="center"/>
        </w:trPr>
        <w:tc>
          <w:tcPr>
            <w:tcW w:w="1171" w:type="dxa"/>
            <w:shd w:val="clear" w:color="auto" w:fill="auto"/>
            <w:noWrap/>
            <w:vAlign w:val="bottom"/>
          </w:tcPr>
          <w:p w14:paraId="776B5109" w14:textId="77777777" w:rsidR="007A2C38" w:rsidRPr="00D76356" w:rsidRDefault="007A2C38" w:rsidP="004135FE">
            <w:pPr>
              <w:spacing w:after="0" w:line="240" w:lineRule="auto"/>
              <w:jc w:val="both"/>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В этом году</w:t>
            </w:r>
          </w:p>
        </w:tc>
        <w:tc>
          <w:tcPr>
            <w:tcW w:w="1269" w:type="dxa"/>
            <w:shd w:val="clear" w:color="auto" w:fill="auto"/>
            <w:noWrap/>
            <w:vAlign w:val="center"/>
          </w:tcPr>
          <w:p w14:paraId="6B10CCD7" w14:textId="76C12F90"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1</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(50%)</w:t>
            </w:r>
          </w:p>
        </w:tc>
        <w:tc>
          <w:tcPr>
            <w:tcW w:w="1127" w:type="dxa"/>
            <w:shd w:val="clear" w:color="auto" w:fill="auto"/>
            <w:noWrap/>
            <w:vAlign w:val="center"/>
          </w:tcPr>
          <w:p w14:paraId="7E8F36A2" w14:textId="6C4AAF74"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20</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(33,3%)</w:t>
            </w:r>
          </w:p>
        </w:tc>
        <w:tc>
          <w:tcPr>
            <w:tcW w:w="1127" w:type="dxa"/>
            <w:shd w:val="clear" w:color="auto" w:fill="auto"/>
            <w:noWrap/>
            <w:vAlign w:val="center"/>
          </w:tcPr>
          <w:p w14:paraId="572FDFA8" w14:textId="0839F6FF"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42</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(20,3%)</w:t>
            </w:r>
          </w:p>
        </w:tc>
        <w:tc>
          <w:tcPr>
            <w:tcW w:w="1269" w:type="dxa"/>
            <w:shd w:val="clear" w:color="auto" w:fill="auto"/>
            <w:noWrap/>
            <w:vAlign w:val="center"/>
          </w:tcPr>
          <w:p w14:paraId="62A42524" w14:textId="32C53FDF"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35</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(22,7%)</w:t>
            </w:r>
          </w:p>
        </w:tc>
        <w:tc>
          <w:tcPr>
            <w:tcW w:w="1268" w:type="dxa"/>
            <w:shd w:val="clear" w:color="auto" w:fill="auto"/>
            <w:noWrap/>
            <w:vAlign w:val="center"/>
          </w:tcPr>
          <w:p w14:paraId="4E31D29C" w14:textId="5430206F"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14</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(28%)</w:t>
            </w:r>
          </w:p>
        </w:tc>
        <w:tc>
          <w:tcPr>
            <w:tcW w:w="1080" w:type="dxa"/>
            <w:shd w:val="clear" w:color="auto" w:fill="auto"/>
            <w:noWrap/>
            <w:vAlign w:val="center"/>
          </w:tcPr>
          <w:p w14:paraId="6869802A" w14:textId="555914AB" w:rsidR="007A2C38" w:rsidRPr="00D76356" w:rsidRDefault="007A2C38" w:rsidP="00023411">
            <w:pPr>
              <w:spacing w:after="0" w:line="240" w:lineRule="auto"/>
              <w:ind w:left="12"/>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3</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(42,9%)</w:t>
            </w:r>
          </w:p>
        </w:tc>
        <w:tc>
          <w:tcPr>
            <w:tcW w:w="1127" w:type="dxa"/>
            <w:shd w:val="clear" w:color="auto" w:fill="auto"/>
            <w:noWrap/>
            <w:vAlign w:val="center"/>
          </w:tcPr>
          <w:p w14:paraId="3266AEC4" w14:textId="557AD5DC" w:rsidR="007A2C38" w:rsidRPr="00D76356" w:rsidRDefault="007A2C38" w:rsidP="00023411">
            <w:pPr>
              <w:spacing w:after="0" w:line="240" w:lineRule="auto"/>
              <w:ind w:left="12"/>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115</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(24,0%)</w:t>
            </w:r>
          </w:p>
        </w:tc>
      </w:tr>
      <w:tr w:rsidR="00023411" w:rsidRPr="00D76356" w14:paraId="6B93C183" w14:textId="77777777" w:rsidTr="00023411">
        <w:trPr>
          <w:trHeight w:val="298"/>
          <w:jc w:val="center"/>
        </w:trPr>
        <w:tc>
          <w:tcPr>
            <w:tcW w:w="1171" w:type="dxa"/>
            <w:shd w:val="clear" w:color="auto" w:fill="auto"/>
            <w:noWrap/>
            <w:vAlign w:val="bottom"/>
          </w:tcPr>
          <w:p w14:paraId="6C71FE65" w14:textId="77777777" w:rsidR="007A2C38" w:rsidRPr="00D76356" w:rsidRDefault="007A2C38" w:rsidP="004135FE">
            <w:pPr>
              <w:spacing w:after="0" w:line="240" w:lineRule="auto"/>
              <w:jc w:val="both"/>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В прошлом году</w:t>
            </w:r>
          </w:p>
        </w:tc>
        <w:tc>
          <w:tcPr>
            <w:tcW w:w="1269" w:type="dxa"/>
            <w:shd w:val="clear" w:color="auto" w:fill="auto"/>
            <w:noWrap/>
            <w:vAlign w:val="center"/>
          </w:tcPr>
          <w:p w14:paraId="6C39673E" w14:textId="77777777"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0</w:t>
            </w:r>
          </w:p>
        </w:tc>
        <w:tc>
          <w:tcPr>
            <w:tcW w:w="1127" w:type="dxa"/>
            <w:shd w:val="clear" w:color="auto" w:fill="auto"/>
            <w:noWrap/>
            <w:vAlign w:val="center"/>
          </w:tcPr>
          <w:p w14:paraId="713AADC8" w14:textId="5D697B85"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20</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(33,3%)</w:t>
            </w:r>
          </w:p>
        </w:tc>
        <w:tc>
          <w:tcPr>
            <w:tcW w:w="1127" w:type="dxa"/>
            <w:shd w:val="clear" w:color="auto" w:fill="auto"/>
            <w:noWrap/>
            <w:vAlign w:val="center"/>
          </w:tcPr>
          <w:p w14:paraId="7329C006" w14:textId="7A83C3CD"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39</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(18,8%)</w:t>
            </w:r>
          </w:p>
        </w:tc>
        <w:tc>
          <w:tcPr>
            <w:tcW w:w="1269" w:type="dxa"/>
            <w:shd w:val="clear" w:color="auto" w:fill="auto"/>
            <w:noWrap/>
            <w:vAlign w:val="center"/>
          </w:tcPr>
          <w:p w14:paraId="23B89573" w14:textId="7F1F9AD4"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26</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(16,9%)</w:t>
            </w:r>
          </w:p>
        </w:tc>
        <w:tc>
          <w:tcPr>
            <w:tcW w:w="1268" w:type="dxa"/>
            <w:shd w:val="clear" w:color="auto" w:fill="auto"/>
            <w:noWrap/>
            <w:vAlign w:val="center"/>
          </w:tcPr>
          <w:p w14:paraId="7B4A2C93" w14:textId="77777777"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7(14%)</w:t>
            </w:r>
          </w:p>
        </w:tc>
        <w:tc>
          <w:tcPr>
            <w:tcW w:w="1080" w:type="dxa"/>
            <w:shd w:val="clear" w:color="auto" w:fill="auto"/>
            <w:noWrap/>
            <w:vAlign w:val="center"/>
          </w:tcPr>
          <w:p w14:paraId="679CEE66" w14:textId="77777777" w:rsidR="007A2C38" w:rsidRPr="00D76356" w:rsidRDefault="007A2C38" w:rsidP="00023411">
            <w:pPr>
              <w:spacing w:after="0" w:line="240" w:lineRule="auto"/>
              <w:ind w:left="12"/>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0</w:t>
            </w:r>
          </w:p>
        </w:tc>
        <w:tc>
          <w:tcPr>
            <w:tcW w:w="1127" w:type="dxa"/>
            <w:shd w:val="clear" w:color="auto" w:fill="auto"/>
            <w:noWrap/>
            <w:vAlign w:val="center"/>
          </w:tcPr>
          <w:p w14:paraId="0A72A795" w14:textId="1B991DFD" w:rsidR="007A2C38" w:rsidRPr="00D76356" w:rsidRDefault="007A2C38" w:rsidP="00023411">
            <w:pPr>
              <w:spacing w:after="0" w:line="240" w:lineRule="auto"/>
              <w:ind w:left="12"/>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92</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(19,2%)</w:t>
            </w:r>
          </w:p>
        </w:tc>
      </w:tr>
      <w:tr w:rsidR="00023411" w:rsidRPr="00D76356" w14:paraId="24639BC9" w14:textId="77777777" w:rsidTr="00023411">
        <w:trPr>
          <w:trHeight w:val="298"/>
          <w:jc w:val="center"/>
        </w:trPr>
        <w:tc>
          <w:tcPr>
            <w:tcW w:w="1171" w:type="dxa"/>
            <w:shd w:val="clear" w:color="auto" w:fill="auto"/>
            <w:noWrap/>
            <w:vAlign w:val="bottom"/>
          </w:tcPr>
          <w:p w14:paraId="1E73BC3F" w14:textId="77777777" w:rsidR="007A2C38" w:rsidRPr="00D76356" w:rsidRDefault="007A2C38" w:rsidP="004135FE">
            <w:pPr>
              <w:spacing w:after="0" w:line="240" w:lineRule="auto"/>
              <w:jc w:val="both"/>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Когда впервые выявили диагноз</w:t>
            </w:r>
          </w:p>
        </w:tc>
        <w:tc>
          <w:tcPr>
            <w:tcW w:w="1269" w:type="dxa"/>
            <w:shd w:val="clear" w:color="auto" w:fill="auto"/>
            <w:noWrap/>
            <w:vAlign w:val="center"/>
          </w:tcPr>
          <w:p w14:paraId="590987E4" w14:textId="32B47BA7"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1</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(50%)</w:t>
            </w:r>
          </w:p>
        </w:tc>
        <w:tc>
          <w:tcPr>
            <w:tcW w:w="1127" w:type="dxa"/>
            <w:shd w:val="clear" w:color="auto" w:fill="auto"/>
            <w:noWrap/>
            <w:vAlign w:val="center"/>
          </w:tcPr>
          <w:p w14:paraId="5DAF08D9" w14:textId="6E841D6B"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11</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(18,3%)</w:t>
            </w:r>
          </w:p>
        </w:tc>
        <w:tc>
          <w:tcPr>
            <w:tcW w:w="1127" w:type="dxa"/>
            <w:shd w:val="clear" w:color="auto" w:fill="auto"/>
            <w:noWrap/>
            <w:vAlign w:val="center"/>
          </w:tcPr>
          <w:p w14:paraId="1EF35090" w14:textId="2BFB9B5E"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59</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(28,5%)</w:t>
            </w:r>
          </w:p>
        </w:tc>
        <w:tc>
          <w:tcPr>
            <w:tcW w:w="1269" w:type="dxa"/>
            <w:shd w:val="clear" w:color="auto" w:fill="auto"/>
            <w:noWrap/>
            <w:vAlign w:val="center"/>
          </w:tcPr>
          <w:p w14:paraId="77667515" w14:textId="7C2DABAA"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49</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(31,8%)</w:t>
            </w:r>
          </w:p>
        </w:tc>
        <w:tc>
          <w:tcPr>
            <w:tcW w:w="1268" w:type="dxa"/>
            <w:shd w:val="clear" w:color="auto" w:fill="auto"/>
            <w:noWrap/>
            <w:vAlign w:val="center"/>
          </w:tcPr>
          <w:p w14:paraId="30A69F7D" w14:textId="58D4F0FB"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11</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(22%)</w:t>
            </w:r>
          </w:p>
        </w:tc>
        <w:tc>
          <w:tcPr>
            <w:tcW w:w="1080" w:type="dxa"/>
            <w:shd w:val="clear" w:color="auto" w:fill="auto"/>
            <w:noWrap/>
            <w:vAlign w:val="center"/>
          </w:tcPr>
          <w:p w14:paraId="034157CE" w14:textId="77777777" w:rsidR="007A2C38" w:rsidRPr="00D76356" w:rsidRDefault="007A2C38" w:rsidP="00023411">
            <w:pPr>
              <w:spacing w:after="0" w:line="240" w:lineRule="auto"/>
              <w:ind w:left="12"/>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0</w:t>
            </w:r>
          </w:p>
        </w:tc>
        <w:tc>
          <w:tcPr>
            <w:tcW w:w="1127" w:type="dxa"/>
            <w:shd w:val="clear" w:color="auto" w:fill="auto"/>
            <w:noWrap/>
            <w:vAlign w:val="center"/>
          </w:tcPr>
          <w:p w14:paraId="7CD221B2" w14:textId="5C202915" w:rsidR="007A2C38" w:rsidRPr="00D76356" w:rsidRDefault="007A2C38" w:rsidP="00023411">
            <w:pPr>
              <w:spacing w:after="0" w:line="240" w:lineRule="auto"/>
              <w:ind w:left="12"/>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131</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(27,3%)</w:t>
            </w:r>
          </w:p>
        </w:tc>
      </w:tr>
      <w:tr w:rsidR="00023411" w:rsidRPr="00D76356" w14:paraId="577AEBA3" w14:textId="77777777" w:rsidTr="00023411">
        <w:trPr>
          <w:trHeight w:val="298"/>
          <w:jc w:val="center"/>
        </w:trPr>
        <w:tc>
          <w:tcPr>
            <w:tcW w:w="1171" w:type="dxa"/>
            <w:tcBorders>
              <w:bottom w:val="single" w:sz="4" w:space="0" w:color="auto"/>
            </w:tcBorders>
            <w:shd w:val="clear" w:color="auto" w:fill="auto"/>
            <w:noWrap/>
            <w:vAlign w:val="bottom"/>
          </w:tcPr>
          <w:p w14:paraId="1C5C2AA4" w14:textId="7D2104C7" w:rsidR="007A2C38" w:rsidRPr="00D76356" w:rsidRDefault="007A2C38" w:rsidP="004135FE">
            <w:pPr>
              <w:spacing w:after="0" w:line="240" w:lineRule="auto"/>
              <w:jc w:val="both"/>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Не посещал</w:t>
            </w:r>
            <w:r w:rsidR="00023411">
              <w:rPr>
                <w:rFonts w:ascii="Times New Roman" w:eastAsia="Times New Roman" w:hAnsi="Times New Roman" w:cs="Times New Roman"/>
                <w:sz w:val="24"/>
                <w:szCs w:val="24"/>
                <w:lang w:val="kk-KZ"/>
              </w:rPr>
              <w:t xml:space="preserve"> </w:t>
            </w:r>
            <w:r w:rsidRPr="00D76356">
              <w:rPr>
                <w:rFonts w:ascii="Times New Roman" w:eastAsia="Times New Roman" w:hAnsi="Times New Roman" w:cs="Times New Roman"/>
                <w:sz w:val="24"/>
                <w:szCs w:val="24"/>
              </w:rPr>
              <w:t>(а) никогда, хотя было рекомендовано медперсоналом</w:t>
            </w:r>
          </w:p>
        </w:tc>
        <w:tc>
          <w:tcPr>
            <w:tcW w:w="1269" w:type="dxa"/>
            <w:tcBorders>
              <w:bottom w:val="single" w:sz="4" w:space="0" w:color="auto"/>
            </w:tcBorders>
            <w:shd w:val="clear" w:color="auto" w:fill="auto"/>
            <w:noWrap/>
            <w:vAlign w:val="center"/>
          </w:tcPr>
          <w:p w14:paraId="16DC8709" w14:textId="77777777"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0</w:t>
            </w:r>
          </w:p>
        </w:tc>
        <w:tc>
          <w:tcPr>
            <w:tcW w:w="1127" w:type="dxa"/>
            <w:tcBorders>
              <w:bottom w:val="single" w:sz="4" w:space="0" w:color="auto"/>
            </w:tcBorders>
            <w:shd w:val="clear" w:color="auto" w:fill="auto"/>
            <w:noWrap/>
            <w:vAlign w:val="center"/>
          </w:tcPr>
          <w:p w14:paraId="25351340" w14:textId="50F88371"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4</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(6,7%)</w:t>
            </w:r>
          </w:p>
        </w:tc>
        <w:tc>
          <w:tcPr>
            <w:tcW w:w="1127" w:type="dxa"/>
            <w:tcBorders>
              <w:bottom w:val="single" w:sz="4" w:space="0" w:color="auto"/>
            </w:tcBorders>
            <w:shd w:val="clear" w:color="auto" w:fill="auto"/>
            <w:noWrap/>
            <w:vAlign w:val="center"/>
          </w:tcPr>
          <w:p w14:paraId="003053D3" w14:textId="68D774B8"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31</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(15,0%)</w:t>
            </w:r>
          </w:p>
        </w:tc>
        <w:tc>
          <w:tcPr>
            <w:tcW w:w="1269" w:type="dxa"/>
            <w:tcBorders>
              <w:bottom w:val="single" w:sz="4" w:space="0" w:color="auto"/>
            </w:tcBorders>
            <w:shd w:val="clear" w:color="auto" w:fill="auto"/>
            <w:noWrap/>
            <w:vAlign w:val="center"/>
          </w:tcPr>
          <w:p w14:paraId="590C6366" w14:textId="2CA59B8D"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19</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(12,3%)</w:t>
            </w:r>
          </w:p>
        </w:tc>
        <w:tc>
          <w:tcPr>
            <w:tcW w:w="1268" w:type="dxa"/>
            <w:tcBorders>
              <w:bottom w:val="single" w:sz="4" w:space="0" w:color="auto"/>
            </w:tcBorders>
            <w:shd w:val="clear" w:color="auto" w:fill="auto"/>
            <w:noWrap/>
            <w:vAlign w:val="center"/>
          </w:tcPr>
          <w:p w14:paraId="4B4E1E2A" w14:textId="684D287E"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6</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(12%)</w:t>
            </w:r>
          </w:p>
        </w:tc>
        <w:tc>
          <w:tcPr>
            <w:tcW w:w="1080" w:type="dxa"/>
            <w:tcBorders>
              <w:bottom w:val="single" w:sz="4" w:space="0" w:color="auto"/>
            </w:tcBorders>
            <w:shd w:val="clear" w:color="auto" w:fill="auto"/>
            <w:noWrap/>
            <w:vAlign w:val="center"/>
          </w:tcPr>
          <w:p w14:paraId="0EE81EE2" w14:textId="7317536B" w:rsidR="007A2C38" w:rsidRPr="00D76356" w:rsidRDefault="007A2C38" w:rsidP="00023411">
            <w:pPr>
              <w:spacing w:after="0" w:line="240" w:lineRule="auto"/>
              <w:ind w:left="12"/>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3</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(42,9%)</w:t>
            </w:r>
          </w:p>
        </w:tc>
        <w:tc>
          <w:tcPr>
            <w:tcW w:w="1127" w:type="dxa"/>
            <w:tcBorders>
              <w:bottom w:val="single" w:sz="4" w:space="0" w:color="auto"/>
            </w:tcBorders>
            <w:shd w:val="clear" w:color="auto" w:fill="auto"/>
            <w:noWrap/>
            <w:vAlign w:val="center"/>
          </w:tcPr>
          <w:p w14:paraId="79F56D9C" w14:textId="60E8346B" w:rsidR="007A2C38" w:rsidRPr="00D76356" w:rsidRDefault="007A2C38" w:rsidP="00023411">
            <w:pPr>
              <w:spacing w:after="0" w:line="240" w:lineRule="auto"/>
              <w:ind w:left="12"/>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63</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(13,1%)</w:t>
            </w:r>
          </w:p>
        </w:tc>
      </w:tr>
      <w:tr w:rsidR="00023411" w:rsidRPr="00D76356" w14:paraId="69627A85" w14:textId="77777777" w:rsidTr="00023411">
        <w:trPr>
          <w:trHeight w:val="298"/>
          <w:jc w:val="center"/>
        </w:trPr>
        <w:tc>
          <w:tcPr>
            <w:tcW w:w="1171" w:type="dxa"/>
            <w:tcBorders>
              <w:bottom w:val="nil"/>
            </w:tcBorders>
            <w:shd w:val="clear" w:color="auto" w:fill="auto"/>
            <w:noWrap/>
            <w:vAlign w:val="bottom"/>
          </w:tcPr>
          <w:p w14:paraId="21AEB0B2" w14:textId="77777777" w:rsidR="007A2C38" w:rsidRPr="00D76356" w:rsidRDefault="007A2C38" w:rsidP="004135FE">
            <w:pPr>
              <w:spacing w:after="0" w:line="240" w:lineRule="auto"/>
              <w:jc w:val="both"/>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rPr>
              <w:t>Не знаю о ШД, не было рекомендовано медперсоналом</w:t>
            </w:r>
          </w:p>
        </w:tc>
        <w:tc>
          <w:tcPr>
            <w:tcW w:w="1269" w:type="dxa"/>
            <w:tcBorders>
              <w:bottom w:val="nil"/>
            </w:tcBorders>
            <w:shd w:val="clear" w:color="auto" w:fill="auto"/>
            <w:noWrap/>
            <w:vAlign w:val="center"/>
          </w:tcPr>
          <w:p w14:paraId="45BD6665" w14:textId="77777777"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0</w:t>
            </w:r>
          </w:p>
        </w:tc>
        <w:tc>
          <w:tcPr>
            <w:tcW w:w="1127" w:type="dxa"/>
            <w:tcBorders>
              <w:bottom w:val="nil"/>
            </w:tcBorders>
            <w:shd w:val="clear" w:color="auto" w:fill="auto"/>
            <w:noWrap/>
            <w:vAlign w:val="center"/>
          </w:tcPr>
          <w:p w14:paraId="0E0E0058" w14:textId="472FD326"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5</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(8,3%)</w:t>
            </w:r>
          </w:p>
        </w:tc>
        <w:tc>
          <w:tcPr>
            <w:tcW w:w="1127" w:type="dxa"/>
            <w:tcBorders>
              <w:bottom w:val="nil"/>
            </w:tcBorders>
            <w:shd w:val="clear" w:color="auto" w:fill="auto"/>
            <w:noWrap/>
            <w:vAlign w:val="center"/>
          </w:tcPr>
          <w:p w14:paraId="4A2FE6AB" w14:textId="10C43053"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36</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(17,4%)</w:t>
            </w:r>
          </w:p>
        </w:tc>
        <w:tc>
          <w:tcPr>
            <w:tcW w:w="1269" w:type="dxa"/>
            <w:tcBorders>
              <w:bottom w:val="nil"/>
            </w:tcBorders>
            <w:shd w:val="clear" w:color="auto" w:fill="auto"/>
            <w:noWrap/>
            <w:vAlign w:val="center"/>
          </w:tcPr>
          <w:p w14:paraId="2AB0F887" w14:textId="517E999F"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25</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(16,2%)</w:t>
            </w:r>
          </w:p>
        </w:tc>
        <w:tc>
          <w:tcPr>
            <w:tcW w:w="1268" w:type="dxa"/>
            <w:tcBorders>
              <w:bottom w:val="nil"/>
            </w:tcBorders>
            <w:shd w:val="clear" w:color="auto" w:fill="auto"/>
            <w:noWrap/>
            <w:vAlign w:val="center"/>
          </w:tcPr>
          <w:p w14:paraId="623B14AE" w14:textId="00D84ED1" w:rsidR="007A2C38" w:rsidRPr="00D76356" w:rsidRDefault="007A2C38"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12</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(24%)</w:t>
            </w:r>
          </w:p>
        </w:tc>
        <w:tc>
          <w:tcPr>
            <w:tcW w:w="1080" w:type="dxa"/>
            <w:tcBorders>
              <w:bottom w:val="nil"/>
            </w:tcBorders>
            <w:shd w:val="clear" w:color="auto" w:fill="auto"/>
            <w:noWrap/>
            <w:vAlign w:val="center"/>
          </w:tcPr>
          <w:p w14:paraId="0F95358D" w14:textId="05546A8A" w:rsidR="007A2C38" w:rsidRPr="00D76356" w:rsidRDefault="007A2C38" w:rsidP="00023411">
            <w:pPr>
              <w:spacing w:after="0" w:line="240" w:lineRule="auto"/>
              <w:ind w:left="12"/>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1</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(14,3%)</w:t>
            </w:r>
          </w:p>
        </w:tc>
        <w:tc>
          <w:tcPr>
            <w:tcW w:w="1127" w:type="dxa"/>
            <w:tcBorders>
              <w:bottom w:val="nil"/>
            </w:tcBorders>
            <w:shd w:val="clear" w:color="auto" w:fill="auto"/>
            <w:noWrap/>
            <w:vAlign w:val="center"/>
          </w:tcPr>
          <w:p w14:paraId="6A3409A2" w14:textId="1287F5F8" w:rsidR="007A2C38" w:rsidRPr="00D76356" w:rsidRDefault="007A2C38" w:rsidP="00023411">
            <w:pPr>
              <w:spacing w:after="0" w:line="240" w:lineRule="auto"/>
              <w:ind w:left="12"/>
              <w:jc w:val="center"/>
              <w:rPr>
                <w:rFonts w:ascii="Times New Roman" w:eastAsia="Times New Roman" w:hAnsi="Times New Roman" w:cs="Times New Roman"/>
                <w:sz w:val="24"/>
                <w:szCs w:val="24"/>
              </w:rPr>
            </w:pPr>
            <w:r w:rsidRPr="00D76356">
              <w:rPr>
                <w:rFonts w:ascii="Times New Roman" w:eastAsia="Times New Roman" w:hAnsi="Times New Roman" w:cs="Times New Roman"/>
                <w:color w:val="000000"/>
                <w:sz w:val="24"/>
                <w:szCs w:val="24"/>
              </w:rPr>
              <w:t>79</w:t>
            </w:r>
            <w:r w:rsidR="00023411">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(16,5%)</w:t>
            </w:r>
          </w:p>
        </w:tc>
      </w:tr>
    </w:tbl>
    <w:p w14:paraId="68DD6E38" w14:textId="4CC4028A" w:rsidR="00CF4912" w:rsidRPr="00023411" w:rsidRDefault="0070111F">
      <w:pPr>
        <w:rPr>
          <w:rFonts w:ascii="Times New Roman" w:hAnsi="Times New Roman" w:cs="Times New Roman"/>
          <w:bCs/>
          <w:sz w:val="28"/>
          <w:szCs w:val="28"/>
        </w:rPr>
      </w:pPr>
      <w:r w:rsidRPr="00023411">
        <w:rPr>
          <w:rFonts w:ascii="Times New Roman" w:hAnsi="Times New Roman" w:cs="Times New Roman"/>
          <w:bCs/>
          <w:sz w:val="28"/>
          <w:szCs w:val="28"/>
        </w:rPr>
        <w:lastRenderedPageBreak/>
        <w:t>Продолжение таблицы 28</w:t>
      </w:r>
    </w:p>
    <w:tbl>
      <w:tblPr>
        <w:tblW w:w="925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7"/>
        <w:gridCol w:w="1276"/>
        <w:gridCol w:w="1134"/>
        <w:gridCol w:w="1134"/>
        <w:gridCol w:w="1135"/>
        <w:gridCol w:w="1134"/>
        <w:gridCol w:w="1134"/>
        <w:gridCol w:w="1134"/>
      </w:tblGrid>
      <w:tr w:rsidR="00BE3EC2" w:rsidRPr="00D76356" w14:paraId="0AF37C5F" w14:textId="77777777" w:rsidTr="00BE3EC2">
        <w:trPr>
          <w:trHeight w:val="300"/>
        </w:trPr>
        <w:tc>
          <w:tcPr>
            <w:tcW w:w="1177" w:type="dxa"/>
            <w:shd w:val="clear" w:color="auto" w:fill="auto"/>
            <w:noWrap/>
            <w:vAlign w:val="bottom"/>
          </w:tcPr>
          <w:p w14:paraId="0896DF9C" w14:textId="39F6F279" w:rsidR="00BE3EC2" w:rsidRPr="00023411" w:rsidRDefault="00BE3EC2" w:rsidP="00023411">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w:t>
            </w:r>
          </w:p>
        </w:tc>
        <w:tc>
          <w:tcPr>
            <w:tcW w:w="1276" w:type="dxa"/>
            <w:shd w:val="clear" w:color="auto" w:fill="auto"/>
            <w:noWrap/>
            <w:vAlign w:val="bottom"/>
          </w:tcPr>
          <w:p w14:paraId="1F0D1474" w14:textId="51C0DB01" w:rsidR="00BE3EC2" w:rsidRPr="00023411" w:rsidRDefault="00BE3EC2" w:rsidP="00023411">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shd w:val="clear" w:color="auto" w:fill="auto"/>
            <w:noWrap/>
            <w:vAlign w:val="bottom"/>
          </w:tcPr>
          <w:p w14:paraId="53D66322" w14:textId="6E9EA767" w:rsidR="00BE3EC2" w:rsidRPr="00023411" w:rsidRDefault="00BE3EC2" w:rsidP="00023411">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p>
        </w:tc>
        <w:tc>
          <w:tcPr>
            <w:tcW w:w="1134" w:type="dxa"/>
            <w:shd w:val="clear" w:color="auto" w:fill="auto"/>
            <w:noWrap/>
            <w:vAlign w:val="bottom"/>
          </w:tcPr>
          <w:p w14:paraId="62A5E3A5" w14:textId="578905CA" w:rsidR="00BE3EC2" w:rsidRPr="00023411" w:rsidRDefault="00BE3EC2" w:rsidP="00023411">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w:t>
            </w:r>
          </w:p>
        </w:tc>
        <w:tc>
          <w:tcPr>
            <w:tcW w:w="1135" w:type="dxa"/>
            <w:shd w:val="clear" w:color="auto" w:fill="auto"/>
            <w:noWrap/>
            <w:vAlign w:val="bottom"/>
          </w:tcPr>
          <w:p w14:paraId="111B180C" w14:textId="3EAFFB76" w:rsidR="00BE3EC2" w:rsidRPr="00023411" w:rsidRDefault="00BE3EC2" w:rsidP="00023411">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w:t>
            </w:r>
          </w:p>
        </w:tc>
        <w:tc>
          <w:tcPr>
            <w:tcW w:w="1134" w:type="dxa"/>
            <w:shd w:val="clear" w:color="auto" w:fill="auto"/>
            <w:noWrap/>
            <w:vAlign w:val="bottom"/>
          </w:tcPr>
          <w:p w14:paraId="57763570" w14:textId="004EB8FC" w:rsidR="00BE3EC2" w:rsidRPr="00023411" w:rsidRDefault="00BE3EC2" w:rsidP="00023411">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6</w:t>
            </w:r>
          </w:p>
        </w:tc>
        <w:tc>
          <w:tcPr>
            <w:tcW w:w="1134" w:type="dxa"/>
            <w:shd w:val="clear" w:color="auto" w:fill="auto"/>
            <w:noWrap/>
            <w:vAlign w:val="bottom"/>
          </w:tcPr>
          <w:p w14:paraId="6CECE28D" w14:textId="671B4A3A" w:rsidR="00BE3EC2" w:rsidRPr="00023411" w:rsidRDefault="00BE3EC2" w:rsidP="00023411">
            <w:pPr>
              <w:spacing w:after="0" w:line="240" w:lineRule="auto"/>
              <w:ind w:left="12"/>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7</w:t>
            </w:r>
          </w:p>
        </w:tc>
        <w:tc>
          <w:tcPr>
            <w:tcW w:w="1134" w:type="dxa"/>
            <w:shd w:val="clear" w:color="auto" w:fill="auto"/>
            <w:noWrap/>
            <w:vAlign w:val="bottom"/>
          </w:tcPr>
          <w:p w14:paraId="56BC2565" w14:textId="1CFB7322" w:rsidR="00BE3EC2" w:rsidRPr="00023411" w:rsidRDefault="00BE3EC2" w:rsidP="00023411">
            <w:pPr>
              <w:spacing w:after="0" w:line="240" w:lineRule="auto"/>
              <w:ind w:left="12"/>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8</w:t>
            </w:r>
          </w:p>
        </w:tc>
      </w:tr>
      <w:tr w:rsidR="00BE3EC2" w:rsidRPr="00D76356" w14:paraId="5F385C8B" w14:textId="77777777" w:rsidTr="00BE3EC2">
        <w:trPr>
          <w:trHeight w:val="300"/>
        </w:trPr>
        <w:tc>
          <w:tcPr>
            <w:tcW w:w="1177" w:type="dxa"/>
            <w:shd w:val="clear" w:color="auto" w:fill="auto"/>
            <w:noWrap/>
            <w:vAlign w:val="bottom"/>
          </w:tcPr>
          <w:p w14:paraId="02032506" w14:textId="77777777" w:rsidR="00BE3EC2" w:rsidRPr="00D76356" w:rsidRDefault="00BE3EC2" w:rsidP="00023411">
            <w:pPr>
              <w:spacing w:after="0" w:line="240" w:lineRule="auto"/>
              <w:jc w:val="center"/>
              <w:rPr>
                <w:rFonts w:ascii="Times New Roman" w:eastAsia="Times New Roman" w:hAnsi="Times New Roman" w:cs="Times New Roman"/>
                <w:sz w:val="24"/>
                <w:szCs w:val="24"/>
              </w:rPr>
            </w:pPr>
            <w:r w:rsidRPr="00D76356">
              <w:rPr>
                <w:rFonts w:ascii="Times New Roman" w:eastAsia="Times New Roman" w:hAnsi="Times New Roman" w:cs="Times New Roman"/>
                <w:sz w:val="24"/>
                <w:szCs w:val="24"/>
                <w:lang w:val="en-US"/>
              </w:rPr>
              <w:t>p</w:t>
            </w:r>
            <w:r w:rsidRPr="00D76356">
              <w:rPr>
                <w:rFonts w:ascii="Times New Roman" w:eastAsia="Times New Roman" w:hAnsi="Times New Roman" w:cs="Times New Roman"/>
                <w:sz w:val="24"/>
                <w:szCs w:val="24"/>
              </w:rPr>
              <w:t>-</w:t>
            </w:r>
            <w:r w:rsidRPr="00D76356">
              <w:rPr>
                <w:rFonts w:ascii="Times New Roman" w:eastAsia="Times New Roman" w:hAnsi="Times New Roman" w:cs="Times New Roman"/>
                <w:sz w:val="24"/>
                <w:szCs w:val="24"/>
                <w:lang w:val="en-US"/>
              </w:rPr>
              <w:t>value</w:t>
            </w:r>
          </w:p>
        </w:tc>
        <w:tc>
          <w:tcPr>
            <w:tcW w:w="1276" w:type="dxa"/>
            <w:shd w:val="clear" w:color="auto" w:fill="auto"/>
            <w:noWrap/>
            <w:vAlign w:val="bottom"/>
          </w:tcPr>
          <w:p w14:paraId="4DB00F73" w14:textId="77777777" w:rsidR="00BE3EC2" w:rsidRPr="00D76356" w:rsidRDefault="00BE3EC2" w:rsidP="00023411">
            <w:pPr>
              <w:spacing w:after="0" w:line="240" w:lineRule="auto"/>
              <w:jc w:val="center"/>
              <w:rPr>
                <w:rFonts w:ascii="Times New Roman" w:eastAsia="Times New Roman" w:hAnsi="Times New Roman" w:cs="Times New Roman"/>
                <w:sz w:val="24"/>
                <w:szCs w:val="24"/>
              </w:rPr>
            </w:pPr>
            <w:r w:rsidRPr="00D76356">
              <w:rPr>
                <w:rFonts w:ascii="Times New Roman" w:hAnsi="Times New Roman" w:cs="Times New Roman"/>
                <w:sz w:val="24"/>
                <w:szCs w:val="24"/>
              </w:rPr>
              <w:t>0,038</w:t>
            </w:r>
          </w:p>
        </w:tc>
        <w:tc>
          <w:tcPr>
            <w:tcW w:w="1134" w:type="dxa"/>
            <w:shd w:val="clear" w:color="auto" w:fill="auto"/>
            <w:noWrap/>
            <w:vAlign w:val="bottom"/>
          </w:tcPr>
          <w:p w14:paraId="764D986D" w14:textId="08270950" w:rsidR="00BE3EC2" w:rsidRPr="00BE3EC2" w:rsidRDefault="00BE3EC2" w:rsidP="00023411">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w:t>
            </w:r>
          </w:p>
        </w:tc>
        <w:tc>
          <w:tcPr>
            <w:tcW w:w="1134" w:type="dxa"/>
            <w:shd w:val="clear" w:color="auto" w:fill="auto"/>
            <w:noWrap/>
            <w:vAlign w:val="bottom"/>
          </w:tcPr>
          <w:p w14:paraId="19DD82CA" w14:textId="5C9CFE9A" w:rsidR="00BE3EC2" w:rsidRPr="00BE3EC2" w:rsidRDefault="00BE3EC2" w:rsidP="00023411">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w:t>
            </w:r>
          </w:p>
        </w:tc>
        <w:tc>
          <w:tcPr>
            <w:tcW w:w="1135" w:type="dxa"/>
            <w:shd w:val="clear" w:color="auto" w:fill="auto"/>
            <w:noWrap/>
            <w:vAlign w:val="bottom"/>
          </w:tcPr>
          <w:p w14:paraId="61EF3627" w14:textId="0DE05129" w:rsidR="00BE3EC2" w:rsidRPr="00BE3EC2" w:rsidRDefault="00BE3EC2" w:rsidP="00023411">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w:t>
            </w:r>
          </w:p>
        </w:tc>
        <w:tc>
          <w:tcPr>
            <w:tcW w:w="1134" w:type="dxa"/>
            <w:shd w:val="clear" w:color="auto" w:fill="auto"/>
            <w:noWrap/>
            <w:vAlign w:val="bottom"/>
          </w:tcPr>
          <w:p w14:paraId="30FD6DE8" w14:textId="719644FE" w:rsidR="00BE3EC2" w:rsidRPr="00BE3EC2" w:rsidRDefault="00BE3EC2" w:rsidP="00023411">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w:t>
            </w:r>
          </w:p>
        </w:tc>
        <w:tc>
          <w:tcPr>
            <w:tcW w:w="1134" w:type="dxa"/>
            <w:shd w:val="clear" w:color="auto" w:fill="auto"/>
            <w:noWrap/>
            <w:vAlign w:val="bottom"/>
          </w:tcPr>
          <w:p w14:paraId="056E1ACD" w14:textId="2CE1BFD5" w:rsidR="00BE3EC2" w:rsidRPr="00BE3EC2" w:rsidRDefault="00BE3EC2" w:rsidP="00023411">
            <w:pPr>
              <w:spacing w:after="0" w:line="240" w:lineRule="auto"/>
              <w:ind w:left="12"/>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w:t>
            </w:r>
          </w:p>
        </w:tc>
        <w:tc>
          <w:tcPr>
            <w:tcW w:w="1134" w:type="dxa"/>
            <w:shd w:val="clear" w:color="auto" w:fill="auto"/>
            <w:noWrap/>
            <w:vAlign w:val="bottom"/>
          </w:tcPr>
          <w:p w14:paraId="6C06E2D1" w14:textId="6B891615" w:rsidR="00BE3EC2" w:rsidRPr="00BE3EC2" w:rsidRDefault="00BE3EC2" w:rsidP="00023411">
            <w:pPr>
              <w:spacing w:after="0" w:line="240" w:lineRule="auto"/>
              <w:ind w:left="12"/>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w:t>
            </w:r>
          </w:p>
        </w:tc>
      </w:tr>
      <w:tr w:rsidR="00BE3EC2" w:rsidRPr="00D76356" w14:paraId="7961A665" w14:textId="77777777" w:rsidTr="00BE3EC2">
        <w:trPr>
          <w:trHeight w:val="300"/>
        </w:trPr>
        <w:tc>
          <w:tcPr>
            <w:tcW w:w="9258" w:type="dxa"/>
            <w:gridSpan w:val="8"/>
            <w:shd w:val="clear" w:color="auto" w:fill="auto"/>
            <w:noWrap/>
            <w:vAlign w:val="bottom"/>
          </w:tcPr>
          <w:p w14:paraId="10431AA3" w14:textId="77777777" w:rsidR="00BE3EC2" w:rsidRPr="00D76356" w:rsidRDefault="00BE3EC2" w:rsidP="00023411">
            <w:pPr>
              <w:spacing w:after="0" w:line="240" w:lineRule="auto"/>
              <w:ind w:left="12"/>
              <w:jc w:val="center"/>
              <w:rPr>
                <w:rFonts w:ascii="Times New Roman" w:eastAsia="Times New Roman" w:hAnsi="Times New Roman" w:cs="Times New Roman"/>
                <w:color w:val="000000"/>
                <w:sz w:val="24"/>
                <w:szCs w:val="24"/>
              </w:rPr>
            </w:pPr>
            <w:r w:rsidRPr="00D76356">
              <w:rPr>
                <w:rFonts w:ascii="Times New Roman" w:eastAsia="Times New Roman" w:hAnsi="Times New Roman" w:cs="Times New Roman"/>
                <w:color w:val="000000"/>
                <w:sz w:val="24"/>
                <w:szCs w:val="24"/>
              </w:rPr>
              <w:t>Как часто контролируете уровень сахара?</w:t>
            </w:r>
          </w:p>
        </w:tc>
      </w:tr>
      <w:tr w:rsidR="00BE3EC2" w:rsidRPr="00D76356" w14:paraId="52A9E4CA" w14:textId="77777777" w:rsidTr="00BE3EC2">
        <w:trPr>
          <w:trHeight w:val="300"/>
        </w:trPr>
        <w:tc>
          <w:tcPr>
            <w:tcW w:w="1177" w:type="dxa"/>
            <w:shd w:val="clear" w:color="auto" w:fill="auto"/>
            <w:noWrap/>
          </w:tcPr>
          <w:p w14:paraId="32395FF6" w14:textId="77777777" w:rsidR="00BE3EC2" w:rsidRPr="00D76356" w:rsidRDefault="00BE3EC2" w:rsidP="00023411">
            <w:pPr>
              <w:autoSpaceDE w:val="0"/>
              <w:autoSpaceDN w:val="0"/>
              <w:adjustRightInd w:val="0"/>
              <w:spacing w:after="0" w:line="240" w:lineRule="auto"/>
              <w:jc w:val="center"/>
              <w:rPr>
                <w:rFonts w:ascii="Times New Roman" w:hAnsi="Times New Roman" w:cs="Times New Roman"/>
                <w:sz w:val="24"/>
                <w:szCs w:val="24"/>
              </w:rPr>
            </w:pPr>
            <w:r w:rsidRPr="00D76356">
              <w:rPr>
                <w:rFonts w:ascii="Times New Roman" w:hAnsi="Times New Roman" w:cs="Times New Roman"/>
                <w:sz w:val="24"/>
                <w:szCs w:val="24"/>
              </w:rPr>
              <w:t>Не контролирую</w:t>
            </w:r>
          </w:p>
          <w:p w14:paraId="5E23302A" w14:textId="04F3F529" w:rsidR="00BE3EC2" w:rsidRPr="00D76356" w:rsidRDefault="00BE3EC2" w:rsidP="00023411">
            <w:pPr>
              <w:spacing w:after="0" w:line="240" w:lineRule="auto"/>
              <w:jc w:val="center"/>
              <w:rPr>
                <w:rFonts w:ascii="Times New Roman" w:hAnsi="Times New Roman" w:cs="Times New Roman"/>
                <w:sz w:val="24"/>
                <w:szCs w:val="24"/>
              </w:rPr>
            </w:pPr>
          </w:p>
        </w:tc>
        <w:tc>
          <w:tcPr>
            <w:tcW w:w="1276" w:type="dxa"/>
            <w:shd w:val="clear" w:color="auto" w:fill="auto"/>
            <w:noWrap/>
            <w:vAlign w:val="center"/>
          </w:tcPr>
          <w:p w14:paraId="06FBA642" w14:textId="77777777"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0</w:t>
            </w:r>
          </w:p>
        </w:tc>
        <w:tc>
          <w:tcPr>
            <w:tcW w:w="1134" w:type="dxa"/>
            <w:shd w:val="clear" w:color="auto" w:fill="auto"/>
            <w:noWrap/>
            <w:vAlign w:val="center"/>
          </w:tcPr>
          <w:p w14:paraId="7F25F422" w14:textId="7D46EB22"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11</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(18,3%)</w:t>
            </w:r>
          </w:p>
        </w:tc>
        <w:tc>
          <w:tcPr>
            <w:tcW w:w="1134" w:type="dxa"/>
            <w:shd w:val="clear" w:color="auto" w:fill="auto"/>
            <w:noWrap/>
            <w:vAlign w:val="center"/>
          </w:tcPr>
          <w:p w14:paraId="6E13CB76" w14:textId="2EFC228B"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24</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(11,6%)</w:t>
            </w:r>
          </w:p>
        </w:tc>
        <w:tc>
          <w:tcPr>
            <w:tcW w:w="1135" w:type="dxa"/>
            <w:shd w:val="clear" w:color="auto" w:fill="auto"/>
            <w:noWrap/>
            <w:vAlign w:val="center"/>
          </w:tcPr>
          <w:p w14:paraId="08716BAD" w14:textId="24B781D2"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26</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(16,9%)</w:t>
            </w:r>
          </w:p>
        </w:tc>
        <w:tc>
          <w:tcPr>
            <w:tcW w:w="1134" w:type="dxa"/>
            <w:shd w:val="clear" w:color="auto" w:fill="auto"/>
            <w:noWrap/>
            <w:vAlign w:val="center"/>
          </w:tcPr>
          <w:p w14:paraId="023C7E6E" w14:textId="19C5EC64"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(14,0%)</w:t>
            </w:r>
          </w:p>
        </w:tc>
        <w:tc>
          <w:tcPr>
            <w:tcW w:w="1134" w:type="dxa"/>
            <w:shd w:val="clear" w:color="auto" w:fill="auto"/>
            <w:noWrap/>
            <w:vAlign w:val="center"/>
          </w:tcPr>
          <w:p w14:paraId="65CAE660" w14:textId="590A6D27" w:rsidR="00BE3EC2" w:rsidRPr="00D76356" w:rsidRDefault="00BE3EC2" w:rsidP="00023411">
            <w:pPr>
              <w:spacing w:after="0" w:line="240" w:lineRule="auto"/>
              <w:ind w:left="12"/>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(28,6%)</w:t>
            </w:r>
          </w:p>
        </w:tc>
        <w:tc>
          <w:tcPr>
            <w:tcW w:w="1134" w:type="dxa"/>
            <w:shd w:val="clear" w:color="auto" w:fill="auto"/>
            <w:noWrap/>
            <w:vAlign w:val="center"/>
          </w:tcPr>
          <w:p w14:paraId="33F4D55B" w14:textId="000A4D2F" w:rsidR="00BE3EC2" w:rsidRPr="00D76356" w:rsidRDefault="00BE3EC2" w:rsidP="00023411">
            <w:pPr>
              <w:spacing w:after="0" w:line="240" w:lineRule="auto"/>
              <w:ind w:left="12"/>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70</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(14,6%)</w:t>
            </w:r>
          </w:p>
        </w:tc>
      </w:tr>
      <w:tr w:rsidR="00BE3EC2" w:rsidRPr="00D76356" w14:paraId="752FB9B7" w14:textId="77777777" w:rsidTr="00BE3EC2">
        <w:trPr>
          <w:trHeight w:val="300"/>
        </w:trPr>
        <w:tc>
          <w:tcPr>
            <w:tcW w:w="1177" w:type="dxa"/>
            <w:shd w:val="clear" w:color="auto" w:fill="auto"/>
            <w:noWrap/>
          </w:tcPr>
          <w:p w14:paraId="5ABB0654" w14:textId="77777777" w:rsidR="00BE3EC2" w:rsidRPr="00D76356" w:rsidRDefault="00BE3EC2" w:rsidP="00023411">
            <w:pPr>
              <w:autoSpaceDE w:val="0"/>
              <w:autoSpaceDN w:val="0"/>
              <w:adjustRightInd w:val="0"/>
              <w:spacing w:after="0" w:line="240" w:lineRule="auto"/>
              <w:jc w:val="center"/>
              <w:rPr>
                <w:rFonts w:ascii="Times New Roman" w:hAnsi="Times New Roman" w:cs="Times New Roman"/>
                <w:sz w:val="24"/>
                <w:szCs w:val="24"/>
              </w:rPr>
            </w:pPr>
            <w:r w:rsidRPr="00D76356">
              <w:rPr>
                <w:rFonts w:ascii="Times New Roman" w:hAnsi="Times New Roman" w:cs="Times New Roman"/>
                <w:sz w:val="24"/>
                <w:szCs w:val="24"/>
              </w:rPr>
              <w:t>Только при ухудшении самочувствия</w:t>
            </w:r>
          </w:p>
        </w:tc>
        <w:tc>
          <w:tcPr>
            <w:tcW w:w="1276" w:type="dxa"/>
            <w:shd w:val="clear" w:color="auto" w:fill="auto"/>
            <w:noWrap/>
            <w:vAlign w:val="center"/>
          </w:tcPr>
          <w:p w14:paraId="53EEA266" w14:textId="77777777"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0</w:t>
            </w:r>
          </w:p>
        </w:tc>
        <w:tc>
          <w:tcPr>
            <w:tcW w:w="1134" w:type="dxa"/>
            <w:shd w:val="clear" w:color="auto" w:fill="auto"/>
            <w:noWrap/>
            <w:vAlign w:val="center"/>
          </w:tcPr>
          <w:p w14:paraId="04D913C0" w14:textId="51B12EB7"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14</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(23,3%)</w:t>
            </w:r>
          </w:p>
        </w:tc>
        <w:tc>
          <w:tcPr>
            <w:tcW w:w="1134" w:type="dxa"/>
            <w:shd w:val="clear" w:color="auto" w:fill="auto"/>
            <w:noWrap/>
            <w:vAlign w:val="center"/>
          </w:tcPr>
          <w:p w14:paraId="16D7676C" w14:textId="0CFC9A1E"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54</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(26,1%)</w:t>
            </w:r>
          </w:p>
        </w:tc>
        <w:tc>
          <w:tcPr>
            <w:tcW w:w="1135" w:type="dxa"/>
            <w:shd w:val="clear" w:color="auto" w:fill="auto"/>
            <w:noWrap/>
            <w:vAlign w:val="center"/>
          </w:tcPr>
          <w:p w14:paraId="60A75653" w14:textId="206CE792"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45</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(29,2%)</w:t>
            </w:r>
          </w:p>
        </w:tc>
        <w:tc>
          <w:tcPr>
            <w:tcW w:w="1134" w:type="dxa"/>
            <w:shd w:val="clear" w:color="auto" w:fill="auto"/>
            <w:noWrap/>
            <w:vAlign w:val="center"/>
          </w:tcPr>
          <w:p w14:paraId="0EA7A1EB" w14:textId="2B456628"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(40,0%)</w:t>
            </w:r>
          </w:p>
        </w:tc>
        <w:tc>
          <w:tcPr>
            <w:tcW w:w="1134" w:type="dxa"/>
            <w:shd w:val="clear" w:color="auto" w:fill="auto"/>
            <w:noWrap/>
            <w:vAlign w:val="center"/>
          </w:tcPr>
          <w:p w14:paraId="4FFB8033" w14:textId="75C1EA46" w:rsidR="00BE3EC2" w:rsidRPr="00D76356" w:rsidRDefault="00BE3EC2" w:rsidP="00023411">
            <w:pPr>
              <w:spacing w:after="0" w:line="240" w:lineRule="auto"/>
              <w:ind w:left="12"/>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(42,9%)</w:t>
            </w:r>
          </w:p>
        </w:tc>
        <w:tc>
          <w:tcPr>
            <w:tcW w:w="1134" w:type="dxa"/>
            <w:shd w:val="clear" w:color="auto" w:fill="auto"/>
            <w:noWrap/>
            <w:vAlign w:val="center"/>
          </w:tcPr>
          <w:p w14:paraId="7E71F778" w14:textId="263FB9A6" w:rsidR="00BE3EC2" w:rsidRPr="00D76356" w:rsidRDefault="00BE3EC2" w:rsidP="00023411">
            <w:pPr>
              <w:spacing w:after="0" w:line="240" w:lineRule="auto"/>
              <w:ind w:left="12"/>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136</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(28,3%)</w:t>
            </w:r>
          </w:p>
        </w:tc>
      </w:tr>
      <w:tr w:rsidR="00BE3EC2" w:rsidRPr="00D76356" w14:paraId="139E2CB8" w14:textId="77777777" w:rsidTr="00BE3EC2">
        <w:trPr>
          <w:trHeight w:val="300"/>
        </w:trPr>
        <w:tc>
          <w:tcPr>
            <w:tcW w:w="1177" w:type="dxa"/>
            <w:shd w:val="clear" w:color="auto" w:fill="auto"/>
            <w:noWrap/>
          </w:tcPr>
          <w:p w14:paraId="42F49CE3" w14:textId="77777777" w:rsidR="00BE3EC2" w:rsidRPr="00D76356" w:rsidRDefault="00BE3EC2" w:rsidP="00023411">
            <w:pPr>
              <w:autoSpaceDE w:val="0"/>
              <w:autoSpaceDN w:val="0"/>
              <w:adjustRightInd w:val="0"/>
              <w:spacing w:after="0" w:line="240" w:lineRule="auto"/>
              <w:jc w:val="center"/>
              <w:rPr>
                <w:rFonts w:ascii="Times New Roman" w:hAnsi="Times New Roman" w:cs="Times New Roman"/>
                <w:sz w:val="24"/>
                <w:szCs w:val="24"/>
              </w:rPr>
            </w:pPr>
            <w:r w:rsidRPr="00D76356">
              <w:rPr>
                <w:rFonts w:ascii="Times New Roman" w:hAnsi="Times New Roman" w:cs="Times New Roman"/>
                <w:sz w:val="24"/>
                <w:szCs w:val="24"/>
              </w:rPr>
              <w:t>Перед каждым приемом лекарств от диабета</w:t>
            </w:r>
          </w:p>
        </w:tc>
        <w:tc>
          <w:tcPr>
            <w:tcW w:w="1276" w:type="dxa"/>
            <w:shd w:val="clear" w:color="auto" w:fill="auto"/>
            <w:noWrap/>
            <w:vAlign w:val="center"/>
          </w:tcPr>
          <w:p w14:paraId="3D339099" w14:textId="18B920F3"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(100%)</w:t>
            </w:r>
          </w:p>
        </w:tc>
        <w:tc>
          <w:tcPr>
            <w:tcW w:w="1134" w:type="dxa"/>
            <w:shd w:val="clear" w:color="auto" w:fill="auto"/>
            <w:noWrap/>
            <w:vAlign w:val="center"/>
          </w:tcPr>
          <w:p w14:paraId="7E3F1924" w14:textId="7423B3E4"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10</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(16,7%)</w:t>
            </w:r>
          </w:p>
        </w:tc>
        <w:tc>
          <w:tcPr>
            <w:tcW w:w="1134" w:type="dxa"/>
            <w:shd w:val="clear" w:color="auto" w:fill="auto"/>
            <w:noWrap/>
            <w:vAlign w:val="center"/>
          </w:tcPr>
          <w:p w14:paraId="55B478EE" w14:textId="1131CC24"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32</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(15,5%)</w:t>
            </w:r>
          </w:p>
        </w:tc>
        <w:tc>
          <w:tcPr>
            <w:tcW w:w="1135" w:type="dxa"/>
            <w:shd w:val="clear" w:color="auto" w:fill="auto"/>
            <w:noWrap/>
            <w:vAlign w:val="center"/>
          </w:tcPr>
          <w:p w14:paraId="0790303C" w14:textId="3E714DF4"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23</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(14,9%)</w:t>
            </w:r>
          </w:p>
        </w:tc>
        <w:tc>
          <w:tcPr>
            <w:tcW w:w="1134" w:type="dxa"/>
            <w:shd w:val="clear" w:color="auto" w:fill="auto"/>
            <w:noWrap/>
            <w:vAlign w:val="center"/>
          </w:tcPr>
          <w:p w14:paraId="4197253E" w14:textId="1BC8716B"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11</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(22,0%)</w:t>
            </w:r>
          </w:p>
        </w:tc>
        <w:tc>
          <w:tcPr>
            <w:tcW w:w="1134" w:type="dxa"/>
            <w:shd w:val="clear" w:color="auto" w:fill="auto"/>
            <w:noWrap/>
            <w:vAlign w:val="center"/>
          </w:tcPr>
          <w:p w14:paraId="5E7CA53F" w14:textId="73B3DF4C" w:rsidR="00BE3EC2" w:rsidRPr="00D76356" w:rsidRDefault="00BE3EC2" w:rsidP="00023411">
            <w:pPr>
              <w:spacing w:after="0" w:line="240" w:lineRule="auto"/>
              <w:ind w:left="12"/>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(14,3%)</w:t>
            </w:r>
          </w:p>
        </w:tc>
        <w:tc>
          <w:tcPr>
            <w:tcW w:w="1134" w:type="dxa"/>
            <w:shd w:val="clear" w:color="auto" w:fill="auto"/>
            <w:noWrap/>
            <w:vAlign w:val="center"/>
          </w:tcPr>
          <w:p w14:paraId="6EDC470A" w14:textId="54EBC64F" w:rsidR="00BE3EC2" w:rsidRPr="00D76356" w:rsidRDefault="00BE3EC2" w:rsidP="00023411">
            <w:pPr>
              <w:spacing w:after="0" w:line="240" w:lineRule="auto"/>
              <w:ind w:left="12"/>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79</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(16,5%)</w:t>
            </w:r>
          </w:p>
        </w:tc>
      </w:tr>
      <w:tr w:rsidR="00BE3EC2" w:rsidRPr="00D76356" w14:paraId="4E2600C2" w14:textId="77777777" w:rsidTr="00BE3EC2">
        <w:trPr>
          <w:trHeight w:val="300"/>
        </w:trPr>
        <w:tc>
          <w:tcPr>
            <w:tcW w:w="1177" w:type="dxa"/>
            <w:shd w:val="clear" w:color="auto" w:fill="auto"/>
            <w:noWrap/>
          </w:tcPr>
          <w:p w14:paraId="3626397B" w14:textId="77777777" w:rsidR="00BE3EC2" w:rsidRPr="00D76356" w:rsidRDefault="00BE3EC2" w:rsidP="00023411">
            <w:pPr>
              <w:autoSpaceDE w:val="0"/>
              <w:autoSpaceDN w:val="0"/>
              <w:adjustRightInd w:val="0"/>
              <w:spacing w:after="0" w:line="240" w:lineRule="auto"/>
              <w:jc w:val="center"/>
              <w:rPr>
                <w:rFonts w:ascii="Times New Roman" w:hAnsi="Times New Roman" w:cs="Times New Roman"/>
                <w:sz w:val="24"/>
                <w:szCs w:val="24"/>
              </w:rPr>
            </w:pPr>
            <w:r w:rsidRPr="00D76356">
              <w:rPr>
                <w:rFonts w:ascii="Times New Roman" w:hAnsi="Times New Roman" w:cs="Times New Roman"/>
                <w:sz w:val="24"/>
                <w:szCs w:val="24"/>
              </w:rPr>
              <w:t>1 раз в неделю</w:t>
            </w:r>
          </w:p>
        </w:tc>
        <w:tc>
          <w:tcPr>
            <w:tcW w:w="1276" w:type="dxa"/>
            <w:shd w:val="clear" w:color="auto" w:fill="auto"/>
            <w:noWrap/>
            <w:vAlign w:val="center"/>
          </w:tcPr>
          <w:p w14:paraId="7377E4B8" w14:textId="77777777"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0</w:t>
            </w:r>
          </w:p>
        </w:tc>
        <w:tc>
          <w:tcPr>
            <w:tcW w:w="1134" w:type="dxa"/>
            <w:shd w:val="clear" w:color="auto" w:fill="auto"/>
            <w:noWrap/>
            <w:vAlign w:val="center"/>
          </w:tcPr>
          <w:p w14:paraId="598E5A28" w14:textId="568A671C"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9</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(15,0%)</w:t>
            </w:r>
          </w:p>
        </w:tc>
        <w:tc>
          <w:tcPr>
            <w:tcW w:w="1134" w:type="dxa"/>
            <w:shd w:val="clear" w:color="auto" w:fill="auto"/>
            <w:noWrap/>
            <w:vAlign w:val="center"/>
          </w:tcPr>
          <w:p w14:paraId="45259F5A" w14:textId="16A28ACB"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37</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(17,9%)</w:t>
            </w:r>
          </w:p>
        </w:tc>
        <w:tc>
          <w:tcPr>
            <w:tcW w:w="1135" w:type="dxa"/>
            <w:shd w:val="clear" w:color="auto" w:fill="auto"/>
            <w:noWrap/>
            <w:vAlign w:val="center"/>
          </w:tcPr>
          <w:p w14:paraId="4F5F0BF9" w14:textId="74B35D9E"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27</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(17,5%)</w:t>
            </w:r>
          </w:p>
        </w:tc>
        <w:tc>
          <w:tcPr>
            <w:tcW w:w="1134" w:type="dxa"/>
            <w:shd w:val="clear" w:color="auto" w:fill="auto"/>
            <w:noWrap/>
            <w:vAlign w:val="center"/>
          </w:tcPr>
          <w:p w14:paraId="0C5B25DA" w14:textId="201B685E"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(4,0%)</w:t>
            </w:r>
          </w:p>
        </w:tc>
        <w:tc>
          <w:tcPr>
            <w:tcW w:w="1134" w:type="dxa"/>
            <w:shd w:val="clear" w:color="auto" w:fill="auto"/>
            <w:noWrap/>
            <w:vAlign w:val="center"/>
          </w:tcPr>
          <w:p w14:paraId="1FC7E03C" w14:textId="77777777"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0</w:t>
            </w:r>
          </w:p>
        </w:tc>
        <w:tc>
          <w:tcPr>
            <w:tcW w:w="1134" w:type="dxa"/>
            <w:shd w:val="clear" w:color="auto" w:fill="auto"/>
            <w:noWrap/>
            <w:vAlign w:val="center"/>
          </w:tcPr>
          <w:p w14:paraId="51F20E93" w14:textId="567F9C43" w:rsidR="00BE3EC2" w:rsidRPr="00D76356" w:rsidRDefault="00BE3EC2" w:rsidP="00023411">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75</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(15,6%)</w:t>
            </w:r>
          </w:p>
        </w:tc>
      </w:tr>
      <w:tr w:rsidR="00BE3EC2" w:rsidRPr="00D76356" w14:paraId="07A94E55" w14:textId="77777777" w:rsidTr="00BE3EC2">
        <w:trPr>
          <w:trHeight w:val="300"/>
        </w:trPr>
        <w:tc>
          <w:tcPr>
            <w:tcW w:w="1177" w:type="dxa"/>
            <w:shd w:val="clear" w:color="auto" w:fill="auto"/>
            <w:noWrap/>
          </w:tcPr>
          <w:p w14:paraId="22F7E6C6" w14:textId="77777777" w:rsidR="00BE3EC2" w:rsidRPr="00D76356" w:rsidRDefault="00BE3EC2" w:rsidP="00BE3EC2">
            <w:pPr>
              <w:autoSpaceDE w:val="0"/>
              <w:autoSpaceDN w:val="0"/>
              <w:adjustRightInd w:val="0"/>
              <w:spacing w:after="0" w:line="240" w:lineRule="auto"/>
              <w:jc w:val="center"/>
              <w:rPr>
                <w:rFonts w:ascii="Times New Roman" w:hAnsi="Times New Roman" w:cs="Times New Roman"/>
                <w:sz w:val="24"/>
                <w:szCs w:val="24"/>
              </w:rPr>
            </w:pPr>
            <w:r w:rsidRPr="00D76356">
              <w:rPr>
                <w:rFonts w:ascii="Times New Roman" w:hAnsi="Times New Roman" w:cs="Times New Roman"/>
                <w:sz w:val="24"/>
                <w:szCs w:val="24"/>
              </w:rPr>
              <w:t>Не менее 4 раз ежедневно</w:t>
            </w:r>
          </w:p>
        </w:tc>
        <w:tc>
          <w:tcPr>
            <w:tcW w:w="1276" w:type="dxa"/>
            <w:shd w:val="clear" w:color="auto" w:fill="auto"/>
            <w:noWrap/>
            <w:vAlign w:val="center"/>
          </w:tcPr>
          <w:p w14:paraId="1B5CFAAC" w14:textId="77777777"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0</w:t>
            </w:r>
          </w:p>
        </w:tc>
        <w:tc>
          <w:tcPr>
            <w:tcW w:w="1134" w:type="dxa"/>
            <w:shd w:val="clear" w:color="auto" w:fill="auto"/>
            <w:noWrap/>
            <w:vAlign w:val="center"/>
          </w:tcPr>
          <w:p w14:paraId="59094990" w14:textId="789AA66E"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9</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(15,0%)</w:t>
            </w:r>
          </w:p>
        </w:tc>
        <w:tc>
          <w:tcPr>
            <w:tcW w:w="1134" w:type="dxa"/>
            <w:shd w:val="clear" w:color="auto" w:fill="auto"/>
            <w:noWrap/>
            <w:vAlign w:val="center"/>
          </w:tcPr>
          <w:p w14:paraId="5457F22D" w14:textId="5FEFBFF9"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18</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(8,7%)</w:t>
            </w:r>
          </w:p>
        </w:tc>
        <w:tc>
          <w:tcPr>
            <w:tcW w:w="1135" w:type="dxa"/>
            <w:shd w:val="clear" w:color="auto" w:fill="auto"/>
            <w:noWrap/>
            <w:vAlign w:val="center"/>
          </w:tcPr>
          <w:p w14:paraId="4CF29285" w14:textId="0BA49099"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8</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(5,2%)</w:t>
            </w:r>
          </w:p>
        </w:tc>
        <w:tc>
          <w:tcPr>
            <w:tcW w:w="1134" w:type="dxa"/>
            <w:shd w:val="clear" w:color="auto" w:fill="auto"/>
            <w:noWrap/>
            <w:vAlign w:val="center"/>
          </w:tcPr>
          <w:p w14:paraId="10EBE0EB" w14:textId="434BE897"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(6,0%)</w:t>
            </w:r>
          </w:p>
        </w:tc>
        <w:tc>
          <w:tcPr>
            <w:tcW w:w="1134" w:type="dxa"/>
            <w:shd w:val="clear" w:color="auto" w:fill="auto"/>
            <w:noWrap/>
            <w:vAlign w:val="center"/>
          </w:tcPr>
          <w:p w14:paraId="656E8EA9" w14:textId="5226CCBC"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(14,3%)</w:t>
            </w:r>
          </w:p>
        </w:tc>
        <w:tc>
          <w:tcPr>
            <w:tcW w:w="1134" w:type="dxa"/>
            <w:shd w:val="clear" w:color="auto" w:fill="auto"/>
            <w:vAlign w:val="center"/>
          </w:tcPr>
          <w:p w14:paraId="442060BA" w14:textId="35892702"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39</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(8,1%)</w:t>
            </w:r>
          </w:p>
        </w:tc>
      </w:tr>
      <w:tr w:rsidR="00BE3EC2" w:rsidRPr="00D76356" w14:paraId="376E762C" w14:textId="77777777" w:rsidTr="00BE3EC2">
        <w:trPr>
          <w:trHeight w:val="300"/>
        </w:trPr>
        <w:tc>
          <w:tcPr>
            <w:tcW w:w="1177" w:type="dxa"/>
            <w:shd w:val="clear" w:color="auto" w:fill="auto"/>
            <w:noWrap/>
          </w:tcPr>
          <w:p w14:paraId="052EB50D" w14:textId="77777777"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hAnsi="Times New Roman" w:cs="Times New Roman"/>
                <w:sz w:val="24"/>
                <w:szCs w:val="24"/>
              </w:rPr>
              <w:t>Не менее 1 раз в сутки + 1 гликемический профиль в неделю</w:t>
            </w:r>
          </w:p>
        </w:tc>
        <w:tc>
          <w:tcPr>
            <w:tcW w:w="1276" w:type="dxa"/>
            <w:shd w:val="clear" w:color="auto" w:fill="auto"/>
            <w:noWrap/>
            <w:vAlign w:val="center"/>
          </w:tcPr>
          <w:p w14:paraId="6BE4609A" w14:textId="77777777"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0</w:t>
            </w:r>
          </w:p>
        </w:tc>
        <w:tc>
          <w:tcPr>
            <w:tcW w:w="1134" w:type="dxa"/>
            <w:shd w:val="clear" w:color="auto" w:fill="auto"/>
            <w:noWrap/>
            <w:vAlign w:val="center"/>
          </w:tcPr>
          <w:p w14:paraId="335AEC95" w14:textId="3B1B1D98"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(10,0%)</w:t>
            </w:r>
          </w:p>
        </w:tc>
        <w:tc>
          <w:tcPr>
            <w:tcW w:w="1134" w:type="dxa"/>
            <w:shd w:val="clear" w:color="auto" w:fill="auto"/>
            <w:noWrap/>
            <w:vAlign w:val="center"/>
          </w:tcPr>
          <w:p w14:paraId="4232D4B0" w14:textId="35E8B2AB"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19</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(9,2%)</w:t>
            </w:r>
          </w:p>
        </w:tc>
        <w:tc>
          <w:tcPr>
            <w:tcW w:w="1135" w:type="dxa"/>
            <w:shd w:val="clear" w:color="auto" w:fill="auto"/>
            <w:noWrap/>
            <w:vAlign w:val="center"/>
          </w:tcPr>
          <w:p w14:paraId="3316457F" w14:textId="18D81D4C"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14</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(9,1%)</w:t>
            </w:r>
          </w:p>
        </w:tc>
        <w:tc>
          <w:tcPr>
            <w:tcW w:w="1134" w:type="dxa"/>
            <w:shd w:val="clear" w:color="auto" w:fill="auto"/>
            <w:noWrap/>
            <w:vAlign w:val="center"/>
          </w:tcPr>
          <w:p w14:paraId="7874DFA4" w14:textId="4B33AF47"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(6,0%)</w:t>
            </w:r>
          </w:p>
        </w:tc>
        <w:tc>
          <w:tcPr>
            <w:tcW w:w="1134" w:type="dxa"/>
            <w:shd w:val="clear" w:color="auto" w:fill="auto"/>
            <w:noWrap/>
            <w:vAlign w:val="center"/>
          </w:tcPr>
          <w:p w14:paraId="6FAFAE3B" w14:textId="77777777"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0</w:t>
            </w:r>
          </w:p>
        </w:tc>
        <w:tc>
          <w:tcPr>
            <w:tcW w:w="1134" w:type="dxa"/>
            <w:shd w:val="clear" w:color="auto" w:fill="auto"/>
            <w:vAlign w:val="center"/>
          </w:tcPr>
          <w:p w14:paraId="36B493DC" w14:textId="326797B4"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42</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(8,8%)</w:t>
            </w:r>
          </w:p>
        </w:tc>
      </w:tr>
      <w:tr w:rsidR="00BE3EC2" w:rsidRPr="00D76356" w14:paraId="2F0E15CB" w14:textId="77777777" w:rsidTr="00BE3EC2">
        <w:trPr>
          <w:trHeight w:val="300"/>
        </w:trPr>
        <w:tc>
          <w:tcPr>
            <w:tcW w:w="1177" w:type="dxa"/>
            <w:shd w:val="clear" w:color="auto" w:fill="auto"/>
            <w:noWrap/>
          </w:tcPr>
          <w:p w14:paraId="23B8359A" w14:textId="77777777"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hAnsi="Times New Roman" w:cs="Times New Roman"/>
                <w:sz w:val="24"/>
                <w:szCs w:val="24"/>
              </w:rPr>
              <w:t>Не менее 2 раз в сутки + 1 гликемический профиль в неделю</w:t>
            </w:r>
          </w:p>
        </w:tc>
        <w:tc>
          <w:tcPr>
            <w:tcW w:w="1276" w:type="dxa"/>
            <w:shd w:val="clear" w:color="auto" w:fill="auto"/>
            <w:noWrap/>
            <w:vAlign w:val="center"/>
          </w:tcPr>
          <w:p w14:paraId="6CED1096" w14:textId="77777777"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0</w:t>
            </w:r>
          </w:p>
        </w:tc>
        <w:tc>
          <w:tcPr>
            <w:tcW w:w="1134" w:type="dxa"/>
            <w:shd w:val="clear" w:color="auto" w:fill="auto"/>
            <w:noWrap/>
            <w:vAlign w:val="center"/>
          </w:tcPr>
          <w:p w14:paraId="5DA23ACF" w14:textId="1A4B1109"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(1,7%)</w:t>
            </w:r>
          </w:p>
        </w:tc>
        <w:tc>
          <w:tcPr>
            <w:tcW w:w="1134" w:type="dxa"/>
            <w:shd w:val="clear" w:color="auto" w:fill="auto"/>
            <w:noWrap/>
            <w:vAlign w:val="center"/>
          </w:tcPr>
          <w:p w14:paraId="33B6FBD4" w14:textId="4CD93E51"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23</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(11,1%)</w:t>
            </w:r>
          </w:p>
        </w:tc>
        <w:tc>
          <w:tcPr>
            <w:tcW w:w="1135" w:type="dxa"/>
            <w:shd w:val="clear" w:color="auto" w:fill="auto"/>
            <w:noWrap/>
            <w:vAlign w:val="center"/>
          </w:tcPr>
          <w:p w14:paraId="0DE7CBAF" w14:textId="45387E2B"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11</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(7,1%)</w:t>
            </w:r>
          </w:p>
        </w:tc>
        <w:tc>
          <w:tcPr>
            <w:tcW w:w="1134" w:type="dxa"/>
            <w:shd w:val="clear" w:color="auto" w:fill="auto"/>
            <w:noWrap/>
            <w:vAlign w:val="center"/>
          </w:tcPr>
          <w:p w14:paraId="107DBFFC" w14:textId="234D222C"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(8,0%)</w:t>
            </w:r>
          </w:p>
        </w:tc>
        <w:tc>
          <w:tcPr>
            <w:tcW w:w="1134" w:type="dxa"/>
            <w:shd w:val="clear" w:color="auto" w:fill="auto"/>
            <w:noWrap/>
            <w:vAlign w:val="center"/>
          </w:tcPr>
          <w:p w14:paraId="1976E04E" w14:textId="77777777"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0</w:t>
            </w:r>
          </w:p>
        </w:tc>
        <w:tc>
          <w:tcPr>
            <w:tcW w:w="1134" w:type="dxa"/>
            <w:shd w:val="clear" w:color="auto" w:fill="auto"/>
            <w:vAlign w:val="center"/>
          </w:tcPr>
          <w:p w14:paraId="433ADDFE" w14:textId="6124B0B3"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39</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(8,1%)</w:t>
            </w:r>
          </w:p>
        </w:tc>
      </w:tr>
      <w:tr w:rsidR="00BE3EC2" w:rsidRPr="00D76356" w14:paraId="1D985DE8" w14:textId="77777777" w:rsidTr="00BE3EC2">
        <w:trPr>
          <w:trHeight w:val="300"/>
        </w:trPr>
        <w:tc>
          <w:tcPr>
            <w:tcW w:w="1177" w:type="dxa"/>
            <w:shd w:val="clear" w:color="auto" w:fill="auto"/>
            <w:noWrap/>
          </w:tcPr>
          <w:p w14:paraId="4A66C877" w14:textId="77777777"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hAnsi="Times New Roman" w:cs="Times New Roman"/>
                <w:sz w:val="24"/>
                <w:szCs w:val="24"/>
              </w:rPr>
              <w:t>Итого</w:t>
            </w:r>
          </w:p>
        </w:tc>
        <w:tc>
          <w:tcPr>
            <w:tcW w:w="1276" w:type="dxa"/>
            <w:shd w:val="clear" w:color="auto" w:fill="auto"/>
            <w:noWrap/>
            <w:vAlign w:val="center"/>
          </w:tcPr>
          <w:p w14:paraId="64254E27" w14:textId="579B9E24"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(100%)</w:t>
            </w:r>
          </w:p>
        </w:tc>
        <w:tc>
          <w:tcPr>
            <w:tcW w:w="1134" w:type="dxa"/>
            <w:shd w:val="clear" w:color="auto" w:fill="auto"/>
            <w:noWrap/>
            <w:vAlign w:val="center"/>
          </w:tcPr>
          <w:p w14:paraId="06340E9B" w14:textId="080EA020"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60</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(100%)</w:t>
            </w:r>
          </w:p>
        </w:tc>
        <w:tc>
          <w:tcPr>
            <w:tcW w:w="1134" w:type="dxa"/>
            <w:shd w:val="clear" w:color="auto" w:fill="auto"/>
            <w:noWrap/>
            <w:vAlign w:val="center"/>
          </w:tcPr>
          <w:p w14:paraId="1620FB05" w14:textId="3421A552"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207</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(100%)</w:t>
            </w:r>
          </w:p>
        </w:tc>
        <w:tc>
          <w:tcPr>
            <w:tcW w:w="1135" w:type="dxa"/>
            <w:shd w:val="clear" w:color="auto" w:fill="auto"/>
            <w:noWrap/>
            <w:vAlign w:val="center"/>
          </w:tcPr>
          <w:p w14:paraId="0A4AB6D3" w14:textId="09D00F63"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154</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(100%)</w:t>
            </w:r>
          </w:p>
        </w:tc>
        <w:tc>
          <w:tcPr>
            <w:tcW w:w="1134" w:type="dxa"/>
            <w:shd w:val="clear" w:color="auto" w:fill="auto"/>
            <w:noWrap/>
            <w:vAlign w:val="center"/>
          </w:tcPr>
          <w:p w14:paraId="6F54857B" w14:textId="0DEAFF37"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50</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(100%)</w:t>
            </w:r>
          </w:p>
        </w:tc>
        <w:tc>
          <w:tcPr>
            <w:tcW w:w="1134" w:type="dxa"/>
            <w:shd w:val="clear" w:color="auto" w:fill="auto"/>
            <w:noWrap/>
            <w:vAlign w:val="center"/>
          </w:tcPr>
          <w:p w14:paraId="01D4D10B" w14:textId="0B4DA7F1"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(100%)</w:t>
            </w:r>
          </w:p>
        </w:tc>
        <w:tc>
          <w:tcPr>
            <w:tcW w:w="1134" w:type="dxa"/>
            <w:shd w:val="clear" w:color="auto" w:fill="auto"/>
            <w:vAlign w:val="center"/>
          </w:tcPr>
          <w:p w14:paraId="1891AECE" w14:textId="3D307C8D" w:rsidR="00BE3EC2" w:rsidRPr="00D76356" w:rsidRDefault="00BE3EC2" w:rsidP="00BE3EC2">
            <w:pPr>
              <w:spacing w:after="0" w:line="240" w:lineRule="auto"/>
              <w:jc w:val="center"/>
              <w:rPr>
                <w:rFonts w:ascii="Times New Roman" w:hAnsi="Times New Roman" w:cs="Times New Roman"/>
                <w:sz w:val="24"/>
                <w:szCs w:val="24"/>
              </w:rPr>
            </w:pPr>
            <w:r w:rsidRPr="00D76356">
              <w:rPr>
                <w:rFonts w:ascii="Times New Roman" w:eastAsia="Times New Roman" w:hAnsi="Times New Roman" w:cs="Times New Roman"/>
                <w:color w:val="000000"/>
                <w:sz w:val="24"/>
                <w:szCs w:val="24"/>
              </w:rPr>
              <w:t>480</w:t>
            </w:r>
            <w:r>
              <w:rPr>
                <w:rFonts w:ascii="Times New Roman" w:eastAsia="Times New Roman" w:hAnsi="Times New Roman" w:cs="Times New Roman"/>
                <w:color w:val="000000"/>
                <w:sz w:val="24"/>
                <w:szCs w:val="24"/>
                <w:lang w:val="kk-KZ"/>
              </w:rPr>
              <w:t xml:space="preserve"> </w:t>
            </w:r>
            <w:r w:rsidRPr="00D76356">
              <w:rPr>
                <w:rFonts w:ascii="Times New Roman" w:eastAsia="Times New Roman" w:hAnsi="Times New Roman" w:cs="Times New Roman"/>
                <w:color w:val="000000"/>
                <w:sz w:val="24"/>
                <w:szCs w:val="24"/>
              </w:rPr>
              <w:t>(100%)</w:t>
            </w:r>
          </w:p>
        </w:tc>
      </w:tr>
      <w:tr w:rsidR="00BE3EC2" w:rsidRPr="00D76356" w14:paraId="117F24D5" w14:textId="77777777" w:rsidTr="0052168E">
        <w:trPr>
          <w:trHeight w:val="300"/>
        </w:trPr>
        <w:tc>
          <w:tcPr>
            <w:tcW w:w="1177" w:type="dxa"/>
            <w:shd w:val="clear" w:color="auto" w:fill="auto"/>
            <w:noWrap/>
          </w:tcPr>
          <w:p w14:paraId="79574EB1" w14:textId="77777777" w:rsidR="00BE3EC2" w:rsidRPr="00D76356" w:rsidRDefault="00BE3EC2" w:rsidP="00BE3EC2">
            <w:pPr>
              <w:spacing w:after="0" w:line="240" w:lineRule="auto"/>
              <w:jc w:val="both"/>
              <w:rPr>
                <w:rFonts w:ascii="Times New Roman" w:hAnsi="Times New Roman" w:cs="Times New Roman"/>
                <w:sz w:val="24"/>
                <w:szCs w:val="24"/>
              </w:rPr>
            </w:pPr>
            <w:r w:rsidRPr="00D76356">
              <w:rPr>
                <w:rFonts w:ascii="Times New Roman" w:eastAsia="Times New Roman" w:hAnsi="Times New Roman" w:cs="Times New Roman"/>
                <w:sz w:val="24"/>
                <w:szCs w:val="24"/>
                <w:lang w:val="en-US"/>
              </w:rPr>
              <w:t>p</w:t>
            </w:r>
            <w:r w:rsidRPr="00D76356">
              <w:rPr>
                <w:rFonts w:ascii="Times New Roman" w:eastAsia="Times New Roman" w:hAnsi="Times New Roman" w:cs="Times New Roman"/>
                <w:sz w:val="24"/>
                <w:szCs w:val="24"/>
              </w:rPr>
              <w:t>-</w:t>
            </w:r>
            <w:r w:rsidRPr="00D76356">
              <w:rPr>
                <w:rFonts w:ascii="Times New Roman" w:eastAsia="Times New Roman" w:hAnsi="Times New Roman" w:cs="Times New Roman"/>
                <w:sz w:val="24"/>
                <w:szCs w:val="24"/>
                <w:lang w:val="en-US"/>
              </w:rPr>
              <w:t>value</w:t>
            </w:r>
          </w:p>
        </w:tc>
        <w:tc>
          <w:tcPr>
            <w:tcW w:w="1276" w:type="dxa"/>
            <w:shd w:val="clear" w:color="auto" w:fill="auto"/>
            <w:noWrap/>
            <w:vAlign w:val="bottom"/>
          </w:tcPr>
          <w:p w14:paraId="2572CC19" w14:textId="77777777" w:rsidR="00BE3EC2" w:rsidRPr="00D76356" w:rsidRDefault="00BE3EC2" w:rsidP="00BE3EC2">
            <w:pPr>
              <w:spacing w:after="0" w:line="240" w:lineRule="auto"/>
              <w:jc w:val="both"/>
              <w:rPr>
                <w:rFonts w:ascii="Times New Roman" w:hAnsi="Times New Roman" w:cs="Times New Roman"/>
                <w:sz w:val="24"/>
                <w:szCs w:val="24"/>
              </w:rPr>
            </w:pPr>
            <w:r w:rsidRPr="00D76356">
              <w:rPr>
                <w:rFonts w:ascii="Times New Roman" w:hAnsi="Times New Roman" w:cs="Times New Roman"/>
                <w:sz w:val="24"/>
                <w:szCs w:val="24"/>
              </w:rPr>
              <w:t>0,01</w:t>
            </w:r>
          </w:p>
        </w:tc>
        <w:tc>
          <w:tcPr>
            <w:tcW w:w="1134" w:type="dxa"/>
            <w:shd w:val="clear" w:color="auto" w:fill="auto"/>
            <w:noWrap/>
            <w:vAlign w:val="bottom"/>
          </w:tcPr>
          <w:p w14:paraId="400C8EDC" w14:textId="05211D51" w:rsidR="00BE3EC2" w:rsidRPr="00BE3EC2" w:rsidRDefault="00BE3EC2" w:rsidP="00BE3EC2">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34" w:type="dxa"/>
            <w:shd w:val="clear" w:color="auto" w:fill="auto"/>
            <w:noWrap/>
            <w:vAlign w:val="bottom"/>
          </w:tcPr>
          <w:p w14:paraId="3CD1551B" w14:textId="626E5F4D" w:rsidR="00BE3EC2" w:rsidRPr="00BE3EC2" w:rsidRDefault="00BE3EC2" w:rsidP="00BE3EC2">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35" w:type="dxa"/>
            <w:shd w:val="clear" w:color="auto" w:fill="auto"/>
            <w:noWrap/>
            <w:vAlign w:val="bottom"/>
          </w:tcPr>
          <w:p w14:paraId="45BAB5B7" w14:textId="3F4AF3A0" w:rsidR="00BE3EC2" w:rsidRPr="00BE3EC2" w:rsidRDefault="00BE3EC2" w:rsidP="00BE3EC2">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34" w:type="dxa"/>
            <w:shd w:val="clear" w:color="auto" w:fill="auto"/>
            <w:noWrap/>
            <w:vAlign w:val="bottom"/>
          </w:tcPr>
          <w:p w14:paraId="26D9FD35" w14:textId="3971151F" w:rsidR="00BE3EC2" w:rsidRPr="00BE3EC2" w:rsidRDefault="00BE3EC2" w:rsidP="00BE3EC2">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34" w:type="dxa"/>
            <w:shd w:val="clear" w:color="auto" w:fill="auto"/>
            <w:noWrap/>
            <w:vAlign w:val="bottom"/>
          </w:tcPr>
          <w:p w14:paraId="2342ECAB" w14:textId="77777777" w:rsidR="00BE3EC2" w:rsidRPr="00BE3EC2" w:rsidRDefault="00BE3EC2" w:rsidP="00BE3EC2">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134" w:type="dxa"/>
            <w:shd w:val="clear" w:color="auto" w:fill="auto"/>
            <w:vAlign w:val="bottom"/>
          </w:tcPr>
          <w:p w14:paraId="13D397EC" w14:textId="597E1D88" w:rsidR="00BE3EC2" w:rsidRPr="00BE3EC2" w:rsidRDefault="00BE3EC2" w:rsidP="00BE3EC2">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r>
    </w:tbl>
    <w:p w14:paraId="55B4B3D4" w14:textId="77777777" w:rsidR="007A2C38" w:rsidRPr="004135FE" w:rsidRDefault="007A2C38" w:rsidP="004135FE">
      <w:pPr>
        <w:pStyle w:val="a3"/>
        <w:spacing w:after="0" w:line="240" w:lineRule="auto"/>
        <w:ind w:left="0"/>
        <w:jc w:val="both"/>
        <w:rPr>
          <w:rFonts w:ascii="Times New Roman" w:hAnsi="Times New Roman" w:cs="Times New Roman"/>
          <w:bCs/>
          <w:sz w:val="28"/>
          <w:szCs w:val="28"/>
        </w:rPr>
      </w:pPr>
    </w:p>
    <w:p w14:paraId="1063AB8D" w14:textId="77777777" w:rsidR="007A2C38" w:rsidRPr="004135FE" w:rsidRDefault="007A2C38" w:rsidP="004135FE">
      <w:pPr>
        <w:pStyle w:val="a3"/>
        <w:spacing w:after="0" w:line="240" w:lineRule="auto"/>
        <w:ind w:left="0" w:firstLine="708"/>
        <w:jc w:val="both"/>
        <w:rPr>
          <w:rFonts w:ascii="Times New Roman" w:eastAsia="Times New Roman" w:hAnsi="Times New Roman" w:cs="Times New Roman"/>
          <w:color w:val="000000"/>
          <w:sz w:val="28"/>
          <w:szCs w:val="28"/>
        </w:rPr>
      </w:pPr>
      <w:r w:rsidRPr="00BE3EC2">
        <w:rPr>
          <w:rFonts w:ascii="Times New Roman" w:eastAsia="Times New Roman" w:hAnsi="Times New Roman" w:cs="Times New Roman"/>
          <w:bCs/>
          <w:color w:val="000000"/>
          <w:sz w:val="28"/>
          <w:szCs w:val="28"/>
        </w:rPr>
        <w:t>Таким образом, длительность</w:t>
      </w:r>
      <w:r w:rsidRPr="004135FE">
        <w:rPr>
          <w:rFonts w:ascii="Times New Roman" w:eastAsia="Times New Roman" w:hAnsi="Times New Roman" w:cs="Times New Roman"/>
          <w:color w:val="000000"/>
          <w:sz w:val="28"/>
          <w:szCs w:val="28"/>
        </w:rPr>
        <w:t xml:space="preserve"> с момента обучения в ШД так же влияет на выживаемость приобретенных знании, который так же определяет медицинскую грамотность пациентов с СД2т. Необходимо не только привлечь 100% посещение, но и установить период повторного обучения каждого </w:t>
      </w:r>
      <w:r w:rsidRPr="004135FE">
        <w:rPr>
          <w:rFonts w:ascii="Times New Roman" w:eastAsia="Times New Roman" w:hAnsi="Times New Roman" w:cs="Times New Roman"/>
          <w:color w:val="000000"/>
          <w:sz w:val="28"/>
          <w:szCs w:val="28"/>
        </w:rPr>
        <w:lastRenderedPageBreak/>
        <w:t>пациента с СД2т, на уровне НПА, при необходимости с административной ответственностью выполнения требования со стороны пациентов.</w:t>
      </w:r>
    </w:p>
    <w:p w14:paraId="5AB90A66" w14:textId="77777777" w:rsidR="007A2C38" w:rsidRPr="004135FE" w:rsidRDefault="007A2C38" w:rsidP="00BE3EC2">
      <w:pPr>
        <w:pStyle w:val="a3"/>
        <w:spacing w:after="0" w:line="240" w:lineRule="auto"/>
        <w:ind w:left="0" w:firstLine="708"/>
        <w:jc w:val="both"/>
        <w:rPr>
          <w:rFonts w:ascii="Times New Roman" w:hAnsi="Times New Roman" w:cs="Times New Roman"/>
          <w:bCs/>
          <w:sz w:val="28"/>
          <w:szCs w:val="28"/>
        </w:rPr>
      </w:pPr>
    </w:p>
    <w:p w14:paraId="07D0E484" w14:textId="16E8397D" w:rsidR="007A2C38" w:rsidRPr="00BE3EC2" w:rsidRDefault="007A2C38" w:rsidP="00BE3EC2">
      <w:pPr>
        <w:autoSpaceDE w:val="0"/>
        <w:autoSpaceDN w:val="0"/>
        <w:adjustRightInd w:val="0"/>
        <w:spacing w:after="0" w:line="240" w:lineRule="auto"/>
        <w:ind w:firstLine="708"/>
        <w:jc w:val="both"/>
        <w:rPr>
          <w:rFonts w:ascii="Times New Roman" w:hAnsi="Times New Roman" w:cs="Times New Roman"/>
          <w:bCs/>
          <w:i/>
          <w:sz w:val="28"/>
          <w:szCs w:val="28"/>
        </w:rPr>
      </w:pPr>
      <w:r w:rsidRPr="00BE3EC2">
        <w:rPr>
          <w:rFonts w:ascii="Times New Roman" w:hAnsi="Times New Roman" w:cs="Times New Roman"/>
          <w:bCs/>
          <w:i/>
          <w:sz w:val="28"/>
          <w:szCs w:val="28"/>
        </w:rPr>
        <w:t>Приверженность пациентов к рациональному питанию.</w:t>
      </w:r>
    </w:p>
    <w:p w14:paraId="73DB6049" w14:textId="6577B439" w:rsidR="007A2C38" w:rsidRPr="004135FE" w:rsidRDefault="007A2C38" w:rsidP="00BE3EC2">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iCs/>
          <w:sz w:val="28"/>
          <w:szCs w:val="28"/>
          <w:lang w:eastAsia="en-US"/>
        </w:rPr>
        <w:t>Недостаточное потребление фруктов и овощей в рационе человека приводят к неправильному соотношению количества строительных материалов организма, при нарушении которых увеличивается риск развития заболевания и смертности.</w:t>
      </w:r>
      <w:r w:rsidRPr="004135FE">
        <w:rPr>
          <w:rFonts w:ascii="Times New Roman" w:eastAsiaTheme="minorHAnsi" w:hAnsi="Times New Roman" w:cs="Times New Roman"/>
          <w:i/>
          <w:iCs/>
          <w:sz w:val="28"/>
          <w:szCs w:val="28"/>
          <w:lang w:eastAsia="en-US"/>
        </w:rPr>
        <w:t xml:space="preserve"> </w:t>
      </w:r>
      <w:r w:rsidRPr="004135FE">
        <w:rPr>
          <w:rFonts w:ascii="Times New Roman" w:eastAsiaTheme="minorHAnsi" w:hAnsi="Times New Roman" w:cs="Times New Roman"/>
          <w:sz w:val="28"/>
          <w:szCs w:val="28"/>
          <w:lang w:eastAsia="en-US"/>
        </w:rPr>
        <w:t xml:space="preserve">Уровень смертности и показатели DALY, связанные с недостаточным потреблением фруктов и овощей, являются самыми высокими в европейских </w:t>
      </w:r>
      <w:r w:rsidR="00E73C1A" w:rsidRPr="004135FE">
        <w:rPr>
          <w:rFonts w:ascii="Times New Roman" w:eastAsiaTheme="minorHAnsi" w:hAnsi="Times New Roman" w:cs="Times New Roman"/>
          <w:sz w:val="28"/>
          <w:szCs w:val="28"/>
          <w:lang w:eastAsia="en-US"/>
        </w:rPr>
        <w:t xml:space="preserve">странах средним доходом </w:t>
      </w:r>
      <w:r w:rsidRPr="004135FE">
        <w:rPr>
          <w:rFonts w:ascii="Times New Roman" w:eastAsiaTheme="minorHAnsi" w:hAnsi="Times New Roman" w:cs="Times New Roman"/>
          <w:sz w:val="28"/>
          <w:szCs w:val="28"/>
          <w:lang w:eastAsia="en-US"/>
        </w:rPr>
        <w:t>и в странах Юго-Восточной Азии. Наибольший выигрыш от употребления фруктов и овощей проявляется в виде уменьшения частоты повышенных уровней индекса массы тела, холестерина, АГ, СД2т, сердечно-сосудистых заболеваний, рака желудочно-кишечного тракта.</w:t>
      </w:r>
    </w:p>
    <w:p w14:paraId="4209C389" w14:textId="358DCA0E" w:rsidR="007A2C38" w:rsidRPr="004135FE" w:rsidRDefault="007A2C38" w:rsidP="00BE3EC2">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 xml:space="preserve">Потребление фруктов и овощей значительно варьируется в разных странах, отражая экономические, культурные и сельскохозяйственные особенности страны. Содержание в рационе питания фруктов и овощей является одним из элементов здорового питания </w:t>
      </w:r>
      <w:r w:rsidR="00AA0167" w:rsidRPr="004135FE">
        <w:rPr>
          <w:rFonts w:ascii="Times New Roman" w:eastAsia="Times New Roman" w:hAnsi="Times New Roman" w:cs="Times New Roman"/>
          <w:bCs/>
          <w:sz w:val="28"/>
          <w:szCs w:val="28"/>
        </w:rPr>
        <w:t>[174</w:t>
      </w:r>
      <w:r w:rsidRPr="004135FE">
        <w:rPr>
          <w:rFonts w:ascii="Times New Roman" w:eastAsia="Times New Roman" w:hAnsi="Times New Roman" w:cs="Times New Roman"/>
          <w:bCs/>
          <w:sz w:val="28"/>
          <w:szCs w:val="28"/>
        </w:rPr>
        <w:t>].</w:t>
      </w:r>
    </w:p>
    <w:p w14:paraId="0B9F31B8" w14:textId="77777777" w:rsidR="007A2C38" w:rsidRPr="004135FE" w:rsidRDefault="007A2C38" w:rsidP="00BE3EC2">
      <w:pPr>
        <w:spacing w:after="0" w:line="240" w:lineRule="auto"/>
        <w:ind w:firstLine="708"/>
        <w:jc w:val="both"/>
        <w:rPr>
          <w:rFonts w:ascii="Times New Roman" w:hAnsi="Times New Roman" w:cs="Times New Roman"/>
          <w:b/>
          <w:sz w:val="28"/>
          <w:szCs w:val="28"/>
        </w:rPr>
      </w:pPr>
      <w:r w:rsidRPr="004135FE">
        <w:rPr>
          <w:rFonts w:ascii="Times New Roman" w:hAnsi="Times New Roman" w:cs="Times New Roman"/>
          <w:sz w:val="28"/>
          <w:szCs w:val="28"/>
        </w:rPr>
        <w:t>Как известно, образование человека в большинстве совпадает медицинской грамотностью, что влияет на образ жизни и приверженность к медицинским рекомендациям. Социологическое исследование показало</w:t>
      </w:r>
      <w:r w:rsidRPr="004135FE">
        <w:rPr>
          <w:rFonts w:ascii="Times New Roman" w:eastAsia="Times New Roman" w:hAnsi="Times New Roman" w:cs="Times New Roman"/>
          <w:sz w:val="28"/>
          <w:szCs w:val="28"/>
        </w:rPr>
        <w:t xml:space="preserve">, что овощи входят в ежедневный рацион </w:t>
      </w:r>
      <w:r w:rsidRPr="004135FE">
        <w:rPr>
          <w:rFonts w:ascii="Times New Roman" w:eastAsia="Times New Roman" w:hAnsi="Times New Roman" w:cs="Times New Roman"/>
          <w:color w:val="000000"/>
          <w:sz w:val="28"/>
          <w:szCs w:val="28"/>
        </w:rPr>
        <w:t>69,57</w:t>
      </w:r>
      <w:r w:rsidRPr="004135FE">
        <w:rPr>
          <w:rFonts w:ascii="Times New Roman" w:eastAsia="Times New Roman" w:hAnsi="Times New Roman" w:cs="Times New Roman"/>
          <w:sz w:val="28"/>
          <w:szCs w:val="28"/>
        </w:rPr>
        <w:t>% пациентов с высшим образованием</w:t>
      </w:r>
      <w:r w:rsidRPr="004135FE">
        <w:rPr>
          <w:rFonts w:ascii="Times New Roman" w:hAnsi="Times New Roman" w:cs="Times New Roman"/>
          <w:sz w:val="28"/>
          <w:szCs w:val="28"/>
        </w:rPr>
        <w:t xml:space="preserve"> и </w:t>
      </w:r>
      <w:r w:rsidRPr="004135FE">
        <w:rPr>
          <w:rFonts w:ascii="Times New Roman" w:eastAsia="Times New Roman" w:hAnsi="Times New Roman" w:cs="Times New Roman"/>
          <w:color w:val="000000"/>
          <w:sz w:val="28"/>
          <w:szCs w:val="28"/>
        </w:rPr>
        <w:t>57,99</w:t>
      </w:r>
      <w:r w:rsidRPr="004135FE">
        <w:rPr>
          <w:rFonts w:ascii="Times New Roman" w:eastAsia="Times New Roman" w:hAnsi="Times New Roman" w:cs="Times New Roman"/>
          <w:sz w:val="28"/>
          <w:szCs w:val="28"/>
        </w:rPr>
        <w:t>% с другим (</w:t>
      </w:r>
      <w:r w:rsidRPr="004135FE">
        <w:rPr>
          <w:rFonts w:ascii="Times New Roman" w:hAnsi="Times New Roman" w:cs="Times New Roman"/>
          <w:sz w:val="28"/>
          <w:szCs w:val="28"/>
          <w:lang w:val="en-US"/>
        </w:rPr>
        <w:t>p</w:t>
      </w:r>
      <w:r w:rsidRPr="004135FE">
        <w:rPr>
          <w:rFonts w:ascii="Times New Roman" w:hAnsi="Times New Roman" w:cs="Times New Roman"/>
          <w:sz w:val="28"/>
          <w:szCs w:val="28"/>
        </w:rPr>
        <w:t>=0,01)</w:t>
      </w:r>
      <w:r w:rsidRPr="004135FE">
        <w:rPr>
          <w:rFonts w:ascii="Times New Roman" w:eastAsia="Times New Roman" w:hAnsi="Times New Roman" w:cs="Times New Roman"/>
          <w:sz w:val="28"/>
          <w:szCs w:val="28"/>
        </w:rPr>
        <w:t xml:space="preserve">. Не каждый день потребляют в пищу овощи </w:t>
      </w:r>
      <w:r w:rsidRPr="004135FE">
        <w:rPr>
          <w:rFonts w:ascii="Times New Roman" w:eastAsia="Times New Roman" w:hAnsi="Times New Roman" w:cs="Times New Roman"/>
          <w:color w:val="000000"/>
          <w:sz w:val="28"/>
          <w:szCs w:val="28"/>
        </w:rPr>
        <w:t>42,01</w:t>
      </w:r>
      <w:r w:rsidRPr="004135FE">
        <w:rPr>
          <w:rFonts w:ascii="Times New Roman" w:eastAsia="Times New Roman" w:hAnsi="Times New Roman" w:cs="Times New Roman"/>
          <w:sz w:val="28"/>
          <w:szCs w:val="28"/>
        </w:rPr>
        <w:t xml:space="preserve">% пациентов с другим и </w:t>
      </w:r>
      <w:r w:rsidRPr="004135FE">
        <w:rPr>
          <w:rFonts w:ascii="Times New Roman" w:eastAsia="Times New Roman" w:hAnsi="Times New Roman" w:cs="Times New Roman"/>
          <w:color w:val="000000"/>
          <w:sz w:val="28"/>
          <w:szCs w:val="28"/>
        </w:rPr>
        <w:t>30,43</w:t>
      </w:r>
      <w:r w:rsidRPr="004135FE">
        <w:rPr>
          <w:rFonts w:ascii="Times New Roman" w:eastAsia="Times New Roman" w:hAnsi="Times New Roman" w:cs="Times New Roman"/>
          <w:sz w:val="28"/>
          <w:szCs w:val="28"/>
        </w:rPr>
        <w:t>% высшим образованиями.</w:t>
      </w:r>
    </w:p>
    <w:p w14:paraId="7543163D" w14:textId="77777777" w:rsidR="007A2C38" w:rsidRPr="004135FE" w:rsidRDefault="007A2C38" w:rsidP="00BE3EC2">
      <w:pPr>
        <w:spacing w:after="0" w:line="240" w:lineRule="auto"/>
        <w:ind w:firstLine="708"/>
        <w:jc w:val="both"/>
        <w:rPr>
          <w:rFonts w:ascii="Times New Roman" w:hAnsi="Times New Roman" w:cs="Times New Roman"/>
          <w:b/>
          <w:sz w:val="28"/>
          <w:szCs w:val="28"/>
        </w:rPr>
      </w:pPr>
      <w:r w:rsidRPr="004135FE">
        <w:rPr>
          <w:rFonts w:ascii="Times New Roman" w:hAnsi="Times New Roman" w:cs="Times New Roman"/>
          <w:sz w:val="28"/>
          <w:szCs w:val="28"/>
        </w:rPr>
        <w:t xml:space="preserve">Не каждый день могут себе позволить потреблять в пищу фрукты и ягоды </w:t>
      </w:r>
      <w:r w:rsidRPr="004135FE">
        <w:rPr>
          <w:rFonts w:ascii="Times New Roman" w:eastAsia="Times New Roman" w:hAnsi="Times New Roman" w:cs="Times New Roman"/>
          <w:sz w:val="28"/>
          <w:szCs w:val="28"/>
        </w:rPr>
        <w:t>49,22% больных с другим и 41,61% высшим образованием</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p</w:t>
      </w:r>
      <w:r w:rsidRPr="004135FE">
        <w:rPr>
          <w:rFonts w:ascii="Times New Roman" w:hAnsi="Times New Roman" w:cs="Times New Roman"/>
          <w:sz w:val="28"/>
          <w:szCs w:val="28"/>
        </w:rPr>
        <w:t>=0,01)</w:t>
      </w:r>
      <w:r w:rsidRPr="004135FE">
        <w:rPr>
          <w:rFonts w:ascii="Times New Roman" w:eastAsia="Times New Roman" w:hAnsi="Times New Roman" w:cs="Times New Roman"/>
          <w:sz w:val="28"/>
          <w:szCs w:val="28"/>
        </w:rPr>
        <w:t xml:space="preserve">. </w:t>
      </w:r>
      <w:r w:rsidRPr="004135FE">
        <w:rPr>
          <w:rFonts w:ascii="Times New Roman" w:hAnsi="Times New Roman" w:cs="Times New Roman"/>
          <w:sz w:val="28"/>
          <w:szCs w:val="28"/>
        </w:rPr>
        <w:t>Фрукты и ягоды</w:t>
      </w:r>
      <w:r w:rsidRPr="004135FE">
        <w:rPr>
          <w:rFonts w:ascii="Times New Roman" w:eastAsia="Times New Roman" w:hAnsi="Times New Roman" w:cs="Times New Roman"/>
          <w:sz w:val="28"/>
          <w:szCs w:val="28"/>
        </w:rPr>
        <w:t xml:space="preserve"> входят в ежедневный рацион у 41,61% высшим и 36,68% пациентов с другими образованиями. Фрукты и ягоды выпадают из рациона питания у 16,77% пациентов высшим и 14,11% с другими образованиями.</w:t>
      </w:r>
    </w:p>
    <w:p w14:paraId="29B91D6B"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Не зависимо от образования каждый день могут себе позволить в рационе питания овощи </w:t>
      </w:r>
      <w:r w:rsidRPr="004135FE">
        <w:rPr>
          <w:rFonts w:ascii="Times New Roman" w:eastAsia="Times New Roman" w:hAnsi="Times New Roman" w:cs="Times New Roman"/>
          <w:color w:val="000000"/>
          <w:sz w:val="28"/>
          <w:szCs w:val="28"/>
        </w:rPr>
        <w:t>61,88% опрошенных, а 38,13% не могут. Фрукты и ягоды могут позволить себе ежедневно 38,33%, не каждый день 46,67%, нет в рационе у 15,00% опрошенных.</w:t>
      </w:r>
    </w:p>
    <w:p w14:paraId="3DAA6411" w14:textId="77777777" w:rsidR="007A2C38" w:rsidRPr="004135FE" w:rsidRDefault="007A2C38" w:rsidP="004135FE">
      <w:pPr>
        <w:spacing w:after="0" w:line="240" w:lineRule="auto"/>
        <w:ind w:firstLine="708"/>
        <w:jc w:val="both"/>
        <w:rPr>
          <w:rFonts w:ascii="Times New Roman" w:hAnsi="Times New Roman" w:cs="Times New Roman"/>
          <w:sz w:val="28"/>
          <w:szCs w:val="28"/>
        </w:rPr>
      </w:pPr>
    </w:p>
    <w:p w14:paraId="4CCDC3FB" w14:textId="149415EF" w:rsidR="007A2C38" w:rsidRDefault="00B728EF" w:rsidP="00BE3EC2">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Таблица 29</w:t>
      </w:r>
      <w:r w:rsidR="007A2C38" w:rsidRPr="004135FE">
        <w:rPr>
          <w:rFonts w:ascii="Times New Roman" w:hAnsi="Times New Roman" w:cs="Times New Roman"/>
          <w:sz w:val="28"/>
          <w:szCs w:val="28"/>
        </w:rPr>
        <w:t>- Влияние образования на частоту потребления овощей и фруктов</w:t>
      </w:r>
    </w:p>
    <w:p w14:paraId="101A308B" w14:textId="77777777" w:rsidR="00BE3EC2" w:rsidRPr="004135FE" w:rsidRDefault="00BE3EC2" w:rsidP="00BE3EC2">
      <w:pPr>
        <w:spacing w:after="0" w:line="240" w:lineRule="auto"/>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2309"/>
        <w:gridCol w:w="2345"/>
        <w:gridCol w:w="2345"/>
        <w:gridCol w:w="2345"/>
      </w:tblGrid>
      <w:tr w:rsidR="007A2C38" w:rsidRPr="004135FE" w14:paraId="1C44DD44" w14:textId="77777777" w:rsidTr="00ED6240">
        <w:tc>
          <w:tcPr>
            <w:tcW w:w="2309" w:type="dxa"/>
          </w:tcPr>
          <w:p w14:paraId="0CE44BEE" w14:textId="77777777" w:rsidR="007A2C38" w:rsidRPr="004135FE" w:rsidRDefault="007A2C38" w:rsidP="00EA5243">
            <w:pPr>
              <w:tabs>
                <w:tab w:val="left" w:pos="1014"/>
              </w:tabs>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Варианты ответов</w:t>
            </w:r>
          </w:p>
        </w:tc>
        <w:tc>
          <w:tcPr>
            <w:tcW w:w="2345" w:type="dxa"/>
          </w:tcPr>
          <w:p w14:paraId="2D419179" w14:textId="1E3AECE4" w:rsidR="007A2C38" w:rsidRPr="004135FE" w:rsidRDefault="007A2C38" w:rsidP="00EA524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высшее</w:t>
            </w:r>
          </w:p>
        </w:tc>
        <w:tc>
          <w:tcPr>
            <w:tcW w:w="2345" w:type="dxa"/>
          </w:tcPr>
          <w:p w14:paraId="4776A8A5" w14:textId="77777777" w:rsidR="007A2C38" w:rsidRPr="004135FE" w:rsidRDefault="007A2C38" w:rsidP="00EA524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другие</w:t>
            </w:r>
          </w:p>
        </w:tc>
        <w:tc>
          <w:tcPr>
            <w:tcW w:w="2345" w:type="dxa"/>
          </w:tcPr>
          <w:p w14:paraId="2E30AC0B" w14:textId="77777777" w:rsidR="007A2C38" w:rsidRPr="004135FE" w:rsidRDefault="007A2C38" w:rsidP="00EA5243">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итого</w:t>
            </w:r>
          </w:p>
        </w:tc>
      </w:tr>
      <w:tr w:rsidR="007A2C38" w:rsidRPr="004135FE" w14:paraId="50A3A04B" w14:textId="77777777" w:rsidTr="00ED6240">
        <w:tc>
          <w:tcPr>
            <w:tcW w:w="2309" w:type="dxa"/>
          </w:tcPr>
          <w:p w14:paraId="18E9472F" w14:textId="77777777" w:rsidR="007A2C38" w:rsidRPr="00BE3EC2" w:rsidRDefault="007A2C38" w:rsidP="00ED6240">
            <w:pPr>
              <w:tabs>
                <w:tab w:val="left" w:pos="1014"/>
              </w:tabs>
              <w:spacing w:after="0" w:line="240" w:lineRule="auto"/>
              <w:jc w:val="center"/>
              <w:rPr>
                <w:rFonts w:ascii="Times New Roman" w:hAnsi="Times New Roman" w:cs="Times New Roman"/>
                <w:bCs/>
                <w:sz w:val="28"/>
                <w:szCs w:val="28"/>
              </w:rPr>
            </w:pPr>
            <w:r w:rsidRPr="00BE3EC2">
              <w:rPr>
                <w:rFonts w:ascii="Times New Roman" w:hAnsi="Times New Roman" w:cs="Times New Roman"/>
                <w:bCs/>
                <w:sz w:val="28"/>
                <w:szCs w:val="28"/>
              </w:rPr>
              <w:t>1</w:t>
            </w:r>
          </w:p>
        </w:tc>
        <w:tc>
          <w:tcPr>
            <w:tcW w:w="2345" w:type="dxa"/>
          </w:tcPr>
          <w:p w14:paraId="485C8282" w14:textId="77777777" w:rsidR="007A2C38" w:rsidRPr="00BE3EC2" w:rsidRDefault="007A2C38" w:rsidP="00ED6240">
            <w:pPr>
              <w:spacing w:after="0" w:line="240" w:lineRule="auto"/>
              <w:jc w:val="center"/>
              <w:rPr>
                <w:rFonts w:ascii="Times New Roman" w:eastAsia="Times New Roman" w:hAnsi="Times New Roman" w:cs="Times New Roman"/>
                <w:bCs/>
                <w:sz w:val="28"/>
                <w:szCs w:val="28"/>
              </w:rPr>
            </w:pPr>
            <w:r w:rsidRPr="00BE3EC2">
              <w:rPr>
                <w:rFonts w:ascii="Times New Roman" w:eastAsia="Times New Roman" w:hAnsi="Times New Roman" w:cs="Times New Roman"/>
                <w:bCs/>
                <w:sz w:val="28"/>
                <w:szCs w:val="28"/>
              </w:rPr>
              <w:t>2</w:t>
            </w:r>
          </w:p>
        </w:tc>
        <w:tc>
          <w:tcPr>
            <w:tcW w:w="2345" w:type="dxa"/>
          </w:tcPr>
          <w:p w14:paraId="2007840E" w14:textId="77777777" w:rsidR="007A2C38" w:rsidRPr="00BE3EC2" w:rsidRDefault="007A2C38" w:rsidP="00ED6240">
            <w:pPr>
              <w:spacing w:after="0" w:line="240" w:lineRule="auto"/>
              <w:jc w:val="center"/>
              <w:rPr>
                <w:rFonts w:ascii="Times New Roman" w:eastAsia="Times New Roman" w:hAnsi="Times New Roman" w:cs="Times New Roman"/>
                <w:bCs/>
                <w:sz w:val="28"/>
                <w:szCs w:val="28"/>
              </w:rPr>
            </w:pPr>
            <w:r w:rsidRPr="00BE3EC2">
              <w:rPr>
                <w:rFonts w:ascii="Times New Roman" w:eastAsia="Times New Roman" w:hAnsi="Times New Roman" w:cs="Times New Roman"/>
                <w:bCs/>
                <w:sz w:val="28"/>
                <w:szCs w:val="28"/>
              </w:rPr>
              <w:t>3</w:t>
            </w:r>
          </w:p>
        </w:tc>
        <w:tc>
          <w:tcPr>
            <w:tcW w:w="2345" w:type="dxa"/>
          </w:tcPr>
          <w:p w14:paraId="5B61C3DB" w14:textId="77777777" w:rsidR="007A2C38" w:rsidRPr="004135FE" w:rsidRDefault="007A2C38" w:rsidP="00ED624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r>
      <w:tr w:rsidR="007A2C38" w:rsidRPr="004135FE" w14:paraId="05544757" w14:textId="77777777" w:rsidTr="00ED6240">
        <w:tc>
          <w:tcPr>
            <w:tcW w:w="9344" w:type="dxa"/>
            <w:gridSpan w:val="4"/>
          </w:tcPr>
          <w:p w14:paraId="30494120" w14:textId="77777777" w:rsidR="007A2C38" w:rsidRPr="00BE3EC2" w:rsidRDefault="007A2C38" w:rsidP="00ED6240">
            <w:pPr>
              <w:tabs>
                <w:tab w:val="left" w:pos="1014"/>
              </w:tabs>
              <w:spacing w:after="0" w:line="240" w:lineRule="auto"/>
              <w:jc w:val="center"/>
              <w:rPr>
                <w:rFonts w:ascii="Times New Roman" w:hAnsi="Times New Roman" w:cs="Times New Roman"/>
                <w:bCs/>
                <w:sz w:val="28"/>
                <w:szCs w:val="28"/>
              </w:rPr>
            </w:pPr>
            <w:r w:rsidRPr="00BE3EC2">
              <w:rPr>
                <w:rFonts w:ascii="Times New Roman" w:eastAsia="Times New Roman" w:hAnsi="Times New Roman" w:cs="Times New Roman"/>
                <w:bCs/>
                <w:sz w:val="28"/>
                <w:szCs w:val="28"/>
              </w:rPr>
              <w:t>Частота потребления в пищу овощей</w:t>
            </w:r>
          </w:p>
        </w:tc>
      </w:tr>
      <w:tr w:rsidR="007A2C38" w:rsidRPr="004135FE" w14:paraId="7305DE17" w14:textId="77777777" w:rsidTr="00ED6240">
        <w:tc>
          <w:tcPr>
            <w:tcW w:w="2309" w:type="dxa"/>
          </w:tcPr>
          <w:p w14:paraId="0D417880" w14:textId="77777777" w:rsidR="007A2C38" w:rsidRPr="00BE3EC2" w:rsidRDefault="007A2C38" w:rsidP="00ED6240">
            <w:pPr>
              <w:spacing w:after="0" w:line="240" w:lineRule="auto"/>
              <w:jc w:val="center"/>
              <w:rPr>
                <w:rFonts w:ascii="Times New Roman" w:eastAsia="Times New Roman" w:hAnsi="Times New Roman" w:cs="Times New Roman"/>
                <w:bCs/>
                <w:sz w:val="28"/>
                <w:szCs w:val="28"/>
              </w:rPr>
            </w:pPr>
            <w:r w:rsidRPr="00BE3EC2">
              <w:rPr>
                <w:rFonts w:ascii="Times New Roman" w:eastAsia="Times New Roman" w:hAnsi="Times New Roman" w:cs="Times New Roman"/>
                <w:bCs/>
                <w:sz w:val="28"/>
                <w:szCs w:val="28"/>
              </w:rPr>
              <w:t>Каждый день</w:t>
            </w:r>
          </w:p>
        </w:tc>
        <w:tc>
          <w:tcPr>
            <w:tcW w:w="2345" w:type="dxa"/>
            <w:vAlign w:val="center"/>
          </w:tcPr>
          <w:p w14:paraId="23B87A34" w14:textId="77777777" w:rsidR="007A2C38" w:rsidRPr="00BE3EC2" w:rsidRDefault="007A2C38" w:rsidP="00ED6240">
            <w:pPr>
              <w:spacing w:after="0" w:line="240" w:lineRule="auto"/>
              <w:jc w:val="center"/>
              <w:rPr>
                <w:rFonts w:ascii="Times New Roman" w:eastAsia="Times New Roman" w:hAnsi="Times New Roman" w:cs="Times New Roman"/>
                <w:bCs/>
                <w:sz w:val="28"/>
                <w:szCs w:val="28"/>
              </w:rPr>
            </w:pPr>
            <w:r w:rsidRPr="00BE3EC2">
              <w:rPr>
                <w:rFonts w:ascii="Times New Roman" w:eastAsia="Times New Roman" w:hAnsi="Times New Roman" w:cs="Times New Roman"/>
                <w:bCs/>
                <w:color w:val="000000"/>
                <w:sz w:val="28"/>
                <w:szCs w:val="28"/>
              </w:rPr>
              <w:t>112(69,57%)</w:t>
            </w:r>
          </w:p>
        </w:tc>
        <w:tc>
          <w:tcPr>
            <w:tcW w:w="2345" w:type="dxa"/>
            <w:vAlign w:val="center"/>
          </w:tcPr>
          <w:p w14:paraId="7734DD1A" w14:textId="77777777" w:rsidR="007A2C38" w:rsidRPr="00BE3EC2" w:rsidRDefault="007A2C38" w:rsidP="00ED6240">
            <w:pPr>
              <w:spacing w:after="0" w:line="240" w:lineRule="auto"/>
              <w:jc w:val="center"/>
              <w:rPr>
                <w:rFonts w:ascii="Times New Roman" w:eastAsia="Times New Roman" w:hAnsi="Times New Roman" w:cs="Times New Roman"/>
                <w:bCs/>
                <w:sz w:val="28"/>
                <w:szCs w:val="28"/>
              </w:rPr>
            </w:pPr>
            <w:r w:rsidRPr="00BE3EC2">
              <w:rPr>
                <w:rFonts w:ascii="Times New Roman" w:eastAsia="Times New Roman" w:hAnsi="Times New Roman" w:cs="Times New Roman"/>
                <w:bCs/>
                <w:color w:val="000000"/>
                <w:sz w:val="28"/>
                <w:szCs w:val="28"/>
              </w:rPr>
              <w:t>185(57,99%)</w:t>
            </w:r>
          </w:p>
        </w:tc>
        <w:tc>
          <w:tcPr>
            <w:tcW w:w="2345" w:type="dxa"/>
            <w:vAlign w:val="center"/>
          </w:tcPr>
          <w:p w14:paraId="421321D6" w14:textId="77777777" w:rsidR="007A2C38" w:rsidRPr="004135FE" w:rsidRDefault="007A2C38" w:rsidP="00ED624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297(61,88%)</w:t>
            </w:r>
          </w:p>
        </w:tc>
      </w:tr>
      <w:tr w:rsidR="007A2C38" w:rsidRPr="004135FE" w14:paraId="0993BC74" w14:textId="77777777" w:rsidTr="00ED6240">
        <w:tc>
          <w:tcPr>
            <w:tcW w:w="2309" w:type="dxa"/>
          </w:tcPr>
          <w:p w14:paraId="4325FFE8" w14:textId="77777777" w:rsidR="007A2C38" w:rsidRPr="00BE3EC2" w:rsidRDefault="007A2C38" w:rsidP="00ED6240">
            <w:pPr>
              <w:spacing w:after="0" w:line="240" w:lineRule="auto"/>
              <w:jc w:val="center"/>
              <w:rPr>
                <w:rFonts w:ascii="Times New Roman" w:eastAsia="Times New Roman" w:hAnsi="Times New Roman" w:cs="Times New Roman"/>
                <w:bCs/>
                <w:sz w:val="28"/>
                <w:szCs w:val="28"/>
              </w:rPr>
            </w:pPr>
            <w:r w:rsidRPr="00BE3EC2">
              <w:rPr>
                <w:rFonts w:ascii="Times New Roman" w:eastAsia="Times New Roman" w:hAnsi="Times New Roman" w:cs="Times New Roman"/>
                <w:bCs/>
                <w:sz w:val="28"/>
                <w:szCs w:val="28"/>
              </w:rPr>
              <w:t>Не каждый день</w:t>
            </w:r>
          </w:p>
        </w:tc>
        <w:tc>
          <w:tcPr>
            <w:tcW w:w="2345" w:type="dxa"/>
            <w:vAlign w:val="center"/>
          </w:tcPr>
          <w:p w14:paraId="23D74252" w14:textId="77777777" w:rsidR="007A2C38" w:rsidRPr="00BE3EC2" w:rsidRDefault="007A2C38" w:rsidP="00ED6240">
            <w:pPr>
              <w:spacing w:after="0" w:line="240" w:lineRule="auto"/>
              <w:jc w:val="center"/>
              <w:rPr>
                <w:rFonts w:ascii="Times New Roman" w:eastAsia="Times New Roman" w:hAnsi="Times New Roman" w:cs="Times New Roman"/>
                <w:bCs/>
                <w:sz w:val="28"/>
                <w:szCs w:val="28"/>
              </w:rPr>
            </w:pPr>
            <w:r w:rsidRPr="00BE3EC2">
              <w:rPr>
                <w:rFonts w:ascii="Times New Roman" w:eastAsia="Times New Roman" w:hAnsi="Times New Roman" w:cs="Times New Roman"/>
                <w:bCs/>
                <w:color w:val="000000"/>
                <w:sz w:val="28"/>
                <w:szCs w:val="28"/>
              </w:rPr>
              <w:t>49(30,43%)</w:t>
            </w:r>
          </w:p>
        </w:tc>
        <w:tc>
          <w:tcPr>
            <w:tcW w:w="2345" w:type="dxa"/>
            <w:vAlign w:val="center"/>
          </w:tcPr>
          <w:p w14:paraId="141811DE" w14:textId="77777777" w:rsidR="007A2C38" w:rsidRPr="00BE3EC2" w:rsidRDefault="007A2C38" w:rsidP="00ED6240">
            <w:pPr>
              <w:spacing w:after="0" w:line="240" w:lineRule="auto"/>
              <w:jc w:val="center"/>
              <w:rPr>
                <w:rFonts w:ascii="Times New Roman" w:eastAsia="Times New Roman" w:hAnsi="Times New Roman" w:cs="Times New Roman"/>
                <w:bCs/>
                <w:sz w:val="28"/>
                <w:szCs w:val="28"/>
              </w:rPr>
            </w:pPr>
            <w:r w:rsidRPr="00BE3EC2">
              <w:rPr>
                <w:rFonts w:ascii="Times New Roman" w:eastAsia="Times New Roman" w:hAnsi="Times New Roman" w:cs="Times New Roman"/>
                <w:bCs/>
                <w:color w:val="000000"/>
                <w:sz w:val="28"/>
                <w:szCs w:val="28"/>
              </w:rPr>
              <w:t>134(42,01%)</w:t>
            </w:r>
          </w:p>
        </w:tc>
        <w:tc>
          <w:tcPr>
            <w:tcW w:w="2345" w:type="dxa"/>
            <w:vAlign w:val="center"/>
          </w:tcPr>
          <w:p w14:paraId="7A722F76" w14:textId="77777777" w:rsidR="007A2C38" w:rsidRPr="004135FE" w:rsidRDefault="007A2C38" w:rsidP="00ED624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183(38,13%)</w:t>
            </w:r>
          </w:p>
        </w:tc>
      </w:tr>
      <w:tr w:rsidR="007A2C38" w:rsidRPr="004135FE" w14:paraId="01F23DB1" w14:textId="77777777" w:rsidTr="00077E0F">
        <w:tc>
          <w:tcPr>
            <w:tcW w:w="2309" w:type="dxa"/>
            <w:tcBorders>
              <w:bottom w:val="single" w:sz="4" w:space="0" w:color="auto"/>
            </w:tcBorders>
          </w:tcPr>
          <w:p w14:paraId="03B167EA" w14:textId="77777777" w:rsidR="007A2C38" w:rsidRPr="00BE3EC2" w:rsidRDefault="007A2C38" w:rsidP="00ED6240">
            <w:pPr>
              <w:spacing w:after="0" w:line="240" w:lineRule="auto"/>
              <w:jc w:val="center"/>
              <w:rPr>
                <w:rFonts w:ascii="Times New Roman" w:eastAsia="Times New Roman" w:hAnsi="Times New Roman" w:cs="Times New Roman"/>
                <w:bCs/>
                <w:sz w:val="28"/>
                <w:szCs w:val="28"/>
              </w:rPr>
            </w:pPr>
            <w:r w:rsidRPr="00BE3EC2">
              <w:rPr>
                <w:rFonts w:ascii="Times New Roman" w:eastAsia="Times New Roman" w:hAnsi="Times New Roman" w:cs="Times New Roman"/>
                <w:bCs/>
                <w:sz w:val="28"/>
                <w:szCs w:val="28"/>
                <w:lang w:val="en-US"/>
              </w:rPr>
              <w:t>p</w:t>
            </w:r>
            <w:r w:rsidRPr="00BE3EC2">
              <w:rPr>
                <w:rFonts w:ascii="Times New Roman" w:eastAsia="Times New Roman" w:hAnsi="Times New Roman" w:cs="Times New Roman"/>
                <w:bCs/>
                <w:sz w:val="28"/>
                <w:szCs w:val="28"/>
              </w:rPr>
              <w:t>-</w:t>
            </w:r>
            <w:r w:rsidRPr="00BE3EC2">
              <w:rPr>
                <w:rFonts w:ascii="Times New Roman" w:eastAsia="Times New Roman" w:hAnsi="Times New Roman" w:cs="Times New Roman"/>
                <w:bCs/>
                <w:sz w:val="28"/>
                <w:szCs w:val="28"/>
                <w:lang w:val="en-US"/>
              </w:rPr>
              <w:t>value</w:t>
            </w:r>
          </w:p>
        </w:tc>
        <w:tc>
          <w:tcPr>
            <w:tcW w:w="2345" w:type="dxa"/>
            <w:tcBorders>
              <w:bottom w:val="single" w:sz="4" w:space="0" w:color="auto"/>
            </w:tcBorders>
          </w:tcPr>
          <w:p w14:paraId="47EC3135" w14:textId="77777777" w:rsidR="007A2C38" w:rsidRPr="00BE3EC2" w:rsidRDefault="007A2C38" w:rsidP="00ED6240">
            <w:pPr>
              <w:tabs>
                <w:tab w:val="left" w:pos="1014"/>
              </w:tabs>
              <w:spacing w:after="0" w:line="240" w:lineRule="auto"/>
              <w:jc w:val="center"/>
              <w:rPr>
                <w:rFonts w:ascii="Times New Roman" w:hAnsi="Times New Roman" w:cs="Times New Roman"/>
                <w:bCs/>
                <w:sz w:val="28"/>
                <w:szCs w:val="28"/>
              </w:rPr>
            </w:pPr>
            <w:r w:rsidRPr="00BE3EC2">
              <w:rPr>
                <w:rFonts w:ascii="Times New Roman" w:hAnsi="Times New Roman" w:cs="Times New Roman"/>
                <w:bCs/>
                <w:sz w:val="28"/>
                <w:szCs w:val="28"/>
              </w:rPr>
              <w:t>0,01</w:t>
            </w:r>
          </w:p>
        </w:tc>
        <w:tc>
          <w:tcPr>
            <w:tcW w:w="2345" w:type="dxa"/>
            <w:tcBorders>
              <w:bottom w:val="single" w:sz="4" w:space="0" w:color="auto"/>
            </w:tcBorders>
          </w:tcPr>
          <w:p w14:paraId="4B2896BE" w14:textId="57C4F93F" w:rsidR="007A2C38" w:rsidRPr="00BE3EC2" w:rsidRDefault="00BE3EC2" w:rsidP="00ED6240">
            <w:pPr>
              <w:tabs>
                <w:tab w:val="left" w:pos="1014"/>
              </w:tabs>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w:t>
            </w:r>
          </w:p>
        </w:tc>
        <w:tc>
          <w:tcPr>
            <w:tcW w:w="2345" w:type="dxa"/>
            <w:tcBorders>
              <w:bottom w:val="single" w:sz="4" w:space="0" w:color="auto"/>
            </w:tcBorders>
          </w:tcPr>
          <w:p w14:paraId="6F2BE4B7" w14:textId="3A9ABAEE" w:rsidR="007A2C38" w:rsidRPr="00BE3EC2" w:rsidRDefault="00BE3EC2" w:rsidP="00ED6240">
            <w:pPr>
              <w:tabs>
                <w:tab w:val="left" w:pos="1014"/>
              </w:tabs>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w:t>
            </w:r>
          </w:p>
        </w:tc>
      </w:tr>
      <w:tr w:rsidR="007A2C38" w:rsidRPr="004135FE" w14:paraId="295DDD86" w14:textId="77777777" w:rsidTr="00077E0F">
        <w:tc>
          <w:tcPr>
            <w:tcW w:w="9344" w:type="dxa"/>
            <w:gridSpan w:val="4"/>
            <w:tcBorders>
              <w:bottom w:val="nil"/>
            </w:tcBorders>
          </w:tcPr>
          <w:p w14:paraId="4535507E" w14:textId="77777777" w:rsidR="007A2C38" w:rsidRPr="00BE3EC2" w:rsidRDefault="007A2C38" w:rsidP="00ED6240">
            <w:pPr>
              <w:tabs>
                <w:tab w:val="left" w:pos="1014"/>
              </w:tabs>
              <w:spacing w:after="0" w:line="240" w:lineRule="auto"/>
              <w:jc w:val="center"/>
              <w:rPr>
                <w:rFonts w:ascii="Times New Roman" w:hAnsi="Times New Roman" w:cs="Times New Roman"/>
                <w:bCs/>
                <w:sz w:val="28"/>
                <w:szCs w:val="28"/>
              </w:rPr>
            </w:pPr>
            <w:r w:rsidRPr="00BE3EC2">
              <w:rPr>
                <w:rFonts w:ascii="Times New Roman" w:eastAsia="Times New Roman" w:hAnsi="Times New Roman" w:cs="Times New Roman"/>
                <w:bCs/>
                <w:sz w:val="28"/>
                <w:szCs w:val="28"/>
              </w:rPr>
              <w:t>Частота потребления в пищу фруктов и ягод</w:t>
            </w:r>
          </w:p>
        </w:tc>
      </w:tr>
    </w:tbl>
    <w:p w14:paraId="78AAEDDD" w14:textId="01F4B93B" w:rsidR="00ED6240" w:rsidRPr="00ED6240" w:rsidRDefault="00ED6240" w:rsidP="00ED6240">
      <w:pPr>
        <w:rPr>
          <w:rFonts w:ascii="Times New Roman" w:hAnsi="Times New Roman" w:cs="Times New Roman"/>
          <w:sz w:val="28"/>
          <w:szCs w:val="28"/>
        </w:rPr>
      </w:pPr>
      <w:r w:rsidRPr="00ED6240">
        <w:rPr>
          <w:rFonts w:ascii="Times New Roman" w:hAnsi="Times New Roman" w:cs="Times New Roman"/>
          <w:sz w:val="28"/>
          <w:szCs w:val="28"/>
        </w:rPr>
        <w:lastRenderedPageBreak/>
        <w:t>Продолжение таблицы 29</w:t>
      </w:r>
    </w:p>
    <w:tbl>
      <w:tblPr>
        <w:tblStyle w:val="a5"/>
        <w:tblW w:w="0" w:type="auto"/>
        <w:tblLook w:val="04A0" w:firstRow="1" w:lastRow="0" w:firstColumn="1" w:lastColumn="0" w:noHBand="0" w:noVBand="1"/>
      </w:tblPr>
      <w:tblGrid>
        <w:gridCol w:w="2309"/>
        <w:gridCol w:w="2345"/>
        <w:gridCol w:w="2345"/>
        <w:gridCol w:w="2345"/>
      </w:tblGrid>
      <w:tr w:rsidR="00ED6240" w:rsidRPr="004135FE" w14:paraId="237C0EE5" w14:textId="77777777" w:rsidTr="00ED6240">
        <w:tc>
          <w:tcPr>
            <w:tcW w:w="2309" w:type="dxa"/>
          </w:tcPr>
          <w:p w14:paraId="07D0CB13" w14:textId="695420E2" w:rsidR="00ED6240" w:rsidRPr="00ED6240" w:rsidRDefault="00ED6240" w:rsidP="00ED6240">
            <w:pPr>
              <w:spacing w:after="0" w:line="240" w:lineRule="auto"/>
              <w:jc w:val="center"/>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1</w:t>
            </w:r>
          </w:p>
        </w:tc>
        <w:tc>
          <w:tcPr>
            <w:tcW w:w="2345" w:type="dxa"/>
            <w:vAlign w:val="center"/>
          </w:tcPr>
          <w:p w14:paraId="700B3A97" w14:textId="5B7E790F" w:rsidR="00ED6240" w:rsidRPr="00ED6240" w:rsidRDefault="00ED6240" w:rsidP="00ED6240">
            <w:pPr>
              <w:spacing w:after="0" w:line="240" w:lineRule="auto"/>
              <w:jc w:val="center"/>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2</w:t>
            </w:r>
          </w:p>
        </w:tc>
        <w:tc>
          <w:tcPr>
            <w:tcW w:w="2345" w:type="dxa"/>
            <w:vAlign w:val="center"/>
          </w:tcPr>
          <w:p w14:paraId="79D3B6E0" w14:textId="1DF71110" w:rsidR="00ED6240" w:rsidRPr="00ED6240" w:rsidRDefault="00ED6240" w:rsidP="00ED6240">
            <w:pPr>
              <w:spacing w:after="0" w:line="240" w:lineRule="auto"/>
              <w:jc w:val="center"/>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lang w:val="kk-KZ"/>
              </w:rPr>
              <w:t>3</w:t>
            </w:r>
          </w:p>
        </w:tc>
        <w:tc>
          <w:tcPr>
            <w:tcW w:w="2345" w:type="dxa"/>
            <w:vAlign w:val="center"/>
          </w:tcPr>
          <w:p w14:paraId="4A1BB1AD" w14:textId="2A5659C5" w:rsidR="00ED6240" w:rsidRPr="00ED6240" w:rsidRDefault="00ED6240" w:rsidP="00ED6240">
            <w:pP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4</w:t>
            </w:r>
          </w:p>
        </w:tc>
      </w:tr>
      <w:tr w:rsidR="007A2C38" w:rsidRPr="004135FE" w14:paraId="56C99546" w14:textId="77777777" w:rsidTr="00ED6240">
        <w:tc>
          <w:tcPr>
            <w:tcW w:w="2309" w:type="dxa"/>
          </w:tcPr>
          <w:p w14:paraId="11082FCE" w14:textId="77777777" w:rsidR="007A2C38" w:rsidRPr="00BE3EC2" w:rsidRDefault="007A2C38" w:rsidP="00ED6240">
            <w:pPr>
              <w:spacing w:after="0" w:line="240" w:lineRule="auto"/>
              <w:jc w:val="center"/>
              <w:rPr>
                <w:rFonts w:ascii="Times New Roman" w:eastAsia="Times New Roman" w:hAnsi="Times New Roman" w:cs="Times New Roman"/>
                <w:bCs/>
                <w:sz w:val="28"/>
                <w:szCs w:val="28"/>
              </w:rPr>
            </w:pPr>
            <w:r w:rsidRPr="00BE3EC2">
              <w:rPr>
                <w:rFonts w:ascii="Times New Roman" w:eastAsia="Times New Roman" w:hAnsi="Times New Roman" w:cs="Times New Roman"/>
                <w:bCs/>
                <w:sz w:val="28"/>
                <w:szCs w:val="28"/>
              </w:rPr>
              <w:t>Каждый день</w:t>
            </w:r>
          </w:p>
        </w:tc>
        <w:tc>
          <w:tcPr>
            <w:tcW w:w="2345" w:type="dxa"/>
            <w:vAlign w:val="center"/>
          </w:tcPr>
          <w:p w14:paraId="021EA850" w14:textId="77777777" w:rsidR="007A2C38" w:rsidRPr="00BE3EC2" w:rsidRDefault="007A2C38" w:rsidP="00ED6240">
            <w:pPr>
              <w:spacing w:after="0" w:line="240" w:lineRule="auto"/>
              <w:jc w:val="center"/>
              <w:rPr>
                <w:rFonts w:ascii="Times New Roman" w:eastAsia="Times New Roman" w:hAnsi="Times New Roman" w:cs="Times New Roman"/>
                <w:bCs/>
                <w:sz w:val="28"/>
                <w:szCs w:val="28"/>
              </w:rPr>
            </w:pPr>
            <w:r w:rsidRPr="00BE3EC2">
              <w:rPr>
                <w:rFonts w:ascii="Times New Roman" w:eastAsia="Times New Roman" w:hAnsi="Times New Roman" w:cs="Times New Roman"/>
                <w:bCs/>
                <w:color w:val="000000"/>
                <w:sz w:val="28"/>
                <w:szCs w:val="28"/>
              </w:rPr>
              <w:t>67(41,61%)</w:t>
            </w:r>
          </w:p>
        </w:tc>
        <w:tc>
          <w:tcPr>
            <w:tcW w:w="2345" w:type="dxa"/>
            <w:vAlign w:val="center"/>
          </w:tcPr>
          <w:p w14:paraId="6D2BBA8F" w14:textId="77777777" w:rsidR="007A2C38" w:rsidRPr="00BE3EC2" w:rsidRDefault="007A2C38" w:rsidP="00ED6240">
            <w:pPr>
              <w:spacing w:after="0" w:line="240" w:lineRule="auto"/>
              <w:jc w:val="center"/>
              <w:rPr>
                <w:rFonts w:ascii="Times New Roman" w:eastAsia="Times New Roman" w:hAnsi="Times New Roman" w:cs="Times New Roman"/>
                <w:bCs/>
                <w:sz w:val="28"/>
                <w:szCs w:val="28"/>
              </w:rPr>
            </w:pPr>
            <w:r w:rsidRPr="00BE3EC2">
              <w:rPr>
                <w:rFonts w:ascii="Times New Roman" w:eastAsia="Times New Roman" w:hAnsi="Times New Roman" w:cs="Times New Roman"/>
                <w:bCs/>
                <w:color w:val="000000"/>
                <w:sz w:val="28"/>
                <w:szCs w:val="28"/>
              </w:rPr>
              <w:t>117(36,68%)</w:t>
            </w:r>
          </w:p>
        </w:tc>
        <w:tc>
          <w:tcPr>
            <w:tcW w:w="2345" w:type="dxa"/>
            <w:vAlign w:val="center"/>
          </w:tcPr>
          <w:p w14:paraId="41A0F451" w14:textId="77777777" w:rsidR="007A2C38" w:rsidRPr="004135FE" w:rsidRDefault="007A2C38" w:rsidP="00ED624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184(38,33%)</w:t>
            </w:r>
          </w:p>
        </w:tc>
      </w:tr>
      <w:tr w:rsidR="007A2C38" w:rsidRPr="004135FE" w14:paraId="68C25FED" w14:textId="77777777" w:rsidTr="00ED6240">
        <w:tc>
          <w:tcPr>
            <w:tcW w:w="2309" w:type="dxa"/>
          </w:tcPr>
          <w:p w14:paraId="0E709412" w14:textId="77777777" w:rsidR="007A2C38" w:rsidRPr="004135FE" w:rsidRDefault="007A2C38" w:rsidP="00ED624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Не каждый день</w:t>
            </w:r>
          </w:p>
        </w:tc>
        <w:tc>
          <w:tcPr>
            <w:tcW w:w="2345" w:type="dxa"/>
            <w:vAlign w:val="center"/>
          </w:tcPr>
          <w:p w14:paraId="0FED30C3" w14:textId="77777777" w:rsidR="007A2C38" w:rsidRPr="004135FE" w:rsidRDefault="007A2C38" w:rsidP="00ED624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67(41,61%)</w:t>
            </w:r>
          </w:p>
        </w:tc>
        <w:tc>
          <w:tcPr>
            <w:tcW w:w="2345" w:type="dxa"/>
            <w:vAlign w:val="center"/>
          </w:tcPr>
          <w:p w14:paraId="1974617D" w14:textId="77777777" w:rsidR="007A2C38" w:rsidRPr="004135FE" w:rsidRDefault="007A2C38" w:rsidP="00ED624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157(49,22%)</w:t>
            </w:r>
          </w:p>
        </w:tc>
        <w:tc>
          <w:tcPr>
            <w:tcW w:w="2345" w:type="dxa"/>
            <w:vAlign w:val="center"/>
          </w:tcPr>
          <w:p w14:paraId="20CCB82D" w14:textId="77777777" w:rsidR="007A2C38" w:rsidRPr="004135FE" w:rsidRDefault="007A2C38" w:rsidP="00ED624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224(46,67%)</w:t>
            </w:r>
          </w:p>
        </w:tc>
      </w:tr>
      <w:tr w:rsidR="007A2C38" w:rsidRPr="004135FE" w14:paraId="35B25ABF" w14:textId="77777777" w:rsidTr="00ED6240">
        <w:tc>
          <w:tcPr>
            <w:tcW w:w="2309" w:type="dxa"/>
          </w:tcPr>
          <w:p w14:paraId="03E6EF2D" w14:textId="77777777" w:rsidR="007A2C38" w:rsidRPr="004135FE" w:rsidRDefault="007A2C38" w:rsidP="00ED624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Не употребляю в пищу</w:t>
            </w:r>
          </w:p>
        </w:tc>
        <w:tc>
          <w:tcPr>
            <w:tcW w:w="2345" w:type="dxa"/>
            <w:vAlign w:val="center"/>
          </w:tcPr>
          <w:p w14:paraId="4D725049" w14:textId="77777777" w:rsidR="007A2C38" w:rsidRPr="004135FE" w:rsidRDefault="007A2C38" w:rsidP="00ED624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27(16,77%)</w:t>
            </w:r>
          </w:p>
        </w:tc>
        <w:tc>
          <w:tcPr>
            <w:tcW w:w="2345" w:type="dxa"/>
            <w:vAlign w:val="center"/>
          </w:tcPr>
          <w:p w14:paraId="357EF08A" w14:textId="77777777" w:rsidR="007A2C38" w:rsidRPr="004135FE" w:rsidRDefault="007A2C38" w:rsidP="00ED624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45(14,11%)</w:t>
            </w:r>
          </w:p>
        </w:tc>
        <w:tc>
          <w:tcPr>
            <w:tcW w:w="2345" w:type="dxa"/>
            <w:vAlign w:val="center"/>
          </w:tcPr>
          <w:p w14:paraId="61DEA6D0" w14:textId="77777777" w:rsidR="007A2C38" w:rsidRPr="004135FE" w:rsidRDefault="007A2C38" w:rsidP="00ED624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72(15,00%)</w:t>
            </w:r>
          </w:p>
        </w:tc>
      </w:tr>
      <w:tr w:rsidR="007A2C38" w:rsidRPr="004135FE" w14:paraId="16DA6C32" w14:textId="77777777" w:rsidTr="00ED6240">
        <w:tc>
          <w:tcPr>
            <w:tcW w:w="2309" w:type="dxa"/>
          </w:tcPr>
          <w:p w14:paraId="16501B6B" w14:textId="77777777" w:rsidR="007A2C38" w:rsidRPr="004135FE" w:rsidRDefault="007A2C38" w:rsidP="00ED624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lang w:val="kk-KZ"/>
              </w:rPr>
              <w:t>ИТОГО</w:t>
            </w:r>
          </w:p>
        </w:tc>
        <w:tc>
          <w:tcPr>
            <w:tcW w:w="2345" w:type="dxa"/>
            <w:vAlign w:val="bottom"/>
          </w:tcPr>
          <w:p w14:paraId="1A389D08" w14:textId="77777777" w:rsidR="007A2C38" w:rsidRPr="004135FE" w:rsidRDefault="007A2C38" w:rsidP="00ED6240">
            <w:pPr>
              <w:spacing w:after="0" w:line="240" w:lineRule="auto"/>
              <w:jc w:val="center"/>
              <w:rPr>
                <w:rFonts w:ascii="Times New Roman" w:eastAsia="Times New Roman" w:hAnsi="Times New Roman" w:cs="Times New Roman"/>
                <w:color w:val="000000"/>
                <w:sz w:val="28"/>
                <w:szCs w:val="28"/>
              </w:rPr>
            </w:pPr>
            <w:r w:rsidRPr="004135FE">
              <w:rPr>
                <w:rFonts w:ascii="Times New Roman" w:eastAsia="Times New Roman" w:hAnsi="Times New Roman" w:cs="Times New Roman"/>
                <w:color w:val="000000"/>
                <w:sz w:val="28"/>
                <w:szCs w:val="28"/>
              </w:rPr>
              <w:t>161(100,00%)</w:t>
            </w:r>
          </w:p>
        </w:tc>
        <w:tc>
          <w:tcPr>
            <w:tcW w:w="2345" w:type="dxa"/>
            <w:vAlign w:val="bottom"/>
          </w:tcPr>
          <w:p w14:paraId="08ED087D" w14:textId="77777777" w:rsidR="007A2C38" w:rsidRPr="004135FE" w:rsidRDefault="007A2C38" w:rsidP="00ED6240">
            <w:pPr>
              <w:spacing w:after="0" w:line="240" w:lineRule="auto"/>
              <w:jc w:val="center"/>
              <w:rPr>
                <w:rFonts w:ascii="Times New Roman" w:eastAsia="Times New Roman" w:hAnsi="Times New Roman" w:cs="Times New Roman"/>
                <w:color w:val="000000"/>
                <w:sz w:val="28"/>
                <w:szCs w:val="28"/>
              </w:rPr>
            </w:pPr>
            <w:r w:rsidRPr="004135FE">
              <w:rPr>
                <w:rFonts w:ascii="Times New Roman" w:eastAsia="Times New Roman" w:hAnsi="Times New Roman" w:cs="Times New Roman"/>
                <w:color w:val="000000"/>
                <w:sz w:val="28"/>
                <w:szCs w:val="28"/>
              </w:rPr>
              <w:t>319(100,00%)</w:t>
            </w:r>
          </w:p>
        </w:tc>
        <w:tc>
          <w:tcPr>
            <w:tcW w:w="2345" w:type="dxa"/>
            <w:vAlign w:val="center"/>
          </w:tcPr>
          <w:p w14:paraId="086B48F4" w14:textId="77777777" w:rsidR="007A2C38" w:rsidRPr="004135FE" w:rsidRDefault="007A2C38" w:rsidP="00ED6240">
            <w:pPr>
              <w:spacing w:after="0" w:line="240" w:lineRule="auto"/>
              <w:jc w:val="center"/>
              <w:rPr>
                <w:rFonts w:ascii="Times New Roman" w:eastAsia="Times New Roman" w:hAnsi="Times New Roman" w:cs="Times New Roman"/>
                <w:color w:val="000000"/>
                <w:sz w:val="28"/>
                <w:szCs w:val="28"/>
              </w:rPr>
            </w:pPr>
            <w:r w:rsidRPr="004135FE">
              <w:rPr>
                <w:rFonts w:ascii="Times New Roman" w:eastAsia="Times New Roman" w:hAnsi="Times New Roman" w:cs="Times New Roman"/>
                <w:color w:val="000000"/>
                <w:sz w:val="28"/>
                <w:szCs w:val="28"/>
              </w:rPr>
              <w:t>480(100,00%)</w:t>
            </w:r>
          </w:p>
        </w:tc>
      </w:tr>
      <w:tr w:rsidR="007A2C38" w:rsidRPr="004135FE" w14:paraId="4FC257AF" w14:textId="77777777" w:rsidTr="00ED6240">
        <w:tc>
          <w:tcPr>
            <w:tcW w:w="2309" w:type="dxa"/>
          </w:tcPr>
          <w:p w14:paraId="54756C71" w14:textId="77777777" w:rsidR="007A2C38" w:rsidRPr="004135FE" w:rsidRDefault="007A2C38" w:rsidP="00ED6240">
            <w:pPr>
              <w:tabs>
                <w:tab w:val="left" w:pos="1014"/>
              </w:tabs>
              <w:spacing w:after="0" w:line="240" w:lineRule="auto"/>
              <w:jc w:val="center"/>
              <w:rPr>
                <w:rFonts w:ascii="Times New Roman" w:hAnsi="Times New Roman" w:cs="Times New Roman"/>
                <w:b/>
                <w:sz w:val="28"/>
                <w:szCs w:val="28"/>
              </w:rPr>
            </w:pPr>
            <w:r w:rsidRPr="004135FE">
              <w:rPr>
                <w:rFonts w:ascii="Times New Roman" w:eastAsia="Times New Roman" w:hAnsi="Times New Roman" w:cs="Times New Roman"/>
                <w:sz w:val="28"/>
                <w:szCs w:val="28"/>
                <w:lang w:val="en-US"/>
              </w:rPr>
              <w:t>p</w:t>
            </w:r>
            <w:r w:rsidRPr="004135FE">
              <w:rPr>
                <w:rFonts w:ascii="Times New Roman" w:eastAsia="Times New Roman" w:hAnsi="Times New Roman" w:cs="Times New Roman"/>
                <w:sz w:val="28"/>
                <w:szCs w:val="28"/>
              </w:rPr>
              <w:t>-</w:t>
            </w:r>
            <w:r w:rsidRPr="004135FE">
              <w:rPr>
                <w:rFonts w:ascii="Times New Roman" w:eastAsia="Times New Roman" w:hAnsi="Times New Roman" w:cs="Times New Roman"/>
                <w:sz w:val="28"/>
                <w:szCs w:val="28"/>
                <w:lang w:val="en-US"/>
              </w:rPr>
              <w:t>value</w:t>
            </w:r>
          </w:p>
        </w:tc>
        <w:tc>
          <w:tcPr>
            <w:tcW w:w="2345" w:type="dxa"/>
          </w:tcPr>
          <w:p w14:paraId="37CE0052" w14:textId="77777777" w:rsidR="007A2C38" w:rsidRPr="004135FE" w:rsidRDefault="007A2C38" w:rsidP="00ED6240">
            <w:pPr>
              <w:tabs>
                <w:tab w:val="left" w:pos="1014"/>
              </w:tabs>
              <w:spacing w:after="0" w:line="240" w:lineRule="auto"/>
              <w:jc w:val="center"/>
              <w:rPr>
                <w:rFonts w:ascii="Times New Roman" w:hAnsi="Times New Roman" w:cs="Times New Roman"/>
                <w:b/>
                <w:sz w:val="28"/>
                <w:szCs w:val="28"/>
              </w:rPr>
            </w:pPr>
            <w:r w:rsidRPr="004135FE">
              <w:rPr>
                <w:rFonts w:ascii="Times New Roman" w:hAnsi="Times New Roman" w:cs="Times New Roman"/>
                <w:sz w:val="28"/>
                <w:szCs w:val="28"/>
              </w:rPr>
              <w:t>0,01</w:t>
            </w:r>
          </w:p>
        </w:tc>
        <w:tc>
          <w:tcPr>
            <w:tcW w:w="2345" w:type="dxa"/>
          </w:tcPr>
          <w:p w14:paraId="74EF1863" w14:textId="4DBEB4EE" w:rsidR="007A2C38" w:rsidRPr="00ED6240" w:rsidRDefault="00ED6240" w:rsidP="00ED6240">
            <w:pPr>
              <w:tabs>
                <w:tab w:val="left" w:pos="1014"/>
              </w:tabs>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w:t>
            </w:r>
          </w:p>
        </w:tc>
        <w:tc>
          <w:tcPr>
            <w:tcW w:w="2345" w:type="dxa"/>
          </w:tcPr>
          <w:p w14:paraId="13877C90" w14:textId="282FEA8D" w:rsidR="007A2C38" w:rsidRPr="00ED6240" w:rsidRDefault="00ED6240" w:rsidP="00ED6240">
            <w:pPr>
              <w:tabs>
                <w:tab w:val="left" w:pos="1014"/>
              </w:tabs>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w:t>
            </w:r>
          </w:p>
        </w:tc>
      </w:tr>
    </w:tbl>
    <w:p w14:paraId="6DAAB754" w14:textId="77777777" w:rsidR="007A2C38" w:rsidRPr="004135FE" w:rsidRDefault="007A2C38" w:rsidP="004135FE">
      <w:pPr>
        <w:tabs>
          <w:tab w:val="left" w:pos="1014"/>
        </w:tabs>
        <w:spacing w:after="0" w:line="240" w:lineRule="auto"/>
        <w:jc w:val="both"/>
        <w:rPr>
          <w:rFonts w:ascii="Times New Roman" w:hAnsi="Times New Roman" w:cs="Times New Roman"/>
          <w:sz w:val="28"/>
          <w:szCs w:val="28"/>
        </w:rPr>
      </w:pPr>
    </w:p>
    <w:p w14:paraId="4947FACA" w14:textId="5B1FC9F7" w:rsidR="007A2C38" w:rsidRPr="004135FE" w:rsidRDefault="007A2C38" w:rsidP="00EA5243">
      <w:pPr>
        <w:tabs>
          <w:tab w:val="left" w:pos="1014"/>
        </w:tabs>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О</w:t>
      </w:r>
      <w:r w:rsidRPr="004135FE">
        <w:rPr>
          <w:rFonts w:ascii="Times New Roman" w:eastAsia="Times New Roman" w:hAnsi="Times New Roman" w:cs="Times New Roman"/>
          <w:sz w:val="28"/>
          <w:szCs w:val="28"/>
        </w:rPr>
        <w:t>вощи стали ежедневным рационом питания для 68,81% занятых и 56,83% безработных (</w:t>
      </w:r>
      <w:r w:rsidRPr="004135FE">
        <w:rPr>
          <w:rFonts w:ascii="Times New Roman" w:hAnsi="Times New Roman" w:cs="Times New Roman"/>
          <w:sz w:val="28"/>
          <w:szCs w:val="28"/>
        </w:rPr>
        <w:t>p=0,01)</w:t>
      </w:r>
      <w:r w:rsidRPr="004135FE">
        <w:rPr>
          <w:rFonts w:ascii="Times New Roman" w:eastAsia="Times New Roman" w:hAnsi="Times New Roman" w:cs="Times New Roman"/>
          <w:sz w:val="28"/>
          <w:szCs w:val="28"/>
        </w:rPr>
        <w:t xml:space="preserve">. Не каждый день едят овощи 65,6% безработных и 34,4% занятых. </w:t>
      </w:r>
      <w:r w:rsidRPr="004135FE">
        <w:rPr>
          <w:rFonts w:ascii="Times New Roman" w:hAnsi="Times New Roman" w:cs="Times New Roman"/>
          <w:sz w:val="28"/>
          <w:szCs w:val="28"/>
        </w:rPr>
        <w:t xml:space="preserve"> </w:t>
      </w:r>
      <w:r w:rsidRPr="004135FE">
        <w:rPr>
          <w:rFonts w:ascii="Times New Roman" w:hAnsi="Times New Roman" w:cs="Times New Roman"/>
          <w:sz w:val="28"/>
          <w:szCs w:val="28"/>
        </w:rPr>
        <w:tab/>
        <w:t xml:space="preserve">Так же, не каждый день могут себе позволить потреблять в пищу фрукты и ягоды </w:t>
      </w:r>
      <w:r w:rsidRPr="004135FE">
        <w:rPr>
          <w:rFonts w:ascii="Times New Roman" w:eastAsia="Times New Roman" w:hAnsi="Times New Roman" w:cs="Times New Roman"/>
          <w:sz w:val="28"/>
          <w:szCs w:val="28"/>
        </w:rPr>
        <w:t>48,20% безработных и 44,55% занятых,</w:t>
      </w:r>
      <w:r w:rsidRPr="004135FE">
        <w:rPr>
          <w:rFonts w:ascii="Times New Roman" w:hAnsi="Times New Roman" w:cs="Times New Roman"/>
          <w:sz w:val="28"/>
          <w:szCs w:val="28"/>
        </w:rPr>
        <w:t xml:space="preserve"> p=0,01</w:t>
      </w:r>
      <w:r w:rsidRPr="004135FE">
        <w:rPr>
          <w:rFonts w:ascii="Times New Roman" w:eastAsia="Times New Roman" w:hAnsi="Times New Roman" w:cs="Times New Roman"/>
          <w:sz w:val="28"/>
          <w:szCs w:val="28"/>
        </w:rPr>
        <w:t>. Каждый день потребляют 40,10% занятых и 37,05% безработных. Фрукты и ягоды в рацион питания не входят у 15,35% занятых и 14,75% безработных.</w:t>
      </w:r>
    </w:p>
    <w:p w14:paraId="696CF929" w14:textId="77777777" w:rsidR="007A2C38" w:rsidRPr="004135FE" w:rsidRDefault="007A2C38" w:rsidP="004135FE">
      <w:pPr>
        <w:tabs>
          <w:tab w:val="left" w:pos="1014"/>
        </w:tabs>
        <w:spacing w:after="0" w:line="240" w:lineRule="auto"/>
        <w:jc w:val="both"/>
        <w:rPr>
          <w:rFonts w:ascii="Times New Roman" w:hAnsi="Times New Roman" w:cs="Times New Roman"/>
          <w:b/>
          <w:sz w:val="28"/>
          <w:szCs w:val="28"/>
        </w:rPr>
      </w:pPr>
    </w:p>
    <w:p w14:paraId="149F9BAC" w14:textId="7EB10CE1" w:rsidR="007A2C38" w:rsidRDefault="007A2C38" w:rsidP="00EA5243">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Таблица 3</w:t>
      </w:r>
      <w:r w:rsidR="00B728EF" w:rsidRPr="004135FE">
        <w:rPr>
          <w:rFonts w:ascii="Times New Roman" w:hAnsi="Times New Roman" w:cs="Times New Roman"/>
          <w:sz w:val="28"/>
          <w:szCs w:val="28"/>
        </w:rPr>
        <w:t>0</w:t>
      </w:r>
      <w:r w:rsidR="00581DF6">
        <w:rPr>
          <w:rFonts w:ascii="Times New Roman" w:hAnsi="Times New Roman" w:cs="Times New Roman"/>
          <w:sz w:val="28"/>
          <w:szCs w:val="28"/>
        </w:rPr>
        <w:t xml:space="preserve"> </w:t>
      </w:r>
      <w:r w:rsidRPr="004135FE">
        <w:rPr>
          <w:rFonts w:ascii="Times New Roman" w:hAnsi="Times New Roman" w:cs="Times New Roman"/>
          <w:sz w:val="28"/>
          <w:szCs w:val="28"/>
        </w:rPr>
        <w:t>- Влияние занятости на частоту потребления овощей и фруктов</w:t>
      </w:r>
    </w:p>
    <w:p w14:paraId="27648B32" w14:textId="77777777" w:rsidR="00EA5243" w:rsidRPr="004135FE" w:rsidRDefault="00EA5243" w:rsidP="00EA5243">
      <w:pPr>
        <w:spacing w:after="0" w:line="240" w:lineRule="auto"/>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2309"/>
        <w:gridCol w:w="2345"/>
        <w:gridCol w:w="2345"/>
        <w:gridCol w:w="2345"/>
      </w:tblGrid>
      <w:tr w:rsidR="007A2C38" w:rsidRPr="00581DF6" w14:paraId="30A97730" w14:textId="77777777" w:rsidTr="00581DF6">
        <w:tc>
          <w:tcPr>
            <w:tcW w:w="2309" w:type="dxa"/>
          </w:tcPr>
          <w:p w14:paraId="4A23E00A" w14:textId="77777777" w:rsidR="007A2C38" w:rsidRPr="00581DF6" w:rsidRDefault="007A2C38" w:rsidP="00581DF6">
            <w:pPr>
              <w:tabs>
                <w:tab w:val="left" w:pos="1014"/>
              </w:tabs>
              <w:spacing w:after="0" w:line="240" w:lineRule="auto"/>
              <w:jc w:val="center"/>
              <w:rPr>
                <w:rFonts w:ascii="Times New Roman" w:hAnsi="Times New Roman" w:cs="Times New Roman"/>
                <w:sz w:val="28"/>
                <w:szCs w:val="28"/>
              </w:rPr>
            </w:pPr>
            <w:r w:rsidRPr="00581DF6">
              <w:rPr>
                <w:rFonts w:ascii="Times New Roman" w:hAnsi="Times New Roman" w:cs="Times New Roman"/>
                <w:sz w:val="28"/>
                <w:szCs w:val="28"/>
              </w:rPr>
              <w:t>Варианты ответов</w:t>
            </w:r>
          </w:p>
        </w:tc>
        <w:tc>
          <w:tcPr>
            <w:tcW w:w="2345" w:type="dxa"/>
          </w:tcPr>
          <w:p w14:paraId="5D56AF35" w14:textId="2A6BA54C"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sz w:val="28"/>
                <w:szCs w:val="28"/>
              </w:rPr>
              <w:t>занятые</w:t>
            </w:r>
          </w:p>
        </w:tc>
        <w:tc>
          <w:tcPr>
            <w:tcW w:w="2345" w:type="dxa"/>
          </w:tcPr>
          <w:p w14:paraId="618C5A58"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sz w:val="28"/>
                <w:szCs w:val="28"/>
              </w:rPr>
              <w:t>без работы</w:t>
            </w:r>
          </w:p>
        </w:tc>
        <w:tc>
          <w:tcPr>
            <w:tcW w:w="2345" w:type="dxa"/>
          </w:tcPr>
          <w:p w14:paraId="6072D6DB"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sz w:val="28"/>
                <w:szCs w:val="28"/>
              </w:rPr>
              <w:t>итого</w:t>
            </w:r>
          </w:p>
        </w:tc>
      </w:tr>
      <w:tr w:rsidR="007A2C38" w:rsidRPr="00581DF6" w14:paraId="417B5C25" w14:textId="77777777" w:rsidTr="00581DF6">
        <w:tc>
          <w:tcPr>
            <w:tcW w:w="9344" w:type="dxa"/>
            <w:gridSpan w:val="4"/>
          </w:tcPr>
          <w:p w14:paraId="17EEDC05" w14:textId="77777777" w:rsidR="007A2C38" w:rsidRPr="00581DF6" w:rsidRDefault="007A2C38" w:rsidP="00581DF6">
            <w:pPr>
              <w:tabs>
                <w:tab w:val="left" w:pos="1014"/>
              </w:tabs>
              <w:spacing w:after="0" w:line="240" w:lineRule="auto"/>
              <w:jc w:val="center"/>
              <w:rPr>
                <w:rFonts w:ascii="Times New Roman" w:hAnsi="Times New Roman" w:cs="Times New Roman"/>
                <w:sz w:val="28"/>
                <w:szCs w:val="28"/>
              </w:rPr>
            </w:pPr>
            <w:r w:rsidRPr="00581DF6">
              <w:rPr>
                <w:rFonts w:ascii="Times New Roman" w:eastAsia="Times New Roman" w:hAnsi="Times New Roman" w:cs="Times New Roman"/>
                <w:sz w:val="28"/>
                <w:szCs w:val="28"/>
              </w:rPr>
              <w:t>Частота потребления в пищу овощей</w:t>
            </w:r>
          </w:p>
        </w:tc>
      </w:tr>
      <w:tr w:rsidR="007A2C38" w:rsidRPr="00581DF6" w14:paraId="05C1475F" w14:textId="77777777" w:rsidTr="00581DF6">
        <w:tc>
          <w:tcPr>
            <w:tcW w:w="2309" w:type="dxa"/>
          </w:tcPr>
          <w:p w14:paraId="348AD75A"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sz w:val="28"/>
                <w:szCs w:val="28"/>
              </w:rPr>
              <w:t>Каждый день</w:t>
            </w:r>
          </w:p>
        </w:tc>
        <w:tc>
          <w:tcPr>
            <w:tcW w:w="2345" w:type="dxa"/>
          </w:tcPr>
          <w:p w14:paraId="4D745E5A"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color w:val="000000"/>
                <w:sz w:val="28"/>
                <w:szCs w:val="28"/>
              </w:rPr>
              <w:t>139</w:t>
            </w:r>
            <w:r w:rsidRPr="00581DF6">
              <w:rPr>
                <w:rFonts w:ascii="Times New Roman" w:eastAsia="Times New Roman" w:hAnsi="Times New Roman" w:cs="Times New Roman"/>
                <w:color w:val="000000"/>
                <w:sz w:val="28"/>
                <w:szCs w:val="28"/>
                <w:lang w:val="en-US"/>
              </w:rPr>
              <w:t>(</w:t>
            </w:r>
            <w:r w:rsidRPr="00581DF6">
              <w:rPr>
                <w:rFonts w:ascii="Times New Roman" w:eastAsia="Times New Roman" w:hAnsi="Times New Roman" w:cs="Times New Roman"/>
                <w:color w:val="000000"/>
                <w:sz w:val="28"/>
                <w:szCs w:val="28"/>
              </w:rPr>
              <w:t>68,81</w:t>
            </w:r>
            <w:r w:rsidRPr="00581DF6">
              <w:rPr>
                <w:rFonts w:ascii="Times New Roman" w:eastAsia="Times New Roman" w:hAnsi="Times New Roman" w:cs="Times New Roman"/>
                <w:color w:val="000000"/>
                <w:sz w:val="28"/>
                <w:szCs w:val="28"/>
                <w:lang w:val="en-US"/>
              </w:rPr>
              <w:t>%)</w:t>
            </w:r>
          </w:p>
        </w:tc>
        <w:tc>
          <w:tcPr>
            <w:tcW w:w="2345" w:type="dxa"/>
          </w:tcPr>
          <w:p w14:paraId="0454878E"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color w:val="000000"/>
                <w:sz w:val="28"/>
                <w:szCs w:val="28"/>
              </w:rPr>
              <w:t>158</w:t>
            </w:r>
            <w:r w:rsidRPr="00581DF6">
              <w:rPr>
                <w:rFonts w:ascii="Times New Roman" w:eastAsia="Times New Roman" w:hAnsi="Times New Roman" w:cs="Times New Roman"/>
                <w:color w:val="000000"/>
                <w:sz w:val="28"/>
                <w:szCs w:val="28"/>
                <w:lang w:val="en-US"/>
              </w:rPr>
              <w:t>(</w:t>
            </w:r>
            <w:r w:rsidRPr="00581DF6">
              <w:rPr>
                <w:rFonts w:ascii="Times New Roman" w:eastAsia="Times New Roman" w:hAnsi="Times New Roman" w:cs="Times New Roman"/>
                <w:color w:val="000000"/>
                <w:sz w:val="28"/>
                <w:szCs w:val="28"/>
              </w:rPr>
              <w:t>56,83</w:t>
            </w:r>
            <w:r w:rsidRPr="00581DF6">
              <w:rPr>
                <w:rFonts w:ascii="Times New Roman" w:eastAsia="Times New Roman" w:hAnsi="Times New Roman" w:cs="Times New Roman"/>
                <w:color w:val="000000"/>
                <w:sz w:val="28"/>
                <w:szCs w:val="28"/>
                <w:lang w:val="en-US"/>
              </w:rPr>
              <w:t>%)</w:t>
            </w:r>
          </w:p>
        </w:tc>
        <w:tc>
          <w:tcPr>
            <w:tcW w:w="2345" w:type="dxa"/>
          </w:tcPr>
          <w:p w14:paraId="39E0F26E"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color w:val="000000"/>
                <w:sz w:val="28"/>
                <w:szCs w:val="28"/>
              </w:rPr>
              <w:t>297</w:t>
            </w:r>
            <w:r w:rsidRPr="00581DF6">
              <w:rPr>
                <w:rFonts w:ascii="Times New Roman" w:eastAsia="Times New Roman" w:hAnsi="Times New Roman" w:cs="Times New Roman"/>
                <w:color w:val="000000"/>
                <w:sz w:val="28"/>
                <w:szCs w:val="28"/>
                <w:lang w:val="en-US"/>
              </w:rPr>
              <w:t>(</w:t>
            </w:r>
            <w:r w:rsidRPr="00581DF6">
              <w:rPr>
                <w:rFonts w:ascii="Times New Roman" w:eastAsia="Times New Roman" w:hAnsi="Times New Roman" w:cs="Times New Roman"/>
                <w:color w:val="000000"/>
                <w:sz w:val="28"/>
                <w:szCs w:val="28"/>
              </w:rPr>
              <w:t>61,88</w:t>
            </w:r>
            <w:r w:rsidRPr="00581DF6">
              <w:rPr>
                <w:rFonts w:ascii="Times New Roman" w:eastAsia="Times New Roman" w:hAnsi="Times New Roman" w:cs="Times New Roman"/>
                <w:color w:val="000000"/>
                <w:sz w:val="28"/>
                <w:szCs w:val="28"/>
                <w:lang w:val="en-US"/>
              </w:rPr>
              <w:t>%)</w:t>
            </w:r>
          </w:p>
        </w:tc>
      </w:tr>
      <w:tr w:rsidR="007A2C38" w:rsidRPr="00581DF6" w14:paraId="16CCF758" w14:textId="77777777" w:rsidTr="00581DF6">
        <w:tc>
          <w:tcPr>
            <w:tcW w:w="2309" w:type="dxa"/>
          </w:tcPr>
          <w:p w14:paraId="62DBC015"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sz w:val="28"/>
                <w:szCs w:val="28"/>
              </w:rPr>
              <w:t>Не каждый день</w:t>
            </w:r>
          </w:p>
        </w:tc>
        <w:tc>
          <w:tcPr>
            <w:tcW w:w="2345" w:type="dxa"/>
          </w:tcPr>
          <w:p w14:paraId="2364C4CA"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color w:val="000000"/>
                <w:sz w:val="28"/>
                <w:szCs w:val="28"/>
              </w:rPr>
              <w:t>63</w:t>
            </w:r>
            <w:r w:rsidRPr="00581DF6">
              <w:rPr>
                <w:rFonts w:ascii="Times New Roman" w:eastAsia="Times New Roman" w:hAnsi="Times New Roman" w:cs="Times New Roman"/>
                <w:color w:val="000000"/>
                <w:sz w:val="28"/>
                <w:szCs w:val="28"/>
                <w:lang w:val="en-US"/>
              </w:rPr>
              <w:t>(</w:t>
            </w:r>
            <w:r w:rsidRPr="00581DF6">
              <w:rPr>
                <w:rFonts w:ascii="Times New Roman" w:eastAsia="Times New Roman" w:hAnsi="Times New Roman" w:cs="Times New Roman"/>
                <w:color w:val="000000"/>
                <w:sz w:val="28"/>
                <w:szCs w:val="28"/>
              </w:rPr>
              <w:t>31,19</w:t>
            </w:r>
            <w:r w:rsidRPr="00581DF6">
              <w:rPr>
                <w:rFonts w:ascii="Times New Roman" w:eastAsia="Times New Roman" w:hAnsi="Times New Roman" w:cs="Times New Roman"/>
                <w:color w:val="000000"/>
                <w:sz w:val="28"/>
                <w:szCs w:val="28"/>
                <w:lang w:val="en-US"/>
              </w:rPr>
              <w:t>%)</w:t>
            </w:r>
          </w:p>
        </w:tc>
        <w:tc>
          <w:tcPr>
            <w:tcW w:w="2345" w:type="dxa"/>
          </w:tcPr>
          <w:p w14:paraId="6BDE4715"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color w:val="000000"/>
                <w:sz w:val="28"/>
                <w:szCs w:val="28"/>
              </w:rPr>
              <w:t>120</w:t>
            </w:r>
            <w:r w:rsidRPr="00581DF6">
              <w:rPr>
                <w:rFonts w:ascii="Times New Roman" w:eastAsia="Times New Roman" w:hAnsi="Times New Roman" w:cs="Times New Roman"/>
                <w:color w:val="000000"/>
                <w:sz w:val="28"/>
                <w:szCs w:val="28"/>
                <w:lang w:val="en-US"/>
              </w:rPr>
              <w:t>(</w:t>
            </w:r>
            <w:r w:rsidRPr="00581DF6">
              <w:rPr>
                <w:rFonts w:ascii="Times New Roman" w:eastAsia="Times New Roman" w:hAnsi="Times New Roman" w:cs="Times New Roman"/>
                <w:color w:val="000000"/>
                <w:sz w:val="28"/>
                <w:szCs w:val="28"/>
              </w:rPr>
              <w:t>43,17</w:t>
            </w:r>
            <w:r w:rsidRPr="00581DF6">
              <w:rPr>
                <w:rFonts w:ascii="Times New Roman" w:eastAsia="Times New Roman" w:hAnsi="Times New Roman" w:cs="Times New Roman"/>
                <w:color w:val="000000"/>
                <w:sz w:val="28"/>
                <w:szCs w:val="28"/>
                <w:lang w:val="en-US"/>
              </w:rPr>
              <w:t>%)</w:t>
            </w:r>
          </w:p>
        </w:tc>
        <w:tc>
          <w:tcPr>
            <w:tcW w:w="2345" w:type="dxa"/>
          </w:tcPr>
          <w:p w14:paraId="4959D854"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color w:val="000000"/>
                <w:sz w:val="28"/>
                <w:szCs w:val="28"/>
              </w:rPr>
              <w:t>183</w:t>
            </w:r>
            <w:r w:rsidRPr="00581DF6">
              <w:rPr>
                <w:rFonts w:ascii="Times New Roman" w:eastAsia="Times New Roman" w:hAnsi="Times New Roman" w:cs="Times New Roman"/>
                <w:color w:val="000000"/>
                <w:sz w:val="28"/>
                <w:szCs w:val="28"/>
                <w:lang w:val="en-US"/>
              </w:rPr>
              <w:t>(</w:t>
            </w:r>
            <w:r w:rsidRPr="00581DF6">
              <w:rPr>
                <w:rFonts w:ascii="Times New Roman" w:eastAsia="Times New Roman" w:hAnsi="Times New Roman" w:cs="Times New Roman"/>
                <w:color w:val="000000"/>
                <w:sz w:val="28"/>
                <w:szCs w:val="28"/>
              </w:rPr>
              <w:t>38,13</w:t>
            </w:r>
            <w:r w:rsidRPr="00581DF6">
              <w:rPr>
                <w:rFonts w:ascii="Times New Roman" w:eastAsia="Times New Roman" w:hAnsi="Times New Roman" w:cs="Times New Roman"/>
                <w:color w:val="000000"/>
                <w:sz w:val="28"/>
                <w:szCs w:val="28"/>
                <w:lang w:val="en-US"/>
              </w:rPr>
              <w:t>%)</w:t>
            </w:r>
          </w:p>
        </w:tc>
      </w:tr>
      <w:tr w:rsidR="007A2C38" w:rsidRPr="00581DF6" w14:paraId="0C702A8B" w14:textId="77777777" w:rsidTr="00581DF6">
        <w:tc>
          <w:tcPr>
            <w:tcW w:w="2309" w:type="dxa"/>
          </w:tcPr>
          <w:p w14:paraId="5039A2DD"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sz w:val="28"/>
                <w:szCs w:val="28"/>
                <w:lang w:val="en-US"/>
              </w:rPr>
              <w:t>p</w:t>
            </w:r>
            <w:r w:rsidRPr="00581DF6">
              <w:rPr>
                <w:rFonts w:ascii="Times New Roman" w:eastAsia="Times New Roman" w:hAnsi="Times New Roman" w:cs="Times New Roman"/>
                <w:sz w:val="28"/>
                <w:szCs w:val="28"/>
              </w:rPr>
              <w:t>-</w:t>
            </w:r>
            <w:r w:rsidRPr="00581DF6">
              <w:rPr>
                <w:rFonts w:ascii="Times New Roman" w:eastAsia="Times New Roman" w:hAnsi="Times New Roman" w:cs="Times New Roman"/>
                <w:sz w:val="28"/>
                <w:szCs w:val="28"/>
                <w:lang w:val="en-US"/>
              </w:rPr>
              <w:t>value</w:t>
            </w:r>
          </w:p>
        </w:tc>
        <w:tc>
          <w:tcPr>
            <w:tcW w:w="2345" w:type="dxa"/>
          </w:tcPr>
          <w:p w14:paraId="4E29E575" w14:textId="77777777" w:rsidR="007A2C38" w:rsidRPr="00581DF6" w:rsidRDefault="007A2C38" w:rsidP="00581DF6">
            <w:pPr>
              <w:tabs>
                <w:tab w:val="left" w:pos="1014"/>
              </w:tabs>
              <w:spacing w:after="0" w:line="240" w:lineRule="auto"/>
              <w:jc w:val="center"/>
              <w:rPr>
                <w:rFonts w:ascii="Times New Roman" w:hAnsi="Times New Roman" w:cs="Times New Roman"/>
                <w:sz w:val="28"/>
                <w:szCs w:val="28"/>
              </w:rPr>
            </w:pPr>
            <w:r w:rsidRPr="00581DF6">
              <w:rPr>
                <w:rFonts w:ascii="Times New Roman" w:hAnsi="Times New Roman" w:cs="Times New Roman"/>
                <w:sz w:val="28"/>
                <w:szCs w:val="28"/>
              </w:rPr>
              <w:t>0,01</w:t>
            </w:r>
          </w:p>
        </w:tc>
        <w:tc>
          <w:tcPr>
            <w:tcW w:w="2345" w:type="dxa"/>
          </w:tcPr>
          <w:p w14:paraId="385485EE" w14:textId="01C88592" w:rsidR="007A2C38" w:rsidRPr="00581DF6" w:rsidRDefault="00B270B3" w:rsidP="00581DF6">
            <w:pPr>
              <w:tabs>
                <w:tab w:val="left" w:pos="1014"/>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2345" w:type="dxa"/>
          </w:tcPr>
          <w:p w14:paraId="1DA2DFCB" w14:textId="04B8EA04" w:rsidR="007A2C38" w:rsidRPr="00581DF6" w:rsidRDefault="00B270B3" w:rsidP="00581DF6">
            <w:pPr>
              <w:tabs>
                <w:tab w:val="left" w:pos="1014"/>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r>
      <w:tr w:rsidR="007A2C38" w:rsidRPr="00581DF6" w14:paraId="59326A7D" w14:textId="77777777" w:rsidTr="00581DF6">
        <w:tc>
          <w:tcPr>
            <w:tcW w:w="9344" w:type="dxa"/>
            <w:gridSpan w:val="4"/>
          </w:tcPr>
          <w:p w14:paraId="461CC806" w14:textId="77777777" w:rsidR="007A2C38" w:rsidRPr="00581DF6" w:rsidRDefault="007A2C38" w:rsidP="00581DF6">
            <w:pPr>
              <w:tabs>
                <w:tab w:val="left" w:pos="1014"/>
              </w:tabs>
              <w:spacing w:after="0" w:line="240" w:lineRule="auto"/>
              <w:jc w:val="center"/>
              <w:rPr>
                <w:rFonts w:ascii="Times New Roman" w:hAnsi="Times New Roman" w:cs="Times New Roman"/>
                <w:sz w:val="28"/>
                <w:szCs w:val="28"/>
              </w:rPr>
            </w:pPr>
            <w:r w:rsidRPr="00581DF6">
              <w:rPr>
                <w:rFonts w:ascii="Times New Roman" w:eastAsia="Times New Roman" w:hAnsi="Times New Roman" w:cs="Times New Roman"/>
                <w:sz w:val="28"/>
                <w:szCs w:val="28"/>
              </w:rPr>
              <w:t>Частота потребления в пищу фруктов и ягод</w:t>
            </w:r>
          </w:p>
        </w:tc>
      </w:tr>
      <w:tr w:rsidR="007A2C38" w:rsidRPr="00581DF6" w14:paraId="1F8B6CCB" w14:textId="77777777" w:rsidTr="00581DF6">
        <w:tc>
          <w:tcPr>
            <w:tcW w:w="2309" w:type="dxa"/>
          </w:tcPr>
          <w:p w14:paraId="7E2C3538"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sz w:val="28"/>
                <w:szCs w:val="28"/>
              </w:rPr>
              <w:t>Каждый день</w:t>
            </w:r>
          </w:p>
        </w:tc>
        <w:tc>
          <w:tcPr>
            <w:tcW w:w="2345" w:type="dxa"/>
          </w:tcPr>
          <w:p w14:paraId="01029032"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color w:val="000000"/>
                <w:sz w:val="28"/>
                <w:szCs w:val="28"/>
              </w:rPr>
              <w:t>81</w:t>
            </w:r>
            <w:r w:rsidRPr="00581DF6">
              <w:rPr>
                <w:rFonts w:ascii="Times New Roman" w:eastAsia="Times New Roman" w:hAnsi="Times New Roman" w:cs="Times New Roman"/>
                <w:color w:val="000000"/>
                <w:sz w:val="28"/>
                <w:szCs w:val="28"/>
                <w:lang w:val="en-US"/>
              </w:rPr>
              <w:t>(</w:t>
            </w:r>
            <w:r w:rsidRPr="00581DF6">
              <w:rPr>
                <w:rFonts w:ascii="Times New Roman" w:eastAsia="Times New Roman" w:hAnsi="Times New Roman" w:cs="Times New Roman"/>
                <w:color w:val="000000"/>
                <w:sz w:val="28"/>
                <w:szCs w:val="28"/>
              </w:rPr>
              <w:t>40,10</w:t>
            </w:r>
            <w:r w:rsidRPr="00581DF6">
              <w:rPr>
                <w:rFonts w:ascii="Times New Roman" w:eastAsia="Times New Roman" w:hAnsi="Times New Roman" w:cs="Times New Roman"/>
                <w:color w:val="000000"/>
                <w:sz w:val="28"/>
                <w:szCs w:val="28"/>
                <w:lang w:val="en-US"/>
              </w:rPr>
              <w:t>%)</w:t>
            </w:r>
          </w:p>
        </w:tc>
        <w:tc>
          <w:tcPr>
            <w:tcW w:w="2345" w:type="dxa"/>
          </w:tcPr>
          <w:p w14:paraId="5A62828A"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color w:val="000000"/>
                <w:sz w:val="28"/>
                <w:szCs w:val="28"/>
              </w:rPr>
              <w:t>103</w:t>
            </w:r>
            <w:r w:rsidRPr="00581DF6">
              <w:rPr>
                <w:rFonts w:ascii="Times New Roman" w:eastAsia="Times New Roman" w:hAnsi="Times New Roman" w:cs="Times New Roman"/>
                <w:color w:val="000000"/>
                <w:sz w:val="28"/>
                <w:szCs w:val="28"/>
                <w:lang w:val="en-US"/>
              </w:rPr>
              <w:t>(</w:t>
            </w:r>
            <w:r w:rsidRPr="00581DF6">
              <w:rPr>
                <w:rFonts w:ascii="Times New Roman" w:eastAsia="Times New Roman" w:hAnsi="Times New Roman" w:cs="Times New Roman"/>
                <w:color w:val="000000"/>
                <w:sz w:val="28"/>
                <w:szCs w:val="28"/>
              </w:rPr>
              <w:t>37,05</w:t>
            </w:r>
            <w:r w:rsidRPr="00581DF6">
              <w:rPr>
                <w:rFonts w:ascii="Times New Roman" w:eastAsia="Times New Roman" w:hAnsi="Times New Roman" w:cs="Times New Roman"/>
                <w:color w:val="000000"/>
                <w:sz w:val="28"/>
                <w:szCs w:val="28"/>
                <w:lang w:val="en-US"/>
              </w:rPr>
              <w:t>%)</w:t>
            </w:r>
          </w:p>
        </w:tc>
        <w:tc>
          <w:tcPr>
            <w:tcW w:w="2345" w:type="dxa"/>
          </w:tcPr>
          <w:p w14:paraId="1036C0B4"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color w:val="000000"/>
                <w:sz w:val="28"/>
                <w:szCs w:val="28"/>
              </w:rPr>
              <w:t>184</w:t>
            </w:r>
            <w:r w:rsidRPr="00581DF6">
              <w:rPr>
                <w:rFonts w:ascii="Times New Roman" w:eastAsia="Times New Roman" w:hAnsi="Times New Roman" w:cs="Times New Roman"/>
                <w:color w:val="000000"/>
                <w:sz w:val="28"/>
                <w:szCs w:val="28"/>
                <w:lang w:val="en-US"/>
              </w:rPr>
              <w:t>(</w:t>
            </w:r>
            <w:r w:rsidRPr="00581DF6">
              <w:rPr>
                <w:rFonts w:ascii="Times New Roman" w:eastAsia="Times New Roman" w:hAnsi="Times New Roman" w:cs="Times New Roman"/>
                <w:color w:val="000000"/>
                <w:sz w:val="28"/>
                <w:szCs w:val="28"/>
              </w:rPr>
              <w:t>38,33</w:t>
            </w:r>
            <w:r w:rsidRPr="00581DF6">
              <w:rPr>
                <w:rFonts w:ascii="Times New Roman" w:eastAsia="Times New Roman" w:hAnsi="Times New Roman" w:cs="Times New Roman"/>
                <w:color w:val="000000"/>
                <w:sz w:val="28"/>
                <w:szCs w:val="28"/>
                <w:lang w:val="en-US"/>
              </w:rPr>
              <w:t>%)</w:t>
            </w:r>
          </w:p>
        </w:tc>
      </w:tr>
      <w:tr w:rsidR="007A2C38" w:rsidRPr="00581DF6" w14:paraId="09E083A0" w14:textId="77777777" w:rsidTr="00581DF6">
        <w:tc>
          <w:tcPr>
            <w:tcW w:w="2309" w:type="dxa"/>
          </w:tcPr>
          <w:p w14:paraId="42D97273"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sz w:val="28"/>
                <w:szCs w:val="28"/>
              </w:rPr>
              <w:t>Не каждый день</w:t>
            </w:r>
          </w:p>
        </w:tc>
        <w:tc>
          <w:tcPr>
            <w:tcW w:w="2345" w:type="dxa"/>
          </w:tcPr>
          <w:p w14:paraId="2B08834A"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color w:val="000000"/>
                <w:sz w:val="28"/>
                <w:szCs w:val="28"/>
              </w:rPr>
              <w:t>90</w:t>
            </w:r>
            <w:r w:rsidRPr="00581DF6">
              <w:rPr>
                <w:rFonts w:ascii="Times New Roman" w:eastAsia="Times New Roman" w:hAnsi="Times New Roman" w:cs="Times New Roman"/>
                <w:color w:val="000000"/>
                <w:sz w:val="28"/>
                <w:szCs w:val="28"/>
                <w:lang w:val="en-US"/>
              </w:rPr>
              <w:t>(</w:t>
            </w:r>
            <w:r w:rsidRPr="00581DF6">
              <w:rPr>
                <w:rFonts w:ascii="Times New Roman" w:eastAsia="Times New Roman" w:hAnsi="Times New Roman" w:cs="Times New Roman"/>
                <w:color w:val="000000"/>
                <w:sz w:val="28"/>
                <w:szCs w:val="28"/>
              </w:rPr>
              <w:t>44,55</w:t>
            </w:r>
            <w:r w:rsidRPr="00581DF6">
              <w:rPr>
                <w:rFonts w:ascii="Times New Roman" w:eastAsia="Times New Roman" w:hAnsi="Times New Roman" w:cs="Times New Roman"/>
                <w:color w:val="000000"/>
                <w:sz w:val="28"/>
                <w:szCs w:val="28"/>
                <w:lang w:val="en-US"/>
              </w:rPr>
              <w:t>%)</w:t>
            </w:r>
          </w:p>
        </w:tc>
        <w:tc>
          <w:tcPr>
            <w:tcW w:w="2345" w:type="dxa"/>
          </w:tcPr>
          <w:p w14:paraId="00A17BBD"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color w:val="000000"/>
                <w:sz w:val="28"/>
                <w:szCs w:val="28"/>
              </w:rPr>
              <w:t>134</w:t>
            </w:r>
            <w:r w:rsidRPr="00581DF6">
              <w:rPr>
                <w:rFonts w:ascii="Times New Roman" w:eastAsia="Times New Roman" w:hAnsi="Times New Roman" w:cs="Times New Roman"/>
                <w:color w:val="000000"/>
                <w:sz w:val="28"/>
                <w:szCs w:val="28"/>
                <w:lang w:val="en-US"/>
              </w:rPr>
              <w:t>(</w:t>
            </w:r>
            <w:r w:rsidRPr="00581DF6">
              <w:rPr>
                <w:rFonts w:ascii="Times New Roman" w:eastAsia="Times New Roman" w:hAnsi="Times New Roman" w:cs="Times New Roman"/>
                <w:color w:val="000000"/>
                <w:sz w:val="28"/>
                <w:szCs w:val="28"/>
              </w:rPr>
              <w:t>48,20</w:t>
            </w:r>
            <w:r w:rsidRPr="00581DF6">
              <w:rPr>
                <w:rFonts w:ascii="Times New Roman" w:eastAsia="Times New Roman" w:hAnsi="Times New Roman" w:cs="Times New Roman"/>
                <w:color w:val="000000"/>
                <w:sz w:val="28"/>
                <w:szCs w:val="28"/>
                <w:lang w:val="en-US"/>
              </w:rPr>
              <w:t>%)</w:t>
            </w:r>
          </w:p>
        </w:tc>
        <w:tc>
          <w:tcPr>
            <w:tcW w:w="2345" w:type="dxa"/>
          </w:tcPr>
          <w:p w14:paraId="4E14AA92"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color w:val="000000"/>
                <w:sz w:val="28"/>
                <w:szCs w:val="28"/>
              </w:rPr>
              <w:t>224</w:t>
            </w:r>
            <w:r w:rsidRPr="00581DF6">
              <w:rPr>
                <w:rFonts w:ascii="Times New Roman" w:eastAsia="Times New Roman" w:hAnsi="Times New Roman" w:cs="Times New Roman"/>
                <w:color w:val="000000"/>
                <w:sz w:val="28"/>
                <w:szCs w:val="28"/>
                <w:lang w:val="en-US"/>
              </w:rPr>
              <w:t>(</w:t>
            </w:r>
            <w:r w:rsidRPr="00581DF6">
              <w:rPr>
                <w:rFonts w:ascii="Times New Roman" w:eastAsia="Times New Roman" w:hAnsi="Times New Roman" w:cs="Times New Roman"/>
                <w:color w:val="000000"/>
                <w:sz w:val="28"/>
                <w:szCs w:val="28"/>
              </w:rPr>
              <w:t>46,67</w:t>
            </w:r>
            <w:r w:rsidRPr="00581DF6">
              <w:rPr>
                <w:rFonts w:ascii="Times New Roman" w:eastAsia="Times New Roman" w:hAnsi="Times New Roman" w:cs="Times New Roman"/>
                <w:color w:val="000000"/>
                <w:sz w:val="28"/>
                <w:szCs w:val="28"/>
                <w:lang w:val="en-US"/>
              </w:rPr>
              <w:t>%)</w:t>
            </w:r>
          </w:p>
        </w:tc>
      </w:tr>
      <w:tr w:rsidR="007A2C38" w:rsidRPr="00581DF6" w14:paraId="49E70A7E" w14:textId="77777777" w:rsidTr="00581DF6">
        <w:tc>
          <w:tcPr>
            <w:tcW w:w="2309" w:type="dxa"/>
          </w:tcPr>
          <w:p w14:paraId="0526553D"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sz w:val="28"/>
                <w:szCs w:val="28"/>
              </w:rPr>
              <w:t>Не употребляю в пищу</w:t>
            </w:r>
          </w:p>
        </w:tc>
        <w:tc>
          <w:tcPr>
            <w:tcW w:w="2345" w:type="dxa"/>
          </w:tcPr>
          <w:p w14:paraId="2AA0BCE9"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color w:val="000000"/>
                <w:sz w:val="28"/>
                <w:szCs w:val="28"/>
              </w:rPr>
              <w:t>31</w:t>
            </w:r>
            <w:r w:rsidRPr="00581DF6">
              <w:rPr>
                <w:rFonts w:ascii="Times New Roman" w:eastAsia="Times New Roman" w:hAnsi="Times New Roman" w:cs="Times New Roman"/>
                <w:color w:val="000000"/>
                <w:sz w:val="28"/>
                <w:szCs w:val="28"/>
                <w:lang w:val="en-US"/>
              </w:rPr>
              <w:t>(</w:t>
            </w:r>
            <w:r w:rsidRPr="00581DF6">
              <w:rPr>
                <w:rFonts w:ascii="Times New Roman" w:eastAsia="Times New Roman" w:hAnsi="Times New Roman" w:cs="Times New Roman"/>
                <w:color w:val="000000"/>
                <w:sz w:val="28"/>
                <w:szCs w:val="28"/>
              </w:rPr>
              <w:t>15,35</w:t>
            </w:r>
            <w:r w:rsidRPr="00581DF6">
              <w:rPr>
                <w:rFonts w:ascii="Times New Roman" w:eastAsia="Times New Roman" w:hAnsi="Times New Roman" w:cs="Times New Roman"/>
                <w:color w:val="000000"/>
                <w:sz w:val="28"/>
                <w:szCs w:val="28"/>
                <w:lang w:val="en-US"/>
              </w:rPr>
              <w:t>%)</w:t>
            </w:r>
          </w:p>
        </w:tc>
        <w:tc>
          <w:tcPr>
            <w:tcW w:w="2345" w:type="dxa"/>
          </w:tcPr>
          <w:p w14:paraId="737BEF83"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color w:val="000000"/>
                <w:sz w:val="28"/>
                <w:szCs w:val="28"/>
              </w:rPr>
              <w:t>41</w:t>
            </w:r>
            <w:r w:rsidRPr="00581DF6">
              <w:rPr>
                <w:rFonts w:ascii="Times New Roman" w:eastAsia="Times New Roman" w:hAnsi="Times New Roman" w:cs="Times New Roman"/>
                <w:color w:val="000000"/>
                <w:sz w:val="28"/>
                <w:szCs w:val="28"/>
                <w:lang w:val="en-US"/>
              </w:rPr>
              <w:t>(</w:t>
            </w:r>
            <w:r w:rsidRPr="00581DF6">
              <w:rPr>
                <w:rFonts w:ascii="Times New Roman" w:eastAsia="Times New Roman" w:hAnsi="Times New Roman" w:cs="Times New Roman"/>
                <w:color w:val="000000"/>
                <w:sz w:val="28"/>
                <w:szCs w:val="28"/>
              </w:rPr>
              <w:t>14,75</w:t>
            </w:r>
            <w:r w:rsidRPr="00581DF6">
              <w:rPr>
                <w:rFonts w:ascii="Times New Roman" w:eastAsia="Times New Roman" w:hAnsi="Times New Roman" w:cs="Times New Roman"/>
                <w:color w:val="000000"/>
                <w:sz w:val="28"/>
                <w:szCs w:val="28"/>
                <w:lang w:val="en-US"/>
              </w:rPr>
              <w:t>%)</w:t>
            </w:r>
          </w:p>
        </w:tc>
        <w:tc>
          <w:tcPr>
            <w:tcW w:w="2345" w:type="dxa"/>
          </w:tcPr>
          <w:p w14:paraId="74A06F9F"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color w:val="000000"/>
                <w:sz w:val="28"/>
                <w:szCs w:val="28"/>
              </w:rPr>
              <w:t>72</w:t>
            </w:r>
            <w:r w:rsidRPr="00581DF6">
              <w:rPr>
                <w:rFonts w:ascii="Times New Roman" w:eastAsia="Times New Roman" w:hAnsi="Times New Roman" w:cs="Times New Roman"/>
                <w:color w:val="000000"/>
                <w:sz w:val="28"/>
                <w:szCs w:val="28"/>
                <w:lang w:val="en-US"/>
              </w:rPr>
              <w:t>(</w:t>
            </w:r>
            <w:r w:rsidRPr="00581DF6">
              <w:rPr>
                <w:rFonts w:ascii="Times New Roman" w:eastAsia="Times New Roman" w:hAnsi="Times New Roman" w:cs="Times New Roman"/>
                <w:color w:val="000000"/>
                <w:sz w:val="28"/>
                <w:szCs w:val="28"/>
              </w:rPr>
              <w:t>15,00</w:t>
            </w:r>
            <w:r w:rsidRPr="00581DF6">
              <w:rPr>
                <w:rFonts w:ascii="Times New Roman" w:eastAsia="Times New Roman" w:hAnsi="Times New Roman" w:cs="Times New Roman"/>
                <w:color w:val="000000"/>
                <w:sz w:val="28"/>
                <w:szCs w:val="28"/>
                <w:lang w:val="en-US"/>
              </w:rPr>
              <w:t>%)</w:t>
            </w:r>
          </w:p>
        </w:tc>
      </w:tr>
      <w:tr w:rsidR="007A2C38" w:rsidRPr="00581DF6" w14:paraId="4AAFF298" w14:textId="77777777" w:rsidTr="00581DF6">
        <w:tc>
          <w:tcPr>
            <w:tcW w:w="2309" w:type="dxa"/>
          </w:tcPr>
          <w:p w14:paraId="3F8A549F" w14:textId="77777777" w:rsidR="007A2C38" w:rsidRPr="00581DF6" w:rsidRDefault="007A2C38" w:rsidP="00581DF6">
            <w:pPr>
              <w:spacing w:after="0" w:line="240" w:lineRule="auto"/>
              <w:jc w:val="center"/>
              <w:rPr>
                <w:rFonts w:ascii="Times New Roman" w:eastAsia="Times New Roman" w:hAnsi="Times New Roman" w:cs="Times New Roman"/>
                <w:sz w:val="28"/>
                <w:szCs w:val="28"/>
              </w:rPr>
            </w:pPr>
            <w:r w:rsidRPr="00581DF6">
              <w:rPr>
                <w:rFonts w:ascii="Times New Roman" w:eastAsia="Times New Roman" w:hAnsi="Times New Roman" w:cs="Times New Roman"/>
                <w:sz w:val="28"/>
                <w:szCs w:val="28"/>
                <w:lang w:val="kk-KZ"/>
              </w:rPr>
              <w:t>ИТОГО</w:t>
            </w:r>
          </w:p>
        </w:tc>
        <w:tc>
          <w:tcPr>
            <w:tcW w:w="2345" w:type="dxa"/>
          </w:tcPr>
          <w:p w14:paraId="38DD313A" w14:textId="77777777" w:rsidR="007A2C38" w:rsidRPr="00581DF6" w:rsidRDefault="007A2C38" w:rsidP="00581DF6">
            <w:pPr>
              <w:spacing w:after="0" w:line="240" w:lineRule="auto"/>
              <w:jc w:val="center"/>
              <w:rPr>
                <w:rFonts w:ascii="Times New Roman" w:eastAsia="Times New Roman" w:hAnsi="Times New Roman" w:cs="Times New Roman"/>
                <w:color w:val="000000"/>
                <w:sz w:val="28"/>
                <w:szCs w:val="28"/>
              </w:rPr>
            </w:pPr>
            <w:r w:rsidRPr="00581DF6">
              <w:rPr>
                <w:rFonts w:ascii="Times New Roman" w:eastAsia="Times New Roman" w:hAnsi="Times New Roman" w:cs="Times New Roman"/>
                <w:color w:val="000000"/>
                <w:sz w:val="28"/>
                <w:szCs w:val="28"/>
              </w:rPr>
              <w:t>202</w:t>
            </w:r>
            <w:r w:rsidRPr="00581DF6">
              <w:rPr>
                <w:rFonts w:ascii="Times New Roman" w:eastAsia="Times New Roman" w:hAnsi="Times New Roman" w:cs="Times New Roman"/>
                <w:color w:val="000000"/>
                <w:sz w:val="28"/>
                <w:szCs w:val="28"/>
                <w:lang w:val="en-US"/>
              </w:rPr>
              <w:t>(</w:t>
            </w:r>
            <w:r w:rsidRPr="00581DF6">
              <w:rPr>
                <w:rFonts w:ascii="Times New Roman" w:eastAsia="Times New Roman" w:hAnsi="Times New Roman" w:cs="Times New Roman"/>
                <w:color w:val="000000"/>
                <w:sz w:val="28"/>
                <w:szCs w:val="28"/>
              </w:rPr>
              <w:t>100,00</w:t>
            </w:r>
            <w:r w:rsidRPr="00581DF6">
              <w:rPr>
                <w:rFonts w:ascii="Times New Roman" w:eastAsia="Times New Roman" w:hAnsi="Times New Roman" w:cs="Times New Roman"/>
                <w:color w:val="000000"/>
                <w:sz w:val="28"/>
                <w:szCs w:val="28"/>
                <w:lang w:val="en-US"/>
              </w:rPr>
              <w:t>%)</w:t>
            </w:r>
          </w:p>
        </w:tc>
        <w:tc>
          <w:tcPr>
            <w:tcW w:w="2345" w:type="dxa"/>
          </w:tcPr>
          <w:p w14:paraId="18B65344" w14:textId="77777777" w:rsidR="007A2C38" w:rsidRPr="00581DF6" w:rsidRDefault="007A2C38" w:rsidP="00581DF6">
            <w:pPr>
              <w:spacing w:after="0" w:line="240" w:lineRule="auto"/>
              <w:jc w:val="center"/>
              <w:rPr>
                <w:rFonts w:ascii="Times New Roman" w:eastAsia="Times New Roman" w:hAnsi="Times New Roman" w:cs="Times New Roman"/>
                <w:color w:val="000000"/>
                <w:sz w:val="28"/>
                <w:szCs w:val="28"/>
              </w:rPr>
            </w:pPr>
            <w:r w:rsidRPr="00581DF6">
              <w:rPr>
                <w:rFonts w:ascii="Times New Roman" w:eastAsia="Times New Roman" w:hAnsi="Times New Roman" w:cs="Times New Roman"/>
                <w:color w:val="000000"/>
                <w:sz w:val="28"/>
                <w:szCs w:val="28"/>
              </w:rPr>
              <w:t>278</w:t>
            </w:r>
            <w:r w:rsidRPr="00581DF6">
              <w:rPr>
                <w:rFonts w:ascii="Times New Roman" w:eastAsia="Times New Roman" w:hAnsi="Times New Roman" w:cs="Times New Roman"/>
                <w:color w:val="000000"/>
                <w:sz w:val="28"/>
                <w:szCs w:val="28"/>
                <w:lang w:val="en-US"/>
              </w:rPr>
              <w:t>(</w:t>
            </w:r>
            <w:r w:rsidRPr="00581DF6">
              <w:rPr>
                <w:rFonts w:ascii="Times New Roman" w:eastAsia="Times New Roman" w:hAnsi="Times New Roman" w:cs="Times New Roman"/>
                <w:color w:val="000000"/>
                <w:sz w:val="28"/>
                <w:szCs w:val="28"/>
              </w:rPr>
              <w:t>100,00</w:t>
            </w:r>
            <w:r w:rsidRPr="00581DF6">
              <w:rPr>
                <w:rFonts w:ascii="Times New Roman" w:eastAsia="Times New Roman" w:hAnsi="Times New Roman" w:cs="Times New Roman"/>
                <w:color w:val="000000"/>
                <w:sz w:val="28"/>
                <w:szCs w:val="28"/>
                <w:lang w:val="en-US"/>
              </w:rPr>
              <w:t>%)</w:t>
            </w:r>
          </w:p>
        </w:tc>
        <w:tc>
          <w:tcPr>
            <w:tcW w:w="2345" w:type="dxa"/>
          </w:tcPr>
          <w:p w14:paraId="25A51F56" w14:textId="77777777" w:rsidR="007A2C38" w:rsidRPr="00581DF6" w:rsidRDefault="007A2C38" w:rsidP="00581DF6">
            <w:pPr>
              <w:spacing w:after="0" w:line="240" w:lineRule="auto"/>
              <w:jc w:val="center"/>
              <w:rPr>
                <w:rFonts w:ascii="Times New Roman" w:eastAsia="Times New Roman" w:hAnsi="Times New Roman" w:cs="Times New Roman"/>
                <w:color w:val="000000"/>
                <w:sz w:val="28"/>
                <w:szCs w:val="28"/>
              </w:rPr>
            </w:pPr>
            <w:r w:rsidRPr="00581DF6">
              <w:rPr>
                <w:rFonts w:ascii="Times New Roman" w:eastAsia="Times New Roman" w:hAnsi="Times New Roman" w:cs="Times New Roman"/>
                <w:color w:val="000000"/>
                <w:sz w:val="28"/>
                <w:szCs w:val="28"/>
              </w:rPr>
              <w:t>480</w:t>
            </w:r>
            <w:r w:rsidRPr="00581DF6">
              <w:rPr>
                <w:rFonts w:ascii="Times New Roman" w:eastAsia="Times New Roman" w:hAnsi="Times New Roman" w:cs="Times New Roman"/>
                <w:color w:val="000000"/>
                <w:sz w:val="28"/>
                <w:szCs w:val="28"/>
                <w:lang w:val="en-US"/>
              </w:rPr>
              <w:t>(</w:t>
            </w:r>
            <w:r w:rsidRPr="00581DF6">
              <w:rPr>
                <w:rFonts w:ascii="Times New Roman" w:eastAsia="Times New Roman" w:hAnsi="Times New Roman" w:cs="Times New Roman"/>
                <w:color w:val="000000"/>
                <w:sz w:val="28"/>
                <w:szCs w:val="28"/>
              </w:rPr>
              <w:t>100,00</w:t>
            </w:r>
            <w:r w:rsidRPr="00581DF6">
              <w:rPr>
                <w:rFonts w:ascii="Times New Roman" w:eastAsia="Times New Roman" w:hAnsi="Times New Roman" w:cs="Times New Roman"/>
                <w:color w:val="000000"/>
                <w:sz w:val="28"/>
                <w:szCs w:val="28"/>
                <w:lang w:val="en-US"/>
              </w:rPr>
              <w:t>%)</w:t>
            </w:r>
          </w:p>
        </w:tc>
      </w:tr>
      <w:tr w:rsidR="007A2C38" w:rsidRPr="00581DF6" w14:paraId="3DBA694A" w14:textId="77777777" w:rsidTr="00581DF6">
        <w:tc>
          <w:tcPr>
            <w:tcW w:w="2309" w:type="dxa"/>
          </w:tcPr>
          <w:p w14:paraId="5AFA8E94" w14:textId="77777777" w:rsidR="007A2C38" w:rsidRPr="00581DF6" w:rsidRDefault="007A2C38" w:rsidP="00581DF6">
            <w:pPr>
              <w:tabs>
                <w:tab w:val="left" w:pos="1014"/>
              </w:tabs>
              <w:spacing w:after="0" w:line="240" w:lineRule="auto"/>
              <w:jc w:val="center"/>
              <w:rPr>
                <w:rFonts w:ascii="Times New Roman" w:hAnsi="Times New Roman" w:cs="Times New Roman"/>
                <w:sz w:val="28"/>
                <w:szCs w:val="28"/>
              </w:rPr>
            </w:pPr>
            <w:r w:rsidRPr="00581DF6">
              <w:rPr>
                <w:rFonts w:ascii="Times New Roman" w:eastAsia="Times New Roman" w:hAnsi="Times New Roman" w:cs="Times New Roman"/>
                <w:sz w:val="28"/>
                <w:szCs w:val="28"/>
                <w:lang w:val="en-US"/>
              </w:rPr>
              <w:t>p</w:t>
            </w:r>
            <w:r w:rsidRPr="00581DF6">
              <w:rPr>
                <w:rFonts w:ascii="Times New Roman" w:eastAsia="Times New Roman" w:hAnsi="Times New Roman" w:cs="Times New Roman"/>
                <w:sz w:val="28"/>
                <w:szCs w:val="28"/>
              </w:rPr>
              <w:t>-</w:t>
            </w:r>
            <w:r w:rsidRPr="00581DF6">
              <w:rPr>
                <w:rFonts w:ascii="Times New Roman" w:eastAsia="Times New Roman" w:hAnsi="Times New Roman" w:cs="Times New Roman"/>
                <w:sz w:val="28"/>
                <w:szCs w:val="28"/>
                <w:lang w:val="en-US"/>
              </w:rPr>
              <w:t>value</w:t>
            </w:r>
          </w:p>
        </w:tc>
        <w:tc>
          <w:tcPr>
            <w:tcW w:w="2345" w:type="dxa"/>
          </w:tcPr>
          <w:p w14:paraId="593CAA0B" w14:textId="77777777" w:rsidR="007A2C38" w:rsidRPr="00581DF6" w:rsidRDefault="007A2C38" w:rsidP="00581DF6">
            <w:pPr>
              <w:tabs>
                <w:tab w:val="left" w:pos="1014"/>
              </w:tabs>
              <w:spacing w:after="0" w:line="240" w:lineRule="auto"/>
              <w:jc w:val="center"/>
              <w:rPr>
                <w:rFonts w:ascii="Times New Roman" w:hAnsi="Times New Roman" w:cs="Times New Roman"/>
                <w:sz w:val="28"/>
                <w:szCs w:val="28"/>
              </w:rPr>
            </w:pPr>
            <w:r w:rsidRPr="00581DF6">
              <w:rPr>
                <w:rFonts w:ascii="Times New Roman" w:hAnsi="Times New Roman" w:cs="Times New Roman"/>
                <w:sz w:val="28"/>
                <w:szCs w:val="28"/>
              </w:rPr>
              <w:t>0,01</w:t>
            </w:r>
          </w:p>
        </w:tc>
        <w:tc>
          <w:tcPr>
            <w:tcW w:w="2345" w:type="dxa"/>
          </w:tcPr>
          <w:p w14:paraId="07543F84" w14:textId="042985F7" w:rsidR="007A2C38" w:rsidRPr="00581DF6" w:rsidRDefault="00B270B3" w:rsidP="00581DF6">
            <w:pPr>
              <w:tabs>
                <w:tab w:val="left" w:pos="1014"/>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2345" w:type="dxa"/>
          </w:tcPr>
          <w:p w14:paraId="4615646C" w14:textId="4804F8C5" w:rsidR="007A2C38" w:rsidRPr="00581DF6" w:rsidRDefault="00B270B3" w:rsidP="00581DF6">
            <w:pPr>
              <w:tabs>
                <w:tab w:val="left" w:pos="1014"/>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r>
    </w:tbl>
    <w:p w14:paraId="3365FE7F" w14:textId="77777777" w:rsidR="007A2C38" w:rsidRPr="004135FE" w:rsidRDefault="007A2C38" w:rsidP="004135FE">
      <w:pPr>
        <w:tabs>
          <w:tab w:val="left" w:pos="1014"/>
        </w:tabs>
        <w:spacing w:after="0" w:line="240" w:lineRule="auto"/>
        <w:jc w:val="both"/>
        <w:rPr>
          <w:rFonts w:ascii="Times New Roman" w:hAnsi="Times New Roman" w:cs="Times New Roman"/>
          <w:b/>
          <w:sz w:val="28"/>
          <w:szCs w:val="28"/>
        </w:rPr>
      </w:pPr>
    </w:p>
    <w:p w14:paraId="6AE113F8" w14:textId="77777777" w:rsidR="007A2C38" w:rsidRPr="004135FE" w:rsidRDefault="007A2C38"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Рациональное питание в жизни больных с СД2 занимает очень важную часть, которая основана на №9 диетическом столе. Уровень понимания важности питания в свою очередь влияет на уровень приверженности диетотерапии и контроля сахара крови. На вопрос «Кем было объяснено значение №9 диетического стола?», большинство 54,0% участников опроса ответили, что было предоставлена информация врачом эндокринологом. 11,7% случаях пациенты информированы о диетотерапии от ВОП и персоналов Школы диабета. Вклад медсестры врача эндокринолога в информировании пациентов составила 9,8%, персонала кабинета ЗОЖ 4,2%. В </w:t>
      </w:r>
      <w:r w:rsidRPr="004135FE">
        <w:rPr>
          <w:rFonts w:ascii="Times New Roman" w:hAnsi="Times New Roman" w:cs="Times New Roman"/>
          <w:sz w:val="28"/>
          <w:szCs w:val="28"/>
        </w:rPr>
        <w:lastRenderedPageBreak/>
        <w:t xml:space="preserve">8,8% случаях пациентам никто не объяснял о рациональном питании при СД2т, давали только брошюру для самостоятельного ознакомления. </w:t>
      </w:r>
    </w:p>
    <w:p w14:paraId="57C7F605" w14:textId="77777777" w:rsidR="007A2C38" w:rsidRPr="004135FE" w:rsidRDefault="007A2C38" w:rsidP="004135FE">
      <w:pPr>
        <w:autoSpaceDE w:val="0"/>
        <w:autoSpaceDN w:val="0"/>
        <w:adjustRightInd w:val="0"/>
        <w:spacing w:after="0" w:line="240" w:lineRule="auto"/>
        <w:ind w:firstLine="708"/>
        <w:jc w:val="both"/>
        <w:rPr>
          <w:rFonts w:ascii="Times New Roman" w:hAnsi="Times New Roman" w:cs="Times New Roman"/>
          <w:sz w:val="28"/>
          <w:szCs w:val="28"/>
        </w:rPr>
      </w:pPr>
    </w:p>
    <w:p w14:paraId="2D36116F" w14:textId="77777777" w:rsidR="007A2C38" w:rsidRPr="004135FE" w:rsidRDefault="007A2C38" w:rsidP="00EA5243">
      <w:pPr>
        <w:autoSpaceDE w:val="0"/>
        <w:autoSpaceDN w:val="0"/>
        <w:adjustRightInd w:val="0"/>
        <w:spacing w:after="0" w:line="240" w:lineRule="auto"/>
        <w:ind w:firstLine="708"/>
        <w:jc w:val="center"/>
        <w:rPr>
          <w:rFonts w:ascii="Times New Roman" w:hAnsi="Times New Roman" w:cs="Times New Roman"/>
          <w:sz w:val="28"/>
          <w:szCs w:val="28"/>
        </w:rPr>
      </w:pPr>
      <w:r w:rsidRPr="004135FE">
        <w:rPr>
          <w:noProof/>
          <w:sz w:val="28"/>
          <w:szCs w:val="28"/>
        </w:rPr>
        <w:drawing>
          <wp:inline distT="0" distB="0" distL="0" distR="0" wp14:anchorId="77904C36" wp14:editId="61C8DA46">
            <wp:extent cx="5114925" cy="2192866"/>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7A811FF3" w14:textId="77777777" w:rsidR="00EA5243" w:rsidRDefault="00EA5243" w:rsidP="00EA5243">
      <w:pPr>
        <w:autoSpaceDE w:val="0"/>
        <w:autoSpaceDN w:val="0"/>
        <w:adjustRightInd w:val="0"/>
        <w:spacing w:after="0" w:line="240" w:lineRule="auto"/>
        <w:ind w:firstLine="708"/>
        <w:jc w:val="center"/>
        <w:rPr>
          <w:rFonts w:ascii="Times New Roman" w:hAnsi="Times New Roman" w:cs="Times New Roman"/>
          <w:sz w:val="28"/>
          <w:szCs w:val="28"/>
        </w:rPr>
      </w:pPr>
    </w:p>
    <w:p w14:paraId="0E478D38" w14:textId="1FAAE788" w:rsidR="007A2C38" w:rsidRPr="004135FE" w:rsidRDefault="007A2C38" w:rsidP="00EA5243">
      <w:pPr>
        <w:autoSpaceDE w:val="0"/>
        <w:autoSpaceDN w:val="0"/>
        <w:adjustRightInd w:val="0"/>
        <w:spacing w:after="0" w:line="240" w:lineRule="auto"/>
        <w:ind w:firstLine="708"/>
        <w:jc w:val="center"/>
        <w:rPr>
          <w:rFonts w:ascii="Times New Roman" w:hAnsi="Times New Roman" w:cs="Times New Roman"/>
          <w:sz w:val="28"/>
          <w:szCs w:val="28"/>
        </w:rPr>
      </w:pPr>
      <w:r w:rsidRPr="004135FE">
        <w:rPr>
          <w:rFonts w:ascii="Times New Roman" w:hAnsi="Times New Roman" w:cs="Times New Roman"/>
          <w:sz w:val="28"/>
          <w:szCs w:val="28"/>
        </w:rPr>
        <w:t>Рисунок 37- Предоставление информации о диетическом столе №9 на уровне ПМСП</w:t>
      </w:r>
    </w:p>
    <w:p w14:paraId="6A01522A" w14:textId="77777777" w:rsidR="007A2C38" w:rsidRPr="004135FE" w:rsidRDefault="007A2C38" w:rsidP="004135FE">
      <w:pPr>
        <w:autoSpaceDE w:val="0"/>
        <w:autoSpaceDN w:val="0"/>
        <w:adjustRightInd w:val="0"/>
        <w:spacing w:after="0" w:line="240" w:lineRule="auto"/>
        <w:ind w:firstLine="708"/>
        <w:jc w:val="both"/>
        <w:rPr>
          <w:rFonts w:ascii="Times New Roman" w:hAnsi="Times New Roman" w:cs="Times New Roman"/>
          <w:sz w:val="28"/>
          <w:szCs w:val="28"/>
        </w:rPr>
      </w:pPr>
    </w:p>
    <w:p w14:paraId="4FBA17A2" w14:textId="77777777" w:rsidR="007A2C38" w:rsidRPr="004135FE" w:rsidRDefault="007A2C38" w:rsidP="00EA5243">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По результатам нашего исследования, на приверженность к употреблению овощей, фруктов и ягод влияет кем было объяснено пациенту значение диеты «№9стола». Так, при участии врача эндокринолога, в 54,9% случаях овощи и в 58,5% случаях фрукты и ягоды входят в рацион питания пациентов каждый день. Те, кто проходили обучение в ШД, в 15,8% случаях не каждый день и 9,1% каждый день потребляют овощи, а наличия фруктов и ягод составила в 12,0% каждый день, 10,3% не каждый день, отсутствие в рационе в 15,3% случаях.</w:t>
      </w:r>
    </w:p>
    <w:p w14:paraId="31297DCA" w14:textId="77777777" w:rsidR="007A2C38" w:rsidRPr="004135FE" w:rsidRDefault="007A2C38" w:rsidP="00EA5243">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Влияние коммуникативных навыков врача на приверженность правильному питанию пациента при потреблении овощей достоверны и для фруктов, ягод- высоко достоверны. В случаях, когда пациенту во время приема у врача все понятно и хорошо запоминает, это соответственно приводит к тому, что каждый день потребляют </w:t>
      </w:r>
      <w:r w:rsidRPr="004135FE">
        <w:rPr>
          <w:rFonts w:ascii="Times New Roman" w:eastAsia="Times New Roman" w:hAnsi="Times New Roman" w:cs="Times New Roman"/>
          <w:sz w:val="28"/>
          <w:szCs w:val="28"/>
        </w:rPr>
        <w:t>овощей 58,2% фруктов, ягод 65,2%</w:t>
      </w:r>
      <w:r w:rsidRPr="004135FE">
        <w:rPr>
          <w:rFonts w:ascii="Times New Roman" w:hAnsi="Times New Roman" w:cs="Times New Roman"/>
          <w:sz w:val="28"/>
          <w:szCs w:val="28"/>
        </w:rPr>
        <w:t xml:space="preserve">. </w:t>
      </w:r>
    </w:p>
    <w:p w14:paraId="1FCB835B" w14:textId="46B39B6C" w:rsidR="007A2C38" w:rsidRPr="004135FE" w:rsidRDefault="007A2C38" w:rsidP="00EA5243">
      <w:pPr>
        <w:spacing w:after="0" w:line="240" w:lineRule="auto"/>
        <w:ind w:firstLine="708"/>
        <w:jc w:val="both"/>
        <w:rPr>
          <w:rFonts w:ascii="Times New Roman" w:eastAsia="Times New Roman" w:hAnsi="Times New Roman" w:cs="Times New Roman"/>
          <w:sz w:val="28"/>
          <w:szCs w:val="28"/>
        </w:rPr>
      </w:pPr>
      <w:r w:rsidRPr="004135FE">
        <w:rPr>
          <w:rFonts w:ascii="Times New Roman" w:hAnsi="Times New Roman" w:cs="Times New Roman"/>
          <w:sz w:val="28"/>
          <w:szCs w:val="28"/>
        </w:rPr>
        <w:t>Наибольшая часть приверженных пациентов составили те, которые прошли обучение в ШД сразу, как</w:t>
      </w:r>
      <w:r w:rsidRPr="004135FE">
        <w:rPr>
          <w:rFonts w:ascii="Times New Roman" w:eastAsia="Times New Roman" w:hAnsi="Times New Roman" w:cs="Times New Roman"/>
          <w:sz w:val="28"/>
          <w:szCs w:val="28"/>
        </w:rPr>
        <w:t xml:space="preserve"> впервые выявили диагноз и в этом году. Соответственно овощей потребляют каждый день 25,6% и 30,3%, не каждый день 30,1% и 13,7%, фрукты, ягоды каждый день потребляют 23,9% и 34,8%, не каждый день 27,2% и 18,3%, в рационе нет фруктов 36,1% и 13,9%. Из всех пациентов 16,5% не знают о ШД и не было рекомендовано медперсоналом. При изучении рационального питания пациентов от вариации ИМТ, не установлена достоверные различия между группами. </w:t>
      </w:r>
    </w:p>
    <w:p w14:paraId="791A1937" w14:textId="77777777" w:rsidR="007A2C38" w:rsidRDefault="007A2C38" w:rsidP="004135FE">
      <w:pPr>
        <w:spacing w:after="0" w:line="240" w:lineRule="auto"/>
        <w:jc w:val="both"/>
        <w:rPr>
          <w:rFonts w:ascii="Times New Roman" w:hAnsi="Times New Roman" w:cs="Times New Roman"/>
          <w:b/>
          <w:sz w:val="28"/>
          <w:szCs w:val="28"/>
        </w:rPr>
      </w:pPr>
    </w:p>
    <w:p w14:paraId="5D7AECC9" w14:textId="5A8D4843" w:rsidR="00EA5243" w:rsidRPr="004135FE" w:rsidRDefault="00EA5243" w:rsidP="004135FE">
      <w:pPr>
        <w:spacing w:after="0" w:line="240" w:lineRule="auto"/>
        <w:jc w:val="both"/>
        <w:rPr>
          <w:rFonts w:ascii="Times New Roman" w:hAnsi="Times New Roman" w:cs="Times New Roman"/>
          <w:b/>
          <w:sz w:val="28"/>
          <w:szCs w:val="28"/>
        </w:rPr>
        <w:sectPr w:rsidR="00EA5243" w:rsidRPr="004135FE" w:rsidSect="00EC71C2">
          <w:type w:val="nextColumn"/>
          <w:pgSz w:w="11906" w:h="16838"/>
          <w:pgMar w:top="1134" w:right="851" w:bottom="1134" w:left="1701" w:header="708" w:footer="708" w:gutter="0"/>
          <w:cols w:space="708"/>
          <w:docGrid w:linePitch="360"/>
        </w:sectPr>
      </w:pPr>
    </w:p>
    <w:tbl>
      <w:tblPr>
        <w:tblStyle w:val="af9"/>
        <w:tblpPr w:leftFromText="180" w:rightFromText="180" w:vertAnchor="text" w:horzAnchor="margin" w:tblpY="315"/>
        <w:tblW w:w="14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7"/>
        <w:gridCol w:w="2028"/>
        <w:gridCol w:w="1351"/>
        <w:gridCol w:w="1246"/>
        <w:gridCol w:w="1351"/>
        <w:gridCol w:w="581"/>
        <w:gridCol w:w="1524"/>
        <w:gridCol w:w="1351"/>
        <w:gridCol w:w="1231"/>
        <w:gridCol w:w="1423"/>
        <w:gridCol w:w="709"/>
      </w:tblGrid>
      <w:tr w:rsidR="00CC312F" w:rsidRPr="00EA5243" w14:paraId="457FB394" w14:textId="77777777" w:rsidTr="00581DF6">
        <w:trPr>
          <w:trHeight w:val="271"/>
        </w:trPr>
        <w:tc>
          <w:tcPr>
            <w:tcW w:w="14322" w:type="dxa"/>
            <w:gridSpan w:val="11"/>
            <w:tcBorders>
              <w:top w:val="nil"/>
              <w:left w:val="nil"/>
              <w:bottom w:val="single" w:sz="4" w:space="0" w:color="auto"/>
              <w:right w:val="nil"/>
            </w:tcBorders>
            <w:noWrap/>
          </w:tcPr>
          <w:p w14:paraId="131F5D69" w14:textId="77777777" w:rsidR="00CC312F" w:rsidRPr="004135FE" w:rsidRDefault="00CC312F" w:rsidP="00CC312F">
            <w:pPr>
              <w:spacing w:after="0" w:line="240" w:lineRule="auto"/>
              <w:rPr>
                <w:rFonts w:ascii="Times New Roman" w:hAnsi="Times New Roman" w:cs="Times New Roman"/>
                <w:sz w:val="28"/>
                <w:szCs w:val="28"/>
              </w:rPr>
            </w:pPr>
            <w:r w:rsidRPr="004135FE">
              <w:rPr>
                <w:rFonts w:ascii="Times New Roman" w:hAnsi="Times New Roman" w:cs="Times New Roman"/>
                <w:bCs/>
                <w:sz w:val="28"/>
                <w:szCs w:val="28"/>
              </w:rPr>
              <w:lastRenderedPageBreak/>
              <w:t>Таблица 31- Приверженность правильному питанию при СД2т</w:t>
            </w:r>
          </w:p>
          <w:p w14:paraId="730C9A13" w14:textId="77777777" w:rsidR="00CC312F" w:rsidRPr="00EA5243" w:rsidRDefault="00CC312F" w:rsidP="00CC312F">
            <w:pPr>
              <w:spacing w:after="0" w:line="240" w:lineRule="auto"/>
              <w:rPr>
                <w:rFonts w:ascii="Times New Roman" w:eastAsia="Times New Roman" w:hAnsi="Times New Roman" w:cs="Times New Roman"/>
                <w:sz w:val="24"/>
                <w:szCs w:val="24"/>
              </w:rPr>
            </w:pPr>
          </w:p>
        </w:tc>
      </w:tr>
      <w:tr w:rsidR="00CC312F" w:rsidRPr="00EA5243" w14:paraId="34D9020B" w14:textId="77777777" w:rsidTr="00581DF6">
        <w:trPr>
          <w:trHeight w:val="271"/>
        </w:trPr>
        <w:tc>
          <w:tcPr>
            <w:tcW w:w="3555" w:type="dxa"/>
            <w:gridSpan w:val="2"/>
            <w:vMerge w:val="restart"/>
            <w:tcBorders>
              <w:top w:val="single" w:sz="4" w:space="0" w:color="auto"/>
            </w:tcBorders>
            <w:noWrap/>
            <w:hideMark/>
          </w:tcPr>
          <w:p w14:paraId="0D00DA6B" w14:textId="77777777" w:rsidR="00EA5243" w:rsidRPr="00CC312F" w:rsidRDefault="00EA5243" w:rsidP="00CC312F">
            <w:pPr>
              <w:spacing w:after="0" w:line="240" w:lineRule="auto"/>
              <w:rPr>
                <w:rFonts w:ascii="Times New Roman" w:eastAsia="Times New Roman" w:hAnsi="Times New Roman" w:cs="Times New Roman"/>
                <w:sz w:val="23"/>
                <w:szCs w:val="23"/>
              </w:rPr>
            </w:pPr>
            <w:r w:rsidRPr="00CC312F">
              <w:rPr>
                <w:rFonts w:ascii="Times New Roman" w:eastAsia="Times New Roman" w:hAnsi="Times New Roman" w:cs="Times New Roman"/>
                <w:sz w:val="23"/>
                <w:szCs w:val="23"/>
              </w:rPr>
              <w:t>Факторы</w:t>
            </w:r>
          </w:p>
          <w:p w14:paraId="37E11D8B" w14:textId="77777777" w:rsidR="00CC312F" w:rsidRPr="00CC312F" w:rsidRDefault="00CC312F" w:rsidP="00CC312F">
            <w:pPr>
              <w:spacing w:line="240" w:lineRule="auto"/>
              <w:ind w:firstLine="708"/>
              <w:rPr>
                <w:rFonts w:ascii="Times New Roman" w:eastAsia="Times New Roman" w:hAnsi="Times New Roman" w:cs="Times New Roman"/>
                <w:sz w:val="23"/>
                <w:szCs w:val="23"/>
              </w:rPr>
            </w:pPr>
          </w:p>
          <w:p w14:paraId="2E6DD3EF" w14:textId="74C80127" w:rsidR="00CC312F" w:rsidRPr="00CC312F" w:rsidRDefault="00CC312F" w:rsidP="00CC312F">
            <w:pPr>
              <w:spacing w:line="240" w:lineRule="auto"/>
              <w:rPr>
                <w:rFonts w:ascii="Times New Roman" w:eastAsia="Times New Roman" w:hAnsi="Times New Roman" w:cs="Times New Roman"/>
                <w:sz w:val="23"/>
                <w:szCs w:val="23"/>
              </w:rPr>
            </w:pPr>
          </w:p>
        </w:tc>
        <w:tc>
          <w:tcPr>
            <w:tcW w:w="4529" w:type="dxa"/>
            <w:gridSpan w:val="4"/>
            <w:tcBorders>
              <w:top w:val="single" w:sz="4" w:space="0" w:color="auto"/>
            </w:tcBorders>
            <w:noWrap/>
            <w:hideMark/>
          </w:tcPr>
          <w:p w14:paraId="46683CC2" w14:textId="77777777" w:rsidR="00EA5243" w:rsidRPr="00CC312F" w:rsidRDefault="00EA5243" w:rsidP="00CC312F">
            <w:pPr>
              <w:spacing w:after="0" w:line="240" w:lineRule="auto"/>
              <w:jc w:val="center"/>
              <w:rPr>
                <w:rFonts w:ascii="Times New Roman" w:eastAsia="Times New Roman" w:hAnsi="Times New Roman" w:cs="Times New Roman"/>
                <w:sz w:val="23"/>
                <w:szCs w:val="23"/>
              </w:rPr>
            </w:pPr>
            <w:r w:rsidRPr="00CC312F">
              <w:rPr>
                <w:rFonts w:ascii="Times New Roman" w:eastAsia="Times New Roman" w:hAnsi="Times New Roman" w:cs="Times New Roman"/>
                <w:sz w:val="23"/>
                <w:szCs w:val="23"/>
              </w:rPr>
              <w:t>Частота овощей в рационе питания</w:t>
            </w:r>
          </w:p>
        </w:tc>
        <w:tc>
          <w:tcPr>
            <w:tcW w:w="6238" w:type="dxa"/>
            <w:gridSpan w:val="5"/>
            <w:tcBorders>
              <w:top w:val="single" w:sz="4" w:space="0" w:color="auto"/>
            </w:tcBorders>
          </w:tcPr>
          <w:p w14:paraId="27EFC804" w14:textId="77777777" w:rsidR="00EA5243" w:rsidRPr="00CC312F" w:rsidRDefault="00EA5243" w:rsidP="00CC312F">
            <w:pPr>
              <w:spacing w:after="0" w:line="240" w:lineRule="auto"/>
              <w:jc w:val="center"/>
              <w:rPr>
                <w:rFonts w:ascii="Times New Roman" w:eastAsia="Times New Roman" w:hAnsi="Times New Roman" w:cs="Times New Roman"/>
                <w:sz w:val="23"/>
                <w:szCs w:val="23"/>
              </w:rPr>
            </w:pPr>
            <w:r w:rsidRPr="00CC312F">
              <w:rPr>
                <w:rFonts w:ascii="Times New Roman" w:eastAsia="Times New Roman" w:hAnsi="Times New Roman" w:cs="Times New Roman"/>
                <w:sz w:val="23"/>
                <w:szCs w:val="23"/>
              </w:rPr>
              <w:t>Частота фруктов и ягод в рационе питания</w:t>
            </w:r>
          </w:p>
        </w:tc>
      </w:tr>
      <w:tr w:rsidR="00CC312F" w:rsidRPr="00EA5243" w14:paraId="130D9D2E" w14:textId="77777777" w:rsidTr="00581DF6">
        <w:trPr>
          <w:trHeight w:val="271"/>
        </w:trPr>
        <w:tc>
          <w:tcPr>
            <w:tcW w:w="3555" w:type="dxa"/>
            <w:gridSpan w:val="2"/>
            <w:vMerge/>
            <w:noWrap/>
            <w:hideMark/>
          </w:tcPr>
          <w:p w14:paraId="04302981" w14:textId="77777777" w:rsidR="00EA5243" w:rsidRPr="00CC312F" w:rsidRDefault="00EA5243" w:rsidP="00CC312F">
            <w:pPr>
              <w:spacing w:after="0" w:line="240" w:lineRule="auto"/>
              <w:jc w:val="center"/>
              <w:rPr>
                <w:rFonts w:ascii="Times New Roman" w:eastAsia="Times New Roman" w:hAnsi="Times New Roman" w:cs="Times New Roman"/>
                <w:sz w:val="23"/>
                <w:szCs w:val="23"/>
              </w:rPr>
            </w:pPr>
          </w:p>
        </w:tc>
        <w:tc>
          <w:tcPr>
            <w:tcW w:w="1351" w:type="dxa"/>
            <w:noWrap/>
            <w:hideMark/>
          </w:tcPr>
          <w:p w14:paraId="46B4F49B" w14:textId="77777777" w:rsidR="00EA5243" w:rsidRPr="00CC312F" w:rsidRDefault="00EA5243" w:rsidP="00CC312F">
            <w:pPr>
              <w:spacing w:after="0" w:line="240" w:lineRule="auto"/>
              <w:jc w:val="center"/>
              <w:rPr>
                <w:rFonts w:ascii="Times New Roman" w:eastAsia="Times New Roman" w:hAnsi="Times New Roman" w:cs="Times New Roman"/>
                <w:sz w:val="23"/>
                <w:szCs w:val="23"/>
              </w:rPr>
            </w:pPr>
            <w:r w:rsidRPr="00CC312F">
              <w:rPr>
                <w:rFonts w:ascii="Times New Roman" w:eastAsia="Times New Roman" w:hAnsi="Times New Roman" w:cs="Times New Roman"/>
                <w:sz w:val="23"/>
                <w:szCs w:val="23"/>
              </w:rPr>
              <w:t>каждый день</w:t>
            </w:r>
          </w:p>
        </w:tc>
        <w:tc>
          <w:tcPr>
            <w:tcW w:w="1246" w:type="dxa"/>
            <w:noWrap/>
            <w:hideMark/>
          </w:tcPr>
          <w:p w14:paraId="2718C7BC" w14:textId="77777777" w:rsidR="00EA5243" w:rsidRPr="00CC312F" w:rsidRDefault="00EA5243" w:rsidP="00CC312F">
            <w:pPr>
              <w:spacing w:after="0" w:line="240" w:lineRule="auto"/>
              <w:jc w:val="center"/>
              <w:rPr>
                <w:rFonts w:ascii="Times New Roman" w:eastAsia="Times New Roman" w:hAnsi="Times New Roman" w:cs="Times New Roman"/>
                <w:sz w:val="23"/>
                <w:szCs w:val="23"/>
              </w:rPr>
            </w:pPr>
            <w:r w:rsidRPr="00CC312F">
              <w:rPr>
                <w:rFonts w:ascii="Times New Roman" w:eastAsia="Times New Roman" w:hAnsi="Times New Roman" w:cs="Times New Roman"/>
                <w:sz w:val="23"/>
                <w:szCs w:val="23"/>
              </w:rPr>
              <w:t>не каждый день</w:t>
            </w:r>
          </w:p>
        </w:tc>
        <w:tc>
          <w:tcPr>
            <w:tcW w:w="1351" w:type="dxa"/>
            <w:noWrap/>
            <w:hideMark/>
          </w:tcPr>
          <w:p w14:paraId="7CB34093" w14:textId="77777777" w:rsidR="00EA5243" w:rsidRPr="00CC312F" w:rsidRDefault="00EA5243" w:rsidP="00CC312F">
            <w:pPr>
              <w:spacing w:after="0" w:line="240" w:lineRule="auto"/>
              <w:jc w:val="center"/>
              <w:rPr>
                <w:rFonts w:ascii="Times New Roman" w:eastAsia="Times New Roman" w:hAnsi="Times New Roman" w:cs="Times New Roman"/>
                <w:sz w:val="23"/>
                <w:szCs w:val="23"/>
              </w:rPr>
            </w:pPr>
            <w:r w:rsidRPr="00CC312F">
              <w:rPr>
                <w:rFonts w:ascii="Times New Roman" w:eastAsia="Times New Roman" w:hAnsi="Times New Roman" w:cs="Times New Roman"/>
                <w:sz w:val="23"/>
                <w:szCs w:val="23"/>
              </w:rPr>
              <w:t>всего</w:t>
            </w:r>
          </w:p>
        </w:tc>
        <w:tc>
          <w:tcPr>
            <w:tcW w:w="581" w:type="dxa"/>
          </w:tcPr>
          <w:p w14:paraId="03C139F9" w14:textId="77777777" w:rsidR="00EA5243" w:rsidRPr="00CC312F" w:rsidRDefault="00EA5243" w:rsidP="00CC312F">
            <w:pPr>
              <w:spacing w:after="0" w:line="240" w:lineRule="auto"/>
              <w:jc w:val="center"/>
              <w:rPr>
                <w:rFonts w:ascii="Times New Roman" w:eastAsia="Times New Roman" w:hAnsi="Times New Roman" w:cs="Times New Roman"/>
                <w:sz w:val="23"/>
                <w:szCs w:val="23"/>
              </w:rPr>
            </w:pPr>
            <w:r w:rsidRPr="00CC312F">
              <w:rPr>
                <w:rFonts w:ascii="Times New Roman" w:eastAsia="Times New Roman" w:hAnsi="Times New Roman" w:cs="Times New Roman"/>
                <w:sz w:val="23"/>
                <w:szCs w:val="23"/>
              </w:rPr>
              <w:t>р</w:t>
            </w:r>
          </w:p>
        </w:tc>
        <w:tc>
          <w:tcPr>
            <w:tcW w:w="1524" w:type="dxa"/>
          </w:tcPr>
          <w:p w14:paraId="26D9AE98" w14:textId="77777777" w:rsidR="00EA5243" w:rsidRPr="00CC312F" w:rsidRDefault="00EA5243" w:rsidP="00CC312F">
            <w:pPr>
              <w:spacing w:after="0" w:line="240" w:lineRule="auto"/>
              <w:jc w:val="center"/>
              <w:rPr>
                <w:rFonts w:ascii="Times New Roman" w:eastAsia="Times New Roman" w:hAnsi="Times New Roman" w:cs="Times New Roman"/>
                <w:sz w:val="23"/>
                <w:szCs w:val="23"/>
              </w:rPr>
            </w:pPr>
            <w:r w:rsidRPr="00CC312F">
              <w:rPr>
                <w:rFonts w:ascii="Times New Roman" w:eastAsia="Times New Roman" w:hAnsi="Times New Roman" w:cs="Times New Roman"/>
                <w:sz w:val="23"/>
                <w:szCs w:val="23"/>
              </w:rPr>
              <w:t>каждый день</w:t>
            </w:r>
          </w:p>
        </w:tc>
        <w:tc>
          <w:tcPr>
            <w:tcW w:w="1351" w:type="dxa"/>
          </w:tcPr>
          <w:p w14:paraId="080BCC59" w14:textId="77777777" w:rsidR="00EA5243" w:rsidRPr="00CC312F" w:rsidRDefault="00EA5243" w:rsidP="00CC312F">
            <w:pPr>
              <w:spacing w:after="0" w:line="240" w:lineRule="auto"/>
              <w:jc w:val="center"/>
              <w:rPr>
                <w:rFonts w:ascii="Times New Roman" w:eastAsia="Times New Roman" w:hAnsi="Times New Roman" w:cs="Times New Roman"/>
                <w:sz w:val="23"/>
                <w:szCs w:val="23"/>
              </w:rPr>
            </w:pPr>
            <w:r w:rsidRPr="00CC312F">
              <w:rPr>
                <w:rFonts w:ascii="Times New Roman" w:eastAsia="Times New Roman" w:hAnsi="Times New Roman" w:cs="Times New Roman"/>
                <w:sz w:val="23"/>
                <w:szCs w:val="23"/>
              </w:rPr>
              <w:t>не каждый день</w:t>
            </w:r>
          </w:p>
        </w:tc>
        <w:tc>
          <w:tcPr>
            <w:tcW w:w="1231" w:type="dxa"/>
          </w:tcPr>
          <w:p w14:paraId="47AB1E9D" w14:textId="77777777" w:rsidR="00EA5243" w:rsidRPr="00CC312F" w:rsidRDefault="00EA5243" w:rsidP="00CC312F">
            <w:pPr>
              <w:spacing w:after="0" w:line="240" w:lineRule="auto"/>
              <w:jc w:val="center"/>
              <w:rPr>
                <w:rFonts w:ascii="Times New Roman" w:eastAsia="Times New Roman" w:hAnsi="Times New Roman" w:cs="Times New Roman"/>
                <w:sz w:val="23"/>
                <w:szCs w:val="23"/>
              </w:rPr>
            </w:pPr>
            <w:r w:rsidRPr="00CC312F">
              <w:rPr>
                <w:rFonts w:ascii="Times New Roman" w:eastAsia="Times New Roman" w:hAnsi="Times New Roman" w:cs="Times New Roman"/>
                <w:sz w:val="23"/>
                <w:szCs w:val="23"/>
              </w:rPr>
              <w:t>нет в рационе</w:t>
            </w:r>
          </w:p>
        </w:tc>
        <w:tc>
          <w:tcPr>
            <w:tcW w:w="1423" w:type="dxa"/>
          </w:tcPr>
          <w:p w14:paraId="0AC2544A" w14:textId="77777777" w:rsidR="00EA5243" w:rsidRPr="00CC312F" w:rsidRDefault="00EA5243" w:rsidP="00CC312F">
            <w:pPr>
              <w:spacing w:after="0" w:line="240" w:lineRule="auto"/>
              <w:jc w:val="center"/>
              <w:rPr>
                <w:rFonts w:ascii="Times New Roman" w:eastAsia="Times New Roman" w:hAnsi="Times New Roman" w:cs="Times New Roman"/>
                <w:sz w:val="23"/>
                <w:szCs w:val="23"/>
              </w:rPr>
            </w:pPr>
            <w:r w:rsidRPr="00CC312F">
              <w:rPr>
                <w:rFonts w:ascii="Times New Roman" w:eastAsia="Times New Roman" w:hAnsi="Times New Roman" w:cs="Times New Roman"/>
                <w:sz w:val="23"/>
                <w:szCs w:val="23"/>
              </w:rPr>
              <w:t>всего</w:t>
            </w:r>
          </w:p>
        </w:tc>
        <w:tc>
          <w:tcPr>
            <w:tcW w:w="709" w:type="dxa"/>
          </w:tcPr>
          <w:p w14:paraId="5C2859E5" w14:textId="77777777" w:rsidR="00EA5243" w:rsidRPr="00CC312F" w:rsidRDefault="00EA5243" w:rsidP="00CC312F">
            <w:pPr>
              <w:spacing w:after="0" w:line="240" w:lineRule="auto"/>
              <w:jc w:val="center"/>
              <w:rPr>
                <w:rFonts w:ascii="Times New Roman" w:eastAsia="Times New Roman" w:hAnsi="Times New Roman" w:cs="Times New Roman"/>
                <w:sz w:val="23"/>
                <w:szCs w:val="23"/>
              </w:rPr>
            </w:pPr>
            <w:r w:rsidRPr="00CC312F">
              <w:rPr>
                <w:rFonts w:ascii="Times New Roman" w:eastAsia="Times New Roman" w:hAnsi="Times New Roman" w:cs="Times New Roman"/>
                <w:sz w:val="23"/>
                <w:szCs w:val="23"/>
              </w:rPr>
              <w:t>р</w:t>
            </w:r>
          </w:p>
        </w:tc>
      </w:tr>
      <w:tr w:rsidR="00AC13E1" w:rsidRPr="00EA5243" w14:paraId="6D7C0232" w14:textId="77777777" w:rsidTr="00581DF6">
        <w:trPr>
          <w:trHeight w:val="271"/>
        </w:trPr>
        <w:tc>
          <w:tcPr>
            <w:tcW w:w="3555" w:type="dxa"/>
            <w:gridSpan w:val="2"/>
            <w:noWrap/>
          </w:tcPr>
          <w:p w14:paraId="62E17580" w14:textId="496D3811" w:rsidR="00AC13E1" w:rsidRPr="00CC312F" w:rsidRDefault="00AC13E1" w:rsidP="00CC312F">
            <w:pPr>
              <w:spacing w:after="0"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1</w:t>
            </w:r>
          </w:p>
        </w:tc>
        <w:tc>
          <w:tcPr>
            <w:tcW w:w="1351" w:type="dxa"/>
            <w:noWrap/>
          </w:tcPr>
          <w:p w14:paraId="7E6588BC" w14:textId="7E0CC069" w:rsidR="00AC13E1" w:rsidRPr="00CC312F" w:rsidRDefault="00AC13E1" w:rsidP="00CC312F">
            <w:pPr>
              <w:spacing w:after="0"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2</w:t>
            </w:r>
          </w:p>
        </w:tc>
        <w:tc>
          <w:tcPr>
            <w:tcW w:w="1246" w:type="dxa"/>
            <w:noWrap/>
          </w:tcPr>
          <w:p w14:paraId="183BA151" w14:textId="4A3E6CFC" w:rsidR="00AC13E1" w:rsidRPr="00CC312F" w:rsidRDefault="00AC13E1" w:rsidP="00CC312F">
            <w:pPr>
              <w:spacing w:after="0"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3</w:t>
            </w:r>
          </w:p>
        </w:tc>
        <w:tc>
          <w:tcPr>
            <w:tcW w:w="1351" w:type="dxa"/>
            <w:noWrap/>
          </w:tcPr>
          <w:p w14:paraId="42A84E35" w14:textId="57E7EEAA" w:rsidR="00AC13E1" w:rsidRPr="00CC312F" w:rsidRDefault="00AC13E1" w:rsidP="00CC312F">
            <w:pPr>
              <w:spacing w:after="0"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4</w:t>
            </w:r>
          </w:p>
        </w:tc>
        <w:tc>
          <w:tcPr>
            <w:tcW w:w="581" w:type="dxa"/>
          </w:tcPr>
          <w:p w14:paraId="4DCD206B" w14:textId="77BBD7E8" w:rsidR="00AC13E1" w:rsidRPr="00CC312F" w:rsidRDefault="00AC13E1" w:rsidP="00CC312F">
            <w:pPr>
              <w:spacing w:after="0"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5</w:t>
            </w:r>
          </w:p>
        </w:tc>
        <w:tc>
          <w:tcPr>
            <w:tcW w:w="1524" w:type="dxa"/>
          </w:tcPr>
          <w:p w14:paraId="5161888E" w14:textId="7C56CB8D" w:rsidR="00AC13E1" w:rsidRPr="00CC312F" w:rsidRDefault="00AC13E1" w:rsidP="00CC312F">
            <w:pPr>
              <w:spacing w:after="0"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6</w:t>
            </w:r>
          </w:p>
        </w:tc>
        <w:tc>
          <w:tcPr>
            <w:tcW w:w="1351" w:type="dxa"/>
          </w:tcPr>
          <w:p w14:paraId="25C087B4" w14:textId="28CBCC32" w:rsidR="00AC13E1" w:rsidRPr="00CC312F" w:rsidRDefault="00AC13E1" w:rsidP="00CC312F">
            <w:pPr>
              <w:spacing w:after="0"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7</w:t>
            </w:r>
          </w:p>
        </w:tc>
        <w:tc>
          <w:tcPr>
            <w:tcW w:w="1231" w:type="dxa"/>
          </w:tcPr>
          <w:p w14:paraId="6622CF3E" w14:textId="2D656A44" w:rsidR="00AC13E1" w:rsidRPr="00CC312F" w:rsidRDefault="00AC13E1" w:rsidP="00CC312F">
            <w:pPr>
              <w:spacing w:after="0"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8</w:t>
            </w:r>
          </w:p>
        </w:tc>
        <w:tc>
          <w:tcPr>
            <w:tcW w:w="1423" w:type="dxa"/>
          </w:tcPr>
          <w:p w14:paraId="607568F8" w14:textId="26AA6CD9" w:rsidR="00AC13E1" w:rsidRPr="00CC312F" w:rsidRDefault="00AC13E1" w:rsidP="00CC312F">
            <w:pPr>
              <w:spacing w:after="0"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9</w:t>
            </w:r>
          </w:p>
        </w:tc>
        <w:tc>
          <w:tcPr>
            <w:tcW w:w="709" w:type="dxa"/>
          </w:tcPr>
          <w:p w14:paraId="1348DE12" w14:textId="77DB8D42" w:rsidR="00AC13E1" w:rsidRPr="00CC312F" w:rsidRDefault="00AC13E1" w:rsidP="00CC312F">
            <w:pPr>
              <w:spacing w:after="0" w:line="240" w:lineRule="auto"/>
              <w:jc w:val="center"/>
              <w:rPr>
                <w:rFonts w:ascii="Times New Roman" w:eastAsia="Times New Roman" w:hAnsi="Times New Roman" w:cs="Times New Roman"/>
                <w:sz w:val="23"/>
                <w:szCs w:val="23"/>
              </w:rPr>
            </w:pPr>
            <w:r>
              <w:rPr>
                <w:rFonts w:ascii="Times New Roman" w:eastAsia="Times New Roman" w:hAnsi="Times New Roman" w:cs="Times New Roman"/>
                <w:sz w:val="23"/>
                <w:szCs w:val="23"/>
              </w:rPr>
              <w:t>10</w:t>
            </w:r>
          </w:p>
        </w:tc>
      </w:tr>
      <w:tr w:rsidR="00CC312F" w:rsidRPr="00EA5243" w14:paraId="74271599" w14:textId="77777777" w:rsidTr="00581DF6">
        <w:trPr>
          <w:trHeight w:val="271"/>
        </w:trPr>
        <w:tc>
          <w:tcPr>
            <w:tcW w:w="1527" w:type="dxa"/>
            <w:vMerge w:val="restart"/>
            <w:noWrap/>
            <w:hideMark/>
          </w:tcPr>
          <w:p w14:paraId="0C53B246" w14:textId="77777777" w:rsidR="00EA5243" w:rsidRPr="00EA5243" w:rsidRDefault="00EA5243" w:rsidP="00CC312F">
            <w:pPr>
              <w:spacing w:after="0" w:line="240" w:lineRule="auto"/>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Кто объяснял значение №9 стол</w:t>
            </w:r>
          </w:p>
        </w:tc>
        <w:tc>
          <w:tcPr>
            <w:tcW w:w="2028" w:type="dxa"/>
            <w:noWrap/>
            <w:hideMark/>
          </w:tcPr>
          <w:p w14:paraId="01EAE2A1"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Врач эндокринолог</w:t>
            </w:r>
          </w:p>
        </w:tc>
        <w:tc>
          <w:tcPr>
            <w:tcW w:w="1351" w:type="dxa"/>
            <w:noWrap/>
            <w:hideMark/>
          </w:tcPr>
          <w:p w14:paraId="2B04DAA2" w14:textId="231AA745"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163</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(54,9%)</w:t>
            </w:r>
          </w:p>
        </w:tc>
        <w:tc>
          <w:tcPr>
            <w:tcW w:w="1246" w:type="dxa"/>
            <w:noWrap/>
            <w:hideMark/>
          </w:tcPr>
          <w:p w14:paraId="74444FC5" w14:textId="508FC833"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96</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(52,5%)</w:t>
            </w:r>
          </w:p>
        </w:tc>
        <w:tc>
          <w:tcPr>
            <w:tcW w:w="1351" w:type="dxa"/>
            <w:noWrap/>
            <w:hideMark/>
          </w:tcPr>
          <w:p w14:paraId="7BB51E04" w14:textId="370026F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259</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(54,0%)</w:t>
            </w:r>
          </w:p>
        </w:tc>
        <w:tc>
          <w:tcPr>
            <w:tcW w:w="581" w:type="dxa"/>
            <w:vMerge w:val="restart"/>
          </w:tcPr>
          <w:p w14:paraId="6E4D7D8E"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0,002</w:t>
            </w:r>
          </w:p>
        </w:tc>
        <w:tc>
          <w:tcPr>
            <w:tcW w:w="1524" w:type="dxa"/>
          </w:tcPr>
          <w:p w14:paraId="2DD6A567" w14:textId="4BBFDC52"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97</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(52,7%)</w:t>
            </w:r>
          </w:p>
        </w:tc>
        <w:tc>
          <w:tcPr>
            <w:tcW w:w="1351" w:type="dxa"/>
          </w:tcPr>
          <w:p w14:paraId="1E941ACA" w14:textId="175C51EE"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131</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(58,5%)</w:t>
            </w:r>
          </w:p>
        </w:tc>
        <w:tc>
          <w:tcPr>
            <w:tcW w:w="1231" w:type="dxa"/>
          </w:tcPr>
          <w:p w14:paraId="32D47DF7" w14:textId="16ECD962"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31</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(43,1%)</w:t>
            </w:r>
          </w:p>
        </w:tc>
        <w:tc>
          <w:tcPr>
            <w:tcW w:w="1423" w:type="dxa"/>
          </w:tcPr>
          <w:p w14:paraId="1CF14A9E" w14:textId="1FA4F8E3"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259</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(54,0%)</w:t>
            </w:r>
          </w:p>
        </w:tc>
        <w:tc>
          <w:tcPr>
            <w:tcW w:w="709" w:type="dxa"/>
            <w:vMerge w:val="restart"/>
          </w:tcPr>
          <w:p w14:paraId="6FC859BA"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0,015</w:t>
            </w:r>
          </w:p>
        </w:tc>
      </w:tr>
      <w:tr w:rsidR="00CC312F" w:rsidRPr="00EA5243" w14:paraId="495B0336" w14:textId="77777777" w:rsidTr="00581DF6">
        <w:trPr>
          <w:trHeight w:val="271"/>
        </w:trPr>
        <w:tc>
          <w:tcPr>
            <w:tcW w:w="1527" w:type="dxa"/>
            <w:vMerge/>
            <w:noWrap/>
            <w:hideMark/>
          </w:tcPr>
          <w:p w14:paraId="1A74977B"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c>
          <w:tcPr>
            <w:tcW w:w="2028" w:type="dxa"/>
            <w:noWrap/>
            <w:hideMark/>
          </w:tcPr>
          <w:p w14:paraId="05E3F7C5"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Медсестра врача эндокринолога</w:t>
            </w:r>
          </w:p>
        </w:tc>
        <w:tc>
          <w:tcPr>
            <w:tcW w:w="1351" w:type="dxa"/>
            <w:noWrap/>
            <w:hideMark/>
          </w:tcPr>
          <w:p w14:paraId="15A4E8E1" w14:textId="2903ED0F"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22</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(7,4%)</w:t>
            </w:r>
          </w:p>
        </w:tc>
        <w:tc>
          <w:tcPr>
            <w:tcW w:w="1246" w:type="dxa"/>
            <w:noWrap/>
            <w:hideMark/>
          </w:tcPr>
          <w:p w14:paraId="7286CEEF" w14:textId="099B61CF"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25</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(13,7%)</w:t>
            </w:r>
          </w:p>
        </w:tc>
        <w:tc>
          <w:tcPr>
            <w:tcW w:w="1351" w:type="dxa"/>
            <w:noWrap/>
            <w:hideMark/>
          </w:tcPr>
          <w:p w14:paraId="38BDA6CD" w14:textId="1BE3B4CA"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47</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(9,8%)</w:t>
            </w:r>
          </w:p>
        </w:tc>
        <w:tc>
          <w:tcPr>
            <w:tcW w:w="581" w:type="dxa"/>
            <w:vMerge/>
          </w:tcPr>
          <w:p w14:paraId="5EB4E99A"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c>
          <w:tcPr>
            <w:tcW w:w="1524" w:type="dxa"/>
          </w:tcPr>
          <w:p w14:paraId="5D729EB2" w14:textId="72BB7416"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11</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(6,0%)</w:t>
            </w:r>
          </w:p>
        </w:tc>
        <w:tc>
          <w:tcPr>
            <w:tcW w:w="1351" w:type="dxa"/>
          </w:tcPr>
          <w:p w14:paraId="113F0622" w14:textId="1C6171C5"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23</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(10,3%)</w:t>
            </w:r>
          </w:p>
        </w:tc>
        <w:tc>
          <w:tcPr>
            <w:tcW w:w="1231" w:type="dxa"/>
          </w:tcPr>
          <w:p w14:paraId="39DAF64E"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13(18,1%)</w:t>
            </w:r>
          </w:p>
        </w:tc>
        <w:tc>
          <w:tcPr>
            <w:tcW w:w="1423" w:type="dxa"/>
          </w:tcPr>
          <w:p w14:paraId="2027F1C5" w14:textId="598D5FE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47</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(9,8%)</w:t>
            </w:r>
          </w:p>
        </w:tc>
        <w:tc>
          <w:tcPr>
            <w:tcW w:w="709" w:type="dxa"/>
            <w:vMerge/>
          </w:tcPr>
          <w:p w14:paraId="3772C777"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r>
      <w:tr w:rsidR="00CC312F" w:rsidRPr="00EA5243" w14:paraId="3D6417B2" w14:textId="77777777" w:rsidTr="00581DF6">
        <w:trPr>
          <w:trHeight w:val="271"/>
        </w:trPr>
        <w:tc>
          <w:tcPr>
            <w:tcW w:w="1527" w:type="dxa"/>
            <w:vMerge/>
            <w:noWrap/>
            <w:hideMark/>
          </w:tcPr>
          <w:p w14:paraId="4397066F"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c>
          <w:tcPr>
            <w:tcW w:w="2028" w:type="dxa"/>
            <w:noWrap/>
            <w:hideMark/>
          </w:tcPr>
          <w:p w14:paraId="13DEA5AC"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Врач общей практики</w:t>
            </w:r>
          </w:p>
        </w:tc>
        <w:tc>
          <w:tcPr>
            <w:tcW w:w="1351" w:type="dxa"/>
            <w:noWrap/>
            <w:hideMark/>
          </w:tcPr>
          <w:p w14:paraId="5F8666B0" w14:textId="16AA2E65"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43</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(14,5%)</w:t>
            </w:r>
          </w:p>
        </w:tc>
        <w:tc>
          <w:tcPr>
            <w:tcW w:w="1246" w:type="dxa"/>
            <w:noWrap/>
            <w:hideMark/>
          </w:tcPr>
          <w:p w14:paraId="421E5869" w14:textId="19C29948"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13</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(7,1%)</w:t>
            </w:r>
          </w:p>
        </w:tc>
        <w:tc>
          <w:tcPr>
            <w:tcW w:w="1351" w:type="dxa"/>
            <w:noWrap/>
            <w:hideMark/>
          </w:tcPr>
          <w:p w14:paraId="21329242" w14:textId="597F28A9"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56</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(11,7%)</w:t>
            </w:r>
          </w:p>
        </w:tc>
        <w:tc>
          <w:tcPr>
            <w:tcW w:w="581" w:type="dxa"/>
            <w:vMerge/>
          </w:tcPr>
          <w:p w14:paraId="2C21A6D9"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c>
          <w:tcPr>
            <w:tcW w:w="1524" w:type="dxa"/>
          </w:tcPr>
          <w:p w14:paraId="220AA781" w14:textId="52CF389B"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28</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(15,2%)</w:t>
            </w:r>
          </w:p>
        </w:tc>
        <w:tc>
          <w:tcPr>
            <w:tcW w:w="1351" w:type="dxa"/>
          </w:tcPr>
          <w:p w14:paraId="0DC8BD15" w14:textId="61565D1E"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23</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(10,3%)</w:t>
            </w:r>
          </w:p>
        </w:tc>
        <w:tc>
          <w:tcPr>
            <w:tcW w:w="1231" w:type="dxa"/>
          </w:tcPr>
          <w:p w14:paraId="690A9176"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5(6,9%)</w:t>
            </w:r>
          </w:p>
        </w:tc>
        <w:tc>
          <w:tcPr>
            <w:tcW w:w="1423" w:type="dxa"/>
          </w:tcPr>
          <w:p w14:paraId="557B5CF8" w14:textId="528F2BBA"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56</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(11,7%)</w:t>
            </w:r>
          </w:p>
        </w:tc>
        <w:tc>
          <w:tcPr>
            <w:tcW w:w="709" w:type="dxa"/>
            <w:vMerge/>
          </w:tcPr>
          <w:p w14:paraId="78AA6EA8"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r>
      <w:tr w:rsidR="00CC312F" w:rsidRPr="00EA5243" w14:paraId="32D79240" w14:textId="77777777" w:rsidTr="00581DF6">
        <w:trPr>
          <w:trHeight w:val="271"/>
        </w:trPr>
        <w:tc>
          <w:tcPr>
            <w:tcW w:w="1527" w:type="dxa"/>
            <w:vMerge/>
            <w:noWrap/>
            <w:hideMark/>
          </w:tcPr>
          <w:p w14:paraId="43EDDA76"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c>
          <w:tcPr>
            <w:tcW w:w="2028" w:type="dxa"/>
            <w:noWrap/>
            <w:hideMark/>
          </w:tcPr>
          <w:p w14:paraId="16E2AFB2"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Дали брошюру для ознакомления, не объясняли</w:t>
            </w:r>
          </w:p>
        </w:tc>
        <w:tc>
          <w:tcPr>
            <w:tcW w:w="1351" w:type="dxa"/>
            <w:noWrap/>
            <w:hideMark/>
          </w:tcPr>
          <w:p w14:paraId="117AF671"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25(8,4%)</w:t>
            </w:r>
          </w:p>
        </w:tc>
        <w:tc>
          <w:tcPr>
            <w:tcW w:w="1246" w:type="dxa"/>
            <w:noWrap/>
            <w:hideMark/>
          </w:tcPr>
          <w:p w14:paraId="354CF810"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17(9,3%)</w:t>
            </w:r>
          </w:p>
        </w:tc>
        <w:tc>
          <w:tcPr>
            <w:tcW w:w="1351" w:type="dxa"/>
            <w:noWrap/>
            <w:hideMark/>
          </w:tcPr>
          <w:p w14:paraId="64D53B54"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42(8,8%)</w:t>
            </w:r>
          </w:p>
        </w:tc>
        <w:tc>
          <w:tcPr>
            <w:tcW w:w="581" w:type="dxa"/>
            <w:vMerge/>
          </w:tcPr>
          <w:p w14:paraId="6351E439"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c>
          <w:tcPr>
            <w:tcW w:w="1524" w:type="dxa"/>
          </w:tcPr>
          <w:p w14:paraId="57AD4F53" w14:textId="07513E49"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17</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(9,2%)</w:t>
            </w:r>
          </w:p>
        </w:tc>
        <w:tc>
          <w:tcPr>
            <w:tcW w:w="1351" w:type="dxa"/>
          </w:tcPr>
          <w:p w14:paraId="2EC8FD38" w14:textId="493F3DD6"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14</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(6,3%)</w:t>
            </w:r>
          </w:p>
        </w:tc>
        <w:tc>
          <w:tcPr>
            <w:tcW w:w="1231" w:type="dxa"/>
          </w:tcPr>
          <w:p w14:paraId="6FA70D8E" w14:textId="61F3F5D0"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11</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(15,3%)</w:t>
            </w:r>
          </w:p>
        </w:tc>
        <w:tc>
          <w:tcPr>
            <w:tcW w:w="1423" w:type="dxa"/>
          </w:tcPr>
          <w:p w14:paraId="76BFF3F9" w14:textId="672A0859"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42</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(8,8%)</w:t>
            </w:r>
          </w:p>
        </w:tc>
        <w:tc>
          <w:tcPr>
            <w:tcW w:w="709" w:type="dxa"/>
            <w:vMerge/>
          </w:tcPr>
          <w:p w14:paraId="3CFF8D2B"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r>
      <w:tr w:rsidR="00CC312F" w:rsidRPr="00EA5243" w14:paraId="44387D7D" w14:textId="77777777" w:rsidTr="00581DF6">
        <w:trPr>
          <w:trHeight w:val="271"/>
        </w:trPr>
        <w:tc>
          <w:tcPr>
            <w:tcW w:w="1527" w:type="dxa"/>
            <w:vMerge/>
            <w:noWrap/>
            <w:hideMark/>
          </w:tcPr>
          <w:p w14:paraId="13125CBF"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c>
          <w:tcPr>
            <w:tcW w:w="2028" w:type="dxa"/>
            <w:noWrap/>
            <w:hideMark/>
          </w:tcPr>
          <w:p w14:paraId="427CC768"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В "Школе диабета"</w:t>
            </w:r>
          </w:p>
        </w:tc>
        <w:tc>
          <w:tcPr>
            <w:tcW w:w="1351" w:type="dxa"/>
            <w:noWrap/>
            <w:hideMark/>
          </w:tcPr>
          <w:p w14:paraId="47FAA737" w14:textId="7E47BC80"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27</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(9,1%)</w:t>
            </w:r>
          </w:p>
        </w:tc>
        <w:tc>
          <w:tcPr>
            <w:tcW w:w="1246" w:type="dxa"/>
            <w:noWrap/>
            <w:hideMark/>
          </w:tcPr>
          <w:p w14:paraId="75EDB8ED" w14:textId="211763ED"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29</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(15,8%)</w:t>
            </w:r>
          </w:p>
        </w:tc>
        <w:tc>
          <w:tcPr>
            <w:tcW w:w="1351" w:type="dxa"/>
            <w:noWrap/>
            <w:hideMark/>
          </w:tcPr>
          <w:p w14:paraId="3BDC5508" w14:textId="19614475"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56</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(11,7%)</w:t>
            </w:r>
          </w:p>
        </w:tc>
        <w:tc>
          <w:tcPr>
            <w:tcW w:w="581" w:type="dxa"/>
            <w:vMerge/>
          </w:tcPr>
          <w:p w14:paraId="0EB6F458"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c>
          <w:tcPr>
            <w:tcW w:w="1524" w:type="dxa"/>
          </w:tcPr>
          <w:p w14:paraId="1BC87EAE" w14:textId="5448C8EE"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22</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(12,0%)</w:t>
            </w:r>
          </w:p>
        </w:tc>
        <w:tc>
          <w:tcPr>
            <w:tcW w:w="1351" w:type="dxa"/>
          </w:tcPr>
          <w:p w14:paraId="75B0A137" w14:textId="1A3410D6"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23</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(10,3%)</w:t>
            </w:r>
          </w:p>
        </w:tc>
        <w:tc>
          <w:tcPr>
            <w:tcW w:w="1231" w:type="dxa"/>
          </w:tcPr>
          <w:p w14:paraId="1425AA2D" w14:textId="14A7E4C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11</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(15,3%)</w:t>
            </w:r>
          </w:p>
        </w:tc>
        <w:tc>
          <w:tcPr>
            <w:tcW w:w="1423" w:type="dxa"/>
          </w:tcPr>
          <w:p w14:paraId="03FE491B" w14:textId="08006F0D"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56</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(11,7%)</w:t>
            </w:r>
          </w:p>
        </w:tc>
        <w:tc>
          <w:tcPr>
            <w:tcW w:w="709" w:type="dxa"/>
            <w:vMerge/>
          </w:tcPr>
          <w:p w14:paraId="4D475298"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r>
      <w:tr w:rsidR="00CC312F" w:rsidRPr="00EA5243" w14:paraId="76367043" w14:textId="77777777" w:rsidTr="00077E0F">
        <w:trPr>
          <w:trHeight w:val="271"/>
        </w:trPr>
        <w:tc>
          <w:tcPr>
            <w:tcW w:w="1527" w:type="dxa"/>
            <w:vMerge/>
            <w:tcBorders>
              <w:bottom w:val="single" w:sz="4" w:space="0" w:color="auto"/>
            </w:tcBorders>
            <w:noWrap/>
            <w:hideMark/>
          </w:tcPr>
          <w:p w14:paraId="4633104F"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c>
          <w:tcPr>
            <w:tcW w:w="2028" w:type="dxa"/>
            <w:tcBorders>
              <w:bottom w:val="single" w:sz="4" w:space="0" w:color="auto"/>
            </w:tcBorders>
            <w:noWrap/>
            <w:hideMark/>
          </w:tcPr>
          <w:p w14:paraId="30056FC1"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В кабинете "ЗОЖ"</w:t>
            </w:r>
          </w:p>
        </w:tc>
        <w:tc>
          <w:tcPr>
            <w:tcW w:w="1351" w:type="dxa"/>
            <w:tcBorders>
              <w:bottom w:val="single" w:sz="4" w:space="0" w:color="auto"/>
            </w:tcBorders>
            <w:noWrap/>
            <w:hideMark/>
          </w:tcPr>
          <w:p w14:paraId="5B9D1CC6"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17(5,7%)</w:t>
            </w:r>
          </w:p>
        </w:tc>
        <w:tc>
          <w:tcPr>
            <w:tcW w:w="1246" w:type="dxa"/>
            <w:tcBorders>
              <w:bottom w:val="single" w:sz="4" w:space="0" w:color="auto"/>
            </w:tcBorders>
            <w:noWrap/>
            <w:hideMark/>
          </w:tcPr>
          <w:p w14:paraId="3565B3B8"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3(1,6%)</w:t>
            </w:r>
          </w:p>
        </w:tc>
        <w:tc>
          <w:tcPr>
            <w:tcW w:w="1351" w:type="dxa"/>
            <w:tcBorders>
              <w:bottom w:val="single" w:sz="4" w:space="0" w:color="auto"/>
            </w:tcBorders>
            <w:noWrap/>
            <w:hideMark/>
          </w:tcPr>
          <w:p w14:paraId="19AC60E1" w14:textId="438BE950"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20</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(4,2%)</w:t>
            </w:r>
          </w:p>
        </w:tc>
        <w:tc>
          <w:tcPr>
            <w:tcW w:w="581" w:type="dxa"/>
            <w:vMerge/>
            <w:tcBorders>
              <w:bottom w:val="single" w:sz="4" w:space="0" w:color="auto"/>
            </w:tcBorders>
          </w:tcPr>
          <w:p w14:paraId="050D52B6"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c>
          <w:tcPr>
            <w:tcW w:w="1524" w:type="dxa"/>
            <w:tcBorders>
              <w:bottom w:val="single" w:sz="4" w:space="0" w:color="auto"/>
            </w:tcBorders>
          </w:tcPr>
          <w:p w14:paraId="6B2AC1B8" w14:textId="0C2721CF"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9</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(4,9%)</w:t>
            </w:r>
          </w:p>
        </w:tc>
        <w:tc>
          <w:tcPr>
            <w:tcW w:w="1351" w:type="dxa"/>
            <w:tcBorders>
              <w:bottom w:val="single" w:sz="4" w:space="0" w:color="auto"/>
            </w:tcBorders>
          </w:tcPr>
          <w:p w14:paraId="6256931F" w14:textId="5A76B044"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10</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(4,5%)</w:t>
            </w:r>
          </w:p>
        </w:tc>
        <w:tc>
          <w:tcPr>
            <w:tcW w:w="1231" w:type="dxa"/>
            <w:tcBorders>
              <w:bottom w:val="single" w:sz="4" w:space="0" w:color="auto"/>
            </w:tcBorders>
          </w:tcPr>
          <w:p w14:paraId="2E570007" w14:textId="4E43A899"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(1,4%)</w:t>
            </w:r>
          </w:p>
        </w:tc>
        <w:tc>
          <w:tcPr>
            <w:tcW w:w="1423" w:type="dxa"/>
            <w:tcBorders>
              <w:bottom w:val="single" w:sz="4" w:space="0" w:color="auto"/>
            </w:tcBorders>
          </w:tcPr>
          <w:p w14:paraId="5AA8D85E" w14:textId="13B10783"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20</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(4,2%)</w:t>
            </w:r>
          </w:p>
        </w:tc>
        <w:tc>
          <w:tcPr>
            <w:tcW w:w="709" w:type="dxa"/>
            <w:vMerge/>
            <w:tcBorders>
              <w:bottom w:val="single" w:sz="4" w:space="0" w:color="auto"/>
            </w:tcBorders>
          </w:tcPr>
          <w:p w14:paraId="1A818776"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r>
      <w:tr w:rsidR="00CC312F" w:rsidRPr="00EA5243" w14:paraId="786C7F3D" w14:textId="77777777" w:rsidTr="00581DF6">
        <w:trPr>
          <w:trHeight w:val="271"/>
        </w:trPr>
        <w:tc>
          <w:tcPr>
            <w:tcW w:w="1527" w:type="dxa"/>
            <w:vMerge w:val="restart"/>
            <w:noWrap/>
            <w:hideMark/>
          </w:tcPr>
          <w:p w14:paraId="217DB599"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Ясность слов, терминов  во время приема у врача</w:t>
            </w:r>
          </w:p>
        </w:tc>
        <w:tc>
          <w:tcPr>
            <w:tcW w:w="2028" w:type="dxa"/>
            <w:noWrap/>
            <w:hideMark/>
          </w:tcPr>
          <w:p w14:paraId="6EAC80C7"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Все понятно, запоминаю хорошо</w:t>
            </w:r>
          </w:p>
        </w:tc>
        <w:tc>
          <w:tcPr>
            <w:tcW w:w="1351" w:type="dxa"/>
            <w:noWrap/>
            <w:hideMark/>
          </w:tcPr>
          <w:p w14:paraId="6AD53618" w14:textId="65BE2174"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173</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(58,2%)</w:t>
            </w:r>
          </w:p>
        </w:tc>
        <w:tc>
          <w:tcPr>
            <w:tcW w:w="1246" w:type="dxa"/>
            <w:noWrap/>
            <w:hideMark/>
          </w:tcPr>
          <w:p w14:paraId="108934D4" w14:textId="4BAA77AE"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83</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(45,4%)</w:t>
            </w:r>
          </w:p>
        </w:tc>
        <w:tc>
          <w:tcPr>
            <w:tcW w:w="1351" w:type="dxa"/>
            <w:noWrap/>
            <w:hideMark/>
          </w:tcPr>
          <w:p w14:paraId="7ABC5119" w14:textId="69826D5D"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256</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(53,3%)</w:t>
            </w:r>
          </w:p>
        </w:tc>
        <w:tc>
          <w:tcPr>
            <w:tcW w:w="581" w:type="dxa"/>
            <w:vMerge w:val="restart"/>
          </w:tcPr>
          <w:p w14:paraId="2580331B"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0,042</w:t>
            </w:r>
          </w:p>
        </w:tc>
        <w:tc>
          <w:tcPr>
            <w:tcW w:w="1524" w:type="dxa"/>
          </w:tcPr>
          <w:p w14:paraId="42355293" w14:textId="17805131"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120</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(65,2%)</w:t>
            </w:r>
          </w:p>
        </w:tc>
        <w:tc>
          <w:tcPr>
            <w:tcW w:w="1351" w:type="dxa"/>
          </w:tcPr>
          <w:p w14:paraId="12AD9AFC" w14:textId="16550855"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110</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(49,1%)</w:t>
            </w:r>
          </w:p>
        </w:tc>
        <w:tc>
          <w:tcPr>
            <w:tcW w:w="1231" w:type="dxa"/>
          </w:tcPr>
          <w:p w14:paraId="291F7743" w14:textId="11002978"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26</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(36,1%)</w:t>
            </w:r>
          </w:p>
        </w:tc>
        <w:tc>
          <w:tcPr>
            <w:tcW w:w="1423" w:type="dxa"/>
          </w:tcPr>
          <w:p w14:paraId="372F0448" w14:textId="0979F280"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256</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(53,3%)</w:t>
            </w:r>
          </w:p>
        </w:tc>
        <w:tc>
          <w:tcPr>
            <w:tcW w:w="709" w:type="dxa"/>
            <w:vMerge w:val="restart"/>
          </w:tcPr>
          <w:p w14:paraId="21C407D0"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0,001</w:t>
            </w:r>
          </w:p>
        </w:tc>
      </w:tr>
      <w:tr w:rsidR="00CC312F" w:rsidRPr="00EA5243" w14:paraId="08E80172" w14:textId="77777777" w:rsidTr="00581DF6">
        <w:trPr>
          <w:trHeight w:val="271"/>
        </w:trPr>
        <w:tc>
          <w:tcPr>
            <w:tcW w:w="1527" w:type="dxa"/>
            <w:vMerge/>
            <w:noWrap/>
            <w:hideMark/>
          </w:tcPr>
          <w:p w14:paraId="755A4EB4"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c>
          <w:tcPr>
            <w:tcW w:w="2028" w:type="dxa"/>
            <w:noWrap/>
            <w:hideMark/>
          </w:tcPr>
          <w:p w14:paraId="248A3FDC"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Все понятно в кабинете, но не запоминаю как выхожу</w:t>
            </w:r>
          </w:p>
        </w:tc>
        <w:tc>
          <w:tcPr>
            <w:tcW w:w="1351" w:type="dxa"/>
            <w:noWrap/>
            <w:hideMark/>
          </w:tcPr>
          <w:p w14:paraId="66C0A71F" w14:textId="5EA99A02"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35</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(11,8%)</w:t>
            </w:r>
          </w:p>
        </w:tc>
        <w:tc>
          <w:tcPr>
            <w:tcW w:w="1246" w:type="dxa"/>
            <w:noWrap/>
            <w:hideMark/>
          </w:tcPr>
          <w:p w14:paraId="07D8460E" w14:textId="2B8633D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33</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(18,0%)</w:t>
            </w:r>
          </w:p>
        </w:tc>
        <w:tc>
          <w:tcPr>
            <w:tcW w:w="1351" w:type="dxa"/>
            <w:noWrap/>
            <w:hideMark/>
          </w:tcPr>
          <w:p w14:paraId="0F0428E2" w14:textId="567F9546"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68</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(14,2%)</w:t>
            </w:r>
          </w:p>
        </w:tc>
        <w:tc>
          <w:tcPr>
            <w:tcW w:w="581" w:type="dxa"/>
            <w:vMerge/>
          </w:tcPr>
          <w:p w14:paraId="2DA11682"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c>
          <w:tcPr>
            <w:tcW w:w="1524" w:type="dxa"/>
          </w:tcPr>
          <w:p w14:paraId="17E939BE" w14:textId="30B776C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17</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(9,2%)</w:t>
            </w:r>
          </w:p>
        </w:tc>
        <w:tc>
          <w:tcPr>
            <w:tcW w:w="1351" w:type="dxa"/>
          </w:tcPr>
          <w:p w14:paraId="6958F08F" w14:textId="572D605F"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38</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(17,0%)</w:t>
            </w:r>
          </w:p>
        </w:tc>
        <w:tc>
          <w:tcPr>
            <w:tcW w:w="1231" w:type="dxa"/>
          </w:tcPr>
          <w:p w14:paraId="1411832E" w14:textId="6EFD9313"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13</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(18,1%)</w:t>
            </w:r>
          </w:p>
        </w:tc>
        <w:tc>
          <w:tcPr>
            <w:tcW w:w="1423" w:type="dxa"/>
          </w:tcPr>
          <w:p w14:paraId="7EE23E65" w14:textId="2658DE09"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68</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(14,2%)</w:t>
            </w:r>
          </w:p>
        </w:tc>
        <w:tc>
          <w:tcPr>
            <w:tcW w:w="709" w:type="dxa"/>
            <w:vMerge/>
          </w:tcPr>
          <w:p w14:paraId="48809BDB"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r>
      <w:tr w:rsidR="00CC312F" w:rsidRPr="00EA5243" w14:paraId="6A42ABC7" w14:textId="77777777" w:rsidTr="00077E0F">
        <w:trPr>
          <w:trHeight w:val="271"/>
        </w:trPr>
        <w:tc>
          <w:tcPr>
            <w:tcW w:w="1527" w:type="dxa"/>
            <w:vMerge/>
            <w:tcBorders>
              <w:bottom w:val="nil"/>
            </w:tcBorders>
            <w:noWrap/>
            <w:hideMark/>
          </w:tcPr>
          <w:p w14:paraId="478C2092"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c>
          <w:tcPr>
            <w:tcW w:w="2028" w:type="dxa"/>
            <w:tcBorders>
              <w:bottom w:val="nil"/>
            </w:tcBorders>
            <w:noWrap/>
            <w:hideMark/>
          </w:tcPr>
          <w:p w14:paraId="65CA56AE"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Не понятно, но делаю вид что все понятно и киваю головой</w:t>
            </w:r>
          </w:p>
        </w:tc>
        <w:tc>
          <w:tcPr>
            <w:tcW w:w="1351" w:type="dxa"/>
            <w:tcBorders>
              <w:bottom w:val="nil"/>
            </w:tcBorders>
            <w:noWrap/>
            <w:hideMark/>
          </w:tcPr>
          <w:p w14:paraId="1E6C42A8" w14:textId="7C02EE63"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19</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(6,4%)</w:t>
            </w:r>
          </w:p>
        </w:tc>
        <w:tc>
          <w:tcPr>
            <w:tcW w:w="1246" w:type="dxa"/>
            <w:tcBorders>
              <w:bottom w:val="nil"/>
            </w:tcBorders>
            <w:noWrap/>
            <w:hideMark/>
          </w:tcPr>
          <w:p w14:paraId="3A45DAA8" w14:textId="2F02083E"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15</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(8,2%)</w:t>
            </w:r>
          </w:p>
        </w:tc>
        <w:tc>
          <w:tcPr>
            <w:tcW w:w="1351" w:type="dxa"/>
            <w:tcBorders>
              <w:bottom w:val="nil"/>
            </w:tcBorders>
            <w:noWrap/>
            <w:hideMark/>
          </w:tcPr>
          <w:p w14:paraId="24E23EA4" w14:textId="778E73EB"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34</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(7,1%)</w:t>
            </w:r>
          </w:p>
        </w:tc>
        <w:tc>
          <w:tcPr>
            <w:tcW w:w="581" w:type="dxa"/>
            <w:vMerge/>
            <w:tcBorders>
              <w:bottom w:val="nil"/>
            </w:tcBorders>
          </w:tcPr>
          <w:p w14:paraId="1689EABA"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c>
          <w:tcPr>
            <w:tcW w:w="1524" w:type="dxa"/>
            <w:tcBorders>
              <w:bottom w:val="nil"/>
            </w:tcBorders>
          </w:tcPr>
          <w:p w14:paraId="43FEB08B" w14:textId="0954900E"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12</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(6,5%)</w:t>
            </w:r>
          </w:p>
        </w:tc>
        <w:tc>
          <w:tcPr>
            <w:tcW w:w="1351" w:type="dxa"/>
            <w:tcBorders>
              <w:bottom w:val="nil"/>
            </w:tcBorders>
          </w:tcPr>
          <w:p w14:paraId="1CC7AF92" w14:textId="02D6FEE6"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12</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(5,4%)</w:t>
            </w:r>
          </w:p>
        </w:tc>
        <w:tc>
          <w:tcPr>
            <w:tcW w:w="1231" w:type="dxa"/>
            <w:tcBorders>
              <w:bottom w:val="nil"/>
            </w:tcBorders>
          </w:tcPr>
          <w:p w14:paraId="33A73D2C" w14:textId="0CFD5DA1"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10</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(13,9%)</w:t>
            </w:r>
          </w:p>
        </w:tc>
        <w:tc>
          <w:tcPr>
            <w:tcW w:w="1423" w:type="dxa"/>
            <w:tcBorders>
              <w:bottom w:val="nil"/>
            </w:tcBorders>
          </w:tcPr>
          <w:p w14:paraId="31E27F40" w14:textId="3A4AC853" w:rsidR="00EA5243" w:rsidRPr="00EA5243" w:rsidRDefault="00EA5243" w:rsidP="00CC312F">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34</w:t>
            </w:r>
            <w:r w:rsidR="00CC312F">
              <w:rPr>
                <w:rFonts w:ascii="Times New Roman" w:eastAsia="Times New Roman" w:hAnsi="Times New Roman" w:cs="Times New Roman"/>
                <w:sz w:val="24"/>
                <w:szCs w:val="24"/>
              </w:rPr>
              <w:t xml:space="preserve"> </w:t>
            </w:r>
            <w:r w:rsidRPr="00EA5243">
              <w:rPr>
                <w:rFonts w:ascii="Times New Roman" w:eastAsia="Times New Roman" w:hAnsi="Times New Roman" w:cs="Times New Roman"/>
                <w:sz w:val="24"/>
                <w:szCs w:val="24"/>
              </w:rPr>
              <w:t>(7,1%)</w:t>
            </w:r>
          </w:p>
        </w:tc>
        <w:tc>
          <w:tcPr>
            <w:tcW w:w="709" w:type="dxa"/>
            <w:vMerge/>
            <w:tcBorders>
              <w:bottom w:val="nil"/>
            </w:tcBorders>
          </w:tcPr>
          <w:p w14:paraId="593891EA" w14:textId="77777777" w:rsidR="00EA5243" w:rsidRPr="00EA5243" w:rsidRDefault="00EA5243" w:rsidP="00CC312F">
            <w:pPr>
              <w:spacing w:after="0" w:line="240" w:lineRule="auto"/>
              <w:jc w:val="center"/>
              <w:rPr>
                <w:rFonts w:ascii="Times New Roman" w:eastAsia="Times New Roman" w:hAnsi="Times New Roman" w:cs="Times New Roman"/>
                <w:sz w:val="24"/>
                <w:szCs w:val="24"/>
              </w:rPr>
            </w:pPr>
          </w:p>
        </w:tc>
      </w:tr>
    </w:tbl>
    <w:p w14:paraId="2D25F86A" w14:textId="77777777" w:rsidR="00AC13E1" w:rsidRDefault="00AC13E1"/>
    <w:p w14:paraId="2EBFF365" w14:textId="5D144CF1" w:rsidR="00CC312F" w:rsidRPr="00581DF6" w:rsidRDefault="00AC13E1">
      <w:pPr>
        <w:rPr>
          <w:rFonts w:ascii="Times New Roman" w:hAnsi="Times New Roman" w:cs="Times New Roman"/>
          <w:bCs/>
          <w:sz w:val="28"/>
          <w:szCs w:val="28"/>
        </w:rPr>
      </w:pPr>
      <w:r w:rsidRPr="00581DF6">
        <w:rPr>
          <w:rFonts w:ascii="Times New Roman" w:hAnsi="Times New Roman" w:cs="Times New Roman"/>
          <w:bCs/>
          <w:sz w:val="28"/>
          <w:szCs w:val="28"/>
        </w:rPr>
        <w:lastRenderedPageBreak/>
        <w:t>Продолжение таблицы 31</w:t>
      </w:r>
    </w:p>
    <w:tbl>
      <w:tblPr>
        <w:tblStyle w:val="af9"/>
        <w:tblpPr w:leftFromText="180" w:rightFromText="180" w:vertAnchor="text" w:horzAnchor="margin" w:tblpY="317"/>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7"/>
        <w:gridCol w:w="2074"/>
        <w:gridCol w:w="1356"/>
        <w:gridCol w:w="1296"/>
        <w:gridCol w:w="1356"/>
        <w:gridCol w:w="756"/>
        <w:gridCol w:w="1296"/>
        <w:gridCol w:w="1356"/>
        <w:gridCol w:w="1236"/>
        <w:gridCol w:w="1356"/>
        <w:gridCol w:w="756"/>
      </w:tblGrid>
      <w:tr w:rsidR="00581DF6" w:rsidRPr="00EA5243" w14:paraId="120CEB65" w14:textId="77777777" w:rsidTr="00581DF6">
        <w:trPr>
          <w:trHeight w:val="126"/>
        </w:trPr>
        <w:tc>
          <w:tcPr>
            <w:tcW w:w="3661" w:type="dxa"/>
            <w:gridSpan w:val="2"/>
            <w:noWrap/>
          </w:tcPr>
          <w:p w14:paraId="626A09D5" w14:textId="77777777" w:rsidR="00581DF6" w:rsidRPr="00581DF6" w:rsidRDefault="00581DF6" w:rsidP="00581DF6">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1356" w:type="dxa"/>
            <w:noWrap/>
          </w:tcPr>
          <w:p w14:paraId="19082306"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296" w:type="dxa"/>
            <w:noWrap/>
          </w:tcPr>
          <w:p w14:paraId="68344D35"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356" w:type="dxa"/>
            <w:noWrap/>
          </w:tcPr>
          <w:p w14:paraId="3982D4A7"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756" w:type="dxa"/>
          </w:tcPr>
          <w:p w14:paraId="6B24E1CF"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296" w:type="dxa"/>
          </w:tcPr>
          <w:p w14:paraId="00F7A58F"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356" w:type="dxa"/>
          </w:tcPr>
          <w:p w14:paraId="37970D08"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236" w:type="dxa"/>
          </w:tcPr>
          <w:p w14:paraId="38DBBA95"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356" w:type="dxa"/>
          </w:tcPr>
          <w:p w14:paraId="6091C0CA"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756" w:type="dxa"/>
          </w:tcPr>
          <w:p w14:paraId="529DFD58"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r w:rsidR="00581DF6" w:rsidRPr="00EA5243" w14:paraId="29BD7623" w14:textId="77777777" w:rsidTr="00581DF6">
        <w:trPr>
          <w:trHeight w:val="271"/>
        </w:trPr>
        <w:tc>
          <w:tcPr>
            <w:tcW w:w="3661" w:type="dxa"/>
            <w:gridSpan w:val="2"/>
            <w:noWrap/>
          </w:tcPr>
          <w:p w14:paraId="14AF2DAD" w14:textId="77777777" w:rsidR="00581DF6" w:rsidRDefault="00581DF6" w:rsidP="00581DF6">
            <w:pPr>
              <w:spacing w:after="0" w:line="240" w:lineRule="auto"/>
              <w:jc w:val="center"/>
              <w:rPr>
                <w:rFonts w:ascii="Times New Roman" w:hAnsi="Times New Roman" w:cs="Times New Roman"/>
                <w:bCs/>
                <w:sz w:val="24"/>
                <w:szCs w:val="24"/>
              </w:rPr>
            </w:pPr>
            <w:r w:rsidRPr="00EA5243">
              <w:rPr>
                <w:rFonts w:ascii="Times New Roman" w:eastAsia="Times New Roman" w:hAnsi="Times New Roman" w:cs="Times New Roman"/>
                <w:sz w:val="24"/>
                <w:szCs w:val="24"/>
              </w:rPr>
              <w:t>Не понятное переспрашиваю</w:t>
            </w:r>
          </w:p>
        </w:tc>
        <w:tc>
          <w:tcPr>
            <w:tcW w:w="1356" w:type="dxa"/>
            <w:noWrap/>
          </w:tcPr>
          <w:p w14:paraId="1F78113A" w14:textId="77777777" w:rsidR="00581DF6"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70(23,6%)</w:t>
            </w:r>
          </w:p>
        </w:tc>
        <w:tc>
          <w:tcPr>
            <w:tcW w:w="1296" w:type="dxa"/>
            <w:noWrap/>
          </w:tcPr>
          <w:p w14:paraId="5C39AD91" w14:textId="77777777" w:rsidR="00581DF6"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52(28,4%)</w:t>
            </w:r>
          </w:p>
        </w:tc>
        <w:tc>
          <w:tcPr>
            <w:tcW w:w="1356" w:type="dxa"/>
            <w:noWrap/>
          </w:tcPr>
          <w:p w14:paraId="2BC4892A" w14:textId="77777777" w:rsidR="00581DF6"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122(25,4%)</w:t>
            </w:r>
          </w:p>
        </w:tc>
        <w:tc>
          <w:tcPr>
            <w:tcW w:w="756" w:type="dxa"/>
          </w:tcPr>
          <w:p w14:paraId="2DCEE2E8" w14:textId="77777777" w:rsidR="00581DF6" w:rsidRDefault="00581DF6" w:rsidP="00581DF6">
            <w:pPr>
              <w:spacing w:after="0" w:line="240" w:lineRule="auto"/>
              <w:jc w:val="center"/>
              <w:rPr>
                <w:rFonts w:ascii="Times New Roman" w:eastAsia="Times New Roman" w:hAnsi="Times New Roman" w:cs="Times New Roman"/>
                <w:sz w:val="24"/>
                <w:szCs w:val="24"/>
              </w:rPr>
            </w:pPr>
          </w:p>
        </w:tc>
        <w:tc>
          <w:tcPr>
            <w:tcW w:w="1296" w:type="dxa"/>
          </w:tcPr>
          <w:p w14:paraId="74E39F2B" w14:textId="77777777" w:rsidR="00581DF6"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35(19,0%)</w:t>
            </w:r>
          </w:p>
        </w:tc>
        <w:tc>
          <w:tcPr>
            <w:tcW w:w="1356" w:type="dxa"/>
          </w:tcPr>
          <w:p w14:paraId="5B5E19FF" w14:textId="77777777" w:rsidR="00581DF6"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64(28,6%)</w:t>
            </w:r>
          </w:p>
        </w:tc>
        <w:tc>
          <w:tcPr>
            <w:tcW w:w="1236" w:type="dxa"/>
          </w:tcPr>
          <w:p w14:paraId="441842B3" w14:textId="77777777" w:rsidR="00581DF6"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23(31,9%)</w:t>
            </w:r>
          </w:p>
        </w:tc>
        <w:tc>
          <w:tcPr>
            <w:tcW w:w="1356" w:type="dxa"/>
          </w:tcPr>
          <w:p w14:paraId="71C3988D" w14:textId="77777777" w:rsidR="00581DF6"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122(25,4%)</w:t>
            </w:r>
          </w:p>
        </w:tc>
        <w:tc>
          <w:tcPr>
            <w:tcW w:w="756" w:type="dxa"/>
          </w:tcPr>
          <w:p w14:paraId="77C05D05" w14:textId="77777777" w:rsidR="00581DF6" w:rsidRDefault="00581DF6" w:rsidP="00581DF6">
            <w:pPr>
              <w:spacing w:after="0" w:line="240" w:lineRule="auto"/>
              <w:jc w:val="center"/>
              <w:rPr>
                <w:rFonts w:ascii="Times New Roman" w:eastAsia="Times New Roman" w:hAnsi="Times New Roman" w:cs="Times New Roman"/>
                <w:sz w:val="24"/>
                <w:szCs w:val="24"/>
              </w:rPr>
            </w:pPr>
          </w:p>
        </w:tc>
      </w:tr>
      <w:tr w:rsidR="00581DF6" w:rsidRPr="00EA5243" w14:paraId="2A57AA6A" w14:textId="77777777" w:rsidTr="00581DF6">
        <w:trPr>
          <w:trHeight w:val="271"/>
        </w:trPr>
        <w:tc>
          <w:tcPr>
            <w:tcW w:w="1587" w:type="dxa"/>
            <w:vMerge w:val="restart"/>
            <w:noWrap/>
            <w:hideMark/>
          </w:tcPr>
          <w:p w14:paraId="6469F727"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hAnsi="Times New Roman" w:cs="Times New Roman"/>
                <w:bCs/>
                <w:sz w:val="24"/>
                <w:szCs w:val="24"/>
              </w:rPr>
              <w:t>Период последнего прохождения обучения в ШД</w:t>
            </w:r>
          </w:p>
        </w:tc>
        <w:tc>
          <w:tcPr>
            <w:tcW w:w="2074" w:type="dxa"/>
            <w:noWrap/>
            <w:hideMark/>
          </w:tcPr>
          <w:p w14:paraId="503B7639"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В этом году</w:t>
            </w:r>
          </w:p>
        </w:tc>
        <w:tc>
          <w:tcPr>
            <w:tcW w:w="1356" w:type="dxa"/>
            <w:noWrap/>
            <w:hideMark/>
          </w:tcPr>
          <w:p w14:paraId="1433477F"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90(30,3%)</w:t>
            </w:r>
          </w:p>
        </w:tc>
        <w:tc>
          <w:tcPr>
            <w:tcW w:w="1296" w:type="dxa"/>
            <w:noWrap/>
            <w:hideMark/>
          </w:tcPr>
          <w:p w14:paraId="0E4A7E00"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25(13,7%)</w:t>
            </w:r>
          </w:p>
        </w:tc>
        <w:tc>
          <w:tcPr>
            <w:tcW w:w="1356" w:type="dxa"/>
            <w:noWrap/>
            <w:hideMark/>
          </w:tcPr>
          <w:p w14:paraId="5AD07594"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115(24,0%)</w:t>
            </w:r>
          </w:p>
        </w:tc>
        <w:tc>
          <w:tcPr>
            <w:tcW w:w="756" w:type="dxa"/>
            <w:vMerge w:val="restart"/>
          </w:tcPr>
          <w:p w14:paraId="0A3B95B9"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0,001</w:t>
            </w:r>
          </w:p>
        </w:tc>
        <w:tc>
          <w:tcPr>
            <w:tcW w:w="1296" w:type="dxa"/>
          </w:tcPr>
          <w:p w14:paraId="2AEB7D5A"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64(34,8%)</w:t>
            </w:r>
          </w:p>
        </w:tc>
        <w:tc>
          <w:tcPr>
            <w:tcW w:w="1356" w:type="dxa"/>
          </w:tcPr>
          <w:p w14:paraId="2734A071"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41(18,3%)</w:t>
            </w:r>
          </w:p>
        </w:tc>
        <w:tc>
          <w:tcPr>
            <w:tcW w:w="1236" w:type="dxa"/>
          </w:tcPr>
          <w:p w14:paraId="28FBD21D"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10(13,9%)</w:t>
            </w:r>
          </w:p>
        </w:tc>
        <w:tc>
          <w:tcPr>
            <w:tcW w:w="1356" w:type="dxa"/>
          </w:tcPr>
          <w:p w14:paraId="5FB86BD0"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115(24,0%)</w:t>
            </w:r>
          </w:p>
        </w:tc>
        <w:tc>
          <w:tcPr>
            <w:tcW w:w="756" w:type="dxa"/>
            <w:vMerge w:val="restart"/>
          </w:tcPr>
          <w:p w14:paraId="410CFD21"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0,001</w:t>
            </w:r>
          </w:p>
        </w:tc>
      </w:tr>
      <w:tr w:rsidR="00581DF6" w:rsidRPr="00EA5243" w14:paraId="016BA690" w14:textId="77777777" w:rsidTr="00581DF6">
        <w:trPr>
          <w:trHeight w:val="271"/>
        </w:trPr>
        <w:tc>
          <w:tcPr>
            <w:tcW w:w="1587" w:type="dxa"/>
            <w:vMerge/>
            <w:noWrap/>
            <w:hideMark/>
          </w:tcPr>
          <w:p w14:paraId="00316CAB"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2074" w:type="dxa"/>
            <w:noWrap/>
            <w:hideMark/>
          </w:tcPr>
          <w:p w14:paraId="03228C87"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В прошлом году</w:t>
            </w:r>
          </w:p>
        </w:tc>
        <w:tc>
          <w:tcPr>
            <w:tcW w:w="1356" w:type="dxa"/>
            <w:noWrap/>
            <w:hideMark/>
          </w:tcPr>
          <w:p w14:paraId="5F75D78E"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48(16,2%)</w:t>
            </w:r>
          </w:p>
        </w:tc>
        <w:tc>
          <w:tcPr>
            <w:tcW w:w="1296" w:type="dxa"/>
            <w:noWrap/>
            <w:hideMark/>
          </w:tcPr>
          <w:p w14:paraId="46DB59DC"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44(24,0%)</w:t>
            </w:r>
          </w:p>
        </w:tc>
        <w:tc>
          <w:tcPr>
            <w:tcW w:w="1356" w:type="dxa"/>
            <w:noWrap/>
            <w:hideMark/>
          </w:tcPr>
          <w:p w14:paraId="68132D6D"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92(19,2%)</w:t>
            </w:r>
          </w:p>
        </w:tc>
        <w:tc>
          <w:tcPr>
            <w:tcW w:w="756" w:type="dxa"/>
            <w:vMerge/>
          </w:tcPr>
          <w:p w14:paraId="42C2AD00"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1296" w:type="dxa"/>
          </w:tcPr>
          <w:p w14:paraId="4173C340"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28(15,2%)</w:t>
            </w:r>
          </w:p>
        </w:tc>
        <w:tc>
          <w:tcPr>
            <w:tcW w:w="1356" w:type="dxa"/>
          </w:tcPr>
          <w:p w14:paraId="11163775"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51(22,8%)</w:t>
            </w:r>
          </w:p>
        </w:tc>
        <w:tc>
          <w:tcPr>
            <w:tcW w:w="1236" w:type="dxa"/>
          </w:tcPr>
          <w:p w14:paraId="1C5A48BD"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13(18,1%)</w:t>
            </w:r>
          </w:p>
        </w:tc>
        <w:tc>
          <w:tcPr>
            <w:tcW w:w="1356" w:type="dxa"/>
          </w:tcPr>
          <w:p w14:paraId="4EA54E34"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92(19,2%)</w:t>
            </w:r>
          </w:p>
        </w:tc>
        <w:tc>
          <w:tcPr>
            <w:tcW w:w="756" w:type="dxa"/>
            <w:vMerge/>
          </w:tcPr>
          <w:p w14:paraId="36B60F09"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r>
      <w:tr w:rsidR="00581DF6" w:rsidRPr="00EA5243" w14:paraId="763DA26E" w14:textId="77777777" w:rsidTr="00581DF6">
        <w:trPr>
          <w:trHeight w:val="271"/>
        </w:trPr>
        <w:tc>
          <w:tcPr>
            <w:tcW w:w="1587" w:type="dxa"/>
            <w:vMerge/>
            <w:noWrap/>
            <w:hideMark/>
          </w:tcPr>
          <w:p w14:paraId="19E19112"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2074" w:type="dxa"/>
            <w:noWrap/>
            <w:hideMark/>
          </w:tcPr>
          <w:p w14:paraId="7D872033"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Когда впервые выявили диагноз</w:t>
            </w:r>
          </w:p>
        </w:tc>
        <w:tc>
          <w:tcPr>
            <w:tcW w:w="1356" w:type="dxa"/>
            <w:noWrap/>
            <w:hideMark/>
          </w:tcPr>
          <w:p w14:paraId="43EB46DD"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76(25,6%)</w:t>
            </w:r>
          </w:p>
        </w:tc>
        <w:tc>
          <w:tcPr>
            <w:tcW w:w="1296" w:type="dxa"/>
            <w:noWrap/>
            <w:hideMark/>
          </w:tcPr>
          <w:p w14:paraId="340A77F5"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55(30,1%)</w:t>
            </w:r>
          </w:p>
        </w:tc>
        <w:tc>
          <w:tcPr>
            <w:tcW w:w="1356" w:type="dxa"/>
            <w:noWrap/>
            <w:hideMark/>
          </w:tcPr>
          <w:p w14:paraId="10A8CC85"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131(27,3%)</w:t>
            </w:r>
          </w:p>
        </w:tc>
        <w:tc>
          <w:tcPr>
            <w:tcW w:w="756" w:type="dxa"/>
            <w:vMerge/>
          </w:tcPr>
          <w:p w14:paraId="36BACDFA"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1296" w:type="dxa"/>
          </w:tcPr>
          <w:p w14:paraId="377CCA7C"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44(23,9%)</w:t>
            </w:r>
          </w:p>
        </w:tc>
        <w:tc>
          <w:tcPr>
            <w:tcW w:w="1356" w:type="dxa"/>
          </w:tcPr>
          <w:p w14:paraId="4970C8A5"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61(27,2%)</w:t>
            </w:r>
          </w:p>
        </w:tc>
        <w:tc>
          <w:tcPr>
            <w:tcW w:w="1236" w:type="dxa"/>
          </w:tcPr>
          <w:p w14:paraId="06CE345E"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26(36,1%)</w:t>
            </w:r>
          </w:p>
        </w:tc>
        <w:tc>
          <w:tcPr>
            <w:tcW w:w="1356" w:type="dxa"/>
          </w:tcPr>
          <w:p w14:paraId="2FBBA622"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131(27,3%)</w:t>
            </w:r>
          </w:p>
        </w:tc>
        <w:tc>
          <w:tcPr>
            <w:tcW w:w="756" w:type="dxa"/>
            <w:vMerge/>
          </w:tcPr>
          <w:p w14:paraId="4CE131BB"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r>
      <w:tr w:rsidR="00581DF6" w:rsidRPr="00EA5243" w14:paraId="2A5A990E" w14:textId="77777777" w:rsidTr="00581DF6">
        <w:trPr>
          <w:trHeight w:val="271"/>
        </w:trPr>
        <w:tc>
          <w:tcPr>
            <w:tcW w:w="1587" w:type="dxa"/>
            <w:vMerge/>
            <w:noWrap/>
            <w:hideMark/>
          </w:tcPr>
          <w:p w14:paraId="358D4B73"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2074" w:type="dxa"/>
            <w:noWrap/>
            <w:hideMark/>
          </w:tcPr>
          <w:p w14:paraId="08944D6D"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 xml:space="preserve">Не посещал(а) никогда, хотя было рекомендовано </w:t>
            </w:r>
          </w:p>
        </w:tc>
        <w:tc>
          <w:tcPr>
            <w:tcW w:w="1356" w:type="dxa"/>
            <w:noWrap/>
            <w:hideMark/>
          </w:tcPr>
          <w:p w14:paraId="3C6B0F7C"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38(12,8%)</w:t>
            </w:r>
          </w:p>
        </w:tc>
        <w:tc>
          <w:tcPr>
            <w:tcW w:w="1296" w:type="dxa"/>
            <w:noWrap/>
            <w:hideMark/>
          </w:tcPr>
          <w:p w14:paraId="723DED6C"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25(13,7%)</w:t>
            </w:r>
          </w:p>
        </w:tc>
        <w:tc>
          <w:tcPr>
            <w:tcW w:w="1356" w:type="dxa"/>
            <w:noWrap/>
            <w:hideMark/>
          </w:tcPr>
          <w:p w14:paraId="4CCA3F38"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63(13,1%)</w:t>
            </w:r>
          </w:p>
        </w:tc>
        <w:tc>
          <w:tcPr>
            <w:tcW w:w="756" w:type="dxa"/>
            <w:vMerge/>
          </w:tcPr>
          <w:p w14:paraId="05E83245"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1296" w:type="dxa"/>
          </w:tcPr>
          <w:p w14:paraId="37DD3C43"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24(13,0%)</w:t>
            </w:r>
          </w:p>
        </w:tc>
        <w:tc>
          <w:tcPr>
            <w:tcW w:w="1356" w:type="dxa"/>
          </w:tcPr>
          <w:p w14:paraId="3D5D9CD9"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34(15,2%)</w:t>
            </w:r>
          </w:p>
        </w:tc>
        <w:tc>
          <w:tcPr>
            <w:tcW w:w="1236" w:type="dxa"/>
          </w:tcPr>
          <w:p w14:paraId="4B5707C0"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5(6,9%)</w:t>
            </w:r>
          </w:p>
        </w:tc>
        <w:tc>
          <w:tcPr>
            <w:tcW w:w="1356" w:type="dxa"/>
          </w:tcPr>
          <w:p w14:paraId="64D11F33"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63(13,1%)</w:t>
            </w:r>
          </w:p>
        </w:tc>
        <w:tc>
          <w:tcPr>
            <w:tcW w:w="756" w:type="dxa"/>
            <w:vMerge/>
          </w:tcPr>
          <w:p w14:paraId="45A6C82F"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r>
      <w:tr w:rsidR="00581DF6" w:rsidRPr="00EA5243" w14:paraId="43657560" w14:textId="77777777" w:rsidTr="00581DF6">
        <w:trPr>
          <w:trHeight w:val="271"/>
        </w:trPr>
        <w:tc>
          <w:tcPr>
            <w:tcW w:w="1587" w:type="dxa"/>
            <w:vMerge/>
            <w:noWrap/>
            <w:hideMark/>
          </w:tcPr>
          <w:p w14:paraId="70AE69BA"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2074" w:type="dxa"/>
            <w:noWrap/>
            <w:hideMark/>
          </w:tcPr>
          <w:p w14:paraId="6E1AF4E3"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Не знаю о ШД, не было рекомендовано медперсоналом</w:t>
            </w:r>
          </w:p>
        </w:tc>
        <w:tc>
          <w:tcPr>
            <w:tcW w:w="1356" w:type="dxa"/>
            <w:noWrap/>
            <w:hideMark/>
          </w:tcPr>
          <w:p w14:paraId="1B318D19"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45(15,2%)</w:t>
            </w:r>
          </w:p>
        </w:tc>
        <w:tc>
          <w:tcPr>
            <w:tcW w:w="1296" w:type="dxa"/>
            <w:noWrap/>
            <w:hideMark/>
          </w:tcPr>
          <w:p w14:paraId="56FEA975"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34(18,6%)</w:t>
            </w:r>
          </w:p>
        </w:tc>
        <w:tc>
          <w:tcPr>
            <w:tcW w:w="1356" w:type="dxa"/>
            <w:noWrap/>
            <w:hideMark/>
          </w:tcPr>
          <w:p w14:paraId="02B7E23F"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79(16,5%)</w:t>
            </w:r>
          </w:p>
        </w:tc>
        <w:tc>
          <w:tcPr>
            <w:tcW w:w="756" w:type="dxa"/>
            <w:vMerge/>
          </w:tcPr>
          <w:p w14:paraId="636F3E36"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1296" w:type="dxa"/>
          </w:tcPr>
          <w:p w14:paraId="3DB287B8"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24(13,0%)</w:t>
            </w:r>
          </w:p>
        </w:tc>
        <w:tc>
          <w:tcPr>
            <w:tcW w:w="1356" w:type="dxa"/>
          </w:tcPr>
          <w:p w14:paraId="050D701E"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37(16,5%)</w:t>
            </w:r>
          </w:p>
        </w:tc>
        <w:tc>
          <w:tcPr>
            <w:tcW w:w="1236" w:type="dxa"/>
          </w:tcPr>
          <w:p w14:paraId="6F92F34E"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18(25,0%)</w:t>
            </w:r>
          </w:p>
        </w:tc>
        <w:tc>
          <w:tcPr>
            <w:tcW w:w="1356" w:type="dxa"/>
          </w:tcPr>
          <w:p w14:paraId="738CF151"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79(16,5%)</w:t>
            </w:r>
          </w:p>
        </w:tc>
        <w:tc>
          <w:tcPr>
            <w:tcW w:w="756" w:type="dxa"/>
            <w:vMerge/>
          </w:tcPr>
          <w:p w14:paraId="0112A58B"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r>
      <w:tr w:rsidR="00581DF6" w:rsidRPr="00EA5243" w14:paraId="7B2C73D7" w14:textId="77777777" w:rsidTr="00581DF6">
        <w:trPr>
          <w:trHeight w:val="271"/>
        </w:trPr>
        <w:tc>
          <w:tcPr>
            <w:tcW w:w="1587" w:type="dxa"/>
            <w:vMerge w:val="restart"/>
            <w:noWrap/>
          </w:tcPr>
          <w:p w14:paraId="2654C057"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hAnsi="Times New Roman" w:cs="Times New Roman"/>
                <w:bCs/>
                <w:sz w:val="24"/>
                <w:szCs w:val="24"/>
              </w:rPr>
              <w:t>Индекс массы тела</w:t>
            </w:r>
          </w:p>
        </w:tc>
        <w:tc>
          <w:tcPr>
            <w:tcW w:w="2074" w:type="dxa"/>
          </w:tcPr>
          <w:p w14:paraId="1C638E18"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Ниже нормального веса</w:t>
            </w:r>
          </w:p>
        </w:tc>
        <w:tc>
          <w:tcPr>
            <w:tcW w:w="1356" w:type="dxa"/>
            <w:noWrap/>
            <w:hideMark/>
          </w:tcPr>
          <w:p w14:paraId="324EE2F2"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1(0,3%)</w:t>
            </w:r>
          </w:p>
        </w:tc>
        <w:tc>
          <w:tcPr>
            <w:tcW w:w="1296" w:type="dxa"/>
            <w:noWrap/>
            <w:hideMark/>
          </w:tcPr>
          <w:p w14:paraId="1765288C"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1(0,5%)</w:t>
            </w:r>
          </w:p>
        </w:tc>
        <w:tc>
          <w:tcPr>
            <w:tcW w:w="1356" w:type="dxa"/>
            <w:noWrap/>
            <w:hideMark/>
          </w:tcPr>
          <w:p w14:paraId="1ED1330A"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2(0,4%)</w:t>
            </w:r>
          </w:p>
        </w:tc>
        <w:tc>
          <w:tcPr>
            <w:tcW w:w="756" w:type="dxa"/>
            <w:vMerge w:val="restart"/>
          </w:tcPr>
          <w:p w14:paraId="5A9FD89A" w14:textId="77777777" w:rsidR="00581DF6" w:rsidRPr="00EA5243" w:rsidRDefault="00581DF6" w:rsidP="00581DF6">
            <w:pPr>
              <w:spacing w:after="0" w:line="240" w:lineRule="auto"/>
              <w:jc w:val="center"/>
              <w:rPr>
                <w:rFonts w:ascii="Times New Roman" w:eastAsia="Times New Roman" w:hAnsi="Times New Roman" w:cs="Times New Roman"/>
                <w:sz w:val="24"/>
                <w:szCs w:val="24"/>
                <w:lang w:val="en-US"/>
              </w:rPr>
            </w:pPr>
            <w:r w:rsidRPr="00EA5243">
              <w:rPr>
                <w:rFonts w:ascii="Times New Roman" w:eastAsia="Times New Roman" w:hAnsi="Times New Roman" w:cs="Times New Roman"/>
                <w:sz w:val="24"/>
                <w:szCs w:val="24"/>
                <w:lang w:val="en-US"/>
              </w:rPr>
              <w:t>0,073</w:t>
            </w:r>
          </w:p>
        </w:tc>
        <w:tc>
          <w:tcPr>
            <w:tcW w:w="1296" w:type="dxa"/>
          </w:tcPr>
          <w:p w14:paraId="41458135" w14:textId="77777777" w:rsidR="00581DF6" w:rsidRPr="00EA5243" w:rsidRDefault="00581DF6" w:rsidP="00581DF6">
            <w:pPr>
              <w:spacing w:after="0" w:line="240" w:lineRule="auto"/>
              <w:jc w:val="center"/>
              <w:rPr>
                <w:rFonts w:ascii="Times New Roman" w:eastAsia="Times New Roman" w:hAnsi="Times New Roman" w:cs="Times New Roman"/>
                <w:sz w:val="24"/>
                <w:szCs w:val="24"/>
                <w:lang w:val="en-US"/>
              </w:rPr>
            </w:pPr>
            <w:r w:rsidRPr="00EA5243">
              <w:rPr>
                <w:rFonts w:ascii="Times New Roman" w:eastAsia="Times New Roman" w:hAnsi="Times New Roman" w:cs="Times New Roman"/>
                <w:sz w:val="24"/>
                <w:szCs w:val="24"/>
              </w:rPr>
              <w:t>1(0,5%)</w:t>
            </w:r>
          </w:p>
        </w:tc>
        <w:tc>
          <w:tcPr>
            <w:tcW w:w="1356" w:type="dxa"/>
          </w:tcPr>
          <w:p w14:paraId="227AB25C" w14:textId="77777777" w:rsidR="00581DF6" w:rsidRPr="00EA5243" w:rsidRDefault="00581DF6" w:rsidP="00581DF6">
            <w:pPr>
              <w:spacing w:after="0" w:line="240" w:lineRule="auto"/>
              <w:jc w:val="center"/>
              <w:rPr>
                <w:rFonts w:ascii="Times New Roman" w:eastAsia="Times New Roman" w:hAnsi="Times New Roman" w:cs="Times New Roman"/>
                <w:sz w:val="24"/>
                <w:szCs w:val="24"/>
                <w:lang w:val="en-US"/>
              </w:rPr>
            </w:pPr>
            <w:r w:rsidRPr="00EA5243">
              <w:rPr>
                <w:rFonts w:ascii="Times New Roman" w:eastAsia="Times New Roman" w:hAnsi="Times New Roman" w:cs="Times New Roman"/>
                <w:sz w:val="24"/>
                <w:szCs w:val="24"/>
              </w:rPr>
              <w:t>1(0,4%)</w:t>
            </w:r>
          </w:p>
        </w:tc>
        <w:tc>
          <w:tcPr>
            <w:tcW w:w="1236" w:type="dxa"/>
          </w:tcPr>
          <w:p w14:paraId="581940AC"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0(0,0%)</w:t>
            </w:r>
          </w:p>
        </w:tc>
        <w:tc>
          <w:tcPr>
            <w:tcW w:w="1356" w:type="dxa"/>
          </w:tcPr>
          <w:p w14:paraId="5BD2EABD" w14:textId="77777777" w:rsidR="00581DF6" w:rsidRPr="00EA5243" w:rsidRDefault="00581DF6" w:rsidP="00581DF6">
            <w:pPr>
              <w:spacing w:after="0" w:line="240" w:lineRule="auto"/>
              <w:jc w:val="center"/>
              <w:rPr>
                <w:rFonts w:ascii="Times New Roman" w:eastAsia="Times New Roman" w:hAnsi="Times New Roman" w:cs="Times New Roman"/>
                <w:sz w:val="24"/>
                <w:szCs w:val="24"/>
                <w:lang w:val="en-US"/>
              </w:rPr>
            </w:pPr>
            <w:r w:rsidRPr="00EA5243">
              <w:rPr>
                <w:rFonts w:ascii="Times New Roman" w:eastAsia="Times New Roman" w:hAnsi="Times New Roman" w:cs="Times New Roman"/>
                <w:sz w:val="24"/>
                <w:szCs w:val="24"/>
              </w:rPr>
              <w:t>2(0,4%)</w:t>
            </w:r>
          </w:p>
        </w:tc>
        <w:tc>
          <w:tcPr>
            <w:tcW w:w="756" w:type="dxa"/>
            <w:vMerge w:val="restart"/>
          </w:tcPr>
          <w:p w14:paraId="45842FD9"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lang w:val="en-US"/>
              </w:rPr>
              <w:t>0,073</w:t>
            </w:r>
          </w:p>
        </w:tc>
      </w:tr>
      <w:tr w:rsidR="00581DF6" w:rsidRPr="00EA5243" w14:paraId="49625129" w14:textId="77777777" w:rsidTr="00581DF6">
        <w:trPr>
          <w:trHeight w:val="271"/>
        </w:trPr>
        <w:tc>
          <w:tcPr>
            <w:tcW w:w="1587" w:type="dxa"/>
            <w:vMerge/>
            <w:noWrap/>
          </w:tcPr>
          <w:p w14:paraId="73650167"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2074" w:type="dxa"/>
          </w:tcPr>
          <w:p w14:paraId="04F3C7D4"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нормальный вес</w:t>
            </w:r>
          </w:p>
        </w:tc>
        <w:tc>
          <w:tcPr>
            <w:tcW w:w="1356" w:type="dxa"/>
            <w:noWrap/>
            <w:hideMark/>
          </w:tcPr>
          <w:p w14:paraId="1745C9CA"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48(16,2%)</w:t>
            </w:r>
          </w:p>
        </w:tc>
        <w:tc>
          <w:tcPr>
            <w:tcW w:w="1296" w:type="dxa"/>
            <w:noWrap/>
            <w:hideMark/>
          </w:tcPr>
          <w:p w14:paraId="6B5AFF94"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12(6,6%)</w:t>
            </w:r>
          </w:p>
        </w:tc>
        <w:tc>
          <w:tcPr>
            <w:tcW w:w="1356" w:type="dxa"/>
            <w:noWrap/>
            <w:hideMark/>
          </w:tcPr>
          <w:p w14:paraId="1D0BCF9F"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60(12,5%)</w:t>
            </w:r>
          </w:p>
        </w:tc>
        <w:tc>
          <w:tcPr>
            <w:tcW w:w="756" w:type="dxa"/>
            <w:vMerge/>
          </w:tcPr>
          <w:p w14:paraId="6928CE2B"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1296" w:type="dxa"/>
          </w:tcPr>
          <w:p w14:paraId="5D7A256E"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33(17,9%)</w:t>
            </w:r>
          </w:p>
        </w:tc>
        <w:tc>
          <w:tcPr>
            <w:tcW w:w="1356" w:type="dxa"/>
          </w:tcPr>
          <w:p w14:paraId="31FAD6B0"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23(10,3%)</w:t>
            </w:r>
          </w:p>
        </w:tc>
        <w:tc>
          <w:tcPr>
            <w:tcW w:w="1236" w:type="dxa"/>
          </w:tcPr>
          <w:p w14:paraId="7F0ADCB9"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4(5,6%)</w:t>
            </w:r>
          </w:p>
        </w:tc>
        <w:tc>
          <w:tcPr>
            <w:tcW w:w="1356" w:type="dxa"/>
          </w:tcPr>
          <w:p w14:paraId="5EC2ADA6"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60(12,5%)</w:t>
            </w:r>
          </w:p>
        </w:tc>
        <w:tc>
          <w:tcPr>
            <w:tcW w:w="756" w:type="dxa"/>
            <w:vMerge/>
          </w:tcPr>
          <w:p w14:paraId="6D8CB0AA"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r>
      <w:tr w:rsidR="00581DF6" w:rsidRPr="00EA5243" w14:paraId="32847CD7" w14:textId="77777777" w:rsidTr="00581DF6">
        <w:trPr>
          <w:trHeight w:val="271"/>
        </w:trPr>
        <w:tc>
          <w:tcPr>
            <w:tcW w:w="1587" w:type="dxa"/>
            <w:vMerge/>
            <w:noWrap/>
          </w:tcPr>
          <w:p w14:paraId="5BD05ED8"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2074" w:type="dxa"/>
          </w:tcPr>
          <w:p w14:paraId="63D37336"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избыточный вес</w:t>
            </w:r>
          </w:p>
        </w:tc>
        <w:tc>
          <w:tcPr>
            <w:tcW w:w="1356" w:type="dxa"/>
            <w:noWrap/>
            <w:hideMark/>
          </w:tcPr>
          <w:p w14:paraId="41F7CA4A"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122(41,1%)</w:t>
            </w:r>
          </w:p>
        </w:tc>
        <w:tc>
          <w:tcPr>
            <w:tcW w:w="1296" w:type="dxa"/>
            <w:noWrap/>
            <w:hideMark/>
          </w:tcPr>
          <w:p w14:paraId="5A185365"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85(46,4%)</w:t>
            </w:r>
          </w:p>
        </w:tc>
        <w:tc>
          <w:tcPr>
            <w:tcW w:w="1356" w:type="dxa"/>
            <w:noWrap/>
            <w:hideMark/>
          </w:tcPr>
          <w:p w14:paraId="724433B6"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207(43,1%)</w:t>
            </w:r>
          </w:p>
        </w:tc>
        <w:tc>
          <w:tcPr>
            <w:tcW w:w="756" w:type="dxa"/>
            <w:vMerge/>
          </w:tcPr>
          <w:p w14:paraId="3D80CE25"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1296" w:type="dxa"/>
          </w:tcPr>
          <w:p w14:paraId="11713331"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75(40,8%)</w:t>
            </w:r>
          </w:p>
        </w:tc>
        <w:tc>
          <w:tcPr>
            <w:tcW w:w="1356" w:type="dxa"/>
          </w:tcPr>
          <w:p w14:paraId="3EC598CC"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102(45,5%)</w:t>
            </w:r>
          </w:p>
        </w:tc>
        <w:tc>
          <w:tcPr>
            <w:tcW w:w="1236" w:type="dxa"/>
          </w:tcPr>
          <w:p w14:paraId="3D839437"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30(41,7%)</w:t>
            </w:r>
          </w:p>
        </w:tc>
        <w:tc>
          <w:tcPr>
            <w:tcW w:w="1356" w:type="dxa"/>
          </w:tcPr>
          <w:p w14:paraId="7BD9CE1B"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207(43,1%)</w:t>
            </w:r>
          </w:p>
        </w:tc>
        <w:tc>
          <w:tcPr>
            <w:tcW w:w="756" w:type="dxa"/>
            <w:vMerge/>
          </w:tcPr>
          <w:p w14:paraId="6DC4D0A0"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r>
      <w:tr w:rsidR="00581DF6" w:rsidRPr="00EA5243" w14:paraId="5E092C42" w14:textId="77777777" w:rsidTr="00581DF6">
        <w:trPr>
          <w:trHeight w:val="271"/>
        </w:trPr>
        <w:tc>
          <w:tcPr>
            <w:tcW w:w="1587" w:type="dxa"/>
            <w:vMerge/>
            <w:noWrap/>
          </w:tcPr>
          <w:p w14:paraId="1FB6218B"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2074" w:type="dxa"/>
          </w:tcPr>
          <w:p w14:paraId="29319861"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ожирение I степени</w:t>
            </w:r>
          </w:p>
        </w:tc>
        <w:tc>
          <w:tcPr>
            <w:tcW w:w="1356" w:type="dxa"/>
            <w:noWrap/>
            <w:hideMark/>
          </w:tcPr>
          <w:p w14:paraId="6EAF94A2"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91(30,6%)</w:t>
            </w:r>
          </w:p>
        </w:tc>
        <w:tc>
          <w:tcPr>
            <w:tcW w:w="1296" w:type="dxa"/>
            <w:noWrap/>
            <w:hideMark/>
          </w:tcPr>
          <w:p w14:paraId="60E5EB0F"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63(34,4%)</w:t>
            </w:r>
          </w:p>
        </w:tc>
        <w:tc>
          <w:tcPr>
            <w:tcW w:w="1356" w:type="dxa"/>
            <w:noWrap/>
            <w:hideMark/>
          </w:tcPr>
          <w:p w14:paraId="6F7780FA"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154(32,1%)</w:t>
            </w:r>
          </w:p>
        </w:tc>
        <w:tc>
          <w:tcPr>
            <w:tcW w:w="756" w:type="dxa"/>
            <w:vMerge/>
          </w:tcPr>
          <w:p w14:paraId="569BF18D"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1296" w:type="dxa"/>
          </w:tcPr>
          <w:p w14:paraId="378E9C71"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51(27,7%)</w:t>
            </w:r>
          </w:p>
        </w:tc>
        <w:tc>
          <w:tcPr>
            <w:tcW w:w="1356" w:type="dxa"/>
          </w:tcPr>
          <w:p w14:paraId="75147C4E"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70(31,3%)</w:t>
            </w:r>
          </w:p>
        </w:tc>
        <w:tc>
          <w:tcPr>
            <w:tcW w:w="1236" w:type="dxa"/>
          </w:tcPr>
          <w:p w14:paraId="2DF1B3B3"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33(45,8%)</w:t>
            </w:r>
          </w:p>
        </w:tc>
        <w:tc>
          <w:tcPr>
            <w:tcW w:w="1356" w:type="dxa"/>
          </w:tcPr>
          <w:p w14:paraId="2C879B24"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154(32,1%)</w:t>
            </w:r>
          </w:p>
        </w:tc>
        <w:tc>
          <w:tcPr>
            <w:tcW w:w="756" w:type="dxa"/>
            <w:vMerge/>
          </w:tcPr>
          <w:p w14:paraId="695787FF"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r>
      <w:tr w:rsidR="00581DF6" w:rsidRPr="00EA5243" w14:paraId="40F040B3" w14:textId="77777777" w:rsidTr="00581DF6">
        <w:trPr>
          <w:trHeight w:val="271"/>
        </w:trPr>
        <w:tc>
          <w:tcPr>
            <w:tcW w:w="1587" w:type="dxa"/>
            <w:vMerge/>
            <w:noWrap/>
          </w:tcPr>
          <w:p w14:paraId="20F3CC06"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2074" w:type="dxa"/>
          </w:tcPr>
          <w:p w14:paraId="43E6D92C"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ожирение ІІ степени</w:t>
            </w:r>
          </w:p>
        </w:tc>
        <w:tc>
          <w:tcPr>
            <w:tcW w:w="1356" w:type="dxa"/>
            <w:noWrap/>
            <w:hideMark/>
          </w:tcPr>
          <w:p w14:paraId="0A264268"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30(10,1%)</w:t>
            </w:r>
          </w:p>
        </w:tc>
        <w:tc>
          <w:tcPr>
            <w:tcW w:w="1296" w:type="dxa"/>
            <w:noWrap/>
            <w:hideMark/>
          </w:tcPr>
          <w:p w14:paraId="78CE45F4"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20(10,9%)</w:t>
            </w:r>
          </w:p>
        </w:tc>
        <w:tc>
          <w:tcPr>
            <w:tcW w:w="1356" w:type="dxa"/>
            <w:noWrap/>
            <w:hideMark/>
          </w:tcPr>
          <w:p w14:paraId="1C5E87FF"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50(10,4%)</w:t>
            </w:r>
          </w:p>
        </w:tc>
        <w:tc>
          <w:tcPr>
            <w:tcW w:w="756" w:type="dxa"/>
            <w:vMerge/>
          </w:tcPr>
          <w:p w14:paraId="7193F9E8"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1296" w:type="dxa"/>
          </w:tcPr>
          <w:p w14:paraId="54E722EE"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20(10,9%)</w:t>
            </w:r>
          </w:p>
        </w:tc>
        <w:tc>
          <w:tcPr>
            <w:tcW w:w="1356" w:type="dxa"/>
          </w:tcPr>
          <w:p w14:paraId="4233E2CC"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25(11,2%)</w:t>
            </w:r>
          </w:p>
        </w:tc>
        <w:tc>
          <w:tcPr>
            <w:tcW w:w="1236" w:type="dxa"/>
          </w:tcPr>
          <w:p w14:paraId="5B9079E2"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5(6,9%)</w:t>
            </w:r>
          </w:p>
        </w:tc>
        <w:tc>
          <w:tcPr>
            <w:tcW w:w="1356" w:type="dxa"/>
          </w:tcPr>
          <w:p w14:paraId="50A0C1C5"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50(10,4%)</w:t>
            </w:r>
          </w:p>
        </w:tc>
        <w:tc>
          <w:tcPr>
            <w:tcW w:w="756" w:type="dxa"/>
            <w:vMerge/>
          </w:tcPr>
          <w:p w14:paraId="42368745"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r>
      <w:tr w:rsidR="00581DF6" w:rsidRPr="00EA5243" w14:paraId="2351432A" w14:textId="77777777" w:rsidTr="00581DF6">
        <w:trPr>
          <w:trHeight w:val="271"/>
        </w:trPr>
        <w:tc>
          <w:tcPr>
            <w:tcW w:w="1587" w:type="dxa"/>
            <w:vMerge/>
            <w:noWrap/>
          </w:tcPr>
          <w:p w14:paraId="5BEEFCAD"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2074" w:type="dxa"/>
          </w:tcPr>
          <w:p w14:paraId="7A605707"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ожирение ІІІ степени</w:t>
            </w:r>
          </w:p>
        </w:tc>
        <w:tc>
          <w:tcPr>
            <w:tcW w:w="1356" w:type="dxa"/>
            <w:noWrap/>
            <w:hideMark/>
          </w:tcPr>
          <w:p w14:paraId="5CF7B41B"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5(1,7%)</w:t>
            </w:r>
          </w:p>
        </w:tc>
        <w:tc>
          <w:tcPr>
            <w:tcW w:w="1296" w:type="dxa"/>
            <w:noWrap/>
            <w:hideMark/>
          </w:tcPr>
          <w:p w14:paraId="25C566B9"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2(1,1%)</w:t>
            </w:r>
          </w:p>
        </w:tc>
        <w:tc>
          <w:tcPr>
            <w:tcW w:w="1356" w:type="dxa"/>
            <w:noWrap/>
            <w:hideMark/>
          </w:tcPr>
          <w:p w14:paraId="210284CD"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7(1,5%)</w:t>
            </w:r>
          </w:p>
        </w:tc>
        <w:tc>
          <w:tcPr>
            <w:tcW w:w="756" w:type="dxa"/>
            <w:vMerge/>
          </w:tcPr>
          <w:p w14:paraId="78AD6BC9"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1296" w:type="dxa"/>
          </w:tcPr>
          <w:p w14:paraId="300CEA84"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4(2,2%)</w:t>
            </w:r>
          </w:p>
        </w:tc>
        <w:tc>
          <w:tcPr>
            <w:tcW w:w="1356" w:type="dxa"/>
          </w:tcPr>
          <w:p w14:paraId="7A8DA463"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3(1,3%)</w:t>
            </w:r>
          </w:p>
        </w:tc>
        <w:tc>
          <w:tcPr>
            <w:tcW w:w="1236" w:type="dxa"/>
          </w:tcPr>
          <w:p w14:paraId="26E87363"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0(0,0%)</w:t>
            </w:r>
          </w:p>
        </w:tc>
        <w:tc>
          <w:tcPr>
            <w:tcW w:w="1356" w:type="dxa"/>
          </w:tcPr>
          <w:p w14:paraId="3E9F5589"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7(1,5%)</w:t>
            </w:r>
          </w:p>
        </w:tc>
        <w:tc>
          <w:tcPr>
            <w:tcW w:w="756" w:type="dxa"/>
            <w:vMerge/>
          </w:tcPr>
          <w:p w14:paraId="01A147EF"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r>
      <w:tr w:rsidR="00581DF6" w:rsidRPr="00EA5243" w14:paraId="47F42C28" w14:textId="77777777" w:rsidTr="00581DF6">
        <w:trPr>
          <w:trHeight w:val="271"/>
        </w:trPr>
        <w:tc>
          <w:tcPr>
            <w:tcW w:w="1587" w:type="dxa"/>
            <w:noWrap/>
          </w:tcPr>
          <w:p w14:paraId="7F8A6398"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2074" w:type="dxa"/>
          </w:tcPr>
          <w:p w14:paraId="7B1BB28B"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Итого</w:t>
            </w:r>
          </w:p>
        </w:tc>
        <w:tc>
          <w:tcPr>
            <w:tcW w:w="1356" w:type="dxa"/>
            <w:noWrap/>
          </w:tcPr>
          <w:p w14:paraId="709D6B84"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297(100%)</w:t>
            </w:r>
          </w:p>
        </w:tc>
        <w:tc>
          <w:tcPr>
            <w:tcW w:w="1296" w:type="dxa"/>
            <w:noWrap/>
          </w:tcPr>
          <w:p w14:paraId="62328BE1"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183(100%)</w:t>
            </w:r>
          </w:p>
        </w:tc>
        <w:tc>
          <w:tcPr>
            <w:tcW w:w="1356" w:type="dxa"/>
            <w:noWrap/>
          </w:tcPr>
          <w:p w14:paraId="482D2A5A"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480(100%)</w:t>
            </w:r>
          </w:p>
        </w:tc>
        <w:tc>
          <w:tcPr>
            <w:tcW w:w="756" w:type="dxa"/>
          </w:tcPr>
          <w:p w14:paraId="07BEA2F4"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1296" w:type="dxa"/>
          </w:tcPr>
          <w:p w14:paraId="377E1F77"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184(100%)</w:t>
            </w:r>
          </w:p>
          <w:p w14:paraId="7C89F43D"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c>
          <w:tcPr>
            <w:tcW w:w="1356" w:type="dxa"/>
          </w:tcPr>
          <w:p w14:paraId="536BCA76"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224(100%)</w:t>
            </w:r>
          </w:p>
        </w:tc>
        <w:tc>
          <w:tcPr>
            <w:tcW w:w="1236" w:type="dxa"/>
          </w:tcPr>
          <w:p w14:paraId="6942E5E9"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72(100%)</w:t>
            </w:r>
          </w:p>
        </w:tc>
        <w:tc>
          <w:tcPr>
            <w:tcW w:w="1356" w:type="dxa"/>
          </w:tcPr>
          <w:p w14:paraId="467AFBB4"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r w:rsidRPr="00EA5243">
              <w:rPr>
                <w:rFonts w:ascii="Times New Roman" w:eastAsia="Times New Roman" w:hAnsi="Times New Roman" w:cs="Times New Roman"/>
                <w:sz w:val="24"/>
                <w:szCs w:val="24"/>
              </w:rPr>
              <w:t>480(100%)</w:t>
            </w:r>
          </w:p>
        </w:tc>
        <w:tc>
          <w:tcPr>
            <w:tcW w:w="756" w:type="dxa"/>
          </w:tcPr>
          <w:p w14:paraId="7716FCFB" w14:textId="77777777" w:rsidR="00581DF6" w:rsidRPr="00EA5243" w:rsidRDefault="00581DF6" w:rsidP="00581DF6">
            <w:pPr>
              <w:spacing w:after="0" w:line="240" w:lineRule="auto"/>
              <w:jc w:val="center"/>
              <w:rPr>
                <w:rFonts w:ascii="Times New Roman" w:eastAsia="Times New Roman" w:hAnsi="Times New Roman" w:cs="Times New Roman"/>
                <w:sz w:val="24"/>
                <w:szCs w:val="24"/>
              </w:rPr>
            </w:pPr>
          </w:p>
        </w:tc>
      </w:tr>
    </w:tbl>
    <w:p w14:paraId="493CD347" w14:textId="6B148E23" w:rsidR="00FF46F6" w:rsidRPr="00FF46F6" w:rsidRDefault="00FF46F6" w:rsidP="00FF46F6">
      <w:pPr>
        <w:tabs>
          <w:tab w:val="left" w:pos="1176"/>
        </w:tabs>
        <w:rPr>
          <w:rFonts w:ascii="Times New Roman" w:hAnsi="Times New Roman" w:cs="Times New Roman"/>
          <w:sz w:val="28"/>
          <w:szCs w:val="28"/>
        </w:rPr>
        <w:sectPr w:rsidR="00FF46F6" w:rsidRPr="00FF46F6" w:rsidSect="00EC71C2">
          <w:type w:val="nextColumn"/>
          <w:pgSz w:w="16838" w:h="11906" w:orient="landscape"/>
          <w:pgMar w:top="1134" w:right="851" w:bottom="1134" w:left="1701" w:header="708" w:footer="708" w:gutter="0"/>
          <w:cols w:space="708"/>
          <w:docGrid w:linePitch="360"/>
        </w:sectPr>
      </w:pPr>
    </w:p>
    <w:p w14:paraId="3D82339E" w14:textId="77777777" w:rsidR="007A2C38" w:rsidRPr="00581DF6" w:rsidRDefault="007A2C38" w:rsidP="00581DF6">
      <w:pPr>
        <w:tabs>
          <w:tab w:val="left" w:pos="1014"/>
        </w:tabs>
        <w:spacing w:after="0" w:line="240" w:lineRule="auto"/>
        <w:ind w:firstLine="709"/>
        <w:jc w:val="both"/>
        <w:rPr>
          <w:rFonts w:ascii="Times New Roman" w:hAnsi="Times New Roman" w:cs="Times New Roman"/>
          <w:bCs/>
          <w:sz w:val="28"/>
          <w:szCs w:val="28"/>
        </w:rPr>
      </w:pPr>
      <w:r w:rsidRPr="004135FE">
        <w:rPr>
          <w:rFonts w:ascii="Times New Roman" w:hAnsi="Times New Roman" w:cs="Times New Roman"/>
          <w:b/>
          <w:sz w:val="28"/>
          <w:szCs w:val="28"/>
        </w:rPr>
        <w:lastRenderedPageBreak/>
        <w:tab/>
      </w:r>
      <w:r w:rsidRPr="00581DF6">
        <w:rPr>
          <w:rFonts w:ascii="Times New Roman" w:hAnsi="Times New Roman" w:cs="Times New Roman"/>
          <w:bCs/>
          <w:sz w:val="28"/>
          <w:szCs w:val="28"/>
        </w:rPr>
        <w:t xml:space="preserve">Таким образом, ежедневое употребление овощей составила всего </w:t>
      </w:r>
      <w:r w:rsidRPr="00581DF6">
        <w:rPr>
          <w:rFonts w:ascii="Times New Roman" w:eastAsia="Times New Roman" w:hAnsi="Times New Roman" w:cs="Times New Roman"/>
          <w:bCs/>
          <w:color w:val="000000"/>
          <w:sz w:val="28"/>
          <w:szCs w:val="28"/>
        </w:rPr>
        <w:t xml:space="preserve">61,88% опрошенных, фруктов и ягод 38,33% опрошенных. </w:t>
      </w:r>
      <w:r w:rsidRPr="00581DF6">
        <w:rPr>
          <w:rFonts w:ascii="Times New Roman" w:hAnsi="Times New Roman" w:cs="Times New Roman"/>
          <w:bCs/>
          <w:sz w:val="28"/>
          <w:szCs w:val="28"/>
        </w:rPr>
        <w:t xml:space="preserve">Наличие высшего образования способствует более частому употреблению в рационе питания овощей, фруктов и ягод. </w:t>
      </w:r>
    </w:p>
    <w:p w14:paraId="470312A8" w14:textId="77777777" w:rsidR="007A2C38" w:rsidRPr="00581DF6" w:rsidRDefault="007A2C38" w:rsidP="00581DF6">
      <w:pPr>
        <w:tabs>
          <w:tab w:val="left" w:pos="1014"/>
        </w:tabs>
        <w:spacing w:after="0" w:line="240" w:lineRule="auto"/>
        <w:ind w:firstLine="709"/>
        <w:jc w:val="both"/>
        <w:rPr>
          <w:rFonts w:ascii="Times New Roman" w:hAnsi="Times New Roman" w:cs="Times New Roman"/>
          <w:bCs/>
          <w:sz w:val="28"/>
          <w:szCs w:val="28"/>
        </w:rPr>
      </w:pPr>
      <w:r w:rsidRPr="00581DF6">
        <w:rPr>
          <w:rFonts w:ascii="Times New Roman" w:hAnsi="Times New Roman" w:cs="Times New Roman"/>
          <w:bCs/>
          <w:sz w:val="28"/>
          <w:szCs w:val="28"/>
        </w:rPr>
        <w:tab/>
        <w:t>Уровень использованных коммуникативных навыков медицинского персонала во время приема пациентов и обучения в ШД влияют на информированность, следовательно, на образ жизни, наличие вредных привычек и самоменеджмент пациента. В отличие от многих заболевании, при СД2т рацион питания зависит от индивидуального уровня сахара в крови, расчет хлебных единиц углеводов употребляемой пищи, которым обучают пациентов в ШД и корректируют во время приема и консультации. Но результаты опроса показывают недостаточный уровень участия персоналов эндокринологического кабинета и ШД, при работе о рациональном питании пациента. Необходимо перераспределить рабочий процесс МО и повышения квалификации персонала по коммуникативным навыкам и питания.</w:t>
      </w:r>
    </w:p>
    <w:p w14:paraId="5BEFA433" w14:textId="77777777" w:rsidR="007A2C38" w:rsidRPr="00581DF6" w:rsidRDefault="007A2C38" w:rsidP="00581DF6">
      <w:pPr>
        <w:tabs>
          <w:tab w:val="left" w:pos="1014"/>
        </w:tabs>
        <w:spacing w:after="0" w:line="240" w:lineRule="auto"/>
        <w:ind w:firstLine="709"/>
        <w:jc w:val="both"/>
        <w:rPr>
          <w:rFonts w:ascii="Times New Roman" w:hAnsi="Times New Roman" w:cs="Times New Roman"/>
          <w:bCs/>
          <w:sz w:val="28"/>
          <w:szCs w:val="28"/>
        </w:rPr>
      </w:pPr>
      <w:r w:rsidRPr="00581DF6">
        <w:rPr>
          <w:rFonts w:ascii="Times New Roman" w:eastAsiaTheme="minorHAnsi" w:hAnsi="Times New Roman" w:cs="Times New Roman"/>
          <w:bCs/>
          <w:sz w:val="28"/>
          <w:szCs w:val="28"/>
          <w:lang w:eastAsia="en-US"/>
        </w:rPr>
        <w:tab/>
        <w:t xml:space="preserve">Потребление фруктов и овощей отражает благосостояние, образованность каждого человека, качество услуги по разъяснительной работе о рациональном питании на уровне государства и ПМСП так же информируя о состоянии экономики, культуры и сельского хозяйства изучаемой страны и </w:t>
      </w:r>
      <w:r w:rsidRPr="00581DF6">
        <w:rPr>
          <w:rFonts w:ascii="Times New Roman" w:hAnsi="Times New Roman" w:cs="Times New Roman"/>
          <w:bCs/>
          <w:sz w:val="28"/>
          <w:szCs w:val="28"/>
        </w:rPr>
        <w:t>межсекторального сотрудничества.</w:t>
      </w:r>
    </w:p>
    <w:p w14:paraId="7739A6C0" w14:textId="77777777" w:rsidR="007A2C38" w:rsidRPr="004135FE" w:rsidRDefault="007A2C38" w:rsidP="00581DF6">
      <w:pPr>
        <w:pStyle w:val="a3"/>
        <w:tabs>
          <w:tab w:val="left" w:pos="851"/>
        </w:tabs>
        <w:spacing w:after="0" w:line="240" w:lineRule="auto"/>
        <w:ind w:left="0" w:firstLine="709"/>
        <w:jc w:val="both"/>
        <w:rPr>
          <w:rFonts w:ascii="Times New Roman" w:hAnsi="Times New Roman" w:cs="Times New Roman"/>
          <w:sz w:val="28"/>
          <w:szCs w:val="28"/>
        </w:rPr>
      </w:pPr>
      <w:r w:rsidRPr="00581DF6">
        <w:rPr>
          <w:rFonts w:ascii="Times New Roman" w:hAnsi="Times New Roman" w:cs="Times New Roman"/>
          <w:bCs/>
          <w:iCs/>
          <w:sz w:val="28"/>
          <w:szCs w:val="28"/>
        </w:rPr>
        <w:t>Приверженность пациентов к физической активности. Недостаточная физическая активность у пациентов с СД</w:t>
      </w:r>
      <w:r w:rsidRPr="00581DF6">
        <w:rPr>
          <w:rFonts w:ascii="Times New Roman" w:hAnsi="Times New Roman" w:cs="Times New Roman"/>
          <w:bCs/>
          <w:sz w:val="28"/>
          <w:szCs w:val="28"/>
        </w:rPr>
        <w:t>2т</w:t>
      </w:r>
      <w:r w:rsidRPr="004135FE">
        <w:rPr>
          <w:rFonts w:ascii="Times New Roman" w:hAnsi="Times New Roman" w:cs="Times New Roman"/>
          <w:b/>
          <w:sz w:val="28"/>
          <w:szCs w:val="28"/>
        </w:rPr>
        <w:t>.</w:t>
      </w:r>
    </w:p>
    <w:p w14:paraId="33AC5B1C" w14:textId="77777777" w:rsidR="007A2C38" w:rsidRPr="004135FE" w:rsidRDefault="007A2C38" w:rsidP="00581DF6">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iCs/>
          <w:sz w:val="28"/>
          <w:szCs w:val="28"/>
        </w:rPr>
        <w:t xml:space="preserve">Физическая активность (ФА) является важным фактором, влияющим как на течение СД2т у пациентов, так и на вероятность его возникновения у здоровых людей. Однако, несмотря на обилие международной литературы по данной теме исследований в Казахстане крайне мало. Данный раздел социологического исследования нацелена на оценку распространенности и факторов риска недостаточной физической активности (НФА) среди больных с СД2т </w:t>
      </w:r>
      <w:r w:rsidRPr="004135FE">
        <w:rPr>
          <w:rFonts w:ascii="Times New Roman" w:hAnsi="Times New Roman" w:cs="Times New Roman"/>
          <w:sz w:val="28"/>
          <w:szCs w:val="28"/>
        </w:rPr>
        <w:t>(оценить долю больных с СД2т достигших рекомендованных уровней ФА и связанных факторов, а также изучить препятствия на пути к соблюдению этих рекомендаций).</w:t>
      </w:r>
    </w:p>
    <w:p w14:paraId="76300521" w14:textId="58925D0B" w:rsidR="007A2C38" w:rsidRPr="004135FE" w:rsidRDefault="007A2C38" w:rsidP="00581DF6">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Рекомендуемый уровень ФА включает 30-60 минут аэробных физических упражнений в день не менее 3 раз в неделю общей продолжительностью 150 минут и более [27]. Интенсивность физических нагрузок следует подбирать индивидуально в зависимости от состояния пациента. Эти рекомендации также используются в Казахстане. Согласно диабетическим профилям ВОЗ, 58,7% взрослого населения в целом имеют избыточный вес, 23,5% страдают ожирением и 20,0% имеют недостаточную физическую активность. Мы обнаружили только один документ из Казахстана в международной рецензируемой литературе по ФА с использованием проверенных на международном уровне инструментов оценки здоровых субъектов, из которых следует, что доля взрослых, проживающих в Алматы с низким, средним и высоким уровнями ФА составляла 24,3%, 39</w:t>
      </w:r>
      <w:r w:rsidR="006922CB" w:rsidRPr="004135FE">
        <w:rPr>
          <w:rFonts w:ascii="Times New Roman" w:hAnsi="Times New Roman" w:cs="Times New Roman"/>
          <w:sz w:val="28"/>
          <w:szCs w:val="28"/>
        </w:rPr>
        <w:t>,9 % и 35,8% соответственно [175</w:t>
      </w:r>
      <w:r w:rsidRPr="004135FE">
        <w:rPr>
          <w:rFonts w:ascii="Times New Roman" w:hAnsi="Times New Roman" w:cs="Times New Roman"/>
          <w:sz w:val="28"/>
          <w:szCs w:val="28"/>
        </w:rPr>
        <w:t xml:space="preserve">]. Пациенты с диабетом могут сталкиваться со </w:t>
      </w:r>
      <w:r w:rsidRPr="004135FE">
        <w:rPr>
          <w:rFonts w:ascii="Times New Roman" w:hAnsi="Times New Roman" w:cs="Times New Roman"/>
          <w:sz w:val="28"/>
          <w:szCs w:val="28"/>
        </w:rPr>
        <w:lastRenderedPageBreak/>
        <w:t>значительным количеством препятствий для физических упражнений, знания о которых могут помочь улучшить лечение и реабилитацию в стране, а также улучшить качество жизни пациентов. Более того, знание барьеров может иметь значение для населения в целом. Международные данные, обобщенные в недавнем систематическом обзоре и метаанализе, показывают, что соблюдение предписанной ФА варьировалось от 49% до 100%, в среднем 80% для пациентов с диабет</w:t>
      </w:r>
      <w:r w:rsidR="006922CB" w:rsidRPr="004135FE">
        <w:rPr>
          <w:rFonts w:ascii="Times New Roman" w:hAnsi="Times New Roman" w:cs="Times New Roman"/>
          <w:sz w:val="28"/>
          <w:szCs w:val="28"/>
        </w:rPr>
        <w:t>ом на основе 9 исследований [176</w:t>
      </w:r>
      <w:r w:rsidRPr="004135FE">
        <w:rPr>
          <w:rFonts w:ascii="Times New Roman" w:hAnsi="Times New Roman" w:cs="Times New Roman"/>
          <w:sz w:val="28"/>
          <w:szCs w:val="28"/>
        </w:rPr>
        <w:t>]. Тем не менее, в Казахстане нет информации по этому вопросу, требующей исследования ФА и препятствий для достижения рекомендуемых уровней с дальнейшей целью улучшения гликемического контроля и улучшения качества жизни пациентов с диабетом.</w:t>
      </w:r>
    </w:p>
    <w:p w14:paraId="2B41B987" w14:textId="77777777" w:rsidR="007A2C38" w:rsidRPr="004135FE" w:rsidRDefault="007A2C38" w:rsidP="00581DF6">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Распространенность НФА среди пациентов города составила 60,4% (95% ДИ: 56,0; 64,7). Рекомендуемый уровень был достигнут только на 39,6% (95% ДИ: 35,3; 44,0).</w:t>
      </w:r>
    </w:p>
    <w:p w14:paraId="1377314F" w14:textId="77777777" w:rsidR="007A2C38" w:rsidRPr="004135FE" w:rsidRDefault="007A2C38" w:rsidP="00581DF6">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При грубом анализе, у лиц с высшим образованием и трудоустроенных, была более низкая распространенность НФА. Другие социально-экономические характеристики не были связаны с исследуемым результатом. При ежедневном потреблении овощей, а также фруктов и ягод НФА было меньше. Алкоголь и курение не были связаны с распространенностью НФА.</w:t>
      </w:r>
    </w:p>
    <w:p w14:paraId="5EAB5F31" w14:textId="7D9761C8" w:rsidR="007A2C38" w:rsidRDefault="007A2C38" w:rsidP="00581DF6">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После введения всех переменных в одну многомерную модель Пуассона связь между НФА и образованием снизилась до незначимых значений. В то же время связь между НФА и профессией оставалась значительной. Пациенты, которые были на оплачиваемой работе на 39% больше шансов достичь рекомендуемого уровня ФА, чем у контрольной группы. Связь между ежедневным потреблением овощей значительно сократилась и стала несущественной. </w:t>
      </w:r>
      <w:r w:rsidR="005F2C73" w:rsidRPr="004135FE">
        <w:rPr>
          <w:rFonts w:ascii="Times New Roman" w:hAnsi="Times New Roman" w:cs="Times New Roman"/>
          <w:sz w:val="28"/>
          <w:szCs w:val="28"/>
        </w:rPr>
        <w:t>Р</w:t>
      </w:r>
      <w:r w:rsidRPr="004135FE">
        <w:rPr>
          <w:rFonts w:ascii="Times New Roman" w:hAnsi="Times New Roman" w:cs="Times New Roman"/>
          <w:sz w:val="28"/>
          <w:szCs w:val="28"/>
        </w:rPr>
        <w:t>езультаты многомерного анализа связи между НФА и потреблением фруктов и ягод были неубедительными. Те, кто сообщал о том, что ели фрукты и ягоды хотя бы ежедневно, имели на 21% больше шансов достичь рекомендуемого уровня ФА (p = 0,050). Результаты ассоциаций между НФА и социально-демографическими переменными представлены в та</w:t>
      </w:r>
      <w:r w:rsidR="00B728EF" w:rsidRPr="004135FE">
        <w:rPr>
          <w:rFonts w:ascii="Times New Roman" w:hAnsi="Times New Roman" w:cs="Times New Roman"/>
          <w:sz w:val="28"/>
          <w:szCs w:val="28"/>
        </w:rPr>
        <w:t>блице 32</w:t>
      </w:r>
      <w:r w:rsidR="003C3318" w:rsidRPr="004135FE">
        <w:rPr>
          <w:rFonts w:ascii="Times New Roman" w:hAnsi="Times New Roman" w:cs="Times New Roman"/>
          <w:sz w:val="28"/>
          <w:szCs w:val="28"/>
        </w:rPr>
        <w:t>, а в таблице 3</w:t>
      </w:r>
      <w:r w:rsidR="00B728EF" w:rsidRPr="004135FE">
        <w:rPr>
          <w:rFonts w:ascii="Times New Roman" w:hAnsi="Times New Roman" w:cs="Times New Roman"/>
          <w:sz w:val="28"/>
          <w:szCs w:val="28"/>
        </w:rPr>
        <w:t>3</w:t>
      </w:r>
      <w:r w:rsidRPr="004135FE">
        <w:rPr>
          <w:rFonts w:ascii="Times New Roman" w:hAnsi="Times New Roman" w:cs="Times New Roman"/>
          <w:sz w:val="28"/>
          <w:szCs w:val="28"/>
        </w:rPr>
        <w:t xml:space="preserve"> обобщены результаты ассоциаций между НФА и факторами образа жизни.</w:t>
      </w:r>
    </w:p>
    <w:p w14:paraId="338F2EE4" w14:textId="77777777" w:rsidR="00581DF6" w:rsidRPr="004135FE" w:rsidRDefault="00581DF6" w:rsidP="00581DF6">
      <w:pPr>
        <w:spacing w:after="0" w:line="240" w:lineRule="auto"/>
        <w:ind w:firstLine="709"/>
        <w:jc w:val="both"/>
        <w:rPr>
          <w:rFonts w:ascii="Times New Roman" w:hAnsi="Times New Roman" w:cs="Times New Roman"/>
          <w:sz w:val="28"/>
          <w:szCs w:val="28"/>
        </w:rPr>
      </w:pPr>
    </w:p>
    <w:p w14:paraId="2CB97A82" w14:textId="6AF9BFD4" w:rsidR="007A2C38" w:rsidRDefault="003C3318" w:rsidP="00581DF6">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Таблица 3</w:t>
      </w:r>
      <w:r w:rsidR="00B728EF" w:rsidRPr="004135FE">
        <w:rPr>
          <w:rFonts w:ascii="Times New Roman" w:hAnsi="Times New Roman" w:cs="Times New Roman"/>
          <w:sz w:val="28"/>
          <w:szCs w:val="28"/>
        </w:rPr>
        <w:t>2</w:t>
      </w:r>
      <w:r w:rsidR="007A2C38" w:rsidRPr="004135FE">
        <w:rPr>
          <w:rFonts w:ascii="Times New Roman" w:hAnsi="Times New Roman" w:cs="Times New Roman"/>
          <w:sz w:val="28"/>
          <w:szCs w:val="28"/>
        </w:rPr>
        <w:t>- Доля пациентов с СД2т с НФА по социально-демографическим характеристикам в Алматы</w:t>
      </w:r>
    </w:p>
    <w:p w14:paraId="0A41138B" w14:textId="77777777" w:rsidR="00581DF6" w:rsidRPr="004135FE" w:rsidRDefault="00581DF6" w:rsidP="004135FE">
      <w:pPr>
        <w:spacing w:after="0" w:line="240" w:lineRule="auto"/>
        <w:ind w:firstLine="567"/>
        <w:jc w:val="both"/>
        <w:rPr>
          <w:rFonts w:ascii="Times New Roman" w:hAnsi="Times New Roman" w:cs="Times New Roman"/>
          <w:sz w:val="28"/>
          <w:szCs w:val="28"/>
        </w:rPr>
      </w:pPr>
    </w:p>
    <w:tbl>
      <w:tblPr>
        <w:tblStyle w:val="af9"/>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993"/>
        <w:gridCol w:w="567"/>
        <w:gridCol w:w="850"/>
        <w:gridCol w:w="992"/>
        <w:gridCol w:w="851"/>
        <w:gridCol w:w="1134"/>
        <w:gridCol w:w="1134"/>
        <w:gridCol w:w="992"/>
        <w:gridCol w:w="803"/>
      </w:tblGrid>
      <w:tr w:rsidR="00581DF6" w:rsidRPr="00581DF6" w14:paraId="24B6FB1D" w14:textId="77777777" w:rsidTr="00581DF6">
        <w:tc>
          <w:tcPr>
            <w:tcW w:w="2122" w:type="dxa"/>
            <w:gridSpan w:val="2"/>
          </w:tcPr>
          <w:p w14:paraId="629D9D2C" w14:textId="77777777" w:rsidR="007A2C38" w:rsidRPr="00581DF6" w:rsidRDefault="007A2C38" w:rsidP="00581DF6">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rPr>
              <w:t>Характеристика</w:t>
            </w:r>
          </w:p>
        </w:tc>
        <w:tc>
          <w:tcPr>
            <w:tcW w:w="567" w:type="dxa"/>
          </w:tcPr>
          <w:p w14:paraId="53A399EB" w14:textId="77777777" w:rsidR="007A2C38" w:rsidRPr="00581DF6" w:rsidRDefault="007A2C38" w:rsidP="00581DF6">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N</w:t>
            </w:r>
          </w:p>
        </w:tc>
        <w:tc>
          <w:tcPr>
            <w:tcW w:w="850" w:type="dxa"/>
          </w:tcPr>
          <w:p w14:paraId="4654ACA7" w14:textId="77777777" w:rsidR="007A2C38" w:rsidRPr="00581DF6" w:rsidRDefault="007A2C38" w:rsidP="00581DF6">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w:t>
            </w:r>
          </w:p>
        </w:tc>
        <w:tc>
          <w:tcPr>
            <w:tcW w:w="992" w:type="dxa"/>
          </w:tcPr>
          <w:p w14:paraId="39706C2B" w14:textId="77777777" w:rsidR="007A2C38" w:rsidRPr="00581DF6" w:rsidRDefault="007A2C38" w:rsidP="00581DF6">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rPr>
              <w:t>НФА</w:t>
            </w:r>
            <w:r w:rsidRPr="00581DF6">
              <w:rPr>
                <w:rFonts w:ascii="Times New Roman" w:hAnsi="Times New Roman" w:cs="Times New Roman"/>
                <w:sz w:val="24"/>
                <w:szCs w:val="24"/>
                <w:shd w:val="clear" w:color="auto" w:fill="FFFFFF"/>
                <w:lang w:val="en-US"/>
              </w:rPr>
              <w:t>,%</w:t>
            </w:r>
          </w:p>
        </w:tc>
        <w:tc>
          <w:tcPr>
            <w:tcW w:w="851" w:type="dxa"/>
          </w:tcPr>
          <w:p w14:paraId="28F27DDF" w14:textId="77777777" w:rsidR="007A2C38" w:rsidRPr="00581DF6" w:rsidRDefault="007A2C38" w:rsidP="00581DF6">
            <w:pPr>
              <w:spacing w:after="0" w:line="240" w:lineRule="auto"/>
              <w:jc w:val="center"/>
              <w:rPr>
                <w:rFonts w:ascii="Times New Roman" w:hAnsi="Times New Roman" w:cs="Times New Roman"/>
                <w:sz w:val="24"/>
                <w:szCs w:val="24"/>
                <w:shd w:val="clear" w:color="auto" w:fill="FFFFFF"/>
              </w:rPr>
            </w:pPr>
            <w:r w:rsidRPr="00581DF6">
              <w:rPr>
                <w:rFonts w:ascii="Times New Roman" w:hAnsi="Times New Roman" w:cs="Times New Roman"/>
                <w:sz w:val="24"/>
                <w:szCs w:val="24"/>
                <w:shd w:val="clear" w:color="auto" w:fill="FFFFFF"/>
              </w:rPr>
              <w:t>Р</w:t>
            </w:r>
          </w:p>
        </w:tc>
        <w:tc>
          <w:tcPr>
            <w:tcW w:w="1134" w:type="dxa"/>
          </w:tcPr>
          <w:p w14:paraId="79D39C17" w14:textId="77777777" w:rsidR="007A2C38" w:rsidRPr="00581DF6" w:rsidRDefault="007A2C38" w:rsidP="00581DF6">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Грубый ОШ</w:t>
            </w:r>
          </w:p>
        </w:tc>
        <w:tc>
          <w:tcPr>
            <w:tcW w:w="1134" w:type="dxa"/>
          </w:tcPr>
          <w:p w14:paraId="46181484" w14:textId="77777777" w:rsidR="007A2C38" w:rsidRPr="00581DF6" w:rsidRDefault="007A2C38" w:rsidP="00581DF6">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95</w:t>
            </w:r>
            <w:r w:rsidRPr="00581DF6">
              <w:rPr>
                <w:rFonts w:ascii="Times New Roman" w:hAnsi="Times New Roman" w:cs="Times New Roman"/>
                <w:sz w:val="24"/>
                <w:szCs w:val="24"/>
                <w:shd w:val="clear" w:color="auto" w:fill="FFFFFF"/>
              </w:rPr>
              <w:t xml:space="preserve"> </w:t>
            </w:r>
            <w:r w:rsidRPr="00581DF6">
              <w:rPr>
                <w:rFonts w:ascii="Times New Roman" w:hAnsi="Times New Roman" w:cs="Times New Roman"/>
                <w:sz w:val="24"/>
                <w:szCs w:val="24"/>
                <w:shd w:val="clear" w:color="auto" w:fill="FFFFFF"/>
                <w:lang w:val="en-US"/>
              </w:rPr>
              <w:t>% ДИ</w:t>
            </w:r>
          </w:p>
        </w:tc>
        <w:tc>
          <w:tcPr>
            <w:tcW w:w="992" w:type="dxa"/>
          </w:tcPr>
          <w:p w14:paraId="24D7F707" w14:textId="77777777" w:rsidR="007A2C38" w:rsidRPr="00581DF6" w:rsidRDefault="007A2C38" w:rsidP="00581DF6">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rPr>
              <w:t>Уточненный ОШ</w:t>
            </w:r>
          </w:p>
        </w:tc>
        <w:tc>
          <w:tcPr>
            <w:tcW w:w="803" w:type="dxa"/>
          </w:tcPr>
          <w:p w14:paraId="0C2C90AD" w14:textId="77777777" w:rsidR="007A2C38" w:rsidRPr="00581DF6" w:rsidRDefault="007A2C38" w:rsidP="00581DF6">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95</w:t>
            </w:r>
            <w:r w:rsidRPr="00581DF6">
              <w:rPr>
                <w:rFonts w:ascii="Times New Roman" w:hAnsi="Times New Roman" w:cs="Times New Roman"/>
                <w:sz w:val="24"/>
                <w:szCs w:val="24"/>
                <w:shd w:val="clear" w:color="auto" w:fill="FFFFFF"/>
              </w:rPr>
              <w:t xml:space="preserve"> </w:t>
            </w:r>
            <w:r w:rsidRPr="00581DF6">
              <w:rPr>
                <w:rFonts w:ascii="Times New Roman" w:hAnsi="Times New Roman" w:cs="Times New Roman"/>
                <w:sz w:val="24"/>
                <w:szCs w:val="24"/>
                <w:shd w:val="clear" w:color="auto" w:fill="FFFFFF"/>
                <w:lang w:val="en-US"/>
              </w:rPr>
              <w:t>% ДИ</w:t>
            </w:r>
          </w:p>
        </w:tc>
      </w:tr>
      <w:tr w:rsidR="00581DF6" w:rsidRPr="00581DF6" w14:paraId="2A836C8D" w14:textId="77777777" w:rsidTr="00581DF6">
        <w:tc>
          <w:tcPr>
            <w:tcW w:w="2122" w:type="dxa"/>
            <w:gridSpan w:val="2"/>
          </w:tcPr>
          <w:p w14:paraId="399189CF" w14:textId="0EE81A38" w:rsidR="00581DF6" w:rsidRPr="00581DF6" w:rsidRDefault="00581DF6" w:rsidP="00581D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567" w:type="dxa"/>
          </w:tcPr>
          <w:p w14:paraId="1F609BF3" w14:textId="79428446" w:rsidR="00581DF6" w:rsidRPr="00581DF6" w:rsidRDefault="00581DF6" w:rsidP="00581DF6">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2</w:t>
            </w:r>
          </w:p>
        </w:tc>
        <w:tc>
          <w:tcPr>
            <w:tcW w:w="850" w:type="dxa"/>
          </w:tcPr>
          <w:p w14:paraId="584B7345" w14:textId="07D95889" w:rsidR="00581DF6" w:rsidRPr="00581DF6" w:rsidRDefault="00581DF6" w:rsidP="00581DF6">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3</w:t>
            </w:r>
          </w:p>
        </w:tc>
        <w:tc>
          <w:tcPr>
            <w:tcW w:w="992" w:type="dxa"/>
          </w:tcPr>
          <w:p w14:paraId="61920E88" w14:textId="382630D9" w:rsidR="00581DF6" w:rsidRPr="00581DF6" w:rsidRDefault="00581DF6" w:rsidP="00581DF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851" w:type="dxa"/>
          </w:tcPr>
          <w:p w14:paraId="3B4469E6" w14:textId="2C2CCDB3" w:rsidR="00581DF6" w:rsidRPr="00581DF6" w:rsidRDefault="00581DF6" w:rsidP="00581DF6">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5</w:t>
            </w:r>
          </w:p>
        </w:tc>
        <w:tc>
          <w:tcPr>
            <w:tcW w:w="1134" w:type="dxa"/>
          </w:tcPr>
          <w:p w14:paraId="4A9F6503" w14:textId="4DDC0FD6" w:rsidR="00581DF6" w:rsidRPr="00581DF6" w:rsidRDefault="00581DF6" w:rsidP="00581DF6">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6</w:t>
            </w:r>
          </w:p>
        </w:tc>
        <w:tc>
          <w:tcPr>
            <w:tcW w:w="1134" w:type="dxa"/>
          </w:tcPr>
          <w:p w14:paraId="5FF2F05D" w14:textId="0E586D58" w:rsidR="00581DF6" w:rsidRPr="00581DF6" w:rsidRDefault="00581DF6" w:rsidP="00581DF6">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7</w:t>
            </w:r>
          </w:p>
        </w:tc>
        <w:tc>
          <w:tcPr>
            <w:tcW w:w="992" w:type="dxa"/>
          </w:tcPr>
          <w:p w14:paraId="05FC1C8B" w14:textId="71679252" w:rsidR="00581DF6" w:rsidRPr="00581DF6" w:rsidRDefault="00581DF6" w:rsidP="00581DF6">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8</w:t>
            </w:r>
          </w:p>
        </w:tc>
        <w:tc>
          <w:tcPr>
            <w:tcW w:w="803" w:type="dxa"/>
          </w:tcPr>
          <w:p w14:paraId="33DFC488" w14:textId="2D654D53" w:rsidR="00581DF6" w:rsidRPr="00581DF6" w:rsidRDefault="00581DF6" w:rsidP="00581DF6">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9</w:t>
            </w:r>
          </w:p>
        </w:tc>
      </w:tr>
      <w:tr w:rsidR="00581DF6" w:rsidRPr="00581DF6" w14:paraId="495AB013" w14:textId="77777777" w:rsidTr="00581DF6">
        <w:tc>
          <w:tcPr>
            <w:tcW w:w="1129" w:type="dxa"/>
            <w:vMerge w:val="restart"/>
          </w:tcPr>
          <w:p w14:paraId="1ACC5F34"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rPr>
              <w:t>Возраст, лет</w:t>
            </w:r>
          </w:p>
        </w:tc>
        <w:tc>
          <w:tcPr>
            <w:tcW w:w="993" w:type="dxa"/>
          </w:tcPr>
          <w:p w14:paraId="2D6D154C" w14:textId="77777777" w:rsidR="007A2C38" w:rsidRPr="00581DF6" w:rsidRDefault="007A2C38" w:rsidP="004135FE">
            <w:pPr>
              <w:spacing w:after="0" w:line="240" w:lineRule="auto"/>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18-55</w:t>
            </w:r>
          </w:p>
        </w:tc>
        <w:tc>
          <w:tcPr>
            <w:tcW w:w="567" w:type="dxa"/>
          </w:tcPr>
          <w:p w14:paraId="4CD6E26B"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205</w:t>
            </w:r>
          </w:p>
        </w:tc>
        <w:tc>
          <w:tcPr>
            <w:tcW w:w="850" w:type="dxa"/>
          </w:tcPr>
          <w:p w14:paraId="6AB90C98"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42.7</w:t>
            </w:r>
          </w:p>
        </w:tc>
        <w:tc>
          <w:tcPr>
            <w:tcW w:w="992" w:type="dxa"/>
          </w:tcPr>
          <w:p w14:paraId="5825085F"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rPr>
            </w:pPr>
            <w:r w:rsidRPr="00581DF6">
              <w:rPr>
                <w:rFonts w:ascii="Times New Roman" w:hAnsi="Times New Roman" w:cs="Times New Roman"/>
                <w:sz w:val="24"/>
                <w:szCs w:val="24"/>
                <w:shd w:val="clear" w:color="auto" w:fill="FFFFFF"/>
              </w:rPr>
              <w:t>60.0</w:t>
            </w:r>
          </w:p>
        </w:tc>
        <w:tc>
          <w:tcPr>
            <w:tcW w:w="851" w:type="dxa"/>
            <w:vMerge w:val="restart"/>
          </w:tcPr>
          <w:p w14:paraId="1FBF0698"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rPr>
              <w:t>0.872</w:t>
            </w:r>
          </w:p>
        </w:tc>
        <w:tc>
          <w:tcPr>
            <w:tcW w:w="1134" w:type="dxa"/>
          </w:tcPr>
          <w:p w14:paraId="7E6CC623"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1.00</w:t>
            </w:r>
          </w:p>
        </w:tc>
        <w:tc>
          <w:tcPr>
            <w:tcW w:w="1134" w:type="dxa"/>
          </w:tcPr>
          <w:p w14:paraId="2DFA3383"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rPr>
            </w:pPr>
            <w:r w:rsidRPr="00581DF6">
              <w:rPr>
                <w:rFonts w:ascii="Times New Roman" w:hAnsi="Times New Roman" w:cs="Times New Roman"/>
                <w:sz w:val="24"/>
                <w:szCs w:val="24"/>
                <w:shd w:val="clear" w:color="auto" w:fill="FFFFFF"/>
                <w:lang w:val="en-US"/>
              </w:rPr>
              <w:t>Reference</w:t>
            </w:r>
          </w:p>
        </w:tc>
        <w:tc>
          <w:tcPr>
            <w:tcW w:w="992" w:type="dxa"/>
          </w:tcPr>
          <w:p w14:paraId="7296F9BC"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1.00</w:t>
            </w:r>
          </w:p>
        </w:tc>
        <w:tc>
          <w:tcPr>
            <w:tcW w:w="803" w:type="dxa"/>
          </w:tcPr>
          <w:p w14:paraId="24F796A3"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Reference</w:t>
            </w:r>
          </w:p>
        </w:tc>
      </w:tr>
      <w:tr w:rsidR="00581DF6" w:rsidRPr="00581DF6" w14:paraId="2F4D878A" w14:textId="77777777" w:rsidTr="00077E0F">
        <w:tc>
          <w:tcPr>
            <w:tcW w:w="1129" w:type="dxa"/>
            <w:vMerge/>
            <w:tcBorders>
              <w:bottom w:val="single" w:sz="4" w:space="0" w:color="auto"/>
            </w:tcBorders>
          </w:tcPr>
          <w:p w14:paraId="37219FF8"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p>
        </w:tc>
        <w:tc>
          <w:tcPr>
            <w:tcW w:w="993" w:type="dxa"/>
            <w:tcBorders>
              <w:bottom w:val="single" w:sz="4" w:space="0" w:color="auto"/>
            </w:tcBorders>
          </w:tcPr>
          <w:p w14:paraId="2002C97C" w14:textId="77777777" w:rsidR="007A2C38" w:rsidRPr="00581DF6" w:rsidRDefault="007A2C38" w:rsidP="004135FE">
            <w:pPr>
              <w:spacing w:after="0" w:line="240" w:lineRule="auto"/>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56+</w:t>
            </w:r>
          </w:p>
        </w:tc>
        <w:tc>
          <w:tcPr>
            <w:tcW w:w="567" w:type="dxa"/>
            <w:tcBorders>
              <w:bottom w:val="single" w:sz="4" w:space="0" w:color="auto"/>
            </w:tcBorders>
          </w:tcPr>
          <w:p w14:paraId="25F84C1A"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275</w:t>
            </w:r>
          </w:p>
        </w:tc>
        <w:tc>
          <w:tcPr>
            <w:tcW w:w="850" w:type="dxa"/>
            <w:tcBorders>
              <w:bottom w:val="single" w:sz="4" w:space="0" w:color="auto"/>
            </w:tcBorders>
          </w:tcPr>
          <w:p w14:paraId="418C41CF"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57.3</w:t>
            </w:r>
          </w:p>
        </w:tc>
        <w:tc>
          <w:tcPr>
            <w:tcW w:w="992" w:type="dxa"/>
            <w:tcBorders>
              <w:bottom w:val="single" w:sz="4" w:space="0" w:color="auto"/>
            </w:tcBorders>
          </w:tcPr>
          <w:p w14:paraId="3CC57D2A"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rPr>
            </w:pPr>
            <w:r w:rsidRPr="00581DF6">
              <w:rPr>
                <w:rFonts w:ascii="Times New Roman" w:hAnsi="Times New Roman" w:cs="Times New Roman"/>
                <w:sz w:val="24"/>
                <w:szCs w:val="24"/>
                <w:shd w:val="clear" w:color="auto" w:fill="FFFFFF"/>
              </w:rPr>
              <w:t>60.7</w:t>
            </w:r>
          </w:p>
        </w:tc>
        <w:tc>
          <w:tcPr>
            <w:tcW w:w="851" w:type="dxa"/>
            <w:vMerge/>
            <w:tcBorders>
              <w:bottom w:val="single" w:sz="4" w:space="0" w:color="auto"/>
            </w:tcBorders>
          </w:tcPr>
          <w:p w14:paraId="7F5F7B5C"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p>
        </w:tc>
        <w:tc>
          <w:tcPr>
            <w:tcW w:w="1134" w:type="dxa"/>
            <w:tcBorders>
              <w:bottom w:val="single" w:sz="4" w:space="0" w:color="auto"/>
            </w:tcBorders>
          </w:tcPr>
          <w:p w14:paraId="0D0C8717"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1.01</w:t>
            </w:r>
          </w:p>
        </w:tc>
        <w:tc>
          <w:tcPr>
            <w:tcW w:w="1134" w:type="dxa"/>
            <w:tcBorders>
              <w:bottom w:val="single" w:sz="4" w:space="0" w:color="auto"/>
            </w:tcBorders>
          </w:tcPr>
          <w:p w14:paraId="34A72AD7"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-0.87</w:t>
            </w:r>
            <w:r w:rsidRPr="00581DF6">
              <w:rPr>
                <w:rFonts w:ascii="Times New Roman" w:hAnsi="Times New Roman" w:cs="Times New Roman"/>
                <w:sz w:val="24"/>
                <w:szCs w:val="24"/>
                <w:shd w:val="clear" w:color="auto" w:fill="FFFFFF"/>
              </w:rPr>
              <w:t>;</w:t>
            </w:r>
            <w:r w:rsidRPr="00581DF6">
              <w:rPr>
                <w:rFonts w:ascii="Times New Roman" w:hAnsi="Times New Roman" w:cs="Times New Roman"/>
                <w:sz w:val="24"/>
                <w:szCs w:val="24"/>
                <w:shd w:val="clear" w:color="auto" w:fill="FFFFFF"/>
                <w:lang w:val="en-US"/>
              </w:rPr>
              <w:t xml:space="preserve"> 1.17</w:t>
            </w:r>
          </w:p>
        </w:tc>
        <w:tc>
          <w:tcPr>
            <w:tcW w:w="992" w:type="dxa"/>
            <w:tcBorders>
              <w:bottom w:val="single" w:sz="4" w:space="0" w:color="auto"/>
            </w:tcBorders>
          </w:tcPr>
          <w:p w14:paraId="0C233766"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rPr>
            </w:pPr>
            <w:r w:rsidRPr="00581DF6">
              <w:rPr>
                <w:rFonts w:ascii="Times New Roman" w:hAnsi="Times New Roman" w:cs="Times New Roman"/>
                <w:sz w:val="24"/>
                <w:szCs w:val="24"/>
                <w:shd w:val="clear" w:color="auto" w:fill="FFFFFF"/>
              </w:rPr>
              <w:t>0.92</w:t>
            </w:r>
          </w:p>
        </w:tc>
        <w:tc>
          <w:tcPr>
            <w:tcW w:w="803" w:type="dxa"/>
            <w:tcBorders>
              <w:bottom w:val="single" w:sz="4" w:space="0" w:color="auto"/>
            </w:tcBorders>
          </w:tcPr>
          <w:p w14:paraId="3E110DDC"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rPr>
              <w:t>0.79</w:t>
            </w:r>
            <w:r w:rsidRPr="00581DF6">
              <w:rPr>
                <w:rFonts w:ascii="Times New Roman" w:hAnsi="Times New Roman" w:cs="Times New Roman"/>
                <w:sz w:val="24"/>
                <w:szCs w:val="24"/>
                <w:shd w:val="clear" w:color="auto" w:fill="FFFFFF"/>
                <w:lang w:val="en-US"/>
              </w:rPr>
              <w:t>; 1</w:t>
            </w:r>
            <w:r w:rsidRPr="00581DF6">
              <w:rPr>
                <w:rFonts w:ascii="Times New Roman" w:hAnsi="Times New Roman" w:cs="Times New Roman"/>
                <w:sz w:val="24"/>
                <w:szCs w:val="24"/>
                <w:shd w:val="clear" w:color="auto" w:fill="FFFFFF"/>
              </w:rPr>
              <w:t>.</w:t>
            </w:r>
            <w:r w:rsidRPr="00581DF6">
              <w:rPr>
                <w:rFonts w:ascii="Times New Roman" w:hAnsi="Times New Roman" w:cs="Times New Roman"/>
                <w:sz w:val="24"/>
                <w:szCs w:val="24"/>
                <w:shd w:val="clear" w:color="auto" w:fill="FFFFFF"/>
                <w:lang w:val="en-US"/>
              </w:rPr>
              <w:t>07</w:t>
            </w:r>
          </w:p>
        </w:tc>
      </w:tr>
      <w:tr w:rsidR="00581DF6" w:rsidRPr="00581DF6" w14:paraId="52AEC1E4" w14:textId="77777777" w:rsidTr="00077E0F">
        <w:tc>
          <w:tcPr>
            <w:tcW w:w="1129" w:type="dxa"/>
            <w:tcBorders>
              <w:bottom w:val="nil"/>
            </w:tcBorders>
          </w:tcPr>
          <w:p w14:paraId="4C559213"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rPr>
              <w:t>Пол</w:t>
            </w:r>
          </w:p>
        </w:tc>
        <w:tc>
          <w:tcPr>
            <w:tcW w:w="993" w:type="dxa"/>
            <w:tcBorders>
              <w:bottom w:val="nil"/>
            </w:tcBorders>
          </w:tcPr>
          <w:p w14:paraId="09D1ADAF" w14:textId="77777777" w:rsidR="007A2C38" w:rsidRPr="00581DF6" w:rsidRDefault="007A2C38" w:rsidP="004135FE">
            <w:pPr>
              <w:spacing w:after="0" w:line="240" w:lineRule="auto"/>
              <w:rPr>
                <w:rFonts w:ascii="Times New Roman" w:hAnsi="Times New Roman" w:cs="Times New Roman"/>
                <w:sz w:val="24"/>
                <w:szCs w:val="24"/>
                <w:shd w:val="clear" w:color="auto" w:fill="FFFFFF"/>
              </w:rPr>
            </w:pPr>
            <w:r w:rsidRPr="00581DF6">
              <w:rPr>
                <w:rFonts w:ascii="Times New Roman" w:hAnsi="Times New Roman" w:cs="Times New Roman"/>
                <w:sz w:val="24"/>
                <w:szCs w:val="24"/>
                <w:shd w:val="clear" w:color="auto" w:fill="FFFFFF"/>
              </w:rPr>
              <w:t>Мужской</w:t>
            </w:r>
          </w:p>
        </w:tc>
        <w:tc>
          <w:tcPr>
            <w:tcW w:w="567" w:type="dxa"/>
            <w:tcBorders>
              <w:bottom w:val="nil"/>
            </w:tcBorders>
          </w:tcPr>
          <w:p w14:paraId="4C00D0B0"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200</w:t>
            </w:r>
          </w:p>
        </w:tc>
        <w:tc>
          <w:tcPr>
            <w:tcW w:w="850" w:type="dxa"/>
            <w:tcBorders>
              <w:bottom w:val="nil"/>
            </w:tcBorders>
          </w:tcPr>
          <w:p w14:paraId="5652E007"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41.7</w:t>
            </w:r>
          </w:p>
        </w:tc>
        <w:tc>
          <w:tcPr>
            <w:tcW w:w="992" w:type="dxa"/>
            <w:tcBorders>
              <w:bottom w:val="nil"/>
            </w:tcBorders>
          </w:tcPr>
          <w:p w14:paraId="4469628E"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rPr>
            </w:pPr>
            <w:r w:rsidRPr="00581DF6">
              <w:rPr>
                <w:rFonts w:ascii="Times New Roman" w:hAnsi="Times New Roman" w:cs="Times New Roman"/>
                <w:sz w:val="24"/>
                <w:szCs w:val="24"/>
                <w:shd w:val="clear" w:color="auto" w:fill="FFFFFF"/>
              </w:rPr>
              <w:t>64.0</w:t>
            </w:r>
          </w:p>
        </w:tc>
        <w:tc>
          <w:tcPr>
            <w:tcW w:w="851" w:type="dxa"/>
            <w:tcBorders>
              <w:bottom w:val="nil"/>
            </w:tcBorders>
          </w:tcPr>
          <w:p w14:paraId="19F6BEA6"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rPr>
              <w:t>0.175</w:t>
            </w:r>
          </w:p>
        </w:tc>
        <w:tc>
          <w:tcPr>
            <w:tcW w:w="1134" w:type="dxa"/>
            <w:tcBorders>
              <w:bottom w:val="nil"/>
            </w:tcBorders>
          </w:tcPr>
          <w:p w14:paraId="29FCB0B6"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1.11</w:t>
            </w:r>
          </w:p>
        </w:tc>
        <w:tc>
          <w:tcPr>
            <w:tcW w:w="1134" w:type="dxa"/>
            <w:tcBorders>
              <w:bottom w:val="nil"/>
            </w:tcBorders>
          </w:tcPr>
          <w:p w14:paraId="5E13F7C1"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0.96; 1.28</w:t>
            </w:r>
          </w:p>
        </w:tc>
        <w:tc>
          <w:tcPr>
            <w:tcW w:w="992" w:type="dxa"/>
            <w:tcBorders>
              <w:bottom w:val="nil"/>
            </w:tcBorders>
          </w:tcPr>
          <w:p w14:paraId="3F148573"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1.13</w:t>
            </w:r>
          </w:p>
        </w:tc>
        <w:tc>
          <w:tcPr>
            <w:tcW w:w="803" w:type="dxa"/>
            <w:tcBorders>
              <w:bottom w:val="nil"/>
            </w:tcBorders>
          </w:tcPr>
          <w:p w14:paraId="11505A8E" w14:textId="77777777" w:rsidR="007A2C38" w:rsidRPr="00581DF6" w:rsidRDefault="007A2C38" w:rsidP="004135FE">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0.96; 1.31</w:t>
            </w:r>
          </w:p>
        </w:tc>
      </w:tr>
    </w:tbl>
    <w:p w14:paraId="2254349B" w14:textId="50D9FEF5" w:rsidR="00581DF6" w:rsidRPr="00581DF6" w:rsidRDefault="00581DF6">
      <w:pPr>
        <w:rPr>
          <w:rFonts w:ascii="Times New Roman" w:hAnsi="Times New Roman" w:cs="Times New Roman"/>
          <w:sz w:val="28"/>
          <w:szCs w:val="28"/>
        </w:rPr>
      </w:pPr>
      <w:r w:rsidRPr="00581DF6">
        <w:rPr>
          <w:rFonts w:ascii="Times New Roman" w:hAnsi="Times New Roman" w:cs="Times New Roman"/>
          <w:sz w:val="28"/>
          <w:szCs w:val="28"/>
        </w:rPr>
        <w:lastRenderedPageBreak/>
        <w:t>Продолжение таблицы 32</w:t>
      </w:r>
    </w:p>
    <w:tbl>
      <w:tblPr>
        <w:tblStyle w:val="af9"/>
        <w:tblW w:w="9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993"/>
        <w:gridCol w:w="567"/>
        <w:gridCol w:w="850"/>
        <w:gridCol w:w="992"/>
        <w:gridCol w:w="851"/>
        <w:gridCol w:w="1134"/>
        <w:gridCol w:w="1134"/>
        <w:gridCol w:w="992"/>
        <w:gridCol w:w="803"/>
      </w:tblGrid>
      <w:tr w:rsidR="00702262" w:rsidRPr="00581DF6" w14:paraId="21F9F0FD" w14:textId="77777777" w:rsidTr="0052168E">
        <w:tc>
          <w:tcPr>
            <w:tcW w:w="2122" w:type="dxa"/>
            <w:gridSpan w:val="2"/>
          </w:tcPr>
          <w:p w14:paraId="553D9D32" w14:textId="752E6236" w:rsidR="00702262" w:rsidRPr="00581DF6" w:rsidRDefault="00702262" w:rsidP="00702262">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w:t>
            </w:r>
          </w:p>
        </w:tc>
        <w:tc>
          <w:tcPr>
            <w:tcW w:w="567" w:type="dxa"/>
          </w:tcPr>
          <w:p w14:paraId="37C465CD" w14:textId="4279BD04" w:rsidR="00702262" w:rsidRPr="00581DF6" w:rsidRDefault="00702262" w:rsidP="00702262">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2</w:t>
            </w:r>
          </w:p>
        </w:tc>
        <w:tc>
          <w:tcPr>
            <w:tcW w:w="850" w:type="dxa"/>
          </w:tcPr>
          <w:p w14:paraId="04822CC3" w14:textId="6BACCA1E" w:rsidR="00702262" w:rsidRPr="00581DF6" w:rsidRDefault="00702262" w:rsidP="00702262">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3</w:t>
            </w:r>
          </w:p>
        </w:tc>
        <w:tc>
          <w:tcPr>
            <w:tcW w:w="992" w:type="dxa"/>
          </w:tcPr>
          <w:p w14:paraId="10FBECAA" w14:textId="5ED2CE4B" w:rsidR="00702262" w:rsidRPr="00581DF6" w:rsidRDefault="00702262" w:rsidP="00702262">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4</w:t>
            </w:r>
          </w:p>
        </w:tc>
        <w:tc>
          <w:tcPr>
            <w:tcW w:w="851" w:type="dxa"/>
          </w:tcPr>
          <w:p w14:paraId="2BB2F599" w14:textId="5840F494" w:rsidR="00702262" w:rsidRPr="00581DF6" w:rsidRDefault="00702262" w:rsidP="00702262">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5</w:t>
            </w:r>
          </w:p>
        </w:tc>
        <w:tc>
          <w:tcPr>
            <w:tcW w:w="1134" w:type="dxa"/>
          </w:tcPr>
          <w:p w14:paraId="0B84BF22" w14:textId="4EF3A9BB" w:rsidR="00702262" w:rsidRPr="00581DF6" w:rsidRDefault="00702262" w:rsidP="00702262">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6</w:t>
            </w:r>
          </w:p>
        </w:tc>
        <w:tc>
          <w:tcPr>
            <w:tcW w:w="1134" w:type="dxa"/>
          </w:tcPr>
          <w:p w14:paraId="7EA538F0" w14:textId="74C34E36" w:rsidR="00702262" w:rsidRPr="00581DF6" w:rsidRDefault="00702262" w:rsidP="00702262">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7</w:t>
            </w:r>
          </w:p>
        </w:tc>
        <w:tc>
          <w:tcPr>
            <w:tcW w:w="992" w:type="dxa"/>
          </w:tcPr>
          <w:p w14:paraId="23865B3B" w14:textId="039C614F" w:rsidR="00702262" w:rsidRPr="00581DF6" w:rsidRDefault="00702262" w:rsidP="00702262">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8</w:t>
            </w:r>
          </w:p>
        </w:tc>
        <w:tc>
          <w:tcPr>
            <w:tcW w:w="803" w:type="dxa"/>
          </w:tcPr>
          <w:p w14:paraId="7466ACA3" w14:textId="214DD88F" w:rsidR="00702262" w:rsidRPr="00581DF6" w:rsidRDefault="00702262" w:rsidP="00702262">
            <w:pPr>
              <w:spacing w:after="0" w:line="24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9</w:t>
            </w:r>
          </w:p>
        </w:tc>
      </w:tr>
      <w:tr w:rsidR="00702262" w:rsidRPr="00581DF6" w14:paraId="6B567A2C" w14:textId="77777777" w:rsidTr="00581DF6">
        <w:tc>
          <w:tcPr>
            <w:tcW w:w="1129" w:type="dxa"/>
          </w:tcPr>
          <w:p w14:paraId="15512C89" w14:textId="77777777" w:rsidR="00702262" w:rsidRPr="00581DF6" w:rsidRDefault="00702262" w:rsidP="00702262">
            <w:pPr>
              <w:spacing w:after="0" w:line="240" w:lineRule="auto"/>
              <w:ind w:firstLine="567"/>
              <w:jc w:val="center"/>
              <w:rPr>
                <w:rFonts w:ascii="Times New Roman" w:hAnsi="Times New Roman" w:cs="Times New Roman"/>
                <w:sz w:val="24"/>
                <w:szCs w:val="24"/>
                <w:shd w:val="clear" w:color="auto" w:fill="FFFFFF"/>
                <w:lang w:val="en-US"/>
              </w:rPr>
            </w:pPr>
          </w:p>
        </w:tc>
        <w:tc>
          <w:tcPr>
            <w:tcW w:w="993" w:type="dxa"/>
          </w:tcPr>
          <w:p w14:paraId="66263C0A" w14:textId="77777777" w:rsidR="00702262" w:rsidRPr="00581DF6" w:rsidRDefault="00702262" w:rsidP="00702262">
            <w:pPr>
              <w:spacing w:after="0" w:line="240" w:lineRule="auto"/>
              <w:rPr>
                <w:rFonts w:ascii="Times New Roman" w:hAnsi="Times New Roman" w:cs="Times New Roman"/>
                <w:sz w:val="24"/>
                <w:szCs w:val="24"/>
                <w:shd w:val="clear" w:color="auto" w:fill="FFFFFF"/>
              </w:rPr>
            </w:pPr>
            <w:r w:rsidRPr="00581DF6">
              <w:rPr>
                <w:rFonts w:ascii="Times New Roman" w:hAnsi="Times New Roman" w:cs="Times New Roman"/>
                <w:sz w:val="24"/>
                <w:szCs w:val="24"/>
                <w:shd w:val="clear" w:color="auto" w:fill="FFFFFF"/>
              </w:rPr>
              <w:t>Женский</w:t>
            </w:r>
          </w:p>
        </w:tc>
        <w:tc>
          <w:tcPr>
            <w:tcW w:w="567" w:type="dxa"/>
          </w:tcPr>
          <w:p w14:paraId="63DA3548"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280</w:t>
            </w:r>
          </w:p>
        </w:tc>
        <w:tc>
          <w:tcPr>
            <w:tcW w:w="850" w:type="dxa"/>
          </w:tcPr>
          <w:p w14:paraId="453AE957"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58.3</w:t>
            </w:r>
          </w:p>
        </w:tc>
        <w:tc>
          <w:tcPr>
            <w:tcW w:w="992" w:type="dxa"/>
          </w:tcPr>
          <w:p w14:paraId="001694D0"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rPr>
            </w:pPr>
            <w:r w:rsidRPr="00581DF6">
              <w:rPr>
                <w:rFonts w:ascii="Times New Roman" w:hAnsi="Times New Roman" w:cs="Times New Roman"/>
                <w:sz w:val="24"/>
                <w:szCs w:val="24"/>
                <w:shd w:val="clear" w:color="auto" w:fill="FFFFFF"/>
              </w:rPr>
              <w:t>57.9</w:t>
            </w:r>
          </w:p>
        </w:tc>
        <w:tc>
          <w:tcPr>
            <w:tcW w:w="851" w:type="dxa"/>
          </w:tcPr>
          <w:p w14:paraId="7D5799BE"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p>
        </w:tc>
        <w:tc>
          <w:tcPr>
            <w:tcW w:w="1134" w:type="dxa"/>
          </w:tcPr>
          <w:p w14:paraId="24B21858"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1.00</w:t>
            </w:r>
          </w:p>
        </w:tc>
        <w:tc>
          <w:tcPr>
            <w:tcW w:w="1134" w:type="dxa"/>
          </w:tcPr>
          <w:p w14:paraId="5F5CB512"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Reference</w:t>
            </w:r>
          </w:p>
        </w:tc>
        <w:tc>
          <w:tcPr>
            <w:tcW w:w="992" w:type="dxa"/>
          </w:tcPr>
          <w:p w14:paraId="029B49DC"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1.00</w:t>
            </w:r>
          </w:p>
        </w:tc>
        <w:tc>
          <w:tcPr>
            <w:tcW w:w="803" w:type="dxa"/>
          </w:tcPr>
          <w:p w14:paraId="1A6D39FE"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Reference</w:t>
            </w:r>
          </w:p>
        </w:tc>
      </w:tr>
      <w:tr w:rsidR="00702262" w:rsidRPr="00581DF6" w14:paraId="53DADF54" w14:textId="77777777" w:rsidTr="00581DF6">
        <w:tc>
          <w:tcPr>
            <w:tcW w:w="1129" w:type="dxa"/>
            <w:vMerge w:val="restart"/>
          </w:tcPr>
          <w:p w14:paraId="6F99E3F7"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rPr>
              <w:t>Семейное положение</w:t>
            </w:r>
          </w:p>
        </w:tc>
        <w:tc>
          <w:tcPr>
            <w:tcW w:w="993" w:type="dxa"/>
          </w:tcPr>
          <w:p w14:paraId="7DCB6FD7" w14:textId="77777777" w:rsidR="00702262" w:rsidRPr="00581DF6" w:rsidRDefault="00702262" w:rsidP="00702262">
            <w:pPr>
              <w:spacing w:after="0" w:line="240" w:lineRule="auto"/>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rPr>
              <w:t>Женат</w:t>
            </w:r>
          </w:p>
        </w:tc>
        <w:tc>
          <w:tcPr>
            <w:tcW w:w="567" w:type="dxa"/>
          </w:tcPr>
          <w:p w14:paraId="008E87B7"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278</w:t>
            </w:r>
          </w:p>
        </w:tc>
        <w:tc>
          <w:tcPr>
            <w:tcW w:w="850" w:type="dxa"/>
          </w:tcPr>
          <w:p w14:paraId="76F92DA7"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57.9</w:t>
            </w:r>
          </w:p>
        </w:tc>
        <w:tc>
          <w:tcPr>
            <w:tcW w:w="992" w:type="dxa"/>
          </w:tcPr>
          <w:p w14:paraId="50594605"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rPr>
            </w:pPr>
            <w:r w:rsidRPr="00581DF6">
              <w:rPr>
                <w:rFonts w:ascii="Times New Roman" w:hAnsi="Times New Roman" w:cs="Times New Roman"/>
                <w:sz w:val="24"/>
                <w:szCs w:val="24"/>
                <w:shd w:val="clear" w:color="auto" w:fill="FFFFFF"/>
              </w:rPr>
              <w:t>58.3</w:t>
            </w:r>
          </w:p>
        </w:tc>
        <w:tc>
          <w:tcPr>
            <w:tcW w:w="851" w:type="dxa"/>
            <w:vMerge w:val="restart"/>
          </w:tcPr>
          <w:p w14:paraId="0BE017D8"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rPr>
              <w:t>0.260</w:t>
            </w:r>
          </w:p>
        </w:tc>
        <w:tc>
          <w:tcPr>
            <w:tcW w:w="1134" w:type="dxa"/>
          </w:tcPr>
          <w:p w14:paraId="2EFF6DC5"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0.92</w:t>
            </w:r>
          </w:p>
        </w:tc>
        <w:tc>
          <w:tcPr>
            <w:tcW w:w="1134" w:type="dxa"/>
          </w:tcPr>
          <w:p w14:paraId="1822F02B"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0.80; 1.06</w:t>
            </w:r>
          </w:p>
        </w:tc>
        <w:tc>
          <w:tcPr>
            <w:tcW w:w="992" w:type="dxa"/>
          </w:tcPr>
          <w:p w14:paraId="0F644DAF"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0.98</w:t>
            </w:r>
          </w:p>
        </w:tc>
        <w:tc>
          <w:tcPr>
            <w:tcW w:w="803" w:type="dxa"/>
          </w:tcPr>
          <w:p w14:paraId="1604DE8F"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0.85; 1.12</w:t>
            </w:r>
          </w:p>
        </w:tc>
      </w:tr>
      <w:tr w:rsidR="00702262" w:rsidRPr="00581DF6" w14:paraId="77C7D1D2" w14:textId="77777777" w:rsidTr="00581DF6">
        <w:tc>
          <w:tcPr>
            <w:tcW w:w="1129" w:type="dxa"/>
            <w:vMerge/>
          </w:tcPr>
          <w:p w14:paraId="0EB66905" w14:textId="77777777" w:rsidR="00702262" w:rsidRPr="00581DF6" w:rsidRDefault="00702262" w:rsidP="00702262">
            <w:pPr>
              <w:spacing w:after="0" w:line="240" w:lineRule="auto"/>
              <w:jc w:val="center"/>
              <w:rPr>
                <w:rFonts w:ascii="Times New Roman" w:hAnsi="Times New Roman" w:cs="Times New Roman"/>
                <w:sz w:val="24"/>
                <w:szCs w:val="24"/>
              </w:rPr>
            </w:pPr>
          </w:p>
        </w:tc>
        <w:tc>
          <w:tcPr>
            <w:tcW w:w="993" w:type="dxa"/>
          </w:tcPr>
          <w:p w14:paraId="06E78D95" w14:textId="77777777" w:rsidR="00702262" w:rsidRPr="00581DF6" w:rsidRDefault="00702262" w:rsidP="00702262">
            <w:pPr>
              <w:spacing w:after="0" w:line="240" w:lineRule="auto"/>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rPr>
              <w:t>Другое</w:t>
            </w:r>
          </w:p>
        </w:tc>
        <w:tc>
          <w:tcPr>
            <w:tcW w:w="567" w:type="dxa"/>
          </w:tcPr>
          <w:p w14:paraId="7C2F3968"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202</w:t>
            </w:r>
          </w:p>
        </w:tc>
        <w:tc>
          <w:tcPr>
            <w:tcW w:w="850" w:type="dxa"/>
          </w:tcPr>
          <w:p w14:paraId="3ABA5865"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42.1</w:t>
            </w:r>
          </w:p>
        </w:tc>
        <w:tc>
          <w:tcPr>
            <w:tcW w:w="992" w:type="dxa"/>
          </w:tcPr>
          <w:p w14:paraId="19DE0039"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rPr>
            </w:pPr>
            <w:r w:rsidRPr="00581DF6">
              <w:rPr>
                <w:rFonts w:ascii="Times New Roman" w:hAnsi="Times New Roman" w:cs="Times New Roman"/>
                <w:sz w:val="24"/>
                <w:szCs w:val="24"/>
                <w:shd w:val="clear" w:color="auto" w:fill="FFFFFF"/>
              </w:rPr>
              <w:t>63.4</w:t>
            </w:r>
          </w:p>
        </w:tc>
        <w:tc>
          <w:tcPr>
            <w:tcW w:w="851" w:type="dxa"/>
            <w:vMerge/>
          </w:tcPr>
          <w:p w14:paraId="74BB42E6"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p>
        </w:tc>
        <w:tc>
          <w:tcPr>
            <w:tcW w:w="1134" w:type="dxa"/>
          </w:tcPr>
          <w:p w14:paraId="4F027A99"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1.00</w:t>
            </w:r>
          </w:p>
        </w:tc>
        <w:tc>
          <w:tcPr>
            <w:tcW w:w="1134" w:type="dxa"/>
          </w:tcPr>
          <w:p w14:paraId="2D2621F7"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Reference</w:t>
            </w:r>
          </w:p>
        </w:tc>
        <w:tc>
          <w:tcPr>
            <w:tcW w:w="992" w:type="dxa"/>
          </w:tcPr>
          <w:p w14:paraId="2AF1C72A"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1.00</w:t>
            </w:r>
          </w:p>
        </w:tc>
        <w:tc>
          <w:tcPr>
            <w:tcW w:w="803" w:type="dxa"/>
          </w:tcPr>
          <w:p w14:paraId="18726636"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Reference</w:t>
            </w:r>
          </w:p>
        </w:tc>
      </w:tr>
      <w:tr w:rsidR="00702262" w:rsidRPr="00581DF6" w14:paraId="1D804F84" w14:textId="77777777" w:rsidTr="00581DF6">
        <w:tc>
          <w:tcPr>
            <w:tcW w:w="1129" w:type="dxa"/>
            <w:vMerge w:val="restart"/>
          </w:tcPr>
          <w:p w14:paraId="47C96BEF" w14:textId="77777777" w:rsidR="00702262" w:rsidRPr="00581DF6" w:rsidRDefault="00702262" w:rsidP="00702262">
            <w:pPr>
              <w:spacing w:after="0" w:line="240" w:lineRule="auto"/>
              <w:jc w:val="center"/>
              <w:rPr>
                <w:rFonts w:ascii="Times New Roman" w:hAnsi="Times New Roman" w:cs="Times New Roman"/>
                <w:sz w:val="24"/>
                <w:szCs w:val="24"/>
              </w:rPr>
            </w:pPr>
            <w:r w:rsidRPr="00581DF6">
              <w:rPr>
                <w:rFonts w:ascii="Times New Roman" w:hAnsi="Times New Roman" w:cs="Times New Roman"/>
                <w:sz w:val="24"/>
                <w:szCs w:val="24"/>
              </w:rPr>
              <w:t>Образование</w:t>
            </w:r>
          </w:p>
        </w:tc>
        <w:tc>
          <w:tcPr>
            <w:tcW w:w="993" w:type="dxa"/>
          </w:tcPr>
          <w:p w14:paraId="153E9967" w14:textId="77777777" w:rsidR="00702262" w:rsidRPr="00581DF6" w:rsidRDefault="00702262" w:rsidP="00702262">
            <w:pPr>
              <w:spacing w:after="0" w:line="240" w:lineRule="auto"/>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rPr>
              <w:t>Высшее</w:t>
            </w:r>
          </w:p>
        </w:tc>
        <w:tc>
          <w:tcPr>
            <w:tcW w:w="567" w:type="dxa"/>
          </w:tcPr>
          <w:p w14:paraId="1D8FB546"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161</w:t>
            </w:r>
          </w:p>
        </w:tc>
        <w:tc>
          <w:tcPr>
            <w:tcW w:w="850" w:type="dxa"/>
          </w:tcPr>
          <w:p w14:paraId="2D2A0264"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33.5</w:t>
            </w:r>
          </w:p>
        </w:tc>
        <w:tc>
          <w:tcPr>
            <w:tcW w:w="992" w:type="dxa"/>
          </w:tcPr>
          <w:p w14:paraId="3FAA8680"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rPr>
            </w:pPr>
            <w:r w:rsidRPr="00581DF6">
              <w:rPr>
                <w:rFonts w:ascii="Times New Roman" w:hAnsi="Times New Roman" w:cs="Times New Roman"/>
                <w:sz w:val="24"/>
                <w:szCs w:val="24"/>
                <w:shd w:val="clear" w:color="auto" w:fill="FFFFFF"/>
              </w:rPr>
              <w:t>52.5</w:t>
            </w:r>
          </w:p>
        </w:tc>
        <w:tc>
          <w:tcPr>
            <w:tcW w:w="851" w:type="dxa"/>
            <w:vMerge w:val="restart"/>
          </w:tcPr>
          <w:p w14:paraId="0BF6C3FB"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rPr>
              <w:t>0.009</w:t>
            </w:r>
          </w:p>
        </w:tc>
        <w:tc>
          <w:tcPr>
            <w:tcW w:w="1134" w:type="dxa"/>
          </w:tcPr>
          <w:p w14:paraId="14C921BE"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0.80</w:t>
            </w:r>
          </w:p>
        </w:tc>
        <w:tc>
          <w:tcPr>
            <w:tcW w:w="1134" w:type="dxa"/>
          </w:tcPr>
          <w:p w14:paraId="03203A4A"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0.68; 0.96</w:t>
            </w:r>
          </w:p>
        </w:tc>
        <w:tc>
          <w:tcPr>
            <w:tcW w:w="992" w:type="dxa"/>
          </w:tcPr>
          <w:p w14:paraId="0668C835"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0.86</w:t>
            </w:r>
          </w:p>
        </w:tc>
        <w:tc>
          <w:tcPr>
            <w:tcW w:w="803" w:type="dxa"/>
          </w:tcPr>
          <w:p w14:paraId="7CD549E2"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0.73; 1.02</w:t>
            </w:r>
          </w:p>
        </w:tc>
      </w:tr>
      <w:tr w:rsidR="00702262" w:rsidRPr="00581DF6" w14:paraId="3CD5A154" w14:textId="77777777" w:rsidTr="00581DF6">
        <w:tc>
          <w:tcPr>
            <w:tcW w:w="1129" w:type="dxa"/>
            <w:vMerge/>
          </w:tcPr>
          <w:p w14:paraId="5E773F36" w14:textId="77777777" w:rsidR="00702262" w:rsidRPr="00581DF6" w:rsidRDefault="00702262" w:rsidP="00702262">
            <w:pPr>
              <w:spacing w:after="0" w:line="240" w:lineRule="auto"/>
              <w:jc w:val="center"/>
              <w:rPr>
                <w:rFonts w:ascii="Times New Roman" w:hAnsi="Times New Roman" w:cs="Times New Roman"/>
                <w:sz w:val="24"/>
                <w:szCs w:val="24"/>
              </w:rPr>
            </w:pPr>
          </w:p>
        </w:tc>
        <w:tc>
          <w:tcPr>
            <w:tcW w:w="993" w:type="dxa"/>
          </w:tcPr>
          <w:p w14:paraId="1FC0E6AB" w14:textId="77777777" w:rsidR="00702262" w:rsidRPr="00581DF6" w:rsidRDefault="00702262" w:rsidP="00702262">
            <w:pPr>
              <w:spacing w:after="0" w:line="240" w:lineRule="auto"/>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rPr>
              <w:t>Другое</w:t>
            </w:r>
          </w:p>
        </w:tc>
        <w:tc>
          <w:tcPr>
            <w:tcW w:w="567" w:type="dxa"/>
          </w:tcPr>
          <w:p w14:paraId="465DDEC0"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319</w:t>
            </w:r>
          </w:p>
        </w:tc>
        <w:tc>
          <w:tcPr>
            <w:tcW w:w="850" w:type="dxa"/>
          </w:tcPr>
          <w:p w14:paraId="1A37412C"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69.5</w:t>
            </w:r>
          </w:p>
        </w:tc>
        <w:tc>
          <w:tcPr>
            <w:tcW w:w="992" w:type="dxa"/>
          </w:tcPr>
          <w:p w14:paraId="54CBEB28"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rPr>
            </w:pPr>
            <w:r w:rsidRPr="00581DF6">
              <w:rPr>
                <w:rFonts w:ascii="Times New Roman" w:hAnsi="Times New Roman" w:cs="Times New Roman"/>
                <w:sz w:val="24"/>
                <w:szCs w:val="24"/>
                <w:shd w:val="clear" w:color="auto" w:fill="FFFFFF"/>
              </w:rPr>
              <w:t>64.6</w:t>
            </w:r>
          </w:p>
        </w:tc>
        <w:tc>
          <w:tcPr>
            <w:tcW w:w="851" w:type="dxa"/>
            <w:vMerge/>
          </w:tcPr>
          <w:p w14:paraId="2E0943E2"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p>
        </w:tc>
        <w:tc>
          <w:tcPr>
            <w:tcW w:w="1134" w:type="dxa"/>
          </w:tcPr>
          <w:p w14:paraId="347E1396"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1.00</w:t>
            </w:r>
          </w:p>
        </w:tc>
        <w:tc>
          <w:tcPr>
            <w:tcW w:w="1134" w:type="dxa"/>
          </w:tcPr>
          <w:p w14:paraId="63C23D34"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Reference</w:t>
            </w:r>
          </w:p>
        </w:tc>
        <w:tc>
          <w:tcPr>
            <w:tcW w:w="992" w:type="dxa"/>
          </w:tcPr>
          <w:p w14:paraId="2DB2DA52"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1.00</w:t>
            </w:r>
          </w:p>
        </w:tc>
        <w:tc>
          <w:tcPr>
            <w:tcW w:w="803" w:type="dxa"/>
          </w:tcPr>
          <w:p w14:paraId="416E3AE1"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Reference</w:t>
            </w:r>
          </w:p>
        </w:tc>
      </w:tr>
      <w:tr w:rsidR="00702262" w:rsidRPr="00581DF6" w14:paraId="0C7D961E" w14:textId="77777777" w:rsidTr="00581DF6">
        <w:tc>
          <w:tcPr>
            <w:tcW w:w="1129" w:type="dxa"/>
            <w:vMerge w:val="restart"/>
          </w:tcPr>
          <w:p w14:paraId="6A9AFA51" w14:textId="77777777" w:rsidR="00702262" w:rsidRPr="00581DF6" w:rsidRDefault="00702262" w:rsidP="00702262">
            <w:pPr>
              <w:spacing w:after="0" w:line="240" w:lineRule="auto"/>
              <w:jc w:val="center"/>
              <w:rPr>
                <w:rFonts w:ascii="Times New Roman" w:hAnsi="Times New Roman" w:cs="Times New Roman"/>
                <w:sz w:val="24"/>
                <w:szCs w:val="24"/>
              </w:rPr>
            </w:pPr>
            <w:r w:rsidRPr="00581DF6">
              <w:rPr>
                <w:rFonts w:ascii="Times New Roman" w:hAnsi="Times New Roman" w:cs="Times New Roman"/>
                <w:sz w:val="24"/>
                <w:szCs w:val="24"/>
              </w:rPr>
              <w:t>Занятость</w:t>
            </w:r>
          </w:p>
        </w:tc>
        <w:tc>
          <w:tcPr>
            <w:tcW w:w="993" w:type="dxa"/>
          </w:tcPr>
          <w:p w14:paraId="5681D75B" w14:textId="77777777" w:rsidR="00702262" w:rsidRPr="00581DF6" w:rsidRDefault="00702262" w:rsidP="00702262">
            <w:pPr>
              <w:spacing w:after="0" w:line="240" w:lineRule="auto"/>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rPr>
              <w:t>Занятые</w:t>
            </w:r>
          </w:p>
        </w:tc>
        <w:tc>
          <w:tcPr>
            <w:tcW w:w="567" w:type="dxa"/>
          </w:tcPr>
          <w:p w14:paraId="4E2FA768"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202</w:t>
            </w:r>
          </w:p>
        </w:tc>
        <w:tc>
          <w:tcPr>
            <w:tcW w:w="850" w:type="dxa"/>
          </w:tcPr>
          <w:p w14:paraId="15362976"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42.1</w:t>
            </w:r>
          </w:p>
        </w:tc>
        <w:tc>
          <w:tcPr>
            <w:tcW w:w="992" w:type="dxa"/>
          </w:tcPr>
          <w:p w14:paraId="59E13DD3"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rPr>
            </w:pPr>
            <w:r w:rsidRPr="00581DF6">
              <w:rPr>
                <w:rFonts w:ascii="Times New Roman" w:hAnsi="Times New Roman" w:cs="Times New Roman"/>
                <w:sz w:val="24"/>
                <w:szCs w:val="24"/>
                <w:shd w:val="clear" w:color="auto" w:fill="FFFFFF"/>
              </w:rPr>
              <w:t>50.5</w:t>
            </w:r>
          </w:p>
        </w:tc>
        <w:tc>
          <w:tcPr>
            <w:tcW w:w="851" w:type="dxa"/>
            <w:vMerge w:val="restart"/>
          </w:tcPr>
          <w:p w14:paraId="310DBD11"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&lt;0.001</w:t>
            </w:r>
          </w:p>
        </w:tc>
        <w:tc>
          <w:tcPr>
            <w:tcW w:w="1134" w:type="dxa"/>
          </w:tcPr>
          <w:p w14:paraId="771B00DA"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0.74</w:t>
            </w:r>
          </w:p>
        </w:tc>
        <w:tc>
          <w:tcPr>
            <w:tcW w:w="1134" w:type="dxa"/>
          </w:tcPr>
          <w:p w14:paraId="61FC9691"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0.64; 0.88</w:t>
            </w:r>
          </w:p>
        </w:tc>
        <w:tc>
          <w:tcPr>
            <w:tcW w:w="992" w:type="dxa"/>
          </w:tcPr>
          <w:p w14:paraId="32291DC1"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0.72</w:t>
            </w:r>
          </w:p>
        </w:tc>
        <w:tc>
          <w:tcPr>
            <w:tcW w:w="803" w:type="dxa"/>
          </w:tcPr>
          <w:p w14:paraId="6E675039"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0.60; 0.86</w:t>
            </w:r>
          </w:p>
        </w:tc>
      </w:tr>
      <w:tr w:rsidR="00702262" w:rsidRPr="00581DF6" w14:paraId="086863CF" w14:textId="77777777" w:rsidTr="00581DF6">
        <w:tc>
          <w:tcPr>
            <w:tcW w:w="1129" w:type="dxa"/>
            <w:vMerge/>
          </w:tcPr>
          <w:p w14:paraId="48F4B6AB" w14:textId="77777777" w:rsidR="00702262" w:rsidRPr="00581DF6" w:rsidRDefault="00702262" w:rsidP="00702262">
            <w:pPr>
              <w:spacing w:after="0" w:line="240" w:lineRule="auto"/>
              <w:jc w:val="center"/>
              <w:rPr>
                <w:rFonts w:ascii="Times New Roman" w:hAnsi="Times New Roman" w:cs="Times New Roman"/>
                <w:sz w:val="24"/>
                <w:szCs w:val="24"/>
              </w:rPr>
            </w:pPr>
          </w:p>
        </w:tc>
        <w:tc>
          <w:tcPr>
            <w:tcW w:w="993" w:type="dxa"/>
          </w:tcPr>
          <w:p w14:paraId="6F1099AE" w14:textId="77777777" w:rsidR="00702262" w:rsidRPr="00581DF6" w:rsidRDefault="00702262" w:rsidP="00702262">
            <w:pPr>
              <w:spacing w:after="0" w:line="240" w:lineRule="auto"/>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rPr>
              <w:t>Без работы</w:t>
            </w:r>
          </w:p>
        </w:tc>
        <w:tc>
          <w:tcPr>
            <w:tcW w:w="567" w:type="dxa"/>
          </w:tcPr>
          <w:p w14:paraId="6AE4A710"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278</w:t>
            </w:r>
          </w:p>
        </w:tc>
        <w:tc>
          <w:tcPr>
            <w:tcW w:w="850" w:type="dxa"/>
          </w:tcPr>
          <w:p w14:paraId="60E9FE95"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57.9</w:t>
            </w:r>
          </w:p>
        </w:tc>
        <w:tc>
          <w:tcPr>
            <w:tcW w:w="992" w:type="dxa"/>
          </w:tcPr>
          <w:p w14:paraId="0BD87804"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rPr>
            </w:pPr>
            <w:r w:rsidRPr="00581DF6">
              <w:rPr>
                <w:rFonts w:ascii="Times New Roman" w:hAnsi="Times New Roman" w:cs="Times New Roman"/>
                <w:sz w:val="24"/>
                <w:szCs w:val="24"/>
                <w:shd w:val="clear" w:color="auto" w:fill="FFFFFF"/>
              </w:rPr>
              <w:t>67.8</w:t>
            </w:r>
          </w:p>
        </w:tc>
        <w:tc>
          <w:tcPr>
            <w:tcW w:w="851" w:type="dxa"/>
            <w:vMerge/>
          </w:tcPr>
          <w:p w14:paraId="0A80FBC9"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p>
        </w:tc>
        <w:tc>
          <w:tcPr>
            <w:tcW w:w="1134" w:type="dxa"/>
          </w:tcPr>
          <w:p w14:paraId="114808B1"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1.00</w:t>
            </w:r>
          </w:p>
        </w:tc>
        <w:tc>
          <w:tcPr>
            <w:tcW w:w="1134" w:type="dxa"/>
          </w:tcPr>
          <w:p w14:paraId="13822A65"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Reference</w:t>
            </w:r>
          </w:p>
        </w:tc>
        <w:tc>
          <w:tcPr>
            <w:tcW w:w="992" w:type="dxa"/>
          </w:tcPr>
          <w:p w14:paraId="03A13219"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1.00</w:t>
            </w:r>
          </w:p>
        </w:tc>
        <w:tc>
          <w:tcPr>
            <w:tcW w:w="803" w:type="dxa"/>
          </w:tcPr>
          <w:p w14:paraId="5A0B8E8B"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r w:rsidRPr="00581DF6">
              <w:rPr>
                <w:rFonts w:ascii="Times New Roman" w:hAnsi="Times New Roman" w:cs="Times New Roman"/>
                <w:sz w:val="24"/>
                <w:szCs w:val="24"/>
                <w:shd w:val="clear" w:color="auto" w:fill="FFFFFF"/>
                <w:lang w:val="en-US"/>
              </w:rPr>
              <w:t>Reference</w:t>
            </w:r>
          </w:p>
        </w:tc>
      </w:tr>
      <w:tr w:rsidR="00702262" w:rsidRPr="00581DF6" w14:paraId="57734185" w14:textId="77777777" w:rsidTr="0052168E">
        <w:tc>
          <w:tcPr>
            <w:tcW w:w="9445" w:type="dxa"/>
            <w:gridSpan w:val="10"/>
          </w:tcPr>
          <w:p w14:paraId="4E27E947" w14:textId="0D156F92" w:rsidR="00702262" w:rsidRPr="004135FE" w:rsidRDefault="00702262" w:rsidP="00702262">
            <w:pPr>
              <w:spacing w:after="0" w:line="240" w:lineRule="auto"/>
              <w:ind w:firstLine="731"/>
              <w:jc w:val="both"/>
              <w:rPr>
                <w:rFonts w:ascii="Times New Roman" w:hAnsi="Times New Roman" w:cs="Times New Roman"/>
                <w:sz w:val="28"/>
                <w:szCs w:val="28"/>
                <w:shd w:val="clear" w:color="auto" w:fill="FFFFFF"/>
              </w:rPr>
            </w:pPr>
            <w:r w:rsidRPr="004135FE">
              <w:rPr>
                <w:rFonts w:ascii="Times New Roman" w:hAnsi="Times New Roman" w:cs="Times New Roman"/>
                <w:sz w:val="28"/>
                <w:szCs w:val="28"/>
              </w:rPr>
              <w:t>*ОШ – отношение шансов, к</w:t>
            </w:r>
            <w:r w:rsidRPr="004135FE">
              <w:rPr>
                <w:rFonts w:ascii="Times New Roman" w:hAnsi="Times New Roman" w:cs="Times New Roman"/>
                <w:sz w:val="28"/>
                <w:szCs w:val="28"/>
                <w:shd w:val="clear" w:color="auto" w:fill="FFFFFF"/>
              </w:rPr>
              <w:t>оэффициент распространенности, рассчитанный с использованием регрессии Пуассона с надежной оценкой стандартной ошибки</w:t>
            </w:r>
            <w:r>
              <w:rPr>
                <w:rFonts w:ascii="Times New Roman" w:hAnsi="Times New Roman" w:cs="Times New Roman"/>
                <w:sz w:val="28"/>
                <w:szCs w:val="28"/>
                <w:shd w:val="clear" w:color="auto" w:fill="FFFFFF"/>
              </w:rPr>
              <w:t>;</w:t>
            </w:r>
          </w:p>
          <w:p w14:paraId="1C9BDB3F" w14:textId="0A65E14D" w:rsidR="00702262" w:rsidRPr="00702262" w:rsidRDefault="00702262" w:rsidP="00702262">
            <w:pPr>
              <w:spacing w:after="0" w:line="240" w:lineRule="auto"/>
              <w:ind w:firstLine="731"/>
              <w:jc w:val="both"/>
              <w:rPr>
                <w:rFonts w:ascii="Times New Roman" w:hAnsi="Times New Roman" w:cs="Times New Roman"/>
                <w:sz w:val="28"/>
                <w:szCs w:val="28"/>
                <w:shd w:val="clear" w:color="auto" w:fill="FFFFFF"/>
              </w:rPr>
            </w:pPr>
            <w:r w:rsidRPr="004135FE">
              <w:rPr>
                <w:rFonts w:ascii="Times New Roman" w:hAnsi="Times New Roman" w:cs="Times New Roman"/>
                <w:sz w:val="28"/>
                <w:szCs w:val="28"/>
                <w:shd w:val="clear" w:color="auto" w:fill="FFFFFF"/>
              </w:rPr>
              <w:t>*ДИ -  Доверительный интервал</w:t>
            </w:r>
          </w:p>
          <w:p w14:paraId="43816E5A" w14:textId="77777777" w:rsidR="00702262" w:rsidRPr="00581DF6" w:rsidRDefault="00702262" w:rsidP="00702262">
            <w:pPr>
              <w:spacing w:after="0" w:line="240" w:lineRule="auto"/>
              <w:jc w:val="center"/>
              <w:rPr>
                <w:rFonts w:ascii="Times New Roman" w:hAnsi="Times New Roman" w:cs="Times New Roman"/>
                <w:sz w:val="24"/>
                <w:szCs w:val="24"/>
                <w:shd w:val="clear" w:color="auto" w:fill="FFFFFF"/>
                <w:lang w:val="en-US"/>
              </w:rPr>
            </w:pPr>
          </w:p>
        </w:tc>
      </w:tr>
    </w:tbl>
    <w:p w14:paraId="73D0E096" w14:textId="77777777" w:rsidR="00702262" w:rsidRDefault="00702262" w:rsidP="00702262">
      <w:pPr>
        <w:spacing w:after="0" w:line="240" w:lineRule="auto"/>
        <w:jc w:val="both"/>
        <w:rPr>
          <w:rFonts w:ascii="Times New Roman" w:hAnsi="Times New Roman" w:cs="Times New Roman"/>
          <w:sz w:val="28"/>
          <w:szCs w:val="28"/>
        </w:rPr>
      </w:pPr>
    </w:p>
    <w:p w14:paraId="169409E4" w14:textId="711E25EC" w:rsidR="007A2C38" w:rsidRDefault="003C3318" w:rsidP="00702262">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Таблица 3</w:t>
      </w:r>
      <w:r w:rsidR="00B728EF" w:rsidRPr="004135FE">
        <w:rPr>
          <w:rFonts w:ascii="Times New Roman" w:hAnsi="Times New Roman" w:cs="Times New Roman"/>
          <w:sz w:val="28"/>
          <w:szCs w:val="28"/>
        </w:rPr>
        <w:t>3</w:t>
      </w:r>
      <w:r w:rsidR="00375695">
        <w:rPr>
          <w:rFonts w:ascii="Times New Roman" w:hAnsi="Times New Roman" w:cs="Times New Roman"/>
          <w:sz w:val="28"/>
          <w:szCs w:val="28"/>
        </w:rPr>
        <w:t xml:space="preserve"> </w:t>
      </w:r>
      <w:r w:rsidR="007A2C38" w:rsidRPr="004135FE">
        <w:rPr>
          <w:rFonts w:ascii="Times New Roman" w:hAnsi="Times New Roman" w:cs="Times New Roman"/>
          <w:sz w:val="28"/>
          <w:szCs w:val="28"/>
        </w:rPr>
        <w:t>- Доля пациентов с СД2т с НФА по характеристикам образа жизни в г.Алматы</w:t>
      </w:r>
    </w:p>
    <w:p w14:paraId="0A06A54E" w14:textId="77777777" w:rsidR="00702262" w:rsidRPr="004135FE" w:rsidRDefault="00702262" w:rsidP="004135FE">
      <w:pPr>
        <w:spacing w:after="0" w:line="240" w:lineRule="auto"/>
        <w:ind w:firstLine="567"/>
        <w:jc w:val="both"/>
        <w:rPr>
          <w:rFonts w:ascii="Times New Roman" w:hAnsi="Times New Roman" w:cs="Times New Roman"/>
          <w:sz w:val="28"/>
          <w:szCs w:val="28"/>
        </w:rPr>
      </w:pPr>
    </w:p>
    <w:tbl>
      <w:tblPr>
        <w:tblStyle w:val="af9"/>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276"/>
        <w:gridCol w:w="567"/>
        <w:gridCol w:w="567"/>
        <w:gridCol w:w="567"/>
        <w:gridCol w:w="709"/>
        <w:gridCol w:w="992"/>
        <w:gridCol w:w="1134"/>
        <w:gridCol w:w="1276"/>
        <w:gridCol w:w="1134"/>
      </w:tblGrid>
      <w:tr w:rsidR="00375695" w:rsidRPr="00702262" w14:paraId="554A7299" w14:textId="77777777" w:rsidTr="00375695">
        <w:tc>
          <w:tcPr>
            <w:tcW w:w="2547" w:type="dxa"/>
            <w:gridSpan w:val="2"/>
          </w:tcPr>
          <w:p w14:paraId="484C2554"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Употребление</w:t>
            </w:r>
            <w:r w:rsidRPr="00702262">
              <w:rPr>
                <w:rFonts w:ascii="Times New Roman" w:hAnsi="Times New Roman" w:cs="Times New Roman"/>
                <w:sz w:val="24"/>
                <w:szCs w:val="24"/>
                <w:shd w:val="clear" w:color="auto" w:fill="FFFFFF"/>
                <w:lang w:val="en-US"/>
              </w:rPr>
              <w:t>:</w:t>
            </w:r>
          </w:p>
        </w:tc>
        <w:tc>
          <w:tcPr>
            <w:tcW w:w="567" w:type="dxa"/>
          </w:tcPr>
          <w:p w14:paraId="2C40D584" w14:textId="77777777" w:rsidR="007A2C38" w:rsidRPr="00375695" w:rsidRDefault="007A2C38" w:rsidP="00702262">
            <w:pPr>
              <w:spacing w:after="0" w:line="240" w:lineRule="auto"/>
              <w:ind w:left="-374" w:firstLine="295"/>
              <w:jc w:val="center"/>
              <w:rPr>
                <w:rFonts w:ascii="Times New Roman" w:hAnsi="Times New Roman" w:cs="Times New Roman"/>
                <w:sz w:val="23"/>
                <w:szCs w:val="23"/>
                <w:shd w:val="clear" w:color="auto" w:fill="FFFFFF"/>
                <w:lang w:val="en-US"/>
              </w:rPr>
            </w:pPr>
            <w:r w:rsidRPr="00375695">
              <w:rPr>
                <w:rFonts w:ascii="Times New Roman" w:hAnsi="Times New Roman" w:cs="Times New Roman"/>
                <w:sz w:val="23"/>
                <w:szCs w:val="23"/>
                <w:shd w:val="clear" w:color="auto" w:fill="FFFFFF"/>
                <w:lang w:val="en-US"/>
              </w:rPr>
              <w:t>N</w:t>
            </w:r>
          </w:p>
        </w:tc>
        <w:tc>
          <w:tcPr>
            <w:tcW w:w="567" w:type="dxa"/>
          </w:tcPr>
          <w:p w14:paraId="4E4C062A" w14:textId="77777777" w:rsidR="007A2C38" w:rsidRPr="00375695" w:rsidRDefault="007A2C38" w:rsidP="00702262">
            <w:pPr>
              <w:spacing w:after="0" w:line="240" w:lineRule="auto"/>
              <w:ind w:left="-374" w:firstLine="295"/>
              <w:jc w:val="center"/>
              <w:rPr>
                <w:rFonts w:ascii="Times New Roman" w:hAnsi="Times New Roman" w:cs="Times New Roman"/>
                <w:sz w:val="23"/>
                <w:szCs w:val="23"/>
                <w:shd w:val="clear" w:color="auto" w:fill="FFFFFF"/>
                <w:lang w:val="en-US"/>
              </w:rPr>
            </w:pPr>
            <w:r w:rsidRPr="00375695">
              <w:rPr>
                <w:rFonts w:ascii="Times New Roman" w:hAnsi="Times New Roman" w:cs="Times New Roman"/>
                <w:sz w:val="23"/>
                <w:szCs w:val="23"/>
                <w:shd w:val="clear" w:color="auto" w:fill="FFFFFF"/>
                <w:lang w:val="en-US"/>
              </w:rPr>
              <w:t>%</w:t>
            </w:r>
          </w:p>
        </w:tc>
        <w:tc>
          <w:tcPr>
            <w:tcW w:w="567" w:type="dxa"/>
          </w:tcPr>
          <w:p w14:paraId="55955199" w14:textId="1C94C3B7" w:rsidR="007A2C38" w:rsidRPr="00375695" w:rsidRDefault="007A2C38" w:rsidP="00375695">
            <w:pPr>
              <w:spacing w:after="0" w:line="240" w:lineRule="auto"/>
              <w:ind w:left="-374" w:firstLine="295"/>
              <w:jc w:val="right"/>
              <w:rPr>
                <w:rFonts w:ascii="Times New Roman" w:hAnsi="Times New Roman" w:cs="Times New Roman"/>
                <w:sz w:val="23"/>
                <w:szCs w:val="23"/>
                <w:shd w:val="clear" w:color="auto" w:fill="FFFFFF"/>
                <w:lang w:val="en-US"/>
              </w:rPr>
            </w:pPr>
            <w:r w:rsidRPr="00375695">
              <w:rPr>
                <w:rFonts w:ascii="Times New Roman" w:hAnsi="Times New Roman" w:cs="Times New Roman"/>
                <w:shd w:val="clear" w:color="auto" w:fill="FFFFFF"/>
                <w:lang w:val="en-US"/>
              </w:rPr>
              <w:t>НФ</w:t>
            </w:r>
            <w:r w:rsidR="00375695">
              <w:rPr>
                <w:rFonts w:ascii="Times New Roman" w:hAnsi="Times New Roman" w:cs="Times New Roman"/>
                <w:sz w:val="23"/>
                <w:szCs w:val="23"/>
                <w:shd w:val="clear" w:color="auto" w:fill="FFFFFF"/>
              </w:rPr>
              <w:t>А,</w:t>
            </w:r>
            <w:r w:rsidRPr="00375695">
              <w:rPr>
                <w:rFonts w:ascii="Times New Roman" w:hAnsi="Times New Roman" w:cs="Times New Roman"/>
                <w:sz w:val="23"/>
                <w:szCs w:val="23"/>
                <w:shd w:val="clear" w:color="auto" w:fill="FFFFFF"/>
                <w:lang w:val="en-US"/>
              </w:rPr>
              <w:t>%</w:t>
            </w:r>
          </w:p>
        </w:tc>
        <w:tc>
          <w:tcPr>
            <w:tcW w:w="709" w:type="dxa"/>
          </w:tcPr>
          <w:p w14:paraId="5C683A57" w14:textId="77777777" w:rsidR="007A2C38" w:rsidRPr="00375695" w:rsidRDefault="007A2C38" w:rsidP="00702262">
            <w:pPr>
              <w:spacing w:after="0" w:line="240" w:lineRule="auto"/>
              <w:ind w:left="-374" w:firstLine="295"/>
              <w:jc w:val="center"/>
              <w:rPr>
                <w:rFonts w:ascii="Times New Roman" w:hAnsi="Times New Roman" w:cs="Times New Roman"/>
                <w:sz w:val="23"/>
                <w:szCs w:val="23"/>
                <w:shd w:val="clear" w:color="auto" w:fill="FFFFFF"/>
              </w:rPr>
            </w:pPr>
            <w:r w:rsidRPr="00375695">
              <w:rPr>
                <w:rFonts w:ascii="Times New Roman" w:hAnsi="Times New Roman" w:cs="Times New Roman"/>
                <w:sz w:val="23"/>
                <w:szCs w:val="23"/>
                <w:shd w:val="clear" w:color="auto" w:fill="FFFFFF"/>
                <w:lang w:val="en-US"/>
              </w:rPr>
              <w:t>P</w:t>
            </w:r>
          </w:p>
        </w:tc>
        <w:tc>
          <w:tcPr>
            <w:tcW w:w="992" w:type="dxa"/>
          </w:tcPr>
          <w:p w14:paraId="2592FAB1" w14:textId="77777777" w:rsidR="007A2C38" w:rsidRPr="00375695" w:rsidRDefault="007A2C38" w:rsidP="00702262">
            <w:pPr>
              <w:spacing w:after="0" w:line="240" w:lineRule="auto"/>
              <w:ind w:left="-374" w:firstLine="295"/>
              <w:jc w:val="center"/>
              <w:rPr>
                <w:rFonts w:ascii="Times New Roman" w:hAnsi="Times New Roman" w:cs="Times New Roman"/>
                <w:sz w:val="23"/>
                <w:szCs w:val="23"/>
                <w:shd w:val="clear" w:color="auto" w:fill="FFFFFF"/>
                <w:lang w:val="en-US"/>
              </w:rPr>
            </w:pPr>
            <w:r w:rsidRPr="00375695">
              <w:rPr>
                <w:rFonts w:ascii="Times New Roman" w:hAnsi="Times New Roman" w:cs="Times New Roman"/>
                <w:sz w:val="23"/>
                <w:szCs w:val="23"/>
                <w:shd w:val="clear" w:color="auto" w:fill="FFFFFF"/>
                <w:lang w:val="en-US"/>
              </w:rPr>
              <w:t>Грубый ОШ</w:t>
            </w:r>
          </w:p>
        </w:tc>
        <w:tc>
          <w:tcPr>
            <w:tcW w:w="1134" w:type="dxa"/>
          </w:tcPr>
          <w:p w14:paraId="12A81F09" w14:textId="77777777" w:rsidR="007A2C38" w:rsidRPr="00375695" w:rsidRDefault="007A2C38" w:rsidP="00702262">
            <w:pPr>
              <w:spacing w:after="0" w:line="240" w:lineRule="auto"/>
              <w:ind w:left="-374" w:firstLine="295"/>
              <w:jc w:val="center"/>
              <w:rPr>
                <w:rFonts w:ascii="Times New Roman" w:hAnsi="Times New Roman" w:cs="Times New Roman"/>
                <w:sz w:val="23"/>
                <w:szCs w:val="23"/>
                <w:shd w:val="clear" w:color="auto" w:fill="FFFFFF"/>
                <w:lang w:val="en-US"/>
              </w:rPr>
            </w:pPr>
            <w:r w:rsidRPr="00375695">
              <w:rPr>
                <w:rFonts w:ascii="Times New Roman" w:hAnsi="Times New Roman" w:cs="Times New Roman"/>
                <w:sz w:val="23"/>
                <w:szCs w:val="23"/>
                <w:shd w:val="clear" w:color="auto" w:fill="FFFFFF"/>
                <w:lang w:val="en-US"/>
              </w:rPr>
              <w:t>95</w:t>
            </w:r>
            <w:r w:rsidRPr="00375695">
              <w:rPr>
                <w:rFonts w:ascii="Times New Roman" w:hAnsi="Times New Roman" w:cs="Times New Roman"/>
                <w:sz w:val="23"/>
                <w:szCs w:val="23"/>
                <w:shd w:val="clear" w:color="auto" w:fill="FFFFFF"/>
              </w:rPr>
              <w:t xml:space="preserve"> </w:t>
            </w:r>
            <w:r w:rsidRPr="00375695">
              <w:rPr>
                <w:rFonts w:ascii="Times New Roman" w:hAnsi="Times New Roman" w:cs="Times New Roman"/>
                <w:sz w:val="23"/>
                <w:szCs w:val="23"/>
                <w:shd w:val="clear" w:color="auto" w:fill="FFFFFF"/>
                <w:lang w:val="en-US"/>
              </w:rPr>
              <w:t>% CI</w:t>
            </w:r>
          </w:p>
        </w:tc>
        <w:tc>
          <w:tcPr>
            <w:tcW w:w="1276" w:type="dxa"/>
          </w:tcPr>
          <w:p w14:paraId="56BB61BA" w14:textId="77777777" w:rsidR="007A2C38" w:rsidRPr="00375695" w:rsidRDefault="007A2C38" w:rsidP="00702262">
            <w:pPr>
              <w:spacing w:after="0" w:line="240" w:lineRule="auto"/>
              <w:ind w:left="-374" w:firstLine="295"/>
              <w:jc w:val="center"/>
              <w:rPr>
                <w:rFonts w:ascii="Times New Roman" w:hAnsi="Times New Roman" w:cs="Times New Roman"/>
                <w:sz w:val="23"/>
                <w:szCs w:val="23"/>
                <w:shd w:val="clear" w:color="auto" w:fill="FFFFFF"/>
                <w:lang w:val="en-US"/>
              </w:rPr>
            </w:pPr>
            <w:r w:rsidRPr="00375695">
              <w:rPr>
                <w:rFonts w:ascii="Times New Roman" w:hAnsi="Times New Roman" w:cs="Times New Roman"/>
                <w:sz w:val="23"/>
                <w:szCs w:val="23"/>
                <w:shd w:val="clear" w:color="auto" w:fill="FFFFFF"/>
              </w:rPr>
              <w:t>Уточненный ОШ</w:t>
            </w:r>
          </w:p>
        </w:tc>
        <w:tc>
          <w:tcPr>
            <w:tcW w:w="1134" w:type="dxa"/>
          </w:tcPr>
          <w:p w14:paraId="6DA10505" w14:textId="77777777" w:rsidR="007A2C38" w:rsidRPr="00375695" w:rsidRDefault="007A2C38" w:rsidP="00375695">
            <w:pPr>
              <w:tabs>
                <w:tab w:val="left" w:pos="834"/>
              </w:tabs>
              <w:spacing w:after="0" w:line="240" w:lineRule="auto"/>
              <w:ind w:left="-374" w:firstLine="295"/>
              <w:jc w:val="center"/>
              <w:rPr>
                <w:rFonts w:ascii="Times New Roman" w:hAnsi="Times New Roman" w:cs="Times New Roman"/>
                <w:sz w:val="23"/>
                <w:szCs w:val="23"/>
                <w:shd w:val="clear" w:color="auto" w:fill="FFFFFF"/>
                <w:lang w:val="en-US"/>
              </w:rPr>
            </w:pPr>
            <w:r w:rsidRPr="00375695">
              <w:rPr>
                <w:rFonts w:ascii="Times New Roman" w:hAnsi="Times New Roman" w:cs="Times New Roman"/>
                <w:sz w:val="23"/>
                <w:szCs w:val="23"/>
                <w:shd w:val="clear" w:color="auto" w:fill="FFFFFF"/>
                <w:lang w:val="en-US"/>
              </w:rPr>
              <w:t>95</w:t>
            </w:r>
            <w:r w:rsidRPr="00375695">
              <w:rPr>
                <w:rFonts w:ascii="Times New Roman" w:hAnsi="Times New Roman" w:cs="Times New Roman"/>
                <w:sz w:val="23"/>
                <w:szCs w:val="23"/>
                <w:shd w:val="clear" w:color="auto" w:fill="FFFFFF"/>
              </w:rPr>
              <w:t xml:space="preserve"> </w:t>
            </w:r>
            <w:r w:rsidRPr="00375695">
              <w:rPr>
                <w:rFonts w:ascii="Times New Roman" w:hAnsi="Times New Roman" w:cs="Times New Roman"/>
                <w:sz w:val="23"/>
                <w:szCs w:val="23"/>
                <w:shd w:val="clear" w:color="auto" w:fill="FFFFFF"/>
                <w:lang w:val="en-US"/>
              </w:rPr>
              <w:t>% CI</w:t>
            </w:r>
          </w:p>
        </w:tc>
      </w:tr>
      <w:tr w:rsidR="00375695" w:rsidRPr="00702262" w14:paraId="6FC3702D" w14:textId="77777777" w:rsidTr="00375695">
        <w:tc>
          <w:tcPr>
            <w:tcW w:w="1271" w:type="dxa"/>
            <w:vMerge w:val="restart"/>
          </w:tcPr>
          <w:p w14:paraId="241B3312" w14:textId="77777777" w:rsidR="007A2C38" w:rsidRPr="00702262" w:rsidRDefault="007A2C38" w:rsidP="00702262">
            <w:pPr>
              <w:spacing w:after="0" w:line="240" w:lineRule="auto"/>
              <w:ind w:left="-374" w:firstLine="295"/>
              <w:rPr>
                <w:rFonts w:ascii="Times New Roman" w:hAnsi="Times New Roman" w:cs="Times New Roman"/>
                <w:sz w:val="24"/>
                <w:szCs w:val="24"/>
              </w:rPr>
            </w:pPr>
            <w:r w:rsidRPr="00702262">
              <w:rPr>
                <w:rFonts w:ascii="Times New Roman" w:hAnsi="Times New Roman" w:cs="Times New Roman"/>
                <w:sz w:val="24"/>
                <w:szCs w:val="24"/>
              </w:rPr>
              <w:t xml:space="preserve">Фрукты </w:t>
            </w:r>
          </w:p>
          <w:p w14:paraId="42830B10" w14:textId="77777777" w:rsidR="007A2C38" w:rsidRPr="00702262" w:rsidRDefault="007A2C38" w:rsidP="00702262">
            <w:pPr>
              <w:spacing w:after="0" w:line="240" w:lineRule="auto"/>
              <w:ind w:left="-374" w:firstLine="295"/>
              <w:rPr>
                <w:rFonts w:ascii="Times New Roman" w:hAnsi="Times New Roman" w:cs="Times New Roman"/>
                <w:sz w:val="24"/>
                <w:szCs w:val="24"/>
              </w:rPr>
            </w:pPr>
            <w:r w:rsidRPr="00702262">
              <w:rPr>
                <w:rFonts w:ascii="Times New Roman" w:hAnsi="Times New Roman" w:cs="Times New Roman"/>
                <w:sz w:val="24"/>
                <w:szCs w:val="24"/>
              </w:rPr>
              <w:t>и ягоды</w:t>
            </w:r>
          </w:p>
        </w:tc>
        <w:tc>
          <w:tcPr>
            <w:tcW w:w="1276" w:type="dxa"/>
          </w:tcPr>
          <w:p w14:paraId="384C3044" w14:textId="77777777" w:rsidR="007A2C38" w:rsidRPr="00702262" w:rsidRDefault="007A2C38" w:rsidP="00702262">
            <w:pPr>
              <w:spacing w:after="0" w:line="240" w:lineRule="auto"/>
              <w:ind w:left="-374" w:firstLine="295"/>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rPr>
              <w:t>Ежедневно</w:t>
            </w:r>
          </w:p>
        </w:tc>
        <w:tc>
          <w:tcPr>
            <w:tcW w:w="567" w:type="dxa"/>
          </w:tcPr>
          <w:p w14:paraId="5DE4772B"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186</w:t>
            </w:r>
          </w:p>
        </w:tc>
        <w:tc>
          <w:tcPr>
            <w:tcW w:w="567" w:type="dxa"/>
          </w:tcPr>
          <w:p w14:paraId="20BC9DFD"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38.3</w:t>
            </w:r>
          </w:p>
        </w:tc>
        <w:tc>
          <w:tcPr>
            <w:tcW w:w="567" w:type="dxa"/>
          </w:tcPr>
          <w:p w14:paraId="7F05C5ED"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55.2</w:t>
            </w:r>
          </w:p>
        </w:tc>
        <w:tc>
          <w:tcPr>
            <w:tcW w:w="709" w:type="dxa"/>
            <w:vMerge w:val="restart"/>
          </w:tcPr>
          <w:p w14:paraId="1B871F31"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rPr>
              <w:t>0.003</w:t>
            </w:r>
          </w:p>
        </w:tc>
        <w:tc>
          <w:tcPr>
            <w:tcW w:w="992" w:type="dxa"/>
          </w:tcPr>
          <w:p w14:paraId="29C46BA6"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0.78</w:t>
            </w:r>
          </w:p>
        </w:tc>
        <w:tc>
          <w:tcPr>
            <w:tcW w:w="1134" w:type="dxa"/>
          </w:tcPr>
          <w:p w14:paraId="6F6298C4"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0.67; 0.92</w:t>
            </w:r>
          </w:p>
        </w:tc>
        <w:tc>
          <w:tcPr>
            <w:tcW w:w="1276" w:type="dxa"/>
          </w:tcPr>
          <w:p w14:paraId="348B92C3"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0.83</w:t>
            </w:r>
          </w:p>
        </w:tc>
        <w:tc>
          <w:tcPr>
            <w:tcW w:w="1134" w:type="dxa"/>
          </w:tcPr>
          <w:p w14:paraId="698A0A8B"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0.70; 1.00</w:t>
            </w:r>
          </w:p>
        </w:tc>
      </w:tr>
      <w:tr w:rsidR="00375695" w:rsidRPr="00702262" w14:paraId="7643D803" w14:textId="77777777" w:rsidTr="00375695">
        <w:tc>
          <w:tcPr>
            <w:tcW w:w="1271" w:type="dxa"/>
            <w:vMerge/>
          </w:tcPr>
          <w:p w14:paraId="37B36DF4" w14:textId="77777777" w:rsidR="007A2C38" w:rsidRPr="00702262" w:rsidRDefault="007A2C38" w:rsidP="00702262">
            <w:pPr>
              <w:spacing w:after="0" w:line="240" w:lineRule="auto"/>
              <w:ind w:left="-374" w:firstLine="295"/>
              <w:rPr>
                <w:rFonts w:ascii="Times New Roman" w:hAnsi="Times New Roman" w:cs="Times New Roman"/>
                <w:sz w:val="24"/>
                <w:szCs w:val="24"/>
                <w:shd w:val="clear" w:color="auto" w:fill="FFFFFF"/>
              </w:rPr>
            </w:pPr>
          </w:p>
        </w:tc>
        <w:tc>
          <w:tcPr>
            <w:tcW w:w="1276" w:type="dxa"/>
          </w:tcPr>
          <w:p w14:paraId="798DEA00" w14:textId="77777777" w:rsidR="007A2C38" w:rsidRPr="00702262" w:rsidRDefault="007A2C38" w:rsidP="00702262">
            <w:pPr>
              <w:spacing w:after="0" w:line="240" w:lineRule="auto"/>
              <w:ind w:left="-374" w:firstLine="295"/>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Реже</w:t>
            </w:r>
          </w:p>
        </w:tc>
        <w:tc>
          <w:tcPr>
            <w:tcW w:w="567" w:type="dxa"/>
          </w:tcPr>
          <w:p w14:paraId="54570353"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296</w:t>
            </w:r>
          </w:p>
        </w:tc>
        <w:tc>
          <w:tcPr>
            <w:tcW w:w="567" w:type="dxa"/>
          </w:tcPr>
          <w:p w14:paraId="292774C6"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61.7</w:t>
            </w:r>
          </w:p>
        </w:tc>
        <w:tc>
          <w:tcPr>
            <w:tcW w:w="567" w:type="dxa"/>
          </w:tcPr>
          <w:p w14:paraId="69B79FCD"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68.9</w:t>
            </w:r>
          </w:p>
        </w:tc>
        <w:tc>
          <w:tcPr>
            <w:tcW w:w="709" w:type="dxa"/>
            <w:vMerge/>
          </w:tcPr>
          <w:p w14:paraId="447A6D70"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p>
        </w:tc>
        <w:tc>
          <w:tcPr>
            <w:tcW w:w="992" w:type="dxa"/>
          </w:tcPr>
          <w:p w14:paraId="27C54618"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1.00</w:t>
            </w:r>
          </w:p>
        </w:tc>
        <w:tc>
          <w:tcPr>
            <w:tcW w:w="1134" w:type="dxa"/>
          </w:tcPr>
          <w:p w14:paraId="561EC97B"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Reference</w:t>
            </w:r>
          </w:p>
        </w:tc>
        <w:tc>
          <w:tcPr>
            <w:tcW w:w="1276" w:type="dxa"/>
          </w:tcPr>
          <w:p w14:paraId="76244773"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1.00</w:t>
            </w:r>
          </w:p>
        </w:tc>
        <w:tc>
          <w:tcPr>
            <w:tcW w:w="1134" w:type="dxa"/>
          </w:tcPr>
          <w:p w14:paraId="68D609D3"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Reference</w:t>
            </w:r>
          </w:p>
        </w:tc>
      </w:tr>
      <w:tr w:rsidR="00375695" w:rsidRPr="00702262" w14:paraId="3BB8C9CE" w14:textId="77777777" w:rsidTr="00375695">
        <w:tc>
          <w:tcPr>
            <w:tcW w:w="1271" w:type="dxa"/>
            <w:vMerge w:val="restart"/>
          </w:tcPr>
          <w:p w14:paraId="23C2EEAA" w14:textId="77777777" w:rsidR="007A2C38" w:rsidRPr="00702262" w:rsidRDefault="007A2C38" w:rsidP="00702262">
            <w:pPr>
              <w:spacing w:after="0" w:line="240" w:lineRule="auto"/>
              <w:ind w:left="-374" w:firstLine="295"/>
              <w:rPr>
                <w:rFonts w:ascii="Times New Roman" w:hAnsi="Times New Roman" w:cs="Times New Roman"/>
                <w:sz w:val="24"/>
                <w:szCs w:val="24"/>
              </w:rPr>
            </w:pPr>
            <w:r w:rsidRPr="00702262">
              <w:rPr>
                <w:rFonts w:ascii="Times New Roman" w:hAnsi="Times New Roman" w:cs="Times New Roman"/>
                <w:sz w:val="24"/>
                <w:szCs w:val="24"/>
              </w:rPr>
              <w:t>Овощи</w:t>
            </w:r>
          </w:p>
        </w:tc>
        <w:tc>
          <w:tcPr>
            <w:tcW w:w="1276" w:type="dxa"/>
          </w:tcPr>
          <w:p w14:paraId="084AC81A" w14:textId="77777777" w:rsidR="007A2C38" w:rsidRPr="00702262" w:rsidRDefault="007A2C38" w:rsidP="00702262">
            <w:pPr>
              <w:spacing w:after="0" w:line="240" w:lineRule="auto"/>
              <w:ind w:left="-374" w:firstLine="295"/>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rPr>
              <w:t>Ежедневно</w:t>
            </w:r>
          </w:p>
        </w:tc>
        <w:tc>
          <w:tcPr>
            <w:tcW w:w="567" w:type="dxa"/>
          </w:tcPr>
          <w:p w14:paraId="37EB46D7"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297</w:t>
            </w:r>
          </w:p>
        </w:tc>
        <w:tc>
          <w:tcPr>
            <w:tcW w:w="567" w:type="dxa"/>
          </w:tcPr>
          <w:p w14:paraId="58098530"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61.9</w:t>
            </w:r>
          </w:p>
        </w:tc>
        <w:tc>
          <w:tcPr>
            <w:tcW w:w="567" w:type="dxa"/>
          </w:tcPr>
          <w:p w14:paraId="00476F8A"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51.6</w:t>
            </w:r>
          </w:p>
        </w:tc>
        <w:tc>
          <w:tcPr>
            <w:tcW w:w="709" w:type="dxa"/>
            <w:vMerge w:val="restart"/>
          </w:tcPr>
          <w:p w14:paraId="4F8EA03A"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rPr>
              <w:t>0.002</w:t>
            </w:r>
          </w:p>
        </w:tc>
        <w:tc>
          <w:tcPr>
            <w:tcW w:w="992" w:type="dxa"/>
          </w:tcPr>
          <w:p w14:paraId="2DA5B986"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0.80</w:t>
            </w:r>
          </w:p>
        </w:tc>
        <w:tc>
          <w:tcPr>
            <w:tcW w:w="1134" w:type="dxa"/>
          </w:tcPr>
          <w:p w14:paraId="49CB137C"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0.70; 0.92</w:t>
            </w:r>
          </w:p>
        </w:tc>
        <w:tc>
          <w:tcPr>
            <w:tcW w:w="1276" w:type="dxa"/>
          </w:tcPr>
          <w:p w14:paraId="0EB752AB"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0.93</w:t>
            </w:r>
          </w:p>
        </w:tc>
        <w:tc>
          <w:tcPr>
            <w:tcW w:w="1134" w:type="dxa"/>
          </w:tcPr>
          <w:p w14:paraId="29EB1CB3"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0.80; 1.10</w:t>
            </w:r>
          </w:p>
        </w:tc>
      </w:tr>
      <w:tr w:rsidR="00375695" w:rsidRPr="00702262" w14:paraId="164B2CFA" w14:textId="77777777" w:rsidTr="00375695">
        <w:tc>
          <w:tcPr>
            <w:tcW w:w="1271" w:type="dxa"/>
            <w:vMerge/>
          </w:tcPr>
          <w:p w14:paraId="3B22C851" w14:textId="77777777" w:rsidR="007A2C38" w:rsidRPr="00702262" w:rsidRDefault="007A2C38" w:rsidP="00702262">
            <w:pPr>
              <w:spacing w:after="0" w:line="240" w:lineRule="auto"/>
              <w:ind w:left="-374" w:firstLine="295"/>
              <w:rPr>
                <w:rFonts w:ascii="Times New Roman" w:hAnsi="Times New Roman" w:cs="Times New Roman"/>
                <w:sz w:val="24"/>
                <w:szCs w:val="24"/>
                <w:shd w:val="clear" w:color="auto" w:fill="FFFFFF"/>
              </w:rPr>
            </w:pPr>
          </w:p>
        </w:tc>
        <w:tc>
          <w:tcPr>
            <w:tcW w:w="1276" w:type="dxa"/>
          </w:tcPr>
          <w:p w14:paraId="406B9528" w14:textId="77777777" w:rsidR="007A2C38" w:rsidRPr="00702262" w:rsidRDefault="007A2C38" w:rsidP="00702262">
            <w:pPr>
              <w:spacing w:after="0" w:line="240" w:lineRule="auto"/>
              <w:ind w:left="-374" w:firstLine="295"/>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Реже</w:t>
            </w:r>
          </w:p>
        </w:tc>
        <w:tc>
          <w:tcPr>
            <w:tcW w:w="567" w:type="dxa"/>
          </w:tcPr>
          <w:p w14:paraId="7A45EF2D"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183</w:t>
            </w:r>
          </w:p>
        </w:tc>
        <w:tc>
          <w:tcPr>
            <w:tcW w:w="567" w:type="dxa"/>
          </w:tcPr>
          <w:p w14:paraId="67F594C5"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38.1</w:t>
            </w:r>
          </w:p>
        </w:tc>
        <w:tc>
          <w:tcPr>
            <w:tcW w:w="567" w:type="dxa"/>
          </w:tcPr>
          <w:p w14:paraId="53593A7C"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65.9</w:t>
            </w:r>
          </w:p>
        </w:tc>
        <w:tc>
          <w:tcPr>
            <w:tcW w:w="709" w:type="dxa"/>
            <w:vMerge/>
          </w:tcPr>
          <w:p w14:paraId="2125769F"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p>
        </w:tc>
        <w:tc>
          <w:tcPr>
            <w:tcW w:w="992" w:type="dxa"/>
          </w:tcPr>
          <w:p w14:paraId="354487DB"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1.00</w:t>
            </w:r>
          </w:p>
        </w:tc>
        <w:tc>
          <w:tcPr>
            <w:tcW w:w="1134" w:type="dxa"/>
          </w:tcPr>
          <w:p w14:paraId="211CAB16"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Reference</w:t>
            </w:r>
          </w:p>
        </w:tc>
        <w:tc>
          <w:tcPr>
            <w:tcW w:w="1276" w:type="dxa"/>
          </w:tcPr>
          <w:p w14:paraId="63DC2C41"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1.00</w:t>
            </w:r>
          </w:p>
        </w:tc>
        <w:tc>
          <w:tcPr>
            <w:tcW w:w="1134" w:type="dxa"/>
          </w:tcPr>
          <w:p w14:paraId="109A9B79"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Reference</w:t>
            </w:r>
          </w:p>
        </w:tc>
      </w:tr>
      <w:tr w:rsidR="00375695" w:rsidRPr="00702262" w14:paraId="039D1A91" w14:textId="77777777" w:rsidTr="00375695">
        <w:tc>
          <w:tcPr>
            <w:tcW w:w="1271" w:type="dxa"/>
            <w:vMerge w:val="restart"/>
          </w:tcPr>
          <w:p w14:paraId="5D093940" w14:textId="77777777" w:rsidR="007A2C38" w:rsidRPr="00702262" w:rsidRDefault="007A2C38" w:rsidP="00702262">
            <w:pPr>
              <w:spacing w:after="0" w:line="240" w:lineRule="auto"/>
              <w:ind w:left="-374" w:firstLine="295"/>
              <w:rPr>
                <w:rFonts w:ascii="Times New Roman" w:hAnsi="Times New Roman" w:cs="Times New Roman"/>
                <w:sz w:val="24"/>
                <w:szCs w:val="24"/>
                <w:shd w:val="clear" w:color="auto" w:fill="FFFFFF"/>
              </w:rPr>
            </w:pPr>
            <w:r w:rsidRPr="00702262">
              <w:rPr>
                <w:rFonts w:ascii="Times New Roman" w:hAnsi="Times New Roman" w:cs="Times New Roman"/>
                <w:sz w:val="24"/>
                <w:szCs w:val="24"/>
              </w:rPr>
              <w:t>Алкоголь</w:t>
            </w:r>
          </w:p>
        </w:tc>
        <w:tc>
          <w:tcPr>
            <w:tcW w:w="1276" w:type="dxa"/>
          </w:tcPr>
          <w:p w14:paraId="45E64290" w14:textId="77777777" w:rsidR="007A2C38" w:rsidRPr="00702262" w:rsidRDefault="007A2C38" w:rsidP="00702262">
            <w:pPr>
              <w:spacing w:after="0" w:line="240" w:lineRule="auto"/>
              <w:ind w:left="-374" w:firstLine="295"/>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Да</w:t>
            </w:r>
          </w:p>
        </w:tc>
        <w:tc>
          <w:tcPr>
            <w:tcW w:w="567" w:type="dxa"/>
          </w:tcPr>
          <w:p w14:paraId="2D9460E3"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193</w:t>
            </w:r>
          </w:p>
        </w:tc>
        <w:tc>
          <w:tcPr>
            <w:tcW w:w="567" w:type="dxa"/>
          </w:tcPr>
          <w:p w14:paraId="30559E63"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59.8</w:t>
            </w:r>
          </w:p>
        </w:tc>
        <w:tc>
          <w:tcPr>
            <w:tcW w:w="567" w:type="dxa"/>
          </w:tcPr>
          <w:p w14:paraId="5FA9FF19"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62.7</w:t>
            </w:r>
          </w:p>
        </w:tc>
        <w:tc>
          <w:tcPr>
            <w:tcW w:w="709" w:type="dxa"/>
            <w:vMerge w:val="restart"/>
          </w:tcPr>
          <w:p w14:paraId="17AC58B2"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rPr>
              <w:t>0.403</w:t>
            </w:r>
          </w:p>
        </w:tc>
        <w:tc>
          <w:tcPr>
            <w:tcW w:w="992" w:type="dxa"/>
          </w:tcPr>
          <w:p w14:paraId="49D36CBF"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1.06</w:t>
            </w:r>
          </w:p>
        </w:tc>
        <w:tc>
          <w:tcPr>
            <w:tcW w:w="1134" w:type="dxa"/>
          </w:tcPr>
          <w:p w14:paraId="4EFFAB2F"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0.92; 1.23</w:t>
            </w:r>
          </w:p>
        </w:tc>
        <w:tc>
          <w:tcPr>
            <w:tcW w:w="1276" w:type="dxa"/>
          </w:tcPr>
          <w:p w14:paraId="41571512"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1.09</w:t>
            </w:r>
          </w:p>
        </w:tc>
        <w:tc>
          <w:tcPr>
            <w:tcW w:w="1134" w:type="dxa"/>
          </w:tcPr>
          <w:p w14:paraId="44D03C10"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0.93; 1.27</w:t>
            </w:r>
          </w:p>
        </w:tc>
      </w:tr>
      <w:tr w:rsidR="00375695" w:rsidRPr="00702262" w14:paraId="33FC7DA5" w14:textId="77777777" w:rsidTr="00375695">
        <w:tc>
          <w:tcPr>
            <w:tcW w:w="1271" w:type="dxa"/>
            <w:vMerge/>
          </w:tcPr>
          <w:p w14:paraId="3D10DD9B" w14:textId="77777777" w:rsidR="007A2C38" w:rsidRPr="00702262" w:rsidRDefault="007A2C38" w:rsidP="00702262">
            <w:pPr>
              <w:spacing w:after="0" w:line="240" w:lineRule="auto"/>
              <w:ind w:left="-374" w:firstLine="295"/>
              <w:rPr>
                <w:rFonts w:ascii="Times New Roman" w:hAnsi="Times New Roman" w:cs="Times New Roman"/>
                <w:sz w:val="24"/>
                <w:szCs w:val="24"/>
                <w:shd w:val="clear" w:color="auto" w:fill="FFFFFF"/>
                <w:lang w:val="en-US"/>
              </w:rPr>
            </w:pPr>
          </w:p>
        </w:tc>
        <w:tc>
          <w:tcPr>
            <w:tcW w:w="1276" w:type="dxa"/>
          </w:tcPr>
          <w:p w14:paraId="4B124E3D" w14:textId="77777777" w:rsidR="007A2C38" w:rsidRPr="00702262" w:rsidRDefault="007A2C38" w:rsidP="00702262">
            <w:pPr>
              <w:spacing w:after="0" w:line="240" w:lineRule="auto"/>
              <w:ind w:left="-374" w:firstLine="295"/>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Нет</w:t>
            </w:r>
          </w:p>
        </w:tc>
        <w:tc>
          <w:tcPr>
            <w:tcW w:w="567" w:type="dxa"/>
          </w:tcPr>
          <w:p w14:paraId="18504637"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287</w:t>
            </w:r>
          </w:p>
        </w:tc>
        <w:tc>
          <w:tcPr>
            <w:tcW w:w="567" w:type="dxa"/>
          </w:tcPr>
          <w:p w14:paraId="5AA26D77"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40.2</w:t>
            </w:r>
          </w:p>
        </w:tc>
        <w:tc>
          <w:tcPr>
            <w:tcW w:w="567" w:type="dxa"/>
          </w:tcPr>
          <w:p w14:paraId="244E64FE"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58.9</w:t>
            </w:r>
          </w:p>
        </w:tc>
        <w:tc>
          <w:tcPr>
            <w:tcW w:w="709" w:type="dxa"/>
            <w:vMerge/>
          </w:tcPr>
          <w:p w14:paraId="6E853A4A"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p>
        </w:tc>
        <w:tc>
          <w:tcPr>
            <w:tcW w:w="992" w:type="dxa"/>
          </w:tcPr>
          <w:p w14:paraId="081A16CE"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1.00</w:t>
            </w:r>
          </w:p>
        </w:tc>
        <w:tc>
          <w:tcPr>
            <w:tcW w:w="1134" w:type="dxa"/>
          </w:tcPr>
          <w:p w14:paraId="6BE9A24B"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Reference</w:t>
            </w:r>
          </w:p>
        </w:tc>
        <w:tc>
          <w:tcPr>
            <w:tcW w:w="1276" w:type="dxa"/>
          </w:tcPr>
          <w:p w14:paraId="7D03FFB1"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1.00</w:t>
            </w:r>
          </w:p>
        </w:tc>
        <w:tc>
          <w:tcPr>
            <w:tcW w:w="1134" w:type="dxa"/>
          </w:tcPr>
          <w:p w14:paraId="1D753199"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Reference</w:t>
            </w:r>
          </w:p>
        </w:tc>
      </w:tr>
      <w:tr w:rsidR="00375695" w:rsidRPr="00702262" w14:paraId="76A49A66" w14:textId="77777777" w:rsidTr="00375695">
        <w:tc>
          <w:tcPr>
            <w:tcW w:w="1271" w:type="dxa"/>
            <w:vMerge w:val="restart"/>
          </w:tcPr>
          <w:p w14:paraId="786CEC38" w14:textId="75B1ED0B" w:rsidR="007A2C38" w:rsidRPr="00702262" w:rsidRDefault="007A2C38" w:rsidP="00375695">
            <w:pPr>
              <w:spacing w:after="0" w:line="240" w:lineRule="auto"/>
              <w:ind w:left="-108" w:firstLine="29"/>
              <w:rPr>
                <w:rFonts w:ascii="Times New Roman" w:hAnsi="Times New Roman" w:cs="Times New Roman"/>
                <w:sz w:val="24"/>
                <w:szCs w:val="24"/>
                <w:shd w:val="clear" w:color="auto" w:fill="FFFFFF"/>
              </w:rPr>
            </w:pPr>
            <w:r w:rsidRPr="00702262">
              <w:rPr>
                <w:rFonts w:ascii="Times New Roman" w:hAnsi="Times New Roman" w:cs="Times New Roman"/>
                <w:sz w:val="24"/>
                <w:szCs w:val="24"/>
              </w:rPr>
              <w:t>Ежедневное курение</w:t>
            </w:r>
          </w:p>
        </w:tc>
        <w:tc>
          <w:tcPr>
            <w:tcW w:w="1276" w:type="dxa"/>
          </w:tcPr>
          <w:p w14:paraId="05AF12EA" w14:textId="77777777" w:rsidR="007A2C38" w:rsidRPr="00702262" w:rsidRDefault="007A2C38" w:rsidP="00702262">
            <w:pPr>
              <w:spacing w:after="0" w:line="240" w:lineRule="auto"/>
              <w:ind w:left="-374" w:firstLine="295"/>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Да</w:t>
            </w:r>
          </w:p>
        </w:tc>
        <w:tc>
          <w:tcPr>
            <w:tcW w:w="567" w:type="dxa"/>
          </w:tcPr>
          <w:p w14:paraId="28754425"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154</w:t>
            </w:r>
          </w:p>
        </w:tc>
        <w:tc>
          <w:tcPr>
            <w:tcW w:w="567" w:type="dxa"/>
          </w:tcPr>
          <w:p w14:paraId="35C40E91"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32.1</w:t>
            </w:r>
          </w:p>
        </w:tc>
        <w:tc>
          <w:tcPr>
            <w:tcW w:w="567" w:type="dxa"/>
          </w:tcPr>
          <w:p w14:paraId="3D6FA352"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64.1</w:t>
            </w:r>
          </w:p>
        </w:tc>
        <w:tc>
          <w:tcPr>
            <w:tcW w:w="709" w:type="dxa"/>
            <w:vMerge w:val="restart"/>
          </w:tcPr>
          <w:p w14:paraId="7ED96809"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rPr>
              <w:t>0.234</w:t>
            </w:r>
          </w:p>
        </w:tc>
        <w:tc>
          <w:tcPr>
            <w:tcW w:w="992" w:type="dxa"/>
          </w:tcPr>
          <w:p w14:paraId="75792D02"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1.10</w:t>
            </w:r>
          </w:p>
        </w:tc>
        <w:tc>
          <w:tcPr>
            <w:tcW w:w="1134" w:type="dxa"/>
          </w:tcPr>
          <w:p w14:paraId="44C09CCA"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0.95; 1.27</w:t>
            </w:r>
          </w:p>
        </w:tc>
        <w:tc>
          <w:tcPr>
            <w:tcW w:w="1276" w:type="dxa"/>
          </w:tcPr>
          <w:p w14:paraId="2C4BBCFD"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1.06</w:t>
            </w:r>
          </w:p>
        </w:tc>
        <w:tc>
          <w:tcPr>
            <w:tcW w:w="1134" w:type="dxa"/>
          </w:tcPr>
          <w:p w14:paraId="709DF3F3"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0.89; 1.25</w:t>
            </w:r>
          </w:p>
        </w:tc>
      </w:tr>
      <w:tr w:rsidR="00375695" w:rsidRPr="00702262" w14:paraId="14001243" w14:textId="77777777" w:rsidTr="00375695">
        <w:tc>
          <w:tcPr>
            <w:tcW w:w="1271" w:type="dxa"/>
            <w:vMerge/>
          </w:tcPr>
          <w:p w14:paraId="23C43544" w14:textId="77777777" w:rsidR="007A2C38" w:rsidRPr="00702262" w:rsidRDefault="007A2C38" w:rsidP="00702262">
            <w:pPr>
              <w:spacing w:after="0" w:line="240" w:lineRule="auto"/>
              <w:ind w:left="-374" w:firstLine="295"/>
              <w:rPr>
                <w:rFonts w:ascii="Times New Roman" w:hAnsi="Times New Roman" w:cs="Times New Roman"/>
                <w:sz w:val="24"/>
                <w:szCs w:val="24"/>
                <w:shd w:val="clear" w:color="auto" w:fill="FFFFFF"/>
                <w:lang w:val="en-US"/>
              </w:rPr>
            </w:pPr>
          </w:p>
        </w:tc>
        <w:tc>
          <w:tcPr>
            <w:tcW w:w="1276" w:type="dxa"/>
          </w:tcPr>
          <w:p w14:paraId="393C2F12" w14:textId="77777777" w:rsidR="007A2C38" w:rsidRPr="00702262" w:rsidRDefault="007A2C38" w:rsidP="00702262">
            <w:pPr>
              <w:spacing w:after="0" w:line="240" w:lineRule="auto"/>
              <w:ind w:left="-374" w:firstLine="295"/>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Нет</w:t>
            </w:r>
          </w:p>
        </w:tc>
        <w:tc>
          <w:tcPr>
            <w:tcW w:w="567" w:type="dxa"/>
          </w:tcPr>
          <w:p w14:paraId="54E69650"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326</w:t>
            </w:r>
          </w:p>
        </w:tc>
        <w:tc>
          <w:tcPr>
            <w:tcW w:w="567" w:type="dxa"/>
          </w:tcPr>
          <w:p w14:paraId="2D214D8F"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67.9</w:t>
            </w:r>
          </w:p>
        </w:tc>
        <w:tc>
          <w:tcPr>
            <w:tcW w:w="567" w:type="dxa"/>
          </w:tcPr>
          <w:p w14:paraId="71A94043"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rPr>
            </w:pPr>
            <w:r w:rsidRPr="00702262">
              <w:rPr>
                <w:rFonts w:ascii="Times New Roman" w:hAnsi="Times New Roman" w:cs="Times New Roman"/>
                <w:sz w:val="24"/>
                <w:szCs w:val="24"/>
                <w:shd w:val="clear" w:color="auto" w:fill="FFFFFF"/>
              </w:rPr>
              <w:t>58.6</w:t>
            </w:r>
          </w:p>
        </w:tc>
        <w:tc>
          <w:tcPr>
            <w:tcW w:w="709" w:type="dxa"/>
            <w:vMerge/>
          </w:tcPr>
          <w:p w14:paraId="051337F7"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p>
        </w:tc>
        <w:tc>
          <w:tcPr>
            <w:tcW w:w="992" w:type="dxa"/>
          </w:tcPr>
          <w:p w14:paraId="4D56A851"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1.00</w:t>
            </w:r>
          </w:p>
        </w:tc>
        <w:tc>
          <w:tcPr>
            <w:tcW w:w="1134" w:type="dxa"/>
          </w:tcPr>
          <w:p w14:paraId="1083FE00"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Reference</w:t>
            </w:r>
          </w:p>
        </w:tc>
        <w:tc>
          <w:tcPr>
            <w:tcW w:w="1276" w:type="dxa"/>
          </w:tcPr>
          <w:p w14:paraId="32B3FFEC"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1.00</w:t>
            </w:r>
          </w:p>
        </w:tc>
        <w:tc>
          <w:tcPr>
            <w:tcW w:w="1134" w:type="dxa"/>
          </w:tcPr>
          <w:p w14:paraId="3E6DC3DF" w14:textId="77777777" w:rsidR="007A2C38" w:rsidRPr="00702262" w:rsidRDefault="007A2C38" w:rsidP="00702262">
            <w:pPr>
              <w:spacing w:after="0" w:line="240" w:lineRule="auto"/>
              <w:ind w:left="-374" w:firstLine="295"/>
              <w:jc w:val="center"/>
              <w:rPr>
                <w:rFonts w:ascii="Times New Roman" w:hAnsi="Times New Roman" w:cs="Times New Roman"/>
                <w:sz w:val="24"/>
                <w:szCs w:val="24"/>
                <w:shd w:val="clear" w:color="auto" w:fill="FFFFFF"/>
                <w:lang w:val="en-US"/>
              </w:rPr>
            </w:pPr>
            <w:r w:rsidRPr="00702262">
              <w:rPr>
                <w:rFonts w:ascii="Times New Roman" w:hAnsi="Times New Roman" w:cs="Times New Roman"/>
                <w:sz w:val="24"/>
                <w:szCs w:val="24"/>
                <w:shd w:val="clear" w:color="auto" w:fill="FFFFFF"/>
                <w:lang w:val="en-US"/>
              </w:rPr>
              <w:t>Reference</w:t>
            </w:r>
          </w:p>
        </w:tc>
      </w:tr>
    </w:tbl>
    <w:p w14:paraId="61C95C6B" w14:textId="77777777" w:rsidR="007A2C38" w:rsidRPr="004135FE" w:rsidRDefault="007A2C38" w:rsidP="004135FE">
      <w:pPr>
        <w:spacing w:after="0" w:line="240" w:lineRule="auto"/>
        <w:jc w:val="both"/>
        <w:rPr>
          <w:rFonts w:ascii="Times New Roman" w:hAnsi="Times New Roman" w:cs="Times New Roman"/>
          <w:sz w:val="28"/>
          <w:szCs w:val="28"/>
        </w:rPr>
      </w:pPr>
    </w:p>
    <w:p w14:paraId="04EB6B09" w14:textId="2A9E5B5B" w:rsidR="007A2C38" w:rsidRPr="004135FE" w:rsidRDefault="007A2C38" w:rsidP="00B270B3">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В общей сложности 374 участника сообщили о том, какую физическую активность они практиковали. Среди них наиболее распространенными видами деятельности были ходьба (48,1%), гимнастика (20,1%) и плавание (17,9%). Мы обнаружили значительную связь между распространенностью НФА и видом физической активности (P &lt;0,001, таблица 3</w:t>
      </w:r>
      <w:r w:rsidR="00B728EF" w:rsidRPr="004135FE">
        <w:rPr>
          <w:rFonts w:ascii="Times New Roman" w:hAnsi="Times New Roman" w:cs="Times New Roman"/>
          <w:sz w:val="28"/>
          <w:szCs w:val="28"/>
        </w:rPr>
        <w:t>4</w:t>
      </w:r>
      <w:r w:rsidRPr="004135FE">
        <w:rPr>
          <w:rFonts w:ascii="Times New Roman" w:hAnsi="Times New Roman" w:cs="Times New Roman"/>
          <w:sz w:val="28"/>
          <w:szCs w:val="28"/>
        </w:rPr>
        <w:t>). Распространенность НФА варьировалась от 9,1% среди тех, кто практиковал пилатес, до 84,6% среди пациентов, которые указали, что танцы являются их основным видом деятельности.</w:t>
      </w:r>
    </w:p>
    <w:p w14:paraId="0DEF6C53" w14:textId="77777777" w:rsidR="00375695" w:rsidRDefault="00375695" w:rsidP="00375695">
      <w:pPr>
        <w:spacing w:after="0" w:line="240" w:lineRule="auto"/>
        <w:jc w:val="both"/>
        <w:rPr>
          <w:rFonts w:ascii="Times New Roman" w:hAnsi="Times New Roman" w:cs="Times New Roman"/>
          <w:sz w:val="28"/>
          <w:szCs w:val="28"/>
        </w:rPr>
      </w:pPr>
    </w:p>
    <w:p w14:paraId="74590A5E" w14:textId="77777777" w:rsidR="00375695" w:rsidRDefault="00375695" w:rsidP="00375695">
      <w:pPr>
        <w:spacing w:after="0" w:line="240" w:lineRule="auto"/>
        <w:jc w:val="both"/>
        <w:rPr>
          <w:rFonts w:ascii="Times New Roman" w:hAnsi="Times New Roman" w:cs="Times New Roman"/>
          <w:sz w:val="28"/>
          <w:szCs w:val="28"/>
        </w:rPr>
      </w:pPr>
    </w:p>
    <w:p w14:paraId="033B8092" w14:textId="77777777" w:rsidR="00375695" w:rsidRDefault="00375695" w:rsidP="00375695">
      <w:pPr>
        <w:spacing w:after="0" w:line="240" w:lineRule="auto"/>
        <w:jc w:val="both"/>
        <w:rPr>
          <w:rFonts w:ascii="Times New Roman" w:hAnsi="Times New Roman" w:cs="Times New Roman"/>
          <w:sz w:val="28"/>
          <w:szCs w:val="28"/>
        </w:rPr>
      </w:pPr>
    </w:p>
    <w:p w14:paraId="07741272" w14:textId="0F1F464C" w:rsidR="007A2C38" w:rsidRDefault="007A2C38" w:rsidP="00375695">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Таблица 3</w:t>
      </w:r>
      <w:r w:rsidR="00B728EF" w:rsidRPr="004135FE">
        <w:rPr>
          <w:rFonts w:ascii="Times New Roman" w:hAnsi="Times New Roman" w:cs="Times New Roman"/>
          <w:sz w:val="28"/>
          <w:szCs w:val="28"/>
        </w:rPr>
        <w:t>4</w:t>
      </w:r>
      <w:r w:rsidR="00375695">
        <w:rPr>
          <w:rFonts w:ascii="Times New Roman" w:hAnsi="Times New Roman" w:cs="Times New Roman"/>
          <w:sz w:val="28"/>
          <w:szCs w:val="28"/>
        </w:rPr>
        <w:t xml:space="preserve"> </w:t>
      </w:r>
      <w:r w:rsidRPr="004135FE">
        <w:rPr>
          <w:rFonts w:ascii="Times New Roman" w:hAnsi="Times New Roman" w:cs="Times New Roman"/>
          <w:sz w:val="28"/>
          <w:szCs w:val="28"/>
        </w:rPr>
        <w:t>- Связь между видом ФА и долей лиц с НФА в Алматы</w:t>
      </w:r>
    </w:p>
    <w:p w14:paraId="3DD87CD8" w14:textId="77777777" w:rsidR="00375695" w:rsidRPr="00375695" w:rsidRDefault="00375695" w:rsidP="00375695">
      <w:pPr>
        <w:spacing w:after="0" w:line="240" w:lineRule="auto"/>
        <w:jc w:val="both"/>
        <w:rPr>
          <w:rFonts w:ascii="Times New Roman" w:hAnsi="Times New Roman" w:cs="Times New Roman"/>
          <w:sz w:val="20"/>
          <w:szCs w:val="20"/>
        </w:rPr>
      </w:pPr>
    </w:p>
    <w:tbl>
      <w:tblPr>
        <w:tblStyle w:val="af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2336"/>
        <w:gridCol w:w="2336"/>
        <w:gridCol w:w="2336"/>
      </w:tblGrid>
      <w:tr w:rsidR="007A2C38" w:rsidRPr="004135FE" w14:paraId="34AD2145" w14:textId="77777777" w:rsidTr="00A42E92">
        <w:tc>
          <w:tcPr>
            <w:tcW w:w="1250" w:type="pct"/>
          </w:tcPr>
          <w:p w14:paraId="0AF461CE"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rPr>
              <w:t xml:space="preserve"> Вид</w:t>
            </w:r>
            <w:r w:rsidRPr="004135FE">
              <w:rPr>
                <w:rFonts w:ascii="Times New Roman" w:hAnsi="Times New Roman" w:cs="Times New Roman"/>
                <w:sz w:val="28"/>
                <w:szCs w:val="28"/>
                <w:shd w:val="clear" w:color="auto" w:fill="FFFFFF"/>
                <w:lang w:val="en-US"/>
              </w:rPr>
              <w:t xml:space="preserve"> </w:t>
            </w:r>
            <w:r w:rsidRPr="004135FE">
              <w:rPr>
                <w:rFonts w:ascii="Times New Roman" w:hAnsi="Times New Roman" w:cs="Times New Roman"/>
                <w:sz w:val="28"/>
                <w:szCs w:val="28"/>
                <w:shd w:val="clear" w:color="auto" w:fill="FFFFFF"/>
              </w:rPr>
              <w:t>активности</w:t>
            </w:r>
          </w:p>
        </w:tc>
        <w:tc>
          <w:tcPr>
            <w:tcW w:w="1250" w:type="pct"/>
          </w:tcPr>
          <w:p w14:paraId="5C58CCC3"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w:t>
            </w:r>
          </w:p>
        </w:tc>
        <w:tc>
          <w:tcPr>
            <w:tcW w:w="1250" w:type="pct"/>
          </w:tcPr>
          <w:p w14:paraId="55B44621"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 xml:space="preserve">% </w:t>
            </w:r>
            <w:r w:rsidRPr="004135FE">
              <w:rPr>
                <w:rFonts w:ascii="Times New Roman" w:hAnsi="Times New Roman" w:cs="Times New Roman"/>
                <w:sz w:val="28"/>
                <w:szCs w:val="28"/>
              </w:rPr>
              <w:t>НФА</w:t>
            </w:r>
          </w:p>
        </w:tc>
        <w:tc>
          <w:tcPr>
            <w:tcW w:w="1250" w:type="pct"/>
          </w:tcPr>
          <w:p w14:paraId="7FF35266"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P</w:t>
            </w:r>
          </w:p>
        </w:tc>
      </w:tr>
      <w:tr w:rsidR="007A2C38" w:rsidRPr="004135FE" w14:paraId="6118A321" w14:textId="77777777" w:rsidTr="00A42E92">
        <w:tc>
          <w:tcPr>
            <w:tcW w:w="1250" w:type="pct"/>
          </w:tcPr>
          <w:p w14:paraId="70E2249D"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rPr>
            </w:pPr>
            <w:r w:rsidRPr="004135FE">
              <w:rPr>
                <w:rFonts w:ascii="Times New Roman" w:hAnsi="Times New Roman" w:cs="Times New Roman"/>
                <w:sz w:val="28"/>
                <w:szCs w:val="28"/>
                <w:shd w:val="clear" w:color="auto" w:fill="FFFFFF"/>
              </w:rPr>
              <w:t>Ходьба</w:t>
            </w:r>
          </w:p>
        </w:tc>
        <w:tc>
          <w:tcPr>
            <w:tcW w:w="1250" w:type="pct"/>
          </w:tcPr>
          <w:p w14:paraId="2EA37EFE"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48.1</w:t>
            </w:r>
          </w:p>
        </w:tc>
        <w:tc>
          <w:tcPr>
            <w:tcW w:w="1250" w:type="pct"/>
          </w:tcPr>
          <w:p w14:paraId="514B95BD"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rPr>
              <w:t>54</w:t>
            </w:r>
            <w:r w:rsidRPr="004135FE">
              <w:rPr>
                <w:rFonts w:ascii="Times New Roman" w:hAnsi="Times New Roman" w:cs="Times New Roman"/>
                <w:sz w:val="28"/>
                <w:szCs w:val="28"/>
                <w:shd w:val="clear" w:color="auto" w:fill="FFFFFF"/>
                <w:lang w:val="en-US"/>
              </w:rPr>
              <w:t>.4</w:t>
            </w:r>
          </w:p>
        </w:tc>
        <w:tc>
          <w:tcPr>
            <w:tcW w:w="1250" w:type="pct"/>
            <w:vMerge w:val="restart"/>
          </w:tcPr>
          <w:p w14:paraId="5BBC47BA"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0.001</w:t>
            </w:r>
          </w:p>
        </w:tc>
      </w:tr>
      <w:tr w:rsidR="007A2C38" w:rsidRPr="004135FE" w14:paraId="5E70CDDA" w14:textId="77777777" w:rsidTr="00A42E92">
        <w:tc>
          <w:tcPr>
            <w:tcW w:w="1250" w:type="pct"/>
          </w:tcPr>
          <w:p w14:paraId="09370CCC"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rPr>
            </w:pPr>
            <w:r w:rsidRPr="004135FE">
              <w:rPr>
                <w:rFonts w:ascii="Times New Roman" w:hAnsi="Times New Roman" w:cs="Times New Roman"/>
                <w:sz w:val="28"/>
                <w:szCs w:val="28"/>
                <w:shd w:val="clear" w:color="auto" w:fill="FFFFFF"/>
              </w:rPr>
              <w:t>Гимнастика</w:t>
            </w:r>
          </w:p>
        </w:tc>
        <w:tc>
          <w:tcPr>
            <w:tcW w:w="1250" w:type="pct"/>
          </w:tcPr>
          <w:p w14:paraId="1FF29F7D"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20.1</w:t>
            </w:r>
          </w:p>
        </w:tc>
        <w:tc>
          <w:tcPr>
            <w:tcW w:w="1250" w:type="pct"/>
          </w:tcPr>
          <w:p w14:paraId="39DD4CC9"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rPr>
              <w:t>58</w:t>
            </w:r>
            <w:r w:rsidRPr="004135FE">
              <w:rPr>
                <w:rFonts w:ascii="Times New Roman" w:hAnsi="Times New Roman" w:cs="Times New Roman"/>
                <w:sz w:val="28"/>
                <w:szCs w:val="28"/>
                <w:shd w:val="clear" w:color="auto" w:fill="FFFFFF"/>
                <w:lang w:val="en-US"/>
              </w:rPr>
              <w:t>.</w:t>
            </w:r>
            <w:r w:rsidRPr="004135FE">
              <w:rPr>
                <w:rFonts w:ascii="Times New Roman" w:hAnsi="Times New Roman" w:cs="Times New Roman"/>
                <w:sz w:val="28"/>
                <w:szCs w:val="28"/>
                <w:shd w:val="clear" w:color="auto" w:fill="FFFFFF"/>
              </w:rPr>
              <w:t>7</w:t>
            </w:r>
          </w:p>
        </w:tc>
        <w:tc>
          <w:tcPr>
            <w:tcW w:w="1250" w:type="pct"/>
            <w:vMerge/>
          </w:tcPr>
          <w:p w14:paraId="79D794B5"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p>
        </w:tc>
      </w:tr>
      <w:tr w:rsidR="007A2C38" w:rsidRPr="004135FE" w14:paraId="6AF5D16B" w14:textId="77777777" w:rsidTr="00A42E92">
        <w:tc>
          <w:tcPr>
            <w:tcW w:w="1250" w:type="pct"/>
          </w:tcPr>
          <w:p w14:paraId="289605D4"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rPr>
            </w:pPr>
            <w:r w:rsidRPr="004135FE">
              <w:rPr>
                <w:rFonts w:ascii="Times New Roman" w:hAnsi="Times New Roman" w:cs="Times New Roman"/>
                <w:sz w:val="28"/>
                <w:szCs w:val="28"/>
                <w:shd w:val="clear" w:color="auto" w:fill="FFFFFF"/>
              </w:rPr>
              <w:t>Плавание</w:t>
            </w:r>
          </w:p>
        </w:tc>
        <w:tc>
          <w:tcPr>
            <w:tcW w:w="1250" w:type="pct"/>
          </w:tcPr>
          <w:p w14:paraId="1E6A637E"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rPr>
            </w:pPr>
            <w:r w:rsidRPr="004135FE">
              <w:rPr>
                <w:rFonts w:ascii="Times New Roman" w:hAnsi="Times New Roman" w:cs="Times New Roman"/>
                <w:sz w:val="28"/>
                <w:szCs w:val="28"/>
                <w:shd w:val="clear" w:color="auto" w:fill="FFFFFF"/>
                <w:lang w:val="en-US"/>
              </w:rPr>
              <w:t>17.9</w:t>
            </w:r>
          </w:p>
        </w:tc>
        <w:tc>
          <w:tcPr>
            <w:tcW w:w="1250" w:type="pct"/>
          </w:tcPr>
          <w:p w14:paraId="7277AB91"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20.9</w:t>
            </w:r>
          </w:p>
        </w:tc>
        <w:tc>
          <w:tcPr>
            <w:tcW w:w="1250" w:type="pct"/>
            <w:vMerge/>
          </w:tcPr>
          <w:p w14:paraId="73FDCEDC"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p>
        </w:tc>
      </w:tr>
      <w:tr w:rsidR="007A2C38" w:rsidRPr="004135FE" w14:paraId="09D259FB" w14:textId="77777777" w:rsidTr="00A42E92">
        <w:tc>
          <w:tcPr>
            <w:tcW w:w="1250" w:type="pct"/>
          </w:tcPr>
          <w:p w14:paraId="736FEDAE"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rPr>
            </w:pPr>
            <w:r w:rsidRPr="004135FE">
              <w:rPr>
                <w:rFonts w:ascii="Times New Roman" w:hAnsi="Times New Roman" w:cs="Times New Roman"/>
                <w:sz w:val="28"/>
                <w:szCs w:val="28"/>
                <w:shd w:val="clear" w:color="auto" w:fill="FFFFFF"/>
              </w:rPr>
              <w:t>Йога</w:t>
            </w:r>
          </w:p>
        </w:tc>
        <w:tc>
          <w:tcPr>
            <w:tcW w:w="1250" w:type="pct"/>
          </w:tcPr>
          <w:p w14:paraId="27FE1723"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rPr>
            </w:pPr>
            <w:r w:rsidRPr="004135FE">
              <w:rPr>
                <w:rFonts w:ascii="Times New Roman" w:hAnsi="Times New Roman" w:cs="Times New Roman"/>
                <w:sz w:val="28"/>
                <w:szCs w:val="28"/>
                <w:shd w:val="clear" w:color="auto" w:fill="FFFFFF"/>
              </w:rPr>
              <w:t>7</w:t>
            </w:r>
            <w:r w:rsidRPr="004135FE">
              <w:rPr>
                <w:rFonts w:ascii="Times New Roman" w:hAnsi="Times New Roman" w:cs="Times New Roman"/>
                <w:sz w:val="28"/>
                <w:szCs w:val="28"/>
                <w:shd w:val="clear" w:color="auto" w:fill="FFFFFF"/>
                <w:lang w:val="en-US"/>
              </w:rPr>
              <w:t>.</w:t>
            </w:r>
            <w:r w:rsidRPr="004135FE">
              <w:rPr>
                <w:rFonts w:ascii="Times New Roman" w:hAnsi="Times New Roman" w:cs="Times New Roman"/>
                <w:sz w:val="28"/>
                <w:szCs w:val="28"/>
                <w:shd w:val="clear" w:color="auto" w:fill="FFFFFF"/>
              </w:rPr>
              <w:t>5</w:t>
            </w:r>
          </w:p>
        </w:tc>
        <w:tc>
          <w:tcPr>
            <w:tcW w:w="1250" w:type="pct"/>
          </w:tcPr>
          <w:p w14:paraId="59CA54FB"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rPr>
              <w:t>64</w:t>
            </w:r>
            <w:r w:rsidRPr="004135FE">
              <w:rPr>
                <w:rFonts w:ascii="Times New Roman" w:hAnsi="Times New Roman" w:cs="Times New Roman"/>
                <w:sz w:val="28"/>
                <w:szCs w:val="28"/>
                <w:shd w:val="clear" w:color="auto" w:fill="FFFFFF"/>
                <w:lang w:val="en-US"/>
              </w:rPr>
              <w:t>.</w:t>
            </w:r>
            <w:r w:rsidRPr="004135FE">
              <w:rPr>
                <w:rFonts w:ascii="Times New Roman" w:hAnsi="Times New Roman" w:cs="Times New Roman"/>
                <w:sz w:val="28"/>
                <w:szCs w:val="28"/>
                <w:shd w:val="clear" w:color="auto" w:fill="FFFFFF"/>
              </w:rPr>
              <w:t>3</w:t>
            </w:r>
          </w:p>
        </w:tc>
        <w:tc>
          <w:tcPr>
            <w:tcW w:w="1250" w:type="pct"/>
            <w:vMerge/>
          </w:tcPr>
          <w:p w14:paraId="422B1506"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p>
        </w:tc>
      </w:tr>
      <w:tr w:rsidR="007A2C38" w:rsidRPr="004135FE" w14:paraId="1538E16E" w14:textId="77777777" w:rsidTr="00A42E92">
        <w:tc>
          <w:tcPr>
            <w:tcW w:w="1250" w:type="pct"/>
          </w:tcPr>
          <w:p w14:paraId="65D29AA5"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rPr>
            </w:pPr>
            <w:r w:rsidRPr="004135FE">
              <w:rPr>
                <w:rFonts w:ascii="Times New Roman" w:hAnsi="Times New Roman" w:cs="Times New Roman"/>
                <w:sz w:val="28"/>
                <w:szCs w:val="28"/>
                <w:shd w:val="clear" w:color="auto" w:fill="FFFFFF"/>
              </w:rPr>
              <w:t>Танцы</w:t>
            </w:r>
          </w:p>
        </w:tc>
        <w:tc>
          <w:tcPr>
            <w:tcW w:w="1250" w:type="pct"/>
          </w:tcPr>
          <w:p w14:paraId="5B838913"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rPr>
              <w:t>2</w:t>
            </w:r>
            <w:r w:rsidRPr="004135FE">
              <w:rPr>
                <w:rFonts w:ascii="Times New Roman" w:hAnsi="Times New Roman" w:cs="Times New Roman"/>
                <w:sz w:val="28"/>
                <w:szCs w:val="28"/>
                <w:shd w:val="clear" w:color="auto" w:fill="FFFFFF"/>
                <w:lang w:val="en-US"/>
              </w:rPr>
              <w:t>.</w:t>
            </w:r>
            <w:r w:rsidRPr="004135FE">
              <w:rPr>
                <w:rFonts w:ascii="Times New Roman" w:hAnsi="Times New Roman" w:cs="Times New Roman"/>
                <w:sz w:val="28"/>
                <w:szCs w:val="28"/>
                <w:shd w:val="clear" w:color="auto" w:fill="FFFFFF"/>
              </w:rPr>
              <w:t>9</w:t>
            </w:r>
          </w:p>
        </w:tc>
        <w:tc>
          <w:tcPr>
            <w:tcW w:w="1250" w:type="pct"/>
          </w:tcPr>
          <w:p w14:paraId="602E95A3"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rPr>
              <w:t>84</w:t>
            </w:r>
            <w:r w:rsidRPr="004135FE">
              <w:rPr>
                <w:rFonts w:ascii="Times New Roman" w:hAnsi="Times New Roman" w:cs="Times New Roman"/>
                <w:sz w:val="28"/>
                <w:szCs w:val="28"/>
                <w:shd w:val="clear" w:color="auto" w:fill="FFFFFF"/>
                <w:lang w:val="en-US"/>
              </w:rPr>
              <w:t>.6</w:t>
            </w:r>
          </w:p>
        </w:tc>
        <w:tc>
          <w:tcPr>
            <w:tcW w:w="1250" w:type="pct"/>
            <w:vMerge/>
          </w:tcPr>
          <w:p w14:paraId="762F7217"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p>
        </w:tc>
      </w:tr>
      <w:tr w:rsidR="007A2C38" w:rsidRPr="004135FE" w14:paraId="5F22264F" w14:textId="77777777" w:rsidTr="00A42E92">
        <w:tc>
          <w:tcPr>
            <w:tcW w:w="1250" w:type="pct"/>
          </w:tcPr>
          <w:p w14:paraId="422D0337" w14:textId="77777777" w:rsidR="007A2C38" w:rsidRPr="004135FE" w:rsidRDefault="007A2C38"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shd w:val="clear" w:color="auto" w:fill="FFFFFF"/>
              </w:rPr>
              <w:t>Пилатес</w:t>
            </w:r>
          </w:p>
        </w:tc>
        <w:tc>
          <w:tcPr>
            <w:tcW w:w="1250" w:type="pct"/>
          </w:tcPr>
          <w:p w14:paraId="53E12F0B"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rPr>
            </w:pPr>
            <w:r w:rsidRPr="004135FE">
              <w:rPr>
                <w:rFonts w:ascii="Times New Roman" w:hAnsi="Times New Roman" w:cs="Times New Roman"/>
                <w:sz w:val="28"/>
                <w:szCs w:val="28"/>
                <w:shd w:val="clear" w:color="auto" w:fill="FFFFFF"/>
              </w:rPr>
              <w:t>0</w:t>
            </w:r>
            <w:r w:rsidRPr="004135FE">
              <w:rPr>
                <w:rFonts w:ascii="Times New Roman" w:hAnsi="Times New Roman" w:cs="Times New Roman"/>
                <w:sz w:val="28"/>
                <w:szCs w:val="28"/>
                <w:shd w:val="clear" w:color="auto" w:fill="FFFFFF"/>
                <w:lang w:val="en-US"/>
              </w:rPr>
              <w:t>.</w:t>
            </w:r>
            <w:r w:rsidRPr="004135FE">
              <w:rPr>
                <w:rFonts w:ascii="Times New Roman" w:hAnsi="Times New Roman" w:cs="Times New Roman"/>
                <w:sz w:val="28"/>
                <w:szCs w:val="28"/>
                <w:shd w:val="clear" w:color="auto" w:fill="FFFFFF"/>
              </w:rPr>
              <w:t>5</w:t>
            </w:r>
          </w:p>
        </w:tc>
        <w:tc>
          <w:tcPr>
            <w:tcW w:w="1250" w:type="pct"/>
          </w:tcPr>
          <w:p w14:paraId="00D69F94"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rPr>
              <w:t>9</w:t>
            </w:r>
            <w:r w:rsidRPr="004135FE">
              <w:rPr>
                <w:rFonts w:ascii="Times New Roman" w:hAnsi="Times New Roman" w:cs="Times New Roman"/>
                <w:sz w:val="28"/>
                <w:szCs w:val="28"/>
                <w:shd w:val="clear" w:color="auto" w:fill="FFFFFF"/>
                <w:lang w:val="en-US"/>
              </w:rPr>
              <w:t>.</w:t>
            </w:r>
            <w:r w:rsidRPr="004135FE">
              <w:rPr>
                <w:rFonts w:ascii="Times New Roman" w:hAnsi="Times New Roman" w:cs="Times New Roman"/>
                <w:sz w:val="28"/>
                <w:szCs w:val="28"/>
                <w:shd w:val="clear" w:color="auto" w:fill="FFFFFF"/>
              </w:rPr>
              <w:t>1</w:t>
            </w:r>
          </w:p>
        </w:tc>
        <w:tc>
          <w:tcPr>
            <w:tcW w:w="1250" w:type="pct"/>
            <w:vMerge/>
          </w:tcPr>
          <w:p w14:paraId="44B4976E"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p>
        </w:tc>
      </w:tr>
    </w:tbl>
    <w:p w14:paraId="3C2497B7" w14:textId="77777777" w:rsidR="007A2C38" w:rsidRPr="00375695" w:rsidRDefault="007A2C38" w:rsidP="004135FE">
      <w:pPr>
        <w:spacing w:after="0" w:line="240" w:lineRule="auto"/>
        <w:jc w:val="both"/>
        <w:rPr>
          <w:rFonts w:ascii="Times New Roman" w:hAnsi="Times New Roman" w:cs="Times New Roman"/>
          <w:sz w:val="20"/>
          <w:szCs w:val="20"/>
        </w:rPr>
      </w:pPr>
    </w:p>
    <w:p w14:paraId="62DD1A59"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При этом 173 респондента ответили на вопрос о причине отказа от регулярных физических нагрузок. Однако наиболее частым ответом было «без особой причины» (43,3%). Еще у 7,8% пациентов мотивация отсутствовала. Среди остальных причин наиболее популярными были «Не могу позволить себе посещение спортивного центра» (18,6%), «Проблемы с сердцем» (17,6%), «Плохой гликемический контроль» (7,2%) и «Ортостатическая гипотензия» (5,2%). Таким образом, медицинские причины составляли менее одной трети всех заявленных причин НФА.</w:t>
      </w:r>
    </w:p>
    <w:p w14:paraId="5748C47D" w14:textId="77777777" w:rsidR="007A2C38" w:rsidRPr="004135FE" w:rsidRDefault="007A2C38" w:rsidP="004135FE">
      <w:pPr>
        <w:spacing w:after="0" w:line="240" w:lineRule="auto"/>
        <w:ind w:firstLine="567"/>
        <w:jc w:val="both"/>
        <w:rPr>
          <w:rFonts w:ascii="Times New Roman" w:hAnsi="Times New Roman" w:cs="Times New Roman"/>
          <w:sz w:val="28"/>
          <w:szCs w:val="28"/>
        </w:rPr>
      </w:pPr>
      <w:r w:rsidRPr="004135FE">
        <w:rPr>
          <w:rFonts w:ascii="Times New Roman" w:hAnsi="Times New Roman" w:cs="Times New Roman"/>
          <w:sz w:val="28"/>
          <w:szCs w:val="28"/>
        </w:rPr>
        <w:t>Всего 49,8% участников исследования сообщили, что не получали индивидуальной консультации по ФА. 11,9% респондентов сообщили, что они сами принимали решение о продолжительности, интенсивности и частоте физических нагрузок. Однако 11,0%, 7,3% и 2,5% пациентов заявили, что их ФА определялась эндокринологом, кардиологом и неврологом соответственно. В 6,5% случаев рекомендации по ФА давали терапевты, а в 6% - в школах диабета.</w:t>
      </w:r>
    </w:p>
    <w:p w14:paraId="1DA6C86D" w14:textId="0A8E1F94" w:rsidR="007A2C38" w:rsidRPr="004135FE" w:rsidRDefault="007A2C38" w:rsidP="004135FE">
      <w:pPr>
        <w:spacing w:after="0" w:line="240" w:lineRule="auto"/>
        <w:ind w:firstLine="567"/>
        <w:jc w:val="both"/>
        <w:rPr>
          <w:rFonts w:ascii="Times New Roman" w:hAnsi="Times New Roman" w:cs="Times New Roman"/>
          <w:sz w:val="28"/>
          <w:szCs w:val="28"/>
        </w:rPr>
      </w:pPr>
      <w:r w:rsidRPr="004135FE">
        <w:rPr>
          <w:rFonts w:ascii="Times New Roman" w:hAnsi="Times New Roman" w:cs="Times New Roman"/>
          <w:sz w:val="28"/>
          <w:szCs w:val="28"/>
        </w:rPr>
        <w:t>Доля пациентов с НФА варьировала от 33,3%, если ФА была рекомендована неврологом, и 64,5% среди пациентов, которые не получа</w:t>
      </w:r>
      <w:r w:rsidR="003C3318" w:rsidRPr="004135FE">
        <w:rPr>
          <w:rFonts w:ascii="Times New Roman" w:hAnsi="Times New Roman" w:cs="Times New Roman"/>
          <w:sz w:val="28"/>
          <w:szCs w:val="28"/>
        </w:rPr>
        <w:t>ли консультации по ФА (Таблица 3</w:t>
      </w:r>
      <w:r w:rsidR="00B728EF" w:rsidRPr="004135FE">
        <w:rPr>
          <w:rFonts w:ascii="Times New Roman" w:hAnsi="Times New Roman" w:cs="Times New Roman"/>
          <w:sz w:val="28"/>
          <w:szCs w:val="28"/>
        </w:rPr>
        <w:t>5</w:t>
      </w:r>
      <w:r w:rsidRPr="004135FE">
        <w:rPr>
          <w:rFonts w:ascii="Times New Roman" w:hAnsi="Times New Roman" w:cs="Times New Roman"/>
          <w:sz w:val="28"/>
          <w:szCs w:val="28"/>
        </w:rPr>
        <w:t xml:space="preserve">). Поскольку результаты не достигли уровня статистической значимости, мы не смогли выполнить многомерное моделирование для изучения независимых ассоциаций между этой переменной с поправкой на социально-экономические характеристики пациентов и их образ жизни. </w:t>
      </w:r>
    </w:p>
    <w:p w14:paraId="2263CF59" w14:textId="77777777" w:rsidR="007A2C38" w:rsidRPr="00375695" w:rsidRDefault="007A2C38" w:rsidP="004135FE">
      <w:pPr>
        <w:spacing w:after="0" w:line="240" w:lineRule="auto"/>
        <w:jc w:val="both"/>
        <w:rPr>
          <w:rFonts w:ascii="Times New Roman" w:hAnsi="Times New Roman" w:cs="Times New Roman"/>
          <w:sz w:val="16"/>
          <w:szCs w:val="16"/>
        </w:rPr>
      </w:pPr>
    </w:p>
    <w:p w14:paraId="6A164353" w14:textId="01B88EBB" w:rsidR="007A2C38" w:rsidRDefault="003C3318" w:rsidP="00375695">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Таблица 3</w:t>
      </w:r>
      <w:r w:rsidR="00B728EF" w:rsidRPr="004135FE">
        <w:rPr>
          <w:rFonts w:ascii="Times New Roman" w:hAnsi="Times New Roman" w:cs="Times New Roman"/>
          <w:sz w:val="28"/>
          <w:szCs w:val="28"/>
        </w:rPr>
        <w:t>5</w:t>
      </w:r>
      <w:r w:rsidR="00375695">
        <w:rPr>
          <w:rFonts w:ascii="Times New Roman" w:hAnsi="Times New Roman" w:cs="Times New Roman"/>
          <w:sz w:val="28"/>
          <w:szCs w:val="28"/>
        </w:rPr>
        <w:t xml:space="preserve"> </w:t>
      </w:r>
      <w:r w:rsidR="007A2C38" w:rsidRPr="004135FE">
        <w:rPr>
          <w:rFonts w:ascii="Times New Roman" w:hAnsi="Times New Roman" w:cs="Times New Roman"/>
          <w:sz w:val="28"/>
          <w:szCs w:val="28"/>
        </w:rPr>
        <w:t>- Связь между долей лиц с НФА и источником рекомендаций по ФА</w:t>
      </w:r>
    </w:p>
    <w:p w14:paraId="163EC92D" w14:textId="77777777" w:rsidR="00375695" w:rsidRPr="00375695" w:rsidRDefault="00375695" w:rsidP="00375695">
      <w:pPr>
        <w:spacing w:after="0" w:line="240" w:lineRule="auto"/>
        <w:jc w:val="both"/>
        <w:rPr>
          <w:rFonts w:ascii="Times New Roman" w:hAnsi="Times New Roman" w:cs="Times New Roman"/>
          <w:b/>
          <w:sz w:val="20"/>
          <w:szCs w:val="20"/>
        </w:rPr>
      </w:pPr>
    </w:p>
    <w:tbl>
      <w:tblPr>
        <w:tblStyle w:val="af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8"/>
        <w:gridCol w:w="1560"/>
        <w:gridCol w:w="1916"/>
        <w:gridCol w:w="2330"/>
      </w:tblGrid>
      <w:tr w:rsidR="007A2C38" w:rsidRPr="004135FE" w14:paraId="670FE15F" w14:textId="77777777" w:rsidTr="00A42E92">
        <w:tc>
          <w:tcPr>
            <w:tcW w:w="1893" w:type="pct"/>
          </w:tcPr>
          <w:p w14:paraId="7321B79E"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rPr>
              <w:t>Источник</w:t>
            </w:r>
          </w:p>
        </w:tc>
        <w:tc>
          <w:tcPr>
            <w:tcW w:w="835" w:type="pct"/>
          </w:tcPr>
          <w:p w14:paraId="6F8E1AE3"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w:t>
            </w:r>
          </w:p>
        </w:tc>
        <w:tc>
          <w:tcPr>
            <w:tcW w:w="1025" w:type="pct"/>
          </w:tcPr>
          <w:p w14:paraId="39AA6549"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 xml:space="preserve">% </w:t>
            </w:r>
            <w:r w:rsidRPr="004135FE">
              <w:rPr>
                <w:rFonts w:ascii="Times New Roman" w:hAnsi="Times New Roman" w:cs="Times New Roman"/>
                <w:sz w:val="28"/>
                <w:szCs w:val="28"/>
              </w:rPr>
              <w:t>НФА</w:t>
            </w:r>
          </w:p>
        </w:tc>
        <w:tc>
          <w:tcPr>
            <w:tcW w:w="1247" w:type="pct"/>
          </w:tcPr>
          <w:p w14:paraId="58FC6DDF" w14:textId="77777777" w:rsidR="007A2C38" w:rsidRPr="004135FE" w:rsidRDefault="007A2C38" w:rsidP="00077E0F">
            <w:pPr>
              <w:spacing w:after="0" w:line="240" w:lineRule="auto"/>
              <w:jc w:val="center"/>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P</w:t>
            </w:r>
          </w:p>
        </w:tc>
      </w:tr>
      <w:tr w:rsidR="007A2C38" w:rsidRPr="004135FE" w14:paraId="5CED985F" w14:textId="77777777" w:rsidTr="00A42E92">
        <w:tc>
          <w:tcPr>
            <w:tcW w:w="1893" w:type="pct"/>
          </w:tcPr>
          <w:p w14:paraId="6745DFC9"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rPr>
              <w:t>Консультации нет</w:t>
            </w:r>
          </w:p>
        </w:tc>
        <w:tc>
          <w:tcPr>
            <w:tcW w:w="835" w:type="pct"/>
          </w:tcPr>
          <w:p w14:paraId="7EA71FE5"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rPr>
            </w:pPr>
            <w:r w:rsidRPr="004135FE">
              <w:rPr>
                <w:rFonts w:ascii="Times New Roman" w:hAnsi="Times New Roman" w:cs="Times New Roman"/>
                <w:sz w:val="28"/>
                <w:szCs w:val="28"/>
                <w:shd w:val="clear" w:color="auto" w:fill="FFFFFF"/>
              </w:rPr>
              <w:t>61.7</w:t>
            </w:r>
          </w:p>
        </w:tc>
        <w:tc>
          <w:tcPr>
            <w:tcW w:w="1025" w:type="pct"/>
          </w:tcPr>
          <w:p w14:paraId="6C7F9A63"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64.5</w:t>
            </w:r>
          </w:p>
        </w:tc>
        <w:tc>
          <w:tcPr>
            <w:tcW w:w="1247" w:type="pct"/>
            <w:vMerge w:val="restart"/>
          </w:tcPr>
          <w:p w14:paraId="7652AE17" w14:textId="77777777" w:rsidR="007A2C38" w:rsidRPr="004135FE" w:rsidRDefault="007A2C38" w:rsidP="00077E0F">
            <w:pPr>
              <w:spacing w:after="0" w:line="240" w:lineRule="auto"/>
              <w:jc w:val="center"/>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rPr>
              <w:t>0</w:t>
            </w:r>
            <w:r w:rsidRPr="004135FE">
              <w:rPr>
                <w:rFonts w:ascii="Times New Roman" w:hAnsi="Times New Roman" w:cs="Times New Roman"/>
                <w:sz w:val="28"/>
                <w:szCs w:val="28"/>
                <w:shd w:val="clear" w:color="auto" w:fill="FFFFFF"/>
                <w:lang w:val="en-US"/>
              </w:rPr>
              <w:t>.</w:t>
            </w:r>
            <w:r w:rsidRPr="004135FE">
              <w:rPr>
                <w:rFonts w:ascii="Times New Roman" w:hAnsi="Times New Roman" w:cs="Times New Roman"/>
                <w:sz w:val="28"/>
                <w:szCs w:val="28"/>
                <w:shd w:val="clear" w:color="auto" w:fill="FFFFFF"/>
              </w:rPr>
              <w:t>074</w:t>
            </w:r>
          </w:p>
        </w:tc>
      </w:tr>
      <w:tr w:rsidR="007A2C38" w:rsidRPr="004135FE" w14:paraId="3DB468F8" w14:textId="77777777" w:rsidTr="00A42E92">
        <w:tc>
          <w:tcPr>
            <w:tcW w:w="1893" w:type="pct"/>
          </w:tcPr>
          <w:p w14:paraId="21FB63A2"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rPr>
              <w:t>Кардиолог</w:t>
            </w:r>
          </w:p>
        </w:tc>
        <w:tc>
          <w:tcPr>
            <w:tcW w:w="835" w:type="pct"/>
          </w:tcPr>
          <w:p w14:paraId="4429FFA4"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rPr>
              <w:t>7</w:t>
            </w:r>
            <w:r w:rsidRPr="004135FE">
              <w:rPr>
                <w:rFonts w:ascii="Times New Roman" w:hAnsi="Times New Roman" w:cs="Times New Roman"/>
                <w:sz w:val="28"/>
                <w:szCs w:val="28"/>
                <w:shd w:val="clear" w:color="auto" w:fill="FFFFFF"/>
                <w:lang w:val="en-US"/>
              </w:rPr>
              <w:t>.3</w:t>
            </w:r>
          </w:p>
        </w:tc>
        <w:tc>
          <w:tcPr>
            <w:tcW w:w="1025" w:type="pct"/>
          </w:tcPr>
          <w:p w14:paraId="1A40FC7D"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60.0</w:t>
            </w:r>
          </w:p>
        </w:tc>
        <w:tc>
          <w:tcPr>
            <w:tcW w:w="1247" w:type="pct"/>
            <w:vMerge/>
          </w:tcPr>
          <w:p w14:paraId="4A230CF1"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p>
        </w:tc>
      </w:tr>
      <w:tr w:rsidR="007A2C38" w:rsidRPr="004135FE" w14:paraId="6F8DDDA3" w14:textId="77777777" w:rsidTr="00A42E92">
        <w:tc>
          <w:tcPr>
            <w:tcW w:w="1893" w:type="pct"/>
          </w:tcPr>
          <w:p w14:paraId="4D2BCFC1"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rPr>
              <w:t>Невролог</w:t>
            </w:r>
          </w:p>
        </w:tc>
        <w:tc>
          <w:tcPr>
            <w:tcW w:w="835" w:type="pct"/>
          </w:tcPr>
          <w:p w14:paraId="24CDFAE7"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2.5</w:t>
            </w:r>
          </w:p>
        </w:tc>
        <w:tc>
          <w:tcPr>
            <w:tcW w:w="1025" w:type="pct"/>
          </w:tcPr>
          <w:p w14:paraId="0D1F36F4"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33.3</w:t>
            </w:r>
          </w:p>
        </w:tc>
        <w:tc>
          <w:tcPr>
            <w:tcW w:w="1247" w:type="pct"/>
            <w:vMerge/>
          </w:tcPr>
          <w:p w14:paraId="018BE99D"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p>
        </w:tc>
      </w:tr>
      <w:tr w:rsidR="007A2C38" w:rsidRPr="004135FE" w14:paraId="6F1A1C0C" w14:textId="77777777" w:rsidTr="00A42E92">
        <w:tc>
          <w:tcPr>
            <w:tcW w:w="1893" w:type="pct"/>
          </w:tcPr>
          <w:p w14:paraId="307C997F"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rPr>
              <w:t>Эндокринолог</w:t>
            </w:r>
          </w:p>
        </w:tc>
        <w:tc>
          <w:tcPr>
            <w:tcW w:w="835" w:type="pct"/>
          </w:tcPr>
          <w:p w14:paraId="37197614"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11.0</w:t>
            </w:r>
          </w:p>
        </w:tc>
        <w:tc>
          <w:tcPr>
            <w:tcW w:w="1025" w:type="pct"/>
          </w:tcPr>
          <w:p w14:paraId="66D3A80B"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58.5</w:t>
            </w:r>
          </w:p>
        </w:tc>
        <w:tc>
          <w:tcPr>
            <w:tcW w:w="1247" w:type="pct"/>
            <w:vMerge/>
          </w:tcPr>
          <w:p w14:paraId="60E29279"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p>
        </w:tc>
      </w:tr>
      <w:tr w:rsidR="007A2C38" w:rsidRPr="004135FE" w14:paraId="134D1249" w14:textId="77777777" w:rsidTr="00A42E92">
        <w:tc>
          <w:tcPr>
            <w:tcW w:w="1893" w:type="pct"/>
          </w:tcPr>
          <w:p w14:paraId="57B2EE5F"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rPr>
              <w:t>Медсестра эндокринолога</w:t>
            </w:r>
          </w:p>
        </w:tc>
        <w:tc>
          <w:tcPr>
            <w:tcW w:w="835" w:type="pct"/>
          </w:tcPr>
          <w:p w14:paraId="066F8FA7"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2.7</w:t>
            </w:r>
          </w:p>
        </w:tc>
        <w:tc>
          <w:tcPr>
            <w:tcW w:w="1025" w:type="pct"/>
          </w:tcPr>
          <w:p w14:paraId="00E6A4AE"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61.5</w:t>
            </w:r>
          </w:p>
        </w:tc>
        <w:tc>
          <w:tcPr>
            <w:tcW w:w="1247" w:type="pct"/>
            <w:vMerge/>
          </w:tcPr>
          <w:p w14:paraId="2B4864BB"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p>
        </w:tc>
      </w:tr>
      <w:tr w:rsidR="007A2C38" w:rsidRPr="004135FE" w14:paraId="7354EB13" w14:textId="77777777" w:rsidTr="00A42E92">
        <w:tc>
          <w:tcPr>
            <w:tcW w:w="1893" w:type="pct"/>
          </w:tcPr>
          <w:p w14:paraId="0EC329EA"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rPr>
              <w:t>Врач общей практики</w:t>
            </w:r>
          </w:p>
        </w:tc>
        <w:tc>
          <w:tcPr>
            <w:tcW w:w="835" w:type="pct"/>
          </w:tcPr>
          <w:p w14:paraId="702BB85B"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6.5</w:t>
            </w:r>
          </w:p>
        </w:tc>
        <w:tc>
          <w:tcPr>
            <w:tcW w:w="1025" w:type="pct"/>
          </w:tcPr>
          <w:p w14:paraId="584C620C"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61.3</w:t>
            </w:r>
          </w:p>
        </w:tc>
        <w:tc>
          <w:tcPr>
            <w:tcW w:w="1247" w:type="pct"/>
            <w:vMerge/>
          </w:tcPr>
          <w:p w14:paraId="055A46A5"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p>
        </w:tc>
      </w:tr>
      <w:tr w:rsidR="007A2C38" w:rsidRPr="004135FE" w14:paraId="60909AC9" w14:textId="77777777" w:rsidTr="00A42E92">
        <w:tc>
          <w:tcPr>
            <w:tcW w:w="1893" w:type="pct"/>
          </w:tcPr>
          <w:p w14:paraId="1BCB2E84"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rPr>
              <w:t>Школа диабета</w:t>
            </w:r>
          </w:p>
        </w:tc>
        <w:tc>
          <w:tcPr>
            <w:tcW w:w="835" w:type="pct"/>
          </w:tcPr>
          <w:p w14:paraId="5CC4461C"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6.0</w:t>
            </w:r>
          </w:p>
        </w:tc>
        <w:tc>
          <w:tcPr>
            <w:tcW w:w="1025" w:type="pct"/>
          </w:tcPr>
          <w:p w14:paraId="70C276F0"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41.4</w:t>
            </w:r>
          </w:p>
        </w:tc>
        <w:tc>
          <w:tcPr>
            <w:tcW w:w="1247" w:type="pct"/>
            <w:vMerge/>
          </w:tcPr>
          <w:p w14:paraId="6F59BC10"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p>
        </w:tc>
      </w:tr>
      <w:tr w:rsidR="00375695" w:rsidRPr="004135FE" w14:paraId="1C7D6390" w14:textId="77777777" w:rsidTr="00A42E92">
        <w:tc>
          <w:tcPr>
            <w:tcW w:w="1893" w:type="pct"/>
          </w:tcPr>
          <w:p w14:paraId="28323F19" w14:textId="7FDF7F60" w:rsidR="00375695" w:rsidRPr="004135FE" w:rsidRDefault="00375695" w:rsidP="00375695">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Инструктор</w:t>
            </w:r>
            <w:r>
              <w:rPr>
                <w:rFonts w:ascii="Times New Roman" w:hAnsi="Times New Roman" w:cs="Times New Roman"/>
                <w:sz w:val="28"/>
                <w:szCs w:val="28"/>
              </w:rPr>
              <w:t xml:space="preserve"> спорт.центра</w:t>
            </w:r>
          </w:p>
        </w:tc>
        <w:tc>
          <w:tcPr>
            <w:tcW w:w="835" w:type="pct"/>
          </w:tcPr>
          <w:p w14:paraId="2AAB7A93" w14:textId="5BF89DA4" w:rsidR="00375695" w:rsidRPr="004135FE" w:rsidRDefault="00375695" w:rsidP="00375695">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2.3</w:t>
            </w:r>
          </w:p>
        </w:tc>
        <w:tc>
          <w:tcPr>
            <w:tcW w:w="1025" w:type="pct"/>
          </w:tcPr>
          <w:p w14:paraId="0F8A20BD" w14:textId="6BC496B5" w:rsidR="00375695" w:rsidRPr="004135FE" w:rsidRDefault="00375695" w:rsidP="00375695">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36.4</w:t>
            </w:r>
          </w:p>
        </w:tc>
        <w:tc>
          <w:tcPr>
            <w:tcW w:w="1247" w:type="pct"/>
            <w:vMerge/>
          </w:tcPr>
          <w:p w14:paraId="4116A324" w14:textId="77777777" w:rsidR="00375695" w:rsidRPr="004135FE" w:rsidRDefault="00375695" w:rsidP="00375695">
            <w:pPr>
              <w:spacing w:after="0" w:line="240" w:lineRule="auto"/>
              <w:jc w:val="both"/>
              <w:rPr>
                <w:rFonts w:ascii="Times New Roman" w:hAnsi="Times New Roman" w:cs="Times New Roman"/>
                <w:sz w:val="28"/>
                <w:szCs w:val="28"/>
                <w:shd w:val="clear" w:color="auto" w:fill="FFFFFF"/>
                <w:lang w:val="en-US"/>
              </w:rPr>
            </w:pPr>
          </w:p>
        </w:tc>
      </w:tr>
    </w:tbl>
    <w:p w14:paraId="28D75DBA" w14:textId="4989C4B4" w:rsidR="007A2C38" w:rsidRPr="004135FE" w:rsidRDefault="007A2C38"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Что касается места, где пациенты делают упражнения, на этот вопрос ответили 366 пациентов, а остальные сообщили, что они вообще не занимались. Большинство из них занимались дома. Доля тех, кто не достигла рекомендованного уровня ФА, колебалась от 21,6% среди пользователей платных спортивных центров до 67,8% среди тех, кто занимался дома (</w:t>
      </w:r>
      <w:r w:rsidR="00375695">
        <w:rPr>
          <w:rFonts w:ascii="Times New Roman" w:hAnsi="Times New Roman" w:cs="Times New Roman"/>
          <w:sz w:val="28"/>
          <w:szCs w:val="28"/>
        </w:rPr>
        <w:t>т</w:t>
      </w:r>
      <w:r w:rsidRPr="004135FE">
        <w:rPr>
          <w:rFonts w:ascii="Times New Roman" w:hAnsi="Times New Roman" w:cs="Times New Roman"/>
          <w:sz w:val="28"/>
          <w:szCs w:val="28"/>
        </w:rPr>
        <w:t xml:space="preserve">аблица </w:t>
      </w:r>
      <w:r w:rsidR="00B728EF" w:rsidRPr="004135FE">
        <w:rPr>
          <w:rFonts w:ascii="Times New Roman" w:hAnsi="Times New Roman" w:cs="Times New Roman"/>
          <w:sz w:val="28"/>
          <w:szCs w:val="28"/>
        </w:rPr>
        <w:t>36</w:t>
      </w:r>
      <w:r w:rsidRPr="004135FE">
        <w:rPr>
          <w:rFonts w:ascii="Times New Roman" w:hAnsi="Times New Roman" w:cs="Times New Roman"/>
          <w:sz w:val="28"/>
          <w:szCs w:val="28"/>
        </w:rPr>
        <w:t xml:space="preserve">). </w:t>
      </w:r>
    </w:p>
    <w:p w14:paraId="69338089" w14:textId="77777777" w:rsidR="007A2C38" w:rsidRPr="004135FE" w:rsidRDefault="007A2C38" w:rsidP="004135FE">
      <w:pPr>
        <w:spacing w:after="0" w:line="240" w:lineRule="auto"/>
        <w:jc w:val="both"/>
        <w:rPr>
          <w:rFonts w:ascii="Times New Roman" w:hAnsi="Times New Roman" w:cs="Times New Roman"/>
          <w:sz w:val="28"/>
          <w:szCs w:val="28"/>
        </w:rPr>
      </w:pPr>
    </w:p>
    <w:p w14:paraId="77D6EB0C" w14:textId="739225A9" w:rsidR="007A2C38" w:rsidRDefault="007A2C38" w:rsidP="00375695">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Таблица </w:t>
      </w:r>
      <w:r w:rsidR="00B728EF" w:rsidRPr="004135FE">
        <w:rPr>
          <w:rFonts w:ascii="Times New Roman" w:hAnsi="Times New Roman" w:cs="Times New Roman"/>
          <w:sz w:val="28"/>
          <w:szCs w:val="28"/>
        </w:rPr>
        <w:t>36</w:t>
      </w:r>
      <w:r w:rsidR="00375695">
        <w:rPr>
          <w:rFonts w:ascii="Times New Roman" w:hAnsi="Times New Roman" w:cs="Times New Roman"/>
          <w:sz w:val="28"/>
          <w:szCs w:val="28"/>
        </w:rPr>
        <w:t xml:space="preserve"> </w:t>
      </w:r>
      <w:r w:rsidRPr="004135FE">
        <w:rPr>
          <w:rFonts w:ascii="Times New Roman" w:hAnsi="Times New Roman" w:cs="Times New Roman"/>
          <w:sz w:val="28"/>
          <w:szCs w:val="28"/>
        </w:rPr>
        <w:t>- Связь между долей лиц с НФА и местом выполнения упражнений</w:t>
      </w:r>
    </w:p>
    <w:p w14:paraId="48BBAD12" w14:textId="77777777" w:rsidR="00375695" w:rsidRPr="004135FE" w:rsidRDefault="00375695" w:rsidP="00375695">
      <w:pPr>
        <w:spacing w:after="0" w:line="240" w:lineRule="auto"/>
        <w:jc w:val="both"/>
        <w:rPr>
          <w:rFonts w:ascii="Times New Roman" w:hAnsi="Times New Roman" w:cs="Times New Roman"/>
          <w:sz w:val="28"/>
          <w:szCs w:val="28"/>
        </w:rPr>
      </w:pPr>
    </w:p>
    <w:tbl>
      <w:tblPr>
        <w:tblStyle w:val="af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8"/>
        <w:gridCol w:w="1560"/>
        <w:gridCol w:w="1916"/>
        <w:gridCol w:w="2330"/>
      </w:tblGrid>
      <w:tr w:rsidR="007A2C38" w:rsidRPr="004135FE" w14:paraId="335650B7" w14:textId="77777777" w:rsidTr="00A42E92">
        <w:tc>
          <w:tcPr>
            <w:tcW w:w="1893" w:type="pct"/>
          </w:tcPr>
          <w:p w14:paraId="0B041F0D" w14:textId="77777777" w:rsidR="007A2C38" w:rsidRPr="004135FE" w:rsidRDefault="007A2C38" w:rsidP="004135FE">
            <w:pPr>
              <w:spacing w:after="0" w:line="240" w:lineRule="auto"/>
              <w:ind w:firstLine="567"/>
              <w:jc w:val="both"/>
              <w:rPr>
                <w:rFonts w:ascii="Times New Roman" w:hAnsi="Times New Roman" w:cs="Times New Roman"/>
                <w:sz w:val="28"/>
                <w:szCs w:val="28"/>
                <w:shd w:val="clear" w:color="auto" w:fill="FFFFFF"/>
              </w:rPr>
            </w:pPr>
            <w:r w:rsidRPr="004135FE">
              <w:rPr>
                <w:rFonts w:ascii="Times New Roman" w:hAnsi="Times New Roman" w:cs="Times New Roman"/>
                <w:sz w:val="28"/>
                <w:szCs w:val="28"/>
                <w:shd w:val="clear" w:color="auto" w:fill="FFFFFF"/>
              </w:rPr>
              <w:t>Место</w:t>
            </w:r>
          </w:p>
        </w:tc>
        <w:tc>
          <w:tcPr>
            <w:tcW w:w="835" w:type="pct"/>
          </w:tcPr>
          <w:p w14:paraId="3827FA95" w14:textId="77777777" w:rsidR="007A2C38" w:rsidRPr="004135FE" w:rsidRDefault="007A2C38" w:rsidP="00B270B3">
            <w:pPr>
              <w:spacing w:after="0" w:line="240" w:lineRule="auto"/>
              <w:ind w:firstLine="567"/>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w:t>
            </w:r>
          </w:p>
        </w:tc>
        <w:tc>
          <w:tcPr>
            <w:tcW w:w="1025" w:type="pct"/>
          </w:tcPr>
          <w:p w14:paraId="70C4FD31" w14:textId="77777777" w:rsidR="007A2C38" w:rsidRPr="004135FE" w:rsidRDefault="007A2C38" w:rsidP="00B270B3">
            <w:pPr>
              <w:spacing w:after="0" w:line="240" w:lineRule="auto"/>
              <w:ind w:firstLine="567"/>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 xml:space="preserve">% </w:t>
            </w:r>
            <w:r w:rsidRPr="004135FE">
              <w:rPr>
                <w:rFonts w:ascii="Times New Roman" w:hAnsi="Times New Roman" w:cs="Times New Roman"/>
                <w:sz w:val="28"/>
                <w:szCs w:val="28"/>
              </w:rPr>
              <w:t>НФА</w:t>
            </w:r>
          </w:p>
        </w:tc>
        <w:tc>
          <w:tcPr>
            <w:tcW w:w="1247" w:type="pct"/>
          </w:tcPr>
          <w:p w14:paraId="5032438D" w14:textId="77777777" w:rsidR="007A2C38" w:rsidRPr="004135FE" w:rsidRDefault="007A2C38" w:rsidP="00077E0F">
            <w:pPr>
              <w:spacing w:after="0" w:line="240" w:lineRule="auto"/>
              <w:ind w:hanging="36"/>
              <w:jc w:val="center"/>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P</w:t>
            </w:r>
          </w:p>
        </w:tc>
      </w:tr>
      <w:tr w:rsidR="007A2C38" w:rsidRPr="004135FE" w14:paraId="0838F994" w14:textId="77777777" w:rsidTr="00A42E92">
        <w:tc>
          <w:tcPr>
            <w:tcW w:w="1893" w:type="pct"/>
          </w:tcPr>
          <w:p w14:paraId="116343D1"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Дом</w:t>
            </w:r>
          </w:p>
        </w:tc>
        <w:tc>
          <w:tcPr>
            <w:tcW w:w="835" w:type="pct"/>
          </w:tcPr>
          <w:p w14:paraId="282D5968" w14:textId="77777777" w:rsidR="007A2C38" w:rsidRPr="004135FE" w:rsidRDefault="007A2C38" w:rsidP="00B270B3">
            <w:pPr>
              <w:spacing w:after="0" w:line="240" w:lineRule="auto"/>
              <w:ind w:firstLine="567"/>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33.1</w:t>
            </w:r>
          </w:p>
        </w:tc>
        <w:tc>
          <w:tcPr>
            <w:tcW w:w="1025" w:type="pct"/>
          </w:tcPr>
          <w:p w14:paraId="6ECBB243" w14:textId="77777777" w:rsidR="007A2C38" w:rsidRPr="004135FE" w:rsidRDefault="007A2C38" w:rsidP="00B270B3">
            <w:pPr>
              <w:spacing w:after="0" w:line="240" w:lineRule="auto"/>
              <w:ind w:firstLine="567"/>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68.7</w:t>
            </w:r>
          </w:p>
        </w:tc>
        <w:tc>
          <w:tcPr>
            <w:tcW w:w="1247" w:type="pct"/>
            <w:vMerge w:val="restart"/>
          </w:tcPr>
          <w:p w14:paraId="1782991F" w14:textId="77777777" w:rsidR="007A2C38" w:rsidRPr="004135FE" w:rsidRDefault="007A2C38" w:rsidP="00077E0F">
            <w:pPr>
              <w:spacing w:after="0" w:line="240" w:lineRule="auto"/>
              <w:ind w:hanging="36"/>
              <w:jc w:val="center"/>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&lt; 0.001</w:t>
            </w:r>
          </w:p>
        </w:tc>
      </w:tr>
      <w:tr w:rsidR="007A2C38" w:rsidRPr="004135FE" w14:paraId="0B3FE3F1" w14:textId="77777777" w:rsidTr="00A42E92">
        <w:tc>
          <w:tcPr>
            <w:tcW w:w="1893" w:type="pct"/>
          </w:tcPr>
          <w:p w14:paraId="0CCB68E7"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rPr>
              <w:t>Прилегающие территории</w:t>
            </w:r>
          </w:p>
        </w:tc>
        <w:tc>
          <w:tcPr>
            <w:tcW w:w="835" w:type="pct"/>
          </w:tcPr>
          <w:p w14:paraId="728419FE" w14:textId="77777777" w:rsidR="007A2C38" w:rsidRPr="004135FE" w:rsidRDefault="007A2C38" w:rsidP="00B270B3">
            <w:pPr>
              <w:spacing w:after="0" w:line="240" w:lineRule="auto"/>
              <w:ind w:firstLine="567"/>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28.7</w:t>
            </w:r>
          </w:p>
        </w:tc>
        <w:tc>
          <w:tcPr>
            <w:tcW w:w="1025" w:type="pct"/>
          </w:tcPr>
          <w:p w14:paraId="50E60854" w14:textId="77777777" w:rsidR="007A2C38" w:rsidRPr="004135FE" w:rsidRDefault="007A2C38" w:rsidP="00B270B3">
            <w:pPr>
              <w:spacing w:after="0" w:line="240" w:lineRule="auto"/>
              <w:ind w:firstLine="567"/>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56.2</w:t>
            </w:r>
          </w:p>
        </w:tc>
        <w:tc>
          <w:tcPr>
            <w:tcW w:w="1247" w:type="pct"/>
            <w:vMerge/>
          </w:tcPr>
          <w:p w14:paraId="23DA5D74" w14:textId="77777777" w:rsidR="007A2C38" w:rsidRPr="004135FE" w:rsidRDefault="007A2C38" w:rsidP="004135FE">
            <w:pPr>
              <w:spacing w:after="0" w:line="240" w:lineRule="auto"/>
              <w:ind w:firstLine="567"/>
              <w:jc w:val="center"/>
              <w:rPr>
                <w:rFonts w:ascii="Times New Roman" w:hAnsi="Times New Roman" w:cs="Times New Roman"/>
                <w:sz w:val="28"/>
                <w:szCs w:val="28"/>
                <w:shd w:val="clear" w:color="auto" w:fill="FFFFFF"/>
                <w:lang w:val="en-US"/>
              </w:rPr>
            </w:pPr>
          </w:p>
        </w:tc>
      </w:tr>
      <w:tr w:rsidR="007A2C38" w:rsidRPr="004135FE" w14:paraId="30B9A3A3" w14:textId="77777777" w:rsidTr="00A42E92">
        <w:tc>
          <w:tcPr>
            <w:tcW w:w="1893" w:type="pct"/>
          </w:tcPr>
          <w:p w14:paraId="2D183BE4"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rPr>
              <w:t>Платные спортивные центры</w:t>
            </w:r>
          </w:p>
        </w:tc>
        <w:tc>
          <w:tcPr>
            <w:tcW w:w="835" w:type="pct"/>
          </w:tcPr>
          <w:p w14:paraId="15BE5B2B" w14:textId="77777777" w:rsidR="007A2C38" w:rsidRPr="004135FE" w:rsidRDefault="007A2C38" w:rsidP="00B270B3">
            <w:pPr>
              <w:spacing w:after="0" w:line="240" w:lineRule="auto"/>
              <w:ind w:firstLine="567"/>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24.0</w:t>
            </w:r>
          </w:p>
        </w:tc>
        <w:tc>
          <w:tcPr>
            <w:tcW w:w="1025" w:type="pct"/>
          </w:tcPr>
          <w:p w14:paraId="42BC4315" w14:textId="77777777" w:rsidR="007A2C38" w:rsidRPr="004135FE" w:rsidRDefault="007A2C38" w:rsidP="00B270B3">
            <w:pPr>
              <w:spacing w:after="0" w:line="240" w:lineRule="auto"/>
              <w:ind w:firstLine="567"/>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21.6</w:t>
            </w:r>
          </w:p>
        </w:tc>
        <w:tc>
          <w:tcPr>
            <w:tcW w:w="1247" w:type="pct"/>
            <w:vMerge/>
          </w:tcPr>
          <w:p w14:paraId="4B665AE3" w14:textId="77777777" w:rsidR="007A2C38" w:rsidRPr="004135FE" w:rsidRDefault="007A2C38" w:rsidP="004135FE">
            <w:pPr>
              <w:spacing w:after="0" w:line="240" w:lineRule="auto"/>
              <w:ind w:firstLine="567"/>
              <w:jc w:val="center"/>
              <w:rPr>
                <w:rFonts w:ascii="Times New Roman" w:hAnsi="Times New Roman" w:cs="Times New Roman"/>
                <w:sz w:val="28"/>
                <w:szCs w:val="28"/>
                <w:shd w:val="clear" w:color="auto" w:fill="FFFFFF"/>
                <w:lang w:val="en-US"/>
              </w:rPr>
            </w:pPr>
          </w:p>
        </w:tc>
      </w:tr>
      <w:tr w:rsidR="007A2C38" w:rsidRPr="004135FE" w14:paraId="19334314" w14:textId="77777777" w:rsidTr="00A42E92">
        <w:tc>
          <w:tcPr>
            <w:tcW w:w="1893" w:type="pct"/>
          </w:tcPr>
          <w:p w14:paraId="5CC770A4" w14:textId="77777777" w:rsidR="007A2C38" w:rsidRPr="004135FE" w:rsidRDefault="007A2C38" w:rsidP="004135FE">
            <w:pPr>
              <w:spacing w:after="0" w:line="240" w:lineRule="auto"/>
              <w:jc w:val="both"/>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rPr>
              <w:t>Бесплатные удобства на улице</w:t>
            </w:r>
          </w:p>
        </w:tc>
        <w:tc>
          <w:tcPr>
            <w:tcW w:w="835" w:type="pct"/>
          </w:tcPr>
          <w:p w14:paraId="6A3927E8" w14:textId="77777777" w:rsidR="007A2C38" w:rsidRPr="004135FE" w:rsidRDefault="007A2C38" w:rsidP="00B270B3">
            <w:pPr>
              <w:spacing w:after="0" w:line="240" w:lineRule="auto"/>
              <w:ind w:firstLine="567"/>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14.2</w:t>
            </w:r>
          </w:p>
        </w:tc>
        <w:tc>
          <w:tcPr>
            <w:tcW w:w="1025" w:type="pct"/>
          </w:tcPr>
          <w:p w14:paraId="2DBCD170" w14:textId="77777777" w:rsidR="007A2C38" w:rsidRPr="004135FE" w:rsidRDefault="007A2C38" w:rsidP="00B270B3">
            <w:pPr>
              <w:spacing w:after="0" w:line="240" w:lineRule="auto"/>
              <w:ind w:firstLine="567"/>
              <w:rPr>
                <w:rFonts w:ascii="Times New Roman" w:hAnsi="Times New Roman" w:cs="Times New Roman"/>
                <w:sz w:val="28"/>
                <w:szCs w:val="28"/>
                <w:shd w:val="clear" w:color="auto" w:fill="FFFFFF"/>
                <w:lang w:val="en-US"/>
              </w:rPr>
            </w:pPr>
            <w:r w:rsidRPr="004135FE">
              <w:rPr>
                <w:rFonts w:ascii="Times New Roman" w:hAnsi="Times New Roman" w:cs="Times New Roman"/>
                <w:sz w:val="28"/>
                <w:szCs w:val="28"/>
                <w:shd w:val="clear" w:color="auto" w:fill="FFFFFF"/>
                <w:lang w:val="en-US"/>
              </w:rPr>
              <w:t>51.2</w:t>
            </w:r>
          </w:p>
        </w:tc>
        <w:tc>
          <w:tcPr>
            <w:tcW w:w="1247" w:type="pct"/>
            <w:vMerge/>
          </w:tcPr>
          <w:p w14:paraId="3FBB8D94" w14:textId="77777777" w:rsidR="007A2C38" w:rsidRPr="004135FE" w:rsidRDefault="007A2C38" w:rsidP="004135FE">
            <w:pPr>
              <w:spacing w:after="0" w:line="240" w:lineRule="auto"/>
              <w:ind w:firstLine="567"/>
              <w:jc w:val="center"/>
              <w:rPr>
                <w:rFonts w:ascii="Times New Roman" w:hAnsi="Times New Roman" w:cs="Times New Roman"/>
                <w:sz w:val="28"/>
                <w:szCs w:val="28"/>
                <w:shd w:val="clear" w:color="auto" w:fill="FFFFFF"/>
                <w:lang w:val="en-US"/>
              </w:rPr>
            </w:pPr>
          </w:p>
        </w:tc>
      </w:tr>
    </w:tbl>
    <w:p w14:paraId="5EA127B6" w14:textId="77777777" w:rsidR="007A2C38" w:rsidRPr="004135FE" w:rsidRDefault="007A2C38" w:rsidP="004135FE">
      <w:pPr>
        <w:spacing w:after="0" w:line="240" w:lineRule="auto"/>
        <w:jc w:val="both"/>
        <w:rPr>
          <w:rFonts w:ascii="Times New Roman" w:hAnsi="Times New Roman" w:cs="Times New Roman"/>
          <w:sz w:val="28"/>
          <w:szCs w:val="28"/>
        </w:rPr>
      </w:pPr>
    </w:p>
    <w:p w14:paraId="677D5BF6" w14:textId="77777777" w:rsidR="007A2C38" w:rsidRPr="004135FE" w:rsidRDefault="007A2C38" w:rsidP="00375695">
      <w:pPr>
        <w:spacing w:after="0" w:line="240" w:lineRule="auto"/>
        <w:ind w:firstLine="709"/>
        <w:jc w:val="both"/>
        <w:rPr>
          <w:rFonts w:ascii="Times New Roman" w:hAnsi="Times New Roman" w:cs="Times New Roman"/>
          <w:iCs/>
          <w:sz w:val="28"/>
          <w:szCs w:val="28"/>
        </w:rPr>
      </w:pPr>
      <w:r w:rsidRPr="00375695">
        <w:rPr>
          <w:rFonts w:ascii="Times New Roman" w:hAnsi="Times New Roman" w:cs="Times New Roman"/>
          <w:bCs/>
          <w:iCs/>
          <w:sz w:val="28"/>
          <w:szCs w:val="28"/>
        </w:rPr>
        <w:t>Таким образом,</w:t>
      </w:r>
      <w:r w:rsidRPr="004135FE">
        <w:rPr>
          <w:rFonts w:ascii="Times New Roman" w:hAnsi="Times New Roman" w:cs="Times New Roman"/>
          <w:iCs/>
          <w:sz w:val="28"/>
          <w:szCs w:val="28"/>
        </w:rPr>
        <w:t xml:space="preserve"> распространенность НФА составила 60,4% (95 % ДИ: 56,0; 64,7). Высшее образование </w:t>
      </w:r>
      <w:r w:rsidRPr="004135FE">
        <w:rPr>
          <w:rFonts w:ascii="Times New Roman" w:hAnsi="Times New Roman" w:cs="Times New Roman"/>
          <w:sz w:val="28"/>
          <w:szCs w:val="28"/>
          <w:shd w:val="clear" w:color="auto" w:fill="FFFFFF"/>
        </w:rPr>
        <w:t>(ОР = 0,80, 95 % ДИ: 0,68; 0,88)</w:t>
      </w:r>
      <w:r w:rsidRPr="004135FE">
        <w:rPr>
          <w:rFonts w:ascii="Times New Roman" w:hAnsi="Times New Roman" w:cs="Times New Roman"/>
          <w:iCs/>
          <w:sz w:val="28"/>
          <w:szCs w:val="28"/>
        </w:rPr>
        <w:t>, наличие постоянной работы (</w:t>
      </w:r>
      <w:r w:rsidRPr="004135FE">
        <w:rPr>
          <w:rFonts w:ascii="Times New Roman" w:hAnsi="Times New Roman" w:cs="Times New Roman"/>
          <w:sz w:val="28"/>
          <w:szCs w:val="28"/>
          <w:shd w:val="clear" w:color="auto" w:fill="FFFFFF"/>
        </w:rPr>
        <w:t>ОР = 0,74, 95 % ДИ: 0,64; 0,88</w:t>
      </w:r>
      <w:r w:rsidRPr="004135FE">
        <w:rPr>
          <w:rFonts w:ascii="Times New Roman" w:hAnsi="Times New Roman" w:cs="Times New Roman"/>
          <w:iCs/>
          <w:sz w:val="28"/>
          <w:szCs w:val="28"/>
        </w:rPr>
        <w:t xml:space="preserve">), ежедневное употребление фруктов </w:t>
      </w:r>
      <w:r w:rsidRPr="004135FE">
        <w:rPr>
          <w:rFonts w:ascii="Times New Roman" w:hAnsi="Times New Roman" w:cs="Times New Roman"/>
          <w:sz w:val="28"/>
          <w:szCs w:val="28"/>
          <w:shd w:val="clear" w:color="auto" w:fill="FFFFFF"/>
        </w:rPr>
        <w:t xml:space="preserve">(ОР = 0,78, 95 % ДИ: 0,67; 0,92) </w:t>
      </w:r>
      <w:r w:rsidRPr="004135FE">
        <w:rPr>
          <w:rFonts w:ascii="Times New Roman" w:hAnsi="Times New Roman" w:cs="Times New Roman"/>
          <w:iCs/>
          <w:sz w:val="28"/>
          <w:szCs w:val="28"/>
        </w:rPr>
        <w:t xml:space="preserve">и овощей </w:t>
      </w:r>
      <w:r w:rsidRPr="004135FE">
        <w:rPr>
          <w:rFonts w:ascii="Times New Roman" w:hAnsi="Times New Roman" w:cs="Times New Roman"/>
          <w:sz w:val="28"/>
          <w:szCs w:val="28"/>
          <w:shd w:val="clear" w:color="auto" w:fill="FFFFFF"/>
        </w:rPr>
        <w:t>(ОР = 0.80, 95 % ДИ: 0,70; 0,92</w:t>
      </w:r>
      <w:r w:rsidRPr="004135FE">
        <w:rPr>
          <w:rFonts w:ascii="Times New Roman" w:hAnsi="Times New Roman" w:cs="Times New Roman"/>
          <w:iCs/>
          <w:sz w:val="28"/>
          <w:szCs w:val="28"/>
        </w:rPr>
        <w:t xml:space="preserve">) было значимо связано с более низкой распространенностью НФА в одномерных моделях. При проведении многомерного моделирования только наличие работы осталось значимо связано с исходом (ОР = </w:t>
      </w:r>
      <w:r w:rsidRPr="004135FE">
        <w:rPr>
          <w:rFonts w:ascii="Times New Roman" w:hAnsi="Times New Roman" w:cs="Times New Roman"/>
          <w:sz w:val="28"/>
          <w:szCs w:val="28"/>
          <w:shd w:val="clear" w:color="auto" w:fill="FFFFFF"/>
        </w:rPr>
        <w:t>0,72, 95 % ДИ: 0,60; 0,86</w:t>
      </w:r>
      <w:r w:rsidRPr="004135FE">
        <w:rPr>
          <w:rFonts w:ascii="Times New Roman" w:hAnsi="Times New Roman" w:cs="Times New Roman"/>
          <w:iCs/>
          <w:sz w:val="28"/>
          <w:szCs w:val="28"/>
        </w:rPr>
        <w:t xml:space="preserve">). Не получили подбора физической активности 61,7 % пациентов. Наиболее низкая доля распространенности НФА отмечена у пациентов, посещающих платные спортивные центры. </w:t>
      </w:r>
    </w:p>
    <w:p w14:paraId="4F3DED51" w14:textId="77777777" w:rsidR="007A2C38" w:rsidRPr="004135FE" w:rsidRDefault="007A2C38" w:rsidP="00375695">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В заключение, мы выявили очень высокую распространенность НФА в крупнейшем городе Казахстана. Это отражает низкий уровень медицинской грамотности среди населения в целом, что требует междисциплинарного подхода к решению проблемы, бездействия среди взрослого населения в целом и пациентов с СД2т в частности. Барьеры и причины НФА, выявленные в этом исследовании, следует учитывать при разработке стратегии, направленной на усиление ФА среди пациентов с СД2т и населения в целом в Казахстане</w:t>
      </w:r>
    </w:p>
    <w:p w14:paraId="15C62D6C" w14:textId="77777777" w:rsidR="007A2C38" w:rsidRPr="004135FE" w:rsidRDefault="007A2C38" w:rsidP="00375695">
      <w:pPr>
        <w:spacing w:after="0" w:line="240" w:lineRule="auto"/>
        <w:ind w:firstLine="708"/>
        <w:jc w:val="both"/>
        <w:rPr>
          <w:rFonts w:ascii="Times New Roman" w:hAnsi="Times New Roman" w:cs="Times New Roman"/>
          <w:iCs/>
          <w:sz w:val="28"/>
          <w:szCs w:val="28"/>
        </w:rPr>
      </w:pPr>
      <w:r w:rsidRPr="004135FE">
        <w:rPr>
          <w:rFonts w:ascii="Times New Roman" w:hAnsi="Times New Roman" w:cs="Times New Roman"/>
          <w:iCs/>
          <w:sz w:val="28"/>
          <w:szCs w:val="28"/>
        </w:rPr>
        <w:t>Высокая распространенность НФА в сочетании с неудовлетворительной практикой назначения ФА пациентам с СД2т вызывают необходимость межсекторального сотрудничества для разработки комплексной стратегии увеличения уровня ФА как среди диабетиков, так и среди всего населения.</w:t>
      </w:r>
    </w:p>
    <w:p w14:paraId="244C17D5" w14:textId="3DC51704" w:rsidR="007A2C38" w:rsidRPr="004135FE" w:rsidRDefault="007A2C38" w:rsidP="00375695">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Результаты социологического исследования показали, что путем реализации межсекторального сотрудничества на государственном уровне, можно достичь более высокого благополучия состояния пациентов с СД2т. Возможности профилактических мер благодаря эффективному сотрудничеству разносторонние, важнейшими из них являются активное влияние на образ жизни и приверженность поэтапным путем:</w:t>
      </w:r>
    </w:p>
    <w:p w14:paraId="163B0506" w14:textId="554B06C2" w:rsidR="007A2C38" w:rsidRPr="004135FE" w:rsidRDefault="007A2C38" w:rsidP="00375695">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поднять социальный статус, путем трудоустройства пациентов с СД2т, в зависимости тяжести общего состояния. При необходимости переучить более легкому виду труда</w:t>
      </w:r>
      <w:r w:rsidR="00375695">
        <w:rPr>
          <w:rFonts w:ascii="Times New Roman" w:hAnsi="Times New Roman" w:cs="Times New Roman"/>
          <w:sz w:val="28"/>
          <w:szCs w:val="28"/>
        </w:rPr>
        <w:t>;</w:t>
      </w:r>
    </w:p>
    <w:p w14:paraId="713C64F5" w14:textId="3A4F1153" w:rsidR="007A2C38" w:rsidRPr="004135FE" w:rsidRDefault="007A2C38" w:rsidP="00375695">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создать культурные программы хобби и отдых для лиц пожилого возраста</w:t>
      </w:r>
      <w:r w:rsidR="00375695">
        <w:rPr>
          <w:rFonts w:ascii="Times New Roman" w:hAnsi="Times New Roman" w:cs="Times New Roman"/>
          <w:sz w:val="28"/>
          <w:szCs w:val="28"/>
        </w:rPr>
        <w:t>;</w:t>
      </w:r>
    </w:p>
    <w:p w14:paraId="34FA0A88" w14:textId="0658769F" w:rsidR="007A2C38" w:rsidRPr="004135FE" w:rsidRDefault="007A2C38" w:rsidP="00375695">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-поднять общую и медицинскую грамотность, путем краткосрочных групповых программ под контролем местных исполнительных органов/акиматов и информирования на популяционном уровне через СМИ</w:t>
      </w:r>
      <w:r w:rsidR="00375695">
        <w:rPr>
          <w:rFonts w:ascii="Times New Roman" w:hAnsi="Times New Roman" w:cs="Times New Roman"/>
          <w:sz w:val="28"/>
          <w:szCs w:val="28"/>
        </w:rPr>
        <w:t>;</w:t>
      </w:r>
    </w:p>
    <w:p w14:paraId="7772E33D" w14:textId="0ACB6098" w:rsidR="007A2C38" w:rsidRPr="004135FE" w:rsidRDefault="007A2C38" w:rsidP="00375695">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пересмотреть работу и функциональность Школы Диабета</w:t>
      </w:r>
      <w:r w:rsidR="00375695">
        <w:rPr>
          <w:rFonts w:ascii="Times New Roman" w:hAnsi="Times New Roman" w:cs="Times New Roman"/>
          <w:sz w:val="28"/>
          <w:szCs w:val="28"/>
        </w:rPr>
        <w:t>;</w:t>
      </w:r>
    </w:p>
    <w:p w14:paraId="0D848137" w14:textId="7DBA6D8B" w:rsidR="007A2C38" w:rsidRPr="004135FE" w:rsidRDefault="007A2C38" w:rsidP="00375695">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-озадачить МЗ РК по повышению квалификации всего медицинского персонала общей практики и узких специалистов по коммуникативным навыкам и образу жизни, под контролем выполнения функциональных обязанностей сотрудников на уровне администрации ПМСП</w:t>
      </w:r>
      <w:r w:rsidR="00375695">
        <w:rPr>
          <w:rFonts w:ascii="Times New Roman" w:hAnsi="Times New Roman" w:cs="Times New Roman"/>
          <w:sz w:val="28"/>
          <w:szCs w:val="28"/>
        </w:rPr>
        <w:t>;</w:t>
      </w:r>
    </w:p>
    <w:p w14:paraId="2F5DDDBE" w14:textId="74097138" w:rsidR="007A2C38" w:rsidRPr="004135FE" w:rsidRDefault="007A2C38" w:rsidP="00375695">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у населения с определенным уровнем медицинской грамотностью, развить приверженность к культуре физической активности, рациональному питанию и контролю массы тела не составит больших усилии</w:t>
      </w:r>
      <w:r w:rsidR="00375695">
        <w:rPr>
          <w:rFonts w:ascii="Times New Roman" w:hAnsi="Times New Roman" w:cs="Times New Roman"/>
          <w:sz w:val="28"/>
          <w:szCs w:val="28"/>
        </w:rPr>
        <w:t>;</w:t>
      </w:r>
    </w:p>
    <w:p w14:paraId="3F1095CB" w14:textId="77777777" w:rsidR="007A2C38" w:rsidRPr="004135FE" w:rsidRDefault="007A2C38" w:rsidP="00375695">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коррекция самоконтроля по образу жизни на индивидуальном уровне.</w:t>
      </w:r>
    </w:p>
    <w:p w14:paraId="7A4F696E" w14:textId="294957C6" w:rsidR="007A2C38" w:rsidRPr="004135FE" w:rsidRDefault="007A2C38" w:rsidP="00375695">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создать необходимые общедоступные условия для занятия спортом повсеместно</w:t>
      </w:r>
      <w:r w:rsidR="00375695">
        <w:rPr>
          <w:rFonts w:ascii="Times New Roman" w:hAnsi="Times New Roman" w:cs="Times New Roman"/>
          <w:sz w:val="28"/>
          <w:szCs w:val="28"/>
        </w:rPr>
        <w:t>.</w:t>
      </w:r>
    </w:p>
    <w:p w14:paraId="53468E7E" w14:textId="1F07D475" w:rsidR="007A2C38" w:rsidRPr="004135FE" w:rsidRDefault="007A2C38" w:rsidP="004135FE">
      <w:pPr>
        <w:autoSpaceDE w:val="0"/>
        <w:autoSpaceDN w:val="0"/>
        <w:adjustRightInd w:val="0"/>
        <w:spacing w:after="0" w:line="240" w:lineRule="auto"/>
        <w:rPr>
          <w:rFonts w:ascii="Times New Roman" w:hAnsi="Times New Roman" w:cs="Times New Roman"/>
          <w:b/>
          <w:sz w:val="28"/>
          <w:szCs w:val="28"/>
        </w:rPr>
      </w:pPr>
    </w:p>
    <w:p w14:paraId="25D0FCAE" w14:textId="6437D23F" w:rsidR="007A2C38" w:rsidRPr="00375695" w:rsidRDefault="007A2C38" w:rsidP="00375695">
      <w:pPr>
        <w:spacing w:after="0" w:line="240" w:lineRule="auto"/>
        <w:ind w:firstLine="709"/>
        <w:jc w:val="both"/>
        <w:rPr>
          <w:rFonts w:ascii="Times New Roman" w:hAnsi="Times New Roman" w:cs="Times New Roman"/>
          <w:i/>
          <w:sz w:val="28"/>
          <w:szCs w:val="28"/>
        </w:rPr>
      </w:pPr>
      <w:r w:rsidRPr="00375695">
        <w:rPr>
          <w:rFonts w:ascii="Times New Roman" w:eastAsia="Times New Roman" w:hAnsi="Times New Roman" w:cs="Times New Roman"/>
          <w:sz w:val="28"/>
          <w:szCs w:val="28"/>
        </w:rPr>
        <w:t xml:space="preserve">4.2.2.2 </w:t>
      </w:r>
      <w:r w:rsidRPr="00375695">
        <w:rPr>
          <w:rFonts w:ascii="Times New Roman" w:hAnsi="Times New Roman" w:cs="Times New Roman"/>
          <w:sz w:val="28"/>
          <w:szCs w:val="28"/>
        </w:rPr>
        <w:t>Возможности профил</w:t>
      </w:r>
      <w:r w:rsidR="00DF6E9B" w:rsidRPr="00375695">
        <w:rPr>
          <w:rFonts w:ascii="Times New Roman" w:hAnsi="Times New Roman" w:cs="Times New Roman"/>
          <w:sz w:val="28"/>
          <w:szCs w:val="28"/>
        </w:rPr>
        <w:t>актических мер на уровне МЗ РК</w:t>
      </w:r>
    </w:p>
    <w:p w14:paraId="795FFA6E" w14:textId="2D0641F8" w:rsidR="007A2C38" w:rsidRPr="00375695" w:rsidRDefault="007A2C38" w:rsidP="00375695">
      <w:pPr>
        <w:spacing w:after="0" w:line="240" w:lineRule="auto"/>
        <w:ind w:firstLine="709"/>
        <w:jc w:val="both"/>
        <w:rPr>
          <w:rFonts w:ascii="Times New Roman" w:hAnsi="Times New Roman" w:cs="Times New Roman"/>
          <w:bCs/>
          <w:sz w:val="28"/>
          <w:szCs w:val="28"/>
        </w:rPr>
      </w:pPr>
      <w:r w:rsidRPr="00375695">
        <w:rPr>
          <w:rFonts w:ascii="Times New Roman" w:hAnsi="Times New Roman" w:cs="Times New Roman"/>
          <w:bCs/>
          <w:sz w:val="28"/>
          <w:szCs w:val="28"/>
        </w:rPr>
        <w:t>1. Психосоциал</w:t>
      </w:r>
      <w:r w:rsidR="00DF6E9B" w:rsidRPr="00375695">
        <w:rPr>
          <w:rFonts w:ascii="Times New Roman" w:hAnsi="Times New Roman" w:cs="Times New Roman"/>
          <w:bCs/>
          <w:sz w:val="28"/>
          <w:szCs w:val="28"/>
        </w:rPr>
        <w:t>ьная поддержка пациентов с СД2т</w:t>
      </w:r>
    </w:p>
    <w:p w14:paraId="72174CF6"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Влияние продолжительности СД2т на качество жизни неоднозначно. По мере увеличения длительности СД2т, увеличиваются поздние осложнения, сопутствующие заболевания, снижается удовлетворенность и эмоциональное благополучие. На психологическое состояние также влияют, пол, возраст, уровень образования и дохода, семейное положение и обстановка в ней. Все это влияет на уровень мотивации в отношении сохранения здоровья, обращаемость за помощью к специалистам, участию в обучающих программах школ. Однако не всегда хороший уровень компенсации СД2т и строгий режим контроля ассоциируется с высоким благополучием. Чрезмерная погруженность в болезнь может ограничить социальный контакт и стать причиной психологической дезадаптации.   </w:t>
      </w:r>
    </w:p>
    <w:p w14:paraId="02F07514"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bCs/>
          <w:sz w:val="28"/>
          <w:szCs w:val="28"/>
        </w:rPr>
        <w:t xml:space="preserve">Промежуток времени после установления диагноза СД2т и до </w:t>
      </w:r>
      <w:r w:rsidRPr="004135FE">
        <w:rPr>
          <w:rFonts w:ascii="Times New Roman" w:hAnsi="Times New Roman" w:cs="Times New Roman"/>
          <w:sz w:val="28"/>
          <w:szCs w:val="28"/>
        </w:rPr>
        <w:t>начала соблюдения рекомендации врача по лечению и контролю заболевания требует адаптации как ментального характера, так и дисциплины нового образа жизни. Поэтому, психосоциальная поддержка в дебюте заболевания определяет приверженность к рекомендациям и борьбы со стрессом в связи с новым диагнозом.</w:t>
      </w:r>
    </w:p>
    <w:p w14:paraId="5DC82F8B" w14:textId="77777777" w:rsidR="007A2C38" w:rsidRPr="004135FE" w:rsidRDefault="007A2C38"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hAnsi="Times New Roman" w:cs="Times New Roman"/>
          <w:sz w:val="28"/>
          <w:szCs w:val="28"/>
        </w:rPr>
        <w:t xml:space="preserve">По результату социологического исследования, 51,67% респондентов </w:t>
      </w:r>
      <w:r w:rsidRPr="004135FE">
        <w:rPr>
          <w:rFonts w:ascii="Times New Roman" w:eastAsia="Times New Roman" w:hAnsi="Times New Roman" w:cs="Times New Roman"/>
          <w:sz w:val="28"/>
          <w:szCs w:val="28"/>
        </w:rPr>
        <w:t>привержены назначениям сразу, как были взяты на диспансерный учет. Через месяц начали лечение 17,08% пациентов. Реакции отрицания длительностью около 1 недели была у 14,17% пациентов, около 1 года – 10,21% и 2 года- 6,88%.</w:t>
      </w:r>
    </w:p>
    <w:p w14:paraId="63D4D8F0" w14:textId="77777777" w:rsidR="007A2C38" w:rsidRPr="004135FE" w:rsidRDefault="007A2C38" w:rsidP="004135FE">
      <w:pPr>
        <w:spacing w:after="0" w:line="240" w:lineRule="auto"/>
        <w:jc w:val="both"/>
        <w:rPr>
          <w:rFonts w:ascii="Times New Roman" w:hAnsi="Times New Roman" w:cs="Times New Roman"/>
          <w:sz w:val="28"/>
          <w:szCs w:val="28"/>
        </w:rPr>
      </w:pPr>
    </w:p>
    <w:p w14:paraId="7793602D"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noProof/>
          <w:sz w:val="28"/>
          <w:szCs w:val="28"/>
        </w:rPr>
        <w:drawing>
          <wp:inline distT="0" distB="0" distL="0" distR="0" wp14:anchorId="2F6813E2" wp14:editId="4C89A8F5">
            <wp:extent cx="5143500" cy="2743200"/>
            <wp:effectExtent l="0" t="0" r="0" b="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8D909FC" w14:textId="77777777" w:rsidR="00375695" w:rsidRDefault="00375695" w:rsidP="00375695">
      <w:pPr>
        <w:spacing w:after="0" w:line="240" w:lineRule="auto"/>
        <w:ind w:firstLine="708"/>
        <w:jc w:val="center"/>
        <w:rPr>
          <w:rFonts w:ascii="Times New Roman" w:hAnsi="Times New Roman" w:cs="Times New Roman"/>
          <w:sz w:val="28"/>
          <w:szCs w:val="28"/>
        </w:rPr>
      </w:pPr>
    </w:p>
    <w:p w14:paraId="6BDD9B40" w14:textId="67B15364" w:rsidR="007A2C38" w:rsidRPr="004135FE" w:rsidRDefault="007A2C38" w:rsidP="00375695">
      <w:pPr>
        <w:spacing w:after="0" w:line="240" w:lineRule="auto"/>
        <w:ind w:firstLine="708"/>
        <w:jc w:val="center"/>
        <w:rPr>
          <w:rFonts w:ascii="Times New Roman" w:hAnsi="Times New Roman" w:cs="Times New Roman"/>
          <w:sz w:val="28"/>
          <w:szCs w:val="28"/>
        </w:rPr>
      </w:pPr>
      <w:r w:rsidRPr="004135FE">
        <w:rPr>
          <w:rFonts w:ascii="Times New Roman" w:hAnsi="Times New Roman" w:cs="Times New Roman"/>
          <w:sz w:val="28"/>
          <w:szCs w:val="28"/>
        </w:rPr>
        <w:t>Рисунок 38- Промежуток времени, до начала соблюдения рекомендации врача после подтверждения диагноза СД2т</w:t>
      </w:r>
    </w:p>
    <w:p w14:paraId="2F99DEA9" w14:textId="77777777" w:rsidR="007A2C38" w:rsidRPr="004135FE" w:rsidRDefault="007A2C38" w:rsidP="004135FE">
      <w:pPr>
        <w:spacing w:after="0" w:line="240" w:lineRule="auto"/>
        <w:jc w:val="both"/>
        <w:rPr>
          <w:rFonts w:ascii="Times New Roman" w:hAnsi="Times New Roman" w:cs="Times New Roman"/>
          <w:sz w:val="28"/>
          <w:szCs w:val="28"/>
        </w:rPr>
      </w:pPr>
    </w:p>
    <w:p w14:paraId="3CFFCF56" w14:textId="77777777" w:rsidR="007A2C38" w:rsidRPr="004135FE" w:rsidRDefault="007A2C38" w:rsidP="004135FE">
      <w:pPr>
        <w:spacing w:after="0" w:line="240" w:lineRule="auto"/>
        <w:ind w:firstLine="708"/>
        <w:jc w:val="both"/>
        <w:rPr>
          <w:rFonts w:ascii="Times New Roman" w:hAnsi="Times New Roman" w:cs="Times New Roman"/>
          <w:b/>
          <w:sz w:val="28"/>
          <w:szCs w:val="28"/>
        </w:rPr>
      </w:pPr>
      <w:r w:rsidRPr="004135FE">
        <w:rPr>
          <w:rFonts w:ascii="Times New Roman" w:hAnsi="Times New Roman" w:cs="Times New Roman"/>
          <w:sz w:val="28"/>
          <w:szCs w:val="28"/>
        </w:rPr>
        <w:t xml:space="preserve">Выявлено влияние </w:t>
      </w:r>
      <w:r w:rsidRPr="004135FE">
        <w:rPr>
          <w:rFonts w:ascii="Times New Roman" w:hAnsi="Times New Roman" w:cs="Times New Roman"/>
          <w:bCs/>
          <w:sz w:val="28"/>
          <w:szCs w:val="28"/>
        </w:rPr>
        <w:t xml:space="preserve">образования пациента на выбор </w:t>
      </w:r>
      <w:r w:rsidRPr="004135FE">
        <w:rPr>
          <w:rFonts w:ascii="Times New Roman" w:hAnsi="Times New Roman" w:cs="Times New Roman"/>
          <w:sz w:val="28"/>
          <w:szCs w:val="28"/>
        </w:rPr>
        <w:t>медицинского персонала</w:t>
      </w:r>
      <w:r w:rsidRPr="004135FE">
        <w:rPr>
          <w:rFonts w:ascii="Times New Roman" w:hAnsi="Times New Roman" w:cs="Times New Roman"/>
          <w:bCs/>
          <w:sz w:val="28"/>
          <w:szCs w:val="28"/>
        </w:rPr>
        <w:t xml:space="preserve"> при обращении за </w:t>
      </w:r>
      <w:r w:rsidRPr="004135FE">
        <w:rPr>
          <w:rFonts w:ascii="Times New Roman" w:hAnsi="Times New Roman" w:cs="Times New Roman"/>
          <w:sz w:val="28"/>
          <w:szCs w:val="28"/>
        </w:rPr>
        <w:t xml:space="preserve">психосоциальной поддержкой, при наличии низкой приверженности лечению, обусловленного заболеванием дистресса, умеренно повышенной тревоги. Не обращаются к врачам за психосоциальной поддержкой, </w:t>
      </w:r>
      <w:r w:rsidRPr="004135FE">
        <w:rPr>
          <w:rFonts w:ascii="Times New Roman" w:eastAsia="Times New Roman" w:hAnsi="Times New Roman" w:cs="Times New Roman"/>
          <w:sz w:val="28"/>
          <w:szCs w:val="28"/>
        </w:rPr>
        <w:t>при возникновении трудности 32,6% пациентов с другим и 29,81% высшим образованиями. С высшим образованием пациенты обращаются за помощью в 33,54% случаях к эндокринологу и 6,83% медсестре эндокринолога, 19,88% ВОП, 6,83% психологу и</w:t>
      </w:r>
      <w:r w:rsidRPr="004135FE">
        <w:rPr>
          <w:rFonts w:ascii="Times New Roman" w:hAnsi="Times New Roman" w:cs="Times New Roman"/>
          <w:sz w:val="28"/>
          <w:szCs w:val="28"/>
        </w:rPr>
        <w:t xml:space="preserve"> </w:t>
      </w:r>
      <w:r w:rsidRPr="004135FE">
        <w:rPr>
          <w:rFonts w:ascii="Times New Roman" w:eastAsia="Times New Roman" w:hAnsi="Times New Roman" w:cs="Times New Roman"/>
          <w:sz w:val="28"/>
          <w:szCs w:val="28"/>
        </w:rPr>
        <w:t xml:space="preserve">3,11% соцработнику </w:t>
      </w:r>
      <w:r w:rsidRPr="004135FE">
        <w:rPr>
          <w:rFonts w:ascii="Times New Roman" w:hAnsi="Times New Roman" w:cs="Times New Roman"/>
          <w:sz w:val="28"/>
          <w:szCs w:val="28"/>
        </w:rPr>
        <w:t xml:space="preserve">(χ2=145,305, </w:t>
      </w:r>
      <w:r w:rsidRPr="004135FE">
        <w:rPr>
          <w:rFonts w:ascii="Times New Roman" w:hAnsi="Times New Roman" w:cs="Times New Roman"/>
          <w:sz w:val="28"/>
          <w:szCs w:val="28"/>
          <w:lang w:val="en-US"/>
        </w:rPr>
        <w:t>df</w:t>
      </w:r>
      <w:r w:rsidRPr="004135FE">
        <w:rPr>
          <w:rFonts w:ascii="Times New Roman" w:hAnsi="Times New Roman" w:cs="Times New Roman"/>
          <w:sz w:val="28"/>
          <w:szCs w:val="28"/>
        </w:rPr>
        <w:t xml:space="preserve">=24, </w:t>
      </w:r>
      <w:r w:rsidRPr="004135FE">
        <w:rPr>
          <w:rFonts w:ascii="Times New Roman" w:hAnsi="Times New Roman" w:cs="Times New Roman"/>
          <w:sz w:val="28"/>
          <w:szCs w:val="28"/>
          <w:lang w:val="en-US"/>
        </w:rPr>
        <w:t>p</w:t>
      </w:r>
      <w:r w:rsidRPr="004135FE">
        <w:rPr>
          <w:rFonts w:ascii="Times New Roman" w:hAnsi="Times New Roman" w:cs="Times New Roman"/>
          <w:sz w:val="28"/>
          <w:szCs w:val="28"/>
        </w:rPr>
        <w:t>=0,05).</w:t>
      </w:r>
    </w:p>
    <w:p w14:paraId="3CC1FD32" w14:textId="77777777" w:rsidR="007A2C38" w:rsidRPr="004135FE" w:rsidRDefault="007A2C38" w:rsidP="004135FE">
      <w:pPr>
        <w:tabs>
          <w:tab w:val="left" w:pos="426"/>
        </w:tabs>
        <w:spacing w:after="0" w:line="240" w:lineRule="auto"/>
        <w:jc w:val="both"/>
        <w:rPr>
          <w:rFonts w:ascii="Times New Roman" w:hAnsi="Times New Roman" w:cs="Times New Roman"/>
          <w:b/>
          <w:caps/>
          <w:sz w:val="28"/>
          <w:szCs w:val="28"/>
        </w:rPr>
      </w:pPr>
    </w:p>
    <w:p w14:paraId="2326F13B" w14:textId="4B881545" w:rsidR="007A2C38" w:rsidRDefault="007A2C38"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Таблица </w:t>
      </w:r>
      <w:r w:rsidR="00B728EF" w:rsidRPr="004135FE">
        <w:rPr>
          <w:rFonts w:ascii="Times New Roman" w:hAnsi="Times New Roman" w:cs="Times New Roman"/>
          <w:sz w:val="28"/>
          <w:szCs w:val="28"/>
        </w:rPr>
        <w:t>37</w:t>
      </w:r>
      <w:r w:rsidR="00077E0F">
        <w:rPr>
          <w:rFonts w:ascii="Times New Roman" w:hAnsi="Times New Roman" w:cs="Times New Roman"/>
          <w:sz w:val="28"/>
          <w:szCs w:val="28"/>
        </w:rPr>
        <w:t xml:space="preserve"> </w:t>
      </w:r>
      <w:r w:rsidRPr="004135FE">
        <w:rPr>
          <w:rFonts w:ascii="Times New Roman" w:hAnsi="Times New Roman" w:cs="Times New Roman"/>
          <w:sz w:val="28"/>
          <w:szCs w:val="28"/>
        </w:rPr>
        <w:t>- Влияние образования пациента с СД2т на обращаемость к специалистам за психосоциальной помощью</w:t>
      </w:r>
    </w:p>
    <w:p w14:paraId="6E39CDF0" w14:textId="77777777" w:rsidR="00375695" w:rsidRPr="004135FE" w:rsidRDefault="00375695" w:rsidP="004135FE">
      <w:pPr>
        <w:spacing w:after="0" w:line="240" w:lineRule="auto"/>
        <w:jc w:val="both"/>
        <w:rPr>
          <w:rFonts w:ascii="Times New Roman" w:hAnsi="Times New Roman" w:cs="Times New Roman"/>
          <w:b/>
          <w:sz w:val="28"/>
          <w:szCs w:val="28"/>
        </w:rPr>
      </w:pPr>
    </w:p>
    <w:tbl>
      <w:tblPr>
        <w:tblStyle w:val="af9"/>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6"/>
        <w:gridCol w:w="2126"/>
        <w:gridCol w:w="1985"/>
        <w:gridCol w:w="1686"/>
      </w:tblGrid>
      <w:tr w:rsidR="007A2C38" w:rsidRPr="004135FE" w14:paraId="66268FAB" w14:textId="77777777" w:rsidTr="00A42E92">
        <w:trPr>
          <w:trHeight w:val="300"/>
        </w:trPr>
        <w:tc>
          <w:tcPr>
            <w:tcW w:w="2835" w:type="dxa"/>
            <w:noWrap/>
          </w:tcPr>
          <w:p w14:paraId="2801277F"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Варианты ответов</w:t>
            </w:r>
          </w:p>
        </w:tc>
        <w:tc>
          <w:tcPr>
            <w:tcW w:w="2126" w:type="dxa"/>
            <w:noWrap/>
          </w:tcPr>
          <w:p w14:paraId="4F54FC6A"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 высшее</w:t>
            </w:r>
          </w:p>
        </w:tc>
        <w:tc>
          <w:tcPr>
            <w:tcW w:w="1985" w:type="dxa"/>
            <w:noWrap/>
          </w:tcPr>
          <w:p w14:paraId="0A646114"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другие</w:t>
            </w:r>
          </w:p>
        </w:tc>
        <w:tc>
          <w:tcPr>
            <w:tcW w:w="1559" w:type="dxa"/>
            <w:noWrap/>
          </w:tcPr>
          <w:p w14:paraId="47ECE554"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Total</w:t>
            </w:r>
          </w:p>
        </w:tc>
      </w:tr>
      <w:tr w:rsidR="007A2C38" w:rsidRPr="004135FE" w14:paraId="3B93EC63" w14:textId="77777777" w:rsidTr="00A42E92">
        <w:trPr>
          <w:trHeight w:val="300"/>
        </w:trPr>
        <w:tc>
          <w:tcPr>
            <w:tcW w:w="2835" w:type="dxa"/>
            <w:noWrap/>
            <w:hideMark/>
          </w:tcPr>
          <w:p w14:paraId="3AA48A9A"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Врач эндокринолог</w:t>
            </w:r>
          </w:p>
        </w:tc>
        <w:tc>
          <w:tcPr>
            <w:tcW w:w="2126" w:type="dxa"/>
            <w:noWrap/>
            <w:vAlign w:val="center"/>
            <w:hideMark/>
          </w:tcPr>
          <w:p w14:paraId="5565FBC7"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54(33,54%)</w:t>
            </w:r>
          </w:p>
        </w:tc>
        <w:tc>
          <w:tcPr>
            <w:tcW w:w="1985" w:type="dxa"/>
            <w:noWrap/>
            <w:vAlign w:val="center"/>
            <w:hideMark/>
          </w:tcPr>
          <w:p w14:paraId="4478E639"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92(28,84%)</w:t>
            </w:r>
          </w:p>
        </w:tc>
        <w:tc>
          <w:tcPr>
            <w:tcW w:w="1559" w:type="dxa"/>
            <w:noWrap/>
            <w:vAlign w:val="center"/>
            <w:hideMark/>
          </w:tcPr>
          <w:p w14:paraId="6D24E5E1"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146(30,42%)</w:t>
            </w:r>
          </w:p>
        </w:tc>
      </w:tr>
      <w:tr w:rsidR="007A2C38" w:rsidRPr="004135FE" w14:paraId="322A752F" w14:textId="77777777" w:rsidTr="00A42E92">
        <w:trPr>
          <w:trHeight w:val="300"/>
        </w:trPr>
        <w:tc>
          <w:tcPr>
            <w:tcW w:w="2835" w:type="dxa"/>
            <w:noWrap/>
            <w:hideMark/>
          </w:tcPr>
          <w:p w14:paraId="34E07159"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Медсестра эндокринолога</w:t>
            </w:r>
          </w:p>
        </w:tc>
        <w:tc>
          <w:tcPr>
            <w:tcW w:w="2126" w:type="dxa"/>
            <w:noWrap/>
            <w:vAlign w:val="center"/>
            <w:hideMark/>
          </w:tcPr>
          <w:p w14:paraId="216945F1"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11(6,83%)</w:t>
            </w:r>
          </w:p>
        </w:tc>
        <w:tc>
          <w:tcPr>
            <w:tcW w:w="1985" w:type="dxa"/>
            <w:noWrap/>
            <w:vAlign w:val="center"/>
            <w:hideMark/>
          </w:tcPr>
          <w:p w14:paraId="5EACE386"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24(7,52%)</w:t>
            </w:r>
          </w:p>
        </w:tc>
        <w:tc>
          <w:tcPr>
            <w:tcW w:w="1559" w:type="dxa"/>
            <w:noWrap/>
            <w:vAlign w:val="center"/>
            <w:hideMark/>
          </w:tcPr>
          <w:p w14:paraId="29A175A1"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35(7,29%)</w:t>
            </w:r>
          </w:p>
        </w:tc>
      </w:tr>
      <w:tr w:rsidR="007A2C38" w:rsidRPr="004135FE" w14:paraId="779E232E" w14:textId="77777777" w:rsidTr="00A42E92">
        <w:trPr>
          <w:trHeight w:val="300"/>
        </w:trPr>
        <w:tc>
          <w:tcPr>
            <w:tcW w:w="2835" w:type="dxa"/>
            <w:noWrap/>
            <w:hideMark/>
          </w:tcPr>
          <w:p w14:paraId="21DE61CB"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Врач общей практики</w:t>
            </w:r>
          </w:p>
        </w:tc>
        <w:tc>
          <w:tcPr>
            <w:tcW w:w="2126" w:type="dxa"/>
            <w:noWrap/>
            <w:vAlign w:val="center"/>
            <w:hideMark/>
          </w:tcPr>
          <w:p w14:paraId="6B5A7ACA"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32(19,88%)</w:t>
            </w:r>
          </w:p>
        </w:tc>
        <w:tc>
          <w:tcPr>
            <w:tcW w:w="1985" w:type="dxa"/>
            <w:noWrap/>
            <w:vAlign w:val="center"/>
            <w:hideMark/>
          </w:tcPr>
          <w:p w14:paraId="0925939E"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63(19,75%)</w:t>
            </w:r>
          </w:p>
        </w:tc>
        <w:tc>
          <w:tcPr>
            <w:tcW w:w="1559" w:type="dxa"/>
            <w:noWrap/>
            <w:vAlign w:val="center"/>
            <w:hideMark/>
          </w:tcPr>
          <w:p w14:paraId="019CCE2C"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95(19,79%)</w:t>
            </w:r>
          </w:p>
        </w:tc>
      </w:tr>
      <w:tr w:rsidR="007A2C38" w:rsidRPr="004135FE" w14:paraId="6FEC2985" w14:textId="77777777" w:rsidTr="00A42E92">
        <w:trPr>
          <w:trHeight w:val="300"/>
        </w:trPr>
        <w:tc>
          <w:tcPr>
            <w:tcW w:w="2835" w:type="dxa"/>
            <w:noWrap/>
            <w:hideMark/>
          </w:tcPr>
          <w:p w14:paraId="08B89A92"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Врач психолог/психотерапевт</w:t>
            </w:r>
          </w:p>
        </w:tc>
        <w:tc>
          <w:tcPr>
            <w:tcW w:w="2126" w:type="dxa"/>
            <w:noWrap/>
            <w:vAlign w:val="center"/>
            <w:hideMark/>
          </w:tcPr>
          <w:p w14:paraId="2D0E7F9F"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11(6,83%)</w:t>
            </w:r>
          </w:p>
        </w:tc>
        <w:tc>
          <w:tcPr>
            <w:tcW w:w="1985" w:type="dxa"/>
            <w:noWrap/>
            <w:vAlign w:val="center"/>
            <w:hideMark/>
          </w:tcPr>
          <w:p w14:paraId="2042D386"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25(7,84%)</w:t>
            </w:r>
          </w:p>
        </w:tc>
        <w:tc>
          <w:tcPr>
            <w:tcW w:w="1559" w:type="dxa"/>
            <w:noWrap/>
            <w:vAlign w:val="center"/>
            <w:hideMark/>
          </w:tcPr>
          <w:p w14:paraId="3EB99093"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36(7,50%)</w:t>
            </w:r>
          </w:p>
        </w:tc>
      </w:tr>
      <w:tr w:rsidR="007A2C38" w:rsidRPr="004135FE" w14:paraId="077A783F" w14:textId="77777777" w:rsidTr="00A42E92">
        <w:trPr>
          <w:trHeight w:val="300"/>
        </w:trPr>
        <w:tc>
          <w:tcPr>
            <w:tcW w:w="2835" w:type="dxa"/>
            <w:noWrap/>
            <w:hideMark/>
          </w:tcPr>
          <w:p w14:paraId="5201D684"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Социальный работник</w:t>
            </w:r>
          </w:p>
        </w:tc>
        <w:tc>
          <w:tcPr>
            <w:tcW w:w="2126" w:type="dxa"/>
            <w:noWrap/>
            <w:vAlign w:val="center"/>
            <w:hideMark/>
          </w:tcPr>
          <w:p w14:paraId="2B8F61E4"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5(3,11%)</w:t>
            </w:r>
          </w:p>
        </w:tc>
        <w:tc>
          <w:tcPr>
            <w:tcW w:w="1985" w:type="dxa"/>
            <w:noWrap/>
            <w:vAlign w:val="center"/>
            <w:hideMark/>
          </w:tcPr>
          <w:p w14:paraId="36AB3CCC"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11(3,45%)</w:t>
            </w:r>
          </w:p>
        </w:tc>
        <w:tc>
          <w:tcPr>
            <w:tcW w:w="1559" w:type="dxa"/>
            <w:noWrap/>
            <w:vAlign w:val="center"/>
            <w:hideMark/>
          </w:tcPr>
          <w:p w14:paraId="62483733"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16(3,33%)</w:t>
            </w:r>
          </w:p>
        </w:tc>
      </w:tr>
      <w:tr w:rsidR="007A2C38" w:rsidRPr="004135FE" w14:paraId="5AEC9CA7" w14:textId="77777777" w:rsidTr="00A42E92">
        <w:trPr>
          <w:trHeight w:val="300"/>
        </w:trPr>
        <w:tc>
          <w:tcPr>
            <w:tcW w:w="2835" w:type="dxa"/>
            <w:noWrap/>
            <w:hideMark/>
          </w:tcPr>
          <w:p w14:paraId="0063BEC4"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Никому</w:t>
            </w:r>
          </w:p>
        </w:tc>
        <w:tc>
          <w:tcPr>
            <w:tcW w:w="2126" w:type="dxa"/>
            <w:noWrap/>
            <w:vAlign w:val="center"/>
            <w:hideMark/>
          </w:tcPr>
          <w:p w14:paraId="0D9A0952"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48(29,81%)</w:t>
            </w:r>
          </w:p>
        </w:tc>
        <w:tc>
          <w:tcPr>
            <w:tcW w:w="1985" w:type="dxa"/>
            <w:noWrap/>
            <w:vAlign w:val="center"/>
            <w:hideMark/>
          </w:tcPr>
          <w:p w14:paraId="69645765"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104(32,60%)</w:t>
            </w:r>
          </w:p>
        </w:tc>
        <w:tc>
          <w:tcPr>
            <w:tcW w:w="1559" w:type="dxa"/>
            <w:noWrap/>
            <w:vAlign w:val="center"/>
            <w:hideMark/>
          </w:tcPr>
          <w:p w14:paraId="4979A646"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color w:val="000000"/>
                <w:sz w:val="28"/>
                <w:szCs w:val="28"/>
              </w:rPr>
              <w:t>152(31,67%)</w:t>
            </w:r>
          </w:p>
        </w:tc>
      </w:tr>
      <w:tr w:rsidR="007A2C38" w:rsidRPr="004135FE" w14:paraId="27C593A5" w14:textId="77777777" w:rsidTr="00A42E92">
        <w:trPr>
          <w:trHeight w:val="300"/>
        </w:trPr>
        <w:tc>
          <w:tcPr>
            <w:tcW w:w="2835" w:type="dxa"/>
            <w:noWrap/>
          </w:tcPr>
          <w:p w14:paraId="4242889C"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lang w:val="en-US"/>
              </w:rPr>
              <w:t>p</w:t>
            </w:r>
            <w:r w:rsidRPr="004135FE">
              <w:rPr>
                <w:rFonts w:ascii="Times New Roman" w:eastAsia="Times New Roman" w:hAnsi="Times New Roman" w:cs="Times New Roman"/>
                <w:sz w:val="28"/>
                <w:szCs w:val="28"/>
              </w:rPr>
              <w:t>-</w:t>
            </w:r>
            <w:r w:rsidRPr="004135FE">
              <w:rPr>
                <w:rFonts w:ascii="Times New Roman" w:eastAsia="Times New Roman" w:hAnsi="Times New Roman" w:cs="Times New Roman"/>
                <w:sz w:val="28"/>
                <w:szCs w:val="28"/>
                <w:lang w:val="en-US"/>
              </w:rPr>
              <w:t>value</w:t>
            </w:r>
          </w:p>
        </w:tc>
        <w:tc>
          <w:tcPr>
            <w:tcW w:w="2126" w:type="dxa"/>
            <w:noWrap/>
            <w:vAlign w:val="center"/>
          </w:tcPr>
          <w:p w14:paraId="0D7FAFA0" w14:textId="77777777" w:rsidR="007A2C38" w:rsidRPr="004135FE" w:rsidRDefault="007A2C38" w:rsidP="004135FE">
            <w:pPr>
              <w:spacing w:after="0" w:line="240" w:lineRule="auto"/>
              <w:rPr>
                <w:rFonts w:ascii="Times New Roman" w:eastAsia="Times New Roman" w:hAnsi="Times New Roman" w:cs="Times New Roman"/>
                <w:color w:val="000000"/>
                <w:sz w:val="28"/>
                <w:szCs w:val="28"/>
              </w:rPr>
            </w:pPr>
            <w:r w:rsidRPr="004135FE">
              <w:rPr>
                <w:rFonts w:ascii="Times New Roman" w:hAnsi="Times New Roman" w:cs="Times New Roman"/>
                <w:sz w:val="28"/>
                <w:szCs w:val="28"/>
              </w:rPr>
              <w:t>0,05</w:t>
            </w:r>
          </w:p>
        </w:tc>
        <w:tc>
          <w:tcPr>
            <w:tcW w:w="1985" w:type="dxa"/>
            <w:noWrap/>
            <w:vAlign w:val="center"/>
          </w:tcPr>
          <w:p w14:paraId="768156A0" w14:textId="7612B03F" w:rsidR="007A2C38" w:rsidRPr="004135FE" w:rsidRDefault="00B270B3" w:rsidP="00B270B3">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559" w:type="dxa"/>
            <w:noWrap/>
            <w:vAlign w:val="center"/>
          </w:tcPr>
          <w:p w14:paraId="5AE53F98" w14:textId="4600557A" w:rsidR="007A2C38" w:rsidRPr="004135FE" w:rsidRDefault="00B270B3" w:rsidP="00B270B3">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r>
    </w:tbl>
    <w:p w14:paraId="61BDEA38" w14:textId="77777777" w:rsidR="007A2C38" w:rsidRPr="004135FE" w:rsidRDefault="007A2C38" w:rsidP="004135FE">
      <w:pPr>
        <w:tabs>
          <w:tab w:val="left" w:pos="426"/>
        </w:tabs>
        <w:spacing w:after="0" w:line="240" w:lineRule="auto"/>
        <w:jc w:val="both"/>
        <w:rPr>
          <w:rFonts w:ascii="Times New Roman" w:hAnsi="Times New Roman" w:cs="Times New Roman"/>
          <w:b/>
          <w:caps/>
          <w:sz w:val="28"/>
          <w:szCs w:val="28"/>
        </w:rPr>
      </w:pPr>
    </w:p>
    <w:p w14:paraId="4DCF58E9" w14:textId="1F7A6732" w:rsidR="007A2C38" w:rsidRPr="004135FE" w:rsidRDefault="007A2C38" w:rsidP="004135FE">
      <w:pPr>
        <w:spacing w:after="0" w:line="240" w:lineRule="auto"/>
        <w:ind w:firstLine="708"/>
        <w:jc w:val="both"/>
        <w:rPr>
          <w:rFonts w:ascii="Times New Roman" w:hAnsi="Times New Roman" w:cs="Times New Roman"/>
          <w:b/>
          <w:bCs/>
          <w:sz w:val="28"/>
          <w:szCs w:val="28"/>
        </w:rPr>
      </w:pPr>
      <w:r w:rsidRPr="004135FE">
        <w:rPr>
          <w:rFonts w:ascii="Times New Roman" w:hAnsi="Times New Roman" w:cs="Times New Roman"/>
          <w:bCs/>
          <w:sz w:val="28"/>
          <w:szCs w:val="28"/>
        </w:rPr>
        <w:t>Выявлены статистические значимые различия между семейным положением и реакцией членов семьи пациента с СД2т на его диагноз.</w:t>
      </w:r>
      <w:r w:rsidRPr="004135FE">
        <w:rPr>
          <w:rFonts w:ascii="Times New Roman" w:hAnsi="Times New Roman" w:cs="Times New Roman"/>
          <w:b/>
          <w:bCs/>
          <w:sz w:val="28"/>
          <w:szCs w:val="28"/>
        </w:rPr>
        <w:t xml:space="preserve"> </w:t>
      </w:r>
      <w:r w:rsidRPr="004135FE">
        <w:rPr>
          <w:rFonts w:ascii="Times New Roman" w:hAnsi="Times New Roman" w:cs="Times New Roman"/>
          <w:sz w:val="28"/>
          <w:szCs w:val="28"/>
        </w:rPr>
        <w:t xml:space="preserve">В некоторых ситуациях, когда самоконтроль, самоуход хромает необходимо работать с семьей пациента, для оказания психосоциальной поддержки пациенту с СД2т. </w:t>
      </w:r>
    </w:p>
    <w:p w14:paraId="2692B212" w14:textId="77777777" w:rsidR="007A2C38" w:rsidRPr="004135FE" w:rsidRDefault="007A2C38" w:rsidP="004135FE">
      <w:pPr>
        <w:spacing w:after="0" w:line="240" w:lineRule="auto"/>
        <w:ind w:firstLine="708"/>
        <w:jc w:val="both"/>
        <w:rPr>
          <w:rFonts w:ascii="Times New Roman" w:eastAsia="Times New Roman" w:hAnsi="Times New Roman" w:cs="Times New Roman"/>
          <w:color w:val="000000"/>
          <w:sz w:val="28"/>
          <w:szCs w:val="28"/>
        </w:rPr>
      </w:pPr>
      <w:r w:rsidRPr="004135FE">
        <w:rPr>
          <w:rFonts w:ascii="Times New Roman" w:hAnsi="Times New Roman" w:cs="Times New Roman"/>
          <w:sz w:val="28"/>
          <w:szCs w:val="28"/>
        </w:rPr>
        <w:t>По проведенному анализу (Рисунок 39) социологического опроса члены семьи пациентов с СД2т способствует вместе соблюдать ЗОЖ и правильное питание, из них</w:t>
      </w:r>
      <w:r w:rsidRPr="004135FE">
        <w:rPr>
          <w:rFonts w:ascii="Times New Roman" w:eastAsia="Times New Roman" w:hAnsi="Times New Roman" w:cs="Times New Roman"/>
          <w:color w:val="000000"/>
          <w:sz w:val="28"/>
          <w:szCs w:val="28"/>
        </w:rPr>
        <w:t xml:space="preserve"> в 28,42</w:t>
      </w:r>
      <w:r w:rsidRPr="004135FE">
        <w:rPr>
          <w:rFonts w:ascii="Times New Roman" w:eastAsia="Times New Roman" w:hAnsi="Times New Roman" w:cs="Times New Roman"/>
          <w:sz w:val="28"/>
          <w:szCs w:val="28"/>
        </w:rPr>
        <w:t xml:space="preserve">% случаях </w:t>
      </w:r>
      <w:r w:rsidRPr="004135FE">
        <w:rPr>
          <w:rFonts w:ascii="Times New Roman" w:hAnsi="Times New Roman" w:cs="Times New Roman"/>
          <w:sz w:val="28"/>
          <w:szCs w:val="28"/>
        </w:rPr>
        <w:t xml:space="preserve">в официальном браке и </w:t>
      </w:r>
      <w:r w:rsidRPr="004135FE">
        <w:rPr>
          <w:rFonts w:ascii="Times New Roman" w:eastAsia="Times New Roman" w:hAnsi="Times New Roman" w:cs="Times New Roman"/>
          <w:color w:val="000000"/>
          <w:sz w:val="28"/>
          <w:szCs w:val="28"/>
        </w:rPr>
        <w:t>16,83</w:t>
      </w:r>
      <w:r w:rsidRPr="004135FE">
        <w:rPr>
          <w:rFonts w:ascii="Times New Roman" w:eastAsia="Times New Roman" w:hAnsi="Times New Roman" w:cs="Times New Roman"/>
          <w:sz w:val="28"/>
          <w:szCs w:val="28"/>
        </w:rPr>
        <w:t>%- другое семейное положение</w:t>
      </w:r>
      <w:r w:rsidRPr="004135FE">
        <w:rPr>
          <w:rFonts w:ascii="Times New Roman" w:hAnsi="Times New Roman" w:cs="Times New Roman"/>
          <w:sz w:val="28"/>
          <w:szCs w:val="28"/>
        </w:rPr>
        <w:t xml:space="preserve">. </w:t>
      </w:r>
      <w:r w:rsidRPr="004135FE">
        <w:rPr>
          <w:rFonts w:ascii="Times New Roman" w:eastAsia="Times New Roman" w:hAnsi="Times New Roman" w:cs="Times New Roman"/>
          <w:sz w:val="28"/>
          <w:szCs w:val="28"/>
        </w:rPr>
        <w:t>Семейных пациентов с СД2т в 23,74%</w:t>
      </w:r>
      <w:r w:rsidRPr="004135FE">
        <w:rPr>
          <w:rFonts w:ascii="Times New Roman" w:hAnsi="Times New Roman" w:cs="Times New Roman"/>
          <w:sz w:val="28"/>
          <w:szCs w:val="28"/>
        </w:rPr>
        <w:t xml:space="preserve"> случаях семья не всегда поддерживает, </w:t>
      </w:r>
      <w:r w:rsidRPr="004135FE">
        <w:rPr>
          <w:rFonts w:ascii="Times New Roman" w:eastAsia="Times New Roman" w:hAnsi="Times New Roman" w:cs="Times New Roman"/>
          <w:sz w:val="28"/>
          <w:szCs w:val="28"/>
        </w:rPr>
        <w:t>22,30%</w:t>
      </w:r>
      <w:r w:rsidRPr="004135FE">
        <w:rPr>
          <w:rFonts w:ascii="Times New Roman" w:hAnsi="Times New Roman" w:cs="Times New Roman"/>
          <w:sz w:val="28"/>
          <w:szCs w:val="28"/>
        </w:rPr>
        <w:t xml:space="preserve">-помогает контролировать сахар, </w:t>
      </w:r>
      <w:r w:rsidRPr="004135FE">
        <w:rPr>
          <w:rFonts w:ascii="Times New Roman" w:eastAsia="Times New Roman" w:hAnsi="Times New Roman" w:cs="Times New Roman"/>
          <w:sz w:val="28"/>
          <w:szCs w:val="28"/>
        </w:rPr>
        <w:t>15,47%</w:t>
      </w:r>
      <w:r w:rsidRPr="004135FE">
        <w:rPr>
          <w:rFonts w:ascii="Times New Roman" w:hAnsi="Times New Roman" w:cs="Times New Roman"/>
          <w:sz w:val="28"/>
          <w:szCs w:val="28"/>
        </w:rPr>
        <w:t xml:space="preserve">- помогает по быту и самоуходу, </w:t>
      </w:r>
      <w:r w:rsidRPr="004135FE">
        <w:rPr>
          <w:rFonts w:ascii="Times New Roman" w:eastAsia="Times New Roman" w:hAnsi="Times New Roman" w:cs="Times New Roman"/>
          <w:sz w:val="28"/>
          <w:szCs w:val="28"/>
        </w:rPr>
        <w:t>10,07%</w:t>
      </w:r>
      <w:r w:rsidRPr="004135FE">
        <w:rPr>
          <w:rFonts w:ascii="Times New Roman" w:hAnsi="Times New Roman" w:cs="Times New Roman"/>
          <w:sz w:val="28"/>
          <w:szCs w:val="28"/>
        </w:rPr>
        <w:t>- в семье не поддерживают. Пациентов в другом семейном положении в 17,33 случаях никто не поддерживает (</w:t>
      </w:r>
      <w:r w:rsidRPr="004135FE">
        <w:rPr>
          <w:rFonts w:ascii="Times New Roman" w:eastAsia="Times New Roman" w:hAnsi="Times New Roman" w:cs="Times New Roman"/>
          <w:sz w:val="28"/>
          <w:szCs w:val="28"/>
          <w:lang w:val="en-US"/>
        </w:rPr>
        <w:t>p</w:t>
      </w:r>
      <w:r w:rsidRPr="004135FE">
        <w:rPr>
          <w:rFonts w:ascii="Times New Roman" w:eastAsia="Times New Roman" w:hAnsi="Times New Roman" w:cs="Times New Roman"/>
          <w:sz w:val="28"/>
          <w:szCs w:val="28"/>
        </w:rPr>
        <w:t>= 0,002)</w:t>
      </w:r>
    </w:p>
    <w:p w14:paraId="64C624B1" w14:textId="77777777" w:rsidR="007A2C38" w:rsidRPr="004135FE" w:rsidRDefault="007A2C38" w:rsidP="004135FE">
      <w:pPr>
        <w:spacing w:after="0" w:line="240" w:lineRule="auto"/>
        <w:ind w:firstLine="708"/>
        <w:jc w:val="both"/>
        <w:rPr>
          <w:rFonts w:ascii="Times New Roman" w:hAnsi="Times New Roman" w:cs="Times New Roman"/>
          <w:sz w:val="28"/>
          <w:szCs w:val="28"/>
        </w:rPr>
      </w:pPr>
    </w:p>
    <w:p w14:paraId="207A976F" w14:textId="77777777" w:rsidR="007A2C38" w:rsidRPr="004135FE" w:rsidRDefault="007A2C38" w:rsidP="00375695">
      <w:pPr>
        <w:spacing w:after="0" w:line="240" w:lineRule="auto"/>
        <w:jc w:val="center"/>
        <w:rPr>
          <w:rFonts w:ascii="Times New Roman" w:hAnsi="Times New Roman" w:cs="Times New Roman"/>
          <w:sz w:val="28"/>
          <w:szCs w:val="28"/>
        </w:rPr>
      </w:pPr>
      <w:r w:rsidRPr="004135FE">
        <w:rPr>
          <w:noProof/>
          <w:sz w:val="28"/>
          <w:szCs w:val="28"/>
        </w:rPr>
        <w:drawing>
          <wp:inline distT="0" distB="0" distL="0" distR="0" wp14:anchorId="23653401" wp14:editId="792208FC">
            <wp:extent cx="5223933" cy="270891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2B57AB0" w14:textId="77777777" w:rsidR="00375695" w:rsidRDefault="00375695" w:rsidP="00375695">
      <w:pPr>
        <w:spacing w:after="0" w:line="240" w:lineRule="auto"/>
        <w:jc w:val="center"/>
        <w:rPr>
          <w:rFonts w:ascii="Times New Roman" w:hAnsi="Times New Roman" w:cs="Times New Roman"/>
          <w:sz w:val="28"/>
          <w:szCs w:val="28"/>
        </w:rPr>
      </w:pPr>
    </w:p>
    <w:p w14:paraId="1A103DD7" w14:textId="67A727F9" w:rsidR="007A2C38" w:rsidRPr="004135FE" w:rsidRDefault="007A2C38" w:rsidP="00375695">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39</w:t>
      </w:r>
      <w:r w:rsidR="00375695">
        <w:rPr>
          <w:rFonts w:ascii="Times New Roman" w:hAnsi="Times New Roman" w:cs="Times New Roman"/>
          <w:sz w:val="28"/>
          <w:szCs w:val="28"/>
        </w:rPr>
        <w:t xml:space="preserve"> </w:t>
      </w:r>
      <w:r w:rsidRPr="004135FE">
        <w:rPr>
          <w:rFonts w:ascii="Times New Roman" w:hAnsi="Times New Roman" w:cs="Times New Roman"/>
          <w:sz w:val="28"/>
          <w:szCs w:val="28"/>
        </w:rPr>
        <w:t xml:space="preserve">- </w:t>
      </w:r>
      <w:r w:rsidRPr="004135FE">
        <w:rPr>
          <w:rFonts w:ascii="Times New Roman" w:hAnsi="Times New Roman" w:cs="Times New Roman"/>
          <w:bCs/>
          <w:sz w:val="28"/>
          <w:szCs w:val="28"/>
        </w:rPr>
        <w:t>Реакция членов семьи пациента с СД2т на его диагноз в зависимости от семейного положения</w:t>
      </w:r>
    </w:p>
    <w:p w14:paraId="7C2123A3" w14:textId="77777777" w:rsidR="007A2C38" w:rsidRPr="004135FE" w:rsidRDefault="007A2C38" w:rsidP="004135FE">
      <w:pPr>
        <w:spacing w:after="0" w:line="240" w:lineRule="auto"/>
        <w:jc w:val="both"/>
        <w:rPr>
          <w:rFonts w:ascii="Times New Roman" w:hAnsi="Times New Roman" w:cs="Times New Roman"/>
          <w:sz w:val="28"/>
          <w:szCs w:val="28"/>
        </w:rPr>
      </w:pPr>
    </w:p>
    <w:p w14:paraId="1E612FCF" w14:textId="3EC0578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bCs/>
          <w:sz w:val="28"/>
          <w:szCs w:val="28"/>
        </w:rPr>
        <w:t xml:space="preserve">Влияние реакции членов семьи пациента с диагнозом СД2т на его </w:t>
      </w:r>
      <w:r w:rsidRPr="004135FE">
        <w:rPr>
          <w:rFonts w:ascii="Times New Roman" w:hAnsi="Times New Roman" w:cs="Times New Roman"/>
          <w:sz w:val="28"/>
          <w:szCs w:val="28"/>
        </w:rPr>
        <w:t xml:space="preserve">эмоциональное состояние во время карантина </w:t>
      </w:r>
      <w:r w:rsidRPr="004135FE">
        <w:rPr>
          <w:rFonts w:ascii="Times New Roman" w:hAnsi="Times New Roman" w:cs="Times New Roman"/>
          <w:sz w:val="28"/>
          <w:szCs w:val="28"/>
          <w:lang w:val="en-US"/>
        </w:rPr>
        <w:t>COVID</w:t>
      </w:r>
      <w:r w:rsidRPr="004135FE">
        <w:rPr>
          <w:rFonts w:ascii="Times New Roman" w:hAnsi="Times New Roman" w:cs="Times New Roman"/>
          <w:sz w:val="28"/>
          <w:szCs w:val="28"/>
        </w:rPr>
        <w:t>-19, так же имеют достоверные различия между сравниваемыми группами</w:t>
      </w:r>
      <w:r w:rsidR="00B728EF" w:rsidRPr="004135FE">
        <w:rPr>
          <w:rFonts w:ascii="Times New Roman" w:hAnsi="Times New Roman" w:cs="Times New Roman"/>
          <w:sz w:val="28"/>
          <w:szCs w:val="28"/>
        </w:rPr>
        <w:t xml:space="preserve"> (Таблица 38</w:t>
      </w:r>
      <w:r w:rsidRPr="004135FE">
        <w:rPr>
          <w:rFonts w:ascii="Times New Roman" w:hAnsi="Times New Roman" w:cs="Times New Roman"/>
          <w:sz w:val="28"/>
          <w:szCs w:val="28"/>
        </w:rPr>
        <w:t>). В данных ситуациях пациенты очень нуждаются в поддержке окружающих, близких и психосоциальной помощи для пациента и его семьи.</w:t>
      </w:r>
    </w:p>
    <w:p w14:paraId="1173DAF7"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Во время карантина ухудшение эмоционального состояния не наблюдалось у 24,30% пациентов, при котором члены семьи вместе соблюдают ЗОЖ, правильное питание. В 23,94% пациентов не всегда поддерживают близкие и 16,90% не поддерживают члены семьи, при этом у них эмоциональное состояние не ухудшилось. </w:t>
      </w:r>
    </w:p>
    <w:p w14:paraId="24A3E324"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У некоторых пациентов из-за стресса уровень сахара в крови не был стабильным и 36,84% случаях близкие помогли контролировать уровень сахара в крови, 26,32% родственники помогали им по быту и самоуходу. 38,64% - пациентов не знали, как себя вести при новых обстоятельствах, но вместе с близкими соблюдали ЗОЖ и правильное питание. При том что у 30,23%- пациентов участились семейные ссоры, недопонимания, близкие родственники помогали по быту и самоуходу. </w:t>
      </w:r>
    </w:p>
    <w:p w14:paraId="3E4D9267"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Некоторые пациенты переедали из-за страха снижения иммунитета и в 30,70% случаях не всегда поддерживали члены их семей, в 23,08% - помогали по быту и самоуходу (χ2=34,139, df=16, p=0,005).</w:t>
      </w:r>
    </w:p>
    <w:p w14:paraId="40F64758" w14:textId="25A93D37" w:rsidR="007A2C38" w:rsidRPr="004135FE" w:rsidRDefault="007A2C38" w:rsidP="004135FE">
      <w:pPr>
        <w:tabs>
          <w:tab w:val="left" w:pos="375"/>
          <w:tab w:val="left" w:pos="426"/>
        </w:tabs>
        <w:spacing w:after="0" w:line="240" w:lineRule="auto"/>
        <w:jc w:val="both"/>
        <w:rPr>
          <w:rFonts w:ascii="Times New Roman" w:hAnsi="Times New Roman" w:cs="Times New Roman"/>
          <w:sz w:val="28"/>
          <w:szCs w:val="28"/>
        </w:rPr>
      </w:pPr>
    </w:p>
    <w:p w14:paraId="431BD136" w14:textId="7A23A6D8" w:rsidR="007A2C38"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bCs/>
          <w:sz w:val="28"/>
          <w:szCs w:val="28"/>
        </w:rPr>
        <w:t xml:space="preserve">Таблица </w:t>
      </w:r>
      <w:r w:rsidR="00B728EF" w:rsidRPr="004135FE">
        <w:rPr>
          <w:rFonts w:ascii="Times New Roman" w:hAnsi="Times New Roman" w:cs="Times New Roman"/>
          <w:bCs/>
          <w:sz w:val="28"/>
          <w:szCs w:val="28"/>
        </w:rPr>
        <w:t>38</w:t>
      </w:r>
      <w:r w:rsidR="00B20701">
        <w:rPr>
          <w:rFonts w:ascii="Times New Roman" w:hAnsi="Times New Roman" w:cs="Times New Roman"/>
          <w:bCs/>
          <w:sz w:val="28"/>
          <w:szCs w:val="28"/>
        </w:rPr>
        <w:t xml:space="preserve"> </w:t>
      </w:r>
      <w:r w:rsidRPr="004135FE">
        <w:rPr>
          <w:rFonts w:ascii="Times New Roman" w:hAnsi="Times New Roman" w:cs="Times New Roman"/>
          <w:bCs/>
          <w:sz w:val="28"/>
          <w:szCs w:val="28"/>
        </w:rPr>
        <w:t xml:space="preserve">- Влияние реакции членов семьи пациента с диагнозом СД2т на </w:t>
      </w:r>
      <w:r w:rsidRPr="004135FE">
        <w:rPr>
          <w:rFonts w:ascii="Times New Roman" w:hAnsi="Times New Roman" w:cs="Times New Roman"/>
          <w:sz w:val="28"/>
          <w:szCs w:val="28"/>
        </w:rPr>
        <w:t xml:space="preserve">эмоциональное состояние во время карантина </w:t>
      </w:r>
      <w:r w:rsidRPr="004135FE">
        <w:rPr>
          <w:rFonts w:ascii="Times New Roman" w:hAnsi="Times New Roman" w:cs="Times New Roman"/>
          <w:sz w:val="28"/>
          <w:szCs w:val="28"/>
          <w:lang w:val="en-US"/>
        </w:rPr>
        <w:t>COVID</w:t>
      </w:r>
      <w:r w:rsidRPr="004135FE">
        <w:rPr>
          <w:rFonts w:ascii="Times New Roman" w:hAnsi="Times New Roman" w:cs="Times New Roman"/>
          <w:sz w:val="28"/>
          <w:szCs w:val="28"/>
        </w:rPr>
        <w:t>-19</w:t>
      </w:r>
    </w:p>
    <w:p w14:paraId="52B00EBD" w14:textId="77777777" w:rsidR="00F463F6" w:rsidRPr="004135FE" w:rsidRDefault="00F463F6" w:rsidP="004135FE">
      <w:pPr>
        <w:autoSpaceDE w:val="0"/>
        <w:autoSpaceDN w:val="0"/>
        <w:adjustRightInd w:val="0"/>
        <w:spacing w:after="0" w:line="240" w:lineRule="auto"/>
        <w:jc w:val="both"/>
        <w:rPr>
          <w:rFonts w:ascii="Times New Roman" w:hAnsi="Times New Roman" w:cs="Times New Roman"/>
          <w:sz w:val="28"/>
          <w:szCs w:val="28"/>
        </w:rPr>
      </w:pPr>
    </w:p>
    <w:tbl>
      <w:tblPr>
        <w:tblStyle w:val="af9"/>
        <w:tblpPr w:leftFromText="180" w:rightFromText="180" w:vertAnchor="text" w:tblpX="-10" w:tblpY="1"/>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1135"/>
        <w:gridCol w:w="1271"/>
        <w:gridCol w:w="1417"/>
        <w:gridCol w:w="1418"/>
        <w:gridCol w:w="1134"/>
        <w:gridCol w:w="1275"/>
        <w:gridCol w:w="1134"/>
      </w:tblGrid>
      <w:tr w:rsidR="007A2C38" w:rsidRPr="00967081" w14:paraId="604811E9" w14:textId="77777777" w:rsidTr="00541FF2">
        <w:tc>
          <w:tcPr>
            <w:tcW w:w="1985" w:type="dxa"/>
            <w:gridSpan w:val="2"/>
            <w:vMerge w:val="restart"/>
          </w:tcPr>
          <w:p w14:paraId="1D35E115" w14:textId="77777777" w:rsidR="007A2C38" w:rsidRPr="00967081" w:rsidRDefault="007A2C38" w:rsidP="00967081">
            <w:pPr>
              <w:autoSpaceDE w:val="0"/>
              <w:autoSpaceDN w:val="0"/>
              <w:adjustRightInd w:val="0"/>
              <w:spacing w:after="0" w:line="240" w:lineRule="auto"/>
              <w:ind w:left="-113"/>
              <w:jc w:val="both"/>
              <w:rPr>
                <w:rFonts w:ascii="Times New Roman" w:hAnsi="Times New Roman" w:cs="Times New Roman"/>
                <w:sz w:val="24"/>
                <w:szCs w:val="24"/>
                <w:lang w:val="kk-KZ"/>
              </w:rPr>
            </w:pPr>
            <w:r w:rsidRPr="00967081">
              <w:rPr>
                <w:rFonts w:ascii="Times New Roman" w:hAnsi="Times New Roman" w:cs="Times New Roman"/>
                <w:sz w:val="24"/>
                <w:szCs w:val="24"/>
                <w:lang w:val="kk-KZ"/>
              </w:rPr>
              <w:t>Вопрос</w:t>
            </w:r>
          </w:p>
        </w:tc>
        <w:tc>
          <w:tcPr>
            <w:tcW w:w="7649" w:type="dxa"/>
            <w:gridSpan w:val="6"/>
          </w:tcPr>
          <w:p w14:paraId="37089BA6" w14:textId="77777777" w:rsidR="007A2C38" w:rsidRPr="00967081" w:rsidRDefault="007A2C38" w:rsidP="00967081">
            <w:pPr>
              <w:spacing w:after="0" w:line="240" w:lineRule="auto"/>
              <w:jc w:val="center"/>
              <w:rPr>
                <w:rFonts w:ascii="Times New Roman" w:eastAsia="Times New Roman" w:hAnsi="Times New Roman" w:cs="Times New Roman"/>
                <w:sz w:val="24"/>
                <w:szCs w:val="24"/>
              </w:rPr>
            </w:pPr>
            <w:r w:rsidRPr="00967081">
              <w:rPr>
                <w:rFonts w:ascii="Times New Roman" w:hAnsi="Times New Roman" w:cs="Times New Roman"/>
                <w:sz w:val="24"/>
                <w:szCs w:val="24"/>
              </w:rPr>
              <w:t xml:space="preserve">Какие были у вас ухудшения эмоционального состояния во время карантина </w:t>
            </w:r>
            <w:r w:rsidRPr="00967081">
              <w:rPr>
                <w:rFonts w:ascii="Times New Roman" w:hAnsi="Times New Roman" w:cs="Times New Roman"/>
                <w:sz w:val="24"/>
                <w:szCs w:val="24"/>
                <w:lang w:val="en-US"/>
              </w:rPr>
              <w:t>COVID</w:t>
            </w:r>
            <w:r w:rsidRPr="00967081">
              <w:rPr>
                <w:rFonts w:ascii="Times New Roman" w:hAnsi="Times New Roman" w:cs="Times New Roman"/>
                <w:sz w:val="24"/>
                <w:szCs w:val="24"/>
              </w:rPr>
              <w:t>-19</w:t>
            </w:r>
          </w:p>
        </w:tc>
      </w:tr>
      <w:tr w:rsidR="007A2C38" w:rsidRPr="00967081" w14:paraId="7CA82CED" w14:textId="77777777" w:rsidTr="00541FF2">
        <w:tc>
          <w:tcPr>
            <w:tcW w:w="1985" w:type="dxa"/>
            <w:gridSpan w:val="2"/>
            <w:vMerge/>
          </w:tcPr>
          <w:p w14:paraId="47E3F2FB" w14:textId="77777777" w:rsidR="007A2C38" w:rsidRPr="00967081" w:rsidRDefault="007A2C38" w:rsidP="00967081">
            <w:pPr>
              <w:autoSpaceDE w:val="0"/>
              <w:autoSpaceDN w:val="0"/>
              <w:adjustRightInd w:val="0"/>
              <w:spacing w:after="0" w:line="240" w:lineRule="auto"/>
              <w:jc w:val="both"/>
              <w:rPr>
                <w:rFonts w:ascii="Times New Roman" w:hAnsi="Times New Roman" w:cs="Times New Roman"/>
                <w:sz w:val="24"/>
                <w:szCs w:val="24"/>
              </w:rPr>
            </w:pPr>
          </w:p>
        </w:tc>
        <w:tc>
          <w:tcPr>
            <w:tcW w:w="1271" w:type="dxa"/>
          </w:tcPr>
          <w:p w14:paraId="7D0E41AC" w14:textId="77777777" w:rsidR="00967081" w:rsidRDefault="007A2C38" w:rsidP="00967081">
            <w:pPr>
              <w:autoSpaceDE w:val="0"/>
              <w:autoSpaceDN w:val="0"/>
              <w:adjustRightInd w:val="0"/>
              <w:spacing w:after="0" w:line="240" w:lineRule="auto"/>
              <w:jc w:val="both"/>
              <w:rPr>
                <w:rFonts w:ascii="Times New Roman" w:hAnsi="Times New Roman" w:cs="Times New Roman"/>
                <w:sz w:val="24"/>
                <w:szCs w:val="24"/>
              </w:rPr>
            </w:pPr>
            <w:r w:rsidRPr="00967081">
              <w:rPr>
                <w:rFonts w:ascii="Times New Roman" w:hAnsi="Times New Roman" w:cs="Times New Roman"/>
                <w:sz w:val="24"/>
                <w:szCs w:val="24"/>
              </w:rPr>
              <w:t xml:space="preserve">Нет, </w:t>
            </w:r>
          </w:p>
          <w:p w14:paraId="0EED7123" w14:textId="3A80DF96" w:rsidR="007A2C38" w:rsidRPr="00967081" w:rsidRDefault="007A2C38" w:rsidP="00967081">
            <w:pPr>
              <w:autoSpaceDE w:val="0"/>
              <w:autoSpaceDN w:val="0"/>
              <w:adjustRightInd w:val="0"/>
              <w:spacing w:after="0" w:line="240" w:lineRule="auto"/>
              <w:jc w:val="both"/>
              <w:rPr>
                <w:rFonts w:ascii="Times New Roman" w:hAnsi="Times New Roman" w:cs="Times New Roman"/>
                <w:sz w:val="24"/>
                <w:szCs w:val="24"/>
              </w:rPr>
            </w:pPr>
            <w:r w:rsidRPr="00967081">
              <w:rPr>
                <w:rFonts w:ascii="Times New Roman" w:hAnsi="Times New Roman" w:cs="Times New Roman"/>
                <w:sz w:val="24"/>
                <w:szCs w:val="24"/>
              </w:rPr>
              <w:t>не было</w:t>
            </w:r>
          </w:p>
        </w:tc>
        <w:tc>
          <w:tcPr>
            <w:tcW w:w="1417" w:type="dxa"/>
          </w:tcPr>
          <w:p w14:paraId="4619F90C" w14:textId="77777777" w:rsidR="007A2C38" w:rsidRPr="00967081" w:rsidRDefault="007A2C38" w:rsidP="00967081">
            <w:pPr>
              <w:autoSpaceDE w:val="0"/>
              <w:autoSpaceDN w:val="0"/>
              <w:adjustRightInd w:val="0"/>
              <w:spacing w:after="0" w:line="240" w:lineRule="auto"/>
              <w:jc w:val="both"/>
              <w:rPr>
                <w:rFonts w:ascii="Times New Roman" w:hAnsi="Times New Roman" w:cs="Times New Roman"/>
                <w:sz w:val="24"/>
                <w:szCs w:val="24"/>
              </w:rPr>
            </w:pPr>
            <w:r w:rsidRPr="00967081">
              <w:rPr>
                <w:rFonts w:ascii="Times New Roman" w:hAnsi="Times New Roman" w:cs="Times New Roman"/>
                <w:sz w:val="24"/>
                <w:szCs w:val="24"/>
              </w:rPr>
              <w:t>Уровень сахара был неконтролируемым из-за стресса</w:t>
            </w:r>
          </w:p>
        </w:tc>
        <w:tc>
          <w:tcPr>
            <w:tcW w:w="1418" w:type="dxa"/>
          </w:tcPr>
          <w:p w14:paraId="6D741713" w14:textId="77777777" w:rsidR="007A2C38" w:rsidRPr="00967081" w:rsidRDefault="007A2C38" w:rsidP="00967081">
            <w:pPr>
              <w:autoSpaceDE w:val="0"/>
              <w:autoSpaceDN w:val="0"/>
              <w:adjustRightInd w:val="0"/>
              <w:spacing w:after="0" w:line="240" w:lineRule="auto"/>
              <w:jc w:val="both"/>
              <w:rPr>
                <w:rFonts w:ascii="Times New Roman" w:hAnsi="Times New Roman" w:cs="Times New Roman"/>
                <w:sz w:val="24"/>
                <w:szCs w:val="24"/>
              </w:rPr>
            </w:pPr>
            <w:r w:rsidRPr="00967081">
              <w:rPr>
                <w:rFonts w:ascii="Times New Roman" w:hAnsi="Times New Roman" w:cs="Times New Roman"/>
                <w:sz w:val="24"/>
                <w:szCs w:val="24"/>
              </w:rPr>
              <w:t>Не знал(а), как себя вести при новых обстоятельствах</w:t>
            </w:r>
          </w:p>
        </w:tc>
        <w:tc>
          <w:tcPr>
            <w:tcW w:w="1134" w:type="dxa"/>
          </w:tcPr>
          <w:p w14:paraId="19A62C51" w14:textId="77777777" w:rsidR="007A2C38" w:rsidRPr="00967081" w:rsidRDefault="007A2C38" w:rsidP="00967081">
            <w:pPr>
              <w:autoSpaceDE w:val="0"/>
              <w:autoSpaceDN w:val="0"/>
              <w:adjustRightInd w:val="0"/>
              <w:spacing w:after="0" w:line="240" w:lineRule="auto"/>
              <w:jc w:val="both"/>
              <w:rPr>
                <w:rFonts w:ascii="Times New Roman" w:hAnsi="Times New Roman" w:cs="Times New Roman"/>
                <w:sz w:val="24"/>
                <w:szCs w:val="24"/>
              </w:rPr>
            </w:pPr>
            <w:r w:rsidRPr="00967081">
              <w:rPr>
                <w:rFonts w:ascii="Times New Roman" w:hAnsi="Times New Roman" w:cs="Times New Roman"/>
                <w:sz w:val="24"/>
                <w:szCs w:val="24"/>
              </w:rPr>
              <w:t>Участились семейные ссоры, недопонимания</w:t>
            </w:r>
          </w:p>
        </w:tc>
        <w:tc>
          <w:tcPr>
            <w:tcW w:w="1275" w:type="dxa"/>
          </w:tcPr>
          <w:p w14:paraId="16FECF02" w14:textId="77777777" w:rsidR="007A2C38" w:rsidRPr="00967081" w:rsidRDefault="007A2C38" w:rsidP="00967081">
            <w:pPr>
              <w:autoSpaceDE w:val="0"/>
              <w:autoSpaceDN w:val="0"/>
              <w:adjustRightInd w:val="0"/>
              <w:spacing w:after="0" w:line="240" w:lineRule="auto"/>
              <w:jc w:val="both"/>
              <w:rPr>
                <w:rFonts w:ascii="Times New Roman" w:hAnsi="Times New Roman" w:cs="Times New Roman"/>
                <w:sz w:val="24"/>
                <w:szCs w:val="24"/>
              </w:rPr>
            </w:pPr>
            <w:r w:rsidRPr="00967081">
              <w:rPr>
                <w:rFonts w:ascii="Times New Roman" w:hAnsi="Times New Roman" w:cs="Times New Roman"/>
                <w:sz w:val="24"/>
                <w:szCs w:val="24"/>
              </w:rPr>
              <w:t>Переедал из-за страха снижения иммунитета</w:t>
            </w:r>
          </w:p>
        </w:tc>
        <w:tc>
          <w:tcPr>
            <w:tcW w:w="1134" w:type="dxa"/>
          </w:tcPr>
          <w:p w14:paraId="48584051" w14:textId="77777777" w:rsidR="007A2C38" w:rsidRPr="00967081" w:rsidRDefault="007A2C38" w:rsidP="00967081">
            <w:pPr>
              <w:spacing w:after="0" w:line="240" w:lineRule="auto"/>
              <w:jc w:val="center"/>
              <w:rPr>
                <w:rFonts w:ascii="Times New Roman" w:eastAsia="Times New Roman" w:hAnsi="Times New Roman" w:cs="Times New Roman"/>
                <w:sz w:val="24"/>
                <w:szCs w:val="24"/>
              </w:rPr>
            </w:pPr>
            <w:r w:rsidRPr="00967081">
              <w:rPr>
                <w:rFonts w:ascii="Times New Roman" w:eastAsia="Times New Roman" w:hAnsi="Times New Roman" w:cs="Times New Roman"/>
                <w:sz w:val="24"/>
                <w:szCs w:val="24"/>
              </w:rPr>
              <w:t>Всего</w:t>
            </w:r>
          </w:p>
        </w:tc>
      </w:tr>
      <w:tr w:rsidR="007A2C38" w:rsidRPr="00967081" w14:paraId="4A722C63" w14:textId="77777777" w:rsidTr="00541FF2">
        <w:tc>
          <w:tcPr>
            <w:tcW w:w="850" w:type="dxa"/>
            <w:vMerge w:val="restart"/>
          </w:tcPr>
          <w:p w14:paraId="5AD08791" w14:textId="77777777" w:rsidR="007A2C38" w:rsidRPr="00967081" w:rsidRDefault="007A2C38" w:rsidP="00967081">
            <w:pPr>
              <w:autoSpaceDE w:val="0"/>
              <w:autoSpaceDN w:val="0"/>
              <w:adjustRightInd w:val="0"/>
              <w:spacing w:after="0" w:line="240" w:lineRule="auto"/>
              <w:jc w:val="both"/>
              <w:rPr>
                <w:rFonts w:ascii="Times New Roman" w:hAnsi="Times New Roman" w:cs="Times New Roman"/>
                <w:sz w:val="24"/>
                <w:szCs w:val="24"/>
              </w:rPr>
            </w:pPr>
            <w:r w:rsidRPr="00967081">
              <w:rPr>
                <w:rFonts w:ascii="Times New Roman" w:hAnsi="Times New Roman" w:cs="Times New Roman"/>
                <w:sz w:val="24"/>
                <w:szCs w:val="24"/>
              </w:rPr>
              <w:t xml:space="preserve">Как реагируют остальные члены семьи на Ваш диагноз СД2тип </w:t>
            </w:r>
          </w:p>
          <w:p w14:paraId="0CEDAF1A" w14:textId="77777777" w:rsidR="007A2C38" w:rsidRPr="00967081" w:rsidRDefault="007A2C38" w:rsidP="00967081">
            <w:pPr>
              <w:autoSpaceDE w:val="0"/>
              <w:autoSpaceDN w:val="0"/>
              <w:adjustRightInd w:val="0"/>
              <w:spacing w:after="0" w:line="240" w:lineRule="auto"/>
              <w:jc w:val="both"/>
              <w:rPr>
                <w:rFonts w:ascii="Times New Roman" w:hAnsi="Times New Roman" w:cs="Times New Roman"/>
                <w:sz w:val="24"/>
                <w:szCs w:val="24"/>
              </w:rPr>
            </w:pPr>
          </w:p>
        </w:tc>
        <w:tc>
          <w:tcPr>
            <w:tcW w:w="1135" w:type="dxa"/>
          </w:tcPr>
          <w:p w14:paraId="156341BA" w14:textId="77777777"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hAnsi="Times New Roman" w:cs="Times New Roman"/>
                <w:sz w:val="24"/>
                <w:szCs w:val="24"/>
              </w:rPr>
              <w:t>Не поддерживают</w:t>
            </w:r>
          </w:p>
        </w:tc>
        <w:tc>
          <w:tcPr>
            <w:tcW w:w="1271" w:type="dxa"/>
          </w:tcPr>
          <w:p w14:paraId="1BDD48C6" w14:textId="1B5CB951"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48</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(16,90%)</w:t>
            </w:r>
          </w:p>
        </w:tc>
        <w:tc>
          <w:tcPr>
            <w:tcW w:w="1417" w:type="dxa"/>
          </w:tcPr>
          <w:p w14:paraId="707E5548" w14:textId="3334B73C" w:rsidR="00967081" w:rsidRDefault="007A2C38" w:rsidP="00967081">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967081">
              <w:rPr>
                <w:rFonts w:ascii="Times New Roman" w:eastAsia="Times New Roman" w:hAnsi="Times New Roman" w:cs="Times New Roman"/>
                <w:color w:val="000000"/>
                <w:sz w:val="24"/>
                <w:szCs w:val="24"/>
              </w:rPr>
              <w:t>3</w:t>
            </w:r>
          </w:p>
          <w:p w14:paraId="133DA35B" w14:textId="26FA6EEE"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(5,26%)</w:t>
            </w:r>
          </w:p>
        </w:tc>
        <w:tc>
          <w:tcPr>
            <w:tcW w:w="1418" w:type="dxa"/>
          </w:tcPr>
          <w:p w14:paraId="60A77D02" w14:textId="77777777" w:rsidR="00967081" w:rsidRDefault="007A2C38" w:rsidP="00967081">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967081">
              <w:rPr>
                <w:rFonts w:ascii="Times New Roman" w:eastAsia="Times New Roman" w:hAnsi="Times New Roman" w:cs="Times New Roman"/>
                <w:color w:val="000000"/>
                <w:sz w:val="24"/>
                <w:szCs w:val="24"/>
              </w:rPr>
              <w:t>3</w:t>
            </w:r>
            <w:r w:rsidR="00967081">
              <w:rPr>
                <w:rFonts w:ascii="Times New Roman" w:eastAsia="Times New Roman" w:hAnsi="Times New Roman" w:cs="Times New Roman"/>
                <w:color w:val="000000"/>
                <w:sz w:val="24"/>
                <w:szCs w:val="24"/>
              </w:rPr>
              <w:t xml:space="preserve"> </w:t>
            </w:r>
          </w:p>
          <w:p w14:paraId="3EB0A237" w14:textId="20D9DAB1"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(6,82%)</w:t>
            </w:r>
          </w:p>
        </w:tc>
        <w:tc>
          <w:tcPr>
            <w:tcW w:w="1134" w:type="dxa"/>
          </w:tcPr>
          <w:p w14:paraId="194BEEC0" w14:textId="1D1C26EC"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6</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(13,95%)</w:t>
            </w:r>
          </w:p>
        </w:tc>
        <w:tc>
          <w:tcPr>
            <w:tcW w:w="1275" w:type="dxa"/>
          </w:tcPr>
          <w:p w14:paraId="1112FC44" w14:textId="5C0DECB2"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3</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(5,77%)</w:t>
            </w:r>
          </w:p>
        </w:tc>
        <w:tc>
          <w:tcPr>
            <w:tcW w:w="1134" w:type="dxa"/>
          </w:tcPr>
          <w:p w14:paraId="20647F3E" w14:textId="1D3E5503"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63</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w:t>
            </w:r>
            <w:r w:rsidRPr="00967081">
              <w:rPr>
                <w:rFonts w:ascii="Times New Roman" w:hAnsi="Times New Roman" w:cs="Times New Roman"/>
                <w:color w:val="000000"/>
                <w:sz w:val="24"/>
                <w:szCs w:val="24"/>
              </w:rPr>
              <w:t>13,13</w:t>
            </w:r>
            <w:r w:rsidRPr="00967081">
              <w:rPr>
                <w:rFonts w:ascii="Times New Roman" w:eastAsia="Times New Roman" w:hAnsi="Times New Roman" w:cs="Times New Roman"/>
                <w:color w:val="000000"/>
                <w:sz w:val="24"/>
                <w:szCs w:val="24"/>
              </w:rPr>
              <w:t>%)</w:t>
            </w:r>
          </w:p>
        </w:tc>
      </w:tr>
      <w:tr w:rsidR="007A2C38" w:rsidRPr="00967081" w14:paraId="40F1D9F0" w14:textId="77777777" w:rsidTr="00541FF2">
        <w:tc>
          <w:tcPr>
            <w:tcW w:w="850" w:type="dxa"/>
            <w:vMerge/>
          </w:tcPr>
          <w:p w14:paraId="191DBB04" w14:textId="77777777" w:rsidR="007A2C38" w:rsidRPr="00967081" w:rsidRDefault="007A2C38" w:rsidP="00967081">
            <w:pPr>
              <w:autoSpaceDE w:val="0"/>
              <w:autoSpaceDN w:val="0"/>
              <w:adjustRightInd w:val="0"/>
              <w:spacing w:after="0" w:line="240" w:lineRule="auto"/>
              <w:jc w:val="both"/>
              <w:rPr>
                <w:rFonts w:ascii="Times New Roman" w:hAnsi="Times New Roman" w:cs="Times New Roman"/>
                <w:sz w:val="24"/>
                <w:szCs w:val="24"/>
              </w:rPr>
            </w:pPr>
          </w:p>
        </w:tc>
        <w:tc>
          <w:tcPr>
            <w:tcW w:w="1135" w:type="dxa"/>
          </w:tcPr>
          <w:p w14:paraId="249C5542" w14:textId="77777777"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hAnsi="Times New Roman" w:cs="Times New Roman"/>
                <w:sz w:val="24"/>
                <w:szCs w:val="24"/>
              </w:rPr>
              <w:t>Поддерживают не всегда</w:t>
            </w:r>
          </w:p>
        </w:tc>
        <w:tc>
          <w:tcPr>
            <w:tcW w:w="1271" w:type="dxa"/>
          </w:tcPr>
          <w:p w14:paraId="1C7F7F6C" w14:textId="4C3148FE"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68</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(23,94%)</w:t>
            </w:r>
          </w:p>
        </w:tc>
        <w:tc>
          <w:tcPr>
            <w:tcW w:w="1417" w:type="dxa"/>
          </w:tcPr>
          <w:p w14:paraId="7E001657" w14:textId="08664AB2" w:rsidR="00967081" w:rsidRDefault="007A2C38" w:rsidP="00967081">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967081">
              <w:rPr>
                <w:rFonts w:ascii="Times New Roman" w:eastAsia="Times New Roman" w:hAnsi="Times New Roman" w:cs="Times New Roman"/>
                <w:color w:val="000000"/>
                <w:sz w:val="24"/>
                <w:szCs w:val="24"/>
              </w:rPr>
              <w:t>9</w:t>
            </w:r>
          </w:p>
          <w:p w14:paraId="62481FC9" w14:textId="399AAD88"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(15,79%)</w:t>
            </w:r>
          </w:p>
        </w:tc>
        <w:tc>
          <w:tcPr>
            <w:tcW w:w="1418" w:type="dxa"/>
          </w:tcPr>
          <w:p w14:paraId="31303123" w14:textId="77777777" w:rsidR="00967081" w:rsidRDefault="007A2C38" w:rsidP="00967081">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967081">
              <w:rPr>
                <w:rFonts w:ascii="Times New Roman" w:eastAsia="Times New Roman" w:hAnsi="Times New Roman" w:cs="Times New Roman"/>
                <w:color w:val="000000"/>
                <w:sz w:val="24"/>
                <w:szCs w:val="24"/>
              </w:rPr>
              <w:t>8</w:t>
            </w:r>
            <w:r w:rsidR="00967081">
              <w:rPr>
                <w:rFonts w:ascii="Times New Roman" w:eastAsia="Times New Roman" w:hAnsi="Times New Roman" w:cs="Times New Roman"/>
                <w:color w:val="000000"/>
                <w:sz w:val="24"/>
                <w:szCs w:val="24"/>
              </w:rPr>
              <w:t xml:space="preserve"> </w:t>
            </w:r>
          </w:p>
          <w:p w14:paraId="03F83BCA" w14:textId="1E154621"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(18,18%)</w:t>
            </w:r>
          </w:p>
        </w:tc>
        <w:tc>
          <w:tcPr>
            <w:tcW w:w="1134" w:type="dxa"/>
          </w:tcPr>
          <w:p w14:paraId="651A58B9" w14:textId="174DB235"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10</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(23,26%)</w:t>
            </w:r>
          </w:p>
        </w:tc>
        <w:tc>
          <w:tcPr>
            <w:tcW w:w="1275" w:type="dxa"/>
          </w:tcPr>
          <w:p w14:paraId="3ECA8EB8" w14:textId="4BFF2C27"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16</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(30,77%)</w:t>
            </w:r>
          </w:p>
        </w:tc>
        <w:tc>
          <w:tcPr>
            <w:tcW w:w="1134" w:type="dxa"/>
          </w:tcPr>
          <w:p w14:paraId="7BD1F6B1" w14:textId="7B502097"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111</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w:t>
            </w:r>
            <w:r w:rsidRPr="00967081">
              <w:rPr>
                <w:rFonts w:ascii="Times New Roman" w:hAnsi="Times New Roman" w:cs="Times New Roman"/>
                <w:color w:val="000000"/>
                <w:sz w:val="24"/>
                <w:szCs w:val="24"/>
              </w:rPr>
              <w:t>23,13</w:t>
            </w:r>
            <w:r w:rsidRPr="00967081">
              <w:rPr>
                <w:rFonts w:ascii="Times New Roman" w:eastAsia="Times New Roman" w:hAnsi="Times New Roman" w:cs="Times New Roman"/>
                <w:color w:val="000000"/>
                <w:sz w:val="24"/>
                <w:szCs w:val="24"/>
              </w:rPr>
              <w:t>%)</w:t>
            </w:r>
          </w:p>
        </w:tc>
      </w:tr>
      <w:tr w:rsidR="007A2C38" w:rsidRPr="00967081" w14:paraId="5460DA7A" w14:textId="77777777" w:rsidTr="00541FF2">
        <w:tc>
          <w:tcPr>
            <w:tcW w:w="850" w:type="dxa"/>
            <w:vMerge/>
          </w:tcPr>
          <w:p w14:paraId="1942ACEC" w14:textId="77777777" w:rsidR="007A2C38" w:rsidRPr="00967081" w:rsidRDefault="007A2C38" w:rsidP="00967081">
            <w:pPr>
              <w:autoSpaceDE w:val="0"/>
              <w:autoSpaceDN w:val="0"/>
              <w:adjustRightInd w:val="0"/>
              <w:spacing w:after="0" w:line="240" w:lineRule="auto"/>
              <w:jc w:val="both"/>
              <w:rPr>
                <w:rFonts w:ascii="Times New Roman" w:hAnsi="Times New Roman" w:cs="Times New Roman"/>
                <w:sz w:val="24"/>
                <w:szCs w:val="24"/>
              </w:rPr>
            </w:pPr>
          </w:p>
        </w:tc>
        <w:tc>
          <w:tcPr>
            <w:tcW w:w="1135" w:type="dxa"/>
          </w:tcPr>
          <w:p w14:paraId="2DF0A051" w14:textId="77777777"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hAnsi="Times New Roman" w:cs="Times New Roman"/>
                <w:sz w:val="24"/>
                <w:szCs w:val="24"/>
              </w:rPr>
              <w:t>Помогают контролировать сахар</w:t>
            </w:r>
          </w:p>
        </w:tc>
        <w:tc>
          <w:tcPr>
            <w:tcW w:w="1271" w:type="dxa"/>
          </w:tcPr>
          <w:p w14:paraId="03432151" w14:textId="19CA279F"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55</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(19,37%)</w:t>
            </w:r>
          </w:p>
        </w:tc>
        <w:tc>
          <w:tcPr>
            <w:tcW w:w="1417" w:type="dxa"/>
          </w:tcPr>
          <w:p w14:paraId="388B8A6E" w14:textId="77777777" w:rsidR="00967081" w:rsidRDefault="007A2C38" w:rsidP="00967081">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967081">
              <w:rPr>
                <w:rFonts w:ascii="Times New Roman" w:eastAsia="Times New Roman" w:hAnsi="Times New Roman" w:cs="Times New Roman"/>
                <w:color w:val="000000"/>
                <w:sz w:val="24"/>
                <w:szCs w:val="24"/>
              </w:rPr>
              <w:t>21</w:t>
            </w:r>
          </w:p>
          <w:p w14:paraId="4161C464" w14:textId="574C5698"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(36,84%)</w:t>
            </w:r>
          </w:p>
        </w:tc>
        <w:tc>
          <w:tcPr>
            <w:tcW w:w="1418" w:type="dxa"/>
          </w:tcPr>
          <w:p w14:paraId="616FEE49" w14:textId="77777777" w:rsidR="00967081" w:rsidRDefault="007A2C38" w:rsidP="00967081">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967081">
              <w:rPr>
                <w:rFonts w:ascii="Times New Roman" w:eastAsia="Times New Roman" w:hAnsi="Times New Roman" w:cs="Times New Roman"/>
                <w:color w:val="000000"/>
                <w:sz w:val="24"/>
                <w:szCs w:val="24"/>
              </w:rPr>
              <w:t>8</w:t>
            </w:r>
            <w:r w:rsidR="00967081">
              <w:rPr>
                <w:rFonts w:ascii="Times New Roman" w:eastAsia="Times New Roman" w:hAnsi="Times New Roman" w:cs="Times New Roman"/>
                <w:color w:val="000000"/>
                <w:sz w:val="24"/>
                <w:szCs w:val="24"/>
              </w:rPr>
              <w:t xml:space="preserve"> </w:t>
            </w:r>
          </w:p>
          <w:p w14:paraId="5EB8115C" w14:textId="602408BC"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(18,18%)</w:t>
            </w:r>
          </w:p>
        </w:tc>
        <w:tc>
          <w:tcPr>
            <w:tcW w:w="1134" w:type="dxa"/>
          </w:tcPr>
          <w:p w14:paraId="567EEFE1" w14:textId="7B5EAF16"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6</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(13,95%)</w:t>
            </w:r>
          </w:p>
        </w:tc>
        <w:tc>
          <w:tcPr>
            <w:tcW w:w="1275" w:type="dxa"/>
          </w:tcPr>
          <w:p w14:paraId="5EC5756F" w14:textId="7A6FE543"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11</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(21,15%)</w:t>
            </w:r>
          </w:p>
        </w:tc>
        <w:tc>
          <w:tcPr>
            <w:tcW w:w="1134" w:type="dxa"/>
          </w:tcPr>
          <w:p w14:paraId="58371657" w14:textId="31BB285D"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101</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w:t>
            </w:r>
            <w:r w:rsidRPr="00967081">
              <w:rPr>
                <w:rFonts w:ascii="Times New Roman" w:hAnsi="Times New Roman" w:cs="Times New Roman"/>
                <w:color w:val="000000"/>
                <w:sz w:val="24"/>
                <w:szCs w:val="24"/>
              </w:rPr>
              <w:t>21,04</w:t>
            </w:r>
            <w:r w:rsidRPr="00967081">
              <w:rPr>
                <w:rFonts w:ascii="Times New Roman" w:eastAsia="Times New Roman" w:hAnsi="Times New Roman" w:cs="Times New Roman"/>
                <w:color w:val="000000"/>
                <w:sz w:val="24"/>
                <w:szCs w:val="24"/>
              </w:rPr>
              <w:t>%)</w:t>
            </w:r>
          </w:p>
        </w:tc>
      </w:tr>
      <w:tr w:rsidR="007A2C38" w:rsidRPr="00967081" w14:paraId="51F2E03F" w14:textId="77777777" w:rsidTr="00541FF2">
        <w:tc>
          <w:tcPr>
            <w:tcW w:w="850" w:type="dxa"/>
            <w:vMerge/>
          </w:tcPr>
          <w:p w14:paraId="22AA501E" w14:textId="77777777" w:rsidR="007A2C38" w:rsidRPr="00967081" w:rsidRDefault="007A2C38" w:rsidP="00967081">
            <w:pPr>
              <w:autoSpaceDE w:val="0"/>
              <w:autoSpaceDN w:val="0"/>
              <w:adjustRightInd w:val="0"/>
              <w:spacing w:after="0" w:line="240" w:lineRule="auto"/>
              <w:jc w:val="both"/>
              <w:rPr>
                <w:rFonts w:ascii="Times New Roman" w:hAnsi="Times New Roman" w:cs="Times New Roman"/>
                <w:sz w:val="24"/>
                <w:szCs w:val="24"/>
              </w:rPr>
            </w:pPr>
          </w:p>
        </w:tc>
        <w:tc>
          <w:tcPr>
            <w:tcW w:w="1135" w:type="dxa"/>
          </w:tcPr>
          <w:p w14:paraId="7AD0418C" w14:textId="77777777"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hAnsi="Times New Roman" w:cs="Times New Roman"/>
                <w:sz w:val="24"/>
                <w:szCs w:val="24"/>
              </w:rPr>
              <w:t>Вместе соблюдают здоровый образ жизни и правильное питание</w:t>
            </w:r>
          </w:p>
        </w:tc>
        <w:tc>
          <w:tcPr>
            <w:tcW w:w="1271" w:type="dxa"/>
          </w:tcPr>
          <w:p w14:paraId="226F8FF9" w14:textId="3A21C797"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69</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(24,30%)</w:t>
            </w:r>
          </w:p>
        </w:tc>
        <w:tc>
          <w:tcPr>
            <w:tcW w:w="1417" w:type="dxa"/>
          </w:tcPr>
          <w:p w14:paraId="2C0E913F" w14:textId="26A2ED72" w:rsidR="00967081" w:rsidRDefault="007A2C38" w:rsidP="00967081">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967081">
              <w:rPr>
                <w:rFonts w:ascii="Times New Roman" w:eastAsia="Times New Roman" w:hAnsi="Times New Roman" w:cs="Times New Roman"/>
                <w:color w:val="000000"/>
                <w:sz w:val="24"/>
                <w:szCs w:val="24"/>
              </w:rPr>
              <w:t>9</w:t>
            </w:r>
          </w:p>
          <w:p w14:paraId="2CF2FD87" w14:textId="5C4A5E3F"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(15,79%)</w:t>
            </w:r>
          </w:p>
        </w:tc>
        <w:tc>
          <w:tcPr>
            <w:tcW w:w="1418" w:type="dxa"/>
          </w:tcPr>
          <w:p w14:paraId="582009C7" w14:textId="77777777" w:rsidR="00967081" w:rsidRDefault="007A2C38" w:rsidP="00967081">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967081">
              <w:rPr>
                <w:rFonts w:ascii="Times New Roman" w:eastAsia="Times New Roman" w:hAnsi="Times New Roman" w:cs="Times New Roman"/>
                <w:color w:val="000000"/>
                <w:sz w:val="24"/>
                <w:szCs w:val="24"/>
              </w:rPr>
              <w:t>17</w:t>
            </w:r>
          </w:p>
          <w:p w14:paraId="00F4F51F" w14:textId="33261C7F" w:rsidR="007A2C38" w:rsidRPr="00967081" w:rsidRDefault="00967081" w:rsidP="00967081">
            <w:pPr>
              <w:autoSpaceDE w:val="0"/>
              <w:autoSpaceDN w:val="0"/>
              <w:adjustRightInd w:val="0"/>
              <w:spacing w:after="0" w:line="240" w:lineRule="auto"/>
              <w:jc w:val="center"/>
              <w:rPr>
                <w:rFonts w:ascii="Times New Roman" w:hAnsi="Times New Roman" w:cs="Times New Roman"/>
                <w:sz w:val="24"/>
                <w:szCs w:val="24"/>
              </w:rPr>
            </w:pPr>
            <w:r>
              <w:rPr>
                <w:rFonts w:ascii="Times New Roman" w:eastAsia="Times New Roman" w:hAnsi="Times New Roman" w:cs="Times New Roman"/>
                <w:color w:val="000000"/>
                <w:sz w:val="24"/>
                <w:szCs w:val="24"/>
              </w:rPr>
              <w:t xml:space="preserve"> </w:t>
            </w:r>
            <w:r w:rsidR="007A2C38" w:rsidRPr="00967081">
              <w:rPr>
                <w:rFonts w:ascii="Times New Roman" w:eastAsia="Times New Roman" w:hAnsi="Times New Roman" w:cs="Times New Roman"/>
                <w:color w:val="000000"/>
                <w:sz w:val="24"/>
                <w:szCs w:val="24"/>
              </w:rPr>
              <w:t>(38,64%)</w:t>
            </w:r>
          </w:p>
        </w:tc>
        <w:tc>
          <w:tcPr>
            <w:tcW w:w="1134" w:type="dxa"/>
          </w:tcPr>
          <w:p w14:paraId="506C47E7" w14:textId="4EE13372"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8</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(18,60%)</w:t>
            </w:r>
          </w:p>
        </w:tc>
        <w:tc>
          <w:tcPr>
            <w:tcW w:w="1275" w:type="dxa"/>
          </w:tcPr>
          <w:p w14:paraId="650F581C" w14:textId="307F89BC"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10</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(19,23%)</w:t>
            </w:r>
          </w:p>
        </w:tc>
        <w:tc>
          <w:tcPr>
            <w:tcW w:w="1134" w:type="dxa"/>
          </w:tcPr>
          <w:p w14:paraId="18B424C2" w14:textId="27D3CBAA"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113</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w:t>
            </w:r>
            <w:r w:rsidRPr="00967081">
              <w:rPr>
                <w:rFonts w:ascii="Times New Roman" w:hAnsi="Times New Roman" w:cs="Times New Roman"/>
                <w:color w:val="000000"/>
                <w:sz w:val="24"/>
                <w:szCs w:val="24"/>
              </w:rPr>
              <w:t>23,54</w:t>
            </w:r>
            <w:r w:rsidRPr="00967081">
              <w:rPr>
                <w:rFonts w:ascii="Times New Roman" w:eastAsia="Times New Roman" w:hAnsi="Times New Roman" w:cs="Times New Roman"/>
                <w:color w:val="000000"/>
                <w:sz w:val="24"/>
                <w:szCs w:val="24"/>
              </w:rPr>
              <w:t>%)</w:t>
            </w:r>
          </w:p>
        </w:tc>
      </w:tr>
      <w:tr w:rsidR="007A2C38" w:rsidRPr="00967081" w14:paraId="093C7558" w14:textId="77777777" w:rsidTr="00541FF2">
        <w:tc>
          <w:tcPr>
            <w:tcW w:w="850" w:type="dxa"/>
            <w:vMerge/>
          </w:tcPr>
          <w:p w14:paraId="6D91AC72" w14:textId="77777777" w:rsidR="007A2C38" w:rsidRPr="00967081" w:rsidRDefault="007A2C38" w:rsidP="00967081">
            <w:pPr>
              <w:autoSpaceDE w:val="0"/>
              <w:autoSpaceDN w:val="0"/>
              <w:adjustRightInd w:val="0"/>
              <w:spacing w:after="0" w:line="240" w:lineRule="auto"/>
              <w:jc w:val="both"/>
              <w:rPr>
                <w:rFonts w:ascii="Times New Roman" w:hAnsi="Times New Roman" w:cs="Times New Roman"/>
                <w:sz w:val="24"/>
                <w:szCs w:val="24"/>
              </w:rPr>
            </w:pPr>
          </w:p>
        </w:tc>
        <w:tc>
          <w:tcPr>
            <w:tcW w:w="1135" w:type="dxa"/>
          </w:tcPr>
          <w:p w14:paraId="08919045" w14:textId="77777777"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hAnsi="Times New Roman" w:cs="Times New Roman"/>
                <w:sz w:val="24"/>
                <w:szCs w:val="24"/>
              </w:rPr>
              <w:t>Помогают по быту и самоуходу</w:t>
            </w:r>
          </w:p>
        </w:tc>
        <w:tc>
          <w:tcPr>
            <w:tcW w:w="1271" w:type="dxa"/>
          </w:tcPr>
          <w:p w14:paraId="53586E79" w14:textId="3CF2BCB5"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44</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(15,49%)</w:t>
            </w:r>
          </w:p>
        </w:tc>
        <w:tc>
          <w:tcPr>
            <w:tcW w:w="1417" w:type="dxa"/>
          </w:tcPr>
          <w:p w14:paraId="4689E576" w14:textId="77777777" w:rsidR="00967081" w:rsidRDefault="007A2C38" w:rsidP="00967081">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967081">
              <w:rPr>
                <w:rFonts w:ascii="Times New Roman" w:eastAsia="Times New Roman" w:hAnsi="Times New Roman" w:cs="Times New Roman"/>
                <w:color w:val="000000"/>
                <w:sz w:val="24"/>
                <w:szCs w:val="24"/>
              </w:rPr>
              <w:t>15</w:t>
            </w:r>
          </w:p>
          <w:p w14:paraId="0292F5C5" w14:textId="537BFB4A"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(26,32%)</w:t>
            </w:r>
          </w:p>
        </w:tc>
        <w:tc>
          <w:tcPr>
            <w:tcW w:w="1418" w:type="dxa"/>
          </w:tcPr>
          <w:p w14:paraId="5AEB49ED" w14:textId="38A5050D"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8</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(18,18%)</w:t>
            </w:r>
          </w:p>
        </w:tc>
        <w:tc>
          <w:tcPr>
            <w:tcW w:w="1134" w:type="dxa"/>
          </w:tcPr>
          <w:p w14:paraId="0F7FEE42" w14:textId="2DBF8C2E"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13</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(30,23%)</w:t>
            </w:r>
          </w:p>
        </w:tc>
        <w:tc>
          <w:tcPr>
            <w:tcW w:w="1275" w:type="dxa"/>
          </w:tcPr>
          <w:p w14:paraId="39E40656" w14:textId="28718CFD"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12</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(23,08%)</w:t>
            </w:r>
          </w:p>
        </w:tc>
        <w:tc>
          <w:tcPr>
            <w:tcW w:w="1134" w:type="dxa"/>
          </w:tcPr>
          <w:p w14:paraId="7BD3D918" w14:textId="273A9C4E"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92</w:t>
            </w:r>
            <w:r w:rsidR="00967081">
              <w:rPr>
                <w:rFonts w:ascii="Times New Roman" w:eastAsia="Times New Roman" w:hAnsi="Times New Roman" w:cs="Times New Roman"/>
                <w:color w:val="000000"/>
                <w:sz w:val="24"/>
                <w:szCs w:val="24"/>
              </w:rPr>
              <w:t xml:space="preserve"> </w:t>
            </w:r>
            <w:r w:rsidRPr="00967081">
              <w:rPr>
                <w:rFonts w:ascii="Times New Roman" w:eastAsia="Times New Roman" w:hAnsi="Times New Roman" w:cs="Times New Roman"/>
                <w:color w:val="000000"/>
                <w:sz w:val="24"/>
                <w:szCs w:val="24"/>
              </w:rPr>
              <w:t>(</w:t>
            </w:r>
            <w:r w:rsidRPr="00967081">
              <w:rPr>
                <w:rFonts w:ascii="Times New Roman" w:hAnsi="Times New Roman" w:cs="Times New Roman"/>
                <w:color w:val="000000"/>
                <w:sz w:val="24"/>
                <w:szCs w:val="24"/>
              </w:rPr>
              <w:t>19,17</w:t>
            </w:r>
            <w:r w:rsidRPr="00967081">
              <w:rPr>
                <w:rFonts w:ascii="Times New Roman" w:eastAsia="Times New Roman" w:hAnsi="Times New Roman" w:cs="Times New Roman"/>
                <w:color w:val="000000"/>
                <w:sz w:val="24"/>
                <w:szCs w:val="24"/>
              </w:rPr>
              <w:t>%)</w:t>
            </w:r>
          </w:p>
        </w:tc>
      </w:tr>
      <w:tr w:rsidR="007A2C38" w:rsidRPr="00967081" w14:paraId="1E509ADD" w14:textId="77777777" w:rsidTr="00541FF2">
        <w:tc>
          <w:tcPr>
            <w:tcW w:w="1985" w:type="dxa"/>
            <w:gridSpan w:val="2"/>
          </w:tcPr>
          <w:p w14:paraId="6F6E5BC0" w14:textId="77777777" w:rsidR="007A2C38" w:rsidRPr="00967081" w:rsidRDefault="007A2C38" w:rsidP="00967081">
            <w:pPr>
              <w:autoSpaceDE w:val="0"/>
              <w:autoSpaceDN w:val="0"/>
              <w:adjustRightInd w:val="0"/>
              <w:spacing w:after="0" w:line="240" w:lineRule="auto"/>
              <w:jc w:val="both"/>
              <w:rPr>
                <w:rFonts w:ascii="Times New Roman" w:hAnsi="Times New Roman" w:cs="Times New Roman"/>
                <w:sz w:val="24"/>
                <w:szCs w:val="24"/>
                <w:lang w:val="kk-KZ"/>
              </w:rPr>
            </w:pPr>
            <w:r w:rsidRPr="00967081">
              <w:rPr>
                <w:rFonts w:ascii="Times New Roman" w:hAnsi="Times New Roman" w:cs="Times New Roman"/>
                <w:sz w:val="24"/>
                <w:szCs w:val="24"/>
              </w:rPr>
              <w:t>Итого</w:t>
            </w:r>
          </w:p>
        </w:tc>
        <w:tc>
          <w:tcPr>
            <w:tcW w:w="1271" w:type="dxa"/>
          </w:tcPr>
          <w:p w14:paraId="4AC5E234" w14:textId="77777777" w:rsidR="00967081" w:rsidRDefault="007A2C38" w:rsidP="00967081">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967081">
              <w:rPr>
                <w:rFonts w:ascii="Times New Roman" w:eastAsia="Times New Roman" w:hAnsi="Times New Roman" w:cs="Times New Roman"/>
                <w:color w:val="000000"/>
                <w:sz w:val="24"/>
                <w:szCs w:val="24"/>
              </w:rPr>
              <w:t>284</w:t>
            </w:r>
          </w:p>
          <w:p w14:paraId="77C2CA16" w14:textId="1FA2FCB8"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(100%)</w:t>
            </w:r>
          </w:p>
        </w:tc>
        <w:tc>
          <w:tcPr>
            <w:tcW w:w="1417" w:type="dxa"/>
          </w:tcPr>
          <w:p w14:paraId="6EEAEA13" w14:textId="77777777" w:rsidR="00967081" w:rsidRDefault="007A2C38" w:rsidP="00967081">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967081">
              <w:rPr>
                <w:rFonts w:ascii="Times New Roman" w:eastAsia="Times New Roman" w:hAnsi="Times New Roman" w:cs="Times New Roman"/>
                <w:color w:val="000000"/>
                <w:sz w:val="24"/>
                <w:szCs w:val="24"/>
              </w:rPr>
              <w:t>57</w:t>
            </w:r>
          </w:p>
          <w:p w14:paraId="06CF9938" w14:textId="2483CA0C"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(100%)</w:t>
            </w:r>
          </w:p>
        </w:tc>
        <w:tc>
          <w:tcPr>
            <w:tcW w:w="1418" w:type="dxa"/>
          </w:tcPr>
          <w:p w14:paraId="63E65BDE" w14:textId="77777777" w:rsidR="00967081" w:rsidRDefault="007A2C38" w:rsidP="00967081">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967081">
              <w:rPr>
                <w:rFonts w:ascii="Times New Roman" w:eastAsia="Times New Roman" w:hAnsi="Times New Roman" w:cs="Times New Roman"/>
                <w:color w:val="000000"/>
                <w:sz w:val="24"/>
                <w:szCs w:val="24"/>
              </w:rPr>
              <w:t>44</w:t>
            </w:r>
          </w:p>
          <w:p w14:paraId="6535AA1F" w14:textId="4522D230"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(100%)</w:t>
            </w:r>
          </w:p>
        </w:tc>
        <w:tc>
          <w:tcPr>
            <w:tcW w:w="1134" w:type="dxa"/>
          </w:tcPr>
          <w:p w14:paraId="3DD05300" w14:textId="77777777" w:rsidR="00967081" w:rsidRDefault="007A2C38" w:rsidP="00967081">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967081">
              <w:rPr>
                <w:rFonts w:ascii="Times New Roman" w:eastAsia="Times New Roman" w:hAnsi="Times New Roman" w:cs="Times New Roman"/>
                <w:color w:val="000000"/>
                <w:sz w:val="24"/>
                <w:szCs w:val="24"/>
              </w:rPr>
              <w:t>43</w:t>
            </w:r>
          </w:p>
          <w:p w14:paraId="56CC4A9E" w14:textId="175F4B16"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(100%)</w:t>
            </w:r>
          </w:p>
        </w:tc>
        <w:tc>
          <w:tcPr>
            <w:tcW w:w="1275" w:type="dxa"/>
          </w:tcPr>
          <w:p w14:paraId="17598723" w14:textId="77777777" w:rsidR="00967081" w:rsidRDefault="007A2C38" w:rsidP="00967081">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967081">
              <w:rPr>
                <w:rFonts w:ascii="Times New Roman" w:eastAsia="Times New Roman" w:hAnsi="Times New Roman" w:cs="Times New Roman"/>
                <w:color w:val="000000"/>
                <w:sz w:val="24"/>
                <w:szCs w:val="24"/>
              </w:rPr>
              <w:t>52</w:t>
            </w:r>
          </w:p>
          <w:p w14:paraId="765763B1" w14:textId="7C0CEFD4"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(100%)</w:t>
            </w:r>
          </w:p>
        </w:tc>
        <w:tc>
          <w:tcPr>
            <w:tcW w:w="1134" w:type="dxa"/>
          </w:tcPr>
          <w:p w14:paraId="43A2F9A4" w14:textId="77777777" w:rsidR="00967081" w:rsidRDefault="007A2C38" w:rsidP="00967081">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967081">
              <w:rPr>
                <w:rFonts w:ascii="Times New Roman" w:eastAsia="Times New Roman" w:hAnsi="Times New Roman" w:cs="Times New Roman"/>
                <w:color w:val="000000"/>
                <w:sz w:val="24"/>
                <w:szCs w:val="24"/>
              </w:rPr>
              <w:t>480</w:t>
            </w:r>
          </w:p>
          <w:p w14:paraId="11986468" w14:textId="60A20B93" w:rsidR="007A2C38" w:rsidRPr="00967081" w:rsidRDefault="007A2C38" w:rsidP="00967081">
            <w:pPr>
              <w:autoSpaceDE w:val="0"/>
              <w:autoSpaceDN w:val="0"/>
              <w:adjustRightInd w:val="0"/>
              <w:spacing w:after="0" w:line="240" w:lineRule="auto"/>
              <w:jc w:val="center"/>
              <w:rPr>
                <w:rFonts w:ascii="Times New Roman" w:hAnsi="Times New Roman" w:cs="Times New Roman"/>
                <w:sz w:val="24"/>
                <w:szCs w:val="24"/>
              </w:rPr>
            </w:pPr>
            <w:r w:rsidRPr="00967081">
              <w:rPr>
                <w:rFonts w:ascii="Times New Roman" w:eastAsia="Times New Roman" w:hAnsi="Times New Roman" w:cs="Times New Roman"/>
                <w:color w:val="000000"/>
                <w:sz w:val="24"/>
                <w:szCs w:val="24"/>
              </w:rPr>
              <w:t>(100%)</w:t>
            </w:r>
          </w:p>
        </w:tc>
      </w:tr>
      <w:tr w:rsidR="007A2C38" w:rsidRPr="00967081" w14:paraId="7E4F752E" w14:textId="77777777" w:rsidTr="00541FF2">
        <w:tc>
          <w:tcPr>
            <w:tcW w:w="1985" w:type="dxa"/>
            <w:gridSpan w:val="2"/>
          </w:tcPr>
          <w:p w14:paraId="1551C2CA" w14:textId="77777777" w:rsidR="007A2C38" w:rsidRPr="00967081" w:rsidRDefault="007A2C38" w:rsidP="00967081">
            <w:pPr>
              <w:autoSpaceDE w:val="0"/>
              <w:autoSpaceDN w:val="0"/>
              <w:adjustRightInd w:val="0"/>
              <w:spacing w:after="0" w:line="240" w:lineRule="auto"/>
              <w:jc w:val="both"/>
              <w:rPr>
                <w:rFonts w:ascii="Times New Roman" w:hAnsi="Times New Roman" w:cs="Times New Roman"/>
                <w:sz w:val="24"/>
                <w:szCs w:val="24"/>
              </w:rPr>
            </w:pPr>
            <w:r w:rsidRPr="00967081">
              <w:rPr>
                <w:rFonts w:ascii="Times New Roman" w:eastAsia="Times New Roman" w:hAnsi="Times New Roman" w:cs="Times New Roman"/>
                <w:sz w:val="24"/>
                <w:szCs w:val="24"/>
                <w:lang w:val="en-US"/>
              </w:rPr>
              <w:t>p</w:t>
            </w:r>
            <w:r w:rsidRPr="00967081">
              <w:rPr>
                <w:rFonts w:ascii="Times New Roman" w:eastAsia="Times New Roman" w:hAnsi="Times New Roman" w:cs="Times New Roman"/>
                <w:sz w:val="24"/>
                <w:szCs w:val="24"/>
              </w:rPr>
              <w:t>-</w:t>
            </w:r>
            <w:r w:rsidRPr="00967081">
              <w:rPr>
                <w:rFonts w:ascii="Times New Roman" w:eastAsia="Times New Roman" w:hAnsi="Times New Roman" w:cs="Times New Roman"/>
                <w:sz w:val="24"/>
                <w:szCs w:val="24"/>
                <w:lang w:val="en-US"/>
              </w:rPr>
              <w:t>value</w:t>
            </w:r>
          </w:p>
        </w:tc>
        <w:tc>
          <w:tcPr>
            <w:tcW w:w="1271" w:type="dxa"/>
            <w:vAlign w:val="center"/>
          </w:tcPr>
          <w:p w14:paraId="7CAA8331" w14:textId="77777777" w:rsidR="007A2C38" w:rsidRPr="00967081" w:rsidRDefault="007A2C38" w:rsidP="00541FF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967081">
              <w:rPr>
                <w:rFonts w:ascii="Times New Roman" w:hAnsi="Times New Roman" w:cs="Times New Roman"/>
                <w:sz w:val="24"/>
                <w:szCs w:val="24"/>
              </w:rPr>
              <w:t>0,005</w:t>
            </w:r>
          </w:p>
        </w:tc>
        <w:tc>
          <w:tcPr>
            <w:tcW w:w="1417" w:type="dxa"/>
            <w:vAlign w:val="center"/>
          </w:tcPr>
          <w:p w14:paraId="3477D767" w14:textId="2F6887EA" w:rsidR="007A2C38" w:rsidRPr="00967081" w:rsidRDefault="00541FF2" w:rsidP="00541FF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418" w:type="dxa"/>
            <w:vAlign w:val="center"/>
          </w:tcPr>
          <w:p w14:paraId="748F53C5" w14:textId="5832EBF5" w:rsidR="007A2C38" w:rsidRPr="00967081" w:rsidRDefault="00541FF2" w:rsidP="00541FF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34" w:type="dxa"/>
            <w:vAlign w:val="center"/>
          </w:tcPr>
          <w:p w14:paraId="398DA61A" w14:textId="3492E893" w:rsidR="007A2C38" w:rsidRPr="00967081" w:rsidRDefault="00541FF2" w:rsidP="00541FF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75" w:type="dxa"/>
            <w:vAlign w:val="center"/>
          </w:tcPr>
          <w:p w14:paraId="0A29FEE7" w14:textId="02F12FB0" w:rsidR="007A2C38" w:rsidRPr="00967081" w:rsidRDefault="00541FF2" w:rsidP="00541FF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34" w:type="dxa"/>
            <w:vAlign w:val="center"/>
          </w:tcPr>
          <w:p w14:paraId="08249407" w14:textId="79BF3612" w:rsidR="007A2C38" w:rsidRPr="00967081" w:rsidRDefault="00541FF2" w:rsidP="00541FF2">
            <w:pPr>
              <w:autoSpaceDE w:val="0"/>
              <w:autoSpaceDN w:val="0"/>
              <w:adjustRightInd w:val="0"/>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bl>
    <w:p w14:paraId="494F5F18" w14:textId="77777777" w:rsidR="007A2C38" w:rsidRPr="004135FE" w:rsidRDefault="007A2C38" w:rsidP="004135FE">
      <w:pPr>
        <w:spacing w:after="0" w:line="240" w:lineRule="auto"/>
        <w:jc w:val="both"/>
        <w:rPr>
          <w:rFonts w:ascii="Times New Roman" w:hAnsi="Times New Roman" w:cs="Times New Roman"/>
          <w:sz w:val="28"/>
          <w:szCs w:val="28"/>
        </w:rPr>
      </w:pPr>
    </w:p>
    <w:p w14:paraId="04FFFF74" w14:textId="0F0C4744"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Высоко достоверны различия между ответами врачей и пациентов </w:t>
      </w:r>
      <w:r w:rsidRPr="004135FE">
        <w:rPr>
          <w:rFonts w:ascii="Times New Roman" w:hAnsi="Times New Roman" w:cs="Times New Roman"/>
          <w:bCs/>
          <w:sz w:val="28"/>
          <w:szCs w:val="28"/>
        </w:rPr>
        <w:t xml:space="preserve">по </w:t>
      </w:r>
      <w:r w:rsidRPr="004135FE">
        <w:rPr>
          <w:rFonts w:ascii="Times New Roman" w:hAnsi="Times New Roman" w:cs="Times New Roman"/>
          <w:sz w:val="28"/>
          <w:szCs w:val="28"/>
        </w:rPr>
        <w:t>оказанию психосоциальной поддержки, при наличии низкой приверженности лечению, обусловленного заболеванием дистресса, умеренно повышенной тревоги (p&lt;0,001) (</w:t>
      </w:r>
      <w:r w:rsidR="0009552A">
        <w:rPr>
          <w:rFonts w:ascii="Times New Roman" w:hAnsi="Times New Roman" w:cs="Times New Roman"/>
          <w:sz w:val="28"/>
          <w:szCs w:val="28"/>
        </w:rPr>
        <w:t>р</w:t>
      </w:r>
      <w:r w:rsidRPr="004135FE">
        <w:rPr>
          <w:rFonts w:ascii="Times New Roman" w:hAnsi="Times New Roman" w:cs="Times New Roman"/>
          <w:sz w:val="28"/>
          <w:szCs w:val="28"/>
        </w:rPr>
        <w:t xml:space="preserve">исунок </w:t>
      </w:r>
      <w:r w:rsidR="00B6197B" w:rsidRPr="004135FE">
        <w:rPr>
          <w:rFonts w:ascii="Times New Roman" w:hAnsi="Times New Roman" w:cs="Times New Roman"/>
          <w:sz w:val="28"/>
          <w:szCs w:val="28"/>
        </w:rPr>
        <w:t>40</w:t>
      </w:r>
      <w:r w:rsidRPr="004135FE">
        <w:rPr>
          <w:rFonts w:ascii="Times New Roman" w:hAnsi="Times New Roman" w:cs="Times New Roman"/>
          <w:sz w:val="28"/>
          <w:szCs w:val="28"/>
        </w:rPr>
        <w:t xml:space="preserve">). </w:t>
      </w:r>
    </w:p>
    <w:p w14:paraId="6BF7AF8C"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Большинство 48,6% - врачей эндокринологов считают, что пациенты с СД2т обращаются к эндокринологу и 22,9% случаях обращаются к психологу/психотерапевту при наличии низкой приверженности лечению, обусловленного заболеванием дистресса, умеренно повышенной тревоги за психосоциальной поддержкой. Напротив, 31,7% пациентов ответили, что при возникновении такой проблемы не обращались никакому специалисту и 30,4% пациентов обращались врачам эндокринологам. </w:t>
      </w:r>
    </w:p>
    <w:p w14:paraId="181686B9" w14:textId="77777777" w:rsidR="007A2C38" w:rsidRPr="004135FE" w:rsidRDefault="007A2C38"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noProof/>
          <w:sz w:val="28"/>
          <w:szCs w:val="28"/>
        </w:rPr>
        <w:drawing>
          <wp:anchor distT="0" distB="0" distL="114300" distR="114300" simplePos="0" relativeHeight="252167168" behindDoc="0" locked="0" layoutInCell="1" allowOverlap="1" wp14:anchorId="28180E0D" wp14:editId="287CBBE3">
            <wp:simplePos x="0" y="0"/>
            <wp:positionH relativeFrom="margin">
              <wp:align>left</wp:align>
            </wp:positionH>
            <wp:positionV relativeFrom="paragraph">
              <wp:posOffset>172720</wp:posOffset>
            </wp:positionV>
            <wp:extent cx="5686425" cy="2743200"/>
            <wp:effectExtent l="0" t="0" r="0" b="0"/>
            <wp:wrapSquare wrapText="bothSides"/>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anchor>
        </w:drawing>
      </w:r>
    </w:p>
    <w:p w14:paraId="7A5A1608" w14:textId="62BED936" w:rsidR="007A2C38" w:rsidRPr="004135FE" w:rsidRDefault="007A2C38" w:rsidP="0009552A">
      <w:pPr>
        <w:tabs>
          <w:tab w:val="left" w:pos="2775"/>
        </w:tabs>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40</w:t>
      </w:r>
      <w:r w:rsidR="0009552A">
        <w:rPr>
          <w:rFonts w:ascii="Times New Roman" w:hAnsi="Times New Roman" w:cs="Times New Roman"/>
          <w:sz w:val="28"/>
          <w:szCs w:val="28"/>
        </w:rPr>
        <w:t xml:space="preserve"> </w:t>
      </w:r>
      <w:r w:rsidRPr="004135FE">
        <w:rPr>
          <w:rFonts w:ascii="Times New Roman" w:hAnsi="Times New Roman" w:cs="Times New Roman"/>
          <w:sz w:val="28"/>
          <w:szCs w:val="28"/>
        </w:rPr>
        <w:t xml:space="preserve">- Сопоставление </w:t>
      </w:r>
      <w:r w:rsidRPr="004135FE">
        <w:rPr>
          <w:rFonts w:ascii="Times New Roman" w:hAnsi="Times New Roman" w:cs="Times New Roman"/>
          <w:bCs/>
          <w:sz w:val="28"/>
          <w:szCs w:val="28"/>
        </w:rPr>
        <w:t xml:space="preserve">ответов врачей и пациентов по </w:t>
      </w:r>
      <w:r w:rsidRPr="004135FE">
        <w:rPr>
          <w:rFonts w:ascii="Times New Roman" w:hAnsi="Times New Roman" w:cs="Times New Roman"/>
          <w:sz w:val="28"/>
          <w:szCs w:val="28"/>
        </w:rPr>
        <w:t>оказ</w:t>
      </w:r>
      <w:r w:rsidR="005F2C73" w:rsidRPr="004135FE">
        <w:rPr>
          <w:rFonts w:ascii="Times New Roman" w:hAnsi="Times New Roman" w:cs="Times New Roman"/>
          <w:sz w:val="28"/>
          <w:szCs w:val="28"/>
        </w:rPr>
        <w:t>анию психосоциальной поддержки</w:t>
      </w:r>
    </w:p>
    <w:p w14:paraId="6D0C39A6" w14:textId="77777777" w:rsidR="007A2C38" w:rsidRPr="004135FE" w:rsidRDefault="007A2C38" w:rsidP="004135FE">
      <w:pPr>
        <w:spacing w:after="0" w:line="240" w:lineRule="auto"/>
        <w:jc w:val="both"/>
        <w:rPr>
          <w:rFonts w:ascii="Times New Roman" w:hAnsi="Times New Roman" w:cs="Times New Roman"/>
          <w:b/>
          <w:sz w:val="28"/>
          <w:szCs w:val="28"/>
        </w:rPr>
      </w:pPr>
    </w:p>
    <w:p w14:paraId="090C822E"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09552A">
        <w:rPr>
          <w:rFonts w:ascii="Times New Roman" w:hAnsi="Times New Roman" w:cs="Times New Roman"/>
          <w:bCs/>
          <w:sz w:val="28"/>
          <w:szCs w:val="28"/>
        </w:rPr>
        <w:t xml:space="preserve">  Таким образом,</w:t>
      </w:r>
      <w:r w:rsidRPr="004135FE">
        <w:rPr>
          <w:rFonts w:ascii="Times New Roman" w:hAnsi="Times New Roman" w:cs="Times New Roman"/>
          <w:b/>
          <w:sz w:val="28"/>
          <w:szCs w:val="28"/>
        </w:rPr>
        <w:t xml:space="preserve"> </w:t>
      </w:r>
      <w:r w:rsidRPr="004135FE">
        <w:rPr>
          <w:rFonts w:ascii="Times New Roman" w:hAnsi="Times New Roman" w:cs="Times New Roman"/>
          <w:sz w:val="28"/>
          <w:szCs w:val="28"/>
        </w:rPr>
        <w:t xml:space="preserve">в дебюте установления диагноза СД2т всем пациентам необходимо оказать психосоциальную поддержку, так как это влияет на приверженность рекомендациям медицинского персонала. Только половина респондентов- 51,67% </w:t>
      </w:r>
      <w:r w:rsidRPr="004135FE">
        <w:rPr>
          <w:rFonts w:ascii="Times New Roman" w:eastAsia="Times New Roman" w:hAnsi="Times New Roman" w:cs="Times New Roman"/>
          <w:sz w:val="28"/>
          <w:szCs w:val="28"/>
        </w:rPr>
        <w:t>привержены назначениям эндокринолога и выполняют рекомендации сразу, как были взяты на диспансерный учет.</w:t>
      </w:r>
      <w:r w:rsidRPr="004135FE">
        <w:rPr>
          <w:rFonts w:ascii="Times New Roman" w:hAnsi="Times New Roman" w:cs="Times New Roman"/>
          <w:sz w:val="28"/>
          <w:szCs w:val="28"/>
        </w:rPr>
        <w:t xml:space="preserve">  </w:t>
      </w:r>
    </w:p>
    <w:p w14:paraId="3FEACF57" w14:textId="7508840D"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Статистический значимо, что за психосоциальной поддержкой, </w:t>
      </w:r>
      <w:r w:rsidRPr="004135FE">
        <w:rPr>
          <w:rFonts w:ascii="Times New Roman" w:eastAsia="Times New Roman" w:hAnsi="Times New Roman" w:cs="Times New Roman"/>
          <w:sz w:val="28"/>
          <w:szCs w:val="28"/>
        </w:rPr>
        <w:t>при возникновении трудности не обращаются 32,6% пациентов с другим и 29,81% высшим образованиями</w:t>
      </w:r>
      <w:r w:rsidR="0009552A">
        <w:rPr>
          <w:rFonts w:ascii="Times New Roman" w:eastAsia="Times New Roman" w:hAnsi="Times New Roman" w:cs="Times New Roman"/>
          <w:sz w:val="28"/>
          <w:szCs w:val="28"/>
        </w:rPr>
        <w:t>.</w:t>
      </w:r>
    </w:p>
    <w:p w14:paraId="2E211206"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Семейные пациенты имеют больше поддержки от близких в разной форме, начиная от совместного соблюдения ЗОЖ и правильного питания-28,42%, контроль сахара-22,30%, заканчивая помощь по быту и самоуходу-15,47%. Во время карантина </w:t>
      </w:r>
      <w:r w:rsidRPr="004135FE">
        <w:rPr>
          <w:rFonts w:ascii="Times New Roman" w:hAnsi="Times New Roman" w:cs="Times New Roman"/>
          <w:sz w:val="28"/>
          <w:szCs w:val="28"/>
          <w:lang w:val="en-US"/>
        </w:rPr>
        <w:t>COVID</w:t>
      </w:r>
      <w:r w:rsidRPr="004135FE">
        <w:rPr>
          <w:rFonts w:ascii="Times New Roman" w:hAnsi="Times New Roman" w:cs="Times New Roman"/>
          <w:sz w:val="28"/>
          <w:szCs w:val="28"/>
        </w:rPr>
        <w:t xml:space="preserve">-19 семейные пациенты так же меньше подвергались эмоциональному ухудшению. </w:t>
      </w:r>
    </w:p>
    <w:p w14:paraId="45BD4CB7" w14:textId="77777777"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ab/>
      </w:r>
      <w:r w:rsidRPr="004135FE">
        <w:rPr>
          <w:rFonts w:ascii="Times New Roman" w:hAnsi="Times New Roman" w:cs="Times New Roman"/>
          <w:sz w:val="28"/>
          <w:szCs w:val="28"/>
        </w:rPr>
        <w:tab/>
        <w:t>При сопоставлении ответов врачей и пациентов по оказанию психосоциальной поддержки, при наличии низкой приверженности лечению, обусловленного заболеванием дистресса, умеренно повышенной тревоги, выяснилось разность мнении об участии врачей эндокринологов. Так по мнению врачей эндокринологов в 48,6% случаях охватывают психосоциальной помощью, в то время как пациенты утверждают объем в 30,4%. Так же выяснилась, что 31,7% пациентов не охвачены психосоциальной помощью.</w:t>
      </w:r>
    </w:p>
    <w:p w14:paraId="0A34EED6" w14:textId="77777777"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ab/>
      </w:r>
      <w:r w:rsidRPr="004135FE">
        <w:rPr>
          <w:rFonts w:ascii="Times New Roman" w:hAnsi="Times New Roman" w:cs="Times New Roman"/>
          <w:sz w:val="28"/>
          <w:szCs w:val="28"/>
        </w:rPr>
        <w:tab/>
        <w:t>Для 100% охвата нуждающихся в психосоциальной помощи, необходимо данную услугу внедрить в протокол диагностики и лечения СД, как обязанность персонала эндокринологического кабинета для определения и делегировании по состоянию пациента.</w:t>
      </w:r>
    </w:p>
    <w:p w14:paraId="62640910" w14:textId="5E193E63" w:rsidR="007A2C38" w:rsidRPr="0009552A" w:rsidRDefault="007A2C38" w:rsidP="0009552A">
      <w:pPr>
        <w:spacing w:after="0" w:line="240" w:lineRule="auto"/>
        <w:ind w:firstLine="709"/>
        <w:jc w:val="both"/>
        <w:rPr>
          <w:rFonts w:ascii="Times New Roman" w:hAnsi="Times New Roman" w:cs="Times New Roman"/>
          <w:bCs/>
          <w:sz w:val="28"/>
          <w:szCs w:val="28"/>
        </w:rPr>
      </w:pPr>
      <w:r w:rsidRPr="0009552A">
        <w:rPr>
          <w:rFonts w:ascii="Times New Roman" w:hAnsi="Times New Roman" w:cs="Times New Roman"/>
          <w:bCs/>
          <w:sz w:val="28"/>
          <w:szCs w:val="28"/>
        </w:rPr>
        <w:t>Репродуктивный потенциал женщин и мужчин фертил</w:t>
      </w:r>
      <w:r w:rsidR="0091178A" w:rsidRPr="0009552A">
        <w:rPr>
          <w:rFonts w:ascii="Times New Roman" w:hAnsi="Times New Roman" w:cs="Times New Roman"/>
          <w:bCs/>
          <w:sz w:val="28"/>
          <w:szCs w:val="28"/>
        </w:rPr>
        <w:t>ьного возраста пациентов с СД2т</w:t>
      </w:r>
      <w:r w:rsidR="0009552A">
        <w:rPr>
          <w:rFonts w:ascii="Times New Roman" w:hAnsi="Times New Roman" w:cs="Times New Roman"/>
          <w:bCs/>
          <w:sz w:val="28"/>
          <w:szCs w:val="28"/>
        </w:rPr>
        <w:t>.</w:t>
      </w:r>
    </w:p>
    <w:p w14:paraId="32BC9044" w14:textId="77777777" w:rsidR="007A2C38" w:rsidRPr="004135FE" w:rsidRDefault="007A2C38" w:rsidP="0009552A">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Большинство пациентов с СД2т имеют по 1-2 ребенка в семье, но хотели бы иметь от 3 до 4 детей.</w:t>
      </w:r>
    </w:p>
    <w:p w14:paraId="06F7584C"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bCs/>
          <w:sz w:val="28"/>
          <w:szCs w:val="28"/>
        </w:rPr>
      </w:pPr>
    </w:p>
    <w:p w14:paraId="5A031C0C"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bCs/>
          <w:sz w:val="28"/>
          <w:szCs w:val="28"/>
        </w:rPr>
      </w:pPr>
      <w:r w:rsidRPr="004135FE">
        <w:rPr>
          <w:noProof/>
          <w:sz w:val="28"/>
          <w:szCs w:val="28"/>
        </w:rPr>
        <w:drawing>
          <wp:inline distT="0" distB="0" distL="0" distR="0" wp14:anchorId="4E0CA220" wp14:editId="69B7B2A0">
            <wp:extent cx="5667375" cy="2743200"/>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2547BAB" w14:textId="77777777" w:rsidR="0009552A" w:rsidRDefault="0009552A" w:rsidP="0009552A">
      <w:pPr>
        <w:autoSpaceDE w:val="0"/>
        <w:autoSpaceDN w:val="0"/>
        <w:adjustRightInd w:val="0"/>
        <w:spacing w:after="0" w:line="240" w:lineRule="auto"/>
        <w:jc w:val="center"/>
        <w:rPr>
          <w:rFonts w:ascii="Times New Roman" w:hAnsi="Times New Roman" w:cs="Times New Roman"/>
          <w:bCs/>
          <w:sz w:val="28"/>
          <w:szCs w:val="28"/>
        </w:rPr>
      </w:pPr>
    </w:p>
    <w:p w14:paraId="4457DA4A" w14:textId="474CA4A0" w:rsidR="007A2C38" w:rsidRPr="004135FE" w:rsidRDefault="007A2C38" w:rsidP="0009552A">
      <w:pPr>
        <w:autoSpaceDE w:val="0"/>
        <w:autoSpaceDN w:val="0"/>
        <w:adjustRightInd w:val="0"/>
        <w:spacing w:after="0" w:line="240" w:lineRule="auto"/>
        <w:jc w:val="center"/>
        <w:rPr>
          <w:rFonts w:ascii="Times New Roman" w:hAnsi="Times New Roman" w:cs="Times New Roman"/>
          <w:bCs/>
          <w:sz w:val="28"/>
          <w:szCs w:val="28"/>
        </w:rPr>
      </w:pPr>
      <w:r w:rsidRPr="004135FE">
        <w:rPr>
          <w:rFonts w:ascii="Times New Roman" w:hAnsi="Times New Roman" w:cs="Times New Roman"/>
          <w:bCs/>
          <w:sz w:val="28"/>
          <w:szCs w:val="28"/>
        </w:rPr>
        <w:t>Рисунок 41- Действительное и желаемое количество детей в семье</w:t>
      </w:r>
    </w:p>
    <w:p w14:paraId="795E323B" w14:textId="77777777" w:rsidR="007A2C38" w:rsidRPr="004135FE" w:rsidRDefault="007A2C38" w:rsidP="004135FE">
      <w:pPr>
        <w:tabs>
          <w:tab w:val="center" w:pos="2880"/>
        </w:tabs>
        <w:autoSpaceDE w:val="0"/>
        <w:autoSpaceDN w:val="0"/>
        <w:adjustRightInd w:val="0"/>
        <w:spacing w:after="0" w:line="240" w:lineRule="auto"/>
        <w:jc w:val="both"/>
        <w:rPr>
          <w:rFonts w:ascii="Times New Roman" w:hAnsi="Times New Roman" w:cs="Times New Roman"/>
          <w:bCs/>
          <w:sz w:val="28"/>
          <w:szCs w:val="28"/>
        </w:rPr>
      </w:pPr>
      <w:r w:rsidRPr="004135FE">
        <w:rPr>
          <w:rFonts w:ascii="Times New Roman" w:hAnsi="Times New Roman" w:cs="Times New Roman"/>
          <w:bCs/>
          <w:sz w:val="28"/>
          <w:szCs w:val="28"/>
        </w:rPr>
        <w:tab/>
      </w:r>
    </w:p>
    <w:p w14:paraId="50570492" w14:textId="58AC19EA"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b/>
          <w:bCs/>
          <w:sz w:val="28"/>
          <w:szCs w:val="28"/>
        </w:rPr>
      </w:pPr>
      <w:r w:rsidRPr="004135FE">
        <w:rPr>
          <w:rFonts w:ascii="Times New Roman" w:hAnsi="Times New Roman" w:cs="Times New Roman"/>
          <w:bCs/>
          <w:sz w:val="28"/>
          <w:szCs w:val="28"/>
        </w:rPr>
        <w:tab/>
      </w:r>
      <w:r w:rsidRPr="004135FE">
        <w:rPr>
          <w:rFonts w:ascii="Times New Roman" w:hAnsi="Times New Roman" w:cs="Times New Roman"/>
          <w:bCs/>
          <w:sz w:val="28"/>
          <w:szCs w:val="28"/>
        </w:rPr>
        <w:tab/>
        <w:t>Среди опрошенных, семейные пары с СД2т с 1 ребенком при зачатии имели проблемы со здоровьем, как</w:t>
      </w:r>
      <w:r w:rsidRPr="004135FE">
        <w:rPr>
          <w:rFonts w:ascii="Times New Roman" w:hAnsi="Times New Roman" w:cs="Times New Roman"/>
          <w:b/>
          <w:bCs/>
          <w:sz w:val="28"/>
          <w:szCs w:val="28"/>
        </w:rPr>
        <w:t xml:space="preserve"> </w:t>
      </w:r>
      <w:r w:rsidRPr="004135FE">
        <w:rPr>
          <w:rFonts w:ascii="Times New Roman" w:hAnsi="Times New Roman" w:cs="Times New Roman"/>
          <w:sz w:val="28"/>
          <w:szCs w:val="28"/>
        </w:rPr>
        <w:t xml:space="preserve">непроходимость маточных труб -75,0%, плохое количество или качество спермы- 57,1%, синдром поликистозных яичников- 46,2%. Миома матки 64,3% случаев была </w:t>
      </w:r>
      <w:r w:rsidRPr="004135FE">
        <w:rPr>
          <w:rFonts w:ascii="Times New Roman" w:hAnsi="Times New Roman" w:cs="Times New Roman"/>
          <w:sz w:val="28"/>
          <w:szCs w:val="28"/>
          <w:lang w:val="kk-KZ"/>
        </w:rPr>
        <w:t xml:space="preserve">проблемой с фертильностью для родителей 2 детей. У </w:t>
      </w:r>
      <w:r w:rsidRPr="004135FE">
        <w:rPr>
          <w:rFonts w:ascii="Times New Roman" w:hAnsi="Times New Roman" w:cs="Times New Roman"/>
          <w:sz w:val="28"/>
          <w:szCs w:val="28"/>
        </w:rPr>
        <w:t xml:space="preserve">21,8% родителей с 3 детьми не было проблем с репродуктивной функцией, но у 20,9% выявлен эндометриоз. 4 ребенка родили пациенты с диагнозом непроходимость маточных труб- 25% случаев, 5 ребенка имеют семья с эндометриозом- 2,3%, 6 ребенка родили несмотря на проблемы со здоровьем у пациентов в виде отсутствия или нерегулярной овуляции 20,0% (χ2=67,009, </w:t>
      </w:r>
      <w:r w:rsidRPr="004135FE">
        <w:rPr>
          <w:rFonts w:ascii="Times New Roman" w:hAnsi="Times New Roman" w:cs="Times New Roman"/>
          <w:sz w:val="28"/>
          <w:szCs w:val="28"/>
          <w:lang w:val="en-US"/>
        </w:rPr>
        <w:t>df</w:t>
      </w:r>
      <w:r w:rsidRPr="004135FE">
        <w:rPr>
          <w:rFonts w:ascii="Times New Roman" w:hAnsi="Times New Roman" w:cs="Times New Roman"/>
          <w:sz w:val="28"/>
          <w:szCs w:val="28"/>
        </w:rPr>
        <w:t xml:space="preserve">=48, </w:t>
      </w:r>
      <w:r w:rsidRPr="004135FE">
        <w:rPr>
          <w:rFonts w:ascii="Times New Roman" w:hAnsi="Times New Roman" w:cs="Times New Roman"/>
          <w:sz w:val="28"/>
          <w:szCs w:val="28"/>
          <w:lang w:val="en-US"/>
        </w:rPr>
        <w:t>p</w:t>
      </w:r>
      <w:r w:rsidRPr="004135FE">
        <w:rPr>
          <w:rFonts w:ascii="Times New Roman" w:hAnsi="Times New Roman" w:cs="Times New Roman"/>
          <w:sz w:val="28"/>
          <w:szCs w:val="28"/>
        </w:rPr>
        <w:t>=0,036).</w:t>
      </w:r>
      <w:r w:rsidR="001653E2" w:rsidRPr="004135FE">
        <w:rPr>
          <w:rFonts w:ascii="Times New Roman" w:hAnsi="Times New Roman" w:cs="Times New Roman"/>
          <w:b/>
          <w:bCs/>
          <w:sz w:val="28"/>
          <w:szCs w:val="28"/>
        </w:rPr>
        <w:tab/>
      </w:r>
    </w:p>
    <w:p w14:paraId="35572B0F" w14:textId="202304AF"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bCs/>
          <w:sz w:val="28"/>
          <w:szCs w:val="28"/>
        </w:rPr>
        <w:t xml:space="preserve">Обнаружены высоко достоверные различия между сравниваемыми группами, о наличии заболевании у кровных родственников и проблемы с </w:t>
      </w:r>
      <w:r w:rsidRPr="004135FE">
        <w:rPr>
          <w:rFonts w:ascii="Times New Roman" w:hAnsi="Times New Roman" w:cs="Times New Roman"/>
          <w:sz w:val="28"/>
          <w:szCs w:val="28"/>
          <w:lang w:val="kk-KZ"/>
        </w:rPr>
        <w:t xml:space="preserve">фертильностью (деторождение) подтвержденный при обследовании пациента с СД2т </w:t>
      </w:r>
      <w:r w:rsidRPr="004135FE">
        <w:rPr>
          <w:rFonts w:ascii="Times New Roman" w:hAnsi="Times New Roman" w:cs="Times New Roman"/>
          <w:sz w:val="28"/>
          <w:szCs w:val="28"/>
        </w:rPr>
        <w:t xml:space="preserve">(χ2=95,169, df=56, p=0,001). Половина случаев проблем репродуктивного потенциала были без отягощенного семейного анамнеза. Среди пациентов с отягощенным семейным анамнезом - СД2т у кровных родственников, при обращении в МО для выяснения причин проблем с фертильностью (деторождение) в 85,7% случаях диагностированы плохое количество или качество спермы, 57,1% миома матки, 55,8% эндометриоз, 50% непроходимость маточных труб, 45,5% </w:t>
      </w:r>
      <w:r w:rsidR="005F2C73" w:rsidRPr="004135FE">
        <w:rPr>
          <w:rFonts w:ascii="Times New Roman" w:hAnsi="Times New Roman" w:cs="Times New Roman"/>
          <w:sz w:val="28"/>
          <w:szCs w:val="28"/>
        </w:rPr>
        <w:t>воспалительные заболевания женских органов</w:t>
      </w:r>
      <w:r w:rsidRPr="004135FE">
        <w:rPr>
          <w:rFonts w:ascii="Times New Roman" w:hAnsi="Times New Roman" w:cs="Times New Roman"/>
          <w:sz w:val="28"/>
          <w:szCs w:val="28"/>
        </w:rPr>
        <w:t xml:space="preserve">, 40% отсутствие или нерегулярная овуляция, 38,5% синдром поликистозных яичников, 37,0% другие проблемы. </w:t>
      </w:r>
    </w:p>
    <w:p w14:paraId="6C1BA601" w14:textId="7E1A911F" w:rsidR="007A2C38" w:rsidRPr="004135FE" w:rsidRDefault="007A2C38" w:rsidP="004135FE">
      <w:pPr>
        <w:spacing w:after="0" w:line="240" w:lineRule="auto"/>
        <w:ind w:firstLine="708"/>
        <w:jc w:val="both"/>
        <w:rPr>
          <w:rFonts w:ascii="Times New Roman" w:hAnsi="Times New Roman" w:cs="Times New Roman"/>
          <w:bCs/>
          <w:sz w:val="28"/>
          <w:szCs w:val="28"/>
        </w:rPr>
        <w:sectPr w:rsidR="007A2C38" w:rsidRPr="004135FE" w:rsidSect="00EC71C2">
          <w:type w:val="nextColumn"/>
          <w:pgSz w:w="11906" w:h="16838"/>
          <w:pgMar w:top="1134" w:right="851" w:bottom="1134" w:left="1701" w:header="708" w:footer="708" w:gutter="0"/>
          <w:cols w:space="708"/>
          <w:docGrid w:linePitch="360"/>
        </w:sectPr>
      </w:pPr>
      <w:r w:rsidRPr="004135FE">
        <w:rPr>
          <w:rFonts w:ascii="Times New Roman" w:hAnsi="Times New Roman" w:cs="Times New Roman"/>
          <w:sz w:val="28"/>
          <w:szCs w:val="28"/>
        </w:rPr>
        <w:t>Среди пациентов с эндометриозом в семейном анамнезе были 7</w:t>
      </w:r>
      <w:r w:rsidR="0009552A">
        <w:rPr>
          <w:rFonts w:ascii="Times New Roman" w:hAnsi="Times New Roman" w:cs="Times New Roman"/>
          <w:sz w:val="28"/>
          <w:szCs w:val="28"/>
        </w:rPr>
        <w:t xml:space="preserve"> </w:t>
      </w:r>
      <w:r w:rsidRPr="004135FE">
        <w:rPr>
          <w:rFonts w:ascii="Times New Roman" w:hAnsi="Times New Roman" w:cs="Times New Roman"/>
          <w:sz w:val="28"/>
          <w:szCs w:val="28"/>
        </w:rPr>
        <w:t>% рак молочной железы, 4,7</w:t>
      </w:r>
      <w:r w:rsidR="0009552A">
        <w:rPr>
          <w:rFonts w:ascii="Times New Roman" w:hAnsi="Times New Roman" w:cs="Times New Roman"/>
          <w:sz w:val="28"/>
          <w:szCs w:val="28"/>
        </w:rPr>
        <w:t xml:space="preserve"> </w:t>
      </w:r>
      <w:r w:rsidRPr="004135FE">
        <w:rPr>
          <w:rFonts w:ascii="Times New Roman" w:hAnsi="Times New Roman" w:cs="Times New Roman"/>
          <w:sz w:val="28"/>
          <w:szCs w:val="28"/>
        </w:rPr>
        <w:t>% рак легких, 2,3</w:t>
      </w:r>
      <w:r w:rsidR="0009552A">
        <w:rPr>
          <w:rFonts w:ascii="Times New Roman" w:hAnsi="Times New Roman" w:cs="Times New Roman"/>
          <w:sz w:val="28"/>
          <w:szCs w:val="28"/>
        </w:rPr>
        <w:t xml:space="preserve"> </w:t>
      </w:r>
      <w:r w:rsidRPr="004135FE">
        <w:rPr>
          <w:rFonts w:ascii="Times New Roman" w:hAnsi="Times New Roman" w:cs="Times New Roman"/>
          <w:sz w:val="28"/>
          <w:szCs w:val="28"/>
        </w:rPr>
        <w:t>% рак яичников, матки и предстательной железы.</w:t>
      </w:r>
    </w:p>
    <w:p w14:paraId="7BBC601B" w14:textId="5C3E3CA9" w:rsidR="007A2C38" w:rsidRDefault="007A2C38"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bCs/>
          <w:sz w:val="28"/>
          <w:szCs w:val="28"/>
        </w:rPr>
        <w:t>Табл</w:t>
      </w:r>
      <w:r w:rsidR="00B728EF" w:rsidRPr="004135FE">
        <w:rPr>
          <w:rFonts w:ascii="Times New Roman" w:hAnsi="Times New Roman" w:cs="Times New Roman"/>
          <w:bCs/>
          <w:sz w:val="28"/>
          <w:szCs w:val="28"/>
        </w:rPr>
        <w:t>ица 39</w:t>
      </w:r>
      <w:r w:rsidRPr="004135FE">
        <w:rPr>
          <w:rFonts w:ascii="Times New Roman" w:hAnsi="Times New Roman" w:cs="Times New Roman"/>
          <w:bCs/>
          <w:sz w:val="28"/>
          <w:szCs w:val="28"/>
        </w:rPr>
        <w:t xml:space="preserve"> - Влияние семейного анамнеза на проблемы с </w:t>
      </w:r>
      <w:r w:rsidRPr="004135FE">
        <w:rPr>
          <w:rFonts w:ascii="Times New Roman" w:hAnsi="Times New Roman" w:cs="Times New Roman"/>
          <w:sz w:val="28"/>
          <w:szCs w:val="28"/>
          <w:lang w:val="kk-KZ"/>
        </w:rPr>
        <w:t>фертильностью подтвержденный при обследовании пациента с СД2т</w:t>
      </w:r>
    </w:p>
    <w:p w14:paraId="5AA9F689" w14:textId="77777777" w:rsidR="0009552A" w:rsidRPr="009D7959" w:rsidRDefault="0009552A" w:rsidP="004135FE">
      <w:pPr>
        <w:spacing w:after="0" w:line="240" w:lineRule="auto"/>
        <w:jc w:val="both"/>
        <w:rPr>
          <w:rFonts w:ascii="Times New Roman" w:hAnsi="Times New Roman" w:cs="Times New Roman"/>
          <w:bCs/>
          <w:sz w:val="20"/>
          <w:szCs w:val="20"/>
        </w:rPr>
      </w:pPr>
    </w:p>
    <w:tbl>
      <w:tblPr>
        <w:tblStyle w:val="a5"/>
        <w:tblW w:w="14276" w:type="dxa"/>
        <w:tblLayout w:type="fixed"/>
        <w:tblLook w:val="04A0" w:firstRow="1" w:lastRow="0" w:firstColumn="1" w:lastColumn="0" w:noHBand="0" w:noVBand="1"/>
      </w:tblPr>
      <w:tblGrid>
        <w:gridCol w:w="1524"/>
        <w:gridCol w:w="1117"/>
        <w:gridCol w:w="1377"/>
        <w:gridCol w:w="1044"/>
        <w:gridCol w:w="1199"/>
        <w:gridCol w:w="1038"/>
        <w:gridCol w:w="1321"/>
        <w:gridCol w:w="1217"/>
        <w:gridCol w:w="1073"/>
        <w:gridCol w:w="1134"/>
        <w:gridCol w:w="1040"/>
        <w:gridCol w:w="1192"/>
      </w:tblGrid>
      <w:tr w:rsidR="007A2C38" w:rsidRPr="0009552A" w14:paraId="339DF6BB" w14:textId="77777777" w:rsidTr="009D7959">
        <w:trPr>
          <w:trHeight w:val="510"/>
        </w:trPr>
        <w:tc>
          <w:tcPr>
            <w:tcW w:w="2641" w:type="dxa"/>
            <w:gridSpan w:val="2"/>
            <w:vMerge w:val="restart"/>
            <w:hideMark/>
          </w:tcPr>
          <w:p w14:paraId="04BFF3CF"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Вопрос</w:t>
            </w:r>
          </w:p>
        </w:tc>
        <w:tc>
          <w:tcPr>
            <w:tcW w:w="11635" w:type="dxa"/>
            <w:gridSpan w:val="10"/>
            <w:hideMark/>
          </w:tcPr>
          <w:p w14:paraId="52F8F363" w14:textId="77777777" w:rsidR="007A2C38" w:rsidRPr="009D7959" w:rsidRDefault="007A2C38" w:rsidP="009D7959">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lang w:val="kk-KZ"/>
              </w:rPr>
              <w:t>Были ли у Вас или Вашего партнера какие-либо обследования, чтобы выяснить причину проблемы с фертильностью (деторождение) и какой диагноз был поставлен?</w:t>
            </w:r>
          </w:p>
        </w:tc>
      </w:tr>
      <w:tr w:rsidR="009D7959" w:rsidRPr="0009552A" w14:paraId="102C9074" w14:textId="77777777" w:rsidTr="009D7959">
        <w:trPr>
          <w:trHeight w:val="1020"/>
        </w:trPr>
        <w:tc>
          <w:tcPr>
            <w:tcW w:w="2641" w:type="dxa"/>
            <w:gridSpan w:val="2"/>
            <w:vMerge/>
            <w:hideMark/>
          </w:tcPr>
          <w:p w14:paraId="4E0F2EA3" w14:textId="77777777" w:rsidR="007A2C38" w:rsidRPr="009D7959" w:rsidRDefault="007A2C38" w:rsidP="004135FE">
            <w:pPr>
              <w:spacing w:after="0" w:line="240" w:lineRule="auto"/>
              <w:rPr>
                <w:rFonts w:ascii="Times New Roman" w:eastAsia="Times New Roman" w:hAnsi="Times New Roman" w:cs="Times New Roman"/>
                <w:color w:val="000000"/>
                <w:sz w:val="23"/>
                <w:szCs w:val="23"/>
              </w:rPr>
            </w:pPr>
          </w:p>
        </w:tc>
        <w:tc>
          <w:tcPr>
            <w:tcW w:w="1377" w:type="dxa"/>
            <w:hideMark/>
          </w:tcPr>
          <w:p w14:paraId="377D00BA"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Эндометриоз</w:t>
            </w:r>
          </w:p>
        </w:tc>
        <w:tc>
          <w:tcPr>
            <w:tcW w:w="1044" w:type="dxa"/>
            <w:hideMark/>
          </w:tcPr>
          <w:p w14:paraId="5191AD6C"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Поликис яичников</w:t>
            </w:r>
          </w:p>
        </w:tc>
        <w:tc>
          <w:tcPr>
            <w:tcW w:w="1199" w:type="dxa"/>
            <w:hideMark/>
          </w:tcPr>
          <w:p w14:paraId="5CB6D782"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Воспалит/е забол/я ОМТ</w:t>
            </w:r>
          </w:p>
        </w:tc>
        <w:tc>
          <w:tcPr>
            <w:tcW w:w="1038" w:type="dxa"/>
            <w:hideMark/>
          </w:tcPr>
          <w:p w14:paraId="6D7676CF"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Миома матки</w:t>
            </w:r>
          </w:p>
        </w:tc>
        <w:tc>
          <w:tcPr>
            <w:tcW w:w="1321" w:type="dxa"/>
            <w:hideMark/>
          </w:tcPr>
          <w:p w14:paraId="74B8C235"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Непроходим маточных труб</w:t>
            </w:r>
          </w:p>
        </w:tc>
        <w:tc>
          <w:tcPr>
            <w:tcW w:w="1217" w:type="dxa"/>
            <w:hideMark/>
          </w:tcPr>
          <w:p w14:paraId="6EFF5161"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Отсутствие или нерег. овуляция</w:t>
            </w:r>
          </w:p>
        </w:tc>
        <w:tc>
          <w:tcPr>
            <w:tcW w:w="1073" w:type="dxa"/>
            <w:hideMark/>
          </w:tcPr>
          <w:p w14:paraId="53E1E641"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Плохое кол/во или кач. спермы</w:t>
            </w:r>
          </w:p>
        </w:tc>
        <w:tc>
          <w:tcPr>
            <w:tcW w:w="1134" w:type="dxa"/>
            <w:hideMark/>
          </w:tcPr>
          <w:p w14:paraId="1C4B3ABC"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Другая проблема</w:t>
            </w:r>
          </w:p>
        </w:tc>
        <w:tc>
          <w:tcPr>
            <w:tcW w:w="1040" w:type="dxa"/>
            <w:hideMark/>
          </w:tcPr>
          <w:p w14:paraId="0D190016"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Не было проблем</w:t>
            </w:r>
          </w:p>
        </w:tc>
        <w:tc>
          <w:tcPr>
            <w:tcW w:w="1192" w:type="dxa"/>
            <w:hideMark/>
          </w:tcPr>
          <w:p w14:paraId="132511E7"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Всего</w:t>
            </w:r>
          </w:p>
        </w:tc>
      </w:tr>
      <w:tr w:rsidR="009D7959" w:rsidRPr="0009552A" w14:paraId="696C2BF2" w14:textId="77777777" w:rsidTr="007B4874">
        <w:trPr>
          <w:trHeight w:val="300"/>
        </w:trPr>
        <w:tc>
          <w:tcPr>
            <w:tcW w:w="1524" w:type="dxa"/>
            <w:vMerge w:val="restart"/>
            <w:hideMark/>
          </w:tcPr>
          <w:p w14:paraId="18AE7B33"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lang w:val="kk-KZ"/>
              </w:rPr>
              <w:t xml:space="preserve">Наличие заболевании у кровных родственников </w:t>
            </w:r>
          </w:p>
        </w:tc>
        <w:tc>
          <w:tcPr>
            <w:tcW w:w="1117" w:type="dxa"/>
            <w:hideMark/>
          </w:tcPr>
          <w:p w14:paraId="78B90AD2"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СД2т</w:t>
            </w:r>
          </w:p>
        </w:tc>
        <w:tc>
          <w:tcPr>
            <w:tcW w:w="1377" w:type="dxa"/>
            <w:vAlign w:val="center"/>
            <w:hideMark/>
          </w:tcPr>
          <w:p w14:paraId="77EA2CF8"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24</w:t>
            </w:r>
          </w:p>
          <w:p w14:paraId="6DE11C70" w14:textId="75E55038"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(55,8%)</w:t>
            </w:r>
          </w:p>
        </w:tc>
        <w:tc>
          <w:tcPr>
            <w:tcW w:w="1044" w:type="dxa"/>
            <w:vAlign w:val="center"/>
            <w:hideMark/>
          </w:tcPr>
          <w:p w14:paraId="700CE228" w14:textId="23E8775F"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5</w:t>
            </w:r>
            <w:r w:rsidR="0009552A" w:rsidRPr="009D7959">
              <w:rPr>
                <w:rFonts w:ascii="Times New Roman" w:eastAsia="Times New Roman" w:hAnsi="Times New Roman" w:cs="Times New Roman"/>
                <w:color w:val="000000"/>
                <w:sz w:val="23"/>
                <w:szCs w:val="23"/>
              </w:rPr>
              <w:t xml:space="preserve"> </w:t>
            </w:r>
            <w:r w:rsidRPr="009D7959">
              <w:rPr>
                <w:rFonts w:ascii="Times New Roman" w:eastAsia="Times New Roman" w:hAnsi="Times New Roman" w:cs="Times New Roman"/>
                <w:color w:val="000000"/>
                <w:sz w:val="23"/>
                <w:szCs w:val="23"/>
              </w:rPr>
              <w:t>(38,5%)</w:t>
            </w:r>
          </w:p>
        </w:tc>
        <w:tc>
          <w:tcPr>
            <w:tcW w:w="1199" w:type="dxa"/>
            <w:vAlign w:val="center"/>
            <w:hideMark/>
          </w:tcPr>
          <w:p w14:paraId="394D00E8" w14:textId="12D803E8"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10</w:t>
            </w:r>
            <w:r w:rsidR="0009552A" w:rsidRPr="009D7959">
              <w:rPr>
                <w:rFonts w:ascii="Times New Roman" w:eastAsia="Times New Roman" w:hAnsi="Times New Roman" w:cs="Times New Roman"/>
                <w:color w:val="000000"/>
                <w:sz w:val="23"/>
                <w:szCs w:val="23"/>
              </w:rPr>
              <w:t xml:space="preserve"> </w:t>
            </w:r>
            <w:r w:rsidRPr="009D7959">
              <w:rPr>
                <w:rFonts w:ascii="Times New Roman" w:eastAsia="Times New Roman" w:hAnsi="Times New Roman" w:cs="Times New Roman"/>
                <w:color w:val="000000"/>
                <w:sz w:val="23"/>
                <w:szCs w:val="23"/>
              </w:rPr>
              <w:t>(45,5%)</w:t>
            </w:r>
          </w:p>
        </w:tc>
        <w:tc>
          <w:tcPr>
            <w:tcW w:w="1038" w:type="dxa"/>
            <w:vAlign w:val="center"/>
            <w:hideMark/>
          </w:tcPr>
          <w:p w14:paraId="5A289F2B" w14:textId="2C856D9C"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8</w:t>
            </w:r>
            <w:r w:rsidR="009D7959" w:rsidRPr="009D7959">
              <w:rPr>
                <w:rFonts w:ascii="Times New Roman" w:eastAsia="Times New Roman" w:hAnsi="Times New Roman" w:cs="Times New Roman"/>
                <w:color w:val="000000"/>
                <w:sz w:val="23"/>
                <w:szCs w:val="23"/>
              </w:rPr>
              <w:t xml:space="preserve"> </w:t>
            </w:r>
            <w:r w:rsidRPr="009D7959">
              <w:rPr>
                <w:rFonts w:ascii="Times New Roman" w:eastAsia="Times New Roman" w:hAnsi="Times New Roman" w:cs="Times New Roman"/>
                <w:color w:val="000000"/>
                <w:sz w:val="23"/>
                <w:szCs w:val="23"/>
              </w:rPr>
              <w:t>(57,1%)</w:t>
            </w:r>
          </w:p>
        </w:tc>
        <w:tc>
          <w:tcPr>
            <w:tcW w:w="1321" w:type="dxa"/>
            <w:vAlign w:val="center"/>
            <w:hideMark/>
          </w:tcPr>
          <w:p w14:paraId="62CC8796" w14:textId="79435B84"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w:t>
            </w:r>
          </w:p>
          <w:p w14:paraId="636F1B1F" w14:textId="4C1528D6"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(50%)</w:t>
            </w:r>
          </w:p>
        </w:tc>
        <w:tc>
          <w:tcPr>
            <w:tcW w:w="1217" w:type="dxa"/>
            <w:vAlign w:val="center"/>
            <w:hideMark/>
          </w:tcPr>
          <w:p w14:paraId="7DDAC5A4" w14:textId="281ADBCE"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w:t>
            </w:r>
          </w:p>
          <w:p w14:paraId="387060AF" w14:textId="295A076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(40%)</w:t>
            </w:r>
          </w:p>
        </w:tc>
        <w:tc>
          <w:tcPr>
            <w:tcW w:w="1073" w:type="dxa"/>
            <w:vAlign w:val="center"/>
            <w:hideMark/>
          </w:tcPr>
          <w:p w14:paraId="4A39ED0B" w14:textId="66C3DBF0"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6</w:t>
            </w:r>
            <w:r w:rsidR="009D7959" w:rsidRPr="009D7959">
              <w:rPr>
                <w:rFonts w:ascii="Times New Roman" w:eastAsia="Times New Roman" w:hAnsi="Times New Roman" w:cs="Times New Roman"/>
                <w:color w:val="000000"/>
                <w:sz w:val="23"/>
                <w:szCs w:val="23"/>
              </w:rPr>
              <w:t xml:space="preserve"> </w:t>
            </w:r>
            <w:r w:rsidRPr="009D7959">
              <w:rPr>
                <w:rFonts w:ascii="Times New Roman" w:eastAsia="Times New Roman" w:hAnsi="Times New Roman" w:cs="Times New Roman"/>
                <w:color w:val="000000"/>
                <w:sz w:val="23"/>
                <w:szCs w:val="23"/>
              </w:rPr>
              <w:t>(85,7%)</w:t>
            </w:r>
          </w:p>
        </w:tc>
        <w:tc>
          <w:tcPr>
            <w:tcW w:w="1134" w:type="dxa"/>
            <w:vAlign w:val="center"/>
            <w:hideMark/>
          </w:tcPr>
          <w:p w14:paraId="2B47A62D" w14:textId="2FD8E1A5"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17</w:t>
            </w:r>
            <w:r w:rsidR="009D7959" w:rsidRPr="009D7959">
              <w:rPr>
                <w:rFonts w:ascii="Times New Roman" w:eastAsia="Times New Roman" w:hAnsi="Times New Roman" w:cs="Times New Roman"/>
                <w:color w:val="000000"/>
                <w:sz w:val="23"/>
                <w:szCs w:val="23"/>
              </w:rPr>
              <w:t xml:space="preserve"> </w:t>
            </w:r>
            <w:r w:rsidRPr="009D7959">
              <w:rPr>
                <w:rFonts w:ascii="Times New Roman" w:eastAsia="Times New Roman" w:hAnsi="Times New Roman" w:cs="Times New Roman"/>
                <w:color w:val="000000"/>
                <w:sz w:val="23"/>
                <w:szCs w:val="23"/>
              </w:rPr>
              <w:t>(37,0%)</w:t>
            </w:r>
          </w:p>
        </w:tc>
        <w:tc>
          <w:tcPr>
            <w:tcW w:w="1040" w:type="dxa"/>
            <w:vAlign w:val="center"/>
            <w:hideMark/>
          </w:tcPr>
          <w:p w14:paraId="2662FB2B"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112</w:t>
            </w:r>
          </w:p>
          <w:p w14:paraId="76BEC464" w14:textId="5896A5C9"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(34,4%)</w:t>
            </w:r>
          </w:p>
        </w:tc>
        <w:tc>
          <w:tcPr>
            <w:tcW w:w="1192" w:type="dxa"/>
            <w:vAlign w:val="center"/>
            <w:hideMark/>
          </w:tcPr>
          <w:p w14:paraId="3621DAD0"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186</w:t>
            </w:r>
          </w:p>
          <w:p w14:paraId="0F812B70" w14:textId="72E0D394"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(38,8%)</w:t>
            </w:r>
          </w:p>
        </w:tc>
      </w:tr>
      <w:tr w:rsidR="009D7959" w:rsidRPr="0009552A" w14:paraId="67902E2D" w14:textId="77777777" w:rsidTr="007B4874">
        <w:trPr>
          <w:trHeight w:val="300"/>
        </w:trPr>
        <w:tc>
          <w:tcPr>
            <w:tcW w:w="1524" w:type="dxa"/>
            <w:vMerge/>
            <w:hideMark/>
          </w:tcPr>
          <w:p w14:paraId="75DECEF5" w14:textId="77777777" w:rsidR="007A2C38" w:rsidRPr="009D7959" w:rsidRDefault="007A2C38" w:rsidP="004135FE">
            <w:pPr>
              <w:spacing w:after="0" w:line="240" w:lineRule="auto"/>
              <w:rPr>
                <w:rFonts w:ascii="Times New Roman" w:eastAsia="Times New Roman" w:hAnsi="Times New Roman" w:cs="Times New Roman"/>
                <w:color w:val="000000"/>
                <w:sz w:val="23"/>
                <w:szCs w:val="23"/>
              </w:rPr>
            </w:pPr>
          </w:p>
        </w:tc>
        <w:tc>
          <w:tcPr>
            <w:tcW w:w="1117" w:type="dxa"/>
            <w:hideMark/>
          </w:tcPr>
          <w:p w14:paraId="7FB68A5B"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Рак МЖ</w:t>
            </w:r>
          </w:p>
        </w:tc>
        <w:tc>
          <w:tcPr>
            <w:tcW w:w="1377" w:type="dxa"/>
            <w:vAlign w:val="center"/>
            <w:hideMark/>
          </w:tcPr>
          <w:p w14:paraId="4D759174" w14:textId="296F2343"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3</w:t>
            </w:r>
          </w:p>
          <w:p w14:paraId="18E6C0EB" w14:textId="6DCC30B5"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(7,0%)</w:t>
            </w:r>
          </w:p>
        </w:tc>
        <w:tc>
          <w:tcPr>
            <w:tcW w:w="1044" w:type="dxa"/>
            <w:vAlign w:val="center"/>
            <w:hideMark/>
          </w:tcPr>
          <w:p w14:paraId="6783B496"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199" w:type="dxa"/>
            <w:vAlign w:val="center"/>
            <w:hideMark/>
          </w:tcPr>
          <w:p w14:paraId="2FAD0D29" w14:textId="27A88860"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w:t>
            </w:r>
          </w:p>
          <w:p w14:paraId="42B3C7B1" w14:textId="3105341D"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(4,5%)</w:t>
            </w:r>
          </w:p>
        </w:tc>
        <w:tc>
          <w:tcPr>
            <w:tcW w:w="1038" w:type="dxa"/>
            <w:vAlign w:val="center"/>
            <w:hideMark/>
          </w:tcPr>
          <w:p w14:paraId="0600AC0B" w14:textId="15CAD7B6"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w:t>
            </w:r>
            <w:r w:rsidR="009D7959" w:rsidRPr="009D7959">
              <w:rPr>
                <w:rFonts w:ascii="Times New Roman" w:eastAsia="Times New Roman" w:hAnsi="Times New Roman" w:cs="Times New Roman"/>
                <w:color w:val="000000"/>
                <w:sz w:val="23"/>
                <w:szCs w:val="23"/>
              </w:rPr>
              <w:t xml:space="preserve"> </w:t>
            </w:r>
            <w:r w:rsidRPr="009D7959">
              <w:rPr>
                <w:rFonts w:ascii="Times New Roman" w:eastAsia="Times New Roman" w:hAnsi="Times New Roman" w:cs="Times New Roman"/>
                <w:color w:val="000000"/>
                <w:sz w:val="23"/>
                <w:szCs w:val="23"/>
              </w:rPr>
              <w:t>(14,3%)</w:t>
            </w:r>
          </w:p>
        </w:tc>
        <w:tc>
          <w:tcPr>
            <w:tcW w:w="1321" w:type="dxa"/>
            <w:vAlign w:val="center"/>
            <w:hideMark/>
          </w:tcPr>
          <w:p w14:paraId="2EDE8BA6" w14:textId="078485D9"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w:t>
            </w:r>
          </w:p>
          <w:p w14:paraId="62D4D432" w14:textId="024BBEAC"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(25%)</w:t>
            </w:r>
          </w:p>
        </w:tc>
        <w:tc>
          <w:tcPr>
            <w:tcW w:w="1217" w:type="dxa"/>
            <w:vAlign w:val="center"/>
            <w:hideMark/>
          </w:tcPr>
          <w:p w14:paraId="5CF54617" w14:textId="020F8770"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w:t>
            </w:r>
          </w:p>
          <w:p w14:paraId="19DD76D4" w14:textId="4CDD32DE"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(20%)</w:t>
            </w:r>
          </w:p>
        </w:tc>
        <w:tc>
          <w:tcPr>
            <w:tcW w:w="1073" w:type="dxa"/>
            <w:vAlign w:val="center"/>
            <w:hideMark/>
          </w:tcPr>
          <w:p w14:paraId="602475BC"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134" w:type="dxa"/>
            <w:vAlign w:val="center"/>
            <w:hideMark/>
          </w:tcPr>
          <w:p w14:paraId="71C59B84"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2(4,3%)</w:t>
            </w:r>
          </w:p>
        </w:tc>
        <w:tc>
          <w:tcPr>
            <w:tcW w:w="1040" w:type="dxa"/>
            <w:vAlign w:val="center"/>
            <w:hideMark/>
          </w:tcPr>
          <w:p w14:paraId="48D3235A"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12</w:t>
            </w:r>
          </w:p>
          <w:p w14:paraId="44EBF836" w14:textId="3E4A70B8"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(3,7%)</w:t>
            </w:r>
          </w:p>
        </w:tc>
        <w:tc>
          <w:tcPr>
            <w:tcW w:w="1192" w:type="dxa"/>
            <w:vAlign w:val="center"/>
            <w:hideMark/>
          </w:tcPr>
          <w:p w14:paraId="271EFEF0"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22</w:t>
            </w:r>
          </w:p>
          <w:p w14:paraId="2B9E00C4" w14:textId="4BD435C1"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(4,6%)</w:t>
            </w:r>
          </w:p>
        </w:tc>
      </w:tr>
      <w:tr w:rsidR="009D7959" w:rsidRPr="0009552A" w14:paraId="7CE881D1" w14:textId="77777777" w:rsidTr="007B4874">
        <w:trPr>
          <w:trHeight w:val="300"/>
        </w:trPr>
        <w:tc>
          <w:tcPr>
            <w:tcW w:w="1524" w:type="dxa"/>
            <w:vMerge/>
            <w:hideMark/>
          </w:tcPr>
          <w:p w14:paraId="21485F6C" w14:textId="77777777" w:rsidR="007A2C38" w:rsidRPr="009D7959" w:rsidRDefault="007A2C38" w:rsidP="004135FE">
            <w:pPr>
              <w:spacing w:after="0" w:line="240" w:lineRule="auto"/>
              <w:rPr>
                <w:rFonts w:ascii="Times New Roman" w:eastAsia="Times New Roman" w:hAnsi="Times New Roman" w:cs="Times New Roman"/>
                <w:color w:val="000000"/>
                <w:sz w:val="23"/>
                <w:szCs w:val="23"/>
              </w:rPr>
            </w:pPr>
          </w:p>
        </w:tc>
        <w:tc>
          <w:tcPr>
            <w:tcW w:w="1117" w:type="dxa"/>
            <w:hideMark/>
          </w:tcPr>
          <w:p w14:paraId="70817B5D"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Рак яичников</w:t>
            </w:r>
          </w:p>
        </w:tc>
        <w:tc>
          <w:tcPr>
            <w:tcW w:w="1377" w:type="dxa"/>
            <w:vAlign w:val="center"/>
            <w:hideMark/>
          </w:tcPr>
          <w:p w14:paraId="40B89AEC"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w:t>
            </w:r>
          </w:p>
          <w:p w14:paraId="3266836A" w14:textId="28CB909B"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(2,3%)</w:t>
            </w:r>
          </w:p>
        </w:tc>
        <w:tc>
          <w:tcPr>
            <w:tcW w:w="1044" w:type="dxa"/>
            <w:vAlign w:val="center"/>
            <w:hideMark/>
          </w:tcPr>
          <w:p w14:paraId="21CC5140"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199" w:type="dxa"/>
            <w:vAlign w:val="center"/>
            <w:hideMark/>
          </w:tcPr>
          <w:p w14:paraId="240B1DB3"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w:t>
            </w:r>
          </w:p>
          <w:p w14:paraId="3655D2A0" w14:textId="247757A4"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(4,5%)</w:t>
            </w:r>
          </w:p>
        </w:tc>
        <w:tc>
          <w:tcPr>
            <w:tcW w:w="1038" w:type="dxa"/>
            <w:vAlign w:val="center"/>
            <w:hideMark/>
          </w:tcPr>
          <w:p w14:paraId="157E1DD1"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321" w:type="dxa"/>
            <w:vAlign w:val="center"/>
            <w:hideMark/>
          </w:tcPr>
          <w:p w14:paraId="224A9EAA"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217" w:type="dxa"/>
            <w:vAlign w:val="center"/>
            <w:hideMark/>
          </w:tcPr>
          <w:p w14:paraId="23B59B07"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073" w:type="dxa"/>
            <w:vAlign w:val="center"/>
            <w:hideMark/>
          </w:tcPr>
          <w:p w14:paraId="09092906"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134" w:type="dxa"/>
            <w:vAlign w:val="center"/>
            <w:hideMark/>
          </w:tcPr>
          <w:p w14:paraId="3F77779D"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040" w:type="dxa"/>
            <w:vAlign w:val="center"/>
            <w:hideMark/>
          </w:tcPr>
          <w:p w14:paraId="07CF158D"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w:t>
            </w:r>
          </w:p>
          <w:p w14:paraId="653490DC" w14:textId="67000BBC"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(0,3%)</w:t>
            </w:r>
          </w:p>
        </w:tc>
        <w:tc>
          <w:tcPr>
            <w:tcW w:w="1192" w:type="dxa"/>
            <w:vAlign w:val="center"/>
            <w:hideMark/>
          </w:tcPr>
          <w:p w14:paraId="51F0E426"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3</w:t>
            </w:r>
          </w:p>
          <w:p w14:paraId="2CA6250F" w14:textId="6B26FE26"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(0,6%)</w:t>
            </w:r>
          </w:p>
        </w:tc>
      </w:tr>
      <w:tr w:rsidR="009D7959" w:rsidRPr="0009552A" w14:paraId="166CF63A" w14:textId="77777777" w:rsidTr="007B4874">
        <w:trPr>
          <w:trHeight w:val="300"/>
        </w:trPr>
        <w:tc>
          <w:tcPr>
            <w:tcW w:w="1524" w:type="dxa"/>
            <w:vMerge/>
            <w:hideMark/>
          </w:tcPr>
          <w:p w14:paraId="7EC9392A" w14:textId="77777777" w:rsidR="007A2C38" w:rsidRPr="009D7959" w:rsidRDefault="007A2C38" w:rsidP="004135FE">
            <w:pPr>
              <w:spacing w:after="0" w:line="240" w:lineRule="auto"/>
              <w:rPr>
                <w:rFonts w:ascii="Times New Roman" w:eastAsia="Times New Roman" w:hAnsi="Times New Roman" w:cs="Times New Roman"/>
                <w:color w:val="000000"/>
                <w:sz w:val="23"/>
                <w:szCs w:val="23"/>
              </w:rPr>
            </w:pPr>
          </w:p>
        </w:tc>
        <w:tc>
          <w:tcPr>
            <w:tcW w:w="1117" w:type="dxa"/>
            <w:hideMark/>
          </w:tcPr>
          <w:p w14:paraId="08A30569"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Рак матки</w:t>
            </w:r>
          </w:p>
        </w:tc>
        <w:tc>
          <w:tcPr>
            <w:tcW w:w="1377" w:type="dxa"/>
            <w:vAlign w:val="center"/>
            <w:hideMark/>
          </w:tcPr>
          <w:p w14:paraId="23378C4D" w14:textId="1169E415"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w:t>
            </w:r>
          </w:p>
          <w:p w14:paraId="71133813" w14:textId="051C2156"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(2,3%)</w:t>
            </w:r>
          </w:p>
        </w:tc>
        <w:tc>
          <w:tcPr>
            <w:tcW w:w="1044" w:type="dxa"/>
            <w:vAlign w:val="center"/>
            <w:hideMark/>
          </w:tcPr>
          <w:p w14:paraId="095B342E"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199" w:type="dxa"/>
            <w:vAlign w:val="center"/>
            <w:hideMark/>
          </w:tcPr>
          <w:p w14:paraId="0AED852E"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038" w:type="dxa"/>
            <w:vAlign w:val="center"/>
            <w:hideMark/>
          </w:tcPr>
          <w:p w14:paraId="551AFF97"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321" w:type="dxa"/>
            <w:vAlign w:val="center"/>
            <w:hideMark/>
          </w:tcPr>
          <w:p w14:paraId="07CC2172"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217" w:type="dxa"/>
            <w:vAlign w:val="center"/>
            <w:hideMark/>
          </w:tcPr>
          <w:p w14:paraId="3D2BC0DF"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073" w:type="dxa"/>
            <w:vAlign w:val="center"/>
            <w:hideMark/>
          </w:tcPr>
          <w:p w14:paraId="5292F62A"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134" w:type="dxa"/>
            <w:vAlign w:val="center"/>
            <w:hideMark/>
          </w:tcPr>
          <w:p w14:paraId="6AFA8A36"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040" w:type="dxa"/>
            <w:vAlign w:val="center"/>
            <w:hideMark/>
          </w:tcPr>
          <w:p w14:paraId="28840269"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5</w:t>
            </w:r>
          </w:p>
          <w:p w14:paraId="28953B78" w14:textId="2E7A6511"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(1,5%)</w:t>
            </w:r>
          </w:p>
        </w:tc>
        <w:tc>
          <w:tcPr>
            <w:tcW w:w="1192" w:type="dxa"/>
            <w:vAlign w:val="center"/>
            <w:hideMark/>
          </w:tcPr>
          <w:p w14:paraId="7FC0E328"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6</w:t>
            </w:r>
          </w:p>
          <w:p w14:paraId="00173C32" w14:textId="216D78D2"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(1,3%)</w:t>
            </w:r>
          </w:p>
        </w:tc>
      </w:tr>
      <w:tr w:rsidR="009D7959" w:rsidRPr="0009552A" w14:paraId="7749C6F8" w14:textId="77777777" w:rsidTr="007B4874">
        <w:trPr>
          <w:trHeight w:val="487"/>
        </w:trPr>
        <w:tc>
          <w:tcPr>
            <w:tcW w:w="1524" w:type="dxa"/>
            <w:vMerge/>
            <w:hideMark/>
          </w:tcPr>
          <w:p w14:paraId="6D2EBB0D" w14:textId="77777777" w:rsidR="007A2C38" w:rsidRPr="009D7959" w:rsidRDefault="007A2C38" w:rsidP="004135FE">
            <w:pPr>
              <w:spacing w:after="0" w:line="240" w:lineRule="auto"/>
              <w:rPr>
                <w:rFonts w:ascii="Times New Roman" w:eastAsia="Times New Roman" w:hAnsi="Times New Roman" w:cs="Times New Roman"/>
                <w:color w:val="000000"/>
                <w:sz w:val="23"/>
                <w:szCs w:val="23"/>
              </w:rPr>
            </w:pPr>
          </w:p>
        </w:tc>
        <w:tc>
          <w:tcPr>
            <w:tcW w:w="1117" w:type="dxa"/>
            <w:hideMark/>
          </w:tcPr>
          <w:p w14:paraId="34CAE11F"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Рак толстой кишки</w:t>
            </w:r>
          </w:p>
        </w:tc>
        <w:tc>
          <w:tcPr>
            <w:tcW w:w="1377" w:type="dxa"/>
            <w:vAlign w:val="center"/>
            <w:hideMark/>
          </w:tcPr>
          <w:p w14:paraId="662B2C37"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044" w:type="dxa"/>
            <w:vAlign w:val="center"/>
            <w:hideMark/>
          </w:tcPr>
          <w:p w14:paraId="214C1E89"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199" w:type="dxa"/>
            <w:vAlign w:val="center"/>
            <w:hideMark/>
          </w:tcPr>
          <w:p w14:paraId="003C3E79"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038" w:type="dxa"/>
            <w:vAlign w:val="center"/>
            <w:hideMark/>
          </w:tcPr>
          <w:p w14:paraId="22354D20"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321" w:type="dxa"/>
            <w:vAlign w:val="center"/>
            <w:hideMark/>
          </w:tcPr>
          <w:p w14:paraId="71DC7BB2"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217" w:type="dxa"/>
            <w:vAlign w:val="center"/>
            <w:hideMark/>
          </w:tcPr>
          <w:p w14:paraId="3282574C"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073" w:type="dxa"/>
            <w:vAlign w:val="center"/>
            <w:hideMark/>
          </w:tcPr>
          <w:p w14:paraId="4D5BCD5C"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134" w:type="dxa"/>
            <w:vAlign w:val="center"/>
            <w:hideMark/>
          </w:tcPr>
          <w:p w14:paraId="0E2801C7"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w:t>
            </w:r>
          </w:p>
          <w:p w14:paraId="55E21897" w14:textId="19EC027C"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(4,3%)</w:t>
            </w:r>
          </w:p>
        </w:tc>
        <w:tc>
          <w:tcPr>
            <w:tcW w:w="1040" w:type="dxa"/>
            <w:vAlign w:val="center"/>
            <w:hideMark/>
          </w:tcPr>
          <w:p w14:paraId="74E0D314"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w:t>
            </w:r>
          </w:p>
          <w:p w14:paraId="5DD62E59" w14:textId="6B5D49B0"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(0,3%)</w:t>
            </w:r>
          </w:p>
        </w:tc>
        <w:tc>
          <w:tcPr>
            <w:tcW w:w="1192" w:type="dxa"/>
            <w:vAlign w:val="center"/>
            <w:hideMark/>
          </w:tcPr>
          <w:p w14:paraId="55314607"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3</w:t>
            </w:r>
          </w:p>
          <w:p w14:paraId="7CBCEFD5" w14:textId="25D771B0"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(0,6%)</w:t>
            </w:r>
          </w:p>
        </w:tc>
      </w:tr>
      <w:tr w:rsidR="009D7959" w:rsidRPr="0009552A" w14:paraId="4A53F469" w14:textId="77777777" w:rsidTr="007B4874">
        <w:trPr>
          <w:trHeight w:val="300"/>
        </w:trPr>
        <w:tc>
          <w:tcPr>
            <w:tcW w:w="1524" w:type="dxa"/>
            <w:vMerge/>
            <w:hideMark/>
          </w:tcPr>
          <w:p w14:paraId="64631D64" w14:textId="77777777" w:rsidR="007A2C38" w:rsidRPr="009D7959" w:rsidRDefault="007A2C38" w:rsidP="004135FE">
            <w:pPr>
              <w:spacing w:after="0" w:line="240" w:lineRule="auto"/>
              <w:rPr>
                <w:rFonts w:ascii="Times New Roman" w:eastAsia="Times New Roman" w:hAnsi="Times New Roman" w:cs="Times New Roman"/>
                <w:color w:val="000000"/>
                <w:sz w:val="23"/>
                <w:szCs w:val="23"/>
              </w:rPr>
            </w:pPr>
          </w:p>
        </w:tc>
        <w:tc>
          <w:tcPr>
            <w:tcW w:w="1117" w:type="dxa"/>
            <w:hideMark/>
          </w:tcPr>
          <w:p w14:paraId="496B6490"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Рак ПЖ</w:t>
            </w:r>
          </w:p>
        </w:tc>
        <w:tc>
          <w:tcPr>
            <w:tcW w:w="1377" w:type="dxa"/>
            <w:vAlign w:val="center"/>
            <w:hideMark/>
          </w:tcPr>
          <w:p w14:paraId="2D936D2B"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w:t>
            </w:r>
          </w:p>
          <w:p w14:paraId="37FDBCFB" w14:textId="265FA145"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(2,3%)</w:t>
            </w:r>
          </w:p>
        </w:tc>
        <w:tc>
          <w:tcPr>
            <w:tcW w:w="1044" w:type="dxa"/>
            <w:vAlign w:val="center"/>
            <w:hideMark/>
          </w:tcPr>
          <w:p w14:paraId="1C47CCC4"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199" w:type="dxa"/>
            <w:vAlign w:val="center"/>
            <w:hideMark/>
          </w:tcPr>
          <w:p w14:paraId="09873E0B"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038" w:type="dxa"/>
            <w:vAlign w:val="center"/>
            <w:hideMark/>
          </w:tcPr>
          <w:p w14:paraId="2463E05F" w14:textId="21C21306"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w:t>
            </w:r>
            <w:r w:rsidR="009D7959" w:rsidRPr="009D7959">
              <w:rPr>
                <w:rFonts w:ascii="Times New Roman" w:eastAsia="Times New Roman" w:hAnsi="Times New Roman" w:cs="Times New Roman"/>
                <w:color w:val="000000"/>
                <w:sz w:val="23"/>
                <w:szCs w:val="23"/>
              </w:rPr>
              <w:t xml:space="preserve"> </w:t>
            </w:r>
            <w:r w:rsidRPr="009D7959">
              <w:rPr>
                <w:rFonts w:ascii="Times New Roman" w:eastAsia="Times New Roman" w:hAnsi="Times New Roman" w:cs="Times New Roman"/>
                <w:color w:val="000000"/>
                <w:sz w:val="23"/>
                <w:szCs w:val="23"/>
              </w:rPr>
              <w:t>(14,3%)</w:t>
            </w:r>
          </w:p>
        </w:tc>
        <w:tc>
          <w:tcPr>
            <w:tcW w:w="1321" w:type="dxa"/>
            <w:vAlign w:val="center"/>
            <w:hideMark/>
          </w:tcPr>
          <w:p w14:paraId="26A37514"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217" w:type="dxa"/>
            <w:vAlign w:val="center"/>
            <w:hideMark/>
          </w:tcPr>
          <w:p w14:paraId="67CF4E90"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073" w:type="dxa"/>
            <w:vAlign w:val="center"/>
            <w:hideMark/>
          </w:tcPr>
          <w:p w14:paraId="1705E366"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134" w:type="dxa"/>
            <w:vAlign w:val="center"/>
            <w:hideMark/>
          </w:tcPr>
          <w:p w14:paraId="57F187E9"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040" w:type="dxa"/>
            <w:vAlign w:val="center"/>
            <w:hideMark/>
          </w:tcPr>
          <w:p w14:paraId="7D2C1A4D"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3</w:t>
            </w:r>
          </w:p>
          <w:p w14:paraId="67F7D6E6" w14:textId="700EA711"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(0,9%)</w:t>
            </w:r>
          </w:p>
        </w:tc>
        <w:tc>
          <w:tcPr>
            <w:tcW w:w="1192" w:type="dxa"/>
            <w:vAlign w:val="center"/>
            <w:hideMark/>
          </w:tcPr>
          <w:p w14:paraId="7D7EE736"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6</w:t>
            </w:r>
          </w:p>
          <w:p w14:paraId="29FC2CEB" w14:textId="5E585342"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(1,3%)</w:t>
            </w:r>
          </w:p>
        </w:tc>
      </w:tr>
      <w:tr w:rsidR="009D7959" w:rsidRPr="0009552A" w14:paraId="4CCC0ED4" w14:textId="77777777" w:rsidTr="007B4874">
        <w:trPr>
          <w:trHeight w:val="300"/>
        </w:trPr>
        <w:tc>
          <w:tcPr>
            <w:tcW w:w="1524" w:type="dxa"/>
            <w:vMerge/>
            <w:hideMark/>
          </w:tcPr>
          <w:p w14:paraId="11D42D19" w14:textId="77777777" w:rsidR="007A2C38" w:rsidRPr="009D7959" w:rsidRDefault="007A2C38" w:rsidP="004135FE">
            <w:pPr>
              <w:spacing w:after="0" w:line="240" w:lineRule="auto"/>
              <w:rPr>
                <w:rFonts w:ascii="Times New Roman" w:eastAsia="Times New Roman" w:hAnsi="Times New Roman" w:cs="Times New Roman"/>
                <w:color w:val="000000"/>
                <w:sz w:val="23"/>
                <w:szCs w:val="23"/>
              </w:rPr>
            </w:pPr>
          </w:p>
        </w:tc>
        <w:tc>
          <w:tcPr>
            <w:tcW w:w="1117" w:type="dxa"/>
            <w:hideMark/>
          </w:tcPr>
          <w:p w14:paraId="13D2E077"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Рак легких</w:t>
            </w:r>
          </w:p>
        </w:tc>
        <w:tc>
          <w:tcPr>
            <w:tcW w:w="1377" w:type="dxa"/>
            <w:vAlign w:val="center"/>
            <w:hideMark/>
          </w:tcPr>
          <w:p w14:paraId="3FEFA663" w14:textId="3DBA8AEA"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w:t>
            </w:r>
          </w:p>
          <w:p w14:paraId="1BF9FA8B" w14:textId="0BCFDA20"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(4,7%)</w:t>
            </w:r>
          </w:p>
        </w:tc>
        <w:tc>
          <w:tcPr>
            <w:tcW w:w="1044" w:type="dxa"/>
            <w:vAlign w:val="center"/>
            <w:hideMark/>
          </w:tcPr>
          <w:p w14:paraId="600D5AA5"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199" w:type="dxa"/>
            <w:vAlign w:val="center"/>
            <w:hideMark/>
          </w:tcPr>
          <w:p w14:paraId="7D5CB8AF"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3</w:t>
            </w:r>
          </w:p>
          <w:p w14:paraId="7B5B55F6" w14:textId="38700B59"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(13,6%)</w:t>
            </w:r>
          </w:p>
        </w:tc>
        <w:tc>
          <w:tcPr>
            <w:tcW w:w="1038" w:type="dxa"/>
            <w:vAlign w:val="center"/>
            <w:hideMark/>
          </w:tcPr>
          <w:p w14:paraId="79FDBF64" w14:textId="2D607F9C"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w:t>
            </w:r>
            <w:r w:rsidR="009D7959" w:rsidRPr="009D7959">
              <w:rPr>
                <w:rFonts w:ascii="Times New Roman" w:eastAsia="Times New Roman" w:hAnsi="Times New Roman" w:cs="Times New Roman"/>
                <w:color w:val="000000"/>
                <w:sz w:val="23"/>
                <w:szCs w:val="23"/>
              </w:rPr>
              <w:t xml:space="preserve"> </w:t>
            </w:r>
            <w:r w:rsidRPr="009D7959">
              <w:rPr>
                <w:rFonts w:ascii="Times New Roman" w:eastAsia="Times New Roman" w:hAnsi="Times New Roman" w:cs="Times New Roman"/>
                <w:color w:val="000000"/>
                <w:sz w:val="23"/>
                <w:szCs w:val="23"/>
              </w:rPr>
              <w:t>(7,1%)</w:t>
            </w:r>
          </w:p>
        </w:tc>
        <w:tc>
          <w:tcPr>
            <w:tcW w:w="1321" w:type="dxa"/>
            <w:vAlign w:val="center"/>
            <w:hideMark/>
          </w:tcPr>
          <w:p w14:paraId="16A45771"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217" w:type="dxa"/>
            <w:vAlign w:val="center"/>
            <w:hideMark/>
          </w:tcPr>
          <w:p w14:paraId="39BB441F"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073" w:type="dxa"/>
            <w:vAlign w:val="center"/>
            <w:hideMark/>
          </w:tcPr>
          <w:p w14:paraId="60312A55"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w:t>
            </w:r>
          </w:p>
        </w:tc>
        <w:tc>
          <w:tcPr>
            <w:tcW w:w="1134" w:type="dxa"/>
            <w:vAlign w:val="center"/>
            <w:hideMark/>
          </w:tcPr>
          <w:p w14:paraId="0F03A560"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w:t>
            </w:r>
          </w:p>
          <w:p w14:paraId="5931ED3F" w14:textId="0EA29A3C"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(2,2%)</w:t>
            </w:r>
          </w:p>
        </w:tc>
        <w:tc>
          <w:tcPr>
            <w:tcW w:w="1040" w:type="dxa"/>
            <w:vAlign w:val="center"/>
            <w:hideMark/>
          </w:tcPr>
          <w:p w14:paraId="56180767"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6</w:t>
            </w:r>
          </w:p>
          <w:p w14:paraId="6B677914" w14:textId="1FFA082A"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(1,8%)</w:t>
            </w:r>
          </w:p>
        </w:tc>
        <w:tc>
          <w:tcPr>
            <w:tcW w:w="1192" w:type="dxa"/>
            <w:vAlign w:val="center"/>
            <w:hideMark/>
          </w:tcPr>
          <w:p w14:paraId="2320BEA0"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13</w:t>
            </w:r>
          </w:p>
          <w:p w14:paraId="7B9CE362" w14:textId="0878F3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(2,7%)</w:t>
            </w:r>
          </w:p>
        </w:tc>
      </w:tr>
      <w:tr w:rsidR="009D7959" w:rsidRPr="0009552A" w14:paraId="57EA7272" w14:textId="77777777" w:rsidTr="007B4874">
        <w:trPr>
          <w:trHeight w:val="1275"/>
        </w:trPr>
        <w:tc>
          <w:tcPr>
            <w:tcW w:w="1524" w:type="dxa"/>
            <w:vMerge/>
            <w:hideMark/>
          </w:tcPr>
          <w:p w14:paraId="4B61A7F7" w14:textId="77777777" w:rsidR="007A2C38" w:rsidRPr="009D7959" w:rsidRDefault="007A2C38" w:rsidP="004135FE">
            <w:pPr>
              <w:spacing w:after="0" w:line="240" w:lineRule="auto"/>
              <w:rPr>
                <w:rFonts w:ascii="Times New Roman" w:eastAsia="Times New Roman" w:hAnsi="Times New Roman" w:cs="Times New Roman"/>
                <w:color w:val="000000"/>
                <w:sz w:val="23"/>
                <w:szCs w:val="23"/>
              </w:rPr>
            </w:pPr>
          </w:p>
        </w:tc>
        <w:tc>
          <w:tcPr>
            <w:tcW w:w="1117" w:type="dxa"/>
            <w:hideMark/>
          </w:tcPr>
          <w:p w14:paraId="7C759D79"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Не было таких состоянии здоровья</w:t>
            </w:r>
          </w:p>
        </w:tc>
        <w:tc>
          <w:tcPr>
            <w:tcW w:w="1377" w:type="dxa"/>
            <w:vAlign w:val="center"/>
            <w:hideMark/>
          </w:tcPr>
          <w:p w14:paraId="09D7A5ED" w14:textId="3D70351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11</w:t>
            </w:r>
          </w:p>
          <w:p w14:paraId="472716A1" w14:textId="67CEF69C"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(25,6%)</w:t>
            </w:r>
          </w:p>
        </w:tc>
        <w:tc>
          <w:tcPr>
            <w:tcW w:w="1044" w:type="dxa"/>
            <w:vAlign w:val="center"/>
            <w:hideMark/>
          </w:tcPr>
          <w:p w14:paraId="419BF914" w14:textId="28384C68"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8</w:t>
            </w:r>
            <w:r w:rsidR="0009552A" w:rsidRPr="009D7959">
              <w:rPr>
                <w:rFonts w:ascii="Times New Roman" w:eastAsia="Times New Roman" w:hAnsi="Times New Roman" w:cs="Times New Roman"/>
                <w:color w:val="000000"/>
                <w:sz w:val="23"/>
                <w:szCs w:val="23"/>
              </w:rPr>
              <w:t xml:space="preserve"> </w:t>
            </w:r>
            <w:r w:rsidRPr="009D7959">
              <w:rPr>
                <w:rFonts w:ascii="Times New Roman" w:eastAsia="Times New Roman" w:hAnsi="Times New Roman" w:cs="Times New Roman"/>
                <w:color w:val="000000"/>
                <w:sz w:val="23"/>
                <w:szCs w:val="23"/>
              </w:rPr>
              <w:t>(61,5%)</w:t>
            </w:r>
          </w:p>
        </w:tc>
        <w:tc>
          <w:tcPr>
            <w:tcW w:w="1199" w:type="dxa"/>
            <w:vAlign w:val="center"/>
            <w:hideMark/>
          </w:tcPr>
          <w:p w14:paraId="72CFE4B2" w14:textId="14B19271"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7</w:t>
            </w:r>
          </w:p>
          <w:p w14:paraId="17AF3EE6" w14:textId="69260663"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(31,8%)</w:t>
            </w:r>
          </w:p>
        </w:tc>
        <w:tc>
          <w:tcPr>
            <w:tcW w:w="1038" w:type="dxa"/>
            <w:vAlign w:val="center"/>
            <w:hideMark/>
          </w:tcPr>
          <w:p w14:paraId="390CADBC" w14:textId="6A0C4083"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w:t>
            </w:r>
            <w:r w:rsidR="009D7959" w:rsidRPr="009D7959">
              <w:rPr>
                <w:rFonts w:ascii="Times New Roman" w:eastAsia="Times New Roman" w:hAnsi="Times New Roman" w:cs="Times New Roman"/>
                <w:color w:val="000000"/>
                <w:sz w:val="23"/>
                <w:szCs w:val="23"/>
              </w:rPr>
              <w:t xml:space="preserve"> </w:t>
            </w:r>
            <w:r w:rsidRPr="009D7959">
              <w:rPr>
                <w:rFonts w:ascii="Times New Roman" w:eastAsia="Times New Roman" w:hAnsi="Times New Roman" w:cs="Times New Roman"/>
                <w:color w:val="000000"/>
                <w:sz w:val="23"/>
                <w:szCs w:val="23"/>
              </w:rPr>
              <w:t>(7,1%)</w:t>
            </w:r>
          </w:p>
        </w:tc>
        <w:tc>
          <w:tcPr>
            <w:tcW w:w="1321" w:type="dxa"/>
            <w:vAlign w:val="center"/>
            <w:hideMark/>
          </w:tcPr>
          <w:p w14:paraId="607240F8"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w:t>
            </w:r>
          </w:p>
          <w:p w14:paraId="3671D745" w14:textId="7B4BBFC8"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(25%)</w:t>
            </w:r>
          </w:p>
        </w:tc>
        <w:tc>
          <w:tcPr>
            <w:tcW w:w="1217" w:type="dxa"/>
            <w:vAlign w:val="center"/>
            <w:hideMark/>
          </w:tcPr>
          <w:p w14:paraId="7916478D" w14:textId="2409477B"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w:t>
            </w:r>
          </w:p>
          <w:p w14:paraId="485C40F7" w14:textId="26648385"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(40%)</w:t>
            </w:r>
          </w:p>
        </w:tc>
        <w:tc>
          <w:tcPr>
            <w:tcW w:w="1073" w:type="dxa"/>
            <w:vAlign w:val="center"/>
            <w:hideMark/>
          </w:tcPr>
          <w:p w14:paraId="163527D6" w14:textId="12C8410B"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w:t>
            </w:r>
            <w:r w:rsidR="009D7959" w:rsidRPr="009D7959">
              <w:rPr>
                <w:rFonts w:ascii="Times New Roman" w:eastAsia="Times New Roman" w:hAnsi="Times New Roman" w:cs="Times New Roman"/>
                <w:color w:val="000000"/>
                <w:sz w:val="23"/>
                <w:szCs w:val="23"/>
              </w:rPr>
              <w:t xml:space="preserve"> </w:t>
            </w:r>
            <w:r w:rsidRPr="009D7959">
              <w:rPr>
                <w:rFonts w:ascii="Times New Roman" w:eastAsia="Times New Roman" w:hAnsi="Times New Roman" w:cs="Times New Roman"/>
                <w:color w:val="000000"/>
                <w:sz w:val="23"/>
                <w:szCs w:val="23"/>
              </w:rPr>
              <w:t>(14,7%)</w:t>
            </w:r>
          </w:p>
        </w:tc>
        <w:tc>
          <w:tcPr>
            <w:tcW w:w="1134" w:type="dxa"/>
            <w:vAlign w:val="center"/>
            <w:hideMark/>
          </w:tcPr>
          <w:p w14:paraId="746981B9"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24</w:t>
            </w:r>
          </w:p>
          <w:p w14:paraId="104609FF" w14:textId="2455389C"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(52,2%)</w:t>
            </w:r>
          </w:p>
        </w:tc>
        <w:tc>
          <w:tcPr>
            <w:tcW w:w="1040" w:type="dxa"/>
            <w:vAlign w:val="center"/>
            <w:hideMark/>
          </w:tcPr>
          <w:p w14:paraId="740CA650"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186</w:t>
            </w:r>
          </w:p>
          <w:p w14:paraId="69FA3986" w14:textId="0A9E4012"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(57,1%)</w:t>
            </w:r>
          </w:p>
        </w:tc>
        <w:tc>
          <w:tcPr>
            <w:tcW w:w="1192" w:type="dxa"/>
            <w:vAlign w:val="center"/>
            <w:hideMark/>
          </w:tcPr>
          <w:p w14:paraId="6E44F3EA"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241</w:t>
            </w:r>
          </w:p>
          <w:p w14:paraId="3F7DCB3B" w14:textId="3A3DC1EA"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(50,2%)</w:t>
            </w:r>
          </w:p>
        </w:tc>
      </w:tr>
      <w:tr w:rsidR="009D7959" w:rsidRPr="0009552A" w14:paraId="7CB0215E" w14:textId="77777777" w:rsidTr="007B4874">
        <w:trPr>
          <w:trHeight w:val="300"/>
        </w:trPr>
        <w:tc>
          <w:tcPr>
            <w:tcW w:w="2641" w:type="dxa"/>
            <w:gridSpan w:val="2"/>
            <w:hideMark/>
          </w:tcPr>
          <w:p w14:paraId="58355B5A"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Итого</w:t>
            </w:r>
          </w:p>
        </w:tc>
        <w:tc>
          <w:tcPr>
            <w:tcW w:w="1377" w:type="dxa"/>
            <w:vAlign w:val="center"/>
            <w:hideMark/>
          </w:tcPr>
          <w:p w14:paraId="66A18413"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43</w:t>
            </w:r>
          </w:p>
          <w:p w14:paraId="11FE60AB" w14:textId="04C076FD"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(100%)</w:t>
            </w:r>
          </w:p>
        </w:tc>
        <w:tc>
          <w:tcPr>
            <w:tcW w:w="1044" w:type="dxa"/>
            <w:vAlign w:val="center"/>
            <w:hideMark/>
          </w:tcPr>
          <w:p w14:paraId="187B7FED"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13</w:t>
            </w:r>
          </w:p>
          <w:p w14:paraId="66CF32D8" w14:textId="5D54C7A2"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(100%)</w:t>
            </w:r>
          </w:p>
        </w:tc>
        <w:tc>
          <w:tcPr>
            <w:tcW w:w="1199" w:type="dxa"/>
            <w:vAlign w:val="center"/>
            <w:hideMark/>
          </w:tcPr>
          <w:p w14:paraId="49907653"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22</w:t>
            </w:r>
          </w:p>
          <w:p w14:paraId="35DE878C" w14:textId="54E7540E"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(100%)</w:t>
            </w:r>
          </w:p>
        </w:tc>
        <w:tc>
          <w:tcPr>
            <w:tcW w:w="1038" w:type="dxa"/>
            <w:vAlign w:val="center"/>
            <w:hideMark/>
          </w:tcPr>
          <w:p w14:paraId="29AE96D5"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14</w:t>
            </w:r>
          </w:p>
          <w:p w14:paraId="3502E219" w14:textId="461834CE"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(100%)</w:t>
            </w:r>
          </w:p>
        </w:tc>
        <w:tc>
          <w:tcPr>
            <w:tcW w:w="1321" w:type="dxa"/>
            <w:vAlign w:val="center"/>
            <w:hideMark/>
          </w:tcPr>
          <w:p w14:paraId="2638063C"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4</w:t>
            </w:r>
          </w:p>
          <w:p w14:paraId="4AA8A38F" w14:textId="29DD349C"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(100%)</w:t>
            </w:r>
          </w:p>
        </w:tc>
        <w:tc>
          <w:tcPr>
            <w:tcW w:w="1217" w:type="dxa"/>
            <w:vAlign w:val="center"/>
            <w:hideMark/>
          </w:tcPr>
          <w:p w14:paraId="080A3428"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5</w:t>
            </w:r>
          </w:p>
          <w:p w14:paraId="429793EB" w14:textId="4E54032A"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(100%)</w:t>
            </w:r>
          </w:p>
        </w:tc>
        <w:tc>
          <w:tcPr>
            <w:tcW w:w="1073" w:type="dxa"/>
            <w:vAlign w:val="center"/>
            <w:hideMark/>
          </w:tcPr>
          <w:p w14:paraId="5EBB5917"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7</w:t>
            </w:r>
          </w:p>
          <w:p w14:paraId="4C127896" w14:textId="0A7FAA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(100%)</w:t>
            </w:r>
          </w:p>
        </w:tc>
        <w:tc>
          <w:tcPr>
            <w:tcW w:w="1134" w:type="dxa"/>
            <w:vAlign w:val="center"/>
            <w:hideMark/>
          </w:tcPr>
          <w:p w14:paraId="7BA8E0A4" w14:textId="7777777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46</w:t>
            </w:r>
          </w:p>
        </w:tc>
        <w:tc>
          <w:tcPr>
            <w:tcW w:w="1040" w:type="dxa"/>
            <w:vAlign w:val="center"/>
            <w:hideMark/>
          </w:tcPr>
          <w:p w14:paraId="77E440FE"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326</w:t>
            </w:r>
          </w:p>
          <w:p w14:paraId="18BEDEBA" w14:textId="5455BA98"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(100%)</w:t>
            </w:r>
          </w:p>
        </w:tc>
        <w:tc>
          <w:tcPr>
            <w:tcW w:w="1192" w:type="dxa"/>
            <w:vAlign w:val="center"/>
            <w:hideMark/>
          </w:tcPr>
          <w:p w14:paraId="638FE456" w14:textId="77777777" w:rsidR="009D7959"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480</w:t>
            </w:r>
          </w:p>
          <w:p w14:paraId="6D7355D1" w14:textId="664E43E7" w:rsidR="007A2C38" w:rsidRPr="009D7959" w:rsidRDefault="007A2C38" w:rsidP="007B4874">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(100%)</w:t>
            </w:r>
          </w:p>
        </w:tc>
      </w:tr>
      <w:tr w:rsidR="009D7959" w:rsidRPr="0009552A" w14:paraId="197965D1" w14:textId="77777777" w:rsidTr="009D7959">
        <w:trPr>
          <w:trHeight w:val="300"/>
        </w:trPr>
        <w:tc>
          <w:tcPr>
            <w:tcW w:w="2641" w:type="dxa"/>
            <w:gridSpan w:val="2"/>
          </w:tcPr>
          <w:p w14:paraId="0BFD0977"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lang w:val="en-US"/>
              </w:rPr>
              <w:t>p-value</w:t>
            </w:r>
          </w:p>
        </w:tc>
        <w:tc>
          <w:tcPr>
            <w:tcW w:w="1377" w:type="dxa"/>
          </w:tcPr>
          <w:p w14:paraId="0560C684" w14:textId="77777777" w:rsidR="007A2C38" w:rsidRPr="009D7959" w:rsidRDefault="007A2C38" w:rsidP="004135FE">
            <w:pPr>
              <w:spacing w:after="0" w:line="240" w:lineRule="auto"/>
              <w:jc w:val="center"/>
              <w:rPr>
                <w:rFonts w:ascii="Times New Roman" w:eastAsia="Times New Roman" w:hAnsi="Times New Roman" w:cs="Times New Roman"/>
                <w:color w:val="000000"/>
                <w:sz w:val="23"/>
                <w:szCs w:val="23"/>
              </w:rPr>
            </w:pPr>
            <w:r w:rsidRPr="009D7959">
              <w:rPr>
                <w:rFonts w:ascii="Times New Roman" w:eastAsia="Times New Roman" w:hAnsi="Times New Roman" w:cs="Times New Roman"/>
                <w:color w:val="000000"/>
                <w:sz w:val="23"/>
                <w:szCs w:val="23"/>
              </w:rPr>
              <w:t>0,001</w:t>
            </w:r>
          </w:p>
        </w:tc>
        <w:tc>
          <w:tcPr>
            <w:tcW w:w="1044" w:type="dxa"/>
          </w:tcPr>
          <w:p w14:paraId="6CAC76D7" w14:textId="4A2C8B2C" w:rsidR="007A2C38" w:rsidRPr="009D7959" w:rsidRDefault="009D7959" w:rsidP="004135FE">
            <w:pPr>
              <w:spacing w:after="0" w:line="240" w:lineRule="auto"/>
              <w:jc w:val="cente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w:t>
            </w:r>
          </w:p>
        </w:tc>
        <w:tc>
          <w:tcPr>
            <w:tcW w:w="1199" w:type="dxa"/>
          </w:tcPr>
          <w:p w14:paraId="2F57FB7C" w14:textId="29E40235" w:rsidR="007A2C38" w:rsidRPr="009D7959" w:rsidRDefault="009D7959" w:rsidP="004135FE">
            <w:pPr>
              <w:spacing w:after="0" w:line="240" w:lineRule="auto"/>
              <w:jc w:val="cente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w:t>
            </w:r>
          </w:p>
        </w:tc>
        <w:tc>
          <w:tcPr>
            <w:tcW w:w="1038" w:type="dxa"/>
          </w:tcPr>
          <w:p w14:paraId="5D5794BE" w14:textId="2B358252" w:rsidR="007A2C38" w:rsidRPr="009D7959" w:rsidRDefault="009D7959" w:rsidP="004135FE">
            <w:pPr>
              <w:spacing w:after="0" w:line="240" w:lineRule="auto"/>
              <w:jc w:val="cente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w:t>
            </w:r>
          </w:p>
        </w:tc>
        <w:tc>
          <w:tcPr>
            <w:tcW w:w="1321" w:type="dxa"/>
          </w:tcPr>
          <w:p w14:paraId="03F22EEB" w14:textId="3ED5602D" w:rsidR="007A2C38" w:rsidRPr="009D7959" w:rsidRDefault="009D7959" w:rsidP="004135FE">
            <w:pPr>
              <w:spacing w:after="0" w:line="240" w:lineRule="auto"/>
              <w:jc w:val="cente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w:t>
            </w:r>
          </w:p>
        </w:tc>
        <w:tc>
          <w:tcPr>
            <w:tcW w:w="1217" w:type="dxa"/>
          </w:tcPr>
          <w:p w14:paraId="7CFEA471" w14:textId="1AD776C4" w:rsidR="007A2C38" w:rsidRPr="009D7959" w:rsidRDefault="009D7959" w:rsidP="004135FE">
            <w:pPr>
              <w:spacing w:after="0" w:line="240" w:lineRule="auto"/>
              <w:jc w:val="cente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w:t>
            </w:r>
          </w:p>
        </w:tc>
        <w:tc>
          <w:tcPr>
            <w:tcW w:w="1073" w:type="dxa"/>
          </w:tcPr>
          <w:p w14:paraId="4FF7704C" w14:textId="56F3FD91" w:rsidR="007A2C38" w:rsidRPr="009D7959" w:rsidRDefault="009D7959" w:rsidP="004135FE">
            <w:pPr>
              <w:spacing w:after="0" w:line="240" w:lineRule="auto"/>
              <w:jc w:val="cente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w:t>
            </w:r>
          </w:p>
        </w:tc>
        <w:tc>
          <w:tcPr>
            <w:tcW w:w="1134" w:type="dxa"/>
          </w:tcPr>
          <w:p w14:paraId="629BE727" w14:textId="69537EA3" w:rsidR="007A2C38" w:rsidRPr="009D7959" w:rsidRDefault="009D7959" w:rsidP="004135FE">
            <w:pPr>
              <w:spacing w:after="0" w:line="240" w:lineRule="auto"/>
              <w:jc w:val="cente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w:t>
            </w:r>
          </w:p>
        </w:tc>
        <w:tc>
          <w:tcPr>
            <w:tcW w:w="1040" w:type="dxa"/>
          </w:tcPr>
          <w:p w14:paraId="11FFB151" w14:textId="432E20AF" w:rsidR="007A2C38" w:rsidRPr="009D7959" w:rsidRDefault="009D7959" w:rsidP="004135FE">
            <w:pPr>
              <w:spacing w:after="0" w:line="240" w:lineRule="auto"/>
              <w:jc w:val="cente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w:t>
            </w:r>
          </w:p>
        </w:tc>
        <w:tc>
          <w:tcPr>
            <w:tcW w:w="1192" w:type="dxa"/>
          </w:tcPr>
          <w:p w14:paraId="1942245B" w14:textId="5BA8C1DF" w:rsidR="007A2C38" w:rsidRPr="009D7959" w:rsidRDefault="009D7959" w:rsidP="004135FE">
            <w:pPr>
              <w:spacing w:after="0" w:line="240" w:lineRule="auto"/>
              <w:jc w:val="cente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w:t>
            </w:r>
          </w:p>
        </w:tc>
      </w:tr>
    </w:tbl>
    <w:p w14:paraId="62815EB9" w14:textId="77777777" w:rsidR="009D7959" w:rsidRDefault="009D7959" w:rsidP="004135FE">
      <w:pPr>
        <w:tabs>
          <w:tab w:val="center" w:pos="567"/>
        </w:tabs>
        <w:autoSpaceDE w:val="0"/>
        <w:autoSpaceDN w:val="0"/>
        <w:adjustRightInd w:val="0"/>
        <w:spacing w:after="0" w:line="240" w:lineRule="auto"/>
        <w:jc w:val="both"/>
        <w:rPr>
          <w:rFonts w:ascii="Times New Roman" w:hAnsi="Times New Roman" w:cs="Times New Roman"/>
          <w:b/>
          <w:bCs/>
          <w:sz w:val="28"/>
          <w:szCs w:val="28"/>
        </w:rPr>
        <w:sectPr w:rsidR="009D7959" w:rsidSect="009D7959">
          <w:pgSz w:w="16838" w:h="11906" w:orient="landscape"/>
          <w:pgMar w:top="1418" w:right="1134" w:bottom="851" w:left="1134" w:header="709" w:footer="709" w:gutter="0"/>
          <w:cols w:space="708"/>
          <w:docGrid w:linePitch="360"/>
        </w:sectPr>
      </w:pPr>
    </w:p>
    <w:p w14:paraId="6AEA81FF" w14:textId="77777777" w:rsidR="009D7959" w:rsidRDefault="007A2C38" w:rsidP="004135FE">
      <w:pPr>
        <w:tabs>
          <w:tab w:val="center" w:pos="567"/>
        </w:tabs>
        <w:autoSpaceDE w:val="0"/>
        <w:autoSpaceDN w:val="0"/>
        <w:adjustRightInd w:val="0"/>
        <w:spacing w:after="0" w:line="240" w:lineRule="auto"/>
        <w:jc w:val="both"/>
        <w:rPr>
          <w:rFonts w:ascii="Times New Roman" w:hAnsi="Times New Roman" w:cs="Times New Roman"/>
          <w:b/>
          <w:bCs/>
          <w:sz w:val="28"/>
          <w:szCs w:val="28"/>
        </w:rPr>
      </w:pPr>
      <w:r w:rsidRPr="004135FE">
        <w:rPr>
          <w:rFonts w:ascii="Times New Roman" w:hAnsi="Times New Roman" w:cs="Times New Roman"/>
          <w:b/>
          <w:bCs/>
          <w:sz w:val="28"/>
          <w:szCs w:val="28"/>
        </w:rPr>
        <w:tab/>
      </w:r>
    </w:p>
    <w:p w14:paraId="14E3EC4A" w14:textId="3F202A9C" w:rsidR="007A2C38" w:rsidRPr="004135FE" w:rsidRDefault="007A2C38" w:rsidP="009D7959">
      <w:pPr>
        <w:tabs>
          <w:tab w:val="center" w:pos="567"/>
        </w:tabs>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Cs/>
          <w:sz w:val="28"/>
          <w:szCs w:val="28"/>
        </w:rPr>
        <w:t>Возрастная категория респондентов влияет на</w:t>
      </w:r>
      <w:r w:rsidRPr="004135FE">
        <w:rPr>
          <w:rFonts w:ascii="Times New Roman" w:hAnsi="Times New Roman" w:cs="Times New Roman"/>
          <w:b/>
          <w:bCs/>
          <w:sz w:val="28"/>
          <w:szCs w:val="28"/>
        </w:rPr>
        <w:t xml:space="preserve"> </w:t>
      </w:r>
      <w:r w:rsidRPr="004135FE">
        <w:rPr>
          <w:rFonts w:ascii="Times New Roman" w:hAnsi="Times New Roman" w:cs="Times New Roman"/>
          <w:bCs/>
          <w:sz w:val="28"/>
          <w:szCs w:val="28"/>
        </w:rPr>
        <w:t xml:space="preserve">период последнего обследования половых гормонов. Пациенты 46-60лет больше следят за состоянием гормонов, соответственно из тех, кто в этом месяце проходил обследование составила- </w:t>
      </w:r>
      <w:r w:rsidRPr="004135FE">
        <w:rPr>
          <w:rFonts w:ascii="Times New Roman" w:eastAsia="Times New Roman" w:hAnsi="Times New Roman" w:cs="Times New Roman"/>
          <w:sz w:val="28"/>
          <w:szCs w:val="28"/>
        </w:rPr>
        <w:t>55,8%, в течение последних 3 месяцев-50,0%, в этом году-59,7%, 3 года назад-64,3%. Д</w:t>
      </w:r>
      <w:r w:rsidRPr="004135FE">
        <w:rPr>
          <w:rFonts w:ascii="Times New Roman" w:hAnsi="Times New Roman" w:cs="Times New Roman"/>
          <w:bCs/>
          <w:sz w:val="28"/>
          <w:szCs w:val="28"/>
        </w:rPr>
        <w:t xml:space="preserve">анный возраст соответствует к снижению и полной остановки репродуктивного потенциала. </w:t>
      </w:r>
      <w:r w:rsidRPr="004135FE">
        <w:rPr>
          <w:rFonts w:ascii="Times New Roman" w:hAnsi="Times New Roman" w:cs="Times New Roman"/>
          <w:sz w:val="28"/>
          <w:szCs w:val="28"/>
        </w:rPr>
        <w:t>(χ2=61,105, df=44, p=0,029).</w:t>
      </w:r>
    </w:p>
    <w:p w14:paraId="06EC9AE5" w14:textId="77777777"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sz w:val="28"/>
          <w:szCs w:val="28"/>
        </w:rPr>
      </w:pPr>
    </w:p>
    <w:p w14:paraId="3DFEE5A9" w14:textId="1307FBD9" w:rsidR="007A2C38" w:rsidRDefault="003C3318" w:rsidP="004135FE">
      <w:pPr>
        <w:tabs>
          <w:tab w:val="center" w:pos="567"/>
        </w:tabs>
        <w:autoSpaceDE w:val="0"/>
        <w:autoSpaceDN w:val="0"/>
        <w:adjustRightInd w:val="0"/>
        <w:spacing w:after="0" w:line="240" w:lineRule="auto"/>
        <w:jc w:val="both"/>
        <w:rPr>
          <w:rFonts w:ascii="Times New Roman" w:hAnsi="Times New Roman" w:cs="Times New Roman"/>
          <w:bCs/>
          <w:sz w:val="28"/>
          <w:szCs w:val="28"/>
        </w:rPr>
      </w:pPr>
      <w:r w:rsidRPr="004135FE">
        <w:rPr>
          <w:rFonts w:ascii="Times New Roman" w:hAnsi="Times New Roman" w:cs="Times New Roman"/>
          <w:bCs/>
          <w:sz w:val="28"/>
          <w:szCs w:val="28"/>
        </w:rPr>
        <w:t>Таблица 4</w:t>
      </w:r>
      <w:r w:rsidR="00B728EF" w:rsidRPr="004135FE">
        <w:rPr>
          <w:rFonts w:ascii="Times New Roman" w:hAnsi="Times New Roman" w:cs="Times New Roman"/>
          <w:bCs/>
          <w:sz w:val="28"/>
          <w:szCs w:val="28"/>
        </w:rPr>
        <w:t>0</w:t>
      </w:r>
      <w:r w:rsidR="007B4874">
        <w:rPr>
          <w:rFonts w:ascii="Times New Roman" w:hAnsi="Times New Roman" w:cs="Times New Roman"/>
          <w:bCs/>
          <w:sz w:val="28"/>
          <w:szCs w:val="28"/>
        </w:rPr>
        <w:t xml:space="preserve"> </w:t>
      </w:r>
      <w:r w:rsidR="007A2C38" w:rsidRPr="004135FE">
        <w:rPr>
          <w:rFonts w:ascii="Times New Roman" w:hAnsi="Times New Roman" w:cs="Times New Roman"/>
          <w:bCs/>
          <w:sz w:val="28"/>
          <w:szCs w:val="28"/>
        </w:rPr>
        <w:t>- Период последнего обследования половых гормонов среди респондентов, распределенных по возрасту</w:t>
      </w:r>
    </w:p>
    <w:p w14:paraId="7AE3D962" w14:textId="77777777" w:rsidR="009D7959" w:rsidRPr="004135FE" w:rsidRDefault="009D7959" w:rsidP="004135FE">
      <w:pPr>
        <w:tabs>
          <w:tab w:val="center" w:pos="567"/>
        </w:tabs>
        <w:autoSpaceDE w:val="0"/>
        <w:autoSpaceDN w:val="0"/>
        <w:adjustRightInd w:val="0"/>
        <w:spacing w:after="0" w:line="240" w:lineRule="auto"/>
        <w:jc w:val="both"/>
        <w:rPr>
          <w:rFonts w:ascii="Times New Roman" w:hAnsi="Times New Roman" w:cs="Times New Roman"/>
          <w:bCs/>
          <w:sz w:val="28"/>
          <w:szCs w:val="28"/>
        </w:rPr>
      </w:pPr>
    </w:p>
    <w:tbl>
      <w:tblPr>
        <w:tblStyle w:val="a5"/>
        <w:tblW w:w="0" w:type="auto"/>
        <w:tblLook w:val="04A0" w:firstRow="1" w:lastRow="0" w:firstColumn="1" w:lastColumn="0" w:noHBand="0" w:noVBand="1"/>
      </w:tblPr>
      <w:tblGrid>
        <w:gridCol w:w="1362"/>
        <w:gridCol w:w="1327"/>
        <w:gridCol w:w="1347"/>
        <w:gridCol w:w="1327"/>
        <w:gridCol w:w="1327"/>
        <w:gridCol w:w="1327"/>
        <w:gridCol w:w="1327"/>
      </w:tblGrid>
      <w:tr w:rsidR="007A2C38" w:rsidRPr="004135FE" w14:paraId="7863EFAB" w14:textId="77777777" w:rsidTr="00A42E92">
        <w:tc>
          <w:tcPr>
            <w:tcW w:w="1456" w:type="dxa"/>
          </w:tcPr>
          <w:p w14:paraId="76BD4D26" w14:textId="4664A6C2" w:rsidR="007A2C38" w:rsidRPr="004135FE" w:rsidRDefault="004F0DE6" w:rsidP="004135FE">
            <w:pPr>
              <w:tabs>
                <w:tab w:val="center" w:pos="567"/>
              </w:tabs>
              <w:autoSpaceDE w:val="0"/>
              <w:autoSpaceDN w:val="0"/>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Вариант</w:t>
            </w:r>
          </w:p>
        </w:tc>
        <w:tc>
          <w:tcPr>
            <w:tcW w:w="1456" w:type="dxa"/>
          </w:tcPr>
          <w:p w14:paraId="574592F4"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В этом месяце</w:t>
            </w:r>
          </w:p>
        </w:tc>
        <w:tc>
          <w:tcPr>
            <w:tcW w:w="1456" w:type="dxa"/>
          </w:tcPr>
          <w:p w14:paraId="23238710"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В течения 3 месяцев</w:t>
            </w:r>
          </w:p>
        </w:tc>
        <w:tc>
          <w:tcPr>
            <w:tcW w:w="1456" w:type="dxa"/>
          </w:tcPr>
          <w:p w14:paraId="25014449"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В этом году</w:t>
            </w:r>
          </w:p>
        </w:tc>
        <w:tc>
          <w:tcPr>
            <w:tcW w:w="1456" w:type="dxa"/>
          </w:tcPr>
          <w:p w14:paraId="3CA56555"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года назад</w:t>
            </w:r>
          </w:p>
        </w:tc>
        <w:tc>
          <w:tcPr>
            <w:tcW w:w="1456" w:type="dxa"/>
          </w:tcPr>
          <w:p w14:paraId="302D4C4A"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Не помню</w:t>
            </w:r>
          </w:p>
        </w:tc>
        <w:tc>
          <w:tcPr>
            <w:tcW w:w="1456" w:type="dxa"/>
          </w:tcPr>
          <w:p w14:paraId="54D487A0" w14:textId="2E17DBD2" w:rsidR="007A2C38" w:rsidRPr="004135FE" w:rsidRDefault="007B4874" w:rsidP="004135F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007A2C38" w:rsidRPr="004135FE">
              <w:rPr>
                <w:rFonts w:ascii="Times New Roman" w:eastAsia="Times New Roman" w:hAnsi="Times New Roman" w:cs="Times New Roman"/>
                <w:sz w:val="28"/>
                <w:szCs w:val="28"/>
              </w:rPr>
              <w:t>сего</w:t>
            </w:r>
          </w:p>
        </w:tc>
      </w:tr>
      <w:tr w:rsidR="007A2C38" w:rsidRPr="004135FE" w14:paraId="0D26AEA8" w14:textId="77777777" w:rsidTr="00A42E92">
        <w:tc>
          <w:tcPr>
            <w:tcW w:w="1456" w:type="dxa"/>
          </w:tcPr>
          <w:p w14:paraId="2CEE7E90" w14:textId="77777777" w:rsidR="007A2C38" w:rsidRPr="004135FE" w:rsidRDefault="007A2C38" w:rsidP="007B4874">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18-45 лет</w:t>
            </w:r>
          </w:p>
        </w:tc>
        <w:tc>
          <w:tcPr>
            <w:tcW w:w="1456" w:type="dxa"/>
          </w:tcPr>
          <w:p w14:paraId="2982B947" w14:textId="77777777" w:rsidR="009D7959"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p w14:paraId="547A3580" w14:textId="121778D2" w:rsidR="007A2C38" w:rsidRPr="004135FE"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(14,0%)</w:t>
            </w:r>
          </w:p>
        </w:tc>
        <w:tc>
          <w:tcPr>
            <w:tcW w:w="1456" w:type="dxa"/>
          </w:tcPr>
          <w:p w14:paraId="0CC20D13" w14:textId="77777777" w:rsidR="009D7959"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w:t>
            </w:r>
          </w:p>
          <w:p w14:paraId="6F634B82" w14:textId="170A99FC" w:rsidR="007A2C38" w:rsidRPr="004135FE"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(27,5%)</w:t>
            </w:r>
          </w:p>
        </w:tc>
        <w:tc>
          <w:tcPr>
            <w:tcW w:w="1456" w:type="dxa"/>
          </w:tcPr>
          <w:p w14:paraId="3B64360E" w14:textId="77777777" w:rsidR="009D7959"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w:t>
            </w:r>
          </w:p>
          <w:p w14:paraId="4F54BC87" w14:textId="0B7C520B" w:rsidR="007A2C38" w:rsidRPr="004135FE"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(14,5%)</w:t>
            </w:r>
          </w:p>
        </w:tc>
        <w:tc>
          <w:tcPr>
            <w:tcW w:w="1456" w:type="dxa"/>
          </w:tcPr>
          <w:p w14:paraId="0E2250C4" w14:textId="77777777" w:rsidR="009D7959"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p w14:paraId="00D15C17" w14:textId="0E7A8A8F" w:rsidR="007A2C38" w:rsidRPr="004135FE"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(14,3%)</w:t>
            </w:r>
          </w:p>
        </w:tc>
        <w:tc>
          <w:tcPr>
            <w:tcW w:w="1456" w:type="dxa"/>
          </w:tcPr>
          <w:p w14:paraId="56CB96FE" w14:textId="77777777" w:rsidR="009D7959"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w:t>
            </w:r>
          </w:p>
          <w:p w14:paraId="7AC6980C" w14:textId="55812740" w:rsidR="007A2C38" w:rsidRPr="004135FE"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(11,7%)</w:t>
            </w:r>
          </w:p>
        </w:tc>
        <w:tc>
          <w:tcPr>
            <w:tcW w:w="1456" w:type="dxa"/>
          </w:tcPr>
          <w:p w14:paraId="6B63F55D" w14:textId="77777777" w:rsidR="009D7959"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66</w:t>
            </w:r>
          </w:p>
          <w:p w14:paraId="2FC3FF52" w14:textId="5B6C78D2" w:rsidR="007A2C38" w:rsidRPr="004135FE"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(13,8%)</w:t>
            </w:r>
          </w:p>
        </w:tc>
      </w:tr>
      <w:tr w:rsidR="007A2C38" w:rsidRPr="004135FE" w14:paraId="03DF4861" w14:textId="77777777" w:rsidTr="00A42E92">
        <w:tc>
          <w:tcPr>
            <w:tcW w:w="1456" w:type="dxa"/>
          </w:tcPr>
          <w:p w14:paraId="2007098C" w14:textId="77777777" w:rsidR="007A2C38" w:rsidRPr="004135FE" w:rsidRDefault="007A2C38" w:rsidP="007B4874">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46-60 лет</w:t>
            </w:r>
          </w:p>
        </w:tc>
        <w:tc>
          <w:tcPr>
            <w:tcW w:w="1456" w:type="dxa"/>
          </w:tcPr>
          <w:p w14:paraId="7DFA2B5F" w14:textId="77777777" w:rsidR="009D7959"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w:t>
            </w:r>
          </w:p>
          <w:p w14:paraId="49060146" w14:textId="19F598F8" w:rsidR="007A2C38" w:rsidRPr="004135FE"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(55,8%)</w:t>
            </w:r>
          </w:p>
        </w:tc>
        <w:tc>
          <w:tcPr>
            <w:tcW w:w="1456" w:type="dxa"/>
          </w:tcPr>
          <w:p w14:paraId="2E65FF08" w14:textId="77777777" w:rsidR="009D7959"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w:t>
            </w:r>
          </w:p>
          <w:p w14:paraId="066BA3DD" w14:textId="7D367CFD" w:rsidR="007A2C38" w:rsidRPr="004135FE"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(50,0%)</w:t>
            </w:r>
          </w:p>
        </w:tc>
        <w:tc>
          <w:tcPr>
            <w:tcW w:w="1456" w:type="dxa"/>
          </w:tcPr>
          <w:p w14:paraId="3F53642A" w14:textId="77777777" w:rsidR="009D7959"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37</w:t>
            </w:r>
          </w:p>
          <w:p w14:paraId="6A7A090F" w14:textId="363F8EBB" w:rsidR="007A2C38" w:rsidRPr="004135FE"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(59,7%)</w:t>
            </w:r>
          </w:p>
        </w:tc>
        <w:tc>
          <w:tcPr>
            <w:tcW w:w="1456" w:type="dxa"/>
          </w:tcPr>
          <w:p w14:paraId="676F5C94" w14:textId="77777777" w:rsidR="009D7959"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w:t>
            </w:r>
          </w:p>
          <w:p w14:paraId="66BA71FE" w14:textId="066B8F91" w:rsidR="007A2C38" w:rsidRPr="004135FE"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(64,3%)</w:t>
            </w:r>
          </w:p>
        </w:tc>
        <w:tc>
          <w:tcPr>
            <w:tcW w:w="1456" w:type="dxa"/>
          </w:tcPr>
          <w:p w14:paraId="4EFACBDC" w14:textId="77777777" w:rsidR="009D7959"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146</w:t>
            </w:r>
          </w:p>
          <w:p w14:paraId="19B40C8B" w14:textId="71F494BB" w:rsidR="007A2C38" w:rsidRPr="004135FE"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(47,6%)</w:t>
            </w:r>
          </w:p>
        </w:tc>
        <w:tc>
          <w:tcPr>
            <w:tcW w:w="1456" w:type="dxa"/>
          </w:tcPr>
          <w:p w14:paraId="5C02C962" w14:textId="77777777" w:rsidR="009D7959"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245</w:t>
            </w:r>
          </w:p>
          <w:p w14:paraId="2B520039" w14:textId="74C8F242" w:rsidR="007A2C38" w:rsidRPr="004135FE"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(51,0%)</w:t>
            </w:r>
          </w:p>
        </w:tc>
      </w:tr>
      <w:tr w:rsidR="007A2C38" w:rsidRPr="004135FE" w14:paraId="7A999C7C" w14:textId="77777777" w:rsidTr="00A42E92">
        <w:tc>
          <w:tcPr>
            <w:tcW w:w="1456" w:type="dxa"/>
          </w:tcPr>
          <w:p w14:paraId="27E85129" w14:textId="39A123C0" w:rsidR="007A2C38" w:rsidRPr="004135FE" w:rsidRDefault="007B4874" w:rsidP="007B4874">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7A2C38" w:rsidRPr="004135FE">
              <w:rPr>
                <w:rFonts w:ascii="Times New Roman" w:eastAsia="Times New Roman" w:hAnsi="Times New Roman" w:cs="Times New Roman"/>
                <w:sz w:val="28"/>
                <w:szCs w:val="28"/>
              </w:rPr>
              <w:t>тарше 60 лет</w:t>
            </w:r>
          </w:p>
        </w:tc>
        <w:tc>
          <w:tcPr>
            <w:tcW w:w="1456" w:type="dxa"/>
          </w:tcPr>
          <w:p w14:paraId="2D14A4C4" w14:textId="77777777" w:rsidR="009D7959"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w:t>
            </w:r>
          </w:p>
          <w:p w14:paraId="167E53E9" w14:textId="015ECE15" w:rsidR="007A2C38" w:rsidRPr="004135FE"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(30,2%)</w:t>
            </w:r>
          </w:p>
        </w:tc>
        <w:tc>
          <w:tcPr>
            <w:tcW w:w="1456" w:type="dxa"/>
          </w:tcPr>
          <w:p w14:paraId="460F8600" w14:textId="77777777" w:rsidR="009D7959"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w:t>
            </w:r>
          </w:p>
          <w:p w14:paraId="0765C619" w14:textId="3238BF4C" w:rsidR="007A2C38" w:rsidRPr="004135FE"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(22,5%)</w:t>
            </w:r>
          </w:p>
        </w:tc>
        <w:tc>
          <w:tcPr>
            <w:tcW w:w="1456" w:type="dxa"/>
          </w:tcPr>
          <w:p w14:paraId="3A88EEAA" w14:textId="77777777" w:rsidR="009D7959"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w:t>
            </w:r>
          </w:p>
          <w:p w14:paraId="666D6640" w14:textId="0C01C255" w:rsidR="007A2C38" w:rsidRPr="004135FE"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(25,8%)</w:t>
            </w:r>
          </w:p>
        </w:tc>
        <w:tc>
          <w:tcPr>
            <w:tcW w:w="1456" w:type="dxa"/>
          </w:tcPr>
          <w:p w14:paraId="47436AC3" w14:textId="77777777" w:rsidR="009D7959"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p w14:paraId="0DF895CC" w14:textId="5C947B1A" w:rsidR="007A2C38" w:rsidRPr="004135FE"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(21,4%)</w:t>
            </w:r>
          </w:p>
        </w:tc>
        <w:tc>
          <w:tcPr>
            <w:tcW w:w="1456" w:type="dxa"/>
          </w:tcPr>
          <w:p w14:paraId="08BB9855" w14:textId="77777777" w:rsidR="009D7959"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125</w:t>
            </w:r>
          </w:p>
          <w:p w14:paraId="14975FD8" w14:textId="00639E46" w:rsidR="007A2C38" w:rsidRPr="004135FE"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(40,7%)</w:t>
            </w:r>
          </w:p>
        </w:tc>
        <w:tc>
          <w:tcPr>
            <w:tcW w:w="1456" w:type="dxa"/>
          </w:tcPr>
          <w:p w14:paraId="7DD93B53" w14:textId="77777777" w:rsidR="009D7959"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169</w:t>
            </w:r>
          </w:p>
          <w:p w14:paraId="0E44A5CF" w14:textId="1FCFB180" w:rsidR="007A2C38" w:rsidRPr="004135FE" w:rsidRDefault="007A2C38" w:rsidP="009D7959">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(35,2%)</w:t>
            </w:r>
          </w:p>
        </w:tc>
      </w:tr>
      <w:tr w:rsidR="007A2C38" w:rsidRPr="004135FE" w14:paraId="2547D981" w14:textId="77777777" w:rsidTr="00A42E92">
        <w:tc>
          <w:tcPr>
            <w:tcW w:w="1456" w:type="dxa"/>
          </w:tcPr>
          <w:p w14:paraId="72153A47" w14:textId="77777777" w:rsidR="007A2C38" w:rsidRPr="004135FE" w:rsidRDefault="007A2C38" w:rsidP="007B4874">
            <w:pPr>
              <w:tabs>
                <w:tab w:val="center" w:pos="567"/>
              </w:tabs>
              <w:autoSpaceDE w:val="0"/>
              <w:autoSpaceDN w:val="0"/>
              <w:adjustRightInd w:val="0"/>
              <w:spacing w:after="0" w:line="240" w:lineRule="auto"/>
              <w:jc w:val="center"/>
              <w:rPr>
                <w:rFonts w:ascii="Times New Roman" w:hAnsi="Times New Roman" w:cs="Times New Roman"/>
                <w:bCs/>
                <w:sz w:val="28"/>
                <w:szCs w:val="28"/>
              </w:rPr>
            </w:pPr>
            <w:r w:rsidRPr="004135FE">
              <w:rPr>
                <w:rFonts w:ascii="Times New Roman" w:hAnsi="Times New Roman" w:cs="Times New Roman"/>
                <w:bCs/>
                <w:sz w:val="28"/>
                <w:szCs w:val="28"/>
              </w:rPr>
              <w:t>Итого</w:t>
            </w:r>
          </w:p>
        </w:tc>
        <w:tc>
          <w:tcPr>
            <w:tcW w:w="1456" w:type="dxa"/>
          </w:tcPr>
          <w:p w14:paraId="296A945A" w14:textId="77777777" w:rsidR="009D7959" w:rsidRDefault="007A2C38" w:rsidP="009D7959">
            <w:pPr>
              <w:tabs>
                <w:tab w:val="center" w:pos="567"/>
              </w:tabs>
              <w:autoSpaceDE w:val="0"/>
              <w:autoSpaceDN w:val="0"/>
              <w:adjustRightInd w:val="0"/>
              <w:spacing w:after="0" w:line="240" w:lineRule="auto"/>
              <w:jc w:val="center"/>
              <w:rPr>
                <w:rFonts w:ascii="Times New Roman" w:hAnsi="Times New Roman" w:cs="Times New Roman"/>
                <w:bCs/>
                <w:sz w:val="28"/>
                <w:szCs w:val="28"/>
              </w:rPr>
            </w:pPr>
            <w:r w:rsidRPr="004135FE">
              <w:rPr>
                <w:rFonts w:ascii="Times New Roman" w:hAnsi="Times New Roman" w:cs="Times New Roman"/>
                <w:bCs/>
                <w:sz w:val="28"/>
                <w:szCs w:val="28"/>
              </w:rPr>
              <w:t>43</w:t>
            </w:r>
          </w:p>
          <w:p w14:paraId="3369B21A" w14:textId="481359D8" w:rsidR="007A2C38" w:rsidRPr="004135FE" w:rsidRDefault="007A2C38" w:rsidP="009D7959">
            <w:pPr>
              <w:tabs>
                <w:tab w:val="center" w:pos="567"/>
              </w:tabs>
              <w:autoSpaceDE w:val="0"/>
              <w:autoSpaceDN w:val="0"/>
              <w:adjustRightInd w:val="0"/>
              <w:spacing w:after="0" w:line="240" w:lineRule="auto"/>
              <w:jc w:val="center"/>
              <w:rPr>
                <w:rFonts w:ascii="Times New Roman" w:hAnsi="Times New Roman" w:cs="Times New Roman"/>
                <w:bCs/>
                <w:sz w:val="28"/>
                <w:szCs w:val="28"/>
              </w:rPr>
            </w:pPr>
            <w:r w:rsidRPr="004135FE">
              <w:rPr>
                <w:rFonts w:ascii="Times New Roman" w:hAnsi="Times New Roman" w:cs="Times New Roman"/>
                <w:bCs/>
                <w:sz w:val="28"/>
                <w:szCs w:val="28"/>
              </w:rPr>
              <w:t>(100%)</w:t>
            </w:r>
          </w:p>
        </w:tc>
        <w:tc>
          <w:tcPr>
            <w:tcW w:w="1456" w:type="dxa"/>
          </w:tcPr>
          <w:p w14:paraId="69DC6B75" w14:textId="77777777" w:rsidR="009D7959" w:rsidRDefault="007A2C38" w:rsidP="009D7959">
            <w:pPr>
              <w:tabs>
                <w:tab w:val="center" w:pos="567"/>
              </w:tabs>
              <w:autoSpaceDE w:val="0"/>
              <w:autoSpaceDN w:val="0"/>
              <w:adjustRightInd w:val="0"/>
              <w:spacing w:after="0" w:line="240" w:lineRule="auto"/>
              <w:jc w:val="center"/>
              <w:rPr>
                <w:rFonts w:ascii="Times New Roman" w:hAnsi="Times New Roman" w:cs="Times New Roman"/>
                <w:bCs/>
                <w:sz w:val="28"/>
                <w:szCs w:val="28"/>
              </w:rPr>
            </w:pPr>
            <w:r w:rsidRPr="004135FE">
              <w:rPr>
                <w:rFonts w:ascii="Times New Roman" w:hAnsi="Times New Roman" w:cs="Times New Roman"/>
                <w:bCs/>
                <w:sz w:val="28"/>
                <w:szCs w:val="28"/>
              </w:rPr>
              <w:t>40</w:t>
            </w:r>
          </w:p>
          <w:p w14:paraId="78E2501B" w14:textId="36A81939" w:rsidR="007A2C38" w:rsidRPr="004135FE" w:rsidRDefault="007A2C38" w:rsidP="009D7959">
            <w:pPr>
              <w:tabs>
                <w:tab w:val="center" w:pos="567"/>
              </w:tabs>
              <w:autoSpaceDE w:val="0"/>
              <w:autoSpaceDN w:val="0"/>
              <w:adjustRightInd w:val="0"/>
              <w:spacing w:after="0" w:line="240" w:lineRule="auto"/>
              <w:jc w:val="center"/>
              <w:rPr>
                <w:rFonts w:ascii="Times New Roman" w:hAnsi="Times New Roman" w:cs="Times New Roman"/>
                <w:bCs/>
                <w:sz w:val="28"/>
                <w:szCs w:val="28"/>
              </w:rPr>
            </w:pPr>
            <w:r w:rsidRPr="004135FE">
              <w:rPr>
                <w:rFonts w:ascii="Times New Roman" w:hAnsi="Times New Roman" w:cs="Times New Roman"/>
                <w:bCs/>
                <w:sz w:val="28"/>
                <w:szCs w:val="28"/>
              </w:rPr>
              <w:t>(100%)</w:t>
            </w:r>
          </w:p>
        </w:tc>
        <w:tc>
          <w:tcPr>
            <w:tcW w:w="1456" w:type="dxa"/>
          </w:tcPr>
          <w:p w14:paraId="127BE90B" w14:textId="77777777" w:rsidR="009D7959" w:rsidRDefault="007A2C38" w:rsidP="009D7959">
            <w:pPr>
              <w:tabs>
                <w:tab w:val="center" w:pos="567"/>
              </w:tabs>
              <w:autoSpaceDE w:val="0"/>
              <w:autoSpaceDN w:val="0"/>
              <w:adjustRightInd w:val="0"/>
              <w:spacing w:after="0" w:line="240" w:lineRule="auto"/>
              <w:jc w:val="center"/>
              <w:rPr>
                <w:rFonts w:ascii="Times New Roman" w:hAnsi="Times New Roman" w:cs="Times New Roman"/>
                <w:bCs/>
                <w:sz w:val="28"/>
                <w:szCs w:val="28"/>
              </w:rPr>
            </w:pPr>
            <w:r w:rsidRPr="004135FE">
              <w:rPr>
                <w:rFonts w:ascii="Times New Roman" w:hAnsi="Times New Roman" w:cs="Times New Roman"/>
                <w:bCs/>
                <w:sz w:val="28"/>
                <w:szCs w:val="28"/>
              </w:rPr>
              <w:t>62</w:t>
            </w:r>
          </w:p>
          <w:p w14:paraId="1D2812A6" w14:textId="149425D4" w:rsidR="007A2C38" w:rsidRPr="004135FE" w:rsidRDefault="007A2C38" w:rsidP="009D7959">
            <w:pPr>
              <w:tabs>
                <w:tab w:val="center" w:pos="567"/>
              </w:tabs>
              <w:autoSpaceDE w:val="0"/>
              <w:autoSpaceDN w:val="0"/>
              <w:adjustRightInd w:val="0"/>
              <w:spacing w:after="0" w:line="240" w:lineRule="auto"/>
              <w:jc w:val="center"/>
              <w:rPr>
                <w:rFonts w:ascii="Times New Roman" w:hAnsi="Times New Roman" w:cs="Times New Roman"/>
                <w:bCs/>
                <w:sz w:val="28"/>
                <w:szCs w:val="28"/>
              </w:rPr>
            </w:pPr>
            <w:r w:rsidRPr="004135FE">
              <w:rPr>
                <w:rFonts w:ascii="Times New Roman" w:hAnsi="Times New Roman" w:cs="Times New Roman"/>
                <w:bCs/>
                <w:sz w:val="28"/>
                <w:szCs w:val="28"/>
              </w:rPr>
              <w:t>(100%)</w:t>
            </w:r>
          </w:p>
        </w:tc>
        <w:tc>
          <w:tcPr>
            <w:tcW w:w="1456" w:type="dxa"/>
          </w:tcPr>
          <w:p w14:paraId="3D703453" w14:textId="77777777" w:rsidR="009D7959" w:rsidRDefault="007A2C38" w:rsidP="009D7959">
            <w:pPr>
              <w:tabs>
                <w:tab w:val="center" w:pos="567"/>
              </w:tabs>
              <w:autoSpaceDE w:val="0"/>
              <w:autoSpaceDN w:val="0"/>
              <w:adjustRightInd w:val="0"/>
              <w:spacing w:after="0" w:line="240" w:lineRule="auto"/>
              <w:jc w:val="center"/>
              <w:rPr>
                <w:rFonts w:ascii="Times New Roman" w:hAnsi="Times New Roman" w:cs="Times New Roman"/>
                <w:bCs/>
                <w:sz w:val="28"/>
                <w:szCs w:val="28"/>
              </w:rPr>
            </w:pPr>
            <w:r w:rsidRPr="004135FE">
              <w:rPr>
                <w:rFonts w:ascii="Times New Roman" w:hAnsi="Times New Roman" w:cs="Times New Roman"/>
                <w:bCs/>
                <w:sz w:val="28"/>
                <w:szCs w:val="28"/>
              </w:rPr>
              <w:t>28</w:t>
            </w:r>
          </w:p>
          <w:p w14:paraId="25602114" w14:textId="692EA4AB" w:rsidR="007A2C38" w:rsidRPr="004135FE" w:rsidRDefault="007A2C38" w:rsidP="009D7959">
            <w:pPr>
              <w:tabs>
                <w:tab w:val="center" w:pos="567"/>
              </w:tabs>
              <w:autoSpaceDE w:val="0"/>
              <w:autoSpaceDN w:val="0"/>
              <w:adjustRightInd w:val="0"/>
              <w:spacing w:after="0" w:line="240" w:lineRule="auto"/>
              <w:jc w:val="center"/>
              <w:rPr>
                <w:rFonts w:ascii="Times New Roman" w:hAnsi="Times New Roman" w:cs="Times New Roman"/>
                <w:bCs/>
                <w:sz w:val="28"/>
                <w:szCs w:val="28"/>
              </w:rPr>
            </w:pPr>
            <w:r w:rsidRPr="004135FE">
              <w:rPr>
                <w:rFonts w:ascii="Times New Roman" w:hAnsi="Times New Roman" w:cs="Times New Roman"/>
                <w:bCs/>
                <w:sz w:val="28"/>
                <w:szCs w:val="28"/>
              </w:rPr>
              <w:t>(100%)</w:t>
            </w:r>
          </w:p>
        </w:tc>
        <w:tc>
          <w:tcPr>
            <w:tcW w:w="1456" w:type="dxa"/>
          </w:tcPr>
          <w:p w14:paraId="792DB2BB" w14:textId="77777777" w:rsidR="009D7959" w:rsidRDefault="007A2C38" w:rsidP="009D7959">
            <w:pPr>
              <w:tabs>
                <w:tab w:val="center" w:pos="567"/>
              </w:tabs>
              <w:autoSpaceDE w:val="0"/>
              <w:autoSpaceDN w:val="0"/>
              <w:adjustRightInd w:val="0"/>
              <w:spacing w:after="0" w:line="240" w:lineRule="auto"/>
              <w:jc w:val="center"/>
              <w:rPr>
                <w:rFonts w:ascii="Times New Roman" w:hAnsi="Times New Roman" w:cs="Times New Roman"/>
                <w:bCs/>
                <w:sz w:val="28"/>
                <w:szCs w:val="28"/>
              </w:rPr>
            </w:pPr>
            <w:r w:rsidRPr="004135FE">
              <w:rPr>
                <w:rFonts w:ascii="Times New Roman" w:hAnsi="Times New Roman" w:cs="Times New Roman"/>
                <w:bCs/>
                <w:sz w:val="28"/>
                <w:szCs w:val="28"/>
              </w:rPr>
              <w:t>307</w:t>
            </w:r>
          </w:p>
          <w:p w14:paraId="73E1CDA3" w14:textId="45BCDB16" w:rsidR="007A2C38" w:rsidRPr="004135FE" w:rsidRDefault="007A2C38" w:rsidP="009D7959">
            <w:pPr>
              <w:tabs>
                <w:tab w:val="center" w:pos="567"/>
              </w:tabs>
              <w:autoSpaceDE w:val="0"/>
              <w:autoSpaceDN w:val="0"/>
              <w:adjustRightInd w:val="0"/>
              <w:spacing w:after="0" w:line="240" w:lineRule="auto"/>
              <w:jc w:val="center"/>
              <w:rPr>
                <w:rFonts w:ascii="Times New Roman" w:hAnsi="Times New Roman" w:cs="Times New Roman"/>
                <w:bCs/>
                <w:sz w:val="28"/>
                <w:szCs w:val="28"/>
              </w:rPr>
            </w:pPr>
            <w:r w:rsidRPr="004135FE">
              <w:rPr>
                <w:rFonts w:ascii="Times New Roman" w:hAnsi="Times New Roman" w:cs="Times New Roman"/>
                <w:bCs/>
                <w:sz w:val="28"/>
                <w:szCs w:val="28"/>
              </w:rPr>
              <w:t>(100%)</w:t>
            </w:r>
          </w:p>
        </w:tc>
        <w:tc>
          <w:tcPr>
            <w:tcW w:w="1456" w:type="dxa"/>
          </w:tcPr>
          <w:p w14:paraId="7128CFE8" w14:textId="77777777" w:rsidR="009D7959" w:rsidRDefault="007A2C38" w:rsidP="009D7959">
            <w:pPr>
              <w:tabs>
                <w:tab w:val="center" w:pos="567"/>
              </w:tabs>
              <w:autoSpaceDE w:val="0"/>
              <w:autoSpaceDN w:val="0"/>
              <w:adjustRightInd w:val="0"/>
              <w:spacing w:after="0" w:line="240" w:lineRule="auto"/>
              <w:jc w:val="center"/>
              <w:rPr>
                <w:rFonts w:ascii="Times New Roman" w:hAnsi="Times New Roman" w:cs="Times New Roman"/>
                <w:bCs/>
                <w:sz w:val="28"/>
                <w:szCs w:val="28"/>
              </w:rPr>
            </w:pPr>
            <w:r w:rsidRPr="004135FE">
              <w:rPr>
                <w:rFonts w:ascii="Times New Roman" w:hAnsi="Times New Roman" w:cs="Times New Roman"/>
                <w:bCs/>
                <w:sz w:val="28"/>
                <w:szCs w:val="28"/>
              </w:rPr>
              <w:t>480</w:t>
            </w:r>
          </w:p>
          <w:p w14:paraId="389ACA18" w14:textId="11C5ED2F" w:rsidR="007A2C38" w:rsidRPr="004135FE" w:rsidRDefault="007A2C38" w:rsidP="009D7959">
            <w:pPr>
              <w:tabs>
                <w:tab w:val="center" w:pos="567"/>
              </w:tabs>
              <w:autoSpaceDE w:val="0"/>
              <w:autoSpaceDN w:val="0"/>
              <w:adjustRightInd w:val="0"/>
              <w:spacing w:after="0" w:line="240" w:lineRule="auto"/>
              <w:jc w:val="center"/>
              <w:rPr>
                <w:rFonts w:ascii="Times New Roman" w:hAnsi="Times New Roman" w:cs="Times New Roman"/>
                <w:bCs/>
                <w:sz w:val="28"/>
                <w:szCs w:val="28"/>
              </w:rPr>
            </w:pPr>
            <w:r w:rsidRPr="004135FE">
              <w:rPr>
                <w:rFonts w:ascii="Times New Roman" w:hAnsi="Times New Roman" w:cs="Times New Roman"/>
                <w:bCs/>
                <w:sz w:val="28"/>
                <w:szCs w:val="28"/>
              </w:rPr>
              <w:t>(100%)</w:t>
            </w:r>
          </w:p>
        </w:tc>
      </w:tr>
      <w:tr w:rsidR="007A2C38" w:rsidRPr="004135FE" w14:paraId="790EC1D8" w14:textId="77777777" w:rsidTr="00A42E92">
        <w:tc>
          <w:tcPr>
            <w:tcW w:w="1456" w:type="dxa"/>
          </w:tcPr>
          <w:p w14:paraId="506FFB16" w14:textId="77777777" w:rsidR="007A2C38" w:rsidRPr="004135FE" w:rsidRDefault="007A2C38" w:rsidP="007B4874">
            <w:pPr>
              <w:tabs>
                <w:tab w:val="center" w:pos="567"/>
              </w:tabs>
              <w:autoSpaceDE w:val="0"/>
              <w:autoSpaceDN w:val="0"/>
              <w:adjustRightInd w:val="0"/>
              <w:spacing w:after="0" w:line="240" w:lineRule="auto"/>
              <w:jc w:val="center"/>
              <w:rPr>
                <w:rFonts w:ascii="Times New Roman" w:hAnsi="Times New Roman" w:cs="Times New Roman"/>
                <w:bCs/>
                <w:sz w:val="28"/>
                <w:szCs w:val="28"/>
              </w:rPr>
            </w:pPr>
            <w:r w:rsidRPr="004135FE">
              <w:rPr>
                <w:rFonts w:ascii="Times New Roman" w:eastAsia="Times New Roman" w:hAnsi="Times New Roman" w:cs="Times New Roman"/>
                <w:color w:val="000000"/>
                <w:sz w:val="28"/>
                <w:szCs w:val="28"/>
                <w:lang w:val="en-US"/>
              </w:rPr>
              <w:t>p-value</w:t>
            </w:r>
          </w:p>
        </w:tc>
        <w:tc>
          <w:tcPr>
            <w:tcW w:w="1456" w:type="dxa"/>
          </w:tcPr>
          <w:p w14:paraId="730050EF" w14:textId="77777777" w:rsidR="007A2C38" w:rsidRPr="004135FE" w:rsidRDefault="007A2C38" w:rsidP="009D7959">
            <w:pPr>
              <w:tabs>
                <w:tab w:val="center" w:pos="567"/>
              </w:tabs>
              <w:autoSpaceDE w:val="0"/>
              <w:autoSpaceDN w:val="0"/>
              <w:adjustRightInd w:val="0"/>
              <w:spacing w:after="0" w:line="240" w:lineRule="auto"/>
              <w:jc w:val="center"/>
              <w:rPr>
                <w:rFonts w:ascii="Times New Roman" w:hAnsi="Times New Roman" w:cs="Times New Roman"/>
                <w:bCs/>
                <w:sz w:val="28"/>
                <w:szCs w:val="28"/>
              </w:rPr>
            </w:pPr>
            <w:r w:rsidRPr="004135FE">
              <w:rPr>
                <w:rFonts w:ascii="Times New Roman" w:eastAsia="Times New Roman" w:hAnsi="Times New Roman" w:cs="Times New Roman"/>
                <w:sz w:val="28"/>
                <w:szCs w:val="28"/>
              </w:rPr>
              <w:t>0,029</w:t>
            </w:r>
          </w:p>
        </w:tc>
        <w:tc>
          <w:tcPr>
            <w:tcW w:w="1456" w:type="dxa"/>
          </w:tcPr>
          <w:p w14:paraId="6E2DC7C6" w14:textId="78CA1536" w:rsidR="007A2C38" w:rsidRPr="004135FE" w:rsidRDefault="009D7959" w:rsidP="009D7959">
            <w:pPr>
              <w:tabs>
                <w:tab w:val="center" w:pos="567"/>
              </w:tabs>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w:t>
            </w:r>
          </w:p>
        </w:tc>
        <w:tc>
          <w:tcPr>
            <w:tcW w:w="1456" w:type="dxa"/>
          </w:tcPr>
          <w:p w14:paraId="6D55E6F2" w14:textId="7B9CB49F" w:rsidR="007A2C38" w:rsidRPr="004135FE" w:rsidRDefault="009D7959" w:rsidP="009D7959">
            <w:pPr>
              <w:tabs>
                <w:tab w:val="center" w:pos="567"/>
              </w:tabs>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w:t>
            </w:r>
          </w:p>
        </w:tc>
        <w:tc>
          <w:tcPr>
            <w:tcW w:w="1456" w:type="dxa"/>
          </w:tcPr>
          <w:p w14:paraId="1389C109" w14:textId="45CA2947" w:rsidR="007A2C38" w:rsidRPr="004135FE" w:rsidRDefault="009D7959" w:rsidP="009D7959">
            <w:pPr>
              <w:tabs>
                <w:tab w:val="center" w:pos="567"/>
              </w:tabs>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w:t>
            </w:r>
          </w:p>
        </w:tc>
        <w:tc>
          <w:tcPr>
            <w:tcW w:w="1456" w:type="dxa"/>
          </w:tcPr>
          <w:p w14:paraId="26BF3822" w14:textId="779E69D2" w:rsidR="007A2C38" w:rsidRPr="004135FE" w:rsidRDefault="009D7959" w:rsidP="009D7959">
            <w:pPr>
              <w:tabs>
                <w:tab w:val="center" w:pos="567"/>
              </w:tabs>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w:t>
            </w:r>
          </w:p>
        </w:tc>
        <w:tc>
          <w:tcPr>
            <w:tcW w:w="1456" w:type="dxa"/>
          </w:tcPr>
          <w:p w14:paraId="10D93D3B" w14:textId="134EA61C" w:rsidR="007A2C38" w:rsidRPr="004135FE" w:rsidRDefault="009D7959" w:rsidP="009D7959">
            <w:pPr>
              <w:tabs>
                <w:tab w:val="center" w:pos="567"/>
              </w:tabs>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w:t>
            </w:r>
          </w:p>
        </w:tc>
      </w:tr>
    </w:tbl>
    <w:p w14:paraId="462F6B43" w14:textId="77777777"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bCs/>
          <w:sz w:val="28"/>
          <w:szCs w:val="28"/>
        </w:rPr>
      </w:pPr>
    </w:p>
    <w:p w14:paraId="2432C37B" w14:textId="77777777"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bCs/>
          <w:sz w:val="28"/>
          <w:szCs w:val="28"/>
        </w:rPr>
      </w:pPr>
      <w:r w:rsidRPr="004135FE">
        <w:rPr>
          <w:rFonts w:ascii="Times New Roman" w:hAnsi="Times New Roman" w:cs="Times New Roman"/>
          <w:bCs/>
          <w:sz w:val="28"/>
          <w:szCs w:val="28"/>
        </w:rPr>
        <w:tab/>
      </w:r>
      <w:r w:rsidRPr="004135FE">
        <w:rPr>
          <w:rFonts w:ascii="Times New Roman" w:hAnsi="Times New Roman" w:cs="Times New Roman"/>
          <w:bCs/>
          <w:sz w:val="28"/>
          <w:szCs w:val="28"/>
        </w:rPr>
        <w:tab/>
        <w:t>Большинство мужчин и женщин с СД2т не следят за состоянием половых гормонов, что составила 70,50% и 59,29%. В этом году проходили обследование анализа 14,64% женщин и 10,50% мужчин.</w:t>
      </w:r>
    </w:p>
    <w:p w14:paraId="4A820CDD" w14:textId="77777777"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bCs/>
          <w:sz w:val="28"/>
          <w:szCs w:val="28"/>
        </w:rPr>
      </w:pPr>
    </w:p>
    <w:p w14:paraId="7A34698D" w14:textId="77777777" w:rsidR="007A2C38" w:rsidRPr="004135FE" w:rsidRDefault="007A2C38" w:rsidP="004135FE">
      <w:pPr>
        <w:tabs>
          <w:tab w:val="left" w:pos="709"/>
        </w:tabs>
        <w:autoSpaceDE w:val="0"/>
        <w:autoSpaceDN w:val="0"/>
        <w:adjustRightInd w:val="0"/>
        <w:spacing w:after="0" w:line="240" w:lineRule="auto"/>
        <w:jc w:val="both"/>
        <w:rPr>
          <w:rFonts w:ascii="Times New Roman" w:hAnsi="Times New Roman" w:cs="Times New Roman"/>
          <w:bCs/>
          <w:sz w:val="28"/>
          <w:szCs w:val="28"/>
        </w:rPr>
      </w:pPr>
      <w:r w:rsidRPr="004135FE">
        <w:rPr>
          <w:rFonts w:ascii="Times New Roman" w:hAnsi="Times New Roman" w:cs="Times New Roman"/>
          <w:bCs/>
          <w:sz w:val="28"/>
          <w:szCs w:val="28"/>
        </w:rPr>
        <w:tab/>
      </w:r>
      <w:r w:rsidRPr="004135FE">
        <w:rPr>
          <w:noProof/>
          <w:sz w:val="28"/>
          <w:szCs w:val="28"/>
        </w:rPr>
        <w:drawing>
          <wp:inline distT="0" distB="0" distL="0" distR="0" wp14:anchorId="0A8A72E3" wp14:editId="4479F468">
            <wp:extent cx="4572000" cy="2501661"/>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7C23C4F" w14:textId="4B474DB9" w:rsidR="007A2C38" w:rsidRPr="004135FE" w:rsidRDefault="007A2C38" w:rsidP="009D7959">
      <w:pPr>
        <w:tabs>
          <w:tab w:val="left" w:pos="709"/>
        </w:tabs>
        <w:autoSpaceDE w:val="0"/>
        <w:autoSpaceDN w:val="0"/>
        <w:adjustRightInd w:val="0"/>
        <w:spacing w:after="0" w:line="240" w:lineRule="auto"/>
        <w:jc w:val="center"/>
        <w:rPr>
          <w:rFonts w:ascii="Times New Roman" w:hAnsi="Times New Roman" w:cs="Times New Roman"/>
          <w:bCs/>
          <w:sz w:val="28"/>
          <w:szCs w:val="28"/>
        </w:rPr>
      </w:pPr>
      <w:r w:rsidRPr="004135FE">
        <w:rPr>
          <w:rFonts w:ascii="Times New Roman" w:hAnsi="Times New Roman" w:cs="Times New Roman"/>
          <w:bCs/>
          <w:sz w:val="28"/>
          <w:szCs w:val="28"/>
        </w:rPr>
        <w:t>Рисунок 42- Периодичность контроля половых гормонов среди мужчин и женщин</w:t>
      </w:r>
    </w:p>
    <w:p w14:paraId="019086BC" w14:textId="77777777" w:rsidR="007A2C38" w:rsidRPr="004135FE" w:rsidRDefault="007A2C38" w:rsidP="004135FE">
      <w:pPr>
        <w:tabs>
          <w:tab w:val="left" w:pos="709"/>
        </w:tabs>
        <w:autoSpaceDE w:val="0"/>
        <w:autoSpaceDN w:val="0"/>
        <w:adjustRightInd w:val="0"/>
        <w:spacing w:after="0" w:line="240" w:lineRule="auto"/>
        <w:jc w:val="both"/>
        <w:rPr>
          <w:rFonts w:ascii="Times New Roman" w:hAnsi="Times New Roman" w:cs="Times New Roman"/>
          <w:bCs/>
          <w:sz w:val="28"/>
          <w:szCs w:val="28"/>
        </w:rPr>
      </w:pPr>
    </w:p>
    <w:p w14:paraId="208D7A38" w14:textId="77777777" w:rsidR="007A2C38" w:rsidRPr="004135FE" w:rsidRDefault="007A2C38" w:rsidP="004135FE">
      <w:pPr>
        <w:tabs>
          <w:tab w:val="left" w:pos="709"/>
        </w:tabs>
        <w:autoSpaceDE w:val="0"/>
        <w:autoSpaceDN w:val="0"/>
        <w:adjustRightInd w:val="0"/>
        <w:spacing w:after="0" w:line="240" w:lineRule="auto"/>
        <w:jc w:val="both"/>
        <w:rPr>
          <w:rFonts w:ascii="Times New Roman" w:hAnsi="Times New Roman" w:cs="Times New Roman"/>
          <w:bCs/>
          <w:sz w:val="28"/>
          <w:szCs w:val="28"/>
        </w:rPr>
      </w:pPr>
      <w:r w:rsidRPr="004135FE">
        <w:rPr>
          <w:rFonts w:ascii="Times New Roman" w:hAnsi="Times New Roman" w:cs="Times New Roman"/>
          <w:bCs/>
          <w:sz w:val="28"/>
          <w:szCs w:val="28"/>
        </w:rPr>
        <w:tab/>
        <w:t xml:space="preserve">Большинство респондентов не помнят период </w:t>
      </w:r>
      <w:r w:rsidRPr="004135FE">
        <w:rPr>
          <w:rFonts w:ascii="Times New Roman" w:hAnsi="Times New Roman" w:cs="Times New Roman"/>
          <w:sz w:val="28"/>
          <w:szCs w:val="28"/>
          <w:lang w:val="kk-KZ"/>
        </w:rPr>
        <w:t xml:space="preserve">последнего обследования анализов половых гормонов: </w:t>
      </w:r>
      <w:r w:rsidRPr="004135FE">
        <w:rPr>
          <w:rFonts w:ascii="Times New Roman" w:hAnsi="Times New Roman" w:cs="Times New Roman"/>
          <w:sz w:val="28"/>
          <w:szCs w:val="28"/>
        </w:rPr>
        <w:t xml:space="preserve">44,0% с избыточным весом, 30,90% с ожирением І степени. </w:t>
      </w:r>
      <w:r w:rsidRPr="004135FE">
        <w:rPr>
          <w:rFonts w:ascii="Times New Roman" w:hAnsi="Times New Roman" w:cs="Times New Roman"/>
          <w:sz w:val="28"/>
          <w:szCs w:val="28"/>
          <w:lang w:val="kk-KZ"/>
        </w:rPr>
        <w:t xml:space="preserve">Тоесть это большая вероятность отсутствия наличия обследования. </w:t>
      </w:r>
      <w:r w:rsidRPr="004135FE">
        <w:rPr>
          <w:rFonts w:ascii="Times New Roman" w:hAnsi="Times New Roman" w:cs="Times New Roman"/>
          <w:bCs/>
          <w:sz w:val="28"/>
          <w:szCs w:val="28"/>
        </w:rPr>
        <w:t xml:space="preserve">Учитывая огромный вклад ИМТ на уровень половых гормонов, с объективным внешним проявлением состояния здоровья, мед. персонал и сами пациенты проявляют халатность к собственному здоровью </w:t>
      </w:r>
      <w:r w:rsidRPr="004135FE">
        <w:rPr>
          <w:rFonts w:ascii="Times New Roman" w:hAnsi="Times New Roman" w:cs="Times New Roman"/>
          <w:sz w:val="28"/>
          <w:szCs w:val="28"/>
        </w:rPr>
        <w:t>(χ2=15,304, df=20, p=0,05)</w:t>
      </w:r>
      <w:r w:rsidRPr="004135FE">
        <w:rPr>
          <w:rFonts w:ascii="Times New Roman" w:hAnsi="Times New Roman" w:cs="Times New Roman"/>
          <w:bCs/>
          <w:sz w:val="28"/>
          <w:szCs w:val="28"/>
        </w:rPr>
        <w:t>.</w:t>
      </w:r>
    </w:p>
    <w:p w14:paraId="6E96785B" w14:textId="77777777" w:rsidR="007A2C38" w:rsidRPr="004135FE" w:rsidRDefault="007A2C38" w:rsidP="004135FE">
      <w:pPr>
        <w:tabs>
          <w:tab w:val="left" w:pos="709"/>
        </w:tabs>
        <w:autoSpaceDE w:val="0"/>
        <w:autoSpaceDN w:val="0"/>
        <w:adjustRightInd w:val="0"/>
        <w:spacing w:after="0" w:line="240" w:lineRule="auto"/>
        <w:jc w:val="both"/>
        <w:rPr>
          <w:rFonts w:ascii="Times New Roman" w:hAnsi="Times New Roman" w:cs="Times New Roman"/>
          <w:bCs/>
          <w:sz w:val="28"/>
          <w:szCs w:val="28"/>
        </w:rPr>
      </w:pPr>
    </w:p>
    <w:p w14:paraId="1D942160" w14:textId="77777777" w:rsidR="007A2C38" w:rsidRPr="004135FE" w:rsidRDefault="007A2C38" w:rsidP="009D7959">
      <w:pPr>
        <w:spacing w:after="0" w:line="240" w:lineRule="auto"/>
        <w:jc w:val="center"/>
        <w:rPr>
          <w:rFonts w:ascii="Times New Roman" w:hAnsi="Times New Roman" w:cs="Times New Roman"/>
          <w:bCs/>
          <w:sz w:val="28"/>
          <w:szCs w:val="28"/>
        </w:rPr>
      </w:pPr>
      <w:r w:rsidRPr="004135FE">
        <w:rPr>
          <w:noProof/>
          <w:sz w:val="28"/>
          <w:szCs w:val="28"/>
        </w:rPr>
        <w:drawing>
          <wp:inline distT="0" distB="0" distL="0" distR="0" wp14:anchorId="746D7504" wp14:editId="040BA121">
            <wp:extent cx="4572000" cy="274320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206B543" w14:textId="77777777" w:rsidR="009D7959" w:rsidRDefault="009D7959" w:rsidP="009D7959">
      <w:pPr>
        <w:spacing w:after="0" w:line="240" w:lineRule="auto"/>
        <w:jc w:val="center"/>
        <w:rPr>
          <w:rFonts w:ascii="Times New Roman" w:hAnsi="Times New Roman" w:cs="Times New Roman"/>
          <w:bCs/>
          <w:sz w:val="28"/>
          <w:szCs w:val="28"/>
        </w:rPr>
      </w:pPr>
    </w:p>
    <w:p w14:paraId="56D127BB" w14:textId="4D312935" w:rsidR="007A2C38" w:rsidRPr="004135FE" w:rsidRDefault="007A2C38" w:rsidP="009D7959">
      <w:pPr>
        <w:spacing w:after="0" w:line="240" w:lineRule="auto"/>
        <w:jc w:val="center"/>
        <w:rPr>
          <w:rFonts w:ascii="Times New Roman" w:hAnsi="Times New Roman" w:cs="Times New Roman"/>
          <w:sz w:val="28"/>
          <w:szCs w:val="28"/>
        </w:rPr>
      </w:pPr>
      <w:r w:rsidRPr="004135FE">
        <w:rPr>
          <w:rFonts w:ascii="Times New Roman" w:hAnsi="Times New Roman" w:cs="Times New Roman"/>
          <w:bCs/>
          <w:sz w:val="28"/>
          <w:szCs w:val="28"/>
        </w:rPr>
        <w:t>Рисунок 43 – Период последнего обследования половых гормонов в зависимости от ИМТ</w:t>
      </w:r>
    </w:p>
    <w:p w14:paraId="30EE1231" w14:textId="77777777" w:rsidR="007A2C38" w:rsidRPr="004135FE" w:rsidRDefault="007A2C38" w:rsidP="004135FE">
      <w:pPr>
        <w:tabs>
          <w:tab w:val="left" w:pos="709"/>
        </w:tabs>
        <w:autoSpaceDE w:val="0"/>
        <w:autoSpaceDN w:val="0"/>
        <w:adjustRightInd w:val="0"/>
        <w:spacing w:after="0" w:line="240" w:lineRule="auto"/>
        <w:jc w:val="both"/>
        <w:rPr>
          <w:rFonts w:ascii="Times New Roman" w:hAnsi="Times New Roman" w:cs="Times New Roman"/>
          <w:sz w:val="28"/>
          <w:szCs w:val="28"/>
        </w:rPr>
      </w:pPr>
    </w:p>
    <w:p w14:paraId="383CB2CD" w14:textId="77777777"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bCs/>
          <w:sz w:val="28"/>
          <w:szCs w:val="28"/>
        </w:rPr>
      </w:pPr>
      <w:r w:rsidRPr="004135FE">
        <w:rPr>
          <w:rFonts w:ascii="Times New Roman" w:hAnsi="Times New Roman" w:cs="Times New Roman"/>
          <w:bCs/>
          <w:sz w:val="28"/>
          <w:szCs w:val="28"/>
        </w:rPr>
        <w:tab/>
      </w:r>
      <w:r w:rsidRPr="004135FE">
        <w:rPr>
          <w:rFonts w:ascii="Times New Roman" w:hAnsi="Times New Roman" w:cs="Times New Roman"/>
          <w:bCs/>
          <w:sz w:val="28"/>
          <w:szCs w:val="28"/>
        </w:rPr>
        <w:tab/>
        <w:t xml:space="preserve">Независимо от количества детей большинство пациентов не следят за состоянием и периодичностью половых гормонов </w:t>
      </w:r>
      <w:r w:rsidRPr="004135FE">
        <w:rPr>
          <w:rFonts w:ascii="Times New Roman" w:hAnsi="Times New Roman" w:cs="Times New Roman"/>
          <w:sz w:val="28"/>
          <w:szCs w:val="28"/>
        </w:rPr>
        <w:t>(χ2=33,829, df=24, p=0,088)</w:t>
      </w:r>
      <w:r w:rsidRPr="004135FE">
        <w:rPr>
          <w:rFonts w:ascii="Times New Roman" w:hAnsi="Times New Roman" w:cs="Times New Roman"/>
          <w:bCs/>
          <w:sz w:val="28"/>
          <w:szCs w:val="28"/>
        </w:rPr>
        <w:t>.</w:t>
      </w:r>
    </w:p>
    <w:p w14:paraId="0BA42384" w14:textId="77777777"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b/>
          <w:bCs/>
          <w:sz w:val="28"/>
          <w:szCs w:val="28"/>
        </w:rPr>
      </w:pPr>
    </w:p>
    <w:p w14:paraId="32F3258B" w14:textId="130E8183" w:rsidR="007A2C38" w:rsidRDefault="007A2C38" w:rsidP="004135FE">
      <w:pPr>
        <w:tabs>
          <w:tab w:val="center" w:pos="2880"/>
        </w:tabs>
        <w:autoSpaceDE w:val="0"/>
        <w:autoSpaceDN w:val="0"/>
        <w:adjustRightInd w:val="0"/>
        <w:spacing w:after="0" w:line="240" w:lineRule="auto"/>
        <w:jc w:val="both"/>
        <w:rPr>
          <w:rFonts w:ascii="Times New Roman" w:hAnsi="Times New Roman" w:cs="Times New Roman"/>
          <w:bCs/>
          <w:sz w:val="28"/>
          <w:szCs w:val="28"/>
        </w:rPr>
      </w:pPr>
      <w:r w:rsidRPr="004135FE">
        <w:rPr>
          <w:rFonts w:ascii="Times New Roman" w:hAnsi="Times New Roman" w:cs="Times New Roman"/>
          <w:bCs/>
          <w:sz w:val="28"/>
          <w:szCs w:val="28"/>
        </w:rPr>
        <w:t>Таблица 4</w:t>
      </w:r>
      <w:r w:rsidR="00B728EF" w:rsidRPr="004135FE">
        <w:rPr>
          <w:rFonts w:ascii="Times New Roman" w:hAnsi="Times New Roman" w:cs="Times New Roman"/>
          <w:bCs/>
          <w:sz w:val="28"/>
          <w:szCs w:val="28"/>
        </w:rPr>
        <w:t>1</w:t>
      </w:r>
      <w:r w:rsidR="007B4874">
        <w:rPr>
          <w:rFonts w:ascii="Times New Roman" w:hAnsi="Times New Roman" w:cs="Times New Roman"/>
          <w:bCs/>
          <w:sz w:val="28"/>
          <w:szCs w:val="28"/>
        </w:rPr>
        <w:t xml:space="preserve"> </w:t>
      </w:r>
      <w:r w:rsidRPr="004135FE">
        <w:rPr>
          <w:rFonts w:ascii="Times New Roman" w:hAnsi="Times New Roman" w:cs="Times New Roman"/>
          <w:bCs/>
          <w:sz w:val="28"/>
          <w:szCs w:val="28"/>
        </w:rPr>
        <w:t>- Взаимосвязь периода последнего обследования половых гормонов и количества детей</w:t>
      </w:r>
    </w:p>
    <w:p w14:paraId="5FF9123F" w14:textId="77777777" w:rsidR="009D7959" w:rsidRPr="004135FE" w:rsidRDefault="009D7959" w:rsidP="004135FE">
      <w:pPr>
        <w:tabs>
          <w:tab w:val="center" w:pos="2880"/>
        </w:tabs>
        <w:autoSpaceDE w:val="0"/>
        <w:autoSpaceDN w:val="0"/>
        <w:adjustRightInd w:val="0"/>
        <w:spacing w:after="0" w:line="240" w:lineRule="auto"/>
        <w:jc w:val="both"/>
        <w:rPr>
          <w:rFonts w:ascii="Times New Roman" w:hAnsi="Times New Roman" w:cs="Times New Roman"/>
          <w:bCs/>
          <w:sz w:val="28"/>
          <w:szCs w:val="28"/>
        </w:rPr>
      </w:pPr>
    </w:p>
    <w:tbl>
      <w:tblPr>
        <w:tblStyle w:val="a5"/>
        <w:tblW w:w="0" w:type="auto"/>
        <w:tblLook w:val="04A0" w:firstRow="1" w:lastRow="0" w:firstColumn="1" w:lastColumn="0" w:noHBand="0" w:noVBand="1"/>
      </w:tblPr>
      <w:tblGrid>
        <w:gridCol w:w="1405"/>
        <w:gridCol w:w="1237"/>
        <w:gridCol w:w="1290"/>
        <w:gridCol w:w="1290"/>
        <w:gridCol w:w="1290"/>
        <w:gridCol w:w="1416"/>
        <w:gridCol w:w="1416"/>
      </w:tblGrid>
      <w:tr w:rsidR="007A2C38" w:rsidRPr="007B4874" w14:paraId="03EABA2A" w14:textId="77777777" w:rsidTr="007B4874">
        <w:tc>
          <w:tcPr>
            <w:tcW w:w="1413" w:type="dxa"/>
          </w:tcPr>
          <w:p w14:paraId="34F40DE1" w14:textId="704CCD1E" w:rsidR="007A2C38" w:rsidRPr="007B4874" w:rsidRDefault="004F0DE6" w:rsidP="004F0DE6">
            <w:pPr>
              <w:tabs>
                <w:tab w:val="center" w:pos="2880"/>
              </w:tabs>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Вариант</w:t>
            </w:r>
          </w:p>
        </w:tc>
        <w:tc>
          <w:tcPr>
            <w:tcW w:w="1209" w:type="dxa"/>
          </w:tcPr>
          <w:p w14:paraId="11C5360D"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В этом месяце</w:t>
            </w:r>
          </w:p>
        </w:tc>
        <w:tc>
          <w:tcPr>
            <w:tcW w:w="1294" w:type="dxa"/>
          </w:tcPr>
          <w:p w14:paraId="55B744DF"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В течения 3 месяцев</w:t>
            </w:r>
          </w:p>
        </w:tc>
        <w:tc>
          <w:tcPr>
            <w:tcW w:w="1294" w:type="dxa"/>
          </w:tcPr>
          <w:p w14:paraId="72DA0908"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В этом году</w:t>
            </w:r>
          </w:p>
        </w:tc>
        <w:tc>
          <w:tcPr>
            <w:tcW w:w="1294" w:type="dxa"/>
          </w:tcPr>
          <w:p w14:paraId="319978EF"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3 года назад</w:t>
            </w:r>
          </w:p>
        </w:tc>
        <w:tc>
          <w:tcPr>
            <w:tcW w:w="1420" w:type="dxa"/>
          </w:tcPr>
          <w:p w14:paraId="67C13A92"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Не помню</w:t>
            </w:r>
          </w:p>
        </w:tc>
        <w:tc>
          <w:tcPr>
            <w:tcW w:w="1420" w:type="dxa"/>
          </w:tcPr>
          <w:p w14:paraId="7AF0D365"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всего</w:t>
            </w:r>
          </w:p>
        </w:tc>
      </w:tr>
      <w:tr w:rsidR="007A2C38" w:rsidRPr="007B4874" w14:paraId="398520D3" w14:textId="77777777" w:rsidTr="007B4874">
        <w:tc>
          <w:tcPr>
            <w:tcW w:w="1413" w:type="dxa"/>
          </w:tcPr>
          <w:p w14:paraId="5EF48318"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бездетные</w:t>
            </w:r>
          </w:p>
        </w:tc>
        <w:tc>
          <w:tcPr>
            <w:tcW w:w="1209" w:type="dxa"/>
          </w:tcPr>
          <w:p w14:paraId="65562581"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lang w:val="en-US"/>
              </w:rPr>
              <w:t>0(0.0%)</w:t>
            </w:r>
          </w:p>
        </w:tc>
        <w:tc>
          <w:tcPr>
            <w:tcW w:w="1294" w:type="dxa"/>
          </w:tcPr>
          <w:p w14:paraId="34E9B462"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lang w:val="en-US"/>
              </w:rPr>
              <w:t>0(0.0%)</w:t>
            </w:r>
          </w:p>
        </w:tc>
        <w:tc>
          <w:tcPr>
            <w:tcW w:w="1294" w:type="dxa"/>
          </w:tcPr>
          <w:p w14:paraId="04B9EA5F"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lang w:val="en-US"/>
              </w:rPr>
              <w:t>0(0.0%)</w:t>
            </w:r>
          </w:p>
        </w:tc>
        <w:tc>
          <w:tcPr>
            <w:tcW w:w="1294" w:type="dxa"/>
          </w:tcPr>
          <w:p w14:paraId="6B60FF06"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lang w:val="en-US"/>
              </w:rPr>
              <w:t>0(0.0%)</w:t>
            </w:r>
          </w:p>
        </w:tc>
        <w:tc>
          <w:tcPr>
            <w:tcW w:w="1420" w:type="dxa"/>
          </w:tcPr>
          <w:p w14:paraId="03247215"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4(1,3%)</w:t>
            </w:r>
          </w:p>
        </w:tc>
        <w:tc>
          <w:tcPr>
            <w:tcW w:w="1420" w:type="dxa"/>
          </w:tcPr>
          <w:p w14:paraId="28394E7F"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4(0,8%)</w:t>
            </w:r>
          </w:p>
        </w:tc>
      </w:tr>
      <w:tr w:rsidR="007A2C38" w:rsidRPr="007B4874" w14:paraId="59A2E883" w14:textId="77777777" w:rsidTr="007B4874">
        <w:tc>
          <w:tcPr>
            <w:tcW w:w="1413" w:type="dxa"/>
          </w:tcPr>
          <w:p w14:paraId="43492275"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1 ребенка</w:t>
            </w:r>
          </w:p>
        </w:tc>
        <w:tc>
          <w:tcPr>
            <w:tcW w:w="1209" w:type="dxa"/>
          </w:tcPr>
          <w:p w14:paraId="67BBBA3E"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11(25,6%)</w:t>
            </w:r>
          </w:p>
        </w:tc>
        <w:tc>
          <w:tcPr>
            <w:tcW w:w="1294" w:type="dxa"/>
          </w:tcPr>
          <w:p w14:paraId="27E4D143"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14(35,0%)</w:t>
            </w:r>
          </w:p>
        </w:tc>
        <w:tc>
          <w:tcPr>
            <w:tcW w:w="1294" w:type="dxa"/>
          </w:tcPr>
          <w:p w14:paraId="103CD108"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23(37,1%)</w:t>
            </w:r>
          </w:p>
        </w:tc>
        <w:tc>
          <w:tcPr>
            <w:tcW w:w="1294" w:type="dxa"/>
          </w:tcPr>
          <w:p w14:paraId="082BE3A5"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10(35,7%)</w:t>
            </w:r>
          </w:p>
        </w:tc>
        <w:tc>
          <w:tcPr>
            <w:tcW w:w="1420" w:type="dxa"/>
          </w:tcPr>
          <w:p w14:paraId="16C8EC36"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87(28,3%)</w:t>
            </w:r>
          </w:p>
        </w:tc>
        <w:tc>
          <w:tcPr>
            <w:tcW w:w="1420" w:type="dxa"/>
          </w:tcPr>
          <w:p w14:paraId="351AA118"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145(30,2%)</w:t>
            </w:r>
          </w:p>
        </w:tc>
      </w:tr>
      <w:tr w:rsidR="007A2C38" w:rsidRPr="007B4874" w14:paraId="6F3EB45C" w14:textId="77777777" w:rsidTr="007B4874">
        <w:tc>
          <w:tcPr>
            <w:tcW w:w="1413" w:type="dxa"/>
          </w:tcPr>
          <w:p w14:paraId="59BEDEC7"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2 ребенка</w:t>
            </w:r>
          </w:p>
        </w:tc>
        <w:tc>
          <w:tcPr>
            <w:tcW w:w="1209" w:type="dxa"/>
          </w:tcPr>
          <w:p w14:paraId="0A75556F"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19(44,2%)</w:t>
            </w:r>
          </w:p>
        </w:tc>
        <w:tc>
          <w:tcPr>
            <w:tcW w:w="1294" w:type="dxa"/>
          </w:tcPr>
          <w:p w14:paraId="525B2E55"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14(35,0%)</w:t>
            </w:r>
          </w:p>
        </w:tc>
        <w:tc>
          <w:tcPr>
            <w:tcW w:w="1294" w:type="dxa"/>
          </w:tcPr>
          <w:p w14:paraId="0F0D56C3"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21(33,9%)</w:t>
            </w:r>
          </w:p>
        </w:tc>
        <w:tc>
          <w:tcPr>
            <w:tcW w:w="1294" w:type="dxa"/>
          </w:tcPr>
          <w:p w14:paraId="0DC62F30"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11(39,3%)</w:t>
            </w:r>
          </w:p>
        </w:tc>
        <w:tc>
          <w:tcPr>
            <w:tcW w:w="1420" w:type="dxa"/>
          </w:tcPr>
          <w:p w14:paraId="070D0EB2"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124(40,4%)</w:t>
            </w:r>
          </w:p>
        </w:tc>
        <w:tc>
          <w:tcPr>
            <w:tcW w:w="1420" w:type="dxa"/>
          </w:tcPr>
          <w:p w14:paraId="1AF9765E"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189(39,4%)</w:t>
            </w:r>
          </w:p>
        </w:tc>
      </w:tr>
      <w:tr w:rsidR="007A2C38" w:rsidRPr="007B4874" w14:paraId="1631D812" w14:textId="77777777" w:rsidTr="007B4874">
        <w:tc>
          <w:tcPr>
            <w:tcW w:w="1413" w:type="dxa"/>
          </w:tcPr>
          <w:p w14:paraId="539A20D0"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3 ребенка</w:t>
            </w:r>
          </w:p>
        </w:tc>
        <w:tc>
          <w:tcPr>
            <w:tcW w:w="1209" w:type="dxa"/>
          </w:tcPr>
          <w:p w14:paraId="5AE99AE9"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7(16,3%)</w:t>
            </w:r>
          </w:p>
        </w:tc>
        <w:tc>
          <w:tcPr>
            <w:tcW w:w="1294" w:type="dxa"/>
          </w:tcPr>
          <w:p w14:paraId="4EE8C432"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7(17,5%)</w:t>
            </w:r>
          </w:p>
        </w:tc>
        <w:tc>
          <w:tcPr>
            <w:tcW w:w="1294" w:type="dxa"/>
          </w:tcPr>
          <w:p w14:paraId="52BB8D0D"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14(22,6%)</w:t>
            </w:r>
          </w:p>
        </w:tc>
        <w:tc>
          <w:tcPr>
            <w:tcW w:w="1294" w:type="dxa"/>
          </w:tcPr>
          <w:p w14:paraId="001F123B"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4(14,3%)</w:t>
            </w:r>
          </w:p>
        </w:tc>
        <w:tc>
          <w:tcPr>
            <w:tcW w:w="1420" w:type="dxa"/>
          </w:tcPr>
          <w:p w14:paraId="430B0121"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63(20,5%)</w:t>
            </w:r>
          </w:p>
        </w:tc>
        <w:tc>
          <w:tcPr>
            <w:tcW w:w="1420" w:type="dxa"/>
          </w:tcPr>
          <w:p w14:paraId="18372276"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95(19,8%)</w:t>
            </w:r>
          </w:p>
        </w:tc>
      </w:tr>
      <w:tr w:rsidR="007A2C38" w:rsidRPr="007B4874" w14:paraId="331B78D6" w14:textId="77777777" w:rsidTr="007B4874">
        <w:tc>
          <w:tcPr>
            <w:tcW w:w="1413" w:type="dxa"/>
          </w:tcPr>
          <w:p w14:paraId="113ADDCB"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4 ребенка</w:t>
            </w:r>
          </w:p>
        </w:tc>
        <w:tc>
          <w:tcPr>
            <w:tcW w:w="1209" w:type="dxa"/>
          </w:tcPr>
          <w:p w14:paraId="1A5B7184"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2(4,7%)</w:t>
            </w:r>
          </w:p>
        </w:tc>
        <w:tc>
          <w:tcPr>
            <w:tcW w:w="1294" w:type="dxa"/>
          </w:tcPr>
          <w:p w14:paraId="411E9458"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5(12,5%)</w:t>
            </w:r>
          </w:p>
        </w:tc>
        <w:tc>
          <w:tcPr>
            <w:tcW w:w="1294" w:type="dxa"/>
          </w:tcPr>
          <w:p w14:paraId="4D2DC112"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2(3,2%)</w:t>
            </w:r>
          </w:p>
        </w:tc>
        <w:tc>
          <w:tcPr>
            <w:tcW w:w="1294" w:type="dxa"/>
          </w:tcPr>
          <w:p w14:paraId="6F54A5DB"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1(3,6%)</w:t>
            </w:r>
          </w:p>
        </w:tc>
        <w:tc>
          <w:tcPr>
            <w:tcW w:w="1420" w:type="dxa"/>
          </w:tcPr>
          <w:p w14:paraId="1D6BA5FE"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26(8,5%)</w:t>
            </w:r>
          </w:p>
        </w:tc>
        <w:tc>
          <w:tcPr>
            <w:tcW w:w="1420" w:type="dxa"/>
          </w:tcPr>
          <w:p w14:paraId="45CBB63F"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36(7,5%)</w:t>
            </w:r>
          </w:p>
        </w:tc>
      </w:tr>
      <w:tr w:rsidR="007A2C38" w:rsidRPr="007B4874" w14:paraId="17539003" w14:textId="77777777" w:rsidTr="007B4874">
        <w:tc>
          <w:tcPr>
            <w:tcW w:w="1413" w:type="dxa"/>
          </w:tcPr>
          <w:p w14:paraId="3FF77D70"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5 ребенка</w:t>
            </w:r>
          </w:p>
        </w:tc>
        <w:tc>
          <w:tcPr>
            <w:tcW w:w="1209" w:type="dxa"/>
          </w:tcPr>
          <w:p w14:paraId="14940769"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2(4,7%)</w:t>
            </w:r>
          </w:p>
        </w:tc>
        <w:tc>
          <w:tcPr>
            <w:tcW w:w="1294" w:type="dxa"/>
          </w:tcPr>
          <w:p w14:paraId="0DECF2D5"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lang w:val="en-US"/>
              </w:rPr>
              <w:t>0(0.0%)</w:t>
            </w:r>
          </w:p>
        </w:tc>
        <w:tc>
          <w:tcPr>
            <w:tcW w:w="1294" w:type="dxa"/>
          </w:tcPr>
          <w:p w14:paraId="562C84E2"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2(3,2%)</w:t>
            </w:r>
          </w:p>
        </w:tc>
        <w:tc>
          <w:tcPr>
            <w:tcW w:w="1294" w:type="dxa"/>
          </w:tcPr>
          <w:p w14:paraId="04F2B217"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1(3,6%)</w:t>
            </w:r>
          </w:p>
        </w:tc>
        <w:tc>
          <w:tcPr>
            <w:tcW w:w="1420" w:type="dxa"/>
          </w:tcPr>
          <w:p w14:paraId="6DA6C39E"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3(1,0%)</w:t>
            </w:r>
          </w:p>
        </w:tc>
        <w:tc>
          <w:tcPr>
            <w:tcW w:w="1420" w:type="dxa"/>
          </w:tcPr>
          <w:p w14:paraId="31AB6522"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8(1,7%)</w:t>
            </w:r>
          </w:p>
        </w:tc>
      </w:tr>
      <w:tr w:rsidR="007A2C38" w:rsidRPr="007B4874" w14:paraId="41DF34E7" w14:textId="77777777" w:rsidTr="007B4874">
        <w:tc>
          <w:tcPr>
            <w:tcW w:w="1413" w:type="dxa"/>
          </w:tcPr>
          <w:p w14:paraId="7BC88194"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6 ребенка</w:t>
            </w:r>
          </w:p>
        </w:tc>
        <w:tc>
          <w:tcPr>
            <w:tcW w:w="1209" w:type="dxa"/>
          </w:tcPr>
          <w:p w14:paraId="561FF756"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2(4,7%)</w:t>
            </w:r>
          </w:p>
        </w:tc>
        <w:tc>
          <w:tcPr>
            <w:tcW w:w="1294" w:type="dxa"/>
          </w:tcPr>
          <w:p w14:paraId="23607FBA"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lang w:val="en-US"/>
              </w:rPr>
              <w:t>0(0.0%)</w:t>
            </w:r>
          </w:p>
        </w:tc>
        <w:tc>
          <w:tcPr>
            <w:tcW w:w="1294" w:type="dxa"/>
          </w:tcPr>
          <w:p w14:paraId="4810C21C"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lang w:val="en-US"/>
              </w:rPr>
              <w:t>0(0.0%)</w:t>
            </w:r>
          </w:p>
        </w:tc>
        <w:tc>
          <w:tcPr>
            <w:tcW w:w="1294" w:type="dxa"/>
          </w:tcPr>
          <w:p w14:paraId="45F38736"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1(3,6%)</w:t>
            </w:r>
          </w:p>
        </w:tc>
        <w:tc>
          <w:tcPr>
            <w:tcW w:w="1420" w:type="dxa"/>
          </w:tcPr>
          <w:p w14:paraId="2A96F0B2"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lang w:val="en-US"/>
              </w:rPr>
              <w:t>0(0.0%)</w:t>
            </w:r>
          </w:p>
        </w:tc>
        <w:tc>
          <w:tcPr>
            <w:tcW w:w="1420" w:type="dxa"/>
          </w:tcPr>
          <w:p w14:paraId="7B9C9A7A"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3(0,6%)</w:t>
            </w:r>
          </w:p>
        </w:tc>
      </w:tr>
      <w:tr w:rsidR="007A2C38" w:rsidRPr="007B4874" w14:paraId="242E4FDD" w14:textId="77777777" w:rsidTr="007B4874">
        <w:tc>
          <w:tcPr>
            <w:tcW w:w="1413" w:type="dxa"/>
          </w:tcPr>
          <w:p w14:paraId="2AFD620D" w14:textId="77777777" w:rsidR="007A2C38" w:rsidRPr="007B4874" w:rsidRDefault="007A2C38" w:rsidP="004135FE">
            <w:pPr>
              <w:tabs>
                <w:tab w:val="center" w:pos="567"/>
              </w:tabs>
              <w:autoSpaceDE w:val="0"/>
              <w:autoSpaceDN w:val="0"/>
              <w:adjustRightInd w:val="0"/>
              <w:spacing w:after="0" w:line="240" w:lineRule="auto"/>
              <w:jc w:val="both"/>
              <w:rPr>
                <w:rFonts w:ascii="Times New Roman" w:hAnsi="Times New Roman" w:cs="Times New Roman"/>
                <w:bCs/>
                <w:sz w:val="24"/>
                <w:szCs w:val="24"/>
              </w:rPr>
            </w:pPr>
            <w:r w:rsidRPr="007B4874">
              <w:rPr>
                <w:rFonts w:ascii="Times New Roman" w:hAnsi="Times New Roman" w:cs="Times New Roman"/>
                <w:bCs/>
                <w:sz w:val="24"/>
                <w:szCs w:val="24"/>
              </w:rPr>
              <w:t>Итого</w:t>
            </w:r>
          </w:p>
        </w:tc>
        <w:tc>
          <w:tcPr>
            <w:tcW w:w="1209" w:type="dxa"/>
          </w:tcPr>
          <w:p w14:paraId="55A76849" w14:textId="77777777" w:rsidR="007A2C38" w:rsidRPr="007B4874" w:rsidRDefault="007A2C38" w:rsidP="004135FE">
            <w:pPr>
              <w:tabs>
                <w:tab w:val="center" w:pos="567"/>
              </w:tabs>
              <w:autoSpaceDE w:val="0"/>
              <w:autoSpaceDN w:val="0"/>
              <w:adjustRightInd w:val="0"/>
              <w:spacing w:after="0" w:line="240" w:lineRule="auto"/>
              <w:jc w:val="both"/>
              <w:rPr>
                <w:rFonts w:ascii="Times New Roman" w:hAnsi="Times New Roman" w:cs="Times New Roman"/>
                <w:bCs/>
                <w:sz w:val="24"/>
                <w:szCs w:val="24"/>
              </w:rPr>
            </w:pPr>
            <w:r w:rsidRPr="007B4874">
              <w:rPr>
                <w:rFonts w:ascii="Times New Roman" w:hAnsi="Times New Roman" w:cs="Times New Roman"/>
                <w:bCs/>
                <w:sz w:val="24"/>
                <w:szCs w:val="24"/>
              </w:rPr>
              <w:t>43(100%)</w:t>
            </w:r>
          </w:p>
        </w:tc>
        <w:tc>
          <w:tcPr>
            <w:tcW w:w="1294" w:type="dxa"/>
          </w:tcPr>
          <w:p w14:paraId="12589103" w14:textId="77777777" w:rsidR="007A2C38" w:rsidRPr="007B4874" w:rsidRDefault="007A2C38" w:rsidP="004135FE">
            <w:pPr>
              <w:tabs>
                <w:tab w:val="center" w:pos="567"/>
              </w:tabs>
              <w:autoSpaceDE w:val="0"/>
              <w:autoSpaceDN w:val="0"/>
              <w:adjustRightInd w:val="0"/>
              <w:spacing w:after="0" w:line="240" w:lineRule="auto"/>
              <w:jc w:val="both"/>
              <w:rPr>
                <w:rFonts w:ascii="Times New Roman" w:hAnsi="Times New Roman" w:cs="Times New Roman"/>
                <w:bCs/>
                <w:sz w:val="24"/>
                <w:szCs w:val="24"/>
              </w:rPr>
            </w:pPr>
            <w:r w:rsidRPr="007B4874">
              <w:rPr>
                <w:rFonts w:ascii="Times New Roman" w:hAnsi="Times New Roman" w:cs="Times New Roman"/>
                <w:bCs/>
                <w:sz w:val="24"/>
                <w:szCs w:val="24"/>
              </w:rPr>
              <w:t>40(100%)</w:t>
            </w:r>
          </w:p>
        </w:tc>
        <w:tc>
          <w:tcPr>
            <w:tcW w:w="1294" w:type="dxa"/>
          </w:tcPr>
          <w:p w14:paraId="6ABFE76B" w14:textId="77777777" w:rsidR="007A2C38" w:rsidRPr="007B4874" w:rsidRDefault="007A2C38" w:rsidP="004135FE">
            <w:pPr>
              <w:tabs>
                <w:tab w:val="center" w:pos="567"/>
              </w:tabs>
              <w:autoSpaceDE w:val="0"/>
              <w:autoSpaceDN w:val="0"/>
              <w:adjustRightInd w:val="0"/>
              <w:spacing w:after="0" w:line="240" w:lineRule="auto"/>
              <w:jc w:val="both"/>
              <w:rPr>
                <w:rFonts w:ascii="Times New Roman" w:hAnsi="Times New Roman" w:cs="Times New Roman"/>
                <w:bCs/>
                <w:sz w:val="24"/>
                <w:szCs w:val="24"/>
              </w:rPr>
            </w:pPr>
            <w:r w:rsidRPr="007B4874">
              <w:rPr>
                <w:rFonts w:ascii="Times New Roman" w:hAnsi="Times New Roman" w:cs="Times New Roman"/>
                <w:bCs/>
                <w:sz w:val="24"/>
                <w:szCs w:val="24"/>
              </w:rPr>
              <w:t>62(100%)</w:t>
            </w:r>
          </w:p>
        </w:tc>
        <w:tc>
          <w:tcPr>
            <w:tcW w:w="1294" w:type="dxa"/>
          </w:tcPr>
          <w:p w14:paraId="5F1DF113" w14:textId="77777777" w:rsidR="007A2C38" w:rsidRPr="007B4874" w:rsidRDefault="007A2C38" w:rsidP="004135FE">
            <w:pPr>
              <w:tabs>
                <w:tab w:val="center" w:pos="567"/>
              </w:tabs>
              <w:autoSpaceDE w:val="0"/>
              <w:autoSpaceDN w:val="0"/>
              <w:adjustRightInd w:val="0"/>
              <w:spacing w:after="0" w:line="240" w:lineRule="auto"/>
              <w:jc w:val="both"/>
              <w:rPr>
                <w:rFonts w:ascii="Times New Roman" w:hAnsi="Times New Roman" w:cs="Times New Roman"/>
                <w:bCs/>
                <w:sz w:val="24"/>
                <w:szCs w:val="24"/>
              </w:rPr>
            </w:pPr>
            <w:r w:rsidRPr="007B4874">
              <w:rPr>
                <w:rFonts w:ascii="Times New Roman" w:hAnsi="Times New Roman" w:cs="Times New Roman"/>
                <w:bCs/>
                <w:sz w:val="24"/>
                <w:szCs w:val="24"/>
              </w:rPr>
              <w:t>28(100%)</w:t>
            </w:r>
          </w:p>
        </w:tc>
        <w:tc>
          <w:tcPr>
            <w:tcW w:w="1420" w:type="dxa"/>
          </w:tcPr>
          <w:p w14:paraId="1AB653C0" w14:textId="77777777" w:rsidR="007A2C38" w:rsidRPr="007B4874" w:rsidRDefault="007A2C38" w:rsidP="004135FE">
            <w:pPr>
              <w:tabs>
                <w:tab w:val="center" w:pos="567"/>
              </w:tabs>
              <w:autoSpaceDE w:val="0"/>
              <w:autoSpaceDN w:val="0"/>
              <w:adjustRightInd w:val="0"/>
              <w:spacing w:after="0" w:line="240" w:lineRule="auto"/>
              <w:jc w:val="both"/>
              <w:rPr>
                <w:rFonts w:ascii="Times New Roman" w:hAnsi="Times New Roman" w:cs="Times New Roman"/>
                <w:bCs/>
                <w:sz w:val="24"/>
                <w:szCs w:val="24"/>
              </w:rPr>
            </w:pPr>
            <w:r w:rsidRPr="007B4874">
              <w:rPr>
                <w:rFonts w:ascii="Times New Roman" w:hAnsi="Times New Roman" w:cs="Times New Roman"/>
                <w:bCs/>
                <w:sz w:val="24"/>
                <w:szCs w:val="24"/>
              </w:rPr>
              <w:t>307(100%)</w:t>
            </w:r>
          </w:p>
        </w:tc>
        <w:tc>
          <w:tcPr>
            <w:tcW w:w="1420" w:type="dxa"/>
          </w:tcPr>
          <w:p w14:paraId="5FB7AB2A" w14:textId="77777777" w:rsidR="007A2C38" w:rsidRPr="007B4874" w:rsidRDefault="007A2C38" w:rsidP="004135FE">
            <w:pPr>
              <w:tabs>
                <w:tab w:val="center" w:pos="567"/>
              </w:tabs>
              <w:autoSpaceDE w:val="0"/>
              <w:autoSpaceDN w:val="0"/>
              <w:adjustRightInd w:val="0"/>
              <w:spacing w:after="0" w:line="240" w:lineRule="auto"/>
              <w:jc w:val="both"/>
              <w:rPr>
                <w:rFonts w:ascii="Times New Roman" w:hAnsi="Times New Roman" w:cs="Times New Roman"/>
                <w:bCs/>
                <w:sz w:val="24"/>
                <w:szCs w:val="24"/>
              </w:rPr>
            </w:pPr>
            <w:r w:rsidRPr="007B4874">
              <w:rPr>
                <w:rFonts w:ascii="Times New Roman" w:hAnsi="Times New Roman" w:cs="Times New Roman"/>
                <w:bCs/>
                <w:sz w:val="24"/>
                <w:szCs w:val="24"/>
              </w:rPr>
              <w:t>480(100%)</w:t>
            </w:r>
          </w:p>
        </w:tc>
      </w:tr>
      <w:tr w:rsidR="007A2C38" w:rsidRPr="007B4874" w14:paraId="1BB39AD8" w14:textId="77777777" w:rsidTr="007B4874">
        <w:tc>
          <w:tcPr>
            <w:tcW w:w="1413" w:type="dxa"/>
          </w:tcPr>
          <w:p w14:paraId="1FBA9074"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color w:val="000000"/>
                <w:sz w:val="24"/>
                <w:szCs w:val="24"/>
                <w:lang w:val="en-US"/>
              </w:rPr>
              <w:t>p-value</w:t>
            </w:r>
          </w:p>
        </w:tc>
        <w:tc>
          <w:tcPr>
            <w:tcW w:w="1209" w:type="dxa"/>
          </w:tcPr>
          <w:p w14:paraId="53446A56" w14:textId="77777777" w:rsidR="007A2C38" w:rsidRPr="007B4874" w:rsidRDefault="007A2C38" w:rsidP="004135FE">
            <w:pPr>
              <w:spacing w:after="0" w:line="240" w:lineRule="auto"/>
              <w:jc w:val="center"/>
              <w:rPr>
                <w:rFonts w:ascii="Times New Roman" w:eastAsia="Times New Roman" w:hAnsi="Times New Roman" w:cs="Times New Roman"/>
                <w:sz w:val="24"/>
                <w:szCs w:val="24"/>
              </w:rPr>
            </w:pPr>
            <w:r w:rsidRPr="007B4874">
              <w:rPr>
                <w:rFonts w:ascii="Times New Roman" w:eastAsia="Times New Roman" w:hAnsi="Times New Roman" w:cs="Times New Roman"/>
                <w:sz w:val="24"/>
                <w:szCs w:val="24"/>
              </w:rPr>
              <w:t>0,088</w:t>
            </w:r>
          </w:p>
        </w:tc>
        <w:tc>
          <w:tcPr>
            <w:tcW w:w="1294" w:type="dxa"/>
          </w:tcPr>
          <w:p w14:paraId="02B047ED" w14:textId="129EF76F" w:rsidR="007A2C38" w:rsidRPr="007B4874" w:rsidRDefault="007B4874" w:rsidP="004135F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294" w:type="dxa"/>
          </w:tcPr>
          <w:p w14:paraId="3FC40B0A" w14:textId="778714C5" w:rsidR="007A2C38" w:rsidRPr="007B4874" w:rsidRDefault="007B4874" w:rsidP="004135F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294" w:type="dxa"/>
          </w:tcPr>
          <w:p w14:paraId="5EE86476" w14:textId="1434B34B" w:rsidR="007A2C38" w:rsidRPr="007B4874" w:rsidRDefault="007B4874" w:rsidP="004135F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20" w:type="dxa"/>
          </w:tcPr>
          <w:p w14:paraId="1462EDF1" w14:textId="44CF031C" w:rsidR="007A2C38" w:rsidRPr="007B4874" w:rsidRDefault="007B4874" w:rsidP="004135F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20" w:type="dxa"/>
          </w:tcPr>
          <w:p w14:paraId="324EFFAF" w14:textId="54B73238" w:rsidR="007A2C38" w:rsidRPr="007B4874" w:rsidRDefault="007B4874" w:rsidP="004135F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bl>
    <w:p w14:paraId="544801C5" w14:textId="77777777"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b/>
          <w:bCs/>
          <w:sz w:val="28"/>
          <w:szCs w:val="28"/>
        </w:rPr>
      </w:pPr>
    </w:p>
    <w:p w14:paraId="6978D056"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До рождения детей у 81,0% мужчин и 87,9% женщин не были диагностированы СД2т. До рождения первого ребенка 11,0% мужчин и 7,1% женщин имели диагноз СД2т. До рождения второго ребенка 4,0% мужчинам и 2,1% женщинам, до третьего ребенка 2,5% мужчинам и 2,1% женщинам, до четвертого ребенка 1,5% мужчинам и 0,7% женщинам были выставлены диагноз СД2т. (χ2=43,06, </w:t>
      </w:r>
      <w:r w:rsidRPr="004135FE">
        <w:rPr>
          <w:rFonts w:ascii="Times New Roman" w:hAnsi="Times New Roman" w:cs="Times New Roman"/>
          <w:sz w:val="28"/>
          <w:szCs w:val="28"/>
          <w:lang w:val="en-US"/>
        </w:rPr>
        <w:t>df</w:t>
      </w:r>
      <w:r w:rsidRPr="004135FE">
        <w:rPr>
          <w:rFonts w:ascii="Times New Roman" w:hAnsi="Times New Roman" w:cs="Times New Roman"/>
          <w:sz w:val="28"/>
          <w:szCs w:val="28"/>
        </w:rPr>
        <w:t xml:space="preserve">=23, </w:t>
      </w:r>
      <w:r w:rsidRPr="004135FE">
        <w:rPr>
          <w:rFonts w:ascii="Times New Roman" w:hAnsi="Times New Roman" w:cs="Times New Roman"/>
          <w:sz w:val="28"/>
          <w:szCs w:val="28"/>
          <w:lang w:val="en-US"/>
        </w:rPr>
        <w:t>p</w:t>
      </w:r>
      <w:r w:rsidRPr="004135FE">
        <w:rPr>
          <w:rFonts w:ascii="Times New Roman" w:hAnsi="Times New Roman" w:cs="Times New Roman"/>
          <w:sz w:val="28"/>
          <w:szCs w:val="28"/>
        </w:rPr>
        <w:t>=0,02).</w:t>
      </w:r>
    </w:p>
    <w:p w14:paraId="5ADD510D" w14:textId="77777777" w:rsidR="007A2C38" w:rsidRPr="004135FE" w:rsidRDefault="007A2C38" w:rsidP="004135FE">
      <w:pPr>
        <w:spacing w:after="0" w:line="240" w:lineRule="auto"/>
        <w:jc w:val="both"/>
        <w:rPr>
          <w:rFonts w:ascii="Times New Roman" w:hAnsi="Times New Roman" w:cs="Times New Roman"/>
          <w:sz w:val="28"/>
          <w:szCs w:val="28"/>
        </w:rPr>
      </w:pPr>
    </w:p>
    <w:p w14:paraId="777B4972" w14:textId="77777777" w:rsidR="007A2C38" w:rsidRPr="004135FE" w:rsidRDefault="007A2C38" w:rsidP="001A63BD">
      <w:pPr>
        <w:spacing w:after="0" w:line="240" w:lineRule="auto"/>
        <w:ind w:firstLine="567"/>
        <w:jc w:val="center"/>
        <w:rPr>
          <w:rFonts w:ascii="Times New Roman" w:hAnsi="Times New Roman" w:cs="Times New Roman"/>
          <w:sz w:val="28"/>
          <w:szCs w:val="28"/>
        </w:rPr>
      </w:pPr>
      <w:r w:rsidRPr="004135FE">
        <w:rPr>
          <w:rFonts w:ascii="Times New Roman" w:hAnsi="Times New Roman" w:cs="Times New Roman"/>
          <w:noProof/>
          <w:sz w:val="28"/>
          <w:szCs w:val="28"/>
        </w:rPr>
        <w:drawing>
          <wp:inline distT="0" distB="0" distL="0" distR="0" wp14:anchorId="74139F55" wp14:editId="3CE444EA">
            <wp:extent cx="4876800" cy="2018581"/>
            <wp:effectExtent l="0" t="0" r="0" b="127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0EFDE05D" w14:textId="77777777" w:rsidR="001A63BD" w:rsidRDefault="001A63BD" w:rsidP="001A63BD">
      <w:pPr>
        <w:spacing w:after="0" w:line="240" w:lineRule="auto"/>
        <w:jc w:val="center"/>
        <w:rPr>
          <w:rFonts w:ascii="Times New Roman" w:hAnsi="Times New Roman" w:cs="Times New Roman"/>
          <w:sz w:val="28"/>
          <w:szCs w:val="28"/>
        </w:rPr>
      </w:pPr>
    </w:p>
    <w:p w14:paraId="4FBD7F91" w14:textId="53E839CA" w:rsidR="007A2C38" w:rsidRPr="004135FE" w:rsidRDefault="007A2C38" w:rsidP="001A63BD">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44 – Влияние полового признака на наличие диагноза СД2т у пациентов до рождения ребенка</w:t>
      </w:r>
    </w:p>
    <w:p w14:paraId="33D3BFE8" w14:textId="77777777" w:rsidR="007A2C38" w:rsidRPr="004135FE" w:rsidRDefault="007A2C38" w:rsidP="004135FE">
      <w:pPr>
        <w:spacing w:after="0" w:line="240" w:lineRule="auto"/>
        <w:jc w:val="both"/>
        <w:rPr>
          <w:rFonts w:ascii="Times New Roman" w:hAnsi="Times New Roman" w:cs="Times New Roman"/>
          <w:sz w:val="28"/>
          <w:szCs w:val="28"/>
        </w:rPr>
      </w:pPr>
    </w:p>
    <w:p w14:paraId="5D760624" w14:textId="77777777" w:rsidR="007A2C38" w:rsidRPr="001A63BD" w:rsidRDefault="007A2C38" w:rsidP="001A63BD">
      <w:pPr>
        <w:tabs>
          <w:tab w:val="left" w:pos="426"/>
        </w:tabs>
        <w:spacing w:after="0" w:line="240" w:lineRule="auto"/>
        <w:ind w:firstLine="709"/>
        <w:jc w:val="both"/>
        <w:rPr>
          <w:rFonts w:ascii="Times New Roman" w:hAnsi="Times New Roman" w:cs="Times New Roman"/>
          <w:bCs/>
          <w:sz w:val="28"/>
          <w:szCs w:val="28"/>
          <w:lang w:val="kk-KZ"/>
        </w:rPr>
      </w:pPr>
      <w:r w:rsidRPr="001A63BD">
        <w:rPr>
          <w:rFonts w:ascii="Times New Roman" w:hAnsi="Times New Roman" w:cs="Times New Roman"/>
          <w:bCs/>
          <w:sz w:val="28"/>
          <w:szCs w:val="28"/>
          <w:lang w:val="kk-KZ"/>
        </w:rPr>
        <w:t>Специальные вопросы для мужчин:</w:t>
      </w:r>
    </w:p>
    <w:p w14:paraId="13D66B46" w14:textId="77777777" w:rsidR="007A2C38" w:rsidRPr="004135FE" w:rsidRDefault="007A2C38" w:rsidP="004135FE">
      <w:pPr>
        <w:spacing w:after="0" w:line="240" w:lineRule="auto"/>
        <w:ind w:firstLine="709"/>
        <w:jc w:val="both"/>
        <w:rPr>
          <w:rFonts w:ascii="Times New Roman" w:hAnsi="Times New Roman" w:cs="Times New Roman"/>
          <w:bCs/>
          <w:sz w:val="28"/>
          <w:szCs w:val="28"/>
        </w:rPr>
      </w:pPr>
      <w:r w:rsidRPr="004135FE">
        <w:rPr>
          <w:rFonts w:ascii="Times New Roman" w:hAnsi="Times New Roman" w:cs="Times New Roman"/>
          <w:bCs/>
          <w:sz w:val="28"/>
          <w:szCs w:val="28"/>
        </w:rPr>
        <w:t xml:space="preserve">Очень важно знать свой организм и какую генетическую информацию передаешь следующему поколению, с этой целью необходимо пристальное внимание обратить к комплексной подготовке перед созданием здоровой новой жизни. </w:t>
      </w:r>
    </w:p>
    <w:p w14:paraId="23DE07E4" w14:textId="77777777" w:rsidR="007A2C38" w:rsidRPr="004135FE" w:rsidRDefault="007A2C38" w:rsidP="004135FE">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По результату анализа, повод первого обращения к урологу среди мужчин в большинстве связано с профилактическим осмотром- 55,5% и другие причины-20%. Так же причиной обращения пациентов </w:t>
      </w:r>
      <w:r w:rsidRPr="004135FE">
        <w:rPr>
          <w:rFonts w:ascii="Times New Roman" w:hAnsi="Times New Roman" w:cs="Times New Roman"/>
          <w:bCs/>
          <w:sz w:val="28"/>
          <w:szCs w:val="28"/>
        </w:rPr>
        <w:t>к врачу урологу связаны</w:t>
      </w:r>
      <w:r w:rsidRPr="004135FE">
        <w:rPr>
          <w:rFonts w:ascii="Times New Roman" w:hAnsi="Times New Roman" w:cs="Times New Roman"/>
          <w:sz w:val="28"/>
          <w:szCs w:val="28"/>
        </w:rPr>
        <w:t xml:space="preserve"> с воспалительными заболеваниями половых органов- 14,5%. Однако, за советом перед вступлением половой контакт в браке к специалисту обратились всего 5,5% респондентов, за консультацией по контрацептивам- 4,5%. Данный результат свидетельствует о низком качестве планирования и готовности продолжать потомство с оптимальным уровнем здоровья.</w:t>
      </w:r>
    </w:p>
    <w:p w14:paraId="17E176CB" w14:textId="77777777" w:rsidR="007A2C38" w:rsidRPr="004135FE" w:rsidRDefault="007A2C38" w:rsidP="004135FE">
      <w:pPr>
        <w:spacing w:after="0" w:line="240" w:lineRule="auto"/>
        <w:jc w:val="both"/>
        <w:rPr>
          <w:rFonts w:ascii="Times New Roman" w:hAnsi="Times New Roman" w:cs="Times New Roman"/>
          <w:sz w:val="28"/>
          <w:szCs w:val="28"/>
        </w:rPr>
      </w:pPr>
    </w:p>
    <w:p w14:paraId="3F970FBB" w14:textId="77777777" w:rsidR="007A2C38" w:rsidRPr="004135FE" w:rsidRDefault="007A2C38" w:rsidP="001A63BD">
      <w:pPr>
        <w:spacing w:after="0" w:line="240" w:lineRule="auto"/>
        <w:ind w:firstLine="709"/>
        <w:jc w:val="center"/>
        <w:rPr>
          <w:rFonts w:ascii="Times New Roman" w:hAnsi="Times New Roman" w:cs="Times New Roman"/>
          <w:sz w:val="28"/>
          <w:szCs w:val="28"/>
        </w:rPr>
      </w:pPr>
      <w:r w:rsidRPr="004135FE">
        <w:rPr>
          <w:noProof/>
          <w:sz w:val="28"/>
          <w:szCs w:val="28"/>
        </w:rPr>
        <w:drawing>
          <wp:inline distT="0" distB="0" distL="0" distR="0" wp14:anchorId="0559A1EE" wp14:editId="0EA3ED5A">
            <wp:extent cx="4191000" cy="2238375"/>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1434570" w14:textId="41D551DD" w:rsidR="007A2C38" w:rsidRPr="004135FE" w:rsidRDefault="007A2C38" w:rsidP="001A63BD">
      <w:pPr>
        <w:spacing w:after="0" w:line="240" w:lineRule="auto"/>
        <w:ind w:firstLine="709"/>
        <w:jc w:val="center"/>
        <w:rPr>
          <w:rFonts w:ascii="Times New Roman" w:hAnsi="Times New Roman" w:cs="Times New Roman"/>
          <w:bCs/>
          <w:sz w:val="28"/>
          <w:szCs w:val="28"/>
        </w:rPr>
      </w:pPr>
      <w:r w:rsidRPr="004135FE">
        <w:rPr>
          <w:rFonts w:ascii="Times New Roman" w:hAnsi="Times New Roman" w:cs="Times New Roman"/>
          <w:sz w:val="28"/>
          <w:szCs w:val="28"/>
        </w:rPr>
        <w:t>Рисунок 45 -</w:t>
      </w:r>
      <w:r w:rsidRPr="004135FE">
        <w:rPr>
          <w:rFonts w:ascii="Times New Roman" w:hAnsi="Times New Roman" w:cs="Times New Roman"/>
          <w:bCs/>
          <w:sz w:val="28"/>
          <w:szCs w:val="28"/>
        </w:rPr>
        <w:t xml:space="preserve"> Причина первого обращения к врачу урологу, среди мужчин с СД2т</w:t>
      </w:r>
    </w:p>
    <w:p w14:paraId="2CCB9E9F" w14:textId="77777777" w:rsidR="007A2C38" w:rsidRPr="004135FE" w:rsidRDefault="007A2C38" w:rsidP="004135FE">
      <w:pPr>
        <w:spacing w:after="0" w:line="240" w:lineRule="auto"/>
        <w:ind w:firstLine="709"/>
        <w:jc w:val="both"/>
        <w:rPr>
          <w:rFonts w:ascii="Times New Roman" w:hAnsi="Times New Roman" w:cs="Times New Roman"/>
          <w:sz w:val="28"/>
          <w:szCs w:val="28"/>
        </w:rPr>
      </w:pPr>
    </w:p>
    <w:p w14:paraId="1A9117CD" w14:textId="77777777" w:rsidR="007A2C38" w:rsidRPr="004135FE" w:rsidRDefault="007A2C38" w:rsidP="004135FE">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У большинства респондентов до рождения детей не был диагностирован СД2т- 83,50%, однако нет и подтверждения об отсутствии повышенного уровня сахара. Диагноз СД2т был поставлен у 8,5% респондентов до рождения первого ребенка, 4%- до второго ребенка, 2,5% до третьего и 1,5% до четвертого ребенка. </w:t>
      </w:r>
    </w:p>
    <w:p w14:paraId="4B4AC560" w14:textId="77777777" w:rsidR="007A2C38" w:rsidRPr="004135FE" w:rsidRDefault="007A2C38" w:rsidP="004135FE">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Женщины во время беременности при первом триместре охвачены обязательным скринингом сахара крови. Учитывая низкую подготовленность к семейной жизни необходимо и мужчин, как родителя будущего ребенка охватить скринингом сахара, так как гены каждого из них имеют вес.  </w:t>
      </w:r>
    </w:p>
    <w:p w14:paraId="0E82CCAB" w14:textId="77777777" w:rsidR="007A2C38" w:rsidRPr="004135FE" w:rsidRDefault="007A2C38" w:rsidP="004135FE">
      <w:pPr>
        <w:spacing w:after="0" w:line="240" w:lineRule="auto"/>
        <w:ind w:firstLine="709"/>
        <w:jc w:val="both"/>
        <w:rPr>
          <w:rFonts w:ascii="Times New Roman" w:hAnsi="Times New Roman" w:cs="Times New Roman"/>
          <w:sz w:val="28"/>
          <w:szCs w:val="28"/>
        </w:rPr>
      </w:pPr>
    </w:p>
    <w:p w14:paraId="4AF278F6" w14:textId="77777777" w:rsidR="007A2C38" w:rsidRPr="004135FE" w:rsidRDefault="007A2C38" w:rsidP="001A63BD">
      <w:pPr>
        <w:spacing w:after="0" w:line="240" w:lineRule="auto"/>
        <w:rPr>
          <w:rFonts w:ascii="Times New Roman" w:hAnsi="Times New Roman" w:cs="Times New Roman"/>
          <w:sz w:val="28"/>
          <w:szCs w:val="28"/>
        </w:rPr>
      </w:pPr>
      <w:r w:rsidRPr="004135FE">
        <w:rPr>
          <w:noProof/>
          <w:sz w:val="28"/>
          <w:szCs w:val="28"/>
        </w:rPr>
        <w:drawing>
          <wp:inline distT="0" distB="0" distL="0" distR="0" wp14:anchorId="281A975F" wp14:editId="7AF76698">
            <wp:extent cx="5715000" cy="2314575"/>
            <wp:effectExtent l="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94F09A6" w14:textId="77777777" w:rsidR="001A63BD" w:rsidRDefault="001A63BD" w:rsidP="001A63BD">
      <w:pPr>
        <w:spacing w:after="0" w:line="240" w:lineRule="auto"/>
        <w:ind w:firstLine="709"/>
        <w:jc w:val="center"/>
        <w:rPr>
          <w:rFonts w:ascii="Times New Roman" w:hAnsi="Times New Roman" w:cs="Times New Roman"/>
          <w:sz w:val="28"/>
          <w:szCs w:val="28"/>
        </w:rPr>
      </w:pPr>
    </w:p>
    <w:p w14:paraId="53176216" w14:textId="371E1D19" w:rsidR="007A2C38" w:rsidRPr="004135FE" w:rsidRDefault="007A2C38" w:rsidP="001A63BD">
      <w:pPr>
        <w:spacing w:after="0" w:line="240" w:lineRule="auto"/>
        <w:ind w:firstLine="709"/>
        <w:jc w:val="center"/>
        <w:rPr>
          <w:rFonts w:ascii="Times New Roman" w:hAnsi="Times New Roman" w:cs="Times New Roman"/>
          <w:sz w:val="28"/>
          <w:szCs w:val="28"/>
        </w:rPr>
      </w:pPr>
      <w:r w:rsidRPr="004135FE">
        <w:rPr>
          <w:rFonts w:ascii="Times New Roman" w:hAnsi="Times New Roman" w:cs="Times New Roman"/>
          <w:sz w:val="28"/>
          <w:szCs w:val="28"/>
        </w:rPr>
        <w:t>Рисунок 46</w:t>
      </w:r>
      <w:r w:rsidR="001A63BD">
        <w:rPr>
          <w:rFonts w:ascii="Times New Roman" w:hAnsi="Times New Roman" w:cs="Times New Roman"/>
          <w:sz w:val="28"/>
          <w:szCs w:val="28"/>
        </w:rPr>
        <w:t xml:space="preserve"> </w:t>
      </w:r>
      <w:r w:rsidRPr="004135FE">
        <w:rPr>
          <w:rFonts w:ascii="Times New Roman" w:hAnsi="Times New Roman" w:cs="Times New Roman"/>
          <w:sz w:val="28"/>
          <w:szCs w:val="28"/>
        </w:rPr>
        <w:t>- Наличие диагноза СД2т у пациента до рождения детей</w:t>
      </w:r>
    </w:p>
    <w:p w14:paraId="431AD556" w14:textId="77777777" w:rsidR="007A2C38" w:rsidRPr="004135FE" w:rsidRDefault="007A2C38" w:rsidP="004135FE">
      <w:pPr>
        <w:pStyle w:val="a3"/>
        <w:spacing w:after="0" w:line="240" w:lineRule="auto"/>
        <w:ind w:left="0"/>
        <w:jc w:val="both"/>
        <w:rPr>
          <w:rFonts w:ascii="Times New Roman" w:hAnsi="Times New Roman" w:cs="Times New Roman"/>
          <w:bCs/>
          <w:sz w:val="28"/>
          <w:szCs w:val="28"/>
        </w:rPr>
      </w:pPr>
    </w:p>
    <w:p w14:paraId="77771AEE" w14:textId="77777777" w:rsidR="007A2C38" w:rsidRPr="004135FE" w:rsidRDefault="007A2C38" w:rsidP="004135FE">
      <w:pPr>
        <w:pStyle w:val="a3"/>
        <w:spacing w:after="0" w:line="240" w:lineRule="auto"/>
        <w:ind w:left="0" w:firstLine="708"/>
        <w:jc w:val="both"/>
        <w:rPr>
          <w:rFonts w:ascii="Times New Roman" w:hAnsi="Times New Roman" w:cs="Times New Roman"/>
          <w:bCs/>
          <w:sz w:val="28"/>
          <w:szCs w:val="28"/>
        </w:rPr>
      </w:pPr>
      <w:r w:rsidRPr="004135FE">
        <w:rPr>
          <w:rFonts w:ascii="Times New Roman" w:hAnsi="Times New Roman" w:cs="Times New Roman"/>
          <w:bCs/>
          <w:sz w:val="28"/>
          <w:szCs w:val="28"/>
        </w:rPr>
        <w:t xml:space="preserve">Масса тела имеет в значительной степени влияние на функцию как половых и других желез, так и на весь организм. Данный вопрос показывает насколько серьезно относятся к этому пациенты мужского пола с СД2т, среди которых как выяснилась нормальный вес всего у 11,0% мужчин. Большинство пациентов, которые в совокупности составили 38,5% всех опрошенных мужчин не помнят, </w:t>
      </w:r>
      <w:r w:rsidRPr="004135FE">
        <w:rPr>
          <w:rFonts w:ascii="Times New Roman" w:hAnsi="Times New Roman" w:cs="Times New Roman"/>
          <w:sz w:val="28"/>
          <w:szCs w:val="28"/>
        </w:rPr>
        <w:t xml:space="preserve">когда были последний раз у врача уролога. Из них </w:t>
      </w:r>
      <w:r w:rsidRPr="004135FE">
        <w:rPr>
          <w:rFonts w:ascii="Times New Roman" w:eastAsia="Times New Roman" w:hAnsi="Times New Roman" w:cs="Times New Roman"/>
          <w:color w:val="000000"/>
          <w:sz w:val="28"/>
          <w:szCs w:val="28"/>
        </w:rPr>
        <w:t>41,4% мужчин с избыточной массой тела, 40,9% с нормальным весом, 37,7% -</w:t>
      </w:r>
      <w:r w:rsidRPr="004135FE">
        <w:rPr>
          <w:rFonts w:ascii="Times New Roman" w:hAnsi="Times New Roman" w:cs="Times New Roman"/>
          <w:bCs/>
          <w:sz w:val="28"/>
          <w:szCs w:val="28"/>
        </w:rPr>
        <w:t xml:space="preserve"> ожирением</w:t>
      </w:r>
      <w:r w:rsidRPr="004135FE">
        <w:rPr>
          <w:rFonts w:ascii="Times New Roman" w:hAnsi="Times New Roman" w:cs="Times New Roman"/>
          <w:b/>
          <w:bCs/>
          <w:sz w:val="28"/>
          <w:szCs w:val="28"/>
        </w:rPr>
        <w:t xml:space="preserve"> </w:t>
      </w:r>
      <w:r w:rsidRPr="004135FE">
        <w:rPr>
          <w:rFonts w:ascii="Times New Roman" w:hAnsi="Times New Roman" w:cs="Times New Roman"/>
          <w:sz w:val="28"/>
          <w:szCs w:val="28"/>
        </w:rPr>
        <w:t xml:space="preserve">І степени, 18,8%- ІІ степени, 100%- ІІІ степени. </w:t>
      </w:r>
    </w:p>
    <w:p w14:paraId="2F5122BC" w14:textId="77777777" w:rsidR="007A2C38" w:rsidRPr="004135FE" w:rsidRDefault="007A2C38" w:rsidP="004135FE">
      <w:pPr>
        <w:pStyle w:val="a3"/>
        <w:spacing w:after="0" w:line="240" w:lineRule="auto"/>
        <w:ind w:left="0"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С избыточным весом 68,2% пациентов наблюдались у уролога в течения последних 3 месяцев, 53,2% пациентов не помнят и 44,0% пациентов в этом году. С ожирением 1 степени 42,9% - пациентов получали консультацию 3 года назад, 32,0%- в этом году, 29,7% - пациентов в этом месяце и 30,4% - пациентов не помнят, когда в последний раз были у врача. 14,3% - пациентов с ожирением 2 степени были у врача уролога 3 года назад. 13,5% - пациентов имеющий нормальный вес, и пациенты с ожирением 2 степени наблюдались в этом месяце. </w:t>
      </w:r>
    </w:p>
    <w:p w14:paraId="77CB117E" w14:textId="19FD5E0A" w:rsidR="007A2C38" w:rsidRPr="004135FE" w:rsidRDefault="007A2C38" w:rsidP="004135FE">
      <w:pPr>
        <w:pStyle w:val="a3"/>
        <w:spacing w:after="0" w:line="240" w:lineRule="auto"/>
        <w:ind w:left="0" w:firstLine="708"/>
        <w:jc w:val="both"/>
        <w:rPr>
          <w:rFonts w:ascii="Times New Roman" w:hAnsi="Times New Roman" w:cs="Times New Roman"/>
          <w:bCs/>
          <w:sz w:val="28"/>
          <w:szCs w:val="28"/>
        </w:rPr>
      </w:pPr>
      <w:r w:rsidRPr="004135FE">
        <w:rPr>
          <w:rFonts w:ascii="Times New Roman" w:hAnsi="Times New Roman" w:cs="Times New Roman"/>
          <w:bCs/>
          <w:sz w:val="28"/>
          <w:szCs w:val="28"/>
        </w:rPr>
        <w:t>Пациенты мужского пола с СД 2типа и с ожирением</w:t>
      </w:r>
      <w:r w:rsidRPr="004135FE">
        <w:rPr>
          <w:rFonts w:ascii="Times New Roman" w:hAnsi="Times New Roman" w:cs="Times New Roman"/>
          <w:b/>
          <w:bCs/>
          <w:sz w:val="28"/>
          <w:szCs w:val="28"/>
        </w:rPr>
        <w:t xml:space="preserve"> </w:t>
      </w:r>
      <w:r w:rsidRPr="004135FE">
        <w:rPr>
          <w:rFonts w:ascii="Times New Roman" w:hAnsi="Times New Roman" w:cs="Times New Roman"/>
          <w:sz w:val="28"/>
          <w:szCs w:val="28"/>
        </w:rPr>
        <w:t xml:space="preserve">ІІІ степени которые составили 1,3% не помнят, когда были последний раз у врача уролога. Не установленная давность консультации характеризует отсутствия визита к врачу. </w:t>
      </w:r>
    </w:p>
    <w:p w14:paraId="446AFB58" w14:textId="77777777" w:rsidR="007A2C38" w:rsidRPr="004135FE" w:rsidRDefault="007A2C38" w:rsidP="004135FE">
      <w:pPr>
        <w:tabs>
          <w:tab w:val="left" w:pos="426"/>
        </w:tabs>
        <w:spacing w:after="0" w:line="240" w:lineRule="auto"/>
        <w:ind w:firstLine="708"/>
        <w:jc w:val="both"/>
        <w:rPr>
          <w:rFonts w:ascii="Times New Roman" w:hAnsi="Times New Roman" w:cs="Times New Roman"/>
          <w:b/>
          <w:bCs/>
          <w:sz w:val="28"/>
          <w:szCs w:val="28"/>
        </w:rPr>
      </w:pPr>
    </w:p>
    <w:p w14:paraId="57394073" w14:textId="77777777" w:rsidR="007A2C38" w:rsidRPr="004135FE" w:rsidRDefault="007A2C38" w:rsidP="001A63BD">
      <w:pPr>
        <w:tabs>
          <w:tab w:val="left" w:pos="426"/>
        </w:tabs>
        <w:spacing w:after="0" w:line="240" w:lineRule="auto"/>
        <w:ind w:firstLine="708"/>
        <w:jc w:val="center"/>
        <w:rPr>
          <w:rFonts w:ascii="Times New Roman" w:hAnsi="Times New Roman" w:cs="Times New Roman"/>
          <w:b/>
          <w:bCs/>
          <w:sz w:val="28"/>
          <w:szCs w:val="28"/>
        </w:rPr>
      </w:pPr>
      <w:r w:rsidRPr="004135FE">
        <w:rPr>
          <w:noProof/>
          <w:sz w:val="28"/>
          <w:szCs w:val="28"/>
        </w:rPr>
        <w:drawing>
          <wp:inline distT="0" distB="0" distL="0" distR="0" wp14:anchorId="3B5277C3" wp14:editId="0A983691">
            <wp:extent cx="4733925" cy="3438525"/>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08460D1" w14:textId="77777777" w:rsidR="001A63BD" w:rsidRDefault="001A63BD" w:rsidP="001A63BD">
      <w:pPr>
        <w:tabs>
          <w:tab w:val="left" w:pos="426"/>
        </w:tabs>
        <w:spacing w:after="0" w:line="240" w:lineRule="auto"/>
        <w:ind w:firstLine="708"/>
        <w:jc w:val="center"/>
        <w:rPr>
          <w:rFonts w:ascii="Times New Roman" w:hAnsi="Times New Roman" w:cs="Times New Roman"/>
          <w:bCs/>
          <w:sz w:val="28"/>
          <w:szCs w:val="28"/>
        </w:rPr>
      </w:pPr>
    </w:p>
    <w:p w14:paraId="4A6A61AE" w14:textId="0027C384" w:rsidR="007A2C38" w:rsidRPr="004135FE" w:rsidRDefault="007A2C38" w:rsidP="001A63BD">
      <w:pPr>
        <w:tabs>
          <w:tab w:val="left" w:pos="426"/>
        </w:tabs>
        <w:spacing w:after="0" w:line="240" w:lineRule="auto"/>
        <w:ind w:firstLine="708"/>
        <w:jc w:val="center"/>
        <w:rPr>
          <w:rFonts w:ascii="Times New Roman" w:hAnsi="Times New Roman" w:cs="Times New Roman"/>
          <w:bCs/>
          <w:sz w:val="28"/>
          <w:szCs w:val="28"/>
        </w:rPr>
      </w:pPr>
      <w:r w:rsidRPr="004135FE">
        <w:rPr>
          <w:rFonts w:ascii="Times New Roman" w:hAnsi="Times New Roman" w:cs="Times New Roman"/>
          <w:bCs/>
          <w:sz w:val="28"/>
          <w:szCs w:val="28"/>
        </w:rPr>
        <w:t>Рисунок 47- Влияние ИМТ мужчин с СД2т на период последнего визита к врачу урологу</w:t>
      </w:r>
    </w:p>
    <w:p w14:paraId="6E322B3F" w14:textId="77777777" w:rsidR="007A2C38" w:rsidRPr="004135FE" w:rsidRDefault="007A2C38" w:rsidP="004135FE">
      <w:pPr>
        <w:tabs>
          <w:tab w:val="left" w:pos="426"/>
        </w:tabs>
        <w:spacing w:after="0" w:line="240" w:lineRule="auto"/>
        <w:jc w:val="both"/>
        <w:rPr>
          <w:rFonts w:ascii="Times New Roman" w:hAnsi="Times New Roman" w:cs="Times New Roman"/>
          <w:b/>
          <w:bCs/>
          <w:sz w:val="28"/>
          <w:szCs w:val="28"/>
        </w:rPr>
      </w:pPr>
    </w:p>
    <w:p w14:paraId="15B20454" w14:textId="77777777" w:rsidR="007A2C38" w:rsidRPr="001A63BD" w:rsidRDefault="007A2C38" w:rsidP="001A63BD">
      <w:pPr>
        <w:tabs>
          <w:tab w:val="left" w:pos="426"/>
        </w:tabs>
        <w:spacing w:after="0" w:line="240" w:lineRule="auto"/>
        <w:ind w:firstLine="709"/>
        <w:jc w:val="both"/>
        <w:rPr>
          <w:rFonts w:ascii="Times New Roman" w:hAnsi="Times New Roman" w:cs="Times New Roman"/>
          <w:bCs/>
          <w:sz w:val="28"/>
          <w:szCs w:val="28"/>
        </w:rPr>
      </w:pPr>
      <w:r w:rsidRPr="001A63BD">
        <w:rPr>
          <w:rFonts w:ascii="Times New Roman" w:hAnsi="Times New Roman" w:cs="Times New Roman"/>
          <w:bCs/>
          <w:sz w:val="28"/>
          <w:szCs w:val="28"/>
        </w:rPr>
        <w:t>Специальные вопросы для женщин:</w:t>
      </w:r>
    </w:p>
    <w:p w14:paraId="695CC87B" w14:textId="60CCC1A9" w:rsidR="007A2C38" w:rsidRPr="004135FE" w:rsidRDefault="007A2C38" w:rsidP="004135FE">
      <w:pPr>
        <w:tabs>
          <w:tab w:val="center" w:pos="6278"/>
        </w:tabs>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Большинство опрошенных женщин впервые в женскую консультацию обратились с болями и нарушениями менструального цикла, что составила 27,9%. 24,3 пациентов обратились по другим причинам, 17,5% с </w:t>
      </w:r>
      <w:r w:rsidR="002C54BB" w:rsidRPr="004135FE">
        <w:rPr>
          <w:rFonts w:ascii="Times New Roman" w:hAnsi="Times New Roman" w:cs="Times New Roman"/>
          <w:sz w:val="28"/>
          <w:szCs w:val="28"/>
        </w:rPr>
        <w:t>воспалительными заболеваниями женских органов</w:t>
      </w:r>
      <w:r w:rsidRPr="004135FE">
        <w:rPr>
          <w:rFonts w:ascii="Times New Roman" w:hAnsi="Times New Roman" w:cs="Times New Roman"/>
          <w:sz w:val="28"/>
          <w:szCs w:val="28"/>
        </w:rPr>
        <w:t xml:space="preserve">, 14,3% для получения консультации по контрацептивам, 11,4% за советом перед вступлением половой контакт в браке, 4,6% чтобы сделать аборт. </w:t>
      </w:r>
    </w:p>
    <w:p w14:paraId="2783F8D7" w14:textId="77777777" w:rsidR="007A2C38" w:rsidRPr="004135FE" w:rsidRDefault="007A2C38" w:rsidP="004135FE">
      <w:pPr>
        <w:tabs>
          <w:tab w:val="center" w:pos="6278"/>
        </w:tabs>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Статистический значима, что гестационный диабет (ГСД) проявил себя в 25% случаях среди опрошенных женщин и в большинстве при первой беременности. Из них из анамнеза причиной первого обращения за консультацией специалиста была в 44,7% случаях боль и нарушение менструального цикла. В </w:t>
      </w:r>
      <w:r w:rsidRPr="004135FE">
        <w:rPr>
          <w:rFonts w:ascii="Times New Roman" w:eastAsia="Times New Roman" w:hAnsi="Times New Roman" w:cs="Times New Roman"/>
          <w:color w:val="000000"/>
          <w:sz w:val="28"/>
          <w:szCs w:val="28"/>
        </w:rPr>
        <w:t xml:space="preserve">23,7% случаях обратились за консультацией по контрацептивам. При назначении гормональных контрацептивов, повышается вероятность риска развития СД2т </w:t>
      </w:r>
      <w:r w:rsidRPr="004135FE">
        <w:rPr>
          <w:rFonts w:ascii="Times New Roman" w:hAnsi="Times New Roman" w:cs="Times New Roman"/>
          <w:sz w:val="28"/>
          <w:szCs w:val="28"/>
        </w:rPr>
        <w:t xml:space="preserve">(χ2=33,129, df=16, p=0,005). </w:t>
      </w:r>
    </w:p>
    <w:p w14:paraId="0CEE2800" w14:textId="1754D6AD" w:rsidR="007A2C38" w:rsidRDefault="007A2C38" w:rsidP="004135FE">
      <w:pPr>
        <w:tabs>
          <w:tab w:val="center" w:pos="6278"/>
        </w:tabs>
        <w:autoSpaceDE w:val="0"/>
        <w:autoSpaceDN w:val="0"/>
        <w:adjustRightInd w:val="0"/>
        <w:spacing w:after="0" w:line="240" w:lineRule="auto"/>
        <w:ind w:firstLine="709"/>
        <w:jc w:val="both"/>
        <w:rPr>
          <w:rFonts w:ascii="Times New Roman" w:hAnsi="Times New Roman" w:cs="Times New Roman"/>
          <w:sz w:val="28"/>
          <w:szCs w:val="28"/>
        </w:rPr>
      </w:pPr>
    </w:p>
    <w:p w14:paraId="2CBC5782" w14:textId="5075D398" w:rsidR="001A63BD" w:rsidRDefault="001A63BD" w:rsidP="004135FE">
      <w:pPr>
        <w:tabs>
          <w:tab w:val="center" w:pos="6278"/>
        </w:tabs>
        <w:autoSpaceDE w:val="0"/>
        <w:autoSpaceDN w:val="0"/>
        <w:adjustRightInd w:val="0"/>
        <w:spacing w:after="0" w:line="240" w:lineRule="auto"/>
        <w:ind w:firstLine="709"/>
        <w:jc w:val="both"/>
        <w:rPr>
          <w:rFonts w:ascii="Times New Roman" w:hAnsi="Times New Roman" w:cs="Times New Roman"/>
          <w:sz w:val="28"/>
          <w:szCs w:val="28"/>
        </w:rPr>
      </w:pPr>
    </w:p>
    <w:p w14:paraId="53433EFE" w14:textId="55D468C5" w:rsidR="001A63BD" w:rsidRDefault="001A63BD" w:rsidP="004135FE">
      <w:pPr>
        <w:tabs>
          <w:tab w:val="center" w:pos="6278"/>
        </w:tabs>
        <w:autoSpaceDE w:val="0"/>
        <w:autoSpaceDN w:val="0"/>
        <w:adjustRightInd w:val="0"/>
        <w:spacing w:after="0" w:line="240" w:lineRule="auto"/>
        <w:ind w:firstLine="709"/>
        <w:jc w:val="both"/>
        <w:rPr>
          <w:rFonts w:ascii="Times New Roman" w:hAnsi="Times New Roman" w:cs="Times New Roman"/>
          <w:sz w:val="28"/>
          <w:szCs w:val="28"/>
        </w:rPr>
      </w:pPr>
    </w:p>
    <w:p w14:paraId="50C426E1" w14:textId="1014735D" w:rsidR="001A63BD" w:rsidRDefault="001A63BD" w:rsidP="004135FE">
      <w:pPr>
        <w:tabs>
          <w:tab w:val="center" w:pos="6278"/>
        </w:tabs>
        <w:autoSpaceDE w:val="0"/>
        <w:autoSpaceDN w:val="0"/>
        <w:adjustRightInd w:val="0"/>
        <w:spacing w:after="0" w:line="240" w:lineRule="auto"/>
        <w:ind w:firstLine="709"/>
        <w:jc w:val="both"/>
        <w:rPr>
          <w:rFonts w:ascii="Times New Roman" w:hAnsi="Times New Roman" w:cs="Times New Roman"/>
          <w:sz w:val="28"/>
          <w:szCs w:val="28"/>
        </w:rPr>
      </w:pPr>
    </w:p>
    <w:p w14:paraId="7B9A604B" w14:textId="6C6D0F36" w:rsidR="001A63BD" w:rsidRDefault="001A63BD" w:rsidP="004135FE">
      <w:pPr>
        <w:tabs>
          <w:tab w:val="center" w:pos="6278"/>
        </w:tabs>
        <w:autoSpaceDE w:val="0"/>
        <w:autoSpaceDN w:val="0"/>
        <w:adjustRightInd w:val="0"/>
        <w:spacing w:after="0" w:line="240" w:lineRule="auto"/>
        <w:ind w:firstLine="709"/>
        <w:jc w:val="both"/>
        <w:rPr>
          <w:rFonts w:ascii="Times New Roman" w:hAnsi="Times New Roman" w:cs="Times New Roman"/>
          <w:sz w:val="28"/>
          <w:szCs w:val="28"/>
        </w:rPr>
      </w:pPr>
    </w:p>
    <w:p w14:paraId="2EED6F19" w14:textId="77777777" w:rsidR="001A63BD" w:rsidRPr="004135FE" w:rsidRDefault="001A63BD" w:rsidP="004135FE">
      <w:pPr>
        <w:tabs>
          <w:tab w:val="center" w:pos="6278"/>
        </w:tabs>
        <w:autoSpaceDE w:val="0"/>
        <w:autoSpaceDN w:val="0"/>
        <w:adjustRightInd w:val="0"/>
        <w:spacing w:after="0" w:line="240" w:lineRule="auto"/>
        <w:ind w:firstLine="709"/>
        <w:jc w:val="both"/>
        <w:rPr>
          <w:rFonts w:ascii="Times New Roman" w:hAnsi="Times New Roman" w:cs="Times New Roman"/>
          <w:sz w:val="28"/>
          <w:szCs w:val="28"/>
        </w:rPr>
      </w:pPr>
    </w:p>
    <w:p w14:paraId="27813DF3" w14:textId="3EA4D521" w:rsidR="007A2C38" w:rsidRDefault="007A2C38" w:rsidP="004135FE">
      <w:pPr>
        <w:tabs>
          <w:tab w:val="center" w:pos="6278"/>
        </w:tabs>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bCs/>
          <w:sz w:val="28"/>
          <w:szCs w:val="28"/>
        </w:rPr>
        <w:t>Таблица 4</w:t>
      </w:r>
      <w:r w:rsidR="00B728EF" w:rsidRPr="004135FE">
        <w:rPr>
          <w:rFonts w:ascii="Times New Roman" w:hAnsi="Times New Roman" w:cs="Times New Roman"/>
          <w:bCs/>
          <w:sz w:val="28"/>
          <w:szCs w:val="28"/>
        </w:rPr>
        <w:t>2</w:t>
      </w:r>
      <w:r w:rsidR="00077E0F">
        <w:rPr>
          <w:rFonts w:ascii="Times New Roman" w:hAnsi="Times New Roman" w:cs="Times New Roman"/>
          <w:bCs/>
          <w:sz w:val="28"/>
          <w:szCs w:val="28"/>
        </w:rPr>
        <w:t xml:space="preserve"> </w:t>
      </w:r>
      <w:r w:rsidRPr="004135FE">
        <w:rPr>
          <w:rFonts w:ascii="Times New Roman" w:hAnsi="Times New Roman" w:cs="Times New Roman"/>
          <w:bCs/>
          <w:sz w:val="28"/>
          <w:szCs w:val="28"/>
        </w:rPr>
        <w:t xml:space="preserve">- Причины первого обращения в женскую консультацию и наличие гестационного диабета </w:t>
      </w:r>
      <w:r w:rsidRPr="004135FE">
        <w:rPr>
          <w:rFonts w:ascii="Times New Roman" w:hAnsi="Times New Roman" w:cs="Times New Roman"/>
          <w:sz w:val="28"/>
          <w:szCs w:val="28"/>
        </w:rPr>
        <w:t>во время беременности</w:t>
      </w:r>
    </w:p>
    <w:p w14:paraId="1FDA2055" w14:textId="77777777" w:rsidR="00623658" w:rsidRPr="004135FE" w:rsidRDefault="00623658" w:rsidP="004135FE">
      <w:pPr>
        <w:tabs>
          <w:tab w:val="center" w:pos="6278"/>
        </w:tabs>
        <w:autoSpaceDE w:val="0"/>
        <w:autoSpaceDN w:val="0"/>
        <w:adjustRightInd w:val="0"/>
        <w:spacing w:after="0" w:line="240" w:lineRule="auto"/>
        <w:jc w:val="both"/>
        <w:rPr>
          <w:rFonts w:ascii="Times New Roman" w:hAnsi="Times New Roman" w:cs="Times New Roman"/>
          <w:sz w:val="28"/>
          <w:szCs w:val="28"/>
        </w:rPr>
      </w:pPr>
    </w:p>
    <w:tbl>
      <w:tblPr>
        <w:tblStyle w:val="a5"/>
        <w:tblW w:w="0" w:type="auto"/>
        <w:tblLayout w:type="fixed"/>
        <w:tblLook w:val="04A0" w:firstRow="1" w:lastRow="0" w:firstColumn="1" w:lastColumn="0" w:noHBand="0" w:noVBand="1"/>
      </w:tblPr>
      <w:tblGrid>
        <w:gridCol w:w="1702"/>
        <w:gridCol w:w="1463"/>
        <w:gridCol w:w="1463"/>
        <w:gridCol w:w="1463"/>
        <w:gridCol w:w="1463"/>
        <w:gridCol w:w="895"/>
        <w:gridCol w:w="895"/>
      </w:tblGrid>
      <w:tr w:rsidR="007A2C38" w:rsidRPr="004135FE" w14:paraId="67E3BB7A" w14:textId="77777777" w:rsidTr="004F0DE6">
        <w:tc>
          <w:tcPr>
            <w:tcW w:w="1702" w:type="dxa"/>
          </w:tcPr>
          <w:p w14:paraId="243264BA" w14:textId="77777777" w:rsidR="007A2C38" w:rsidRPr="00623658" w:rsidRDefault="007A2C38" w:rsidP="004135FE">
            <w:pPr>
              <w:tabs>
                <w:tab w:val="center" w:pos="6278"/>
              </w:tabs>
              <w:autoSpaceDE w:val="0"/>
              <w:autoSpaceDN w:val="0"/>
              <w:adjustRightInd w:val="0"/>
              <w:spacing w:after="0" w:line="240" w:lineRule="auto"/>
              <w:jc w:val="both"/>
              <w:rPr>
                <w:rFonts w:ascii="Times New Roman" w:hAnsi="Times New Roman" w:cs="Times New Roman"/>
                <w:sz w:val="24"/>
                <w:szCs w:val="24"/>
              </w:rPr>
            </w:pPr>
            <w:r w:rsidRPr="00623658">
              <w:rPr>
                <w:rFonts w:ascii="Times New Roman" w:hAnsi="Times New Roman" w:cs="Times New Roman"/>
                <w:sz w:val="24"/>
                <w:szCs w:val="24"/>
              </w:rPr>
              <w:t>Варианты ответов</w:t>
            </w:r>
          </w:p>
        </w:tc>
        <w:tc>
          <w:tcPr>
            <w:tcW w:w="1463" w:type="dxa"/>
          </w:tcPr>
          <w:p w14:paraId="3C4EF80E" w14:textId="77777777" w:rsidR="007A2C38" w:rsidRPr="00623658"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623658">
              <w:rPr>
                <w:rFonts w:ascii="Times New Roman" w:hAnsi="Times New Roman" w:cs="Times New Roman"/>
                <w:sz w:val="24"/>
                <w:szCs w:val="24"/>
              </w:rPr>
              <w:t>Да, при  1 беременности</w:t>
            </w:r>
          </w:p>
        </w:tc>
        <w:tc>
          <w:tcPr>
            <w:tcW w:w="1463" w:type="dxa"/>
          </w:tcPr>
          <w:p w14:paraId="3C8F0BAD" w14:textId="77777777" w:rsidR="007A2C38" w:rsidRPr="00623658"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623658">
              <w:rPr>
                <w:rFonts w:ascii="Times New Roman" w:hAnsi="Times New Roman" w:cs="Times New Roman"/>
                <w:sz w:val="24"/>
                <w:szCs w:val="24"/>
              </w:rPr>
              <w:t>Да, при 2 беременности</w:t>
            </w:r>
          </w:p>
        </w:tc>
        <w:tc>
          <w:tcPr>
            <w:tcW w:w="1463" w:type="dxa"/>
          </w:tcPr>
          <w:p w14:paraId="56BFB67A" w14:textId="77777777" w:rsidR="007A2C38" w:rsidRPr="00623658"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623658">
              <w:rPr>
                <w:rFonts w:ascii="Times New Roman" w:hAnsi="Times New Roman" w:cs="Times New Roman"/>
                <w:sz w:val="24"/>
                <w:szCs w:val="24"/>
              </w:rPr>
              <w:t>Да, при 3 беременности</w:t>
            </w:r>
          </w:p>
        </w:tc>
        <w:tc>
          <w:tcPr>
            <w:tcW w:w="1463" w:type="dxa"/>
          </w:tcPr>
          <w:p w14:paraId="13C83CDE" w14:textId="77777777" w:rsidR="007A2C38" w:rsidRPr="00623658"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623658">
              <w:rPr>
                <w:rFonts w:ascii="Times New Roman" w:hAnsi="Times New Roman" w:cs="Times New Roman"/>
                <w:sz w:val="24"/>
                <w:szCs w:val="24"/>
              </w:rPr>
              <w:t>Да, при 4 беременности</w:t>
            </w:r>
          </w:p>
        </w:tc>
        <w:tc>
          <w:tcPr>
            <w:tcW w:w="895" w:type="dxa"/>
          </w:tcPr>
          <w:p w14:paraId="03D3BC43" w14:textId="77777777" w:rsidR="007A2C38" w:rsidRPr="00623658" w:rsidRDefault="007A2C38" w:rsidP="004135FE">
            <w:pPr>
              <w:tabs>
                <w:tab w:val="center" w:pos="6278"/>
              </w:tabs>
              <w:autoSpaceDE w:val="0"/>
              <w:autoSpaceDN w:val="0"/>
              <w:adjustRightInd w:val="0"/>
              <w:spacing w:after="0" w:line="240" w:lineRule="auto"/>
              <w:jc w:val="both"/>
              <w:rPr>
                <w:rFonts w:ascii="Times New Roman" w:hAnsi="Times New Roman" w:cs="Times New Roman"/>
                <w:sz w:val="24"/>
                <w:szCs w:val="24"/>
              </w:rPr>
            </w:pPr>
            <w:r w:rsidRPr="00623658">
              <w:rPr>
                <w:rFonts w:ascii="Times New Roman" w:hAnsi="Times New Roman" w:cs="Times New Roman"/>
                <w:sz w:val="24"/>
                <w:szCs w:val="24"/>
              </w:rPr>
              <w:t>Нет</w:t>
            </w:r>
          </w:p>
        </w:tc>
        <w:tc>
          <w:tcPr>
            <w:tcW w:w="895" w:type="dxa"/>
          </w:tcPr>
          <w:p w14:paraId="6CE9FEE0" w14:textId="77777777" w:rsidR="007A2C38" w:rsidRPr="00623658" w:rsidRDefault="007A2C38" w:rsidP="004135FE">
            <w:pPr>
              <w:tabs>
                <w:tab w:val="center" w:pos="6278"/>
              </w:tabs>
              <w:autoSpaceDE w:val="0"/>
              <w:autoSpaceDN w:val="0"/>
              <w:adjustRightInd w:val="0"/>
              <w:spacing w:after="0" w:line="240" w:lineRule="auto"/>
              <w:jc w:val="both"/>
              <w:rPr>
                <w:rFonts w:ascii="Times New Roman" w:hAnsi="Times New Roman" w:cs="Times New Roman"/>
                <w:sz w:val="24"/>
                <w:szCs w:val="24"/>
              </w:rPr>
            </w:pPr>
            <w:r w:rsidRPr="00623658">
              <w:rPr>
                <w:rFonts w:ascii="Times New Roman" w:eastAsia="Times New Roman" w:hAnsi="Times New Roman" w:cs="Times New Roman"/>
                <w:sz w:val="24"/>
                <w:szCs w:val="24"/>
              </w:rPr>
              <w:t>Всего</w:t>
            </w:r>
          </w:p>
        </w:tc>
      </w:tr>
      <w:tr w:rsidR="007A2C38" w:rsidRPr="004135FE" w14:paraId="30999A51" w14:textId="77777777" w:rsidTr="004F0DE6">
        <w:tc>
          <w:tcPr>
            <w:tcW w:w="1702" w:type="dxa"/>
          </w:tcPr>
          <w:p w14:paraId="269C2AF0" w14:textId="77777777" w:rsidR="007A2C38" w:rsidRPr="00623658"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623658">
              <w:rPr>
                <w:rFonts w:ascii="Times New Roman" w:hAnsi="Times New Roman" w:cs="Times New Roman"/>
                <w:sz w:val="24"/>
                <w:szCs w:val="24"/>
              </w:rPr>
              <w:t>Боль и нарушение менструального цикла</w:t>
            </w:r>
          </w:p>
        </w:tc>
        <w:tc>
          <w:tcPr>
            <w:tcW w:w="1463" w:type="dxa"/>
            <w:vAlign w:val="center"/>
          </w:tcPr>
          <w:p w14:paraId="5027F714" w14:textId="0E171A53"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17</w:t>
            </w:r>
            <w:r w:rsidR="00623658">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(44,7%)</w:t>
            </w:r>
          </w:p>
        </w:tc>
        <w:tc>
          <w:tcPr>
            <w:tcW w:w="1463" w:type="dxa"/>
            <w:vAlign w:val="center"/>
          </w:tcPr>
          <w:p w14:paraId="283E9575" w14:textId="18CA2240"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3</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(16,7%)</w:t>
            </w:r>
          </w:p>
        </w:tc>
        <w:tc>
          <w:tcPr>
            <w:tcW w:w="1463" w:type="dxa"/>
            <w:vAlign w:val="center"/>
          </w:tcPr>
          <w:p w14:paraId="03F85F28" w14:textId="77777777"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4(44,4%)</w:t>
            </w:r>
          </w:p>
        </w:tc>
        <w:tc>
          <w:tcPr>
            <w:tcW w:w="1463" w:type="dxa"/>
            <w:vAlign w:val="center"/>
          </w:tcPr>
          <w:p w14:paraId="6A67371A" w14:textId="77777777"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0</w:t>
            </w:r>
          </w:p>
        </w:tc>
        <w:tc>
          <w:tcPr>
            <w:tcW w:w="895" w:type="dxa"/>
            <w:vAlign w:val="center"/>
          </w:tcPr>
          <w:p w14:paraId="14B9DBC8" w14:textId="1D90A9AC"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54</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w:t>
            </w:r>
            <w:r w:rsidRPr="00623658">
              <w:rPr>
                <w:rFonts w:ascii="Times New Roman" w:hAnsi="Times New Roman" w:cs="Times New Roman"/>
                <w:color w:val="000000"/>
                <w:sz w:val="24"/>
                <w:szCs w:val="24"/>
              </w:rPr>
              <w:t>25,7</w:t>
            </w:r>
            <w:r w:rsidRPr="00623658">
              <w:rPr>
                <w:rFonts w:ascii="Times New Roman" w:eastAsia="Times New Roman" w:hAnsi="Times New Roman" w:cs="Times New Roman"/>
                <w:color w:val="000000"/>
                <w:sz w:val="24"/>
                <w:szCs w:val="24"/>
              </w:rPr>
              <w:t>%)</w:t>
            </w:r>
          </w:p>
        </w:tc>
        <w:tc>
          <w:tcPr>
            <w:tcW w:w="895" w:type="dxa"/>
            <w:vAlign w:val="center"/>
          </w:tcPr>
          <w:p w14:paraId="39313A62" w14:textId="51C9FCB5"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78</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(27,9%)</w:t>
            </w:r>
          </w:p>
        </w:tc>
      </w:tr>
      <w:tr w:rsidR="007A2C38" w:rsidRPr="004135FE" w14:paraId="241563F5" w14:textId="77777777" w:rsidTr="004F0DE6">
        <w:tc>
          <w:tcPr>
            <w:tcW w:w="1702" w:type="dxa"/>
          </w:tcPr>
          <w:p w14:paraId="0FC1F1AA" w14:textId="77777777" w:rsidR="007A2C38" w:rsidRPr="00623658"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623658">
              <w:rPr>
                <w:rFonts w:ascii="Times New Roman" w:hAnsi="Times New Roman" w:cs="Times New Roman"/>
                <w:sz w:val="24"/>
                <w:szCs w:val="24"/>
              </w:rPr>
              <w:t>Воспалительные заболевания ОМТ</w:t>
            </w:r>
          </w:p>
        </w:tc>
        <w:tc>
          <w:tcPr>
            <w:tcW w:w="1463" w:type="dxa"/>
            <w:vAlign w:val="center"/>
          </w:tcPr>
          <w:p w14:paraId="1E60D13D" w14:textId="1E5E4CFA"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4</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(10,5%)</w:t>
            </w:r>
          </w:p>
        </w:tc>
        <w:tc>
          <w:tcPr>
            <w:tcW w:w="1463" w:type="dxa"/>
            <w:vAlign w:val="center"/>
          </w:tcPr>
          <w:p w14:paraId="0347D9C5" w14:textId="22BBC6E6"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5</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(27,8%)</w:t>
            </w:r>
          </w:p>
        </w:tc>
        <w:tc>
          <w:tcPr>
            <w:tcW w:w="1463" w:type="dxa"/>
            <w:vAlign w:val="center"/>
          </w:tcPr>
          <w:p w14:paraId="767A0E6A" w14:textId="239C8C0F"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1</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(11,1%)</w:t>
            </w:r>
          </w:p>
        </w:tc>
        <w:tc>
          <w:tcPr>
            <w:tcW w:w="1463" w:type="dxa"/>
            <w:vAlign w:val="center"/>
          </w:tcPr>
          <w:p w14:paraId="4387ED06" w14:textId="6AADAB96"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1</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(20%)</w:t>
            </w:r>
          </w:p>
        </w:tc>
        <w:tc>
          <w:tcPr>
            <w:tcW w:w="895" w:type="dxa"/>
            <w:vAlign w:val="center"/>
          </w:tcPr>
          <w:p w14:paraId="509CDAF7" w14:textId="41AC709E"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38</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w:t>
            </w:r>
            <w:r w:rsidRPr="00623658">
              <w:rPr>
                <w:rFonts w:ascii="Times New Roman" w:hAnsi="Times New Roman" w:cs="Times New Roman"/>
                <w:color w:val="000000"/>
                <w:sz w:val="24"/>
                <w:szCs w:val="24"/>
              </w:rPr>
              <w:t>18,1</w:t>
            </w:r>
            <w:r w:rsidRPr="00623658">
              <w:rPr>
                <w:rFonts w:ascii="Times New Roman" w:eastAsia="Times New Roman" w:hAnsi="Times New Roman" w:cs="Times New Roman"/>
                <w:color w:val="000000"/>
                <w:sz w:val="24"/>
                <w:szCs w:val="24"/>
              </w:rPr>
              <w:t>%)</w:t>
            </w:r>
          </w:p>
        </w:tc>
        <w:tc>
          <w:tcPr>
            <w:tcW w:w="895" w:type="dxa"/>
            <w:vAlign w:val="center"/>
          </w:tcPr>
          <w:p w14:paraId="2C892321" w14:textId="4CF081B2"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49</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(17,5%)</w:t>
            </w:r>
          </w:p>
        </w:tc>
      </w:tr>
      <w:tr w:rsidR="007A2C38" w:rsidRPr="004135FE" w14:paraId="3827170C" w14:textId="77777777" w:rsidTr="004F0DE6">
        <w:tc>
          <w:tcPr>
            <w:tcW w:w="1702" w:type="dxa"/>
          </w:tcPr>
          <w:p w14:paraId="63A885F8" w14:textId="77777777" w:rsidR="007A2C38" w:rsidRPr="00623658"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623658">
              <w:rPr>
                <w:rFonts w:ascii="Times New Roman" w:hAnsi="Times New Roman" w:cs="Times New Roman"/>
                <w:sz w:val="24"/>
                <w:szCs w:val="24"/>
              </w:rPr>
              <w:t>Желание сделать аборт</w:t>
            </w:r>
          </w:p>
        </w:tc>
        <w:tc>
          <w:tcPr>
            <w:tcW w:w="1463" w:type="dxa"/>
            <w:vAlign w:val="center"/>
          </w:tcPr>
          <w:p w14:paraId="53285E5F" w14:textId="29005B88"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2</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(5,3%)</w:t>
            </w:r>
          </w:p>
        </w:tc>
        <w:tc>
          <w:tcPr>
            <w:tcW w:w="1463" w:type="dxa"/>
            <w:vAlign w:val="center"/>
          </w:tcPr>
          <w:p w14:paraId="4EB95633" w14:textId="47B5EAE0"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1</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(5,6%)</w:t>
            </w:r>
          </w:p>
        </w:tc>
        <w:tc>
          <w:tcPr>
            <w:tcW w:w="1463" w:type="dxa"/>
            <w:vAlign w:val="center"/>
          </w:tcPr>
          <w:p w14:paraId="372CCDC0" w14:textId="77777777"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0</w:t>
            </w:r>
          </w:p>
        </w:tc>
        <w:tc>
          <w:tcPr>
            <w:tcW w:w="1463" w:type="dxa"/>
            <w:vAlign w:val="center"/>
          </w:tcPr>
          <w:p w14:paraId="4CDE15D1" w14:textId="1CC5C89B"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3</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(60%)</w:t>
            </w:r>
          </w:p>
        </w:tc>
        <w:tc>
          <w:tcPr>
            <w:tcW w:w="895" w:type="dxa"/>
            <w:vAlign w:val="center"/>
          </w:tcPr>
          <w:p w14:paraId="7EF7CF4F" w14:textId="50064D06"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7</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w:t>
            </w:r>
            <w:r w:rsidRPr="00623658">
              <w:rPr>
                <w:rFonts w:ascii="Times New Roman" w:hAnsi="Times New Roman" w:cs="Times New Roman"/>
                <w:color w:val="000000"/>
                <w:sz w:val="24"/>
                <w:szCs w:val="24"/>
              </w:rPr>
              <w:t>3,3</w:t>
            </w:r>
            <w:r w:rsidRPr="00623658">
              <w:rPr>
                <w:rFonts w:ascii="Times New Roman" w:eastAsia="Times New Roman" w:hAnsi="Times New Roman" w:cs="Times New Roman"/>
                <w:color w:val="000000"/>
                <w:sz w:val="24"/>
                <w:szCs w:val="24"/>
              </w:rPr>
              <w:t>%)</w:t>
            </w:r>
          </w:p>
        </w:tc>
        <w:tc>
          <w:tcPr>
            <w:tcW w:w="895" w:type="dxa"/>
            <w:vAlign w:val="center"/>
          </w:tcPr>
          <w:p w14:paraId="03D9087B" w14:textId="0F6926E8"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13</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(4,6%)</w:t>
            </w:r>
          </w:p>
        </w:tc>
      </w:tr>
      <w:tr w:rsidR="007A2C38" w:rsidRPr="004135FE" w14:paraId="10283562" w14:textId="77777777" w:rsidTr="004F0DE6">
        <w:tc>
          <w:tcPr>
            <w:tcW w:w="1702" w:type="dxa"/>
          </w:tcPr>
          <w:p w14:paraId="4EAC0252" w14:textId="77777777" w:rsidR="007A2C38" w:rsidRPr="00623658"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623658">
              <w:rPr>
                <w:rFonts w:ascii="Times New Roman" w:hAnsi="Times New Roman" w:cs="Times New Roman"/>
                <w:sz w:val="24"/>
                <w:szCs w:val="24"/>
              </w:rPr>
              <w:t>За советом перед вступлением половой контакт в браке</w:t>
            </w:r>
          </w:p>
        </w:tc>
        <w:tc>
          <w:tcPr>
            <w:tcW w:w="1463" w:type="dxa"/>
            <w:vAlign w:val="center"/>
          </w:tcPr>
          <w:p w14:paraId="37E1F143" w14:textId="0DC4472D"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1</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(2,6%)</w:t>
            </w:r>
          </w:p>
        </w:tc>
        <w:tc>
          <w:tcPr>
            <w:tcW w:w="1463" w:type="dxa"/>
            <w:vAlign w:val="center"/>
          </w:tcPr>
          <w:p w14:paraId="71F15946" w14:textId="3DEB49DD"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5</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(27,8%)</w:t>
            </w:r>
          </w:p>
        </w:tc>
        <w:tc>
          <w:tcPr>
            <w:tcW w:w="1463" w:type="dxa"/>
            <w:vAlign w:val="center"/>
          </w:tcPr>
          <w:p w14:paraId="52FACCA3" w14:textId="067D65D3"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2</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(22,2%)</w:t>
            </w:r>
          </w:p>
        </w:tc>
        <w:tc>
          <w:tcPr>
            <w:tcW w:w="1463" w:type="dxa"/>
            <w:vAlign w:val="center"/>
          </w:tcPr>
          <w:p w14:paraId="7A896CF1" w14:textId="77777777"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0</w:t>
            </w:r>
          </w:p>
        </w:tc>
        <w:tc>
          <w:tcPr>
            <w:tcW w:w="895" w:type="dxa"/>
            <w:vAlign w:val="center"/>
          </w:tcPr>
          <w:p w14:paraId="052550B1" w14:textId="13B80E85"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24</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w:t>
            </w:r>
            <w:r w:rsidRPr="00623658">
              <w:rPr>
                <w:rFonts w:ascii="Times New Roman" w:hAnsi="Times New Roman" w:cs="Times New Roman"/>
                <w:color w:val="000000"/>
                <w:sz w:val="24"/>
                <w:szCs w:val="24"/>
              </w:rPr>
              <w:t>11,4</w:t>
            </w:r>
            <w:r w:rsidRPr="00623658">
              <w:rPr>
                <w:rFonts w:ascii="Times New Roman" w:eastAsia="Times New Roman" w:hAnsi="Times New Roman" w:cs="Times New Roman"/>
                <w:color w:val="000000"/>
                <w:sz w:val="24"/>
                <w:szCs w:val="24"/>
              </w:rPr>
              <w:t>%)</w:t>
            </w:r>
          </w:p>
        </w:tc>
        <w:tc>
          <w:tcPr>
            <w:tcW w:w="895" w:type="dxa"/>
            <w:vAlign w:val="center"/>
          </w:tcPr>
          <w:p w14:paraId="03954296" w14:textId="1711C701"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32</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(11,4%)</w:t>
            </w:r>
          </w:p>
        </w:tc>
      </w:tr>
      <w:tr w:rsidR="007A2C38" w:rsidRPr="004135FE" w14:paraId="75D2AC92" w14:textId="77777777" w:rsidTr="004F0DE6">
        <w:tc>
          <w:tcPr>
            <w:tcW w:w="1702" w:type="dxa"/>
          </w:tcPr>
          <w:p w14:paraId="7194AF9D" w14:textId="77777777" w:rsidR="007A2C38" w:rsidRPr="00623658"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623658">
              <w:rPr>
                <w:rFonts w:ascii="Times New Roman" w:hAnsi="Times New Roman" w:cs="Times New Roman"/>
                <w:sz w:val="24"/>
                <w:szCs w:val="24"/>
              </w:rPr>
              <w:t>Консультация по контрацептивам</w:t>
            </w:r>
          </w:p>
        </w:tc>
        <w:tc>
          <w:tcPr>
            <w:tcW w:w="1463" w:type="dxa"/>
            <w:vAlign w:val="center"/>
          </w:tcPr>
          <w:p w14:paraId="70221105" w14:textId="2BCE4A6D"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9</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(23,7%)</w:t>
            </w:r>
          </w:p>
        </w:tc>
        <w:tc>
          <w:tcPr>
            <w:tcW w:w="1463" w:type="dxa"/>
            <w:vAlign w:val="center"/>
          </w:tcPr>
          <w:p w14:paraId="65F3D7BD" w14:textId="1BCD3DF3"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2</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(11,1%)</w:t>
            </w:r>
          </w:p>
        </w:tc>
        <w:tc>
          <w:tcPr>
            <w:tcW w:w="1463" w:type="dxa"/>
            <w:vAlign w:val="center"/>
          </w:tcPr>
          <w:p w14:paraId="56A84F4A" w14:textId="3F28D056"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2</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(22,2%)</w:t>
            </w:r>
          </w:p>
        </w:tc>
        <w:tc>
          <w:tcPr>
            <w:tcW w:w="1463" w:type="dxa"/>
            <w:vAlign w:val="center"/>
          </w:tcPr>
          <w:p w14:paraId="11F6BDBA" w14:textId="3EF103BA"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1</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(20%)</w:t>
            </w:r>
          </w:p>
        </w:tc>
        <w:tc>
          <w:tcPr>
            <w:tcW w:w="895" w:type="dxa"/>
            <w:vAlign w:val="center"/>
          </w:tcPr>
          <w:p w14:paraId="41D93501" w14:textId="200C3E2B"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26</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w:t>
            </w:r>
            <w:r w:rsidRPr="00623658">
              <w:rPr>
                <w:rFonts w:ascii="Times New Roman" w:hAnsi="Times New Roman" w:cs="Times New Roman"/>
                <w:color w:val="000000"/>
                <w:sz w:val="24"/>
                <w:szCs w:val="24"/>
              </w:rPr>
              <w:t>12,4</w:t>
            </w:r>
            <w:r w:rsidRPr="00623658">
              <w:rPr>
                <w:rFonts w:ascii="Times New Roman" w:eastAsia="Times New Roman" w:hAnsi="Times New Roman" w:cs="Times New Roman"/>
                <w:color w:val="000000"/>
                <w:sz w:val="24"/>
                <w:szCs w:val="24"/>
              </w:rPr>
              <w:t>%)</w:t>
            </w:r>
          </w:p>
        </w:tc>
        <w:tc>
          <w:tcPr>
            <w:tcW w:w="895" w:type="dxa"/>
            <w:vAlign w:val="center"/>
          </w:tcPr>
          <w:p w14:paraId="44D33630" w14:textId="10B9B212"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40</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(14,3%)</w:t>
            </w:r>
          </w:p>
        </w:tc>
      </w:tr>
      <w:tr w:rsidR="007A2C38" w:rsidRPr="004135FE" w14:paraId="53AF4FBD" w14:textId="77777777" w:rsidTr="004F0DE6">
        <w:tc>
          <w:tcPr>
            <w:tcW w:w="1702" w:type="dxa"/>
          </w:tcPr>
          <w:p w14:paraId="2E3354C7" w14:textId="77777777" w:rsidR="007A2C38" w:rsidRPr="00623658"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623658">
              <w:rPr>
                <w:rFonts w:ascii="Times New Roman" w:hAnsi="Times New Roman" w:cs="Times New Roman"/>
                <w:sz w:val="24"/>
                <w:szCs w:val="24"/>
              </w:rPr>
              <w:t>Другое</w:t>
            </w:r>
          </w:p>
        </w:tc>
        <w:tc>
          <w:tcPr>
            <w:tcW w:w="1463" w:type="dxa"/>
            <w:vAlign w:val="center"/>
          </w:tcPr>
          <w:p w14:paraId="024813F7" w14:textId="240A0573"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5</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(13,2%)</w:t>
            </w:r>
          </w:p>
        </w:tc>
        <w:tc>
          <w:tcPr>
            <w:tcW w:w="1463" w:type="dxa"/>
            <w:vAlign w:val="center"/>
          </w:tcPr>
          <w:p w14:paraId="22328AA7" w14:textId="2F7FDC0E"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2</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(11,1%)</w:t>
            </w:r>
          </w:p>
        </w:tc>
        <w:tc>
          <w:tcPr>
            <w:tcW w:w="1463" w:type="dxa"/>
            <w:vAlign w:val="center"/>
          </w:tcPr>
          <w:p w14:paraId="07FDEAB0" w14:textId="77777777"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0</w:t>
            </w:r>
          </w:p>
        </w:tc>
        <w:tc>
          <w:tcPr>
            <w:tcW w:w="1463" w:type="dxa"/>
            <w:vAlign w:val="center"/>
          </w:tcPr>
          <w:p w14:paraId="33210707" w14:textId="77777777"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0</w:t>
            </w:r>
          </w:p>
        </w:tc>
        <w:tc>
          <w:tcPr>
            <w:tcW w:w="895" w:type="dxa"/>
            <w:vAlign w:val="center"/>
          </w:tcPr>
          <w:p w14:paraId="15176E03" w14:textId="5729BF4E"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61</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w:t>
            </w:r>
            <w:r w:rsidRPr="00623658">
              <w:rPr>
                <w:rFonts w:ascii="Times New Roman" w:hAnsi="Times New Roman" w:cs="Times New Roman"/>
                <w:color w:val="000000"/>
                <w:sz w:val="24"/>
                <w:szCs w:val="24"/>
              </w:rPr>
              <w:t>29,0</w:t>
            </w:r>
            <w:r w:rsidRPr="00623658">
              <w:rPr>
                <w:rFonts w:ascii="Times New Roman" w:eastAsia="Times New Roman" w:hAnsi="Times New Roman" w:cs="Times New Roman"/>
                <w:color w:val="000000"/>
                <w:sz w:val="24"/>
                <w:szCs w:val="24"/>
              </w:rPr>
              <w:t>%)</w:t>
            </w:r>
          </w:p>
        </w:tc>
        <w:tc>
          <w:tcPr>
            <w:tcW w:w="895" w:type="dxa"/>
            <w:vAlign w:val="center"/>
          </w:tcPr>
          <w:p w14:paraId="3EE43418" w14:textId="779CF258"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68</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(24,3%)</w:t>
            </w:r>
          </w:p>
        </w:tc>
      </w:tr>
      <w:tr w:rsidR="007A2C38" w:rsidRPr="004135FE" w14:paraId="400A43C2" w14:textId="77777777" w:rsidTr="004F0DE6">
        <w:tc>
          <w:tcPr>
            <w:tcW w:w="1702" w:type="dxa"/>
          </w:tcPr>
          <w:p w14:paraId="0792E965" w14:textId="77777777" w:rsidR="007A2C38" w:rsidRPr="00623658"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623658">
              <w:rPr>
                <w:rFonts w:ascii="Times New Roman" w:hAnsi="Times New Roman" w:cs="Times New Roman"/>
                <w:sz w:val="24"/>
                <w:szCs w:val="24"/>
              </w:rPr>
              <w:t>Итого</w:t>
            </w:r>
          </w:p>
        </w:tc>
        <w:tc>
          <w:tcPr>
            <w:tcW w:w="1463" w:type="dxa"/>
            <w:vAlign w:val="center"/>
          </w:tcPr>
          <w:p w14:paraId="2A10721A" w14:textId="5B0A0018"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38</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(100%)</w:t>
            </w:r>
          </w:p>
        </w:tc>
        <w:tc>
          <w:tcPr>
            <w:tcW w:w="1463" w:type="dxa"/>
            <w:vAlign w:val="center"/>
          </w:tcPr>
          <w:p w14:paraId="53F621F1" w14:textId="41348357"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18</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(100%)</w:t>
            </w:r>
          </w:p>
        </w:tc>
        <w:tc>
          <w:tcPr>
            <w:tcW w:w="1463" w:type="dxa"/>
            <w:vAlign w:val="center"/>
          </w:tcPr>
          <w:p w14:paraId="2480F3DE" w14:textId="29B288BD"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9</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(100%)</w:t>
            </w:r>
          </w:p>
        </w:tc>
        <w:tc>
          <w:tcPr>
            <w:tcW w:w="1463" w:type="dxa"/>
            <w:vAlign w:val="center"/>
          </w:tcPr>
          <w:p w14:paraId="021852E9" w14:textId="77777777"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5(100%)</w:t>
            </w:r>
          </w:p>
        </w:tc>
        <w:tc>
          <w:tcPr>
            <w:tcW w:w="895" w:type="dxa"/>
            <w:vAlign w:val="center"/>
          </w:tcPr>
          <w:p w14:paraId="7A315E27" w14:textId="169F81CA"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210</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(100%)</w:t>
            </w:r>
          </w:p>
        </w:tc>
        <w:tc>
          <w:tcPr>
            <w:tcW w:w="895" w:type="dxa"/>
            <w:vAlign w:val="center"/>
          </w:tcPr>
          <w:p w14:paraId="52F5F023" w14:textId="0042EC6B" w:rsidR="007A2C38" w:rsidRPr="00623658" w:rsidRDefault="007A2C38" w:rsidP="004135FE">
            <w:pPr>
              <w:spacing w:after="0" w:line="240" w:lineRule="auto"/>
              <w:jc w:val="center"/>
              <w:rPr>
                <w:rFonts w:ascii="Times New Roman" w:eastAsia="Times New Roman" w:hAnsi="Times New Roman" w:cs="Times New Roman"/>
                <w:color w:val="000000"/>
                <w:sz w:val="24"/>
                <w:szCs w:val="24"/>
              </w:rPr>
            </w:pPr>
            <w:r w:rsidRPr="00623658">
              <w:rPr>
                <w:rFonts w:ascii="Times New Roman" w:eastAsia="Times New Roman" w:hAnsi="Times New Roman" w:cs="Times New Roman"/>
                <w:color w:val="000000"/>
                <w:sz w:val="24"/>
                <w:szCs w:val="24"/>
              </w:rPr>
              <w:t>280</w:t>
            </w:r>
            <w:r w:rsidR="004F0DE6">
              <w:rPr>
                <w:rFonts w:ascii="Times New Roman" w:eastAsia="Times New Roman" w:hAnsi="Times New Roman" w:cs="Times New Roman"/>
                <w:color w:val="000000"/>
                <w:sz w:val="24"/>
                <w:szCs w:val="24"/>
              </w:rPr>
              <w:t xml:space="preserve"> </w:t>
            </w:r>
            <w:r w:rsidRPr="00623658">
              <w:rPr>
                <w:rFonts w:ascii="Times New Roman" w:eastAsia="Times New Roman" w:hAnsi="Times New Roman" w:cs="Times New Roman"/>
                <w:color w:val="000000"/>
                <w:sz w:val="24"/>
                <w:szCs w:val="24"/>
              </w:rPr>
              <w:t>(100%)</w:t>
            </w:r>
          </w:p>
        </w:tc>
      </w:tr>
      <w:tr w:rsidR="007A2C38" w:rsidRPr="004135FE" w14:paraId="35E1A28A" w14:textId="77777777" w:rsidTr="004F0DE6">
        <w:tc>
          <w:tcPr>
            <w:tcW w:w="1702" w:type="dxa"/>
          </w:tcPr>
          <w:p w14:paraId="64D64988" w14:textId="77777777" w:rsidR="007A2C38" w:rsidRPr="00623658"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623658">
              <w:rPr>
                <w:rFonts w:ascii="Times New Roman" w:eastAsia="Times New Roman" w:hAnsi="Times New Roman" w:cs="Times New Roman"/>
                <w:sz w:val="24"/>
                <w:szCs w:val="24"/>
                <w:lang w:val="en-US"/>
              </w:rPr>
              <w:t>p</w:t>
            </w:r>
            <w:r w:rsidRPr="00623658">
              <w:rPr>
                <w:rFonts w:ascii="Times New Roman" w:eastAsia="Times New Roman" w:hAnsi="Times New Roman" w:cs="Times New Roman"/>
                <w:sz w:val="24"/>
                <w:szCs w:val="24"/>
              </w:rPr>
              <w:t>-</w:t>
            </w:r>
            <w:r w:rsidRPr="00623658">
              <w:rPr>
                <w:rFonts w:ascii="Times New Roman" w:eastAsia="Times New Roman" w:hAnsi="Times New Roman" w:cs="Times New Roman"/>
                <w:sz w:val="24"/>
                <w:szCs w:val="24"/>
                <w:lang w:val="en-US"/>
              </w:rPr>
              <w:t>value</w:t>
            </w:r>
          </w:p>
        </w:tc>
        <w:tc>
          <w:tcPr>
            <w:tcW w:w="1463" w:type="dxa"/>
          </w:tcPr>
          <w:p w14:paraId="0BCFE15E" w14:textId="77777777" w:rsidR="007A2C38" w:rsidRPr="00623658" w:rsidRDefault="007A2C38" w:rsidP="004135FE">
            <w:pPr>
              <w:autoSpaceDE w:val="0"/>
              <w:autoSpaceDN w:val="0"/>
              <w:adjustRightInd w:val="0"/>
              <w:spacing w:after="0" w:line="240" w:lineRule="auto"/>
              <w:jc w:val="center"/>
              <w:rPr>
                <w:rFonts w:ascii="Times New Roman" w:hAnsi="Times New Roman" w:cs="Times New Roman"/>
                <w:sz w:val="24"/>
                <w:szCs w:val="24"/>
              </w:rPr>
            </w:pPr>
            <w:r w:rsidRPr="00623658">
              <w:rPr>
                <w:rFonts w:ascii="Times New Roman" w:hAnsi="Times New Roman" w:cs="Times New Roman"/>
                <w:sz w:val="24"/>
                <w:szCs w:val="24"/>
              </w:rPr>
              <w:t>0,005</w:t>
            </w:r>
          </w:p>
        </w:tc>
        <w:tc>
          <w:tcPr>
            <w:tcW w:w="1463" w:type="dxa"/>
          </w:tcPr>
          <w:p w14:paraId="41058966" w14:textId="31EC289A" w:rsidR="007A2C38" w:rsidRPr="00623658" w:rsidRDefault="004F0DE6" w:rsidP="004135F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63" w:type="dxa"/>
          </w:tcPr>
          <w:p w14:paraId="0C74D504" w14:textId="4BDE7584" w:rsidR="007A2C38" w:rsidRPr="00623658" w:rsidRDefault="004F0DE6" w:rsidP="004135F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63" w:type="dxa"/>
          </w:tcPr>
          <w:p w14:paraId="791CAE73" w14:textId="304F3424" w:rsidR="007A2C38" w:rsidRPr="00623658" w:rsidRDefault="004F0DE6" w:rsidP="004135F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95" w:type="dxa"/>
          </w:tcPr>
          <w:p w14:paraId="5C5D743A" w14:textId="69900984" w:rsidR="007A2C38" w:rsidRPr="00623658" w:rsidRDefault="004F0DE6" w:rsidP="004135F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95" w:type="dxa"/>
          </w:tcPr>
          <w:p w14:paraId="0840B80E" w14:textId="55C9EEE2" w:rsidR="007A2C38" w:rsidRPr="00623658" w:rsidRDefault="004F0DE6" w:rsidP="004135F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bl>
    <w:p w14:paraId="2C255D7A" w14:textId="77777777" w:rsidR="007A2C38" w:rsidRPr="004135FE" w:rsidRDefault="007A2C38" w:rsidP="004135FE">
      <w:pPr>
        <w:tabs>
          <w:tab w:val="center" w:pos="6278"/>
        </w:tabs>
        <w:autoSpaceDE w:val="0"/>
        <w:autoSpaceDN w:val="0"/>
        <w:adjustRightInd w:val="0"/>
        <w:spacing w:after="0" w:line="240" w:lineRule="auto"/>
        <w:jc w:val="both"/>
        <w:rPr>
          <w:rFonts w:ascii="Times New Roman" w:hAnsi="Times New Roman" w:cs="Times New Roman"/>
          <w:sz w:val="28"/>
          <w:szCs w:val="28"/>
        </w:rPr>
      </w:pPr>
    </w:p>
    <w:p w14:paraId="307FE6E4" w14:textId="77777777" w:rsidR="007A2C38" w:rsidRPr="004135FE" w:rsidRDefault="007A2C38" w:rsidP="004135FE">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  До первой беременности 79,2% - пациентам и 42,9% - пациентам до третьей беременности поставлен диагноз «Сахарный диабет 2 типа» и только у 56,4% - пациентов не был диагностирован диабет и у всех все дети живорожденные, с весом до 3,9 кг. 66,7% - пациентам до второй беременности, 50,0% - пациентам до четвертой беременности ставили диагноз СД2т, у них дети родились живыми, с весом от 4 кг до 4,5кг. До четвертой беременности подтвердили диагноз СД2т у 50,0% - пациентов и у них все дети живорожденные, с весом от 4,6 кг до 5кг. До третьей беременности у 14,3% - пациентов диагностировали диагноз диабет и у данных пациентов все дети живорожденные, с весом от 5,1 кг. У 28,6% - пациентов до третьей беременности установлен СД2т и в 23,7% случаях не был подтвержден диагноз и исход беременности у пациентов не все дети были живорожденными в связи с осложнениями состояния здоровья. </w:t>
      </w:r>
      <w:r w:rsidRPr="004135FE">
        <w:rPr>
          <w:rFonts w:ascii="Times New Roman" w:hAnsi="Times New Roman" w:cs="Times New Roman"/>
          <w:bCs/>
          <w:sz w:val="28"/>
          <w:szCs w:val="28"/>
        </w:rPr>
        <w:t xml:space="preserve">Различия между сравниваемыми группами высоко достоверны </w:t>
      </w:r>
      <w:r w:rsidRPr="004135FE">
        <w:rPr>
          <w:rFonts w:ascii="Times New Roman" w:hAnsi="Times New Roman" w:cs="Times New Roman"/>
          <w:sz w:val="28"/>
          <w:szCs w:val="28"/>
        </w:rPr>
        <w:t>(χ2=42,866, df=16, p=0,0001).</w:t>
      </w:r>
    </w:p>
    <w:p w14:paraId="35C97CF0" w14:textId="77777777" w:rsidR="007A2C38" w:rsidRPr="004135FE" w:rsidRDefault="007A2C38" w:rsidP="004135FE">
      <w:pPr>
        <w:tabs>
          <w:tab w:val="center" w:pos="6278"/>
        </w:tabs>
        <w:autoSpaceDE w:val="0"/>
        <w:autoSpaceDN w:val="0"/>
        <w:adjustRightInd w:val="0"/>
        <w:spacing w:after="0" w:line="240" w:lineRule="auto"/>
        <w:ind w:firstLine="567"/>
        <w:jc w:val="both"/>
        <w:rPr>
          <w:rFonts w:ascii="Times New Roman" w:hAnsi="Times New Roman" w:cs="Times New Roman"/>
          <w:sz w:val="28"/>
          <w:szCs w:val="28"/>
        </w:rPr>
      </w:pPr>
      <w:r w:rsidRPr="004135FE">
        <w:rPr>
          <w:rFonts w:ascii="Times New Roman" w:hAnsi="Times New Roman" w:cs="Times New Roman"/>
          <w:b/>
          <w:bCs/>
          <w:sz w:val="28"/>
          <w:szCs w:val="28"/>
        </w:rPr>
        <w:tab/>
      </w:r>
      <w:r w:rsidRPr="004135FE">
        <w:rPr>
          <w:rFonts w:ascii="Times New Roman" w:hAnsi="Times New Roman" w:cs="Times New Roman"/>
          <w:b/>
          <w:bCs/>
          <w:sz w:val="28"/>
          <w:szCs w:val="28"/>
        </w:rPr>
        <w:br w:type="textWrapping" w:clear="all"/>
      </w:r>
      <w:r w:rsidRPr="004135FE">
        <w:rPr>
          <w:rFonts w:ascii="Times New Roman" w:hAnsi="Times New Roman" w:cs="Times New Roman"/>
          <w:noProof/>
          <w:sz w:val="28"/>
          <w:szCs w:val="28"/>
        </w:rPr>
        <w:drawing>
          <wp:inline distT="0" distB="0" distL="0" distR="0" wp14:anchorId="7798F3AA" wp14:editId="1BFF1C8D">
            <wp:extent cx="5876925" cy="2581275"/>
            <wp:effectExtent l="0" t="0" r="0" b="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64089059" w14:textId="77777777" w:rsidR="004F0DE6" w:rsidRDefault="004F0DE6" w:rsidP="004F0DE6">
      <w:pPr>
        <w:tabs>
          <w:tab w:val="center" w:pos="2880"/>
        </w:tabs>
        <w:autoSpaceDE w:val="0"/>
        <w:autoSpaceDN w:val="0"/>
        <w:adjustRightInd w:val="0"/>
        <w:spacing w:after="0" w:line="240" w:lineRule="auto"/>
        <w:jc w:val="center"/>
        <w:rPr>
          <w:rFonts w:ascii="Times New Roman" w:hAnsi="Times New Roman" w:cs="Times New Roman"/>
          <w:bCs/>
          <w:sz w:val="28"/>
          <w:szCs w:val="28"/>
        </w:rPr>
      </w:pPr>
    </w:p>
    <w:p w14:paraId="0DCAE14D" w14:textId="79C3B520" w:rsidR="007A2C38" w:rsidRPr="004135FE" w:rsidRDefault="007A2C38" w:rsidP="004F0DE6">
      <w:pPr>
        <w:tabs>
          <w:tab w:val="center" w:pos="2880"/>
        </w:tabs>
        <w:autoSpaceDE w:val="0"/>
        <w:autoSpaceDN w:val="0"/>
        <w:adjustRightInd w:val="0"/>
        <w:spacing w:after="0" w:line="240" w:lineRule="auto"/>
        <w:jc w:val="center"/>
        <w:rPr>
          <w:rFonts w:ascii="Times New Roman" w:hAnsi="Times New Roman" w:cs="Times New Roman"/>
          <w:b/>
          <w:bCs/>
          <w:sz w:val="28"/>
          <w:szCs w:val="28"/>
        </w:rPr>
      </w:pPr>
      <w:r w:rsidRPr="004135FE">
        <w:rPr>
          <w:rFonts w:ascii="Times New Roman" w:hAnsi="Times New Roman" w:cs="Times New Roman"/>
          <w:bCs/>
          <w:sz w:val="28"/>
          <w:szCs w:val="28"/>
        </w:rPr>
        <w:t>Рисунок 48 – Наличие диагноза СД2тип до беременности и исход беременности</w:t>
      </w:r>
    </w:p>
    <w:p w14:paraId="3B31FFD8"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bCs/>
          <w:sz w:val="28"/>
          <w:szCs w:val="28"/>
        </w:rPr>
      </w:pPr>
    </w:p>
    <w:p w14:paraId="0830D624"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Среди пациентов с СД2т совершавший аборт, в 57,1% случаях послужила уровень семейного взаимоотношения. В</w:t>
      </w:r>
      <w:r w:rsidRPr="004135FE">
        <w:rPr>
          <w:rFonts w:ascii="Times New Roman" w:hAnsi="Times New Roman" w:cs="Times New Roman"/>
          <w:bCs/>
          <w:sz w:val="28"/>
          <w:szCs w:val="28"/>
        </w:rPr>
        <w:t>лияние семейного положения пациента с СД 2 типа</w:t>
      </w:r>
      <w:r w:rsidRPr="004135FE">
        <w:rPr>
          <w:rFonts w:ascii="Times New Roman" w:hAnsi="Times New Roman" w:cs="Times New Roman"/>
          <w:sz w:val="28"/>
          <w:szCs w:val="28"/>
        </w:rPr>
        <w:t xml:space="preserve"> на </w:t>
      </w:r>
      <w:r w:rsidRPr="004135FE">
        <w:rPr>
          <w:rFonts w:ascii="Times New Roman" w:hAnsi="Times New Roman" w:cs="Times New Roman"/>
          <w:bCs/>
          <w:sz w:val="28"/>
          <w:szCs w:val="28"/>
        </w:rPr>
        <w:t xml:space="preserve">причины аборта так же является социальной проблемой. </w:t>
      </w:r>
      <w:r w:rsidRPr="004135FE">
        <w:rPr>
          <w:rFonts w:ascii="Times New Roman" w:hAnsi="Times New Roman" w:cs="Times New Roman"/>
          <w:sz w:val="28"/>
          <w:szCs w:val="28"/>
        </w:rPr>
        <w:t xml:space="preserve">У состоящих в официальном браке </w:t>
      </w:r>
      <w:r w:rsidRPr="004135FE">
        <w:rPr>
          <w:rFonts w:ascii="Times New Roman" w:hAnsi="Times New Roman" w:cs="Times New Roman"/>
          <w:bCs/>
          <w:sz w:val="28"/>
          <w:szCs w:val="28"/>
        </w:rPr>
        <w:t>в 37,05% случаях и в других отношениях в 42,08% не было аборта (р=0,011). В большинстве случаев среди женщин с СД2т, п</w:t>
      </w:r>
      <w:r w:rsidRPr="004135FE">
        <w:rPr>
          <w:rFonts w:ascii="Times New Roman" w:hAnsi="Times New Roman" w:cs="Times New Roman"/>
          <w:sz w:val="28"/>
          <w:szCs w:val="28"/>
        </w:rPr>
        <w:t xml:space="preserve">ричиной аборта послужило состояние здоровья, как </w:t>
      </w:r>
      <w:r w:rsidRPr="004135FE">
        <w:rPr>
          <w:rFonts w:ascii="Times New Roman" w:eastAsia="Times New Roman" w:hAnsi="Times New Roman" w:cs="Times New Roman"/>
          <w:sz w:val="28"/>
          <w:szCs w:val="28"/>
        </w:rPr>
        <w:t>у семейных 6,12% случаях, так и состоящих в других отношениях 6,44%.</w:t>
      </w:r>
      <w:r w:rsidRPr="004135FE">
        <w:rPr>
          <w:rFonts w:ascii="Times New Roman" w:hAnsi="Times New Roman" w:cs="Times New Roman"/>
          <w:sz w:val="28"/>
          <w:szCs w:val="28"/>
        </w:rPr>
        <w:t xml:space="preserve"> Все остальные причины были материальные и социально-бытовые, которые могли корригироваться с помощью психосоциальной поддержки. Основные из них, среди семейных в </w:t>
      </w:r>
      <w:r w:rsidRPr="004135FE">
        <w:rPr>
          <w:rFonts w:ascii="Times New Roman" w:eastAsia="Times New Roman" w:hAnsi="Times New Roman" w:cs="Times New Roman"/>
          <w:sz w:val="28"/>
          <w:szCs w:val="28"/>
        </w:rPr>
        <w:t>5,40% случаях</w:t>
      </w:r>
      <w:r w:rsidRPr="004135FE">
        <w:rPr>
          <w:rFonts w:ascii="Times New Roman" w:hAnsi="Times New Roman" w:cs="Times New Roman"/>
          <w:sz w:val="28"/>
          <w:szCs w:val="28"/>
        </w:rPr>
        <w:t xml:space="preserve"> неудовлетворительное материальное положение, </w:t>
      </w:r>
      <w:r w:rsidRPr="004135FE">
        <w:rPr>
          <w:rFonts w:ascii="Times New Roman" w:eastAsia="Times New Roman" w:hAnsi="Times New Roman" w:cs="Times New Roman"/>
          <w:sz w:val="28"/>
          <w:szCs w:val="28"/>
        </w:rPr>
        <w:t xml:space="preserve">2,88% </w:t>
      </w:r>
      <w:r w:rsidRPr="004135FE">
        <w:rPr>
          <w:rFonts w:ascii="Times New Roman" w:hAnsi="Times New Roman" w:cs="Times New Roman"/>
          <w:sz w:val="28"/>
          <w:szCs w:val="28"/>
        </w:rPr>
        <w:t>семейные взаимоотношения и среди женщин, состоящих в других отношениях 4,95% и 2,97%.</w:t>
      </w:r>
    </w:p>
    <w:p w14:paraId="5493E04B" w14:textId="631A0ACA" w:rsidR="007A2C38" w:rsidRPr="004135FE" w:rsidRDefault="007A2C38" w:rsidP="004135FE">
      <w:pPr>
        <w:tabs>
          <w:tab w:val="center" w:pos="567"/>
        </w:tabs>
        <w:autoSpaceDE w:val="0"/>
        <w:autoSpaceDN w:val="0"/>
        <w:adjustRightInd w:val="0"/>
        <w:spacing w:after="0" w:line="240" w:lineRule="auto"/>
        <w:ind w:firstLine="567"/>
        <w:jc w:val="both"/>
        <w:rPr>
          <w:rFonts w:ascii="Times New Roman" w:hAnsi="Times New Roman" w:cs="Times New Roman"/>
          <w:bCs/>
          <w:sz w:val="28"/>
          <w:szCs w:val="28"/>
        </w:rPr>
      </w:pPr>
      <w:r w:rsidRPr="004135FE">
        <w:rPr>
          <w:rFonts w:ascii="Times New Roman" w:hAnsi="Times New Roman" w:cs="Times New Roman"/>
          <w:sz w:val="28"/>
          <w:szCs w:val="28"/>
        </w:rPr>
        <w:tab/>
      </w:r>
      <w:r w:rsidR="004F0DE6">
        <w:rPr>
          <w:rFonts w:ascii="Times New Roman" w:hAnsi="Times New Roman" w:cs="Times New Roman"/>
          <w:bCs/>
          <w:noProof/>
          <w:sz w:val="28"/>
          <w:szCs w:val="28"/>
        </w:rPr>
        <w:drawing>
          <wp:inline distT="0" distB="0" distL="0" distR="0" wp14:anchorId="791CDB5E" wp14:editId="25B802E8">
            <wp:extent cx="5939790" cy="2254250"/>
            <wp:effectExtent l="0" t="0" r="381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80">
                      <a:extLst>
                        <a:ext uri="{28A0092B-C50C-407E-A947-70E740481C1C}">
                          <a14:useLocalDpi xmlns:a14="http://schemas.microsoft.com/office/drawing/2010/main" val="0"/>
                        </a:ext>
                      </a:extLst>
                    </a:blip>
                    <a:stretch>
                      <a:fillRect/>
                    </a:stretch>
                  </pic:blipFill>
                  <pic:spPr>
                    <a:xfrm>
                      <a:off x="0" y="0"/>
                      <a:ext cx="5939790" cy="2254250"/>
                    </a:xfrm>
                    <a:prstGeom prst="rect">
                      <a:avLst/>
                    </a:prstGeom>
                  </pic:spPr>
                </pic:pic>
              </a:graphicData>
            </a:graphic>
          </wp:inline>
        </w:drawing>
      </w:r>
    </w:p>
    <w:p w14:paraId="48108672" w14:textId="77777777" w:rsidR="007A2C38" w:rsidRPr="004135FE" w:rsidRDefault="007A2C38" w:rsidP="004F0DE6">
      <w:pPr>
        <w:autoSpaceDE w:val="0"/>
        <w:autoSpaceDN w:val="0"/>
        <w:adjustRightInd w:val="0"/>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Рисунок 49- Влияние семейного положения на п</w:t>
      </w:r>
      <w:r w:rsidRPr="004135FE">
        <w:rPr>
          <w:rFonts w:ascii="Times New Roman" w:eastAsia="Times New Roman" w:hAnsi="Times New Roman" w:cs="Times New Roman"/>
          <w:sz w:val="28"/>
          <w:szCs w:val="28"/>
        </w:rPr>
        <w:t>ричины, которые привели к решению сделать аборт</w:t>
      </w:r>
    </w:p>
    <w:p w14:paraId="287A16BC" w14:textId="1F543954" w:rsidR="007A2C38" w:rsidRPr="004135FE" w:rsidRDefault="007A2C38" w:rsidP="004F0DE6">
      <w:pPr>
        <w:spacing w:after="0" w:line="240" w:lineRule="auto"/>
        <w:ind w:firstLine="708"/>
        <w:jc w:val="both"/>
        <w:rPr>
          <w:rFonts w:ascii="Times New Roman" w:hAnsi="Times New Roman" w:cs="Times New Roman"/>
          <w:sz w:val="28"/>
          <w:szCs w:val="28"/>
        </w:rPr>
      </w:pPr>
      <w:r w:rsidRPr="004F0DE6">
        <w:rPr>
          <w:rFonts w:ascii="Times New Roman" w:hAnsi="Times New Roman" w:cs="Times New Roman"/>
          <w:sz w:val="28"/>
          <w:szCs w:val="28"/>
        </w:rPr>
        <w:t>Таким образом,</w:t>
      </w:r>
      <w:r w:rsidRPr="004135FE">
        <w:rPr>
          <w:rFonts w:ascii="Times New Roman" w:hAnsi="Times New Roman" w:cs="Times New Roman"/>
          <w:b/>
          <w:bCs/>
          <w:sz w:val="28"/>
          <w:szCs w:val="28"/>
        </w:rPr>
        <w:t xml:space="preserve"> </w:t>
      </w:r>
      <w:r w:rsidRPr="004135FE">
        <w:rPr>
          <w:rFonts w:ascii="Times New Roman" w:hAnsi="Times New Roman" w:cs="Times New Roman"/>
          <w:bCs/>
          <w:sz w:val="28"/>
          <w:szCs w:val="28"/>
        </w:rPr>
        <w:t xml:space="preserve">выявлено влияние </w:t>
      </w:r>
      <w:r w:rsidRPr="004135FE">
        <w:rPr>
          <w:rFonts w:ascii="Times New Roman" w:hAnsi="Times New Roman" w:cs="Times New Roman"/>
          <w:sz w:val="28"/>
          <w:szCs w:val="28"/>
        </w:rPr>
        <w:t xml:space="preserve">наличия СД2т у кровных родственников, на фертильность (деторождение) пациента. В 85,7% случаях диагностированы плохое количество или качество спермы, 57,1% миома матки, 55,8% эндометриоз, 50% непроходимость маточных труб, 45,5% </w:t>
      </w:r>
      <w:r w:rsidR="002C54BB" w:rsidRPr="004135FE">
        <w:rPr>
          <w:rFonts w:ascii="Times New Roman" w:hAnsi="Times New Roman" w:cs="Times New Roman"/>
          <w:sz w:val="28"/>
          <w:szCs w:val="28"/>
        </w:rPr>
        <w:t>воспалительные заболевания женских органов</w:t>
      </w:r>
      <w:r w:rsidRPr="004135FE">
        <w:rPr>
          <w:rFonts w:ascii="Times New Roman" w:hAnsi="Times New Roman" w:cs="Times New Roman"/>
          <w:sz w:val="28"/>
          <w:szCs w:val="28"/>
        </w:rPr>
        <w:t>, 40% отсутствие или нерегулярная овуляция, 38,5% синдром поликистозных яичников, 37,0% другие проблемы. (χ2=95,169, df=56, p=0,001)</w:t>
      </w:r>
      <w:r w:rsidR="004F0DE6">
        <w:rPr>
          <w:rFonts w:ascii="Times New Roman" w:hAnsi="Times New Roman" w:cs="Times New Roman"/>
          <w:sz w:val="28"/>
          <w:szCs w:val="28"/>
        </w:rPr>
        <w:t>.</w:t>
      </w:r>
    </w:p>
    <w:p w14:paraId="6EC6F898" w14:textId="54911D64" w:rsidR="007A2C38" w:rsidRPr="004135FE" w:rsidRDefault="007A2C38" w:rsidP="004F0DE6">
      <w:pPr>
        <w:tabs>
          <w:tab w:val="center" w:pos="567"/>
        </w:tabs>
        <w:autoSpaceDE w:val="0"/>
        <w:autoSpaceDN w:val="0"/>
        <w:adjustRightInd w:val="0"/>
        <w:spacing w:after="0" w:line="240" w:lineRule="auto"/>
        <w:ind w:firstLine="708"/>
        <w:jc w:val="both"/>
        <w:rPr>
          <w:rFonts w:ascii="Times New Roman" w:hAnsi="Times New Roman" w:cs="Times New Roman"/>
          <w:bCs/>
          <w:sz w:val="28"/>
          <w:szCs w:val="28"/>
        </w:rPr>
      </w:pPr>
      <w:r w:rsidRPr="004135FE">
        <w:rPr>
          <w:rFonts w:ascii="Times New Roman" w:hAnsi="Times New Roman" w:cs="Times New Roman"/>
          <w:sz w:val="28"/>
          <w:szCs w:val="28"/>
        </w:rPr>
        <w:t>Статистический значимо, что пациенты среднего возраста</w:t>
      </w:r>
      <w:r w:rsidRPr="004135FE">
        <w:rPr>
          <w:rFonts w:ascii="Times New Roman" w:hAnsi="Times New Roman" w:cs="Times New Roman"/>
          <w:bCs/>
          <w:sz w:val="28"/>
          <w:szCs w:val="28"/>
        </w:rPr>
        <w:t xml:space="preserve"> больше следят за состоянием половых гормонов, из них в этом месяце проходили обследование - </w:t>
      </w:r>
      <w:r w:rsidRPr="004135FE">
        <w:rPr>
          <w:rFonts w:ascii="Times New Roman" w:eastAsia="Times New Roman" w:hAnsi="Times New Roman" w:cs="Times New Roman"/>
          <w:sz w:val="28"/>
          <w:szCs w:val="28"/>
        </w:rPr>
        <w:t xml:space="preserve">55,8%, в течение последних 3 месяцев-50,0%, в этом году-59,7%, 3 года назад-64,3%. 46-60лет </w:t>
      </w:r>
      <w:r w:rsidRPr="004135FE">
        <w:rPr>
          <w:rFonts w:ascii="Times New Roman" w:hAnsi="Times New Roman" w:cs="Times New Roman"/>
          <w:sz w:val="28"/>
          <w:szCs w:val="28"/>
        </w:rPr>
        <w:t>(χ2=61,105, df=44, p=0,029).</w:t>
      </w:r>
    </w:p>
    <w:p w14:paraId="623BD84D" w14:textId="5E216D54" w:rsidR="007A2C38" w:rsidRPr="004135FE" w:rsidRDefault="007A2C38" w:rsidP="004F0DE6">
      <w:pPr>
        <w:tabs>
          <w:tab w:val="center" w:pos="567"/>
        </w:tabs>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bCs/>
          <w:sz w:val="28"/>
          <w:szCs w:val="28"/>
        </w:rPr>
        <w:t>70,50% мужчин и 59,29% женщин с СД2т не следят за состоянием половых гормонов.</w:t>
      </w:r>
    </w:p>
    <w:p w14:paraId="2CE5F032" w14:textId="77777777" w:rsidR="007A2C38" w:rsidRPr="004135FE" w:rsidRDefault="007A2C38" w:rsidP="004F0DE6">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bCs/>
          <w:sz w:val="28"/>
          <w:szCs w:val="28"/>
        </w:rPr>
        <w:t xml:space="preserve">Большинство респондентов не помнят период </w:t>
      </w:r>
      <w:r w:rsidRPr="004135FE">
        <w:rPr>
          <w:rFonts w:ascii="Times New Roman" w:hAnsi="Times New Roman" w:cs="Times New Roman"/>
          <w:sz w:val="28"/>
          <w:szCs w:val="28"/>
          <w:lang w:val="kk-KZ"/>
        </w:rPr>
        <w:t xml:space="preserve">последнего обследования анализов половых гормонов взависимости от ИМТ, из них </w:t>
      </w:r>
      <w:r w:rsidRPr="004135FE">
        <w:rPr>
          <w:rFonts w:ascii="Times New Roman" w:hAnsi="Times New Roman" w:cs="Times New Roman"/>
          <w:sz w:val="28"/>
          <w:szCs w:val="28"/>
        </w:rPr>
        <w:t>44,0% с избыточным весом, 30,90% с ожирением І степени (χ2=15,304, df=20, p=0,05)</w:t>
      </w:r>
      <w:r w:rsidRPr="004135FE">
        <w:rPr>
          <w:rFonts w:ascii="Times New Roman" w:hAnsi="Times New Roman" w:cs="Times New Roman"/>
          <w:bCs/>
          <w:sz w:val="28"/>
          <w:szCs w:val="28"/>
        </w:rPr>
        <w:t>.</w:t>
      </w:r>
    </w:p>
    <w:p w14:paraId="0C3C6910" w14:textId="77777777" w:rsidR="007A2C38" w:rsidRPr="004135FE" w:rsidRDefault="007A2C38" w:rsidP="004F0DE6">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До рождения первого ребенка 11,0% мужчин и 7,1% женщин имели диагноз СД2т (χ2=43,06, </w:t>
      </w:r>
      <w:r w:rsidRPr="004135FE">
        <w:rPr>
          <w:rFonts w:ascii="Times New Roman" w:hAnsi="Times New Roman" w:cs="Times New Roman"/>
          <w:sz w:val="28"/>
          <w:szCs w:val="28"/>
          <w:lang w:val="en-US"/>
        </w:rPr>
        <w:t>df</w:t>
      </w:r>
      <w:r w:rsidRPr="004135FE">
        <w:rPr>
          <w:rFonts w:ascii="Times New Roman" w:hAnsi="Times New Roman" w:cs="Times New Roman"/>
          <w:sz w:val="28"/>
          <w:szCs w:val="28"/>
        </w:rPr>
        <w:t xml:space="preserve">=23, </w:t>
      </w:r>
      <w:r w:rsidRPr="004135FE">
        <w:rPr>
          <w:rFonts w:ascii="Times New Roman" w:hAnsi="Times New Roman" w:cs="Times New Roman"/>
          <w:sz w:val="28"/>
          <w:szCs w:val="28"/>
          <w:lang w:val="en-US"/>
        </w:rPr>
        <w:t>p</w:t>
      </w:r>
      <w:r w:rsidRPr="004135FE">
        <w:rPr>
          <w:rFonts w:ascii="Times New Roman" w:hAnsi="Times New Roman" w:cs="Times New Roman"/>
          <w:sz w:val="28"/>
          <w:szCs w:val="28"/>
        </w:rPr>
        <w:t>=0,02).</w:t>
      </w:r>
    </w:p>
    <w:p w14:paraId="04973573" w14:textId="77777777" w:rsidR="007A2C38" w:rsidRPr="004135FE" w:rsidRDefault="007A2C38" w:rsidP="004F0DE6">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Результат опроса показал, что повод первого обращения к урологу среди мужчин связано с профилактическим осмотром- 55,5%, воспалительные заболевания половых органов- 14,5%. За советом перед вступлением половой контакт в браке к специалисту обратились всего 5,5%, что подтверждает низкую грамотность в планировании семьи. </w:t>
      </w:r>
    </w:p>
    <w:p w14:paraId="37EA3DD1" w14:textId="77777777" w:rsidR="007A2C38" w:rsidRPr="004135FE" w:rsidRDefault="007A2C38" w:rsidP="004F0DE6">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Диагноз СД2т был поставлен у 8,5% респондентов до рождения первого ребенка, 4%- до второго ребенка, 2,5% до третьего и 1,5% до четвертого ребенка. Большинство мужчин скорее не проверяли уровень сахара крови.</w:t>
      </w:r>
    </w:p>
    <w:p w14:paraId="305247E1" w14:textId="77777777" w:rsidR="007A2C38" w:rsidRPr="004135FE" w:rsidRDefault="007A2C38" w:rsidP="004F0DE6">
      <w:pPr>
        <w:pStyle w:val="a3"/>
        <w:spacing w:after="0" w:line="240" w:lineRule="auto"/>
        <w:ind w:left="0" w:firstLine="708"/>
        <w:jc w:val="both"/>
        <w:rPr>
          <w:rFonts w:ascii="Times New Roman" w:hAnsi="Times New Roman" w:cs="Times New Roman"/>
          <w:bCs/>
          <w:sz w:val="28"/>
          <w:szCs w:val="28"/>
        </w:rPr>
      </w:pPr>
      <w:r w:rsidRPr="004135FE">
        <w:rPr>
          <w:rFonts w:ascii="Times New Roman" w:hAnsi="Times New Roman" w:cs="Times New Roman"/>
          <w:bCs/>
          <w:sz w:val="28"/>
          <w:szCs w:val="28"/>
        </w:rPr>
        <w:t xml:space="preserve">Большинство мужчин в зависимости от ИМТ не помнят, </w:t>
      </w:r>
      <w:r w:rsidRPr="004135FE">
        <w:rPr>
          <w:rFonts w:ascii="Times New Roman" w:hAnsi="Times New Roman" w:cs="Times New Roman"/>
          <w:sz w:val="28"/>
          <w:szCs w:val="28"/>
        </w:rPr>
        <w:t xml:space="preserve">когда были последний раз у врача уролога, </w:t>
      </w:r>
      <w:r w:rsidRPr="004135FE">
        <w:rPr>
          <w:rFonts w:ascii="Times New Roman" w:eastAsia="Times New Roman" w:hAnsi="Times New Roman" w:cs="Times New Roman"/>
          <w:color w:val="000000"/>
          <w:sz w:val="28"/>
          <w:szCs w:val="28"/>
        </w:rPr>
        <w:t>41,4% мужчин с избыточной массой тела, 40,9% с нормальным весом, 37,7% -</w:t>
      </w:r>
      <w:r w:rsidRPr="004135FE">
        <w:rPr>
          <w:rFonts w:ascii="Times New Roman" w:hAnsi="Times New Roman" w:cs="Times New Roman"/>
          <w:bCs/>
          <w:sz w:val="28"/>
          <w:szCs w:val="28"/>
        </w:rPr>
        <w:t xml:space="preserve"> ожирением</w:t>
      </w:r>
      <w:r w:rsidRPr="004135FE">
        <w:rPr>
          <w:rFonts w:ascii="Times New Roman" w:hAnsi="Times New Roman" w:cs="Times New Roman"/>
          <w:b/>
          <w:bCs/>
          <w:sz w:val="28"/>
          <w:szCs w:val="28"/>
        </w:rPr>
        <w:t xml:space="preserve"> </w:t>
      </w:r>
      <w:r w:rsidRPr="004135FE">
        <w:rPr>
          <w:rFonts w:ascii="Times New Roman" w:hAnsi="Times New Roman" w:cs="Times New Roman"/>
          <w:sz w:val="28"/>
          <w:szCs w:val="28"/>
        </w:rPr>
        <w:t xml:space="preserve">І степени, 18,8%- ІІ степени, 100%- ІІІ степени. Не установленная давность консультации характеризует отсутствия визита к врачу. </w:t>
      </w:r>
    </w:p>
    <w:p w14:paraId="5F9C4B1E" w14:textId="5E2FC111" w:rsidR="007A2C38" w:rsidRPr="004135FE" w:rsidRDefault="007A2C38" w:rsidP="004F0DE6">
      <w:pPr>
        <w:tabs>
          <w:tab w:val="center" w:pos="6278"/>
        </w:tabs>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Впервые в женскую консультацию 27,9% пациентов с СД2т обратились с болями и нарушениями менструального цикла, 17,5% с </w:t>
      </w:r>
      <w:r w:rsidR="002C54BB" w:rsidRPr="004135FE">
        <w:rPr>
          <w:rFonts w:ascii="Times New Roman" w:hAnsi="Times New Roman" w:cs="Times New Roman"/>
          <w:sz w:val="28"/>
          <w:szCs w:val="28"/>
        </w:rPr>
        <w:t>воспалительными заболеваниями женских органов</w:t>
      </w:r>
      <w:r w:rsidRPr="004135FE">
        <w:rPr>
          <w:rFonts w:ascii="Times New Roman" w:hAnsi="Times New Roman" w:cs="Times New Roman"/>
          <w:sz w:val="28"/>
          <w:szCs w:val="28"/>
        </w:rPr>
        <w:t xml:space="preserve">, 14,3% для получения консультации по контрацептивам, 11,4% за советом перед вступлением половой контакт в браке, 4,6% чтобы сделать аборт. </w:t>
      </w:r>
    </w:p>
    <w:p w14:paraId="09FAA993" w14:textId="77777777" w:rsidR="007A2C38" w:rsidRPr="004135FE" w:rsidRDefault="007A2C38" w:rsidP="004F0DE6">
      <w:pPr>
        <w:tabs>
          <w:tab w:val="center" w:pos="6278"/>
        </w:tabs>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Выявлено наличие гестационного диабета при первой беременности из анамнеза у женщин с СД2т-25%, у которых причиной первого обращения за консультацией специалиста была в 44,7% случаях боль и нарушение менструального цикла.</w:t>
      </w:r>
      <w:r w:rsidRPr="004135FE">
        <w:rPr>
          <w:rFonts w:ascii="Times New Roman" w:eastAsia="Times New Roman" w:hAnsi="Times New Roman" w:cs="Times New Roman"/>
          <w:color w:val="000000"/>
          <w:sz w:val="28"/>
          <w:szCs w:val="28"/>
        </w:rPr>
        <w:t xml:space="preserve"> </w:t>
      </w:r>
      <w:r w:rsidRPr="004135FE">
        <w:rPr>
          <w:rFonts w:ascii="Times New Roman" w:hAnsi="Times New Roman" w:cs="Times New Roman"/>
          <w:sz w:val="28"/>
          <w:szCs w:val="28"/>
        </w:rPr>
        <w:t xml:space="preserve">(χ2=33,129, df=16, p=0,005). </w:t>
      </w:r>
    </w:p>
    <w:p w14:paraId="7048208D" w14:textId="77777777" w:rsidR="007A2C38" w:rsidRPr="004135FE" w:rsidRDefault="007A2C38" w:rsidP="004F0DE6">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bCs/>
          <w:sz w:val="28"/>
          <w:szCs w:val="28"/>
        </w:rPr>
        <w:t xml:space="preserve">Статистический значимо наличие диагноза СД2т до беременности и его исход </w:t>
      </w:r>
      <w:r w:rsidRPr="004135FE">
        <w:rPr>
          <w:rFonts w:ascii="Times New Roman" w:hAnsi="Times New Roman" w:cs="Times New Roman"/>
          <w:sz w:val="28"/>
          <w:szCs w:val="28"/>
        </w:rPr>
        <w:t>(χ2=42,866, df=16, p=0,0001).  До первой беременности 79,2% - пациентам и 42,9%- до третьей беременности поставлен диагноз СД2т, у которых все дети живорожденные с весом до 3,9 кг. Пациентам до второй беременности 66,7% и до четвертой- 50,0% поставлен диагноз СД2т, у них дети родились живыми, с весом от 4 кг до 4,5кг. До четвертой беременности поставлен диагноз СД2т у 50,0% - пациентов и у них все дети живорожденные, с весом от 4,6 кг до 5кг. До третьей беременности у 14,3% - пациентов диагностировали диагноз диабет и у данных пациентов все дети живорожденные, с весом от 5,1 кг. У 28,6% - пациентов до третьей беременности установлен СД2т и в 23,7% случаях не был подтвержден диагноз и исход беременности у пациентов не все дети были живорожденными в связи с осложнениями состояния здоровья. Вес новорожденного выше нормы, свидетельствует о высоком унаследовании СД2т от родителей.</w:t>
      </w:r>
    </w:p>
    <w:p w14:paraId="1A15AB40"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Среди пациентов с СД2т совершавший аборт, в 57,1% случаях послужила уровень семейного взаимоотношения </w:t>
      </w:r>
      <w:r w:rsidRPr="004135FE">
        <w:rPr>
          <w:rFonts w:ascii="Times New Roman" w:hAnsi="Times New Roman" w:cs="Times New Roman"/>
          <w:bCs/>
          <w:sz w:val="28"/>
          <w:szCs w:val="28"/>
        </w:rPr>
        <w:t xml:space="preserve">(р=0,011). </w:t>
      </w:r>
    </w:p>
    <w:p w14:paraId="7E97D899" w14:textId="7D280415"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По результатам проведенного нами социологического исследования возможности профилактических мер на уровне МЗ РК необходима реализовать путем внесения изменения и дополнения в протокол диагностики и лечения СД2т и в данные РЦЭЗ.</w:t>
      </w:r>
    </w:p>
    <w:p w14:paraId="225D5EAB" w14:textId="77777777" w:rsidR="007A2C38" w:rsidRPr="004135FE" w:rsidRDefault="007A2C38"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Необходимо психосоциальную поддержку внедрить в протокол диагностики и лечения СД, как терапевтическую услугу и обязанность персонала эндокринологического кабинета для определения и делегирования, далее поэтапного оказания помощи соответственно по состоянию пациента.</w:t>
      </w:r>
    </w:p>
    <w:p w14:paraId="73058DF9" w14:textId="77777777" w:rsidR="007A2C38" w:rsidRPr="004135FE" w:rsidRDefault="007A2C38" w:rsidP="004135FE">
      <w:pPr>
        <w:tabs>
          <w:tab w:val="left" w:pos="1073"/>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Создать протокол диагностики и лечения по репродуктивному потенциалу мужчин и женщин с СД2т</w:t>
      </w:r>
    </w:p>
    <w:p w14:paraId="37249114" w14:textId="77777777" w:rsidR="007A2C38" w:rsidRPr="004135FE" w:rsidRDefault="007A2C38" w:rsidP="004135FE">
      <w:pPr>
        <w:tabs>
          <w:tab w:val="left" w:pos="1073"/>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Вести статистический учет психосоциальной помощи и репродуктивного потенциала среди пациентов с СД2т. Фиксировать все полученные данные в РЦЭЗ при МЗ РК.</w:t>
      </w:r>
    </w:p>
    <w:p w14:paraId="10DE7D6B" w14:textId="77777777" w:rsidR="007A2C38" w:rsidRPr="004135FE" w:rsidRDefault="007A2C38" w:rsidP="004135FE">
      <w:pPr>
        <w:spacing w:after="0" w:line="240" w:lineRule="auto"/>
        <w:jc w:val="both"/>
        <w:rPr>
          <w:rFonts w:ascii="Times New Roman" w:hAnsi="Times New Roman" w:cs="Times New Roman"/>
          <w:b/>
          <w:sz w:val="28"/>
          <w:szCs w:val="28"/>
        </w:rPr>
      </w:pPr>
    </w:p>
    <w:p w14:paraId="253630B7" w14:textId="7AD0B417" w:rsidR="007A2C38" w:rsidRPr="004F0DE6" w:rsidRDefault="007A2C38" w:rsidP="004135FE">
      <w:pPr>
        <w:spacing w:after="0" w:line="240" w:lineRule="auto"/>
        <w:ind w:firstLine="567"/>
        <w:jc w:val="both"/>
        <w:rPr>
          <w:rFonts w:ascii="Times New Roman" w:hAnsi="Times New Roman" w:cs="Times New Roman"/>
          <w:i/>
          <w:sz w:val="28"/>
          <w:szCs w:val="28"/>
        </w:rPr>
      </w:pPr>
      <w:r w:rsidRPr="004F0DE6">
        <w:rPr>
          <w:rFonts w:ascii="Times New Roman" w:eastAsia="Times New Roman" w:hAnsi="Times New Roman" w:cs="Times New Roman"/>
          <w:sz w:val="28"/>
          <w:szCs w:val="28"/>
        </w:rPr>
        <w:t xml:space="preserve">4.2.2.3 </w:t>
      </w:r>
      <w:r w:rsidRPr="004F0DE6">
        <w:rPr>
          <w:rFonts w:ascii="Times New Roman" w:hAnsi="Times New Roman" w:cs="Times New Roman"/>
          <w:sz w:val="28"/>
          <w:szCs w:val="28"/>
        </w:rPr>
        <w:t>Возможности профилактических мер на уровне местных исполнительных органов/ акиматов, общественных организации</w:t>
      </w:r>
    </w:p>
    <w:p w14:paraId="6A88F535" w14:textId="3399CDF1" w:rsidR="007A2C38" w:rsidRPr="004F0DE6" w:rsidRDefault="007A2C38" w:rsidP="004135FE">
      <w:pPr>
        <w:spacing w:after="0" w:line="240" w:lineRule="auto"/>
        <w:ind w:firstLine="567"/>
        <w:jc w:val="both"/>
        <w:rPr>
          <w:rFonts w:ascii="Times New Roman" w:hAnsi="Times New Roman" w:cs="Times New Roman"/>
          <w:bCs/>
          <w:sz w:val="28"/>
          <w:szCs w:val="28"/>
        </w:rPr>
      </w:pPr>
      <w:r w:rsidRPr="004F0DE6">
        <w:rPr>
          <w:rFonts w:ascii="Times New Roman" w:hAnsi="Times New Roman" w:cs="Times New Roman"/>
          <w:bCs/>
          <w:sz w:val="28"/>
          <w:szCs w:val="28"/>
        </w:rPr>
        <w:t>1. Влияние социальных и экономических детерминант на здоровье в зависимости от района проживания</w:t>
      </w:r>
      <w:r w:rsidR="004F0DE6">
        <w:rPr>
          <w:rFonts w:ascii="Times New Roman" w:hAnsi="Times New Roman" w:cs="Times New Roman"/>
          <w:bCs/>
          <w:sz w:val="28"/>
          <w:szCs w:val="28"/>
        </w:rPr>
        <w:t>.</w:t>
      </w:r>
    </w:p>
    <w:p w14:paraId="2333E9C4" w14:textId="731DE56D" w:rsidR="007A2C38" w:rsidRPr="004135FE" w:rsidRDefault="007A2C38" w:rsidP="004135FE">
      <w:pPr>
        <w:autoSpaceDE w:val="0"/>
        <w:autoSpaceDN w:val="0"/>
        <w:adjustRightInd w:val="0"/>
        <w:spacing w:after="0" w:line="240" w:lineRule="auto"/>
        <w:ind w:firstLine="567"/>
        <w:jc w:val="both"/>
        <w:rPr>
          <w:rFonts w:ascii="Times New Roman" w:hAnsi="Times New Roman" w:cs="Times New Roman"/>
          <w:sz w:val="28"/>
          <w:szCs w:val="28"/>
        </w:rPr>
      </w:pPr>
      <w:r w:rsidRPr="004135FE">
        <w:rPr>
          <w:rFonts w:ascii="Times New Roman" w:hAnsi="Times New Roman" w:cs="Times New Roman"/>
          <w:bCs/>
          <w:sz w:val="28"/>
          <w:szCs w:val="28"/>
        </w:rPr>
        <w:t xml:space="preserve">Район проживания отражает работу и активность участия </w:t>
      </w:r>
      <w:r w:rsidRPr="004135FE">
        <w:rPr>
          <w:rFonts w:ascii="Times New Roman" w:hAnsi="Times New Roman" w:cs="Times New Roman"/>
          <w:sz w:val="28"/>
          <w:szCs w:val="28"/>
        </w:rPr>
        <w:t>местных исполнительных органов/ акиматов</w:t>
      </w:r>
      <w:r w:rsidRPr="004135FE">
        <w:rPr>
          <w:rFonts w:ascii="Times New Roman" w:hAnsi="Times New Roman" w:cs="Times New Roman"/>
          <w:bCs/>
          <w:sz w:val="28"/>
          <w:szCs w:val="28"/>
        </w:rPr>
        <w:t xml:space="preserve"> в общественной жизни населения и общего состояния социальных, экономических детерминант (</w:t>
      </w:r>
      <w:r w:rsidRPr="004135FE">
        <w:rPr>
          <w:rFonts w:ascii="Times New Roman" w:hAnsi="Times New Roman" w:cs="Times New Roman"/>
          <w:sz w:val="28"/>
          <w:szCs w:val="28"/>
        </w:rPr>
        <w:t>Таблица 4</w:t>
      </w:r>
      <w:r w:rsidR="00B728EF" w:rsidRPr="004135FE">
        <w:rPr>
          <w:rFonts w:ascii="Times New Roman" w:hAnsi="Times New Roman" w:cs="Times New Roman"/>
          <w:sz w:val="28"/>
          <w:szCs w:val="28"/>
        </w:rPr>
        <w:t>3</w:t>
      </w:r>
      <w:r w:rsidRPr="004135FE">
        <w:rPr>
          <w:rFonts w:ascii="Times New Roman" w:hAnsi="Times New Roman" w:cs="Times New Roman"/>
          <w:bCs/>
          <w:sz w:val="28"/>
          <w:szCs w:val="28"/>
        </w:rPr>
        <w:t xml:space="preserve">). </w:t>
      </w:r>
    </w:p>
    <w:p w14:paraId="199BD32E" w14:textId="77777777" w:rsidR="007A2C38" w:rsidRPr="004135FE" w:rsidRDefault="007A2C38" w:rsidP="004135FE">
      <w:pPr>
        <w:autoSpaceDE w:val="0"/>
        <w:autoSpaceDN w:val="0"/>
        <w:adjustRightInd w:val="0"/>
        <w:spacing w:after="0" w:line="240" w:lineRule="auto"/>
        <w:ind w:firstLine="567"/>
        <w:jc w:val="both"/>
        <w:rPr>
          <w:rFonts w:ascii="Times New Roman" w:hAnsi="Times New Roman" w:cs="Times New Roman"/>
          <w:sz w:val="28"/>
          <w:szCs w:val="28"/>
        </w:rPr>
      </w:pPr>
      <w:r w:rsidRPr="004135FE">
        <w:rPr>
          <w:rFonts w:ascii="Times New Roman" w:hAnsi="Times New Roman" w:cs="Times New Roman"/>
          <w:sz w:val="28"/>
          <w:szCs w:val="28"/>
        </w:rPr>
        <w:t>Независимо от района проживания, в период карантина по коронавирусной инфекции в 30% ДИ (28,63; 31,38) случаях из всех нижеприведенных общественных и медицинских организации не были оказаны моральные и материальные поддержки пациентам с СД2т.</w:t>
      </w:r>
    </w:p>
    <w:p w14:paraId="0A01506C" w14:textId="77777777" w:rsidR="007A2C38" w:rsidRPr="004135FE" w:rsidRDefault="007A2C38" w:rsidP="004135FE">
      <w:pPr>
        <w:spacing w:after="0" w:line="240" w:lineRule="auto"/>
        <w:ind w:firstLine="567"/>
        <w:jc w:val="both"/>
        <w:rPr>
          <w:rFonts w:ascii="Times New Roman" w:hAnsi="Times New Roman" w:cs="Times New Roman"/>
          <w:sz w:val="28"/>
          <w:szCs w:val="28"/>
        </w:rPr>
      </w:pPr>
      <w:r w:rsidRPr="004135FE">
        <w:rPr>
          <w:rFonts w:ascii="Times New Roman" w:hAnsi="Times New Roman" w:cs="Times New Roman"/>
          <w:sz w:val="28"/>
          <w:szCs w:val="28"/>
        </w:rPr>
        <w:t xml:space="preserve">Родственники помогали больным с СД2т в 20,8% ДИ (19,06; 22,56) случаях, городская поликлиника оказывало поддержку в 19,0% ДИ (17,15; 20,87) случаях, Районный акимат - 5,0% ДИ (1,10; 8,98), CALL-центры оказывали моральные поддержки во время карантина по коронавирусной инфекции практически 9,4% ДИ (17,58; 21,25) случаях. Со слов пациентов, были также моральные- материальные поддержки народа со стороны Партии Нур-Отан, Красного полумесяца Казахстана, Алматинского городского общества инвалидов, Диабетической ассоциации Республики Казахстан (ДАРК). </w:t>
      </w:r>
      <w:r w:rsidRPr="004135FE">
        <w:rPr>
          <w:rFonts w:ascii="Times New Roman" w:hAnsi="Times New Roman" w:cs="Times New Roman"/>
          <w:b/>
          <w:bCs/>
          <w:sz w:val="28"/>
          <w:szCs w:val="28"/>
        </w:rPr>
        <w:tab/>
      </w:r>
      <w:r w:rsidRPr="004135FE">
        <w:rPr>
          <w:rFonts w:ascii="Times New Roman" w:hAnsi="Times New Roman" w:cs="Times New Roman"/>
          <w:b/>
          <w:bCs/>
          <w:sz w:val="28"/>
          <w:szCs w:val="28"/>
        </w:rPr>
        <w:tab/>
      </w:r>
    </w:p>
    <w:p w14:paraId="6F77085D" w14:textId="2E7E6C7F" w:rsidR="007A2C38" w:rsidRPr="004135FE" w:rsidRDefault="007A2C38" w:rsidP="004F0DE6">
      <w:pPr>
        <w:tabs>
          <w:tab w:val="center" w:pos="567"/>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135FE">
        <w:rPr>
          <w:rFonts w:ascii="Times New Roman" w:hAnsi="Times New Roman" w:cs="Times New Roman"/>
          <w:bCs/>
          <w:sz w:val="28"/>
          <w:szCs w:val="28"/>
        </w:rPr>
        <w:t xml:space="preserve">Статистическое значимое влияние имеют районы проживания на уровень оказанной поддержки во время </w:t>
      </w:r>
      <w:r w:rsidRPr="004135FE">
        <w:rPr>
          <w:rFonts w:ascii="Times New Roman" w:eastAsia="Times New Roman" w:hAnsi="Times New Roman" w:cs="Times New Roman"/>
          <w:sz w:val="28"/>
          <w:szCs w:val="28"/>
        </w:rPr>
        <w:t xml:space="preserve">карантина по </w:t>
      </w:r>
      <w:r w:rsidRPr="004135FE">
        <w:rPr>
          <w:rFonts w:ascii="Times New Roman" w:eastAsia="Times New Roman" w:hAnsi="Times New Roman" w:cs="Times New Roman"/>
          <w:sz w:val="28"/>
          <w:szCs w:val="28"/>
          <w:lang w:val="en-US"/>
        </w:rPr>
        <w:t>Covid</w:t>
      </w:r>
      <w:r w:rsidRPr="004135FE">
        <w:rPr>
          <w:rFonts w:ascii="Times New Roman" w:eastAsia="Times New Roman" w:hAnsi="Times New Roman" w:cs="Times New Roman"/>
          <w:sz w:val="28"/>
          <w:szCs w:val="28"/>
        </w:rPr>
        <w:t>-19. В трудные моменты, управление и делегирование решения основных возникших проблем должен возлагаться на районный акимат. Анализ опроса показал, что среди всех организации Алатауский районный акимат оказал моральную и материальную помощь пациентам с СД2т всего в 14,6% случаях, Алмалинский-9,2%, Турксибский-7,1%, Бостандыксий-3,7%, Ауэзовский-2,3%, Жетысуский- 1,9%. Медеуский и Наурызбайский акимат не участвовал в оказании поддержки пациентов с СД2т во время карантина.</w:t>
      </w:r>
    </w:p>
    <w:p w14:paraId="4488BC6A" w14:textId="431504BA" w:rsidR="007A2C38" w:rsidRPr="004135FE" w:rsidRDefault="007A2C38" w:rsidP="004F0DE6">
      <w:pPr>
        <w:tabs>
          <w:tab w:val="center" w:pos="567"/>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Влияние внешних факторов на состояние возникающие в доме в зависимости от района проживания имеют высоко достоверное различие между сравниваемыми группами. Из них наиболее часто беспокоят опрошенных шум от соседей и шум с улицы (дорожное движение, предприятия, заводы, общепит), что соответствует 65,0% и 5,0% в Наурызбайском, </w:t>
      </w:r>
      <w:r w:rsidRPr="004135FE">
        <w:rPr>
          <w:rFonts w:ascii="Times New Roman" w:hAnsi="Times New Roman" w:cs="Times New Roman"/>
          <w:b/>
          <w:bCs/>
          <w:sz w:val="28"/>
          <w:szCs w:val="28"/>
        </w:rPr>
        <w:tab/>
      </w:r>
      <w:r w:rsidRPr="004135FE">
        <w:rPr>
          <w:rFonts w:ascii="Times New Roman" w:eastAsia="Times New Roman" w:hAnsi="Times New Roman" w:cs="Times New Roman"/>
          <w:sz w:val="28"/>
          <w:szCs w:val="28"/>
        </w:rPr>
        <w:t>63,4% и 14,6% в Алатауском, 55,3% и 9,2% в Алмалинском, 39,5% и 19,8% в Ауэзовском, 38,6% и 17,1% в Турксибском, 35,4% и 35,4% в Бостандыкском, 35,4% и 34,6% в Жетысуском, 22,6% и 18,9% в Медеуском районах. Так же опрошенных беспокоят специфический запах, при котором не возможен доступ к свежему воздуху. Учитывая, что при СД2т, пациенты испытывают гипоксию, так как в зависимости уровня глюкозы гемоглобины связываются с ними и транспортируют их вместо кислорода по всему организму, очень важную роль занимает чистый воздух. Беспризорные собаки и кошки, которые могут быть источниками шума и инфекции, беспокоят, так как любые раны плохо заживают при СД2т, так же при осложнениях, как нейропатии и энцефалопатии и в зависимости психосоциального состояния плохо реагируют на шум. Запах еды от ближайшего общепита имеет соблазн на нарушение диеты. Сильное освещение от соседней организации раздражает пациентов при наличии психо-неврозного состояния и нарушении зрения.</w:t>
      </w:r>
    </w:p>
    <w:p w14:paraId="4CB10640" w14:textId="2A14B772" w:rsidR="007A2C38" w:rsidRPr="004135FE" w:rsidRDefault="007A2C38" w:rsidP="004F0DE6">
      <w:pPr>
        <w:tabs>
          <w:tab w:val="center" w:pos="567"/>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В зависимости от района проживания, выявлена частота употребления фруктов и ягод. В 53,7% случаях не едят фрукты, ягоды каждый день опрошенные Бостандыкского района, в 50,9% случаях каждый день имеют в рационе фрукты жители Медеуского района. В 41,5% случаях фрукты и ягоды не входят в рацион питания опрошенных Алатауского района. </w:t>
      </w:r>
    </w:p>
    <w:p w14:paraId="3E4993A0" w14:textId="77777777" w:rsidR="007A2C38" w:rsidRPr="004135FE" w:rsidRDefault="007A2C38" w:rsidP="004135FE">
      <w:pPr>
        <w:tabs>
          <w:tab w:val="center" w:pos="567"/>
        </w:tabs>
        <w:autoSpaceDE w:val="0"/>
        <w:autoSpaceDN w:val="0"/>
        <w:adjustRightInd w:val="0"/>
        <w:spacing w:after="0" w:line="240" w:lineRule="auto"/>
        <w:ind w:firstLine="567"/>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ab/>
        <w:t>Статистическая значимая связь между местом занятия ФА пациентов в зависимости от района. Наибольшая часть опрошенных Турксибского района в 38,6% случаях занимаются ФА дома, 35,0%- Наурызбайского района не занимаются, 35,8%- Медеуского района во дворе, 40,8%- Алмалинского района в спорт комплексе, 15,4%- Жетысуского района в спорт площадке бесплатно. В зависимости учитывания количества и площади спортивно-оздоровительных мест при градостроении, увеличивается мотивация занятия ФА для населения.</w:t>
      </w:r>
    </w:p>
    <w:p w14:paraId="27B13AD1" w14:textId="77777777" w:rsidR="007A2C38" w:rsidRPr="004135FE" w:rsidRDefault="007A2C38" w:rsidP="004135FE">
      <w:pPr>
        <w:spacing w:after="0" w:line="240" w:lineRule="auto"/>
        <w:ind w:firstLine="567"/>
        <w:jc w:val="both"/>
        <w:rPr>
          <w:rFonts w:ascii="Times New Roman" w:hAnsi="Times New Roman" w:cs="Times New Roman"/>
          <w:sz w:val="28"/>
          <w:szCs w:val="28"/>
        </w:rPr>
      </w:pPr>
      <w:r w:rsidRPr="004135FE">
        <w:rPr>
          <w:rFonts w:ascii="Times New Roman" w:eastAsia="Times New Roman" w:hAnsi="Times New Roman" w:cs="Times New Roman"/>
          <w:sz w:val="28"/>
          <w:szCs w:val="28"/>
        </w:rPr>
        <w:tab/>
        <w:t>Выявлена связь между видами мер, для повышения рождаемости и района проживания. Для 32,9% жителей Турксибского района улучшение жилищных условии является самым важным решением для поднятия демографии. Повышения материального благосостояния тоже является важным фактором для жителей всех районов. 26,3% жителей Алмалинского района важна укрепление физического состояния организма. Формирование в обществе приоритета материнства- отцовства и приоритет семьи значима для 15,7% жителей Турксибского района. Так же важными мерами решения проблем являются обеспечение детскими дошкольными организациями и улучшение медицинской помощи.</w:t>
      </w:r>
    </w:p>
    <w:p w14:paraId="552A27A9" w14:textId="77777777" w:rsidR="007A2C38" w:rsidRPr="004135FE" w:rsidRDefault="007A2C38" w:rsidP="004135FE">
      <w:pPr>
        <w:tabs>
          <w:tab w:val="left" w:pos="567"/>
        </w:tabs>
        <w:autoSpaceDE w:val="0"/>
        <w:autoSpaceDN w:val="0"/>
        <w:adjustRightInd w:val="0"/>
        <w:spacing w:after="0" w:line="240" w:lineRule="auto"/>
        <w:ind w:firstLine="567"/>
        <w:jc w:val="both"/>
        <w:rPr>
          <w:rFonts w:ascii="Times New Roman" w:hAnsi="Times New Roman" w:cs="Times New Roman"/>
          <w:bCs/>
          <w:sz w:val="28"/>
          <w:szCs w:val="28"/>
        </w:rPr>
      </w:pPr>
      <w:r w:rsidRPr="004135FE">
        <w:rPr>
          <w:rFonts w:ascii="Times New Roman" w:hAnsi="Times New Roman" w:cs="Times New Roman"/>
          <w:b/>
          <w:bCs/>
          <w:sz w:val="28"/>
          <w:szCs w:val="28"/>
        </w:rPr>
        <w:tab/>
      </w:r>
      <w:r w:rsidRPr="004135FE">
        <w:rPr>
          <w:rFonts w:ascii="Times New Roman" w:hAnsi="Times New Roman" w:cs="Times New Roman"/>
          <w:bCs/>
          <w:sz w:val="28"/>
          <w:szCs w:val="28"/>
        </w:rPr>
        <w:t xml:space="preserve">На частоту употребления алкоголя, курения и овощей в рационе питания не повлияла распределение респондентов по районам. </w:t>
      </w:r>
    </w:p>
    <w:p w14:paraId="4D406007" w14:textId="77777777" w:rsidR="007A2C38" w:rsidRPr="004135FE" w:rsidRDefault="007A2C38" w:rsidP="004135FE">
      <w:pPr>
        <w:tabs>
          <w:tab w:val="center" w:pos="567"/>
        </w:tabs>
        <w:autoSpaceDE w:val="0"/>
        <w:autoSpaceDN w:val="0"/>
        <w:adjustRightInd w:val="0"/>
        <w:spacing w:after="0" w:line="240" w:lineRule="auto"/>
        <w:ind w:firstLine="567"/>
        <w:jc w:val="both"/>
        <w:rPr>
          <w:rFonts w:ascii="Times New Roman" w:hAnsi="Times New Roman" w:cs="Times New Roman"/>
          <w:b/>
          <w:bCs/>
          <w:sz w:val="28"/>
          <w:szCs w:val="28"/>
        </w:rPr>
      </w:pPr>
    </w:p>
    <w:p w14:paraId="39B0BA05" w14:textId="77777777" w:rsidR="007A2C38" w:rsidRPr="004135FE" w:rsidRDefault="007A2C38" w:rsidP="004135FE">
      <w:pPr>
        <w:tabs>
          <w:tab w:val="center" w:pos="567"/>
        </w:tabs>
        <w:autoSpaceDE w:val="0"/>
        <w:autoSpaceDN w:val="0"/>
        <w:adjustRightInd w:val="0"/>
        <w:spacing w:after="0" w:line="240" w:lineRule="auto"/>
        <w:ind w:firstLine="567"/>
        <w:jc w:val="both"/>
        <w:rPr>
          <w:rFonts w:ascii="Times New Roman" w:hAnsi="Times New Roman" w:cs="Times New Roman"/>
          <w:b/>
          <w:bCs/>
          <w:sz w:val="28"/>
          <w:szCs w:val="28"/>
        </w:rPr>
      </w:pPr>
    </w:p>
    <w:p w14:paraId="4BDD249D" w14:textId="77777777"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b/>
          <w:bCs/>
          <w:sz w:val="28"/>
          <w:szCs w:val="28"/>
        </w:rPr>
      </w:pPr>
    </w:p>
    <w:p w14:paraId="7DD269DB" w14:textId="77777777"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b/>
          <w:bCs/>
          <w:sz w:val="28"/>
          <w:szCs w:val="28"/>
        </w:rPr>
      </w:pPr>
    </w:p>
    <w:p w14:paraId="0C33FA10" w14:textId="77777777"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b/>
          <w:bCs/>
          <w:sz w:val="28"/>
          <w:szCs w:val="28"/>
        </w:rPr>
      </w:pPr>
    </w:p>
    <w:p w14:paraId="410CE2E6" w14:textId="77777777"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b/>
          <w:bCs/>
          <w:sz w:val="28"/>
          <w:szCs w:val="28"/>
        </w:rPr>
      </w:pPr>
    </w:p>
    <w:p w14:paraId="2669560B" w14:textId="77777777"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b/>
          <w:bCs/>
          <w:sz w:val="28"/>
          <w:szCs w:val="28"/>
        </w:rPr>
      </w:pPr>
    </w:p>
    <w:p w14:paraId="32169839" w14:textId="77777777"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b/>
          <w:bCs/>
          <w:sz w:val="28"/>
          <w:szCs w:val="28"/>
        </w:rPr>
      </w:pPr>
    </w:p>
    <w:p w14:paraId="27DA8D56" w14:textId="77777777"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b/>
          <w:bCs/>
          <w:sz w:val="28"/>
          <w:szCs w:val="28"/>
        </w:rPr>
      </w:pPr>
    </w:p>
    <w:p w14:paraId="066CF2CA" w14:textId="77777777"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b/>
          <w:bCs/>
          <w:sz w:val="28"/>
          <w:szCs w:val="28"/>
        </w:rPr>
      </w:pPr>
    </w:p>
    <w:p w14:paraId="1CAADAFE" w14:textId="77777777"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b/>
          <w:bCs/>
          <w:sz w:val="28"/>
          <w:szCs w:val="28"/>
        </w:rPr>
      </w:pPr>
    </w:p>
    <w:p w14:paraId="0A7B2F52" w14:textId="77777777" w:rsidR="007A2C38" w:rsidRPr="004135FE" w:rsidRDefault="007A2C38" w:rsidP="004135FE">
      <w:pPr>
        <w:tabs>
          <w:tab w:val="center" w:pos="567"/>
        </w:tabs>
        <w:autoSpaceDE w:val="0"/>
        <w:autoSpaceDN w:val="0"/>
        <w:adjustRightInd w:val="0"/>
        <w:spacing w:after="0" w:line="240" w:lineRule="auto"/>
        <w:jc w:val="both"/>
        <w:rPr>
          <w:rFonts w:ascii="Times New Roman" w:hAnsi="Times New Roman" w:cs="Times New Roman"/>
          <w:b/>
          <w:bCs/>
          <w:sz w:val="28"/>
          <w:szCs w:val="28"/>
        </w:rPr>
        <w:sectPr w:rsidR="007A2C38" w:rsidRPr="004135FE" w:rsidSect="009D7959">
          <w:pgSz w:w="11906" w:h="16838"/>
          <w:pgMar w:top="1134" w:right="851" w:bottom="1134" w:left="1701" w:header="708" w:footer="708" w:gutter="0"/>
          <w:cols w:space="708"/>
          <w:docGrid w:linePitch="360"/>
        </w:sectPr>
      </w:pPr>
    </w:p>
    <w:p w14:paraId="32D325D8" w14:textId="01F8532D" w:rsidR="007A2C38" w:rsidRDefault="007A2C38"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Таблица 4</w:t>
      </w:r>
      <w:r w:rsidR="00B728EF" w:rsidRPr="004135FE">
        <w:rPr>
          <w:rFonts w:ascii="Times New Roman" w:hAnsi="Times New Roman" w:cs="Times New Roman"/>
          <w:sz w:val="28"/>
          <w:szCs w:val="28"/>
        </w:rPr>
        <w:t>3</w:t>
      </w:r>
      <w:r w:rsidRPr="004135FE">
        <w:rPr>
          <w:rFonts w:ascii="Times New Roman" w:hAnsi="Times New Roman" w:cs="Times New Roman"/>
          <w:sz w:val="28"/>
          <w:szCs w:val="28"/>
        </w:rPr>
        <w:t xml:space="preserve">- </w:t>
      </w:r>
      <w:r w:rsidRPr="004135FE">
        <w:rPr>
          <w:rFonts w:ascii="Times New Roman" w:hAnsi="Times New Roman" w:cs="Times New Roman"/>
          <w:bCs/>
          <w:sz w:val="28"/>
          <w:szCs w:val="28"/>
        </w:rPr>
        <w:t>Влияния</w:t>
      </w:r>
      <w:r w:rsidRPr="004135FE">
        <w:rPr>
          <w:rFonts w:ascii="Times New Roman" w:hAnsi="Times New Roman" w:cs="Times New Roman"/>
          <w:sz w:val="28"/>
          <w:szCs w:val="28"/>
        </w:rPr>
        <w:t xml:space="preserve"> социальных и экономических детерминант на здоровье в зависимости от района проживания</w:t>
      </w:r>
    </w:p>
    <w:p w14:paraId="2E9BA27E" w14:textId="77777777" w:rsidR="004F0DE6" w:rsidRPr="004135FE" w:rsidRDefault="004F0DE6" w:rsidP="004135FE">
      <w:pPr>
        <w:spacing w:after="0" w:line="240" w:lineRule="auto"/>
        <w:jc w:val="both"/>
        <w:rPr>
          <w:rFonts w:ascii="Times New Roman" w:hAnsi="Times New Roman" w:cs="Times New Roman"/>
          <w:sz w:val="28"/>
          <w:szCs w:val="28"/>
        </w:rPr>
      </w:pPr>
    </w:p>
    <w:tbl>
      <w:tblPr>
        <w:tblStyle w:val="af9"/>
        <w:tblW w:w="14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3"/>
        <w:gridCol w:w="1894"/>
        <w:gridCol w:w="1062"/>
        <w:gridCol w:w="1062"/>
        <w:gridCol w:w="1062"/>
        <w:gridCol w:w="1062"/>
        <w:gridCol w:w="1062"/>
        <w:gridCol w:w="1257"/>
        <w:gridCol w:w="1283"/>
        <w:gridCol w:w="1062"/>
        <w:gridCol w:w="1162"/>
        <w:gridCol w:w="725"/>
      </w:tblGrid>
      <w:tr w:rsidR="00BA55B1" w:rsidRPr="004F0DE6" w14:paraId="470EE43D" w14:textId="77777777" w:rsidTr="00BA55B1">
        <w:trPr>
          <w:trHeight w:val="293"/>
        </w:trPr>
        <w:tc>
          <w:tcPr>
            <w:tcW w:w="3278" w:type="dxa"/>
            <w:gridSpan w:val="2"/>
            <w:noWrap/>
            <w:hideMark/>
          </w:tcPr>
          <w:p w14:paraId="1681A6C7" w14:textId="3169EEA6" w:rsidR="00BA55B1" w:rsidRPr="004F0DE6" w:rsidRDefault="00FA6CEB" w:rsidP="004135F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Варианты</w:t>
            </w:r>
          </w:p>
        </w:tc>
        <w:tc>
          <w:tcPr>
            <w:tcW w:w="1114" w:type="dxa"/>
            <w:noWrap/>
            <w:hideMark/>
          </w:tcPr>
          <w:p w14:paraId="06E7E754" w14:textId="77777777" w:rsidR="00BA55B1" w:rsidRPr="004F0DE6" w:rsidRDefault="00BA55B1"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Медеу</w:t>
            </w:r>
          </w:p>
        </w:tc>
        <w:tc>
          <w:tcPr>
            <w:tcW w:w="1114" w:type="dxa"/>
            <w:noWrap/>
            <w:hideMark/>
          </w:tcPr>
          <w:p w14:paraId="09A23C7D" w14:textId="77777777" w:rsidR="00BA55B1" w:rsidRPr="004F0DE6" w:rsidRDefault="00BA55B1"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Турксиб</w:t>
            </w:r>
          </w:p>
        </w:tc>
        <w:tc>
          <w:tcPr>
            <w:tcW w:w="1114" w:type="dxa"/>
            <w:noWrap/>
            <w:hideMark/>
          </w:tcPr>
          <w:p w14:paraId="2FF73904" w14:textId="77777777" w:rsidR="00BA55B1" w:rsidRPr="004F0DE6" w:rsidRDefault="00BA55B1"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Жетысу</w:t>
            </w:r>
          </w:p>
        </w:tc>
        <w:tc>
          <w:tcPr>
            <w:tcW w:w="1114" w:type="dxa"/>
            <w:noWrap/>
            <w:hideMark/>
          </w:tcPr>
          <w:p w14:paraId="3A530B5F" w14:textId="77777777" w:rsidR="00BA55B1" w:rsidRPr="004F0DE6" w:rsidRDefault="00BA55B1"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Ауэзов</w:t>
            </w:r>
          </w:p>
        </w:tc>
        <w:tc>
          <w:tcPr>
            <w:tcW w:w="1114" w:type="dxa"/>
            <w:noWrap/>
            <w:hideMark/>
          </w:tcPr>
          <w:p w14:paraId="1EE808D7" w14:textId="77777777" w:rsidR="00BA55B1" w:rsidRPr="004F0DE6" w:rsidRDefault="00BA55B1"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Алмалы</w:t>
            </w:r>
          </w:p>
        </w:tc>
        <w:tc>
          <w:tcPr>
            <w:tcW w:w="1189" w:type="dxa"/>
            <w:noWrap/>
            <w:hideMark/>
          </w:tcPr>
          <w:p w14:paraId="46A7E4F7" w14:textId="77777777" w:rsidR="00BA55B1" w:rsidRPr="004F0DE6" w:rsidRDefault="00BA55B1"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Бостандык</w:t>
            </w:r>
          </w:p>
        </w:tc>
        <w:tc>
          <w:tcPr>
            <w:tcW w:w="1214" w:type="dxa"/>
            <w:noWrap/>
            <w:hideMark/>
          </w:tcPr>
          <w:p w14:paraId="3207AECC" w14:textId="77777777" w:rsidR="00BA55B1" w:rsidRPr="004F0DE6" w:rsidRDefault="00BA55B1"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Наурызбай</w:t>
            </w:r>
          </w:p>
        </w:tc>
        <w:tc>
          <w:tcPr>
            <w:tcW w:w="1114" w:type="dxa"/>
            <w:noWrap/>
            <w:hideMark/>
          </w:tcPr>
          <w:p w14:paraId="6BC9A47E" w14:textId="77777777" w:rsidR="00BA55B1" w:rsidRPr="004F0DE6" w:rsidRDefault="00BA55B1"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Алатау</w:t>
            </w:r>
          </w:p>
        </w:tc>
        <w:tc>
          <w:tcPr>
            <w:tcW w:w="1220" w:type="dxa"/>
            <w:noWrap/>
            <w:hideMark/>
          </w:tcPr>
          <w:p w14:paraId="31B8748E" w14:textId="77777777" w:rsidR="00BA55B1" w:rsidRPr="004F0DE6" w:rsidRDefault="00BA55B1"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Total</w:t>
            </w:r>
          </w:p>
        </w:tc>
        <w:tc>
          <w:tcPr>
            <w:tcW w:w="691" w:type="dxa"/>
          </w:tcPr>
          <w:p w14:paraId="0C5C2BF4" w14:textId="77777777" w:rsidR="00BA55B1" w:rsidRPr="004F0DE6" w:rsidRDefault="00BA55B1"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Р</w:t>
            </w:r>
          </w:p>
        </w:tc>
      </w:tr>
      <w:tr w:rsidR="00BA55B1" w:rsidRPr="004F0DE6" w14:paraId="5055AAE1" w14:textId="77777777" w:rsidTr="00BA55B1">
        <w:trPr>
          <w:trHeight w:val="293"/>
        </w:trPr>
        <w:tc>
          <w:tcPr>
            <w:tcW w:w="3278" w:type="dxa"/>
            <w:gridSpan w:val="2"/>
            <w:noWrap/>
          </w:tcPr>
          <w:p w14:paraId="474CB279" w14:textId="0189498B" w:rsidR="00BA55B1" w:rsidRDefault="00BA55B1" w:rsidP="004135F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114" w:type="dxa"/>
            <w:noWrap/>
          </w:tcPr>
          <w:p w14:paraId="6467B574" w14:textId="0AD6F7C5" w:rsidR="00BA55B1" w:rsidRPr="004F0DE6" w:rsidRDefault="00BA55B1" w:rsidP="004135F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114" w:type="dxa"/>
            <w:noWrap/>
          </w:tcPr>
          <w:p w14:paraId="79A919C0" w14:textId="73EC02BA" w:rsidR="00BA55B1" w:rsidRPr="004F0DE6" w:rsidRDefault="00BA55B1" w:rsidP="004135F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114" w:type="dxa"/>
            <w:noWrap/>
          </w:tcPr>
          <w:p w14:paraId="674DC931" w14:textId="40318DD2" w:rsidR="00BA55B1" w:rsidRPr="004F0DE6" w:rsidRDefault="00BA55B1" w:rsidP="004135F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114" w:type="dxa"/>
            <w:noWrap/>
          </w:tcPr>
          <w:p w14:paraId="2E2C531D" w14:textId="481A9744" w:rsidR="00BA55B1" w:rsidRPr="004F0DE6" w:rsidRDefault="00BA55B1" w:rsidP="004135F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114" w:type="dxa"/>
            <w:noWrap/>
          </w:tcPr>
          <w:p w14:paraId="757D521A" w14:textId="3F29EDB6" w:rsidR="00BA55B1" w:rsidRPr="004F0DE6" w:rsidRDefault="00BA55B1" w:rsidP="004135F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189" w:type="dxa"/>
            <w:noWrap/>
          </w:tcPr>
          <w:p w14:paraId="63C3B617" w14:textId="46912912" w:rsidR="00BA55B1" w:rsidRPr="004F0DE6" w:rsidRDefault="00BA55B1" w:rsidP="004135F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214" w:type="dxa"/>
            <w:noWrap/>
          </w:tcPr>
          <w:p w14:paraId="662D79ED" w14:textId="49E17C18" w:rsidR="00BA55B1" w:rsidRPr="004F0DE6" w:rsidRDefault="00BA55B1" w:rsidP="004135F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114" w:type="dxa"/>
            <w:noWrap/>
          </w:tcPr>
          <w:p w14:paraId="79AB76AD" w14:textId="6A62756A" w:rsidR="00BA55B1" w:rsidRPr="004F0DE6" w:rsidRDefault="00BA55B1" w:rsidP="004135F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1220" w:type="dxa"/>
            <w:noWrap/>
          </w:tcPr>
          <w:p w14:paraId="41F4B52C" w14:textId="3EBC077E" w:rsidR="00BA55B1" w:rsidRPr="004F0DE6" w:rsidRDefault="00BA55B1" w:rsidP="004135F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691" w:type="dxa"/>
          </w:tcPr>
          <w:p w14:paraId="63D7293B" w14:textId="7462876C" w:rsidR="00BA55B1" w:rsidRPr="004F0DE6" w:rsidRDefault="00BA55B1" w:rsidP="004135F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r>
      <w:tr w:rsidR="007A2C38" w:rsidRPr="004F0DE6" w14:paraId="0279A0BA" w14:textId="77777777" w:rsidTr="00BA55B1">
        <w:trPr>
          <w:trHeight w:val="293"/>
        </w:trPr>
        <w:tc>
          <w:tcPr>
            <w:tcW w:w="1494" w:type="dxa"/>
            <w:vMerge w:val="restart"/>
            <w:noWrap/>
            <w:hideMark/>
          </w:tcPr>
          <w:p w14:paraId="2156E5A2"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 xml:space="preserve">Организации, которые оказали моральные и материальные поддержки во время карантина по </w:t>
            </w:r>
            <w:r w:rsidRPr="004F0DE6">
              <w:rPr>
                <w:rFonts w:ascii="Times New Roman" w:eastAsia="Times New Roman" w:hAnsi="Times New Roman" w:cs="Times New Roman"/>
                <w:sz w:val="24"/>
                <w:szCs w:val="24"/>
                <w:lang w:val="en-US"/>
              </w:rPr>
              <w:t>Covid</w:t>
            </w:r>
            <w:r w:rsidRPr="004F0DE6">
              <w:rPr>
                <w:rFonts w:ascii="Times New Roman" w:eastAsia="Times New Roman" w:hAnsi="Times New Roman" w:cs="Times New Roman"/>
                <w:sz w:val="24"/>
                <w:szCs w:val="24"/>
              </w:rPr>
              <w:t>-19</w:t>
            </w:r>
          </w:p>
        </w:tc>
        <w:tc>
          <w:tcPr>
            <w:tcW w:w="1784" w:type="dxa"/>
            <w:noWrap/>
            <w:hideMark/>
          </w:tcPr>
          <w:p w14:paraId="1DB439CA"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CALL-центры</w:t>
            </w:r>
          </w:p>
        </w:tc>
        <w:tc>
          <w:tcPr>
            <w:tcW w:w="1114" w:type="dxa"/>
            <w:noWrap/>
            <w:vAlign w:val="center"/>
            <w:hideMark/>
          </w:tcPr>
          <w:p w14:paraId="2619CE3B" w14:textId="40F16CAC"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5</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(9,4%)</w:t>
            </w:r>
          </w:p>
        </w:tc>
        <w:tc>
          <w:tcPr>
            <w:tcW w:w="1114" w:type="dxa"/>
            <w:noWrap/>
            <w:vAlign w:val="center"/>
            <w:hideMark/>
          </w:tcPr>
          <w:p w14:paraId="47096ABA" w14:textId="08E2E1DF"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11</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(15,7%)</w:t>
            </w:r>
          </w:p>
        </w:tc>
        <w:tc>
          <w:tcPr>
            <w:tcW w:w="1114" w:type="dxa"/>
            <w:noWrap/>
            <w:vAlign w:val="center"/>
            <w:hideMark/>
          </w:tcPr>
          <w:p w14:paraId="4F502B60" w14:textId="02FFE442"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15</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(28,8%)</w:t>
            </w:r>
          </w:p>
        </w:tc>
        <w:tc>
          <w:tcPr>
            <w:tcW w:w="1114" w:type="dxa"/>
            <w:noWrap/>
            <w:vAlign w:val="center"/>
            <w:hideMark/>
          </w:tcPr>
          <w:p w14:paraId="519CD87E" w14:textId="2DE46CF4"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17</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(19,8%)</w:t>
            </w:r>
          </w:p>
        </w:tc>
        <w:tc>
          <w:tcPr>
            <w:tcW w:w="1114" w:type="dxa"/>
            <w:noWrap/>
            <w:vAlign w:val="center"/>
            <w:hideMark/>
          </w:tcPr>
          <w:p w14:paraId="092A32B8" w14:textId="2F34903B"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(13,2%)</w:t>
            </w:r>
          </w:p>
        </w:tc>
        <w:tc>
          <w:tcPr>
            <w:tcW w:w="1189" w:type="dxa"/>
            <w:noWrap/>
            <w:vAlign w:val="center"/>
            <w:hideMark/>
          </w:tcPr>
          <w:p w14:paraId="32E86143" w14:textId="0E8DEBC6"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26</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(31,7%)</w:t>
            </w:r>
          </w:p>
        </w:tc>
        <w:tc>
          <w:tcPr>
            <w:tcW w:w="1214" w:type="dxa"/>
            <w:noWrap/>
            <w:vAlign w:val="center"/>
            <w:hideMark/>
          </w:tcPr>
          <w:p w14:paraId="17E80575" w14:textId="759AB137"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6</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(30,0%)</w:t>
            </w:r>
          </w:p>
        </w:tc>
        <w:tc>
          <w:tcPr>
            <w:tcW w:w="1114" w:type="dxa"/>
            <w:noWrap/>
            <w:vAlign w:val="center"/>
            <w:hideMark/>
          </w:tcPr>
          <w:p w14:paraId="3B26233C" w14:textId="4A8D8437"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3</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(7,3%)</w:t>
            </w:r>
          </w:p>
        </w:tc>
        <w:tc>
          <w:tcPr>
            <w:tcW w:w="1220" w:type="dxa"/>
            <w:noWrap/>
            <w:vAlign w:val="center"/>
            <w:hideMark/>
          </w:tcPr>
          <w:p w14:paraId="41228472" w14:textId="321607ED"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93</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(19,4%)</w:t>
            </w:r>
          </w:p>
        </w:tc>
        <w:tc>
          <w:tcPr>
            <w:tcW w:w="691" w:type="dxa"/>
            <w:vMerge w:val="restart"/>
          </w:tcPr>
          <w:p w14:paraId="643FE679" w14:textId="77777777" w:rsidR="007A2C38" w:rsidRPr="004F0DE6" w:rsidRDefault="007A2C38" w:rsidP="004135FE">
            <w:pPr>
              <w:spacing w:after="0" w:line="240" w:lineRule="auto"/>
              <w:jc w:val="center"/>
              <w:rPr>
                <w:rFonts w:ascii="Times New Roman" w:eastAsia="Times New Roman" w:hAnsi="Times New Roman" w:cs="Times New Roman"/>
                <w:sz w:val="24"/>
                <w:szCs w:val="24"/>
                <w:lang w:val="en-US"/>
              </w:rPr>
            </w:pPr>
            <w:r w:rsidRPr="004F0DE6">
              <w:rPr>
                <w:rFonts w:ascii="Times New Roman" w:eastAsia="Times New Roman" w:hAnsi="Times New Roman" w:cs="Times New Roman"/>
                <w:sz w:val="24"/>
                <w:szCs w:val="24"/>
                <w:lang w:val="en-US"/>
              </w:rPr>
              <w:t>0,001</w:t>
            </w:r>
          </w:p>
        </w:tc>
      </w:tr>
      <w:tr w:rsidR="007A2C38" w:rsidRPr="004F0DE6" w14:paraId="08AD72BF" w14:textId="77777777" w:rsidTr="00BA55B1">
        <w:trPr>
          <w:trHeight w:val="293"/>
        </w:trPr>
        <w:tc>
          <w:tcPr>
            <w:tcW w:w="1494" w:type="dxa"/>
            <w:vMerge/>
            <w:noWrap/>
            <w:hideMark/>
          </w:tcPr>
          <w:p w14:paraId="0F17C136"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p>
        </w:tc>
        <w:tc>
          <w:tcPr>
            <w:tcW w:w="1784" w:type="dxa"/>
            <w:noWrap/>
            <w:hideMark/>
          </w:tcPr>
          <w:p w14:paraId="1D5BEC98"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Нур-Отан</w:t>
            </w:r>
          </w:p>
        </w:tc>
        <w:tc>
          <w:tcPr>
            <w:tcW w:w="1114" w:type="dxa"/>
            <w:noWrap/>
            <w:vAlign w:val="center"/>
            <w:hideMark/>
          </w:tcPr>
          <w:p w14:paraId="6A9041A2" w14:textId="196AF8D0" w:rsidR="007A2C38" w:rsidRPr="004F0DE6" w:rsidRDefault="007A2C38" w:rsidP="00BA55B1">
            <w:pPr>
              <w:spacing w:after="0" w:line="240" w:lineRule="auto"/>
              <w:jc w:val="center"/>
              <w:rPr>
                <w:rFonts w:ascii="Times New Roman" w:eastAsia="Times New Roman" w:hAnsi="Times New Roman" w:cs="Times New Roman"/>
                <w:sz w:val="24"/>
                <w:szCs w:val="24"/>
                <w:lang w:val="en-US"/>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114" w:type="dxa"/>
            <w:noWrap/>
            <w:vAlign w:val="center"/>
            <w:hideMark/>
          </w:tcPr>
          <w:p w14:paraId="3B32C974" w14:textId="2251064A"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7</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(10,0%)</w:t>
            </w:r>
          </w:p>
        </w:tc>
        <w:tc>
          <w:tcPr>
            <w:tcW w:w="1114" w:type="dxa"/>
            <w:noWrap/>
            <w:vAlign w:val="center"/>
            <w:hideMark/>
          </w:tcPr>
          <w:p w14:paraId="26674CAC" w14:textId="7D7C3D85"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2</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(3,8%)</w:t>
            </w:r>
          </w:p>
        </w:tc>
        <w:tc>
          <w:tcPr>
            <w:tcW w:w="1114" w:type="dxa"/>
            <w:noWrap/>
            <w:vAlign w:val="center"/>
            <w:hideMark/>
          </w:tcPr>
          <w:p w14:paraId="63F51AAE" w14:textId="757AA797"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3</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(3,5%)</w:t>
            </w:r>
          </w:p>
        </w:tc>
        <w:tc>
          <w:tcPr>
            <w:tcW w:w="1114" w:type="dxa"/>
            <w:noWrap/>
            <w:vAlign w:val="center"/>
            <w:hideMark/>
          </w:tcPr>
          <w:p w14:paraId="4D0D67E4" w14:textId="1269875D"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(1,3%)</w:t>
            </w:r>
          </w:p>
        </w:tc>
        <w:tc>
          <w:tcPr>
            <w:tcW w:w="1189" w:type="dxa"/>
            <w:noWrap/>
            <w:vAlign w:val="center"/>
            <w:hideMark/>
          </w:tcPr>
          <w:p w14:paraId="16577823" w14:textId="1DA9B3F5"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(1,2%)</w:t>
            </w:r>
          </w:p>
        </w:tc>
        <w:tc>
          <w:tcPr>
            <w:tcW w:w="1214" w:type="dxa"/>
            <w:noWrap/>
            <w:vAlign w:val="center"/>
            <w:hideMark/>
          </w:tcPr>
          <w:p w14:paraId="34A8962E" w14:textId="746D3C28"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114" w:type="dxa"/>
            <w:noWrap/>
            <w:vAlign w:val="center"/>
            <w:hideMark/>
          </w:tcPr>
          <w:p w14:paraId="429636C8" w14:textId="753E5C70"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220" w:type="dxa"/>
            <w:noWrap/>
            <w:vAlign w:val="center"/>
            <w:hideMark/>
          </w:tcPr>
          <w:p w14:paraId="17C068DB" w14:textId="123ACFB0"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14</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(2,9%)</w:t>
            </w:r>
          </w:p>
        </w:tc>
        <w:tc>
          <w:tcPr>
            <w:tcW w:w="691" w:type="dxa"/>
            <w:vMerge/>
          </w:tcPr>
          <w:p w14:paraId="4B835700"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p>
        </w:tc>
      </w:tr>
      <w:tr w:rsidR="007A2C38" w:rsidRPr="004F0DE6" w14:paraId="4C305AD2" w14:textId="77777777" w:rsidTr="00BA55B1">
        <w:trPr>
          <w:trHeight w:val="293"/>
        </w:trPr>
        <w:tc>
          <w:tcPr>
            <w:tcW w:w="1494" w:type="dxa"/>
            <w:vMerge/>
            <w:noWrap/>
            <w:hideMark/>
          </w:tcPr>
          <w:p w14:paraId="0117B167"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p>
        </w:tc>
        <w:tc>
          <w:tcPr>
            <w:tcW w:w="1784" w:type="dxa"/>
            <w:noWrap/>
            <w:hideMark/>
          </w:tcPr>
          <w:p w14:paraId="04FD6FBF"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Красный полумесяц Казахстана</w:t>
            </w:r>
          </w:p>
        </w:tc>
        <w:tc>
          <w:tcPr>
            <w:tcW w:w="1114" w:type="dxa"/>
            <w:noWrap/>
            <w:vAlign w:val="center"/>
            <w:hideMark/>
          </w:tcPr>
          <w:p w14:paraId="09B4B620" w14:textId="37D7F252"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114" w:type="dxa"/>
            <w:noWrap/>
            <w:vAlign w:val="center"/>
            <w:hideMark/>
          </w:tcPr>
          <w:p w14:paraId="74BBB063" w14:textId="7277F473"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2</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(2,9%)</w:t>
            </w:r>
          </w:p>
        </w:tc>
        <w:tc>
          <w:tcPr>
            <w:tcW w:w="1114" w:type="dxa"/>
            <w:noWrap/>
            <w:vAlign w:val="center"/>
            <w:hideMark/>
          </w:tcPr>
          <w:p w14:paraId="5F6AC0D4" w14:textId="7EE9D69C"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114" w:type="dxa"/>
            <w:noWrap/>
            <w:vAlign w:val="center"/>
            <w:hideMark/>
          </w:tcPr>
          <w:p w14:paraId="1D74629A" w14:textId="6BDB222B"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(1,2%)</w:t>
            </w:r>
          </w:p>
        </w:tc>
        <w:tc>
          <w:tcPr>
            <w:tcW w:w="1114" w:type="dxa"/>
            <w:noWrap/>
            <w:vAlign w:val="center"/>
            <w:hideMark/>
          </w:tcPr>
          <w:p w14:paraId="14F782C4" w14:textId="50BAC36E"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5</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(6,6%)</w:t>
            </w:r>
          </w:p>
        </w:tc>
        <w:tc>
          <w:tcPr>
            <w:tcW w:w="1189" w:type="dxa"/>
            <w:noWrap/>
            <w:vAlign w:val="center"/>
            <w:hideMark/>
          </w:tcPr>
          <w:p w14:paraId="7660645A" w14:textId="27E83DE3"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2</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(2,4%)</w:t>
            </w:r>
          </w:p>
        </w:tc>
        <w:tc>
          <w:tcPr>
            <w:tcW w:w="1214" w:type="dxa"/>
            <w:noWrap/>
            <w:vAlign w:val="center"/>
            <w:hideMark/>
          </w:tcPr>
          <w:p w14:paraId="6AF6D803" w14:textId="139AE8A9"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114" w:type="dxa"/>
            <w:noWrap/>
            <w:vAlign w:val="center"/>
            <w:hideMark/>
          </w:tcPr>
          <w:p w14:paraId="1AC9ED18" w14:textId="38DC61E7"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220" w:type="dxa"/>
            <w:noWrap/>
            <w:vAlign w:val="center"/>
            <w:hideMark/>
          </w:tcPr>
          <w:p w14:paraId="4F996AE3" w14:textId="79A4B1D5"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(2,1%)</w:t>
            </w:r>
          </w:p>
        </w:tc>
        <w:tc>
          <w:tcPr>
            <w:tcW w:w="691" w:type="dxa"/>
            <w:vMerge/>
          </w:tcPr>
          <w:p w14:paraId="4BA67702"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p>
        </w:tc>
      </w:tr>
      <w:tr w:rsidR="007A2C38" w:rsidRPr="004F0DE6" w14:paraId="1835A345" w14:textId="77777777" w:rsidTr="00BA55B1">
        <w:trPr>
          <w:trHeight w:val="293"/>
        </w:trPr>
        <w:tc>
          <w:tcPr>
            <w:tcW w:w="1494" w:type="dxa"/>
            <w:vMerge/>
            <w:noWrap/>
            <w:hideMark/>
          </w:tcPr>
          <w:p w14:paraId="761914FC"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p>
        </w:tc>
        <w:tc>
          <w:tcPr>
            <w:tcW w:w="1784" w:type="dxa"/>
            <w:noWrap/>
            <w:hideMark/>
          </w:tcPr>
          <w:p w14:paraId="3B46FA90"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Родственники</w:t>
            </w:r>
          </w:p>
        </w:tc>
        <w:tc>
          <w:tcPr>
            <w:tcW w:w="1114" w:type="dxa"/>
            <w:noWrap/>
            <w:vAlign w:val="center"/>
            <w:hideMark/>
          </w:tcPr>
          <w:p w14:paraId="2D073942" w14:textId="3E472D31"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19</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(35,8%)</w:t>
            </w:r>
          </w:p>
        </w:tc>
        <w:tc>
          <w:tcPr>
            <w:tcW w:w="1114" w:type="dxa"/>
            <w:noWrap/>
            <w:vAlign w:val="center"/>
            <w:hideMark/>
          </w:tcPr>
          <w:p w14:paraId="092C75BE" w14:textId="4B9D9188"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12</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(17,1%)</w:t>
            </w:r>
          </w:p>
        </w:tc>
        <w:tc>
          <w:tcPr>
            <w:tcW w:w="1114" w:type="dxa"/>
            <w:noWrap/>
            <w:vAlign w:val="center"/>
            <w:hideMark/>
          </w:tcPr>
          <w:p w14:paraId="09ADA88F" w14:textId="76E4FB59"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11</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(21,2%)</w:t>
            </w:r>
          </w:p>
        </w:tc>
        <w:tc>
          <w:tcPr>
            <w:tcW w:w="1114" w:type="dxa"/>
            <w:noWrap/>
            <w:vAlign w:val="center"/>
            <w:hideMark/>
          </w:tcPr>
          <w:p w14:paraId="662821B5" w14:textId="498B8995"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16</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(18,6%)</w:t>
            </w:r>
          </w:p>
        </w:tc>
        <w:tc>
          <w:tcPr>
            <w:tcW w:w="1114" w:type="dxa"/>
            <w:noWrap/>
            <w:vAlign w:val="center"/>
            <w:hideMark/>
          </w:tcPr>
          <w:p w14:paraId="2CA1F997" w14:textId="0929E389"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12</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(15,8%)</w:t>
            </w:r>
          </w:p>
        </w:tc>
        <w:tc>
          <w:tcPr>
            <w:tcW w:w="1189" w:type="dxa"/>
            <w:noWrap/>
            <w:vAlign w:val="center"/>
            <w:hideMark/>
          </w:tcPr>
          <w:p w14:paraId="5CF0F1B7" w14:textId="270AC069"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13</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(15,9%)</w:t>
            </w:r>
          </w:p>
        </w:tc>
        <w:tc>
          <w:tcPr>
            <w:tcW w:w="1214" w:type="dxa"/>
            <w:noWrap/>
            <w:vAlign w:val="center"/>
            <w:hideMark/>
          </w:tcPr>
          <w:p w14:paraId="2275EDD9" w14:textId="41E82527"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5</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(25,0%)</w:t>
            </w:r>
          </w:p>
        </w:tc>
        <w:tc>
          <w:tcPr>
            <w:tcW w:w="1114" w:type="dxa"/>
            <w:noWrap/>
            <w:vAlign w:val="center"/>
            <w:hideMark/>
          </w:tcPr>
          <w:p w14:paraId="213254AF" w14:textId="01E62DE0"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12</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(29,3%)</w:t>
            </w:r>
          </w:p>
        </w:tc>
        <w:tc>
          <w:tcPr>
            <w:tcW w:w="1220" w:type="dxa"/>
            <w:noWrap/>
            <w:vAlign w:val="center"/>
            <w:hideMark/>
          </w:tcPr>
          <w:p w14:paraId="22E76F8E" w14:textId="767AA2A5"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100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(20,8%)</w:t>
            </w:r>
          </w:p>
        </w:tc>
        <w:tc>
          <w:tcPr>
            <w:tcW w:w="691" w:type="dxa"/>
            <w:vMerge/>
          </w:tcPr>
          <w:p w14:paraId="23AF53FC"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p>
        </w:tc>
      </w:tr>
      <w:tr w:rsidR="007A2C38" w:rsidRPr="004F0DE6" w14:paraId="59F5969D" w14:textId="77777777" w:rsidTr="00BA55B1">
        <w:trPr>
          <w:trHeight w:val="293"/>
        </w:trPr>
        <w:tc>
          <w:tcPr>
            <w:tcW w:w="1494" w:type="dxa"/>
            <w:vMerge/>
            <w:noWrap/>
            <w:hideMark/>
          </w:tcPr>
          <w:p w14:paraId="5CC554CC"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p>
        </w:tc>
        <w:tc>
          <w:tcPr>
            <w:tcW w:w="1784" w:type="dxa"/>
            <w:noWrap/>
            <w:hideMark/>
          </w:tcPr>
          <w:p w14:paraId="195301EF"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ДАРК</w:t>
            </w:r>
          </w:p>
        </w:tc>
        <w:tc>
          <w:tcPr>
            <w:tcW w:w="1114" w:type="dxa"/>
            <w:noWrap/>
            <w:vAlign w:val="center"/>
            <w:hideMark/>
          </w:tcPr>
          <w:p w14:paraId="207DEFEA" w14:textId="59BE7D97"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114" w:type="dxa"/>
            <w:noWrap/>
            <w:vAlign w:val="center"/>
            <w:hideMark/>
          </w:tcPr>
          <w:p w14:paraId="1A699F6E" w14:textId="7BE4FF1D"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114" w:type="dxa"/>
            <w:noWrap/>
            <w:vAlign w:val="center"/>
            <w:hideMark/>
          </w:tcPr>
          <w:p w14:paraId="6115F402" w14:textId="1B1C0601"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114" w:type="dxa"/>
            <w:noWrap/>
            <w:vAlign w:val="center"/>
            <w:hideMark/>
          </w:tcPr>
          <w:p w14:paraId="223EE1A5" w14:textId="1D1F219E"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114" w:type="dxa"/>
            <w:noWrap/>
            <w:vAlign w:val="center"/>
            <w:hideMark/>
          </w:tcPr>
          <w:p w14:paraId="61634683" w14:textId="4E59684A"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189" w:type="dxa"/>
            <w:noWrap/>
            <w:vAlign w:val="center"/>
            <w:hideMark/>
          </w:tcPr>
          <w:p w14:paraId="38950C0C" w14:textId="5702BA12"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(1,2%)</w:t>
            </w:r>
          </w:p>
        </w:tc>
        <w:tc>
          <w:tcPr>
            <w:tcW w:w="1214" w:type="dxa"/>
            <w:noWrap/>
            <w:vAlign w:val="center"/>
            <w:hideMark/>
          </w:tcPr>
          <w:p w14:paraId="48FBF6E2" w14:textId="1EA9208E"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114" w:type="dxa"/>
            <w:noWrap/>
            <w:vAlign w:val="center"/>
            <w:hideMark/>
          </w:tcPr>
          <w:p w14:paraId="053B23BB" w14:textId="59529D29"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220" w:type="dxa"/>
            <w:noWrap/>
            <w:vAlign w:val="center"/>
            <w:hideMark/>
          </w:tcPr>
          <w:p w14:paraId="48D6786D" w14:textId="516402DD"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(0,2%)</w:t>
            </w:r>
          </w:p>
        </w:tc>
        <w:tc>
          <w:tcPr>
            <w:tcW w:w="691" w:type="dxa"/>
            <w:vMerge/>
          </w:tcPr>
          <w:p w14:paraId="66D6CFFA"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p>
        </w:tc>
      </w:tr>
      <w:tr w:rsidR="007A2C38" w:rsidRPr="004F0DE6" w14:paraId="59385923" w14:textId="77777777" w:rsidTr="00BA55B1">
        <w:trPr>
          <w:trHeight w:val="293"/>
        </w:trPr>
        <w:tc>
          <w:tcPr>
            <w:tcW w:w="1494" w:type="dxa"/>
            <w:vMerge/>
            <w:noWrap/>
            <w:hideMark/>
          </w:tcPr>
          <w:p w14:paraId="3D9FFB59"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p>
        </w:tc>
        <w:tc>
          <w:tcPr>
            <w:tcW w:w="1784" w:type="dxa"/>
            <w:noWrap/>
            <w:hideMark/>
          </w:tcPr>
          <w:p w14:paraId="3D7A57E7"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Алматинское гор. общество инвалидов</w:t>
            </w:r>
          </w:p>
        </w:tc>
        <w:tc>
          <w:tcPr>
            <w:tcW w:w="1114" w:type="dxa"/>
            <w:noWrap/>
            <w:vAlign w:val="center"/>
            <w:hideMark/>
          </w:tcPr>
          <w:p w14:paraId="198B1934" w14:textId="41175F2E"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114" w:type="dxa"/>
            <w:noWrap/>
            <w:vAlign w:val="center"/>
            <w:hideMark/>
          </w:tcPr>
          <w:p w14:paraId="0852A308" w14:textId="4FD88948"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114" w:type="dxa"/>
            <w:noWrap/>
            <w:vAlign w:val="center"/>
            <w:hideMark/>
          </w:tcPr>
          <w:p w14:paraId="654513CA" w14:textId="2D19BF9C"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(1,9%)</w:t>
            </w:r>
          </w:p>
        </w:tc>
        <w:tc>
          <w:tcPr>
            <w:tcW w:w="1114" w:type="dxa"/>
            <w:noWrap/>
            <w:vAlign w:val="center"/>
            <w:hideMark/>
          </w:tcPr>
          <w:p w14:paraId="26151AD4" w14:textId="794D7F4E"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114" w:type="dxa"/>
            <w:noWrap/>
            <w:vAlign w:val="center"/>
            <w:hideMark/>
          </w:tcPr>
          <w:p w14:paraId="12B306D1" w14:textId="48763148"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(1,3%)</w:t>
            </w:r>
          </w:p>
        </w:tc>
        <w:tc>
          <w:tcPr>
            <w:tcW w:w="1189" w:type="dxa"/>
            <w:noWrap/>
            <w:vAlign w:val="center"/>
            <w:hideMark/>
          </w:tcPr>
          <w:p w14:paraId="7919448F" w14:textId="18C49433"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214" w:type="dxa"/>
            <w:noWrap/>
            <w:vAlign w:val="center"/>
            <w:hideMark/>
          </w:tcPr>
          <w:p w14:paraId="59680A79" w14:textId="6CBFE517"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114" w:type="dxa"/>
            <w:noWrap/>
            <w:vAlign w:val="center"/>
            <w:hideMark/>
          </w:tcPr>
          <w:p w14:paraId="0766ACC9" w14:textId="08778898"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(2,4%)</w:t>
            </w:r>
          </w:p>
        </w:tc>
        <w:tc>
          <w:tcPr>
            <w:tcW w:w="1220" w:type="dxa"/>
            <w:noWrap/>
            <w:vAlign w:val="center"/>
            <w:hideMark/>
          </w:tcPr>
          <w:p w14:paraId="08FF52EB" w14:textId="04CEB161"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3</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(,6%)</w:t>
            </w:r>
          </w:p>
        </w:tc>
        <w:tc>
          <w:tcPr>
            <w:tcW w:w="691" w:type="dxa"/>
            <w:vMerge/>
          </w:tcPr>
          <w:p w14:paraId="461CC82E"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p>
        </w:tc>
      </w:tr>
      <w:tr w:rsidR="007A2C38" w:rsidRPr="004F0DE6" w14:paraId="60D5C97F" w14:textId="77777777" w:rsidTr="00BA55B1">
        <w:trPr>
          <w:trHeight w:val="293"/>
        </w:trPr>
        <w:tc>
          <w:tcPr>
            <w:tcW w:w="1494" w:type="dxa"/>
            <w:vMerge/>
            <w:noWrap/>
            <w:hideMark/>
          </w:tcPr>
          <w:p w14:paraId="61C0780B"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p>
        </w:tc>
        <w:tc>
          <w:tcPr>
            <w:tcW w:w="1784" w:type="dxa"/>
            <w:noWrap/>
            <w:hideMark/>
          </w:tcPr>
          <w:p w14:paraId="2FCA2027"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Гор.поликлиника</w:t>
            </w:r>
          </w:p>
        </w:tc>
        <w:tc>
          <w:tcPr>
            <w:tcW w:w="1114" w:type="dxa"/>
            <w:noWrap/>
            <w:vAlign w:val="center"/>
            <w:hideMark/>
          </w:tcPr>
          <w:p w14:paraId="7840500E" w14:textId="38AB4140"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9</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(17,0%)</w:t>
            </w:r>
          </w:p>
        </w:tc>
        <w:tc>
          <w:tcPr>
            <w:tcW w:w="1114" w:type="dxa"/>
            <w:noWrap/>
            <w:vAlign w:val="center"/>
            <w:hideMark/>
          </w:tcPr>
          <w:p w14:paraId="564C2BC3" w14:textId="1CF3106A"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19</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(27,1%)</w:t>
            </w:r>
          </w:p>
        </w:tc>
        <w:tc>
          <w:tcPr>
            <w:tcW w:w="1114" w:type="dxa"/>
            <w:noWrap/>
            <w:vAlign w:val="center"/>
            <w:hideMark/>
          </w:tcPr>
          <w:p w14:paraId="4337A949" w14:textId="33C97605"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15</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(28,8%)</w:t>
            </w:r>
          </w:p>
        </w:tc>
        <w:tc>
          <w:tcPr>
            <w:tcW w:w="1114" w:type="dxa"/>
            <w:noWrap/>
            <w:vAlign w:val="center"/>
            <w:hideMark/>
          </w:tcPr>
          <w:p w14:paraId="4966405E" w14:textId="52C16A8B"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23</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(26,7%)</w:t>
            </w:r>
          </w:p>
        </w:tc>
        <w:tc>
          <w:tcPr>
            <w:tcW w:w="1114" w:type="dxa"/>
            <w:noWrap/>
            <w:vAlign w:val="center"/>
            <w:hideMark/>
          </w:tcPr>
          <w:p w14:paraId="72C030BC" w14:textId="61213055"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6</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(7,9%)</w:t>
            </w:r>
          </w:p>
        </w:tc>
        <w:tc>
          <w:tcPr>
            <w:tcW w:w="1189" w:type="dxa"/>
            <w:noWrap/>
            <w:vAlign w:val="center"/>
            <w:hideMark/>
          </w:tcPr>
          <w:p w14:paraId="521A8D4A" w14:textId="514824EA"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7</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(8,5%)</w:t>
            </w:r>
          </w:p>
        </w:tc>
        <w:tc>
          <w:tcPr>
            <w:tcW w:w="1214" w:type="dxa"/>
            <w:noWrap/>
            <w:vAlign w:val="center"/>
            <w:hideMark/>
          </w:tcPr>
          <w:p w14:paraId="5FAB266C" w14:textId="57BCFE65"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2</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(10,0%)</w:t>
            </w:r>
          </w:p>
        </w:tc>
        <w:tc>
          <w:tcPr>
            <w:tcW w:w="1114" w:type="dxa"/>
            <w:noWrap/>
            <w:vAlign w:val="center"/>
            <w:hideMark/>
          </w:tcPr>
          <w:p w14:paraId="43EDF592" w14:textId="08785D49"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(24,4%)</w:t>
            </w:r>
          </w:p>
        </w:tc>
        <w:tc>
          <w:tcPr>
            <w:tcW w:w="1220" w:type="dxa"/>
            <w:noWrap/>
            <w:vAlign w:val="center"/>
            <w:hideMark/>
          </w:tcPr>
          <w:p w14:paraId="1AF2B0F1" w14:textId="0C9F5EEA"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91</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(19,0%)</w:t>
            </w:r>
          </w:p>
        </w:tc>
        <w:tc>
          <w:tcPr>
            <w:tcW w:w="691" w:type="dxa"/>
            <w:vMerge/>
          </w:tcPr>
          <w:p w14:paraId="6B7ACB4A"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p>
        </w:tc>
      </w:tr>
      <w:tr w:rsidR="007A2C38" w:rsidRPr="004F0DE6" w14:paraId="34A8BA2C" w14:textId="77777777" w:rsidTr="00BA55B1">
        <w:trPr>
          <w:trHeight w:val="293"/>
        </w:trPr>
        <w:tc>
          <w:tcPr>
            <w:tcW w:w="1494" w:type="dxa"/>
            <w:vMerge/>
            <w:noWrap/>
            <w:hideMark/>
          </w:tcPr>
          <w:p w14:paraId="049FF178"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p>
        </w:tc>
        <w:tc>
          <w:tcPr>
            <w:tcW w:w="1784" w:type="dxa"/>
            <w:noWrap/>
            <w:hideMark/>
          </w:tcPr>
          <w:p w14:paraId="06FF4464"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Районный акимат</w:t>
            </w:r>
          </w:p>
        </w:tc>
        <w:tc>
          <w:tcPr>
            <w:tcW w:w="1114" w:type="dxa"/>
            <w:noWrap/>
            <w:vAlign w:val="center"/>
            <w:hideMark/>
          </w:tcPr>
          <w:p w14:paraId="09EF61DC" w14:textId="5914BAD5"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114" w:type="dxa"/>
            <w:noWrap/>
            <w:vAlign w:val="center"/>
            <w:hideMark/>
          </w:tcPr>
          <w:p w14:paraId="3F89EADF" w14:textId="2BC90014"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5</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(7,1%)</w:t>
            </w:r>
          </w:p>
        </w:tc>
        <w:tc>
          <w:tcPr>
            <w:tcW w:w="1114" w:type="dxa"/>
            <w:noWrap/>
            <w:vAlign w:val="center"/>
            <w:hideMark/>
          </w:tcPr>
          <w:p w14:paraId="29043E76" w14:textId="4E5B9DFE"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(1,9%)</w:t>
            </w:r>
          </w:p>
        </w:tc>
        <w:tc>
          <w:tcPr>
            <w:tcW w:w="1114" w:type="dxa"/>
            <w:noWrap/>
            <w:vAlign w:val="center"/>
            <w:hideMark/>
          </w:tcPr>
          <w:p w14:paraId="22DCF95B" w14:textId="6131CB93"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2</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(2,3%)</w:t>
            </w:r>
          </w:p>
        </w:tc>
        <w:tc>
          <w:tcPr>
            <w:tcW w:w="1114" w:type="dxa"/>
            <w:noWrap/>
            <w:vAlign w:val="center"/>
            <w:hideMark/>
          </w:tcPr>
          <w:p w14:paraId="1256CC49" w14:textId="4A37FEAB"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7</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(9,2%)</w:t>
            </w:r>
          </w:p>
        </w:tc>
        <w:tc>
          <w:tcPr>
            <w:tcW w:w="1189" w:type="dxa"/>
            <w:noWrap/>
            <w:vAlign w:val="center"/>
            <w:hideMark/>
          </w:tcPr>
          <w:p w14:paraId="26E7D726" w14:textId="3C98BA83"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3</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(3,7%)</w:t>
            </w:r>
          </w:p>
        </w:tc>
        <w:tc>
          <w:tcPr>
            <w:tcW w:w="1214" w:type="dxa"/>
            <w:noWrap/>
            <w:vAlign w:val="center"/>
            <w:hideMark/>
          </w:tcPr>
          <w:p w14:paraId="2735A359" w14:textId="0093AE77"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lang w:val="en-US"/>
              </w:rPr>
              <w:t>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lang w:val="en-US"/>
              </w:rPr>
              <w:t>(0.0%)</w:t>
            </w:r>
          </w:p>
        </w:tc>
        <w:tc>
          <w:tcPr>
            <w:tcW w:w="1114" w:type="dxa"/>
            <w:noWrap/>
            <w:vAlign w:val="center"/>
            <w:hideMark/>
          </w:tcPr>
          <w:p w14:paraId="4FC85F4E" w14:textId="4404A0A5"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6</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(14,6%)</w:t>
            </w:r>
          </w:p>
        </w:tc>
        <w:tc>
          <w:tcPr>
            <w:tcW w:w="1220" w:type="dxa"/>
            <w:noWrap/>
            <w:vAlign w:val="center"/>
            <w:hideMark/>
          </w:tcPr>
          <w:p w14:paraId="54FD023C" w14:textId="5908DC9F"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24</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(5,0%)</w:t>
            </w:r>
          </w:p>
        </w:tc>
        <w:tc>
          <w:tcPr>
            <w:tcW w:w="691" w:type="dxa"/>
            <w:vMerge/>
          </w:tcPr>
          <w:p w14:paraId="094B9BE8"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p>
        </w:tc>
      </w:tr>
      <w:tr w:rsidR="007A2C38" w:rsidRPr="004F0DE6" w14:paraId="488F0BCF" w14:textId="77777777" w:rsidTr="00FA6CEB">
        <w:trPr>
          <w:trHeight w:val="293"/>
        </w:trPr>
        <w:tc>
          <w:tcPr>
            <w:tcW w:w="1494" w:type="dxa"/>
            <w:vMerge/>
            <w:tcBorders>
              <w:bottom w:val="single" w:sz="4" w:space="0" w:color="auto"/>
            </w:tcBorders>
            <w:noWrap/>
            <w:hideMark/>
          </w:tcPr>
          <w:p w14:paraId="47FAE7E0"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p>
        </w:tc>
        <w:tc>
          <w:tcPr>
            <w:tcW w:w="1784" w:type="dxa"/>
            <w:tcBorders>
              <w:bottom w:val="single" w:sz="4" w:space="0" w:color="auto"/>
            </w:tcBorders>
            <w:noWrap/>
            <w:hideMark/>
          </w:tcPr>
          <w:p w14:paraId="7F9E578F"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Не было ни кем оказаны поддержки</w:t>
            </w:r>
          </w:p>
        </w:tc>
        <w:tc>
          <w:tcPr>
            <w:tcW w:w="1114" w:type="dxa"/>
            <w:tcBorders>
              <w:bottom w:val="single" w:sz="4" w:space="0" w:color="auto"/>
            </w:tcBorders>
            <w:noWrap/>
            <w:vAlign w:val="center"/>
            <w:hideMark/>
          </w:tcPr>
          <w:p w14:paraId="78920B52" w14:textId="0B5066BB"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20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(37,7%)</w:t>
            </w:r>
          </w:p>
        </w:tc>
        <w:tc>
          <w:tcPr>
            <w:tcW w:w="1114" w:type="dxa"/>
            <w:tcBorders>
              <w:bottom w:val="single" w:sz="4" w:space="0" w:color="auto"/>
            </w:tcBorders>
            <w:noWrap/>
            <w:vAlign w:val="center"/>
            <w:hideMark/>
          </w:tcPr>
          <w:p w14:paraId="15C94B18" w14:textId="2681D63F"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14</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(20,0%)</w:t>
            </w:r>
          </w:p>
        </w:tc>
        <w:tc>
          <w:tcPr>
            <w:tcW w:w="1114" w:type="dxa"/>
            <w:tcBorders>
              <w:bottom w:val="single" w:sz="4" w:space="0" w:color="auto"/>
            </w:tcBorders>
            <w:noWrap/>
            <w:vAlign w:val="center"/>
            <w:hideMark/>
          </w:tcPr>
          <w:p w14:paraId="66528666" w14:textId="5E04FF35"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7</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(13,5%)</w:t>
            </w:r>
          </w:p>
        </w:tc>
        <w:tc>
          <w:tcPr>
            <w:tcW w:w="1114" w:type="dxa"/>
            <w:tcBorders>
              <w:bottom w:val="single" w:sz="4" w:space="0" w:color="auto"/>
            </w:tcBorders>
            <w:noWrap/>
            <w:vAlign w:val="center"/>
            <w:hideMark/>
          </w:tcPr>
          <w:p w14:paraId="06FAD71E" w14:textId="00BF89AC"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24</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(27,9%)</w:t>
            </w:r>
          </w:p>
        </w:tc>
        <w:tc>
          <w:tcPr>
            <w:tcW w:w="1114" w:type="dxa"/>
            <w:tcBorders>
              <w:bottom w:val="single" w:sz="4" w:space="0" w:color="auto"/>
            </w:tcBorders>
            <w:noWrap/>
            <w:vAlign w:val="center"/>
            <w:hideMark/>
          </w:tcPr>
          <w:p w14:paraId="601B4821" w14:textId="4F1130CC"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34</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(44,7%)</w:t>
            </w:r>
          </w:p>
        </w:tc>
        <w:tc>
          <w:tcPr>
            <w:tcW w:w="1189" w:type="dxa"/>
            <w:tcBorders>
              <w:bottom w:val="single" w:sz="4" w:space="0" w:color="auto"/>
            </w:tcBorders>
            <w:noWrap/>
            <w:vAlign w:val="center"/>
            <w:hideMark/>
          </w:tcPr>
          <w:p w14:paraId="11AAF69A" w14:textId="6189ED7B"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29</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(35,4%)</w:t>
            </w:r>
          </w:p>
        </w:tc>
        <w:tc>
          <w:tcPr>
            <w:tcW w:w="1214" w:type="dxa"/>
            <w:tcBorders>
              <w:bottom w:val="single" w:sz="4" w:space="0" w:color="auto"/>
            </w:tcBorders>
            <w:noWrap/>
            <w:vAlign w:val="center"/>
            <w:hideMark/>
          </w:tcPr>
          <w:p w14:paraId="66C338E6" w14:textId="03687828"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7</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(35,0%)</w:t>
            </w:r>
          </w:p>
        </w:tc>
        <w:tc>
          <w:tcPr>
            <w:tcW w:w="1114" w:type="dxa"/>
            <w:tcBorders>
              <w:bottom w:val="single" w:sz="4" w:space="0" w:color="auto"/>
            </w:tcBorders>
            <w:noWrap/>
            <w:vAlign w:val="center"/>
            <w:hideMark/>
          </w:tcPr>
          <w:p w14:paraId="6A6AD047" w14:textId="59D63C4B"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9</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(22,0%)</w:t>
            </w:r>
          </w:p>
        </w:tc>
        <w:tc>
          <w:tcPr>
            <w:tcW w:w="1220" w:type="dxa"/>
            <w:tcBorders>
              <w:bottom w:val="single" w:sz="4" w:space="0" w:color="auto"/>
            </w:tcBorders>
            <w:noWrap/>
            <w:vAlign w:val="center"/>
            <w:hideMark/>
          </w:tcPr>
          <w:p w14:paraId="1EC5363F" w14:textId="0AD3F812"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144</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(30,0%)</w:t>
            </w:r>
          </w:p>
        </w:tc>
        <w:tc>
          <w:tcPr>
            <w:tcW w:w="691" w:type="dxa"/>
            <w:vMerge/>
            <w:tcBorders>
              <w:bottom w:val="single" w:sz="4" w:space="0" w:color="auto"/>
            </w:tcBorders>
          </w:tcPr>
          <w:p w14:paraId="0EBECB6F"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p>
        </w:tc>
      </w:tr>
      <w:tr w:rsidR="007A2C38" w:rsidRPr="004F0DE6" w14:paraId="4A660DC3" w14:textId="77777777" w:rsidTr="00FA6CEB">
        <w:trPr>
          <w:trHeight w:val="293"/>
        </w:trPr>
        <w:tc>
          <w:tcPr>
            <w:tcW w:w="1494" w:type="dxa"/>
            <w:vMerge w:val="restart"/>
            <w:tcBorders>
              <w:bottom w:val="nil"/>
            </w:tcBorders>
            <w:noWrap/>
            <w:hideMark/>
          </w:tcPr>
          <w:p w14:paraId="32C4DDAA"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Внешние факторы влияющее на состояние возникающие в доме</w:t>
            </w:r>
          </w:p>
        </w:tc>
        <w:tc>
          <w:tcPr>
            <w:tcW w:w="1784" w:type="dxa"/>
            <w:tcBorders>
              <w:bottom w:val="single" w:sz="4" w:space="0" w:color="auto"/>
            </w:tcBorders>
            <w:noWrap/>
            <w:hideMark/>
          </w:tcPr>
          <w:p w14:paraId="457897F4"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Шум от соседей</w:t>
            </w:r>
          </w:p>
        </w:tc>
        <w:tc>
          <w:tcPr>
            <w:tcW w:w="1114" w:type="dxa"/>
            <w:tcBorders>
              <w:bottom w:val="single" w:sz="4" w:space="0" w:color="auto"/>
            </w:tcBorders>
            <w:noWrap/>
            <w:vAlign w:val="center"/>
            <w:hideMark/>
          </w:tcPr>
          <w:p w14:paraId="3E6A3346" w14:textId="3FB2F82A"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12</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(22,6%)</w:t>
            </w:r>
          </w:p>
        </w:tc>
        <w:tc>
          <w:tcPr>
            <w:tcW w:w="1114" w:type="dxa"/>
            <w:tcBorders>
              <w:bottom w:val="single" w:sz="4" w:space="0" w:color="auto"/>
            </w:tcBorders>
            <w:noWrap/>
            <w:vAlign w:val="center"/>
            <w:hideMark/>
          </w:tcPr>
          <w:p w14:paraId="0B3DD0C9" w14:textId="2B8F9E27"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27</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(38,6%)</w:t>
            </w:r>
          </w:p>
        </w:tc>
        <w:tc>
          <w:tcPr>
            <w:tcW w:w="1114" w:type="dxa"/>
            <w:tcBorders>
              <w:bottom w:val="single" w:sz="4" w:space="0" w:color="auto"/>
            </w:tcBorders>
            <w:noWrap/>
            <w:vAlign w:val="center"/>
            <w:hideMark/>
          </w:tcPr>
          <w:p w14:paraId="5D7F6604" w14:textId="43298993"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12</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(23,1%)</w:t>
            </w:r>
          </w:p>
        </w:tc>
        <w:tc>
          <w:tcPr>
            <w:tcW w:w="1114" w:type="dxa"/>
            <w:tcBorders>
              <w:bottom w:val="single" w:sz="4" w:space="0" w:color="auto"/>
            </w:tcBorders>
            <w:noWrap/>
            <w:vAlign w:val="center"/>
            <w:hideMark/>
          </w:tcPr>
          <w:p w14:paraId="7B798DBA" w14:textId="6C3B89FC"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34</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(39,5%)</w:t>
            </w:r>
          </w:p>
        </w:tc>
        <w:tc>
          <w:tcPr>
            <w:tcW w:w="1114" w:type="dxa"/>
            <w:tcBorders>
              <w:bottom w:val="single" w:sz="4" w:space="0" w:color="auto"/>
            </w:tcBorders>
            <w:noWrap/>
            <w:vAlign w:val="center"/>
            <w:hideMark/>
          </w:tcPr>
          <w:p w14:paraId="013F1674" w14:textId="1ECE5264"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42</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(55,3%)</w:t>
            </w:r>
          </w:p>
        </w:tc>
        <w:tc>
          <w:tcPr>
            <w:tcW w:w="1189" w:type="dxa"/>
            <w:tcBorders>
              <w:bottom w:val="single" w:sz="4" w:space="0" w:color="auto"/>
            </w:tcBorders>
            <w:noWrap/>
            <w:vAlign w:val="center"/>
            <w:hideMark/>
          </w:tcPr>
          <w:p w14:paraId="6C4D199C" w14:textId="755A2870"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29</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(35,4%)</w:t>
            </w:r>
          </w:p>
        </w:tc>
        <w:tc>
          <w:tcPr>
            <w:tcW w:w="1214" w:type="dxa"/>
            <w:tcBorders>
              <w:bottom w:val="single" w:sz="4" w:space="0" w:color="auto"/>
            </w:tcBorders>
            <w:noWrap/>
            <w:vAlign w:val="center"/>
            <w:hideMark/>
          </w:tcPr>
          <w:p w14:paraId="64DC5BB9" w14:textId="645393CE"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13</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(65,0%)</w:t>
            </w:r>
          </w:p>
        </w:tc>
        <w:tc>
          <w:tcPr>
            <w:tcW w:w="1114" w:type="dxa"/>
            <w:tcBorders>
              <w:bottom w:val="single" w:sz="4" w:space="0" w:color="auto"/>
            </w:tcBorders>
            <w:noWrap/>
            <w:vAlign w:val="center"/>
            <w:hideMark/>
          </w:tcPr>
          <w:p w14:paraId="74B7BCB8" w14:textId="3D46E889"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26</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(63,4%)</w:t>
            </w:r>
          </w:p>
        </w:tc>
        <w:tc>
          <w:tcPr>
            <w:tcW w:w="1220" w:type="dxa"/>
            <w:tcBorders>
              <w:bottom w:val="single" w:sz="4" w:space="0" w:color="auto"/>
            </w:tcBorders>
            <w:noWrap/>
            <w:vAlign w:val="center"/>
            <w:hideMark/>
          </w:tcPr>
          <w:p w14:paraId="47CFC9FE" w14:textId="00E07075"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195</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(40,6%)</w:t>
            </w:r>
          </w:p>
        </w:tc>
        <w:tc>
          <w:tcPr>
            <w:tcW w:w="691" w:type="dxa"/>
            <w:vMerge w:val="restart"/>
            <w:tcBorders>
              <w:bottom w:val="single" w:sz="4" w:space="0" w:color="auto"/>
            </w:tcBorders>
          </w:tcPr>
          <w:p w14:paraId="0984E586" w14:textId="77777777" w:rsidR="007A2C38" w:rsidRPr="004F0DE6" w:rsidRDefault="007A2C38" w:rsidP="004135FE">
            <w:pPr>
              <w:spacing w:after="0" w:line="240" w:lineRule="auto"/>
              <w:jc w:val="center"/>
              <w:rPr>
                <w:rFonts w:ascii="Times New Roman" w:eastAsia="Times New Roman" w:hAnsi="Times New Roman" w:cs="Times New Roman"/>
                <w:sz w:val="24"/>
                <w:szCs w:val="24"/>
                <w:lang w:val="en-US"/>
              </w:rPr>
            </w:pPr>
            <w:r w:rsidRPr="004F0DE6">
              <w:rPr>
                <w:rFonts w:ascii="Times New Roman" w:eastAsia="Times New Roman" w:hAnsi="Times New Roman" w:cs="Times New Roman"/>
                <w:sz w:val="24"/>
                <w:szCs w:val="24"/>
                <w:lang w:val="en-US"/>
              </w:rPr>
              <w:t>0,001</w:t>
            </w:r>
          </w:p>
        </w:tc>
      </w:tr>
      <w:tr w:rsidR="007A2C38" w:rsidRPr="004F0DE6" w14:paraId="3FB31DF4" w14:textId="77777777" w:rsidTr="00FA6CEB">
        <w:trPr>
          <w:trHeight w:val="293"/>
        </w:trPr>
        <w:tc>
          <w:tcPr>
            <w:tcW w:w="1494" w:type="dxa"/>
            <w:vMerge/>
            <w:tcBorders>
              <w:top w:val="single" w:sz="4" w:space="0" w:color="auto"/>
              <w:bottom w:val="nil"/>
            </w:tcBorders>
            <w:noWrap/>
            <w:hideMark/>
          </w:tcPr>
          <w:p w14:paraId="482AC1A3"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p>
        </w:tc>
        <w:tc>
          <w:tcPr>
            <w:tcW w:w="1784" w:type="dxa"/>
            <w:tcBorders>
              <w:top w:val="single" w:sz="4" w:space="0" w:color="auto"/>
              <w:bottom w:val="nil"/>
            </w:tcBorders>
            <w:noWrap/>
            <w:hideMark/>
          </w:tcPr>
          <w:p w14:paraId="2B537537"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Шум с улицы (дорожное движение, предприятия, заводы, общепит)</w:t>
            </w:r>
          </w:p>
        </w:tc>
        <w:tc>
          <w:tcPr>
            <w:tcW w:w="1114" w:type="dxa"/>
            <w:tcBorders>
              <w:top w:val="single" w:sz="4" w:space="0" w:color="auto"/>
              <w:bottom w:val="nil"/>
            </w:tcBorders>
            <w:noWrap/>
            <w:vAlign w:val="center"/>
            <w:hideMark/>
          </w:tcPr>
          <w:p w14:paraId="3BC48125" w14:textId="4FE72D5C"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10</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(18,9%)</w:t>
            </w:r>
          </w:p>
        </w:tc>
        <w:tc>
          <w:tcPr>
            <w:tcW w:w="1114" w:type="dxa"/>
            <w:tcBorders>
              <w:top w:val="single" w:sz="4" w:space="0" w:color="auto"/>
              <w:bottom w:val="nil"/>
            </w:tcBorders>
            <w:noWrap/>
            <w:vAlign w:val="center"/>
            <w:hideMark/>
          </w:tcPr>
          <w:p w14:paraId="7C9B2AD3" w14:textId="72C414E9"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12</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(17,1%)</w:t>
            </w:r>
          </w:p>
        </w:tc>
        <w:tc>
          <w:tcPr>
            <w:tcW w:w="1114" w:type="dxa"/>
            <w:tcBorders>
              <w:top w:val="single" w:sz="4" w:space="0" w:color="auto"/>
              <w:bottom w:val="nil"/>
            </w:tcBorders>
            <w:noWrap/>
            <w:vAlign w:val="center"/>
            <w:hideMark/>
          </w:tcPr>
          <w:p w14:paraId="67C6DE4E" w14:textId="67631D76"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18</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(34,6%)</w:t>
            </w:r>
          </w:p>
        </w:tc>
        <w:tc>
          <w:tcPr>
            <w:tcW w:w="1114" w:type="dxa"/>
            <w:tcBorders>
              <w:top w:val="single" w:sz="4" w:space="0" w:color="auto"/>
              <w:bottom w:val="nil"/>
            </w:tcBorders>
            <w:noWrap/>
            <w:vAlign w:val="center"/>
            <w:hideMark/>
          </w:tcPr>
          <w:p w14:paraId="534B47B4" w14:textId="606E2A95"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17</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(19,8%)</w:t>
            </w:r>
          </w:p>
        </w:tc>
        <w:tc>
          <w:tcPr>
            <w:tcW w:w="1114" w:type="dxa"/>
            <w:tcBorders>
              <w:top w:val="single" w:sz="4" w:space="0" w:color="auto"/>
              <w:bottom w:val="nil"/>
            </w:tcBorders>
            <w:noWrap/>
            <w:vAlign w:val="center"/>
            <w:hideMark/>
          </w:tcPr>
          <w:p w14:paraId="0A0A976A" w14:textId="7D64737C"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7</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(9,2%)</w:t>
            </w:r>
          </w:p>
        </w:tc>
        <w:tc>
          <w:tcPr>
            <w:tcW w:w="1189" w:type="dxa"/>
            <w:tcBorders>
              <w:top w:val="single" w:sz="4" w:space="0" w:color="auto"/>
              <w:bottom w:val="nil"/>
            </w:tcBorders>
            <w:noWrap/>
            <w:vAlign w:val="center"/>
            <w:hideMark/>
          </w:tcPr>
          <w:p w14:paraId="535F7AE0" w14:textId="11AF68B1"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26</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(31,7%)</w:t>
            </w:r>
          </w:p>
        </w:tc>
        <w:tc>
          <w:tcPr>
            <w:tcW w:w="1214" w:type="dxa"/>
            <w:tcBorders>
              <w:top w:val="single" w:sz="4" w:space="0" w:color="auto"/>
              <w:bottom w:val="nil"/>
            </w:tcBorders>
            <w:noWrap/>
            <w:vAlign w:val="center"/>
            <w:hideMark/>
          </w:tcPr>
          <w:p w14:paraId="10F9B427" w14:textId="114FFF88"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1</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(5,0%)</w:t>
            </w:r>
          </w:p>
        </w:tc>
        <w:tc>
          <w:tcPr>
            <w:tcW w:w="1114" w:type="dxa"/>
            <w:tcBorders>
              <w:top w:val="single" w:sz="4" w:space="0" w:color="auto"/>
              <w:bottom w:val="nil"/>
            </w:tcBorders>
            <w:noWrap/>
            <w:vAlign w:val="center"/>
            <w:hideMark/>
          </w:tcPr>
          <w:p w14:paraId="5680E84D" w14:textId="450AC4D8"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6</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(14,6%)</w:t>
            </w:r>
          </w:p>
        </w:tc>
        <w:tc>
          <w:tcPr>
            <w:tcW w:w="1220" w:type="dxa"/>
            <w:tcBorders>
              <w:top w:val="single" w:sz="4" w:space="0" w:color="auto"/>
              <w:bottom w:val="nil"/>
            </w:tcBorders>
            <w:noWrap/>
            <w:vAlign w:val="center"/>
            <w:hideMark/>
          </w:tcPr>
          <w:p w14:paraId="2A5CAB4A" w14:textId="492E7466" w:rsidR="007A2C38" w:rsidRPr="004F0DE6" w:rsidRDefault="007A2C38" w:rsidP="00BA55B1">
            <w:pPr>
              <w:spacing w:after="0" w:line="240" w:lineRule="auto"/>
              <w:jc w:val="center"/>
              <w:rPr>
                <w:rFonts w:ascii="Times New Roman" w:eastAsia="Times New Roman" w:hAnsi="Times New Roman" w:cs="Times New Roman"/>
                <w:sz w:val="24"/>
                <w:szCs w:val="24"/>
              </w:rPr>
            </w:pPr>
            <w:r w:rsidRPr="004F0DE6">
              <w:rPr>
                <w:rFonts w:ascii="Times New Roman" w:eastAsia="Times New Roman" w:hAnsi="Times New Roman" w:cs="Times New Roman"/>
                <w:sz w:val="24"/>
                <w:szCs w:val="24"/>
              </w:rPr>
              <w:t>97</w:t>
            </w:r>
            <w:r w:rsidR="00BA55B1">
              <w:rPr>
                <w:rFonts w:ascii="Times New Roman" w:eastAsia="Times New Roman" w:hAnsi="Times New Roman" w:cs="Times New Roman"/>
                <w:sz w:val="24"/>
                <w:szCs w:val="24"/>
              </w:rPr>
              <w:t xml:space="preserve"> </w:t>
            </w:r>
            <w:r w:rsidRPr="004F0DE6">
              <w:rPr>
                <w:rFonts w:ascii="Times New Roman" w:eastAsia="Times New Roman" w:hAnsi="Times New Roman" w:cs="Times New Roman"/>
                <w:sz w:val="24"/>
                <w:szCs w:val="24"/>
              </w:rPr>
              <w:t>(20,2%)</w:t>
            </w:r>
          </w:p>
        </w:tc>
        <w:tc>
          <w:tcPr>
            <w:tcW w:w="691" w:type="dxa"/>
            <w:vMerge/>
            <w:tcBorders>
              <w:top w:val="single" w:sz="4" w:space="0" w:color="auto"/>
              <w:bottom w:val="nil"/>
            </w:tcBorders>
          </w:tcPr>
          <w:p w14:paraId="4023FD24" w14:textId="77777777" w:rsidR="007A2C38" w:rsidRPr="004F0DE6" w:rsidRDefault="007A2C38" w:rsidP="004135FE">
            <w:pPr>
              <w:spacing w:after="0" w:line="240" w:lineRule="auto"/>
              <w:jc w:val="center"/>
              <w:rPr>
                <w:rFonts w:ascii="Times New Roman" w:eastAsia="Times New Roman" w:hAnsi="Times New Roman" w:cs="Times New Roman"/>
                <w:sz w:val="24"/>
                <w:szCs w:val="24"/>
              </w:rPr>
            </w:pPr>
          </w:p>
        </w:tc>
      </w:tr>
    </w:tbl>
    <w:p w14:paraId="47F511CC" w14:textId="2C0FB16F" w:rsidR="00FA6CEB" w:rsidRDefault="00FA6CEB" w:rsidP="00FA6CEB">
      <w:pPr>
        <w:spacing w:after="0" w:line="240" w:lineRule="auto"/>
        <w:jc w:val="both"/>
        <w:rPr>
          <w:rFonts w:ascii="Times New Roman" w:hAnsi="Times New Roman" w:cs="Times New Roman"/>
          <w:sz w:val="28"/>
          <w:szCs w:val="28"/>
        </w:rPr>
      </w:pPr>
      <w:r w:rsidRPr="00FA6CEB">
        <w:rPr>
          <w:rFonts w:ascii="Times New Roman" w:hAnsi="Times New Roman" w:cs="Times New Roman"/>
          <w:sz w:val="28"/>
          <w:szCs w:val="28"/>
        </w:rPr>
        <w:t>Продолжение таблицы 43</w:t>
      </w:r>
    </w:p>
    <w:p w14:paraId="7116ACC3" w14:textId="77777777" w:rsidR="00FA6CEB" w:rsidRPr="00FA6CEB" w:rsidRDefault="00FA6CEB" w:rsidP="00FA6CEB">
      <w:pPr>
        <w:spacing w:after="0" w:line="240" w:lineRule="auto"/>
        <w:jc w:val="both"/>
        <w:rPr>
          <w:rFonts w:ascii="Times New Roman" w:hAnsi="Times New Roman" w:cs="Times New Roman"/>
          <w:sz w:val="28"/>
          <w:szCs w:val="28"/>
        </w:rPr>
      </w:pPr>
    </w:p>
    <w:tbl>
      <w:tblPr>
        <w:tblStyle w:val="af9"/>
        <w:tblW w:w="14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5"/>
        <w:gridCol w:w="1831"/>
        <w:gridCol w:w="1124"/>
        <w:gridCol w:w="1124"/>
        <w:gridCol w:w="1124"/>
        <w:gridCol w:w="1124"/>
        <w:gridCol w:w="1124"/>
        <w:gridCol w:w="1124"/>
        <w:gridCol w:w="1124"/>
        <w:gridCol w:w="1124"/>
        <w:gridCol w:w="1231"/>
        <w:gridCol w:w="747"/>
      </w:tblGrid>
      <w:tr w:rsidR="00FA6CEB" w:rsidRPr="00BA55B1" w14:paraId="7C30E329" w14:textId="77777777" w:rsidTr="0052168E">
        <w:trPr>
          <w:trHeight w:val="293"/>
        </w:trPr>
        <w:tc>
          <w:tcPr>
            <w:tcW w:w="3202" w:type="dxa"/>
            <w:gridSpan w:val="2"/>
            <w:noWrap/>
          </w:tcPr>
          <w:p w14:paraId="39BCC49F" w14:textId="58A521D5"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140" w:type="dxa"/>
            <w:noWrap/>
            <w:vAlign w:val="center"/>
          </w:tcPr>
          <w:p w14:paraId="19CFC8BA" w14:textId="1613963B"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140" w:type="dxa"/>
            <w:noWrap/>
            <w:vAlign w:val="center"/>
          </w:tcPr>
          <w:p w14:paraId="53544D8D" w14:textId="14518BBA"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140" w:type="dxa"/>
            <w:noWrap/>
            <w:vAlign w:val="center"/>
          </w:tcPr>
          <w:p w14:paraId="64300D16" w14:textId="176A1D23"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140" w:type="dxa"/>
            <w:noWrap/>
            <w:vAlign w:val="center"/>
          </w:tcPr>
          <w:p w14:paraId="2272F04B" w14:textId="5CEC94E4"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140" w:type="dxa"/>
            <w:noWrap/>
            <w:vAlign w:val="center"/>
          </w:tcPr>
          <w:p w14:paraId="2E7924EB" w14:textId="7B18CC1C"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140" w:type="dxa"/>
            <w:noWrap/>
            <w:vAlign w:val="center"/>
          </w:tcPr>
          <w:p w14:paraId="788A23A2" w14:textId="015B53D9"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140" w:type="dxa"/>
            <w:noWrap/>
            <w:vAlign w:val="center"/>
          </w:tcPr>
          <w:p w14:paraId="6685FD01" w14:textId="27AC611C"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140" w:type="dxa"/>
            <w:noWrap/>
            <w:vAlign w:val="center"/>
          </w:tcPr>
          <w:p w14:paraId="3D47F2A5" w14:textId="1B162845"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1249" w:type="dxa"/>
            <w:noWrap/>
            <w:vAlign w:val="center"/>
          </w:tcPr>
          <w:p w14:paraId="0C347145" w14:textId="3C13ADC7"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705" w:type="dxa"/>
            <w:vAlign w:val="center"/>
          </w:tcPr>
          <w:p w14:paraId="52EA28ED" w14:textId="59FE9128"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r>
      <w:tr w:rsidR="00721995" w:rsidRPr="00BA55B1" w14:paraId="17A6C57B" w14:textId="77777777" w:rsidTr="00721995">
        <w:trPr>
          <w:trHeight w:val="293"/>
        </w:trPr>
        <w:tc>
          <w:tcPr>
            <w:tcW w:w="1498" w:type="dxa"/>
            <w:vMerge w:val="restart"/>
            <w:noWrap/>
            <w:hideMark/>
          </w:tcPr>
          <w:p w14:paraId="5590E53E"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c>
          <w:tcPr>
            <w:tcW w:w="1704" w:type="dxa"/>
            <w:noWrap/>
            <w:hideMark/>
          </w:tcPr>
          <w:p w14:paraId="32B75FEE"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Специфический запах, при котором не возможен доступ к свежему воздуху</w:t>
            </w:r>
          </w:p>
        </w:tc>
        <w:tc>
          <w:tcPr>
            <w:tcW w:w="1140" w:type="dxa"/>
            <w:noWrap/>
            <w:vAlign w:val="center"/>
            <w:hideMark/>
          </w:tcPr>
          <w:p w14:paraId="3FE7F039" w14:textId="09566CE5"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10 (18,9%)</w:t>
            </w:r>
          </w:p>
        </w:tc>
        <w:tc>
          <w:tcPr>
            <w:tcW w:w="1140" w:type="dxa"/>
            <w:noWrap/>
            <w:vAlign w:val="center"/>
            <w:hideMark/>
          </w:tcPr>
          <w:p w14:paraId="3FF78E7A" w14:textId="7BD72FEC"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 (21,4%)</w:t>
            </w:r>
          </w:p>
        </w:tc>
        <w:tc>
          <w:tcPr>
            <w:tcW w:w="1140" w:type="dxa"/>
            <w:noWrap/>
            <w:vAlign w:val="center"/>
            <w:hideMark/>
          </w:tcPr>
          <w:p w14:paraId="1721BB02" w14:textId="274E2466"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 (7,7%)</w:t>
            </w:r>
          </w:p>
        </w:tc>
        <w:tc>
          <w:tcPr>
            <w:tcW w:w="1140" w:type="dxa"/>
            <w:noWrap/>
            <w:vAlign w:val="center"/>
            <w:hideMark/>
          </w:tcPr>
          <w:p w14:paraId="041009A8" w14:textId="2F27DCCB"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 (17,4%)</w:t>
            </w:r>
          </w:p>
        </w:tc>
        <w:tc>
          <w:tcPr>
            <w:tcW w:w="1140" w:type="dxa"/>
            <w:noWrap/>
            <w:vAlign w:val="center"/>
            <w:hideMark/>
          </w:tcPr>
          <w:p w14:paraId="764F21E8" w14:textId="6CB67809"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 (10,5%)</w:t>
            </w:r>
          </w:p>
        </w:tc>
        <w:tc>
          <w:tcPr>
            <w:tcW w:w="1140" w:type="dxa"/>
            <w:noWrap/>
            <w:vAlign w:val="center"/>
            <w:hideMark/>
          </w:tcPr>
          <w:p w14:paraId="54D4C41B" w14:textId="7209600B"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 (9,8%)</w:t>
            </w:r>
          </w:p>
        </w:tc>
        <w:tc>
          <w:tcPr>
            <w:tcW w:w="1140" w:type="dxa"/>
            <w:noWrap/>
            <w:vAlign w:val="center"/>
            <w:hideMark/>
          </w:tcPr>
          <w:p w14:paraId="01741F59" w14:textId="6601E70A"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 (10,0%)</w:t>
            </w:r>
          </w:p>
        </w:tc>
        <w:tc>
          <w:tcPr>
            <w:tcW w:w="1140" w:type="dxa"/>
            <w:noWrap/>
            <w:vAlign w:val="center"/>
            <w:hideMark/>
          </w:tcPr>
          <w:p w14:paraId="5EE33D25" w14:textId="70E39617"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 (7,3%)</w:t>
            </w:r>
          </w:p>
        </w:tc>
        <w:tc>
          <w:tcPr>
            <w:tcW w:w="1249" w:type="dxa"/>
            <w:noWrap/>
            <w:vAlign w:val="center"/>
            <w:hideMark/>
          </w:tcPr>
          <w:p w14:paraId="4EADADE7" w14:textId="16345668"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65 (13,5%)</w:t>
            </w:r>
          </w:p>
        </w:tc>
        <w:tc>
          <w:tcPr>
            <w:tcW w:w="705" w:type="dxa"/>
            <w:vMerge w:val="restart"/>
          </w:tcPr>
          <w:p w14:paraId="77F546B7"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r>
      <w:tr w:rsidR="00721995" w:rsidRPr="00BA55B1" w14:paraId="368CD8B7" w14:textId="77777777" w:rsidTr="00721995">
        <w:trPr>
          <w:trHeight w:val="293"/>
        </w:trPr>
        <w:tc>
          <w:tcPr>
            <w:tcW w:w="1498" w:type="dxa"/>
            <w:vMerge/>
            <w:noWrap/>
            <w:hideMark/>
          </w:tcPr>
          <w:p w14:paraId="73F2C1D8"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c>
          <w:tcPr>
            <w:tcW w:w="1704" w:type="dxa"/>
            <w:noWrap/>
            <w:hideMark/>
          </w:tcPr>
          <w:p w14:paraId="43036438"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Запах еды от ближайшего общепита имеет соблазн на нарушение диеты</w:t>
            </w:r>
          </w:p>
        </w:tc>
        <w:tc>
          <w:tcPr>
            <w:tcW w:w="1140" w:type="dxa"/>
            <w:noWrap/>
            <w:vAlign w:val="center"/>
            <w:hideMark/>
          </w:tcPr>
          <w:p w14:paraId="04591790"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w:t>
            </w:r>
          </w:p>
          <w:p w14:paraId="74288FC8" w14:textId="331D4126"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(15,1%)</w:t>
            </w:r>
          </w:p>
        </w:tc>
        <w:tc>
          <w:tcPr>
            <w:tcW w:w="1140" w:type="dxa"/>
            <w:noWrap/>
            <w:vAlign w:val="center"/>
            <w:hideMark/>
          </w:tcPr>
          <w:p w14:paraId="683BF85A"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w:t>
            </w:r>
          </w:p>
          <w:p w14:paraId="5320EAE2" w14:textId="68E9B119"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(2,9%)</w:t>
            </w:r>
          </w:p>
        </w:tc>
        <w:tc>
          <w:tcPr>
            <w:tcW w:w="1140" w:type="dxa"/>
            <w:noWrap/>
            <w:vAlign w:val="center"/>
            <w:hideMark/>
          </w:tcPr>
          <w:p w14:paraId="04591047"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w:t>
            </w:r>
          </w:p>
          <w:p w14:paraId="30DFCA6D" w14:textId="5FB38097"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(9,6%)</w:t>
            </w:r>
          </w:p>
        </w:tc>
        <w:tc>
          <w:tcPr>
            <w:tcW w:w="1140" w:type="dxa"/>
            <w:noWrap/>
            <w:vAlign w:val="center"/>
            <w:hideMark/>
          </w:tcPr>
          <w:p w14:paraId="04CBED26"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w:t>
            </w:r>
          </w:p>
          <w:p w14:paraId="146587C6" w14:textId="67D22B17"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(7,0%)</w:t>
            </w:r>
          </w:p>
        </w:tc>
        <w:tc>
          <w:tcPr>
            <w:tcW w:w="1140" w:type="dxa"/>
            <w:noWrap/>
            <w:vAlign w:val="center"/>
            <w:hideMark/>
          </w:tcPr>
          <w:p w14:paraId="4E08E24A"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10</w:t>
            </w:r>
          </w:p>
          <w:p w14:paraId="1616780C" w14:textId="1E556B7A"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(13,2%)</w:t>
            </w:r>
          </w:p>
        </w:tc>
        <w:tc>
          <w:tcPr>
            <w:tcW w:w="1140" w:type="dxa"/>
            <w:noWrap/>
            <w:vAlign w:val="center"/>
            <w:hideMark/>
          </w:tcPr>
          <w:p w14:paraId="7206501C"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10</w:t>
            </w:r>
          </w:p>
          <w:p w14:paraId="770811EA" w14:textId="45DE08D9"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(12,2%)</w:t>
            </w:r>
          </w:p>
        </w:tc>
        <w:tc>
          <w:tcPr>
            <w:tcW w:w="1140" w:type="dxa"/>
            <w:noWrap/>
            <w:vAlign w:val="center"/>
            <w:hideMark/>
          </w:tcPr>
          <w:p w14:paraId="5BEB2425"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w:t>
            </w:r>
          </w:p>
          <w:p w14:paraId="0BA428A2" w14:textId="773C35DC"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(10,0%)</w:t>
            </w:r>
          </w:p>
        </w:tc>
        <w:tc>
          <w:tcPr>
            <w:tcW w:w="1140" w:type="dxa"/>
            <w:noWrap/>
            <w:vAlign w:val="center"/>
            <w:hideMark/>
          </w:tcPr>
          <w:p w14:paraId="4C90157C"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33B7949C" w14:textId="66D67695"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(9,8%)</w:t>
            </w:r>
          </w:p>
        </w:tc>
        <w:tc>
          <w:tcPr>
            <w:tcW w:w="1249" w:type="dxa"/>
            <w:noWrap/>
            <w:vAlign w:val="center"/>
            <w:hideMark/>
          </w:tcPr>
          <w:p w14:paraId="46BA92B5"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47</w:t>
            </w:r>
          </w:p>
          <w:p w14:paraId="24CD02A2" w14:textId="4E950A57"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(9,8%)</w:t>
            </w:r>
          </w:p>
        </w:tc>
        <w:tc>
          <w:tcPr>
            <w:tcW w:w="705" w:type="dxa"/>
            <w:vMerge/>
          </w:tcPr>
          <w:p w14:paraId="67EAD226"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r>
      <w:tr w:rsidR="00721995" w:rsidRPr="00BA55B1" w14:paraId="3555F2A9" w14:textId="77777777" w:rsidTr="00721995">
        <w:trPr>
          <w:trHeight w:val="293"/>
        </w:trPr>
        <w:tc>
          <w:tcPr>
            <w:tcW w:w="1498" w:type="dxa"/>
            <w:vMerge/>
            <w:noWrap/>
            <w:hideMark/>
          </w:tcPr>
          <w:p w14:paraId="5462C74F"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c>
          <w:tcPr>
            <w:tcW w:w="1704" w:type="dxa"/>
            <w:noWrap/>
            <w:hideMark/>
          </w:tcPr>
          <w:p w14:paraId="6C8511F0"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Сильное освещение от соседней организации</w:t>
            </w:r>
          </w:p>
        </w:tc>
        <w:tc>
          <w:tcPr>
            <w:tcW w:w="1140" w:type="dxa"/>
            <w:noWrap/>
            <w:vAlign w:val="center"/>
            <w:hideMark/>
          </w:tcPr>
          <w:p w14:paraId="7923191A"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w:t>
            </w:r>
          </w:p>
          <w:p w14:paraId="480E2823" w14:textId="3DB8E482"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(3,8%)</w:t>
            </w:r>
          </w:p>
        </w:tc>
        <w:tc>
          <w:tcPr>
            <w:tcW w:w="1140" w:type="dxa"/>
            <w:noWrap/>
            <w:vAlign w:val="center"/>
            <w:hideMark/>
          </w:tcPr>
          <w:p w14:paraId="3C1CF391"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62269B9B" w14:textId="699CB6C8"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(5,7%)</w:t>
            </w:r>
          </w:p>
        </w:tc>
        <w:tc>
          <w:tcPr>
            <w:tcW w:w="1140" w:type="dxa"/>
            <w:noWrap/>
            <w:vAlign w:val="center"/>
            <w:hideMark/>
          </w:tcPr>
          <w:p w14:paraId="4ECEABAC"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w:t>
            </w:r>
          </w:p>
          <w:p w14:paraId="7E2C81CA" w14:textId="2605FD2F"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(3,8%)</w:t>
            </w:r>
          </w:p>
        </w:tc>
        <w:tc>
          <w:tcPr>
            <w:tcW w:w="1140" w:type="dxa"/>
            <w:noWrap/>
            <w:vAlign w:val="center"/>
            <w:hideMark/>
          </w:tcPr>
          <w:p w14:paraId="5F46465B"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w:t>
            </w:r>
          </w:p>
          <w:p w14:paraId="0C7C2596" w14:textId="067C07DC"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(3,5%)</w:t>
            </w:r>
          </w:p>
        </w:tc>
        <w:tc>
          <w:tcPr>
            <w:tcW w:w="1140" w:type="dxa"/>
            <w:noWrap/>
            <w:vAlign w:val="center"/>
            <w:hideMark/>
          </w:tcPr>
          <w:p w14:paraId="44658A6B"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11BAA112" w14:textId="6AF7EDAA"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(5,3%)</w:t>
            </w:r>
          </w:p>
        </w:tc>
        <w:tc>
          <w:tcPr>
            <w:tcW w:w="1140" w:type="dxa"/>
            <w:noWrap/>
            <w:vAlign w:val="center"/>
            <w:hideMark/>
          </w:tcPr>
          <w:p w14:paraId="659A4939"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w:t>
            </w:r>
          </w:p>
          <w:p w14:paraId="3FC1DE25" w14:textId="24838BE3"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(6,1%)</w:t>
            </w:r>
          </w:p>
        </w:tc>
        <w:tc>
          <w:tcPr>
            <w:tcW w:w="1140" w:type="dxa"/>
            <w:noWrap/>
            <w:vAlign w:val="center"/>
            <w:hideMark/>
          </w:tcPr>
          <w:p w14:paraId="6CA22C1F"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w:t>
            </w:r>
          </w:p>
          <w:p w14:paraId="0B740A89" w14:textId="62C64DC3"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(5,0%)</w:t>
            </w:r>
          </w:p>
        </w:tc>
        <w:tc>
          <w:tcPr>
            <w:tcW w:w="1140" w:type="dxa"/>
            <w:noWrap/>
            <w:vAlign w:val="center"/>
            <w:hideMark/>
          </w:tcPr>
          <w:p w14:paraId="16C6C6D3"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w:t>
            </w:r>
          </w:p>
          <w:p w14:paraId="7DC4DC1E" w14:textId="0CCC5ADF"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(2,4%)</w:t>
            </w:r>
          </w:p>
        </w:tc>
        <w:tc>
          <w:tcPr>
            <w:tcW w:w="1249" w:type="dxa"/>
            <w:noWrap/>
            <w:vAlign w:val="center"/>
            <w:hideMark/>
          </w:tcPr>
          <w:p w14:paraId="1B89B408"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22</w:t>
            </w:r>
          </w:p>
          <w:p w14:paraId="043D6D81" w14:textId="7E9B0131"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(4,6%)</w:t>
            </w:r>
          </w:p>
        </w:tc>
        <w:tc>
          <w:tcPr>
            <w:tcW w:w="705" w:type="dxa"/>
            <w:vMerge/>
          </w:tcPr>
          <w:p w14:paraId="439E920E"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r>
      <w:tr w:rsidR="00FA6CEB" w:rsidRPr="00BA55B1" w14:paraId="429149B4" w14:textId="77777777" w:rsidTr="00721995">
        <w:trPr>
          <w:trHeight w:val="293"/>
        </w:trPr>
        <w:tc>
          <w:tcPr>
            <w:tcW w:w="1498" w:type="dxa"/>
            <w:vMerge/>
            <w:tcBorders>
              <w:bottom w:val="single" w:sz="4" w:space="0" w:color="auto"/>
            </w:tcBorders>
            <w:noWrap/>
            <w:hideMark/>
          </w:tcPr>
          <w:p w14:paraId="3D4B137D"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c>
          <w:tcPr>
            <w:tcW w:w="1704" w:type="dxa"/>
            <w:tcBorders>
              <w:bottom w:val="single" w:sz="4" w:space="0" w:color="auto"/>
            </w:tcBorders>
            <w:noWrap/>
            <w:hideMark/>
          </w:tcPr>
          <w:p w14:paraId="043770F0"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Беспризорные собаки и кошки, которые могут быть источниками шума и инфекции</w:t>
            </w:r>
          </w:p>
        </w:tc>
        <w:tc>
          <w:tcPr>
            <w:tcW w:w="1140" w:type="dxa"/>
            <w:tcBorders>
              <w:bottom w:val="single" w:sz="4" w:space="0" w:color="auto"/>
            </w:tcBorders>
            <w:noWrap/>
            <w:vAlign w:val="center"/>
            <w:hideMark/>
          </w:tcPr>
          <w:p w14:paraId="1FDA3D96"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w:t>
            </w:r>
          </w:p>
          <w:p w14:paraId="5DF46873" w14:textId="5286FE65"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(20,8%)</w:t>
            </w:r>
          </w:p>
        </w:tc>
        <w:tc>
          <w:tcPr>
            <w:tcW w:w="1140" w:type="dxa"/>
            <w:tcBorders>
              <w:bottom w:val="single" w:sz="4" w:space="0" w:color="auto"/>
            </w:tcBorders>
            <w:noWrap/>
            <w:vAlign w:val="center"/>
            <w:hideMark/>
          </w:tcPr>
          <w:p w14:paraId="58A1E4DF"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10</w:t>
            </w:r>
          </w:p>
          <w:p w14:paraId="0457E5A3" w14:textId="1279759E"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(14,3%)</w:t>
            </w:r>
          </w:p>
        </w:tc>
        <w:tc>
          <w:tcPr>
            <w:tcW w:w="1140" w:type="dxa"/>
            <w:tcBorders>
              <w:bottom w:val="single" w:sz="4" w:space="0" w:color="auto"/>
            </w:tcBorders>
            <w:noWrap/>
            <w:vAlign w:val="center"/>
            <w:hideMark/>
          </w:tcPr>
          <w:p w14:paraId="11D1D161"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w:t>
            </w:r>
          </w:p>
          <w:p w14:paraId="3B115A3C" w14:textId="55D61ADF"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(21,2%)</w:t>
            </w:r>
          </w:p>
        </w:tc>
        <w:tc>
          <w:tcPr>
            <w:tcW w:w="1140" w:type="dxa"/>
            <w:tcBorders>
              <w:bottom w:val="single" w:sz="4" w:space="0" w:color="auto"/>
            </w:tcBorders>
            <w:noWrap/>
            <w:vAlign w:val="center"/>
            <w:hideMark/>
          </w:tcPr>
          <w:p w14:paraId="53807D55"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w:t>
            </w:r>
          </w:p>
          <w:p w14:paraId="23BF763B" w14:textId="395A2D16"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(12,8%)</w:t>
            </w:r>
          </w:p>
        </w:tc>
        <w:tc>
          <w:tcPr>
            <w:tcW w:w="1140" w:type="dxa"/>
            <w:tcBorders>
              <w:bottom w:val="single" w:sz="4" w:space="0" w:color="auto"/>
            </w:tcBorders>
            <w:noWrap/>
            <w:vAlign w:val="center"/>
            <w:hideMark/>
          </w:tcPr>
          <w:p w14:paraId="6FC61D4C"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w:t>
            </w:r>
          </w:p>
          <w:p w14:paraId="03278563" w14:textId="035505A4"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(6,6%)</w:t>
            </w:r>
          </w:p>
        </w:tc>
        <w:tc>
          <w:tcPr>
            <w:tcW w:w="1140" w:type="dxa"/>
            <w:tcBorders>
              <w:bottom w:val="single" w:sz="4" w:space="0" w:color="auto"/>
            </w:tcBorders>
            <w:noWrap/>
            <w:vAlign w:val="center"/>
            <w:hideMark/>
          </w:tcPr>
          <w:p w14:paraId="37D2D14B"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1E34D32D" w14:textId="1E5ED9B6"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(4,9%)</w:t>
            </w:r>
          </w:p>
        </w:tc>
        <w:tc>
          <w:tcPr>
            <w:tcW w:w="1140" w:type="dxa"/>
            <w:tcBorders>
              <w:bottom w:val="single" w:sz="4" w:space="0" w:color="auto"/>
            </w:tcBorders>
            <w:noWrap/>
            <w:vAlign w:val="center"/>
            <w:hideMark/>
          </w:tcPr>
          <w:p w14:paraId="6A2DDE47"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w:t>
            </w:r>
          </w:p>
          <w:p w14:paraId="6B961F44" w14:textId="2DB3EA3C"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(5,0%)</w:t>
            </w:r>
          </w:p>
        </w:tc>
        <w:tc>
          <w:tcPr>
            <w:tcW w:w="1140" w:type="dxa"/>
            <w:tcBorders>
              <w:bottom w:val="single" w:sz="4" w:space="0" w:color="auto"/>
            </w:tcBorders>
            <w:noWrap/>
            <w:vAlign w:val="center"/>
            <w:hideMark/>
          </w:tcPr>
          <w:p w14:paraId="522C6A13"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w:t>
            </w:r>
          </w:p>
          <w:p w14:paraId="793A7434" w14:textId="7CB54BDD"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(2,4%)</w:t>
            </w:r>
          </w:p>
        </w:tc>
        <w:tc>
          <w:tcPr>
            <w:tcW w:w="1249" w:type="dxa"/>
            <w:tcBorders>
              <w:bottom w:val="single" w:sz="4" w:space="0" w:color="auto"/>
            </w:tcBorders>
            <w:noWrap/>
            <w:vAlign w:val="center"/>
            <w:hideMark/>
          </w:tcPr>
          <w:p w14:paraId="2B2A9A86"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54</w:t>
            </w:r>
          </w:p>
          <w:p w14:paraId="5288DC83" w14:textId="0CEE406F"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(11,3%)</w:t>
            </w:r>
          </w:p>
        </w:tc>
        <w:tc>
          <w:tcPr>
            <w:tcW w:w="705" w:type="dxa"/>
            <w:vMerge/>
            <w:tcBorders>
              <w:bottom w:val="single" w:sz="4" w:space="0" w:color="auto"/>
            </w:tcBorders>
          </w:tcPr>
          <w:p w14:paraId="67805D89"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r>
      <w:tr w:rsidR="00FA6CEB" w:rsidRPr="00BA55B1" w14:paraId="327169DC" w14:textId="77777777" w:rsidTr="00FA6CEB">
        <w:trPr>
          <w:trHeight w:val="293"/>
        </w:trPr>
        <w:tc>
          <w:tcPr>
            <w:tcW w:w="1498" w:type="dxa"/>
            <w:vMerge w:val="restart"/>
            <w:tcBorders>
              <w:bottom w:val="nil"/>
            </w:tcBorders>
            <w:noWrap/>
            <w:hideMark/>
          </w:tcPr>
          <w:p w14:paraId="5AC55EAC"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Частота овощей в рационе питания</w:t>
            </w:r>
          </w:p>
        </w:tc>
        <w:tc>
          <w:tcPr>
            <w:tcW w:w="1704" w:type="dxa"/>
            <w:tcBorders>
              <w:bottom w:val="single" w:sz="4" w:space="0" w:color="auto"/>
            </w:tcBorders>
            <w:noWrap/>
            <w:hideMark/>
          </w:tcPr>
          <w:p w14:paraId="60CDD5FB"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Каждый день</w:t>
            </w:r>
          </w:p>
        </w:tc>
        <w:tc>
          <w:tcPr>
            <w:tcW w:w="1140" w:type="dxa"/>
            <w:tcBorders>
              <w:bottom w:val="single" w:sz="4" w:space="0" w:color="auto"/>
            </w:tcBorders>
            <w:noWrap/>
            <w:hideMark/>
          </w:tcPr>
          <w:p w14:paraId="0ED3E446"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37</w:t>
            </w:r>
          </w:p>
          <w:p w14:paraId="5396F4CB" w14:textId="5005EFF8"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(69,8%)</w:t>
            </w:r>
          </w:p>
        </w:tc>
        <w:tc>
          <w:tcPr>
            <w:tcW w:w="1140" w:type="dxa"/>
            <w:tcBorders>
              <w:bottom w:val="single" w:sz="4" w:space="0" w:color="auto"/>
            </w:tcBorders>
            <w:noWrap/>
            <w:hideMark/>
          </w:tcPr>
          <w:p w14:paraId="4C82C680" w14:textId="77777777" w:rsidR="00721995"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47</w:t>
            </w:r>
          </w:p>
          <w:p w14:paraId="6139FE30" w14:textId="3AA0F925" w:rsidR="00FA6CEB" w:rsidRPr="00BA55B1" w:rsidRDefault="00FA6CEB" w:rsidP="0072199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(67,1%)</w:t>
            </w:r>
          </w:p>
        </w:tc>
        <w:tc>
          <w:tcPr>
            <w:tcW w:w="1140" w:type="dxa"/>
            <w:tcBorders>
              <w:bottom w:val="single" w:sz="4" w:space="0" w:color="auto"/>
            </w:tcBorders>
            <w:noWrap/>
            <w:hideMark/>
          </w:tcPr>
          <w:p w14:paraId="57EBEB5D"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29</w:t>
            </w:r>
          </w:p>
          <w:p w14:paraId="08D96D9A" w14:textId="5BEE16C2"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(55,8%)</w:t>
            </w:r>
          </w:p>
        </w:tc>
        <w:tc>
          <w:tcPr>
            <w:tcW w:w="1140" w:type="dxa"/>
            <w:tcBorders>
              <w:bottom w:val="single" w:sz="4" w:space="0" w:color="auto"/>
            </w:tcBorders>
            <w:noWrap/>
            <w:hideMark/>
          </w:tcPr>
          <w:p w14:paraId="29D7EEBA"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55</w:t>
            </w:r>
          </w:p>
          <w:p w14:paraId="184E7195" w14:textId="35DAE6E0"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(64,0%)</w:t>
            </w:r>
          </w:p>
        </w:tc>
        <w:tc>
          <w:tcPr>
            <w:tcW w:w="1140" w:type="dxa"/>
            <w:tcBorders>
              <w:bottom w:val="single" w:sz="4" w:space="0" w:color="auto"/>
            </w:tcBorders>
            <w:noWrap/>
            <w:hideMark/>
          </w:tcPr>
          <w:p w14:paraId="264811AD"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46</w:t>
            </w:r>
          </w:p>
          <w:p w14:paraId="1468234B" w14:textId="4FCDD3ED"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(60,5%)</w:t>
            </w:r>
          </w:p>
        </w:tc>
        <w:tc>
          <w:tcPr>
            <w:tcW w:w="1140" w:type="dxa"/>
            <w:tcBorders>
              <w:bottom w:val="single" w:sz="4" w:space="0" w:color="auto"/>
            </w:tcBorders>
            <w:noWrap/>
            <w:hideMark/>
          </w:tcPr>
          <w:p w14:paraId="569FE981"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50</w:t>
            </w:r>
          </w:p>
          <w:p w14:paraId="7A1EB6A1" w14:textId="3D072840"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(61,0%)</w:t>
            </w:r>
          </w:p>
        </w:tc>
        <w:tc>
          <w:tcPr>
            <w:tcW w:w="1140" w:type="dxa"/>
            <w:tcBorders>
              <w:bottom w:val="single" w:sz="4" w:space="0" w:color="auto"/>
            </w:tcBorders>
            <w:noWrap/>
            <w:hideMark/>
          </w:tcPr>
          <w:p w14:paraId="764E8311"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14</w:t>
            </w:r>
          </w:p>
          <w:p w14:paraId="07513C26" w14:textId="494BA6E5"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(70,0%)</w:t>
            </w:r>
          </w:p>
        </w:tc>
        <w:tc>
          <w:tcPr>
            <w:tcW w:w="1140" w:type="dxa"/>
            <w:tcBorders>
              <w:bottom w:val="single" w:sz="4" w:space="0" w:color="auto"/>
            </w:tcBorders>
            <w:noWrap/>
            <w:hideMark/>
          </w:tcPr>
          <w:p w14:paraId="7A13164E"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19</w:t>
            </w:r>
          </w:p>
          <w:p w14:paraId="527D2272" w14:textId="56C90D61"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(46,3%)</w:t>
            </w:r>
          </w:p>
        </w:tc>
        <w:tc>
          <w:tcPr>
            <w:tcW w:w="1249" w:type="dxa"/>
            <w:tcBorders>
              <w:bottom w:val="single" w:sz="4" w:space="0" w:color="auto"/>
            </w:tcBorders>
            <w:noWrap/>
            <w:hideMark/>
          </w:tcPr>
          <w:p w14:paraId="132392F2"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297</w:t>
            </w:r>
          </w:p>
          <w:p w14:paraId="259F4270" w14:textId="1C76C300"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(61,9%)</w:t>
            </w:r>
          </w:p>
        </w:tc>
        <w:tc>
          <w:tcPr>
            <w:tcW w:w="705" w:type="dxa"/>
            <w:vMerge w:val="restart"/>
            <w:tcBorders>
              <w:bottom w:val="single" w:sz="4" w:space="0" w:color="auto"/>
            </w:tcBorders>
          </w:tcPr>
          <w:p w14:paraId="69C4800D" w14:textId="77777777" w:rsidR="00FA6CEB" w:rsidRPr="00BA55B1" w:rsidRDefault="00FA6CEB" w:rsidP="00FA6CEB">
            <w:pPr>
              <w:spacing w:after="0" w:line="240" w:lineRule="auto"/>
              <w:jc w:val="center"/>
              <w:rPr>
                <w:rFonts w:ascii="Times New Roman" w:eastAsia="Times New Roman" w:hAnsi="Times New Roman" w:cs="Times New Roman"/>
                <w:sz w:val="24"/>
                <w:szCs w:val="24"/>
                <w:lang w:val="en-US"/>
              </w:rPr>
            </w:pPr>
            <w:r w:rsidRPr="00BA55B1">
              <w:rPr>
                <w:rFonts w:ascii="Times New Roman" w:eastAsia="Times New Roman" w:hAnsi="Times New Roman" w:cs="Times New Roman"/>
                <w:sz w:val="24"/>
                <w:szCs w:val="24"/>
                <w:lang w:val="en-US"/>
              </w:rPr>
              <w:t>0,328</w:t>
            </w:r>
          </w:p>
        </w:tc>
      </w:tr>
      <w:tr w:rsidR="00FA6CEB" w:rsidRPr="00BA55B1" w14:paraId="7DFACC10" w14:textId="77777777" w:rsidTr="00FA6CEB">
        <w:trPr>
          <w:trHeight w:val="293"/>
        </w:trPr>
        <w:tc>
          <w:tcPr>
            <w:tcW w:w="1498" w:type="dxa"/>
            <w:vMerge/>
            <w:tcBorders>
              <w:top w:val="single" w:sz="4" w:space="0" w:color="auto"/>
              <w:bottom w:val="nil"/>
            </w:tcBorders>
            <w:noWrap/>
            <w:hideMark/>
          </w:tcPr>
          <w:p w14:paraId="43F6EF6B"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c>
          <w:tcPr>
            <w:tcW w:w="1704" w:type="dxa"/>
            <w:tcBorders>
              <w:top w:val="single" w:sz="4" w:space="0" w:color="auto"/>
              <w:bottom w:val="nil"/>
            </w:tcBorders>
            <w:noWrap/>
            <w:hideMark/>
          </w:tcPr>
          <w:p w14:paraId="734BB52F"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Не каждый день</w:t>
            </w:r>
          </w:p>
        </w:tc>
        <w:tc>
          <w:tcPr>
            <w:tcW w:w="1140" w:type="dxa"/>
            <w:tcBorders>
              <w:top w:val="single" w:sz="4" w:space="0" w:color="auto"/>
              <w:bottom w:val="nil"/>
            </w:tcBorders>
            <w:noWrap/>
            <w:hideMark/>
          </w:tcPr>
          <w:p w14:paraId="141D6211"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16</w:t>
            </w:r>
          </w:p>
          <w:p w14:paraId="3A72B9B2" w14:textId="71E90979"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(30,2%)</w:t>
            </w:r>
          </w:p>
        </w:tc>
        <w:tc>
          <w:tcPr>
            <w:tcW w:w="1140" w:type="dxa"/>
            <w:tcBorders>
              <w:top w:val="single" w:sz="4" w:space="0" w:color="auto"/>
              <w:bottom w:val="nil"/>
            </w:tcBorders>
            <w:noWrap/>
            <w:hideMark/>
          </w:tcPr>
          <w:p w14:paraId="4FF9905F"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23</w:t>
            </w:r>
          </w:p>
          <w:p w14:paraId="5E4AB19C" w14:textId="4647EA6F"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(32,9%)</w:t>
            </w:r>
          </w:p>
        </w:tc>
        <w:tc>
          <w:tcPr>
            <w:tcW w:w="1140" w:type="dxa"/>
            <w:tcBorders>
              <w:top w:val="single" w:sz="4" w:space="0" w:color="auto"/>
              <w:bottom w:val="nil"/>
            </w:tcBorders>
            <w:noWrap/>
            <w:hideMark/>
          </w:tcPr>
          <w:p w14:paraId="730A2147"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23</w:t>
            </w:r>
          </w:p>
          <w:p w14:paraId="728CA69A" w14:textId="34246381"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(44,2%)</w:t>
            </w:r>
          </w:p>
        </w:tc>
        <w:tc>
          <w:tcPr>
            <w:tcW w:w="1140" w:type="dxa"/>
            <w:tcBorders>
              <w:top w:val="single" w:sz="4" w:space="0" w:color="auto"/>
              <w:bottom w:val="nil"/>
            </w:tcBorders>
            <w:noWrap/>
            <w:hideMark/>
          </w:tcPr>
          <w:p w14:paraId="61B3A3BA"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31</w:t>
            </w:r>
          </w:p>
          <w:p w14:paraId="18E06898" w14:textId="66ABA3B1"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(36,0%)</w:t>
            </w:r>
          </w:p>
        </w:tc>
        <w:tc>
          <w:tcPr>
            <w:tcW w:w="1140" w:type="dxa"/>
            <w:tcBorders>
              <w:top w:val="single" w:sz="4" w:space="0" w:color="auto"/>
              <w:bottom w:val="nil"/>
            </w:tcBorders>
            <w:noWrap/>
            <w:hideMark/>
          </w:tcPr>
          <w:p w14:paraId="787D49C5"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30</w:t>
            </w:r>
          </w:p>
          <w:p w14:paraId="7419526D" w14:textId="439CFC06"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(39,5%)</w:t>
            </w:r>
          </w:p>
        </w:tc>
        <w:tc>
          <w:tcPr>
            <w:tcW w:w="1140" w:type="dxa"/>
            <w:tcBorders>
              <w:top w:val="single" w:sz="4" w:space="0" w:color="auto"/>
              <w:bottom w:val="nil"/>
            </w:tcBorders>
            <w:noWrap/>
            <w:hideMark/>
          </w:tcPr>
          <w:p w14:paraId="55CF8514"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32</w:t>
            </w:r>
          </w:p>
          <w:p w14:paraId="0A7C1D2E" w14:textId="7983F15D"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(39,0%)</w:t>
            </w:r>
          </w:p>
        </w:tc>
        <w:tc>
          <w:tcPr>
            <w:tcW w:w="1140" w:type="dxa"/>
            <w:tcBorders>
              <w:top w:val="single" w:sz="4" w:space="0" w:color="auto"/>
              <w:bottom w:val="nil"/>
            </w:tcBorders>
            <w:noWrap/>
            <w:hideMark/>
          </w:tcPr>
          <w:p w14:paraId="1C7F0495"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w:t>
            </w:r>
          </w:p>
          <w:p w14:paraId="567831AB" w14:textId="153139B1"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(30,0%)</w:t>
            </w:r>
          </w:p>
        </w:tc>
        <w:tc>
          <w:tcPr>
            <w:tcW w:w="1140" w:type="dxa"/>
            <w:tcBorders>
              <w:top w:val="single" w:sz="4" w:space="0" w:color="auto"/>
              <w:bottom w:val="nil"/>
            </w:tcBorders>
            <w:noWrap/>
            <w:hideMark/>
          </w:tcPr>
          <w:p w14:paraId="4F4A504D"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22</w:t>
            </w:r>
          </w:p>
          <w:p w14:paraId="5C1663A8" w14:textId="4FDF9455"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(53,7%)</w:t>
            </w:r>
          </w:p>
        </w:tc>
        <w:tc>
          <w:tcPr>
            <w:tcW w:w="1249" w:type="dxa"/>
            <w:tcBorders>
              <w:top w:val="single" w:sz="4" w:space="0" w:color="auto"/>
              <w:bottom w:val="nil"/>
            </w:tcBorders>
            <w:noWrap/>
            <w:hideMark/>
          </w:tcPr>
          <w:p w14:paraId="633C208A"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183</w:t>
            </w:r>
          </w:p>
          <w:p w14:paraId="61FA0B81" w14:textId="70F7887D"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(38,1%)</w:t>
            </w:r>
          </w:p>
        </w:tc>
        <w:tc>
          <w:tcPr>
            <w:tcW w:w="705" w:type="dxa"/>
            <w:vMerge/>
            <w:tcBorders>
              <w:top w:val="single" w:sz="4" w:space="0" w:color="auto"/>
              <w:bottom w:val="nil"/>
            </w:tcBorders>
          </w:tcPr>
          <w:p w14:paraId="50984E25"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r>
    </w:tbl>
    <w:p w14:paraId="08772217" w14:textId="7E63B5C2" w:rsidR="00FA6CEB" w:rsidRDefault="00FA6CEB"/>
    <w:p w14:paraId="04B63940" w14:textId="77777777" w:rsidR="00FA6CEB" w:rsidRDefault="00FA6CEB" w:rsidP="00FA6CEB">
      <w:pPr>
        <w:spacing w:after="0" w:line="240" w:lineRule="auto"/>
        <w:jc w:val="both"/>
        <w:rPr>
          <w:rFonts w:ascii="Times New Roman" w:hAnsi="Times New Roman" w:cs="Times New Roman"/>
          <w:sz w:val="28"/>
          <w:szCs w:val="28"/>
        </w:rPr>
      </w:pPr>
      <w:r w:rsidRPr="00FA6CEB">
        <w:rPr>
          <w:rFonts w:ascii="Times New Roman" w:hAnsi="Times New Roman" w:cs="Times New Roman"/>
          <w:sz w:val="28"/>
          <w:szCs w:val="28"/>
        </w:rPr>
        <w:t>Продолжение таблицы 43</w:t>
      </w:r>
    </w:p>
    <w:p w14:paraId="5DBEF695" w14:textId="77777777" w:rsidR="00FA6CEB" w:rsidRPr="00FA6CEB" w:rsidRDefault="00FA6CEB" w:rsidP="00FA6CEB">
      <w:pPr>
        <w:spacing w:after="0" w:line="240" w:lineRule="auto"/>
        <w:jc w:val="both"/>
        <w:rPr>
          <w:rFonts w:ascii="Times New Roman" w:hAnsi="Times New Roman" w:cs="Times New Roman"/>
          <w:sz w:val="28"/>
          <w:szCs w:val="28"/>
        </w:rPr>
      </w:pPr>
    </w:p>
    <w:tbl>
      <w:tblPr>
        <w:tblStyle w:val="af9"/>
        <w:tblW w:w="14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4"/>
        <w:gridCol w:w="1536"/>
        <w:gridCol w:w="1140"/>
        <w:gridCol w:w="1141"/>
        <w:gridCol w:w="1141"/>
        <w:gridCol w:w="1141"/>
        <w:gridCol w:w="1141"/>
        <w:gridCol w:w="1141"/>
        <w:gridCol w:w="1141"/>
        <w:gridCol w:w="1141"/>
        <w:gridCol w:w="1250"/>
        <w:gridCol w:w="749"/>
      </w:tblGrid>
      <w:tr w:rsidR="00FA6CEB" w:rsidRPr="00BA55B1" w14:paraId="1FAFF4E0" w14:textId="77777777" w:rsidTr="00FA6CEB">
        <w:trPr>
          <w:trHeight w:val="293"/>
        </w:trPr>
        <w:tc>
          <w:tcPr>
            <w:tcW w:w="3069" w:type="dxa"/>
            <w:gridSpan w:val="2"/>
            <w:noWrap/>
          </w:tcPr>
          <w:p w14:paraId="0CF60D7C" w14:textId="366FE9A8"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153" w:type="dxa"/>
            <w:noWrap/>
          </w:tcPr>
          <w:p w14:paraId="56700EA2" w14:textId="3C51F43E"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154" w:type="dxa"/>
            <w:noWrap/>
          </w:tcPr>
          <w:p w14:paraId="23EE4CB9" w14:textId="2F13B136"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154" w:type="dxa"/>
            <w:noWrap/>
          </w:tcPr>
          <w:p w14:paraId="08020FF4" w14:textId="2182316C"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154" w:type="dxa"/>
            <w:noWrap/>
          </w:tcPr>
          <w:p w14:paraId="522AC6B3" w14:textId="1AAEB6AE"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154" w:type="dxa"/>
            <w:noWrap/>
          </w:tcPr>
          <w:p w14:paraId="4E15B0AC" w14:textId="3BA2FEC3"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154" w:type="dxa"/>
            <w:noWrap/>
          </w:tcPr>
          <w:p w14:paraId="312782B0" w14:textId="7714589A"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154" w:type="dxa"/>
            <w:noWrap/>
          </w:tcPr>
          <w:p w14:paraId="53CD695C" w14:textId="6297FD03"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154" w:type="dxa"/>
            <w:noWrap/>
          </w:tcPr>
          <w:p w14:paraId="0A4FDCF2" w14:textId="7BD239AC"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1264" w:type="dxa"/>
            <w:noWrap/>
          </w:tcPr>
          <w:p w14:paraId="34DBE052" w14:textId="2C044947" w:rsidR="00FA6CEB" w:rsidRPr="00BA55B1"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712" w:type="dxa"/>
          </w:tcPr>
          <w:p w14:paraId="72396A4D" w14:textId="1ACF2874" w:rsidR="00FA6CEB" w:rsidRPr="00FA6CEB" w:rsidRDefault="00FA6CEB" w:rsidP="00FA6CEB">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r>
      <w:tr w:rsidR="00FA6CEB" w:rsidRPr="00BA55B1" w14:paraId="74DDDAFE" w14:textId="77777777" w:rsidTr="00FA6CEB">
        <w:trPr>
          <w:trHeight w:val="293"/>
        </w:trPr>
        <w:tc>
          <w:tcPr>
            <w:tcW w:w="1516" w:type="dxa"/>
            <w:vMerge w:val="restart"/>
            <w:noWrap/>
            <w:hideMark/>
          </w:tcPr>
          <w:p w14:paraId="19736DDD"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Частота фруктов и ягод в рационе питания</w:t>
            </w:r>
          </w:p>
        </w:tc>
        <w:tc>
          <w:tcPr>
            <w:tcW w:w="1553" w:type="dxa"/>
            <w:noWrap/>
            <w:hideMark/>
          </w:tcPr>
          <w:p w14:paraId="7C4A680F"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Каждый день</w:t>
            </w:r>
          </w:p>
        </w:tc>
        <w:tc>
          <w:tcPr>
            <w:tcW w:w="1153" w:type="dxa"/>
            <w:noWrap/>
            <w:hideMark/>
          </w:tcPr>
          <w:p w14:paraId="112B10D8"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27</w:t>
            </w:r>
          </w:p>
          <w:p w14:paraId="4D87112B" w14:textId="3D7373B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(50,9%)</w:t>
            </w:r>
          </w:p>
        </w:tc>
        <w:tc>
          <w:tcPr>
            <w:tcW w:w="1154" w:type="dxa"/>
            <w:noWrap/>
            <w:hideMark/>
          </w:tcPr>
          <w:p w14:paraId="6292FD1E"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34</w:t>
            </w:r>
          </w:p>
          <w:p w14:paraId="51AA7311" w14:textId="3C31EE62"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(48,6%)</w:t>
            </w:r>
          </w:p>
        </w:tc>
        <w:tc>
          <w:tcPr>
            <w:tcW w:w="1154" w:type="dxa"/>
            <w:noWrap/>
            <w:hideMark/>
          </w:tcPr>
          <w:p w14:paraId="319DB6FD"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23</w:t>
            </w:r>
          </w:p>
          <w:p w14:paraId="130D21DB" w14:textId="3C0547BB"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(44,2%)</w:t>
            </w:r>
          </w:p>
        </w:tc>
        <w:tc>
          <w:tcPr>
            <w:tcW w:w="1154" w:type="dxa"/>
            <w:noWrap/>
            <w:hideMark/>
          </w:tcPr>
          <w:p w14:paraId="30433C84"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28</w:t>
            </w:r>
          </w:p>
          <w:p w14:paraId="79D87764" w14:textId="0A81CA86"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(32,6%)</w:t>
            </w:r>
          </w:p>
        </w:tc>
        <w:tc>
          <w:tcPr>
            <w:tcW w:w="1154" w:type="dxa"/>
            <w:noWrap/>
            <w:hideMark/>
          </w:tcPr>
          <w:p w14:paraId="15EB857F"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29</w:t>
            </w:r>
          </w:p>
          <w:p w14:paraId="0069374F" w14:textId="1E755285"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(38,2%)</w:t>
            </w:r>
          </w:p>
        </w:tc>
        <w:tc>
          <w:tcPr>
            <w:tcW w:w="1154" w:type="dxa"/>
            <w:noWrap/>
            <w:hideMark/>
          </w:tcPr>
          <w:p w14:paraId="7E0DEEC1"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28</w:t>
            </w:r>
          </w:p>
          <w:p w14:paraId="5F7B8E77" w14:textId="076D1010"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(34,1%)</w:t>
            </w:r>
          </w:p>
        </w:tc>
        <w:tc>
          <w:tcPr>
            <w:tcW w:w="1154" w:type="dxa"/>
            <w:noWrap/>
            <w:hideMark/>
          </w:tcPr>
          <w:p w14:paraId="06468C13"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10</w:t>
            </w:r>
          </w:p>
          <w:p w14:paraId="221550FD" w14:textId="778D641C"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(50,0%)</w:t>
            </w:r>
          </w:p>
        </w:tc>
        <w:tc>
          <w:tcPr>
            <w:tcW w:w="1154" w:type="dxa"/>
            <w:noWrap/>
            <w:hideMark/>
          </w:tcPr>
          <w:p w14:paraId="32F33DD0"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w:t>
            </w:r>
          </w:p>
          <w:p w14:paraId="26D0AF09" w14:textId="5B7858CB"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(12,2%)</w:t>
            </w:r>
          </w:p>
        </w:tc>
        <w:tc>
          <w:tcPr>
            <w:tcW w:w="1264" w:type="dxa"/>
            <w:noWrap/>
            <w:hideMark/>
          </w:tcPr>
          <w:p w14:paraId="1704E352"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184</w:t>
            </w:r>
          </w:p>
          <w:p w14:paraId="2ED7BDCB" w14:textId="389714C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(38,3%)</w:t>
            </w:r>
          </w:p>
        </w:tc>
        <w:tc>
          <w:tcPr>
            <w:tcW w:w="712" w:type="dxa"/>
            <w:vMerge w:val="restart"/>
          </w:tcPr>
          <w:p w14:paraId="2598E033" w14:textId="77777777" w:rsidR="00FA6CEB" w:rsidRPr="00BA55B1" w:rsidRDefault="00FA6CEB" w:rsidP="00FA6CEB">
            <w:pPr>
              <w:spacing w:after="0" w:line="240" w:lineRule="auto"/>
              <w:jc w:val="center"/>
              <w:rPr>
                <w:rFonts w:ascii="Times New Roman" w:eastAsia="Times New Roman" w:hAnsi="Times New Roman" w:cs="Times New Roman"/>
                <w:sz w:val="24"/>
                <w:szCs w:val="24"/>
                <w:lang w:val="en-US"/>
              </w:rPr>
            </w:pPr>
            <w:r w:rsidRPr="00BA55B1">
              <w:rPr>
                <w:rFonts w:ascii="Times New Roman" w:eastAsia="Times New Roman" w:hAnsi="Times New Roman" w:cs="Times New Roman"/>
                <w:sz w:val="24"/>
                <w:szCs w:val="24"/>
                <w:lang w:val="en-US"/>
              </w:rPr>
              <w:t>0,001</w:t>
            </w:r>
          </w:p>
        </w:tc>
      </w:tr>
      <w:tr w:rsidR="00FA6CEB" w:rsidRPr="00BA55B1" w14:paraId="5773AA44" w14:textId="77777777" w:rsidTr="00FA6CEB">
        <w:trPr>
          <w:trHeight w:val="293"/>
        </w:trPr>
        <w:tc>
          <w:tcPr>
            <w:tcW w:w="1516" w:type="dxa"/>
            <w:vMerge/>
            <w:noWrap/>
            <w:hideMark/>
          </w:tcPr>
          <w:p w14:paraId="7E2733A3"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c>
          <w:tcPr>
            <w:tcW w:w="1553" w:type="dxa"/>
            <w:noWrap/>
            <w:hideMark/>
          </w:tcPr>
          <w:p w14:paraId="40F4EDAD"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Не каждый день</w:t>
            </w:r>
          </w:p>
        </w:tc>
        <w:tc>
          <w:tcPr>
            <w:tcW w:w="1153" w:type="dxa"/>
            <w:noWrap/>
            <w:hideMark/>
          </w:tcPr>
          <w:p w14:paraId="4875CF1D"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19</w:t>
            </w:r>
          </w:p>
          <w:p w14:paraId="0F4ECA43" w14:textId="6D7BFBBF"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(35,8%)</w:t>
            </w:r>
          </w:p>
        </w:tc>
        <w:tc>
          <w:tcPr>
            <w:tcW w:w="1154" w:type="dxa"/>
            <w:noWrap/>
            <w:hideMark/>
          </w:tcPr>
          <w:p w14:paraId="1C6BC547"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31</w:t>
            </w:r>
          </w:p>
          <w:p w14:paraId="5CB21998" w14:textId="5A196CB2"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(44,3%)</w:t>
            </w:r>
          </w:p>
        </w:tc>
        <w:tc>
          <w:tcPr>
            <w:tcW w:w="1154" w:type="dxa"/>
            <w:noWrap/>
            <w:hideMark/>
          </w:tcPr>
          <w:p w14:paraId="533602E2"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25</w:t>
            </w:r>
          </w:p>
          <w:p w14:paraId="378CD155" w14:textId="46E17AEF"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(48,1%)</w:t>
            </w:r>
          </w:p>
        </w:tc>
        <w:tc>
          <w:tcPr>
            <w:tcW w:w="1154" w:type="dxa"/>
            <w:noWrap/>
            <w:hideMark/>
          </w:tcPr>
          <w:p w14:paraId="3F1C9734"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44</w:t>
            </w:r>
          </w:p>
          <w:p w14:paraId="3047800C" w14:textId="5DA5DD03"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(51,2%)</w:t>
            </w:r>
          </w:p>
        </w:tc>
        <w:tc>
          <w:tcPr>
            <w:tcW w:w="1154" w:type="dxa"/>
            <w:noWrap/>
            <w:hideMark/>
          </w:tcPr>
          <w:p w14:paraId="307D9ABC"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34</w:t>
            </w:r>
          </w:p>
          <w:p w14:paraId="420821DA" w14:textId="63402FFB"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(44,7%)</w:t>
            </w:r>
          </w:p>
        </w:tc>
        <w:tc>
          <w:tcPr>
            <w:tcW w:w="1154" w:type="dxa"/>
            <w:noWrap/>
            <w:hideMark/>
          </w:tcPr>
          <w:p w14:paraId="6686FA60"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44</w:t>
            </w:r>
          </w:p>
          <w:p w14:paraId="4D078BB3" w14:textId="22F9DC59"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(53,7%)</w:t>
            </w:r>
          </w:p>
        </w:tc>
        <w:tc>
          <w:tcPr>
            <w:tcW w:w="1154" w:type="dxa"/>
            <w:noWrap/>
            <w:hideMark/>
          </w:tcPr>
          <w:p w14:paraId="1137C128"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w:t>
            </w:r>
          </w:p>
          <w:p w14:paraId="35873442" w14:textId="4A148B7B"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(40,0%)</w:t>
            </w:r>
          </w:p>
        </w:tc>
        <w:tc>
          <w:tcPr>
            <w:tcW w:w="1154" w:type="dxa"/>
            <w:noWrap/>
            <w:hideMark/>
          </w:tcPr>
          <w:p w14:paraId="3FCA2C5C"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19</w:t>
            </w:r>
          </w:p>
          <w:p w14:paraId="1EECA6D7" w14:textId="74ECE99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(46,3%)</w:t>
            </w:r>
          </w:p>
        </w:tc>
        <w:tc>
          <w:tcPr>
            <w:tcW w:w="1264" w:type="dxa"/>
            <w:noWrap/>
            <w:hideMark/>
          </w:tcPr>
          <w:p w14:paraId="38537644"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224</w:t>
            </w:r>
          </w:p>
          <w:p w14:paraId="77C937EE" w14:textId="31919024"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(46,7%)</w:t>
            </w:r>
          </w:p>
        </w:tc>
        <w:tc>
          <w:tcPr>
            <w:tcW w:w="712" w:type="dxa"/>
            <w:vMerge/>
          </w:tcPr>
          <w:p w14:paraId="7D739DA4"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r>
      <w:tr w:rsidR="00FA6CEB" w:rsidRPr="00BA55B1" w14:paraId="0A39FB32" w14:textId="77777777" w:rsidTr="00FA6CEB">
        <w:trPr>
          <w:trHeight w:val="293"/>
        </w:trPr>
        <w:tc>
          <w:tcPr>
            <w:tcW w:w="1516" w:type="dxa"/>
            <w:vMerge/>
            <w:noWrap/>
            <w:hideMark/>
          </w:tcPr>
          <w:p w14:paraId="0B57DF21"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c>
          <w:tcPr>
            <w:tcW w:w="1553" w:type="dxa"/>
            <w:noWrap/>
            <w:hideMark/>
          </w:tcPr>
          <w:p w14:paraId="4517A218"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Нет в рационе</w:t>
            </w:r>
          </w:p>
        </w:tc>
        <w:tc>
          <w:tcPr>
            <w:tcW w:w="1153" w:type="dxa"/>
            <w:noWrap/>
            <w:hideMark/>
          </w:tcPr>
          <w:p w14:paraId="4D74E168"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w:t>
            </w:r>
          </w:p>
          <w:p w14:paraId="36B259E5" w14:textId="6A9767C5"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(13,2%)</w:t>
            </w:r>
          </w:p>
        </w:tc>
        <w:tc>
          <w:tcPr>
            <w:tcW w:w="1154" w:type="dxa"/>
            <w:noWrap/>
            <w:hideMark/>
          </w:tcPr>
          <w:p w14:paraId="29FF3CF7"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w:t>
            </w:r>
          </w:p>
          <w:p w14:paraId="732F8499" w14:textId="17F841C1"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(7,1%)</w:t>
            </w:r>
          </w:p>
        </w:tc>
        <w:tc>
          <w:tcPr>
            <w:tcW w:w="1154" w:type="dxa"/>
            <w:noWrap/>
            <w:hideMark/>
          </w:tcPr>
          <w:p w14:paraId="0DFFABE4"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00FEDCB2" w14:textId="3FD29DE2"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(7,7%)</w:t>
            </w:r>
          </w:p>
        </w:tc>
        <w:tc>
          <w:tcPr>
            <w:tcW w:w="1154" w:type="dxa"/>
            <w:noWrap/>
            <w:hideMark/>
          </w:tcPr>
          <w:p w14:paraId="4299BBD2"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14</w:t>
            </w:r>
          </w:p>
          <w:p w14:paraId="4C65368F" w14:textId="2471F391"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(16,3%)</w:t>
            </w:r>
          </w:p>
        </w:tc>
        <w:tc>
          <w:tcPr>
            <w:tcW w:w="1154" w:type="dxa"/>
            <w:noWrap/>
            <w:hideMark/>
          </w:tcPr>
          <w:p w14:paraId="5CD563C3"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13</w:t>
            </w:r>
          </w:p>
          <w:p w14:paraId="61EAF7FF" w14:textId="1EC73F55"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(17,1%)</w:t>
            </w:r>
          </w:p>
        </w:tc>
        <w:tc>
          <w:tcPr>
            <w:tcW w:w="1154" w:type="dxa"/>
            <w:noWrap/>
            <w:hideMark/>
          </w:tcPr>
          <w:p w14:paraId="05FEC462"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10</w:t>
            </w:r>
          </w:p>
          <w:p w14:paraId="0E38D419" w14:textId="01611F6A"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(12,2%)</w:t>
            </w:r>
          </w:p>
        </w:tc>
        <w:tc>
          <w:tcPr>
            <w:tcW w:w="1154" w:type="dxa"/>
            <w:noWrap/>
            <w:hideMark/>
          </w:tcPr>
          <w:p w14:paraId="0B7F424D"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w:t>
            </w:r>
          </w:p>
          <w:p w14:paraId="352D6A1F" w14:textId="19C090CA"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(10,0%)</w:t>
            </w:r>
          </w:p>
        </w:tc>
        <w:tc>
          <w:tcPr>
            <w:tcW w:w="1154" w:type="dxa"/>
            <w:noWrap/>
            <w:hideMark/>
          </w:tcPr>
          <w:p w14:paraId="45BDC38D"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17</w:t>
            </w:r>
          </w:p>
          <w:p w14:paraId="2A4CF317" w14:textId="2C1F3EED"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(41,5%)</w:t>
            </w:r>
          </w:p>
        </w:tc>
        <w:tc>
          <w:tcPr>
            <w:tcW w:w="1264" w:type="dxa"/>
            <w:noWrap/>
            <w:hideMark/>
          </w:tcPr>
          <w:p w14:paraId="56E1210A"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72</w:t>
            </w:r>
          </w:p>
          <w:p w14:paraId="65168C4D" w14:textId="1C03BFC8"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(15,0%)</w:t>
            </w:r>
          </w:p>
        </w:tc>
        <w:tc>
          <w:tcPr>
            <w:tcW w:w="712" w:type="dxa"/>
            <w:vMerge/>
          </w:tcPr>
          <w:p w14:paraId="2D1142BC"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r>
      <w:tr w:rsidR="00FA6CEB" w:rsidRPr="00BA55B1" w14:paraId="6DB1DE74" w14:textId="77777777" w:rsidTr="00FA6CEB">
        <w:trPr>
          <w:trHeight w:val="293"/>
        </w:trPr>
        <w:tc>
          <w:tcPr>
            <w:tcW w:w="1516" w:type="dxa"/>
            <w:vMerge w:val="restart"/>
            <w:noWrap/>
            <w:hideMark/>
          </w:tcPr>
          <w:p w14:paraId="6D6658EB"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Частота курения в день</w:t>
            </w:r>
          </w:p>
        </w:tc>
        <w:tc>
          <w:tcPr>
            <w:tcW w:w="1553" w:type="dxa"/>
            <w:noWrap/>
            <w:hideMark/>
          </w:tcPr>
          <w:p w14:paraId="0A6E3293"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3-5 штук</w:t>
            </w:r>
          </w:p>
        </w:tc>
        <w:tc>
          <w:tcPr>
            <w:tcW w:w="1153" w:type="dxa"/>
            <w:noWrap/>
            <w:hideMark/>
          </w:tcPr>
          <w:p w14:paraId="008A6386"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w:t>
            </w:r>
          </w:p>
          <w:p w14:paraId="4096E6FA" w14:textId="6E77AF3B"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(15,1%)</w:t>
            </w:r>
          </w:p>
        </w:tc>
        <w:tc>
          <w:tcPr>
            <w:tcW w:w="1154" w:type="dxa"/>
            <w:noWrap/>
            <w:hideMark/>
          </w:tcPr>
          <w:p w14:paraId="1D3AA925"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18</w:t>
            </w:r>
          </w:p>
          <w:p w14:paraId="7827D9C9" w14:textId="02129068"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(25,7%)</w:t>
            </w:r>
          </w:p>
        </w:tc>
        <w:tc>
          <w:tcPr>
            <w:tcW w:w="1154" w:type="dxa"/>
            <w:noWrap/>
            <w:hideMark/>
          </w:tcPr>
          <w:p w14:paraId="7CE54199"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w:t>
            </w:r>
          </w:p>
          <w:p w14:paraId="2BDAF379" w14:textId="2736D064"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(15,4%)</w:t>
            </w:r>
          </w:p>
        </w:tc>
        <w:tc>
          <w:tcPr>
            <w:tcW w:w="1154" w:type="dxa"/>
            <w:noWrap/>
            <w:hideMark/>
          </w:tcPr>
          <w:p w14:paraId="37D5FC24"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17</w:t>
            </w:r>
          </w:p>
          <w:p w14:paraId="09BB41C0" w14:textId="4B98969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(19,8%)</w:t>
            </w:r>
          </w:p>
        </w:tc>
        <w:tc>
          <w:tcPr>
            <w:tcW w:w="1154" w:type="dxa"/>
            <w:noWrap/>
            <w:hideMark/>
          </w:tcPr>
          <w:p w14:paraId="06D24473"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6FD61F97" w14:textId="465D5D54"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(5,3%)</w:t>
            </w:r>
          </w:p>
        </w:tc>
        <w:tc>
          <w:tcPr>
            <w:tcW w:w="1154" w:type="dxa"/>
            <w:noWrap/>
            <w:hideMark/>
          </w:tcPr>
          <w:p w14:paraId="5A889F8A"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13</w:t>
            </w:r>
          </w:p>
          <w:p w14:paraId="0486D095" w14:textId="0671E5C6"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(15,9%)</w:t>
            </w:r>
          </w:p>
        </w:tc>
        <w:tc>
          <w:tcPr>
            <w:tcW w:w="1154" w:type="dxa"/>
            <w:noWrap/>
            <w:hideMark/>
          </w:tcPr>
          <w:p w14:paraId="61229318"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42FC86D2" w14:textId="15686620"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(20,0%)</w:t>
            </w:r>
          </w:p>
        </w:tc>
        <w:tc>
          <w:tcPr>
            <w:tcW w:w="1154" w:type="dxa"/>
            <w:noWrap/>
            <w:hideMark/>
          </w:tcPr>
          <w:p w14:paraId="709168A5"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9</w:t>
            </w:r>
          </w:p>
          <w:p w14:paraId="6CCD03F2" w14:textId="01A9F7BB"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(22,0%)</w:t>
            </w:r>
          </w:p>
        </w:tc>
        <w:tc>
          <w:tcPr>
            <w:tcW w:w="1264" w:type="dxa"/>
            <w:noWrap/>
            <w:hideMark/>
          </w:tcPr>
          <w:p w14:paraId="1CD06471"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81</w:t>
            </w:r>
          </w:p>
          <w:p w14:paraId="101D5D11" w14:textId="15BD5E1E"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(16,9%)</w:t>
            </w:r>
          </w:p>
        </w:tc>
        <w:tc>
          <w:tcPr>
            <w:tcW w:w="712" w:type="dxa"/>
            <w:vMerge w:val="restart"/>
          </w:tcPr>
          <w:p w14:paraId="51881C48" w14:textId="77777777" w:rsidR="00FA6CEB" w:rsidRPr="00BA55B1" w:rsidRDefault="00FA6CEB" w:rsidP="00FA6CEB">
            <w:pPr>
              <w:spacing w:after="0" w:line="240" w:lineRule="auto"/>
              <w:jc w:val="center"/>
              <w:rPr>
                <w:rFonts w:ascii="Times New Roman" w:eastAsia="Times New Roman" w:hAnsi="Times New Roman" w:cs="Times New Roman"/>
                <w:sz w:val="24"/>
                <w:szCs w:val="24"/>
                <w:lang w:val="en-US"/>
              </w:rPr>
            </w:pPr>
            <w:r w:rsidRPr="00BA55B1">
              <w:rPr>
                <w:rFonts w:ascii="Times New Roman" w:eastAsia="Times New Roman" w:hAnsi="Times New Roman" w:cs="Times New Roman"/>
                <w:sz w:val="24"/>
                <w:szCs w:val="24"/>
                <w:lang w:val="en-US"/>
              </w:rPr>
              <w:t>0,091</w:t>
            </w:r>
          </w:p>
        </w:tc>
      </w:tr>
      <w:tr w:rsidR="00FA6CEB" w:rsidRPr="00BA55B1" w14:paraId="5A5F8AB7" w14:textId="77777777" w:rsidTr="00FA6CEB">
        <w:trPr>
          <w:trHeight w:val="293"/>
        </w:trPr>
        <w:tc>
          <w:tcPr>
            <w:tcW w:w="1516" w:type="dxa"/>
            <w:vMerge/>
            <w:noWrap/>
            <w:hideMark/>
          </w:tcPr>
          <w:p w14:paraId="5BB00259"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c>
          <w:tcPr>
            <w:tcW w:w="1553" w:type="dxa"/>
            <w:noWrap/>
            <w:hideMark/>
          </w:tcPr>
          <w:p w14:paraId="0A56F411"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Менее 1 пачки</w:t>
            </w:r>
          </w:p>
        </w:tc>
        <w:tc>
          <w:tcPr>
            <w:tcW w:w="1153" w:type="dxa"/>
            <w:noWrap/>
            <w:hideMark/>
          </w:tcPr>
          <w:p w14:paraId="45B8523E"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w:t>
            </w:r>
          </w:p>
          <w:p w14:paraId="44DDDA96" w14:textId="5818AD2C"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(11,3%)</w:t>
            </w:r>
          </w:p>
        </w:tc>
        <w:tc>
          <w:tcPr>
            <w:tcW w:w="1154" w:type="dxa"/>
            <w:noWrap/>
            <w:hideMark/>
          </w:tcPr>
          <w:p w14:paraId="3C24D2EE"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w:t>
            </w:r>
          </w:p>
          <w:p w14:paraId="0E177EFE" w14:textId="4B37F0FC"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(10,0%)</w:t>
            </w:r>
          </w:p>
        </w:tc>
        <w:tc>
          <w:tcPr>
            <w:tcW w:w="1154" w:type="dxa"/>
            <w:noWrap/>
            <w:hideMark/>
          </w:tcPr>
          <w:p w14:paraId="46938283"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366F893A" w14:textId="6BBCD710"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(7,7%)</w:t>
            </w:r>
          </w:p>
        </w:tc>
        <w:tc>
          <w:tcPr>
            <w:tcW w:w="1154" w:type="dxa"/>
            <w:noWrap/>
            <w:hideMark/>
          </w:tcPr>
          <w:p w14:paraId="1963F2B3"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w:t>
            </w:r>
          </w:p>
          <w:p w14:paraId="6FF03D53" w14:textId="2402C59E"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(8,1%)</w:t>
            </w:r>
          </w:p>
        </w:tc>
        <w:tc>
          <w:tcPr>
            <w:tcW w:w="1154" w:type="dxa"/>
            <w:noWrap/>
            <w:hideMark/>
          </w:tcPr>
          <w:p w14:paraId="2206628C"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w:t>
            </w:r>
          </w:p>
          <w:p w14:paraId="6E6D8F63" w14:textId="2A628EA0"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(6,6%)</w:t>
            </w:r>
          </w:p>
        </w:tc>
        <w:tc>
          <w:tcPr>
            <w:tcW w:w="1154" w:type="dxa"/>
            <w:noWrap/>
            <w:hideMark/>
          </w:tcPr>
          <w:p w14:paraId="062727A3"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7C22BB14" w14:textId="69FF6734"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(4,9%)</w:t>
            </w:r>
          </w:p>
        </w:tc>
        <w:tc>
          <w:tcPr>
            <w:tcW w:w="1154" w:type="dxa"/>
            <w:noWrap/>
            <w:hideMark/>
          </w:tcPr>
          <w:p w14:paraId="4E5FE8D2" w14:textId="77777777" w:rsidR="00721995" w:rsidRDefault="00FA6CEB" w:rsidP="00FA6CEB">
            <w:pPr>
              <w:spacing w:after="0" w:line="240" w:lineRule="auto"/>
              <w:jc w:val="center"/>
              <w:rPr>
                <w:rFonts w:ascii="Times New Roman" w:eastAsia="Times New Roman" w:hAnsi="Times New Roman" w:cs="Times New Roman"/>
                <w:sz w:val="24"/>
                <w:szCs w:val="24"/>
                <w:lang w:val="en-US"/>
              </w:rPr>
            </w:pPr>
            <w:r w:rsidRPr="00BA55B1">
              <w:rPr>
                <w:rFonts w:ascii="Times New Roman" w:eastAsia="Times New Roman" w:hAnsi="Times New Roman" w:cs="Times New Roman"/>
                <w:sz w:val="24"/>
                <w:szCs w:val="24"/>
                <w:lang w:val="en-US"/>
              </w:rPr>
              <w:t>0</w:t>
            </w:r>
          </w:p>
          <w:p w14:paraId="5B6FE0AE" w14:textId="2728415A"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lang w:val="en-US"/>
              </w:rPr>
              <w:t>(0.0%)</w:t>
            </w:r>
          </w:p>
        </w:tc>
        <w:tc>
          <w:tcPr>
            <w:tcW w:w="1154" w:type="dxa"/>
            <w:noWrap/>
            <w:hideMark/>
          </w:tcPr>
          <w:p w14:paraId="7CD8C212"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w:t>
            </w:r>
          </w:p>
          <w:p w14:paraId="6E0B5B22" w14:textId="507392EF"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(12,2%)</w:t>
            </w:r>
          </w:p>
        </w:tc>
        <w:tc>
          <w:tcPr>
            <w:tcW w:w="1264" w:type="dxa"/>
            <w:noWrap/>
            <w:hideMark/>
          </w:tcPr>
          <w:p w14:paraId="116DF2DB"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38</w:t>
            </w:r>
          </w:p>
          <w:p w14:paraId="44B42515" w14:textId="229A3848"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(7,9%)</w:t>
            </w:r>
          </w:p>
        </w:tc>
        <w:tc>
          <w:tcPr>
            <w:tcW w:w="712" w:type="dxa"/>
            <w:vMerge/>
          </w:tcPr>
          <w:p w14:paraId="4DFF68AD"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r>
      <w:tr w:rsidR="00FA6CEB" w:rsidRPr="00BA55B1" w14:paraId="59A9A221" w14:textId="77777777" w:rsidTr="00FA6CEB">
        <w:trPr>
          <w:trHeight w:val="293"/>
        </w:trPr>
        <w:tc>
          <w:tcPr>
            <w:tcW w:w="1516" w:type="dxa"/>
            <w:vMerge/>
            <w:noWrap/>
            <w:hideMark/>
          </w:tcPr>
          <w:p w14:paraId="1E596E77"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c>
          <w:tcPr>
            <w:tcW w:w="1553" w:type="dxa"/>
            <w:noWrap/>
            <w:hideMark/>
          </w:tcPr>
          <w:p w14:paraId="67EF98DB"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Более 1 пачки</w:t>
            </w:r>
          </w:p>
        </w:tc>
        <w:tc>
          <w:tcPr>
            <w:tcW w:w="1153" w:type="dxa"/>
            <w:noWrap/>
            <w:hideMark/>
          </w:tcPr>
          <w:p w14:paraId="3C71A385"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w:t>
            </w:r>
          </w:p>
          <w:p w14:paraId="6DC7EA4A" w14:textId="644EC1E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(3,8%)</w:t>
            </w:r>
          </w:p>
        </w:tc>
        <w:tc>
          <w:tcPr>
            <w:tcW w:w="1154" w:type="dxa"/>
            <w:noWrap/>
            <w:hideMark/>
          </w:tcPr>
          <w:p w14:paraId="2F9AE4F8"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297405D5" w14:textId="5D3E06E2"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(5,7%)</w:t>
            </w:r>
          </w:p>
        </w:tc>
        <w:tc>
          <w:tcPr>
            <w:tcW w:w="1154" w:type="dxa"/>
            <w:noWrap/>
            <w:hideMark/>
          </w:tcPr>
          <w:p w14:paraId="2457F425"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6310740C" w14:textId="706D18A9"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(7,7%)</w:t>
            </w:r>
          </w:p>
        </w:tc>
        <w:tc>
          <w:tcPr>
            <w:tcW w:w="1154" w:type="dxa"/>
            <w:noWrap/>
            <w:hideMark/>
          </w:tcPr>
          <w:p w14:paraId="665F487F"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10</w:t>
            </w:r>
          </w:p>
          <w:p w14:paraId="0940EEFE" w14:textId="5E0AFB80"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(11,6%)</w:t>
            </w:r>
          </w:p>
        </w:tc>
        <w:tc>
          <w:tcPr>
            <w:tcW w:w="1154" w:type="dxa"/>
            <w:noWrap/>
            <w:hideMark/>
          </w:tcPr>
          <w:p w14:paraId="22E248AE"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w:t>
            </w:r>
          </w:p>
          <w:p w14:paraId="1B1D38B4" w14:textId="01E75631"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(3,9%)</w:t>
            </w:r>
          </w:p>
        </w:tc>
        <w:tc>
          <w:tcPr>
            <w:tcW w:w="1154" w:type="dxa"/>
            <w:noWrap/>
            <w:hideMark/>
          </w:tcPr>
          <w:p w14:paraId="1136E477"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4B150E3B" w14:textId="49C121B4"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(4,9%)</w:t>
            </w:r>
          </w:p>
        </w:tc>
        <w:tc>
          <w:tcPr>
            <w:tcW w:w="1154" w:type="dxa"/>
            <w:noWrap/>
            <w:hideMark/>
          </w:tcPr>
          <w:p w14:paraId="33E7414E"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w:t>
            </w:r>
          </w:p>
          <w:p w14:paraId="01CFDA29" w14:textId="4AD3A17E"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(15,0%)</w:t>
            </w:r>
          </w:p>
        </w:tc>
        <w:tc>
          <w:tcPr>
            <w:tcW w:w="1154" w:type="dxa"/>
            <w:noWrap/>
            <w:hideMark/>
          </w:tcPr>
          <w:p w14:paraId="5A3BFFDD"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w:t>
            </w:r>
          </w:p>
          <w:p w14:paraId="1DF0F984" w14:textId="2F0126D8"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(12,2%)</w:t>
            </w:r>
          </w:p>
        </w:tc>
        <w:tc>
          <w:tcPr>
            <w:tcW w:w="1264" w:type="dxa"/>
            <w:noWrap/>
            <w:hideMark/>
          </w:tcPr>
          <w:p w14:paraId="28ED346E"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35</w:t>
            </w:r>
          </w:p>
          <w:p w14:paraId="40A0ED49" w14:textId="420A8716"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(7,3%)</w:t>
            </w:r>
          </w:p>
        </w:tc>
        <w:tc>
          <w:tcPr>
            <w:tcW w:w="712" w:type="dxa"/>
            <w:vMerge/>
          </w:tcPr>
          <w:p w14:paraId="78BBDA10"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r>
      <w:tr w:rsidR="00FA6CEB" w:rsidRPr="00BA55B1" w14:paraId="59E54B53" w14:textId="77777777" w:rsidTr="00FA6CEB">
        <w:trPr>
          <w:trHeight w:val="293"/>
        </w:trPr>
        <w:tc>
          <w:tcPr>
            <w:tcW w:w="1516" w:type="dxa"/>
            <w:vMerge/>
            <w:noWrap/>
            <w:hideMark/>
          </w:tcPr>
          <w:p w14:paraId="5BBDB1D1"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c>
          <w:tcPr>
            <w:tcW w:w="1553" w:type="dxa"/>
            <w:noWrap/>
            <w:hideMark/>
          </w:tcPr>
          <w:p w14:paraId="175B7300"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Не курю</w:t>
            </w:r>
          </w:p>
        </w:tc>
        <w:tc>
          <w:tcPr>
            <w:tcW w:w="1153" w:type="dxa"/>
            <w:noWrap/>
            <w:hideMark/>
          </w:tcPr>
          <w:p w14:paraId="48C30FA8"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37</w:t>
            </w:r>
          </w:p>
          <w:p w14:paraId="2A5772D6" w14:textId="6E9AEEAB"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(69,8%)</w:t>
            </w:r>
          </w:p>
        </w:tc>
        <w:tc>
          <w:tcPr>
            <w:tcW w:w="1154" w:type="dxa"/>
            <w:noWrap/>
            <w:hideMark/>
          </w:tcPr>
          <w:p w14:paraId="689EC01F"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41</w:t>
            </w:r>
          </w:p>
          <w:p w14:paraId="77DD392E" w14:textId="419768DD"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(58,6%)</w:t>
            </w:r>
          </w:p>
        </w:tc>
        <w:tc>
          <w:tcPr>
            <w:tcW w:w="1154" w:type="dxa"/>
            <w:noWrap/>
            <w:hideMark/>
          </w:tcPr>
          <w:p w14:paraId="26310600"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36</w:t>
            </w:r>
          </w:p>
          <w:p w14:paraId="7CE797D0" w14:textId="2D3D5D4C"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(69,2%)</w:t>
            </w:r>
          </w:p>
        </w:tc>
        <w:tc>
          <w:tcPr>
            <w:tcW w:w="1154" w:type="dxa"/>
            <w:noWrap/>
            <w:hideMark/>
          </w:tcPr>
          <w:p w14:paraId="7D3C08D2"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52</w:t>
            </w:r>
          </w:p>
          <w:p w14:paraId="5BB7FB60" w14:textId="41BFFC3A"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(60,5%)</w:t>
            </w:r>
          </w:p>
        </w:tc>
        <w:tc>
          <w:tcPr>
            <w:tcW w:w="1154" w:type="dxa"/>
            <w:noWrap/>
            <w:hideMark/>
          </w:tcPr>
          <w:p w14:paraId="300DCB86"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64</w:t>
            </w:r>
          </w:p>
          <w:p w14:paraId="3C33729C" w14:textId="032B52A2"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(84,2%)</w:t>
            </w:r>
          </w:p>
        </w:tc>
        <w:tc>
          <w:tcPr>
            <w:tcW w:w="1154" w:type="dxa"/>
            <w:noWrap/>
            <w:hideMark/>
          </w:tcPr>
          <w:p w14:paraId="212A4932"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61</w:t>
            </w:r>
          </w:p>
          <w:p w14:paraId="1CC09142" w14:textId="16FDC990"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(74,4%)</w:t>
            </w:r>
          </w:p>
        </w:tc>
        <w:tc>
          <w:tcPr>
            <w:tcW w:w="1154" w:type="dxa"/>
            <w:noWrap/>
            <w:hideMark/>
          </w:tcPr>
          <w:p w14:paraId="2A3E1EBA"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13</w:t>
            </w:r>
          </w:p>
          <w:p w14:paraId="22914880" w14:textId="6E46B943"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(65,0%)</w:t>
            </w:r>
          </w:p>
        </w:tc>
        <w:tc>
          <w:tcPr>
            <w:tcW w:w="1154" w:type="dxa"/>
            <w:noWrap/>
            <w:hideMark/>
          </w:tcPr>
          <w:p w14:paraId="68DCC3C5"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22</w:t>
            </w:r>
          </w:p>
          <w:p w14:paraId="3A9720D4" w14:textId="2C2D81E4"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(53,7%)</w:t>
            </w:r>
          </w:p>
        </w:tc>
        <w:tc>
          <w:tcPr>
            <w:tcW w:w="1264" w:type="dxa"/>
            <w:noWrap/>
            <w:hideMark/>
          </w:tcPr>
          <w:p w14:paraId="13B2F0C4"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326</w:t>
            </w:r>
          </w:p>
          <w:p w14:paraId="52D3460C" w14:textId="784F4264"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(67,9%)</w:t>
            </w:r>
          </w:p>
        </w:tc>
        <w:tc>
          <w:tcPr>
            <w:tcW w:w="712" w:type="dxa"/>
            <w:vMerge/>
          </w:tcPr>
          <w:p w14:paraId="0E331CD2"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r>
      <w:tr w:rsidR="00FA6CEB" w:rsidRPr="00BA55B1" w14:paraId="20CA9370" w14:textId="77777777" w:rsidTr="00FA6CEB">
        <w:trPr>
          <w:trHeight w:val="293"/>
        </w:trPr>
        <w:tc>
          <w:tcPr>
            <w:tcW w:w="1516" w:type="dxa"/>
            <w:vMerge w:val="restart"/>
            <w:noWrap/>
            <w:hideMark/>
          </w:tcPr>
          <w:p w14:paraId="4C87A158"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Частота употребления алкогольных напитков</w:t>
            </w:r>
          </w:p>
        </w:tc>
        <w:tc>
          <w:tcPr>
            <w:tcW w:w="1553" w:type="dxa"/>
            <w:noWrap/>
            <w:hideMark/>
          </w:tcPr>
          <w:p w14:paraId="0A457FEB"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Редко</w:t>
            </w:r>
          </w:p>
        </w:tc>
        <w:tc>
          <w:tcPr>
            <w:tcW w:w="1153" w:type="dxa"/>
            <w:noWrap/>
            <w:hideMark/>
          </w:tcPr>
          <w:p w14:paraId="6511B2C6"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w:t>
            </w:r>
          </w:p>
          <w:p w14:paraId="274910C5" w14:textId="0DB1478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(28,3%)</w:t>
            </w:r>
          </w:p>
        </w:tc>
        <w:tc>
          <w:tcPr>
            <w:tcW w:w="1154" w:type="dxa"/>
            <w:noWrap/>
            <w:hideMark/>
          </w:tcPr>
          <w:p w14:paraId="69F8ED37"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22</w:t>
            </w:r>
          </w:p>
          <w:p w14:paraId="39152A76" w14:textId="13882B7C"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(31,4%)</w:t>
            </w:r>
          </w:p>
        </w:tc>
        <w:tc>
          <w:tcPr>
            <w:tcW w:w="1154" w:type="dxa"/>
            <w:noWrap/>
            <w:hideMark/>
          </w:tcPr>
          <w:p w14:paraId="76C8E1B7"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13</w:t>
            </w:r>
          </w:p>
          <w:p w14:paraId="7C0AC2FC" w14:textId="7BF8119E"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(25,0%)</w:t>
            </w:r>
          </w:p>
        </w:tc>
        <w:tc>
          <w:tcPr>
            <w:tcW w:w="1154" w:type="dxa"/>
            <w:noWrap/>
            <w:hideMark/>
          </w:tcPr>
          <w:p w14:paraId="347808D8"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34</w:t>
            </w:r>
          </w:p>
          <w:p w14:paraId="43E740BF" w14:textId="0AC7F7BF"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(39,5%)</w:t>
            </w:r>
          </w:p>
        </w:tc>
        <w:tc>
          <w:tcPr>
            <w:tcW w:w="1154" w:type="dxa"/>
            <w:noWrap/>
            <w:hideMark/>
          </w:tcPr>
          <w:p w14:paraId="68CC9048"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26</w:t>
            </w:r>
          </w:p>
          <w:p w14:paraId="19ABBB54" w14:textId="3C56CB93"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(34,2%)</w:t>
            </w:r>
          </w:p>
        </w:tc>
        <w:tc>
          <w:tcPr>
            <w:tcW w:w="1154" w:type="dxa"/>
            <w:noWrap/>
            <w:hideMark/>
          </w:tcPr>
          <w:p w14:paraId="4110CB5F"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23</w:t>
            </w:r>
          </w:p>
          <w:p w14:paraId="6C3E341E" w14:textId="2024DBCB"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(28,0%)</w:t>
            </w:r>
          </w:p>
        </w:tc>
        <w:tc>
          <w:tcPr>
            <w:tcW w:w="1154" w:type="dxa"/>
            <w:noWrap/>
            <w:hideMark/>
          </w:tcPr>
          <w:p w14:paraId="00D25573"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9</w:t>
            </w:r>
          </w:p>
          <w:p w14:paraId="2962625A" w14:textId="66059FDA"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(45,0%)</w:t>
            </w:r>
          </w:p>
        </w:tc>
        <w:tc>
          <w:tcPr>
            <w:tcW w:w="1154" w:type="dxa"/>
            <w:noWrap/>
            <w:hideMark/>
          </w:tcPr>
          <w:p w14:paraId="13D824BA"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14</w:t>
            </w:r>
          </w:p>
          <w:p w14:paraId="3E63EF7C" w14:textId="79F7006C"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(34,1%)</w:t>
            </w:r>
          </w:p>
        </w:tc>
        <w:tc>
          <w:tcPr>
            <w:tcW w:w="1264" w:type="dxa"/>
            <w:noWrap/>
            <w:hideMark/>
          </w:tcPr>
          <w:p w14:paraId="59AA6BD0"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156</w:t>
            </w:r>
          </w:p>
          <w:p w14:paraId="1AE74B41" w14:textId="52CB3B2F"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(32,5%)</w:t>
            </w:r>
          </w:p>
        </w:tc>
        <w:tc>
          <w:tcPr>
            <w:tcW w:w="712" w:type="dxa"/>
            <w:vMerge w:val="restart"/>
          </w:tcPr>
          <w:p w14:paraId="363EC2F9" w14:textId="77777777" w:rsidR="00FA6CEB" w:rsidRPr="00BA55B1" w:rsidRDefault="00FA6CEB" w:rsidP="00FA6CEB">
            <w:pPr>
              <w:spacing w:after="0" w:line="240" w:lineRule="auto"/>
              <w:jc w:val="center"/>
              <w:rPr>
                <w:rFonts w:ascii="Times New Roman" w:eastAsia="Times New Roman" w:hAnsi="Times New Roman" w:cs="Times New Roman"/>
                <w:sz w:val="24"/>
                <w:szCs w:val="24"/>
                <w:lang w:val="en-US"/>
              </w:rPr>
            </w:pPr>
            <w:r w:rsidRPr="00BA55B1">
              <w:rPr>
                <w:rFonts w:ascii="Times New Roman" w:eastAsia="Times New Roman" w:hAnsi="Times New Roman" w:cs="Times New Roman"/>
                <w:sz w:val="24"/>
                <w:szCs w:val="24"/>
                <w:lang w:val="en-US"/>
              </w:rPr>
              <w:t>0,135</w:t>
            </w:r>
          </w:p>
        </w:tc>
      </w:tr>
      <w:tr w:rsidR="00FA6CEB" w:rsidRPr="00BA55B1" w14:paraId="3A9000E2" w14:textId="77777777" w:rsidTr="00FA6CEB">
        <w:trPr>
          <w:trHeight w:val="293"/>
        </w:trPr>
        <w:tc>
          <w:tcPr>
            <w:tcW w:w="1516" w:type="dxa"/>
            <w:vMerge/>
            <w:noWrap/>
            <w:hideMark/>
          </w:tcPr>
          <w:p w14:paraId="16870662"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c>
          <w:tcPr>
            <w:tcW w:w="1553" w:type="dxa"/>
            <w:noWrap/>
            <w:hideMark/>
          </w:tcPr>
          <w:p w14:paraId="550C9725"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Около 2 раз в неделю</w:t>
            </w:r>
          </w:p>
        </w:tc>
        <w:tc>
          <w:tcPr>
            <w:tcW w:w="1153" w:type="dxa"/>
            <w:noWrap/>
            <w:hideMark/>
          </w:tcPr>
          <w:p w14:paraId="05302D25"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w:t>
            </w:r>
          </w:p>
          <w:p w14:paraId="5F0F5376" w14:textId="730440A0"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(3,8%)</w:t>
            </w:r>
          </w:p>
        </w:tc>
        <w:tc>
          <w:tcPr>
            <w:tcW w:w="1154" w:type="dxa"/>
            <w:noWrap/>
            <w:hideMark/>
          </w:tcPr>
          <w:p w14:paraId="5C086FF1"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w:t>
            </w:r>
          </w:p>
          <w:p w14:paraId="6A01BAB8" w14:textId="2440910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(4,3%)</w:t>
            </w:r>
          </w:p>
        </w:tc>
        <w:tc>
          <w:tcPr>
            <w:tcW w:w="1154" w:type="dxa"/>
            <w:noWrap/>
            <w:hideMark/>
          </w:tcPr>
          <w:p w14:paraId="0D63F88A" w14:textId="77777777" w:rsidR="00721995" w:rsidRDefault="00FA6CEB" w:rsidP="00FA6CEB">
            <w:pPr>
              <w:spacing w:after="0" w:line="240" w:lineRule="auto"/>
              <w:jc w:val="center"/>
              <w:rPr>
                <w:rFonts w:ascii="Times New Roman" w:eastAsia="Times New Roman" w:hAnsi="Times New Roman" w:cs="Times New Roman"/>
                <w:sz w:val="24"/>
                <w:szCs w:val="24"/>
                <w:lang w:val="en-US"/>
              </w:rPr>
            </w:pPr>
            <w:r w:rsidRPr="00BA55B1">
              <w:rPr>
                <w:rFonts w:ascii="Times New Roman" w:eastAsia="Times New Roman" w:hAnsi="Times New Roman" w:cs="Times New Roman"/>
                <w:sz w:val="24"/>
                <w:szCs w:val="24"/>
                <w:lang w:val="en-US"/>
              </w:rPr>
              <w:t>0</w:t>
            </w:r>
          </w:p>
          <w:p w14:paraId="5F65116A" w14:textId="4ABB4572"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lang w:val="en-US"/>
              </w:rPr>
              <w:t>(0.0%)</w:t>
            </w:r>
          </w:p>
        </w:tc>
        <w:tc>
          <w:tcPr>
            <w:tcW w:w="1154" w:type="dxa"/>
            <w:noWrap/>
            <w:hideMark/>
          </w:tcPr>
          <w:p w14:paraId="44B3222C"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w:t>
            </w:r>
          </w:p>
          <w:p w14:paraId="4359F0EA" w14:textId="4F427C9B"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(5,8%)</w:t>
            </w:r>
          </w:p>
        </w:tc>
        <w:tc>
          <w:tcPr>
            <w:tcW w:w="1154" w:type="dxa"/>
            <w:noWrap/>
            <w:hideMark/>
          </w:tcPr>
          <w:p w14:paraId="60FC03C2"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6C7C1FF1" w14:textId="2732BFFD"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(5,3%)</w:t>
            </w:r>
          </w:p>
        </w:tc>
        <w:tc>
          <w:tcPr>
            <w:tcW w:w="1154" w:type="dxa"/>
            <w:noWrap/>
            <w:hideMark/>
          </w:tcPr>
          <w:p w14:paraId="23378EB0"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w:t>
            </w:r>
          </w:p>
          <w:p w14:paraId="70E23FB5" w14:textId="3F2901D1"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(6,1%)</w:t>
            </w:r>
          </w:p>
        </w:tc>
        <w:tc>
          <w:tcPr>
            <w:tcW w:w="1154" w:type="dxa"/>
            <w:noWrap/>
            <w:hideMark/>
          </w:tcPr>
          <w:p w14:paraId="625E5020"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w:t>
            </w:r>
          </w:p>
          <w:p w14:paraId="32B2F6F8" w14:textId="2569AEA9"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(5,0%)</w:t>
            </w:r>
          </w:p>
        </w:tc>
        <w:tc>
          <w:tcPr>
            <w:tcW w:w="1154" w:type="dxa"/>
            <w:noWrap/>
            <w:hideMark/>
          </w:tcPr>
          <w:p w14:paraId="1ED448DE"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w:t>
            </w:r>
          </w:p>
          <w:p w14:paraId="16B95772" w14:textId="5734C772"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(12,2%)</w:t>
            </w:r>
          </w:p>
        </w:tc>
        <w:tc>
          <w:tcPr>
            <w:tcW w:w="1264" w:type="dxa"/>
            <w:noWrap/>
            <w:hideMark/>
          </w:tcPr>
          <w:p w14:paraId="7499EF96"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25</w:t>
            </w:r>
          </w:p>
          <w:p w14:paraId="5F5C719A" w14:textId="50FC2811"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(5,2%)</w:t>
            </w:r>
          </w:p>
        </w:tc>
        <w:tc>
          <w:tcPr>
            <w:tcW w:w="712" w:type="dxa"/>
            <w:vMerge/>
          </w:tcPr>
          <w:p w14:paraId="787EFBD5"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r>
      <w:tr w:rsidR="00FA6CEB" w:rsidRPr="00BA55B1" w14:paraId="2B5D0C80" w14:textId="77777777" w:rsidTr="00FA6CEB">
        <w:trPr>
          <w:trHeight w:val="293"/>
        </w:trPr>
        <w:tc>
          <w:tcPr>
            <w:tcW w:w="1516" w:type="dxa"/>
            <w:vMerge/>
            <w:noWrap/>
            <w:hideMark/>
          </w:tcPr>
          <w:p w14:paraId="417EA429"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c>
          <w:tcPr>
            <w:tcW w:w="1553" w:type="dxa"/>
            <w:noWrap/>
            <w:hideMark/>
          </w:tcPr>
          <w:p w14:paraId="326C8C5E"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Ежедневно</w:t>
            </w:r>
          </w:p>
        </w:tc>
        <w:tc>
          <w:tcPr>
            <w:tcW w:w="1153" w:type="dxa"/>
            <w:noWrap/>
            <w:hideMark/>
          </w:tcPr>
          <w:p w14:paraId="0951B2F7"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1(1,9%)</w:t>
            </w:r>
          </w:p>
        </w:tc>
        <w:tc>
          <w:tcPr>
            <w:tcW w:w="1154" w:type="dxa"/>
            <w:noWrap/>
            <w:hideMark/>
          </w:tcPr>
          <w:p w14:paraId="1E4B65C7"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1(1,4%)</w:t>
            </w:r>
          </w:p>
        </w:tc>
        <w:tc>
          <w:tcPr>
            <w:tcW w:w="1154" w:type="dxa"/>
            <w:noWrap/>
            <w:hideMark/>
          </w:tcPr>
          <w:p w14:paraId="4D8C5809"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2(3,8%)</w:t>
            </w:r>
          </w:p>
        </w:tc>
        <w:tc>
          <w:tcPr>
            <w:tcW w:w="1154" w:type="dxa"/>
            <w:noWrap/>
            <w:hideMark/>
          </w:tcPr>
          <w:p w14:paraId="1C1A3BD2"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lang w:val="en-US"/>
              </w:rPr>
              <w:t>0(0.0%)</w:t>
            </w:r>
          </w:p>
        </w:tc>
        <w:tc>
          <w:tcPr>
            <w:tcW w:w="1154" w:type="dxa"/>
            <w:noWrap/>
            <w:hideMark/>
          </w:tcPr>
          <w:p w14:paraId="3575A601"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1(1,3%)</w:t>
            </w:r>
          </w:p>
        </w:tc>
        <w:tc>
          <w:tcPr>
            <w:tcW w:w="1154" w:type="dxa"/>
            <w:noWrap/>
            <w:hideMark/>
          </w:tcPr>
          <w:p w14:paraId="7D6E4F79"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3(3,7%)</w:t>
            </w:r>
          </w:p>
        </w:tc>
        <w:tc>
          <w:tcPr>
            <w:tcW w:w="1154" w:type="dxa"/>
            <w:noWrap/>
            <w:hideMark/>
          </w:tcPr>
          <w:p w14:paraId="0BEBD05E"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lang w:val="en-US"/>
              </w:rPr>
              <w:t>0(0.0%)</w:t>
            </w:r>
          </w:p>
        </w:tc>
        <w:tc>
          <w:tcPr>
            <w:tcW w:w="1154" w:type="dxa"/>
            <w:noWrap/>
            <w:hideMark/>
          </w:tcPr>
          <w:p w14:paraId="70A55FEA"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4(9,8%)</w:t>
            </w:r>
          </w:p>
        </w:tc>
        <w:tc>
          <w:tcPr>
            <w:tcW w:w="1264" w:type="dxa"/>
            <w:noWrap/>
            <w:hideMark/>
          </w:tcPr>
          <w:p w14:paraId="135D95F0"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12(2,5%)</w:t>
            </w:r>
          </w:p>
        </w:tc>
        <w:tc>
          <w:tcPr>
            <w:tcW w:w="712" w:type="dxa"/>
            <w:vMerge/>
          </w:tcPr>
          <w:p w14:paraId="084DCA78"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r>
      <w:tr w:rsidR="00FA6CEB" w:rsidRPr="00BA55B1" w14:paraId="51E03758" w14:textId="77777777" w:rsidTr="007C3271">
        <w:trPr>
          <w:trHeight w:val="293"/>
        </w:trPr>
        <w:tc>
          <w:tcPr>
            <w:tcW w:w="1516" w:type="dxa"/>
            <w:vMerge/>
            <w:tcBorders>
              <w:bottom w:val="single" w:sz="4" w:space="0" w:color="auto"/>
            </w:tcBorders>
            <w:noWrap/>
            <w:hideMark/>
          </w:tcPr>
          <w:p w14:paraId="2BB5591A"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c>
          <w:tcPr>
            <w:tcW w:w="1553" w:type="dxa"/>
            <w:tcBorders>
              <w:bottom w:val="single" w:sz="4" w:space="0" w:color="auto"/>
            </w:tcBorders>
            <w:noWrap/>
            <w:hideMark/>
          </w:tcPr>
          <w:p w14:paraId="672802AD"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Не употребляю</w:t>
            </w:r>
          </w:p>
        </w:tc>
        <w:tc>
          <w:tcPr>
            <w:tcW w:w="1153" w:type="dxa"/>
            <w:tcBorders>
              <w:bottom w:val="single" w:sz="4" w:space="0" w:color="auto"/>
            </w:tcBorders>
            <w:noWrap/>
            <w:hideMark/>
          </w:tcPr>
          <w:p w14:paraId="3C2C11CB"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35</w:t>
            </w:r>
          </w:p>
          <w:p w14:paraId="04FB8496" w14:textId="50893E69"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(66,0%)</w:t>
            </w:r>
          </w:p>
        </w:tc>
        <w:tc>
          <w:tcPr>
            <w:tcW w:w="1154" w:type="dxa"/>
            <w:tcBorders>
              <w:bottom w:val="single" w:sz="4" w:space="0" w:color="auto"/>
            </w:tcBorders>
            <w:noWrap/>
            <w:hideMark/>
          </w:tcPr>
          <w:p w14:paraId="5CBB509A"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44</w:t>
            </w:r>
          </w:p>
          <w:p w14:paraId="401A2AE2" w14:textId="01B375D0"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(62,9%)</w:t>
            </w:r>
          </w:p>
        </w:tc>
        <w:tc>
          <w:tcPr>
            <w:tcW w:w="1154" w:type="dxa"/>
            <w:tcBorders>
              <w:bottom w:val="single" w:sz="4" w:space="0" w:color="auto"/>
            </w:tcBorders>
            <w:noWrap/>
            <w:hideMark/>
          </w:tcPr>
          <w:p w14:paraId="17A73841"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37</w:t>
            </w:r>
          </w:p>
          <w:p w14:paraId="46EC0960" w14:textId="19100BF3"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(71,2%)</w:t>
            </w:r>
          </w:p>
        </w:tc>
        <w:tc>
          <w:tcPr>
            <w:tcW w:w="1154" w:type="dxa"/>
            <w:tcBorders>
              <w:bottom w:val="single" w:sz="4" w:space="0" w:color="auto"/>
            </w:tcBorders>
            <w:noWrap/>
            <w:hideMark/>
          </w:tcPr>
          <w:p w14:paraId="18356B49"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47</w:t>
            </w:r>
          </w:p>
          <w:p w14:paraId="68308994" w14:textId="0525DA54"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(54,7%)</w:t>
            </w:r>
          </w:p>
        </w:tc>
        <w:tc>
          <w:tcPr>
            <w:tcW w:w="1154" w:type="dxa"/>
            <w:tcBorders>
              <w:bottom w:val="single" w:sz="4" w:space="0" w:color="auto"/>
            </w:tcBorders>
            <w:noWrap/>
            <w:hideMark/>
          </w:tcPr>
          <w:p w14:paraId="3D892FB0"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45</w:t>
            </w:r>
          </w:p>
          <w:p w14:paraId="291AED93" w14:textId="54618DC9"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(59,2%)</w:t>
            </w:r>
          </w:p>
        </w:tc>
        <w:tc>
          <w:tcPr>
            <w:tcW w:w="1154" w:type="dxa"/>
            <w:tcBorders>
              <w:bottom w:val="single" w:sz="4" w:space="0" w:color="auto"/>
            </w:tcBorders>
            <w:noWrap/>
            <w:hideMark/>
          </w:tcPr>
          <w:p w14:paraId="71861FC7"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51</w:t>
            </w:r>
          </w:p>
          <w:p w14:paraId="0918EF15" w14:textId="52F73A58"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(62,2%)</w:t>
            </w:r>
          </w:p>
        </w:tc>
        <w:tc>
          <w:tcPr>
            <w:tcW w:w="1154" w:type="dxa"/>
            <w:tcBorders>
              <w:bottom w:val="single" w:sz="4" w:space="0" w:color="auto"/>
            </w:tcBorders>
            <w:noWrap/>
            <w:hideMark/>
          </w:tcPr>
          <w:p w14:paraId="19AD21AF"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10</w:t>
            </w:r>
          </w:p>
          <w:p w14:paraId="1C98A178" w14:textId="417DFF04"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(50,0%)</w:t>
            </w:r>
          </w:p>
        </w:tc>
        <w:tc>
          <w:tcPr>
            <w:tcW w:w="1154" w:type="dxa"/>
            <w:tcBorders>
              <w:bottom w:val="single" w:sz="4" w:space="0" w:color="auto"/>
            </w:tcBorders>
            <w:noWrap/>
            <w:hideMark/>
          </w:tcPr>
          <w:p w14:paraId="5AF44C24"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18</w:t>
            </w:r>
          </w:p>
          <w:p w14:paraId="26772BD9" w14:textId="21F1F943"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(43,9%)</w:t>
            </w:r>
          </w:p>
        </w:tc>
        <w:tc>
          <w:tcPr>
            <w:tcW w:w="1264" w:type="dxa"/>
            <w:tcBorders>
              <w:bottom w:val="single" w:sz="4" w:space="0" w:color="auto"/>
            </w:tcBorders>
            <w:noWrap/>
            <w:hideMark/>
          </w:tcPr>
          <w:p w14:paraId="20FB8F05"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287</w:t>
            </w:r>
          </w:p>
          <w:p w14:paraId="44D9E099" w14:textId="6919E1E2"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(59,8%)</w:t>
            </w:r>
          </w:p>
        </w:tc>
        <w:tc>
          <w:tcPr>
            <w:tcW w:w="712" w:type="dxa"/>
            <w:vMerge/>
            <w:tcBorders>
              <w:bottom w:val="single" w:sz="4" w:space="0" w:color="auto"/>
            </w:tcBorders>
          </w:tcPr>
          <w:p w14:paraId="758A3355"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r>
      <w:tr w:rsidR="00FA6CEB" w:rsidRPr="00BA55B1" w14:paraId="4500F4B1" w14:textId="77777777" w:rsidTr="007C3271">
        <w:trPr>
          <w:trHeight w:val="293"/>
        </w:trPr>
        <w:tc>
          <w:tcPr>
            <w:tcW w:w="1516" w:type="dxa"/>
            <w:vMerge w:val="restart"/>
            <w:tcBorders>
              <w:bottom w:val="nil"/>
            </w:tcBorders>
            <w:noWrap/>
            <w:hideMark/>
          </w:tcPr>
          <w:p w14:paraId="21B8015D"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Место для занятия ФА</w:t>
            </w:r>
          </w:p>
        </w:tc>
        <w:tc>
          <w:tcPr>
            <w:tcW w:w="1553" w:type="dxa"/>
            <w:noWrap/>
            <w:hideMark/>
          </w:tcPr>
          <w:p w14:paraId="2B1910D2"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Не занимаюсь</w:t>
            </w:r>
          </w:p>
        </w:tc>
        <w:tc>
          <w:tcPr>
            <w:tcW w:w="1153" w:type="dxa"/>
            <w:noWrap/>
            <w:hideMark/>
          </w:tcPr>
          <w:p w14:paraId="200A5101"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9</w:t>
            </w:r>
          </w:p>
          <w:p w14:paraId="7BA71F6D" w14:textId="67DCE356"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(17,0%)</w:t>
            </w:r>
          </w:p>
        </w:tc>
        <w:tc>
          <w:tcPr>
            <w:tcW w:w="1154" w:type="dxa"/>
            <w:noWrap/>
            <w:hideMark/>
          </w:tcPr>
          <w:p w14:paraId="73B7A90A"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w:t>
            </w:r>
          </w:p>
          <w:p w14:paraId="556DA251" w14:textId="02A0F3DA"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(15,7%)</w:t>
            </w:r>
          </w:p>
        </w:tc>
        <w:tc>
          <w:tcPr>
            <w:tcW w:w="1154" w:type="dxa"/>
            <w:noWrap/>
            <w:hideMark/>
          </w:tcPr>
          <w:p w14:paraId="242D8DAD"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13</w:t>
            </w:r>
          </w:p>
          <w:p w14:paraId="69F8D1DE" w14:textId="2D9ABC10"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(25,0%)</w:t>
            </w:r>
          </w:p>
        </w:tc>
        <w:tc>
          <w:tcPr>
            <w:tcW w:w="1154" w:type="dxa"/>
            <w:noWrap/>
            <w:hideMark/>
          </w:tcPr>
          <w:p w14:paraId="3B75B482"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19</w:t>
            </w:r>
          </w:p>
          <w:p w14:paraId="099826B1" w14:textId="21D31FBF"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(22,1%)</w:t>
            </w:r>
          </w:p>
        </w:tc>
        <w:tc>
          <w:tcPr>
            <w:tcW w:w="1154" w:type="dxa"/>
            <w:noWrap/>
            <w:hideMark/>
          </w:tcPr>
          <w:p w14:paraId="21FDD4A2"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21</w:t>
            </w:r>
          </w:p>
          <w:p w14:paraId="2D10FD23" w14:textId="5297BB6B"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(27,6%)</w:t>
            </w:r>
          </w:p>
        </w:tc>
        <w:tc>
          <w:tcPr>
            <w:tcW w:w="1154" w:type="dxa"/>
            <w:noWrap/>
            <w:hideMark/>
          </w:tcPr>
          <w:p w14:paraId="0298B670"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21</w:t>
            </w:r>
          </w:p>
          <w:p w14:paraId="7FCC0153" w14:textId="4919ECA8"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(25,6%)</w:t>
            </w:r>
          </w:p>
        </w:tc>
        <w:tc>
          <w:tcPr>
            <w:tcW w:w="1154" w:type="dxa"/>
            <w:noWrap/>
            <w:hideMark/>
          </w:tcPr>
          <w:p w14:paraId="541BC9CF"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w:t>
            </w:r>
          </w:p>
          <w:p w14:paraId="505BD6A5" w14:textId="161F9174"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(35,0%)</w:t>
            </w:r>
          </w:p>
        </w:tc>
        <w:tc>
          <w:tcPr>
            <w:tcW w:w="1154" w:type="dxa"/>
            <w:noWrap/>
            <w:hideMark/>
          </w:tcPr>
          <w:p w14:paraId="6AF362BB"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13</w:t>
            </w:r>
          </w:p>
          <w:p w14:paraId="6E465DC4" w14:textId="18D2D2F3"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(31,7%)</w:t>
            </w:r>
          </w:p>
        </w:tc>
        <w:tc>
          <w:tcPr>
            <w:tcW w:w="1264" w:type="dxa"/>
            <w:noWrap/>
            <w:hideMark/>
          </w:tcPr>
          <w:p w14:paraId="3D203D0C"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114</w:t>
            </w:r>
          </w:p>
          <w:p w14:paraId="1C8822A3" w14:textId="6DAA663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(23,8%)</w:t>
            </w:r>
          </w:p>
        </w:tc>
        <w:tc>
          <w:tcPr>
            <w:tcW w:w="712" w:type="dxa"/>
            <w:vMerge w:val="restart"/>
          </w:tcPr>
          <w:p w14:paraId="2DA59990"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lang w:val="en-US"/>
              </w:rPr>
              <w:t>0,001</w:t>
            </w:r>
          </w:p>
        </w:tc>
      </w:tr>
      <w:tr w:rsidR="00FA6CEB" w:rsidRPr="00BA55B1" w14:paraId="104512A0" w14:textId="77777777" w:rsidTr="007C3271">
        <w:trPr>
          <w:trHeight w:val="293"/>
        </w:trPr>
        <w:tc>
          <w:tcPr>
            <w:tcW w:w="1516" w:type="dxa"/>
            <w:vMerge/>
            <w:tcBorders>
              <w:bottom w:val="nil"/>
            </w:tcBorders>
            <w:noWrap/>
            <w:hideMark/>
          </w:tcPr>
          <w:p w14:paraId="50B7F9CD"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c>
          <w:tcPr>
            <w:tcW w:w="1553" w:type="dxa"/>
            <w:noWrap/>
            <w:hideMark/>
          </w:tcPr>
          <w:p w14:paraId="3CF6FC99"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Дома</w:t>
            </w:r>
          </w:p>
        </w:tc>
        <w:tc>
          <w:tcPr>
            <w:tcW w:w="1153" w:type="dxa"/>
            <w:noWrap/>
            <w:hideMark/>
          </w:tcPr>
          <w:p w14:paraId="11219C29"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16</w:t>
            </w:r>
          </w:p>
          <w:p w14:paraId="6A454C3A" w14:textId="46D26962"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(30,2%)</w:t>
            </w:r>
          </w:p>
        </w:tc>
        <w:tc>
          <w:tcPr>
            <w:tcW w:w="1154" w:type="dxa"/>
            <w:noWrap/>
            <w:hideMark/>
          </w:tcPr>
          <w:p w14:paraId="67420346"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27</w:t>
            </w:r>
          </w:p>
          <w:p w14:paraId="7F8A3451" w14:textId="5170964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(38,6%)</w:t>
            </w:r>
          </w:p>
        </w:tc>
        <w:tc>
          <w:tcPr>
            <w:tcW w:w="1154" w:type="dxa"/>
            <w:noWrap/>
            <w:hideMark/>
          </w:tcPr>
          <w:p w14:paraId="7755E9EA"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13</w:t>
            </w:r>
          </w:p>
          <w:p w14:paraId="7406132A" w14:textId="6A847A54"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(25,0%)</w:t>
            </w:r>
          </w:p>
        </w:tc>
        <w:tc>
          <w:tcPr>
            <w:tcW w:w="1154" w:type="dxa"/>
            <w:noWrap/>
            <w:hideMark/>
          </w:tcPr>
          <w:p w14:paraId="12C6BBBF"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23</w:t>
            </w:r>
          </w:p>
          <w:p w14:paraId="281A2952" w14:textId="35FBAA73"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(26,7%)</w:t>
            </w:r>
          </w:p>
        </w:tc>
        <w:tc>
          <w:tcPr>
            <w:tcW w:w="1154" w:type="dxa"/>
            <w:noWrap/>
            <w:hideMark/>
          </w:tcPr>
          <w:p w14:paraId="1FF9F0CD"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w:t>
            </w:r>
          </w:p>
          <w:p w14:paraId="0EAFFA65" w14:textId="29B8574D"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(14,5%)</w:t>
            </w:r>
          </w:p>
        </w:tc>
        <w:tc>
          <w:tcPr>
            <w:tcW w:w="1154" w:type="dxa"/>
            <w:noWrap/>
            <w:hideMark/>
          </w:tcPr>
          <w:p w14:paraId="655C871D"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22</w:t>
            </w:r>
          </w:p>
          <w:p w14:paraId="1025B2BC" w14:textId="379B8C2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(26,8%)</w:t>
            </w:r>
          </w:p>
        </w:tc>
        <w:tc>
          <w:tcPr>
            <w:tcW w:w="1154" w:type="dxa"/>
            <w:noWrap/>
            <w:hideMark/>
          </w:tcPr>
          <w:p w14:paraId="11469910"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1(5,0%)</w:t>
            </w:r>
          </w:p>
        </w:tc>
        <w:tc>
          <w:tcPr>
            <w:tcW w:w="1154" w:type="dxa"/>
            <w:noWrap/>
            <w:hideMark/>
          </w:tcPr>
          <w:p w14:paraId="17B39E9B"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w:t>
            </w:r>
          </w:p>
          <w:p w14:paraId="5C6AA838" w14:textId="6D1D4A2D"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(19,5%)</w:t>
            </w:r>
          </w:p>
        </w:tc>
        <w:tc>
          <w:tcPr>
            <w:tcW w:w="1264" w:type="dxa"/>
            <w:noWrap/>
            <w:hideMark/>
          </w:tcPr>
          <w:p w14:paraId="6674D34B"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121</w:t>
            </w:r>
          </w:p>
          <w:p w14:paraId="02C44909" w14:textId="60D85655"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(25,2%)</w:t>
            </w:r>
          </w:p>
        </w:tc>
        <w:tc>
          <w:tcPr>
            <w:tcW w:w="712" w:type="dxa"/>
            <w:vMerge/>
          </w:tcPr>
          <w:p w14:paraId="3F3285D5"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r>
      <w:tr w:rsidR="00FA6CEB" w:rsidRPr="00BA55B1" w14:paraId="395D94FC" w14:textId="77777777" w:rsidTr="007C3271">
        <w:trPr>
          <w:trHeight w:val="293"/>
        </w:trPr>
        <w:tc>
          <w:tcPr>
            <w:tcW w:w="1516" w:type="dxa"/>
            <w:vMerge/>
            <w:tcBorders>
              <w:bottom w:val="nil"/>
            </w:tcBorders>
            <w:noWrap/>
            <w:hideMark/>
          </w:tcPr>
          <w:p w14:paraId="44E8513A"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c>
          <w:tcPr>
            <w:tcW w:w="1553" w:type="dxa"/>
            <w:noWrap/>
            <w:hideMark/>
          </w:tcPr>
          <w:p w14:paraId="1F80F464"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Во дворе</w:t>
            </w:r>
          </w:p>
        </w:tc>
        <w:tc>
          <w:tcPr>
            <w:tcW w:w="1153" w:type="dxa"/>
            <w:noWrap/>
            <w:hideMark/>
          </w:tcPr>
          <w:p w14:paraId="26A98D6C"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19</w:t>
            </w:r>
          </w:p>
          <w:p w14:paraId="312C5D65" w14:textId="2ADACAF9"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(35,8%)</w:t>
            </w:r>
          </w:p>
        </w:tc>
        <w:tc>
          <w:tcPr>
            <w:tcW w:w="1154" w:type="dxa"/>
            <w:noWrap/>
            <w:hideMark/>
          </w:tcPr>
          <w:p w14:paraId="7C5C04E7"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w:t>
            </w:r>
          </w:p>
          <w:p w14:paraId="0E07C6F5" w14:textId="51A32F5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(21,4%)</w:t>
            </w:r>
          </w:p>
        </w:tc>
        <w:tc>
          <w:tcPr>
            <w:tcW w:w="1154" w:type="dxa"/>
            <w:noWrap/>
            <w:hideMark/>
          </w:tcPr>
          <w:p w14:paraId="1B1F0B5B"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16</w:t>
            </w:r>
          </w:p>
          <w:p w14:paraId="5B68619F" w14:textId="71350C20"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(30,8%)</w:t>
            </w:r>
          </w:p>
        </w:tc>
        <w:tc>
          <w:tcPr>
            <w:tcW w:w="1154" w:type="dxa"/>
            <w:noWrap/>
            <w:hideMark/>
          </w:tcPr>
          <w:p w14:paraId="4C5C07BF" w14:textId="77777777" w:rsidR="00721995"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16</w:t>
            </w:r>
          </w:p>
          <w:p w14:paraId="4E75E894" w14:textId="110372E9"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(18,6%)</w:t>
            </w:r>
          </w:p>
        </w:tc>
        <w:tc>
          <w:tcPr>
            <w:tcW w:w="1154" w:type="dxa"/>
            <w:noWrap/>
            <w:hideMark/>
          </w:tcPr>
          <w:p w14:paraId="1C684B1D"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7(9,2%)</w:t>
            </w:r>
          </w:p>
        </w:tc>
        <w:tc>
          <w:tcPr>
            <w:tcW w:w="1154" w:type="dxa"/>
            <w:noWrap/>
            <w:hideMark/>
          </w:tcPr>
          <w:p w14:paraId="628C01F0" w14:textId="77777777" w:rsidR="007C327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21</w:t>
            </w:r>
          </w:p>
          <w:p w14:paraId="681646BD" w14:textId="5A82AF4D"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(25,6%)</w:t>
            </w:r>
          </w:p>
        </w:tc>
        <w:tc>
          <w:tcPr>
            <w:tcW w:w="1154" w:type="dxa"/>
            <w:noWrap/>
            <w:hideMark/>
          </w:tcPr>
          <w:p w14:paraId="37F7E304" w14:textId="77777777" w:rsidR="007C327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w:t>
            </w:r>
          </w:p>
          <w:p w14:paraId="39A4AB22" w14:textId="303337FE"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(25,0%)</w:t>
            </w:r>
          </w:p>
        </w:tc>
        <w:tc>
          <w:tcPr>
            <w:tcW w:w="1154" w:type="dxa"/>
            <w:noWrap/>
            <w:hideMark/>
          </w:tcPr>
          <w:p w14:paraId="3D8D44B5" w14:textId="77777777" w:rsidR="007C327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w:t>
            </w:r>
          </w:p>
          <w:p w14:paraId="7D461575" w14:textId="3BCCDED4"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(14,6%)</w:t>
            </w:r>
          </w:p>
        </w:tc>
        <w:tc>
          <w:tcPr>
            <w:tcW w:w="1264" w:type="dxa"/>
            <w:noWrap/>
            <w:hideMark/>
          </w:tcPr>
          <w:p w14:paraId="3F6D780B" w14:textId="77777777" w:rsidR="007C327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105</w:t>
            </w:r>
          </w:p>
          <w:p w14:paraId="04B22F1B" w14:textId="6F91977D"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(21,9%)</w:t>
            </w:r>
          </w:p>
        </w:tc>
        <w:tc>
          <w:tcPr>
            <w:tcW w:w="712" w:type="dxa"/>
            <w:vMerge/>
          </w:tcPr>
          <w:p w14:paraId="42C5CD30"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r>
      <w:tr w:rsidR="00FA6CEB" w:rsidRPr="00BA55B1" w14:paraId="675EAD71" w14:textId="77777777" w:rsidTr="007C3271">
        <w:trPr>
          <w:trHeight w:val="293"/>
        </w:trPr>
        <w:tc>
          <w:tcPr>
            <w:tcW w:w="1516" w:type="dxa"/>
            <w:vMerge/>
            <w:tcBorders>
              <w:bottom w:val="nil"/>
            </w:tcBorders>
            <w:noWrap/>
            <w:hideMark/>
          </w:tcPr>
          <w:p w14:paraId="56296CA0"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c>
          <w:tcPr>
            <w:tcW w:w="1553" w:type="dxa"/>
            <w:tcBorders>
              <w:bottom w:val="nil"/>
            </w:tcBorders>
            <w:noWrap/>
            <w:hideMark/>
          </w:tcPr>
          <w:p w14:paraId="0E39113E"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В спорт комплексе платно</w:t>
            </w:r>
          </w:p>
        </w:tc>
        <w:tc>
          <w:tcPr>
            <w:tcW w:w="1153" w:type="dxa"/>
            <w:tcBorders>
              <w:bottom w:val="nil"/>
            </w:tcBorders>
            <w:noWrap/>
            <w:hideMark/>
          </w:tcPr>
          <w:p w14:paraId="3AFED3A0" w14:textId="77777777" w:rsidR="007C327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w:t>
            </w:r>
          </w:p>
          <w:p w14:paraId="3E572634" w14:textId="65A30B8B"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(9,4%)</w:t>
            </w:r>
          </w:p>
        </w:tc>
        <w:tc>
          <w:tcPr>
            <w:tcW w:w="1154" w:type="dxa"/>
            <w:tcBorders>
              <w:bottom w:val="nil"/>
            </w:tcBorders>
            <w:noWrap/>
            <w:hideMark/>
          </w:tcPr>
          <w:p w14:paraId="4D7A8187" w14:textId="77777777" w:rsidR="007C327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12</w:t>
            </w:r>
          </w:p>
          <w:p w14:paraId="306178F3" w14:textId="5D096BD4"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(17,1%)</w:t>
            </w:r>
          </w:p>
        </w:tc>
        <w:tc>
          <w:tcPr>
            <w:tcW w:w="1154" w:type="dxa"/>
            <w:tcBorders>
              <w:bottom w:val="nil"/>
            </w:tcBorders>
            <w:noWrap/>
            <w:hideMark/>
          </w:tcPr>
          <w:p w14:paraId="62CB5177" w14:textId="77777777" w:rsidR="007C327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w:t>
            </w:r>
          </w:p>
          <w:p w14:paraId="2669D6E0" w14:textId="6FC7E5E4"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(3,8%)</w:t>
            </w:r>
          </w:p>
        </w:tc>
        <w:tc>
          <w:tcPr>
            <w:tcW w:w="1154" w:type="dxa"/>
            <w:tcBorders>
              <w:bottom w:val="nil"/>
            </w:tcBorders>
            <w:noWrap/>
            <w:hideMark/>
          </w:tcPr>
          <w:p w14:paraId="1FA72451" w14:textId="77777777" w:rsidR="007C327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17</w:t>
            </w:r>
          </w:p>
          <w:p w14:paraId="456505A0" w14:textId="2D0122F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(19,8%)</w:t>
            </w:r>
          </w:p>
        </w:tc>
        <w:tc>
          <w:tcPr>
            <w:tcW w:w="1154" w:type="dxa"/>
            <w:tcBorders>
              <w:bottom w:val="nil"/>
            </w:tcBorders>
            <w:noWrap/>
            <w:hideMark/>
          </w:tcPr>
          <w:p w14:paraId="3F63AA9B" w14:textId="77777777" w:rsidR="007C327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31</w:t>
            </w:r>
          </w:p>
          <w:p w14:paraId="4F959215" w14:textId="6A28EEF2"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(40,8%)</w:t>
            </w:r>
          </w:p>
        </w:tc>
        <w:tc>
          <w:tcPr>
            <w:tcW w:w="1154" w:type="dxa"/>
            <w:tcBorders>
              <w:bottom w:val="nil"/>
            </w:tcBorders>
            <w:noWrap/>
            <w:hideMark/>
          </w:tcPr>
          <w:p w14:paraId="02FC3511" w14:textId="77777777" w:rsidR="007C327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12</w:t>
            </w:r>
          </w:p>
          <w:p w14:paraId="381209FE" w14:textId="6D94DD57"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(14,6%)</w:t>
            </w:r>
          </w:p>
        </w:tc>
        <w:tc>
          <w:tcPr>
            <w:tcW w:w="1154" w:type="dxa"/>
            <w:tcBorders>
              <w:bottom w:val="nil"/>
            </w:tcBorders>
            <w:noWrap/>
            <w:hideMark/>
          </w:tcPr>
          <w:p w14:paraId="4758ED8D" w14:textId="77777777" w:rsidR="007C327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w:t>
            </w:r>
          </w:p>
          <w:p w14:paraId="2716315D" w14:textId="208C745E"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(25,0%)</w:t>
            </w:r>
          </w:p>
        </w:tc>
        <w:tc>
          <w:tcPr>
            <w:tcW w:w="1154" w:type="dxa"/>
            <w:tcBorders>
              <w:bottom w:val="nil"/>
            </w:tcBorders>
            <w:noWrap/>
            <w:hideMark/>
          </w:tcPr>
          <w:p w14:paraId="01A24DE9" w14:textId="77777777" w:rsidR="007C327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19707954" w14:textId="399E1BEE"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(9,8%)</w:t>
            </w:r>
          </w:p>
        </w:tc>
        <w:tc>
          <w:tcPr>
            <w:tcW w:w="1264" w:type="dxa"/>
            <w:tcBorders>
              <w:bottom w:val="nil"/>
            </w:tcBorders>
            <w:noWrap/>
            <w:hideMark/>
          </w:tcPr>
          <w:p w14:paraId="196D0535" w14:textId="77777777" w:rsidR="007C327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88</w:t>
            </w:r>
          </w:p>
          <w:p w14:paraId="0AEB5C5E" w14:textId="4A938BF5" w:rsidR="00FA6CEB" w:rsidRPr="00BA55B1" w:rsidRDefault="00FA6CEB" w:rsidP="00FA6CEB">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(18,3%)</w:t>
            </w:r>
          </w:p>
        </w:tc>
        <w:tc>
          <w:tcPr>
            <w:tcW w:w="712" w:type="dxa"/>
            <w:vMerge/>
            <w:tcBorders>
              <w:bottom w:val="nil"/>
            </w:tcBorders>
          </w:tcPr>
          <w:p w14:paraId="02433541" w14:textId="77777777" w:rsidR="00FA6CEB" w:rsidRPr="00BA55B1" w:rsidRDefault="00FA6CEB" w:rsidP="00FA6CEB">
            <w:pPr>
              <w:spacing w:after="0" w:line="240" w:lineRule="auto"/>
              <w:jc w:val="center"/>
              <w:rPr>
                <w:rFonts w:ascii="Times New Roman" w:eastAsia="Times New Roman" w:hAnsi="Times New Roman" w:cs="Times New Roman"/>
                <w:sz w:val="24"/>
                <w:szCs w:val="24"/>
              </w:rPr>
            </w:pPr>
          </w:p>
        </w:tc>
      </w:tr>
    </w:tbl>
    <w:p w14:paraId="53CF3140" w14:textId="77777777" w:rsidR="00FA6CEB" w:rsidRDefault="00FA6CEB" w:rsidP="00FA6CEB">
      <w:pPr>
        <w:spacing w:after="0" w:line="240" w:lineRule="auto"/>
        <w:jc w:val="both"/>
        <w:rPr>
          <w:rFonts w:ascii="Times New Roman" w:hAnsi="Times New Roman" w:cs="Times New Roman"/>
          <w:sz w:val="28"/>
          <w:szCs w:val="28"/>
        </w:rPr>
      </w:pPr>
      <w:r w:rsidRPr="00FA6CEB">
        <w:rPr>
          <w:rFonts w:ascii="Times New Roman" w:hAnsi="Times New Roman" w:cs="Times New Roman"/>
          <w:sz w:val="28"/>
          <w:szCs w:val="28"/>
        </w:rPr>
        <w:t>Продолжение таблицы 43</w:t>
      </w:r>
    </w:p>
    <w:p w14:paraId="4EA1517F" w14:textId="77777777" w:rsidR="00FA6CEB" w:rsidRPr="00E2606F" w:rsidRDefault="00FA6CEB" w:rsidP="00FA6CEB">
      <w:pPr>
        <w:spacing w:after="0" w:line="240" w:lineRule="auto"/>
        <w:jc w:val="both"/>
        <w:rPr>
          <w:rFonts w:ascii="Times New Roman" w:hAnsi="Times New Roman" w:cs="Times New Roman"/>
          <w:sz w:val="20"/>
          <w:szCs w:val="20"/>
        </w:rPr>
      </w:pPr>
    </w:p>
    <w:tbl>
      <w:tblPr>
        <w:tblStyle w:val="af9"/>
        <w:tblW w:w="14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9"/>
        <w:gridCol w:w="1819"/>
        <w:gridCol w:w="1084"/>
        <w:gridCol w:w="1084"/>
        <w:gridCol w:w="1158"/>
        <w:gridCol w:w="1158"/>
        <w:gridCol w:w="1158"/>
        <w:gridCol w:w="1158"/>
        <w:gridCol w:w="1047"/>
        <w:gridCol w:w="1158"/>
        <w:gridCol w:w="1116"/>
        <w:gridCol w:w="767"/>
      </w:tblGrid>
      <w:tr w:rsidR="00E2606F" w:rsidRPr="00BA55B1" w14:paraId="42C39D9B" w14:textId="77777777" w:rsidTr="00E2606F">
        <w:trPr>
          <w:trHeight w:val="293"/>
        </w:trPr>
        <w:tc>
          <w:tcPr>
            <w:tcW w:w="3337" w:type="dxa"/>
            <w:gridSpan w:val="2"/>
            <w:noWrap/>
          </w:tcPr>
          <w:p w14:paraId="34D49CFF" w14:textId="440EEBE7" w:rsidR="00B610A5" w:rsidRPr="00BA55B1" w:rsidRDefault="00B610A5" w:rsidP="00B610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084" w:type="dxa"/>
            <w:noWrap/>
          </w:tcPr>
          <w:p w14:paraId="5B97C2EB" w14:textId="6E9EADFA" w:rsidR="00B610A5" w:rsidRPr="00BA55B1" w:rsidRDefault="00B610A5" w:rsidP="00B610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084" w:type="dxa"/>
            <w:noWrap/>
          </w:tcPr>
          <w:p w14:paraId="681D9ADE" w14:textId="588532A6" w:rsidR="00B610A5" w:rsidRPr="00BA55B1" w:rsidRDefault="00B610A5" w:rsidP="00B610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158" w:type="dxa"/>
            <w:noWrap/>
          </w:tcPr>
          <w:p w14:paraId="52CB2D42" w14:textId="08F4FAA0" w:rsidR="00B610A5" w:rsidRPr="00BA55B1" w:rsidRDefault="00B610A5" w:rsidP="00B610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158" w:type="dxa"/>
            <w:noWrap/>
          </w:tcPr>
          <w:p w14:paraId="57942B6B" w14:textId="393F8A51" w:rsidR="00B610A5" w:rsidRPr="00BA55B1" w:rsidRDefault="00B610A5" w:rsidP="00B610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158" w:type="dxa"/>
            <w:noWrap/>
          </w:tcPr>
          <w:p w14:paraId="6A529E08" w14:textId="55AA161F" w:rsidR="00B610A5" w:rsidRPr="00BA55B1" w:rsidRDefault="00B610A5" w:rsidP="00B610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158" w:type="dxa"/>
            <w:noWrap/>
          </w:tcPr>
          <w:p w14:paraId="7E8583E6" w14:textId="791F9526" w:rsidR="00B610A5" w:rsidRPr="00BA55B1" w:rsidRDefault="00B610A5" w:rsidP="00B610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047" w:type="dxa"/>
            <w:noWrap/>
          </w:tcPr>
          <w:p w14:paraId="63221D71" w14:textId="4BA9D69A" w:rsidR="00B610A5" w:rsidRPr="00BA55B1" w:rsidRDefault="00B610A5" w:rsidP="00B610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158" w:type="dxa"/>
            <w:noWrap/>
          </w:tcPr>
          <w:p w14:paraId="2ED060E0" w14:textId="4D9ABF44" w:rsidR="00B610A5" w:rsidRPr="00BA55B1" w:rsidRDefault="00B610A5" w:rsidP="00B610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269" w:type="dxa"/>
            <w:noWrap/>
          </w:tcPr>
          <w:p w14:paraId="0B214FA3" w14:textId="44A86E11" w:rsidR="00B610A5" w:rsidRPr="00BA55B1" w:rsidRDefault="00B610A5" w:rsidP="00B610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665" w:type="dxa"/>
          </w:tcPr>
          <w:p w14:paraId="17F8E706" w14:textId="0C935E44" w:rsidR="00B610A5" w:rsidRPr="00BA55B1" w:rsidRDefault="00B610A5" w:rsidP="00B610A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r>
      <w:tr w:rsidR="00E2606F" w:rsidRPr="00BA55B1" w14:paraId="7298DF03" w14:textId="77777777" w:rsidTr="00E2606F">
        <w:trPr>
          <w:trHeight w:val="293"/>
        </w:trPr>
        <w:tc>
          <w:tcPr>
            <w:tcW w:w="1546" w:type="dxa"/>
            <w:noWrap/>
            <w:hideMark/>
          </w:tcPr>
          <w:p w14:paraId="3630B60C"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p>
        </w:tc>
        <w:tc>
          <w:tcPr>
            <w:tcW w:w="1791" w:type="dxa"/>
            <w:noWrap/>
            <w:hideMark/>
          </w:tcPr>
          <w:p w14:paraId="05C4CDB8"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В спорт площадке бесплатно</w:t>
            </w:r>
          </w:p>
        </w:tc>
        <w:tc>
          <w:tcPr>
            <w:tcW w:w="1084" w:type="dxa"/>
            <w:noWrap/>
            <w:hideMark/>
          </w:tcPr>
          <w:p w14:paraId="604228FE"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6A14B9C6" w14:textId="46164AD8"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(7,5%)</w:t>
            </w:r>
          </w:p>
        </w:tc>
        <w:tc>
          <w:tcPr>
            <w:tcW w:w="1084" w:type="dxa"/>
            <w:noWrap/>
            <w:hideMark/>
          </w:tcPr>
          <w:p w14:paraId="51019A78"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w:t>
            </w:r>
          </w:p>
          <w:p w14:paraId="3827C808" w14:textId="652B8105"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(7,1%)</w:t>
            </w:r>
          </w:p>
        </w:tc>
        <w:tc>
          <w:tcPr>
            <w:tcW w:w="1158" w:type="dxa"/>
            <w:noWrap/>
            <w:hideMark/>
          </w:tcPr>
          <w:p w14:paraId="3B667685"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w:t>
            </w:r>
          </w:p>
          <w:p w14:paraId="6931B258" w14:textId="458FDEE3"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(15,4%)</w:t>
            </w:r>
          </w:p>
        </w:tc>
        <w:tc>
          <w:tcPr>
            <w:tcW w:w="1158" w:type="dxa"/>
            <w:noWrap/>
            <w:hideMark/>
          </w:tcPr>
          <w:p w14:paraId="2295E83C"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w:t>
            </w:r>
          </w:p>
          <w:p w14:paraId="3293D933" w14:textId="64DD8DCD"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(12,8%)</w:t>
            </w:r>
          </w:p>
        </w:tc>
        <w:tc>
          <w:tcPr>
            <w:tcW w:w="1158" w:type="dxa"/>
            <w:noWrap/>
            <w:hideMark/>
          </w:tcPr>
          <w:p w14:paraId="1B66E87C"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w:t>
            </w:r>
          </w:p>
          <w:p w14:paraId="6D003D56" w14:textId="6BFB1BD0"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(7,9%)</w:t>
            </w:r>
          </w:p>
        </w:tc>
        <w:tc>
          <w:tcPr>
            <w:tcW w:w="1158" w:type="dxa"/>
            <w:noWrap/>
            <w:hideMark/>
          </w:tcPr>
          <w:p w14:paraId="31F41751"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w:t>
            </w:r>
          </w:p>
          <w:p w14:paraId="3D3DF4D8" w14:textId="55F1A281"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(7,3%)</w:t>
            </w:r>
          </w:p>
        </w:tc>
        <w:tc>
          <w:tcPr>
            <w:tcW w:w="1047" w:type="dxa"/>
            <w:noWrap/>
            <w:hideMark/>
          </w:tcPr>
          <w:p w14:paraId="3ACAEEE2"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w:t>
            </w:r>
          </w:p>
          <w:p w14:paraId="0CE6CBD4" w14:textId="7C2F39D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(10,0%)</w:t>
            </w:r>
          </w:p>
        </w:tc>
        <w:tc>
          <w:tcPr>
            <w:tcW w:w="1158" w:type="dxa"/>
            <w:noWrap/>
            <w:hideMark/>
          </w:tcPr>
          <w:p w14:paraId="7513E29A"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10</w:t>
            </w:r>
          </w:p>
          <w:p w14:paraId="0D2630D4" w14:textId="163B1EA8"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(24,4%)</w:t>
            </w:r>
          </w:p>
        </w:tc>
        <w:tc>
          <w:tcPr>
            <w:tcW w:w="269" w:type="dxa"/>
            <w:noWrap/>
            <w:hideMark/>
          </w:tcPr>
          <w:p w14:paraId="0A0C8005"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52</w:t>
            </w:r>
          </w:p>
          <w:p w14:paraId="0D2BD9F5" w14:textId="16E92A6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(10,8%)</w:t>
            </w:r>
          </w:p>
        </w:tc>
        <w:tc>
          <w:tcPr>
            <w:tcW w:w="1665" w:type="dxa"/>
          </w:tcPr>
          <w:p w14:paraId="66555488"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p>
        </w:tc>
      </w:tr>
      <w:tr w:rsidR="00E2606F" w:rsidRPr="00BA55B1" w14:paraId="05D37AF1" w14:textId="77777777" w:rsidTr="00E2606F">
        <w:trPr>
          <w:trHeight w:val="293"/>
        </w:trPr>
        <w:tc>
          <w:tcPr>
            <w:tcW w:w="1546" w:type="dxa"/>
            <w:vMerge w:val="restart"/>
            <w:noWrap/>
            <w:hideMark/>
          </w:tcPr>
          <w:p w14:paraId="6DB06EB9"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Виды мер, для повышения рождаемости</w:t>
            </w:r>
          </w:p>
        </w:tc>
        <w:tc>
          <w:tcPr>
            <w:tcW w:w="1791" w:type="dxa"/>
            <w:noWrap/>
            <w:hideMark/>
          </w:tcPr>
          <w:p w14:paraId="24949A22"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Улучшение жилищных условии</w:t>
            </w:r>
          </w:p>
        </w:tc>
        <w:tc>
          <w:tcPr>
            <w:tcW w:w="1084" w:type="dxa"/>
            <w:noWrap/>
            <w:hideMark/>
          </w:tcPr>
          <w:p w14:paraId="3D0F514D"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13</w:t>
            </w:r>
          </w:p>
          <w:p w14:paraId="73E9C59E" w14:textId="12B8227A"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(24,5%)</w:t>
            </w:r>
          </w:p>
        </w:tc>
        <w:tc>
          <w:tcPr>
            <w:tcW w:w="1084" w:type="dxa"/>
            <w:noWrap/>
            <w:hideMark/>
          </w:tcPr>
          <w:p w14:paraId="7C097AC7"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23</w:t>
            </w:r>
          </w:p>
          <w:p w14:paraId="6A4F323C" w14:textId="42F64031"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(32,9%)</w:t>
            </w:r>
          </w:p>
        </w:tc>
        <w:tc>
          <w:tcPr>
            <w:tcW w:w="1158" w:type="dxa"/>
            <w:noWrap/>
            <w:hideMark/>
          </w:tcPr>
          <w:p w14:paraId="0DAD0DC7"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17</w:t>
            </w:r>
          </w:p>
          <w:p w14:paraId="7B47211A" w14:textId="372E7E38"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(32,7%)</w:t>
            </w:r>
          </w:p>
        </w:tc>
        <w:tc>
          <w:tcPr>
            <w:tcW w:w="1158" w:type="dxa"/>
            <w:noWrap/>
            <w:hideMark/>
          </w:tcPr>
          <w:p w14:paraId="712F1B12"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22</w:t>
            </w:r>
          </w:p>
          <w:p w14:paraId="72CDE591" w14:textId="4EFD944D"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(25,6%)</w:t>
            </w:r>
          </w:p>
        </w:tc>
        <w:tc>
          <w:tcPr>
            <w:tcW w:w="1158" w:type="dxa"/>
            <w:noWrap/>
            <w:hideMark/>
          </w:tcPr>
          <w:p w14:paraId="4911E7FC"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12</w:t>
            </w:r>
          </w:p>
          <w:p w14:paraId="5FECE715" w14:textId="2579B498"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(15,8%)</w:t>
            </w:r>
          </w:p>
        </w:tc>
        <w:tc>
          <w:tcPr>
            <w:tcW w:w="1158" w:type="dxa"/>
            <w:noWrap/>
            <w:hideMark/>
          </w:tcPr>
          <w:p w14:paraId="76F16341"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18</w:t>
            </w:r>
          </w:p>
          <w:p w14:paraId="1E69F0C4" w14:textId="43C1A55B"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(22,0%)</w:t>
            </w:r>
          </w:p>
        </w:tc>
        <w:tc>
          <w:tcPr>
            <w:tcW w:w="1047" w:type="dxa"/>
            <w:noWrap/>
            <w:hideMark/>
          </w:tcPr>
          <w:p w14:paraId="2B53AA86"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w:t>
            </w:r>
          </w:p>
          <w:p w14:paraId="61464467" w14:textId="5E2E2523"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(10,0%)</w:t>
            </w:r>
          </w:p>
        </w:tc>
        <w:tc>
          <w:tcPr>
            <w:tcW w:w="1158" w:type="dxa"/>
            <w:noWrap/>
            <w:hideMark/>
          </w:tcPr>
          <w:p w14:paraId="379B5C3B"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w:t>
            </w:r>
          </w:p>
          <w:p w14:paraId="5FBAFBE8" w14:textId="45E68579"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(17,1%)</w:t>
            </w:r>
          </w:p>
        </w:tc>
        <w:tc>
          <w:tcPr>
            <w:tcW w:w="269" w:type="dxa"/>
            <w:noWrap/>
            <w:hideMark/>
          </w:tcPr>
          <w:p w14:paraId="0F799219"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114</w:t>
            </w:r>
          </w:p>
          <w:p w14:paraId="235EE0FA" w14:textId="1C98080D"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(23,8%)</w:t>
            </w:r>
          </w:p>
        </w:tc>
        <w:tc>
          <w:tcPr>
            <w:tcW w:w="1665" w:type="dxa"/>
            <w:vMerge w:val="restart"/>
          </w:tcPr>
          <w:p w14:paraId="09E9ADAA" w14:textId="77777777" w:rsidR="00B610A5" w:rsidRPr="00BA55B1" w:rsidRDefault="00B610A5" w:rsidP="00B610A5">
            <w:pPr>
              <w:spacing w:after="0" w:line="240" w:lineRule="auto"/>
              <w:jc w:val="center"/>
              <w:rPr>
                <w:rFonts w:ascii="Times New Roman" w:eastAsia="Times New Roman" w:hAnsi="Times New Roman" w:cs="Times New Roman"/>
                <w:sz w:val="24"/>
                <w:szCs w:val="24"/>
                <w:lang w:val="en-US"/>
              </w:rPr>
            </w:pPr>
            <w:r w:rsidRPr="00BA55B1">
              <w:rPr>
                <w:rFonts w:ascii="Times New Roman" w:eastAsia="Times New Roman" w:hAnsi="Times New Roman" w:cs="Times New Roman"/>
                <w:sz w:val="24"/>
                <w:szCs w:val="24"/>
                <w:lang w:val="en-US"/>
              </w:rPr>
              <w:t>0,003</w:t>
            </w:r>
          </w:p>
          <w:p w14:paraId="64B81A3D"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p>
        </w:tc>
      </w:tr>
      <w:tr w:rsidR="00E2606F" w:rsidRPr="00BA55B1" w14:paraId="07D73631" w14:textId="77777777" w:rsidTr="00E2606F">
        <w:trPr>
          <w:trHeight w:val="293"/>
        </w:trPr>
        <w:tc>
          <w:tcPr>
            <w:tcW w:w="1546" w:type="dxa"/>
            <w:vMerge/>
            <w:noWrap/>
            <w:hideMark/>
          </w:tcPr>
          <w:p w14:paraId="1D202ECB"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p>
        </w:tc>
        <w:tc>
          <w:tcPr>
            <w:tcW w:w="1791" w:type="dxa"/>
            <w:noWrap/>
            <w:hideMark/>
          </w:tcPr>
          <w:p w14:paraId="76AFE0E8"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Повышения материального благосостояния</w:t>
            </w:r>
          </w:p>
        </w:tc>
        <w:tc>
          <w:tcPr>
            <w:tcW w:w="1084" w:type="dxa"/>
            <w:noWrap/>
            <w:hideMark/>
          </w:tcPr>
          <w:p w14:paraId="3FE9B49B"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w:t>
            </w:r>
          </w:p>
          <w:p w14:paraId="54542934" w14:textId="0FAECC8B"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(15,1%)</w:t>
            </w:r>
          </w:p>
        </w:tc>
        <w:tc>
          <w:tcPr>
            <w:tcW w:w="1084" w:type="dxa"/>
            <w:noWrap/>
            <w:hideMark/>
          </w:tcPr>
          <w:p w14:paraId="572BF41B"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w:t>
            </w:r>
          </w:p>
          <w:p w14:paraId="3BBD92B9" w14:textId="03C27C6C"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(21,4%)</w:t>
            </w:r>
          </w:p>
        </w:tc>
        <w:tc>
          <w:tcPr>
            <w:tcW w:w="1158" w:type="dxa"/>
            <w:noWrap/>
            <w:hideMark/>
          </w:tcPr>
          <w:p w14:paraId="62271FE6"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9</w:t>
            </w:r>
          </w:p>
          <w:p w14:paraId="72B28D15" w14:textId="4C40847A"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(17,3%)</w:t>
            </w:r>
          </w:p>
        </w:tc>
        <w:tc>
          <w:tcPr>
            <w:tcW w:w="1158" w:type="dxa"/>
            <w:noWrap/>
            <w:hideMark/>
          </w:tcPr>
          <w:p w14:paraId="1739FDDB"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16</w:t>
            </w:r>
          </w:p>
          <w:p w14:paraId="46DB6294" w14:textId="11FFA3C2"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(18,6%)</w:t>
            </w:r>
          </w:p>
        </w:tc>
        <w:tc>
          <w:tcPr>
            <w:tcW w:w="1158" w:type="dxa"/>
            <w:noWrap/>
            <w:hideMark/>
          </w:tcPr>
          <w:p w14:paraId="0B754325"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w:t>
            </w:r>
          </w:p>
          <w:p w14:paraId="69619CA8" w14:textId="26CC6CC3"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(7,9%)</w:t>
            </w:r>
          </w:p>
        </w:tc>
        <w:tc>
          <w:tcPr>
            <w:tcW w:w="1158" w:type="dxa"/>
            <w:noWrap/>
            <w:hideMark/>
          </w:tcPr>
          <w:p w14:paraId="337C1654"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13</w:t>
            </w:r>
          </w:p>
          <w:p w14:paraId="60C3D184" w14:textId="2C9D8ECD"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(15,9%)</w:t>
            </w:r>
          </w:p>
        </w:tc>
        <w:tc>
          <w:tcPr>
            <w:tcW w:w="1047" w:type="dxa"/>
            <w:noWrap/>
            <w:hideMark/>
          </w:tcPr>
          <w:p w14:paraId="2DBFFDEE"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w:t>
            </w:r>
          </w:p>
          <w:p w14:paraId="534991CA" w14:textId="3A7175C6"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(15,0%)</w:t>
            </w:r>
          </w:p>
        </w:tc>
        <w:tc>
          <w:tcPr>
            <w:tcW w:w="1158" w:type="dxa"/>
            <w:noWrap/>
            <w:hideMark/>
          </w:tcPr>
          <w:p w14:paraId="181F7F74"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486ACE3F" w14:textId="397D5480"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(9,8%)</w:t>
            </w:r>
          </w:p>
        </w:tc>
        <w:tc>
          <w:tcPr>
            <w:tcW w:w="269" w:type="dxa"/>
            <w:noWrap/>
            <w:hideMark/>
          </w:tcPr>
          <w:p w14:paraId="61CFD2FD"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74</w:t>
            </w:r>
          </w:p>
          <w:p w14:paraId="447714E3" w14:textId="0B694D86"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(15,4%)</w:t>
            </w:r>
          </w:p>
        </w:tc>
        <w:tc>
          <w:tcPr>
            <w:tcW w:w="1665" w:type="dxa"/>
            <w:vMerge/>
          </w:tcPr>
          <w:p w14:paraId="276925AD"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p>
        </w:tc>
      </w:tr>
      <w:tr w:rsidR="00E2606F" w:rsidRPr="00BA55B1" w14:paraId="3FAC89B4" w14:textId="77777777" w:rsidTr="00E2606F">
        <w:trPr>
          <w:trHeight w:val="293"/>
        </w:trPr>
        <w:tc>
          <w:tcPr>
            <w:tcW w:w="1546" w:type="dxa"/>
            <w:vMerge/>
            <w:noWrap/>
            <w:hideMark/>
          </w:tcPr>
          <w:p w14:paraId="6646AF32"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p>
        </w:tc>
        <w:tc>
          <w:tcPr>
            <w:tcW w:w="1791" w:type="dxa"/>
            <w:noWrap/>
            <w:hideMark/>
          </w:tcPr>
          <w:p w14:paraId="40BBF040"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Увеличение денежного пособия на детей</w:t>
            </w:r>
          </w:p>
        </w:tc>
        <w:tc>
          <w:tcPr>
            <w:tcW w:w="1084" w:type="dxa"/>
            <w:noWrap/>
            <w:hideMark/>
          </w:tcPr>
          <w:p w14:paraId="6DDC2F41"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w:t>
            </w:r>
          </w:p>
          <w:p w14:paraId="04FC8DFC" w14:textId="7CDE0E6C"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(3,8%)</w:t>
            </w:r>
          </w:p>
        </w:tc>
        <w:tc>
          <w:tcPr>
            <w:tcW w:w="1084" w:type="dxa"/>
            <w:noWrap/>
            <w:hideMark/>
          </w:tcPr>
          <w:p w14:paraId="3433321F"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w:t>
            </w:r>
          </w:p>
          <w:p w14:paraId="67DFC201" w14:textId="330DD1B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(8,6%)</w:t>
            </w:r>
          </w:p>
        </w:tc>
        <w:tc>
          <w:tcPr>
            <w:tcW w:w="1158" w:type="dxa"/>
            <w:noWrap/>
            <w:hideMark/>
          </w:tcPr>
          <w:p w14:paraId="1EB2C402"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0E2288D1" w14:textId="2B16A488"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(7,7%)</w:t>
            </w:r>
          </w:p>
        </w:tc>
        <w:tc>
          <w:tcPr>
            <w:tcW w:w="1158" w:type="dxa"/>
            <w:noWrap/>
            <w:hideMark/>
          </w:tcPr>
          <w:p w14:paraId="30F9BCBE"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w:t>
            </w:r>
          </w:p>
          <w:p w14:paraId="5DE77558" w14:textId="4B1648F5"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(5,8%)</w:t>
            </w:r>
          </w:p>
        </w:tc>
        <w:tc>
          <w:tcPr>
            <w:tcW w:w="1158" w:type="dxa"/>
            <w:noWrap/>
            <w:hideMark/>
          </w:tcPr>
          <w:p w14:paraId="2ED3A8C9"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w:t>
            </w:r>
          </w:p>
          <w:p w14:paraId="138D8C62" w14:textId="77CA816A"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(6,6%)</w:t>
            </w:r>
          </w:p>
        </w:tc>
        <w:tc>
          <w:tcPr>
            <w:tcW w:w="1158" w:type="dxa"/>
            <w:noWrap/>
            <w:hideMark/>
          </w:tcPr>
          <w:p w14:paraId="3541BE1A"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w:t>
            </w:r>
          </w:p>
          <w:p w14:paraId="384F5628" w14:textId="08FEE271"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(8,5%)</w:t>
            </w:r>
          </w:p>
        </w:tc>
        <w:tc>
          <w:tcPr>
            <w:tcW w:w="1047" w:type="dxa"/>
            <w:noWrap/>
            <w:hideMark/>
          </w:tcPr>
          <w:p w14:paraId="0620ED94" w14:textId="77777777" w:rsidR="00E2606F" w:rsidRDefault="00B610A5" w:rsidP="00B610A5">
            <w:pPr>
              <w:spacing w:after="0" w:line="240" w:lineRule="auto"/>
              <w:jc w:val="center"/>
              <w:rPr>
                <w:rFonts w:ascii="Times New Roman" w:eastAsia="Times New Roman" w:hAnsi="Times New Roman" w:cs="Times New Roman"/>
                <w:sz w:val="24"/>
                <w:szCs w:val="24"/>
                <w:lang w:val="en-US"/>
              </w:rPr>
            </w:pPr>
            <w:r w:rsidRPr="00BA55B1">
              <w:rPr>
                <w:rFonts w:ascii="Times New Roman" w:eastAsia="Times New Roman" w:hAnsi="Times New Roman" w:cs="Times New Roman"/>
                <w:sz w:val="24"/>
                <w:szCs w:val="24"/>
                <w:lang w:val="en-US"/>
              </w:rPr>
              <w:t>0</w:t>
            </w:r>
          </w:p>
          <w:p w14:paraId="56A90C1B" w14:textId="3626B600"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lang w:val="en-US"/>
              </w:rPr>
              <w:t>(0.0%)</w:t>
            </w:r>
          </w:p>
        </w:tc>
        <w:tc>
          <w:tcPr>
            <w:tcW w:w="1158" w:type="dxa"/>
            <w:noWrap/>
            <w:hideMark/>
          </w:tcPr>
          <w:p w14:paraId="156B34AA"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2E423DE7" w14:textId="3846F67F"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(9,8%)</w:t>
            </w:r>
          </w:p>
        </w:tc>
        <w:tc>
          <w:tcPr>
            <w:tcW w:w="269" w:type="dxa"/>
            <w:noWrap/>
            <w:hideMark/>
          </w:tcPr>
          <w:p w14:paraId="6742E4AC"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33</w:t>
            </w:r>
          </w:p>
          <w:p w14:paraId="3E4D9571" w14:textId="4CD01F05"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(6,9%)</w:t>
            </w:r>
          </w:p>
        </w:tc>
        <w:tc>
          <w:tcPr>
            <w:tcW w:w="1665" w:type="dxa"/>
            <w:vMerge/>
          </w:tcPr>
          <w:p w14:paraId="416AF7AD"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p>
        </w:tc>
      </w:tr>
      <w:tr w:rsidR="00E2606F" w:rsidRPr="00BA55B1" w14:paraId="42A54904" w14:textId="77777777" w:rsidTr="00E2606F">
        <w:trPr>
          <w:trHeight w:val="293"/>
        </w:trPr>
        <w:tc>
          <w:tcPr>
            <w:tcW w:w="1546" w:type="dxa"/>
            <w:vMerge/>
            <w:noWrap/>
            <w:hideMark/>
          </w:tcPr>
          <w:p w14:paraId="592BA0C5"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p>
        </w:tc>
        <w:tc>
          <w:tcPr>
            <w:tcW w:w="1791" w:type="dxa"/>
            <w:noWrap/>
            <w:hideMark/>
          </w:tcPr>
          <w:p w14:paraId="79C3925C"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Обеспечение детскими дошкольными организациями</w:t>
            </w:r>
          </w:p>
        </w:tc>
        <w:tc>
          <w:tcPr>
            <w:tcW w:w="1084" w:type="dxa"/>
            <w:noWrap/>
            <w:hideMark/>
          </w:tcPr>
          <w:p w14:paraId="5ED2C9BB"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3(5,7%)</w:t>
            </w:r>
          </w:p>
        </w:tc>
        <w:tc>
          <w:tcPr>
            <w:tcW w:w="1084" w:type="dxa"/>
            <w:noWrap/>
            <w:hideMark/>
          </w:tcPr>
          <w:p w14:paraId="579203F1"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1(1,4%)</w:t>
            </w:r>
          </w:p>
        </w:tc>
        <w:tc>
          <w:tcPr>
            <w:tcW w:w="1158" w:type="dxa"/>
            <w:noWrap/>
            <w:hideMark/>
          </w:tcPr>
          <w:p w14:paraId="17AE1BCE"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lang w:val="en-US"/>
              </w:rPr>
              <w:t>0(0.0%)</w:t>
            </w:r>
          </w:p>
        </w:tc>
        <w:tc>
          <w:tcPr>
            <w:tcW w:w="1158" w:type="dxa"/>
            <w:noWrap/>
            <w:hideMark/>
          </w:tcPr>
          <w:p w14:paraId="0D6D6CDB"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5(5,8%)</w:t>
            </w:r>
          </w:p>
        </w:tc>
        <w:tc>
          <w:tcPr>
            <w:tcW w:w="1158" w:type="dxa"/>
            <w:noWrap/>
            <w:hideMark/>
          </w:tcPr>
          <w:p w14:paraId="39F5B7D2"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1(1,3%)</w:t>
            </w:r>
          </w:p>
        </w:tc>
        <w:tc>
          <w:tcPr>
            <w:tcW w:w="1158" w:type="dxa"/>
            <w:noWrap/>
            <w:hideMark/>
          </w:tcPr>
          <w:p w14:paraId="2299B7DA"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4(4,9%)</w:t>
            </w:r>
          </w:p>
        </w:tc>
        <w:tc>
          <w:tcPr>
            <w:tcW w:w="1047" w:type="dxa"/>
            <w:noWrap/>
            <w:hideMark/>
          </w:tcPr>
          <w:p w14:paraId="7E2EE163"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1(5,0%)</w:t>
            </w:r>
          </w:p>
        </w:tc>
        <w:tc>
          <w:tcPr>
            <w:tcW w:w="1158" w:type="dxa"/>
            <w:noWrap/>
            <w:hideMark/>
          </w:tcPr>
          <w:p w14:paraId="67897FD5"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3(7,3%)</w:t>
            </w:r>
          </w:p>
        </w:tc>
        <w:tc>
          <w:tcPr>
            <w:tcW w:w="269" w:type="dxa"/>
            <w:noWrap/>
            <w:hideMark/>
          </w:tcPr>
          <w:p w14:paraId="20FA0BBC"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18(3,8%)</w:t>
            </w:r>
          </w:p>
        </w:tc>
        <w:tc>
          <w:tcPr>
            <w:tcW w:w="1665" w:type="dxa"/>
            <w:vMerge/>
          </w:tcPr>
          <w:p w14:paraId="33A100B7"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p>
        </w:tc>
      </w:tr>
      <w:tr w:rsidR="00E2606F" w:rsidRPr="00BA55B1" w14:paraId="3EF28107" w14:textId="77777777" w:rsidTr="00E2606F">
        <w:trPr>
          <w:trHeight w:val="293"/>
        </w:trPr>
        <w:tc>
          <w:tcPr>
            <w:tcW w:w="1546" w:type="dxa"/>
            <w:vMerge/>
            <w:noWrap/>
            <w:hideMark/>
          </w:tcPr>
          <w:p w14:paraId="59EF04CE"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p>
        </w:tc>
        <w:tc>
          <w:tcPr>
            <w:tcW w:w="1791" w:type="dxa"/>
            <w:noWrap/>
            <w:hideMark/>
          </w:tcPr>
          <w:p w14:paraId="41983152"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Формирование в обществе приоритета материнства- отцовства и семьи</w:t>
            </w:r>
          </w:p>
        </w:tc>
        <w:tc>
          <w:tcPr>
            <w:tcW w:w="1084" w:type="dxa"/>
            <w:noWrap/>
            <w:hideMark/>
          </w:tcPr>
          <w:p w14:paraId="06A8F281"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5(9,4%)</w:t>
            </w:r>
          </w:p>
        </w:tc>
        <w:tc>
          <w:tcPr>
            <w:tcW w:w="1084" w:type="dxa"/>
            <w:noWrap/>
            <w:hideMark/>
          </w:tcPr>
          <w:p w14:paraId="0997652F"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w:t>
            </w:r>
          </w:p>
          <w:p w14:paraId="1A6BFEEE" w14:textId="753B9386"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(15,7%)</w:t>
            </w:r>
          </w:p>
        </w:tc>
        <w:tc>
          <w:tcPr>
            <w:tcW w:w="1158" w:type="dxa"/>
            <w:noWrap/>
            <w:hideMark/>
          </w:tcPr>
          <w:p w14:paraId="3C1FAF8D"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3(5,8%)</w:t>
            </w:r>
          </w:p>
        </w:tc>
        <w:tc>
          <w:tcPr>
            <w:tcW w:w="1158" w:type="dxa"/>
            <w:noWrap/>
            <w:hideMark/>
          </w:tcPr>
          <w:p w14:paraId="269E8BD1"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9(10,5%)</w:t>
            </w:r>
          </w:p>
        </w:tc>
        <w:tc>
          <w:tcPr>
            <w:tcW w:w="1158" w:type="dxa"/>
            <w:noWrap/>
            <w:hideMark/>
          </w:tcPr>
          <w:p w14:paraId="2B66915E"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9(11,8%)</w:t>
            </w:r>
          </w:p>
        </w:tc>
        <w:tc>
          <w:tcPr>
            <w:tcW w:w="1158" w:type="dxa"/>
            <w:noWrap/>
            <w:hideMark/>
          </w:tcPr>
          <w:p w14:paraId="18E37EB8"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7(8,5%)</w:t>
            </w:r>
          </w:p>
        </w:tc>
        <w:tc>
          <w:tcPr>
            <w:tcW w:w="1047" w:type="dxa"/>
            <w:noWrap/>
            <w:hideMark/>
          </w:tcPr>
          <w:p w14:paraId="42EC1056"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w:t>
            </w:r>
          </w:p>
          <w:p w14:paraId="6A811BD4" w14:textId="363C5094"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(10,0%)</w:t>
            </w:r>
          </w:p>
        </w:tc>
        <w:tc>
          <w:tcPr>
            <w:tcW w:w="1158" w:type="dxa"/>
            <w:noWrap/>
            <w:hideMark/>
          </w:tcPr>
          <w:p w14:paraId="76157CB0"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2(4,9%)</w:t>
            </w:r>
          </w:p>
        </w:tc>
        <w:tc>
          <w:tcPr>
            <w:tcW w:w="269" w:type="dxa"/>
            <w:noWrap/>
            <w:hideMark/>
          </w:tcPr>
          <w:p w14:paraId="47021715"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48</w:t>
            </w:r>
          </w:p>
          <w:p w14:paraId="315D62A0" w14:textId="0C4B7CDE"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(10,0%)</w:t>
            </w:r>
          </w:p>
        </w:tc>
        <w:tc>
          <w:tcPr>
            <w:tcW w:w="1665" w:type="dxa"/>
            <w:vMerge/>
          </w:tcPr>
          <w:p w14:paraId="669D632C"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p>
        </w:tc>
      </w:tr>
      <w:tr w:rsidR="00E2606F" w:rsidRPr="00BA55B1" w14:paraId="0B5FAEF1" w14:textId="77777777" w:rsidTr="00E2606F">
        <w:trPr>
          <w:trHeight w:val="293"/>
        </w:trPr>
        <w:tc>
          <w:tcPr>
            <w:tcW w:w="1546" w:type="dxa"/>
            <w:vMerge/>
            <w:noWrap/>
            <w:hideMark/>
          </w:tcPr>
          <w:p w14:paraId="784CAE8C"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p>
        </w:tc>
        <w:tc>
          <w:tcPr>
            <w:tcW w:w="1791" w:type="dxa"/>
            <w:noWrap/>
            <w:hideMark/>
          </w:tcPr>
          <w:p w14:paraId="30D13C3A"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Укрепление физического здоровья</w:t>
            </w:r>
          </w:p>
        </w:tc>
        <w:tc>
          <w:tcPr>
            <w:tcW w:w="1084" w:type="dxa"/>
            <w:noWrap/>
            <w:hideMark/>
          </w:tcPr>
          <w:p w14:paraId="06815674"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9</w:t>
            </w:r>
          </w:p>
          <w:p w14:paraId="66005136" w14:textId="101165F6"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(17,0%)</w:t>
            </w:r>
          </w:p>
        </w:tc>
        <w:tc>
          <w:tcPr>
            <w:tcW w:w="1084" w:type="dxa"/>
            <w:noWrap/>
            <w:hideMark/>
          </w:tcPr>
          <w:p w14:paraId="2CB97767"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w:t>
            </w:r>
          </w:p>
          <w:p w14:paraId="35388425" w14:textId="2ADE4994"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(11,4%)</w:t>
            </w:r>
          </w:p>
        </w:tc>
        <w:tc>
          <w:tcPr>
            <w:tcW w:w="1158" w:type="dxa"/>
            <w:noWrap/>
            <w:hideMark/>
          </w:tcPr>
          <w:p w14:paraId="5A827EA4"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w:t>
            </w:r>
          </w:p>
          <w:p w14:paraId="54325F20" w14:textId="6FBA5602"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(1,9%)</w:t>
            </w:r>
          </w:p>
        </w:tc>
        <w:tc>
          <w:tcPr>
            <w:tcW w:w="1158" w:type="dxa"/>
            <w:noWrap/>
            <w:hideMark/>
          </w:tcPr>
          <w:p w14:paraId="6F5E618A"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w:t>
            </w:r>
          </w:p>
          <w:p w14:paraId="2B7826BE" w14:textId="5B41336A"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(9,3%)</w:t>
            </w:r>
          </w:p>
        </w:tc>
        <w:tc>
          <w:tcPr>
            <w:tcW w:w="1158" w:type="dxa"/>
            <w:noWrap/>
            <w:hideMark/>
          </w:tcPr>
          <w:p w14:paraId="77205283"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20</w:t>
            </w:r>
          </w:p>
          <w:p w14:paraId="3B7311E1" w14:textId="62266C94"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(26,3%)</w:t>
            </w:r>
          </w:p>
        </w:tc>
        <w:tc>
          <w:tcPr>
            <w:tcW w:w="1158" w:type="dxa"/>
            <w:noWrap/>
            <w:hideMark/>
          </w:tcPr>
          <w:p w14:paraId="73CFD4C3"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w:t>
            </w:r>
          </w:p>
          <w:p w14:paraId="4881A9D2" w14:textId="12D0EAE3"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(9,8%)</w:t>
            </w:r>
          </w:p>
        </w:tc>
        <w:tc>
          <w:tcPr>
            <w:tcW w:w="1047" w:type="dxa"/>
            <w:noWrap/>
            <w:hideMark/>
          </w:tcPr>
          <w:p w14:paraId="607460E3"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315CC943" w14:textId="2E0A693F"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(20,0%)</w:t>
            </w:r>
          </w:p>
        </w:tc>
        <w:tc>
          <w:tcPr>
            <w:tcW w:w="1158" w:type="dxa"/>
            <w:noWrap/>
            <w:hideMark/>
          </w:tcPr>
          <w:p w14:paraId="3B0CB190"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9</w:t>
            </w:r>
          </w:p>
          <w:p w14:paraId="4FA1DF5D" w14:textId="6BB5DDD9"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(22,0%)</w:t>
            </w:r>
          </w:p>
        </w:tc>
        <w:tc>
          <w:tcPr>
            <w:tcW w:w="269" w:type="dxa"/>
            <w:noWrap/>
            <w:hideMark/>
          </w:tcPr>
          <w:p w14:paraId="5C33A85C"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67</w:t>
            </w:r>
          </w:p>
          <w:p w14:paraId="1002CC54" w14:textId="7104B228"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(14,0%)</w:t>
            </w:r>
          </w:p>
        </w:tc>
        <w:tc>
          <w:tcPr>
            <w:tcW w:w="1665" w:type="dxa"/>
            <w:vMerge/>
          </w:tcPr>
          <w:p w14:paraId="56656850"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p>
        </w:tc>
      </w:tr>
      <w:tr w:rsidR="00E2606F" w:rsidRPr="00BA55B1" w14:paraId="327D7B81" w14:textId="77777777" w:rsidTr="00E2606F">
        <w:trPr>
          <w:trHeight w:val="293"/>
        </w:trPr>
        <w:tc>
          <w:tcPr>
            <w:tcW w:w="1546" w:type="dxa"/>
            <w:vMerge/>
            <w:noWrap/>
            <w:hideMark/>
          </w:tcPr>
          <w:p w14:paraId="70C6F9E9"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p>
        </w:tc>
        <w:tc>
          <w:tcPr>
            <w:tcW w:w="1791" w:type="dxa"/>
            <w:noWrap/>
            <w:hideMark/>
          </w:tcPr>
          <w:p w14:paraId="1C6E5FD9"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Улучшение медицинской помощи</w:t>
            </w:r>
          </w:p>
        </w:tc>
        <w:tc>
          <w:tcPr>
            <w:tcW w:w="1084" w:type="dxa"/>
            <w:noWrap/>
            <w:hideMark/>
          </w:tcPr>
          <w:p w14:paraId="2A591FBF"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w:t>
            </w:r>
          </w:p>
          <w:p w14:paraId="515FD994" w14:textId="2E05AA0A"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(11,3%)</w:t>
            </w:r>
          </w:p>
        </w:tc>
        <w:tc>
          <w:tcPr>
            <w:tcW w:w="1084" w:type="dxa"/>
            <w:noWrap/>
            <w:hideMark/>
          </w:tcPr>
          <w:p w14:paraId="08D72702" w14:textId="77777777" w:rsidR="00E2606F" w:rsidRDefault="00B610A5" w:rsidP="00B610A5">
            <w:pPr>
              <w:spacing w:after="0" w:line="240" w:lineRule="auto"/>
              <w:jc w:val="center"/>
              <w:rPr>
                <w:rFonts w:ascii="Times New Roman" w:eastAsia="Times New Roman" w:hAnsi="Times New Roman" w:cs="Times New Roman"/>
                <w:sz w:val="24"/>
                <w:szCs w:val="24"/>
                <w:lang w:val="en-US"/>
              </w:rPr>
            </w:pPr>
            <w:r w:rsidRPr="00BA55B1">
              <w:rPr>
                <w:rFonts w:ascii="Times New Roman" w:eastAsia="Times New Roman" w:hAnsi="Times New Roman" w:cs="Times New Roman"/>
                <w:sz w:val="24"/>
                <w:szCs w:val="24"/>
                <w:lang w:val="en-US"/>
              </w:rPr>
              <w:t>0</w:t>
            </w:r>
          </w:p>
          <w:p w14:paraId="652AE31F" w14:textId="3C4A48C9"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lang w:val="en-US"/>
              </w:rPr>
              <w:t>(0.0%)</w:t>
            </w:r>
          </w:p>
        </w:tc>
        <w:tc>
          <w:tcPr>
            <w:tcW w:w="1158" w:type="dxa"/>
            <w:noWrap/>
            <w:hideMark/>
          </w:tcPr>
          <w:p w14:paraId="0D8ED9E8"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3</w:t>
            </w:r>
          </w:p>
          <w:p w14:paraId="39580CBB" w14:textId="3FB4939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(5,8%)</w:t>
            </w:r>
          </w:p>
        </w:tc>
        <w:tc>
          <w:tcPr>
            <w:tcW w:w="1158" w:type="dxa"/>
            <w:noWrap/>
            <w:hideMark/>
          </w:tcPr>
          <w:p w14:paraId="6E47487B"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w:t>
            </w:r>
          </w:p>
          <w:p w14:paraId="01ED2E11" w14:textId="7DC79FB8"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(9,3%)</w:t>
            </w:r>
          </w:p>
        </w:tc>
        <w:tc>
          <w:tcPr>
            <w:tcW w:w="1158" w:type="dxa"/>
            <w:noWrap/>
            <w:hideMark/>
          </w:tcPr>
          <w:p w14:paraId="0A915F85"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12</w:t>
            </w:r>
          </w:p>
          <w:p w14:paraId="030CE446" w14:textId="541A2885"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(15,8%)</w:t>
            </w:r>
          </w:p>
        </w:tc>
        <w:tc>
          <w:tcPr>
            <w:tcW w:w="1158" w:type="dxa"/>
            <w:noWrap/>
            <w:hideMark/>
          </w:tcPr>
          <w:p w14:paraId="467B8CF4"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w:t>
            </w:r>
          </w:p>
          <w:p w14:paraId="209DF759" w14:textId="072235EE"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(8,5%)</w:t>
            </w:r>
          </w:p>
        </w:tc>
        <w:tc>
          <w:tcPr>
            <w:tcW w:w="1047" w:type="dxa"/>
            <w:noWrap/>
            <w:hideMark/>
          </w:tcPr>
          <w:p w14:paraId="490807A5"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6726D85B" w14:textId="38239B42"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(20,0%)</w:t>
            </w:r>
          </w:p>
        </w:tc>
        <w:tc>
          <w:tcPr>
            <w:tcW w:w="1158" w:type="dxa"/>
            <w:noWrap/>
            <w:hideMark/>
          </w:tcPr>
          <w:p w14:paraId="5448418D" w14:textId="77777777" w:rsidR="00E2606F" w:rsidRDefault="00B610A5" w:rsidP="00B610A5">
            <w:pPr>
              <w:spacing w:after="0" w:line="240" w:lineRule="auto"/>
              <w:jc w:val="center"/>
              <w:rPr>
                <w:rFonts w:ascii="Times New Roman" w:eastAsia="Times New Roman" w:hAnsi="Times New Roman" w:cs="Times New Roman"/>
                <w:sz w:val="24"/>
                <w:szCs w:val="24"/>
                <w:lang w:val="en-US"/>
              </w:rPr>
            </w:pPr>
            <w:r w:rsidRPr="00BA55B1">
              <w:rPr>
                <w:rFonts w:ascii="Times New Roman" w:eastAsia="Times New Roman" w:hAnsi="Times New Roman" w:cs="Times New Roman"/>
                <w:sz w:val="24"/>
                <w:szCs w:val="24"/>
                <w:lang w:val="en-US"/>
              </w:rPr>
              <w:t>0</w:t>
            </w:r>
          </w:p>
          <w:p w14:paraId="58471B1C" w14:textId="0CDB4DE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lang w:val="en-US"/>
              </w:rPr>
              <w:t>(0.0%)</w:t>
            </w:r>
          </w:p>
        </w:tc>
        <w:tc>
          <w:tcPr>
            <w:tcW w:w="269" w:type="dxa"/>
            <w:noWrap/>
            <w:hideMark/>
          </w:tcPr>
          <w:p w14:paraId="0769B815"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40</w:t>
            </w:r>
          </w:p>
          <w:p w14:paraId="3AE7EB45" w14:textId="7307A59F"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(8,3%)</w:t>
            </w:r>
          </w:p>
        </w:tc>
        <w:tc>
          <w:tcPr>
            <w:tcW w:w="1665" w:type="dxa"/>
            <w:vMerge/>
          </w:tcPr>
          <w:p w14:paraId="6E3997B2"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p>
        </w:tc>
      </w:tr>
      <w:tr w:rsidR="00E2606F" w:rsidRPr="00BA55B1" w14:paraId="47F5C72B" w14:textId="77777777" w:rsidTr="00E2606F">
        <w:trPr>
          <w:trHeight w:val="293"/>
        </w:trPr>
        <w:tc>
          <w:tcPr>
            <w:tcW w:w="1546" w:type="dxa"/>
            <w:vMerge/>
            <w:noWrap/>
            <w:hideMark/>
          </w:tcPr>
          <w:p w14:paraId="12F7D6D0"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p>
        </w:tc>
        <w:tc>
          <w:tcPr>
            <w:tcW w:w="1791" w:type="dxa"/>
            <w:noWrap/>
            <w:hideMark/>
          </w:tcPr>
          <w:p w14:paraId="48F89FF6"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Другое</w:t>
            </w:r>
          </w:p>
        </w:tc>
        <w:tc>
          <w:tcPr>
            <w:tcW w:w="1084" w:type="dxa"/>
            <w:noWrap/>
            <w:hideMark/>
          </w:tcPr>
          <w:p w14:paraId="4E54CFDE"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7</w:t>
            </w:r>
          </w:p>
          <w:p w14:paraId="051D7544" w14:textId="060A25B2"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(13,2%)</w:t>
            </w:r>
          </w:p>
        </w:tc>
        <w:tc>
          <w:tcPr>
            <w:tcW w:w="1084" w:type="dxa"/>
            <w:noWrap/>
            <w:hideMark/>
          </w:tcPr>
          <w:p w14:paraId="60034DFF"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6</w:t>
            </w:r>
          </w:p>
          <w:p w14:paraId="56285D76" w14:textId="26B745F3"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(8,6%)</w:t>
            </w:r>
          </w:p>
        </w:tc>
        <w:tc>
          <w:tcPr>
            <w:tcW w:w="1158" w:type="dxa"/>
            <w:noWrap/>
            <w:hideMark/>
          </w:tcPr>
          <w:p w14:paraId="598A3BD0"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w:t>
            </w:r>
          </w:p>
          <w:p w14:paraId="659654B4" w14:textId="79D41DDA"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(28,8%)</w:t>
            </w:r>
          </w:p>
        </w:tc>
        <w:tc>
          <w:tcPr>
            <w:tcW w:w="1158" w:type="dxa"/>
            <w:noWrap/>
            <w:hideMark/>
          </w:tcPr>
          <w:p w14:paraId="6761B1E0"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13</w:t>
            </w:r>
          </w:p>
          <w:p w14:paraId="533C5940" w14:textId="27259213"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(15,1%)</w:t>
            </w:r>
          </w:p>
        </w:tc>
        <w:tc>
          <w:tcPr>
            <w:tcW w:w="1158" w:type="dxa"/>
            <w:noWrap/>
            <w:hideMark/>
          </w:tcPr>
          <w:p w14:paraId="3BCA09E8"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11</w:t>
            </w:r>
          </w:p>
          <w:p w14:paraId="4D38E09D" w14:textId="29F1C973"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(14,5%)</w:t>
            </w:r>
          </w:p>
        </w:tc>
        <w:tc>
          <w:tcPr>
            <w:tcW w:w="1158" w:type="dxa"/>
            <w:noWrap/>
            <w:hideMark/>
          </w:tcPr>
          <w:p w14:paraId="5FB5DB4F"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18</w:t>
            </w:r>
          </w:p>
          <w:p w14:paraId="1A0DC440" w14:textId="50EAEDE9"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(22,0%)</w:t>
            </w:r>
          </w:p>
        </w:tc>
        <w:tc>
          <w:tcPr>
            <w:tcW w:w="1047" w:type="dxa"/>
            <w:noWrap/>
            <w:hideMark/>
          </w:tcPr>
          <w:p w14:paraId="6DAE0067"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4</w:t>
            </w:r>
          </w:p>
          <w:p w14:paraId="1D2E7D3B" w14:textId="5EAB5378"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(20,0%)</w:t>
            </w:r>
          </w:p>
        </w:tc>
        <w:tc>
          <w:tcPr>
            <w:tcW w:w="1158" w:type="dxa"/>
            <w:noWrap/>
            <w:hideMark/>
          </w:tcPr>
          <w:p w14:paraId="3D329F4F"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12</w:t>
            </w:r>
          </w:p>
          <w:p w14:paraId="1B86F9D5" w14:textId="47525924"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(29,3%)</w:t>
            </w:r>
          </w:p>
        </w:tc>
        <w:tc>
          <w:tcPr>
            <w:tcW w:w="269" w:type="dxa"/>
            <w:noWrap/>
            <w:hideMark/>
          </w:tcPr>
          <w:p w14:paraId="26E30EC5" w14:textId="77777777" w:rsidR="00E2606F"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86</w:t>
            </w:r>
          </w:p>
          <w:p w14:paraId="242B191A" w14:textId="5A165C62" w:rsidR="00B610A5" w:rsidRPr="00BA55B1" w:rsidRDefault="00B610A5" w:rsidP="00B610A5">
            <w:pPr>
              <w:spacing w:after="0" w:line="240" w:lineRule="auto"/>
              <w:jc w:val="center"/>
              <w:rPr>
                <w:rFonts w:ascii="Times New Roman" w:eastAsia="Times New Roman" w:hAnsi="Times New Roman" w:cs="Times New Roman"/>
                <w:sz w:val="24"/>
                <w:szCs w:val="24"/>
              </w:rPr>
            </w:pPr>
            <w:r w:rsidRPr="00BA55B1">
              <w:rPr>
                <w:rFonts w:ascii="Times New Roman" w:eastAsia="Times New Roman" w:hAnsi="Times New Roman" w:cs="Times New Roman"/>
                <w:sz w:val="24"/>
                <w:szCs w:val="24"/>
              </w:rPr>
              <w:t>(17,9%)</w:t>
            </w:r>
          </w:p>
        </w:tc>
        <w:tc>
          <w:tcPr>
            <w:tcW w:w="1665" w:type="dxa"/>
            <w:vMerge/>
          </w:tcPr>
          <w:p w14:paraId="246EC12E" w14:textId="77777777" w:rsidR="00B610A5" w:rsidRPr="00BA55B1" w:rsidRDefault="00B610A5" w:rsidP="00B610A5">
            <w:pPr>
              <w:spacing w:after="0" w:line="240" w:lineRule="auto"/>
              <w:jc w:val="center"/>
              <w:rPr>
                <w:rFonts w:ascii="Times New Roman" w:eastAsia="Times New Roman" w:hAnsi="Times New Roman" w:cs="Times New Roman"/>
                <w:sz w:val="24"/>
                <w:szCs w:val="24"/>
              </w:rPr>
            </w:pPr>
          </w:p>
        </w:tc>
      </w:tr>
    </w:tbl>
    <w:p w14:paraId="3D578552" w14:textId="77777777" w:rsidR="007A2C38" w:rsidRPr="004135FE" w:rsidRDefault="007A2C38" w:rsidP="004135FE">
      <w:pPr>
        <w:spacing w:after="0" w:line="240" w:lineRule="auto"/>
        <w:jc w:val="both"/>
        <w:rPr>
          <w:rFonts w:ascii="Times New Roman" w:hAnsi="Times New Roman" w:cs="Times New Roman"/>
          <w:b/>
          <w:sz w:val="28"/>
          <w:szCs w:val="28"/>
        </w:rPr>
        <w:sectPr w:rsidR="007A2C38" w:rsidRPr="004135FE" w:rsidSect="00EC71C2">
          <w:type w:val="nextColumn"/>
          <w:pgSz w:w="16838" w:h="11906" w:orient="landscape"/>
          <w:pgMar w:top="1134" w:right="851" w:bottom="1134" w:left="1701" w:header="283" w:footer="283" w:gutter="0"/>
          <w:cols w:space="708"/>
          <w:docGrid w:linePitch="360"/>
        </w:sectPr>
      </w:pPr>
    </w:p>
    <w:p w14:paraId="61A27633" w14:textId="77777777" w:rsidR="007A2C38" w:rsidRPr="004135FE" w:rsidRDefault="007A2C38" w:rsidP="00E2606F">
      <w:pPr>
        <w:spacing w:after="0" w:line="240" w:lineRule="auto"/>
        <w:ind w:firstLine="709"/>
        <w:jc w:val="both"/>
        <w:rPr>
          <w:rFonts w:ascii="Times New Roman" w:eastAsia="Times New Roman" w:hAnsi="Times New Roman" w:cs="Times New Roman"/>
          <w:sz w:val="28"/>
          <w:szCs w:val="28"/>
        </w:rPr>
      </w:pPr>
      <w:r w:rsidRPr="00E2606F">
        <w:rPr>
          <w:rFonts w:ascii="Times New Roman" w:hAnsi="Times New Roman" w:cs="Times New Roman"/>
          <w:bCs/>
          <w:sz w:val="28"/>
          <w:szCs w:val="28"/>
        </w:rPr>
        <w:t>Таким образом,</w:t>
      </w:r>
      <w:r w:rsidRPr="004135FE">
        <w:rPr>
          <w:rFonts w:ascii="Times New Roman" w:hAnsi="Times New Roman" w:cs="Times New Roman"/>
          <w:b/>
          <w:sz w:val="28"/>
          <w:szCs w:val="28"/>
        </w:rPr>
        <w:t xml:space="preserve"> </w:t>
      </w:r>
      <w:r w:rsidRPr="004135FE">
        <w:rPr>
          <w:rFonts w:ascii="Times New Roman" w:hAnsi="Times New Roman" w:cs="Times New Roman"/>
          <w:sz w:val="28"/>
          <w:szCs w:val="28"/>
        </w:rPr>
        <w:t>выявлено</w:t>
      </w:r>
      <w:r w:rsidRPr="004135FE">
        <w:rPr>
          <w:rFonts w:ascii="Times New Roman" w:hAnsi="Times New Roman" w:cs="Times New Roman"/>
          <w:bCs/>
          <w:sz w:val="28"/>
          <w:szCs w:val="28"/>
        </w:rPr>
        <w:t xml:space="preserve"> влияние районов проживания и уровня оказанной поддержки во время </w:t>
      </w:r>
      <w:r w:rsidRPr="004135FE">
        <w:rPr>
          <w:rFonts w:ascii="Times New Roman" w:eastAsia="Times New Roman" w:hAnsi="Times New Roman" w:cs="Times New Roman"/>
          <w:sz w:val="28"/>
          <w:szCs w:val="28"/>
        </w:rPr>
        <w:t xml:space="preserve">карантина по </w:t>
      </w:r>
      <w:r w:rsidRPr="004135FE">
        <w:rPr>
          <w:rFonts w:ascii="Times New Roman" w:eastAsia="Times New Roman" w:hAnsi="Times New Roman" w:cs="Times New Roman"/>
          <w:sz w:val="28"/>
          <w:szCs w:val="28"/>
          <w:lang w:val="en-US"/>
        </w:rPr>
        <w:t>Covid</w:t>
      </w:r>
      <w:r w:rsidRPr="004135FE">
        <w:rPr>
          <w:rFonts w:ascii="Times New Roman" w:eastAsia="Times New Roman" w:hAnsi="Times New Roman" w:cs="Times New Roman"/>
          <w:sz w:val="28"/>
          <w:szCs w:val="28"/>
        </w:rPr>
        <w:t xml:space="preserve">-19. Во всех районах основная помощь пациентам были оказаны со стороны родственников, городских поликлиник, </w:t>
      </w:r>
      <w:r w:rsidRPr="004135FE">
        <w:rPr>
          <w:rFonts w:ascii="Times New Roman" w:hAnsi="Times New Roman" w:cs="Times New Roman"/>
          <w:sz w:val="28"/>
          <w:szCs w:val="28"/>
        </w:rPr>
        <w:t>CALL-центры. Организованность всех районных акиматов пациенты оценили на 5,0% в совокупности, по районам: А</w:t>
      </w:r>
      <w:r w:rsidRPr="004135FE">
        <w:rPr>
          <w:rFonts w:ascii="Times New Roman" w:eastAsia="Times New Roman" w:hAnsi="Times New Roman" w:cs="Times New Roman"/>
          <w:sz w:val="28"/>
          <w:szCs w:val="28"/>
        </w:rPr>
        <w:t>латауский акимат оказал моральную и материальную помощь среди пациентов с СД2т всего в 14,6% случаях, Алмалинский-9,2%, Турксибский-7,1%, Бостандыксий-3,7%, Ауэзовский-2,3%, Жетысуский- 1,9%. Медеуский и Наурызбайский акимат не участвовал в оказании поддержки пациентов с СД2т во время карантина.</w:t>
      </w:r>
    </w:p>
    <w:p w14:paraId="309D7372" w14:textId="00598F94" w:rsidR="007A2C38" w:rsidRPr="004135FE" w:rsidRDefault="007A2C38" w:rsidP="00E2606F">
      <w:pPr>
        <w:tabs>
          <w:tab w:val="center" w:pos="567"/>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Выявлено статистическое значимое влияние шума от соседей и шум с улицы (дорожное движение, предприятия, заводы, общепит) на респондентов, что соответствует 65,0% и 5,0% в Наурызбайском, </w:t>
      </w:r>
      <w:r w:rsidRPr="004135FE">
        <w:rPr>
          <w:rFonts w:ascii="Times New Roman" w:hAnsi="Times New Roman" w:cs="Times New Roman"/>
          <w:b/>
          <w:bCs/>
          <w:sz w:val="28"/>
          <w:szCs w:val="28"/>
        </w:rPr>
        <w:tab/>
      </w:r>
      <w:r w:rsidRPr="004135FE">
        <w:rPr>
          <w:rFonts w:ascii="Times New Roman" w:eastAsia="Times New Roman" w:hAnsi="Times New Roman" w:cs="Times New Roman"/>
          <w:sz w:val="28"/>
          <w:szCs w:val="28"/>
        </w:rPr>
        <w:t>63,4% и 14,6% в Алатауском, 55,3% и 9,2% в Алмалинском, 39,5% и 19,8% в Ауэзовском, 38,6% и 17,1% в Турксибском, 35,4% и 35,4% в Бостандыкском, 35,4% и 34,6% в Жетысуском, 22,6% и 18,9% в Медеуском районах.</w:t>
      </w:r>
    </w:p>
    <w:p w14:paraId="2362ABFD" w14:textId="314281F5" w:rsidR="007A2C38" w:rsidRPr="004135FE" w:rsidRDefault="007A2C38" w:rsidP="00E2606F">
      <w:pPr>
        <w:tabs>
          <w:tab w:val="center" w:pos="567"/>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В 53,7% случаях опрошенные не едят фрукты, ягоды каждый день Бостандыкского района. В 50,9% случаях каждый день имеют в рационе фрукты жители Медеуского района. В 41,5% случаях фрукты и ягоды не входят в рацион питания опрошенных Алатауского района. </w:t>
      </w:r>
    </w:p>
    <w:p w14:paraId="1B6CDF01" w14:textId="5F80532B" w:rsidR="007A2C38" w:rsidRPr="004135FE" w:rsidRDefault="007A2C38" w:rsidP="00E2606F">
      <w:pPr>
        <w:tabs>
          <w:tab w:val="center" w:pos="567"/>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Жители Турксибского района в 38,6% случаях занимаются ФА дома, 35,0%- Наурызбайского района не занимаются, 35,8%- Медеуского района во дворе, 40,8%- Алмалинского района в спорт комплексе, 15,4%- Жетысуского района в спорт площадке бесплатно.  </w:t>
      </w:r>
    </w:p>
    <w:p w14:paraId="2539A718" w14:textId="5903772E" w:rsidR="007A2C38" w:rsidRPr="004135FE" w:rsidRDefault="007A2C38" w:rsidP="00E2606F">
      <w:pPr>
        <w:spacing w:after="0" w:line="240" w:lineRule="auto"/>
        <w:ind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По мнению 32,9% жителей Турксибского района улучшение жилищных условии является самым важным решением для поднятия демографии, 26,3% жителей Алмалинского района важна укрепление физического состояния организма, 15,7% жителей Турксибского района формирование в обществе приоритета материнств</w:t>
      </w:r>
      <w:r w:rsidR="0091178A" w:rsidRPr="004135FE">
        <w:rPr>
          <w:rFonts w:ascii="Times New Roman" w:eastAsia="Times New Roman" w:hAnsi="Times New Roman" w:cs="Times New Roman"/>
          <w:sz w:val="28"/>
          <w:szCs w:val="28"/>
        </w:rPr>
        <w:t>а- отцовства и приоритет семьи.</w:t>
      </w:r>
    </w:p>
    <w:p w14:paraId="2FCBFF37" w14:textId="431E66C6" w:rsidR="007A2C38" w:rsidRPr="004135FE" w:rsidRDefault="007A2C38" w:rsidP="00E2606F">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Согласно результатам анализа социологического исследования, возможности профилактических мер на уровне местных исполнительных органов/ акиматов, общественных организации необходима реализовать путем контроля:</w:t>
      </w:r>
    </w:p>
    <w:p w14:paraId="400A9D00" w14:textId="77777777" w:rsidR="007A2C38" w:rsidRPr="004135FE" w:rsidRDefault="007A2C38" w:rsidP="00E2606F">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 работ по организации моральной и материальной поддержки нуждающихся, объединяя функции и возможности государственных и частных секторов надлежащей территории каждого района </w:t>
      </w:r>
    </w:p>
    <w:p w14:paraId="7235CF6E" w14:textId="5926E18F" w:rsidR="007A2C38" w:rsidRPr="004135FE" w:rsidRDefault="007A2C38" w:rsidP="00E2606F">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по работе СЭС, усилить проверку уровня шума от улицы и его составляющих (транспорт, об</w:t>
      </w:r>
      <w:r w:rsidR="00892CB0" w:rsidRPr="004135FE">
        <w:rPr>
          <w:rFonts w:ascii="Times New Roman" w:hAnsi="Times New Roman" w:cs="Times New Roman"/>
          <w:sz w:val="28"/>
          <w:szCs w:val="28"/>
        </w:rPr>
        <w:t>щественные организации, заводы</w:t>
      </w:r>
      <w:r w:rsidRPr="004135FE">
        <w:rPr>
          <w:rFonts w:ascii="Times New Roman" w:hAnsi="Times New Roman" w:cs="Times New Roman"/>
          <w:sz w:val="28"/>
          <w:szCs w:val="28"/>
        </w:rPr>
        <w:t>)</w:t>
      </w:r>
    </w:p>
    <w:p w14:paraId="1563A547" w14:textId="77777777" w:rsidR="007A2C38" w:rsidRPr="004135FE" w:rsidRDefault="007A2C38" w:rsidP="00E2606F">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по работе физической доступности свежих овощей и фруктов надлежащей территории исходя от плотности населения и спроса</w:t>
      </w:r>
    </w:p>
    <w:p w14:paraId="2AC84114" w14:textId="77777777" w:rsidR="007A2C38" w:rsidRPr="004135FE" w:rsidRDefault="007A2C38" w:rsidP="00E2606F">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-по работе физической доступности общественных спортивных тренажеров и объектов в зависимости от плотности населения и их потребности</w:t>
      </w:r>
    </w:p>
    <w:p w14:paraId="5F755D27" w14:textId="77777777" w:rsidR="007A2C38" w:rsidRPr="004135FE" w:rsidRDefault="007A2C38" w:rsidP="00E2606F">
      <w:pPr>
        <w:spacing w:after="0" w:line="240" w:lineRule="auto"/>
        <w:ind w:firstLine="709"/>
        <w:jc w:val="both"/>
        <w:rPr>
          <w:rFonts w:ascii="Times New Roman" w:eastAsia="Times New Roman" w:hAnsi="Times New Roman" w:cs="Times New Roman"/>
          <w:sz w:val="28"/>
          <w:szCs w:val="28"/>
        </w:rPr>
      </w:pPr>
      <w:r w:rsidRPr="004135FE">
        <w:rPr>
          <w:rFonts w:ascii="Times New Roman" w:hAnsi="Times New Roman" w:cs="Times New Roman"/>
          <w:sz w:val="28"/>
          <w:szCs w:val="28"/>
        </w:rPr>
        <w:t>- работ по</w:t>
      </w:r>
      <w:r w:rsidRPr="004135FE">
        <w:rPr>
          <w:rFonts w:ascii="Times New Roman" w:eastAsia="Times New Roman" w:hAnsi="Times New Roman" w:cs="Times New Roman"/>
          <w:sz w:val="28"/>
          <w:szCs w:val="28"/>
        </w:rPr>
        <w:t xml:space="preserve"> формирования в обществе приоритета материнства- отцовства и семьи.</w:t>
      </w:r>
    </w:p>
    <w:p w14:paraId="3483868C" w14:textId="77777777" w:rsidR="007A2C38" w:rsidRPr="004135FE" w:rsidRDefault="007A2C38" w:rsidP="004135FE">
      <w:pPr>
        <w:spacing w:after="0" w:line="240" w:lineRule="auto"/>
        <w:jc w:val="both"/>
        <w:rPr>
          <w:rFonts w:ascii="Times New Roman" w:hAnsi="Times New Roman" w:cs="Times New Roman"/>
          <w:b/>
          <w:sz w:val="28"/>
          <w:szCs w:val="28"/>
        </w:rPr>
      </w:pPr>
    </w:p>
    <w:p w14:paraId="34CD797C" w14:textId="1C6898A3" w:rsidR="007A2C38" w:rsidRPr="007C7F37" w:rsidRDefault="007A2C38" w:rsidP="007C7F37">
      <w:pPr>
        <w:tabs>
          <w:tab w:val="left" w:pos="426"/>
        </w:tabs>
        <w:spacing w:after="0" w:line="240" w:lineRule="auto"/>
        <w:ind w:firstLine="709"/>
        <w:jc w:val="both"/>
        <w:rPr>
          <w:rFonts w:ascii="Times New Roman" w:hAnsi="Times New Roman" w:cs="Times New Roman"/>
          <w:sz w:val="28"/>
          <w:szCs w:val="28"/>
        </w:rPr>
      </w:pPr>
      <w:r w:rsidRPr="007C7F37">
        <w:rPr>
          <w:rFonts w:ascii="Times New Roman" w:eastAsia="Times New Roman" w:hAnsi="Times New Roman" w:cs="Times New Roman"/>
          <w:sz w:val="28"/>
          <w:szCs w:val="28"/>
        </w:rPr>
        <w:t xml:space="preserve">4.2.2.4. </w:t>
      </w:r>
      <w:r w:rsidRPr="007C7F37">
        <w:rPr>
          <w:rFonts w:ascii="Times New Roman" w:hAnsi="Times New Roman" w:cs="Times New Roman"/>
          <w:sz w:val="28"/>
          <w:szCs w:val="28"/>
        </w:rPr>
        <w:t>Возможности профилактических мер на уровне ПМСП</w:t>
      </w:r>
    </w:p>
    <w:p w14:paraId="0B6671DE" w14:textId="77777777" w:rsidR="007A2C38" w:rsidRPr="007C7F37" w:rsidRDefault="007A2C38" w:rsidP="007C7F37">
      <w:pPr>
        <w:tabs>
          <w:tab w:val="left" w:pos="284"/>
        </w:tabs>
        <w:spacing w:after="0" w:line="240" w:lineRule="auto"/>
        <w:ind w:firstLine="709"/>
        <w:jc w:val="both"/>
        <w:rPr>
          <w:rFonts w:ascii="Times New Roman" w:hAnsi="Times New Roman" w:cs="Times New Roman"/>
          <w:bCs/>
          <w:sz w:val="28"/>
          <w:szCs w:val="28"/>
        </w:rPr>
      </w:pPr>
      <w:r w:rsidRPr="007C7F37">
        <w:rPr>
          <w:rFonts w:ascii="Times New Roman" w:hAnsi="Times New Roman" w:cs="Times New Roman"/>
          <w:bCs/>
          <w:sz w:val="28"/>
          <w:szCs w:val="28"/>
        </w:rPr>
        <w:t>Подготовленность кадров при оказании услуг пациентам СД2т</w:t>
      </w:r>
    </w:p>
    <w:p w14:paraId="742B1827" w14:textId="77777777" w:rsidR="007A2C38" w:rsidRPr="004135FE" w:rsidRDefault="007A2C38" w:rsidP="007C7F37">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Оснащенность и подготовленность кадровых ресурсов медицинских организации, так же влияет на своевременность диагностирования предиабета, которое возникает за 10-12 лет до клинического дебюта СД2т. Обстоятельства выявления гипергликемии являются очень важным для дальнейшего прогноза течения СД2т и осложнении. </w:t>
      </w:r>
      <w:r w:rsidRPr="004135FE">
        <w:rPr>
          <w:rFonts w:ascii="Times New Roman" w:eastAsia="Times New Roman" w:hAnsi="Times New Roman" w:cs="Times New Roman"/>
          <w:sz w:val="28"/>
          <w:szCs w:val="28"/>
        </w:rPr>
        <w:t>Согласно проведенному опросу, у большинства состояние гипергликемии выявлены при профилактическом осмотре-</w:t>
      </w:r>
      <w:r w:rsidRPr="004135FE">
        <w:rPr>
          <w:rFonts w:ascii="Times New Roman" w:eastAsia="Times New Roman" w:hAnsi="Times New Roman" w:cs="Times New Roman"/>
          <w:color w:val="000000"/>
          <w:sz w:val="28"/>
          <w:szCs w:val="28"/>
        </w:rPr>
        <w:t xml:space="preserve">50,83%. </w:t>
      </w:r>
      <w:r w:rsidRPr="004135FE">
        <w:rPr>
          <w:rFonts w:ascii="Times New Roman" w:eastAsia="Times New Roman" w:hAnsi="Times New Roman" w:cs="Times New Roman"/>
          <w:sz w:val="28"/>
          <w:szCs w:val="28"/>
        </w:rPr>
        <w:t xml:space="preserve"> В других обстоятельствах выявлены </w:t>
      </w:r>
      <w:r w:rsidRPr="004135FE">
        <w:rPr>
          <w:rFonts w:ascii="Times New Roman" w:eastAsia="Times New Roman" w:hAnsi="Times New Roman" w:cs="Times New Roman"/>
          <w:color w:val="000000"/>
          <w:sz w:val="28"/>
          <w:szCs w:val="28"/>
        </w:rPr>
        <w:t xml:space="preserve">17,92% случаев повышенного уровня сахара. Так же </w:t>
      </w:r>
      <w:r w:rsidRPr="004135FE">
        <w:rPr>
          <w:rFonts w:ascii="Times New Roman" w:eastAsia="Times New Roman" w:hAnsi="Times New Roman" w:cs="Times New Roman"/>
          <w:sz w:val="28"/>
          <w:szCs w:val="28"/>
        </w:rPr>
        <w:t xml:space="preserve">гипергликемия выявлена во время диспансеризации по артериальной гипертензии 16,46%, во время обострения простудных заболевании </w:t>
      </w:r>
      <w:r w:rsidRPr="004135FE">
        <w:rPr>
          <w:rFonts w:ascii="Times New Roman" w:eastAsia="Times New Roman" w:hAnsi="Times New Roman" w:cs="Times New Roman"/>
          <w:color w:val="000000"/>
          <w:sz w:val="28"/>
          <w:szCs w:val="28"/>
        </w:rPr>
        <w:t xml:space="preserve">6,25%, </w:t>
      </w:r>
      <w:r w:rsidRPr="004135FE">
        <w:rPr>
          <w:rFonts w:ascii="Times New Roman" w:eastAsia="Times New Roman" w:hAnsi="Times New Roman" w:cs="Times New Roman"/>
          <w:sz w:val="28"/>
          <w:szCs w:val="28"/>
        </w:rPr>
        <w:t xml:space="preserve">после хирургических вмешательств </w:t>
      </w:r>
      <w:r w:rsidRPr="004135FE">
        <w:rPr>
          <w:rFonts w:ascii="Times New Roman" w:eastAsia="Times New Roman" w:hAnsi="Times New Roman" w:cs="Times New Roman"/>
          <w:color w:val="000000"/>
          <w:sz w:val="28"/>
          <w:szCs w:val="28"/>
        </w:rPr>
        <w:t xml:space="preserve">5,42%, </w:t>
      </w:r>
      <w:r w:rsidRPr="004135FE">
        <w:rPr>
          <w:rFonts w:ascii="Times New Roman" w:eastAsia="Times New Roman" w:hAnsi="Times New Roman" w:cs="Times New Roman"/>
          <w:sz w:val="28"/>
          <w:szCs w:val="28"/>
        </w:rPr>
        <w:t>при подготовке к зачатию ребенка 3,13%.</w:t>
      </w:r>
    </w:p>
    <w:p w14:paraId="344A8D73" w14:textId="77777777" w:rsidR="007A2C38" w:rsidRPr="004135FE" w:rsidRDefault="007A2C38" w:rsidP="004135FE">
      <w:pPr>
        <w:tabs>
          <w:tab w:val="left" w:pos="6035"/>
        </w:tabs>
        <w:spacing w:after="0" w:line="240" w:lineRule="auto"/>
        <w:jc w:val="both"/>
        <w:rPr>
          <w:rFonts w:ascii="Times New Roman" w:hAnsi="Times New Roman" w:cs="Times New Roman"/>
          <w:b/>
          <w:sz w:val="28"/>
          <w:szCs w:val="28"/>
        </w:rPr>
      </w:pPr>
    </w:p>
    <w:p w14:paraId="2B21433B" w14:textId="77777777" w:rsidR="007A2C38" w:rsidRPr="004135FE" w:rsidRDefault="007A2C38" w:rsidP="007C7F37">
      <w:pPr>
        <w:tabs>
          <w:tab w:val="left" w:pos="6035"/>
        </w:tabs>
        <w:spacing w:after="0" w:line="240" w:lineRule="auto"/>
        <w:jc w:val="center"/>
        <w:rPr>
          <w:rFonts w:ascii="Times New Roman" w:hAnsi="Times New Roman" w:cs="Times New Roman"/>
          <w:b/>
          <w:sz w:val="28"/>
          <w:szCs w:val="28"/>
        </w:rPr>
      </w:pPr>
      <w:r w:rsidRPr="004135FE">
        <w:rPr>
          <w:noProof/>
          <w:sz w:val="28"/>
          <w:szCs w:val="28"/>
        </w:rPr>
        <w:drawing>
          <wp:inline distT="0" distB="0" distL="0" distR="0" wp14:anchorId="3F974CB3" wp14:editId="083D43DB">
            <wp:extent cx="5372100" cy="2819400"/>
            <wp:effectExtent l="0" t="0" r="0" b="0"/>
            <wp:docPr id="128" name="Диаграмма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6044149" w14:textId="77777777" w:rsidR="007C7F37" w:rsidRDefault="007C7F37" w:rsidP="007C7F37">
      <w:pPr>
        <w:tabs>
          <w:tab w:val="left" w:pos="6035"/>
        </w:tabs>
        <w:spacing w:after="0" w:line="240" w:lineRule="auto"/>
        <w:jc w:val="center"/>
        <w:rPr>
          <w:rFonts w:ascii="Times New Roman" w:hAnsi="Times New Roman" w:cs="Times New Roman"/>
          <w:sz w:val="28"/>
          <w:szCs w:val="28"/>
        </w:rPr>
      </w:pPr>
    </w:p>
    <w:p w14:paraId="361CE8BB" w14:textId="752E2311" w:rsidR="007A2C38" w:rsidRPr="004135FE" w:rsidRDefault="007A2C38" w:rsidP="007C7F37">
      <w:pPr>
        <w:tabs>
          <w:tab w:val="left" w:pos="6035"/>
        </w:tabs>
        <w:spacing w:after="0" w:line="240" w:lineRule="auto"/>
        <w:jc w:val="center"/>
        <w:rPr>
          <w:rFonts w:ascii="Times New Roman" w:hAnsi="Times New Roman" w:cs="Times New Roman"/>
          <w:b/>
          <w:sz w:val="28"/>
          <w:szCs w:val="28"/>
        </w:rPr>
      </w:pPr>
      <w:r w:rsidRPr="004135FE">
        <w:rPr>
          <w:rFonts w:ascii="Times New Roman" w:hAnsi="Times New Roman" w:cs="Times New Roman"/>
          <w:sz w:val="28"/>
          <w:szCs w:val="28"/>
        </w:rPr>
        <w:t>Рисунок 50</w:t>
      </w:r>
      <w:r w:rsidRPr="004135FE">
        <w:rPr>
          <w:rFonts w:ascii="Times New Roman" w:hAnsi="Times New Roman" w:cs="Times New Roman"/>
          <w:b/>
          <w:sz w:val="28"/>
          <w:szCs w:val="28"/>
        </w:rPr>
        <w:t xml:space="preserve"> - </w:t>
      </w:r>
      <w:r w:rsidRPr="004135FE">
        <w:rPr>
          <w:rFonts w:ascii="Times New Roman" w:hAnsi="Times New Roman" w:cs="Times New Roman"/>
          <w:sz w:val="28"/>
          <w:szCs w:val="28"/>
        </w:rPr>
        <w:t>Обстоятельства выявления гипергликемии у пациентов с СД2</w:t>
      </w:r>
    </w:p>
    <w:p w14:paraId="0E190D8D" w14:textId="77777777" w:rsidR="007A2C38" w:rsidRPr="004135FE" w:rsidRDefault="007A2C38" w:rsidP="004135FE">
      <w:pPr>
        <w:tabs>
          <w:tab w:val="left" w:pos="1547"/>
        </w:tabs>
        <w:spacing w:after="0" w:line="240" w:lineRule="auto"/>
        <w:jc w:val="both"/>
        <w:rPr>
          <w:rFonts w:ascii="Times New Roman" w:hAnsi="Times New Roman" w:cs="Times New Roman"/>
          <w:b/>
          <w:sz w:val="28"/>
          <w:szCs w:val="28"/>
        </w:rPr>
      </w:pPr>
    </w:p>
    <w:p w14:paraId="722995DD" w14:textId="4F9A5BF7" w:rsidR="007A2C38" w:rsidRPr="004135FE" w:rsidRDefault="007A2C38" w:rsidP="007C7F37">
      <w:pPr>
        <w:tabs>
          <w:tab w:val="left" w:pos="426"/>
        </w:tabs>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В опроснике врачам был подготовлен вопрос «Направляете ли Вы пациентов на генетическое обследование маркеров СД2т?», а пациентам «Врач эндокринолог когда-либо Вас направлял на</w:t>
      </w:r>
      <w:r w:rsidRPr="004135FE">
        <w:rPr>
          <w:rFonts w:ascii="Times New Roman" w:hAnsi="Times New Roman" w:cs="Times New Roman"/>
          <w:sz w:val="28"/>
          <w:szCs w:val="28"/>
          <w:lang w:val="kk-KZ"/>
        </w:rPr>
        <w:t xml:space="preserve"> анализ для определения</w:t>
      </w:r>
      <w:r w:rsidRPr="004135FE">
        <w:rPr>
          <w:rFonts w:ascii="Times New Roman" w:hAnsi="Times New Roman" w:cs="Times New Roman"/>
          <w:sz w:val="28"/>
          <w:szCs w:val="28"/>
        </w:rPr>
        <w:t xml:space="preserve"> генетических маркеров СД2т» (</w:t>
      </w:r>
      <w:r w:rsidR="007C7F37">
        <w:rPr>
          <w:rFonts w:ascii="Times New Roman" w:hAnsi="Times New Roman" w:cs="Times New Roman"/>
          <w:sz w:val="28"/>
          <w:szCs w:val="28"/>
        </w:rPr>
        <w:t>р</w:t>
      </w:r>
      <w:r w:rsidRPr="004135FE">
        <w:rPr>
          <w:rFonts w:ascii="Times New Roman" w:eastAsia="Times New Roman" w:hAnsi="Times New Roman" w:cs="Times New Roman"/>
          <w:sz w:val="28"/>
          <w:szCs w:val="28"/>
        </w:rPr>
        <w:t>исунок 51</w:t>
      </w:r>
      <w:r w:rsidRPr="004135FE">
        <w:rPr>
          <w:rFonts w:ascii="Times New Roman" w:hAnsi="Times New Roman" w:cs="Times New Roman"/>
          <w:sz w:val="28"/>
          <w:szCs w:val="28"/>
        </w:rPr>
        <w:t>). По результату опроса, 25,7% эндокринологов ответили положительно, 10,0% - пациентов подтвердили, что им давали направление на данный вид анализа (</w:t>
      </w:r>
      <w:r w:rsidRPr="004135FE">
        <w:rPr>
          <w:rFonts w:ascii="Times New Roman" w:hAnsi="Times New Roman" w:cs="Times New Roman"/>
          <w:sz w:val="28"/>
          <w:szCs w:val="28"/>
          <w:lang w:val="en-US"/>
        </w:rPr>
        <w:t>p</w:t>
      </w:r>
      <w:r w:rsidRPr="004135FE">
        <w:rPr>
          <w:rFonts w:ascii="Times New Roman" w:hAnsi="Times New Roman" w:cs="Times New Roman"/>
          <w:sz w:val="28"/>
          <w:szCs w:val="28"/>
        </w:rPr>
        <w:t xml:space="preserve">=0.001). </w:t>
      </w:r>
    </w:p>
    <w:p w14:paraId="40672F9A" w14:textId="77777777" w:rsidR="007A2C38" w:rsidRPr="004135FE" w:rsidRDefault="007A2C38" w:rsidP="007C7F37">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45,7% - эндокринологов и 28,3% пациентов не помнят про направление на анализ для определения генетических маркеров СД2т. 17,1% врачей утвердили, что нет такого анализа в Казахстане и 11,4%- не направляли на определения генетических маркеров СД2типа.</w:t>
      </w:r>
    </w:p>
    <w:p w14:paraId="519A0B93" w14:textId="77777777" w:rsidR="007A2C38" w:rsidRPr="004135FE" w:rsidRDefault="007A2C38" w:rsidP="007C7F37">
      <w:pPr>
        <w:spacing w:after="0" w:line="240" w:lineRule="auto"/>
        <w:ind w:firstLine="709"/>
        <w:jc w:val="both"/>
        <w:rPr>
          <w:rFonts w:ascii="Times New Roman" w:hAnsi="Times New Roman" w:cs="Times New Roman"/>
          <w:b/>
          <w:sz w:val="28"/>
          <w:szCs w:val="28"/>
        </w:rPr>
      </w:pPr>
      <w:r w:rsidRPr="004135FE">
        <w:rPr>
          <w:rFonts w:ascii="Times New Roman" w:hAnsi="Times New Roman" w:cs="Times New Roman"/>
          <w:sz w:val="28"/>
          <w:szCs w:val="28"/>
        </w:rPr>
        <w:t>В ходе разъяснительной работы во время опроса среди пациентов, были получены ответы - 41,5% нет, что не было такого направления и 20,2% - впервые слышали про такой вид анализа.</w:t>
      </w:r>
    </w:p>
    <w:p w14:paraId="1DBADE12" w14:textId="77777777" w:rsidR="007A2C38" w:rsidRPr="004135FE" w:rsidRDefault="007A2C38" w:rsidP="004135FE">
      <w:pPr>
        <w:spacing w:after="0" w:line="240" w:lineRule="auto"/>
        <w:ind w:firstLine="708"/>
        <w:jc w:val="both"/>
        <w:rPr>
          <w:rFonts w:ascii="Times New Roman" w:hAnsi="Times New Roman" w:cs="Times New Roman"/>
          <w:b/>
          <w:sz w:val="28"/>
          <w:szCs w:val="28"/>
        </w:rPr>
      </w:pPr>
      <w:r w:rsidRPr="004135FE">
        <w:rPr>
          <w:rFonts w:ascii="Times New Roman" w:hAnsi="Times New Roman" w:cs="Times New Roman"/>
          <w:sz w:val="28"/>
          <w:szCs w:val="28"/>
        </w:rPr>
        <w:t>На данный момент у нас в стране нет лаборатории интерпретирующий генетический анализ по СД2т.</w:t>
      </w:r>
      <w:r w:rsidRPr="004135FE">
        <w:rPr>
          <w:rFonts w:ascii="Times New Roman" w:hAnsi="Times New Roman" w:cs="Times New Roman"/>
          <w:bCs/>
          <w:sz w:val="28"/>
          <w:szCs w:val="28"/>
        </w:rPr>
        <w:t xml:space="preserve"> </w:t>
      </w:r>
      <w:r w:rsidRPr="004135FE">
        <w:rPr>
          <w:rFonts w:ascii="Times New Roman" w:hAnsi="Times New Roman" w:cs="Times New Roman"/>
          <w:sz w:val="28"/>
          <w:szCs w:val="28"/>
        </w:rPr>
        <w:t>Противоречивые ответы пациентов, могут характеризовать не осведомленность касательно своего здоровья (низкая медицинская грамотность).</w:t>
      </w:r>
    </w:p>
    <w:p w14:paraId="24E61FF3" w14:textId="77777777" w:rsidR="007A2C38" w:rsidRPr="004135FE" w:rsidRDefault="007A2C38" w:rsidP="004135FE">
      <w:pPr>
        <w:spacing w:after="0" w:line="240" w:lineRule="auto"/>
        <w:rPr>
          <w:rFonts w:ascii="Times New Roman" w:hAnsi="Times New Roman" w:cs="Times New Roman"/>
          <w:b/>
          <w:sz w:val="28"/>
          <w:szCs w:val="28"/>
        </w:rPr>
      </w:pPr>
    </w:p>
    <w:p w14:paraId="2B6464BA" w14:textId="77777777" w:rsidR="007A2C38" w:rsidRPr="004135FE" w:rsidRDefault="007A2C38" w:rsidP="004135FE">
      <w:pPr>
        <w:spacing w:after="0" w:line="240" w:lineRule="auto"/>
        <w:rPr>
          <w:rFonts w:ascii="Times New Roman" w:hAnsi="Times New Roman" w:cs="Times New Roman"/>
          <w:b/>
          <w:sz w:val="28"/>
          <w:szCs w:val="28"/>
        </w:rPr>
      </w:pPr>
      <w:r w:rsidRPr="004135FE">
        <w:rPr>
          <w:noProof/>
          <w:sz w:val="28"/>
          <w:szCs w:val="28"/>
        </w:rPr>
        <w:drawing>
          <wp:inline distT="0" distB="0" distL="0" distR="0" wp14:anchorId="31429B9B" wp14:editId="08A42FC1">
            <wp:extent cx="6002655" cy="3149600"/>
            <wp:effectExtent l="0" t="0" r="0" b="0"/>
            <wp:docPr id="141" name="Диаграмма 14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E2AA1CE" w14:textId="77777777" w:rsidR="00DE65B5" w:rsidRDefault="00DE65B5" w:rsidP="007C7F37">
      <w:pPr>
        <w:spacing w:after="0" w:line="240" w:lineRule="auto"/>
        <w:jc w:val="center"/>
        <w:rPr>
          <w:rFonts w:ascii="Times New Roman" w:hAnsi="Times New Roman" w:cs="Times New Roman"/>
          <w:sz w:val="28"/>
          <w:szCs w:val="28"/>
        </w:rPr>
      </w:pPr>
    </w:p>
    <w:p w14:paraId="4578F6EE" w14:textId="2E9DFE1E" w:rsidR="007A2C38" w:rsidRPr="004135FE" w:rsidRDefault="007A2C38" w:rsidP="007C7F37">
      <w:pPr>
        <w:spacing w:after="0" w:line="240" w:lineRule="auto"/>
        <w:jc w:val="center"/>
        <w:rPr>
          <w:rFonts w:ascii="Times New Roman" w:hAnsi="Times New Roman" w:cs="Times New Roman"/>
          <w:b/>
          <w:sz w:val="28"/>
          <w:szCs w:val="28"/>
        </w:rPr>
      </w:pPr>
      <w:r w:rsidRPr="004135FE">
        <w:rPr>
          <w:rFonts w:ascii="Times New Roman" w:hAnsi="Times New Roman" w:cs="Times New Roman"/>
          <w:sz w:val="28"/>
          <w:szCs w:val="28"/>
        </w:rPr>
        <w:t>Рисунок 51</w:t>
      </w:r>
      <w:r w:rsidRPr="004135FE">
        <w:rPr>
          <w:rFonts w:ascii="Times New Roman" w:hAnsi="Times New Roman" w:cs="Times New Roman"/>
          <w:b/>
          <w:sz w:val="28"/>
          <w:szCs w:val="28"/>
        </w:rPr>
        <w:t xml:space="preserve">- </w:t>
      </w:r>
      <w:r w:rsidRPr="004135FE">
        <w:rPr>
          <w:rFonts w:ascii="Times New Roman" w:hAnsi="Times New Roman" w:cs="Times New Roman"/>
          <w:bCs/>
          <w:sz w:val="28"/>
          <w:szCs w:val="28"/>
        </w:rPr>
        <w:t xml:space="preserve">Сопоставление ответов пациентов и врачей эндокринологов на наличие направления </w:t>
      </w:r>
      <w:r w:rsidRPr="004135FE">
        <w:rPr>
          <w:rFonts w:ascii="Times New Roman" w:hAnsi="Times New Roman" w:cs="Times New Roman"/>
          <w:sz w:val="28"/>
          <w:szCs w:val="28"/>
        </w:rPr>
        <w:t>на</w:t>
      </w:r>
      <w:r w:rsidRPr="004135FE">
        <w:rPr>
          <w:rFonts w:ascii="Times New Roman" w:hAnsi="Times New Roman" w:cs="Times New Roman"/>
          <w:sz w:val="28"/>
          <w:szCs w:val="28"/>
          <w:lang w:val="kk-KZ"/>
        </w:rPr>
        <w:t xml:space="preserve"> анализы, для определения</w:t>
      </w:r>
      <w:r w:rsidRPr="004135FE">
        <w:rPr>
          <w:rFonts w:ascii="Times New Roman" w:hAnsi="Times New Roman" w:cs="Times New Roman"/>
          <w:sz w:val="28"/>
          <w:szCs w:val="28"/>
        </w:rPr>
        <w:t xml:space="preserve"> генетических маркеров СД 2 типа</w:t>
      </w:r>
    </w:p>
    <w:p w14:paraId="4CA5ED9D" w14:textId="77777777" w:rsidR="007A2C38" w:rsidRPr="004135FE" w:rsidRDefault="007A2C38" w:rsidP="004135FE">
      <w:pPr>
        <w:spacing w:after="0" w:line="240" w:lineRule="auto"/>
        <w:rPr>
          <w:rFonts w:ascii="Times New Roman" w:hAnsi="Times New Roman" w:cs="Times New Roman"/>
          <w:b/>
          <w:sz w:val="28"/>
          <w:szCs w:val="28"/>
        </w:rPr>
      </w:pPr>
    </w:p>
    <w:p w14:paraId="1499821F" w14:textId="77777777" w:rsidR="007A2C38" w:rsidRPr="004135FE" w:rsidRDefault="007A2C38" w:rsidP="004135FE">
      <w:pPr>
        <w:spacing w:after="0" w:line="240" w:lineRule="auto"/>
        <w:ind w:firstLine="708"/>
        <w:jc w:val="both"/>
        <w:rPr>
          <w:rFonts w:ascii="Times New Roman" w:hAnsi="Times New Roman" w:cs="Times New Roman"/>
          <w:b/>
          <w:sz w:val="28"/>
          <w:szCs w:val="28"/>
        </w:rPr>
      </w:pPr>
      <w:r w:rsidRPr="004135FE">
        <w:rPr>
          <w:rFonts w:ascii="Times New Roman" w:eastAsia="Times New Roman" w:hAnsi="Times New Roman" w:cs="Times New Roman"/>
          <w:sz w:val="28"/>
          <w:szCs w:val="28"/>
        </w:rPr>
        <w:t xml:space="preserve">На вопрос «Было ли проведено и кем проводится индивидуальный подбор ФА с учетом противопоказании и мер предосторожностей?» были получены не однозначные ответы (Рисунок 52). </w:t>
      </w:r>
      <w:r w:rsidRPr="004135FE">
        <w:rPr>
          <w:rFonts w:ascii="Times New Roman" w:hAnsi="Times New Roman" w:cs="Times New Roman"/>
          <w:sz w:val="28"/>
          <w:szCs w:val="28"/>
        </w:rPr>
        <w:t>61,7% пациентов и 8,6% врачей эндокринологов подтвердили, что никем не проводится подбор ФА</w:t>
      </w:r>
      <w:r w:rsidRPr="004135FE">
        <w:rPr>
          <w:rFonts w:ascii="Times New Roman" w:eastAsia="Times New Roman" w:hAnsi="Times New Roman" w:cs="Times New Roman"/>
          <w:sz w:val="28"/>
          <w:szCs w:val="28"/>
        </w:rPr>
        <w:t xml:space="preserve"> с учетом противопоказании и мер предосторожностей. По мнению </w:t>
      </w:r>
      <w:r w:rsidRPr="004135FE">
        <w:rPr>
          <w:rFonts w:ascii="Times New Roman" w:hAnsi="Times New Roman" w:cs="Times New Roman"/>
          <w:sz w:val="28"/>
          <w:szCs w:val="28"/>
        </w:rPr>
        <w:t>40,0% врачей</w:t>
      </w:r>
      <w:r w:rsidRPr="004135FE">
        <w:rPr>
          <w:rFonts w:ascii="Times New Roman" w:eastAsia="Times New Roman" w:hAnsi="Times New Roman" w:cs="Times New Roman"/>
          <w:sz w:val="28"/>
          <w:szCs w:val="28"/>
        </w:rPr>
        <w:t xml:space="preserve"> эндокринологов предполагают, что </w:t>
      </w:r>
      <w:r w:rsidRPr="004135FE">
        <w:rPr>
          <w:rFonts w:ascii="Times New Roman" w:hAnsi="Times New Roman" w:cs="Times New Roman"/>
          <w:sz w:val="28"/>
          <w:szCs w:val="28"/>
        </w:rPr>
        <w:t>пациенты подбирают ФА самостоятельно, опираясь полученным знаниям от Школы диабета, однако только 6,0% пациентов подтвердили по полученным ответам. По мнению 8,6% эндокринологов и 7,3% пациентов этим вопросом занимаются врачи кардиологи. Участие медсестры эндокринолога по мнению 42,9% врачей эндокринологов переоценена, так как всего 2,7% пациентами было подтверждено. 22,3% пациентов получают рекомендацию по ФА от разных специалистов (</w:t>
      </w:r>
      <w:r w:rsidRPr="004135FE">
        <w:rPr>
          <w:rFonts w:ascii="Times New Roman" w:hAnsi="Times New Roman" w:cs="Times New Roman"/>
          <w:sz w:val="28"/>
          <w:szCs w:val="28"/>
          <w:lang w:val="en-US"/>
        </w:rPr>
        <w:t>p</w:t>
      </w:r>
      <w:r w:rsidRPr="004135FE">
        <w:rPr>
          <w:rFonts w:ascii="Times New Roman" w:hAnsi="Times New Roman" w:cs="Times New Roman"/>
          <w:sz w:val="28"/>
          <w:szCs w:val="28"/>
        </w:rPr>
        <w:t>=0,001).</w:t>
      </w:r>
    </w:p>
    <w:p w14:paraId="602189D2" w14:textId="77777777" w:rsidR="007A2C38" w:rsidRPr="004135FE" w:rsidRDefault="007A2C38" w:rsidP="004135FE">
      <w:pPr>
        <w:spacing w:after="0" w:line="240" w:lineRule="auto"/>
        <w:jc w:val="both"/>
        <w:rPr>
          <w:rFonts w:ascii="Times New Roman" w:hAnsi="Times New Roman" w:cs="Times New Roman"/>
          <w:sz w:val="28"/>
          <w:szCs w:val="28"/>
        </w:rPr>
      </w:pPr>
    </w:p>
    <w:p w14:paraId="01B11DBA" w14:textId="77777777" w:rsidR="007A2C38" w:rsidRPr="004135FE" w:rsidRDefault="007A2C38" w:rsidP="00AF004A">
      <w:pPr>
        <w:spacing w:after="0" w:line="240" w:lineRule="auto"/>
        <w:jc w:val="center"/>
        <w:rPr>
          <w:rFonts w:ascii="Times New Roman" w:hAnsi="Times New Roman" w:cs="Times New Roman"/>
          <w:sz w:val="28"/>
          <w:szCs w:val="28"/>
        </w:rPr>
      </w:pPr>
      <w:r w:rsidRPr="004135FE">
        <w:rPr>
          <w:rFonts w:ascii="Times New Roman" w:hAnsi="Times New Roman" w:cs="Times New Roman"/>
          <w:noProof/>
          <w:sz w:val="28"/>
          <w:szCs w:val="28"/>
        </w:rPr>
        <w:drawing>
          <wp:inline distT="0" distB="0" distL="0" distR="0" wp14:anchorId="4F56AC32" wp14:editId="5130EE36">
            <wp:extent cx="5725885" cy="2797629"/>
            <wp:effectExtent l="0" t="0" r="8255" b="317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F94C85E" w14:textId="77777777" w:rsidR="007C7F37" w:rsidRDefault="007C7F37" w:rsidP="007C7F37">
      <w:pPr>
        <w:tabs>
          <w:tab w:val="center" w:pos="5515"/>
        </w:tabs>
        <w:autoSpaceDE w:val="0"/>
        <w:autoSpaceDN w:val="0"/>
        <w:adjustRightInd w:val="0"/>
        <w:spacing w:after="0" w:line="240" w:lineRule="auto"/>
        <w:jc w:val="center"/>
        <w:rPr>
          <w:rFonts w:ascii="Times New Roman" w:eastAsia="Times New Roman" w:hAnsi="Times New Roman" w:cs="Times New Roman"/>
          <w:sz w:val="28"/>
          <w:szCs w:val="28"/>
        </w:rPr>
      </w:pPr>
    </w:p>
    <w:p w14:paraId="02CE1349" w14:textId="7C1653AB" w:rsidR="007A2C38" w:rsidRPr="004135FE" w:rsidRDefault="007A2C38" w:rsidP="007C7F37">
      <w:pPr>
        <w:tabs>
          <w:tab w:val="center" w:pos="5515"/>
        </w:tabs>
        <w:autoSpaceDE w:val="0"/>
        <w:autoSpaceDN w:val="0"/>
        <w:adjustRightInd w:val="0"/>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Рисунок 52 - </w:t>
      </w:r>
      <w:r w:rsidRPr="004135FE">
        <w:rPr>
          <w:rFonts w:ascii="Times New Roman" w:hAnsi="Times New Roman" w:cs="Times New Roman"/>
          <w:bCs/>
          <w:sz w:val="28"/>
          <w:szCs w:val="28"/>
        </w:rPr>
        <w:t>Сопоставление ответов врачей и пациентов на наличие</w:t>
      </w:r>
      <w:r w:rsidRPr="004135FE">
        <w:rPr>
          <w:rFonts w:ascii="Times New Roman" w:eastAsia="Times New Roman" w:hAnsi="Times New Roman" w:cs="Times New Roman"/>
          <w:sz w:val="28"/>
          <w:szCs w:val="28"/>
        </w:rPr>
        <w:t xml:space="preserve"> проведения индивидуального подбора ФА с учетом противопоказании и мер предосторожностей</w:t>
      </w:r>
    </w:p>
    <w:p w14:paraId="36C6792A" w14:textId="77777777" w:rsidR="007A2C38" w:rsidRPr="004135FE" w:rsidRDefault="007A2C38" w:rsidP="004135FE">
      <w:pPr>
        <w:tabs>
          <w:tab w:val="center" w:pos="5515"/>
        </w:tabs>
        <w:autoSpaceDE w:val="0"/>
        <w:autoSpaceDN w:val="0"/>
        <w:adjustRightInd w:val="0"/>
        <w:spacing w:after="0" w:line="240" w:lineRule="auto"/>
        <w:jc w:val="both"/>
        <w:rPr>
          <w:rFonts w:ascii="Times New Roman" w:eastAsia="Times New Roman" w:hAnsi="Times New Roman" w:cs="Times New Roman"/>
          <w:sz w:val="28"/>
          <w:szCs w:val="28"/>
        </w:rPr>
      </w:pPr>
    </w:p>
    <w:p w14:paraId="77232015" w14:textId="77777777" w:rsidR="007A2C38" w:rsidRPr="004135FE" w:rsidRDefault="007A2C38" w:rsidP="004135FE">
      <w:pPr>
        <w:spacing w:after="0" w:line="240" w:lineRule="auto"/>
        <w:ind w:firstLine="567"/>
        <w:jc w:val="both"/>
        <w:rPr>
          <w:rFonts w:ascii="Times New Roman" w:eastAsia="Times New Roman" w:hAnsi="Times New Roman" w:cs="Times New Roman"/>
          <w:sz w:val="28"/>
          <w:szCs w:val="28"/>
        </w:rPr>
      </w:pPr>
      <w:r w:rsidRPr="007C7F37">
        <w:rPr>
          <w:rFonts w:ascii="Times New Roman" w:hAnsi="Times New Roman" w:cs="Times New Roman"/>
          <w:bCs/>
          <w:sz w:val="28"/>
          <w:szCs w:val="28"/>
        </w:rPr>
        <w:t>Таким образом</w:t>
      </w:r>
      <w:r w:rsidRPr="004135FE">
        <w:rPr>
          <w:rFonts w:ascii="Times New Roman" w:hAnsi="Times New Roman" w:cs="Times New Roman"/>
          <w:b/>
          <w:sz w:val="28"/>
          <w:szCs w:val="28"/>
        </w:rPr>
        <w:t xml:space="preserve"> </w:t>
      </w:r>
      <w:r w:rsidRPr="004135FE">
        <w:rPr>
          <w:rFonts w:ascii="Times New Roman" w:hAnsi="Times New Roman" w:cs="Times New Roman"/>
          <w:sz w:val="28"/>
          <w:szCs w:val="28"/>
        </w:rPr>
        <w:t xml:space="preserve">выявлено, что у </w:t>
      </w:r>
      <w:r w:rsidRPr="004135FE">
        <w:rPr>
          <w:rFonts w:ascii="Times New Roman" w:eastAsia="Times New Roman" w:hAnsi="Times New Roman" w:cs="Times New Roman"/>
          <w:sz w:val="28"/>
          <w:szCs w:val="28"/>
        </w:rPr>
        <w:t xml:space="preserve">половины респондентов состояние гипергликемии определены при профилактическом осмотре. Выявлению СД2т способствовали так же диспансеризации по АГ 16,46%, обострения простудных заболевании </w:t>
      </w:r>
      <w:r w:rsidRPr="004135FE">
        <w:rPr>
          <w:rFonts w:ascii="Times New Roman" w:eastAsia="Times New Roman" w:hAnsi="Times New Roman" w:cs="Times New Roman"/>
          <w:color w:val="000000"/>
          <w:sz w:val="28"/>
          <w:szCs w:val="28"/>
        </w:rPr>
        <w:t xml:space="preserve">6,25%, </w:t>
      </w:r>
      <w:r w:rsidRPr="004135FE">
        <w:rPr>
          <w:rFonts w:ascii="Times New Roman" w:eastAsia="Times New Roman" w:hAnsi="Times New Roman" w:cs="Times New Roman"/>
          <w:sz w:val="28"/>
          <w:szCs w:val="28"/>
        </w:rPr>
        <w:t xml:space="preserve">после хирургических вмешательств </w:t>
      </w:r>
      <w:r w:rsidRPr="004135FE">
        <w:rPr>
          <w:rFonts w:ascii="Times New Roman" w:eastAsia="Times New Roman" w:hAnsi="Times New Roman" w:cs="Times New Roman"/>
          <w:color w:val="000000"/>
          <w:sz w:val="28"/>
          <w:szCs w:val="28"/>
        </w:rPr>
        <w:t xml:space="preserve">5,42%, </w:t>
      </w:r>
      <w:r w:rsidRPr="004135FE">
        <w:rPr>
          <w:rFonts w:ascii="Times New Roman" w:eastAsia="Times New Roman" w:hAnsi="Times New Roman" w:cs="Times New Roman"/>
          <w:sz w:val="28"/>
          <w:szCs w:val="28"/>
        </w:rPr>
        <w:t>при подготовке к зачатию ребенка 3,13%.</w:t>
      </w:r>
    </w:p>
    <w:p w14:paraId="43803378" w14:textId="4477208D" w:rsidR="007A2C38" w:rsidRPr="004135FE" w:rsidRDefault="007A2C38" w:rsidP="008733A5">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Статистический значимо, что только 28,5% врачей и 61,7% осведомлены о генетических маркерах СД2т.</w:t>
      </w:r>
      <w:r w:rsidR="008733A5">
        <w:rPr>
          <w:rFonts w:ascii="Times New Roman" w:hAnsi="Times New Roman" w:cs="Times New Roman"/>
          <w:sz w:val="28"/>
          <w:szCs w:val="28"/>
        </w:rPr>
        <w:t xml:space="preserve"> </w:t>
      </w:r>
      <w:r w:rsidRPr="004135FE">
        <w:rPr>
          <w:rFonts w:ascii="Times New Roman" w:hAnsi="Times New Roman" w:cs="Times New Roman"/>
          <w:sz w:val="28"/>
          <w:szCs w:val="28"/>
        </w:rPr>
        <w:t>Согласно ответам 61,7% пациентов и 8,6% врачей эндокринологов никем не проводится подбор ФА</w:t>
      </w:r>
      <w:r w:rsidRPr="004135FE">
        <w:rPr>
          <w:rFonts w:ascii="Times New Roman" w:eastAsia="Times New Roman" w:hAnsi="Times New Roman" w:cs="Times New Roman"/>
          <w:sz w:val="28"/>
          <w:szCs w:val="28"/>
        </w:rPr>
        <w:t xml:space="preserve"> с учетом противопоказании и мер предосторожностей. Участие Школы диабета при подборе ФА врачи оценили на 40,0%, в то время по словам респондентов составила всего 6,0%</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p</w:t>
      </w:r>
      <w:r w:rsidRPr="004135FE">
        <w:rPr>
          <w:rFonts w:ascii="Times New Roman" w:hAnsi="Times New Roman" w:cs="Times New Roman"/>
          <w:sz w:val="28"/>
          <w:szCs w:val="28"/>
        </w:rPr>
        <w:t>=0,001).</w:t>
      </w:r>
      <w:r w:rsidR="008733A5">
        <w:rPr>
          <w:rFonts w:ascii="Times New Roman" w:hAnsi="Times New Roman" w:cs="Times New Roman"/>
          <w:sz w:val="28"/>
          <w:szCs w:val="28"/>
        </w:rPr>
        <w:t xml:space="preserve"> </w:t>
      </w:r>
      <w:r w:rsidRPr="007C7F37">
        <w:rPr>
          <w:rFonts w:ascii="Times New Roman" w:hAnsi="Times New Roman" w:cs="Times New Roman"/>
          <w:bCs/>
          <w:i/>
          <w:iCs/>
          <w:sz w:val="28"/>
          <w:szCs w:val="28"/>
        </w:rPr>
        <w:t xml:space="preserve">Качество обслуживания населения </w:t>
      </w:r>
      <w:r w:rsidR="002C54BB" w:rsidRPr="007C7F37">
        <w:rPr>
          <w:rFonts w:ascii="Times New Roman" w:hAnsi="Times New Roman" w:cs="Times New Roman"/>
          <w:bCs/>
          <w:i/>
          <w:iCs/>
          <w:sz w:val="28"/>
          <w:szCs w:val="28"/>
        </w:rPr>
        <w:t>с</w:t>
      </w:r>
      <w:r w:rsidRPr="007C7F37">
        <w:rPr>
          <w:rFonts w:ascii="Times New Roman" w:hAnsi="Times New Roman" w:cs="Times New Roman"/>
          <w:bCs/>
          <w:i/>
          <w:iCs/>
          <w:sz w:val="28"/>
          <w:szCs w:val="28"/>
        </w:rPr>
        <w:t xml:space="preserve"> СД2т: удовлетворенность, обеспеченность лекарственными средствами и медицинскими изделиями</w:t>
      </w:r>
      <w:r w:rsidR="008733A5">
        <w:rPr>
          <w:rFonts w:ascii="Times New Roman" w:hAnsi="Times New Roman" w:cs="Times New Roman"/>
          <w:bCs/>
          <w:i/>
          <w:iCs/>
          <w:sz w:val="28"/>
          <w:szCs w:val="28"/>
        </w:rPr>
        <w:t xml:space="preserve">. </w:t>
      </w:r>
      <w:r w:rsidRPr="004135FE">
        <w:rPr>
          <w:rFonts w:ascii="Times New Roman" w:hAnsi="Times New Roman" w:cs="Times New Roman"/>
          <w:bCs/>
          <w:sz w:val="28"/>
          <w:szCs w:val="28"/>
        </w:rPr>
        <w:t xml:space="preserve">Среди всех опрошенных 49,0% получили глюкометр и тест полоски на бесплатной основе, согласно №666 приказу. 97,5% находящихся на базисно-болюсной инсулинотерапии и 95,6% комбинация таблетки с инсулином обеспечены на бесплатной основе приборами измерения глюкозы крови. Приобрели сами </w:t>
      </w:r>
      <w:r w:rsidRPr="004135FE">
        <w:rPr>
          <w:rFonts w:ascii="Times New Roman" w:hAnsi="Times New Roman" w:cs="Times New Roman"/>
          <w:sz w:val="28"/>
          <w:szCs w:val="28"/>
        </w:rPr>
        <w:t xml:space="preserve">48,8% пациентов и 40,7% не имеют глюкометра, получающих терапию из одного препарата в виде таблетки (χ2=339,158, df=8, p=0,0001). По данному приказу глюкометр и тест- полоски выдаются только при назначениях инсулинотерапии, что подтверждает проведенный нами опрос. </w:t>
      </w:r>
      <w:r w:rsidRPr="004135FE">
        <w:rPr>
          <w:rFonts w:ascii="Times New Roman" w:hAnsi="Times New Roman" w:cs="Times New Roman"/>
          <w:bCs/>
          <w:sz w:val="28"/>
          <w:szCs w:val="28"/>
        </w:rPr>
        <w:t xml:space="preserve">Так же состав лечения влияет на действие пациента, при отсутствии назначенных ему ЛС. </w:t>
      </w:r>
      <w:r w:rsidRPr="004135FE">
        <w:rPr>
          <w:rFonts w:ascii="Times New Roman" w:hAnsi="Times New Roman" w:cs="Times New Roman"/>
          <w:sz w:val="28"/>
          <w:szCs w:val="28"/>
        </w:rPr>
        <w:t xml:space="preserve">В случае, если в аптеке поликлиники отсутствуют назначенные эндокринологом ЛС, 70,0% - пациентов СД2т на терапии из комбинации таблетки+инсулин берут аналог, который идентичен по составу.  65,0% - пациентов, получающих инсулин короткого и продленного действия, 58,8% - получающих лечение из комбинации препаратов в виде таблеток согласны брать аналог. 27,5% - пациентов получающие лечение из комбинации инсулинов короткого и продленного действия не берут аналоги, дожидаясь поступления препаратов. 32,5% пациентов на лечении состоящий из 1 препарата предпочитают купить лекарство, если имеется только аналог назначенного препарата. (χ2=54,022, df=12, p=0,0001). </w:t>
      </w:r>
    </w:p>
    <w:p w14:paraId="3AB5C34D" w14:textId="77777777" w:rsidR="00185C75" w:rsidRPr="00575EFF" w:rsidRDefault="00185C75" w:rsidP="00185C75">
      <w:pPr>
        <w:autoSpaceDE w:val="0"/>
        <w:autoSpaceDN w:val="0"/>
        <w:adjustRightInd w:val="0"/>
        <w:spacing w:after="0" w:line="240" w:lineRule="auto"/>
        <w:jc w:val="both"/>
        <w:rPr>
          <w:rFonts w:ascii="Times New Roman" w:hAnsi="Times New Roman" w:cs="Times New Roman"/>
          <w:b/>
          <w:bCs/>
          <w:sz w:val="16"/>
          <w:szCs w:val="16"/>
        </w:rPr>
      </w:pPr>
    </w:p>
    <w:p w14:paraId="12F9CAE4" w14:textId="3B866134" w:rsidR="00AF004A" w:rsidRPr="004135FE" w:rsidRDefault="00AF004A" w:rsidP="00AF004A">
      <w:pPr>
        <w:tabs>
          <w:tab w:val="left" w:pos="142"/>
        </w:tabs>
        <w:spacing w:after="0" w:line="240" w:lineRule="auto"/>
        <w:jc w:val="both"/>
        <w:rPr>
          <w:rFonts w:ascii="Times New Roman" w:hAnsi="Times New Roman" w:cs="Times New Roman"/>
          <w:b/>
          <w:sz w:val="28"/>
          <w:szCs w:val="28"/>
        </w:rPr>
      </w:pPr>
      <w:r w:rsidRPr="004135FE">
        <w:rPr>
          <w:rFonts w:ascii="Times New Roman" w:hAnsi="Times New Roman" w:cs="Times New Roman"/>
          <w:sz w:val="28"/>
          <w:szCs w:val="28"/>
        </w:rPr>
        <w:t>Таблица</w:t>
      </w:r>
      <w:r w:rsidRPr="004135FE">
        <w:rPr>
          <w:rFonts w:ascii="Times New Roman" w:hAnsi="Times New Roman" w:cs="Times New Roman"/>
          <w:b/>
          <w:sz w:val="28"/>
          <w:szCs w:val="28"/>
        </w:rPr>
        <w:t xml:space="preserve"> </w:t>
      </w:r>
      <w:r w:rsidRPr="004135FE">
        <w:rPr>
          <w:rFonts w:ascii="Times New Roman" w:hAnsi="Times New Roman" w:cs="Times New Roman"/>
          <w:bCs/>
          <w:sz w:val="28"/>
          <w:szCs w:val="28"/>
        </w:rPr>
        <w:t>44- Взаимосвязь состава лечения и обеспеченности</w:t>
      </w:r>
    </w:p>
    <w:tbl>
      <w:tblPr>
        <w:tblStyle w:val="af9"/>
        <w:tblpPr w:leftFromText="180" w:rightFromText="180" w:vertAnchor="text" w:horzAnchor="margin" w:tblpY="45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4"/>
        <w:gridCol w:w="27"/>
        <w:gridCol w:w="1559"/>
        <w:gridCol w:w="9"/>
        <w:gridCol w:w="1125"/>
        <w:gridCol w:w="24"/>
        <w:gridCol w:w="1394"/>
        <w:gridCol w:w="44"/>
        <w:gridCol w:w="1196"/>
        <w:gridCol w:w="36"/>
        <w:gridCol w:w="1427"/>
        <w:gridCol w:w="1259"/>
      </w:tblGrid>
      <w:tr w:rsidR="00CF7F26" w:rsidRPr="007C7F37" w14:paraId="0ACF759A" w14:textId="77777777" w:rsidTr="001000BE">
        <w:tc>
          <w:tcPr>
            <w:tcW w:w="1244" w:type="dxa"/>
          </w:tcPr>
          <w:p w14:paraId="28861EAE" w14:textId="1B67A9BF" w:rsidR="007A2C38" w:rsidRPr="007C7F37" w:rsidRDefault="009C3009" w:rsidP="00185C75">
            <w:pPr>
              <w:tabs>
                <w:tab w:val="center" w:pos="6062"/>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Вариант</w:t>
            </w:r>
          </w:p>
        </w:tc>
        <w:tc>
          <w:tcPr>
            <w:tcW w:w="1595" w:type="dxa"/>
            <w:gridSpan w:val="3"/>
          </w:tcPr>
          <w:p w14:paraId="3C53D393" w14:textId="77777777" w:rsidR="007A2C38" w:rsidRPr="007C7F37" w:rsidRDefault="007A2C38" w:rsidP="00185C75">
            <w:pPr>
              <w:spacing w:after="0" w:line="240" w:lineRule="auto"/>
              <w:jc w:val="center"/>
              <w:rPr>
                <w:rFonts w:ascii="Times New Roman" w:eastAsia="Times New Roman" w:hAnsi="Times New Roman" w:cs="Times New Roman"/>
                <w:sz w:val="28"/>
                <w:szCs w:val="28"/>
              </w:rPr>
            </w:pPr>
            <w:r w:rsidRPr="007C7F37">
              <w:rPr>
                <w:rFonts w:ascii="Times New Roman" w:hAnsi="Times New Roman" w:cs="Times New Roman"/>
                <w:sz w:val="28"/>
                <w:szCs w:val="28"/>
              </w:rPr>
              <w:t>На диетотерапии</w:t>
            </w:r>
          </w:p>
        </w:tc>
        <w:tc>
          <w:tcPr>
            <w:tcW w:w="1149" w:type="dxa"/>
            <w:gridSpan w:val="2"/>
          </w:tcPr>
          <w:p w14:paraId="76E88A7C" w14:textId="77777777"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 препарат в виде таблетки</w:t>
            </w:r>
          </w:p>
        </w:tc>
        <w:tc>
          <w:tcPr>
            <w:tcW w:w="1438" w:type="dxa"/>
            <w:gridSpan w:val="2"/>
          </w:tcPr>
          <w:p w14:paraId="5215C051" w14:textId="77777777"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Комбинация препаратов в виде таблеток</w:t>
            </w:r>
          </w:p>
        </w:tc>
        <w:tc>
          <w:tcPr>
            <w:tcW w:w="1196" w:type="dxa"/>
          </w:tcPr>
          <w:p w14:paraId="3F222367" w14:textId="5F2B7DA2" w:rsidR="009C3009"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Таблетки</w:t>
            </w:r>
            <w:r w:rsidR="009C3009">
              <w:rPr>
                <w:rFonts w:ascii="Times New Roman" w:hAnsi="Times New Roman" w:cs="Times New Roman"/>
                <w:sz w:val="28"/>
                <w:szCs w:val="28"/>
              </w:rPr>
              <w:t xml:space="preserve"> </w:t>
            </w:r>
            <w:r w:rsidRPr="007C7F37">
              <w:rPr>
                <w:rFonts w:ascii="Times New Roman" w:hAnsi="Times New Roman" w:cs="Times New Roman"/>
                <w:sz w:val="28"/>
                <w:szCs w:val="28"/>
              </w:rPr>
              <w:t>+</w:t>
            </w:r>
          </w:p>
          <w:p w14:paraId="277FB446" w14:textId="587C99B9"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инсулин</w:t>
            </w:r>
          </w:p>
        </w:tc>
        <w:tc>
          <w:tcPr>
            <w:tcW w:w="1463" w:type="dxa"/>
            <w:gridSpan w:val="2"/>
          </w:tcPr>
          <w:p w14:paraId="6933BAE4" w14:textId="77777777"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Инсулины короткого и продленного действия</w:t>
            </w:r>
          </w:p>
        </w:tc>
        <w:tc>
          <w:tcPr>
            <w:tcW w:w="1259" w:type="dxa"/>
          </w:tcPr>
          <w:p w14:paraId="0095B864" w14:textId="77777777" w:rsidR="007A2C38" w:rsidRPr="007C7F37" w:rsidRDefault="007A2C38" w:rsidP="00185C75">
            <w:pPr>
              <w:spacing w:after="0" w:line="240" w:lineRule="auto"/>
              <w:jc w:val="center"/>
              <w:rPr>
                <w:rFonts w:ascii="Times New Roman" w:eastAsia="Times New Roman" w:hAnsi="Times New Roman" w:cs="Times New Roman"/>
                <w:sz w:val="28"/>
                <w:szCs w:val="28"/>
              </w:rPr>
            </w:pPr>
            <w:r w:rsidRPr="007C7F37">
              <w:rPr>
                <w:rFonts w:ascii="Times New Roman" w:eastAsia="Times New Roman" w:hAnsi="Times New Roman" w:cs="Times New Roman"/>
                <w:sz w:val="28"/>
                <w:szCs w:val="28"/>
              </w:rPr>
              <w:t>Всего</w:t>
            </w:r>
          </w:p>
        </w:tc>
      </w:tr>
      <w:tr w:rsidR="001000BE" w:rsidRPr="007C7F37" w14:paraId="4C66006B" w14:textId="77777777" w:rsidTr="001000BE">
        <w:tc>
          <w:tcPr>
            <w:tcW w:w="1244" w:type="dxa"/>
          </w:tcPr>
          <w:p w14:paraId="19D4E2DD" w14:textId="002AE1D1" w:rsidR="001000BE" w:rsidRDefault="001000BE" w:rsidP="00185C75">
            <w:pPr>
              <w:tabs>
                <w:tab w:val="center" w:pos="6062"/>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595" w:type="dxa"/>
            <w:gridSpan w:val="3"/>
          </w:tcPr>
          <w:p w14:paraId="171004DD" w14:textId="0825B358" w:rsidR="001000BE" w:rsidRPr="007C7F37" w:rsidRDefault="001000BE" w:rsidP="00185C7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149" w:type="dxa"/>
            <w:gridSpan w:val="2"/>
          </w:tcPr>
          <w:p w14:paraId="5C975E30" w14:textId="295DF516" w:rsidR="001000BE" w:rsidRPr="007C7F37" w:rsidRDefault="001000BE" w:rsidP="00185C7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438" w:type="dxa"/>
            <w:gridSpan w:val="2"/>
          </w:tcPr>
          <w:p w14:paraId="3605315A" w14:textId="1490251A" w:rsidR="001000BE" w:rsidRPr="007C7F37" w:rsidRDefault="001000BE" w:rsidP="00185C7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196" w:type="dxa"/>
          </w:tcPr>
          <w:p w14:paraId="00432257" w14:textId="78EC120C" w:rsidR="001000BE" w:rsidRPr="007C7F37" w:rsidRDefault="001000BE" w:rsidP="00185C7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463" w:type="dxa"/>
            <w:gridSpan w:val="2"/>
          </w:tcPr>
          <w:p w14:paraId="2A891283" w14:textId="7DEA1B03" w:rsidR="001000BE" w:rsidRPr="007C7F37" w:rsidRDefault="001000BE" w:rsidP="00185C7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1259" w:type="dxa"/>
          </w:tcPr>
          <w:p w14:paraId="6797FA30" w14:textId="191B42BF" w:rsidR="001000BE" w:rsidRPr="007C7F37" w:rsidRDefault="001000BE" w:rsidP="00185C75">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w:t>
            </w:r>
          </w:p>
        </w:tc>
      </w:tr>
      <w:tr w:rsidR="00CF7F26" w:rsidRPr="007C7F37" w14:paraId="62DFC64B" w14:textId="77777777" w:rsidTr="001000BE">
        <w:trPr>
          <w:trHeight w:val="608"/>
        </w:trPr>
        <w:tc>
          <w:tcPr>
            <w:tcW w:w="9344" w:type="dxa"/>
            <w:gridSpan w:val="12"/>
          </w:tcPr>
          <w:p w14:paraId="5304312F" w14:textId="245049C1" w:rsidR="00CF7F26" w:rsidRPr="007C7F37" w:rsidRDefault="00CF7F26" w:rsidP="0052168E">
            <w:pPr>
              <w:spacing w:after="0" w:line="240" w:lineRule="auto"/>
              <w:jc w:val="center"/>
              <w:rPr>
                <w:rFonts w:ascii="Times New Roman" w:eastAsia="Times New Roman" w:hAnsi="Times New Roman" w:cs="Times New Roman"/>
                <w:sz w:val="28"/>
                <w:szCs w:val="28"/>
              </w:rPr>
            </w:pPr>
            <w:r w:rsidRPr="00CF7F26">
              <w:rPr>
                <w:rFonts w:ascii="Times New Roman" w:hAnsi="Times New Roman" w:cs="Times New Roman"/>
                <w:sz w:val="24"/>
                <w:szCs w:val="24"/>
              </w:rPr>
              <w:t>У Вас есть глюкометр и тест полоски?</w:t>
            </w:r>
          </w:p>
        </w:tc>
      </w:tr>
      <w:tr w:rsidR="00CF7F26" w:rsidRPr="007C7F37" w14:paraId="530F43C3" w14:textId="77777777" w:rsidTr="001000BE">
        <w:tc>
          <w:tcPr>
            <w:tcW w:w="1244" w:type="dxa"/>
          </w:tcPr>
          <w:p w14:paraId="247DBC53" w14:textId="77777777" w:rsidR="007A2C38" w:rsidRPr="007C7F37" w:rsidRDefault="007A2C38" w:rsidP="00185C75">
            <w:pPr>
              <w:autoSpaceDE w:val="0"/>
              <w:autoSpaceDN w:val="0"/>
              <w:adjustRightInd w:val="0"/>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Да, получил(а) бесплатно</w:t>
            </w:r>
          </w:p>
        </w:tc>
        <w:tc>
          <w:tcPr>
            <w:tcW w:w="1595" w:type="dxa"/>
            <w:gridSpan w:val="3"/>
          </w:tcPr>
          <w:p w14:paraId="28D6D1CD" w14:textId="77777777" w:rsidR="000F417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7</w:t>
            </w:r>
          </w:p>
          <w:p w14:paraId="06AE891C" w14:textId="27F6242E" w:rsidR="007A2C38" w:rsidRPr="007C7F37" w:rsidRDefault="007A2C38" w:rsidP="00185C75">
            <w:pPr>
              <w:spacing w:after="0" w:line="240" w:lineRule="auto"/>
              <w:jc w:val="center"/>
              <w:rPr>
                <w:rFonts w:ascii="Times New Roman" w:eastAsia="Times New Roman" w:hAnsi="Times New Roman" w:cs="Times New Roman"/>
                <w:sz w:val="28"/>
                <w:szCs w:val="28"/>
              </w:rPr>
            </w:pPr>
            <w:r w:rsidRPr="007C7F37">
              <w:rPr>
                <w:rFonts w:ascii="Times New Roman" w:hAnsi="Times New Roman" w:cs="Times New Roman"/>
                <w:sz w:val="28"/>
                <w:szCs w:val="28"/>
              </w:rPr>
              <w:t>(33,3%)</w:t>
            </w:r>
          </w:p>
        </w:tc>
        <w:tc>
          <w:tcPr>
            <w:tcW w:w="1149" w:type="dxa"/>
            <w:gridSpan w:val="2"/>
          </w:tcPr>
          <w:p w14:paraId="0964D3AE" w14:textId="77777777" w:rsidR="000F417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13</w:t>
            </w:r>
          </w:p>
          <w:p w14:paraId="70CE9930" w14:textId="543B7E30"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(10,6%)</w:t>
            </w:r>
          </w:p>
        </w:tc>
        <w:tc>
          <w:tcPr>
            <w:tcW w:w="1438" w:type="dxa"/>
            <w:gridSpan w:val="2"/>
          </w:tcPr>
          <w:p w14:paraId="7444851E" w14:textId="77777777" w:rsidR="000F417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23</w:t>
            </w:r>
          </w:p>
          <w:p w14:paraId="40D7B21C" w14:textId="7C195E53"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(16,9%)</w:t>
            </w:r>
          </w:p>
        </w:tc>
        <w:tc>
          <w:tcPr>
            <w:tcW w:w="1196" w:type="dxa"/>
          </w:tcPr>
          <w:p w14:paraId="2454866B" w14:textId="77777777" w:rsidR="000F417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153</w:t>
            </w:r>
          </w:p>
          <w:p w14:paraId="2DD8B6C3" w14:textId="03B3D08E"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(95,6%)</w:t>
            </w:r>
          </w:p>
        </w:tc>
        <w:tc>
          <w:tcPr>
            <w:tcW w:w="1463" w:type="dxa"/>
            <w:gridSpan w:val="2"/>
          </w:tcPr>
          <w:p w14:paraId="22C2E738" w14:textId="77777777" w:rsidR="000F417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39</w:t>
            </w:r>
          </w:p>
          <w:p w14:paraId="6DE82177" w14:textId="59B57E80"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(97,5%)</w:t>
            </w:r>
          </w:p>
        </w:tc>
        <w:tc>
          <w:tcPr>
            <w:tcW w:w="1259" w:type="dxa"/>
          </w:tcPr>
          <w:p w14:paraId="1C591DE3" w14:textId="77777777" w:rsidR="000F417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235</w:t>
            </w:r>
          </w:p>
          <w:p w14:paraId="7D58CF22" w14:textId="2A2D0658"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(49,0%)</w:t>
            </w:r>
          </w:p>
        </w:tc>
      </w:tr>
      <w:tr w:rsidR="00CF7F26" w:rsidRPr="007C7F37" w14:paraId="5C5FD491" w14:textId="77777777" w:rsidTr="001000BE">
        <w:tc>
          <w:tcPr>
            <w:tcW w:w="1244" w:type="dxa"/>
          </w:tcPr>
          <w:p w14:paraId="73D4FF5C" w14:textId="77777777" w:rsidR="000F4177" w:rsidRDefault="007A2C38" w:rsidP="00185C75">
            <w:pPr>
              <w:tabs>
                <w:tab w:val="center" w:pos="6062"/>
              </w:tabs>
              <w:autoSpaceDE w:val="0"/>
              <w:autoSpaceDN w:val="0"/>
              <w:adjustRightInd w:val="0"/>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Да, сам(а) купил</w:t>
            </w:r>
          </w:p>
          <w:p w14:paraId="0BA765C9" w14:textId="31250246" w:rsidR="007A2C38" w:rsidRPr="007C7F37" w:rsidRDefault="007A2C38" w:rsidP="00185C75">
            <w:pPr>
              <w:tabs>
                <w:tab w:val="center" w:pos="6062"/>
              </w:tabs>
              <w:autoSpaceDE w:val="0"/>
              <w:autoSpaceDN w:val="0"/>
              <w:adjustRightInd w:val="0"/>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(а)</w:t>
            </w:r>
          </w:p>
        </w:tc>
        <w:tc>
          <w:tcPr>
            <w:tcW w:w="1595" w:type="dxa"/>
            <w:gridSpan w:val="3"/>
          </w:tcPr>
          <w:p w14:paraId="67D07058" w14:textId="77777777" w:rsidR="000F417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7</w:t>
            </w:r>
          </w:p>
          <w:p w14:paraId="2FF8909C" w14:textId="687EE97E"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(33,3%)</w:t>
            </w:r>
          </w:p>
        </w:tc>
        <w:tc>
          <w:tcPr>
            <w:tcW w:w="1149" w:type="dxa"/>
            <w:gridSpan w:val="2"/>
          </w:tcPr>
          <w:p w14:paraId="4DB65F9D" w14:textId="77777777" w:rsidR="000F417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60</w:t>
            </w:r>
          </w:p>
          <w:p w14:paraId="6DD07A2D" w14:textId="5FE42042"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(48,8%)</w:t>
            </w:r>
          </w:p>
        </w:tc>
        <w:tc>
          <w:tcPr>
            <w:tcW w:w="1438" w:type="dxa"/>
            <w:gridSpan w:val="2"/>
          </w:tcPr>
          <w:p w14:paraId="13A5EF90" w14:textId="77777777" w:rsidR="000F417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91</w:t>
            </w:r>
          </w:p>
          <w:p w14:paraId="71EBF174" w14:textId="50CAEAFE"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(66,9%)</w:t>
            </w:r>
          </w:p>
        </w:tc>
        <w:tc>
          <w:tcPr>
            <w:tcW w:w="1196" w:type="dxa"/>
          </w:tcPr>
          <w:p w14:paraId="0660F606" w14:textId="77777777" w:rsidR="000F417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6</w:t>
            </w:r>
          </w:p>
          <w:p w14:paraId="039AD892" w14:textId="446C3603"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(3,8%)</w:t>
            </w:r>
          </w:p>
        </w:tc>
        <w:tc>
          <w:tcPr>
            <w:tcW w:w="1463" w:type="dxa"/>
            <w:gridSpan w:val="2"/>
          </w:tcPr>
          <w:p w14:paraId="7E9C1205" w14:textId="77777777" w:rsidR="000F417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w:t>
            </w:r>
          </w:p>
          <w:p w14:paraId="6672FC07" w14:textId="55FDA47C"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(2,5%)</w:t>
            </w:r>
          </w:p>
        </w:tc>
        <w:tc>
          <w:tcPr>
            <w:tcW w:w="1259" w:type="dxa"/>
          </w:tcPr>
          <w:p w14:paraId="195B133C" w14:textId="77777777" w:rsidR="000F417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165</w:t>
            </w:r>
          </w:p>
          <w:p w14:paraId="643B9213" w14:textId="21DC3E9F"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(34,4%)</w:t>
            </w:r>
          </w:p>
        </w:tc>
      </w:tr>
      <w:tr w:rsidR="00CF7F26" w:rsidRPr="007C7F37" w14:paraId="502CB9CE" w14:textId="77777777" w:rsidTr="001000BE">
        <w:trPr>
          <w:trHeight w:val="181"/>
        </w:trPr>
        <w:tc>
          <w:tcPr>
            <w:tcW w:w="1244" w:type="dxa"/>
          </w:tcPr>
          <w:p w14:paraId="636AAD91" w14:textId="77777777" w:rsidR="007A2C38" w:rsidRPr="007C7F37" w:rsidRDefault="007A2C38" w:rsidP="00185C75">
            <w:pPr>
              <w:tabs>
                <w:tab w:val="center" w:pos="6062"/>
              </w:tabs>
              <w:autoSpaceDE w:val="0"/>
              <w:autoSpaceDN w:val="0"/>
              <w:adjustRightInd w:val="0"/>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нет</w:t>
            </w:r>
          </w:p>
        </w:tc>
        <w:tc>
          <w:tcPr>
            <w:tcW w:w="1595" w:type="dxa"/>
            <w:gridSpan w:val="3"/>
          </w:tcPr>
          <w:p w14:paraId="7435A7DD" w14:textId="77777777" w:rsidR="000F417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7</w:t>
            </w:r>
          </w:p>
          <w:p w14:paraId="0E918D4A" w14:textId="4975D0C1" w:rsidR="007A2C38" w:rsidRPr="007C7F37" w:rsidRDefault="007A2C38" w:rsidP="000F4177">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(33,3%)</w:t>
            </w:r>
          </w:p>
        </w:tc>
        <w:tc>
          <w:tcPr>
            <w:tcW w:w="1149" w:type="dxa"/>
            <w:gridSpan w:val="2"/>
          </w:tcPr>
          <w:p w14:paraId="0702286B" w14:textId="77777777" w:rsidR="000F417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50</w:t>
            </w:r>
          </w:p>
          <w:p w14:paraId="00E5FBCC" w14:textId="47D6658A"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(40,7%)</w:t>
            </w:r>
          </w:p>
        </w:tc>
        <w:tc>
          <w:tcPr>
            <w:tcW w:w="1438" w:type="dxa"/>
            <w:gridSpan w:val="2"/>
          </w:tcPr>
          <w:p w14:paraId="26A0B38B" w14:textId="77777777" w:rsidR="000F417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22</w:t>
            </w:r>
          </w:p>
          <w:p w14:paraId="11F95F29" w14:textId="78D536B5"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(16,2%)</w:t>
            </w:r>
          </w:p>
        </w:tc>
        <w:tc>
          <w:tcPr>
            <w:tcW w:w="1196" w:type="dxa"/>
          </w:tcPr>
          <w:p w14:paraId="78D7146F" w14:textId="77777777" w:rsidR="000F417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w:t>
            </w:r>
          </w:p>
          <w:p w14:paraId="26C45527" w14:textId="7E14A3A6"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(0,6%)</w:t>
            </w:r>
          </w:p>
        </w:tc>
        <w:tc>
          <w:tcPr>
            <w:tcW w:w="1463" w:type="dxa"/>
            <w:gridSpan w:val="2"/>
          </w:tcPr>
          <w:p w14:paraId="6DCDC63E" w14:textId="77777777" w:rsidR="000F417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0</w:t>
            </w:r>
          </w:p>
          <w:p w14:paraId="5503936B" w14:textId="6E37CD59"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(0,0%)</w:t>
            </w:r>
          </w:p>
        </w:tc>
        <w:tc>
          <w:tcPr>
            <w:tcW w:w="1259" w:type="dxa"/>
          </w:tcPr>
          <w:p w14:paraId="18C339F2" w14:textId="77777777" w:rsidR="000F417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80</w:t>
            </w:r>
          </w:p>
          <w:p w14:paraId="053B54B1" w14:textId="0A3B1C8E"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(16,7%)</w:t>
            </w:r>
          </w:p>
        </w:tc>
      </w:tr>
      <w:tr w:rsidR="00CF7F26" w:rsidRPr="007C7F37" w14:paraId="1A77E4B4" w14:textId="77777777" w:rsidTr="001000BE">
        <w:trPr>
          <w:trHeight w:val="181"/>
        </w:trPr>
        <w:tc>
          <w:tcPr>
            <w:tcW w:w="1244" w:type="dxa"/>
          </w:tcPr>
          <w:p w14:paraId="5EE0F3D1" w14:textId="77777777" w:rsidR="007A2C38" w:rsidRPr="007C7F37" w:rsidRDefault="007A2C38" w:rsidP="00185C75">
            <w:pPr>
              <w:tabs>
                <w:tab w:val="center" w:pos="6062"/>
              </w:tabs>
              <w:autoSpaceDE w:val="0"/>
              <w:autoSpaceDN w:val="0"/>
              <w:adjustRightInd w:val="0"/>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P=0,0001</w:t>
            </w:r>
          </w:p>
        </w:tc>
        <w:tc>
          <w:tcPr>
            <w:tcW w:w="1595" w:type="dxa"/>
            <w:gridSpan w:val="3"/>
          </w:tcPr>
          <w:p w14:paraId="76F68CE9" w14:textId="1492C1E6" w:rsidR="007A2C38" w:rsidRPr="007C7F37" w:rsidRDefault="000F4177" w:rsidP="00185C7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149" w:type="dxa"/>
            <w:gridSpan w:val="2"/>
          </w:tcPr>
          <w:p w14:paraId="6B88CDBD" w14:textId="5D2544E2" w:rsidR="007A2C38" w:rsidRPr="007C7F37" w:rsidRDefault="000F4177" w:rsidP="00185C7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438" w:type="dxa"/>
            <w:gridSpan w:val="2"/>
          </w:tcPr>
          <w:p w14:paraId="7A49B8AD" w14:textId="79D07202" w:rsidR="007A2C38" w:rsidRPr="007C7F37" w:rsidRDefault="000F4177" w:rsidP="00185C7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196" w:type="dxa"/>
          </w:tcPr>
          <w:p w14:paraId="793ED023" w14:textId="4CB2A3BF" w:rsidR="007A2C38" w:rsidRPr="007C7F37" w:rsidRDefault="000F4177" w:rsidP="00185C7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463" w:type="dxa"/>
            <w:gridSpan w:val="2"/>
          </w:tcPr>
          <w:p w14:paraId="79C3C253" w14:textId="7C40BB50" w:rsidR="007A2C38" w:rsidRPr="007C7F37" w:rsidRDefault="000F4177" w:rsidP="00185C7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259" w:type="dxa"/>
          </w:tcPr>
          <w:p w14:paraId="6602F4D8" w14:textId="5A5EDF9A" w:rsidR="007A2C38" w:rsidRPr="007C7F37" w:rsidRDefault="000F4177" w:rsidP="00185C7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r>
      <w:tr w:rsidR="007A2C38" w:rsidRPr="007C7F37" w14:paraId="44562DA8" w14:textId="77777777" w:rsidTr="001000BE">
        <w:trPr>
          <w:trHeight w:val="181"/>
        </w:trPr>
        <w:tc>
          <w:tcPr>
            <w:tcW w:w="9344" w:type="dxa"/>
            <w:gridSpan w:val="12"/>
          </w:tcPr>
          <w:p w14:paraId="048D85E4" w14:textId="77777777" w:rsidR="007A2C38" w:rsidRPr="007C7F37" w:rsidRDefault="007A2C38" w:rsidP="00185C75">
            <w:pPr>
              <w:spacing w:after="0" w:line="240" w:lineRule="auto"/>
              <w:jc w:val="center"/>
              <w:rPr>
                <w:rFonts w:ascii="Times New Roman" w:hAnsi="Times New Roman" w:cs="Times New Roman"/>
                <w:sz w:val="28"/>
                <w:szCs w:val="28"/>
              </w:rPr>
            </w:pPr>
            <w:r w:rsidRPr="009C3009">
              <w:rPr>
                <w:rFonts w:ascii="Times New Roman" w:hAnsi="Times New Roman" w:cs="Times New Roman"/>
                <w:sz w:val="24"/>
                <w:szCs w:val="24"/>
              </w:rPr>
              <w:t>Как Вы поступите, если в аптеке поликлиники нет назначенных Вам ЛС, но есть аналог, который по составу идентичен?</w:t>
            </w:r>
          </w:p>
        </w:tc>
      </w:tr>
      <w:tr w:rsidR="00CF7F26" w:rsidRPr="007C7F37" w14:paraId="798C43A9" w14:textId="77777777" w:rsidTr="001000BE">
        <w:tc>
          <w:tcPr>
            <w:tcW w:w="1244" w:type="dxa"/>
          </w:tcPr>
          <w:p w14:paraId="392257DB" w14:textId="77777777" w:rsidR="007A2C38" w:rsidRPr="007C7F37" w:rsidRDefault="007A2C38" w:rsidP="00185C75">
            <w:pPr>
              <w:tabs>
                <w:tab w:val="center" w:pos="6062"/>
              </w:tabs>
              <w:autoSpaceDE w:val="0"/>
              <w:autoSpaceDN w:val="0"/>
              <w:adjustRightInd w:val="0"/>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Беру аналог</w:t>
            </w:r>
          </w:p>
        </w:tc>
        <w:tc>
          <w:tcPr>
            <w:tcW w:w="1595" w:type="dxa"/>
            <w:gridSpan w:val="3"/>
          </w:tcPr>
          <w:p w14:paraId="07C5A3D3" w14:textId="77777777" w:rsidR="00CF7F26"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14</w:t>
            </w:r>
          </w:p>
          <w:p w14:paraId="75912D85" w14:textId="5506FA85" w:rsidR="007A2C38" w:rsidRPr="007C7F37" w:rsidRDefault="007A2C38" w:rsidP="00185C75">
            <w:pPr>
              <w:spacing w:after="0" w:line="240" w:lineRule="auto"/>
              <w:jc w:val="center"/>
              <w:rPr>
                <w:rFonts w:ascii="Times New Roman" w:eastAsia="Times New Roman" w:hAnsi="Times New Roman" w:cs="Times New Roman"/>
                <w:sz w:val="28"/>
                <w:szCs w:val="28"/>
              </w:rPr>
            </w:pPr>
            <w:r w:rsidRPr="007C7F37">
              <w:rPr>
                <w:rFonts w:ascii="Times New Roman" w:hAnsi="Times New Roman" w:cs="Times New Roman"/>
                <w:sz w:val="28"/>
                <w:szCs w:val="28"/>
              </w:rPr>
              <w:t>(66,7%)</w:t>
            </w:r>
          </w:p>
        </w:tc>
        <w:tc>
          <w:tcPr>
            <w:tcW w:w="1149" w:type="dxa"/>
            <w:gridSpan w:val="2"/>
          </w:tcPr>
          <w:p w14:paraId="301D7A2D" w14:textId="77777777" w:rsidR="00CF7F26"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49</w:t>
            </w:r>
          </w:p>
          <w:p w14:paraId="5D8C33A9" w14:textId="442A9185"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(39,8%)</w:t>
            </w:r>
          </w:p>
        </w:tc>
        <w:tc>
          <w:tcPr>
            <w:tcW w:w="1438" w:type="dxa"/>
            <w:gridSpan w:val="2"/>
          </w:tcPr>
          <w:p w14:paraId="443F0397" w14:textId="77777777" w:rsidR="001000BE"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80</w:t>
            </w:r>
          </w:p>
          <w:p w14:paraId="66A6CD68" w14:textId="6D6E8707"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(58,8%)</w:t>
            </w:r>
          </w:p>
        </w:tc>
        <w:tc>
          <w:tcPr>
            <w:tcW w:w="1196" w:type="dxa"/>
          </w:tcPr>
          <w:p w14:paraId="126FAFFF" w14:textId="77777777" w:rsidR="001000BE"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112</w:t>
            </w:r>
          </w:p>
          <w:p w14:paraId="28230804" w14:textId="40798EFF"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(70,0%)</w:t>
            </w:r>
          </w:p>
        </w:tc>
        <w:tc>
          <w:tcPr>
            <w:tcW w:w="1463" w:type="dxa"/>
            <w:gridSpan w:val="2"/>
          </w:tcPr>
          <w:p w14:paraId="095ADCC8" w14:textId="77777777" w:rsidR="001000BE"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26</w:t>
            </w:r>
          </w:p>
          <w:p w14:paraId="62F7573F" w14:textId="61BF7791"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(65,0%)</w:t>
            </w:r>
          </w:p>
        </w:tc>
        <w:tc>
          <w:tcPr>
            <w:tcW w:w="1259" w:type="dxa"/>
          </w:tcPr>
          <w:p w14:paraId="5F812629" w14:textId="77777777" w:rsidR="001000BE"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281</w:t>
            </w:r>
          </w:p>
          <w:p w14:paraId="45DAE4E7" w14:textId="7DD495BB"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(58,5%)</w:t>
            </w:r>
          </w:p>
        </w:tc>
      </w:tr>
      <w:tr w:rsidR="001000BE" w:rsidRPr="007C7F37" w14:paraId="45E8F7C7" w14:textId="77777777" w:rsidTr="001000BE">
        <w:tc>
          <w:tcPr>
            <w:tcW w:w="1244" w:type="dxa"/>
            <w:tcBorders>
              <w:bottom w:val="single" w:sz="4" w:space="0" w:color="auto"/>
            </w:tcBorders>
          </w:tcPr>
          <w:p w14:paraId="150CB11E" w14:textId="77777777" w:rsidR="007A2C38" w:rsidRPr="007C7F37" w:rsidRDefault="007A2C38" w:rsidP="00185C75">
            <w:pPr>
              <w:tabs>
                <w:tab w:val="center" w:pos="6062"/>
              </w:tabs>
              <w:autoSpaceDE w:val="0"/>
              <w:autoSpaceDN w:val="0"/>
              <w:adjustRightInd w:val="0"/>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Не беру аналог, жду свой препарат</w:t>
            </w:r>
          </w:p>
        </w:tc>
        <w:tc>
          <w:tcPr>
            <w:tcW w:w="1595" w:type="dxa"/>
            <w:gridSpan w:val="3"/>
            <w:tcBorders>
              <w:bottom w:val="single" w:sz="4" w:space="0" w:color="auto"/>
            </w:tcBorders>
          </w:tcPr>
          <w:p w14:paraId="22F39628" w14:textId="77777777"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5(23,8%)</w:t>
            </w:r>
          </w:p>
        </w:tc>
        <w:tc>
          <w:tcPr>
            <w:tcW w:w="1149" w:type="dxa"/>
            <w:gridSpan w:val="2"/>
            <w:tcBorders>
              <w:bottom w:val="single" w:sz="4" w:space="0" w:color="auto"/>
            </w:tcBorders>
          </w:tcPr>
          <w:p w14:paraId="75D4303B" w14:textId="77777777"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24(19,5%)</w:t>
            </w:r>
          </w:p>
        </w:tc>
        <w:tc>
          <w:tcPr>
            <w:tcW w:w="1438" w:type="dxa"/>
            <w:gridSpan w:val="2"/>
            <w:tcBorders>
              <w:bottom w:val="single" w:sz="4" w:space="0" w:color="auto"/>
            </w:tcBorders>
          </w:tcPr>
          <w:p w14:paraId="684B2E02" w14:textId="77777777"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26(19,1%)</w:t>
            </w:r>
          </w:p>
        </w:tc>
        <w:tc>
          <w:tcPr>
            <w:tcW w:w="1196" w:type="dxa"/>
            <w:tcBorders>
              <w:bottom w:val="single" w:sz="4" w:space="0" w:color="auto"/>
            </w:tcBorders>
          </w:tcPr>
          <w:p w14:paraId="2730F631" w14:textId="77777777"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34(21,3%)</w:t>
            </w:r>
          </w:p>
        </w:tc>
        <w:tc>
          <w:tcPr>
            <w:tcW w:w="1463" w:type="dxa"/>
            <w:gridSpan w:val="2"/>
            <w:tcBorders>
              <w:bottom w:val="single" w:sz="4" w:space="0" w:color="auto"/>
            </w:tcBorders>
          </w:tcPr>
          <w:p w14:paraId="1C618C1F" w14:textId="77777777"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11(27,5%)</w:t>
            </w:r>
          </w:p>
        </w:tc>
        <w:tc>
          <w:tcPr>
            <w:tcW w:w="1259" w:type="dxa"/>
            <w:tcBorders>
              <w:bottom w:val="single" w:sz="4" w:space="0" w:color="auto"/>
            </w:tcBorders>
          </w:tcPr>
          <w:p w14:paraId="65493E54" w14:textId="77777777"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100(20,8%)</w:t>
            </w:r>
          </w:p>
        </w:tc>
      </w:tr>
      <w:tr w:rsidR="001000BE" w:rsidRPr="007C7F37" w14:paraId="522034F7" w14:textId="77777777" w:rsidTr="001000BE">
        <w:tc>
          <w:tcPr>
            <w:tcW w:w="1271" w:type="dxa"/>
            <w:gridSpan w:val="2"/>
            <w:tcBorders>
              <w:top w:val="single" w:sz="4" w:space="0" w:color="auto"/>
              <w:bottom w:val="nil"/>
            </w:tcBorders>
          </w:tcPr>
          <w:p w14:paraId="15767047" w14:textId="77777777" w:rsidR="007A2C38" w:rsidRPr="007C7F37" w:rsidRDefault="007A2C38" w:rsidP="00185C75">
            <w:pPr>
              <w:tabs>
                <w:tab w:val="center" w:pos="6062"/>
              </w:tabs>
              <w:autoSpaceDE w:val="0"/>
              <w:autoSpaceDN w:val="0"/>
              <w:adjustRightInd w:val="0"/>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Не беру аналог, покупаю</w:t>
            </w:r>
          </w:p>
        </w:tc>
        <w:tc>
          <w:tcPr>
            <w:tcW w:w="1559" w:type="dxa"/>
            <w:tcBorders>
              <w:top w:val="single" w:sz="4" w:space="0" w:color="auto"/>
              <w:bottom w:val="nil"/>
            </w:tcBorders>
          </w:tcPr>
          <w:p w14:paraId="7BBE053E" w14:textId="77777777"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1(4,8%)</w:t>
            </w:r>
          </w:p>
        </w:tc>
        <w:tc>
          <w:tcPr>
            <w:tcW w:w="1134" w:type="dxa"/>
            <w:gridSpan w:val="2"/>
            <w:tcBorders>
              <w:top w:val="single" w:sz="4" w:space="0" w:color="auto"/>
              <w:bottom w:val="nil"/>
            </w:tcBorders>
          </w:tcPr>
          <w:p w14:paraId="43DC173B" w14:textId="77777777"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40(32,5%)</w:t>
            </w:r>
          </w:p>
        </w:tc>
        <w:tc>
          <w:tcPr>
            <w:tcW w:w="1418" w:type="dxa"/>
            <w:gridSpan w:val="2"/>
            <w:tcBorders>
              <w:top w:val="single" w:sz="4" w:space="0" w:color="auto"/>
              <w:bottom w:val="nil"/>
            </w:tcBorders>
          </w:tcPr>
          <w:p w14:paraId="6D740813" w14:textId="77777777"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24(17,6%)</w:t>
            </w:r>
          </w:p>
        </w:tc>
        <w:tc>
          <w:tcPr>
            <w:tcW w:w="1276" w:type="dxa"/>
            <w:gridSpan w:val="3"/>
            <w:tcBorders>
              <w:top w:val="single" w:sz="4" w:space="0" w:color="auto"/>
              <w:bottom w:val="nil"/>
            </w:tcBorders>
          </w:tcPr>
          <w:p w14:paraId="1766B259" w14:textId="77777777"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9(5,6%)</w:t>
            </w:r>
          </w:p>
        </w:tc>
        <w:tc>
          <w:tcPr>
            <w:tcW w:w="1427" w:type="dxa"/>
            <w:tcBorders>
              <w:top w:val="single" w:sz="4" w:space="0" w:color="auto"/>
              <w:bottom w:val="nil"/>
            </w:tcBorders>
          </w:tcPr>
          <w:p w14:paraId="59D4B41B" w14:textId="77777777"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3(7,5%)</w:t>
            </w:r>
          </w:p>
        </w:tc>
        <w:tc>
          <w:tcPr>
            <w:tcW w:w="1259" w:type="dxa"/>
            <w:tcBorders>
              <w:top w:val="single" w:sz="4" w:space="0" w:color="auto"/>
              <w:bottom w:val="nil"/>
            </w:tcBorders>
          </w:tcPr>
          <w:p w14:paraId="500E5D5A" w14:textId="77777777" w:rsidR="007A2C38" w:rsidRPr="007C7F37" w:rsidRDefault="007A2C38" w:rsidP="00185C75">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77(16,0%)</w:t>
            </w:r>
          </w:p>
        </w:tc>
      </w:tr>
    </w:tbl>
    <w:tbl>
      <w:tblPr>
        <w:tblStyle w:val="af9"/>
        <w:tblpPr w:leftFromText="180" w:rightFromText="180" w:vertAnchor="text" w:horzAnchor="margin" w:tblpYSpec="insid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2"/>
        <w:gridCol w:w="1199"/>
        <w:gridCol w:w="1321"/>
        <w:gridCol w:w="1321"/>
        <w:gridCol w:w="1321"/>
        <w:gridCol w:w="1199"/>
        <w:gridCol w:w="1321"/>
      </w:tblGrid>
      <w:tr w:rsidR="001000BE" w:rsidRPr="007C7F37" w14:paraId="01A89B72" w14:textId="77777777" w:rsidTr="001000BE">
        <w:tc>
          <w:tcPr>
            <w:tcW w:w="9344" w:type="dxa"/>
            <w:gridSpan w:val="7"/>
            <w:tcBorders>
              <w:top w:val="nil"/>
              <w:left w:val="nil"/>
              <w:bottom w:val="single" w:sz="4" w:space="0" w:color="auto"/>
              <w:right w:val="nil"/>
            </w:tcBorders>
          </w:tcPr>
          <w:p w14:paraId="643EB413" w14:textId="77777777" w:rsidR="001000BE" w:rsidRDefault="001000BE" w:rsidP="001000BE">
            <w:pPr>
              <w:spacing w:after="0" w:line="240" w:lineRule="auto"/>
              <w:rPr>
                <w:rFonts w:ascii="Times New Roman" w:hAnsi="Times New Roman" w:cs="Times New Roman"/>
                <w:sz w:val="28"/>
                <w:szCs w:val="28"/>
              </w:rPr>
            </w:pPr>
            <w:r>
              <w:rPr>
                <w:rFonts w:ascii="Times New Roman" w:hAnsi="Times New Roman" w:cs="Times New Roman"/>
                <w:sz w:val="28"/>
                <w:szCs w:val="28"/>
              </w:rPr>
              <w:t>Продолжение таблицы 44</w:t>
            </w:r>
          </w:p>
          <w:p w14:paraId="125929E3" w14:textId="573696A9" w:rsidR="001000BE" w:rsidRDefault="001000BE" w:rsidP="001000BE">
            <w:pPr>
              <w:spacing w:after="0" w:line="240" w:lineRule="auto"/>
              <w:rPr>
                <w:rFonts w:ascii="Times New Roman" w:hAnsi="Times New Roman" w:cs="Times New Roman"/>
                <w:sz w:val="28"/>
                <w:szCs w:val="28"/>
              </w:rPr>
            </w:pPr>
          </w:p>
        </w:tc>
      </w:tr>
      <w:tr w:rsidR="001000BE" w:rsidRPr="007C7F37" w14:paraId="25E4AEDF" w14:textId="77777777" w:rsidTr="001000BE">
        <w:tc>
          <w:tcPr>
            <w:tcW w:w="1662" w:type="dxa"/>
            <w:tcBorders>
              <w:top w:val="single" w:sz="4" w:space="0" w:color="auto"/>
              <w:bottom w:val="single" w:sz="4" w:space="0" w:color="auto"/>
            </w:tcBorders>
          </w:tcPr>
          <w:p w14:paraId="4570350C" w14:textId="511573E2" w:rsidR="001000BE" w:rsidRPr="007C7F37" w:rsidRDefault="001000BE" w:rsidP="001000BE">
            <w:pPr>
              <w:tabs>
                <w:tab w:val="center" w:pos="6062"/>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199" w:type="dxa"/>
            <w:tcBorders>
              <w:top w:val="single" w:sz="4" w:space="0" w:color="auto"/>
              <w:bottom w:val="single" w:sz="4" w:space="0" w:color="auto"/>
            </w:tcBorders>
          </w:tcPr>
          <w:p w14:paraId="7CAFECAA" w14:textId="3F0B7AE5" w:rsidR="001000BE" w:rsidRPr="007C7F37" w:rsidRDefault="001000BE" w:rsidP="001000B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321" w:type="dxa"/>
            <w:tcBorders>
              <w:top w:val="single" w:sz="4" w:space="0" w:color="auto"/>
              <w:bottom w:val="single" w:sz="4" w:space="0" w:color="auto"/>
            </w:tcBorders>
          </w:tcPr>
          <w:p w14:paraId="041737C3" w14:textId="36767C35" w:rsidR="001000BE" w:rsidRPr="007C7F37" w:rsidRDefault="001000BE" w:rsidP="001000B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321" w:type="dxa"/>
            <w:tcBorders>
              <w:top w:val="single" w:sz="4" w:space="0" w:color="auto"/>
              <w:bottom w:val="single" w:sz="4" w:space="0" w:color="auto"/>
            </w:tcBorders>
          </w:tcPr>
          <w:p w14:paraId="09C2ED04" w14:textId="7A87CEFF" w:rsidR="001000BE" w:rsidRPr="007C7F37" w:rsidRDefault="001000BE" w:rsidP="001000B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321" w:type="dxa"/>
            <w:tcBorders>
              <w:top w:val="single" w:sz="4" w:space="0" w:color="auto"/>
              <w:bottom w:val="single" w:sz="4" w:space="0" w:color="auto"/>
            </w:tcBorders>
          </w:tcPr>
          <w:p w14:paraId="160B5646" w14:textId="471D135C" w:rsidR="001000BE" w:rsidRPr="007C7F37" w:rsidRDefault="001000BE" w:rsidP="001000B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199" w:type="dxa"/>
            <w:tcBorders>
              <w:top w:val="single" w:sz="4" w:space="0" w:color="auto"/>
              <w:bottom w:val="single" w:sz="4" w:space="0" w:color="auto"/>
            </w:tcBorders>
          </w:tcPr>
          <w:p w14:paraId="4BF96829" w14:textId="417C7AAD" w:rsidR="001000BE" w:rsidRPr="007C7F37" w:rsidRDefault="001000BE" w:rsidP="001000B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1321" w:type="dxa"/>
            <w:tcBorders>
              <w:top w:val="single" w:sz="4" w:space="0" w:color="auto"/>
              <w:bottom w:val="single" w:sz="4" w:space="0" w:color="auto"/>
            </w:tcBorders>
          </w:tcPr>
          <w:p w14:paraId="3A1DD798" w14:textId="5F7B18E9" w:rsidR="001000BE" w:rsidRPr="007C7F37" w:rsidRDefault="001000BE" w:rsidP="001000B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p>
        </w:tc>
      </w:tr>
      <w:tr w:rsidR="001000BE" w:rsidRPr="007C7F37" w14:paraId="3BCBE839" w14:textId="77777777" w:rsidTr="001000BE">
        <w:tc>
          <w:tcPr>
            <w:tcW w:w="1662" w:type="dxa"/>
            <w:tcBorders>
              <w:top w:val="single" w:sz="4" w:space="0" w:color="auto"/>
            </w:tcBorders>
          </w:tcPr>
          <w:p w14:paraId="7CF5E4AF" w14:textId="77777777" w:rsidR="001000BE" w:rsidRPr="007C7F37" w:rsidRDefault="001000BE" w:rsidP="001000BE">
            <w:pPr>
              <w:tabs>
                <w:tab w:val="center" w:pos="6062"/>
              </w:tabs>
              <w:autoSpaceDE w:val="0"/>
              <w:autoSpaceDN w:val="0"/>
              <w:adjustRightInd w:val="0"/>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Всегда покупаю лекарства</w:t>
            </w:r>
          </w:p>
        </w:tc>
        <w:tc>
          <w:tcPr>
            <w:tcW w:w="1199" w:type="dxa"/>
            <w:tcBorders>
              <w:top w:val="single" w:sz="4" w:space="0" w:color="auto"/>
            </w:tcBorders>
          </w:tcPr>
          <w:p w14:paraId="00531161" w14:textId="77777777" w:rsidR="001000BE" w:rsidRPr="007C7F37" w:rsidRDefault="001000BE" w:rsidP="001000BE">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1(4,8%)</w:t>
            </w:r>
          </w:p>
        </w:tc>
        <w:tc>
          <w:tcPr>
            <w:tcW w:w="1321" w:type="dxa"/>
            <w:tcBorders>
              <w:top w:val="single" w:sz="4" w:space="0" w:color="auto"/>
            </w:tcBorders>
          </w:tcPr>
          <w:p w14:paraId="0DCE56D6" w14:textId="77777777" w:rsidR="001000BE" w:rsidRPr="007C7F37" w:rsidRDefault="001000BE" w:rsidP="001000BE">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10(8,1%)</w:t>
            </w:r>
          </w:p>
        </w:tc>
        <w:tc>
          <w:tcPr>
            <w:tcW w:w="1321" w:type="dxa"/>
            <w:tcBorders>
              <w:top w:val="single" w:sz="4" w:space="0" w:color="auto"/>
            </w:tcBorders>
          </w:tcPr>
          <w:p w14:paraId="3FE603BF" w14:textId="77777777" w:rsidR="001000BE" w:rsidRPr="007C7F37" w:rsidRDefault="001000BE" w:rsidP="001000BE">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6(4,4%)</w:t>
            </w:r>
          </w:p>
        </w:tc>
        <w:tc>
          <w:tcPr>
            <w:tcW w:w="1321" w:type="dxa"/>
            <w:tcBorders>
              <w:top w:val="single" w:sz="4" w:space="0" w:color="auto"/>
            </w:tcBorders>
          </w:tcPr>
          <w:p w14:paraId="762A7A7A" w14:textId="77777777" w:rsidR="001000BE" w:rsidRPr="007C7F37" w:rsidRDefault="001000BE" w:rsidP="001000BE">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5(3,1%)</w:t>
            </w:r>
          </w:p>
        </w:tc>
        <w:tc>
          <w:tcPr>
            <w:tcW w:w="1199" w:type="dxa"/>
            <w:tcBorders>
              <w:top w:val="single" w:sz="4" w:space="0" w:color="auto"/>
            </w:tcBorders>
          </w:tcPr>
          <w:p w14:paraId="56A9804C" w14:textId="77777777" w:rsidR="001000BE" w:rsidRPr="007C7F37" w:rsidRDefault="001000BE" w:rsidP="001000BE">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0(0,0%)</w:t>
            </w:r>
          </w:p>
        </w:tc>
        <w:tc>
          <w:tcPr>
            <w:tcW w:w="1321" w:type="dxa"/>
            <w:tcBorders>
              <w:top w:val="single" w:sz="4" w:space="0" w:color="auto"/>
            </w:tcBorders>
          </w:tcPr>
          <w:p w14:paraId="3FABC5B1" w14:textId="77777777" w:rsidR="001000BE" w:rsidRPr="007C7F37" w:rsidRDefault="001000BE" w:rsidP="001000BE">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22(4,6%)</w:t>
            </w:r>
          </w:p>
        </w:tc>
      </w:tr>
      <w:tr w:rsidR="001000BE" w:rsidRPr="007C7F37" w14:paraId="7CD0C67C" w14:textId="77777777" w:rsidTr="001000BE">
        <w:tc>
          <w:tcPr>
            <w:tcW w:w="1662" w:type="dxa"/>
          </w:tcPr>
          <w:p w14:paraId="1898B324" w14:textId="77777777" w:rsidR="001000BE" w:rsidRPr="007C7F37" w:rsidRDefault="001000BE" w:rsidP="001000BE">
            <w:pPr>
              <w:tabs>
                <w:tab w:val="center" w:pos="6062"/>
              </w:tabs>
              <w:autoSpaceDE w:val="0"/>
              <w:autoSpaceDN w:val="0"/>
              <w:adjustRightInd w:val="0"/>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Итого</w:t>
            </w:r>
          </w:p>
        </w:tc>
        <w:tc>
          <w:tcPr>
            <w:tcW w:w="1199" w:type="dxa"/>
          </w:tcPr>
          <w:p w14:paraId="351D3D27" w14:textId="355F179C" w:rsidR="001000BE" w:rsidRPr="007C7F37" w:rsidRDefault="001000BE" w:rsidP="001000BE">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21</w:t>
            </w:r>
            <w:r w:rsidR="00DE65B5">
              <w:rPr>
                <w:rFonts w:ascii="Times New Roman" w:hAnsi="Times New Roman" w:cs="Times New Roman"/>
                <w:sz w:val="28"/>
                <w:szCs w:val="28"/>
              </w:rPr>
              <w:t xml:space="preserve"> </w:t>
            </w:r>
            <w:r w:rsidRPr="007C7F37">
              <w:rPr>
                <w:rFonts w:ascii="Times New Roman" w:hAnsi="Times New Roman" w:cs="Times New Roman"/>
                <w:sz w:val="28"/>
                <w:szCs w:val="28"/>
              </w:rPr>
              <w:t>(100%)</w:t>
            </w:r>
          </w:p>
        </w:tc>
        <w:tc>
          <w:tcPr>
            <w:tcW w:w="1321" w:type="dxa"/>
          </w:tcPr>
          <w:p w14:paraId="3DBFC92D" w14:textId="1C197A77" w:rsidR="001000BE" w:rsidRPr="007C7F37" w:rsidRDefault="001000BE" w:rsidP="001000BE">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123</w:t>
            </w:r>
            <w:r w:rsidR="00DE65B5">
              <w:rPr>
                <w:rFonts w:ascii="Times New Roman" w:hAnsi="Times New Roman" w:cs="Times New Roman"/>
                <w:sz w:val="28"/>
                <w:szCs w:val="28"/>
              </w:rPr>
              <w:t xml:space="preserve"> </w:t>
            </w:r>
            <w:r w:rsidRPr="007C7F37">
              <w:rPr>
                <w:rFonts w:ascii="Times New Roman" w:hAnsi="Times New Roman" w:cs="Times New Roman"/>
                <w:sz w:val="28"/>
                <w:szCs w:val="28"/>
              </w:rPr>
              <w:t>(100%)</w:t>
            </w:r>
          </w:p>
        </w:tc>
        <w:tc>
          <w:tcPr>
            <w:tcW w:w="1321" w:type="dxa"/>
          </w:tcPr>
          <w:p w14:paraId="01958C2F" w14:textId="187BE2F3" w:rsidR="001000BE" w:rsidRPr="007C7F37" w:rsidRDefault="001000BE" w:rsidP="001000BE">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136</w:t>
            </w:r>
            <w:r w:rsidR="00DE65B5">
              <w:rPr>
                <w:rFonts w:ascii="Times New Roman" w:hAnsi="Times New Roman" w:cs="Times New Roman"/>
                <w:sz w:val="28"/>
                <w:szCs w:val="28"/>
              </w:rPr>
              <w:t xml:space="preserve"> </w:t>
            </w:r>
            <w:r w:rsidRPr="007C7F37">
              <w:rPr>
                <w:rFonts w:ascii="Times New Roman" w:hAnsi="Times New Roman" w:cs="Times New Roman"/>
                <w:sz w:val="28"/>
                <w:szCs w:val="28"/>
              </w:rPr>
              <w:t>(100%)</w:t>
            </w:r>
          </w:p>
        </w:tc>
        <w:tc>
          <w:tcPr>
            <w:tcW w:w="1321" w:type="dxa"/>
          </w:tcPr>
          <w:p w14:paraId="612F8977" w14:textId="63BE5533" w:rsidR="001000BE" w:rsidRPr="007C7F37" w:rsidRDefault="001000BE" w:rsidP="001000BE">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160</w:t>
            </w:r>
            <w:r w:rsidR="00DE65B5">
              <w:rPr>
                <w:rFonts w:ascii="Times New Roman" w:hAnsi="Times New Roman" w:cs="Times New Roman"/>
                <w:sz w:val="28"/>
                <w:szCs w:val="28"/>
              </w:rPr>
              <w:t xml:space="preserve"> </w:t>
            </w:r>
            <w:r w:rsidRPr="007C7F37">
              <w:rPr>
                <w:rFonts w:ascii="Times New Roman" w:hAnsi="Times New Roman" w:cs="Times New Roman"/>
                <w:sz w:val="28"/>
                <w:szCs w:val="28"/>
              </w:rPr>
              <w:t>(100%)</w:t>
            </w:r>
          </w:p>
        </w:tc>
        <w:tc>
          <w:tcPr>
            <w:tcW w:w="1199" w:type="dxa"/>
          </w:tcPr>
          <w:p w14:paraId="77B98261" w14:textId="17D765F6" w:rsidR="001000BE" w:rsidRPr="007C7F37" w:rsidRDefault="001000BE" w:rsidP="001000BE">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40</w:t>
            </w:r>
            <w:r w:rsidR="00DE65B5">
              <w:rPr>
                <w:rFonts w:ascii="Times New Roman" w:hAnsi="Times New Roman" w:cs="Times New Roman"/>
                <w:sz w:val="28"/>
                <w:szCs w:val="28"/>
              </w:rPr>
              <w:t xml:space="preserve"> </w:t>
            </w:r>
            <w:r w:rsidRPr="007C7F37">
              <w:rPr>
                <w:rFonts w:ascii="Times New Roman" w:hAnsi="Times New Roman" w:cs="Times New Roman"/>
                <w:sz w:val="28"/>
                <w:szCs w:val="28"/>
              </w:rPr>
              <w:t>(100%)</w:t>
            </w:r>
          </w:p>
        </w:tc>
        <w:tc>
          <w:tcPr>
            <w:tcW w:w="1321" w:type="dxa"/>
          </w:tcPr>
          <w:p w14:paraId="22CBBAFA" w14:textId="3D6F5F71" w:rsidR="001000BE" w:rsidRPr="007C7F37" w:rsidRDefault="001000BE" w:rsidP="001000BE">
            <w:pPr>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480</w:t>
            </w:r>
            <w:r w:rsidR="00DE65B5">
              <w:rPr>
                <w:rFonts w:ascii="Times New Roman" w:hAnsi="Times New Roman" w:cs="Times New Roman"/>
                <w:sz w:val="28"/>
                <w:szCs w:val="28"/>
              </w:rPr>
              <w:t xml:space="preserve"> </w:t>
            </w:r>
            <w:r w:rsidRPr="007C7F37">
              <w:rPr>
                <w:rFonts w:ascii="Times New Roman" w:hAnsi="Times New Roman" w:cs="Times New Roman"/>
                <w:sz w:val="28"/>
                <w:szCs w:val="28"/>
              </w:rPr>
              <w:t>(100%)</w:t>
            </w:r>
          </w:p>
        </w:tc>
      </w:tr>
      <w:tr w:rsidR="001000BE" w:rsidRPr="007C7F37" w14:paraId="6D27FF4F" w14:textId="77777777" w:rsidTr="001000BE">
        <w:tc>
          <w:tcPr>
            <w:tcW w:w="1662" w:type="dxa"/>
          </w:tcPr>
          <w:p w14:paraId="705B6FB1" w14:textId="77777777" w:rsidR="001000BE" w:rsidRPr="007C7F37" w:rsidRDefault="001000BE" w:rsidP="001000BE">
            <w:pPr>
              <w:tabs>
                <w:tab w:val="center" w:pos="6062"/>
              </w:tabs>
              <w:autoSpaceDE w:val="0"/>
              <w:autoSpaceDN w:val="0"/>
              <w:adjustRightInd w:val="0"/>
              <w:spacing w:after="0" w:line="240" w:lineRule="auto"/>
              <w:jc w:val="center"/>
              <w:rPr>
                <w:rFonts w:ascii="Times New Roman" w:hAnsi="Times New Roman" w:cs="Times New Roman"/>
                <w:sz w:val="28"/>
                <w:szCs w:val="28"/>
              </w:rPr>
            </w:pPr>
            <w:r w:rsidRPr="007C7F37">
              <w:rPr>
                <w:rFonts w:ascii="Times New Roman" w:hAnsi="Times New Roman" w:cs="Times New Roman"/>
                <w:sz w:val="28"/>
                <w:szCs w:val="28"/>
              </w:rPr>
              <w:t>P=0,0001</w:t>
            </w:r>
          </w:p>
        </w:tc>
        <w:tc>
          <w:tcPr>
            <w:tcW w:w="1199" w:type="dxa"/>
          </w:tcPr>
          <w:p w14:paraId="7ED8C1D2" w14:textId="436C0DDA" w:rsidR="001000BE" w:rsidRPr="007C7F37" w:rsidRDefault="00077E0F" w:rsidP="001000B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321" w:type="dxa"/>
          </w:tcPr>
          <w:p w14:paraId="5C90A47A" w14:textId="235C31F9" w:rsidR="001000BE" w:rsidRPr="007C7F37" w:rsidRDefault="00077E0F" w:rsidP="001000B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321" w:type="dxa"/>
          </w:tcPr>
          <w:p w14:paraId="3402BAA8" w14:textId="22F5E5C4" w:rsidR="001000BE" w:rsidRPr="007C7F37" w:rsidRDefault="00077E0F" w:rsidP="001000B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321" w:type="dxa"/>
          </w:tcPr>
          <w:p w14:paraId="67BF8CCE" w14:textId="4E7C4E8B" w:rsidR="001000BE" w:rsidRPr="007C7F37" w:rsidRDefault="00077E0F" w:rsidP="001000B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199" w:type="dxa"/>
          </w:tcPr>
          <w:p w14:paraId="3A89A981" w14:textId="11DE0922" w:rsidR="001000BE" w:rsidRPr="007C7F37" w:rsidRDefault="00077E0F" w:rsidP="001000B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321" w:type="dxa"/>
          </w:tcPr>
          <w:p w14:paraId="4E389E91" w14:textId="0E1120A4" w:rsidR="001000BE" w:rsidRPr="007C7F37" w:rsidRDefault="00077E0F" w:rsidP="001000B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r>
    </w:tbl>
    <w:p w14:paraId="0750A7F0" w14:textId="77777777" w:rsidR="0040185B" w:rsidRPr="0040185B" w:rsidRDefault="0040185B" w:rsidP="0040185B">
      <w:pPr>
        <w:tabs>
          <w:tab w:val="left" w:pos="142"/>
          <w:tab w:val="left" w:pos="851"/>
        </w:tabs>
        <w:spacing w:after="0" w:line="240" w:lineRule="auto"/>
        <w:jc w:val="both"/>
        <w:rPr>
          <w:rFonts w:ascii="Times New Roman" w:hAnsi="Times New Roman" w:cs="Times New Roman"/>
          <w:bCs/>
          <w:sz w:val="28"/>
          <w:szCs w:val="28"/>
        </w:rPr>
      </w:pPr>
    </w:p>
    <w:p w14:paraId="70A29B5D" w14:textId="0DBC2E80" w:rsidR="007A2C38" w:rsidRPr="0040185B" w:rsidRDefault="007A2C38" w:rsidP="004135FE">
      <w:pPr>
        <w:pStyle w:val="a3"/>
        <w:numPr>
          <w:ilvl w:val="3"/>
          <w:numId w:val="67"/>
        </w:numPr>
        <w:tabs>
          <w:tab w:val="left" w:pos="142"/>
          <w:tab w:val="left" w:pos="851"/>
        </w:tabs>
        <w:spacing w:after="0" w:line="240" w:lineRule="auto"/>
        <w:ind w:left="0" w:firstLine="567"/>
        <w:jc w:val="both"/>
        <w:rPr>
          <w:rFonts w:ascii="Times New Roman" w:hAnsi="Times New Roman" w:cs="Times New Roman"/>
          <w:bCs/>
          <w:sz w:val="28"/>
          <w:szCs w:val="28"/>
        </w:rPr>
      </w:pPr>
      <w:r w:rsidRPr="0040185B">
        <w:rPr>
          <w:rFonts w:ascii="Times New Roman" w:hAnsi="Times New Roman" w:cs="Times New Roman"/>
          <w:bCs/>
          <w:sz w:val="28"/>
          <w:szCs w:val="28"/>
        </w:rPr>
        <w:t>Влияние карантина по коронавирусной инфекции на медицинское обслуживание и общее состояние пациентов</w:t>
      </w:r>
    </w:p>
    <w:p w14:paraId="292F2DE8" w14:textId="77777777" w:rsidR="007A2C38" w:rsidRPr="004135FE" w:rsidRDefault="007A2C38" w:rsidP="004135FE">
      <w:pPr>
        <w:tabs>
          <w:tab w:val="left" w:pos="142"/>
        </w:tabs>
        <w:spacing w:after="0" w:line="240" w:lineRule="auto"/>
        <w:ind w:firstLine="567"/>
        <w:jc w:val="both"/>
        <w:rPr>
          <w:rFonts w:ascii="Times New Roman" w:hAnsi="Times New Roman" w:cs="Times New Roman"/>
          <w:sz w:val="28"/>
          <w:szCs w:val="28"/>
        </w:rPr>
      </w:pPr>
      <w:r w:rsidRPr="004135FE">
        <w:rPr>
          <w:rFonts w:ascii="Times New Roman" w:hAnsi="Times New Roman" w:cs="Times New Roman"/>
          <w:sz w:val="28"/>
          <w:szCs w:val="28"/>
        </w:rPr>
        <w:t xml:space="preserve">Во время карантина </w:t>
      </w:r>
      <w:r w:rsidRPr="004135FE">
        <w:rPr>
          <w:rFonts w:ascii="Times New Roman" w:hAnsi="Times New Roman" w:cs="Times New Roman"/>
          <w:sz w:val="28"/>
          <w:szCs w:val="28"/>
          <w:lang w:val="en-US"/>
        </w:rPr>
        <w:t>COVID</w:t>
      </w:r>
      <w:r w:rsidRPr="004135FE">
        <w:rPr>
          <w:rFonts w:ascii="Times New Roman" w:hAnsi="Times New Roman" w:cs="Times New Roman"/>
          <w:sz w:val="28"/>
          <w:szCs w:val="28"/>
        </w:rPr>
        <w:t xml:space="preserve">-19 пациентам были предложены доставить с поликлиники на дом лекарственные средства (ЛС), в этой связи 48,7% - </w:t>
      </w:r>
      <w:bookmarkStart w:id="1" w:name="_Hlk59449164"/>
      <w:r w:rsidRPr="004135FE">
        <w:rPr>
          <w:rFonts w:ascii="Times New Roman" w:hAnsi="Times New Roman" w:cs="Times New Roman"/>
          <w:sz w:val="28"/>
          <w:szCs w:val="28"/>
        </w:rPr>
        <w:t>пациентам, получающим комбинацию лечения таблетки+инсулин, были доставлены</w:t>
      </w:r>
      <w:bookmarkEnd w:id="1"/>
      <w:r w:rsidRPr="004135FE">
        <w:rPr>
          <w:rFonts w:ascii="Times New Roman" w:hAnsi="Times New Roman" w:cs="Times New Roman"/>
          <w:sz w:val="28"/>
          <w:szCs w:val="28"/>
        </w:rPr>
        <w:t xml:space="preserve"> медикаменты сотрудниками поликлиники (Рисунок 53). Так же были доставлены лекарства на дом 18,5% - пациентам, получающим комбинацию препаратов в виде таблеток, 14,7% - пациентам, получающим 1 препарата таблетированной формы и 10,5% - пациентам, получающим инсулины короткого и продленного действия. На диетотерапии, находившиеся 7,6% - пациентов также получили предложения по поводу доставки лекарств на дом. Так как следующим пациентам не поступило предложение о доставке препаратов на дом с поликлиники, </w:t>
      </w:r>
      <w:bookmarkStart w:id="2" w:name="_Hlk59449409"/>
      <w:r w:rsidRPr="004135FE">
        <w:rPr>
          <w:rFonts w:ascii="Times New Roman" w:hAnsi="Times New Roman" w:cs="Times New Roman"/>
          <w:sz w:val="28"/>
          <w:szCs w:val="28"/>
        </w:rPr>
        <w:t>38,1% - пациентов получающие комбинацию препаратов в виде таблеток</w:t>
      </w:r>
      <w:bookmarkEnd w:id="2"/>
      <w:r w:rsidRPr="004135FE">
        <w:rPr>
          <w:rFonts w:ascii="Times New Roman" w:hAnsi="Times New Roman" w:cs="Times New Roman"/>
          <w:sz w:val="28"/>
          <w:szCs w:val="28"/>
        </w:rPr>
        <w:t xml:space="preserve">, 35,1% - пациентов получающие 1 препарата в виде таблетки и 18,7% - пациентов получающие комбинацию лечения таблетки+инсулин указали, что не было доставки на дом ЛС. 38,0% - пациентов на терапии состоящих из 1 препарата в виде таблетки и их комбинации указали, что не было необходимости доставки на дом (χ2=86,324a, df=8, p=0,0001).   </w:t>
      </w:r>
    </w:p>
    <w:p w14:paraId="467D5B51" w14:textId="77777777" w:rsidR="007A2C38" w:rsidRPr="004135FE" w:rsidRDefault="007A2C38" w:rsidP="004135FE">
      <w:pPr>
        <w:tabs>
          <w:tab w:val="left" w:pos="142"/>
        </w:tabs>
        <w:spacing w:after="0" w:line="240" w:lineRule="auto"/>
        <w:jc w:val="both"/>
        <w:rPr>
          <w:rFonts w:ascii="Times New Roman" w:hAnsi="Times New Roman" w:cs="Times New Roman"/>
          <w:sz w:val="28"/>
          <w:szCs w:val="28"/>
        </w:rPr>
      </w:pPr>
      <w:r w:rsidRPr="004135FE">
        <w:rPr>
          <w:rFonts w:ascii="Times New Roman" w:hAnsi="Times New Roman" w:cs="Times New Roman"/>
          <w:noProof/>
          <w:sz w:val="28"/>
          <w:szCs w:val="28"/>
        </w:rPr>
        <w:drawing>
          <wp:inline distT="0" distB="0" distL="0" distR="0" wp14:anchorId="10D7EF91" wp14:editId="10AAB04D">
            <wp:extent cx="6350000" cy="2578100"/>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D94520C" w14:textId="77777777" w:rsidR="0040185B" w:rsidRDefault="0040185B" w:rsidP="0040185B">
      <w:pPr>
        <w:spacing w:after="0" w:line="240" w:lineRule="auto"/>
        <w:jc w:val="center"/>
        <w:rPr>
          <w:rFonts w:ascii="Times New Roman" w:hAnsi="Times New Roman" w:cs="Times New Roman"/>
          <w:sz w:val="28"/>
          <w:szCs w:val="28"/>
        </w:rPr>
      </w:pPr>
    </w:p>
    <w:p w14:paraId="52251A33" w14:textId="4B54B636" w:rsidR="007A2C38" w:rsidRPr="004135FE" w:rsidRDefault="007A2C38" w:rsidP="0040185B">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53</w:t>
      </w:r>
      <w:r w:rsidR="00620A16">
        <w:rPr>
          <w:rFonts w:ascii="Times New Roman" w:hAnsi="Times New Roman" w:cs="Times New Roman"/>
          <w:sz w:val="28"/>
          <w:szCs w:val="28"/>
        </w:rPr>
        <w:t xml:space="preserve"> </w:t>
      </w:r>
      <w:r w:rsidRPr="004135FE">
        <w:rPr>
          <w:rFonts w:ascii="Times New Roman" w:hAnsi="Times New Roman" w:cs="Times New Roman"/>
          <w:sz w:val="28"/>
          <w:szCs w:val="28"/>
        </w:rPr>
        <w:t xml:space="preserve">- </w:t>
      </w:r>
      <w:r w:rsidRPr="004135FE">
        <w:rPr>
          <w:rFonts w:ascii="Times New Roman" w:hAnsi="Times New Roman" w:cs="Times New Roman"/>
          <w:bCs/>
          <w:sz w:val="28"/>
          <w:szCs w:val="28"/>
        </w:rPr>
        <w:t>Состав лечения пациента и наличие предложения</w:t>
      </w:r>
      <w:r w:rsidRPr="004135FE">
        <w:rPr>
          <w:rFonts w:ascii="Times New Roman" w:hAnsi="Times New Roman" w:cs="Times New Roman"/>
          <w:sz w:val="28"/>
          <w:szCs w:val="28"/>
        </w:rPr>
        <w:t xml:space="preserve"> о доставке с поликлиники на дом ЛС во время карантина </w:t>
      </w:r>
      <w:r w:rsidRPr="004135FE">
        <w:rPr>
          <w:rFonts w:ascii="Times New Roman" w:hAnsi="Times New Roman" w:cs="Times New Roman"/>
          <w:sz w:val="28"/>
          <w:szCs w:val="28"/>
          <w:lang w:val="en-US"/>
        </w:rPr>
        <w:t>COVID</w:t>
      </w:r>
      <w:r w:rsidRPr="004135FE">
        <w:rPr>
          <w:rFonts w:ascii="Times New Roman" w:hAnsi="Times New Roman" w:cs="Times New Roman"/>
          <w:sz w:val="28"/>
          <w:szCs w:val="28"/>
        </w:rPr>
        <w:t>-19</w:t>
      </w:r>
    </w:p>
    <w:p w14:paraId="48DE51ED" w14:textId="23905E04" w:rsidR="007A2C38" w:rsidRDefault="007A2C38" w:rsidP="00BB5424">
      <w:pPr>
        <w:tabs>
          <w:tab w:val="center" w:pos="2880"/>
        </w:tabs>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b/>
          <w:bCs/>
          <w:sz w:val="28"/>
          <w:szCs w:val="28"/>
        </w:rPr>
        <w:tab/>
      </w:r>
      <w:r w:rsidRPr="004135FE">
        <w:rPr>
          <w:rFonts w:ascii="Times New Roman" w:hAnsi="Times New Roman" w:cs="Times New Roman"/>
          <w:sz w:val="28"/>
          <w:szCs w:val="28"/>
        </w:rPr>
        <w:t xml:space="preserve">В период карантина </w:t>
      </w:r>
      <w:bookmarkStart w:id="3" w:name="_Hlk59523175"/>
      <w:r w:rsidRPr="004135FE">
        <w:rPr>
          <w:rFonts w:ascii="Times New Roman" w:hAnsi="Times New Roman" w:cs="Times New Roman"/>
          <w:sz w:val="28"/>
          <w:szCs w:val="28"/>
        </w:rPr>
        <w:t>51,2% - пациентов пропустили очередную консультацию с целью избегания мест скопления людей, а у 50,0% - пациентов дома закончились ЛС и пациентам было предложено доставить с поликлиники на дом медикаменты</w:t>
      </w:r>
      <w:bookmarkEnd w:id="3"/>
      <w:r w:rsidRPr="004135FE">
        <w:rPr>
          <w:rFonts w:ascii="Times New Roman" w:hAnsi="Times New Roman" w:cs="Times New Roman"/>
          <w:sz w:val="28"/>
          <w:szCs w:val="28"/>
        </w:rPr>
        <w:t xml:space="preserve"> (Рисунок 54).  У 49,2% - пациентов не было никаких трудностей, при этом было предложено доставка ЛС с поликлиники на дом. Несмотря на то, что у 27,8% - пациентов дома закончились ЛС и 26,7% - пациентов пропустили очередную консультацию, предложение о доставке на дом медикаментов с поликлиники не поступало. Во время карантина у 22,6% - пациентов при получении медицинских услуг не было необходимости доставки на дом ЛС (χ2=40,834, df=20, p=0,004).</w:t>
      </w:r>
    </w:p>
    <w:p w14:paraId="0B61AA55" w14:textId="77777777" w:rsidR="00BB5424" w:rsidRPr="004135FE" w:rsidRDefault="00BB5424" w:rsidP="004135FE">
      <w:pPr>
        <w:spacing w:after="0" w:line="240" w:lineRule="auto"/>
        <w:ind w:firstLine="708"/>
        <w:jc w:val="both"/>
        <w:rPr>
          <w:rFonts w:ascii="Times New Roman" w:hAnsi="Times New Roman" w:cs="Times New Roman"/>
          <w:sz w:val="28"/>
          <w:szCs w:val="28"/>
        </w:rPr>
      </w:pPr>
    </w:p>
    <w:p w14:paraId="73E208B7" w14:textId="77777777" w:rsidR="007A2C38" w:rsidRPr="004135FE" w:rsidRDefault="007A2C38" w:rsidP="0040185B">
      <w:pPr>
        <w:tabs>
          <w:tab w:val="center" w:pos="5400"/>
        </w:tabs>
        <w:autoSpaceDE w:val="0"/>
        <w:autoSpaceDN w:val="0"/>
        <w:adjustRightInd w:val="0"/>
        <w:spacing w:after="0" w:line="240" w:lineRule="auto"/>
        <w:jc w:val="center"/>
        <w:rPr>
          <w:rFonts w:ascii="Times New Roman" w:hAnsi="Times New Roman" w:cs="Times New Roman"/>
          <w:b/>
          <w:bCs/>
          <w:sz w:val="28"/>
          <w:szCs w:val="28"/>
        </w:rPr>
      </w:pPr>
      <w:r w:rsidRPr="004135FE">
        <w:rPr>
          <w:rFonts w:ascii="Times New Roman" w:hAnsi="Times New Roman" w:cs="Times New Roman"/>
          <w:noProof/>
          <w:sz w:val="28"/>
          <w:szCs w:val="28"/>
        </w:rPr>
        <w:drawing>
          <wp:inline distT="0" distB="0" distL="0" distR="0" wp14:anchorId="0A19D901" wp14:editId="245248C6">
            <wp:extent cx="5429250" cy="2921000"/>
            <wp:effectExtent l="0" t="0" r="0"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E2255B0" w14:textId="77777777" w:rsidR="00BB5424" w:rsidRDefault="00BB5424" w:rsidP="0040185B">
      <w:pPr>
        <w:autoSpaceDE w:val="0"/>
        <w:autoSpaceDN w:val="0"/>
        <w:adjustRightInd w:val="0"/>
        <w:spacing w:after="0" w:line="240" w:lineRule="auto"/>
        <w:jc w:val="center"/>
        <w:rPr>
          <w:rFonts w:ascii="Times New Roman" w:hAnsi="Times New Roman" w:cs="Times New Roman"/>
          <w:sz w:val="28"/>
          <w:szCs w:val="28"/>
        </w:rPr>
      </w:pPr>
    </w:p>
    <w:p w14:paraId="41754672" w14:textId="2A6E8CF5" w:rsidR="007A2C38" w:rsidRDefault="007A2C38" w:rsidP="0040185B">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54</w:t>
      </w:r>
      <w:r w:rsidR="00620A16">
        <w:rPr>
          <w:rFonts w:ascii="Times New Roman" w:hAnsi="Times New Roman" w:cs="Times New Roman"/>
          <w:sz w:val="28"/>
          <w:szCs w:val="28"/>
        </w:rPr>
        <w:t xml:space="preserve"> </w:t>
      </w:r>
      <w:r w:rsidRPr="004135FE">
        <w:rPr>
          <w:rFonts w:ascii="Times New Roman" w:hAnsi="Times New Roman" w:cs="Times New Roman"/>
          <w:sz w:val="28"/>
          <w:szCs w:val="28"/>
        </w:rPr>
        <w:t>- В</w:t>
      </w:r>
      <w:r w:rsidRPr="004135FE">
        <w:rPr>
          <w:rFonts w:ascii="Times New Roman" w:hAnsi="Times New Roman" w:cs="Times New Roman"/>
          <w:bCs/>
          <w:sz w:val="28"/>
          <w:szCs w:val="28"/>
        </w:rPr>
        <w:t xml:space="preserve">озникшие трудности </w:t>
      </w:r>
      <w:r w:rsidRPr="004135FE">
        <w:rPr>
          <w:rFonts w:ascii="Times New Roman" w:hAnsi="Times New Roman" w:cs="Times New Roman"/>
          <w:sz w:val="28"/>
          <w:szCs w:val="28"/>
        </w:rPr>
        <w:t xml:space="preserve">при получении медицинских услуг </w:t>
      </w:r>
      <w:r w:rsidRPr="004135FE">
        <w:rPr>
          <w:rFonts w:ascii="Times New Roman" w:hAnsi="Times New Roman" w:cs="Times New Roman"/>
          <w:bCs/>
          <w:sz w:val="28"/>
          <w:szCs w:val="28"/>
        </w:rPr>
        <w:t>в</w:t>
      </w:r>
      <w:r w:rsidRPr="004135FE">
        <w:rPr>
          <w:rFonts w:ascii="Times New Roman" w:hAnsi="Times New Roman" w:cs="Times New Roman"/>
          <w:sz w:val="28"/>
          <w:szCs w:val="28"/>
        </w:rPr>
        <w:t xml:space="preserve">о время карантина </w:t>
      </w:r>
      <w:r w:rsidRPr="004135FE">
        <w:rPr>
          <w:rFonts w:ascii="Times New Roman" w:hAnsi="Times New Roman" w:cs="Times New Roman"/>
          <w:sz w:val="28"/>
          <w:szCs w:val="28"/>
          <w:lang w:val="en-US"/>
        </w:rPr>
        <w:t>COVID</w:t>
      </w:r>
      <w:r w:rsidRPr="004135FE">
        <w:rPr>
          <w:rFonts w:ascii="Times New Roman" w:hAnsi="Times New Roman" w:cs="Times New Roman"/>
          <w:sz w:val="28"/>
          <w:szCs w:val="28"/>
        </w:rPr>
        <w:t>-19 и наличия предложения о доставке с поликлиники на дом лекарственных препаратов</w:t>
      </w:r>
    </w:p>
    <w:p w14:paraId="512546DC" w14:textId="77777777" w:rsidR="00BB5424" w:rsidRPr="004135FE" w:rsidRDefault="00BB5424" w:rsidP="0040185B">
      <w:pPr>
        <w:autoSpaceDE w:val="0"/>
        <w:autoSpaceDN w:val="0"/>
        <w:adjustRightInd w:val="0"/>
        <w:spacing w:after="0" w:line="240" w:lineRule="auto"/>
        <w:jc w:val="center"/>
        <w:rPr>
          <w:rFonts w:ascii="Times New Roman" w:hAnsi="Times New Roman" w:cs="Times New Roman"/>
          <w:sz w:val="28"/>
          <w:szCs w:val="28"/>
        </w:rPr>
      </w:pPr>
    </w:p>
    <w:p w14:paraId="1BCA85EC" w14:textId="1B3E8589"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Во время приема на осмотр и обследование пациентов СД 2 типа в 31,7% ДИ (</w:t>
      </w:r>
      <w:r w:rsidRPr="004135FE">
        <w:rPr>
          <w:rFonts w:ascii="Times New Roman" w:eastAsia="Times New Roman" w:hAnsi="Times New Roman" w:cs="Times New Roman"/>
          <w:sz w:val="28"/>
          <w:szCs w:val="28"/>
        </w:rPr>
        <w:t>30,39; 33,03) случаях</w:t>
      </w:r>
      <w:r w:rsidRPr="004135FE">
        <w:rPr>
          <w:rFonts w:ascii="Times New Roman" w:hAnsi="Times New Roman" w:cs="Times New Roman"/>
          <w:sz w:val="28"/>
          <w:szCs w:val="28"/>
        </w:rPr>
        <w:t xml:space="preserve"> медперсонал уделяют до 5 мин. и в 29,8% ДИ (</w:t>
      </w:r>
      <w:r w:rsidRPr="004135FE">
        <w:rPr>
          <w:rFonts w:ascii="Times New Roman" w:eastAsia="Times New Roman" w:hAnsi="Times New Roman" w:cs="Times New Roman"/>
          <w:sz w:val="28"/>
          <w:szCs w:val="28"/>
        </w:rPr>
        <w:t>28,43; 31,19)</w:t>
      </w:r>
      <w:r w:rsidRPr="004135FE">
        <w:rPr>
          <w:rFonts w:ascii="Times New Roman" w:hAnsi="Times New Roman" w:cs="Times New Roman"/>
          <w:sz w:val="28"/>
          <w:szCs w:val="28"/>
        </w:rPr>
        <w:t xml:space="preserve"> </w:t>
      </w:r>
      <w:r w:rsidRPr="004135FE">
        <w:rPr>
          <w:rFonts w:ascii="Times New Roman" w:eastAsia="Times New Roman" w:hAnsi="Times New Roman" w:cs="Times New Roman"/>
          <w:sz w:val="28"/>
          <w:szCs w:val="28"/>
        </w:rPr>
        <w:t>случаях</w:t>
      </w:r>
      <w:r w:rsidRPr="004135FE">
        <w:rPr>
          <w:rFonts w:ascii="Times New Roman" w:hAnsi="Times New Roman" w:cs="Times New Roman"/>
          <w:sz w:val="28"/>
          <w:szCs w:val="28"/>
        </w:rPr>
        <w:t xml:space="preserve"> 10-15 мин. По мнению пациентов, на оформление документации в 36,0% ДИ (</w:t>
      </w:r>
      <w:r w:rsidRPr="004135FE">
        <w:rPr>
          <w:rFonts w:ascii="Times New Roman" w:eastAsia="Times New Roman" w:hAnsi="Times New Roman" w:cs="Times New Roman"/>
          <w:sz w:val="28"/>
          <w:szCs w:val="28"/>
        </w:rPr>
        <w:t>34,81; 37,20) случаях</w:t>
      </w:r>
      <w:r w:rsidRPr="004135FE">
        <w:rPr>
          <w:rFonts w:ascii="Times New Roman" w:hAnsi="Times New Roman" w:cs="Times New Roman"/>
          <w:sz w:val="28"/>
          <w:szCs w:val="28"/>
        </w:rPr>
        <w:t xml:space="preserve"> врачи тратят до 5 мин., и в 27,3% ДИ (</w:t>
      </w:r>
      <w:r w:rsidRPr="004135FE">
        <w:rPr>
          <w:rFonts w:ascii="Times New Roman" w:eastAsia="Times New Roman" w:hAnsi="Times New Roman" w:cs="Times New Roman"/>
          <w:sz w:val="28"/>
          <w:szCs w:val="28"/>
        </w:rPr>
        <w:t>25,84; 28,77)</w:t>
      </w:r>
      <w:r w:rsidRPr="004135FE">
        <w:rPr>
          <w:rFonts w:ascii="Times New Roman" w:hAnsi="Times New Roman" w:cs="Times New Roman"/>
          <w:sz w:val="28"/>
          <w:szCs w:val="28"/>
        </w:rPr>
        <w:t xml:space="preserve"> случаях 10 -15мин (Таблица </w:t>
      </w:r>
      <w:r w:rsidR="003C3318" w:rsidRPr="004135FE">
        <w:rPr>
          <w:rFonts w:ascii="Times New Roman" w:hAnsi="Times New Roman" w:cs="Times New Roman"/>
          <w:sz w:val="28"/>
          <w:szCs w:val="28"/>
        </w:rPr>
        <w:t>4</w:t>
      </w:r>
      <w:r w:rsidR="00B728EF" w:rsidRPr="004135FE">
        <w:rPr>
          <w:rFonts w:ascii="Times New Roman" w:hAnsi="Times New Roman" w:cs="Times New Roman"/>
          <w:sz w:val="28"/>
          <w:szCs w:val="28"/>
        </w:rPr>
        <w:t>5</w:t>
      </w:r>
      <w:r w:rsidRPr="004135FE">
        <w:rPr>
          <w:rFonts w:ascii="Times New Roman" w:hAnsi="Times New Roman" w:cs="Times New Roman"/>
          <w:sz w:val="28"/>
          <w:szCs w:val="28"/>
        </w:rPr>
        <w:t>). Необходимо уделять максимальное время приема на самого пациента, для борьбы с диабетом на уровне ПМСП.</w:t>
      </w:r>
    </w:p>
    <w:p w14:paraId="43807E62" w14:textId="1C567C03" w:rsidR="007A2C38" w:rsidRDefault="007A2C38" w:rsidP="004135FE">
      <w:pPr>
        <w:spacing w:after="0" w:line="240" w:lineRule="auto"/>
        <w:jc w:val="both"/>
        <w:rPr>
          <w:rFonts w:ascii="Times New Roman" w:hAnsi="Times New Roman" w:cs="Times New Roman"/>
          <w:sz w:val="28"/>
          <w:szCs w:val="28"/>
        </w:rPr>
      </w:pPr>
    </w:p>
    <w:p w14:paraId="3CE03D5B" w14:textId="019EA3BB" w:rsidR="00BB5424" w:rsidRDefault="00BB5424" w:rsidP="004135FE">
      <w:pPr>
        <w:spacing w:after="0" w:line="240" w:lineRule="auto"/>
        <w:jc w:val="both"/>
        <w:rPr>
          <w:rFonts w:ascii="Times New Roman" w:hAnsi="Times New Roman" w:cs="Times New Roman"/>
          <w:sz w:val="28"/>
          <w:szCs w:val="28"/>
        </w:rPr>
      </w:pPr>
    </w:p>
    <w:p w14:paraId="3DFBDDFA" w14:textId="027F9DA3" w:rsidR="00BB5424" w:rsidRDefault="00BB5424" w:rsidP="004135FE">
      <w:pPr>
        <w:spacing w:after="0" w:line="240" w:lineRule="auto"/>
        <w:jc w:val="both"/>
        <w:rPr>
          <w:rFonts w:ascii="Times New Roman" w:hAnsi="Times New Roman" w:cs="Times New Roman"/>
          <w:sz w:val="28"/>
          <w:szCs w:val="28"/>
        </w:rPr>
      </w:pPr>
    </w:p>
    <w:p w14:paraId="74CF1EAC" w14:textId="48D8AFFC" w:rsidR="00BB5424" w:rsidRDefault="00BB5424" w:rsidP="004135FE">
      <w:pPr>
        <w:spacing w:after="0" w:line="240" w:lineRule="auto"/>
        <w:jc w:val="both"/>
        <w:rPr>
          <w:rFonts w:ascii="Times New Roman" w:hAnsi="Times New Roman" w:cs="Times New Roman"/>
          <w:sz w:val="28"/>
          <w:szCs w:val="28"/>
        </w:rPr>
      </w:pPr>
    </w:p>
    <w:p w14:paraId="3BE43EEC" w14:textId="74738E33" w:rsidR="00BB5424" w:rsidRDefault="00BB5424" w:rsidP="004135FE">
      <w:pPr>
        <w:spacing w:after="0" w:line="240" w:lineRule="auto"/>
        <w:jc w:val="both"/>
        <w:rPr>
          <w:rFonts w:ascii="Times New Roman" w:hAnsi="Times New Roman" w:cs="Times New Roman"/>
          <w:sz w:val="28"/>
          <w:szCs w:val="28"/>
        </w:rPr>
      </w:pPr>
    </w:p>
    <w:p w14:paraId="10233710" w14:textId="77777777" w:rsidR="00BB5424" w:rsidRDefault="00BB5424" w:rsidP="004135FE">
      <w:pPr>
        <w:spacing w:after="0" w:line="240" w:lineRule="auto"/>
        <w:jc w:val="both"/>
        <w:rPr>
          <w:rFonts w:ascii="Times New Roman" w:hAnsi="Times New Roman" w:cs="Times New Roman"/>
          <w:sz w:val="28"/>
          <w:szCs w:val="28"/>
        </w:rPr>
      </w:pPr>
    </w:p>
    <w:p w14:paraId="6DF0E064" w14:textId="4CDD4CDF" w:rsidR="00BB5424" w:rsidRDefault="00BB5424" w:rsidP="004135FE">
      <w:pPr>
        <w:spacing w:after="0" w:line="240" w:lineRule="auto"/>
        <w:jc w:val="both"/>
        <w:rPr>
          <w:rFonts w:ascii="Times New Roman" w:hAnsi="Times New Roman" w:cs="Times New Roman"/>
          <w:sz w:val="28"/>
          <w:szCs w:val="28"/>
        </w:rPr>
      </w:pPr>
    </w:p>
    <w:p w14:paraId="46CA2DF2" w14:textId="10DC8E43" w:rsidR="0040185B" w:rsidRDefault="007A2C38" w:rsidP="004135FE">
      <w:pPr>
        <w:tabs>
          <w:tab w:val="center" w:pos="3571"/>
        </w:tabs>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b/>
          <w:bCs/>
          <w:sz w:val="28"/>
          <w:szCs w:val="28"/>
        </w:rPr>
        <w:tab/>
      </w:r>
      <w:r w:rsidRPr="004135FE">
        <w:rPr>
          <w:rFonts w:ascii="Times New Roman" w:hAnsi="Times New Roman" w:cs="Times New Roman"/>
          <w:sz w:val="28"/>
          <w:szCs w:val="28"/>
        </w:rPr>
        <w:t xml:space="preserve">Таблица </w:t>
      </w:r>
      <w:r w:rsidR="003C3318" w:rsidRPr="004135FE">
        <w:rPr>
          <w:rFonts w:ascii="Times New Roman" w:hAnsi="Times New Roman" w:cs="Times New Roman"/>
          <w:sz w:val="28"/>
          <w:szCs w:val="28"/>
        </w:rPr>
        <w:t>4</w:t>
      </w:r>
      <w:r w:rsidR="00B728EF" w:rsidRPr="004135FE">
        <w:rPr>
          <w:rFonts w:ascii="Times New Roman" w:hAnsi="Times New Roman" w:cs="Times New Roman"/>
          <w:sz w:val="28"/>
          <w:szCs w:val="28"/>
        </w:rPr>
        <w:t>5</w:t>
      </w:r>
      <w:r w:rsidR="00077E0F">
        <w:rPr>
          <w:rFonts w:ascii="Times New Roman" w:hAnsi="Times New Roman" w:cs="Times New Roman"/>
          <w:sz w:val="28"/>
          <w:szCs w:val="28"/>
        </w:rPr>
        <w:t xml:space="preserve"> </w:t>
      </w:r>
      <w:r w:rsidRPr="004135FE">
        <w:rPr>
          <w:rFonts w:ascii="Times New Roman" w:hAnsi="Times New Roman" w:cs="Times New Roman"/>
          <w:bCs/>
          <w:sz w:val="28"/>
          <w:szCs w:val="28"/>
        </w:rPr>
        <w:t>-</w:t>
      </w:r>
      <w:r w:rsidR="00077E0F">
        <w:rPr>
          <w:rFonts w:ascii="Times New Roman" w:hAnsi="Times New Roman" w:cs="Times New Roman"/>
          <w:bCs/>
          <w:sz w:val="28"/>
          <w:szCs w:val="28"/>
        </w:rPr>
        <w:t xml:space="preserve"> </w:t>
      </w:r>
      <w:r w:rsidRPr="004135FE">
        <w:rPr>
          <w:rFonts w:ascii="Times New Roman" w:hAnsi="Times New Roman" w:cs="Times New Roman"/>
          <w:bCs/>
          <w:sz w:val="28"/>
          <w:szCs w:val="28"/>
        </w:rPr>
        <w:t xml:space="preserve">Распределение </w:t>
      </w:r>
      <w:r w:rsidRPr="004135FE">
        <w:rPr>
          <w:rFonts w:ascii="Times New Roman" w:hAnsi="Times New Roman" w:cs="Times New Roman"/>
          <w:sz w:val="28"/>
          <w:szCs w:val="28"/>
        </w:rPr>
        <w:t>времени медперсонала во время приема</w:t>
      </w:r>
      <w:r w:rsidRPr="004135FE">
        <w:rPr>
          <w:rFonts w:ascii="Times New Roman" w:hAnsi="Times New Roman" w:cs="Times New Roman"/>
          <w:bCs/>
          <w:sz w:val="28"/>
          <w:szCs w:val="28"/>
        </w:rPr>
        <w:t xml:space="preserve"> </w:t>
      </w:r>
      <w:r w:rsidRPr="004135FE">
        <w:rPr>
          <w:rFonts w:ascii="Times New Roman" w:hAnsi="Times New Roman" w:cs="Times New Roman"/>
          <w:sz w:val="28"/>
          <w:szCs w:val="28"/>
        </w:rPr>
        <w:t>пациента</w:t>
      </w:r>
    </w:p>
    <w:p w14:paraId="337D52AA" w14:textId="5E824627" w:rsidR="007A2C38" w:rsidRPr="004135FE" w:rsidRDefault="007A2C38" w:rsidP="004135FE">
      <w:pPr>
        <w:tabs>
          <w:tab w:val="center" w:pos="3571"/>
        </w:tabs>
        <w:autoSpaceDE w:val="0"/>
        <w:autoSpaceDN w:val="0"/>
        <w:adjustRightInd w:val="0"/>
        <w:spacing w:after="0" w:line="240" w:lineRule="auto"/>
        <w:jc w:val="both"/>
        <w:rPr>
          <w:rFonts w:ascii="Times New Roman" w:hAnsi="Times New Roman" w:cs="Times New Roman"/>
          <w:b/>
          <w:bCs/>
          <w:sz w:val="28"/>
          <w:szCs w:val="28"/>
        </w:rPr>
      </w:pPr>
      <w:r w:rsidRPr="004135FE">
        <w:rPr>
          <w:rFonts w:ascii="Times New Roman" w:hAnsi="Times New Roman" w:cs="Times New Roman"/>
          <w:sz w:val="28"/>
          <w:szCs w:val="28"/>
        </w:rPr>
        <w:t xml:space="preserve">                                         </w:t>
      </w:r>
    </w:p>
    <w:tbl>
      <w:tblPr>
        <w:tblStyle w:val="af9"/>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814"/>
        <w:gridCol w:w="1701"/>
        <w:gridCol w:w="1701"/>
        <w:gridCol w:w="2439"/>
      </w:tblGrid>
      <w:tr w:rsidR="007A2C38" w:rsidRPr="004135FE" w14:paraId="470122E5" w14:textId="77777777" w:rsidTr="0040185B">
        <w:tc>
          <w:tcPr>
            <w:tcW w:w="9351" w:type="dxa"/>
            <w:gridSpan w:val="5"/>
          </w:tcPr>
          <w:p w14:paraId="69D90E29" w14:textId="77777777" w:rsidR="007A2C38" w:rsidRPr="004135FE" w:rsidRDefault="007A2C38"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bCs/>
                <w:sz w:val="28"/>
                <w:szCs w:val="28"/>
              </w:rPr>
              <w:t xml:space="preserve">Распределение </w:t>
            </w:r>
            <w:r w:rsidRPr="004135FE">
              <w:rPr>
                <w:rFonts w:ascii="Times New Roman" w:hAnsi="Times New Roman" w:cs="Times New Roman"/>
                <w:sz w:val="28"/>
                <w:szCs w:val="28"/>
              </w:rPr>
              <w:t>времени медперсонала во время приема</w:t>
            </w:r>
            <w:r w:rsidRPr="004135FE">
              <w:rPr>
                <w:rFonts w:ascii="Times New Roman" w:hAnsi="Times New Roman" w:cs="Times New Roman"/>
                <w:bCs/>
                <w:sz w:val="28"/>
                <w:szCs w:val="28"/>
              </w:rPr>
              <w:t xml:space="preserve"> </w:t>
            </w:r>
            <w:r w:rsidRPr="004135FE">
              <w:rPr>
                <w:rFonts w:ascii="Times New Roman" w:hAnsi="Times New Roman" w:cs="Times New Roman"/>
                <w:sz w:val="28"/>
                <w:szCs w:val="28"/>
              </w:rPr>
              <w:t>пациента</w:t>
            </w:r>
          </w:p>
        </w:tc>
      </w:tr>
      <w:tr w:rsidR="007A2C38" w:rsidRPr="004135FE" w14:paraId="01CCE100" w14:textId="77777777" w:rsidTr="00620A16">
        <w:tc>
          <w:tcPr>
            <w:tcW w:w="1696" w:type="dxa"/>
            <w:vMerge w:val="restart"/>
          </w:tcPr>
          <w:p w14:paraId="11A48987" w14:textId="3A1662BF" w:rsidR="007A2C38" w:rsidRPr="004135FE" w:rsidRDefault="0040185B" w:rsidP="004135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Время</w:t>
            </w:r>
          </w:p>
        </w:tc>
        <w:tc>
          <w:tcPr>
            <w:tcW w:w="3515" w:type="dxa"/>
            <w:gridSpan w:val="2"/>
          </w:tcPr>
          <w:p w14:paraId="703CCDD1" w14:textId="77777777" w:rsidR="007A2C38" w:rsidRPr="004135FE" w:rsidRDefault="007A2C38"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На осмотр и обследование</w:t>
            </w:r>
          </w:p>
        </w:tc>
        <w:tc>
          <w:tcPr>
            <w:tcW w:w="4140" w:type="dxa"/>
            <w:gridSpan w:val="2"/>
          </w:tcPr>
          <w:p w14:paraId="67B0B998" w14:textId="77777777" w:rsidR="007A2C38" w:rsidRPr="004135FE" w:rsidRDefault="007A2C38"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На оформление документации</w:t>
            </w:r>
          </w:p>
        </w:tc>
      </w:tr>
      <w:tr w:rsidR="007A2C38" w:rsidRPr="004135FE" w14:paraId="16E4E497" w14:textId="77777777" w:rsidTr="00620A16">
        <w:tc>
          <w:tcPr>
            <w:tcW w:w="1696" w:type="dxa"/>
            <w:vMerge/>
          </w:tcPr>
          <w:p w14:paraId="2BE07C3E" w14:textId="77777777" w:rsidR="007A2C38" w:rsidRPr="004135FE" w:rsidRDefault="007A2C38" w:rsidP="004135FE">
            <w:pPr>
              <w:spacing w:after="0" w:line="240" w:lineRule="auto"/>
              <w:jc w:val="center"/>
              <w:rPr>
                <w:rFonts w:ascii="Times New Roman" w:hAnsi="Times New Roman" w:cs="Times New Roman"/>
                <w:sz w:val="28"/>
                <w:szCs w:val="28"/>
              </w:rPr>
            </w:pPr>
          </w:p>
        </w:tc>
        <w:tc>
          <w:tcPr>
            <w:tcW w:w="1814" w:type="dxa"/>
          </w:tcPr>
          <w:p w14:paraId="5E0B15B0" w14:textId="77777777" w:rsidR="007A2C38" w:rsidRPr="004135FE" w:rsidRDefault="007A2C38"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Абс (%)</w:t>
            </w:r>
          </w:p>
        </w:tc>
        <w:tc>
          <w:tcPr>
            <w:tcW w:w="1701" w:type="dxa"/>
          </w:tcPr>
          <w:p w14:paraId="6A4BF67F" w14:textId="77777777" w:rsidR="007A2C38" w:rsidRPr="004135FE" w:rsidRDefault="007A2C38"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ДИ</w:t>
            </w:r>
          </w:p>
        </w:tc>
        <w:tc>
          <w:tcPr>
            <w:tcW w:w="1701" w:type="dxa"/>
          </w:tcPr>
          <w:p w14:paraId="7F3C661C" w14:textId="77777777" w:rsidR="007A2C38" w:rsidRPr="004135FE" w:rsidRDefault="007A2C38"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Абс (%)</w:t>
            </w:r>
          </w:p>
        </w:tc>
        <w:tc>
          <w:tcPr>
            <w:tcW w:w="2439" w:type="dxa"/>
          </w:tcPr>
          <w:p w14:paraId="4B2649AA" w14:textId="77777777" w:rsidR="007A2C38" w:rsidRPr="004135FE" w:rsidRDefault="007A2C38"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ДИ</w:t>
            </w:r>
          </w:p>
        </w:tc>
      </w:tr>
      <w:tr w:rsidR="007A2C38" w:rsidRPr="004135FE" w14:paraId="389D97E7" w14:textId="77777777" w:rsidTr="00620A16">
        <w:tc>
          <w:tcPr>
            <w:tcW w:w="1696" w:type="dxa"/>
          </w:tcPr>
          <w:p w14:paraId="6622228F"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 минута</w:t>
            </w:r>
          </w:p>
        </w:tc>
        <w:tc>
          <w:tcPr>
            <w:tcW w:w="1814" w:type="dxa"/>
          </w:tcPr>
          <w:p w14:paraId="4694C082" w14:textId="22FCF520"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3</w:t>
            </w:r>
            <w:r w:rsidR="00620A16">
              <w:rPr>
                <w:rFonts w:ascii="Times New Roman" w:hAnsi="Times New Roman" w:cs="Times New Roman"/>
                <w:sz w:val="28"/>
                <w:szCs w:val="28"/>
              </w:rPr>
              <w:t xml:space="preserve"> </w:t>
            </w:r>
            <w:r w:rsidRPr="004135FE">
              <w:rPr>
                <w:rFonts w:ascii="Times New Roman" w:hAnsi="Times New Roman" w:cs="Times New Roman"/>
                <w:sz w:val="28"/>
                <w:szCs w:val="28"/>
              </w:rPr>
              <w:t>(0,6%)</w:t>
            </w:r>
          </w:p>
        </w:tc>
        <w:tc>
          <w:tcPr>
            <w:tcW w:w="1701" w:type="dxa"/>
          </w:tcPr>
          <w:p w14:paraId="53AA1F08"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-10,68; 12,51</w:t>
            </w:r>
          </w:p>
        </w:tc>
        <w:tc>
          <w:tcPr>
            <w:tcW w:w="1701" w:type="dxa"/>
          </w:tcPr>
          <w:p w14:paraId="40754DA6"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w:t>
            </w:r>
          </w:p>
        </w:tc>
        <w:tc>
          <w:tcPr>
            <w:tcW w:w="2439" w:type="dxa"/>
          </w:tcPr>
          <w:p w14:paraId="6F30A7AD"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w:t>
            </w:r>
          </w:p>
        </w:tc>
      </w:tr>
      <w:tr w:rsidR="007A2C38" w:rsidRPr="004135FE" w14:paraId="5A059E27" w14:textId="77777777" w:rsidTr="00620A16">
        <w:tc>
          <w:tcPr>
            <w:tcW w:w="1696" w:type="dxa"/>
          </w:tcPr>
          <w:p w14:paraId="10D93CBB"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 минуты</w:t>
            </w:r>
          </w:p>
        </w:tc>
        <w:tc>
          <w:tcPr>
            <w:tcW w:w="1814" w:type="dxa"/>
          </w:tcPr>
          <w:p w14:paraId="78FB942B" w14:textId="202E1589"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39</w:t>
            </w:r>
            <w:r w:rsidR="00620A16">
              <w:rPr>
                <w:rFonts w:ascii="Times New Roman" w:hAnsi="Times New Roman" w:cs="Times New Roman"/>
                <w:sz w:val="28"/>
                <w:szCs w:val="28"/>
              </w:rPr>
              <w:t xml:space="preserve"> </w:t>
            </w:r>
            <w:r w:rsidRPr="004135FE">
              <w:rPr>
                <w:rFonts w:ascii="Times New Roman" w:hAnsi="Times New Roman" w:cs="Times New Roman"/>
                <w:sz w:val="28"/>
                <w:szCs w:val="28"/>
              </w:rPr>
              <w:t>(8,1%)</w:t>
            </w:r>
          </w:p>
        </w:tc>
        <w:tc>
          <w:tcPr>
            <w:tcW w:w="1701" w:type="dxa"/>
          </w:tcPr>
          <w:p w14:paraId="66702556"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5,09; 11,16</w:t>
            </w:r>
          </w:p>
        </w:tc>
        <w:tc>
          <w:tcPr>
            <w:tcW w:w="1701" w:type="dxa"/>
          </w:tcPr>
          <w:p w14:paraId="77554DD9" w14:textId="07440E79"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78</w:t>
            </w:r>
            <w:r w:rsidR="00620A16">
              <w:rPr>
                <w:rFonts w:ascii="Times New Roman" w:hAnsi="Times New Roman" w:cs="Times New Roman"/>
                <w:sz w:val="28"/>
                <w:szCs w:val="28"/>
              </w:rPr>
              <w:t xml:space="preserve"> </w:t>
            </w:r>
            <w:r w:rsidRPr="004135FE">
              <w:rPr>
                <w:rFonts w:ascii="Times New Roman" w:hAnsi="Times New Roman" w:cs="Times New Roman"/>
                <w:sz w:val="28"/>
                <w:szCs w:val="28"/>
              </w:rPr>
              <w:t>(16,3%)</w:t>
            </w:r>
          </w:p>
        </w:tc>
        <w:tc>
          <w:tcPr>
            <w:tcW w:w="2439" w:type="dxa"/>
          </w:tcPr>
          <w:p w14:paraId="1E987678"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14,27; 18,35</w:t>
            </w:r>
          </w:p>
        </w:tc>
      </w:tr>
      <w:tr w:rsidR="007A2C38" w:rsidRPr="004135FE" w14:paraId="39D47217" w14:textId="77777777" w:rsidTr="00620A16">
        <w:tc>
          <w:tcPr>
            <w:tcW w:w="1696" w:type="dxa"/>
          </w:tcPr>
          <w:p w14:paraId="24911FBA"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5 минут</w:t>
            </w:r>
          </w:p>
        </w:tc>
        <w:tc>
          <w:tcPr>
            <w:tcW w:w="1814" w:type="dxa"/>
          </w:tcPr>
          <w:p w14:paraId="6E7AE913" w14:textId="5D54839F"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152</w:t>
            </w:r>
            <w:r w:rsidR="00620A16">
              <w:rPr>
                <w:rFonts w:ascii="Times New Roman" w:hAnsi="Times New Roman" w:cs="Times New Roman"/>
                <w:sz w:val="28"/>
                <w:szCs w:val="28"/>
              </w:rPr>
              <w:t xml:space="preserve"> </w:t>
            </w:r>
            <w:r w:rsidRPr="004135FE">
              <w:rPr>
                <w:rFonts w:ascii="Times New Roman" w:hAnsi="Times New Roman" w:cs="Times New Roman"/>
                <w:sz w:val="28"/>
                <w:szCs w:val="28"/>
              </w:rPr>
              <w:t>(31,7%)</w:t>
            </w:r>
          </w:p>
        </w:tc>
        <w:tc>
          <w:tcPr>
            <w:tcW w:w="1701" w:type="dxa"/>
          </w:tcPr>
          <w:p w14:paraId="7C4C7B2E"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30,39; 33,03</w:t>
            </w:r>
          </w:p>
        </w:tc>
        <w:tc>
          <w:tcPr>
            <w:tcW w:w="1701" w:type="dxa"/>
          </w:tcPr>
          <w:p w14:paraId="1D1E8887" w14:textId="58EBEDD4"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173</w:t>
            </w:r>
            <w:r w:rsidR="00620A16">
              <w:rPr>
                <w:rFonts w:ascii="Times New Roman" w:hAnsi="Times New Roman" w:cs="Times New Roman"/>
                <w:sz w:val="28"/>
                <w:szCs w:val="28"/>
              </w:rPr>
              <w:t xml:space="preserve"> </w:t>
            </w:r>
            <w:r w:rsidRPr="004135FE">
              <w:rPr>
                <w:rFonts w:ascii="Times New Roman" w:hAnsi="Times New Roman" w:cs="Times New Roman"/>
                <w:sz w:val="28"/>
                <w:szCs w:val="28"/>
              </w:rPr>
              <w:t>(36,0%)</w:t>
            </w:r>
          </w:p>
        </w:tc>
        <w:tc>
          <w:tcPr>
            <w:tcW w:w="2439" w:type="dxa"/>
          </w:tcPr>
          <w:p w14:paraId="37685D6A"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34,81; 37,20</w:t>
            </w:r>
          </w:p>
        </w:tc>
      </w:tr>
      <w:tr w:rsidR="007A2C38" w:rsidRPr="004135FE" w14:paraId="2154763E" w14:textId="77777777" w:rsidTr="00620A16">
        <w:tc>
          <w:tcPr>
            <w:tcW w:w="1696" w:type="dxa"/>
          </w:tcPr>
          <w:p w14:paraId="2629BA3E"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10 минут</w:t>
            </w:r>
          </w:p>
        </w:tc>
        <w:tc>
          <w:tcPr>
            <w:tcW w:w="1814" w:type="dxa"/>
          </w:tcPr>
          <w:p w14:paraId="29DAA6DB" w14:textId="0E4A510B"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143</w:t>
            </w:r>
            <w:r w:rsidR="00620A16">
              <w:rPr>
                <w:rFonts w:ascii="Times New Roman" w:hAnsi="Times New Roman" w:cs="Times New Roman"/>
                <w:sz w:val="28"/>
                <w:szCs w:val="28"/>
              </w:rPr>
              <w:t xml:space="preserve"> </w:t>
            </w:r>
            <w:r w:rsidRPr="004135FE">
              <w:rPr>
                <w:rFonts w:ascii="Times New Roman" w:hAnsi="Times New Roman" w:cs="Times New Roman"/>
                <w:sz w:val="28"/>
                <w:szCs w:val="28"/>
              </w:rPr>
              <w:t>(29,8%)</w:t>
            </w:r>
          </w:p>
        </w:tc>
        <w:tc>
          <w:tcPr>
            <w:tcW w:w="1701" w:type="dxa"/>
          </w:tcPr>
          <w:p w14:paraId="443FDA3A"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28,43; 31,19</w:t>
            </w:r>
          </w:p>
        </w:tc>
        <w:tc>
          <w:tcPr>
            <w:tcW w:w="1701" w:type="dxa"/>
          </w:tcPr>
          <w:p w14:paraId="60A3C586" w14:textId="6E0FCEDB"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131</w:t>
            </w:r>
            <w:r w:rsidR="00620A16">
              <w:rPr>
                <w:rFonts w:ascii="Times New Roman" w:hAnsi="Times New Roman" w:cs="Times New Roman"/>
                <w:sz w:val="28"/>
                <w:szCs w:val="28"/>
              </w:rPr>
              <w:t xml:space="preserve"> </w:t>
            </w:r>
            <w:r w:rsidRPr="004135FE">
              <w:rPr>
                <w:rFonts w:ascii="Times New Roman" w:hAnsi="Times New Roman" w:cs="Times New Roman"/>
                <w:sz w:val="28"/>
                <w:szCs w:val="28"/>
              </w:rPr>
              <w:t>(27,3%)</w:t>
            </w:r>
          </w:p>
        </w:tc>
        <w:tc>
          <w:tcPr>
            <w:tcW w:w="2439" w:type="dxa"/>
          </w:tcPr>
          <w:p w14:paraId="05DD9973"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25,84; 28,77</w:t>
            </w:r>
          </w:p>
        </w:tc>
      </w:tr>
      <w:tr w:rsidR="007A2C38" w:rsidRPr="004135FE" w14:paraId="322565B6" w14:textId="77777777" w:rsidTr="00620A16">
        <w:tc>
          <w:tcPr>
            <w:tcW w:w="1696" w:type="dxa"/>
          </w:tcPr>
          <w:p w14:paraId="4048FB78"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15 минут</w:t>
            </w:r>
          </w:p>
        </w:tc>
        <w:tc>
          <w:tcPr>
            <w:tcW w:w="1814" w:type="dxa"/>
          </w:tcPr>
          <w:p w14:paraId="4AE4075B" w14:textId="5413C426"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143</w:t>
            </w:r>
            <w:r w:rsidR="00620A16">
              <w:rPr>
                <w:rFonts w:ascii="Times New Roman" w:hAnsi="Times New Roman" w:cs="Times New Roman"/>
                <w:sz w:val="28"/>
                <w:szCs w:val="28"/>
              </w:rPr>
              <w:t xml:space="preserve"> </w:t>
            </w:r>
            <w:r w:rsidRPr="004135FE">
              <w:rPr>
                <w:rFonts w:ascii="Times New Roman" w:hAnsi="Times New Roman" w:cs="Times New Roman"/>
                <w:sz w:val="28"/>
                <w:szCs w:val="28"/>
              </w:rPr>
              <w:t>(29,8%)</w:t>
            </w:r>
          </w:p>
        </w:tc>
        <w:tc>
          <w:tcPr>
            <w:tcW w:w="1701" w:type="dxa"/>
          </w:tcPr>
          <w:p w14:paraId="28FB02F4"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28,43; 31,19</w:t>
            </w:r>
          </w:p>
        </w:tc>
        <w:tc>
          <w:tcPr>
            <w:tcW w:w="1701" w:type="dxa"/>
          </w:tcPr>
          <w:p w14:paraId="40AD1CC3" w14:textId="6F7F9686"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62</w:t>
            </w:r>
            <w:r w:rsidR="00620A16">
              <w:rPr>
                <w:rFonts w:ascii="Times New Roman" w:hAnsi="Times New Roman" w:cs="Times New Roman"/>
                <w:sz w:val="28"/>
                <w:szCs w:val="28"/>
              </w:rPr>
              <w:t xml:space="preserve"> </w:t>
            </w:r>
            <w:r w:rsidRPr="004135FE">
              <w:rPr>
                <w:rFonts w:ascii="Times New Roman" w:hAnsi="Times New Roman" w:cs="Times New Roman"/>
                <w:sz w:val="28"/>
                <w:szCs w:val="28"/>
              </w:rPr>
              <w:t>(12,9%)</w:t>
            </w:r>
          </w:p>
        </w:tc>
        <w:tc>
          <w:tcPr>
            <w:tcW w:w="2439" w:type="dxa"/>
          </w:tcPr>
          <w:p w14:paraId="4C3541AD"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10,58; 15,25</w:t>
            </w:r>
          </w:p>
        </w:tc>
      </w:tr>
      <w:tr w:rsidR="007A2C38" w:rsidRPr="004135FE" w14:paraId="7819089A" w14:textId="77777777" w:rsidTr="00620A16">
        <w:tc>
          <w:tcPr>
            <w:tcW w:w="1696" w:type="dxa"/>
          </w:tcPr>
          <w:p w14:paraId="5FBBC51E" w14:textId="2ED0181C"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20 мин</w:t>
            </w:r>
            <w:r w:rsidR="0040185B">
              <w:rPr>
                <w:rFonts w:ascii="Times New Roman" w:hAnsi="Times New Roman" w:cs="Times New Roman"/>
                <w:sz w:val="28"/>
                <w:szCs w:val="28"/>
              </w:rPr>
              <w:t>ут</w:t>
            </w:r>
          </w:p>
        </w:tc>
        <w:tc>
          <w:tcPr>
            <w:tcW w:w="1814" w:type="dxa"/>
          </w:tcPr>
          <w:p w14:paraId="4185ED1C"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w:t>
            </w:r>
          </w:p>
        </w:tc>
        <w:tc>
          <w:tcPr>
            <w:tcW w:w="1701" w:type="dxa"/>
          </w:tcPr>
          <w:p w14:paraId="49E62383"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w:t>
            </w:r>
          </w:p>
        </w:tc>
        <w:tc>
          <w:tcPr>
            <w:tcW w:w="1701" w:type="dxa"/>
          </w:tcPr>
          <w:p w14:paraId="1CED385A" w14:textId="0CBE9356"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36</w:t>
            </w:r>
            <w:r w:rsidR="00620A16">
              <w:rPr>
                <w:rFonts w:ascii="Times New Roman" w:hAnsi="Times New Roman" w:cs="Times New Roman"/>
                <w:sz w:val="28"/>
                <w:szCs w:val="28"/>
              </w:rPr>
              <w:t xml:space="preserve"> </w:t>
            </w:r>
            <w:r w:rsidRPr="004135FE">
              <w:rPr>
                <w:rFonts w:ascii="Times New Roman" w:hAnsi="Times New Roman" w:cs="Times New Roman"/>
                <w:sz w:val="28"/>
                <w:szCs w:val="28"/>
              </w:rPr>
              <w:t>(7,5%)</w:t>
            </w:r>
          </w:p>
        </w:tc>
        <w:tc>
          <w:tcPr>
            <w:tcW w:w="2439" w:type="dxa"/>
          </w:tcPr>
          <w:p w14:paraId="53978D6A"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4,36; 10,69</w:t>
            </w:r>
          </w:p>
        </w:tc>
      </w:tr>
      <w:tr w:rsidR="007A2C38" w:rsidRPr="004135FE" w14:paraId="2A9A5D48" w14:textId="77777777" w:rsidTr="00620A16">
        <w:tc>
          <w:tcPr>
            <w:tcW w:w="1696" w:type="dxa"/>
          </w:tcPr>
          <w:p w14:paraId="736BE7C4"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Итого</w:t>
            </w:r>
          </w:p>
        </w:tc>
        <w:tc>
          <w:tcPr>
            <w:tcW w:w="1814" w:type="dxa"/>
          </w:tcPr>
          <w:p w14:paraId="0DA732BB" w14:textId="0BDF0EB6"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480</w:t>
            </w:r>
            <w:r w:rsidR="00620A16">
              <w:rPr>
                <w:rFonts w:ascii="Times New Roman" w:hAnsi="Times New Roman" w:cs="Times New Roman"/>
                <w:sz w:val="28"/>
                <w:szCs w:val="28"/>
              </w:rPr>
              <w:t xml:space="preserve"> </w:t>
            </w:r>
            <w:r w:rsidRPr="004135FE">
              <w:rPr>
                <w:rFonts w:ascii="Times New Roman" w:hAnsi="Times New Roman" w:cs="Times New Roman"/>
                <w:sz w:val="28"/>
                <w:szCs w:val="28"/>
              </w:rPr>
              <w:t>(100,0%)</w:t>
            </w:r>
          </w:p>
        </w:tc>
        <w:tc>
          <w:tcPr>
            <w:tcW w:w="1701" w:type="dxa"/>
          </w:tcPr>
          <w:p w14:paraId="6251F265" w14:textId="0039B15C" w:rsidR="007A2C38" w:rsidRPr="004135FE" w:rsidRDefault="0040185B" w:rsidP="004135FE">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701" w:type="dxa"/>
          </w:tcPr>
          <w:p w14:paraId="7CCCEAF3" w14:textId="0626F914"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480</w:t>
            </w:r>
            <w:r w:rsidR="00620A16">
              <w:rPr>
                <w:rFonts w:ascii="Times New Roman" w:hAnsi="Times New Roman" w:cs="Times New Roman"/>
                <w:sz w:val="28"/>
                <w:szCs w:val="28"/>
              </w:rPr>
              <w:t xml:space="preserve"> </w:t>
            </w:r>
            <w:r w:rsidRPr="004135FE">
              <w:rPr>
                <w:rFonts w:ascii="Times New Roman" w:hAnsi="Times New Roman" w:cs="Times New Roman"/>
                <w:sz w:val="28"/>
                <w:szCs w:val="28"/>
              </w:rPr>
              <w:t>(100,0%)</w:t>
            </w:r>
          </w:p>
        </w:tc>
        <w:tc>
          <w:tcPr>
            <w:tcW w:w="2439" w:type="dxa"/>
          </w:tcPr>
          <w:p w14:paraId="5C5E5972" w14:textId="4055B8F7" w:rsidR="007A2C38" w:rsidRPr="004135FE" w:rsidRDefault="0040185B" w:rsidP="004135FE">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r>
    </w:tbl>
    <w:p w14:paraId="7EF95816" w14:textId="77777777" w:rsidR="007A2C38" w:rsidRPr="004135FE" w:rsidRDefault="007A2C38" w:rsidP="004135FE">
      <w:pPr>
        <w:spacing w:after="0" w:line="240" w:lineRule="auto"/>
        <w:jc w:val="both"/>
        <w:rPr>
          <w:rFonts w:ascii="Times New Roman" w:hAnsi="Times New Roman" w:cs="Times New Roman"/>
          <w:b/>
          <w:bCs/>
          <w:sz w:val="28"/>
          <w:szCs w:val="28"/>
        </w:rPr>
      </w:pPr>
    </w:p>
    <w:p w14:paraId="3EB54864" w14:textId="79994B43" w:rsidR="007A2C38" w:rsidRPr="004135FE" w:rsidRDefault="007A2C38" w:rsidP="004135FE">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В обычное время оказанием медицинской помощи персонала кабинета эндокринолога удовлетворены 30% ДИ (</w:t>
      </w:r>
      <w:r w:rsidRPr="004135FE">
        <w:rPr>
          <w:rFonts w:ascii="Times New Roman" w:eastAsia="Times New Roman" w:hAnsi="Times New Roman" w:cs="Times New Roman"/>
          <w:sz w:val="28"/>
          <w:szCs w:val="28"/>
        </w:rPr>
        <w:t>28,63;31,38)</w:t>
      </w:r>
      <w:r w:rsidRPr="004135FE">
        <w:rPr>
          <w:rFonts w:ascii="Times New Roman" w:hAnsi="Times New Roman" w:cs="Times New Roman"/>
          <w:sz w:val="28"/>
          <w:szCs w:val="28"/>
        </w:rPr>
        <w:t xml:space="preserve"> опрошенных на 91-100% (</w:t>
      </w:r>
      <w:r w:rsidR="00B728EF" w:rsidRPr="004135FE">
        <w:rPr>
          <w:rFonts w:ascii="Times New Roman" w:hAnsi="Times New Roman" w:cs="Times New Roman"/>
          <w:bCs/>
          <w:sz w:val="28"/>
          <w:szCs w:val="28"/>
        </w:rPr>
        <w:t>Таблица 46</w:t>
      </w:r>
      <w:r w:rsidRPr="004135FE">
        <w:rPr>
          <w:rFonts w:ascii="Times New Roman" w:hAnsi="Times New Roman" w:cs="Times New Roman"/>
          <w:sz w:val="28"/>
          <w:szCs w:val="28"/>
        </w:rPr>
        <w:t>).  В 25,8% ДИ (</w:t>
      </w:r>
      <w:r w:rsidRPr="004135FE">
        <w:rPr>
          <w:rFonts w:ascii="Times New Roman" w:eastAsia="Times New Roman" w:hAnsi="Times New Roman" w:cs="Times New Roman"/>
          <w:sz w:val="28"/>
          <w:szCs w:val="28"/>
        </w:rPr>
        <w:t xml:space="preserve">24,28;27,33) случаях </w:t>
      </w:r>
      <w:r w:rsidRPr="004135FE">
        <w:rPr>
          <w:rFonts w:ascii="Times New Roman" w:hAnsi="Times New Roman" w:cs="Times New Roman"/>
          <w:sz w:val="28"/>
          <w:szCs w:val="28"/>
        </w:rPr>
        <w:t>пациенты удовлетворены на 71-80% и в 20,6% ДИ (</w:t>
      </w:r>
      <w:r w:rsidRPr="004135FE">
        <w:rPr>
          <w:rFonts w:ascii="Times New Roman" w:eastAsia="Times New Roman" w:hAnsi="Times New Roman" w:cs="Times New Roman"/>
          <w:sz w:val="28"/>
          <w:szCs w:val="28"/>
        </w:rPr>
        <w:t>18,84;22,37)</w:t>
      </w:r>
      <w:r w:rsidRPr="004135FE">
        <w:rPr>
          <w:rFonts w:ascii="Times New Roman" w:hAnsi="Times New Roman" w:cs="Times New Roman"/>
          <w:sz w:val="28"/>
          <w:szCs w:val="28"/>
        </w:rPr>
        <w:t xml:space="preserve"> случаях на 81-90%. Во время карантина по коронавирусной инфекции, удовлетворенность оказанием медицинской помощи персонал кабинета эндокринолога в 31,7% ДИ (</w:t>
      </w:r>
      <w:r w:rsidRPr="004135FE">
        <w:rPr>
          <w:rFonts w:ascii="Times New Roman" w:eastAsia="Times New Roman" w:hAnsi="Times New Roman" w:cs="Times New Roman"/>
          <w:sz w:val="28"/>
          <w:szCs w:val="28"/>
        </w:rPr>
        <w:t>30,39;33,03) случаях составила</w:t>
      </w:r>
      <w:r w:rsidRPr="004135FE">
        <w:rPr>
          <w:rFonts w:ascii="Times New Roman" w:hAnsi="Times New Roman" w:cs="Times New Roman"/>
          <w:sz w:val="28"/>
          <w:szCs w:val="28"/>
        </w:rPr>
        <w:t xml:space="preserve"> 91-100%, в 23,3% ДИ (</w:t>
      </w:r>
      <w:r w:rsidRPr="004135FE">
        <w:rPr>
          <w:rFonts w:ascii="Times New Roman" w:eastAsia="Times New Roman" w:hAnsi="Times New Roman" w:cs="Times New Roman"/>
          <w:sz w:val="28"/>
          <w:szCs w:val="28"/>
        </w:rPr>
        <w:t xml:space="preserve">21,68;24,94) случаях </w:t>
      </w:r>
      <w:r w:rsidRPr="004135FE">
        <w:rPr>
          <w:rFonts w:ascii="Times New Roman" w:hAnsi="Times New Roman" w:cs="Times New Roman"/>
          <w:sz w:val="28"/>
          <w:szCs w:val="28"/>
        </w:rPr>
        <w:t>81-90% и в 14,8% ДИ (</w:t>
      </w:r>
      <w:r w:rsidRPr="004135FE">
        <w:rPr>
          <w:rFonts w:ascii="Times New Roman" w:eastAsia="Times New Roman" w:hAnsi="Times New Roman" w:cs="Times New Roman"/>
          <w:sz w:val="28"/>
          <w:szCs w:val="28"/>
        </w:rPr>
        <w:t>12,65;16,97) случаях</w:t>
      </w:r>
      <w:r w:rsidRPr="004135FE">
        <w:rPr>
          <w:rFonts w:ascii="Times New Roman" w:hAnsi="Times New Roman" w:cs="Times New Roman"/>
          <w:sz w:val="28"/>
          <w:szCs w:val="28"/>
        </w:rPr>
        <w:t xml:space="preserve"> 71-80%. Как видно по результатам исследования, пациенты примерно одинакова ответили несмотря на введения карантинного режима. Врачи вкладывают все усилия для оказания помощи больным с СД2т, хотя при опросе самих врачей, возникали трудности при организации помощи. </w:t>
      </w:r>
    </w:p>
    <w:p w14:paraId="4BA6FCAB" w14:textId="77777777" w:rsidR="007A2C38" w:rsidRPr="004135FE" w:rsidRDefault="007A2C38" w:rsidP="004135FE">
      <w:pPr>
        <w:tabs>
          <w:tab w:val="left" w:pos="792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ab/>
      </w:r>
    </w:p>
    <w:p w14:paraId="60380BE1" w14:textId="791AA5A3" w:rsidR="007A2C38" w:rsidRDefault="007A2C38" w:rsidP="004135FE">
      <w:pPr>
        <w:tabs>
          <w:tab w:val="center" w:pos="3614"/>
        </w:tabs>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b/>
          <w:bCs/>
          <w:sz w:val="28"/>
          <w:szCs w:val="28"/>
        </w:rPr>
        <w:tab/>
      </w:r>
      <w:r w:rsidR="00B728EF" w:rsidRPr="004135FE">
        <w:rPr>
          <w:rFonts w:ascii="Times New Roman" w:hAnsi="Times New Roman" w:cs="Times New Roman"/>
          <w:bCs/>
          <w:sz w:val="28"/>
          <w:szCs w:val="28"/>
        </w:rPr>
        <w:t>Таблица 46</w:t>
      </w:r>
      <w:r w:rsidR="00620A16">
        <w:rPr>
          <w:rFonts w:ascii="Times New Roman" w:hAnsi="Times New Roman" w:cs="Times New Roman"/>
          <w:bCs/>
          <w:sz w:val="28"/>
          <w:szCs w:val="28"/>
        </w:rPr>
        <w:t xml:space="preserve"> </w:t>
      </w:r>
      <w:r w:rsidRPr="004135FE">
        <w:rPr>
          <w:rFonts w:ascii="Times New Roman" w:hAnsi="Times New Roman" w:cs="Times New Roman"/>
          <w:bCs/>
          <w:sz w:val="28"/>
          <w:szCs w:val="28"/>
        </w:rPr>
        <w:t xml:space="preserve">- </w:t>
      </w:r>
      <w:r w:rsidRPr="004135FE">
        <w:rPr>
          <w:rFonts w:ascii="Times New Roman" w:hAnsi="Times New Roman" w:cs="Times New Roman"/>
          <w:sz w:val="28"/>
          <w:szCs w:val="28"/>
        </w:rPr>
        <w:t xml:space="preserve">Удовлетворенность </w:t>
      </w:r>
      <w:r w:rsidR="00E11260" w:rsidRPr="004135FE">
        <w:rPr>
          <w:rFonts w:ascii="Times New Roman" w:hAnsi="Times New Roman" w:cs="Times New Roman"/>
          <w:sz w:val="28"/>
          <w:szCs w:val="28"/>
        </w:rPr>
        <w:t>респондентов с СД2т услугой предоставляемой эндокринологическим кабинетом</w:t>
      </w:r>
    </w:p>
    <w:p w14:paraId="75AF738E" w14:textId="77777777" w:rsidR="0040185B" w:rsidRPr="004135FE" w:rsidRDefault="0040185B" w:rsidP="004135FE">
      <w:pPr>
        <w:tabs>
          <w:tab w:val="center" w:pos="3614"/>
        </w:tabs>
        <w:autoSpaceDE w:val="0"/>
        <w:autoSpaceDN w:val="0"/>
        <w:adjustRightInd w:val="0"/>
        <w:spacing w:after="0" w:line="240" w:lineRule="auto"/>
        <w:jc w:val="both"/>
        <w:rPr>
          <w:rFonts w:ascii="Times New Roman" w:hAnsi="Times New Roman" w:cs="Times New Roman"/>
          <w:sz w:val="28"/>
          <w:szCs w:val="28"/>
        </w:rPr>
      </w:pPr>
    </w:p>
    <w:tbl>
      <w:tblPr>
        <w:tblStyle w:val="af9"/>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3"/>
        <w:gridCol w:w="1686"/>
        <w:gridCol w:w="1869"/>
        <w:gridCol w:w="1982"/>
        <w:gridCol w:w="1981"/>
      </w:tblGrid>
      <w:tr w:rsidR="007A2C38" w:rsidRPr="004135FE" w14:paraId="325E8937" w14:textId="77777777" w:rsidTr="00620A16">
        <w:tc>
          <w:tcPr>
            <w:tcW w:w="1833" w:type="dxa"/>
            <w:vMerge w:val="restart"/>
          </w:tcPr>
          <w:p w14:paraId="723C496C" w14:textId="1B6619D7" w:rsidR="007A2C38" w:rsidRPr="004135FE" w:rsidRDefault="0040185B" w:rsidP="004135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Вариант</w:t>
            </w:r>
          </w:p>
        </w:tc>
        <w:tc>
          <w:tcPr>
            <w:tcW w:w="3555" w:type="dxa"/>
            <w:gridSpan w:val="2"/>
          </w:tcPr>
          <w:p w14:paraId="0DD99CB0" w14:textId="77777777" w:rsidR="007A2C38" w:rsidRPr="004135FE" w:rsidRDefault="007A2C38"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в обычное время</w:t>
            </w:r>
          </w:p>
        </w:tc>
        <w:tc>
          <w:tcPr>
            <w:tcW w:w="3963" w:type="dxa"/>
            <w:gridSpan w:val="2"/>
          </w:tcPr>
          <w:p w14:paraId="705CC781" w14:textId="20290946" w:rsidR="007A2C38" w:rsidRPr="004135FE" w:rsidRDefault="00E11260" w:rsidP="004135FE">
            <w:pPr>
              <w:spacing w:after="0" w:line="240" w:lineRule="auto"/>
              <w:jc w:val="center"/>
              <w:rPr>
                <w:rFonts w:ascii="Times New Roman" w:hAnsi="Times New Roman" w:cs="Times New Roman"/>
                <w:sz w:val="28"/>
                <w:szCs w:val="28"/>
                <w:lang w:val="en-US"/>
              </w:rPr>
            </w:pPr>
            <w:r w:rsidRPr="004135FE">
              <w:rPr>
                <w:rFonts w:ascii="Times New Roman" w:hAnsi="Times New Roman" w:cs="Times New Roman"/>
                <w:sz w:val="28"/>
                <w:szCs w:val="28"/>
                <w:lang w:val="en-US"/>
              </w:rPr>
              <w:t>COVID-19</w:t>
            </w:r>
          </w:p>
        </w:tc>
      </w:tr>
      <w:tr w:rsidR="007A2C38" w:rsidRPr="004135FE" w14:paraId="219FB104" w14:textId="77777777" w:rsidTr="00620A16">
        <w:tc>
          <w:tcPr>
            <w:tcW w:w="1833" w:type="dxa"/>
            <w:vMerge/>
          </w:tcPr>
          <w:p w14:paraId="6FC2C570" w14:textId="77777777" w:rsidR="007A2C38" w:rsidRPr="004135FE" w:rsidRDefault="007A2C38" w:rsidP="004135FE">
            <w:pPr>
              <w:spacing w:after="0" w:line="240" w:lineRule="auto"/>
              <w:jc w:val="center"/>
              <w:rPr>
                <w:rFonts w:ascii="Times New Roman" w:hAnsi="Times New Roman" w:cs="Times New Roman"/>
                <w:sz w:val="28"/>
                <w:szCs w:val="28"/>
              </w:rPr>
            </w:pPr>
          </w:p>
        </w:tc>
        <w:tc>
          <w:tcPr>
            <w:tcW w:w="1686" w:type="dxa"/>
          </w:tcPr>
          <w:p w14:paraId="1E1D5E50" w14:textId="77777777" w:rsidR="007A2C38" w:rsidRPr="004135FE" w:rsidRDefault="007A2C38"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Абс (%)</w:t>
            </w:r>
          </w:p>
        </w:tc>
        <w:tc>
          <w:tcPr>
            <w:tcW w:w="1869" w:type="dxa"/>
          </w:tcPr>
          <w:p w14:paraId="67B7EA04" w14:textId="77777777" w:rsidR="007A2C38" w:rsidRPr="004135FE" w:rsidRDefault="007A2C38"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ДИ</w:t>
            </w:r>
          </w:p>
        </w:tc>
        <w:tc>
          <w:tcPr>
            <w:tcW w:w="1982" w:type="dxa"/>
          </w:tcPr>
          <w:p w14:paraId="15999C2F" w14:textId="77777777" w:rsidR="007A2C38" w:rsidRPr="004135FE" w:rsidRDefault="007A2C38"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Абс (%)</w:t>
            </w:r>
          </w:p>
        </w:tc>
        <w:tc>
          <w:tcPr>
            <w:tcW w:w="1981" w:type="dxa"/>
          </w:tcPr>
          <w:p w14:paraId="41096CCC" w14:textId="77777777" w:rsidR="007A2C38" w:rsidRPr="004135FE" w:rsidRDefault="007A2C38"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ДИ</w:t>
            </w:r>
          </w:p>
        </w:tc>
      </w:tr>
      <w:tr w:rsidR="00620A16" w:rsidRPr="004135FE" w14:paraId="58F75527" w14:textId="77777777" w:rsidTr="00620A16">
        <w:tc>
          <w:tcPr>
            <w:tcW w:w="1833" w:type="dxa"/>
          </w:tcPr>
          <w:p w14:paraId="145D7547" w14:textId="238A9E53" w:rsidR="00620A16" w:rsidRPr="004135FE" w:rsidRDefault="00620A16" w:rsidP="004135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686" w:type="dxa"/>
          </w:tcPr>
          <w:p w14:paraId="6068DBB7" w14:textId="17E891DF" w:rsidR="00620A16" w:rsidRPr="004135FE" w:rsidRDefault="00620A16" w:rsidP="004135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869" w:type="dxa"/>
          </w:tcPr>
          <w:p w14:paraId="31C1DACA" w14:textId="5030E8EF" w:rsidR="00620A16" w:rsidRPr="004135FE" w:rsidRDefault="00620A16" w:rsidP="004135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982" w:type="dxa"/>
          </w:tcPr>
          <w:p w14:paraId="74F35304" w14:textId="7F64F941" w:rsidR="00620A16" w:rsidRPr="004135FE" w:rsidRDefault="00620A16" w:rsidP="004135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981" w:type="dxa"/>
          </w:tcPr>
          <w:p w14:paraId="35C4C647" w14:textId="5FBB2A0C" w:rsidR="00620A16" w:rsidRPr="004135FE" w:rsidRDefault="00620A16" w:rsidP="004135F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7A2C38" w:rsidRPr="004135FE" w14:paraId="3EEDB1AA" w14:textId="77777777" w:rsidTr="00620A16">
        <w:tc>
          <w:tcPr>
            <w:tcW w:w="1833" w:type="dxa"/>
          </w:tcPr>
          <w:p w14:paraId="0656B74E"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ниже 20%</w:t>
            </w:r>
          </w:p>
        </w:tc>
        <w:tc>
          <w:tcPr>
            <w:tcW w:w="1686" w:type="dxa"/>
          </w:tcPr>
          <w:p w14:paraId="47C2DE70"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5(1,0%)</w:t>
            </w:r>
          </w:p>
        </w:tc>
        <w:tc>
          <w:tcPr>
            <w:tcW w:w="1869" w:type="dxa"/>
          </w:tcPr>
          <w:p w14:paraId="19DC43E2"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-7,72</w:t>
            </w:r>
            <w:r w:rsidRPr="004135FE">
              <w:rPr>
                <w:rFonts w:ascii="Times New Roman" w:eastAsia="Times New Roman" w:hAnsi="Times New Roman" w:cs="Times New Roman"/>
                <w:sz w:val="28"/>
                <w:szCs w:val="28"/>
                <w:lang w:val="kk-KZ"/>
              </w:rPr>
              <w:t>;</w:t>
            </w:r>
            <w:r w:rsidRPr="004135FE">
              <w:rPr>
                <w:rFonts w:ascii="Times New Roman" w:eastAsia="Times New Roman" w:hAnsi="Times New Roman" w:cs="Times New Roman"/>
                <w:sz w:val="28"/>
                <w:szCs w:val="28"/>
              </w:rPr>
              <w:t xml:space="preserve"> 10,10</w:t>
            </w:r>
          </w:p>
        </w:tc>
        <w:tc>
          <w:tcPr>
            <w:tcW w:w="1982" w:type="dxa"/>
          </w:tcPr>
          <w:p w14:paraId="3224FCBC"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15(3,1%)</w:t>
            </w:r>
          </w:p>
        </w:tc>
        <w:tc>
          <w:tcPr>
            <w:tcW w:w="1981" w:type="dxa"/>
          </w:tcPr>
          <w:p w14:paraId="500084A6"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-1,88;8,21</w:t>
            </w:r>
          </w:p>
        </w:tc>
      </w:tr>
      <w:tr w:rsidR="007A2C38" w:rsidRPr="004135FE" w14:paraId="7C8F611D" w14:textId="77777777" w:rsidTr="00620A16">
        <w:tc>
          <w:tcPr>
            <w:tcW w:w="1833" w:type="dxa"/>
            <w:tcBorders>
              <w:bottom w:val="single" w:sz="4" w:space="0" w:color="auto"/>
            </w:tcBorders>
          </w:tcPr>
          <w:p w14:paraId="3FC5AD09"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20-40%</w:t>
            </w:r>
          </w:p>
        </w:tc>
        <w:tc>
          <w:tcPr>
            <w:tcW w:w="1686" w:type="dxa"/>
            <w:tcBorders>
              <w:bottom w:val="single" w:sz="4" w:space="0" w:color="auto"/>
            </w:tcBorders>
          </w:tcPr>
          <w:p w14:paraId="1D8C09CA"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22(4,6%)</w:t>
            </w:r>
          </w:p>
        </w:tc>
        <w:tc>
          <w:tcPr>
            <w:tcW w:w="1869" w:type="dxa"/>
            <w:tcBorders>
              <w:bottom w:val="single" w:sz="4" w:space="0" w:color="auto"/>
            </w:tcBorders>
          </w:tcPr>
          <w:p w14:paraId="206043DB"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0,52;8,77</w:t>
            </w:r>
          </w:p>
        </w:tc>
        <w:tc>
          <w:tcPr>
            <w:tcW w:w="1982" w:type="dxa"/>
            <w:tcBorders>
              <w:bottom w:val="single" w:sz="4" w:space="0" w:color="auto"/>
            </w:tcBorders>
          </w:tcPr>
          <w:p w14:paraId="2817E840"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17(3,5%)</w:t>
            </w:r>
          </w:p>
        </w:tc>
        <w:tc>
          <w:tcPr>
            <w:tcW w:w="1981" w:type="dxa"/>
            <w:tcBorders>
              <w:bottom w:val="single" w:sz="4" w:space="0" w:color="auto"/>
            </w:tcBorders>
          </w:tcPr>
          <w:p w14:paraId="3835A1DD"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-1,17;8,28</w:t>
            </w:r>
          </w:p>
        </w:tc>
      </w:tr>
      <w:tr w:rsidR="007A2C38" w:rsidRPr="004135FE" w14:paraId="669EC65E" w14:textId="77777777" w:rsidTr="00620A16">
        <w:tc>
          <w:tcPr>
            <w:tcW w:w="1833" w:type="dxa"/>
            <w:tcBorders>
              <w:bottom w:val="nil"/>
            </w:tcBorders>
          </w:tcPr>
          <w:p w14:paraId="238DA0D4"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41-60%</w:t>
            </w:r>
          </w:p>
        </w:tc>
        <w:tc>
          <w:tcPr>
            <w:tcW w:w="1686" w:type="dxa"/>
            <w:tcBorders>
              <w:bottom w:val="nil"/>
            </w:tcBorders>
          </w:tcPr>
          <w:p w14:paraId="0B5FB245"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27(5,6%)</w:t>
            </w:r>
          </w:p>
        </w:tc>
        <w:tc>
          <w:tcPr>
            <w:tcW w:w="1869" w:type="dxa"/>
            <w:tcBorders>
              <w:bottom w:val="nil"/>
            </w:tcBorders>
          </w:tcPr>
          <w:p w14:paraId="7146BEF4"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1,94;9,34</w:t>
            </w:r>
          </w:p>
        </w:tc>
        <w:tc>
          <w:tcPr>
            <w:tcW w:w="1982" w:type="dxa"/>
            <w:tcBorders>
              <w:bottom w:val="nil"/>
            </w:tcBorders>
          </w:tcPr>
          <w:p w14:paraId="42189831"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45(9,4%)</w:t>
            </w:r>
          </w:p>
        </w:tc>
        <w:tc>
          <w:tcPr>
            <w:tcW w:w="1981" w:type="dxa"/>
            <w:tcBorders>
              <w:bottom w:val="nil"/>
            </w:tcBorders>
          </w:tcPr>
          <w:p w14:paraId="44936BE3"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6,62;12,22</w:t>
            </w:r>
          </w:p>
        </w:tc>
      </w:tr>
      <w:tr w:rsidR="007A2C38" w:rsidRPr="004135FE" w14:paraId="4E56C1D9" w14:textId="77777777" w:rsidTr="00620A16">
        <w:tc>
          <w:tcPr>
            <w:tcW w:w="1833" w:type="dxa"/>
          </w:tcPr>
          <w:p w14:paraId="742CFB5B"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61-70%</w:t>
            </w:r>
          </w:p>
        </w:tc>
        <w:tc>
          <w:tcPr>
            <w:tcW w:w="1686" w:type="dxa"/>
          </w:tcPr>
          <w:p w14:paraId="7CB3D1E2"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59(12,3%)</w:t>
            </w:r>
          </w:p>
        </w:tc>
        <w:tc>
          <w:tcPr>
            <w:tcW w:w="1869" w:type="dxa"/>
          </w:tcPr>
          <w:p w14:paraId="1987C6D0"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9,91;14,72</w:t>
            </w:r>
          </w:p>
        </w:tc>
        <w:tc>
          <w:tcPr>
            <w:tcW w:w="1982" w:type="dxa"/>
          </w:tcPr>
          <w:p w14:paraId="08E2C8D9"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68(14,2%)</w:t>
            </w:r>
          </w:p>
        </w:tc>
        <w:tc>
          <w:tcPr>
            <w:tcW w:w="1981" w:type="dxa"/>
          </w:tcPr>
          <w:p w14:paraId="7F3FD18B"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12,00;16,43</w:t>
            </w:r>
          </w:p>
        </w:tc>
      </w:tr>
      <w:tr w:rsidR="007A2C38" w:rsidRPr="004135FE" w14:paraId="543C25F1" w14:textId="77777777" w:rsidTr="00620A16">
        <w:tc>
          <w:tcPr>
            <w:tcW w:w="1833" w:type="dxa"/>
          </w:tcPr>
          <w:p w14:paraId="71578183"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71-80%</w:t>
            </w:r>
          </w:p>
        </w:tc>
        <w:tc>
          <w:tcPr>
            <w:tcW w:w="1686" w:type="dxa"/>
          </w:tcPr>
          <w:p w14:paraId="45107D12"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124(25,8%)</w:t>
            </w:r>
          </w:p>
        </w:tc>
        <w:tc>
          <w:tcPr>
            <w:tcW w:w="1869" w:type="dxa"/>
          </w:tcPr>
          <w:p w14:paraId="249AE665"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24,28;27,33</w:t>
            </w:r>
          </w:p>
        </w:tc>
        <w:tc>
          <w:tcPr>
            <w:tcW w:w="1982" w:type="dxa"/>
          </w:tcPr>
          <w:p w14:paraId="658575C6"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71(14,8%)</w:t>
            </w:r>
          </w:p>
        </w:tc>
        <w:tc>
          <w:tcPr>
            <w:tcW w:w="1981" w:type="dxa"/>
          </w:tcPr>
          <w:p w14:paraId="4C0418E7"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12,65;16,97</w:t>
            </w:r>
          </w:p>
        </w:tc>
      </w:tr>
      <w:tr w:rsidR="007A2C38" w:rsidRPr="004135FE" w14:paraId="38ACFDF5" w14:textId="77777777" w:rsidTr="00620A16">
        <w:tc>
          <w:tcPr>
            <w:tcW w:w="1833" w:type="dxa"/>
          </w:tcPr>
          <w:p w14:paraId="22886818"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81-90%</w:t>
            </w:r>
          </w:p>
        </w:tc>
        <w:tc>
          <w:tcPr>
            <w:tcW w:w="1686" w:type="dxa"/>
          </w:tcPr>
          <w:p w14:paraId="660E1684"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99(20,6%)</w:t>
            </w:r>
          </w:p>
        </w:tc>
        <w:tc>
          <w:tcPr>
            <w:tcW w:w="1869" w:type="dxa"/>
          </w:tcPr>
          <w:p w14:paraId="4582AFD4"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18,84;22,37</w:t>
            </w:r>
          </w:p>
        </w:tc>
        <w:tc>
          <w:tcPr>
            <w:tcW w:w="1982" w:type="dxa"/>
          </w:tcPr>
          <w:p w14:paraId="41A024BE"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112(23,3%)</w:t>
            </w:r>
          </w:p>
        </w:tc>
        <w:tc>
          <w:tcPr>
            <w:tcW w:w="1981" w:type="dxa"/>
          </w:tcPr>
          <w:p w14:paraId="37AE66DD"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21,68;24,94</w:t>
            </w:r>
          </w:p>
        </w:tc>
      </w:tr>
      <w:tr w:rsidR="007A2C38" w:rsidRPr="004135FE" w14:paraId="107CD08A" w14:textId="77777777" w:rsidTr="00620A16">
        <w:tc>
          <w:tcPr>
            <w:tcW w:w="1833" w:type="dxa"/>
          </w:tcPr>
          <w:p w14:paraId="5F977964"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91-100%</w:t>
            </w:r>
          </w:p>
        </w:tc>
        <w:tc>
          <w:tcPr>
            <w:tcW w:w="1686" w:type="dxa"/>
          </w:tcPr>
          <w:p w14:paraId="5118E5EA"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144(30,0%)</w:t>
            </w:r>
          </w:p>
        </w:tc>
        <w:tc>
          <w:tcPr>
            <w:tcW w:w="1869" w:type="dxa"/>
          </w:tcPr>
          <w:p w14:paraId="43393420"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28,63;31,38</w:t>
            </w:r>
          </w:p>
        </w:tc>
        <w:tc>
          <w:tcPr>
            <w:tcW w:w="1982" w:type="dxa"/>
          </w:tcPr>
          <w:p w14:paraId="04917B9B"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152(31,7%)</w:t>
            </w:r>
          </w:p>
        </w:tc>
        <w:tc>
          <w:tcPr>
            <w:tcW w:w="1981" w:type="dxa"/>
          </w:tcPr>
          <w:p w14:paraId="5C3FA3D4" w14:textId="77777777" w:rsidR="007A2C38" w:rsidRPr="004135FE" w:rsidRDefault="007A2C38"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30,39;33,03</w:t>
            </w:r>
          </w:p>
        </w:tc>
      </w:tr>
      <w:tr w:rsidR="007A2C38" w:rsidRPr="004135FE" w14:paraId="31CB8FAB" w14:textId="77777777" w:rsidTr="00620A16">
        <w:tc>
          <w:tcPr>
            <w:tcW w:w="1833" w:type="dxa"/>
          </w:tcPr>
          <w:p w14:paraId="1F58ED6A"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Итого</w:t>
            </w:r>
          </w:p>
        </w:tc>
        <w:tc>
          <w:tcPr>
            <w:tcW w:w="1686" w:type="dxa"/>
          </w:tcPr>
          <w:p w14:paraId="3198C696"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480(100,0%)</w:t>
            </w:r>
          </w:p>
        </w:tc>
        <w:tc>
          <w:tcPr>
            <w:tcW w:w="1869" w:type="dxa"/>
          </w:tcPr>
          <w:p w14:paraId="4D07427B"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p>
        </w:tc>
        <w:tc>
          <w:tcPr>
            <w:tcW w:w="1982" w:type="dxa"/>
          </w:tcPr>
          <w:p w14:paraId="2A8E484B"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480(100,0%)</w:t>
            </w:r>
          </w:p>
        </w:tc>
        <w:tc>
          <w:tcPr>
            <w:tcW w:w="1981" w:type="dxa"/>
          </w:tcPr>
          <w:p w14:paraId="2F783665" w14:textId="77777777" w:rsidR="007A2C38" w:rsidRPr="004135FE" w:rsidRDefault="007A2C38" w:rsidP="004135FE">
            <w:pPr>
              <w:autoSpaceDE w:val="0"/>
              <w:autoSpaceDN w:val="0"/>
              <w:adjustRightInd w:val="0"/>
              <w:spacing w:after="0" w:line="240" w:lineRule="auto"/>
              <w:jc w:val="center"/>
              <w:rPr>
                <w:rFonts w:ascii="Times New Roman" w:hAnsi="Times New Roman" w:cs="Times New Roman"/>
                <w:sz w:val="28"/>
                <w:szCs w:val="28"/>
              </w:rPr>
            </w:pPr>
          </w:p>
        </w:tc>
      </w:tr>
    </w:tbl>
    <w:p w14:paraId="695357D4" w14:textId="77777777" w:rsidR="007A2C38" w:rsidRPr="004135FE" w:rsidRDefault="007A2C38" w:rsidP="004135FE">
      <w:pPr>
        <w:tabs>
          <w:tab w:val="center" w:pos="3614"/>
        </w:tabs>
        <w:autoSpaceDE w:val="0"/>
        <w:autoSpaceDN w:val="0"/>
        <w:adjustRightInd w:val="0"/>
        <w:spacing w:after="0" w:line="240" w:lineRule="auto"/>
        <w:jc w:val="both"/>
        <w:rPr>
          <w:rFonts w:ascii="Times New Roman" w:hAnsi="Times New Roman" w:cs="Times New Roman"/>
          <w:sz w:val="28"/>
          <w:szCs w:val="28"/>
        </w:rPr>
      </w:pPr>
    </w:p>
    <w:p w14:paraId="3D5D4F82" w14:textId="77777777" w:rsidR="007A2C38" w:rsidRPr="00620A16" w:rsidRDefault="007A2C38" w:rsidP="00620A16">
      <w:pPr>
        <w:spacing w:after="0" w:line="240" w:lineRule="auto"/>
        <w:ind w:firstLine="709"/>
        <w:jc w:val="both"/>
        <w:rPr>
          <w:rFonts w:ascii="Times New Roman" w:hAnsi="Times New Roman" w:cs="Times New Roman"/>
          <w:sz w:val="28"/>
          <w:szCs w:val="28"/>
        </w:rPr>
      </w:pPr>
      <w:r w:rsidRPr="00620A16">
        <w:rPr>
          <w:rFonts w:ascii="Times New Roman" w:hAnsi="Times New Roman" w:cs="Times New Roman"/>
          <w:sz w:val="28"/>
          <w:szCs w:val="28"/>
        </w:rPr>
        <w:t xml:space="preserve">Таким образом, 97,5% находящихся на базисно-болюсной инсулинотерапии и 95,6% комбинация таблетки с инсулином обеспечены на бесплатной основе приборами измерения глюкозы крови. 48,8% принимающие лечение только из таблеток сами приобрели и 40,7% не имеют глюкометра (χ2=339,158, df=8, p=0,0001). </w:t>
      </w:r>
    </w:p>
    <w:p w14:paraId="3FC012DB" w14:textId="77777777" w:rsidR="007A2C38" w:rsidRPr="00620A16" w:rsidRDefault="007A2C38" w:rsidP="00620A16">
      <w:pPr>
        <w:autoSpaceDE w:val="0"/>
        <w:autoSpaceDN w:val="0"/>
        <w:adjustRightInd w:val="0"/>
        <w:spacing w:after="0" w:line="240" w:lineRule="auto"/>
        <w:ind w:firstLine="709"/>
        <w:jc w:val="both"/>
        <w:rPr>
          <w:rFonts w:ascii="Times New Roman" w:hAnsi="Times New Roman" w:cs="Times New Roman"/>
          <w:sz w:val="28"/>
          <w:szCs w:val="28"/>
        </w:rPr>
      </w:pPr>
      <w:r w:rsidRPr="00620A16">
        <w:rPr>
          <w:rFonts w:ascii="Times New Roman" w:hAnsi="Times New Roman" w:cs="Times New Roman"/>
          <w:sz w:val="28"/>
          <w:szCs w:val="28"/>
        </w:rPr>
        <w:t>В случае, отсутствия назначенных ЛС по бесплатному рецепту, 70,0% - пациентов СД2т на терапии из комбинации таблетки+инсулин берут аналог, который идентичен по составу. Так же было выявлено, что большинство пациентов с инсулинозависимым СД2т берут аналог, который идентичен по составу, так как нарушение режима чревато жизненно важными осложнениями. (χ2=54,022, df=12, p=0,0001).</w:t>
      </w:r>
    </w:p>
    <w:p w14:paraId="46A0333A" w14:textId="77777777" w:rsidR="007A2C38" w:rsidRPr="00620A16" w:rsidRDefault="007A2C38" w:rsidP="00620A16">
      <w:pPr>
        <w:spacing w:after="0" w:line="240" w:lineRule="auto"/>
        <w:ind w:firstLine="709"/>
        <w:jc w:val="both"/>
        <w:rPr>
          <w:rFonts w:ascii="Times New Roman" w:hAnsi="Times New Roman" w:cs="Times New Roman"/>
          <w:sz w:val="28"/>
          <w:szCs w:val="28"/>
        </w:rPr>
      </w:pPr>
      <w:r w:rsidRPr="00620A16">
        <w:rPr>
          <w:rFonts w:ascii="Times New Roman" w:hAnsi="Times New Roman" w:cs="Times New Roman"/>
          <w:sz w:val="28"/>
          <w:szCs w:val="28"/>
        </w:rPr>
        <w:t xml:space="preserve">Высокая связь установлена с доставкой ЛС сотрудниками поликлиники пациентам, получающим комбинацию лечения таблетки+инсулин и базисно- болюсную инсулинотерапию во время карантина </w:t>
      </w:r>
      <w:r w:rsidRPr="00620A16">
        <w:rPr>
          <w:rFonts w:ascii="Times New Roman" w:hAnsi="Times New Roman" w:cs="Times New Roman"/>
          <w:sz w:val="28"/>
          <w:szCs w:val="28"/>
          <w:lang w:val="en-US"/>
        </w:rPr>
        <w:t>COVID</w:t>
      </w:r>
      <w:r w:rsidRPr="00620A16">
        <w:rPr>
          <w:rFonts w:ascii="Times New Roman" w:hAnsi="Times New Roman" w:cs="Times New Roman"/>
          <w:sz w:val="28"/>
          <w:szCs w:val="28"/>
        </w:rPr>
        <w:t>-19, чем пациентам, находящимся на лечении состоящих из таблеток и диетотерапии. 49,0% пациентов получили глюкометр и тест полоски на бесплатной основе согласно №666 приказу, большинство из них инсулинозависимая форма СД2т</w:t>
      </w:r>
    </w:p>
    <w:p w14:paraId="0AD9FF7B" w14:textId="21DACEB9" w:rsidR="007A2C38" w:rsidRPr="00620A16" w:rsidRDefault="007A2C38" w:rsidP="00620A16">
      <w:pPr>
        <w:tabs>
          <w:tab w:val="left" w:pos="142"/>
        </w:tabs>
        <w:spacing w:after="0" w:line="240" w:lineRule="auto"/>
        <w:ind w:firstLine="709"/>
        <w:jc w:val="both"/>
        <w:rPr>
          <w:rFonts w:ascii="Times New Roman" w:hAnsi="Times New Roman" w:cs="Times New Roman"/>
          <w:sz w:val="28"/>
          <w:szCs w:val="28"/>
        </w:rPr>
      </w:pPr>
      <w:r w:rsidRPr="00620A16">
        <w:rPr>
          <w:rFonts w:ascii="Times New Roman" w:hAnsi="Times New Roman" w:cs="Times New Roman"/>
          <w:sz w:val="28"/>
          <w:szCs w:val="28"/>
        </w:rPr>
        <w:t>По мнению большинства опрошенных, врачи уделяют на прием и на оформление документации по 5 мин. Удовлетворенность услугой эндокринолога показал высокие оценки не зависимо от обычного или карантинного режима.</w:t>
      </w:r>
    </w:p>
    <w:p w14:paraId="3A43F973" w14:textId="060AEA64" w:rsidR="0004191C" w:rsidRPr="004135FE" w:rsidRDefault="0004191C" w:rsidP="00620A16">
      <w:pPr>
        <w:spacing w:after="0" w:line="240" w:lineRule="auto"/>
        <w:ind w:firstLine="709"/>
        <w:jc w:val="both"/>
        <w:rPr>
          <w:rFonts w:ascii="Times New Roman" w:hAnsi="Times New Roman" w:cs="Times New Roman"/>
          <w:sz w:val="28"/>
          <w:szCs w:val="28"/>
        </w:rPr>
      </w:pPr>
      <w:r w:rsidRPr="00620A16">
        <w:rPr>
          <w:rFonts w:ascii="Times New Roman" w:eastAsia="Times New Roman" w:hAnsi="Times New Roman" w:cs="Times New Roman"/>
          <w:sz w:val="28"/>
          <w:szCs w:val="28"/>
        </w:rPr>
        <w:t>А</w:t>
      </w:r>
      <w:r w:rsidRPr="00620A16">
        <w:rPr>
          <w:rFonts w:ascii="Times New Roman" w:hAnsi="Times New Roman" w:cs="Times New Roman"/>
          <w:sz w:val="28"/>
          <w:szCs w:val="28"/>
        </w:rPr>
        <w:t>нализ социологического исследования определяет возможности профилактических</w:t>
      </w:r>
      <w:r w:rsidRPr="004135FE">
        <w:rPr>
          <w:rFonts w:ascii="Times New Roman" w:hAnsi="Times New Roman" w:cs="Times New Roman"/>
          <w:sz w:val="28"/>
          <w:szCs w:val="28"/>
        </w:rPr>
        <w:t xml:space="preserve"> мер на уровне ПМСП качеством организации и подготовленности его составляющих, как ресурсы, оснащенность, кадры, инфраструктура:</w:t>
      </w:r>
    </w:p>
    <w:p w14:paraId="5CC57A21" w14:textId="449872C7" w:rsidR="0004191C" w:rsidRPr="00620A16" w:rsidRDefault="0004191C" w:rsidP="00620A16">
      <w:pPr>
        <w:tabs>
          <w:tab w:val="left" w:pos="426"/>
        </w:tabs>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повысить уровень подготовленности кадров по активному выявлению предшествующим состояниям диабета и самого СД2т</w:t>
      </w:r>
      <w:r w:rsidR="00620A16">
        <w:rPr>
          <w:rFonts w:ascii="Times New Roman" w:hAnsi="Times New Roman" w:cs="Times New Roman"/>
          <w:sz w:val="28"/>
          <w:szCs w:val="28"/>
        </w:rPr>
        <w:t>;</w:t>
      </w:r>
    </w:p>
    <w:p w14:paraId="1EEB3D86" w14:textId="277817A2" w:rsidR="0004191C" w:rsidRPr="004135FE" w:rsidRDefault="0004191C" w:rsidP="00620A16">
      <w:pPr>
        <w:tabs>
          <w:tab w:val="left" w:pos="426"/>
        </w:tabs>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повысить уровень квалификации кадров по коммуникативным навыкам и ЗОЖ</w:t>
      </w:r>
      <w:r w:rsidR="00620A16">
        <w:rPr>
          <w:rFonts w:ascii="Times New Roman" w:hAnsi="Times New Roman" w:cs="Times New Roman"/>
          <w:sz w:val="28"/>
          <w:szCs w:val="28"/>
        </w:rPr>
        <w:t>;</w:t>
      </w:r>
    </w:p>
    <w:p w14:paraId="41A408FC" w14:textId="452F6570" w:rsidR="0004191C" w:rsidRPr="004135FE" w:rsidRDefault="0004191C" w:rsidP="00620A16">
      <w:pPr>
        <w:tabs>
          <w:tab w:val="left" w:pos="426"/>
        </w:tabs>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подготовить медицинский персонал эндокринологического кабинета по индивидуальному подбору физической активности с учетом противопоказании и мер предосторожности</w:t>
      </w:r>
      <w:r w:rsidR="00620A16">
        <w:rPr>
          <w:rFonts w:ascii="Times New Roman" w:hAnsi="Times New Roman" w:cs="Times New Roman"/>
          <w:sz w:val="28"/>
          <w:szCs w:val="28"/>
        </w:rPr>
        <w:t>;</w:t>
      </w:r>
    </w:p>
    <w:p w14:paraId="4CF97414" w14:textId="46534D62" w:rsidR="0004191C" w:rsidRPr="004135FE" w:rsidRDefault="0004191C" w:rsidP="00620A16">
      <w:pPr>
        <w:tabs>
          <w:tab w:val="left" w:pos="426"/>
        </w:tabs>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повысить информированность кадров по персонализированной медицинской помощи</w:t>
      </w:r>
      <w:r w:rsidR="00620A16">
        <w:rPr>
          <w:rFonts w:ascii="Times New Roman" w:hAnsi="Times New Roman" w:cs="Times New Roman"/>
          <w:sz w:val="28"/>
          <w:szCs w:val="28"/>
        </w:rPr>
        <w:t>;</w:t>
      </w:r>
    </w:p>
    <w:p w14:paraId="18E6F683" w14:textId="04CC7E53" w:rsidR="0004191C" w:rsidRPr="004135FE" w:rsidRDefault="0004191C" w:rsidP="00620A16">
      <w:pPr>
        <w:tabs>
          <w:tab w:val="left" w:pos="426"/>
        </w:tabs>
        <w:spacing w:after="0" w:line="240" w:lineRule="auto"/>
        <w:ind w:firstLine="709"/>
        <w:jc w:val="both"/>
        <w:rPr>
          <w:rFonts w:ascii="Times New Roman" w:hAnsi="Times New Roman" w:cs="Times New Roman"/>
          <w:bCs/>
          <w:sz w:val="28"/>
          <w:szCs w:val="28"/>
        </w:rPr>
      </w:pPr>
      <w:r w:rsidRPr="004135FE">
        <w:rPr>
          <w:rFonts w:ascii="Times New Roman" w:hAnsi="Times New Roman" w:cs="Times New Roman"/>
          <w:sz w:val="28"/>
          <w:szCs w:val="28"/>
        </w:rPr>
        <w:t xml:space="preserve"> - повысить контроль распределения необходимых ЛС и МИ нуждающихся пациентов с индивидуальным подходом согласно </w:t>
      </w:r>
      <w:r w:rsidRPr="004135FE">
        <w:rPr>
          <w:rFonts w:ascii="Times New Roman" w:hAnsi="Times New Roman" w:cs="Times New Roman"/>
          <w:bCs/>
          <w:sz w:val="28"/>
          <w:szCs w:val="28"/>
        </w:rPr>
        <w:t>№666 приказу</w:t>
      </w:r>
      <w:r w:rsidR="00620A16">
        <w:rPr>
          <w:rFonts w:ascii="Times New Roman" w:hAnsi="Times New Roman" w:cs="Times New Roman"/>
          <w:bCs/>
          <w:sz w:val="28"/>
          <w:szCs w:val="28"/>
        </w:rPr>
        <w:t>;</w:t>
      </w:r>
    </w:p>
    <w:p w14:paraId="6F8BD1DC" w14:textId="3416E1D6" w:rsidR="0004191C" w:rsidRPr="004135FE" w:rsidRDefault="0004191C" w:rsidP="00620A16">
      <w:pPr>
        <w:tabs>
          <w:tab w:val="left" w:pos="426"/>
        </w:tabs>
        <w:spacing w:after="0" w:line="240" w:lineRule="auto"/>
        <w:ind w:firstLine="709"/>
        <w:jc w:val="both"/>
        <w:rPr>
          <w:rFonts w:ascii="Times New Roman" w:hAnsi="Times New Roman" w:cs="Times New Roman"/>
          <w:bCs/>
          <w:sz w:val="28"/>
          <w:szCs w:val="28"/>
        </w:rPr>
      </w:pPr>
      <w:r w:rsidRPr="004135FE">
        <w:rPr>
          <w:rFonts w:ascii="Times New Roman" w:hAnsi="Times New Roman" w:cs="Times New Roman"/>
          <w:bCs/>
          <w:sz w:val="28"/>
          <w:szCs w:val="28"/>
        </w:rPr>
        <w:t>- обеспечить доставку ЛС на дом нуждающимся нетранспортабельным пациентам или при невозможности вовремя посетить кабинет эндокринолога</w:t>
      </w:r>
      <w:r w:rsidR="00620A16">
        <w:rPr>
          <w:rFonts w:ascii="Times New Roman" w:hAnsi="Times New Roman" w:cs="Times New Roman"/>
          <w:bCs/>
          <w:sz w:val="28"/>
          <w:szCs w:val="28"/>
        </w:rPr>
        <w:t>;</w:t>
      </w:r>
    </w:p>
    <w:p w14:paraId="61FECFB1" w14:textId="4DD1D4A8" w:rsidR="0004191C" w:rsidRPr="004135FE" w:rsidRDefault="0004191C" w:rsidP="00620A16">
      <w:pPr>
        <w:tabs>
          <w:tab w:val="left" w:pos="426"/>
        </w:tabs>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для реализации индивидуального подхода к пациенту, увеличить длительность консультации на 1 пациента до 20 минут, вместо 15 минут (так же рассмотреть данный пункт на уровне МЗ РК)</w:t>
      </w:r>
      <w:r w:rsidR="00620A16">
        <w:rPr>
          <w:rFonts w:ascii="Times New Roman" w:hAnsi="Times New Roman" w:cs="Times New Roman"/>
          <w:sz w:val="28"/>
          <w:szCs w:val="28"/>
        </w:rPr>
        <w:t>;</w:t>
      </w:r>
    </w:p>
    <w:p w14:paraId="0772B35D" w14:textId="05D7FEBC" w:rsidR="0004191C" w:rsidRPr="004135FE" w:rsidRDefault="0004191C" w:rsidP="00620A16">
      <w:pPr>
        <w:tabs>
          <w:tab w:val="left" w:pos="426"/>
        </w:tabs>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реорганизовать функцию ШД, для оптимизации качество обучения и охвата пациентов</w:t>
      </w:r>
      <w:r w:rsidR="00620A16">
        <w:rPr>
          <w:rFonts w:ascii="Times New Roman" w:hAnsi="Times New Roman" w:cs="Times New Roman"/>
          <w:sz w:val="28"/>
          <w:szCs w:val="28"/>
        </w:rPr>
        <w:t>.</w:t>
      </w:r>
    </w:p>
    <w:p w14:paraId="4390A89F" w14:textId="77777777" w:rsidR="00077E0F" w:rsidRDefault="00077E0F" w:rsidP="00620A16">
      <w:pPr>
        <w:pStyle w:val="a3"/>
        <w:tabs>
          <w:tab w:val="left" w:pos="142"/>
        </w:tabs>
        <w:spacing w:after="0" w:line="240" w:lineRule="auto"/>
        <w:rPr>
          <w:rFonts w:ascii="Times New Roman" w:hAnsi="Times New Roman" w:cs="Times New Roman"/>
          <w:bCs/>
          <w:sz w:val="28"/>
          <w:szCs w:val="28"/>
        </w:rPr>
      </w:pPr>
    </w:p>
    <w:p w14:paraId="4C72E0B6" w14:textId="6755043E" w:rsidR="007A2C38" w:rsidRPr="00620A16" w:rsidRDefault="007A2C38" w:rsidP="00620A16">
      <w:pPr>
        <w:pStyle w:val="a3"/>
        <w:tabs>
          <w:tab w:val="left" w:pos="142"/>
        </w:tabs>
        <w:spacing w:after="0" w:line="240" w:lineRule="auto"/>
        <w:rPr>
          <w:rFonts w:ascii="Times New Roman" w:hAnsi="Times New Roman" w:cs="Times New Roman"/>
          <w:bCs/>
          <w:sz w:val="28"/>
          <w:szCs w:val="28"/>
        </w:rPr>
      </w:pPr>
      <w:r w:rsidRPr="00620A16">
        <w:rPr>
          <w:rFonts w:ascii="Times New Roman" w:hAnsi="Times New Roman" w:cs="Times New Roman"/>
          <w:bCs/>
          <w:sz w:val="28"/>
          <w:szCs w:val="28"/>
        </w:rPr>
        <w:t>4.2.3 Возможности профилактических мер на уровне пациентов</w:t>
      </w:r>
      <w:r w:rsidR="004F3F5B" w:rsidRPr="00620A16">
        <w:rPr>
          <w:rFonts w:ascii="Times New Roman" w:hAnsi="Times New Roman" w:cs="Times New Roman"/>
          <w:bCs/>
          <w:sz w:val="28"/>
          <w:szCs w:val="28"/>
        </w:rPr>
        <w:t xml:space="preserve"> с СД2т</w:t>
      </w:r>
      <w:r w:rsidRPr="00620A16">
        <w:rPr>
          <w:rFonts w:ascii="Times New Roman" w:hAnsi="Times New Roman" w:cs="Times New Roman"/>
          <w:bCs/>
          <w:sz w:val="28"/>
          <w:szCs w:val="28"/>
        </w:rPr>
        <w:t xml:space="preserve"> </w:t>
      </w:r>
    </w:p>
    <w:p w14:paraId="1DCB51E0" w14:textId="77777777" w:rsidR="007A2C38" w:rsidRPr="004135FE" w:rsidRDefault="007A2C38" w:rsidP="00620A16">
      <w:pPr>
        <w:pStyle w:val="a3"/>
        <w:numPr>
          <w:ilvl w:val="0"/>
          <w:numId w:val="85"/>
        </w:numPr>
        <w:tabs>
          <w:tab w:val="left" w:pos="993"/>
        </w:tabs>
        <w:spacing w:after="0" w:line="240" w:lineRule="auto"/>
        <w:ind w:left="0" w:firstLine="709"/>
        <w:jc w:val="both"/>
        <w:rPr>
          <w:rFonts w:ascii="Times New Roman" w:hAnsi="Times New Roman" w:cs="Times New Roman"/>
          <w:b/>
          <w:sz w:val="28"/>
          <w:szCs w:val="28"/>
        </w:rPr>
      </w:pPr>
      <w:r w:rsidRPr="00620A16">
        <w:rPr>
          <w:rFonts w:ascii="Times New Roman" w:hAnsi="Times New Roman" w:cs="Times New Roman"/>
          <w:bCs/>
          <w:sz w:val="28"/>
          <w:szCs w:val="28"/>
        </w:rPr>
        <w:t>Последствия коммуникативных навыков медицинского персонала на выбор образа жизни, самоменеджмент и приверженность к назначениям при СД2т.</w:t>
      </w:r>
      <w:r w:rsidRPr="004135FE">
        <w:rPr>
          <w:rFonts w:ascii="Times New Roman" w:hAnsi="Times New Roman" w:cs="Times New Roman"/>
          <w:b/>
          <w:sz w:val="28"/>
          <w:szCs w:val="28"/>
        </w:rPr>
        <w:t xml:space="preserve"> </w:t>
      </w:r>
      <w:r w:rsidRPr="004135FE">
        <w:rPr>
          <w:rFonts w:ascii="Times New Roman" w:hAnsi="Times New Roman" w:cs="Times New Roman"/>
          <w:sz w:val="28"/>
          <w:szCs w:val="28"/>
          <w:shd w:val="clear" w:color="auto" w:fill="FFFFFF"/>
        </w:rPr>
        <w:t>Клинические и образовательные мероприятия на основе фармацевтической помощи оказывают значительное влияние на СД2т. Инструменты «Сводка мероприятий по самопомощи при диабете» и «Шкала приверженности к лечению Мориски» могут быть полезны для наблюдения за пациентами.</w:t>
      </w:r>
      <w:r w:rsidRPr="004135FE">
        <w:rPr>
          <w:rFonts w:ascii="Times New Roman" w:hAnsi="Times New Roman" w:cs="Times New Roman"/>
          <w:b/>
          <w:caps/>
          <w:sz w:val="28"/>
          <w:szCs w:val="28"/>
        </w:rPr>
        <w:t xml:space="preserve"> </w:t>
      </w:r>
    </w:p>
    <w:p w14:paraId="1C10CB54" w14:textId="7DFF84C4" w:rsidR="007A2C38" w:rsidRPr="004135FE" w:rsidRDefault="00F70ECD" w:rsidP="004135FE">
      <w:pPr>
        <w:autoSpaceDE w:val="0"/>
        <w:autoSpaceDN w:val="0"/>
        <w:adjustRightInd w:val="0"/>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shd w:val="clear" w:color="auto" w:fill="FFFFFF"/>
        </w:rPr>
        <w:t>Также ф</w:t>
      </w:r>
      <w:r w:rsidR="007A2C38" w:rsidRPr="004135FE">
        <w:rPr>
          <w:rFonts w:ascii="Times New Roman" w:hAnsi="Times New Roman" w:cs="Times New Roman"/>
          <w:sz w:val="28"/>
          <w:szCs w:val="28"/>
          <w:shd w:val="clear" w:color="auto" w:fill="FFFFFF"/>
        </w:rPr>
        <w:t>армацевтическая помощь предоставляет</w:t>
      </w:r>
      <w:r w:rsidRPr="004135FE">
        <w:rPr>
          <w:rFonts w:ascii="Times New Roman" w:hAnsi="Times New Roman" w:cs="Times New Roman"/>
          <w:sz w:val="28"/>
          <w:szCs w:val="28"/>
          <w:shd w:val="clear" w:color="auto" w:fill="FFFFFF"/>
        </w:rPr>
        <w:t xml:space="preserve"> более подробную</w:t>
      </w:r>
      <w:r w:rsidR="007A2C38" w:rsidRPr="004135FE">
        <w:rPr>
          <w:rFonts w:ascii="Times New Roman" w:hAnsi="Times New Roman" w:cs="Times New Roman"/>
          <w:sz w:val="28"/>
          <w:szCs w:val="28"/>
          <w:shd w:val="clear" w:color="auto" w:fill="FFFFFF"/>
        </w:rPr>
        <w:t xml:space="preserve"> информацию о лекарствах, чтобы помочь пациентам понять риски и преимущества фармакотерапии, чтобы улучшить приверженность к лечению и улучшить клинические результаты. </w:t>
      </w:r>
      <w:r w:rsidR="007A2C38" w:rsidRPr="004135FE">
        <w:rPr>
          <w:rFonts w:ascii="Times New Roman" w:hAnsi="Times New Roman" w:cs="Times New Roman"/>
          <w:sz w:val="28"/>
          <w:szCs w:val="28"/>
        </w:rPr>
        <w:t>Постоянное обучение полезно для пациентов поскольку лечение диабета является сложным и включает в себя мониторинг уровня глюкозы, соблюдение режима лечения, физическую активность и изменения в питании [</w:t>
      </w:r>
      <w:r w:rsidR="004F37F8" w:rsidRPr="004135FE">
        <w:rPr>
          <w:rFonts w:ascii="Times New Roman" w:hAnsi="Times New Roman" w:cs="Times New Roman"/>
          <w:sz w:val="28"/>
          <w:szCs w:val="28"/>
        </w:rPr>
        <w:t>177, 178</w:t>
      </w:r>
      <w:r w:rsidR="007A2C38" w:rsidRPr="004135FE">
        <w:rPr>
          <w:rFonts w:ascii="Times New Roman" w:hAnsi="Times New Roman" w:cs="Times New Roman"/>
          <w:sz w:val="28"/>
          <w:szCs w:val="28"/>
        </w:rPr>
        <w:t>].  Гликированный гемоглобин (HbA1c) отражает уровень глюкозы в крови за последние 120 дней и является золотым стандартом биомаркера для оценки контроля диабета и прогнозирования тяжелых осложнений [</w:t>
      </w:r>
      <w:r w:rsidR="004F37F8" w:rsidRPr="004135FE">
        <w:rPr>
          <w:rFonts w:ascii="Times New Roman" w:hAnsi="Times New Roman" w:cs="Times New Roman"/>
          <w:sz w:val="28"/>
          <w:szCs w:val="28"/>
        </w:rPr>
        <w:t>179</w:t>
      </w:r>
      <w:r w:rsidR="007A2C38" w:rsidRPr="004135FE">
        <w:rPr>
          <w:rFonts w:ascii="Times New Roman" w:hAnsi="Times New Roman" w:cs="Times New Roman"/>
          <w:sz w:val="28"/>
          <w:szCs w:val="28"/>
        </w:rPr>
        <w:t>].   Согласно действующим рекомендациям, уровень глюкозы в крови должен быть близким к норме, чтобы предотвратить или отсрочить осложнения. Однако несоблюдение режима лечения является обычным явлением и может повлиять на гликемический контроль и привести к повышению показателей смертности. Неадекватный гликемический контроль связан с повышенным риском сердечно-сосудистых заболеваний, невропатии, ретинопатии, нефропатии и госпитализации [</w:t>
      </w:r>
      <w:r w:rsidR="004F37F8" w:rsidRPr="004135FE">
        <w:rPr>
          <w:rFonts w:ascii="Times New Roman" w:hAnsi="Times New Roman" w:cs="Times New Roman"/>
          <w:sz w:val="28"/>
          <w:szCs w:val="28"/>
        </w:rPr>
        <w:t>180, 181</w:t>
      </w:r>
      <w:r w:rsidR="007A2C38" w:rsidRPr="004135FE">
        <w:rPr>
          <w:rFonts w:ascii="Times New Roman" w:hAnsi="Times New Roman" w:cs="Times New Roman"/>
          <w:sz w:val="28"/>
          <w:szCs w:val="28"/>
        </w:rPr>
        <w:t>].  Соблюдение режима лечения жизненно важно для получения максимальной пользы от терапевтических режимов. Примерно от 20% до 50% пациентов с хроническими заболеваниями сообщают о менее чем оптимальном соблюдении режима медикаментозной терапии, что снижает эффективность лечения [</w:t>
      </w:r>
      <w:r w:rsidR="004F37F8" w:rsidRPr="004135FE">
        <w:rPr>
          <w:rFonts w:ascii="Times New Roman" w:hAnsi="Times New Roman" w:cs="Times New Roman"/>
          <w:sz w:val="28"/>
          <w:szCs w:val="28"/>
        </w:rPr>
        <w:t>182,183</w:t>
      </w:r>
      <w:r w:rsidR="007A2C38" w:rsidRPr="004135FE">
        <w:rPr>
          <w:rFonts w:ascii="Times New Roman" w:hAnsi="Times New Roman" w:cs="Times New Roman"/>
          <w:sz w:val="28"/>
          <w:szCs w:val="28"/>
        </w:rPr>
        <w:t>].   </w:t>
      </w:r>
      <w:r w:rsidR="00455DCD" w:rsidRPr="004135FE">
        <w:rPr>
          <w:rFonts w:ascii="Times New Roman" w:hAnsi="Times New Roman" w:cs="Times New Roman"/>
          <w:sz w:val="28"/>
          <w:szCs w:val="28"/>
        </w:rPr>
        <w:t>К тому же</w:t>
      </w:r>
      <w:r w:rsidR="007A2C38" w:rsidRPr="004135FE">
        <w:rPr>
          <w:rFonts w:ascii="Times New Roman" w:hAnsi="Times New Roman" w:cs="Times New Roman"/>
          <w:sz w:val="28"/>
          <w:szCs w:val="28"/>
        </w:rPr>
        <w:t xml:space="preserve"> сообщалось о высоких гликемических индексах у пациентов с плохой приверженностью к лечению [</w:t>
      </w:r>
      <w:r w:rsidR="004F37F8" w:rsidRPr="004135FE">
        <w:rPr>
          <w:rFonts w:ascii="Times New Roman" w:hAnsi="Times New Roman" w:cs="Times New Roman"/>
          <w:sz w:val="28"/>
          <w:szCs w:val="28"/>
        </w:rPr>
        <w:t>184</w:t>
      </w:r>
      <w:r w:rsidR="007A2C38" w:rsidRPr="004135FE">
        <w:rPr>
          <w:rFonts w:ascii="Times New Roman" w:hAnsi="Times New Roman" w:cs="Times New Roman"/>
          <w:sz w:val="28"/>
          <w:szCs w:val="28"/>
        </w:rPr>
        <w:t>].  </w:t>
      </w:r>
    </w:p>
    <w:p w14:paraId="4B551DE5" w14:textId="112A4B97" w:rsidR="007A2C38" w:rsidRPr="004135FE" w:rsidRDefault="007A2C38" w:rsidP="00620A16">
      <w:pPr>
        <w:shd w:val="clear" w:color="auto" w:fill="FFFFFF"/>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С несоблюдением режима лечения связаны несколько факторов, включая социальные и экономические аспекты, сложность фармакотерапии и убеждения пациентов в отношении лекарств [</w:t>
      </w:r>
      <w:r w:rsidR="004F37F8" w:rsidRPr="004135FE">
        <w:rPr>
          <w:rFonts w:ascii="Times New Roman" w:hAnsi="Times New Roman" w:cs="Times New Roman"/>
          <w:sz w:val="28"/>
          <w:szCs w:val="28"/>
        </w:rPr>
        <w:t>185</w:t>
      </w:r>
      <w:r w:rsidRPr="004135FE">
        <w:rPr>
          <w:rFonts w:ascii="Times New Roman" w:hAnsi="Times New Roman" w:cs="Times New Roman"/>
          <w:sz w:val="28"/>
          <w:szCs w:val="28"/>
        </w:rPr>
        <w:t>].   Специалисты по фармакотерапии, клинические фармацевты вносят свой вклад в уход за пациентами, предоставляя индивидуальные рекомендации (самостоятельно или вместе с другими специалистами в области здравоохранения), помогая в планировании и мониторинге терапевтических стратегий, направленных на улучшение патологических состояний, лечения и соблюдения режима посредством процесса, названного «фармацевтическая помощь» [</w:t>
      </w:r>
      <w:r w:rsidR="004F37F8" w:rsidRPr="004135FE">
        <w:rPr>
          <w:rFonts w:ascii="Times New Roman" w:hAnsi="Times New Roman" w:cs="Times New Roman"/>
          <w:sz w:val="28"/>
          <w:szCs w:val="28"/>
        </w:rPr>
        <w:t>186,187</w:t>
      </w:r>
      <w:r w:rsidRPr="004135FE">
        <w:rPr>
          <w:rFonts w:ascii="Times New Roman" w:hAnsi="Times New Roman" w:cs="Times New Roman"/>
          <w:sz w:val="28"/>
          <w:szCs w:val="28"/>
        </w:rPr>
        <w:t xml:space="preserve">].   Это можно определить, как «ответственное предоставление фармакотерапии для достижения результатов, связанных с улучшением качества жизни пациентов». </w:t>
      </w:r>
      <w:r w:rsidRPr="004135FE">
        <w:rPr>
          <w:rFonts w:ascii="Times New Roman" w:hAnsi="Times New Roman" w:cs="Times New Roman"/>
          <w:sz w:val="28"/>
          <w:szCs w:val="28"/>
          <w:shd w:val="clear" w:color="auto" w:fill="FFFFFF"/>
        </w:rPr>
        <w:t>Приверженность к лечению является клинической конечной точкой. В метаанализе, Шкала приверженности к лечению Мориски (MMAS-8 и MMAS-4) использовалась для оценки приверженности участников на исходном уровне и в конце периода наблюдения. Во всех исследованиях сообщалось о значительном улучшении приверженности в группе в</w:t>
      </w:r>
      <w:r w:rsidR="00E11260" w:rsidRPr="004135FE">
        <w:rPr>
          <w:rFonts w:ascii="Times New Roman" w:hAnsi="Times New Roman" w:cs="Times New Roman"/>
          <w:sz w:val="28"/>
          <w:szCs w:val="28"/>
          <w:shd w:val="clear" w:color="auto" w:fill="FFFFFF"/>
        </w:rPr>
        <w:t xml:space="preserve">мешательства </w:t>
      </w:r>
      <w:r w:rsidR="00455DCD" w:rsidRPr="004135FE">
        <w:rPr>
          <w:rFonts w:ascii="Times New Roman" w:hAnsi="Times New Roman" w:cs="Times New Roman"/>
          <w:sz w:val="28"/>
          <w:szCs w:val="28"/>
          <w:shd w:val="clear" w:color="auto" w:fill="FFFFFF"/>
        </w:rPr>
        <w:t>(p =</w:t>
      </w:r>
      <w:r w:rsidRPr="004135FE">
        <w:rPr>
          <w:rFonts w:ascii="Times New Roman" w:hAnsi="Times New Roman" w:cs="Times New Roman"/>
          <w:sz w:val="28"/>
          <w:szCs w:val="28"/>
          <w:shd w:val="clear" w:color="auto" w:fill="FFFFFF"/>
        </w:rPr>
        <w:t xml:space="preserve">0,05) </w:t>
      </w:r>
      <w:r w:rsidRPr="004135FE">
        <w:rPr>
          <w:rFonts w:ascii="Times New Roman" w:hAnsi="Times New Roman" w:cs="Times New Roman"/>
          <w:sz w:val="28"/>
          <w:szCs w:val="28"/>
        </w:rPr>
        <w:t>[</w:t>
      </w:r>
      <w:r w:rsidR="004F37F8" w:rsidRPr="004135FE">
        <w:rPr>
          <w:rFonts w:ascii="Times New Roman" w:hAnsi="Times New Roman" w:cs="Times New Roman"/>
          <w:sz w:val="28"/>
          <w:szCs w:val="28"/>
        </w:rPr>
        <w:t>188</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en-US"/>
        </w:rPr>
        <w:t> </w:t>
      </w:r>
      <w:r w:rsidRPr="004135FE">
        <w:rPr>
          <w:rFonts w:ascii="Times New Roman" w:hAnsi="Times New Roman" w:cs="Times New Roman"/>
          <w:sz w:val="28"/>
          <w:szCs w:val="28"/>
          <w:shd w:val="clear" w:color="auto" w:fill="FFFFFF"/>
        </w:rPr>
        <w:t xml:space="preserve"> </w:t>
      </w:r>
    </w:p>
    <w:p w14:paraId="000830B5" w14:textId="77777777" w:rsidR="00620A16" w:rsidRDefault="007A2C38" w:rsidP="00620A16">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По результату анализа социологического опроса, реакция медперсонала на просьбу пациента объяснить значение термина статистический значимо влияет на его восприятие рекомендации. В </w:t>
      </w:r>
      <w:r w:rsidRPr="004135FE">
        <w:rPr>
          <w:rFonts w:ascii="Times New Roman" w:eastAsia="Times New Roman" w:hAnsi="Times New Roman" w:cs="Times New Roman"/>
          <w:color w:val="000000"/>
          <w:sz w:val="28"/>
          <w:szCs w:val="28"/>
        </w:rPr>
        <w:t xml:space="preserve">92,58% </w:t>
      </w:r>
      <w:r w:rsidRPr="004135FE">
        <w:rPr>
          <w:rFonts w:ascii="Times New Roman" w:hAnsi="Times New Roman" w:cs="Times New Roman"/>
          <w:sz w:val="28"/>
          <w:szCs w:val="28"/>
        </w:rPr>
        <w:t xml:space="preserve">случаях, когда медицинский персонал доброжелательно объясняет значение термина, пациентам все понятно, и они хорошо запоминают. </w:t>
      </w:r>
    </w:p>
    <w:p w14:paraId="4124FDFB" w14:textId="77777777" w:rsidR="00620A16" w:rsidRDefault="007A2C38" w:rsidP="00620A16">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 xml:space="preserve">При том, что в </w:t>
      </w:r>
      <w:r w:rsidRPr="004135FE">
        <w:rPr>
          <w:rFonts w:ascii="Times New Roman" w:eastAsia="Times New Roman" w:hAnsi="Times New Roman" w:cs="Times New Roman"/>
          <w:color w:val="000000"/>
          <w:sz w:val="28"/>
          <w:szCs w:val="28"/>
        </w:rPr>
        <w:t>63,11</w:t>
      </w:r>
      <w:r w:rsidRPr="004135FE">
        <w:rPr>
          <w:rFonts w:ascii="Times New Roman" w:eastAsia="Times New Roman" w:hAnsi="Times New Roman" w:cs="Times New Roman"/>
          <w:sz w:val="28"/>
          <w:szCs w:val="28"/>
        </w:rPr>
        <w:t>%</w:t>
      </w:r>
      <w:r w:rsidRPr="004135FE">
        <w:rPr>
          <w:rFonts w:ascii="Times New Roman" w:hAnsi="Times New Roman" w:cs="Times New Roman"/>
          <w:sz w:val="28"/>
          <w:szCs w:val="28"/>
        </w:rPr>
        <w:t xml:space="preserve"> случаях медицинский персонал по просьбе пациента доброжелательно объясняет термины, пациентам все равно не понятно и им приходится переспрашивать. В </w:t>
      </w:r>
      <w:r w:rsidRPr="004135FE">
        <w:rPr>
          <w:rFonts w:ascii="Times New Roman" w:eastAsia="Times New Roman" w:hAnsi="Times New Roman" w:cs="Times New Roman"/>
          <w:color w:val="000000"/>
          <w:sz w:val="28"/>
          <w:szCs w:val="28"/>
        </w:rPr>
        <w:t xml:space="preserve">60,29% </w:t>
      </w:r>
      <w:r w:rsidRPr="004135FE">
        <w:rPr>
          <w:rFonts w:ascii="Times New Roman" w:eastAsia="Times New Roman" w:hAnsi="Times New Roman" w:cs="Times New Roman"/>
          <w:sz w:val="28"/>
          <w:szCs w:val="28"/>
        </w:rPr>
        <w:t>случаях все понятно в кабинете, но не запоминают как выходят с кабинета. Такое состояние бывает связано с диабетической энцефалопатией, как следствие гипергликемии и гипоксии организма.</w:t>
      </w:r>
      <w:r w:rsidRPr="004135FE">
        <w:rPr>
          <w:rFonts w:ascii="Times New Roman" w:hAnsi="Times New Roman" w:cs="Times New Roman"/>
          <w:sz w:val="28"/>
          <w:szCs w:val="28"/>
        </w:rPr>
        <w:t xml:space="preserve"> </w:t>
      </w:r>
    </w:p>
    <w:p w14:paraId="32C96D61" w14:textId="77777777" w:rsidR="00620A16" w:rsidRDefault="007A2C38" w:rsidP="00620A16">
      <w:pPr>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t xml:space="preserve">В </w:t>
      </w:r>
      <w:r w:rsidRPr="004135FE">
        <w:rPr>
          <w:rFonts w:ascii="Times New Roman" w:eastAsia="Times New Roman" w:hAnsi="Times New Roman" w:cs="Times New Roman"/>
          <w:color w:val="000000"/>
          <w:sz w:val="28"/>
          <w:szCs w:val="28"/>
        </w:rPr>
        <w:t>25,41</w:t>
      </w:r>
      <w:r w:rsidRPr="004135FE">
        <w:rPr>
          <w:rFonts w:ascii="Times New Roman" w:eastAsia="Times New Roman" w:hAnsi="Times New Roman" w:cs="Times New Roman"/>
          <w:sz w:val="28"/>
          <w:szCs w:val="28"/>
        </w:rPr>
        <w:t>% случаях, когда пациенты не понятные значения переспрашивают, мед.персонал не объясняет ссылаясь на нехватку времени.</w:t>
      </w:r>
      <w:r w:rsidRPr="004135FE">
        <w:rPr>
          <w:rFonts w:ascii="Times New Roman" w:hAnsi="Times New Roman" w:cs="Times New Roman"/>
          <w:sz w:val="28"/>
          <w:szCs w:val="28"/>
        </w:rPr>
        <w:t xml:space="preserve"> Из-за того, что в </w:t>
      </w:r>
      <w:r w:rsidRPr="004135FE">
        <w:rPr>
          <w:rFonts w:ascii="Times New Roman" w:eastAsia="Times New Roman" w:hAnsi="Times New Roman" w:cs="Times New Roman"/>
          <w:color w:val="000000"/>
          <w:sz w:val="28"/>
          <w:szCs w:val="28"/>
        </w:rPr>
        <w:t>52,94</w:t>
      </w:r>
      <w:r w:rsidRPr="004135FE">
        <w:rPr>
          <w:rFonts w:ascii="Times New Roman" w:eastAsia="Times New Roman" w:hAnsi="Times New Roman" w:cs="Times New Roman"/>
          <w:sz w:val="28"/>
          <w:szCs w:val="28"/>
        </w:rPr>
        <w:t xml:space="preserve">% </w:t>
      </w:r>
      <w:r w:rsidRPr="004135FE">
        <w:rPr>
          <w:rFonts w:ascii="Times New Roman" w:hAnsi="Times New Roman" w:cs="Times New Roman"/>
          <w:sz w:val="28"/>
          <w:szCs w:val="28"/>
        </w:rPr>
        <w:t xml:space="preserve">случаях врачи и медицинские сестры недоброжелательно объясняют медицинские термины, пациентам не понятно, но они делают вид, что все понятно и кивают головой. При таких взаимоотношениях теряется доверие и контакт, что может отрицательно повлиять на контроль СД2т. </w:t>
      </w:r>
    </w:p>
    <w:p w14:paraId="1B68C5DE" w14:textId="43306618" w:rsidR="007A2C38" w:rsidRPr="004135FE" w:rsidRDefault="007A2C38" w:rsidP="00620A16">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Пробелы в медицинской грамотности пациентов прямо перпендикулярен пониманию и ведению образа жизни с диабетом, что может дать разрушительные эффекты для их благополучия. (χ2=74,867, df=35, p=0,001).</w:t>
      </w:r>
    </w:p>
    <w:p w14:paraId="016CB45F" w14:textId="42504035" w:rsidR="00620A16" w:rsidRDefault="00620A16" w:rsidP="004135FE">
      <w:pPr>
        <w:tabs>
          <w:tab w:val="left" w:pos="993"/>
        </w:tabs>
        <w:spacing w:after="0" w:line="240" w:lineRule="auto"/>
        <w:jc w:val="both"/>
        <w:rPr>
          <w:rFonts w:ascii="Times New Roman" w:hAnsi="Times New Roman" w:cs="Times New Roman"/>
          <w:sz w:val="28"/>
          <w:szCs w:val="28"/>
        </w:rPr>
      </w:pPr>
    </w:p>
    <w:p w14:paraId="27624122" w14:textId="1E194290" w:rsidR="007A2C38" w:rsidRDefault="007A2C38" w:rsidP="004135FE">
      <w:pPr>
        <w:spacing w:after="0" w:line="240" w:lineRule="auto"/>
        <w:jc w:val="both"/>
        <w:rPr>
          <w:rFonts w:ascii="Times New Roman" w:hAnsi="Times New Roman" w:cs="Times New Roman"/>
          <w:bCs/>
          <w:sz w:val="28"/>
          <w:szCs w:val="28"/>
        </w:rPr>
      </w:pPr>
      <w:r w:rsidRPr="004135FE">
        <w:rPr>
          <w:rFonts w:ascii="Times New Roman" w:hAnsi="Times New Roman" w:cs="Times New Roman"/>
          <w:bCs/>
          <w:sz w:val="28"/>
          <w:szCs w:val="28"/>
        </w:rPr>
        <w:t xml:space="preserve">Таблица </w:t>
      </w:r>
      <w:r w:rsidR="00B728EF" w:rsidRPr="004135FE">
        <w:rPr>
          <w:rFonts w:ascii="Times New Roman" w:hAnsi="Times New Roman" w:cs="Times New Roman"/>
          <w:bCs/>
          <w:sz w:val="28"/>
          <w:szCs w:val="28"/>
        </w:rPr>
        <w:t>47</w:t>
      </w:r>
      <w:r w:rsidR="00620A16">
        <w:rPr>
          <w:rFonts w:ascii="Times New Roman" w:hAnsi="Times New Roman" w:cs="Times New Roman"/>
          <w:bCs/>
          <w:sz w:val="28"/>
          <w:szCs w:val="28"/>
        </w:rPr>
        <w:t xml:space="preserve"> </w:t>
      </w:r>
      <w:r w:rsidRPr="004135FE">
        <w:rPr>
          <w:rFonts w:ascii="Times New Roman" w:hAnsi="Times New Roman" w:cs="Times New Roman"/>
          <w:bCs/>
          <w:sz w:val="28"/>
          <w:szCs w:val="28"/>
        </w:rPr>
        <w:t>- Влияние уровня коммуникативных навыков врача на понимание пациента</w:t>
      </w:r>
    </w:p>
    <w:p w14:paraId="693B2C24" w14:textId="77777777" w:rsidR="00620A16" w:rsidRPr="004135FE" w:rsidRDefault="00620A16" w:rsidP="004135FE">
      <w:pPr>
        <w:spacing w:after="0" w:line="240" w:lineRule="auto"/>
        <w:jc w:val="both"/>
        <w:rPr>
          <w:rFonts w:ascii="Times New Roman" w:hAnsi="Times New Roman" w:cs="Times New Roman"/>
          <w:b/>
          <w:sz w:val="28"/>
          <w:szCs w:val="28"/>
        </w:rPr>
      </w:pPr>
    </w:p>
    <w:tbl>
      <w:tblPr>
        <w:tblStyle w:val="af9"/>
        <w:tblW w:w="90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1"/>
        <w:gridCol w:w="1378"/>
        <w:gridCol w:w="1357"/>
        <w:gridCol w:w="1274"/>
        <w:gridCol w:w="1847"/>
        <w:gridCol w:w="1207"/>
      </w:tblGrid>
      <w:tr w:rsidR="007A2C38" w:rsidRPr="00620A16" w14:paraId="2273ED40" w14:textId="77777777" w:rsidTr="00620A16">
        <w:trPr>
          <w:trHeight w:val="269"/>
        </w:trPr>
        <w:tc>
          <w:tcPr>
            <w:tcW w:w="2205" w:type="dxa"/>
            <w:noWrap/>
          </w:tcPr>
          <w:p w14:paraId="7F699003" w14:textId="77777777" w:rsidR="007A2C38" w:rsidRPr="00620A16" w:rsidRDefault="007A2C38" w:rsidP="004135FE">
            <w:pPr>
              <w:spacing w:after="0" w:line="240" w:lineRule="auto"/>
              <w:rPr>
                <w:rFonts w:ascii="Times New Roman" w:eastAsia="Times New Roman" w:hAnsi="Times New Roman" w:cs="Times New Roman"/>
                <w:sz w:val="24"/>
                <w:szCs w:val="24"/>
              </w:rPr>
            </w:pPr>
            <w:r w:rsidRPr="00620A16">
              <w:rPr>
                <w:rFonts w:ascii="Times New Roman" w:eastAsia="Times New Roman" w:hAnsi="Times New Roman" w:cs="Times New Roman"/>
                <w:sz w:val="24"/>
                <w:szCs w:val="24"/>
              </w:rPr>
              <w:t xml:space="preserve">Вопрос </w:t>
            </w:r>
          </w:p>
        </w:tc>
        <w:tc>
          <w:tcPr>
            <w:tcW w:w="1382" w:type="dxa"/>
            <w:noWrap/>
          </w:tcPr>
          <w:p w14:paraId="0FC6BB0E" w14:textId="77777777" w:rsidR="007A2C38" w:rsidRPr="00620A16" w:rsidRDefault="007A2C38" w:rsidP="004135FE">
            <w:pPr>
              <w:spacing w:after="0" w:line="240" w:lineRule="auto"/>
              <w:rPr>
                <w:rFonts w:ascii="Times New Roman" w:eastAsia="Times New Roman" w:hAnsi="Times New Roman" w:cs="Times New Roman"/>
                <w:sz w:val="24"/>
                <w:szCs w:val="24"/>
              </w:rPr>
            </w:pPr>
            <w:r w:rsidRPr="00620A16">
              <w:rPr>
                <w:rFonts w:ascii="Times New Roman" w:eastAsia="Times New Roman" w:hAnsi="Times New Roman" w:cs="Times New Roman"/>
                <w:sz w:val="24"/>
                <w:szCs w:val="24"/>
              </w:rPr>
              <w:t>Все понятно, запоминаю хорошо</w:t>
            </w:r>
          </w:p>
        </w:tc>
        <w:tc>
          <w:tcPr>
            <w:tcW w:w="1272" w:type="dxa"/>
            <w:noWrap/>
          </w:tcPr>
          <w:p w14:paraId="5602B438" w14:textId="77777777" w:rsidR="007A2C38" w:rsidRPr="00620A16" w:rsidRDefault="007A2C38" w:rsidP="004135FE">
            <w:pPr>
              <w:spacing w:after="0" w:line="240" w:lineRule="auto"/>
              <w:rPr>
                <w:rFonts w:ascii="Times New Roman" w:eastAsia="Times New Roman" w:hAnsi="Times New Roman" w:cs="Times New Roman"/>
                <w:sz w:val="24"/>
                <w:szCs w:val="24"/>
              </w:rPr>
            </w:pPr>
            <w:r w:rsidRPr="00620A16">
              <w:rPr>
                <w:rFonts w:ascii="Times New Roman" w:eastAsia="Times New Roman" w:hAnsi="Times New Roman" w:cs="Times New Roman"/>
                <w:sz w:val="24"/>
                <w:szCs w:val="24"/>
              </w:rPr>
              <w:t>Все понятно в кабинете, но не запоминаю как выхожу</w:t>
            </w:r>
          </w:p>
        </w:tc>
        <w:tc>
          <w:tcPr>
            <w:tcW w:w="1278" w:type="dxa"/>
            <w:noWrap/>
          </w:tcPr>
          <w:p w14:paraId="40C8A1A9" w14:textId="77777777" w:rsidR="007A2C38" w:rsidRPr="00620A16" w:rsidRDefault="007A2C38" w:rsidP="004135FE">
            <w:pPr>
              <w:spacing w:after="0" w:line="240" w:lineRule="auto"/>
              <w:rPr>
                <w:rFonts w:ascii="Times New Roman" w:eastAsia="Times New Roman" w:hAnsi="Times New Roman" w:cs="Times New Roman"/>
                <w:sz w:val="24"/>
                <w:szCs w:val="24"/>
              </w:rPr>
            </w:pPr>
            <w:r w:rsidRPr="00620A16">
              <w:rPr>
                <w:rFonts w:ascii="Times New Roman" w:eastAsia="Times New Roman" w:hAnsi="Times New Roman" w:cs="Times New Roman"/>
                <w:sz w:val="24"/>
                <w:szCs w:val="24"/>
              </w:rPr>
              <w:t>Не понятно, но делаю вид что все понятно и киваю головой</w:t>
            </w:r>
          </w:p>
        </w:tc>
        <w:tc>
          <w:tcPr>
            <w:tcW w:w="1741" w:type="dxa"/>
            <w:noWrap/>
          </w:tcPr>
          <w:p w14:paraId="6BEE97A6" w14:textId="77777777" w:rsidR="007A2C38" w:rsidRPr="00620A16" w:rsidRDefault="007A2C38" w:rsidP="004135FE">
            <w:pPr>
              <w:spacing w:after="0" w:line="240" w:lineRule="auto"/>
              <w:rPr>
                <w:rFonts w:ascii="Times New Roman" w:eastAsia="Times New Roman" w:hAnsi="Times New Roman" w:cs="Times New Roman"/>
                <w:sz w:val="24"/>
                <w:szCs w:val="24"/>
              </w:rPr>
            </w:pPr>
            <w:r w:rsidRPr="00620A16">
              <w:rPr>
                <w:rFonts w:ascii="Times New Roman" w:eastAsia="Times New Roman" w:hAnsi="Times New Roman" w:cs="Times New Roman"/>
                <w:sz w:val="24"/>
                <w:szCs w:val="24"/>
              </w:rPr>
              <w:t>Не понятное переспрашиваю</w:t>
            </w:r>
          </w:p>
        </w:tc>
        <w:tc>
          <w:tcPr>
            <w:tcW w:w="1210" w:type="dxa"/>
            <w:noWrap/>
          </w:tcPr>
          <w:p w14:paraId="3B3CB18B" w14:textId="77777777" w:rsidR="007A2C38" w:rsidRPr="00620A16" w:rsidRDefault="007A2C38" w:rsidP="004135FE">
            <w:pPr>
              <w:spacing w:after="0" w:line="240" w:lineRule="auto"/>
              <w:rPr>
                <w:rFonts w:ascii="Times New Roman" w:eastAsia="Times New Roman" w:hAnsi="Times New Roman" w:cs="Times New Roman"/>
                <w:sz w:val="24"/>
                <w:szCs w:val="24"/>
              </w:rPr>
            </w:pPr>
            <w:r w:rsidRPr="00620A16">
              <w:rPr>
                <w:rFonts w:ascii="Times New Roman" w:eastAsia="Times New Roman" w:hAnsi="Times New Roman" w:cs="Times New Roman"/>
                <w:sz w:val="24"/>
                <w:szCs w:val="24"/>
              </w:rPr>
              <w:t>всего</w:t>
            </w:r>
          </w:p>
        </w:tc>
      </w:tr>
      <w:tr w:rsidR="007A2C38" w:rsidRPr="00620A16" w14:paraId="498057FE" w14:textId="77777777" w:rsidTr="004B3EF0">
        <w:trPr>
          <w:trHeight w:val="269"/>
        </w:trPr>
        <w:tc>
          <w:tcPr>
            <w:tcW w:w="2205" w:type="dxa"/>
            <w:noWrap/>
          </w:tcPr>
          <w:p w14:paraId="54617C3A" w14:textId="77777777" w:rsidR="007A2C38" w:rsidRPr="00620A16" w:rsidRDefault="007A2C38" w:rsidP="004135FE">
            <w:pPr>
              <w:spacing w:after="0" w:line="240" w:lineRule="auto"/>
              <w:rPr>
                <w:rFonts w:ascii="Times New Roman" w:eastAsia="Times New Roman" w:hAnsi="Times New Roman" w:cs="Times New Roman"/>
                <w:sz w:val="24"/>
                <w:szCs w:val="24"/>
              </w:rPr>
            </w:pPr>
            <w:r w:rsidRPr="00620A16">
              <w:rPr>
                <w:rFonts w:ascii="Times New Roman" w:eastAsia="Times New Roman" w:hAnsi="Times New Roman" w:cs="Times New Roman"/>
                <w:sz w:val="24"/>
                <w:szCs w:val="24"/>
              </w:rPr>
              <w:t>Доброжелательно объясняет</w:t>
            </w:r>
          </w:p>
        </w:tc>
        <w:tc>
          <w:tcPr>
            <w:tcW w:w="1382" w:type="dxa"/>
            <w:noWrap/>
            <w:vAlign w:val="center"/>
          </w:tcPr>
          <w:p w14:paraId="14867F3C" w14:textId="77777777" w:rsidR="00620A16" w:rsidRDefault="007A2C38" w:rsidP="004B3EF0">
            <w:pPr>
              <w:spacing w:after="0" w:line="240" w:lineRule="auto"/>
              <w:jc w:val="center"/>
              <w:rPr>
                <w:rFonts w:ascii="Times New Roman" w:eastAsia="Times New Roman" w:hAnsi="Times New Roman" w:cs="Times New Roman"/>
                <w:color w:val="000000"/>
                <w:sz w:val="24"/>
                <w:szCs w:val="24"/>
              </w:rPr>
            </w:pPr>
            <w:r w:rsidRPr="00620A16">
              <w:rPr>
                <w:rFonts w:ascii="Times New Roman" w:eastAsia="Times New Roman" w:hAnsi="Times New Roman" w:cs="Times New Roman"/>
                <w:color w:val="000000"/>
                <w:sz w:val="24"/>
                <w:szCs w:val="24"/>
              </w:rPr>
              <w:t>237</w:t>
            </w:r>
          </w:p>
          <w:p w14:paraId="3AE79DF4" w14:textId="4A1B4DDA" w:rsidR="007A2C38" w:rsidRPr="00620A16" w:rsidRDefault="007A2C38" w:rsidP="004B3EF0">
            <w:pPr>
              <w:spacing w:after="0" w:line="240" w:lineRule="auto"/>
              <w:jc w:val="center"/>
              <w:rPr>
                <w:rFonts w:ascii="Times New Roman" w:eastAsia="Times New Roman" w:hAnsi="Times New Roman" w:cs="Times New Roman"/>
                <w:sz w:val="24"/>
                <w:szCs w:val="24"/>
              </w:rPr>
            </w:pPr>
            <w:r w:rsidRPr="00620A16">
              <w:rPr>
                <w:rFonts w:ascii="Times New Roman" w:eastAsia="Times New Roman" w:hAnsi="Times New Roman" w:cs="Times New Roman"/>
                <w:color w:val="000000"/>
                <w:sz w:val="24"/>
                <w:szCs w:val="24"/>
              </w:rPr>
              <w:t>(92,58%)</w:t>
            </w:r>
          </w:p>
        </w:tc>
        <w:tc>
          <w:tcPr>
            <w:tcW w:w="1272" w:type="dxa"/>
            <w:noWrap/>
            <w:vAlign w:val="center"/>
          </w:tcPr>
          <w:p w14:paraId="5897C531" w14:textId="77777777" w:rsidR="00620A16" w:rsidRDefault="007A2C38" w:rsidP="004B3EF0">
            <w:pPr>
              <w:spacing w:after="0" w:line="240" w:lineRule="auto"/>
              <w:jc w:val="center"/>
              <w:rPr>
                <w:rFonts w:ascii="Times New Roman" w:eastAsia="Times New Roman" w:hAnsi="Times New Roman" w:cs="Times New Roman"/>
                <w:color w:val="000000"/>
                <w:sz w:val="24"/>
                <w:szCs w:val="24"/>
              </w:rPr>
            </w:pPr>
            <w:r w:rsidRPr="00620A16">
              <w:rPr>
                <w:rFonts w:ascii="Times New Roman" w:eastAsia="Times New Roman" w:hAnsi="Times New Roman" w:cs="Times New Roman"/>
                <w:color w:val="000000"/>
                <w:sz w:val="24"/>
                <w:szCs w:val="24"/>
              </w:rPr>
              <w:t>41</w:t>
            </w:r>
          </w:p>
          <w:p w14:paraId="62A36E28" w14:textId="06CBEEE0" w:rsidR="007A2C38" w:rsidRPr="00620A16" w:rsidRDefault="007A2C38" w:rsidP="004B3EF0">
            <w:pPr>
              <w:spacing w:after="0" w:line="240" w:lineRule="auto"/>
              <w:jc w:val="center"/>
              <w:rPr>
                <w:rFonts w:ascii="Times New Roman" w:eastAsia="Times New Roman" w:hAnsi="Times New Roman" w:cs="Times New Roman"/>
                <w:sz w:val="24"/>
                <w:szCs w:val="24"/>
              </w:rPr>
            </w:pPr>
            <w:r w:rsidRPr="00620A16">
              <w:rPr>
                <w:rFonts w:ascii="Times New Roman" w:eastAsia="Times New Roman" w:hAnsi="Times New Roman" w:cs="Times New Roman"/>
                <w:color w:val="000000"/>
                <w:sz w:val="24"/>
                <w:szCs w:val="24"/>
              </w:rPr>
              <w:t>(60,29%)</w:t>
            </w:r>
          </w:p>
        </w:tc>
        <w:tc>
          <w:tcPr>
            <w:tcW w:w="1278" w:type="dxa"/>
            <w:noWrap/>
            <w:vAlign w:val="center"/>
          </w:tcPr>
          <w:p w14:paraId="32C5F08A" w14:textId="77777777" w:rsidR="007A2C38" w:rsidRPr="00620A16" w:rsidRDefault="007A2C38" w:rsidP="004B3EF0">
            <w:pPr>
              <w:spacing w:after="0" w:line="240" w:lineRule="auto"/>
              <w:jc w:val="center"/>
              <w:rPr>
                <w:rFonts w:ascii="Times New Roman" w:eastAsia="Times New Roman" w:hAnsi="Times New Roman" w:cs="Times New Roman"/>
                <w:sz w:val="24"/>
                <w:szCs w:val="24"/>
              </w:rPr>
            </w:pPr>
            <w:r w:rsidRPr="00620A16">
              <w:rPr>
                <w:rFonts w:ascii="Times New Roman" w:eastAsia="Times New Roman" w:hAnsi="Times New Roman" w:cs="Times New Roman"/>
                <w:color w:val="000000"/>
                <w:sz w:val="24"/>
                <w:szCs w:val="24"/>
              </w:rPr>
              <w:t>5(14,71%)</w:t>
            </w:r>
          </w:p>
        </w:tc>
        <w:tc>
          <w:tcPr>
            <w:tcW w:w="1741" w:type="dxa"/>
            <w:noWrap/>
            <w:vAlign w:val="center"/>
          </w:tcPr>
          <w:p w14:paraId="6EA9A935" w14:textId="77777777" w:rsidR="007A2C38" w:rsidRPr="00620A16" w:rsidRDefault="007A2C38" w:rsidP="004B3EF0">
            <w:pPr>
              <w:spacing w:after="0" w:line="240" w:lineRule="auto"/>
              <w:jc w:val="center"/>
              <w:rPr>
                <w:rFonts w:ascii="Times New Roman" w:eastAsia="Times New Roman" w:hAnsi="Times New Roman" w:cs="Times New Roman"/>
                <w:sz w:val="24"/>
                <w:szCs w:val="24"/>
              </w:rPr>
            </w:pPr>
            <w:r w:rsidRPr="00620A16">
              <w:rPr>
                <w:rFonts w:ascii="Times New Roman" w:eastAsia="Times New Roman" w:hAnsi="Times New Roman" w:cs="Times New Roman"/>
                <w:color w:val="000000"/>
                <w:sz w:val="24"/>
                <w:szCs w:val="24"/>
              </w:rPr>
              <w:t>77(63,11%)</w:t>
            </w:r>
          </w:p>
        </w:tc>
        <w:tc>
          <w:tcPr>
            <w:tcW w:w="1210" w:type="dxa"/>
            <w:noWrap/>
            <w:vAlign w:val="center"/>
          </w:tcPr>
          <w:p w14:paraId="068448F4" w14:textId="77777777" w:rsidR="00620A16" w:rsidRDefault="007A2C38" w:rsidP="004B3EF0">
            <w:pPr>
              <w:spacing w:after="0" w:line="240" w:lineRule="auto"/>
              <w:jc w:val="center"/>
              <w:rPr>
                <w:rFonts w:ascii="Times New Roman" w:eastAsia="Times New Roman" w:hAnsi="Times New Roman" w:cs="Times New Roman"/>
                <w:color w:val="000000"/>
                <w:sz w:val="24"/>
                <w:szCs w:val="24"/>
              </w:rPr>
            </w:pPr>
            <w:r w:rsidRPr="00620A16">
              <w:rPr>
                <w:rFonts w:ascii="Times New Roman" w:eastAsia="Times New Roman" w:hAnsi="Times New Roman" w:cs="Times New Roman"/>
                <w:color w:val="000000"/>
                <w:sz w:val="24"/>
                <w:szCs w:val="24"/>
              </w:rPr>
              <w:t>360</w:t>
            </w:r>
          </w:p>
          <w:p w14:paraId="7DCD569A" w14:textId="5174BD05" w:rsidR="007A2C38" w:rsidRPr="00620A16" w:rsidRDefault="007A2C38" w:rsidP="004B3EF0">
            <w:pPr>
              <w:spacing w:after="0" w:line="240" w:lineRule="auto"/>
              <w:jc w:val="center"/>
              <w:rPr>
                <w:rFonts w:ascii="Times New Roman" w:eastAsia="Times New Roman" w:hAnsi="Times New Roman" w:cs="Times New Roman"/>
                <w:sz w:val="24"/>
                <w:szCs w:val="24"/>
              </w:rPr>
            </w:pPr>
            <w:r w:rsidRPr="00620A16">
              <w:rPr>
                <w:rFonts w:ascii="Times New Roman" w:eastAsia="Times New Roman" w:hAnsi="Times New Roman" w:cs="Times New Roman"/>
                <w:color w:val="000000"/>
                <w:sz w:val="24"/>
                <w:szCs w:val="24"/>
              </w:rPr>
              <w:t>(75,00%)</w:t>
            </w:r>
          </w:p>
        </w:tc>
      </w:tr>
      <w:tr w:rsidR="007A2C38" w:rsidRPr="00620A16" w14:paraId="5A38E876" w14:textId="77777777" w:rsidTr="004B3EF0">
        <w:trPr>
          <w:trHeight w:val="269"/>
        </w:trPr>
        <w:tc>
          <w:tcPr>
            <w:tcW w:w="2205" w:type="dxa"/>
            <w:noWrap/>
            <w:hideMark/>
          </w:tcPr>
          <w:p w14:paraId="5BBC8376" w14:textId="77777777" w:rsidR="007A2C38" w:rsidRPr="00620A16" w:rsidRDefault="007A2C38" w:rsidP="004135FE">
            <w:pPr>
              <w:spacing w:after="0" w:line="240" w:lineRule="auto"/>
              <w:rPr>
                <w:rFonts w:ascii="Times New Roman" w:eastAsia="Times New Roman" w:hAnsi="Times New Roman" w:cs="Times New Roman"/>
                <w:sz w:val="24"/>
                <w:szCs w:val="24"/>
              </w:rPr>
            </w:pPr>
            <w:r w:rsidRPr="00620A16">
              <w:rPr>
                <w:rFonts w:ascii="Times New Roman" w:eastAsia="Times New Roman" w:hAnsi="Times New Roman" w:cs="Times New Roman"/>
                <w:sz w:val="24"/>
                <w:szCs w:val="24"/>
              </w:rPr>
              <w:t>Недоброжелательно объясняет</w:t>
            </w:r>
          </w:p>
        </w:tc>
        <w:tc>
          <w:tcPr>
            <w:tcW w:w="1382" w:type="dxa"/>
            <w:noWrap/>
            <w:vAlign w:val="center"/>
            <w:hideMark/>
          </w:tcPr>
          <w:p w14:paraId="6A0C3E0D" w14:textId="4B89EFC5" w:rsidR="007A2C38" w:rsidRPr="00620A16" w:rsidRDefault="007A2C38" w:rsidP="004B3EF0">
            <w:pPr>
              <w:spacing w:after="0" w:line="240" w:lineRule="auto"/>
              <w:jc w:val="center"/>
              <w:rPr>
                <w:rFonts w:ascii="Times New Roman" w:eastAsia="Times New Roman" w:hAnsi="Times New Roman" w:cs="Times New Roman"/>
                <w:sz w:val="24"/>
                <w:szCs w:val="24"/>
              </w:rPr>
            </w:pPr>
            <w:r w:rsidRPr="00620A16">
              <w:rPr>
                <w:rFonts w:ascii="Times New Roman" w:eastAsia="Times New Roman" w:hAnsi="Times New Roman" w:cs="Times New Roman"/>
                <w:color w:val="000000"/>
                <w:sz w:val="24"/>
                <w:szCs w:val="24"/>
              </w:rPr>
              <w:t>9</w:t>
            </w:r>
            <w:r w:rsidR="0042205B">
              <w:rPr>
                <w:rFonts w:ascii="Times New Roman" w:eastAsia="Times New Roman" w:hAnsi="Times New Roman" w:cs="Times New Roman"/>
                <w:color w:val="000000"/>
                <w:sz w:val="24"/>
                <w:szCs w:val="24"/>
              </w:rPr>
              <w:t xml:space="preserve"> </w:t>
            </w:r>
            <w:r w:rsidRPr="00620A16">
              <w:rPr>
                <w:rFonts w:ascii="Times New Roman" w:eastAsia="Times New Roman" w:hAnsi="Times New Roman" w:cs="Times New Roman"/>
                <w:color w:val="000000"/>
                <w:sz w:val="24"/>
                <w:szCs w:val="24"/>
              </w:rPr>
              <w:t>(3,52%)</w:t>
            </w:r>
          </w:p>
        </w:tc>
        <w:tc>
          <w:tcPr>
            <w:tcW w:w="1272" w:type="dxa"/>
            <w:noWrap/>
            <w:vAlign w:val="center"/>
            <w:hideMark/>
          </w:tcPr>
          <w:p w14:paraId="591BD07C" w14:textId="77777777" w:rsidR="0042205B" w:rsidRDefault="007A2C38" w:rsidP="004B3EF0">
            <w:pPr>
              <w:spacing w:after="0" w:line="240" w:lineRule="auto"/>
              <w:jc w:val="center"/>
              <w:rPr>
                <w:rFonts w:ascii="Times New Roman" w:eastAsia="Times New Roman" w:hAnsi="Times New Roman" w:cs="Times New Roman"/>
                <w:color w:val="000000"/>
                <w:sz w:val="24"/>
                <w:szCs w:val="24"/>
              </w:rPr>
            </w:pPr>
            <w:r w:rsidRPr="00620A16">
              <w:rPr>
                <w:rFonts w:ascii="Times New Roman" w:eastAsia="Times New Roman" w:hAnsi="Times New Roman" w:cs="Times New Roman"/>
                <w:color w:val="000000"/>
                <w:sz w:val="24"/>
                <w:szCs w:val="24"/>
              </w:rPr>
              <w:t>17</w:t>
            </w:r>
          </w:p>
          <w:p w14:paraId="72B5600C" w14:textId="169E7C86" w:rsidR="007A2C38" w:rsidRPr="00620A16" w:rsidRDefault="007A2C38" w:rsidP="004B3EF0">
            <w:pPr>
              <w:spacing w:after="0" w:line="240" w:lineRule="auto"/>
              <w:jc w:val="center"/>
              <w:rPr>
                <w:rFonts w:ascii="Times New Roman" w:eastAsia="Times New Roman" w:hAnsi="Times New Roman" w:cs="Times New Roman"/>
                <w:sz w:val="24"/>
                <w:szCs w:val="24"/>
              </w:rPr>
            </w:pPr>
            <w:r w:rsidRPr="00620A16">
              <w:rPr>
                <w:rFonts w:ascii="Times New Roman" w:eastAsia="Times New Roman" w:hAnsi="Times New Roman" w:cs="Times New Roman"/>
                <w:color w:val="000000"/>
                <w:sz w:val="24"/>
                <w:szCs w:val="24"/>
              </w:rPr>
              <w:t>(25,00%)</w:t>
            </w:r>
          </w:p>
        </w:tc>
        <w:tc>
          <w:tcPr>
            <w:tcW w:w="1278" w:type="dxa"/>
            <w:noWrap/>
            <w:vAlign w:val="center"/>
            <w:hideMark/>
          </w:tcPr>
          <w:p w14:paraId="4EAD63A3" w14:textId="77777777" w:rsidR="0042205B" w:rsidRDefault="007A2C38" w:rsidP="004B3EF0">
            <w:pPr>
              <w:spacing w:after="0" w:line="240" w:lineRule="auto"/>
              <w:jc w:val="center"/>
              <w:rPr>
                <w:rFonts w:ascii="Times New Roman" w:eastAsia="Times New Roman" w:hAnsi="Times New Roman" w:cs="Times New Roman"/>
                <w:color w:val="000000"/>
                <w:sz w:val="24"/>
                <w:szCs w:val="24"/>
              </w:rPr>
            </w:pPr>
            <w:r w:rsidRPr="00620A16">
              <w:rPr>
                <w:rFonts w:ascii="Times New Roman" w:eastAsia="Times New Roman" w:hAnsi="Times New Roman" w:cs="Times New Roman"/>
                <w:color w:val="000000"/>
                <w:sz w:val="24"/>
                <w:szCs w:val="24"/>
              </w:rPr>
              <w:t>18</w:t>
            </w:r>
          </w:p>
          <w:p w14:paraId="333298B5" w14:textId="1B19FA8B" w:rsidR="007A2C38" w:rsidRPr="00620A16" w:rsidRDefault="007A2C38" w:rsidP="004B3EF0">
            <w:pPr>
              <w:spacing w:after="0" w:line="240" w:lineRule="auto"/>
              <w:jc w:val="center"/>
              <w:rPr>
                <w:rFonts w:ascii="Times New Roman" w:eastAsia="Times New Roman" w:hAnsi="Times New Roman" w:cs="Times New Roman"/>
                <w:sz w:val="24"/>
                <w:szCs w:val="24"/>
              </w:rPr>
            </w:pPr>
            <w:r w:rsidRPr="00620A16">
              <w:rPr>
                <w:rFonts w:ascii="Times New Roman" w:eastAsia="Times New Roman" w:hAnsi="Times New Roman" w:cs="Times New Roman"/>
                <w:color w:val="000000"/>
                <w:sz w:val="24"/>
                <w:szCs w:val="24"/>
              </w:rPr>
              <w:t>(52,94%)</w:t>
            </w:r>
          </w:p>
        </w:tc>
        <w:tc>
          <w:tcPr>
            <w:tcW w:w="1741" w:type="dxa"/>
            <w:noWrap/>
            <w:vAlign w:val="center"/>
            <w:hideMark/>
          </w:tcPr>
          <w:p w14:paraId="37192468" w14:textId="77777777" w:rsidR="007A2C38" w:rsidRPr="00620A16" w:rsidRDefault="007A2C38" w:rsidP="004B3EF0">
            <w:pPr>
              <w:spacing w:after="0" w:line="240" w:lineRule="auto"/>
              <w:jc w:val="center"/>
              <w:rPr>
                <w:rFonts w:ascii="Times New Roman" w:eastAsia="Times New Roman" w:hAnsi="Times New Roman" w:cs="Times New Roman"/>
                <w:sz w:val="24"/>
                <w:szCs w:val="24"/>
              </w:rPr>
            </w:pPr>
            <w:r w:rsidRPr="00620A16">
              <w:rPr>
                <w:rFonts w:ascii="Times New Roman" w:eastAsia="Times New Roman" w:hAnsi="Times New Roman" w:cs="Times New Roman"/>
                <w:color w:val="000000"/>
                <w:sz w:val="24"/>
                <w:szCs w:val="24"/>
              </w:rPr>
              <w:t>14(11,48%)</w:t>
            </w:r>
          </w:p>
        </w:tc>
        <w:tc>
          <w:tcPr>
            <w:tcW w:w="1210" w:type="dxa"/>
            <w:noWrap/>
            <w:vAlign w:val="center"/>
            <w:hideMark/>
          </w:tcPr>
          <w:p w14:paraId="4B55A998" w14:textId="77777777" w:rsidR="00620A16" w:rsidRDefault="007A2C38" w:rsidP="004B3EF0">
            <w:pPr>
              <w:spacing w:after="0" w:line="240" w:lineRule="auto"/>
              <w:jc w:val="center"/>
              <w:rPr>
                <w:rFonts w:ascii="Times New Roman" w:eastAsia="Times New Roman" w:hAnsi="Times New Roman" w:cs="Times New Roman"/>
                <w:color w:val="000000"/>
                <w:sz w:val="24"/>
                <w:szCs w:val="24"/>
              </w:rPr>
            </w:pPr>
            <w:r w:rsidRPr="00620A16">
              <w:rPr>
                <w:rFonts w:ascii="Times New Roman" w:eastAsia="Times New Roman" w:hAnsi="Times New Roman" w:cs="Times New Roman"/>
                <w:color w:val="000000"/>
                <w:sz w:val="24"/>
                <w:szCs w:val="24"/>
              </w:rPr>
              <w:t>58</w:t>
            </w:r>
          </w:p>
          <w:p w14:paraId="5A967CA7" w14:textId="1BEF6DD8" w:rsidR="007A2C38" w:rsidRPr="00620A16" w:rsidRDefault="007A2C38" w:rsidP="004B3EF0">
            <w:pPr>
              <w:spacing w:after="0" w:line="240" w:lineRule="auto"/>
              <w:jc w:val="center"/>
              <w:rPr>
                <w:rFonts w:ascii="Times New Roman" w:eastAsia="Times New Roman" w:hAnsi="Times New Roman" w:cs="Times New Roman"/>
                <w:sz w:val="24"/>
                <w:szCs w:val="24"/>
              </w:rPr>
            </w:pPr>
            <w:r w:rsidRPr="00620A16">
              <w:rPr>
                <w:rFonts w:ascii="Times New Roman" w:eastAsia="Times New Roman" w:hAnsi="Times New Roman" w:cs="Times New Roman"/>
                <w:color w:val="000000"/>
                <w:sz w:val="24"/>
                <w:szCs w:val="24"/>
              </w:rPr>
              <w:t>(12,08%)</w:t>
            </w:r>
          </w:p>
        </w:tc>
      </w:tr>
      <w:tr w:rsidR="007A2C38" w:rsidRPr="00620A16" w14:paraId="15E1D8A1" w14:textId="77777777" w:rsidTr="004B3EF0">
        <w:trPr>
          <w:trHeight w:val="269"/>
        </w:trPr>
        <w:tc>
          <w:tcPr>
            <w:tcW w:w="2205" w:type="dxa"/>
            <w:noWrap/>
            <w:hideMark/>
          </w:tcPr>
          <w:p w14:paraId="543ACFE2" w14:textId="77777777" w:rsidR="007A2C38" w:rsidRPr="00620A16" w:rsidRDefault="007A2C38" w:rsidP="004135FE">
            <w:pPr>
              <w:spacing w:after="0" w:line="240" w:lineRule="auto"/>
              <w:rPr>
                <w:rFonts w:ascii="Times New Roman" w:eastAsia="Times New Roman" w:hAnsi="Times New Roman" w:cs="Times New Roman"/>
                <w:sz w:val="24"/>
                <w:szCs w:val="24"/>
              </w:rPr>
            </w:pPr>
            <w:r w:rsidRPr="00620A16">
              <w:rPr>
                <w:rFonts w:ascii="Times New Roman" w:eastAsia="Times New Roman" w:hAnsi="Times New Roman" w:cs="Times New Roman"/>
                <w:sz w:val="24"/>
                <w:szCs w:val="24"/>
              </w:rPr>
              <w:t>Не объясняет ссылаясь на нехватку времени</w:t>
            </w:r>
          </w:p>
        </w:tc>
        <w:tc>
          <w:tcPr>
            <w:tcW w:w="1382" w:type="dxa"/>
            <w:noWrap/>
            <w:vAlign w:val="center"/>
            <w:hideMark/>
          </w:tcPr>
          <w:p w14:paraId="6F45E2D9" w14:textId="77777777" w:rsidR="007A2C38" w:rsidRPr="00620A16" w:rsidRDefault="007A2C38" w:rsidP="004B3EF0">
            <w:pPr>
              <w:spacing w:after="0" w:line="240" w:lineRule="auto"/>
              <w:jc w:val="center"/>
              <w:rPr>
                <w:rFonts w:ascii="Times New Roman" w:eastAsia="Times New Roman" w:hAnsi="Times New Roman" w:cs="Times New Roman"/>
                <w:sz w:val="24"/>
                <w:szCs w:val="24"/>
              </w:rPr>
            </w:pPr>
            <w:r w:rsidRPr="00620A16">
              <w:rPr>
                <w:rFonts w:ascii="Times New Roman" w:eastAsia="Times New Roman" w:hAnsi="Times New Roman" w:cs="Times New Roman"/>
                <w:color w:val="000000"/>
                <w:sz w:val="24"/>
                <w:szCs w:val="24"/>
              </w:rPr>
              <w:t>10(3,91%)</w:t>
            </w:r>
          </w:p>
        </w:tc>
        <w:tc>
          <w:tcPr>
            <w:tcW w:w="1272" w:type="dxa"/>
            <w:noWrap/>
            <w:vAlign w:val="center"/>
            <w:hideMark/>
          </w:tcPr>
          <w:p w14:paraId="671C7F30" w14:textId="77777777" w:rsidR="007A2C38" w:rsidRPr="00620A16" w:rsidRDefault="007A2C38" w:rsidP="004B3EF0">
            <w:pPr>
              <w:spacing w:after="0" w:line="240" w:lineRule="auto"/>
              <w:jc w:val="center"/>
              <w:rPr>
                <w:rFonts w:ascii="Times New Roman" w:eastAsia="Times New Roman" w:hAnsi="Times New Roman" w:cs="Times New Roman"/>
                <w:sz w:val="24"/>
                <w:szCs w:val="24"/>
              </w:rPr>
            </w:pPr>
            <w:r w:rsidRPr="00620A16">
              <w:rPr>
                <w:rFonts w:ascii="Times New Roman" w:eastAsia="Times New Roman" w:hAnsi="Times New Roman" w:cs="Times New Roman"/>
                <w:color w:val="000000"/>
                <w:sz w:val="24"/>
                <w:szCs w:val="24"/>
              </w:rPr>
              <w:t>10(14,71%)</w:t>
            </w:r>
          </w:p>
        </w:tc>
        <w:tc>
          <w:tcPr>
            <w:tcW w:w="1278" w:type="dxa"/>
            <w:noWrap/>
            <w:vAlign w:val="center"/>
            <w:hideMark/>
          </w:tcPr>
          <w:p w14:paraId="269F6246" w14:textId="77777777" w:rsidR="0042205B" w:rsidRDefault="007A2C38" w:rsidP="004B3EF0">
            <w:pPr>
              <w:spacing w:after="0" w:line="240" w:lineRule="auto"/>
              <w:jc w:val="center"/>
              <w:rPr>
                <w:rFonts w:ascii="Times New Roman" w:eastAsia="Times New Roman" w:hAnsi="Times New Roman" w:cs="Times New Roman"/>
                <w:color w:val="000000"/>
                <w:sz w:val="24"/>
                <w:szCs w:val="24"/>
              </w:rPr>
            </w:pPr>
            <w:r w:rsidRPr="00620A16">
              <w:rPr>
                <w:rFonts w:ascii="Times New Roman" w:eastAsia="Times New Roman" w:hAnsi="Times New Roman" w:cs="Times New Roman"/>
                <w:color w:val="000000"/>
                <w:sz w:val="24"/>
                <w:szCs w:val="24"/>
              </w:rPr>
              <w:t>11</w:t>
            </w:r>
          </w:p>
          <w:p w14:paraId="4B48450E" w14:textId="6CD44672" w:rsidR="007A2C38" w:rsidRPr="00620A16" w:rsidRDefault="007A2C38" w:rsidP="004B3EF0">
            <w:pPr>
              <w:spacing w:after="0" w:line="240" w:lineRule="auto"/>
              <w:jc w:val="center"/>
              <w:rPr>
                <w:rFonts w:ascii="Times New Roman" w:eastAsia="Times New Roman" w:hAnsi="Times New Roman" w:cs="Times New Roman"/>
                <w:sz w:val="24"/>
                <w:szCs w:val="24"/>
              </w:rPr>
            </w:pPr>
            <w:r w:rsidRPr="00620A16">
              <w:rPr>
                <w:rFonts w:ascii="Times New Roman" w:eastAsia="Times New Roman" w:hAnsi="Times New Roman" w:cs="Times New Roman"/>
                <w:color w:val="000000"/>
                <w:sz w:val="24"/>
                <w:szCs w:val="24"/>
              </w:rPr>
              <w:t>(32,35%)</w:t>
            </w:r>
          </w:p>
        </w:tc>
        <w:tc>
          <w:tcPr>
            <w:tcW w:w="1741" w:type="dxa"/>
            <w:noWrap/>
            <w:vAlign w:val="center"/>
            <w:hideMark/>
          </w:tcPr>
          <w:p w14:paraId="2E8E0427" w14:textId="77777777" w:rsidR="007A2C38" w:rsidRPr="00620A16" w:rsidRDefault="007A2C38" w:rsidP="004B3EF0">
            <w:pPr>
              <w:spacing w:after="0" w:line="240" w:lineRule="auto"/>
              <w:jc w:val="center"/>
              <w:rPr>
                <w:rFonts w:ascii="Times New Roman" w:eastAsia="Times New Roman" w:hAnsi="Times New Roman" w:cs="Times New Roman"/>
                <w:sz w:val="24"/>
                <w:szCs w:val="24"/>
              </w:rPr>
            </w:pPr>
            <w:r w:rsidRPr="00620A16">
              <w:rPr>
                <w:rFonts w:ascii="Times New Roman" w:eastAsia="Times New Roman" w:hAnsi="Times New Roman" w:cs="Times New Roman"/>
                <w:color w:val="000000"/>
                <w:sz w:val="24"/>
                <w:szCs w:val="24"/>
              </w:rPr>
              <w:t>31(25,41%)</w:t>
            </w:r>
          </w:p>
        </w:tc>
        <w:tc>
          <w:tcPr>
            <w:tcW w:w="1210" w:type="dxa"/>
            <w:noWrap/>
            <w:vAlign w:val="center"/>
            <w:hideMark/>
          </w:tcPr>
          <w:p w14:paraId="3EE6FCDA" w14:textId="77777777" w:rsidR="00620A16" w:rsidRDefault="007A2C38" w:rsidP="004B3EF0">
            <w:pPr>
              <w:spacing w:after="0" w:line="240" w:lineRule="auto"/>
              <w:jc w:val="center"/>
              <w:rPr>
                <w:rFonts w:ascii="Times New Roman" w:eastAsia="Times New Roman" w:hAnsi="Times New Roman" w:cs="Times New Roman"/>
                <w:color w:val="000000"/>
                <w:sz w:val="24"/>
                <w:szCs w:val="24"/>
              </w:rPr>
            </w:pPr>
            <w:r w:rsidRPr="00620A16">
              <w:rPr>
                <w:rFonts w:ascii="Times New Roman" w:eastAsia="Times New Roman" w:hAnsi="Times New Roman" w:cs="Times New Roman"/>
                <w:color w:val="000000"/>
                <w:sz w:val="24"/>
                <w:szCs w:val="24"/>
              </w:rPr>
              <w:t>62</w:t>
            </w:r>
          </w:p>
          <w:p w14:paraId="19420C62" w14:textId="305819EA" w:rsidR="007A2C38" w:rsidRPr="00620A16" w:rsidRDefault="007A2C38" w:rsidP="004B3EF0">
            <w:pPr>
              <w:spacing w:after="0" w:line="240" w:lineRule="auto"/>
              <w:jc w:val="center"/>
              <w:rPr>
                <w:rFonts w:ascii="Times New Roman" w:eastAsia="Times New Roman" w:hAnsi="Times New Roman" w:cs="Times New Roman"/>
                <w:sz w:val="24"/>
                <w:szCs w:val="24"/>
              </w:rPr>
            </w:pPr>
            <w:r w:rsidRPr="00620A16">
              <w:rPr>
                <w:rFonts w:ascii="Times New Roman" w:eastAsia="Times New Roman" w:hAnsi="Times New Roman" w:cs="Times New Roman"/>
                <w:color w:val="000000"/>
                <w:sz w:val="24"/>
                <w:szCs w:val="24"/>
              </w:rPr>
              <w:t>(12,92%)</w:t>
            </w:r>
          </w:p>
        </w:tc>
      </w:tr>
      <w:tr w:rsidR="007A2C38" w:rsidRPr="00620A16" w14:paraId="09503CB3" w14:textId="77777777" w:rsidTr="004B3EF0">
        <w:trPr>
          <w:trHeight w:val="269"/>
        </w:trPr>
        <w:tc>
          <w:tcPr>
            <w:tcW w:w="2205" w:type="dxa"/>
            <w:noWrap/>
          </w:tcPr>
          <w:p w14:paraId="144067D7" w14:textId="77777777" w:rsidR="007A2C38" w:rsidRPr="00620A16" w:rsidRDefault="007A2C38" w:rsidP="004135FE">
            <w:pPr>
              <w:spacing w:after="0" w:line="240" w:lineRule="auto"/>
              <w:rPr>
                <w:rFonts w:ascii="Times New Roman" w:eastAsia="Times New Roman" w:hAnsi="Times New Roman" w:cs="Times New Roman"/>
                <w:sz w:val="24"/>
                <w:szCs w:val="24"/>
              </w:rPr>
            </w:pPr>
            <w:r w:rsidRPr="00620A16">
              <w:rPr>
                <w:rFonts w:ascii="Times New Roman" w:eastAsia="Times New Roman" w:hAnsi="Times New Roman" w:cs="Times New Roman"/>
                <w:sz w:val="24"/>
                <w:szCs w:val="24"/>
              </w:rPr>
              <w:t>ИТОГО</w:t>
            </w:r>
          </w:p>
        </w:tc>
        <w:tc>
          <w:tcPr>
            <w:tcW w:w="1382" w:type="dxa"/>
            <w:noWrap/>
            <w:vAlign w:val="center"/>
          </w:tcPr>
          <w:p w14:paraId="05DC644C" w14:textId="77777777" w:rsidR="007A2C38" w:rsidRPr="00620A16" w:rsidRDefault="007A2C38" w:rsidP="004B3EF0">
            <w:pPr>
              <w:spacing w:after="0" w:line="240" w:lineRule="auto"/>
              <w:jc w:val="center"/>
              <w:rPr>
                <w:rFonts w:ascii="Times New Roman" w:eastAsia="Times New Roman" w:hAnsi="Times New Roman" w:cs="Times New Roman"/>
                <w:color w:val="000000"/>
                <w:sz w:val="24"/>
                <w:szCs w:val="24"/>
              </w:rPr>
            </w:pPr>
            <w:r w:rsidRPr="00620A16">
              <w:rPr>
                <w:rFonts w:ascii="Times New Roman" w:eastAsia="Times New Roman" w:hAnsi="Times New Roman" w:cs="Times New Roman"/>
                <w:color w:val="000000"/>
                <w:sz w:val="24"/>
                <w:szCs w:val="24"/>
              </w:rPr>
              <w:t>256(100%)</w:t>
            </w:r>
          </w:p>
        </w:tc>
        <w:tc>
          <w:tcPr>
            <w:tcW w:w="1272" w:type="dxa"/>
            <w:noWrap/>
            <w:vAlign w:val="center"/>
          </w:tcPr>
          <w:p w14:paraId="73006C22" w14:textId="77777777" w:rsidR="007A2C38" w:rsidRPr="00620A16" w:rsidRDefault="007A2C38" w:rsidP="004B3EF0">
            <w:pPr>
              <w:spacing w:after="0" w:line="240" w:lineRule="auto"/>
              <w:jc w:val="center"/>
              <w:rPr>
                <w:rFonts w:ascii="Times New Roman" w:eastAsia="Times New Roman" w:hAnsi="Times New Roman" w:cs="Times New Roman"/>
                <w:color w:val="000000"/>
                <w:sz w:val="24"/>
                <w:szCs w:val="24"/>
              </w:rPr>
            </w:pPr>
            <w:r w:rsidRPr="00620A16">
              <w:rPr>
                <w:rFonts w:ascii="Times New Roman" w:eastAsia="Times New Roman" w:hAnsi="Times New Roman" w:cs="Times New Roman"/>
                <w:color w:val="000000"/>
                <w:sz w:val="24"/>
                <w:szCs w:val="24"/>
              </w:rPr>
              <w:t>68(100%)</w:t>
            </w:r>
          </w:p>
        </w:tc>
        <w:tc>
          <w:tcPr>
            <w:tcW w:w="1278" w:type="dxa"/>
            <w:noWrap/>
            <w:vAlign w:val="center"/>
          </w:tcPr>
          <w:p w14:paraId="72413ADA" w14:textId="77777777" w:rsidR="007A2C38" w:rsidRPr="00620A16" w:rsidRDefault="007A2C38" w:rsidP="004B3EF0">
            <w:pPr>
              <w:spacing w:after="0" w:line="240" w:lineRule="auto"/>
              <w:jc w:val="center"/>
              <w:rPr>
                <w:rFonts w:ascii="Times New Roman" w:eastAsia="Times New Roman" w:hAnsi="Times New Roman" w:cs="Times New Roman"/>
                <w:color w:val="000000"/>
                <w:sz w:val="24"/>
                <w:szCs w:val="24"/>
              </w:rPr>
            </w:pPr>
            <w:r w:rsidRPr="00620A16">
              <w:rPr>
                <w:rFonts w:ascii="Times New Roman" w:eastAsia="Times New Roman" w:hAnsi="Times New Roman" w:cs="Times New Roman"/>
                <w:color w:val="000000"/>
                <w:sz w:val="24"/>
                <w:szCs w:val="24"/>
              </w:rPr>
              <w:t>34(100%)</w:t>
            </w:r>
          </w:p>
        </w:tc>
        <w:tc>
          <w:tcPr>
            <w:tcW w:w="1741" w:type="dxa"/>
            <w:noWrap/>
            <w:vAlign w:val="center"/>
          </w:tcPr>
          <w:p w14:paraId="4B7BA99E" w14:textId="77777777" w:rsidR="007A2C38" w:rsidRPr="00620A16" w:rsidRDefault="007A2C38" w:rsidP="004B3EF0">
            <w:pPr>
              <w:spacing w:after="0" w:line="240" w:lineRule="auto"/>
              <w:jc w:val="center"/>
              <w:rPr>
                <w:rFonts w:ascii="Times New Roman" w:eastAsia="Times New Roman" w:hAnsi="Times New Roman" w:cs="Times New Roman"/>
                <w:color w:val="000000"/>
                <w:sz w:val="24"/>
                <w:szCs w:val="24"/>
              </w:rPr>
            </w:pPr>
            <w:r w:rsidRPr="00620A16">
              <w:rPr>
                <w:rFonts w:ascii="Times New Roman" w:eastAsia="Times New Roman" w:hAnsi="Times New Roman" w:cs="Times New Roman"/>
                <w:color w:val="000000"/>
                <w:sz w:val="24"/>
                <w:szCs w:val="24"/>
              </w:rPr>
              <w:t>122(100%)</w:t>
            </w:r>
          </w:p>
        </w:tc>
        <w:tc>
          <w:tcPr>
            <w:tcW w:w="1210" w:type="dxa"/>
            <w:noWrap/>
            <w:vAlign w:val="center"/>
          </w:tcPr>
          <w:p w14:paraId="1E935E89" w14:textId="77777777" w:rsidR="0042205B" w:rsidRDefault="007A2C38" w:rsidP="004B3EF0">
            <w:pPr>
              <w:spacing w:after="0" w:line="240" w:lineRule="auto"/>
              <w:jc w:val="center"/>
              <w:rPr>
                <w:rFonts w:ascii="Times New Roman" w:eastAsia="Times New Roman" w:hAnsi="Times New Roman" w:cs="Times New Roman"/>
                <w:color w:val="000000"/>
                <w:sz w:val="24"/>
                <w:szCs w:val="24"/>
              </w:rPr>
            </w:pPr>
            <w:r w:rsidRPr="00620A16">
              <w:rPr>
                <w:rFonts w:ascii="Times New Roman" w:eastAsia="Times New Roman" w:hAnsi="Times New Roman" w:cs="Times New Roman"/>
                <w:color w:val="000000"/>
                <w:sz w:val="24"/>
                <w:szCs w:val="24"/>
              </w:rPr>
              <w:t>480</w:t>
            </w:r>
          </w:p>
          <w:p w14:paraId="6226E5F1" w14:textId="7B58F3F1" w:rsidR="007A2C38" w:rsidRPr="00620A16" w:rsidRDefault="007A2C38" w:rsidP="004B3EF0">
            <w:pPr>
              <w:spacing w:after="0" w:line="240" w:lineRule="auto"/>
              <w:jc w:val="center"/>
              <w:rPr>
                <w:rFonts w:ascii="Times New Roman" w:eastAsia="Times New Roman" w:hAnsi="Times New Roman" w:cs="Times New Roman"/>
                <w:color w:val="000000"/>
                <w:sz w:val="24"/>
                <w:szCs w:val="24"/>
              </w:rPr>
            </w:pPr>
            <w:r w:rsidRPr="00620A16">
              <w:rPr>
                <w:rFonts w:ascii="Times New Roman" w:eastAsia="Times New Roman" w:hAnsi="Times New Roman" w:cs="Times New Roman"/>
                <w:color w:val="000000"/>
                <w:sz w:val="24"/>
                <w:szCs w:val="24"/>
              </w:rPr>
              <w:t>(100%)</w:t>
            </w:r>
          </w:p>
        </w:tc>
      </w:tr>
      <w:tr w:rsidR="007A2C38" w:rsidRPr="00620A16" w14:paraId="059267C6" w14:textId="77777777" w:rsidTr="00620A16">
        <w:trPr>
          <w:trHeight w:val="269"/>
        </w:trPr>
        <w:tc>
          <w:tcPr>
            <w:tcW w:w="2205" w:type="dxa"/>
            <w:noWrap/>
          </w:tcPr>
          <w:p w14:paraId="663552F3" w14:textId="77777777" w:rsidR="007A2C38" w:rsidRPr="00620A16" w:rsidRDefault="007A2C38" w:rsidP="004135FE">
            <w:pPr>
              <w:spacing w:after="0" w:line="240" w:lineRule="auto"/>
              <w:rPr>
                <w:rFonts w:ascii="Times New Roman" w:eastAsia="Times New Roman" w:hAnsi="Times New Roman" w:cs="Times New Roman"/>
                <w:sz w:val="24"/>
                <w:szCs w:val="24"/>
              </w:rPr>
            </w:pPr>
            <w:r w:rsidRPr="00620A16">
              <w:rPr>
                <w:rFonts w:ascii="Times New Roman" w:eastAsia="Times New Roman" w:hAnsi="Times New Roman" w:cs="Times New Roman"/>
                <w:sz w:val="24"/>
                <w:szCs w:val="24"/>
                <w:lang w:val="en-US"/>
              </w:rPr>
              <w:t>p</w:t>
            </w:r>
            <w:r w:rsidRPr="00620A16">
              <w:rPr>
                <w:rFonts w:ascii="Times New Roman" w:eastAsia="Times New Roman" w:hAnsi="Times New Roman" w:cs="Times New Roman"/>
                <w:sz w:val="24"/>
                <w:szCs w:val="24"/>
              </w:rPr>
              <w:t>-</w:t>
            </w:r>
            <w:r w:rsidRPr="00620A16">
              <w:rPr>
                <w:rFonts w:ascii="Times New Roman" w:eastAsia="Times New Roman" w:hAnsi="Times New Roman" w:cs="Times New Roman"/>
                <w:sz w:val="24"/>
                <w:szCs w:val="24"/>
                <w:lang w:val="en-US"/>
              </w:rPr>
              <w:t>value</w:t>
            </w:r>
          </w:p>
        </w:tc>
        <w:tc>
          <w:tcPr>
            <w:tcW w:w="1382" w:type="dxa"/>
            <w:noWrap/>
            <w:vAlign w:val="center"/>
          </w:tcPr>
          <w:p w14:paraId="26BC2FC3" w14:textId="77777777" w:rsidR="007A2C38" w:rsidRPr="00620A16" w:rsidRDefault="007A2C38" w:rsidP="0042205B">
            <w:pPr>
              <w:spacing w:after="0" w:line="240" w:lineRule="auto"/>
              <w:jc w:val="center"/>
              <w:rPr>
                <w:rFonts w:ascii="Times New Roman" w:eastAsia="Times New Roman" w:hAnsi="Times New Roman" w:cs="Times New Roman"/>
                <w:color w:val="000000"/>
                <w:sz w:val="24"/>
                <w:szCs w:val="24"/>
              </w:rPr>
            </w:pPr>
            <w:r w:rsidRPr="00620A16">
              <w:rPr>
                <w:rFonts w:ascii="Times New Roman" w:eastAsia="Times New Roman" w:hAnsi="Times New Roman" w:cs="Times New Roman"/>
                <w:sz w:val="24"/>
                <w:szCs w:val="24"/>
                <w:lang w:val="en-US"/>
              </w:rPr>
              <w:t>0,001</w:t>
            </w:r>
          </w:p>
        </w:tc>
        <w:tc>
          <w:tcPr>
            <w:tcW w:w="1272" w:type="dxa"/>
            <w:noWrap/>
            <w:vAlign w:val="center"/>
          </w:tcPr>
          <w:p w14:paraId="1C810C81" w14:textId="05C03854" w:rsidR="007A2C38" w:rsidRPr="00620A16" w:rsidRDefault="0042205B" w:rsidP="0042205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78" w:type="dxa"/>
            <w:noWrap/>
            <w:vAlign w:val="center"/>
          </w:tcPr>
          <w:p w14:paraId="1DC98157" w14:textId="3A3DA73D" w:rsidR="007A2C38" w:rsidRPr="00620A16" w:rsidRDefault="0042205B" w:rsidP="0042205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741" w:type="dxa"/>
            <w:noWrap/>
            <w:vAlign w:val="center"/>
          </w:tcPr>
          <w:p w14:paraId="56739D3A" w14:textId="6A4595E4" w:rsidR="007A2C38" w:rsidRPr="00620A16" w:rsidRDefault="0042205B" w:rsidP="0042205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10" w:type="dxa"/>
            <w:noWrap/>
            <w:vAlign w:val="center"/>
          </w:tcPr>
          <w:p w14:paraId="2C63A3DF" w14:textId="0A9437A7" w:rsidR="007A2C38" w:rsidRPr="00620A16" w:rsidRDefault="0042205B" w:rsidP="0042205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bl>
    <w:p w14:paraId="446CC439" w14:textId="77777777" w:rsidR="004B3EF0" w:rsidRPr="004B3EF0" w:rsidRDefault="004B3EF0" w:rsidP="004135FE">
      <w:pPr>
        <w:pStyle w:val="a3"/>
        <w:spacing w:after="0" w:line="240" w:lineRule="auto"/>
        <w:ind w:left="0" w:firstLine="708"/>
        <w:jc w:val="both"/>
        <w:rPr>
          <w:rFonts w:ascii="Times New Roman" w:hAnsi="Times New Roman" w:cs="Times New Roman"/>
          <w:bCs/>
          <w:sz w:val="16"/>
          <w:szCs w:val="16"/>
        </w:rPr>
      </w:pPr>
    </w:p>
    <w:p w14:paraId="1336E258" w14:textId="1BB096FA" w:rsidR="007A2C38" w:rsidRDefault="007A2C38" w:rsidP="004135FE">
      <w:pPr>
        <w:pStyle w:val="a3"/>
        <w:spacing w:after="0" w:line="240" w:lineRule="auto"/>
        <w:ind w:left="0" w:firstLine="708"/>
        <w:jc w:val="both"/>
        <w:rPr>
          <w:rFonts w:ascii="Times New Roman" w:hAnsi="Times New Roman" w:cs="Times New Roman"/>
          <w:sz w:val="28"/>
          <w:szCs w:val="28"/>
        </w:rPr>
      </w:pPr>
      <w:r w:rsidRPr="004135FE">
        <w:rPr>
          <w:rFonts w:ascii="Times New Roman" w:hAnsi="Times New Roman" w:cs="Times New Roman"/>
          <w:bCs/>
          <w:sz w:val="28"/>
          <w:szCs w:val="28"/>
        </w:rPr>
        <w:t>В 36,06</w:t>
      </w:r>
      <w:r w:rsidRPr="004135FE">
        <w:rPr>
          <w:rFonts w:ascii="Times New Roman" w:eastAsia="Times New Roman" w:hAnsi="Times New Roman" w:cs="Times New Roman"/>
          <w:sz w:val="28"/>
          <w:szCs w:val="28"/>
        </w:rPr>
        <w:t xml:space="preserve">% случаях </w:t>
      </w:r>
      <w:r w:rsidRPr="004135FE">
        <w:rPr>
          <w:rFonts w:ascii="Times New Roman" w:hAnsi="Times New Roman" w:cs="Times New Roman"/>
          <w:bCs/>
          <w:sz w:val="28"/>
          <w:szCs w:val="28"/>
        </w:rPr>
        <w:t xml:space="preserve">пациенты </w:t>
      </w:r>
      <w:r w:rsidRPr="004135FE">
        <w:rPr>
          <w:rFonts w:ascii="Times New Roman" w:hAnsi="Times New Roman" w:cs="Times New Roman"/>
          <w:sz w:val="28"/>
          <w:szCs w:val="28"/>
        </w:rPr>
        <w:t>при получении лекарств по бесплатному рецепту каждый месяц берут консультацию и коррекцию лечения, показывая дневник самоконтроля, на приеме у врачей интересующихся и учитывающих индивидуальные особенности режима дня и привычки питания, поведения, физ</w:t>
      </w:r>
      <w:r w:rsidR="00455DCD" w:rsidRPr="004135FE">
        <w:rPr>
          <w:rFonts w:ascii="Times New Roman" w:hAnsi="Times New Roman" w:cs="Times New Roman"/>
          <w:sz w:val="28"/>
          <w:szCs w:val="28"/>
        </w:rPr>
        <w:t xml:space="preserve">ической </w:t>
      </w:r>
      <w:r w:rsidRPr="004135FE">
        <w:rPr>
          <w:rFonts w:ascii="Times New Roman" w:hAnsi="Times New Roman" w:cs="Times New Roman"/>
          <w:sz w:val="28"/>
          <w:szCs w:val="28"/>
        </w:rPr>
        <w:t xml:space="preserve">нагрузки при выписке рекомендации по приему и дозировке ЛС. </w:t>
      </w:r>
      <w:r w:rsidRPr="004135FE">
        <w:rPr>
          <w:rFonts w:ascii="Times New Roman" w:hAnsi="Times New Roman" w:cs="Times New Roman"/>
          <w:bCs/>
          <w:sz w:val="28"/>
          <w:szCs w:val="28"/>
        </w:rPr>
        <w:t xml:space="preserve">Статистический значимо, что при отсутствии интереса врачей на </w:t>
      </w:r>
      <w:r w:rsidRPr="004135FE">
        <w:rPr>
          <w:rFonts w:ascii="Times New Roman" w:hAnsi="Times New Roman" w:cs="Times New Roman"/>
          <w:sz w:val="28"/>
          <w:szCs w:val="28"/>
        </w:rPr>
        <w:t>индивидуальные особенности пациентов</w:t>
      </w:r>
      <w:r w:rsidRPr="004135FE">
        <w:rPr>
          <w:rFonts w:ascii="Times New Roman" w:hAnsi="Times New Roman" w:cs="Times New Roman"/>
          <w:bCs/>
          <w:sz w:val="28"/>
          <w:szCs w:val="28"/>
        </w:rPr>
        <w:t xml:space="preserve">, респонденты не хотят отвлекать </w:t>
      </w:r>
      <w:r w:rsidRPr="004135FE">
        <w:rPr>
          <w:rFonts w:ascii="Times New Roman" w:hAnsi="Times New Roman" w:cs="Times New Roman"/>
          <w:sz w:val="28"/>
          <w:szCs w:val="28"/>
        </w:rPr>
        <w:t>медицинского персонала</w:t>
      </w:r>
      <w:r w:rsidRPr="004135FE">
        <w:rPr>
          <w:rFonts w:ascii="Times New Roman" w:hAnsi="Times New Roman" w:cs="Times New Roman"/>
          <w:bCs/>
          <w:sz w:val="28"/>
          <w:szCs w:val="28"/>
        </w:rPr>
        <w:t xml:space="preserve"> и просто получают лекарства без коррекции по текущему состоянию здоровья – 46,88</w:t>
      </w:r>
      <w:r w:rsidRPr="004135FE">
        <w:rPr>
          <w:rFonts w:ascii="Times New Roman" w:hAnsi="Times New Roman" w:cs="Times New Roman"/>
          <w:sz w:val="28"/>
          <w:szCs w:val="28"/>
        </w:rPr>
        <w:t>%. 32,79% пациентов не ведут дневник, а по самочувствии просят коррекцию лечения и 21,31% получают лекарства, не решаясь задавать лишние вопросы врачам, которые интересуются, но не учитывают индивидуальных особенностей пациентов (χ2=29,754, df=6, p=0,0001).</w:t>
      </w:r>
    </w:p>
    <w:p w14:paraId="609CA73F" w14:textId="77777777" w:rsidR="004B3EF0" w:rsidRPr="004B3EF0" w:rsidRDefault="004B3EF0" w:rsidP="004135FE">
      <w:pPr>
        <w:pStyle w:val="a3"/>
        <w:spacing w:after="0" w:line="240" w:lineRule="auto"/>
        <w:ind w:left="0" w:firstLine="708"/>
        <w:jc w:val="both"/>
        <w:rPr>
          <w:rFonts w:ascii="Times New Roman" w:hAnsi="Times New Roman" w:cs="Times New Roman"/>
          <w:sz w:val="16"/>
          <w:szCs w:val="16"/>
        </w:rPr>
      </w:pPr>
    </w:p>
    <w:p w14:paraId="049EAACA" w14:textId="4CAD77DE" w:rsidR="007A2C38" w:rsidRDefault="007A2C38"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Таблица </w:t>
      </w:r>
      <w:r w:rsidR="00B728EF" w:rsidRPr="004135FE">
        <w:rPr>
          <w:rFonts w:ascii="Times New Roman" w:hAnsi="Times New Roman" w:cs="Times New Roman"/>
          <w:sz w:val="28"/>
          <w:szCs w:val="28"/>
        </w:rPr>
        <w:t>48</w:t>
      </w:r>
      <w:r w:rsidR="004B3EF0">
        <w:rPr>
          <w:rFonts w:ascii="Times New Roman" w:hAnsi="Times New Roman" w:cs="Times New Roman"/>
          <w:sz w:val="28"/>
          <w:szCs w:val="28"/>
        </w:rPr>
        <w:t xml:space="preserve"> </w:t>
      </w:r>
      <w:r w:rsidRPr="004135FE">
        <w:rPr>
          <w:rFonts w:ascii="Times New Roman" w:hAnsi="Times New Roman" w:cs="Times New Roman"/>
          <w:sz w:val="28"/>
          <w:szCs w:val="28"/>
        </w:rPr>
        <w:t xml:space="preserve">- Влияние качества консультации, с учетом индивидуальных особенностей пациента </w:t>
      </w:r>
      <w:r w:rsidRPr="004135FE">
        <w:rPr>
          <w:rFonts w:ascii="Times New Roman" w:hAnsi="Times New Roman" w:cs="Times New Roman"/>
          <w:bCs/>
          <w:sz w:val="28"/>
          <w:szCs w:val="28"/>
        </w:rPr>
        <w:t>на его д</w:t>
      </w:r>
      <w:r w:rsidRPr="004135FE">
        <w:rPr>
          <w:rFonts w:ascii="Times New Roman" w:hAnsi="Times New Roman" w:cs="Times New Roman"/>
          <w:sz w:val="28"/>
          <w:szCs w:val="28"/>
        </w:rPr>
        <w:t xml:space="preserve">ействия </w:t>
      </w:r>
    </w:p>
    <w:p w14:paraId="2B1E40F5" w14:textId="77777777" w:rsidR="004B3EF0" w:rsidRDefault="004B3EF0" w:rsidP="004135FE">
      <w:pPr>
        <w:spacing w:after="0" w:line="240" w:lineRule="auto"/>
        <w:jc w:val="both"/>
        <w:rPr>
          <w:rFonts w:ascii="Times New Roman" w:hAnsi="Times New Roman" w:cs="Times New Roman"/>
          <w:sz w:val="28"/>
          <w:szCs w:val="28"/>
        </w:rPr>
      </w:pPr>
    </w:p>
    <w:tbl>
      <w:tblPr>
        <w:tblStyle w:val="a5"/>
        <w:tblW w:w="9414" w:type="dxa"/>
        <w:tblLook w:val="04A0" w:firstRow="1" w:lastRow="0" w:firstColumn="1" w:lastColumn="0" w:noHBand="0" w:noVBand="1"/>
      </w:tblPr>
      <w:tblGrid>
        <w:gridCol w:w="2647"/>
        <w:gridCol w:w="1724"/>
        <w:gridCol w:w="1790"/>
        <w:gridCol w:w="1676"/>
        <w:gridCol w:w="1577"/>
      </w:tblGrid>
      <w:tr w:rsidR="007A2C38" w:rsidRPr="0042205B" w14:paraId="06F6D7C2" w14:textId="77777777" w:rsidTr="0042205B">
        <w:trPr>
          <w:trHeight w:val="1283"/>
        </w:trPr>
        <w:tc>
          <w:tcPr>
            <w:tcW w:w="2647" w:type="dxa"/>
          </w:tcPr>
          <w:p w14:paraId="560AAAE6" w14:textId="77777777" w:rsidR="007A2C38" w:rsidRPr="0042205B" w:rsidRDefault="007A2C38" w:rsidP="004135FE">
            <w:pPr>
              <w:spacing w:after="0" w:line="240" w:lineRule="auto"/>
              <w:jc w:val="both"/>
              <w:rPr>
                <w:rFonts w:ascii="Times New Roman" w:hAnsi="Times New Roman" w:cs="Times New Roman"/>
                <w:sz w:val="24"/>
                <w:szCs w:val="24"/>
              </w:rPr>
            </w:pPr>
            <w:r w:rsidRPr="0042205B">
              <w:rPr>
                <w:rFonts w:ascii="Times New Roman" w:hAnsi="Times New Roman" w:cs="Times New Roman"/>
                <w:sz w:val="24"/>
                <w:szCs w:val="24"/>
              </w:rPr>
              <w:t>Варианты ответов</w:t>
            </w:r>
          </w:p>
        </w:tc>
        <w:tc>
          <w:tcPr>
            <w:tcW w:w="1724" w:type="dxa"/>
          </w:tcPr>
          <w:p w14:paraId="724B1723" w14:textId="77777777" w:rsidR="007A2C38" w:rsidRPr="0042205B" w:rsidRDefault="007A2C38" w:rsidP="004135FE">
            <w:pPr>
              <w:spacing w:after="0" w:line="240" w:lineRule="auto"/>
              <w:rPr>
                <w:rFonts w:ascii="Times New Roman" w:eastAsia="Times New Roman" w:hAnsi="Times New Roman" w:cs="Times New Roman"/>
                <w:sz w:val="24"/>
                <w:szCs w:val="24"/>
              </w:rPr>
            </w:pPr>
            <w:r w:rsidRPr="0042205B">
              <w:rPr>
                <w:rFonts w:ascii="Times New Roman" w:eastAsia="Times New Roman" w:hAnsi="Times New Roman" w:cs="Times New Roman"/>
                <w:sz w:val="24"/>
                <w:szCs w:val="24"/>
              </w:rPr>
              <w:t>Интересуется и учитывает</w:t>
            </w:r>
          </w:p>
        </w:tc>
        <w:tc>
          <w:tcPr>
            <w:tcW w:w="1790" w:type="dxa"/>
          </w:tcPr>
          <w:p w14:paraId="45C394E6" w14:textId="77777777" w:rsidR="007A2C38" w:rsidRPr="0042205B" w:rsidRDefault="007A2C38" w:rsidP="004135FE">
            <w:pPr>
              <w:spacing w:after="0" w:line="240" w:lineRule="auto"/>
              <w:rPr>
                <w:rFonts w:ascii="Times New Roman" w:eastAsia="Times New Roman" w:hAnsi="Times New Roman" w:cs="Times New Roman"/>
                <w:sz w:val="24"/>
                <w:szCs w:val="24"/>
              </w:rPr>
            </w:pPr>
            <w:r w:rsidRPr="0042205B">
              <w:rPr>
                <w:rFonts w:ascii="Times New Roman" w:eastAsia="Times New Roman" w:hAnsi="Times New Roman" w:cs="Times New Roman"/>
                <w:sz w:val="24"/>
                <w:szCs w:val="24"/>
              </w:rPr>
              <w:t>Интересуется, но не учитывает</w:t>
            </w:r>
          </w:p>
        </w:tc>
        <w:tc>
          <w:tcPr>
            <w:tcW w:w="1676" w:type="dxa"/>
          </w:tcPr>
          <w:p w14:paraId="7B3406B4" w14:textId="77777777" w:rsidR="007A2C38" w:rsidRPr="0042205B" w:rsidRDefault="007A2C38" w:rsidP="004135FE">
            <w:pPr>
              <w:spacing w:after="0" w:line="240" w:lineRule="auto"/>
              <w:rPr>
                <w:rFonts w:ascii="Times New Roman" w:eastAsia="Times New Roman" w:hAnsi="Times New Roman" w:cs="Times New Roman"/>
                <w:sz w:val="24"/>
                <w:szCs w:val="24"/>
              </w:rPr>
            </w:pPr>
            <w:r w:rsidRPr="0042205B">
              <w:rPr>
                <w:rFonts w:ascii="Times New Roman" w:eastAsia="Times New Roman" w:hAnsi="Times New Roman" w:cs="Times New Roman"/>
                <w:sz w:val="24"/>
                <w:szCs w:val="24"/>
              </w:rPr>
              <w:t>Не интересуется и не учитывает</w:t>
            </w:r>
          </w:p>
        </w:tc>
        <w:tc>
          <w:tcPr>
            <w:tcW w:w="1577" w:type="dxa"/>
          </w:tcPr>
          <w:p w14:paraId="15F22EB7" w14:textId="6C9434D7" w:rsidR="007A2C38" w:rsidRPr="0042205B" w:rsidRDefault="009A20B2" w:rsidP="004135FE">
            <w:pPr>
              <w:spacing w:after="0" w:line="24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В</w:t>
            </w:r>
            <w:r w:rsidR="007A2C38" w:rsidRPr="0042205B">
              <w:rPr>
                <w:rFonts w:ascii="Times New Roman" w:eastAsia="Times New Roman" w:hAnsi="Times New Roman" w:cs="Times New Roman"/>
                <w:sz w:val="24"/>
                <w:szCs w:val="24"/>
              </w:rPr>
              <w:t>сего</w:t>
            </w:r>
          </w:p>
        </w:tc>
      </w:tr>
      <w:tr w:rsidR="007A2C38" w:rsidRPr="0042205B" w14:paraId="5602E0D3" w14:textId="77777777" w:rsidTr="004B3EF0">
        <w:trPr>
          <w:trHeight w:val="1268"/>
        </w:trPr>
        <w:tc>
          <w:tcPr>
            <w:tcW w:w="2647" w:type="dxa"/>
            <w:tcBorders>
              <w:bottom w:val="nil"/>
            </w:tcBorders>
          </w:tcPr>
          <w:p w14:paraId="46BFE692" w14:textId="77777777" w:rsidR="007A2C38" w:rsidRPr="0042205B" w:rsidRDefault="007A2C38" w:rsidP="004135FE">
            <w:pPr>
              <w:spacing w:after="0" w:line="240" w:lineRule="auto"/>
              <w:rPr>
                <w:rFonts w:ascii="Times New Roman" w:eastAsia="Times New Roman" w:hAnsi="Times New Roman" w:cs="Times New Roman"/>
                <w:sz w:val="24"/>
                <w:szCs w:val="24"/>
              </w:rPr>
            </w:pPr>
            <w:r w:rsidRPr="0042205B">
              <w:rPr>
                <w:rFonts w:ascii="Times New Roman" w:eastAsia="Times New Roman" w:hAnsi="Times New Roman" w:cs="Times New Roman"/>
                <w:sz w:val="24"/>
                <w:szCs w:val="24"/>
              </w:rPr>
              <w:t>Веду дневник самоконтроля, показываю врачу для коррекции лечения</w:t>
            </w:r>
          </w:p>
        </w:tc>
        <w:tc>
          <w:tcPr>
            <w:tcW w:w="1724" w:type="dxa"/>
            <w:tcBorders>
              <w:bottom w:val="nil"/>
            </w:tcBorders>
            <w:vAlign w:val="center"/>
          </w:tcPr>
          <w:p w14:paraId="4AFD589D" w14:textId="77777777" w:rsidR="007A2C38" w:rsidRPr="0042205B" w:rsidRDefault="007A2C38" w:rsidP="004135FE">
            <w:pPr>
              <w:spacing w:after="0" w:line="240" w:lineRule="auto"/>
              <w:rPr>
                <w:rFonts w:ascii="Times New Roman" w:eastAsia="Times New Roman" w:hAnsi="Times New Roman" w:cs="Times New Roman"/>
                <w:sz w:val="24"/>
                <w:szCs w:val="24"/>
              </w:rPr>
            </w:pPr>
            <w:r w:rsidRPr="0042205B">
              <w:rPr>
                <w:rFonts w:ascii="Times New Roman" w:eastAsia="Times New Roman" w:hAnsi="Times New Roman" w:cs="Times New Roman"/>
                <w:color w:val="000000"/>
                <w:sz w:val="24"/>
                <w:szCs w:val="24"/>
              </w:rPr>
              <w:t>128(36,06%)</w:t>
            </w:r>
          </w:p>
        </w:tc>
        <w:tc>
          <w:tcPr>
            <w:tcW w:w="1790" w:type="dxa"/>
            <w:tcBorders>
              <w:bottom w:val="nil"/>
            </w:tcBorders>
            <w:vAlign w:val="center"/>
          </w:tcPr>
          <w:p w14:paraId="743D5640" w14:textId="77777777" w:rsidR="007A2C38" w:rsidRPr="0042205B" w:rsidRDefault="007A2C38" w:rsidP="004135FE">
            <w:pPr>
              <w:spacing w:after="0" w:line="240" w:lineRule="auto"/>
              <w:rPr>
                <w:rFonts w:ascii="Times New Roman" w:eastAsia="Times New Roman" w:hAnsi="Times New Roman" w:cs="Times New Roman"/>
                <w:sz w:val="24"/>
                <w:szCs w:val="24"/>
              </w:rPr>
            </w:pPr>
            <w:r w:rsidRPr="0042205B">
              <w:rPr>
                <w:rFonts w:ascii="Times New Roman" w:eastAsia="Times New Roman" w:hAnsi="Times New Roman" w:cs="Times New Roman"/>
                <w:color w:val="000000"/>
                <w:sz w:val="24"/>
                <w:szCs w:val="24"/>
              </w:rPr>
              <w:t>17(27,87%)</w:t>
            </w:r>
          </w:p>
        </w:tc>
        <w:tc>
          <w:tcPr>
            <w:tcW w:w="1676" w:type="dxa"/>
            <w:tcBorders>
              <w:bottom w:val="nil"/>
            </w:tcBorders>
            <w:vAlign w:val="center"/>
          </w:tcPr>
          <w:p w14:paraId="7022BF92" w14:textId="77777777" w:rsidR="007A2C38" w:rsidRPr="0042205B" w:rsidRDefault="007A2C38" w:rsidP="004135FE">
            <w:pPr>
              <w:spacing w:after="0" w:line="240" w:lineRule="auto"/>
              <w:rPr>
                <w:rFonts w:ascii="Times New Roman" w:eastAsia="Times New Roman" w:hAnsi="Times New Roman" w:cs="Times New Roman"/>
                <w:sz w:val="24"/>
                <w:szCs w:val="24"/>
              </w:rPr>
            </w:pPr>
            <w:r w:rsidRPr="0042205B">
              <w:rPr>
                <w:rFonts w:ascii="Times New Roman" w:eastAsia="Times New Roman" w:hAnsi="Times New Roman" w:cs="Times New Roman"/>
                <w:color w:val="000000"/>
                <w:sz w:val="24"/>
                <w:szCs w:val="24"/>
              </w:rPr>
              <w:t>6(9,38%)</w:t>
            </w:r>
          </w:p>
        </w:tc>
        <w:tc>
          <w:tcPr>
            <w:tcW w:w="1577" w:type="dxa"/>
            <w:tcBorders>
              <w:bottom w:val="nil"/>
            </w:tcBorders>
            <w:vAlign w:val="center"/>
          </w:tcPr>
          <w:p w14:paraId="001C3AA8" w14:textId="77777777" w:rsidR="007A2C38" w:rsidRPr="0042205B" w:rsidRDefault="007A2C38" w:rsidP="004135FE">
            <w:pPr>
              <w:spacing w:after="0" w:line="240" w:lineRule="auto"/>
              <w:rPr>
                <w:rFonts w:ascii="Times New Roman" w:eastAsia="Times New Roman" w:hAnsi="Times New Roman" w:cs="Times New Roman"/>
                <w:sz w:val="24"/>
                <w:szCs w:val="24"/>
              </w:rPr>
            </w:pPr>
            <w:r w:rsidRPr="0042205B">
              <w:rPr>
                <w:rFonts w:ascii="Times New Roman" w:eastAsia="Times New Roman" w:hAnsi="Times New Roman" w:cs="Times New Roman"/>
                <w:color w:val="000000"/>
                <w:sz w:val="24"/>
                <w:szCs w:val="24"/>
              </w:rPr>
              <w:t>151(31,46%)</w:t>
            </w:r>
          </w:p>
        </w:tc>
      </w:tr>
      <w:tr w:rsidR="007A2C38" w:rsidRPr="0042205B" w14:paraId="0E30B957" w14:textId="77777777" w:rsidTr="0042205B">
        <w:trPr>
          <w:trHeight w:val="955"/>
        </w:trPr>
        <w:tc>
          <w:tcPr>
            <w:tcW w:w="2647" w:type="dxa"/>
          </w:tcPr>
          <w:p w14:paraId="4777D56C" w14:textId="77777777" w:rsidR="007A2C38" w:rsidRPr="0042205B" w:rsidRDefault="007A2C38" w:rsidP="004135FE">
            <w:pPr>
              <w:spacing w:after="0" w:line="240" w:lineRule="auto"/>
              <w:rPr>
                <w:rFonts w:ascii="Times New Roman" w:eastAsia="Times New Roman" w:hAnsi="Times New Roman" w:cs="Times New Roman"/>
                <w:sz w:val="24"/>
                <w:szCs w:val="24"/>
              </w:rPr>
            </w:pPr>
            <w:r w:rsidRPr="0042205B">
              <w:rPr>
                <w:rFonts w:ascii="Times New Roman" w:eastAsia="Times New Roman" w:hAnsi="Times New Roman" w:cs="Times New Roman"/>
                <w:sz w:val="24"/>
                <w:szCs w:val="24"/>
              </w:rPr>
              <w:t>Не веду дневник, по самочувствии прошу коррекции</w:t>
            </w:r>
          </w:p>
        </w:tc>
        <w:tc>
          <w:tcPr>
            <w:tcW w:w="1724" w:type="dxa"/>
            <w:vAlign w:val="center"/>
          </w:tcPr>
          <w:p w14:paraId="5B435F22" w14:textId="77777777" w:rsidR="007A2C38" w:rsidRPr="0042205B" w:rsidRDefault="007A2C38" w:rsidP="004B3EF0">
            <w:pPr>
              <w:spacing w:after="0" w:line="240" w:lineRule="auto"/>
              <w:jc w:val="center"/>
              <w:rPr>
                <w:rFonts w:ascii="Times New Roman" w:eastAsia="Times New Roman" w:hAnsi="Times New Roman" w:cs="Times New Roman"/>
                <w:sz w:val="24"/>
                <w:szCs w:val="24"/>
              </w:rPr>
            </w:pPr>
            <w:r w:rsidRPr="0042205B">
              <w:rPr>
                <w:rFonts w:ascii="Times New Roman" w:eastAsia="Times New Roman" w:hAnsi="Times New Roman" w:cs="Times New Roman"/>
                <w:color w:val="000000"/>
                <w:sz w:val="24"/>
                <w:szCs w:val="24"/>
              </w:rPr>
              <w:t>98(27,61%)</w:t>
            </w:r>
          </w:p>
        </w:tc>
        <w:tc>
          <w:tcPr>
            <w:tcW w:w="1790" w:type="dxa"/>
            <w:vAlign w:val="center"/>
          </w:tcPr>
          <w:p w14:paraId="42A57F75" w14:textId="77777777" w:rsidR="007A2C38" w:rsidRPr="0042205B" w:rsidRDefault="007A2C38" w:rsidP="004B3EF0">
            <w:pPr>
              <w:spacing w:after="0" w:line="240" w:lineRule="auto"/>
              <w:jc w:val="center"/>
              <w:rPr>
                <w:rFonts w:ascii="Times New Roman" w:eastAsia="Times New Roman" w:hAnsi="Times New Roman" w:cs="Times New Roman"/>
                <w:sz w:val="24"/>
                <w:szCs w:val="24"/>
              </w:rPr>
            </w:pPr>
            <w:r w:rsidRPr="0042205B">
              <w:rPr>
                <w:rFonts w:ascii="Times New Roman" w:eastAsia="Times New Roman" w:hAnsi="Times New Roman" w:cs="Times New Roman"/>
                <w:color w:val="000000"/>
                <w:sz w:val="24"/>
                <w:szCs w:val="24"/>
              </w:rPr>
              <w:t>20(32,79%)</w:t>
            </w:r>
          </w:p>
        </w:tc>
        <w:tc>
          <w:tcPr>
            <w:tcW w:w="1676" w:type="dxa"/>
            <w:vAlign w:val="center"/>
          </w:tcPr>
          <w:p w14:paraId="621778C1" w14:textId="77777777" w:rsidR="007A2C38" w:rsidRPr="0042205B" w:rsidRDefault="007A2C38" w:rsidP="004B3EF0">
            <w:pPr>
              <w:spacing w:after="0" w:line="240" w:lineRule="auto"/>
              <w:jc w:val="center"/>
              <w:rPr>
                <w:rFonts w:ascii="Times New Roman" w:eastAsia="Times New Roman" w:hAnsi="Times New Roman" w:cs="Times New Roman"/>
                <w:sz w:val="24"/>
                <w:szCs w:val="24"/>
              </w:rPr>
            </w:pPr>
            <w:r w:rsidRPr="0042205B">
              <w:rPr>
                <w:rFonts w:ascii="Times New Roman" w:eastAsia="Times New Roman" w:hAnsi="Times New Roman" w:cs="Times New Roman"/>
                <w:color w:val="000000"/>
                <w:sz w:val="24"/>
                <w:szCs w:val="24"/>
              </w:rPr>
              <w:t>18(28,13%)</w:t>
            </w:r>
          </w:p>
        </w:tc>
        <w:tc>
          <w:tcPr>
            <w:tcW w:w="1577" w:type="dxa"/>
            <w:vAlign w:val="center"/>
          </w:tcPr>
          <w:p w14:paraId="3980685E" w14:textId="77777777" w:rsidR="007A2C38" w:rsidRPr="0042205B" w:rsidRDefault="007A2C38" w:rsidP="004B3EF0">
            <w:pPr>
              <w:spacing w:after="0" w:line="240" w:lineRule="auto"/>
              <w:jc w:val="center"/>
              <w:rPr>
                <w:rFonts w:ascii="Times New Roman" w:eastAsia="Times New Roman" w:hAnsi="Times New Roman" w:cs="Times New Roman"/>
                <w:sz w:val="24"/>
                <w:szCs w:val="24"/>
              </w:rPr>
            </w:pPr>
            <w:r w:rsidRPr="0042205B">
              <w:rPr>
                <w:rFonts w:ascii="Times New Roman" w:eastAsia="Times New Roman" w:hAnsi="Times New Roman" w:cs="Times New Roman"/>
                <w:color w:val="000000"/>
                <w:sz w:val="24"/>
                <w:szCs w:val="24"/>
              </w:rPr>
              <w:t>136(28,33%)</w:t>
            </w:r>
          </w:p>
        </w:tc>
      </w:tr>
      <w:tr w:rsidR="007A2C38" w:rsidRPr="0042205B" w14:paraId="01456304" w14:textId="77777777" w:rsidTr="0042205B">
        <w:trPr>
          <w:trHeight w:val="955"/>
        </w:trPr>
        <w:tc>
          <w:tcPr>
            <w:tcW w:w="2647" w:type="dxa"/>
          </w:tcPr>
          <w:p w14:paraId="7E42F440" w14:textId="77777777" w:rsidR="007A2C38" w:rsidRPr="0042205B" w:rsidRDefault="007A2C38" w:rsidP="004135FE">
            <w:pPr>
              <w:spacing w:after="0" w:line="240" w:lineRule="auto"/>
              <w:rPr>
                <w:rFonts w:ascii="Times New Roman" w:eastAsia="Times New Roman" w:hAnsi="Times New Roman" w:cs="Times New Roman"/>
                <w:sz w:val="24"/>
                <w:szCs w:val="24"/>
              </w:rPr>
            </w:pPr>
            <w:r w:rsidRPr="0042205B">
              <w:rPr>
                <w:rFonts w:ascii="Times New Roman" w:eastAsia="Times New Roman" w:hAnsi="Times New Roman" w:cs="Times New Roman"/>
                <w:sz w:val="24"/>
                <w:szCs w:val="24"/>
              </w:rPr>
              <w:t>Получаю лекарства, не удобно задавать лишние вопросы</w:t>
            </w:r>
          </w:p>
        </w:tc>
        <w:tc>
          <w:tcPr>
            <w:tcW w:w="1724" w:type="dxa"/>
            <w:vAlign w:val="center"/>
          </w:tcPr>
          <w:p w14:paraId="69A13D8C" w14:textId="77777777" w:rsidR="007A2C38" w:rsidRPr="0042205B" w:rsidRDefault="007A2C38" w:rsidP="004B3EF0">
            <w:pPr>
              <w:spacing w:after="0" w:line="240" w:lineRule="auto"/>
              <w:jc w:val="center"/>
              <w:rPr>
                <w:rFonts w:ascii="Times New Roman" w:eastAsia="Times New Roman" w:hAnsi="Times New Roman" w:cs="Times New Roman"/>
                <w:sz w:val="24"/>
                <w:szCs w:val="24"/>
              </w:rPr>
            </w:pPr>
            <w:r w:rsidRPr="0042205B">
              <w:rPr>
                <w:rFonts w:ascii="Times New Roman" w:eastAsia="Times New Roman" w:hAnsi="Times New Roman" w:cs="Times New Roman"/>
                <w:color w:val="000000"/>
                <w:sz w:val="24"/>
                <w:szCs w:val="24"/>
              </w:rPr>
              <w:t>36(10,14%)</w:t>
            </w:r>
          </w:p>
        </w:tc>
        <w:tc>
          <w:tcPr>
            <w:tcW w:w="1790" w:type="dxa"/>
            <w:vAlign w:val="center"/>
          </w:tcPr>
          <w:p w14:paraId="69C31F44" w14:textId="77777777" w:rsidR="007A2C38" w:rsidRPr="0042205B" w:rsidRDefault="007A2C38" w:rsidP="004B3EF0">
            <w:pPr>
              <w:spacing w:after="0" w:line="240" w:lineRule="auto"/>
              <w:jc w:val="center"/>
              <w:rPr>
                <w:rFonts w:ascii="Times New Roman" w:eastAsia="Times New Roman" w:hAnsi="Times New Roman" w:cs="Times New Roman"/>
                <w:sz w:val="24"/>
                <w:szCs w:val="24"/>
              </w:rPr>
            </w:pPr>
            <w:r w:rsidRPr="0042205B">
              <w:rPr>
                <w:rFonts w:ascii="Times New Roman" w:eastAsia="Times New Roman" w:hAnsi="Times New Roman" w:cs="Times New Roman"/>
                <w:color w:val="000000"/>
                <w:sz w:val="24"/>
                <w:szCs w:val="24"/>
              </w:rPr>
              <w:t>13(21,31%)</w:t>
            </w:r>
          </w:p>
        </w:tc>
        <w:tc>
          <w:tcPr>
            <w:tcW w:w="1676" w:type="dxa"/>
            <w:vAlign w:val="center"/>
          </w:tcPr>
          <w:p w14:paraId="7D9353C2" w14:textId="77777777" w:rsidR="007A2C38" w:rsidRPr="0042205B" w:rsidRDefault="007A2C38" w:rsidP="004B3EF0">
            <w:pPr>
              <w:spacing w:after="0" w:line="240" w:lineRule="auto"/>
              <w:jc w:val="center"/>
              <w:rPr>
                <w:rFonts w:ascii="Times New Roman" w:eastAsia="Times New Roman" w:hAnsi="Times New Roman" w:cs="Times New Roman"/>
                <w:sz w:val="24"/>
                <w:szCs w:val="24"/>
              </w:rPr>
            </w:pPr>
            <w:r w:rsidRPr="0042205B">
              <w:rPr>
                <w:rFonts w:ascii="Times New Roman" w:eastAsia="Times New Roman" w:hAnsi="Times New Roman" w:cs="Times New Roman"/>
                <w:color w:val="000000"/>
                <w:sz w:val="24"/>
                <w:szCs w:val="24"/>
              </w:rPr>
              <w:t>10(15,63%)</w:t>
            </w:r>
          </w:p>
        </w:tc>
        <w:tc>
          <w:tcPr>
            <w:tcW w:w="1577" w:type="dxa"/>
            <w:vAlign w:val="center"/>
          </w:tcPr>
          <w:p w14:paraId="18013470" w14:textId="77777777" w:rsidR="007A2C38" w:rsidRPr="0042205B" w:rsidRDefault="007A2C38" w:rsidP="004B3EF0">
            <w:pPr>
              <w:spacing w:after="0" w:line="240" w:lineRule="auto"/>
              <w:jc w:val="center"/>
              <w:rPr>
                <w:rFonts w:ascii="Times New Roman" w:eastAsia="Times New Roman" w:hAnsi="Times New Roman" w:cs="Times New Roman"/>
                <w:sz w:val="24"/>
                <w:szCs w:val="24"/>
              </w:rPr>
            </w:pPr>
            <w:r w:rsidRPr="0042205B">
              <w:rPr>
                <w:rFonts w:ascii="Times New Roman" w:eastAsia="Times New Roman" w:hAnsi="Times New Roman" w:cs="Times New Roman"/>
                <w:color w:val="000000"/>
                <w:sz w:val="24"/>
                <w:szCs w:val="24"/>
              </w:rPr>
              <w:t>59(12,29%)</w:t>
            </w:r>
          </w:p>
        </w:tc>
      </w:tr>
      <w:tr w:rsidR="007A2C38" w:rsidRPr="0042205B" w14:paraId="43846B21" w14:textId="77777777" w:rsidTr="0042205B">
        <w:trPr>
          <w:trHeight w:val="955"/>
        </w:trPr>
        <w:tc>
          <w:tcPr>
            <w:tcW w:w="2647" w:type="dxa"/>
          </w:tcPr>
          <w:p w14:paraId="5DF43804" w14:textId="77777777" w:rsidR="007A2C38" w:rsidRPr="0042205B" w:rsidRDefault="007A2C38" w:rsidP="004135FE">
            <w:pPr>
              <w:spacing w:after="0" w:line="240" w:lineRule="auto"/>
              <w:rPr>
                <w:rFonts w:ascii="Times New Roman" w:eastAsia="Times New Roman" w:hAnsi="Times New Roman" w:cs="Times New Roman"/>
                <w:sz w:val="24"/>
                <w:szCs w:val="24"/>
              </w:rPr>
            </w:pPr>
            <w:r w:rsidRPr="0042205B">
              <w:rPr>
                <w:rFonts w:ascii="Times New Roman" w:eastAsia="Times New Roman" w:hAnsi="Times New Roman" w:cs="Times New Roman"/>
                <w:sz w:val="24"/>
                <w:szCs w:val="24"/>
              </w:rPr>
              <w:t>Получаю лекарства, нет необходимости отвлекать врача</w:t>
            </w:r>
          </w:p>
        </w:tc>
        <w:tc>
          <w:tcPr>
            <w:tcW w:w="1724" w:type="dxa"/>
            <w:vAlign w:val="center"/>
          </w:tcPr>
          <w:p w14:paraId="7D15C7B1" w14:textId="77777777" w:rsidR="007A2C38" w:rsidRPr="0042205B" w:rsidRDefault="007A2C38" w:rsidP="004B3EF0">
            <w:pPr>
              <w:spacing w:after="0" w:line="240" w:lineRule="auto"/>
              <w:jc w:val="center"/>
              <w:rPr>
                <w:rFonts w:ascii="Times New Roman" w:eastAsia="Times New Roman" w:hAnsi="Times New Roman" w:cs="Times New Roman"/>
                <w:sz w:val="24"/>
                <w:szCs w:val="24"/>
              </w:rPr>
            </w:pPr>
            <w:r w:rsidRPr="0042205B">
              <w:rPr>
                <w:rFonts w:ascii="Times New Roman" w:eastAsia="Times New Roman" w:hAnsi="Times New Roman" w:cs="Times New Roman"/>
                <w:color w:val="000000"/>
                <w:sz w:val="24"/>
                <w:szCs w:val="24"/>
              </w:rPr>
              <w:t>93(26,20%)</w:t>
            </w:r>
          </w:p>
        </w:tc>
        <w:tc>
          <w:tcPr>
            <w:tcW w:w="1790" w:type="dxa"/>
            <w:vAlign w:val="center"/>
          </w:tcPr>
          <w:p w14:paraId="479ADF97" w14:textId="77777777" w:rsidR="007A2C38" w:rsidRPr="0042205B" w:rsidRDefault="007A2C38" w:rsidP="004B3EF0">
            <w:pPr>
              <w:spacing w:after="0" w:line="240" w:lineRule="auto"/>
              <w:jc w:val="center"/>
              <w:rPr>
                <w:rFonts w:ascii="Times New Roman" w:eastAsia="Times New Roman" w:hAnsi="Times New Roman" w:cs="Times New Roman"/>
                <w:sz w:val="24"/>
                <w:szCs w:val="24"/>
              </w:rPr>
            </w:pPr>
            <w:r w:rsidRPr="0042205B">
              <w:rPr>
                <w:rFonts w:ascii="Times New Roman" w:eastAsia="Times New Roman" w:hAnsi="Times New Roman" w:cs="Times New Roman"/>
                <w:color w:val="000000"/>
                <w:sz w:val="24"/>
                <w:szCs w:val="24"/>
              </w:rPr>
              <w:t>11(18,03%)</w:t>
            </w:r>
          </w:p>
        </w:tc>
        <w:tc>
          <w:tcPr>
            <w:tcW w:w="1676" w:type="dxa"/>
            <w:vAlign w:val="center"/>
          </w:tcPr>
          <w:p w14:paraId="1B807B4D" w14:textId="77777777" w:rsidR="007A2C38" w:rsidRPr="0042205B" w:rsidRDefault="007A2C38" w:rsidP="004B3EF0">
            <w:pPr>
              <w:spacing w:after="0" w:line="240" w:lineRule="auto"/>
              <w:jc w:val="center"/>
              <w:rPr>
                <w:rFonts w:ascii="Times New Roman" w:eastAsia="Times New Roman" w:hAnsi="Times New Roman" w:cs="Times New Roman"/>
                <w:sz w:val="24"/>
                <w:szCs w:val="24"/>
              </w:rPr>
            </w:pPr>
            <w:r w:rsidRPr="0042205B">
              <w:rPr>
                <w:rFonts w:ascii="Times New Roman" w:eastAsia="Times New Roman" w:hAnsi="Times New Roman" w:cs="Times New Roman"/>
                <w:color w:val="000000"/>
                <w:sz w:val="24"/>
                <w:szCs w:val="24"/>
              </w:rPr>
              <w:t>30(46,88%)</w:t>
            </w:r>
          </w:p>
        </w:tc>
        <w:tc>
          <w:tcPr>
            <w:tcW w:w="1577" w:type="dxa"/>
            <w:vAlign w:val="center"/>
          </w:tcPr>
          <w:p w14:paraId="2B06EB7A" w14:textId="77777777" w:rsidR="007A2C38" w:rsidRPr="0042205B" w:rsidRDefault="007A2C38" w:rsidP="004B3EF0">
            <w:pPr>
              <w:spacing w:after="0" w:line="240" w:lineRule="auto"/>
              <w:jc w:val="center"/>
              <w:rPr>
                <w:rFonts w:ascii="Times New Roman" w:eastAsia="Times New Roman" w:hAnsi="Times New Roman" w:cs="Times New Roman"/>
                <w:sz w:val="24"/>
                <w:szCs w:val="24"/>
              </w:rPr>
            </w:pPr>
            <w:r w:rsidRPr="0042205B">
              <w:rPr>
                <w:rFonts w:ascii="Times New Roman" w:eastAsia="Times New Roman" w:hAnsi="Times New Roman" w:cs="Times New Roman"/>
                <w:color w:val="000000"/>
                <w:sz w:val="24"/>
                <w:szCs w:val="24"/>
              </w:rPr>
              <w:t>134(27,92%)</w:t>
            </w:r>
          </w:p>
        </w:tc>
      </w:tr>
      <w:tr w:rsidR="007A2C38" w:rsidRPr="0042205B" w14:paraId="592D47D6" w14:textId="77777777" w:rsidTr="0042205B">
        <w:trPr>
          <w:trHeight w:val="313"/>
        </w:trPr>
        <w:tc>
          <w:tcPr>
            <w:tcW w:w="2647" w:type="dxa"/>
          </w:tcPr>
          <w:p w14:paraId="4A0EB996" w14:textId="77777777" w:rsidR="007A2C38" w:rsidRPr="0042205B" w:rsidRDefault="007A2C38" w:rsidP="004135FE">
            <w:pPr>
              <w:spacing w:after="0" w:line="240" w:lineRule="auto"/>
              <w:jc w:val="both"/>
              <w:rPr>
                <w:rFonts w:ascii="Times New Roman" w:hAnsi="Times New Roman" w:cs="Times New Roman"/>
                <w:b/>
                <w:sz w:val="24"/>
                <w:szCs w:val="24"/>
              </w:rPr>
            </w:pPr>
            <w:r w:rsidRPr="0042205B">
              <w:rPr>
                <w:rFonts w:ascii="Times New Roman" w:eastAsia="Times New Roman" w:hAnsi="Times New Roman" w:cs="Times New Roman"/>
                <w:sz w:val="24"/>
                <w:szCs w:val="24"/>
              </w:rPr>
              <w:t>ИТОГО</w:t>
            </w:r>
          </w:p>
        </w:tc>
        <w:tc>
          <w:tcPr>
            <w:tcW w:w="1724" w:type="dxa"/>
            <w:vAlign w:val="bottom"/>
          </w:tcPr>
          <w:p w14:paraId="31F29F36" w14:textId="77777777" w:rsidR="007A2C38" w:rsidRPr="0042205B" w:rsidRDefault="007A2C38" w:rsidP="004B3EF0">
            <w:pPr>
              <w:spacing w:after="0" w:line="240" w:lineRule="auto"/>
              <w:jc w:val="center"/>
              <w:rPr>
                <w:rFonts w:ascii="Times New Roman" w:eastAsia="Times New Roman" w:hAnsi="Times New Roman" w:cs="Times New Roman"/>
                <w:color w:val="000000"/>
                <w:sz w:val="24"/>
                <w:szCs w:val="24"/>
              </w:rPr>
            </w:pPr>
            <w:r w:rsidRPr="0042205B">
              <w:rPr>
                <w:rFonts w:ascii="Times New Roman" w:eastAsia="Times New Roman" w:hAnsi="Times New Roman" w:cs="Times New Roman"/>
                <w:color w:val="000000"/>
                <w:sz w:val="24"/>
                <w:szCs w:val="24"/>
              </w:rPr>
              <w:t>355(100%)</w:t>
            </w:r>
          </w:p>
        </w:tc>
        <w:tc>
          <w:tcPr>
            <w:tcW w:w="1790" w:type="dxa"/>
            <w:vAlign w:val="bottom"/>
          </w:tcPr>
          <w:p w14:paraId="43D2ADCA" w14:textId="77777777" w:rsidR="007A2C38" w:rsidRPr="0042205B" w:rsidRDefault="007A2C38" w:rsidP="004B3EF0">
            <w:pPr>
              <w:spacing w:after="0" w:line="240" w:lineRule="auto"/>
              <w:jc w:val="center"/>
              <w:rPr>
                <w:rFonts w:ascii="Times New Roman" w:eastAsia="Times New Roman" w:hAnsi="Times New Roman" w:cs="Times New Roman"/>
                <w:color w:val="000000"/>
                <w:sz w:val="24"/>
                <w:szCs w:val="24"/>
              </w:rPr>
            </w:pPr>
            <w:r w:rsidRPr="0042205B">
              <w:rPr>
                <w:rFonts w:ascii="Times New Roman" w:eastAsia="Times New Roman" w:hAnsi="Times New Roman" w:cs="Times New Roman"/>
                <w:color w:val="000000"/>
                <w:sz w:val="24"/>
                <w:szCs w:val="24"/>
              </w:rPr>
              <w:t>61(100%)</w:t>
            </w:r>
          </w:p>
        </w:tc>
        <w:tc>
          <w:tcPr>
            <w:tcW w:w="1676" w:type="dxa"/>
            <w:vAlign w:val="bottom"/>
          </w:tcPr>
          <w:p w14:paraId="0461E9B1" w14:textId="77777777" w:rsidR="007A2C38" w:rsidRPr="0042205B" w:rsidRDefault="007A2C38" w:rsidP="004B3EF0">
            <w:pPr>
              <w:spacing w:after="0" w:line="240" w:lineRule="auto"/>
              <w:jc w:val="center"/>
              <w:rPr>
                <w:rFonts w:ascii="Times New Roman" w:eastAsia="Times New Roman" w:hAnsi="Times New Roman" w:cs="Times New Roman"/>
                <w:color w:val="000000"/>
                <w:sz w:val="24"/>
                <w:szCs w:val="24"/>
              </w:rPr>
            </w:pPr>
            <w:r w:rsidRPr="0042205B">
              <w:rPr>
                <w:rFonts w:ascii="Times New Roman" w:eastAsia="Times New Roman" w:hAnsi="Times New Roman" w:cs="Times New Roman"/>
                <w:color w:val="000000"/>
                <w:sz w:val="24"/>
                <w:szCs w:val="24"/>
              </w:rPr>
              <w:t>64(100%)</w:t>
            </w:r>
          </w:p>
        </w:tc>
        <w:tc>
          <w:tcPr>
            <w:tcW w:w="1577" w:type="dxa"/>
            <w:vAlign w:val="bottom"/>
          </w:tcPr>
          <w:p w14:paraId="3B4ECD78" w14:textId="77777777" w:rsidR="007A2C38" w:rsidRPr="0042205B" w:rsidRDefault="007A2C38" w:rsidP="004B3EF0">
            <w:pPr>
              <w:spacing w:after="0" w:line="240" w:lineRule="auto"/>
              <w:jc w:val="center"/>
              <w:rPr>
                <w:rFonts w:ascii="Times New Roman" w:eastAsia="Times New Roman" w:hAnsi="Times New Roman" w:cs="Times New Roman"/>
                <w:color w:val="000000"/>
                <w:sz w:val="24"/>
                <w:szCs w:val="24"/>
              </w:rPr>
            </w:pPr>
            <w:r w:rsidRPr="0042205B">
              <w:rPr>
                <w:rFonts w:ascii="Times New Roman" w:eastAsia="Times New Roman" w:hAnsi="Times New Roman" w:cs="Times New Roman"/>
                <w:color w:val="000000"/>
                <w:sz w:val="24"/>
                <w:szCs w:val="24"/>
              </w:rPr>
              <w:t>480(100%)</w:t>
            </w:r>
          </w:p>
        </w:tc>
      </w:tr>
      <w:tr w:rsidR="007A2C38" w:rsidRPr="0042205B" w14:paraId="1582D37F" w14:textId="77777777" w:rsidTr="0042205B">
        <w:trPr>
          <w:trHeight w:val="313"/>
        </w:trPr>
        <w:tc>
          <w:tcPr>
            <w:tcW w:w="2647" w:type="dxa"/>
          </w:tcPr>
          <w:p w14:paraId="3929D561" w14:textId="77777777" w:rsidR="007A2C38" w:rsidRPr="0042205B" w:rsidRDefault="007A2C38" w:rsidP="004135FE">
            <w:pPr>
              <w:spacing w:after="0" w:line="240" w:lineRule="auto"/>
              <w:jc w:val="both"/>
              <w:rPr>
                <w:rFonts w:ascii="Times New Roman" w:hAnsi="Times New Roman" w:cs="Times New Roman"/>
                <w:b/>
                <w:sz w:val="24"/>
                <w:szCs w:val="24"/>
              </w:rPr>
            </w:pPr>
            <w:r w:rsidRPr="0042205B">
              <w:rPr>
                <w:rFonts w:ascii="Times New Roman" w:eastAsia="Times New Roman" w:hAnsi="Times New Roman" w:cs="Times New Roman"/>
                <w:sz w:val="24"/>
                <w:szCs w:val="24"/>
                <w:lang w:val="en-US"/>
              </w:rPr>
              <w:t>p</w:t>
            </w:r>
            <w:r w:rsidRPr="0042205B">
              <w:rPr>
                <w:rFonts w:ascii="Times New Roman" w:eastAsia="Times New Roman" w:hAnsi="Times New Roman" w:cs="Times New Roman"/>
                <w:sz w:val="24"/>
                <w:szCs w:val="24"/>
              </w:rPr>
              <w:t>-</w:t>
            </w:r>
            <w:r w:rsidRPr="0042205B">
              <w:rPr>
                <w:rFonts w:ascii="Times New Roman" w:eastAsia="Times New Roman" w:hAnsi="Times New Roman" w:cs="Times New Roman"/>
                <w:sz w:val="24"/>
                <w:szCs w:val="24"/>
                <w:lang w:val="en-US"/>
              </w:rPr>
              <w:t>value</w:t>
            </w:r>
          </w:p>
        </w:tc>
        <w:tc>
          <w:tcPr>
            <w:tcW w:w="1724" w:type="dxa"/>
          </w:tcPr>
          <w:p w14:paraId="14EBAEA7" w14:textId="77777777" w:rsidR="007A2C38" w:rsidRPr="0042205B" w:rsidRDefault="007A2C38" w:rsidP="004B3EF0">
            <w:pPr>
              <w:spacing w:after="0" w:line="240" w:lineRule="auto"/>
              <w:jc w:val="center"/>
              <w:rPr>
                <w:rFonts w:ascii="Times New Roman" w:hAnsi="Times New Roman" w:cs="Times New Roman"/>
                <w:b/>
                <w:sz w:val="24"/>
                <w:szCs w:val="24"/>
              </w:rPr>
            </w:pPr>
            <w:r w:rsidRPr="0042205B">
              <w:rPr>
                <w:rFonts w:ascii="Times New Roman" w:eastAsia="Times New Roman" w:hAnsi="Times New Roman" w:cs="Times New Roman"/>
                <w:sz w:val="24"/>
                <w:szCs w:val="24"/>
                <w:lang w:val="en-US"/>
              </w:rPr>
              <w:t>0,001</w:t>
            </w:r>
          </w:p>
        </w:tc>
        <w:tc>
          <w:tcPr>
            <w:tcW w:w="1790" w:type="dxa"/>
          </w:tcPr>
          <w:p w14:paraId="3097E9ED" w14:textId="3589D567" w:rsidR="007A2C38" w:rsidRPr="0042205B" w:rsidRDefault="004B3EF0" w:rsidP="004B3EF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w:t>
            </w:r>
          </w:p>
        </w:tc>
        <w:tc>
          <w:tcPr>
            <w:tcW w:w="1676" w:type="dxa"/>
          </w:tcPr>
          <w:p w14:paraId="4EF5F7D9" w14:textId="03CCB20E" w:rsidR="007A2C38" w:rsidRPr="0042205B" w:rsidRDefault="004B3EF0" w:rsidP="004B3EF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w:t>
            </w:r>
          </w:p>
        </w:tc>
        <w:tc>
          <w:tcPr>
            <w:tcW w:w="1577" w:type="dxa"/>
          </w:tcPr>
          <w:p w14:paraId="4D321600" w14:textId="5ED76A32" w:rsidR="007A2C38" w:rsidRPr="0042205B" w:rsidRDefault="004B3EF0" w:rsidP="004B3EF0">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w:t>
            </w:r>
          </w:p>
        </w:tc>
      </w:tr>
    </w:tbl>
    <w:p w14:paraId="56F86C47" w14:textId="77777777" w:rsidR="007A2C38" w:rsidRPr="004135FE" w:rsidRDefault="007A2C38" w:rsidP="004135FE">
      <w:pPr>
        <w:spacing w:after="0" w:line="240" w:lineRule="auto"/>
        <w:jc w:val="both"/>
        <w:rPr>
          <w:rFonts w:ascii="Times New Roman" w:hAnsi="Times New Roman" w:cs="Times New Roman"/>
          <w:b/>
          <w:sz w:val="28"/>
          <w:szCs w:val="28"/>
        </w:rPr>
      </w:pPr>
    </w:p>
    <w:p w14:paraId="135EC207" w14:textId="77777777" w:rsidR="007A2C38" w:rsidRPr="004135FE" w:rsidRDefault="007A2C38" w:rsidP="004135FE">
      <w:pPr>
        <w:tabs>
          <w:tab w:val="left" w:pos="567"/>
          <w:tab w:val="left" w:pos="709"/>
        </w:tabs>
        <w:autoSpaceDE w:val="0"/>
        <w:autoSpaceDN w:val="0"/>
        <w:adjustRightInd w:val="0"/>
        <w:spacing w:after="0" w:line="240" w:lineRule="auto"/>
        <w:ind w:firstLine="567"/>
        <w:jc w:val="both"/>
        <w:rPr>
          <w:rFonts w:ascii="Times New Roman" w:hAnsi="Times New Roman" w:cs="Times New Roman"/>
          <w:b/>
          <w:bCs/>
          <w:sz w:val="28"/>
          <w:szCs w:val="28"/>
        </w:rPr>
      </w:pPr>
      <w:r w:rsidRPr="004135FE">
        <w:rPr>
          <w:rFonts w:ascii="Times New Roman" w:hAnsi="Times New Roman" w:cs="Times New Roman"/>
          <w:sz w:val="28"/>
          <w:szCs w:val="28"/>
        </w:rPr>
        <w:tab/>
      </w:r>
      <w:r w:rsidRPr="004135FE">
        <w:rPr>
          <w:rFonts w:ascii="Times New Roman" w:hAnsi="Times New Roman" w:cs="Times New Roman"/>
          <w:bCs/>
          <w:sz w:val="28"/>
          <w:szCs w:val="28"/>
        </w:rPr>
        <w:t>По мнению опрошенных, если врачи доброжелательно объясняют значения не понятных слов во время приема, они в свою очередь соблюдают ЗОЖ касательно курения-</w:t>
      </w:r>
      <w:r w:rsidRPr="004135FE">
        <w:rPr>
          <w:rFonts w:ascii="Times New Roman" w:eastAsia="Times New Roman" w:hAnsi="Times New Roman" w:cs="Times New Roman"/>
          <w:sz w:val="28"/>
          <w:szCs w:val="28"/>
        </w:rPr>
        <w:t>78,2%</w:t>
      </w:r>
      <w:r w:rsidRPr="004135FE">
        <w:rPr>
          <w:rFonts w:ascii="Times New Roman" w:hAnsi="Times New Roman" w:cs="Times New Roman"/>
          <w:bCs/>
          <w:sz w:val="28"/>
          <w:szCs w:val="28"/>
        </w:rPr>
        <w:t xml:space="preserve">. 16,0% употребляющих сигарет в день 3-5 штуки, </w:t>
      </w:r>
      <w:r w:rsidRPr="004135FE">
        <w:rPr>
          <w:rFonts w:ascii="Times New Roman" w:eastAsia="Times New Roman" w:hAnsi="Times New Roman" w:cs="Times New Roman"/>
          <w:sz w:val="28"/>
          <w:szCs w:val="28"/>
        </w:rPr>
        <w:t xml:space="preserve">31,4%- </w:t>
      </w:r>
      <w:r w:rsidRPr="004135FE">
        <w:rPr>
          <w:rFonts w:ascii="Times New Roman" w:hAnsi="Times New Roman" w:cs="Times New Roman"/>
          <w:bCs/>
          <w:sz w:val="28"/>
          <w:szCs w:val="28"/>
        </w:rPr>
        <w:t xml:space="preserve">более 1 пачки, </w:t>
      </w:r>
      <w:r w:rsidRPr="004135FE">
        <w:rPr>
          <w:rFonts w:ascii="Times New Roman" w:eastAsia="Times New Roman" w:hAnsi="Times New Roman" w:cs="Times New Roman"/>
          <w:sz w:val="28"/>
          <w:szCs w:val="28"/>
        </w:rPr>
        <w:t>13,2</w:t>
      </w:r>
      <w:r w:rsidRPr="004135FE">
        <w:rPr>
          <w:rFonts w:ascii="Times New Roman" w:hAnsi="Times New Roman" w:cs="Times New Roman"/>
          <w:bCs/>
          <w:sz w:val="28"/>
          <w:szCs w:val="28"/>
        </w:rPr>
        <w:t>%-менее 1 пачки утверждают, что медперсонал не объясняет значение терминов ссылаясь на нехватку времени</w:t>
      </w:r>
      <w:r w:rsidRPr="004135FE">
        <w:rPr>
          <w:rFonts w:ascii="Times New Roman" w:hAnsi="Times New Roman" w:cs="Times New Roman"/>
          <w:sz w:val="28"/>
          <w:szCs w:val="28"/>
        </w:rPr>
        <w:t xml:space="preserve"> (χ2=15,922, </w:t>
      </w:r>
      <w:r w:rsidRPr="004135FE">
        <w:rPr>
          <w:rFonts w:ascii="Times New Roman" w:hAnsi="Times New Roman" w:cs="Times New Roman"/>
          <w:sz w:val="28"/>
          <w:szCs w:val="28"/>
          <w:lang w:val="en-US"/>
        </w:rPr>
        <w:t>df</w:t>
      </w:r>
      <w:r w:rsidRPr="004135FE">
        <w:rPr>
          <w:rFonts w:ascii="Times New Roman" w:hAnsi="Times New Roman" w:cs="Times New Roman"/>
          <w:sz w:val="28"/>
          <w:szCs w:val="28"/>
        </w:rPr>
        <w:t xml:space="preserve">=6, </w:t>
      </w:r>
      <w:r w:rsidRPr="004135FE">
        <w:rPr>
          <w:rFonts w:ascii="Times New Roman" w:hAnsi="Times New Roman" w:cs="Times New Roman"/>
          <w:sz w:val="28"/>
          <w:szCs w:val="28"/>
          <w:lang w:val="en-US"/>
        </w:rPr>
        <w:t>p</w:t>
      </w:r>
      <w:r w:rsidRPr="004135FE">
        <w:rPr>
          <w:rFonts w:ascii="Times New Roman" w:eastAsia="Times New Roman" w:hAnsi="Times New Roman" w:cs="Times New Roman"/>
          <w:sz w:val="28"/>
          <w:szCs w:val="28"/>
        </w:rPr>
        <w:t>=</w:t>
      </w:r>
      <w:r w:rsidRPr="004135FE">
        <w:rPr>
          <w:rFonts w:ascii="Times New Roman" w:hAnsi="Times New Roman" w:cs="Times New Roman"/>
          <w:sz w:val="28"/>
          <w:szCs w:val="28"/>
        </w:rPr>
        <w:t>0,014).</w:t>
      </w:r>
      <w:r w:rsidRPr="004135FE">
        <w:rPr>
          <w:rFonts w:ascii="Times New Roman" w:hAnsi="Times New Roman" w:cs="Times New Roman"/>
          <w:bCs/>
          <w:sz w:val="28"/>
          <w:szCs w:val="28"/>
        </w:rPr>
        <w:tab/>
        <w:t>При борьбе с вредными привычками, беседа медицинского персонала о правильно расстановленных приоритетах жизни, служит мотивацией, улучшения качества и состояния здоровья больных.</w:t>
      </w:r>
    </w:p>
    <w:p w14:paraId="35463F0A" w14:textId="77777777" w:rsidR="007A2C38" w:rsidRPr="004135FE" w:rsidRDefault="007A2C38" w:rsidP="004135FE">
      <w:pPr>
        <w:tabs>
          <w:tab w:val="center" w:pos="6177"/>
        </w:tabs>
        <w:autoSpaceDE w:val="0"/>
        <w:autoSpaceDN w:val="0"/>
        <w:adjustRightInd w:val="0"/>
        <w:spacing w:after="0" w:line="240" w:lineRule="auto"/>
        <w:ind w:firstLine="567"/>
        <w:jc w:val="both"/>
        <w:rPr>
          <w:rFonts w:ascii="Times New Roman" w:hAnsi="Times New Roman" w:cs="Times New Roman"/>
          <w:bCs/>
          <w:sz w:val="28"/>
          <w:szCs w:val="28"/>
        </w:rPr>
      </w:pPr>
      <w:r w:rsidRPr="004135FE">
        <w:rPr>
          <w:rFonts w:ascii="Times New Roman" w:hAnsi="Times New Roman" w:cs="Times New Roman"/>
          <w:bCs/>
          <w:sz w:val="28"/>
          <w:szCs w:val="28"/>
        </w:rPr>
        <w:tab/>
        <w:t>Так же выявлено, что доброжелательная консультация способствовало отказу от употребления алкогольных напитков среди</w:t>
      </w:r>
      <w:r w:rsidRPr="004135FE">
        <w:rPr>
          <w:rFonts w:ascii="Times New Roman" w:eastAsia="Times New Roman" w:hAnsi="Times New Roman" w:cs="Times New Roman"/>
          <w:sz w:val="28"/>
          <w:szCs w:val="28"/>
        </w:rPr>
        <w:t xml:space="preserve"> 77,4% </w:t>
      </w:r>
      <w:r w:rsidRPr="004135FE">
        <w:rPr>
          <w:rFonts w:ascii="Times New Roman" w:hAnsi="Times New Roman" w:cs="Times New Roman"/>
          <w:bCs/>
          <w:sz w:val="28"/>
          <w:szCs w:val="28"/>
        </w:rPr>
        <w:t xml:space="preserve">пациентов. Среди опрошенных не получавшие полную консультацию </w:t>
      </w:r>
      <w:r w:rsidRPr="004135FE">
        <w:rPr>
          <w:rFonts w:ascii="Times New Roman" w:eastAsia="Times New Roman" w:hAnsi="Times New Roman" w:cs="Times New Roman"/>
          <w:sz w:val="28"/>
          <w:szCs w:val="28"/>
        </w:rPr>
        <w:t xml:space="preserve">25,0% </w:t>
      </w:r>
      <w:r w:rsidRPr="004135FE">
        <w:rPr>
          <w:rFonts w:ascii="Times New Roman" w:hAnsi="Times New Roman" w:cs="Times New Roman"/>
          <w:bCs/>
          <w:sz w:val="28"/>
          <w:szCs w:val="28"/>
        </w:rPr>
        <w:t>ежедневно употребляют алкоголь и 20,0%</w:t>
      </w:r>
      <w:r w:rsidRPr="004135FE">
        <w:rPr>
          <w:rFonts w:ascii="Times New Roman" w:eastAsia="Times New Roman" w:hAnsi="Times New Roman" w:cs="Times New Roman"/>
          <w:sz w:val="28"/>
          <w:szCs w:val="28"/>
        </w:rPr>
        <w:t xml:space="preserve"> 2 раза в неделю</w:t>
      </w:r>
      <w:r w:rsidRPr="004135FE">
        <w:rPr>
          <w:rFonts w:ascii="Times New Roman" w:hAnsi="Times New Roman" w:cs="Times New Roman"/>
          <w:bCs/>
          <w:sz w:val="28"/>
          <w:szCs w:val="28"/>
        </w:rPr>
        <w:t xml:space="preserve">. </w:t>
      </w:r>
    </w:p>
    <w:p w14:paraId="62ED3AD2" w14:textId="77777777" w:rsidR="007A2C38" w:rsidRPr="004135FE" w:rsidRDefault="007A2C38" w:rsidP="009A20B2">
      <w:pPr>
        <w:tabs>
          <w:tab w:val="center" w:pos="6177"/>
        </w:tabs>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Cs/>
          <w:sz w:val="28"/>
          <w:szCs w:val="28"/>
        </w:rPr>
        <w:t>Около 2 раз в неделю употребляют алкоголь 28,0% пациентов у врачей, не объясняющих смысл не понятных слов, ссылающихся на нехватку времени. Известно, что при СД2т алкоголь дает пагубное действие на поджелудочную железу, который вырабатывает инсулин</w:t>
      </w:r>
      <w:r w:rsidRPr="004135FE">
        <w:rPr>
          <w:rFonts w:ascii="Times New Roman" w:hAnsi="Times New Roman" w:cs="Times New Roman"/>
          <w:b/>
          <w:bCs/>
          <w:sz w:val="28"/>
          <w:szCs w:val="28"/>
        </w:rPr>
        <w:t xml:space="preserve">. </w:t>
      </w:r>
      <w:r w:rsidRPr="004135FE">
        <w:rPr>
          <w:rFonts w:ascii="Times New Roman" w:hAnsi="Times New Roman" w:cs="Times New Roman"/>
          <w:sz w:val="28"/>
          <w:szCs w:val="28"/>
        </w:rPr>
        <w:t xml:space="preserve">(χ2=13,784, </w:t>
      </w:r>
      <w:r w:rsidRPr="004135FE">
        <w:rPr>
          <w:rFonts w:ascii="Times New Roman" w:hAnsi="Times New Roman" w:cs="Times New Roman"/>
          <w:sz w:val="28"/>
          <w:szCs w:val="28"/>
          <w:lang w:val="en-US"/>
        </w:rPr>
        <w:t>df</w:t>
      </w:r>
      <w:r w:rsidRPr="004135FE">
        <w:rPr>
          <w:rFonts w:ascii="Times New Roman" w:hAnsi="Times New Roman" w:cs="Times New Roman"/>
          <w:sz w:val="28"/>
          <w:szCs w:val="28"/>
        </w:rPr>
        <w:t xml:space="preserve">=6, </w:t>
      </w:r>
      <w:r w:rsidRPr="004135FE">
        <w:rPr>
          <w:rFonts w:ascii="Times New Roman" w:hAnsi="Times New Roman" w:cs="Times New Roman"/>
          <w:sz w:val="28"/>
          <w:szCs w:val="28"/>
          <w:lang w:val="en-US"/>
        </w:rPr>
        <w:t>p</w:t>
      </w:r>
      <w:r w:rsidRPr="004135FE">
        <w:rPr>
          <w:rFonts w:ascii="Times New Roman" w:eastAsia="Times New Roman" w:hAnsi="Times New Roman" w:cs="Times New Roman"/>
          <w:sz w:val="28"/>
          <w:szCs w:val="28"/>
        </w:rPr>
        <w:t>=</w:t>
      </w:r>
      <w:r w:rsidRPr="004135FE">
        <w:rPr>
          <w:rFonts w:ascii="Times New Roman" w:hAnsi="Times New Roman" w:cs="Times New Roman"/>
          <w:sz w:val="28"/>
          <w:szCs w:val="28"/>
        </w:rPr>
        <w:t>0,032).</w:t>
      </w:r>
    </w:p>
    <w:p w14:paraId="41F68279" w14:textId="77777777" w:rsidR="007A2C38" w:rsidRPr="004135FE" w:rsidRDefault="007A2C38" w:rsidP="004135FE">
      <w:pPr>
        <w:spacing w:after="0" w:line="240" w:lineRule="auto"/>
        <w:jc w:val="both"/>
        <w:rPr>
          <w:rFonts w:ascii="Times New Roman" w:hAnsi="Times New Roman" w:cs="Times New Roman"/>
          <w:bCs/>
          <w:sz w:val="28"/>
          <w:szCs w:val="28"/>
        </w:rPr>
      </w:pPr>
    </w:p>
    <w:p w14:paraId="28F84349" w14:textId="7C1B1CD2" w:rsidR="007A2C38" w:rsidRDefault="003C3318"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bCs/>
          <w:sz w:val="28"/>
          <w:szCs w:val="28"/>
        </w:rPr>
        <w:t xml:space="preserve">Таблица </w:t>
      </w:r>
      <w:r w:rsidR="00B728EF" w:rsidRPr="004135FE">
        <w:rPr>
          <w:rFonts w:ascii="Times New Roman" w:hAnsi="Times New Roman" w:cs="Times New Roman"/>
          <w:bCs/>
          <w:sz w:val="28"/>
          <w:szCs w:val="28"/>
        </w:rPr>
        <w:t>49</w:t>
      </w:r>
      <w:r w:rsidR="004B3EF0">
        <w:rPr>
          <w:rFonts w:ascii="Times New Roman" w:hAnsi="Times New Roman" w:cs="Times New Roman"/>
          <w:bCs/>
          <w:sz w:val="28"/>
          <w:szCs w:val="28"/>
        </w:rPr>
        <w:t xml:space="preserve"> </w:t>
      </w:r>
      <w:r w:rsidR="007A2C38" w:rsidRPr="004135FE">
        <w:rPr>
          <w:rFonts w:ascii="Times New Roman" w:hAnsi="Times New Roman" w:cs="Times New Roman"/>
          <w:bCs/>
          <w:sz w:val="28"/>
          <w:szCs w:val="28"/>
        </w:rPr>
        <w:t xml:space="preserve">- Влияние реакции медперсонала </w:t>
      </w:r>
      <w:r w:rsidR="007A2C38" w:rsidRPr="004135FE">
        <w:rPr>
          <w:rFonts w:ascii="Times New Roman" w:hAnsi="Times New Roman" w:cs="Times New Roman"/>
          <w:sz w:val="28"/>
          <w:szCs w:val="28"/>
        </w:rPr>
        <w:t>на просьбу пациента объяснить значение термина</w:t>
      </w:r>
      <w:r w:rsidR="007A2C38" w:rsidRPr="004135FE">
        <w:rPr>
          <w:rFonts w:ascii="Times New Roman" w:hAnsi="Times New Roman" w:cs="Times New Roman"/>
          <w:bCs/>
          <w:sz w:val="28"/>
          <w:szCs w:val="28"/>
        </w:rPr>
        <w:t xml:space="preserve"> </w:t>
      </w:r>
      <w:r w:rsidR="007A2C38" w:rsidRPr="004135FE">
        <w:rPr>
          <w:rFonts w:ascii="Times New Roman" w:hAnsi="Times New Roman" w:cs="Times New Roman"/>
          <w:sz w:val="28"/>
          <w:szCs w:val="28"/>
        </w:rPr>
        <w:t>по вредным привычкам</w:t>
      </w:r>
    </w:p>
    <w:p w14:paraId="1196B3FB" w14:textId="77777777" w:rsidR="004B3EF0" w:rsidRPr="004135FE" w:rsidRDefault="004B3EF0" w:rsidP="004135FE">
      <w:pPr>
        <w:spacing w:after="0" w:line="240" w:lineRule="auto"/>
        <w:jc w:val="both"/>
        <w:rPr>
          <w:rFonts w:ascii="Times New Roman" w:hAnsi="Times New Roman" w:cs="Times New Roman"/>
          <w:b/>
          <w:sz w:val="28"/>
          <w:szCs w:val="28"/>
        </w:rPr>
      </w:pPr>
    </w:p>
    <w:tbl>
      <w:tblPr>
        <w:tblStyle w:val="af9"/>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2217"/>
        <w:gridCol w:w="2477"/>
        <w:gridCol w:w="1609"/>
        <w:gridCol w:w="22"/>
        <w:gridCol w:w="1460"/>
      </w:tblGrid>
      <w:tr w:rsidR="009A20B2" w:rsidRPr="004135FE" w14:paraId="655924F8" w14:textId="77777777" w:rsidTr="009A20B2">
        <w:trPr>
          <w:trHeight w:val="300"/>
        </w:trPr>
        <w:tc>
          <w:tcPr>
            <w:tcW w:w="1586" w:type="dxa"/>
            <w:noWrap/>
            <w:hideMark/>
          </w:tcPr>
          <w:p w14:paraId="573A0D80"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hAnsi="Times New Roman" w:cs="Times New Roman"/>
                <w:sz w:val="28"/>
                <w:szCs w:val="28"/>
              </w:rPr>
              <w:t>Варианты ответов</w:t>
            </w:r>
          </w:p>
        </w:tc>
        <w:tc>
          <w:tcPr>
            <w:tcW w:w="2255" w:type="dxa"/>
            <w:noWrap/>
            <w:hideMark/>
          </w:tcPr>
          <w:p w14:paraId="6924DA5D"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Доброжелательно объясняет</w:t>
            </w:r>
          </w:p>
        </w:tc>
        <w:tc>
          <w:tcPr>
            <w:tcW w:w="2520" w:type="dxa"/>
            <w:noWrap/>
            <w:hideMark/>
          </w:tcPr>
          <w:p w14:paraId="45DA0D15"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Недоброжелательно объясняет</w:t>
            </w:r>
          </w:p>
        </w:tc>
        <w:tc>
          <w:tcPr>
            <w:tcW w:w="1706" w:type="dxa"/>
            <w:noWrap/>
            <w:hideMark/>
          </w:tcPr>
          <w:p w14:paraId="5934BCAA" w14:textId="77777777" w:rsidR="007A2C38" w:rsidRPr="004135FE" w:rsidRDefault="007A2C38"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Не объясняет ссылаясь на нехватку времени</w:t>
            </w:r>
          </w:p>
        </w:tc>
        <w:tc>
          <w:tcPr>
            <w:tcW w:w="1277" w:type="dxa"/>
            <w:gridSpan w:val="2"/>
            <w:noWrap/>
            <w:hideMark/>
          </w:tcPr>
          <w:p w14:paraId="57369E06" w14:textId="0A907569" w:rsidR="007A2C38" w:rsidRPr="004135FE" w:rsidRDefault="009A20B2" w:rsidP="004135FE">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007A2C38" w:rsidRPr="004135FE">
              <w:rPr>
                <w:rFonts w:ascii="Times New Roman" w:eastAsia="Times New Roman" w:hAnsi="Times New Roman" w:cs="Times New Roman"/>
                <w:sz w:val="28"/>
                <w:szCs w:val="28"/>
              </w:rPr>
              <w:t>сего</w:t>
            </w:r>
          </w:p>
        </w:tc>
      </w:tr>
      <w:tr w:rsidR="007A2C38" w:rsidRPr="004135FE" w14:paraId="60D85466" w14:textId="77777777" w:rsidTr="004B3EF0">
        <w:trPr>
          <w:trHeight w:val="300"/>
        </w:trPr>
        <w:tc>
          <w:tcPr>
            <w:tcW w:w="9344" w:type="dxa"/>
            <w:gridSpan w:val="6"/>
            <w:tcBorders>
              <w:bottom w:val="single" w:sz="4" w:space="0" w:color="auto"/>
            </w:tcBorders>
            <w:noWrap/>
          </w:tcPr>
          <w:p w14:paraId="61A061E4"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hAnsi="Times New Roman" w:cs="Times New Roman"/>
                <w:sz w:val="28"/>
                <w:szCs w:val="28"/>
              </w:rPr>
              <w:t>Частота выкуренных сигарет в день</w:t>
            </w:r>
          </w:p>
        </w:tc>
      </w:tr>
      <w:tr w:rsidR="009A20B2" w:rsidRPr="004135FE" w14:paraId="3D0944D6" w14:textId="77777777" w:rsidTr="009A20B2">
        <w:trPr>
          <w:trHeight w:val="300"/>
        </w:trPr>
        <w:tc>
          <w:tcPr>
            <w:tcW w:w="1586" w:type="dxa"/>
            <w:tcBorders>
              <w:bottom w:val="nil"/>
            </w:tcBorders>
            <w:noWrap/>
            <w:hideMark/>
          </w:tcPr>
          <w:p w14:paraId="662AC576" w14:textId="77777777" w:rsidR="007A2C38" w:rsidRPr="004135FE" w:rsidRDefault="007A2C38" w:rsidP="004B3EF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 штук</w:t>
            </w:r>
          </w:p>
        </w:tc>
        <w:tc>
          <w:tcPr>
            <w:tcW w:w="2255" w:type="dxa"/>
            <w:tcBorders>
              <w:bottom w:val="nil"/>
            </w:tcBorders>
            <w:noWrap/>
            <w:hideMark/>
          </w:tcPr>
          <w:p w14:paraId="11E63C1A" w14:textId="77777777" w:rsidR="007A2C38" w:rsidRPr="004135FE" w:rsidRDefault="007A2C38" w:rsidP="004B3EF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58(71,6%)</w:t>
            </w:r>
          </w:p>
        </w:tc>
        <w:tc>
          <w:tcPr>
            <w:tcW w:w="2520" w:type="dxa"/>
            <w:tcBorders>
              <w:bottom w:val="nil"/>
            </w:tcBorders>
            <w:noWrap/>
            <w:hideMark/>
          </w:tcPr>
          <w:p w14:paraId="489C6B11" w14:textId="77777777" w:rsidR="007A2C38" w:rsidRPr="004135FE" w:rsidRDefault="007A2C38" w:rsidP="004B3EF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10(12,3%)</w:t>
            </w:r>
          </w:p>
        </w:tc>
        <w:tc>
          <w:tcPr>
            <w:tcW w:w="1706" w:type="dxa"/>
            <w:tcBorders>
              <w:bottom w:val="nil"/>
            </w:tcBorders>
            <w:noWrap/>
            <w:hideMark/>
          </w:tcPr>
          <w:p w14:paraId="33C438CD" w14:textId="77777777" w:rsidR="007A2C38" w:rsidRPr="004135FE" w:rsidRDefault="007A2C38" w:rsidP="004B3EF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13(16,0%)</w:t>
            </w:r>
          </w:p>
        </w:tc>
        <w:tc>
          <w:tcPr>
            <w:tcW w:w="1277" w:type="dxa"/>
            <w:gridSpan w:val="2"/>
            <w:tcBorders>
              <w:bottom w:val="nil"/>
            </w:tcBorders>
            <w:noWrap/>
            <w:hideMark/>
          </w:tcPr>
          <w:p w14:paraId="699F8F0A" w14:textId="77777777" w:rsidR="004B3EF0" w:rsidRDefault="007A2C38" w:rsidP="004B3EF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81</w:t>
            </w:r>
          </w:p>
          <w:p w14:paraId="09C3F135" w14:textId="372D8DA4" w:rsidR="007A2C38" w:rsidRPr="004135FE" w:rsidRDefault="007A2C38" w:rsidP="004B3EF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(100,0%)</w:t>
            </w:r>
          </w:p>
        </w:tc>
      </w:tr>
      <w:tr w:rsidR="009A20B2" w:rsidRPr="004135FE" w14:paraId="0DF33AE6" w14:textId="77777777" w:rsidTr="009A20B2">
        <w:trPr>
          <w:trHeight w:val="300"/>
        </w:trPr>
        <w:tc>
          <w:tcPr>
            <w:tcW w:w="1586" w:type="dxa"/>
            <w:noWrap/>
            <w:hideMark/>
          </w:tcPr>
          <w:p w14:paraId="27A2A3A1" w14:textId="77777777" w:rsidR="007A2C38" w:rsidRPr="004135FE" w:rsidRDefault="007A2C38" w:rsidP="004B3EF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Менее 1 пачки</w:t>
            </w:r>
          </w:p>
        </w:tc>
        <w:tc>
          <w:tcPr>
            <w:tcW w:w="2255" w:type="dxa"/>
            <w:noWrap/>
            <w:hideMark/>
          </w:tcPr>
          <w:p w14:paraId="256C21D2" w14:textId="77777777" w:rsidR="007A2C38" w:rsidRPr="004135FE" w:rsidRDefault="007A2C38" w:rsidP="004B3EF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29(76,3%)</w:t>
            </w:r>
          </w:p>
        </w:tc>
        <w:tc>
          <w:tcPr>
            <w:tcW w:w="2520" w:type="dxa"/>
            <w:noWrap/>
            <w:hideMark/>
          </w:tcPr>
          <w:p w14:paraId="405A2FF5" w14:textId="77777777" w:rsidR="007A2C38" w:rsidRPr="004135FE" w:rsidRDefault="007A2C38" w:rsidP="004B3EF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4(10,5%)</w:t>
            </w:r>
          </w:p>
        </w:tc>
        <w:tc>
          <w:tcPr>
            <w:tcW w:w="1714" w:type="dxa"/>
            <w:gridSpan w:val="2"/>
            <w:noWrap/>
            <w:hideMark/>
          </w:tcPr>
          <w:p w14:paraId="5EEEAC75" w14:textId="77777777" w:rsidR="007A2C38" w:rsidRPr="004135FE" w:rsidRDefault="007A2C38" w:rsidP="004B3EF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5(13,2%)</w:t>
            </w:r>
          </w:p>
        </w:tc>
        <w:tc>
          <w:tcPr>
            <w:tcW w:w="1269" w:type="dxa"/>
            <w:noWrap/>
            <w:hideMark/>
          </w:tcPr>
          <w:p w14:paraId="055AF846" w14:textId="77777777" w:rsidR="007A2C38" w:rsidRPr="004135FE" w:rsidRDefault="007A2C38" w:rsidP="004B3EF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38(100,0%)</w:t>
            </w:r>
          </w:p>
        </w:tc>
      </w:tr>
      <w:tr w:rsidR="009A20B2" w:rsidRPr="004135FE" w14:paraId="0C314A06" w14:textId="77777777" w:rsidTr="009A20B2">
        <w:trPr>
          <w:trHeight w:val="300"/>
        </w:trPr>
        <w:tc>
          <w:tcPr>
            <w:tcW w:w="1586" w:type="dxa"/>
            <w:noWrap/>
            <w:hideMark/>
          </w:tcPr>
          <w:p w14:paraId="47273623" w14:textId="77777777" w:rsidR="007A2C38" w:rsidRPr="004135FE" w:rsidRDefault="007A2C38" w:rsidP="004B3EF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Более 1 пачки</w:t>
            </w:r>
          </w:p>
        </w:tc>
        <w:tc>
          <w:tcPr>
            <w:tcW w:w="2255" w:type="dxa"/>
            <w:noWrap/>
            <w:hideMark/>
          </w:tcPr>
          <w:p w14:paraId="4654B97A" w14:textId="77777777" w:rsidR="007A2C38" w:rsidRPr="004135FE" w:rsidRDefault="007A2C38" w:rsidP="004B3EF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18(51,4%)</w:t>
            </w:r>
          </w:p>
        </w:tc>
        <w:tc>
          <w:tcPr>
            <w:tcW w:w="2520" w:type="dxa"/>
            <w:noWrap/>
            <w:hideMark/>
          </w:tcPr>
          <w:p w14:paraId="3B5C5237" w14:textId="77777777" w:rsidR="007A2C38" w:rsidRPr="004135FE" w:rsidRDefault="007A2C38" w:rsidP="004B3EF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6(17,1%)</w:t>
            </w:r>
          </w:p>
        </w:tc>
        <w:tc>
          <w:tcPr>
            <w:tcW w:w="1714" w:type="dxa"/>
            <w:gridSpan w:val="2"/>
            <w:noWrap/>
            <w:hideMark/>
          </w:tcPr>
          <w:p w14:paraId="5FCADA1A" w14:textId="77777777" w:rsidR="007A2C38" w:rsidRPr="004135FE" w:rsidRDefault="007A2C38" w:rsidP="004B3EF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11(31,4%)</w:t>
            </w:r>
          </w:p>
        </w:tc>
        <w:tc>
          <w:tcPr>
            <w:tcW w:w="1269" w:type="dxa"/>
            <w:noWrap/>
            <w:hideMark/>
          </w:tcPr>
          <w:p w14:paraId="041DF449" w14:textId="77777777" w:rsidR="007A2C38" w:rsidRPr="004135FE" w:rsidRDefault="007A2C38" w:rsidP="004B3EF0">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35(100,0%)</w:t>
            </w:r>
          </w:p>
        </w:tc>
      </w:tr>
      <w:tr w:rsidR="009A20B2" w:rsidRPr="004B3EF0" w14:paraId="7DCD8451" w14:textId="77777777" w:rsidTr="009A20B2">
        <w:trPr>
          <w:trHeight w:val="300"/>
        </w:trPr>
        <w:tc>
          <w:tcPr>
            <w:tcW w:w="1586" w:type="dxa"/>
            <w:noWrap/>
            <w:hideMark/>
          </w:tcPr>
          <w:p w14:paraId="59F16FD1"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Не курю</w:t>
            </w:r>
          </w:p>
        </w:tc>
        <w:tc>
          <w:tcPr>
            <w:tcW w:w="2255" w:type="dxa"/>
            <w:noWrap/>
            <w:hideMark/>
          </w:tcPr>
          <w:p w14:paraId="1E5B8224"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255(78,2%)</w:t>
            </w:r>
          </w:p>
        </w:tc>
        <w:tc>
          <w:tcPr>
            <w:tcW w:w="2520" w:type="dxa"/>
            <w:noWrap/>
            <w:hideMark/>
          </w:tcPr>
          <w:p w14:paraId="379C510E"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38(11,7%)</w:t>
            </w:r>
          </w:p>
        </w:tc>
        <w:tc>
          <w:tcPr>
            <w:tcW w:w="1714" w:type="dxa"/>
            <w:gridSpan w:val="2"/>
            <w:noWrap/>
            <w:hideMark/>
          </w:tcPr>
          <w:p w14:paraId="02DE65D9"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33(10,1%)</w:t>
            </w:r>
          </w:p>
        </w:tc>
        <w:tc>
          <w:tcPr>
            <w:tcW w:w="1269" w:type="dxa"/>
            <w:noWrap/>
            <w:hideMark/>
          </w:tcPr>
          <w:p w14:paraId="0E79BDEE" w14:textId="77777777" w:rsid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326</w:t>
            </w:r>
          </w:p>
          <w:p w14:paraId="28F5EE8E" w14:textId="497E546D"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(100,0%)</w:t>
            </w:r>
          </w:p>
        </w:tc>
      </w:tr>
      <w:tr w:rsidR="009A20B2" w:rsidRPr="004B3EF0" w14:paraId="4DC8E585" w14:textId="77777777" w:rsidTr="009A20B2">
        <w:trPr>
          <w:trHeight w:val="300"/>
        </w:trPr>
        <w:tc>
          <w:tcPr>
            <w:tcW w:w="1586" w:type="dxa"/>
            <w:noWrap/>
          </w:tcPr>
          <w:p w14:paraId="505A1A40"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lang w:val="en-US"/>
              </w:rPr>
              <w:t>p</w:t>
            </w:r>
            <w:r w:rsidRPr="004B3EF0">
              <w:rPr>
                <w:rFonts w:ascii="Times New Roman" w:eastAsia="Times New Roman" w:hAnsi="Times New Roman" w:cs="Times New Roman"/>
                <w:sz w:val="28"/>
                <w:szCs w:val="28"/>
              </w:rPr>
              <w:t>-</w:t>
            </w:r>
            <w:r w:rsidRPr="004B3EF0">
              <w:rPr>
                <w:rFonts w:ascii="Times New Roman" w:eastAsia="Times New Roman" w:hAnsi="Times New Roman" w:cs="Times New Roman"/>
                <w:sz w:val="28"/>
                <w:szCs w:val="28"/>
                <w:lang w:val="en-US"/>
              </w:rPr>
              <w:t>value</w:t>
            </w:r>
          </w:p>
        </w:tc>
        <w:tc>
          <w:tcPr>
            <w:tcW w:w="2255" w:type="dxa"/>
            <w:noWrap/>
          </w:tcPr>
          <w:p w14:paraId="2BADE8C9"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lang w:val="en-US"/>
              </w:rPr>
              <w:t>0,014</w:t>
            </w:r>
          </w:p>
        </w:tc>
        <w:tc>
          <w:tcPr>
            <w:tcW w:w="2520" w:type="dxa"/>
            <w:noWrap/>
          </w:tcPr>
          <w:p w14:paraId="49C83133" w14:textId="3B3CE442" w:rsidR="007A2C38" w:rsidRPr="004B3EF0" w:rsidRDefault="008F71B5" w:rsidP="004B3EF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714" w:type="dxa"/>
            <w:gridSpan w:val="2"/>
            <w:noWrap/>
          </w:tcPr>
          <w:p w14:paraId="201444A0" w14:textId="469DEC7C" w:rsidR="007A2C38" w:rsidRPr="004B3EF0" w:rsidRDefault="008F71B5" w:rsidP="004B3EF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269" w:type="dxa"/>
            <w:noWrap/>
          </w:tcPr>
          <w:p w14:paraId="44997276" w14:textId="33861EAC" w:rsidR="007A2C38" w:rsidRPr="004B3EF0" w:rsidRDefault="008F71B5" w:rsidP="004B3EF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r w:rsidR="007A2C38" w:rsidRPr="004B3EF0" w14:paraId="116CF13C" w14:textId="77777777" w:rsidTr="00056C34">
        <w:trPr>
          <w:trHeight w:val="300"/>
        </w:trPr>
        <w:tc>
          <w:tcPr>
            <w:tcW w:w="9344" w:type="dxa"/>
            <w:gridSpan w:val="6"/>
            <w:noWrap/>
            <w:vAlign w:val="center"/>
          </w:tcPr>
          <w:p w14:paraId="2F19F230" w14:textId="64681ABD" w:rsidR="00056C34" w:rsidRPr="009A20B2" w:rsidRDefault="007A2C38" w:rsidP="009A20B2">
            <w:pPr>
              <w:spacing w:after="0" w:line="240" w:lineRule="auto"/>
              <w:jc w:val="center"/>
              <w:rPr>
                <w:rFonts w:ascii="Times New Roman" w:hAnsi="Times New Roman" w:cs="Times New Roman"/>
                <w:sz w:val="28"/>
                <w:szCs w:val="28"/>
              </w:rPr>
            </w:pPr>
            <w:r w:rsidRPr="004B3EF0">
              <w:rPr>
                <w:rFonts w:ascii="Times New Roman" w:hAnsi="Times New Roman" w:cs="Times New Roman"/>
                <w:sz w:val="28"/>
                <w:szCs w:val="28"/>
              </w:rPr>
              <w:t>Частота употребления алкогольных напитков</w:t>
            </w:r>
          </w:p>
        </w:tc>
      </w:tr>
      <w:tr w:rsidR="009A20B2" w:rsidRPr="004B3EF0" w14:paraId="724323D6" w14:textId="77777777" w:rsidTr="009A20B2">
        <w:trPr>
          <w:trHeight w:val="300"/>
        </w:trPr>
        <w:tc>
          <w:tcPr>
            <w:tcW w:w="1586" w:type="dxa"/>
            <w:noWrap/>
            <w:hideMark/>
          </w:tcPr>
          <w:p w14:paraId="1B6F3D73"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Редко</w:t>
            </w:r>
          </w:p>
        </w:tc>
        <w:tc>
          <w:tcPr>
            <w:tcW w:w="2255" w:type="dxa"/>
            <w:noWrap/>
            <w:hideMark/>
          </w:tcPr>
          <w:p w14:paraId="15953687"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119(76,3%)</w:t>
            </w:r>
          </w:p>
        </w:tc>
        <w:tc>
          <w:tcPr>
            <w:tcW w:w="2520" w:type="dxa"/>
            <w:noWrap/>
            <w:hideMark/>
          </w:tcPr>
          <w:p w14:paraId="1859930A"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21(13,5%)</w:t>
            </w:r>
          </w:p>
        </w:tc>
        <w:tc>
          <w:tcPr>
            <w:tcW w:w="1714" w:type="dxa"/>
            <w:gridSpan w:val="2"/>
            <w:noWrap/>
            <w:hideMark/>
          </w:tcPr>
          <w:p w14:paraId="3F6AB0BD"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16(10,3%)</w:t>
            </w:r>
          </w:p>
        </w:tc>
        <w:tc>
          <w:tcPr>
            <w:tcW w:w="1269" w:type="dxa"/>
            <w:noWrap/>
            <w:hideMark/>
          </w:tcPr>
          <w:p w14:paraId="7D0F27FF" w14:textId="77777777" w:rsid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156</w:t>
            </w:r>
          </w:p>
          <w:p w14:paraId="7B0B0EC9" w14:textId="293F50E5"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(100,0%)</w:t>
            </w:r>
          </w:p>
        </w:tc>
      </w:tr>
      <w:tr w:rsidR="009A20B2" w:rsidRPr="004B3EF0" w14:paraId="46778141" w14:textId="77777777" w:rsidTr="009A20B2">
        <w:trPr>
          <w:trHeight w:val="300"/>
        </w:trPr>
        <w:tc>
          <w:tcPr>
            <w:tcW w:w="1586" w:type="dxa"/>
            <w:noWrap/>
            <w:hideMark/>
          </w:tcPr>
          <w:p w14:paraId="14C2BB76"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Около 2 раз в неделю</w:t>
            </w:r>
          </w:p>
        </w:tc>
        <w:tc>
          <w:tcPr>
            <w:tcW w:w="2255" w:type="dxa"/>
            <w:noWrap/>
            <w:hideMark/>
          </w:tcPr>
          <w:p w14:paraId="0D9E54F1"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13(52,0%)</w:t>
            </w:r>
          </w:p>
        </w:tc>
        <w:tc>
          <w:tcPr>
            <w:tcW w:w="2520" w:type="dxa"/>
            <w:noWrap/>
            <w:hideMark/>
          </w:tcPr>
          <w:p w14:paraId="0E2D6870"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5(20,0%)</w:t>
            </w:r>
          </w:p>
        </w:tc>
        <w:tc>
          <w:tcPr>
            <w:tcW w:w="1714" w:type="dxa"/>
            <w:gridSpan w:val="2"/>
            <w:noWrap/>
            <w:hideMark/>
          </w:tcPr>
          <w:p w14:paraId="7F0C3DB7"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7(28,0%)</w:t>
            </w:r>
          </w:p>
        </w:tc>
        <w:tc>
          <w:tcPr>
            <w:tcW w:w="1269" w:type="dxa"/>
            <w:noWrap/>
            <w:hideMark/>
          </w:tcPr>
          <w:p w14:paraId="13A89C0E"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25(100,0%)</w:t>
            </w:r>
          </w:p>
        </w:tc>
      </w:tr>
      <w:tr w:rsidR="009A20B2" w:rsidRPr="004B3EF0" w14:paraId="4AF6306D" w14:textId="77777777" w:rsidTr="009A20B2">
        <w:trPr>
          <w:trHeight w:val="300"/>
        </w:trPr>
        <w:tc>
          <w:tcPr>
            <w:tcW w:w="1586" w:type="dxa"/>
            <w:noWrap/>
            <w:hideMark/>
          </w:tcPr>
          <w:p w14:paraId="71A66EFB"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Ежедневно</w:t>
            </w:r>
          </w:p>
        </w:tc>
        <w:tc>
          <w:tcPr>
            <w:tcW w:w="2255" w:type="dxa"/>
            <w:noWrap/>
            <w:hideMark/>
          </w:tcPr>
          <w:p w14:paraId="18FC8142"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6(50,0%)</w:t>
            </w:r>
          </w:p>
        </w:tc>
        <w:tc>
          <w:tcPr>
            <w:tcW w:w="2520" w:type="dxa"/>
            <w:noWrap/>
            <w:hideMark/>
          </w:tcPr>
          <w:p w14:paraId="29F76E03"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3(25,0%)</w:t>
            </w:r>
          </w:p>
        </w:tc>
        <w:tc>
          <w:tcPr>
            <w:tcW w:w="1714" w:type="dxa"/>
            <w:gridSpan w:val="2"/>
            <w:noWrap/>
            <w:hideMark/>
          </w:tcPr>
          <w:p w14:paraId="144422F0"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3(25,0%)</w:t>
            </w:r>
          </w:p>
        </w:tc>
        <w:tc>
          <w:tcPr>
            <w:tcW w:w="1269" w:type="dxa"/>
            <w:noWrap/>
            <w:hideMark/>
          </w:tcPr>
          <w:p w14:paraId="14FD0D5C"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12(100,0%)</w:t>
            </w:r>
          </w:p>
        </w:tc>
      </w:tr>
      <w:tr w:rsidR="009A20B2" w:rsidRPr="004B3EF0" w14:paraId="3942202C" w14:textId="77777777" w:rsidTr="009A20B2">
        <w:trPr>
          <w:trHeight w:val="300"/>
        </w:trPr>
        <w:tc>
          <w:tcPr>
            <w:tcW w:w="1586" w:type="dxa"/>
            <w:noWrap/>
            <w:hideMark/>
          </w:tcPr>
          <w:p w14:paraId="61ACB3AA"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Не употребляю</w:t>
            </w:r>
          </w:p>
        </w:tc>
        <w:tc>
          <w:tcPr>
            <w:tcW w:w="2255" w:type="dxa"/>
            <w:noWrap/>
            <w:hideMark/>
          </w:tcPr>
          <w:p w14:paraId="39757A71"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222(77,4%)</w:t>
            </w:r>
          </w:p>
        </w:tc>
        <w:tc>
          <w:tcPr>
            <w:tcW w:w="2520" w:type="dxa"/>
            <w:noWrap/>
            <w:hideMark/>
          </w:tcPr>
          <w:p w14:paraId="6AE71A4A"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29(10,1%)</w:t>
            </w:r>
          </w:p>
        </w:tc>
        <w:tc>
          <w:tcPr>
            <w:tcW w:w="1714" w:type="dxa"/>
            <w:gridSpan w:val="2"/>
            <w:noWrap/>
            <w:hideMark/>
          </w:tcPr>
          <w:p w14:paraId="3EE86F89"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36(12,5%)</w:t>
            </w:r>
          </w:p>
        </w:tc>
        <w:tc>
          <w:tcPr>
            <w:tcW w:w="1269" w:type="dxa"/>
            <w:noWrap/>
            <w:hideMark/>
          </w:tcPr>
          <w:p w14:paraId="5A8CD0B3" w14:textId="77777777" w:rsidR="008F71B5"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287</w:t>
            </w:r>
          </w:p>
          <w:p w14:paraId="760BAEE9" w14:textId="01B36741"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(100,0%)</w:t>
            </w:r>
          </w:p>
        </w:tc>
      </w:tr>
      <w:tr w:rsidR="009A20B2" w:rsidRPr="004B3EF0" w14:paraId="260DBBC1" w14:textId="77777777" w:rsidTr="009A20B2">
        <w:trPr>
          <w:trHeight w:val="300"/>
        </w:trPr>
        <w:tc>
          <w:tcPr>
            <w:tcW w:w="1586" w:type="dxa"/>
            <w:noWrap/>
          </w:tcPr>
          <w:p w14:paraId="38D917D2"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Итого</w:t>
            </w:r>
          </w:p>
        </w:tc>
        <w:tc>
          <w:tcPr>
            <w:tcW w:w="2255" w:type="dxa"/>
            <w:noWrap/>
          </w:tcPr>
          <w:p w14:paraId="7B7392FA"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360(100%)</w:t>
            </w:r>
          </w:p>
        </w:tc>
        <w:tc>
          <w:tcPr>
            <w:tcW w:w="2520" w:type="dxa"/>
            <w:noWrap/>
          </w:tcPr>
          <w:p w14:paraId="1BDA69CC"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58(100%)</w:t>
            </w:r>
          </w:p>
        </w:tc>
        <w:tc>
          <w:tcPr>
            <w:tcW w:w="1714" w:type="dxa"/>
            <w:gridSpan w:val="2"/>
            <w:noWrap/>
          </w:tcPr>
          <w:p w14:paraId="25197D05"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62(100%)</w:t>
            </w:r>
          </w:p>
        </w:tc>
        <w:tc>
          <w:tcPr>
            <w:tcW w:w="1269" w:type="dxa"/>
            <w:noWrap/>
          </w:tcPr>
          <w:p w14:paraId="5DDDEE59"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rPr>
              <w:t>480(100%)</w:t>
            </w:r>
          </w:p>
        </w:tc>
      </w:tr>
      <w:tr w:rsidR="009A20B2" w:rsidRPr="004B3EF0" w14:paraId="59AC7F3A" w14:textId="77777777" w:rsidTr="009A20B2">
        <w:trPr>
          <w:trHeight w:val="300"/>
        </w:trPr>
        <w:tc>
          <w:tcPr>
            <w:tcW w:w="1586" w:type="dxa"/>
            <w:noWrap/>
          </w:tcPr>
          <w:p w14:paraId="77E89268"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lang w:val="en-US"/>
              </w:rPr>
              <w:t>p</w:t>
            </w:r>
            <w:r w:rsidRPr="004B3EF0">
              <w:rPr>
                <w:rFonts w:ascii="Times New Roman" w:eastAsia="Times New Roman" w:hAnsi="Times New Roman" w:cs="Times New Roman"/>
                <w:sz w:val="28"/>
                <w:szCs w:val="28"/>
              </w:rPr>
              <w:t>-</w:t>
            </w:r>
            <w:r w:rsidRPr="004B3EF0">
              <w:rPr>
                <w:rFonts w:ascii="Times New Roman" w:eastAsia="Times New Roman" w:hAnsi="Times New Roman" w:cs="Times New Roman"/>
                <w:sz w:val="28"/>
                <w:szCs w:val="28"/>
                <w:lang w:val="en-US"/>
              </w:rPr>
              <w:t>value</w:t>
            </w:r>
          </w:p>
        </w:tc>
        <w:tc>
          <w:tcPr>
            <w:tcW w:w="2255" w:type="dxa"/>
            <w:noWrap/>
          </w:tcPr>
          <w:p w14:paraId="3045A1EF" w14:textId="77777777" w:rsidR="007A2C38" w:rsidRPr="004B3EF0" w:rsidRDefault="007A2C38" w:rsidP="004B3EF0">
            <w:pPr>
              <w:spacing w:after="0" w:line="240" w:lineRule="auto"/>
              <w:jc w:val="center"/>
              <w:rPr>
                <w:rFonts w:ascii="Times New Roman" w:eastAsia="Times New Roman" w:hAnsi="Times New Roman" w:cs="Times New Roman"/>
                <w:sz w:val="28"/>
                <w:szCs w:val="28"/>
              </w:rPr>
            </w:pPr>
            <w:r w:rsidRPr="004B3EF0">
              <w:rPr>
                <w:rFonts w:ascii="Times New Roman" w:eastAsia="Times New Roman" w:hAnsi="Times New Roman" w:cs="Times New Roman"/>
                <w:sz w:val="28"/>
                <w:szCs w:val="28"/>
                <w:lang w:val="en-US"/>
              </w:rPr>
              <w:t>0,032</w:t>
            </w:r>
          </w:p>
        </w:tc>
        <w:tc>
          <w:tcPr>
            <w:tcW w:w="2520" w:type="dxa"/>
            <w:noWrap/>
          </w:tcPr>
          <w:p w14:paraId="7A6214EE" w14:textId="56CBC86F" w:rsidR="007A2C38" w:rsidRPr="004B3EF0" w:rsidRDefault="008F71B5" w:rsidP="004B3EF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714" w:type="dxa"/>
            <w:gridSpan w:val="2"/>
            <w:noWrap/>
          </w:tcPr>
          <w:p w14:paraId="1FC9D6C3" w14:textId="09D30EC6" w:rsidR="007A2C38" w:rsidRPr="004B3EF0" w:rsidRDefault="008F71B5" w:rsidP="004B3EF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1269" w:type="dxa"/>
            <w:noWrap/>
          </w:tcPr>
          <w:p w14:paraId="1D40CAB0" w14:textId="00EA654D" w:rsidR="007A2C38" w:rsidRPr="004B3EF0" w:rsidRDefault="008F71B5" w:rsidP="004B3EF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bl>
    <w:p w14:paraId="4999C43D" w14:textId="77777777" w:rsidR="007A2C38" w:rsidRPr="004B3EF0" w:rsidRDefault="007A2C38" w:rsidP="004135FE">
      <w:pPr>
        <w:spacing w:after="0" w:line="240" w:lineRule="auto"/>
        <w:jc w:val="both"/>
        <w:rPr>
          <w:rFonts w:ascii="Times New Roman" w:hAnsi="Times New Roman" w:cs="Times New Roman"/>
          <w:sz w:val="28"/>
          <w:szCs w:val="28"/>
        </w:rPr>
      </w:pPr>
    </w:p>
    <w:p w14:paraId="13BB7D08" w14:textId="77777777" w:rsidR="00056C34" w:rsidRDefault="007A2C38" w:rsidP="004135FE">
      <w:pPr>
        <w:spacing w:after="0" w:line="240" w:lineRule="auto"/>
        <w:ind w:firstLine="709"/>
        <w:jc w:val="both"/>
        <w:rPr>
          <w:rFonts w:ascii="Times New Roman" w:eastAsia="Times New Roman" w:hAnsi="Times New Roman" w:cs="Times New Roman"/>
          <w:sz w:val="28"/>
          <w:szCs w:val="28"/>
        </w:rPr>
      </w:pPr>
      <w:r w:rsidRPr="004B3EF0">
        <w:rPr>
          <w:rFonts w:ascii="Times New Roman" w:hAnsi="Times New Roman" w:cs="Times New Roman"/>
          <w:sz w:val="28"/>
          <w:szCs w:val="28"/>
        </w:rPr>
        <w:t>Таким образом, статистическое значимое влияние уровня коммуникативных навыков</w:t>
      </w:r>
      <w:r w:rsidRPr="004135FE">
        <w:rPr>
          <w:rFonts w:ascii="Times New Roman" w:hAnsi="Times New Roman" w:cs="Times New Roman"/>
          <w:bCs/>
          <w:sz w:val="28"/>
          <w:szCs w:val="28"/>
        </w:rPr>
        <w:t xml:space="preserve"> медицинского персонала на понимание и запоминание информации при консультации. Повышается приверженность при учитывании индивидуальных </w:t>
      </w:r>
      <w:r w:rsidRPr="004135FE">
        <w:rPr>
          <w:rFonts w:ascii="Times New Roman" w:hAnsi="Times New Roman" w:cs="Times New Roman"/>
          <w:sz w:val="28"/>
          <w:szCs w:val="28"/>
        </w:rPr>
        <w:t>особенностей пациента для назначения приема и дозировки ЛС и доброжелательного отношения</w:t>
      </w:r>
      <w:r w:rsidRPr="004135FE">
        <w:rPr>
          <w:rFonts w:ascii="Times New Roman" w:eastAsia="Times New Roman" w:hAnsi="Times New Roman" w:cs="Times New Roman"/>
          <w:sz w:val="28"/>
          <w:szCs w:val="28"/>
        </w:rPr>
        <w:t xml:space="preserve">. </w:t>
      </w:r>
    </w:p>
    <w:p w14:paraId="2E1499E4" w14:textId="77777777" w:rsidR="00056C34" w:rsidRDefault="007A2C38" w:rsidP="004135FE">
      <w:pPr>
        <w:spacing w:after="0" w:line="240" w:lineRule="auto"/>
        <w:ind w:firstLine="709"/>
        <w:jc w:val="both"/>
        <w:rPr>
          <w:rFonts w:ascii="Times New Roman" w:hAnsi="Times New Roman" w:cs="Times New Roman"/>
          <w:sz w:val="28"/>
          <w:szCs w:val="28"/>
        </w:rPr>
      </w:pPr>
      <w:r w:rsidRPr="004135FE">
        <w:rPr>
          <w:rFonts w:ascii="Times New Roman" w:eastAsia="Times New Roman" w:hAnsi="Times New Roman" w:cs="Times New Roman"/>
          <w:sz w:val="28"/>
          <w:szCs w:val="28"/>
        </w:rPr>
        <w:t>Приверженные пациенты</w:t>
      </w:r>
      <w:r w:rsidRPr="004135FE">
        <w:rPr>
          <w:rFonts w:ascii="Times New Roman" w:hAnsi="Times New Roman" w:cs="Times New Roman"/>
          <w:sz w:val="28"/>
          <w:szCs w:val="28"/>
        </w:rPr>
        <w:t xml:space="preserve"> каждый месяц берут консультацию и коррекцию лечения, показывая дневник самоконтроля, на приеме у врачей, которые интересуются и учитывают индивидуальные особенности режима дня и привычки питания, поведения, физической нагрузки при выписке рекомендации по приему и дозировке ЛС.</w:t>
      </w:r>
    </w:p>
    <w:p w14:paraId="2B0A2EC7" w14:textId="1AB85EAC" w:rsidR="007A2C38" w:rsidRPr="004135FE" w:rsidRDefault="007A2C38" w:rsidP="004135FE">
      <w:pPr>
        <w:spacing w:after="0" w:line="240" w:lineRule="auto"/>
        <w:ind w:firstLine="709"/>
        <w:jc w:val="both"/>
        <w:rPr>
          <w:rFonts w:ascii="Times New Roman" w:hAnsi="Times New Roman" w:cs="Times New Roman"/>
          <w:bCs/>
          <w:sz w:val="28"/>
          <w:szCs w:val="28"/>
        </w:rPr>
      </w:pPr>
      <w:r w:rsidRPr="004135FE">
        <w:rPr>
          <w:rFonts w:ascii="Times New Roman" w:hAnsi="Times New Roman" w:cs="Times New Roman"/>
          <w:sz w:val="28"/>
          <w:szCs w:val="28"/>
        </w:rPr>
        <w:t xml:space="preserve"> При доброжелательном контакте и объяснении всех непонятных моментов во время консультации, пациенты соблюдают ЗОЖ, 78,2% не курят, </w:t>
      </w:r>
      <w:r w:rsidRPr="004135FE">
        <w:rPr>
          <w:rFonts w:ascii="Times New Roman" w:eastAsia="Times New Roman" w:hAnsi="Times New Roman" w:cs="Times New Roman"/>
          <w:sz w:val="28"/>
          <w:szCs w:val="28"/>
        </w:rPr>
        <w:t>77,4% не употребляют алкоголь.</w:t>
      </w:r>
    </w:p>
    <w:p w14:paraId="6FEC0593" w14:textId="070A5926" w:rsidR="007A2C38" w:rsidRPr="00056C34" w:rsidRDefault="007A2C38" w:rsidP="00056C34">
      <w:pPr>
        <w:pStyle w:val="a3"/>
        <w:numPr>
          <w:ilvl w:val="0"/>
          <w:numId w:val="92"/>
        </w:numPr>
        <w:tabs>
          <w:tab w:val="left" w:pos="993"/>
        </w:tabs>
        <w:spacing w:after="0" w:line="240" w:lineRule="auto"/>
        <w:ind w:left="0" w:firstLine="709"/>
        <w:jc w:val="both"/>
        <w:rPr>
          <w:rFonts w:ascii="Times New Roman" w:hAnsi="Times New Roman" w:cs="Times New Roman"/>
          <w:bCs/>
          <w:i/>
          <w:iCs/>
          <w:sz w:val="28"/>
          <w:szCs w:val="28"/>
        </w:rPr>
      </w:pPr>
      <w:r w:rsidRPr="00056C34">
        <w:rPr>
          <w:rFonts w:ascii="Times New Roman" w:hAnsi="Times New Roman" w:cs="Times New Roman"/>
          <w:bCs/>
          <w:i/>
          <w:iCs/>
          <w:sz w:val="28"/>
          <w:szCs w:val="28"/>
        </w:rPr>
        <w:t>Влияние Школы Диабета на самоменеджмент и приверженность к рекомендациям</w:t>
      </w:r>
    </w:p>
    <w:p w14:paraId="4C9EBCE1"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hAnsi="Times New Roman" w:cs="Times New Roman"/>
          <w:sz w:val="28"/>
          <w:szCs w:val="28"/>
        </w:rPr>
        <w:t>Большинство опрошенных 27,3% - пациентов никогда не посещали никаких Школ здоровья. В то время как 22,1% - пациентов посетили Школу ЗОЖ при поликлинике, 17,3% - пациентов городскую школу диабета и 15,4% - Школу диабета при поликлинике.   13,5% пациентов проходили обучение при госпитализации и 4,4% платно в частной клинике.</w:t>
      </w:r>
    </w:p>
    <w:p w14:paraId="00C0F3E9" w14:textId="441F4931" w:rsidR="007A2C38" w:rsidRDefault="007A2C38" w:rsidP="004135FE">
      <w:pPr>
        <w:tabs>
          <w:tab w:val="center" w:pos="4190"/>
        </w:tabs>
        <w:autoSpaceDE w:val="0"/>
        <w:autoSpaceDN w:val="0"/>
        <w:adjustRightInd w:val="0"/>
        <w:spacing w:after="0" w:line="240" w:lineRule="auto"/>
        <w:jc w:val="both"/>
        <w:rPr>
          <w:rFonts w:ascii="Times New Roman" w:hAnsi="Times New Roman" w:cs="Times New Roman"/>
          <w:b/>
          <w:bCs/>
          <w:sz w:val="28"/>
          <w:szCs w:val="28"/>
        </w:rPr>
      </w:pPr>
    </w:p>
    <w:p w14:paraId="0559E1E7" w14:textId="2E292AFB" w:rsidR="007A2C38" w:rsidRDefault="007A2C38" w:rsidP="004135FE">
      <w:pPr>
        <w:tabs>
          <w:tab w:val="center" w:pos="4176"/>
        </w:tabs>
        <w:autoSpaceDE w:val="0"/>
        <w:autoSpaceDN w:val="0"/>
        <w:adjustRightInd w:val="0"/>
        <w:spacing w:after="0" w:line="240" w:lineRule="auto"/>
        <w:jc w:val="both"/>
        <w:rPr>
          <w:rFonts w:ascii="Times New Roman" w:hAnsi="Times New Roman" w:cs="Times New Roman"/>
          <w:bCs/>
          <w:sz w:val="28"/>
          <w:szCs w:val="28"/>
        </w:rPr>
      </w:pPr>
      <w:r w:rsidRPr="004135FE">
        <w:rPr>
          <w:rFonts w:ascii="Times New Roman" w:hAnsi="Times New Roman" w:cs="Times New Roman"/>
          <w:bCs/>
          <w:sz w:val="28"/>
          <w:szCs w:val="28"/>
        </w:rPr>
        <w:t>Таблица 5</w:t>
      </w:r>
      <w:r w:rsidR="00B728EF" w:rsidRPr="004135FE">
        <w:rPr>
          <w:rFonts w:ascii="Times New Roman" w:hAnsi="Times New Roman" w:cs="Times New Roman"/>
          <w:bCs/>
          <w:sz w:val="28"/>
          <w:szCs w:val="28"/>
        </w:rPr>
        <w:t>0</w:t>
      </w:r>
      <w:r w:rsidR="00056C34">
        <w:rPr>
          <w:rFonts w:ascii="Times New Roman" w:hAnsi="Times New Roman" w:cs="Times New Roman"/>
          <w:bCs/>
          <w:sz w:val="28"/>
          <w:szCs w:val="28"/>
        </w:rPr>
        <w:t xml:space="preserve"> </w:t>
      </w:r>
      <w:r w:rsidRPr="004135FE">
        <w:rPr>
          <w:rFonts w:ascii="Times New Roman" w:hAnsi="Times New Roman" w:cs="Times New Roman"/>
          <w:bCs/>
          <w:sz w:val="28"/>
          <w:szCs w:val="28"/>
        </w:rPr>
        <w:t>- Посещаемость и виды обучающих школ для пациентов</w:t>
      </w:r>
    </w:p>
    <w:p w14:paraId="006141E2" w14:textId="77777777" w:rsidR="00056C34" w:rsidRPr="004135FE" w:rsidRDefault="00056C34" w:rsidP="004135FE">
      <w:pPr>
        <w:tabs>
          <w:tab w:val="center" w:pos="4176"/>
        </w:tabs>
        <w:autoSpaceDE w:val="0"/>
        <w:autoSpaceDN w:val="0"/>
        <w:adjustRightInd w:val="0"/>
        <w:spacing w:after="0" w:line="240" w:lineRule="auto"/>
        <w:jc w:val="both"/>
        <w:rPr>
          <w:rFonts w:ascii="Times New Roman" w:hAnsi="Times New Roman" w:cs="Times New Roman"/>
          <w:bCs/>
          <w:sz w:val="28"/>
          <w:szCs w:val="28"/>
        </w:rPr>
      </w:pPr>
    </w:p>
    <w:tbl>
      <w:tblPr>
        <w:tblStyle w:val="af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5"/>
        <w:gridCol w:w="1573"/>
        <w:gridCol w:w="1593"/>
        <w:gridCol w:w="1603"/>
      </w:tblGrid>
      <w:tr w:rsidR="007A2C38" w:rsidRPr="004135FE" w14:paraId="3B42CCE0" w14:textId="77777777" w:rsidTr="00A42E92">
        <w:tc>
          <w:tcPr>
            <w:tcW w:w="4928" w:type="dxa"/>
          </w:tcPr>
          <w:p w14:paraId="643C0D7E" w14:textId="682B7116" w:rsidR="007A2C38" w:rsidRPr="004135FE" w:rsidRDefault="009A20B2" w:rsidP="004135FE">
            <w:pPr>
              <w:tabs>
                <w:tab w:val="center" w:pos="3571"/>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Вариант</w:t>
            </w:r>
          </w:p>
        </w:tc>
        <w:tc>
          <w:tcPr>
            <w:tcW w:w="1701" w:type="dxa"/>
          </w:tcPr>
          <w:p w14:paraId="6EDE9769" w14:textId="77777777" w:rsidR="007A2C38" w:rsidRPr="004135FE" w:rsidRDefault="007A2C38" w:rsidP="00056C34">
            <w:pPr>
              <w:tabs>
                <w:tab w:val="center" w:pos="3571"/>
              </w:tabs>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Абс</w:t>
            </w:r>
          </w:p>
        </w:tc>
        <w:tc>
          <w:tcPr>
            <w:tcW w:w="1701" w:type="dxa"/>
          </w:tcPr>
          <w:p w14:paraId="6C6382AA" w14:textId="77777777" w:rsidR="007A2C38" w:rsidRPr="004135FE" w:rsidRDefault="007A2C38" w:rsidP="00056C34">
            <w:pPr>
              <w:tabs>
                <w:tab w:val="center" w:pos="3571"/>
              </w:tabs>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w:t>
            </w:r>
          </w:p>
        </w:tc>
        <w:tc>
          <w:tcPr>
            <w:tcW w:w="1701" w:type="dxa"/>
          </w:tcPr>
          <w:p w14:paraId="4098A6C6" w14:textId="77777777" w:rsidR="007A2C38" w:rsidRPr="004135FE" w:rsidRDefault="007A2C38" w:rsidP="00056C34">
            <w:pPr>
              <w:tabs>
                <w:tab w:val="center" w:pos="3571"/>
              </w:tabs>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ДИ</w:t>
            </w:r>
          </w:p>
        </w:tc>
      </w:tr>
      <w:tr w:rsidR="007A2C38" w:rsidRPr="004135FE" w14:paraId="3DE4A2FE" w14:textId="77777777" w:rsidTr="00A42E92">
        <w:tc>
          <w:tcPr>
            <w:tcW w:w="4928" w:type="dxa"/>
          </w:tcPr>
          <w:p w14:paraId="0CBA8A24"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Школа здорового образа жизни при поликлинике</w:t>
            </w:r>
          </w:p>
        </w:tc>
        <w:tc>
          <w:tcPr>
            <w:tcW w:w="1701" w:type="dxa"/>
          </w:tcPr>
          <w:p w14:paraId="6B52359B" w14:textId="77777777" w:rsidR="007A2C38" w:rsidRPr="004135FE" w:rsidRDefault="007A2C38" w:rsidP="00056C34">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106</w:t>
            </w:r>
          </w:p>
        </w:tc>
        <w:tc>
          <w:tcPr>
            <w:tcW w:w="1701" w:type="dxa"/>
          </w:tcPr>
          <w:p w14:paraId="4BDF73CB" w14:textId="77777777" w:rsidR="007A2C38" w:rsidRPr="004135FE" w:rsidRDefault="007A2C38" w:rsidP="00056C34">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22,1</w:t>
            </w:r>
          </w:p>
        </w:tc>
        <w:tc>
          <w:tcPr>
            <w:tcW w:w="1701" w:type="dxa"/>
          </w:tcPr>
          <w:p w14:paraId="566A0F95" w14:textId="77777777" w:rsidR="007A2C38" w:rsidRPr="004135FE" w:rsidRDefault="007A2C38" w:rsidP="00056C34">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20,42; 23,80</w:t>
            </w:r>
          </w:p>
        </w:tc>
      </w:tr>
      <w:tr w:rsidR="007A2C38" w:rsidRPr="004135FE" w14:paraId="13942913" w14:textId="77777777" w:rsidTr="00A42E92">
        <w:tc>
          <w:tcPr>
            <w:tcW w:w="4928" w:type="dxa"/>
          </w:tcPr>
          <w:p w14:paraId="074DB847"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Школу диабета при поликлинике</w:t>
            </w:r>
          </w:p>
        </w:tc>
        <w:tc>
          <w:tcPr>
            <w:tcW w:w="1701" w:type="dxa"/>
          </w:tcPr>
          <w:p w14:paraId="4BA332A4" w14:textId="77777777" w:rsidR="007A2C38" w:rsidRPr="004135FE" w:rsidRDefault="007A2C38" w:rsidP="00056C34">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74</w:t>
            </w:r>
          </w:p>
        </w:tc>
        <w:tc>
          <w:tcPr>
            <w:tcW w:w="1701" w:type="dxa"/>
          </w:tcPr>
          <w:p w14:paraId="4EDA95EB" w14:textId="77777777" w:rsidR="007A2C38" w:rsidRPr="004135FE" w:rsidRDefault="007A2C38" w:rsidP="00056C34">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15,4</w:t>
            </w:r>
          </w:p>
        </w:tc>
        <w:tc>
          <w:tcPr>
            <w:tcW w:w="1701" w:type="dxa"/>
          </w:tcPr>
          <w:p w14:paraId="32B63821" w14:textId="77777777" w:rsidR="007A2C38" w:rsidRPr="004135FE" w:rsidRDefault="007A2C38" w:rsidP="00056C34">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13,30; 17,52</w:t>
            </w:r>
          </w:p>
        </w:tc>
      </w:tr>
      <w:tr w:rsidR="007A2C38" w:rsidRPr="004135FE" w14:paraId="41DF1BB9" w14:textId="77777777" w:rsidTr="00A42E92">
        <w:tc>
          <w:tcPr>
            <w:tcW w:w="4928" w:type="dxa"/>
          </w:tcPr>
          <w:p w14:paraId="35F884A3"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Школу диабета городскую</w:t>
            </w:r>
          </w:p>
        </w:tc>
        <w:tc>
          <w:tcPr>
            <w:tcW w:w="1701" w:type="dxa"/>
          </w:tcPr>
          <w:p w14:paraId="1A0526AD" w14:textId="77777777" w:rsidR="007A2C38" w:rsidRPr="004135FE" w:rsidRDefault="007A2C38" w:rsidP="00056C34">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83</w:t>
            </w:r>
          </w:p>
        </w:tc>
        <w:tc>
          <w:tcPr>
            <w:tcW w:w="1701" w:type="dxa"/>
          </w:tcPr>
          <w:p w14:paraId="52A97CEF" w14:textId="77777777" w:rsidR="007A2C38" w:rsidRPr="004135FE" w:rsidRDefault="007A2C38" w:rsidP="00056C34">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17,3</w:t>
            </w:r>
          </w:p>
        </w:tc>
        <w:tc>
          <w:tcPr>
            <w:tcW w:w="1701" w:type="dxa"/>
          </w:tcPr>
          <w:p w14:paraId="4B2ABE9B" w14:textId="77777777" w:rsidR="007A2C38" w:rsidRPr="004135FE" w:rsidRDefault="007A2C38" w:rsidP="00056C34">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15,34; 19,28</w:t>
            </w:r>
          </w:p>
        </w:tc>
      </w:tr>
      <w:tr w:rsidR="007A2C38" w:rsidRPr="004135FE" w14:paraId="0C528F39" w14:textId="77777777" w:rsidTr="00A42E92">
        <w:tc>
          <w:tcPr>
            <w:tcW w:w="4928" w:type="dxa"/>
          </w:tcPr>
          <w:p w14:paraId="273752C3"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Школу диабета в стационаре при госпитализации</w:t>
            </w:r>
          </w:p>
        </w:tc>
        <w:tc>
          <w:tcPr>
            <w:tcW w:w="1701" w:type="dxa"/>
          </w:tcPr>
          <w:p w14:paraId="106ED26B" w14:textId="77777777" w:rsidR="007A2C38" w:rsidRPr="004135FE" w:rsidRDefault="007A2C38" w:rsidP="00056C34">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65</w:t>
            </w:r>
          </w:p>
        </w:tc>
        <w:tc>
          <w:tcPr>
            <w:tcW w:w="1701" w:type="dxa"/>
          </w:tcPr>
          <w:p w14:paraId="068B029B" w14:textId="77777777" w:rsidR="007A2C38" w:rsidRPr="004135FE" w:rsidRDefault="007A2C38" w:rsidP="00056C34">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13,5</w:t>
            </w:r>
          </w:p>
        </w:tc>
        <w:tc>
          <w:tcPr>
            <w:tcW w:w="1701" w:type="dxa"/>
          </w:tcPr>
          <w:p w14:paraId="1DEF9C79" w14:textId="77777777" w:rsidR="007A2C38" w:rsidRPr="004135FE" w:rsidRDefault="007A2C38" w:rsidP="00056C34">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11,24; 15,79</w:t>
            </w:r>
          </w:p>
        </w:tc>
      </w:tr>
      <w:tr w:rsidR="007A2C38" w:rsidRPr="004135FE" w14:paraId="0EBD638E" w14:textId="77777777" w:rsidTr="00A42E92">
        <w:tc>
          <w:tcPr>
            <w:tcW w:w="4928" w:type="dxa"/>
          </w:tcPr>
          <w:p w14:paraId="564D3933"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Школу диабета платно в частной клинике</w:t>
            </w:r>
          </w:p>
        </w:tc>
        <w:tc>
          <w:tcPr>
            <w:tcW w:w="1701" w:type="dxa"/>
          </w:tcPr>
          <w:p w14:paraId="6B983BE8" w14:textId="77777777" w:rsidR="007A2C38" w:rsidRPr="004135FE" w:rsidRDefault="007A2C38" w:rsidP="00056C34">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21</w:t>
            </w:r>
          </w:p>
        </w:tc>
        <w:tc>
          <w:tcPr>
            <w:tcW w:w="1701" w:type="dxa"/>
          </w:tcPr>
          <w:p w14:paraId="4A3F2014" w14:textId="77777777" w:rsidR="007A2C38" w:rsidRPr="004135FE" w:rsidRDefault="007A2C38" w:rsidP="00056C34">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4,4</w:t>
            </w:r>
          </w:p>
        </w:tc>
        <w:tc>
          <w:tcPr>
            <w:tcW w:w="1701" w:type="dxa"/>
          </w:tcPr>
          <w:p w14:paraId="72BE6F36" w14:textId="77777777" w:rsidR="007A2C38" w:rsidRPr="004135FE" w:rsidRDefault="007A2C38" w:rsidP="00056C34">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0,22; 8,67</w:t>
            </w:r>
          </w:p>
        </w:tc>
      </w:tr>
      <w:tr w:rsidR="007A2C38" w:rsidRPr="004135FE" w14:paraId="2868663C" w14:textId="77777777" w:rsidTr="00A42E92">
        <w:tc>
          <w:tcPr>
            <w:tcW w:w="4928" w:type="dxa"/>
          </w:tcPr>
          <w:p w14:paraId="12A0F8A9"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Не посещал(а) никогда</w:t>
            </w:r>
          </w:p>
        </w:tc>
        <w:tc>
          <w:tcPr>
            <w:tcW w:w="1701" w:type="dxa"/>
          </w:tcPr>
          <w:p w14:paraId="4470161B" w14:textId="77777777" w:rsidR="007A2C38" w:rsidRPr="004135FE" w:rsidRDefault="007A2C38" w:rsidP="00056C34">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131</w:t>
            </w:r>
          </w:p>
        </w:tc>
        <w:tc>
          <w:tcPr>
            <w:tcW w:w="1701" w:type="dxa"/>
          </w:tcPr>
          <w:p w14:paraId="1B0CD1D1" w14:textId="77777777" w:rsidR="007A2C38" w:rsidRPr="004135FE" w:rsidRDefault="007A2C38" w:rsidP="00056C34">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27,3</w:t>
            </w:r>
          </w:p>
        </w:tc>
        <w:tc>
          <w:tcPr>
            <w:tcW w:w="1701" w:type="dxa"/>
          </w:tcPr>
          <w:p w14:paraId="55DA07C1" w14:textId="77777777" w:rsidR="007A2C38" w:rsidRPr="004135FE" w:rsidRDefault="007A2C38" w:rsidP="00056C34">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25,84; 28,77</w:t>
            </w:r>
          </w:p>
        </w:tc>
      </w:tr>
      <w:tr w:rsidR="007A2C38" w:rsidRPr="004135FE" w14:paraId="2CAC5067" w14:textId="77777777" w:rsidTr="00A42E92">
        <w:tc>
          <w:tcPr>
            <w:tcW w:w="4928" w:type="dxa"/>
          </w:tcPr>
          <w:p w14:paraId="4826CD95" w14:textId="77777777" w:rsidR="007A2C38" w:rsidRPr="004135FE" w:rsidRDefault="007A2C38"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Итого</w:t>
            </w:r>
          </w:p>
        </w:tc>
        <w:tc>
          <w:tcPr>
            <w:tcW w:w="1701" w:type="dxa"/>
          </w:tcPr>
          <w:p w14:paraId="13A9B967" w14:textId="77777777" w:rsidR="007A2C38" w:rsidRPr="004135FE" w:rsidRDefault="007A2C38" w:rsidP="00056C34">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480</w:t>
            </w:r>
          </w:p>
        </w:tc>
        <w:tc>
          <w:tcPr>
            <w:tcW w:w="1701" w:type="dxa"/>
          </w:tcPr>
          <w:p w14:paraId="713A69F3" w14:textId="77777777" w:rsidR="007A2C38" w:rsidRPr="004135FE" w:rsidRDefault="007A2C38" w:rsidP="00056C34">
            <w:pPr>
              <w:autoSpaceDE w:val="0"/>
              <w:autoSpaceDN w:val="0"/>
              <w:adjustRightInd w:val="0"/>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100,0</w:t>
            </w:r>
          </w:p>
        </w:tc>
        <w:tc>
          <w:tcPr>
            <w:tcW w:w="1701" w:type="dxa"/>
          </w:tcPr>
          <w:p w14:paraId="68FF7EB2" w14:textId="76F85C0D" w:rsidR="007A2C38" w:rsidRPr="004135FE" w:rsidRDefault="009A20B2" w:rsidP="00056C34">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r>
    </w:tbl>
    <w:p w14:paraId="69953BCF" w14:textId="77777777" w:rsidR="007A2C38" w:rsidRPr="004135FE" w:rsidRDefault="007A2C38" w:rsidP="004135FE">
      <w:pPr>
        <w:tabs>
          <w:tab w:val="center" w:pos="3571"/>
        </w:tabs>
        <w:autoSpaceDE w:val="0"/>
        <w:autoSpaceDN w:val="0"/>
        <w:adjustRightInd w:val="0"/>
        <w:spacing w:after="0" w:line="240" w:lineRule="auto"/>
        <w:jc w:val="both"/>
        <w:rPr>
          <w:rFonts w:ascii="Times New Roman" w:hAnsi="Times New Roman" w:cs="Times New Roman"/>
          <w:sz w:val="28"/>
          <w:szCs w:val="28"/>
        </w:rPr>
      </w:pPr>
    </w:p>
    <w:p w14:paraId="1D245D7A" w14:textId="3C6E3598" w:rsidR="007A2C38" w:rsidRPr="004135FE" w:rsidRDefault="007A2C38" w:rsidP="004135FE">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Со слов 48,48% </w:t>
      </w:r>
      <w:bookmarkStart w:id="4" w:name="_Hlk59382575"/>
      <w:r w:rsidRPr="004135FE">
        <w:rPr>
          <w:rFonts w:ascii="Times New Roman" w:hAnsi="Times New Roman" w:cs="Times New Roman"/>
          <w:sz w:val="28"/>
          <w:szCs w:val="28"/>
        </w:rPr>
        <w:t xml:space="preserve">пациентов, посетивших ШД в этом году </w:t>
      </w:r>
      <w:bookmarkEnd w:id="4"/>
      <w:r w:rsidRPr="004135FE">
        <w:rPr>
          <w:rFonts w:ascii="Times New Roman" w:hAnsi="Times New Roman" w:cs="Times New Roman"/>
          <w:sz w:val="28"/>
          <w:szCs w:val="28"/>
        </w:rPr>
        <w:t xml:space="preserve">и 30,30% посетивших ШД в дебюте выявления диагноза СД2т- уровень глюкозы крови, гликолизированный гемоглобин временно улучшился. У 32,84% посетивших ШД в прошлом году показатели уровня глюкозы стабилизировались с улучшением. 41,46% посетили ШД, когда у них впервые был выявлен диагноз СД2т и уровень глюкозы крови, гликолизированный гемоглобин не изменился, а 40,91% - пациентов не контролировали показатели из-за отсутствия глюкометра. 33,96% - пациентов, не посетивших никогда ШД не контролировали показатели даже при наличии глюкометра, хотя было рекомендовано медперсоналом (χ2=417,248a, df=20, p=0,0001). </w:t>
      </w:r>
    </w:p>
    <w:p w14:paraId="1722CCAB" w14:textId="77777777" w:rsidR="007A2C38" w:rsidRPr="004135FE" w:rsidRDefault="007A2C38" w:rsidP="004135FE">
      <w:pPr>
        <w:tabs>
          <w:tab w:val="center" w:pos="7056"/>
        </w:tabs>
        <w:autoSpaceDE w:val="0"/>
        <w:autoSpaceDN w:val="0"/>
        <w:adjustRightInd w:val="0"/>
        <w:spacing w:after="0" w:line="240" w:lineRule="auto"/>
        <w:jc w:val="both"/>
        <w:rPr>
          <w:rFonts w:ascii="Times New Roman" w:hAnsi="Times New Roman" w:cs="Times New Roman"/>
          <w:b/>
          <w:bCs/>
          <w:sz w:val="28"/>
          <w:szCs w:val="28"/>
        </w:rPr>
      </w:pPr>
    </w:p>
    <w:p w14:paraId="2D126A34" w14:textId="6B0AD58B" w:rsidR="007A2C38" w:rsidRDefault="007A2C38" w:rsidP="004135FE">
      <w:pPr>
        <w:tabs>
          <w:tab w:val="center" w:pos="7056"/>
        </w:tabs>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bCs/>
          <w:sz w:val="28"/>
          <w:szCs w:val="28"/>
        </w:rPr>
        <w:t>Таблица 5</w:t>
      </w:r>
      <w:r w:rsidR="00B728EF" w:rsidRPr="004135FE">
        <w:rPr>
          <w:rFonts w:ascii="Times New Roman" w:hAnsi="Times New Roman" w:cs="Times New Roman"/>
          <w:bCs/>
          <w:sz w:val="28"/>
          <w:szCs w:val="28"/>
        </w:rPr>
        <w:t>1</w:t>
      </w:r>
      <w:r w:rsidRPr="004135FE">
        <w:rPr>
          <w:rFonts w:ascii="Times New Roman" w:hAnsi="Times New Roman" w:cs="Times New Roman"/>
          <w:bCs/>
          <w:sz w:val="28"/>
          <w:szCs w:val="28"/>
        </w:rPr>
        <w:t xml:space="preserve">- Период последнего посещения Школы диабета и динамика уровня глюкозы </w:t>
      </w:r>
      <w:r w:rsidRPr="004135FE">
        <w:rPr>
          <w:rFonts w:ascii="Times New Roman" w:hAnsi="Times New Roman" w:cs="Times New Roman"/>
          <w:sz w:val="28"/>
          <w:szCs w:val="28"/>
        </w:rPr>
        <w:t xml:space="preserve">крови, гликолизированного гемоглобина после обучения </w:t>
      </w:r>
    </w:p>
    <w:p w14:paraId="19AF20B9" w14:textId="77777777" w:rsidR="00056C34" w:rsidRPr="004135FE" w:rsidRDefault="00056C34" w:rsidP="004135FE">
      <w:pPr>
        <w:tabs>
          <w:tab w:val="center" w:pos="7056"/>
        </w:tabs>
        <w:autoSpaceDE w:val="0"/>
        <w:autoSpaceDN w:val="0"/>
        <w:adjustRightInd w:val="0"/>
        <w:spacing w:after="0" w:line="240" w:lineRule="auto"/>
        <w:jc w:val="both"/>
        <w:rPr>
          <w:rFonts w:ascii="Times New Roman" w:hAnsi="Times New Roman" w:cs="Times New Roman"/>
          <w:sz w:val="28"/>
          <w:szCs w:val="28"/>
        </w:rPr>
      </w:pPr>
    </w:p>
    <w:tbl>
      <w:tblPr>
        <w:tblStyle w:val="af9"/>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9"/>
        <w:gridCol w:w="794"/>
        <w:gridCol w:w="1106"/>
        <w:gridCol w:w="28"/>
        <w:gridCol w:w="1134"/>
        <w:gridCol w:w="33"/>
        <w:gridCol w:w="1243"/>
        <w:gridCol w:w="1134"/>
        <w:gridCol w:w="1418"/>
        <w:gridCol w:w="985"/>
      </w:tblGrid>
      <w:tr w:rsidR="007A2C38" w:rsidRPr="009A20B2" w14:paraId="0A29920C" w14:textId="77777777" w:rsidTr="009A20B2">
        <w:trPr>
          <w:trHeight w:val="1018"/>
        </w:trPr>
        <w:tc>
          <w:tcPr>
            <w:tcW w:w="1469" w:type="dxa"/>
          </w:tcPr>
          <w:p w14:paraId="36811B91" w14:textId="77777777" w:rsidR="007A2C38" w:rsidRPr="009A20B2" w:rsidRDefault="007A2C38" w:rsidP="004135FE">
            <w:pPr>
              <w:tabs>
                <w:tab w:val="center" w:pos="7056"/>
              </w:tabs>
              <w:autoSpaceDE w:val="0"/>
              <w:autoSpaceDN w:val="0"/>
              <w:adjustRightInd w:val="0"/>
              <w:spacing w:after="0" w:line="240" w:lineRule="auto"/>
              <w:jc w:val="both"/>
              <w:rPr>
                <w:rFonts w:ascii="Times New Roman" w:hAnsi="Times New Roman" w:cs="Times New Roman"/>
                <w:sz w:val="24"/>
                <w:szCs w:val="24"/>
              </w:rPr>
            </w:pPr>
            <w:r w:rsidRPr="009A20B2">
              <w:rPr>
                <w:rFonts w:ascii="Times New Roman" w:hAnsi="Times New Roman" w:cs="Times New Roman"/>
                <w:sz w:val="24"/>
                <w:szCs w:val="24"/>
              </w:rPr>
              <w:t xml:space="preserve">Варианты </w:t>
            </w:r>
          </w:p>
        </w:tc>
        <w:tc>
          <w:tcPr>
            <w:tcW w:w="794" w:type="dxa"/>
          </w:tcPr>
          <w:p w14:paraId="120B58E1" w14:textId="77777777" w:rsidR="007A2C38" w:rsidRPr="009A20B2" w:rsidRDefault="007A2C38" w:rsidP="004135FE">
            <w:pPr>
              <w:autoSpaceDE w:val="0"/>
              <w:autoSpaceDN w:val="0"/>
              <w:adjustRightInd w:val="0"/>
              <w:spacing w:after="0" w:line="240" w:lineRule="auto"/>
              <w:jc w:val="both"/>
              <w:rPr>
                <w:rFonts w:ascii="Times New Roman" w:hAnsi="Times New Roman" w:cs="Times New Roman"/>
                <w:sz w:val="24"/>
                <w:szCs w:val="24"/>
              </w:rPr>
            </w:pPr>
            <w:r w:rsidRPr="009A20B2">
              <w:rPr>
                <w:rFonts w:ascii="Times New Roman" w:hAnsi="Times New Roman" w:cs="Times New Roman"/>
                <w:sz w:val="24"/>
                <w:szCs w:val="24"/>
              </w:rPr>
              <w:t>Не посещал(а)</w:t>
            </w:r>
          </w:p>
        </w:tc>
        <w:tc>
          <w:tcPr>
            <w:tcW w:w="1106" w:type="dxa"/>
          </w:tcPr>
          <w:p w14:paraId="585D62FD" w14:textId="77777777" w:rsidR="007A2C38" w:rsidRPr="009A20B2" w:rsidRDefault="007A2C38" w:rsidP="004135FE">
            <w:pPr>
              <w:autoSpaceDE w:val="0"/>
              <w:autoSpaceDN w:val="0"/>
              <w:adjustRightInd w:val="0"/>
              <w:spacing w:after="0" w:line="240" w:lineRule="auto"/>
              <w:jc w:val="both"/>
              <w:rPr>
                <w:rFonts w:ascii="Times New Roman" w:hAnsi="Times New Roman" w:cs="Times New Roman"/>
                <w:sz w:val="24"/>
                <w:szCs w:val="24"/>
              </w:rPr>
            </w:pPr>
            <w:r w:rsidRPr="009A20B2">
              <w:rPr>
                <w:rFonts w:ascii="Times New Roman" w:hAnsi="Times New Roman" w:cs="Times New Roman"/>
                <w:sz w:val="24"/>
                <w:szCs w:val="24"/>
              </w:rPr>
              <w:t>Улучшение временное</w:t>
            </w:r>
          </w:p>
        </w:tc>
        <w:tc>
          <w:tcPr>
            <w:tcW w:w="1195" w:type="dxa"/>
            <w:gridSpan w:val="3"/>
          </w:tcPr>
          <w:p w14:paraId="11AB670B" w14:textId="77777777" w:rsidR="007A2C38" w:rsidRPr="009A20B2" w:rsidRDefault="007A2C38" w:rsidP="004135FE">
            <w:pPr>
              <w:autoSpaceDE w:val="0"/>
              <w:autoSpaceDN w:val="0"/>
              <w:adjustRightInd w:val="0"/>
              <w:spacing w:after="0" w:line="240" w:lineRule="auto"/>
              <w:jc w:val="both"/>
              <w:rPr>
                <w:rFonts w:ascii="Times New Roman" w:hAnsi="Times New Roman" w:cs="Times New Roman"/>
                <w:sz w:val="24"/>
                <w:szCs w:val="24"/>
              </w:rPr>
            </w:pPr>
            <w:r w:rsidRPr="009A20B2">
              <w:rPr>
                <w:rFonts w:ascii="Times New Roman" w:hAnsi="Times New Roman" w:cs="Times New Roman"/>
                <w:sz w:val="24"/>
                <w:szCs w:val="24"/>
              </w:rPr>
              <w:t>Улучшение стабильное</w:t>
            </w:r>
          </w:p>
        </w:tc>
        <w:tc>
          <w:tcPr>
            <w:tcW w:w="1243" w:type="dxa"/>
          </w:tcPr>
          <w:p w14:paraId="779CD062" w14:textId="77777777" w:rsidR="007A2C38" w:rsidRPr="009A20B2" w:rsidRDefault="007A2C38" w:rsidP="004135FE">
            <w:pPr>
              <w:autoSpaceDE w:val="0"/>
              <w:autoSpaceDN w:val="0"/>
              <w:adjustRightInd w:val="0"/>
              <w:spacing w:after="0" w:line="240" w:lineRule="auto"/>
              <w:jc w:val="both"/>
              <w:rPr>
                <w:rFonts w:ascii="Times New Roman" w:hAnsi="Times New Roman" w:cs="Times New Roman"/>
                <w:sz w:val="24"/>
                <w:szCs w:val="24"/>
              </w:rPr>
            </w:pPr>
            <w:r w:rsidRPr="009A20B2">
              <w:rPr>
                <w:rFonts w:ascii="Times New Roman" w:hAnsi="Times New Roman" w:cs="Times New Roman"/>
                <w:sz w:val="24"/>
                <w:szCs w:val="24"/>
              </w:rPr>
              <w:t>Нет изменении</w:t>
            </w:r>
          </w:p>
        </w:tc>
        <w:tc>
          <w:tcPr>
            <w:tcW w:w="1134" w:type="dxa"/>
          </w:tcPr>
          <w:p w14:paraId="55F33311" w14:textId="77777777" w:rsidR="007A2C38" w:rsidRPr="009A20B2" w:rsidRDefault="007A2C38" w:rsidP="004135FE">
            <w:pPr>
              <w:autoSpaceDE w:val="0"/>
              <w:autoSpaceDN w:val="0"/>
              <w:adjustRightInd w:val="0"/>
              <w:spacing w:after="0" w:line="240" w:lineRule="auto"/>
              <w:jc w:val="both"/>
              <w:rPr>
                <w:rFonts w:ascii="Times New Roman" w:hAnsi="Times New Roman" w:cs="Times New Roman"/>
                <w:sz w:val="24"/>
                <w:szCs w:val="24"/>
              </w:rPr>
            </w:pPr>
            <w:r w:rsidRPr="009A20B2">
              <w:rPr>
                <w:rFonts w:ascii="Times New Roman" w:hAnsi="Times New Roman" w:cs="Times New Roman"/>
                <w:sz w:val="24"/>
                <w:szCs w:val="24"/>
              </w:rPr>
              <w:t>Не контр-л(а), нет глюкометра</w:t>
            </w:r>
          </w:p>
        </w:tc>
        <w:tc>
          <w:tcPr>
            <w:tcW w:w="1418" w:type="dxa"/>
          </w:tcPr>
          <w:p w14:paraId="6DFAE991" w14:textId="77777777" w:rsidR="007A2C38" w:rsidRPr="009A20B2" w:rsidRDefault="007A2C38" w:rsidP="004135FE">
            <w:pPr>
              <w:autoSpaceDE w:val="0"/>
              <w:autoSpaceDN w:val="0"/>
              <w:adjustRightInd w:val="0"/>
              <w:spacing w:after="0" w:line="240" w:lineRule="auto"/>
              <w:jc w:val="both"/>
              <w:rPr>
                <w:rFonts w:ascii="Times New Roman" w:hAnsi="Times New Roman" w:cs="Times New Roman"/>
                <w:sz w:val="24"/>
                <w:szCs w:val="24"/>
              </w:rPr>
            </w:pPr>
            <w:r w:rsidRPr="009A20B2">
              <w:rPr>
                <w:rFonts w:ascii="Times New Roman" w:hAnsi="Times New Roman" w:cs="Times New Roman"/>
                <w:sz w:val="24"/>
                <w:szCs w:val="24"/>
              </w:rPr>
              <w:t>Не контр-л(а), есть глюкометр</w:t>
            </w:r>
          </w:p>
        </w:tc>
        <w:tc>
          <w:tcPr>
            <w:tcW w:w="985" w:type="dxa"/>
          </w:tcPr>
          <w:p w14:paraId="4DDF4A13" w14:textId="77777777" w:rsidR="007A2C38" w:rsidRPr="009A20B2" w:rsidRDefault="007A2C38" w:rsidP="004135FE">
            <w:pPr>
              <w:spacing w:after="0" w:line="240" w:lineRule="auto"/>
              <w:rPr>
                <w:rFonts w:ascii="Times New Roman" w:eastAsia="Times New Roman" w:hAnsi="Times New Roman" w:cs="Times New Roman"/>
                <w:sz w:val="24"/>
                <w:szCs w:val="24"/>
              </w:rPr>
            </w:pPr>
            <w:r w:rsidRPr="009A20B2">
              <w:rPr>
                <w:rFonts w:ascii="Times New Roman" w:eastAsia="Times New Roman" w:hAnsi="Times New Roman" w:cs="Times New Roman"/>
                <w:sz w:val="24"/>
                <w:szCs w:val="24"/>
              </w:rPr>
              <w:t xml:space="preserve">Всего </w:t>
            </w:r>
          </w:p>
        </w:tc>
      </w:tr>
      <w:tr w:rsidR="007A2C38" w:rsidRPr="009A20B2" w14:paraId="08DF14B2" w14:textId="77777777" w:rsidTr="00B270B3">
        <w:trPr>
          <w:trHeight w:val="334"/>
        </w:trPr>
        <w:tc>
          <w:tcPr>
            <w:tcW w:w="1469" w:type="dxa"/>
            <w:tcBorders>
              <w:bottom w:val="single" w:sz="4" w:space="0" w:color="auto"/>
            </w:tcBorders>
          </w:tcPr>
          <w:p w14:paraId="77D49359" w14:textId="77777777" w:rsidR="007A2C38" w:rsidRPr="009A20B2" w:rsidRDefault="007A2C38" w:rsidP="00056C34">
            <w:pPr>
              <w:autoSpaceDE w:val="0"/>
              <w:autoSpaceDN w:val="0"/>
              <w:adjustRightInd w:val="0"/>
              <w:spacing w:after="0" w:line="240" w:lineRule="auto"/>
              <w:jc w:val="center"/>
              <w:rPr>
                <w:rFonts w:ascii="Times New Roman" w:hAnsi="Times New Roman" w:cs="Times New Roman"/>
                <w:sz w:val="24"/>
                <w:szCs w:val="24"/>
              </w:rPr>
            </w:pPr>
            <w:r w:rsidRPr="009A20B2">
              <w:rPr>
                <w:rFonts w:ascii="Times New Roman" w:hAnsi="Times New Roman" w:cs="Times New Roman"/>
                <w:sz w:val="24"/>
                <w:szCs w:val="24"/>
              </w:rPr>
              <w:t>В этом году</w:t>
            </w:r>
          </w:p>
        </w:tc>
        <w:tc>
          <w:tcPr>
            <w:tcW w:w="794" w:type="dxa"/>
            <w:tcBorders>
              <w:bottom w:val="single" w:sz="4" w:space="0" w:color="auto"/>
            </w:tcBorders>
          </w:tcPr>
          <w:p w14:paraId="3125B7FE" w14:textId="77777777" w:rsidR="007A2C38" w:rsidRPr="009A20B2" w:rsidRDefault="007A2C38" w:rsidP="00B270B3">
            <w:pPr>
              <w:spacing w:after="0" w:line="240" w:lineRule="auto"/>
              <w:jc w:val="center"/>
              <w:rPr>
                <w:rFonts w:ascii="Times New Roman" w:eastAsia="Times New Roman" w:hAnsi="Times New Roman" w:cs="Times New Roman"/>
                <w:sz w:val="24"/>
                <w:szCs w:val="24"/>
              </w:rPr>
            </w:pPr>
            <w:r w:rsidRPr="009A20B2">
              <w:rPr>
                <w:rFonts w:ascii="Times New Roman" w:eastAsia="Times New Roman" w:hAnsi="Times New Roman" w:cs="Times New Roman"/>
                <w:color w:val="000000"/>
                <w:sz w:val="24"/>
                <w:szCs w:val="24"/>
              </w:rPr>
              <w:t>0</w:t>
            </w:r>
          </w:p>
        </w:tc>
        <w:tc>
          <w:tcPr>
            <w:tcW w:w="1106" w:type="dxa"/>
            <w:tcBorders>
              <w:bottom w:val="single" w:sz="4" w:space="0" w:color="auto"/>
            </w:tcBorders>
          </w:tcPr>
          <w:p w14:paraId="0F104C17"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64(48,48%)</w:t>
            </w:r>
          </w:p>
        </w:tc>
        <w:tc>
          <w:tcPr>
            <w:tcW w:w="1195" w:type="dxa"/>
            <w:gridSpan w:val="3"/>
            <w:tcBorders>
              <w:bottom w:val="single" w:sz="4" w:space="0" w:color="auto"/>
            </w:tcBorders>
          </w:tcPr>
          <w:p w14:paraId="7F43C666"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39(29,10%)</w:t>
            </w:r>
          </w:p>
        </w:tc>
        <w:tc>
          <w:tcPr>
            <w:tcW w:w="1243" w:type="dxa"/>
            <w:tcBorders>
              <w:bottom w:val="single" w:sz="4" w:space="0" w:color="auto"/>
            </w:tcBorders>
          </w:tcPr>
          <w:p w14:paraId="661F3229"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10(24,39%)</w:t>
            </w:r>
          </w:p>
        </w:tc>
        <w:tc>
          <w:tcPr>
            <w:tcW w:w="1134" w:type="dxa"/>
            <w:tcBorders>
              <w:bottom w:val="single" w:sz="4" w:space="0" w:color="auto"/>
            </w:tcBorders>
          </w:tcPr>
          <w:p w14:paraId="55D43984"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0</w:t>
            </w:r>
          </w:p>
        </w:tc>
        <w:tc>
          <w:tcPr>
            <w:tcW w:w="1418" w:type="dxa"/>
            <w:tcBorders>
              <w:bottom w:val="single" w:sz="4" w:space="0" w:color="auto"/>
            </w:tcBorders>
          </w:tcPr>
          <w:p w14:paraId="49AF6900"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2(3,77%)</w:t>
            </w:r>
          </w:p>
        </w:tc>
        <w:tc>
          <w:tcPr>
            <w:tcW w:w="985" w:type="dxa"/>
            <w:tcBorders>
              <w:bottom w:val="single" w:sz="4" w:space="0" w:color="auto"/>
            </w:tcBorders>
          </w:tcPr>
          <w:p w14:paraId="695BFBFD"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115(23,96%)</w:t>
            </w:r>
          </w:p>
        </w:tc>
      </w:tr>
      <w:tr w:rsidR="007A2C38" w:rsidRPr="009A20B2" w14:paraId="0B773019" w14:textId="77777777" w:rsidTr="00B270B3">
        <w:trPr>
          <w:trHeight w:val="684"/>
        </w:trPr>
        <w:tc>
          <w:tcPr>
            <w:tcW w:w="1469" w:type="dxa"/>
            <w:tcBorders>
              <w:bottom w:val="nil"/>
            </w:tcBorders>
          </w:tcPr>
          <w:p w14:paraId="7129A6D6" w14:textId="77777777" w:rsidR="007A2C38" w:rsidRPr="009A20B2" w:rsidRDefault="007A2C38" w:rsidP="00056C34">
            <w:pPr>
              <w:autoSpaceDE w:val="0"/>
              <w:autoSpaceDN w:val="0"/>
              <w:adjustRightInd w:val="0"/>
              <w:spacing w:after="0" w:line="240" w:lineRule="auto"/>
              <w:jc w:val="center"/>
              <w:rPr>
                <w:rFonts w:ascii="Times New Roman" w:hAnsi="Times New Roman" w:cs="Times New Roman"/>
                <w:sz w:val="24"/>
                <w:szCs w:val="24"/>
              </w:rPr>
            </w:pPr>
            <w:r w:rsidRPr="009A20B2">
              <w:rPr>
                <w:rFonts w:ascii="Times New Roman" w:hAnsi="Times New Roman" w:cs="Times New Roman"/>
                <w:sz w:val="24"/>
                <w:szCs w:val="24"/>
              </w:rPr>
              <w:t>В прошлом году</w:t>
            </w:r>
          </w:p>
        </w:tc>
        <w:tc>
          <w:tcPr>
            <w:tcW w:w="794" w:type="dxa"/>
            <w:tcBorders>
              <w:bottom w:val="nil"/>
            </w:tcBorders>
          </w:tcPr>
          <w:p w14:paraId="65F24618"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0</w:t>
            </w:r>
          </w:p>
        </w:tc>
        <w:tc>
          <w:tcPr>
            <w:tcW w:w="1106" w:type="dxa"/>
            <w:tcBorders>
              <w:bottom w:val="nil"/>
            </w:tcBorders>
          </w:tcPr>
          <w:p w14:paraId="1A77E55B"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26(19,70%)</w:t>
            </w:r>
          </w:p>
        </w:tc>
        <w:tc>
          <w:tcPr>
            <w:tcW w:w="1195" w:type="dxa"/>
            <w:gridSpan w:val="3"/>
            <w:tcBorders>
              <w:bottom w:val="nil"/>
            </w:tcBorders>
          </w:tcPr>
          <w:p w14:paraId="04A69759"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44(32,84%)</w:t>
            </w:r>
          </w:p>
        </w:tc>
        <w:tc>
          <w:tcPr>
            <w:tcW w:w="1243" w:type="dxa"/>
            <w:tcBorders>
              <w:bottom w:val="nil"/>
            </w:tcBorders>
          </w:tcPr>
          <w:p w14:paraId="0608E928"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8(19,51%)</w:t>
            </w:r>
          </w:p>
        </w:tc>
        <w:tc>
          <w:tcPr>
            <w:tcW w:w="1134" w:type="dxa"/>
            <w:tcBorders>
              <w:bottom w:val="nil"/>
            </w:tcBorders>
          </w:tcPr>
          <w:p w14:paraId="1EE5635F"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7(31,82%)</w:t>
            </w:r>
          </w:p>
        </w:tc>
        <w:tc>
          <w:tcPr>
            <w:tcW w:w="1418" w:type="dxa"/>
            <w:tcBorders>
              <w:bottom w:val="nil"/>
            </w:tcBorders>
          </w:tcPr>
          <w:p w14:paraId="6122040F"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7(13,21%)</w:t>
            </w:r>
          </w:p>
        </w:tc>
        <w:tc>
          <w:tcPr>
            <w:tcW w:w="985" w:type="dxa"/>
            <w:tcBorders>
              <w:bottom w:val="nil"/>
            </w:tcBorders>
          </w:tcPr>
          <w:p w14:paraId="71029767"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92(19,17%)</w:t>
            </w:r>
          </w:p>
        </w:tc>
      </w:tr>
      <w:tr w:rsidR="007A2C38" w:rsidRPr="009A20B2" w14:paraId="312D51D1" w14:textId="77777777" w:rsidTr="00B270B3">
        <w:trPr>
          <w:trHeight w:val="1018"/>
        </w:trPr>
        <w:tc>
          <w:tcPr>
            <w:tcW w:w="1469" w:type="dxa"/>
          </w:tcPr>
          <w:p w14:paraId="767CF549" w14:textId="77777777" w:rsidR="007A2C38" w:rsidRPr="009A20B2" w:rsidRDefault="007A2C38" w:rsidP="004135FE">
            <w:pPr>
              <w:autoSpaceDE w:val="0"/>
              <w:autoSpaceDN w:val="0"/>
              <w:adjustRightInd w:val="0"/>
              <w:spacing w:after="0" w:line="240" w:lineRule="auto"/>
              <w:jc w:val="both"/>
              <w:rPr>
                <w:rFonts w:ascii="Times New Roman" w:hAnsi="Times New Roman" w:cs="Times New Roman"/>
                <w:sz w:val="24"/>
                <w:szCs w:val="24"/>
              </w:rPr>
            </w:pPr>
            <w:r w:rsidRPr="009A20B2">
              <w:rPr>
                <w:rFonts w:ascii="Times New Roman" w:hAnsi="Times New Roman" w:cs="Times New Roman"/>
                <w:sz w:val="24"/>
                <w:szCs w:val="24"/>
              </w:rPr>
              <w:t>Когда впервые выявили диагноз</w:t>
            </w:r>
          </w:p>
        </w:tc>
        <w:tc>
          <w:tcPr>
            <w:tcW w:w="794" w:type="dxa"/>
          </w:tcPr>
          <w:p w14:paraId="32DAF94A"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0</w:t>
            </w:r>
          </w:p>
        </w:tc>
        <w:tc>
          <w:tcPr>
            <w:tcW w:w="1134" w:type="dxa"/>
            <w:gridSpan w:val="2"/>
          </w:tcPr>
          <w:p w14:paraId="159A6AD2"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40(30,30%)</w:t>
            </w:r>
          </w:p>
        </w:tc>
        <w:tc>
          <w:tcPr>
            <w:tcW w:w="1134" w:type="dxa"/>
          </w:tcPr>
          <w:p w14:paraId="6000B315"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46(34,33%)</w:t>
            </w:r>
          </w:p>
        </w:tc>
        <w:tc>
          <w:tcPr>
            <w:tcW w:w="1276" w:type="dxa"/>
            <w:gridSpan w:val="2"/>
          </w:tcPr>
          <w:p w14:paraId="15E320B2"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17(41,46%)</w:t>
            </w:r>
          </w:p>
        </w:tc>
        <w:tc>
          <w:tcPr>
            <w:tcW w:w="1134" w:type="dxa"/>
          </w:tcPr>
          <w:p w14:paraId="456A0E00"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9(40,91%)</w:t>
            </w:r>
          </w:p>
        </w:tc>
        <w:tc>
          <w:tcPr>
            <w:tcW w:w="1418" w:type="dxa"/>
          </w:tcPr>
          <w:p w14:paraId="10A7FED4"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19(35,85%)</w:t>
            </w:r>
          </w:p>
        </w:tc>
        <w:tc>
          <w:tcPr>
            <w:tcW w:w="985" w:type="dxa"/>
          </w:tcPr>
          <w:p w14:paraId="17E7C2EA"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131(27,29%)</w:t>
            </w:r>
          </w:p>
        </w:tc>
      </w:tr>
      <w:tr w:rsidR="007A2C38" w:rsidRPr="009A20B2" w14:paraId="5A2789E1" w14:textId="77777777" w:rsidTr="00B270B3">
        <w:trPr>
          <w:trHeight w:val="1703"/>
        </w:trPr>
        <w:tc>
          <w:tcPr>
            <w:tcW w:w="1469" w:type="dxa"/>
          </w:tcPr>
          <w:p w14:paraId="32A88B5B" w14:textId="637FB2C8" w:rsidR="007A2C38" w:rsidRPr="009A20B2" w:rsidRDefault="007A2C38" w:rsidP="004135FE">
            <w:pPr>
              <w:autoSpaceDE w:val="0"/>
              <w:autoSpaceDN w:val="0"/>
              <w:adjustRightInd w:val="0"/>
              <w:spacing w:after="0" w:line="240" w:lineRule="auto"/>
              <w:jc w:val="both"/>
              <w:rPr>
                <w:rFonts w:ascii="Times New Roman" w:hAnsi="Times New Roman" w:cs="Times New Roman"/>
                <w:sz w:val="24"/>
                <w:szCs w:val="24"/>
              </w:rPr>
            </w:pPr>
            <w:r w:rsidRPr="009A20B2">
              <w:rPr>
                <w:rFonts w:ascii="Times New Roman" w:hAnsi="Times New Roman" w:cs="Times New Roman"/>
                <w:sz w:val="24"/>
                <w:szCs w:val="24"/>
              </w:rPr>
              <w:t>Не посещал</w:t>
            </w:r>
            <w:r w:rsidR="00056C34" w:rsidRPr="009A20B2">
              <w:rPr>
                <w:rFonts w:ascii="Times New Roman" w:hAnsi="Times New Roman" w:cs="Times New Roman"/>
                <w:sz w:val="24"/>
                <w:szCs w:val="24"/>
              </w:rPr>
              <w:t xml:space="preserve"> </w:t>
            </w:r>
            <w:r w:rsidRPr="009A20B2">
              <w:rPr>
                <w:rFonts w:ascii="Times New Roman" w:hAnsi="Times New Roman" w:cs="Times New Roman"/>
                <w:sz w:val="24"/>
                <w:szCs w:val="24"/>
              </w:rPr>
              <w:t>(а) никогда, хотя было рекомендовано медперсоналом</w:t>
            </w:r>
          </w:p>
        </w:tc>
        <w:tc>
          <w:tcPr>
            <w:tcW w:w="794" w:type="dxa"/>
          </w:tcPr>
          <w:p w14:paraId="06F6E007"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31(31,63%)</w:t>
            </w:r>
          </w:p>
        </w:tc>
        <w:tc>
          <w:tcPr>
            <w:tcW w:w="1134" w:type="dxa"/>
            <w:gridSpan w:val="2"/>
          </w:tcPr>
          <w:p w14:paraId="47FD2856"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2(1,52%)</w:t>
            </w:r>
          </w:p>
        </w:tc>
        <w:tc>
          <w:tcPr>
            <w:tcW w:w="1134" w:type="dxa"/>
          </w:tcPr>
          <w:p w14:paraId="56014322"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4(2,99%)</w:t>
            </w:r>
          </w:p>
        </w:tc>
        <w:tc>
          <w:tcPr>
            <w:tcW w:w="1276" w:type="dxa"/>
            <w:gridSpan w:val="2"/>
          </w:tcPr>
          <w:p w14:paraId="09794BAB"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4(9,76%)</w:t>
            </w:r>
          </w:p>
        </w:tc>
        <w:tc>
          <w:tcPr>
            <w:tcW w:w="1134" w:type="dxa"/>
          </w:tcPr>
          <w:p w14:paraId="0D588A35"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4(18,18%)</w:t>
            </w:r>
          </w:p>
        </w:tc>
        <w:tc>
          <w:tcPr>
            <w:tcW w:w="1418" w:type="dxa"/>
          </w:tcPr>
          <w:p w14:paraId="18BAD7BE"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18(33,96%)</w:t>
            </w:r>
          </w:p>
        </w:tc>
        <w:tc>
          <w:tcPr>
            <w:tcW w:w="985" w:type="dxa"/>
          </w:tcPr>
          <w:p w14:paraId="52F3483F"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63(13,13%)</w:t>
            </w:r>
          </w:p>
        </w:tc>
      </w:tr>
      <w:tr w:rsidR="007A2C38" w:rsidRPr="009A20B2" w14:paraId="4B4B9866" w14:textId="77777777" w:rsidTr="00B270B3">
        <w:trPr>
          <w:trHeight w:val="1703"/>
        </w:trPr>
        <w:tc>
          <w:tcPr>
            <w:tcW w:w="1469" w:type="dxa"/>
          </w:tcPr>
          <w:p w14:paraId="39E15348" w14:textId="77777777" w:rsidR="007A2C38" w:rsidRPr="009A20B2" w:rsidRDefault="007A2C38" w:rsidP="004135FE">
            <w:pPr>
              <w:autoSpaceDE w:val="0"/>
              <w:autoSpaceDN w:val="0"/>
              <w:adjustRightInd w:val="0"/>
              <w:spacing w:after="0" w:line="240" w:lineRule="auto"/>
              <w:jc w:val="both"/>
              <w:rPr>
                <w:rFonts w:ascii="Times New Roman" w:hAnsi="Times New Roman" w:cs="Times New Roman"/>
                <w:sz w:val="24"/>
                <w:szCs w:val="24"/>
              </w:rPr>
            </w:pPr>
            <w:r w:rsidRPr="009A20B2">
              <w:rPr>
                <w:rFonts w:ascii="Times New Roman" w:hAnsi="Times New Roman" w:cs="Times New Roman"/>
                <w:sz w:val="24"/>
                <w:szCs w:val="24"/>
              </w:rPr>
              <w:t>Не знаю о школе диабета, не было рекомендовано медперсоналом</w:t>
            </w:r>
          </w:p>
        </w:tc>
        <w:tc>
          <w:tcPr>
            <w:tcW w:w="794" w:type="dxa"/>
          </w:tcPr>
          <w:p w14:paraId="1444C321" w14:textId="15DBF513"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67</w:t>
            </w:r>
            <w:r w:rsidR="00B270B3">
              <w:rPr>
                <w:rFonts w:ascii="Times New Roman" w:eastAsia="Times New Roman" w:hAnsi="Times New Roman" w:cs="Times New Roman"/>
                <w:color w:val="000000"/>
                <w:sz w:val="24"/>
                <w:szCs w:val="24"/>
              </w:rPr>
              <w:t xml:space="preserve"> </w:t>
            </w:r>
            <w:r w:rsidRPr="009A20B2">
              <w:rPr>
                <w:rFonts w:ascii="Times New Roman" w:eastAsia="Times New Roman" w:hAnsi="Times New Roman" w:cs="Times New Roman"/>
                <w:color w:val="000000"/>
                <w:sz w:val="24"/>
                <w:szCs w:val="24"/>
              </w:rPr>
              <w:t>(68,37%)</w:t>
            </w:r>
          </w:p>
        </w:tc>
        <w:tc>
          <w:tcPr>
            <w:tcW w:w="1134" w:type="dxa"/>
            <w:gridSpan w:val="2"/>
          </w:tcPr>
          <w:p w14:paraId="2CFE97E4"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0</w:t>
            </w:r>
          </w:p>
        </w:tc>
        <w:tc>
          <w:tcPr>
            <w:tcW w:w="1134" w:type="dxa"/>
          </w:tcPr>
          <w:p w14:paraId="3E15C392"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1(0,75%)</w:t>
            </w:r>
          </w:p>
        </w:tc>
        <w:tc>
          <w:tcPr>
            <w:tcW w:w="1276" w:type="dxa"/>
            <w:gridSpan w:val="2"/>
          </w:tcPr>
          <w:p w14:paraId="63FC854A"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2(4,88%)</w:t>
            </w:r>
          </w:p>
        </w:tc>
        <w:tc>
          <w:tcPr>
            <w:tcW w:w="1134" w:type="dxa"/>
          </w:tcPr>
          <w:p w14:paraId="69924C22"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2(9,09%)</w:t>
            </w:r>
          </w:p>
        </w:tc>
        <w:tc>
          <w:tcPr>
            <w:tcW w:w="1418" w:type="dxa"/>
          </w:tcPr>
          <w:p w14:paraId="2C7FB5E7"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7(13,21%)</w:t>
            </w:r>
          </w:p>
        </w:tc>
        <w:tc>
          <w:tcPr>
            <w:tcW w:w="985" w:type="dxa"/>
          </w:tcPr>
          <w:p w14:paraId="3A723AEE"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79(16,46%)</w:t>
            </w:r>
          </w:p>
        </w:tc>
      </w:tr>
      <w:tr w:rsidR="007A2C38" w:rsidRPr="009A20B2" w14:paraId="135DCD97" w14:textId="77777777" w:rsidTr="00B270B3">
        <w:trPr>
          <w:trHeight w:val="334"/>
        </w:trPr>
        <w:tc>
          <w:tcPr>
            <w:tcW w:w="1469" w:type="dxa"/>
          </w:tcPr>
          <w:p w14:paraId="2E225606" w14:textId="77777777" w:rsidR="007A2C38" w:rsidRPr="009A20B2" w:rsidRDefault="007A2C38" w:rsidP="004135FE">
            <w:pPr>
              <w:autoSpaceDE w:val="0"/>
              <w:autoSpaceDN w:val="0"/>
              <w:adjustRightInd w:val="0"/>
              <w:spacing w:after="0" w:line="240" w:lineRule="auto"/>
              <w:jc w:val="both"/>
              <w:rPr>
                <w:rFonts w:ascii="Times New Roman" w:hAnsi="Times New Roman" w:cs="Times New Roman"/>
                <w:sz w:val="24"/>
                <w:szCs w:val="24"/>
              </w:rPr>
            </w:pPr>
            <w:r w:rsidRPr="009A20B2">
              <w:rPr>
                <w:rFonts w:ascii="Times New Roman" w:hAnsi="Times New Roman" w:cs="Times New Roman"/>
                <w:sz w:val="24"/>
                <w:szCs w:val="24"/>
              </w:rPr>
              <w:t>Итого</w:t>
            </w:r>
          </w:p>
        </w:tc>
        <w:tc>
          <w:tcPr>
            <w:tcW w:w="794" w:type="dxa"/>
          </w:tcPr>
          <w:p w14:paraId="764AFD44"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98(100%)</w:t>
            </w:r>
          </w:p>
        </w:tc>
        <w:tc>
          <w:tcPr>
            <w:tcW w:w="1134" w:type="dxa"/>
            <w:gridSpan w:val="2"/>
          </w:tcPr>
          <w:p w14:paraId="35E318C8" w14:textId="40B16D48"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132</w:t>
            </w:r>
            <w:r w:rsidR="00B270B3">
              <w:rPr>
                <w:rFonts w:ascii="Times New Roman" w:eastAsia="Times New Roman" w:hAnsi="Times New Roman" w:cs="Times New Roman"/>
                <w:color w:val="000000"/>
                <w:sz w:val="24"/>
                <w:szCs w:val="24"/>
              </w:rPr>
              <w:t xml:space="preserve"> </w:t>
            </w:r>
            <w:r w:rsidRPr="009A20B2">
              <w:rPr>
                <w:rFonts w:ascii="Times New Roman" w:eastAsia="Times New Roman" w:hAnsi="Times New Roman" w:cs="Times New Roman"/>
                <w:color w:val="000000"/>
                <w:sz w:val="24"/>
                <w:szCs w:val="24"/>
              </w:rPr>
              <w:t>(100%)</w:t>
            </w:r>
          </w:p>
        </w:tc>
        <w:tc>
          <w:tcPr>
            <w:tcW w:w="1134" w:type="dxa"/>
          </w:tcPr>
          <w:p w14:paraId="643A8CE4" w14:textId="1AC989A0"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134</w:t>
            </w:r>
            <w:r w:rsidR="00B270B3">
              <w:rPr>
                <w:rFonts w:ascii="Times New Roman" w:eastAsia="Times New Roman" w:hAnsi="Times New Roman" w:cs="Times New Roman"/>
                <w:color w:val="000000"/>
                <w:sz w:val="24"/>
                <w:szCs w:val="24"/>
              </w:rPr>
              <w:t xml:space="preserve"> </w:t>
            </w:r>
            <w:r w:rsidRPr="009A20B2">
              <w:rPr>
                <w:rFonts w:ascii="Times New Roman" w:eastAsia="Times New Roman" w:hAnsi="Times New Roman" w:cs="Times New Roman"/>
                <w:color w:val="000000"/>
                <w:sz w:val="24"/>
                <w:szCs w:val="24"/>
              </w:rPr>
              <w:t>(100%)</w:t>
            </w:r>
          </w:p>
        </w:tc>
        <w:tc>
          <w:tcPr>
            <w:tcW w:w="1276" w:type="dxa"/>
            <w:gridSpan w:val="2"/>
          </w:tcPr>
          <w:p w14:paraId="353BF7AC"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41(100%)</w:t>
            </w:r>
          </w:p>
        </w:tc>
        <w:tc>
          <w:tcPr>
            <w:tcW w:w="1134" w:type="dxa"/>
          </w:tcPr>
          <w:p w14:paraId="58994A17" w14:textId="3255A5E1"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22</w:t>
            </w:r>
            <w:r w:rsidR="00B270B3">
              <w:rPr>
                <w:rFonts w:ascii="Times New Roman" w:eastAsia="Times New Roman" w:hAnsi="Times New Roman" w:cs="Times New Roman"/>
                <w:color w:val="000000"/>
                <w:sz w:val="24"/>
                <w:szCs w:val="24"/>
              </w:rPr>
              <w:t xml:space="preserve"> </w:t>
            </w:r>
            <w:r w:rsidRPr="009A20B2">
              <w:rPr>
                <w:rFonts w:ascii="Times New Roman" w:eastAsia="Times New Roman" w:hAnsi="Times New Roman" w:cs="Times New Roman"/>
                <w:color w:val="000000"/>
                <w:sz w:val="24"/>
                <w:szCs w:val="24"/>
              </w:rPr>
              <w:t>(100%)</w:t>
            </w:r>
          </w:p>
        </w:tc>
        <w:tc>
          <w:tcPr>
            <w:tcW w:w="1418" w:type="dxa"/>
          </w:tcPr>
          <w:p w14:paraId="0BBC2E93"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53(100%)</w:t>
            </w:r>
          </w:p>
        </w:tc>
        <w:tc>
          <w:tcPr>
            <w:tcW w:w="985" w:type="dxa"/>
          </w:tcPr>
          <w:p w14:paraId="4D536530" w14:textId="77777777" w:rsidR="007A2C38" w:rsidRPr="009A20B2" w:rsidRDefault="007A2C38" w:rsidP="00B270B3">
            <w:pPr>
              <w:spacing w:after="0" w:line="240" w:lineRule="auto"/>
              <w:jc w:val="center"/>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480(100%)</w:t>
            </w:r>
          </w:p>
        </w:tc>
      </w:tr>
      <w:tr w:rsidR="007A2C38" w:rsidRPr="009A20B2" w14:paraId="40245625" w14:textId="77777777" w:rsidTr="00B270B3">
        <w:trPr>
          <w:trHeight w:val="334"/>
        </w:trPr>
        <w:tc>
          <w:tcPr>
            <w:tcW w:w="1469" w:type="dxa"/>
          </w:tcPr>
          <w:p w14:paraId="10A4C398" w14:textId="77777777" w:rsidR="007A2C38" w:rsidRPr="009A20B2" w:rsidRDefault="007A2C38" w:rsidP="004135FE">
            <w:pPr>
              <w:autoSpaceDE w:val="0"/>
              <w:autoSpaceDN w:val="0"/>
              <w:adjustRightInd w:val="0"/>
              <w:spacing w:after="0" w:line="240" w:lineRule="auto"/>
              <w:jc w:val="both"/>
              <w:rPr>
                <w:rFonts w:ascii="Times New Roman" w:hAnsi="Times New Roman" w:cs="Times New Roman"/>
                <w:sz w:val="24"/>
                <w:szCs w:val="24"/>
              </w:rPr>
            </w:pPr>
            <w:r w:rsidRPr="009A20B2">
              <w:rPr>
                <w:rFonts w:ascii="Times New Roman" w:eastAsia="Times New Roman" w:hAnsi="Times New Roman" w:cs="Times New Roman"/>
                <w:sz w:val="24"/>
                <w:szCs w:val="24"/>
                <w:lang w:val="en-US"/>
              </w:rPr>
              <w:t>p</w:t>
            </w:r>
            <w:r w:rsidRPr="009A20B2">
              <w:rPr>
                <w:rFonts w:ascii="Times New Roman" w:eastAsia="Times New Roman" w:hAnsi="Times New Roman" w:cs="Times New Roman"/>
                <w:sz w:val="24"/>
                <w:szCs w:val="24"/>
              </w:rPr>
              <w:t>-</w:t>
            </w:r>
            <w:r w:rsidRPr="009A20B2">
              <w:rPr>
                <w:rFonts w:ascii="Times New Roman" w:eastAsia="Times New Roman" w:hAnsi="Times New Roman" w:cs="Times New Roman"/>
                <w:sz w:val="24"/>
                <w:szCs w:val="24"/>
                <w:lang w:val="en-US"/>
              </w:rPr>
              <w:t>value</w:t>
            </w:r>
          </w:p>
        </w:tc>
        <w:tc>
          <w:tcPr>
            <w:tcW w:w="794" w:type="dxa"/>
          </w:tcPr>
          <w:p w14:paraId="1BF0585E" w14:textId="77777777" w:rsidR="007A2C38" w:rsidRPr="009A20B2" w:rsidRDefault="007A2C38" w:rsidP="00B270B3">
            <w:pPr>
              <w:spacing w:after="0" w:line="240" w:lineRule="auto"/>
              <w:jc w:val="center"/>
              <w:rPr>
                <w:rFonts w:ascii="Times New Roman" w:eastAsia="Times New Roman" w:hAnsi="Times New Roman" w:cs="Times New Roman"/>
                <w:color w:val="000000"/>
                <w:sz w:val="24"/>
                <w:szCs w:val="24"/>
              </w:rPr>
            </w:pPr>
            <w:r w:rsidRPr="009A20B2">
              <w:rPr>
                <w:rFonts w:ascii="Times New Roman" w:hAnsi="Times New Roman" w:cs="Times New Roman"/>
                <w:sz w:val="24"/>
                <w:szCs w:val="24"/>
              </w:rPr>
              <w:t>0,0001</w:t>
            </w:r>
          </w:p>
        </w:tc>
        <w:tc>
          <w:tcPr>
            <w:tcW w:w="1134" w:type="dxa"/>
            <w:gridSpan w:val="2"/>
          </w:tcPr>
          <w:p w14:paraId="6E7ABFD3" w14:textId="30F05436" w:rsidR="007A2C38" w:rsidRPr="009A20B2" w:rsidRDefault="009A20B2" w:rsidP="00B270B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34" w:type="dxa"/>
          </w:tcPr>
          <w:p w14:paraId="761DEBE6" w14:textId="0EDB6E44" w:rsidR="007A2C38" w:rsidRPr="009A20B2" w:rsidRDefault="009A20B2" w:rsidP="00B270B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76" w:type="dxa"/>
            <w:gridSpan w:val="2"/>
          </w:tcPr>
          <w:p w14:paraId="74EFC645" w14:textId="230ADB6C" w:rsidR="007A2C38" w:rsidRPr="009A20B2" w:rsidRDefault="009A20B2" w:rsidP="00B270B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134" w:type="dxa"/>
          </w:tcPr>
          <w:p w14:paraId="2D963EAD" w14:textId="729082CA" w:rsidR="007A2C38" w:rsidRPr="009A20B2" w:rsidRDefault="009A20B2" w:rsidP="00B270B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418" w:type="dxa"/>
          </w:tcPr>
          <w:p w14:paraId="77EF4531" w14:textId="2CF6874E" w:rsidR="007A2C38" w:rsidRPr="009A20B2" w:rsidRDefault="009A20B2" w:rsidP="00B270B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85" w:type="dxa"/>
          </w:tcPr>
          <w:p w14:paraId="313E5A8B" w14:textId="08B181FF" w:rsidR="007A2C38" w:rsidRPr="009A20B2" w:rsidRDefault="009A20B2" w:rsidP="00B270B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bl>
    <w:p w14:paraId="4D09A680" w14:textId="77777777" w:rsidR="007A2C38" w:rsidRPr="004135FE" w:rsidRDefault="007A2C38" w:rsidP="004135FE">
      <w:pPr>
        <w:tabs>
          <w:tab w:val="center" w:pos="7056"/>
        </w:tabs>
        <w:autoSpaceDE w:val="0"/>
        <w:autoSpaceDN w:val="0"/>
        <w:adjustRightInd w:val="0"/>
        <w:spacing w:after="0" w:line="240" w:lineRule="auto"/>
        <w:jc w:val="both"/>
        <w:rPr>
          <w:rFonts w:ascii="Times New Roman" w:hAnsi="Times New Roman" w:cs="Times New Roman"/>
          <w:sz w:val="28"/>
          <w:szCs w:val="28"/>
        </w:rPr>
      </w:pPr>
    </w:p>
    <w:p w14:paraId="06456D45" w14:textId="77777777" w:rsidR="007A2C38" w:rsidRPr="004135FE" w:rsidRDefault="007A2C38" w:rsidP="00056C34">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Для самоменеджмента пациентов особую важность имеет контроль уровня сахара в крови. Респонденты, самостоятельно приобретавшие глюкометр и тест полоски в 42,6% случаях контролируют уровень сахара только при ухудшении самочувствия, </w:t>
      </w:r>
      <w:r w:rsidRPr="004135FE">
        <w:rPr>
          <w:rFonts w:ascii="Times New Roman" w:eastAsia="Times New Roman" w:hAnsi="Times New Roman" w:cs="Times New Roman"/>
          <w:color w:val="000000"/>
          <w:sz w:val="28"/>
          <w:szCs w:val="28"/>
        </w:rPr>
        <w:t>46,7</w:t>
      </w:r>
      <w:r w:rsidRPr="004135FE">
        <w:rPr>
          <w:rFonts w:ascii="Times New Roman" w:hAnsi="Times New Roman" w:cs="Times New Roman"/>
          <w:sz w:val="28"/>
          <w:szCs w:val="28"/>
        </w:rPr>
        <w:t xml:space="preserve">%- 1 раз в неделю и </w:t>
      </w:r>
      <w:r w:rsidRPr="004135FE">
        <w:rPr>
          <w:rFonts w:ascii="Times New Roman" w:eastAsia="Times New Roman" w:hAnsi="Times New Roman" w:cs="Times New Roman"/>
          <w:color w:val="000000"/>
          <w:sz w:val="28"/>
          <w:szCs w:val="28"/>
        </w:rPr>
        <w:t>34,2</w:t>
      </w:r>
      <w:r w:rsidRPr="004135FE">
        <w:rPr>
          <w:rFonts w:ascii="Times New Roman" w:hAnsi="Times New Roman" w:cs="Times New Roman"/>
          <w:sz w:val="28"/>
          <w:szCs w:val="28"/>
        </w:rPr>
        <w:t xml:space="preserve">%- перед каждым приемом лекарств от диабета. </w:t>
      </w:r>
    </w:p>
    <w:p w14:paraId="307DB1B4" w14:textId="77777777" w:rsidR="007A2C38" w:rsidRPr="004135FE" w:rsidRDefault="007A2C38" w:rsidP="00056C34">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Среди пациентов бесплатно получившие глюкометр и тест полоски применяют только при ухудшении самочувствия </w:t>
      </w:r>
      <w:r w:rsidRPr="004135FE">
        <w:rPr>
          <w:rFonts w:ascii="Times New Roman" w:eastAsia="Times New Roman" w:hAnsi="Times New Roman" w:cs="Times New Roman"/>
          <w:color w:val="000000"/>
          <w:sz w:val="28"/>
          <w:szCs w:val="28"/>
        </w:rPr>
        <w:t>41,2</w:t>
      </w:r>
      <w:r w:rsidRPr="004135FE">
        <w:rPr>
          <w:rFonts w:ascii="Times New Roman" w:hAnsi="Times New Roman" w:cs="Times New Roman"/>
          <w:sz w:val="28"/>
          <w:szCs w:val="28"/>
        </w:rPr>
        <w:t xml:space="preserve">%, перед каждым приемом лекарств от диабета </w:t>
      </w:r>
      <w:r w:rsidRPr="004135FE">
        <w:rPr>
          <w:rFonts w:ascii="Times New Roman" w:eastAsia="Times New Roman" w:hAnsi="Times New Roman" w:cs="Times New Roman"/>
          <w:color w:val="000000"/>
          <w:sz w:val="28"/>
          <w:szCs w:val="28"/>
        </w:rPr>
        <w:t>63,3</w:t>
      </w:r>
      <w:r w:rsidRPr="004135FE">
        <w:rPr>
          <w:rFonts w:ascii="Times New Roman" w:hAnsi="Times New Roman" w:cs="Times New Roman"/>
          <w:sz w:val="28"/>
          <w:szCs w:val="28"/>
        </w:rPr>
        <w:t xml:space="preserve">%.  61,4% - пациентов, не имеющих глюкометр и тестполоски соответственно не контролирует уровень сахара в крови.  </w:t>
      </w:r>
      <w:r w:rsidRPr="004135FE">
        <w:rPr>
          <w:rFonts w:ascii="Times New Roman" w:eastAsia="Times New Roman" w:hAnsi="Times New Roman" w:cs="Times New Roman"/>
          <w:color w:val="000000"/>
          <w:sz w:val="28"/>
          <w:szCs w:val="28"/>
        </w:rPr>
        <w:t>82,1</w:t>
      </w:r>
      <w:r w:rsidRPr="004135FE">
        <w:rPr>
          <w:rFonts w:ascii="Times New Roman" w:hAnsi="Times New Roman" w:cs="Times New Roman"/>
          <w:sz w:val="28"/>
          <w:szCs w:val="28"/>
        </w:rPr>
        <w:t xml:space="preserve">% - пациентов контролируют уровень сахара в крови не менее 2 раза в сутки + 1 гликемический профиль в неделю и имеют в наличии бесплатно приобретенный глюкометр и тест полоски </w:t>
      </w:r>
    </w:p>
    <w:p w14:paraId="611724B9" w14:textId="3B968B9B" w:rsidR="007A2C38" w:rsidRPr="004135FE" w:rsidRDefault="007A2C38" w:rsidP="00056C34">
      <w:pPr>
        <w:tabs>
          <w:tab w:val="left" w:pos="709"/>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Cs/>
          <w:sz w:val="28"/>
          <w:szCs w:val="28"/>
        </w:rPr>
        <w:t xml:space="preserve">Состав лечения, так же влияет на частоту контроля уровня сахара. </w:t>
      </w:r>
      <w:r w:rsidRPr="004135FE">
        <w:rPr>
          <w:rFonts w:ascii="Times New Roman" w:hAnsi="Times New Roman" w:cs="Times New Roman"/>
          <w:sz w:val="28"/>
          <w:szCs w:val="28"/>
        </w:rPr>
        <w:t xml:space="preserve">Среди получающих инсулины короткого и продленного действия </w:t>
      </w:r>
      <w:r w:rsidRPr="004135FE">
        <w:rPr>
          <w:rFonts w:ascii="Times New Roman" w:eastAsia="Times New Roman" w:hAnsi="Times New Roman" w:cs="Times New Roman"/>
          <w:color w:val="000000"/>
          <w:sz w:val="28"/>
          <w:szCs w:val="28"/>
        </w:rPr>
        <w:t>43,6</w:t>
      </w:r>
      <w:r w:rsidRPr="004135FE">
        <w:rPr>
          <w:rFonts w:ascii="Times New Roman" w:hAnsi="Times New Roman" w:cs="Times New Roman"/>
          <w:sz w:val="28"/>
          <w:szCs w:val="28"/>
        </w:rPr>
        <w:t>% пациентов проводят контроль</w:t>
      </w:r>
      <w:r w:rsidR="002453C0" w:rsidRPr="004135FE">
        <w:rPr>
          <w:rFonts w:ascii="Times New Roman" w:hAnsi="Times New Roman" w:cs="Times New Roman"/>
          <w:sz w:val="28"/>
          <w:szCs w:val="28"/>
        </w:rPr>
        <w:t xml:space="preserve"> сахара крови 2 раза в день</w:t>
      </w:r>
      <w:r w:rsidRPr="004135FE">
        <w:rPr>
          <w:rFonts w:ascii="Times New Roman" w:hAnsi="Times New Roman" w:cs="Times New Roman"/>
          <w:sz w:val="28"/>
          <w:szCs w:val="28"/>
        </w:rPr>
        <w:t xml:space="preserve"> + 1 гликемический профиль в неделю и </w:t>
      </w:r>
      <w:r w:rsidRPr="004135FE">
        <w:rPr>
          <w:rFonts w:ascii="Times New Roman" w:eastAsia="Times New Roman" w:hAnsi="Times New Roman" w:cs="Times New Roman"/>
          <w:color w:val="000000"/>
          <w:sz w:val="28"/>
          <w:szCs w:val="28"/>
        </w:rPr>
        <w:t>10,1</w:t>
      </w:r>
      <w:r w:rsidRPr="004135FE">
        <w:rPr>
          <w:rFonts w:ascii="Times New Roman" w:hAnsi="Times New Roman" w:cs="Times New Roman"/>
          <w:sz w:val="28"/>
          <w:szCs w:val="28"/>
        </w:rPr>
        <w:t xml:space="preserve">% перед каждым приемом лекарств от диабета. </w:t>
      </w:r>
      <w:r w:rsidRPr="004135FE">
        <w:rPr>
          <w:rFonts w:ascii="Times New Roman" w:eastAsia="Times New Roman" w:hAnsi="Times New Roman" w:cs="Times New Roman"/>
          <w:color w:val="000000"/>
          <w:sz w:val="28"/>
          <w:szCs w:val="28"/>
        </w:rPr>
        <w:t xml:space="preserve">30,9% пациентов проверяют уровень сахара в крови </w:t>
      </w:r>
      <w:r w:rsidRPr="004135FE">
        <w:rPr>
          <w:rFonts w:ascii="Times New Roman" w:hAnsi="Times New Roman" w:cs="Times New Roman"/>
          <w:sz w:val="28"/>
          <w:szCs w:val="28"/>
        </w:rPr>
        <w:t xml:space="preserve">только при ухудшении самочувствия, получающие 1 препарат в виде таблетки, комбинацию препаратов в виде таблеток и таблетки+инсулин. Так же </w:t>
      </w:r>
      <w:r w:rsidRPr="004135FE">
        <w:rPr>
          <w:rFonts w:ascii="Times New Roman" w:eastAsia="Times New Roman" w:hAnsi="Times New Roman" w:cs="Times New Roman"/>
          <w:color w:val="000000"/>
          <w:sz w:val="28"/>
          <w:szCs w:val="28"/>
        </w:rPr>
        <w:t>41,3% п</w:t>
      </w:r>
      <w:r w:rsidRPr="004135FE">
        <w:rPr>
          <w:rFonts w:ascii="Times New Roman" w:hAnsi="Times New Roman" w:cs="Times New Roman"/>
          <w:sz w:val="28"/>
          <w:szCs w:val="28"/>
        </w:rPr>
        <w:t>ациентов получающие комбинацию препаратов в виде таблеток контролируют сахар крови 1 раз в неделю. Не менее 4 раз ежедневно</w:t>
      </w:r>
      <w:r w:rsidRPr="004135FE">
        <w:rPr>
          <w:rFonts w:ascii="Times New Roman" w:eastAsia="Times New Roman" w:hAnsi="Times New Roman" w:cs="Times New Roman"/>
          <w:color w:val="000000"/>
          <w:sz w:val="28"/>
          <w:szCs w:val="28"/>
        </w:rPr>
        <w:t xml:space="preserve"> измеряют сахар крови 53,8% пациентов и н</w:t>
      </w:r>
      <w:r w:rsidRPr="004135FE">
        <w:rPr>
          <w:rFonts w:ascii="Times New Roman" w:hAnsi="Times New Roman" w:cs="Times New Roman"/>
          <w:sz w:val="28"/>
          <w:szCs w:val="28"/>
        </w:rPr>
        <w:t>е менее 1 раз в сутки + 1 глик. профиль в неделю</w:t>
      </w:r>
      <w:r w:rsidRPr="004135FE">
        <w:rPr>
          <w:rFonts w:ascii="Times New Roman" w:eastAsia="Times New Roman" w:hAnsi="Times New Roman" w:cs="Times New Roman"/>
          <w:color w:val="000000"/>
          <w:sz w:val="28"/>
          <w:szCs w:val="28"/>
        </w:rPr>
        <w:t xml:space="preserve"> 47,6%, получающие лечение состоящие из т</w:t>
      </w:r>
      <w:r w:rsidRPr="004135FE">
        <w:rPr>
          <w:rFonts w:ascii="Times New Roman" w:hAnsi="Times New Roman" w:cs="Times New Roman"/>
          <w:sz w:val="28"/>
          <w:szCs w:val="28"/>
        </w:rPr>
        <w:t>аблеток и инсулина.</w:t>
      </w:r>
    </w:p>
    <w:p w14:paraId="4FE8C158" w14:textId="77777777" w:rsidR="007A2C38" w:rsidRPr="004135FE" w:rsidRDefault="007A2C38" w:rsidP="004135FE">
      <w:pPr>
        <w:spacing w:after="0" w:line="240" w:lineRule="auto"/>
        <w:jc w:val="both"/>
        <w:rPr>
          <w:rFonts w:ascii="Times New Roman" w:hAnsi="Times New Roman" w:cs="Times New Roman"/>
          <w:sz w:val="28"/>
          <w:szCs w:val="28"/>
        </w:rPr>
      </w:pPr>
    </w:p>
    <w:p w14:paraId="2F4E3BA4" w14:textId="7416ED89" w:rsidR="007A2C38" w:rsidRDefault="007A2C38" w:rsidP="004135FE">
      <w:pPr>
        <w:spacing w:after="0" w:line="240" w:lineRule="auto"/>
        <w:jc w:val="both"/>
        <w:rPr>
          <w:rFonts w:ascii="Times New Roman" w:hAnsi="Times New Roman" w:cs="Times New Roman"/>
          <w:bCs/>
          <w:sz w:val="28"/>
          <w:szCs w:val="28"/>
        </w:rPr>
      </w:pPr>
      <w:r w:rsidRPr="004135FE">
        <w:rPr>
          <w:rFonts w:ascii="Times New Roman" w:hAnsi="Times New Roman" w:cs="Times New Roman"/>
          <w:bCs/>
          <w:sz w:val="28"/>
          <w:szCs w:val="28"/>
        </w:rPr>
        <w:t>Таблица 5</w:t>
      </w:r>
      <w:r w:rsidR="00B728EF" w:rsidRPr="004135FE">
        <w:rPr>
          <w:rFonts w:ascii="Times New Roman" w:hAnsi="Times New Roman" w:cs="Times New Roman"/>
          <w:bCs/>
          <w:sz w:val="28"/>
          <w:szCs w:val="28"/>
        </w:rPr>
        <w:t>2</w:t>
      </w:r>
      <w:r w:rsidRPr="004135FE">
        <w:rPr>
          <w:rFonts w:ascii="Times New Roman" w:hAnsi="Times New Roman" w:cs="Times New Roman"/>
          <w:bCs/>
          <w:sz w:val="28"/>
          <w:szCs w:val="28"/>
        </w:rPr>
        <w:t xml:space="preserve">- Взаимосвязь частоты контроля уровня сахара с обеспеченностью </w:t>
      </w:r>
    </w:p>
    <w:p w14:paraId="2EA3894C" w14:textId="77777777" w:rsidR="00ED51B1" w:rsidRPr="004135FE" w:rsidRDefault="00ED51B1" w:rsidP="004135FE">
      <w:pPr>
        <w:spacing w:after="0" w:line="240" w:lineRule="auto"/>
        <w:jc w:val="both"/>
        <w:rPr>
          <w:rFonts w:ascii="Times New Roman" w:hAnsi="Times New Roman" w:cs="Times New Roman"/>
          <w:sz w:val="28"/>
          <w:szCs w:val="28"/>
        </w:rPr>
      </w:pPr>
    </w:p>
    <w:tbl>
      <w:tblPr>
        <w:tblStyle w:val="a5"/>
        <w:tblW w:w="9351" w:type="dxa"/>
        <w:tblLayout w:type="fixed"/>
        <w:tblLook w:val="04A0" w:firstRow="1" w:lastRow="0" w:firstColumn="1" w:lastColumn="0" w:noHBand="0" w:noVBand="1"/>
      </w:tblPr>
      <w:tblGrid>
        <w:gridCol w:w="1380"/>
        <w:gridCol w:w="1005"/>
        <w:gridCol w:w="1006"/>
        <w:gridCol w:w="946"/>
        <w:gridCol w:w="946"/>
        <w:gridCol w:w="1002"/>
        <w:gridCol w:w="1007"/>
        <w:gridCol w:w="1006"/>
        <w:gridCol w:w="1053"/>
      </w:tblGrid>
      <w:tr w:rsidR="00ED51B1" w:rsidRPr="009A20B2" w14:paraId="7E5EBA9F" w14:textId="77777777" w:rsidTr="00ED51B1">
        <w:trPr>
          <w:trHeight w:val="319"/>
        </w:trPr>
        <w:tc>
          <w:tcPr>
            <w:tcW w:w="1380" w:type="dxa"/>
          </w:tcPr>
          <w:p w14:paraId="6752C0EB" w14:textId="77777777" w:rsidR="007A2C38" w:rsidRPr="009A20B2" w:rsidRDefault="007A2C38" w:rsidP="004135FE">
            <w:pPr>
              <w:spacing w:after="0" w:line="240" w:lineRule="auto"/>
              <w:rPr>
                <w:rFonts w:ascii="Times New Roman" w:hAnsi="Times New Roman" w:cs="Times New Roman"/>
                <w:sz w:val="24"/>
                <w:szCs w:val="24"/>
              </w:rPr>
            </w:pPr>
          </w:p>
        </w:tc>
        <w:tc>
          <w:tcPr>
            <w:tcW w:w="1005" w:type="dxa"/>
          </w:tcPr>
          <w:p w14:paraId="6CBFD601"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hAnsi="Times New Roman" w:cs="Times New Roman"/>
                <w:sz w:val="24"/>
                <w:szCs w:val="24"/>
              </w:rPr>
              <w:t>Не контролирую</w:t>
            </w:r>
          </w:p>
        </w:tc>
        <w:tc>
          <w:tcPr>
            <w:tcW w:w="1006" w:type="dxa"/>
          </w:tcPr>
          <w:p w14:paraId="1681CE04"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hAnsi="Times New Roman" w:cs="Times New Roman"/>
                <w:sz w:val="24"/>
                <w:szCs w:val="24"/>
              </w:rPr>
              <w:t>Только при ухудшении самочувствия</w:t>
            </w:r>
          </w:p>
        </w:tc>
        <w:tc>
          <w:tcPr>
            <w:tcW w:w="946" w:type="dxa"/>
          </w:tcPr>
          <w:p w14:paraId="0CC9276E"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hAnsi="Times New Roman" w:cs="Times New Roman"/>
                <w:sz w:val="24"/>
                <w:szCs w:val="24"/>
              </w:rPr>
              <w:t>Перед каждым приемом ЛС</w:t>
            </w:r>
          </w:p>
        </w:tc>
        <w:tc>
          <w:tcPr>
            <w:tcW w:w="946" w:type="dxa"/>
          </w:tcPr>
          <w:p w14:paraId="1BFA4E60"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hAnsi="Times New Roman" w:cs="Times New Roman"/>
                <w:sz w:val="24"/>
                <w:szCs w:val="24"/>
              </w:rPr>
              <w:t>1 раз в неделю</w:t>
            </w:r>
          </w:p>
        </w:tc>
        <w:tc>
          <w:tcPr>
            <w:tcW w:w="1002" w:type="dxa"/>
          </w:tcPr>
          <w:p w14:paraId="6C9D812E"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hAnsi="Times New Roman" w:cs="Times New Roman"/>
                <w:sz w:val="24"/>
                <w:szCs w:val="24"/>
              </w:rPr>
              <w:t>Не менее 4 раз ежедневно</w:t>
            </w:r>
          </w:p>
        </w:tc>
        <w:tc>
          <w:tcPr>
            <w:tcW w:w="1007" w:type="dxa"/>
          </w:tcPr>
          <w:p w14:paraId="7171A669"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hAnsi="Times New Roman" w:cs="Times New Roman"/>
                <w:sz w:val="24"/>
                <w:szCs w:val="24"/>
              </w:rPr>
              <w:t>Не менее 1 раз в сутки + 1 глик. профиль в неделю</w:t>
            </w:r>
          </w:p>
        </w:tc>
        <w:tc>
          <w:tcPr>
            <w:tcW w:w="1006" w:type="dxa"/>
          </w:tcPr>
          <w:p w14:paraId="300A0F25"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hAnsi="Times New Roman" w:cs="Times New Roman"/>
                <w:sz w:val="24"/>
                <w:szCs w:val="24"/>
              </w:rPr>
              <w:t>Не менее 2 раз в сутки + 1 глик.профиль в неделю</w:t>
            </w:r>
          </w:p>
        </w:tc>
        <w:tc>
          <w:tcPr>
            <w:tcW w:w="1053" w:type="dxa"/>
          </w:tcPr>
          <w:p w14:paraId="0CF3C1CE"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hAnsi="Times New Roman" w:cs="Times New Roman"/>
                <w:sz w:val="24"/>
                <w:szCs w:val="24"/>
              </w:rPr>
              <w:t xml:space="preserve">Всего </w:t>
            </w:r>
          </w:p>
        </w:tc>
      </w:tr>
      <w:tr w:rsidR="00ED51B1" w:rsidRPr="009A20B2" w14:paraId="596ECB48" w14:textId="77777777" w:rsidTr="00ED51B1">
        <w:trPr>
          <w:trHeight w:val="31"/>
        </w:trPr>
        <w:tc>
          <w:tcPr>
            <w:tcW w:w="1380" w:type="dxa"/>
          </w:tcPr>
          <w:p w14:paraId="132A6E36" w14:textId="77777777" w:rsidR="007A2C38" w:rsidRPr="009A20B2" w:rsidRDefault="007A2C38" w:rsidP="004135FE">
            <w:pPr>
              <w:spacing w:after="0" w:line="240" w:lineRule="auto"/>
              <w:jc w:val="center"/>
              <w:rPr>
                <w:rFonts w:ascii="Times New Roman" w:hAnsi="Times New Roman" w:cs="Times New Roman"/>
                <w:sz w:val="24"/>
                <w:szCs w:val="24"/>
              </w:rPr>
            </w:pPr>
            <w:r w:rsidRPr="009A20B2">
              <w:rPr>
                <w:rFonts w:ascii="Times New Roman" w:hAnsi="Times New Roman" w:cs="Times New Roman"/>
                <w:sz w:val="24"/>
                <w:szCs w:val="24"/>
              </w:rPr>
              <w:t>1</w:t>
            </w:r>
          </w:p>
        </w:tc>
        <w:tc>
          <w:tcPr>
            <w:tcW w:w="1005" w:type="dxa"/>
          </w:tcPr>
          <w:p w14:paraId="5DD2B840" w14:textId="77777777" w:rsidR="007A2C38" w:rsidRPr="009A20B2" w:rsidRDefault="007A2C38" w:rsidP="004135FE">
            <w:pPr>
              <w:spacing w:after="0" w:line="240" w:lineRule="auto"/>
              <w:jc w:val="center"/>
              <w:rPr>
                <w:rFonts w:ascii="Times New Roman" w:hAnsi="Times New Roman" w:cs="Times New Roman"/>
                <w:sz w:val="24"/>
                <w:szCs w:val="24"/>
              </w:rPr>
            </w:pPr>
            <w:r w:rsidRPr="009A20B2">
              <w:rPr>
                <w:rFonts w:ascii="Times New Roman" w:hAnsi="Times New Roman" w:cs="Times New Roman"/>
                <w:sz w:val="24"/>
                <w:szCs w:val="24"/>
              </w:rPr>
              <w:t>2</w:t>
            </w:r>
          </w:p>
        </w:tc>
        <w:tc>
          <w:tcPr>
            <w:tcW w:w="1006" w:type="dxa"/>
          </w:tcPr>
          <w:p w14:paraId="77F356A6" w14:textId="77777777" w:rsidR="007A2C38" w:rsidRPr="009A20B2" w:rsidRDefault="007A2C38" w:rsidP="004135FE">
            <w:pPr>
              <w:spacing w:after="0" w:line="240" w:lineRule="auto"/>
              <w:jc w:val="center"/>
              <w:rPr>
                <w:rFonts w:ascii="Times New Roman" w:hAnsi="Times New Roman" w:cs="Times New Roman"/>
                <w:sz w:val="24"/>
                <w:szCs w:val="24"/>
              </w:rPr>
            </w:pPr>
            <w:r w:rsidRPr="009A20B2">
              <w:rPr>
                <w:rFonts w:ascii="Times New Roman" w:hAnsi="Times New Roman" w:cs="Times New Roman"/>
                <w:sz w:val="24"/>
                <w:szCs w:val="24"/>
              </w:rPr>
              <w:t>3</w:t>
            </w:r>
          </w:p>
        </w:tc>
        <w:tc>
          <w:tcPr>
            <w:tcW w:w="946" w:type="dxa"/>
          </w:tcPr>
          <w:p w14:paraId="4D50119E" w14:textId="77777777" w:rsidR="007A2C38" w:rsidRPr="009A20B2" w:rsidRDefault="007A2C38" w:rsidP="004135FE">
            <w:pPr>
              <w:spacing w:after="0" w:line="240" w:lineRule="auto"/>
              <w:jc w:val="center"/>
              <w:rPr>
                <w:rFonts w:ascii="Times New Roman" w:hAnsi="Times New Roman" w:cs="Times New Roman"/>
                <w:sz w:val="24"/>
                <w:szCs w:val="24"/>
              </w:rPr>
            </w:pPr>
            <w:r w:rsidRPr="009A20B2">
              <w:rPr>
                <w:rFonts w:ascii="Times New Roman" w:hAnsi="Times New Roman" w:cs="Times New Roman"/>
                <w:sz w:val="24"/>
                <w:szCs w:val="24"/>
              </w:rPr>
              <w:t>4</w:t>
            </w:r>
          </w:p>
        </w:tc>
        <w:tc>
          <w:tcPr>
            <w:tcW w:w="946" w:type="dxa"/>
          </w:tcPr>
          <w:p w14:paraId="13C0C938" w14:textId="77777777" w:rsidR="007A2C38" w:rsidRPr="009A20B2" w:rsidRDefault="007A2C38" w:rsidP="004135FE">
            <w:pPr>
              <w:spacing w:after="0" w:line="240" w:lineRule="auto"/>
              <w:jc w:val="center"/>
              <w:rPr>
                <w:rFonts w:ascii="Times New Roman" w:hAnsi="Times New Roman" w:cs="Times New Roman"/>
                <w:sz w:val="24"/>
                <w:szCs w:val="24"/>
              </w:rPr>
            </w:pPr>
            <w:r w:rsidRPr="009A20B2">
              <w:rPr>
                <w:rFonts w:ascii="Times New Roman" w:hAnsi="Times New Roman" w:cs="Times New Roman"/>
                <w:sz w:val="24"/>
                <w:szCs w:val="24"/>
              </w:rPr>
              <w:t>5</w:t>
            </w:r>
          </w:p>
        </w:tc>
        <w:tc>
          <w:tcPr>
            <w:tcW w:w="1002" w:type="dxa"/>
          </w:tcPr>
          <w:p w14:paraId="65F4359E" w14:textId="77777777" w:rsidR="007A2C38" w:rsidRPr="009A20B2" w:rsidRDefault="007A2C38" w:rsidP="004135FE">
            <w:pPr>
              <w:spacing w:after="0" w:line="240" w:lineRule="auto"/>
              <w:jc w:val="center"/>
              <w:rPr>
                <w:rFonts w:ascii="Times New Roman" w:hAnsi="Times New Roman" w:cs="Times New Roman"/>
                <w:sz w:val="24"/>
                <w:szCs w:val="24"/>
              </w:rPr>
            </w:pPr>
            <w:r w:rsidRPr="009A20B2">
              <w:rPr>
                <w:rFonts w:ascii="Times New Roman" w:hAnsi="Times New Roman" w:cs="Times New Roman"/>
                <w:sz w:val="24"/>
                <w:szCs w:val="24"/>
              </w:rPr>
              <w:t>6</w:t>
            </w:r>
          </w:p>
        </w:tc>
        <w:tc>
          <w:tcPr>
            <w:tcW w:w="1007" w:type="dxa"/>
          </w:tcPr>
          <w:p w14:paraId="64B9EB27" w14:textId="77777777" w:rsidR="007A2C38" w:rsidRPr="009A20B2" w:rsidRDefault="007A2C38" w:rsidP="004135FE">
            <w:pPr>
              <w:spacing w:after="0" w:line="240" w:lineRule="auto"/>
              <w:jc w:val="center"/>
              <w:rPr>
                <w:rFonts w:ascii="Times New Roman" w:hAnsi="Times New Roman" w:cs="Times New Roman"/>
                <w:sz w:val="24"/>
                <w:szCs w:val="24"/>
              </w:rPr>
            </w:pPr>
            <w:r w:rsidRPr="009A20B2">
              <w:rPr>
                <w:rFonts w:ascii="Times New Roman" w:hAnsi="Times New Roman" w:cs="Times New Roman"/>
                <w:sz w:val="24"/>
                <w:szCs w:val="24"/>
              </w:rPr>
              <w:t>7</w:t>
            </w:r>
          </w:p>
        </w:tc>
        <w:tc>
          <w:tcPr>
            <w:tcW w:w="1006" w:type="dxa"/>
          </w:tcPr>
          <w:p w14:paraId="4B7F2191" w14:textId="77777777" w:rsidR="007A2C38" w:rsidRPr="009A20B2" w:rsidRDefault="007A2C38" w:rsidP="004135FE">
            <w:pPr>
              <w:spacing w:after="0" w:line="240" w:lineRule="auto"/>
              <w:jc w:val="center"/>
              <w:rPr>
                <w:rFonts w:ascii="Times New Roman" w:hAnsi="Times New Roman" w:cs="Times New Roman"/>
                <w:sz w:val="24"/>
                <w:szCs w:val="24"/>
              </w:rPr>
            </w:pPr>
            <w:r w:rsidRPr="009A20B2">
              <w:rPr>
                <w:rFonts w:ascii="Times New Roman" w:hAnsi="Times New Roman" w:cs="Times New Roman"/>
                <w:sz w:val="24"/>
                <w:szCs w:val="24"/>
              </w:rPr>
              <w:t>8</w:t>
            </w:r>
          </w:p>
        </w:tc>
        <w:tc>
          <w:tcPr>
            <w:tcW w:w="1053" w:type="dxa"/>
          </w:tcPr>
          <w:p w14:paraId="67378ED1" w14:textId="77777777" w:rsidR="007A2C38" w:rsidRPr="009A20B2" w:rsidRDefault="007A2C38" w:rsidP="004135FE">
            <w:pPr>
              <w:spacing w:after="0" w:line="240" w:lineRule="auto"/>
              <w:jc w:val="center"/>
              <w:rPr>
                <w:rFonts w:ascii="Times New Roman" w:hAnsi="Times New Roman" w:cs="Times New Roman"/>
                <w:sz w:val="24"/>
                <w:szCs w:val="24"/>
              </w:rPr>
            </w:pPr>
            <w:r w:rsidRPr="009A20B2">
              <w:rPr>
                <w:rFonts w:ascii="Times New Roman" w:hAnsi="Times New Roman" w:cs="Times New Roman"/>
                <w:sz w:val="24"/>
                <w:szCs w:val="24"/>
              </w:rPr>
              <w:t>9</w:t>
            </w:r>
          </w:p>
        </w:tc>
      </w:tr>
      <w:tr w:rsidR="007A2C38" w:rsidRPr="009A20B2" w14:paraId="6D02EBE0" w14:textId="77777777" w:rsidTr="00ED51B1">
        <w:trPr>
          <w:trHeight w:val="31"/>
        </w:trPr>
        <w:tc>
          <w:tcPr>
            <w:tcW w:w="9351" w:type="dxa"/>
            <w:gridSpan w:val="9"/>
          </w:tcPr>
          <w:p w14:paraId="0A795D74" w14:textId="77777777" w:rsidR="007A2C38" w:rsidRPr="009A20B2" w:rsidRDefault="007A2C38" w:rsidP="009A20B2">
            <w:pPr>
              <w:spacing w:after="0" w:line="240" w:lineRule="auto"/>
              <w:jc w:val="center"/>
              <w:rPr>
                <w:rFonts w:ascii="Times New Roman" w:hAnsi="Times New Roman" w:cs="Times New Roman"/>
                <w:sz w:val="24"/>
                <w:szCs w:val="24"/>
              </w:rPr>
            </w:pPr>
            <w:r w:rsidRPr="009A20B2">
              <w:rPr>
                <w:rFonts w:ascii="Times New Roman" w:hAnsi="Times New Roman" w:cs="Times New Roman"/>
                <w:sz w:val="24"/>
                <w:szCs w:val="24"/>
              </w:rPr>
              <w:t>У Вас есть глюкометр и тест полоски</w:t>
            </w:r>
          </w:p>
        </w:tc>
      </w:tr>
      <w:tr w:rsidR="00ED51B1" w:rsidRPr="009A20B2" w14:paraId="14FA63B5" w14:textId="77777777" w:rsidTr="00ED51B1">
        <w:trPr>
          <w:trHeight w:val="159"/>
        </w:trPr>
        <w:tc>
          <w:tcPr>
            <w:tcW w:w="1380" w:type="dxa"/>
          </w:tcPr>
          <w:p w14:paraId="241FEE2E"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hAnsi="Times New Roman" w:cs="Times New Roman"/>
                <w:sz w:val="24"/>
                <w:szCs w:val="24"/>
              </w:rPr>
              <w:t>Да, получил(а) бесплатно</w:t>
            </w:r>
          </w:p>
        </w:tc>
        <w:tc>
          <w:tcPr>
            <w:tcW w:w="1005" w:type="dxa"/>
          </w:tcPr>
          <w:p w14:paraId="780133A6"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19(27,1%)</w:t>
            </w:r>
          </w:p>
        </w:tc>
        <w:tc>
          <w:tcPr>
            <w:tcW w:w="1006" w:type="dxa"/>
          </w:tcPr>
          <w:p w14:paraId="61275872"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56(41,2%)</w:t>
            </w:r>
          </w:p>
        </w:tc>
        <w:tc>
          <w:tcPr>
            <w:tcW w:w="946" w:type="dxa"/>
          </w:tcPr>
          <w:p w14:paraId="3D78F20B"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50(63,3%)</w:t>
            </w:r>
          </w:p>
        </w:tc>
        <w:tc>
          <w:tcPr>
            <w:tcW w:w="946" w:type="dxa"/>
          </w:tcPr>
          <w:p w14:paraId="63EA67A9"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28(37,3%)</w:t>
            </w:r>
          </w:p>
        </w:tc>
        <w:tc>
          <w:tcPr>
            <w:tcW w:w="1002" w:type="dxa"/>
          </w:tcPr>
          <w:p w14:paraId="3297AC2A"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26(66,7%)</w:t>
            </w:r>
          </w:p>
        </w:tc>
        <w:tc>
          <w:tcPr>
            <w:tcW w:w="1007" w:type="dxa"/>
          </w:tcPr>
          <w:p w14:paraId="7FB4A511"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24(57,1%)</w:t>
            </w:r>
          </w:p>
        </w:tc>
        <w:tc>
          <w:tcPr>
            <w:tcW w:w="1006" w:type="dxa"/>
          </w:tcPr>
          <w:p w14:paraId="502D66E6"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32(82,1%)</w:t>
            </w:r>
          </w:p>
        </w:tc>
        <w:tc>
          <w:tcPr>
            <w:tcW w:w="1053" w:type="dxa"/>
          </w:tcPr>
          <w:p w14:paraId="78D16AC8"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235(49,0%)</w:t>
            </w:r>
          </w:p>
        </w:tc>
      </w:tr>
      <w:tr w:rsidR="00ED51B1" w:rsidRPr="009A20B2" w14:paraId="6DFC847E" w14:textId="77777777" w:rsidTr="00ED51B1">
        <w:trPr>
          <w:trHeight w:val="93"/>
        </w:trPr>
        <w:tc>
          <w:tcPr>
            <w:tcW w:w="1380" w:type="dxa"/>
          </w:tcPr>
          <w:p w14:paraId="64CFE3B4"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hAnsi="Times New Roman" w:cs="Times New Roman"/>
                <w:sz w:val="24"/>
                <w:szCs w:val="24"/>
              </w:rPr>
              <w:t>Да, сам(а) купил(а)</w:t>
            </w:r>
          </w:p>
        </w:tc>
        <w:tc>
          <w:tcPr>
            <w:tcW w:w="1005" w:type="dxa"/>
          </w:tcPr>
          <w:p w14:paraId="165F5F23"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8(11,4%)</w:t>
            </w:r>
          </w:p>
        </w:tc>
        <w:tc>
          <w:tcPr>
            <w:tcW w:w="1006" w:type="dxa"/>
          </w:tcPr>
          <w:p w14:paraId="63D18706"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58(42,6%)</w:t>
            </w:r>
          </w:p>
        </w:tc>
        <w:tc>
          <w:tcPr>
            <w:tcW w:w="946" w:type="dxa"/>
          </w:tcPr>
          <w:p w14:paraId="7835CBB1"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27(34,2%)</w:t>
            </w:r>
          </w:p>
        </w:tc>
        <w:tc>
          <w:tcPr>
            <w:tcW w:w="946" w:type="dxa"/>
          </w:tcPr>
          <w:p w14:paraId="42D42F53"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35(46,7%)</w:t>
            </w:r>
          </w:p>
        </w:tc>
        <w:tc>
          <w:tcPr>
            <w:tcW w:w="1002" w:type="dxa"/>
          </w:tcPr>
          <w:p w14:paraId="61285DE4"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13(33,3%)</w:t>
            </w:r>
          </w:p>
        </w:tc>
        <w:tc>
          <w:tcPr>
            <w:tcW w:w="1007" w:type="dxa"/>
          </w:tcPr>
          <w:p w14:paraId="64A6CC64"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18(42,9%)</w:t>
            </w:r>
          </w:p>
        </w:tc>
        <w:tc>
          <w:tcPr>
            <w:tcW w:w="1006" w:type="dxa"/>
          </w:tcPr>
          <w:p w14:paraId="6DFC0CFD"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6(15,4%)</w:t>
            </w:r>
          </w:p>
        </w:tc>
        <w:tc>
          <w:tcPr>
            <w:tcW w:w="1053" w:type="dxa"/>
          </w:tcPr>
          <w:p w14:paraId="798B3EFE"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165(34,4%)</w:t>
            </w:r>
          </w:p>
        </w:tc>
      </w:tr>
      <w:tr w:rsidR="00ED51B1" w:rsidRPr="009A20B2" w14:paraId="3CC191FC" w14:textId="77777777" w:rsidTr="00ED51B1">
        <w:trPr>
          <w:trHeight w:val="63"/>
        </w:trPr>
        <w:tc>
          <w:tcPr>
            <w:tcW w:w="1380" w:type="dxa"/>
          </w:tcPr>
          <w:p w14:paraId="0B73B71C"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hAnsi="Times New Roman" w:cs="Times New Roman"/>
                <w:sz w:val="24"/>
                <w:szCs w:val="24"/>
              </w:rPr>
              <w:t>нет</w:t>
            </w:r>
          </w:p>
        </w:tc>
        <w:tc>
          <w:tcPr>
            <w:tcW w:w="1005" w:type="dxa"/>
          </w:tcPr>
          <w:p w14:paraId="71445ED9"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43(61,4%)</w:t>
            </w:r>
          </w:p>
        </w:tc>
        <w:tc>
          <w:tcPr>
            <w:tcW w:w="1006" w:type="dxa"/>
          </w:tcPr>
          <w:p w14:paraId="66F79514"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22(16,2%)</w:t>
            </w:r>
          </w:p>
        </w:tc>
        <w:tc>
          <w:tcPr>
            <w:tcW w:w="946" w:type="dxa"/>
          </w:tcPr>
          <w:p w14:paraId="431F0FFC"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2(2,5%)</w:t>
            </w:r>
          </w:p>
        </w:tc>
        <w:tc>
          <w:tcPr>
            <w:tcW w:w="946" w:type="dxa"/>
          </w:tcPr>
          <w:p w14:paraId="19B509B8"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12(16,0%)</w:t>
            </w:r>
          </w:p>
        </w:tc>
        <w:tc>
          <w:tcPr>
            <w:tcW w:w="1002" w:type="dxa"/>
          </w:tcPr>
          <w:p w14:paraId="5142A325"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0</w:t>
            </w:r>
          </w:p>
        </w:tc>
        <w:tc>
          <w:tcPr>
            <w:tcW w:w="1007" w:type="dxa"/>
          </w:tcPr>
          <w:p w14:paraId="0479B157"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0</w:t>
            </w:r>
          </w:p>
        </w:tc>
        <w:tc>
          <w:tcPr>
            <w:tcW w:w="1006" w:type="dxa"/>
          </w:tcPr>
          <w:p w14:paraId="4B95037D"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1(2,6%)</w:t>
            </w:r>
          </w:p>
        </w:tc>
        <w:tc>
          <w:tcPr>
            <w:tcW w:w="1053" w:type="dxa"/>
          </w:tcPr>
          <w:p w14:paraId="2EB3A4AF"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80(16,7%)</w:t>
            </w:r>
          </w:p>
        </w:tc>
      </w:tr>
      <w:tr w:rsidR="00ED51B1" w:rsidRPr="009A20B2" w14:paraId="7B90036D" w14:textId="77777777" w:rsidTr="00ED51B1">
        <w:trPr>
          <w:trHeight w:val="31"/>
        </w:trPr>
        <w:tc>
          <w:tcPr>
            <w:tcW w:w="1380" w:type="dxa"/>
          </w:tcPr>
          <w:p w14:paraId="690A442A"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sz w:val="24"/>
                <w:szCs w:val="24"/>
                <w:lang w:val="en-US"/>
              </w:rPr>
              <w:t>p</w:t>
            </w:r>
            <w:r w:rsidRPr="009A20B2">
              <w:rPr>
                <w:rFonts w:ascii="Times New Roman" w:eastAsia="Times New Roman" w:hAnsi="Times New Roman" w:cs="Times New Roman"/>
                <w:sz w:val="24"/>
                <w:szCs w:val="24"/>
              </w:rPr>
              <w:t>-</w:t>
            </w:r>
            <w:r w:rsidRPr="009A20B2">
              <w:rPr>
                <w:rFonts w:ascii="Times New Roman" w:eastAsia="Times New Roman" w:hAnsi="Times New Roman" w:cs="Times New Roman"/>
                <w:sz w:val="24"/>
                <w:szCs w:val="24"/>
                <w:lang w:val="en-US"/>
              </w:rPr>
              <w:t>value</w:t>
            </w:r>
          </w:p>
        </w:tc>
        <w:tc>
          <w:tcPr>
            <w:tcW w:w="1005" w:type="dxa"/>
          </w:tcPr>
          <w:p w14:paraId="49E5F45F" w14:textId="77777777" w:rsidR="007A2C38" w:rsidRPr="009A20B2" w:rsidRDefault="007A2C38" w:rsidP="004135FE">
            <w:pPr>
              <w:spacing w:after="0" w:line="240" w:lineRule="auto"/>
              <w:rPr>
                <w:rFonts w:ascii="Times New Roman" w:hAnsi="Times New Roman" w:cs="Times New Roman"/>
                <w:sz w:val="24"/>
                <w:szCs w:val="24"/>
              </w:rPr>
            </w:pPr>
            <w:r w:rsidRPr="009A20B2">
              <w:rPr>
                <w:rFonts w:ascii="Times New Roman" w:hAnsi="Times New Roman" w:cs="Times New Roman"/>
                <w:sz w:val="24"/>
                <w:szCs w:val="24"/>
              </w:rPr>
              <w:t>0,0001</w:t>
            </w:r>
          </w:p>
        </w:tc>
        <w:tc>
          <w:tcPr>
            <w:tcW w:w="1006" w:type="dxa"/>
          </w:tcPr>
          <w:p w14:paraId="15DCB6AF" w14:textId="1CD4D221" w:rsidR="007A2C38" w:rsidRPr="009A20B2" w:rsidRDefault="009A20B2" w:rsidP="009A20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946" w:type="dxa"/>
          </w:tcPr>
          <w:p w14:paraId="4F5906B4" w14:textId="2B8E0233" w:rsidR="007A2C38" w:rsidRPr="009A20B2" w:rsidRDefault="009A20B2" w:rsidP="009A20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946" w:type="dxa"/>
          </w:tcPr>
          <w:p w14:paraId="25630AE6" w14:textId="01F71993" w:rsidR="007A2C38" w:rsidRPr="009A20B2" w:rsidRDefault="009A20B2" w:rsidP="009A20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02" w:type="dxa"/>
          </w:tcPr>
          <w:p w14:paraId="63A5D56C" w14:textId="7F9CD4F8" w:rsidR="007A2C38" w:rsidRPr="009A20B2" w:rsidRDefault="009A20B2" w:rsidP="009A20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07" w:type="dxa"/>
          </w:tcPr>
          <w:p w14:paraId="6BF96F17" w14:textId="3EA3339E" w:rsidR="007A2C38" w:rsidRPr="009A20B2" w:rsidRDefault="009A20B2" w:rsidP="009A20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06" w:type="dxa"/>
          </w:tcPr>
          <w:p w14:paraId="5B27C3E8" w14:textId="1600192E" w:rsidR="007A2C38" w:rsidRPr="009A20B2" w:rsidRDefault="009A20B2" w:rsidP="009A20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53" w:type="dxa"/>
          </w:tcPr>
          <w:p w14:paraId="1F93938B" w14:textId="1CD2B8F4" w:rsidR="007A2C38" w:rsidRPr="009A20B2" w:rsidRDefault="009A20B2" w:rsidP="009A20B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7A2C38" w:rsidRPr="009A20B2" w14:paraId="5F22EF9A" w14:textId="77777777" w:rsidTr="00ED51B1">
        <w:trPr>
          <w:trHeight w:val="29"/>
        </w:trPr>
        <w:tc>
          <w:tcPr>
            <w:tcW w:w="9351" w:type="dxa"/>
            <w:gridSpan w:val="9"/>
          </w:tcPr>
          <w:p w14:paraId="5EE054D2"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hAnsi="Times New Roman" w:cs="Times New Roman"/>
                <w:sz w:val="24"/>
                <w:szCs w:val="24"/>
              </w:rPr>
              <w:t>Состав Вашего лечения от СД2т</w:t>
            </w:r>
          </w:p>
        </w:tc>
      </w:tr>
      <w:tr w:rsidR="00ED51B1" w:rsidRPr="009A20B2" w14:paraId="3DFB8768" w14:textId="77777777" w:rsidTr="00ED51B1">
        <w:trPr>
          <w:trHeight w:val="95"/>
        </w:trPr>
        <w:tc>
          <w:tcPr>
            <w:tcW w:w="1380" w:type="dxa"/>
            <w:tcBorders>
              <w:bottom w:val="single" w:sz="4" w:space="0" w:color="auto"/>
            </w:tcBorders>
          </w:tcPr>
          <w:p w14:paraId="5A4ED5B0"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hAnsi="Times New Roman" w:cs="Times New Roman"/>
                <w:sz w:val="24"/>
                <w:szCs w:val="24"/>
              </w:rPr>
              <w:t>На диетотерапии</w:t>
            </w:r>
          </w:p>
        </w:tc>
        <w:tc>
          <w:tcPr>
            <w:tcW w:w="1005" w:type="dxa"/>
            <w:tcBorders>
              <w:bottom w:val="single" w:sz="4" w:space="0" w:color="auto"/>
            </w:tcBorders>
          </w:tcPr>
          <w:p w14:paraId="1D68AC9D"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7(10,0%)</w:t>
            </w:r>
          </w:p>
        </w:tc>
        <w:tc>
          <w:tcPr>
            <w:tcW w:w="1006" w:type="dxa"/>
            <w:tcBorders>
              <w:bottom w:val="single" w:sz="4" w:space="0" w:color="auto"/>
            </w:tcBorders>
          </w:tcPr>
          <w:p w14:paraId="53B2B72F"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5(3,7%)</w:t>
            </w:r>
          </w:p>
        </w:tc>
        <w:tc>
          <w:tcPr>
            <w:tcW w:w="946" w:type="dxa"/>
            <w:tcBorders>
              <w:bottom w:val="single" w:sz="4" w:space="0" w:color="auto"/>
            </w:tcBorders>
          </w:tcPr>
          <w:p w14:paraId="0A2A701A"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5(6,3%)</w:t>
            </w:r>
          </w:p>
        </w:tc>
        <w:tc>
          <w:tcPr>
            <w:tcW w:w="946" w:type="dxa"/>
            <w:tcBorders>
              <w:bottom w:val="single" w:sz="4" w:space="0" w:color="auto"/>
            </w:tcBorders>
          </w:tcPr>
          <w:p w14:paraId="191B49BF"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1(1,3%)</w:t>
            </w:r>
          </w:p>
        </w:tc>
        <w:tc>
          <w:tcPr>
            <w:tcW w:w="1002" w:type="dxa"/>
            <w:tcBorders>
              <w:bottom w:val="single" w:sz="4" w:space="0" w:color="auto"/>
            </w:tcBorders>
          </w:tcPr>
          <w:p w14:paraId="46E8F5FC"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1(2,6%)</w:t>
            </w:r>
          </w:p>
        </w:tc>
        <w:tc>
          <w:tcPr>
            <w:tcW w:w="1007" w:type="dxa"/>
            <w:tcBorders>
              <w:bottom w:val="single" w:sz="4" w:space="0" w:color="auto"/>
            </w:tcBorders>
          </w:tcPr>
          <w:p w14:paraId="723196F7"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2(4,8%)</w:t>
            </w:r>
          </w:p>
        </w:tc>
        <w:tc>
          <w:tcPr>
            <w:tcW w:w="1006" w:type="dxa"/>
            <w:tcBorders>
              <w:bottom w:val="single" w:sz="4" w:space="0" w:color="auto"/>
            </w:tcBorders>
          </w:tcPr>
          <w:p w14:paraId="73797A70"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0</w:t>
            </w:r>
          </w:p>
        </w:tc>
        <w:tc>
          <w:tcPr>
            <w:tcW w:w="1053" w:type="dxa"/>
            <w:tcBorders>
              <w:bottom w:val="single" w:sz="4" w:space="0" w:color="auto"/>
            </w:tcBorders>
          </w:tcPr>
          <w:p w14:paraId="165B0C82"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21(4,4%)</w:t>
            </w:r>
          </w:p>
        </w:tc>
      </w:tr>
      <w:tr w:rsidR="00ED51B1" w:rsidRPr="009A20B2" w14:paraId="1773759E" w14:textId="77777777" w:rsidTr="00ED51B1">
        <w:trPr>
          <w:trHeight w:val="127"/>
        </w:trPr>
        <w:tc>
          <w:tcPr>
            <w:tcW w:w="1380" w:type="dxa"/>
            <w:tcBorders>
              <w:bottom w:val="nil"/>
            </w:tcBorders>
          </w:tcPr>
          <w:p w14:paraId="758672C0"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hAnsi="Times New Roman" w:cs="Times New Roman"/>
                <w:sz w:val="24"/>
                <w:szCs w:val="24"/>
              </w:rPr>
              <w:t>1 препарат в виде таблетки</w:t>
            </w:r>
          </w:p>
        </w:tc>
        <w:tc>
          <w:tcPr>
            <w:tcW w:w="1005" w:type="dxa"/>
            <w:tcBorders>
              <w:bottom w:val="nil"/>
            </w:tcBorders>
          </w:tcPr>
          <w:p w14:paraId="41ED2503"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34(48,6%)</w:t>
            </w:r>
          </w:p>
        </w:tc>
        <w:tc>
          <w:tcPr>
            <w:tcW w:w="1006" w:type="dxa"/>
            <w:tcBorders>
              <w:bottom w:val="nil"/>
            </w:tcBorders>
          </w:tcPr>
          <w:p w14:paraId="41B1C845"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42(30,9%)</w:t>
            </w:r>
          </w:p>
        </w:tc>
        <w:tc>
          <w:tcPr>
            <w:tcW w:w="946" w:type="dxa"/>
            <w:tcBorders>
              <w:bottom w:val="nil"/>
            </w:tcBorders>
          </w:tcPr>
          <w:p w14:paraId="5C5CD349"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17(21,5%)</w:t>
            </w:r>
          </w:p>
        </w:tc>
        <w:tc>
          <w:tcPr>
            <w:tcW w:w="946" w:type="dxa"/>
            <w:tcBorders>
              <w:bottom w:val="nil"/>
            </w:tcBorders>
          </w:tcPr>
          <w:p w14:paraId="702277A6"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23(30,7%)</w:t>
            </w:r>
          </w:p>
        </w:tc>
        <w:tc>
          <w:tcPr>
            <w:tcW w:w="1002" w:type="dxa"/>
            <w:tcBorders>
              <w:bottom w:val="nil"/>
            </w:tcBorders>
          </w:tcPr>
          <w:p w14:paraId="75551D3A"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2(5,1%)</w:t>
            </w:r>
          </w:p>
        </w:tc>
        <w:tc>
          <w:tcPr>
            <w:tcW w:w="1007" w:type="dxa"/>
            <w:tcBorders>
              <w:bottom w:val="nil"/>
            </w:tcBorders>
          </w:tcPr>
          <w:p w14:paraId="5D4F3913"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2(4,8%)</w:t>
            </w:r>
          </w:p>
        </w:tc>
        <w:tc>
          <w:tcPr>
            <w:tcW w:w="1006" w:type="dxa"/>
            <w:tcBorders>
              <w:bottom w:val="nil"/>
            </w:tcBorders>
          </w:tcPr>
          <w:p w14:paraId="434D633F"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3(7,7%)</w:t>
            </w:r>
          </w:p>
        </w:tc>
        <w:tc>
          <w:tcPr>
            <w:tcW w:w="1053" w:type="dxa"/>
            <w:tcBorders>
              <w:bottom w:val="nil"/>
            </w:tcBorders>
          </w:tcPr>
          <w:p w14:paraId="0AE53D75" w14:textId="77777777" w:rsidR="007A2C38" w:rsidRPr="009A20B2" w:rsidRDefault="007A2C38" w:rsidP="004135FE">
            <w:pPr>
              <w:autoSpaceDE w:val="0"/>
              <w:autoSpaceDN w:val="0"/>
              <w:adjustRightInd w:val="0"/>
              <w:spacing w:after="0" w:line="240" w:lineRule="auto"/>
              <w:rPr>
                <w:rFonts w:ascii="Times New Roman" w:hAnsi="Times New Roman" w:cs="Times New Roman"/>
                <w:sz w:val="24"/>
                <w:szCs w:val="24"/>
              </w:rPr>
            </w:pPr>
            <w:r w:rsidRPr="009A20B2">
              <w:rPr>
                <w:rFonts w:ascii="Times New Roman" w:eastAsia="Times New Roman" w:hAnsi="Times New Roman" w:cs="Times New Roman"/>
                <w:color w:val="000000"/>
                <w:sz w:val="24"/>
                <w:szCs w:val="24"/>
              </w:rPr>
              <w:t>123(25,6%)</w:t>
            </w:r>
          </w:p>
        </w:tc>
      </w:tr>
    </w:tbl>
    <w:p w14:paraId="1576AC9F" w14:textId="77777777" w:rsidR="00ED51B1" w:rsidRDefault="00ED51B1"/>
    <w:p w14:paraId="2E742DFF" w14:textId="77777777" w:rsidR="00ED51B1" w:rsidRDefault="00ED51B1"/>
    <w:p w14:paraId="52D6EB12" w14:textId="04C90291" w:rsidR="00ED51B1" w:rsidRPr="00ED51B1" w:rsidRDefault="00ED51B1">
      <w:pPr>
        <w:rPr>
          <w:rFonts w:ascii="Times New Roman" w:hAnsi="Times New Roman" w:cs="Times New Roman"/>
          <w:bCs/>
          <w:sz w:val="28"/>
          <w:szCs w:val="28"/>
        </w:rPr>
      </w:pPr>
      <w:r w:rsidRPr="00ED51B1">
        <w:rPr>
          <w:rFonts w:ascii="Times New Roman" w:hAnsi="Times New Roman" w:cs="Times New Roman"/>
          <w:bCs/>
          <w:sz w:val="28"/>
          <w:szCs w:val="28"/>
        </w:rPr>
        <w:t>Продолжение таблицы 52</w:t>
      </w:r>
    </w:p>
    <w:tbl>
      <w:tblPr>
        <w:tblStyle w:val="a5"/>
        <w:tblW w:w="9435" w:type="dxa"/>
        <w:tblLayout w:type="fixed"/>
        <w:tblLook w:val="04A0" w:firstRow="1" w:lastRow="0" w:firstColumn="1" w:lastColumn="0" w:noHBand="0" w:noVBand="1"/>
      </w:tblPr>
      <w:tblGrid>
        <w:gridCol w:w="1380"/>
        <w:gridCol w:w="1005"/>
        <w:gridCol w:w="1006"/>
        <w:gridCol w:w="946"/>
        <w:gridCol w:w="946"/>
        <w:gridCol w:w="1002"/>
        <w:gridCol w:w="1007"/>
        <w:gridCol w:w="1006"/>
        <w:gridCol w:w="1137"/>
      </w:tblGrid>
      <w:tr w:rsidR="00ED51B1" w:rsidRPr="00ED51B1" w14:paraId="2F84EB69" w14:textId="77777777" w:rsidTr="00ED51B1">
        <w:trPr>
          <w:trHeight w:val="93"/>
        </w:trPr>
        <w:tc>
          <w:tcPr>
            <w:tcW w:w="1380" w:type="dxa"/>
          </w:tcPr>
          <w:p w14:paraId="54A9F036" w14:textId="1947E7F3" w:rsidR="00ED51B1" w:rsidRPr="00ED51B1" w:rsidRDefault="00ED51B1" w:rsidP="00ED51B1">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005" w:type="dxa"/>
          </w:tcPr>
          <w:p w14:paraId="16711BD7" w14:textId="769A0FB8" w:rsidR="00ED51B1" w:rsidRPr="00ED51B1" w:rsidRDefault="00ED51B1" w:rsidP="00ED51B1">
            <w:pPr>
              <w:autoSpaceDE w:val="0"/>
              <w:autoSpaceDN w:val="0"/>
              <w:adjustRightInd w:val="0"/>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c>
          <w:tcPr>
            <w:tcW w:w="1006" w:type="dxa"/>
          </w:tcPr>
          <w:p w14:paraId="0C45C0E1" w14:textId="0F59F9C3" w:rsidR="00ED51B1" w:rsidRPr="00ED51B1" w:rsidRDefault="00ED51B1" w:rsidP="00ED51B1">
            <w:pPr>
              <w:autoSpaceDE w:val="0"/>
              <w:autoSpaceDN w:val="0"/>
              <w:adjustRightInd w:val="0"/>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w:t>
            </w:r>
          </w:p>
        </w:tc>
        <w:tc>
          <w:tcPr>
            <w:tcW w:w="946" w:type="dxa"/>
          </w:tcPr>
          <w:p w14:paraId="6B052CEF" w14:textId="09CF6152" w:rsidR="00ED51B1" w:rsidRPr="00ED51B1" w:rsidRDefault="00ED51B1" w:rsidP="00ED51B1">
            <w:pPr>
              <w:autoSpaceDE w:val="0"/>
              <w:autoSpaceDN w:val="0"/>
              <w:adjustRightInd w:val="0"/>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c>
          <w:tcPr>
            <w:tcW w:w="946" w:type="dxa"/>
          </w:tcPr>
          <w:p w14:paraId="4099CBAE" w14:textId="73D53218" w:rsidR="00ED51B1" w:rsidRPr="00ED51B1" w:rsidRDefault="00ED51B1" w:rsidP="00ED51B1">
            <w:pPr>
              <w:autoSpaceDE w:val="0"/>
              <w:autoSpaceDN w:val="0"/>
              <w:adjustRightInd w:val="0"/>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c>
          <w:tcPr>
            <w:tcW w:w="1002" w:type="dxa"/>
          </w:tcPr>
          <w:p w14:paraId="6727999E" w14:textId="54EFC278" w:rsidR="00ED51B1" w:rsidRPr="00ED51B1" w:rsidRDefault="00ED51B1" w:rsidP="00ED51B1">
            <w:pPr>
              <w:autoSpaceDE w:val="0"/>
              <w:autoSpaceDN w:val="0"/>
              <w:adjustRightInd w:val="0"/>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p>
        </w:tc>
        <w:tc>
          <w:tcPr>
            <w:tcW w:w="1007" w:type="dxa"/>
          </w:tcPr>
          <w:p w14:paraId="753D2035" w14:textId="0D046A43" w:rsidR="00ED51B1" w:rsidRPr="00ED51B1" w:rsidRDefault="00ED51B1" w:rsidP="00ED51B1">
            <w:pPr>
              <w:autoSpaceDE w:val="0"/>
              <w:autoSpaceDN w:val="0"/>
              <w:adjustRightInd w:val="0"/>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w:t>
            </w:r>
          </w:p>
        </w:tc>
        <w:tc>
          <w:tcPr>
            <w:tcW w:w="1006" w:type="dxa"/>
          </w:tcPr>
          <w:p w14:paraId="45097AFA" w14:textId="7D6D38B2" w:rsidR="00ED51B1" w:rsidRPr="00ED51B1" w:rsidRDefault="00ED51B1" w:rsidP="00ED51B1">
            <w:pPr>
              <w:autoSpaceDE w:val="0"/>
              <w:autoSpaceDN w:val="0"/>
              <w:adjustRightInd w:val="0"/>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w:t>
            </w:r>
          </w:p>
        </w:tc>
        <w:tc>
          <w:tcPr>
            <w:tcW w:w="1137" w:type="dxa"/>
          </w:tcPr>
          <w:p w14:paraId="17BFAE0D" w14:textId="6224F2E2" w:rsidR="00ED51B1" w:rsidRPr="00ED51B1" w:rsidRDefault="00ED51B1" w:rsidP="00ED51B1">
            <w:pPr>
              <w:autoSpaceDE w:val="0"/>
              <w:autoSpaceDN w:val="0"/>
              <w:adjustRightInd w:val="0"/>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w:t>
            </w:r>
          </w:p>
        </w:tc>
      </w:tr>
      <w:tr w:rsidR="00ED51B1" w:rsidRPr="00ED51B1" w14:paraId="55F3E03E" w14:textId="77777777" w:rsidTr="00ED51B1">
        <w:trPr>
          <w:trHeight w:val="93"/>
        </w:trPr>
        <w:tc>
          <w:tcPr>
            <w:tcW w:w="1380" w:type="dxa"/>
          </w:tcPr>
          <w:p w14:paraId="4373E625"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hAnsi="Times New Roman" w:cs="Times New Roman"/>
                <w:sz w:val="28"/>
                <w:szCs w:val="28"/>
              </w:rPr>
              <w:t>Комбинация препаратов в виде таблеток</w:t>
            </w:r>
          </w:p>
        </w:tc>
        <w:tc>
          <w:tcPr>
            <w:tcW w:w="1005" w:type="dxa"/>
          </w:tcPr>
          <w:p w14:paraId="5050F8AD"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15(21,4%)</w:t>
            </w:r>
          </w:p>
        </w:tc>
        <w:tc>
          <w:tcPr>
            <w:tcW w:w="1006" w:type="dxa"/>
          </w:tcPr>
          <w:p w14:paraId="4D60D984"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42(30,9%)</w:t>
            </w:r>
          </w:p>
        </w:tc>
        <w:tc>
          <w:tcPr>
            <w:tcW w:w="946" w:type="dxa"/>
          </w:tcPr>
          <w:p w14:paraId="17858089"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19(24,1%)</w:t>
            </w:r>
          </w:p>
        </w:tc>
        <w:tc>
          <w:tcPr>
            <w:tcW w:w="946" w:type="dxa"/>
          </w:tcPr>
          <w:p w14:paraId="77A0CA9A"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31(41,3%)</w:t>
            </w:r>
          </w:p>
        </w:tc>
        <w:tc>
          <w:tcPr>
            <w:tcW w:w="1002" w:type="dxa"/>
          </w:tcPr>
          <w:p w14:paraId="6E89770B"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10(25,6%)</w:t>
            </w:r>
          </w:p>
        </w:tc>
        <w:tc>
          <w:tcPr>
            <w:tcW w:w="1007" w:type="dxa"/>
          </w:tcPr>
          <w:p w14:paraId="2AA8E000"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16(38,1%)</w:t>
            </w:r>
          </w:p>
        </w:tc>
        <w:tc>
          <w:tcPr>
            <w:tcW w:w="1006" w:type="dxa"/>
          </w:tcPr>
          <w:p w14:paraId="2BA63558"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3(7,7%)</w:t>
            </w:r>
          </w:p>
        </w:tc>
        <w:tc>
          <w:tcPr>
            <w:tcW w:w="1137" w:type="dxa"/>
          </w:tcPr>
          <w:p w14:paraId="2259468A"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136(28,3%)</w:t>
            </w:r>
          </w:p>
        </w:tc>
      </w:tr>
      <w:tr w:rsidR="00ED51B1" w:rsidRPr="00ED51B1" w14:paraId="56280563" w14:textId="77777777" w:rsidTr="00ED51B1">
        <w:trPr>
          <w:trHeight w:val="14"/>
        </w:trPr>
        <w:tc>
          <w:tcPr>
            <w:tcW w:w="1380" w:type="dxa"/>
          </w:tcPr>
          <w:p w14:paraId="07EE88A3"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hAnsi="Times New Roman" w:cs="Times New Roman"/>
                <w:sz w:val="28"/>
                <w:szCs w:val="28"/>
              </w:rPr>
              <w:t>Таблетки+инсулин</w:t>
            </w:r>
          </w:p>
        </w:tc>
        <w:tc>
          <w:tcPr>
            <w:tcW w:w="1005" w:type="dxa"/>
          </w:tcPr>
          <w:p w14:paraId="64FC8E15"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12(17,1%)</w:t>
            </w:r>
          </w:p>
        </w:tc>
        <w:tc>
          <w:tcPr>
            <w:tcW w:w="1006" w:type="dxa"/>
          </w:tcPr>
          <w:p w14:paraId="47E3B6A9"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42(30,9%)</w:t>
            </w:r>
          </w:p>
        </w:tc>
        <w:tc>
          <w:tcPr>
            <w:tcW w:w="946" w:type="dxa"/>
          </w:tcPr>
          <w:p w14:paraId="05E354FA"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30(38,0%)</w:t>
            </w:r>
          </w:p>
        </w:tc>
        <w:tc>
          <w:tcPr>
            <w:tcW w:w="946" w:type="dxa"/>
          </w:tcPr>
          <w:p w14:paraId="7D3FBDA7"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19(25,3%)</w:t>
            </w:r>
          </w:p>
        </w:tc>
        <w:tc>
          <w:tcPr>
            <w:tcW w:w="1002" w:type="dxa"/>
          </w:tcPr>
          <w:p w14:paraId="115BB0C6"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21(53,8%)</w:t>
            </w:r>
          </w:p>
        </w:tc>
        <w:tc>
          <w:tcPr>
            <w:tcW w:w="1007" w:type="dxa"/>
          </w:tcPr>
          <w:p w14:paraId="05994E36"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20(47,6%)</w:t>
            </w:r>
          </w:p>
        </w:tc>
        <w:tc>
          <w:tcPr>
            <w:tcW w:w="1006" w:type="dxa"/>
          </w:tcPr>
          <w:p w14:paraId="655A1C85"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16(41,0%)</w:t>
            </w:r>
          </w:p>
        </w:tc>
        <w:tc>
          <w:tcPr>
            <w:tcW w:w="1137" w:type="dxa"/>
          </w:tcPr>
          <w:p w14:paraId="4D050F47"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160(33,3%)</w:t>
            </w:r>
          </w:p>
        </w:tc>
      </w:tr>
      <w:tr w:rsidR="00ED51B1" w:rsidRPr="00ED51B1" w14:paraId="338F226B" w14:textId="77777777" w:rsidTr="00ED51B1">
        <w:trPr>
          <w:trHeight w:val="14"/>
        </w:trPr>
        <w:tc>
          <w:tcPr>
            <w:tcW w:w="1380" w:type="dxa"/>
          </w:tcPr>
          <w:p w14:paraId="586384B3"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hAnsi="Times New Roman" w:cs="Times New Roman"/>
                <w:sz w:val="28"/>
                <w:szCs w:val="28"/>
              </w:rPr>
              <w:t>Инсулины короткого и продленного действия</w:t>
            </w:r>
          </w:p>
        </w:tc>
        <w:tc>
          <w:tcPr>
            <w:tcW w:w="1005" w:type="dxa"/>
          </w:tcPr>
          <w:p w14:paraId="7CE6A9C8"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2(2,9%)</w:t>
            </w:r>
          </w:p>
        </w:tc>
        <w:tc>
          <w:tcPr>
            <w:tcW w:w="1006" w:type="dxa"/>
          </w:tcPr>
          <w:p w14:paraId="380C46EE"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5(3,7%)</w:t>
            </w:r>
          </w:p>
        </w:tc>
        <w:tc>
          <w:tcPr>
            <w:tcW w:w="946" w:type="dxa"/>
          </w:tcPr>
          <w:p w14:paraId="4A09FA3E"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8(10,1%)</w:t>
            </w:r>
          </w:p>
        </w:tc>
        <w:tc>
          <w:tcPr>
            <w:tcW w:w="946" w:type="dxa"/>
          </w:tcPr>
          <w:p w14:paraId="7BD1F7EF"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1(1,3%)</w:t>
            </w:r>
          </w:p>
        </w:tc>
        <w:tc>
          <w:tcPr>
            <w:tcW w:w="1002" w:type="dxa"/>
          </w:tcPr>
          <w:p w14:paraId="41217CBE"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5(12,8%)</w:t>
            </w:r>
          </w:p>
        </w:tc>
        <w:tc>
          <w:tcPr>
            <w:tcW w:w="1007" w:type="dxa"/>
          </w:tcPr>
          <w:p w14:paraId="3CBB54AC"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2(4,8%)</w:t>
            </w:r>
          </w:p>
        </w:tc>
        <w:tc>
          <w:tcPr>
            <w:tcW w:w="1006" w:type="dxa"/>
          </w:tcPr>
          <w:p w14:paraId="79AC278B"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17(43,6%)</w:t>
            </w:r>
          </w:p>
        </w:tc>
        <w:tc>
          <w:tcPr>
            <w:tcW w:w="1137" w:type="dxa"/>
          </w:tcPr>
          <w:p w14:paraId="5C75F043"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40(8,3%)</w:t>
            </w:r>
          </w:p>
        </w:tc>
      </w:tr>
      <w:tr w:rsidR="00ED51B1" w:rsidRPr="00ED51B1" w14:paraId="24731EA7" w14:textId="77777777" w:rsidTr="00ED51B1">
        <w:trPr>
          <w:trHeight w:val="14"/>
        </w:trPr>
        <w:tc>
          <w:tcPr>
            <w:tcW w:w="1380" w:type="dxa"/>
          </w:tcPr>
          <w:p w14:paraId="152821D0"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hAnsi="Times New Roman" w:cs="Times New Roman"/>
                <w:sz w:val="28"/>
                <w:szCs w:val="28"/>
              </w:rPr>
              <w:t>ИТОГО</w:t>
            </w:r>
          </w:p>
        </w:tc>
        <w:tc>
          <w:tcPr>
            <w:tcW w:w="1005" w:type="dxa"/>
          </w:tcPr>
          <w:p w14:paraId="3FA5F238"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70(100%)</w:t>
            </w:r>
          </w:p>
        </w:tc>
        <w:tc>
          <w:tcPr>
            <w:tcW w:w="1006" w:type="dxa"/>
          </w:tcPr>
          <w:p w14:paraId="5C4A1706"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136(100%)</w:t>
            </w:r>
          </w:p>
        </w:tc>
        <w:tc>
          <w:tcPr>
            <w:tcW w:w="946" w:type="dxa"/>
          </w:tcPr>
          <w:p w14:paraId="2162225D"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79(100%)</w:t>
            </w:r>
          </w:p>
        </w:tc>
        <w:tc>
          <w:tcPr>
            <w:tcW w:w="946" w:type="dxa"/>
          </w:tcPr>
          <w:p w14:paraId="4CCD13D0"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75(100%)</w:t>
            </w:r>
          </w:p>
        </w:tc>
        <w:tc>
          <w:tcPr>
            <w:tcW w:w="1002" w:type="dxa"/>
          </w:tcPr>
          <w:p w14:paraId="727DFE15"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39(100%)</w:t>
            </w:r>
          </w:p>
        </w:tc>
        <w:tc>
          <w:tcPr>
            <w:tcW w:w="1007" w:type="dxa"/>
          </w:tcPr>
          <w:p w14:paraId="66895E91"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42(100%)</w:t>
            </w:r>
          </w:p>
        </w:tc>
        <w:tc>
          <w:tcPr>
            <w:tcW w:w="1006" w:type="dxa"/>
          </w:tcPr>
          <w:p w14:paraId="3EFDD317"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39(100%)</w:t>
            </w:r>
          </w:p>
        </w:tc>
        <w:tc>
          <w:tcPr>
            <w:tcW w:w="1137" w:type="dxa"/>
          </w:tcPr>
          <w:p w14:paraId="2A980135"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color w:val="000000"/>
                <w:sz w:val="28"/>
                <w:szCs w:val="28"/>
              </w:rPr>
              <w:t>480(100%)</w:t>
            </w:r>
          </w:p>
        </w:tc>
      </w:tr>
      <w:tr w:rsidR="00ED51B1" w:rsidRPr="00ED51B1" w14:paraId="14F762D5" w14:textId="77777777" w:rsidTr="00ED51B1">
        <w:trPr>
          <w:trHeight w:val="29"/>
        </w:trPr>
        <w:tc>
          <w:tcPr>
            <w:tcW w:w="1380" w:type="dxa"/>
          </w:tcPr>
          <w:p w14:paraId="6F6BC2AF" w14:textId="77777777" w:rsidR="007A2C38" w:rsidRPr="00ED51B1" w:rsidRDefault="007A2C38" w:rsidP="004135FE">
            <w:pPr>
              <w:autoSpaceDE w:val="0"/>
              <w:autoSpaceDN w:val="0"/>
              <w:adjustRightInd w:val="0"/>
              <w:spacing w:after="0" w:line="240" w:lineRule="auto"/>
              <w:rPr>
                <w:rFonts w:ascii="Times New Roman" w:hAnsi="Times New Roman" w:cs="Times New Roman"/>
                <w:sz w:val="28"/>
                <w:szCs w:val="28"/>
              </w:rPr>
            </w:pPr>
            <w:r w:rsidRPr="00ED51B1">
              <w:rPr>
                <w:rFonts w:ascii="Times New Roman" w:eastAsia="Times New Roman" w:hAnsi="Times New Roman" w:cs="Times New Roman"/>
                <w:sz w:val="28"/>
                <w:szCs w:val="28"/>
                <w:lang w:val="en-US"/>
              </w:rPr>
              <w:t>p</w:t>
            </w:r>
            <w:r w:rsidRPr="00ED51B1">
              <w:rPr>
                <w:rFonts w:ascii="Times New Roman" w:eastAsia="Times New Roman" w:hAnsi="Times New Roman" w:cs="Times New Roman"/>
                <w:sz w:val="28"/>
                <w:szCs w:val="28"/>
              </w:rPr>
              <w:t>-</w:t>
            </w:r>
            <w:r w:rsidRPr="00ED51B1">
              <w:rPr>
                <w:rFonts w:ascii="Times New Roman" w:eastAsia="Times New Roman" w:hAnsi="Times New Roman" w:cs="Times New Roman"/>
                <w:sz w:val="28"/>
                <w:szCs w:val="28"/>
                <w:lang w:val="en-US"/>
              </w:rPr>
              <w:t>value</w:t>
            </w:r>
          </w:p>
        </w:tc>
        <w:tc>
          <w:tcPr>
            <w:tcW w:w="1005" w:type="dxa"/>
          </w:tcPr>
          <w:p w14:paraId="1418A17F" w14:textId="77777777" w:rsidR="007A2C38" w:rsidRPr="00ED51B1" w:rsidRDefault="007A2C38" w:rsidP="004135FE">
            <w:pPr>
              <w:spacing w:after="0" w:line="240" w:lineRule="auto"/>
              <w:rPr>
                <w:rFonts w:ascii="Times New Roman" w:hAnsi="Times New Roman" w:cs="Times New Roman"/>
                <w:sz w:val="28"/>
                <w:szCs w:val="28"/>
              </w:rPr>
            </w:pPr>
            <w:r w:rsidRPr="00ED51B1">
              <w:rPr>
                <w:rFonts w:ascii="Times New Roman" w:hAnsi="Times New Roman" w:cs="Times New Roman"/>
                <w:sz w:val="28"/>
                <w:szCs w:val="28"/>
              </w:rPr>
              <w:t>0,0001</w:t>
            </w:r>
          </w:p>
        </w:tc>
        <w:tc>
          <w:tcPr>
            <w:tcW w:w="1006" w:type="dxa"/>
          </w:tcPr>
          <w:p w14:paraId="0FF84A99" w14:textId="50236E77" w:rsidR="007A2C38" w:rsidRPr="00ED51B1" w:rsidRDefault="00B270B3" w:rsidP="00B270B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946" w:type="dxa"/>
          </w:tcPr>
          <w:p w14:paraId="435291AB" w14:textId="7A51A704" w:rsidR="007A2C38" w:rsidRPr="00ED51B1" w:rsidRDefault="00B270B3" w:rsidP="00B270B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946" w:type="dxa"/>
          </w:tcPr>
          <w:p w14:paraId="51AB2EE7" w14:textId="298131DA" w:rsidR="007A2C38" w:rsidRPr="00ED51B1" w:rsidRDefault="00B270B3" w:rsidP="00B270B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002" w:type="dxa"/>
          </w:tcPr>
          <w:p w14:paraId="2F332F55" w14:textId="5C62332A" w:rsidR="007A2C38" w:rsidRPr="00ED51B1" w:rsidRDefault="00B270B3" w:rsidP="00B270B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007" w:type="dxa"/>
          </w:tcPr>
          <w:p w14:paraId="59AB9A6E" w14:textId="3E51AA39" w:rsidR="007A2C38" w:rsidRPr="00ED51B1" w:rsidRDefault="00B270B3" w:rsidP="00B270B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006" w:type="dxa"/>
          </w:tcPr>
          <w:p w14:paraId="275063E6" w14:textId="5DFC2FFC" w:rsidR="007A2C38" w:rsidRPr="00ED51B1" w:rsidRDefault="00B270B3" w:rsidP="00B270B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137" w:type="dxa"/>
          </w:tcPr>
          <w:p w14:paraId="521544A6" w14:textId="2EC9CA3D" w:rsidR="007A2C38" w:rsidRPr="00ED51B1" w:rsidRDefault="00B270B3" w:rsidP="00B270B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r>
    </w:tbl>
    <w:p w14:paraId="719746A4" w14:textId="77777777" w:rsidR="007A2C38" w:rsidRPr="00ED51B1" w:rsidRDefault="007A2C38" w:rsidP="004135FE">
      <w:pPr>
        <w:spacing w:after="0" w:line="240" w:lineRule="auto"/>
        <w:ind w:firstLine="567"/>
        <w:jc w:val="both"/>
        <w:rPr>
          <w:rFonts w:ascii="Times New Roman" w:hAnsi="Times New Roman" w:cs="Times New Roman"/>
          <w:sz w:val="28"/>
          <w:szCs w:val="28"/>
        </w:rPr>
      </w:pPr>
    </w:p>
    <w:p w14:paraId="537DE36F" w14:textId="77777777" w:rsidR="007A2C38" w:rsidRPr="004135FE" w:rsidRDefault="007A2C38" w:rsidP="00ED51B1">
      <w:pPr>
        <w:spacing w:after="0" w:line="240" w:lineRule="auto"/>
        <w:ind w:firstLine="709"/>
        <w:jc w:val="both"/>
        <w:rPr>
          <w:rFonts w:ascii="Times New Roman" w:hAnsi="Times New Roman" w:cs="Times New Roman"/>
          <w:bCs/>
          <w:sz w:val="28"/>
          <w:szCs w:val="28"/>
        </w:rPr>
      </w:pPr>
      <w:r w:rsidRPr="00ED51B1">
        <w:rPr>
          <w:rFonts w:ascii="Times New Roman" w:hAnsi="Times New Roman" w:cs="Times New Roman"/>
          <w:sz w:val="28"/>
          <w:szCs w:val="28"/>
        </w:rPr>
        <w:t>Таким образом, среди всех опрошенных большинство не посещали никаких школ</w:t>
      </w:r>
      <w:r w:rsidRPr="004135FE">
        <w:rPr>
          <w:rFonts w:ascii="Times New Roman" w:hAnsi="Times New Roman" w:cs="Times New Roman"/>
          <w:bCs/>
          <w:sz w:val="28"/>
          <w:szCs w:val="28"/>
        </w:rPr>
        <w:t xml:space="preserve"> здоровья. Посещаемость ШД</w:t>
      </w:r>
      <w:r w:rsidRPr="004135FE">
        <w:rPr>
          <w:rFonts w:ascii="Times New Roman" w:hAnsi="Times New Roman" w:cs="Times New Roman"/>
          <w:sz w:val="28"/>
          <w:szCs w:val="28"/>
        </w:rPr>
        <w:t xml:space="preserve"> среди всех школ</w:t>
      </w:r>
      <w:r w:rsidRPr="004135FE">
        <w:rPr>
          <w:rFonts w:ascii="Times New Roman" w:hAnsi="Times New Roman" w:cs="Times New Roman"/>
          <w:bCs/>
          <w:sz w:val="28"/>
          <w:szCs w:val="28"/>
        </w:rPr>
        <w:t xml:space="preserve"> </w:t>
      </w:r>
      <w:r w:rsidRPr="004135FE">
        <w:rPr>
          <w:rFonts w:ascii="Times New Roman" w:hAnsi="Times New Roman" w:cs="Times New Roman"/>
          <w:sz w:val="28"/>
          <w:szCs w:val="28"/>
        </w:rPr>
        <w:t xml:space="preserve">при поликлинике </w:t>
      </w:r>
      <w:r w:rsidRPr="004135FE">
        <w:rPr>
          <w:rFonts w:ascii="Times New Roman" w:hAnsi="Times New Roman" w:cs="Times New Roman"/>
          <w:bCs/>
          <w:sz w:val="28"/>
          <w:szCs w:val="28"/>
        </w:rPr>
        <w:t xml:space="preserve">составила всего </w:t>
      </w:r>
      <w:r w:rsidRPr="004135FE">
        <w:rPr>
          <w:rFonts w:ascii="Times New Roman" w:hAnsi="Times New Roman" w:cs="Times New Roman"/>
          <w:sz w:val="28"/>
          <w:szCs w:val="28"/>
        </w:rPr>
        <w:t>15,4%.</w:t>
      </w:r>
      <w:r w:rsidRPr="004135FE">
        <w:rPr>
          <w:rFonts w:ascii="Times New Roman" w:hAnsi="Times New Roman" w:cs="Times New Roman"/>
          <w:bCs/>
          <w:sz w:val="28"/>
          <w:szCs w:val="28"/>
        </w:rPr>
        <w:t xml:space="preserve">  Установлено, что среди обученных в ШД в этом году посещали </w:t>
      </w:r>
      <w:r w:rsidRPr="004135FE">
        <w:rPr>
          <w:rFonts w:ascii="Times New Roman" w:hAnsi="Times New Roman" w:cs="Times New Roman"/>
          <w:sz w:val="28"/>
          <w:szCs w:val="28"/>
        </w:rPr>
        <w:t>55,7% и в дебюте диагноза 30,5% и это повлияло на снижение уровня сахара. У 47,8% пациентов, посетивших ШД в прошлом году показатели уровня сахара стабилизировались.</w:t>
      </w:r>
    </w:p>
    <w:p w14:paraId="1F8AFBDB" w14:textId="77777777" w:rsidR="007A2C38" w:rsidRPr="004135FE" w:rsidRDefault="007A2C38" w:rsidP="00ED51B1">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eastAsia="Times New Roman" w:hAnsi="Times New Roman" w:cs="Times New Roman"/>
          <w:sz w:val="28"/>
          <w:szCs w:val="28"/>
        </w:rPr>
        <w:t>Выявлено, что для лучшего самоменеджмента влияет обеспеченность глюкометром и тест полосками.</w:t>
      </w:r>
      <w:r w:rsidRPr="004135FE">
        <w:rPr>
          <w:rFonts w:ascii="Times New Roman" w:hAnsi="Times New Roman" w:cs="Times New Roman"/>
          <w:sz w:val="28"/>
          <w:szCs w:val="28"/>
        </w:rPr>
        <w:t xml:space="preserve"> Среди пациентов самостоятельно приобретавшие глюкометр и тест полоски, 42,6%-контролируют сахар, только при ухудшении самочувствия и </w:t>
      </w:r>
      <w:r w:rsidRPr="004135FE">
        <w:rPr>
          <w:rFonts w:ascii="Times New Roman" w:eastAsia="Times New Roman" w:hAnsi="Times New Roman" w:cs="Times New Roman"/>
          <w:color w:val="000000"/>
          <w:sz w:val="28"/>
          <w:szCs w:val="28"/>
        </w:rPr>
        <w:t>46,7</w:t>
      </w:r>
      <w:r w:rsidRPr="004135FE">
        <w:rPr>
          <w:rFonts w:ascii="Times New Roman" w:hAnsi="Times New Roman" w:cs="Times New Roman"/>
          <w:sz w:val="28"/>
          <w:szCs w:val="28"/>
        </w:rPr>
        <w:t>% - 1 раз в неделю. 63,3% - пациентов получивших бесплатный глюкомерт контролируют уровень сахара перед каждым приемом ЛС. 61,4% - пациентов, не имеющие глюкометр и тест-полоски не контролирует уровень сахара в крови.  По данным «Консенсуса по диагностике и лечению СД» РОО «Ассоциация врачей-эндокринологов Казахстана» рекомендовано, ежедневный контроль по несколько раз в дебюте заболевания и при декомпенсации СД2т. В дальнейшем в зависимости от вида сахароснижающей терапии- на интенсифицированной инсулинотерапии не менее 4 раз ежедневно. На пероральной сахароснижающей терапии и/или агонистах рецепторов ГПП-1 и/или базальном инсулине: не менее 1 раз в сутки + 1 гликемический профиль в неделю (не менее 4 раз в сутки).  На готовых смесях инсулина-не менее 2 раз в сутки в разное время + 1 гликемический профиль в неделю. На диетотерапии- 1 раз в неделю в разное время суток.</w:t>
      </w:r>
    </w:p>
    <w:p w14:paraId="65B1762A" w14:textId="4A1028DC" w:rsidR="007A2C38" w:rsidRPr="004135FE" w:rsidRDefault="007A2C38" w:rsidP="004135FE">
      <w:pPr>
        <w:spacing w:after="0" w:line="240" w:lineRule="auto"/>
        <w:ind w:firstLine="567"/>
        <w:jc w:val="both"/>
        <w:rPr>
          <w:rFonts w:ascii="Times New Roman" w:hAnsi="Times New Roman" w:cs="Times New Roman"/>
          <w:sz w:val="28"/>
          <w:szCs w:val="28"/>
        </w:rPr>
      </w:pPr>
      <w:r w:rsidRPr="004135FE">
        <w:rPr>
          <w:rFonts w:ascii="Times New Roman" w:hAnsi="Times New Roman" w:cs="Times New Roman"/>
          <w:bCs/>
          <w:sz w:val="28"/>
          <w:szCs w:val="28"/>
        </w:rPr>
        <w:t>Проведенный анализ опроса не совсем совпадает с рекомендациями, которые даются во время консультации и обучения в Школе Диабета.</w:t>
      </w:r>
    </w:p>
    <w:p w14:paraId="53FD1A13" w14:textId="2C08CB6F" w:rsidR="007A2C38" w:rsidRPr="00ED51B1" w:rsidRDefault="003D18D8" w:rsidP="00ED51B1">
      <w:pPr>
        <w:pStyle w:val="a3"/>
        <w:numPr>
          <w:ilvl w:val="0"/>
          <w:numId w:val="92"/>
        </w:numPr>
        <w:tabs>
          <w:tab w:val="left" w:pos="993"/>
        </w:tabs>
        <w:spacing w:after="0" w:line="240" w:lineRule="auto"/>
        <w:ind w:left="0" w:firstLine="709"/>
        <w:jc w:val="both"/>
        <w:rPr>
          <w:rFonts w:ascii="Times New Roman" w:hAnsi="Times New Roman" w:cs="Times New Roman"/>
          <w:bCs/>
          <w:i/>
          <w:iCs/>
          <w:sz w:val="28"/>
          <w:szCs w:val="28"/>
        </w:rPr>
      </w:pPr>
      <w:r w:rsidRPr="00ED51B1">
        <w:rPr>
          <w:rFonts w:ascii="Times New Roman" w:hAnsi="Times New Roman" w:cs="Times New Roman"/>
          <w:bCs/>
          <w:i/>
          <w:iCs/>
          <w:sz w:val="28"/>
          <w:szCs w:val="28"/>
        </w:rPr>
        <w:t>Субъективные факторы влияющие на приверженность</w:t>
      </w:r>
      <w:r w:rsidR="007A2C38" w:rsidRPr="00ED51B1">
        <w:rPr>
          <w:rFonts w:ascii="Times New Roman" w:hAnsi="Times New Roman" w:cs="Times New Roman"/>
          <w:bCs/>
          <w:i/>
          <w:iCs/>
          <w:sz w:val="28"/>
          <w:szCs w:val="28"/>
        </w:rPr>
        <w:t xml:space="preserve"> </w:t>
      </w:r>
    </w:p>
    <w:p w14:paraId="2FDE32D4" w14:textId="77777777" w:rsidR="007A2C38" w:rsidRPr="004135FE" w:rsidRDefault="007A2C38" w:rsidP="004135FE">
      <w:pPr>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t xml:space="preserve">Общее поведение пациентов при получении </w:t>
      </w:r>
      <w:r w:rsidRPr="004135FE">
        <w:rPr>
          <w:rFonts w:ascii="Times New Roman" w:hAnsi="Times New Roman" w:cs="Times New Roman"/>
          <w:sz w:val="28"/>
          <w:szCs w:val="28"/>
        </w:rPr>
        <w:t xml:space="preserve">ЛС по бесплатному рецепту ЛС по бесплатному рецепту распределилась следующим образом: </w:t>
      </w:r>
      <w:r w:rsidRPr="004135FE">
        <w:rPr>
          <w:rFonts w:ascii="Times New Roman" w:eastAsia="Times New Roman" w:hAnsi="Times New Roman" w:cs="Times New Roman"/>
          <w:color w:val="000000"/>
          <w:sz w:val="28"/>
          <w:szCs w:val="28"/>
        </w:rPr>
        <w:t>31,46% респондентов в</w:t>
      </w:r>
      <w:r w:rsidRPr="004135FE">
        <w:rPr>
          <w:rFonts w:ascii="Times New Roman" w:eastAsia="Times New Roman" w:hAnsi="Times New Roman" w:cs="Times New Roman"/>
          <w:sz w:val="28"/>
          <w:szCs w:val="28"/>
        </w:rPr>
        <w:t xml:space="preserve">едут дневник самоконтроля, показывают врачу для коррекции лечения; </w:t>
      </w:r>
      <w:r w:rsidRPr="004135FE">
        <w:rPr>
          <w:rFonts w:ascii="Times New Roman" w:eastAsia="Times New Roman" w:hAnsi="Times New Roman" w:cs="Times New Roman"/>
          <w:color w:val="000000"/>
          <w:sz w:val="28"/>
          <w:szCs w:val="28"/>
        </w:rPr>
        <w:t xml:space="preserve">28,33% </w:t>
      </w:r>
      <w:r w:rsidRPr="004135FE">
        <w:rPr>
          <w:rFonts w:ascii="Times New Roman" w:eastAsia="Times New Roman" w:hAnsi="Times New Roman" w:cs="Times New Roman"/>
          <w:sz w:val="28"/>
          <w:szCs w:val="28"/>
        </w:rPr>
        <w:t xml:space="preserve">не ведут дневник, по самочувствии просят коррекции лечения; </w:t>
      </w:r>
      <w:r w:rsidRPr="004135FE">
        <w:rPr>
          <w:rFonts w:ascii="Times New Roman" w:eastAsia="Times New Roman" w:hAnsi="Times New Roman" w:cs="Times New Roman"/>
          <w:color w:val="000000"/>
          <w:sz w:val="28"/>
          <w:szCs w:val="28"/>
        </w:rPr>
        <w:t>27,92%</w:t>
      </w:r>
      <w:r w:rsidRPr="004135FE">
        <w:rPr>
          <w:rFonts w:ascii="Times New Roman" w:eastAsia="Times New Roman" w:hAnsi="Times New Roman" w:cs="Times New Roman"/>
          <w:sz w:val="28"/>
          <w:szCs w:val="28"/>
        </w:rPr>
        <w:t>получают лекарства и считают, что нет необходимости отвлекать врача</w:t>
      </w:r>
      <w:r w:rsidRPr="004135FE">
        <w:rPr>
          <w:rFonts w:ascii="Times New Roman" w:eastAsia="Times New Roman" w:hAnsi="Times New Roman" w:cs="Times New Roman"/>
          <w:color w:val="000000"/>
          <w:sz w:val="28"/>
          <w:szCs w:val="28"/>
        </w:rPr>
        <w:t>; 12,29% п</w:t>
      </w:r>
      <w:r w:rsidRPr="004135FE">
        <w:rPr>
          <w:rFonts w:ascii="Times New Roman" w:eastAsia="Times New Roman" w:hAnsi="Times New Roman" w:cs="Times New Roman"/>
          <w:sz w:val="28"/>
          <w:szCs w:val="28"/>
        </w:rPr>
        <w:t>олучают лекарства и им не удобно задавать лишние вопросы</w:t>
      </w:r>
      <w:r w:rsidRPr="004135FE">
        <w:rPr>
          <w:rFonts w:ascii="Times New Roman" w:eastAsia="Times New Roman" w:hAnsi="Times New Roman" w:cs="Times New Roman"/>
          <w:color w:val="000000"/>
          <w:sz w:val="28"/>
          <w:szCs w:val="28"/>
        </w:rPr>
        <w:t>.</w:t>
      </w:r>
    </w:p>
    <w:p w14:paraId="7A50C661" w14:textId="77777777" w:rsidR="007A2C38" w:rsidRPr="004135FE" w:rsidRDefault="007A2C38" w:rsidP="004135FE">
      <w:pPr>
        <w:tabs>
          <w:tab w:val="left" w:pos="851"/>
        </w:tabs>
        <w:spacing w:after="0" w:line="240" w:lineRule="auto"/>
        <w:jc w:val="both"/>
        <w:rPr>
          <w:rFonts w:ascii="Times New Roman" w:hAnsi="Times New Roman" w:cs="Times New Roman"/>
          <w:sz w:val="28"/>
          <w:szCs w:val="28"/>
        </w:rPr>
      </w:pPr>
      <w:r w:rsidRPr="004135FE">
        <w:rPr>
          <w:rFonts w:ascii="Times New Roman" w:hAnsi="Times New Roman" w:cs="Times New Roman"/>
          <w:b/>
          <w:i/>
          <w:sz w:val="28"/>
          <w:szCs w:val="28"/>
        </w:rPr>
        <w:tab/>
      </w:r>
      <w:r w:rsidRPr="004135FE">
        <w:rPr>
          <w:rFonts w:ascii="Times New Roman" w:hAnsi="Times New Roman" w:cs="Times New Roman"/>
          <w:sz w:val="28"/>
          <w:szCs w:val="28"/>
        </w:rPr>
        <w:t xml:space="preserve">При ежемесячном получении ЛС по бесплатному рецепту </w:t>
      </w:r>
      <w:r w:rsidRPr="004135FE">
        <w:rPr>
          <w:rFonts w:ascii="Times New Roman" w:eastAsia="Times New Roman" w:hAnsi="Times New Roman" w:cs="Times New Roman"/>
          <w:color w:val="000000"/>
          <w:sz w:val="28"/>
          <w:szCs w:val="28"/>
        </w:rPr>
        <w:t>29,97</w:t>
      </w:r>
      <w:r w:rsidRPr="004135FE">
        <w:rPr>
          <w:rFonts w:ascii="Times New Roman" w:eastAsia="Times New Roman" w:hAnsi="Times New Roman" w:cs="Times New Roman"/>
          <w:sz w:val="28"/>
          <w:szCs w:val="28"/>
        </w:rPr>
        <w:t>%</w:t>
      </w:r>
      <w:r w:rsidRPr="004135FE">
        <w:rPr>
          <w:rFonts w:ascii="Times New Roman" w:hAnsi="Times New Roman" w:cs="Times New Roman"/>
          <w:sz w:val="28"/>
          <w:szCs w:val="28"/>
        </w:rPr>
        <w:t xml:space="preserve">- пациентов страдающих с СД2т с возраста 46-60 лет, </w:t>
      </w:r>
      <w:r w:rsidRPr="004135FE">
        <w:rPr>
          <w:rFonts w:ascii="Times New Roman" w:eastAsia="Times New Roman" w:hAnsi="Times New Roman" w:cs="Times New Roman"/>
          <w:color w:val="000000"/>
          <w:sz w:val="28"/>
          <w:szCs w:val="28"/>
        </w:rPr>
        <w:t>35,46</w:t>
      </w:r>
      <w:r w:rsidRPr="004135FE">
        <w:rPr>
          <w:rFonts w:ascii="Times New Roman" w:eastAsia="Times New Roman" w:hAnsi="Times New Roman" w:cs="Times New Roman"/>
          <w:sz w:val="28"/>
          <w:szCs w:val="28"/>
        </w:rPr>
        <w:t>%</w:t>
      </w:r>
      <w:r w:rsidRPr="004135FE">
        <w:rPr>
          <w:rFonts w:ascii="Times New Roman" w:hAnsi="Times New Roman" w:cs="Times New Roman"/>
          <w:sz w:val="28"/>
          <w:szCs w:val="28"/>
        </w:rPr>
        <w:t xml:space="preserve"> с 18-45 лет и </w:t>
      </w:r>
      <w:r w:rsidRPr="004135FE">
        <w:rPr>
          <w:rFonts w:ascii="Times New Roman" w:eastAsia="Times New Roman" w:hAnsi="Times New Roman" w:cs="Times New Roman"/>
          <w:color w:val="000000"/>
          <w:sz w:val="28"/>
          <w:szCs w:val="28"/>
        </w:rPr>
        <w:t>28,85</w:t>
      </w:r>
      <w:r w:rsidRPr="004135FE">
        <w:rPr>
          <w:rFonts w:ascii="Times New Roman" w:eastAsia="Times New Roman" w:hAnsi="Times New Roman" w:cs="Times New Roman"/>
          <w:sz w:val="28"/>
          <w:szCs w:val="28"/>
        </w:rPr>
        <w:t>%</w:t>
      </w:r>
      <w:r w:rsidRPr="004135FE">
        <w:rPr>
          <w:rFonts w:ascii="Times New Roman" w:hAnsi="Times New Roman" w:cs="Times New Roman"/>
          <w:sz w:val="28"/>
          <w:szCs w:val="28"/>
        </w:rPr>
        <w:t xml:space="preserve">- старше 60 лет ведут дневник самоконтроля, показывают врачу для коррекции лечения. </w:t>
      </w:r>
    </w:p>
    <w:p w14:paraId="07D76F80" w14:textId="77777777" w:rsidR="007A2C38" w:rsidRPr="004135FE" w:rsidRDefault="007A2C38" w:rsidP="004135FE">
      <w:pPr>
        <w:tabs>
          <w:tab w:val="left" w:pos="851"/>
        </w:tabs>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Не ведут дневник, но по самочувствии просят коррекции</w:t>
      </w:r>
      <w:r w:rsidRPr="004135FE">
        <w:rPr>
          <w:rFonts w:ascii="Times New Roman" w:eastAsia="Times New Roman" w:hAnsi="Times New Roman" w:cs="Times New Roman"/>
          <w:sz w:val="28"/>
          <w:szCs w:val="28"/>
        </w:rPr>
        <w:t xml:space="preserve"> лечения </w:t>
      </w:r>
      <w:r w:rsidRPr="004135FE">
        <w:rPr>
          <w:rFonts w:ascii="Times New Roman" w:eastAsia="Times New Roman" w:hAnsi="Times New Roman" w:cs="Times New Roman"/>
          <w:color w:val="000000"/>
          <w:sz w:val="28"/>
          <w:szCs w:val="28"/>
        </w:rPr>
        <w:t>34,62</w:t>
      </w:r>
      <w:r w:rsidRPr="004135FE">
        <w:rPr>
          <w:rFonts w:ascii="Times New Roman" w:eastAsia="Times New Roman" w:hAnsi="Times New Roman" w:cs="Times New Roman"/>
          <w:sz w:val="28"/>
          <w:szCs w:val="28"/>
        </w:rPr>
        <w:t xml:space="preserve">% пациентов страдающих СД2т с возраста старше 60лет, </w:t>
      </w:r>
      <w:r w:rsidRPr="004135FE">
        <w:rPr>
          <w:rFonts w:ascii="Times New Roman" w:eastAsia="Times New Roman" w:hAnsi="Times New Roman" w:cs="Times New Roman"/>
          <w:color w:val="000000"/>
          <w:sz w:val="28"/>
          <w:szCs w:val="28"/>
        </w:rPr>
        <w:t>29,62% с</w:t>
      </w:r>
      <w:r w:rsidRPr="004135FE">
        <w:rPr>
          <w:rFonts w:ascii="Times New Roman" w:eastAsia="Times New Roman" w:hAnsi="Times New Roman" w:cs="Times New Roman"/>
          <w:sz w:val="28"/>
          <w:szCs w:val="28"/>
        </w:rPr>
        <w:t xml:space="preserve"> 46-60лет, 23,40% с 18-45лет. </w:t>
      </w:r>
    </w:p>
    <w:p w14:paraId="6EDD4981" w14:textId="77777777" w:rsidR="007A2C38" w:rsidRPr="004135FE" w:rsidRDefault="007A2C38"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Получают лекарства, </w:t>
      </w:r>
      <w:r w:rsidRPr="004135FE">
        <w:rPr>
          <w:rFonts w:ascii="Times New Roman" w:hAnsi="Times New Roman" w:cs="Times New Roman"/>
          <w:sz w:val="28"/>
          <w:szCs w:val="28"/>
        </w:rPr>
        <w:t>при этом им не удобно задавать лишние вопросы</w:t>
      </w:r>
      <w:r w:rsidRPr="004135FE">
        <w:rPr>
          <w:rFonts w:ascii="Times New Roman" w:eastAsia="Times New Roman" w:hAnsi="Times New Roman" w:cs="Times New Roman"/>
          <w:sz w:val="28"/>
          <w:szCs w:val="28"/>
        </w:rPr>
        <w:t xml:space="preserve">, так как испытывают снижение самооценки, рискуя здоровьем, тем самым допускают осложнении </w:t>
      </w:r>
      <w:r w:rsidRPr="004135FE">
        <w:rPr>
          <w:rFonts w:ascii="Times New Roman" w:eastAsia="Times New Roman" w:hAnsi="Times New Roman" w:cs="Times New Roman"/>
          <w:color w:val="000000"/>
          <w:sz w:val="28"/>
          <w:szCs w:val="28"/>
        </w:rPr>
        <w:t>12,20</w:t>
      </w:r>
      <w:r w:rsidRPr="004135FE">
        <w:rPr>
          <w:rFonts w:ascii="Times New Roman" w:eastAsia="Times New Roman" w:hAnsi="Times New Roman" w:cs="Times New Roman"/>
          <w:sz w:val="28"/>
          <w:szCs w:val="28"/>
        </w:rPr>
        <w:t xml:space="preserve">% пациентов с СД2т со среднего возраста, </w:t>
      </w:r>
      <w:r w:rsidRPr="004135FE">
        <w:rPr>
          <w:rFonts w:ascii="Times New Roman" w:eastAsia="Times New Roman" w:hAnsi="Times New Roman" w:cs="Times New Roman"/>
          <w:color w:val="000000"/>
          <w:sz w:val="28"/>
          <w:szCs w:val="28"/>
        </w:rPr>
        <w:t>13,48</w:t>
      </w:r>
      <w:r w:rsidRPr="004135FE">
        <w:rPr>
          <w:rFonts w:ascii="Times New Roman" w:eastAsia="Times New Roman" w:hAnsi="Times New Roman" w:cs="Times New Roman"/>
          <w:sz w:val="28"/>
          <w:szCs w:val="28"/>
        </w:rPr>
        <w:t xml:space="preserve">% с молодости и </w:t>
      </w:r>
      <w:r w:rsidRPr="004135FE">
        <w:rPr>
          <w:rFonts w:ascii="Times New Roman" w:eastAsia="Times New Roman" w:hAnsi="Times New Roman" w:cs="Times New Roman"/>
          <w:color w:val="000000"/>
          <w:sz w:val="28"/>
          <w:szCs w:val="28"/>
        </w:rPr>
        <w:t>9,62</w:t>
      </w:r>
      <w:r w:rsidRPr="004135FE">
        <w:rPr>
          <w:rFonts w:ascii="Times New Roman" w:eastAsia="Times New Roman" w:hAnsi="Times New Roman" w:cs="Times New Roman"/>
          <w:sz w:val="28"/>
          <w:szCs w:val="28"/>
        </w:rPr>
        <w:t xml:space="preserve">% с пожилых лет. </w:t>
      </w:r>
      <w:r w:rsidRPr="004135FE">
        <w:rPr>
          <w:rFonts w:ascii="Times New Roman" w:hAnsi="Times New Roman" w:cs="Times New Roman"/>
          <w:sz w:val="28"/>
          <w:szCs w:val="28"/>
        </w:rPr>
        <w:t xml:space="preserve">Получают лекарства считая, что нет необходимости отвлекать врача </w:t>
      </w:r>
      <w:r w:rsidRPr="004135FE">
        <w:rPr>
          <w:rFonts w:ascii="Times New Roman" w:eastAsia="Times New Roman" w:hAnsi="Times New Roman" w:cs="Times New Roman"/>
          <w:color w:val="000000"/>
          <w:sz w:val="28"/>
          <w:szCs w:val="28"/>
        </w:rPr>
        <w:t>28,22</w:t>
      </w:r>
      <w:r w:rsidRPr="004135FE">
        <w:rPr>
          <w:rFonts w:ascii="Times New Roman" w:eastAsia="Times New Roman" w:hAnsi="Times New Roman" w:cs="Times New Roman"/>
          <w:sz w:val="28"/>
          <w:szCs w:val="28"/>
        </w:rPr>
        <w:t xml:space="preserve">% пациентов с СД2т со среднего возраста, </w:t>
      </w:r>
      <w:r w:rsidRPr="004135FE">
        <w:rPr>
          <w:rFonts w:ascii="Times New Roman" w:eastAsia="Times New Roman" w:hAnsi="Times New Roman" w:cs="Times New Roman"/>
          <w:color w:val="000000"/>
          <w:sz w:val="28"/>
          <w:szCs w:val="28"/>
        </w:rPr>
        <w:t>27,66</w:t>
      </w:r>
      <w:r w:rsidRPr="004135FE">
        <w:rPr>
          <w:rFonts w:ascii="Times New Roman" w:eastAsia="Times New Roman" w:hAnsi="Times New Roman" w:cs="Times New Roman"/>
          <w:sz w:val="28"/>
          <w:szCs w:val="28"/>
        </w:rPr>
        <w:t xml:space="preserve">% с молодых и </w:t>
      </w:r>
      <w:r w:rsidRPr="004135FE">
        <w:rPr>
          <w:rFonts w:ascii="Times New Roman" w:eastAsia="Times New Roman" w:hAnsi="Times New Roman" w:cs="Times New Roman"/>
          <w:color w:val="000000"/>
          <w:sz w:val="28"/>
          <w:szCs w:val="28"/>
        </w:rPr>
        <w:t>26,92</w:t>
      </w:r>
      <w:r w:rsidRPr="004135FE">
        <w:rPr>
          <w:rFonts w:ascii="Times New Roman" w:eastAsia="Times New Roman" w:hAnsi="Times New Roman" w:cs="Times New Roman"/>
          <w:sz w:val="28"/>
          <w:szCs w:val="28"/>
        </w:rPr>
        <w:t>% с пожилых лет. Возможно, у пациентов в этом случае есть сомнения в компетенции врача (</w:t>
      </w:r>
      <w:r w:rsidRPr="004135FE">
        <w:rPr>
          <w:rFonts w:ascii="Times New Roman" w:eastAsia="Times New Roman" w:hAnsi="Times New Roman" w:cs="Times New Roman"/>
          <w:sz w:val="28"/>
          <w:szCs w:val="28"/>
          <w:lang w:val="en-US"/>
        </w:rPr>
        <w:t>p</w:t>
      </w:r>
      <w:r w:rsidRPr="004135FE">
        <w:rPr>
          <w:rFonts w:ascii="Times New Roman" w:eastAsia="Times New Roman" w:hAnsi="Times New Roman" w:cs="Times New Roman"/>
          <w:sz w:val="28"/>
          <w:szCs w:val="28"/>
        </w:rPr>
        <w:t>-</w:t>
      </w:r>
      <w:r w:rsidRPr="004135FE">
        <w:rPr>
          <w:rFonts w:ascii="Times New Roman" w:eastAsia="Times New Roman" w:hAnsi="Times New Roman" w:cs="Times New Roman"/>
          <w:sz w:val="28"/>
          <w:szCs w:val="28"/>
          <w:lang w:val="en-US"/>
        </w:rPr>
        <w:t>value</w:t>
      </w:r>
      <w:r w:rsidRPr="004135FE">
        <w:rPr>
          <w:rFonts w:ascii="Times New Roman" w:eastAsia="Times New Roman" w:hAnsi="Times New Roman" w:cs="Times New Roman"/>
          <w:sz w:val="28"/>
          <w:szCs w:val="28"/>
        </w:rPr>
        <w:t>=0,047)</w:t>
      </w:r>
    </w:p>
    <w:p w14:paraId="3A59C90F" w14:textId="77777777" w:rsidR="007A2C38" w:rsidRPr="004135FE" w:rsidRDefault="007A2C38" w:rsidP="004135FE">
      <w:pPr>
        <w:spacing w:after="0" w:line="240" w:lineRule="auto"/>
        <w:ind w:firstLine="708"/>
        <w:jc w:val="both"/>
        <w:rPr>
          <w:rFonts w:ascii="Times New Roman" w:hAnsi="Times New Roman" w:cs="Times New Roman"/>
          <w:b/>
          <w:i/>
          <w:sz w:val="28"/>
          <w:szCs w:val="28"/>
        </w:rPr>
      </w:pPr>
    </w:p>
    <w:p w14:paraId="21830D35" w14:textId="77777777" w:rsidR="007A2C38" w:rsidRPr="004135FE" w:rsidRDefault="007A2C38" w:rsidP="004135FE">
      <w:pPr>
        <w:spacing w:after="0" w:line="240" w:lineRule="auto"/>
        <w:ind w:firstLine="708"/>
        <w:jc w:val="both"/>
        <w:rPr>
          <w:rFonts w:ascii="Times New Roman" w:hAnsi="Times New Roman" w:cs="Times New Roman"/>
          <w:b/>
          <w:i/>
          <w:sz w:val="28"/>
          <w:szCs w:val="28"/>
        </w:rPr>
      </w:pPr>
      <w:r w:rsidRPr="004135FE">
        <w:rPr>
          <w:noProof/>
          <w:sz w:val="28"/>
          <w:szCs w:val="28"/>
        </w:rPr>
        <w:drawing>
          <wp:inline distT="0" distB="0" distL="0" distR="0" wp14:anchorId="44657F0F" wp14:editId="5AECBA60">
            <wp:extent cx="4572000" cy="2743200"/>
            <wp:effectExtent l="0" t="0" r="0" b="0"/>
            <wp:docPr id="130" name="Диаграмма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1C4B02DF" w14:textId="77777777" w:rsidR="00ED51B1" w:rsidRDefault="00ED51B1" w:rsidP="004135FE">
      <w:pPr>
        <w:spacing w:after="0" w:line="240" w:lineRule="auto"/>
        <w:rPr>
          <w:rFonts w:ascii="Times New Roman" w:hAnsi="Times New Roman" w:cs="Times New Roman"/>
          <w:sz w:val="28"/>
          <w:szCs w:val="28"/>
        </w:rPr>
      </w:pPr>
    </w:p>
    <w:p w14:paraId="3B9E6C0B" w14:textId="04B9DC17" w:rsidR="007A2C38" w:rsidRPr="004135FE" w:rsidRDefault="007A2C38" w:rsidP="00ED51B1">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55- Влияние</w:t>
      </w:r>
      <w:r w:rsidRPr="004135FE">
        <w:rPr>
          <w:rFonts w:ascii="Times New Roman" w:hAnsi="Times New Roman" w:cs="Times New Roman"/>
          <w:b/>
          <w:i/>
          <w:sz w:val="28"/>
          <w:szCs w:val="28"/>
        </w:rPr>
        <w:t xml:space="preserve"> </w:t>
      </w:r>
      <w:r w:rsidRPr="004135FE">
        <w:rPr>
          <w:rFonts w:ascii="Times New Roman" w:hAnsi="Times New Roman" w:cs="Times New Roman"/>
          <w:sz w:val="28"/>
          <w:szCs w:val="28"/>
        </w:rPr>
        <w:t xml:space="preserve">возраста пациента, в котором диагностирован СД2т на его действия </w:t>
      </w:r>
      <w:r w:rsidRPr="004135FE">
        <w:rPr>
          <w:rFonts w:ascii="Times New Roman" w:hAnsi="Times New Roman" w:cs="Times New Roman"/>
          <w:bCs/>
          <w:sz w:val="28"/>
          <w:szCs w:val="28"/>
        </w:rPr>
        <w:t>п</w:t>
      </w:r>
      <w:r w:rsidRPr="004135FE">
        <w:rPr>
          <w:rFonts w:ascii="Times New Roman" w:hAnsi="Times New Roman" w:cs="Times New Roman"/>
          <w:sz w:val="28"/>
          <w:szCs w:val="28"/>
        </w:rPr>
        <w:t>ри получении бесплатных ЛС</w:t>
      </w:r>
    </w:p>
    <w:p w14:paraId="47A3A7E7" w14:textId="77777777" w:rsidR="007A2C38" w:rsidRPr="004135FE" w:rsidRDefault="007A2C38" w:rsidP="004135FE">
      <w:pPr>
        <w:spacing w:after="0" w:line="240" w:lineRule="auto"/>
        <w:jc w:val="both"/>
        <w:rPr>
          <w:rFonts w:ascii="Times New Roman" w:hAnsi="Times New Roman" w:cs="Times New Roman"/>
          <w:sz w:val="28"/>
          <w:szCs w:val="28"/>
        </w:rPr>
      </w:pPr>
    </w:p>
    <w:p w14:paraId="6C6D34D0" w14:textId="77777777" w:rsidR="007A2C38" w:rsidRPr="004135FE" w:rsidRDefault="007A2C38" w:rsidP="004135FE">
      <w:pPr>
        <w:pStyle w:val="a3"/>
        <w:spacing w:after="0" w:line="240" w:lineRule="auto"/>
        <w:ind w:left="0" w:firstLine="708"/>
        <w:jc w:val="both"/>
        <w:rPr>
          <w:rFonts w:ascii="Times New Roman" w:eastAsia="Times New Roman" w:hAnsi="Times New Roman" w:cs="Times New Roman"/>
          <w:sz w:val="28"/>
          <w:szCs w:val="28"/>
        </w:rPr>
      </w:pPr>
      <w:r w:rsidRPr="004135FE">
        <w:rPr>
          <w:rFonts w:ascii="Times New Roman" w:hAnsi="Times New Roman" w:cs="Times New Roman"/>
          <w:sz w:val="28"/>
          <w:szCs w:val="28"/>
        </w:rPr>
        <w:t xml:space="preserve">У большинства респондентов не было трудностей во время карантина, при получении медицинских услуг </w:t>
      </w:r>
      <w:r w:rsidRPr="004135FE">
        <w:rPr>
          <w:rFonts w:ascii="Times New Roman" w:hAnsi="Times New Roman" w:cs="Times New Roman"/>
          <w:bCs/>
          <w:sz w:val="28"/>
          <w:szCs w:val="28"/>
        </w:rPr>
        <w:t>в</w:t>
      </w:r>
      <w:r w:rsidRPr="004135FE">
        <w:rPr>
          <w:rFonts w:ascii="Times New Roman" w:hAnsi="Times New Roman" w:cs="Times New Roman"/>
          <w:sz w:val="28"/>
          <w:szCs w:val="28"/>
        </w:rPr>
        <w:t xml:space="preserve">о время карантина </w:t>
      </w:r>
      <w:r w:rsidRPr="004135FE">
        <w:rPr>
          <w:rFonts w:ascii="Times New Roman" w:hAnsi="Times New Roman" w:cs="Times New Roman"/>
          <w:sz w:val="28"/>
          <w:szCs w:val="28"/>
          <w:lang w:val="en-US"/>
        </w:rPr>
        <w:t>COVID</w:t>
      </w:r>
      <w:r w:rsidRPr="004135FE">
        <w:rPr>
          <w:rFonts w:ascii="Times New Roman" w:hAnsi="Times New Roman" w:cs="Times New Roman"/>
          <w:sz w:val="28"/>
          <w:szCs w:val="28"/>
        </w:rPr>
        <w:t xml:space="preserve">-19: </w:t>
      </w:r>
      <w:r w:rsidRPr="004135FE">
        <w:rPr>
          <w:rFonts w:ascii="Times New Roman" w:eastAsia="Times New Roman" w:hAnsi="Times New Roman" w:cs="Times New Roman"/>
          <w:color w:val="000000"/>
          <w:sz w:val="28"/>
          <w:szCs w:val="28"/>
        </w:rPr>
        <w:t>83,33</w:t>
      </w:r>
      <w:r w:rsidRPr="004135FE">
        <w:rPr>
          <w:rFonts w:ascii="Times New Roman" w:eastAsia="Times New Roman" w:hAnsi="Times New Roman" w:cs="Times New Roman"/>
          <w:sz w:val="28"/>
          <w:szCs w:val="28"/>
        </w:rPr>
        <w:t>%</w:t>
      </w:r>
      <w:r w:rsidRPr="004135FE">
        <w:rPr>
          <w:rFonts w:ascii="Times New Roman" w:hAnsi="Times New Roman" w:cs="Times New Roman"/>
          <w:sz w:val="28"/>
          <w:szCs w:val="28"/>
        </w:rPr>
        <w:t xml:space="preserve"> </w:t>
      </w:r>
      <w:r w:rsidRPr="004135FE">
        <w:rPr>
          <w:rFonts w:ascii="Times New Roman" w:eastAsia="Times New Roman" w:hAnsi="Times New Roman" w:cs="Times New Roman"/>
          <w:sz w:val="28"/>
          <w:szCs w:val="28"/>
        </w:rPr>
        <w:t xml:space="preserve">молодых людей, </w:t>
      </w:r>
      <w:r w:rsidRPr="004135FE">
        <w:rPr>
          <w:rFonts w:ascii="Times New Roman" w:eastAsia="Times New Roman" w:hAnsi="Times New Roman" w:cs="Times New Roman"/>
          <w:color w:val="000000"/>
          <w:sz w:val="28"/>
          <w:szCs w:val="28"/>
        </w:rPr>
        <w:t xml:space="preserve">77,14% </w:t>
      </w:r>
      <w:r w:rsidRPr="004135FE">
        <w:rPr>
          <w:rFonts w:ascii="Times New Roman" w:eastAsia="Times New Roman" w:hAnsi="Times New Roman" w:cs="Times New Roman"/>
          <w:sz w:val="28"/>
          <w:szCs w:val="28"/>
        </w:rPr>
        <w:t xml:space="preserve">среднего возраста людей, у </w:t>
      </w:r>
      <w:r w:rsidRPr="004135FE">
        <w:rPr>
          <w:rFonts w:ascii="Times New Roman" w:eastAsia="Times New Roman" w:hAnsi="Times New Roman" w:cs="Times New Roman"/>
          <w:color w:val="000000"/>
          <w:sz w:val="28"/>
          <w:szCs w:val="28"/>
        </w:rPr>
        <w:t xml:space="preserve">67,46% </w:t>
      </w:r>
      <w:r w:rsidRPr="004135FE">
        <w:rPr>
          <w:rFonts w:ascii="Times New Roman" w:eastAsia="Times New Roman" w:hAnsi="Times New Roman" w:cs="Times New Roman"/>
          <w:sz w:val="28"/>
          <w:szCs w:val="28"/>
        </w:rPr>
        <w:t>пожилых. Однако</w:t>
      </w:r>
      <w:r w:rsidRPr="004135FE">
        <w:rPr>
          <w:rFonts w:ascii="Times New Roman" w:hAnsi="Times New Roman" w:cs="Times New Roman"/>
          <w:sz w:val="28"/>
          <w:szCs w:val="28"/>
        </w:rPr>
        <w:t xml:space="preserve"> в зависимости от возраста более старшему поколению было труднее ориентироваться (</w:t>
      </w:r>
      <w:r w:rsidRPr="004135FE">
        <w:rPr>
          <w:rFonts w:ascii="Times New Roman" w:eastAsia="Times New Roman" w:hAnsi="Times New Roman" w:cs="Times New Roman"/>
          <w:sz w:val="28"/>
          <w:szCs w:val="28"/>
          <w:lang w:val="en-US"/>
        </w:rPr>
        <w:t>p</w:t>
      </w:r>
      <w:r w:rsidRPr="004135FE">
        <w:rPr>
          <w:rFonts w:ascii="Times New Roman" w:eastAsia="Times New Roman" w:hAnsi="Times New Roman" w:cs="Times New Roman"/>
          <w:sz w:val="28"/>
          <w:szCs w:val="28"/>
        </w:rPr>
        <w:t>-</w:t>
      </w:r>
      <w:r w:rsidRPr="004135FE">
        <w:rPr>
          <w:rFonts w:ascii="Times New Roman" w:eastAsia="Times New Roman" w:hAnsi="Times New Roman" w:cs="Times New Roman"/>
          <w:sz w:val="28"/>
          <w:szCs w:val="28"/>
          <w:lang w:val="en-US"/>
        </w:rPr>
        <w:t>value</w:t>
      </w:r>
      <w:r w:rsidRPr="004135FE">
        <w:rPr>
          <w:rFonts w:ascii="Times New Roman" w:eastAsia="Times New Roman" w:hAnsi="Times New Roman" w:cs="Times New Roman"/>
          <w:sz w:val="28"/>
          <w:szCs w:val="28"/>
        </w:rPr>
        <w:t xml:space="preserve"> 0,012).</w:t>
      </w:r>
      <w:r w:rsidRPr="004135FE">
        <w:rPr>
          <w:rFonts w:ascii="Times New Roman" w:hAnsi="Times New Roman" w:cs="Times New Roman"/>
          <w:sz w:val="28"/>
          <w:szCs w:val="28"/>
        </w:rPr>
        <w:t xml:space="preserve"> </w:t>
      </w:r>
      <w:r w:rsidRPr="004135FE">
        <w:rPr>
          <w:rFonts w:ascii="Times New Roman" w:eastAsia="Times New Roman" w:hAnsi="Times New Roman" w:cs="Times New Roman"/>
          <w:color w:val="000000"/>
          <w:sz w:val="28"/>
          <w:szCs w:val="28"/>
        </w:rPr>
        <w:t xml:space="preserve">20,71% </w:t>
      </w:r>
      <w:r w:rsidRPr="004135FE">
        <w:rPr>
          <w:rFonts w:ascii="Times New Roman" w:eastAsia="Times New Roman" w:hAnsi="Times New Roman" w:cs="Times New Roman"/>
          <w:sz w:val="28"/>
          <w:szCs w:val="28"/>
        </w:rPr>
        <w:t xml:space="preserve">пожилого и </w:t>
      </w:r>
      <w:r w:rsidRPr="004135FE">
        <w:rPr>
          <w:rFonts w:ascii="Times New Roman" w:eastAsia="Times New Roman" w:hAnsi="Times New Roman" w:cs="Times New Roman"/>
          <w:color w:val="000000"/>
          <w:sz w:val="28"/>
          <w:szCs w:val="28"/>
        </w:rPr>
        <w:t xml:space="preserve">18,37% </w:t>
      </w:r>
      <w:r w:rsidRPr="004135FE">
        <w:rPr>
          <w:rFonts w:ascii="Times New Roman" w:eastAsia="Times New Roman" w:hAnsi="Times New Roman" w:cs="Times New Roman"/>
          <w:sz w:val="28"/>
          <w:szCs w:val="28"/>
        </w:rPr>
        <w:t xml:space="preserve">среднего возраста и </w:t>
      </w:r>
      <w:r w:rsidRPr="004135FE">
        <w:rPr>
          <w:rFonts w:ascii="Times New Roman" w:eastAsia="Times New Roman" w:hAnsi="Times New Roman" w:cs="Times New Roman"/>
          <w:color w:val="000000"/>
          <w:sz w:val="28"/>
          <w:szCs w:val="28"/>
        </w:rPr>
        <w:t>9,09</w:t>
      </w:r>
      <w:r w:rsidRPr="004135FE">
        <w:rPr>
          <w:rFonts w:ascii="Times New Roman" w:eastAsia="Times New Roman" w:hAnsi="Times New Roman" w:cs="Times New Roman"/>
          <w:sz w:val="28"/>
          <w:szCs w:val="28"/>
        </w:rPr>
        <w:t xml:space="preserve">% молодых пациентов </w:t>
      </w:r>
      <w:r w:rsidRPr="004135FE">
        <w:rPr>
          <w:rFonts w:ascii="Times New Roman" w:hAnsi="Times New Roman" w:cs="Times New Roman"/>
          <w:sz w:val="28"/>
          <w:szCs w:val="28"/>
        </w:rPr>
        <w:t xml:space="preserve">пропустили очередную консультацию, с целью избегания мест скопления людей. </w:t>
      </w:r>
      <w:r w:rsidRPr="004135FE">
        <w:rPr>
          <w:rFonts w:ascii="Times New Roman" w:eastAsia="Times New Roman" w:hAnsi="Times New Roman" w:cs="Times New Roman"/>
          <w:color w:val="000000"/>
          <w:sz w:val="28"/>
          <w:szCs w:val="28"/>
        </w:rPr>
        <w:t xml:space="preserve">У 11,83% </w:t>
      </w:r>
      <w:r w:rsidRPr="004135FE">
        <w:rPr>
          <w:rFonts w:ascii="Times New Roman" w:hAnsi="Times New Roman" w:cs="Times New Roman"/>
          <w:sz w:val="28"/>
          <w:szCs w:val="28"/>
        </w:rPr>
        <w:t xml:space="preserve">пожилых людей дома закончились ЛС во время комендантского часа введенный в режиме карантина по </w:t>
      </w:r>
      <w:r w:rsidRPr="004135FE">
        <w:rPr>
          <w:rFonts w:ascii="Times New Roman" w:hAnsi="Times New Roman" w:cs="Times New Roman"/>
          <w:sz w:val="28"/>
          <w:szCs w:val="28"/>
          <w:lang w:val="en-US"/>
        </w:rPr>
        <w:t>COVID</w:t>
      </w:r>
      <w:r w:rsidRPr="004135FE">
        <w:rPr>
          <w:rFonts w:ascii="Times New Roman" w:hAnsi="Times New Roman" w:cs="Times New Roman"/>
          <w:sz w:val="28"/>
          <w:szCs w:val="28"/>
        </w:rPr>
        <w:t xml:space="preserve">-19. </w:t>
      </w:r>
    </w:p>
    <w:p w14:paraId="348FFEFB" w14:textId="77777777" w:rsidR="007A2C38" w:rsidRPr="00ED51B1" w:rsidRDefault="007A2C38" w:rsidP="004135FE">
      <w:pPr>
        <w:pStyle w:val="a3"/>
        <w:spacing w:after="0" w:line="240" w:lineRule="auto"/>
        <w:ind w:left="0"/>
        <w:jc w:val="both"/>
        <w:rPr>
          <w:rFonts w:ascii="Times New Roman" w:hAnsi="Times New Roman" w:cs="Times New Roman"/>
        </w:rPr>
      </w:pPr>
    </w:p>
    <w:p w14:paraId="1335C0EC" w14:textId="591E23FD" w:rsidR="007A2C38" w:rsidRDefault="007A2C38"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Таблица 5</w:t>
      </w:r>
      <w:r w:rsidR="00B728EF" w:rsidRPr="004135FE">
        <w:rPr>
          <w:rFonts w:ascii="Times New Roman" w:hAnsi="Times New Roman" w:cs="Times New Roman"/>
          <w:sz w:val="28"/>
          <w:szCs w:val="28"/>
        </w:rPr>
        <w:t>3</w:t>
      </w:r>
      <w:r w:rsidRPr="004135FE">
        <w:rPr>
          <w:rFonts w:ascii="Times New Roman" w:hAnsi="Times New Roman" w:cs="Times New Roman"/>
          <w:sz w:val="28"/>
          <w:szCs w:val="28"/>
        </w:rPr>
        <w:t>- Влияние возраста пациента на его опыт управления СД2т</w:t>
      </w:r>
    </w:p>
    <w:p w14:paraId="74577A12" w14:textId="77777777" w:rsidR="00ED51B1" w:rsidRPr="004135FE" w:rsidRDefault="00ED51B1" w:rsidP="004135FE">
      <w:pPr>
        <w:spacing w:after="0" w:line="240" w:lineRule="auto"/>
        <w:jc w:val="both"/>
        <w:rPr>
          <w:rFonts w:ascii="Times New Roman" w:hAnsi="Times New Roman" w:cs="Times New Roman"/>
          <w:sz w:val="28"/>
          <w:szCs w:val="28"/>
        </w:rPr>
      </w:pPr>
    </w:p>
    <w:tbl>
      <w:tblPr>
        <w:tblStyle w:val="af9"/>
        <w:tblW w:w="9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9"/>
        <w:gridCol w:w="1406"/>
        <w:gridCol w:w="1546"/>
        <w:gridCol w:w="1537"/>
        <w:gridCol w:w="9"/>
        <w:gridCol w:w="1394"/>
        <w:gridCol w:w="12"/>
      </w:tblGrid>
      <w:tr w:rsidR="007A2C38" w:rsidRPr="00ED51B1" w14:paraId="31FF45CF" w14:textId="77777777" w:rsidTr="00ED51B1">
        <w:trPr>
          <w:gridAfter w:val="1"/>
          <w:wAfter w:w="12" w:type="dxa"/>
          <w:trHeight w:val="220"/>
        </w:trPr>
        <w:tc>
          <w:tcPr>
            <w:tcW w:w="3259" w:type="dxa"/>
          </w:tcPr>
          <w:p w14:paraId="1036DA21" w14:textId="77777777"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sz w:val="28"/>
                <w:szCs w:val="28"/>
              </w:rPr>
              <w:t>Варианты ответов</w:t>
            </w:r>
          </w:p>
        </w:tc>
        <w:tc>
          <w:tcPr>
            <w:tcW w:w="1406" w:type="dxa"/>
          </w:tcPr>
          <w:p w14:paraId="235AE6E7" w14:textId="77777777"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sz w:val="28"/>
                <w:szCs w:val="28"/>
              </w:rPr>
              <w:t>18-45 лет</w:t>
            </w:r>
          </w:p>
        </w:tc>
        <w:tc>
          <w:tcPr>
            <w:tcW w:w="1546" w:type="dxa"/>
            <w:noWrap/>
            <w:hideMark/>
          </w:tcPr>
          <w:p w14:paraId="7158E742" w14:textId="77777777"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sz w:val="28"/>
                <w:szCs w:val="28"/>
              </w:rPr>
              <w:t>46-60 лет</w:t>
            </w:r>
          </w:p>
        </w:tc>
        <w:tc>
          <w:tcPr>
            <w:tcW w:w="1537" w:type="dxa"/>
          </w:tcPr>
          <w:p w14:paraId="7AACC9C8" w14:textId="77777777"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sz w:val="28"/>
                <w:szCs w:val="28"/>
              </w:rPr>
              <w:t>старше 60 лет</w:t>
            </w:r>
          </w:p>
        </w:tc>
        <w:tc>
          <w:tcPr>
            <w:tcW w:w="1403" w:type="dxa"/>
            <w:gridSpan w:val="2"/>
            <w:noWrap/>
            <w:hideMark/>
          </w:tcPr>
          <w:p w14:paraId="51C5F2C5" w14:textId="77777777"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sz w:val="28"/>
                <w:szCs w:val="28"/>
              </w:rPr>
              <w:t>Total</w:t>
            </w:r>
          </w:p>
        </w:tc>
      </w:tr>
      <w:tr w:rsidR="007A2C38" w:rsidRPr="00ED51B1" w14:paraId="51449889" w14:textId="77777777" w:rsidTr="00ED51B1">
        <w:trPr>
          <w:trHeight w:val="176"/>
        </w:trPr>
        <w:tc>
          <w:tcPr>
            <w:tcW w:w="9163" w:type="dxa"/>
            <w:gridSpan w:val="7"/>
            <w:noWrap/>
          </w:tcPr>
          <w:p w14:paraId="0497DEA2" w14:textId="250B41D3"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hAnsi="Times New Roman" w:cs="Times New Roman"/>
                <w:sz w:val="28"/>
                <w:szCs w:val="28"/>
              </w:rPr>
              <w:t xml:space="preserve">Возникшие трудности при получении медицинских услуг во время карантина </w:t>
            </w:r>
            <w:r w:rsidRPr="00ED51B1">
              <w:rPr>
                <w:rFonts w:ascii="Times New Roman" w:hAnsi="Times New Roman" w:cs="Times New Roman"/>
                <w:sz w:val="28"/>
                <w:szCs w:val="28"/>
                <w:lang w:val="en-US"/>
              </w:rPr>
              <w:t>COVID</w:t>
            </w:r>
            <w:r w:rsidRPr="00ED51B1">
              <w:rPr>
                <w:rFonts w:ascii="Times New Roman" w:hAnsi="Times New Roman" w:cs="Times New Roman"/>
                <w:sz w:val="28"/>
                <w:szCs w:val="28"/>
              </w:rPr>
              <w:t>-19</w:t>
            </w:r>
          </w:p>
        </w:tc>
      </w:tr>
      <w:tr w:rsidR="007A2C38" w:rsidRPr="00ED51B1" w14:paraId="1900E08A" w14:textId="77777777" w:rsidTr="00ED51B1">
        <w:trPr>
          <w:trHeight w:val="148"/>
        </w:trPr>
        <w:tc>
          <w:tcPr>
            <w:tcW w:w="3259" w:type="dxa"/>
            <w:noWrap/>
            <w:hideMark/>
          </w:tcPr>
          <w:p w14:paraId="4F9C95A3" w14:textId="77777777"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sz w:val="28"/>
                <w:szCs w:val="28"/>
              </w:rPr>
              <w:t>Не было трудностей</w:t>
            </w:r>
          </w:p>
        </w:tc>
        <w:tc>
          <w:tcPr>
            <w:tcW w:w="1406" w:type="dxa"/>
            <w:noWrap/>
            <w:vAlign w:val="center"/>
            <w:hideMark/>
          </w:tcPr>
          <w:p w14:paraId="758EAF9A" w14:textId="77777777" w:rsidR="00ED51B1" w:rsidRDefault="007A2C38" w:rsidP="00ED51B1">
            <w:pPr>
              <w:spacing w:after="0" w:line="240" w:lineRule="auto"/>
              <w:jc w:val="center"/>
              <w:rPr>
                <w:rFonts w:ascii="Times New Roman" w:eastAsia="Times New Roman" w:hAnsi="Times New Roman" w:cs="Times New Roman"/>
                <w:color w:val="000000"/>
                <w:sz w:val="28"/>
                <w:szCs w:val="28"/>
              </w:rPr>
            </w:pPr>
            <w:r w:rsidRPr="00ED51B1">
              <w:rPr>
                <w:rFonts w:ascii="Times New Roman" w:eastAsia="Times New Roman" w:hAnsi="Times New Roman" w:cs="Times New Roman"/>
                <w:color w:val="000000"/>
                <w:sz w:val="28"/>
                <w:szCs w:val="28"/>
              </w:rPr>
              <w:t>55</w:t>
            </w:r>
          </w:p>
          <w:p w14:paraId="45256E33" w14:textId="3BE905C2"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sz w:val="28"/>
                <w:szCs w:val="28"/>
              </w:rPr>
              <w:t>(</w:t>
            </w:r>
            <w:r w:rsidRPr="00ED51B1">
              <w:rPr>
                <w:rFonts w:ascii="Times New Roman" w:eastAsia="Times New Roman" w:hAnsi="Times New Roman" w:cs="Times New Roman"/>
                <w:color w:val="000000"/>
                <w:sz w:val="28"/>
                <w:szCs w:val="28"/>
              </w:rPr>
              <w:t>83,33</w:t>
            </w:r>
            <w:r w:rsidRPr="00ED51B1">
              <w:rPr>
                <w:rFonts w:ascii="Times New Roman" w:eastAsia="Times New Roman" w:hAnsi="Times New Roman" w:cs="Times New Roman"/>
                <w:sz w:val="28"/>
                <w:szCs w:val="28"/>
              </w:rPr>
              <w:t>%)</w:t>
            </w:r>
          </w:p>
        </w:tc>
        <w:tc>
          <w:tcPr>
            <w:tcW w:w="1546" w:type="dxa"/>
            <w:noWrap/>
            <w:vAlign w:val="center"/>
            <w:hideMark/>
          </w:tcPr>
          <w:p w14:paraId="04C54C8F" w14:textId="77777777" w:rsidR="00ED51B1" w:rsidRDefault="007A2C38" w:rsidP="00ED51B1">
            <w:pPr>
              <w:spacing w:after="0" w:line="240" w:lineRule="auto"/>
              <w:jc w:val="center"/>
              <w:rPr>
                <w:rFonts w:ascii="Times New Roman" w:eastAsia="Times New Roman" w:hAnsi="Times New Roman" w:cs="Times New Roman"/>
                <w:color w:val="000000"/>
                <w:sz w:val="28"/>
                <w:szCs w:val="28"/>
              </w:rPr>
            </w:pPr>
            <w:r w:rsidRPr="00ED51B1">
              <w:rPr>
                <w:rFonts w:ascii="Times New Roman" w:eastAsia="Times New Roman" w:hAnsi="Times New Roman" w:cs="Times New Roman"/>
                <w:color w:val="000000"/>
                <w:sz w:val="28"/>
                <w:szCs w:val="28"/>
              </w:rPr>
              <w:t>189</w:t>
            </w:r>
          </w:p>
          <w:p w14:paraId="48016827" w14:textId="7DF395C3"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color w:val="000000"/>
                <w:sz w:val="28"/>
                <w:szCs w:val="28"/>
              </w:rPr>
              <w:t>(77,14%)</w:t>
            </w:r>
          </w:p>
        </w:tc>
        <w:tc>
          <w:tcPr>
            <w:tcW w:w="1546" w:type="dxa"/>
            <w:gridSpan w:val="2"/>
            <w:noWrap/>
            <w:vAlign w:val="center"/>
            <w:hideMark/>
          </w:tcPr>
          <w:p w14:paraId="23F7CA10" w14:textId="77777777" w:rsidR="00ED51B1" w:rsidRDefault="007A2C38" w:rsidP="00ED51B1">
            <w:pPr>
              <w:spacing w:after="0" w:line="240" w:lineRule="auto"/>
              <w:jc w:val="center"/>
              <w:rPr>
                <w:rFonts w:ascii="Times New Roman" w:eastAsia="Times New Roman" w:hAnsi="Times New Roman" w:cs="Times New Roman"/>
                <w:color w:val="000000"/>
                <w:sz w:val="28"/>
                <w:szCs w:val="28"/>
              </w:rPr>
            </w:pPr>
            <w:r w:rsidRPr="00ED51B1">
              <w:rPr>
                <w:rFonts w:ascii="Times New Roman" w:eastAsia="Times New Roman" w:hAnsi="Times New Roman" w:cs="Times New Roman"/>
                <w:color w:val="000000"/>
                <w:sz w:val="28"/>
                <w:szCs w:val="28"/>
              </w:rPr>
              <w:t>114</w:t>
            </w:r>
          </w:p>
          <w:p w14:paraId="790580E6" w14:textId="2016C106"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color w:val="000000"/>
                <w:sz w:val="28"/>
                <w:szCs w:val="28"/>
              </w:rPr>
              <w:t>(67,46%)</w:t>
            </w:r>
          </w:p>
        </w:tc>
        <w:tc>
          <w:tcPr>
            <w:tcW w:w="1406" w:type="dxa"/>
            <w:gridSpan w:val="2"/>
            <w:noWrap/>
            <w:vAlign w:val="center"/>
            <w:hideMark/>
          </w:tcPr>
          <w:p w14:paraId="15C22077" w14:textId="77777777" w:rsid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sz w:val="28"/>
                <w:szCs w:val="28"/>
              </w:rPr>
              <w:t>358</w:t>
            </w:r>
          </w:p>
          <w:p w14:paraId="632EE480" w14:textId="740F9B34"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sz w:val="28"/>
                <w:szCs w:val="28"/>
              </w:rPr>
              <w:t>(</w:t>
            </w:r>
            <w:r w:rsidRPr="00ED51B1">
              <w:rPr>
                <w:rFonts w:ascii="Times New Roman" w:eastAsia="Times New Roman" w:hAnsi="Times New Roman" w:cs="Times New Roman"/>
                <w:color w:val="000000"/>
                <w:sz w:val="28"/>
                <w:szCs w:val="28"/>
              </w:rPr>
              <w:t>74,58</w:t>
            </w:r>
            <w:r w:rsidRPr="00ED51B1">
              <w:rPr>
                <w:rFonts w:ascii="Times New Roman" w:eastAsia="Times New Roman" w:hAnsi="Times New Roman" w:cs="Times New Roman"/>
                <w:sz w:val="28"/>
                <w:szCs w:val="28"/>
              </w:rPr>
              <w:t>%)</w:t>
            </w:r>
          </w:p>
        </w:tc>
      </w:tr>
      <w:tr w:rsidR="007A2C38" w:rsidRPr="00ED51B1" w14:paraId="09AC4565" w14:textId="77777777" w:rsidTr="00ED51B1">
        <w:trPr>
          <w:trHeight w:val="182"/>
        </w:trPr>
        <w:tc>
          <w:tcPr>
            <w:tcW w:w="3259" w:type="dxa"/>
            <w:noWrap/>
            <w:hideMark/>
          </w:tcPr>
          <w:p w14:paraId="51B2C009" w14:textId="77777777"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sz w:val="28"/>
                <w:szCs w:val="28"/>
              </w:rPr>
              <w:t>Пропустила очередную консультацию, избежать толпу</w:t>
            </w:r>
          </w:p>
        </w:tc>
        <w:tc>
          <w:tcPr>
            <w:tcW w:w="1406" w:type="dxa"/>
            <w:noWrap/>
            <w:vAlign w:val="center"/>
            <w:hideMark/>
          </w:tcPr>
          <w:p w14:paraId="517DF20F" w14:textId="77777777"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color w:val="000000"/>
                <w:sz w:val="28"/>
                <w:szCs w:val="28"/>
              </w:rPr>
              <w:t>6</w:t>
            </w:r>
            <w:r w:rsidRPr="00ED51B1">
              <w:rPr>
                <w:rFonts w:ascii="Times New Roman" w:eastAsia="Times New Roman" w:hAnsi="Times New Roman" w:cs="Times New Roman"/>
                <w:sz w:val="28"/>
                <w:szCs w:val="28"/>
              </w:rPr>
              <w:t>(</w:t>
            </w:r>
            <w:r w:rsidRPr="00ED51B1">
              <w:rPr>
                <w:rFonts w:ascii="Times New Roman" w:eastAsia="Times New Roman" w:hAnsi="Times New Roman" w:cs="Times New Roman"/>
                <w:color w:val="000000"/>
                <w:sz w:val="28"/>
                <w:szCs w:val="28"/>
              </w:rPr>
              <w:t>9,09</w:t>
            </w:r>
            <w:r w:rsidRPr="00ED51B1">
              <w:rPr>
                <w:rFonts w:ascii="Times New Roman" w:eastAsia="Times New Roman" w:hAnsi="Times New Roman" w:cs="Times New Roman"/>
                <w:sz w:val="28"/>
                <w:szCs w:val="28"/>
              </w:rPr>
              <w:t>%)</w:t>
            </w:r>
          </w:p>
        </w:tc>
        <w:tc>
          <w:tcPr>
            <w:tcW w:w="1546" w:type="dxa"/>
            <w:noWrap/>
            <w:vAlign w:val="center"/>
            <w:hideMark/>
          </w:tcPr>
          <w:p w14:paraId="67BC0CA7" w14:textId="77777777"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color w:val="000000"/>
                <w:sz w:val="28"/>
                <w:szCs w:val="28"/>
              </w:rPr>
              <w:t>45(18,37%)</w:t>
            </w:r>
          </w:p>
        </w:tc>
        <w:tc>
          <w:tcPr>
            <w:tcW w:w="1546" w:type="dxa"/>
            <w:gridSpan w:val="2"/>
            <w:noWrap/>
            <w:vAlign w:val="center"/>
            <w:hideMark/>
          </w:tcPr>
          <w:p w14:paraId="343E4F64" w14:textId="77777777"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color w:val="000000"/>
                <w:sz w:val="28"/>
                <w:szCs w:val="28"/>
              </w:rPr>
              <w:t>35(20,71%)</w:t>
            </w:r>
          </w:p>
        </w:tc>
        <w:tc>
          <w:tcPr>
            <w:tcW w:w="1406" w:type="dxa"/>
            <w:gridSpan w:val="2"/>
            <w:noWrap/>
            <w:vAlign w:val="center"/>
            <w:hideMark/>
          </w:tcPr>
          <w:p w14:paraId="45C7EA6D" w14:textId="77777777" w:rsid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sz w:val="28"/>
                <w:szCs w:val="28"/>
              </w:rPr>
              <w:t>86</w:t>
            </w:r>
          </w:p>
          <w:p w14:paraId="5578784F" w14:textId="53643166"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sz w:val="28"/>
                <w:szCs w:val="28"/>
              </w:rPr>
              <w:t>(</w:t>
            </w:r>
            <w:r w:rsidRPr="00ED51B1">
              <w:rPr>
                <w:rFonts w:ascii="Times New Roman" w:eastAsia="Times New Roman" w:hAnsi="Times New Roman" w:cs="Times New Roman"/>
                <w:color w:val="000000"/>
                <w:sz w:val="28"/>
                <w:szCs w:val="28"/>
              </w:rPr>
              <w:t>17,92</w:t>
            </w:r>
            <w:r w:rsidRPr="00ED51B1">
              <w:rPr>
                <w:rFonts w:ascii="Times New Roman" w:eastAsia="Times New Roman" w:hAnsi="Times New Roman" w:cs="Times New Roman"/>
                <w:sz w:val="28"/>
                <w:szCs w:val="28"/>
              </w:rPr>
              <w:t>%)</w:t>
            </w:r>
          </w:p>
        </w:tc>
      </w:tr>
      <w:tr w:rsidR="007A2C38" w:rsidRPr="00ED51B1" w14:paraId="0EE0B73D" w14:textId="77777777" w:rsidTr="00ED51B1">
        <w:trPr>
          <w:trHeight w:val="112"/>
        </w:trPr>
        <w:tc>
          <w:tcPr>
            <w:tcW w:w="3259" w:type="dxa"/>
            <w:noWrap/>
            <w:hideMark/>
          </w:tcPr>
          <w:p w14:paraId="30EEED3D" w14:textId="77777777"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sz w:val="28"/>
                <w:szCs w:val="28"/>
              </w:rPr>
              <w:t>Дома закончились ЛС во время комендантского часа</w:t>
            </w:r>
          </w:p>
        </w:tc>
        <w:tc>
          <w:tcPr>
            <w:tcW w:w="1406" w:type="dxa"/>
            <w:noWrap/>
            <w:vAlign w:val="center"/>
            <w:hideMark/>
          </w:tcPr>
          <w:p w14:paraId="591003D1" w14:textId="77777777"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color w:val="000000"/>
                <w:sz w:val="28"/>
                <w:szCs w:val="28"/>
              </w:rPr>
              <w:t>5</w:t>
            </w:r>
            <w:r w:rsidRPr="00ED51B1">
              <w:rPr>
                <w:rFonts w:ascii="Times New Roman" w:eastAsia="Times New Roman" w:hAnsi="Times New Roman" w:cs="Times New Roman"/>
                <w:sz w:val="28"/>
                <w:szCs w:val="28"/>
              </w:rPr>
              <w:t>(</w:t>
            </w:r>
            <w:r w:rsidRPr="00ED51B1">
              <w:rPr>
                <w:rFonts w:ascii="Times New Roman" w:eastAsia="Times New Roman" w:hAnsi="Times New Roman" w:cs="Times New Roman"/>
                <w:color w:val="000000"/>
                <w:sz w:val="28"/>
                <w:szCs w:val="28"/>
              </w:rPr>
              <w:t>7,58</w:t>
            </w:r>
            <w:r w:rsidRPr="00ED51B1">
              <w:rPr>
                <w:rFonts w:ascii="Times New Roman" w:eastAsia="Times New Roman" w:hAnsi="Times New Roman" w:cs="Times New Roman"/>
                <w:sz w:val="28"/>
                <w:szCs w:val="28"/>
              </w:rPr>
              <w:t>%)</w:t>
            </w:r>
          </w:p>
        </w:tc>
        <w:tc>
          <w:tcPr>
            <w:tcW w:w="1546" w:type="dxa"/>
            <w:noWrap/>
            <w:vAlign w:val="center"/>
            <w:hideMark/>
          </w:tcPr>
          <w:p w14:paraId="566F4DC7" w14:textId="77777777"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color w:val="000000"/>
                <w:sz w:val="28"/>
                <w:szCs w:val="28"/>
              </w:rPr>
              <w:t>11(4,49%)</w:t>
            </w:r>
          </w:p>
        </w:tc>
        <w:tc>
          <w:tcPr>
            <w:tcW w:w="1546" w:type="dxa"/>
            <w:gridSpan w:val="2"/>
            <w:noWrap/>
            <w:vAlign w:val="center"/>
            <w:hideMark/>
          </w:tcPr>
          <w:p w14:paraId="0707B7DE" w14:textId="77777777"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color w:val="000000"/>
                <w:sz w:val="28"/>
                <w:szCs w:val="28"/>
              </w:rPr>
              <w:t>20(11,83%)</w:t>
            </w:r>
          </w:p>
        </w:tc>
        <w:tc>
          <w:tcPr>
            <w:tcW w:w="1406" w:type="dxa"/>
            <w:gridSpan w:val="2"/>
            <w:noWrap/>
            <w:vAlign w:val="center"/>
            <w:hideMark/>
          </w:tcPr>
          <w:p w14:paraId="4E257AB1" w14:textId="77777777"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sz w:val="28"/>
                <w:szCs w:val="28"/>
              </w:rPr>
              <w:t>36(</w:t>
            </w:r>
            <w:r w:rsidRPr="00ED51B1">
              <w:rPr>
                <w:rFonts w:ascii="Times New Roman" w:eastAsia="Times New Roman" w:hAnsi="Times New Roman" w:cs="Times New Roman"/>
                <w:color w:val="000000"/>
                <w:sz w:val="28"/>
                <w:szCs w:val="28"/>
              </w:rPr>
              <w:t>7,50</w:t>
            </w:r>
            <w:r w:rsidRPr="00ED51B1">
              <w:rPr>
                <w:rFonts w:ascii="Times New Roman" w:eastAsia="Times New Roman" w:hAnsi="Times New Roman" w:cs="Times New Roman"/>
                <w:sz w:val="28"/>
                <w:szCs w:val="28"/>
              </w:rPr>
              <w:t>%)</w:t>
            </w:r>
          </w:p>
        </w:tc>
      </w:tr>
      <w:tr w:rsidR="007A2C38" w:rsidRPr="00ED51B1" w14:paraId="1EB8B844" w14:textId="77777777" w:rsidTr="00ED51B1">
        <w:trPr>
          <w:trHeight w:val="186"/>
        </w:trPr>
        <w:tc>
          <w:tcPr>
            <w:tcW w:w="3259" w:type="dxa"/>
            <w:noWrap/>
          </w:tcPr>
          <w:p w14:paraId="5DE257F4" w14:textId="77777777"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sz w:val="28"/>
                <w:szCs w:val="28"/>
              </w:rPr>
              <w:t>ИТОГО</w:t>
            </w:r>
          </w:p>
        </w:tc>
        <w:tc>
          <w:tcPr>
            <w:tcW w:w="1406" w:type="dxa"/>
            <w:noWrap/>
            <w:vAlign w:val="center"/>
          </w:tcPr>
          <w:p w14:paraId="4F551FB4" w14:textId="21791F4E" w:rsidR="007A2C38" w:rsidRPr="00ED51B1" w:rsidRDefault="007A2C38" w:rsidP="00ED51B1">
            <w:pPr>
              <w:spacing w:after="0" w:line="240" w:lineRule="auto"/>
              <w:jc w:val="center"/>
              <w:rPr>
                <w:rFonts w:ascii="Times New Roman" w:eastAsia="Times New Roman" w:hAnsi="Times New Roman" w:cs="Times New Roman"/>
                <w:color w:val="000000"/>
                <w:sz w:val="28"/>
                <w:szCs w:val="28"/>
              </w:rPr>
            </w:pPr>
            <w:r w:rsidRPr="00ED51B1">
              <w:rPr>
                <w:rFonts w:ascii="Times New Roman" w:eastAsia="Times New Roman" w:hAnsi="Times New Roman" w:cs="Times New Roman"/>
                <w:color w:val="000000"/>
                <w:sz w:val="28"/>
                <w:szCs w:val="28"/>
              </w:rPr>
              <w:t>66</w:t>
            </w:r>
            <w:r w:rsidR="00ED51B1">
              <w:rPr>
                <w:rFonts w:ascii="Times New Roman" w:eastAsia="Times New Roman" w:hAnsi="Times New Roman" w:cs="Times New Roman"/>
                <w:color w:val="000000"/>
                <w:sz w:val="28"/>
                <w:szCs w:val="28"/>
              </w:rPr>
              <w:t xml:space="preserve"> </w:t>
            </w:r>
            <w:r w:rsidRPr="00ED51B1">
              <w:rPr>
                <w:rFonts w:ascii="Times New Roman" w:eastAsia="Times New Roman" w:hAnsi="Times New Roman" w:cs="Times New Roman"/>
                <w:sz w:val="28"/>
                <w:szCs w:val="28"/>
              </w:rPr>
              <w:t>(</w:t>
            </w:r>
            <w:r w:rsidRPr="00ED51B1">
              <w:rPr>
                <w:rFonts w:ascii="Times New Roman" w:eastAsia="Times New Roman" w:hAnsi="Times New Roman" w:cs="Times New Roman"/>
                <w:color w:val="000000"/>
                <w:sz w:val="28"/>
                <w:szCs w:val="28"/>
              </w:rPr>
              <w:t>100,00</w:t>
            </w:r>
            <w:r w:rsidRPr="00ED51B1">
              <w:rPr>
                <w:rFonts w:ascii="Times New Roman" w:eastAsia="Times New Roman" w:hAnsi="Times New Roman" w:cs="Times New Roman"/>
                <w:sz w:val="28"/>
                <w:szCs w:val="28"/>
              </w:rPr>
              <w:t>%)</w:t>
            </w:r>
          </w:p>
        </w:tc>
        <w:tc>
          <w:tcPr>
            <w:tcW w:w="1546" w:type="dxa"/>
            <w:noWrap/>
            <w:vAlign w:val="center"/>
          </w:tcPr>
          <w:p w14:paraId="0FAE2418" w14:textId="3EB2C6A8" w:rsidR="007A2C38" w:rsidRPr="00ED51B1" w:rsidRDefault="007A2C38" w:rsidP="00ED51B1">
            <w:pPr>
              <w:spacing w:after="0" w:line="240" w:lineRule="auto"/>
              <w:jc w:val="center"/>
              <w:rPr>
                <w:rFonts w:ascii="Times New Roman" w:eastAsia="Times New Roman" w:hAnsi="Times New Roman" w:cs="Times New Roman"/>
                <w:color w:val="000000"/>
                <w:sz w:val="28"/>
                <w:szCs w:val="28"/>
              </w:rPr>
            </w:pPr>
            <w:r w:rsidRPr="00ED51B1">
              <w:rPr>
                <w:rFonts w:ascii="Times New Roman" w:eastAsia="Times New Roman" w:hAnsi="Times New Roman" w:cs="Times New Roman"/>
                <w:color w:val="000000"/>
                <w:sz w:val="28"/>
                <w:szCs w:val="28"/>
              </w:rPr>
              <w:t>245</w:t>
            </w:r>
            <w:r w:rsidR="00ED51B1">
              <w:rPr>
                <w:rFonts w:ascii="Times New Roman" w:eastAsia="Times New Roman" w:hAnsi="Times New Roman" w:cs="Times New Roman"/>
                <w:color w:val="000000"/>
                <w:sz w:val="28"/>
                <w:szCs w:val="28"/>
              </w:rPr>
              <w:t xml:space="preserve"> </w:t>
            </w:r>
            <w:r w:rsidRPr="00ED51B1">
              <w:rPr>
                <w:rFonts w:ascii="Times New Roman" w:eastAsia="Times New Roman" w:hAnsi="Times New Roman" w:cs="Times New Roman"/>
                <w:color w:val="000000"/>
                <w:sz w:val="28"/>
                <w:szCs w:val="28"/>
              </w:rPr>
              <w:t>(100,00%)</w:t>
            </w:r>
          </w:p>
        </w:tc>
        <w:tc>
          <w:tcPr>
            <w:tcW w:w="1546" w:type="dxa"/>
            <w:gridSpan w:val="2"/>
            <w:noWrap/>
            <w:vAlign w:val="center"/>
          </w:tcPr>
          <w:p w14:paraId="26AB6F2F" w14:textId="6B7BF445" w:rsidR="007A2C38" w:rsidRPr="00ED51B1" w:rsidRDefault="007A2C38" w:rsidP="00ED51B1">
            <w:pPr>
              <w:spacing w:after="0" w:line="240" w:lineRule="auto"/>
              <w:jc w:val="center"/>
              <w:rPr>
                <w:rFonts w:ascii="Times New Roman" w:eastAsia="Times New Roman" w:hAnsi="Times New Roman" w:cs="Times New Roman"/>
                <w:color w:val="000000"/>
                <w:sz w:val="28"/>
                <w:szCs w:val="28"/>
              </w:rPr>
            </w:pPr>
            <w:r w:rsidRPr="00ED51B1">
              <w:rPr>
                <w:rFonts w:ascii="Times New Roman" w:eastAsia="Times New Roman" w:hAnsi="Times New Roman" w:cs="Times New Roman"/>
                <w:color w:val="000000"/>
                <w:sz w:val="28"/>
                <w:szCs w:val="28"/>
              </w:rPr>
              <w:t>169</w:t>
            </w:r>
            <w:r w:rsidR="00ED51B1">
              <w:rPr>
                <w:rFonts w:ascii="Times New Roman" w:eastAsia="Times New Roman" w:hAnsi="Times New Roman" w:cs="Times New Roman"/>
                <w:color w:val="000000"/>
                <w:sz w:val="28"/>
                <w:szCs w:val="28"/>
              </w:rPr>
              <w:t xml:space="preserve"> </w:t>
            </w:r>
            <w:r w:rsidRPr="00ED51B1">
              <w:rPr>
                <w:rFonts w:ascii="Times New Roman" w:eastAsia="Times New Roman" w:hAnsi="Times New Roman" w:cs="Times New Roman"/>
                <w:color w:val="000000"/>
                <w:sz w:val="28"/>
                <w:szCs w:val="28"/>
              </w:rPr>
              <w:t>(100,00%)</w:t>
            </w:r>
          </w:p>
        </w:tc>
        <w:tc>
          <w:tcPr>
            <w:tcW w:w="1406" w:type="dxa"/>
            <w:gridSpan w:val="2"/>
            <w:noWrap/>
            <w:vAlign w:val="center"/>
          </w:tcPr>
          <w:p w14:paraId="19D515F9" w14:textId="0D56E1B9"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sz w:val="28"/>
                <w:szCs w:val="28"/>
                <w:lang w:val="en-US"/>
              </w:rPr>
              <w:t>480</w:t>
            </w:r>
            <w:r w:rsidR="00ED51B1">
              <w:rPr>
                <w:rFonts w:ascii="Times New Roman" w:eastAsia="Times New Roman" w:hAnsi="Times New Roman" w:cs="Times New Roman"/>
                <w:sz w:val="28"/>
                <w:szCs w:val="28"/>
              </w:rPr>
              <w:t xml:space="preserve"> </w:t>
            </w:r>
            <w:r w:rsidRPr="00ED51B1">
              <w:rPr>
                <w:rFonts w:ascii="Times New Roman" w:eastAsia="Times New Roman" w:hAnsi="Times New Roman" w:cs="Times New Roman"/>
                <w:sz w:val="28"/>
                <w:szCs w:val="28"/>
              </w:rPr>
              <w:t>(100.0%)</w:t>
            </w:r>
          </w:p>
        </w:tc>
      </w:tr>
      <w:tr w:rsidR="007A2C38" w:rsidRPr="00ED51B1" w14:paraId="60F1FB6F" w14:textId="77777777" w:rsidTr="00ED51B1">
        <w:trPr>
          <w:trHeight w:val="186"/>
        </w:trPr>
        <w:tc>
          <w:tcPr>
            <w:tcW w:w="3259" w:type="dxa"/>
            <w:noWrap/>
          </w:tcPr>
          <w:p w14:paraId="2F81D522" w14:textId="77777777" w:rsidR="007A2C38" w:rsidRPr="00ED51B1" w:rsidRDefault="007A2C38" w:rsidP="00ED51B1">
            <w:pPr>
              <w:spacing w:after="0" w:line="240" w:lineRule="auto"/>
              <w:jc w:val="center"/>
              <w:rPr>
                <w:rFonts w:ascii="Times New Roman" w:eastAsia="Times New Roman" w:hAnsi="Times New Roman" w:cs="Times New Roman"/>
                <w:sz w:val="28"/>
                <w:szCs w:val="28"/>
              </w:rPr>
            </w:pPr>
            <w:r w:rsidRPr="00ED51B1">
              <w:rPr>
                <w:rFonts w:ascii="Times New Roman" w:eastAsia="Times New Roman" w:hAnsi="Times New Roman" w:cs="Times New Roman"/>
                <w:sz w:val="28"/>
                <w:szCs w:val="28"/>
                <w:lang w:val="en-US"/>
              </w:rPr>
              <w:t>p</w:t>
            </w:r>
            <w:r w:rsidRPr="00ED51B1">
              <w:rPr>
                <w:rFonts w:ascii="Times New Roman" w:eastAsia="Times New Roman" w:hAnsi="Times New Roman" w:cs="Times New Roman"/>
                <w:sz w:val="28"/>
                <w:szCs w:val="28"/>
              </w:rPr>
              <w:t>-</w:t>
            </w:r>
            <w:r w:rsidRPr="00ED51B1">
              <w:rPr>
                <w:rFonts w:ascii="Times New Roman" w:eastAsia="Times New Roman" w:hAnsi="Times New Roman" w:cs="Times New Roman"/>
                <w:sz w:val="28"/>
                <w:szCs w:val="28"/>
                <w:lang w:val="en-US"/>
              </w:rPr>
              <w:t>value</w:t>
            </w:r>
            <w:r w:rsidRPr="00ED51B1">
              <w:rPr>
                <w:rFonts w:ascii="Times New Roman" w:eastAsia="Times New Roman" w:hAnsi="Times New Roman" w:cs="Times New Roman"/>
                <w:sz w:val="28"/>
                <w:szCs w:val="28"/>
              </w:rPr>
              <w:t xml:space="preserve"> </w:t>
            </w:r>
            <w:r w:rsidRPr="00ED51B1">
              <w:rPr>
                <w:rFonts w:ascii="Times New Roman" w:eastAsia="Times New Roman" w:hAnsi="Times New Roman" w:cs="Times New Roman"/>
                <w:sz w:val="28"/>
                <w:szCs w:val="28"/>
                <w:lang w:val="en-US"/>
              </w:rPr>
              <w:t>0,012</w:t>
            </w:r>
          </w:p>
        </w:tc>
        <w:tc>
          <w:tcPr>
            <w:tcW w:w="1406" w:type="dxa"/>
            <w:noWrap/>
            <w:vAlign w:val="center"/>
          </w:tcPr>
          <w:p w14:paraId="22DA3752" w14:textId="5AF30A96" w:rsidR="007A2C38" w:rsidRPr="00ED51B1" w:rsidRDefault="00ED51B1" w:rsidP="00ED51B1">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546" w:type="dxa"/>
            <w:noWrap/>
            <w:vAlign w:val="center"/>
          </w:tcPr>
          <w:p w14:paraId="28890095" w14:textId="38E9F4AF" w:rsidR="007A2C38" w:rsidRPr="00ED51B1" w:rsidRDefault="00ED51B1" w:rsidP="00ED51B1">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546" w:type="dxa"/>
            <w:gridSpan w:val="2"/>
            <w:noWrap/>
            <w:vAlign w:val="center"/>
          </w:tcPr>
          <w:p w14:paraId="2AE82C05" w14:textId="025CAF66" w:rsidR="007A2C38" w:rsidRPr="00ED51B1" w:rsidRDefault="00ED51B1" w:rsidP="00ED51B1">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406" w:type="dxa"/>
            <w:gridSpan w:val="2"/>
            <w:noWrap/>
          </w:tcPr>
          <w:p w14:paraId="27ED9821" w14:textId="38C19D05" w:rsidR="007A2C38" w:rsidRPr="00ED51B1" w:rsidRDefault="00ED51B1" w:rsidP="00ED51B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r>
    </w:tbl>
    <w:p w14:paraId="3E47BC2C" w14:textId="77777777" w:rsidR="007A2C38" w:rsidRPr="004135FE" w:rsidRDefault="007A2C38" w:rsidP="004135FE">
      <w:pPr>
        <w:spacing w:after="0" w:line="240" w:lineRule="auto"/>
        <w:jc w:val="both"/>
        <w:rPr>
          <w:rFonts w:ascii="Times New Roman" w:hAnsi="Times New Roman" w:cs="Times New Roman"/>
          <w:sz w:val="28"/>
          <w:szCs w:val="28"/>
        </w:rPr>
      </w:pPr>
    </w:p>
    <w:p w14:paraId="610ABE92" w14:textId="77777777" w:rsidR="007A2C38" w:rsidRPr="004135FE" w:rsidRDefault="007A2C38" w:rsidP="004135FE">
      <w:pPr>
        <w:pStyle w:val="a3"/>
        <w:spacing w:after="0" w:line="240" w:lineRule="auto"/>
        <w:ind w:left="0" w:firstLine="708"/>
        <w:jc w:val="both"/>
        <w:rPr>
          <w:rFonts w:ascii="Times New Roman" w:eastAsia="Times New Roman" w:hAnsi="Times New Roman" w:cs="Times New Roman"/>
          <w:sz w:val="28"/>
          <w:szCs w:val="28"/>
        </w:rPr>
      </w:pPr>
      <w:r w:rsidRPr="004135FE">
        <w:rPr>
          <w:rFonts w:ascii="Times New Roman" w:hAnsi="Times New Roman" w:cs="Times New Roman"/>
          <w:sz w:val="28"/>
          <w:szCs w:val="28"/>
        </w:rPr>
        <w:t>Основная часть пациентов-53,96%,</w:t>
      </w:r>
      <w:r w:rsidRPr="004135FE">
        <w:rPr>
          <w:rFonts w:ascii="Times New Roman" w:hAnsi="Times New Roman" w:cs="Times New Roman"/>
          <w:bCs/>
          <w:sz w:val="28"/>
          <w:szCs w:val="28"/>
        </w:rPr>
        <w:t xml:space="preserve"> привержены к</w:t>
      </w:r>
      <w:r w:rsidRPr="004135FE">
        <w:rPr>
          <w:rFonts w:ascii="Times New Roman" w:hAnsi="Times New Roman" w:cs="Times New Roman"/>
          <w:sz w:val="28"/>
          <w:szCs w:val="28"/>
        </w:rPr>
        <w:t xml:space="preserve"> рекомендованным врачом-эндокринологом ЛС, которые не выдаются по бесплатному рецепту. Со слов пациентов</w:t>
      </w:r>
      <w:r w:rsidRPr="004135FE">
        <w:rPr>
          <w:rFonts w:ascii="Times New Roman" w:eastAsia="Times New Roman" w:hAnsi="Times New Roman" w:cs="Times New Roman"/>
          <w:sz w:val="28"/>
          <w:szCs w:val="28"/>
        </w:rPr>
        <w:t xml:space="preserve"> </w:t>
      </w:r>
      <w:r w:rsidRPr="004135FE">
        <w:rPr>
          <w:rFonts w:ascii="Times New Roman" w:hAnsi="Times New Roman" w:cs="Times New Roman"/>
          <w:sz w:val="28"/>
          <w:szCs w:val="28"/>
        </w:rPr>
        <w:t>23,54% иногда приобретают назначенные препараты и 22,50% н</w:t>
      </w:r>
      <w:r w:rsidRPr="004135FE">
        <w:rPr>
          <w:rFonts w:ascii="Times New Roman" w:eastAsia="Times New Roman" w:hAnsi="Times New Roman" w:cs="Times New Roman"/>
          <w:sz w:val="28"/>
          <w:szCs w:val="28"/>
        </w:rPr>
        <w:t>е покупают назначенный медикамент по рецепту.</w:t>
      </w:r>
    </w:p>
    <w:p w14:paraId="743DD807" w14:textId="77777777" w:rsidR="007A2C38" w:rsidRPr="00ED51B1" w:rsidRDefault="007A2C38" w:rsidP="004135FE">
      <w:pPr>
        <w:pStyle w:val="a3"/>
        <w:spacing w:after="0" w:line="240" w:lineRule="auto"/>
        <w:ind w:left="0" w:firstLine="708"/>
        <w:jc w:val="both"/>
        <w:rPr>
          <w:rFonts w:ascii="Times New Roman" w:eastAsia="Times New Roman" w:hAnsi="Times New Roman" w:cs="Times New Roman"/>
          <w:sz w:val="18"/>
          <w:szCs w:val="18"/>
        </w:rPr>
      </w:pPr>
    </w:p>
    <w:p w14:paraId="03958174" w14:textId="77777777" w:rsidR="007A2C38" w:rsidRPr="004135FE" w:rsidRDefault="007A2C38" w:rsidP="00ED51B1">
      <w:pPr>
        <w:pStyle w:val="a3"/>
        <w:spacing w:after="0" w:line="240" w:lineRule="auto"/>
        <w:ind w:left="0" w:firstLine="708"/>
        <w:jc w:val="center"/>
        <w:rPr>
          <w:rFonts w:ascii="Times New Roman" w:eastAsia="Times New Roman" w:hAnsi="Times New Roman" w:cs="Times New Roman"/>
          <w:sz w:val="28"/>
          <w:szCs w:val="28"/>
        </w:rPr>
      </w:pPr>
      <w:r w:rsidRPr="004135FE">
        <w:rPr>
          <w:noProof/>
          <w:sz w:val="28"/>
          <w:szCs w:val="28"/>
        </w:rPr>
        <w:drawing>
          <wp:inline distT="0" distB="0" distL="0" distR="0" wp14:anchorId="0FA6E11A" wp14:editId="0C20D424">
            <wp:extent cx="4381500" cy="2298700"/>
            <wp:effectExtent l="0" t="0" r="0" b="6350"/>
            <wp:docPr id="147" name="Диаграмма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993EAD4" w14:textId="0E604B06" w:rsidR="007A2C38" w:rsidRPr="004135FE" w:rsidRDefault="007A2C38" w:rsidP="00B270B3">
      <w:pPr>
        <w:pStyle w:val="a3"/>
        <w:spacing w:after="0" w:line="240" w:lineRule="auto"/>
        <w:ind w:left="0" w:firstLine="708"/>
        <w:jc w:val="center"/>
        <w:rPr>
          <w:rFonts w:ascii="Times New Roman" w:hAnsi="Times New Roman" w:cs="Times New Roman"/>
          <w:sz w:val="28"/>
          <w:szCs w:val="28"/>
        </w:rPr>
      </w:pPr>
      <w:r w:rsidRPr="004135FE">
        <w:rPr>
          <w:rFonts w:ascii="Times New Roman" w:hAnsi="Times New Roman" w:cs="Times New Roman"/>
          <w:sz w:val="28"/>
          <w:szCs w:val="28"/>
        </w:rPr>
        <w:t>Рисунок 56</w:t>
      </w:r>
      <w:r w:rsidR="00B270B3">
        <w:rPr>
          <w:rFonts w:ascii="Times New Roman" w:hAnsi="Times New Roman" w:cs="Times New Roman"/>
          <w:sz w:val="28"/>
          <w:szCs w:val="28"/>
        </w:rPr>
        <w:t xml:space="preserve"> </w:t>
      </w:r>
      <w:r w:rsidRPr="004135FE">
        <w:rPr>
          <w:rFonts w:ascii="Times New Roman" w:hAnsi="Times New Roman" w:cs="Times New Roman"/>
          <w:sz w:val="28"/>
          <w:szCs w:val="28"/>
        </w:rPr>
        <w:t xml:space="preserve">- </w:t>
      </w:r>
      <w:r w:rsidRPr="004135FE">
        <w:rPr>
          <w:rFonts w:ascii="Times New Roman" w:hAnsi="Times New Roman" w:cs="Times New Roman"/>
          <w:bCs/>
          <w:sz w:val="28"/>
          <w:szCs w:val="28"/>
        </w:rPr>
        <w:t>Приверженность к</w:t>
      </w:r>
      <w:r w:rsidRPr="004135FE">
        <w:rPr>
          <w:rFonts w:ascii="Times New Roman" w:hAnsi="Times New Roman" w:cs="Times New Roman"/>
          <w:sz w:val="28"/>
          <w:szCs w:val="28"/>
        </w:rPr>
        <w:t xml:space="preserve"> рекомендованным врачом-эндокринологом ЛС, которые не выдаются по бесплатному рецепту</w:t>
      </w:r>
    </w:p>
    <w:p w14:paraId="5AA47685" w14:textId="77777777" w:rsidR="007A2C38" w:rsidRPr="004135FE" w:rsidRDefault="007A2C38" w:rsidP="004135FE">
      <w:pPr>
        <w:pStyle w:val="a3"/>
        <w:spacing w:after="0" w:line="240" w:lineRule="auto"/>
        <w:ind w:left="0" w:firstLine="708"/>
        <w:jc w:val="both"/>
        <w:rPr>
          <w:rFonts w:ascii="Times New Roman" w:hAnsi="Times New Roman" w:cs="Times New Roman"/>
          <w:sz w:val="28"/>
          <w:szCs w:val="28"/>
        </w:rPr>
      </w:pPr>
    </w:p>
    <w:p w14:paraId="7263AC4C" w14:textId="77777777" w:rsidR="007A2C38" w:rsidRPr="004135FE" w:rsidRDefault="007A2C38" w:rsidP="004135FE">
      <w:pPr>
        <w:pStyle w:val="a3"/>
        <w:spacing w:after="0" w:line="240" w:lineRule="auto"/>
        <w:ind w:left="0" w:firstLine="708"/>
        <w:jc w:val="both"/>
        <w:rPr>
          <w:rFonts w:ascii="Times New Roman" w:hAnsi="Times New Roman" w:cs="Times New Roman"/>
          <w:sz w:val="28"/>
          <w:szCs w:val="28"/>
        </w:rPr>
      </w:pPr>
      <w:r w:rsidRPr="004135FE">
        <w:rPr>
          <w:rFonts w:ascii="Times New Roman" w:hAnsi="Times New Roman" w:cs="Times New Roman"/>
          <w:bCs/>
          <w:sz w:val="28"/>
          <w:szCs w:val="28"/>
        </w:rPr>
        <w:t xml:space="preserve">Если </w:t>
      </w:r>
      <w:r w:rsidRPr="004135FE">
        <w:rPr>
          <w:rFonts w:ascii="Times New Roman" w:hAnsi="Times New Roman" w:cs="Times New Roman"/>
          <w:sz w:val="28"/>
          <w:szCs w:val="28"/>
        </w:rPr>
        <w:t xml:space="preserve">требуется коррекция назначенного лечения при иных жизненных обстоятельствах, как праздничные события, осложнение состояния сопутствующими заболеваниями, резкая смена климата, то </w:t>
      </w:r>
      <w:r w:rsidRPr="004135FE">
        <w:rPr>
          <w:rFonts w:ascii="Times New Roman" w:eastAsia="Times New Roman" w:hAnsi="Times New Roman" w:cs="Times New Roman"/>
          <w:sz w:val="28"/>
          <w:szCs w:val="28"/>
        </w:rPr>
        <w:t xml:space="preserve">36.46% респондентов заранее учитывая обстоятельства посещают прием врача. За консультацией </w:t>
      </w:r>
      <w:r w:rsidRPr="004135FE">
        <w:rPr>
          <w:rFonts w:ascii="Times New Roman" w:eastAsia="Times New Roman" w:hAnsi="Times New Roman" w:cs="Times New Roman"/>
          <w:color w:val="000000"/>
          <w:sz w:val="28"/>
          <w:szCs w:val="28"/>
        </w:rPr>
        <w:t>27,92</w:t>
      </w:r>
      <w:r w:rsidRPr="004135FE">
        <w:rPr>
          <w:rFonts w:ascii="Times New Roman" w:eastAsia="Times New Roman" w:hAnsi="Times New Roman" w:cs="Times New Roman"/>
          <w:sz w:val="28"/>
          <w:szCs w:val="28"/>
        </w:rPr>
        <w:t xml:space="preserve">% звонят мед.сестре и </w:t>
      </w:r>
      <w:r w:rsidRPr="004135FE">
        <w:rPr>
          <w:rFonts w:ascii="Times New Roman" w:eastAsia="Times New Roman" w:hAnsi="Times New Roman" w:cs="Times New Roman"/>
          <w:color w:val="000000"/>
          <w:sz w:val="28"/>
          <w:szCs w:val="28"/>
        </w:rPr>
        <w:t>18,96</w:t>
      </w:r>
      <w:r w:rsidRPr="004135FE">
        <w:rPr>
          <w:rFonts w:ascii="Times New Roman" w:eastAsia="Times New Roman" w:hAnsi="Times New Roman" w:cs="Times New Roman"/>
          <w:sz w:val="28"/>
          <w:szCs w:val="28"/>
        </w:rPr>
        <w:t xml:space="preserve">% врачу. </w:t>
      </w:r>
      <w:r w:rsidRPr="004135FE">
        <w:rPr>
          <w:rFonts w:ascii="Times New Roman" w:hAnsi="Times New Roman" w:cs="Times New Roman"/>
          <w:sz w:val="28"/>
          <w:szCs w:val="28"/>
        </w:rPr>
        <w:t xml:space="preserve">Со слов </w:t>
      </w:r>
      <w:r w:rsidRPr="004135FE">
        <w:rPr>
          <w:rFonts w:ascii="Times New Roman" w:eastAsia="Times New Roman" w:hAnsi="Times New Roman" w:cs="Times New Roman"/>
          <w:sz w:val="28"/>
          <w:szCs w:val="28"/>
        </w:rPr>
        <w:t xml:space="preserve">8,33% пациентов, </w:t>
      </w:r>
      <w:r w:rsidRPr="004135FE">
        <w:rPr>
          <w:rFonts w:ascii="Times New Roman" w:hAnsi="Times New Roman" w:cs="Times New Roman"/>
          <w:sz w:val="28"/>
          <w:szCs w:val="28"/>
        </w:rPr>
        <w:t xml:space="preserve">ШД научила самоконтролю, при гипергликемии без осложнения </w:t>
      </w:r>
      <w:r w:rsidRPr="004135FE">
        <w:rPr>
          <w:rFonts w:ascii="Times New Roman" w:eastAsia="Times New Roman" w:hAnsi="Times New Roman" w:cs="Times New Roman"/>
          <w:sz w:val="28"/>
          <w:szCs w:val="28"/>
        </w:rPr>
        <w:t>и на все случаи жизни.</w:t>
      </w:r>
      <w:r w:rsidRPr="004135FE">
        <w:rPr>
          <w:rFonts w:ascii="Times New Roman" w:hAnsi="Times New Roman" w:cs="Times New Roman"/>
          <w:sz w:val="28"/>
          <w:szCs w:val="28"/>
        </w:rPr>
        <w:t xml:space="preserve"> </w:t>
      </w:r>
    </w:p>
    <w:p w14:paraId="74D5D398" w14:textId="77777777" w:rsidR="007A2C38" w:rsidRPr="004135FE" w:rsidRDefault="007A2C38" w:rsidP="004135FE">
      <w:pPr>
        <w:spacing w:after="0" w:line="240" w:lineRule="auto"/>
        <w:jc w:val="both"/>
        <w:rPr>
          <w:rFonts w:ascii="Times New Roman" w:hAnsi="Times New Roman" w:cs="Times New Roman"/>
          <w:sz w:val="28"/>
          <w:szCs w:val="28"/>
        </w:rPr>
      </w:pPr>
    </w:p>
    <w:p w14:paraId="4A237550" w14:textId="77777777" w:rsidR="007A2C38" w:rsidRPr="004135FE" w:rsidRDefault="007A2C38" w:rsidP="004135FE">
      <w:pPr>
        <w:spacing w:after="0" w:line="240" w:lineRule="auto"/>
        <w:jc w:val="both"/>
        <w:rPr>
          <w:rFonts w:ascii="Times New Roman" w:hAnsi="Times New Roman" w:cs="Times New Roman"/>
          <w:sz w:val="28"/>
          <w:szCs w:val="28"/>
        </w:rPr>
      </w:pPr>
      <w:r w:rsidRPr="004135FE">
        <w:rPr>
          <w:noProof/>
          <w:sz w:val="28"/>
          <w:szCs w:val="28"/>
        </w:rPr>
        <w:drawing>
          <wp:inline distT="0" distB="0" distL="0" distR="0" wp14:anchorId="4643D561" wp14:editId="10A5ED35">
            <wp:extent cx="5565913" cy="2743200"/>
            <wp:effectExtent l="0" t="0" r="0" b="0"/>
            <wp:docPr id="145" name="Диаграмма 145"/>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674C0016" w14:textId="77777777" w:rsidR="00ED51B1" w:rsidRDefault="00ED51B1" w:rsidP="00ED51B1">
      <w:pPr>
        <w:spacing w:after="0" w:line="240" w:lineRule="auto"/>
        <w:jc w:val="center"/>
        <w:rPr>
          <w:rFonts w:ascii="Times New Roman" w:hAnsi="Times New Roman" w:cs="Times New Roman"/>
          <w:sz w:val="28"/>
          <w:szCs w:val="28"/>
        </w:rPr>
      </w:pPr>
    </w:p>
    <w:p w14:paraId="4D586B15" w14:textId="4889BE07" w:rsidR="007A2C38" w:rsidRPr="004135FE" w:rsidRDefault="007A2C38" w:rsidP="00ED51B1">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Рисунок 57-</w:t>
      </w:r>
      <w:r w:rsidRPr="004135FE">
        <w:rPr>
          <w:rFonts w:ascii="Times New Roman" w:hAnsi="Times New Roman" w:cs="Times New Roman"/>
          <w:bCs/>
          <w:sz w:val="28"/>
          <w:szCs w:val="28"/>
        </w:rPr>
        <w:t xml:space="preserve"> Поведение пациента</w:t>
      </w:r>
      <w:r w:rsidRPr="004135FE">
        <w:rPr>
          <w:rFonts w:ascii="Times New Roman" w:hAnsi="Times New Roman" w:cs="Times New Roman"/>
          <w:sz w:val="28"/>
          <w:szCs w:val="28"/>
        </w:rPr>
        <w:t>, которому требуется коррекция назначенного лечения при иных жизненных обстоятельствах</w:t>
      </w:r>
    </w:p>
    <w:p w14:paraId="5410E97B" w14:textId="77777777" w:rsidR="007A2C38" w:rsidRPr="004135FE" w:rsidRDefault="007A2C38" w:rsidP="004135FE">
      <w:pPr>
        <w:spacing w:after="0" w:line="240" w:lineRule="auto"/>
        <w:jc w:val="both"/>
        <w:rPr>
          <w:rFonts w:ascii="Times New Roman" w:hAnsi="Times New Roman" w:cs="Times New Roman"/>
          <w:sz w:val="28"/>
          <w:szCs w:val="28"/>
        </w:rPr>
      </w:pPr>
    </w:p>
    <w:p w14:paraId="27DA0042" w14:textId="77777777" w:rsidR="007A2C38" w:rsidRPr="004135FE" w:rsidRDefault="007A2C38" w:rsidP="004135FE">
      <w:pPr>
        <w:spacing w:after="0" w:line="240" w:lineRule="auto"/>
        <w:ind w:firstLine="708"/>
        <w:jc w:val="both"/>
        <w:rPr>
          <w:rFonts w:ascii="Times New Roman" w:eastAsia="Times New Roman" w:hAnsi="Times New Roman" w:cs="Times New Roman"/>
          <w:sz w:val="28"/>
          <w:szCs w:val="28"/>
        </w:rPr>
      </w:pPr>
      <w:r w:rsidRPr="004135FE">
        <w:rPr>
          <w:rFonts w:ascii="Times New Roman" w:hAnsi="Times New Roman" w:cs="Times New Roman"/>
          <w:sz w:val="28"/>
          <w:szCs w:val="28"/>
        </w:rPr>
        <w:t xml:space="preserve">Согласно проведенному анализу, физическое состояние во время карантина </w:t>
      </w:r>
      <w:r w:rsidRPr="004135FE">
        <w:rPr>
          <w:rFonts w:ascii="Times New Roman" w:hAnsi="Times New Roman" w:cs="Times New Roman"/>
          <w:sz w:val="28"/>
          <w:szCs w:val="28"/>
          <w:lang w:val="en-US"/>
        </w:rPr>
        <w:t>COVID</w:t>
      </w:r>
      <w:r w:rsidRPr="004135FE">
        <w:rPr>
          <w:rFonts w:ascii="Times New Roman" w:hAnsi="Times New Roman" w:cs="Times New Roman"/>
          <w:sz w:val="28"/>
          <w:szCs w:val="28"/>
        </w:rPr>
        <w:t xml:space="preserve">-19 у </w:t>
      </w:r>
      <w:r w:rsidRPr="004135FE">
        <w:rPr>
          <w:rFonts w:ascii="Times New Roman" w:eastAsia="Times New Roman" w:hAnsi="Times New Roman" w:cs="Times New Roman"/>
          <w:sz w:val="28"/>
          <w:szCs w:val="28"/>
        </w:rPr>
        <w:t>50,63%</w:t>
      </w:r>
      <w:r w:rsidRPr="004135FE">
        <w:rPr>
          <w:rFonts w:ascii="Times New Roman" w:hAnsi="Times New Roman" w:cs="Times New Roman"/>
          <w:sz w:val="28"/>
          <w:szCs w:val="28"/>
        </w:rPr>
        <w:t xml:space="preserve"> респондентов было без ухудшения. Снижение физической активности отмечено у 23,96% пациентов. Обострились сопутствующие заболевания у 12,92% пациентов с СД2т и нарушение диеты у </w:t>
      </w:r>
      <w:r w:rsidRPr="004135FE">
        <w:rPr>
          <w:rFonts w:ascii="Times New Roman" w:eastAsia="Times New Roman" w:hAnsi="Times New Roman" w:cs="Times New Roman"/>
          <w:sz w:val="28"/>
          <w:szCs w:val="28"/>
        </w:rPr>
        <w:t xml:space="preserve">12,50% </w:t>
      </w:r>
      <w:r w:rsidRPr="004135FE">
        <w:rPr>
          <w:rFonts w:ascii="Times New Roman" w:hAnsi="Times New Roman" w:cs="Times New Roman"/>
          <w:sz w:val="28"/>
          <w:szCs w:val="28"/>
        </w:rPr>
        <w:t>пациентов, так как не всегда были доступны свежие и необходимые продукты.</w:t>
      </w:r>
    </w:p>
    <w:p w14:paraId="71489F04" w14:textId="77777777" w:rsidR="007A2C38" w:rsidRPr="004135FE" w:rsidRDefault="007A2C38" w:rsidP="00ED51B1">
      <w:pPr>
        <w:spacing w:after="0" w:line="240" w:lineRule="auto"/>
        <w:jc w:val="center"/>
        <w:rPr>
          <w:rFonts w:ascii="Times New Roman" w:eastAsia="Times New Roman" w:hAnsi="Times New Roman" w:cs="Times New Roman"/>
          <w:sz w:val="28"/>
          <w:szCs w:val="28"/>
        </w:rPr>
      </w:pPr>
      <w:r w:rsidRPr="004135FE">
        <w:rPr>
          <w:noProof/>
          <w:sz w:val="28"/>
          <w:szCs w:val="28"/>
        </w:rPr>
        <w:drawing>
          <wp:inline distT="0" distB="0" distL="0" distR="0" wp14:anchorId="2C8EC397" wp14:editId="538BD453">
            <wp:extent cx="5219700" cy="2146300"/>
            <wp:effectExtent l="0" t="0" r="0" b="6350"/>
            <wp:docPr id="148" name="Диаграмма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0A0961C1" w14:textId="77777777" w:rsidR="007A2C38" w:rsidRPr="004135FE" w:rsidRDefault="007A2C38" w:rsidP="00ED51B1">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Рисунок 58-</w:t>
      </w:r>
      <w:r w:rsidRPr="004135FE">
        <w:rPr>
          <w:rFonts w:ascii="Times New Roman" w:hAnsi="Times New Roman" w:cs="Times New Roman"/>
          <w:bCs/>
          <w:sz w:val="28"/>
          <w:szCs w:val="28"/>
        </w:rPr>
        <w:t xml:space="preserve"> </w:t>
      </w:r>
      <w:r w:rsidRPr="004135FE">
        <w:rPr>
          <w:rFonts w:ascii="Times New Roman" w:hAnsi="Times New Roman" w:cs="Times New Roman"/>
          <w:sz w:val="28"/>
          <w:szCs w:val="28"/>
        </w:rPr>
        <w:t xml:space="preserve">Физическое состояние пациента во время карантина </w:t>
      </w:r>
      <w:r w:rsidRPr="004135FE">
        <w:rPr>
          <w:rFonts w:ascii="Times New Roman" w:hAnsi="Times New Roman" w:cs="Times New Roman"/>
          <w:sz w:val="28"/>
          <w:szCs w:val="28"/>
          <w:lang w:val="en-US"/>
        </w:rPr>
        <w:t>COVID</w:t>
      </w:r>
      <w:r w:rsidRPr="004135FE">
        <w:rPr>
          <w:rFonts w:ascii="Times New Roman" w:hAnsi="Times New Roman" w:cs="Times New Roman"/>
          <w:sz w:val="28"/>
          <w:szCs w:val="28"/>
        </w:rPr>
        <w:t>-19</w:t>
      </w:r>
    </w:p>
    <w:p w14:paraId="24F7E1FC" w14:textId="77777777" w:rsidR="007A2C38" w:rsidRPr="004135FE" w:rsidRDefault="007A2C38" w:rsidP="004135FE">
      <w:pPr>
        <w:spacing w:after="0" w:line="240" w:lineRule="auto"/>
        <w:jc w:val="both"/>
        <w:rPr>
          <w:rFonts w:ascii="Times New Roman" w:eastAsia="Times New Roman" w:hAnsi="Times New Roman" w:cs="Times New Roman"/>
          <w:sz w:val="28"/>
          <w:szCs w:val="28"/>
        </w:rPr>
      </w:pPr>
    </w:p>
    <w:p w14:paraId="54A55537" w14:textId="77777777" w:rsidR="007A2C38" w:rsidRPr="00F5487A" w:rsidRDefault="007A2C38" w:rsidP="00F5487A">
      <w:pPr>
        <w:spacing w:after="0" w:line="240" w:lineRule="auto"/>
        <w:ind w:firstLine="708"/>
        <w:jc w:val="both"/>
        <w:rPr>
          <w:rFonts w:ascii="Times New Roman" w:eastAsia="Times New Roman" w:hAnsi="Times New Roman" w:cs="Times New Roman"/>
          <w:bCs/>
          <w:sz w:val="28"/>
          <w:szCs w:val="28"/>
        </w:rPr>
      </w:pPr>
      <w:r w:rsidRPr="00F5487A">
        <w:rPr>
          <w:rFonts w:ascii="Times New Roman" w:eastAsia="Times New Roman" w:hAnsi="Times New Roman" w:cs="Times New Roman"/>
          <w:bCs/>
          <w:sz w:val="28"/>
          <w:szCs w:val="28"/>
        </w:rPr>
        <w:t xml:space="preserve">Таким образом, поведение пациентов при управлении СД2т отражают уровень контакта с медицинским персоналом, ГП и солидарную ответственность. </w:t>
      </w:r>
      <w:r w:rsidRPr="00F5487A">
        <w:rPr>
          <w:rFonts w:ascii="Times New Roman" w:eastAsia="Times New Roman" w:hAnsi="Times New Roman" w:cs="Times New Roman"/>
          <w:bCs/>
          <w:color w:val="000000"/>
          <w:sz w:val="28"/>
          <w:szCs w:val="28"/>
        </w:rPr>
        <w:t>31,46% респондентов в</w:t>
      </w:r>
      <w:r w:rsidRPr="00F5487A">
        <w:rPr>
          <w:rFonts w:ascii="Times New Roman" w:eastAsia="Times New Roman" w:hAnsi="Times New Roman" w:cs="Times New Roman"/>
          <w:bCs/>
          <w:sz w:val="28"/>
          <w:szCs w:val="28"/>
        </w:rPr>
        <w:t xml:space="preserve">едут дневник самоконтроля, показывают врачу для коррекции лечения; </w:t>
      </w:r>
      <w:r w:rsidRPr="00F5487A">
        <w:rPr>
          <w:rFonts w:ascii="Times New Roman" w:eastAsia="Times New Roman" w:hAnsi="Times New Roman" w:cs="Times New Roman"/>
          <w:bCs/>
          <w:color w:val="000000"/>
          <w:sz w:val="28"/>
          <w:szCs w:val="28"/>
        </w:rPr>
        <w:t xml:space="preserve">28,33% </w:t>
      </w:r>
      <w:r w:rsidRPr="00F5487A">
        <w:rPr>
          <w:rFonts w:ascii="Times New Roman" w:eastAsia="Times New Roman" w:hAnsi="Times New Roman" w:cs="Times New Roman"/>
          <w:bCs/>
          <w:sz w:val="28"/>
          <w:szCs w:val="28"/>
        </w:rPr>
        <w:t xml:space="preserve">не ведут дневник, по самочувствии просят коррекции лечения; </w:t>
      </w:r>
      <w:r w:rsidRPr="00F5487A">
        <w:rPr>
          <w:rFonts w:ascii="Times New Roman" w:eastAsia="Times New Roman" w:hAnsi="Times New Roman" w:cs="Times New Roman"/>
          <w:bCs/>
          <w:color w:val="000000"/>
          <w:sz w:val="28"/>
          <w:szCs w:val="28"/>
        </w:rPr>
        <w:t xml:space="preserve">27,92% </w:t>
      </w:r>
      <w:r w:rsidRPr="00F5487A">
        <w:rPr>
          <w:rFonts w:ascii="Times New Roman" w:eastAsia="Times New Roman" w:hAnsi="Times New Roman" w:cs="Times New Roman"/>
          <w:bCs/>
          <w:sz w:val="28"/>
          <w:szCs w:val="28"/>
        </w:rPr>
        <w:t>получают лекарства и считают, что нет необходимости отвлекать врача</w:t>
      </w:r>
      <w:r w:rsidRPr="00F5487A">
        <w:rPr>
          <w:rFonts w:ascii="Times New Roman" w:eastAsia="Times New Roman" w:hAnsi="Times New Roman" w:cs="Times New Roman"/>
          <w:bCs/>
          <w:color w:val="000000"/>
          <w:sz w:val="28"/>
          <w:szCs w:val="28"/>
        </w:rPr>
        <w:t>; 12,29% п</w:t>
      </w:r>
      <w:r w:rsidRPr="00F5487A">
        <w:rPr>
          <w:rFonts w:ascii="Times New Roman" w:eastAsia="Times New Roman" w:hAnsi="Times New Roman" w:cs="Times New Roman"/>
          <w:bCs/>
          <w:sz w:val="28"/>
          <w:szCs w:val="28"/>
        </w:rPr>
        <w:t>олучают лекарства, не удобно задавать лишние вопросы</w:t>
      </w:r>
      <w:r w:rsidRPr="00F5487A">
        <w:rPr>
          <w:rFonts w:ascii="Times New Roman" w:eastAsia="Times New Roman" w:hAnsi="Times New Roman" w:cs="Times New Roman"/>
          <w:bCs/>
          <w:color w:val="000000"/>
          <w:sz w:val="28"/>
          <w:szCs w:val="28"/>
        </w:rPr>
        <w:t xml:space="preserve">. </w:t>
      </w:r>
      <w:r w:rsidRPr="00F5487A">
        <w:rPr>
          <w:rFonts w:ascii="Times New Roman" w:hAnsi="Times New Roman" w:cs="Times New Roman"/>
          <w:bCs/>
          <w:sz w:val="28"/>
          <w:szCs w:val="28"/>
        </w:rPr>
        <w:t xml:space="preserve">При этом, во время получения ЛС по бесплатному рецепту </w:t>
      </w:r>
      <w:r w:rsidRPr="00F5487A">
        <w:rPr>
          <w:rFonts w:ascii="Times New Roman" w:eastAsia="Times New Roman" w:hAnsi="Times New Roman" w:cs="Times New Roman"/>
          <w:bCs/>
          <w:color w:val="000000"/>
          <w:sz w:val="28"/>
          <w:szCs w:val="28"/>
        </w:rPr>
        <w:t>29,97</w:t>
      </w:r>
      <w:r w:rsidRPr="00F5487A">
        <w:rPr>
          <w:rFonts w:ascii="Times New Roman" w:eastAsia="Times New Roman" w:hAnsi="Times New Roman" w:cs="Times New Roman"/>
          <w:bCs/>
          <w:sz w:val="28"/>
          <w:szCs w:val="28"/>
        </w:rPr>
        <w:t>%</w:t>
      </w:r>
      <w:r w:rsidRPr="00F5487A">
        <w:rPr>
          <w:rFonts w:ascii="Times New Roman" w:hAnsi="Times New Roman" w:cs="Times New Roman"/>
          <w:bCs/>
          <w:sz w:val="28"/>
          <w:szCs w:val="28"/>
        </w:rPr>
        <w:t xml:space="preserve">- пациентов страдающих с СД2т с возраста 46-60 лет, </w:t>
      </w:r>
      <w:r w:rsidRPr="00F5487A">
        <w:rPr>
          <w:rFonts w:ascii="Times New Roman" w:eastAsia="Times New Roman" w:hAnsi="Times New Roman" w:cs="Times New Roman"/>
          <w:bCs/>
          <w:color w:val="000000"/>
          <w:sz w:val="28"/>
          <w:szCs w:val="28"/>
        </w:rPr>
        <w:t>35,46</w:t>
      </w:r>
      <w:r w:rsidRPr="00F5487A">
        <w:rPr>
          <w:rFonts w:ascii="Times New Roman" w:eastAsia="Times New Roman" w:hAnsi="Times New Roman" w:cs="Times New Roman"/>
          <w:bCs/>
          <w:sz w:val="28"/>
          <w:szCs w:val="28"/>
        </w:rPr>
        <w:t>%</w:t>
      </w:r>
      <w:r w:rsidRPr="00F5487A">
        <w:rPr>
          <w:rFonts w:ascii="Times New Roman" w:hAnsi="Times New Roman" w:cs="Times New Roman"/>
          <w:bCs/>
          <w:sz w:val="28"/>
          <w:szCs w:val="28"/>
        </w:rPr>
        <w:t xml:space="preserve"> с 18-45 лет и </w:t>
      </w:r>
      <w:r w:rsidRPr="00F5487A">
        <w:rPr>
          <w:rFonts w:ascii="Times New Roman" w:eastAsia="Times New Roman" w:hAnsi="Times New Roman" w:cs="Times New Roman"/>
          <w:bCs/>
          <w:color w:val="000000"/>
          <w:sz w:val="28"/>
          <w:szCs w:val="28"/>
        </w:rPr>
        <w:t>28,85</w:t>
      </w:r>
      <w:r w:rsidRPr="00F5487A">
        <w:rPr>
          <w:rFonts w:ascii="Times New Roman" w:eastAsia="Times New Roman" w:hAnsi="Times New Roman" w:cs="Times New Roman"/>
          <w:bCs/>
          <w:sz w:val="28"/>
          <w:szCs w:val="28"/>
        </w:rPr>
        <w:t>%</w:t>
      </w:r>
      <w:r w:rsidRPr="00F5487A">
        <w:rPr>
          <w:rFonts w:ascii="Times New Roman" w:hAnsi="Times New Roman" w:cs="Times New Roman"/>
          <w:bCs/>
          <w:sz w:val="28"/>
          <w:szCs w:val="28"/>
        </w:rPr>
        <w:t xml:space="preserve">- старше 60 лет показывают врачу дневник самоконтроля для коррекции лечения.  </w:t>
      </w:r>
    </w:p>
    <w:p w14:paraId="65C3028F" w14:textId="77777777" w:rsidR="007A2C38" w:rsidRPr="00F5487A" w:rsidRDefault="007A2C38" w:rsidP="00F5487A">
      <w:pPr>
        <w:pStyle w:val="a3"/>
        <w:spacing w:after="0" w:line="240" w:lineRule="auto"/>
        <w:ind w:left="0" w:firstLine="708"/>
        <w:jc w:val="both"/>
        <w:rPr>
          <w:rFonts w:ascii="Times New Roman" w:eastAsia="Times New Roman" w:hAnsi="Times New Roman" w:cs="Times New Roman"/>
          <w:bCs/>
          <w:sz w:val="28"/>
          <w:szCs w:val="28"/>
        </w:rPr>
      </w:pPr>
      <w:r w:rsidRPr="00F5487A">
        <w:rPr>
          <w:rFonts w:ascii="Times New Roman" w:hAnsi="Times New Roman" w:cs="Times New Roman"/>
          <w:bCs/>
          <w:sz w:val="28"/>
          <w:szCs w:val="28"/>
        </w:rPr>
        <w:t xml:space="preserve">Физическое состояние во время карантина </w:t>
      </w:r>
      <w:r w:rsidRPr="00F5487A">
        <w:rPr>
          <w:rFonts w:ascii="Times New Roman" w:hAnsi="Times New Roman" w:cs="Times New Roman"/>
          <w:bCs/>
          <w:sz w:val="28"/>
          <w:szCs w:val="28"/>
          <w:lang w:val="en-US"/>
        </w:rPr>
        <w:t>COVID</w:t>
      </w:r>
      <w:r w:rsidRPr="00F5487A">
        <w:rPr>
          <w:rFonts w:ascii="Times New Roman" w:hAnsi="Times New Roman" w:cs="Times New Roman"/>
          <w:bCs/>
          <w:sz w:val="28"/>
          <w:szCs w:val="28"/>
        </w:rPr>
        <w:t xml:space="preserve">-19 у </w:t>
      </w:r>
      <w:r w:rsidRPr="00F5487A">
        <w:rPr>
          <w:rFonts w:ascii="Times New Roman" w:eastAsia="Times New Roman" w:hAnsi="Times New Roman" w:cs="Times New Roman"/>
          <w:bCs/>
          <w:sz w:val="28"/>
          <w:szCs w:val="28"/>
        </w:rPr>
        <w:t>50,63%</w:t>
      </w:r>
      <w:r w:rsidRPr="00F5487A">
        <w:rPr>
          <w:rFonts w:ascii="Times New Roman" w:hAnsi="Times New Roman" w:cs="Times New Roman"/>
          <w:bCs/>
          <w:sz w:val="28"/>
          <w:szCs w:val="28"/>
        </w:rPr>
        <w:t xml:space="preserve"> респондентов было без ухудшения. Во время карантина у </w:t>
      </w:r>
      <w:r w:rsidRPr="00F5487A">
        <w:rPr>
          <w:rFonts w:ascii="Times New Roman" w:eastAsia="Times New Roman" w:hAnsi="Times New Roman" w:cs="Times New Roman"/>
          <w:bCs/>
          <w:color w:val="000000"/>
          <w:sz w:val="28"/>
          <w:szCs w:val="28"/>
        </w:rPr>
        <w:t xml:space="preserve">20,71% </w:t>
      </w:r>
      <w:r w:rsidRPr="00F5487A">
        <w:rPr>
          <w:rFonts w:ascii="Times New Roman" w:eastAsia="Times New Roman" w:hAnsi="Times New Roman" w:cs="Times New Roman"/>
          <w:bCs/>
          <w:sz w:val="28"/>
          <w:szCs w:val="28"/>
        </w:rPr>
        <w:t xml:space="preserve">пожилого и </w:t>
      </w:r>
      <w:r w:rsidRPr="00F5487A">
        <w:rPr>
          <w:rFonts w:ascii="Times New Roman" w:eastAsia="Times New Roman" w:hAnsi="Times New Roman" w:cs="Times New Roman"/>
          <w:bCs/>
          <w:color w:val="000000"/>
          <w:sz w:val="28"/>
          <w:szCs w:val="28"/>
        </w:rPr>
        <w:t xml:space="preserve">18,37% </w:t>
      </w:r>
      <w:r w:rsidRPr="00F5487A">
        <w:rPr>
          <w:rFonts w:ascii="Times New Roman" w:eastAsia="Times New Roman" w:hAnsi="Times New Roman" w:cs="Times New Roman"/>
          <w:bCs/>
          <w:sz w:val="28"/>
          <w:szCs w:val="28"/>
        </w:rPr>
        <w:t xml:space="preserve">среднего возраста и </w:t>
      </w:r>
      <w:r w:rsidRPr="00F5487A">
        <w:rPr>
          <w:rFonts w:ascii="Times New Roman" w:eastAsia="Times New Roman" w:hAnsi="Times New Roman" w:cs="Times New Roman"/>
          <w:bCs/>
          <w:color w:val="000000"/>
          <w:sz w:val="28"/>
          <w:szCs w:val="28"/>
        </w:rPr>
        <w:t>9,09</w:t>
      </w:r>
      <w:r w:rsidRPr="00F5487A">
        <w:rPr>
          <w:rFonts w:ascii="Times New Roman" w:eastAsia="Times New Roman" w:hAnsi="Times New Roman" w:cs="Times New Roman"/>
          <w:bCs/>
          <w:sz w:val="28"/>
          <w:szCs w:val="28"/>
        </w:rPr>
        <w:t xml:space="preserve">% молодых пациентов </w:t>
      </w:r>
      <w:r w:rsidRPr="00F5487A">
        <w:rPr>
          <w:rFonts w:ascii="Times New Roman" w:hAnsi="Times New Roman" w:cs="Times New Roman"/>
          <w:bCs/>
          <w:sz w:val="28"/>
          <w:szCs w:val="28"/>
        </w:rPr>
        <w:t xml:space="preserve">пропустили очередную консультацию, с целью избегания мест скопления людей.  </w:t>
      </w:r>
    </w:p>
    <w:p w14:paraId="05461127" w14:textId="77777777" w:rsidR="007A2C38" w:rsidRPr="00F5487A" w:rsidRDefault="007A2C38" w:rsidP="00F5487A">
      <w:pPr>
        <w:pStyle w:val="a3"/>
        <w:spacing w:after="0" w:line="240" w:lineRule="auto"/>
        <w:ind w:left="0" w:firstLine="708"/>
        <w:jc w:val="both"/>
        <w:rPr>
          <w:rFonts w:ascii="Times New Roman" w:eastAsia="Times New Roman" w:hAnsi="Times New Roman" w:cs="Times New Roman"/>
          <w:bCs/>
          <w:sz w:val="28"/>
          <w:szCs w:val="28"/>
        </w:rPr>
      </w:pPr>
      <w:r w:rsidRPr="00F5487A">
        <w:rPr>
          <w:rFonts w:ascii="Times New Roman" w:hAnsi="Times New Roman" w:cs="Times New Roman"/>
          <w:bCs/>
          <w:sz w:val="28"/>
          <w:szCs w:val="28"/>
        </w:rPr>
        <w:t>23,54% пациентов иногда приобретают назначенные препараты и 22,50% н</w:t>
      </w:r>
      <w:r w:rsidRPr="00F5487A">
        <w:rPr>
          <w:rFonts w:ascii="Times New Roman" w:eastAsia="Times New Roman" w:hAnsi="Times New Roman" w:cs="Times New Roman"/>
          <w:bCs/>
          <w:sz w:val="28"/>
          <w:szCs w:val="28"/>
        </w:rPr>
        <w:t xml:space="preserve">е покупают назначенный медикамент, которые </w:t>
      </w:r>
      <w:r w:rsidRPr="00F5487A">
        <w:rPr>
          <w:rFonts w:ascii="Times New Roman" w:hAnsi="Times New Roman" w:cs="Times New Roman"/>
          <w:bCs/>
          <w:sz w:val="28"/>
          <w:szCs w:val="28"/>
        </w:rPr>
        <w:t>не выдаются по бесплатному рецепту</w:t>
      </w:r>
      <w:r w:rsidRPr="00F5487A">
        <w:rPr>
          <w:rFonts w:ascii="Times New Roman" w:eastAsia="Times New Roman" w:hAnsi="Times New Roman" w:cs="Times New Roman"/>
          <w:bCs/>
          <w:sz w:val="28"/>
          <w:szCs w:val="28"/>
        </w:rPr>
        <w:t>.</w:t>
      </w:r>
    </w:p>
    <w:p w14:paraId="6C0CB98A" w14:textId="77777777" w:rsidR="007A2C38" w:rsidRPr="00F5487A" w:rsidRDefault="007A2C38" w:rsidP="00F5487A">
      <w:pPr>
        <w:pStyle w:val="a3"/>
        <w:spacing w:after="0" w:line="240" w:lineRule="auto"/>
        <w:ind w:left="0" w:firstLine="708"/>
        <w:jc w:val="both"/>
        <w:rPr>
          <w:rFonts w:ascii="Times New Roman" w:hAnsi="Times New Roman" w:cs="Times New Roman"/>
          <w:bCs/>
          <w:sz w:val="28"/>
          <w:szCs w:val="28"/>
        </w:rPr>
      </w:pPr>
      <w:r w:rsidRPr="00F5487A">
        <w:rPr>
          <w:rFonts w:ascii="Times New Roman" w:hAnsi="Times New Roman" w:cs="Times New Roman"/>
          <w:bCs/>
          <w:sz w:val="28"/>
          <w:szCs w:val="28"/>
        </w:rPr>
        <w:t xml:space="preserve">При иных жизненных обстоятельствах, как праздничные события, осложнение состояния сопутствующими заболеваниями, резкая смена климата, </w:t>
      </w:r>
      <w:r w:rsidRPr="00F5487A">
        <w:rPr>
          <w:rFonts w:ascii="Times New Roman" w:eastAsia="Times New Roman" w:hAnsi="Times New Roman" w:cs="Times New Roman"/>
          <w:bCs/>
          <w:sz w:val="28"/>
          <w:szCs w:val="28"/>
        </w:rPr>
        <w:t xml:space="preserve">36,46% респондентов заранее учитывая обстоятельства посещают прием врача. </w:t>
      </w:r>
    </w:p>
    <w:p w14:paraId="378B4E43" w14:textId="381AD5D7" w:rsidR="007A2C38" w:rsidRPr="00F5487A" w:rsidRDefault="007A2C38" w:rsidP="00F5487A">
      <w:pPr>
        <w:spacing w:after="0" w:line="240" w:lineRule="auto"/>
        <w:ind w:firstLine="708"/>
        <w:jc w:val="both"/>
        <w:rPr>
          <w:rFonts w:ascii="Times New Roman" w:hAnsi="Times New Roman" w:cs="Times New Roman"/>
          <w:bCs/>
          <w:sz w:val="28"/>
          <w:szCs w:val="28"/>
        </w:rPr>
      </w:pPr>
      <w:r w:rsidRPr="00F5487A">
        <w:rPr>
          <w:rFonts w:ascii="Times New Roman" w:hAnsi="Times New Roman" w:cs="Times New Roman"/>
          <w:bCs/>
          <w:sz w:val="28"/>
          <w:szCs w:val="28"/>
        </w:rPr>
        <w:t xml:space="preserve">Выводы подраздела </w:t>
      </w:r>
      <w:r w:rsidR="004F3F5B" w:rsidRPr="00F5487A">
        <w:rPr>
          <w:rFonts w:ascii="Times New Roman" w:eastAsia="Times New Roman" w:hAnsi="Times New Roman" w:cs="Times New Roman"/>
          <w:bCs/>
          <w:sz w:val="28"/>
          <w:szCs w:val="28"/>
        </w:rPr>
        <w:t>4.2.3</w:t>
      </w:r>
      <w:r w:rsidRPr="00F5487A">
        <w:rPr>
          <w:rFonts w:ascii="Times New Roman" w:eastAsia="Times New Roman" w:hAnsi="Times New Roman" w:cs="Times New Roman"/>
          <w:bCs/>
          <w:sz w:val="28"/>
          <w:szCs w:val="28"/>
        </w:rPr>
        <w:t>. Согласно проведенному анализу социологического опроса, в</w:t>
      </w:r>
      <w:r w:rsidRPr="00F5487A">
        <w:rPr>
          <w:rFonts w:ascii="Times New Roman" w:hAnsi="Times New Roman" w:cs="Times New Roman"/>
          <w:bCs/>
          <w:sz w:val="28"/>
          <w:szCs w:val="28"/>
        </w:rPr>
        <w:t>озможности профилактических мер на уровне населения</w:t>
      </w:r>
      <w:r w:rsidR="00DE6E94" w:rsidRPr="00F5487A">
        <w:rPr>
          <w:rFonts w:ascii="Times New Roman" w:hAnsi="Times New Roman" w:cs="Times New Roman"/>
          <w:bCs/>
          <w:sz w:val="28"/>
          <w:szCs w:val="28"/>
        </w:rPr>
        <w:t xml:space="preserve"> с СД2т</w:t>
      </w:r>
      <w:r w:rsidRPr="00F5487A">
        <w:rPr>
          <w:rFonts w:ascii="Times New Roman" w:hAnsi="Times New Roman" w:cs="Times New Roman"/>
          <w:bCs/>
          <w:sz w:val="28"/>
          <w:szCs w:val="28"/>
        </w:rPr>
        <w:t xml:space="preserve"> необходимо укрепить солидарной ответственностью и активным участием в укреплении и сохранении собственного здоровья:</w:t>
      </w:r>
    </w:p>
    <w:p w14:paraId="764640FF" w14:textId="77777777" w:rsidR="007A2C38" w:rsidRPr="00F5487A" w:rsidRDefault="007A2C38" w:rsidP="00F5487A">
      <w:pPr>
        <w:spacing w:after="0" w:line="240" w:lineRule="auto"/>
        <w:ind w:firstLine="708"/>
        <w:jc w:val="both"/>
        <w:rPr>
          <w:rFonts w:ascii="Times New Roman" w:hAnsi="Times New Roman" w:cs="Times New Roman"/>
          <w:bCs/>
          <w:sz w:val="28"/>
          <w:szCs w:val="28"/>
        </w:rPr>
      </w:pPr>
      <w:r w:rsidRPr="00F5487A">
        <w:rPr>
          <w:rFonts w:ascii="Times New Roman" w:hAnsi="Times New Roman" w:cs="Times New Roman"/>
          <w:bCs/>
          <w:sz w:val="28"/>
          <w:szCs w:val="28"/>
        </w:rPr>
        <w:t>- повысить уровень уведомления пользы и вреда назначенного ЛС</w:t>
      </w:r>
    </w:p>
    <w:p w14:paraId="00385C9E" w14:textId="77777777" w:rsidR="007A2C38" w:rsidRPr="00F5487A" w:rsidRDefault="007A2C38" w:rsidP="00F5487A">
      <w:pPr>
        <w:spacing w:after="0" w:line="240" w:lineRule="auto"/>
        <w:ind w:firstLine="708"/>
        <w:jc w:val="both"/>
        <w:rPr>
          <w:rFonts w:ascii="Times New Roman" w:hAnsi="Times New Roman" w:cs="Times New Roman"/>
          <w:bCs/>
          <w:sz w:val="28"/>
          <w:szCs w:val="28"/>
        </w:rPr>
      </w:pPr>
      <w:r w:rsidRPr="00F5487A">
        <w:rPr>
          <w:rFonts w:ascii="Times New Roman" w:hAnsi="Times New Roman" w:cs="Times New Roman"/>
          <w:bCs/>
          <w:sz w:val="28"/>
          <w:szCs w:val="28"/>
        </w:rPr>
        <w:t>- получать ЛС и консультативную помощь без преград субъективного характера и страха перед белым халатом</w:t>
      </w:r>
    </w:p>
    <w:p w14:paraId="0D45D51F" w14:textId="77777777" w:rsidR="007A2C38" w:rsidRPr="00F5487A" w:rsidRDefault="007A2C38" w:rsidP="00F5487A">
      <w:pPr>
        <w:spacing w:after="0" w:line="240" w:lineRule="auto"/>
        <w:ind w:firstLine="708"/>
        <w:jc w:val="both"/>
        <w:rPr>
          <w:rFonts w:ascii="Times New Roman" w:hAnsi="Times New Roman" w:cs="Times New Roman"/>
          <w:bCs/>
          <w:sz w:val="28"/>
          <w:szCs w:val="28"/>
        </w:rPr>
      </w:pPr>
      <w:r w:rsidRPr="00F5487A">
        <w:rPr>
          <w:rFonts w:ascii="Times New Roman" w:hAnsi="Times New Roman" w:cs="Times New Roman"/>
          <w:bCs/>
          <w:sz w:val="28"/>
          <w:szCs w:val="28"/>
        </w:rPr>
        <w:t>- вести дневник самоконтроля независимо от возраста и осложнении</w:t>
      </w:r>
    </w:p>
    <w:p w14:paraId="4B0DB0D2" w14:textId="77777777" w:rsidR="007A2C38" w:rsidRPr="00F5487A" w:rsidRDefault="007A2C38" w:rsidP="00F5487A">
      <w:pPr>
        <w:spacing w:after="0" w:line="240" w:lineRule="auto"/>
        <w:ind w:firstLine="708"/>
        <w:jc w:val="both"/>
        <w:rPr>
          <w:rFonts w:ascii="Times New Roman" w:hAnsi="Times New Roman" w:cs="Times New Roman"/>
          <w:bCs/>
          <w:sz w:val="28"/>
          <w:szCs w:val="28"/>
        </w:rPr>
      </w:pPr>
      <w:r w:rsidRPr="00F5487A">
        <w:rPr>
          <w:rFonts w:ascii="Times New Roman" w:hAnsi="Times New Roman" w:cs="Times New Roman"/>
          <w:bCs/>
          <w:sz w:val="28"/>
          <w:szCs w:val="28"/>
        </w:rPr>
        <w:t xml:space="preserve">- повысить посещаемость ШД пациентов с СД2т, независимо от возраста и осложнении </w:t>
      </w:r>
    </w:p>
    <w:p w14:paraId="67455719" w14:textId="77777777" w:rsidR="007A2C38" w:rsidRPr="00F5487A" w:rsidRDefault="007A2C38" w:rsidP="004135FE">
      <w:pPr>
        <w:spacing w:after="0" w:line="240" w:lineRule="auto"/>
        <w:jc w:val="both"/>
        <w:rPr>
          <w:rFonts w:ascii="Times New Roman" w:hAnsi="Times New Roman" w:cs="Times New Roman"/>
          <w:bCs/>
          <w:sz w:val="28"/>
          <w:szCs w:val="28"/>
        </w:rPr>
      </w:pPr>
    </w:p>
    <w:p w14:paraId="6A2B3D6F" w14:textId="038C514C" w:rsidR="007A2C38" w:rsidRPr="00F5487A" w:rsidRDefault="007A2C38" w:rsidP="00F5487A">
      <w:pPr>
        <w:spacing w:after="0" w:line="240" w:lineRule="auto"/>
        <w:ind w:firstLine="709"/>
        <w:rPr>
          <w:rFonts w:ascii="Times New Roman" w:hAnsi="Times New Roman" w:cs="Times New Roman"/>
          <w:b/>
          <w:sz w:val="28"/>
          <w:szCs w:val="28"/>
        </w:rPr>
      </w:pPr>
      <w:r w:rsidRPr="00F5487A">
        <w:rPr>
          <w:rFonts w:ascii="Times New Roman" w:hAnsi="Times New Roman" w:cs="Times New Roman"/>
          <w:b/>
          <w:sz w:val="28"/>
          <w:szCs w:val="28"/>
        </w:rPr>
        <w:t xml:space="preserve">Выводы </w:t>
      </w:r>
      <w:r w:rsidR="00F5487A" w:rsidRPr="00F5487A">
        <w:rPr>
          <w:rFonts w:ascii="Times New Roman" w:hAnsi="Times New Roman" w:cs="Times New Roman"/>
          <w:b/>
          <w:sz w:val="28"/>
          <w:szCs w:val="28"/>
        </w:rPr>
        <w:t xml:space="preserve">по </w:t>
      </w:r>
      <w:r w:rsidRPr="00F5487A">
        <w:rPr>
          <w:rFonts w:ascii="Times New Roman" w:hAnsi="Times New Roman" w:cs="Times New Roman"/>
          <w:b/>
          <w:sz w:val="28"/>
          <w:szCs w:val="28"/>
        </w:rPr>
        <w:t>4 раздел</w:t>
      </w:r>
      <w:r w:rsidR="00F5487A" w:rsidRPr="00F5487A">
        <w:rPr>
          <w:rFonts w:ascii="Times New Roman" w:hAnsi="Times New Roman" w:cs="Times New Roman"/>
          <w:b/>
          <w:sz w:val="28"/>
          <w:szCs w:val="28"/>
        </w:rPr>
        <w:t>у</w:t>
      </w:r>
    </w:p>
    <w:p w14:paraId="58F8BA54" w14:textId="77777777" w:rsidR="00E25874" w:rsidRPr="00F5487A" w:rsidRDefault="00E25874" w:rsidP="004135FE">
      <w:pPr>
        <w:pStyle w:val="a3"/>
        <w:spacing w:after="0" w:line="240" w:lineRule="auto"/>
        <w:ind w:left="0" w:firstLine="708"/>
        <w:jc w:val="both"/>
        <w:rPr>
          <w:rFonts w:ascii="Times New Roman" w:eastAsia="Times New Roman" w:hAnsi="Times New Roman" w:cs="Times New Roman"/>
          <w:bCs/>
          <w:sz w:val="28"/>
          <w:szCs w:val="28"/>
        </w:rPr>
      </w:pPr>
      <w:r w:rsidRPr="00F5487A">
        <w:rPr>
          <w:rFonts w:ascii="Times New Roman" w:hAnsi="Times New Roman" w:cs="Times New Roman"/>
          <w:bCs/>
          <w:sz w:val="28"/>
          <w:szCs w:val="28"/>
        </w:rPr>
        <w:t>Проведенное социологическое исследование показало, что основными потребностями медицинского персонала и пациентов с СД2т являются:</w:t>
      </w:r>
    </w:p>
    <w:p w14:paraId="0474C664" w14:textId="77777777" w:rsidR="004004F2" w:rsidRPr="004135FE" w:rsidRDefault="004004F2" w:rsidP="002911FB">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п</w:t>
      </w:r>
      <w:r w:rsidR="00E25874" w:rsidRPr="004135FE">
        <w:rPr>
          <w:rFonts w:ascii="Times New Roman" w:hAnsi="Times New Roman" w:cs="Times New Roman"/>
          <w:sz w:val="28"/>
          <w:szCs w:val="28"/>
        </w:rPr>
        <w:t xml:space="preserve">ересмотреть </w:t>
      </w:r>
      <w:r w:rsidRPr="004135FE">
        <w:rPr>
          <w:rFonts w:ascii="Times New Roman" w:hAnsi="Times New Roman" w:cs="Times New Roman"/>
          <w:sz w:val="28"/>
          <w:szCs w:val="28"/>
        </w:rPr>
        <w:t>нагрузку на врача эндокринолога</w:t>
      </w:r>
    </w:p>
    <w:p w14:paraId="63A5D101" w14:textId="0EFEE110" w:rsidR="004004F2" w:rsidRPr="004135FE" w:rsidRDefault="004004F2" w:rsidP="002911FB">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w:t>
      </w:r>
      <w:r w:rsidR="00E25874" w:rsidRPr="004135FE">
        <w:rPr>
          <w:rFonts w:ascii="Times New Roman" w:hAnsi="Times New Roman" w:cs="Times New Roman"/>
          <w:sz w:val="28"/>
          <w:szCs w:val="28"/>
        </w:rPr>
        <w:t xml:space="preserve"> увеличить длительность приема</w:t>
      </w:r>
    </w:p>
    <w:p w14:paraId="3AB771A9" w14:textId="77777777" w:rsidR="00FA261E" w:rsidRPr="004135FE" w:rsidRDefault="004004F2" w:rsidP="002911FB">
      <w:pPr>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hAnsi="Times New Roman" w:cs="Times New Roman"/>
          <w:sz w:val="28"/>
          <w:szCs w:val="28"/>
        </w:rPr>
        <w:t xml:space="preserve">- </w:t>
      </w:r>
      <w:r w:rsidR="00E25874" w:rsidRPr="004135FE">
        <w:rPr>
          <w:rFonts w:ascii="Times New Roman" w:hAnsi="Times New Roman" w:cs="Times New Roman"/>
          <w:sz w:val="28"/>
          <w:szCs w:val="28"/>
        </w:rPr>
        <w:t>о</w:t>
      </w:r>
      <w:r w:rsidR="00E25874" w:rsidRPr="004135FE">
        <w:rPr>
          <w:rFonts w:ascii="Times New Roman" w:eastAsiaTheme="minorHAnsi" w:hAnsi="Times New Roman" w:cs="Times New Roman"/>
          <w:sz w:val="28"/>
          <w:szCs w:val="28"/>
          <w:lang w:eastAsia="en-US"/>
        </w:rPr>
        <w:t>плата дополнительных функции персоналов и ресурсов труда вне рабочего времени</w:t>
      </w:r>
    </w:p>
    <w:p w14:paraId="5EF10299" w14:textId="77777777" w:rsidR="00FA261E" w:rsidRPr="004135FE" w:rsidRDefault="00FA261E" w:rsidP="002911FB">
      <w:pPr>
        <w:spacing w:after="0" w:line="240" w:lineRule="auto"/>
        <w:ind w:firstLine="709"/>
        <w:jc w:val="both"/>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w:t>
      </w:r>
      <w:r w:rsidR="00E25874" w:rsidRPr="004135FE">
        <w:rPr>
          <w:rFonts w:ascii="Times New Roman" w:eastAsiaTheme="minorHAnsi" w:hAnsi="Times New Roman" w:cs="Times New Roman"/>
          <w:sz w:val="28"/>
          <w:szCs w:val="28"/>
          <w:lang w:eastAsia="en-US"/>
        </w:rPr>
        <w:t xml:space="preserve"> с</w:t>
      </w:r>
      <w:r w:rsidR="00E25874" w:rsidRPr="004135FE">
        <w:rPr>
          <w:rFonts w:ascii="Times New Roman" w:hAnsi="Times New Roman" w:cs="Times New Roman"/>
          <w:sz w:val="28"/>
          <w:szCs w:val="28"/>
        </w:rPr>
        <w:t>овершенствовать навыки мед</w:t>
      </w:r>
      <w:r w:rsidR="004004F2" w:rsidRPr="004135FE">
        <w:rPr>
          <w:rFonts w:ascii="Times New Roman" w:hAnsi="Times New Roman" w:cs="Times New Roman"/>
          <w:sz w:val="28"/>
          <w:szCs w:val="28"/>
        </w:rPr>
        <w:t xml:space="preserve">ицинского </w:t>
      </w:r>
      <w:r w:rsidR="00E25874" w:rsidRPr="004135FE">
        <w:rPr>
          <w:rFonts w:ascii="Times New Roman" w:hAnsi="Times New Roman" w:cs="Times New Roman"/>
          <w:sz w:val="28"/>
          <w:szCs w:val="28"/>
        </w:rPr>
        <w:t>персонала по современным технологиям диагностики и лечения СД2т и его осложнении</w:t>
      </w:r>
    </w:p>
    <w:p w14:paraId="68D65783" w14:textId="391775B3" w:rsidR="00FA261E" w:rsidRPr="004135FE" w:rsidRDefault="00FA261E" w:rsidP="002911FB">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 </w:t>
      </w:r>
      <w:r w:rsidR="00E25874" w:rsidRPr="004135FE">
        <w:rPr>
          <w:rFonts w:ascii="Times New Roman" w:hAnsi="Times New Roman" w:cs="Times New Roman"/>
          <w:sz w:val="28"/>
          <w:szCs w:val="28"/>
        </w:rPr>
        <w:t>совершенствовать командную (муль</w:t>
      </w:r>
      <w:r w:rsidR="00557311" w:rsidRPr="004135FE">
        <w:rPr>
          <w:rFonts w:ascii="Times New Roman" w:hAnsi="Times New Roman" w:cs="Times New Roman"/>
          <w:sz w:val="28"/>
          <w:szCs w:val="28"/>
        </w:rPr>
        <w:t>тидисципли</w:t>
      </w:r>
      <w:r w:rsidR="00E25874" w:rsidRPr="004135FE">
        <w:rPr>
          <w:rFonts w:ascii="Times New Roman" w:hAnsi="Times New Roman" w:cs="Times New Roman"/>
          <w:sz w:val="28"/>
          <w:szCs w:val="28"/>
        </w:rPr>
        <w:t>нарную) работу персоналов для управления СД2 и ФР</w:t>
      </w:r>
      <w:r w:rsidR="00F5487A">
        <w:rPr>
          <w:rFonts w:ascii="Times New Roman" w:hAnsi="Times New Roman" w:cs="Times New Roman"/>
          <w:sz w:val="28"/>
          <w:szCs w:val="28"/>
        </w:rPr>
        <w:t>.</w:t>
      </w:r>
    </w:p>
    <w:p w14:paraId="55361A25" w14:textId="77777777" w:rsidR="00FA261E" w:rsidRPr="004135FE" w:rsidRDefault="00FA261E" w:rsidP="002911FB">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
          <w:sz w:val="28"/>
          <w:szCs w:val="28"/>
        </w:rPr>
        <w:t>-</w:t>
      </w:r>
      <w:r w:rsidR="00E25874" w:rsidRPr="004135FE">
        <w:rPr>
          <w:rFonts w:ascii="Times New Roman" w:hAnsi="Times New Roman" w:cs="Times New Roman"/>
          <w:b/>
          <w:sz w:val="28"/>
          <w:szCs w:val="28"/>
        </w:rPr>
        <w:t xml:space="preserve"> </w:t>
      </w:r>
      <w:r w:rsidR="00E25874" w:rsidRPr="004135FE">
        <w:rPr>
          <w:rFonts w:ascii="Times New Roman" w:hAnsi="Times New Roman" w:cs="Times New Roman"/>
          <w:sz w:val="28"/>
          <w:szCs w:val="28"/>
        </w:rPr>
        <w:t>психосоциальная поддержка пациентов</w:t>
      </w:r>
    </w:p>
    <w:p w14:paraId="26EFC11A" w14:textId="2A94EB7D" w:rsidR="00FA261E" w:rsidRPr="004135FE" w:rsidRDefault="00FA261E" w:rsidP="002911FB">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 </w:t>
      </w:r>
      <w:r w:rsidR="00E25874" w:rsidRPr="004135FE">
        <w:rPr>
          <w:rFonts w:ascii="Times New Roman" w:hAnsi="Times New Roman" w:cs="Times New Roman"/>
          <w:sz w:val="28"/>
          <w:szCs w:val="28"/>
        </w:rPr>
        <w:t>индивидуальный подбор физической активности с учетом противопоказании и мер предосторожностей</w:t>
      </w:r>
    </w:p>
    <w:p w14:paraId="7C7C576B" w14:textId="12C31865" w:rsidR="00FA261E" w:rsidRPr="004135FE" w:rsidRDefault="00FA261E" w:rsidP="002911FB">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w:t>
      </w:r>
      <w:r w:rsidR="00E25874" w:rsidRPr="004135FE">
        <w:rPr>
          <w:rFonts w:ascii="Times New Roman" w:hAnsi="Times New Roman" w:cs="Times New Roman"/>
          <w:sz w:val="28"/>
          <w:szCs w:val="28"/>
        </w:rPr>
        <w:t xml:space="preserve"> организация контроля репродуктивного потенциала женщин и мужчин фертильного возраста с СД2т</w:t>
      </w:r>
    </w:p>
    <w:p w14:paraId="618B8C5E" w14:textId="5D75F1B8" w:rsidR="00B60CA4" w:rsidRPr="004135FE" w:rsidRDefault="00B60CA4" w:rsidP="002911FB">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борьба с социальными детерминантами ухудшающие состояние здоровья</w:t>
      </w:r>
    </w:p>
    <w:p w14:paraId="10C70F44" w14:textId="77F02F40" w:rsidR="00B60CA4" w:rsidRPr="004135FE" w:rsidRDefault="00B60CA4" w:rsidP="002911FB">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-вопросы занятости и социальной изолированности</w:t>
      </w:r>
    </w:p>
    <w:p w14:paraId="3AD67F42" w14:textId="6456776D" w:rsidR="00E25874" w:rsidRPr="004135FE" w:rsidRDefault="00FA261E" w:rsidP="002911FB">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w:t>
      </w:r>
      <w:r w:rsidR="00E25874" w:rsidRPr="004135FE">
        <w:rPr>
          <w:rFonts w:ascii="Times New Roman" w:hAnsi="Times New Roman" w:cs="Times New Roman"/>
          <w:sz w:val="28"/>
          <w:szCs w:val="28"/>
        </w:rPr>
        <w:t xml:space="preserve"> повысить уровень приверженности к рекомендациям и самоконтроля пациентов.</w:t>
      </w:r>
    </w:p>
    <w:p w14:paraId="0E258015" w14:textId="5B18497F" w:rsidR="00185B3C" w:rsidRPr="00F5487A" w:rsidRDefault="007A2C38" w:rsidP="00F5487A">
      <w:pPr>
        <w:spacing w:after="0" w:line="240" w:lineRule="auto"/>
        <w:ind w:firstLine="708"/>
        <w:jc w:val="both"/>
        <w:rPr>
          <w:rFonts w:ascii="Times New Roman" w:hAnsi="Times New Roman" w:cs="Times New Roman"/>
          <w:caps/>
          <w:sz w:val="28"/>
          <w:szCs w:val="28"/>
        </w:rPr>
      </w:pPr>
      <w:r w:rsidRPr="00F5487A">
        <w:rPr>
          <w:rFonts w:ascii="Times New Roman" w:hAnsi="Times New Roman" w:cs="Times New Roman"/>
          <w:sz w:val="28"/>
          <w:szCs w:val="28"/>
        </w:rPr>
        <w:t>Таким образом, определены потребности пациентов и медицинского персонала</w:t>
      </w:r>
      <w:r w:rsidR="00FA261E" w:rsidRPr="00F5487A">
        <w:rPr>
          <w:rFonts w:ascii="Times New Roman" w:hAnsi="Times New Roman" w:cs="Times New Roman"/>
          <w:sz w:val="28"/>
          <w:szCs w:val="28"/>
        </w:rPr>
        <w:t xml:space="preserve">, </w:t>
      </w:r>
      <w:r w:rsidR="000F46F5" w:rsidRPr="00F5487A">
        <w:rPr>
          <w:rFonts w:ascii="Times New Roman" w:hAnsi="Times New Roman" w:cs="Times New Roman"/>
          <w:sz w:val="28"/>
          <w:szCs w:val="28"/>
        </w:rPr>
        <w:t xml:space="preserve">для </w:t>
      </w:r>
      <w:r w:rsidR="00FA261E" w:rsidRPr="00F5487A">
        <w:rPr>
          <w:rFonts w:ascii="Times New Roman" w:hAnsi="Times New Roman" w:cs="Times New Roman"/>
          <w:sz w:val="28"/>
          <w:szCs w:val="28"/>
        </w:rPr>
        <w:t>реализации</w:t>
      </w:r>
      <w:r w:rsidR="002D253C" w:rsidRPr="00F5487A">
        <w:rPr>
          <w:rFonts w:ascii="Times New Roman" w:hAnsi="Times New Roman" w:cs="Times New Roman"/>
          <w:sz w:val="28"/>
          <w:szCs w:val="28"/>
        </w:rPr>
        <w:t xml:space="preserve"> научно</w:t>
      </w:r>
      <w:r w:rsidR="00CC6B82" w:rsidRPr="00F5487A">
        <w:rPr>
          <w:rFonts w:ascii="Times New Roman" w:hAnsi="Times New Roman" w:cs="Times New Roman"/>
          <w:sz w:val="28"/>
          <w:szCs w:val="28"/>
        </w:rPr>
        <w:t>-</w:t>
      </w:r>
      <w:r w:rsidR="002D253C" w:rsidRPr="00F5487A">
        <w:rPr>
          <w:rFonts w:ascii="Times New Roman" w:hAnsi="Times New Roman" w:cs="Times New Roman"/>
          <w:sz w:val="28"/>
          <w:szCs w:val="28"/>
        </w:rPr>
        <w:t>обоснованного предложения по</w:t>
      </w:r>
      <w:r w:rsidR="004E2FF6" w:rsidRPr="00F5487A">
        <w:rPr>
          <w:rFonts w:ascii="Times New Roman" w:hAnsi="Times New Roman" w:cs="Times New Roman"/>
          <w:sz w:val="28"/>
          <w:szCs w:val="28"/>
          <w:lang w:val="kk-KZ"/>
        </w:rPr>
        <w:t xml:space="preserve"> эффективно</w:t>
      </w:r>
      <w:r w:rsidR="002D253C" w:rsidRPr="00F5487A">
        <w:rPr>
          <w:rFonts w:ascii="Times New Roman" w:hAnsi="Times New Roman" w:cs="Times New Roman"/>
          <w:sz w:val="28"/>
          <w:szCs w:val="28"/>
          <w:lang w:val="kk-KZ"/>
        </w:rPr>
        <w:t>му</w:t>
      </w:r>
      <w:r w:rsidR="004E2FF6" w:rsidRPr="00F5487A">
        <w:rPr>
          <w:rFonts w:ascii="Times New Roman" w:hAnsi="Times New Roman" w:cs="Times New Roman"/>
          <w:sz w:val="28"/>
          <w:szCs w:val="28"/>
          <w:lang w:val="kk-KZ"/>
        </w:rPr>
        <w:t xml:space="preserve"> </w:t>
      </w:r>
      <w:r w:rsidR="004E2FF6" w:rsidRPr="00F5487A">
        <w:rPr>
          <w:rFonts w:ascii="Times New Roman" w:hAnsi="Times New Roman" w:cs="Times New Roman"/>
          <w:sz w:val="28"/>
          <w:szCs w:val="28"/>
        </w:rPr>
        <w:t>управлени</w:t>
      </w:r>
      <w:r w:rsidR="002D253C" w:rsidRPr="00F5487A">
        <w:rPr>
          <w:rFonts w:ascii="Times New Roman" w:hAnsi="Times New Roman" w:cs="Times New Roman"/>
          <w:sz w:val="28"/>
          <w:szCs w:val="28"/>
        </w:rPr>
        <w:t>ю</w:t>
      </w:r>
      <w:r w:rsidR="004E2FF6" w:rsidRPr="00F5487A">
        <w:rPr>
          <w:rFonts w:ascii="Times New Roman" w:hAnsi="Times New Roman" w:cs="Times New Roman"/>
          <w:sz w:val="28"/>
          <w:szCs w:val="28"/>
        </w:rPr>
        <w:t xml:space="preserve"> факторами развития риска, осложнении СД2т и </w:t>
      </w:r>
      <w:r w:rsidR="004E2FF6" w:rsidRPr="00F5487A">
        <w:rPr>
          <w:rFonts w:ascii="Times New Roman" w:hAnsi="Times New Roman" w:cs="Times New Roman"/>
          <w:sz w:val="28"/>
          <w:szCs w:val="28"/>
          <w:lang w:val="kk-KZ"/>
        </w:rPr>
        <w:t>профилактических мер на Государственном уровне</w:t>
      </w:r>
      <w:r w:rsidR="004E2FF6" w:rsidRPr="00F5487A">
        <w:rPr>
          <w:rFonts w:ascii="Times New Roman" w:hAnsi="Times New Roman" w:cs="Times New Roman"/>
          <w:sz w:val="28"/>
          <w:szCs w:val="28"/>
        </w:rPr>
        <w:t xml:space="preserve"> путем межсекторального сотрудничества, на уровне МЗ РК, на уровне </w:t>
      </w:r>
      <w:r w:rsidR="004E2FF6" w:rsidRPr="00F5487A">
        <w:rPr>
          <w:rFonts w:ascii="Times New Roman" w:eastAsiaTheme="minorHAnsi" w:hAnsi="Times New Roman" w:cs="Times New Roman"/>
          <w:sz w:val="28"/>
          <w:szCs w:val="28"/>
          <w:lang w:eastAsia="en-US"/>
        </w:rPr>
        <w:t>местных исполнительных органов/</w:t>
      </w:r>
      <w:r w:rsidR="004E2FF6" w:rsidRPr="00F5487A">
        <w:rPr>
          <w:rFonts w:ascii="Times New Roman" w:hAnsi="Times New Roman" w:cs="Times New Roman"/>
          <w:sz w:val="28"/>
          <w:szCs w:val="28"/>
        </w:rPr>
        <w:t xml:space="preserve"> акиматов, общественных организации, на уровне ПМСП, </w:t>
      </w:r>
      <w:r w:rsidR="004E2FF6" w:rsidRPr="00F5487A">
        <w:rPr>
          <w:rFonts w:ascii="Times New Roman" w:eastAsia="Times New Roman" w:hAnsi="Times New Roman" w:cs="Times New Roman"/>
          <w:sz w:val="28"/>
          <w:szCs w:val="28"/>
        </w:rPr>
        <w:t>на уровне населения</w:t>
      </w:r>
      <w:r w:rsidR="00891DFB" w:rsidRPr="00F5487A">
        <w:rPr>
          <w:rFonts w:ascii="Times New Roman" w:eastAsia="Times New Roman" w:hAnsi="Times New Roman" w:cs="Times New Roman"/>
          <w:sz w:val="28"/>
          <w:szCs w:val="28"/>
        </w:rPr>
        <w:t>:</w:t>
      </w:r>
    </w:p>
    <w:p w14:paraId="1690EE01" w14:textId="3D27B933" w:rsidR="004E2FF6" w:rsidRPr="00F5487A" w:rsidRDefault="004E2FF6" w:rsidP="00F5487A">
      <w:pPr>
        <w:pStyle w:val="a3"/>
        <w:numPr>
          <w:ilvl w:val="0"/>
          <w:numId w:val="80"/>
        </w:numPr>
        <w:tabs>
          <w:tab w:val="left" w:pos="993"/>
        </w:tabs>
        <w:autoSpaceDE w:val="0"/>
        <w:autoSpaceDN w:val="0"/>
        <w:adjustRightInd w:val="0"/>
        <w:spacing w:after="0" w:line="240" w:lineRule="auto"/>
        <w:ind w:left="0" w:firstLine="708"/>
        <w:jc w:val="both"/>
        <w:rPr>
          <w:rFonts w:ascii="Times New Roman" w:eastAsia="Times New Roman" w:hAnsi="Times New Roman" w:cs="Times New Roman"/>
          <w:sz w:val="28"/>
          <w:szCs w:val="28"/>
          <w:bdr w:val="none" w:sz="0" w:space="0" w:color="auto" w:frame="1"/>
        </w:rPr>
      </w:pPr>
      <w:r w:rsidRPr="00F5487A">
        <w:rPr>
          <w:rFonts w:ascii="Times New Roman" w:eastAsiaTheme="minorHAnsi" w:hAnsi="Times New Roman" w:cs="Times New Roman"/>
          <w:sz w:val="28"/>
          <w:szCs w:val="28"/>
          <w:lang w:eastAsia="en-US"/>
        </w:rPr>
        <w:t xml:space="preserve">На уровне Республики Казахстан: </w:t>
      </w:r>
      <w:r w:rsidRPr="00F5487A">
        <w:rPr>
          <w:rFonts w:ascii="Times New Roman" w:eastAsia="Times New Roman" w:hAnsi="Times New Roman" w:cs="Times New Roman"/>
          <w:sz w:val="28"/>
          <w:szCs w:val="28"/>
          <w:bdr w:val="none" w:sz="0" w:space="0" w:color="auto" w:frame="1"/>
        </w:rPr>
        <w:t xml:space="preserve">Развитие межсекторального </w:t>
      </w:r>
      <w:r w:rsidRPr="00F5487A">
        <w:rPr>
          <w:rFonts w:ascii="Times New Roman" w:hAnsi="Times New Roman" w:cs="Times New Roman"/>
          <w:sz w:val="28"/>
          <w:szCs w:val="28"/>
        </w:rPr>
        <w:t>сотрудничества</w:t>
      </w:r>
      <w:r w:rsidRPr="00F5487A">
        <w:rPr>
          <w:rFonts w:ascii="Times New Roman" w:eastAsia="Times New Roman" w:hAnsi="Times New Roman" w:cs="Times New Roman"/>
          <w:sz w:val="28"/>
          <w:szCs w:val="28"/>
          <w:bdr w:val="none" w:sz="0" w:space="0" w:color="auto" w:frame="1"/>
        </w:rPr>
        <w:t xml:space="preserve"> </w:t>
      </w:r>
      <w:r w:rsidRPr="00F5487A">
        <w:rPr>
          <w:rFonts w:ascii="Times New Roman" w:hAnsi="Times New Roman" w:cs="Times New Roman"/>
          <w:sz w:val="28"/>
          <w:szCs w:val="28"/>
        </w:rPr>
        <w:t xml:space="preserve">при оказании медицинской помощи больным с СД2т </w:t>
      </w:r>
      <w:r w:rsidRPr="00F5487A">
        <w:rPr>
          <w:rFonts w:ascii="Times New Roman" w:eastAsia="Times New Roman" w:hAnsi="Times New Roman" w:cs="Times New Roman"/>
          <w:sz w:val="28"/>
          <w:szCs w:val="28"/>
          <w:bdr w:val="none" w:sz="0" w:space="0" w:color="auto" w:frame="1"/>
        </w:rPr>
        <w:t>основана на совершенствовании профилактических мер, борьбе с факторами риска приводящие к диабету и его осложнениям. Основные меры необходимо направить на повышение у</w:t>
      </w:r>
      <w:r w:rsidR="00891DFB" w:rsidRPr="00F5487A">
        <w:rPr>
          <w:rFonts w:ascii="Times New Roman" w:eastAsia="Times New Roman" w:hAnsi="Times New Roman" w:cs="Times New Roman"/>
          <w:sz w:val="28"/>
          <w:szCs w:val="28"/>
          <w:bdr w:val="none" w:sz="0" w:space="0" w:color="auto" w:frame="1"/>
        </w:rPr>
        <w:t xml:space="preserve">ровня образованности населения по </w:t>
      </w:r>
      <w:r w:rsidRPr="00F5487A">
        <w:rPr>
          <w:rFonts w:ascii="Times New Roman" w:eastAsia="Times New Roman" w:hAnsi="Times New Roman" w:cs="Times New Roman"/>
          <w:sz w:val="28"/>
          <w:szCs w:val="28"/>
          <w:bdr w:val="none" w:sz="0" w:space="0" w:color="auto" w:frame="1"/>
        </w:rPr>
        <w:t>ЗОЖ, привить здоровые поведенче</w:t>
      </w:r>
      <w:r w:rsidR="00891DFB" w:rsidRPr="00F5487A">
        <w:rPr>
          <w:rFonts w:ascii="Times New Roman" w:eastAsia="Times New Roman" w:hAnsi="Times New Roman" w:cs="Times New Roman"/>
          <w:sz w:val="28"/>
          <w:szCs w:val="28"/>
          <w:bdr w:val="none" w:sz="0" w:space="0" w:color="auto" w:frame="1"/>
        </w:rPr>
        <w:t xml:space="preserve">ские установки всего населения, </w:t>
      </w:r>
      <w:r w:rsidRPr="00F5487A">
        <w:rPr>
          <w:rFonts w:ascii="Times New Roman" w:eastAsia="Times New Roman" w:hAnsi="Times New Roman" w:cs="Times New Roman"/>
          <w:sz w:val="28"/>
          <w:szCs w:val="28"/>
          <w:bdr w:val="none" w:sz="0" w:space="0" w:color="auto" w:frame="1"/>
        </w:rPr>
        <w:t xml:space="preserve">борьба с социальными детерминантами </w:t>
      </w:r>
    </w:p>
    <w:p w14:paraId="55650C8A" w14:textId="7E1475AA" w:rsidR="004E2FF6" w:rsidRPr="00F5487A" w:rsidRDefault="004E2FF6" w:rsidP="00F5487A">
      <w:pPr>
        <w:pStyle w:val="a3"/>
        <w:numPr>
          <w:ilvl w:val="0"/>
          <w:numId w:val="80"/>
        </w:numPr>
        <w:shd w:val="clear" w:color="auto" w:fill="FFFFFF"/>
        <w:tabs>
          <w:tab w:val="left" w:pos="993"/>
        </w:tabs>
        <w:spacing w:after="0" w:line="240" w:lineRule="auto"/>
        <w:ind w:left="0" w:firstLine="708"/>
        <w:jc w:val="both"/>
        <w:textAlignment w:val="baseline"/>
        <w:rPr>
          <w:rFonts w:ascii="Times New Roman" w:hAnsi="Times New Roman" w:cs="Times New Roman"/>
          <w:sz w:val="28"/>
          <w:szCs w:val="28"/>
        </w:rPr>
      </w:pPr>
      <w:r w:rsidRPr="00F5487A">
        <w:rPr>
          <w:rFonts w:ascii="Times New Roman" w:eastAsia="Times New Roman" w:hAnsi="Times New Roman" w:cs="Times New Roman"/>
          <w:sz w:val="28"/>
          <w:szCs w:val="28"/>
          <w:bdr w:val="none" w:sz="0" w:space="0" w:color="auto" w:frame="1"/>
        </w:rPr>
        <w:t>На уровне МЗ РК</w:t>
      </w:r>
      <w:r w:rsidR="00891DFB" w:rsidRPr="00F5487A">
        <w:rPr>
          <w:rFonts w:ascii="Times New Roman" w:eastAsia="Times New Roman" w:hAnsi="Times New Roman" w:cs="Times New Roman"/>
          <w:sz w:val="28"/>
          <w:szCs w:val="28"/>
          <w:bdr w:val="none" w:sz="0" w:space="0" w:color="auto" w:frame="1"/>
        </w:rPr>
        <w:t xml:space="preserve">: </w:t>
      </w:r>
      <w:r w:rsidRPr="00F5487A">
        <w:rPr>
          <w:rFonts w:ascii="Times New Roman" w:hAnsi="Times New Roman" w:cs="Times New Roman"/>
          <w:sz w:val="28"/>
          <w:szCs w:val="28"/>
        </w:rPr>
        <w:t>Рекомендовано пересмотреть протокол диагностики и лечения, включить фармакогенетику, психосоциальную помощь, индивидуальный подбор физической активности, контроль репродуктивного потенциала всех больных, как терапевтический вид услуги при СД2 на уровне ПМСП. Необходимо развивать персонализированную медицину, основанную на генетических маркерах, для более эффективного введения больных с СД2т.</w:t>
      </w:r>
      <w:r w:rsidR="00891DFB" w:rsidRPr="00F5487A">
        <w:rPr>
          <w:rFonts w:ascii="Times New Roman" w:hAnsi="Times New Roman" w:cs="Times New Roman"/>
          <w:sz w:val="28"/>
          <w:szCs w:val="28"/>
        </w:rPr>
        <w:t xml:space="preserve"> </w:t>
      </w:r>
      <w:r w:rsidRPr="00F5487A">
        <w:rPr>
          <w:rFonts w:ascii="Times New Roman" w:hAnsi="Times New Roman" w:cs="Times New Roman"/>
          <w:sz w:val="28"/>
          <w:szCs w:val="28"/>
        </w:rPr>
        <w:t xml:space="preserve">Обучить всех врачей эндокринологов, СМР по единой, утвержденной программе повышения квалификации по психосоциальной поддержке, подбор ФА. Подготовка инструкторов ШД среди врачей. Повышать уровень коммуникативных навыков и программ по ЗОЖ всего медицинского персонала путем саморазвития и обучения, повышения квалификации по бюджетным программам. </w:t>
      </w:r>
    </w:p>
    <w:p w14:paraId="209EEB64" w14:textId="77777777" w:rsidR="004E2FF6" w:rsidRPr="00F5487A" w:rsidRDefault="004E2FF6" w:rsidP="00F5487A">
      <w:pPr>
        <w:tabs>
          <w:tab w:val="left" w:pos="993"/>
        </w:tabs>
        <w:autoSpaceDE w:val="0"/>
        <w:autoSpaceDN w:val="0"/>
        <w:adjustRightInd w:val="0"/>
        <w:spacing w:after="0" w:line="240" w:lineRule="auto"/>
        <w:ind w:firstLine="708"/>
        <w:jc w:val="both"/>
        <w:rPr>
          <w:rFonts w:ascii="Times New Roman" w:hAnsi="Times New Roman" w:cs="Times New Roman"/>
          <w:sz w:val="28"/>
          <w:szCs w:val="28"/>
        </w:rPr>
      </w:pPr>
      <w:r w:rsidRPr="00F5487A">
        <w:rPr>
          <w:rFonts w:ascii="Times New Roman" w:hAnsi="Times New Roman" w:cs="Times New Roman"/>
          <w:sz w:val="28"/>
          <w:szCs w:val="28"/>
        </w:rPr>
        <w:t>- Пересмотреть организацию труда врачей эндокринологов: дополнительно поощрять труд с учетом плановых и внеплановых нагрузок на врача эндокринолога. Делегировать функциональные обязанности и ответственности за свой труд без дублирования среди мед.сотрудников.  Необходимо налаживать не только количественную, но и качественную командную работу между сотрудниками на уровне ПМСП. Пересмотреть нагрузку на 1 врача и длительность время приема на 1 пациента.</w:t>
      </w:r>
    </w:p>
    <w:p w14:paraId="0BB92C54" w14:textId="1D25B391" w:rsidR="004E2FF6" w:rsidRPr="00F5487A" w:rsidRDefault="004E2FF6" w:rsidP="00F5487A">
      <w:pPr>
        <w:pStyle w:val="a3"/>
        <w:numPr>
          <w:ilvl w:val="0"/>
          <w:numId w:val="80"/>
        </w:numPr>
        <w:tabs>
          <w:tab w:val="left" w:pos="993"/>
        </w:tabs>
        <w:autoSpaceDE w:val="0"/>
        <w:autoSpaceDN w:val="0"/>
        <w:adjustRightInd w:val="0"/>
        <w:spacing w:after="0" w:line="240" w:lineRule="auto"/>
        <w:ind w:left="0" w:firstLine="708"/>
        <w:jc w:val="both"/>
        <w:rPr>
          <w:rFonts w:ascii="Times New Roman" w:hAnsi="Times New Roman" w:cs="Times New Roman"/>
          <w:sz w:val="28"/>
          <w:szCs w:val="28"/>
        </w:rPr>
      </w:pPr>
      <w:r w:rsidRPr="00F5487A">
        <w:rPr>
          <w:rFonts w:ascii="Times New Roman" w:eastAsiaTheme="minorHAnsi" w:hAnsi="Times New Roman" w:cs="Times New Roman"/>
          <w:sz w:val="28"/>
          <w:szCs w:val="28"/>
          <w:lang w:eastAsia="en-US"/>
        </w:rPr>
        <w:t xml:space="preserve">На уровне Акиматов районов г.Алматы. </w:t>
      </w:r>
      <w:r w:rsidR="002D253C" w:rsidRPr="00F5487A">
        <w:rPr>
          <w:rFonts w:ascii="Times New Roman" w:eastAsiaTheme="minorHAnsi" w:hAnsi="Times New Roman" w:cs="Times New Roman"/>
          <w:sz w:val="28"/>
          <w:szCs w:val="28"/>
          <w:lang w:eastAsia="en-US"/>
        </w:rPr>
        <w:t>а</w:t>
      </w:r>
      <w:r w:rsidRPr="00F5487A">
        <w:rPr>
          <w:rFonts w:ascii="Times New Roman" w:eastAsiaTheme="minorHAnsi" w:hAnsi="Times New Roman" w:cs="Times New Roman"/>
          <w:sz w:val="28"/>
          <w:szCs w:val="28"/>
          <w:lang w:eastAsia="en-US"/>
        </w:rPr>
        <w:t xml:space="preserve">ктивно реализовать всемирную программу </w:t>
      </w:r>
      <w:r w:rsidRPr="00F5487A">
        <w:rPr>
          <w:rFonts w:ascii="Times New Roman" w:hAnsi="Times New Roman" w:cs="Times New Roman"/>
          <w:sz w:val="28"/>
          <w:szCs w:val="28"/>
          <w:shd w:val="clear" w:color="auto" w:fill="FFFFFF"/>
        </w:rPr>
        <w:t>«Здоровый город», необходимо далее усиливать физическую активность на общественных местах, площадках. Увеличить тариф на автомобильные дороги, тем самым защищать воздух от загрязнения, шума, поощрять пешие ходы и велотранспорты.</w:t>
      </w:r>
      <w:r w:rsidRPr="00F5487A">
        <w:rPr>
          <w:rFonts w:ascii="Times New Roman" w:eastAsiaTheme="minorHAnsi" w:hAnsi="Times New Roman" w:cs="Times New Roman"/>
          <w:sz w:val="28"/>
          <w:szCs w:val="28"/>
          <w:lang w:eastAsia="en-US"/>
        </w:rPr>
        <w:t xml:space="preserve"> </w:t>
      </w:r>
      <w:r w:rsidRPr="00F5487A">
        <w:rPr>
          <w:rFonts w:ascii="Times New Roman" w:hAnsi="Times New Roman" w:cs="Times New Roman"/>
          <w:sz w:val="28"/>
          <w:szCs w:val="28"/>
          <w:shd w:val="clear" w:color="auto" w:fill="FFFFFF"/>
        </w:rPr>
        <w:t>Укрепление межсекторального сотрудничества соответствующих ведомств по борьбе с нарушениями тишины, улов диких собак и кошек, сан-эпид надзор за требованиями в градостроении (жилые дома, соответствующий охват населения фитнес центрами и бесплатными тренажерами на площадках, общепит, малые предприятия, дорожные связки).</w:t>
      </w:r>
    </w:p>
    <w:p w14:paraId="1398E584" w14:textId="4A2C8183" w:rsidR="004E2FF6" w:rsidRPr="00F5487A" w:rsidRDefault="00B60CA4" w:rsidP="00F5487A">
      <w:pPr>
        <w:pStyle w:val="a3"/>
        <w:numPr>
          <w:ilvl w:val="0"/>
          <w:numId w:val="80"/>
        </w:numPr>
        <w:tabs>
          <w:tab w:val="left" w:pos="993"/>
        </w:tabs>
        <w:autoSpaceDE w:val="0"/>
        <w:autoSpaceDN w:val="0"/>
        <w:adjustRightInd w:val="0"/>
        <w:spacing w:after="0" w:line="240" w:lineRule="auto"/>
        <w:ind w:left="0" w:firstLine="708"/>
        <w:jc w:val="both"/>
        <w:rPr>
          <w:rFonts w:ascii="Times New Roman" w:eastAsia="Times New Roman" w:hAnsi="Times New Roman" w:cs="Times New Roman"/>
          <w:sz w:val="28"/>
          <w:szCs w:val="28"/>
        </w:rPr>
      </w:pPr>
      <w:r w:rsidRPr="00F5487A">
        <w:rPr>
          <w:rFonts w:ascii="Times New Roman" w:eastAsiaTheme="minorHAnsi" w:hAnsi="Times New Roman" w:cs="Times New Roman"/>
          <w:sz w:val="28"/>
          <w:szCs w:val="28"/>
          <w:lang w:eastAsia="en-US"/>
        </w:rPr>
        <w:t xml:space="preserve">На уровне ПМСП: </w:t>
      </w:r>
      <w:r w:rsidR="002D253C" w:rsidRPr="00F5487A">
        <w:rPr>
          <w:rFonts w:ascii="Times New Roman" w:eastAsiaTheme="minorHAnsi" w:hAnsi="Times New Roman" w:cs="Times New Roman"/>
          <w:sz w:val="28"/>
          <w:szCs w:val="28"/>
          <w:lang w:eastAsia="en-US"/>
        </w:rPr>
        <w:t>е</w:t>
      </w:r>
      <w:r w:rsidR="004E2FF6" w:rsidRPr="00F5487A">
        <w:rPr>
          <w:rFonts w:ascii="Times New Roman" w:hAnsi="Times New Roman" w:cs="Times New Roman"/>
          <w:sz w:val="28"/>
          <w:szCs w:val="28"/>
        </w:rPr>
        <w:t xml:space="preserve">жеквартально проводить контроль выполнения государственных и местных программ по ранней профилактике, борьбе с СД2т </w:t>
      </w:r>
      <w:r w:rsidR="004E2FF6" w:rsidRPr="00F5487A">
        <w:rPr>
          <w:rFonts w:ascii="Times New Roman" w:eastAsia="Times New Roman" w:hAnsi="Times New Roman" w:cs="Times New Roman"/>
          <w:sz w:val="28"/>
          <w:szCs w:val="28"/>
        </w:rPr>
        <w:t xml:space="preserve">и формирования здорового образа жизни </w:t>
      </w:r>
      <w:r w:rsidR="004E2FF6" w:rsidRPr="00F5487A">
        <w:rPr>
          <w:rFonts w:ascii="Times New Roman" w:hAnsi="Times New Roman" w:cs="Times New Roman"/>
          <w:sz w:val="28"/>
          <w:szCs w:val="28"/>
        </w:rPr>
        <w:t xml:space="preserve">на уровне экспертов МО. </w:t>
      </w:r>
      <w:r w:rsidR="004E2FF6" w:rsidRPr="00F5487A">
        <w:rPr>
          <w:rFonts w:ascii="Times New Roman" w:eastAsia="Times New Roman" w:hAnsi="Times New Roman" w:cs="Times New Roman"/>
          <w:sz w:val="28"/>
          <w:szCs w:val="28"/>
        </w:rPr>
        <w:t>Рационализировать использование кадровых, временных и технических ресурсов; осуществлять анализ и мониторинг конечных результатов скрини</w:t>
      </w:r>
      <w:r w:rsidRPr="00F5487A">
        <w:rPr>
          <w:rFonts w:ascii="Times New Roman" w:eastAsia="Times New Roman" w:hAnsi="Times New Roman" w:cs="Times New Roman"/>
          <w:sz w:val="28"/>
          <w:szCs w:val="28"/>
        </w:rPr>
        <w:t xml:space="preserve">нга факторов риска заболеваний. </w:t>
      </w:r>
      <w:r w:rsidR="004E2FF6" w:rsidRPr="00F5487A">
        <w:rPr>
          <w:rFonts w:ascii="Times New Roman" w:eastAsia="Times New Roman" w:hAnsi="Times New Roman" w:cs="Times New Roman"/>
          <w:sz w:val="28"/>
          <w:szCs w:val="28"/>
        </w:rPr>
        <w:t>Реорганизовать Школы Диабета при ГП</w:t>
      </w:r>
      <w:r w:rsidRPr="00F5487A">
        <w:rPr>
          <w:rFonts w:ascii="Times New Roman" w:eastAsia="Times New Roman" w:hAnsi="Times New Roman" w:cs="Times New Roman"/>
          <w:sz w:val="28"/>
          <w:szCs w:val="28"/>
        </w:rPr>
        <w:t xml:space="preserve"> для обучения целевого контингента</w:t>
      </w:r>
    </w:p>
    <w:p w14:paraId="6BA9BE69" w14:textId="1BD850FE" w:rsidR="004E2FF6" w:rsidRPr="00F5487A" w:rsidRDefault="004E2FF6" w:rsidP="00F5487A">
      <w:pPr>
        <w:pStyle w:val="a3"/>
        <w:numPr>
          <w:ilvl w:val="0"/>
          <w:numId w:val="80"/>
        </w:numPr>
        <w:tabs>
          <w:tab w:val="left" w:pos="993"/>
        </w:tabs>
        <w:spacing w:after="0" w:line="240" w:lineRule="auto"/>
        <w:ind w:left="0" w:firstLine="708"/>
        <w:jc w:val="both"/>
        <w:rPr>
          <w:rFonts w:ascii="Times New Roman" w:eastAsia="Times New Roman" w:hAnsi="Times New Roman" w:cs="Times New Roman"/>
          <w:sz w:val="28"/>
          <w:szCs w:val="28"/>
        </w:rPr>
      </w:pPr>
      <w:r w:rsidRPr="00F5487A">
        <w:rPr>
          <w:rFonts w:ascii="Times New Roman" w:eastAsia="Times New Roman" w:hAnsi="Times New Roman" w:cs="Times New Roman"/>
          <w:sz w:val="28"/>
          <w:szCs w:val="28"/>
        </w:rPr>
        <w:t xml:space="preserve">На уровне </w:t>
      </w:r>
      <w:r w:rsidR="00B60CA4" w:rsidRPr="00F5487A">
        <w:rPr>
          <w:rFonts w:ascii="Times New Roman" w:eastAsia="Times New Roman" w:hAnsi="Times New Roman" w:cs="Times New Roman"/>
          <w:sz w:val="28"/>
          <w:szCs w:val="28"/>
        </w:rPr>
        <w:t xml:space="preserve">пациентов с СД/ </w:t>
      </w:r>
      <w:r w:rsidRPr="00F5487A">
        <w:rPr>
          <w:rFonts w:ascii="Times New Roman" w:eastAsia="Times New Roman" w:hAnsi="Times New Roman" w:cs="Times New Roman"/>
          <w:sz w:val="28"/>
          <w:szCs w:val="28"/>
        </w:rPr>
        <w:t>населения: повысить медицинскую грамотность, самоменеджмент и солидарную ответственность за себя и за своих родных.</w:t>
      </w:r>
    </w:p>
    <w:p w14:paraId="6A220493" w14:textId="4EB55027" w:rsidR="007B335B" w:rsidRPr="004135FE" w:rsidRDefault="007B335B" w:rsidP="004135FE">
      <w:pPr>
        <w:pStyle w:val="a3"/>
        <w:widowControl w:val="0"/>
        <w:autoSpaceDE w:val="0"/>
        <w:autoSpaceDN w:val="0"/>
        <w:adjustRightInd w:val="0"/>
        <w:spacing w:after="0" w:line="240" w:lineRule="auto"/>
        <w:ind w:left="0"/>
        <w:jc w:val="both"/>
        <w:rPr>
          <w:rFonts w:ascii="Times New Roman" w:hAnsi="Times New Roman" w:cs="Times New Roman"/>
          <w:b/>
          <w:caps/>
          <w:sz w:val="28"/>
          <w:szCs w:val="28"/>
        </w:rPr>
      </w:pPr>
    </w:p>
    <w:p w14:paraId="1CD0C4C8" w14:textId="77777777" w:rsidR="002D253C" w:rsidRPr="004135FE" w:rsidRDefault="002D253C" w:rsidP="004135FE">
      <w:pPr>
        <w:pStyle w:val="a3"/>
        <w:widowControl w:val="0"/>
        <w:autoSpaceDE w:val="0"/>
        <w:autoSpaceDN w:val="0"/>
        <w:adjustRightInd w:val="0"/>
        <w:spacing w:after="0" w:line="240" w:lineRule="auto"/>
        <w:ind w:left="0"/>
        <w:jc w:val="both"/>
        <w:rPr>
          <w:rFonts w:ascii="Times New Roman" w:hAnsi="Times New Roman" w:cs="Times New Roman"/>
          <w:b/>
          <w:caps/>
          <w:sz w:val="28"/>
          <w:szCs w:val="28"/>
        </w:rPr>
        <w:sectPr w:rsidR="002D253C" w:rsidRPr="004135FE" w:rsidSect="00EC71C2">
          <w:type w:val="nextColumn"/>
          <w:pgSz w:w="11906" w:h="16838"/>
          <w:pgMar w:top="1134" w:right="851" w:bottom="1134" w:left="1701" w:header="708" w:footer="708" w:gutter="0"/>
          <w:cols w:space="708"/>
          <w:docGrid w:linePitch="360"/>
        </w:sectPr>
      </w:pPr>
    </w:p>
    <w:p w14:paraId="50B29F09" w14:textId="43CB2A49" w:rsidR="00030846" w:rsidRPr="004135FE" w:rsidRDefault="00030846" w:rsidP="002911FB">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135FE">
        <w:rPr>
          <w:rFonts w:ascii="Times New Roman" w:hAnsi="Times New Roman" w:cs="Times New Roman"/>
          <w:b/>
          <w:caps/>
          <w:sz w:val="28"/>
          <w:szCs w:val="28"/>
        </w:rPr>
        <w:t xml:space="preserve">5 Подходы к совершенствованию медицинской помощи пациентам с СД2т </w:t>
      </w:r>
      <w:r w:rsidRPr="004135FE">
        <w:rPr>
          <w:rFonts w:ascii="Times New Roman" w:eastAsia="Times New Roman" w:hAnsi="Times New Roman" w:cs="Times New Roman"/>
          <w:b/>
          <w:caps/>
          <w:sz w:val="28"/>
          <w:szCs w:val="28"/>
        </w:rPr>
        <w:t>и</w:t>
      </w:r>
      <w:r w:rsidRPr="004135FE">
        <w:rPr>
          <w:rFonts w:ascii="Times New Roman" w:hAnsi="Times New Roman" w:cs="Times New Roman"/>
          <w:b/>
          <w:caps/>
          <w:sz w:val="28"/>
          <w:szCs w:val="28"/>
        </w:rPr>
        <w:t xml:space="preserve"> </w:t>
      </w:r>
      <w:r w:rsidRPr="004135FE">
        <w:rPr>
          <w:rFonts w:ascii="Times New Roman" w:eastAsia="Times New Roman" w:hAnsi="Times New Roman" w:cs="Times New Roman"/>
          <w:b/>
          <w:caps/>
          <w:sz w:val="28"/>
          <w:szCs w:val="28"/>
        </w:rPr>
        <w:t>межсекторальное сотрудничество в решении проблем</w:t>
      </w:r>
      <w:r w:rsidRPr="004135FE">
        <w:rPr>
          <w:rFonts w:ascii="Times New Roman" w:eastAsia="Times New Roman" w:hAnsi="Times New Roman" w:cs="Times New Roman"/>
          <w:sz w:val="28"/>
          <w:szCs w:val="28"/>
        </w:rPr>
        <w:t xml:space="preserve"> </w:t>
      </w:r>
    </w:p>
    <w:p w14:paraId="6F8BED57" w14:textId="77777777" w:rsidR="00030846" w:rsidRPr="004135FE" w:rsidRDefault="00030846" w:rsidP="004135FE">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14:paraId="661D10F9" w14:textId="245946D7" w:rsidR="00030846" w:rsidRPr="002911FB" w:rsidRDefault="00030846" w:rsidP="002911FB">
      <w:pPr>
        <w:spacing w:after="0" w:line="240" w:lineRule="auto"/>
        <w:ind w:firstLine="709"/>
        <w:jc w:val="both"/>
        <w:rPr>
          <w:rFonts w:ascii="Times New Roman" w:eastAsia="Times New Roman" w:hAnsi="Times New Roman" w:cs="Times New Roman"/>
          <w:b/>
          <w:sz w:val="28"/>
          <w:szCs w:val="28"/>
        </w:rPr>
      </w:pPr>
      <w:r w:rsidRPr="002911FB">
        <w:rPr>
          <w:rFonts w:ascii="Times New Roman" w:eastAsia="Times New Roman" w:hAnsi="Times New Roman" w:cs="Times New Roman"/>
          <w:b/>
          <w:bCs/>
          <w:sz w:val="28"/>
          <w:szCs w:val="28"/>
        </w:rPr>
        <w:t>5.1</w:t>
      </w:r>
      <w:r w:rsidRPr="004135FE">
        <w:rPr>
          <w:rFonts w:ascii="Times New Roman" w:eastAsia="Times New Roman" w:hAnsi="Times New Roman" w:cs="Times New Roman"/>
          <w:b/>
          <w:sz w:val="28"/>
          <w:szCs w:val="28"/>
        </w:rPr>
        <w:t xml:space="preserve"> </w:t>
      </w:r>
      <w:r w:rsidRPr="002911FB">
        <w:rPr>
          <w:rFonts w:ascii="Times New Roman" w:eastAsia="Times New Roman" w:hAnsi="Times New Roman" w:cs="Times New Roman"/>
          <w:b/>
          <w:sz w:val="28"/>
          <w:szCs w:val="28"/>
        </w:rPr>
        <w:t xml:space="preserve">Принципы и этапы изучения совершенствования оказания медицинской помощи и межсекторального сотрудничества </w:t>
      </w:r>
      <w:r w:rsidR="0004191C" w:rsidRPr="002911FB">
        <w:rPr>
          <w:rFonts w:ascii="Times New Roman" w:eastAsia="Times New Roman" w:hAnsi="Times New Roman" w:cs="Times New Roman"/>
          <w:b/>
          <w:sz w:val="28"/>
          <w:szCs w:val="28"/>
        </w:rPr>
        <w:t>при СД2т</w:t>
      </w:r>
    </w:p>
    <w:p w14:paraId="0365224C" w14:textId="24C60EBD" w:rsidR="00030846" w:rsidRPr="002D0821" w:rsidRDefault="00030846" w:rsidP="00B73EB2">
      <w:pPr>
        <w:pStyle w:val="a3"/>
        <w:numPr>
          <w:ilvl w:val="2"/>
          <w:numId w:val="97"/>
        </w:numPr>
        <w:spacing w:after="0" w:line="240" w:lineRule="auto"/>
        <w:ind w:left="0" w:firstLine="709"/>
        <w:jc w:val="both"/>
        <w:rPr>
          <w:rFonts w:ascii="Times New Roman" w:hAnsi="Times New Roman" w:cs="Times New Roman"/>
          <w:bCs/>
          <w:sz w:val="28"/>
          <w:szCs w:val="28"/>
        </w:rPr>
      </w:pPr>
      <w:r w:rsidRPr="002D0821">
        <w:rPr>
          <w:rFonts w:ascii="Times New Roman" w:hAnsi="Times New Roman" w:cs="Times New Roman"/>
          <w:bCs/>
          <w:sz w:val="28"/>
          <w:szCs w:val="28"/>
        </w:rPr>
        <w:t>Инфраструктура, ресурсы и кадровое обеспечение ПМСП</w:t>
      </w:r>
      <w:r w:rsidR="002911FB" w:rsidRPr="002D0821">
        <w:rPr>
          <w:rFonts w:ascii="Times New Roman" w:hAnsi="Times New Roman" w:cs="Times New Roman"/>
          <w:bCs/>
          <w:sz w:val="28"/>
          <w:szCs w:val="28"/>
        </w:rPr>
        <w:t xml:space="preserve">                             </w:t>
      </w:r>
      <w:r w:rsidRPr="002D0821">
        <w:rPr>
          <w:rFonts w:ascii="Times New Roman" w:hAnsi="Times New Roman" w:cs="Times New Roman"/>
          <w:bCs/>
          <w:sz w:val="28"/>
          <w:szCs w:val="28"/>
        </w:rPr>
        <w:t>г.</w:t>
      </w:r>
      <w:r w:rsidR="002911FB" w:rsidRPr="002D0821">
        <w:rPr>
          <w:rFonts w:ascii="Times New Roman" w:hAnsi="Times New Roman" w:cs="Times New Roman"/>
          <w:bCs/>
          <w:sz w:val="28"/>
          <w:szCs w:val="28"/>
        </w:rPr>
        <w:t xml:space="preserve"> </w:t>
      </w:r>
      <w:r w:rsidRPr="002D0821">
        <w:rPr>
          <w:rFonts w:ascii="Times New Roman" w:hAnsi="Times New Roman" w:cs="Times New Roman"/>
          <w:bCs/>
          <w:sz w:val="28"/>
          <w:szCs w:val="28"/>
        </w:rPr>
        <w:t>Алматы</w:t>
      </w:r>
    </w:p>
    <w:p w14:paraId="59E17B46" w14:textId="77777777" w:rsidR="00030846" w:rsidRPr="004135FE" w:rsidRDefault="00030846" w:rsidP="002911FB">
      <w:pPr>
        <w:spacing w:after="0" w:line="240" w:lineRule="auto"/>
        <w:ind w:firstLine="709"/>
        <w:jc w:val="both"/>
        <w:rPr>
          <w:rFonts w:ascii="Times New Roman" w:hAnsi="Times New Roman" w:cs="Times New Roman"/>
          <w:bCs/>
          <w:sz w:val="28"/>
          <w:szCs w:val="28"/>
        </w:rPr>
      </w:pPr>
      <w:r w:rsidRPr="004135FE">
        <w:rPr>
          <w:rFonts w:ascii="Times New Roman" w:hAnsi="Times New Roman" w:cs="Times New Roman"/>
          <w:bCs/>
          <w:sz w:val="28"/>
          <w:szCs w:val="28"/>
        </w:rPr>
        <w:t>Лекарственное обеспечение пациентов ПМСП производится на основе индивидуальных назначении и расчета согласно приказу. В целом все необходимые медицинские изделия и ЛС доступны на уровне ПМСП. Часть скрининговых и рутинных клинических лабораторных анализов производится через программу ГОБМП, часть через ОСМС. Во всех городских поликлиниках есть кабинеты школ здоровья, но качество оснащенности и функционирования требует оптимизации, которые были выявлены во время социологического опроса. Неудовлетворительные навыки СМР по образу жизни и коммуникативные навыки не соответствуют должности инструктора ШД.</w:t>
      </w:r>
    </w:p>
    <w:p w14:paraId="648149B4" w14:textId="10412C38" w:rsidR="00AD6C7A" w:rsidRPr="004135FE" w:rsidRDefault="00030846" w:rsidP="002911FB">
      <w:pPr>
        <w:spacing w:after="0" w:line="240" w:lineRule="auto"/>
        <w:ind w:firstLine="709"/>
        <w:jc w:val="both"/>
        <w:rPr>
          <w:rFonts w:ascii="Times New Roman" w:hAnsi="Times New Roman" w:cs="Times New Roman"/>
          <w:bCs/>
          <w:sz w:val="28"/>
          <w:szCs w:val="28"/>
        </w:rPr>
      </w:pPr>
      <w:r w:rsidRPr="004135FE">
        <w:rPr>
          <w:rFonts w:ascii="Times New Roman" w:hAnsi="Times New Roman" w:cs="Times New Roman"/>
          <w:bCs/>
          <w:sz w:val="28"/>
          <w:szCs w:val="28"/>
        </w:rPr>
        <w:t xml:space="preserve">Укомплектованность врачебными кадрами в г.Алматы в 2018г составила 97,2%, в 2019г- 96% и в 2020г-95%. В то время как по республике в 2018г составила 94,1%, </w:t>
      </w:r>
      <w:r w:rsidR="004F37F8" w:rsidRPr="004135FE">
        <w:rPr>
          <w:rFonts w:ascii="Times New Roman" w:hAnsi="Times New Roman" w:cs="Times New Roman"/>
          <w:bCs/>
          <w:sz w:val="28"/>
          <w:szCs w:val="28"/>
        </w:rPr>
        <w:t>в 2019г- 92% и в 2020г- 91% [189</w:t>
      </w:r>
      <w:r w:rsidRPr="004135FE">
        <w:rPr>
          <w:rFonts w:ascii="Times New Roman" w:hAnsi="Times New Roman" w:cs="Times New Roman"/>
          <w:bCs/>
          <w:sz w:val="28"/>
          <w:szCs w:val="28"/>
        </w:rPr>
        <w:t>]</w:t>
      </w:r>
      <w:r w:rsidR="002D0821">
        <w:rPr>
          <w:rFonts w:ascii="Times New Roman" w:hAnsi="Times New Roman" w:cs="Times New Roman"/>
          <w:bCs/>
          <w:sz w:val="28"/>
          <w:szCs w:val="28"/>
        </w:rPr>
        <w:t>.</w:t>
      </w:r>
    </w:p>
    <w:p w14:paraId="3A8856F3" w14:textId="1D10D548" w:rsidR="00AD6C7A" w:rsidRPr="004135FE" w:rsidRDefault="00030846" w:rsidP="002911FB">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Так как по СД2т медицинская помощь в основном оказывается ВОП и врачами эндокринологами, рассмотрена обеспеченность этих кадров по РК и г.Алматы за последние 3 года. Согласно данным ежегодного статистического сборника РК, обеспеченность населения РК врачами терапевтами (ВОП) в 2018г составила 8030 чел, в 2019г-7558 чел, 2020г- 7719 чел, соответственно на 10 000 чел 4,4 и 4,1 и 4,1. Обеспеченность населения г.Алматы врачами терапевтами (ВОП) в 2018г составила 331 чел, в 2019г- 325 чел, 2020г- 253чел, соответственно на 10 000чел-7,2 и 7,2 и 5,6. </w:t>
      </w:r>
    </w:p>
    <w:p w14:paraId="359A3C9B" w14:textId="77777777" w:rsidR="00030846" w:rsidRPr="004135FE" w:rsidRDefault="00030846" w:rsidP="002911FB">
      <w:pPr>
        <w:spacing w:after="0" w:line="240" w:lineRule="auto"/>
        <w:ind w:firstLine="709"/>
        <w:jc w:val="both"/>
        <w:rPr>
          <w:rFonts w:ascii="Times New Roman" w:hAnsi="Times New Roman" w:cs="Times New Roman"/>
          <w:bCs/>
          <w:sz w:val="28"/>
          <w:szCs w:val="28"/>
        </w:rPr>
      </w:pPr>
      <w:r w:rsidRPr="004135FE">
        <w:rPr>
          <w:rFonts w:ascii="Times New Roman" w:hAnsi="Times New Roman" w:cs="Times New Roman"/>
          <w:sz w:val="28"/>
          <w:szCs w:val="28"/>
        </w:rPr>
        <w:t xml:space="preserve">Обеспеченность населения РК врачами эндокринологами в 2018г составила 846 чел, в 2019г-846 чел, 2020г- 890 чел, соответственно на 10 000 чел-0,5и 0,5 и 0,5. Обеспеченность населения г.Алматы врачами эндокринологами в 2018г составила 34 чел, в 2019г-34 чел, 2020г- 30чел, соответственно на 10 000 чел-0,7 и 0,8 и 0,7. </w:t>
      </w:r>
      <w:r w:rsidRPr="004135FE">
        <w:rPr>
          <w:rFonts w:ascii="Times New Roman" w:hAnsi="Times New Roman" w:cs="Times New Roman"/>
          <w:sz w:val="28"/>
          <w:szCs w:val="28"/>
          <w:shd w:val="clear" w:color="auto" w:fill="FFFFFF"/>
        </w:rPr>
        <w:t>Согласно приказу МЗ РК от 25 ноября 2020 года № ҚР ДСМ-205/2020, минимальный норматив обеспеченности регионов медицинскими работниками</w:t>
      </w:r>
      <w:r w:rsidRPr="004135FE">
        <w:rPr>
          <w:rFonts w:ascii="Times New Roman" w:hAnsi="Times New Roman" w:cs="Times New Roman"/>
          <w:bCs/>
          <w:sz w:val="28"/>
          <w:szCs w:val="28"/>
        </w:rPr>
        <w:t xml:space="preserve"> рассчитывается на 10 000 населения. Для области, города республиканского значения и столицы для терапевтов (ВОП) минимальный норматив составил 0,8 и по эндокринологии взрослой, детской- 0,2. Штатная единица по инструктору Школы Диабета и подолога не указана и не выделена.</w:t>
      </w:r>
    </w:p>
    <w:p w14:paraId="7913E5D7" w14:textId="77777777" w:rsidR="00030846" w:rsidRPr="004135FE" w:rsidRDefault="00030846" w:rsidP="002911FB">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То есть по коэффициентам г.Алматы укомплектован и обеспечен медицинским персоналом для оказания медицинской помощи при СД2т выше, чем по РК.</w:t>
      </w:r>
    </w:p>
    <w:p w14:paraId="0B6559A7" w14:textId="77777777" w:rsidR="00030846" w:rsidRPr="004135FE" w:rsidRDefault="00030846" w:rsidP="002911FB">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Согласно приказу МЗ РК от 7 апреля 2010г №238, об утверждении типовых штатов и штатных нормативов организаций здравоохранения, 1ставка ВОП на 2000 человек обслуживаемого смешанного населения (взрослого и детского), 3 должности СМР на 1 врача. Врач эндокринолог 1ставка на 15 000 населения, 1 СМР на 1 врача. По электронной очереди ПМСП, н</w:t>
      </w:r>
      <w:r w:rsidRPr="004135FE">
        <w:rPr>
          <w:rFonts w:ascii="Times New Roman" w:hAnsi="Times New Roman" w:cs="Times New Roman"/>
          <w:sz w:val="28"/>
          <w:szCs w:val="28"/>
          <w:shd w:val="clear" w:color="auto" w:fill="FFFFFF"/>
        </w:rPr>
        <w:t>ормативы времени на оказание клинико-диагностических услуг на прием 1пациента выделены по 15 мин для ВОП и врача эндокринолога.</w:t>
      </w:r>
    </w:p>
    <w:p w14:paraId="4A2D088D" w14:textId="77777777" w:rsidR="00030846" w:rsidRPr="004135FE" w:rsidRDefault="00030846" w:rsidP="002911FB">
      <w:pPr>
        <w:spacing w:after="0" w:line="240" w:lineRule="auto"/>
        <w:ind w:firstLine="709"/>
        <w:jc w:val="both"/>
        <w:rPr>
          <w:rFonts w:ascii="Times New Roman" w:hAnsi="Times New Roman" w:cs="Times New Roman"/>
          <w:b/>
          <w:sz w:val="28"/>
          <w:szCs w:val="28"/>
        </w:rPr>
      </w:pPr>
    </w:p>
    <w:p w14:paraId="3BD4E035" w14:textId="261CBFE8" w:rsidR="008F0A8D" w:rsidRPr="002911FB" w:rsidRDefault="00B73EB2" w:rsidP="002D0821">
      <w:pPr>
        <w:pStyle w:val="a3"/>
        <w:numPr>
          <w:ilvl w:val="2"/>
          <w:numId w:val="96"/>
        </w:numPr>
        <w:tabs>
          <w:tab w:val="left" w:pos="567"/>
          <w:tab w:val="left" w:pos="851"/>
        </w:tabs>
        <w:spacing w:after="0" w:line="240" w:lineRule="auto"/>
        <w:ind w:left="0" w:firstLine="851"/>
        <w:jc w:val="both"/>
        <w:rPr>
          <w:rFonts w:ascii="Times New Roman" w:hAnsi="Times New Roman" w:cs="Times New Roman"/>
          <w:bCs/>
          <w:sz w:val="28"/>
          <w:szCs w:val="28"/>
        </w:rPr>
      </w:pPr>
      <w:r>
        <w:rPr>
          <w:rFonts w:ascii="Times New Roman" w:hAnsi="Times New Roman" w:cs="Times New Roman"/>
          <w:bCs/>
          <w:sz w:val="28"/>
          <w:szCs w:val="28"/>
        </w:rPr>
        <w:t xml:space="preserve"> </w:t>
      </w:r>
      <w:r w:rsidR="00030846" w:rsidRPr="002911FB">
        <w:rPr>
          <w:rFonts w:ascii="Times New Roman" w:hAnsi="Times New Roman" w:cs="Times New Roman"/>
          <w:bCs/>
          <w:sz w:val="28"/>
          <w:szCs w:val="28"/>
        </w:rPr>
        <w:t>Нормативно- правовые акты, регламентирующие межсекторальное сотрудничество и ме</w:t>
      </w:r>
      <w:r w:rsidR="008F0A8D" w:rsidRPr="002911FB">
        <w:rPr>
          <w:rFonts w:ascii="Times New Roman" w:hAnsi="Times New Roman" w:cs="Times New Roman"/>
          <w:bCs/>
          <w:sz w:val="28"/>
          <w:szCs w:val="28"/>
        </w:rPr>
        <w:t>жведомственные меры против СД2т</w:t>
      </w:r>
    </w:p>
    <w:p w14:paraId="4116ED9D" w14:textId="66359BCC" w:rsidR="00003DB1" w:rsidRPr="004135FE" w:rsidRDefault="00030846" w:rsidP="002911FB">
      <w:pPr>
        <w:pStyle w:val="a3"/>
        <w:tabs>
          <w:tab w:val="left" w:pos="567"/>
          <w:tab w:val="left" w:pos="851"/>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Межсекторальное сотрудничество регламентируется Государственными программами РК. </w:t>
      </w:r>
      <w:r w:rsidR="00AD6C7A" w:rsidRPr="004135FE">
        <w:rPr>
          <w:rFonts w:ascii="Times New Roman" w:hAnsi="Times New Roman" w:cs="Times New Roman"/>
          <w:sz w:val="28"/>
          <w:szCs w:val="28"/>
        </w:rPr>
        <w:t>Р</w:t>
      </w:r>
      <w:r w:rsidRPr="004135FE">
        <w:rPr>
          <w:rFonts w:ascii="Times New Roman" w:hAnsi="Times New Roman" w:cs="Times New Roman"/>
          <w:bCs/>
          <w:sz w:val="28"/>
          <w:szCs w:val="28"/>
        </w:rPr>
        <w:t>азвитие межсекторального взаимодействия, направленного на воздействия социальных детерминант здоровья человека, определил, что о</w:t>
      </w:r>
      <w:r w:rsidRPr="004135FE">
        <w:rPr>
          <w:rFonts w:ascii="Times New Roman" w:hAnsi="Times New Roman" w:cs="Times New Roman"/>
          <w:sz w:val="28"/>
          <w:szCs w:val="28"/>
        </w:rPr>
        <w:t>дной из важнейших задач является создание</w:t>
      </w:r>
      <w:r w:rsidR="00003DB1" w:rsidRPr="004135FE">
        <w:rPr>
          <w:rFonts w:ascii="Times New Roman" w:hAnsi="Times New Roman" w:cs="Times New Roman"/>
          <w:sz w:val="28"/>
          <w:szCs w:val="28"/>
        </w:rPr>
        <w:t xml:space="preserve"> условии для правильного питания, здорового образа жизни, пропаганды ФА и спорта </w:t>
      </w:r>
      <w:r w:rsidRPr="00D7334A">
        <w:rPr>
          <w:rFonts w:ascii="Times New Roman" w:hAnsi="Times New Roman" w:cs="Times New Roman"/>
          <w:sz w:val="28"/>
          <w:szCs w:val="28"/>
        </w:rPr>
        <w:t>[9,</w:t>
      </w:r>
      <w:r w:rsidR="00736157" w:rsidRPr="00D7334A">
        <w:rPr>
          <w:rFonts w:ascii="Times New Roman" w:hAnsi="Times New Roman" w:cs="Times New Roman"/>
          <w:sz w:val="28"/>
          <w:szCs w:val="28"/>
        </w:rPr>
        <w:t xml:space="preserve"> </w:t>
      </w:r>
      <w:r w:rsidRPr="00D7334A">
        <w:rPr>
          <w:rFonts w:ascii="Times New Roman" w:hAnsi="Times New Roman" w:cs="Times New Roman"/>
          <w:sz w:val="28"/>
          <w:szCs w:val="28"/>
        </w:rPr>
        <w:t>12,</w:t>
      </w:r>
      <w:r w:rsidR="00736157" w:rsidRPr="004135FE">
        <w:rPr>
          <w:rFonts w:ascii="Times New Roman" w:hAnsi="Times New Roman" w:cs="Times New Roman"/>
          <w:sz w:val="28"/>
          <w:szCs w:val="28"/>
        </w:rPr>
        <w:t xml:space="preserve"> 190</w:t>
      </w:r>
      <w:r w:rsidRPr="004135FE">
        <w:rPr>
          <w:rFonts w:ascii="Times New Roman" w:hAnsi="Times New Roman" w:cs="Times New Roman"/>
          <w:sz w:val="28"/>
          <w:szCs w:val="28"/>
        </w:rPr>
        <w:t>]. Все программы и приказы носят обобщенный характер, но целенаправленного межсекторального сотрудничества по диабетологической помощи еще нет. Обзор опыта зарубежных стран показал, что многие международные программы по сотрудничеству носят декларативный характер.</w:t>
      </w:r>
    </w:p>
    <w:p w14:paraId="74CA5B8B" w14:textId="06F8061C" w:rsidR="00030846" w:rsidRPr="004135FE" w:rsidRDefault="00030846" w:rsidP="002911FB">
      <w:pPr>
        <w:pStyle w:val="a3"/>
        <w:tabs>
          <w:tab w:val="left" w:pos="567"/>
          <w:tab w:val="left" w:pos="851"/>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shd w:val="clear" w:color="auto" w:fill="FFFFFF"/>
        </w:rPr>
        <w:t xml:space="preserve">До сих пор в Докладе о состоянии здравоохранения в Европе в основном использовался традиционный количественный подход к эпидемиологии общественного здравоохранения. Однако, когда государства-члены приняли политику Здоровье-2020 в 2012 г. (EUR / RC62 / R4), эта резолюция инициировала сдвиг в формировании политики общественного здравоохранения в Европейском регионе ВОЗ, который четко сформулировал основные идеалы «справедливости, устойчивости, качества, прозрачности, подотчетность, гендерное равенство, достоинство и право участвовать в принятии решений» в центре. Этот основанный на ценностях подход к общественному здравоохранению, который поддерживает системы здравоохранения, ориентированные на людей, способствует укреплению здоровья на протяжении всей жизни и стремится к достижению справедливости и здоровья для всех, вновь задействовал общественное здравоохранение со всей сложностью субъективного жизненного опыта человека, людей и сообщества. </w:t>
      </w:r>
      <w:r w:rsidR="00736157" w:rsidRPr="004135FE">
        <w:rPr>
          <w:rFonts w:ascii="Times New Roman" w:hAnsi="Times New Roman" w:cs="Times New Roman"/>
          <w:sz w:val="28"/>
          <w:szCs w:val="28"/>
        </w:rPr>
        <w:t>[191</w:t>
      </w:r>
      <w:r w:rsidRPr="004135FE">
        <w:rPr>
          <w:rFonts w:ascii="Times New Roman" w:hAnsi="Times New Roman" w:cs="Times New Roman"/>
          <w:sz w:val="28"/>
          <w:szCs w:val="28"/>
        </w:rPr>
        <w:t>].</w:t>
      </w:r>
    </w:p>
    <w:p w14:paraId="1226DD7C" w14:textId="5743A43E" w:rsidR="00030846" w:rsidRPr="004135FE" w:rsidRDefault="00030846" w:rsidP="002911FB">
      <w:pPr>
        <w:tabs>
          <w:tab w:val="left" w:pos="0"/>
          <w:tab w:val="left" w:pos="142"/>
        </w:tabs>
        <w:spacing w:after="0" w:line="240" w:lineRule="auto"/>
        <w:ind w:firstLine="709"/>
        <w:jc w:val="both"/>
        <w:textAlignment w:val="baseline"/>
        <w:rPr>
          <w:rFonts w:ascii="Times New Roman" w:eastAsia="Times New Roman" w:hAnsi="Times New Roman" w:cs="Times New Roman"/>
          <w:spacing w:val="2"/>
          <w:sz w:val="28"/>
          <w:szCs w:val="28"/>
        </w:rPr>
      </w:pPr>
      <w:r w:rsidRPr="004135FE">
        <w:rPr>
          <w:rFonts w:ascii="Times New Roman" w:eastAsia="Times New Roman" w:hAnsi="Times New Roman" w:cs="Times New Roman"/>
          <w:spacing w:val="2"/>
          <w:sz w:val="28"/>
          <w:szCs w:val="28"/>
        </w:rPr>
        <w:t xml:space="preserve">В целях обеспечения взаимодействия центральных и местных исполнительных органов, международных и других организаций по вопросам охраны здоровья граждан на территории Республики Казахстан образован Национальный координационный совет по охране здоровья при Правительстве Республики Казахстан. В </w:t>
      </w:r>
      <w:r w:rsidRPr="004135FE">
        <w:rPr>
          <w:rFonts w:ascii="Times New Roman" w:eastAsia="Times New Roman" w:hAnsi="Times New Roman" w:cs="Times New Roman"/>
          <w:sz w:val="28"/>
          <w:szCs w:val="28"/>
        </w:rPr>
        <w:t>Приложении к распоряжению Премьер-Министра Республики Казахстан от 23 мая 2016</w:t>
      </w:r>
      <w:r w:rsidR="00DA4C1B" w:rsidRPr="004135FE">
        <w:rPr>
          <w:rFonts w:ascii="Times New Roman" w:eastAsia="Times New Roman" w:hAnsi="Times New Roman" w:cs="Times New Roman"/>
          <w:sz w:val="28"/>
          <w:szCs w:val="28"/>
        </w:rPr>
        <w:t>г,</w:t>
      </w:r>
      <w:r w:rsidRPr="004135FE">
        <w:rPr>
          <w:rFonts w:ascii="Times New Roman" w:eastAsia="Times New Roman" w:hAnsi="Times New Roman" w:cs="Times New Roman"/>
          <w:spacing w:val="2"/>
          <w:sz w:val="28"/>
          <w:szCs w:val="28"/>
        </w:rPr>
        <w:t xml:space="preserve"> в состав совета входят первые лица ведомств  МЗ РК, Департамента политики общественного здравоохранения МЗ РК, представители Сената и Мажилиса Парламента РК, Отдела внутренней политики Администрации Президента РК, Министерство обороны РК, Министерство иностранных дел РК, Министерство внутренних дел РК, Сельского хозяйства РК, МОН РК, Индустрии и инфраструктурного развития РК, Культуры и спорта РК, Национальной экономики РК, главный государственный санитарный врач РК, председатель Казахстанского отраслевого профсоюза работников здравоохранения, руководитель программы Всемирного Банка по здравоохранению в Казахстане, представитель ВОЗ по РК, Казахской академии питания, Детского фонда Организации Объединенных Наций (ЮНИСЕФ) в РК и координатор программ по здравоохранению и питанию представительства ЮНИСЕФ, директор офиса Объединенной Программы ООН по СПИДу (ЮНЭИДС) в Казахстане, член правления Национальной палаты предпринимателей РК. </w:t>
      </w:r>
    </w:p>
    <w:p w14:paraId="780B866E" w14:textId="77777777" w:rsidR="00030846" w:rsidRPr="004135FE" w:rsidRDefault="00030846" w:rsidP="00B73EB2">
      <w:pPr>
        <w:tabs>
          <w:tab w:val="left" w:pos="0"/>
          <w:tab w:val="left" w:pos="142"/>
        </w:tabs>
        <w:spacing w:after="0" w:line="240" w:lineRule="auto"/>
        <w:ind w:firstLine="709"/>
        <w:jc w:val="both"/>
        <w:textAlignment w:val="baseline"/>
        <w:rPr>
          <w:rFonts w:ascii="Times New Roman" w:eastAsia="Times New Roman" w:hAnsi="Times New Roman" w:cs="Times New Roman"/>
          <w:spacing w:val="2"/>
          <w:sz w:val="28"/>
          <w:szCs w:val="28"/>
        </w:rPr>
      </w:pPr>
      <w:r w:rsidRPr="004135FE">
        <w:rPr>
          <w:rFonts w:ascii="Times New Roman" w:eastAsia="Times New Roman" w:hAnsi="Times New Roman" w:cs="Times New Roman"/>
          <w:spacing w:val="2"/>
          <w:sz w:val="28"/>
          <w:szCs w:val="28"/>
        </w:rPr>
        <w:t>Основными задачами Координационного совета являются:</w:t>
      </w:r>
    </w:p>
    <w:p w14:paraId="6D31267D" w14:textId="1076DDE4" w:rsidR="00030846" w:rsidRPr="004135FE" w:rsidRDefault="00030846" w:rsidP="00B73EB2">
      <w:pPr>
        <w:spacing w:after="0" w:line="240" w:lineRule="auto"/>
        <w:ind w:firstLine="709"/>
        <w:jc w:val="both"/>
        <w:textAlignment w:val="baseline"/>
        <w:rPr>
          <w:rFonts w:ascii="Times New Roman" w:eastAsia="Times New Roman" w:hAnsi="Times New Roman" w:cs="Times New Roman"/>
          <w:spacing w:val="2"/>
          <w:sz w:val="28"/>
          <w:szCs w:val="28"/>
        </w:rPr>
      </w:pPr>
      <w:r w:rsidRPr="004135FE">
        <w:rPr>
          <w:rFonts w:ascii="Times New Roman" w:eastAsia="Times New Roman" w:hAnsi="Times New Roman" w:cs="Times New Roman"/>
          <w:spacing w:val="2"/>
          <w:sz w:val="28"/>
          <w:szCs w:val="28"/>
        </w:rPr>
        <w:t>1) выработка предложений по обеспечению выполнения мероприятий</w:t>
      </w:r>
    </w:p>
    <w:p w14:paraId="119E856B" w14:textId="7E0464BB" w:rsidR="00030846" w:rsidRPr="004135FE" w:rsidRDefault="00030846" w:rsidP="00B73EB2">
      <w:pPr>
        <w:spacing w:after="0" w:line="240" w:lineRule="auto"/>
        <w:ind w:firstLine="709"/>
        <w:jc w:val="both"/>
        <w:textAlignment w:val="baseline"/>
        <w:rPr>
          <w:rFonts w:ascii="Times New Roman" w:eastAsia="Times New Roman" w:hAnsi="Times New Roman" w:cs="Times New Roman"/>
          <w:spacing w:val="2"/>
          <w:sz w:val="28"/>
          <w:szCs w:val="28"/>
        </w:rPr>
      </w:pPr>
      <w:r w:rsidRPr="004135FE">
        <w:rPr>
          <w:rFonts w:ascii="Times New Roman" w:eastAsia="Times New Roman" w:hAnsi="Times New Roman" w:cs="Times New Roman"/>
          <w:spacing w:val="2"/>
          <w:sz w:val="28"/>
          <w:szCs w:val="28"/>
        </w:rPr>
        <w:t>2) выработка предложений по совершенствованию государственной политики, законодательных и иных нормативных правовых актов в области охраны здоровья граждан;</w:t>
      </w:r>
    </w:p>
    <w:p w14:paraId="09712507" w14:textId="0F34EAEA" w:rsidR="00030846" w:rsidRPr="004135FE" w:rsidRDefault="00030846" w:rsidP="00B73EB2">
      <w:pPr>
        <w:spacing w:after="0" w:line="240" w:lineRule="auto"/>
        <w:ind w:firstLine="709"/>
        <w:jc w:val="both"/>
        <w:textAlignment w:val="baseline"/>
        <w:rPr>
          <w:rFonts w:ascii="Times New Roman" w:eastAsia="Times New Roman" w:hAnsi="Times New Roman" w:cs="Times New Roman"/>
          <w:spacing w:val="2"/>
          <w:sz w:val="28"/>
          <w:szCs w:val="28"/>
        </w:rPr>
      </w:pPr>
      <w:r w:rsidRPr="004135FE">
        <w:rPr>
          <w:rFonts w:ascii="Times New Roman" w:eastAsia="Times New Roman" w:hAnsi="Times New Roman" w:cs="Times New Roman"/>
          <w:spacing w:val="2"/>
          <w:sz w:val="28"/>
          <w:szCs w:val="28"/>
        </w:rPr>
        <w:t>3) выработка предложений по определению основных направлений по охране здоровья граждан в Республике Казахстан.</w:t>
      </w:r>
    </w:p>
    <w:p w14:paraId="54A63823" w14:textId="097B20C0" w:rsidR="00030846" w:rsidRPr="004135FE" w:rsidRDefault="00030846" w:rsidP="00B73EB2">
      <w:pPr>
        <w:spacing w:after="0" w:line="240" w:lineRule="auto"/>
        <w:ind w:firstLine="709"/>
        <w:jc w:val="both"/>
        <w:rPr>
          <w:rFonts w:ascii="Times New Roman" w:eastAsia="Times New Roman" w:hAnsi="Times New Roman" w:cs="Times New Roman"/>
          <w:sz w:val="28"/>
          <w:szCs w:val="28"/>
        </w:rPr>
      </w:pPr>
      <w:r w:rsidRPr="002D0821">
        <w:rPr>
          <w:rFonts w:ascii="Times New Roman" w:eastAsia="Times New Roman" w:hAnsi="Times New Roman" w:cs="Times New Roman"/>
          <w:sz w:val="28"/>
          <w:szCs w:val="28"/>
        </w:rPr>
        <w:t xml:space="preserve">В Кодекс РК О здоровье народа и системе здравоохранения от 7 июля 2020 года № 360-VI ЗРК в </w:t>
      </w:r>
      <w:r w:rsidRPr="002D0821">
        <w:rPr>
          <w:rFonts w:ascii="Times New Roman" w:eastAsia="Times New Roman" w:hAnsi="Times New Roman" w:cs="Times New Roman"/>
          <w:kern w:val="36"/>
          <w:sz w:val="28"/>
          <w:szCs w:val="28"/>
        </w:rPr>
        <w:t>Статья 16 о межведомственной взаимодействии государственных органов и общественных объединений в области здравоохранения указывается, что м</w:t>
      </w:r>
      <w:r w:rsidRPr="002D0821">
        <w:rPr>
          <w:rFonts w:ascii="Times New Roman" w:eastAsia="Times New Roman" w:hAnsi="Times New Roman" w:cs="Times New Roman"/>
          <w:sz w:val="28"/>
          <w:szCs w:val="28"/>
        </w:rPr>
        <w:t>ежведомственное взаимодействие государственных органов, общественных</w:t>
      </w:r>
      <w:r w:rsidRPr="004135FE">
        <w:rPr>
          <w:rFonts w:ascii="Times New Roman" w:eastAsia="Times New Roman" w:hAnsi="Times New Roman" w:cs="Times New Roman"/>
          <w:sz w:val="28"/>
          <w:szCs w:val="28"/>
        </w:rPr>
        <w:t xml:space="preserve"> объединений и других заинтересованных юридических лиц нацелено на снижение факторов риска возникновения инфекционных и неинфекционных заболеваний, осуществление мероприятий при чрезвычайных ситуациях. </w:t>
      </w:r>
    </w:p>
    <w:p w14:paraId="165E066A" w14:textId="4CCFE4FA" w:rsidR="00030846" w:rsidRPr="004135FE" w:rsidRDefault="00260637" w:rsidP="00B73EB2">
      <w:pPr>
        <w:shd w:val="clear" w:color="auto" w:fill="FFFFFF"/>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bCs/>
          <w:sz w:val="28"/>
          <w:szCs w:val="28"/>
          <w:lang w:eastAsia="en-US"/>
        </w:rPr>
        <w:t>О</w:t>
      </w:r>
      <w:r w:rsidR="00030846" w:rsidRPr="004135FE">
        <w:rPr>
          <w:rFonts w:ascii="Times New Roman" w:eastAsiaTheme="minorHAnsi" w:hAnsi="Times New Roman" w:cs="Times New Roman"/>
          <w:bCs/>
          <w:sz w:val="28"/>
          <w:szCs w:val="28"/>
          <w:lang w:eastAsia="en-US"/>
        </w:rPr>
        <w:t xml:space="preserve">дним из основных направлении </w:t>
      </w:r>
      <w:r w:rsidRPr="004135FE">
        <w:rPr>
          <w:rFonts w:ascii="Times New Roman" w:eastAsia="Times New Roman" w:hAnsi="Times New Roman" w:cs="Times New Roman"/>
          <w:sz w:val="28"/>
          <w:szCs w:val="28"/>
        </w:rPr>
        <w:t xml:space="preserve">программы 2016-2020гг </w:t>
      </w:r>
      <w:r w:rsidR="00030846" w:rsidRPr="004135FE">
        <w:rPr>
          <w:rFonts w:ascii="Times New Roman" w:eastAsiaTheme="minorHAnsi" w:hAnsi="Times New Roman" w:cs="Times New Roman"/>
          <w:bCs/>
          <w:sz w:val="28"/>
          <w:szCs w:val="28"/>
          <w:lang w:eastAsia="en-US"/>
        </w:rPr>
        <w:t>является</w:t>
      </w:r>
      <w:r w:rsidRPr="004135FE">
        <w:rPr>
          <w:rFonts w:ascii="Times New Roman" w:eastAsiaTheme="minorHAnsi" w:hAnsi="Times New Roman" w:cs="Times New Roman"/>
          <w:bCs/>
          <w:sz w:val="28"/>
          <w:szCs w:val="28"/>
          <w:lang w:eastAsia="en-US"/>
        </w:rPr>
        <w:t xml:space="preserve"> межсекторальное сотрудничество и</w:t>
      </w:r>
      <w:r w:rsidR="00030846" w:rsidRPr="004135FE">
        <w:rPr>
          <w:rFonts w:ascii="Times New Roman" w:eastAsiaTheme="minorHAnsi" w:hAnsi="Times New Roman" w:cs="Times New Roman"/>
          <w:bCs/>
          <w:sz w:val="28"/>
          <w:szCs w:val="28"/>
          <w:lang w:eastAsia="en-US"/>
        </w:rPr>
        <w:t xml:space="preserve"> </w:t>
      </w:r>
      <w:r w:rsidR="00030846" w:rsidRPr="004135FE">
        <w:rPr>
          <w:rFonts w:ascii="Times New Roman" w:eastAsiaTheme="minorHAnsi" w:hAnsi="Times New Roman" w:cs="Times New Roman"/>
          <w:bCs/>
          <w:sz w:val="28"/>
          <w:szCs w:val="28"/>
          <w:lang w:val="kk-KZ" w:eastAsia="en-US"/>
        </w:rPr>
        <w:t xml:space="preserve">несут ответственность 11 министерств из 18 </w:t>
      </w:r>
      <w:r w:rsidR="00030846" w:rsidRPr="004135FE">
        <w:rPr>
          <w:rFonts w:ascii="Times New Roman" w:hAnsi="Times New Roman" w:cs="Times New Roman"/>
          <w:sz w:val="28"/>
          <w:szCs w:val="28"/>
        </w:rPr>
        <w:t>министерств Правительства Республики Казахстан и акиматы крупных городов страны: МЗ РК</w:t>
      </w:r>
      <w:r w:rsidR="00030846" w:rsidRPr="004135FE">
        <w:rPr>
          <w:rFonts w:ascii="Times New Roman" w:eastAsiaTheme="minorHAnsi" w:hAnsi="Times New Roman" w:cs="Times New Roman"/>
          <w:sz w:val="28"/>
          <w:szCs w:val="28"/>
          <w:lang w:eastAsia="en-US"/>
        </w:rPr>
        <w:t>,</w:t>
      </w:r>
      <w:r w:rsidR="00030846" w:rsidRPr="004135FE">
        <w:rPr>
          <w:rFonts w:ascii="Times New Roman" w:eastAsiaTheme="minorHAnsi" w:hAnsi="Times New Roman" w:cs="Times New Roman"/>
          <w:sz w:val="28"/>
          <w:szCs w:val="28"/>
          <w:lang w:val="kk-KZ" w:eastAsia="en-US"/>
        </w:rPr>
        <w:t xml:space="preserve"> </w:t>
      </w:r>
      <w:r w:rsidR="00030846" w:rsidRPr="004135FE">
        <w:rPr>
          <w:rFonts w:ascii="Times New Roman" w:eastAsiaTheme="minorHAnsi" w:hAnsi="Times New Roman" w:cs="Times New Roman"/>
          <w:sz w:val="28"/>
          <w:szCs w:val="28"/>
          <w:lang w:eastAsia="en-US"/>
        </w:rPr>
        <w:t>Министерство внутренних дел РК, Министерство культуры и спорта РК, Министерство обороны РК, Министерство образования и науки РК, Министерство по инвестициям и развитию РК, Министерство сельского хозяйства РК, Министерство юстиции РК, Министерство национальной экономики РК, акиматы го</w:t>
      </w:r>
      <w:r w:rsidRPr="004135FE">
        <w:rPr>
          <w:rFonts w:ascii="Times New Roman" w:eastAsiaTheme="minorHAnsi" w:hAnsi="Times New Roman" w:cs="Times New Roman"/>
          <w:sz w:val="28"/>
          <w:szCs w:val="28"/>
          <w:lang w:eastAsia="en-US"/>
        </w:rPr>
        <w:t xml:space="preserve">родов Астаны и Алматы, областей </w:t>
      </w:r>
      <w:r w:rsidR="00736157" w:rsidRPr="004135FE">
        <w:rPr>
          <w:rFonts w:ascii="Times New Roman" w:eastAsiaTheme="minorHAnsi" w:hAnsi="Times New Roman" w:cs="Times New Roman"/>
          <w:sz w:val="28"/>
          <w:szCs w:val="28"/>
          <w:lang w:eastAsia="en-US"/>
        </w:rPr>
        <w:t>[192</w:t>
      </w:r>
      <w:r w:rsidR="00030846" w:rsidRPr="004135FE">
        <w:rPr>
          <w:rFonts w:ascii="Times New Roman" w:eastAsiaTheme="minorHAnsi" w:hAnsi="Times New Roman" w:cs="Times New Roman"/>
          <w:sz w:val="28"/>
          <w:szCs w:val="28"/>
          <w:lang w:eastAsia="en-US"/>
        </w:rPr>
        <w:t xml:space="preserve">] </w:t>
      </w:r>
    </w:p>
    <w:p w14:paraId="3028DBF6" w14:textId="77777777" w:rsidR="00030846" w:rsidRPr="004135FE" w:rsidRDefault="00030846" w:rsidP="00B73EB2">
      <w:pPr>
        <w:spacing w:after="0" w:line="240" w:lineRule="auto"/>
        <w:ind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Межсекторальная реализация основных направлений деятельности Службы общественного здравоохранения содержит сотрудничество между 8 ведомствами, где МЗ РК является рабочим органом.</w:t>
      </w:r>
    </w:p>
    <w:p w14:paraId="2A8B42D6" w14:textId="77777777" w:rsidR="00030846" w:rsidRPr="004135FE" w:rsidRDefault="00030846" w:rsidP="00B73EB2">
      <w:pPr>
        <w:pStyle w:val="a3"/>
        <w:numPr>
          <w:ilvl w:val="0"/>
          <w:numId w:val="79"/>
        </w:numPr>
        <w:tabs>
          <w:tab w:val="left" w:pos="851"/>
        </w:tabs>
        <w:spacing w:after="0" w:line="240" w:lineRule="auto"/>
        <w:ind w:left="0" w:firstLine="709"/>
        <w:jc w:val="both"/>
        <w:rPr>
          <w:rFonts w:ascii="Times New Roman" w:hAnsi="Times New Roman" w:cs="Times New Roman"/>
          <w:bCs/>
          <w:sz w:val="28"/>
          <w:szCs w:val="28"/>
        </w:rPr>
      </w:pPr>
      <w:r w:rsidRPr="004135FE">
        <w:rPr>
          <w:rFonts w:ascii="Times New Roman" w:hAnsi="Times New Roman" w:cs="Times New Roman"/>
          <w:bCs/>
          <w:sz w:val="28"/>
          <w:szCs w:val="28"/>
        </w:rPr>
        <w:t>Министерство информации и коммуникаций: выпуск информационных материалов по профилактике поведенческих факторов риска.</w:t>
      </w:r>
    </w:p>
    <w:p w14:paraId="3B8FD6BF" w14:textId="77777777" w:rsidR="00030846" w:rsidRPr="004135FE" w:rsidRDefault="00030846">
      <w:pPr>
        <w:pStyle w:val="a3"/>
        <w:numPr>
          <w:ilvl w:val="0"/>
          <w:numId w:val="79"/>
        </w:numPr>
        <w:tabs>
          <w:tab w:val="left" w:pos="851"/>
        </w:tabs>
        <w:spacing w:after="0" w:line="240" w:lineRule="auto"/>
        <w:ind w:left="0" w:firstLine="567"/>
        <w:jc w:val="both"/>
        <w:rPr>
          <w:rFonts w:ascii="Times New Roman" w:hAnsi="Times New Roman" w:cs="Times New Roman"/>
          <w:bCs/>
          <w:sz w:val="28"/>
          <w:szCs w:val="28"/>
        </w:rPr>
      </w:pPr>
      <w:r w:rsidRPr="004135FE">
        <w:rPr>
          <w:rFonts w:ascii="Times New Roman" w:hAnsi="Times New Roman" w:cs="Times New Roman"/>
          <w:bCs/>
          <w:sz w:val="28"/>
          <w:szCs w:val="28"/>
        </w:rPr>
        <w:t xml:space="preserve">Министерство культуры и спорта: стимулирование физической активности; пропаганда занятия спортом; вовлечение детей в спорт. </w:t>
      </w:r>
    </w:p>
    <w:p w14:paraId="182E3069" w14:textId="04627506" w:rsidR="00030846" w:rsidRPr="004135FE" w:rsidRDefault="00030846" w:rsidP="00B73EB2">
      <w:pPr>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hAnsi="Times New Roman" w:cs="Times New Roman"/>
          <w:bCs/>
          <w:sz w:val="28"/>
          <w:szCs w:val="28"/>
        </w:rPr>
        <w:t>3</w:t>
      </w:r>
      <w:r w:rsidR="00B73EB2">
        <w:rPr>
          <w:rFonts w:ascii="Times New Roman" w:hAnsi="Times New Roman" w:cs="Times New Roman"/>
          <w:bCs/>
          <w:sz w:val="28"/>
          <w:szCs w:val="28"/>
        </w:rPr>
        <w:t>)</w:t>
      </w:r>
      <w:r w:rsidRPr="004135FE">
        <w:rPr>
          <w:rFonts w:ascii="Times New Roman" w:hAnsi="Times New Roman" w:cs="Times New Roman"/>
          <w:bCs/>
          <w:sz w:val="28"/>
          <w:szCs w:val="28"/>
        </w:rPr>
        <w:t xml:space="preserve"> </w:t>
      </w:r>
      <w:r w:rsidRPr="004135FE">
        <w:rPr>
          <w:rFonts w:ascii="Times New Roman" w:eastAsiaTheme="minorHAnsi" w:hAnsi="Times New Roman" w:cs="Times New Roman"/>
          <w:sz w:val="28"/>
          <w:szCs w:val="28"/>
          <w:lang w:eastAsia="en-US"/>
        </w:rPr>
        <w:t>Министерство образования и науки: обучение вопросам ЗОЖ детей; внедрение программ по профилактике поведенческих факторов риска, суицидов в школах.</w:t>
      </w:r>
    </w:p>
    <w:p w14:paraId="3F03E983" w14:textId="5FA0FA88" w:rsidR="00030846" w:rsidRPr="004135FE" w:rsidRDefault="00030846" w:rsidP="00B73EB2">
      <w:pPr>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4</w:t>
      </w:r>
      <w:r w:rsidR="00B73EB2">
        <w:rPr>
          <w:rFonts w:ascii="Times New Roman" w:eastAsiaTheme="minorHAnsi" w:hAnsi="Times New Roman" w:cs="Times New Roman"/>
          <w:sz w:val="28"/>
          <w:szCs w:val="28"/>
          <w:lang w:eastAsia="en-US"/>
        </w:rPr>
        <w:t>)</w:t>
      </w:r>
      <w:r w:rsidRPr="004135FE">
        <w:rPr>
          <w:rFonts w:ascii="Times New Roman" w:eastAsiaTheme="minorHAnsi" w:hAnsi="Times New Roman" w:cs="Times New Roman"/>
          <w:sz w:val="28"/>
          <w:szCs w:val="28"/>
          <w:lang w:eastAsia="en-US"/>
        </w:rPr>
        <w:t xml:space="preserve"> Министерство сельского хозяйства: обеспечение продовольственной безопасности; борьба с загрязнением почвы и природных резервуаров воды.</w:t>
      </w:r>
    </w:p>
    <w:p w14:paraId="1422175E" w14:textId="59C13178" w:rsidR="00030846" w:rsidRPr="004135FE" w:rsidRDefault="00030846" w:rsidP="00B73EB2">
      <w:pPr>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5</w:t>
      </w:r>
      <w:r w:rsidR="00B73EB2">
        <w:rPr>
          <w:rFonts w:ascii="Times New Roman" w:eastAsiaTheme="minorHAnsi" w:hAnsi="Times New Roman" w:cs="Times New Roman"/>
          <w:sz w:val="28"/>
          <w:szCs w:val="28"/>
          <w:lang w:eastAsia="en-US"/>
        </w:rPr>
        <w:t>)</w:t>
      </w:r>
      <w:r w:rsidRPr="004135FE">
        <w:rPr>
          <w:rFonts w:ascii="Times New Roman" w:eastAsiaTheme="minorHAnsi" w:hAnsi="Times New Roman" w:cs="Times New Roman"/>
          <w:sz w:val="28"/>
          <w:szCs w:val="28"/>
          <w:lang w:eastAsia="en-US"/>
        </w:rPr>
        <w:t xml:space="preserve"> Министерство энергетики: мониторинг объектов окружающей среды; управление отходами; профилактика загрязнения воздуха.</w:t>
      </w:r>
    </w:p>
    <w:p w14:paraId="7AE71D47" w14:textId="354C25A6" w:rsidR="00030846" w:rsidRPr="004135FE" w:rsidRDefault="00030846" w:rsidP="00B73EB2">
      <w:pPr>
        <w:spacing w:after="0" w:line="240" w:lineRule="auto"/>
        <w:ind w:firstLine="709"/>
        <w:jc w:val="both"/>
        <w:rPr>
          <w:rFonts w:ascii="Times New Roman" w:hAnsi="Times New Roman" w:cs="Times New Roman"/>
          <w:bCs/>
          <w:sz w:val="28"/>
          <w:szCs w:val="28"/>
        </w:rPr>
      </w:pPr>
      <w:r w:rsidRPr="004135FE">
        <w:rPr>
          <w:rFonts w:ascii="Times New Roman" w:eastAsiaTheme="minorHAnsi" w:hAnsi="Times New Roman" w:cs="Times New Roman"/>
          <w:sz w:val="28"/>
          <w:szCs w:val="28"/>
          <w:lang w:eastAsia="en-US"/>
        </w:rPr>
        <w:t>6</w:t>
      </w:r>
      <w:r w:rsidR="00B73EB2">
        <w:rPr>
          <w:rFonts w:ascii="Times New Roman" w:eastAsiaTheme="minorHAnsi" w:hAnsi="Times New Roman" w:cs="Times New Roman"/>
          <w:sz w:val="28"/>
          <w:szCs w:val="28"/>
          <w:lang w:eastAsia="en-US"/>
        </w:rPr>
        <w:t>)</w:t>
      </w:r>
      <w:r w:rsidRPr="004135FE">
        <w:rPr>
          <w:rFonts w:ascii="Times New Roman" w:eastAsiaTheme="minorHAnsi" w:hAnsi="Times New Roman" w:cs="Times New Roman"/>
          <w:sz w:val="28"/>
          <w:szCs w:val="28"/>
          <w:lang w:eastAsia="en-US"/>
        </w:rPr>
        <w:t xml:space="preserve"> Министерство финансов: повышение акцизов на алкогольную и табачную продукцию; контроль за оборотом алкогольной и табачной продукции</w:t>
      </w:r>
    </w:p>
    <w:p w14:paraId="0F5B2C79" w14:textId="3974DF08" w:rsidR="00030846" w:rsidRPr="004135FE" w:rsidRDefault="00030846" w:rsidP="00B73EB2">
      <w:pPr>
        <w:spacing w:after="0" w:line="240" w:lineRule="auto"/>
        <w:ind w:firstLine="709"/>
        <w:jc w:val="both"/>
        <w:rPr>
          <w:rFonts w:ascii="Times New Roman" w:hAnsi="Times New Roman" w:cs="Times New Roman"/>
          <w:bCs/>
          <w:sz w:val="28"/>
          <w:szCs w:val="28"/>
        </w:rPr>
      </w:pPr>
      <w:r w:rsidRPr="004135FE">
        <w:rPr>
          <w:rFonts w:ascii="Times New Roman" w:eastAsiaTheme="minorHAnsi" w:hAnsi="Times New Roman" w:cs="Times New Roman"/>
          <w:sz w:val="28"/>
          <w:szCs w:val="28"/>
          <w:lang w:eastAsia="en-US"/>
        </w:rPr>
        <w:t>7</w:t>
      </w:r>
      <w:r w:rsidR="00B73EB2">
        <w:rPr>
          <w:rFonts w:ascii="Times New Roman" w:eastAsiaTheme="minorHAnsi" w:hAnsi="Times New Roman" w:cs="Times New Roman"/>
          <w:sz w:val="28"/>
          <w:szCs w:val="28"/>
          <w:lang w:eastAsia="en-US"/>
        </w:rPr>
        <w:t>)</w:t>
      </w:r>
      <w:r w:rsidRPr="004135FE">
        <w:rPr>
          <w:rFonts w:ascii="Times New Roman" w:eastAsiaTheme="minorHAnsi" w:hAnsi="Times New Roman" w:cs="Times New Roman"/>
          <w:sz w:val="28"/>
          <w:szCs w:val="28"/>
          <w:lang w:eastAsia="en-US"/>
        </w:rPr>
        <w:t xml:space="preserve"> Министерство внутренних дел: предупреждение ДТП; обеспечение исполнения антитабачного, антиалкогольного законодательства; борьба с наркотиками; профилактика и реагирование на чрезвычайные ситуации; профилактика туберкулеза в системе КУИС; контроль за ввозом контрабандной продукции.</w:t>
      </w:r>
    </w:p>
    <w:p w14:paraId="37C5E537" w14:textId="4B666493" w:rsidR="00030846" w:rsidRPr="004135FE" w:rsidRDefault="00030846" w:rsidP="00B73EB2">
      <w:pPr>
        <w:spacing w:after="0" w:line="240" w:lineRule="auto"/>
        <w:ind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r w:rsidR="00B73EB2">
        <w:rPr>
          <w:rFonts w:ascii="Times New Roman" w:eastAsia="Times New Roman" w:hAnsi="Times New Roman" w:cs="Times New Roman"/>
          <w:sz w:val="28"/>
          <w:szCs w:val="28"/>
        </w:rPr>
        <w:t>)</w:t>
      </w:r>
      <w:r w:rsidRPr="004135FE">
        <w:rPr>
          <w:rFonts w:ascii="Times New Roman" w:eastAsia="Times New Roman" w:hAnsi="Times New Roman" w:cs="Times New Roman"/>
          <w:sz w:val="28"/>
          <w:szCs w:val="28"/>
        </w:rPr>
        <w:t xml:space="preserve"> Местные исполнительные органы, неправительственные организаций, бизнес-структуры: строительство велодорожек, дворов со спортивными площадками и тренажерами; доступ населения к питьевой воде, водоотведение, утилизация бытовых отходов, тепло, энергообеспечение и др.; реализация программы ВОЗ «Здоровый город».</w:t>
      </w:r>
    </w:p>
    <w:p w14:paraId="3DF73EDB" w14:textId="77777777" w:rsidR="00030846" w:rsidRPr="004135FE" w:rsidRDefault="00030846" w:rsidP="00B73EB2">
      <w:pPr>
        <w:spacing w:after="0" w:line="240" w:lineRule="auto"/>
        <w:ind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Вышеуказанные деятельности межсекторального сотрудничества направлены на профилактику всех неинфекционных и инфекционных заболевании. Для оценки проделанной совместной работы, необходимо разработать индикатор качества сотрудничества по решению общих задач по профилактике факторов риска на уровне Национального и Регионального координационных центов.</w:t>
      </w:r>
    </w:p>
    <w:p w14:paraId="51332329" w14:textId="77777777" w:rsidR="00030846" w:rsidRPr="004135FE" w:rsidRDefault="00030846" w:rsidP="00B73EB2">
      <w:pPr>
        <w:shd w:val="clear" w:color="auto" w:fill="FFFFFF"/>
        <w:spacing w:after="0" w:line="240" w:lineRule="auto"/>
        <w:ind w:firstLine="709"/>
        <w:jc w:val="both"/>
        <w:rPr>
          <w:rFonts w:ascii="Times New Roman" w:hAnsi="Times New Roman" w:cs="Times New Roman"/>
          <w:color w:val="000000"/>
          <w:spacing w:val="2"/>
          <w:sz w:val="28"/>
          <w:szCs w:val="28"/>
        </w:rPr>
      </w:pPr>
      <w:r w:rsidRPr="004135FE">
        <w:rPr>
          <w:rFonts w:ascii="Times New Roman" w:eastAsia="Times New Roman" w:hAnsi="Times New Roman" w:cs="Times New Roman"/>
          <w:sz w:val="28"/>
          <w:szCs w:val="28"/>
        </w:rPr>
        <w:t xml:space="preserve">Для профилактических мер при СД2т </w:t>
      </w:r>
      <w:r w:rsidRPr="004135FE">
        <w:rPr>
          <w:rFonts w:ascii="Times New Roman" w:hAnsi="Times New Roman" w:cs="Times New Roman"/>
          <w:sz w:val="28"/>
          <w:szCs w:val="28"/>
          <w:shd w:val="clear" w:color="auto" w:fill="FFFFFF"/>
        </w:rPr>
        <w:t xml:space="preserve">Министерством торговли и интеграции РК осуществлен приказ об утверждении Правил внутренней торговли, обеспечивающий торговые объекты полками со специальными продуктами питания для населения страдающей повышенным уровнем сахара (Приказ и.о. Министра национальной экономики Республики Казахстан от 27 марта 2015 года № 264. Зарегистрирован в Министерстве юстиции Республики Казахстан 25 мая 2015 года № 11148, согласованный с </w:t>
      </w:r>
      <w:r w:rsidRPr="004135FE">
        <w:rPr>
          <w:rFonts w:ascii="Times New Roman" w:hAnsi="Times New Roman" w:cs="Times New Roman"/>
          <w:color w:val="000000"/>
          <w:spacing w:val="2"/>
          <w:sz w:val="28"/>
          <w:szCs w:val="28"/>
        </w:rPr>
        <w:t xml:space="preserve">Министрами национальной экономики, финансов, сельского хозяйства, внутренних дел, здравоохранения, индустрии и инфраструктурного развития Республики Казахстан). </w:t>
      </w:r>
    </w:p>
    <w:p w14:paraId="31D8C04D" w14:textId="77777777" w:rsidR="00030846" w:rsidRPr="004135FE" w:rsidRDefault="00030846" w:rsidP="004135FE">
      <w:pPr>
        <w:spacing w:after="0" w:line="240" w:lineRule="auto"/>
        <w:jc w:val="both"/>
        <w:rPr>
          <w:rFonts w:ascii="Times New Roman" w:eastAsia="Times New Roman" w:hAnsi="Times New Roman" w:cs="Times New Roman"/>
          <w:sz w:val="28"/>
          <w:szCs w:val="28"/>
        </w:rPr>
      </w:pPr>
    </w:p>
    <w:p w14:paraId="63560CBB" w14:textId="77777777" w:rsidR="00030846" w:rsidRPr="004135FE" w:rsidRDefault="00030846" w:rsidP="00B73EB2">
      <w:pPr>
        <w:spacing w:after="0" w:line="240" w:lineRule="auto"/>
        <w:ind w:left="540"/>
        <w:jc w:val="center"/>
        <w:rPr>
          <w:rFonts w:ascii="Times New Roman" w:hAnsi="Times New Roman" w:cs="Times New Roman"/>
          <w:sz w:val="28"/>
          <w:szCs w:val="28"/>
        </w:rPr>
      </w:pPr>
      <w:r w:rsidRPr="004135FE">
        <w:rPr>
          <w:rFonts w:ascii="Times New Roman" w:hAnsi="Times New Roman" w:cs="Times New Roman"/>
          <w:noProof/>
          <w:sz w:val="28"/>
          <w:szCs w:val="28"/>
        </w:rPr>
        <w:drawing>
          <wp:inline distT="0" distB="0" distL="0" distR="0" wp14:anchorId="07289583" wp14:editId="66D4ECCB">
            <wp:extent cx="5334000" cy="2471979"/>
            <wp:effectExtent l="0" t="0" r="0" b="5080"/>
            <wp:docPr id="471" name="Рисунок 471" descr="http://www.rcrz.kz/files/oz/5%20-%20PHS%20crossectoral%20implemen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crz.kz/files/oz/5%20-%20PHS%20crossectoral%20implementation.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40481" cy="2474983"/>
                    </a:xfrm>
                    <a:prstGeom prst="rect">
                      <a:avLst/>
                    </a:prstGeom>
                    <a:noFill/>
                    <a:ln>
                      <a:noFill/>
                    </a:ln>
                  </pic:spPr>
                </pic:pic>
              </a:graphicData>
            </a:graphic>
          </wp:inline>
        </w:drawing>
      </w:r>
    </w:p>
    <w:p w14:paraId="02744D57" w14:textId="77777777" w:rsidR="00B73EB2" w:rsidRDefault="00B73EB2" w:rsidP="004135FE">
      <w:pPr>
        <w:spacing w:after="0" w:line="240" w:lineRule="auto"/>
        <w:ind w:firstLine="540"/>
        <w:jc w:val="both"/>
        <w:rPr>
          <w:rFonts w:ascii="Times New Roman" w:hAnsi="Times New Roman" w:cs="Times New Roman"/>
          <w:bCs/>
          <w:sz w:val="28"/>
          <w:szCs w:val="28"/>
        </w:rPr>
      </w:pPr>
    </w:p>
    <w:p w14:paraId="77335C10" w14:textId="42C7C25F" w:rsidR="00030846" w:rsidRPr="004135FE" w:rsidRDefault="00030846" w:rsidP="004135FE">
      <w:pPr>
        <w:spacing w:after="0" w:line="240" w:lineRule="auto"/>
        <w:ind w:firstLine="540"/>
        <w:jc w:val="both"/>
        <w:rPr>
          <w:rFonts w:ascii="Times New Roman" w:hAnsi="Times New Roman" w:cs="Times New Roman"/>
          <w:bCs/>
          <w:sz w:val="28"/>
          <w:szCs w:val="28"/>
        </w:rPr>
      </w:pPr>
      <w:r w:rsidRPr="004135FE">
        <w:rPr>
          <w:rFonts w:ascii="Times New Roman" w:hAnsi="Times New Roman" w:cs="Times New Roman"/>
          <w:bCs/>
          <w:sz w:val="28"/>
          <w:szCs w:val="28"/>
        </w:rPr>
        <w:t>Рисунок 59 – Основные направления межсекторального сотрудничества</w:t>
      </w:r>
    </w:p>
    <w:p w14:paraId="085FD4DE" w14:textId="77777777" w:rsidR="00030846" w:rsidRPr="004135FE" w:rsidRDefault="00030846" w:rsidP="004135FE">
      <w:pPr>
        <w:spacing w:after="0" w:line="240" w:lineRule="auto"/>
        <w:jc w:val="both"/>
        <w:rPr>
          <w:rFonts w:ascii="Times New Roman" w:hAnsi="Times New Roman" w:cs="Times New Roman"/>
          <w:bCs/>
          <w:sz w:val="28"/>
          <w:szCs w:val="28"/>
        </w:rPr>
      </w:pPr>
    </w:p>
    <w:p w14:paraId="5F75F049" w14:textId="77777777" w:rsidR="00030846" w:rsidRPr="004135FE" w:rsidRDefault="00030846" w:rsidP="004135FE">
      <w:pPr>
        <w:shd w:val="clear" w:color="auto" w:fill="FFFFFF"/>
        <w:spacing w:after="0" w:line="240" w:lineRule="auto"/>
        <w:jc w:val="both"/>
        <w:rPr>
          <w:rFonts w:ascii="Times New Roman" w:eastAsiaTheme="minorHAnsi" w:hAnsi="Times New Roman" w:cs="Times New Roman"/>
          <w:sz w:val="28"/>
          <w:szCs w:val="28"/>
          <w:lang w:eastAsia="en-US"/>
        </w:rPr>
      </w:pPr>
    </w:p>
    <w:p w14:paraId="4A8FFDBB" w14:textId="52467469" w:rsidR="00030846" w:rsidRPr="00B73EB2" w:rsidRDefault="00030846" w:rsidP="00B73EB2">
      <w:pPr>
        <w:pStyle w:val="a3"/>
        <w:numPr>
          <w:ilvl w:val="2"/>
          <w:numId w:val="96"/>
        </w:numPr>
        <w:tabs>
          <w:tab w:val="left" w:pos="851"/>
        </w:tabs>
        <w:spacing w:after="0" w:line="240" w:lineRule="auto"/>
        <w:ind w:left="0" w:firstLine="708"/>
        <w:jc w:val="both"/>
        <w:rPr>
          <w:rFonts w:ascii="Times New Roman" w:hAnsi="Times New Roman" w:cs="Times New Roman"/>
          <w:bCs/>
          <w:sz w:val="28"/>
          <w:szCs w:val="28"/>
        </w:rPr>
      </w:pPr>
      <w:r w:rsidRPr="00B73EB2">
        <w:rPr>
          <w:rFonts w:ascii="Times New Roman" w:hAnsi="Times New Roman" w:cs="Times New Roman"/>
          <w:bCs/>
          <w:sz w:val="28"/>
          <w:szCs w:val="28"/>
        </w:rPr>
        <w:t>Нормативно- правовые акты, регламентирующие организацию медицинской помощи пациентам с СД2т</w:t>
      </w:r>
    </w:p>
    <w:p w14:paraId="1105C747" w14:textId="7DE30A45" w:rsidR="00030846" w:rsidRPr="004135FE" w:rsidRDefault="00030846" w:rsidP="004135FE">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kern w:val="36"/>
          <w:sz w:val="28"/>
          <w:szCs w:val="28"/>
        </w:rPr>
        <w:t>В Казахстане, целевой комплексной программой Диабет</w:t>
      </w:r>
      <w:r w:rsidRPr="004135FE">
        <w:rPr>
          <w:rFonts w:ascii="Times New Roman" w:eastAsia="Times New Roman" w:hAnsi="Times New Roman" w:cs="Times New Roman"/>
          <w:spacing w:val="2"/>
          <w:sz w:val="28"/>
          <w:szCs w:val="28"/>
        </w:rPr>
        <w:t xml:space="preserve"> в 2000 г.  предусмотрена организация 109 школ диабета по всей республике, в зависимости от распространенности заболевания СД в регионах, из расчета - одну школу на 1000 зарегистрированных пациентов. На сегодняшний день по НРСД, в одной только ГП г.Алматы регистрированы свыше 2000 пациентов с СД2, учитывая, что не во всех ГП полноценно функционируют ШД, можно сказать, что цель не реализован в достаточном объеме. Программой намечена организация во всех областных центрах и городах Астана и Алматы 16 хорошо оснащенных диабетологических информационно- аналитических центров и создание национального регистра сахарного диабета. С достижением прогресса и новых обстоятельств, которые были обнаружены при карантине </w:t>
      </w:r>
      <w:r w:rsidRPr="004135FE">
        <w:rPr>
          <w:rFonts w:ascii="Times New Roman" w:eastAsia="Times New Roman" w:hAnsi="Times New Roman" w:cs="Times New Roman"/>
          <w:spacing w:val="2"/>
          <w:sz w:val="28"/>
          <w:szCs w:val="28"/>
          <w:lang w:val="en-US"/>
        </w:rPr>
        <w:t>COVID</w:t>
      </w:r>
      <w:r w:rsidRPr="004135FE">
        <w:rPr>
          <w:rFonts w:ascii="Times New Roman" w:eastAsia="Times New Roman" w:hAnsi="Times New Roman" w:cs="Times New Roman"/>
          <w:spacing w:val="2"/>
          <w:sz w:val="28"/>
          <w:szCs w:val="28"/>
        </w:rPr>
        <w:t>-19, данный момент НРСД нуждается в кардинальных совершенствованиях</w:t>
      </w:r>
      <w:r w:rsidRPr="004135FE">
        <w:rPr>
          <w:rFonts w:ascii="Times New Roman" w:eastAsia="Times New Roman" w:hAnsi="Times New Roman" w:cs="Times New Roman"/>
          <w:sz w:val="28"/>
          <w:szCs w:val="28"/>
        </w:rPr>
        <w:t xml:space="preserve"> [</w:t>
      </w:r>
      <w:r w:rsidR="00736157" w:rsidRPr="004135FE">
        <w:rPr>
          <w:rFonts w:ascii="Times New Roman" w:eastAsia="Times New Roman" w:hAnsi="Times New Roman" w:cs="Times New Roman"/>
          <w:sz w:val="28"/>
          <w:szCs w:val="28"/>
        </w:rPr>
        <w:t>193, 194</w:t>
      </w:r>
      <w:r w:rsidRPr="004135FE">
        <w:rPr>
          <w:rFonts w:ascii="Times New Roman" w:eastAsia="Times New Roman" w:hAnsi="Times New Roman" w:cs="Times New Roman"/>
          <w:sz w:val="28"/>
          <w:szCs w:val="28"/>
        </w:rPr>
        <w:t>].</w:t>
      </w:r>
    </w:p>
    <w:p w14:paraId="25BAA831" w14:textId="7E63206F" w:rsidR="00030846" w:rsidRPr="004135FE" w:rsidRDefault="00030846" w:rsidP="004135FE">
      <w:pPr>
        <w:autoSpaceDE w:val="0"/>
        <w:autoSpaceDN w:val="0"/>
        <w:adjustRightInd w:val="0"/>
        <w:spacing w:after="0" w:line="240" w:lineRule="auto"/>
        <w:ind w:firstLine="708"/>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По СД2т были приняты некоторые приказы, но к сожалению реализация программ не всегда достигали до цели и трансформировались в другие документы</w:t>
      </w:r>
      <w:r w:rsidR="000F1E9E" w:rsidRPr="004135FE">
        <w:rPr>
          <w:rFonts w:ascii="Times New Roman" w:eastAsia="Times New Roman" w:hAnsi="Times New Roman" w:cs="Times New Roman"/>
          <w:sz w:val="28"/>
          <w:szCs w:val="28"/>
        </w:rPr>
        <w:t>. И</w:t>
      </w:r>
      <w:r w:rsidRPr="004135FE">
        <w:rPr>
          <w:rFonts w:ascii="Times New Roman" w:eastAsia="Times New Roman" w:hAnsi="Times New Roman" w:cs="Times New Roman"/>
          <w:sz w:val="28"/>
          <w:szCs w:val="28"/>
        </w:rPr>
        <w:t>так</w:t>
      </w:r>
      <w:r w:rsidR="000F1E9E" w:rsidRPr="004135FE">
        <w:rPr>
          <w:rFonts w:ascii="Times New Roman" w:eastAsia="Times New Roman" w:hAnsi="Times New Roman" w:cs="Times New Roman"/>
          <w:sz w:val="28"/>
          <w:szCs w:val="28"/>
        </w:rPr>
        <w:t>,</w:t>
      </w:r>
      <w:r w:rsidRPr="004135FE">
        <w:rPr>
          <w:rFonts w:ascii="Times New Roman" w:eastAsia="Times New Roman" w:hAnsi="Times New Roman" w:cs="Times New Roman"/>
          <w:sz w:val="28"/>
          <w:szCs w:val="28"/>
        </w:rPr>
        <w:t xml:space="preserve"> рассмотрим НПА за последние 10 лет.</w:t>
      </w:r>
    </w:p>
    <w:p w14:paraId="04D31887" w14:textId="77777777" w:rsidR="00030846" w:rsidRPr="00B73EB2" w:rsidRDefault="00030846" w:rsidP="004135FE">
      <w:pPr>
        <w:spacing w:after="0" w:line="240" w:lineRule="auto"/>
        <w:ind w:firstLine="540"/>
        <w:jc w:val="both"/>
        <w:rPr>
          <w:rFonts w:ascii="Times New Roman" w:hAnsi="Times New Roman" w:cs="Times New Roman"/>
          <w:spacing w:val="2"/>
          <w:sz w:val="28"/>
          <w:szCs w:val="28"/>
        </w:rPr>
      </w:pPr>
      <w:r w:rsidRPr="00B73EB2">
        <w:rPr>
          <w:rFonts w:ascii="Times New Roman" w:hAnsi="Times New Roman" w:cs="Times New Roman"/>
          <w:sz w:val="28"/>
          <w:szCs w:val="28"/>
        </w:rPr>
        <w:t xml:space="preserve">Скрининговая программа выявления СД2т. </w:t>
      </w:r>
      <w:r w:rsidRPr="00B73EB2">
        <w:rPr>
          <w:rFonts w:ascii="Times New Roman" w:hAnsi="Times New Roman" w:cs="Times New Roman"/>
          <w:spacing w:val="2"/>
          <w:sz w:val="28"/>
          <w:szCs w:val="28"/>
        </w:rPr>
        <w:t xml:space="preserve">Раннее выявление поведенческих факторов риска развития СД2т среди населения проводится </w:t>
      </w:r>
      <w:r w:rsidRPr="00B73EB2">
        <w:rPr>
          <w:rFonts w:ascii="Times New Roman" w:hAnsi="Times New Roman" w:cs="Times New Roman"/>
          <w:sz w:val="28"/>
          <w:szCs w:val="28"/>
        </w:rPr>
        <w:t>согласно приказу МЗ РК от 30 октября 2020 года № ҚР ДСМ-174/2020, о целевых группах лиц, подлежащие скрининговым исследованиям, а также правил, объема и периодичности проведения данных исследований.  Среди ж</w:t>
      </w:r>
      <w:r w:rsidRPr="00B73EB2">
        <w:rPr>
          <w:rFonts w:ascii="Times New Roman" w:hAnsi="Times New Roman" w:cs="Times New Roman"/>
          <w:spacing w:val="2"/>
          <w:sz w:val="28"/>
          <w:szCs w:val="28"/>
        </w:rPr>
        <w:t>енщин в возрасте от 30 до 39 лет скрининговое исследование на раннее выявление поведенческих факторов риска проводится с периодичностью 1 раз в 4 года. Мужчины и женщины в возрасте от 40 до 70 лет, подлежащие скрининговому исследованию на раннее выявление СД2т поведенческих факторов риска проходят обследование 1 раз в 2 года.</w:t>
      </w:r>
    </w:p>
    <w:p w14:paraId="3160936A" w14:textId="77777777" w:rsidR="00030846" w:rsidRPr="00B73EB2" w:rsidRDefault="00030846" w:rsidP="00B73EB2">
      <w:pPr>
        <w:shd w:val="clear" w:color="auto" w:fill="FFFFFF"/>
        <w:spacing w:after="0" w:line="240" w:lineRule="auto"/>
        <w:ind w:firstLine="709"/>
        <w:jc w:val="both"/>
        <w:rPr>
          <w:rFonts w:ascii="Times New Roman" w:hAnsi="Times New Roman" w:cs="Times New Roman"/>
          <w:spacing w:val="2"/>
          <w:sz w:val="28"/>
          <w:szCs w:val="28"/>
        </w:rPr>
      </w:pPr>
      <w:r w:rsidRPr="00B73EB2">
        <w:rPr>
          <w:rFonts w:ascii="Times New Roman" w:hAnsi="Times New Roman" w:cs="Times New Roman"/>
          <w:spacing w:val="2"/>
          <w:sz w:val="28"/>
          <w:szCs w:val="28"/>
        </w:rPr>
        <w:t>Скрининговые исследования не проводятся лицам, находящимся на динамическом наблюдении, по профилю заболевания которого проводится скрининговое исследование.</w:t>
      </w:r>
    </w:p>
    <w:p w14:paraId="61040EF7" w14:textId="7BFCB5E1" w:rsidR="00030846" w:rsidRPr="00B73EB2" w:rsidRDefault="00030846" w:rsidP="00B73EB2">
      <w:pPr>
        <w:pStyle w:val="af"/>
        <w:spacing w:before="0" w:beforeAutospacing="0" w:after="0" w:afterAutospacing="0"/>
        <w:ind w:firstLine="709"/>
        <w:jc w:val="both"/>
        <w:textAlignment w:val="baseline"/>
        <w:rPr>
          <w:spacing w:val="2"/>
          <w:sz w:val="28"/>
          <w:szCs w:val="28"/>
        </w:rPr>
      </w:pPr>
      <w:r w:rsidRPr="00B73EB2">
        <w:rPr>
          <w:spacing w:val="2"/>
          <w:sz w:val="28"/>
          <w:szCs w:val="28"/>
        </w:rPr>
        <w:t xml:space="preserve">СД2т определяется путем проведения экспресс-диагностики глюкозы крови (при отсутствии такового оборудования, биоматериал (кровь) пациента направляется в лабораторию). При выявлении повышенного уровня глюкозы крови (более 7,0 ммоль/л) направляет пациента на консультацию участкового терапевта и (или) ВОП по месту жительства. При наличии клинических признаков СД2т, а также при наличии у обследуемого </w:t>
      </w:r>
      <w:r w:rsidR="00260637" w:rsidRPr="00B73EB2">
        <w:rPr>
          <w:spacing w:val="2"/>
          <w:sz w:val="28"/>
          <w:szCs w:val="28"/>
        </w:rPr>
        <w:t>ИМТ</w:t>
      </w:r>
      <w:r w:rsidRPr="00B73EB2">
        <w:rPr>
          <w:spacing w:val="2"/>
          <w:sz w:val="28"/>
          <w:szCs w:val="28"/>
        </w:rPr>
        <w:t xml:space="preserve"> ≥ 25 кг/м² с одним или несколькими дополнительными факторами риска ВОП или участковый терапевт направляет на дополнительные исследования, по показаниям направляет на консультацию к эндокринологу.</w:t>
      </w:r>
    </w:p>
    <w:p w14:paraId="0173DA6E" w14:textId="33A6EE09" w:rsidR="00DB448B" w:rsidRPr="004135FE" w:rsidRDefault="00030846" w:rsidP="00B73EB2">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B73EB2">
        <w:rPr>
          <w:rFonts w:ascii="Times New Roman" w:hAnsi="Times New Roman" w:cs="Times New Roman"/>
          <w:sz w:val="28"/>
          <w:szCs w:val="28"/>
        </w:rPr>
        <w:t xml:space="preserve">Инструкция маршрута движения пациента с СД2т, при оказаниях мультидисциплинарной помощи на уровне ПМСП (рисунок </w:t>
      </w:r>
      <w:r w:rsidR="00B47983" w:rsidRPr="00B73EB2">
        <w:rPr>
          <w:rFonts w:ascii="Times New Roman" w:hAnsi="Times New Roman" w:cs="Times New Roman"/>
          <w:sz w:val="28"/>
          <w:szCs w:val="28"/>
        </w:rPr>
        <w:t>60</w:t>
      </w:r>
      <w:r w:rsidR="00813B30" w:rsidRPr="00B73EB2">
        <w:rPr>
          <w:rFonts w:ascii="Times New Roman" w:hAnsi="Times New Roman" w:cs="Times New Roman"/>
          <w:sz w:val="28"/>
          <w:szCs w:val="28"/>
        </w:rPr>
        <w:t xml:space="preserve">), изначально описан </w:t>
      </w:r>
      <w:r w:rsidR="00260637" w:rsidRPr="00B73EB2">
        <w:rPr>
          <w:rFonts w:ascii="Times New Roman" w:hAnsi="Times New Roman" w:cs="Times New Roman"/>
          <w:sz w:val="28"/>
          <w:szCs w:val="28"/>
        </w:rPr>
        <w:t>в приказе МЗ РК</w:t>
      </w:r>
      <w:r w:rsidR="00260637" w:rsidRPr="004135FE">
        <w:rPr>
          <w:rFonts w:ascii="Times New Roman" w:hAnsi="Times New Roman" w:cs="Times New Roman"/>
          <w:bCs/>
          <w:sz w:val="28"/>
          <w:szCs w:val="28"/>
        </w:rPr>
        <w:t xml:space="preserve"> </w:t>
      </w:r>
      <w:r w:rsidRPr="004135FE">
        <w:rPr>
          <w:rFonts w:ascii="Times New Roman" w:hAnsi="Times New Roman" w:cs="Times New Roman"/>
          <w:bCs/>
          <w:sz w:val="28"/>
          <w:szCs w:val="28"/>
        </w:rPr>
        <w:t>от 26.12.2012г №885</w:t>
      </w:r>
      <w:r w:rsidRPr="004135FE">
        <w:rPr>
          <w:rFonts w:ascii="Times New Roman" w:eastAsia="Times New Roman" w:hAnsi="Times New Roman" w:cs="Times New Roman"/>
          <w:sz w:val="28"/>
          <w:szCs w:val="28"/>
        </w:rPr>
        <w:t xml:space="preserve">. Но описанные функциональные обязанности </w:t>
      </w:r>
      <w:r w:rsidRPr="004135FE">
        <w:rPr>
          <w:rFonts w:ascii="Times New Roman" w:hAnsi="Times New Roman" w:cs="Times New Roman"/>
          <w:sz w:val="28"/>
          <w:szCs w:val="28"/>
        </w:rPr>
        <w:t>медицинского персонала</w:t>
      </w:r>
      <w:r w:rsidRPr="004135FE">
        <w:rPr>
          <w:rFonts w:ascii="Times New Roman" w:eastAsia="Times New Roman" w:hAnsi="Times New Roman" w:cs="Times New Roman"/>
          <w:sz w:val="28"/>
          <w:szCs w:val="28"/>
        </w:rPr>
        <w:t xml:space="preserve"> имели завышенные ожидания от исходных навыков, так как приказ был разработан и спущен вертикальным уровнем, без согласования горизонтального. </w:t>
      </w:r>
    </w:p>
    <w:p w14:paraId="1D754292" w14:textId="6A8019DE" w:rsidR="00DB448B" w:rsidRPr="004135FE" w:rsidRDefault="00030846" w:rsidP="00B73EB2">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    Согласно по инструкции маршрута движения, пациент с СД2т состоящий на диспансерном учете в организациях ПМСП, </w:t>
      </w:r>
      <w:r w:rsidR="00DB448B" w:rsidRPr="004135FE">
        <w:rPr>
          <w:rFonts w:ascii="Times New Roman" w:hAnsi="Times New Roman" w:cs="Times New Roman"/>
          <w:sz w:val="28"/>
          <w:szCs w:val="28"/>
        </w:rPr>
        <w:t xml:space="preserve">находится под наблюдением СМР. В рамках приказа, СМР принимает пациента и </w:t>
      </w:r>
      <w:r w:rsidR="008C7E5F" w:rsidRPr="004135FE">
        <w:rPr>
          <w:rFonts w:ascii="Times New Roman" w:hAnsi="Times New Roman" w:cs="Times New Roman"/>
          <w:sz w:val="28"/>
          <w:szCs w:val="28"/>
        </w:rPr>
        <w:t>выписывает направления</w:t>
      </w:r>
      <w:r w:rsidR="00DB448B" w:rsidRPr="004135FE">
        <w:rPr>
          <w:rFonts w:ascii="Times New Roman" w:hAnsi="Times New Roman" w:cs="Times New Roman"/>
          <w:sz w:val="28"/>
          <w:szCs w:val="28"/>
        </w:rPr>
        <w:t xml:space="preserve"> на клинические анализы, интерпретирует полученные результаты. При состоянии без ухудшения, проводит беседу о ЗОЖ.</w:t>
      </w:r>
      <w:r w:rsidR="000F029C" w:rsidRPr="004135FE">
        <w:rPr>
          <w:rFonts w:ascii="Times New Roman" w:hAnsi="Times New Roman" w:cs="Times New Roman"/>
          <w:sz w:val="28"/>
          <w:szCs w:val="28"/>
        </w:rPr>
        <w:t xml:space="preserve"> Но, если СМР находит отклонение от нормы в анализах пациента, то его направляет к ВОП, для дальнейшей координации. В свою очередь ВОП так же проводит обследование пациента и при выявлении прогрессирования направляет в стационар или узким специалистам. При улучшении состояния пациента, он обратно возвращается под наблюдение СМР. </w:t>
      </w:r>
    </w:p>
    <w:p w14:paraId="44253D43" w14:textId="4161D5A3" w:rsidR="00030846" w:rsidRPr="004135FE" w:rsidRDefault="000F029C"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ab/>
        <w:t xml:space="preserve">На уровне ВОП так же обсуждаются вопросы планирования беременности среди </w:t>
      </w:r>
      <w:r w:rsidR="00D3028F" w:rsidRPr="004135FE">
        <w:rPr>
          <w:rFonts w:ascii="Times New Roman" w:hAnsi="Times New Roman" w:cs="Times New Roman"/>
          <w:sz w:val="28"/>
          <w:szCs w:val="28"/>
        </w:rPr>
        <w:t>женщин фертильного возраста.</w:t>
      </w:r>
    </w:p>
    <w:p w14:paraId="63AC04DD" w14:textId="77777777" w:rsidR="00030846" w:rsidRPr="004135FE" w:rsidRDefault="00030846" w:rsidP="004135FE">
      <w:pPr>
        <w:spacing w:after="0" w:line="240" w:lineRule="auto"/>
        <w:jc w:val="both"/>
        <w:rPr>
          <w:rFonts w:ascii="Times New Roman" w:hAnsi="Times New Roman" w:cs="Times New Roman"/>
          <w:sz w:val="28"/>
          <w:szCs w:val="28"/>
        </w:rPr>
      </w:pPr>
    </w:p>
    <w:p w14:paraId="5A9F5F8B" w14:textId="60BEC5B3" w:rsidR="00030846" w:rsidRPr="004135FE" w:rsidRDefault="00030846" w:rsidP="004135FE">
      <w:pPr>
        <w:spacing w:after="0" w:line="240" w:lineRule="auto"/>
        <w:rPr>
          <w:rFonts w:ascii="Times New Roman" w:hAnsi="Times New Roman" w:cs="Times New Roman"/>
          <w:sz w:val="28"/>
          <w:szCs w:val="28"/>
          <w:lang w:val="kk-KZ"/>
        </w:rPr>
      </w:pPr>
    </w:p>
    <w:p w14:paraId="2F213442" w14:textId="77777777" w:rsidR="00030846" w:rsidRPr="004135FE" w:rsidRDefault="00030846" w:rsidP="004135FE">
      <w:pPr>
        <w:spacing w:after="0" w:line="240" w:lineRule="auto"/>
        <w:rPr>
          <w:rFonts w:ascii="Times New Roman" w:hAnsi="Times New Roman" w:cs="Times New Roman"/>
          <w:sz w:val="28"/>
          <w:szCs w:val="28"/>
          <w:lang w:val="kk-KZ"/>
        </w:rPr>
      </w:pPr>
    </w:p>
    <w:p w14:paraId="379A6B5C" w14:textId="77777777" w:rsidR="00732C15" w:rsidRDefault="00732C15" w:rsidP="004135FE">
      <w:pPr>
        <w:spacing w:after="0" w:line="240" w:lineRule="auto"/>
        <w:rPr>
          <w:rFonts w:ascii="Times New Roman" w:hAnsi="Times New Roman" w:cs="Times New Roman"/>
          <w:sz w:val="28"/>
          <w:szCs w:val="28"/>
          <w:lang w:val="kk-KZ"/>
        </w:rPr>
        <w:sectPr w:rsidR="00732C15" w:rsidSect="00EC71C2">
          <w:type w:val="nextColumn"/>
          <w:pgSz w:w="11906" w:h="16838"/>
          <w:pgMar w:top="1134" w:right="851" w:bottom="1134" w:left="1701" w:header="708" w:footer="708" w:gutter="0"/>
          <w:cols w:space="708"/>
          <w:docGrid w:linePitch="360"/>
        </w:sectPr>
      </w:pPr>
    </w:p>
    <w:p w14:paraId="78213343" w14:textId="77777777" w:rsidR="00732C15" w:rsidRDefault="00030846" w:rsidP="004135FE">
      <w:pPr>
        <w:spacing w:after="0" w:line="240" w:lineRule="auto"/>
        <w:rPr>
          <w:rFonts w:ascii="Times New Roman" w:hAnsi="Times New Roman" w:cs="Times New Roman"/>
          <w:sz w:val="28"/>
          <w:szCs w:val="28"/>
          <w:lang w:val="kk-KZ"/>
        </w:rPr>
      </w:pPr>
      <w:r w:rsidRPr="004135FE">
        <w:rPr>
          <w:rFonts w:ascii="Times New Roman" w:hAnsi="Times New Roman" w:cs="Times New Roman"/>
          <w:noProof/>
          <w:sz w:val="28"/>
          <w:szCs w:val="28"/>
        </w:rPr>
        <w:drawing>
          <wp:anchor distT="0" distB="0" distL="114300" distR="114300" simplePos="0" relativeHeight="252195840" behindDoc="0" locked="0" layoutInCell="1" allowOverlap="1" wp14:anchorId="09F59C84" wp14:editId="6A7431E4">
            <wp:simplePos x="0" y="0"/>
            <wp:positionH relativeFrom="column">
              <wp:posOffset>105410</wp:posOffset>
            </wp:positionH>
            <wp:positionV relativeFrom="paragraph">
              <wp:posOffset>0</wp:posOffset>
            </wp:positionV>
            <wp:extent cx="9150985" cy="4787900"/>
            <wp:effectExtent l="0" t="0" r="0" b="0"/>
            <wp:wrapSquare wrapText="bothSides"/>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l="14335" t="17375" r="15177" b="6341"/>
                    <a:stretch/>
                  </pic:blipFill>
                  <pic:spPr bwMode="auto">
                    <a:xfrm>
                      <a:off x="0" y="0"/>
                      <a:ext cx="9150985" cy="4787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897D10" w14:textId="77777777" w:rsidR="00732C15" w:rsidRPr="004135FE" w:rsidRDefault="00732C15" w:rsidP="00732C15">
      <w:pPr>
        <w:spacing w:after="0" w:line="240" w:lineRule="auto"/>
        <w:ind w:firstLine="708"/>
        <w:jc w:val="center"/>
        <w:rPr>
          <w:rFonts w:ascii="Times New Roman" w:hAnsi="Times New Roman" w:cs="Times New Roman"/>
          <w:sz w:val="28"/>
          <w:szCs w:val="28"/>
        </w:rPr>
      </w:pPr>
      <w:r w:rsidRPr="004135FE">
        <w:rPr>
          <w:rFonts w:ascii="Times New Roman" w:hAnsi="Times New Roman" w:cs="Times New Roman"/>
          <w:bCs/>
          <w:sz w:val="28"/>
          <w:szCs w:val="28"/>
        </w:rPr>
        <w:t>Рисунок 60 – Инструкция маршрута движения пациента с СД2т, при оказаниях мультидисциплинарной помощи на уровне ПМСП</w:t>
      </w:r>
    </w:p>
    <w:p w14:paraId="3A157F6A" w14:textId="718FC7E5" w:rsidR="00732C15" w:rsidRPr="00732C15" w:rsidRDefault="00732C15" w:rsidP="00732C15">
      <w:pPr>
        <w:tabs>
          <w:tab w:val="center" w:pos="7285"/>
        </w:tabs>
        <w:rPr>
          <w:rFonts w:ascii="Times New Roman" w:hAnsi="Times New Roman" w:cs="Times New Roman"/>
          <w:sz w:val="28"/>
          <w:szCs w:val="28"/>
          <w:lang w:val="kk-KZ"/>
        </w:rPr>
        <w:sectPr w:rsidR="00732C15" w:rsidRPr="00732C15" w:rsidSect="00732C15">
          <w:type w:val="nextColumn"/>
          <w:pgSz w:w="16838" w:h="11906" w:orient="landscape"/>
          <w:pgMar w:top="1701" w:right="1134" w:bottom="851" w:left="1134" w:header="709" w:footer="709" w:gutter="0"/>
          <w:cols w:space="708"/>
          <w:docGrid w:linePitch="360"/>
        </w:sectPr>
      </w:pPr>
    </w:p>
    <w:p w14:paraId="3F414F10" w14:textId="33F48A69" w:rsidR="00B73EB2" w:rsidRDefault="00030846" w:rsidP="00732C15">
      <w:pPr>
        <w:spacing w:after="0" w:line="240" w:lineRule="auto"/>
        <w:jc w:val="both"/>
        <w:rPr>
          <w:rFonts w:ascii="Times New Roman" w:hAnsi="Times New Roman" w:cs="Times New Roman"/>
          <w:spacing w:val="2"/>
          <w:sz w:val="28"/>
          <w:szCs w:val="28"/>
        </w:rPr>
      </w:pPr>
      <w:r w:rsidRPr="004135FE">
        <w:rPr>
          <w:rFonts w:ascii="Times New Roman" w:hAnsi="Times New Roman" w:cs="Times New Roman"/>
          <w:spacing w:val="2"/>
          <w:sz w:val="28"/>
          <w:szCs w:val="28"/>
        </w:rPr>
        <w:t> </w:t>
      </w:r>
    </w:p>
    <w:p w14:paraId="5D87FF4C" w14:textId="55EA25DB" w:rsidR="00030846" w:rsidRPr="00B73EB2" w:rsidRDefault="00030846" w:rsidP="00B73EB2">
      <w:pPr>
        <w:shd w:val="clear" w:color="auto" w:fill="FFFFFF"/>
        <w:spacing w:after="0" w:line="240" w:lineRule="auto"/>
        <w:ind w:firstLine="708"/>
        <w:jc w:val="both"/>
        <w:textAlignment w:val="baseline"/>
        <w:rPr>
          <w:rFonts w:ascii="Times New Roman" w:hAnsi="Times New Roman" w:cs="Times New Roman"/>
          <w:bCs/>
          <w:spacing w:val="2"/>
          <w:sz w:val="28"/>
          <w:szCs w:val="28"/>
        </w:rPr>
      </w:pPr>
      <w:r w:rsidRPr="004135FE">
        <w:rPr>
          <w:rFonts w:ascii="Times New Roman" w:hAnsi="Times New Roman" w:cs="Times New Roman"/>
          <w:spacing w:val="2"/>
          <w:sz w:val="28"/>
          <w:szCs w:val="28"/>
        </w:rPr>
        <w:t> </w:t>
      </w:r>
      <w:r w:rsidRPr="00B73EB2">
        <w:rPr>
          <w:rFonts w:ascii="Times New Roman" w:hAnsi="Times New Roman" w:cs="Times New Roman"/>
          <w:bCs/>
          <w:spacing w:val="2"/>
          <w:sz w:val="28"/>
          <w:szCs w:val="28"/>
        </w:rPr>
        <w:t xml:space="preserve">Динамическое наблюдение при СД2т. СД2т </w:t>
      </w:r>
      <w:r w:rsidR="002641E7" w:rsidRPr="00B73EB2">
        <w:rPr>
          <w:rFonts w:ascii="Times New Roman" w:hAnsi="Times New Roman" w:cs="Times New Roman"/>
          <w:bCs/>
          <w:spacing w:val="2"/>
          <w:sz w:val="28"/>
          <w:szCs w:val="28"/>
        </w:rPr>
        <w:t xml:space="preserve">находится под контролем на уровне ПМСП согласно ПУЗ и динамическое наблюдение проводят участковые врачи и СМР. Динамическое наблюдение осуществляется </w:t>
      </w:r>
      <w:r w:rsidRPr="00B73EB2">
        <w:rPr>
          <w:rFonts w:ascii="Times New Roman" w:hAnsi="Times New Roman" w:cs="Times New Roman"/>
          <w:bCs/>
          <w:spacing w:val="2"/>
          <w:sz w:val="28"/>
          <w:szCs w:val="28"/>
        </w:rPr>
        <w:t xml:space="preserve">в целях своевременного выявления, предупреждения осложнений, обострений заболеваний, их профилактики и осуществления медицинской реабилитации указанных лиц. </w:t>
      </w:r>
    </w:p>
    <w:p w14:paraId="4559FAF9" w14:textId="77777777" w:rsidR="00030846" w:rsidRPr="00B73EB2" w:rsidRDefault="00030846" w:rsidP="00B73EB2">
      <w:pPr>
        <w:shd w:val="clear" w:color="auto" w:fill="FFFFFF"/>
        <w:spacing w:after="0" w:line="240" w:lineRule="auto"/>
        <w:ind w:firstLine="708"/>
        <w:jc w:val="both"/>
        <w:textAlignment w:val="baseline"/>
        <w:rPr>
          <w:rFonts w:ascii="Times New Roman" w:hAnsi="Times New Roman" w:cs="Times New Roman"/>
          <w:bCs/>
          <w:spacing w:val="2"/>
          <w:sz w:val="28"/>
          <w:szCs w:val="28"/>
        </w:rPr>
      </w:pPr>
      <w:r w:rsidRPr="00B73EB2">
        <w:rPr>
          <w:rFonts w:ascii="Times New Roman" w:hAnsi="Times New Roman" w:cs="Times New Roman"/>
          <w:bCs/>
          <w:spacing w:val="2"/>
          <w:sz w:val="28"/>
          <w:szCs w:val="28"/>
        </w:rPr>
        <w:t> Консультативно-диагностическая помощь при СД2т оказывается согласно </w:t>
      </w:r>
      <w:r w:rsidRPr="00B73EB2">
        <w:rPr>
          <w:rFonts w:ascii="Times New Roman" w:eastAsiaTheme="majorEastAsia" w:hAnsi="Times New Roman" w:cs="Times New Roman"/>
          <w:bCs/>
          <w:spacing w:val="2"/>
          <w:sz w:val="28"/>
          <w:szCs w:val="28"/>
        </w:rPr>
        <w:t>правилам</w:t>
      </w:r>
      <w:r w:rsidRPr="00B73EB2">
        <w:rPr>
          <w:rFonts w:ascii="Times New Roman" w:hAnsi="Times New Roman" w:cs="Times New Roman"/>
          <w:bCs/>
          <w:spacing w:val="2"/>
          <w:sz w:val="28"/>
          <w:szCs w:val="28"/>
        </w:rPr>
        <w:t xml:space="preserve"> КДП, утвержденным приказом Министра здравоохранения и социального развития Республики Казахстан от 28 июля 2015 года № 626 (зарегистрирован в Реестре государственной регистрации нормативных правовых актов за № 11958).</w:t>
      </w:r>
    </w:p>
    <w:p w14:paraId="56461B76" w14:textId="40714ED5" w:rsidR="00030846" w:rsidRPr="00B73EB2" w:rsidRDefault="00030846" w:rsidP="00B73EB2">
      <w:pPr>
        <w:shd w:val="clear" w:color="auto" w:fill="FFFFFF"/>
        <w:spacing w:after="0" w:line="240" w:lineRule="auto"/>
        <w:ind w:firstLine="708"/>
        <w:jc w:val="both"/>
        <w:textAlignment w:val="baseline"/>
        <w:rPr>
          <w:rFonts w:ascii="Times New Roman" w:hAnsi="Times New Roman" w:cs="Times New Roman"/>
          <w:bCs/>
          <w:spacing w:val="2"/>
          <w:sz w:val="28"/>
          <w:szCs w:val="28"/>
        </w:rPr>
      </w:pPr>
      <w:r w:rsidRPr="00B73EB2">
        <w:rPr>
          <w:rFonts w:ascii="Times New Roman" w:hAnsi="Times New Roman" w:cs="Times New Roman"/>
          <w:bCs/>
          <w:spacing w:val="2"/>
          <w:sz w:val="28"/>
          <w:szCs w:val="28"/>
        </w:rPr>
        <w:t>Наблюдение и диагностиче</w:t>
      </w:r>
      <w:r w:rsidR="00DA4FE8" w:rsidRPr="00B73EB2">
        <w:rPr>
          <w:rFonts w:ascii="Times New Roman" w:hAnsi="Times New Roman" w:cs="Times New Roman"/>
          <w:bCs/>
          <w:spacing w:val="2"/>
          <w:sz w:val="28"/>
          <w:szCs w:val="28"/>
        </w:rPr>
        <w:t>ские исследования и лекарственное обеспечение проводятся в рамках</w:t>
      </w:r>
      <w:r w:rsidRPr="00B73EB2">
        <w:rPr>
          <w:rFonts w:ascii="Times New Roman" w:hAnsi="Times New Roman" w:cs="Times New Roman"/>
          <w:bCs/>
          <w:spacing w:val="2"/>
          <w:sz w:val="28"/>
          <w:szCs w:val="28"/>
        </w:rPr>
        <w:t xml:space="preserve"> ГОБМП </w:t>
      </w:r>
      <w:r w:rsidR="00DA4FE8" w:rsidRPr="00B73EB2">
        <w:rPr>
          <w:rFonts w:ascii="Times New Roman" w:hAnsi="Times New Roman" w:cs="Times New Roman"/>
          <w:bCs/>
          <w:spacing w:val="2"/>
          <w:sz w:val="28"/>
          <w:szCs w:val="28"/>
        </w:rPr>
        <w:t>и ОСМС.</w:t>
      </w:r>
      <w:r w:rsidRPr="00B73EB2">
        <w:rPr>
          <w:rFonts w:ascii="Times New Roman" w:hAnsi="Times New Roman" w:cs="Times New Roman"/>
          <w:bCs/>
          <w:spacing w:val="2"/>
          <w:sz w:val="28"/>
          <w:szCs w:val="28"/>
        </w:rPr>
        <w:t xml:space="preserve">       </w:t>
      </w:r>
    </w:p>
    <w:p w14:paraId="6A681A27" w14:textId="2841A5FB" w:rsidR="00030846" w:rsidRPr="00B73EB2" w:rsidRDefault="00030846" w:rsidP="00B73EB2">
      <w:pPr>
        <w:shd w:val="clear" w:color="auto" w:fill="FFFFFF"/>
        <w:spacing w:after="0" w:line="240" w:lineRule="auto"/>
        <w:ind w:firstLine="708"/>
        <w:jc w:val="both"/>
        <w:textAlignment w:val="baseline"/>
        <w:rPr>
          <w:rFonts w:ascii="Times New Roman" w:hAnsi="Times New Roman" w:cs="Times New Roman"/>
          <w:bCs/>
          <w:spacing w:val="2"/>
          <w:sz w:val="28"/>
          <w:szCs w:val="28"/>
        </w:rPr>
      </w:pPr>
      <w:r w:rsidRPr="00B73EB2">
        <w:rPr>
          <w:rFonts w:ascii="Times New Roman" w:hAnsi="Times New Roman" w:cs="Times New Roman"/>
          <w:bCs/>
          <w:spacing w:val="2"/>
          <w:sz w:val="28"/>
          <w:szCs w:val="28"/>
        </w:rPr>
        <w:t>Постановка на учет пациента с СД2т осуществляет С</w:t>
      </w:r>
      <w:r w:rsidR="00DA4FE8" w:rsidRPr="00B73EB2">
        <w:rPr>
          <w:rFonts w:ascii="Times New Roman" w:hAnsi="Times New Roman" w:cs="Times New Roman"/>
          <w:bCs/>
          <w:spacing w:val="2"/>
          <w:sz w:val="28"/>
          <w:szCs w:val="28"/>
        </w:rPr>
        <w:t xml:space="preserve">МР ПМСП по месту прикрепления, после оформления формы </w:t>
      </w:r>
      <w:r w:rsidRPr="00B73EB2">
        <w:rPr>
          <w:rFonts w:ascii="Times New Roman" w:hAnsi="Times New Roman" w:cs="Times New Roman"/>
          <w:bCs/>
          <w:spacing w:val="2"/>
          <w:sz w:val="28"/>
          <w:szCs w:val="28"/>
        </w:rPr>
        <w:t>№ 030/у, утвержденной </w:t>
      </w:r>
      <w:hyperlink r:id="rId92" w:anchor="z1" w:history="1">
        <w:r w:rsidRPr="00B73EB2">
          <w:rPr>
            <w:rStyle w:val="details-value"/>
            <w:rFonts w:ascii="Times New Roman" w:eastAsiaTheme="majorEastAsia" w:hAnsi="Times New Roman" w:cs="Times New Roman"/>
            <w:bCs/>
            <w:spacing w:val="2"/>
            <w:sz w:val="28"/>
            <w:szCs w:val="28"/>
          </w:rPr>
          <w:t>приказом</w:t>
        </w:r>
      </w:hyperlink>
      <w:r w:rsidRPr="00B73EB2">
        <w:rPr>
          <w:rFonts w:ascii="Times New Roman" w:hAnsi="Times New Roman" w:cs="Times New Roman"/>
          <w:bCs/>
          <w:spacing w:val="2"/>
          <w:sz w:val="28"/>
          <w:szCs w:val="28"/>
        </w:rPr>
        <w:t> Министра здравоохранения Республики Казахстан от 23 ноября 2010 года № 907 "Об утверждении форм первичной медицинской документации организаций здравоохранения" (зарегистрированный в Реестре государственной регистрации нормативных правовых актов за № 6697) (далее – приказ № 907)</w:t>
      </w:r>
      <w:r w:rsidR="00DA4FE8" w:rsidRPr="00B73EB2">
        <w:rPr>
          <w:rFonts w:ascii="Times New Roman" w:hAnsi="Times New Roman" w:cs="Times New Roman"/>
          <w:bCs/>
          <w:spacing w:val="2"/>
          <w:sz w:val="28"/>
          <w:szCs w:val="28"/>
        </w:rPr>
        <w:t>.</w:t>
      </w:r>
      <w:r w:rsidRPr="00B73EB2">
        <w:rPr>
          <w:rFonts w:ascii="Times New Roman" w:hAnsi="Times New Roman" w:cs="Times New Roman"/>
          <w:bCs/>
          <w:spacing w:val="2"/>
          <w:sz w:val="28"/>
          <w:szCs w:val="28"/>
        </w:rPr>
        <w:t xml:space="preserve"> </w:t>
      </w:r>
      <w:r w:rsidR="00DA4FE8" w:rsidRPr="00B73EB2">
        <w:rPr>
          <w:rFonts w:ascii="Times New Roman" w:hAnsi="Times New Roman" w:cs="Times New Roman"/>
          <w:bCs/>
          <w:spacing w:val="2"/>
          <w:sz w:val="28"/>
          <w:szCs w:val="28"/>
        </w:rPr>
        <w:t xml:space="preserve">После СМР действует согласно указанным </w:t>
      </w:r>
      <w:r w:rsidR="008C7E5F" w:rsidRPr="00B73EB2">
        <w:rPr>
          <w:rFonts w:ascii="Times New Roman" w:hAnsi="Times New Roman" w:cs="Times New Roman"/>
          <w:bCs/>
          <w:spacing w:val="2"/>
          <w:sz w:val="28"/>
          <w:szCs w:val="28"/>
        </w:rPr>
        <w:t>правилам</w:t>
      </w:r>
      <w:r w:rsidR="00DA4FE8" w:rsidRPr="00B73EB2">
        <w:rPr>
          <w:rFonts w:ascii="Times New Roman" w:hAnsi="Times New Roman" w:cs="Times New Roman"/>
          <w:bCs/>
          <w:spacing w:val="2"/>
          <w:sz w:val="28"/>
          <w:szCs w:val="28"/>
        </w:rPr>
        <w:t xml:space="preserve"> по инструкции введения пациента.</w:t>
      </w:r>
    </w:p>
    <w:p w14:paraId="5022E761" w14:textId="12BB32A8" w:rsidR="00030846" w:rsidRPr="00B73EB2" w:rsidRDefault="00030846" w:rsidP="00B73EB2">
      <w:pPr>
        <w:shd w:val="clear" w:color="auto" w:fill="FFFFFF"/>
        <w:spacing w:after="0" w:line="240" w:lineRule="auto"/>
        <w:ind w:firstLine="708"/>
        <w:jc w:val="both"/>
        <w:textAlignment w:val="baseline"/>
        <w:rPr>
          <w:rFonts w:ascii="Times New Roman" w:hAnsi="Times New Roman" w:cs="Times New Roman"/>
          <w:bCs/>
          <w:spacing w:val="2"/>
          <w:sz w:val="28"/>
          <w:szCs w:val="28"/>
        </w:rPr>
      </w:pPr>
      <w:r w:rsidRPr="00B73EB2">
        <w:rPr>
          <w:rFonts w:ascii="Times New Roman" w:hAnsi="Times New Roman" w:cs="Times New Roman"/>
          <w:bCs/>
          <w:spacing w:val="2"/>
          <w:sz w:val="28"/>
          <w:szCs w:val="28"/>
        </w:rPr>
        <w:t>   При необходимости привлекаются социальные работники, психологи и специалисты кабинета ЗОЖ.  Мониторинг выполнения лечения осуществляет СМР. При постановке на учет пациентов с СД2т согласно </w:t>
      </w:r>
      <w:hyperlink r:id="rId93" w:anchor="z7" w:history="1">
        <w:r w:rsidRPr="00B73EB2">
          <w:rPr>
            <w:rStyle w:val="details-value"/>
            <w:rFonts w:ascii="Times New Roman" w:eastAsiaTheme="majorEastAsia" w:hAnsi="Times New Roman" w:cs="Times New Roman"/>
            <w:bCs/>
            <w:spacing w:val="2"/>
            <w:sz w:val="28"/>
            <w:szCs w:val="28"/>
          </w:rPr>
          <w:t>Приказу 626</w:t>
        </w:r>
      </w:hyperlink>
      <w:r w:rsidRPr="00B73EB2">
        <w:rPr>
          <w:rFonts w:ascii="Times New Roman" w:hAnsi="Times New Roman" w:cs="Times New Roman"/>
          <w:bCs/>
          <w:spacing w:val="2"/>
          <w:sz w:val="28"/>
          <w:szCs w:val="28"/>
        </w:rPr>
        <w:t xml:space="preserve"> врач ПМСП проводит первичный осмотр пациента и назначает лечение в соответствии с рекомендациями профильного специалиста- эндокринолога, оказавшего КДП.      </w:t>
      </w:r>
    </w:p>
    <w:p w14:paraId="661366A7" w14:textId="19208869" w:rsidR="00030846" w:rsidRPr="00B73EB2" w:rsidRDefault="007770D5" w:rsidP="00B73EB2">
      <w:pPr>
        <w:shd w:val="clear" w:color="auto" w:fill="FFFFFF"/>
        <w:spacing w:after="0" w:line="240" w:lineRule="auto"/>
        <w:ind w:firstLine="708"/>
        <w:jc w:val="both"/>
        <w:textAlignment w:val="baseline"/>
        <w:rPr>
          <w:rFonts w:ascii="Times New Roman" w:hAnsi="Times New Roman" w:cs="Times New Roman"/>
          <w:bCs/>
          <w:spacing w:val="2"/>
          <w:sz w:val="28"/>
          <w:szCs w:val="28"/>
        </w:rPr>
      </w:pPr>
      <w:r w:rsidRPr="00B73EB2">
        <w:rPr>
          <w:rFonts w:ascii="Times New Roman" w:hAnsi="Times New Roman" w:cs="Times New Roman"/>
          <w:bCs/>
          <w:spacing w:val="2"/>
          <w:sz w:val="28"/>
          <w:szCs w:val="28"/>
        </w:rPr>
        <w:t xml:space="preserve">Оформление надлежащих документов проводит ВОП, для направления установления инвалидности в МСЭ, </w:t>
      </w:r>
      <w:r w:rsidR="00030846" w:rsidRPr="00B73EB2">
        <w:rPr>
          <w:rFonts w:ascii="Times New Roman" w:hAnsi="Times New Roman" w:cs="Times New Roman"/>
          <w:bCs/>
          <w:spacing w:val="2"/>
          <w:sz w:val="28"/>
          <w:szCs w:val="28"/>
        </w:rPr>
        <w:t>в соответствии с </w:t>
      </w:r>
      <w:hyperlink r:id="rId94" w:anchor="z20" w:history="1">
        <w:r w:rsidR="00030846" w:rsidRPr="00B73EB2">
          <w:rPr>
            <w:rStyle w:val="details-value"/>
            <w:rFonts w:ascii="Times New Roman" w:eastAsiaTheme="majorEastAsia" w:hAnsi="Times New Roman" w:cs="Times New Roman"/>
            <w:bCs/>
            <w:spacing w:val="2"/>
            <w:sz w:val="28"/>
            <w:szCs w:val="28"/>
          </w:rPr>
          <w:t>Правилами</w:t>
        </w:r>
      </w:hyperlink>
      <w:r w:rsidR="00030846" w:rsidRPr="00B73EB2">
        <w:rPr>
          <w:rFonts w:ascii="Times New Roman" w:hAnsi="Times New Roman" w:cs="Times New Roman"/>
          <w:bCs/>
          <w:spacing w:val="2"/>
          <w:sz w:val="28"/>
          <w:szCs w:val="28"/>
        </w:rPr>
        <w:t> проведения медико-социальной экспертизы, утвержденными приказом Министра здравоохранения и социального развития Республики Казахс</w:t>
      </w:r>
      <w:r w:rsidRPr="00B73EB2">
        <w:rPr>
          <w:rFonts w:ascii="Times New Roman" w:hAnsi="Times New Roman" w:cs="Times New Roman"/>
          <w:bCs/>
          <w:spacing w:val="2"/>
          <w:sz w:val="28"/>
          <w:szCs w:val="28"/>
        </w:rPr>
        <w:t>тан от 30 января 2015 года № 44.</w:t>
      </w:r>
    </w:p>
    <w:p w14:paraId="11561386" w14:textId="51D7600C" w:rsidR="00030846" w:rsidRPr="00B73EB2" w:rsidRDefault="007770D5" w:rsidP="00B73EB2">
      <w:pPr>
        <w:shd w:val="clear" w:color="auto" w:fill="FFFFFF"/>
        <w:spacing w:after="0" w:line="240" w:lineRule="auto"/>
        <w:ind w:firstLine="708"/>
        <w:jc w:val="both"/>
        <w:textAlignment w:val="baseline"/>
        <w:rPr>
          <w:rFonts w:ascii="Times New Roman" w:hAnsi="Times New Roman" w:cs="Times New Roman"/>
          <w:bCs/>
          <w:spacing w:val="2"/>
          <w:sz w:val="28"/>
          <w:szCs w:val="28"/>
        </w:rPr>
      </w:pPr>
      <w:r w:rsidRPr="00B73EB2">
        <w:rPr>
          <w:rFonts w:ascii="Times New Roman" w:hAnsi="Times New Roman" w:cs="Times New Roman"/>
          <w:bCs/>
          <w:spacing w:val="2"/>
          <w:sz w:val="28"/>
          <w:szCs w:val="28"/>
        </w:rPr>
        <w:t>М</w:t>
      </w:r>
      <w:r w:rsidR="00030846" w:rsidRPr="00B73EB2">
        <w:rPr>
          <w:rFonts w:ascii="Times New Roman" w:hAnsi="Times New Roman" w:cs="Times New Roman"/>
          <w:bCs/>
          <w:spacing w:val="2"/>
          <w:sz w:val="28"/>
          <w:szCs w:val="28"/>
        </w:rPr>
        <w:t>едицинскую реабилитацию провод</w:t>
      </w:r>
      <w:r w:rsidRPr="00B73EB2">
        <w:rPr>
          <w:rFonts w:ascii="Times New Roman" w:hAnsi="Times New Roman" w:cs="Times New Roman"/>
          <w:bCs/>
          <w:spacing w:val="2"/>
          <w:sz w:val="28"/>
          <w:szCs w:val="28"/>
        </w:rPr>
        <w:t>ят</w:t>
      </w:r>
      <w:r w:rsidR="00030846" w:rsidRPr="00B73EB2">
        <w:rPr>
          <w:rFonts w:ascii="Times New Roman" w:hAnsi="Times New Roman" w:cs="Times New Roman"/>
          <w:bCs/>
          <w:spacing w:val="2"/>
          <w:sz w:val="28"/>
          <w:szCs w:val="28"/>
        </w:rPr>
        <w:t xml:space="preserve"> согласно</w:t>
      </w:r>
      <w:r w:rsidR="00732C15">
        <w:rPr>
          <w:rFonts w:ascii="Times New Roman" w:hAnsi="Times New Roman" w:cs="Times New Roman"/>
          <w:bCs/>
          <w:spacing w:val="2"/>
          <w:sz w:val="28"/>
          <w:szCs w:val="28"/>
        </w:rPr>
        <w:t xml:space="preserve"> </w:t>
      </w:r>
      <w:hyperlink r:id="rId95" w:anchor="z10" w:history="1">
        <w:r w:rsidR="00030846" w:rsidRPr="00B73EB2">
          <w:rPr>
            <w:rStyle w:val="details-value"/>
            <w:rFonts w:ascii="Times New Roman" w:eastAsiaTheme="majorEastAsia" w:hAnsi="Times New Roman" w:cs="Times New Roman"/>
            <w:bCs/>
            <w:spacing w:val="2"/>
            <w:sz w:val="28"/>
            <w:szCs w:val="28"/>
          </w:rPr>
          <w:t>стандарту</w:t>
        </w:r>
      </w:hyperlink>
      <w:r w:rsidR="00732C15">
        <w:rPr>
          <w:rFonts w:ascii="Times New Roman" w:hAnsi="Times New Roman" w:cs="Times New Roman"/>
          <w:bCs/>
          <w:spacing w:val="2"/>
          <w:sz w:val="28"/>
          <w:szCs w:val="28"/>
        </w:rPr>
        <w:t xml:space="preserve"> </w:t>
      </w:r>
      <w:r w:rsidR="00030846" w:rsidRPr="00B73EB2">
        <w:rPr>
          <w:rFonts w:ascii="Times New Roman" w:hAnsi="Times New Roman" w:cs="Times New Roman"/>
          <w:bCs/>
          <w:spacing w:val="2"/>
          <w:sz w:val="28"/>
          <w:szCs w:val="28"/>
        </w:rPr>
        <w:t>организации оказания медицинской реабилитации населению Республики Казахстан, утвержденному приказом Министра здравоохранения Республики Казахста</w:t>
      </w:r>
      <w:r w:rsidRPr="00B73EB2">
        <w:rPr>
          <w:rFonts w:ascii="Times New Roman" w:hAnsi="Times New Roman" w:cs="Times New Roman"/>
          <w:bCs/>
          <w:spacing w:val="2"/>
          <w:sz w:val="28"/>
          <w:szCs w:val="28"/>
        </w:rPr>
        <w:t>н от 27 декабря 2013 года № 759.</w:t>
      </w:r>
    </w:p>
    <w:p w14:paraId="2C4120EF" w14:textId="3B6BCE10" w:rsidR="00030846" w:rsidRPr="00B73EB2" w:rsidRDefault="00030846" w:rsidP="00B73EB2">
      <w:pPr>
        <w:shd w:val="clear" w:color="auto" w:fill="FFFFFF"/>
        <w:spacing w:after="0" w:line="240" w:lineRule="auto"/>
        <w:ind w:firstLine="708"/>
        <w:jc w:val="both"/>
        <w:textAlignment w:val="baseline"/>
        <w:rPr>
          <w:rFonts w:ascii="Times New Roman" w:hAnsi="Times New Roman" w:cs="Times New Roman"/>
          <w:bCs/>
          <w:spacing w:val="2"/>
          <w:sz w:val="28"/>
          <w:szCs w:val="28"/>
        </w:rPr>
      </w:pPr>
      <w:r w:rsidRPr="00B73EB2">
        <w:rPr>
          <w:rFonts w:ascii="Times New Roman" w:hAnsi="Times New Roman" w:cs="Times New Roman"/>
          <w:bCs/>
          <w:spacing w:val="2"/>
          <w:sz w:val="28"/>
          <w:szCs w:val="28"/>
        </w:rPr>
        <w:t>Стационарозамещающее и стационарное лечение рекомендуется при выявлении признаков обострения и прогрессирования заболевания, наличии показаний для медицинского наблюд</w:t>
      </w:r>
      <w:r w:rsidR="0082513C" w:rsidRPr="00B73EB2">
        <w:rPr>
          <w:rFonts w:ascii="Times New Roman" w:hAnsi="Times New Roman" w:cs="Times New Roman"/>
          <w:bCs/>
          <w:spacing w:val="2"/>
          <w:sz w:val="28"/>
          <w:szCs w:val="28"/>
        </w:rPr>
        <w:t>ения в стационарных условиях.</w:t>
      </w:r>
    </w:p>
    <w:p w14:paraId="5999384E" w14:textId="31CD1A26" w:rsidR="00030846" w:rsidRPr="00B73EB2" w:rsidRDefault="00030846" w:rsidP="00B73EB2">
      <w:pPr>
        <w:shd w:val="clear" w:color="auto" w:fill="FFFFFF"/>
        <w:spacing w:after="0" w:line="240" w:lineRule="auto"/>
        <w:ind w:firstLine="708"/>
        <w:jc w:val="both"/>
        <w:textAlignment w:val="baseline"/>
        <w:rPr>
          <w:rFonts w:ascii="Times New Roman" w:hAnsi="Times New Roman" w:cs="Times New Roman"/>
          <w:bCs/>
          <w:spacing w:val="2"/>
          <w:sz w:val="28"/>
          <w:szCs w:val="28"/>
        </w:rPr>
      </w:pPr>
      <w:r w:rsidRPr="00B73EB2">
        <w:rPr>
          <w:rFonts w:ascii="Times New Roman" w:hAnsi="Times New Roman" w:cs="Times New Roman"/>
          <w:bCs/>
          <w:spacing w:val="2"/>
          <w:sz w:val="28"/>
          <w:szCs w:val="28"/>
        </w:rPr>
        <w:t>Эндокринолог представляет ВОПу медицинское заключение в котором указывает результаты проведенного обследования и рекомендации по дальнейшему ведению пациента</w:t>
      </w:r>
      <w:r w:rsidR="0082513C" w:rsidRPr="00B73EB2">
        <w:rPr>
          <w:rFonts w:ascii="Times New Roman" w:hAnsi="Times New Roman" w:cs="Times New Roman"/>
          <w:bCs/>
          <w:spacing w:val="2"/>
          <w:sz w:val="28"/>
          <w:szCs w:val="28"/>
        </w:rPr>
        <w:t>.</w:t>
      </w:r>
    </w:p>
    <w:p w14:paraId="3359D345" w14:textId="32930051" w:rsidR="00030846" w:rsidRDefault="00030846" w:rsidP="004135FE">
      <w:pPr>
        <w:shd w:val="clear" w:color="auto" w:fill="FFFFFF"/>
        <w:spacing w:after="0" w:line="240" w:lineRule="auto"/>
        <w:jc w:val="both"/>
        <w:textAlignment w:val="baseline"/>
        <w:rPr>
          <w:rFonts w:ascii="Times New Roman" w:hAnsi="Times New Roman" w:cs="Times New Roman"/>
          <w:spacing w:val="2"/>
          <w:sz w:val="28"/>
          <w:szCs w:val="28"/>
        </w:rPr>
      </w:pPr>
      <w:r w:rsidRPr="004135FE">
        <w:rPr>
          <w:rFonts w:ascii="Times New Roman" w:hAnsi="Times New Roman" w:cs="Times New Roman"/>
          <w:spacing w:val="2"/>
          <w:sz w:val="28"/>
          <w:szCs w:val="28"/>
        </w:rPr>
        <w:t xml:space="preserve">             </w:t>
      </w:r>
    </w:p>
    <w:p w14:paraId="4C80007C" w14:textId="77777777" w:rsidR="00B73EB2" w:rsidRPr="004135FE" w:rsidRDefault="00B73EB2" w:rsidP="004135FE">
      <w:pPr>
        <w:shd w:val="clear" w:color="auto" w:fill="FFFFFF"/>
        <w:spacing w:after="0" w:line="240" w:lineRule="auto"/>
        <w:jc w:val="both"/>
        <w:textAlignment w:val="baseline"/>
        <w:rPr>
          <w:rFonts w:ascii="Times New Roman" w:hAnsi="Times New Roman" w:cs="Times New Roman"/>
          <w:spacing w:val="2"/>
          <w:sz w:val="28"/>
          <w:szCs w:val="28"/>
        </w:rPr>
      </w:pPr>
    </w:p>
    <w:p w14:paraId="712C866B" w14:textId="5E8A57AF" w:rsidR="00030846" w:rsidRPr="00B73EB2" w:rsidRDefault="00114B7D" w:rsidP="00114B7D">
      <w:pPr>
        <w:pStyle w:val="a3"/>
        <w:numPr>
          <w:ilvl w:val="2"/>
          <w:numId w:val="96"/>
        </w:numPr>
        <w:shd w:val="clear" w:color="auto" w:fill="FFFFFF"/>
        <w:spacing w:after="0" w:line="240" w:lineRule="auto"/>
        <w:ind w:hanging="579"/>
        <w:textAlignment w:val="baseline"/>
        <w:rPr>
          <w:rFonts w:ascii="Times New Roman" w:hAnsi="Times New Roman" w:cs="Times New Roman"/>
          <w:bCs/>
          <w:spacing w:val="2"/>
          <w:sz w:val="28"/>
          <w:szCs w:val="28"/>
        </w:rPr>
      </w:pPr>
      <w:r>
        <w:rPr>
          <w:rFonts w:ascii="Times New Roman" w:hAnsi="Times New Roman" w:cs="Times New Roman"/>
          <w:bCs/>
          <w:spacing w:val="2"/>
          <w:sz w:val="28"/>
          <w:szCs w:val="28"/>
        </w:rPr>
        <w:t xml:space="preserve"> </w:t>
      </w:r>
      <w:r w:rsidR="00030846" w:rsidRPr="00B73EB2">
        <w:rPr>
          <w:rFonts w:ascii="Times New Roman" w:hAnsi="Times New Roman" w:cs="Times New Roman"/>
          <w:bCs/>
          <w:spacing w:val="2"/>
          <w:sz w:val="28"/>
          <w:szCs w:val="28"/>
        </w:rPr>
        <w:t xml:space="preserve">Существующие </w:t>
      </w:r>
      <w:r w:rsidR="003612DA" w:rsidRPr="00B73EB2">
        <w:rPr>
          <w:rFonts w:ascii="Times New Roman" w:hAnsi="Times New Roman" w:cs="Times New Roman"/>
          <w:bCs/>
          <w:spacing w:val="2"/>
          <w:sz w:val="28"/>
          <w:szCs w:val="28"/>
        </w:rPr>
        <w:t>модели оказания помощи при СД2т</w:t>
      </w:r>
    </w:p>
    <w:p w14:paraId="3B4EC354" w14:textId="77777777" w:rsidR="00584460" w:rsidRPr="00B73EB2" w:rsidRDefault="00030846" w:rsidP="004135FE">
      <w:pPr>
        <w:shd w:val="clear" w:color="auto" w:fill="FFFFFF"/>
        <w:spacing w:after="0" w:line="240" w:lineRule="auto"/>
        <w:ind w:firstLine="708"/>
        <w:jc w:val="both"/>
        <w:textAlignment w:val="baseline"/>
        <w:rPr>
          <w:rFonts w:ascii="Times New Roman" w:hAnsi="Times New Roman" w:cs="Times New Roman"/>
          <w:bCs/>
          <w:spacing w:val="2"/>
          <w:sz w:val="28"/>
          <w:szCs w:val="28"/>
        </w:rPr>
      </w:pPr>
      <w:r w:rsidRPr="00B73EB2">
        <w:rPr>
          <w:rFonts w:ascii="Times New Roman" w:hAnsi="Times New Roman" w:cs="Times New Roman"/>
          <w:bCs/>
          <w:spacing w:val="2"/>
          <w:sz w:val="28"/>
          <w:szCs w:val="28"/>
        </w:rPr>
        <w:t xml:space="preserve">Модель оказания помощи ПУЗ при СД2т. </w:t>
      </w:r>
    </w:p>
    <w:p w14:paraId="44115419" w14:textId="202B61AC" w:rsidR="006D583A" w:rsidRPr="00B73EB2" w:rsidRDefault="00030846" w:rsidP="004135FE">
      <w:pPr>
        <w:shd w:val="clear" w:color="auto" w:fill="FFFFFF"/>
        <w:spacing w:after="0" w:line="240" w:lineRule="auto"/>
        <w:ind w:firstLine="708"/>
        <w:jc w:val="both"/>
        <w:textAlignment w:val="baseline"/>
        <w:rPr>
          <w:rFonts w:ascii="Times New Roman" w:hAnsi="Times New Roman" w:cs="Times New Roman"/>
          <w:bCs/>
          <w:sz w:val="28"/>
          <w:szCs w:val="28"/>
        </w:rPr>
      </w:pPr>
      <w:r w:rsidRPr="00B73EB2">
        <w:rPr>
          <w:rFonts w:ascii="Times New Roman" w:hAnsi="Times New Roman" w:cs="Times New Roman"/>
          <w:bCs/>
          <w:sz w:val="28"/>
          <w:szCs w:val="28"/>
        </w:rPr>
        <w:t>Приказ о диспансеризации был преобразован в программу</w:t>
      </w:r>
      <w:r w:rsidR="006D583A" w:rsidRPr="00B73EB2">
        <w:rPr>
          <w:rFonts w:ascii="Times New Roman" w:hAnsi="Times New Roman" w:cs="Times New Roman"/>
          <w:bCs/>
          <w:sz w:val="28"/>
          <w:szCs w:val="28"/>
        </w:rPr>
        <w:t xml:space="preserve"> управления заболеваниями.</w:t>
      </w:r>
    </w:p>
    <w:p w14:paraId="3ED45571" w14:textId="24421A56" w:rsidR="00030846" w:rsidRPr="00B73EB2" w:rsidRDefault="006D583A" w:rsidP="004135FE">
      <w:pPr>
        <w:widowControl w:val="0"/>
        <w:autoSpaceDE w:val="0"/>
        <w:autoSpaceDN w:val="0"/>
        <w:adjustRightInd w:val="0"/>
        <w:spacing w:after="0" w:line="240" w:lineRule="auto"/>
        <w:ind w:firstLine="708"/>
        <w:jc w:val="both"/>
        <w:rPr>
          <w:rFonts w:ascii="Times New Roman" w:hAnsi="Times New Roman" w:cs="Times New Roman"/>
          <w:bCs/>
          <w:sz w:val="28"/>
          <w:szCs w:val="28"/>
        </w:rPr>
      </w:pPr>
      <w:r w:rsidRPr="00B73EB2">
        <w:rPr>
          <w:rFonts w:ascii="Times New Roman" w:hAnsi="Times New Roman" w:cs="Times New Roman"/>
          <w:bCs/>
          <w:sz w:val="28"/>
          <w:szCs w:val="28"/>
        </w:rPr>
        <w:t>ПУЗ была успешно внедрена в ряде Европейских стран.</w:t>
      </w:r>
      <w:r w:rsidRPr="00B73EB2">
        <w:rPr>
          <w:bCs/>
          <w:sz w:val="28"/>
          <w:szCs w:val="28"/>
        </w:rPr>
        <w:t xml:space="preserve"> </w:t>
      </w:r>
      <w:r w:rsidR="00030846" w:rsidRPr="00B73EB2">
        <w:rPr>
          <w:rFonts w:ascii="Times New Roman" w:hAnsi="Times New Roman" w:cs="Times New Roman"/>
          <w:bCs/>
          <w:sz w:val="28"/>
          <w:szCs w:val="28"/>
        </w:rPr>
        <w:t xml:space="preserve">Это </w:t>
      </w:r>
      <w:r w:rsidR="00030846" w:rsidRPr="00B73EB2">
        <w:rPr>
          <w:rFonts w:ascii="Times New Roman" w:eastAsiaTheme="minorHAnsi" w:hAnsi="Times New Roman" w:cs="Times New Roman"/>
          <w:bCs/>
          <w:sz w:val="28"/>
          <w:szCs w:val="28"/>
          <w:lang w:eastAsia="en-US"/>
        </w:rPr>
        <w:t>одно из напра</w:t>
      </w:r>
      <w:r w:rsidR="00736157" w:rsidRPr="00B73EB2">
        <w:rPr>
          <w:rFonts w:ascii="Times New Roman" w:eastAsiaTheme="minorHAnsi" w:hAnsi="Times New Roman" w:cs="Times New Roman"/>
          <w:bCs/>
          <w:sz w:val="28"/>
          <w:szCs w:val="28"/>
          <w:lang w:eastAsia="en-US"/>
        </w:rPr>
        <w:t>влений сотрудничества с ВОЗ</w:t>
      </w:r>
      <w:r w:rsidR="00030846" w:rsidRPr="00B73EB2">
        <w:rPr>
          <w:rFonts w:ascii="Times New Roman" w:eastAsiaTheme="minorHAnsi" w:hAnsi="Times New Roman" w:cs="Times New Roman"/>
          <w:bCs/>
          <w:sz w:val="28"/>
          <w:szCs w:val="28"/>
          <w:lang w:eastAsia="en-US"/>
        </w:rPr>
        <w:t>,</w:t>
      </w:r>
      <w:r w:rsidR="00030846" w:rsidRPr="00B73EB2">
        <w:rPr>
          <w:rFonts w:ascii="Times New Roman" w:hAnsi="Times New Roman" w:cs="Times New Roman"/>
          <w:bCs/>
          <w:sz w:val="28"/>
          <w:szCs w:val="28"/>
        </w:rPr>
        <w:t xml:space="preserve"> для повышения эффективности оказания медицинских услуг, акцентируясь на здоровье населения с общими заболеваниями, а не на отдельные лица. Запланированный проактивный уход и поддержка самоменеджмента является отличительными чертами данной модели медицинской помощи, состоящий из 3-х уровневой пирамиды. В дополнение к этим атрибутам имеется система, которая поддерживается измерениям целевых индикаторов качества. ПУЗ основан на многопрофильный ПМСП для достижения лучших исходов, акцент на профилактику, потребностях населения, ориентиро</w:t>
      </w:r>
      <w:r w:rsidR="00736157" w:rsidRPr="00B73EB2">
        <w:rPr>
          <w:rFonts w:ascii="Times New Roman" w:hAnsi="Times New Roman" w:cs="Times New Roman"/>
          <w:bCs/>
          <w:sz w:val="28"/>
          <w:szCs w:val="28"/>
        </w:rPr>
        <w:t>ван на пациента и его семьи [195</w:t>
      </w:r>
      <w:r w:rsidR="00030846" w:rsidRPr="00B73EB2">
        <w:rPr>
          <w:rFonts w:ascii="Times New Roman" w:hAnsi="Times New Roman" w:cs="Times New Roman"/>
          <w:bCs/>
          <w:sz w:val="28"/>
          <w:szCs w:val="28"/>
        </w:rPr>
        <w:t xml:space="preserve">]. </w:t>
      </w:r>
    </w:p>
    <w:p w14:paraId="60E69B7E" w14:textId="15FCFDF6" w:rsidR="00030846" w:rsidRPr="004135FE" w:rsidRDefault="006D583A" w:rsidP="004135FE">
      <w:pPr>
        <w:pStyle w:val="af"/>
        <w:shd w:val="clear" w:color="auto" w:fill="FFFFFF"/>
        <w:spacing w:before="0" w:beforeAutospacing="0" w:after="0" w:afterAutospacing="0"/>
        <w:ind w:firstLine="708"/>
        <w:jc w:val="both"/>
        <w:textAlignment w:val="top"/>
        <w:rPr>
          <w:sz w:val="28"/>
          <w:szCs w:val="28"/>
        </w:rPr>
      </w:pPr>
      <w:r w:rsidRPr="00B73EB2">
        <w:rPr>
          <w:bCs/>
          <w:sz w:val="28"/>
          <w:szCs w:val="28"/>
        </w:rPr>
        <w:t xml:space="preserve">В нашей стране ПУЗ внедрена в 2013г. </w:t>
      </w:r>
      <w:r w:rsidR="00030846" w:rsidRPr="00B73EB2">
        <w:rPr>
          <w:bCs/>
          <w:sz w:val="28"/>
          <w:szCs w:val="28"/>
        </w:rPr>
        <w:t>Контроль качества выполнения программы рассматривается на уровне Национального координационного совета РК, просматриваются результаты и промежуточные отчеты каждого региона. Выявляет препятствия на пути к внедрению, основные причины проблем и идеи по улучшению. Рассматривает стратегические вопросы, в том числе: нормативные положения, стратегии по охв</w:t>
      </w:r>
      <w:r w:rsidR="00030846" w:rsidRPr="004135FE">
        <w:rPr>
          <w:sz w:val="28"/>
          <w:szCs w:val="28"/>
        </w:rPr>
        <w:t xml:space="preserve">ату, разработка стимулов и схем оплат, распределение систем (например, в отношении лекарственных препаратов), стратегия в отношении информационных технологий (в особенности, электронных медицинских записей в ПМСП). </w:t>
      </w:r>
    </w:p>
    <w:p w14:paraId="09E820F2" w14:textId="77777777" w:rsidR="00030846" w:rsidRPr="004135FE" w:rsidRDefault="00030846" w:rsidP="00732C15">
      <w:pPr>
        <w:widowControl w:val="0"/>
        <w:autoSpaceDE w:val="0"/>
        <w:autoSpaceDN w:val="0"/>
        <w:adjustRightInd w:val="0"/>
        <w:spacing w:after="0" w:line="240" w:lineRule="auto"/>
        <w:jc w:val="center"/>
        <w:rPr>
          <w:rFonts w:ascii="Times New Roman" w:hAnsi="Times New Roman" w:cs="Times New Roman"/>
          <w:bCs/>
          <w:sz w:val="28"/>
          <w:szCs w:val="28"/>
        </w:rPr>
      </w:pPr>
      <w:r w:rsidRPr="004135FE">
        <w:rPr>
          <w:rFonts w:ascii="Times New Roman" w:hAnsi="Times New Roman" w:cs="Times New Roman"/>
          <w:noProof/>
          <w:sz w:val="28"/>
          <w:szCs w:val="28"/>
        </w:rPr>
        <w:drawing>
          <wp:inline distT="0" distB="0" distL="0" distR="0" wp14:anchorId="543AA118" wp14:editId="1CEBE83E">
            <wp:extent cx="5888019" cy="3505200"/>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20107" t="26085" r="21538" b="9102"/>
                    <a:stretch/>
                  </pic:blipFill>
                  <pic:spPr bwMode="auto">
                    <a:xfrm>
                      <a:off x="0" y="0"/>
                      <a:ext cx="5898300" cy="3511320"/>
                    </a:xfrm>
                    <a:prstGeom prst="rect">
                      <a:avLst/>
                    </a:prstGeom>
                    <a:ln>
                      <a:noFill/>
                    </a:ln>
                    <a:extLst>
                      <a:ext uri="{53640926-AAD7-44D8-BBD7-CCE9431645EC}">
                        <a14:shadowObscured xmlns:a14="http://schemas.microsoft.com/office/drawing/2010/main"/>
                      </a:ext>
                    </a:extLst>
                  </pic:spPr>
                </pic:pic>
              </a:graphicData>
            </a:graphic>
          </wp:inline>
        </w:drawing>
      </w:r>
    </w:p>
    <w:p w14:paraId="3163EFF4" w14:textId="77777777" w:rsidR="00732C15" w:rsidRDefault="00732C15" w:rsidP="00732C15">
      <w:pPr>
        <w:autoSpaceDE w:val="0"/>
        <w:autoSpaceDN w:val="0"/>
        <w:adjustRightInd w:val="0"/>
        <w:spacing w:after="0" w:line="240" w:lineRule="auto"/>
        <w:jc w:val="center"/>
        <w:rPr>
          <w:rFonts w:ascii="Times New Roman" w:hAnsi="Times New Roman" w:cs="Times New Roman"/>
          <w:bCs/>
          <w:sz w:val="28"/>
          <w:szCs w:val="28"/>
        </w:rPr>
      </w:pPr>
    </w:p>
    <w:p w14:paraId="2944942B" w14:textId="213961A6" w:rsidR="00030846" w:rsidRPr="004135FE" w:rsidRDefault="00030846" w:rsidP="00732C15">
      <w:pPr>
        <w:autoSpaceDE w:val="0"/>
        <w:autoSpaceDN w:val="0"/>
        <w:adjustRightInd w:val="0"/>
        <w:spacing w:after="0" w:line="240" w:lineRule="auto"/>
        <w:jc w:val="center"/>
        <w:rPr>
          <w:rFonts w:ascii="Times New Roman" w:hAnsi="Times New Roman" w:cs="Times New Roman"/>
          <w:bCs/>
          <w:sz w:val="28"/>
          <w:szCs w:val="28"/>
        </w:rPr>
      </w:pPr>
      <w:r w:rsidRPr="004135FE">
        <w:rPr>
          <w:rFonts w:ascii="Times New Roman" w:hAnsi="Times New Roman" w:cs="Times New Roman"/>
          <w:bCs/>
          <w:sz w:val="28"/>
          <w:szCs w:val="28"/>
        </w:rPr>
        <w:t>Рисунок 61 – Модель оказания помощи при ХНИЗ по программе ПУЗ</w:t>
      </w:r>
    </w:p>
    <w:p w14:paraId="6813C102" w14:textId="71730503" w:rsidR="00030846" w:rsidRPr="004135FE" w:rsidRDefault="00030846" w:rsidP="00B126AE">
      <w:pPr>
        <w:widowControl w:val="0"/>
        <w:autoSpaceDE w:val="0"/>
        <w:autoSpaceDN w:val="0"/>
        <w:adjustRightInd w:val="0"/>
        <w:spacing w:after="0" w:line="240" w:lineRule="auto"/>
        <w:ind w:firstLine="708"/>
        <w:jc w:val="both"/>
        <w:rPr>
          <w:rFonts w:ascii="Times New Roman" w:hAnsi="Times New Roman" w:cs="Times New Roman"/>
          <w:bCs/>
          <w:sz w:val="28"/>
          <w:szCs w:val="28"/>
        </w:rPr>
      </w:pPr>
      <w:r w:rsidRPr="004135FE">
        <w:rPr>
          <w:rFonts w:ascii="Times New Roman" w:hAnsi="Times New Roman" w:cs="Times New Roman"/>
          <w:bCs/>
          <w:sz w:val="28"/>
          <w:szCs w:val="28"/>
        </w:rPr>
        <w:t>Целями ПУЗ является лучшее удовлетворение потребностей пациентов, в индивидуальном плане и для конкретных групп пациентов, улучшение опыта медицинского ухода пациента с повышением результативности и эффективности. В отношении хронических заболеваний как СД, особой целью является снижение повторных приемов на «ок</w:t>
      </w:r>
      <w:r w:rsidR="00736157" w:rsidRPr="004135FE">
        <w:rPr>
          <w:rFonts w:ascii="Times New Roman" w:hAnsi="Times New Roman" w:cs="Times New Roman"/>
          <w:bCs/>
          <w:sz w:val="28"/>
          <w:szCs w:val="28"/>
        </w:rPr>
        <w:t>азание амбулаторной помощи» [195</w:t>
      </w:r>
      <w:r w:rsidRPr="004135FE">
        <w:rPr>
          <w:rFonts w:ascii="Times New Roman" w:hAnsi="Times New Roman" w:cs="Times New Roman"/>
          <w:bCs/>
          <w:sz w:val="28"/>
          <w:szCs w:val="28"/>
        </w:rPr>
        <w:t>].</w:t>
      </w:r>
    </w:p>
    <w:p w14:paraId="7B1679A1" w14:textId="77777777" w:rsidR="00BD5CC8" w:rsidRPr="004135FE" w:rsidRDefault="00BD5CC8" w:rsidP="00B126AE">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Ведение пациентов согласно клиническому руководству уменьшит число осложнений. Проект управления заболеваниями снизит число госпитализаций пациентов с осложнениями. Развитие информационной и коммуникационной связи между медицинским персоналом и пациентами приведет к постоянному мониторингу и улучшит мероприятия по самопомощи, что так же окажет влияние на повышение потенциала пациентов. Повысится солидарная ответственность пациентов.</w:t>
      </w:r>
    </w:p>
    <w:p w14:paraId="28451F6F" w14:textId="77777777" w:rsidR="00BD5CC8" w:rsidRPr="004135FE" w:rsidRDefault="00BD5CC8" w:rsidP="00B126AE">
      <w:pPr>
        <w:spacing w:after="0" w:line="240" w:lineRule="auto"/>
        <w:ind w:firstLine="708"/>
        <w:jc w:val="both"/>
        <w:rPr>
          <w:rFonts w:ascii="Times New Roman" w:hAnsi="Times New Roman" w:cs="Times New Roman"/>
          <w:sz w:val="28"/>
          <w:szCs w:val="28"/>
        </w:rPr>
      </w:pPr>
      <w:r w:rsidRPr="004135FE">
        <w:rPr>
          <w:rFonts w:ascii="Times New Roman" w:eastAsia="Times New Roman" w:hAnsi="Times New Roman" w:cs="Times New Roman"/>
          <w:sz w:val="28"/>
          <w:szCs w:val="28"/>
        </w:rPr>
        <w:t xml:space="preserve">По итогам 12 месяца работы в 01.01.2018 подведен отчет по ПУЗ с участием 2 837 пациентов с СД2т: </w:t>
      </w:r>
      <w:r w:rsidRPr="004135FE">
        <w:rPr>
          <w:rFonts w:ascii="Times New Roman" w:hAnsi="Times New Roman" w:cs="Times New Roman"/>
          <w:sz w:val="28"/>
          <w:szCs w:val="28"/>
        </w:rPr>
        <w:t>Удельный вес пациентов со снижением контрольного уровня гликированного гемоглобина (HbA1c ≤ 7) достигла 47%</w:t>
      </w:r>
    </w:p>
    <w:p w14:paraId="7ED3A83B" w14:textId="77777777" w:rsidR="00BD5CC8" w:rsidRPr="004135FE" w:rsidRDefault="00BD5CC8" w:rsidP="00B126AE">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 xml:space="preserve">[количество пациентов, участвующих в ПУЗ, с сахарным диабетом с уровнем гликированного гемоглобина ≤ 7] * 100% / [общее количество пациентов с сахарным диабетом, участвующих в ПУЗ] </w:t>
      </w:r>
    </w:p>
    <w:p w14:paraId="18E9E782" w14:textId="77777777" w:rsidR="00BD5CC8" w:rsidRPr="004135FE" w:rsidRDefault="00BD5CC8" w:rsidP="00B126AE">
      <w:pPr>
        <w:spacing w:after="0" w:line="240" w:lineRule="auto"/>
        <w:ind w:firstLine="708"/>
        <w:jc w:val="both"/>
        <w:rPr>
          <w:rFonts w:ascii="Times New Roman" w:eastAsiaTheme="minorHAnsi" w:hAnsi="Times New Roman" w:cs="Times New Roman"/>
          <w:sz w:val="28"/>
          <w:szCs w:val="28"/>
          <w:lang w:eastAsia="en-US"/>
        </w:rPr>
      </w:pPr>
      <w:r w:rsidRPr="004135FE">
        <w:rPr>
          <w:rFonts w:ascii="Times New Roman" w:eastAsia="Times New Roman" w:hAnsi="Times New Roman" w:cs="Times New Roman"/>
          <w:sz w:val="28"/>
          <w:szCs w:val="28"/>
        </w:rPr>
        <w:t xml:space="preserve">Количество обученных специалистов МО, вовлеченных в ПУЗ 878. </w:t>
      </w:r>
    </w:p>
    <w:p w14:paraId="6063144E" w14:textId="77777777" w:rsidR="00BD5CC8" w:rsidRPr="004135FE" w:rsidRDefault="00BD5CC8" w:rsidP="00B126AE">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Для эффективного внедрения ПУЗ было необходимо постоянно проводить обучение медработников ПМСП и других уровней. Так же, увеличить масштабы профилактической работы с пациентами (межсекторальные программы).</w:t>
      </w:r>
    </w:p>
    <w:p w14:paraId="2FC5FCD2" w14:textId="77777777" w:rsidR="00BD5CC8" w:rsidRPr="004135FE" w:rsidRDefault="00BD5CC8" w:rsidP="004135FE">
      <w:pPr>
        <w:widowControl w:val="0"/>
        <w:autoSpaceDE w:val="0"/>
        <w:autoSpaceDN w:val="0"/>
        <w:adjustRightInd w:val="0"/>
        <w:spacing w:after="0" w:line="240" w:lineRule="auto"/>
        <w:ind w:firstLine="708"/>
        <w:jc w:val="both"/>
        <w:rPr>
          <w:rFonts w:ascii="Times New Roman" w:hAnsi="Times New Roman" w:cs="Times New Roman"/>
          <w:bCs/>
          <w:sz w:val="28"/>
          <w:szCs w:val="28"/>
        </w:rPr>
      </w:pPr>
    </w:p>
    <w:p w14:paraId="54EF775C" w14:textId="77777777" w:rsidR="00030846" w:rsidRPr="004135FE" w:rsidRDefault="00030846" w:rsidP="004135FE">
      <w:pPr>
        <w:autoSpaceDE w:val="0"/>
        <w:autoSpaceDN w:val="0"/>
        <w:adjustRightInd w:val="0"/>
        <w:spacing w:after="0" w:line="240" w:lineRule="auto"/>
        <w:jc w:val="both"/>
        <w:rPr>
          <w:rFonts w:ascii="Times New Roman" w:eastAsiaTheme="minorHAnsi" w:hAnsi="Times New Roman" w:cs="Times New Roman"/>
          <w:b/>
          <w:caps/>
          <w:sz w:val="28"/>
          <w:szCs w:val="28"/>
          <w:lang w:eastAsia="en-US"/>
        </w:rPr>
      </w:pPr>
      <w:r w:rsidRPr="004135FE">
        <w:rPr>
          <w:rFonts w:ascii="Times New Roman" w:hAnsi="Times New Roman" w:cs="Times New Roman"/>
          <w:noProof/>
          <w:sz w:val="28"/>
          <w:szCs w:val="28"/>
        </w:rPr>
        <w:drawing>
          <wp:inline distT="0" distB="0" distL="0" distR="0" wp14:anchorId="7533B552" wp14:editId="1A74FA65">
            <wp:extent cx="5838177" cy="3594100"/>
            <wp:effectExtent l="0" t="0" r="0" b="635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0107" t="16673" r="21235" b="5072"/>
                    <a:stretch/>
                  </pic:blipFill>
                  <pic:spPr bwMode="auto">
                    <a:xfrm>
                      <a:off x="0" y="0"/>
                      <a:ext cx="5841768" cy="3596311"/>
                    </a:xfrm>
                    <a:prstGeom prst="rect">
                      <a:avLst/>
                    </a:prstGeom>
                    <a:ln>
                      <a:noFill/>
                    </a:ln>
                    <a:extLst>
                      <a:ext uri="{53640926-AAD7-44D8-BBD7-CCE9431645EC}">
                        <a14:shadowObscured xmlns:a14="http://schemas.microsoft.com/office/drawing/2010/main"/>
                      </a:ext>
                    </a:extLst>
                  </pic:spPr>
                </pic:pic>
              </a:graphicData>
            </a:graphic>
          </wp:inline>
        </w:drawing>
      </w:r>
    </w:p>
    <w:p w14:paraId="7A2E8AB9" w14:textId="77777777" w:rsidR="00B126AE" w:rsidRDefault="00B126AE" w:rsidP="00732C15">
      <w:pPr>
        <w:autoSpaceDE w:val="0"/>
        <w:autoSpaceDN w:val="0"/>
        <w:adjustRightInd w:val="0"/>
        <w:spacing w:after="0" w:line="240" w:lineRule="auto"/>
        <w:jc w:val="center"/>
        <w:rPr>
          <w:rFonts w:ascii="Times New Roman" w:hAnsi="Times New Roman" w:cs="Times New Roman"/>
          <w:bCs/>
          <w:sz w:val="28"/>
          <w:szCs w:val="28"/>
        </w:rPr>
      </w:pPr>
    </w:p>
    <w:p w14:paraId="01C2D653" w14:textId="51CAB0EB" w:rsidR="00030846" w:rsidRPr="004135FE" w:rsidRDefault="00B47983" w:rsidP="00732C15">
      <w:pPr>
        <w:autoSpaceDE w:val="0"/>
        <w:autoSpaceDN w:val="0"/>
        <w:adjustRightInd w:val="0"/>
        <w:spacing w:after="0" w:line="240" w:lineRule="auto"/>
        <w:jc w:val="center"/>
        <w:rPr>
          <w:rFonts w:ascii="Times New Roman" w:eastAsiaTheme="minorHAnsi" w:hAnsi="Times New Roman" w:cs="Times New Roman"/>
          <w:b/>
          <w:caps/>
          <w:sz w:val="28"/>
          <w:szCs w:val="28"/>
          <w:lang w:eastAsia="en-US"/>
        </w:rPr>
      </w:pPr>
      <w:r w:rsidRPr="004135FE">
        <w:rPr>
          <w:rFonts w:ascii="Times New Roman" w:hAnsi="Times New Roman" w:cs="Times New Roman"/>
          <w:bCs/>
          <w:sz w:val="28"/>
          <w:szCs w:val="28"/>
        </w:rPr>
        <w:t>Рисунок 6</w:t>
      </w:r>
      <w:r w:rsidR="00B270B3">
        <w:rPr>
          <w:rFonts w:ascii="Times New Roman" w:hAnsi="Times New Roman" w:cs="Times New Roman"/>
          <w:bCs/>
          <w:sz w:val="28"/>
          <w:szCs w:val="28"/>
        </w:rPr>
        <w:t>2</w:t>
      </w:r>
      <w:r w:rsidR="00030846" w:rsidRPr="004135FE">
        <w:rPr>
          <w:rFonts w:ascii="Times New Roman" w:hAnsi="Times New Roman" w:cs="Times New Roman"/>
          <w:bCs/>
          <w:sz w:val="28"/>
          <w:szCs w:val="28"/>
        </w:rPr>
        <w:t xml:space="preserve"> – Итог отчета по ПУЗ 2018</w:t>
      </w:r>
      <w:r w:rsidR="001408AC">
        <w:rPr>
          <w:rFonts w:ascii="Times New Roman" w:hAnsi="Times New Roman" w:cs="Times New Roman"/>
          <w:bCs/>
          <w:sz w:val="28"/>
          <w:szCs w:val="28"/>
        </w:rPr>
        <w:t xml:space="preserve"> </w:t>
      </w:r>
      <w:r w:rsidR="00030846" w:rsidRPr="004135FE">
        <w:rPr>
          <w:rFonts w:ascii="Times New Roman" w:hAnsi="Times New Roman" w:cs="Times New Roman"/>
          <w:bCs/>
          <w:sz w:val="28"/>
          <w:szCs w:val="28"/>
        </w:rPr>
        <w:t>г</w:t>
      </w:r>
      <w:r w:rsidR="001408AC">
        <w:rPr>
          <w:rFonts w:ascii="Times New Roman" w:hAnsi="Times New Roman" w:cs="Times New Roman"/>
          <w:bCs/>
          <w:sz w:val="28"/>
          <w:szCs w:val="28"/>
        </w:rPr>
        <w:t>.</w:t>
      </w:r>
    </w:p>
    <w:p w14:paraId="1BFE5143" w14:textId="77777777" w:rsidR="005207ED" w:rsidRPr="00B126AE" w:rsidRDefault="005207ED" w:rsidP="004135FE">
      <w:pPr>
        <w:autoSpaceDE w:val="0"/>
        <w:autoSpaceDN w:val="0"/>
        <w:adjustRightInd w:val="0"/>
        <w:spacing w:after="0" w:line="240" w:lineRule="auto"/>
        <w:ind w:firstLine="540"/>
        <w:jc w:val="both"/>
        <w:rPr>
          <w:rFonts w:ascii="Times New Roman" w:eastAsiaTheme="minorHAnsi" w:hAnsi="Times New Roman" w:cs="Times New Roman"/>
          <w:bCs/>
          <w:sz w:val="28"/>
          <w:szCs w:val="28"/>
          <w:lang w:eastAsia="en-US"/>
        </w:rPr>
      </w:pPr>
      <w:r w:rsidRPr="00B126AE">
        <w:rPr>
          <w:rFonts w:ascii="Times New Roman" w:eastAsiaTheme="minorHAnsi" w:hAnsi="Times New Roman" w:cs="Times New Roman"/>
          <w:bCs/>
          <w:sz w:val="28"/>
          <w:szCs w:val="28"/>
          <w:lang w:eastAsia="en-US"/>
        </w:rPr>
        <w:t xml:space="preserve">Модель повышения медицинской грамотности и изменения поведения </w:t>
      </w:r>
    </w:p>
    <w:p w14:paraId="06803A68" w14:textId="7B8E8922" w:rsidR="005207ED" w:rsidRPr="004135FE" w:rsidRDefault="005207ED" w:rsidP="004135FE">
      <w:pPr>
        <w:autoSpaceDE w:val="0"/>
        <w:autoSpaceDN w:val="0"/>
        <w:adjustRightInd w:val="0"/>
        <w:spacing w:after="0" w:line="240" w:lineRule="auto"/>
        <w:ind w:firstLine="540"/>
        <w:jc w:val="both"/>
        <w:rPr>
          <w:rFonts w:ascii="Times New Roman" w:eastAsiaTheme="minorHAnsi" w:hAnsi="Times New Roman" w:cs="Times New Roman"/>
          <w:sz w:val="28"/>
          <w:szCs w:val="28"/>
          <w:lang w:eastAsia="en-US"/>
        </w:rPr>
      </w:pPr>
      <w:r w:rsidRPr="00B126AE">
        <w:rPr>
          <w:rFonts w:ascii="Times New Roman" w:eastAsiaTheme="minorHAnsi" w:hAnsi="Times New Roman" w:cs="Times New Roman"/>
          <w:bCs/>
          <w:sz w:val="28"/>
          <w:szCs w:val="28"/>
          <w:lang w:eastAsia="en-US"/>
        </w:rPr>
        <w:t>Модель создан</w:t>
      </w:r>
      <w:r w:rsidRPr="004135FE">
        <w:rPr>
          <w:rFonts w:ascii="Times New Roman" w:eastAsiaTheme="minorHAnsi" w:hAnsi="Times New Roman" w:cs="Times New Roman"/>
          <w:sz w:val="28"/>
          <w:szCs w:val="28"/>
          <w:lang w:eastAsia="en-US"/>
        </w:rPr>
        <w:t xml:space="preserve"> отечественными авторами, как Г.С.Каюпова, К.А.Тулебаев, Б.С.Турдалиева, З.Р.Сагындыкова, Г.Е.Аимбетова при разработке мер на уровне ПМСП по повышению медицинской грамотности и изменению поведения пациентов (на примере больных с СД2т) на основаниях рекомендаций Международной Диабетической Федерации и Европейского конс</w:t>
      </w:r>
      <w:r w:rsidR="00736157" w:rsidRPr="004135FE">
        <w:rPr>
          <w:rFonts w:ascii="Times New Roman" w:eastAsiaTheme="minorHAnsi" w:hAnsi="Times New Roman" w:cs="Times New Roman"/>
          <w:sz w:val="28"/>
          <w:szCs w:val="28"/>
          <w:lang w:eastAsia="en-US"/>
        </w:rPr>
        <w:t>енсуса по профилактике СД2т [196</w:t>
      </w:r>
      <w:r w:rsidRPr="004135FE">
        <w:rPr>
          <w:rFonts w:ascii="Times New Roman" w:eastAsiaTheme="minorHAnsi" w:hAnsi="Times New Roman" w:cs="Times New Roman"/>
          <w:sz w:val="28"/>
          <w:szCs w:val="28"/>
          <w:lang w:eastAsia="en-US"/>
        </w:rPr>
        <w:t xml:space="preserve">]. </w:t>
      </w:r>
    </w:p>
    <w:p w14:paraId="541620D3" w14:textId="29A48513" w:rsidR="00BD5CC8" w:rsidRPr="004135FE" w:rsidRDefault="005207ED" w:rsidP="004135FE">
      <w:pPr>
        <w:autoSpaceDE w:val="0"/>
        <w:autoSpaceDN w:val="0"/>
        <w:adjustRightInd w:val="0"/>
        <w:spacing w:after="0" w:line="240" w:lineRule="auto"/>
        <w:ind w:firstLine="540"/>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 xml:space="preserve">Модель содержит три уровня вмешательств, соответствующие формы вмешательств, целевую аудиторию и является более конкретным для оказания помощи при СД2т. Так же состоит из двух этапов. Первый этап состоит из 10 пунктов: 1)  определение целевой группы; 2) создание мультидисциплинарной команды; 3) повышение медицинской грамотности пациентов; 4) постановка поведенческих целей; 5) ознакомление и обучение пациентов с диагнозом СД техникам изменения поведения; 6) расширение форм проведения и тематики занятий в школах здоровья; 7) </w:t>
      </w:r>
      <w:r w:rsidRPr="004135FE">
        <w:rPr>
          <w:rFonts w:ascii="Times New Roman" w:eastAsiaTheme="minorHAnsi" w:hAnsi="Times New Roman" w:cs="Times New Roman"/>
          <w:sz w:val="28"/>
          <w:szCs w:val="28"/>
          <w:lang w:val="en-US" w:eastAsia="en-US"/>
        </w:rPr>
        <w:t>m</w:t>
      </w:r>
      <w:r w:rsidRPr="004135FE">
        <w:rPr>
          <w:rFonts w:ascii="Times New Roman" w:eastAsiaTheme="minorHAnsi" w:hAnsi="Times New Roman" w:cs="Times New Roman"/>
          <w:sz w:val="28"/>
          <w:szCs w:val="28"/>
          <w:lang w:eastAsia="en-US"/>
        </w:rPr>
        <w:t>-</w:t>
      </w:r>
      <w:r w:rsidRPr="004135FE">
        <w:rPr>
          <w:rFonts w:ascii="Times New Roman" w:eastAsiaTheme="minorHAnsi" w:hAnsi="Times New Roman" w:cs="Times New Roman"/>
          <w:sz w:val="28"/>
          <w:szCs w:val="28"/>
          <w:lang w:val="en-US" w:eastAsia="en-US"/>
        </w:rPr>
        <w:t>Health</w:t>
      </w:r>
      <w:r w:rsidRPr="004135FE">
        <w:rPr>
          <w:rFonts w:ascii="Times New Roman" w:eastAsiaTheme="minorHAnsi" w:hAnsi="Times New Roman" w:cs="Times New Roman"/>
          <w:sz w:val="28"/>
          <w:szCs w:val="28"/>
          <w:lang w:eastAsia="en-US"/>
        </w:rPr>
        <w:t xml:space="preserve">: разработка СМС сообщений об управлении заболевании; 8) разработка и распространение информационно-образовательного материала; 9) рассылка информации по профилактике заболеваний и укреплению здоровья по </w:t>
      </w:r>
      <w:r w:rsidRPr="004135FE">
        <w:rPr>
          <w:rFonts w:ascii="Times New Roman" w:eastAsiaTheme="minorHAnsi" w:hAnsi="Times New Roman" w:cs="Times New Roman"/>
          <w:sz w:val="28"/>
          <w:szCs w:val="28"/>
          <w:lang w:val="en-US" w:eastAsia="en-US"/>
        </w:rPr>
        <w:t>e</w:t>
      </w:r>
      <w:r w:rsidRPr="004135FE">
        <w:rPr>
          <w:rFonts w:ascii="Times New Roman" w:eastAsiaTheme="minorHAnsi" w:hAnsi="Times New Roman" w:cs="Times New Roman"/>
          <w:sz w:val="28"/>
          <w:szCs w:val="28"/>
          <w:lang w:eastAsia="en-US"/>
        </w:rPr>
        <w:t>-</w:t>
      </w:r>
      <w:r w:rsidRPr="004135FE">
        <w:rPr>
          <w:rFonts w:ascii="Times New Roman" w:eastAsiaTheme="minorHAnsi" w:hAnsi="Times New Roman" w:cs="Times New Roman"/>
          <w:sz w:val="28"/>
          <w:szCs w:val="28"/>
          <w:lang w:val="en-US" w:eastAsia="en-US"/>
        </w:rPr>
        <w:t>mail</w:t>
      </w:r>
      <w:r w:rsidRPr="004135FE">
        <w:rPr>
          <w:rFonts w:ascii="Times New Roman" w:eastAsiaTheme="minorHAnsi" w:hAnsi="Times New Roman" w:cs="Times New Roman"/>
          <w:sz w:val="28"/>
          <w:szCs w:val="28"/>
          <w:lang w:eastAsia="en-US"/>
        </w:rPr>
        <w:t xml:space="preserve">, </w:t>
      </w:r>
      <w:r w:rsidRPr="004135FE">
        <w:rPr>
          <w:rFonts w:ascii="Times New Roman" w:eastAsiaTheme="minorHAnsi" w:hAnsi="Times New Roman" w:cs="Times New Roman"/>
          <w:sz w:val="28"/>
          <w:szCs w:val="28"/>
          <w:lang w:val="en-US" w:eastAsia="en-US"/>
        </w:rPr>
        <w:t>what</w:t>
      </w:r>
      <w:r w:rsidRPr="004135FE">
        <w:rPr>
          <w:rFonts w:ascii="Times New Roman" w:eastAsiaTheme="minorHAnsi" w:hAnsi="Times New Roman" w:cs="Times New Roman"/>
          <w:sz w:val="28"/>
          <w:szCs w:val="28"/>
          <w:lang w:eastAsia="en-US"/>
        </w:rPr>
        <w:t>’</w:t>
      </w:r>
      <w:r w:rsidRPr="004135FE">
        <w:rPr>
          <w:rFonts w:ascii="Times New Roman" w:eastAsiaTheme="minorHAnsi" w:hAnsi="Times New Roman" w:cs="Times New Roman"/>
          <w:sz w:val="28"/>
          <w:szCs w:val="28"/>
          <w:lang w:val="en-US" w:eastAsia="en-US"/>
        </w:rPr>
        <w:t>s</w:t>
      </w:r>
      <w:r w:rsidRPr="004135FE">
        <w:rPr>
          <w:rFonts w:ascii="Times New Roman" w:eastAsiaTheme="minorHAnsi" w:hAnsi="Times New Roman" w:cs="Times New Roman"/>
          <w:sz w:val="28"/>
          <w:szCs w:val="28"/>
          <w:lang w:eastAsia="en-US"/>
        </w:rPr>
        <w:t xml:space="preserve"> </w:t>
      </w:r>
      <w:r w:rsidRPr="004135FE">
        <w:rPr>
          <w:rFonts w:ascii="Times New Roman" w:eastAsiaTheme="minorHAnsi" w:hAnsi="Times New Roman" w:cs="Times New Roman"/>
          <w:sz w:val="28"/>
          <w:szCs w:val="28"/>
          <w:lang w:val="en-US" w:eastAsia="en-US"/>
        </w:rPr>
        <w:t>up</w:t>
      </w:r>
      <w:r w:rsidRPr="004135FE">
        <w:rPr>
          <w:rFonts w:ascii="Times New Roman" w:eastAsiaTheme="minorHAnsi" w:hAnsi="Times New Roman" w:cs="Times New Roman"/>
          <w:sz w:val="28"/>
          <w:szCs w:val="28"/>
          <w:lang w:eastAsia="en-US"/>
        </w:rPr>
        <w:t xml:space="preserve">. Второй этап, это использование медицинских коммуникативных технологий для изменения поведения населения в отношении здоровья. </w:t>
      </w:r>
    </w:p>
    <w:p w14:paraId="3C87532D" w14:textId="3BCAD4EE" w:rsidR="00BD5CC8" w:rsidRPr="004135FE" w:rsidRDefault="00BD5CC8" w:rsidP="004135FE">
      <w:pPr>
        <w:autoSpaceDE w:val="0"/>
        <w:autoSpaceDN w:val="0"/>
        <w:adjustRightInd w:val="0"/>
        <w:spacing w:after="0" w:line="240" w:lineRule="auto"/>
        <w:ind w:firstLine="540"/>
        <w:jc w:val="both"/>
        <w:rPr>
          <w:rFonts w:ascii="Times New Roman" w:eastAsiaTheme="minorHAnsi" w:hAnsi="Times New Roman" w:cs="Times New Roman"/>
          <w:sz w:val="28"/>
          <w:szCs w:val="28"/>
          <w:lang w:eastAsia="en-US"/>
        </w:rPr>
      </w:pPr>
    </w:p>
    <w:p w14:paraId="37431405" w14:textId="16D74433" w:rsidR="005207ED" w:rsidRDefault="005207ED" w:rsidP="004135FE">
      <w:pPr>
        <w:autoSpaceDE w:val="0"/>
        <w:autoSpaceDN w:val="0"/>
        <w:adjustRightInd w:val="0"/>
        <w:spacing w:after="0" w:line="240" w:lineRule="auto"/>
        <w:ind w:firstLine="540"/>
        <w:jc w:val="both"/>
        <w:rPr>
          <w:rFonts w:ascii="Times New Roman" w:eastAsiaTheme="minorHAnsi" w:hAnsi="Times New Roman" w:cs="Times New Roman"/>
          <w:sz w:val="28"/>
          <w:szCs w:val="28"/>
          <w:lang w:eastAsia="en-US"/>
        </w:rPr>
      </w:pPr>
    </w:p>
    <w:p w14:paraId="5B601884" w14:textId="66C8CA66" w:rsidR="00B126AE" w:rsidRPr="004135FE" w:rsidRDefault="00B126AE" w:rsidP="00B126AE">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eastAsiaTheme="minorHAnsi" w:hAnsi="Times New Roman" w:cs="Times New Roman"/>
          <w:noProof/>
          <w:sz w:val="28"/>
          <w:szCs w:val="28"/>
        </w:rPr>
        <w:drawing>
          <wp:inline distT="0" distB="0" distL="0" distR="0" wp14:anchorId="4009917B" wp14:editId="1D3F46A6">
            <wp:extent cx="5939790" cy="3129280"/>
            <wp:effectExtent l="0" t="0" r="381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a:blip r:embed="rId98">
                      <a:extLst>
                        <a:ext uri="{28A0092B-C50C-407E-A947-70E740481C1C}">
                          <a14:useLocalDpi xmlns:a14="http://schemas.microsoft.com/office/drawing/2010/main" val="0"/>
                        </a:ext>
                      </a:extLst>
                    </a:blip>
                    <a:stretch>
                      <a:fillRect/>
                    </a:stretch>
                  </pic:blipFill>
                  <pic:spPr>
                    <a:xfrm>
                      <a:off x="0" y="0"/>
                      <a:ext cx="5939790" cy="3129280"/>
                    </a:xfrm>
                    <a:prstGeom prst="rect">
                      <a:avLst/>
                    </a:prstGeom>
                  </pic:spPr>
                </pic:pic>
              </a:graphicData>
            </a:graphic>
          </wp:inline>
        </w:drawing>
      </w:r>
    </w:p>
    <w:p w14:paraId="7FD04AE7" w14:textId="77777777" w:rsidR="00B126AE" w:rsidRDefault="00B126AE" w:rsidP="00B126AE">
      <w:pPr>
        <w:autoSpaceDE w:val="0"/>
        <w:autoSpaceDN w:val="0"/>
        <w:adjustRightInd w:val="0"/>
        <w:spacing w:after="0" w:line="240" w:lineRule="auto"/>
        <w:ind w:firstLine="540"/>
        <w:jc w:val="center"/>
        <w:rPr>
          <w:rFonts w:ascii="Times New Roman" w:eastAsiaTheme="minorHAnsi" w:hAnsi="Times New Roman" w:cs="Times New Roman"/>
          <w:bCs/>
          <w:sz w:val="28"/>
          <w:szCs w:val="28"/>
          <w:lang w:eastAsia="en-US"/>
        </w:rPr>
      </w:pPr>
    </w:p>
    <w:p w14:paraId="2363D112" w14:textId="4C13B00B" w:rsidR="005207ED" w:rsidRPr="00B126AE" w:rsidRDefault="005207ED" w:rsidP="00B126AE">
      <w:pPr>
        <w:autoSpaceDE w:val="0"/>
        <w:autoSpaceDN w:val="0"/>
        <w:adjustRightInd w:val="0"/>
        <w:spacing w:after="0" w:line="240" w:lineRule="auto"/>
        <w:jc w:val="center"/>
        <w:rPr>
          <w:rFonts w:ascii="Times New Roman" w:eastAsiaTheme="minorHAnsi" w:hAnsi="Times New Roman" w:cs="Times New Roman"/>
          <w:bCs/>
          <w:sz w:val="28"/>
          <w:szCs w:val="28"/>
          <w:lang w:eastAsia="en-US"/>
        </w:rPr>
      </w:pPr>
      <w:r w:rsidRPr="00B126AE">
        <w:rPr>
          <w:rFonts w:ascii="Times New Roman" w:eastAsiaTheme="minorHAnsi" w:hAnsi="Times New Roman" w:cs="Times New Roman"/>
          <w:bCs/>
          <w:sz w:val="28"/>
          <w:szCs w:val="28"/>
          <w:lang w:eastAsia="en-US"/>
        </w:rPr>
        <w:t>Рисунок 6</w:t>
      </w:r>
      <w:r w:rsidR="00B270B3">
        <w:rPr>
          <w:rFonts w:ascii="Times New Roman" w:eastAsiaTheme="minorHAnsi" w:hAnsi="Times New Roman" w:cs="Times New Roman"/>
          <w:bCs/>
          <w:sz w:val="28"/>
          <w:szCs w:val="28"/>
          <w:lang w:eastAsia="en-US"/>
        </w:rPr>
        <w:t>3</w:t>
      </w:r>
      <w:r w:rsidRPr="00B126AE">
        <w:rPr>
          <w:rFonts w:ascii="Times New Roman" w:eastAsiaTheme="minorHAnsi" w:hAnsi="Times New Roman" w:cs="Times New Roman"/>
          <w:bCs/>
          <w:sz w:val="28"/>
          <w:szCs w:val="28"/>
          <w:lang w:eastAsia="en-US"/>
        </w:rPr>
        <w:t xml:space="preserve"> - Модель по уровню вмешательств при реализации программ повышения медицинской грамотности и изменения поведения</w:t>
      </w:r>
    </w:p>
    <w:p w14:paraId="47585D6E" w14:textId="6539D62F" w:rsidR="005207ED" w:rsidRPr="00B126AE" w:rsidRDefault="005207ED" w:rsidP="00B126AE">
      <w:pPr>
        <w:autoSpaceDE w:val="0"/>
        <w:autoSpaceDN w:val="0"/>
        <w:adjustRightInd w:val="0"/>
        <w:spacing w:after="0" w:line="240" w:lineRule="auto"/>
        <w:ind w:firstLine="540"/>
        <w:jc w:val="center"/>
        <w:rPr>
          <w:rFonts w:ascii="Times New Roman" w:eastAsiaTheme="minorHAnsi" w:hAnsi="Times New Roman" w:cs="Times New Roman"/>
          <w:bCs/>
          <w:sz w:val="28"/>
          <w:szCs w:val="28"/>
          <w:lang w:eastAsia="en-US"/>
        </w:rPr>
      </w:pPr>
    </w:p>
    <w:p w14:paraId="299B42ED" w14:textId="77777777" w:rsidR="00BD5CC8" w:rsidRPr="004135FE" w:rsidRDefault="00BD5CC8" w:rsidP="004135FE">
      <w:pPr>
        <w:autoSpaceDE w:val="0"/>
        <w:autoSpaceDN w:val="0"/>
        <w:adjustRightInd w:val="0"/>
        <w:spacing w:after="0" w:line="240" w:lineRule="auto"/>
        <w:ind w:firstLine="540"/>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Данная модель является современным и практический реализуемым для нашего общества. Но есть необходимость совершенствовать, с разъяснением не только для медперсонала, но и для пациентов с СД2т.</w:t>
      </w:r>
    </w:p>
    <w:p w14:paraId="44634129" w14:textId="77777777" w:rsidR="00BD5CC8" w:rsidRPr="004135FE" w:rsidRDefault="00BD5CC8" w:rsidP="00130119">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 xml:space="preserve">Популяционный уровень вмешательств проводить под контролем национального и региональных координаторов, что в свою очередь обеспечит высокий уровень реализации. </w:t>
      </w:r>
    </w:p>
    <w:p w14:paraId="2EC78B2D" w14:textId="77777777" w:rsidR="00BD5CC8" w:rsidRPr="004135FE" w:rsidRDefault="00BD5CC8" w:rsidP="00130119">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Групповые занятия дополнить статистическими данными для большей убедительности пациентов и констатируя важность проблемы; более развернуто представить функцию «Школы Диабета» и его представителей, так как основная нагрузка и эффективность занятии при групповом уровне вмешательств приходится его привлекательности для пациентов с более широким охватом и доступности образовательных программам, как в понимании, так и как услуга при ПМСП.</w:t>
      </w:r>
    </w:p>
    <w:p w14:paraId="3833098D" w14:textId="77777777" w:rsidR="00BD5CC8" w:rsidRPr="004135FE" w:rsidRDefault="00BD5CC8" w:rsidP="00130119">
      <w:pPr>
        <w:tabs>
          <w:tab w:val="left" w:pos="567"/>
        </w:tabs>
        <w:spacing w:after="0" w:line="240" w:lineRule="auto"/>
        <w:ind w:firstLine="709"/>
        <w:jc w:val="both"/>
        <w:rPr>
          <w:noProof/>
          <w:sz w:val="28"/>
          <w:szCs w:val="28"/>
        </w:rPr>
      </w:pPr>
      <w:r w:rsidRPr="004135FE">
        <w:rPr>
          <w:rFonts w:ascii="Times New Roman" w:hAnsi="Times New Roman" w:cs="Times New Roman"/>
          <w:sz w:val="28"/>
          <w:szCs w:val="28"/>
        </w:rPr>
        <w:t xml:space="preserve">Индивидуальные консультации с его требованиями необходимо прописать в протоколе лечения и диагностики как терапевтические услуги, для более конкретного контроля над его выполнением повсеместно.  </w:t>
      </w:r>
    </w:p>
    <w:p w14:paraId="1334265F" w14:textId="611FB562" w:rsidR="00030846" w:rsidRPr="004135FE" w:rsidRDefault="00030846" w:rsidP="00130119">
      <w:pPr>
        <w:tabs>
          <w:tab w:val="left" w:pos="567"/>
        </w:tabs>
        <w:spacing w:after="0" w:line="240" w:lineRule="auto"/>
        <w:ind w:firstLine="709"/>
        <w:jc w:val="both"/>
        <w:rPr>
          <w:rFonts w:ascii="Times New Roman" w:hAnsi="Times New Roman" w:cs="Times New Roman"/>
          <w:sz w:val="28"/>
          <w:szCs w:val="28"/>
        </w:rPr>
      </w:pPr>
      <w:r w:rsidRPr="00B126AE">
        <w:rPr>
          <w:rFonts w:ascii="Times New Roman" w:hAnsi="Times New Roman" w:cs="Times New Roman"/>
          <w:bCs/>
          <w:i/>
          <w:iCs/>
          <w:sz w:val="28"/>
          <w:szCs w:val="28"/>
        </w:rPr>
        <w:t>Модель Всеобъемлющей амбулаторно-поликлинической помощи (</w:t>
      </w:r>
      <w:r w:rsidRPr="00B126AE">
        <w:rPr>
          <w:rFonts w:ascii="Times New Roman" w:eastAsiaTheme="minorHAnsi" w:hAnsi="Times New Roman" w:cs="Times New Roman"/>
          <w:bCs/>
          <w:i/>
          <w:iCs/>
          <w:sz w:val="28"/>
          <w:szCs w:val="28"/>
          <w:lang w:eastAsia="en-US"/>
        </w:rPr>
        <w:t>ВОАПП) на уровне узких специалистов.</w:t>
      </w:r>
      <w:r w:rsidRPr="004135FE">
        <w:rPr>
          <w:rFonts w:ascii="Times New Roman" w:eastAsiaTheme="minorHAnsi" w:hAnsi="Times New Roman" w:cs="Times New Roman"/>
          <w:b/>
          <w:sz w:val="28"/>
          <w:szCs w:val="28"/>
          <w:lang w:eastAsia="en-US"/>
        </w:rPr>
        <w:t xml:space="preserve"> </w:t>
      </w:r>
      <w:r w:rsidRPr="004135FE">
        <w:rPr>
          <w:rFonts w:ascii="Times New Roman" w:eastAsiaTheme="minorHAnsi" w:hAnsi="Times New Roman" w:cs="Times New Roman"/>
          <w:sz w:val="28"/>
          <w:szCs w:val="28"/>
          <w:lang w:eastAsia="en-US"/>
        </w:rPr>
        <w:t>Данный модель</w:t>
      </w:r>
      <w:r w:rsidRPr="004135FE">
        <w:rPr>
          <w:rFonts w:ascii="Times New Roman" w:hAnsi="Times New Roman" w:cs="Times New Roman"/>
          <w:sz w:val="28"/>
          <w:szCs w:val="28"/>
        </w:rPr>
        <w:t xml:space="preserve"> содержит все составляющие для оказания ка</w:t>
      </w:r>
      <w:r w:rsidR="00736157" w:rsidRPr="004135FE">
        <w:rPr>
          <w:rFonts w:ascii="Times New Roman" w:hAnsi="Times New Roman" w:cs="Times New Roman"/>
          <w:sz w:val="28"/>
          <w:szCs w:val="28"/>
        </w:rPr>
        <w:t>чественной помощи населению [197</w:t>
      </w:r>
      <w:r w:rsidRPr="004135FE">
        <w:rPr>
          <w:rFonts w:ascii="Times New Roman" w:hAnsi="Times New Roman" w:cs="Times New Roman"/>
          <w:sz w:val="28"/>
          <w:szCs w:val="28"/>
        </w:rPr>
        <w:t xml:space="preserve">]. Модель состоит из трех функционально организационных блоков, содержащий название подразделения поликлиники, потребности населения, функции на уровне ПМСП. Но некоторые функции медицинского персонала требует развития и раскрытия. Согласно данной модели, на уровне узких специалистов медицинские сотрудники предоставляют качественные консультативно-диагностические услуги, координируют движения пациентов. Так же предоставляет пациенту информации о предстоящих диагностических и лечебных процедурах, при необходимости направляет пациентов к психологу и социальному работнику. Персонал проходит повышение квалификации по вопросам применения современных методов диагностики и лечения, обучаются коммуникативным навыкам, навыкам межличностного общения, работе с информационно-техническими средствами. </w:t>
      </w:r>
    </w:p>
    <w:p w14:paraId="537DC472" w14:textId="16C52E0C" w:rsidR="00584460" w:rsidRPr="004135FE" w:rsidRDefault="00584460" w:rsidP="004135FE">
      <w:pPr>
        <w:tabs>
          <w:tab w:val="left" w:pos="567"/>
        </w:tabs>
        <w:spacing w:after="0" w:line="240" w:lineRule="auto"/>
        <w:jc w:val="both"/>
        <w:rPr>
          <w:rFonts w:ascii="Times New Roman" w:hAnsi="Times New Roman" w:cs="Times New Roman"/>
          <w:sz w:val="28"/>
          <w:szCs w:val="28"/>
        </w:rPr>
      </w:pPr>
    </w:p>
    <w:p w14:paraId="52B0C8DA" w14:textId="7D33497C" w:rsidR="00030846" w:rsidRDefault="00030846" w:rsidP="00E921CC">
      <w:pPr>
        <w:autoSpaceDE w:val="0"/>
        <w:autoSpaceDN w:val="0"/>
        <w:adjustRightInd w:val="0"/>
        <w:spacing w:after="0" w:line="240" w:lineRule="auto"/>
        <w:jc w:val="center"/>
        <w:rPr>
          <w:rFonts w:ascii="Times New Roman" w:eastAsiaTheme="minorHAnsi" w:hAnsi="Times New Roman" w:cs="Times New Roman"/>
          <w:b/>
          <w:caps/>
          <w:sz w:val="28"/>
          <w:szCs w:val="28"/>
          <w:lang w:eastAsia="en-US"/>
        </w:rPr>
      </w:pPr>
      <w:r w:rsidRPr="004135FE">
        <w:rPr>
          <w:noProof/>
          <w:sz w:val="28"/>
          <w:szCs w:val="28"/>
        </w:rPr>
        <w:drawing>
          <wp:inline distT="0" distB="0" distL="0" distR="0" wp14:anchorId="04A3BDB6" wp14:editId="63CD7662">
            <wp:extent cx="5766877" cy="2427515"/>
            <wp:effectExtent l="0" t="0" r="5715"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7256" t="19843" r="31063" b="19985"/>
                    <a:stretch/>
                  </pic:blipFill>
                  <pic:spPr bwMode="auto">
                    <a:xfrm>
                      <a:off x="0" y="0"/>
                      <a:ext cx="5766877" cy="2427515"/>
                    </a:xfrm>
                    <a:prstGeom prst="rect">
                      <a:avLst/>
                    </a:prstGeom>
                    <a:ln>
                      <a:noFill/>
                    </a:ln>
                    <a:extLst>
                      <a:ext uri="{53640926-AAD7-44D8-BBD7-CCE9431645EC}">
                        <a14:shadowObscured xmlns:a14="http://schemas.microsoft.com/office/drawing/2010/main"/>
                      </a:ext>
                    </a:extLst>
                  </pic:spPr>
                </pic:pic>
              </a:graphicData>
            </a:graphic>
          </wp:inline>
        </w:drawing>
      </w:r>
    </w:p>
    <w:p w14:paraId="06A47EE0" w14:textId="6FA4162A" w:rsidR="00B126AE" w:rsidRDefault="00B126AE" w:rsidP="004135FE">
      <w:pPr>
        <w:autoSpaceDE w:val="0"/>
        <w:autoSpaceDN w:val="0"/>
        <w:adjustRightInd w:val="0"/>
        <w:spacing w:after="0" w:line="240" w:lineRule="auto"/>
        <w:jc w:val="both"/>
        <w:rPr>
          <w:rFonts w:ascii="Times New Roman" w:eastAsiaTheme="minorHAnsi" w:hAnsi="Times New Roman" w:cs="Times New Roman"/>
          <w:b/>
          <w:caps/>
          <w:sz w:val="28"/>
          <w:szCs w:val="28"/>
          <w:lang w:eastAsia="en-US"/>
        </w:rPr>
      </w:pPr>
    </w:p>
    <w:p w14:paraId="04F32B58" w14:textId="7FD27999" w:rsidR="00B126AE" w:rsidRDefault="00B126AE" w:rsidP="004135FE">
      <w:pPr>
        <w:autoSpaceDE w:val="0"/>
        <w:autoSpaceDN w:val="0"/>
        <w:adjustRightInd w:val="0"/>
        <w:spacing w:after="0" w:line="240" w:lineRule="auto"/>
        <w:jc w:val="both"/>
        <w:rPr>
          <w:rFonts w:ascii="Times New Roman" w:eastAsiaTheme="minorHAnsi" w:hAnsi="Times New Roman" w:cs="Times New Roman"/>
          <w:b/>
          <w:caps/>
          <w:sz w:val="28"/>
          <w:szCs w:val="28"/>
          <w:lang w:eastAsia="en-US"/>
        </w:rPr>
      </w:pPr>
    </w:p>
    <w:p w14:paraId="631631D4" w14:textId="2E6B7460" w:rsidR="00030846" w:rsidRPr="004135FE" w:rsidRDefault="00030846" w:rsidP="00E921CC">
      <w:pPr>
        <w:autoSpaceDE w:val="0"/>
        <w:autoSpaceDN w:val="0"/>
        <w:adjustRightInd w:val="0"/>
        <w:spacing w:after="0" w:line="240" w:lineRule="auto"/>
        <w:ind w:firstLine="540"/>
        <w:jc w:val="center"/>
        <w:rPr>
          <w:rFonts w:ascii="Times New Roman" w:eastAsiaTheme="minorHAnsi" w:hAnsi="Times New Roman" w:cs="Times New Roman"/>
          <w:sz w:val="28"/>
          <w:szCs w:val="28"/>
          <w:lang w:eastAsia="en-US"/>
        </w:rPr>
      </w:pPr>
      <w:r w:rsidRPr="004135FE">
        <w:rPr>
          <w:rFonts w:ascii="Times New Roman" w:eastAsiaTheme="minorHAnsi" w:hAnsi="Times New Roman" w:cs="Times New Roman"/>
          <w:sz w:val="28"/>
          <w:szCs w:val="28"/>
          <w:lang w:eastAsia="en-US"/>
        </w:rPr>
        <w:t>Рисунок 6</w:t>
      </w:r>
      <w:r w:rsidR="00B47983" w:rsidRPr="004135FE">
        <w:rPr>
          <w:rFonts w:ascii="Times New Roman" w:eastAsiaTheme="minorHAnsi" w:hAnsi="Times New Roman" w:cs="Times New Roman"/>
          <w:sz w:val="28"/>
          <w:szCs w:val="28"/>
          <w:lang w:eastAsia="en-US"/>
        </w:rPr>
        <w:t>4</w:t>
      </w:r>
      <w:r w:rsidRPr="004135FE">
        <w:rPr>
          <w:rFonts w:ascii="Times New Roman" w:eastAsiaTheme="minorHAnsi" w:hAnsi="Times New Roman" w:cs="Times New Roman"/>
          <w:sz w:val="28"/>
          <w:szCs w:val="28"/>
          <w:lang w:eastAsia="en-US"/>
        </w:rPr>
        <w:t>- Составляющие модели ВОАПП на уровне узких специалистов</w:t>
      </w:r>
    </w:p>
    <w:p w14:paraId="59CF06F1" w14:textId="6F359C4A" w:rsidR="00030846" w:rsidRPr="004135FE" w:rsidRDefault="00E921CC" w:rsidP="004135FE">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4135FE">
        <w:rPr>
          <w:rFonts w:ascii="Times New Roman" w:eastAsiaTheme="minorHAnsi" w:hAnsi="Times New Roman" w:cs="Times New Roman"/>
          <w:noProof/>
          <w:sz w:val="28"/>
          <w:szCs w:val="28"/>
        </w:rPr>
        <w:drawing>
          <wp:anchor distT="0" distB="0" distL="114300" distR="114300" simplePos="0" relativeHeight="252010496" behindDoc="0" locked="0" layoutInCell="1" allowOverlap="1" wp14:anchorId="0BCB559E" wp14:editId="12E0604A">
            <wp:simplePos x="0" y="0"/>
            <wp:positionH relativeFrom="margin">
              <wp:posOffset>261258</wp:posOffset>
            </wp:positionH>
            <wp:positionV relativeFrom="paragraph">
              <wp:posOffset>3388179</wp:posOffset>
            </wp:positionV>
            <wp:extent cx="5486400" cy="1634067"/>
            <wp:effectExtent l="0" t="0" r="0" b="0"/>
            <wp:wrapSquare wrapText="bothSides"/>
            <wp:docPr id="480" name="Схема 4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anchor>
        </w:drawing>
      </w:r>
      <w:r w:rsidR="005207ED" w:rsidRPr="004135FE">
        <w:rPr>
          <w:rFonts w:ascii="Times New Roman" w:eastAsiaTheme="minorHAnsi" w:hAnsi="Times New Roman" w:cs="Times New Roman"/>
          <w:sz w:val="28"/>
          <w:szCs w:val="28"/>
          <w:lang w:eastAsia="en-US"/>
        </w:rPr>
        <w:t>Н</w:t>
      </w:r>
      <w:r w:rsidR="00030846" w:rsidRPr="004135FE">
        <w:rPr>
          <w:rFonts w:ascii="Times New Roman" w:eastAsiaTheme="minorHAnsi" w:hAnsi="Times New Roman" w:cs="Times New Roman"/>
          <w:sz w:val="28"/>
          <w:szCs w:val="28"/>
          <w:lang w:eastAsia="en-US"/>
        </w:rPr>
        <w:t xml:space="preserve">еобходимо его совершенствовать и дополнить нижеуказанными функциями: </w:t>
      </w:r>
    </w:p>
    <w:p w14:paraId="3474A7E2" w14:textId="2CC872B7" w:rsidR="00030846" w:rsidRPr="004135FE" w:rsidRDefault="00E921CC" w:rsidP="004135FE">
      <w:pPr>
        <w:autoSpaceDE w:val="0"/>
        <w:autoSpaceDN w:val="0"/>
        <w:adjustRightInd w:val="0"/>
        <w:spacing w:after="0" w:line="240" w:lineRule="auto"/>
        <w:ind w:firstLine="540"/>
        <w:jc w:val="both"/>
        <w:rPr>
          <w:rFonts w:ascii="Times New Roman" w:eastAsiaTheme="minorHAnsi" w:hAnsi="Times New Roman" w:cs="Times New Roman"/>
          <w:b/>
          <w:sz w:val="28"/>
          <w:szCs w:val="28"/>
          <w:lang w:eastAsia="en-US"/>
        </w:rPr>
      </w:pPr>
      <w:r w:rsidRPr="004135FE">
        <w:rPr>
          <w:rFonts w:ascii="Times New Roman" w:eastAsiaTheme="minorHAnsi" w:hAnsi="Times New Roman" w:cs="Times New Roman"/>
          <w:noProof/>
          <w:sz w:val="28"/>
          <w:szCs w:val="28"/>
        </w:rPr>
        <w:drawing>
          <wp:anchor distT="0" distB="0" distL="114300" distR="114300" simplePos="0" relativeHeight="252012544" behindDoc="0" locked="0" layoutInCell="1" allowOverlap="1" wp14:anchorId="2C6D391F" wp14:editId="6A08A068">
            <wp:simplePos x="0" y="0"/>
            <wp:positionH relativeFrom="column">
              <wp:posOffset>170543</wp:posOffset>
            </wp:positionH>
            <wp:positionV relativeFrom="paragraph">
              <wp:posOffset>1692728</wp:posOffset>
            </wp:positionV>
            <wp:extent cx="5486400" cy="1633855"/>
            <wp:effectExtent l="19050" t="0" r="0" b="0"/>
            <wp:wrapSquare wrapText="bothSides"/>
            <wp:docPr id="479" name="Схема 4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anchor>
        </w:drawing>
      </w:r>
      <w:r w:rsidRPr="004135FE">
        <w:rPr>
          <w:rFonts w:ascii="Times New Roman" w:eastAsiaTheme="minorHAnsi" w:hAnsi="Times New Roman" w:cs="Times New Roman"/>
          <w:noProof/>
          <w:sz w:val="28"/>
          <w:szCs w:val="28"/>
        </w:rPr>
        <w:drawing>
          <wp:anchor distT="0" distB="0" distL="114300" distR="114300" simplePos="0" relativeHeight="252018688" behindDoc="0" locked="0" layoutInCell="1" allowOverlap="1" wp14:anchorId="72F0DBC9" wp14:editId="0A7EFC50">
            <wp:simplePos x="0" y="0"/>
            <wp:positionH relativeFrom="page">
              <wp:posOffset>1113155</wp:posOffset>
            </wp:positionH>
            <wp:positionV relativeFrom="paragraph">
              <wp:posOffset>131899</wp:posOffset>
            </wp:positionV>
            <wp:extent cx="5486400" cy="1633855"/>
            <wp:effectExtent l="0" t="0" r="0" b="0"/>
            <wp:wrapSquare wrapText="bothSides"/>
            <wp:docPr id="481" name="Схема 48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0" r:lo="rId111" r:qs="rId112" r:cs="rId113"/>
              </a:graphicData>
            </a:graphic>
          </wp:anchor>
        </w:drawing>
      </w:r>
    </w:p>
    <w:p w14:paraId="30D7F01F" w14:textId="67F69DBB" w:rsidR="00030846" w:rsidRDefault="00030846" w:rsidP="004135FE">
      <w:pPr>
        <w:autoSpaceDE w:val="0"/>
        <w:autoSpaceDN w:val="0"/>
        <w:adjustRightInd w:val="0"/>
        <w:spacing w:after="0" w:line="240" w:lineRule="auto"/>
        <w:ind w:firstLine="540"/>
        <w:jc w:val="both"/>
        <w:rPr>
          <w:rFonts w:ascii="Times New Roman" w:eastAsiaTheme="minorHAnsi" w:hAnsi="Times New Roman" w:cs="Times New Roman"/>
          <w:b/>
          <w:sz w:val="28"/>
          <w:szCs w:val="28"/>
          <w:lang w:eastAsia="en-US"/>
        </w:rPr>
      </w:pPr>
    </w:p>
    <w:p w14:paraId="7B0E0E88" w14:textId="4BD17AD2" w:rsidR="00D7334A" w:rsidRDefault="00D7334A" w:rsidP="004135FE">
      <w:pPr>
        <w:autoSpaceDE w:val="0"/>
        <w:autoSpaceDN w:val="0"/>
        <w:adjustRightInd w:val="0"/>
        <w:spacing w:after="0" w:line="240" w:lineRule="auto"/>
        <w:ind w:firstLine="540"/>
        <w:jc w:val="both"/>
        <w:rPr>
          <w:rFonts w:ascii="Times New Roman" w:eastAsiaTheme="minorHAnsi" w:hAnsi="Times New Roman" w:cs="Times New Roman"/>
          <w:b/>
          <w:sz w:val="28"/>
          <w:szCs w:val="28"/>
          <w:lang w:eastAsia="en-US"/>
        </w:rPr>
      </w:pPr>
    </w:p>
    <w:p w14:paraId="6507C129" w14:textId="4C8E70E3" w:rsidR="00D7334A" w:rsidRPr="004135FE" w:rsidRDefault="00D7334A" w:rsidP="00D7334A">
      <w:pPr>
        <w:autoSpaceDE w:val="0"/>
        <w:autoSpaceDN w:val="0"/>
        <w:adjustRightInd w:val="0"/>
        <w:spacing w:after="0" w:line="240" w:lineRule="auto"/>
        <w:jc w:val="both"/>
        <w:rPr>
          <w:rFonts w:ascii="Times New Roman" w:eastAsiaTheme="minorHAnsi" w:hAnsi="Times New Roman" w:cs="Times New Roman"/>
          <w:b/>
          <w:sz w:val="28"/>
          <w:szCs w:val="28"/>
          <w:lang w:eastAsia="en-US"/>
        </w:rPr>
      </w:pPr>
    </w:p>
    <w:p w14:paraId="6723A715" w14:textId="68E30368" w:rsidR="00030846" w:rsidRPr="00D1312D" w:rsidRDefault="00D1312D" w:rsidP="00D1312D">
      <w:pPr>
        <w:pStyle w:val="a3"/>
        <w:numPr>
          <w:ilvl w:val="2"/>
          <w:numId w:val="96"/>
        </w:numPr>
        <w:tabs>
          <w:tab w:val="left" w:pos="1276"/>
        </w:tabs>
        <w:autoSpaceDE w:val="0"/>
        <w:autoSpaceDN w:val="0"/>
        <w:adjustRightInd w:val="0"/>
        <w:spacing w:after="0" w:line="240" w:lineRule="auto"/>
        <w:ind w:left="0" w:firstLine="709"/>
        <w:jc w:val="both"/>
        <w:rPr>
          <w:rFonts w:ascii="Times New Roman" w:eastAsiaTheme="minorHAnsi" w:hAnsi="Times New Roman" w:cs="Times New Roman"/>
          <w:bCs/>
          <w:sz w:val="28"/>
          <w:szCs w:val="28"/>
          <w:lang w:eastAsia="en-US"/>
        </w:rPr>
      </w:pPr>
      <w:r>
        <w:rPr>
          <w:rFonts w:ascii="Times New Roman" w:hAnsi="Times New Roman" w:cs="Times New Roman"/>
          <w:bCs/>
          <w:sz w:val="28"/>
          <w:szCs w:val="28"/>
        </w:rPr>
        <w:t xml:space="preserve"> </w:t>
      </w:r>
      <w:r w:rsidR="008701B9" w:rsidRPr="00D1312D">
        <w:rPr>
          <w:rFonts w:ascii="Times New Roman" w:hAnsi="Times New Roman" w:cs="Times New Roman"/>
          <w:bCs/>
          <w:sz w:val="28"/>
          <w:szCs w:val="28"/>
          <w:lang w:val="en-US"/>
        </w:rPr>
        <w:t>SWOT</w:t>
      </w:r>
      <w:r w:rsidR="008701B9" w:rsidRPr="00D1312D">
        <w:rPr>
          <w:rFonts w:ascii="Times New Roman" w:hAnsi="Times New Roman" w:cs="Times New Roman"/>
          <w:bCs/>
          <w:sz w:val="28"/>
          <w:szCs w:val="28"/>
        </w:rPr>
        <w:t xml:space="preserve"> анализ </w:t>
      </w:r>
      <w:r w:rsidR="008701B9" w:rsidRPr="00D1312D">
        <w:rPr>
          <w:rFonts w:ascii="Times New Roman" w:eastAsia="Times New Roman" w:hAnsi="Times New Roman" w:cs="Times New Roman"/>
          <w:bCs/>
          <w:sz w:val="28"/>
          <w:szCs w:val="28"/>
        </w:rPr>
        <w:t>нормативных документов, модели, клинического протокола, программ по оказанию медицинской помощи и межсекторального сотрудничества при СД2т</w:t>
      </w:r>
      <w:r w:rsidR="003E6E20">
        <w:rPr>
          <w:rFonts w:ascii="Times New Roman" w:eastAsia="Times New Roman" w:hAnsi="Times New Roman" w:cs="Times New Roman"/>
          <w:bCs/>
          <w:sz w:val="28"/>
          <w:szCs w:val="28"/>
        </w:rPr>
        <w:t xml:space="preserve"> (за 10 лет, в том числе утратившие силу)</w:t>
      </w:r>
    </w:p>
    <w:p w14:paraId="5DCDB7F4" w14:textId="24B1592A" w:rsidR="00030846" w:rsidRPr="004135FE" w:rsidRDefault="00030846" w:rsidP="004135FE">
      <w:pPr>
        <w:autoSpaceDE w:val="0"/>
        <w:autoSpaceDN w:val="0"/>
        <w:adjustRightInd w:val="0"/>
        <w:spacing w:after="0" w:line="240" w:lineRule="auto"/>
        <w:ind w:firstLine="540"/>
        <w:jc w:val="both"/>
        <w:rPr>
          <w:rFonts w:ascii="Times New Roman" w:eastAsiaTheme="minorHAnsi" w:hAnsi="Times New Roman" w:cs="Times New Roman"/>
          <w:b/>
          <w:sz w:val="28"/>
          <w:szCs w:val="28"/>
          <w:lang w:eastAsia="en-US"/>
        </w:rPr>
      </w:pPr>
    </w:p>
    <w:p w14:paraId="3816F7FD" w14:textId="591DB3CB" w:rsidR="00030846" w:rsidRPr="004135FE" w:rsidRDefault="00030846" w:rsidP="004135FE">
      <w:pPr>
        <w:autoSpaceDE w:val="0"/>
        <w:autoSpaceDN w:val="0"/>
        <w:adjustRightInd w:val="0"/>
        <w:spacing w:after="0" w:line="240" w:lineRule="auto"/>
        <w:ind w:firstLine="540"/>
        <w:jc w:val="both"/>
        <w:rPr>
          <w:rFonts w:ascii="Times New Roman" w:eastAsiaTheme="minorHAnsi" w:hAnsi="Times New Roman" w:cs="Times New Roman"/>
          <w:b/>
          <w:sz w:val="28"/>
          <w:szCs w:val="28"/>
          <w:lang w:eastAsia="en-US"/>
        </w:rPr>
      </w:pPr>
    </w:p>
    <w:p w14:paraId="64347169" w14:textId="77777777" w:rsidR="00030846" w:rsidRPr="004135FE" w:rsidRDefault="00030846" w:rsidP="004135FE">
      <w:pPr>
        <w:autoSpaceDE w:val="0"/>
        <w:autoSpaceDN w:val="0"/>
        <w:adjustRightInd w:val="0"/>
        <w:spacing w:after="0" w:line="240" w:lineRule="auto"/>
        <w:ind w:firstLine="540"/>
        <w:jc w:val="both"/>
        <w:rPr>
          <w:rFonts w:ascii="Times New Roman" w:eastAsiaTheme="minorHAnsi" w:hAnsi="Times New Roman" w:cs="Times New Roman"/>
          <w:b/>
          <w:sz w:val="28"/>
          <w:szCs w:val="28"/>
          <w:lang w:eastAsia="en-US"/>
        </w:rPr>
      </w:pPr>
    </w:p>
    <w:p w14:paraId="4AEFB471" w14:textId="77777777" w:rsidR="00030846" w:rsidRPr="004135FE" w:rsidRDefault="00030846" w:rsidP="004135FE">
      <w:pPr>
        <w:autoSpaceDE w:val="0"/>
        <w:autoSpaceDN w:val="0"/>
        <w:adjustRightInd w:val="0"/>
        <w:spacing w:after="0" w:line="240" w:lineRule="auto"/>
        <w:ind w:firstLine="540"/>
        <w:jc w:val="both"/>
        <w:rPr>
          <w:rFonts w:ascii="Times New Roman" w:eastAsiaTheme="minorHAnsi" w:hAnsi="Times New Roman" w:cs="Times New Roman"/>
          <w:b/>
          <w:sz w:val="28"/>
          <w:szCs w:val="28"/>
          <w:lang w:eastAsia="en-US"/>
        </w:rPr>
      </w:pPr>
    </w:p>
    <w:p w14:paraId="36DB8E3F" w14:textId="65E802EC" w:rsidR="00030846" w:rsidRPr="004135FE" w:rsidRDefault="00030846" w:rsidP="004135FE">
      <w:pPr>
        <w:autoSpaceDE w:val="0"/>
        <w:autoSpaceDN w:val="0"/>
        <w:adjustRightInd w:val="0"/>
        <w:spacing w:after="0" w:line="240" w:lineRule="auto"/>
        <w:ind w:firstLine="540"/>
        <w:jc w:val="both"/>
        <w:rPr>
          <w:rFonts w:ascii="Times New Roman" w:eastAsiaTheme="minorHAnsi" w:hAnsi="Times New Roman" w:cs="Times New Roman"/>
          <w:b/>
          <w:sz w:val="28"/>
          <w:szCs w:val="28"/>
          <w:lang w:eastAsia="en-US"/>
        </w:rPr>
      </w:pPr>
      <w:r w:rsidRPr="004135FE">
        <w:rPr>
          <w:rFonts w:ascii="Times New Roman" w:eastAsiaTheme="minorHAnsi" w:hAnsi="Times New Roman" w:cs="Times New Roman"/>
          <w:sz w:val="28"/>
          <w:szCs w:val="28"/>
          <w:lang w:eastAsia="en-US"/>
        </w:rPr>
        <w:t xml:space="preserve"> </w:t>
      </w:r>
    </w:p>
    <w:p w14:paraId="1FECE4B3" w14:textId="77777777" w:rsidR="00030846" w:rsidRPr="004135FE" w:rsidRDefault="00030846" w:rsidP="004135FE">
      <w:pPr>
        <w:autoSpaceDE w:val="0"/>
        <w:autoSpaceDN w:val="0"/>
        <w:adjustRightInd w:val="0"/>
        <w:spacing w:after="0" w:line="240" w:lineRule="auto"/>
        <w:ind w:firstLine="540"/>
        <w:jc w:val="both"/>
        <w:rPr>
          <w:rFonts w:ascii="Times New Roman" w:eastAsiaTheme="minorHAnsi" w:hAnsi="Times New Roman" w:cs="Times New Roman"/>
          <w:sz w:val="28"/>
          <w:szCs w:val="28"/>
          <w:lang w:eastAsia="en-US"/>
        </w:rPr>
      </w:pPr>
    </w:p>
    <w:p w14:paraId="42AF331B" w14:textId="2C23F3B2" w:rsidR="00030846" w:rsidRPr="004135FE" w:rsidRDefault="00030846" w:rsidP="004135FE">
      <w:pPr>
        <w:autoSpaceDE w:val="0"/>
        <w:autoSpaceDN w:val="0"/>
        <w:adjustRightInd w:val="0"/>
        <w:spacing w:after="0" w:line="240" w:lineRule="auto"/>
        <w:ind w:firstLine="540"/>
        <w:jc w:val="both"/>
        <w:rPr>
          <w:rFonts w:ascii="Times New Roman" w:hAnsi="Times New Roman" w:cs="Times New Roman"/>
          <w:sz w:val="28"/>
          <w:szCs w:val="28"/>
        </w:rPr>
        <w:sectPr w:rsidR="00030846" w:rsidRPr="004135FE" w:rsidSect="00732C15">
          <w:pgSz w:w="11906" w:h="16838"/>
          <w:pgMar w:top="1134" w:right="851" w:bottom="1134" w:left="1701" w:header="708" w:footer="708" w:gutter="0"/>
          <w:cols w:space="708"/>
          <w:docGrid w:linePitch="360"/>
        </w:sectPr>
      </w:pPr>
      <w:r w:rsidRPr="004135FE">
        <w:rPr>
          <w:rFonts w:ascii="Times New Roman" w:hAnsi="Times New Roman" w:cs="Times New Roman"/>
          <w:sz w:val="28"/>
          <w:szCs w:val="28"/>
        </w:rPr>
        <w:t xml:space="preserve"> </w:t>
      </w:r>
    </w:p>
    <w:p w14:paraId="747E16CF" w14:textId="7768B9A7" w:rsidR="008701B9" w:rsidRDefault="00030846" w:rsidP="008701B9">
      <w:pPr>
        <w:autoSpaceDE w:val="0"/>
        <w:autoSpaceDN w:val="0"/>
        <w:adjustRightInd w:val="0"/>
        <w:spacing w:after="0" w:line="240" w:lineRule="auto"/>
        <w:ind w:hanging="426"/>
        <w:jc w:val="both"/>
        <w:rPr>
          <w:rFonts w:ascii="Times New Roman" w:hAnsi="Times New Roman" w:cs="Times New Roman"/>
          <w:sz w:val="28"/>
          <w:szCs w:val="28"/>
        </w:rPr>
      </w:pPr>
      <w:r w:rsidRPr="005A0983">
        <w:rPr>
          <w:rFonts w:ascii="Times New Roman" w:hAnsi="Times New Roman" w:cs="Times New Roman"/>
          <w:sz w:val="28"/>
          <w:szCs w:val="28"/>
        </w:rPr>
        <w:t>Таблица 5</w:t>
      </w:r>
      <w:r w:rsidR="00B728EF" w:rsidRPr="005A0983">
        <w:rPr>
          <w:rFonts w:ascii="Times New Roman" w:hAnsi="Times New Roman" w:cs="Times New Roman"/>
          <w:sz w:val="28"/>
          <w:szCs w:val="28"/>
        </w:rPr>
        <w:t>4</w:t>
      </w:r>
      <w:r w:rsidRPr="005A0983">
        <w:rPr>
          <w:rFonts w:ascii="Times New Roman" w:hAnsi="Times New Roman" w:cs="Times New Roman"/>
          <w:sz w:val="28"/>
          <w:szCs w:val="28"/>
        </w:rPr>
        <w:t xml:space="preserve">- </w:t>
      </w:r>
      <w:r w:rsidRPr="005A0983">
        <w:rPr>
          <w:rFonts w:ascii="Times New Roman" w:hAnsi="Times New Roman" w:cs="Times New Roman"/>
          <w:sz w:val="28"/>
          <w:szCs w:val="28"/>
          <w:lang w:val="en-US"/>
        </w:rPr>
        <w:t>SWOT</w:t>
      </w:r>
      <w:r w:rsidRPr="005A0983">
        <w:rPr>
          <w:rFonts w:ascii="Times New Roman" w:hAnsi="Times New Roman" w:cs="Times New Roman"/>
          <w:sz w:val="28"/>
          <w:szCs w:val="28"/>
        </w:rPr>
        <w:t xml:space="preserve"> анализ </w:t>
      </w:r>
      <w:r w:rsidR="00BD5CC8" w:rsidRPr="005A0983">
        <w:rPr>
          <w:rFonts w:ascii="Times New Roman" w:hAnsi="Times New Roman" w:cs="Times New Roman"/>
          <w:sz w:val="28"/>
          <w:szCs w:val="28"/>
        </w:rPr>
        <w:t xml:space="preserve"> </w:t>
      </w:r>
    </w:p>
    <w:p w14:paraId="07A737E7" w14:textId="77777777" w:rsidR="008701B9" w:rsidRDefault="008701B9" w:rsidP="00130119">
      <w:pPr>
        <w:autoSpaceDE w:val="0"/>
        <w:autoSpaceDN w:val="0"/>
        <w:adjustRightInd w:val="0"/>
        <w:spacing w:after="0" w:line="240" w:lineRule="auto"/>
        <w:jc w:val="both"/>
        <w:rPr>
          <w:rFonts w:ascii="Times New Roman" w:hAnsi="Times New Roman" w:cs="Times New Roman"/>
          <w:sz w:val="28"/>
          <w:szCs w:val="28"/>
        </w:rPr>
      </w:pPr>
    </w:p>
    <w:tbl>
      <w:tblPr>
        <w:tblStyle w:val="a5"/>
        <w:tblW w:w="15027" w:type="dxa"/>
        <w:tblInd w:w="-431" w:type="dxa"/>
        <w:tblLook w:val="04A0" w:firstRow="1" w:lastRow="0" w:firstColumn="1" w:lastColumn="0" w:noHBand="0" w:noVBand="1"/>
      </w:tblPr>
      <w:tblGrid>
        <w:gridCol w:w="457"/>
        <w:gridCol w:w="3159"/>
        <w:gridCol w:w="3154"/>
        <w:gridCol w:w="3224"/>
        <w:gridCol w:w="2673"/>
        <w:gridCol w:w="2360"/>
      </w:tblGrid>
      <w:tr w:rsidR="008701B9" w:rsidRPr="008701B9" w14:paraId="4026F0B1" w14:textId="77777777" w:rsidTr="008701B9">
        <w:tc>
          <w:tcPr>
            <w:tcW w:w="457" w:type="dxa"/>
          </w:tcPr>
          <w:p w14:paraId="243E0367" w14:textId="6DF805C5" w:rsidR="008701B9" w:rsidRPr="008701B9" w:rsidRDefault="008701B9" w:rsidP="0052168E">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w:t>
            </w:r>
          </w:p>
        </w:tc>
        <w:tc>
          <w:tcPr>
            <w:tcW w:w="3159" w:type="dxa"/>
          </w:tcPr>
          <w:p w14:paraId="7A155829" w14:textId="77777777" w:rsidR="008701B9" w:rsidRPr="008701B9" w:rsidRDefault="008701B9" w:rsidP="008701B9">
            <w:pPr>
              <w:autoSpaceDE w:val="0"/>
              <w:autoSpaceDN w:val="0"/>
              <w:adjustRightInd w:val="0"/>
              <w:spacing w:after="0" w:line="240" w:lineRule="auto"/>
              <w:jc w:val="center"/>
              <w:rPr>
                <w:rFonts w:ascii="Times New Roman" w:hAnsi="Times New Roman" w:cs="Times New Roman"/>
                <w:bCs/>
                <w:sz w:val="24"/>
                <w:szCs w:val="24"/>
              </w:rPr>
            </w:pPr>
            <w:r w:rsidRPr="008701B9">
              <w:rPr>
                <w:rFonts w:ascii="Times New Roman" w:hAnsi="Times New Roman" w:cs="Times New Roman"/>
                <w:bCs/>
                <w:sz w:val="24"/>
                <w:szCs w:val="24"/>
              </w:rPr>
              <w:t>Объект исследования</w:t>
            </w:r>
          </w:p>
        </w:tc>
        <w:tc>
          <w:tcPr>
            <w:tcW w:w="3154" w:type="dxa"/>
          </w:tcPr>
          <w:p w14:paraId="1FE4239E" w14:textId="77777777" w:rsidR="008701B9" w:rsidRPr="008701B9" w:rsidRDefault="008701B9" w:rsidP="008701B9">
            <w:pPr>
              <w:autoSpaceDE w:val="0"/>
              <w:autoSpaceDN w:val="0"/>
              <w:adjustRightInd w:val="0"/>
              <w:spacing w:after="0" w:line="240" w:lineRule="auto"/>
              <w:ind w:firstLine="540"/>
              <w:jc w:val="center"/>
              <w:rPr>
                <w:rFonts w:ascii="Times New Roman" w:hAnsi="Times New Roman" w:cs="Times New Roman"/>
                <w:bCs/>
                <w:sz w:val="24"/>
                <w:szCs w:val="24"/>
              </w:rPr>
            </w:pPr>
            <w:r w:rsidRPr="008701B9">
              <w:rPr>
                <w:rFonts w:ascii="Times New Roman" w:hAnsi="Times New Roman" w:cs="Times New Roman"/>
                <w:bCs/>
                <w:sz w:val="24"/>
                <w:szCs w:val="24"/>
              </w:rPr>
              <w:t>Сильные стороны</w:t>
            </w:r>
          </w:p>
        </w:tc>
        <w:tc>
          <w:tcPr>
            <w:tcW w:w="3224" w:type="dxa"/>
          </w:tcPr>
          <w:p w14:paraId="0E372EA8" w14:textId="77777777" w:rsidR="008701B9" w:rsidRPr="008701B9" w:rsidRDefault="008701B9" w:rsidP="008701B9">
            <w:pPr>
              <w:autoSpaceDE w:val="0"/>
              <w:autoSpaceDN w:val="0"/>
              <w:adjustRightInd w:val="0"/>
              <w:spacing w:after="0" w:line="240" w:lineRule="auto"/>
              <w:ind w:firstLine="540"/>
              <w:jc w:val="center"/>
              <w:rPr>
                <w:rFonts w:ascii="Times New Roman" w:hAnsi="Times New Roman" w:cs="Times New Roman"/>
                <w:bCs/>
                <w:sz w:val="24"/>
                <w:szCs w:val="24"/>
              </w:rPr>
            </w:pPr>
            <w:r w:rsidRPr="008701B9">
              <w:rPr>
                <w:rFonts w:ascii="Times New Roman" w:hAnsi="Times New Roman" w:cs="Times New Roman"/>
                <w:bCs/>
                <w:sz w:val="24"/>
                <w:szCs w:val="24"/>
              </w:rPr>
              <w:t>Слабые стороны</w:t>
            </w:r>
          </w:p>
        </w:tc>
        <w:tc>
          <w:tcPr>
            <w:tcW w:w="2673" w:type="dxa"/>
          </w:tcPr>
          <w:p w14:paraId="760596BB" w14:textId="77777777" w:rsidR="008701B9" w:rsidRPr="008701B9" w:rsidRDefault="008701B9" w:rsidP="008701B9">
            <w:pPr>
              <w:autoSpaceDE w:val="0"/>
              <w:autoSpaceDN w:val="0"/>
              <w:adjustRightInd w:val="0"/>
              <w:spacing w:after="0" w:line="240" w:lineRule="auto"/>
              <w:jc w:val="center"/>
              <w:rPr>
                <w:rFonts w:ascii="Times New Roman" w:hAnsi="Times New Roman" w:cs="Times New Roman"/>
                <w:bCs/>
                <w:sz w:val="24"/>
                <w:szCs w:val="24"/>
              </w:rPr>
            </w:pPr>
            <w:r w:rsidRPr="008701B9">
              <w:rPr>
                <w:rFonts w:ascii="Times New Roman" w:hAnsi="Times New Roman" w:cs="Times New Roman"/>
                <w:bCs/>
                <w:sz w:val="24"/>
                <w:szCs w:val="24"/>
              </w:rPr>
              <w:t>Возможности</w:t>
            </w:r>
          </w:p>
        </w:tc>
        <w:tc>
          <w:tcPr>
            <w:tcW w:w="2360" w:type="dxa"/>
          </w:tcPr>
          <w:p w14:paraId="4F746A83" w14:textId="5F02544B" w:rsidR="008701B9" w:rsidRPr="008701B9" w:rsidRDefault="008701B9" w:rsidP="008701B9">
            <w:pPr>
              <w:autoSpaceDE w:val="0"/>
              <w:autoSpaceDN w:val="0"/>
              <w:adjustRightInd w:val="0"/>
              <w:spacing w:after="0" w:line="240" w:lineRule="auto"/>
              <w:jc w:val="center"/>
              <w:rPr>
                <w:rFonts w:ascii="Times New Roman" w:hAnsi="Times New Roman" w:cs="Times New Roman"/>
                <w:bCs/>
                <w:sz w:val="24"/>
                <w:szCs w:val="24"/>
              </w:rPr>
            </w:pPr>
            <w:r w:rsidRPr="008701B9">
              <w:rPr>
                <w:rFonts w:ascii="Times New Roman" w:hAnsi="Times New Roman" w:cs="Times New Roman"/>
                <w:bCs/>
                <w:sz w:val="24"/>
                <w:szCs w:val="24"/>
              </w:rPr>
              <w:t>Угрозы</w:t>
            </w:r>
          </w:p>
        </w:tc>
      </w:tr>
      <w:tr w:rsidR="008701B9" w:rsidRPr="008701B9" w14:paraId="2F430B6F" w14:textId="77777777" w:rsidTr="008701B9">
        <w:tc>
          <w:tcPr>
            <w:tcW w:w="457" w:type="dxa"/>
          </w:tcPr>
          <w:p w14:paraId="6D83DE15" w14:textId="3A1A8009" w:rsidR="008701B9" w:rsidRPr="008701B9" w:rsidRDefault="008701B9" w:rsidP="0052168E">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1</w:t>
            </w:r>
          </w:p>
        </w:tc>
        <w:tc>
          <w:tcPr>
            <w:tcW w:w="3159" w:type="dxa"/>
          </w:tcPr>
          <w:p w14:paraId="76EBCD40" w14:textId="25AEA387" w:rsidR="008701B9" w:rsidRPr="008701B9" w:rsidRDefault="008701B9" w:rsidP="008701B9">
            <w:pPr>
              <w:autoSpaceDE w:val="0"/>
              <w:autoSpaceDN w:val="0"/>
              <w:adjustRightInd w:val="0"/>
              <w:spacing w:after="0" w:line="240" w:lineRule="auto"/>
              <w:jc w:val="center"/>
              <w:rPr>
                <w:rFonts w:ascii="Times New Roman" w:hAnsi="Times New Roman" w:cs="Times New Roman"/>
                <w:bCs/>
                <w:sz w:val="24"/>
                <w:szCs w:val="24"/>
              </w:rPr>
            </w:pPr>
            <w:r w:rsidRPr="008701B9">
              <w:rPr>
                <w:rFonts w:ascii="Times New Roman" w:hAnsi="Times New Roman" w:cs="Times New Roman"/>
                <w:bCs/>
                <w:sz w:val="24"/>
                <w:szCs w:val="24"/>
              </w:rPr>
              <w:t>2</w:t>
            </w:r>
          </w:p>
        </w:tc>
        <w:tc>
          <w:tcPr>
            <w:tcW w:w="3154" w:type="dxa"/>
          </w:tcPr>
          <w:p w14:paraId="4F2E19BE" w14:textId="37C425BF" w:rsidR="008701B9" w:rsidRPr="008701B9" w:rsidRDefault="008701B9" w:rsidP="008701B9">
            <w:pPr>
              <w:autoSpaceDE w:val="0"/>
              <w:autoSpaceDN w:val="0"/>
              <w:adjustRightInd w:val="0"/>
              <w:spacing w:after="0" w:line="240" w:lineRule="auto"/>
              <w:ind w:firstLine="540"/>
              <w:jc w:val="center"/>
              <w:rPr>
                <w:rFonts w:ascii="Times New Roman" w:hAnsi="Times New Roman" w:cs="Times New Roman"/>
                <w:bCs/>
                <w:sz w:val="24"/>
                <w:szCs w:val="24"/>
              </w:rPr>
            </w:pPr>
            <w:r w:rsidRPr="008701B9">
              <w:rPr>
                <w:rFonts w:ascii="Times New Roman" w:hAnsi="Times New Roman" w:cs="Times New Roman"/>
                <w:bCs/>
                <w:sz w:val="24"/>
                <w:szCs w:val="24"/>
              </w:rPr>
              <w:t>3</w:t>
            </w:r>
          </w:p>
        </w:tc>
        <w:tc>
          <w:tcPr>
            <w:tcW w:w="3224" w:type="dxa"/>
          </w:tcPr>
          <w:p w14:paraId="369E73DA" w14:textId="7AE8D099" w:rsidR="008701B9" w:rsidRPr="008701B9" w:rsidRDefault="008701B9" w:rsidP="008701B9">
            <w:pPr>
              <w:autoSpaceDE w:val="0"/>
              <w:autoSpaceDN w:val="0"/>
              <w:adjustRightInd w:val="0"/>
              <w:spacing w:after="0" w:line="240" w:lineRule="auto"/>
              <w:ind w:firstLine="540"/>
              <w:jc w:val="center"/>
              <w:rPr>
                <w:rFonts w:ascii="Times New Roman" w:hAnsi="Times New Roman" w:cs="Times New Roman"/>
                <w:bCs/>
                <w:sz w:val="24"/>
                <w:szCs w:val="24"/>
              </w:rPr>
            </w:pPr>
            <w:r w:rsidRPr="008701B9">
              <w:rPr>
                <w:rFonts w:ascii="Times New Roman" w:hAnsi="Times New Roman" w:cs="Times New Roman"/>
                <w:bCs/>
                <w:sz w:val="24"/>
                <w:szCs w:val="24"/>
              </w:rPr>
              <w:t>4</w:t>
            </w:r>
          </w:p>
        </w:tc>
        <w:tc>
          <w:tcPr>
            <w:tcW w:w="2673" w:type="dxa"/>
          </w:tcPr>
          <w:p w14:paraId="77CF4643" w14:textId="509770F9" w:rsidR="008701B9" w:rsidRPr="008701B9" w:rsidRDefault="008701B9" w:rsidP="008701B9">
            <w:pPr>
              <w:autoSpaceDE w:val="0"/>
              <w:autoSpaceDN w:val="0"/>
              <w:adjustRightInd w:val="0"/>
              <w:spacing w:after="0" w:line="240" w:lineRule="auto"/>
              <w:jc w:val="center"/>
              <w:rPr>
                <w:rFonts w:ascii="Times New Roman" w:hAnsi="Times New Roman" w:cs="Times New Roman"/>
                <w:bCs/>
                <w:sz w:val="24"/>
                <w:szCs w:val="24"/>
              </w:rPr>
            </w:pPr>
            <w:r w:rsidRPr="008701B9">
              <w:rPr>
                <w:rFonts w:ascii="Times New Roman" w:hAnsi="Times New Roman" w:cs="Times New Roman"/>
                <w:bCs/>
                <w:sz w:val="24"/>
                <w:szCs w:val="24"/>
              </w:rPr>
              <w:t>5</w:t>
            </w:r>
          </w:p>
        </w:tc>
        <w:tc>
          <w:tcPr>
            <w:tcW w:w="2360" w:type="dxa"/>
          </w:tcPr>
          <w:p w14:paraId="65C770E6" w14:textId="5CD5CFCE" w:rsidR="008701B9" w:rsidRPr="008701B9" w:rsidRDefault="008701B9" w:rsidP="008701B9">
            <w:pPr>
              <w:autoSpaceDE w:val="0"/>
              <w:autoSpaceDN w:val="0"/>
              <w:adjustRightInd w:val="0"/>
              <w:spacing w:after="0" w:line="240" w:lineRule="auto"/>
              <w:jc w:val="center"/>
              <w:rPr>
                <w:rFonts w:ascii="Times New Roman" w:hAnsi="Times New Roman" w:cs="Times New Roman"/>
                <w:bCs/>
                <w:sz w:val="24"/>
                <w:szCs w:val="24"/>
              </w:rPr>
            </w:pPr>
            <w:r w:rsidRPr="008701B9">
              <w:rPr>
                <w:rFonts w:ascii="Times New Roman" w:hAnsi="Times New Roman" w:cs="Times New Roman"/>
                <w:bCs/>
                <w:sz w:val="24"/>
                <w:szCs w:val="24"/>
              </w:rPr>
              <w:t>6</w:t>
            </w:r>
          </w:p>
        </w:tc>
      </w:tr>
      <w:tr w:rsidR="008701B9" w:rsidRPr="008701B9" w14:paraId="65EADC47" w14:textId="77777777" w:rsidTr="00891825">
        <w:tc>
          <w:tcPr>
            <w:tcW w:w="457" w:type="dxa"/>
            <w:tcBorders>
              <w:bottom w:val="single" w:sz="4" w:space="0" w:color="auto"/>
            </w:tcBorders>
          </w:tcPr>
          <w:p w14:paraId="30EC8C9F" w14:textId="77777777" w:rsidR="008701B9" w:rsidRPr="008701B9" w:rsidRDefault="008701B9" w:rsidP="0052168E">
            <w:pPr>
              <w:autoSpaceDE w:val="0"/>
              <w:autoSpaceDN w:val="0"/>
              <w:adjustRightInd w:val="0"/>
              <w:spacing w:after="0" w:line="240" w:lineRule="auto"/>
              <w:jc w:val="both"/>
              <w:rPr>
                <w:rFonts w:ascii="Times New Roman" w:hAnsi="Times New Roman" w:cs="Times New Roman"/>
                <w:bCs/>
                <w:sz w:val="24"/>
                <w:szCs w:val="24"/>
              </w:rPr>
            </w:pPr>
          </w:p>
        </w:tc>
        <w:tc>
          <w:tcPr>
            <w:tcW w:w="14570" w:type="dxa"/>
            <w:gridSpan w:val="5"/>
            <w:tcBorders>
              <w:bottom w:val="single" w:sz="4" w:space="0" w:color="auto"/>
            </w:tcBorders>
          </w:tcPr>
          <w:p w14:paraId="7DDB6CD3" w14:textId="77777777" w:rsidR="008701B9" w:rsidRPr="008701B9" w:rsidRDefault="008701B9" w:rsidP="008701B9">
            <w:pPr>
              <w:autoSpaceDE w:val="0"/>
              <w:autoSpaceDN w:val="0"/>
              <w:adjustRightInd w:val="0"/>
              <w:spacing w:after="0" w:line="240" w:lineRule="auto"/>
              <w:jc w:val="center"/>
              <w:rPr>
                <w:rFonts w:ascii="Times New Roman" w:hAnsi="Times New Roman" w:cs="Times New Roman"/>
                <w:bCs/>
                <w:sz w:val="24"/>
                <w:szCs w:val="24"/>
              </w:rPr>
            </w:pPr>
            <w:r w:rsidRPr="008701B9">
              <w:rPr>
                <w:rFonts w:ascii="Times New Roman" w:hAnsi="Times New Roman" w:cs="Times New Roman"/>
                <w:bCs/>
                <w:sz w:val="24"/>
                <w:szCs w:val="24"/>
              </w:rPr>
              <w:t>Анализ НПА по оказанию медицинской помощи при СД2т</w:t>
            </w:r>
          </w:p>
        </w:tc>
      </w:tr>
      <w:tr w:rsidR="004E2DC3" w:rsidRPr="008701B9" w14:paraId="02536E4E" w14:textId="77777777" w:rsidTr="00891825">
        <w:tc>
          <w:tcPr>
            <w:tcW w:w="457" w:type="dxa"/>
            <w:tcBorders>
              <w:bottom w:val="nil"/>
            </w:tcBorders>
          </w:tcPr>
          <w:p w14:paraId="7E1172EB" w14:textId="77777777" w:rsidR="008701B9" w:rsidRPr="008701B9" w:rsidRDefault="008701B9" w:rsidP="008701B9">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1</w:t>
            </w:r>
          </w:p>
        </w:tc>
        <w:tc>
          <w:tcPr>
            <w:tcW w:w="3159" w:type="dxa"/>
            <w:tcBorders>
              <w:bottom w:val="nil"/>
            </w:tcBorders>
          </w:tcPr>
          <w:p w14:paraId="7E72AD7C" w14:textId="77777777" w:rsidR="008701B9" w:rsidRPr="008701B9" w:rsidRDefault="008701B9" w:rsidP="008701B9">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Инструкция маршрута движения пациента с СД2т, при оказаний мультидисциплинарной помощи на уровне ПМСП (рисунок 60), изначально описан в Протоколах (стандартах) диспансеризации больных с хроническими формами заболеваний, утвержденный приказом и.о. МЗ РК от 26.12.2012г №885.</w:t>
            </w:r>
          </w:p>
        </w:tc>
        <w:tc>
          <w:tcPr>
            <w:tcW w:w="3154" w:type="dxa"/>
            <w:tcBorders>
              <w:bottom w:val="nil"/>
            </w:tcBorders>
          </w:tcPr>
          <w:p w14:paraId="107661AA" w14:textId="77777777" w:rsidR="008701B9" w:rsidRPr="008701B9" w:rsidRDefault="008701B9" w:rsidP="008701B9">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Программа позволяет максимально контролировать течение СД2т с рациональным использованием трудовых ресурсов мед.персонала, с охватом ЗОЖ программ, определенным количеством необходимых  консультации каждого специалиста (СМР, ВОП, врач эндокринолог) и лабораторных исследовании, контроль репродуктивного потенциала пациентов с СД2т</w:t>
            </w:r>
          </w:p>
        </w:tc>
        <w:tc>
          <w:tcPr>
            <w:tcW w:w="3224" w:type="dxa"/>
            <w:tcBorders>
              <w:bottom w:val="nil"/>
            </w:tcBorders>
          </w:tcPr>
          <w:p w14:paraId="491F0B29" w14:textId="74567EA1" w:rsidR="008701B9" w:rsidRPr="008701B9" w:rsidRDefault="008701B9" w:rsidP="004E2DC3">
            <w:pPr>
              <w:pStyle w:val="a3"/>
              <w:widowControl w:val="0"/>
              <w:tabs>
                <w:tab w:val="left" w:pos="426"/>
              </w:tabs>
              <w:autoSpaceDE w:val="0"/>
              <w:autoSpaceDN w:val="0"/>
              <w:adjustRightInd w:val="0"/>
              <w:spacing w:after="0" w:line="240" w:lineRule="auto"/>
              <w:ind w:left="0"/>
              <w:jc w:val="both"/>
              <w:rPr>
                <w:rFonts w:ascii="Times New Roman" w:hAnsi="Times New Roman" w:cs="Times New Roman"/>
                <w:bCs/>
                <w:sz w:val="24"/>
                <w:szCs w:val="24"/>
              </w:rPr>
            </w:pPr>
            <w:r w:rsidRPr="008701B9">
              <w:rPr>
                <w:rFonts w:ascii="Times New Roman" w:eastAsia="Times New Roman" w:hAnsi="Times New Roman" w:cs="Times New Roman"/>
                <w:bCs/>
                <w:sz w:val="24"/>
                <w:szCs w:val="24"/>
              </w:rPr>
              <w:t xml:space="preserve">Описанные функциональные обязанности персонала имели завышенные ожидания от исходных навыков и возможности выполнения их. Неподготовленный персонал к новым изменениям. Обучение проводилась в пилотном режиме, но физические возможности освоения и приобретения знании персоналом за короткие сроки (1-2нед курс) не оправдала себя. Несогласованная программа с возможностями персонала стала не реализованной, так как ВОП и его СМР не был готов к выполнению функции, которые описаны в схеме: Не владеют навыками осмотров при СД2т. </w:t>
            </w:r>
            <w:r w:rsidRPr="008701B9">
              <w:rPr>
                <w:rFonts w:ascii="Times New Roman" w:hAnsi="Times New Roman" w:cs="Times New Roman"/>
                <w:bCs/>
                <w:spacing w:val="2"/>
                <w:sz w:val="24"/>
                <w:szCs w:val="24"/>
              </w:rPr>
              <w:t xml:space="preserve">Первичный осмотр пациента проходит лишь оформлением его данных и перенаправлением к специалисту. При повторном обращении, не </w:t>
            </w:r>
          </w:p>
        </w:tc>
        <w:tc>
          <w:tcPr>
            <w:tcW w:w="2673" w:type="dxa"/>
            <w:tcBorders>
              <w:bottom w:val="nil"/>
            </w:tcBorders>
          </w:tcPr>
          <w:p w14:paraId="46FBF557" w14:textId="77777777" w:rsidR="008701B9" w:rsidRPr="008701B9" w:rsidRDefault="008701B9" w:rsidP="008701B9">
            <w:pPr>
              <w:autoSpaceDE w:val="0"/>
              <w:autoSpaceDN w:val="0"/>
              <w:adjustRightInd w:val="0"/>
              <w:spacing w:after="0" w:line="240" w:lineRule="auto"/>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При плановой поэтапной подготовке к реализации программы, обучение персонала и контроль над качественным исполнением приказа,</w:t>
            </w:r>
          </w:p>
          <w:p w14:paraId="4AFFF574" w14:textId="77777777" w:rsidR="008701B9" w:rsidRPr="008701B9" w:rsidRDefault="008701B9" w:rsidP="008701B9">
            <w:pPr>
              <w:autoSpaceDE w:val="0"/>
              <w:autoSpaceDN w:val="0"/>
              <w:adjustRightInd w:val="0"/>
              <w:spacing w:after="0" w:line="240" w:lineRule="auto"/>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возможно убрать</w:t>
            </w:r>
          </w:p>
          <w:p w14:paraId="58783DBA" w14:textId="77777777" w:rsidR="008701B9" w:rsidRPr="008701B9" w:rsidRDefault="008701B9" w:rsidP="008701B9">
            <w:pPr>
              <w:autoSpaceDE w:val="0"/>
              <w:autoSpaceDN w:val="0"/>
              <w:adjustRightInd w:val="0"/>
              <w:spacing w:after="0" w:line="240" w:lineRule="auto"/>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дублирующие функции сотрудников.</w:t>
            </w:r>
          </w:p>
          <w:p w14:paraId="17E4F991" w14:textId="77777777" w:rsidR="008701B9" w:rsidRPr="008701B9" w:rsidRDefault="008701B9" w:rsidP="008701B9">
            <w:pPr>
              <w:autoSpaceDE w:val="0"/>
              <w:autoSpaceDN w:val="0"/>
              <w:adjustRightInd w:val="0"/>
              <w:spacing w:after="0" w:line="240" w:lineRule="auto"/>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Усилить оперативное</w:t>
            </w:r>
          </w:p>
          <w:p w14:paraId="4646DFDB" w14:textId="77777777" w:rsidR="008701B9" w:rsidRPr="008701B9" w:rsidRDefault="008701B9" w:rsidP="008701B9">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управление над СД2т и его осложнениями.</w:t>
            </w:r>
          </w:p>
          <w:p w14:paraId="2806A688" w14:textId="77777777" w:rsidR="008701B9" w:rsidRPr="008701B9" w:rsidRDefault="008701B9" w:rsidP="008701B9">
            <w:pPr>
              <w:autoSpaceDE w:val="0"/>
              <w:autoSpaceDN w:val="0"/>
              <w:adjustRightInd w:val="0"/>
              <w:spacing w:after="0" w:line="240" w:lineRule="auto"/>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Рациональное</w:t>
            </w:r>
          </w:p>
          <w:p w14:paraId="222F7E4F" w14:textId="77777777" w:rsidR="008701B9" w:rsidRPr="008701B9" w:rsidRDefault="008701B9" w:rsidP="008701B9">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eastAsiaTheme="minorHAnsi" w:hAnsi="Times New Roman" w:cs="Times New Roman"/>
                <w:bCs/>
                <w:sz w:val="24"/>
                <w:szCs w:val="24"/>
                <w:lang w:eastAsia="en-US"/>
              </w:rPr>
              <w:t>использование ресурсов мультидисциплинарной команды повысит удовлетворенность пациентов и врачей рабочим процессом.</w:t>
            </w:r>
          </w:p>
        </w:tc>
        <w:tc>
          <w:tcPr>
            <w:tcW w:w="2360" w:type="dxa"/>
            <w:tcBorders>
              <w:bottom w:val="nil"/>
            </w:tcBorders>
          </w:tcPr>
          <w:p w14:paraId="130D5A71" w14:textId="77777777" w:rsidR="008701B9" w:rsidRPr="008701B9" w:rsidRDefault="008701B9" w:rsidP="008701B9">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При поверхностном отношении к выполнению функциональных обязанностей, пострадает качество оказания услуги пациентам, что может привести ухудшению состояния здоровья при СД2т. Снижение репутации медицинской организации и медицинского персонала.</w:t>
            </w:r>
          </w:p>
        </w:tc>
      </w:tr>
    </w:tbl>
    <w:p w14:paraId="3544CFEA" w14:textId="1B725F8E" w:rsidR="004E2DC3" w:rsidRDefault="004E2DC3" w:rsidP="004E2DC3">
      <w:pPr>
        <w:autoSpaceDE w:val="0"/>
        <w:autoSpaceDN w:val="0"/>
        <w:adjustRightInd w:val="0"/>
        <w:spacing w:after="0" w:line="240" w:lineRule="auto"/>
        <w:ind w:hanging="426"/>
        <w:jc w:val="both"/>
        <w:rPr>
          <w:rFonts w:ascii="Times New Roman" w:hAnsi="Times New Roman" w:cs="Times New Roman"/>
          <w:sz w:val="28"/>
          <w:szCs w:val="28"/>
        </w:rPr>
      </w:pPr>
      <w:r w:rsidRPr="004E2DC3">
        <w:rPr>
          <w:rFonts w:ascii="Times New Roman" w:hAnsi="Times New Roman" w:cs="Times New Roman"/>
          <w:sz w:val="28"/>
          <w:szCs w:val="28"/>
        </w:rPr>
        <w:t>Продолжение таблицы 54</w:t>
      </w:r>
    </w:p>
    <w:p w14:paraId="0DC89DFC" w14:textId="77777777" w:rsidR="004E2DC3" w:rsidRPr="004E2DC3" w:rsidRDefault="004E2DC3" w:rsidP="004E2DC3">
      <w:pPr>
        <w:autoSpaceDE w:val="0"/>
        <w:autoSpaceDN w:val="0"/>
        <w:adjustRightInd w:val="0"/>
        <w:spacing w:after="0" w:line="240" w:lineRule="auto"/>
        <w:ind w:hanging="426"/>
        <w:jc w:val="both"/>
        <w:rPr>
          <w:rFonts w:ascii="Times New Roman" w:hAnsi="Times New Roman" w:cs="Times New Roman"/>
          <w:sz w:val="28"/>
          <w:szCs w:val="28"/>
        </w:rPr>
      </w:pPr>
    </w:p>
    <w:tbl>
      <w:tblPr>
        <w:tblStyle w:val="a5"/>
        <w:tblW w:w="15027" w:type="dxa"/>
        <w:tblInd w:w="-431" w:type="dxa"/>
        <w:tblLook w:val="04A0" w:firstRow="1" w:lastRow="0" w:firstColumn="1" w:lastColumn="0" w:noHBand="0" w:noVBand="1"/>
      </w:tblPr>
      <w:tblGrid>
        <w:gridCol w:w="457"/>
        <w:gridCol w:w="3159"/>
        <w:gridCol w:w="3154"/>
        <w:gridCol w:w="3224"/>
        <w:gridCol w:w="2673"/>
        <w:gridCol w:w="2360"/>
      </w:tblGrid>
      <w:tr w:rsidR="004E2DC3" w:rsidRPr="008701B9" w14:paraId="40F3CD42" w14:textId="77777777" w:rsidTr="004E2DC3">
        <w:tc>
          <w:tcPr>
            <w:tcW w:w="457" w:type="dxa"/>
            <w:tcBorders>
              <w:bottom w:val="single" w:sz="4" w:space="0" w:color="auto"/>
            </w:tcBorders>
          </w:tcPr>
          <w:p w14:paraId="5A5F35F6" w14:textId="641629A0" w:rsidR="004E2DC3" w:rsidRPr="008701B9" w:rsidRDefault="004E2DC3" w:rsidP="004E2DC3">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3159" w:type="dxa"/>
            <w:tcBorders>
              <w:bottom w:val="single" w:sz="4" w:space="0" w:color="auto"/>
            </w:tcBorders>
          </w:tcPr>
          <w:p w14:paraId="11A5F284" w14:textId="4147D85C" w:rsidR="004E2DC3" w:rsidRPr="008701B9" w:rsidRDefault="004E2DC3" w:rsidP="004E2DC3">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3154" w:type="dxa"/>
            <w:tcBorders>
              <w:bottom w:val="single" w:sz="4" w:space="0" w:color="auto"/>
            </w:tcBorders>
          </w:tcPr>
          <w:p w14:paraId="265564C2" w14:textId="7C441736" w:rsidR="004E2DC3" w:rsidRPr="008701B9" w:rsidRDefault="004E2DC3" w:rsidP="004E2DC3">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w:t>
            </w:r>
          </w:p>
        </w:tc>
        <w:tc>
          <w:tcPr>
            <w:tcW w:w="3224" w:type="dxa"/>
            <w:tcBorders>
              <w:bottom w:val="single" w:sz="4" w:space="0" w:color="auto"/>
            </w:tcBorders>
          </w:tcPr>
          <w:p w14:paraId="35071FCC" w14:textId="5B3B71FE" w:rsidR="004E2DC3" w:rsidRPr="008701B9" w:rsidRDefault="004E2DC3" w:rsidP="004E2DC3">
            <w:pPr>
              <w:pStyle w:val="a3"/>
              <w:widowControl w:val="0"/>
              <w:tabs>
                <w:tab w:val="left" w:pos="426"/>
              </w:tabs>
              <w:autoSpaceDE w:val="0"/>
              <w:autoSpaceDN w:val="0"/>
              <w:adjustRightInd w:val="0"/>
              <w:spacing w:after="0" w:line="240" w:lineRule="auto"/>
              <w:ind w:left="0"/>
              <w:jc w:val="center"/>
              <w:rPr>
                <w:rFonts w:ascii="Times New Roman" w:hAnsi="Times New Roman" w:cs="Times New Roman"/>
                <w:bCs/>
                <w:spacing w:val="2"/>
                <w:sz w:val="24"/>
                <w:szCs w:val="24"/>
              </w:rPr>
            </w:pPr>
            <w:r>
              <w:rPr>
                <w:rFonts w:ascii="Times New Roman" w:hAnsi="Times New Roman" w:cs="Times New Roman"/>
                <w:bCs/>
                <w:spacing w:val="2"/>
                <w:sz w:val="24"/>
                <w:szCs w:val="24"/>
              </w:rPr>
              <w:t>4</w:t>
            </w:r>
          </w:p>
        </w:tc>
        <w:tc>
          <w:tcPr>
            <w:tcW w:w="2673" w:type="dxa"/>
            <w:tcBorders>
              <w:bottom w:val="single" w:sz="4" w:space="0" w:color="auto"/>
            </w:tcBorders>
          </w:tcPr>
          <w:p w14:paraId="6D5BAD39" w14:textId="12911563" w:rsidR="004E2DC3" w:rsidRPr="008701B9" w:rsidRDefault="004E2DC3" w:rsidP="004E2DC3">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Pr>
                <w:rFonts w:ascii="Times New Roman" w:eastAsiaTheme="minorHAnsi" w:hAnsi="Times New Roman" w:cs="Times New Roman"/>
                <w:bCs/>
                <w:sz w:val="24"/>
                <w:szCs w:val="24"/>
                <w:lang w:eastAsia="en-US"/>
              </w:rPr>
              <w:t>5</w:t>
            </w:r>
          </w:p>
        </w:tc>
        <w:tc>
          <w:tcPr>
            <w:tcW w:w="2360" w:type="dxa"/>
            <w:tcBorders>
              <w:bottom w:val="single" w:sz="4" w:space="0" w:color="auto"/>
            </w:tcBorders>
          </w:tcPr>
          <w:p w14:paraId="711154EC" w14:textId="62EE30F5" w:rsidR="004E2DC3" w:rsidRPr="008701B9" w:rsidRDefault="004E2DC3" w:rsidP="004E2DC3">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r>
      <w:tr w:rsidR="008701B9" w:rsidRPr="008701B9" w14:paraId="767F66AD" w14:textId="77777777" w:rsidTr="004E2DC3">
        <w:tc>
          <w:tcPr>
            <w:tcW w:w="457" w:type="dxa"/>
            <w:tcBorders>
              <w:bottom w:val="nil"/>
            </w:tcBorders>
          </w:tcPr>
          <w:p w14:paraId="50DF1A87" w14:textId="5A28846B" w:rsidR="008701B9" w:rsidRPr="008701B9" w:rsidRDefault="008701B9" w:rsidP="008701B9">
            <w:pPr>
              <w:autoSpaceDE w:val="0"/>
              <w:autoSpaceDN w:val="0"/>
              <w:adjustRightInd w:val="0"/>
              <w:spacing w:after="0" w:line="240" w:lineRule="auto"/>
              <w:jc w:val="both"/>
              <w:rPr>
                <w:rFonts w:ascii="Times New Roman" w:hAnsi="Times New Roman" w:cs="Times New Roman"/>
                <w:bCs/>
                <w:sz w:val="24"/>
                <w:szCs w:val="24"/>
              </w:rPr>
            </w:pPr>
          </w:p>
        </w:tc>
        <w:tc>
          <w:tcPr>
            <w:tcW w:w="3159" w:type="dxa"/>
            <w:tcBorders>
              <w:bottom w:val="nil"/>
            </w:tcBorders>
          </w:tcPr>
          <w:p w14:paraId="1A097F51" w14:textId="77777777" w:rsidR="008701B9" w:rsidRPr="008701B9" w:rsidRDefault="008701B9" w:rsidP="008701B9">
            <w:pPr>
              <w:autoSpaceDE w:val="0"/>
              <w:autoSpaceDN w:val="0"/>
              <w:adjustRightInd w:val="0"/>
              <w:spacing w:after="0" w:line="240" w:lineRule="auto"/>
              <w:jc w:val="both"/>
              <w:rPr>
                <w:rFonts w:ascii="Times New Roman" w:hAnsi="Times New Roman" w:cs="Times New Roman"/>
                <w:bCs/>
                <w:sz w:val="24"/>
                <w:szCs w:val="24"/>
              </w:rPr>
            </w:pPr>
          </w:p>
        </w:tc>
        <w:tc>
          <w:tcPr>
            <w:tcW w:w="3154" w:type="dxa"/>
            <w:tcBorders>
              <w:bottom w:val="nil"/>
            </w:tcBorders>
          </w:tcPr>
          <w:p w14:paraId="79660AD5" w14:textId="77777777" w:rsidR="008701B9" w:rsidRPr="008701B9" w:rsidRDefault="008701B9" w:rsidP="008701B9">
            <w:pPr>
              <w:autoSpaceDE w:val="0"/>
              <w:autoSpaceDN w:val="0"/>
              <w:adjustRightInd w:val="0"/>
              <w:spacing w:after="0" w:line="240" w:lineRule="auto"/>
              <w:jc w:val="both"/>
              <w:rPr>
                <w:rFonts w:ascii="Times New Roman" w:hAnsi="Times New Roman" w:cs="Times New Roman"/>
                <w:bCs/>
                <w:sz w:val="24"/>
                <w:szCs w:val="24"/>
              </w:rPr>
            </w:pPr>
          </w:p>
        </w:tc>
        <w:tc>
          <w:tcPr>
            <w:tcW w:w="3224" w:type="dxa"/>
            <w:tcBorders>
              <w:bottom w:val="nil"/>
            </w:tcBorders>
          </w:tcPr>
          <w:p w14:paraId="4D17DEED" w14:textId="77777777" w:rsidR="008701B9" w:rsidRPr="008701B9" w:rsidRDefault="008701B9" w:rsidP="008701B9">
            <w:pPr>
              <w:pStyle w:val="a3"/>
              <w:widowControl w:val="0"/>
              <w:tabs>
                <w:tab w:val="left" w:pos="426"/>
              </w:tabs>
              <w:autoSpaceDE w:val="0"/>
              <w:autoSpaceDN w:val="0"/>
              <w:adjustRightInd w:val="0"/>
              <w:spacing w:after="0" w:line="240" w:lineRule="auto"/>
              <w:ind w:left="0"/>
              <w:jc w:val="both"/>
              <w:rPr>
                <w:rFonts w:ascii="Times New Roman" w:eastAsia="Times New Roman" w:hAnsi="Times New Roman" w:cs="Times New Roman"/>
                <w:bCs/>
                <w:sz w:val="24"/>
                <w:szCs w:val="24"/>
              </w:rPr>
            </w:pPr>
            <w:r w:rsidRPr="008701B9">
              <w:rPr>
                <w:rFonts w:ascii="Times New Roman" w:hAnsi="Times New Roman" w:cs="Times New Roman"/>
                <w:bCs/>
                <w:spacing w:val="2"/>
                <w:sz w:val="24"/>
                <w:szCs w:val="24"/>
              </w:rPr>
              <w:t>проводят</w:t>
            </w:r>
            <w:r w:rsidRPr="008701B9">
              <w:rPr>
                <w:rFonts w:ascii="Times New Roman" w:eastAsia="Times New Roman" w:hAnsi="Times New Roman" w:cs="Times New Roman"/>
                <w:bCs/>
                <w:sz w:val="24"/>
                <w:szCs w:val="24"/>
              </w:rPr>
              <w:t xml:space="preserve"> дифференцирования осложнении течения заболевании, выписывают ЛС не владея о фармакодинамике и фармакокинетике препаратов, нет навыков по проведению консультации ЗОЖ, рациональному питанию, физической активности для диабетиков;</w:t>
            </w:r>
          </w:p>
          <w:p w14:paraId="27D011A6" w14:textId="77777777" w:rsidR="008701B9" w:rsidRPr="008701B9" w:rsidRDefault="008701B9" w:rsidP="008701B9">
            <w:pPr>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Согласно приказу о диспансеризации,</w:t>
            </w:r>
          </w:p>
          <w:p w14:paraId="7441E831" w14:textId="77777777" w:rsidR="008701B9" w:rsidRPr="008701B9" w:rsidRDefault="008701B9" w:rsidP="008701B9">
            <w:pPr>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при прогрессирований осложнении, ВОП направляет пациента в стационар, после выписки повторно осматривает и назначает дальнейший план введения</w:t>
            </w:r>
          </w:p>
          <w:p w14:paraId="5ABA875C" w14:textId="2E44AB49" w:rsidR="008701B9" w:rsidRPr="008701B9" w:rsidRDefault="008701B9" w:rsidP="008701B9">
            <w:pPr>
              <w:pStyle w:val="a3"/>
              <w:widowControl w:val="0"/>
              <w:tabs>
                <w:tab w:val="left" w:pos="426"/>
              </w:tabs>
              <w:autoSpaceDE w:val="0"/>
              <w:autoSpaceDN w:val="0"/>
              <w:adjustRightInd w:val="0"/>
              <w:spacing w:after="0" w:line="240" w:lineRule="auto"/>
              <w:ind w:left="0"/>
              <w:jc w:val="both"/>
              <w:rPr>
                <w:rFonts w:ascii="Times New Roman" w:eastAsia="Times New Roman" w:hAnsi="Times New Roman" w:cs="Times New Roman"/>
                <w:bCs/>
                <w:sz w:val="24"/>
                <w:szCs w:val="24"/>
              </w:rPr>
            </w:pPr>
            <w:r w:rsidRPr="008701B9">
              <w:rPr>
                <w:rFonts w:ascii="Times New Roman" w:hAnsi="Times New Roman" w:cs="Times New Roman"/>
                <w:bCs/>
                <w:sz w:val="24"/>
                <w:szCs w:val="24"/>
              </w:rPr>
              <w:t xml:space="preserve">По сей день эти функции выполняют эндокринологи, делегирования функциональных обязанностей не реализована в этом плане, так, как только эндокринолог может определить состояние, требующее круглосуточного наблюдения пациента. </w:t>
            </w:r>
          </w:p>
        </w:tc>
        <w:tc>
          <w:tcPr>
            <w:tcW w:w="2673" w:type="dxa"/>
            <w:tcBorders>
              <w:bottom w:val="nil"/>
            </w:tcBorders>
          </w:tcPr>
          <w:p w14:paraId="40E7C989" w14:textId="77777777" w:rsidR="008701B9" w:rsidRPr="008701B9" w:rsidRDefault="008701B9" w:rsidP="008701B9">
            <w:pPr>
              <w:autoSpaceDE w:val="0"/>
              <w:autoSpaceDN w:val="0"/>
              <w:adjustRightInd w:val="0"/>
              <w:spacing w:after="0" w:line="240" w:lineRule="auto"/>
              <w:rPr>
                <w:rFonts w:ascii="Times New Roman" w:eastAsiaTheme="minorHAnsi" w:hAnsi="Times New Roman" w:cs="Times New Roman"/>
                <w:bCs/>
                <w:sz w:val="24"/>
                <w:szCs w:val="24"/>
                <w:lang w:eastAsia="en-US"/>
              </w:rPr>
            </w:pPr>
          </w:p>
        </w:tc>
        <w:tc>
          <w:tcPr>
            <w:tcW w:w="2360" w:type="dxa"/>
            <w:tcBorders>
              <w:bottom w:val="nil"/>
            </w:tcBorders>
          </w:tcPr>
          <w:p w14:paraId="172B62F1" w14:textId="77777777" w:rsidR="008701B9" w:rsidRPr="008701B9" w:rsidRDefault="008701B9" w:rsidP="008701B9">
            <w:pPr>
              <w:autoSpaceDE w:val="0"/>
              <w:autoSpaceDN w:val="0"/>
              <w:adjustRightInd w:val="0"/>
              <w:spacing w:after="0" w:line="240" w:lineRule="auto"/>
              <w:jc w:val="both"/>
              <w:rPr>
                <w:rFonts w:ascii="Times New Roman" w:hAnsi="Times New Roman" w:cs="Times New Roman"/>
                <w:bCs/>
                <w:sz w:val="24"/>
                <w:szCs w:val="24"/>
              </w:rPr>
            </w:pPr>
          </w:p>
        </w:tc>
      </w:tr>
    </w:tbl>
    <w:p w14:paraId="03D8741F" w14:textId="21EB8B6D" w:rsidR="004E2DC3" w:rsidRDefault="004E2DC3" w:rsidP="004E2DC3">
      <w:pPr>
        <w:autoSpaceDE w:val="0"/>
        <w:autoSpaceDN w:val="0"/>
        <w:adjustRightInd w:val="0"/>
        <w:spacing w:after="0" w:line="240" w:lineRule="auto"/>
        <w:ind w:hanging="426"/>
        <w:jc w:val="both"/>
        <w:rPr>
          <w:rFonts w:ascii="Times New Roman" w:hAnsi="Times New Roman" w:cs="Times New Roman"/>
          <w:sz w:val="28"/>
          <w:szCs w:val="28"/>
        </w:rPr>
      </w:pPr>
      <w:r w:rsidRPr="004E2DC3">
        <w:rPr>
          <w:rFonts w:ascii="Times New Roman" w:hAnsi="Times New Roman" w:cs="Times New Roman"/>
          <w:sz w:val="28"/>
          <w:szCs w:val="28"/>
        </w:rPr>
        <w:t>Продолжение таблицы 54</w:t>
      </w:r>
    </w:p>
    <w:p w14:paraId="645096FB" w14:textId="77777777" w:rsidR="004E2DC3" w:rsidRDefault="004E2DC3" w:rsidP="004E2DC3">
      <w:pPr>
        <w:autoSpaceDE w:val="0"/>
        <w:autoSpaceDN w:val="0"/>
        <w:adjustRightInd w:val="0"/>
        <w:spacing w:after="0" w:line="240" w:lineRule="auto"/>
        <w:ind w:hanging="426"/>
        <w:jc w:val="both"/>
        <w:rPr>
          <w:rFonts w:ascii="Times New Roman" w:hAnsi="Times New Roman" w:cs="Times New Roman"/>
          <w:sz w:val="28"/>
          <w:szCs w:val="28"/>
        </w:rPr>
      </w:pPr>
    </w:p>
    <w:tbl>
      <w:tblPr>
        <w:tblStyle w:val="a5"/>
        <w:tblW w:w="15027" w:type="dxa"/>
        <w:tblInd w:w="-431" w:type="dxa"/>
        <w:tblLook w:val="04A0" w:firstRow="1" w:lastRow="0" w:firstColumn="1" w:lastColumn="0" w:noHBand="0" w:noVBand="1"/>
      </w:tblPr>
      <w:tblGrid>
        <w:gridCol w:w="457"/>
        <w:gridCol w:w="3159"/>
        <w:gridCol w:w="3154"/>
        <w:gridCol w:w="3224"/>
        <w:gridCol w:w="2673"/>
        <w:gridCol w:w="2360"/>
      </w:tblGrid>
      <w:tr w:rsidR="008701B9" w:rsidRPr="008701B9" w14:paraId="4B4C1625" w14:textId="77777777" w:rsidTr="008701B9">
        <w:tc>
          <w:tcPr>
            <w:tcW w:w="457" w:type="dxa"/>
          </w:tcPr>
          <w:p w14:paraId="311AC168" w14:textId="02BD18D8" w:rsidR="008701B9" w:rsidRPr="008701B9" w:rsidRDefault="004E2DC3" w:rsidP="004E2DC3">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3159" w:type="dxa"/>
          </w:tcPr>
          <w:p w14:paraId="6A7A8D4B" w14:textId="2B6EBB09" w:rsidR="008701B9" w:rsidRPr="008701B9" w:rsidRDefault="004E2DC3" w:rsidP="004E2DC3">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3154" w:type="dxa"/>
          </w:tcPr>
          <w:p w14:paraId="7A8B6044" w14:textId="520A1453" w:rsidR="008701B9" w:rsidRPr="008701B9" w:rsidRDefault="004E2DC3" w:rsidP="004E2DC3">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w:t>
            </w:r>
          </w:p>
        </w:tc>
        <w:tc>
          <w:tcPr>
            <w:tcW w:w="3224" w:type="dxa"/>
          </w:tcPr>
          <w:p w14:paraId="4FF911BB" w14:textId="67BA8CA4" w:rsidR="008701B9" w:rsidRPr="008701B9" w:rsidRDefault="004E2DC3" w:rsidP="004E2DC3">
            <w:pPr>
              <w:pStyle w:val="a3"/>
              <w:widowControl w:val="0"/>
              <w:tabs>
                <w:tab w:val="left" w:pos="426"/>
              </w:tabs>
              <w:autoSpaceDE w:val="0"/>
              <w:autoSpaceDN w:val="0"/>
              <w:adjustRightInd w:val="0"/>
              <w:spacing w:after="0" w:line="240" w:lineRule="auto"/>
              <w:ind w:left="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w:t>
            </w:r>
          </w:p>
        </w:tc>
        <w:tc>
          <w:tcPr>
            <w:tcW w:w="2673" w:type="dxa"/>
          </w:tcPr>
          <w:p w14:paraId="212A04AF" w14:textId="7AB25D45" w:rsidR="008701B9" w:rsidRPr="008701B9" w:rsidRDefault="004E2DC3" w:rsidP="004E2DC3">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Pr>
                <w:rFonts w:ascii="Times New Roman" w:eastAsiaTheme="minorHAnsi" w:hAnsi="Times New Roman" w:cs="Times New Roman"/>
                <w:bCs/>
                <w:sz w:val="24"/>
                <w:szCs w:val="24"/>
                <w:lang w:eastAsia="en-US"/>
              </w:rPr>
              <w:t>5</w:t>
            </w:r>
          </w:p>
        </w:tc>
        <w:tc>
          <w:tcPr>
            <w:tcW w:w="2360" w:type="dxa"/>
          </w:tcPr>
          <w:p w14:paraId="64026791" w14:textId="27B11D46" w:rsidR="008701B9" w:rsidRPr="008701B9" w:rsidRDefault="004E2DC3" w:rsidP="004E2DC3">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r>
      <w:tr w:rsidR="008701B9" w:rsidRPr="008701B9" w14:paraId="48B7364B" w14:textId="77777777" w:rsidTr="00891825">
        <w:tc>
          <w:tcPr>
            <w:tcW w:w="457" w:type="dxa"/>
            <w:tcBorders>
              <w:bottom w:val="single" w:sz="4" w:space="0" w:color="auto"/>
            </w:tcBorders>
          </w:tcPr>
          <w:p w14:paraId="6291CBD1" w14:textId="77777777" w:rsidR="008701B9" w:rsidRPr="008701B9" w:rsidRDefault="008701B9" w:rsidP="008701B9">
            <w:pPr>
              <w:autoSpaceDE w:val="0"/>
              <w:autoSpaceDN w:val="0"/>
              <w:adjustRightInd w:val="0"/>
              <w:spacing w:after="0" w:line="240" w:lineRule="auto"/>
              <w:jc w:val="both"/>
              <w:rPr>
                <w:rFonts w:ascii="Times New Roman" w:hAnsi="Times New Roman" w:cs="Times New Roman"/>
                <w:bCs/>
                <w:sz w:val="24"/>
                <w:szCs w:val="24"/>
              </w:rPr>
            </w:pPr>
          </w:p>
        </w:tc>
        <w:tc>
          <w:tcPr>
            <w:tcW w:w="3159" w:type="dxa"/>
            <w:tcBorders>
              <w:bottom w:val="single" w:sz="4" w:space="0" w:color="auto"/>
            </w:tcBorders>
          </w:tcPr>
          <w:p w14:paraId="0E44F482" w14:textId="77777777" w:rsidR="008701B9" w:rsidRPr="008701B9" w:rsidRDefault="008701B9" w:rsidP="008701B9">
            <w:pPr>
              <w:autoSpaceDE w:val="0"/>
              <w:autoSpaceDN w:val="0"/>
              <w:adjustRightInd w:val="0"/>
              <w:spacing w:after="0" w:line="240" w:lineRule="auto"/>
              <w:jc w:val="both"/>
              <w:rPr>
                <w:rFonts w:ascii="Times New Roman" w:hAnsi="Times New Roman" w:cs="Times New Roman"/>
                <w:bCs/>
                <w:sz w:val="24"/>
                <w:szCs w:val="24"/>
              </w:rPr>
            </w:pPr>
          </w:p>
        </w:tc>
        <w:tc>
          <w:tcPr>
            <w:tcW w:w="3154" w:type="dxa"/>
            <w:tcBorders>
              <w:bottom w:val="single" w:sz="4" w:space="0" w:color="auto"/>
            </w:tcBorders>
          </w:tcPr>
          <w:p w14:paraId="0664E211" w14:textId="77777777" w:rsidR="008701B9" w:rsidRPr="008701B9" w:rsidRDefault="008701B9" w:rsidP="008701B9">
            <w:pPr>
              <w:autoSpaceDE w:val="0"/>
              <w:autoSpaceDN w:val="0"/>
              <w:adjustRightInd w:val="0"/>
              <w:spacing w:after="0" w:line="240" w:lineRule="auto"/>
              <w:jc w:val="both"/>
              <w:rPr>
                <w:rFonts w:ascii="Times New Roman" w:hAnsi="Times New Roman" w:cs="Times New Roman"/>
                <w:bCs/>
                <w:sz w:val="24"/>
                <w:szCs w:val="24"/>
              </w:rPr>
            </w:pPr>
          </w:p>
        </w:tc>
        <w:tc>
          <w:tcPr>
            <w:tcW w:w="3224" w:type="dxa"/>
            <w:tcBorders>
              <w:bottom w:val="single" w:sz="4" w:space="0" w:color="auto"/>
            </w:tcBorders>
          </w:tcPr>
          <w:p w14:paraId="67415A8C" w14:textId="11A6E703" w:rsidR="008701B9" w:rsidRPr="008701B9" w:rsidRDefault="004E2DC3" w:rsidP="008701B9">
            <w:pPr>
              <w:pStyle w:val="a3"/>
              <w:widowControl w:val="0"/>
              <w:tabs>
                <w:tab w:val="left" w:pos="426"/>
              </w:tabs>
              <w:autoSpaceDE w:val="0"/>
              <w:autoSpaceDN w:val="0"/>
              <w:adjustRightInd w:val="0"/>
              <w:spacing w:after="0" w:line="240" w:lineRule="auto"/>
              <w:ind w:left="0"/>
              <w:jc w:val="both"/>
              <w:rPr>
                <w:rFonts w:ascii="Times New Roman" w:eastAsia="Times New Roman" w:hAnsi="Times New Roman" w:cs="Times New Roman"/>
                <w:bCs/>
                <w:sz w:val="24"/>
                <w:szCs w:val="24"/>
              </w:rPr>
            </w:pPr>
            <w:r w:rsidRPr="008701B9">
              <w:rPr>
                <w:rFonts w:ascii="Times New Roman" w:hAnsi="Times New Roman" w:cs="Times New Roman"/>
                <w:bCs/>
                <w:sz w:val="24"/>
                <w:szCs w:val="24"/>
              </w:rPr>
              <w:t>Планирование беременности при СД2т с учетом общего</w:t>
            </w:r>
            <w:r>
              <w:rPr>
                <w:rFonts w:ascii="Times New Roman" w:hAnsi="Times New Roman" w:cs="Times New Roman"/>
                <w:bCs/>
                <w:sz w:val="24"/>
                <w:szCs w:val="24"/>
              </w:rPr>
              <w:t xml:space="preserve"> </w:t>
            </w:r>
            <w:r w:rsidRPr="008701B9">
              <w:rPr>
                <w:rFonts w:ascii="Times New Roman" w:hAnsi="Times New Roman" w:cs="Times New Roman"/>
                <w:bCs/>
                <w:sz w:val="24"/>
                <w:szCs w:val="24"/>
              </w:rPr>
              <w:t>состояния здоровья и соответствующего назначения, так же не надлежащем уровне, зачастую врачи контролируют постфактум.</w:t>
            </w:r>
            <w:r w:rsidRPr="008701B9">
              <w:rPr>
                <w:rFonts w:ascii="Times New Roman" w:eastAsia="Times New Roman" w:hAnsi="Times New Roman" w:cs="Times New Roman"/>
                <w:bCs/>
                <w:sz w:val="24"/>
                <w:szCs w:val="24"/>
              </w:rPr>
              <w:t xml:space="preserve"> Рабочий процесс как марафон по оформлению документации. Не было контроля над качеством выполнения функции и объемами работы мед персонала по приказу; зачастую, персонал не был ознакомлен с приказом.</w:t>
            </w:r>
          </w:p>
        </w:tc>
        <w:tc>
          <w:tcPr>
            <w:tcW w:w="2673" w:type="dxa"/>
            <w:tcBorders>
              <w:bottom w:val="single" w:sz="4" w:space="0" w:color="auto"/>
            </w:tcBorders>
          </w:tcPr>
          <w:p w14:paraId="513BABCA" w14:textId="77777777" w:rsidR="008701B9" w:rsidRPr="008701B9" w:rsidRDefault="008701B9" w:rsidP="008701B9">
            <w:pPr>
              <w:autoSpaceDE w:val="0"/>
              <w:autoSpaceDN w:val="0"/>
              <w:adjustRightInd w:val="0"/>
              <w:spacing w:after="0" w:line="240" w:lineRule="auto"/>
              <w:rPr>
                <w:rFonts w:ascii="Times New Roman" w:eastAsiaTheme="minorHAnsi" w:hAnsi="Times New Roman" w:cs="Times New Roman"/>
                <w:bCs/>
                <w:sz w:val="24"/>
                <w:szCs w:val="24"/>
                <w:lang w:eastAsia="en-US"/>
              </w:rPr>
            </w:pPr>
          </w:p>
        </w:tc>
        <w:tc>
          <w:tcPr>
            <w:tcW w:w="2360" w:type="dxa"/>
            <w:tcBorders>
              <w:bottom w:val="single" w:sz="4" w:space="0" w:color="auto"/>
            </w:tcBorders>
          </w:tcPr>
          <w:p w14:paraId="793A32AE" w14:textId="77777777" w:rsidR="008701B9" w:rsidRPr="008701B9" w:rsidRDefault="008701B9" w:rsidP="008701B9">
            <w:pPr>
              <w:autoSpaceDE w:val="0"/>
              <w:autoSpaceDN w:val="0"/>
              <w:adjustRightInd w:val="0"/>
              <w:spacing w:after="0" w:line="240" w:lineRule="auto"/>
              <w:jc w:val="both"/>
              <w:rPr>
                <w:rFonts w:ascii="Times New Roman" w:hAnsi="Times New Roman" w:cs="Times New Roman"/>
                <w:bCs/>
                <w:sz w:val="24"/>
                <w:szCs w:val="24"/>
              </w:rPr>
            </w:pPr>
          </w:p>
        </w:tc>
      </w:tr>
      <w:tr w:rsidR="004E2DC3" w:rsidRPr="008701B9" w14:paraId="54BBB283" w14:textId="77777777" w:rsidTr="00891825">
        <w:tc>
          <w:tcPr>
            <w:tcW w:w="457" w:type="dxa"/>
            <w:tcBorders>
              <w:bottom w:val="nil"/>
            </w:tcBorders>
          </w:tcPr>
          <w:p w14:paraId="1E2318F0" w14:textId="04D64D9E"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2</w:t>
            </w:r>
          </w:p>
        </w:tc>
        <w:tc>
          <w:tcPr>
            <w:tcW w:w="3159" w:type="dxa"/>
            <w:tcBorders>
              <w:bottom w:val="nil"/>
            </w:tcBorders>
          </w:tcPr>
          <w:p w14:paraId="2C6C5169" w14:textId="77777777" w:rsidR="004E2DC3" w:rsidRPr="008701B9" w:rsidRDefault="004E2DC3" w:rsidP="004E2DC3">
            <w:pPr>
              <w:autoSpaceDE w:val="0"/>
              <w:autoSpaceDN w:val="0"/>
              <w:adjustRightInd w:val="0"/>
              <w:spacing w:after="0" w:line="240" w:lineRule="auto"/>
              <w:jc w:val="both"/>
              <w:rPr>
                <w:rFonts w:ascii="Times New Roman" w:hAnsi="Times New Roman" w:cs="Times New Roman"/>
                <w:bCs/>
                <w:spacing w:val="2"/>
                <w:sz w:val="24"/>
                <w:szCs w:val="24"/>
              </w:rPr>
            </w:pPr>
            <w:r w:rsidRPr="008701B9">
              <w:rPr>
                <w:rFonts w:ascii="Times New Roman" w:hAnsi="Times New Roman" w:cs="Times New Roman"/>
                <w:bCs/>
                <w:spacing w:val="2"/>
                <w:sz w:val="24"/>
                <w:szCs w:val="24"/>
              </w:rPr>
              <w:t>Оказание консультативно-диагностическая помощь при СД2т, согласно </w:t>
            </w:r>
            <w:r w:rsidRPr="008701B9">
              <w:rPr>
                <w:rFonts w:ascii="Times New Roman" w:eastAsiaTheme="majorEastAsia" w:hAnsi="Times New Roman" w:cs="Times New Roman"/>
                <w:bCs/>
                <w:spacing w:val="2"/>
                <w:sz w:val="24"/>
                <w:szCs w:val="24"/>
              </w:rPr>
              <w:t>правилам</w:t>
            </w:r>
            <w:r w:rsidRPr="008701B9">
              <w:rPr>
                <w:rFonts w:ascii="Times New Roman" w:hAnsi="Times New Roman" w:cs="Times New Roman"/>
                <w:bCs/>
                <w:spacing w:val="2"/>
                <w:sz w:val="24"/>
                <w:szCs w:val="24"/>
              </w:rPr>
              <w:t xml:space="preserve"> КДП. Утвержден приказом МЗиСР РК от 28.07. 2015г № 626. Дополнен </w:t>
            </w:r>
          </w:p>
          <w:p w14:paraId="43806E94" w14:textId="54050F9B"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eastAsia="Times New Roman" w:hAnsi="Times New Roman" w:cs="Times New Roman"/>
                <w:bCs/>
                <w:kern w:val="36"/>
                <w:sz w:val="24"/>
                <w:szCs w:val="24"/>
              </w:rPr>
              <w:t xml:space="preserve">Стандартом организации оказания эндокринологической помощи в РК. </w:t>
            </w:r>
            <w:r w:rsidRPr="008701B9">
              <w:rPr>
                <w:rFonts w:ascii="Times New Roman" w:eastAsia="Times New Roman" w:hAnsi="Times New Roman" w:cs="Times New Roman"/>
                <w:bCs/>
                <w:spacing w:val="2"/>
                <w:sz w:val="24"/>
                <w:szCs w:val="24"/>
              </w:rPr>
              <w:t xml:space="preserve">Приказ МЗиСР РК от 6 июня 2016 года № 478. Зарегистрирован в </w:t>
            </w:r>
          </w:p>
        </w:tc>
        <w:tc>
          <w:tcPr>
            <w:tcW w:w="3154" w:type="dxa"/>
            <w:tcBorders>
              <w:bottom w:val="nil"/>
            </w:tcBorders>
          </w:tcPr>
          <w:p w14:paraId="764CC01A" w14:textId="77777777"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Узкие специалисты оказывают только консультативную деятельность.</w:t>
            </w:r>
          </w:p>
          <w:p w14:paraId="7972960F" w14:textId="77777777" w:rsidR="004E2DC3" w:rsidRPr="008701B9" w:rsidRDefault="004E2DC3" w:rsidP="004E2DC3">
            <w:pPr>
              <w:autoSpaceDE w:val="0"/>
              <w:autoSpaceDN w:val="0"/>
              <w:adjustRightInd w:val="0"/>
              <w:spacing w:after="0" w:line="240" w:lineRule="auto"/>
              <w:jc w:val="both"/>
              <w:rPr>
                <w:rFonts w:ascii="Times New Roman" w:eastAsia="Times New Roman" w:hAnsi="Times New Roman" w:cs="Times New Roman"/>
                <w:bCs/>
                <w:spacing w:val="2"/>
                <w:sz w:val="24"/>
                <w:szCs w:val="24"/>
              </w:rPr>
            </w:pPr>
            <w:r w:rsidRPr="008701B9">
              <w:rPr>
                <w:rFonts w:ascii="Times New Roman" w:eastAsia="Times New Roman" w:hAnsi="Times New Roman" w:cs="Times New Roman"/>
                <w:bCs/>
                <w:spacing w:val="2"/>
                <w:sz w:val="24"/>
                <w:szCs w:val="24"/>
              </w:rPr>
              <w:t xml:space="preserve">Врач-эндокринолог при оказании КДП предоставляет заключение осмотра врачу ПМСП. Врач ПМСП осуществляет дальнейшее наблюдение за пациентом. </w:t>
            </w:r>
          </w:p>
          <w:p w14:paraId="311EF0DE" w14:textId="6A427F1E"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eastAsia="Times New Roman" w:hAnsi="Times New Roman" w:cs="Times New Roman"/>
                <w:bCs/>
                <w:spacing w:val="2"/>
                <w:sz w:val="24"/>
                <w:szCs w:val="24"/>
              </w:rPr>
              <w:t xml:space="preserve">Врач-эндокринолог, при наличии показаний выдает и при необходимости </w:t>
            </w:r>
          </w:p>
        </w:tc>
        <w:tc>
          <w:tcPr>
            <w:tcW w:w="3224" w:type="dxa"/>
            <w:tcBorders>
              <w:bottom w:val="nil"/>
            </w:tcBorders>
          </w:tcPr>
          <w:p w14:paraId="0B0B4AF8" w14:textId="10CB00E7" w:rsidR="004E2DC3" w:rsidRPr="008701B9" w:rsidRDefault="004E2DC3" w:rsidP="004E2DC3">
            <w:pPr>
              <w:pStyle w:val="a3"/>
              <w:widowControl w:val="0"/>
              <w:tabs>
                <w:tab w:val="left" w:pos="426"/>
              </w:tabs>
              <w:autoSpaceDE w:val="0"/>
              <w:autoSpaceDN w:val="0"/>
              <w:adjustRightInd w:val="0"/>
              <w:spacing w:after="0" w:line="240" w:lineRule="auto"/>
              <w:ind w:left="0"/>
              <w:jc w:val="both"/>
              <w:rPr>
                <w:rFonts w:ascii="Times New Roman" w:eastAsia="Times New Roman" w:hAnsi="Times New Roman" w:cs="Times New Roman"/>
                <w:bCs/>
                <w:sz w:val="24"/>
                <w:szCs w:val="24"/>
              </w:rPr>
            </w:pPr>
            <w:r w:rsidRPr="008701B9">
              <w:rPr>
                <w:rFonts w:ascii="Times New Roman" w:hAnsi="Times New Roman" w:cs="Times New Roman"/>
                <w:bCs/>
                <w:sz w:val="24"/>
                <w:szCs w:val="24"/>
              </w:rPr>
              <w:t>На практике эндокринологи сталкиваются оформлением документации делегированные к ВОП до сих пор.</w:t>
            </w:r>
          </w:p>
        </w:tc>
        <w:tc>
          <w:tcPr>
            <w:tcW w:w="2673" w:type="dxa"/>
            <w:tcBorders>
              <w:bottom w:val="nil"/>
            </w:tcBorders>
          </w:tcPr>
          <w:p w14:paraId="4B47C929" w14:textId="56EE476D" w:rsidR="004E2DC3" w:rsidRPr="008701B9" w:rsidRDefault="004E2DC3" w:rsidP="004E2DC3">
            <w:pPr>
              <w:autoSpaceDE w:val="0"/>
              <w:autoSpaceDN w:val="0"/>
              <w:adjustRightInd w:val="0"/>
              <w:spacing w:after="0" w:line="240" w:lineRule="auto"/>
              <w:rPr>
                <w:rFonts w:ascii="Times New Roman" w:eastAsiaTheme="minorHAnsi" w:hAnsi="Times New Roman" w:cs="Times New Roman"/>
                <w:bCs/>
                <w:sz w:val="24"/>
                <w:szCs w:val="24"/>
                <w:lang w:eastAsia="en-US"/>
              </w:rPr>
            </w:pPr>
            <w:r w:rsidRPr="008701B9">
              <w:rPr>
                <w:rFonts w:ascii="Times New Roman" w:hAnsi="Times New Roman" w:cs="Times New Roman"/>
                <w:bCs/>
                <w:sz w:val="24"/>
                <w:szCs w:val="24"/>
              </w:rPr>
              <w:t>Необходимо на пятиминутке разбирать, при необходимости повторно приказы МЗ РК, что в свою очередь приведет к  их реализации</w:t>
            </w:r>
          </w:p>
        </w:tc>
        <w:tc>
          <w:tcPr>
            <w:tcW w:w="2360" w:type="dxa"/>
            <w:tcBorders>
              <w:bottom w:val="nil"/>
            </w:tcBorders>
          </w:tcPr>
          <w:p w14:paraId="1BFD0529" w14:textId="0E371291"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Конфликтные ситуации между медицинским персоналом и администрацией</w:t>
            </w:r>
          </w:p>
        </w:tc>
      </w:tr>
    </w:tbl>
    <w:p w14:paraId="501C12AB" w14:textId="24589731" w:rsidR="004E2DC3" w:rsidRDefault="004E2DC3" w:rsidP="004E2DC3">
      <w:pPr>
        <w:autoSpaceDE w:val="0"/>
        <w:autoSpaceDN w:val="0"/>
        <w:adjustRightInd w:val="0"/>
        <w:spacing w:after="0" w:line="240" w:lineRule="auto"/>
        <w:ind w:hanging="426"/>
        <w:jc w:val="both"/>
        <w:rPr>
          <w:rFonts w:ascii="Times New Roman" w:hAnsi="Times New Roman" w:cs="Times New Roman"/>
          <w:sz w:val="28"/>
          <w:szCs w:val="28"/>
        </w:rPr>
      </w:pPr>
      <w:r w:rsidRPr="004E2DC3">
        <w:rPr>
          <w:rFonts w:ascii="Times New Roman" w:hAnsi="Times New Roman" w:cs="Times New Roman"/>
          <w:sz w:val="28"/>
          <w:szCs w:val="28"/>
        </w:rPr>
        <w:t>Продолжение таблицы 54</w:t>
      </w:r>
    </w:p>
    <w:p w14:paraId="75ACF9D4" w14:textId="77777777" w:rsidR="004E2DC3" w:rsidRPr="004E2DC3" w:rsidRDefault="004E2DC3" w:rsidP="004E2DC3">
      <w:pPr>
        <w:autoSpaceDE w:val="0"/>
        <w:autoSpaceDN w:val="0"/>
        <w:adjustRightInd w:val="0"/>
        <w:spacing w:after="0" w:line="240" w:lineRule="auto"/>
        <w:ind w:hanging="426"/>
        <w:jc w:val="both"/>
        <w:rPr>
          <w:rFonts w:ascii="Times New Roman" w:hAnsi="Times New Roman" w:cs="Times New Roman"/>
          <w:sz w:val="28"/>
          <w:szCs w:val="28"/>
        </w:rPr>
      </w:pPr>
    </w:p>
    <w:tbl>
      <w:tblPr>
        <w:tblStyle w:val="a5"/>
        <w:tblW w:w="15027" w:type="dxa"/>
        <w:tblInd w:w="-431" w:type="dxa"/>
        <w:tblLook w:val="04A0" w:firstRow="1" w:lastRow="0" w:firstColumn="1" w:lastColumn="0" w:noHBand="0" w:noVBand="1"/>
      </w:tblPr>
      <w:tblGrid>
        <w:gridCol w:w="457"/>
        <w:gridCol w:w="3159"/>
        <w:gridCol w:w="3154"/>
        <w:gridCol w:w="3224"/>
        <w:gridCol w:w="2673"/>
        <w:gridCol w:w="2360"/>
      </w:tblGrid>
      <w:tr w:rsidR="004E2DC3" w:rsidRPr="008701B9" w14:paraId="60C94493" w14:textId="77777777" w:rsidTr="008701B9">
        <w:tc>
          <w:tcPr>
            <w:tcW w:w="457" w:type="dxa"/>
          </w:tcPr>
          <w:p w14:paraId="2D102602" w14:textId="07F941B7" w:rsidR="004E2DC3" w:rsidRPr="008701B9" w:rsidRDefault="004E2DC3" w:rsidP="004E2DC3">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3159" w:type="dxa"/>
          </w:tcPr>
          <w:p w14:paraId="5F8EE37B" w14:textId="005ABB2A" w:rsidR="004E2DC3" w:rsidRPr="008701B9" w:rsidRDefault="004E2DC3" w:rsidP="004E2DC3">
            <w:pPr>
              <w:autoSpaceDE w:val="0"/>
              <w:autoSpaceDN w:val="0"/>
              <w:adjustRightInd w:val="0"/>
              <w:spacing w:after="0" w:line="240" w:lineRule="auto"/>
              <w:jc w:val="center"/>
              <w:rPr>
                <w:rFonts w:ascii="Times New Roman" w:eastAsia="Times New Roman" w:hAnsi="Times New Roman" w:cs="Times New Roman"/>
                <w:bCs/>
                <w:spacing w:val="2"/>
                <w:sz w:val="24"/>
                <w:szCs w:val="24"/>
              </w:rPr>
            </w:pPr>
            <w:r>
              <w:rPr>
                <w:rFonts w:ascii="Times New Roman" w:eastAsia="Times New Roman" w:hAnsi="Times New Roman" w:cs="Times New Roman"/>
                <w:bCs/>
                <w:spacing w:val="2"/>
                <w:sz w:val="24"/>
                <w:szCs w:val="24"/>
              </w:rPr>
              <w:t>2</w:t>
            </w:r>
          </w:p>
        </w:tc>
        <w:tc>
          <w:tcPr>
            <w:tcW w:w="3154" w:type="dxa"/>
          </w:tcPr>
          <w:p w14:paraId="07B9CDD6" w14:textId="33CAD7C8" w:rsidR="004E2DC3" w:rsidRPr="008701B9" w:rsidRDefault="004E2DC3" w:rsidP="004E2DC3">
            <w:pPr>
              <w:autoSpaceDE w:val="0"/>
              <w:autoSpaceDN w:val="0"/>
              <w:adjustRightInd w:val="0"/>
              <w:spacing w:after="0" w:line="240" w:lineRule="auto"/>
              <w:jc w:val="center"/>
              <w:rPr>
                <w:rFonts w:ascii="Times New Roman" w:eastAsia="Times New Roman" w:hAnsi="Times New Roman" w:cs="Times New Roman"/>
                <w:bCs/>
                <w:spacing w:val="2"/>
                <w:sz w:val="24"/>
                <w:szCs w:val="24"/>
              </w:rPr>
            </w:pPr>
            <w:r>
              <w:rPr>
                <w:rFonts w:ascii="Times New Roman" w:eastAsia="Times New Roman" w:hAnsi="Times New Roman" w:cs="Times New Roman"/>
                <w:bCs/>
                <w:spacing w:val="2"/>
                <w:sz w:val="24"/>
                <w:szCs w:val="24"/>
              </w:rPr>
              <w:t>3</w:t>
            </w:r>
          </w:p>
        </w:tc>
        <w:tc>
          <w:tcPr>
            <w:tcW w:w="3224" w:type="dxa"/>
          </w:tcPr>
          <w:p w14:paraId="7E1A50A6" w14:textId="07C4DCDE" w:rsidR="004E2DC3" w:rsidRPr="008701B9" w:rsidRDefault="004E2DC3" w:rsidP="004E2DC3">
            <w:pPr>
              <w:pStyle w:val="a3"/>
              <w:widowControl w:val="0"/>
              <w:tabs>
                <w:tab w:val="left" w:pos="426"/>
              </w:tabs>
              <w:autoSpaceDE w:val="0"/>
              <w:autoSpaceDN w:val="0"/>
              <w:adjustRightInd w:val="0"/>
              <w:spacing w:after="0" w:line="240" w:lineRule="auto"/>
              <w:ind w:left="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w:t>
            </w:r>
          </w:p>
        </w:tc>
        <w:tc>
          <w:tcPr>
            <w:tcW w:w="2673" w:type="dxa"/>
          </w:tcPr>
          <w:p w14:paraId="5294DC33" w14:textId="2659DDE8" w:rsidR="004E2DC3" w:rsidRPr="008701B9" w:rsidRDefault="004E2DC3" w:rsidP="004E2DC3">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Pr>
                <w:rFonts w:ascii="Times New Roman" w:eastAsiaTheme="minorHAnsi" w:hAnsi="Times New Roman" w:cs="Times New Roman"/>
                <w:bCs/>
                <w:sz w:val="24"/>
                <w:szCs w:val="24"/>
                <w:lang w:eastAsia="en-US"/>
              </w:rPr>
              <w:t>5</w:t>
            </w:r>
          </w:p>
        </w:tc>
        <w:tc>
          <w:tcPr>
            <w:tcW w:w="2360" w:type="dxa"/>
          </w:tcPr>
          <w:p w14:paraId="33D07FF2" w14:textId="60A2DC07" w:rsidR="004E2DC3" w:rsidRPr="008701B9" w:rsidRDefault="004E2DC3" w:rsidP="004E2DC3">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r>
      <w:tr w:rsidR="004E2DC3" w:rsidRPr="008701B9" w14:paraId="1E71A23C" w14:textId="77777777" w:rsidTr="00891825">
        <w:tc>
          <w:tcPr>
            <w:tcW w:w="457" w:type="dxa"/>
            <w:tcBorders>
              <w:bottom w:val="single" w:sz="4" w:space="0" w:color="auto"/>
            </w:tcBorders>
          </w:tcPr>
          <w:p w14:paraId="54A64760" w14:textId="77777777"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p>
          <w:p w14:paraId="2F70061C" w14:textId="08698F2C"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p>
        </w:tc>
        <w:tc>
          <w:tcPr>
            <w:tcW w:w="3159" w:type="dxa"/>
            <w:tcBorders>
              <w:bottom w:val="single" w:sz="4" w:space="0" w:color="auto"/>
            </w:tcBorders>
          </w:tcPr>
          <w:p w14:paraId="77A719F0" w14:textId="61348127"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eastAsia="Times New Roman" w:hAnsi="Times New Roman" w:cs="Times New Roman"/>
                <w:bCs/>
                <w:spacing w:val="2"/>
                <w:sz w:val="24"/>
                <w:szCs w:val="24"/>
              </w:rPr>
              <w:t>Министерстве юстиции РК 5 июля 2016 года № 13880.</w:t>
            </w:r>
          </w:p>
        </w:tc>
        <w:tc>
          <w:tcPr>
            <w:tcW w:w="3154" w:type="dxa"/>
            <w:tcBorders>
              <w:bottom w:val="single" w:sz="4" w:space="0" w:color="auto"/>
            </w:tcBorders>
          </w:tcPr>
          <w:p w14:paraId="609B0E1D" w14:textId="1413A134"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eastAsia="Times New Roman" w:hAnsi="Times New Roman" w:cs="Times New Roman"/>
                <w:bCs/>
                <w:spacing w:val="2"/>
                <w:sz w:val="24"/>
                <w:szCs w:val="24"/>
              </w:rPr>
              <w:t>продлевает лист временной нетрудоспособности или </w:t>
            </w:r>
            <w:hyperlink r:id="rId115" w:anchor="z61" w:history="1">
              <w:r w:rsidRPr="008701B9">
                <w:rPr>
                  <w:rFonts w:ascii="Times New Roman" w:eastAsia="Times New Roman" w:hAnsi="Times New Roman" w:cs="Times New Roman"/>
                  <w:bCs/>
                  <w:spacing w:val="2"/>
                  <w:sz w:val="24"/>
                  <w:szCs w:val="24"/>
                </w:rPr>
                <w:t>справку</w:t>
              </w:r>
            </w:hyperlink>
            <w:r w:rsidRPr="008701B9">
              <w:rPr>
                <w:rFonts w:ascii="Times New Roman" w:eastAsia="Times New Roman" w:hAnsi="Times New Roman" w:cs="Times New Roman"/>
                <w:bCs/>
                <w:spacing w:val="2"/>
                <w:sz w:val="24"/>
                <w:szCs w:val="24"/>
              </w:rPr>
              <w:t> о временной нетрудоспособности, а при стойкой утрате трудоспособности (наличии диабетической стопы, ампутации конечности) дает рекомендации ВОПу на оформление документов для направления на МСЭ</w:t>
            </w:r>
          </w:p>
        </w:tc>
        <w:tc>
          <w:tcPr>
            <w:tcW w:w="3224" w:type="dxa"/>
            <w:tcBorders>
              <w:bottom w:val="single" w:sz="4" w:space="0" w:color="auto"/>
            </w:tcBorders>
          </w:tcPr>
          <w:p w14:paraId="3779472D" w14:textId="77777777" w:rsidR="004E2DC3" w:rsidRPr="008701B9" w:rsidRDefault="004E2DC3" w:rsidP="004E2DC3">
            <w:pPr>
              <w:pStyle w:val="a3"/>
              <w:widowControl w:val="0"/>
              <w:tabs>
                <w:tab w:val="left" w:pos="426"/>
              </w:tabs>
              <w:autoSpaceDE w:val="0"/>
              <w:autoSpaceDN w:val="0"/>
              <w:adjustRightInd w:val="0"/>
              <w:spacing w:after="0" w:line="240" w:lineRule="auto"/>
              <w:ind w:left="0"/>
              <w:jc w:val="both"/>
              <w:rPr>
                <w:rFonts w:ascii="Times New Roman" w:eastAsia="Times New Roman" w:hAnsi="Times New Roman" w:cs="Times New Roman"/>
                <w:bCs/>
                <w:sz w:val="24"/>
                <w:szCs w:val="24"/>
              </w:rPr>
            </w:pPr>
          </w:p>
        </w:tc>
        <w:tc>
          <w:tcPr>
            <w:tcW w:w="2673" w:type="dxa"/>
            <w:tcBorders>
              <w:bottom w:val="single" w:sz="4" w:space="0" w:color="auto"/>
            </w:tcBorders>
          </w:tcPr>
          <w:p w14:paraId="42AC5E9E" w14:textId="77777777" w:rsidR="004E2DC3" w:rsidRPr="008701B9" w:rsidRDefault="004E2DC3" w:rsidP="004E2DC3">
            <w:pPr>
              <w:autoSpaceDE w:val="0"/>
              <w:autoSpaceDN w:val="0"/>
              <w:adjustRightInd w:val="0"/>
              <w:spacing w:after="0" w:line="240" w:lineRule="auto"/>
              <w:rPr>
                <w:rFonts w:ascii="Times New Roman" w:eastAsiaTheme="minorHAnsi" w:hAnsi="Times New Roman" w:cs="Times New Roman"/>
                <w:bCs/>
                <w:sz w:val="24"/>
                <w:szCs w:val="24"/>
                <w:lang w:eastAsia="en-US"/>
              </w:rPr>
            </w:pPr>
          </w:p>
        </w:tc>
        <w:tc>
          <w:tcPr>
            <w:tcW w:w="2360" w:type="dxa"/>
            <w:tcBorders>
              <w:bottom w:val="single" w:sz="4" w:space="0" w:color="auto"/>
            </w:tcBorders>
          </w:tcPr>
          <w:p w14:paraId="69B6A1FF" w14:textId="77777777"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p>
        </w:tc>
      </w:tr>
      <w:tr w:rsidR="004E2DC3" w:rsidRPr="008701B9" w14:paraId="48E1522C" w14:textId="77777777" w:rsidTr="00891825">
        <w:tc>
          <w:tcPr>
            <w:tcW w:w="457" w:type="dxa"/>
            <w:tcBorders>
              <w:bottom w:val="nil"/>
            </w:tcBorders>
          </w:tcPr>
          <w:p w14:paraId="16297F36" w14:textId="16BDBAD7"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3</w:t>
            </w:r>
          </w:p>
        </w:tc>
        <w:tc>
          <w:tcPr>
            <w:tcW w:w="3159" w:type="dxa"/>
            <w:tcBorders>
              <w:bottom w:val="nil"/>
            </w:tcBorders>
          </w:tcPr>
          <w:p w14:paraId="5101F523" w14:textId="06E493C1"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 xml:space="preserve">Приказ об утверждении Правил оказания ПМСП и Правил прикрепления к организациям ПМСП. Приказ МЗиСР РК от 28 апреля 2015 года № 281. Зарегистрирован в Министерстве юстиции РК 4 июня 2015 года № 11268. </w:t>
            </w:r>
          </w:p>
        </w:tc>
        <w:tc>
          <w:tcPr>
            <w:tcW w:w="3154" w:type="dxa"/>
            <w:tcBorders>
              <w:bottom w:val="nil"/>
            </w:tcBorders>
          </w:tcPr>
          <w:p w14:paraId="0A0519B3" w14:textId="77777777" w:rsidR="004E2DC3" w:rsidRPr="008701B9" w:rsidRDefault="004E2DC3" w:rsidP="004E2DC3">
            <w:pPr>
              <w:pStyle w:val="af"/>
              <w:shd w:val="clear" w:color="auto" w:fill="FFFFFF"/>
              <w:spacing w:before="0" w:beforeAutospacing="0" w:after="0" w:afterAutospacing="0"/>
              <w:textAlignment w:val="baseline"/>
              <w:rPr>
                <w:bCs/>
                <w:spacing w:val="2"/>
                <w:shd w:val="clear" w:color="auto" w:fill="FFFFFF"/>
              </w:rPr>
            </w:pPr>
            <w:r w:rsidRPr="008701B9">
              <w:rPr>
                <w:bCs/>
                <w:spacing w:val="2"/>
                <w:shd w:val="clear" w:color="auto" w:fill="FFFFFF"/>
              </w:rPr>
              <w:t>Динамическое наблюдение лиц с СД2т осуществляется при ПМСП специалистами ВОП, участковый врач терапевт/ участковый педиатр и их СМР/фельдшер.</w:t>
            </w:r>
          </w:p>
          <w:p w14:paraId="00B79F8E" w14:textId="77777777" w:rsidR="004E2DC3" w:rsidRPr="008701B9" w:rsidRDefault="004E2DC3" w:rsidP="004E2DC3">
            <w:pPr>
              <w:pStyle w:val="af"/>
              <w:shd w:val="clear" w:color="auto" w:fill="FFFFFF"/>
              <w:spacing w:before="0" w:beforeAutospacing="0" w:after="0" w:afterAutospacing="0"/>
              <w:textAlignment w:val="baseline"/>
              <w:rPr>
                <w:bCs/>
                <w:spacing w:val="2"/>
              </w:rPr>
            </w:pPr>
            <w:r w:rsidRPr="008701B9">
              <w:rPr>
                <w:bCs/>
                <w:spacing w:val="2"/>
                <w:shd w:val="clear" w:color="auto" w:fill="FFFFFF"/>
              </w:rPr>
              <w:t xml:space="preserve"> </w:t>
            </w:r>
            <w:r w:rsidRPr="008701B9">
              <w:rPr>
                <w:bCs/>
                <w:spacing w:val="2"/>
              </w:rPr>
              <w:t xml:space="preserve">В профилактических кабинетах проводятся консультаций и предоставления подробных рекомендаций по изменению поведения лиц, имеющих поведенческие факторы риска, обеспечивает обучение навыкам снижения выявленных факторов риска. </w:t>
            </w:r>
          </w:p>
          <w:p w14:paraId="5326143C" w14:textId="78EAFD0B"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p>
        </w:tc>
        <w:tc>
          <w:tcPr>
            <w:tcW w:w="3224" w:type="dxa"/>
            <w:tcBorders>
              <w:bottom w:val="nil"/>
            </w:tcBorders>
          </w:tcPr>
          <w:p w14:paraId="76E31770" w14:textId="447DDAE6" w:rsidR="004E2DC3" w:rsidRPr="004E2DC3" w:rsidRDefault="004E2DC3" w:rsidP="004E2DC3">
            <w:pPr>
              <w:pStyle w:val="a3"/>
              <w:autoSpaceDE w:val="0"/>
              <w:autoSpaceDN w:val="0"/>
              <w:adjustRightInd w:val="0"/>
              <w:spacing w:after="0" w:line="240" w:lineRule="auto"/>
              <w:ind w:left="0"/>
              <w:jc w:val="both"/>
              <w:rPr>
                <w:rFonts w:ascii="Times New Roman" w:hAnsi="Times New Roman" w:cs="Times New Roman"/>
                <w:bCs/>
                <w:spacing w:val="2"/>
                <w:sz w:val="24"/>
                <w:szCs w:val="24"/>
              </w:rPr>
            </w:pPr>
            <w:r w:rsidRPr="008701B9">
              <w:rPr>
                <w:rFonts w:ascii="Times New Roman" w:hAnsi="Times New Roman" w:cs="Times New Roman"/>
                <w:bCs/>
                <w:spacing w:val="2"/>
                <w:sz w:val="24"/>
                <w:szCs w:val="24"/>
              </w:rPr>
              <w:t xml:space="preserve">Рекомендации по ведению ЗОЖ на уровне СМР и ВОП на практике намного сокращена, где и теряется качество оказания помощи пациентам с СД2т. По приказу ВОП проводит коррекцию лечения, дает рекомендации по ведению ЗОЖ, что так же не возможен в силу сложности контроля над СД2т. На практике коррекцию лечения выполняет эндокринолог или теряется качество лечения. ЗОЖ консультации в основном ограничиваются формальностью. Так же по приказу СМР определяет </w:t>
            </w:r>
          </w:p>
        </w:tc>
        <w:tc>
          <w:tcPr>
            <w:tcW w:w="2673" w:type="dxa"/>
            <w:tcBorders>
              <w:bottom w:val="nil"/>
            </w:tcBorders>
          </w:tcPr>
          <w:p w14:paraId="01071522" w14:textId="4D82F276" w:rsidR="004E2DC3" w:rsidRPr="008701B9" w:rsidRDefault="004E2DC3" w:rsidP="004E2DC3">
            <w:pPr>
              <w:autoSpaceDE w:val="0"/>
              <w:autoSpaceDN w:val="0"/>
              <w:adjustRightInd w:val="0"/>
              <w:spacing w:after="0" w:line="240" w:lineRule="auto"/>
              <w:rPr>
                <w:rFonts w:ascii="Times New Roman" w:eastAsiaTheme="minorHAnsi" w:hAnsi="Times New Roman" w:cs="Times New Roman"/>
                <w:bCs/>
                <w:sz w:val="24"/>
                <w:szCs w:val="24"/>
                <w:lang w:eastAsia="en-US"/>
              </w:rPr>
            </w:pPr>
            <w:r w:rsidRPr="008701B9">
              <w:rPr>
                <w:rFonts w:ascii="Times New Roman" w:hAnsi="Times New Roman" w:cs="Times New Roman"/>
                <w:bCs/>
                <w:sz w:val="24"/>
                <w:szCs w:val="24"/>
              </w:rPr>
              <w:t>При полноценном контроле над функциями каждого персонала, можно добиться рационального управления над СД2т и его осложнениями (особенно психосоциальная поддержка и самоменеджмент)</w:t>
            </w:r>
          </w:p>
        </w:tc>
        <w:tc>
          <w:tcPr>
            <w:tcW w:w="2360" w:type="dxa"/>
            <w:tcBorders>
              <w:bottom w:val="nil"/>
            </w:tcBorders>
          </w:tcPr>
          <w:p w14:paraId="07C26D21" w14:textId="1FE3B591" w:rsidR="004E2DC3" w:rsidRPr="008701B9" w:rsidRDefault="004E2DC3" w:rsidP="004E2DC3">
            <w:pPr>
              <w:pStyle w:val="af"/>
              <w:shd w:val="clear" w:color="auto" w:fill="FFFFFF"/>
              <w:spacing w:before="0" w:beforeAutospacing="0" w:after="0" w:afterAutospacing="0"/>
              <w:textAlignment w:val="baseline"/>
              <w:rPr>
                <w:bCs/>
              </w:rPr>
            </w:pPr>
            <w:r w:rsidRPr="008701B9">
              <w:rPr>
                <w:bCs/>
                <w:spacing w:val="2"/>
              </w:rPr>
              <w:t xml:space="preserve"> Мероприятия по повышению информированности и грамотности населения, а также консультированию специалистов ПМСП по вопросам формирования здорового образа жизни, питания и другим актуальным вопросам сохранения здоровья проводят организации здравоохранения, осуществляющие деятельность в сфере </w:t>
            </w:r>
          </w:p>
        </w:tc>
      </w:tr>
    </w:tbl>
    <w:p w14:paraId="2B4391EE" w14:textId="6E577531" w:rsidR="004E2DC3" w:rsidRDefault="004E2DC3" w:rsidP="004E2DC3">
      <w:pPr>
        <w:autoSpaceDE w:val="0"/>
        <w:autoSpaceDN w:val="0"/>
        <w:adjustRightInd w:val="0"/>
        <w:spacing w:after="0" w:line="240" w:lineRule="auto"/>
        <w:ind w:hanging="426"/>
        <w:jc w:val="both"/>
        <w:rPr>
          <w:rFonts w:ascii="Times New Roman" w:hAnsi="Times New Roman" w:cs="Times New Roman"/>
          <w:sz w:val="28"/>
          <w:szCs w:val="28"/>
        </w:rPr>
      </w:pPr>
      <w:r w:rsidRPr="004E2DC3">
        <w:rPr>
          <w:rFonts w:ascii="Times New Roman" w:hAnsi="Times New Roman" w:cs="Times New Roman"/>
          <w:sz w:val="28"/>
          <w:szCs w:val="28"/>
        </w:rPr>
        <w:t>Продолжение таблицы 54</w:t>
      </w:r>
    </w:p>
    <w:p w14:paraId="2C37D5B5" w14:textId="77777777" w:rsidR="00891825" w:rsidRPr="004E2DC3" w:rsidRDefault="00891825" w:rsidP="004E2DC3">
      <w:pPr>
        <w:autoSpaceDE w:val="0"/>
        <w:autoSpaceDN w:val="0"/>
        <w:adjustRightInd w:val="0"/>
        <w:spacing w:after="0" w:line="240" w:lineRule="auto"/>
        <w:ind w:hanging="426"/>
        <w:jc w:val="both"/>
        <w:rPr>
          <w:rFonts w:ascii="Times New Roman" w:hAnsi="Times New Roman" w:cs="Times New Roman"/>
          <w:sz w:val="28"/>
          <w:szCs w:val="28"/>
        </w:rPr>
      </w:pPr>
    </w:p>
    <w:tbl>
      <w:tblPr>
        <w:tblStyle w:val="a5"/>
        <w:tblW w:w="15027" w:type="dxa"/>
        <w:tblInd w:w="-431" w:type="dxa"/>
        <w:tblLook w:val="04A0" w:firstRow="1" w:lastRow="0" w:firstColumn="1" w:lastColumn="0" w:noHBand="0" w:noVBand="1"/>
      </w:tblPr>
      <w:tblGrid>
        <w:gridCol w:w="457"/>
        <w:gridCol w:w="3159"/>
        <w:gridCol w:w="3154"/>
        <w:gridCol w:w="3224"/>
        <w:gridCol w:w="2673"/>
        <w:gridCol w:w="2360"/>
      </w:tblGrid>
      <w:tr w:rsidR="004E2DC3" w:rsidRPr="008701B9" w14:paraId="2AD7D146" w14:textId="77777777" w:rsidTr="00891825">
        <w:tc>
          <w:tcPr>
            <w:tcW w:w="457" w:type="dxa"/>
            <w:tcBorders>
              <w:bottom w:val="single" w:sz="4" w:space="0" w:color="auto"/>
            </w:tcBorders>
          </w:tcPr>
          <w:p w14:paraId="31289AD3" w14:textId="750E52CC" w:rsidR="004E2DC3" w:rsidRPr="008701B9" w:rsidRDefault="00891825" w:rsidP="00891825">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3159" w:type="dxa"/>
            <w:tcBorders>
              <w:bottom w:val="single" w:sz="4" w:space="0" w:color="auto"/>
            </w:tcBorders>
          </w:tcPr>
          <w:p w14:paraId="7DC85FB3" w14:textId="418B5857" w:rsidR="004E2DC3" w:rsidRPr="008701B9" w:rsidRDefault="00891825" w:rsidP="00891825">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3154" w:type="dxa"/>
            <w:tcBorders>
              <w:bottom w:val="single" w:sz="4" w:space="0" w:color="auto"/>
            </w:tcBorders>
          </w:tcPr>
          <w:p w14:paraId="0B0C4812" w14:textId="01B4C234" w:rsidR="004E2DC3" w:rsidRPr="008701B9" w:rsidRDefault="00891825" w:rsidP="00891825">
            <w:pPr>
              <w:pStyle w:val="af"/>
              <w:shd w:val="clear" w:color="auto" w:fill="FFFFFF"/>
              <w:spacing w:before="0" w:beforeAutospacing="0" w:after="0" w:afterAutospacing="0"/>
              <w:jc w:val="center"/>
              <w:textAlignment w:val="baseline"/>
              <w:rPr>
                <w:bCs/>
              </w:rPr>
            </w:pPr>
            <w:r>
              <w:rPr>
                <w:bCs/>
              </w:rPr>
              <w:t>3</w:t>
            </w:r>
          </w:p>
        </w:tc>
        <w:tc>
          <w:tcPr>
            <w:tcW w:w="3224" w:type="dxa"/>
            <w:tcBorders>
              <w:bottom w:val="single" w:sz="4" w:space="0" w:color="auto"/>
            </w:tcBorders>
          </w:tcPr>
          <w:p w14:paraId="71359FB2" w14:textId="0E8AE5DD" w:rsidR="004E2DC3" w:rsidRPr="008701B9" w:rsidRDefault="00891825" w:rsidP="00891825">
            <w:pPr>
              <w:pStyle w:val="a3"/>
              <w:widowControl w:val="0"/>
              <w:tabs>
                <w:tab w:val="left" w:pos="426"/>
              </w:tabs>
              <w:autoSpaceDE w:val="0"/>
              <w:autoSpaceDN w:val="0"/>
              <w:adjustRightInd w:val="0"/>
              <w:spacing w:after="0" w:line="240" w:lineRule="auto"/>
              <w:ind w:left="0"/>
              <w:jc w:val="center"/>
              <w:rPr>
                <w:rFonts w:ascii="Times New Roman" w:hAnsi="Times New Roman" w:cs="Times New Roman"/>
                <w:bCs/>
                <w:spacing w:val="2"/>
                <w:sz w:val="24"/>
                <w:szCs w:val="24"/>
              </w:rPr>
            </w:pPr>
            <w:r>
              <w:rPr>
                <w:rFonts w:ascii="Times New Roman" w:hAnsi="Times New Roman" w:cs="Times New Roman"/>
                <w:bCs/>
                <w:spacing w:val="2"/>
                <w:sz w:val="24"/>
                <w:szCs w:val="24"/>
              </w:rPr>
              <w:t>4</w:t>
            </w:r>
          </w:p>
        </w:tc>
        <w:tc>
          <w:tcPr>
            <w:tcW w:w="2673" w:type="dxa"/>
            <w:tcBorders>
              <w:bottom w:val="single" w:sz="4" w:space="0" w:color="auto"/>
            </w:tcBorders>
          </w:tcPr>
          <w:p w14:paraId="313C629B" w14:textId="01A0FFC5" w:rsidR="004E2DC3" w:rsidRPr="008701B9" w:rsidRDefault="00891825" w:rsidP="00891825">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Pr>
                <w:rFonts w:ascii="Times New Roman" w:eastAsiaTheme="minorHAnsi" w:hAnsi="Times New Roman" w:cs="Times New Roman"/>
                <w:bCs/>
                <w:sz w:val="24"/>
                <w:szCs w:val="24"/>
                <w:lang w:eastAsia="en-US"/>
              </w:rPr>
              <w:t>5</w:t>
            </w:r>
          </w:p>
        </w:tc>
        <w:tc>
          <w:tcPr>
            <w:tcW w:w="2360" w:type="dxa"/>
            <w:tcBorders>
              <w:bottom w:val="single" w:sz="4" w:space="0" w:color="auto"/>
            </w:tcBorders>
          </w:tcPr>
          <w:p w14:paraId="749FA05C" w14:textId="1880E0B1" w:rsidR="004E2DC3" w:rsidRPr="008701B9" w:rsidRDefault="00891825" w:rsidP="00891825">
            <w:pPr>
              <w:pStyle w:val="af"/>
              <w:shd w:val="clear" w:color="auto" w:fill="FFFFFF"/>
              <w:spacing w:before="0" w:beforeAutospacing="0" w:after="0" w:afterAutospacing="0"/>
              <w:jc w:val="center"/>
              <w:textAlignment w:val="baseline"/>
              <w:rPr>
                <w:bCs/>
                <w:spacing w:val="2"/>
              </w:rPr>
            </w:pPr>
            <w:r>
              <w:rPr>
                <w:bCs/>
                <w:spacing w:val="2"/>
              </w:rPr>
              <w:t>6</w:t>
            </w:r>
          </w:p>
        </w:tc>
      </w:tr>
      <w:tr w:rsidR="004E2DC3" w:rsidRPr="008701B9" w14:paraId="279BE3C3" w14:textId="77777777" w:rsidTr="00891825">
        <w:tc>
          <w:tcPr>
            <w:tcW w:w="457" w:type="dxa"/>
            <w:tcBorders>
              <w:bottom w:val="nil"/>
            </w:tcBorders>
          </w:tcPr>
          <w:p w14:paraId="7A3CFABC" w14:textId="77777777"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p>
        </w:tc>
        <w:tc>
          <w:tcPr>
            <w:tcW w:w="3159" w:type="dxa"/>
            <w:tcBorders>
              <w:bottom w:val="nil"/>
            </w:tcBorders>
          </w:tcPr>
          <w:p w14:paraId="106BEA92" w14:textId="77777777"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p>
        </w:tc>
        <w:tc>
          <w:tcPr>
            <w:tcW w:w="3154" w:type="dxa"/>
            <w:tcBorders>
              <w:bottom w:val="nil"/>
            </w:tcBorders>
          </w:tcPr>
          <w:p w14:paraId="548216DB" w14:textId="77777777" w:rsidR="004E2DC3" w:rsidRPr="008701B9" w:rsidRDefault="004E2DC3" w:rsidP="004E2DC3">
            <w:pPr>
              <w:pStyle w:val="af"/>
              <w:shd w:val="clear" w:color="auto" w:fill="FFFFFF"/>
              <w:spacing w:before="0" w:beforeAutospacing="0" w:after="0" w:afterAutospacing="0"/>
              <w:textAlignment w:val="baseline"/>
              <w:rPr>
                <w:bCs/>
                <w:spacing w:val="2"/>
                <w:shd w:val="clear" w:color="auto" w:fill="FFFFFF"/>
              </w:rPr>
            </w:pPr>
            <w:r w:rsidRPr="008701B9">
              <w:rPr>
                <w:bCs/>
              </w:rPr>
              <w:t xml:space="preserve">Перечень услуг </w:t>
            </w:r>
            <w:r w:rsidRPr="008701B9">
              <w:rPr>
                <w:bCs/>
                <w:spacing w:val="2"/>
                <w:shd w:val="clear" w:color="auto" w:fill="FFFFFF"/>
              </w:rPr>
              <w:t xml:space="preserve">СМР: первичный осмотр, выписка рецептов, </w:t>
            </w:r>
            <w:r w:rsidRPr="008701B9">
              <w:rPr>
                <w:bCs/>
                <w:spacing w:val="2"/>
              </w:rPr>
              <w:t>информирование о перечне, объемах, периодичности проведения осмотров СМР, врачом ПМСП, профильным специалистом, лабораторных и инструментальных исследований, сроках наблюдения,</w:t>
            </w:r>
            <w:r w:rsidRPr="008701B9">
              <w:rPr>
                <w:bCs/>
                <w:spacing w:val="2"/>
                <w:shd w:val="clear" w:color="auto" w:fill="FFFFFF"/>
              </w:rPr>
              <w:t xml:space="preserve"> обучение населения вопросам профилактики заболеваний, самоменеджменту, комплекс услуг медицинской реабилитации, при необходимости направляет пациентов к социальным работникам, психологам и специалистам кабинетов ЗОЖ.</w:t>
            </w:r>
          </w:p>
          <w:p w14:paraId="14649277" w14:textId="6A3CED17" w:rsidR="00891825" w:rsidRPr="008701B9" w:rsidRDefault="004E2DC3"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pacing w:val="2"/>
                <w:sz w:val="24"/>
                <w:szCs w:val="24"/>
                <w:shd w:val="clear" w:color="auto" w:fill="FFFFFF"/>
              </w:rPr>
              <w:t xml:space="preserve">ВОП: консультация, коррекция лечения, составление плана оздоровления пациента, обучение самоменеджменту, оценка социального статуса семьи </w:t>
            </w:r>
          </w:p>
          <w:p w14:paraId="1712A8A6" w14:textId="431D07BC"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p>
        </w:tc>
        <w:tc>
          <w:tcPr>
            <w:tcW w:w="3224" w:type="dxa"/>
            <w:tcBorders>
              <w:bottom w:val="nil"/>
            </w:tcBorders>
          </w:tcPr>
          <w:p w14:paraId="41DCB854" w14:textId="5F66880E" w:rsidR="004E2DC3" w:rsidRPr="008701B9" w:rsidRDefault="004E2DC3" w:rsidP="004E2DC3">
            <w:pPr>
              <w:pStyle w:val="a3"/>
              <w:widowControl w:val="0"/>
              <w:tabs>
                <w:tab w:val="left" w:pos="426"/>
              </w:tabs>
              <w:autoSpaceDE w:val="0"/>
              <w:autoSpaceDN w:val="0"/>
              <w:adjustRightInd w:val="0"/>
              <w:spacing w:after="0" w:line="240" w:lineRule="auto"/>
              <w:ind w:left="0"/>
              <w:jc w:val="both"/>
              <w:rPr>
                <w:rFonts w:ascii="Times New Roman" w:eastAsia="Times New Roman" w:hAnsi="Times New Roman" w:cs="Times New Roman"/>
                <w:bCs/>
                <w:sz w:val="24"/>
                <w:szCs w:val="24"/>
              </w:rPr>
            </w:pPr>
            <w:r w:rsidRPr="008701B9">
              <w:rPr>
                <w:rFonts w:ascii="Times New Roman" w:hAnsi="Times New Roman" w:cs="Times New Roman"/>
                <w:bCs/>
                <w:spacing w:val="2"/>
                <w:sz w:val="24"/>
                <w:szCs w:val="24"/>
              </w:rPr>
              <w:t>необходимость пациента и направляет к психологу и социальному работнику, что так же не реализован, так как персонал не владеет навыком дифференциации и оценки психосоциального статуса.</w:t>
            </w:r>
          </w:p>
        </w:tc>
        <w:tc>
          <w:tcPr>
            <w:tcW w:w="2673" w:type="dxa"/>
            <w:tcBorders>
              <w:bottom w:val="nil"/>
            </w:tcBorders>
          </w:tcPr>
          <w:p w14:paraId="4B98480E" w14:textId="77777777" w:rsidR="004E2DC3" w:rsidRPr="008701B9" w:rsidRDefault="004E2DC3" w:rsidP="004E2DC3">
            <w:pPr>
              <w:autoSpaceDE w:val="0"/>
              <w:autoSpaceDN w:val="0"/>
              <w:adjustRightInd w:val="0"/>
              <w:spacing w:after="0" w:line="240" w:lineRule="auto"/>
              <w:rPr>
                <w:rFonts w:ascii="Times New Roman" w:eastAsiaTheme="minorHAnsi" w:hAnsi="Times New Roman" w:cs="Times New Roman"/>
                <w:bCs/>
                <w:sz w:val="24"/>
                <w:szCs w:val="24"/>
                <w:lang w:eastAsia="en-US"/>
              </w:rPr>
            </w:pPr>
          </w:p>
        </w:tc>
        <w:tc>
          <w:tcPr>
            <w:tcW w:w="2360" w:type="dxa"/>
            <w:tcBorders>
              <w:bottom w:val="nil"/>
            </w:tcBorders>
          </w:tcPr>
          <w:p w14:paraId="7DB93046" w14:textId="77777777" w:rsidR="004E2DC3" w:rsidRPr="008701B9" w:rsidRDefault="004E2DC3" w:rsidP="004E2DC3">
            <w:pPr>
              <w:pStyle w:val="af"/>
              <w:shd w:val="clear" w:color="auto" w:fill="FFFFFF"/>
              <w:spacing w:before="0" w:beforeAutospacing="0" w:after="0" w:afterAutospacing="0"/>
              <w:textAlignment w:val="baseline"/>
              <w:rPr>
                <w:bCs/>
                <w:spacing w:val="2"/>
              </w:rPr>
            </w:pPr>
            <w:r w:rsidRPr="008701B9">
              <w:rPr>
                <w:bCs/>
                <w:spacing w:val="2"/>
              </w:rPr>
              <w:t>формирования здорового образа жизни, здорового питания. Это является препятствием полноценного контроля над консультацией, так как функции дублируются на уровне ПМСП и НЦЗОЖ</w:t>
            </w:r>
          </w:p>
          <w:p w14:paraId="2C111D40" w14:textId="77777777"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p>
        </w:tc>
      </w:tr>
    </w:tbl>
    <w:p w14:paraId="60155FF0" w14:textId="054A1F67" w:rsidR="00891825" w:rsidRDefault="00891825" w:rsidP="00891825">
      <w:pPr>
        <w:autoSpaceDE w:val="0"/>
        <w:autoSpaceDN w:val="0"/>
        <w:adjustRightInd w:val="0"/>
        <w:spacing w:after="0" w:line="240" w:lineRule="auto"/>
        <w:ind w:hanging="426"/>
        <w:jc w:val="both"/>
        <w:rPr>
          <w:rFonts w:ascii="Times New Roman" w:hAnsi="Times New Roman" w:cs="Times New Roman"/>
          <w:sz w:val="28"/>
          <w:szCs w:val="28"/>
        </w:rPr>
      </w:pPr>
      <w:r w:rsidRPr="00891825">
        <w:rPr>
          <w:rFonts w:ascii="Times New Roman" w:hAnsi="Times New Roman" w:cs="Times New Roman"/>
          <w:sz w:val="28"/>
          <w:szCs w:val="28"/>
        </w:rPr>
        <w:t>Продолжение таблицы 54</w:t>
      </w:r>
    </w:p>
    <w:p w14:paraId="07A3588F" w14:textId="77777777" w:rsidR="00891825" w:rsidRPr="00891825" w:rsidRDefault="00891825" w:rsidP="00891825">
      <w:pPr>
        <w:autoSpaceDE w:val="0"/>
        <w:autoSpaceDN w:val="0"/>
        <w:adjustRightInd w:val="0"/>
        <w:spacing w:after="0" w:line="240" w:lineRule="auto"/>
        <w:ind w:hanging="426"/>
        <w:jc w:val="both"/>
        <w:rPr>
          <w:rFonts w:ascii="Times New Roman" w:hAnsi="Times New Roman" w:cs="Times New Roman"/>
          <w:sz w:val="28"/>
          <w:szCs w:val="28"/>
        </w:rPr>
      </w:pPr>
    </w:p>
    <w:tbl>
      <w:tblPr>
        <w:tblStyle w:val="a5"/>
        <w:tblW w:w="15027" w:type="dxa"/>
        <w:tblInd w:w="-431" w:type="dxa"/>
        <w:tblLook w:val="04A0" w:firstRow="1" w:lastRow="0" w:firstColumn="1" w:lastColumn="0" w:noHBand="0" w:noVBand="1"/>
      </w:tblPr>
      <w:tblGrid>
        <w:gridCol w:w="457"/>
        <w:gridCol w:w="3159"/>
        <w:gridCol w:w="3154"/>
        <w:gridCol w:w="3224"/>
        <w:gridCol w:w="2673"/>
        <w:gridCol w:w="2360"/>
      </w:tblGrid>
      <w:tr w:rsidR="00891825" w:rsidRPr="008701B9" w14:paraId="6DA1501A" w14:textId="77777777" w:rsidTr="008701B9">
        <w:tc>
          <w:tcPr>
            <w:tcW w:w="457" w:type="dxa"/>
          </w:tcPr>
          <w:p w14:paraId="5562F7F4" w14:textId="608AE922" w:rsidR="00891825" w:rsidRPr="008701B9" w:rsidRDefault="00891825" w:rsidP="00891825">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3159" w:type="dxa"/>
          </w:tcPr>
          <w:p w14:paraId="50CF294D" w14:textId="4C1EA893" w:rsidR="00891825" w:rsidRPr="008701B9" w:rsidRDefault="00891825" w:rsidP="00891825">
            <w:pPr>
              <w:spacing w:after="0" w:line="240" w:lineRule="auto"/>
              <w:jc w:val="center"/>
              <w:textAlignment w:val="baseline"/>
              <w:rPr>
                <w:rFonts w:ascii="Times New Roman" w:eastAsia="Times New Roman" w:hAnsi="Times New Roman" w:cs="Times New Roman"/>
                <w:bCs/>
                <w:spacing w:val="2"/>
                <w:sz w:val="24"/>
                <w:szCs w:val="24"/>
              </w:rPr>
            </w:pPr>
            <w:r>
              <w:rPr>
                <w:rFonts w:ascii="Times New Roman" w:eastAsia="Times New Roman" w:hAnsi="Times New Roman" w:cs="Times New Roman"/>
                <w:bCs/>
                <w:spacing w:val="2"/>
                <w:sz w:val="24"/>
                <w:szCs w:val="24"/>
              </w:rPr>
              <w:t>2</w:t>
            </w:r>
          </w:p>
        </w:tc>
        <w:tc>
          <w:tcPr>
            <w:tcW w:w="3154" w:type="dxa"/>
          </w:tcPr>
          <w:p w14:paraId="36704AC3" w14:textId="4F35E678" w:rsidR="00891825" w:rsidRPr="008701B9" w:rsidRDefault="00891825" w:rsidP="00891825">
            <w:pPr>
              <w:autoSpaceDE w:val="0"/>
              <w:autoSpaceDN w:val="0"/>
              <w:adjustRightInd w:val="0"/>
              <w:spacing w:after="0" w:line="240" w:lineRule="auto"/>
              <w:jc w:val="center"/>
              <w:rPr>
                <w:rFonts w:ascii="Times New Roman" w:hAnsi="Times New Roman" w:cs="Times New Roman"/>
                <w:bCs/>
                <w:spacing w:val="2"/>
                <w:sz w:val="24"/>
                <w:szCs w:val="24"/>
                <w:shd w:val="clear" w:color="auto" w:fill="FFFFFF"/>
              </w:rPr>
            </w:pPr>
            <w:r>
              <w:rPr>
                <w:rFonts w:ascii="Times New Roman" w:hAnsi="Times New Roman" w:cs="Times New Roman"/>
                <w:bCs/>
                <w:spacing w:val="2"/>
                <w:sz w:val="24"/>
                <w:szCs w:val="24"/>
                <w:shd w:val="clear" w:color="auto" w:fill="FFFFFF"/>
              </w:rPr>
              <w:t>3</w:t>
            </w:r>
          </w:p>
        </w:tc>
        <w:tc>
          <w:tcPr>
            <w:tcW w:w="3224" w:type="dxa"/>
          </w:tcPr>
          <w:p w14:paraId="0CF0E1E0" w14:textId="61D765FB" w:rsidR="00891825" w:rsidRPr="008701B9" w:rsidRDefault="00891825" w:rsidP="00891825">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4</w:t>
            </w:r>
          </w:p>
        </w:tc>
        <w:tc>
          <w:tcPr>
            <w:tcW w:w="2673" w:type="dxa"/>
          </w:tcPr>
          <w:p w14:paraId="10160959" w14:textId="1DB08BAA" w:rsidR="00891825" w:rsidRPr="008701B9" w:rsidRDefault="00891825" w:rsidP="00891825">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w:t>
            </w:r>
          </w:p>
        </w:tc>
        <w:tc>
          <w:tcPr>
            <w:tcW w:w="2360" w:type="dxa"/>
          </w:tcPr>
          <w:p w14:paraId="38714CEF" w14:textId="18EABFDE" w:rsidR="00891825" w:rsidRPr="008701B9" w:rsidRDefault="00891825" w:rsidP="00891825">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r>
      <w:tr w:rsidR="004E2DC3" w:rsidRPr="008701B9" w14:paraId="4437861F" w14:textId="77777777" w:rsidTr="008701B9">
        <w:tc>
          <w:tcPr>
            <w:tcW w:w="457" w:type="dxa"/>
          </w:tcPr>
          <w:p w14:paraId="55BB643A" w14:textId="1484E5B0"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p>
        </w:tc>
        <w:tc>
          <w:tcPr>
            <w:tcW w:w="3159" w:type="dxa"/>
          </w:tcPr>
          <w:p w14:paraId="69A836FD" w14:textId="71B0539F" w:rsidR="004E2DC3" w:rsidRPr="008701B9" w:rsidRDefault="004E2DC3" w:rsidP="004E2DC3">
            <w:pPr>
              <w:spacing w:after="0" w:line="240" w:lineRule="auto"/>
              <w:textAlignment w:val="baseline"/>
              <w:rPr>
                <w:rFonts w:ascii="Times New Roman" w:eastAsia="Times New Roman" w:hAnsi="Times New Roman" w:cs="Times New Roman"/>
                <w:bCs/>
                <w:spacing w:val="2"/>
                <w:sz w:val="24"/>
                <w:szCs w:val="24"/>
              </w:rPr>
            </w:pPr>
          </w:p>
        </w:tc>
        <w:tc>
          <w:tcPr>
            <w:tcW w:w="3154" w:type="dxa"/>
          </w:tcPr>
          <w:p w14:paraId="322907A9"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pacing w:val="2"/>
                <w:sz w:val="24"/>
                <w:szCs w:val="24"/>
                <w:shd w:val="clear" w:color="auto" w:fill="FFFFFF"/>
              </w:rPr>
            </w:pPr>
            <w:r w:rsidRPr="008701B9">
              <w:rPr>
                <w:rFonts w:ascii="Times New Roman" w:hAnsi="Times New Roman" w:cs="Times New Roman"/>
                <w:bCs/>
                <w:spacing w:val="2"/>
                <w:sz w:val="24"/>
                <w:szCs w:val="24"/>
                <w:shd w:val="clear" w:color="auto" w:fill="FFFFFF"/>
              </w:rPr>
              <w:t>пациента при социально-значимых заболеваниях</w:t>
            </w:r>
          </w:p>
          <w:p w14:paraId="6B179BD5" w14:textId="77777777" w:rsidR="00891825" w:rsidRPr="008701B9" w:rsidRDefault="00891825" w:rsidP="00891825">
            <w:pPr>
              <w:shd w:val="clear" w:color="auto" w:fill="FFFFFF"/>
              <w:spacing w:after="0" w:line="240" w:lineRule="auto"/>
              <w:textAlignment w:val="baseline"/>
              <w:outlineLvl w:val="2"/>
              <w:rPr>
                <w:rFonts w:ascii="Times New Roman" w:hAnsi="Times New Roman" w:cs="Times New Roman"/>
                <w:bCs/>
                <w:spacing w:val="2"/>
                <w:sz w:val="24"/>
                <w:szCs w:val="24"/>
                <w:shd w:val="clear" w:color="auto" w:fill="FFFFFF"/>
              </w:rPr>
            </w:pPr>
            <w:r w:rsidRPr="008701B9">
              <w:rPr>
                <w:rFonts w:ascii="Times New Roman" w:eastAsia="Times New Roman" w:hAnsi="Times New Roman" w:cs="Times New Roman"/>
                <w:bCs/>
                <w:sz w:val="24"/>
                <w:szCs w:val="24"/>
              </w:rPr>
              <w:t>Психолог ПМСП:</w:t>
            </w:r>
            <w:r w:rsidRPr="008701B9">
              <w:rPr>
                <w:rFonts w:ascii="Times New Roman" w:hAnsi="Times New Roman" w:cs="Times New Roman"/>
                <w:bCs/>
                <w:spacing w:val="2"/>
                <w:sz w:val="24"/>
                <w:szCs w:val="24"/>
                <w:shd w:val="clear" w:color="auto" w:fill="FFFFFF"/>
              </w:rPr>
              <w:t xml:space="preserve"> прием при подозрении на поведенческие и психоактивные расстройства, обучение пациента самоменеджменту с хроническими заболеваниями</w:t>
            </w:r>
          </w:p>
          <w:p w14:paraId="712D5CE2" w14:textId="03C2387D" w:rsidR="004E2DC3"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pacing w:val="2"/>
                <w:sz w:val="24"/>
                <w:szCs w:val="24"/>
                <w:shd w:val="clear" w:color="auto" w:fill="FFFFFF"/>
              </w:rPr>
              <w:t>Социальный работник: организация и проведение медико-социального обследования, обучение членов семьи пациента основам медицинского ухода, проводимого в домашних условиях</w:t>
            </w:r>
          </w:p>
        </w:tc>
        <w:tc>
          <w:tcPr>
            <w:tcW w:w="3224" w:type="dxa"/>
          </w:tcPr>
          <w:p w14:paraId="74514941" w14:textId="3AA88D3F"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p>
        </w:tc>
        <w:tc>
          <w:tcPr>
            <w:tcW w:w="2673" w:type="dxa"/>
          </w:tcPr>
          <w:p w14:paraId="6D7425E4" w14:textId="72BC3E22"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p>
        </w:tc>
        <w:tc>
          <w:tcPr>
            <w:tcW w:w="2360" w:type="dxa"/>
          </w:tcPr>
          <w:p w14:paraId="1BDE8F98" w14:textId="5D3FC6D8" w:rsidR="004E2DC3" w:rsidRPr="008701B9" w:rsidRDefault="004E2DC3" w:rsidP="004E2DC3">
            <w:pPr>
              <w:autoSpaceDE w:val="0"/>
              <w:autoSpaceDN w:val="0"/>
              <w:adjustRightInd w:val="0"/>
              <w:spacing w:after="0" w:line="240" w:lineRule="auto"/>
              <w:jc w:val="both"/>
              <w:rPr>
                <w:rFonts w:ascii="Times New Roman" w:hAnsi="Times New Roman" w:cs="Times New Roman"/>
                <w:bCs/>
                <w:sz w:val="24"/>
                <w:szCs w:val="24"/>
              </w:rPr>
            </w:pPr>
          </w:p>
        </w:tc>
      </w:tr>
      <w:tr w:rsidR="00891825" w:rsidRPr="008701B9" w14:paraId="4FCA771C" w14:textId="77777777" w:rsidTr="005F17CA">
        <w:tc>
          <w:tcPr>
            <w:tcW w:w="457" w:type="dxa"/>
            <w:tcBorders>
              <w:bottom w:val="single" w:sz="4" w:space="0" w:color="auto"/>
            </w:tcBorders>
          </w:tcPr>
          <w:p w14:paraId="56B9AE94" w14:textId="77777777" w:rsidR="00891825" w:rsidRPr="008701B9" w:rsidRDefault="00891825" w:rsidP="004E2DC3">
            <w:pPr>
              <w:autoSpaceDE w:val="0"/>
              <w:autoSpaceDN w:val="0"/>
              <w:adjustRightInd w:val="0"/>
              <w:spacing w:after="0" w:line="240" w:lineRule="auto"/>
              <w:jc w:val="both"/>
              <w:rPr>
                <w:rFonts w:ascii="Times New Roman" w:hAnsi="Times New Roman" w:cs="Times New Roman"/>
                <w:bCs/>
                <w:sz w:val="24"/>
                <w:szCs w:val="24"/>
              </w:rPr>
            </w:pPr>
          </w:p>
        </w:tc>
        <w:tc>
          <w:tcPr>
            <w:tcW w:w="14570" w:type="dxa"/>
            <w:gridSpan w:val="5"/>
            <w:tcBorders>
              <w:bottom w:val="single" w:sz="4" w:space="0" w:color="auto"/>
            </w:tcBorders>
          </w:tcPr>
          <w:p w14:paraId="1E2D6D65" w14:textId="10747E13" w:rsidR="00891825" w:rsidRPr="008701B9" w:rsidRDefault="00891825" w:rsidP="005F17CA">
            <w:pPr>
              <w:autoSpaceDE w:val="0"/>
              <w:autoSpaceDN w:val="0"/>
              <w:adjustRightInd w:val="0"/>
              <w:spacing w:after="0" w:line="240" w:lineRule="auto"/>
              <w:jc w:val="center"/>
              <w:rPr>
                <w:rFonts w:ascii="Times New Roman" w:hAnsi="Times New Roman" w:cs="Times New Roman"/>
                <w:bCs/>
                <w:sz w:val="24"/>
                <w:szCs w:val="24"/>
              </w:rPr>
            </w:pPr>
            <w:r w:rsidRPr="008701B9">
              <w:rPr>
                <w:rFonts w:ascii="Times New Roman" w:eastAsiaTheme="minorHAnsi" w:hAnsi="Times New Roman" w:cs="Times New Roman"/>
                <w:bCs/>
                <w:sz w:val="24"/>
                <w:szCs w:val="24"/>
                <w:lang w:eastAsia="en-US"/>
              </w:rPr>
              <w:t>Анализ инфраструктуры, ресурсов, кадрового обеспечения для оказания помощи пациентам с СД2т</w:t>
            </w:r>
          </w:p>
        </w:tc>
      </w:tr>
      <w:tr w:rsidR="00891825" w:rsidRPr="008701B9" w14:paraId="588F3268" w14:textId="77777777" w:rsidTr="005F17CA">
        <w:tc>
          <w:tcPr>
            <w:tcW w:w="457" w:type="dxa"/>
            <w:tcBorders>
              <w:bottom w:val="nil"/>
            </w:tcBorders>
          </w:tcPr>
          <w:p w14:paraId="2D632647" w14:textId="4396AD7A"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4</w:t>
            </w:r>
          </w:p>
        </w:tc>
        <w:tc>
          <w:tcPr>
            <w:tcW w:w="3159" w:type="dxa"/>
            <w:tcBorders>
              <w:bottom w:val="nil"/>
            </w:tcBorders>
          </w:tcPr>
          <w:p w14:paraId="3679C651" w14:textId="77777777" w:rsidR="00891825" w:rsidRPr="008701B9" w:rsidRDefault="00891825"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Лекарственное обеспечение при ПМСП.</w:t>
            </w:r>
          </w:p>
          <w:p w14:paraId="0D6CB96F" w14:textId="77777777" w:rsidR="00891825" w:rsidRPr="008701B9" w:rsidRDefault="00891825"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 xml:space="preserve">Приказ МЗ РК от 29 августа 2017 года № 666 </w:t>
            </w:r>
          </w:p>
          <w:p w14:paraId="4FC03BF9" w14:textId="4EA266EF" w:rsidR="00891825" w:rsidRPr="008701B9" w:rsidRDefault="00891825" w:rsidP="00891825">
            <w:pPr>
              <w:spacing w:after="0" w:line="240" w:lineRule="auto"/>
              <w:textAlignment w:val="baseline"/>
              <w:rPr>
                <w:rFonts w:ascii="Times New Roman" w:eastAsia="Times New Roman" w:hAnsi="Times New Roman" w:cs="Times New Roman"/>
                <w:bCs/>
                <w:spacing w:val="2"/>
                <w:sz w:val="24"/>
                <w:szCs w:val="24"/>
              </w:rPr>
            </w:pPr>
            <w:r w:rsidRPr="008701B9">
              <w:rPr>
                <w:rFonts w:ascii="Times New Roman" w:eastAsiaTheme="minorHAnsi" w:hAnsi="Times New Roman" w:cs="Times New Roman"/>
                <w:bCs/>
                <w:sz w:val="24"/>
                <w:szCs w:val="24"/>
                <w:lang w:eastAsia="en-US"/>
              </w:rPr>
              <w:t xml:space="preserve"> «Об утверждении Перечня ЛС и  изделий медицинского назначения для обеспечения</w:t>
            </w:r>
            <w:r w:rsidR="005F17CA">
              <w:rPr>
                <w:rFonts w:ascii="Times New Roman" w:eastAsiaTheme="minorHAnsi" w:hAnsi="Times New Roman" w:cs="Times New Roman"/>
                <w:bCs/>
                <w:sz w:val="24"/>
                <w:szCs w:val="24"/>
                <w:lang w:eastAsia="en-US"/>
              </w:rPr>
              <w:t xml:space="preserve"> </w:t>
            </w:r>
            <w:r w:rsidR="005F17CA" w:rsidRPr="008701B9">
              <w:rPr>
                <w:rFonts w:ascii="Times New Roman" w:eastAsiaTheme="minorHAnsi" w:hAnsi="Times New Roman" w:cs="Times New Roman"/>
                <w:bCs/>
                <w:sz w:val="24"/>
                <w:szCs w:val="24"/>
                <w:lang w:eastAsia="en-US"/>
              </w:rPr>
              <w:t xml:space="preserve">граждан в рамках ГОБМП и ОСМС, в том числе отдельных категорий граждан с </w:t>
            </w:r>
          </w:p>
        </w:tc>
        <w:tc>
          <w:tcPr>
            <w:tcW w:w="3154" w:type="dxa"/>
            <w:tcBorders>
              <w:bottom w:val="nil"/>
            </w:tcBorders>
          </w:tcPr>
          <w:p w14:paraId="1CC9928E" w14:textId="18EEA154"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 xml:space="preserve">Индивидуальный расчет потребности пациентов в </w:t>
            </w:r>
            <w:r w:rsidRPr="008701B9">
              <w:rPr>
                <w:rFonts w:ascii="Times New Roman" w:eastAsiaTheme="minorHAnsi" w:hAnsi="Times New Roman" w:cs="Times New Roman"/>
                <w:bCs/>
                <w:sz w:val="24"/>
                <w:szCs w:val="24"/>
                <w:lang w:eastAsia="en-US"/>
              </w:rPr>
              <w:t>лекарственных средств и изделий медицинского назначения.</w:t>
            </w:r>
          </w:p>
        </w:tc>
        <w:tc>
          <w:tcPr>
            <w:tcW w:w="3224" w:type="dxa"/>
            <w:tcBorders>
              <w:bottom w:val="nil"/>
            </w:tcBorders>
          </w:tcPr>
          <w:p w14:paraId="7D54CDC9" w14:textId="77777777" w:rsidR="00891825" w:rsidRPr="008701B9" w:rsidRDefault="00891825"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В этих приказах сахарный диабет с Е10 по Е14 не рассматриваются раздельно, хотя потребности пациентов разные в зависимости от диагноза.</w:t>
            </w:r>
          </w:p>
          <w:p w14:paraId="7C0815EB" w14:textId="25D296E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eastAsiaTheme="minorHAnsi" w:hAnsi="Times New Roman" w:cs="Times New Roman"/>
                <w:bCs/>
                <w:sz w:val="24"/>
                <w:szCs w:val="24"/>
                <w:lang w:eastAsia="en-US"/>
              </w:rPr>
              <w:t>Анализ соц.исследования показал, что п</w:t>
            </w:r>
            <w:r w:rsidRPr="008701B9">
              <w:rPr>
                <w:rFonts w:ascii="Times New Roman" w:hAnsi="Times New Roman" w:cs="Times New Roman"/>
                <w:bCs/>
                <w:sz w:val="24"/>
                <w:szCs w:val="24"/>
              </w:rPr>
              <w:t xml:space="preserve">ри подаче заявки необходимых ЛС по приказу №666 для пациентов с СД 2 типа на амбулаторном уровне, у врачей </w:t>
            </w:r>
          </w:p>
        </w:tc>
        <w:tc>
          <w:tcPr>
            <w:tcW w:w="2673" w:type="dxa"/>
            <w:tcBorders>
              <w:bottom w:val="nil"/>
            </w:tcBorders>
          </w:tcPr>
          <w:p w14:paraId="5D3DCB62"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p>
        </w:tc>
        <w:tc>
          <w:tcPr>
            <w:tcW w:w="2360" w:type="dxa"/>
            <w:tcBorders>
              <w:bottom w:val="nil"/>
            </w:tcBorders>
          </w:tcPr>
          <w:p w14:paraId="26B067EA"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p>
        </w:tc>
      </w:tr>
    </w:tbl>
    <w:p w14:paraId="732BF09B" w14:textId="77BA5ED2" w:rsidR="00891825" w:rsidRDefault="00891825" w:rsidP="00891825">
      <w:pPr>
        <w:autoSpaceDE w:val="0"/>
        <w:autoSpaceDN w:val="0"/>
        <w:adjustRightInd w:val="0"/>
        <w:spacing w:after="0" w:line="240" w:lineRule="auto"/>
        <w:ind w:hanging="426"/>
        <w:jc w:val="both"/>
        <w:rPr>
          <w:rFonts w:ascii="Times New Roman" w:hAnsi="Times New Roman" w:cs="Times New Roman"/>
          <w:sz w:val="28"/>
          <w:szCs w:val="28"/>
        </w:rPr>
      </w:pPr>
      <w:r w:rsidRPr="00891825">
        <w:rPr>
          <w:rFonts w:ascii="Times New Roman" w:hAnsi="Times New Roman" w:cs="Times New Roman"/>
          <w:sz w:val="28"/>
          <w:szCs w:val="28"/>
        </w:rPr>
        <w:t>Продолжение таблицы 54</w:t>
      </w:r>
    </w:p>
    <w:p w14:paraId="43D48983" w14:textId="77777777" w:rsidR="00891825" w:rsidRDefault="00891825" w:rsidP="00891825">
      <w:pPr>
        <w:autoSpaceDE w:val="0"/>
        <w:autoSpaceDN w:val="0"/>
        <w:adjustRightInd w:val="0"/>
        <w:spacing w:after="0" w:line="240" w:lineRule="auto"/>
        <w:ind w:hanging="426"/>
        <w:jc w:val="both"/>
        <w:rPr>
          <w:rFonts w:ascii="Times New Roman" w:hAnsi="Times New Roman" w:cs="Times New Roman"/>
          <w:sz w:val="28"/>
          <w:szCs w:val="28"/>
        </w:rPr>
      </w:pPr>
    </w:p>
    <w:tbl>
      <w:tblPr>
        <w:tblStyle w:val="a5"/>
        <w:tblW w:w="15027" w:type="dxa"/>
        <w:tblInd w:w="-431" w:type="dxa"/>
        <w:tblLook w:val="04A0" w:firstRow="1" w:lastRow="0" w:firstColumn="1" w:lastColumn="0" w:noHBand="0" w:noVBand="1"/>
      </w:tblPr>
      <w:tblGrid>
        <w:gridCol w:w="457"/>
        <w:gridCol w:w="3159"/>
        <w:gridCol w:w="3154"/>
        <w:gridCol w:w="3224"/>
        <w:gridCol w:w="2673"/>
        <w:gridCol w:w="2360"/>
      </w:tblGrid>
      <w:tr w:rsidR="00891825" w:rsidRPr="008701B9" w14:paraId="647A0BD7" w14:textId="77777777" w:rsidTr="008701B9">
        <w:tc>
          <w:tcPr>
            <w:tcW w:w="457" w:type="dxa"/>
          </w:tcPr>
          <w:p w14:paraId="21212D2E" w14:textId="4BAC3DBB" w:rsidR="00891825" w:rsidRPr="008701B9" w:rsidRDefault="00891825" w:rsidP="00891825">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3159" w:type="dxa"/>
          </w:tcPr>
          <w:p w14:paraId="10CEEFFE" w14:textId="29C9124A" w:rsidR="00891825" w:rsidRPr="008701B9" w:rsidRDefault="00891825" w:rsidP="00891825">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3154" w:type="dxa"/>
          </w:tcPr>
          <w:p w14:paraId="62594BC1" w14:textId="21CF752E" w:rsidR="00891825" w:rsidRPr="008701B9" w:rsidRDefault="00891825" w:rsidP="00891825">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w:t>
            </w:r>
          </w:p>
        </w:tc>
        <w:tc>
          <w:tcPr>
            <w:tcW w:w="3224" w:type="dxa"/>
          </w:tcPr>
          <w:p w14:paraId="47250A28" w14:textId="2ECF2673" w:rsidR="00891825" w:rsidRPr="008701B9" w:rsidRDefault="00891825" w:rsidP="00891825">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4</w:t>
            </w:r>
          </w:p>
        </w:tc>
        <w:tc>
          <w:tcPr>
            <w:tcW w:w="2673" w:type="dxa"/>
          </w:tcPr>
          <w:p w14:paraId="7303762C" w14:textId="5C02E138" w:rsidR="00891825" w:rsidRPr="008701B9" w:rsidRDefault="00891825" w:rsidP="00891825">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w:t>
            </w:r>
          </w:p>
        </w:tc>
        <w:tc>
          <w:tcPr>
            <w:tcW w:w="2360" w:type="dxa"/>
          </w:tcPr>
          <w:p w14:paraId="3D619ABD" w14:textId="7586FA35" w:rsidR="00891825" w:rsidRPr="008701B9" w:rsidRDefault="00891825" w:rsidP="00891825">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r>
      <w:tr w:rsidR="001C7E58" w:rsidRPr="008701B9" w14:paraId="6526C155" w14:textId="77777777" w:rsidTr="001C7E58">
        <w:tc>
          <w:tcPr>
            <w:tcW w:w="457" w:type="dxa"/>
            <w:tcBorders>
              <w:bottom w:val="single" w:sz="4" w:space="0" w:color="auto"/>
            </w:tcBorders>
          </w:tcPr>
          <w:p w14:paraId="67DB3A51" w14:textId="34A3D7C2"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p>
        </w:tc>
        <w:tc>
          <w:tcPr>
            <w:tcW w:w="3159" w:type="dxa"/>
            <w:tcBorders>
              <w:bottom w:val="single" w:sz="4" w:space="0" w:color="auto"/>
            </w:tcBorders>
          </w:tcPr>
          <w:p w14:paraId="10B86F45" w14:textId="4753C0C1" w:rsidR="00891825" w:rsidRPr="008701B9" w:rsidRDefault="005F17CA"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определенными заболеваниями</w:t>
            </w:r>
            <w:r w:rsidR="00891825" w:rsidRPr="008701B9">
              <w:rPr>
                <w:rFonts w:ascii="Times New Roman" w:eastAsiaTheme="minorHAnsi" w:hAnsi="Times New Roman" w:cs="Times New Roman"/>
                <w:bCs/>
                <w:sz w:val="24"/>
                <w:szCs w:val="24"/>
                <w:lang w:eastAsia="en-US"/>
              </w:rPr>
              <w:t xml:space="preserve"> (состояниями) бесплатными и (или) льготными ЛС, изделиями медицинского назначения и специализированными лечебными продуктами на амбулаторном уровне</w:t>
            </w:r>
          </w:p>
          <w:p w14:paraId="78BBBACE" w14:textId="77777777" w:rsidR="00891825" w:rsidRPr="008701B9" w:rsidRDefault="00891825"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hAnsi="Times New Roman" w:cs="Times New Roman"/>
                <w:bCs/>
                <w:color w:val="000000"/>
                <w:sz w:val="24"/>
                <w:szCs w:val="24"/>
              </w:rPr>
              <w:t>Приказ МЗ РК от 5 августа 2021 года № ҚР ДСМ - 75.</w:t>
            </w:r>
          </w:p>
          <w:p w14:paraId="24D57525" w14:textId="77777777" w:rsidR="00891825" w:rsidRPr="008701B9" w:rsidRDefault="00891825" w:rsidP="00891825">
            <w:pPr>
              <w:spacing w:after="0"/>
              <w:rPr>
                <w:rFonts w:ascii="Times New Roman" w:hAnsi="Times New Roman" w:cs="Times New Roman"/>
                <w:bCs/>
                <w:sz w:val="24"/>
                <w:szCs w:val="24"/>
              </w:rPr>
            </w:pPr>
            <w:r w:rsidRPr="008701B9">
              <w:rPr>
                <w:rFonts w:ascii="Times New Roman" w:hAnsi="Times New Roman" w:cs="Times New Roman"/>
                <w:bCs/>
                <w:color w:val="000000"/>
                <w:sz w:val="24"/>
                <w:szCs w:val="24"/>
              </w:rPr>
              <w:t>Об утверждении Перечня ЛС и медицинских изделий для бесплатного и (или) льготного амбулаторного обеспечения отдельных категорий граждан Республики Казахстан с определенными заболеваниями (состояниями)</w:t>
            </w:r>
          </w:p>
          <w:p w14:paraId="2BFBC2D7" w14:textId="77777777" w:rsidR="00891825" w:rsidRPr="008701B9" w:rsidRDefault="00891825"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p>
        </w:tc>
        <w:tc>
          <w:tcPr>
            <w:tcW w:w="3154" w:type="dxa"/>
            <w:tcBorders>
              <w:bottom w:val="single" w:sz="4" w:space="0" w:color="auto"/>
            </w:tcBorders>
          </w:tcPr>
          <w:p w14:paraId="746E86FF" w14:textId="0A5C7B30"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p>
        </w:tc>
        <w:tc>
          <w:tcPr>
            <w:tcW w:w="3224" w:type="dxa"/>
            <w:tcBorders>
              <w:bottom w:val="single" w:sz="4" w:space="0" w:color="auto"/>
            </w:tcBorders>
          </w:tcPr>
          <w:p w14:paraId="507459F2" w14:textId="0116991F"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эндокринологов возникают разного рода трудности. По мнению 80,0% - врачей эндокринологов в возрасте 31-35 лет при подаче заявки необходимых ЛС основной проблемой является то, что при оформлении учитывается прирост заболеваемости на 15%, но бухгалтерия и провизор урезают заявку более чем на 20%. 50,0% - эндокринологов в возрасте 26-30 лет считают, что это кропотливая работа с учетом потребности каждого пациента. 11,1% врачей в возрасте 56-60лет беспокоят политика ценообразования и качества препарата.</w:t>
            </w:r>
          </w:p>
          <w:p w14:paraId="1AAB66EB"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 xml:space="preserve">Не учтены временные (потребления инсулинов до восстановления) изменения в назначениях лечения, как при </w:t>
            </w:r>
            <w:r w:rsidRPr="008701B9">
              <w:rPr>
                <w:rFonts w:ascii="Times New Roman" w:hAnsi="Times New Roman" w:cs="Times New Roman"/>
                <w:bCs/>
                <w:sz w:val="24"/>
                <w:szCs w:val="24"/>
                <w:lang w:val="en-US"/>
              </w:rPr>
              <w:t>Covid</w:t>
            </w:r>
            <w:r w:rsidRPr="008701B9">
              <w:rPr>
                <w:rFonts w:ascii="Times New Roman" w:hAnsi="Times New Roman" w:cs="Times New Roman"/>
                <w:bCs/>
                <w:sz w:val="24"/>
                <w:szCs w:val="24"/>
              </w:rPr>
              <w:t>-19.</w:t>
            </w:r>
          </w:p>
        </w:tc>
        <w:tc>
          <w:tcPr>
            <w:tcW w:w="2673" w:type="dxa"/>
            <w:tcBorders>
              <w:bottom w:val="single" w:sz="4" w:space="0" w:color="auto"/>
            </w:tcBorders>
          </w:tcPr>
          <w:p w14:paraId="3C97FC38"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При постоянном контроле над оборотом ЛС и МИ с индивидуальным подходом, можно рационализировать финансовое распределение, без просрочки сроков ЛС; повысить удовлетворенность пациентов.</w:t>
            </w:r>
          </w:p>
        </w:tc>
        <w:tc>
          <w:tcPr>
            <w:tcW w:w="2360" w:type="dxa"/>
            <w:tcBorders>
              <w:bottom w:val="single" w:sz="4" w:space="0" w:color="auto"/>
            </w:tcBorders>
          </w:tcPr>
          <w:p w14:paraId="2DB3C8B0"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Дополнительная неоплачиваемая нагрузка на персонал приводит к профессиональному выгоранию. Вопросы ценообразования и урезания заявок на ЛС со стороны администрации и бухгалтерии, приводят к возмущениям пациентов, так как не всегда соответствуют их потребностям.</w:t>
            </w:r>
          </w:p>
        </w:tc>
      </w:tr>
      <w:tr w:rsidR="001C7E58" w:rsidRPr="008701B9" w14:paraId="22E6D385" w14:textId="77777777" w:rsidTr="001C7E58">
        <w:tc>
          <w:tcPr>
            <w:tcW w:w="457" w:type="dxa"/>
            <w:tcBorders>
              <w:bottom w:val="nil"/>
            </w:tcBorders>
          </w:tcPr>
          <w:p w14:paraId="1AD3B8F7"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5</w:t>
            </w:r>
          </w:p>
        </w:tc>
        <w:tc>
          <w:tcPr>
            <w:tcW w:w="3159" w:type="dxa"/>
            <w:tcBorders>
              <w:bottom w:val="nil"/>
            </w:tcBorders>
          </w:tcPr>
          <w:p w14:paraId="476BA276" w14:textId="77777777" w:rsidR="00891825" w:rsidRPr="008701B9" w:rsidRDefault="00891825"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Обеспеченность медицинским персоналом</w:t>
            </w:r>
          </w:p>
          <w:p w14:paraId="683D6C63" w14:textId="7060E7F7" w:rsidR="00891825" w:rsidRPr="008701B9" w:rsidRDefault="00891825"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 xml:space="preserve">Приказ МЗ РК от 25 ноября 2020 года № ҚР ДСМ-205/2020. Об утверждении минимальных нормативов </w:t>
            </w:r>
          </w:p>
        </w:tc>
        <w:tc>
          <w:tcPr>
            <w:tcW w:w="3154" w:type="dxa"/>
            <w:tcBorders>
              <w:bottom w:val="nil"/>
            </w:tcBorders>
          </w:tcPr>
          <w:p w14:paraId="565AC1CC" w14:textId="3CA8357D" w:rsidR="00891825" w:rsidRPr="008701B9" w:rsidRDefault="00891825" w:rsidP="005F17CA">
            <w:pPr>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 xml:space="preserve"> По коэффициенту укомплектованности и нормативу минимальной </w:t>
            </w:r>
            <w:r w:rsidRPr="008701B9">
              <w:rPr>
                <w:rFonts w:ascii="Times New Roman" w:hAnsi="Times New Roman" w:cs="Times New Roman"/>
                <w:bCs/>
                <w:sz w:val="24"/>
                <w:szCs w:val="24"/>
                <w:shd w:val="clear" w:color="auto" w:fill="FFFFFF"/>
              </w:rPr>
              <w:t>обеспеченности медицинскими работниками</w:t>
            </w:r>
            <w:r w:rsidRPr="008701B9">
              <w:rPr>
                <w:rFonts w:ascii="Times New Roman" w:hAnsi="Times New Roman" w:cs="Times New Roman"/>
                <w:bCs/>
                <w:sz w:val="24"/>
                <w:szCs w:val="24"/>
              </w:rPr>
              <w:t xml:space="preserve"> ПМСП г.Алматы для </w:t>
            </w:r>
          </w:p>
        </w:tc>
        <w:tc>
          <w:tcPr>
            <w:tcW w:w="3224" w:type="dxa"/>
            <w:tcBorders>
              <w:bottom w:val="nil"/>
            </w:tcBorders>
          </w:tcPr>
          <w:p w14:paraId="3C0CFC1E" w14:textId="3487111C" w:rsidR="00891825" w:rsidRPr="008701B9" w:rsidRDefault="00891825"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 xml:space="preserve">Имея достаточный объем кадрового ресурса, согласно социальному опросу не установлен приоритет на </w:t>
            </w:r>
            <w:r w:rsidRPr="008701B9">
              <w:rPr>
                <w:rFonts w:ascii="Times New Roman" w:hAnsi="Times New Roman" w:cs="Times New Roman"/>
                <w:bCs/>
                <w:sz w:val="24"/>
                <w:szCs w:val="24"/>
              </w:rPr>
              <w:t>функцию</w:t>
            </w:r>
            <w:r w:rsidRPr="008701B9">
              <w:rPr>
                <w:rFonts w:ascii="Times New Roman" w:eastAsiaTheme="minorHAnsi" w:hAnsi="Times New Roman" w:cs="Times New Roman"/>
                <w:bCs/>
                <w:sz w:val="24"/>
                <w:szCs w:val="24"/>
                <w:lang w:eastAsia="en-US"/>
              </w:rPr>
              <w:t xml:space="preserve"> и оснащенность Школы Диабета. Согласно по </w:t>
            </w:r>
          </w:p>
        </w:tc>
        <w:tc>
          <w:tcPr>
            <w:tcW w:w="2673" w:type="dxa"/>
            <w:tcBorders>
              <w:bottom w:val="nil"/>
            </w:tcBorders>
          </w:tcPr>
          <w:p w14:paraId="5930E124" w14:textId="0210591A"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 xml:space="preserve">Подготовка специальных инструкторов среди врачей для Школы Диабета способствует  уменьшению </w:t>
            </w:r>
          </w:p>
        </w:tc>
        <w:tc>
          <w:tcPr>
            <w:tcW w:w="2360" w:type="dxa"/>
            <w:tcBorders>
              <w:bottom w:val="nil"/>
            </w:tcBorders>
          </w:tcPr>
          <w:p w14:paraId="4339FE8A" w14:textId="305F7E3E"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 xml:space="preserve">Не мотивированные оплатой инструкторы могут не качественно предоставить информацию </w:t>
            </w:r>
          </w:p>
        </w:tc>
      </w:tr>
    </w:tbl>
    <w:p w14:paraId="1C18DFD8" w14:textId="0DABDEC5" w:rsidR="005F17CA" w:rsidRDefault="005F17CA" w:rsidP="005F17CA">
      <w:pPr>
        <w:autoSpaceDE w:val="0"/>
        <w:autoSpaceDN w:val="0"/>
        <w:adjustRightInd w:val="0"/>
        <w:spacing w:after="0" w:line="240" w:lineRule="auto"/>
        <w:ind w:hanging="426"/>
        <w:jc w:val="both"/>
        <w:rPr>
          <w:rFonts w:ascii="Times New Roman" w:hAnsi="Times New Roman" w:cs="Times New Roman"/>
          <w:sz w:val="28"/>
          <w:szCs w:val="28"/>
        </w:rPr>
      </w:pPr>
      <w:r w:rsidRPr="005F17CA">
        <w:rPr>
          <w:rFonts w:ascii="Times New Roman" w:hAnsi="Times New Roman" w:cs="Times New Roman"/>
          <w:sz w:val="28"/>
          <w:szCs w:val="28"/>
        </w:rPr>
        <w:t>Продолжение таблицы 54</w:t>
      </w:r>
    </w:p>
    <w:p w14:paraId="158DEB42" w14:textId="77777777" w:rsidR="005F17CA" w:rsidRPr="005F17CA" w:rsidRDefault="005F17CA" w:rsidP="005F17CA">
      <w:pPr>
        <w:autoSpaceDE w:val="0"/>
        <w:autoSpaceDN w:val="0"/>
        <w:adjustRightInd w:val="0"/>
        <w:spacing w:after="0" w:line="240" w:lineRule="auto"/>
        <w:ind w:hanging="426"/>
        <w:jc w:val="both"/>
        <w:rPr>
          <w:rFonts w:ascii="Times New Roman" w:hAnsi="Times New Roman" w:cs="Times New Roman"/>
          <w:sz w:val="28"/>
          <w:szCs w:val="28"/>
        </w:rPr>
      </w:pPr>
    </w:p>
    <w:tbl>
      <w:tblPr>
        <w:tblStyle w:val="a5"/>
        <w:tblW w:w="15027" w:type="dxa"/>
        <w:tblInd w:w="-431" w:type="dxa"/>
        <w:tblLook w:val="04A0" w:firstRow="1" w:lastRow="0" w:firstColumn="1" w:lastColumn="0" w:noHBand="0" w:noVBand="1"/>
      </w:tblPr>
      <w:tblGrid>
        <w:gridCol w:w="457"/>
        <w:gridCol w:w="3159"/>
        <w:gridCol w:w="3154"/>
        <w:gridCol w:w="3224"/>
        <w:gridCol w:w="2673"/>
        <w:gridCol w:w="2360"/>
      </w:tblGrid>
      <w:tr w:rsidR="005F17CA" w:rsidRPr="008701B9" w14:paraId="7AF8A18B" w14:textId="77777777" w:rsidTr="008701B9">
        <w:tc>
          <w:tcPr>
            <w:tcW w:w="457" w:type="dxa"/>
          </w:tcPr>
          <w:p w14:paraId="011647B0" w14:textId="2F5A46E9" w:rsidR="005F17CA" w:rsidRPr="008701B9" w:rsidRDefault="005F17CA" w:rsidP="005F17CA">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3159" w:type="dxa"/>
          </w:tcPr>
          <w:p w14:paraId="4EC8D618" w14:textId="355F2466" w:rsidR="005F17CA" w:rsidRPr="008701B9" w:rsidRDefault="005F17CA" w:rsidP="005F17CA">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Pr>
                <w:rFonts w:ascii="Times New Roman" w:eastAsiaTheme="minorHAnsi" w:hAnsi="Times New Roman" w:cs="Times New Roman"/>
                <w:bCs/>
                <w:sz w:val="24"/>
                <w:szCs w:val="24"/>
                <w:lang w:eastAsia="en-US"/>
              </w:rPr>
              <w:t>2</w:t>
            </w:r>
          </w:p>
        </w:tc>
        <w:tc>
          <w:tcPr>
            <w:tcW w:w="3154" w:type="dxa"/>
          </w:tcPr>
          <w:p w14:paraId="09CA488A" w14:textId="1E042909" w:rsidR="005F17CA" w:rsidRPr="008701B9" w:rsidRDefault="005F17CA" w:rsidP="005F17CA">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w:t>
            </w:r>
          </w:p>
        </w:tc>
        <w:tc>
          <w:tcPr>
            <w:tcW w:w="3224" w:type="dxa"/>
          </w:tcPr>
          <w:p w14:paraId="304D91B4" w14:textId="20A6F8CA" w:rsidR="005F17CA" w:rsidRPr="008701B9" w:rsidRDefault="005F17CA" w:rsidP="005F17CA">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Pr>
                <w:rFonts w:ascii="Times New Roman" w:eastAsiaTheme="minorHAnsi" w:hAnsi="Times New Roman" w:cs="Times New Roman"/>
                <w:bCs/>
                <w:sz w:val="24"/>
                <w:szCs w:val="24"/>
                <w:lang w:eastAsia="en-US"/>
              </w:rPr>
              <w:t>4</w:t>
            </w:r>
          </w:p>
        </w:tc>
        <w:tc>
          <w:tcPr>
            <w:tcW w:w="2673" w:type="dxa"/>
          </w:tcPr>
          <w:p w14:paraId="2ADB6961" w14:textId="40A331E7" w:rsidR="005F17CA" w:rsidRPr="008701B9" w:rsidRDefault="005F17CA" w:rsidP="005F17CA">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w:t>
            </w:r>
          </w:p>
        </w:tc>
        <w:tc>
          <w:tcPr>
            <w:tcW w:w="2360" w:type="dxa"/>
          </w:tcPr>
          <w:p w14:paraId="3E66708D" w14:textId="4FBE408F" w:rsidR="005F17CA" w:rsidRPr="008701B9" w:rsidRDefault="005F17CA" w:rsidP="005F17CA">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r>
      <w:tr w:rsidR="005F17CA" w:rsidRPr="008701B9" w14:paraId="444CEECB" w14:textId="77777777" w:rsidTr="001C7E58">
        <w:tc>
          <w:tcPr>
            <w:tcW w:w="457" w:type="dxa"/>
            <w:tcBorders>
              <w:bottom w:val="single" w:sz="4" w:space="0" w:color="auto"/>
            </w:tcBorders>
          </w:tcPr>
          <w:p w14:paraId="4A08946A" w14:textId="77777777" w:rsidR="005F17CA" w:rsidRPr="008701B9" w:rsidRDefault="005F17CA" w:rsidP="00891825">
            <w:pPr>
              <w:autoSpaceDE w:val="0"/>
              <w:autoSpaceDN w:val="0"/>
              <w:adjustRightInd w:val="0"/>
              <w:spacing w:after="0" w:line="240" w:lineRule="auto"/>
              <w:jc w:val="both"/>
              <w:rPr>
                <w:rFonts w:ascii="Times New Roman" w:hAnsi="Times New Roman" w:cs="Times New Roman"/>
                <w:bCs/>
                <w:sz w:val="24"/>
                <w:szCs w:val="24"/>
              </w:rPr>
            </w:pPr>
          </w:p>
        </w:tc>
        <w:tc>
          <w:tcPr>
            <w:tcW w:w="3159" w:type="dxa"/>
            <w:tcBorders>
              <w:bottom w:val="single" w:sz="4" w:space="0" w:color="auto"/>
            </w:tcBorders>
          </w:tcPr>
          <w:p w14:paraId="46328C69" w14:textId="50AFD010" w:rsidR="005F17CA" w:rsidRPr="008701B9" w:rsidRDefault="005F17CA"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обеспеченности регионов медицинскими работниками</w:t>
            </w:r>
          </w:p>
        </w:tc>
        <w:tc>
          <w:tcPr>
            <w:tcW w:w="3154" w:type="dxa"/>
            <w:tcBorders>
              <w:bottom w:val="single" w:sz="4" w:space="0" w:color="auto"/>
            </w:tcBorders>
          </w:tcPr>
          <w:p w14:paraId="1C417EA6" w14:textId="2D012BE0" w:rsidR="005F17CA" w:rsidRPr="008701B9" w:rsidRDefault="005F17CA" w:rsidP="00891825">
            <w:pPr>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оказания медицинской помощи при СД2т выше, чем по РК.</w:t>
            </w:r>
          </w:p>
        </w:tc>
        <w:tc>
          <w:tcPr>
            <w:tcW w:w="3224" w:type="dxa"/>
            <w:tcBorders>
              <w:bottom w:val="single" w:sz="4" w:space="0" w:color="auto"/>
            </w:tcBorders>
          </w:tcPr>
          <w:p w14:paraId="2ED1FB53" w14:textId="77777777" w:rsidR="005F17CA" w:rsidRPr="008701B9" w:rsidRDefault="005F17CA" w:rsidP="005F17CA">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нормативу приказа № ҚР ДСМ-205/2020 нет инструкторов Школы Диабета, соответственно нет оплачиваемой штатной единицы. Вместо квалифицированных инструкторов ШД находится на руках СМР, не владеющей компетенции надлежащего уровня. Соответственно по статистическим данным нет снижения заболеваемости СД2т.</w:t>
            </w:r>
          </w:p>
          <w:p w14:paraId="17A46C5E" w14:textId="48A37D7D" w:rsidR="005F17CA" w:rsidRPr="008701B9" w:rsidRDefault="005F17CA" w:rsidP="005F17CA">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Не рассмотрены продолжительность приема 1 пациента, сколько СМР  выделен на 1 узкого специалиста, объем обслуживаемого населения в день и часовая нагрузка на 1ставку.</w:t>
            </w:r>
          </w:p>
        </w:tc>
        <w:tc>
          <w:tcPr>
            <w:tcW w:w="2673" w:type="dxa"/>
            <w:tcBorders>
              <w:bottom w:val="single" w:sz="4" w:space="0" w:color="auto"/>
            </w:tcBorders>
          </w:tcPr>
          <w:p w14:paraId="19DDFF42" w14:textId="4836EE85" w:rsidR="005F17CA" w:rsidRPr="008701B9" w:rsidRDefault="005F17CA"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 xml:space="preserve">заболеваемости и осложнении при СД2т. Оплачиваемый труд мотивирует оказание качественной услуги пациентам  </w:t>
            </w:r>
          </w:p>
        </w:tc>
        <w:tc>
          <w:tcPr>
            <w:tcW w:w="2360" w:type="dxa"/>
            <w:tcBorders>
              <w:bottom w:val="single" w:sz="4" w:space="0" w:color="auto"/>
            </w:tcBorders>
          </w:tcPr>
          <w:p w14:paraId="749647C9" w14:textId="5A7ACFE9" w:rsidR="005F17CA" w:rsidRPr="008701B9" w:rsidRDefault="005F17CA"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пациентам, которое приведет дезинформации и снижению общего состояния здоровья, тем самым увеличивая «Работу для отчетности» без положительного результата.</w:t>
            </w:r>
          </w:p>
        </w:tc>
      </w:tr>
      <w:tr w:rsidR="001C7E58" w:rsidRPr="008701B9" w14:paraId="1354EC1F" w14:textId="77777777" w:rsidTr="001C7E58">
        <w:tc>
          <w:tcPr>
            <w:tcW w:w="457" w:type="dxa"/>
            <w:tcBorders>
              <w:bottom w:val="nil"/>
            </w:tcBorders>
          </w:tcPr>
          <w:p w14:paraId="0C4D5190"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6</w:t>
            </w:r>
          </w:p>
        </w:tc>
        <w:tc>
          <w:tcPr>
            <w:tcW w:w="3159" w:type="dxa"/>
            <w:tcBorders>
              <w:bottom w:val="nil"/>
            </w:tcBorders>
          </w:tcPr>
          <w:p w14:paraId="0D3EB64A"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 xml:space="preserve">Штат и штатный норматив времени на уровне ПМСП. </w:t>
            </w:r>
          </w:p>
          <w:p w14:paraId="79BFE749"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 xml:space="preserve">Приказ </w:t>
            </w:r>
          </w:p>
          <w:p w14:paraId="5218D79A" w14:textId="77777777" w:rsidR="00891825" w:rsidRPr="008701B9" w:rsidRDefault="00891825"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hAnsi="Times New Roman" w:cs="Times New Roman"/>
                <w:bCs/>
                <w:sz w:val="24"/>
                <w:szCs w:val="24"/>
              </w:rPr>
              <w:t>МЗ РК от 7 апреля 2010г №238, об утверждении типовых штатов и штатных нормативов организаций здравоохранения</w:t>
            </w:r>
          </w:p>
        </w:tc>
        <w:tc>
          <w:tcPr>
            <w:tcW w:w="3154" w:type="dxa"/>
            <w:tcBorders>
              <w:bottom w:val="nil"/>
            </w:tcBorders>
          </w:tcPr>
          <w:p w14:paraId="1E1400FF"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1ставка ВОП на 2000 человек обслуживаемого смешанного населения (взрослого и детского), 3 должности СМР на 1 врача. 15 мин на прием у ВОП, учитывая командную работу с 3 СМР</w:t>
            </w:r>
          </w:p>
        </w:tc>
        <w:tc>
          <w:tcPr>
            <w:tcW w:w="3224" w:type="dxa"/>
            <w:tcBorders>
              <w:bottom w:val="nil"/>
            </w:tcBorders>
          </w:tcPr>
          <w:p w14:paraId="6C67D30F" w14:textId="6170A09A" w:rsidR="00891825" w:rsidRPr="001C7E58" w:rsidRDefault="00891825" w:rsidP="00891825">
            <w:pPr>
              <w:autoSpaceDE w:val="0"/>
              <w:autoSpaceDN w:val="0"/>
              <w:adjustRightInd w:val="0"/>
              <w:spacing w:after="0" w:line="240" w:lineRule="auto"/>
              <w:jc w:val="both"/>
              <w:rPr>
                <w:rFonts w:ascii="Times New Roman" w:hAnsi="Times New Roman" w:cs="Times New Roman"/>
                <w:bCs/>
                <w:sz w:val="24"/>
                <w:szCs w:val="24"/>
                <w:shd w:val="clear" w:color="auto" w:fill="FFFFFF"/>
              </w:rPr>
            </w:pPr>
            <w:r w:rsidRPr="008701B9">
              <w:rPr>
                <w:rFonts w:ascii="Times New Roman" w:hAnsi="Times New Roman" w:cs="Times New Roman"/>
                <w:bCs/>
                <w:sz w:val="24"/>
                <w:szCs w:val="24"/>
              </w:rPr>
              <w:t>Врач эндокринолог 1</w:t>
            </w:r>
            <w:r w:rsidR="00E439C6">
              <w:rPr>
                <w:rFonts w:ascii="Times New Roman" w:hAnsi="Times New Roman" w:cs="Times New Roman"/>
                <w:bCs/>
                <w:sz w:val="24"/>
                <w:szCs w:val="24"/>
              </w:rPr>
              <w:t xml:space="preserve"> </w:t>
            </w:r>
            <w:r w:rsidRPr="008701B9">
              <w:rPr>
                <w:rFonts w:ascii="Times New Roman" w:hAnsi="Times New Roman" w:cs="Times New Roman"/>
                <w:bCs/>
                <w:sz w:val="24"/>
                <w:szCs w:val="24"/>
              </w:rPr>
              <w:t xml:space="preserve">ставка на 15 000 человек, 1 СМР на 1 врача, согласно социологическому опросу, </w:t>
            </w:r>
            <w:r w:rsidRPr="008701B9">
              <w:rPr>
                <w:rFonts w:ascii="Times New Roman" w:hAnsi="Times New Roman" w:cs="Times New Roman"/>
                <w:bCs/>
                <w:sz w:val="24"/>
                <w:szCs w:val="24"/>
                <w:shd w:val="clear" w:color="auto" w:fill="FFFFFF"/>
              </w:rPr>
              <w:t xml:space="preserve">на прием 1пациента 15 мин не достаточен. Не успевают дать индивидуальные назначения по питанию, ФА, репродуктивному </w:t>
            </w:r>
          </w:p>
        </w:tc>
        <w:tc>
          <w:tcPr>
            <w:tcW w:w="2673" w:type="dxa"/>
            <w:tcBorders>
              <w:bottom w:val="nil"/>
            </w:tcBorders>
          </w:tcPr>
          <w:p w14:paraId="6618DA70" w14:textId="60FE5165"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 xml:space="preserve">При снижениях нагрузки населения до 10 000человек и увеличении время приема на 1 пациента до 20 мин, обеспечив по 2СМР на 1 врача эндокринолога, можно достичь более высокого </w:t>
            </w:r>
          </w:p>
        </w:tc>
        <w:tc>
          <w:tcPr>
            <w:tcW w:w="2360" w:type="dxa"/>
            <w:tcBorders>
              <w:bottom w:val="nil"/>
            </w:tcBorders>
          </w:tcPr>
          <w:p w14:paraId="6280E6F5" w14:textId="77777777" w:rsidR="00891825" w:rsidRPr="008701B9" w:rsidRDefault="00891825"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hAnsi="Times New Roman" w:cs="Times New Roman"/>
                <w:bCs/>
                <w:sz w:val="24"/>
                <w:szCs w:val="24"/>
              </w:rPr>
              <w:t xml:space="preserve">Приказ №238, утратил силу, но </w:t>
            </w:r>
            <w:r w:rsidRPr="008701B9">
              <w:rPr>
                <w:rFonts w:ascii="Times New Roman" w:eastAsiaTheme="minorHAnsi" w:hAnsi="Times New Roman" w:cs="Times New Roman"/>
                <w:bCs/>
                <w:sz w:val="24"/>
                <w:szCs w:val="24"/>
                <w:lang w:eastAsia="en-US"/>
              </w:rPr>
              <w:t>Приказ МЗ РК от 25 ноября 2020 года № ҚР ДСМ-205/2020</w:t>
            </w:r>
            <w:r w:rsidRPr="008701B9">
              <w:rPr>
                <w:rFonts w:ascii="Times New Roman" w:hAnsi="Times New Roman" w:cs="Times New Roman"/>
                <w:bCs/>
                <w:sz w:val="24"/>
                <w:szCs w:val="24"/>
              </w:rPr>
              <w:t xml:space="preserve"> полноценно не заменяет данный приказа</w:t>
            </w:r>
          </w:p>
          <w:p w14:paraId="7545D6F8"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p>
        </w:tc>
      </w:tr>
    </w:tbl>
    <w:p w14:paraId="68D1AAA0" w14:textId="2F7077AA" w:rsidR="001C7E58" w:rsidRDefault="001C7E58" w:rsidP="001C7E58">
      <w:pPr>
        <w:autoSpaceDE w:val="0"/>
        <w:autoSpaceDN w:val="0"/>
        <w:adjustRightInd w:val="0"/>
        <w:spacing w:after="0" w:line="240" w:lineRule="auto"/>
        <w:ind w:hanging="426"/>
        <w:jc w:val="both"/>
        <w:rPr>
          <w:rFonts w:ascii="Times New Roman" w:hAnsi="Times New Roman" w:cs="Times New Roman"/>
          <w:sz w:val="28"/>
          <w:szCs w:val="28"/>
        </w:rPr>
      </w:pPr>
      <w:r w:rsidRPr="001C7E58">
        <w:rPr>
          <w:rFonts w:ascii="Times New Roman" w:hAnsi="Times New Roman" w:cs="Times New Roman"/>
          <w:sz w:val="28"/>
          <w:szCs w:val="28"/>
        </w:rPr>
        <w:t>Продолжение таблицы 54</w:t>
      </w:r>
    </w:p>
    <w:p w14:paraId="08AB7D4B" w14:textId="77777777" w:rsidR="001C7E58" w:rsidRPr="001C7E58" w:rsidRDefault="001C7E58" w:rsidP="001C7E58">
      <w:pPr>
        <w:autoSpaceDE w:val="0"/>
        <w:autoSpaceDN w:val="0"/>
        <w:adjustRightInd w:val="0"/>
        <w:spacing w:after="0" w:line="240" w:lineRule="auto"/>
        <w:ind w:hanging="426"/>
        <w:jc w:val="both"/>
        <w:rPr>
          <w:rFonts w:ascii="Times New Roman" w:hAnsi="Times New Roman" w:cs="Times New Roman"/>
          <w:sz w:val="28"/>
          <w:szCs w:val="28"/>
        </w:rPr>
      </w:pPr>
    </w:p>
    <w:tbl>
      <w:tblPr>
        <w:tblStyle w:val="a5"/>
        <w:tblW w:w="15027" w:type="dxa"/>
        <w:tblInd w:w="-431" w:type="dxa"/>
        <w:tblLook w:val="04A0" w:firstRow="1" w:lastRow="0" w:firstColumn="1" w:lastColumn="0" w:noHBand="0" w:noVBand="1"/>
      </w:tblPr>
      <w:tblGrid>
        <w:gridCol w:w="457"/>
        <w:gridCol w:w="3159"/>
        <w:gridCol w:w="3154"/>
        <w:gridCol w:w="3224"/>
        <w:gridCol w:w="2673"/>
        <w:gridCol w:w="2360"/>
      </w:tblGrid>
      <w:tr w:rsidR="001C7E58" w:rsidRPr="008701B9" w14:paraId="14F280D9" w14:textId="77777777" w:rsidTr="008701B9">
        <w:tc>
          <w:tcPr>
            <w:tcW w:w="457" w:type="dxa"/>
          </w:tcPr>
          <w:p w14:paraId="3A943414" w14:textId="3645AE91" w:rsidR="001C7E58" w:rsidRPr="008701B9" w:rsidRDefault="001C7E58" w:rsidP="001C7E58">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3159" w:type="dxa"/>
          </w:tcPr>
          <w:p w14:paraId="629EBC6E" w14:textId="2A46D12F" w:rsidR="001C7E58" w:rsidRPr="008701B9" w:rsidRDefault="001C7E58" w:rsidP="001C7E58">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3154" w:type="dxa"/>
          </w:tcPr>
          <w:p w14:paraId="7EAFA7A4" w14:textId="79D3D01D" w:rsidR="001C7E58" w:rsidRPr="008701B9" w:rsidRDefault="001C7E58" w:rsidP="001C7E58">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w:t>
            </w:r>
          </w:p>
        </w:tc>
        <w:tc>
          <w:tcPr>
            <w:tcW w:w="3224" w:type="dxa"/>
          </w:tcPr>
          <w:p w14:paraId="33BF3D0F" w14:textId="4DE3D2C8" w:rsidR="001C7E58" w:rsidRPr="008701B9" w:rsidRDefault="001C7E58" w:rsidP="001C7E58">
            <w:pPr>
              <w:autoSpaceDE w:val="0"/>
              <w:autoSpaceDN w:val="0"/>
              <w:adjustRightInd w:val="0"/>
              <w:spacing w:after="0" w:line="240" w:lineRule="auto"/>
              <w:jc w:val="center"/>
              <w:rPr>
                <w:rFonts w:ascii="Times New Roman" w:hAnsi="Times New Roman" w:cs="Times New Roman"/>
                <w:bCs/>
                <w:sz w:val="24"/>
                <w:szCs w:val="24"/>
                <w:shd w:val="clear" w:color="auto" w:fill="FFFFFF"/>
              </w:rPr>
            </w:pPr>
            <w:r>
              <w:rPr>
                <w:rFonts w:ascii="Times New Roman" w:hAnsi="Times New Roman" w:cs="Times New Roman"/>
                <w:bCs/>
                <w:sz w:val="24"/>
                <w:szCs w:val="24"/>
                <w:shd w:val="clear" w:color="auto" w:fill="FFFFFF"/>
              </w:rPr>
              <w:t>4</w:t>
            </w:r>
          </w:p>
        </w:tc>
        <w:tc>
          <w:tcPr>
            <w:tcW w:w="2673" w:type="dxa"/>
          </w:tcPr>
          <w:p w14:paraId="4A96334D" w14:textId="381A3260" w:rsidR="001C7E58" w:rsidRPr="008701B9" w:rsidRDefault="001C7E58" w:rsidP="001C7E58">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w:t>
            </w:r>
          </w:p>
        </w:tc>
        <w:tc>
          <w:tcPr>
            <w:tcW w:w="2360" w:type="dxa"/>
          </w:tcPr>
          <w:p w14:paraId="7F3AFC6B" w14:textId="600B600B" w:rsidR="001C7E58" w:rsidRPr="008701B9" w:rsidRDefault="001C7E58" w:rsidP="001C7E58">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r>
      <w:tr w:rsidR="001C7E58" w:rsidRPr="008701B9" w14:paraId="77D205F2" w14:textId="77777777" w:rsidTr="008701B9">
        <w:tc>
          <w:tcPr>
            <w:tcW w:w="457" w:type="dxa"/>
          </w:tcPr>
          <w:p w14:paraId="7B0ABA2F" w14:textId="77777777" w:rsidR="001C7E58" w:rsidRPr="008701B9" w:rsidRDefault="001C7E58" w:rsidP="00891825">
            <w:pPr>
              <w:autoSpaceDE w:val="0"/>
              <w:autoSpaceDN w:val="0"/>
              <w:adjustRightInd w:val="0"/>
              <w:spacing w:after="0" w:line="240" w:lineRule="auto"/>
              <w:jc w:val="both"/>
              <w:rPr>
                <w:rFonts w:ascii="Times New Roman" w:hAnsi="Times New Roman" w:cs="Times New Roman"/>
                <w:bCs/>
                <w:sz w:val="24"/>
                <w:szCs w:val="24"/>
              </w:rPr>
            </w:pPr>
          </w:p>
        </w:tc>
        <w:tc>
          <w:tcPr>
            <w:tcW w:w="3159" w:type="dxa"/>
          </w:tcPr>
          <w:p w14:paraId="6595842C" w14:textId="77777777" w:rsidR="001C7E58" w:rsidRPr="008701B9" w:rsidRDefault="001C7E58" w:rsidP="00891825">
            <w:pPr>
              <w:autoSpaceDE w:val="0"/>
              <w:autoSpaceDN w:val="0"/>
              <w:adjustRightInd w:val="0"/>
              <w:spacing w:after="0" w:line="240" w:lineRule="auto"/>
              <w:jc w:val="both"/>
              <w:rPr>
                <w:rFonts w:ascii="Times New Roman" w:hAnsi="Times New Roman" w:cs="Times New Roman"/>
                <w:bCs/>
                <w:sz w:val="24"/>
                <w:szCs w:val="24"/>
              </w:rPr>
            </w:pPr>
          </w:p>
        </w:tc>
        <w:tc>
          <w:tcPr>
            <w:tcW w:w="3154" w:type="dxa"/>
          </w:tcPr>
          <w:p w14:paraId="33FC89CA" w14:textId="77777777" w:rsidR="001C7E58" w:rsidRPr="008701B9" w:rsidRDefault="001C7E58" w:rsidP="00891825">
            <w:pPr>
              <w:autoSpaceDE w:val="0"/>
              <w:autoSpaceDN w:val="0"/>
              <w:adjustRightInd w:val="0"/>
              <w:spacing w:after="0" w:line="240" w:lineRule="auto"/>
              <w:jc w:val="both"/>
              <w:rPr>
                <w:rFonts w:ascii="Times New Roman" w:hAnsi="Times New Roman" w:cs="Times New Roman"/>
                <w:bCs/>
                <w:sz w:val="24"/>
                <w:szCs w:val="24"/>
              </w:rPr>
            </w:pPr>
          </w:p>
        </w:tc>
        <w:tc>
          <w:tcPr>
            <w:tcW w:w="3224" w:type="dxa"/>
          </w:tcPr>
          <w:p w14:paraId="7A3EE33F" w14:textId="3E0A02AB" w:rsidR="001C7E58" w:rsidRPr="008701B9" w:rsidRDefault="001C7E58"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shd w:val="clear" w:color="auto" w:fill="FFFFFF"/>
              </w:rPr>
              <w:t>потенциалу и психосоциальной помощи</w:t>
            </w:r>
          </w:p>
        </w:tc>
        <w:tc>
          <w:tcPr>
            <w:tcW w:w="2673" w:type="dxa"/>
          </w:tcPr>
          <w:p w14:paraId="59A0D20F" w14:textId="178578BE" w:rsidR="001C7E58" w:rsidRPr="008701B9" w:rsidRDefault="001C7E58"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качества оказания помощи и контроля над СД2т, удовлетворенность пациентов. Необходимо дать приоритет не количеству и объему, а качестве.</w:t>
            </w:r>
          </w:p>
        </w:tc>
        <w:tc>
          <w:tcPr>
            <w:tcW w:w="2360" w:type="dxa"/>
          </w:tcPr>
          <w:p w14:paraId="09A77221" w14:textId="77777777" w:rsidR="001C7E58" w:rsidRPr="008701B9" w:rsidRDefault="001C7E58" w:rsidP="00891825">
            <w:pPr>
              <w:autoSpaceDE w:val="0"/>
              <w:autoSpaceDN w:val="0"/>
              <w:adjustRightInd w:val="0"/>
              <w:spacing w:after="0" w:line="240" w:lineRule="auto"/>
              <w:jc w:val="both"/>
              <w:rPr>
                <w:rFonts w:ascii="Times New Roman" w:hAnsi="Times New Roman" w:cs="Times New Roman"/>
                <w:bCs/>
                <w:sz w:val="24"/>
                <w:szCs w:val="24"/>
              </w:rPr>
            </w:pPr>
          </w:p>
        </w:tc>
      </w:tr>
      <w:tr w:rsidR="00891825" w:rsidRPr="008701B9" w14:paraId="17B5F336" w14:textId="77777777" w:rsidTr="00B417F4">
        <w:tc>
          <w:tcPr>
            <w:tcW w:w="457" w:type="dxa"/>
            <w:tcBorders>
              <w:bottom w:val="single" w:sz="4" w:space="0" w:color="auto"/>
            </w:tcBorders>
          </w:tcPr>
          <w:p w14:paraId="3BF316D6"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p>
        </w:tc>
        <w:tc>
          <w:tcPr>
            <w:tcW w:w="14570" w:type="dxa"/>
            <w:gridSpan w:val="5"/>
            <w:tcBorders>
              <w:bottom w:val="single" w:sz="4" w:space="0" w:color="auto"/>
            </w:tcBorders>
          </w:tcPr>
          <w:p w14:paraId="77BFE4B5" w14:textId="5A6B7AE3" w:rsidR="00891825" w:rsidRPr="008701B9" w:rsidRDefault="00891825" w:rsidP="00B417F4">
            <w:pPr>
              <w:autoSpaceDE w:val="0"/>
              <w:autoSpaceDN w:val="0"/>
              <w:adjustRightInd w:val="0"/>
              <w:spacing w:after="0" w:line="240" w:lineRule="auto"/>
              <w:jc w:val="center"/>
              <w:rPr>
                <w:rFonts w:ascii="Times New Roman" w:hAnsi="Times New Roman" w:cs="Times New Roman"/>
                <w:bCs/>
                <w:sz w:val="24"/>
                <w:szCs w:val="24"/>
              </w:rPr>
            </w:pPr>
            <w:r w:rsidRPr="008701B9">
              <w:rPr>
                <w:rFonts w:ascii="Times New Roman" w:eastAsiaTheme="minorHAnsi" w:hAnsi="Times New Roman" w:cs="Times New Roman"/>
                <w:bCs/>
                <w:sz w:val="24"/>
                <w:szCs w:val="24"/>
                <w:lang w:eastAsia="en-US"/>
              </w:rPr>
              <w:t>Анализ социологического исследования среди пациентов с СД2т</w:t>
            </w:r>
          </w:p>
        </w:tc>
      </w:tr>
      <w:tr w:rsidR="00B417F4" w:rsidRPr="008701B9" w14:paraId="3B85C661" w14:textId="77777777" w:rsidTr="00B417F4">
        <w:tc>
          <w:tcPr>
            <w:tcW w:w="457" w:type="dxa"/>
            <w:tcBorders>
              <w:bottom w:val="nil"/>
            </w:tcBorders>
          </w:tcPr>
          <w:p w14:paraId="3A40110B"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7</w:t>
            </w:r>
          </w:p>
        </w:tc>
        <w:tc>
          <w:tcPr>
            <w:tcW w:w="3159" w:type="dxa"/>
            <w:tcBorders>
              <w:bottom w:val="nil"/>
            </w:tcBorders>
          </w:tcPr>
          <w:p w14:paraId="46DAB633" w14:textId="77777777" w:rsidR="00891825" w:rsidRPr="008701B9" w:rsidRDefault="00891825"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Социологическое исследование потребностей респондентов с СД2т</w:t>
            </w:r>
          </w:p>
        </w:tc>
        <w:tc>
          <w:tcPr>
            <w:tcW w:w="3154" w:type="dxa"/>
            <w:tcBorders>
              <w:bottom w:val="nil"/>
            </w:tcBorders>
          </w:tcPr>
          <w:p w14:paraId="4F8CAF3F" w14:textId="77777777" w:rsidR="00891825" w:rsidRPr="008701B9" w:rsidRDefault="00891825" w:rsidP="00891825">
            <w:pPr>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Выявлены потребности и профилактические меры через управления и влияния на факторы развития СД2т и его осложнения:</w:t>
            </w:r>
          </w:p>
          <w:p w14:paraId="632BF33A" w14:textId="77777777" w:rsidR="00891825" w:rsidRPr="008701B9" w:rsidRDefault="00891825" w:rsidP="00891825">
            <w:pPr>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 путем реализации межсекторального сотрудничества для достижения эффективного влияния на образ жизни и приверженность к здоровому питанию, физической активности, искоренения вредных поведенческих привычек на популяционном уровне</w:t>
            </w:r>
          </w:p>
          <w:p w14:paraId="2FEB9C74" w14:textId="6DE217E7" w:rsidR="00891825" w:rsidRPr="008701B9" w:rsidRDefault="00891825" w:rsidP="00B417F4">
            <w:pPr>
              <w:pStyle w:val="a3"/>
              <w:autoSpaceDE w:val="0"/>
              <w:autoSpaceDN w:val="0"/>
              <w:adjustRightInd w:val="0"/>
              <w:spacing w:after="0" w:line="240" w:lineRule="auto"/>
              <w:ind w:left="0"/>
              <w:jc w:val="both"/>
              <w:rPr>
                <w:rFonts w:ascii="Times New Roman" w:hAnsi="Times New Roman" w:cs="Times New Roman"/>
                <w:bCs/>
                <w:sz w:val="24"/>
                <w:szCs w:val="24"/>
              </w:rPr>
            </w:pPr>
            <w:r w:rsidRPr="008701B9">
              <w:rPr>
                <w:rFonts w:ascii="Times New Roman" w:hAnsi="Times New Roman" w:cs="Times New Roman"/>
                <w:bCs/>
                <w:sz w:val="24"/>
                <w:szCs w:val="24"/>
              </w:rPr>
              <w:t xml:space="preserve">- путем профилактических мер на уровне МЗ РК, реализовать внесения изменения и дополнения в протокол диагностики и лечения СД2т и в данные </w:t>
            </w:r>
          </w:p>
        </w:tc>
        <w:tc>
          <w:tcPr>
            <w:tcW w:w="3224" w:type="dxa"/>
            <w:tcBorders>
              <w:bottom w:val="nil"/>
            </w:tcBorders>
          </w:tcPr>
          <w:p w14:paraId="7CDDD458" w14:textId="77777777" w:rsidR="00891825" w:rsidRPr="008701B9" w:rsidRDefault="00891825"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Слабый контроль над обновлениями и выполнениями протоколов и приказов МЗ РК. Не обустроенность населения трудоспособного возраста с СД2т (не занятость, безработица, имея образование, нет специальных программ по хобби). Низкая посещаемость обучающих школ здоровья. Низкая медицинская грамотность населения о сохранений и улучшении собственного здоровья</w:t>
            </w:r>
          </w:p>
        </w:tc>
        <w:tc>
          <w:tcPr>
            <w:tcW w:w="2673" w:type="dxa"/>
            <w:tcBorders>
              <w:bottom w:val="nil"/>
            </w:tcBorders>
          </w:tcPr>
          <w:p w14:paraId="65283BBD"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При сотрудничестве ведомств не только вертикально, но и горизонтальном направлении улучшится межсекторальное сотрудничество и результативность взаимодействии</w:t>
            </w:r>
          </w:p>
        </w:tc>
        <w:tc>
          <w:tcPr>
            <w:tcW w:w="2360" w:type="dxa"/>
            <w:tcBorders>
              <w:bottom w:val="nil"/>
            </w:tcBorders>
          </w:tcPr>
          <w:p w14:paraId="5388A098"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При неизменном направлении образа жизни и поведенческих факторов, при бездействии государственных ведомств и низком уровне сотрудничестве, статистика прогноза заболеваемости и бремя от СД2т будет возрастать</w:t>
            </w:r>
          </w:p>
        </w:tc>
      </w:tr>
    </w:tbl>
    <w:p w14:paraId="795F9DE5" w14:textId="77777777" w:rsidR="00B417F4" w:rsidRDefault="00B417F4" w:rsidP="00B417F4">
      <w:pPr>
        <w:autoSpaceDE w:val="0"/>
        <w:autoSpaceDN w:val="0"/>
        <w:adjustRightInd w:val="0"/>
        <w:spacing w:after="0" w:line="240" w:lineRule="auto"/>
        <w:ind w:hanging="426"/>
        <w:jc w:val="both"/>
        <w:rPr>
          <w:rFonts w:ascii="Times New Roman" w:hAnsi="Times New Roman" w:cs="Times New Roman"/>
          <w:sz w:val="28"/>
          <w:szCs w:val="28"/>
        </w:rPr>
      </w:pPr>
      <w:r w:rsidRPr="001C7E58">
        <w:rPr>
          <w:rFonts w:ascii="Times New Roman" w:hAnsi="Times New Roman" w:cs="Times New Roman"/>
          <w:sz w:val="28"/>
          <w:szCs w:val="28"/>
        </w:rPr>
        <w:t>Продолжение таблицы 54</w:t>
      </w:r>
    </w:p>
    <w:p w14:paraId="15BBEE55" w14:textId="77777777" w:rsidR="00B417F4" w:rsidRDefault="00B417F4"/>
    <w:tbl>
      <w:tblPr>
        <w:tblStyle w:val="a5"/>
        <w:tblW w:w="15027" w:type="dxa"/>
        <w:tblInd w:w="-431" w:type="dxa"/>
        <w:tblLook w:val="04A0" w:firstRow="1" w:lastRow="0" w:firstColumn="1" w:lastColumn="0" w:noHBand="0" w:noVBand="1"/>
      </w:tblPr>
      <w:tblGrid>
        <w:gridCol w:w="457"/>
        <w:gridCol w:w="3159"/>
        <w:gridCol w:w="3154"/>
        <w:gridCol w:w="3224"/>
        <w:gridCol w:w="2673"/>
        <w:gridCol w:w="2360"/>
      </w:tblGrid>
      <w:tr w:rsidR="00B417F4" w:rsidRPr="008701B9" w14:paraId="12949E0C" w14:textId="77777777" w:rsidTr="00B417F4">
        <w:tc>
          <w:tcPr>
            <w:tcW w:w="457" w:type="dxa"/>
            <w:tcBorders>
              <w:bottom w:val="single" w:sz="4" w:space="0" w:color="auto"/>
            </w:tcBorders>
          </w:tcPr>
          <w:p w14:paraId="5E96A124" w14:textId="6A7FF5B8" w:rsidR="00B417F4" w:rsidRPr="008701B9" w:rsidRDefault="00B417F4" w:rsidP="00B417F4">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3159" w:type="dxa"/>
            <w:tcBorders>
              <w:bottom w:val="single" w:sz="4" w:space="0" w:color="auto"/>
            </w:tcBorders>
          </w:tcPr>
          <w:p w14:paraId="53B0CD26" w14:textId="4A0278FF" w:rsidR="00B417F4" w:rsidRPr="008701B9" w:rsidRDefault="00B417F4" w:rsidP="00B417F4">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Pr>
                <w:rFonts w:ascii="Times New Roman" w:eastAsiaTheme="minorHAnsi" w:hAnsi="Times New Roman" w:cs="Times New Roman"/>
                <w:bCs/>
                <w:sz w:val="24"/>
                <w:szCs w:val="24"/>
                <w:lang w:eastAsia="en-US"/>
              </w:rPr>
              <w:t>2</w:t>
            </w:r>
          </w:p>
        </w:tc>
        <w:tc>
          <w:tcPr>
            <w:tcW w:w="3154" w:type="dxa"/>
            <w:tcBorders>
              <w:bottom w:val="single" w:sz="4" w:space="0" w:color="auto"/>
            </w:tcBorders>
          </w:tcPr>
          <w:p w14:paraId="40BB1A4C" w14:textId="5BE8B0B7" w:rsidR="00B417F4" w:rsidRPr="008701B9" w:rsidRDefault="00B417F4" w:rsidP="00B417F4">
            <w:pPr>
              <w:pStyle w:val="a3"/>
              <w:autoSpaceDE w:val="0"/>
              <w:autoSpaceDN w:val="0"/>
              <w:adjustRightInd w:val="0"/>
              <w:spacing w:after="0" w:line="240" w:lineRule="auto"/>
              <w:ind w:left="0"/>
              <w:jc w:val="center"/>
              <w:rPr>
                <w:rFonts w:ascii="Times New Roman" w:hAnsi="Times New Roman" w:cs="Times New Roman"/>
                <w:bCs/>
                <w:sz w:val="24"/>
                <w:szCs w:val="24"/>
              </w:rPr>
            </w:pPr>
            <w:r>
              <w:rPr>
                <w:rFonts w:ascii="Times New Roman" w:hAnsi="Times New Roman" w:cs="Times New Roman"/>
                <w:bCs/>
                <w:sz w:val="24"/>
                <w:szCs w:val="24"/>
              </w:rPr>
              <w:t>3</w:t>
            </w:r>
          </w:p>
        </w:tc>
        <w:tc>
          <w:tcPr>
            <w:tcW w:w="3224" w:type="dxa"/>
            <w:tcBorders>
              <w:bottom w:val="single" w:sz="4" w:space="0" w:color="auto"/>
            </w:tcBorders>
          </w:tcPr>
          <w:p w14:paraId="64ECBA3C" w14:textId="08D053C5" w:rsidR="00B417F4" w:rsidRPr="008701B9" w:rsidRDefault="00B417F4" w:rsidP="00B417F4">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Pr>
                <w:rFonts w:ascii="Times New Roman" w:eastAsiaTheme="minorHAnsi" w:hAnsi="Times New Roman" w:cs="Times New Roman"/>
                <w:bCs/>
                <w:sz w:val="24"/>
                <w:szCs w:val="24"/>
                <w:lang w:eastAsia="en-US"/>
              </w:rPr>
              <w:t>4</w:t>
            </w:r>
          </w:p>
        </w:tc>
        <w:tc>
          <w:tcPr>
            <w:tcW w:w="2673" w:type="dxa"/>
            <w:tcBorders>
              <w:bottom w:val="single" w:sz="4" w:space="0" w:color="auto"/>
            </w:tcBorders>
          </w:tcPr>
          <w:p w14:paraId="68B18DD3" w14:textId="3B2A66A3" w:rsidR="00B417F4" w:rsidRPr="008701B9" w:rsidRDefault="00B417F4" w:rsidP="00B417F4">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w:t>
            </w:r>
          </w:p>
        </w:tc>
        <w:tc>
          <w:tcPr>
            <w:tcW w:w="2360" w:type="dxa"/>
            <w:tcBorders>
              <w:bottom w:val="single" w:sz="4" w:space="0" w:color="auto"/>
            </w:tcBorders>
          </w:tcPr>
          <w:p w14:paraId="7E9AC56B" w14:textId="64B04C49" w:rsidR="00B417F4" w:rsidRPr="008701B9" w:rsidRDefault="00B417F4" w:rsidP="00B417F4">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r>
      <w:tr w:rsidR="001C7E58" w:rsidRPr="008701B9" w14:paraId="5AEDF2D1" w14:textId="77777777" w:rsidTr="00B417F4">
        <w:tc>
          <w:tcPr>
            <w:tcW w:w="457" w:type="dxa"/>
            <w:tcBorders>
              <w:bottom w:val="nil"/>
            </w:tcBorders>
          </w:tcPr>
          <w:p w14:paraId="135F0DB9" w14:textId="77777777" w:rsidR="001C7E58" w:rsidRPr="008701B9" w:rsidRDefault="001C7E58" w:rsidP="00891825">
            <w:pPr>
              <w:autoSpaceDE w:val="0"/>
              <w:autoSpaceDN w:val="0"/>
              <w:adjustRightInd w:val="0"/>
              <w:spacing w:after="0" w:line="240" w:lineRule="auto"/>
              <w:jc w:val="both"/>
              <w:rPr>
                <w:rFonts w:ascii="Times New Roman" w:hAnsi="Times New Roman" w:cs="Times New Roman"/>
                <w:bCs/>
                <w:sz w:val="24"/>
                <w:szCs w:val="24"/>
              </w:rPr>
            </w:pPr>
          </w:p>
        </w:tc>
        <w:tc>
          <w:tcPr>
            <w:tcW w:w="3159" w:type="dxa"/>
            <w:tcBorders>
              <w:bottom w:val="nil"/>
            </w:tcBorders>
          </w:tcPr>
          <w:p w14:paraId="409E2F59" w14:textId="77777777" w:rsidR="001C7E58" w:rsidRPr="008701B9" w:rsidRDefault="001C7E58"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p>
        </w:tc>
        <w:tc>
          <w:tcPr>
            <w:tcW w:w="3154" w:type="dxa"/>
            <w:tcBorders>
              <w:bottom w:val="nil"/>
            </w:tcBorders>
          </w:tcPr>
          <w:p w14:paraId="0D9D7EB0" w14:textId="77777777" w:rsidR="00B417F4" w:rsidRPr="008701B9" w:rsidRDefault="00B417F4" w:rsidP="00B417F4">
            <w:pPr>
              <w:pStyle w:val="a3"/>
              <w:autoSpaceDE w:val="0"/>
              <w:autoSpaceDN w:val="0"/>
              <w:adjustRightInd w:val="0"/>
              <w:spacing w:after="0" w:line="240" w:lineRule="auto"/>
              <w:ind w:left="0"/>
              <w:jc w:val="both"/>
              <w:rPr>
                <w:rFonts w:ascii="Times New Roman" w:hAnsi="Times New Roman" w:cs="Times New Roman"/>
                <w:bCs/>
                <w:sz w:val="24"/>
                <w:szCs w:val="24"/>
              </w:rPr>
            </w:pPr>
            <w:r w:rsidRPr="008701B9">
              <w:rPr>
                <w:rFonts w:ascii="Times New Roman" w:hAnsi="Times New Roman" w:cs="Times New Roman"/>
                <w:bCs/>
                <w:sz w:val="24"/>
                <w:szCs w:val="24"/>
              </w:rPr>
              <w:t>РЦЭЗ, создать Национальную программу Диабет.</w:t>
            </w:r>
          </w:p>
          <w:p w14:paraId="6E11D870" w14:textId="77777777" w:rsidR="00B417F4" w:rsidRPr="008701B9" w:rsidRDefault="00B417F4" w:rsidP="00B417F4">
            <w:pPr>
              <w:pStyle w:val="a3"/>
              <w:autoSpaceDE w:val="0"/>
              <w:autoSpaceDN w:val="0"/>
              <w:adjustRightInd w:val="0"/>
              <w:spacing w:after="0" w:line="240" w:lineRule="auto"/>
              <w:ind w:left="0"/>
              <w:jc w:val="both"/>
              <w:rPr>
                <w:rFonts w:ascii="Times New Roman" w:hAnsi="Times New Roman" w:cs="Times New Roman"/>
                <w:bCs/>
                <w:sz w:val="24"/>
                <w:szCs w:val="24"/>
              </w:rPr>
            </w:pPr>
            <w:r w:rsidRPr="008701B9">
              <w:rPr>
                <w:rFonts w:ascii="Times New Roman" w:hAnsi="Times New Roman" w:cs="Times New Roman"/>
                <w:bCs/>
                <w:sz w:val="24"/>
                <w:szCs w:val="24"/>
              </w:rPr>
              <w:t>-путем использования возможности профилактических мер на уровне локальных акиматов, общественных организации. Контроль работы СЭС по шуму от городских объектов, организация физической доступности свежих овощей, общественных тренажеров и социально важных элементов для населения с СД2т</w:t>
            </w:r>
          </w:p>
          <w:p w14:paraId="3DA92ADD" w14:textId="77777777" w:rsidR="00B417F4" w:rsidRPr="008701B9" w:rsidRDefault="00B417F4" w:rsidP="00B417F4">
            <w:pPr>
              <w:pStyle w:val="a3"/>
              <w:autoSpaceDE w:val="0"/>
              <w:autoSpaceDN w:val="0"/>
              <w:adjustRightInd w:val="0"/>
              <w:spacing w:after="0" w:line="240" w:lineRule="auto"/>
              <w:ind w:left="0"/>
              <w:jc w:val="both"/>
              <w:rPr>
                <w:rFonts w:ascii="Times New Roman" w:hAnsi="Times New Roman" w:cs="Times New Roman"/>
                <w:bCs/>
                <w:sz w:val="24"/>
                <w:szCs w:val="24"/>
              </w:rPr>
            </w:pPr>
            <w:r w:rsidRPr="008701B9">
              <w:rPr>
                <w:rFonts w:ascii="Times New Roman" w:hAnsi="Times New Roman" w:cs="Times New Roman"/>
                <w:bCs/>
                <w:sz w:val="24"/>
                <w:szCs w:val="24"/>
              </w:rPr>
              <w:t>- путем использования возможности профилактических мер на уровне ПМСП. Обеспечения согласованности в работе кадров, подготовленность персоналов в оказании медицинской услуги, рациональное использование ресурсов, инфраструктуры.</w:t>
            </w:r>
          </w:p>
          <w:p w14:paraId="0F8B4B91" w14:textId="5D100690" w:rsidR="001C7E58" w:rsidRPr="008701B9" w:rsidRDefault="00B417F4" w:rsidP="00B417F4">
            <w:pPr>
              <w:spacing w:after="0" w:line="240" w:lineRule="auto"/>
              <w:jc w:val="both"/>
              <w:rPr>
                <w:rFonts w:ascii="Times New Roman" w:hAnsi="Times New Roman" w:cs="Times New Roman"/>
                <w:bCs/>
                <w:sz w:val="24"/>
                <w:szCs w:val="24"/>
              </w:rPr>
            </w:pPr>
            <w:r w:rsidRPr="008701B9">
              <w:rPr>
                <w:rFonts w:ascii="Times New Roman" w:eastAsia="Times New Roman" w:hAnsi="Times New Roman" w:cs="Times New Roman"/>
                <w:bCs/>
                <w:sz w:val="24"/>
                <w:szCs w:val="24"/>
              </w:rPr>
              <w:t>- путем в</w:t>
            </w:r>
            <w:r w:rsidRPr="008701B9">
              <w:rPr>
                <w:rFonts w:ascii="Times New Roman" w:hAnsi="Times New Roman" w:cs="Times New Roman"/>
                <w:bCs/>
                <w:sz w:val="24"/>
                <w:szCs w:val="24"/>
              </w:rPr>
              <w:t xml:space="preserve">озможности профилактических мер на </w:t>
            </w:r>
          </w:p>
        </w:tc>
        <w:tc>
          <w:tcPr>
            <w:tcW w:w="3224" w:type="dxa"/>
            <w:tcBorders>
              <w:bottom w:val="nil"/>
            </w:tcBorders>
          </w:tcPr>
          <w:p w14:paraId="6DDEB22B" w14:textId="77777777" w:rsidR="001C7E58" w:rsidRPr="008701B9" w:rsidRDefault="001C7E58"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p>
        </w:tc>
        <w:tc>
          <w:tcPr>
            <w:tcW w:w="2673" w:type="dxa"/>
            <w:tcBorders>
              <w:bottom w:val="nil"/>
            </w:tcBorders>
          </w:tcPr>
          <w:p w14:paraId="13661A2E" w14:textId="77777777" w:rsidR="001C7E58" w:rsidRPr="008701B9" w:rsidRDefault="001C7E58" w:rsidP="00891825">
            <w:pPr>
              <w:autoSpaceDE w:val="0"/>
              <w:autoSpaceDN w:val="0"/>
              <w:adjustRightInd w:val="0"/>
              <w:spacing w:after="0" w:line="240" w:lineRule="auto"/>
              <w:jc w:val="both"/>
              <w:rPr>
                <w:rFonts w:ascii="Times New Roman" w:hAnsi="Times New Roman" w:cs="Times New Roman"/>
                <w:bCs/>
                <w:sz w:val="24"/>
                <w:szCs w:val="24"/>
              </w:rPr>
            </w:pPr>
          </w:p>
        </w:tc>
        <w:tc>
          <w:tcPr>
            <w:tcW w:w="2360" w:type="dxa"/>
            <w:tcBorders>
              <w:bottom w:val="nil"/>
            </w:tcBorders>
          </w:tcPr>
          <w:p w14:paraId="4F07023E" w14:textId="77777777" w:rsidR="001C7E58" w:rsidRPr="008701B9" w:rsidRDefault="001C7E58" w:rsidP="00891825">
            <w:pPr>
              <w:autoSpaceDE w:val="0"/>
              <w:autoSpaceDN w:val="0"/>
              <w:adjustRightInd w:val="0"/>
              <w:spacing w:after="0" w:line="240" w:lineRule="auto"/>
              <w:jc w:val="both"/>
              <w:rPr>
                <w:rFonts w:ascii="Times New Roman" w:hAnsi="Times New Roman" w:cs="Times New Roman"/>
                <w:bCs/>
                <w:sz w:val="24"/>
                <w:szCs w:val="24"/>
              </w:rPr>
            </w:pPr>
          </w:p>
        </w:tc>
      </w:tr>
    </w:tbl>
    <w:p w14:paraId="74F0BE8F" w14:textId="2E8CDE41" w:rsidR="00B417F4" w:rsidRDefault="00B417F4" w:rsidP="00B417F4">
      <w:pPr>
        <w:autoSpaceDE w:val="0"/>
        <w:autoSpaceDN w:val="0"/>
        <w:adjustRightInd w:val="0"/>
        <w:spacing w:after="0" w:line="240" w:lineRule="auto"/>
        <w:ind w:hanging="426"/>
        <w:jc w:val="both"/>
        <w:rPr>
          <w:rFonts w:ascii="Times New Roman" w:hAnsi="Times New Roman" w:cs="Times New Roman"/>
          <w:sz w:val="28"/>
          <w:szCs w:val="28"/>
        </w:rPr>
      </w:pPr>
      <w:r w:rsidRPr="001C7E58">
        <w:rPr>
          <w:rFonts w:ascii="Times New Roman" w:hAnsi="Times New Roman" w:cs="Times New Roman"/>
          <w:sz w:val="28"/>
          <w:szCs w:val="28"/>
        </w:rPr>
        <w:t>Продолжение таблицы 54</w:t>
      </w:r>
    </w:p>
    <w:p w14:paraId="6D37282C" w14:textId="77777777" w:rsidR="00B417F4" w:rsidRPr="00B417F4" w:rsidRDefault="00B417F4" w:rsidP="00B417F4">
      <w:pPr>
        <w:autoSpaceDE w:val="0"/>
        <w:autoSpaceDN w:val="0"/>
        <w:adjustRightInd w:val="0"/>
        <w:spacing w:after="0" w:line="240" w:lineRule="auto"/>
        <w:ind w:hanging="426"/>
        <w:jc w:val="both"/>
        <w:rPr>
          <w:rFonts w:ascii="Times New Roman" w:hAnsi="Times New Roman" w:cs="Times New Roman"/>
          <w:sz w:val="28"/>
          <w:szCs w:val="28"/>
        </w:rPr>
      </w:pPr>
    </w:p>
    <w:tbl>
      <w:tblPr>
        <w:tblStyle w:val="a5"/>
        <w:tblW w:w="15027" w:type="dxa"/>
        <w:tblInd w:w="-431" w:type="dxa"/>
        <w:tblLook w:val="04A0" w:firstRow="1" w:lastRow="0" w:firstColumn="1" w:lastColumn="0" w:noHBand="0" w:noVBand="1"/>
      </w:tblPr>
      <w:tblGrid>
        <w:gridCol w:w="457"/>
        <w:gridCol w:w="3159"/>
        <w:gridCol w:w="3154"/>
        <w:gridCol w:w="3224"/>
        <w:gridCol w:w="2673"/>
        <w:gridCol w:w="2360"/>
      </w:tblGrid>
      <w:tr w:rsidR="00B417F4" w:rsidRPr="008701B9" w14:paraId="2B3CEEF8" w14:textId="77777777" w:rsidTr="008701B9">
        <w:tc>
          <w:tcPr>
            <w:tcW w:w="457" w:type="dxa"/>
          </w:tcPr>
          <w:p w14:paraId="1F069DDD" w14:textId="5BA85A89" w:rsidR="00B417F4" w:rsidRPr="008701B9" w:rsidRDefault="00B417F4" w:rsidP="00B417F4">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3159" w:type="dxa"/>
          </w:tcPr>
          <w:p w14:paraId="5BE2ECE4" w14:textId="64A62DAF" w:rsidR="00B417F4" w:rsidRPr="008701B9" w:rsidRDefault="00B417F4" w:rsidP="00B417F4">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Pr>
                <w:rFonts w:ascii="Times New Roman" w:eastAsiaTheme="minorHAnsi" w:hAnsi="Times New Roman" w:cs="Times New Roman"/>
                <w:bCs/>
                <w:sz w:val="24"/>
                <w:szCs w:val="24"/>
                <w:lang w:eastAsia="en-US"/>
              </w:rPr>
              <w:t>2</w:t>
            </w:r>
          </w:p>
        </w:tc>
        <w:tc>
          <w:tcPr>
            <w:tcW w:w="3154" w:type="dxa"/>
          </w:tcPr>
          <w:p w14:paraId="2BA6DD37" w14:textId="56336C56" w:rsidR="00B417F4" w:rsidRPr="008701B9" w:rsidRDefault="00B417F4" w:rsidP="00B417F4">
            <w:pPr>
              <w:pStyle w:val="a3"/>
              <w:autoSpaceDE w:val="0"/>
              <w:autoSpaceDN w:val="0"/>
              <w:adjustRightInd w:val="0"/>
              <w:spacing w:after="0" w:line="240" w:lineRule="auto"/>
              <w:ind w:left="0"/>
              <w:jc w:val="center"/>
              <w:rPr>
                <w:rFonts w:ascii="Times New Roman" w:hAnsi="Times New Roman" w:cs="Times New Roman"/>
                <w:bCs/>
                <w:sz w:val="24"/>
                <w:szCs w:val="24"/>
              </w:rPr>
            </w:pPr>
            <w:r>
              <w:rPr>
                <w:rFonts w:ascii="Times New Roman" w:hAnsi="Times New Roman" w:cs="Times New Roman"/>
                <w:bCs/>
                <w:sz w:val="24"/>
                <w:szCs w:val="24"/>
              </w:rPr>
              <w:t>3</w:t>
            </w:r>
          </w:p>
        </w:tc>
        <w:tc>
          <w:tcPr>
            <w:tcW w:w="3224" w:type="dxa"/>
          </w:tcPr>
          <w:p w14:paraId="3B816085" w14:textId="0DD01050" w:rsidR="00B417F4" w:rsidRPr="008701B9" w:rsidRDefault="00B417F4" w:rsidP="00B417F4">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Pr>
                <w:rFonts w:ascii="Times New Roman" w:eastAsiaTheme="minorHAnsi" w:hAnsi="Times New Roman" w:cs="Times New Roman"/>
                <w:bCs/>
                <w:sz w:val="24"/>
                <w:szCs w:val="24"/>
                <w:lang w:eastAsia="en-US"/>
              </w:rPr>
              <w:t>4</w:t>
            </w:r>
          </w:p>
        </w:tc>
        <w:tc>
          <w:tcPr>
            <w:tcW w:w="2673" w:type="dxa"/>
          </w:tcPr>
          <w:p w14:paraId="6D60AA7A" w14:textId="020E8437" w:rsidR="00B417F4" w:rsidRPr="008701B9" w:rsidRDefault="00B417F4" w:rsidP="00B417F4">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w:t>
            </w:r>
          </w:p>
        </w:tc>
        <w:tc>
          <w:tcPr>
            <w:tcW w:w="2360" w:type="dxa"/>
          </w:tcPr>
          <w:p w14:paraId="3078F432" w14:textId="01F2D979" w:rsidR="00B417F4" w:rsidRPr="008701B9" w:rsidRDefault="00B417F4" w:rsidP="00B417F4">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r>
      <w:tr w:rsidR="00B417F4" w:rsidRPr="008701B9" w14:paraId="65749F7F" w14:textId="77777777" w:rsidTr="008701B9">
        <w:tc>
          <w:tcPr>
            <w:tcW w:w="457" w:type="dxa"/>
          </w:tcPr>
          <w:p w14:paraId="2A1D0BE2" w14:textId="77777777" w:rsidR="00B417F4" w:rsidRPr="008701B9" w:rsidRDefault="00B417F4" w:rsidP="00891825">
            <w:pPr>
              <w:autoSpaceDE w:val="0"/>
              <w:autoSpaceDN w:val="0"/>
              <w:adjustRightInd w:val="0"/>
              <w:spacing w:after="0" w:line="240" w:lineRule="auto"/>
              <w:jc w:val="both"/>
              <w:rPr>
                <w:rFonts w:ascii="Times New Roman" w:hAnsi="Times New Roman" w:cs="Times New Roman"/>
                <w:bCs/>
                <w:sz w:val="24"/>
                <w:szCs w:val="24"/>
              </w:rPr>
            </w:pPr>
          </w:p>
        </w:tc>
        <w:tc>
          <w:tcPr>
            <w:tcW w:w="3159" w:type="dxa"/>
          </w:tcPr>
          <w:p w14:paraId="375DB90A" w14:textId="77777777" w:rsidR="00B417F4" w:rsidRPr="008701B9" w:rsidRDefault="00B417F4"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p>
        </w:tc>
        <w:tc>
          <w:tcPr>
            <w:tcW w:w="3154" w:type="dxa"/>
          </w:tcPr>
          <w:p w14:paraId="2190899B" w14:textId="4AD8A9A3" w:rsidR="00B417F4" w:rsidRPr="008701B9" w:rsidRDefault="00B417F4" w:rsidP="00B417F4">
            <w:pPr>
              <w:pStyle w:val="a3"/>
              <w:autoSpaceDE w:val="0"/>
              <w:autoSpaceDN w:val="0"/>
              <w:adjustRightInd w:val="0"/>
              <w:spacing w:after="0" w:line="240" w:lineRule="auto"/>
              <w:ind w:left="0"/>
              <w:jc w:val="both"/>
              <w:rPr>
                <w:rFonts w:ascii="Times New Roman" w:hAnsi="Times New Roman" w:cs="Times New Roman"/>
                <w:bCs/>
                <w:sz w:val="24"/>
                <w:szCs w:val="24"/>
              </w:rPr>
            </w:pPr>
            <w:r w:rsidRPr="008701B9">
              <w:rPr>
                <w:rFonts w:ascii="Times New Roman" w:hAnsi="Times New Roman" w:cs="Times New Roman"/>
                <w:bCs/>
                <w:sz w:val="24"/>
                <w:szCs w:val="24"/>
              </w:rPr>
              <w:t>уровне населения необходимо укрепить солидарную ответственность и активное участие в укреплении и сохранении собственного здоровья</w:t>
            </w:r>
          </w:p>
        </w:tc>
        <w:tc>
          <w:tcPr>
            <w:tcW w:w="3224" w:type="dxa"/>
          </w:tcPr>
          <w:p w14:paraId="40FBB209" w14:textId="77777777" w:rsidR="00B417F4" w:rsidRPr="008701B9" w:rsidRDefault="00B417F4"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p>
        </w:tc>
        <w:tc>
          <w:tcPr>
            <w:tcW w:w="2673" w:type="dxa"/>
          </w:tcPr>
          <w:p w14:paraId="12E9DBFD" w14:textId="77777777" w:rsidR="00B417F4" w:rsidRPr="008701B9" w:rsidRDefault="00B417F4" w:rsidP="00891825">
            <w:pPr>
              <w:autoSpaceDE w:val="0"/>
              <w:autoSpaceDN w:val="0"/>
              <w:adjustRightInd w:val="0"/>
              <w:spacing w:after="0" w:line="240" w:lineRule="auto"/>
              <w:jc w:val="both"/>
              <w:rPr>
                <w:rFonts w:ascii="Times New Roman" w:hAnsi="Times New Roman" w:cs="Times New Roman"/>
                <w:bCs/>
                <w:sz w:val="24"/>
                <w:szCs w:val="24"/>
              </w:rPr>
            </w:pPr>
          </w:p>
        </w:tc>
        <w:tc>
          <w:tcPr>
            <w:tcW w:w="2360" w:type="dxa"/>
          </w:tcPr>
          <w:p w14:paraId="30A92EC9" w14:textId="77777777" w:rsidR="00B417F4" w:rsidRPr="008701B9" w:rsidRDefault="00B417F4" w:rsidP="00891825">
            <w:pPr>
              <w:autoSpaceDE w:val="0"/>
              <w:autoSpaceDN w:val="0"/>
              <w:adjustRightInd w:val="0"/>
              <w:spacing w:after="0" w:line="240" w:lineRule="auto"/>
              <w:jc w:val="both"/>
              <w:rPr>
                <w:rFonts w:ascii="Times New Roman" w:hAnsi="Times New Roman" w:cs="Times New Roman"/>
                <w:bCs/>
                <w:sz w:val="24"/>
                <w:szCs w:val="24"/>
              </w:rPr>
            </w:pPr>
          </w:p>
        </w:tc>
      </w:tr>
      <w:tr w:rsidR="00891825" w:rsidRPr="008701B9" w14:paraId="42587A0C" w14:textId="77777777" w:rsidTr="008701B9">
        <w:tc>
          <w:tcPr>
            <w:tcW w:w="457" w:type="dxa"/>
          </w:tcPr>
          <w:p w14:paraId="161844F1"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8</w:t>
            </w:r>
          </w:p>
        </w:tc>
        <w:tc>
          <w:tcPr>
            <w:tcW w:w="3159" w:type="dxa"/>
          </w:tcPr>
          <w:p w14:paraId="3C1992E4" w14:textId="77777777" w:rsidR="00891825" w:rsidRPr="008701B9" w:rsidRDefault="00891825"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Социологическое исследование потребностей врачей эндокринологов</w:t>
            </w:r>
          </w:p>
        </w:tc>
        <w:tc>
          <w:tcPr>
            <w:tcW w:w="3154" w:type="dxa"/>
          </w:tcPr>
          <w:p w14:paraId="3C24F74A" w14:textId="77777777" w:rsidR="00891825" w:rsidRPr="008701B9" w:rsidRDefault="00891825" w:rsidP="00891825">
            <w:pPr>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Большинство персоналов состоят из молодых врачей, которые без старого стереотипа легко усвоят современные технологии и быстро адаптируются к новизне.</w:t>
            </w:r>
          </w:p>
        </w:tc>
        <w:tc>
          <w:tcPr>
            <w:tcW w:w="3224" w:type="dxa"/>
          </w:tcPr>
          <w:p w14:paraId="712FB024" w14:textId="77777777" w:rsidR="00891825" w:rsidRPr="008701B9" w:rsidRDefault="00891825"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 xml:space="preserve">Неудовлетворительный уровень навыков и назначение индивидуальной ФА, психосоциальной помощи. Слабое междисциплинарное сотрудничество </w:t>
            </w:r>
            <w:r w:rsidRPr="008701B9">
              <w:rPr>
                <w:rFonts w:ascii="Times New Roman" w:hAnsi="Times New Roman" w:cs="Times New Roman"/>
                <w:bCs/>
                <w:sz w:val="24"/>
                <w:szCs w:val="24"/>
              </w:rPr>
              <w:t>на уровне эндокринолог↔гинеколог, эндокринолог↔уролог, низкий контроль репродуктивного потенциала среди пациентов с СД2т</w:t>
            </w:r>
          </w:p>
        </w:tc>
        <w:tc>
          <w:tcPr>
            <w:tcW w:w="2673" w:type="dxa"/>
          </w:tcPr>
          <w:p w14:paraId="4D854240"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При пересмотре протокола лечения и диагностики СД2т, приказа по штатной единице и норматив нагрузки на врача, функциональных обязанностей, увеличений платы за дифференцированный труд, улучшится качество оказания помощи пациентам и увеличится мотивация персонала</w:t>
            </w:r>
          </w:p>
        </w:tc>
        <w:tc>
          <w:tcPr>
            <w:tcW w:w="2360" w:type="dxa"/>
          </w:tcPr>
          <w:p w14:paraId="0C4B5DC1"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Не довольствие низкой заработной платой, траты времени на оформление документации, действия, не входящие в функциональные обязанности провоцируют мысли о смене специальности среди врачей, который может привести к текучести кадров ПМСП.</w:t>
            </w:r>
          </w:p>
        </w:tc>
      </w:tr>
      <w:tr w:rsidR="00891825" w:rsidRPr="008701B9" w14:paraId="7C873DCA" w14:textId="77777777" w:rsidTr="00B417F4">
        <w:tc>
          <w:tcPr>
            <w:tcW w:w="457" w:type="dxa"/>
            <w:tcBorders>
              <w:bottom w:val="single" w:sz="4" w:space="0" w:color="auto"/>
            </w:tcBorders>
          </w:tcPr>
          <w:p w14:paraId="574EFC65"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p>
        </w:tc>
        <w:tc>
          <w:tcPr>
            <w:tcW w:w="14570" w:type="dxa"/>
            <w:gridSpan w:val="5"/>
            <w:tcBorders>
              <w:bottom w:val="single" w:sz="4" w:space="0" w:color="auto"/>
            </w:tcBorders>
          </w:tcPr>
          <w:p w14:paraId="0C3586F6"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eastAsiaTheme="minorHAnsi" w:hAnsi="Times New Roman" w:cs="Times New Roman"/>
                <w:bCs/>
                <w:sz w:val="24"/>
                <w:szCs w:val="24"/>
                <w:lang w:eastAsia="en-US"/>
              </w:rPr>
              <w:t>Анализ модели оказания помощи</w:t>
            </w:r>
          </w:p>
        </w:tc>
      </w:tr>
      <w:tr w:rsidR="00B417F4" w:rsidRPr="008701B9" w14:paraId="50894A64" w14:textId="77777777" w:rsidTr="00B417F4">
        <w:tc>
          <w:tcPr>
            <w:tcW w:w="457" w:type="dxa"/>
            <w:tcBorders>
              <w:bottom w:val="nil"/>
            </w:tcBorders>
          </w:tcPr>
          <w:p w14:paraId="6B5A77F3"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9</w:t>
            </w:r>
          </w:p>
        </w:tc>
        <w:tc>
          <w:tcPr>
            <w:tcW w:w="3159" w:type="dxa"/>
            <w:tcBorders>
              <w:bottom w:val="nil"/>
            </w:tcBorders>
          </w:tcPr>
          <w:p w14:paraId="08B89201" w14:textId="77777777" w:rsidR="00891825" w:rsidRPr="008701B9" w:rsidRDefault="00891825" w:rsidP="00891825">
            <w:pPr>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 xml:space="preserve">Модель основных направлении межсекторального сотрудничества </w:t>
            </w:r>
          </w:p>
        </w:tc>
        <w:tc>
          <w:tcPr>
            <w:tcW w:w="3154" w:type="dxa"/>
            <w:tcBorders>
              <w:bottom w:val="nil"/>
            </w:tcBorders>
          </w:tcPr>
          <w:p w14:paraId="2BC5D30F" w14:textId="6A12B659"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eastAsia="Times New Roman" w:hAnsi="Times New Roman" w:cs="Times New Roman"/>
                <w:bCs/>
                <w:sz w:val="24"/>
                <w:szCs w:val="24"/>
              </w:rPr>
              <w:t xml:space="preserve">Расписана функция каждого ведомства прикрепленные приказами на уровне министерства юстиции, </w:t>
            </w:r>
          </w:p>
        </w:tc>
        <w:tc>
          <w:tcPr>
            <w:tcW w:w="3224" w:type="dxa"/>
            <w:tcBorders>
              <w:bottom w:val="nil"/>
            </w:tcBorders>
          </w:tcPr>
          <w:p w14:paraId="0036842E" w14:textId="5C7FE7B0" w:rsidR="00891825" w:rsidRPr="008701B9" w:rsidRDefault="00891825" w:rsidP="00891825">
            <w:pPr>
              <w:pStyle w:val="a3"/>
              <w:widowControl w:val="0"/>
              <w:tabs>
                <w:tab w:val="left" w:pos="426"/>
              </w:tabs>
              <w:autoSpaceDE w:val="0"/>
              <w:autoSpaceDN w:val="0"/>
              <w:adjustRightInd w:val="0"/>
              <w:spacing w:after="0" w:line="240" w:lineRule="auto"/>
              <w:ind w:left="0"/>
              <w:jc w:val="both"/>
              <w:rPr>
                <w:rFonts w:ascii="Times New Roman" w:hAnsi="Times New Roman" w:cs="Times New Roman"/>
                <w:bCs/>
                <w:sz w:val="24"/>
                <w:szCs w:val="24"/>
              </w:rPr>
            </w:pPr>
            <w:r w:rsidRPr="008701B9">
              <w:rPr>
                <w:rFonts w:ascii="Times New Roman" w:hAnsi="Times New Roman" w:cs="Times New Roman"/>
                <w:bCs/>
                <w:sz w:val="24"/>
                <w:szCs w:val="24"/>
              </w:rPr>
              <w:t xml:space="preserve">При наличии функции каждого министерства по отдельности, нет объединенных совместных </w:t>
            </w:r>
          </w:p>
        </w:tc>
        <w:tc>
          <w:tcPr>
            <w:tcW w:w="2673" w:type="dxa"/>
            <w:tcBorders>
              <w:bottom w:val="nil"/>
            </w:tcBorders>
          </w:tcPr>
          <w:p w14:paraId="46797961" w14:textId="72F6E19C"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eastAsia="Times New Roman" w:hAnsi="Times New Roman" w:cs="Times New Roman"/>
                <w:bCs/>
                <w:sz w:val="24"/>
                <w:szCs w:val="24"/>
              </w:rPr>
              <w:t xml:space="preserve">Путем совершенствования и дополнения к данной модели, можно </w:t>
            </w:r>
          </w:p>
        </w:tc>
        <w:tc>
          <w:tcPr>
            <w:tcW w:w="2360" w:type="dxa"/>
            <w:tcBorders>
              <w:bottom w:val="nil"/>
            </w:tcBorders>
          </w:tcPr>
          <w:p w14:paraId="3D325F92" w14:textId="3C9B4804"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 xml:space="preserve">Бездействие, равнодушие к проблеме со стороны других </w:t>
            </w:r>
          </w:p>
        </w:tc>
      </w:tr>
    </w:tbl>
    <w:p w14:paraId="35C8AA93" w14:textId="710DD5E5" w:rsidR="00B417F4" w:rsidRDefault="00B417F4" w:rsidP="00B417F4">
      <w:pPr>
        <w:autoSpaceDE w:val="0"/>
        <w:autoSpaceDN w:val="0"/>
        <w:adjustRightInd w:val="0"/>
        <w:spacing w:after="0" w:line="240" w:lineRule="auto"/>
        <w:ind w:hanging="426"/>
        <w:jc w:val="both"/>
        <w:rPr>
          <w:rFonts w:ascii="Times New Roman" w:hAnsi="Times New Roman" w:cs="Times New Roman"/>
          <w:sz w:val="28"/>
          <w:szCs w:val="28"/>
        </w:rPr>
      </w:pPr>
      <w:r w:rsidRPr="001C7E58">
        <w:rPr>
          <w:rFonts w:ascii="Times New Roman" w:hAnsi="Times New Roman" w:cs="Times New Roman"/>
          <w:sz w:val="28"/>
          <w:szCs w:val="28"/>
        </w:rPr>
        <w:t>Продолжение таблицы 54</w:t>
      </w:r>
    </w:p>
    <w:p w14:paraId="3AD39A44" w14:textId="77777777" w:rsidR="00B417F4" w:rsidRDefault="00B417F4" w:rsidP="00B417F4">
      <w:pPr>
        <w:autoSpaceDE w:val="0"/>
        <w:autoSpaceDN w:val="0"/>
        <w:adjustRightInd w:val="0"/>
        <w:spacing w:after="0" w:line="240" w:lineRule="auto"/>
        <w:ind w:hanging="426"/>
        <w:jc w:val="both"/>
        <w:rPr>
          <w:rFonts w:ascii="Times New Roman" w:hAnsi="Times New Roman" w:cs="Times New Roman"/>
          <w:sz w:val="28"/>
          <w:szCs w:val="28"/>
        </w:rPr>
      </w:pPr>
    </w:p>
    <w:tbl>
      <w:tblPr>
        <w:tblStyle w:val="a5"/>
        <w:tblW w:w="15027" w:type="dxa"/>
        <w:tblInd w:w="-431" w:type="dxa"/>
        <w:tblLook w:val="04A0" w:firstRow="1" w:lastRow="0" w:firstColumn="1" w:lastColumn="0" w:noHBand="0" w:noVBand="1"/>
      </w:tblPr>
      <w:tblGrid>
        <w:gridCol w:w="457"/>
        <w:gridCol w:w="3159"/>
        <w:gridCol w:w="3154"/>
        <w:gridCol w:w="3224"/>
        <w:gridCol w:w="2673"/>
        <w:gridCol w:w="2360"/>
      </w:tblGrid>
      <w:tr w:rsidR="00B417F4" w:rsidRPr="008701B9" w14:paraId="3B3E3017" w14:textId="77777777" w:rsidTr="008701B9">
        <w:tc>
          <w:tcPr>
            <w:tcW w:w="457" w:type="dxa"/>
          </w:tcPr>
          <w:p w14:paraId="01F88433" w14:textId="5BC7A531" w:rsidR="00B417F4" w:rsidRPr="008701B9" w:rsidRDefault="00B417F4" w:rsidP="00B417F4">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3159" w:type="dxa"/>
          </w:tcPr>
          <w:p w14:paraId="35F458E4" w14:textId="1519238B" w:rsidR="00B417F4" w:rsidRPr="008701B9" w:rsidRDefault="00B417F4" w:rsidP="00B417F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3154" w:type="dxa"/>
          </w:tcPr>
          <w:p w14:paraId="7A02FDCA" w14:textId="00753DB4" w:rsidR="00B417F4" w:rsidRPr="008701B9" w:rsidRDefault="00B417F4" w:rsidP="00B417F4">
            <w:pPr>
              <w:autoSpaceDE w:val="0"/>
              <w:autoSpaceDN w:val="0"/>
              <w:adjustRightInd w:val="0"/>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w:t>
            </w:r>
          </w:p>
        </w:tc>
        <w:tc>
          <w:tcPr>
            <w:tcW w:w="3224" w:type="dxa"/>
          </w:tcPr>
          <w:p w14:paraId="5FCF32DB" w14:textId="2CCCCA54" w:rsidR="00B417F4" w:rsidRPr="008701B9" w:rsidRDefault="00B417F4" w:rsidP="00B417F4">
            <w:pPr>
              <w:pStyle w:val="a3"/>
              <w:widowControl w:val="0"/>
              <w:tabs>
                <w:tab w:val="left" w:pos="426"/>
              </w:tabs>
              <w:autoSpaceDE w:val="0"/>
              <w:autoSpaceDN w:val="0"/>
              <w:adjustRightInd w:val="0"/>
              <w:spacing w:after="0" w:line="240" w:lineRule="auto"/>
              <w:ind w:left="0"/>
              <w:jc w:val="center"/>
              <w:rPr>
                <w:rFonts w:ascii="Times New Roman" w:hAnsi="Times New Roman" w:cs="Times New Roman"/>
                <w:bCs/>
                <w:sz w:val="24"/>
                <w:szCs w:val="24"/>
              </w:rPr>
            </w:pPr>
            <w:r>
              <w:rPr>
                <w:rFonts w:ascii="Times New Roman" w:hAnsi="Times New Roman" w:cs="Times New Roman"/>
                <w:bCs/>
                <w:sz w:val="24"/>
                <w:szCs w:val="24"/>
              </w:rPr>
              <w:t>4</w:t>
            </w:r>
          </w:p>
        </w:tc>
        <w:tc>
          <w:tcPr>
            <w:tcW w:w="2673" w:type="dxa"/>
          </w:tcPr>
          <w:p w14:paraId="2ADEDACB" w14:textId="477ACB3D" w:rsidR="00B417F4" w:rsidRPr="008701B9" w:rsidRDefault="00B417F4" w:rsidP="00B417F4">
            <w:pPr>
              <w:autoSpaceDE w:val="0"/>
              <w:autoSpaceDN w:val="0"/>
              <w:adjustRightInd w:val="0"/>
              <w:spacing w:after="0" w:line="24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5</w:t>
            </w:r>
          </w:p>
        </w:tc>
        <w:tc>
          <w:tcPr>
            <w:tcW w:w="2360" w:type="dxa"/>
          </w:tcPr>
          <w:p w14:paraId="427C726A" w14:textId="4CD3B684" w:rsidR="00B417F4" w:rsidRPr="008701B9" w:rsidRDefault="00B417F4" w:rsidP="00B417F4">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r>
      <w:tr w:rsidR="00B417F4" w:rsidRPr="008701B9" w14:paraId="1169F1A7" w14:textId="77777777" w:rsidTr="00B417F4">
        <w:tc>
          <w:tcPr>
            <w:tcW w:w="457" w:type="dxa"/>
            <w:tcBorders>
              <w:bottom w:val="single" w:sz="4" w:space="0" w:color="auto"/>
            </w:tcBorders>
          </w:tcPr>
          <w:p w14:paraId="723DB72B" w14:textId="77777777" w:rsidR="00B417F4" w:rsidRPr="008701B9" w:rsidRDefault="00B417F4" w:rsidP="00891825">
            <w:pPr>
              <w:autoSpaceDE w:val="0"/>
              <w:autoSpaceDN w:val="0"/>
              <w:adjustRightInd w:val="0"/>
              <w:spacing w:after="0" w:line="240" w:lineRule="auto"/>
              <w:jc w:val="both"/>
              <w:rPr>
                <w:rFonts w:ascii="Times New Roman" w:hAnsi="Times New Roman" w:cs="Times New Roman"/>
                <w:bCs/>
                <w:sz w:val="24"/>
                <w:szCs w:val="24"/>
              </w:rPr>
            </w:pPr>
          </w:p>
        </w:tc>
        <w:tc>
          <w:tcPr>
            <w:tcW w:w="3159" w:type="dxa"/>
            <w:tcBorders>
              <w:bottom w:val="single" w:sz="4" w:space="0" w:color="auto"/>
            </w:tcBorders>
          </w:tcPr>
          <w:p w14:paraId="44A8E1F5" w14:textId="77777777" w:rsidR="00B417F4" w:rsidRPr="008701B9" w:rsidRDefault="00B417F4" w:rsidP="00891825">
            <w:pPr>
              <w:spacing w:after="0" w:line="240" w:lineRule="auto"/>
              <w:jc w:val="both"/>
              <w:rPr>
                <w:rFonts w:ascii="Times New Roman" w:hAnsi="Times New Roman" w:cs="Times New Roman"/>
                <w:bCs/>
                <w:sz w:val="24"/>
                <w:szCs w:val="24"/>
              </w:rPr>
            </w:pPr>
          </w:p>
        </w:tc>
        <w:tc>
          <w:tcPr>
            <w:tcW w:w="3154" w:type="dxa"/>
            <w:tcBorders>
              <w:bottom w:val="single" w:sz="4" w:space="0" w:color="auto"/>
            </w:tcBorders>
          </w:tcPr>
          <w:p w14:paraId="1DF15F3B" w14:textId="6AEA5955" w:rsidR="00B417F4" w:rsidRPr="008701B9" w:rsidRDefault="00B417F4" w:rsidP="00891825">
            <w:pPr>
              <w:autoSpaceDE w:val="0"/>
              <w:autoSpaceDN w:val="0"/>
              <w:adjustRightInd w:val="0"/>
              <w:spacing w:after="0" w:line="240" w:lineRule="auto"/>
              <w:jc w:val="both"/>
              <w:rPr>
                <w:rFonts w:ascii="Times New Roman" w:eastAsia="Times New Roman" w:hAnsi="Times New Roman" w:cs="Times New Roman"/>
                <w:bCs/>
                <w:sz w:val="24"/>
                <w:szCs w:val="24"/>
              </w:rPr>
            </w:pPr>
            <w:r w:rsidRPr="008701B9">
              <w:rPr>
                <w:rFonts w:ascii="Times New Roman" w:eastAsia="Times New Roman" w:hAnsi="Times New Roman" w:cs="Times New Roman"/>
                <w:bCs/>
                <w:sz w:val="24"/>
                <w:szCs w:val="24"/>
              </w:rPr>
              <w:t>обеспечивающее межсекторальное сотрудничество для целей устойчивого развития и благосостояния населения, где МЗ РК является рабочим органом.</w:t>
            </w:r>
          </w:p>
        </w:tc>
        <w:tc>
          <w:tcPr>
            <w:tcW w:w="3224" w:type="dxa"/>
            <w:tcBorders>
              <w:bottom w:val="single" w:sz="4" w:space="0" w:color="auto"/>
            </w:tcBorders>
          </w:tcPr>
          <w:p w14:paraId="476CDBF9" w14:textId="77777777" w:rsidR="00B417F4" w:rsidRPr="008701B9" w:rsidRDefault="00B417F4" w:rsidP="00B417F4">
            <w:pPr>
              <w:pStyle w:val="a3"/>
              <w:widowControl w:val="0"/>
              <w:tabs>
                <w:tab w:val="left" w:pos="426"/>
              </w:tabs>
              <w:autoSpaceDE w:val="0"/>
              <w:autoSpaceDN w:val="0"/>
              <w:adjustRightInd w:val="0"/>
              <w:spacing w:after="0" w:line="240" w:lineRule="auto"/>
              <w:ind w:left="0"/>
              <w:jc w:val="both"/>
              <w:rPr>
                <w:rFonts w:ascii="Times New Roman" w:hAnsi="Times New Roman" w:cs="Times New Roman"/>
                <w:bCs/>
                <w:sz w:val="24"/>
                <w:szCs w:val="24"/>
              </w:rPr>
            </w:pPr>
            <w:r w:rsidRPr="008701B9">
              <w:rPr>
                <w:rFonts w:ascii="Times New Roman" w:hAnsi="Times New Roman" w:cs="Times New Roman"/>
                <w:bCs/>
                <w:sz w:val="24"/>
                <w:szCs w:val="24"/>
              </w:rPr>
              <w:t>рабочих процессов, что усилила бы результативность взаимодействия.</w:t>
            </w:r>
          </w:p>
          <w:p w14:paraId="4FDF0B23" w14:textId="363FB16E" w:rsidR="00B417F4" w:rsidRPr="008701B9" w:rsidRDefault="00B417F4" w:rsidP="00B417F4">
            <w:pPr>
              <w:pStyle w:val="a3"/>
              <w:widowControl w:val="0"/>
              <w:tabs>
                <w:tab w:val="left" w:pos="426"/>
              </w:tabs>
              <w:autoSpaceDE w:val="0"/>
              <w:autoSpaceDN w:val="0"/>
              <w:adjustRightInd w:val="0"/>
              <w:spacing w:after="0" w:line="240" w:lineRule="auto"/>
              <w:ind w:left="0"/>
              <w:jc w:val="both"/>
              <w:rPr>
                <w:rFonts w:ascii="Times New Roman" w:hAnsi="Times New Roman" w:cs="Times New Roman"/>
                <w:bCs/>
                <w:sz w:val="24"/>
                <w:szCs w:val="24"/>
              </w:rPr>
            </w:pPr>
            <w:r w:rsidRPr="008701B9">
              <w:rPr>
                <w:rFonts w:ascii="Times New Roman" w:eastAsia="Times New Roman" w:hAnsi="Times New Roman" w:cs="Times New Roman"/>
                <w:bCs/>
                <w:sz w:val="24"/>
                <w:szCs w:val="24"/>
              </w:rPr>
              <w:t>Функция модели межсекторального сотрудничества направлены на профилактику всех неинфекционных и инфекционных заболевании.</w:t>
            </w:r>
          </w:p>
        </w:tc>
        <w:tc>
          <w:tcPr>
            <w:tcW w:w="2673" w:type="dxa"/>
            <w:tcBorders>
              <w:bottom w:val="single" w:sz="4" w:space="0" w:color="auto"/>
            </w:tcBorders>
          </w:tcPr>
          <w:p w14:paraId="3ABB1A1A" w14:textId="043A06CD" w:rsidR="00B417F4" w:rsidRPr="008701B9" w:rsidRDefault="00B417F4" w:rsidP="00891825">
            <w:pPr>
              <w:autoSpaceDE w:val="0"/>
              <w:autoSpaceDN w:val="0"/>
              <w:adjustRightInd w:val="0"/>
              <w:spacing w:after="0" w:line="240" w:lineRule="auto"/>
              <w:jc w:val="both"/>
              <w:rPr>
                <w:rFonts w:ascii="Times New Roman" w:eastAsia="Times New Roman" w:hAnsi="Times New Roman" w:cs="Times New Roman"/>
                <w:bCs/>
                <w:sz w:val="24"/>
                <w:szCs w:val="24"/>
              </w:rPr>
            </w:pPr>
            <w:r w:rsidRPr="008701B9">
              <w:rPr>
                <w:rFonts w:ascii="Times New Roman" w:eastAsia="Times New Roman" w:hAnsi="Times New Roman" w:cs="Times New Roman"/>
                <w:bCs/>
                <w:sz w:val="24"/>
                <w:szCs w:val="24"/>
              </w:rPr>
              <w:t>обосновать целенаправленное сотрудничество для профилактики СД2т</w:t>
            </w:r>
          </w:p>
        </w:tc>
        <w:tc>
          <w:tcPr>
            <w:tcW w:w="2360" w:type="dxa"/>
            <w:tcBorders>
              <w:bottom w:val="single" w:sz="4" w:space="0" w:color="auto"/>
            </w:tcBorders>
          </w:tcPr>
          <w:p w14:paraId="36E52FDD" w14:textId="2C268318" w:rsidR="00B417F4" w:rsidRPr="008701B9" w:rsidRDefault="00B417F4"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секторов, при неубедительности на уровне МЗ РК.</w:t>
            </w:r>
          </w:p>
        </w:tc>
      </w:tr>
      <w:tr w:rsidR="00B417F4" w:rsidRPr="008701B9" w14:paraId="3A65A7D6" w14:textId="77777777" w:rsidTr="00B417F4">
        <w:tc>
          <w:tcPr>
            <w:tcW w:w="457" w:type="dxa"/>
            <w:tcBorders>
              <w:bottom w:val="nil"/>
            </w:tcBorders>
          </w:tcPr>
          <w:p w14:paraId="3DF7BCD0"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10</w:t>
            </w:r>
          </w:p>
        </w:tc>
        <w:tc>
          <w:tcPr>
            <w:tcW w:w="3159" w:type="dxa"/>
            <w:tcBorders>
              <w:bottom w:val="nil"/>
            </w:tcBorders>
          </w:tcPr>
          <w:p w14:paraId="64135346" w14:textId="77777777" w:rsidR="00891825" w:rsidRPr="008701B9" w:rsidRDefault="00891825" w:rsidP="00891825">
            <w:pPr>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Модель ПУЗ при СД2т.</w:t>
            </w:r>
          </w:p>
          <w:p w14:paraId="546E8ADB" w14:textId="77777777" w:rsidR="00891825" w:rsidRPr="008701B9" w:rsidRDefault="00891825" w:rsidP="00891825">
            <w:pPr>
              <w:spacing w:after="0" w:line="240" w:lineRule="auto"/>
              <w:jc w:val="both"/>
              <w:rPr>
                <w:rFonts w:ascii="Times New Roman" w:hAnsi="Times New Roman" w:cs="Times New Roman"/>
                <w:bCs/>
                <w:sz w:val="24"/>
                <w:szCs w:val="24"/>
              </w:rPr>
            </w:pPr>
          </w:p>
          <w:p w14:paraId="2FD1D903" w14:textId="77777777" w:rsidR="00891825" w:rsidRPr="008701B9" w:rsidRDefault="00891825" w:rsidP="00891825">
            <w:pPr>
              <w:spacing w:after="0" w:line="240" w:lineRule="auto"/>
              <w:jc w:val="both"/>
              <w:rPr>
                <w:rFonts w:ascii="Times New Roman" w:hAnsi="Times New Roman" w:cs="Times New Roman"/>
                <w:bCs/>
                <w:sz w:val="24"/>
                <w:szCs w:val="24"/>
                <w:shd w:val="clear" w:color="auto" w:fill="FFFFFF"/>
              </w:rPr>
            </w:pPr>
            <w:r w:rsidRPr="008701B9">
              <w:rPr>
                <w:rFonts w:ascii="Times New Roman" w:eastAsia="Calibri" w:hAnsi="Times New Roman" w:cs="Times New Roman"/>
                <w:bCs/>
                <w:sz w:val="24"/>
                <w:szCs w:val="24"/>
                <w:lang w:val="kk-KZ"/>
              </w:rPr>
              <w:t xml:space="preserve"> </w:t>
            </w:r>
            <w:r w:rsidRPr="008701B9">
              <w:rPr>
                <w:rFonts w:ascii="Times New Roman" w:hAnsi="Times New Roman" w:cs="Times New Roman"/>
                <w:bCs/>
                <w:sz w:val="24"/>
                <w:szCs w:val="24"/>
                <w:shd w:val="clear" w:color="auto" w:fill="FFFFFF"/>
              </w:rPr>
              <w:t>Приказ МЗ РК от 01 апреля 2013 года «О внедрении Программы управления хроническими неинфекционными заболеваниями в пилотных регионах» №211.</w:t>
            </w:r>
          </w:p>
          <w:p w14:paraId="207F1FAF" w14:textId="77777777" w:rsidR="00891825" w:rsidRPr="008701B9" w:rsidRDefault="00891825" w:rsidP="00891825">
            <w:pPr>
              <w:spacing w:after="0" w:line="240" w:lineRule="auto"/>
              <w:jc w:val="both"/>
              <w:rPr>
                <w:rFonts w:ascii="Times New Roman" w:hAnsi="Times New Roman" w:cs="Times New Roman"/>
                <w:bCs/>
                <w:sz w:val="24"/>
                <w:szCs w:val="24"/>
                <w:shd w:val="clear" w:color="auto" w:fill="FFFFFF"/>
              </w:rPr>
            </w:pPr>
            <w:r w:rsidRPr="008701B9">
              <w:rPr>
                <w:rFonts w:ascii="Times New Roman" w:eastAsia="Calibri" w:hAnsi="Times New Roman" w:cs="Times New Roman"/>
                <w:bCs/>
                <w:sz w:val="24"/>
                <w:szCs w:val="24"/>
                <w:lang w:val="kk-KZ"/>
              </w:rPr>
              <w:t>Пилотное внедрение с 2013 г. Г.Алматы и Астана с 2016г., по всей РК с 2017г.</w:t>
            </w:r>
          </w:p>
          <w:p w14:paraId="47EF3D03" w14:textId="77777777" w:rsidR="00891825" w:rsidRPr="008701B9" w:rsidRDefault="00891825" w:rsidP="00891825">
            <w:pPr>
              <w:spacing w:after="0" w:line="240" w:lineRule="auto"/>
              <w:jc w:val="both"/>
              <w:rPr>
                <w:rFonts w:ascii="Times New Roman" w:hAnsi="Times New Roman" w:cs="Times New Roman"/>
                <w:bCs/>
                <w:sz w:val="24"/>
                <w:szCs w:val="24"/>
              </w:rPr>
            </w:pPr>
          </w:p>
        </w:tc>
        <w:tc>
          <w:tcPr>
            <w:tcW w:w="3154" w:type="dxa"/>
            <w:tcBorders>
              <w:bottom w:val="nil"/>
            </w:tcBorders>
          </w:tcPr>
          <w:p w14:paraId="40047E05"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 xml:space="preserve">Модель оказания помощи акцентирован на профилактику, потребностях населения, ориентирован на пациента и его семьи, запланированный проактивный уход и поддержка самоменеджмента состоящий из 3-х уровневой пирамиды с измерениями целевых индикаторов качества </w:t>
            </w:r>
          </w:p>
          <w:p w14:paraId="07636F2B"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p>
          <w:p w14:paraId="0CAC86F0"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p>
          <w:p w14:paraId="51C14F26"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p>
        </w:tc>
        <w:tc>
          <w:tcPr>
            <w:tcW w:w="3224" w:type="dxa"/>
            <w:tcBorders>
              <w:bottom w:val="nil"/>
            </w:tcBorders>
          </w:tcPr>
          <w:p w14:paraId="000633DC" w14:textId="77777777" w:rsidR="00891825" w:rsidRPr="008701B9" w:rsidRDefault="00891825" w:rsidP="00891825">
            <w:pPr>
              <w:pStyle w:val="a3"/>
              <w:widowControl w:val="0"/>
              <w:tabs>
                <w:tab w:val="left" w:pos="426"/>
              </w:tabs>
              <w:autoSpaceDE w:val="0"/>
              <w:autoSpaceDN w:val="0"/>
              <w:adjustRightInd w:val="0"/>
              <w:spacing w:after="0" w:line="240" w:lineRule="auto"/>
              <w:ind w:left="0"/>
              <w:jc w:val="both"/>
              <w:rPr>
                <w:rFonts w:ascii="Times New Roman" w:hAnsi="Times New Roman" w:cs="Times New Roman"/>
                <w:bCs/>
                <w:sz w:val="24"/>
                <w:szCs w:val="24"/>
              </w:rPr>
            </w:pPr>
            <w:r w:rsidRPr="008701B9">
              <w:rPr>
                <w:rFonts w:ascii="Times New Roman" w:hAnsi="Times New Roman" w:cs="Times New Roman"/>
                <w:bCs/>
                <w:sz w:val="24"/>
                <w:szCs w:val="24"/>
              </w:rPr>
              <w:t>ПУЗ так же имеет схожие пробелы как при диспансеризации СД: диспансерный учет, динамическое наблюдение, коррекция лечения пациентов проводят эндокринологи, хотя по программе возложили эту функцию на уровень ВОП и его СМР.</w:t>
            </w:r>
          </w:p>
          <w:p w14:paraId="0900243D" w14:textId="77777777" w:rsidR="00891825" w:rsidRPr="008701B9" w:rsidRDefault="00891825" w:rsidP="00891825">
            <w:pPr>
              <w:pStyle w:val="a3"/>
              <w:autoSpaceDE w:val="0"/>
              <w:autoSpaceDN w:val="0"/>
              <w:adjustRightInd w:val="0"/>
              <w:spacing w:after="0" w:line="240" w:lineRule="auto"/>
              <w:ind w:left="0"/>
              <w:jc w:val="both"/>
              <w:rPr>
                <w:rFonts w:ascii="Times New Roman" w:hAnsi="Times New Roman" w:cs="Times New Roman"/>
                <w:bCs/>
                <w:spacing w:val="2"/>
                <w:sz w:val="24"/>
                <w:szCs w:val="24"/>
              </w:rPr>
            </w:pPr>
            <w:r w:rsidRPr="008701B9">
              <w:rPr>
                <w:rFonts w:ascii="Times New Roman" w:hAnsi="Times New Roman" w:cs="Times New Roman"/>
                <w:bCs/>
                <w:spacing w:val="2"/>
                <w:sz w:val="24"/>
                <w:szCs w:val="24"/>
              </w:rPr>
              <w:t xml:space="preserve">Как видно по отчетам ПУЗ, охват пациентов с СД2т по г.Алматы 0,57% на 2018г. </w:t>
            </w:r>
            <w:r w:rsidRPr="008701B9">
              <w:rPr>
                <w:rFonts w:ascii="Times New Roman" w:eastAsia="Times New Roman" w:hAnsi="Times New Roman" w:cs="Times New Roman"/>
                <w:bCs/>
                <w:sz w:val="24"/>
                <w:szCs w:val="24"/>
              </w:rPr>
              <w:t>По итогам 12 месяца работы в 01.01.2018 подведен отчет по ПУЗ с участием 2 837 пациентов с СД2т по всей РК, по г.Алматы 204 пациентов.</w:t>
            </w:r>
          </w:p>
          <w:p w14:paraId="657AFD2B" w14:textId="49ED9EFB" w:rsidR="00891825" w:rsidRPr="008701B9" w:rsidRDefault="00891825" w:rsidP="00891825">
            <w:pPr>
              <w:pStyle w:val="a3"/>
              <w:widowControl w:val="0"/>
              <w:tabs>
                <w:tab w:val="left" w:pos="426"/>
              </w:tabs>
              <w:autoSpaceDE w:val="0"/>
              <w:autoSpaceDN w:val="0"/>
              <w:adjustRightInd w:val="0"/>
              <w:spacing w:after="0" w:line="240" w:lineRule="auto"/>
              <w:ind w:left="0"/>
              <w:jc w:val="both"/>
              <w:rPr>
                <w:rFonts w:ascii="Times New Roman" w:hAnsi="Times New Roman" w:cs="Times New Roman"/>
                <w:bCs/>
                <w:sz w:val="24"/>
                <w:szCs w:val="24"/>
              </w:rPr>
            </w:pPr>
            <w:r w:rsidRPr="008701B9">
              <w:rPr>
                <w:rFonts w:ascii="Times New Roman" w:hAnsi="Times New Roman" w:cs="Times New Roman"/>
                <w:bCs/>
                <w:sz w:val="24"/>
                <w:szCs w:val="24"/>
              </w:rPr>
              <w:t xml:space="preserve">Всего пациентов с СД2т по г.Алматы к 2018 году составила 35914 человек, из </w:t>
            </w:r>
          </w:p>
        </w:tc>
        <w:tc>
          <w:tcPr>
            <w:tcW w:w="2673" w:type="dxa"/>
            <w:tcBorders>
              <w:bottom w:val="nil"/>
            </w:tcBorders>
          </w:tcPr>
          <w:p w14:paraId="3A4F4D48"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Возможно достичь лучшего удовлетворения потребностей пациентов, в индивидуальном плане и для конкретных групп пациентов, улучшение опыта медицинского ухода пациента с повышением результативности и эффективности. Снижение повторных приемов на «оказание амбулаторной помощи» опираясь на самоменеджмент пациента.</w:t>
            </w:r>
          </w:p>
        </w:tc>
        <w:tc>
          <w:tcPr>
            <w:tcW w:w="2360" w:type="dxa"/>
            <w:tcBorders>
              <w:bottom w:val="nil"/>
            </w:tcBorders>
          </w:tcPr>
          <w:p w14:paraId="0F5491AF"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 xml:space="preserve">Документально контроль проводится, но уровень общей заболеваемости СД2т в динамике идет к росту, в 2021 г по г.Алматы составила </w:t>
            </w:r>
            <w:r w:rsidRPr="008701B9">
              <w:rPr>
                <w:rFonts w:ascii="Times New Roman" w:eastAsia="Times New Roman" w:hAnsi="Times New Roman" w:cs="Times New Roman"/>
                <w:bCs/>
                <w:sz w:val="24"/>
                <w:szCs w:val="24"/>
              </w:rPr>
              <w:t>44728 случаев</w:t>
            </w:r>
          </w:p>
        </w:tc>
      </w:tr>
    </w:tbl>
    <w:p w14:paraId="541ECE0B" w14:textId="64C9B642" w:rsidR="00B417F4" w:rsidRDefault="00B417F4" w:rsidP="00B417F4">
      <w:pPr>
        <w:autoSpaceDE w:val="0"/>
        <w:autoSpaceDN w:val="0"/>
        <w:adjustRightInd w:val="0"/>
        <w:spacing w:after="0" w:line="240" w:lineRule="auto"/>
        <w:ind w:hanging="426"/>
        <w:jc w:val="both"/>
        <w:rPr>
          <w:rFonts w:ascii="Times New Roman" w:hAnsi="Times New Roman" w:cs="Times New Roman"/>
          <w:sz w:val="28"/>
          <w:szCs w:val="28"/>
        </w:rPr>
      </w:pPr>
      <w:r w:rsidRPr="001C7E58">
        <w:rPr>
          <w:rFonts w:ascii="Times New Roman" w:hAnsi="Times New Roman" w:cs="Times New Roman"/>
          <w:sz w:val="28"/>
          <w:szCs w:val="28"/>
        </w:rPr>
        <w:t>Продолжение таблицы 54</w:t>
      </w:r>
    </w:p>
    <w:p w14:paraId="4C8EEE14" w14:textId="77777777" w:rsidR="00B417F4" w:rsidRPr="00B417F4" w:rsidRDefault="00B417F4" w:rsidP="00B417F4">
      <w:pPr>
        <w:autoSpaceDE w:val="0"/>
        <w:autoSpaceDN w:val="0"/>
        <w:adjustRightInd w:val="0"/>
        <w:spacing w:after="0" w:line="240" w:lineRule="auto"/>
        <w:ind w:hanging="426"/>
        <w:jc w:val="both"/>
        <w:rPr>
          <w:rFonts w:ascii="Times New Roman" w:hAnsi="Times New Roman" w:cs="Times New Roman"/>
          <w:sz w:val="28"/>
          <w:szCs w:val="28"/>
        </w:rPr>
      </w:pPr>
    </w:p>
    <w:tbl>
      <w:tblPr>
        <w:tblStyle w:val="a5"/>
        <w:tblW w:w="15027" w:type="dxa"/>
        <w:tblInd w:w="-431" w:type="dxa"/>
        <w:tblLook w:val="04A0" w:firstRow="1" w:lastRow="0" w:firstColumn="1" w:lastColumn="0" w:noHBand="0" w:noVBand="1"/>
      </w:tblPr>
      <w:tblGrid>
        <w:gridCol w:w="457"/>
        <w:gridCol w:w="3159"/>
        <w:gridCol w:w="3154"/>
        <w:gridCol w:w="3224"/>
        <w:gridCol w:w="2673"/>
        <w:gridCol w:w="2360"/>
      </w:tblGrid>
      <w:tr w:rsidR="00B417F4" w:rsidRPr="008701B9" w14:paraId="3484CAE0" w14:textId="77777777" w:rsidTr="008701B9">
        <w:tc>
          <w:tcPr>
            <w:tcW w:w="457" w:type="dxa"/>
          </w:tcPr>
          <w:p w14:paraId="0E97D866" w14:textId="6567C738" w:rsidR="00B417F4" w:rsidRPr="008701B9" w:rsidRDefault="00B417F4" w:rsidP="00B417F4">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3159" w:type="dxa"/>
          </w:tcPr>
          <w:p w14:paraId="72558B4E" w14:textId="595292FF" w:rsidR="00B417F4" w:rsidRPr="008701B9" w:rsidRDefault="00B417F4" w:rsidP="00B417F4">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3154" w:type="dxa"/>
          </w:tcPr>
          <w:p w14:paraId="56CE2FC3" w14:textId="4FDE30CE" w:rsidR="00B417F4" w:rsidRPr="008701B9" w:rsidRDefault="00B417F4" w:rsidP="00B417F4">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w:t>
            </w:r>
          </w:p>
        </w:tc>
        <w:tc>
          <w:tcPr>
            <w:tcW w:w="3224" w:type="dxa"/>
          </w:tcPr>
          <w:p w14:paraId="3F0B3291" w14:textId="1A032575" w:rsidR="00B417F4" w:rsidRPr="008701B9" w:rsidRDefault="00B417F4" w:rsidP="00B417F4">
            <w:pPr>
              <w:pStyle w:val="a3"/>
              <w:widowControl w:val="0"/>
              <w:tabs>
                <w:tab w:val="left" w:pos="426"/>
              </w:tabs>
              <w:autoSpaceDE w:val="0"/>
              <w:autoSpaceDN w:val="0"/>
              <w:adjustRightInd w:val="0"/>
              <w:spacing w:after="0" w:line="240" w:lineRule="auto"/>
              <w:ind w:left="0"/>
              <w:jc w:val="center"/>
              <w:rPr>
                <w:rFonts w:ascii="Times New Roman" w:hAnsi="Times New Roman" w:cs="Times New Roman"/>
                <w:bCs/>
                <w:sz w:val="24"/>
                <w:szCs w:val="24"/>
              </w:rPr>
            </w:pPr>
            <w:r>
              <w:rPr>
                <w:rFonts w:ascii="Times New Roman" w:hAnsi="Times New Roman" w:cs="Times New Roman"/>
                <w:bCs/>
                <w:sz w:val="24"/>
                <w:szCs w:val="24"/>
              </w:rPr>
              <w:t>4</w:t>
            </w:r>
          </w:p>
        </w:tc>
        <w:tc>
          <w:tcPr>
            <w:tcW w:w="2673" w:type="dxa"/>
          </w:tcPr>
          <w:p w14:paraId="2B9FBFA4" w14:textId="05C0AC16" w:rsidR="00B417F4" w:rsidRPr="008701B9" w:rsidRDefault="00B417F4" w:rsidP="00B417F4">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w:t>
            </w:r>
          </w:p>
        </w:tc>
        <w:tc>
          <w:tcPr>
            <w:tcW w:w="2360" w:type="dxa"/>
          </w:tcPr>
          <w:p w14:paraId="2A87BDB0" w14:textId="4B966C68" w:rsidR="00B417F4" w:rsidRPr="008701B9" w:rsidRDefault="00B417F4" w:rsidP="00B417F4">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r>
      <w:tr w:rsidR="00B417F4" w:rsidRPr="008701B9" w14:paraId="7D760F2C" w14:textId="77777777" w:rsidTr="009E66A9">
        <w:tc>
          <w:tcPr>
            <w:tcW w:w="457" w:type="dxa"/>
            <w:tcBorders>
              <w:bottom w:val="single" w:sz="4" w:space="0" w:color="auto"/>
            </w:tcBorders>
          </w:tcPr>
          <w:p w14:paraId="7B788AF0" w14:textId="77777777" w:rsidR="00B417F4" w:rsidRPr="008701B9" w:rsidRDefault="00B417F4" w:rsidP="00891825">
            <w:pPr>
              <w:autoSpaceDE w:val="0"/>
              <w:autoSpaceDN w:val="0"/>
              <w:adjustRightInd w:val="0"/>
              <w:spacing w:after="0" w:line="240" w:lineRule="auto"/>
              <w:jc w:val="both"/>
              <w:rPr>
                <w:rFonts w:ascii="Times New Roman" w:hAnsi="Times New Roman" w:cs="Times New Roman"/>
                <w:bCs/>
                <w:sz w:val="24"/>
                <w:szCs w:val="24"/>
              </w:rPr>
            </w:pPr>
          </w:p>
        </w:tc>
        <w:tc>
          <w:tcPr>
            <w:tcW w:w="3159" w:type="dxa"/>
            <w:tcBorders>
              <w:bottom w:val="single" w:sz="4" w:space="0" w:color="auto"/>
            </w:tcBorders>
          </w:tcPr>
          <w:p w14:paraId="5A771F02" w14:textId="77777777" w:rsidR="00B417F4" w:rsidRPr="008701B9" w:rsidRDefault="00B417F4" w:rsidP="00891825">
            <w:pPr>
              <w:spacing w:after="0" w:line="240" w:lineRule="auto"/>
              <w:jc w:val="both"/>
              <w:rPr>
                <w:rFonts w:ascii="Times New Roman" w:hAnsi="Times New Roman" w:cs="Times New Roman"/>
                <w:bCs/>
                <w:sz w:val="24"/>
                <w:szCs w:val="24"/>
              </w:rPr>
            </w:pPr>
          </w:p>
        </w:tc>
        <w:tc>
          <w:tcPr>
            <w:tcW w:w="3154" w:type="dxa"/>
            <w:tcBorders>
              <w:bottom w:val="single" w:sz="4" w:space="0" w:color="auto"/>
            </w:tcBorders>
          </w:tcPr>
          <w:p w14:paraId="26ED7974" w14:textId="77777777" w:rsidR="00B417F4" w:rsidRPr="008701B9" w:rsidRDefault="00B417F4" w:rsidP="00891825">
            <w:pPr>
              <w:autoSpaceDE w:val="0"/>
              <w:autoSpaceDN w:val="0"/>
              <w:adjustRightInd w:val="0"/>
              <w:spacing w:after="0" w:line="240" w:lineRule="auto"/>
              <w:jc w:val="both"/>
              <w:rPr>
                <w:rFonts w:ascii="Times New Roman" w:hAnsi="Times New Roman" w:cs="Times New Roman"/>
                <w:bCs/>
                <w:sz w:val="24"/>
                <w:szCs w:val="24"/>
              </w:rPr>
            </w:pPr>
          </w:p>
        </w:tc>
        <w:tc>
          <w:tcPr>
            <w:tcW w:w="3224" w:type="dxa"/>
            <w:tcBorders>
              <w:bottom w:val="single" w:sz="4" w:space="0" w:color="auto"/>
            </w:tcBorders>
          </w:tcPr>
          <w:p w14:paraId="7F5915ED" w14:textId="3BF8D561" w:rsidR="00B417F4" w:rsidRPr="008701B9" w:rsidRDefault="00B417F4" w:rsidP="00891825">
            <w:pPr>
              <w:pStyle w:val="a3"/>
              <w:widowControl w:val="0"/>
              <w:tabs>
                <w:tab w:val="left" w:pos="426"/>
              </w:tabs>
              <w:autoSpaceDE w:val="0"/>
              <w:autoSpaceDN w:val="0"/>
              <w:adjustRightInd w:val="0"/>
              <w:spacing w:after="0" w:line="240" w:lineRule="auto"/>
              <w:ind w:left="0"/>
              <w:jc w:val="both"/>
              <w:rPr>
                <w:rFonts w:ascii="Times New Roman" w:hAnsi="Times New Roman" w:cs="Times New Roman"/>
                <w:bCs/>
                <w:sz w:val="24"/>
                <w:szCs w:val="24"/>
              </w:rPr>
            </w:pPr>
            <w:r w:rsidRPr="008701B9">
              <w:rPr>
                <w:rFonts w:ascii="Times New Roman" w:hAnsi="Times New Roman" w:cs="Times New Roman"/>
                <w:bCs/>
                <w:sz w:val="24"/>
                <w:szCs w:val="24"/>
              </w:rPr>
              <w:t xml:space="preserve">них мужчин </w:t>
            </w:r>
            <w:r w:rsidRPr="008701B9">
              <w:rPr>
                <w:rFonts w:ascii="Times New Roman" w:eastAsia="Times New Roman" w:hAnsi="Times New Roman" w:cs="Times New Roman"/>
                <w:bCs/>
                <w:sz w:val="24"/>
                <w:szCs w:val="24"/>
              </w:rPr>
              <w:t>11875, женщин 24039.</w:t>
            </w:r>
            <w:r w:rsidRPr="008701B9">
              <w:rPr>
                <w:rFonts w:ascii="Times New Roman" w:hAnsi="Times New Roman" w:cs="Times New Roman"/>
                <w:bCs/>
                <w:spacing w:val="2"/>
                <w:sz w:val="24"/>
                <w:szCs w:val="24"/>
              </w:rPr>
              <w:t xml:space="preserve"> Обучение мед персонала тоже не достигла цели.</w:t>
            </w:r>
          </w:p>
        </w:tc>
        <w:tc>
          <w:tcPr>
            <w:tcW w:w="2673" w:type="dxa"/>
            <w:tcBorders>
              <w:bottom w:val="single" w:sz="4" w:space="0" w:color="auto"/>
            </w:tcBorders>
          </w:tcPr>
          <w:p w14:paraId="17AB2D8B" w14:textId="77777777" w:rsidR="00B417F4" w:rsidRPr="008701B9" w:rsidRDefault="00B417F4" w:rsidP="00891825">
            <w:pPr>
              <w:autoSpaceDE w:val="0"/>
              <w:autoSpaceDN w:val="0"/>
              <w:adjustRightInd w:val="0"/>
              <w:spacing w:after="0" w:line="240" w:lineRule="auto"/>
              <w:jc w:val="both"/>
              <w:rPr>
                <w:rFonts w:ascii="Times New Roman" w:hAnsi="Times New Roman" w:cs="Times New Roman"/>
                <w:bCs/>
                <w:sz w:val="24"/>
                <w:szCs w:val="24"/>
              </w:rPr>
            </w:pPr>
          </w:p>
        </w:tc>
        <w:tc>
          <w:tcPr>
            <w:tcW w:w="2360" w:type="dxa"/>
            <w:tcBorders>
              <w:bottom w:val="single" w:sz="4" w:space="0" w:color="auto"/>
            </w:tcBorders>
          </w:tcPr>
          <w:p w14:paraId="1CFEFE7F" w14:textId="77777777" w:rsidR="00B417F4" w:rsidRPr="008701B9" w:rsidRDefault="00B417F4" w:rsidP="00891825">
            <w:pPr>
              <w:autoSpaceDE w:val="0"/>
              <w:autoSpaceDN w:val="0"/>
              <w:adjustRightInd w:val="0"/>
              <w:spacing w:after="0" w:line="240" w:lineRule="auto"/>
              <w:jc w:val="both"/>
              <w:rPr>
                <w:rFonts w:ascii="Times New Roman" w:hAnsi="Times New Roman" w:cs="Times New Roman"/>
                <w:bCs/>
                <w:sz w:val="24"/>
                <w:szCs w:val="24"/>
              </w:rPr>
            </w:pPr>
          </w:p>
        </w:tc>
      </w:tr>
      <w:tr w:rsidR="009E66A9" w:rsidRPr="008701B9" w14:paraId="62C29D2E" w14:textId="77777777" w:rsidTr="009E66A9">
        <w:tc>
          <w:tcPr>
            <w:tcW w:w="457" w:type="dxa"/>
            <w:tcBorders>
              <w:bottom w:val="nil"/>
            </w:tcBorders>
          </w:tcPr>
          <w:p w14:paraId="68E49E99" w14:textId="77777777" w:rsidR="00891825" w:rsidRPr="00B417F4"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B417F4">
              <w:rPr>
                <w:rFonts w:ascii="Times New Roman" w:hAnsi="Times New Roman" w:cs="Times New Roman"/>
                <w:bCs/>
                <w:sz w:val="24"/>
                <w:szCs w:val="24"/>
              </w:rPr>
              <w:t>11</w:t>
            </w:r>
          </w:p>
        </w:tc>
        <w:tc>
          <w:tcPr>
            <w:tcW w:w="3159" w:type="dxa"/>
            <w:tcBorders>
              <w:bottom w:val="nil"/>
            </w:tcBorders>
          </w:tcPr>
          <w:p w14:paraId="25A535F7" w14:textId="77777777" w:rsidR="00891825" w:rsidRPr="008701B9" w:rsidRDefault="00891825" w:rsidP="00891825">
            <w:pPr>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Модель Всеобъемлющей амбулаторно-поликлинической помощи (</w:t>
            </w:r>
            <w:r w:rsidRPr="008701B9">
              <w:rPr>
                <w:rFonts w:ascii="Times New Roman" w:eastAsiaTheme="minorHAnsi" w:hAnsi="Times New Roman" w:cs="Times New Roman"/>
                <w:bCs/>
                <w:sz w:val="24"/>
                <w:szCs w:val="24"/>
                <w:lang w:eastAsia="en-US"/>
              </w:rPr>
              <w:t>ВОАПП) на уровне узких специалистов.</w:t>
            </w:r>
          </w:p>
        </w:tc>
        <w:tc>
          <w:tcPr>
            <w:tcW w:w="3154" w:type="dxa"/>
            <w:tcBorders>
              <w:bottom w:val="nil"/>
            </w:tcBorders>
          </w:tcPr>
          <w:p w14:paraId="4E140B2A" w14:textId="1E96065D"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 xml:space="preserve">Собраны все составляющие для оказания качественной помощи населению и условия для комфортного посещения консультации. Согласно данной модели, на уровне узких специалистов медицинские сотрудники предоставляют качественные консультативно-диагностические услуги, координируют движения пациентов. Так же предоставляет пациенту информации о предстоящих диагностических и лечебных процедурах, при необходимости направляет пациентов к психологу и социальному работнику. Персонал проходит повышение квалификации по вопросам применения современных методов диагностики и лечения, обучаются </w:t>
            </w:r>
          </w:p>
        </w:tc>
        <w:tc>
          <w:tcPr>
            <w:tcW w:w="3224" w:type="dxa"/>
            <w:tcBorders>
              <w:bottom w:val="nil"/>
            </w:tcBorders>
          </w:tcPr>
          <w:p w14:paraId="71FD1A34" w14:textId="1CA874BA" w:rsidR="00891825" w:rsidRPr="008701B9" w:rsidRDefault="00891825" w:rsidP="00891825">
            <w:pPr>
              <w:pStyle w:val="a3"/>
              <w:widowControl w:val="0"/>
              <w:tabs>
                <w:tab w:val="left" w:pos="426"/>
              </w:tabs>
              <w:autoSpaceDE w:val="0"/>
              <w:autoSpaceDN w:val="0"/>
              <w:adjustRightInd w:val="0"/>
              <w:spacing w:after="0" w:line="240" w:lineRule="auto"/>
              <w:ind w:left="0"/>
              <w:jc w:val="both"/>
              <w:rPr>
                <w:rFonts w:ascii="Times New Roman" w:hAnsi="Times New Roman" w:cs="Times New Roman"/>
                <w:bCs/>
                <w:sz w:val="24"/>
                <w:szCs w:val="24"/>
              </w:rPr>
            </w:pPr>
            <w:r w:rsidRPr="008701B9">
              <w:rPr>
                <w:rFonts w:ascii="Times New Roman" w:hAnsi="Times New Roman" w:cs="Times New Roman"/>
                <w:bCs/>
                <w:sz w:val="24"/>
                <w:szCs w:val="24"/>
              </w:rPr>
              <w:t xml:space="preserve">Некоторые функции медицинского персонала требует развития и раскрытия. У персонала нет навыков выявления психосоциальных проблем пациента с СД2т; нет навыков по оценка психосоциального статуса пациента и распределение по специфике; нет четкого маршрута пациента и контроль за его выполнением. Узкие специалисты не всегда совместно решают проблемы здоровья пациентов по репродуктивному потенциалу; развить коммуникативные навыки в коллективе и с пациентами; повышать квалификацию по репродуктивному потенциалу у пациентов с СД2т. Низкая посещаемость школ здоровья и диабета; реорганизовать функцию </w:t>
            </w:r>
          </w:p>
        </w:tc>
        <w:tc>
          <w:tcPr>
            <w:tcW w:w="2673" w:type="dxa"/>
            <w:tcBorders>
              <w:bottom w:val="nil"/>
            </w:tcBorders>
          </w:tcPr>
          <w:p w14:paraId="15E335D4"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При реализации работ по устранению слабых сторон и совершенствования модели,</w:t>
            </w:r>
          </w:p>
          <w:p w14:paraId="4894C016"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создать более конкурентоспособною среду с частными секторами, добиться успехов в борьбе за укрепления здоровья и активного участия пациентов за свое здоровье</w:t>
            </w:r>
          </w:p>
        </w:tc>
        <w:tc>
          <w:tcPr>
            <w:tcW w:w="2360" w:type="dxa"/>
            <w:tcBorders>
              <w:bottom w:val="nil"/>
            </w:tcBorders>
          </w:tcPr>
          <w:p w14:paraId="0D99DD11"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После обучения по бюджетной программе и получения опыта работы, среди специалистов ПМСП может быть кадровая текучка в сторону частных секторов с более высокой оплатой труда и меньшей нагрузкой.</w:t>
            </w:r>
          </w:p>
        </w:tc>
      </w:tr>
    </w:tbl>
    <w:p w14:paraId="0863FF90" w14:textId="7F4FF6EC" w:rsidR="00B417F4" w:rsidRDefault="00B417F4" w:rsidP="00B417F4">
      <w:pPr>
        <w:autoSpaceDE w:val="0"/>
        <w:autoSpaceDN w:val="0"/>
        <w:adjustRightInd w:val="0"/>
        <w:spacing w:after="0" w:line="240" w:lineRule="auto"/>
        <w:ind w:hanging="426"/>
        <w:jc w:val="both"/>
        <w:rPr>
          <w:rFonts w:ascii="Times New Roman" w:hAnsi="Times New Roman" w:cs="Times New Roman"/>
          <w:sz w:val="28"/>
          <w:szCs w:val="28"/>
        </w:rPr>
      </w:pPr>
      <w:r w:rsidRPr="001C7E58">
        <w:rPr>
          <w:rFonts w:ascii="Times New Roman" w:hAnsi="Times New Roman" w:cs="Times New Roman"/>
          <w:sz w:val="28"/>
          <w:szCs w:val="28"/>
        </w:rPr>
        <w:t>Продолжение таблицы 54</w:t>
      </w:r>
    </w:p>
    <w:p w14:paraId="39C0C41B" w14:textId="77777777" w:rsidR="00B417F4" w:rsidRDefault="00B417F4" w:rsidP="00B417F4">
      <w:pPr>
        <w:autoSpaceDE w:val="0"/>
        <w:autoSpaceDN w:val="0"/>
        <w:adjustRightInd w:val="0"/>
        <w:spacing w:after="0" w:line="240" w:lineRule="auto"/>
        <w:ind w:hanging="426"/>
        <w:jc w:val="both"/>
        <w:rPr>
          <w:rFonts w:ascii="Times New Roman" w:hAnsi="Times New Roman" w:cs="Times New Roman"/>
          <w:sz w:val="28"/>
          <w:szCs w:val="28"/>
        </w:rPr>
      </w:pPr>
    </w:p>
    <w:tbl>
      <w:tblPr>
        <w:tblStyle w:val="a5"/>
        <w:tblW w:w="15027" w:type="dxa"/>
        <w:tblInd w:w="-431" w:type="dxa"/>
        <w:tblLook w:val="04A0" w:firstRow="1" w:lastRow="0" w:firstColumn="1" w:lastColumn="0" w:noHBand="0" w:noVBand="1"/>
      </w:tblPr>
      <w:tblGrid>
        <w:gridCol w:w="457"/>
        <w:gridCol w:w="3159"/>
        <w:gridCol w:w="3154"/>
        <w:gridCol w:w="3224"/>
        <w:gridCol w:w="2673"/>
        <w:gridCol w:w="2360"/>
      </w:tblGrid>
      <w:tr w:rsidR="009E66A9" w:rsidRPr="008701B9" w14:paraId="4DCC8D44" w14:textId="77777777" w:rsidTr="008701B9">
        <w:tc>
          <w:tcPr>
            <w:tcW w:w="457" w:type="dxa"/>
          </w:tcPr>
          <w:p w14:paraId="0F3825E4" w14:textId="3B543635" w:rsidR="009E66A9" w:rsidRPr="00B417F4" w:rsidRDefault="009E66A9" w:rsidP="009E66A9">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3159" w:type="dxa"/>
          </w:tcPr>
          <w:p w14:paraId="7812628F" w14:textId="28B05431" w:rsidR="009E66A9" w:rsidRPr="008701B9" w:rsidRDefault="009E66A9" w:rsidP="009E66A9">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2</w:t>
            </w:r>
          </w:p>
        </w:tc>
        <w:tc>
          <w:tcPr>
            <w:tcW w:w="3154" w:type="dxa"/>
          </w:tcPr>
          <w:p w14:paraId="745BF3C5" w14:textId="0F9A937A" w:rsidR="009E66A9" w:rsidRPr="008701B9" w:rsidRDefault="009E66A9" w:rsidP="009E66A9">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3</w:t>
            </w:r>
          </w:p>
        </w:tc>
        <w:tc>
          <w:tcPr>
            <w:tcW w:w="3224" w:type="dxa"/>
          </w:tcPr>
          <w:p w14:paraId="06A3B518" w14:textId="38186139" w:rsidR="009E66A9" w:rsidRPr="008701B9" w:rsidRDefault="009E66A9" w:rsidP="009E66A9">
            <w:pPr>
              <w:pStyle w:val="a3"/>
              <w:widowControl w:val="0"/>
              <w:tabs>
                <w:tab w:val="left" w:pos="426"/>
              </w:tabs>
              <w:autoSpaceDE w:val="0"/>
              <w:autoSpaceDN w:val="0"/>
              <w:adjustRightInd w:val="0"/>
              <w:spacing w:after="0" w:line="240" w:lineRule="auto"/>
              <w:ind w:left="0"/>
              <w:jc w:val="center"/>
              <w:rPr>
                <w:rFonts w:ascii="Times New Roman" w:hAnsi="Times New Roman" w:cs="Times New Roman"/>
                <w:bCs/>
                <w:sz w:val="24"/>
                <w:szCs w:val="24"/>
              </w:rPr>
            </w:pPr>
            <w:r>
              <w:rPr>
                <w:rFonts w:ascii="Times New Roman" w:hAnsi="Times New Roman" w:cs="Times New Roman"/>
                <w:bCs/>
                <w:sz w:val="24"/>
                <w:szCs w:val="24"/>
              </w:rPr>
              <w:t>4</w:t>
            </w:r>
          </w:p>
        </w:tc>
        <w:tc>
          <w:tcPr>
            <w:tcW w:w="2673" w:type="dxa"/>
          </w:tcPr>
          <w:p w14:paraId="51671C2E" w14:textId="1A56A080" w:rsidR="009E66A9" w:rsidRPr="008701B9" w:rsidRDefault="009E66A9" w:rsidP="009E66A9">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5</w:t>
            </w:r>
          </w:p>
        </w:tc>
        <w:tc>
          <w:tcPr>
            <w:tcW w:w="2360" w:type="dxa"/>
          </w:tcPr>
          <w:p w14:paraId="7BB0EEF8" w14:textId="08580B58" w:rsidR="009E66A9" w:rsidRPr="008701B9" w:rsidRDefault="009E66A9" w:rsidP="009E66A9">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r>
      <w:tr w:rsidR="00B417F4" w:rsidRPr="008701B9" w14:paraId="42BC2F6B" w14:textId="77777777" w:rsidTr="009E66A9">
        <w:tc>
          <w:tcPr>
            <w:tcW w:w="457" w:type="dxa"/>
            <w:tcBorders>
              <w:bottom w:val="single" w:sz="4" w:space="0" w:color="auto"/>
            </w:tcBorders>
          </w:tcPr>
          <w:p w14:paraId="43A33D9B" w14:textId="77777777" w:rsidR="00B417F4" w:rsidRPr="00B417F4" w:rsidRDefault="00B417F4" w:rsidP="00891825">
            <w:pPr>
              <w:autoSpaceDE w:val="0"/>
              <w:autoSpaceDN w:val="0"/>
              <w:adjustRightInd w:val="0"/>
              <w:spacing w:after="0" w:line="240" w:lineRule="auto"/>
              <w:jc w:val="both"/>
              <w:rPr>
                <w:rFonts w:ascii="Times New Roman" w:hAnsi="Times New Roman" w:cs="Times New Roman"/>
                <w:bCs/>
                <w:sz w:val="24"/>
                <w:szCs w:val="24"/>
              </w:rPr>
            </w:pPr>
          </w:p>
        </w:tc>
        <w:tc>
          <w:tcPr>
            <w:tcW w:w="3159" w:type="dxa"/>
            <w:tcBorders>
              <w:bottom w:val="single" w:sz="4" w:space="0" w:color="auto"/>
            </w:tcBorders>
          </w:tcPr>
          <w:p w14:paraId="687F3295" w14:textId="77777777" w:rsidR="00B417F4" w:rsidRPr="008701B9" w:rsidRDefault="00B417F4" w:rsidP="00891825">
            <w:pPr>
              <w:spacing w:after="0" w:line="240" w:lineRule="auto"/>
              <w:jc w:val="both"/>
              <w:rPr>
                <w:rFonts w:ascii="Times New Roman" w:hAnsi="Times New Roman" w:cs="Times New Roman"/>
                <w:bCs/>
                <w:sz w:val="24"/>
                <w:szCs w:val="24"/>
              </w:rPr>
            </w:pPr>
          </w:p>
        </w:tc>
        <w:tc>
          <w:tcPr>
            <w:tcW w:w="3154" w:type="dxa"/>
            <w:tcBorders>
              <w:bottom w:val="single" w:sz="4" w:space="0" w:color="auto"/>
            </w:tcBorders>
          </w:tcPr>
          <w:p w14:paraId="72C475B6" w14:textId="7C7EE8EF" w:rsidR="00B417F4" w:rsidRPr="008701B9" w:rsidRDefault="00B417F4"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коммуникативным навыкам, навыкам межличностного общения, работе с информационно-техническими средствами.</w:t>
            </w:r>
          </w:p>
        </w:tc>
        <w:tc>
          <w:tcPr>
            <w:tcW w:w="3224" w:type="dxa"/>
            <w:tcBorders>
              <w:bottom w:val="single" w:sz="4" w:space="0" w:color="auto"/>
            </w:tcBorders>
          </w:tcPr>
          <w:p w14:paraId="75E4C36C" w14:textId="0592B421" w:rsidR="00B417F4" w:rsidRPr="008701B9" w:rsidRDefault="00B417F4" w:rsidP="00891825">
            <w:pPr>
              <w:pStyle w:val="a3"/>
              <w:widowControl w:val="0"/>
              <w:tabs>
                <w:tab w:val="left" w:pos="426"/>
              </w:tabs>
              <w:autoSpaceDE w:val="0"/>
              <w:autoSpaceDN w:val="0"/>
              <w:adjustRightInd w:val="0"/>
              <w:spacing w:after="0" w:line="240" w:lineRule="auto"/>
              <w:ind w:left="0"/>
              <w:jc w:val="both"/>
              <w:rPr>
                <w:rFonts w:ascii="Times New Roman" w:hAnsi="Times New Roman" w:cs="Times New Roman"/>
                <w:bCs/>
                <w:sz w:val="24"/>
                <w:szCs w:val="24"/>
              </w:rPr>
            </w:pPr>
            <w:r w:rsidRPr="008701B9">
              <w:rPr>
                <w:rFonts w:ascii="Times New Roman" w:hAnsi="Times New Roman" w:cs="Times New Roman"/>
                <w:bCs/>
                <w:sz w:val="24"/>
                <w:szCs w:val="24"/>
              </w:rPr>
              <w:t>ШД для его более высокой функциональной деятельности; организовать больший охват обучения пациентов и ввести контроль за его выполнением</w:t>
            </w:r>
          </w:p>
        </w:tc>
        <w:tc>
          <w:tcPr>
            <w:tcW w:w="2673" w:type="dxa"/>
            <w:tcBorders>
              <w:bottom w:val="single" w:sz="4" w:space="0" w:color="auto"/>
            </w:tcBorders>
          </w:tcPr>
          <w:p w14:paraId="6429ED42" w14:textId="77777777" w:rsidR="00B417F4" w:rsidRPr="008701B9" w:rsidRDefault="00B417F4" w:rsidP="00891825">
            <w:pPr>
              <w:autoSpaceDE w:val="0"/>
              <w:autoSpaceDN w:val="0"/>
              <w:adjustRightInd w:val="0"/>
              <w:spacing w:after="0" w:line="240" w:lineRule="auto"/>
              <w:jc w:val="both"/>
              <w:rPr>
                <w:rFonts w:ascii="Times New Roman" w:hAnsi="Times New Roman" w:cs="Times New Roman"/>
                <w:bCs/>
                <w:sz w:val="24"/>
                <w:szCs w:val="24"/>
              </w:rPr>
            </w:pPr>
          </w:p>
        </w:tc>
        <w:tc>
          <w:tcPr>
            <w:tcW w:w="2360" w:type="dxa"/>
            <w:tcBorders>
              <w:bottom w:val="single" w:sz="4" w:space="0" w:color="auto"/>
            </w:tcBorders>
          </w:tcPr>
          <w:p w14:paraId="377FF3E3" w14:textId="77777777" w:rsidR="00B417F4" w:rsidRPr="008701B9" w:rsidRDefault="00B417F4" w:rsidP="00891825">
            <w:pPr>
              <w:autoSpaceDE w:val="0"/>
              <w:autoSpaceDN w:val="0"/>
              <w:adjustRightInd w:val="0"/>
              <w:spacing w:after="0" w:line="240" w:lineRule="auto"/>
              <w:jc w:val="both"/>
              <w:rPr>
                <w:rFonts w:ascii="Times New Roman" w:hAnsi="Times New Roman" w:cs="Times New Roman"/>
                <w:bCs/>
                <w:sz w:val="24"/>
                <w:szCs w:val="24"/>
              </w:rPr>
            </w:pPr>
          </w:p>
        </w:tc>
      </w:tr>
      <w:tr w:rsidR="009E66A9" w:rsidRPr="008701B9" w14:paraId="028D704C" w14:textId="77777777" w:rsidTr="009E66A9">
        <w:tc>
          <w:tcPr>
            <w:tcW w:w="457" w:type="dxa"/>
            <w:tcBorders>
              <w:bottom w:val="nil"/>
            </w:tcBorders>
          </w:tcPr>
          <w:p w14:paraId="5F14DCE7"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12</w:t>
            </w:r>
          </w:p>
        </w:tc>
        <w:tc>
          <w:tcPr>
            <w:tcW w:w="3159" w:type="dxa"/>
            <w:tcBorders>
              <w:bottom w:val="nil"/>
            </w:tcBorders>
          </w:tcPr>
          <w:p w14:paraId="3E6B7909" w14:textId="77777777" w:rsidR="00891825" w:rsidRPr="008701B9" w:rsidRDefault="00891825"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 xml:space="preserve">Модель повышения медицинской грамотности и изменения поведения </w:t>
            </w:r>
          </w:p>
          <w:p w14:paraId="3C0F366C" w14:textId="77777777" w:rsidR="00891825" w:rsidRPr="008701B9" w:rsidRDefault="00891825" w:rsidP="00891825">
            <w:pPr>
              <w:spacing w:after="0" w:line="240" w:lineRule="auto"/>
              <w:jc w:val="both"/>
              <w:rPr>
                <w:rFonts w:ascii="Times New Roman" w:hAnsi="Times New Roman" w:cs="Times New Roman"/>
                <w:bCs/>
                <w:sz w:val="24"/>
                <w:szCs w:val="24"/>
              </w:rPr>
            </w:pPr>
          </w:p>
        </w:tc>
        <w:tc>
          <w:tcPr>
            <w:tcW w:w="3154" w:type="dxa"/>
            <w:tcBorders>
              <w:bottom w:val="nil"/>
            </w:tcBorders>
          </w:tcPr>
          <w:p w14:paraId="2EA79325" w14:textId="033AE946"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eastAsiaTheme="minorHAnsi" w:hAnsi="Times New Roman" w:cs="Times New Roman"/>
                <w:bCs/>
                <w:sz w:val="24"/>
                <w:szCs w:val="24"/>
                <w:lang w:eastAsia="en-US"/>
              </w:rPr>
              <w:t xml:space="preserve">Модель составлен на основаниях современных рекомендаций Международной Диабетической Федерации и Европейского консенсуса по профилактике СД2т и адаптирован для нашей страны: содержит три уровня вмешательств, соответствующие формы вмешательств, целевую аудиторию; Состоит из двух этапов. Первый этап состоит из 10 пунктов: 1)  определение целевой группы; 2) создание мультидисциплинарной команды; 3) повышение медицинской грамотности пациентов; 4) постановка поведенческих целей; 5) ознакомление и обучение пациентов с диагнозом СД техникам изменения </w:t>
            </w:r>
          </w:p>
        </w:tc>
        <w:tc>
          <w:tcPr>
            <w:tcW w:w="3224" w:type="dxa"/>
            <w:tcBorders>
              <w:bottom w:val="nil"/>
            </w:tcBorders>
          </w:tcPr>
          <w:p w14:paraId="6DC4B7F9" w14:textId="77777777" w:rsidR="00891825" w:rsidRPr="008701B9" w:rsidRDefault="00891825"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Необходимо совершенствовать разъяснительную работу для реализации модели среди разных секторов, ведомств, администраций МО, медперсоналов и пациентов с СД2т, где координирующую роль должен выполнять МЗ РК</w:t>
            </w:r>
          </w:p>
          <w:p w14:paraId="2ED2BAE0" w14:textId="77777777" w:rsidR="00891825" w:rsidRPr="008701B9" w:rsidRDefault="00891825" w:rsidP="00891825">
            <w:pPr>
              <w:pStyle w:val="a3"/>
              <w:widowControl w:val="0"/>
              <w:tabs>
                <w:tab w:val="left" w:pos="426"/>
              </w:tabs>
              <w:autoSpaceDE w:val="0"/>
              <w:autoSpaceDN w:val="0"/>
              <w:adjustRightInd w:val="0"/>
              <w:spacing w:after="0" w:line="240" w:lineRule="auto"/>
              <w:ind w:left="0"/>
              <w:jc w:val="both"/>
              <w:rPr>
                <w:rFonts w:ascii="Times New Roman" w:hAnsi="Times New Roman" w:cs="Times New Roman"/>
                <w:bCs/>
                <w:sz w:val="24"/>
                <w:szCs w:val="24"/>
              </w:rPr>
            </w:pPr>
          </w:p>
        </w:tc>
        <w:tc>
          <w:tcPr>
            <w:tcW w:w="2673" w:type="dxa"/>
            <w:tcBorders>
              <w:bottom w:val="nil"/>
            </w:tcBorders>
          </w:tcPr>
          <w:p w14:paraId="6558011C" w14:textId="77777777" w:rsidR="00891825" w:rsidRPr="008701B9" w:rsidRDefault="00891825"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При реализации межсекторального сотрудничества, популяционный уровень вмешательств проводить под контролем национального и региональных координаторов, что в свою очередь обеспечит высокий уровень реализации и контроля выполнения.</w:t>
            </w:r>
          </w:p>
          <w:p w14:paraId="7C2F71ED" w14:textId="4A3F6F8E"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eastAsiaTheme="minorHAnsi" w:hAnsi="Times New Roman" w:cs="Times New Roman"/>
                <w:bCs/>
                <w:sz w:val="24"/>
                <w:szCs w:val="24"/>
                <w:lang w:eastAsia="en-US"/>
              </w:rPr>
              <w:t xml:space="preserve">Групповые занятия дополнить статистическими данными для  убедительного понимания фактов и констатируя важность проблемы для пациентов; более развернуто представить функцию «Школы </w:t>
            </w:r>
          </w:p>
        </w:tc>
        <w:tc>
          <w:tcPr>
            <w:tcW w:w="2360" w:type="dxa"/>
            <w:tcBorders>
              <w:bottom w:val="nil"/>
            </w:tcBorders>
          </w:tcPr>
          <w:p w14:paraId="43327A5F"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Старый стереотип мышления населения трудно поддается новым изменениям.</w:t>
            </w:r>
          </w:p>
        </w:tc>
      </w:tr>
    </w:tbl>
    <w:p w14:paraId="7938AA9F" w14:textId="5A82D858" w:rsidR="009E66A9" w:rsidRDefault="009E66A9" w:rsidP="009E66A9">
      <w:pPr>
        <w:autoSpaceDE w:val="0"/>
        <w:autoSpaceDN w:val="0"/>
        <w:adjustRightInd w:val="0"/>
        <w:spacing w:after="0" w:line="240" w:lineRule="auto"/>
        <w:ind w:hanging="426"/>
        <w:jc w:val="both"/>
        <w:rPr>
          <w:rFonts w:ascii="Times New Roman" w:hAnsi="Times New Roman" w:cs="Times New Roman"/>
          <w:sz w:val="28"/>
          <w:szCs w:val="28"/>
        </w:rPr>
      </w:pPr>
      <w:r w:rsidRPr="001C7E58">
        <w:rPr>
          <w:rFonts w:ascii="Times New Roman" w:hAnsi="Times New Roman" w:cs="Times New Roman"/>
          <w:sz w:val="28"/>
          <w:szCs w:val="28"/>
        </w:rPr>
        <w:t>Продолжение таблицы 54</w:t>
      </w:r>
    </w:p>
    <w:p w14:paraId="68B27ECF" w14:textId="77777777" w:rsidR="009E66A9" w:rsidRPr="009E66A9" w:rsidRDefault="009E66A9" w:rsidP="009E66A9">
      <w:pPr>
        <w:autoSpaceDE w:val="0"/>
        <w:autoSpaceDN w:val="0"/>
        <w:adjustRightInd w:val="0"/>
        <w:spacing w:after="0" w:line="240" w:lineRule="auto"/>
        <w:ind w:hanging="426"/>
        <w:jc w:val="both"/>
        <w:rPr>
          <w:rFonts w:ascii="Times New Roman" w:hAnsi="Times New Roman" w:cs="Times New Roman"/>
          <w:sz w:val="20"/>
          <w:szCs w:val="20"/>
        </w:rPr>
      </w:pPr>
    </w:p>
    <w:tbl>
      <w:tblPr>
        <w:tblStyle w:val="a5"/>
        <w:tblW w:w="15027" w:type="dxa"/>
        <w:tblInd w:w="-431" w:type="dxa"/>
        <w:tblLook w:val="04A0" w:firstRow="1" w:lastRow="0" w:firstColumn="1" w:lastColumn="0" w:noHBand="0" w:noVBand="1"/>
      </w:tblPr>
      <w:tblGrid>
        <w:gridCol w:w="457"/>
        <w:gridCol w:w="3159"/>
        <w:gridCol w:w="3154"/>
        <w:gridCol w:w="3224"/>
        <w:gridCol w:w="2673"/>
        <w:gridCol w:w="2360"/>
      </w:tblGrid>
      <w:tr w:rsidR="009E66A9" w:rsidRPr="008701B9" w14:paraId="4D502F88" w14:textId="77777777" w:rsidTr="008701B9">
        <w:tc>
          <w:tcPr>
            <w:tcW w:w="457" w:type="dxa"/>
          </w:tcPr>
          <w:p w14:paraId="158EA459" w14:textId="183C4F72" w:rsidR="009E66A9" w:rsidRPr="008701B9" w:rsidRDefault="009E66A9" w:rsidP="009E66A9">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1</w:t>
            </w:r>
          </w:p>
        </w:tc>
        <w:tc>
          <w:tcPr>
            <w:tcW w:w="3159" w:type="dxa"/>
          </w:tcPr>
          <w:p w14:paraId="1C43AC59" w14:textId="5CC0967D" w:rsidR="009E66A9" w:rsidRPr="008701B9" w:rsidRDefault="009E66A9" w:rsidP="009E66A9">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Pr>
                <w:rFonts w:ascii="Times New Roman" w:eastAsiaTheme="minorHAnsi" w:hAnsi="Times New Roman" w:cs="Times New Roman"/>
                <w:bCs/>
                <w:sz w:val="24"/>
                <w:szCs w:val="24"/>
                <w:lang w:eastAsia="en-US"/>
              </w:rPr>
              <w:t>2</w:t>
            </w:r>
          </w:p>
        </w:tc>
        <w:tc>
          <w:tcPr>
            <w:tcW w:w="3154" w:type="dxa"/>
          </w:tcPr>
          <w:p w14:paraId="6B3786C8" w14:textId="635A1D96" w:rsidR="009E66A9" w:rsidRPr="008701B9" w:rsidRDefault="009E66A9" w:rsidP="009E66A9">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Pr>
                <w:rFonts w:ascii="Times New Roman" w:eastAsiaTheme="minorHAnsi" w:hAnsi="Times New Roman" w:cs="Times New Roman"/>
                <w:bCs/>
                <w:sz w:val="24"/>
                <w:szCs w:val="24"/>
                <w:lang w:eastAsia="en-US"/>
              </w:rPr>
              <w:t>3</w:t>
            </w:r>
          </w:p>
        </w:tc>
        <w:tc>
          <w:tcPr>
            <w:tcW w:w="3224" w:type="dxa"/>
          </w:tcPr>
          <w:p w14:paraId="4C3A8630" w14:textId="132DFE14" w:rsidR="009E66A9" w:rsidRPr="008701B9" w:rsidRDefault="009E66A9" w:rsidP="009E66A9">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Pr>
                <w:rFonts w:ascii="Times New Roman" w:eastAsiaTheme="minorHAnsi" w:hAnsi="Times New Roman" w:cs="Times New Roman"/>
                <w:bCs/>
                <w:sz w:val="24"/>
                <w:szCs w:val="24"/>
                <w:lang w:eastAsia="en-US"/>
              </w:rPr>
              <w:t>4</w:t>
            </w:r>
          </w:p>
        </w:tc>
        <w:tc>
          <w:tcPr>
            <w:tcW w:w="2673" w:type="dxa"/>
          </w:tcPr>
          <w:p w14:paraId="7C3AD00D" w14:textId="6678FF09" w:rsidR="009E66A9" w:rsidRPr="008701B9" w:rsidRDefault="009E66A9" w:rsidP="009E66A9">
            <w:pPr>
              <w:autoSpaceDE w:val="0"/>
              <w:autoSpaceDN w:val="0"/>
              <w:adjustRightInd w:val="0"/>
              <w:spacing w:after="0" w:line="240" w:lineRule="auto"/>
              <w:jc w:val="center"/>
              <w:rPr>
                <w:rFonts w:ascii="Times New Roman" w:eastAsiaTheme="minorHAnsi" w:hAnsi="Times New Roman" w:cs="Times New Roman"/>
                <w:bCs/>
                <w:sz w:val="24"/>
                <w:szCs w:val="24"/>
                <w:lang w:eastAsia="en-US"/>
              </w:rPr>
            </w:pPr>
            <w:r>
              <w:rPr>
                <w:rFonts w:ascii="Times New Roman" w:eastAsiaTheme="minorHAnsi" w:hAnsi="Times New Roman" w:cs="Times New Roman"/>
                <w:bCs/>
                <w:sz w:val="24"/>
                <w:szCs w:val="24"/>
                <w:lang w:eastAsia="en-US"/>
              </w:rPr>
              <w:t>5</w:t>
            </w:r>
          </w:p>
        </w:tc>
        <w:tc>
          <w:tcPr>
            <w:tcW w:w="2360" w:type="dxa"/>
          </w:tcPr>
          <w:p w14:paraId="774C8326" w14:textId="4ADCD7D5" w:rsidR="009E66A9" w:rsidRPr="008701B9" w:rsidRDefault="009E66A9" w:rsidP="009E66A9">
            <w:pPr>
              <w:autoSpaceDE w:val="0"/>
              <w:autoSpaceDN w:val="0"/>
              <w:adjustRightInd w:val="0"/>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6</w:t>
            </w:r>
          </w:p>
        </w:tc>
      </w:tr>
      <w:tr w:rsidR="009E66A9" w:rsidRPr="008701B9" w14:paraId="313F8E1E" w14:textId="77777777" w:rsidTr="008701B9">
        <w:tc>
          <w:tcPr>
            <w:tcW w:w="457" w:type="dxa"/>
          </w:tcPr>
          <w:p w14:paraId="5F6BEC4D" w14:textId="77777777" w:rsidR="009E66A9" w:rsidRPr="008701B9" w:rsidRDefault="009E66A9" w:rsidP="00891825">
            <w:pPr>
              <w:autoSpaceDE w:val="0"/>
              <w:autoSpaceDN w:val="0"/>
              <w:adjustRightInd w:val="0"/>
              <w:spacing w:after="0" w:line="240" w:lineRule="auto"/>
              <w:jc w:val="both"/>
              <w:rPr>
                <w:rFonts w:ascii="Times New Roman" w:hAnsi="Times New Roman" w:cs="Times New Roman"/>
                <w:bCs/>
                <w:sz w:val="24"/>
                <w:szCs w:val="24"/>
              </w:rPr>
            </w:pPr>
          </w:p>
        </w:tc>
        <w:tc>
          <w:tcPr>
            <w:tcW w:w="3159" w:type="dxa"/>
          </w:tcPr>
          <w:p w14:paraId="4A552761" w14:textId="77777777" w:rsidR="009E66A9" w:rsidRPr="008701B9" w:rsidRDefault="009E66A9"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p>
        </w:tc>
        <w:tc>
          <w:tcPr>
            <w:tcW w:w="3154" w:type="dxa"/>
          </w:tcPr>
          <w:p w14:paraId="3FD4932C" w14:textId="0613D9A8" w:rsidR="009E66A9" w:rsidRPr="008701B9" w:rsidRDefault="009E66A9"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 xml:space="preserve">поведения; 6) расширение форм проведения и тематики занятий в школах здоровья; 7) </w:t>
            </w:r>
            <w:r w:rsidRPr="008701B9">
              <w:rPr>
                <w:rFonts w:ascii="Times New Roman" w:eastAsiaTheme="minorHAnsi" w:hAnsi="Times New Roman" w:cs="Times New Roman"/>
                <w:bCs/>
                <w:sz w:val="24"/>
                <w:szCs w:val="24"/>
                <w:lang w:val="en-US" w:eastAsia="en-US"/>
              </w:rPr>
              <w:t>m</w:t>
            </w:r>
            <w:r w:rsidRPr="008701B9">
              <w:rPr>
                <w:rFonts w:ascii="Times New Roman" w:eastAsiaTheme="minorHAnsi" w:hAnsi="Times New Roman" w:cs="Times New Roman"/>
                <w:bCs/>
                <w:sz w:val="24"/>
                <w:szCs w:val="24"/>
                <w:lang w:eastAsia="en-US"/>
              </w:rPr>
              <w:t>-</w:t>
            </w:r>
            <w:r w:rsidRPr="008701B9">
              <w:rPr>
                <w:rFonts w:ascii="Times New Roman" w:eastAsiaTheme="minorHAnsi" w:hAnsi="Times New Roman" w:cs="Times New Roman"/>
                <w:bCs/>
                <w:sz w:val="24"/>
                <w:szCs w:val="24"/>
                <w:lang w:val="en-US" w:eastAsia="en-US"/>
              </w:rPr>
              <w:t>Health</w:t>
            </w:r>
            <w:r w:rsidRPr="008701B9">
              <w:rPr>
                <w:rFonts w:ascii="Times New Roman" w:eastAsiaTheme="minorHAnsi" w:hAnsi="Times New Roman" w:cs="Times New Roman"/>
                <w:bCs/>
                <w:sz w:val="24"/>
                <w:szCs w:val="24"/>
                <w:lang w:eastAsia="en-US"/>
              </w:rPr>
              <w:t xml:space="preserve">: разработка СМС сообщений об управлении заболевании; 8) разработка и распространение информационно-образовательного материала; 9) рассылка информации по профилактике заболеваний и укреплению здоровья по </w:t>
            </w:r>
            <w:r w:rsidRPr="008701B9">
              <w:rPr>
                <w:rFonts w:ascii="Times New Roman" w:eastAsiaTheme="minorHAnsi" w:hAnsi="Times New Roman" w:cs="Times New Roman"/>
                <w:bCs/>
                <w:sz w:val="24"/>
                <w:szCs w:val="24"/>
                <w:lang w:val="en-US" w:eastAsia="en-US"/>
              </w:rPr>
              <w:t>e</w:t>
            </w:r>
            <w:r w:rsidRPr="008701B9">
              <w:rPr>
                <w:rFonts w:ascii="Times New Roman" w:eastAsiaTheme="minorHAnsi" w:hAnsi="Times New Roman" w:cs="Times New Roman"/>
                <w:bCs/>
                <w:sz w:val="24"/>
                <w:szCs w:val="24"/>
                <w:lang w:eastAsia="en-US"/>
              </w:rPr>
              <w:t>-</w:t>
            </w:r>
            <w:r w:rsidRPr="008701B9">
              <w:rPr>
                <w:rFonts w:ascii="Times New Roman" w:eastAsiaTheme="minorHAnsi" w:hAnsi="Times New Roman" w:cs="Times New Roman"/>
                <w:bCs/>
                <w:sz w:val="24"/>
                <w:szCs w:val="24"/>
                <w:lang w:val="en-US" w:eastAsia="en-US"/>
              </w:rPr>
              <w:t>mail</w:t>
            </w:r>
            <w:r w:rsidRPr="008701B9">
              <w:rPr>
                <w:rFonts w:ascii="Times New Roman" w:eastAsiaTheme="minorHAnsi" w:hAnsi="Times New Roman" w:cs="Times New Roman"/>
                <w:bCs/>
                <w:sz w:val="24"/>
                <w:szCs w:val="24"/>
                <w:lang w:eastAsia="en-US"/>
              </w:rPr>
              <w:t xml:space="preserve">, </w:t>
            </w:r>
            <w:r w:rsidRPr="008701B9">
              <w:rPr>
                <w:rFonts w:ascii="Times New Roman" w:eastAsiaTheme="minorHAnsi" w:hAnsi="Times New Roman" w:cs="Times New Roman"/>
                <w:bCs/>
                <w:sz w:val="24"/>
                <w:szCs w:val="24"/>
                <w:lang w:val="en-US" w:eastAsia="en-US"/>
              </w:rPr>
              <w:t>what</w:t>
            </w:r>
            <w:r w:rsidRPr="008701B9">
              <w:rPr>
                <w:rFonts w:ascii="Times New Roman" w:eastAsiaTheme="minorHAnsi" w:hAnsi="Times New Roman" w:cs="Times New Roman"/>
                <w:bCs/>
                <w:sz w:val="24"/>
                <w:szCs w:val="24"/>
                <w:lang w:eastAsia="en-US"/>
              </w:rPr>
              <w:t>’</w:t>
            </w:r>
            <w:r w:rsidRPr="008701B9">
              <w:rPr>
                <w:rFonts w:ascii="Times New Roman" w:eastAsiaTheme="minorHAnsi" w:hAnsi="Times New Roman" w:cs="Times New Roman"/>
                <w:bCs/>
                <w:sz w:val="24"/>
                <w:szCs w:val="24"/>
                <w:lang w:val="en-US" w:eastAsia="en-US"/>
              </w:rPr>
              <w:t>s</w:t>
            </w:r>
            <w:r w:rsidRPr="008701B9">
              <w:rPr>
                <w:rFonts w:ascii="Times New Roman" w:eastAsiaTheme="minorHAnsi" w:hAnsi="Times New Roman" w:cs="Times New Roman"/>
                <w:bCs/>
                <w:sz w:val="24"/>
                <w:szCs w:val="24"/>
                <w:lang w:eastAsia="en-US"/>
              </w:rPr>
              <w:t xml:space="preserve"> </w:t>
            </w:r>
            <w:r w:rsidRPr="008701B9">
              <w:rPr>
                <w:rFonts w:ascii="Times New Roman" w:eastAsiaTheme="minorHAnsi" w:hAnsi="Times New Roman" w:cs="Times New Roman"/>
                <w:bCs/>
                <w:sz w:val="24"/>
                <w:szCs w:val="24"/>
                <w:lang w:val="en-US" w:eastAsia="en-US"/>
              </w:rPr>
              <w:t>up</w:t>
            </w:r>
            <w:r w:rsidRPr="008701B9">
              <w:rPr>
                <w:rFonts w:ascii="Times New Roman" w:eastAsiaTheme="minorHAnsi" w:hAnsi="Times New Roman" w:cs="Times New Roman"/>
                <w:bCs/>
                <w:sz w:val="24"/>
                <w:szCs w:val="24"/>
                <w:lang w:eastAsia="en-US"/>
              </w:rPr>
              <w:t>. Второй этап, это использование медицинских коммуникативных технологий для изменения поведения населения в отношении здоровья.</w:t>
            </w:r>
          </w:p>
        </w:tc>
        <w:tc>
          <w:tcPr>
            <w:tcW w:w="3224" w:type="dxa"/>
          </w:tcPr>
          <w:p w14:paraId="591EDE24" w14:textId="77777777" w:rsidR="009E66A9" w:rsidRPr="008701B9" w:rsidRDefault="009E66A9"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p>
        </w:tc>
        <w:tc>
          <w:tcPr>
            <w:tcW w:w="2673" w:type="dxa"/>
          </w:tcPr>
          <w:p w14:paraId="103CFF25" w14:textId="7EA774CC" w:rsidR="009E66A9" w:rsidRPr="008701B9" w:rsidRDefault="009E66A9" w:rsidP="00891825">
            <w:pPr>
              <w:autoSpaceDE w:val="0"/>
              <w:autoSpaceDN w:val="0"/>
              <w:adjustRightInd w:val="0"/>
              <w:spacing w:after="0" w:line="240" w:lineRule="auto"/>
              <w:jc w:val="both"/>
              <w:rPr>
                <w:rFonts w:ascii="Times New Roman" w:eastAsiaTheme="minorHAnsi" w:hAnsi="Times New Roman" w:cs="Times New Roman"/>
                <w:bCs/>
                <w:sz w:val="24"/>
                <w:szCs w:val="24"/>
                <w:lang w:eastAsia="en-US"/>
              </w:rPr>
            </w:pPr>
            <w:r w:rsidRPr="008701B9">
              <w:rPr>
                <w:rFonts w:ascii="Times New Roman" w:eastAsiaTheme="minorHAnsi" w:hAnsi="Times New Roman" w:cs="Times New Roman"/>
                <w:bCs/>
                <w:sz w:val="24"/>
                <w:szCs w:val="24"/>
                <w:lang w:eastAsia="en-US"/>
              </w:rPr>
              <w:t xml:space="preserve">Диабета», привлечь пациентов с более широким охватом </w:t>
            </w:r>
            <w:r w:rsidRPr="008701B9">
              <w:rPr>
                <w:rFonts w:ascii="Times New Roman" w:hAnsi="Times New Roman" w:cs="Times New Roman"/>
                <w:bCs/>
                <w:sz w:val="24"/>
                <w:szCs w:val="24"/>
              </w:rPr>
              <w:t>Индивидуальные консультации с его требованиями необходимо прописать в протоколе лечения и диагностики как терапевтические услуги, для более конкретного контроля над его выполнением повсеместно.</w:t>
            </w:r>
          </w:p>
        </w:tc>
        <w:tc>
          <w:tcPr>
            <w:tcW w:w="2360" w:type="dxa"/>
          </w:tcPr>
          <w:p w14:paraId="0F14EFC8" w14:textId="77777777" w:rsidR="009E66A9" w:rsidRPr="008701B9" w:rsidRDefault="009E66A9" w:rsidP="00891825">
            <w:pPr>
              <w:autoSpaceDE w:val="0"/>
              <w:autoSpaceDN w:val="0"/>
              <w:adjustRightInd w:val="0"/>
              <w:spacing w:after="0" w:line="240" w:lineRule="auto"/>
              <w:jc w:val="both"/>
              <w:rPr>
                <w:rFonts w:ascii="Times New Roman" w:hAnsi="Times New Roman" w:cs="Times New Roman"/>
                <w:bCs/>
                <w:sz w:val="24"/>
                <w:szCs w:val="24"/>
              </w:rPr>
            </w:pPr>
          </w:p>
        </w:tc>
      </w:tr>
      <w:tr w:rsidR="00891825" w:rsidRPr="008701B9" w14:paraId="743DE1D8" w14:textId="77777777" w:rsidTr="00681F13">
        <w:tc>
          <w:tcPr>
            <w:tcW w:w="457" w:type="dxa"/>
            <w:tcBorders>
              <w:bottom w:val="single" w:sz="4" w:space="0" w:color="auto"/>
            </w:tcBorders>
          </w:tcPr>
          <w:p w14:paraId="0719C8AA"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p>
        </w:tc>
        <w:tc>
          <w:tcPr>
            <w:tcW w:w="14570" w:type="dxa"/>
            <w:gridSpan w:val="5"/>
            <w:tcBorders>
              <w:bottom w:val="single" w:sz="4" w:space="0" w:color="auto"/>
            </w:tcBorders>
          </w:tcPr>
          <w:p w14:paraId="0333C5F4" w14:textId="36142371" w:rsidR="00891825" w:rsidRPr="008701B9" w:rsidRDefault="00891825" w:rsidP="009E66A9">
            <w:pPr>
              <w:autoSpaceDE w:val="0"/>
              <w:autoSpaceDN w:val="0"/>
              <w:adjustRightInd w:val="0"/>
              <w:spacing w:after="0" w:line="240" w:lineRule="auto"/>
              <w:jc w:val="center"/>
              <w:rPr>
                <w:rFonts w:ascii="Times New Roman" w:hAnsi="Times New Roman" w:cs="Times New Roman"/>
                <w:bCs/>
                <w:sz w:val="24"/>
                <w:szCs w:val="24"/>
              </w:rPr>
            </w:pPr>
            <w:r w:rsidRPr="008701B9">
              <w:rPr>
                <w:rFonts w:ascii="Times New Roman" w:eastAsiaTheme="minorHAnsi" w:hAnsi="Times New Roman" w:cs="Times New Roman"/>
                <w:bCs/>
                <w:sz w:val="24"/>
                <w:szCs w:val="24"/>
                <w:lang w:eastAsia="en-US"/>
              </w:rPr>
              <w:t>Анализ клинического протокола диагностики и лечения СД2т</w:t>
            </w:r>
            <w:r w:rsidR="004200DB">
              <w:rPr>
                <w:rFonts w:ascii="Times New Roman" w:eastAsiaTheme="minorHAnsi" w:hAnsi="Times New Roman" w:cs="Times New Roman"/>
                <w:bCs/>
                <w:sz w:val="24"/>
                <w:szCs w:val="24"/>
                <w:lang w:eastAsia="en-US"/>
              </w:rPr>
              <w:t xml:space="preserve"> ( у обоих протоколов схожие слабые стороны</w:t>
            </w:r>
            <w:r w:rsidR="009442B4">
              <w:rPr>
                <w:rFonts w:ascii="Times New Roman" w:eastAsiaTheme="minorHAnsi" w:hAnsi="Times New Roman" w:cs="Times New Roman"/>
                <w:bCs/>
                <w:sz w:val="24"/>
                <w:szCs w:val="24"/>
                <w:lang w:eastAsia="en-US"/>
              </w:rPr>
              <w:t>, возможности и угроза)</w:t>
            </w:r>
          </w:p>
        </w:tc>
      </w:tr>
      <w:tr w:rsidR="00681F13" w:rsidRPr="008701B9" w14:paraId="0DC034EA" w14:textId="77777777" w:rsidTr="00681F13">
        <w:tc>
          <w:tcPr>
            <w:tcW w:w="457" w:type="dxa"/>
            <w:tcBorders>
              <w:bottom w:val="nil"/>
            </w:tcBorders>
          </w:tcPr>
          <w:p w14:paraId="050DFF9B" w14:textId="77777777" w:rsidR="00891825" w:rsidRPr="008701B9" w:rsidRDefault="00891825" w:rsidP="00891825">
            <w:pPr>
              <w:autoSpaceDE w:val="0"/>
              <w:autoSpaceDN w:val="0"/>
              <w:adjustRightInd w:val="0"/>
              <w:spacing w:after="0" w:line="240" w:lineRule="auto"/>
              <w:jc w:val="both"/>
              <w:rPr>
                <w:rFonts w:ascii="Times New Roman" w:hAnsi="Times New Roman" w:cs="Times New Roman"/>
                <w:bCs/>
                <w:sz w:val="24"/>
                <w:szCs w:val="24"/>
              </w:rPr>
            </w:pPr>
            <w:r w:rsidRPr="008701B9">
              <w:rPr>
                <w:rFonts w:ascii="Times New Roman" w:hAnsi="Times New Roman" w:cs="Times New Roman"/>
                <w:bCs/>
                <w:sz w:val="24"/>
                <w:szCs w:val="24"/>
              </w:rPr>
              <w:t>13</w:t>
            </w:r>
          </w:p>
        </w:tc>
        <w:tc>
          <w:tcPr>
            <w:tcW w:w="3159" w:type="dxa"/>
            <w:tcBorders>
              <w:bottom w:val="nil"/>
            </w:tcBorders>
          </w:tcPr>
          <w:p w14:paraId="00883815" w14:textId="77777777" w:rsidR="00891825" w:rsidRDefault="00891825" w:rsidP="00891825">
            <w:pPr>
              <w:autoSpaceDE w:val="0"/>
              <w:autoSpaceDN w:val="0"/>
              <w:adjustRightInd w:val="0"/>
              <w:spacing w:after="0" w:line="240" w:lineRule="auto"/>
              <w:jc w:val="both"/>
              <w:rPr>
                <w:rFonts w:ascii="Times New Roman" w:eastAsiaTheme="minorHAnsi" w:hAnsi="Times New Roman" w:cs="Times New Roman"/>
                <w:bCs/>
                <w:color w:val="000000"/>
                <w:sz w:val="23"/>
                <w:szCs w:val="23"/>
                <w:lang w:eastAsia="en-US"/>
              </w:rPr>
            </w:pPr>
            <w:r w:rsidRPr="009E66A9">
              <w:rPr>
                <w:rFonts w:ascii="Times New Roman" w:eastAsiaTheme="minorHAnsi" w:hAnsi="Times New Roman" w:cs="Times New Roman"/>
                <w:bCs/>
                <w:color w:val="000000"/>
                <w:sz w:val="23"/>
                <w:szCs w:val="23"/>
                <w:lang w:eastAsia="en-US"/>
              </w:rPr>
              <w:t xml:space="preserve">Протокол №10 от «04» июля 2014 года, утвержден на Экспертной комиссии по вопросам развития здравоохранения МЗ РК </w:t>
            </w:r>
          </w:p>
          <w:p w14:paraId="15E45F3B" w14:textId="77777777" w:rsidR="00437777" w:rsidRDefault="00437777" w:rsidP="00891825">
            <w:pPr>
              <w:autoSpaceDE w:val="0"/>
              <w:autoSpaceDN w:val="0"/>
              <w:adjustRightInd w:val="0"/>
              <w:spacing w:after="0" w:line="240" w:lineRule="auto"/>
              <w:jc w:val="both"/>
              <w:rPr>
                <w:rFonts w:ascii="Times New Roman" w:eastAsiaTheme="minorHAnsi" w:hAnsi="Times New Roman" w:cs="Times New Roman"/>
                <w:bCs/>
                <w:sz w:val="23"/>
                <w:szCs w:val="23"/>
                <w:lang w:eastAsia="en-US"/>
              </w:rPr>
            </w:pPr>
          </w:p>
          <w:p w14:paraId="5DCB94C2" w14:textId="77777777" w:rsidR="009A24EB" w:rsidRPr="009A24EB" w:rsidRDefault="009A24EB" w:rsidP="009A24EB">
            <w:pPr>
              <w:autoSpaceDE w:val="0"/>
              <w:autoSpaceDN w:val="0"/>
              <w:adjustRightInd w:val="0"/>
              <w:spacing w:after="0" w:line="240" w:lineRule="auto"/>
              <w:jc w:val="both"/>
              <w:rPr>
                <w:rFonts w:ascii="Times New Roman" w:eastAsiaTheme="minorHAnsi" w:hAnsi="Times New Roman" w:cs="Times New Roman"/>
                <w:bCs/>
                <w:sz w:val="23"/>
                <w:szCs w:val="23"/>
                <w:lang w:eastAsia="en-US"/>
              </w:rPr>
            </w:pPr>
          </w:p>
          <w:p w14:paraId="0513A29F" w14:textId="246F61EE" w:rsidR="009A24EB" w:rsidRPr="009E66A9" w:rsidRDefault="009A24EB" w:rsidP="009A24EB">
            <w:pPr>
              <w:autoSpaceDE w:val="0"/>
              <w:autoSpaceDN w:val="0"/>
              <w:adjustRightInd w:val="0"/>
              <w:spacing w:after="0" w:line="240" w:lineRule="auto"/>
              <w:jc w:val="both"/>
              <w:rPr>
                <w:rFonts w:ascii="Times New Roman" w:eastAsiaTheme="minorHAnsi" w:hAnsi="Times New Roman" w:cs="Times New Roman"/>
                <w:bCs/>
                <w:sz w:val="23"/>
                <w:szCs w:val="23"/>
                <w:lang w:eastAsia="en-US"/>
              </w:rPr>
            </w:pPr>
          </w:p>
        </w:tc>
        <w:tc>
          <w:tcPr>
            <w:tcW w:w="3154" w:type="dxa"/>
            <w:tcBorders>
              <w:bottom w:val="nil"/>
            </w:tcBorders>
          </w:tcPr>
          <w:p w14:paraId="5D5261E9" w14:textId="77777777" w:rsidR="00891825" w:rsidRPr="009E66A9" w:rsidRDefault="00891825" w:rsidP="00891825">
            <w:pPr>
              <w:autoSpaceDE w:val="0"/>
              <w:autoSpaceDN w:val="0"/>
              <w:adjustRightInd w:val="0"/>
              <w:spacing w:after="0" w:line="240" w:lineRule="auto"/>
              <w:jc w:val="both"/>
              <w:rPr>
                <w:rFonts w:ascii="Times New Roman" w:hAnsi="Times New Roman" w:cs="Times New Roman"/>
                <w:bCs/>
                <w:sz w:val="23"/>
                <w:szCs w:val="23"/>
              </w:rPr>
            </w:pPr>
            <w:r w:rsidRPr="009E66A9">
              <w:rPr>
                <w:rFonts w:ascii="Times New Roman" w:hAnsi="Times New Roman" w:cs="Times New Roman"/>
                <w:bCs/>
                <w:sz w:val="23"/>
                <w:szCs w:val="23"/>
              </w:rPr>
              <w:t>Индивидуализированный выбор цели терапии по HbAlc.</w:t>
            </w:r>
          </w:p>
          <w:p w14:paraId="3C8311AB" w14:textId="77777777" w:rsidR="00891825" w:rsidRPr="009E66A9" w:rsidRDefault="00891825" w:rsidP="00891825">
            <w:pPr>
              <w:autoSpaceDE w:val="0"/>
              <w:autoSpaceDN w:val="0"/>
              <w:adjustRightInd w:val="0"/>
              <w:spacing w:after="0" w:line="240" w:lineRule="auto"/>
              <w:jc w:val="both"/>
              <w:rPr>
                <w:rFonts w:ascii="Times New Roman" w:hAnsi="Times New Roman" w:cs="Times New Roman"/>
                <w:bCs/>
                <w:sz w:val="23"/>
                <w:szCs w:val="23"/>
              </w:rPr>
            </w:pPr>
            <w:r w:rsidRPr="009E66A9">
              <w:rPr>
                <w:rFonts w:ascii="Times New Roman" w:eastAsiaTheme="minorHAnsi" w:hAnsi="Times New Roman" w:cs="Times New Roman"/>
                <w:bCs/>
                <w:color w:val="000000"/>
                <w:sz w:val="23"/>
                <w:szCs w:val="23"/>
                <w:lang w:eastAsia="en-US"/>
              </w:rPr>
              <w:t>Тактика лечения:</w:t>
            </w:r>
          </w:p>
          <w:p w14:paraId="0B49A7CA" w14:textId="77777777" w:rsidR="00891825" w:rsidRPr="009E66A9" w:rsidRDefault="00891825" w:rsidP="00891825">
            <w:pPr>
              <w:autoSpaceDE w:val="0"/>
              <w:autoSpaceDN w:val="0"/>
              <w:adjustRightInd w:val="0"/>
              <w:spacing w:after="0" w:line="240" w:lineRule="auto"/>
              <w:rPr>
                <w:rFonts w:ascii="Times New Roman" w:eastAsiaTheme="minorHAnsi" w:hAnsi="Times New Roman" w:cs="Times New Roman"/>
                <w:bCs/>
                <w:color w:val="000000"/>
                <w:sz w:val="23"/>
                <w:szCs w:val="23"/>
                <w:lang w:eastAsia="en-US"/>
              </w:rPr>
            </w:pPr>
            <w:r w:rsidRPr="009E66A9">
              <w:rPr>
                <w:rFonts w:ascii="Times New Roman" w:eastAsiaTheme="minorHAnsi" w:hAnsi="Times New Roman" w:cs="Times New Roman"/>
                <w:bCs/>
                <w:color w:val="000000"/>
                <w:sz w:val="23"/>
                <w:szCs w:val="23"/>
                <w:lang w:eastAsia="en-US"/>
              </w:rPr>
              <w:t xml:space="preserve">• Диетотерапия; </w:t>
            </w:r>
          </w:p>
          <w:p w14:paraId="23B69B9E" w14:textId="77777777" w:rsidR="00891825" w:rsidRPr="009E66A9" w:rsidRDefault="00891825" w:rsidP="00891825">
            <w:pPr>
              <w:autoSpaceDE w:val="0"/>
              <w:autoSpaceDN w:val="0"/>
              <w:adjustRightInd w:val="0"/>
              <w:spacing w:after="0" w:line="240" w:lineRule="auto"/>
              <w:rPr>
                <w:rFonts w:ascii="Times New Roman" w:eastAsiaTheme="minorHAnsi" w:hAnsi="Times New Roman" w:cs="Times New Roman"/>
                <w:bCs/>
                <w:color w:val="000000"/>
                <w:sz w:val="23"/>
                <w:szCs w:val="23"/>
                <w:lang w:eastAsia="en-US"/>
              </w:rPr>
            </w:pPr>
            <w:r w:rsidRPr="009E66A9">
              <w:rPr>
                <w:rFonts w:ascii="Times New Roman" w:eastAsiaTheme="minorHAnsi" w:hAnsi="Times New Roman" w:cs="Times New Roman"/>
                <w:bCs/>
                <w:color w:val="000000"/>
                <w:sz w:val="23"/>
                <w:szCs w:val="23"/>
                <w:lang w:eastAsia="en-US"/>
              </w:rPr>
              <w:t xml:space="preserve">• Физическая активность; </w:t>
            </w:r>
          </w:p>
          <w:p w14:paraId="2F7CCED2" w14:textId="77777777" w:rsidR="00891825" w:rsidRPr="009E66A9" w:rsidRDefault="00891825" w:rsidP="00891825">
            <w:pPr>
              <w:autoSpaceDE w:val="0"/>
              <w:autoSpaceDN w:val="0"/>
              <w:adjustRightInd w:val="0"/>
              <w:spacing w:after="0" w:line="240" w:lineRule="auto"/>
              <w:rPr>
                <w:rFonts w:ascii="Times New Roman" w:eastAsiaTheme="minorHAnsi" w:hAnsi="Times New Roman" w:cs="Times New Roman"/>
                <w:bCs/>
                <w:color w:val="000000"/>
                <w:sz w:val="23"/>
                <w:szCs w:val="23"/>
                <w:lang w:eastAsia="en-US"/>
              </w:rPr>
            </w:pPr>
            <w:r w:rsidRPr="009E66A9">
              <w:rPr>
                <w:rFonts w:ascii="Times New Roman" w:eastAsiaTheme="minorHAnsi" w:hAnsi="Times New Roman" w:cs="Times New Roman"/>
                <w:bCs/>
                <w:color w:val="000000"/>
                <w:sz w:val="23"/>
                <w:szCs w:val="23"/>
                <w:lang w:eastAsia="en-US"/>
              </w:rPr>
              <w:t xml:space="preserve">• Обучение и самоконтроль; </w:t>
            </w:r>
          </w:p>
          <w:p w14:paraId="2C4BD898" w14:textId="1FD66E3F" w:rsidR="00891825" w:rsidRPr="009E66A9" w:rsidRDefault="00891825" w:rsidP="00891825">
            <w:pPr>
              <w:autoSpaceDE w:val="0"/>
              <w:autoSpaceDN w:val="0"/>
              <w:adjustRightInd w:val="0"/>
              <w:spacing w:after="0" w:line="240" w:lineRule="auto"/>
              <w:rPr>
                <w:rFonts w:ascii="Times New Roman" w:eastAsiaTheme="minorHAnsi" w:hAnsi="Times New Roman" w:cs="Times New Roman"/>
                <w:bCs/>
                <w:color w:val="000000"/>
                <w:sz w:val="23"/>
                <w:szCs w:val="23"/>
                <w:lang w:eastAsia="en-US"/>
              </w:rPr>
            </w:pPr>
            <w:r w:rsidRPr="009E66A9">
              <w:rPr>
                <w:rFonts w:ascii="Times New Roman" w:eastAsiaTheme="minorHAnsi" w:hAnsi="Times New Roman" w:cs="Times New Roman"/>
                <w:bCs/>
                <w:color w:val="000000"/>
                <w:sz w:val="23"/>
                <w:szCs w:val="23"/>
                <w:lang w:eastAsia="en-US"/>
              </w:rPr>
              <w:t xml:space="preserve">• Сахароснижающие препараты. </w:t>
            </w:r>
          </w:p>
        </w:tc>
        <w:tc>
          <w:tcPr>
            <w:tcW w:w="3224" w:type="dxa"/>
            <w:tcBorders>
              <w:bottom w:val="nil"/>
            </w:tcBorders>
          </w:tcPr>
          <w:p w14:paraId="74C10EB7" w14:textId="2CC39D04" w:rsidR="00891825" w:rsidRPr="009E66A9" w:rsidRDefault="00891825" w:rsidP="00891825">
            <w:pPr>
              <w:autoSpaceDE w:val="0"/>
              <w:autoSpaceDN w:val="0"/>
              <w:adjustRightInd w:val="0"/>
              <w:spacing w:after="0" w:line="240" w:lineRule="auto"/>
              <w:jc w:val="both"/>
              <w:rPr>
                <w:rFonts w:ascii="Times New Roman" w:eastAsiaTheme="minorHAnsi" w:hAnsi="Times New Roman" w:cs="Times New Roman"/>
                <w:bCs/>
                <w:sz w:val="23"/>
                <w:szCs w:val="23"/>
                <w:lang w:eastAsia="en-US"/>
              </w:rPr>
            </w:pPr>
            <w:r w:rsidRPr="009E66A9">
              <w:rPr>
                <w:rFonts w:ascii="Times New Roman" w:eastAsiaTheme="minorHAnsi" w:hAnsi="Times New Roman" w:cs="Times New Roman"/>
                <w:bCs/>
                <w:sz w:val="23"/>
                <w:szCs w:val="23"/>
                <w:lang w:eastAsia="en-US"/>
              </w:rPr>
              <w:t xml:space="preserve">Психосоциальная поддержка, рекомендации по рациональному питанию, контроль репродуктивного потенциала не входит в протокол и не курируется на уровне эндокринолога. Не проводится индивидуальный подбор ФА из-за отсутствия </w:t>
            </w:r>
          </w:p>
        </w:tc>
        <w:tc>
          <w:tcPr>
            <w:tcW w:w="2673" w:type="dxa"/>
            <w:tcBorders>
              <w:bottom w:val="nil"/>
            </w:tcBorders>
          </w:tcPr>
          <w:p w14:paraId="2D5E77F8" w14:textId="0DBF2036" w:rsidR="00891825" w:rsidRPr="009E66A9" w:rsidRDefault="00891825" w:rsidP="00891825">
            <w:pPr>
              <w:autoSpaceDE w:val="0"/>
              <w:autoSpaceDN w:val="0"/>
              <w:adjustRightInd w:val="0"/>
              <w:spacing w:after="0" w:line="240" w:lineRule="auto"/>
              <w:jc w:val="both"/>
              <w:rPr>
                <w:rFonts w:ascii="Times New Roman" w:hAnsi="Times New Roman" w:cs="Times New Roman"/>
                <w:bCs/>
                <w:sz w:val="23"/>
                <w:szCs w:val="23"/>
              </w:rPr>
            </w:pPr>
            <w:r w:rsidRPr="009E66A9">
              <w:rPr>
                <w:rFonts w:ascii="Times New Roman" w:hAnsi="Times New Roman" w:cs="Times New Roman"/>
                <w:bCs/>
                <w:sz w:val="23"/>
                <w:szCs w:val="23"/>
              </w:rPr>
              <w:t>При внесении изменения и дополнения к протоколу, повышения навыков медицинского персонала, можно достичь современного управления на</w:t>
            </w:r>
            <w:r w:rsidR="00561D8E">
              <w:rPr>
                <w:rFonts w:ascii="Times New Roman" w:hAnsi="Times New Roman" w:cs="Times New Roman"/>
                <w:bCs/>
                <w:sz w:val="23"/>
                <w:szCs w:val="23"/>
              </w:rPr>
              <w:t>д</w:t>
            </w:r>
            <w:r w:rsidRPr="009E66A9">
              <w:rPr>
                <w:rFonts w:ascii="Times New Roman" w:hAnsi="Times New Roman" w:cs="Times New Roman"/>
                <w:bCs/>
                <w:sz w:val="23"/>
                <w:szCs w:val="23"/>
              </w:rPr>
              <w:t xml:space="preserve"> СД2т </w:t>
            </w:r>
          </w:p>
        </w:tc>
        <w:tc>
          <w:tcPr>
            <w:tcW w:w="2360" w:type="dxa"/>
            <w:tcBorders>
              <w:bottom w:val="nil"/>
            </w:tcBorders>
          </w:tcPr>
          <w:p w14:paraId="1C2D37BE" w14:textId="5A004CE0" w:rsidR="00891825" w:rsidRPr="009442B4" w:rsidRDefault="00891825" w:rsidP="00EA7EDF">
            <w:pPr>
              <w:autoSpaceDE w:val="0"/>
              <w:autoSpaceDN w:val="0"/>
              <w:adjustRightInd w:val="0"/>
              <w:spacing w:after="0" w:line="240" w:lineRule="auto"/>
              <w:jc w:val="both"/>
              <w:rPr>
                <w:rFonts w:ascii="Times New Roman" w:hAnsi="Times New Roman" w:cs="Times New Roman"/>
                <w:bCs/>
                <w:sz w:val="23"/>
                <w:szCs w:val="23"/>
              </w:rPr>
            </w:pPr>
            <w:r w:rsidRPr="009442B4">
              <w:rPr>
                <w:rFonts w:ascii="Times New Roman" w:hAnsi="Times New Roman" w:cs="Times New Roman"/>
                <w:bCs/>
                <w:sz w:val="23"/>
                <w:szCs w:val="23"/>
              </w:rPr>
              <w:t>Протокол</w:t>
            </w:r>
            <w:r w:rsidR="004200DB" w:rsidRPr="009442B4">
              <w:rPr>
                <w:rFonts w:ascii="Times New Roman" w:hAnsi="Times New Roman" w:cs="Times New Roman"/>
                <w:bCs/>
                <w:sz w:val="23"/>
                <w:szCs w:val="23"/>
              </w:rPr>
              <w:t>ы</w:t>
            </w:r>
            <w:r w:rsidRPr="009442B4">
              <w:rPr>
                <w:rFonts w:ascii="Times New Roman" w:hAnsi="Times New Roman" w:cs="Times New Roman"/>
                <w:bCs/>
                <w:sz w:val="23"/>
                <w:szCs w:val="23"/>
              </w:rPr>
              <w:t xml:space="preserve"> основан</w:t>
            </w:r>
            <w:r w:rsidR="004200DB" w:rsidRPr="009442B4">
              <w:rPr>
                <w:rFonts w:ascii="Times New Roman" w:hAnsi="Times New Roman" w:cs="Times New Roman"/>
                <w:bCs/>
                <w:sz w:val="23"/>
                <w:szCs w:val="23"/>
              </w:rPr>
              <w:t>ы</w:t>
            </w:r>
            <w:r w:rsidRPr="009442B4">
              <w:rPr>
                <w:rFonts w:ascii="Times New Roman" w:hAnsi="Times New Roman" w:cs="Times New Roman"/>
                <w:bCs/>
                <w:sz w:val="23"/>
                <w:szCs w:val="23"/>
              </w:rPr>
              <w:t xml:space="preserve"> на рекомендациях ADA, который обновляется ежегодно. </w:t>
            </w:r>
            <w:r w:rsidR="009442B4" w:rsidRPr="009442B4">
              <w:rPr>
                <w:rFonts w:ascii="Times New Roman" w:hAnsi="Times New Roman" w:cs="Times New Roman"/>
                <w:bCs/>
                <w:sz w:val="23"/>
                <w:szCs w:val="23"/>
              </w:rPr>
              <w:t>Но адаптированы не все новые научно-обоснованные</w:t>
            </w:r>
          </w:p>
        </w:tc>
      </w:tr>
    </w:tbl>
    <w:p w14:paraId="1D8E8242" w14:textId="1D55D67D" w:rsidR="009E66A9" w:rsidRPr="009D5E90" w:rsidRDefault="009E66A9" w:rsidP="009E66A9">
      <w:pPr>
        <w:autoSpaceDE w:val="0"/>
        <w:autoSpaceDN w:val="0"/>
        <w:adjustRightInd w:val="0"/>
        <w:spacing w:after="0" w:line="240" w:lineRule="auto"/>
        <w:ind w:hanging="426"/>
        <w:jc w:val="both"/>
        <w:rPr>
          <w:rFonts w:ascii="Times New Roman" w:hAnsi="Times New Roman" w:cs="Times New Roman"/>
          <w:sz w:val="28"/>
          <w:szCs w:val="28"/>
        </w:rPr>
      </w:pPr>
      <w:r w:rsidRPr="009D5E90">
        <w:rPr>
          <w:rFonts w:ascii="Times New Roman" w:hAnsi="Times New Roman" w:cs="Times New Roman"/>
          <w:sz w:val="28"/>
          <w:szCs w:val="28"/>
        </w:rPr>
        <w:t>Продолжение таблицы 54</w:t>
      </w:r>
    </w:p>
    <w:p w14:paraId="01122AF1" w14:textId="77777777" w:rsidR="009E66A9" w:rsidRPr="009D5E90" w:rsidRDefault="009E66A9" w:rsidP="009E66A9">
      <w:pPr>
        <w:autoSpaceDE w:val="0"/>
        <w:autoSpaceDN w:val="0"/>
        <w:adjustRightInd w:val="0"/>
        <w:spacing w:after="0" w:line="240" w:lineRule="auto"/>
        <w:ind w:hanging="426"/>
        <w:jc w:val="both"/>
        <w:rPr>
          <w:rFonts w:ascii="Times New Roman" w:hAnsi="Times New Roman" w:cs="Times New Roman"/>
        </w:rPr>
      </w:pPr>
    </w:p>
    <w:tbl>
      <w:tblPr>
        <w:tblStyle w:val="a5"/>
        <w:tblW w:w="15027" w:type="dxa"/>
        <w:tblInd w:w="-431" w:type="dxa"/>
        <w:tblLook w:val="04A0" w:firstRow="1" w:lastRow="0" w:firstColumn="1" w:lastColumn="0" w:noHBand="0" w:noVBand="1"/>
      </w:tblPr>
      <w:tblGrid>
        <w:gridCol w:w="457"/>
        <w:gridCol w:w="3159"/>
        <w:gridCol w:w="3154"/>
        <w:gridCol w:w="3224"/>
        <w:gridCol w:w="2673"/>
        <w:gridCol w:w="2360"/>
      </w:tblGrid>
      <w:tr w:rsidR="009E66A9" w:rsidRPr="009D5E90" w14:paraId="4054CFBF" w14:textId="77777777" w:rsidTr="008701B9">
        <w:tc>
          <w:tcPr>
            <w:tcW w:w="457" w:type="dxa"/>
          </w:tcPr>
          <w:p w14:paraId="1F953995" w14:textId="10B2BA17" w:rsidR="009E66A9" w:rsidRPr="009D5E90" w:rsidRDefault="009E66A9" w:rsidP="009E66A9">
            <w:pPr>
              <w:autoSpaceDE w:val="0"/>
              <w:autoSpaceDN w:val="0"/>
              <w:adjustRightInd w:val="0"/>
              <w:spacing w:after="0" w:line="240" w:lineRule="auto"/>
              <w:jc w:val="center"/>
              <w:rPr>
                <w:rFonts w:ascii="Times New Roman" w:hAnsi="Times New Roman" w:cs="Times New Roman"/>
                <w:bCs/>
              </w:rPr>
            </w:pPr>
            <w:r w:rsidRPr="009D5E90">
              <w:rPr>
                <w:rFonts w:ascii="Times New Roman" w:hAnsi="Times New Roman" w:cs="Times New Roman"/>
                <w:bCs/>
              </w:rPr>
              <w:t>1</w:t>
            </w:r>
          </w:p>
        </w:tc>
        <w:tc>
          <w:tcPr>
            <w:tcW w:w="3159" w:type="dxa"/>
          </w:tcPr>
          <w:p w14:paraId="3ACEC79F" w14:textId="3399C6D1" w:rsidR="009E66A9" w:rsidRPr="009D5E90" w:rsidRDefault="009E66A9" w:rsidP="009E66A9">
            <w:pPr>
              <w:autoSpaceDE w:val="0"/>
              <w:autoSpaceDN w:val="0"/>
              <w:adjustRightInd w:val="0"/>
              <w:spacing w:after="0" w:line="240" w:lineRule="auto"/>
              <w:jc w:val="center"/>
              <w:rPr>
                <w:rFonts w:ascii="Times New Roman" w:eastAsiaTheme="minorHAnsi" w:hAnsi="Times New Roman" w:cs="Times New Roman"/>
                <w:bCs/>
                <w:color w:val="000000"/>
                <w:lang w:eastAsia="en-US"/>
              </w:rPr>
            </w:pPr>
            <w:r w:rsidRPr="009D5E90">
              <w:rPr>
                <w:rFonts w:ascii="Times New Roman" w:eastAsiaTheme="minorHAnsi" w:hAnsi="Times New Roman" w:cs="Times New Roman"/>
                <w:bCs/>
                <w:color w:val="000000"/>
                <w:lang w:eastAsia="en-US"/>
              </w:rPr>
              <w:t>2</w:t>
            </w:r>
          </w:p>
        </w:tc>
        <w:tc>
          <w:tcPr>
            <w:tcW w:w="3154" w:type="dxa"/>
          </w:tcPr>
          <w:p w14:paraId="29CCE4F9" w14:textId="2D6D1E30" w:rsidR="009E66A9" w:rsidRPr="009D5E90" w:rsidRDefault="009E66A9" w:rsidP="009E66A9">
            <w:pPr>
              <w:autoSpaceDE w:val="0"/>
              <w:autoSpaceDN w:val="0"/>
              <w:adjustRightInd w:val="0"/>
              <w:spacing w:after="0" w:line="240" w:lineRule="auto"/>
              <w:jc w:val="center"/>
              <w:rPr>
                <w:rFonts w:ascii="Times New Roman" w:hAnsi="Times New Roman" w:cs="Times New Roman"/>
                <w:bCs/>
              </w:rPr>
            </w:pPr>
            <w:r w:rsidRPr="009D5E90">
              <w:rPr>
                <w:rFonts w:ascii="Times New Roman" w:hAnsi="Times New Roman" w:cs="Times New Roman"/>
                <w:bCs/>
              </w:rPr>
              <w:t>3</w:t>
            </w:r>
          </w:p>
        </w:tc>
        <w:tc>
          <w:tcPr>
            <w:tcW w:w="3224" w:type="dxa"/>
          </w:tcPr>
          <w:p w14:paraId="3478DF80" w14:textId="4E2BDE3F" w:rsidR="009E66A9" w:rsidRPr="009D5E90" w:rsidRDefault="009E66A9" w:rsidP="009E66A9">
            <w:pPr>
              <w:autoSpaceDE w:val="0"/>
              <w:autoSpaceDN w:val="0"/>
              <w:adjustRightInd w:val="0"/>
              <w:spacing w:after="0" w:line="240" w:lineRule="auto"/>
              <w:jc w:val="center"/>
              <w:rPr>
                <w:rFonts w:ascii="Times New Roman" w:eastAsiaTheme="minorHAnsi" w:hAnsi="Times New Roman" w:cs="Times New Roman"/>
                <w:bCs/>
                <w:lang w:eastAsia="en-US"/>
              </w:rPr>
            </w:pPr>
            <w:r w:rsidRPr="009D5E90">
              <w:rPr>
                <w:rFonts w:ascii="Times New Roman" w:eastAsiaTheme="minorHAnsi" w:hAnsi="Times New Roman" w:cs="Times New Roman"/>
                <w:bCs/>
                <w:lang w:eastAsia="en-US"/>
              </w:rPr>
              <w:t>4</w:t>
            </w:r>
          </w:p>
        </w:tc>
        <w:tc>
          <w:tcPr>
            <w:tcW w:w="2673" w:type="dxa"/>
          </w:tcPr>
          <w:p w14:paraId="1C231070" w14:textId="03F9E351" w:rsidR="009E66A9" w:rsidRPr="009D5E90" w:rsidRDefault="009E66A9" w:rsidP="009E66A9">
            <w:pPr>
              <w:autoSpaceDE w:val="0"/>
              <w:autoSpaceDN w:val="0"/>
              <w:adjustRightInd w:val="0"/>
              <w:spacing w:after="0" w:line="240" w:lineRule="auto"/>
              <w:jc w:val="center"/>
              <w:rPr>
                <w:rFonts w:ascii="Times New Roman" w:hAnsi="Times New Roman" w:cs="Times New Roman"/>
                <w:bCs/>
              </w:rPr>
            </w:pPr>
            <w:r w:rsidRPr="009D5E90">
              <w:rPr>
                <w:rFonts w:ascii="Times New Roman" w:hAnsi="Times New Roman" w:cs="Times New Roman"/>
                <w:bCs/>
              </w:rPr>
              <w:t>5</w:t>
            </w:r>
          </w:p>
        </w:tc>
        <w:tc>
          <w:tcPr>
            <w:tcW w:w="2360" w:type="dxa"/>
          </w:tcPr>
          <w:p w14:paraId="083A517D" w14:textId="24925865" w:rsidR="009E66A9" w:rsidRPr="009D5E90" w:rsidRDefault="009E66A9" w:rsidP="009E66A9">
            <w:pPr>
              <w:autoSpaceDE w:val="0"/>
              <w:autoSpaceDN w:val="0"/>
              <w:adjustRightInd w:val="0"/>
              <w:spacing w:after="0" w:line="240" w:lineRule="auto"/>
              <w:jc w:val="center"/>
              <w:rPr>
                <w:rFonts w:ascii="Times New Roman" w:hAnsi="Times New Roman" w:cs="Times New Roman"/>
                <w:bCs/>
              </w:rPr>
            </w:pPr>
            <w:r w:rsidRPr="009D5E90">
              <w:rPr>
                <w:rFonts w:ascii="Times New Roman" w:hAnsi="Times New Roman" w:cs="Times New Roman"/>
                <w:bCs/>
              </w:rPr>
              <w:t>6</w:t>
            </w:r>
          </w:p>
        </w:tc>
      </w:tr>
      <w:tr w:rsidR="009E66A9" w:rsidRPr="009D5E90" w14:paraId="6F85B273" w14:textId="77777777" w:rsidTr="008701B9">
        <w:tc>
          <w:tcPr>
            <w:tcW w:w="457" w:type="dxa"/>
          </w:tcPr>
          <w:p w14:paraId="5AB66F34" w14:textId="4BB5193A" w:rsidR="00EA7EDF" w:rsidRDefault="00EA7EDF" w:rsidP="00891825">
            <w:pPr>
              <w:autoSpaceDE w:val="0"/>
              <w:autoSpaceDN w:val="0"/>
              <w:adjustRightInd w:val="0"/>
              <w:spacing w:after="0" w:line="240" w:lineRule="auto"/>
              <w:jc w:val="both"/>
              <w:rPr>
                <w:rFonts w:ascii="Times New Roman" w:hAnsi="Times New Roman" w:cs="Times New Roman"/>
                <w:bCs/>
              </w:rPr>
            </w:pPr>
          </w:p>
          <w:p w14:paraId="7D95993D" w14:textId="63B0AD3D" w:rsidR="009E66A9" w:rsidRPr="00EA7EDF" w:rsidRDefault="009E66A9" w:rsidP="00EA7EDF">
            <w:pPr>
              <w:rPr>
                <w:rFonts w:ascii="Times New Roman" w:hAnsi="Times New Roman" w:cs="Times New Roman"/>
              </w:rPr>
            </w:pPr>
          </w:p>
        </w:tc>
        <w:tc>
          <w:tcPr>
            <w:tcW w:w="3159" w:type="dxa"/>
          </w:tcPr>
          <w:p w14:paraId="23D4FB7A" w14:textId="0D04C26E" w:rsidR="009E66A9" w:rsidRPr="009D5E90" w:rsidRDefault="002C06CA" w:rsidP="00891825">
            <w:pPr>
              <w:autoSpaceDE w:val="0"/>
              <w:autoSpaceDN w:val="0"/>
              <w:adjustRightInd w:val="0"/>
              <w:spacing w:after="0" w:line="240" w:lineRule="auto"/>
              <w:jc w:val="both"/>
              <w:rPr>
                <w:rFonts w:ascii="Times New Roman" w:eastAsiaTheme="minorHAnsi" w:hAnsi="Times New Roman" w:cs="Times New Roman"/>
                <w:bCs/>
                <w:color w:val="000000"/>
                <w:lang w:eastAsia="en-US"/>
              </w:rPr>
            </w:pPr>
            <w:r>
              <w:rPr>
                <w:rFonts w:ascii="Times New Roman" w:eastAsiaTheme="minorHAnsi" w:hAnsi="Times New Roman" w:cs="Times New Roman"/>
                <w:bCs/>
                <w:color w:val="000000"/>
                <w:lang w:eastAsia="en-US"/>
              </w:rPr>
              <w:t>Протокол №158 от «04» марта 2022г. Одобрен Объединенной комиссией по качеству медицинских услуг МЗ РК</w:t>
            </w:r>
          </w:p>
        </w:tc>
        <w:tc>
          <w:tcPr>
            <w:tcW w:w="3154" w:type="dxa"/>
          </w:tcPr>
          <w:p w14:paraId="3CC04C24" w14:textId="236A926D" w:rsidR="009E66A9" w:rsidRPr="009D5E90" w:rsidRDefault="002C06CA" w:rsidP="00891825">
            <w:pPr>
              <w:autoSpaceDE w:val="0"/>
              <w:autoSpaceDN w:val="0"/>
              <w:adjustRightInd w:val="0"/>
              <w:spacing w:after="0" w:line="240" w:lineRule="auto"/>
              <w:jc w:val="both"/>
              <w:rPr>
                <w:rFonts w:ascii="Times New Roman" w:hAnsi="Times New Roman" w:cs="Times New Roman"/>
                <w:bCs/>
              </w:rPr>
            </w:pPr>
            <w:r>
              <w:rPr>
                <w:rFonts w:ascii="Times New Roman" w:hAnsi="Times New Roman" w:cs="Times New Roman"/>
                <w:bCs/>
              </w:rPr>
              <w:t>Тактика лечения протокола № 158 схожи с предыдущим протоколом. Преимущества синергия с ПУЗ</w:t>
            </w:r>
          </w:p>
        </w:tc>
        <w:tc>
          <w:tcPr>
            <w:tcW w:w="3224" w:type="dxa"/>
          </w:tcPr>
          <w:p w14:paraId="3835CC3B" w14:textId="46CFB7E2" w:rsidR="009E66A9" w:rsidRPr="009D5E90" w:rsidRDefault="009E66A9" w:rsidP="00891825">
            <w:pPr>
              <w:autoSpaceDE w:val="0"/>
              <w:autoSpaceDN w:val="0"/>
              <w:adjustRightInd w:val="0"/>
              <w:spacing w:after="0" w:line="240" w:lineRule="auto"/>
              <w:jc w:val="both"/>
              <w:rPr>
                <w:rFonts w:ascii="Times New Roman" w:eastAsiaTheme="minorHAnsi" w:hAnsi="Times New Roman" w:cs="Times New Roman"/>
                <w:bCs/>
                <w:lang w:eastAsia="en-US"/>
              </w:rPr>
            </w:pPr>
            <w:r w:rsidRPr="009D5E90">
              <w:rPr>
                <w:rFonts w:ascii="Times New Roman" w:eastAsiaTheme="minorHAnsi" w:hAnsi="Times New Roman" w:cs="Times New Roman"/>
                <w:bCs/>
                <w:lang w:eastAsia="en-US"/>
              </w:rPr>
              <w:t>надлежащих навыков и нехватки времени консультации врача на 1 пациента. Обучение и самоконтроль зависит от посещаемости ШД и его оснащенности ресурсами и подготовленным инструктором, качества преподнесения обучения, что требует реорганизации.</w:t>
            </w:r>
          </w:p>
        </w:tc>
        <w:tc>
          <w:tcPr>
            <w:tcW w:w="2673" w:type="dxa"/>
          </w:tcPr>
          <w:p w14:paraId="02E8D465" w14:textId="77777777" w:rsidR="009E66A9" w:rsidRPr="009D5E90" w:rsidRDefault="009E66A9" w:rsidP="00891825">
            <w:pPr>
              <w:autoSpaceDE w:val="0"/>
              <w:autoSpaceDN w:val="0"/>
              <w:adjustRightInd w:val="0"/>
              <w:spacing w:after="0" w:line="240" w:lineRule="auto"/>
              <w:jc w:val="both"/>
              <w:rPr>
                <w:rFonts w:ascii="Times New Roman" w:hAnsi="Times New Roman" w:cs="Times New Roman"/>
                <w:bCs/>
              </w:rPr>
            </w:pPr>
          </w:p>
        </w:tc>
        <w:tc>
          <w:tcPr>
            <w:tcW w:w="2360" w:type="dxa"/>
          </w:tcPr>
          <w:p w14:paraId="3928DBD1" w14:textId="12FB70F8" w:rsidR="009E66A9" w:rsidRPr="009D5E90" w:rsidRDefault="009E66A9" w:rsidP="00891825">
            <w:pPr>
              <w:autoSpaceDE w:val="0"/>
              <w:autoSpaceDN w:val="0"/>
              <w:adjustRightInd w:val="0"/>
              <w:spacing w:after="0" w:line="240" w:lineRule="auto"/>
              <w:jc w:val="both"/>
              <w:rPr>
                <w:rFonts w:ascii="Times New Roman" w:hAnsi="Times New Roman" w:cs="Times New Roman"/>
                <w:bCs/>
              </w:rPr>
            </w:pPr>
            <w:r w:rsidRPr="009D5E90">
              <w:rPr>
                <w:rFonts w:ascii="Times New Roman" w:hAnsi="Times New Roman" w:cs="Times New Roman"/>
                <w:bCs/>
              </w:rPr>
              <w:t>современные меры в борьбе и управлении над СД2т и его осложнениями.</w:t>
            </w:r>
            <w:r w:rsidR="009442B4">
              <w:rPr>
                <w:rFonts w:ascii="Times New Roman" w:hAnsi="Times New Roman" w:cs="Times New Roman"/>
                <w:bCs/>
              </w:rPr>
              <w:t xml:space="preserve"> Тем самым теряется часть терапевтической услуги.</w:t>
            </w:r>
          </w:p>
        </w:tc>
      </w:tr>
      <w:tr w:rsidR="00891825" w:rsidRPr="009D5E90" w14:paraId="16A61566" w14:textId="77777777" w:rsidTr="008701B9">
        <w:tc>
          <w:tcPr>
            <w:tcW w:w="457" w:type="dxa"/>
          </w:tcPr>
          <w:p w14:paraId="21BAB406" w14:textId="77777777" w:rsidR="00891825" w:rsidRPr="009D5E90" w:rsidRDefault="00891825" w:rsidP="00891825">
            <w:pPr>
              <w:autoSpaceDE w:val="0"/>
              <w:autoSpaceDN w:val="0"/>
              <w:adjustRightInd w:val="0"/>
              <w:spacing w:after="0" w:line="240" w:lineRule="auto"/>
              <w:jc w:val="both"/>
              <w:rPr>
                <w:rFonts w:ascii="Times New Roman" w:hAnsi="Times New Roman" w:cs="Times New Roman"/>
                <w:bCs/>
              </w:rPr>
            </w:pPr>
          </w:p>
        </w:tc>
        <w:tc>
          <w:tcPr>
            <w:tcW w:w="14570" w:type="dxa"/>
            <w:gridSpan w:val="5"/>
          </w:tcPr>
          <w:p w14:paraId="12991ACE" w14:textId="77777777" w:rsidR="00891825" w:rsidRPr="009D5E90" w:rsidRDefault="00891825" w:rsidP="009E66A9">
            <w:pPr>
              <w:autoSpaceDE w:val="0"/>
              <w:autoSpaceDN w:val="0"/>
              <w:adjustRightInd w:val="0"/>
              <w:spacing w:after="0" w:line="240" w:lineRule="auto"/>
              <w:jc w:val="center"/>
              <w:rPr>
                <w:rFonts w:ascii="Times New Roman" w:hAnsi="Times New Roman" w:cs="Times New Roman"/>
                <w:bCs/>
              </w:rPr>
            </w:pPr>
            <w:r w:rsidRPr="009D5E90">
              <w:rPr>
                <w:rFonts w:ascii="Times New Roman" w:eastAsiaTheme="minorHAnsi" w:hAnsi="Times New Roman" w:cs="Times New Roman"/>
                <w:bCs/>
                <w:lang w:eastAsia="en-US"/>
              </w:rPr>
              <w:t>Анализ клинического протокола диагностики и лечения «Предиабет»</w:t>
            </w:r>
          </w:p>
        </w:tc>
      </w:tr>
      <w:tr w:rsidR="00891825" w:rsidRPr="009D5E90" w14:paraId="497A28CF" w14:textId="77777777" w:rsidTr="008701B9">
        <w:tc>
          <w:tcPr>
            <w:tcW w:w="457" w:type="dxa"/>
          </w:tcPr>
          <w:p w14:paraId="7C8FA53F" w14:textId="3C68477D" w:rsidR="00891825" w:rsidRPr="009D5E90" w:rsidRDefault="00EA7EDF" w:rsidP="00891825">
            <w:pPr>
              <w:autoSpaceDE w:val="0"/>
              <w:autoSpaceDN w:val="0"/>
              <w:adjustRightInd w:val="0"/>
              <w:spacing w:after="0" w:line="240" w:lineRule="auto"/>
              <w:jc w:val="both"/>
              <w:rPr>
                <w:rFonts w:ascii="Times New Roman" w:hAnsi="Times New Roman" w:cs="Times New Roman"/>
                <w:bCs/>
              </w:rPr>
            </w:pPr>
            <w:r>
              <w:rPr>
                <w:rFonts w:ascii="Times New Roman" w:hAnsi="Times New Roman" w:cs="Times New Roman"/>
                <w:bCs/>
              </w:rPr>
              <w:t>15</w:t>
            </w:r>
          </w:p>
        </w:tc>
        <w:tc>
          <w:tcPr>
            <w:tcW w:w="3159" w:type="dxa"/>
          </w:tcPr>
          <w:p w14:paraId="2DC34EC2" w14:textId="77777777" w:rsidR="00891825" w:rsidRPr="009D5E90" w:rsidRDefault="00891825" w:rsidP="00891825">
            <w:pPr>
              <w:autoSpaceDE w:val="0"/>
              <w:autoSpaceDN w:val="0"/>
              <w:adjustRightInd w:val="0"/>
              <w:spacing w:after="0" w:line="240" w:lineRule="auto"/>
              <w:jc w:val="both"/>
              <w:rPr>
                <w:rFonts w:ascii="Times New Roman" w:eastAsiaTheme="minorHAnsi" w:hAnsi="Times New Roman" w:cs="Times New Roman"/>
                <w:bCs/>
                <w:color w:val="000000"/>
                <w:lang w:eastAsia="en-US"/>
              </w:rPr>
            </w:pPr>
            <w:r w:rsidRPr="009D5E90">
              <w:rPr>
                <w:rFonts w:ascii="Times New Roman" w:eastAsia="Times New Roman" w:hAnsi="Times New Roman" w:cs="Times New Roman"/>
                <w:bCs/>
              </w:rPr>
              <w:t>Протокол №139, одобрен</w:t>
            </w:r>
            <w:r w:rsidRPr="009D5E90">
              <w:rPr>
                <w:rFonts w:ascii="Times New Roman" w:eastAsia="Times New Roman" w:hAnsi="Times New Roman" w:cs="Times New Roman"/>
                <w:bCs/>
              </w:rPr>
              <w:br/>
              <w:t>объединенной комиссией по качеству медицинских услуг</w:t>
            </w:r>
            <w:r w:rsidRPr="009D5E90">
              <w:rPr>
                <w:rFonts w:ascii="Times New Roman" w:eastAsia="Times New Roman" w:hAnsi="Times New Roman" w:cs="Times New Roman"/>
                <w:bCs/>
              </w:rPr>
              <w:br/>
              <w:t>МЗ РК от «03» июня 2021г</w:t>
            </w:r>
            <w:r w:rsidRPr="009D5E90">
              <w:rPr>
                <w:rFonts w:ascii="Times New Roman" w:eastAsia="Times New Roman" w:hAnsi="Times New Roman" w:cs="Times New Roman"/>
                <w:bCs/>
              </w:rPr>
              <w:br/>
            </w:r>
          </w:p>
        </w:tc>
        <w:tc>
          <w:tcPr>
            <w:tcW w:w="3154" w:type="dxa"/>
          </w:tcPr>
          <w:p w14:paraId="38B13F78" w14:textId="77777777" w:rsidR="00891825" w:rsidRPr="009D5E90" w:rsidRDefault="00891825" w:rsidP="00891825">
            <w:pPr>
              <w:autoSpaceDE w:val="0"/>
              <w:autoSpaceDN w:val="0"/>
              <w:adjustRightInd w:val="0"/>
              <w:spacing w:after="0" w:line="240" w:lineRule="auto"/>
              <w:jc w:val="both"/>
              <w:rPr>
                <w:rFonts w:ascii="Times New Roman" w:hAnsi="Times New Roman" w:cs="Times New Roman"/>
                <w:bCs/>
              </w:rPr>
            </w:pPr>
            <w:r w:rsidRPr="009D5E90">
              <w:rPr>
                <w:rFonts w:ascii="Times New Roman" w:eastAsia="Times New Roman" w:hAnsi="Times New Roman" w:cs="Times New Roman"/>
                <w:bCs/>
              </w:rPr>
              <w:t>Раннее выявление и контроль состояния высокого риска развития СД2т, которой всегда предшествует СД2т.</w:t>
            </w:r>
          </w:p>
        </w:tc>
        <w:tc>
          <w:tcPr>
            <w:tcW w:w="3224" w:type="dxa"/>
          </w:tcPr>
          <w:p w14:paraId="02DCB404" w14:textId="77777777" w:rsidR="00891825" w:rsidRPr="009D5E90" w:rsidRDefault="00891825" w:rsidP="00891825">
            <w:pPr>
              <w:autoSpaceDE w:val="0"/>
              <w:autoSpaceDN w:val="0"/>
              <w:adjustRightInd w:val="0"/>
              <w:spacing w:after="0" w:line="240" w:lineRule="auto"/>
              <w:jc w:val="both"/>
              <w:rPr>
                <w:rFonts w:ascii="Times New Roman" w:eastAsiaTheme="minorHAnsi" w:hAnsi="Times New Roman" w:cs="Times New Roman"/>
                <w:bCs/>
                <w:lang w:eastAsia="en-US"/>
              </w:rPr>
            </w:pPr>
            <w:r w:rsidRPr="009D5E90">
              <w:rPr>
                <w:rFonts w:ascii="Times New Roman" w:eastAsiaTheme="minorHAnsi" w:hAnsi="Times New Roman" w:cs="Times New Roman"/>
                <w:bCs/>
                <w:lang w:eastAsia="en-US"/>
              </w:rPr>
              <w:t>Пациент не предъявляет жалоб, следовательно мед персонал может пропустить своевременное выявление предиабета</w:t>
            </w:r>
          </w:p>
        </w:tc>
        <w:tc>
          <w:tcPr>
            <w:tcW w:w="2673" w:type="dxa"/>
          </w:tcPr>
          <w:p w14:paraId="67F2B3A0" w14:textId="77777777" w:rsidR="00891825" w:rsidRPr="009D5E90" w:rsidRDefault="00891825" w:rsidP="00891825">
            <w:pPr>
              <w:autoSpaceDE w:val="0"/>
              <w:autoSpaceDN w:val="0"/>
              <w:adjustRightInd w:val="0"/>
              <w:spacing w:after="0" w:line="240" w:lineRule="auto"/>
              <w:jc w:val="both"/>
              <w:rPr>
                <w:rFonts w:ascii="Times New Roman" w:hAnsi="Times New Roman" w:cs="Times New Roman"/>
                <w:bCs/>
              </w:rPr>
            </w:pPr>
            <w:r w:rsidRPr="009D5E90">
              <w:rPr>
                <w:rFonts w:ascii="Times New Roman" w:hAnsi="Times New Roman" w:cs="Times New Roman"/>
                <w:bCs/>
              </w:rPr>
              <w:t>Соблюдение протокола диагностики и лечения предабета дает возможность уменьшить осложнении от гликемии выше нормы, увеличить время расстояния от предиабета до наступления СД2т</w:t>
            </w:r>
          </w:p>
        </w:tc>
        <w:tc>
          <w:tcPr>
            <w:tcW w:w="2360" w:type="dxa"/>
          </w:tcPr>
          <w:p w14:paraId="64E1E77A" w14:textId="77777777" w:rsidR="00891825" w:rsidRPr="009D5E90" w:rsidRDefault="00891825" w:rsidP="00891825">
            <w:pPr>
              <w:autoSpaceDE w:val="0"/>
              <w:autoSpaceDN w:val="0"/>
              <w:adjustRightInd w:val="0"/>
              <w:spacing w:after="0" w:line="240" w:lineRule="auto"/>
              <w:jc w:val="both"/>
              <w:rPr>
                <w:rFonts w:ascii="Times New Roman" w:hAnsi="Times New Roman" w:cs="Times New Roman"/>
                <w:bCs/>
              </w:rPr>
            </w:pPr>
            <w:r w:rsidRPr="009D5E90">
              <w:rPr>
                <w:rFonts w:ascii="Times New Roman" w:hAnsi="Times New Roman" w:cs="Times New Roman"/>
                <w:bCs/>
              </w:rPr>
              <w:t>При установлении предиабета, недопонимание со стороны населения и сопротивление восприятия, психосоциальная дезадаптация, которые приведут к низкой приверженности назначениям и стрессу. Для решения которого требуется время и межсекторальное сотрудничество, с усилением пропаганды и коммуникации среди населения с целью профилактики СД2т</w:t>
            </w:r>
          </w:p>
        </w:tc>
      </w:tr>
    </w:tbl>
    <w:p w14:paraId="777FBBA2" w14:textId="77777777" w:rsidR="00030846" w:rsidRPr="009D5E90" w:rsidRDefault="00030846" w:rsidP="004135FE">
      <w:pPr>
        <w:spacing w:after="0" w:line="240" w:lineRule="auto"/>
        <w:ind w:firstLine="567"/>
        <w:jc w:val="both"/>
        <w:rPr>
          <w:rFonts w:ascii="Times New Roman" w:hAnsi="Times New Roman" w:cs="Times New Roman"/>
          <w:b/>
        </w:rPr>
      </w:pPr>
    </w:p>
    <w:p w14:paraId="7A4E1EE6" w14:textId="77777777" w:rsidR="00030846" w:rsidRPr="004135FE" w:rsidRDefault="00030846" w:rsidP="004135FE">
      <w:pPr>
        <w:autoSpaceDE w:val="0"/>
        <w:autoSpaceDN w:val="0"/>
        <w:adjustRightInd w:val="0"/>
        <w:spacing w:after="0" w:line="240" w:lineRule="auto"/>
        <w:jc w:val="both"/>
        <w:rPr>
          <w:rFonts w:ascii="Times New Roman" w:hAnsi="Times New Roman" w:cs="Times New Roman"/>
          <w:b/>
          <w:sz w:val="28"/>
          <w:szCs w:val="28"/>
        </w:rPr>
        <w:sectPr w:rsidR="00030846" w:rsidRPr="004135FE" w:rsidSect="00EC71C2">
          <w:type w:val="nextColumn"/>
          <w:pgSz w:w="16838" w:h="11906" w:orient="landscape"/>
          <w:pgMar w:top="1134" w:right="851" w:bottom="1134" w:left="1701" w:header="708" w:footer="708" w:gutter="0"/>
          <w:cols w:space="708"/>
          <w:docGrid w:linePitch="360"/>
        </w:sectPr>
      </w:pPr>
    </w:p>
    <w:p w14:paraId="220450DF" w14:textId="7A0C6231" w:rsidR="00030846" w:rsidRPr="004135FE" w:rsidRDefault="00030846" w:rsidP="009D5E90">
      <w:pPr>
        <w:pStyle w:val="a3"/>
        <w:spacing w:after="0" w:line="240" w:lineRule="auto"/>
        <w:ind w:left="0" w:firstLine="709"/>
        <w:jc w:val="both"/>
        <w:rPr>
          <w:rFonts w:ascii="Times New Roman" w:eastAsia="Times New Roman" w:hAnsi="Times New Roman" w:cs="Times New Roman"/>
          <w:b/>
          <w:sz w:val="28"/>
          <w:szCs w:val="28"/>
        </w:rPr>
      </w:pPr>
      <w:r w:rsidRPr="004135FE">
        <w:rPr>
          <w:rFonts w:ascii="Times New Roman" w:hAnsi="Times New Roman" w:cs="Times New Roman"/>
          <w:b/>
          <w:sz w:val="28"/>
          <w:szCs w:val="28"/>
        </w:rPr>
        <w:t xml:space="preserve">5.2 Предложения к </w:t>
      </w:r>
      <w:r w:rsidRPr="004135FE">
        <w:rPr>
          <w:rFonts w:ascii="Times New Roman" w:eastAsia="Times New Roman" w:hAnsi="Times New Roman" w:cs="Times New Roman"/>
          <w:b/>
          <w:sz w:val="28"/>
          <w:szCs w:val="28"/>
        </w:rPr>
        <w:t xml:space="preserve">совершенствованию оказания медицинской помощи и межсекторального сотрудничества при СД2т </w:t>
      </w:r>
    </w:p>
    <w:p w14:paraId="6AEC1EDE" w14:textId="7009762B" w:rsidR="00030846" w:rsidRPr="004135FE" w:rsidRDefault="00030846" w:rsidP="009D5E90">
      <w:pPr>
        <w:spacing w:after="0" w:line="240" w:lineRule="auto"/>
        <w:ind w:firstLine="709"/>
        <w:jc w:val="both"/>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Модель «С</w:t>
      </w:r>
      <w:r w:rsidRPr="004135FE">
        <w:rPr>
          <w:rFonts w:ascii="Times New Roman" w:eastAsia="Times New Roman" w:hAnsi="Times New Roman" w:cs="Times New Roman"/>
          <w:sz w:val="28"/>
          <w:szCs w:val="28"/>
        </w:rPr>
        <w:t>овершенствования оказания медицинской помощи и межсекторального сотрудничества при СД2т»</w:t>
      </w:r>
      <w:r w:rsidRPr="004135FE">
        <w:rPr>
          <w:rFonts w:ascii="Times New Roman" w:eastAsiaTheme="minorHAnsi" w:hAnsi="Times New Roman" w:cs="Times New Roman"/>
          <w:sz w:val="28"/>
          <w:szCs w:val="28"/>
          <w:lang w:eastAsia="en-US"/>
        </w:rPr>
        <w:t xml:space="preserve"> </w:t>
      </w:r>
      <w:r w:rsidRPr="004135FE">
        <w:rPr>
          <w:rFonts w:ascii="Times New Roman" w:eastAsia="Times New Roman" w:hAnsi="Times New Roman" w:cs="Times New Roman"/>
          <w:sz w:val="28"/>
          <w:szCs w:val="28"/>
        </w:rPr>
        <w:t xml:space="preserve">- это концепция объединяющая сотрудничество, направленное на профилактические меры на уровне государственных и частных секторов, МЗ РК, </w:t>
      </w:r>
      <w:r w:rsidRPr="004135FE">
        <w:rPr>
          <w:rFonts w:ascii="Times New Roman" w:hAnsi="Times New Roman" w:cs="Times New Roman"/>
          <w:sz w:val="28"/>
          <w:szCs w:val="28"/>
        </w:rPr>
        <w:t>на уровне местных административных органов, общественных организации, на уровне ПМСП и на уровне населения. Так же модель охватывает удовлетворенность качеством оказываемой медицинской помощи и активное участие за сохранение, укрепление здоровья каждого человек.</w:t>
      </w:r>
    </w:p>
    <w:p w14:paraId="7F692767" w14:textId="791DF434" w:rsidR="00030846" w:rsidRPr="004135FE" w:rsidRDefault="00030846" w:rsidP="009D5E90">
      <w:pPr>
        <w:spacing w:after="0" w:line="240" w:lineRule="auto"/>
        <w:ind w:firstLine="709"/>
        <w:jc w:val="both"/>
        <w:rPr>
          <w:rFonts w:ascii="Times New Roman" w:hAnsi="Times New Roman" w:cs="Times New Roman"/>
          <w:sz w:val="28"/>
          <w:szCs w:val="28"/>
        </w:rPr>
      </w:pPr>
      <w:r w:rsidRPr="004135FE">
        <w:rPr>
          <w:rFonts w:ascii="Times New Roman" w:eastAsiaTheme="minorHAnsi" w:hAnsi="Times New Roman" w:cs="Times New Roman"/>
          <w:sz w:val="28"/>
          <w:szCs w:val="28"/>
          <w:lang w:eastAsia="en-US"/>
        </w:rPr>
        <w:t xml:space="preserve">Предлагаемая нами модель </w:t>
      </w:r>
      <w:r w:rsidRPr="004135FE">
        <w:rPr>
          <w:rFonts w:ascii="Times New Roman" w:hAnsi="Times New Roman" w:cs="Times New Roman"/>
          <w:sz w:val="28"/>
          <w:szCs w:val="28"/>
        </w:rPr>
        <w:t xml:space="preserve">основан на результатах литературного анализа зарубежного опыта, официальных статистических данных о высокой заболеваемости и постоянного его роста, социологического исследования для выявления потребностей пациентов и медицинского персонала, существующих «пробелов» в функционирующих приказах и моделях, подходах. Далее, чтобы определить круг актуальных вопросов, мы провели </w:t>
      </w:r>
      <w:r w:rsidRPr="004135FE">
        <w:rPr>
          <w:rFonts w:ascii="Times New Roman" w:hAnsi="Times New Roman" w:cs="Times New Roman"/>
          <w:sz w:val="28"/>
          <w:szCs w:val="28"/>
          <w:lang w:val="en-US"/>
        </w:rPr>
        <w:t>SWOT</w:t>
      </w:r>
      <w:r w:rsidRPr="004135FE">
        <w:rPr>
          <w:rFonts w:ascii="Times New Roman" w:hAnsi="Times New Roman" w:cs="Times New Roman"/>
          <w:sz w:val="28"/>
          <w:szCs w:val="28"/>
        </w:rPr>
        <w:t xml:space="preserve"> анализ НПА, программ, модел</w:t>
      </w:r>
      <w:r w:rsidR="00745A8D" w:rsidRPr="004135FE">
        <w:rPr>
          <w:rFonts w:ascii="Times New Roman" w:hAnsi="Times New Roman" w:cs="Times New Roman"/>
          <w:sz w:val="28"/>
          <w:szCs w:val="28"/>
        </w:rPr>
        <w:t>и</w:t>
      </w:r>
      <w:r w:rsidRPr="004135FE">
        <w:rPr>
          <w:rFonts w:ascii="Times New Roman" w:hAnsi="Times New Roman" w:cs="Times New Roman"/>
          <w:sz w:val="28"/>
          <w:szCs w:val="28"/>
        </w:rPr>
        <w:t xml:space="preserve"> оказания помощи при СД2т. Было определено, что необходимо с</w:t>
      </w:r>
      <w:r w:rsidRPr="004135FE">
        <w:rPr>
          <w:rFonts w:ascii="Times New Roman" w:eastAsia="Times New Roman" w:hAnsi="Times New Roman" w:cs="Times New Roman"/>
          <w:sz w:val="28"/>
          <w:szCs w:val="28"/>
        </w:rPr>
        <w:t xml:space="preserve">овершенствовать Национальную программу Диабет, для усиления </w:t>
      </w:r>
      <w:r w:rsidRPr="004135FE">
        <w:rPr>
          <w:rFonts w:ascii="Times New Roman" w:hAnsi="Times New Roman" w:cs="Times New Roman"/>
          <w:sz w:val="28"/>
          <w:szCs w:val="28"/>
        </w:rPr>
        <w:t xml:space="preserve">профилактики факторов риска развития, ранней диагностики СД2 и его осложнении, эффективного мониторирования лечения и контроля качества оказания услуг, ЛС и изделия медицинского назначения, ресурсы труда, подготовленность персоналов, информационные и коммуникационные системы, своевременное обновление и повсеместное выполнение протоколов, рекомендации и приказов МЗ РК, обеспечение кадрового ресурса и его компетенция, защита интересов персонала и пациентов, </w:t>
      </w:r>
      <w:r w:rsidRPr="004135FE">
        <w:rPr>
          <w:rFonts w:ascii="Times New Roman" w:hAnsi="Times New Roman" w:cs="Times New Roman"/>
          <w:sz w:val="28"/>
          <w:szCs w:val="28"/>
          <w:shd w:val="clear" w:color="auto" w:fill="FFFFFF"/>
        </w:rPr>
        <w:t>обеспечение населения ЗОЖ и медицинской грамотностью</w:t>
      </w:r>
      <w:r w:rsidRPr="004135FE">
        <w:rPr>
          <w:rFonts w:ascii="Times New Roman" w:hAnsi="Times New Roman" w:cs="Times New Roman"/>
          <w:sz w:val="28"/>
          <w:szCs w:val="28"/>
        </w:rPr>
        <w:t xml:space="preserve">. </w:t>
      </w:r>
    </w:p>
    <w:p w14:paraId="001984E5" w14:textId="77777777" w:rsidR="00030846" w:rsidRPr="009D5E90" w:rsidRDefault="00030846" w:rsidP="009D5E90">
      <w:pPr>
        <w:autoSpaceDE w:val="0"/>
        <w:autoSpaceDN w:val="0"/>
        <w:adjustRightInd w:val="0"/>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На основании результатов исследования предыдущих разделов, собрана исчерпывающая информация для формирования данной модели. Разработанная модель, требуют реализации под контролем Национального координатора (состав установлен Пример-министром), Регионального координатора (главный внештатный эндокринолог, Руководитель или представитель УОЗ), Субкоординатора (Зам по клинической работе, Врачи эксперты ПМСП, эндокринолог, Зав отделением ВОП, социального работника)</w:t>
      </w:r>
    </w:p>
    <w:p w14:paraId="6E0BFD03" w14:textId="1EDDF739" w:rsidR="00030846" w:rsidRPr="009D5E90" w:rsidRDefault="00030846" w:rsidP="009D5E90">
      <w:pPr>
        <w:autoSpaceDE w:val="0"/>
        <w:autoSpaceDN w:val="0"/>
        <w:adjustRightInd w:val="0"/>
        <w:spacing w:after="0" w:line="240" w:lineRule="auto"/>
        <w:ind w:firstLine="709"/>
        <w:jc w:val="both"/>
        <w:rPr>
          <w:rFonts w:ascii="Times New Roman" w:hAnsi="Times New Roman" w:cs="Times New Roman"/>
          <w:sz w:val="28"/>
          <w:szCs w:val="28"/>
        </w:rPr>
      </w:pPr>
      <w:r w:rsidRPr="009D5E90">
        <w:rPr>
          <w:rFonts w:ascii="Times New Roman" w:hAnsi="Times New Roman" w:cs="Times New Roman"/>
          <w:sz w:val="28"/>
          <w:szCs w:val="28"/>
        </w:rPr>
        <w:t>Итак, нами были проанализированы имеющиеся нормативные документы, программы, клинические протоколы и модели</w:t>
      </w:r>
      <w:r w:rsidR="00561D8E">
        <w:rPr>
          <w:rFonts w:ascii="Times New Roman" w:hAnsi="Times New Roman" w:cs="Times New Roman"/>
          <w:sz w:val="28"/>
          <w:szCs w:val="28"/>
        </w:rPr>
        <w:t xml:space="preserve"> за 10 лет, в том числе утратившие силу</w:t>
      </w:r>
      <w:r w:rsidRPr="009D5E90">
        <w:rPr>
          <w:rFonts w:ascii="Times New Roman" w:hAnsi="Times New Roman" w:cs="Times New Roman"/>
          <w:sz w:val="28"/>
          <w:szCs w:val="28"/>
        </w:rPr>
        <w:t xml:space="preserve">, на основании этого и с учетом проведенного исследования мы разработали собственную модель применительно конкретно к СД2т. </w:t>
      </w:r>
    </w:p>
    <w:p w14:paraId="5CF6424B" w14:textId="77777777" w:rsidR="00030846" w:rsidRPr="009D5E90" w:rsidRDefault="00030846" w:rsidP="009D5E90">
      <w:pPr>
        <w:spacing w:after="0" w:line="240" w:lineRule="auto"/>
        <w:ind w:firstLine="709"/>
        <w:jc w:val="both"/>
        <w:rPr>
          <w:rFonts w:ascii="Times New Roman" w:eastAsiaTheme="minorHAnsi" w:hAnsi="Times New Roman" w:cs="Times New Roman"/>
          <w:sz w:val="28"/>
          <w:szCs w:val="28"/>
          <w:lang w:eastAsia="en-US"/>
        </w:rPr>
      </w:pPr>
      <w:r w:rsidRPr="009D5E90">
        <w:rPr>
          <w:rFonts w:ascii="Times New Roman" w:eastAsiaTheme="minorHAnsi" w:hAnsi="Times New Roman" w:cs="Times New Roman"/>
          <w:sz w:val="28"/>
          <w:szCs w:val="28"/>
          <w:lang w:eastAsia="en-US"/>
        </w:rPr>
        <w:t>Модель «С</w:t>
      </w:r>
      <w:r w:rsidRPr="009D5E90">
        <w:rPr>
          <w:rFonts w:ascii="Times New Roman" w:eastAsia="Times New Roman" w:hAnsi="Times New Roman" w:cs="Times New Roman"/>
          <w:sz w:val="28"/>
          <w:szCs w:val="28"/>
        </w:rPr>
        <w:t>овершенствования оказания медицинской помощи и межсекторального сотрудничества при СД2т»</w:t>
      </w:r>
      <w:r w:rsidRPr="009D5E90">
        <w:rPr>
          <w:rFonts w:ascii="Times New Roman" w:eastAsiaTheme="minorHAnsi" w:hAnsi="Times New Roman" w:cs="Times New Roman"/>
          <w:sz w:val="28"/>
          <w:szCs w:val="28"/>
          <w:lang w:eastAsia="en-US"/>
        </w:rPr>
        <w:t xml:space="preserve"> состоит из двух составляющих:</w:t>
      </w:r>
    </w:p>
    <w:p w14:paraId="6E5A1594" w14:textId="45803A8E" w:rsidR="00030846" w:rsidRPr="009D5E90" w:rsidRDefault="009D5E90" w:rsidP="009D5E9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030846" w:rsidRPr="009D5E90">
        <w:rPr>
          <w:rFonts w:ascii="Times New Roman" w:eastAsia="Times New Roman" w:hAnsi="Times New Roman" w:cs="Times New Roman"/>
          <w:sz w:val="28"/>
          <w:szCs w:val="28"/>
        </w:rPr>
        <w:t xml:space="preserve"> «Совершенствование оказания медицинской помощи </w:t>
      </w:r>
      <w:r w:rsidR="00030846" w:rsidRPr="009D5E90">
        <w:rPr>
          <w:rFonts w:ascii="Times New Roman" w:hAnsi="Times New Roman" w:cs="Times New Roman"/>
          <w:sz w:val="28"/>
          <w:szCs w:val="28"/>
        </w:rPr>
        <w:t>для осуществления потребности пациентов с СД2т и медицинского персонала» и предложения для его реализации:</w:t>
      </w:r>
    </w:p>
    <w:p w14:paraId="10FAC2E8" w14:textId="77777777" w:rsidR="00030846" w:rsidRPr="004135FE" w:rsidRDefault="00030846" w:rsidP="009D5E90">
      <w:pPr>
        <w:spacing w:after="0" w:line="240" w:lineRule="auto"/>
        <w:ind w:firstLine="709"/>
        <w:jc w:val="both"/>
        <w:rPr>
          <w:rFonts w:ascii="Times New Roman" w:hAnsi="Times New Roman" w:cs="Times New Roman"/>
          <w:sz w:val="28"/>
          <w:szCs w:val="28"/>
        </w:rPr>
      </w:pPr>
      <w:r w:rsidRPr="009D5E90">
        <w:rPr>
          <w:rFonts w:ascii="Times New Roman" w:hAnsi="Times New Roman" w:cs="Times New Roman"/>
          <w:sz w:val="28"/>
          <w:szCs w:val="28"/>
        </w:rPr>
        <w:t xml:space="preserve">- </w:t>
      </w:r>
      <w:r w:rsidRPr="009D5E90">
        <w:rPr>
          <w:rFonts w:ascii="Times New Roman" w:eastAsia="Times New Roman" w:hAnsi="Times New Roman" w:cs="Times New Roman"/>
          <w:sz w:val="28"/>
          <w:szCs w:val="28"/>
        </w:rPr>
        <w:t>Реорганизация Школы</w:t>
      </w:r>
      <w:r w:rsidRPr="004135FE">
        <w:rPr>
          <w:rFonts w:ascii="Times New Roman" w:eastAsia="Times New Roman" w:hAnsi="Times New Roman" w:cs="Times New Roman"/>
          <w:sz w:val="28"/>
          <w:szCs w:val="28"/>
        </w:rPr>
        <w:t xml:space="preserve"> Диабета</w:t>
      </w:r>
      <w:r w:rsidRPr="004135FE">
        <w:rPr>
          <w:rFonts w:ascii="Times New Roman" w:hAnsi="Times New Roman" w:cs="Times New Roman"/>
          <w:sz w:val="28"/>
          <w:szCs w:val="28"/>
        </w:rPr>
        <w:t xml:space="preserve"> на уровне ПМСП</w:t>
      </w:r>
    </w:p>
    <w:p w14:paraId="7F1406BC" w14:textId="77777777" w:rsidR="00030846" w:rsidRPr="009D5E90" w:rsidRDefault="00030846" w:rsidP="009D5E90">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 </w:t>
      </w:r>
      <w:r w:rsidRPr="009D5E90">
        <w:rPr>
          <w:rFonts w:ascii="Times New Roman" w:hAnsi="Times New Roman" w:cs="Times New Roman"/>
          <w:sz w:val="28"/>
          <w:szCs w:val="28"/>
        </w:rPr>
        <w:t>Эффективное введение и привлечение в школу диабета пациентов с СД2т на уровне ПМСП</w:t>
      </w:r>
    </w:p>
    <w:p w14:paraId="3E534CF0" w14:textId="77777777" w:rsidR="00030846" w:rsidRPr="009D5E90" w:rsidRDefault="00030846" w:rsidP="009D5E90">
      <w:pPr>
        <w:spacing w:after="0" w:line="240" w:lineRule="auto"/>
        <w:ind w:firstLine="709"/>
        <w:jc w:val="both"/>
        <w:rPr>
          <w:rFonts w:ascii="Times New Roman" w:hAnsi="Times New Roman" w:cs="Times New Roman"/>
          <w:spacing w:val="2"/>
          <w:sz w:val="28"/>
          <w:szCs w:val="28"/>
        </w:rPr>
      </w:pPr>
      <w:r w:rsidRPr="009D5E90">
        <w:rPr>
          <w:rFonts w:ascii="Times New Roman" w:hAnsi="Times New Roman" w:cs="Times New Roman"/>
          <w:sz w:val="28"/>
          <w:szCs w:val="28"/>
        </w:rPr>
        <w:t xml:space="preserve">- </w:t>
      </w:r>
      <w:r w:rsidRPr="009D5E90">
        <w:rPr>
          <w:rFonts w:ascii="Times New Roman" w:hAnsi="Times New Roman" w:cs="Times New Roman"/>
          <w:spacing w:val="2"/>
          <w:sz w:val="28"/>
          <w:szCs w:val="28"/>
        </w:rPr>
        <w:t>Маршрут по психосоциальной поддержке пациентов с СД2т на уровне ПМСП</w:t>
      </w:r>
    </w:p>
    <w:p w14:paraId="1CBB69BB" w14:textId="3C04EC0F" w:rsidR="00030846" w:rsidRPr="009D5E90" w:rsidRDefault="009D5E90" w:rsidP="009D5E90">
      <w:pPr>
        <w:spacing w:after="0" w:line="240" w:lineRule="auto"/>
        <w:ind w:firstLine="709"/>
        <w:jc w:val="both"/>
        <w:rPr>
          <w:rFonts w:ascii="Times New Roman" w:hAnsi="Times New Roman" w:cs="Times New Roman"/>
          <w:sz w:val="28"/>
          <w:szCs w:val="28"/>
        </w:rPr>
      </w:pPr>
      <w:r w:rsidRPr="009D5E90">
        <w:rPr>
          <w:rFonts w:ascii="Times New Roman" w:hAnsi="Times New Roman" w:cs="Times New Roman"/>
          <w:sz w:val="28"/>
          <w:szCs w:val="28"/>
        </w:rPr>
        <w:t>2)</w:t>
      </w:r>
      <w:r w:rsidR="00030846" w:rsidRPr="009D5E90">
        <w:rPr>
          <w:rFonts w:ascii="Times New Roman" w:hAnsi="Times New Roman" w:cs="Times New Roman"/>
          <w:sz w:val="28"/>
          <w:szCs w:val="28"/>
        </w:rPr>
        <w:t xml:space="preserve"> «</w:t>
      </w:r>
      <w:r w:rsidR="00030846" w:rsidRPr="009D5E90">
        <w:rPr>
          <w:rFonts w:ascii="Times New Roman" w:hAnsi="Times New Roman" w:cs="Times New Roman"/>
          <w:noProof/>
          <w:sz w:val="28"/>
          <w:szCs w:val="28"/>
        </w:rPr>
        <w:t>Совершенствование межсекторального сотрудничества при организации помощи пациентам с СД2т</w:t>
      </w:r>
      <w:r w:rsidR="00030846" w:rsidRPr="009D5E90">
        <w:rPr>
          <w:rFonts w:ascii="Times New Roman" w:hAnsi="Times New Roman" w:cs="Times New Roman"/>
          <w:sz w:val="28"/>
          <w:szCs w:val="28"/>
        </w:rPr>
        <w:t>»</w:t>
      </w:r>
      <w:r>
        <w:rPr>
          <w:rFonts w:ascii="Times New Roman" w:hAnsi="Times New Roman" w:cs="Times New Roman"/>
          <w:sz w:val="28"/>
          <w:szCs w:val="28"/>
        </w:rPr>
        <w:t>.</w:t>
      </w:r>
    </w:p>
    <w:p w14:paraId="4B9A1F2E" w14:textId="77777777" w:rsidR="00030846" w:rsidRPr="009D5E90" w:rsidRDefault="00030846" w:rsidP="009D5E90">
      <w:pPr>
        <w:spacing w:after="0" w:line="240" w:lineRule="auto"/>
        <w:ind w:firstLine="709"/>
        <w:jc w:val="both"/>
        <w:rPr>
          <w:rFonts w:ascii="Times New Roman" w:eastAsia="Times New Roman" w:hAnsi="Times New Roman" w:cs="Times New Roman"/>
          <w:sz w:val="28"/>
          <w:szCs w:val="28"/>
        </w:rPr>
      </w:pPr>
      <w:r w:rsidRPr="009D5E90">
        <w:rPr>
          <w:rFonts w:ascii="Times New Roman" w:hAnsi="Times New Roman" w:cs="Times New Roman"/>
          <w:sz w:val="28"/>
          <w:szCs w:val="28"/>
        </w:rPr>
        <w:t>Ⅰ. С</w:t>
      </w:r>
      <w:r w:rsidRPr="009D5E90">
        <w:rPr>
          <w:rFonts w:ascii="Times New Roman" w:eastAsia="Times New Roman" w:hAnsi="Times New Roman" w:cs="Times New Roman"/>
          <w:sz w:val="28"/>
          <w:szCs w:val="28"/>
        </w:rPr>
        <w:t xml:space="preserve">овершенствование оказания медицинской помощи </w:t>
      </w:r>
      <w:r w:rsidRPr="009D5E90">
        <w:rPr>
          <w:rFonts w:ascii="Times New Roman" w:hAnsi="Times New Roman" w:cs="Times New Roman"/>
          <w:sz w:val="28"/>
          <w:szCs w:val="28"/>
        </w:rPr>
        <w:t>для осуществления потребности пациентов с СД2т и медицинского персонала</w:t>
      </w:r>
      <w:r w:rsidRPr="009D5E90">
        <w:rPr>
          <w:rFonts w:ascii="Times New Roman" w:eastAsia="Times New Roman" w:hAnsi="Times New Roman" w:cs="Times New Roman"/>
          <w:sz w:val="28"/>
          <w:szCs w:val="28"/>
        </w:rPr>
        <w:t xml:space="preserve"> </w:t>
      </w:r>
    </w:p>
    <w:p w14:paraId="72AB0BD0" w14:textId="77777777" w:rsidR="00030846" w:rsidRPr="009D5E90" w:rsidRDefault="00030846" w:rsidP="009D5E90">
      <w:pPr>
        <w:spacing w:after="0" w:line="240" w:lineRule="auto"/>
        <w:ind w:firstLine="709"/>
        <w:jc w:val="both"/>
        <w:rPr>
          <w:rFonts w:ascii="Times New Roman" w:hAnsi="Times New Roman" w:cs="Times New Roman"/>
          <w:sz w:val="28"/>
          <w:szCs w:val="28"/>
        </w:rPr>
      </w:pPr>
      <w:r w:rsidRPr="009D5E90">
        <w:rPr>
          <w:rFonts w:ascii="Times New Roman" w:hAnsi="Times New Roman" w:cs="Times New Roman"/>
          <w:sz w:val="28"/>
          <w:szCs w:val="28"/>
        </w:rPr>
        <w:t xml:space="preserve"> Целью является «Улучшение управления течением и исходом при СД2т». </w:t>
      </w:r>
      <w:r w:rsidRPr="009D5E90">
        <w:rPr>
          <w:rFonts w:ascii="Times New Roman" w:eastAsiaTheme="minorHAnsi" w:hAnsi="Times New Roman" w:cs="Times New Roman"/>
          <w:sz w:val="28"/>
          <w:szCs w:val="28"/>
          <w:lang w:eastAsia="en-US"/>
        </w:rPr>
        <w:t xml:space="preserve">Данную составляющую модели можно использовать в дополнение к функции Диабетологической службы и ПУЗ, которая </w:t>
      </w:r>
      <w:r w:rsidRPr="009D5E90">
        <w:rPr>
          <w:rFonts w:ascii="Times New Roman" w:hAnsi="Times New Roman" w:cs="Times New Roman"/>
          <w:sz w:val="28"/>
          <w:szCs w:val="28"/>
        </w:rPr>
        <w:t xml:space="preserve">включает в себя необходимость совершенствования и внесения некоторых функции в сфере здравоохранения, для эффективного введения и контроля над СД2т. </w:t>
      </w:r>
    </w:p>
    <w:p w14:paraId="26F11E2E" w14:textId="77777777" w:rsidR="00030846" w:rsidRPr="004135FE" w:rsidRDefault="00030846" w:rsidP="009D5E90">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9D5E90">
        <w:rPr>
          <w:rFonts w:ascii="Times New Roman" w:hAnsi="Times New Roman" w:cs="Times New Roman"/>
          <w:sz w:val="28"/>
          <w:szCs w:val="28"/>
        </w:rPr>
        <w:t xml:space="preserve">Во время анализа НПА выявлено, что по Приказу МЗ РК от 7 апреля 2010г №238, об утверждении типовых штатов и штатных нормативов организаций здравоохранения, 1ставка врача эндокринолога предусматривает обслуживание 15 000 человек, обеспечен 1 СМР на 1 врача. Выявлено, что у НПА заменяющий приказ №238 есть недочеты. В приказе </w:t>
      </w:r>
      <w:r w:rsidRPr="009D5E90">
        <w:rPr>
          <w:rFonts w:ascii="Times New Roman" w:eastAsiaTheme="minorHAnsi" w:hAnsi="Times New Roman" w:cs="Times New Roman"/>
          <w:sz w:val="28"/>
          <w:szCs w:val="28"/>
          <w:lang w:eastAsia="en-US"/>
        </w:rPr>
        <w:t>об утверждении минимальных нормативов обеспеченности регионов медицинскими работниками</w:t>
      </w:r>
      <w:r w:rsidRPr="009D5E90">
        <w:rPr>
          <w:rFonts w:ascii="Times New Roman" w:hAnsi="Times New Roman" w:cs="Times New Roman"/>
          <w:sz w:val="28"/>
          <w:szCs w:val="28"/>
        </w:rPr>
        <w:t xml:space="preserve">, </w:t>
      </w:r>
      <w:r w:rsidRPr="009D5E90">
        <w:rPr>
          <w:rFonts w:ascii="Times New Roman" w:eastAsiaTheme="minorHAnsi" w:hAnsi="Times New Roman" w:cs="Times New Roman"/>
          <w:sz w:val="28"/>
          <w:szCs w:val="28"/>
          <w:lang w:eastAsia="en-US"/>
        </w:rPr>
        <w:t xml:space="preserve">№ ҚР ДСМ-205/2020 </w:t>
      </w:r>
      <w:r w:rsidRPr="009D5E90">
        <w:rPr>
          <w:rFonts w:ascii="Times New Roman" w:hAnsi="Times New Roman" w:cs="Times New Roman"/>
          <w:sz w:val="28"/>
          <w:szCs w:val="28"/>
        </w:rPr>
        <w:t>н</w:t>
      </w:r>
      <w:r w:rsidRPr="009D5E90">
        <w:rPr>
          <w:rFonts w:ascii="Times New Roman" w:eastAsiaTheme="minorHAnsi" w:hAnsi="Times New Roman" w:cs="Times New Roman"/>
          <w:sz w:val="28"/>
          <w:szCs w:val="28"/>
          <w:lang w:eastAsia="en-US"/>
        </w:rPr>
        <w:t>е рассмотрены продолжительность приема 1 пациента у врача эндокринолога, сколько СМР выделен на 1 узкого специалиста, объем обслуживаемого населения в день и часовая нагрузка на 1ставку.</w:t>
      </w:r>
      <w:r w:rsidRPr="009D5E90">
        <w:rPr>
          <w:rFonts w:ascii="Times New Roman" w:hAnsi="Times New Roman" w:cs="Times New Roman"/>
          <w:sz w:val="28"/>
          <w:szCs w:val="28"/>
        </w:rPr>
        <w:t xml:space="preserve"> Согласно</w:t>
      </w:r>
      <w:r w:rsidRPr="004135FE">
        <w:rPr>
          <w:rFonts w:ascii="Times New Roman" w:hAnsi="Times New Roman" w:cs="Times New Roman"/>
          <w:sz w:val="28"/>
          <w:szCs w:val="28"/>
        </w:rPr>
        <w:t xml:space="preserve"> социологическому опросу, </w:t>
      </w:r>
      <w:r w:rsidRPr="004135FE">
        <w:rPr>
          <w:rFonts w:ascii="Times New Roman" w:hAnsi="Times New Roman" w:cs="Times New Roman"/>
          <w:sz w:val="28"/>
          <w:szCs w:val="28"/>
          <w:shd w:val="clear" w:color="auto" w:fill="FFFFFF"/>
        </w:rPr>
        <w:t xml:space="preserve">на прием 1пациента 15 мин не достаточен. Не успевают дать индивидуальные назначения по питанию, ФА, репродуктивному потенциалу и психосоциальной помощи. </w:t>
      </w:r>
      <w:r w:rsidRPr="004135FE">
        <w:rPr>
          <w:rFonts w:ascii="Times New Roman" w:hAnsi="Times New Roman" w:cs="Times New Roman"/>
          <w:sz w:val="28"/>
          <w:szCs w:val="28"/>
        </w:rPr>
        <w:t xml:space="preserve">Это подтверждается тем, что во время исследования потребностей медицинского персонала было выявлено: на оформление документации в программе КМИС наибольшая часть врачей эндокринологов в 25,7% ДИ </w:t>
      </w:r>
      <w:r w:rsidRPr="004135FE">
        <w:rPr>
          <w:rFonts w:ascii="Times New Roman" w:eastAsia="Times New Roman" w:hAnsi="Times New Roman" w:cs="Times New Roman"/>
          <w:sz w:val="28"/>
          <w:szCs w:val="28"/>
        </w:rPr>
        <w:t>(20,07; 31,54) случаях</w:t>
      </w:r>
      <w:r w:rsidRPr="004135FE">
        <w:rPr>
          <w:rFonts w:ascii="Times New Roman" w:hAnsi="Times New Roman" w:cs="Times New Roman"/>
          <w:sz w:val="28"/>
          <w:szCs w:val="28"/>
        </w:rPr>
        <w:t xml:space="preserve"> тратят по 5 и по 10 мин. В 22,9% ДИ </w:t>
      </w:r>
      <w:r w:rsidRPr="004135FE">
        <w:rPr>
          <w:rFonts w:ascii="Times New Roman" w:eastAsia="Times New Roman" w:hAnsi="Times New Roman" w:cs="Times New Roman"/>
          <w:sz w:val="28"/>
          <w:szCs w:val="28"/>
        </w:rPr>
        <w:t>(16,82; 29,22) случаях</w:t>
      </w:r>
      <w:r w:rsidRPr="004135FE">
        <w:rPr>
          <w:rFonts w:ascii="Times New Roman" w:hAnsi="Times New Roman" w:cs="Times New Roman"/>
          <w:sz w:val="28"/>
          <w:szCs w:val="28"/>
        </w:rPr>
        <w:t xml:space="preserve"> - по 7 мин и по 13 минут. После завершения консультации у 100,0% врачей эндокринологов «иногда» возникает чувство, что не смогли оказать помощь в полной мере по причине неконтролируемых осложнении при СД2т на амбулаторном уровне, отсутствия приверженности пациента к рекомендациям. 81,8% - эндокринологов считают, что иногда оформление документации отвлекает от главного, а часто отметили - 18,2%(χ2=86,314a, df=8, p=0,0001). Статистический значимо, что врачи иногда думают о смене специальности на другую по причине, что большая часть времени уходит на оформление документации-100%. Оценка психосоциального статуса должен проводится на уровне врача эндокринолога, со слов эндокринологов в 20% ДИ </w:t>
      </w:r>
      <w:r w:rsidRPr="004135FE">
        <w:rPr>
          <w:rFonts w:ascii="Times New Roman" w:eastAsia="Times New Roman" w:hAnsi="Times New Roman" w:cs="Times New Roman"/>
          <w:sz w:val="28"/>
          <w:szCs w:val="28"/>
        </w:rPr>
        <w:t>(13,37; 26,89) случаях никто</w:t>
      </w:r>
      <w:r w:rsidRPr="004135FE">
        <w:rPr>
          <w:rFonts w:ascii="Times New Roman" w:hAnsi="Times New Roman" w:cs="Times New Roman"/>
          <w:sz w:val="28"/>
          <w:szCs w:val="28"/>
        </w:rPr>
        <w:t xml:space="preserve"> не определяет из-за нехватки времени. 57,1% врачей эндокринологов проводят обследование на наличие гипогонадизма и 48,6% обследование репродуктивного потенциала женщин только при предъявлении характерных жалоб пациентов с СД2т. </w:t>
      </w:r>
      <w:r w:rsidRPr="004135FE">
        <w:rPr>
          <w:rFonts w:ascii="Times New Roman" w:eastAsia="Times New Roman" w:hAnsi="Times New Roman" w:cs="Times New Roman"/>
          <w:sz w:val="28"/>
          <w:szCs w:val="28"/>
        </w:rPr>
        <w:t>Так же, н</w:t>
      </w:r>
      <w:r w:rsidRPr="004135FE">
        <w:rPr>
          <w:rFonts w:ascii="Times New Roman" w:hAnsi="Times New Roman" w:cs="Times New Roman"/>
          <w:sz w:val="28"/>
          <w:szCs w:val="28"/>
        </w:rPr>
        <w:t xml:space="preserve">и один врач эндокринолог не проводит </w:t>
      </w:r>
      <w:r w:rsidRPr="004135FE">
        <w:rPr>
          <w:rFonts w:ascii="Times New Roman" w:eastAsia="Times New Roman" w:hAnsi="Times New Roman" w:cs="Times New Roman"/>
          <w:sz w:val="28"/>
          <w:szCs w:val="28"/>
        </w:rPr>
        <w:t xml:space="preserve">индивидуальный подбор ФА с учетом противопоказании и мер предосторожностей для пациентов с СД2т. </w:t>
      </w:r>
      <w:r w:rsidRPr="004135FE">
        <w:rPr>
          <w:rFonts w:ascii="Times New Roman" w:hAnsi="Times New Roman" w:cs="Times New Roman"/>
          <w:sz w:val="28"/>
          <w:szCs w:val="28"/>
        </w:rPr>
        <w:t xml:space="preserve">Оформление заявки необходимых ЛС для пациентов с СД2т, у врачей эндокринологов требует неоплачиваемого дополнительного кропотливого труда и времени после работы, затрудняющие политикой ценообразования и качества препарата с коррекцией бухгалтерии. </w:t>
      </w:r>
      <w:r w:rsidRPr="004135FE">
        <w:rPr>
          <w:rFonts w:ascii="Times New Roman" w:eastAsia="Times New Roman" w:hAnsi="Times New Roman" w:cs="Times New Roman"/>
          <w:sz w:val="28"/>
          <w:szCs w:val="28"/>
        </w:rPr>
        <w:t>Выяснились факты, подтверждающие о несостоятельности Школы Диабета в плане этого вопроса и не полноценной консультации врачей эндокринологов.</w:t>
      </w:r>
    </w:p>
    <w:p w14:paraId="0B1F88AE" w14:textId="77777777" w:rsidR="00030846" w:rsidRPr="004135FE" w:rsidRDefault="00030846" w:rsidP="009D5E90">
      <w:pPr>
        <w:spacing w:after="0" w:line="240" w:lineRule="auto"/>
        <w:ind w:firstLine="709"/>
        <w:jc w:val="both"/>
        <w:rPr>
          <w:rFonts w:ascii="Times New Roman" w:eastAsia="Times New Roman" w:hAnsi="Times New Roman" w:cs="Times New Roman"/>
          <w:sz w:val="28"/>
          <w:szCs w:val="28"/>
        </w:rPr>
      </w:pPr>
      <w:r w:rsidRPr="004135FE">
        <w:rPr>
          <w:rFonts w:ascii="Times New Roman" w:eastAsiaTheme="minorHAnsi" w:hAnsi="Times New Roman" w:cs="Times New Roman"/>
          <w:sz w:val="28"/>
          <w:szCs w:val="28"/>
          <w:lang w:eastAsia="en-US"/>
        </w:rPr>
        <w:t xml:space="preserve">Согласно приказу МЗ РК от 25 ноября 2020 года № ҚР ДСМ-205/2020 «Об утверждении минимальных нормативов обеспеченности регионов медицинскими работниками», </w:t>
      </w:r>
      <w:r w:rsidRPr="004135FE">
        <w:rPr>
          <w:rFonts w:ascii="Times New Roman" w:hAnsi="Times New Roman" w:cs="Times New Roman"/>
          <w:sz w:val="28"/>
          <w:szCs w:val="28"/>
        </w:rPr>
        <w:t xml:space="preserve">коэффициент укомплектованности и норматив минимальной </w:t>
      </w:r>
      <w:r w:rsidRPr="004135FE">
        <w:rPr>
          <w:rFonts w:ascii="Times New Roman" w:hAnsi="Times New Roman" w:cs="Times New Roman"/>
          <w:sz w:val="28"/>
          <w:szCs w:val="28"/>
          <w:shd w:val="clear" w:color="auto" w:fill="FFFFFF"/>
        </w:rPr>
        <w:t>обеспеченности медицинскими работниками</w:t>
      </w:r>
      <w:r w:rsidRPr="004135FE">
        <w:rPr>
          <w:rFonts w:ascii="Times New Roman" w:hAnsi="Times New Roman" w:cs="Times New Roman"/>
          <w:bCs/>
          <w:sz w:val="28"/>
          <w:szCs w:val="28"/>
        </w:rPr>
        <w:t xml:space="preserve"> </w:t>
      </w:r>
      <w:r w:rsidRPr="004135FE">
        <w:rPr>
          <w:rFonts w:ascii="Times New Roman" w:hAnsi="Times New Roman" w:cs="Times New Roman"/>
          <w:sz w:val="28"/>
          <w:szCs w:val="28"/>
        </w:rPr>
        <w:t xml:space="preserve">ПМСП г.Алматы для оказания медицинской помощи при СД2т выше, чем по РК. Однако, </w:t>
      </w:r>
      <w:r w:rsidRPr="004135FE">
        <w:rPr>
          <w:rFonts w:ascii="Times New Roman" w:eastAsiaTheme="minorHAnsi" w:hAnsi="Times New Roman" w:cs="Times New Roman"/>
          <w:sz w:val="28"/>
          <w:szCs w:val="28"/>
          <w:lang w:eastAsia="en-US"/>
        </w:rPr>
        <w:t xml:space="preserve">согласно социальному опросу не установлен приоритет на </w:t>
      </w:r>
      <w:r w:rsidRPr="004135FE">
        <w:rPr>
          <w:rFonts w:ascii="Times New Roman" w:hAnsi="Times New Roman" w:cs="Times New Roman"/>
          <w:sz w:val="28"/>
          <w:szCs w:val="28"/>
        </w:rPr>
        <w:t>функцию</w:t>
      </w:r>
      <w:r w:rsidRPr="004135FE">
        <w:rPr>
          <w:rFonts w:ascii="Times New Roman" w:eastAsiaTheme="minorHAnsi" w:hAnsi="Times New Roman" w:cs="Times New Roman"/>
          <w:sz w:val="28"/>
          <w:szCs w:val="28"/>
          <w:lang w:eastAsia="en-US"/>
        </w:rPr>
        <w:t xml:space="preserve"> и оснащенность Школы Диабета. Согласно по нормативу приказа № ҚР ДСМ-205/2020 нет инструкторов Школы Диабета, врача подолога, соответственно нет оплачиваемой штатной единицы. Вместо квалифицированных инструкторов ШД находится на руках СМР, не владеющей компетенции надлежащего уровня. Соответственно по статистическим данным нет снижения заболеваемости СД2т.</w:t>
      </w:r>
    </w:p>
    <w:p w14:paraId="3609F941" w14:textId="77777777" w:rsidR="00030846" w:rsidRPr="009D5E90" w:rsidRDefault="00030846" w:rsidP="009D5E90">
      <w:pPr>
        <w:spacing w:after="0" w:line="240" w:lineRule="auto"/>
        <w:ind w:firstLine="709"/>
        <w:jc w:val="both"/>
        <w:rPr>
          <w:rFonts w:ascii="Times New Roman" w:hAnsi="Times New Roman" w:cs="Times New Roman"/>
          <w:sz w:val="28"/>
          <w:szCs w:val="28"/>
        </w:rPr>
      </w:pPr>
      <w:r w:rsidRPr="009D5E90">
        <w:rPr>
          <w:rFonts w:ascii="Times New Roman" w:hAnsi="Times New Roman" w:cs="Times New Roman"/>
          <w:sz w:val="28"/>
          <w:szCs w:val="28"/>
        </w:rPr>
        <w:t>Для этого необходимо, на уровне:</w:t>
      </w:r>
    </w:p>
    <w:p w14:paraId="37AC0EED" w14:textId="77777777" w:rsidR="00030846" w:rsidRPr="009D5E90" w:rsidRDefault="00030846" w:rsidP="009D5E90">
      <w:pPr>
        <w:autoSpaceDE w:val="0"/>
        <w:autoSpaceDN w:val="0"/>
        <w:adjustRightInd w:val="0"/>
        <w:spacing w:after="0" w:line="240" w:lineRule="auto"/>
        <w:ind w:firstLine="709"/>
        <w:jc w:val="both"/>
        <w:rPr>
          <w:rFonts w:ascii="Times New Roman" w:hAnsi="Times New Roman" w:cs="Times New Roman"/>
          <w:sz w:val="28"/>
          <w:szCs w:val="28"/>
        </w:rPr>
      </w:pPr>
      <w:r w:rsidRPr="009D5E90">
        <w:rPr>
          <w:rFonts w:ascii="Times New Roman" w:eastAsiaTheme="minorHAnsi" w:hAnsi="Times New Roman" w:cs="Times New Roman"/>
          <w:sz w:val="28"/>
          <w:szCs w:val="28"/>
          <w:lang w:val="kk-KZ" w:eastAsia="en-US"/>
        </w:rPr>
        <w:t xml:space="preserve">- </w:t>
      </w:r>
      <w:r w:rsidRPr="009D5E90">
        <w:rPr>
          <w:rFonts w:ascii="Times New Roman" w:eastAsiaTheme="minorHAnsi" w:hAnsi="Times New Roman" w:cs="Times New Roman"/>
          <w:sz w:val="28"/>
          <w:szCs w:val="28"/>
          <w:lang w:eastAsia="en-US"/>
        </w:rPr>
        <w:t xml:space="preserve">МЗ РК: </w:t>
      </w:r>
      <w:r w:rsidRPr="009D5E90">
        <w:rPr>
          <w:rFonts w:ascii="Times New Roman" w:hAnsi="Times New Roman" w:cs="Times New Roman"/>
          <w:sz w:val="28"/>
          <w:szCs w:val="28"/>
        </w:rPr>
        <w:t xml:space="preserve">Совершенствовать Национальную программу Диабет. Совершенствование работ по организации региональных диабетологических информационно-аналитических центров </w:t>
      </w:r>
      <w:r w:rsidRPr="009D5E90">
        <w:rPr>
          <w:rFonts w:ascii="Times New Roman" w:hAnsi="Times New Roman" w:cs="Times New Roman"/>
          <w:sz w:val="28"/>
          <w:szCs w:val="28"/>
          <w:lang w:val="en-US"/>
        </w:rPr>
        <w:t>c</w:t>
      </w:r>
      <w:r w:rsidRPr="009D5E90">
        <w:rPr>
          <w:rFonts w:ascii="Times New Roman" w:hAnsi="Times New Roman" w:cs="Times New Roman"/>
          <w:sz w:val="28"/>
          <w:szCs w:val="28"/>
        </w:rPr>
        <w:t xml:space="preserve"> персонализированным подходом к пациентам (с элементами ранней профилактики и реабилитации). </w:t>
      </w:r>
    </w:p>
    <w:p w14:paraId="5EC56B8B" w14:textId="5237BD67" w:rsidR="00030846" w:rsidRPr="009D5E90" w:rsidRDefault="00030846" w:rsidP="009D5E90">
      <w:pPr>
        <w:spacing w:after="0" w:line="240" w:lineRule="auto"/>
        <w:ind w:firstLine="709"/>
        <w:jc w:val="both"/>
        <w:rPr>
          <w:rFonts w:ascii="Times New Roman" w:hAnsi="Times New Roman" w:cs="Times New Roman"/>
          <w:sz w:val="28"/>
          <w:szCs w:val="28"/>
        </w:rPr>
      </w:pPr>
      <w:r w:rsidRPr="009D5E90">
        <w:rPr>
          <w:rFonts w:ascii="Times New Roman" w:hAnsi="Times New Roman" w:cs="Times New Roman"/>
          <w:sz w:val="28"/>
          <w:szCs w:val="28"/>
        </w:rPr>
        <w:t xml:space="preserve">- Пересмотреть нагрузку на врача эндокринолога, увеличить длительность приема до 20мин и делегировать функ. обязанности на СМР. Обеспечить 1 врача 2 СМР. Количество обслуживаемого населения уменьшить с 15000 до 10000. </w:t>
      </w:r>
      <w:r w:rsidRPr="009D5E90">
        <w:rPr>
          <w:rFonts w:ascii="Times New Roman" w:eastAsiaTheme="minorHAnsi" w:hAnsi="Times New Roman" w:cs="Times New Roman"/>
          <w:sz w:val="28"/>
          <w:szCs w:val="28"/>
          <w:lang w:eastAsia="en-US"/>
        </w:rPr>
        <w:t xml:space="preserve">Инструктор ШД, врач подолог </w:t>
      </w:r>
      <w:r w:rsidR="00543F98" w:rsidRPr="009D5E90">
        <w:rPr>
          <w:rFonts w:ascii="Times New Roman" w:eastAsiaTheme="minorHAnsi" w:hAnsi="Times New Roman" w:cs="Times New Roman"/>
          <w:sz w:val="28"/>
          <w:szCs w:val="28"/>
          <w:lang w:eastAsia="en-US"/>
        </w:rPr>
        <w:t>должны быть отдельными</w:t>
      </w:r>
      <w:r w:rsidRPr="009D5E90">
        <w:rPr>
          <w:rFonts w:ascii="Times New Roman" w:eastAsiaTheme="minorHAnsi" w:hAnsi="Times New Roman" w:cs="Times New Roman"/>
          <w:sz w:val="28"/>
          <w:szCs w:val="28"/>
          <w:lang w:eastAsia="en-US"/>
        </w:rPr>
        <w:t xml:space="preserve"> штатн</w:t>
      </w:r>
      <w:r w:rsidR="00543F98" w:rsidRPr="009D5E90">
        <w:rPr>
          <w:rFonts w:ascii="Times New Roman" w:eastAsiaTheme="minorHAnsi" w:hAnsi="Times New Roman" w:cs="Times New Roman"/>
          <w:sz w:val="28"/>
          <w:szCs w:val="28"/>
          <w:lang w:eastAsia="en-US"/>
        </w:rPr>
        <w:t>ыми</w:t>
      </w:r>
      <w:r w:rsidRPr="009D5E90">
        <w:rPr>
          <w:rFonts w:ascii="Times New Roman" w:eastAsiaTheme="minorHAnsi" w:hAnsi="Times New Roman" w:cs="Times New Roman"/>
          <w:sz w:val="28"/>
          <w:szCs w:val="28"/>
          <w:lang w:eastAsia="en-US"/>
        </w:rPr>
        <w:t xml:space="preserve"> единица</w:t>
      </w:r>
      <w:r w:rsidR="00543F98" w:rsidRPr="009D5E90">
        <w:rPr>
          <w:rFonts w:ascii="Times New Roman" w:eastAsiaTheme="minorHAnsi" w:hAnsi="Times New Roman" w:cs="Times New Roman"/>
          <w:sz w:val="28"/>
          <w:szCs w:val="28"/>
          <w:lang w:eastAsia="en-US"/>
        </w:rPr>
        <w:t>ми</w:t>
      </w:r>
      <w:r w:rsidRPr="009D5E90">
        <w:rPr>
          <w:rFonts w:ascii="Times New Roman" w:eastAsiaTheme="minorHAnsi" w:hAnsi="Times New Roman" w:cs="Times New Roman"/>
          <w:sz w:val="28"/>
          <w:szCs w:val="28"/>
          <w:lang w:eastAsia="en-US"/>
        </w:rPr>
        <w:t xml:space="preserve">. </w:t>
      </w:r>
      <w:r w:rsidRPr="009D5E90">
        <w:rPr>
          <w:rFonts w:ascii="Times New Roman" w:hAnsi="Times New Roman" w:cs="Times New Roman"/>
          <w:sz w:val="28"/>
          <w:szCs w:val="28"/>
        </w:rPr>
        <w:t xml:space="preserve">Подготовка специальных инструкторов среди врачей для Школы Диабета способствует уменьшению заболеваемости и осложнении при СД2т. Оплачиваемый труд ШД, а </w:t>
      </w:r>
      <w:r w:rsidR="00A052CA" w:rsidRPr="009D5E90">
        <w:rPr>
          <w:rFonts w:ascii="Times New Roman" w:hAnsi="Times New Roman" w:cs="Times New Roman"/>
          <w:sz w:val="28"/>
          <w:szCs w:val="28"/>
        </w:rPr>
        <w:t>также</w:t>
      </w:r>
      <w:r w:rsidRPr="009D5E90">
        <w:rPr>
          <w:rFonts w:ascii="Times New Roman" w:hAnsi="Times New Roman" w:cs="Times New Roman"/>
          <w:sz w:val="28"/>
          <w:szCs w:val="28"/>
        </w:rPr>
        <w:t xml:space="preserve"> дополнительные ресурсы труда</w:t>
      </w:r>
      <w:r w:rsidR="00830A51" w:rsidRPr="009D5E90">
        <w:rPr>
          <w:rFonts w:ascii="Times New Roman" w:hAnsi="Times New Roman" w:cs="Times New Roman"/>
          <w:sz w:val="28"/>
          <w:szCs w:val="28"/>
        </w:rPr>
        <w:t xml:space="preserve"> персонала</w:t>
      </w:r>
      <w:r w:rsidRPr="009D5E90">
        <w:rPr>
          <w:rFonts w:ascii="Times New Roman" w:hAnsi="Times New Roman" w:cs="Times New Roman"/>
          <w:sz w:val="28"/>
          <w:szCs w:val="28"/>
        </w:rPr>
        <w:t xml:space="preserve"> </w:t>
      </w:r>
      <w:r w:rsidR="00A052CA" w:rsidRPr="009D5E90">
        <w:rPr>
          <w:rFonts w:ascii="Times New Roman" w:hAnsi="Times New Roman" w:cs="Times New Roman"/>
          <w:sz w:val="28"/>
          <w:szCs w:val="28"/>
        </w:rPr>
        <w:t>вне рабочего времени</w:t>
      </w:r>
      <w:r w:rsidRPr="009D5E90">
        <w:rPr>
          <w:rFonts w:ascii="Times New Roman" w:hAnsi="Times New Roman" w:cs="Times New Roman"/>
          <w:sz w:val="28"/>
          <w:szCs w:val="28"/>
        </w:rPr>
        <w:t xml:space="preserve"> мотивирует оказание качественной услуги пациентам.  </w:t>
      </w:r>
    </w:p>
    <w:p w14:paraId="56BB9E58" w14:textId="28F699EA" w:rsidR="00030846" w:rsidRPr="009D5E90" w:rsidRDefault="00030846" w:rsidP="009D5E90">
      <w:pPr>
        <w:spacing w:after="0" w:line="240" w:lineRule="auto"/>
        <w:ind w:firstLine="709"/>
        <w:jc w:val="both"/>
        <w:rPr>
          <w:rFonts w:ascii="Times New Roman" w:hAnsi="Times New Roman" w:cs="Times New Roman"/>
          <w:sz w:val="28"/>
          <w:szCs w:val="28"/>
        </w:rPr>
      </w:pPr>
      <w:r w:rsidRPr="009D5E90">
        <w:rPr>
          <w:rFonts w:ascii="Times New Roman" w:hAnsi="Times New Roman" w:cs="Times New Roman"/>
          <w:sz w:val="28"/>
          <w:szCs w:val="28"/>
        </w:rPr>
        <w:t>- Совершенствовать навыки мед</w:t>
      </w:r>
      <w:r w:rsidR="00A052CA" w:rsidRPr="009D5E90">
        <w:rPr>
          <w:rFonts w:ascii="Times New Roman" w:hAnsi="Times New Roman" w:cs="Times New Roman"/>
          <w:sz w:val="28"/>
          <w:szCs w:val="28"/>
        </w:rPr>
        <w:t xml:space="preserve">ицинского </w:t>
      </w:r>
      <w:r w:rsidRPr="009D5E90">
        <w:rPr>
          <w:rFonts w:ascii="Times New Roman" w:hAnsi="Times New Roman" w:cs="Times New Roman"/>
          <w:sz w:val="28"/>
          <w:szCs w:val="28"/>
        </w:rPr>
        <w:t>персонала по современным технологиям диагностики и лечения СД2т и его осложнении</w:t>
      </w:r>
    </w:p>
    <w:p w14:paraId="5008E894" w14:textId="77777777" w:rsidR="00030846" w:rsidRPr="009D5E90" w:rsidRDefault="00030846" w:rsidP="009D5E90">
      <w:pPr>
        <w:spacing w:after="0" w:line="240" w:lineRule="auto"/>
        <w:ind w:firstLine="709"/>
        <w:jc w:val="both"/>
        <w:rPr>
          <w:rFonts w:ascii="Times New Roman" w:hAnsi="Times New Roman" w:cs="Times New Roman"/>
          <w:sz w:val="28"/>
          <w:szCs w:val="28"/>
        </w:rPr>
      </w:pPr>
      <w:r w:rsidRPr="009D5E90">
        <w:rPr>
          <w:rFonts w:ascii="Times New Roman" w:hAnsi="Times New Roman" w:cs="Times New Roman"/>
          <w:sz w:val="28"/>
          <w:szCs w:val="28"/>
        </w:rPr>
        <w:t xml:space="preserve">- </w:t>
      </w:r>
      <w:r w:rsidRPr="009D5E90">
        <w:rPr>
          <w:rFonts w:ascii="Times New Roman" w:eastAsiaTheme="minorHAnsi" w:hAnsi="Times New Roman" w:cs="Times New Roman"/>
          <w:sz w:val="28"/>
          <w:szCs w:val="28"/>
          <w:lang w:eastAsia="en-US"/>
        </w:rPr>
        <w:t>Усилить пр</w:t>
      </w:r>
      <w:r w:rsidRPr="009D5E90">
        <w:rPr>
          <w:rFonts w:ascii="Times New Roman" w:hAnsi="Times New Roman" w:cs="Times New Roman"/>
          <w:sz w:val="28"/>
          <w:szCs w:val="28"/>
        </w:rPr>
        <w:t>иверженность пациентов</w:t>
      </w:r>
    </w:p>
    <w:p w14:paraId="2BAF44AC" w14:textId="77777777" w:rsidR="00030846" w:rsidRPr="009D5E90" w:rsidRDefault="00030846" w:rsidP="009D5E90">
      <w:pPr>
        <w:spacing w:after="0" w:line="240" w:lineRule="auto"/>
        <w:ind w:firstLine="709"/>
        <w:jc w:val="both"/>
        <w:rPr>
          <w:rFonts w:ascii="Times New Roman" w:hAnsi="Times New Roman" w:cs="Times New Roman"/>
          <w:sz w:val="28"/>
          <w:szCs w:val="28"/>
        </w:rPr>
      </w:pPr>
      <w:r w:rsidRPr="009D5E90">
        <w:rPr>
          <w:rFonts w:ascii="Times New Roman" w:eastAsiaTheme="minorHAnsi" w:hAnsi="Times New Roman" w:cs="Times New Roman"/>
          <w:sz w:val="28"/>
          <w:szCs w:val="28"/>
          <w:lang w:eastAsia="en-US"/>
        </w:rPr>
        <w:t xml:space="preserve">- СК Фармация: </w:t>
      </w:r>
      <w:r w:rsidRPr="009D5E90">
        <w:rPr>
          <w:rFonts w:ascii="Times New Roman" w:hAnsi="Times New Roman" w:cs="Times New Roman"/>
          <w:sz w:val="28"/>
          <w:szCs w:val="28"/>
        </w:rPr>
        <w:t xml:space="preserve">Дополнить приказ об обеспечении пациентов ЛС и мед.принадлежностью по льготной системе, учитывая индивидуальные расходы пациента при острых и хронических осложнениях течения СД2т, которые были выявлены при изучении подраздела по доступности ЛС и </w:t>
      </w:r>
      <w:r w:rsidRPr="009D5E90">
        <w:rPr>
          <w:rFonts w:ascii="Times New Roman" w:eastAsiaTheme="minorHAnsi" w:hAnsi="Times New Roman" w:cs="Times New Roman"/>
          <w:sz w:val="28"/>
          <w:szCs w:val="28"/>
          <w:lang w:val="en-US" w:eastAsia="en-US"/>
        </w:rPr>
        <w:t>Covid</w:t>
      </w:r>
      <w:r w:rsidRPr="009D5E90">
        <w:rPr>
          <w:rFonts w:ascii="Times New Roman" w:eastAsiaTheme="minorHAnsi" w:hAnsi="Times New Roman" w:cs="Times New Roman"/>
          <w:sz w:val="28"/>
          <w:szCs w:val="28"/>
          <w:lang w:eastAsia="en-US"/>
        </w:rPr>
        <w:t>-19</w:t>
      </w:r>
      <w:r w:rsidRPr="009D5E90">
        <w:rPr>
          <w:rFonts w:ascii="Times New Roman" w:hAnsi="Times New Roman" w:cs="Times New Roman"/>
          <w:sz w:val="28"/>
          <w:szCs w:val="28"/>
        </w:rPr>
        <w:t xml:space="preserve">. </w:t>
      </w:r>
      <w:r w:rsidRPr="009D5E90">
        <w:rPr>
          <w:rFonts w:ascii="Times New Roman" w:eastAsiaTheme="minorHAnsi" w:hAnsi="Times New Roman" w:cs="Times New Roman"/>
          <w:sz w:val="28"/>
          <w:szCs w:val="28"/>
          <w:lang w:eastAsia="en-US"/>
        </w:rPr>
        <w:t>Обеспечить пациентов медикаментами, которым временно требуется инсулинотерапия: острое состояние гипергликемии за счет обострения сопутствующих или инфекционных заболевании, стационарная и после стационарная инсулинотерапия под контролем уровня сахара, гестационный диабет. Своевременное изменения терапевтического режима обратно в таблетированные формы ЛС и фиксирование в медицинских документациях.</w:t>
      </w:r>
    </w:p>
    <w:p w14:paraId="7DEA4962" w14:textId="77777777" w:rsidR="00030846" w:rsidRPr="009D5E90" w:rsidRDefault="00030846" w:rsidP="004135FE">
      <w:pPr>
        <w:autoSpaceDE w:val="0"/>
        <w:autoSpaceDN w:val="0"/>
        <w:adjustRightInd w:val="0"/>
        <w:spacing w:after="0" w:line="240" w:lineRule="auto"/>
        <w:ind w:firstLine="360"/>
        <w:jc w:val="both"/>
        <w:rPr>
          <w:rFonts w:ascii="Times New Roman" w:hAnsi="Times New Roman" w:cs="Times New Roman"/>
          <w:sz w:val="28"/>
          <w:szCs w:val="28"/>
        </w:rPr>
      </w:pPr>
    </w:p>
    <w:p w14:paraId="200E2436" w14:textId="77777777" w:rsidR="00030846" w:rsidRPr="009D5E90" w:rsidRDefault="00030846" w:rsidP="009D5E90">
      <w:pPr>
        <w:spacing w:after="0" w:line="240" w:lineRule="auto"/>
        <w:ind w:firstLine="709"/>
        <w:jc w:val="both"/>
        <w:rPr>
          <w:rFonts w:ascii="Times New Roman" w:hAnsi="Times New Roman" w:cs="Times New Roman"/>
          <w:sz w:val="28"/>
          <w:szCs w:val="28"/>
        </w:rPr>
      </w:pPr>
      <w:r w:rsidRPr="009D5E90">
        <w:rPr>
          <w:rFonts w:ascii="Times New Roman" w:eastAsiaTheme="minorHAnsi" w:hAnsi="Times New Roman" w:cs="Times New Roman"/>
          <w:sz w:val="28"/>
          <w:szCs w:val="28"/>
          <w:lang w:eastAsia="en-US"/>
        </w:rPr>
        <w:t xml:space="preserve">- РЦЭЗ: </w:t>
      </w:r>
      <w:r w:rsidRPr="009D5E90">
        <w:rPr>
          <w:rFonts w:ascii="Times New Roman" w:hAnsi="Times New Roman" w:cs="Times New Roman"/>
          <w:sz w:val="28"/>
          <w:szCs w:val="28"/>
        </w:rPr>
        <w:t>Пересмотреть фиксирование и регистрацию статистических материалов по СД2т и его осложнении в информационной системе МЗ РК, совершенствовать НРСД по требованиям международных стандартов</w:t>
      </w:r>
      <w:r w:rsidRPr="009D5E90">
        <w:rPr>
          <w:rFonts w:ascii="Times New Roman" w:eastAsiaTheme="minorHAnsi" w:hAnsi="Times New Roman" w:cs="Times New Roman"/>
          <w:sz w:val="28"/>
          <w:szCs w:val="28"/>
          <w:lang w:eastAsia="en-US"/>
        </w:rPr>
        <w:t xml:space="preserve">, добавить статистику о смертности, репродуктивном потенциале, </w:t>
      </w:r>
      <w:r w:rsidRPr="009D5E90">
        <w:rPr>
          <w:rFonts w:ascii="Times New Roman" w:eastAsiaTheme="minorHAnsi" w:hAnsi="Times New Roman" w:cs="Times New Roman"/>
          <w:sz w:val="28"/>
          <w:szCs w:val="28"/>
          <w:lang w:val="en-US" w:eastAsia="en-US"/>
        </w:rPr>
        <w:t>Covid</w:t>
      </w:r>
      <w:r w:rsidRPr="009D5E90">
        <w:rPr>
          <w:rFonts w:ascii="Times New Roman" w:eastAsiaTheme="minorHAnsi" w:hAnsi="Times New Roman" w:cs="Times New Roman"/>
          <w:sz w:val="28"/>
          <w:szCs w:val="28"/>
          <w:lang w:eastAsia="en-US"/>
        </w:rPr>
        <w:t xml:space="preserve">-19 </w:t>
      </w:r>
      <w:r w:rsidRPr="009D5E90">
        <w:rPr>
          <w:rFonts w:ascii="Times New Roman" w:eastAsiaTheme="minorHAnsi" w:hAnsi="Times New Roman" w:cs="Times New Roman"/>
          <w:sz w:val="28"/>
          <w:szCs w:val="28"/>
          <w:lang w:val="kk-KZ" w:eastAsia="en-US"/>
        </w:rPr>
        <w:t xml:space="preserve">ассоцированный СД2т (первичный СД2т за счет </w:t>
      </w:r>
      <w:r w:rsidRPr="009D5E90">
        <w:rPr>
          <w:rFonts w:ascii="Times New Roman" w:eastAsiaTheme="minorHAnsi" w:hAnsi="Times New Roman" w:cs="Times New Roman"/>
          <w:sz w:val="28"/>
          <w:szCs w:val="28"/>
          <w:lang w:val="en-US" w:eastAsia="en-US"/>
        </w:rPr>
        <w:t>Covid</w:t>
      </w:r>
      <w:r w:rsidRPr="009D5E90">
        <w:rPr>
          <w:rFonts w:ascii="Times New Roman" w:eastAsiaTheme="minorHAnsi" w:hAnsi="Times New Roman" w:cs="Times New Roman"/>
          <w:sz w:val="28"/>
          <w:szCs w:val="28"/>
          <w:lang w:eastAsia="en-US"/>
        </w:rPr>
        <w:t>-19 и осложнения у пациентов с СД2т). Данные пробелы фиксирования статистических материалов были выявлены при запросе в РЦЭЗ.</w:t>
      </w:r>
      <w:r w:rsidRPr="009D5E90">
        <w:rPr>
          <w:rFonts w:ascii="Times New Roman" w:eastAsiaTheme="minorHAnsi" w:hAnsi="Times New Roman" w:cs="Times New Roman"/>
          <w:sz w:val="28"/>
          <w:szCs w:val="28"/>
          <w:lang w:val="kk-KZ" w:eastAsia="en-US"/>
        </w:rPr>
        <w:t xml:space="preserve"> </w:t>
      </w:r>
    </w:p>
    <w:p w14:paraId="7FBEE9C4" w14:textId="77777777" w:rsidR="00030846" w:rsidRPr="009D5E90" w:rsidRDefault="00030846" w:rsidP="009D5E90">
      <w:pPr>
        <w:spacing w:after="0" w:line="240" w:lineRule="auto"/>
        <w:ind w:firstLine="709"/>
        <w:jc w:val="both"/>
        <w:rPr>
          <w:rFonts w:ascii="Times New Roman" w:hAnsi="Times New Roman" w:cs="Times New Roman"/>
          <w:sz w:val="28"/>
          <w:szCs w:val="28"/>
        </w:rPr>
      </w:pPr>
      <w:r w:rsidRPr="009D5E90">
        <w:rPr>
          <w:rFonts w:ascii="Times New Roman" w:eastAsiaTheme="minorHAnsi" w:hAnsi="Times New Roman" w:cs="Times New Roman"/>
          <w:sz w:val="28"/>
          <w:szCs w:val="28"/>
          <w:lang w:eastAsia="en-US"/>
        </w:rPr>
        <w:t xml:space="preserve">- РЦРЗ: </w:t>
      </w:r>
      <w:r w:rsidRPr="009D5E90">
        <w:rPr>
          <w:rFonts w:ascii="Times New Roman" w:hAnsi="Times New Roman" w:cs="Times New Roman"/>
          <w:sz w:val="28"/>
          <w:szCs w:val="28"/>
        </w:rPr>
        <w:t xml:space="preserve">Совершенствование и дополнение протокола диагностики и лечения СД2т. Согласно социологическому исследованию и </w:t>
      </w:r>
      <w:r w:rsidRPr="009D5E90">
        <w:rPr>
          <w:rFonts w:ascii="Times New Roman" w:hAnsi="Times New Roman" w:cs="Times New Roman"/>
          <w:sz w:val="28"/>
          <w:szCs w:val="28"/>
          <w:lang w:val="en-US"/>
        </w:rPr>
        <w:t>SWOT</w:t>
      </w:r>
      <w:r w:rsidRPr="009D5E90">
        <w:rPr>
          <w:rFonts w:ascii="Times New Roman" w:hAnsi="Times New Roman" w:cs="Times New Roman"/>
          <w:sz w:val="28"/>
          <w:szCs w:val="28"/>
        </w:rPr>
        <w:t xml:space="preserve"> анализу </w:t>
      </w:r>
      <w:r w:rsidRPr="009D5E90">
        <w:rPr>
          <w:rFonts w:ascii="Times New Roman" w:eastAsiaTheme="minorHAnsi" w:hAnsi="Times New Roman" w:cs="Times New Roman"/>
          <w:sz w:val="28"/>
          <w:szCs w:val="28"/>
          <w:lang w:eastAsia="en-US"/>
        </w:rPr>
        <w:t>психосоциальная поддержка, рекомендации по рациональному питанию, контроль репродуктивного потенциала не входит в протокол и не курируется на уровне эндокринолога. Не проводится индивидуальный подбор ФА из-за отсутствия надлежащих навыков и нехватки времени консультации врача на 1 пациента. Обучение и самоконтроль зависит от посещаемости ШД и его оснащенности ресурсами и подготовленным инструктором, качества преподнесения обучения, что требует реорганизации ШД.</w:t>
      </w:r>
      <w:r w:rsidRPr="009D5E90">
        <w:rPr>
          <w:rFonts w:ascii="Times New Roman" w:eastAsia="Times New Roman" w:hAnsi="Times New Roman" w:cs="Times New Roman"/>
          <w:sz w:val="28"/>
          <w:szCs w:val="28"/>
        </w:rPr>
        <w:t xml:space="preserve"> По рекомендациям </w:t>
      </w:r>
      <w:r w:rsidRPr="009D5E90">
        <w:rPr>
          <w:rFonts w:ascii="Times New Roman" w:eastAsia="Times New Roman" w:hAnsi="Times New Roman" w:cs="Times New Roman"/>
          <w:sz w:val="28"/>
          <w:szCs w:val="28"/>
          <w:lang w:val="en-US"/>
        </w:rPr>
        <w:t>ADA</w:t>
      </w:r>
      <w:r w:rsidRPr="009D5E90">
        <w:rPr>
          <w:rFonts w:ascii="Times New Roman" w:eastAsia="Times New Roman" w:hAnsi="Times New Roman" w:cs="Times New Roman"/>
          <w:sz w:val="28"/>
          <w:szCs w:val="28"/>
          <w:lang w:val="kk-KZ"/>
        </w:rPr>
        <w:t xml:space="preserve">, врачи эндокринологи назначают персонализированные рекомендации для каждого пациента, а обучение проводится в ШД или ЗОЖ. </w:t>
      </w:r>
      <w:r w:rsidRPr="009D5E90">
        <w:rPr>
          <w:rFonts w:ascii="Times New Roman" w:eastAsia="Times New Roman" w:hAnsi="Times New Roman" w:cs="Times New Roman"/>
          <w:sz w:val="28"/>
          <w:szCs w:val="28"/>
        </w:rPr>
        <w:t>Без требования в Казахстанском протоколе диагностики и лечения, эндокринологи ПМСП не обязуются взяться за дополнительную услугу, поэтому рекомендуем внести изменения в данный документ</w:t>
      </w:r>
      <w:r w:rsidRPr="009D5E90">
        <w:rPr>
          <w:rFonts w:ascii="Times New Roman" w:eastAsiaTheme="minorHAnsi" w:hAnsi="Times New Roman" w:cs="Times New Roman"/>
          <w:sz w:val="28"/>
          <w:szCs w:val="28"/>
          <w:highlight w:val="lightGray"/>
          <w:lang w:eastAsia="en-US"/>
        </w:rPr>
        <w:t xml:space="preserve"> </w:t>
      </w:r>
    </w:p>
    <w:p w14:paraId="59681CD2" w14:textId="77777777" w:rsidR="00030846" w:rsidRPr="009D5E90" w:rsidRDefault="00030846" w:rsidP="009D5E90">
      <w:pPr>
        <w:spacing w:after="0" w:line="240" w:lineRule="auto"/>
        <w:ind w:firstLine="709"/>
        <w:jc w:val="both"/>
        <w:rPr>
          <w:rFonts w:ascii="Times New Roman" w:hAnsi="Times New Roman" w:cs="Times New Roman"/>
          <w:sz w:val="28"/>
          <w:szCs w:val="28"/>
        </w:rPr>
      </w:pPr>
      <w:r w:rsidRPr="009D5E90">
        <w:rPr>
          <w:rFonts w:ascii="Times New Roman" w:hAnsi="Times New Roman" w:cs="Times New Roman"/>
          <w:sz w:val="28"/>
          <w:szCs w:val="28"/>
        </w:rPr>
        <w:t>- ПМСП: Совершенствовать командную (мультидисципленарную) работу персоналов для управления СД2 и ФР, функционализировать рабочее место, так же открыть кабинет подолога (не предусмотрен штатной единицей). При социологическом исследовании было выявлено, что пациенты, направленные урологом и гинекологом с установленным диагнозом, остаются без курации со стороны эндокринологов. Следующие элементы так же выявлены при опросе потребностей пациентов:</w:t>
      </w:r>
    </w:p>
    <w:p w14:paraId="0A26877F" w14:textId="77777777" w:rsidR="00030846" w:rsidRPr="009D5E90" w:rsidRDefault="00030846" w:rsidP="009D5E90">
      <w:pPr>
        <w:autoSpaceDE w:val="0"/>
        <w:autoSpaceDN w:val="0"/>
        <w:adjustRightInd w:val="0"/>
        <w:spacing w:after="0" w:line="240" w:lineRule="auto"/>
        <w:ind w:firstLine="709"/>
        <w:jc w:val="both"/>
        <w:rPr>
          <w:rFonts w:ascii="Times New Roman" w:eastAsiaTheme="minorHAnsi" w:hAnsi="Times New Roman" w:cs="Times New Roman"/>
          <w:sz w:val="28"/>
          <w:szCs w:val="28"/>
          <w:highlight w:val="lightGray"/>
          <w:lang w:eastAsia="en-US"/>
        </w:rPr>
      </w:pPr>
      <w:r w:rsidRPr="009D5E90">
        <w:rPr>
          <w:rFonts w:ascii="Times New Roman" w:hAnsi="Times New Roman" w:cs="Times New Roman"/>
          <w:sz w:val="28"/>
          <w:szCs w:val="28"/>
        </w:rPr>
        <w:t>- Развить ф</w:t>
      </w:r>
      <w:r w:rsidRPr="009D5E90">
        <w:rPr>
          <w:rFonts w:ascii="Times New Roman" w:eastAsiaTheme="minorHAnsi" w:hAnsi="Times New Roman" w:cs="Times New Roman"/>
          <w:sz w:val="28"/>
          <w:szCs w:val="28"/>
          <w:lang w:eastAsia="en-US"/>
        </w:rPr>
        <w:t xml:space="preserve">армакогенетические аспекты при выборе ССП, для пациентов с впервые выявленным СД2т. </w:t>
      </w:r>
      <w:r w:rsidRPr="009D5E90">
        <w:rPr>
          <w:rFonts w:ascii="Times New Roman" w:eastAsia="Times New Roman" w:hAnsi="Times New Roman" w:cs="Times New Roman"/>
          <w:sz w:val="28"/>
          <w:szCs w:val="28"/>
        </w:rPr>
        <w:t xml:space="preserve">42,8% врачей не информированы о </w:t>
      </w:r>
      <w:r w:rsidRPr="009D5E90">
        <w:rPr>
          <w:rFonts w:ascii="Times New Roman" w:hAnsi="Times New Roman" w:cs="Times New Roman"/>
          <w:sz w:val="28"/>
          <w:szCs w:val="28"/>
        </w:rPr>
        <w:t>генетическом обследовании маркеров СД2т, хотя основа персонализированного подхода к пациентам лежит на фармакогенетике</w:t>
      </w:r>
    </w:p>
    <w:p w14:paraId="0328D980" w14:textId="77777777" w:rsidR="00030846" w:rsidRPr="004135FE" w:rsidRDefault="00030846" w:rsidP="009D5E90">
      <w:pPr>
        <w:spacing w:after="0" w:line="240" w:lineRule="auto"/>
        <w:ind w:firstLine="709"/>
        <w:jc w:val="both"/>
        <w:rPr>
          <w:rFonts w:ascii="Times New Roman" w:hAnsi="Times New Roman" w:cs="Times New Roman"/>
          <w:sz w:val="28"/>
          <w:szCs w:val="28"/>
        </w:rPr>
      </w:pPr>
      <w:r w:rsidRPr="009D5E90">
        <w:rPr>
          <w:rFonts w:ascii="Times New Roman" w:hAnsi="Times New Roman" w:cs="Times New Roman"/>
          <w:sz w:val="28"/>
          <w:szCs w:val="28"/>
        </w:rPr>
        <w:t>-Психосоциальная</w:t>
      </w:r>
      <w:r w:rsidRPr="004135FE">
        <w:rPr>
          <w:rFonts w:ascii="Times New Roman" w:hAnsi="Times New Roman" w:cs="Times New Roman"/>
          <w:sz w:val="28"/>
          <w:szCs w:val="28"/>
        </w:rPr>
        <w:t xml:space="preserve"> поддержка пациентов</w:t>
      </w:r>
    </w:p>
    <w:p w14:paraId="512CA61E" w14:textId="77777777" w:rsidR="00030846" w:rsidRPr="004135FE" w:rsidRDefault="00030846" w:rsidP="009D5E90">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-Индивидуальный подбор физической активности с учетом противопоказании и мер предосторожностей. </w:t>
      </w:r>
    </w:p>
    <w:p w14:paraId="38EDA398" w14:textId="77777777" w:rsidR="00030846" w:rsidRPr="004135FE" w:rsidRDefault="00030846" w:rsidP="009D5E90">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-Организация контроля репродуктивного потенциала женщин и мужчин фертильного возраста с СД2т</w:t>
      </w:r>
    </w:p>
    <w:p w14:paraId="0FA9CEC5" w14:textId="77777777" w:rsidR="00030846" w:rsidRPr="004135FE" w:rsidRDefault="00030846" w:rsidP="009D5E90">
      <w:pPr>
        <w:spacing w:after="0" w:line="240" w:lineRule="auto"/>
        <w:ind w:firstLine="709"/>
        <w:jc w:val="both"/>
        <w:rPr>
          <w:rFonts w:ascii="Times New Roman" w:hAnsi="Times New Roman" w:cs="Times New Roman"/>
          <w:bCs/>
          <w:sz w:val="28"/>
          <w:szCs w:val="28"/>
        </w:rPr>
      </w:pPr>
      <w:r w:rsidRPr="004135FE">
        <w:rPr>
          <w:rFonts w:ascii="Times New Roman" w:hAnsi="Times New Roman" w:cs="Times New Roman"/>
          <w:bCs/>
          <w:sz w:val="28"/>
          <w:szCs w:val="28"/>
        </w:rPr>
        <w:t xml:space="preserve">-Самоменеджмент пациентов, поддержка семьи и близких, общин. </w:t>
      </w:r>
      <w:r w:rsidRPr="004135FE">
        <w:rPr>
          <w:rFonts w:ascii="Times New Roman" w:eastAsiaTheme="minorHAnsi" w:hAnsi="Times New Roman" w:cs="Times New Roman"/>
          <w:bCs/>
          <w:sz w:val="28"/>
          <w:szCs w:val="28"/>
          <w:lang w:eastAsia="en-US"/>
        </w:rPr>
        <w:t>Одним из элементов управления СД2т, это- дать упор на самоменеджмент пациентов, поддержка семьи и близких, общин, который описан в ПУЗ. Данный компонент требует вмешательств со стороны всех секторов.</w:t>
      </w:r>
    </w:p>
    <w:p w14:paraId="42C41C0C" w14:textId="77777777" w:rsidR="00543F98" w:rsidRPr="004135FE" w:rsidRDefault="00543F98" w:rsidP="009D5E90">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 Реорганизация школы диабета </w:t>
      </w:r>
    </w:p>
    <w:p w14:paraId="1AC7F936" w14:textId="15B98E09" w:rsidR="00030846" w:rsidRPr="009D5E90" w:rsidRDefault="00030846" w:rsidP="009D5E90">
      <w:pPr>
        <w:spacing w:after="0" w:line="240" w:lineRule="auto"/>
        <w:ind w:firstLine="709"/>
        <w:jc w:val="both"/>
        <w:rPr>
          <w:rFonts w:ascii="Times New Roman" w:hAnsi="Times New Roman" w:cs="Times New Roman"/>
          <w:sz w:val="28"/>
          <w:szCs w:val="28"/>
        </w:rPr>
      </w:pPr>
      <w:r w:rsidRPr="004135FE">
        <w:rPr>
          <w:rFonts w:ascii="Times New Roman" w:hAnsi="Times New Roman" w:cs="Times New Roman"/>
          <w:b/>
          <w:sz w:val="28"/>
          <w:szCs w:val="28"/>
        </w:rPr>
        <w:t>-</w:t>
      </w:r>
      <w:r w:rsidR="009D5E90">
        <w:rPr>
          <w:rFonts w:ascii="Times New Roman" w:hAnsi="Times New Roman" w:cs="Times New Roman"/>
          <w:b/>
          <w:sz w:val="28"/>
          <w:szCs w:val="28"/>
        </w:rPr>
        <w:t xml:space="preserve"> </w:t>
      </w:r>
      <w:r w:rsidRPr="009D5E90">
        <w:rPr>
          <w:rFonts w:ascii="Times New Roman" w:hAnsi="Times New Roman" w:cs="Times New Roman"/>
          <w:bCs/>
          <w:sz w:val="28"/>
          <w:szCs w:val="28"/>
        </w:rPr>
        <w:t>Стационар.</w:t>
      </w:r>
      <w:r w:rsidRPr="004135FE">
        <w:rPr>
          <w:rFonts w:ascii="Times New Roman" w:hAnsi="Times New Roman" w:cs="Times New Roman"/>
          <w:b/>
          <w:sz w:val="28"/>
          <w:szCs w:val="28"/>
        </w:rPr>
        <w:t xml:space="preserve"> </w:t>
      </w:r>
      <w:r w:rsidRPr="004135FE">
        <w:rPr>
          <w:rFonts w:ascii="Times New Roman" w:hAnsi="Times New Roman" w:cs="Times New Roman"/>
          <w:sz w:val="28"/>
          <w:szCs w:val="28"/>
        </w:rPr>
        <w:t xml:space="preserve">Функции стационарной помощи в данной работе не были изучены, но тем не менее в качестве рекомендации предлагаем так же содействовать при оказании медицинской помощи и обучении пациентов по </w:t>
      </w:r>
      <w:r w:rsidRPr="009D5E90">
        <w:rPr>
          <w:rFonts w:ascii="Times New Roman" w:hAnsi="Times New Roman" w:cs="Times New Roman"/>
          <w:sz w:val="28"/>
          <w:szCs w:val="28"/>
        </w:rPr>
        <w:t>фармакогенетике, психосоциальной поддержке, индивидуальный подбор физической активности с учетом противопоказании и мер предосторожностей, самоменеджмент пациентов.</w:t>
      </w:r>
    </w:p>
    <w:p w14:paraId="04B052C1" w14:textId="77777777" w:rsidR="00030846" w:rsidRPr="009D5E90" w:rsidRDefault="00030846" w:rsidP="009D5E90">
      <w:pPr>
        <w:autoSpaceDE w:val="0"/>
        <w:autoSpaceDN w:val="0"/>
        <w:adjustRightInd w:val="0"/>
        <w:spacing w:after="0" w:line="240" w:lineRule="auto"/>
        <w:ind w:firstLine="709"/>
        <w:jc w:val="both"/>
        <w:rPr>
          <w:rFonts w:ascii="Times New Roman" w:hAnsi="Times New Roman" w:cs="Times New Roman"/>
          <w:sz w:val="28"/>
          <w:szCs w:val="28"/>
        </w:rPr>
      </w:pPr>
      <w:r w:rsidRPr="009D5E90">
        <w:rPr>
          <w:rFonts w:ascii="Times New Roman" w:hAnsi="Times New Roman" w:cs="Times New Roman"/>
          <w:sz w:val="28"/>
          <w:szCs w:val="28"/>
        </w:rPr>
        <w:t>- СОЗ и Департамент Комитета медицинского и фармацевтического контроля РК по г Алматы: Усилить контроль над оказанием медицинских услуг, доступностью ЛС на уровне ПМСП и стационаров</w:t>
      </w:r>
      <w:r w:rsidRPr="009D5E90">
        <w:rPr>
          <w:rFonts w:ascii="Times New Roman" w:eastAsiaTheme="minorHAnsi" w:hAnsi="Times New Roman" w:cs="Times New Roman"/>
          <w:sz w:val="28"/>
          <w:szCs w:val="28"/>
          <w:lang w:eastAsia="en-US"/>
        </w:rPr>
        <w:t xml:space="preserve"> (Центр Диабета и другие профильные больницы, НИИ).</w:t>
      </w:r>
      <w:r w:rsidRPr="009D5E90">
        <w:rPr>
          <w:rFonts w:ascii="Times New Roman" w:hAnsi="Times New Roman" w:cs="Times New Roman"/>
          <w:sz w:val="28"/>
          <w:szCs w:val="28"/>
        </w:rPr>
        <w:t xml:space="preserve">  Так же усилить проверку на предмет исполнения НПА на уровне медицинских организации.</w:t>
      </w:r>
    </w:p>
    <w:p w14:paraId="59B74C3B" w14:textId="04C2DA12" w:rsidR="00030846" w:rsidRPr="004135FE" w:rsidRDefault="00030846" w:rsidP="009D5E90">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sectPr w:rsidR="00030846" w:rsidRPr="004135FE" w:rsidSect="00EC71C2">
          <w:type w:val="nextColumn"/>
          <w:pgSz w:w="11906" w:h="16838"/>
          <w:pgMar w:top="1134" w:right="851" w:bottom="1134" w:left="1701" w:header="283" w:footer="283" w:gutter="0"/>
          <w:cols w:space="708"/>
          <w:docGrid w:linePitch="360"/>
        </w:sectPr>
      </w:pPr>
      <w:r w:rsidRPr="009D5E90">
        <w:rPr>
          <w:rFonts w:ascii="Times New Roman" w:eastAsiaTheme="minorHAnsi" w:hAnsi="Times New Roman" w:cs="Times New Roman"/>
          <w:sz w:val="28"/>
          <w:szCs w:val="28"/>
          <w:lang w:eastAsia="en-US"/>
        </w:rPr>
        <w:t xml:space="preserve">Все вышесказанные совершенствования и дополнения влекут за собой реорганизацию функции школы Диабета, для лучшего </w:t>
      </w:r>
      <w:r w:rsidRPr="009D5E90">
        <w:rPr>
          <w:rFonts w:ascii="Times New Roman" w:hAnsi="Times New Roman" w:cs="Times New Roman"/>
          <w:sz w:val="28"/>
          <w:szCs w:val="28"/>
        </w:rPr>
        <w:t>управления течением и исходом общего состояния</w:t>
      </w:r>
      <w:r w:rsidRPr="004135FE">
        <w:rPr>
          <w:rFonts w:ascii="Times New Roman" w:hAnsi="Times New Roman" w:cs="Times New Roman"/>
          <w:sz w:val="28"/>
          <w:szCs w:val="28"/>
        </w:rPr>
        <w:t xml:space="preserve"> пациента с СД2т</w:t>
      </w:r>
      <w:r w:rsidR="009D5E90">
        <w:rPr>
          <w:rFonts w:ascii="Times New Roman" w:eastAsiaTheme="minorHAnsi" w:hAnsi="Times New Roman" w:cs="Times New Roman"/>
          <w:sz w:val="28"/>
          <w:szCs w:val="28"/>
          <w:lang w:eastAsia="en-US"/>
        </w:rPr>
        <w:t>.</w:t>
      </w:r>
    </w:p>
    <w:p w14:paraId="207D09D3" w14:textId="77777777" w:rsidR="00681F13" w:rsidRDefault="00681F13" w:rsidP="009D5E90">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26317343" w14:textId="6D59151B" w:rsidR="00681F13" w:rsidRDefault="00681F13" w:rsidP="009D5E90">
      <w:pPr>
        <w:autoSpaceDE w:val="0"/>
        <w:autoSpaceDN w:val="0"/>
        <w:adjustRightInd w:val="0"/>
        <w:spacing w:after="0" w:line="240" w:lineRule="auto"/>
        <w:jc w:val="both"/>
        <w:rPr>
          <w:rFonts w:ascii="Times New Roman" w:eastAsiaTheme="minorHAnsi" w:hAnsi="Times New Roman" w:cs="Times New Roman"/>
          <w:sz w:val="28"/>
          <w:szCs w:val="28"/>
          <w:lang w:eastAsia="en-US"/>
        </w:rPr>
      </w:pPr>
      <w:r>
        <w:rPr>
          <w:rFonts w:ascii="Times New Roman" w:eastAsiaTheme="minorHAnsi" w:hAnsi="Times New Roman" w:cs="Times New Roman"/>
          <w:noProof/>
          <w:sz w:val="28"/>
          <w:szCs w:val="28"/>
        </w:rPr>
        <w:drawing>
          <wp:inline distT="0" distB="0" distL="0" distR="0" wp14:anchorId="0D8BAB37" wp14:editId="63E0CEE7">
            <wp:extent cx="8483600" cy="5253705"/>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16">
                      <a:extLst>
                        <a:ext uri="{28A0092B-C50C-407E-A947-70E740481C1C}">
                          <a14:useLocalDpi xmlns:a14="http://schemas.microsoft.com/office/drawing/2010/main" val="0"/>
                        </a:ext>
                      </a:extLst>
                    </a:blip>
                    <a:stretch>
                      <a:fillRect/>
                    </a:stretch>
                  </pic:blipFill>
                  <pic:spPr>
                    <a:xfrm>
                      <a:off x="0" y="0"/>
                      <a:ext cx="8512371" cy="5271522"/>
                    </a:xfrm>
                    <a:prstGeom prst="rect">
                      <a:avLst/>
                    </a:prstGeom>
                  </pic:spPr>
                </pic:pic>
              </a:graphicData>
            </a:graphic>
          </wp:inline>
        </w:drawing>
      </w:r>
    </w:p>
    <w:p w14:paraId="2078DD9B" w14:textId="77777777" w:rsidR="00681F13" w:rsidRDefault="00681F13" w:rsidP="009D5E90">
      <w:pPr>
        <w:autoSpaceDE w:val="0"/>
        <w:autoSpaceDN w:val="0"/>
        <w:adjustRightInd w:val="0"/>
        <w:spacing w:after="0" w:line="240" w:lineRule="auto"/>
        <w:jc w:val="both"/>
        <w:rPr>
          <w:rFonts w:ascii="Times New Roman" w:eastAsiaTheme="minorHAnsi" w:hAnsi="Times New Roman" w:cs="Times New Roman"/>
          <w:sz w:val="28"/>
          <w:szCs w:val="28"/>
          <w:lang w:eastAsia="en-US"/>
        </w:rPr>
      </w:pPr>
    </w:p>
    <w:p w14:paraId="0AD51FE1" w14:textId="77777777" w:rsidR="00681F13" w:rsidRPr="00D16D87" w:rsidRDefault="00030846" w:rsidP="00681F13">
      <w:pPr>
        <w:jc w:val="center"/>
        <w:rPr>
          <w:rFonts w:ascii="Times New Roman" w:hAnsi="Times New Roman" w:cs="Times New Roman"/>
        </w:rPr>
      </w:pPr>
      <w:r w:rsidRPr="004135FE">
        <w:rPr>
          <w:rFonts w:ascii="Times New Roman" w:eastAsiaTheme="minorHAnsi" w:hAnsi="Times New Roman" w:cs="Times New Roman"/>
          <w:sz w:val="28"/>
          <w:szCs w:val="28"/>
          <w:lang w:eastAsia="en-US"/>
        </w:rPr>
        <w:t>Рисунок</w:t>
      </w:r>
      <w:r w:rsidR="00B47983" w:rsidRPr="004135FE">
        <w:rPr>
          <w:rFonts w:ascii="Times New Roman" w:eastAsiaTheme="minorHAnsi" w:hAnsi="Times New Roman" w:cs="Times New Roman"/>
          <w:sz w:val="28"/>
          <w:szCs w:val="28"/>
          <w:lang w:eastAsia="en-US"/>
        </w:rPr>
        <w:t xml:space="preserve"> 66</w:t>
      </w:r>
      <w:r w:rsidR="00681F13">
        <w:rPr>
          <w:rFonts w:ascii="Times New Roman" w:eastAsiaTheme="minorHAnsi" w:hAnsi="Times New Roman" w:cs="Times New Roman"/>
          <w:sz w:val="28"/>
          <w:szCs w:val="28"/>
          <w:lang w:eastAsia="en-US"/>
        </w:rPr>
        <w:t xml:space="preserve"> -  </w:t>
      </w:r>
      <w:r w:rsidR="00681F13" w:rsidRPr="00681F13">
        <w:rPr>
          <w:rFonts w:ascii="Times New Roman" w:eastAsiaTheme="minorHAnsi" w:hAnsi="Times New Roman" w:cs="Times New Roman"/>
          <w:sz w:val="28"/>
          <w:szCs w:val="28"/>
          <w:lang w:eastAsia="en-US"/>
        </w:rPr>
        <w:t>Совершенствование оказания медицинской помощи для осуществления потребности пациентов с СД2т и медицинского персонала</w:t>
      </w:r>
    </w:p>
    <w:p w14:paraId="29D79777" w14:textId="2D34A0BA" w:rsidR="00030846" w:rsidRPr="004135FE" w:rsidRDefault="00030846" w:rsidP="00681F13">
      <w:pPr>
        <w:autoSpaceDE w:val="0"/>
        <w:autoSpaceDN w:val="0"/>
        <w:adjustRightInd w:val="0"/>
        <w:spacing w:after="0" w:line="240" w:lineRule="auto"/>
        <w:jc w:val="center"/>
        <w:rPr>
          <w:rFonts w:ascii="Times New Roman" w:hAnsi="Times New Roman" w:cs="Times New Roman"/>
          <w:sz w:val="28"/>
          <w:szCs w:val="28"/>
        </w:rPr>
        <w:sectPr w:rsidR="00030846" w:rsidRPr="004135FE" w:rsidSect="00EC71C2">
          <w:type w:val="nextColumn"/>
          <w:pgSz w:w="16838" w:h="11906" w:orient="landscape"/>
          <w:pgMar w:top="1134" w:right="851" w:bottom="1134" w:left="1701" w:header="283" w:footer="283" w:gutter="0"/>
          <w:cols w:space="708"/>
          <w:docGrid w:linePitch="360"/>
        </w:sectPr>
      </w:pPr>
    </w:p>
    <w:p w14:paraId="4EDA7218" w14:textId="77777777" w:rsidR="00030846" w:rsidRPr="00681F13" w:rsidRDefault="00030846" w:rsidP="004135FE">
      <w:pPr>
        <w:spacing w:after="0" w:line="240" w:lineRule="auto"/>
        <w:jc w:val="center"/>
        <w:rPr>
          <w:rFonts w:ascii="Times New Roman" w:hAnsi="Times New Roman" w:cs="Times New Roman"/>
          <w:bCs/>
          <w:sz w:val="28"/>
          <w:szCs w:val="28"/>
        </w:rPr>
      </w:pPr>
      <w:r w:rsidRPr="00681F13">
        <w:rPr>
          <w:rFonts w:ascii="Times New Roman" w:eastAsia="Times New Roman" w:hAnsi="Times New Roman" w:cs="Times New Roman"/>
          <w:bCs/>
          <w:sz w:val="28"/>
          <w:szCs w:val="28"/>
        </w:rPr>
        <w:t>Реорганизация Школы Диабета</w:t>
      </w:r>
      <w:r w:rsidRPr="00681F13">
        <w:rPr>
          <w:rFonts w:ascii="Times New Roman" w:hAnsi="Times New Roman" w:cs="Times New Roman"/>
          <w:bCs/>
          <w:sz w:val="28"/>
          <w:szCs w:val="28"/>
        </w:rPr>
        <w:t xml:space="preserve"> на уровне ПМСП</w:t>
      </w:r>
    </w:p>
    <w:p w14:paraId="1CC3E1FF" w14:textId="77777777" w:rsidR="00030846" w:rsidRPr="00681F13" w:rsidRDefault="00030846" w:rsidP="004135FE">
      <w:pPr>
        <w:autoSpaceDE w:val="0"/>
        <w:autoSpaceDN w:val="0"/>
        <w:adjustRightInd w:val="0"/>
        <w:spacing w:after="0" w:line="240" w:lineRule="auto"/>
        <w:ind w:firstLine="708"/>
        <w:jc w:val="both"/>
        <w:rPr>
          <w:rFonts w:ascii="Times New Roman" w:hAnsi="Times New Roman" w:cs="Times New Roman"/>
          <w:bCs/>
          <w:sz w:val="28"/>
          <w:szCs w:val="28"/>
        </w:rPr>
      </w:pPr>
      <w:r w:rsidRPr="00681F13">
        <w:rPr>
          <w:rFonts w:ascii="Times New Roman" w:hAnsi="Times New Roman" w:cs="Times New Roman"/>
          <w:bCs/>
          <w:sz w:val="28"/>
          <w:szCs w:val="28"/>
        </w:rPr>
        <w:t>Дерево целей и задач состоит в более эффективной работе с пациентами с СД2т путем оптимизации рабочего место, функции врача эндокринолога. Для этого, во-первых, необходимо повышение медицинской грамотности пациентов с СД2т, для снижения госпитализации. Во-вторых, максимальное удовлетворенность организацией медицинской помощи пациентов с СД2т на уровне ПМСП. В-третьих, формирование устойчивого самоменеджмента пациента, для управления СД2т.</w:t>
      </w:r>
    </w:p>
    <w:p w14:paraId="21C1BD12" w14:textId="77777777" w:rsidR="00030846" w:rsidRPr="00681F13" w:rsidRDefault="00030846" w:rsidP="004135FE">
      <w:pPr>
        <w:autoSpaceDE w:val="0"/>
        <w:autoSpaceDN w:val="0"/>
        <w:adjustRightInd w:val="0"/>
        <w:spacing w:after="0" w:line="240" w:lineRule="auto"/>
        <w:ind w:firstLine="360"/>
        <w:jc w:val="both"/>
        <w:rPr>
          <w:rFonts w:ascii="Times New Roman" w:hAnsi="Times New Roman" w:cs="Times New Roman"/>
          <w:bCs/>
          <w:sz w:val="28"/>
          <w:szCs w:val="28"/>
        </w:rPr>
      </w:pPr>
      <w:r w:rsidRPr="00681F13">
        <w:rPr>
          <w:rFonts w:ascii="Times New Roman" w:hAnsi="Times New Roman" w:cs="Times New Roman"/>
          <w:bCs/>
          <w:sz w:val="28"/>
          <w:szCs w:val="28"/>
        </w:rPr>
        <w:t>Блок ресурсов. Из ресурсов медицинской организации должны быть обеспечены финансово-технические необходимости Школы Диабета и распределены на обучение и дополнительную оплату за труд специалистов ШД. Так же обеспечить школу оборудованиями, оргтехникой и организовать трансферт невыездных пациентов для посещения занятии.</w:t>
      </w:r>
    </w:p>
    <w:p w14:paraId="207F0F51" w14:textId="77777777" w:rsidR="00030846" w:rsidRPr="00681F13" w:rsidRDefault="00030846" w:rsidP="004135FE">
      <w:pPr>
        <w:autoSpaceDE w:val="0"/>
        <w:autoSpaceDN w:val="0"/>
        <w:adjustRightInd w:val="0"/>
        <w:spacing w:after="0" w:line="240" w:lineRule="auto"/>
        <w:ind w:firstLine="360"/>
        <w:jc w:val="both"/>
        <w:rPr>
          <w:rFonts w:ascii="Times New Roman" w:hAnsi="Times New Roman" w:cs="Times New Roman"/>
          <w:bCs/>
          <w:sz w:val="28"/>
          <w:szCs w:val="28"/>
        </w:rPr>
      </w:pPr>
      <w:r w:rsidRPr="00681F13">
        <w:rPr>
          <w:rFonts w:ascii="Times New Roman" w:hAnsi="Times New Roman" w:cs="Times New Roman"/>
          <w:bCs/>
          <w:sz w:val="28"/>
          <w:szCs w:val="28"/>
        </w:rPr>
        <w:t>Блок организационной структуры состоит из координаторов на уровне МЗ РК, СОЗ и администрации ПМСП. На уровне СОЗ утверждается и согласуется состав инструкторов школы диабета, адаптированный для каждой МО (исходя из возможности кадрового резерва). При отсутствии специалистов в определенной МО, организация и трансферт мобильной ШД из резерва города (района). В свою очередь на уровне ПМСП комплектуется состав инструкторов ШД, исходя от штатной единицы.</w:t>
      </w:r>
    </w:p>
    <w:p w14:paraId="457B5D9C" w14:textId="77777777" w:rsidR="00030846" w:rsidRPr="00681F13" w:rsidRDefault="00030846" w:rsidP="004135FE">
      <w:pPr>
        <w:autoSpaceDE w:val="0"/>
        <w:autoSpaceDN w:val="0"/>
        <w:adjustRightInd w:val="0"/>
        <w:spacing w:after="0" w:line="240" w:lineRule="auto"/>
        <w:ind w:firstLine="360"/>
        <w:jc w:val="both"/>
        <w:rPr>
          <w:rFonts w:ascii="Times New Roman" w:hAnsi="Times New Roman" w:cs="Times New Roman"/>
          <w:bCs/>
          <w:sz w:val="28"/>
          <w:szCs w:val="28"/>
        </w:rPr>
      </w:pPr>
      <w:r w:rsidRPr="00681F13">
        <w:rPr>
          <w:rFonts w:ascii="Times New Roman" w:hAnsi="Times New Roman" w:cs="Times New Roman"/>
          <w:bCs/>
          <w:sz w:val="28"/>
          <w:szCs w:val="28"/>
        </w:rPr>
        <w:t>Функциональный блок состоит из трех направлении, которые в свою очередь ответственны за каждое действие процессного блока:</w:t>
      </w:r>
    </w:p>
    <w:p w14:paraId="28C2F294" w14:textId="77777777" w:rsidR="00030846" w:rsidRPr="00681F13" w:rsidRDefault="00030846" w:rsidP="004135FE">
      <w:pPr>
        <w:autoSpaceDE w:val="0"/>
        <w:autoSpaceDN w:val="0"/>
        <w:adjustRightInd w:val="0"/>
        <w:spacing w:after="0" w:line="240" w:lineRule="auto"/>
        <w:jc w:val="both"/>
        <w:rPr>
          <w:rFonts w:ascii="Times New Roman" w:hAnsi="Times New Roman" w:cs="Times New Roman"/>
          <w:bCs/>
          <w:sz w:val="28"/>
          <w:szCs w:val="28"/>
        </w:rPr>
      </w:pPr>
      <w:r w:rsidRPr="00681F13">
        <w:rPr>
          <w:rFonts w:ascii="Times New Roman" w:hAnsi="Times New Roman" w:cs="Times New Roman"/>
          <w:bCs/>
          <w:sz w:val="28"/>
          <w:szCs w:val="28"/>
        </w:rPr>
        <w:t>- Маркетинговое направление функционального блока подразумевает использование маркетинговых коммуникации в зависимости от локальных (стационарных) и мобильных видов деятельности ШД, которое несет ответственность за предварительный процессный блок: Реорганизация ШД с учетом потребностей пациентов и формирование спроса на обучение среди пациентов с СД2т.</w:t>
      </w:r>
    </w:p>
    <w:p w14:paraId="59E0E77D" w14:textId="77777777" w:rsidR="00030846" w:rsidRPr="00681F13" w:rsidRDefault="00030846" w:rsidP="004135FE">
      <w:pPr>
        <w:autoSpaceDE w:val="0"/>
        <w:autoSpaceDN w:val="0"/>
        <w:adjustRightInd w:val="0"/>
        <w:spacing w:after="0" w:line="240" w:lineRule="auto"/>
        <w:jc w:val="both"/>
        <w:rPr>
          <w:rFonts w:ascii="Times New Roman" w:eastAsiaTheme="minorHAnsi" w:hAnsi="Times New Roman" w:cs="Times New Roman"/>
          <w:bCs/>
          <w:sz w:val="28"/>
          <w:szCs w:val="28"/>
          <w:lang w:eastAsia="en-US"/>
        </w:rPr>
      </w:pPr>
      <w:r w:rsidRPr="00681F13">
        <w:rPr>
          <w:rFonts w:ascii="Times New Roman" w:hAnsi="Times New Roman" w:cs="Times New Roman"/>
          <w:bCs/>
          <w:sz w:val="28"/>
          <w:szCs w:val="28"/>
        </w:rPr>
        <w:t>- Оказание услуг медицинским персоналом в зависимости от уровня вмешательств (индивидуальное, групповое, популяционное) определяет функцию п</w:t>
      </w:r>
      <w:r w:rsidRPr="00681F13">
        <w:rPr>
          <w:rFonts w:ascii="Times New Roman" w:eastAsiaTheme="minorHAnsi" w:hAnsi="Times New Roman" w:cs="Times New Roman"/>
          <w:bCs/>
          <w:sz w:val="28"/>
          <w:szCs w:val="28"/>
          <w:lang w:eastAsia="en-US"/>
        </w:rPr>
        <w:t>одготовительного процессного блока: Планирование работы с потенциальными потребностями пациентов; составление графика посещении пациентов; формирование групп; определение порядка предоставления услуг на уровне ПМСП. Так же данное направление функционального блока ответственен за исполнения основного процессного блока, как предоставление качественных, современных услуг основываясь международному опыту и постоянное совершенствование предоставляемой услуги.</w:t>
      </w:r>
    </w:p>
    <w:p w14:paraId="241D8A71" w14:textId="77777777" w:rsidR="00030846" w:rsidRPr="00681F13" w:rsidRDefault="00030846" w:rsidP="004135FE">
      <w:pPr>
        <w:tabs>
          <w:tab w:val="num" w:pos="720"/>
        </w:tabs>
        <w:autoSpaceDE w:val="0"/>
        <w:autoSpaceDN w:val="0"/>
        <w:adjustRightInd w:val="0"/>
        <w:spacing w:after="0" w:line="240" w:lineRule="auto"/>
        <w:jc w:val="both"/>
        <w:rPr>
          <w:rFonts w:ascii="Times New Roman" w:eastAsiaTheme="minorHAnsi" w:hAnsi="Times New Roman" w:cs="Times New Roman"/>
          <w:bCs/>
          <w:sz w:val="28"/>
          <w:szCs w:val="28"/>
          <w:lang w:eastAsia="en-US"/>
        </w:rPr>
      </w:pPr>
      <w:r w:rsidRPr="00681F13">
        <w:rPr>
          <w:rFonts w:ascii="Times New Roman" w:hAnsi="Times New Roman" w:cs="Times New Roman"/>
          <w:bCs/>
          <w:sz w:val="28"/>
          <w:szCs w:val="28"/>
        </w:rPr>
        <w:t>- Контроль качества оказываемых услуг основан на регулярном контроле деятельности кабинета эндокринолога и ШД на соответствия обновленным НПА на уровне ПМСП и СОЗ, что в свою очередь определяет к</w:t>
      </w:r>
      <w:r w:rsidRPr="00681F13">
        <w:rPr>
          <w:rFonts w:ascii="Times New Roman" w:eastAsiaTheme="minorHAnsi" w:hAnsi="Times New Roman" w:cs="Times New Roman"/>
          <w:bCs/>
          <w:sz w:val="28"/>
          <w:szCs w:val="28"/>
          <w:lang w:eastAsia="en-US"/>
        </w:rPr>
        <w:t>онтроль качества по уровню посещаемости пациентов, мотивированность на   обязательное обучение в ШД, уровень выживаемости приобретенных знании в течение 3 лет.</w:t>
      </w:r>
    </w:p>
    <w:p w14:paraId="1C54D756" w14:textId="79E96073" w:rsidR="00030846" w:rsidRPr="00681F13" w:rsidRDefault="00030846" w:rsidP="004135FE">
      <w:pPr>
        <w:autoSpaceDE w:val="0"/>
        <w:autoSpaceDN w:val="0"/>
        <w:adjustRightInd w:val="0"/>
        <w:spacing w:line="240" w:lineRule="auto"/>
        <w:ind w:firstLine="708"/>
        <w:jc w:val="both"/>
        <w:rPr>
          <w:rFonts w:ascii="Times New Roman" w:eastAsiaTheme="minorHAnsi" w:hAnsi="Times New Roman" w:cs="Times New Roman"/>
          <w:bCs/>
          <w:sz w:val="28"/>
          <w:szCs w:val="28"/>
          <w:lang w:eastAsia="en-US"/>
        </w:rPr>
        <w:sectPr w:rsidR="00030846" w:rsidRPr="00681F13" w:rsidSect="00EC71C2">
          <w:type w:val="nextColumn"/>
          <w:pgSz w:w="11906" w:h="16838"/>
          <w:pgMar w:top="1134" w:right="851" w:bottom="1134" w:left="1701" w:header="283" w:footer="283" w:gutter="0"/>
          <w:cols w:space="708"/>
          <w:docGrid w:linePitch="360"/>
        </w:sectPr>
      </w:pPr>
      <w:r w:rsidRPr="00681F13">
        <w:rPr>
          <w:rFonts w:ascii="Times New Roman" w:hAnsi="Times New Roman" w:cs="Times New Roman"/>
          <w:bCs/>
          <w:sz w:val="28"/>
          <w:szCs w:val="28"/>
        </w:rPr>
        <w:t>Блок ключевых показателей основан на взаимодействии разделов процессного блока, что приведет к эффективному д</w:t>
      </w:r>
      <w:r w:rsidRPr="00681F13">
        <w:rPr>
          <w:rFonts w:ascii="Times New Roman" w:eastAsiaTheme="minorHAnsi" w:hAnsi="Times New Roman" w:cs="Times New Roman"/>
          <w:bCs/>
          <w:sz w:val="28"/>
          <w:szCs w:val="28"/>
          <w:lang w:eastAsia="en-US"/>
        </w:rPr>
        <w:t xml:space="preserve">ействию и контролю оказываемых услуг пациентам с СД2т на уровне ПМСП. Объединение предварительного, подготовительного и основного процессов приведет к высокому качеству контроля оказываемых услуг.  Выполнение всех четырех разделов процессного блока приведет к эффективной работе с целевой группой "Пациенты с СД2т". Выполнение основного раздела процессного блока </w:t>
      </w:r>
      <w:r w:rsidRPr="00681F13">
        <w:rPr>
          <w:rFonts w:ascii="Times New Roman" w:hAnsi="Times New Roman" w:cs="Times New Roman"/>
          <w:bCs/>
          <w:sz w:val="28"/>
          <w:szCs w:val="28"/>
        </w:rPr>
        <w:t>оптимизирует рабочее место и функцию врача эндокринолог</w:t>
      </w:r>
      <w:r w:rsidR="004C60DB">
        <w:rPr>
          <w:rFonts w:ascii="Times New Roman" w:hAnsi="Times New Roman" w:cs="Times New Roman"/>
          <w:bCs/>
          <w:sz w:val="28"/>
          <w:szCs w:val="28"/>
        </w:rPr>
        <w:t>а.</w:t>
      </w:r>
    </w:p>
    <w:p w14:paraId="3F95F9CF" w14:textId="2A5572A2" w:rsidR="004C60DB" w:rsidRDefault="00E02255" w:rsidP="004C60DB">
      <w:pPr>
        <w:spacing w:after="0" w:line="240" w:lineRule="auto"/>
        <w:jc w:val="center"/>
        <w:rPr>
          <w:rFonts w:ascii="Times New Roman" w:eastAsia="Times New Roman" w:hAnsi="Times New Roman" w:cs="Times New Roman"/>
          <w:b/>
          <w:noProof/>
          <w:sz w:val="28"/>
          <w:szCs w:val="28"/>
        </w:rPr>
      </w:pPr>
      <w:r>
        <w:rPr>
          <w:noProof/>
        </w:rPr>
        <w:drawing>
          <wp:inline distT="0" distB="0" distL="0" distR="0" wp14:anchorId="2B1B8080" wp14:editId="0B2F434F">
            <wp:extent cx="8486775" cy="499110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30782" t="25085" r="17227" b="11927"/>
                    <a:stretch/>
                  </pic:blipFill>
                  <pic:spPr bwMode="auto">
                    <a:xfrm>
                      <a:off x="0" y="0"/>
                      <a:ext cx="8486775" cy="4991100"/>
                    </a:xfrm>
                    <a:prstGeom prst="rect">
                      <a:avLst/>
                    </a:prstGeom>
                    <a:ln>
                      <a:noFill/>
                    </a:ln>
                    <a:extLst>
                      <a:ext uri="{53640926-AAD7-44D8-BBD7-CCE9431645EC}">
                        <a14:shadowObscured xmlns:a14="http://schemas.microsoft.com/office/drawing/2010/main"/>
                      </a:ext>
                    </a:extLst>
                  </pic:spPr>
                </pic:pic>
              </a:graphicData>
            </a:graphic>
          </wp:inline>
        </w:drawing>
      </w:r>
    </w:p>
    <w:p w14:paraId="668059E7" w14:textId="77777777" w:rsidR="004C60DB" w:rsidRDefault="004C60DB" w:rsidP="004C60DB">
      <w:pPr>
        <w:rPr>
          <w:rFonts w:ascii="Times New Roman" w:eastAsia="Times New Roman" w:hAnsi="Times New Roman" w:cs="Times New Roman"/>
          <w:b/>
          <w:noProof/>
          <w:sz w:val="28"/>
          <w:szCs w:val="28"/>
        </w:rPr>
      </w:pPr>
    </w:p>
    <w:p w14:paraId="46C673F1" w14:textId="77777777" w:rsidR="004C60DB" w:rsidRPr="004C60DB" w:rsidRDefault="004C60DB" w:rsidP="004C60DB">
      <w:pPr>
        <w:spacing w:after="0" w:line="240" w:lineRule="auto"/>
        <w:jc w:val="center"/>
        <w:rPr>
          <w:rFonts w:ascii="Times New Roman" w:hAnsi="Times New Roman" w:cs="Times New Roman"/>
          <w:bCs/>
          <w:sz w:val="28"/>
          <w:szCs w:val="28"/>
        </w:rPr>
      </w:pPr>
      <w:r w:rsidRPr="004C60DB">
        <w:rPr>
          <w:rFonts w:ascii="Times New Roman" w:eastAsia="Times New Roman" w:hAnsi="Times New Roman" w:cs="Times New Roman"/>
          <w:bCs/>
          <w:sz w:val="28"/>
          <w:szCs w:val="28"/>
        </w:rPr>
        <w:t>Рисунок 67 - Реорганизация Школы Диабета</w:t>
      </w:r>
      <w:r w:rsidRPr="004C60DB">
        <w:rPr>
          <w:rFonts w:ascii="Times New Roman" w:hAnsi="Times New Roman" w:cs="Times New Roman"/>
          <w:bCs/>
          <w:sz w:val="28"/>
          <w:szCs w:val="28"/>
        </w:rPr>
        <w:t xml:space="preserve"> на уровне ПМСП</w:t>
      </w:r>
    </w:p>
    <w:p w14:paraId="2CCBE649" w14:textId="77777777" w:rsidR="004C60DB" w:rsidRDefault="004C60DB" w:rsidP="004C60DB">
      <w:pPr>
        <w:jc w:val="center"/>
        <w:rPr>
          <w:rFonts w:ascii="Times New Roman" w:eastAsia="Times New Roman" w:hAnsi="Times New Roman" w:cs="Times New Roman"/>
          <w:b/>
          <w:noProof/>
          <w:sz w:val="28"/>
          <w:szCs w:val="28"/>
        </w:rPr>
      </w:pPr>
    </w:p>
    <w:p w14:paraId="7C27821A" w14:textId="62A05574" w:rsidR="004C60DB" w:rsidRPr="004C60DB" w:rsidRDefault="004C60DB" w:rsidP="004C60DB">
      <w:pPr>
        <w:tabs>
          <w:tab w:val="center" w:pos="7285"/>
        </w:tabs>
        <w:rPr>
          <w:rFonts w:ascii="Times New Roman" w:eastAsia="Times New Roman" w:hAnsi="Times New Roman" w:cs="Times New Roman"/>
          <w:sz w:val="28"/>
          <w:szCs w:val="28"/>
        </w:rPr>
        <w:sectPr w:rsidR="004C60DB" w:rsidRPr="004C60DB" w:rsidSect="004C60DB">
          <w:pgSz w:w="16838" w:h="11906" w:orient="landscape"/>
          <w:pgMar w:top="1701" w:right="1134" w:bottom="851" w:left="1134" w:header="284" w:footer="284" w:gutter="0"/>
          <w:cols w:space="708"/>
          <w:docGrid w:linePitch="360"/>
        </w:sectPr>
      </w:pPr>
    </w:p>
    <w:p w14:paraId="5068812E" w14:textId="0C48504C" w:rsidR="00030846" w:rsidRPr="004C60DB" w:rsidRDefault="00030846" w:rsidP="004C60DB">
      <w:pPr>
        <w:autoSpaceDE w:val="0"/>
        <w:autoSpaceDN w:val="0"/>
        <w:adjustRightInd w:val="0"/>
        <w:spacing w:after="0" w:line="240" w:lineRule="auto"/>
        <w:ind w:firstLine="709"/>
        <w:jc w:val="both"/>
        <w:rPr>
          <w:rFonts w:ascii="Times New Roman" w:hAnsi="Times New Roman" w:cs="Times New Roman"/>
          <w:bCs/>
          <w:sz w:val="28"/>
          <w:szCs w:val="28"/>
        </w:rPr>
      </w:pPr>
      <w:r w:rsidRPr="004C60DB">
        <w:rPr>
          <w:rFonts w:ascii="Times New Roman" w:hAnsi="Times New Roman" w:cs="Times New Roman"/>
          <w:bCs/>
          <w:sz w:val="28"/>
          <w:szCs w:val="28"/>
        </w:rPr>
        <w:t>Эффективное</w:t>
      </w:r>
      <w:r w:rsidR="00A052CA" w:rsidRPr="004C60DB">
        <w:rPr>
          <w:rFonts w:ascii="Times New Roman" w:hAnsi="Times New Roman" w:cs="Times New Roman"/>
          <w:bCs/>
          <w:sz w:val="28"/>
          <w:szCs w:val="28"/>
        </w:rPr>
        <w:t xml:space="preserve"> </w:t>
      </w:r>
      <w:r w:rsidRPr="004C60DB">
        <w:rPr>
          <w:rFonts w:ascii="Times New Roman" w:hAnsi="Times New Roman" w:cs="Times New Roman"/>
          <w:bCs/>
          <w:sz w:val="28"/>
          <w:szCs w:val="28"/>
        </w:rPr>
        <w:t>ведение и привлечение в школу диабета пациентов с СД2т на уровне ПМСП</w:t>
      </w:r>
      <w:r w:rsidR="004C60DB">
        <w:rPr>
          <w:rFonts w:ascii="Times New Roman" w:hAnsi="Times New Roman" w:cs="Times New Roman"/>
          <w:bCs/>
          <w:sz w:val="28"/>
          <w:szCs w:val="28"/>
        </w:rPr>
        <w:t>.</w:t>
      </w:r>
    </w:p>
    <w:p w14:paraId="66C0EDEB" w14:textId="297C0307" w:rsidR="00030846" w:rsidRPr="004C60DB" w:rsidRDefault="00030846" w:rsidP="004C60DB">
      <w:pPr>
        <w:autoSpaceDE w:val="0"/>
        <w:autoSpaceDN w:val="0"/>
        <w:adjustRightInd w:val="0"/>
        <w:spacing w:after="0" w:line="240" w:lineRule="auto"/>
        <w:ind w:firstLine="709"/>
        <w:jc w:val="both"/>
        <w:rPr>
          <w:rFonts w:ascii="Times New Roman" w:hAnsi="Times New Roman" w:cs="Times New Roman"/>
          <w:bCs/>
          <w:sz w:val="28"/>
          <w:szCs w:val="28"/>
        </w:rPr>
      </w:pPr>
      <w:r w:rsidRPr="004C60DB">
        <w:rPr>
          <w:rFonts w:ascii="Times New Roman" w:hAnsi="Times New Roman" w:cs="Times New Roman"/>
          <w:bCs/>
          <w:sz w:val="28"/>
          <w:szCs w:val="28"/>
        </w:rPr>
        <w:t xml:space="preserve"> В Национальном медицинском семинаре «Современные алгоритмы лечения сахарного диабета 2 типа»</w:t>
      </w:r>
      <w:r w:rsidRPr="004C60DB">
        <w:rPr>
          <w:rFonts w:ascii="Times New Roman" w:eastAsia="MinionPro-Regular" w:hAnsi="Times New Roman" w:cs="Times New Roman"/>
          <w:bCs/>
          <w:sz w:val="28"/>
          <w:szCs w:val="28"/>
        </w:rPr>
        <w:t xml:space="preserve"> Базарбекова Р.Б. и др., подтвердили, что в лечении при СД должны существовать общие взгляды со стороны докторов различных специальностей (мультидисциплинарный подход), и прежде всего, одной из целей лечения должна быть профилактика осложнений. О</w:t>
      </w:r>
      <w:r w:rsidRPr="004C60DB">
        <w:rPr>
          <w:rFonts w:ascii="Times New Roman" w:hAnsi="Times New Roman" w:cs="Times New Roman"/>
          <w:bCs/>
          <w:sz w:val="28"/>
          <w:szCs w:val="28"/>
          <w:shd w:val="clear" w:color="auto" w:fill="FFFFFF"/>
        </w:rPr>
        <w:t xml:space="preserve">бзор метаанализов показал, что программы вмешательства, проводимые диетологами, продемонстрировали большую эффективность, чем программы, проводимые другим персоналом и общиной, в виде снижения распространенности факторов риска нарушения толерантности глюкозе, СД2т среди населения и снижения сахара крови, HbA1c, ИМТ среди диабетиков. Эти данные подтверждают роль диетологов в программах профилактики диабета среди </w:t>
      </w:r>
      <w:r w:rsidR="00466CA1" w:rsidRPr="004C60DB">
        <w:rPr>
          <w:rFonts w:ascii="Times New Roman" w:hAnsi="Times New Roman" w:cs="Times New Roman"/>
          <w:bCs/>
          <w:sz w:val="28"/>
          <w:szCs w:val="28"/>
          <w:shd w:val="clear" w:color="auto" w:fill="FFFFFF"/>
        </w:rPr>
        <w:t>населения и осложнении СД2т [181</w:t>
      </w:r>
      <w:r w:rsidRPr="004C60DB">
        <w:rPr>
          <w:rFonts w:ascii="Times New Roman" w:hAnsi="Times New Roman" w:cs="Times New Roman"/>
          <w:bCs/>
          <w:sz w:val="28"/>
          <w:szCs w:val="28"/>
        </w:rPr>
        <w:t xml:space="preserve">]. </w:t>
      </w:r>
      <w:r w:rsidRPr="004C60DB">
        <w:rPr>
          <w:rFonts w:ascii="Times New Roman" w:hAnsi="Times New Roman" w:cs="Times New Roman"/>
          <w:bCs/>
          <w:sz w:val="28"/>
          <w:szCs w:val="28"/>
          <w:shd w:val="clear" w:color="auto" w:fill="FFFFFF"/>
        </w:rPr>
        <w:t xml:space="preserve">На уровне ПМСП согласно приказу №626, диетолог должен участвовать в вмешательствах связанные с образом жизни, но в ШД обучение по правильному питанию не проводит. В ГП отсутствуют диетологи, нет штатной ставки </w:t>
      </w:r>
      <w:r w:rsidRPr="004C60DB">
        <w:rPr>
          <w:rFonts w:ascii="Times New Roman" w:eastAsiaTheme="minorHAnsi" w:hAnsi="Times New Roman" w:cs="Times New Roman"/>
          <w:bCs/>
          <w:sz w:val="28"/>
          <w:szCs w:val="28"/>
          <w:lang w:eastAsia="en-US"/>
        </w:rPr>
        <w:t>согласно приказу МЗ РК от 25 ноября 2020 года № ҚР ДСМ-205/2020 «Об утверждении минимальных нормативов обеспеченности регионов медицинскими работниками»</w:t>
      </w:r>
      <w:r w:rsidRPr="004C60DB">
        <w:rPr>
          <w:rFonts w:ascii="Times New Roman" w:hAnsi="Times New Roman" w:cs="Times New Roman"/>
          <w:bCs/>
          <w:sz w:val="28"/>
          <w:szCs w:val="28"/>
          <w:shd w:val="clear" w:color="auto" w:fill="FFFFFF"/>
        </w:rPr>
        <w:t>. Данная функция возложена на СМР ШД. Рекомендуется пересмотреть ответственных лиц по обучение правильного питания в ШД.</w:t>
      </w:r>
      <w:r w:rsidRPr="004C60DB">
        <w:rPr>
          <w:rFonts w:ascii="Times New Roman" w:hAnsi="Times New Roman" w:cs="Times New Roman"/>
          <w:bCs/>
          <w:sz w:val="28"/>
          <w:szCs w:val="28"/>
        </w:rPr>
        <w:t xml:space="preserve"> Данное предложение разработано для совершенствования сотрудничества при оказании медицинской помощи пациентам с СД2т, с учетом анализа литературных источников (Международная Диабетическая Федерация; Европейский Консенсус по профилактике СД2т; ПУЗ; Г.С.Каюпова, К.А.Тулебаев, Б.С.Турдалиева, З.Р.Сагындыкова, Г.Е. Аимбетова «Разработка мер на уровне ПМСП по повышению медицинской грамотности и изменению поведения пациентов на примере больных СД2т») </w:t>
      </w:r>
      <w:r w:rsidR="00466CA1" w:rsidRPr="004C60DB">
        <w:rPr>
          <w:rFonts w:ascii="Times New Roman" w:hAnsi="Times New Roman" w:cs="Times New Roman"/>
          <w:bCs/>
          <w:sz w:val="28"/>
          <w:szCs w:val="28"/>
          <w:shd w:val="clear" w:color="auto" w:fill="FFFFFF"/>
        </w:rPr>
        <w:t>[196</w:t>
      </w:r>
      <w:r w:rsidRPr="004C60DB">
        <w:rPr>
          <w:rFonts w:ascii="Times New Roman" w:hAnsi="Times New Roman" w:cs="Times New Roman"/>
          <w:bCs/>
          <w:sz w:val="28"/>
          <w:szCs w:val="28"/>
        </w:rPr>
        <w:t>]</w:t>
      </w:r>
    </w:p>
    <w:p w14:paraId="12744FC1" w14:textId="77777777" w:rsidR="00030846" w:rsidRPr="004C60DB" w:rsidRDefault="00030846" w:rsidP="004C60DB">
      <w:pPr>
        <w:autoSpaceDE w:val="0"/>
        <w:autoSpaceDN w:val="0"/>
        <w:adjustRightInd w:val="0"/>
        <w:spacing w:after="0" w:line="240" w:lineRule="auto"/>
        <w:ind w:firstLine="709"/>
        <w:jc w:val="both"/>
        <w:rPr>
          <w:rFonts w:ascii="Times New Roman" w:hAnsi="Times New Roman" w:cs="Times New Roman"/>
          <w:bCs/>
          <w:sz w:val="28"/>
          <w:szCs w:val="28"/>
        </w:rPr>
      </w:pPr>
      <w:r w:rsidRPr="004C60DB">
        <w:rPr>
          <w:rFonts w:ascii="Times New Roman" w:hAnsi="Times New Roman" w:cs="Times New Roman"/>
          <w:bCs/>
          <w:sz w:val="28"/>
          <w:szCs w:val="28"/>
        </w:rPr>
        <w:t>Эффективное ведение и привлечение в школу диабета пациентов с СД2т на уровне ПМСП состоит из четырех организационно- функциональных блоков распределенные на «Уровни вмешательств» → «Вид услуги» → «Ответственные лица за организацию и реализацию мер» → «Функциональные обязанности».</w:t>
      </w:r>
    </w:p>
    <w:p w14:paraId="13244A80" w14:textId="3FC35523" w:rsidR="00030846" w:rsidRPr="004C60DB" w:rsidRDefault="00030846" w:rsidP="004C60DB">
      <w:pPr>
        <w:spacing w:after="0" w:line="240" w:lineRule="auto"/>
        <w:ind w:firstLine="709"/>
        <w:jc w:val="both"/>
        <w:rPr>
          <w:rFonts w:ascii="Times New Roman" w:hAnsi="Times New Roman" w:cs="Times New Roman"/>
          <w:bCs/>
          <w:sz w:val="28"/>
          <w:szCs w:val="28"/>
        </w:rPr>
      </w:pPr>
      <w:r w:rsidRPr="004C60DB">
        <w:rPr>
          <w:rFonts w:ascii="Times New Roman" w:hAnsi="Times New Roman" w:cs="Times New Roman"/>
          <w:bCs/>
          <w:sz w:val="28"/>
          <w:szCs w:val="28"/>
        </w:rPr>
        <w:t>На персональном уровне при индивидуальном введении пациента проводится вид услуги, как консультация, беседа во время приема у врача. Ответственные лица за организацию и реализацию мер врач эндокринолог, психолог, ЛФК, диетолог, гинеколог/уролог и др. узкие спец мультидисциплинарной команды по ПУЗ (кардиолог, нефролог, офтальмолог, невропатолог), ВОП. В функциональные обязанности вышеуказанных сотрудников ПМСП на персональном уровне входят консультация и рекомендации по индивидуальному состоянию пациента, ответы на вопросы пациента.  Так же персонал обязан участвовать в междисциплинарном сотрудничестве, для решения проблем здоровья пациента.</w:t>
      </w:r>
    </w:p>
    <w:p w14:paraId="724ACA7E" w14:textId="4D3D3266" w:rsidR="00030846" w:rsidRPr="004C60DB" w:rsidRDefault="00030846" w:rsidP="004C60DB">
      <w:pPr>
        <w:spacing w:after="0" w:line="240" w:lineRule="auto"/>
        <w:ind w:firstLine="709"/>
        <w:jc w:val="both"/>
        <w:rPr>
          <w:rFonts w:ascii="Times New Roman" w:hAnsi="Times New Roman" w:cs="Times New Roman"/>
          <w:bCs/>
          <w:sz w:val="28"/>
          <w:szCs w:val="28"/>
        </w:rPr>
      </w:pPr>
      <w:r w:rsidRPr="004C60DB">
        <w:rPr>
          <w:rFonts w:ascii="Times New Roman" w:hAnsi="Times New Roman" w:cs="Times New Roman"/>
          <w:bCs/>
          <w:sz w:val="28"/>
          <w:szCs w:val="28"/>
        </w:rPr>
        <w:t>На групповом уровне вмешательств видом услуги определены занятия в Школе Диабета. Каждому члену состава Школы Диабета возложена соответствующая ответственность.</w:t>
      </w:r>
    </w:p>
    <w:p w14:paraId="3A47343E" w14:textId="77777777" w:rsidR="00030846" w:rsidRPr="004C60DB" w:rsidRDefault="00030846" w:rsidP="004C60DB">
      <w:pPr>
        <w:spacing w:after="0" w:line="240" w:lineRule="auto"/>
        <w:ind w:firstLine="709"/>
        <w:jc w:val="both"/>
        <w:rPr>
          <w:rFonts w:ascii="Times New Roman" w:hAnsi="Times New Roman" w:cs="Times New Roman"/>
          <w:bCs/>
          <w:sz w:val="28"/>
          <w:szCs w:val="28"/>
        </w:rPr>
      </w:pPr>
      <w:r w:rsidRPr="004C60DB">
        <w:rPr>
          <w:rFonts w:ascii="Times New Roman" w:hAnsi="Times New Roman" w:cs="Times New Roman"/>
          <w:bCs/>
          <w:sz w:val="28"/>
          <w:szCs w:val="28"/>
        </w:rPr>
        <w:t xml:space="preserve">- Социальному работнику поручается вовремя грамотно формировать группу обучающихся среди пациентов с СД2т в количестве 5-7 человек, для активного участия каждого и освоения материалов. Так же должны учитываться характер лечения при СД2т (таблетки или инсулин), понятный язык подачи информации для пациента. Если есть просьба со стороны пациента формировать группу по возрастному, половому и религиозному признаку, при возможности так же необходимо учесть, для создания благоприятной атмосферы освоения программы школы. После формирования группы, врачи проводят занятия в соответствии уполномоченной компетенции. </w:t>
      </w:r>
    </w:p>
    <w:p w14:paraId="58ABFAB9" w14:textId="77777777" w:rsidR="00030846" w:rsidRPr="004C60DB" w:rsidRDefault="00030846" w:rsidP="004C60DB">
      <w:pPr>
        <w:spacing w:after="0" w:line="240" w:lineRule="auto"/>
        <w:ind w:firstLine="709"/>
        <w:jc w:val="both"/>
        <w:rPr>
          <w:rFonts w:ascii="Times New Roman" w:hAnsi="Times New Roman" w:cs="Times New Roman"/>
          <w:bCs/>
          <w:sz w:val="28"/>
          <w:szCs w:val="28"/>
        </w:rPr>
      </w:pPr>
      <w:r w:rsidRPr="004C60DB">
        <w:rPr>
          <w:rFonts w:ascii="Times New Roman" w:hAnsi="Times New Roman" w:cs="Times New Roman"/>
          <w:bCs/>
          <w:sz w:val="28"/>
          <w:szCs w:val="28"/>
        </w:rPr>
        <w:t xml:space="preserve">- Врач эндокринолог объясняет, что такое диабет, острые и хронические осложнения, обучает навыкам самопомощи и самоконтроля. </w:t>
      </w:r>
    </w:p>
    <w:p w14:paraId="58BE80FE" w14:textId="77777777" w:rsidR="00030846" w:rsidRPr="004C60DB" w:rsidRDefault="00030846" w:rsidP="004C60DB">
      <w:pPr>
        <w:spacing w:after="0" w:line="240" w:lineRule="auto"/>
        <w:ind w:firstLine="709"/>
        <w:jc w:val="both"/>
        <w:rPr>
          <w:rFonts w:ascii="Times New Roman" w:hAnsi="Times New Roman" w:cs="Times New Roman"/>
          <w:bCs/>
          <w:sz w:val="28"/>
          <w:szCs w:val="28"/>
        </w:rPr>
      </w:pPr>
      <w:r w:rsidRPr="004C60DB">
        <w:rPr>
          <w:rFonts w:ascii="Times New Roman" w:hAnsi="Times New Roman" w:cs="Times New Roman"/>
          <w:bCs/>
          <w:sz w:val="28"/>
          <w:szCs w:val="28"/>
        </w:rPr>
        <w:t>- Психолог проводит занятия по психосоциальной адаптации к образу жизни при наличии СД2т, по контролю и избавлению вредных привычек. Поможет перебороть барьеры для соблюдения приверженности в дебюте выставления диагноза или после изменения терапевтического назначения рекомендации, страх перед инсулинотерапией. Это так же облегчит рабочий процесс врача эндокринолога на приеме и обеспечит профилактику психосоциального благополучия пациентов, совершенствования самоконтроля и управления заболеванием. В определенных ситуациях при оказании психосоциальной поддержки пациента с СД2т, надо привлечь семью, особенно если несовершеннолетний или не способный к самоуходу, самоконтролю пациент.</w:t>
      </w:r>
    </w:p>
    <w:p w14:paraId="1F677ECC" w14:textId="77777777" w:rsidR="00030846" w:rsidRPr="004C60DB" w:rsidRDefault="00030846" w:rsidP="004C60DB">
      <w:pPr>
        <w:spacing w:after="0" w:line="240" w:lineRule="auto"/>
        <w:ind w:firstLine="709"/>
        <w:jc w:val="both"/>
        <w:rPr>
          <w:rFonts w:ascii="Times New Roman" w:hAnsi="Times New Roman" w:cs="Times New Roman"/>
          <w:bCs/>
          <w:sz w:val="28"/>
          <w:szCs w:val="28"/>
        </w:rPr>
      </w:pPr>
      <w:r w:rsidRPr="004C60DB">
        <w:rPr>
          <w:rFonts w:ascii="Times New Roman" w:hAnsi="Times New Roman" w:cs="Times New Roman"/>
          <w:bCs/>
          <w:sz w:val="28"/>
          <w:szCs w:val="28"/>
        </w:rPr>
        <w:t xml:space="preserve">- ЛФК врач ведет урок о важности физическая активности при СД2т, контроль сахара и коррекция питания в зависимости от нагрузок активности и частоты. </w:t>
      </w:r>
    </w:p>
    <w:p w14:paraId="60780883" w14:textId="77777777" w:rsidR="00030846" w:rsidRPr="004C60DB" w:rsidRDefault="00030846" w:rsidP="004C60DB">
      <w:pPr>
        <w:spacing w:after="0" w:line="240" w:lineRule="auto"/>
        <w:ind w:firstLine="709"/>
        <w:jc w:val="both"/>
        <w:rPr>
          <w:rFonts w:ascii="Times New Roman" w:hAnsi="Times New Roman" w:cs="Times New Roman"/>
          <w:bCs/>
          <w:sz w:val="28"/>
          <w:szCs w:val="28"/>
        </w:rPr>
      </w:pPr>
      <w:r w:rsidRPr="004C60DB">
        <w:rPr>
          <w:rFonts w:ascii="Times New Roman" w:hAnsi="Times New Roman" w:cs="Times New Roman"/>
          <w:bCs/>
          <w:sz w:val="28"/>
          <w:szCs w:val="28"/>
        </w:rPr>
        <w:t xml:space="preserve">- Диетолог врач с пациентами грамотно поможет составить меню на 1 нед на 4 сезона года. Обучит как определять и считать хлебные единицы в соответствии состояния гипергликемии. </w:t>
      </w:r>
    </w:p>
    <w:p w14:paraId="77EB7077" w14:textId="77777777" w:rsidR="00030846" w:rsidRPr="004C60DB" w:rsidRDefault="00030846" w:rsidP="004C60DB">
      <w:pPr>
        <w:spacing w:after="0" w:line="240" w:lineRule="auto"/>
        <w:ind w:firstLine="709"/>
        <w:jc w:val="both"/>
        <w:rPr>
          <w:rFonts w:ascii="Times New Roman" w:hAnsi="Times New Roman" w:cs="Times New Roman"/>
          <w:bCs/>
          <w:sz w:val="28"/>
          <w:szCs w:val="28"/>
        </w:rPr>
      </w:pPr>
      <w:r w:rsidRPr="004C60DB">
        <w:rPr>
          <w:rFonts w:ascii="Times New Roman" w:hAnsi="Times New Roman" w:cs="Times New Roman"/>
          <w:bCs/>
          <w:sz w:val="28"/>
          <w:szCs w:val="28"/>
        </w:rPr>
        <w:t xml:space="preserve">- Фармацевт поможет разобраться пациентам о фармакологическом действии (показания, противопоказания, побочные эффекты) 8 групп препаратов при СД2т. </w:t>
      </w:r>
    </w:p>
    <w:p w14:paraId="1E466E22" w14:textId="77777777" w:rsidR="00030846" w:rsidRPr="004C60DB" w:rsidRDefault="00030846" w:rsidP="004C60DB">
      <w:pPr>
        <w:spacing w:after="0" w:line="240" w:lineRule="auto"/>
        <w:ind w:firstLine="709"/>
        <w:jc w:val="both"/>
        <w:rPr>
          <w:rFonts w:ascii="Times New Roman" w:hAnsi="Times New Roman" w:cs="Times New Roman"/>
          <w:bCs/>
          <w:sz w:val="28"/>
          <w:szCs w:val="28"/>
        </w:rPr>
      </w:pPr>
      <w:r w:rsidRPr="004C60DB">
        <w:rPr>
          <w:rFonts w:ascii="Times New Roman" w:hAnsi="Times New Roman" w:cs="Times New Roman"/>
          <w:bCs/>
          <w:sz w:val="28"/>
          <w:szCs w:val="28"/>
        </w:rPr>
        <w:t xml:space="preserve">- Врач гинеколог/уролог проведет занятия по репродуктивному потенциалу, частоту диагностики, профилактику осложнении при СД2 органов мочеполовой системы, самоуход и гигиену. </w:t>
      </w:r>
    </w:p>
    <w:p w14:paraId="0EFBCD38" w14:textId="77777777" w:rsidR="00030846" w:rsidRPr="004C60DB" w:rsidRDefault="00030846" w:rsidP="004C60DB">
      <w:pPr>
        <w:spacing w:after="0" w:line="240" w:lineRule="auto"/>
        <w:ind w:firstLine="709"/>
        <w:jc w:val="both"/>
        <w:rPr>
          <w:rFonts w:ascii="Times New Roman" w:hAnsi="Times New Roman" w:cs="Times New Roman"/>
          <w:bCs/>
          <w:sz w:val="28"/>
          <w:szCs w:val="28"/>
        </w:rPr>
      </w:pPr>
      <w:r w:rsidRPr="004C60DB">
        <w:rPr>
          <w:rFonts w:ascii="Times New Roman" w:hAnsi="Times New Roman" w:cs="Times New Roman"/>
          <w:bCs/>
          <w:sz w:val="28"/>
          <w:szCs w:val="28"/>
        </w:rPr>
        <w:t xml:space="preserve">- ВОП (или подолог) обучит самоконтролю, необходимости своевременной консультаций узких специалистов, уход за кожей, ногами и подбор правильной обуви. </w:t>
      </w:r>
    </w:p>
    <w:p w14:paraId="6CFCA007" w14:textId="4F76D32C" w:rsidR="00030846" w:rsidRPr="004C60DB" w:rsidRDefault="00030846" w:rsidP="004C60DB">
      <w:pPr>
        <w:spacing w:after="0" w:line="240" w:lineRule="auto"/>
        <w:ind w:firstLine="709"/>
        <w:jc w:val="both"/>
        <w:rPr>
          <w:rFonts w:ascii="Times New Roman" w:hAnsi="Times New Roman" w:cs="Times New Roman"/>
          <w:bCs/>
          <w:sz w:val="28"/>
          <w:szCs w:val="28"/>
        </w:rPr>
      </w:pPr>
      <w:r w:rsidRPr="004C60DB">
        <w:rPr>
          <w:rFonts w:ascii="Times New Roman" w:hAnsi="Times New Roman" w:cs="Times New Roman"/>
          <w:bCs/>
          <w:sz w:val="28"/>
          <w:szCs w:val="28"/>
        </w:rPr>
        <w:t xml:space="preserve">На популяционном уровне вмешательств предоставят услуги по обеспечению информации по медицинской грамотности при СД2т, для самостоятельного ознакомления пациентов. Для этого необходимо на сайте поликлиники создать раздел для Школы Диабета с программой и рекомендациями в виде видеороликов, картин, иллюстрационных рекомендации для пациентов с СД2т под контролем службы общественного здоровья города и администрации МО. Так же ими согласуются и утверждаются состав инструкторов Школы Диабета, учитывая объем обслуживаемой территории и возможности обеспечения кадрами ГП. После согласования состава, инструкторы школы предоставляют содержание программы обучения </w:t>
      </w:r>
      <w:r w:rsidRPr="004C60DB">
        <w:rPr>
          <w:rFonts w:ascii="Times New Roman" w:hAnsi="Times New Roman" w:cs="Times New Roman"/>
          <w:bCs/>
          <w:sz w:val="28"/>
          <w:szCs w:val="28"/>
          <w:lang w:val="en-US"/>
        </w:rPr>
        <w:t>IT</w:t>
      </w:r>
      <w:r w:rsidRPr="004C60DB">
        <w:rPr>
          <w:rFonts w:ascii="Times New Roman" w:hAnsi="Times New Roman" w:cs="Times New Roman"/>
          <w:bCs/>
          <w:sz w:val="28"/>
          <w:szCs w:val="28"/>
        </w:rPr>
        <w:t>-сотрудникам МО. Они в свою очередь оформляют и своевременно обновляют, обеспечивая бесперебойный доступ к информации на сайте для населения.</w:t>
      </w:r>
    </w:p>
    <w:p w14:paraId="32941FB5" w14:textId="77777777" w:rsidR="00030846" w:rsidRPr="004C60DB" w:rsidRDefault="00030846" w:rsidP="004135FE">
      <w:pPr>
        <w:spacing w:after="0" w:line="240" w:lineRule="auto"/>
        <w:ind w:firstLine="708"/>
        <w:jc w:val="both"/>
        <w:rPr>
          <w:rFonts w:ascii="Times New Roman" w:hAnsi="Times New Roman" w:cs="Times New Roman"/>
          <w:bCs/>
          <w:sz w:val="28"/>
          <w:szCs w:val="28"/>
        </w:rPr>
        <w:sectPr w:rsidR="00030846" w:rsidRPr="004C60DB" w:rsidSect="004C60DB">
          <w:pgSz w:w="11906" w:h="16838"/>
          <w:pgMar w:top="1134" w:right="851" w:bottom="1134" w:left="1701" w:header="283" w:footer="283" w:gutter="0"/>
          <w:cols w:space="708"/>
          <w:docGrid w:linePitch="360"/>
        </w:sectPr>
      </w:pPr>
      <w:r w:rsidRPr="004C60DB">
        <w:rPr>
          <w:rFonts w:ascii="Times New Roman" w:hAnsi="Times New Roman" w:cs="Times New Roman"/>
          <w:bCs/>
          <w:sz w:val="28"/>
          <w:szCs w:val="28"/>
        </w:rPr>
        <w:t>На популяционном уровне для большей эффективности необходимо межсекторальное сотрудничество  на государственном уровне.</w:t>
      </w:r>
    </w:p>
    <w:p w14:paraId="692F9D1F" w14:textId="77777777" w:rsidR="004C60DB" w:rsidRDefault="004C60DB" w:rsidP="004135FE">
      <w:pPr>
        <w:spacing w:after="0" w:line="240" w:lineRule="auto"/>
        <w:jc w:val="both"/>
        <w:rPr>
          <w:rFonts w:ascii="Times New Roman" w:hAnsi="Times New Roman" w:cs="Times New Roman"/>
          <w:b/>
          <w:bCs/>
          <w:sz w:val="28"/>
          <w:szCs w:val="28"/>
        </w:rPr>
      </w:pPr>
    </w:p>
    <w:p w14:paraId="69F89A76" w14:textId="667777BB" w:rsidR="004C60DB" w:rsidRDefault="00910E87" w:rsidP="00910E87">
      <w:pPr>
        <w:spacing w:after="0" w:line="240" w:lineRule="auto"/>
        <w:jc w:val="center"/>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1039239E" wp14:editId="42F1C09B">
            <wp:extent cx="8018660" cy="4800600"/>
            <wp:effectExtent l="0" t="0" r="190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118">
                      <a:extLst>
                        <a:ext uri="{28A0092B-C50C-407E-A947-70E740481C1C}">
                          <a14:useLocalDpi xmlns:a14="http://schemas.microsoft.com/office/drawing/2010/main" val="0"/>
                        </a:ext>
                      </a:extLst>
                    </a:blip>
                    <a:stretch>
                      <a:fillRect/>
                    </a:stretch>
                  </pic:blipFill>
                  <pic:spPr>
                    <a:xfrm>
                      <a:off x="0" y="0"/>
                      <a:ext cx="8062168" cy="4826647"/>
                    </a:xfrm>
                    <a:prstGeom prst="rect">
                      <a:avLst/>
                    </a:prstGeom>
                  </pic:spPr>
                </pic:pic>
              </a:graphicData>
            </a:graphic>
          </wp:inline>
        </w:drawing>
      </w:r>
    </w:p>
    <w:p w14:paraId="22047B69" w14:textId="77777777" w:rsidR="004C60DB" w:rsidRDefault="004C60DB" w:rsidP="004135FE">
      <w:pPr>
        <w:spacing w:after="0" w:line="240" w:lineRule="auto"/>
        <w:jc w:val="both"/>
        <w:rPr>
          <w:rFonts w:ascii="Times New Roman" w:hAnsi="Times New Roman" w:cs="Times New Roman"/>
          <w:b/>
          <w:bCs/>
          <w:sz w:val="28"/>
          <w:szCs w:val="28"/>
        </w:rPr>
      </w:pPr>
    </w:p>
    <w:p w14:paraId="78298135" w14:textId="77777777" w:rsidR="004C60DB" w:rsidRDefault="004C60DB" w:rsidP="004135FE">
      <w:pPr>
        <w:spacing w:after="0" w:line="240" w:lineRule="auto"/>
        <w:jc w:val="both"/>
        <w:rPr>
          <w:rFonts w:ascii="Times New Roman" w:hAnsi="Times New Roman" w:cs="Times New Roman"/>
          <w:b/>
          <w:bCs/>
          <w:sz w:val="28"/>
          <w:szCs w:val="28"/>
        </w:rPr>
      </w:pPr>
    </w:p>
    <w:p w14:paraId="0CD4F4F1" w14:textId="77777777" w:rsidR="00910E87" w:rsidRPr="004C60DB" w:rsidRDefault="00910E87" w:rsidP="00910E87">
      <w:pPr>
        <w:spacing w:after="0" w:line="240" w:lineRule="auto"/>
        <w:jc w:val="center"/>
        <w:rPr>
          <w:rFonts w:ascii="Times New Roman" w:hAnsi="Times New Roman" w:cs="Times New Roman"/>
          <w:b/>
          <w:sz w:val="28"/>
          <w:szCs w:val="28"/>
        </w:rPr>
        <w:sectPr w:rsidR="00910E87" w:rsidRPr="004C60DB" w:rsidSect="00EC71C2">
          <w:type w:val="nextColumn"/>
          <w:pgSz w:w="16838" w:h="11906" w:orient="landscape"/>
          <w:pgMar w:top="1134" w:right="851" w:bottom="1134" w:left="1701" w:header="283" w:footer="283" w:gutter="0"/>
          <w:cols w:space="708"/>
          <w:docGrid w:linePitch="360"/>
        </w:sectPr>
      </w:pPr>
      <w:r w:rsidRPr="004C60DB">
        <w:rPr>
          <w:rFonts w:ascii="Times New Roman" w:hAnsi="Times New Roman" w:cs="Times New Roman"/>
          <w:sz w:val="28"/>
          <w:szCs w:val="28"/>
        </w:rPr>
        <w:t>Рисунок 68- Эффективное ведение и привлечение в школу диабета пациентов с СД2т на уровне ПМСП</w:t>
      </w:r>
    </w:p>
    <w:p w14:paraId="43C6D2B6" w14:textId="77777777" w:rsidR="00030846" w:rsidRPr="00910E87" w:rsidRDefault="00030846" w:rsidP="00910E87">
      <w:pPr>
        <w:tabs>
          <w:tab w:val="left" w:pos="0"/>
        </w:tabs>
        <w:spacing w:after="0" w:line="240" w:lineRule="auto"/>
        <w:jc w:val="center"/>
        <w:rPr>
          <w:rFonts w:ascii="Times New Roman" w:hAnsi="Times New Roman" w:cs="Times New Roman"/>
          <w:bCs/>
          <w:i/>
          <w:iCs/>
          <w:spacing w:val="2"/>
          <w:sz w:val="28"/>
          <w:szCs w:val="28"/>
        </w:rPr>
      </w:pPr>
      <w:r w:rsidRPr="00910E87">
        <w:rPr>
          <w:rFonts w:ascii="Times New Roman" w:hAnsi="Times New Roman" w:cs="Times New Roman"/>
          <w:bCs/>
          <w:i/>
          <w:iCs/>
          <w:spacing w:val="2"/>
          <w:sz w:val="28"/>
          <w:szCs w:val="28"/>
        </w:rPr>
        <w:t>Маршрут по психосоциальной поддержке пациентов с СД2т на уровне ПМСП</w:t>
      </w:r>
    </w:p>
    <w:p w14:paraId="1BE56948" w14:textId="77777777" w:rsidR="00030846" w:rsidRPr="00910E87" w:rsidRDefault="00030846" w:rsidP="00910E87">
      <w:pPr>
        <w:spacing w:after="0" w:line="240" w:lineRule="auto"/>
        <w:ind w:firstLine="709"/>
        <w:jc w:val="both"/>
        <w:rPr>
          <w:rFonts w:ascii="Times New Roman" w:hAnsi="Times New Roman" w:cs="Times New Roman"/>
          <w:bCs/>
          <w:sz w:val="28"/>
          <w:szCs w:val="28"/>
        </w:rPr>
      </w:pPr>
      <w:r w:rsidRPr="00910E87">
        <w:rPr>
          <w:rFonts w:ascii="Times New Roman" w:hAnsi="Times New Roman" w:cs="Times New Roman"/>
          <w:bCs/>
          <w:sz w:val="28"/>
          <w:szCs w:val="28"/>
        </w:rPr>
        <w:t>Значительное количество пациентов с диагнозом СД2т испытывают психосоциальное бремя и проблемы психического здоровья, связанные с этим заболеванием. Дистресс, связанный с диабетом, оказывает выраженное влияние на поведение по уходу за собой и контроль заболеваний. Улучшение психосоциальной поддержки пациентов может повысить качество жизни, благополучие, связанное со здоровьем, способность к самообслуживанию и контролю заболеваний, а также уменьшить депрессивные симптомы</w:t>
      </w:r>
    </w:p>
    <w:p w14:paraId="4B04AF85" w14:textId="77777777" w:rsidR="00030846" w:rsidRPr="00910E87" w:rsidRDefault="00030846" w:rsidP="00910E87">
      <w:pPr>
        <w:autoSpaceDE w:val="0"/>
        <w:autoSpaceDN w:val="0"/>
        <w:adjustRightInd w:val="0"/>
        <w:spacing w:after="0" w:line="240" w:lineRule="auto"/>
        <w:ind w:firstLine="709"/>
        <w:jc w:val="both"/>
        <w:rPr>
          <w:rFonts w:ascii="Times New Roman" w:hAnsi="Times New Roman" w:cs="Times New Roman"/>
          <w:bCs/>
          <w:sz w:val="28"/>
          <w:szCs w:val="28"/>
        </w:rPr>
      </w:pPr>
      <w:r w:rsidRPr="00910E87">
        <w:rPr>
          <w:rFonts w:ascii="Times New Roman" w:hAnsi="Times New Roman" w:cs="Times New Roman"/>
          <w:bCs/>
          <w:sz w:val="28"/>
          <w:szCs w:val="28"/>
        </w:rPr>
        <w:t>Учитывая стрессовые ситуации, эмоциональное состояние пациентов, которые влекут вред на здоровья, с целью достижения более стабильного уровня HbA1c, позитивных эмоции и улучшения качества жизни, психосоциальную поддержку необходимо включить в терапевтический процесс пациентов с СД2т в протокол лечения и диагностики.</w:t>
      </w:r>
    </w:p>
    <w:p w14:paraId="0DCE5C48" w14:textId="59E59F76" w:rsidR="00030846" w:rsidRPr="00910E87" w:rsidRDefault="00030846" w:rsidP="00910E87">
      <w:pPr>
        <w:spacing w:after="0" w:line="240" w:lineRule="auto"/>
        <w:ind w:firstLine="709"/>
        <w:jc w:val="both"/>
        <w:rPr>
          <w:rFonts w:ascii="Times New Roman" w:hAnsi="Times New Roman" w:cs="Times New Roman"/>
          <w:bCs/>
          <w:spacing w:val="2"/>
          <w:sz w:val="28"/>
          <w:szCs w:val="28"/>
        </w:rPr>
      </w:pPr>
      <w:r w:rsidRPr="00910E87">
        <w:rPr>
          <w:rFonts w:ascii="Times New Roman" w:hAnsi="Times New Roman" w:cs="Times New Roman"/>
          <w:bCs/>
          <w:spacing w:val="2"/>
          <w:sz w:val="28"/>
          <w:szCs w:val="28"/>
        </w:rPr>
        <w:t>Согласно приказу, в динамическом наблюдении пациента с СД2т координатором является СМР ПМСП, который определяет необходимость психосоциальной помощи для пациента и направляет к психологу. Учитывая компетенции не только СМР, но и ВОП, определение необходимости помощи должен координировать врач-эндокринолог. Но в соответствии с клиническим протоколом диагностики и лечения</w:t>
      </w:r>
      <w:r w:rsidR="00976E9B" w:rsidRPr="00910E87">
        <w:rPr>
          <w:rFonts w:ascii="Times New Roman" w:hAnsi="Times New Roman" w:cs="Times New Roman"/>
          <w:bCs/>
          <w:spacing w:val="2"/>
          <w:sz w:val="28"/>
          <w:szCs w:val="28"/>
        </w:rPr>
        <w:t xml:space="preserve"> СД2т</w:t>
      </w:r>
      <w:r w:rsidRPr="00910E87">
        <w:rPr>
          <w:rFonts w:ascii="Times New Roman" w:hAnsi="Times New Roman" w:cs="Times New Roman"/>
          <w:bCs/>
          <w:spacing w:val="2"/>
          <w:sz w:val="28"/>
          <w:szCs w:val="28"/>
        </w:rPr>
        <w:t xml:space="preserve">, </w:t>
      </w:r>
      <w:r w:rsidRPr="00910E87">
        <w:rPr>
          <w:rFonts w:ascii="Times New Roman" w:hAnsi="Times New Roman" w:cs="Times New Roman"/>
          <w:bCs/>
          <w:sz w:val="28"/>
          <w:szCs w:val="28"/>
        </w:rPr>
        <w:t>не предусмотрена такая функция врача эндокринолога.</w:t>
      </w:r>
    </w:p>
    <w:p w14:paraId="40B6FD43" w14:textId="77777777" w:rsidR="00030846" w:rsidRPr="00910E87" w:rsidRDefault="00030846" w:rsidP="00910E87">
      <w:pPr>
        <w:shd w:val="clear" w:color="auto" w:fill="FFFFFF"/>
        <w:spacing w:after="0" w:line="240" w:lineRule="auto"/>
        <w:ind w:firstLine="709"/>
        <w:jc w:val="both"/>
        <w:textAlignment w:val="baseline"/>
        <w:rPr>
          <w:rFonts w:ascii="Times New Roman" w:eastAsiaTheme="minorHAnsi" w:hAnsi="Times New Roman" w:cs="Times New Roman"/>
          <w:bCs/>
          <w:sz w:val="28"/>
          <w:szCs w:val="28"/>
          <w:lang w:eastAsia="en-US"/>
        </w:rPr>
      </w:pPr>
      <w:r w:rsidRPr="00910E87">
        <w:rPr>
          <w:rFonts w:ascii="Times New Roman" w:hAnsi="Times New Roman" w:cs="Times New Roman"/>
          <w:bCs/>
          <w:spacing w:val="2"/>
          <w:sz w:val="28"/>
          <w:szCs w:val="28"/>
        </w:rPr>
        <w:t xml:space="preserve">В результате социологического исследования, выявлено, что психосоциальная поддержка остается не реализованной при ПМСП, по причине что не хватает времени, а также недостаточный уровень владения навыками персонала выявления, ведения пациентов и делегирования другим специалистам по состоянию тяжести ментального статуса. </w:t>
      </w:r>
      <w:r w:rsidRPr="00910E87">
        <w:rPr>
          <w:rFonts w:ascii="Times New Roman" w:hAnsi="Times New Roman" w:cs="Times New Roman"/>
          <w:bCs/>
          <w:sz w:val="28"/>
          <w:szCs w:val="28"/>
        </w:rPr>
        <w:t>Так же при анализе Модели Всеобъемлющей амбулаторно-поликлинической помощи (</w:t>
      </w:r>
      <w:r w:rsidRPr="00910E87">
        <w:rPr>
          <w:rFonts w:ascii="Times New Roman" w:eastAsiaTheme="minorHAnsi" w:hAnsi="Times New Roman" w:cs="Times New Roman"/>
          <w:bCs/>
          <w:sz w:val="28"/>
          <w:szCs w:val="28"/>
          <w:lang w:eastAsia="en-US"/>
        </w:rPr>
        <w:t>ВОАПП) на уровне узких специалистов, обнаружено, что у</w:t>
      </w:r>
      <w:r w:rsidRPr="00910E87">
        <w:rPr>
          <w:rFonts w:ascii="Times New Roman" w:hAnsi="Times New Roman" w:cs="Times New Roman"/>
          <w:bCs/>
          <w:sz w:val="28"/>
          <w:szCs w:val="28"/>
        </w:rPr>
        <w:t xml:space="preserve"> персонала нет навыков выявления психосоциальных проблем пациента с СД2т; нет навыков по оценка психосоциального статуса пациента и распределение по специфике; нет четкого маршрута пациента и контроль за его выполнением.</w:t>
      </w:r>
    </w:p>
    <w:p w14:paraId="471EDBA4" w14:textId="7DF665D0" w:rsidR="00030846" w:rsidRPr="00910E87" w:rsidRDefault="00030846" w:rsidP="00910E87">
      <w:pPr>
        <w:shd w:val="clear" w:color="auto" w:fill="FFFFFF"/>
        <w:spacing w:after="0" w:line="240" w:lineRule="auto"/>
        <w:ind w:firstLine="709"/>
        <w:jc w:val="both"/>
        <w:textAlignment w:val="baseline"/>
        <w:rPr>
          <w:rFonts w:ascii="Times New Roman" w:hAnsi="Times New Roman" w:cs="Times New Roman"/>
          <w:bCs/>
          <w:sz w:val="28"/>
          <w:szCs w:val="28"/>
        </w:rPr>
      </w:pPr>
      <w:r w:rsidRPr="00910E87">
        <w:rPr>
          <w:rFonts w:ascii="Times New Roman" w:hAnsi="Times New Roman" w:cs="Times New Roman"/>
          <w:bCs/>
          <w:spacing w:val="2"/>
          <w:sz w:val="28"/>
          <w:szCs w:val="28"/>
        </w:rPr>
        <w:t xml:space="preserve">Рекомендованный нами маршрут пациента с СД2т при оказаниях психосоциальной помощи состоит из двух частей алгоритмов, адаптированный из </w:t>
      </w:r>
      <w:r w:rsidRPr="00910E87">
        <w:rPr>
          <w:rFonts w:ascii="Times New Roman" w:hAnsi="Times New Roman" w:cs="Times New Roman"/>
          <w:bCs/>
          <w:sz w:val="28"/>
          <w:szCs w:val="28"/>
        </w:rPr>
        <w:t xml:space="preserve">протокола </w:t>
      </w:r>
      <w:r w:rsidRPr="00910E87">
        <w:rPr>
          <w:rFonts w:ascii="Times New Roman" w:hAnsi="Times New Roman" w:cs="Times New Roman"/>
          <w:bCs/>
          <w:sz w:val="28"/>
          <w:szCs w:val="28"/>
          <w:lang w:val="en-US"/>
        </w:rPr>
        <w:t>ADA</w:t>
      </w:r>
      <w:r w:rsidRPr="00910E87">
        <w:rPr>
          <w:rFonts w:ascii="Times New Roman" w:hAnsi="Times New Roman" w:cs="Times New Roman"/>
          <w:bCs/>
          <w:sz w:val="28"/>
          <w:szCs w:val="28"/>
        </w:rPr>
        <w:t xml:space="preserve"> и 9-ого выпуска Алгоритма специализированной медицинской помощи больным сахарным диабетом, под редакцией И.И.Дедова, М.В.</w:t>
      </w:r>
      <w:r w:rsidR="00910E87">
        <w:rPr>
          <w:rFonts w:ascii="Times New Roman" w:hAnsi="Times New Roman" w:cs="Times New Roman"/>
          <w:bCs/>
          <w:sz w:val="28"/>
          <w:szCs w:val="28"/>
        </w:rPr>
        <w:t xml:space="preserve"> </w:t>
      </w:r>
      <w:r w:rsidRPr="00910E87">
        <w:rPr>
          <w:rFonts w:ascii="Times New Roman" w:hAnsi="Times New Roman" w:cs="Times New Roman"/>
          <w:bCs/>
          <w:sz w:val="28"/>
          <w:szCs w:val="28"/>
        </w:rPr>
        <w:t>Шестаковой.</w:t>
      </w:r>
    </w:p>
    <w:p w14:paraId="08E670E5" w14:textId="77777777" w:rsidR="00030846" w:rsidRPr="00910E87" w:rsidRDefault="00030846" w:rsidP="00910E87">
      <w:pPr>
        <w:autoSpaceDE w:val="0"/>
        <w:autoSpaceDN w:val="0"/>
        <w:adjustRightInd w:val="0"/>
        <w:spacing w:after="0" w:line="240" w:lineRule="auto"/>
        <w:ind w:firstLine="709"/>
        <w:jc w:val="both"/>
        <w:rPr>
          <w:rFonts w:ascii="Times New Roman" w:hAnsi="Times New Roman" w:cs="Times New Roman"/>
          <w:bCs/>
          <w:sz w:val="28"/>
          <w:szCs w:val="28"/>
        </w:rPr>
      </w:pPr>
      <w:r w:rsidRPr="00910E87">
        <w:rPr>
          <w:rFonts w:ascii="Times New Roman" w:hAnsi="Times New Roman" w:cs="Times New Roman"/>
          <w:bCs/>
          <w:sz w:val="28"/>
          <w:szCs w:val="28"/>
        </w:rPr>
        <w:t>Ⅰ. Диагностика и оценка аспектов психосоциального статуса пациента с СД2т</w:t>
      </w:r>
    </w:p>
    <w:p w14:paraId="0B85A4A3" w14:textId="77777777" w:rsidR="00030846" w:rsidRPr="00910E87" w:rsidRDefault="00030846" w:rsidP="00910E87">
      <w:pPr>
        <w:spacing w:after="0" w:line="240" w:lineRule="auto"/>
        <w:ind w:firstLine="709"/>
        <w:jc w:val="both"/>
        <w:rPr>
          <w:rFonts w:ascii="Times New Roman" w:hAnsi="Times New Roman" w:cs="Times New Roman"/>
          <w:bCs/>
          <w:sz w:val="28"/>
          <w:szCs w:val="28"/>
        </w:rPr>
      </w:pPr>
      <w:r w:rsidRPr="00910E87">
        <w:rPr>
          <w:rFonts w:ascii="Times New Roman" w:hAnsi="Times New Roman" w:cs="Times New Roman"/>
          <w:bCs/>
          <w:sz w:val="28"/>
          <w:szCs w:val="28"/>
        </w:rPr>
        <w:t>На уровне Врача эндокринолога необходимо вовремя определить и принять меры, не пропуская важные этапы провоцирующие проявления признаков и жалоб пациента с СД2т:</w:t>
      </w:r>
    </w:p>
    <w:p w14:paraId="2109B179" w14:textId="70ACC72F" w:rsidR="00030846" w:rsidRPr="00910E87" w:rsidRDefault="00910E87" w:rsidP="00910E87">
      <w:pPr>
        <w:spacing w:after="0" w:line="240" w:lineRule="auto"/>
        <w:ind w:left="709"/>
        <w:jc w:val="both"/>
        <w:rPr>
          <w:rFonts w:ascii="Times New Roman" w:hAnsi="Times New Roman" w:cs="Times New Roman"/>
          <w:bCs/>
          <w:sz w:val="28"/>
          <w:szCs w:val="28"/>
        </w:rPr>
      </w:pPr>
      <w:r>
        <w:rPr>
          <w:rFonts w:ascii="Times New Roman" w:hAnsi="Times New Roman" w:cs="Times New Roman"/>
          <w:bCs/>
          <w:sz w:val="28"/>
          <w:szCs w:val="28"/>
        </w:rPr>
        <w:t xml:space="preserve">- </w:t>
      </w:r>
      <w:r w:rsidR="00030846" w:rsidRPr="00910E87">
        <w:rPr>
          <w:rFonts w:ascii="Times New Roman" w:hAnsi="Times New Roman" w:cs="Times New Roman"/>
          <w:bCs/>
          <w:sz w:val="28"/>
          <w:szCs w:val="28"/>
        </w:rPr>
        <w:t>Дебют заболевания</w:t>
      </w:r>
      <w:r>
        <w:rPr>
          <w:rFonts w:ascii="Times New Roman" w:hAnsi="Times New Roman" w:cs="Times New Roman"/>
          <w:bCs/>
          <w:sz w:val="28"/>
          <w:szCs w:val="28"/>
        </w:rPr>
        <w:t>;</w:t>
      </w:r>
    </w:p>
    <w:p w14:paraId="0BEA218A" w14:textId="2F624232" w:rsidR="00030846" w:rsidRPr="00910E87" w:rsidRDefault="00910E87" w:rsidP="00910E87">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 </w:t>
      </w:r>
      <w:r w:rsidR="00030846" w:rsidRPr="00910E87">
        <w:rPr>
          <w:rFonts w:ascii="Times New Roman" w:hAnsi="Times New Roman" w:cs="Times New Roman"/>
          <w:bCs/>
          <w:sz w:val="28"/>
          <w:szCs w:val="28"/>
        </w:rPr>
        <w:t>Появление или значительное прогрессирование осложнений течения СД2т</w:t>
      </w:r>
      <w:r>
        <w:rPr>
          <w:rFonts w:ascii="Times New Roman" w:hAnsi="Times New Roman" w:cs="Times New Roman"/>
          <w:bCs/>
          <w:sz w:val="28"/>
          <w:szCs w:val="28"/>
        </w:rPr>
        <w:t>.</w:t>
      </w:r>
    </w:p>
    <w:p w14:paraId="3C999257" w14:textId="04FFE533" w:rsidR="00030846" w:rsidRPr="00910E87" w:rsidRDefault="00030846" w:rsidP="00910E87">
      <w:pPr>
        <w:numPr>
          <w:ilvl w:val="0"/>
          <w:numId w:val="99"/>
        </w:numPr>
        <w:tabs>
          <w:tab w:val="left" w:pos="993"/>
        </w:tabs>
        <w:spacing w:after="0" w:line="240" w:lineRule="auto"/>
        <w:ind w:left="0" w:firstLine="709"/>
        <w:jc w:val="both"/>
        <w:rPr>
          <w:rFonts w:ascii="Times New Roman" w:hAnsi="Times New Roman" w:cs="Times New Roman"/>
          <w:bCs/>
          <w:sz w:val="28"/>
          <w:szCs w:val="28"/>
        </w:rPr>
      </w:pPr>
      <w:r w:rsidRPr="00910E87">
        <w:rPr>
          <w:rFonts w:ascii="Times New Roman" w:hAnsi="Times New Roman" w:cs="Times New Roman"/>
          <w:bCs/>
          <w:sz w:val="28"/>
          <w:szCs w:val="28"/>
        </w:rPr>
        <w:t>Изменения терапевтического режима (перевод с ПССП на инсулин, перевод с инъекционного способа введения инсулина на постоянную подкожную инфузию инсулина (помповую терапию)</w:t>
      </w:r>
    </w:p>
    <w:p w14:paraId="6A8FDD55" w14:textId="77777777" w:rsidR="00030846" w:rsidRPr="00910E87" w:rsidRDefault="00030846" w:rsidP="00910E87">
      <w:pPr>
        <w:pStyle w:val="a3"/>
        <w:numPr>
          <w:ilvl w:val="0"/>
          <w:numId w:val="99"/>
        </w:numPr>
        <w:tabs>
          <w:tab w:val="left" w:pos="993"/>
        </w:tabs>
        <w:spacing w:after="0" w:line="240" w:lineRule="auto"/>
        <w:ind w:left="0" w:firstLine="709"/>
        <w:jc w:val="both"/>
        <w:rPr>
          <w:rFonts w:ascii="Times New Roman" w:hAnsi="Times New Roman" w:cs="Times New Roman"/>
          <w:bCs/>
          <w:sz w:val="28"/>
          <w:szCs w:val="28"/>
        </w:rPr>
      </w:pPr>
      <w:r w:rsidRPr="00910E87">
        <w:rPr>
          <w:rFonts w:ascii="Times New Roman" w:hAnsi="Times New Roman" w:cs="Times New Roman"/>
          <w:bCs/>
          <w:sz w:val="28"/>
          <w:szCs w:val="28"/>
        </w:rPr>
        <w:t>Жалобы и признаки:</w:t>
      </w:r>
    </w:p>
    <w:p w14:paraId="2C2AFBE4" w14:textId="77777777" w:rsidR="00030846" w:rsidRPr="00910E87" w:rsidRDefault="00030846" w:rsidP="00910E87">
      <w:pPr>
        <w:numPr>
          <w:ilvl w:val="0"/>
          <w:numId w:val="99"/>
        </w:numPr>
        <w:tabs>
          <w:tab w:val="left" w:pos="993"/>
        </w:tabs>
        <w:spacing w:after="0" w:line="240" w:lineRule="auto"/>
        <w:ind w:left="0" w:firstLine="709"/>
        <w:jc w:val="both"/>
        <w:rPr>
          <w:rFonts w:ascii="Times New Roman" w:hAnsi="Times New Roman" w:cs="Times New Roman"/>
          <w:bCs/>
          <w:sz w:val="28"/>
          <w:szCs w:val="28"/>
        </w:rPr>
      </w:pPr>
      <w:r w:rsidRPr="00910E87">
        <w:rPr>
          <w:rFonts w:ascii="Times New Roman" w:hAnsi="Times New Roman" w:cs="Times New Roman"/>
          <w:bCs/>
          <w:sz w:val="28"/>
          <w:szCs w:val="28"/>
        </w:rPr>
        <w:t>Жалобы на неблагополучие психологического характера, снижение качества жизни</w:t>
      </w:r>
    </w:p>
    <w:p w14:paraId="080E36E5" w14:textId="77777777" w:rsidR="00030846" w:rsidRPr="00910E87" w:rsidRDefault="00030846" w:rsidP="00910E87">
      <w:pPr>
        <w:numPr>
          <w:ilvl w:val="0"/>
          <w:numId w:val="99"/>
        </w:numPr>
        <w:tabs>
          <w:tab w:val="left" w:pos="993"/>
        </w:tabs>
        <w:spacing w:after="0" w:line="240" w:lineRule="auto"/>
        <w:ind w:left="0" w:firstLine="709"/>
        <w:jc w:val="both"/>
        <w:rPr>
          <w:rFonts w:ascii="Times New Roman" w:hAnsi="Times New Roman" w:cs="Times New Roman"/>
          <w:bCs/>
          <w:sz w:val="28"/>
          <w:szCs w:val="28"/>
        </w:rPr>
      </w:pPr>
      <w:r w:rsidRPr="00910E87">
        <w:rPr>
          <w:rFonts w:ascii="Times New Roman" w:hAnsi="Times New Roman" w:cs="Times New Roman"/>
          <w:bCs/>
          <w:sz w:val="28"/>
          <w:szCs w:val="28"/>
        </w:rPr>
        <w:t>Наличие психологического дистресса, обусловленного СД, субъективных ощущений усталости от заболевания и выполнения необходимых действий по его контролю и лечению</w:t>
      </w:r>
    </w:p>
    <w:p w14:paraId="245C933C" w14:textId="77777777" w:rsidR="00030846" w:rsidRPr="00910E87" w:rsidRDefault="00030846" w:rsidP="00910E87">
      <w:pPr>
        <w:numPr>
          <w:ilvl w:val="0"/>
          <w:numId w:val="99"/>
        </w:numPr>
        <w:tabs>
          <w:tab w:val="left" w:pos="993"/>
        </w:tabs>
        <w:spacing w:after="0" w:line="240" w:lineRule="auto"/>
        <w:ind w:left="0" w:firstLine="709"/>
        <w:jc w:val="both"/>
        <w:rPr>
          <w:rFonts w:ascii="Times New Roman" w:hAnsi="Times New Roman" w:cs="Times New Roman"/>
          <w:bCs/>
          <w:sz w:val="28"/>
          <w:szCs w:val="28"/>
        </w:rPr>
      </w:pPr>
      <w:r w:rsidRPr="00910E87">
        <w:rPr>
          <w:rFonts w:ascii="Times New Roman" w:hAnsi="Times New Roman" w:cs="Times New Roman"/>
          <w:bCs/>
          <w:sz w:val="28"/>
          <w:szCs w:val="28"/>
        </w:rPr>
        <w:t>Низкая приверженность лечению, грубые нарушения режима питания, приема медикаментов и самоконтроля гликемии</w:t>
      </w:r>
    </w:p>
    <w:p w14:paraId="0E892670" w14:textId="77777777" w:rsidR="00030846" w:rsidRPr="00910E87" w:rsidRDefault="00030846" w:rsidP="00910E87">
      <w:pPr>
        <w:numPr>
          <w:ilvl w:val="0"/>
          <w:numId w:val="99"/>
        </w:numPr>
        <w:tabs>
          <w:tab w:val="left" w:pos="993"/>
        </w:tabs>
        <w:spacing w:after="0" w:line="240" w:lineRule="auto"/>
        <w:ind w:left="0" w:firstLine="709"/>
        <w:jc w:val="both"/>
        <w:rPr>
          <w:rFonts w:ascii="Times New Roman" w:hAnsi="Times New Roman" w:cs="Times New Roman"/>
          <w:bCs/>
          <w:sz w:val="28"/>
          <w:szCs w:val="28"/>
        </w:rPr>
      </w:pPr>
      <w:r w:rsidRPr="00910E87">
        <w:rPr>
          <w:rFonts w:ascii="Times New Roman" w:hAnsi="Times New Roman" w:cs="Times New Roman"/>
          <w:bCs/>
          <w:sz w:val="28"/>
          <w:szCs w:val="28"/>
        </w:rPr>
        <w:t>Выраженные признаки когнитивного снижения</w:t>
      </w:r>
    </w:p>
    <w:p w14:paraId="3E944EA9" w14:textId="77777777" w:rsidR="00030846" w:rsidRPr="00910E87" w:rsidRDefault="00030846" w:rsidP="00910E87">
      <w:pPr>
        <w:numPr>
          <w:ilvl w:val="0"/>
          <w:numId w:val="99"/>
        </w:numPr>
        <w:tabs>
          <w:tab w:val="left" w:pos="993"/>
        </w:tabs>
        <w:spacing w:after="0" w:line="240" w:lineRule="auto"/>
        <w:ind w:left="0" w:firstLine="709"/>
        <w:jc w:val="both"/>
        <w:rPr>
          <w:rFonts w:ascii="Times New Roman" w:hAnsi="Times New Roman" w:cs="Times New Roman"/>
          <w:bCs/>
          <w:sz w:val="28"/>
          <w:szCs w:val="28"/>
        </w:rPr>
      </w:pPr>
      <w:r w:rsidRPr="00910E87">
        <w:rPr>
          <w:rFonts w:ascii="Times New Roman" w:hAnsi="Times New Roman" w:cs="Times New Roman"/>
          <w:bCs/>
          <w:sz w:val="28"/>
          <w:szCs w:val="28"/>
        </w:rPr>
        <w:t>Признаки психических расстройств</w:t>
      </w:r>
    </w:p>
    <w:p w14:paraId="5A9A772B" w14:textId="77777777" w:rsidR="00030846" w:rsidRPr="00910E87" w:rsidRDefault="00030846" w:rsidP="00910E87">
      <w:pPr>
        <w:numPr>
          <w:ilvl w:val="0"/>
          <w:numId w:val="99"/>
        </w:numPr>
        <w:tabs>
          <w:tab w:val="left" w:pos="993"/>
        </w:tabs>
        <w:spacing w:after="0" w:line="240" w:lineRule="auto"/>
        <w:ind w:left="0" w:firstLine="709"/>
        <w:jc w:val="both"/>
        <w:rPr>
          <w:rFonts w:ascii="Times New Roman" w:hAnsi="Times New Roman" w:cs="Times New Roman"/>
          <w:bCs/>
          <w:sz w:val="28"/>
          <w:szCs w:val="28"/>
        </w:rPr>
      </w:pPr>
      <w:r w:rsidRPr="00910E87">
        <w:rPr>
          <w:rFonts w:ascii="Times New Roman" w:hAnsi="Times New Roman" w:cs="Times New Roman"/>
          <w:bCs/>
          <w:sz w:val="28"/>
          <w:szCs w:val="28"/>
        </w:rPr>
        <w:t>Признаки выраженной тревоги и/или депрессии</w:t>
      </w:r>
    </w:p>
    <w:p w14:paraId="47844A96" w14:textId="47BBD5F0" w:rsidR="00030846" w:rsidRPr="00910E87" w:rsidRDefault="00030846" w:rsidP="00910E87">
      <w:pPr>
        <w:pStyle w:val="a3"/>
        <w:numPr>
          <w:ilvl w:val="0"/>
          <w:numId w:val="99"/>
        </w:numPr>
        <w:tabs>
          <w:tab w:val="left" w:pos="993"/>
        </w:tabs>
        <w:spacing w:after="0" w:line="240" w:lineRule="auto"/>
        <w:ind w:left="0" w:firstLine="709"/>
        <w:jc w:val="both"/>
        <w:rPr>
          <w:rFonts w:ascii="Times New Roman" w:hAnsi="Times New Roman" w:cs="Times New Roman"/>
          <w:bCs/>
          <w:sz w:val="28"/>
          <w:szCs w:val="28"/>
        </w:rPr>
      </w:pPr>
      <w:r w:rsidRPr="00910E87">
        <w:rPr>
          <w:rFonts w:ascii="Times New Roman" w:hAnsi="Times New Roman" w:cs="Times New Roman"/>
          <w:bCs/>
          <w:sz w:val="28"/>
          <w:szCs w:val="28"/>
        </w:rPr>
        <w:t>Ⅱ. Делегирование по специфике и оказание психосоциальной помощи пациентам с СД2т. После оценки клинической ситуации врачом эндокринологом, пациент должен быть направлен по специфике соответствующим врачам:</w:t>
      </w:r>
    </w:p>
    <w:p w14:paraId="3D9F2446" w14:textId="2D6E48AE" w:rsidR="00030846" w:rsidRPr="00910E87" w:rsidRDefault="00030846" w:rsidP="00910E87">
      <w:pPr>
        <w:pStyle w:val="a3"/>
        <w:numPr>
          <w:ilvl w:val="0"/>
          <w:numId w:val="99"/>
        </w:numPr>
        <w:tabs>
          <w:tab w:val="left" w:pos="993"/>
        </w:tabs>
        <w:autoSpaceDE w:val="0"/>
        <w:autoSpaceDN w:val="0"/>
        <w:adjustRightInd w:val="0"/>
        <w:spacing w:after="0" w:line="240" w:lineRule="auto"/>
        <w:ind w:left="0" w:firstLine="709"/>
        <w:jc w:val="both"/>
        <w:rPr>
          <w:rFonts w:ascii="Times New Roman" w:hAnsi="Times New Roman" w:cs="Times New Roman"/>
          <w:bCs/>
          <w:sz w:val="28"/>
          <w:szCs w:val="28"/>
        </w:rPr>
      </w:pPr>
      <w:r w:rsidRPr="00910E87">
        <w:rPr>
          <w:rFonts w:ascii="Times New Roman" w:hAnsi="Times New Roman" w:cs="Times New Roman"/>
          <w:bCs/>
          <w:sz w:val="28"/>
          <w:szCs w:val="28"/>
        </w:rPr>
        <w:t>Под курацию врача эндокринолога: при наличии низкой приверженности лечению, обусловленного заболеванием дистресса, умеренно повышенной тревоги</w:t>
      </w:r>
    </w:p>
    <w:p w14:paraId="25A9C03D" w14:textId="744BD62B" w:rsidR="00030846" w:rsidRPr="00910E87" w:rsidRDefault="00030846" w:rsidP="00910E87">
      <w:pPr>
        <w:pStyle w:val="a3"/>
        <w:numPr>
          <w:ilvl w:val="0"/>
          <w:numId w:val="99"/>
        </w:numPr>
        <w:tabs>
          <w:tab w:val="left" w:pos="993"/>
        </w:tabs>
        <w:spacing w:after="0" w:line="240" w:lineRule="auto"/>
        <w:ind w:left="0" w:firstLine="709"/>
        <w:jc w:val="both"/>
        <w:rPr>
          <w:rFonts w:ascii="Times New Roman" w:hAnsi="Times New Roman" w:cs="Times New Roman"/>
          <w:bCs/>
          <w:sz w:val="28"/>
          <w:szCs w:val="28"/>
        </w:rPr>
      </w:pPr>
      <w:r w:rsidRPr="00910E87">
        <w:rPr>
          <w:rFonts w:ascii="Times New Roman" w:hAnsi="Times New Roman" w:cs="Times New Roman"/>
          <w:bCs/>
          <w:sz w:val="28"/>
          <w:szCs w:val="28"/>
        </w:rPr>
        <w:t>Под курацию врачей психотерапевтов/ психологов: признаки психосоциальной дезадаптации, умеренно выраженных состояний тревоги, депрессии, обусловленного заболеванием дистресса, низкой приверженности лечению и других психологических проблем</w:t>
      </w:r>
    </w:p>
    <w:p w14:paraId="596167B5" w14:textId="5892B05B" w:rsidR="00030846" w:rsidRPr="00910E87" w:rsidRDefault="00030846" w:rsidP="00910E87">
      <w:pPr>
        <w:pStyle w:val="a3"/>
        <w:numPr>
          <w:ilvl w:val="0"/>
          <w:numId w:val="99"/>
        </w:numPr>
        <w:tabs>
          <w:tab w:val="left" w:pos="993"/>
        </w:tabs>
        <w:spacing w:after="0" w:line="240" w:lineRule="auto"/>
        <w:ind w:left="0" w:firstLine="709"/>
        <w:jc w:val="both"/>
        <w:rPr>
          <w:rFonts w:ascii="Times New Roman" w:hAnsi="Times New Roman" w:cs="Times New Roman"/>
          <w:bCs/>
          <w:sz w:val="28"/>
          <w:szCs w:val="28"/>
        </w:rPr>
      </w:pPr>
      <w:r w:rsidRPr="00910E87">
        <w:rPr>
          <w:rFonts w:ascii="Times New Roman" w:hAnsi="Times New Roman" w:cs="Times New Roman"/>
          <w:bCs/>
          <w:sz w:val="28"/>
          <w:szCs w:val="28"/>
        </w:rPr>
        <w:t>Под курацию врачей психиатров/ психотерапевтов: при наличии признаков психических расстройств, клинически значимой тревоги и депрессии, расстройств пищевого поведения, выраженных когнитивных нарушений</w:t>
      </w:r>
    </w:p>
    <w:p w14:paraId="08D47096" w14:textId="77777777" w:rsidR="00030846" w:rsidRPr="00910E87" w:rsidRDefault="00030846" w:rsidP="00910E87">
      <w:pPr>
        <w:pStyle w:val="a3"/>
        <w:numPr>
          <w:ilvl w:val="0"/>
          <w:numId w:val="99"/>
        </w:numPr>
        <w:tabs>
          <w:tab w:val="left" w:pos="993"/>
        </w:tabs>
        <w:spacing w:after="0" w:line="240" w:lineRule="auto"/>
        <w:ind w:left="0" w:firstLine="709"/>
        <w:jc w:val="both"/>
        <w:rPr>
          <w:rFonts w:ascii="Times New Roman" w:hAnsi="Times New Roman" w:cs="Times New Roman"/>
          <w:bCs/>
          <w:sz w:val="28"/>
          <w:szCs w:val="28"/>
        </w:rPr>
      </w:pPr>
      <w:r w:rsidRPr="00910E87">
        <w:rPr>
          <w:rFonts w:ascii="Times New Roman" w:hAnsi="Times New Roman" w:cs="Times New Roman"/>
          <w:bCs/>
          <w:sz w:val="28"/>
          <w:szCs w:val="28"/>
        </w:rPr>
        <w:t>Желательно проводить работу с семьей, при согласии трех сторон: врач, пациент, семья: Оценка психологического состояния членов семьи и оказание им по необходимости психологической помощи. Оценка семейных по характеру аспектов, способных повлиять на психосоциальное благополучие пациентов с СД (внутрисемейных отношений и конфликтов, поддержки пациента со стороны членов семьи). Оценка представлений членов семьи о СД2т и формирование у них правильного понимания своей роли во внутри семейной психологической поддержки пациента с СД2т</w:t>
      </w:r>
    </w:p>
    <w:p w14:paraId="58EFD832" w14:textId="77777777" w:rsidR="00030846" w:rsidRPr="004135FE" w:rsidRDefault="00030846" w:rsidP="004135FE">
      <w:pPr>
        <w:spacing w:after="0" w:line="240" w:lineRule="auto"/>
        <w:ind w:firstLine="567"/>
        <w:jc w:val="both"/>
        <w:rPr>
          <w:rFonts w:ascii="Times New Roman" w:hAnsi="Times New Roman" w:cs="Times New Roman"/>
          <w:sz w:val="28"/>
          <w:szCs w:val="28"/>
        </w:rPr>
      </w:pPr>
    </w:p>
    <w:p w14:paraId="0445EEBA" w14:textId="77777777" w:rsidR="00030846" w:rsidRPr="004135FE" w:rsidRDefault="00030846" w:rsidP="004135FE">
      <w:pPr>
        <w:spacing w:after="0" w:line="240" w:lineRule="auto"/>
        <w:ind w:firstLine="567"/>
        <w:jc w:val="both"/>
        <w:rPr>
          <w:rFonts w:ascii="Times New Roman" w:hAnsi="Times New Roman" w:cs="Times New Roman"/>
          <w:sz w:val="28"/>
          <w:szCs w:val="28"/>
        </w:rPr>
      </w:pPr>
    </w:p>
    <w:p w14:paraId="09E41304" w14:textId="77777777" w:rsidR="00030846" w:rsidRPr="004135FE" w:rsidRDefault="00030846" w:rsidP="004135FE">
      <w:pPr>
        <w:spacing w:after="0" w:line="240" w:lineRule="auto"/>
        <w:ind w:firstLine="567"/>
        <w:jc w:val="both"/>
        <w:rPr>
          <w:rFonts w:ascii="Times New Roman" w:hAnsi="Times New Roman" w:cs="Times New Roman"/>
          <w:sz w:val="28"/>
          <w:szCs w:val="28"/>
        </w:rPr>
      </w:pPr>
    </w:p>
    <w:p w14:paraId="0DBA31D6" w14:textId="77777777" w:rsidR="00030846" w:rsidRPr="004135FE" w:rsidRDefault="00030846" w:rsidP="004135FE">
      <w:pPr>
        <w:autoSpaceDE w:val="0"/>
        <w:autoSpaceDN w:val="0"/>
        <w:adjustRightInd w:val="0"/>
        <w:spacing w:after="0" w:line="240" w:lineRule="auto"/>
        <w:ind w:firstLine="708"/>
        <w:jc w:val="both"/>
        <w:rPr>
          <w:rFonts w:ascii="Times New Roman" w:hAnsi="Times New Roman" w:cs="Times New Roman"/>
          <w:sz w:val="28"/>
          <w:szCs w:val="28"/>
        </w:rPr>
      </w:pPr>
    </w:p>
    <w:p w14:paraId="3B1686C1" w14:textId="77777777" w:rsidR="00030846" w:rsidRPr="004135FE" w:rsidRDefault="00030846" w:rsidP="004135FE">
      <w:pPr>
        <w:autoSpaceDE w:val="0"/>
        <w:autoSpaceDN w:val="0"/>
        <w:adjustRightInd w:val="0"/>
        <w:spacing w:after="0" w:line="240" w:lineRule="auto"/>
        <w:ind w:firstLine="708"/>
        <w:jc w:val="both"/>
        <w:rPr>
          <w:rFonts w:ascii="Times New Roman" w:hAnsi="Times New Roman" w:cs="Times New Roman"/>
          <w:sz w:val="28"/>
          <w:szCs w:val="28"/>
        </w:rPr>
      </w:pPr>
    </w:p>
    <w:p w14:paraId="6A3C73CD" w14:textId="77777777" w:rsidR="00030846" w:rsidRPr="004135FE" w:rsidRDefault="00030846" w:rsidP="004135FE">
      <w:pPr>
        <w:autoSpaceDE w:val="0"/>
        <w:autoSpaceDN w:val="0"/>
        <w:adjustRightInd w:val="0"/>
        <w:spacing w:after="0" w:line="240" w:lineRule="auto"/>
        <w:ind w:firstLine="708"/>
        <w:jc w:val="both"/>
        <w:rPr>
          <w:rFonts w:ascii="Times New Roman" w:hAnsi="Times New Roman" w:cs="Times New Roman"/>
          <w:sz w:val="28"/>
          <w:szCs w:val="28"/>
        </w:rPr>
      </w:pPr>
    </w:p>
    <w:p w14:paraId="2C336993" w14:textId="77777777" w:rsidR="00030846" w:rsidRPr="004135FE" w:rsidRDefault="00030846" w:rsidP="004135FE">
      <w:pPr>
        <w:autoSpaceDE w:val="0"/>
        <w:autoSpaceDN w:val="0"/>
        <w:adjustRightInd w:val="0"/>
        <w:spacing w:after="0" w:line="240" w:lineRule="auto"/>
        <w:ind w:firstLine="708"/>
        <w:jc w:val="both"/>
        <w:rPr>
          <w:rFonts w:ascii="Times New Roman" w:hAnsi="Times New Roman" w:cs="Times New Roman"/>
          <w:sz w:val="28"/>
          <w:szCs w:val="28"/>
        </w:rPr>
      </w:pPr>
    </w:p>
    <w:p w14:paraId="618B1AC3" w14:textId="77777777" w:rsidR="00030846" w:rsidRPr="004135FE" w:rsidRDefault="00030846" w:rsidP="004135FE">
      <w:pPr>
        <w:autoSpaceDE w:val="0"/>
        <w:autoSpaceDN w:val="0"/>
        <w:adjustRightInd w:val="0"/>
        <w:spacing w:after="0" w:line="240" w:lineRule="auto"/>
        <w:ind w:firstLine="708"/>
        <w:jc w:val="both"/>
        <w:rPr>
          <w:rFonts w:ascii="Times New Roman" w:hAnsi="Times New Roman" w:cs="Times New Roman"/>
          <w:sz w:val="28"/>
          <w:szCs w:val="28"/>
        </w:rPr>
        <w:sectPr w:rsidR="00030846" w:rsidRPr="004135FE" w:rsidSect="00EC71C2">
          <w:type w:val="nextColumn"/>
          <w:pgSz w:w="11906" w:h="16838"/>
          <w:pgMar w:top="1134" w:right="851" w:bottom="1134" w:left="1701" w:header="283" w:footer="283" w:gutter="0"/>
          <w:cols w:space="708"/>
          <w:docGrid w:linePitch="360"/>
        </w:sectPr>
      </w:pPr>
    </w:p>
    <w:p w14:paraId="6AFFC548" w14:textId="255699D8" w:rsidR="00030846" w:rsidRPr="004135FE" w:rsidRDefault="00910E87" w:rsidP="00910E87">
      <w:pPr>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658A766" wp14:editId="28E5047C">
            <wp:extent cx="9071610" cy="5880735"/>
            <wp:effectExtent l="0" t="0" r="0" b="571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119">
                      <a:extLst>
                        <a:ext uri="{28A0092B-C50C-407E-A947-70E740481C1C}">
                          <a14:useLocalDpi xmlns:a14="http://schemas.microsoft.com/office/drawing/2010/main" val="0"/>
                        </a:ext>
                      </a:extLst>
                    </a:blip>
                    <a:stretch>
                      <a:fillRect/>
                    </a:stretch>
                  </pic:blipFill>
                  <pic:spPr>
                    <a:xfrm>
                      <a:off x="0" y="0"/>
                      <a:ext cx="9071610" cy="5880735"/>
                    </a:xfrm>
                    <a:prstGeom prst="rect">
                      <a:avLst/>
                    </a:prstGeom>
                  </pic:spPr>
                </pic:pic>
              </a:graphicData>
            </a:graphic>
          </wp:inline>
        </w:drawing>
      </w:r>
    </w:p>
    <w:p w14:paraId="714039DD" w14:textId="7BB488D2" w:rsidR="00030846" w:rsidRPr="00910E87" w:rsidRDefault="00030846" w:rsidP="00910E87">
      <w:pPr>
        <w:pStyle w:val="Default"/>
        <w:jc w:val="center"/>
        <w:rPr>
          <w:rFonts w:ascii="Times New Roman" w:hAnsi="Times New Roman" w:cs="Times New Roman"/>
          <w:bCs/>
          <w:color w:val="auto"/>
          <w:sz w:val="28"/>
          <w:szCs w:val="28"/>
        </w:rPr>
      </w:pPr>
      <w:r w:rsidRPr="00910E87">
        <w:rPr>
          <w:rFonts w:ascii="Times New Roman" w:hAnsi="Times New Roman" w:cs="Times New Roman"/>
          <w:bCs/>
          <w:color w:val="auto"/>
          <w:sz w:val="28"/>
          <w:szCs w:val="28"/>
        </w:rPr>
        <w:t xml:space="preserve">Рисунок </w:t>
      </w:r>
      <w:r w:rsidR="00B47983" w:rsidRPr="00910E87">
        <w:rPr>
          <w:rFonts w:ascii="Times New Roman" w:hAnsi="Times New Roman" w:cs="Times New Roman"/>
          <w:bCs/>
          <w:color w:val="auto"/>
          <w:sz w:val="28"/>
          <w:szCs w:val="28"/>
        </w:rPr>
        <w:t>69</w:t>
      </w:r>
      <w:r w:rsidRPr="00910E87">
        <w:rPr>
          <w:rFonts w:ascii="Times New Roman" w:hAnsi="Times New Roman" w:cs="Times New Roman"/>
          <w:bCs/>
          <w:color w:val="auto"/>
          <w:sz w:val="28"/>
          <w:szCs w:val="28"/>
        </w:rPr>
        <w:t xml:space="preserve"> – Алгоритм диагностики и оценки аспектов психосоциального статуса пациента с СД2т</w:t>
      </w:r>
    </w:p>
    <w:p w14:paraId="2D804F0F" w14:textId="7C7FC506" w:rsidR="00030846" w:rsidRDefault="00030846" w:rsidP="004135FE">
      <w:pPr>
        <w:pStyle w:val="Default"/>
        <w:rPr>
          <w:rFonts w:ascii="Times New Roman" w:hAnsi="Times New Roman" w:cs="Times New Roman"/>
          <w:b/>
          <w:color w:val="auto"/>
          <w:sz w:val="28"/>
          <w:szCs w:val="28"/>
        </w:rPr>
      </w:pPr>
      <w:r w:rsidRPr="004135FE">
        <w:rPr>
          <w:rFonts w:ascii="Times New Roman" w:hAnsi="Times New Roman" w:cs="Times New Roman"/>
          <w:b/>
          <w:color w:val="auto"/>
          <w:sz w:val="28"/>
          <w:szCs w:val="28"/>
        </w:rPr>
        <w:t xml:space="preserve"> </w:t>
      </w:r>
    </w:p>
    <w:p w14:paraId="65050814" w14:textId="79499567" w:rsidR="00606498" w:rsidRDefault="00606498" w:rsidP="004135FE">
      <w:pPr>
        <w:pStyle w:val="Default"/>
        <w:rPr>
          <w:rFonts w:ascii="Times New Roman" w:hAnsi="Times New Roman" w:cs="Times New Roman"/>
          <w:b/>
          <w:color w:val="auto"/>
          <w:sz w:val="28"/>
          <w:szCs w:val="28"/>
        </w:rPr>
      </w:pPr>
      <w:r>
        <w:rPr>
          <w:rFonts w:ascii="Times New Roman" w:hAnsi="Times New Roman" w:cs="Times New Roman"/>
          <w:b/>
          <w:noProof/>
          <w:color w:val="auto"/>
          <w:sz w:val="28"/>
          <w:szCs w:val="28"/>
          <w:lang w:eastAsia="ru-RU"/>
        </w:rPr>
        <w:drawing>
          <wp:inline distT="0" distB="0" distL="0" distR="0" wp14:anchorId="16F57A5F" wp14:editId="32ABF8D7">
            <wp:extent cx="8338457" cy="5250788"/>
            <wp:effectExtent l="0" t="0" r="5715" b="762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Рисунок 448"/>
                    <pic:cNvPicPr/>
                  </pic:nvPicPr>
                  <pic:blipFill>
                    <a:blip r:embed="rId120">
                      <a:extLst>
                        <a:ext uri="{28A0092B-C50C-407E-A947-70E740481C1C}">
                          <a14:useLocalDpi xmlns:a14="http://schemas.microsoft.com/office/drawing/2010/main" val="0"/>
                        </a:ext>
                      </a:extLst>
                    </a:blip>
                    <a:stretch>
                      <a:fillRect/>
                    </a:stretch>
                  </pic:blipFill>
                  <pic:spPr>
                    <a:xfrm>
                      <a:off x="0" y="0"/>
                      <a:ext cx="8345448" cy="5255191"/>
                    </a:xfrm>
                    <a:prstGeom prst="rect">
                      <a:avLst/>
                    </a:prstGeom>
                  </pic:spPr>
                </pic:pic>
              </a:graphicData>
            </a:graphic>
          </wp:inline>
        </w:drawing>
      </w:r>
    </w:p>
    <w:p w14:paraId="2270623C" w14:textId="07D7572A" w:rsidR="00030846" w:rsidRPr="00606498" w:rsidRDefault="00030846" w:rsidP="004135FE">
      <w:pPr>
        <w:pStyle w:val="Default"/>
        <w:rPr>
          <w:rFonts w:ascii="Times New Roman" w:hAnsi="Times New Roman" w:cs="Times New Roman"/>
          <w:bCs/>
          <w:color w:val="auto"/>
          <w:sz w:val="28"/>
          <w:szCs w:val="28"/>
        </w:rPr>
      </w:pPr>
    </w:p>
    <w:p w14:paraId="4C7559CF" w14:textId="0FFA035F" w:rsidR="00030846" w:rsidRPr="00606498" w:rsidRDefault="00030846" w:rsidP="00606498">
      <w:pPr>
        <w:pStyle w:val="Default"/>
        <w:jc w:val="center"/>
        <w:rPr>
          <w:rFonts w:ascii="Times New Roman" w:hAnsi="Times New Roman" w:cs="Times New Roman"/>
          <w:bCs/>
          <w:color w:val="auto"/>
          <w:sz w:val="28"/>
          <w:szCs w:val="28"/>
        </w:rPr>
      </w:pPr>
      <w:r w:rsidRPr="00606498">
        <w:rPr>
          <w:rFonts w:ascii="Times New Roman" w:hAnsi="Times New Roman" w:cs="Times New Roman"/>
          <w:bCs/>
          <w:color w:val="auto"/>
          <w:sz w:val="28"/>
          <w:szCs w:val="28"/>
        </w:rPr>
        <w:t>Рисунок 7</w:t>
      </w:r>
      <w:r w:rsidR="00B47983" w:rsidRPr="00606498">
        <w:rPr>
          <w:rFonts w:ascii="Times New Roman" w:hAnsi="Times New Roman" w:cs="Times New Roman"/>
          <w:bCs/>
          <w:color w:val="auto"/>
          <w:sz w:val="28"/>
          <w:szCs w:val="28"/>
        </w:rPr>
        <w:t>0</w:t>
      </w:r>
      <w:r w:rsidRPr="00606498">
        <w:rPr>
          <w:rFonts w:ascii="Times New Roman" w:hAnsi="Times New Roman" w:cs="Times New Roman"/>
          <w:bCs/>
          <w:color w:val="auto"/>
          <w:sz w:val="28"/>
          <w:szCs w:val="28"/>
        </w:rPr>
        <w:t xml:space="preserve"> – Алгоритм делегирования по специфике и оказанию психосоциальной помощи пациентам с СД 2 типа</w:t>
      </w:r>
    </w:p>
    <w:p w14:paraId="0F1593A0" w14:textId="5D357858" w:rsidR="00030846" w:rsidRPr="004135FE" w:rsidRDefault="00030846" w:rsidP="004135FE">
      <w:pPr>
        <w:pStyle w:val="Default"/>
        <w:rPr>
          <w:rFonts w:ascii="Times New Roman" w:hAnsi="Times New Roman" w:cs="Times New Roman"/>
          <w:color w:val="auto"/>
          <w:sz w:val="28"/>
          <w:szCs w:val="28"/>
        </w:rPr>
        <w:sectPr w:rsidR="00030846" w:rsidRPr="004135FE" w:rsidSect="00EC71C2">
          <w:type w:val="nextColumn"/>
          <w:pgSz w:w="16838" w:h="11906" w:orient="landscape"/>
          <w:pgMar w:top="1134" w:right="851" w:bottom="1134" w:left="1701" w:header="170" w:footer="170" w:gutter="0"/>
          <w:cols w:space="708"/>
          <w:docGrid w:linePitch="360"/>
        </w:sectPr>
      </w:pPr>
      <w:r w:rsidRPr="004135FE">
        <w:rPr>
          <w:rFonts w:ascii="Times New Roman" w:hAnsi="Times New Roman" w:cs="Times New Roman"/>
          <w:noProof/>
          <w:color w:val="auto"/>
          <w:sz w:val="28"/>
          <w:szCs w:val="28"/>
          <w:lang w:eastAsia="ru-RU"/>
        </w:rPr>
        <w:t xml:space="preserve">                </w:t>
      </w:r>
    </w:p>
    <w:p w14:paraId="49CD2B4E" w14:textId="77777777" w:rsidR="00030846" w:rsidRPr="00206986" w:rsidRDefault="00030846" w:rsidP="00FD68C4">
      <w:pPr>
        <w:pStyle w:val="a3"/>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206986">
        <w:rPr>
          <w:rFonts w:ascii="Times New Roman" w:hAnsi="Times New Roman" w:cs="Times New Roman"/>
          <w:sz w:val="28"/>
          <w:szCs w:val="28"/>
        </w:rPr>
        <w:t xml:space="preserve">ⅠⅠ.  </w:t>
      </w:r>
      <w:r w:rsidRPr="00206986">
        <w:rPr>
          <w:rFonts w:ascii="Times New Roman" w:hAnsi="Times New Roman" w:cs="Times New Roman"/>
          <w:noProof/>
          <w:sz w:val="28"/>
          <w:szCs w:val="28"/>
        </w:rPr>
        <w:t>Совершенствование межсекторального сотрудничества при организации помощи пациентам с СД2т</w:t>
      </w:r>
    </w:p>
    <w:p w14:paraId="164CC0A9" w14:textId="74D90495" w:rsidR="00030846" w:rsidRPr="00206986" w:rsidRDefault="00030846" w:rsidP="00FD68C4">
      <w:pPr>
        <w:tabs>
          <w:tab w:val="left" w:pos="567"/>
        </w:tabs>
        <w:autoSpaceDE w:val="0"/>
        <w:autoSpaceDN w:val="0"/>
        <w:adjustRightInd w:val="0"/>
        <w:spacing w:after="0" w:line="240" w:lineRule="auto"/>
        <w:ind w:firstLine="709"/>
        <w:jc w:val="both"/>
        <w:rPr>
          <w:rFonts w:ascii="Times New Roman" w:hAnsi="Times New Roman" w:cs="Times New Roman"/>
          <w:sz w:val="28"/>
          <w:szCs w:val="28"/>
        </w:rPr>
      </w:pPr>
      <w:r w:rsidRPr="00206986">
        <w:rPr>
          <w:rFonts w:ascii="Times New Roman" w:eastAsia="Times New Roman" w:hAnsi="Times New Roman" w:cs="Times New Roman"/>
          <w:sz w:val="28"/>
          <w:szCs w:val="28"/>
        </w:rPr>
        <w:t>Целью сотрудничества является «П</w:t>
      </w:r>
      <w:r w:rsidRPr="00206986">
        <w:rPr>
          <w:rFonts w:ascii="Times New Roman" w:hAnsi="Times New Roman" w:cs="Times New Roman"/>
          <w:sz w:val="28"/>
          <w:szCs w:val="28"/>
        </w:rPr>
        <w:t>рофилактика факторов риска развития СД2т и улучшение социальных детерминант для благосостояния пациентов» (</w:t>
      </w:r>
      <w:r w:rsidRPr="00206986">
        <w:rPr>
          <w:rFonts w:ascii="Times New Roman" w:hAnsi="Times New Roman" w:cs="Times New Roman"/>
          <w:noProof/>
          <w:sz w:val="28"/>
          <w:szCs w:val="28"/>
        </w:rPr>
        <w:t xml:space="preserve">Рисунок </w:t>
      </w:r>
      <w:r w:rsidR="00B47983" w:rsidRPr="00206986">
        <w:rPr>
          <w:rFonts w:ascii="Times New Roman" w:hAnsi="Times New Roman" w:cs="Times New Roman"/>
          <w:noProof/>
          <w:sz w:val="28"/>
          <w:szCs w:val="28"/>
        </w:rPr>
        <w:t>71</w:t>
      </w:r>
      <w:r w:rsidRPr="00206986">
        <w:rPr>
          <w:rFonts w:ascii="Times New Roman" w:hAnsi="Times New Roman" w:cs="Times New Roman"/>
          <w:noProof/>
          <w:sz w:val="28"/>
          <w:szCs w:val="28"/>
        </w:rPr>
        <w:t xml:space="preserve">). </w:t>
      </w:r>
      <w:r w:rsidRPr="00206986">
        <w:rPr>
          <w:rFonts w:ascii="Times New Roman" w:hAnsi="Times New Roman" w:cs="Times New Roman"/>
          <w:sz w:val="28"/>
          <w:szCs w:val="28"/>
        </w:rPr>
        <w:t xml:space="preserve">Развить высокую приверженности пациентов к рекомендациям медицинского персонала и самоменеджмент путем обеспечения медицинской грамотности на популяционном уровне с помощью поддержки со стороны всех министерств и секторов. </w:t>
      </w:r>
    </w:p>
    <w:p w14:paraId="1987E00D" w14:textId="4491B8BF" w:rsidR="00030846" w:rsidRPr="00206986" w:rsidRDefault="00030846" w:rsidP="00FD68C4">
      <w:pPr>
        <w:tabs>
          <w:tab w:val="left" w:pos="567"/>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06986">
        <w:rPr>
          <w:rFonts w:ascii="Times New Roman" w:eastAsia="Times New Roman" w:hAnsi="Times New Roman" w:cs="Times New Roman"/>
          <w:sz w:val="28"/>
          <w:szCs w:val="28"/>
        </w:rPr>
        <w:t xml:space="preserve">Сектору «Здравоохранения» принадлежат доминирующая роль, направляющая и координирующая функции, так как именно медицинский персонал к этому целенаправленно готовится как в учебных заведениях, так и в процессе практической деятельности </w:t>
      </w:r>
      <w:r w:rsidRPr="00206986">
        <w:rPr>
          <w:rFonts w:ascii="Times New Roman" w:hAnsi="Times New Roman" w:cs="Times New Roman"/>
          <w:sz w:val="28"/>
          <w:szCs w:val="28"/>
        </w:rPr>
        <w:t>[</w:t>
      </w:r>
      <w:r w:rsidR="00466CA1" w:rsidRPr="00206986">
        <w:rPr>
          <w:rFonts w:ascii="Times New Roman" w:hAnsi="Times New Roman" w:cs="Times New Roman"/>
          <w:sz w:val="28"/>
          <w:szCs w:val="28"/>
        </w:rPr>
        <w:t>198, 199</w:t>
      </w:r>
      <w:r w:rsidRPr="00206986">
        <w:rPr>
          <w:rFonts w:ascii="Times New Roman" w:hAnsi="Times New Roman" w:cs="Times New Roman"/>
          <w:sz w:val="28"/>
          <w:szCs w:val="28"/>
        </w:rPr>
        <w:t xml:space="preserve">]. </w:t>
      </w:r>
      <w:r w:rsidRPr="00206986">
        <w:rPr>
          <w:rFonts w:ascii="Times New Roman" w:eastAsiaTheme="minorHAnsi" w:hAnsi="Times New Roman" w:cs="Times New Roman"/>
          <w:sz w:val="28"/>
          <w:szCs w:val="28"/>
          <w:lang w:eastAsia="en-US"/>
        </w:rPr>
        <w:t>Министерству здравоохранения Республики Казахстан</w:t>
      </w:r>
      <w:r w:rsidRPr="00206986">
        <w:rPr>
          <w:rFonts w:ascii="Times New Roman" w:eastAsia="Times New Roman" w:hAnsi="Times New Roman" w:cs="Times New Roman"/>
          <w:sz w:val="28"/>
          <w:szCs w:val="28"/>
        </w:rPr>
        <w:t xml:space="preserve"> возлагается ответственность как координатору привлечения </w:t>
      </w:r>
      <w:r w:rsidRPr="00206986">
        <w:rPr>
          <w:rFonts w:ascii="Times New Roman" w:hAnsi="Times New Roman" w:cs="Times New Roman"/>
          <w:sz w:val="28"/>
          <w:szCs w:val="28"/>
        </w:rPr>
        <w:t xml:space="preserve">максимальной </w:t>
      </w:r>
      <w:r w:rsidRPr="00206986">
        <w:rPr>
          <w:rFonts w:ascii="Times New Roman" w:eastAsia="Times New Roman" w:hAnsi="Times New Roman" w:cs="Times New Roman"/>
          <w:sz w:val="28"/>
          <w:szCs w:val="28"/>
        </w:rPr>
        <w:t>заинтересованности сотрудничества всех министерств</w:t>
      </w:r>
      <w:r w:rsidRPr="00206986">
        <w:rPr>
          <w:rFonts w:ascii="Times New Roman" w:hAnsi="Times New Roman" w:cs="Times New Roman"/>
          <w:sz w:val="28"/>
          <w:szCs w:val="28"/>
        </w:rPr>
        <w:t xml:space="preserve"> в решении проблем по СД2т,</w:t>
      </w:r>
      <w:r w:rsidRPr="00206986">
        <w:rPr>
          <w:rFonts w:ascii="Times New Roman" w:eastAsia="Times New Roman" w:hAnsi="Times New Roman" w:cs="Times New Roman"/>
          <w:sz w:val="28"/>
          <w:szCs w:val="28"/>
        </w:rPr>
        <w:t xml:space="preserve"> путем разъяснения Глобального характера и статистики вреда здоровью населения, развитию Государства. Необходимо учитывать, что не во всех заинтересованных секторах установлены перечень и значимость соответствующей деятельности. </w:t>
      </w:r>
    </w:p>
    <w:p w14:paraId="0CAAFF3C" w14:textId="6A22FB07" w:rsidR="00030846" w:rsidRPr="00206986" w:rsidRDefault="00030846" w:rsidP="00FD68C4">
      <w:pPr>
        <w:tabs>
          <w:tab w:val="left" w:pos="0"/>
          <w:tab w:val="left" w:pos="540"/>
          <w:tab w:val="left" w:pos="993"/>
        </w:tabs>
        <w:spacing w:after="0" w:line="240" w:lineRule="auto"/>
        <w:ind w:firstLine="709"/>
        <w:contextualSpacing/>
        <w:jc w:val="both"/>
        <w:rPr>
          <w:rFonts w:ascii="Times New Roman" w:eastAsia="Times New Roman" w:hAnsi="Times New Roman" w:cs="Times New Roman"/>
          <w:sz w:val="28"/>
          <w:szCs w:val="28"/>
        </w:rPr>
      </w:pPr>
      <w:r w:rsidRPr="00206986">
        <w:rPr>
          <w:rFonts w:ascii="Times New Roman" w:eastAsia="Times New Roman" w:hAnsi="Times New Roman" w:cs="Times New Roman"/>
          <w:sz w:val="28"/>
          <w:szCs w:val="28"/>
        </w:rPr>
        <w:t>Межсекторальная реализация профилактических мер против факторов риска и осложнений СД2т, должны быть направлены на сотрудничество не только между МЗ РК и других секторов, но и на взаимодействиях между собой. Так же для оценки проделанной совместной работы, необходимо разработать индикатор качества сотрудничества по решению общих задач по профилактике факторов риска на уровне Национального и Регионального координационных центров с активным участием соц</w:t>
      </w:r>
      <w:r w:rsidR="00C477EA" w:rsidRPr="00206986">
        <w:rPr>
          <w:rFonts w:ascii="Times New Roman" w:eastAsia="Times New Roman" w:hAnsi="Times New Roman" w:cs="Times New Roman"/>
          <w:sz w:val="28"/>
          <w:szCs w:val="28"/>
        </w:rPr>
        <w:t xml:space="preserve">иального </w:t>
      </w:r>
      <w:r w:rsidRPr="00206986">
        <w:rPr>
          <w:rFonts w:ascii="Times New Roman" w:eastAsia="Times New Roman" w:hAnsi="Times New Roman" w:cs="Times New Roman"/>
          <w:sz w:val="28"/>
          <w:szCs w:val="28"/>
        </w:rPr>
        <w:t>работник</w:t>
      </w:r>
      <w:r w:rsidR="00C477EA" w:rsidRPr="00206986">
        <w:rPr>
          <w:rFonts w:ascii="Times New Roman" w:eastAsia="Times New Roman" w:hAnsi="Times New Roman" w:cs="Times New Roman"/>
          <w:sz w:val="28"/>
          <w:szCs w:val="28"/>
        </w:rPr>
        <w:t>а</w:t>
      </w:r>
      <w:r w:rsidRPr="00206986">
        <w:rPr>
          <w:rFonts w:ascii="Times New Roman" w:eastAsia="Times New Roman" w:hAnsi="Times New Roman" w:cs="Times New Roman"/>
          <w:sz w:val="28"/>
          <w:szCs w:val="28"/>
        </w:rPr>
        <w:t xml:space="preserve"> ПМСП. Основанием этому служит рост </w:t>
      </w:r>
      <w:r w:rsidRPr="00206986">
        <w:rPr>
          <w:rFonts w:ascii="Times New Roman" w:hAnsi="Times New Roman" w:cs="Times New Roman"/>
          <w:sz w:val="28"/>
          <w:szCs w:val="28"/>
        </w:rPr>
        <w:t xml:space="preserve">первичной заболеваемости и распространенности по г.Алматы с 2012г по 2021г, соответственно с 2508 человек до 5063 человек (вырос с 180,27 до 237,57 </w:t>
      </w:r>
      <w:r w:rsidRPr="00206986">
        <w:rPr>
          <w:rFonts w:ascii="Times New Roman" w:eastAsia="Times New Roman" w:hAnsi="Times New Roman" w:cs="Times New Roman"/>
          <w:sz w:val="28"/>
          <w:szCs w:val="28"/>
        </w:rPr>
        <w:t>случаев на 100 тыс. населения), и</w:t>
      </w:r>
      <w:r w:rsidRPr="00206986">
        <w:rPr>
          <w:rFonts w:ascii="Times New Roman" w:hAnsi="Times New Roman" w:cs="Times New Roman"/>
          <w:sz w:val="28"/>
          <w:szCs w:val="28"/>
        </w:rPr>
        <w:t xml:space="preserve"> с </w:t>
      </w:r>
      <w:r w:rsidRPr="00206986">
        <w:rPr>
          <w:rFonts w:ascii="Times New Roman" w:eastAsia="Times New Roman" w:hAnsi="Times New Roman" w:cs="Times New Roman"/>
          <w:sz w:val="28"/>
          <w:szCs w:val="28"/>
        </w:rPr>
        <w:t>23025</w:t>
      </w:r>
      <w:r w:rsidRPr="00206986">
        <w:rPr>
          <w:rFonts w:ascii="Times New Roman" w:hAnsi="Times New Roman" w:cs="Times New Roman"/>
          <w:sz w:val="28"/>
          <w:szCs w:val="28"/>
        </w:rPr>
        <w:t xml:space="preserve"> человек до </w:t>
      </w:r>
      <w:r w:rsidRPr="00206986">
        <w:rPr>
          <w:rFonts w:ascii="Times New Roman" w:eastAsia="Times New Roman" w:hAnsi="Times New Roman" w:cs="Times New Roman"/>
          <w:sz w:val="28"/>
          <w:szCs w:val="28"/>
        </w:rPr>
        <w:t xml:space="preserve">44728 </w:t>
      </w:r>
      <w:r w:rsidRPr="00206986">
        <w:rPr>
          <w:rFonts w:ascii="Times New Roman" w:hAnsi="Times New Roman" w:cs="Times New Roman"/>
          <w:sz w:val="28"/>
          <w:szCs w:val="28"/>
        </w:rPr>
        <w:t xml:space="preserve">человек (вырос с </w:t>
      </w:r>
      <w:r w:rsidRPr="00206986">
        <w:rPr>
          <w:rFonts w:ascii="Times New Roman" w:eastAsia="Times New Roman" w:hAnsi="Times New Roman" w:cs="Times New Roman"/>
          <w:sz w:val="28"/>
          <w:szCs w:val="28"/>
        </w:rPr>
        <w:t xml:space="preserve">1654,95 </w:t>
      </w:r>
      <w:r w:rsidRPr="00206986">
        <w:rPr>
          <w:rFonts w:ascii="Times New Roman" w:hAnsi="Times New Roman" w:cs="Times New Roman"/>
          <w:sz w:val="28"/>
          <w:szCs w:val="28"/>
        </w:rPr>
        <w:t xml:space="preserve">до </w:t>
      </w:r>
      <w:r w:rsidRPr="00206986">
        <w:rPr>
          <w:rFonts w:ascii="Times New Roman" w:eastAsia="Times New Roman" w:hAnsi="Times New Roman" w:cs="Times New Roman"/>
          <w:sz w:val="28"/>
          <w:szCs w:val="28"/>
        </w:rPr>
        <w:t xml:space="preserve">2098,79 случаев на 100 тыс. нас.). </w:t>
      </w:r>
    </w:p>
    <w:p w14:paraId="1B289A16" w14:textId="77777777" w:rsidR="00030846" w:rsidRPr="00206986" w:rsidRDefault="00030846" w:rsidP="00FD68C4">
      <w:pPr>
        <w:autoSpaceDE w:val="0"/>
        <w:autoSpaceDN w:val="0"/>
        <w:adjustRightInd w:val="0"/>
        <w:spacing w:after="0" w:line="240" w:lineRule="auto"/>
        <w:ind w:firstLine="709"/>
        <w:jc w:val="both"/>
        <w:rPr>
          <w:rFonts w:ascii="Times New Roman" w:hAnsi="Times New Roman" w:cs="Times New Roman"/>
          <w:sz w:val="28"/>
          <w:szCs w:val="28"/>
        </w:rPr>
      </w:pPr>
      <w:r w:rsidRPr="00206986">
        <w:rPr>
          <w:rFonts w:ascii="Times New Roman" w:hAnsi="Times New Roman" w:cs="Times New Roman"/>
          <w:sz w:val="28"/>
          <w:szCs w:val="28"/>
        </w:rPr>
        <w:t>Разработанная модель включает в себя возможности разных секторов в борьбе с факторами риска СД2т, состоящая из трех основных направлении</w:t>
      </w:r>
    </w:p>
    <w:p w14:paraId="7FAC0FBC" w14:textId="77777777" w:rsidR="00030846" w:rsidRPr="00206986" w:rsidRDefault="00030846" w:rsidP="00FD68C4">
      <w:pPr>
        <w:autoSpaceDE w:val="0"/>
        <w:autoSpaceDN w:val="0"/>
        <w:adjustRightInd w:val="0"/>
        <w:spacing w:after="0" w:line="240" w:lineRule="auto"/>
        <w:ind w:firstLine="709"/>
        <w:jc w:val="both"/>
        <w:rPr>
          <w:rFonts w:ascii="Times New Roman" w:hAnsi="Times New Roman" w:cs="Times New Roman"/>
          <w:sz w:val="28"/>
          <w:szCs w:val="28"/>
        </w:rPr>
      </w:pPr>
      <w:r w:rsidRPr="00206986">
        <w:rPr>
          <w:rFonts w:ascii="Times New Roman" w:hAnsi="Times New Roman" w:cs="Times New Roman"/>
          <w:sz w:val="28"/>
          <w:szCs w:val="28"/>
        </w:rPr>
        <w:t>А. Обеспечение кадрового ресурса и его компетенция</w:t>
      </w:r>
    </w:p>
    <w:p w14:paraId="06E4A606" w14:textId="77777777" w:rsidR="00030846" w:rsidRPr="00206986" w:rsidRDefault="00030846" w:rsidP="00FD68C4">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206986">
        <w:rPr>
          <w:rFonts w:ascii="Times New Roman" w:eastAsiaTheme="minorHAnsi" w:hAnsi="Times New Roman" w:cs="Times New Roman"/>
          <w:sz w:val="28"/>
          <w:szCs w:val="28"/>
          <w:lang w:eastAsia="en-US"/>
        </w:rPr>
        <w:t>Министерство науки и высшего образования Республики Казахстан</w:t>
      </w:r>
      <w:r w:rsidRPr="00206986">
        <w:rPr>
          <w:rFonts w:ascii="Times New Roman" w:hAnsi="Times New Roman" w:cs="Times New Roman"/>
          <w:sz w:val="28"/>
          <w:szCs w:val="28"/>
        </w:rPr>
        <w:t>:</w:t>
      </w:r>
    </w:p>
    <w:p w14:paraId="0CC1D813" w14:textId="49A689CD" w:rsidR="00030846" w:rsidRPr="00206986" w:rsidRDefault="00030846" w:rsidP="00300097">
      <w:pPr>
        <w:autoSpaceDE w:val="0"/>
        <w:autoSpaceDN w:val="0"/>
        <w:adjustRightInd w:val="0"/>
        <w:spacing w:after="0" w:line="240" w:lineRule="auto"/>
        <w:ind w:right="-144" w:firstLine="709"/>
        <w:jc w:val="both"/>
        <w:rPr>
          <w:rFonts w:ascii="Times New Roman" w:hAnsi="Times New Roman" w:cs="Times New Roman"/>
          <w:sz w:val="28"/>
          <w:szCs w:val="28"/>
        </w:rPr>
      </w:pPr>
      <w:r w:rsidRPr="00206986">
        <w:rPr>
          <w:rFonts w:ascii="Times New Roman" w:hAnsi="Times New Roman" w:cs="Times New Roman"/>
          <w:sz w:val="28"/>
          <w:szCs w:val="28"/>
        </w:rPr>
        <w:t>- Медицинские ВУЗ и СУЗ: совершенствовать программы обучения по правильному питанию, физической активности, программы против ожирения и СД2т. Все эти темы входят в содержание программы обучения студентов, необходимо усилить контроль над индикатором освоения программ и их соответствие с текущими действующими НПА МЗ РК (индивидуальный подбор физической активности и режим питания, персонализированный и мультидисципл</w:t>
      </w:r>
      <w:r w:rsidR="00986854" w:rsidRPr="00206986">
        <w:rPr>
          <w:rFonts w:ascii="Times New Roman" w:hAnsi="Times New Roman" w:cs="Times New Roman"/>
          <w:sz w:val="28"/>
          <w:szCs w:val="28"/>
        </w:rPr>
        <w:t>и</w:t>
      </w:r>
      <w:r w:rsidRPr="00206986">
        <w:rPr>
          <w:rFonts w:ascii="Times New Roman" w:hAnsi="Times New Roman" w:cs="Times New Roman"/>
          <w:sz w:val="28"/>
          <w:szCs w:val="28"/>
        </w:rPr>
        <w:t>нарный подход, психосоциальная поддержка пациента, коммуникативные и практические применения навыков). Так же важно повысить уровень выпускников как конкурентоспособного персонала с частным сектором, предотвращение стереотипа мышления «государственные организации служат для этапа набора опыта». Так как, статистический значимо выявлено, что в государственных поликлиниках г Алматы большинство опрошенных врачей эндокринологов имели стаж работы до 5 лет без квалификационной категории, в возрасте до 30 лет. Среди респондентов высшая квалификационная категория имеется у 20%, 1 квалификационная категория у 29%, 2 квалификационная категория у 14%, нет категории у 37%.</w:t>
      </w:r>
    </w:p>
    <w:p w14:paraId="038B049B" w14:textId="77777777" w:rsidR="00030846" w:rsidRPr="00206986" w:rsidRDefault="00030846" w:rsidP="00300097">
      <w:pPr>
        <w:autoSpaceDE w:val="0"/>
        <w:autoSpaceDN w:val="0"/>
        <w:adjustRightInd w:val="0"/>
        <w:spacing w:after="0" w:line="240" w:lineRule="auto"/>
        <w:ind w:right="-144" w:firstLine="709"/>
        <w:jc w:val="both"/>
        <w:rPr>
          <w:rFonts w:ascii="Times New Roman" w:hAnsi="Times New Roman" w:cs="Times New Roman"/>
          <w:sz w:val="28"/>
          <w:szCs w:val="28"/>
        </w:rPr>
      </w:pPr>
      <w:r w:rsidRPr="00206986">
        <w:rPr>
          <w:rFonts w:ascii="Times New Roman" w:hAnsi="Times New Roman" w:cs="Times New Roman"/>
          <w:sz w:val="28"/>
          <w:szCs w:val="28"/>
        </w:rPr>
        <w:t>- Совершенствовать программы обучения постдипломного образования, для подготовки кадров в соответствии навыкам и функциональным обязанностям в действующих НПА МЗ РК. В Казахстане ежегодно осуществляется подготовка медицинских менеджеров и персонала, но качество оказания услуг на уровне ПМСП и рост заболеваемости СД2т показывает необходимость совершенствования навыков. Менеджерам и медицинскому персоналу на уровне администрации необходимо развить контроль своевременного повышения квалификации специалистов по диабетологии, подологии, инструктор ШД, совершенствовать коммуникативные навыки внутри коллектива, с пациентами и их родными, саморазвитие, навыки дифференциации состояния и координация пациента. При анализе программ и маршрутов движения пациентов, было выявлено, что компетенция некоторых персоналов не соответствуют предложенным в НПА. Статистический значимо выявлено, что уровень коммуникативных навыков медицинского персонала влияет на выбор образа жизни, самоменеджмент и приверженность к назначениям при СД2т.</w:t>
      </w:r>
    </w:p>
    <w:p w14:paraId="073C6E87" w14:textId="77777777" w:rsidR="00030846" w:rsidRPr="00206986" w:rsidRDefault="00030846" w:rsidP="00300097">
      <w:pPr>
        <w:autoSpaceDE w:val="0"/>
        <w:autoSpaceDN w:val="0"/>
        <w:adjustRightInd w:val="0"/>
        <w:spacing w:after="0" w:line="240" w:lineRule="auto"/>
        <w:ind w:right="-144" w:firstLine="709"/>
        <w:jc w:val="both"/>
        <w:rPr>
          <w:rFonts w:ascii="Times New Roman" w:eastAsiaTheme="minorHAnsi" w:hAnsi="Times New Roman" w:cs="Times New Roman"/>
          <w:sz w:val="28"/>
          <w:szCs w:val="28"/>
          <w:lang w:eastAsia="en-US"/>
        </w:rPr>
      </w:pPr>
      <w:r w:rsidRPr="00206986">
        <w:rPr>
          <w:rFonts w:ascii="Times New Roman" w:hAnsi="Times New Roman" w:cs="Times New Roman"/>
          <w:sz w:val="28"/>
          <w:szCs w:val="28"/>
        </w:rPr>
        <w:t xml:space="preserve">- Так же необходимо постоянное развитие науки по общественному здравоохранению для профилактики СД2т. Нужна финансовая поддержка в достаточном объеме со стороны </w:t>
      </w:r>
      <w:r w:rsidRPr="00206986">
        <w:rPr>
          <w:rFonts w:ascii="Times New Roman" w:eastAsiaTheme="minorHAnsi" w:hAnsi="Times New Roman" w:cs="Times New Roman"/>
          <w:sz w:val="28"/>
          <w:szCs w:val="28"/>
          <w:lang w:eastAsia="en-US"/>
        </w:rPr>
        <w:t>Министерство финансов и сотрудничество с МЗ РК,</w:t>
      </w:r>
      <w:r w:rsidRPr="00206986">
        <w:rPr>
          <w:rFonts w:ascii="Times New Roman" w:hAnsi="Times New Roman" w:cs="Times New Roman"/>
          <w:sz w:val="28"/>
          <w:szCs w:val="28"/>
        </w:rPr>
        <w:t xml:space="preserve"> для проведения более фрагментарных экспериментальных исследовании  по межсекторальному сотрудничеству при СД2т,</w:t>
      </w:r>
      <w:r w:rsidRPr="00206986">
        <w:rPr>
          <w:rFonts w:ascii="Times New Roman" w:eastAsiaTheme="minorHAnsi" w:hAnsi="Times New Roman" w:cs="Times New Roman"/>
          <w:sz w:val="28"/>
          <w:szCs w:val="28"/>
          <w:lang w:eastAsia="en-US"/>
        </w:rPr>
        <w:t xml:space="preserve"> в приоритетных вопросах здравоохранения по социальным детерминантам здоровья среди взрослого населения и детей: «Межсекторальное сотрудничество в борьбе с недостаточной физической активностью при СД2т», «Межсекторальное сотрудничество в борьбе с нездоровым питанием при СД2т», «Межсекторальное сотрудничество при оказании социальной адаптации пациентам с СД2т и вопросы трудоустройства», «Межсекторальное сотрудничество при оказании психосоциальной помощи пациентам с СД2т», «Межсекторальное сотрудничество при планировании семьи пациентов с СД2т и контроль репродуктивного потенциала», «Межсекторальное сотрудничество при организации повышения значимости и занятости пациентов пожилого возраста с СД2т».</w:t>
      </w:r>
    </w:p>
    <w:p w14:paraId="35280A1B" w14:textId="77777777" w:rsidR="00030846" w:rsidRPr="00206986" w:rsidRDefault="00030846" w:rsidP="00300097">
      <w:pPr>
        <w:autoSpaceDE w:val="0"/>
        <w:autoSpaceDN w:val="0"/>
        <w:adjustRightInd w:val="0"/>
        <w:spacing w:after="0" w:line="240" w:lineRule="auto"/>
        <w:ind w:right="-144" w:firstLine="709"/>
        <w:jc w:val="both"/>
        <w:rPr>
          <w:rFonts w:ascii="Times New Roman" w:hAnsi="Times New Roman" w:cs="Times New Roman"/>
          <w:sz w:val="28"/>
          <w:szCs w:val="28"/>
        </w:rPr>
      </w:pPr>
      <w:r w:rsidRPr="00206986">
        <w:rPr>
          <w:rFonts w:ascii="Times New Roman" w:hAnsi="Times New Roman" w:cs="Times New Roman"/>
          <w:sz w:val="28"/>
          <w:szCs w:val="28"/>
        </w:rPr>
        <w:t>Б. Защита интересов персонала и пациентов:</w:t>
      </w:r>
    </w:p>
    <w:p w14:paraId="5C186EFF" w14:textId="77777777" w:rsidR="00030846" w:rsidRPr="00206986" w:rsidRDefault="00030846" w:rsidP="00FD68C4">
      <w:pPr>
        <w:autoSpaceDE w:val="0"/>
        <w:autoSpaceDN w:val="0"/>
        <w:adjustRightInd w:val="0"/>
        <w:spacing w:after="0" w:line="240" w:lineRule="auto"/>
        <w:ind w:firstLine="709"/>
        <w:jc w:val="both"/>
        <w:rPr>
          <w:rFonts w:ascii="Times New Roman" w:hAnsi="Times New Roman" w:cs="Times New Roman"/>
          <w:noProof/>
          <w:sz w:val="28"/>
          <w:szCs w:val="28"/>
        </w:rPr>
      </w:pPr>
      <w:r w:rsidRPr="00206986">
        <w:rPr>
          <w:rFonts w:ascii="Times New Roman" w:eastAsiaTheme="minorHAnsi" w:hAnsi="Times New Roman" w:cs="Times New Roman"/>
          <w:sz w:val="28"/>
          <w:szCs w:val="28"/>
          <w:lang w:eastAsia="en-US"/>
        </w:rPr>
        <w:t>Министерство</w:t>
      </w:r>
      <w:r w:rsidRPr="00206986">
        <w:rPr>
          <w:rFonts w:ascii="Times New Roman" w:hAnsi="Times New Roman" w:cs="Times New Roman"/>
          <w:noProof/>
          <w:sz w:val="28"/>
          <w:szCs w:val="28"/>
        </w:rPr>
        <w:t xml:space="preserve"> труда и социальной защиты </w:t>
      </w:r>
      <w:r w:rsidRPr="00206986">
        <w:rPr>
          <w:rFonts w:ascii="Times New Roman" w:eastAsiaTheme="minorHAnsi" w:hAnsi="Times New Roman" w:cs="Times New Roman"/>
          <w:sz w:val="28"/>
          <w:szCs w:val="28"/>
          <w:lang w:eastAsia="en-US"/>
        </w:rPr>
        <w:t>Республики Казахстан</w:t>
      </w:r>
      <w:r w:rsidRPr="00206986">
        <w:rPr>
          <w:rFonts w:ascii="Times New Roman" w:hAnsi="Times New Roman" w:cs="Times New Roman"/>
          <w:noProof/>
          <w:sz w:val="28"/>
          <w:szCs w:val="28"/>
        </w:rPr>
        <w:t>:</w:t>
      </w:r>
    </w:p>
    <w:p w14:paraId="30670787" w14:textId="77777777" w:rsidR="00030846" w:rsidRPr="00206986" w:rsidRDefault="00030846" w:rsidP="00FD68C4">
      <w:pPr>
        <w:spacing w:after="0" w:line="240" w:lineRule="auto"/>
        <w:ind w:right="-214" w:firstLine="709"/>
        <w:jc w:val="both"/>
        <w:rPr>
          <w:rFonts w:ascii="Times New Roman" w:eastAsiaTheme="minorHAnsi" w:hAnsi="Times New Roman" w:cs="Times New Roman"/>
          <w:sz w:val="28"/>
          <w:szCs w:val="28"/>
          <w:lang w:eastAsia="en-US"/>
        </w:rPr>
      </w:pPr>
      <w:r w:rsidRPr="00206986">
        <w:rPr>
          <w:rFonts w:ascii="Times New Roman" w:hAnsi="Times New Roman" w:cs="Times New Roman"/>
          <w:sz w:val="28"/>
          <w:szCs w:val="28"/>
        </w:rPr>
        <w:t xml:space="preserve">- Трудоустроить население с СД2т </w:t>
      </w:r>
      <w:r w:rsidRPr="00206986">
        <w:rPr>
          <w:rFonts w:ascii="Times New Roman" w:hAnsi="Times New Roman" w:cs="Times New Roman"/>
          <w:sz w:val="28"/>
          <w:szCs w:val="28"/>
          <w:lang w:val="kk-KZ"/>
        </w:rPr>
        <w:t>в соответствии состояния здоровья, подобрать трудовую деятельность без ночных и круглосуточных нагрузок, не повышающую нагрузку 6 часов в день/ 30 часов в неделю, без особых нагрузок на сердечно-сосудистые и зрительные системы, низким уровнем стресса. Повысить</w:t>
      </w:r>
      <w:r w:rsidRPr="00206986">
        <w:rPr>
          <w:rFonts w:ascii="Times New Roman" w:hAnsi="Times New Roman" w:cs="Times New Roman"/>
          <w:sz w:val="28"/>
          <w:szCs w:val="28"/>
        </w:rPr>
        <w:t xml:space="preserve"> социальный статус, путем трудоустройства пациентов с СД2т, при необходимости переучить более легкому виду труда. Для эффективного решения вопросов, необходимо сотрудничество </w:t>
      </w:r>
      <w:r w:rsidRPr="00206986">
        <w:rPr>
          <w:rFonts w:ascii="Times New Roman" w:eastAsiaTheme="minorHAnsi" w:hAnsi="Times New Roman" w:cs="Times New Roman"/>
          <w:sz w:val="28"/>
          <w:szCs w:val="28"/>
          <w:lang w:eastAsia="en-US"/>
        </w:rPr>
        <w:t>Министерство финансов, Министерство юстиции и Акиматы, Неправительственных, Общественных, Гражданской организации/ассоциации специалистов.</w:t>
      </w:r>
    </w:p>
    <w:p w14:paraId="7B98862E" w14:textId="77777777" w:rsidR="00030846" w:rsidRPr="00206986" w:rsidRDefault="00030846" w:rsidP="00FD68C4">
      <w:pPr>
        <w:spacing w:after="0" w:line="240" w:lineRule="auto"/>
        <w:ind w:right="-214" w:firstLine="709"/>
        <w:jc w:val="both"/>
        <w:rPr>
          <w:rFonts w:ascii="Times New Roman" w:hAnsi="Times New Roman" w:cs="Times New Roman"/>
          <w:spacing w:val="2"/>
          <w:sz w:val="28"/>
          <w:szCs w:val="28"/>
        </w:rPr>
      </w:pPr>
      <w:r w:rsidRPr="00206986">
        <w:rPr>
          <w:rFonts w:ascii="Times New Roman" w:eastAsiaTheme="minorHAnsi" w:hAnsi="Times New Roman" w:cs="Times New Roman"/>
          <w:sz w:val="28"/>
          <w:szCs w:val="28"/>
          <w:lang w:eastAsia="en-US"/>
        </w:rPr>
        <w:t>На сегодняшний день существует Национальный план по обеспечению прав и улучшению качества жизни лиц с инвалидностью в РК до 2025г, утвержденный постановлением Правительства РК от 28 мая 2019г №326. В этом законопроекте сказано, что в</w:t>
      </w:r>
      <w:r w:rsidRPr="00206986">
        <w:rPr>
          <w:rFonts w:ascii="Times New Roman" w:hAnsi="Times New Roman" w:cs="Times New Roman"/>
          <w:spacing w:val="2"/>
          <w:sz w:val="28"/>
          <w:szCs w:val="28"/>
          <w:shd w:val="clear" w:color="auto" w:fill="FFFFFF"/>
        </w:rPr>
        <w:t xml:space="preserve"> целях стимулирования работодателей по трудоустройству лиц с инвалидностью с 2018 года введено субсидирование затрат работодателей, связанных с оснащением специального рабочего места для трудоустройства лиц с инвалидностью. </w:t>
      </w:r>
      <w:r w:rsidRPr="00206986">
        <w:rPr>
          <w:rFonts w:ascii="Times New Roman" w:hAnsi="Times New Roman" w:cs="Times New Roman"/>
          <w:spacing w:val="2"/>
          <w:sz w:val="28"/>
          <w:szCs w:val="28"/>
        </w:rPr>
        <w:t>В структуре лиц с инвалидностью трудоспособного возраста по группам инвалидности наибольший удельный вес занимают лица, имеющие вторую группу инвалидности (46 % или 191,9 тыс. чел.) и третью группу инвалидности (45 % или 186,4 тыс. чел.), незначительная доля (9% или 39,7 тыс. чел.) приходится на долю лиц 1 группы инвалидности.</w:t>
      </w:r>
    </w:p>
    <w:p w14:paraId="25607F22" w14:textId="77777777" w:rsidR="00030846" w:rsidRPr="00206986" w:rsidRDefault="00030846" w:rsidP="00FD68C4">
      <w:pPr>
        <w:spacing w:after="0" w:line="240" w:lineRule="auto"/>
        <w:ind w:right="-214" w:firstLine="709"/>
        <w:jc w:val="both"/>
        <w:rPr>
          <w:rFonts w:ascii="Times New Roman" w:eastAsia="Times New Roman" w:hAnsi="Times New Roman" w:cs="Times New Roman"/>
          <w:spacing w:val="2"/>
          <w:sz w:val="28"/>
          <w:szCs w:val="28"/>
        </w:rPr>
      </w:pPr>
      <w:r w:rsidRPr="00206986">
        <w:rPr>
          <w:rFonts w:ascii="Times New Roman" w:hAnsi="Times New Roman" w:cs="Times New Roman"/>
          <w:spacing w:val="2"/>
          <w:sz w:val="28"/>
          <w:szCs w:val="28"/>
        </w:rPr>
        <w:t>В целях расширения занятости лиц с инвалидностью пересмотрена квота трудоустройства. Если раньше она составляла три процента для всех, то на сегодняшний день осуществляется дифференцированный подход от 2–х до 4–х процентов в зависимости от численности работников и по отраслям без учета рабочих мест на тяжелых работах, работах с вредными, опасными условиями труда.</w:t>
      </w:r>
    </w:p>
    <w:p w14:paraId="01FA0EE7" w14:textId="77777777" w:rsidR="00030846" w:rsidRPr="00206986" w:rsidRDefault="00030846" w:rsidP="00300097">
      <w:pPr>
        <w:pStyle w:val="af"/>
        <w:shd w:val="clear" w:color="auto" w:fill="FFFFFF"/>
        <w:spacing w:before="0" w:beforeAutospacing="0" w:after="0" w:afterAutospacing="0"/>
        <w:ind w:right="-144" w:firstLine="709"/>
        <w:jc w:val="both"/>
        <w:textAlignment w:val="baseline"/>
        <w:rPr>
          <w:sz w:val="28"/>
          <w:szCs w:val="28"/>
          <w:shd w:val="clear" w:color="auto" w:fill="FFFFFF"/>
        </w:rPr>
      </w:pPr>
      <w:r w:rsidRPr="00206986">
        <w:rPr>
          <w:spacing w:val="2"/>
          <w:sz w:val="28"/>
          <w:szCs w:val="28"/>
        </w:rPr>
        <w:t xml:space="preserve">На основе Национального плана обеспечивается трудоустройство, создание </w:t>
      </w:r>
      <w:r w:rsidRPr="00206986">
        <w:rPr>
          <w:sz w:val="28"/>
          <w:szCs w:val="28"/>
          <w:shd w:val="clear" w:color="auto" w:fill="FFFFFF"/>
        </w:rPr>
        <w:t>без барьерной среды, повышение информированности населения, формирование правового поля для эффективной реализации прав инвалидов, социальные пособия. Но как быть пациентам, которые имеют диагноз СД2т, но нет заключения МСЭК. Необходимо решать вопрос до инвалидности, так как при СД2т до обнаружения диагноза за 10-12 лет в организме начинаются патологические изменения сосудистой системы и питания на клеточном уровне. Статистический значимо было выявлено</w:t>
      </w:r>
      <w:r w:rsidRPr="00206986">
        <w:rPr>
          <w:sz w:val="28"/>
          <w:szCs w:val="28"/>
        </w:rPr>
        <w:t xml:space="preserve"> сопутствующие заболевания</w:t>
      </w:r>
      <w:r w:rsidRPr="00206986">
        <w:rPr>
          <w:sz w:val="28"/>
          <w:szCs w:val="28"/>
          <w:shd w:val="clear" w:color="auto" w:fill="FFFFFF"/>
        </w:rPr>
        <w:t xml:space="preserve"> </w:t>
      </w:r>
      <w:r w:rsidRPr="00206986">
        <w:rPr>
          <w:sz w:val="28"/>
          <w:szCs w:val="28"/>
        </w:rPr>
        <w:t>из анамнеза</w:t>
      </w:r>
      <w:r w:rsidRPr="00206986">
        <w:rPr>
          <w:sz w:val="28"/>
          <w:szCs w:val="28"/>
          <w:shd w:val="clear" w:color="auto" w:fill="FFFFFF"/>
        </w:rPr>
        <w:t xml:space="preserve"> респондентов с СД2т</w:t>
      </w:r>
      <w:r w:rsidRPr="00206986">
        <w:rPr>
          <w:sz w:val="28"/>
          <w:szCs w:val="28"/>
        </w:rPr>
        <w:t xml:space="preserve">, как артериальная гипертензия 71%, ишемическая болезнь сердца 45,4%, хронические печеночные заболевания 10,2%, глазные заболевания 8,3%, неврологические заболевания 14%, заболевания опорно- двигательной системы, суставов 5,6%, онкологические заболевания 2,1%. Так же при исследовании репродуктивного потенциала выяснился синдром поликистозных яичников у 2,7% женщин, которые имеют кровных родственников с СД2т. </w:t>
      </w:r>
      <w:r w:rsidRPr="00206986">
        <w:rPr>
          <w:sz w:val="28"/>
          <w:szCs w:val="28"/>
          <w:shd w:val="clear" w:color="auto" w:fill="FFFFFF"/>
        </w:rPr>
        <w:t xml:space="preserve"> Статистика б</w:t>
      </w:r>
      <w:r w:rsidRPr="00206986">
        <w:rPr>
          <w:sz w:val="28"/>
          <w:szCs w:val="28"/>
        </w:rPr>
        <w:t xml:space="preserve">езработных респондентов составила всего 42,08%, среди них с высшим образованием </w:t>
      </w:r>
      <w:r w:rsidRPr="00206986">
        <w:rPr>
          <w:color w:val="000000"/>
          <w:sz w:val="28"/>
          <w:szCs w:val="28"/>
        </w:rPr>
        <w:t>45,96</w:t>
      </w:r>
      <w:r w:rsidRPr="00206986">
        <w:rPr>
          <w:sz w:val="28"/>
          <w:szCs w:val="28"/>
        </w:rPr>
        <w:t>% и другим 63,95%.</w:t>
      </w:r>
    </w:p>
    <w:p w14:paraId="711A5555" w14:textId="77777777" w:rsidR="00030846" w:rsidRPr="00206986" w:rsidRDefault="00030846" w:rsidP="00300097">
      <w:pPr>
        <w:pStyle w:val="af"/>
        <w:shd w:val="clear" w:color="auto" w:fill="FFFFFF"/>
        <w:spacing w:before="0" w:beforeAutospacing="0" w:after="0" w:afterAutospacing="0"/>
        <w:ind w:right="-2" w:firstLine="709"/>
        <w:jc w:val="both"/>
        <w:textAlignment w:val="baseline"/>
        <w:rPr>
          <w:sz w:val="28"/>
          <w:szCs w:val="28"/>
          <w:shd w:val="clear" w:color="auto" w:fill="FFFFFF"/>
        </w:rPr>
      </w:pPr>
      <w:r w:rsidRPr="00206986">
        <w:rPr>
          <w:sz w:val="28"/>
          <w:szCs w:val="28"/>
          <w:shd w:val="clear" w:color="auto" w:fill="FFFFFF"/>
        </w:rPr>
        <w:t xml:space="preserve">Учитывая, что основная часть пациентов с СД2т трудоспособного возраста, необходимо оказать содействие в занятости данного населения, во избежание снижения экономического потенциала страны. </w:t>
      </w:r>
      <w:r w:rsidRPr="00206986">
        <w:rPr>
          <w:sz w:val="28"/>
          <w:szCs w:val="28"/>
        </w:rPr>
        <w:t>По результату проведенного анализа, средний возраст участвовавших в опросе мужчин с СД2т составило 55,42±9,94, а женщин - 56,34±9,70. Средний возраст мужчин, в которым был поставлен диагноз СД2т 49,20±10,23, у женщин 49,37±9,30.</w:t>
      </w:r>
      <w:r w:rsidRPr="00206986">
        <w:rPr>
          <w:sz w:val="28"/>
          <w:szCs w:val="28"/>
          <w:shd w:val="clear" w:color="auto" w:fill="FFFFFF"/>
        </w:rPr>
        <w:t xml:space="preserve"> Тем самым </w:t>
      </w:r>
      <w:r w:rsidRPr="00206986">
        <w:rPr>
          <w:sz w:val="28"/>
          <w:szCs w:val="28"/>
        </w:rPr>
        <w:t xml:space="preserve">возникнет потребность в пересмотре НПА. </w:t>
      </w:r>
    </w:p>
    <w:p w14:paraId="1A489E89" w14:textId="4E647184" w:rsidR="00030846" w:rsidRPr="00206986" w:rsidRDefault="00030846" w:rsidP="00FD68C4">
      <w:pPr>
        <w:pStyle w:val="af"/>
        <w:shd w:val="clear" w:color="auto" w:fill="FFFFFF"/>
        <w:spacing w:before="0" w:beforeAutospacing="0" w:after="0" w:afterAutospacing="0"/>
        <w:ind w:firstLine="709"/>
        <w:jc w:val="both"/>
        <w:textAlignment w:val="baseline"/>
        <w:rPr>
          <w:sz w:val="28"/>
          <w:szCs w:val="28"/>
          <w:shd w:val="clear" w:color="auto" w:fill="FFFFFF"/>
        </w:rPr>
      </w:pPr>
      <w:r w:rsidRPr="00206986">
        <w:rPr>
          <w:sz w:val="28"/>
          <w:szCs w:val="28"/>
        </w:rPr>
        <w:t xml:space="preserve">Так же необходима с объединением усилии МЗ РК и </w:t>
      </w:r>
      <w:r w:rsidRPr="00206986">
        <w:rPr>
          <w:rFonts w:eastAsiaTheme="minorHAnsi"/>
          <w:sz w:val="28"/>
          <w:szCs w:val="28"/>
          <w:lang w:eastAsia="en-US"/>
        </w:rPr>
        <w:t>Министерств просвещения РК, Культуры и спорта РК, Информации и коммуникации РК донести до населения, что здоровье это основной капитал человека, помочь при выборе с профессией как среди молодых, так и среднего возраста трудоспособного населения. По статистическим данным РЦЭЗ, было выявлено случаи СД2т среди детей начиная с возрастной группы 0-14 лет. Поэтому, п</w:t>
      </w:r>
      <w:r w:rsidRPr="00206986">
        <w:rPr>
          <w:sz w:val="28"/>
          <w:szCs w:val="28"/>
          <w:shd w:val="clear" w:color="auto" w:fill="FFFFFF"/>
        </w:rPr>
        <w:t>ациентам молодого возраста нужно помочь при выборе профессии и ориентации при поступлении в учебное заведение. При наличии СД2т рекомендуются лег</w:t>
      </w:r>
      <w:r w:rsidR="00976E9B" w:rsidRPr="00206986">
        <w:rPr>
          <w:sz w:val="28"/>
          <w:szCs w:val="28"/>
          <w:shd w:val="clear" w:color="auto" w:fill="FFFFFF"/>
        </w:rPr>
        <w:t>кий и умеренный физический труд.</w:t>
      </w:r>
    </w:p>
    <w:p w14:paraId="3BAFCBD3" w14:textId="62D8AD1E" w:rsidR="00030846" w:rsidRPr="00206986" w:rsidRDefault="00030846" w:rsidP="00FD68C4">
      <w:pPr>
        <w:autoSpaceDE w:val="0"/>
        <w:autoSpaceDN w:val="0"/>
        <w:adjustRightInd w:val="0"/>
        <w:spacing w:after="0" w:line="240" w:lineRule="auto"/>
        <w:ind w:firstLine="709"/>
        <w:jc w:val="both"/>
        <w:rPr>
          <w:sz w:val="28"/>
          <w:szCs w:val="28"/>
          <w:shd w:val="clear" w:color="auto" w:fill="FFFFFF"/>
        </w:rPr>
      </w:pPr>
      <w:r w:rsidRPr="00206986">
        <w:rPr>
          <w:rFonts w:ascii="Times New Roman" w:eastAsiaTheme="minorHAnsi" w:hAnsi="Times New Roman" w:cs="Times New Roman"/>
          <w:sz w:val="28"/>
          <w:szCs w:val="28"/>
          <w:lang w:eastAsia="en-US"/>
        </w:rPr>
        <w:t xml:space="preserve">Учитывая индивидуальные особенности пациентов, при СД2т необходима соблюдать определенный режим питания и физических нагрузок (особенно получающие инсулинотерапию), которые могут </w:t>
      </w:r>
      <w:r w:rsidRPr="00206986">
        <w:rPr>
          <w:rFonts w:ascii="Times New Roman" w:hAnsi="Times New Roman" w:cs="Times New Roman"/>
          <w:sz w:val="28"/>
          <w:szCs w:val="28"/>
        </w:rPr>
        <w:t>препятствовать</w:t>
      </w:r>
      <w:r w:rsidRPr="00206986">
        <w:rPr>
          <w:rFonts w:ascii="Times New Roman" w:eastAsiaTheme="minorHAnsi" w:hAnsi="Times New Roman" w:cs="Times New Roman"/>
          <w:sz w:val="28"/>
          <w:szCs w:val="28"/>
          <w:lang w:eastAsia="en-US"/>
        </w:rPr>
        <w:t xml:space="preserve"> и ограничить выбор профессий, во </w:t>
      </w:r>
      <w:r w:rsidRPr="00206986">
        <w:rPr>
          <w:rFonts w:ascii="Times New Roman" w:hAnsi="Times New Roman" w:cs="Times New Roman"/>
          <w:sz w:val="28"/>
          <w:szCs w:val="28"/>
        </w:rPr>
        <w:t>избежание</w:t>
      </w:r>
      <w:r w:rsidRPr="00206986">
        <w:rPr>
          <w:rFonts w:ascii="Times New Roman" w:eastAsiaTheme="minorHAnsi" w:hAnsi="Times New Roman" w:cs="Times New Roman"/>
          <w:sz w:val="28"/>
          <w:szCs w:val="28"/>
          <w:lang w:eastAsia="en-US"/>
        </w:rPr>
        <w:t xml:space="preserve"> острых и хронических осложнений </w:t>
      </w:r>
      <w:r w:rsidR="00466CA1" w:rsidRPr="00206986">
        <w:rPr>
          <w:rFonts w:ascii="Times New Roman" w:hAnsi="Times New Roman" w:cs="Times New Roman"/>
          <w:spacing w:val="2"/>
          <w:sz w:val="28"/>
          <w:szCs w:val="28"/>
        </w:rPr>
        <w:t>[20</w:t>
      </w:r>
      <w:r w:rsidR="00F36E79" w:rsidRPr="00206986">
        <w:rPr>
          <w:rFonts w:ascii="Times New Roman" w:hAnsi="Times New Roman" w:cs="Times New Roman"/>
          <w:spacing w:val="2"/>
          <w:sz w:val="28"/>
          <w:szCs w:val="28"/>
        </w:rPr>
        <w:t>0</w:t>
      </w:r>
      <w:r w:rsidRPr="00206986">
        <w:rPr>
          <w:rFonts w:ascii="Times New Roman" w:hAnsi="Times New Roman" w:cs="Times New Roman"/>
          <w:spacing w:val="2"/>
          <w:sz w:val="28"/>
          <w:szCs w:val="28"/>
        </w:rPr>
        <w:t>].</w:t>
      </w:r>
      <w:r w:rsidRPr="00206986">
        <w:rPr>
          <w:rFonts w:ascii="Times New Roman" w:eastAsiaTheme="minorHAnsi" w:hAnsi="Times New Roman" w:cs="Times New Roman"/>
          <w:sz w:val="28"/>
          <w:szCs w:val="28"/>
          <w:lang w:eastAsia="en-US"/>
        </w:rPr>
        <w:t xml:space="preserve"> </w:t>
      </w:r>
    </w:p>
    <w:p w14:paraId="2DCEDC07" w14:textId="3D4959A0" w:rsidR="00030846" w:rsidRPr="00206986" w:rsidRDefault="00030846" w:rsidP="00FD68C4">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206986">
        <w:rPr>
          <w:rFonts w:ascii="Times New Roman" w:eastAsiaTheme="minorHAnsi" w:hAnsi="Times New Roman" w:cs="Times New Roman"/>
          <w:sz w:val="28"/>
          <w:szCs w:val="28"/>
          <w:lang w:eastAsia="en-US"/>
        </w:rPr>
        <w:t>Министерство юстиции / Министерство внутренних дел Республики Казахстан</w:t>
      </w:r>
      <w:r w:rsidR="00834BDA">
        <w:rPr>
          <w:rFonts w:ascii="Times New Roman" w:eastAsiaTheme="minorHAnsi" w:hAnsi="Times New Roman" w:cs="Times New Roman"/>
          <w:sz w:val="28"/>
          <w:szCs w:val="28"/>
          <w:lang w:eastAsia="en-US"/>
        </w:rPr>
        <w:t>:</w:t>
      </w:r>
    </w:p>
    <w:p w14:paraId="73DBB648" w14:textId="77777777" w:rsidR="00030846" w:rsidRPr="00206986" w:rsidRDefault="00030846" w:rsidP="00FD68C4">
      <w:pPr>
        <w:pStyle w:val="a3"/>
        <w:autoSpaceDE w:val="0"/>
        <w:autoSpaceDN w:val="0"/>
        <w:adjustRightInd w:val="0"/>
        <w:spacing w:after="0" w:line="240" w:lineRule="auto"/>
        <w:ind w:left="0" w:firstLine="709"/>
        <w:jc w:val="both"/>
        <w:rPr>
          <w:rFonts w:ascii="Times New Roman" w:eastAsiaTheme="minorHAnsi" w:hAnsi="Times New Roman" w:cs="Times New Roman"/>
          <w:sz w:val="28"/>
          <w:szCs w:val="28"/>
          <w:lang w:eastAsia="en-US"/>
        </w:rPr>
      </w:pPr>
      <w:r w:rsidRPr="00206986">
        <w:rPr>
          <w:rFonts w:ascii="Times New Roman" w:eastAsiaTheme="minorHAnsi" w:hAnsi="Times New Roman" w:cs="Times New Roman"/>
          <w:sz w:val="28"/>
          <w:szCs w:val="28"/>
          <w:lang w:eastAsia="en-US"/>
        </w:rPr>
        <w:t>- Защита прав и интересов медицинских работников и пациентов.  Права и обязанности лиц в области здравоохранения указаны в Кодексе РК от 7 июля 2020 года № 360-VI «О здоровье народа и системе здравоохранения»</w:t>
      </w:r>
      <w:r w:rsidRPr="00206986">
        <w:rPr>
          <w:rFonts w:ascii="Times New Roman" w:hAnsi="Times New Roman" w:cs="Times New Roman"/>
          <w:sz w:val="28"/>
          <w:szCs w:val="28"/>
        </w:rPr>
        <w:t xml:space="preserve"> </w:t>
      </w:r>
      <w:r w:rsidRPr="00206986">
        <w:rPr>
          <w:rFonts w:ascii="Times New Roman" w:eastAsiaTheme="minorHAnsi" w:hAnsi="Times New Roman" w:cs="Times New Roman"/>
          <w:sz w:val="28"/>
          <w:szCs w:val="28"/>
          <w:lang w:eastAsia="en-US"/>
        </w:rPr>
        <w:t>равный доступ к медицинской помощи, где регламентируются: качество медицинской помощи; качество лекарственного обеспечения; доступность, эффективность и безопасность лекарственных средств; проведение мероприятий по профилактике заболеваний, формированию здорового образа жизни и здорового питания; свобода репродуктивного выбора, охрана репродуктивного здоровья и соблюдение репродуктивных прав; санитарно-эпидемиологическое благополучие. Необходимо обширное ознакомление населения с данным кодексом, с целью медицинской грамотности и солидарной ответственности за свое здоровье.</w:t>
      </w:r>
    </w:p>
    <w:p w14:paraId="4EECDBC5" w14:textId="77777777" w:rsidR="00030846" w:rsidRPr="00206986" w:rsidRDefault="00030846" w:rsidP="00FD68C4">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206986">
        <w:rPr>
          <w:rFonts w:ascii="Times New Roman" w:eastAsiaTheme="minorHAnsi" w:hAnsi="Times New Roman" w:cs="Times New Roman"/>
          <w:sz w:val="28"/>
          <w:szCs w:val="28"/>
          <w:lang w:eastAsia="en-US"/>
        </w:rPr>
        <w:t>В медицинских организациях в целях обеспечения защиты прав пациентов и медицинских работников утверждены правила применения технических средств контроля, приборов наблюдения и фиксации, фото-, видеоаппаратуры согласно Приказу МЗ РК от 30 декабря 2020 года № ҚР ДСМ-335/2020. Приказ зарегистрирован в Министерстве юстиции РК 31 декабря 2020 года № 22006.</w:t>
      </w:r>
      <w:r w:rsidRPr="00206986">
        <w:rPr>
          <w:rFonts w:ascii="Times New Roman" w:hAnsi="Times New Roman" w:cs="Times New Roman"/>
          <w:sz w:val="28"/>
          <w:szCs w:val="28"/>
        </w:rPr>
        <w:t xml:space="preserve"> </w:t>
      </w:r>
      <w:r w:rsidRPr="00206986">
        <w:rPr>
          <w:rFonts w:ascii="Times New Roman" w:eastAsiaTheme="minorHAnsi" w:hAnsi="Times New Roman" w:cs="Times New Roman"/>
          <w:sz w:val="28"/>
          <w:szCs w:val="28"/>
          <w:lang w:eastAsia="en-US"/>
        </w:rPr>
        <w:t>Контроль за исполнением настоящего приказа возложена на курирующего вице-министра здравоохранения РК. Необходимо развить культуру межличностного общения в медицинских организациях. Было выявлено, что п</w:t>
      </w:r>
      <w:r w:rsidRPr="00206986">
        <w:rPr>
          <w:rFonts w:ascii="Times New Roman" w:hAnsi="Times New Roman" w:cs="Times New Roman"/>
          <w:sz w:val="28"/>
          <w:szCs w:val="28"/>
        </w:rPr>
        <w:t>осле завершения консультации у 100,0% врачей эндокринологов «иногда» возникает чувство, что не смогли оказать помощь в полной мере по причине - сложившегося неприятного отношения к данному пациенту, неконтролируемые осложнения заболевании на амбулаторном уровне, отсутствия приверженности пациента к рекомендациям.</w:t>
      </w:r>
    </w:p>
    <w:p w14:paraId="6FB7F8E5" w14:textId="77777777" w:rsidR="00030846" w:rsidRPr="00206986" w:rsidRDefault="00030846" w:rsidP="00FD68C4">
      <w:pPr>
        <w:pStyle w:val="af"/>
        <w:shd w:val="clear" w:color="auto" w:fill="FFFFFF"/>
        <w:spacing w:before="0" w:beforeAutospacing="0" w:after="0" w:afterAutospacing="0"/>
        <w:ind w:firstLine="709"/>
        <w:jc w:val="both"/>
        <w:rPr>
          <w:sz w:val="28"/>
          <w:szCs w:val="28"/>
        </w:rPr>
      </w:pPr>
      <w:r w:rsidRPr="00206986">
        <w:rPr>
          <w:sz w:val="28"/>
          <w:szCs w:val="28"/>
        </w:rPr>
        <w:t xml:space="preserve">Так же на портале проектов «Открытые НПА» рассматривается Закон «О внесении изменений и дополнений в некоторые законодательные акты Республики Казахстан по вопросам здравоохранения» утвержденный от 7 июля 2020 года № 361-VI ЗРК. Проект закона разрабатывается в целях внедрения системы юридической и финансовой защиты медицинских работников, а также защиты прав граждан на возмещение вреда, причиненного здоровью при оказании им медицинской помощи. Реализация законопроекта на начальном этапе предполагает финансово-экономические затраты из средств республиканского бюджета в размере 9,3 млрд. тенге в год (по рекомендациям Агентства РК по регулированию и развитию финансового рынка (письмо от 16 июля 2021 года № 03-4-08/684) финансово-экономическое обоснование расходов согласовано с ОЮЛ «Ассоциация финансистов Казахстана»). Вместе с тем министерством сформирована бюджетная заявка, предусматривающая вышеуказанные расходы и направлена на согласование в Министерство финансов РК. </w:t>
      </w:r>
    </w:p>
    <w:p w14:paraId="7FD44B58" w14:textId="77777777" w:rsidR="00030846" w:rsidRPr="00206986" w:rsidRDefault="00030846" w:rsidP="00FD68C4">
      <w:pPr>
        <w:pStyle w:val="a3"/>
        <w:autoSpaceDE w:val="0"/>
        <w:autoSpaceDN w:val="0"/>
        <w:adjustRightInd w:val="0"/>
        <w:spacing w:after="0" w:line="240" w:lineRule="auto"/>
        <w:ind w:left="0" w:firstLine="709"/>
        <w:jc w:val="both"/>
        <w:rPr>
          <w:rFonts w:ascii="Times New Roman" w:hAnsi="Times New Roman" w:cs="Times New Roman"/>
          <w:noProof/>
          <w:sz w:val="28"/>
          <w:szCs w:val="28"/>
        </w:rPr>
      </w:pPr>
      <w:r w:rsidRPr="00206986">
        <w:rPr>
          <w:rFonts w:ascii="Times New Roman" w:eastAsiaTheme="minorHAnsi" w:hAnsi="Times New Roman" w:cs="Times New Roman"/>
          <w:sz w:val="28"/>
          <w:szCs w:val="28"/>
          <w:lang w:eastAsia="en-US"/>
        </w:rPr>
        <w:t>- Обеспечение исполнения НПА, в том числе антитабачного, антиалкогольного, борьба с наркотиками, реагирование на ЧС. Для высокого результата исполнения НПА необходимо формирование среди населения здоровой привычки и образа жизни при сотрудничестве МЗ РК, МОН, Министерство информации и коммуникации РК, Министерство</w:t>
      </w:r>
      <w:r w:rsidRPr="00206986">
        <w:rPr>
          <w:rFonts w:ascii="Times New Roman" w:hAnsi="Times New Roman" w:cs="Times New Roman"/>
          <w:noProof/>
          <w:sz w:val="28"/>
          <w:szCs w:val="28"/>
        </w:rPr>
        <w:t xml:space="preserve"> труда и социальной защиты.</w:t>
      </w:r>
    </w:p>
    <w:p w14:paraId="647FBFD5" w14:textId="77777777" w:rsidR="00030846" w:rsidRPr="00206986" w:rsidRDefault="00030846" w:rsidP="00FD68C4">
      <w:pPr>
        <w:pStyle w:val="af"/>
        <w:shd w:val="clear" w:color="auto" w:fill="FFFFFF"/>
        <w:spacing w:before="0" w:beforeAutospacing="0" w:after="0" w:afterAutospacing="0"/>
        <w:ind w:firstLine="709"/>
        <w:jc w:val="both"/>
        <w:textAlignment w:val="baseline"/>
        <w:rPr>
          <w:sz w:val="28"/>
          <w:szCs w:val="28"/>
          <w:shd w:val="clear" w:color="auto" w:fill="FFFFFF"/>
        </w:rPr>
      </w:pPr>
      <w:r w:rsidRPr="00206986">
        <w:rPr>
          <w:sz w:val="28"/>
          <w:szCs w:val="28"/>
          <w:shd w:val="clear" w:color="auto" w:fill="FFFFFF"/>
        </w:rPr>
        <w:t xml:space="preserve">В. Обеспечение населения ЗОЖ и медицинской грамотностью: </w:t>
      </w:r>
    </w:p>
    <w:p w14:paraId="13EF44EB" w14:textId="1A084ABA" w:rsidR="00030846" w:rsidRPr="00206986" w:rsidRDefault="00030846" w:rsidP="00FD68C4">
      <w:pPr>
        <w:pStyle w:val="af"/>
        <w:shd w:val="clear" w:color="auto" w:fill="FFFFFF"/>
        <w:spacing w:before="0" w:beforeAutospacing="0" w:after="0" w:afterAutospacing="0"/>
        <w:ind w:firstLine="709"/>
        <w:jc w:val="both"/>
        <w:textAlignment w:val="baseline"/>
        <w:rPr>
          <w:sz w:val="28"/>
          <w:szCs w:val="28"/>
        </w:rPr>
      </w:pPr>
      <w:r w:rsidRPr="00206986">
        <w:rPr>
          <w:rFonts w:eastAsiaTheme="minorHAnsi"/>
          <w:sz w:val="28"/>
          <w:szCs w:val="28"/>
          <w:lang w:eastAsia="en-US"/>
        </w:rPr>
        <w:t>Министерство просвещения Республики Казахстан</w:t>
      </w:r>
      <w:r w:rsidR="00834BDA">
        <w:rPr>
          <w:sz w:val="28"/>
          <w:szCs w:val="28"/>
        </w:rPr>
        <w:t>:</w:t>
      </w:r>
    </w:p>
    <w:p w14:paraId="5D33AC7B" w14:textId="77777777" w:rsidR="00030846" w:rsidRPr="00206986" w:rsidRDefault="00030846" w:rsidP="00FD68C4">
      <w:pPr>
        <w:pStyle w:val="af"/>
        <w:shd w:val="clear" w:color="auto" w:fill="FFFFFF"/>
        <w:spacing w:before="0" w:beforeAutospacing="0" w:after="0" w:afterAutospacing="0"/>
        <w:ind w:firstLine="709"/>
        <w:jc w:val="both"/>
        <w:textAlignment w:val="baseline"/>
        <w:rPr>
          <w:rFonts w:eastAsiaTheme="minorHAnsi"/>
          <w:sz w:val="28"/>
          <w:szCs w:val="28"/>
          <w:lang w:eastAsia="en-US"/>
        </w:rPr>
      </w:pPr>
      <w:r w:rsidRPr="00206986">
        <w:rPr>
          <w:sz w:val="28"/>
          <w:szCs w:val="28"/>
        </w:rPr>
        <w:t>Рекомендуется обязать руководителей организации образования контролировать и проводить работу по установке поведения в отношении здоровья и факторов риска развития СД2т. Всех обучающихся, особенно с изменениями ИМТ и повышенным уровнем сахара обеспечить знаниями и навыками о ЗОЖ, активного укрепления, сохранения здоровья, мотивацией, психосоциальной поддержкой. Проводить дополнительные занятия и кружки по медицинской грамотности, так же пополнить фонд библиотеки необходимой литературой. Учитывая, что установки жизни формируются в детстве, необходимо направить на здоровый образ жизни для профилактики не только СД2т, но и для долголетия, благополучия населения. Применить опыт</w:t>
      </w:r>
      <w:r w:rsidRPr="00206986">
        <w:rPr>
          <w:rStyle w:val="aa"/>
          <w:rFonts w:eastAsiaTheme="majorEastAsia"/>
          <w:b w:val="0"/>
          <w:bCs w:val="0"/>
          <w:color w:val="000000"/>
          <w:sz w:val="28"/>
          <w:szCs w:val="28"/>
        </w:rPr>
        <w:t xml:space="preserve"> по результатам исследования «Поведение детей школьного возраста в отношении здоровья» HBSC 2013/2014. - Европейское региональное бюро ВОЗ</w:t>
      </w:r>
      <w:r w:rsidRPr="00206986">
        <w:rPr>
          <w:sz w:val="28"/>
          <w:szCs w:val="28"/>
        </w:rPr>
        <w:t xml:space="preserve">. Для осуществления которой, необходима поддержка и сотрудничество, заинтересованность со стороны </w:t>
      </w:r>
      <w:r w:rsidRPr="00206986">
        <w:rPr>
          <w:rFonts w:eastAsiaTheme="minorHAnsi"/>
          <w:sz w:val="28"/>
          <w:szCs w:val="28"/>
          <w:lang w:eastAsia="en-US"/>
        </w:rPr>
        <w:t>Министерство финансов, Министерство культуры и спорта РК, Министерство информации и коммуникации, Местные исполнительные органы, Акимат.</w:t>
      </w:r>
    </w:p>
    <w:p w14:paraId="4698C25A" w14:textId="071E1A5E" w:rsidR="00030846" w:rsidRPr="00206986" w:rsidRDefault="00030846" w:rsidP="00834BDA">
      <w:pPr>
        <w:pStyle w:val="a3"/>
        <w:tabs>
          <w:tab w:val="left" w:pos="426"/>
        </w:tabs>
        <w:autoSpaceDE w:val="0"/>
        <w:autoSpaceDN w:val="0"/>
        <w:adjustRightInd w:val="0"/>
        <w:spacing w:after="0" w:line="240" w:lineRule="auto"/>
        <w:ind w:left="0" w:firstLine="709"/>
        <w:jc w:val="both"/>
        <w:rPr>
          <w:rFonts w:ascii="Times New Roman" w:eastAsiaTheme="minorHAnsi" w:hAnsi="Times New Roman" w:cs="Times New Roman"/>
          <w:sz w:val="28"/>
          <w:szCs w:val="28"/>
          <w:lang w:eastAsia="en-US"/>
        </w:rPr>
      </w:pPr>
      <w:r w:rsidRPr="00206986">
        <w:rPr>
          <w:rFonts w:ascii="Times New Roman" w:eastAsiaTheme="minorHAnsi" w:hAnsi="Times New Roman" w:cs="Times New Roman"/>
          <w:sz w:val="28"/>
          <w:szCs w:val="28"/>
          <w:lang w:eastAsia="en-US"/>
        </w:rPr>
        <w:t>Министерство культуры и спорта</w:t>
      </w:r>
      <w:r w:rsidR="00321165">
        <w:rPr>
          <w:rFonts w:ascii="Times New Roman" w:eastAsiaTheme="minorHAnsi" w:hAnsi="Times New Roman" w:cs="Times New Roman"/>
          <w:sz w:val="28"/>
          <w:szCs w:val="28"/>
          <w:lang w:eastAsia="en-US"/>
        </w:rPr>
        <w:t xml:space="preserve"> </w:t>
      </w:r>
      <w:r w:rsidRPr="00206986">
        <w:rPr>
          <w:rFonts w:ascii="Times New Roman" w:eastAsiaTheme="minorHAnsi" w:hAnsi="Times New Roman" w:cs="Times New Roman"/>
          <w:sz w:val="28"/>
          <w:szCs w:val="28"/>
          <w:lang w:eastAsia="en-US"/>
        </w:rPr>
        <w:t>/ Министерство информации и коммуникации Республики Казахстан</w:t>
      </w:r>
      <w:r w:rsidR="00321165">
        <w:rPr>
          <w:rFonts w:ascii="Times New Roman" w:eastAsiaTheme="minorHAnsi" w:hAnsi="Times New Roman" w:cs="Times New Roman"/>
          <w:sz w:val="28"/>
          <w:szCs w:val="28"/>
          <w:lang w:eastAsia="en-US"/>
        </w:rPr>
        <w:t>:</w:t>
      </w:r>
    </w:p>
    <w:p w14:paraId="6D64E2BD" w14:textId="440FBB8A" w:rsidR="00030846" w:rsidRPr="00206986" w:rsidRDefault="00030846" w:rsidP="00FD68C4">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206986">
        <w:rPr>
          <w:rFonts w:ascii="Times New Roman" w:eastAsiaTheme="minorHAnsi" w:hAnsi="Times New Roman" w:cs="Times New Roman"/>
          <w:sz w:val="28"/>
          <w:szCs w:val="28"/>
          <w:lang w:eastAsia="en-US"/>
        </w:rPr>
        <w:t xml:space="preserve">- Пропаганда ЗОЖ и ФА на популяционном уровне </w:t>
      </w:r>
    </w:p>
    <w:p w14:paraId="525B6A04" w14:textId="77777777" w:rsidR="00030846" w:rsidRPr="00206986" w:rsidRDefault="00030846" w:rsidP="00FD68C4">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206986">
        <w:rPr>
          <w:rFonts w:ascii="Times New Roman" w:eastAsiaTheme="minorHAnsi" w:hAnsi="Times New Roman" w:cs="Times New Roman"/>
          <w:sz w:val="28"/>
          <w:szCs w:val="28"/>
          <w:lang w:eastAsia="en-US"/>
        </w:rPr>
        <w:t>- выпуск информационных материалов и программ</w:t>
      </w:r>
    </w:p>
    <w:p w14:paraId="17FEF0F3" w14:textId="77777777" w:rsidR="00030846" w:rsidRPr="00206986" w:rsidRDefault="00030846" w:rsidP="00FD68C4">
      <w:pPr>
        <w:autoSpaceDE w:val="0"/>
        <w:autoSpaceDN w:val="0"/>
        <w:adjustRightInd w:val="0"/>
        <w:spacing w:after="0" w:line="240" w:lineRule="auto"/>
        <w:ind w:firstLine="709"/>
        <w:jc w:val="both"/>
        <w:rPr>
          <w:rFonts w:ascii="Times New Roman" w:hAnsi="Times New Roman" w:cs="Times New Roman"/>
          <w:sz w:val="28"/>
          <w:szCs w:val="28"/>
        </w:rPr>
      </w:pPr>
      <w:r w:rsidRPr="00206986">
        <w:rPr>
          <w:rFonts w:ascii="Times New Roman" w:hAnsi="Times New Roman" w:cs="Times New Roman"/>
          <w:sz w:val="28"/>
          <w:szCs w:val="28"/>
        </w:rPr>
        <w:t>- создать культурные программы хобби и отдых для лиц пожилого возраста с СД2т</w:t>
      </w:r>
    </w:p>
    <w:p w14:paraId="2A6E576C" w14:textId="77777777" w:rsidR="00030846" w:rsidRPr="00206986" w:rsidRDefault="00030846" w:rsidP="00FD68C4">
      <w:pPr>
        <w:spacing w:after="0" w:line="240" w:lineRule="auto"/>
        <w:ind w:right="-214" w:firstLine="709"/>
        <w:jc w:val="both"/>
        <w:rPr>
          <w:rFonts w:ascii="Times New Roman" w:eastAsiaTheme="minorHAnsi" w:hAnsi="Times New Roman" w:cs="Times New Roman"/>
          <w:sz w:val="28"/>
          <w:szCs w:val="28"/>
          <w:lang w:eastAsia="en-US"/>
        </w:rPr>
      </w:pPr>
      <w:r w:rsidRPr="00206986">
        <w:rPr>
          <w:rFonts w:ascii="Times New Roman" w:eastAsiaTheme="minorHAnsi" w:hAnsi="Times New Roman" w:cs="Times New Roman"/>
          <w:sz w:val="28"/>
          <w:szCs w:val="28"/>
          <w:lang w:eastAsia="en-US"/>
        </w:rPr>
        <w:t xml:space="preserve">Исследование потребностей показал, </w:t>
      </w:r>
      <w:r w:rsidRPr="00206986">
        <w:rPr>
          <w:rFonts w:ascii="Times New Roman" w:hAnsi="Times New Roman" w:cs="Times New Roman"/>
          <w:sz w:val="28"/>
          <w:szCs w:val="28"/>
        </w:rPr>
        <w:t xml:space="preserve">среди всех опрошенных наибольшая часть не видят причин для занятия физическими упражнениями, из них мужчины- 30,5%, женщины – 25,7%. Это характеризует низкую медицинскую грамотность и информированность населения.  Нет мотивации у 6,0% мужчин и 4,3% женщин, характеризует низкую приверженность. Так же было выявлено, </w:t>
      </w:r>
      <w:r w:rsidRPr="00206986">
        <w:rPr>
          <w:rFonts w:ascii="Times New Roman" w:eastAsiaTheme="minorHAnsi" w:hAnsi="Times New Roman" w:cs="Times New Roman"/>
          <w:sz w:val="28"/>
          <w:szCs w:val="28"/>
          <w:lang w:eastAsia="en-US"/>
        </w:rPr>
        <w:t>что б</w:t>
      </w:r>
      <w:r w:rsidRPr="00206986">
        <w:rPr>
          <w:rFonts w:ascii="Times New Roman" w:hAnsi="Times New Roman" w:cs="Times New Roman"/>
          <w:sz w:val="28"/>
          <w:szCs w:val="28"/>
        </w:rPr>
        <w:t>езработные респонденты (всего 42,08%) сгруппированы от лиц нигде не работающих, пенсионеров по возрасту, имеющих инвалидность по СД, домашнее хозяйство, студенты и другие. Каждому человеку важно чувствовать себя участником событии и развития своей страны, поэтому необходимо рассмотреть программы для лиц с ограниченными возможностями и не трудоспособных. Большинство людей, не имеющих коллектив, чувствуют одиночество, социальное угнетение, низкую мотивацию и самооценку. Так же мы рекомендуем изучить уровень качества жизни и чувство одиночества при СД2т, так как необходимо чтобы были созданы специальные программы и кружки, трудоустройство на государственном уровне в зависимости от возраста и состояния здоровья (применить опыт Японии).</w:t>
      </w:r>
      <w:r w:rsidRPr="00206986">
        <w:rPr>
          <w:rFonts w:ascii="Times New Roman" w:eastAsiaTheme="minorHAnsi" w:hAnsi="Times New Roman" w:cs="Times New Roman"/>
          <w:sz w:val="28"/>
          <w:szCs w:val="28"/>
          <w:lang w:eastAsia="en-US"/>
        </w:rPr>
        <w:t xml:space="preserve"> Для этого необходимо сотрудничество между МЗ РК, Министерство просвещения РК, Министерство юстиции РК, Министерство финансов РК, Местных исполнительных органов/ Акиматов.</w:t>
      </w:r>
    </w:p>
    <w:p w14:paraId="6F51724D" w14:textId="6887CB53" w:rsidR="00030846" w:rsidRPr="00206986" w:rsidRDefault="00030846" w:rsidP="00FD68C4">
      <w:pPr>
        <w:pStyle w:val="a3"/>
        <w:tabs>
          <w:tab w:val="left" w:pos="426"/>
        </w:tabs>
        <w:autoSpaceDE w:val="0"/>
        <w:autoSpaceDN w:val="0"/>
        <w:adjustRightInd w:val="0"/>
        <w:spacing w:after="0" w:line="240" w:lineRule="auto"/>
        <w:ind w:left="0" w:firstLine="709"/>
        <w:jc w:val="both"/>
        <w:rPr>
          <w:rFonts w:ascii="Times New Roman" w:eastAsiaTheme="minorHAnsi" w:hAnsi="Times New Roman" w:cs="Times New Roman"/>
          <w:sz w:val="28"/>
          <w:szCs w:val="28"/>
          <w:lang w:eastAsia="en-US"/>
        </w:rPr>
      </w:pPr>
      <w:r w:rsidRPr="00206986">
        <w:rPr>
          <w:rFonts w:ascii="Times New Roman" w:eastAsiaTheme="minorHAnsi" w:hAnsi="Times New Roman" w:cs="Times New Roman"/>
          <w:sz w:val="28"/>
          <w:szCs w:val="28"/>
          <w:lang w:eastAsia="en-US"/>
        </w:rPr>
        <w:t>Местные исполнительные органы/ Акиматы и Неправительственные, Общественные, Гражданские организации/ассоциации специалистов</w:t>
      </w:r>
    </w:p>
    <w:p w14:paraId="229AF287" w14:textId="77777777" w:rsidR="00030846" w:rsidRPr="00206986" w:rsidRDefault="00030846" w:rsidP="00FD68C4">
      <w:pPr>
        <w:spacing w:after="0" w:line="240" w:lineRule="auto"/>
        <w:ind w:right="-214" w:firstLine="709"/>
        <w:jc w:val="both"/>
        <w:rPr>
          <w:rFonts w:ascii="Times New Roman" w:hAnsi="Times New Roman" w:cs="Times New Roman"/>
          <w:sz w:val="28"/>
          <w:szCs w:val="28"/>
          <w:lang w:val="kk-KZ"/>
        </w:rPr>
      </w:pPr>
      <w:r w:rsidRPr="00206986">
        <w:rPr>
          <w:rFonts w:ascii="Times New Roman" w:eastAsiaTheme="minorHAnsi" w:hAnsi="Times New Roman" w:cs="Times New Roman"/>
          <w:sz w:val="28"/>
          <w:szCs w:val="28"/>
          <w:lang w:eastAsia="en-US"/>
        </w:rPr>
        <w:t>- Моральная, материальная, консультативная поддержка пациентов с СД2т должна носить разносторонний характер. Для этого необходимо сотрудничество между МЗ РК, Министерство</w:t>
      </w:r>
      <w:r w:rsidRPr="00206986">
        <w:rPr>
          <w:rFonts w:ascii="Times New Roman" w:hAnsi="Times New Roman" w:cs="Times New Roman"/>
          <w:noProof/>
          <w:sz w:val="28"/>
          <w:szCs w:val="28"/>
        </w:rPr>
        <w:t xml:space="preserve"> труда и социальной защиты,</w:t>
      </w:r>
      <w:r w:rsidRPr="00206986">
        <w:rPr>
          <w:rFonts w:ascii="Times New Roman" w:eastAsiaTheme="minorHAnsi" w:hAnsi="Times New Roman" w:cs="Times New Roman"/>
          <w:sz w:val="28"/>
          <w:szCs w:val="28"/>
          <w:lang w:eastAsia="en-US"/>
        </w:rPr>
        <w:t xml:space="preserve"> Местных исполнительных органов/ Акиматов и НПО.</w:t>
      </w:r>
    </w:p>
    <w:p w14:paraId="2D56F6F1" w14:textId="77777777" w:rsidR="00030846" w:rsidRPr="00206986" w:rsidRDefault="00030846" w:rsidP="00FD68C4">
      <w:pPr>
        <w:spacing w:after="0" w:line="240" w:lineRule="auto"/>
        <w:ind w:firstLine="709"/>
        <w:jc w:val="both"/>
        <w:rPr>
          <w:rFonts w:ascii="Times New Roman" w:eastAsia="Times New Roman" w:hAnsi="Times New Roman" w:cs="Times New Roman"/>
          <w:sz w:val="28"/>
          <w:szCs w:val="28"/>
        </w:rPr>
      </w:pPr>
      <w:r w:rsidRPr="00206986">
        <w:rPr>
          <w:rFonts w:ascii="Times New Roman" w:hAnsi="Times New Roman" w:cs="Times New Roman"/>
          <w:sz w:val="28"/>
          <w:szCs w:val="28"/>
        </w:rPr>
        <w:t xml:space="preserve">При анализе потребности респондентов статистический значимо выявлено, что во время </w:t>
      </w:r>
      <w:r w:rsidRPr="00206986">
        <w:rPr>
          <w:rFonts w:ascii="Times New Roman" w:eastAsia="Times New Roman" w:hAnsi="Times New Roman" w:cs="Times New Roman"/>
          <w:sz w:val="28"/>
          <w:szCs w:val="28"/>
        </w:rPr>
        <w:t xml:space="preserve">карантина по </w:t>
      </w:r>
      <w:r w:rsidRPr="00206986">
        <w:rPr>
          <w:rFonts w:ascii="Times New Roman" w:eastAsia="Times New Roman" w:hAnsi="Times New Roman" w:cs="Times New Roman"/>
          <w:sz w:val="28"/>
          <w:szCs w:val="28"/>
          <w:lang w:val="en-US"/>
        </w:rPr>
        <w:t>Covid</w:t>
      </w:r>
      <w:r w:rsidRPr="00206986">
        <w:rPr>
          <w:rFonts w:ascii="Times New Roman" w:eastAsia="Times New Roman" w:hAnsi="Times New Roman" w:cs="Times New Roman"/>
          <w:sz w:val="28"/>
          <w:szCs w:val="28"/>
        </w:rPr>
        <w:t xml:space="preserve">-19 </w:t>
      </w:r>
      <w:r w:rsidRPr="00206986">
        <w:rPr>
          <w:rFonts w:ascii="Times New Roman" w:hAnsi="Times New Roman" w:cs="Times New Roman"/>
          <w:sz w:val="28"/>
          <w:szCs w:val="28"/>
        </w:rPr>
        <w:t xml:space="preserve">Районный акимат участвовал в оказаниях поддержки респондентов всего в 5,0% ДИ (1,10; 8,98). </w:t>
      </w:r>
      <w:r w:rsidRPr="00206986">
        <w:rPr>
          <w:rFonts w:ascii="Times New Roman" w:eastAsia="Times New Roman" w:hAnsi="Times New Roman" w:cs="Times New Roman"/>
          <w:sz w:val="28"/>
          <w:szCs w:val="28"/>
        </w:rPr>
        <w:t>В трудные моменты, управление и делегирование решения основных возникших проблем должен возлагаться на районный акимат. Анализ опроса показал, что среди всех организации Алатауский районный акимат оказал моральную и материальную помощь пациентам с СД2т всего в 14,6% случаях, Алмалинский-9,2%, Турксибский-7,1%, Бостандыксий-3,7%, Ауэзовский-2,3%, Жетысуский- 1,9%. Медеуский и Наурызбайский акимат не участвовал в оказании поддержки пациентов с СД2т во время карантина.</w:t>
      </w:r>
    </w:p>
    <w:p w14:paraId="7C4C437B" w14:textId="77777777" w:rsidR="00030846" w:rsidRPr="00206986" w:rsidRDefault="00030846" w:rsidP="00FD68C4">
      <w:pPr>
        <w:spacing w:after="0" w:line="240" w:lineRule="auto"/>
        <w:ind w:firstLine="709"/>
        <w:jc w:val="both"/>
        <w:rPr>
          <w:rFonts w:ascii="Times New Roman" w:hAnsi="Times New Roman" w:cs="Times New Roman"/>
          <w:sz w:val="28"/>
          <w:szCs w:val="28"/>
        </w:rPr>
      </w:pPr>
      <w:r w:rsidRPr="00206986">
        <w:rPr>
          <w:rFonts w:ascii="Times New Roman" w:hAnsi="Times New Roman" w:cs="Times New Roman"/>
          <w:sz w:val="28"/>
          <w:szCs w:val="28"/>
        </w:rPr>
        <w:t xml:space="preserve">Доля CALL-центров в оказании поддержки пациентов составила 9,4% ДИ (17,58; 21,25). Были также моральные- материальные поддержки со стороны Партии Нур-Отан, Красного полумесяца Казахстана, Алматинского городского общества инвалидов, Диабетической ассоциации Республики Казахстан (ДАРК). </w:t>
      </w:r>
      <w:r w:rsidRPr="00206986">
        <w:rPr>
          <w:rFonts w:ascii="Times New Roman" w:hAnsi="Times New Roman" w:cs="Times New Roman"/>
          <w:sz w:val="28"/>
          <w:szCs w:val="28"/>
        </w:rPr>
        <w:tab/>
      </w:r>
    </w:p>
    <w:p w14:paraId="7EAD9098" w14:textId="3C901787" w:rsidR="00030846" w:rsidRPr="00206986" w:rsidRDefault="00030846" w:rsidP="00FD68C4">
      <w:pPr>
        <w:tabs>
          <w:tab w:val="center" w:pos="567"/>
        </w:tabs>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206986">
        <w:rPr>
          <w:rFonts w:ascii="Times New Roman" w:hAnsi="Times New Roman" w:cs="Times New Roman"/>
          <w:sz w:val="28"/>
          <w:szCs w:val="28"/>
        </w:rPr>
        <w:t xml:space="preserve"> </w:t>
      </w:r>
      <w:r w:rsidRPr="00206986">
        <w:rPr>
          <w:rFonts w:ascii="Times New Roman" w:eastAsiaTheme="minorHAnsi" w:hAnsi="Times New Roman" w:cs="Times New Roman"/>
          <w:sz w:val="28"/>
          <w:szCs w:val="28"/>
          <w:lang w:eastAsia="en-US"/>
        </w:rPr>
        <w:t xml:space="preserve">- Реализация программы ВОЗ "Здоровые Города", инфраструктурная поддержка: велодорожки, спорт площадки с тренажерами, спорт мероприятия. </w:t>
      </w:r>
    </w:p>
    <w:p w14:paraId="639105F6" w14:textId="60A19173" w:rsidR="00030846" w:rsidRDefault="00030846" w:rsidP="00FD68C4">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206986">
        <w:rPr>
          <w:rFonts w:ascii="Times New Roman" w:eastAsia="Times New Roman" w:hAnsi="Times New Roman" w:cs="Times New Roman"/>
          <w:sz w:val="28"/>
          <w:szCs w:val="28"/>
        </w:rPr>
        <w:t xml:space="preserve">Статистическая значимая связь между местом занятия ФА пациентов в зависимости от района. Наибольшая часть опрошенных Турксибского района в 38,6% случаях занимаются ФА дома, 35,0%- Наурызбайского района не занимаются, 35,8%- Медеуского района во дворе, 40,8%- Алмалинского района в спорт комплексе, 15,4%- Жетысуского района в спорт площадке бесплатно. В совокупности не зависимо от района проживания всего 21,9% респондентов занимаются ФА во дворе и 10,8% в спорт площадке. В зависимости учитывания количества и площади спортивно-оздоровительных мест при градостроении, увеличивается мотивация занятия ФА для населения. Так же необходимо установить индикатор приемлемости использования тренажеров и площадок для населения страдающих с СД2т с установленным и без инвалидности. </w:t>
      </w:r>
      <w:r w:rsidRPr="00206986">
        <w:rPr>
          <w:rFonts w:ascii="Times New Roman" w:eastAsiaTheme="minorHAnsi" w:hAnsi="Times New Roman" w:cs="Times New Roman"/>
          <w:sz w:val="28"/>
          <w:szCs w:val="28"/>
          <w:lang w:eastAsia="en-US"/>
        </w:rPr>
        <w:t>Для этого необходимо сотрудничество между МЗ РК, Министерство науки и высшего образования РК, Министерство культуры и спорта РК/ Министерство информации и коммуникации РК</w:t>
      </w:r>
    </w:p>
    <w:p w14:paraId="588E0BE3" w14:textId="28E62E24" w:rsidR="00030846" w:rsidRPr="00206986" w:rsidRDefault="00030846" w:rsidP="00321165">
      <w:pPr>
        <w:tabs>
          <w:tab w:val="num" w:pos="720"/>
        </w:tabs>
        <w:autoSpaceDE w:val="0"/>
        <w:autoSpaceDN w:val="0"/>
        <w:adjustRightInd w:val="0"/>
        <w:spacing w:after="0" w:line="240" w:lineRule="auto"/>
        <w:ind w:firstLine="709"/>
        <w:rPr>
          <w:rFonts w:ascii="Times New Roman" w:eastAsiaTheme="minorHAnsi" w:hAnsi="Times New Roman" w:cs="Times New Roman"/>
          <w:sz w:val="28"/>
          <w:szCs w:val="28"/>
          <w:lang w:eastAsia="en-US"/>
        </w:rPr>
      </w:pPr>
      <w:r w:rsidRPr="00206986">
        <w:rPr>
          <w:rFonts w:ascii="Times New Roman" w:eastAsiaTheme="minorHAnsi" w:hAnsi="Times New Roman" w:cs="Times New Roman"/>
          <w:sz w:val="28"/>
          <w:szCs w:val="28"/>
          <w:lang w:eastAsia="en-US"/>
        </w:rPr>
        <w:t>Министерство сельского хозяйства Республики Казахстан</w:t>
      </w:r>
      <w:r w:rsidR="00321165">
        <w:rPr>
          <w:rFonts w:ascii="Times New Roman" w:eastAsiaTheme="minorHAnsi" w:hAnsi="Times New Roman" w:cs="Times New Roman"/>
          <w:sz w:val="28"/>
          <w:szCs w:val="28"/>
          <w:lang w:eastAsia="en-US"/>
        </w:rPr>
        <w:t>:</w:t>
      </w:r>
    </w:p>
    <w:p w14:paraId="5C6AE53F" w14:textId="77777777" w:rsidR="00030846" w:rsidRPr="00206986" w:rsidRDefault="00030846" w:rsidP="00FD68C4">
      <w:pPr>
        <w:tabs>
          <w:tab w:val="left" w:pos="1014"/>
        </w:tabs>
        <w:spacing w:after="0" w:line="240" w:lineRule="auto"/>
        <w:ind w:firstLine="709"/>
        <w:jc w:val="both"/>
        <w:rPr>
          <w:rFonts w:ascii="Times New Roman" w:hAnsi="Times New Roman" w:cs="Times New Roman"/>
          <w:sz w:val="28"/>
          <w:szCs w:val="28"/>
        </w:rPr>
      </w:pPr>
      <w:r w:rsidRPr="00206986">
        <w:rPr>
          <w:rFonts w:ascii="Times New Roman" w:eastAsiaTheme="minorHAnsi" w:hAnsi="Times New Roman" w:cs="Times New Roman"/>
          <w:sz w:val="28"/>
          <w:szCs w:val="28"/>
          <w:lang w:eastAsia="en-US"/>
        </w:rPr>
        <w:t>- Обеспечение продовольственной безопасности и доступность сельскохозяйственной продукции.</w:t>
      </w:r>
      <w:r w:rsidRPr="00206986">
        <w:rPr>
          <w:rFonts w:ascii="Times New Roman" w:hAnsi="Times New Roman" w:cs="Times New Roman"/>
          <w:sz w:val="28"/>
          <w:szCs w:val="28"/>
        </w:rPr>
        <w:t xml:space="preserve"> </w:t>
      </w:r>
      <w:r w:rsidRPr="00206986">
        <w:rPr>
          <w:rFonts w:ascii="Times New Roman" w:eastAsiaTheme="minorHAnsi" w:hAnsi="Times New Roman" w:cs="Times New Roman"/>
          <w:sz w:val="28"/>
          <w:szCs w:val="28"/>
          <w:lang w:eastAsia="en-US"/>
        </w:rPr>
        <w:t xml:space="preserve">Плана обеспечения продовольственной безопасности РК на 2022 – 2024 годы утвержден постановлением Правительства РК от 31 марта 2022 года № 178. Данное постановление обеспечивает физическую доступность продовольственных товаров, развитие производства сельскохозяйственной продукции, экономическую доступность продовольственных товаров, качество и безопасность пищевой продукции.  </w:t>
      </w:r>
      <w:r w:rsidRPr="00206986">
        <w:rPr>
          <w:rFonts w:ascii="Times New Roman" w:hAnsi="Times New Roman" w:cs="Times New Roman"/>
          <w:sz w:val="28"/>
          <w:szCs w:val="28"/>
        </w:rPr>
        <w:t>Учитывая, что на рацион питания респондентов так же влияет экономическая доступность и ценообразование, о</w:t>
      </w:r>
      <w:r w:rsidRPr="00206986">
        <w:rPr>
          <w:rFonts w:ascii="Times New Roman" w:eastAsia="Times New Roman" w:hAnsi="Times New Roman" w:cs="Times New Roman"/>
          <w:sz w:val="28"/>
          <w:szCs w:val="28"/>
        </w:rPr>
        <w:t>вощи доступны для 68,81% занятых и 56,83% безработных (</w:t>
      </w:r>
      <w:r w:rsidRPr="00206986">
        <w:rPr>
          <w:rFonts w:ascii="Times New Roman" w:hAnsi="Times New Roman" w:cs="Times New Roman"/>
          <w:sz w:val="28"/>
          <w:szCs w:val="28"/>
        </w:rPr>
        <w:t>p=0,01)</w:t>
      </w:r>
      <w:r w:rsidRPr="00206986">
        <w:rPr>
          <w:rFonts w:ascii="Times New Roman" w:eastAsia="Times New Roman" w:hAnsi="Times New Roman" w:cs="Times New Roman"/>
          <w:sz w:val="28"/>
          <w:szCs w:val="28"/>
        </w:rPr>
        <w:t xml:space="preserve">. Не каждый день едят овощи 65,6% безработных и 34,4% занятых. </w:t>
      </w:r>
      <w:r w:rsidRPr="00206986">
        <w:rPr>
          <w:rFonts w:ascii="Times New Roman" w:hAnsi="Times New Roman" w:cs="Times New Roman"/>
          <w:sz w:val="28"/>
          <w:szCs w:val="28"/>
        </w:rPr>
        <w:t xml:space="preserve"> </w:t>
      </w:r>
      <w:r w:rsidRPr="00206986">
        <w:rPr>
          <w:rFonts w:ascii="Times New Roman" w:hAnsi="Times New Roman" w:cs="Times New Roman"/>
          <w:sz w:val="28"/>
          <w:szCs w:val="28"/>
        </w:rPr>
        <w:tab/>
        <w:t xml:space="preserve">Так же, не каждый день могут себе позволить потреблять в пищу фрукты и ягоды </w:t>
      </w:r>
      <w:r w:rsidRPr="00206986">
        <w:rPr>
          <w:rFonts w:ascii="Times New Roman" w:eastAsia="Times New Roman" w:hAnsi="Times New Roman" w:cs="Times New Roman"/>
          <w:sz w:val="28"/>
          <w:szCs w:val="28"/>
        </w:rPr>
        <w:t>48,20% безработных и 44,55% занятых,</w:t>
      </w:r>
      <w:r w:rsidRPr="00206986">
        <w:rPr>
          <w:rFonts w:ascii="Times New Roman" w:hAnsi="Times New Roman" w:cs="Times New Roman"/>
          <w:sz w:val="28"/>
          <w:szCs w:val="28"/>
        </w:rPr>
        <w:t xml:space="preserve"> p=0,01</w:t>
      </w:r>
      <w:r w:rsidRPr="00206986">
        <w:rPr>
          <w:rFonts w:ascii="Times New Roman" w:eastAsia="Times New Roman" w:hAnsi="Times New Roman" w:cs="Times New Roman"/>
          <w:sz w:val="28"/>
          <w:szCs w:val="28"/>
        </w:rPr>
        <w:t xml:space="preserve">. Каждый день потребляют 40,10% занятых и 37,05% безработных. Фрукты и ягоды в рацион питания не входят у 15,35% занятых и 14,75% безработных. В зависимости от района проживания, выявлена частота употребления фруктов и ягод. В 53,7% случаях не едят фрукты, ягоды каждый день опрошенные Бостандыкского района, в 50,9% случаях каждый день имеют в рационе фрукты жители Медеуского района. В 41,5% случаях фрукты и ягоды не входят в рацион питания опрошенных Алатауского района. </w:t>
      </w:r>
      <w:r w:rsidRPr="00206986">
        <w:rPr>
          <w:rFonts w:ascii="Times New Roman" w:hAnsi="Times New Roman" w:cs="Times New Roman"/>
          <w:sz w:val="28"/>
          <w:szCs w:val="28"/>
        </w:rPr>
        <w:t xml:space="preserve">Согласно проведенному анализу, во время карантина </w:t>
      </w:r>
      <w:r w:rsidRPr="00206986">
        <w:rPr>
          <w:rFonts w:ascii="Times New Roman" w:hAnsi="Times New Roman" w:cs="Times New Roman"/>
          <w:sz w:val="28"/>
          <w:szCs w:val="28"/>
          <w:lang w:val="en-US"/>
        </w:rPr>
        <w:t>COVID</w:t>
      </w:r>
      <w:r w:rsidRPr="00206986">
        <w:rPr>
          <w:rFonts w:ascii="Times New Roman" w:hAnsi="Times New Roman" w:cs="Times New Roman"/>
          <w:sz w:val="28"/>
          <w:szCs w:val="28"/>
        </w:rPr>
        <w:t xml:space="preserve">-19 у </w:t>
      </w:r>
      <w:r w:rsidRPr="00206986">
        <w:rPr>
          <w:rFonts w:ascii="Times New Roman" w:eastAsia="Times New Roman" w:hAnsi="Times New Roman" w:cs="Times New Roman"/>
          <w:sz w:val="28"/>
          <w:szCs w:val="28"/>
        </w:rPr>
        <w:t xml:space="preserve">12,50% </w:t>
      </w:r>
      <w:r w:rsidRPr="00206986">
        <w:rPr>
          <w:rFonts w:ascii="Times New Roman" w:hAnsi="Times New Roman" w:cs="Times New Roman"/>
          <w:sz w:val="28"/>
          <w:szCs w:val="28"/>
        </w:rPr>
        <w:t xml:space="preserve">респондентов было нарушение диеты, так как не всегда были доступны свежие и необходимые продукты. Рекомендуется усилить работу по физической и экономической доступности свежих овощей и фруктов надлежащей территории исходя от плотности населения и спроса. </w:t>
      </w:r>
    </w:p>
    <w:p w14:paraId="766D6117" w14:textId="77777777" w:rsidR="00FD68C4" w:rsidRDefault="00FD68C4" w:rsidP="00FD68C4">
      <w:pPr>
        <w:autoSpaceDE w:val="0"/>
        <w:autoSpaceDN w:val="0"/>
        <w:adjustRightInd w:val="0"/>
        <w:spacing w:after="0" w:line="240" w:lineRule="auto"/>
        <w:ind w:firstLine="709"/>
        <w:jc w:val="center"/>
        <w:rPr>
          <w:rFonts w:ascii="Times New Roman" w:hAnsi="Times New Roman" w:cs="Times New Roman"/>
          <w:sz w:val="28"/>
          <w:szCs w:val="28"/>
        </w:rPr>
      </w:pPr>
    </w:p>
    <w:p w14:paraId="7A2FED98" w14:textId="77777777" w:rsidR="00FD68C4" w:rsidRDefault="00FD68C4" w:rsidP="00FD68C4">
      <w:pPr>
        <w:autoSpaceDE w:val="0"/>
        <w:autoSpaceDN w:val="0"/>
        <w:adjustRightInd w:val="0"/>
        <w:spacing w:after="0" w:line="240" w:lineRule="auto"/>
        <w:ind w:firstLine="709"/>
        <w:jc w:val="center"/>
        <w:rPr>
          <w:rFonts w:ascii="Times New Roman" w:hAnsi="Times New Roman" w:cs="Times New Roman"/>
          <w:sz w:val="28"/>
          <w:szCs w:val="28"/>
        </w:rPr>
      </w:pPr>
    </w:p>
    <w:p w14:paraId="1778BD87" w14:textId="2184D214" w:rsidR="00030846" w:rsidRPr="00206986" w:rsidRDefault="00030846" w:rsidP="00321165">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206986">
        <w:rPr>
          <w:rFonts w:ascii="Times New Roman" w:hAnsi="Times New Roman" w:cs="Times New Roman"/>
          <w:sz w:val="28"/>
          <w:szCs w:val="28"/>
        </w:rPr>
        <w:t>Министерство индустрии и инфраструктурного развития</w:t>
      </w:r>
      <w:r w:rsidRPr="00206986">
        <w:rPr>
          <w:rFonts w:ascii="Times New Roman" w:eastAsiaTheme="minorHAnsi" w:hAnsi="Times New Roman" w:cs="Times New Roman"/>
          <w:sz w:val="28"/>
          <w:szCs w:val="28"/>
          <w:lang w:eastAsia="en-US"/>
        </w:rPr>
        <w:t xml:space="preserve"> Республики Казахстан</w:t>
      </w:r>
      <w:r w:rsidR="00321165">
        <w:rPr>
          <w:rFonts w:ascii="Times New Roman" w:eastAsiaTheme="minorHAnsi" w:hAnsi="Times New Roman" w:cs="Times New Roman"/>
          <w:sz w:val="28"/>
          <w:szCs w:val="28"/>
          <w:lang w:eastAsia="en-US"/>
        </w:rPr>
        <w:t>:</w:t>
      </w:r>
    </w:p>
    <w:p w14:paraId="0E0BB39F" w14:textId="77777777" w:rsidR="00030846" w:rsidRPr="00206986" w:rsidRDefault="00030846" w:rsidP="00FD68C4">
      <w:pPr>
        <w:spacing w:after="0" w:line="240" w:lineRule="auto"/>
        <w:ind w:firstLine="709"/>
        <w:jc w:val="both"/>
        <w:rPr>
          <w:rFonts w:ascii="Times New Roman" w:hAnsi="Times New Roman" w:cs="Times New Roman"/>
          <w:sz w:val="28"/>
          <w:szCs w:val="28"/>
        </w:rPr>
      </w:pPr>
      <w:r w:rsidRPr="00206986">
        <w:rPr>
          <w:rFonts w:ascii="Times New Roman" w:eastAsiaTheme="minorHAnsi" w:hAnsi="Times New Roman" w:cs="Times New Roman"/>
          <w:sz w:val="28"/>
          <w:szCs w:val="28"/>
          <w:lang w:eastAsia="en-US"/>
        </w:rPr>
        <w:t xml:space="preserve">- Стимулирование малого бизнеса по правильному питанию (кафе, общепит для СД2т, меню с учетом хлебных единиц с </w:t>
      </w:r>
      <w:r w:rsidRPr="00206986">
        <w:rPr>
          <w:rFonts w:ascii="Times New Roman" w:hAnsi="Times New Roman" w:cs="Times New Roman"/>
          <w:sz w:val="28"/>
          <w:szCs w:val="28"/>
        </w:rPr>
        <w:t>доставкой</w:t>
      </w:r>
      <w:r w:rsidRPr="00206986">
        <w:rPr>
          <w:rFonts w:ascii="Times New Roman" w:eastAsiaTheme="minorHAnsi" w:hAnsi="Times New Roman" w:cs="Times New Roman"/>
          <w:sz w:val="28"/>
          <w:szCs w:val="28"/>
          <w:lang w:eastAsia="en-US"/>
        </w:rPr>
        <w:t xml:space="preserve"> на дом). </w:t>
      </w:r>
      <w:r w:rsidRPr="00206986">
        <w:rPr>
          <w:rFonts w:ascii="Times New Roman" w:hAnsi="Times New Roman" w:cs="Times New Roman"/>
          <w:sz w:val="28"/>
          <w:szCs w:val="28"/>
        </w:rPr>
        <w:t xml:space="preserve">Для этого рассмотрены возможности казахстанского бюджета в части установления грантов начинающим малым предприятиям на частичное возмещение расходов, связанных с началом предпринимательской деятельности в сфере производства продукции легкой промышленности Государственной программы поддержки и развития бизнеса «Дорожная карта бизнеса – 2025». Рассмотрены возможности для облегчения налоговой нагрузки субъектам, осуществляющим свою деятельность в отрасли легкой промышленности. </w:t>
      </w:r>
    </w:p>
    <w:p w14:paraId="71F68A7D" w14:textId="4234C86B" w:rsidR="00030846" w:rsidRDefault="00030846" w:rsidP="00FD68C4">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206986">
        <w:rPr>
          <w:rFonts w:ascii="Times New Roman" w:hAnsi="Times New Roman" w:cs="Times New Roman"/>
          <w:sz w:val="28"/>
          <w:szCs w:val="28"/>
        </w:rPr>
        <w:t>Согласно проведенному анализу, 9,8% случаях з</w:t>
      </w:r>
      <w:r w:rsidRPr="00206986">
        <w:rPr>
          <w:rFonts w:ascii="Times New Roman" w:eastAsia="Times New Roman" w:hAnsi="Times New Roman" w:cs="Times New Roman"/>
          <w:sz w:val="28"/>
          <w:szCs w:val="28"/>
        </w:rPr>
        <w:t xml:space="preserve">апах еды от ближайшего общепита имеет соблазн на нарушение диеты для пациентов с СД2т. Поддержка семьи и близких имеют важное значение в соблюдении предписанного режима на протяжении всей жизни при СД2т.  </w:t>
      </w:r>
      <w:r w:rsidRPr="00206986">
        <w:rPr>
          <w:rFonts w:ascii="Times New Roman" w:hAnsi="Times New Roman" w:cs="Times New Roman"/>
          <w:sz w:val="28"/>
          <w:szCs w:val="28"/>
        </w:rPr>
        <w:t>Члены семьи пациентов с СД2т способствует вместе соблюдать ЗОЖ и правильное питание, из них</w:t>
      </w:r>
      <w:r w:rsidRPr="00206986">
        <w:rPr>
          <w:rFonts w:ascii="Times New Roman" w:eastAsia="Times New Roman" w:hAnsi="Times New Roman" w:cs="Times New Roman"/>
          <w:color w:val="000000"/>
          <w:sz w:val="28"/>
          <w:szCs w:val="28"/>
        </w:rPr>
        <w:t xml:space="preserve"> в 28,42</w:t>
      </w:r>
      <w:r w:rsidRPr="00206986">
        <w:rPr>
          <w:rFonts w:ascii="Times New Roman" w:eastAsia="Times New Roman" w:hAnsi="Times New Roman" w:cs="Times New Roman"/>
          <w:sz w:val="28"/>
          <w:szCs w:val="28"/>
        </w:rPr>
        <w:t xml:space="preserve">% случаях </w:t>
      </w:r>
      <w:r w:rsidRPr="00206986">
        <w:rPr>
          <w:rFonts w:ascii="Times New Roman" w:hAnsi="Times New Roman" w:cs="Times New Roman"/>
          <w:sz w:val="28"/>
          <w:szCs w:val="28"/>
        </w:rPr>
        <w:t xml:space="preserve">в официальном браке и </w:t>
      </w:r>
      <w:r w:rsidRPr="00206986">
        <w:rPr>
          <w:rFonts w:ascii="Times New Roman" w:eastAsia="Times New Roman" w:hAnsi="Times New Roman" w:cs="Times New Roman"/>
          <w:color w:val="000000"/>
          <w:sz w:val="28"/>
          <w:szCs w:val="28"/>
        </w:rPr>
        <w:t>16,83</w:t>
      </w:r>
      <w:r w:rsidRPr="00206986">
        <w:rPr>
          <w:rFonts w:ascii="Times New Roman" w:eastAsia="Times New Roman" w:hAnsi="Times New Roman" w:cs="Times New Roman"/>
          <w:sz w:val="28"/>
          <w:szCs w:val="28"/>
        </w:rPr>
        <w:t>%- другое семейное положение</w:t>
      </w:r>
      <w:r w:rsidRPr="00206986">
        <w:rPr>
          <w:rFonts w:ascii="Times New Roman" w:hAnsi="Times New Roman" w:cs="Times New Roman"/>
          <w:sz w:val="28"/>
          <w:szCs w:val="28"/>
        </w:rPr>
        <w:t>. Выявлено, что с</w:t>
      </w:r>
      <w:r w:rsidRPr="00206986">
        <w:rPr>
          <w:rFonts w:ascii="Times New Roman" w:eastAsia="Times New Roman" w:hAnsi="Times New Roman" w:cs="Times New Roman"/>
          <w:sz w:val="28"/>
          <w:szCs w:val="28"/>
        </w:rPr>
        <w:t>емейных пациентов с СД2т в 23,74%</w:t>
      </w:r>
      <w:r w:rsidRPr="00206986">
        <w:rPr>
          <w:rFonts w:ascii="Times New Roman" w:hAnsi="Times New Roman" w:cs="Times New Roman"/>
          <w:sz w:val="28"/>
          <w:szCs w:val="28"/>
        </w:rPr>
        <w:t xml:space="preserve"> случаях семья не всегда поддерживает, </w:t>
      </w:r>
      <w:r w:rsidRPr="00206986">
        <w:rPr>
          <w:rFonts w:ascii="Times New Roman" w:eastAsia="Times New Roman" w:hAnsi="Times New Roman" w:cs="Times New Roman"/>
          <w:sz w:val="28"/>
          <w:szCs w:val="28"/>
        </w:rPr>
        <w:t>22,30%</w:t>
      </w:r>
      <w:r w:rsidRPr="00206986">
        <w:rPr>
          <w:rFonts w:ascii="Times New Roman" w:hAnsi="Times New Roman" w:cs="Times New Roman"/>
          <w:sz w:val="28"/>
          <w:szCs w:val="28"/>
        </w:rPr>
        <w:t xml:space="preserve">-помогает контролировать сахар, </w:t>
      </w:r>
      <w:r w:rsidRPr="00206986">
        <w:rPr>
          <w:rFonts w:ascii="Times New Roman" w:eastAsia="Times New Roman" w:hAnsi="Times New Roman" w:cs="Times New Roman"/>
          <w:sz w:val="28"/>
          <w:szCs w:val="28"/>
        </w:rPr>
        <w:t>15,47%</w:t>
      </w:r>
      <w:r w:rsidRPr="00206986">
        <w:rPr>
          <w:rFonts w:ascii="Times New Roman" w:hAnsi="Times New Roman" w:cs="Times New Roman"/>
          <w:sz w:val="28"/>
          <w:szCs w:val="28"/>
        </w:rPr>
        <w:t xml:space="preserve">- помогает по быту и самоуходу, </w:t>
      </w:r>
      <w:r w:rsidRPr="00206986">
        <w:rPr>
          <w:rFonts w:ascii="Times New Roman" w:eastAsia="Times New Roman" w:hAnsi="Times New Roman" w:cs="Times New Roman"/>
          <w:sz w:val="28"/>
          <w:szCs w:val="28"/>
        </w:rPr>
        <w:t>10,07%</w:t>
      </w:r>
      <w:r w:rsidRPr="00206986">
        <w:rPr>
          <w:rFonts w:ascii="Times New Roman" w:hAnsi="Times New Roman" w:cs="Times New Roman"/>
          <w:sz w:val="28"/>
          <w:szCs w:val="28"/>
        </w:rPr>
        <w:t>- в семье не поддерживают вовсе. Пациентов в другом семейном положении в 17,33 случаях никто не поддерживает (</w:t>
      </w:r>
      <w:r w:rsidRPr="00206986">
        <w:rPr>
          <w:rFonts w:ascii="Times New Roman" w:eastAsia="Times New Roman" w:hAnsi="Times New Roman" w:cs="Times New Roman"/>
          <w:sz w:val="28"/>
          <w:szCs w:val="28"/>
          <w:lang w:val="en-US"/>
        </w:rPr>
        <w:t>p</w:t>
      </w:r>
      <w:r w:rsidRPr="00206986">
        <w:rPr>
          <w:rFonts w:ascii="Times New Roman" w:eastAsia="Times New Roman" w:hAnsi="Times New Roman" w:cs="Times New Roman"/>
          <w:sz w:val="28"/>
          <w:szCs w:val="28"/>
        </w:rPr>
        <w:t>= 0,002). В</w:t>
      </w:r>
      <w:r w:rsidRPr="00206986">
        <w:rPr>
          <w:rFonts w:ascii="Times New Roman" w:hAnsi="Times New Roman" w:cs="Times New Roman"/>
          <w:sz w:val="28"/>
          <w:szCs w:val="28"/>
        </w:rPr>
        <w:t xml:space="preserve">о время карантина </w:t>
      </w:r>
      <w:r w:rsidRPr="00206986">
        <w:rPr>
          <w:rFonts w:ascii="Times New Roman" w:hAnsi="Times New Roman" w:cs="Times New Roman"/>
          <w:sz w:val="28"/>
          <w:szCs w:val="28"/>
          <w:lang w:val="en-US"/>
        </w:rPr>
        <w:t>COVID</w:t>
      </w:r>
      <w:r w:rsidRPr="00206986">
        <w:rPr>
          <w:rFonts w:ascii="Times New Roman" w:hAnsi="Times New Roman" w:cs="Times New Roman"/>
          <w:sz w:val="28"/>
          <w:szCs w:val="28"/>
        </w:rPr>
        <w:t>-19, родственники помогали больным с СД2т в 20,8% ДИ (19,06; 22,56) случаях. Учитывая разные жизненные обстоятельства при СД2т, режим питания, возможности самообслуживания и социального статуса, рекомендуется развить экономический доступную сферу питания на основаниях №9 диетического стола. Но на сегодняшний день на территории нашей страны не развита вышесказанные направления, что требует с</w:t>
      </w:r>
      <w:r w:rsidRPr="00206986">
        <w:rPr>
          <w:rFonts w:ascii="Times New Roman" w:eastAsiaTheme="minorHAnsi" w:hAnsi="Times New Roman" w:cs="Times New Roman"/>
          <w:sz w:val="28"/>
          <w:szCs w:val="28"/>
          <w:lang w:eastAsia="en-US"/>
        </w:rPr>
        <w:t xml:space="preserve">отрудничества и активного участия МЗ РК, Министерств финансов, Сельского хозяйства, </w:t>
      </w:r>
      <w:r w:rsidRPr="00206986">
        <w:rPr>
          <w:rFonts w:ascii="Times New Roman" w:hAnsi="Times New Roman" w:cs="Times New Roman"/>
          <w:sz w:val="28"/>
          <w:szCs w:val="28"/>
        </w:rPr>
        <w:t>Индустрии и инфраструктурного развития</w:t>
      </w:r>
      <w:r w:rsidRPr="00206986">
        <w:rPr>
          <w:rFonts w:ascii="Times New Roman" w:eastAsiaTheme="minorHAnsi" w:hAnsi="Times New Roman" w:cs="Times New Roman"/>
          <w:sz w:val="28"/>
          <w:szCs w:val="28"/>
          <w:lang w:eastAsia="en-US"/>
        </w:rPr>
        <w:t xml:space="preserve"> РК, Местных исполнительных органов/ Акиматов, Неправительственных, Общественных, Гражданских организации/ассоциации специалистов.</w:t>
      </w:r>
    </w:p>
    <w:p w14:paraId="1E2F953D" w14:textId="304F182A" w:rsidR="00030846" w:rsidRPr="00206986" w:rsidRDefault="00030846" w:rsidP="00321165">
      <w:pPr>
        <w:spacing w:after="0" w:line="240" w:lineRule="auto"/>
        <w:ind w:right="-214" w:firstLine="709"/>
        <w:jc w:val="both"/>
        <w:rPr>
          <w:rFonts w:ascii="Times New Roman" w:hAnsi="Times New Roman" w:cs="Times New Roman"/>
          <w:sz w:val="28"/>
          <w:szCs w:val="28"/>
          <w:lang w:val="kk-KZ"/>
        </w:rPr>
      </w:pPr>
      <w:r w:rsidRPr="00206986">
        <w:rPr>
          <w:rFonts w:ascii="Times New Roman" w:eastAsiaTheme="minorHAnsi" w:hAnsi="Times New Roman" w:cs="Times New Roman"/>
          <w:sz w:val="28"/>
          <w:szCs w:val="28"/>
          <w:lang w:eastAsia="en-US"/>
        </w:rPr>
        <w:t>Министерство национальной экономики</w:t>
      </w:r>
      <w:r w:rsidR="00321165">
        <w:rPr>
          <w:rFonts w:ascii="Times New Roman" w:eastAsiaTheme="minorHAnsi" w:hAnsi="Times New Roman" w:cs="Times New Roman"/>
          <w:sz w:val="28"/>
          <w:szCs w:val="28"/>
          <w:lang w:eastAsia="en-US"/>
        </w:rPr>
        <w:t xml:space="preserve"> </w:t>
      </w:r>
      <w:r w:rsidRPr="00206986">
        <w:rPr>
          <w:rFonts w:ascii="Times New Roman" w:eastAsiaTheme="minorHAnsi" w:hAnsi="Times New Roman" w:cs="Times New Roman"/>
          <w:sz w:val="28"/>
          <w:szCs w:val="28"/>
          <w:lang w:eastAsia="en-US"/>
        </w:rPr>
        <w:t>/ Министерство финансов Республики Казахстан</w:t>
      </w:r>
      <w:r w:rsidR="00321165">
        <w:rPr>
          <w:rFonts w:ascii="Times New Roman" w:eastAsiaTheme="minorHAnsi" w:hAnsi="Times New Roman" w:cs="Times New Roman"/>
          <w:sz w:val="28"/>
          <w:szCs w:val="28"/>
          <w:lang w:eastAsia="en-US"/>
        </w:rPr>
        <w:t>:</w:t>
      </w:r>
    </w:p>
    <w:p w14:paraId="227D00A8" w14:textId="77777777" w:rsidR="00030846" w:rsidRPr="00206986" w:rsidRDefault="00030846" w:rsidP="00FD68C4">
      <w:pPr>
        <w:shd w:val="clear" w:color="auto" w:fill="FFFFFF"/>
        <w:spacing w:after="0" w:line="240" w:lineRule="auto"/>
        <w:ind w:firstLine="709"/>
        <w:jc w:val="both"/>
        <w:rPr>
          <w:rFonts w:ascii="Times New Roman" w:eastAsiaTheme="minorHAnsi" w:hAnsi="Times New Roman" w:cs="Times New Roman"/>
          <w:sz w:val="28"/>
          <w:szCs w:val="28"/>
          <w:lang w:eastAsia="en-US"/>
        </w:rPr>
      </w:pPr>
      <w:r w:rsidRPr="00206986">
        <w:rPr>
          <w:rFonts w:ascii="Times New Roman" w:eastAsiaTheme="minorHAnsi" w:hAnsi="Times New Roman" w:cs="Times New Roman"/>
          <w:sz w:val="28"/>
          <w:szCs w:val="28"/>
          <w:lang w:val="kk-KZ" w:eastAsia="en-US"/>
        </w:rPr>
        <w:t xml:space="preserve">- </w:t>
      </w:r>
      <w:r w:rsidRPr="00206986">
        <w:rPr>
          <w:rFonts w:ascii="Times New Roman" w:eastAsiaTheme="minorHAnsi" w:hAnsi="Times New Roman" w:cs="Times New Roman"/>
          <w:sz w:val="28"/>
          <w:szCs w:val="28"/>
          <w:lang w:eastAsia="en-US"/>
        </w:rPr>
        <w:t>Повышение акциза на алкоголь и табак.</w:t>
      </w:r>
      <w:r w:rsidRPr="00206986">
        <w:rPr>
          <w:rFonts w:ascii="Times New Roman" w:hAnsi="Times New Roman" w:cs="Times New Roman"/>
          <w:sz w:val="28"/>
          <w:szCs w:val="28"/>
          <w:shd w:val="clear" w:color="auto" w:fill="FFFFFF"/>
        </w:rPr>
        <w:t xml:space="preserve"> Об утверждении Правил получения, учета, хранения и выдачи учетно-контрольных марок и акцизных марок утвержден Приказом Министра финансов Республики Казахстан от 23 декабря 2008 года № 599. Зарегистрирован в Министерстве юстиции Республики Казахстан 29 декабря 2008 года № 5426. Повышение акцизов на алкоголь и табачные изделия содержит законопроект «О внесении изменений и дополнений в некоторые законодательные акты РК по вопросам налогообложения и таможенного администрирования», у</w:t>
      </w:r>
      <w:r w:rsidRPr="00206986">
        <w:rPr>
          <w:rFonts w:ascii="Times New Roman" w:hAnsi="Times New Roman" w:cs="Times New Roman"/>
          <w:sz w:val="28"/>
          <w:szCs w:val="28"/>
        </w:rPr>
        <w:t xml:space="preserve">твержденный законом РК </w:t>
      </w:r>
      <w:r w:rsidRPr="00206986">
        <w:rPr>
          <w:rFonts w:ascii="Times New Roman" w:hAnsi="Times New Roman" w:cs="Times New Roman"/>
          <w:sz w:val="28"/>
          <w:szCs w:val="28"/>
          <w:shd w:val="clear" w:color="auto" w:fill="FFFFFF"/>
        </w:rPr>
        <w:t xml:space="preserve">от 25 декабря 2017 года № 122-VI ЗРК. Министерство национальной экономики РК контролирует поэтапное повышение акцизов на алкоголь и табак. </w:t>
      </w:r>
      <w:r w:rsidRPr="00206986">
        <w:rPr>
          <w:rFonts w:ascii="Times New Roman" w:eastAsia="Times New Roman" w:hAnsi="Times New Roman" w:cs="Times New Roman"/>
          <w:sz w:val="28"/>
          <w:szCs w:val="28"/>
        </w:rPr>
        <w:t>Ставки акцизов с 2017г – по 2019г выросли на алкогольную продукцию за один литр с 2000 до 2 550 тенге. Акциз на пиво и пивные напитки за один литр с 2017г – по 2019г повысился с 39- до 57 тенге. Акциз на табачные изделия за тысячу штук с 2017г – по 2019г с 6 200- до 8 700 тенге. Необходимо установить более высокие цены налогообложения и акцизов для снижения количества населения употребляющих алкоголь и табак, особенно среди молодого возраста, для профилактики СД2т и ряда заболевании.</w:t>
      </w:r>
      <w:r w:rsidRPr="00206986">
        <w:rPr>
          <w:rFonts w:ascii="Times New Roman" w:hAnsi="Times New Roman" w:cs="Times New Roman"/>
          <w:sz w:val="28"/>
          <w:szCs w:val="28"/>
          <w:shd w:val="clear" w:color="auto" w:fill="FFFFFF"/>
        </w:rPr>
        <w:t xml:space="preserve"> </w:t>
      </w:r>
    </w:p>
    <w:p w14:paraId="308EE90D" w14:textId="77777777" w:rsidR="00030846" w:rsidRPr="00206986" w:rsidRDefault="00030846" w:rsidP="00EE2F04">
      <w:pPr>
        <w:tabs>
          <w:tab w:val="num" w:pos="720"/>
          <w:tab w:val="left" w:pos="851"/>
        </w:tabs>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206986">
        <w:rPr>
          <w:rFonts w:ascii="Times New Roman" w:eastAsiaTheme="minorHAnsi" w:hAnsi="Times New Roman" w:cs="Times New Roman"/>
          <w:sz w:val="28"/>
          <w:szCs w:val="28"/>
          <w:lang w:eastAsia="en-US"/>
        </w:rPr>
        <w:t xml:space="preserve">- Финансовая поддержка программ по борьбе с СД2т. Как и любая программа и проект требует </w:t>
      </w:r>
      <w:r w:rsidRPr="00206986">
        <w:rPr>
          <w:rFonts w:ascii="Times New Roman" w:hAnsi="Times New Roman" w:cs="Times New Roman"/>
          <w:sz w:val="28"/>
          <w:szCs w:val="28"/>
        </w:rPr>
        <w:t>определённого</w:t>
      </w:r>
      <w:r w:rsidRPr="00206986">
        <w:rPr>
          <w:rFonts w:ascii="Times New Roman" w:eastAsiaTheme="minorHAnsi" w:hAnsi="Times New Roman" w:cs="Times New Roman"/>
          <w:sz w:val="28"/>
          <w:szCs w:val="28"/>
          <w:lang w:eastAsia="en-US"/>
        </w:rPr>
        <w:t xml:space="preserve"> финансового вложения, а для рационального применения средств необходимо сотрудничество со всеми министерствами для оптимальной и грамотной профилактики СД2т.</w:t>
      </w:r>
    </w:p>
    <w:p w14:paraId="181BF47C" w14:textId="75545D7A" w:rsidR="00030846" w:rsidRPr="00206986" w:rsidRDefault="00030846" w:rsidP="00321165">
      <w:pPr>
        <w:tabs>
          <w:tab w:val="num" w:pos="720"/>
          <w:tab w:val="left" w:pos="851"/>
        </w:tabs>
        <w:autoSpaceDE w:val="0"/>
        <w:autoSpaceDN w:val="0"/>
        <w:adjustRightInd w:val="0"/>
        <w:spacing w:after="0" w:line="240" w:lineRule="auto"/>
        <w:ind w:firstLine="709"/>
        <w:rPr>
          <w:rFonts w:ascii="Times New Roman" w:eastAsiaTheme="minorHAnsi" w:hAnsi="Times New Roman" w:cs="Times New Roman"/>
          <w:sz w:val="28"/>
          <w:szCs w:val="28"/>
          <w:lang w:eastAsia="en-US"/>
        </w:rPr>
      </w:pPr>
      <w:r w:rsidRPr="00206986">
        <w:rPr>
          <w:rFonts w:ascii="Times New Roman" w:eastAsiaTheme="minorHAnsi" w:hAnsi="Times New Roman" w:cs="Times New Roman"/>
          <w:sz w:val="28"/>
          <w:szCs w:val="28"/>
          <w:lang w:eastAsia="en-US"/>
        </w:rPr>
        <w:t>Министерство энергетики Республики Казахстан</w:t>
      </w:r>
      <w:r w:rsidR="00321165">
        <w:rPr>
          <w:rFonts w:ascii="Times New Roman" w:eastAsiaTheme="minorHAnsi" w:hAnsi="Times New Roman" w:cs="Times New Roman"/>
          <w:sz w:val="28"/>
          <w:szCs w:val="28"/>
          <w:lang w:eastAsia="en-US"/>
        </w:rPr>
        <w:t>:</w:t>
      </w:r>
    </w:p>
    <w:p w14:paraId="037EE555" w14:textId="77777777" w:rsidR="00030846" w:rsidRPr="00206986" w:rsidRDefault="00030846" w:rsidP="00EE2F04">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206986">
        <w:rPr>
          <w:rFonts w:ascii="Times New Roman" w:eastAsiaTheme="minorHAnsi" w:hAnsi="Times New Roman" w:cs="Times New Roman"/>
          <w:sz w:val="28"/>
          <w:szCs w:val="28"/>
          <w:lang w:eastAsia="en-US"/>
        </w:rPr>
        <w:t>- Управление отходами и борьба с загрязнениями воздуха. Министерство энергетики РК возглавляет межведомственную рабочую группу по управлению отходов и борьбе с загрязнения воздуха в соответствии «Экологического кодекса РК» от 2 января 2021 года № 400-VI ЗРК. Данный кодекс регламентирует единую государственную экологическую политику в РК, для обеспечения высокого уровня охраны окружающей среды посредством осуществления государственного регулирования, направленного на предотвращение загрязнения окружающей среды, недопущение причинения экологического ущерба в любых формах и обеспечение устранения последствий причиненного экологического ущерба, а также постепенное сокращение негативного антропогенного воздействия на окружающую среду. Отмечается важность</w:t>
      </w:r>
      <w:r w:rsidRPr="00206986">
        <w:rPr>
          <w:rFonts w:ascii="Times New Roman" w:hAnsi="Times New Roman" w:cs="Times New Roman"/>
          <w:sz w:val="28"/>
          <w:szCs w:val="28"/>
        </w:rPr>
        <w:t xml:space="preserve"> повышения требования к энергоэффективности и энергосбережению предприятий, а также экологичности и эффективности работы самих производителей энергии, стимулирования бизнеса, инвестирования в «зеленые» технологии. С этой целью Акимам регионов необходимо принять меры по современной утилизации и переработке твердо-бытовых отходов с широким вовлечением субъектов малого и среднего бизнеса. </w:t>
      </w:r>
    </w:p>
    <w:p w14:paraId="3630AEC5" w14:textId="77777777" w:rsidR="00030846" w:rsidRPr="004135FE" w:rsidRDefault="00030846" w:rsidP="00FD68C4">
      <w:pPr>
        <w:tabs>
          <w:tab w:val="center" w:pos="567"/>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206986">
        <w:rPr>
          <w:rFonts w:ascii="Times New Roman" w:eastAsia="Times New Roman" w:hAnsi="Times New Roman" w:cs="Times New Roman"/>
          <w:sz w:val="28"/>
          <w:szCs w:val="28"/>
        </w:rPr>
        <w:t>При анализе ответов опрошенных выявлено, что 13,5% беспокоят специфический запах, при котором не возможен доступ к свежему воздуху и 20,2% шум с улицы. В зависимости от района проживания</w:t>
      </w:r>
      <w:r w:rsidRPr="004135FE">
        <w:rPr>
          <w:rFonts w:ascii="Times New Roman" w:eastAsia="Times New Roman" w:hAnsi="Times New Roman" w:cs="Times New Roman"/>
          <w:sz w:val="28"/>
          <w:szCs w:val="28"/>
        </w:rPr>
        <w:t>, 5,0% респондентов, проживающих в Наурызбайском, 14,6% в Алатауском, 9,2% в Алмалинском, 19,8% в Ауэзовском, 17,1% в Турксибском, 35,4% в Бостандыкском, 34,6% в Жетысуском, 18,9% в Медеуском районах беспокоят Шум с улицы (дорожное движение, предприятия, заводы, общепит), что так же соответствует выбросу частиц неблагоприятных для атмосферы. Учитывая, что при СД2т, пациенты испытывают гипоксию в зависимости от уровня гликолизированного гемоглобина, очень важную роль занимает чистый воздух.</w:t>
      </w:r>
    </w:p>
    <w:p w14:paraId="0E4476C1" w14:textId="77777777" w:rsidR="00030846" w:rsidRPr="004135FE" w:rsidRDefault="00030846" w:rsidP="004135FE">
      <w:pPr>
        <w:autoSpaceDE w:val="0"/>
        <w:autoSpaceDN w:val="0"/>
        <w:adjustRightInd w:val="0"/>
        <w:spacing w:after="0" w:line="240" w:lineRule="auto"/>
        <w:jc w:val="both"/>
        <w:rPr>
          <w:rFonts w:ascii="Times New Roman" w:eastAsiaTheme="minorHAnsi" w:hAnsi="Times New Roman" w:cs="Times New Roman"/>
          <w:sz w:val="28"/>
          <w:szCs w:val="28"/>
          <w:lang w:val="kk-KZ" w:eastAsia="en-US"/>
        </w:rPr>
        <w:sectPr w:rsidR="00030846" w:rsidRPr="004135FE" w:rsidSect="00EC71C2">
          <w:type w:val="nextColumn"/>
          <w:pgSz w:w="11906" w:h="16838"/>
          <w:pgMar w:top="1134" w:right="851" w:bottom="1134" w:left="1701" w:header="708" w:footer="708" w:gutter="0"/>
          <w:cols w:space="708"/>
          <w:docGrid w:linePitch="360"/>
        </w:sectPr>
      </w:pPr>
    </w:p>
    <w:p w14:paraId="2F18556A" w14:textId="37279E5D" w:rsidR="00EE2F04" w:rsidRPr="004135FE" w:rsidRDefault="00EE2F04" w:rsidP="00EE2F04">
      <w:pPr>
        <w:autoSpaceDE w:val="0"/>
        <w:autoSpaceDN w:val="0"/>
        <w:adjustRightInd w:val="0"/>
        <w:spacing w:after="0" w:line="240" w:lineRule="auto"/>
        <w:jc w:val="center"/>
        <w:rPr>
          <w:rFonts w:ascii="Times New Roman" w:eastAsiaTheme="minorHAnsi" w:hAnsi="Times New Roman" w:cs="Times New Roman"/>
          <w:sz w:val="28"/>
          <w:szCs w:val="28"/>
          <w:lang w:eastAsia="en-US"/>
        </w:rPr>
      </w:pPr>
      <w:r>
        <w:rPr>
          <w:rFonts w:ascii="Times New Roman" w:hAnsi="Times New Roman" w:cs="Times New Roman"/>
          <w:noProof/>
          <w:sz w:val="28"/>
          <w:szCs w:val="28"/>
        </w:rPr>
        <w:drawing>
          <wp:inline distT="0" distB="0" distL="0" distR="0" wp14:anchorId="05F3152E" wp14:editId="563E3E9E">
            <wp:extent cx="7553833" cy="4844143"/>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Рисунок 450"/>
                    <pic:cNvPicPr/>
                  </pic:nvPicPr>
                  <pic:blipFill>
                    <a:blip r:embed="rId121">
                      <a:extLst>
                        <a:ext uri="{28A0092B-C50C-407E-A947-70E740481C1C}">
                          <a14:useLocalDpi xmlns:a14="http://schemas.microsoft.com/office/drawing/2010/main" val="0"/>
                        </a:ext>
                      </a:extLst>
                    </a:blip>
                    <a:stretch>
                      <a:fillRect/>
                    </a:stretch>
                  </pic:blipFill>
                  <pic:spPr>
                    <a:xfrm>
                      <a:off x="0" y="0"/>
                      <a:ext cx="7605730" cy="4877423"/>
                    </a:xfrm>
                    <a:prstGeom prst="rect">
                      <a:avLst/>
                    </a:prstGeom>
                  </pic:spPr>
                </pic:pic>
              </a:graphicData>
            </a:graphic>
          </wp:inline>
        </w:drawing>
      </w:r>
    </w:p>
    <w:p w14:paraId="25C79227" w14:textId="77777777" w:rsidR="00EE2F04" w:rsidRDefault="00EE2F04" w:rsidP="00EE2F04">
      <w:pPr>
        <w:autoSpaceDE w:val="0"/>
        <w:autoSpaceDN w:val="0"/>
        <w:adjustRightInd w:val="0"/>
        <w:spacing w:after="0" w:line="240" w:lineRule="auto"/>
        <w:jc w:val="both"/>
        <w:rPr>
          <w:rFonts w:ascii="Times New Roman" w:hAnsi="Times New Roman" w:cs="Times New Roman"/>
          <w:noProof/>
          <w:sz w:val="28"/>
          <w:szCs w:val="28"/>
        </w:rPr>
      </w:pPr>
    </w:p>
    <w:p w14:paraId="63DCC6F8" w14:textId="743E9711" w:rsidR="00EE2F04" w:rsidRPr="00FD68C4" w:rsidRDefault="00EE2F04" w:rsidP="00EE2F04">
      <w:pPr>
        <w:autoSpaceDE w:val="0"/>
        <w:autoSpaceDN w:val="0"/>
        <w:adjustRightInd w:val="0"/>
        <w:spacing w:after="0" w:line="240" w:lineRule="auto"/>
        <w:jc w:val="center"/>
        <w:rPr>
          <w:rFonts w:ascii="Times New Roman" w:hAnsi="Times New Roman" w:cs="Times New Roman"/>
          <w:noProof/>
          <w:sz w:val="28"/>
          <w:szCs w:val="28"/>
        </w:rPr>
      </w:pPr>
      <w:r w:rsidRPr="00FD68C4">
        <w:rPr>
          <w:rFonts w:ascii="Times New Roman" w:hAnsi="Times New Roman" w:cs="Times New Roman"/>
          <w:noProof/>
          <w:sz w:val="28"/>
          <w:szCs w:val="28"/>
        </w:rPr>
        <w:t>Рисунок 71- Совершенствование межсекторального сотрудничество при организации помощи пациентам с СД2т</w:t>
      </w:r>
    </w:p>
    <w:p w14:paraId="27D97600" w14:textId="7C2601F6" w:rsidR="00EE2F04" w:rsidRDefault="00EE2F04" w:rsidP="00EE2F04">
      <w:pPr>
        <w:autoSpaceDE w:val="0"/>
        <w:autoSpaceDN w:val="0"/>
        <w:adjustRightInd w:val="0"/>
        <w:spacing w:after="0" w:line="240" w:lineRule="auto"/>
        <w:jc w:val="center"/>
        <w:rPr>
          <w:rFonts w:ascii="Times New Roman" w:hAnsi="Times New Roman" w:cs="Times New Roman"/>
          <w:noProof/>
          <w:sz w:val="28"/>
          <w:szCs w:val="28"/>
        </w:rPr>
        <w:sectPr w:rsidR="00EE2F04" w:rsidSect="00EE2F04">
          <w:type w:val="nextColumn"/>
          <w:pgSz w:w="16838" w:h="11906" w:orient="landscape"/>
          <w:pgMar w:top="1701" w:right="1134" w:bottom="851" w:left="1134" w:header="284" w:footer="284" w:gutter="0"/>
          <w:cols w:space="708"/>
          <w:docGrid w:linePitch="360"/>
        </w:sectPr>
      </w:pPr>
    </w:p>
    <w:p w14:paraId="2D7CE231" w14:textId="77777777" w:rsidR="00D37BE3" w:rsidRPr="004135FE" w:rsidRDefault="00D37BE3" w:rsidP="00D37BE3">
      <w:pPr>
        <w:autoSpaceDE w:val="0"/>
        <w:autoSpaceDN w:val="0"/>
        <w:adjustRightInd w:val="0"/>
        <w:spacing w:after="0" w:line="240" w:lineRule="auto"/>
        <w:ind w:firstLine="709"/>
        <w:jc w:val="both"/>
        <w:rPr>
          <w:rFonts w:ascii="Times New Roman" w:eastAsiaTheme="minorHAnsi" w:hAnsi="Times New Roman" w:cs="Times New Roman"/>
          <w:sz w:val="28"/>
          <w:szCs w:val="28"/>
          <w:lang w:eastAsia="en-US"/>
        </w:rPr>
      </w:pPr>
      <w:r w:rsidRPr="004135FE">
        <w:rPr>
          <w:rFonts w:ascii="Times New Roman" w:hAnsi="Times New Roman" w:cs="Times New Roman"/>
          <w:sz w:val="28"/>
          <w:szCs w:val="28"/>
        </w:rPr>
        <w:t xml:space="preserve">Для актуализации </w:t>
      </w:r>
      <w:r w:rsidRPr="004135FE">
        <w:rPr>
          <w:rFonts w:ascii="Times New Roman" w:eastAsiaTheme="minorHAnsi" w:hAnsi="Times New Roman" w:cs="Times New Roman"/>
          <w:sz w:val="28"/>
          <w:szCs w:val="28"/>
          <w:lang w:eastAsia="en-US"/>
        </w:rPr>
        <w:t>управления отходами и борьба с загрязнениями воздуха необходима</w:t>
      </w:r>
      <w:r w:rsidRPr="004135FE">
        <w:rPr>
          <w:rFonts w:ascii="Times New Roman" w:hAnsi="Times New Roman" w:cs="Times New Roman"/>
          <w:color w:val="000000"/>
          <w:spacing w:val="2"/>
          <w:sz w:val="28"/>
          <w:szCs w:val="28"/>
        </w:rPr>
        <w:t xml:space="preserve"> формирование в обществе экологической культуры, пропаганда экологических знаний на всех </w:t>
      </w:r>
      <w:r w:rsidRPr="004135FE">
        <w:rPr>
          <w:rFonts w:ascii="Times New Roman" w:hAnsi="Times New Roman" w:cs="Times New Roman"/>
          <w:spacing w:val="2"/>
          <w:sz w:val="28"/>
          <w:szCs w:val="28"/>
        </w:rPr>
        <w:t xml:space="preserve">уровнях образования, развитие экологического образования и просвещения с участием МЗ РК, </w:t>
      </w:r>
      <w:r w:rsidRPr="004135FE">
        <w:rPr>
          <w:rFonts w:ascii="Times New Roman" w:eastAsiaTheme="minorHAnsi" w:hAnsi="Times New Roman" w:cs="Times New Roman"/>
          <w:sz w:val="28"/>
          <w:szCs w:val="28"/>
          <w:lang w:eastAsia="en-US"/>
        </w:rPr>
        <w:t>Министерств Просвещения,</w:t>
      </w:r>
      <w:r w:rsidRPr="004135FE">
        <w:rPr>
          <w:rFonts w:ascii="Times New Roman" w:eastAsiaTheme="minorHAnsi" w:hAnsi="Times New Roman" w:cs="Times New Roman"/>
          <w:bCs/>
          <w:sz w:val="28"/>
          <w:szCs w:val="28"/>
          <w:lang w:eastAsia="en-US"/>
        </w:rPr>
        <w:t xml:space="preserve"> Финансов, </w:t>
      </w:r>
      <w:r w:rsidRPr="004135FE">
        <w:rPr>
          <w:rFonts w:ascii="Times New Roman" w:eastAsiaTheme="minorHAnsi" w:hAnsi="Times New Roman" w:cs="Times New Roman"/>
          <w:sz w:val="28"/>
          <w:szCs w:val="28"/>
          <w:lang w:eastAsia="en-US"/>
        </w:rPr>
        <w:t>Сельского хозяйства РК.</w:t>
      </w:r>
    </w:p>
    <w:p w14:paraId="47E52405" w14:textId="2AFE4905"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784408C6" w14:textId="3E2AACD6" w:rsidR="00D37BE3" w:rsidRDefault="00D37BE3" w:rsidP="00113692">
      <w:pPr>
        <w:autoSpaceDE w:val="0"/>
        <w:autoSpaceDN w:val="0"/>
        <w:adjustRightInd w:val="0"/>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Выводы по 5 разделу</w:t>
      </w:r>
      <w:r w:rsidR="00113692">
        <w:rPr>
          <w:rFonts w:ascii="Times New Roman" w:hAnsi="Times New Roman" w:cs="Times New Roman"/>
          <w:b/>
          <w:sz w:val="28"/>
          <w:szCs w:val="28"/>
        </w:rPr>
        <w:t>:</w:t>
      </w:r>
    </w:p>
    <w:p w14:paraId="7A9EAADF" w14:textId="321335BF" w:rsidR="00D37BE3" w:rsidRDefault="00113692" w:rsidP="005F1B30">
      <w:pPr>
        <w:autoSpaceDE w:val="0"/>
        <w:autoSpaceDN w:val="0"/>
        <w:adjustRightInd w:val="0"/>
        <w:spacing w:after="0" w:line="240" w:lineRule="auto"/>
        <w:ind w:firstLine="709"/>
        <w:jc w:val="both"/>
        <w:rPr>
          <w:rFonts w:ascii="Times New Roman" w:hAnsi="Times New Roman" w:cs="Times New Roman"/>
          <w:b/>
          <w:sz w:val="28"/>
          <w:szCs w:val="28"/>
        </w:rPr>
      </w:pPr>
      <w:r w:rsidRPr="00113692">
        <w:rPr>
          <w:rFonts w:ascii="Times New Roman" w:hAnsi="Times New Roman" w:cs="Times New Roman"/>
          <w:sz w:val="28"/>
          <w:szCs w:val="28"/>
        </w:rPr>
        <w:t xml:space="preserve">Таким образом </w:t>
      </w:r>
      <w:r>
        <w:rPr>
          <w:rFonts w:ascii="Times New Roman" w:hAnsi="Times New Roman" w:cs="Times New Roman"/>
          <w:sz w:val="28"/>
          <w:szCs w:val="28"/>
        </w:rPr>
        <w:t xml:space="preserve">разработанные </w:t>
      </w:r>
      <w:r w:rsidR="005F1B30" w:rsidRPr="005F1B30">
        <w:rPr>
          <w:rFonts w:ascii="Times New Roman" w:hAnsi="Times New Roman" w:cs="Times New Roman"/>
          <w:sz w:val="28"/>
          <w:szCs w:val="28"/>
        </w:rPr>
        <w:t xml:space="preserve">предложения к </w:t>
      </w:r>
      <w:r w:rsidR="005F1B30" w:rsidRPr="005F1B30">
        <w:rPr>
          <w:rFonts w:ascii="Times New Roman" w:eastAsia="Times New Roman" w:hAnsi="Times New Roman" w:cs="Times New Roman"/>
          <w:sz w:val="28"/>
          <w:szCs w:val="28"/>
        </w:rPr>
        <w:t>совершенствованию оказания медицинской помощи и межсекторального сотрудничества при СД2т м</w:t>
      </w:r>
      <w:r w:rsidRPr="005F1B30">
        <w:rPr>
          <w:rFonts w:ascii="Times New Roman" w:hAnsi="Times New Roman" w:cs="Times New Roman"/>
          <w:sz w:val="28"/>
          <w:szCs w:val="28"/>
        </w:rPr>
        <w:t>огут</w:t>
      </w:r>
      <w:r>
        <w:rPr>
          <w:rFonts w:ascii="Times New Roman" w:hAnsi="Times New Roman" w:cs="Times New Roman"/>
          <w:sz w:val="28"/>
          <w:szCs w:val="28"/>
        </w:rPr>
        <w:t xml:space="preserve"> быть использованы на уровне государственных структур Республики Казахстан, М</w:t>
      </w:r>
      <w:r w:rsidR="005F1B30">
        <w:rPr>
          <w:rFonts w:ascii="Times New Roman" w:hAnsi="Times New Roman" w:cs="Times New Roman"/>
          <w:sz w:val="28"/>
          <w:szCs w:val="28"/>
        </w:rPr>
        <w:t>инистерства Здравоохранения Республики Казахстан</w:t>
      </w:r>
      <w:r>
        <w:rPr>
          <w:rFonts w:ascii="Times New Roman" w:hAnsi="Times New Roman" w:cs="Times New Roman"/>
          <w:sz w:val="28"/>
          <w:szCs w:val="28"/>
        </w:rPr>
        <w:t>, мест</w:t>
      </w:r>
      <w:r w:rsidR="005F1B30">
        <w:rPr>
          <w:rFonts w:ascii="Times New Roman" w:hAnsi="Times New Roman" w:cs="Times New Roman"/>
          <w:sz w:val="28"/>
          <w:szCs w:val="28"/>
        </w:rPr>
        <w:t>ных исполнительных</w:t>
      </w:r>
      <w:r>
        <w:rPr>
          <w:rFonts w:ascii="Times New Roman" w:hAnsi="Times New Roman" w:cs="Times New Roman"/>
          <w:sz w:val="28"/>
          <w:szCs w:val="28"/>
        </w:rPr>
        <w:t xml:space="preserve"> органов, на уровне ПМСП и населения. </w:t>
      </w:r>
      <w:r w:rsidR="005F1B30">
        <w:rPr>
          <w:rFonts w:ascii="Times New Roman" w:hAnsi="Times New Roman" w:cs="Times New Roman"/>
          <w:sz w:val="28"/>
          <w:szCs w:val="28"/>
        </w:rPr>
        <w:t>Разработанные</w:t>
      </w:r>
      <w:r>
        <w:rPr>
          <w:rFonts w:ascii="Times New Roman" w:hAnsi="Times New Roman" w:cs="Times New Roman"/>
          <w:sz w:val="28"/>
          <w:szCs w:val="28"/>
        </w:rPr>
        <w:t xml:space="preserve"> предложения требуют времени для реализации и оценки эффективности</w:t>
      </w:r>
      <w:r w:rsidR="005F1B30">
        <w:rPr>
          <w:rFonts w:ascii="Times New Roman" w:hAnsi="Times New Roman" w:cs="Times New Roman"/>
          <w:sz w:val="28"/>
          <w:szCs w:val="28"/>
        </w:rPr>
        <w:t xml:space="preserve"> в борьбе с сахарным диабетом 2 типа</w:t>
      </w:r>
      <w:r>
        <w:rPr>
          <w:rFonts w:ascii="Times New Roman" w:hAnsi="Times New Roman" w:cs="Times New Roman"/>
          <w:sz w:val="28"/>
          <w:szCs w:val="28"/>
        </w:rPr>
        <w:t>.</w:t>
      </w:r>
    </w:p>
    <w:p w14:paraId="1DF233DA"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18BF8E21"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5E5B7235"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30AAD4E4"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726C8859"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4A213605"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75F1E2E2"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3AA4336E"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224F0746"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6899BAEC"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0945F909"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3BAC1B40"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55BD07A6"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29F2AE60"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6660DCEA"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257B9E73"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7AA3EA97"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26DC76DE"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224367D4"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18671AEE"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5745B564"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20DC756E"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2469C784"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73BC123F"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6AB84CB5"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78F57CCA"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1E586558"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3E299453"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219A5584"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08D71A15" w14:textId="77777777" w:rsidR="00D37BE3" w:rsidRDefault="00D37BE3" w:rsidP="004135FE">
      <w:pPr>
        <w:autoSpaceDE w:val="0"/>
        <w:autoSpaceDN w:val="0"/>
        <w:adjustRightInd w:val="0"/>
        <w:spacing w:after="0" w:line="240" w:lineRule="auto"/>
        <w:jc w:val="center"/>
        <w:rPr>
          <w:rFonts w:ascii="Times New Roman" w:hAnsi="Times New Roman" w:cs="Times New Roman"/>
          <w:b/>
          <w:sz w:val="28"/>
          <w:szCs w:val="28"/>
        </w:rPr>
      </w:pPr>
    </w:p>
    <w:p w14:paraId="4789698E" w14:textId="0E52E2DA" w:rsidR="00D37BE3" w:rsidRDefault="00D37BE3" w:rsidP="005F1B30">
      <w:pPr>
        <w:autoSpaceDE w:val="0"/>
        <w:autoSpaceDN w:val="0"/>
        <w:adjustRightInd w:val="0"/>
        <w:spacing w:after="0" w:line="240" w:lineRule="auto"/>
        <w:rPr>
          <w:rFonts w:ascii="Times New Roman" w:hAnsi="Times New Roman" w:cs="Times New Roman"/>
          <w:b/>
          <w:sz w:val="28"/>
          <w:szCs w:val="28"/>
        </w:rPr>
      </w:pPr>
    </w:p>
    <w:p w14:paraId="5D731926" w14:textId="2D1B4EB6" w:rsidR="00EF4128" w:rsidRDefault="00EF4128" w:rsidP="004135FE">
      <w:pPr>
        <w:autoSpaceDE w:val="0"/>
        <w:autoSpaceDN w:val="0"/>
        <w:adjustRightInd w:val="0"/>
        <w:spacing w:after="0" w:line="240" w:lineRule="auto"/>
        <w:jc w:val="center"/>
        <w:rPr>
          <w:rFonts w:ascii="Times New Roman" w:hAnsi="Times New Roman" w:cs="Times New Roman"/>
          <w:b/>
          <w:sz w:val="28"/>
          <w:szCs w:val="28"/>
        </w:rPr>
      </w:pPr>
      <w:r w:rsidRPr="004135FE">
        <w:rPr>
          <w:rFonts w:ascii="Times New Roman" w:hAnsi="Times New Roman" w:cs="Times New Roman"/>
          <w:b/>
          <w:sz w:val="28"/>
          <w:szCs w:val="28"/>
        </w:rPr>
        <w:t>ЗАКЛЮЧЕНИЕ</w:t>
      </w:r>
    </w:p>
    <w:p w14:paraId="72CD854D" w14:textId="77777777" w:rsidR="00EE2F04" w:rsidRPr="004135FE" w:rsidRDefault="00EE2F04" w:rsidP="004135FE">
      <w:pPr>
        <w:autoSpaceDE w:val="0"/>
        <w:autoSpaceDN w:val="0"/>
        <w:adjustRightInd w:val="0"/>
        <w:spacing w:after="0" w:line="240" w:lineRule="auto"/>
        <w:jc w:val="center"/>
        <w:rPr>
          <w:rFonts w:ascii="Times New Roman" w:hAnsi="Times New Roman" w:cs="Times New Roman"/>
          <w:b/>
          <w:sz w:val="28"/>
          <w:szCs w:val="28"/>
        </w:rPr>
      </w:pPr>
    </w:p>
    <w:p w14:paraId="70319E72" w14:textId="5755E967" w:rsidR="00EF4128" w:rsidRPr="004135FE" w:rsidRDefault="00EF4128" w:rsidP="004135FE">
      <w:pPr>
        <w:autoSpaceDE w:val="0"/>
        <w:autoSpaceDN w:val="0"/>
        <w:adjustRightInd w:val="0"/>
        <w:spacing w:after="0" w:line="240" w:lineRule="auto"/>
        <w:ind w:firstLine="708"/>
        <w:jc w:val="both"/>
        <w:rPr>
          <w:rFonts w:ascii="Times New Roman" w:hAnsi="Times New Roman" w:cs="Times New Roman"/>
          <w:bCs/>
          <w:sz w:val="28"/>
          <w:szCs w:val="28"/>
        </w:rPr>
      </w:pPr>
      <w:r w:rsidRPr="004135FE">
        <w:rPr>
          <w:rFonts w:ascii="Times New Roman" w:hAnsi="Times New Roman" w:cs="Times New Roman"/>
          <w:bCs/>
          <w:sz w:val="28"/>
          <w:szCs w:val="28"/>
        </w:rPr>
        <w:t>На основании проведенного исследования получены следующие выводы:</w:t>
      </w:r>
    </w:p>
    <w:p w14:paraId="346E280D" w14:textId="3227922A" w:rsidR="00EF4128" w:rsidRPr="00EE2F04" w:rsidRDefault="00EF4128" w:rsidP="00EE2F04">
      <w:pPr>
        <w:pStyle w:val="a3"/>
        <w:numPr>
          <w:ilvl w:val="0"/>
          <w:numId w:val="74"/>
        </w:numPr>
        <w:tabs>
          <w:tab w:val="left" w:pos="1134"/>
        </w:tabs>
        <w:autoSpaceDE w:val="0"/>
        <w:autoSpaceDN w:val="0"/>
        <w:adjustRightInd w:val="0"/>
        <w:spacing w:after="0" w:line="240" w:lineRule="auto"/>
        <w:ind w:left="0" w:firstLine="709"/>
        <w:jc w:val="both"/>
        <w:rPr>
          <w:rFonts w:ascii="Times New Roman" w:hAnsi="Times New Roman" w:cs="Times New Roman"/>
          <w:bCs/>
          <w:sz w:val="28"/>
          <w:szCs w:val="28"/>
        </w:rPr>
      </w:pPr>
      <w:r w:rsidRPr="00EE2F04">
        <w:rPr>
          <w:rFonts w:ascii="Times New Roman" w:hAnsi="Times New Roman" w:cs="Times New Roman"/>
          <w:bCs/>
          <w:sz w:val="28"/>
          <w:szCs w:val="28"/>
        </w:rPr>
        <w:t xml:space="preserve">Анализ международного опыта по </w:t>
      </w:r>
      <w:r w:rsidRPr="00EE2F04">
        <w:rPr>
          <w:rFonts w:ascii="Times New Roman" w:eastAsia="Times New Roman" w:hAnsi="Times New Roman" w:cs="Times New Roman"/>
          <w:sz w:val="28"/>
          <w:szCs w:val="28"/>
        </w:rPr>
        <w:t xml:space="preserve">оказанию медицинской помощи и </w:t>
      </w:r>
      <w:r w:rsidRPr="00EE2F04">
        <w:rPr>
          <w:rFonts w:ascii="Times New Roman" w:hAnsi="Times New Roman" w:cs="Times New Roman"/>
          <w:bCs/>
          <w:sz w:val="28"/>
          <w:szCs w:val="28"/>
        </w:rPr>
        <w:t xml:space="preserve">межсекторальному сотрудничеству при </w:t>
      </w:r>
      <w:r w:rsidRPr="00EE2F04">
        <w:rPr>
          <w:rFonts w:ascii="Times New Roman" w:eastAsia="Times New Roman" w:hAnsi="Times New Roman" w:cs="Times New Roman"/>
          <w:sz w:val="28"/>
          <w:szCs w:val="28"/>
        </w:rPr>
        <w:t>СД2т</w:t>
      </w:r>
      <w:r w:rsidRPr="00EE2F04">
        <w:rPr>
          <w:rFonts w:ascii="Times New Roman" w:hAnsi="Times New Roman" w:cs="Times New Roman"/>
          <w:sz w:val="28"/>
          <w:szCs w:val="28"/>
        </w:rPr>
        <w:t xml:space="preserve"> показал, </w:t>
      </w:r>
      <w:r w:rsidRPr="00EE2F04">
        <w:rPr>
          <w:rFonts w:ascii="Times New Roman" w:hAnsi="Times New Roman" w:cs="Times New Roman"/>
          <w:bCs/>
          <w:sz w:val="28"/>
          <w:szCs w:val="28"/>
        </w:rPr>
        <w:t xml:space="preserve">что </w:t>
      </w:r>
      <w:r w:rsidRPr="00EE2F04">
        <w:rPr>
          <w:rFonts w:ascii="Times New Roman" w:eastAsia="Times New Roman" w:hAnsi="Times New Roman" w:cs="Times New Roman"/>
          <w:sz w:val="28"/>
          <w:szCs w:val="28"/>
        </w:rPr>
        <w:t>необходимо учитывать вертикальный и горизонтальный подход взаимодействия, максимальную вовлеченность секторов для борьбы с факторами риска развития СД2т и его осложнениями</w:t>
      </w:r>
    </w:p>
    <w:p w14:paraId="01033F5C" w14:textId="77777777" w:rsidR="00EF4128" w:rsidRPr="004135FE" w:rsidRDefault="00EF4128" w:rsidP="00EE2F04">
      <w:pPr>
        <w:pStyle w:val="a3"/>
        <w:numPr>
          <w:ilvl w:val="0"/>
          <w:numId w:val="7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 xml:space="preserve">Анализ статистических данных по СД2т по г.Алматы за 10 лет (с 2012г по 2021г) показал рост как первичной заболеваемости, так и распространенности, соответственно с 2508 человек до 5063 человек (вырос с 180,27 до 237,57 </w:t>
      </w:r>
      <w:r w:rsidRPr="004135FE">
        <w:rPr>
          <w:rFonts w:ascii="Times New Roman" w:eastAsia="Times New Roman" w:hAnsi="Times New Roman" w:cs="Times New Roman"/>
          <w:sz w:val="28"/>
          <w:szCs w:val="28"/>
        </w:rPr>
        <w:t>случаев на 100 тыс. населения), и</w:t>
      </w:r>
      <w:r w:rsidRPr="004135FE">
        <w:rPr>
          <w:rFonts w:ascii="Times New Roman" w:hAnsi="Times New Roman" w:cs="Times New Roman"/>
          <w:sz w:val="28"/>
          <w:szCs w:val="28"/>
        </w:rPr>
        <w:t xml:space="preserve"> с </w:t>
      </w:r>
      <w:r w:rsidRPr="004135FE">
        <w:rPr>
          <w:rFonts w:ascii="Times New Roman" w:eastAsia="Times New Roman" w:hAnsi="Times New Roman" w:cs="Times New Roman"/>
          <w:sz w:val="28"/>
          <w:szCs w:val="28"/>
        </w:rPr>
        <w:t>23025</w:t>
      </w:r>
      <w:r w:rsidRPr="004135FE">
        <w:rPr>
          <w:rFonts w:ascii="Times New Roman" w:hAnsi="Times New Roman" w:cs="Times New Roman"/>
          <w:sz w:val="28"/>
          <w:szCs w:val="28"/>
        </w:rPr>
        <w:t xml:space="preserve"> человек до </w:t>
      </w:r>
      <w:r w:rsidRPr="004135FE">
        <w:rPr>
          <w:rFonts w:ascii="Times New Roman" w:eastAsia="Times New Roman" w:hAnsi="Times New Roman" w:cs="Times New Roman"/>
          <w:sz w:val="28"/>
          <w:szCs w:val="28"/>
        </w:rPr>
        <w:t xml:space="preserve">44728 </w:t>
      </w:r>
      <w:r w:rsidRPr="004135FE">
        <w:rPr>
          <w:rFonts w:ascii="Times New Roman" w:hAnsi="Times New Roman" w:cs="Times New Roman"/>
          <w:sz w:val="28"/>
          <w:szCs w:val="28"/>
        </w:rPr>
        <w:t xml:space="preserve">человек (вырос с </w:t>
      </w:r>
      <w:r w:rsidRPr="004135FE">
        <w:rPr>
          <w:rFonts w:ascii="Times New Roman" w:eastAsia="Times New Roman" w:hAnsi="Times New Roman" w:cs="Times New Roman"/>
          <w:sz w:val="28"/>
          <w:szCs w:val="28"/>
        </w:rPr>
        <w:t xml:space="preserve">1654,95 </w:t>
      </w:r>
      <w:r w:rsidRPr="004135FE">
        <w:rPr>
          <w:rFonts w:ascii="Times New Roman" w:hAnsi="Times New Roman" w:cs="Times New Roman"/>
          <w:sz w:val="28"/>
          <w:szCs w:val="28"/>
        </w:rPr>
        <w:t xml:space="preserve">до </w:t>
      </w:r>
      <w:r w:rsidRPr="004135FE">
        <w:rPr>
          <w:rFonts w:ascii="Times New Roman" w:eastAsia="Times New Roman" w:hAnsi="Times New Roman" w:cs="Times New Roman"/>
          <w:sz w:val="28"/>
          <w:szCs w:val="28"/>
        </w:rPr>
        <w:t xml:space="preserve">2098,79 случаев на 100 тыс. нас.). </w:t>
      </w:r>
      <w:r w:rsidRPr="004135FE">
        <w:rPr>
          <w:rFonts w:ascii="Times New Roman" w:eastAsiaTheme="minorHAnsi" w:hAnsi="Times New Roman" w:cs="Times New Roman"/>
          <w:sz w:val="28"/>
          <w:szCs w:val="28"/>
          <w:lang w:eastAsia="en-US"/>
        </w:rPr>
        <w:t xml:space="preserve">Согласно прогнозу, составленный на следующие 2 периода, к 2023г ожидается дальнейшее увеличение уровня распространенности СД2т </w:t>
      </w:r>
      <w:r w:rsidRPr="004135FE">
        <w:rPr>
          <w:rFonts w:ascii="Times New Roman" w:eastAsia="Times New Roman" w:hAnsi="Times New Roman" w:cs="Times New Roman"/>
          <w:sz w:val="28"/>
          <w:szCs w:val="28"/>
        </w:rPr>
        <w:t xml:space="preserve">среди всего населения г Алматы с 2098,79 до 2206,17с ДИ (2036,32; 2376,01) </w:t>
      </w:r>
      <w:r w:rsidRPr="004135FE">
        <w:rPr>
          <w:rFonts w:ascii="Times New Roman" w:hAnsi="Times New Roman" w:cs="Times New Roman"/>
          <w:sz w:val="28"/>
          <w:szCs w:val="28"/>
        </w:rPr>
        <w:t xml:space="preserve">на 100тыс населения, </w:t>
      </w:r>
      <w:r w:rsidRPr="004135FE">
        <w:rPr>
          <w:rFonts w:ascii="Times New Roman" w:eastAsiaTheme="minorHAnsi" w:hAnsi="Times New Roman" w:cs="Times New Roman"/>
          <w:sz w:val="28"/>
          <w:szCs w:val="28"/>
          <w:lang w:eastAsia="en-US"/>
        </w:rPr>
        <w:t xml:space="preserve">среди мужчин </w:t>
      </w:r>
      <w:r w:rsidRPr="004135FE">
        <w:rPr>
          <w:rFonts w:ascii="Times New Roman" w:eastAsia="Times New Roman" w:hAnsi="Times New Roman" w:cs="Times New Roman"/>
          <w:sz w:val="28"/>
          <w:szCs w:val="28"/>
        </w:rPr>
        <w:t xml:space="preserve">с 723,75 до 774,40 с ДИ (710,83; 837,97) </w:t>
      </w:r>
      <w:r w:rsidRPr="004135FE">
        <w:rPr>
          <w:rFonts w:ascii="Times New Roman" w:hAnsi="Times New Roman" w:cs="Times New Roman"/>
          <w:sz w:val="28"/>
          <w:szCs w:val="28"/>
        </w:rPr>
        <w:t xml:space="preserve">на 100тыс населения, </w:t>
      </w:r>
      <w:r w:rsidRPr="004135FE">
        <w:rPr>
          <w:rFonts w:ascii="Times New Roman" w:eastAsiaTheme="minorHAnsi" w:hAnsi="Times New Roman" w:cs="Times New Roman"/>
          <w:sz w:val="28"/>
          <w:szCs w:val="28"/>
          <w:lang w:eastAsia="en-US"/>
        </w:rPr>
        <w:t xml:space="preserve">среди женщин с </w:t>
      </w:r>
      <w:r w:rsidRPr="004135FE">
        <w:rPr>
          <w:rFonts w:ascii="Times New Roman" w:eastAsia="Times New Roman" w:hAnsi="Times New Roman" w:cs="Times New Roman"/>
          <w:sz w:val="28"/>
          <w:szCs w:val="28"/>
        </w:rPr>
        <w:t xml:space="preserve">1375,05 до 1431,81 с ДИ (1321,15; 1542,47) </w:t>
      </w:r>
      <w:r w:rsidRPr="004135FE">
        <w:rPr>
          <w:rFonts w:ascii="Times New Roman" w:hAnsi="Times New Roman" w:cs="Times New Roman"/>
          <w:sz w:val="28"/>
          <w:szCs w:val="28"/>
        </w:rPr>
        <w:t xml:space="preserve">на 100 тыс населения (р=0,001) статистически значимы. Такая тенденция роста ожидается </w:t>
      </w:r>
      <w:r w:rsidRPr="004135FE">
        <w:rPr>
          <w:rFonts w:ascii="Times New Roman" w:eastAsiaTheme="minorHAnsi" w:hAnsi="Times New Roman" w:cs="Times New Roman"/>
          <w:sz w:val="28"/>
          <w:szCs w:val="28"/>
          <w:lang w:eastAsia="en-US"/>
        </w:rPr>
        <w:t xml:space="preserve">при неизменной стратегии ведения образа жизни и профилактических мер факторов риска, как со стороны всего населения, так и правительства. </w:t>
      </w:r>
    </w:p>
    <w:p w14:paraId="74A26E95" w14:textId="77777777" w:rsidR="00EF4128" w:rsidRPr="004135FE" w:rsidRDefault="00EF4128" w:rsidP="00EE2F04">
      <w:pPr>
        <w:tabs>
          <w:tab w:val="left" w:pos="993"/>
        </w:tabs>
        <w:spacing w:after="0" w:line="240" w:lineRule="auto"/>
        <w:ind w:firstLine="709"/>
        <w:jc w:val="both"/>
        <w:rPr>
          <w:rFonts w:ascii="Times New Roman" w:hAnsi="Times New Roman" w:cs="Times New Roman"/>
          <w:sz w:val="28"/>
          <w:szCs w:val="28"/>
        </w:rPr>
      </w:pPr>
      <w:r w:rsidRPr="004135FE">
        <w:rPr>
          <w:rFonts w:ascii="Times New Roman" w:eastAsia="Times New Roman" w:hAnsi="Times New Roman" w:cs="Times New Roman"/>
          <w:sz w:val="28"/>
          <w:szCs w:val="28"/>
        </w:rPr>
        <w:t xml:space="preserve">Динамический ряд </w:t>
      </w:r>
      <w:r w:rsidRPr="004135FE">
        <w:rPr>
          <w:rFonts w:ascii="Times New Roman" w:eastAsiaTheme="minorHAnsi" w:hAnsi="Times New Roman" w:cs="Times New Roman"/>
          <w:bCs/>
          <w:sz w:val="28"/>
          <w:szCs w:val="28"/>
          <w:lang w:eastAsia="en-US"/>
        </w:rPr>
        <w:t xml:space="preserve">СД2т по г.Алматы за 10лет выявил, что </w:t>
      </w:r>
      <w:r w:rsidRPr="004135FE">
        <w:rPr>
          <w:rFonts w:ascii="Times New Roman" w:hAnsi="Times New Roman" w:cs="Times New Roman"/>
          <w:bCs/>
          <w:sz w:val="28"/>
          <w:szCs w:val="28"/>
        </w:rPr>
        <w:t>н</w:t>
      </w:r>
      <w:r w:rsidRPr="004135FE">
        <w:rPr>
          <w:rFonts w:ascii="Times New Roman" w:eastAsia="Times New Roman" w:hAnsi="Times New Roman" w:cs="Times New Roman"/>
          <w:sz w:val="28"/>
          <w:szCs w:val="28"/>
        </w:rPr>
        <w:t xml:space="preserve">аибольший убыль (-152,00) был в 2019г в Жетысуском районе, но к 2021г наибольший абсолютный рост первичной заболеваемости СД2т выявлен так же в этом районе 339,00случаев. Наибольший </w:t>
      </w:r>
      <w:r w:rsidRPr="004135FE">
        <w:rPr>
          <w:rFonts w:ascii="Times New Roman" w:eastAsia="Times New Roman" w:hAnsi="Times New Roman" w:cs="Times New Roman"/>
          <w:bCs/>
          <w:sz w:val="28"/>
          <w:szCs w:val="28"/>
        </w:rPr>
        <w:t xml:space="preserve">абсолютный прирост распространенности </w:t>
      </w:r>
      <w:r w:rsidRPr="004135FE">
        <w:rPr>
          <w:rFonts w:ascii="Times New Roman" w:eastAsiaTheme="minorHAnsi" w:hAnsi="Times New Roman" w:cs="Times New Roman"/>
          <w:bCs/>
          <w:sz w:val="28"/>
          <w:szCs w:val="28"/>
          <w:lang w:eastAsia="en-US"/>
        </w:rPr>
        <w:t xml:space="preserve">СД2т отмечен </w:t>
      </w:r>
      <w:r w:rsidRPr="004135FE">
        <w:rPr>
          <w:rFonts w:ascii="Times New Roman" w:eastAsia="Times New Roman" w:hAnsi="Times New Roman" w:cs="Times New Roman"/>
          <w:bCs/>
          <w:sz w:val="28"/>
          <w:szCs w:val="28"/>
        </w:rPr>
        <w:t>в 2019г 873 случаев в</w:t>
      </w:r>
      <w:r w:rsidRPr="004135FE">
        <w:rPr>
          <w:rFonts w:ascii="Times New Roman" w:eastAsia="Times New Roman" w:hAnsi="Times New Roman" w:cs="Times New Roman"/>
          <w:sz w:val="28"/>
          <w:szCs w:val="28"/>
        </w:rPr>
        <w:t xml:space="preserve"> Бостандыкском районе</w:t>
      </w:r>
      <w:r w:rsidRPr="004135FE">
        <w:rPr>
          <w:rFonts w:ascii="Times New Roman" w:eastAsia="Times New Roman" w:hAnsi="Times New Roman" w:cs="Times New Roman"/>
          <w:bCs/>
          <w:sz w:val="28"/>
          <w:szCs w:val="28"/>
        </w:rPr>
        <w:t xml:space="preserve">, в 2020г и 2021г отмечен резкий убыль до </w:t>
      </w:r>
      <w:r w:rsidRPr="004135FE">
        <w:rPr>
          <w:rFonts w:ascii="Times New Roman" w:eastAsia="Times New Roman" w:hAnsi="Times New Roman" w:cs="Times New Roman"/>
          <w:sz w:val="28"/>
          <w:szCs w:val="28"/>
        </w:rPr>
        <w:t>260,00</w:t>
      </w:r>
      <w:r w:rsidRPr="004135FE">
        <w:rPr>
          <w:rFonts w:ascii="Times New Roman" w:eastAsia="Times New Roman" w:hAnsi="Times New Roman" w:cs="Times New Roman"/>
          <w:bCs/>
          <w:sz w:val="28"/>
          <w:szCs w:val="28"/>
        </w:rPr>
        <w:t xml:space="preserve"> и </w:t>
      </w:r>
      <w:r w:rsidRPr="004135FE">
        <w:rPr>
          <w:rFonts w:ascii="Times New Roman" w:eastAsia="Times New Roman" w:hAnsi="Times New Roman" w:cs="Times New Roman"/>
          <w:sz w:val="28"/>
          <w:szCs w:val="28"/>
        </w:rPr>
        <w:t xml:space="preserve">313,00 случаев (период обострения </w:t>
      </w:r>
      <w:r w:rsidRPr="004135FE">
        <w:rPr>
          <w:rFonts w:ascii="Times New Roman" w:eastAsia="Times New Roman" w:hAnsi="Times New Roman" w:cs="Times New Roman"/>
          <w:sz w:val="28"/>
          <w:szCs w:val="28"/>
          <w:lang w:val="en-US"/>
        </w:rPr>
        <w:t>Covid</w:t>
      </w:r>
      <w:r w:rsidRPr="004135FE">
        <w:rPr>
          <w:rFonts w:ascii="Times New Roman" w:eastAsia="Times New Roman" w:hAnsi="Times New Roman" w:cs="Times New Roman"/>
          <w:sz w:val="28"/>
          <w:szCs w:val="28"/>
        </w:rPr>
        <w:t xml:space="preserve">-19). </w:t>
      </w:r>
      <w:r w:rsidRPr="004135FE">
        <w:rPr>
          <w:rFonts w:ascii="Times New Roman" w:eastAsiaTheme="minorHAnsi" w:hAnsi="Times New Roman" w:cs="Times New Roman"/>
          <w:bCs/>
          <w:sz w:val="28"/>
          <w:szCs w:val="28"/>
          <w:lang w:eastAsia="en-US"/>
        </w:rPr>
        <w:t xml:space="preserve">В 2021г </w:t>
      </w:r>
      <w:r w:rsidRPr="004135FE">
        <w:rPr>
          <w:rFonts w:ascii="Times New Roman" w:hAnsi="Times New Roman" w:cs="Times New Roman"/>
          <w:bCs/>
          <w:sz w:val="28"/>
          <w:szCs w:val="28"/>
        </w:rPr>
        <w:t>нуждающихся в ЛС по СД</w:t>
      </w:r>
      <w:r w:rsidRPr="004135FE">
        <w:rPr>
          <w:rFonts w:ascii="Times New Roman" w:eastAsiaTheme="minorHAnsi" w:hAnsi="Times New Roman" w:cs="Times New Roman"/>
          <w:bCs/>
          <w:sz w:val="28"/>
          <w:szCs w:val="28"/>
          <w:lang w:eastAsia="en-US"/>
        </w:rPr>
        <w:t xml:space="preserve"> </w:t>
      </w:r>
      <w:r w:rsidRPr="004135FE">
        <w:rPr>
          <w:rFonts w:ascii="Times New Roman" w:hAnsi="Times New Roman" w:cs="Times New Roman"/>
          <w:bCs/>
          <w:sz w:val="28"/>
          <w:szCs w:val="28"/>
        </w:rPr>
        <w:t xml:space="preserve">и обеспеченных составило </w:t>
      </w:r>
      <w:r w:rsidRPr="004135FE">
        <w:rPr>
          <w:rFonts w:ascii="Times New Roman" w:hAnsi="Times New Roman" w:cs="Times New Roman"/>
          <w:sz w:val="28"/>
          <w:szCs w:val="28"/>
        </w:rPr>
        <w:t>38 399</w:t>
      </w:r>
      <w:r w:rsidRPr="004135FE">
        <w:rPr>
          <w:rFonts w:ascii="Times New Roman" w:hAnsi="Times New Roman" w:cs="Times New Roman"/>
          <w:bCs/>
          <w:sz w:val="28"/>
          <w:szCs w:val="28"/>
        </w:rPr>
        <w:t xml:space="preserve"> человек. </w:t>
      </w:r>
      <w:r w:rsidRPr="004135FE">
        <w:rPr>
          <w:rFonts w:ascii="Times New Roman" w:eastAsiaTheme="minorHAnsi" w:hAnsi="Times New Roman" w:cs="Times New Roman"/>
          <w:bCs/>
          <w:sz w:val="28"/>
          <w:szCs w:val="28"/>
          <w:lang w:eastAsia="en-US"/>
        </w:rPr>
        <w:t>В 2019г зафиксирован максимальный убыль нуждающихся в ЛС (</w:t>
      </w:r>
      <w:r w:rsidRPr="004135FE">
        <w:rPr>
          <w:rFonts w:ascii="Times New Roman" w:hAnsi="Times New Roman" w:cs="Times New Roman"/>
          <w:sz w:val="28"/>
          <w:szCs w:val="28"/>
        </w:rPr>
        <w:t>-8 558 человек) (для сравнения причины на базе МЗ РК нет данных о смертности по СД2т, СД2т+</w:t>
      </w:r>
      <w:r w:rsidRPr="004135FE">
        <w:rPr>
          <w:rFonts w:ascii="Times New Roman" w:eastAsia="Times New Roman" w:hAnsi="Times New Roman" w:cs="Times New Roman"/>
          <w:sz w:val="28"/>
          <w:szCs w:val="28"/>
        </w:rPr>
        <w:t xml:space="preserve"> </w:t>
      </w:r>
      <w:r w:rsidRPr="004135FE">
        <w:rPr>
          <w:rFonts w:ascii="Times New Roman" w:eastAsia="Times New Roman" w:hAnsi="Times New Roman" w:cs="Times New Roman"/>
          <w:sz w:val="28"/>
          <w:szCs w:val="28"/>
          <w:lang w:val="en-US"/>
        </w:rPr>
        <w:t>Covid</w:t>
      </w:r>
      <w:r w:rsidRPr="004135FE">
        <w:rPr>
          <w:rFonts w:ascii="Times New Roman" w:eastAsia="Times New Roman" w:hAnsi="Times New Roman" w:cs="Times New Roman"/>
          <w:sz w:val="28"/>
          <w:szCs w:val="28"/>
        </w:rPr>
        <w:t>-19)</w:t>
      </w:r>
      <w:r w:rsidRPr="004135FE">
        <w:rPr>
          <w:rFonts w:ascii="Times New Roman" w:hAnsi="Times New Roman" w:cs="Times New Roman"/>
          <w:sz w:val="28"/>
          <w:szCs w:val="28"/>
        </w:rPr>
        <w:t>. В 2017г отмечен максимальный абсолютный прирост количества обеспеченных ЛС рецептов 104 533,00 рецептурных бланков (рост количества пациентов в связи с расширением территории г.Алматы с присоединением близлежащих областных поселков)</w:t>
      </w:r>
      <w:r w:rsidRPr="004135FE">
        <w:rPr>
          <w:rFonts w:ascii="Times New Roman" w:hAnsi="Times New Roman" w:cs="Times New Roman"/>
          <w:bCs/>
          <w:sz w:val="28"/>
          <w:szCs w:val="28"/>
        </w:rPr>
        <w:t xml:space="preserve">. </w:t>
      </w:r>
      <w:r w:rsidRPr="004135FE">
        <w:rPr>
          <w:rFonts w:ascii="Times New Roman" w:hAnsi="Times New Roman" w:cs="Times New Roman"/>
          <w:sz w:val="28"/>
          <w:szCs w:val="28"/>
        </w:rPr>
        <w:t xml:space="preserve">Согласно проведенному прогнозу </w:t>
      </w:r>
      <w:r w:rsidRPr="004135FE">
        <w:rPr>
          <w:rFonts w:ascii="Times New Roman" w:hAnsi="Times New Roman" w:cs="Times New Roman"/>
          <w:bCs/>
          <w:sz w:val="28"/>
          <w:szCs w:val="28"/>
        </w:rPr>
        <w:t xml:space="preserve">стоимости </w:t>
      </w:r>
      <w:r w:rsidRPr="004135FE">
        <w:rPr>
          <w:rFonts w:ascii="Times New Roman" w:eastAsiaTheme="minorHAnsi" w:hAnsi="Times New Roman" w:cs="Times New Roman"/>
          <w:bCs/>
          <w:sz w:val="28"/>
          <w:szCs w:val="28"/>
          <w:lang w:eastAsia="en-US"/>
        </w:rPr>
        <w:t xml:space="preserve">обеспеченных </w:t>
      </w:r>
      <w:r w:rsidRPr="004135FE">
        <w:rPr>
          <w:rFonts w:ascii="Times New Roman" w:hAnsi="Times New Roman" w:cs="Times New Roman"/>
          <w:bCs/>
          <w:sz w:val="28"/>
          <w:szCs w:val="28"/>
        </w:rPr>
        <w:t>ЛС по рецептам по</w:t>
      </w:r>
      <w:r w:rsidRPr="004135FE">
        <w:rPr>
          <w:rFonts w:ascii="Times New Roman" w:hAnsi="Times New Roman" w:cs="Times New Roman"/>
          <w:sz w:val="28"/>
          <w:szCs w:val="28"/>
        </w:rPr>
        <w:t xml:space="preserve"> СД, к 2023г </w:t>
      </w:r>
      <w:r w:rsidRPr="004135FE">
        <w:rPr>
          <w:rFonts w:ascii="Times New Roman" w:hAnsi="Times New Roman" w:cs="Times New Roman"/>
          <w:noProof/>
          <w:sz w:val="28"/>
          <w:szCs w:val="28"/>
        </w:rPr>
        <w:t xml:space="preserve">ожидается дальнейшее увеличение суммы обеспеченных ЛС по рецептам с </w:t>
      </w:r>
      <w:r w:rsidRPr="004135FE">
        <w:rPr>
          <w:rFonts w:ascii="Times New Roman" w:eastAsia="Times New Roman" w:hAnsi="Times New Roman" w:cs="Times New Roman"/>
          <w:sz w:val="28"/>
          <w:szCs w:val="28"/>
        </w:rPr>
        <w:t>5 341 889 235,14 тенге</w:t>
      </w:r>
      <w:r w:rsidRPr="004135FE">
        <w:rPr>
          <w:rFonts w:ascii="Times New Roman" w:hAnsi="Times New Roman" w:cs="Times New Roman"/>
          <w:noProof/>
          <w:sz w:val="28"/>
          <w:szCs w:val="28"/>
        </w:rPr>
        <w:t xml:space="preserve"> </w:t>
      </w:r>
      <w:r w:rsidRPr="004135FE">
        <w:rPr>
          <w:rFonts w:ascii="Times New Roman" w:eastAsia="Times New Roman" w:hAnsi="Times New Roman" w:cs="Times New Roman"/>
          <w:sz w:val="28"/>
          <w:szCs w:val="28"/>
        </w:rPr>
        <w:t>до 6 204 762 566,38 тенге с ДИ (5 120 536 045,04; 7 288 989 087,73)</w:t>
      </w:r>
      <w:r w:rsidRPr="004135FE">
        <w:rPr>
          <w:rFonts w:ascii="Times New Roman" w:eastAsiaTheme="minorHAnsi" w:hAnsi="Times New Roman" w:cs="Times New Roman"/>
          <w:bCs/>
          <w:sz w:val="28"/>
          <w:szCs w:val="28"/>
          <w:lang w:val="kk-KZ" w:eastAsia="en-US"/>
        </w:rPr>
        <w:t xml:space="preserve"> тенге</w:t>
      </w:r>
      <w:r w:rsidRPr="004135FE">
        <w:rPr>
          <w:rFonts w:ascii="Times New Roman" w:hAnsi="Times New Roman" w:cs="Times New Roman"/>
          <w:sz w:val="28"/>
          <w:szCs w:val="28"/>
        </w:rPr>
        <w:t xml:space="preserve"> (р=0,001) статистически значимы. </w:t>
      </w:r>
      <w:r w:rsidRPr="004135FE">
        <w:rPr>
          <w:rFonts w:ascii="Times New Roman" w:eastAsiaTheme="minorHAnsi" w:hAnsi="Times New Roman" w:cs="Times New Roman"/>
          <w:sz w:val="28"/>
          <w:szCs w:val="28"/>
          <w:lang w:eastAsia="en-US"/>
        </w:rPr>
        <w:t xml:space="preserve">Согласно прогнозированию </w:t>
      </w:r>
      <w:r w:rsidRPr="004135FE">
        <w:rPr>
          <w:rFonts w:ascii="Times New Roman" w:hAnsi="Times New Roman" w:cs="Times New Roman"/>
          <w:bCs/>
          <w:sz w:val="28"/>
          <w:szCs w:val="28"/>
        </w:rPr>
        <w:t xml:space="preserve">стоимости, закупленных ЛС </w:t>
      </w:r>
      <w:r w:rsidRPr="004135FE">
        <w:rPr>
          <w:rFonts w:ascii="Times New Roman" w:eastAsiaTheme="minorHAnsi" w:hAnsi="Times New Roman" w:cs="Times New Roman"/>
          <w:bCs/>
          <w:sz w:val="28"/>
          <w:szCs w:val="28"/>
          <w:lang w:val="kk-KZ" w:eastAsia="en-US"/>
        </w:rPr>
        <w:t>в тенге</w:t>
      </w:r>
      <w:r w:rsidRPr="004135FE">
        <w:rPr>
          <w:rFonts w:ascii="Times New Roman" w:hAnsi="Times New Roman" w:cs="Times New Roman"/>
          <w:bCs/>
          <w:sz w:val="28"/>
          <w:szCs w:val="28"/>
        </w:rPr>
        <w:t xml:space="preserve"> (на 1 пациента </w:t>
      </w:r>
      <w:r w:rsidRPr="004135FE">
        <w:rPr>
          <w:rFonts w:ascii="Times New Roman" w:eastAsiaTheme="minorHAnsi" w:hAnsi="Times New Roman" w:cs="Times New Roman"/>
          <w:bCs/>
          <w:sz w:val="28"/>
          <w:szCs w:val="28"/>
          <w:lang w:eastAsia="en-US"/>
        </w:rPr>
        <w:t>по СД по г.Алматы</w:t>
      </w:r>
      <w:r w:rsidRPr="004135FE">
        <w:rPr>
          <w:rFonts w:ascii="Times New Roman" w:eastAsiaTheme="minorHAnsi" w:hAnsi="Times New Roman" w:cs="Times New Roman"/>
          <w:bCs/>
          <w:sz w:val="28"/>
          <w:szCs w:val="28"/>
          <w:lang w:val="kk-KZ" w:eastAsia="en-US"/>
        </w:rPr>
        <w:t>), к 2023г</w:t>
      </w:r>
      <w:r w:rsidRPr="004135FE">
        <w:rPr>
          <w:rFonts w:ascii="Times New Roman" w:eastAsiaTheme="minorHAnsi" w:hAnsi="Times New Roman" w:cs="Times New Roman"/>
          <w:sz w:val="28"/>
          <w:szCs w:val="28"/>
          <w:lang w:eastAsia="en-US"/>
        </w:rPr>
        <w:t xml:space="preserve"> </w:t>
      </w:r>
      <w:r w:rsidRPr="004135FE">
        <w:rPr>
          <w:rFonts w:ascii="Times New Roman" w:eastAsia="Times New Roman" w:hAnsi="Times New Roman" w:cs="Times New Roman"/>
          <w:sz w:val="28"/>
          <w:szCs w:val="28"/>
        </w:rPr>
        <w:t xml:space="preserve">ожидается дальнейшее увеличение суммы </w:t>
      </w:r>
      <w:r w:rsidRPr="004135FE">
        <w:rPr>
          <w:rFonts w:ascii="Times New Roman" w:eastAsiaTheme="minorHAnsi" w:hAnsi="Times New Roman" w:cs="Times New Roman"/>
          <w:sz w:val="28"/>
          <w:szCs w:val="28"/>
          <w:lang w:eastAsia="en-US"/>
        </w:rPr>
        <w:t xml:space="preserve">с </w:t>
      </w:r>
      <w:r w:rsidRPr="004135FE">
        <w:rPr>
          <w:rFonts w:ascii="Times New Roman" w:eastAsia="Times New Roman" w:hAnsi="Times New Roman" w:cs="Times New Roman"/>
          <w:sz w:val="28"/>
          <w:szCs w:val="28"/>
        </w:rPr>
        <w:t xml:space="preserve">126 648,08 до 151 480,68 с ДИ (131 445,53; 171 515,82) </w:t>
      </w:r>
      <w:r w:rsidRPr="004135FE">
        <w:rPr>
          <w:rFonts w:ascii="Times New Roman" w:eastAsiaTheme="minorHAnsi" w:hAnsi="Times New Roman" w:cs="Times New Roman"/>
          <w:bCs/>
          <w:sz w:val="28"/>
          <w:szCs w:val="28"/>
          <w:lang w:val="kk-KZ" w:eastAsia="en-US"/>
        </w:rPr>
        <w:t>тенге</w:t>
      </w:r>
      <w:r w:rsidRPr="004135FE">
        <w:rPr>
          <w:rFonts w:ascii="Times New Roman" w:eastAsia="Times New Roman" w:hAnsi="Times New Roman" w:cs="Times New Roman"/>
          <w:sz w:val="28"/>
          <w:szCs w:val="28"/>
        </w:rPr>
        <w:t xml:space="preserve"> </w:t>
      </w:r>
      <w:r w:rsidRPr="004135FE">
        <w:rPr>
          <w:rFonts w:ascii="Times New Roman" w:hAnsi="Times New Roman" w:cs="Times New Roman"/>
          <w:sz w:val="28"/>
          <w:szCs w:val="28"/>
        </w:rPr>
        <w:t>(р=0,001) статистически значимы</w:t>
      </w:r>
      <w:r w:rsidRPr="004135FE">
        <w:rPr>
          <w:rFonts w:ascii="Times New Roman" w:eastAsia="Times New Roman" w:hAnsi="Times New Roman" w:cs="Times New Roman"/>
          <w:sz w:val="28"/>
          <w:szCs w:val="28"/>
        </w:rPr>
        <w:t>.</w:t>
      </w:r>
    </w:p>
    <w:p w14:paraId="167932E2" w14:textId="5A2F7B04" w:rsidR="00EF4128" w:rsidRPr="004135FE" w:rsidRDefault="00EF4128" w:rsidP="00EE2F04">
      <w:pPr>
        <w:pStyle w:val="a3"/>
        <w:numPr>
          <w:ilvl w:val="0"/>
          <w:numId w:val="74"/>
        </w:numPr>
        <w:tabs>
          <w:tab w:val="left" w:pos="851"/>
          <w:tab w:val="left" w:pos="993"/>
        </w:tabs>
        <w:spacing w:after="160" w:line="240" w:lineRule="auto"/>
        <w:ind w:left="0" w:firstLine="709"/>
        <w:jc w:val="both"/>
        <w:rPr>
          <w:rFonts w:ascii="Times New Roman" w:hAnsi="Times New Roman" w:cs="Times New Roman"/>
          <w:sz w:val="28"/>
          <w:szCs w:val="28"/>
        </w:rPr>
      </w:pPr>
      <w:r w:rsidRPr="004135FE">
        <w:rPr>
          <w:rFonts w:ascii="Times New Roman" w:hAnsi="Times New Roman" w:cs="Times New Roman"/>
          <w:sz w:val="28"/>
          <w:szCs w:val="28"/>
        </w:rPr>
        <w:t>Проведенное социологическое исследование показало, что основными потребностями медицинского персонала и пациентов с СД2т являются: пересмотреть нагрузку на врача эндокринолога, увеличить длительность приема, о</w:t>
      </w:r>
      <w:r w:rsidRPr="004135FE">
        <w:rPr>
          <w:rFonts w:ascii="Times New Roman" w:eastAsiaTheme="minorHAnsi" w:hAnsi="Times New Roman" w:cs="Times New Roman"/>
          <w:sz w:val="28"/>
          <w:szCs w:val="28"/>
          <w:lang w:eastAsia="en-US"/>
        </w:rPr>
        <w:t>плата дополнительных функции персонала и ресурсов труда вне рабочего времени, с</w:t>
      </w:r>
      <w:r w:rsidRPr="004135FE">
        <w:rPr>
          <w:rFonts w:ascii="Times New Roman" w:hAnsi="Times New Roman" w:cs="Times New Roman"/>
          <w:sz w:val="28"/>
          <w:szCs w:val="28"/>
        </w:rPr>
        <w:t>овершенствовать навыки медицинского персонала по современным технологиям диагностики и лечения СД2т и его осложнении, совершенствовать командную (мультидисципл</w:t>
      </w:r>
      <w:r w:rsidR="00986854" w:rsidRPr="004135FE">
        <w:rPr>
          <w:rFonts w:ascii="Times New Roman" w:hAnsi="Times New Roman" w:cs="Times New Roman"/>
          <w:sz w:val="28"/>
          <w:szCs w:val="28"/>
        </w:rPr>
        <w:t>и</w:t>
      </w:r>
      <w:r w:rsidRPr="004135FE">
        <w:rPr>
          <w:rFonts w:ascii="Times New Roman" w:hAnsi="Times New Roman" w:cs="Times New Roman"/>
          <w:sz w:val="28"/>
          <w:szCs w:val="28"/>
        </w:rPr>
        <w:t>нарную) работу, психосоциальная поддержка пациентов, индивидуальный подбор физической активности с учетом противопоказании и мер предосторожностей, организация контроля репродуктивного потенциала женщин и мужчин фертильного возраста с СД2т, повысить уровень приверженности к рекомендациям и самоконтроля пациентов.</w:t>
      </w:r>
    </w:p>
    <w:p w14:paraId="42A1C492" w14:textId="460E9FBE" w:rsidR="00EF4128" w:rsidRPr="004135FE" w:rsidRDefault="009A3DAD" w:rsidP="00EE2F04">
      <w:pPr>
        <w:pStyle w:val="a3"/>
        <w:numPr>
          <w:ilvl w:val="0"/>
          <w:numId w:val="74"/>
        </w:numPr>
        <w:tabs>
          <w:tab w:val="left" w:pos="284"/>
          <w:tab w:val="left" w:pos="851"/>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Анализ НПА, программ и модели</w:t>
      </w:r>
      <w:r w:rsidR="00EF4128" w:rsidRPr="004135FE">
        <w:rPr>
          <w:rFonts w:ascii="Times New Roman" w:eastAsia="Times New Roman" w:hAnsi="Times New Roman" w:cs="Times New Roman"/>
          <w:sz w:val="28"/>
          <w:szCs w:val="28"/>
        </w:rPr>
        <w:t xml:space="preserve"> </w:t>
      </w:r>
      <w:r w:rsidR="00EF4128" w:rsidRPr="004135FE">
        <w:rPr>
          <w:rFonts w:ascii="Times New Roman" w:hAnsi="Times New Roman" w:cs="Times New Roman"/>
          <w:iCs/>
          <w:sz w:val="28"/>
          <w:szCs w:val="28"/>
        </w:rPr>
        <w:t>регламентирующие</w:t>
      </w:r>
      <w:r w:rsidR="00EF4128" w:rsidRPr="004135FE">
        <w:rPr>
          <w:rFonts w:ascii="Times New Roman" w:eastAsia="Times New Roman" w:hAnsi="Times New Roman" w:cs="Times New Roman"/>
          <w:sz w:val="28"/>
          <w:szCs w:val="28"/>
        </w:rPr>
        <w:t xml:space="preserve"> оказание медицинской помощи </w:t>
      </w:r>
      <w:r w:rsidR="00EF4128" w:rsidRPr="004135FE">
        <w:rPr>
          <w:rFonts w:ascii="Times New Roman" w:hAnsi="Times New Roman" w:cs="Times New Roman"/>
          <w:iCs/>
          <w:sz w:val="28"/>
          <w:szCs w:val="28"/>
        </w:rPr>
        <w:t>и межсекторальное сотрудничество при СД2т</w:t>
      </w:r>
      <w:r w:rsidR="00EF4128" w:rsidRPr="004135FE">
        <w:rPr>
          <w:rFonts w:ascii="Times New Roman" w:eastAsia="Times New Roman" w:hAnsi="Times New Roman" w:cs="Times New Roman"/>
          <w:sz w:val="28"/>
          <w:szCs w:val="28"/>
        </w:rPr>
        <w:t xml:space="preserve"> в</w:t>
      </w:r>
      <w:r w:rsidR="00EF4128" w:rsidRPr="004135FE">
        <w:rPr>
          <w:rFonts w:ascii="Times New Roman" w:hAnsi="Times New Roman" w:cs="Times New Roman"/>
          <w:iCs/>
          <w:sz w:val="28"/>
          <w:szCs w:val="28"/>
        </w:rPr>
        <w:t xml:space="preserve">ыявила, что с учетом прогресса необходимо их совершенствовать путем обновления, интегрируя уже существующие материалы дополнив новыми предложениями </w:t>
      </w:r>
    </w:p>
    <w:p w14:paraId="52FEDEEB" w14:textId="65700F49" w:rsidR="00EF4128" w:rsidRPr="004135FE" w:rsidRDefault="00EF4128" w:rsidP="00EE2F04">
      <w:pPr>
        <w:pStyle w:val="a3"/>
        <w:numPr>
          <w:ilvl w:val="0"/>
          <w:numId w:val="74"/>
        </w:numPr>
        <w:tabs>
          <w:tab w:val="left" w:pos="284"/>
          <w:tab w:val="left" w:pos="851"/>
          <w:tab w:val="left" w:pos="993"/>
        </w:tabs>
        <w:autoSpaceDE w:val="0"/>
        <w:autoSpaceDN w:val="0"/>
        <w:adjustRightInd w:val="0"/>
        <w:spacing w:after="0" w:line="240" w:lineRule="auto"/>
        <w:ind w:left="0" w:firstLine="709"/>
        <w:jc w:val="both"/>
        <w:rPr>
          <w:rFonts w:ascii="Times New Roman" w:eastAsiaTheme="minorHAnsi" w:hAnsi="Times New Roman" w:cs="Times New Roman"/>
          <w:b/>
          <w:sz w:val="28"/>
          <w:szCs w:val="28"/>
          <w:lang w:eastAsia="en-US"/>
        </w:rPr>
      </w:pPr>
      <w:r w:rsidRPr="004135FE">
        <w:rPr>
          <w:rFonts w:ascii="Times New Roman" w:eastAsia="Times New Roman" w:hAnsi="Times New Roman" w:cs="Times New Roman"/>
          <w:sz w:val="28"/>
          <w:szCs w:val="28"/>
        </w:rPr>
        <w:t>Научно</w:t>
      </w:r>
      <w:r w:rsidR="00CC6B82" w:rsidRPr="004135FE">
        <w:rPr>
          <w:rFonts w:ascii="Times New Roman" w:eastAsia="Times New Roman" w:hAnsi="Times New Roman" w:cs="Times New Roman"/>
          <w:sz w:val="28"/>
          <w:szCs w:val="28"/>
        </w:rPr>
        <w:t>-</w:t>
      </w:r>
      <w:r w:rsidRPr="004135FE">
        <w:rPr>
          <w:rFonts w:ascii="Times New Roman" w:eastAsia="Times New Roman" w:hAnsi="Times New Roman" w:cs="Times New Roman"/>
          <w:sz w:val="28"/>
          <w:szCs w:val="28"/>
        </w:rPr>
        <w:t>обоснованы и разработаны предложения к совершенствованию оказания медицинской помощи и межсекторального сотрудничества при СД2т</w:t>
      </w:r>
      <w:r w:rsidR="00321165">
        <w:rPr>
          <w:rFonts w:ascii="Times New Roman" w:eastAsia="Times New Roman" w:hAnsi="Times New Roman" w:cs="Times New Roman"/>
          <w:sz w:val="28"/>
          <w:szCs w:val="28"/>
        </w:rPr>
        <w:t>.</w:t>
      </w:r>
    </w:p>
    <w:p w14:paraId="16BABAF6" w14:textId="77777777" w:rsidR="00EF4128" w:rsidRPr="004135FE" w:rsidRDefault="00EF4128" w:rsidP="004135FE">
      <w:pPr>
        <w:autoSpaceDE w:val="0"/>
        <w:autoSpaceDN w:val="0"/>
        <w:adjustRightInd w:val="0"/>
        <w:spacing w:after="0" w:line="240" w:lineRule="auto"/>
        <w:rPr>
          <w:rFonts w:ascii="Times New Roman" w:eastAsiaTheme="minorHAnsi" w:hAnsi="Times New Roman" w:cs="Times New Roman"/>
          <w:b/>
          <w:sz w:val="28"/>
          <w:szCs w:val="28"/>
          <w:lang w:eastAsia="en-US"/>
        </w:rPr>
        <w:sectPr w:rsidR="00EF4128" w:rsidRPr="004135FE" w:rsidSect="00EE2F04">
          <w:pgSz w:w="11906" w:h="16838"/>
          <w:pgMar w:top="1134" w:right="851" w:bottom="1134" w:left="1701" w:header="283" w:footer="283" w:gutter="0"/>
          <w:cols w:space="708"/>
          <w:docGrid w:linePitch="360"/>
        </w:sectPr>
      </w:pPr>
    </w:p>
    <w:p w14:paraId="14A31DD3" w14:textId="0FCC5FB1" w:rsidR="00EF4128" w:rsidRPr="00EE2F04" w:rsidRDefault="00EF4128" w:rsidP="004135FE">
      <w:pPr>
        <w:autoSpaceDE w:val="0"/>
        <w:autoSpaceDN w:val="0"/>
        <w:adjustRightInd w:val="0"/>
        <w:spacing w:after="0" w:line="240" w:lineRule="auto"/>
        <w:jc w:val="center"/>
        <w:rPr>
          <w:rFonts w:ascii="Times New Roman" w:eastAsiaTheme="minorHAnsi" w:hAnsi="Times New Roman" w:cs="Times New Roman"/>
          <w:bCs/>
          <w:sz w:val="28"/>
          <w:szCs w:val="28"/>
          <w:lang w:eastAsia="en-US"/>
        </w:rPr>
      </w:pPr>
      <w:r w:rsidRPr="00EE2F04">
        <w:rPr>
          <w:rFonts w:ascii="Times New Roman" w:eastAsiaTheme="minorHAnsi" w:hAnsi="Times New Roman" w:cs="Times New Roman"/>
          <w:bCs/>
          <w:sz w:val="28"/>
          <w:szCs w:val="28"/>
          <w:lang w:eastAsia="en-US"/>
        </w:rPr>
        <w:t>ПРАКТИЧЕСКИЕ РЕКОМЕНДАЦИИ</w:t>
      </w:r>
    </w:p>
    <w:p w14:paraId="50BBF2CE" w14:textId="1EDB7452" w:rsidR="00EF4128" w:rsidRPr="004135FE" w:rsidRDefault="00EF4128" w:rsidP="004135FE">
      <w:pPr>
        <w:pStyle w:val="a3"/>
        <w:spacing w:after="0" w:line="240" w:lineRule="auto"/>
        <w:ind w:left="0" w:firstLine="708"/>
        <w:jc w:val="both"/>
        <w:rPr>
          <w:rFonts w:ascii="Times New Roman" w:eastAsia="Times New Roman" w:hAnsi="Times New Roman" w:cs="Times New Roman"/>
          <w:sz w:val="28"/>
          <w:szCs w:val="28"/>
        </w:rPr>
      </w:pPr>
      <w:r w:rsidRPr="004135FE">
        <w:rPr>
          <w:rFonts w:ascii="Times New Roman" w:hAnsi="Times New Roman" w:cs="Times New Roman"/>
          <w:sz w:val="28"/>
          <w:szCs w:val="28"/>
        </w:rPr>
        <w:t>Научно</w:t>
      </w:r>
      <w:r w:rsidR="00CC6B82" w:rsidRPr="004135FE">
        <w:rPr>
          <w:rFonts w:ascii="Times New Roman" w:hAnsi="Times New Roman" w:cs="Times New Roman"/>
          <w:sz w:val="28"/>
          <w:szCs w:val="28"/>
        </w:rPr>
        <w:t>-</w:t>
      </w:r>
      <w:r w:rsidRPr="004135FE">
        <w:rPr>
          <w:rFonts w:ascii="Times New Roman" w:hAnsi="Times New Roman" w:cs="Times New Roman"/>
          <w:sz w:val="28"/>
          <w:szCs w:val="28"/>
        </w:rPr>
        <w:t xml:space="preserve">обоснованные </w:t>
      </w:r>
      <w:r w:rsidRPr="004135FE">
        <w:rPr>
          <w:rFonts w:ascii="Times New Roman" w:eastAsia="Times New Roman" w:hAnsi="Times New Roman" w:cs="Times New Roman"/>
          <w:sz w:val="28"/>
          <w:szCs w:val="28"/>
        </w:rPr>
        <w:t>предложения к совершенствованию оказания медицинской помощи и межсекторального сотрудничества при СД2т</w:t>
      </w:r>
      <w:r w:rsidRPr="004135FE">
        <w:rPr>
          <w:rFonts w:ascii="Times New Roman" w:hAnsi="Times New Roman" w:cs="Times New Roman"/>
          <w:sz w:val="28"/>
          <w:szCs w:val="28"/>
        </w:rPr>
        <w:t xml:space="preserve"> могут быть использованы для управления факторами развития риска и осложнении СД2т с профилактическими мерами:</w:t>
      </w:r>
    </w:p>
    <w:p w14:paraId="555EA9CB" w14:textId="77777777" w:rsidR="00EF4128" w:rsidRPr="004135FE" w:rsidRDefault="00EF4128" w:rsidP="004135FE">
      <w:pPr>
        <w:pStyle w:val="a3"/>
        <w:autoSpaceDE w:val="0"/>
        <w:autoSpaceDN w:val="0"/>
        <w:adjustRightInd w:val="0"/>
        <w:spacing w:after="0" w:line="240" w:lineRule="auto"/>
        <w:ind w:left="0" w:firstLine="708"/>
        <w:jc w:val="both"/>
        <w:rPr>
          <w:rFonts w:ascii="Times New Roman" w:hAnsi="Times New Roman" w:cs="Times New Roman"/>
          <w:b/>
          <w:sz w:val="28"/>
          <w:szCs w:val="28"/>
        </w:rPr>
      </w:pPr>
      <w:r w:rsidRPr="004135FE">
        <w:rPr>
          <w:rFonts w:ascii="Times New Roman" w:hAnsi="Times New Roman" w:cs="Times New Roman"/>
          <w:sz w:val="28"/>
          <w:szCs w:val="28"/>
        </w:rPr>
        <w:t xml:space="preserve">- путем реализации межсекторального сотрудничества для достижения эффективного влияния на образ жизни, медицинскую грамотность и приверженность к здоровому питанию, физической активности, искоренения вредных поведенческих привычек на популяционном уровне, контроль </w:t>
      </w:r>
      <w:r w:rsidRPr="004135FE">
        <w:rPr>
          <w:rFonts w:ascii="Times New Roman" w:eastAsia="Times New Roman" w:hAnsi="Times New Roman" w:cs="Times New Roman"/>
          <w:sz w:val="28"/>
          <w:szCs w:val="28"/>
          <w:bdr w:val="none" w:sz="0" w:space="0" w:color="auto" w:frame="1"/>
        </w:rPr>
        <w:t>загрязнения воздуха,</w:t>
      </w:r>
      <w:r w:rsidRPr="004135FE">
        <w:rPr>
          <w:rFonts w:ascii="Times New Roman" w:hAnsi="Times New Roman" w:cs="Times New Roman"/>
          <w:sz w:val="28"/>
          <w:szCs w:val="28"/>
        </w:rPr>
        <w:t xml:space="preserve"> повысить социальный статус путем решения вопросов занятости,</w:t>
      </w:r>
      <w:r w:rsidRPr="004135FE">
        <w:rPr>
          <w:rFonts w:ascii="Times New Roman" w:hAnsi="Times New Roman" w:cs="Times New Roman"/>
          <w:b/>
          <w:sz w:val="28"/>
          <w:szCs w:val="28"/>
        </w:rPr>
        <w:t xml:space="preserve"> </w:t>
      </w:r>
      <w:r w:rsidRPr="004135FE">
        <w:rPr>
          <w:rFonts w:ascii="Times New Roman" w:hAnsi="Times New Roman" w:cs="Times New Roman"/>
          <w:sz w:val="28"/>
          <w:szCs w:val="28"/>
        </w:rPr>
        <w:t xml:space="preserve">защита интересов персонала и пациентов, обеспечение кадрового ресурса и его компетенция согласно НПА. </w:t>
      </w:r>
      <w:r w:rsidRPr="004135FE">
        <w:rPr>
          <w:rFonts w:ascii="Times New Roman" w:eastAsia="Times New Roman" w:hAnsi="Times New Roman" w:cs="Times New Roman"/>
          <w:sz w:val="28"/>
          <w:szCs w:val="28"/>
          <w:bdr w:val="none" w:sz="0" w:space="0" w:color="auto" w:frame="1"/>
        </w:rPr>
        <w:t>Поддержка науки по</w:t>
      </w:r>
      <w:r w:rsidRPr="004135FE">
        <w:rPr>
          <w:rFonts w:ascii="Times New Roman" w:hAnsi="Times New Roman" w:cs="Times New Roman"/>
          <w:bCs/>
          <w:sz w:val="28"/>
          <w:szCs w:val="28"/>
        </w:rPr>
        <w:t xml:space="preserve"> профилактике факторов риска и проведения более фрагментарных экспериментальных исследовании по межсекторальному сотрудничеству при СД2т</w:t>
      </w:r>
      <w:r w:rsidRPr="004135FE">
        <w:rPr>
          <w:rFonts w:ascii="Times New Roman" w:eastAsiaTheme="minorHAnsi" w:hAnsi="Times New Roman" w:cs="Times New Roman"/>
          <w:bCs/>
          <w:sz w:val="28"/>
          <w:szCs w:val="28"/>
          <w:lang w:eastAsia="en-US"/>
        </w:rPr>
        <w:t xml:space="preserve"> в приоритетных вопросах здравоохранения по социальным детерминантам здоровья среди взрослого населения и детей</w:t>
      </w:r>
    </w:p>
    <w:p w14:paraId="2BA4AC3C" w14:textId="77777777" w:rsidR="00EF4128" w:rsidRPr="004135FE" w:rsidRDefault="00EF4128" w:rsidP="004135FE">
      <w:pPr>
        <w:pStyle w:val="a3"/>
        <w:autoSpaceDE w:val="0"/>
        <w:autoSpaceDN w:val="0"/>
        <w:adjustRightInd w:val="0"/>
        <w:spacing w:after="0" w:line="240" w:lineRule="auto"/>
        <w:ind w:left="0" w:firstLine="708"/>
        <w:jc w:val="both"/>
        <w:rPr>
          <w:rFonts w:ascii="Times New Roman" w:hAnsi="Times New Roman" w:cs="Times New Roman"/>
          <w:sz w:val="28"/>
          <w:szCs w:val="28"/>
        </w:rPr>
      </w:pPr>
      <w:r w:rsidRPr="004135FE">
        <w:rPr>
          <w:rFonts w:ascii="Times New Roman" w:hAnsi="Times New Roman" w:cs="Times New Roman"/>
          <w:sz w:val="28"/>
          <w:szCs w:val="28"/>
        </w:rPr>
        <w:t>- путем профилактических мер на уровне МЗ РК: реализовать внесения изменения и дополнения в протокол диагностики и лечения СД2т и в данные РЦЭЗ. Пересмотреть ряд НПА по трудовым ресурсам медицинского персонала.</w:t>
      </w:r>
    </w:p>
    <w:p w14:paraId="67704B51" w14:textId="77777777" w:rsidR="00EF4128" w:rsidRPr="004135FE" w:rsidRDefault="00EF4128" w:rsidP="004135FE">
      <w:pPr>
        <w:pStyle w:val="a3"/>
        <w:autoSpaceDE w:val="0"/>
        <w:autoSpaceDN w:val="0"/>
        <w:adjustRightInd w:val="0"/>
        <w:spacing w:after="0" w:line="240" w:lineRule="auto"/>
        <w:ind w:left="0" w:firstLine="502"/>
        <w:jc w:val="both"/>
        <w:rPr>
          <w:rFonts w:ascii="Times New Roman" w:hAnsi="Times New Roman" w:cs="Times New Roman"/>
          <w:sz w:val="28"/>
          <w:szCs w:val="28"/>
        </w:rPr>
      </w:pPr>
      <w:r w:rsidRPr="004135FE">
        <w:rPr>
          <w:rFonts w:ascii="Times New Roman" w:hAnsi="Times New Roman" w:cs="Times New Roman"/>
          <w:sz w:val="28"/>
          <w:szCs w:val="28"/>
        </w:rPr>
        <w:t xml:space="preserve">- путем использования возможности профилактических мер на уровне </w:t>
      </w:r>
      <w:r w:rsidRPr="004135FE">
        <w:rPr>
          <w:rFonts w:ascii="Times New Roman" w:eastAsiaTheme="minorHAnsi" w:hAnsi="Times New Roman" w:cs="Times New Roman"/>
          <w:bCs/>
          <w:sz w:val="28"/>
          <w:szCs w:val="28"/>
          <w:lang w:eastAsia="en-US"/>
        </w:rPr>
        <w:t>местных исполнительных органов/</w:t>
      </w:r>
      <w:r w:rsidRPr="004135FE">
        <w:rPr>
          <w:rFonts w:ascii="Times New Roman" w:hAnsi="Times New Roman" w:cs="Times New Roman"/>
          <w:sz w:val="28"/>
          <w:szCs w:val="28"/>
        </w:rPr>
        <w:t xml:space="preserve"> акиматов, общественных организации: контроль работы по шуму от городских объектов, организация физической доступности свежих овощей, общественных тренажеров и социально важных элементов жизни для населения с СД2т, а</w:t>
      </w:r>
      <w:r w:rsidRPr="004135FE">
        <w:rPr>
          <w:rFonts w:ascii="Times New Roman" w:eastAsiaTheme="minorHAnsi" w:hAnsi="Times New Roman" w:cs="Times New Roman"/>
          <w:sz w:val="28"/>
          <w:szCs w:val="28"/>
          <w:lang w:eastAsia="en-US"/>
        </w:rPr>
        <w:t>ктивно реализовать всемирную программу</w:t>
      </w:r>
      <w:r w:rsidRPr="004135FE">
        <w:rPr>
          <w:rFonts w:ascii="Times New Roman" w:eastAsiaTheme="minorHAnsi" w:hAnsi="Times New Roman" w:cs="Times New Roman"/>
          <w:b/>
          <w:sz w:val="28"/>
          <w:szCs w:val="28"/>
          <w:lang w:eastAsia="en-US"/>
        </w:rPr>
        <w:t xml:space="preserve"> </w:t>
      </w:r>
      <w:r w:rsidRPr="004135FE">
        <w:rPr>
          <w:rFonts w:ascii="Times New Roman" w:hAnsi="Times New Roman" w:cs="Times New Roman"/>
          <w:sz w:val="28"/>
          <w:szCs w:val="28"/>
          <w:shd w:val="clear" w:color="auto" w:fill="FFFFFF"/>
        </w:rPr>
        <w:t>«Здоровый город».</w:t>
      </w:r>
      <w:r w:rsidRPr="004135FE">
        <w:rPr>
          <w:rFonts w:ascii="Times New Roman" w:hAnsi="Times New Roman" w:cs="Times New Roman"/>
          <w:sz w:val="28"/>
          <w:szCs w:val="28"/>
        </w:rPr>
        <w:t xml:space="preserve"> При необходимости моральная или материальная поддержка населения с СД2т</w:t>
      </w:r>
    </w:p>
    <w:p w14:paraId="5A06543E" w14:textId="77777777" w:rsidR="00EF4128" w:rsidRPr="004135FE" w:rsidRDefault="00EF4128" w:rsidP="004135FE">
      <w:pPr>
        <w:autoSpaceDE w:val="0"/>
        <w:autoSpaceDN w:val="0"/>
        <w:adjustRightInd w:val="0"/>
        <w:spacing w:after="0" w:line="240" w:lineRule="auto"/>
        <w:ind w:firstLine="502"/>
        <w:jc w:val="both"/>
        <w:rPr>
          <w:rFonts w:ascii="Times New Roman" w:hAnsi="Times New Roman" w:cs="Times New Roman"/>
          <w:sz w:val="28"/>
          <w:szCs w:val="28"/>
        </w:rPr>
      </w:pPr>
      <w:r w:rsidRPr="004135FE">
        <w:rPr>
          <w:rFonts w:ascii="Times New Roman" w:hAnsi="Times New Roman" w:cs="Times New Roman"/>
          <w:sz w:val="28"/>
          <w:szCs w:val="28"/>
        </w:rPr>
        <w:t xml:space="preserve">- путем использования возможности профилактических мер на уровне ПМСП: обеспечения согласованности в работе кадров, подготовленность персоналов в оказании медицинской услуги, реорганизация </w:t>
      </w:r>
      <w:r w:rsidRPr="004135FE">
        <w:rPr>
          <w:rFonts w:ascii="Times New Roman" w:eastAsia="Times New Roman" w:hAnsi="Times New Roman" w:cs="Times New Roman"/>
          <w:sz w:val="28"/>
          <w:szCs w:val="28"/>
        </w:rPr>
        <w:t>Школы Диабета,</w:t>
      </w:r>
      <w:r w:rsidRPr="004135FE">
        <w:rPr>
          <w:rFonts w:ascii="Times New Roman" w:hAnsi="Times New Roman" w:cs="Times New Roman"/>
          <w:sz w:val="28"/>
          <w:szCs w:val="28"/>
        </w:rPr>
        <w:t xml:space="preserve"> контроль рационального использование ресурсов, инфраструктуры. О</w:t>
      </w:r>
      <w:r w:rsidRPr="004135FE">
        <w:rPr>
          <w:rFonts w:ascii="Times New Roman" w:eastAsia="Times New Roman" w:hAnsi="Times New Roman" w:cs="Times New Roman"/>
          <w:sz w:val="28"/>
          <w:szCs w:val="28"/>
        </w:rPr>
        <w:t>существлять анализ и мониторинг конечных результатов в борьбе с факторами риска заболеваний</w:t>
      </w:r>
    </w:p>
    <w:p w14:paraId="3FDAA4FE" w14:textId="77777777" w:rsidR="00EF4128" w:rsidRPr="004135FE" w:rsidRDefault="00EF4128" w:rsidP="004135FE">
      <w:pPr>
        <w:spacing w:after="0" w:line="240" w:lineRule="auto"/>
        <w:ind w:firstLine="502"/>
        <w:jc w:val="both"/>
        <w:rPr>
          <w:rFonts w:ascii="Times New Roman" w:hAnsi="Times New Roman" w:cs="Times New Roman"/>
          <w:iCs/>
          <w:sz w:val="28"/>
          <w:szCs w:val="28"/>
        </w:rPr>
      </w:pPr>
      <w:r w:rsidRPr="004135FE">
        <w:rPr>
          <w:rFonts w:ascii="Times New Roman" w:eastAsia="Times New Roman" w:hAnsi="Times New Roman" w:cs="Times New Roman"/>
          <w:bCs/>
          <w:sz w:val="28"/>
          <w:szCs w:val="28"/>
        </w:rPr>
        <w:t>- путем в</w:t>
      </w:r>
      <w:r w:rsidRPr="004135FE">
        <w:rPr>
          <w:rFonts w:ascii="Times New Roman" w:hAnsi="Times New Roman" w:cs="Times New Roman"/>
          <w:sz w:val="28"/>
          <w:szCs w:val="28"/>
        </w:rPr>
        <w:t>озможности профилактических мер на уровне населения: необходимо укрепить солидарную ответственность и активное участие в укреплении и сохранении собственного здоровья.</w:t>
      </w:r>
    </w:p>
    <w:p w14:paraId="4AD603BF" w14:textId="77777777" w:rsidR="000C3621" w:rsidRPr="004135FE" w:rsidRDefault="000C3621" w:rsidP="004135FE">
      <w:pPr>
        <w:autoSpaceDE w:val="0"/>
        <w:autoSpaceDN w:val="0"/>
        <w:adjustRightInd w:val="0"/>
        <w:spacing w:after="0" w:line="240" w:lineRule="auto"/>
        <w:jc w:val="both"/>
        <w:rPr>
          <w:rFonts w:ascii="Times New Roman" w:eastAsiaTheme="minorHAnsi" w:hAnsi="Times New Roman" w:cs="Times New Roman"/>
          <w:b/>
          <w:sz w:val="28"/>
          <w:szCs w:val="28"/>
          <w:lang w:eastAsia="en-US"/>
        </w:rPr>
        <w:sectPr w:rsidR="000C3621" w:rsidRPr="004135FE" w:rsidSect="00EC71C2">
          <w:type w:val="nextColumn"/>
          <w:pgSz w:w="11906" w:h="16838"/>
          <w:pgMar w:top="1134" w:right="851" w:bottom="1134" w:left="1701" w:header="283" w:footer="283" w:gutter="0"/>
          <w:cols w:space="708"/>
          <w:docGrid w:linePitch="360"/>
        </w:sectPr>
      </w:pPr>
    </w:p>
    <w:p w14:paraId="3AAEC070" w14:textId="77777777" w:rsidR="00102D9D" w:rsidRPr="00FA5792" w:rsidRDefault="00102D9D" w:rsidP="00102D9D">
      <w:pPr>
        <w:pStyle w:val="a3"/>
        <w:tabs>
          <w:tab w:val="left" w:pos="284"/>
          <w:tab w:val="left" w:pos="426"/>
        </w:tabs>
        <w:spacing w:after="0" w:line="240" w:lineRule="auto"/>
        <w:ind w:left="0"/>
        <w:jc w:val="center"/>
        <w:rPr>
          <w:rFonts w:ascii="Times New Roman" w:hAnsi="Times New Roman" w:cs="Times New Roman"/>
          <w:b/>
          <w:bCs/>
          <w:sz w:val="28"/>
          <w:szCs w:val="28"/>
        </w:rPr>
      </w:pPr>
      <w:r w:rsidRPr="00FA5792">
        <w:rPr>
          <w:rFonts w:ascii="Times New Roman" w:hAnsi="Times New Roman" w:cs="Times New Roman"/>
          <w:b/>
          <w:bCs/>
          <w:sz w:val="28"/>
          <w:szCs w:val="28"/>
        </w:rPr>
        <w:t>СПИСОК</w:t>
      </w:r>
      <w:r w:rsidRPr="00FA5792">
        <w:rPr>
          <w:rFonts w:ascii="Times New Roman" w:hAnsi="Times New Roman" w:cs="Times New Roman"/>
          <w:b/>
          <w:bCs/>
          <w:sz w:val="28"/>
          <w:szCs w:val="28"/>
          <w:lang w:val="en-US"/>
        </w:rPr>
        <w:t xml:space="preserve"> </w:t>
      </w:r>
      <w:r w:rsidRPr="00FA5792">
        <w:rPr>
          <w:rFonts w:ascii="Times New Roman" w:hAnsi="Times New Roman" w:cs="Times New Roman"/>
          <w:b/>
          <w:bCs/>
          <w:sz w:val="28"/>
          <w:szCs w:val="28"/>
        </w:rPr>
        <w:t>ИСПОЛЬЗОВАННЫХ</w:t>
      </w:r>
      <w:r w:rsidRPr="00FA5792">
        <w:rPr>
          <w:rFonts w:ascii="Times New Roman" w:hAnsi="Times New Roman" w:cs="Times New Roman"/>
          <w:b/>
          <w:bCs/>
          <w:sz w:val="28"/>
          <w:szCs w:val="28"/>
          <w:lang w:val="en-US"/>
        </w:rPr>
        <w:t xml:space="preserve"> </w:t>
      </w:r>
      <w:r w:rsidRPr="00FA5792">
        <w:rPr>
          <w:rFonts w:ascii="Times New Roman" w:hAnsi="Times New Roman" w:cs="Times New Roman"/>
          <w:b/>
          <w:bCs/>
          <w:sz w:val="28"/>
          <w:szCs w:val="28"/>
        </w:rPr>
        <w:t>ИСТОЧНИКОВ</w:t>
      </w:r>
    </w:p>
    <w:p w14:paraId="5D195B08" w14:textId="77777777" w:rsidR="00102D9D" w:rsidRPr="00FA5792" w:rsidRDefault="00102D9D" w:rsidP="00102D9D">
      <w:pPr>
        <w:pStyle w:val="a3"/>
        <w:tabs>
          <w:tab w:val="left" w:pos="284"/>
          <w:tab w:val="left" w:pos="426"/>
        </w:tabs>
        <w:spacing w:after="0" w:line="240" w:lineRule="auto"/>
        <w:ind w:left="0" w:firstLine="709"/>
        <w:jc w:val="center"/>
        <w:rPr>
          <w:rFonts w:ascii="Times New Roman" w:hAnsi="Times New Roman" w:cs="Times New Roman"/>
          <w:sz w:val="28"/>
          <w:szCs w:val="28"/>
          <w:lang w:val="en-US"/>
        </w:rPr>
      </w:pPr>
    </w:p>
    <w:p w14:paraId="30C633A6" w14:textId="77777777" w:rsidR="00102D9D" w:rsidRPr="00FA5792" w:rsidRDefault="00102D9D" w:rsidP="00102D9D">
      <w:pPr>
        <w:pStyle w:val="a3"/>
        <w:numPr>
          <w:ilvl w:val="0"/>
          <w:numId w:val="75"/>
        </w:numPr>
        <w:tabs>
          <w:tab w:val="left" w:pos="426"/>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Всемирная Организация Здравоохранения. Глобальный доклад по диабету</w:t>
      </w:r>
      <w:r>
        <w:rPr>
          <w:rFonts w:ascii="Times New Roman" w:hAnsi="Times New Roman" w:cs="Times New Roman"/>
          <w:sz w:val="28"/>
          <w:szCs w:val="28"/>
        </w:rPr>
        <w:t>,</w:t>
      </w:r>
      <w:r w:rsidRPr="00FA5792">
        <w:rPr>
          <w:rFonts w:ascii="Times New Roman" w:hAnsi="Times New Roman" w:cs="Times New Roman"/>
          <w:sz w:val="28"/>
          <w:szCs w:val="28"/>
        </w:rPr>
        <w:t xml:space="preserve"> 2018</w:t>
      </w:r>
      <w:r>
        <w:rPr>
          <w:rFonts w:ascii="Times New Roman" w:hAnsi="Times New Roman" w:cs="Times New Roman"/>
          <w:sz w:val="28"/>
          <w:szCs w:val="28"/>
        </w:rPr>
        <w:t>.</w:t>
      </w:r>
    </w:p>
    <w:p w14:paraId="3EB836CE" w14:textId="77777777" w:rsidR="00102D9D" w:rsidRPr="00C86AF6" w:rsidRDefault="00102D9D" w:rsidP="00102D9D">
      <w:pPr>
        <w:pStyle w:val="a3"/>
        <w:numPr>
          <w:ilvl w:val="0"/>
          <w:numId w:val="75"/>
        </w:numPr>
        <w:tabs>
          <w:tab w:val="left" w:pos="426"/>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rPr>
      </w:pPr>
      <w:r w:rsidRPr="00FA5792">
        <w:rPr>
          <w:rFonts w:ascii="Times New Roman" w:hAnsi="Times New Roman" w:cs="Times New Roman"/>
          <w:sz w:val="28"/>
          <w:szCs w:val="28"/>
        </w:rPr>
        <w:t>ВОЗ публикует статистику о ведущих причинах смертности и инвалидности ‎во всем мире за период 2000</w:t>
      </w:r>
      <w:r>
        <w:rPr>
          <w:rFonts w:ascii="Times New Roman" w:hAnsi="Times New Roman" w:cs="Times New Roman"/>
          <w:sz w:val="28"/>
          <w:szCs w:val="28"/>
        </w:rPr>
        <w:t>-</w:t>
      </w:r>
      <w:r w:rsidRPr="00FA5792">
        <w:rPr>
          <w:rFonts w:ascii="Times New Roman" w:hAnsi="Times New Roman" w:cs="Times New Roman"/>
          <w:sz w:val="28"/>
          <w:szCs w:val="28"/>
        </w:rPr>
        <w:t xml:space="preserve">2019 гг.‎ </w:t>
      </w:r>
      <w:hyperlink r:id="rId122" w:history="1">
        <w:r w:rsidRPr="00453BFF">
          <w:rPr>
            <w:rStyle w:val="ab"/>
            <w:rFonts w:ascii="Times New Roman" w:eastAsia="Times New Roman" w:hAnsi="Times New Roman" w:cs="Times New Roman"/>
            <w:color w:val="auto"/>
            <w:sz w:val="28"/>
            <w:szCs w:val="28"/>
            <w:u w:val="none"/>
            <w:lang w:val="en-US"/>
          </w:rPr>
          <w:t>https</w:t>
        </w:r>
        <w:r w:rsidRPr="00C86AF6">
          <w:rPr>
            <w:rStyle w:val="ab"/>
            <w:rFonts w:ascii="Times New Roman" w:eastAsia="Times New Roman" w:hAnsi="Times New Roman" w:cs="Times New Roman"/>
            <w:color w:val="auto"/>
            <w:sz w:val="28"/>
            <w:szCs w:val="28"/>
            <w:u w:val="none"/>
          </w:rPr>
          <w:t>://</w:t>
        </w:r>
        <w:r w:rsidRPr="00453BFF">
          <w:rPr>
            <w:rStyle w:val="ab"/>
            <w:rFonts w:ascii="Times New Roman" w:eastAsia="Times New Roman" w:hAnsi="Times New Roman" w:cs="Times New Roman"/>
            <w:color w:val="auto"/>
            <w:sz w:val="28"/>
            <w:szCs w:val="28"/>
            <w:u w:val="none"/>
            <w:lang w:val="en-US"/>
          </w:rPr>
          <w:t>www</w:t>
        </w:r>
        <w:r w:rsidRPr="00C86AF6">
          <w:rPr>
            <w:rStyle w:val="ab"/>
            <w:rFonts w:ascii="Times New Roman" w:eastAsia="Times New Roman" w:hAnsi="Times New Roman" w:cs="Times New Roman"/>
            <w:color w:val="auto"/>
            <w:sz w:val="28"/>
            <w:szCs w:val="28"/>
            <w:u w:val="none"/>
          </w:rPr>
          <w:t>.</w:t>
        </w:r>
        <w:r w:rsidRPr="00453BFF">
          <w:rPr>
            <w:rStyle w:val="ab"/>
            <w:rFonts w:ascii="Times New Roman" w:eastAsia="Times New Roman" w:hAnsi="Times New Roman" w:cs="Times New Roman"/>
            <w:color w:val="auto"/>
            <w:sz w:val="28"/>
            <w:szCs w:val="28"/>
            <w:u w:val="none"/>
            <w:lang w:val="en-US"/>
          </w:rPr>
          <w:t>who</w:t>
        </w:r>
        <w:r w:rsidRPr="00C86AF6">
          <w:rPr>
            <w:rStyle w:val="ab"/>
            <w:rFonts w:ascii="Times New Roman" w:eastAsia="Times New Roman" w:hAnsi="Times New Roman" w:cs="Times New Roman"/>
            <w:color w:val="auto"/>
            <w:sz w:val="28"/>
            <w:szCs w:val="28"/>
            <w:u w:val="none"/>
          </w:rPr>
          <w:t>.</w:t>
        </w:r>
        <w:r w:rsidRPr="00453BFF">
          <w:rPr>
            <w:rStyle w:val="ab"/>
            <w:rFonts w:ascii="Times New Roman" w:eastAsia="Times New Roman" w:hAnsi="Times New Roman" w:cs="Times New Roman"/>
            <w:color w:val="auto"/>
            <w:sz w:val="28"/>
            <w:szCs w:val="28"/>
            <w:u w:val="none"/>
            <w:lang w:val="en-US"/>
          </w:rPr>
          <w:t>int</w:t>
        </w:r>
        <w:r w:rsidRPr="00C86AF6">
          <w:rPr>
            <w:rStyle w:val="ab"/>
            <w:rFonts w:ascii="Times New Roman" w:eastAsia="Times New Roman" w:hAnsi="Times New Roman" w:cs="Times New Roman"/>
            <w:color w:val="auto"/>
            <w:sz w:val="28"/>
            <w:szCs w:val="28"/>
            <w:u w:val="none"/>
          </w:rPr>
          <w:t>/</w:t>
        </w:r>
        <w:r w:rsidRPr="00453BFF">
          <w:rPr>
            <w:rStyle w:val="ab"/>
            <w:rFonts w:ascii="Times New Roman" w:eastAsia="Times New Roman" w:hAnsi="Times New Roman" w:cs="Times New Roman"/>
            <w:color w:val="auto"/>
            <w:sz w:val="28"/>
            <w:szCs w:val="28"/>
            <w:u w:val="none"/>
            <w:lang w:val="en-US"/>
          </w:rPr>
          <w:t>ru</w:t>
        </w:r>
        <w:r w:rsidRPr="00C86AF6">
          <w:rPr>
            <w:rStyle w:val="ab"/>
            <w:rFonts w:ascii="Times New Roman" w:eastAsia="Times New Roman" w:hAnsi="Times New Roman" w:cs="Times New Roman"/>
            <w:color w:val="auto"/>
            <w:sz w:val="28"/>
            <w:szCs w:val="28"/>
            <w:u w:val="none"/>
          </w:rPr>
          <w:t>/</w:t>
        </w:r>
        <w:r w:rsidRPr="00453BFF">
          <w:rPr>
            <w:rStyle w:val="ab"/>
            <w:rFonts w:ascii="Times New Roman" w:eastAsia="Times New Roman" w:hAnsi="Times New Roman" w:cs="Times New Roman"/>
            <w:color w:val="auto"/>
            <w:sz w:val="28"/>
            <w:szCs w:val="28"/>
            <w:u w:val="none"/>
            <w:lang w:val="en-US"/>
          </w:rPr>
          <w:t>news</w:t>
        </w:r>
        <w:r w:rsidRPr="00C86AF6">
          <w:rPr>
            <w:rStyle w:val="ab"/>
            <w:rFonts w:ascii="Times New Roman" w:eastAsia="Times New Roman" w:hAnsi="Times New Roman" w:cs="Times New Roman"/>
            <w:color w:val="auto"/>
            <w:sz w:val="28"/>
            <w:szCs w:val="28"/>
            <w:u w:val="none"/>
          </w:rPr>
          <w:t>/</w:t>
        </w:r>
        <w:r w:rsidRPr="00453BFF">
          <w:rPr>
            <w:rStyle w:val="ab"/>
            <w:rFonts w:ascii="Times New Roman" w:eastAsia="Times New Roman" w:hAnsi="Times New Roman" w:cs="Times New Roman"/>
            <w:color w:val="auto"/>
            <w:sz w:val="28"/>
            <w:szCs w:val="28"/>
            <w:u w:val="none"/>
            <w:lang w:val="en-US"/>
          </w:rPr>
          <w:t>item</w:t>
        </w:r>
        <w:r w:rsidRPr="00C86AF6">
          <w:rPr>
            <w:rStyle w:val="ab"/>
            <w:rFonts w:ascii="Times New Roman" w:eastAsia="Times New Roman" w:hAnsi="Times New Roman" w:cs="Times New Roman"/>
            <w:color w:val="auto"/>
            <w:sz w:val="28"/>
            <w:szCs w:val="28"/>
            <w:u w:val="none"/>
          </w:rPr>
          <w:t>/09-12-2020-</w:t>
        </w:r>
        <w:r w:rsidRPr="00453BFF">
          <w:rPr>
            <w:rStyle w:val="ab"/>
            <w:rFonts w:ascii="Times New Roman" w:eastAsia="Times New Roman" w:hAnsi="Times New Roman" w:cs="Times New Roman"/>
            <w:color w:val="auto"/>
            <w:sz w:val="28"/>
            <w:szCs w:val="28"/>
            <w:u w:val="none"/>
            <w:lang w:val="en-US"/>
          </w:rPr>
          <w:t>who</w:t>
        </w:r>
        <w:r w:rsidRPr="00C86AF6">
          <w:rPr>
            <w:rStyle w:val="ab"/>
            <w:rFonts w:ascii="Times New Roman" w:eastAsia="Times New Roman" w:hAnsi="Times New Roman" w:cs="Times New Roman"/>
            <w:color w:val="auto"/>
            <w:sz w:val="28"/>
            <w:szCs w:val="28"/>
            <w:u w:val="none"/>
          </w:rPr>
          <w:t>-</w:t>
        </w:r>
        <w:r w:rsidRPr="00453BFF">
          <w:rPr>
            <w:rStyle w:val="ab"/>
            <w:rFonts w:ascii="Times New Roman" w:eastAsia="Times New Roman" w:hAnsi="Times New Roman" w:cs="Times New Roman"/>
            <w:color w:val="auto"/>
            <w:sz w:val="28"/>
            <w:szCs w:val="28"/>
            <w:u w:val="none"/>
            <w:lang w:val="en-US"/>
          </w:rPr>
          <w:t>reveals</w:t>
        </w:r>
        <w:r w:rsidRPr="00C86AF6">
          <w:rPr>
            <w:rStyle w:val="ab"/>
            <w:rFonts w:ascii="Times New Roman" w:eastAsia="Times New Roman" w:hAnsi="Times New Roman" w:cs="Times New Roman"/>
            <w:color w:val="auto"/>
            <w:sz w:val="28"/>
            <w:szCs w:val="28"/>
            <w:u w:val="none"/>
          </w:rPr>
          <w:t>-</w:t>
        </w:r>
        <w:r w:rsidRPr="00453BFF">
          <w:rPr>
            <w:rStyle w:val="ab"/>
            <w:rFonts w:ascii="Times New Roman" w:eastAsia="Times New Roman" w:hAnsi="Times New Roman" w:cs="Times New Roman"/>
            <w:color w:val="auto"/>
            <w:sz w:val="28"/>
            <w:szCs w:val="28"/>
            <w:u w:val="none"/>
            <w:lang w:val="en-US"/>
          </w:rPr>
          <w:t>leading</w:t>
        </w:r>
        <w:r w:rsidRPr="00C86AF6">
          <w:rPr>
            <w:rStyle w:val="ab"/>
            <w:rFonts w:ascii="Times New Roman" w:eastAsia="Times New Roman" w:hAnsi="Times New Roman" w:cs="Times New Roman"/>
            <w:color w:val="auto"/>
            <w:sz w:val="28"/>
            <w:szCs w:val="28"/>
            <w:u w:val="none"/>
          </w:rPr>
          <w:t>-</w:t>
        </w:r>
        <w:r w:rsidRPr="00453BFF">
          <w:rPr>
            <w:rStyle w:val="ab"/>
            <w:rFonts w:ascii="Times New Roman" w:eastAsia="Times New Roman" w:hAnsi="Times New Roman" w:cs="Times New Roman"/>
            <w:color w:val="auto"/>
            <w:sz w:val="28"/>
            <w:szCs w:val="28"/>
            <w:u w:val="none"/>
            <w:lang w:val="en-US"/>
          </w:rPr>
          <w:t>causes</w:t>
        </w:r>
        <w:r w:rsidRPr="00C86AF6">
          <w:rPr>
            <w:rStyle w:val="ab"/>
            <w:rFonts w:ascii="Times New Roman" w:eastAsia="Times New Roman" w:hAnsi="Times New Roman" w:cs="Times New Roman"/>
            <w:color w:val="auto"/>
            <w:sz w:val="28"/>
            <w:szCs w:val="28"/>
            <w:u w:val="none"/>
          </w:rPr>
          <w:t>-</w:t>
        </w:r>
        <w:r w:rsidRPr="00453BFF">
          <w:rPr>
            <w:rStyle w:val="ab"/>
            <w:rFonts w:ascii="Times New Roman" w:eastAsia="Times New Roman" w:hAnsi="Times New Roman" w:cs="Times New Roman"/>
            <w:color w:val="auto"/>
            <w:sz w:val="28"/>
            <w:szCs w:val="28"/>
            <w:u w:val="none"/>
            <w:lang w:val="en-US"/>
          </w:rPr>
          <w:t>of</w:t>
        </w:r>
        <w:r w:rsidRPr="00C86AF6">
          <w:rPr>
            <w:rStyle w:val="ab"/>
            <w:rFonts w:ascii="Times New Roman" w:eastAsia="Times New Roman" w:hAnsi="Times New Roman" w:cs="Times New Roman"/>
            <w:color w:val="auto"/>
            <w:sz w:val="28"/>
            <w:szCs w:val="28"/>
            <w:u w:val="none"/>
          </w:rPr>
          <w:t>-</w:t>
        </w:r>
        <w:r w:rsidRPr="00453BFF">
          <w:rPr>
            <w:rStyle w:val="ab"/>
            <w:rFonts w:ascii="Times New Roman" w:eastAsia="Times New Roman" w:hAnsi="Times New Roman" w:cs="Times New Roman"/>
            <w:color w:val="auto"/>
            <w:sz w:val="28"/>
            <w:szCs w:val="28"/>
            <w:u w:val="none"/>
            <w:lang w:val="en-US"/>
          </w:rPr>
          <w:t>death</w:t>
        </w:r>
        <w:r w:rsidRPr="00C86AF6">
          <w:rPr>
            <w:rStyle w:val="ab"/>
            <w:rFonts w:ascii="Times New Roman" w:eastAsia="Times New Roman" w:hAnsi="Times New Roman" w:cs="Times New Roman"/>
            <w:color w:val="auto"/>
            <w:sz w:val="28"/>
            <w:szCs w:val="28"/>
            <w:u w:val="none"/>
          </w:rPr>
          <w:t>-</w:t>
        </w:r>
        <w:r w:rsidRPr="00453BFF">
          <w:rPr>
            <w:rStyle w:val="ab"/>
            <w:rFonts w:ascii="Times New Roman" w:eastAsia="Times New Roman" w:hAnsi="Times New Roman" w:cs="Times New Roman"/>
            <w:color w:val="auto"/>
            <w:sz w:val="28"/>
            <w:szCs w:val="28"/>
            <w:u w:val="none"/>
            <w:lang w:val="en-US"/>
          </w:rPr>
          <w:t>and</w:t>
        </w:r>
        <w:r w:rsidRPr="00C86AF6">
          <w:rPr>
            <w:rStyle w:val="ab"/>
            <w:rFonts w:ascii="Times New Roman" w:eastAsia="Times New Roman" w:hAnsi="Times New Roman" w:cs="Times New Roman"/>
            <w:color w:val="auto"/>
            <w:sz w:val="28"/>
            <w:szCs w:val="28"/>
            <w:u w:val="none"/>
          </w:rPr>
          <w:t>-</w:t>
        </w:r>
        <w:r w:rsidRPr="00453BFF">
          <w:rPr>
            <w:rStyle w:val="ab"/>
            <w:rFonts w:ascii="Times New Roman" w:eastAsia="Times New Roman" w:hAnsi="Times New Roman" w:cs="Times New Roman"/>
            <w:color w:val="auto"/>
            <w:sz w:val="28"/>
            <w:szCs w:val="28"/>
            <w:u w:val="none"/>
            <w:lang w:val="en-US"/>
          </w:rPr>
          <w:t>disability</w:t>
        </w:r>
        <w:r w:rsidRPr="00C86AF6">
          <w:rPr>
            <w:rStyle w:val="ab"/>
            <w:rFonts w:ascii="Times New Roman" w:eastAsia="Times New Roman" w:hAnsi="Times New Roman" w:cs="Times New Roman"/>
            <w:color w:val="auto"/>
            <w:sz w:val="28"/>
            <w:szCs w:val="28"/>
            <w:u w:val="none"/>
          </w:rPr>
          <w:t>-</w:t>
        </w:r>
        <w:r w:rsidRPr="00453BFF">
          <w:rPr>
            <w:rStyle w:val="ab"/>
            <w:rFonts w:ascii="Times New Roman" w:eastAsia="Times New Roman" w:hAnsi="Times New Roman" w:cs="Times New Roman"/>
            <w:color w:val="auto"/>
            <w:sz w:val="28"/>
            <w:szCs w:val="28"/>
            <w:u w:val="none"/>
            <w:lang w:val="en-US"/>
          </w:rPr>
          <w:t>worldwide</w:t>
        </w:r>
        <w:r w:rsidRPr="00C86AF6">
          <w:rPr>
            <w:rStyle w:val="ab"/>
            <w:rFonts w:ascii="Times New Roman" w:eastAsia="Times New Roman" w:hAnsi="Times New Roman" w:cs="Times New Roman"/>
            <w:color w:val="auto"/>
            <w:sz w:val="28"/>
            <w:szCs w:val="28"/>
            <w:u w:val="none"/>
          </w:rPr>
          <w:t>-2000-2019</w:t>
        </w:r>
      </w:hyperlink>
      <w:r w:rsidRPr="00C86AF6">
        <w:rPr>
          <w:rStyle w:val="ab"/>
          <w:rFonts w:ascii="Times New Roman" w:eastAsia="Times New Roman" w:hAnsi="Times New Roman" w:cs="Times New Roman"/>
          <w:color w:val="auto"/>
          <w:sz w:val="28"/>
          <w:szCs w:val="28"/>
          <w:u w:val="none"/>
        </w:rPr>
        <w:t>.</w:t>
      </w:r>
    </w:p>
    <w:p w14:paraId="3C1B4BF6" w14:textId="77777777" w:rsidR="00102D9D" w:rsidRPr="00FA5792" w:rsidRDefault="00102D9D" w:rsidP="00102D9D">
      <w:pPr>
        <w:pStyle w:val="a3"/>
        <w:numPr>
          <w:ilvl w:val="0"/>
          <w:numId w:val="75"/>
        </w:numPr>
        <w:tabs>
          <w:tab w:val="left" w:pos="426"/>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rPr>
      </w:pPr>
      <w:r w:rsidRPr="00FA5792">
        <w:rPr>
          <w:rFonts w:ascii="Times New Roman" w:hAnsi="Times New Roman" w:cs="Times New Roman"/>
          <w:sz w:val="28"/>
          <w:szCs w:val="28"/>
        </w:rPr>
        <w:t>Клинический протокол диагностики и лечения. Сахарный диабет 2 типа.</w:t>
      </w:r>
      <w:r>
        <w:rPr>
          <w:rFonts w:ascii="Times New Roman" w:hAnsi="Times New Roman" w:cs="Times New Roman"/>
          <w:sz w:val="28"/>
          <w:szCs w:val="28"/>
        </w:rPr>
        <w:t xml:space="preserve"> - </w:t>
      </w:r>
      <w:r w:rsidRPr="00FA5792">
        <w:rPr>
          <w:rFonts w:ascii="Times New Roman" w:hAnsi="Times New Roman" w:cs="Times New Roman"/>
          <w:sz w:val="28"/>
          <w:szCs w:val="28"/>
        </w:rPr>
        <w:t>04 июля 2014 года</w:t>
      </w:r>
      <w:r>
        <w:rPr>
          <w:rFonts w:ascii="Times New Roman" w:hAnsi="Times New Roman" w:cs="Times New Roman"/>
          <w:sz w:val="28"/>
          <w:szCs w:val="28"/>
        </w:rPr>
        <w:t>.</w:t>
      </w:r>
    </w:p>
    <w:p w14:paraId="7E3DEF02" w14:textId="77777777" w:rsidR="00102D9D" w:rsidRPr="00FA5792" w:rsidRDefault="001B62DB" w:rsidP="00102D9D">
      <w:pPr>
        <w:pStyle w:val="a3"/>
        <w:numPr>
          <w:ilvl w:val="0"/>
          <w:numId w:val="75"/>
        </w:numPr>
        <w:tabs>
          <w:tab w:val="left" w:pos="426"/>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rPr>
      </w:pPr>
      <w:hyperlink r:id="rId123" w:history="1">
        <w:r w:rsidR="00102D9D" w:rsidRPr="00FA5792">
          <w:rPr>
            <w:rStyle w:val="ab"/>
            <w:rFonts w:ascii="Times New Roman" w:hAnsi="Times New Roman" w:cs="Times New Roman"/>
            <w:color w:val="auto"/>
            <w:sz w:val="28"/>
            <w:szCs w:val="28"/>
            <w:u w:val="none"/>
          </w:rPr>
          <w:t>https://diabetesatlas.org/2018</w:t>
        </w:r>
      </w:hyperlink>
      <w:r w:rsidR="00102D9D">
        <w:rPr>
          <w:rStyle w:val="ab"/>
          <w:rFonts w:ascii="Times New Roman" w:hAnsi="Times New Roman" w:cs="Times New Roman"/>
          <w:color w:val="auto"/>
          <w:sz w:val="28"/>
          <w:szCs w:val="28"/>
          <w:u w:val="none"/>
        </w:rPr>
        <w:t>.</w:t>
      </w:r>
    </w:p>
    <w:p w14:paraId="29072D58" w14:textId="77777777" w:rsidR="00102D9D" w:rsidRPr="00FA5792" w:rsidRDefault="00102D9D" w:rsidP="00102D9D">
      <w:pPr>
        <w:pStyle w:val="a3"/>
        <w:numPr>
          <w:ilvl w:val="0"/>
          <w:numId w:val="75"/>
        </w:numPr>
        <w:tabs>
          <w:tab w:val="left" w:pos="426"/>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val="en-US"/>
        </w:rPr>
      </w:pPr>
      <w:r w:rsidRPr="00FA5792">
        <w:rPr>
          <w:rFonts w:ascii="Times New Roman" w:eastAsiaTheme="minorHAnsi" w:hAnsi="Times New Roman" w:cs="Times New Roman"/>
          <w:sz w:val="28"/>
          <w:szCs w:val="28"/>
          <w:lang w:val="en-US" w:eastAsia="en-US"/>
        </w:rPr>
        <w:t xml:space="preserve">WHO (2013) Global health observatory - data repository [Online]. </w:t>
      </w:r>
      <w:hyperlink r:id="rId124" w:history="1">
        <w:r w:rsidRPr="00FA5792">
          <w:rPr>
            <w:rStyle w:val="ab"/>
            <w:rFonts w:ascii="Times New Roman" w:eastAsiaTheme="minorHAnsi" w:hAnsi="Times New Roman" w:cs="Times New Roman"/>
            <w:color w:val="auto"/>
            <w:sz w:val="28"/>
            <w:szCs w:val="28"/>
            <w:u w:val="none"/>
            <w:lang w:val="en-US" w:eastAsia="en-US"/>
          </w:rPr>
          <w:t>http://apps.who.int/ghodata/files/84/ghodata.html</w:t>
        </w:r>
      </w:hyperlink>
      <w:r w:rsidRPr="00FA5792">
        <w:rPr>
          <w:rFonts w:ascii="Times New Roman" w:eastAsiaTheme="minorHAnsi" w:hAnsi="Times New Roman" w:cs="Times New Roman"/>
          <w:sz w:val="28"/>
          <w:szCs w:val="28"/>
          <w:lang w:val="en-US" w:eastAsia="en-US"/>
        </w:rPr>
        <w:t>.</w:t>
      </w:r>
    </w:p>
    <w:p w14:paraId="13634823" w14:textId="77777777" w:rsidR="00102D9D" w:rsidRPr="00FA5792" w:rsidRDefault="00102D9D" w:rsidP="00102D9D">
      <w:pPr>
        <w:pStyle w:val="a3"/>
        <w:numPr>
          <w:ilvl w:val="0"/>
          <w:numId w:val="75"/>
        </w:numPr>
        <w:tabs>
          <w:tab w:val="left" w:pos="426"/>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val="en-US"/>
        </w:rPr>
      </w:pPr>
      <w:r w:rsidRPr="00FA5792">
        <w:rPr>
          <w:rFonts w:ascii="Times New Roman" w:eastAsiaTheme="minorHAnsi" w:hAnsi="Times New Roman" w:cs="Times New Roman"/>
          <w:sz w:val="28"/>
          <w:szCs w:val="28"/>
          <w:lang w:val="en-US" w:eastAsia="en-US"/>
        </w:rPr>
        <w:t>Ablaikhanova N</w:t>
      </w:r>
      <w:r w:rsidRPr="00453BFF">
        <w:rPr>
          <w:rFonts w:ascii="Times New Roman" w:eastAsiaTheme="minorHAnsi" w:hAnsi="Times New Roman" w:cs="Times New Roman"/>
          <w:sz w:val="28"/>
          <w:szCs w:val="28"/>
          <w:lang w:val="en-US" w:eastAsia="en-US"/>
        </w:rPr>
        <w:t>.</w:t>
      </w:r>
      <w:r w:rsidRPr="00FA5792">
        <w:rPr>
          <w:rFonts w:ascii="Times New Roman" w:eastAsiaTheme="minorHAnsi" w:hAnsi="Times New Roman" w:cs="Times New Roman"/>
          <w:sz w:val="28"/>
          <w:szCs w:val="28"/>
          <w:lang w:val="en-US" w:eastAsia="en-US"/>
        </w:rPr>
        <w:t>T, Yessenbekova A</w:t>
      </w:r>
      <w:r w:rsidRPr="00453BFF">
        <w:rPr>
          <w:rFonts w:ascii="Times New Roman" w:eastAsiaTheme="minorHAnsi" w:hAnsi="Times New Roman" w:cs="Times New Roman"/>
          <w:sz w:val="28"/>
          <w:szCs w:val="28"/>
          <w:lang w:val="en-US" w:eastAsia="en-US"/>
        </w:rPr>
        <w:t>.</w:t>
      </w:r>
      <w:r w:rsidRPr="00FA5792">
        <w:rPr>
          <w:rFonts w:ascii="Times New Roman" w:eastAsiaTheme="minorHAnsi" w:hAnsi="Times New Roman" w:cs="Times New Roman"/>
          <w:sz w:val="28"/>
          <w:szCs w:val="28"/>
          <w:lang w:val="en-US" w:eastAsia="en-US"/>
        </w:rPr>
        <w:t>Y, Tazhiyeva A</w:t>
      </w:r>
      <w:r w:rsidRPr="00453BFF">
        <w:rPr>
          <w:rFonts w:ascii="Times New Roman" w:eastAsiaTheme="minorHAnsi" w:hAnsi="Times New Roman" w:cs="Times New Roman"/>
          <w:sz w:val="28"/>
          <w:szCs w:val="28"/>
          <w:lang w:val="en-US" w:eastAsia="en-US"/>
        </w:rPr>
        <w:t>.</w:t>
      </w:r>
      <w:r w:rsidRPr="00FA5792">
        <w:rPr>
          <w:rFonts w:ascii="Times New Roman" w:eastAsiaTheme="minorHAnsi" w:hAnsi="Times New Roman" w:cs="Times New Roman"/>
          <w:sz w:val="28"/>
          <w:szCs w:val="28"/>
          <w:lang w:val="en-US" w:eastAsia="en-US"/>
        </w:rPr>
        <w:t>, Yessimsiitova Z</w:t>
      </w:r>
      <w:r w:rsidRPr="00453BFF">
        <w:rPr>
          <w:rFonts w:ascii="Times New Roman" w:eastAsiaTheme="minorHAnsi" w:hAnsi="Times New Roman" w:cs="Times New Roman"/>
          <w:sz w:val="28"/>
          <w:szCs w:val="28"/>
          <w:lang w:val="en-US" w:eastAsia="en-US"/>
        </w:rPr>
        <w:t>.</w:t>
      </w:r>
      <w:r w:rsidRPr="00FA5792">
        <w:rPr>
          <w:rFonts w:ascii="Times New Roman" w:eastAsiaTheme="minorHAnsi" w:hAnsi="Times New Roman" w:cs="Times New Roman"/>
          <w:sz w:val="28"/>
          <w:szCs w:val="28"/>
          <w:lang w:val="en-US" w:eastAsia="en-US"/>
        </w:rPr>
        <w:t>B, Saidakhmetova A</w:t>
      </w:r>
      <w:r w:rsidRPr="00453BFF">
        <w:rPr>
          <w:rFonts w:ascii="Times New Roman" w:eastAsiaTheme="minorHAnsi" w:hAnsi="Times New Roman" w:cs="Times New Roman"/>
          <w:sz w:val="28"/>
          <w:szCs w:val="28"/>
          <w:lang w:val="en-US" w:eastAsia="en-US"/>
        </w:rPr>
        <w:t>.</w:t>
      </w:r>
      <w:r w:rsidRPr="00FA5792">
        <w:rPr>
          <w:rFonts w:ascii="Times New Roman" w:eastAsiaTheme="minorHAnsi" w:hAnsi="Times New Roman" w:cs="Times New Roman"/>
          <w:sz w:val="28"/>
          <w:szCs w:val="28"/>
          <w:lang w:val="en-US" w:eastAsia="en-US"/>
        </w:rPr>
        <w:t>K, Malibayeva A</w:t>
      </w:r>
      <w:r w:rsidRPr="00453BFF">
        <w:rPr>
          <w:rFonts w:ascii="Times New Roman" w:eastAsiaTheme="minorHAnsi" w:hAnsi="Times New Roman" w:cs="Times New Roman"/>
          <w:sz w:val="28"/>
          <w:szCs w:val="28"/>
          <w:lang w:val="en-US" w:eastAsia="en-US"/>
        </w:rPr>
        <w:t>.</w:t>
      </w:r>
      <w:r w:rsidRPr="00FA5792">
        <w:rPr>
          <w:rFonts w:ascii="Times New Roman" w:eastAsiaTheme="minorHAnsi" w:hAnsi="Times New Roman" w:cs="Times New Roman"/>
          <w:sz w:val="28"/>
          <w:szCs w:val="28"/>
          <w:lang w:val="en-US" w:eastAsia="en-US"/>
        </w:rPr>
        <w:t>E, Sanbaeva B</w:t>
      </w:r>
      <w:r w:rsidRPr="00453BFF">
        <w:rPr>
          <w:rFonts w:ascii="Times New Roman" w:eastAsiaTheme="minorHAnsi" w:hAnsi="Times New Roman" w:cs="Times New Roman"/>
          <w:sz w:val="28"/>
          <w:szCs w:val="28"/>
          <w:lang w:val="en-US" w:eastAsia="en-US"/>
        </w:rPr>
        <w:t>.</w:t>
      </w:r>
      <w:r w:rsidRPr="00FA5792">
        <w:rPr>
          <w:rFonts w:ascii="Times New Roman" w:eastAsiaTheme="minorHAnsi" w:hAnsi="Times New Roman" w:cs="Times New Roman"/>
          <w:sz w:val="28"/>
          <w:szCs w:val="28"/>
          <w:lang w:val="en-US" w:eastAsia="en-US"/>
        </w:rPr>
        <w:t>J, Molsadykkyzy M. Issues of Type 2 Diabetes Disease Effective Treatment in Kazakhstan</w:t>
      </w:r>
      <w:r>
        <w:rPr>
          <w:rFonts w:ascii="Times New Roman" w:eastAsiaTheme="minorHAnsi" w:hAnsi="Times New Roman" w:cs="Times New Roman"/>
          <w:sz w:val="28"/>
          <w:szCs w:val="28"/>
          <w:lang w:val="en-US" w:eastAsia="en-US"/>
        </w:rPr>
        <w:t xml:space="preserve"> //</w:t>
      </w:r>
      <w:r w:rsidRPr="00FA5792">
        <w:rPr>
          <w:rFonts w:ascii="Times New Roman" w:eastAsiaTheme="minorHAnsi" w:hAnsi="Times New Roman" w:cs="Times New Roman"/>
          <w:sz w:val="28"/>
          <w:szCs w:val="28"/>
          <w:lang w:val="en-US" w:eastAsia="en-US"/>
        </w:rPr>
        <w:t xml:space="preserve"> </w:t>
      </w:r>
      <w:r w:rsidRPr="00FA5792">
        <w:rPr>
          <w:rFonts w:ascii="Times New Roman" w:eastAsiaTheme="minorHAnsi" w:hAnsi="Times New Roman" w:cs="Times New Roman"/>
          <w:i/>
          <w:iCs/>
          <w:sz w:val="28"/>
          <w:szCs w:val="28"/>
          <w:lang w:val="en-US" w:eastAsia="en-US"/>
        </w:rPr>
        <w:t>Journal</w:t>
      </w:r>
      <w:r w:rsidRPr="00453BFF">
        <w:rPr>
          <w:rFonts w:ascii="Times New Roman" w:eastAsiaTheme="minorHAnsi" w:hAnsi="Times New Roman" w:cs="Times New Roman"/>
          <w:i/>
          <w:iCs/>
          <w:sz w:val="28"/>
          <w:szCs w:val="28"/>
          <w:lang w:val="en-US" w:eastAsia="en-US"/>
        </w:rPr>
        <w:t xml:space="preserve"> </w:t>
      </w:r>
      <w:r w:rsidRPr="00FA5792">
        <w:rPr>
          <w:rFonts w:ascii="Times New Roman" w:eastAsiaTheme="minorHAnsi" w:hAnsi="Times New Roman" w:cs="Times New Roman"/>
          <w:i/>
          <w:iCs/>
          <w:sz w:val="28"/>
          <w:szCs w:val="28"/>
          <w:lang w:val="en-US" w:eastAsia="en-US"/>
        </w:rPr>
        <w:t>of</w:t>
      </w:r>
      <w:r w:rsidRPr="00453BFF">
        <w:rPr>
          <w:rFonts w:ascii="Times New Roman" w:eastAsiaTheme="minorHAnsi" w:hAnsi="Times New Roman" w:cs="Times New Roman"/>
          <w:i/>
          <w:iCs/>
          <w:sz w:val="28"/>
          <w:szCs w:val="28"/>
          <w:lang w:val="en-US" w:eastAsia="en-US"/>
        </w:rPr>
        <w:t xml:space="preserve"> </w:t>
      </w:r>
      <w:r w:rsidRPr="00FA5792">
        <w:rPr>
          <w:rFonts w:ascii="Times New Roman" w:eastAsiaTheme="minorHAnsi" w:hAnsi="Times New Roman" w:cs="Times New Roman"/>
          <w:i/>
          <w:iCs/>
          <w:sz w:val="28"/>
          <w:szCs w:val="28"/>
          <w:lang w:val="en-US" w:eastAsia="en-US"/>
        </w:rPr>
        <w:t>Pharmacy</w:t>
      </w:r>
      <w:r w:rsidRPr="00453BFF">
        <w:rPr>
          <w:rFonts w:ascii="Times New Roman" w:eastAsiaTheme="minorHAnsi" w:hAnsi="Times New Roman" w:cs="Times New Roman"/>
          <w:i/>
          <w:iCs/>
          <w:sz w:val="28"/>
          <w:szCs w:val="28"/>
          <w:lang w:val="en-US" w:eastAsia="en-US"/>
        </w:rPr>
        <w:t xml:space="preserve"> </w:t>
      </w:r>
      <w:r w:rsidRPr="00FA5792">
        <w:rPr>
          <w:rFonts w:ascii="Times New Roman" w:eastAsiaTheme="minorHAnsi" w:hAnsi="Times New Roman" w:cs="Times New Roman"/>
          <w:i/>
          <w:iCs/>
          <w:sz w:val="28"/>
          <w:szCs w:val="28"/>
          <w:lang w:val="en-US" w:eastAsia="en-US"/>
        </w:rPr>
        <w:t>and</w:t>
      </w:r>
      <w:r w:rsidRPr="00453BFF">
        <w:rPr>
          <w:rFonts w:ascii="Times New Roman" w:eastAsiaTheme="minorHAnsi" w:hAnsi="Times New Roman" w:cs="Times New Roman"/>
          <w:i/>
          <w:iCs/>
          <w:sz w:val="28"/>
          <w:szCs w:val="28"/>
          <w:lang w:val="en-US" w:eastAsia="en-US"/>
        </w:rPr>
        <w:t xml:space="preserve"> Nutrition Sciences. – </w:t>
      </w:r>
      <w:r w:rsidRPr="00453BFF">
        <w:rPr>
          <w:rFonts w:ascii="Times New Roman" w:eastAsiaTheme="minorHAnsi" w:hAnsi="Times New Roman" w:cs="Times New Roman"/>
          <w:sz w:val="28"/>
          <w:szCs w:val="28"/>
          <w:lang w:val="en-US" w:eastAsia="en-US"/>
        </w:rPr>
        <w:t xml:space="preserve">2020. -№ 10. - </w:t>
      </w:r>
      <w:r>
        <w:rPr>
          <w:rFonts w:ascii="Times New Roman" w:eastAsiaTheme="minorHAnsi" w:hAnsi="Times New Roman" w:cs="Times New Roman"/>
          <w:sz w:val="28"/>
          <w:szCs w:val="28"/>
          <w:lang w:val="en-US" w:eastAsia="en-US"/>
        </w:rPr>
        <w:t>P</w:t>
      </w:r>
      <w:r w:rsidRPr="00453BFF">
        <w:rPr>
          <w:rFonts w:ascii="Times New Roman" w:eastAsiaTheme="minorHAnsi" w:hAnsi="Times New Roman" w:cs="Times New Roman"/>
          <w:sz w:val="28"/>
          <w:szCs w:val="28"/>
          <w:lang w:val="en-US" w:eastAsia="en-US"/>
        </w:rPr>
        <w:t>. 116-122.</w:t>
      </w:r>
    </w:p>
    <w:p w14:paraId="62D31EE9" w14:textId="77777777" w:rsidR="00102D9D" w:rsidRPr="00FA5792" w:rsidRDefault="00102D9D" w:rsidP="00102D9D">
      <w:pPr>
        <w:pStyle w:val="a3"/>
        <w:numPr>
          <w:ilvl w:val="0"/>
          <w:numId w:val="75"/>
        </w:numPr>
        <w:tabs>
          <w:tab w:val="left" w:pos="426"/>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val="en-US"/>
        </w:rPr>
      </w:pPr>
      <w:r w:rsidRPr="00FA5792">
        <w:rPr>
          <w:rFonts w:ascii="Times New Roman" w:eastAsia="ArialMT" w:hAnsi="Times New Roman" w:cs="Times New Roman"/>
          <w:sz w:val="28"/>
          <w:szCs w:val="28"/>
          <w:lang w:eastAsia="en-US"/>
        </w:rPr>
        <w:t xml:space="preserve">Руководство по борьбе с диабетом - IDF Diabetes Atlas 2019 https://www.diabetesatlas.org › resources › material.  </w:t>
      </w:r>
    </w:p>
    <w:p w14:paraId="5855B353" w14:textId="77777777" w:rsidR="00102D9D" w:rsidRPr="00FA5792" w:rsidRDefault="00102D9D" w:rsidP="00102D9D">
      <w:pPr>
        <w:pStyle w:val="a3"/>
        <w:numPr>
          <w:ilvl w:val="0"/>
          <w:numId w:val="75"/>
        </w:numPr>
        <w:tabs>
          <w:tab w:val="left" w:pos="426"/>
          <w:tab w:val="left" w:pos="993"/>
        </w:tabs>
        <w:spacing w:after="0" w:line="240" w:lineRule="auto"/>
        <w:ind w:left="0" w:firstLine="709"/>
        <w:jc w:val="both"/>
        <w:rPr>
          <w:rFonts w:ascii="Times New Roman" w:eastAsia="ArialMT" w:hAnsi="Times New Roman" w:cs="Times New Roman"/>
          <w:sz w:val="28"/>
          <w:szCs w:val="28"/>
          <w:lang w:eastAsia="en-US"/>
        </w:rPr>
      </w:pPr>
      <w:r w:rsidRPr="00FA5792">
        <w:rPr>
          <w:rFonts w:ascii="Times New Roman" w:hAnsi="Times New Roman" w:cs="Times New Roman"/>
          <w:bCs/>
          <w:sz w:val="28"/>
          <w:szCs w:val="28"/>
        </w:rPr>
        <w:t>Алгоритмы специализированной медицинской помощи больным сахарным диабетом</w:t>
      </w:r>
      <w:r>
        <w:rPr>
          <w:rFonts w:ascii="Times New Roman" w:hAnsi="Times New Roman" w:cs="Times New Roman"/>
          <w:bCs/>
          <w:sz w:val="28"/>
          <w:szCs w:val="28"/>
        </w:rPr>
        <w:t xml:space="preserve"> </w:t>
      </w:r>
      <w:r w:rsidRPr="00FA5792">
        <w:rPr>
          <w:rFonts w:ascii="Times New Roman" w:hAnsi="Times New Roman" w:cs="Times New Roman"/>
          <w:sz w:val="28"/>
          <w:szCs w:val="28"/>
        </w:rPr>
        <w:t xml:space="preserve">/ </w:t>
      </w:r>
      <w:r>
        <w:rPr>
          <w:rFonts w:ascii="Times New Roman" w:hAnsi="Times New Roman" w:cs="Times New Roman"/>
          <w:sz w:val="28"/>
          <w:szCs w:val="28"/>
        </w:rPr>
        <w:t>п</w:t>
      </w:r>
      <w:r w:rsidRPr="00FA5792">
        <w:rPr>
          <w:rFonts w:ascii="Times New Roman" w:hAnsi="Times New Roman" w:cs="Times New Roman"/>
          <w:sz w:val="28"/>
          <w:szCs w:val="28"/>
        </w:rPr>
        <w:t>од редакцией И.И.Дедова, М.В.Шестаковой, А.Ю. Майорова.</w:t>
      </w:r>
      <w:r>
        <w:rPr>
          <w:rFonts w:ascii="Times New Roman" w:hAnsi="Times New Roman" w:cs="Times New Roman"/>
          <w:sz w:val="28"/>
          <w:szCs w:val="28"/>
        </w:rPr>
        <w:t xml:space="preserve"> </w:t>
      </w:r>
      <w:r w:rsidRPr="00FA5792">
        <w:rPr>
          <w:rFonts w:ascii="Times New Roman" w:hAnsi="Times New Roman" w:cs="Times New Roman"/>
          <w:sz w:val="28"/>
          <w:szCs w:val="28"/>
        </w:rPr>
        <w:t>–</w:t>
      </w:r>
      <w:r>
        <w:rPr>
          <w:rFonts w:ascii="Times New Roman" w:hAnsi="Times New Roman" w:cs="Times New Roman"/>
          <w:sz w:val="28"/>
          <w:szCs w:val="28"/>
        </w:rPr>
        <w:t xml:space="preserve"> </w:t>
      </w:r>
      <w:r w:rsidRPr="00FA5792">
        <w:rPr>
          <w:rFonts w:ascii="Times New Roman" w:hAnsi="Times New Roman" w:cs="Times New Roman"/>
          <w:sz w:val="28"/>
          <w:szCs w:val="28"/>
        </w:rPr>
        <w:t>8-й выпуск (дополненный). –</w:t>
      </w:r>
      <w:r>
        <w:rPr>
          <w:rFonts w:ascii="Times New Roman" w:hAnsi="Times New Roman" w:cs="Times New Roman"/>
          <w:sz w:val="28"/>
          <w:szCs w:val="28"/>
        </w:rPr>
        <w:t xml:space="preserve"> </w:t>
      </w:r>
      <w:r w:rsidRPr="00FA5792">
        <w:rPr>
          <w:rFonts w:ascii="Times New Roman" w:hAnsi="Times New Roman" w:cs="Times New Roman"/>
          <w:sz w:val="28"/>
          <w:szCs w:val="28"/>
        </w:rPr>
        <w:t>М.</w:t>
      </w:r>
      <w:r>
        <w:rPr>
          <w:rFonts w:ascii="Times New Roman" w:hAnsi="Times New Roman" w:cs="Times New Roman"/>
          <w:sz w:val="28"/>
          <w:szCs w:val="28"/>
        </w:rPr>
        <w:t>,</w:t>
      </w:r>
      <w:r w:rsidRPr="00FA5792">
        <w:rPr>
          <w:rFonts w:ascii="Times New Roman" w:hAnsi="Times New Roman" w:cs="Times New Roman"/>
          <w:sz w:val="28"/>
          <w:szCs w:val="28"/>
        </w:rPr>
        <w:t xml:space="preserve"> 2018.</w:t>
      </w:r>
    </w:p>
    <w:p w14:paraId="6ACD5975" w14:textId="77777777" w:rsidR="00102D9D" w:rsidRPr="00FA5792" w:rsidRDefault="00102D9D" w:rsidP="00102D9D">
      <w:pPr>
        <w:pStyle w:val="a3"/>
        <w:numPr>
          <w:ilvl w:val="0"/>
          <w:numId w:val="75"/>
        </w:numPr>
        <w:tabs>
          <w:tab w:val="left" w:pos="426"/>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rPr>
      </w:pPr>
      <w:r w:rsidRPr="00FA5792">
        <w:rPr>
          <w:rFonts w:ascii="Times New Roman" w:hAnsi="Times New Roman" w:cs="Times New Roman"/>
          <w:bCs/>
          <w:sz w:val="28"/>
          <w:szCs w:val="28"/>
        </w:rPr>
        <w:t>Государственная программа развития здравоохранения Республики Казахстан «Денсаулық» на 2020-2025 годы</w:t>
      </w:r>
      <w:r>
        <w:rPr>
          <w:rFonts w:ascii="Times New Roman" w:hAnsi="Times New Roman" w:cs="Times New Roman"/>
          <w:sz w:val="28"/>
          <w:szCs w:val="28"/>
        </w:rPr>
        <w:t>.</w:t>
      </w:r>
    </w:p>
    <w:p w14:paraId="62EDC354" w14:textId="77777777" w:rsidR="00102D9D" w:rsidRPr="00453BFF" w:rsidRDefault="00102D9D" w:rsidP="00102D9D">
      <w:pPr>
        <w:pStyle w:val="a3"/>
        <w:numPr>
          <w:ilvl w:val="0"/>
          <w:numId w:val="75"/>
        </w:numPr>
        <w:tabs>
          <w:tab w:val="left" w:pos="426"/>
          <w:tab w:val="left" w:pos="993"/>
        </w:tabs>
        <w:autoSpaceDE w:val="0"/>
        <w:autoSpaceDN w:val="0"/>
        <w:adjustRightInd w:val="0"/>
        <w:spacing w:after="0" w:line="240" w:lineRule="auto"/>
        <w:ind w:left="0" w:firstLine="709"/>
        <w:jc w:val="both"/>
        <w:rPr>
          <w:rFonts w:ascii="Times New Roman" w:eastAsia="Times New Roman" w:hAnsi="Times New Roman" w:cs="Times New Roman"/>
          <w:sz w:val="28"/>
          <w:szCs w:val="28"/>
          <w:lang w:val="en-US"/>
        </w:rPr>
      </w:pPr>
      <w:r w:rsidRPr="00C86AF6">
        <w:rPr>
          <w:rFonts w:ascii="Times New Roman" w:hAnsi="Times New Roman" w:cs="Times New Roman"/>
          <w:sz w:val="28"/>
          <w:szCs w:val="28"/>
        </w:rPr>
        <w:t xml:space="preserve"> </w:t>
      </w:r>
      <w:r w:rsidRPr="00FA5792">
        <w:rPr>
          <w:rFonts w:ascii="Times New Roman" w:hAnsi="Times New Roman" w:cs="Times New Roman"/>
          <w:sz w:val="28"/>
          <w:szCs w:val="28"/>
          <w:lang w:val="en-US"/>
        </w:rPr>
        <w:t>Dedov I.I., Smirnova O.M., Kononenko I.V. Significance of the results of genome-wide association studies for primary prevention of type 2 diabetes mellitus and its complications. Personalised approach. Diabetes mellitus.</w:t>
      </w:r>
      <w:r>
        <w:rPr>
          <w:rFonts w:ascii="Times New Roman" w:hAnsi="Times New Roman" w:cs="Times New Roman"/>
          <w:sz w:val="28"/>
          <w:szCs w:val="28"/>
        </w:rPr>
        <w:t xml:space="preserve"> – </w:t>
      </w:r>
      <w:r w:rsidRPr="00FA5792">
        <w:rPr>
          <w:rFonts w:ascii="Times New Roman" w:hAnsi="Times New Roman" w:cs="Times New Roman"/>
          <w:sz w:val="28"/>
          <w:szCs w:val="28"/>
          <w:lang w:val="en-US"/>
        </w:rPr>
        <w:t>2014</w:t>
      </w:r>
      <w:r>
        <w:rPr>
          <w:rFonts w:ascii="Times New Roman" w:hAnsi="Times New Roman" w:cs="Times New Roman"/>
          <w:sz w:val="28"/>
          <w:szCs w:val="28"/>
        </w:rPr>
        <w:t>. - №</w:t>
      </w:r>
      <w:r w:rsidRPr="00FA5792">
        <w:rPr>
          <w:rFonts w:ascii="Times New Roman" w:hAnsi="Times New Roman" w:cs="Times New Roman"/>
          <w:sz w:val="28"/>
          <w:szCs w:val="28"/>
          <w:lang w:val="en-US"/>
        </w:rPr>
        <w:t>17(2)</w:t>
      </w:r>
      <w:r>
        <w:rPr>
          <w:rFonts w:ascii="Times New Roman" w:hAnsi="Times New Roman" w:cs="Times New Roman"/>
          <w:sz w:val="28"/>
          <w:szCs w:val="28"/>
        </w:rPr>
        <w:t xml:space="preserve">. – Р. </w:t>
      </w:r>
      <w:r w:rsidRPr="00FA5792">
        <w:rPr>
          <w:rFonts w:ascii="Times New Roman" w:hAnsi="Times New Roman" w:cs="Times New Roman"/>
          <w:sz w:val="28"/>
          <w:szCs w:val="28"/>
          <w:lang w:val="en-US"/>
        </w:rPr>
        <w:t xml:space="preserve">10-19. </w:t>
      </w:r>
      <w:hyperlink r:id="rId125" w:history="1">
        <w:r w:rsidRPr="00453BFF">
          <w:rPr>
            <w:rStyle w:val="ab"/>
            <w:rFonts w:ascii="Times New Roman" w:hAnsi="Times New Roman" w:cs="Times New Roman"/>
            <w:color w:val="auto"/>
            <w:sz w:val="28"/>
            <w:szCs w:val="28"/>
            <w:u w:val="none"/>
            <w:lang w:val="en-US"/>
          </w:rPr>
          <w:t>https://doi.org/10.14341/DM2014210-19</w:t>
        </w:r>
      </w:hyperlink>
      <w:r w:rsidRPr="00453BFF">
        <w:rPr>
          <w:rFonts w:ascii="Times New Roman" w:hAnsi="Times New Roman" w:cs="Times New Roman"/>
          <w:sz w:val="28"/>
          <w:szCs w:val="28"/>
          <w:lang w:val="en-US"/>
        </w:rPr>
        <w:t>.</w:t>
      </w:r>
    </w:p>
    <w:p w14:paraId="566B6806" w14:textId="77777777" w:rsidR="00102D9D" w:rsidRPr="00FA5792" w:rsidRDefault="00102D9D" w:rsidP="00102D9D">
      <w:pPr>
        <w:pStyle w:val="a3"/>
        <w:numPr>
          <w:ilvl w:val="0"/>
          <w:numId w:val="75"/>
        </w:numPr>
        <w:shd w:val="clear" w:color="auto" w:fill="FFFFFF"/>
        <w:tabs>
          <w:tab w:val="left" w:pos="426"/>
          <w:tab w:val="left" w:pos="993"/>
        </w:tabs>
        <w:spacing w:after="0" w:line="240" w:lineRule="auto"/>
        <w:ind w:left="0" w:firstLine="709"/>
        <w:jc w:val="both"/>
        <w:rPr>
          <w:rFonts w:ascii="Times New Roman" w:eastAsiaTheme="minorHAnsi" w:hAnsi="Times New Roman" w:cs="Times New Roman"/>
          <w:sz w:val="28"/>
          <w:szCs w:val="28"/>
          <w:lang w:val="en-US" w:eastAsia="en-US"/>
        </w:rPr>
      </w:pPr>
      <w:r w:rsidRPr="00453BFF">
        <w:rPr>
          <w:rFonts w:ascii="Times New Roman" w:eastAsia="MyriadPro-Regular" w:hAnsi="Times New Roman" w:cs="Times New Roman"/>
          <w:sz w:val="28"/>
          <w:szCs w:val="28"/>
          <w:lang w:val="en-US"/>
        </w:rPr>
        <w:t xml:space="preserve"> </w:t>
      </w:r>
      <w:r w:rsidRPr="00FA5792">
        <w:rPr>
          <w:rFonts w:ascii="Times New Roman" w:eastAsia="MyriadPro-Regular" w:hAnsi="Times New Roman" w:cs="Times New Roman"/>
          <w:sz w:val="28"/>
          <w:szCs w:val="28"/>
          <w:lang w:val="en-US"/>
        </w:rPr>
        <w:t>WHO Regional Office for Europe, 2013</w:t>
      </w:r>
      <w:r w:rsidRPr="00321165">
        <w:rPr>
          <w:rFonts w:ascii="Times New Roman" w:hAnsi="Times New Roman" w:cs="Times New Roman"/>
          <w:sz w:val="28"/>
          <w:szCs w:val="28"/>
          <w:lang w:val="en-US"/>
        </w:rPr>
        <w:t>.</w:t>
      </w:r>
    </w:p>
    <w:p w14:paraId="71828757" w14:textId="77777777" w:rsidR="00102D9D" w:rsidRPr="00FA5792" w:rsidRDefault="00102D9D" w:rsidP="00102D9D">
      <w:pPr>
        <w:pStyle w:val="a3"/>
        <w:numPr>
          <w:ilvl w:val="0"/>
          <w:numId w:val="75"/>
        </w:numPr>
        <w:shd w:val="clear" w:color="auto" w:fill="FFFFFF"/>
        <w:tabs>
          <w:tab w:val="left" w:pos="426"/>
          <w:tab w:val="left" w:pos="993"/>
        </w:tabs>
        <w:spacing w:after="0" w:line="240" w:lineRule="auto"/>
        <w:ind w:left="0" w:firstLine="709"/>
        <w:jc w:val="both"/>
        <w:rPr>
          <w:rFonts w:ascii="Times New Roman" w:eastAsiaTheme="minorHAnsi" w:hAnsi="Times New Roman" w:cs="Times New Roman"/>
          <w:sz w:val="28"/>
          <w:szCs w:val="28"/>
          <w:lang w:eastAsia="en-US"/>
        </w:rPr>
      </w:pPr>
      <w:r w:rsidRPr="00C86AF6">
        <w:rPr>
          <w:rFonts w:ascii="Times New Roman" w:hAnsi="Times New Roman" w:cs="Times New Roman"/>
          <w:sz w:val="28"/>
          <w:szCs w:val="28"/>
          <w:lang w:val="en-US"/>
        </w:rPr>
        <w:t xml:space="preserve"> </w:t>
      </w:r>
      <w:r w:rsidRPr="00FA5792">
        <w:rPr>
          <w:rFonts w:ascii="Times New Roman" w:hAnsi="Times New Roman" w:cs="Times New Roman"/>
          <w:sz w:val="28"/>
          <w:szCs w:val="28"/>
        </w:rPr>
        <w:t>Государственная программа развития здравоохранения РК «Денсаулык на 2016-2019</w:t>
      </w:r>
      <w:r>
        <w:rPr>
          <w:rFonts w:ascii="Times New Roman" w:hAnsi="Times New Roman" w:cs="Times New Roman"/>
          <w:sz w:val="28"/>
          <w:szCs w:val="28"/>
        </w:rPr>
        <w:t xml:space="preserve"> </w:t>
      </w:r>
      <w:r w:rsidRPr="00FA5792">
        <w:rPr>
          <w:rFonts w:ascii="Times New Roman" w:hAnsi="Times New Roman" w:cs="Times New Roman"/>
          <w:sz w:val="28"/>
          <w:szCs w:val="28"/>
        </w:rPr>
        <w:t>гг</w:t>
      </w:r>
      <w:r>
        <w:rPr>
          <w:rFonts w:ascii="Times New Roman" w:hAnsi="Times New Roman" w:cs="Times New Roman"/>
          <w:sz w:val="28"/>
          <w:szCs w:val="28"/>
        </w:rPr>
        <w:t>.</w:t>
      </w:r>
      <w:r w:rsidRPr="00FA5792">
        <w:rPr>
          <w:rFonts w:ascii="Times New Roman" w:hAnsi="Times New Roman" w:cs="Times New Roman"/>
          <w:sz w:val="28"/>
          <w:szCs w:val="28"/>
        </w:rPr>
        <w:t>»</w:t>
      </w:r>
      <w:r>
        <w:rPr>
          <w:rFonts w:ascii="Times New Roman" w:eastAsiaTheme="minorHAnsi" w:hAnsi="Times New Roman" w:cs="Times New Roman"/>
          <w:sz w:val="28"/>
          <w:szCs w:val="28"/>
          <w:lang w:eastAsia="en-US"/>
        </w:rPr>
        <w:t>.</w:t>
      </w:r>
    </w:p>
    <w:p w14:paraId="378F1AA7" w14:textId="77777777" w:rsidR="00102D9D" w:rsidRPr="00FA5792" w:rsidRDefault="00102D9D" w:rsidP="00102D9D">
      <w:pPr>
        <w:numPr>
          <w:ilvl w:val="0"/>
          <w:numId w:val="75"/>
        </w:numPr>
        <w:tabs>
          <w:tab w:val="left" w:pos="426"/>
          <w:tab w:val="left" w:pos="709"/>
          <w:tab w:val="left" w:pos="993"/>
        </w:tabs>
        <w:autoSpaceDE w:val="0"/>
        <w:autoSpaceDN w:val="0"/>
        <w:adjustRightInd w:val="0"/>
        <w:spacing w:after="0" w:line="240" w:lineRule="auto"/>
        <w:ind w:left="0" w:firstLine="709"/>
        <w:jc w:val="both"/>
        <w:rPr>
          <w:rFonts w:ascii="Times New Roman" w:eastAsia="Calibri-Bold" w:hAnsi="Times New Roman" w:cs="Times New Roman"/>
          <w:bCs/>
          <w:sz w:val="28"/>
          <w:szCs w:val="28"/>
        </w:rPr>
      </w:pPr>
      <w:r>
        <w:rPr>
          <w:rFonts w:ascii="Times New Roman" w:hAnsi="Times New Roman" w:cs="Times New Roman"/>
          <w:sz w:val="28"/>
          <w:szCs w:val="28"/>
        </w:rPr>
        <w:t xml:space="preserve"> </w:t>
      </w:r>
      <w:r w:rsidRPr="00FA5792">
        <w:rPr>
          <w:rFonts w:ascii="Times New Roman" w:hAnsi="Times New Roman" w:cs="Times New Roman"/>
          <w:sz w:val="28"/>
          <w:szCs w:val="28"/>
        </w:rPr>
        <w:t>Рекомендации по преобразованию служб общественного здравоохранения в Кыргызской Республике: отчет рабочей группы. Копенгаген: Европейское региональное бюро ВОЗ</w:t>
      </w:r>
      <w:r>
        <w:rPr>
          <w:rFonts w:ascii="Times New Roman" w:hAnsi="Times New Roman" w:cs="Times New Roman"/>
          <w:sz w:val="28"/>
          <w:szCs w:val="28"/>
        </w:rPr>
        <w:t>. -</w:t>
      </w:r>
      <w:r w:rsidRPr="00FA5792">
        <w:rPr>
          <w:rFonts w:ascii="Times New Roman" w:hAnsi="Times New Roman" w:cs="Times New Roman"/>
          <w:sz w:val="28"/>
          <w:szCs w:val="28"/>
        </w:rPr>
        <w:t xml:space="preserve"> 2021.</w:t>
      </w:r>
      <w:r>
        <w:rPr>
          <w:rFonts w:ascii="Times New Roman" w:hAnsi="Times New Roman" w:cs="Times New Roman"/>
          <w:sz w:val="28"/>
          <w:szCs w:val="28"/>
        </w:rPr>
        <w:t xml:space="preserve"> -</w:t>
      </w:r>
      <w:r w:rsidRPr="00FA5792">
        <w:rPr>
          <w:rFonts w:ascii="Times New Roman" w:hAnsi="Times New Roman" w:cs="Times New Roman"/>
          <w:sz w:val="28"/>
          <w:szCs w:val="28"/>
        </w:rPr>
        <w:t xml:space="preserve"> Лицензия: CC BY-NC-SA 3.0 IGO.</w:t>
      </w:r>
    </w:p>
    <w:p w14:paraId="07FE50DD" w14:textId="77777777" w:rsidR="00102D9D" w:rsidRPr="00A74DF1" w:rsidRDefault="00102D9D" w:rsidP="00102D9D">
      <w:pPr>
        <w:pStyle w:val="a3"/>
        <w:numPr>
          <w:ilvl w:val="0"/>
          <w:numId w:val="75"/>
        </w:numPr>
        <w:tabs>
          <w:tab w:val="left" w:pos="426"/>
          <w:tab w:val="left" w:pos="709"/>
          <w:tab w:val="left" w:pos="993"/>
        </w:tabs>
        <w:spacing w:after="0" w:line="240" w:lineRule="auto"/>
        <w:ind w:left="0" w:firstLine="709"/>
        <w:jc w:val="both"/>
        <w:rPr>
          <w:rFonts w:ascii="Times New Roman" w:eastAsia="Times New Roman" w:hAnsi="Times New Roman" w:cs="Times New Roman"/>
          <w:sz w:val="28"/>
          <w:szCs w:val="28"/>
          <w:lang w:val="en-US"/>
        </w:rPr>
      </w:pPr>
      <w:r w:rsidRPr="00C86AF6">
        <w:t xml:space="preserve"> </w:t>
      </w:r>
      <w:hyperlink r:id="rId126" w:history="1">
        <w:r w:rsidRPr="00A74DF1">
          <w:rPr>
            <w:rStyle w:val="ab"/>
            <w:rFonts w:ascii="Times New Roman" w:hAnsi="Times New Roman" w:cs="Times New Roman"/>
            <w:color w:val="auto"/>
            <w:sz w:val="28"/>
            <w:szCs w:val="28"/>
            <w:u w:val="none"/>
            <w:lang w:val="en-US"/>
          </w:rPr>
          <w:t>https://medvestnik.ru/content/medarticles/Opublikovan-analiz-zabolev aemosti - diabetom-v-razlichnyh-stranah-mira.html</w:t>
        </w:r>
      </w:hyperlink>
      <w:r w:rsidRPr="00A74DF1">
        <w:rPr>
          <w:rStyle w:val="ab"/>
          <w:rFonts w:ascii="Times New Roman" w:hAnsi="Times New Roman" w:cs="Times New Roman"/>
          <w:color w:val="auto"/>
          <w:sz w:val="28"/>
          <w:szCs w:val="28"/>
          <w:u w:val="none"/>
          <w:lang w:val="en-US"/>
        </w:rPr>
        <w:t>.</w:t>
      </w:r>
    </w:p>
    <w:p w14:paraId="4270D9BE" w14:textId="77777777" w:rsidR="00102D9D" w:rsidRPr="00FA5792" w:rsidRDefault="00102D9D" w:rsidP="00102D9D">
      <w:pPr>
        <w:pStyle w:val="a3"/>
        <w:numPr>
          <w:ilvl w:val="0"/>
          <w:numId w:val="75"/>
        </w:numPr>
        <w:tabs>
          <w:tab w:val="left" w:pos="426"/>
          <w:tab w:val="left" w:pos="709"/>
          <w:tab w:val="left" w:pos="993"/>
        </w:tabs>
        <w:spacing w:after="0" w:line="240" w:lineRule="auto"/>
        <w:ind w:left="0" w:firstLine="709"/>
        <w:jc w:val="both"/>
        <w:rPr>
          <w:rFonts w:ascii="Times New Roman" w:eastAsia="Times New Roman" w:hAnsi="Times New Roman" w:cs="Times New Roman"/>
          <w:sz w:val="28"/>
          <w:szCs w:val="28"/>
          <w:lang w:val="en-US"/>
        </w:rPr>
      </w:pPr>
      <w:r w:rsidRPr="00A74DF1">
        <w:rPr>
          <w:lang w:val="en-US"/>
        </w:rPr>
        <w:t xml:space="preserve"> </w:t>
      </w:r>
      <w:r w:rsidRPr="00FA5792">
        <w:rPr>
          <w:rFonts w:ascii="Times New Roman" w:eastAsia="Times New Roman" w:hAnsi="Times New Roman" w:cs="Times New Roman"/>
          <w:sz w:val="28"/>
          <w:szCs w:val="28"/>
          <w:lang w:val="en-US"/>
        </w:rPr>
        <w:t>Sarwar N</w:t>
      </w:r>
      <w:r w:rsidRPr="00A74DF1">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 Gao P</w:t>
      </w:r>
      <w:r w:rsidRPr="00A74DF1">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 Seshasai S</w:t>
      </w:r>
      <w:r w:rsidRPr="00A74DF1">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R</w:t>
      </w:r>
      <w:r w:rsidRPr="00A74DF1">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 Gobin R</w:t>
      </w:r>
      <w:r w:rsidRPr="00A74DF1">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 Kaptoge S</w:t>
      </w:r>
      <w:r w:rsidRPr="00A74DF1">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 Di Angelantonio et al.</w:t>
      </w:r>
      <w:r w:rsidRPr="00A74DF1">
        <w:rPr>
          <w:rFonts w:ascii="Times New Roman" w:eastAsia="Times New Roman" w:hAnsi="Times New Roman" w:cs="Times New Roman"/>
          <w:sz w:val="28"/>
          <w:szCs w:val="28"/>
          <w:lang w:val="en-US"/>
        </w:rPr>
        <w:t xml:space="preserve"> </w:t>
      </w:r>
      <w:hyperlink r:id="rId127" w:history="1">
        <w:r w:rsidRPr="00FA5792">
          <w:rPr>
            <w:rFonts w:ascii="Times New Roman" w:eastAsia="Times New Roman" w:hAnsi="Times New Roman" w:cs="Times New Roman"/>
            <w:sz w:val="28"/>
            <w:szCs w:val="28"/>
            <w:lang w:val="en-US"/>
          </w:rPr>
          <w:t>Diabetes mellitus, fasting blood glucose concentration, and risk of vascular disease: a collaborative meta-analysis of 102 prospective studies</w:t>
        </w:r>
        <w:r w:rsidRPr="00A74DF1">
          <w:rPr>
            <w:rFonts w:ascii="Times New Roman" w:eastAsia="Times New Roman" w:hAnsi="Times New Roman" w:cs="Times New Roman"/>
            <w:sz w:val="28"/>
            <w:szCs w:val="28"/>
            <w:lang w:val="en-US"/>
          </w:rPr>
          <w:t xml:space="preserve"> // </w:t>
        </w:r>
        <w:r w:rsidRPr="00FA5792">
          <w:rPr>
            <w:rFonts w:ascii="Times New Roman" w:eastAsia="Times New Roman" w:hAnsi="Times New Roman" w:cs="Times New Roman"/>
            <w:sz w:val="28"/>
            <w:szCs w:val="28"/>
            <w:lang w:val="en-US"/>
          </w:rPr>
          <w:t>Emerging Risk Factors Collaboration</w:t>
        </w:r>
      </w:hyperlink>
      <w:r w:rsidRPr="00FA5792">
        <w:rPr>
          <w:rFonts w:ascii="Times New Roman" w:eastAsia="Times New Roman" w:hAnsi="Times New Roman" w:cs="Times New Roman"/>
          <w:sz w:val="28"/>
          <w:szCs w:val="28"/>
          <w:lang w:val="en-US"/>
        </w:rPr>
        <w:t xml:space="preserve">. </w:t>
      </w:r>
      <w:r w:rsidRPr="00A74DF1">
        <w:rPr>
          <w:rFonts w:ascii="Times New Roman" w:eastAsia="Times New Roman" w:hAnsi="Times New Roman" w:cs="Times New Roman"/>
          <w:sz w:val="28"/>
          <w:szCs w:val="28"/>
          <w:lang w:val="en-US"/>
        </w:rPr>
        <w:t xml:space="preserve">– </w:t>
      </w:r>
      <w:r w:rsidRPr="00FA5792">
        <w:rPr>
          <w:rFonts w:ascii="Times New Roman" w:eastAsia="Times New Roman" w:hAnsi="Times New Roman" w:cs="Times New Roman"/>
          <w:sz w:val="28"/>
          <w:szCs w:val="28"/>
          <w:lang w:val="en-US"/>
        </w:rPr>
        <w:t>Lancet</w:t>
      </w:r>
      <w:r w:rsidRPr="00A74DF1">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 xml:space="preserve"> 2010</w:t>
      </w:r>
      <w:r w:rsidRPr="00A74DF1">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w:t>
      </w:r>
      <w:r w:rsidRPr="00A74DF1">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 xml:space="preserve">Vol. </w:t>
      </w:r>
      <w:r w:rsidRPr="00FA5792">
        <w:rPr>
          <w:rFonts w:ascii="Times New Roman" w:eastAsia="Times New Roman" w:hAnsi="Times New Roman" w:cs="Times New Roman"/>
          <w:sz w:val="28"/>
          <w:szCs w:val="28"/>
          <w:lang w:val="en-US"/>
        </w:rPr>
        <w:t>26</w:t>
      </w:r>
      <w:r>
        <w:rPr>
          <w:rFonts w:ascii="Times New Roman" w:eastAsia="Times New Roman" w:hAnsi="Times New Roman" w:cs="Times New Roman"/>
          <w:sz w:val="28"/>
          <w:szCs w:val="28"/>
          <w:lang w:val="en-US"/>
        </w:rPr>
        <w:t xml:space="preserve">. – Iss. </w:t>
      </w:r>
      <w:r w:rsidRPr="00FA5792">
        <w:rPr>
          <w:rFonts w:ascii="Times New Roman" w:eastAsia="Times New Roman" w:hAnsi="Times New Roman" w:cs="Times New Roman"/>
          <w:sz w:val="28"/>
          <w:szCs w:val="28"/>
          <w:lang w:val="en-US"/>
        </w:rPr>
        <w:t>375</w:t>
      </w:r>
      <w:r w:rsidRPr="00A74DF1">
        <w:rPr>
          <w:rFonts w:ascii="Times New Roman" w:eastAsia="Times New Roman" w:hAnsi="Times New Roman" w:cs="Times New Roman"/>
          <w:sz w:val="28"/>
          <w:szCs w:val="28"/>
          <w:lang w:val="en-US"/>
        </w:rPr>
        <w:t xml:space="preserve">. – </w:t>
      </w:r>
      <w:r>
        <w:rPr>
          <w:rFonts w:ascii="Times New Roman" w:eastAsia="Times New Roman" w:hAnsi="Times New Roman" w:cs="Times New Roman"/>
          <w:sz w:val="28"/>
          <w:szCs w:val="28"/>
        </w:rPr>
        <w:t>Р</w:t>
      </w:r>
      <w:r w:rsidRPr="00A74DF1">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2215-2222.</w:t>
      </w:r>
    </w:p>
    <w:p w14:paraId="7E5E3559" w14:textId="77777777" w:rsidR="00102D9D" w:rsidRPr="00FA5792" w:rsidRDefault="00102D9D" w:rsidP="00102D9D">
      <w:pPr>
        <w:pStyle w:val="a3"/>
        <w:numPr>
          <w:ilvl w:val="0"/>
          <w:numId w:val="75"/>
        </w:numPr>
        <w:tabs>
          <w:tab w:val="left" w:pos="426"/>
          <w:tab w:val="left" w:pos="709"/>
          <w:tab w:val="left" w:pos="993"/>
        </w:tabs>
        <w:spacing w:after="0" w:line="240" w:lineRule="auto"/>
        <w:ind w:left="0" w:firstLine="709"/>
        <w:jc w:val="both"/>
        <w:rPr>
          <w:rFonts w:ascii="Times New Roman" w:eastAsia="Times New Roman" w:hAnsi="Times New Roman" w:cs="Times New Roman"/>
          <w:sz w:val="28"/>
          <w:szCs w:val="28"/>
          <w:lang w:val="en-US"/>
        </w:rPr>
      </w:pPr>
      <w:r w:rsidRPr="00FA5792">
        <w:rPr>
          <w:rFonts w:ascii="Times New Roman" w:eastAsia="Times New Roman" w:hAnsi="Times New Roman" w:cs="Times New Roman"/>
          <w:sz w:val="28"/>
          <w:szCs w:val="28"/>
          <w:lang w:val="en-US"/>
        </w:rPr>
        <w:t> Bourne R</w:t>
      </w:r>
      <w:r>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R</w:t>
      </w:r>
      <w:r>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 Stevens G</w:t>
      </w:r>
      <w:r>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A</w:t>
      </w:r>
      <w:r>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 White R</w:t>
      </w:r>
      <w:r>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A</w:t>
      </w:r>
      <w:r>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 Smith J</w:t>
      </w:r>
      <w:r>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L</w:t>
      </w:r>
      <w:r>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 Flaxman S</w:t>
      </w:r>
      <w:r>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R</w:t>
      </w:r>
      <w:r>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 Price H</w:t>
      </w:r>
      <w:r>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 xml:space="preserve"> et al. </w:t>
      </w:r>
      <w:hyperlink r:id="rId128" w:history="1">
        <w:r w:rsidRPr="00FA5792">
          <w:rPr>
            <w:rFonts w:ascii="Times New Roman" w:eastAsia="Times New Roman" w:hAnsi="Times New Roman" w:cs="Times New Roman"/>
            <w:sz w:val="28"/>
            <w:szCs w:val="28"/>
            <w:lang w:val="en-US"/>
          </w:rPr>
          <w:t>Causes of vision loss worldwide</w:t>
        </w:r>
        <w:r>
          <w:rPr>
            <w:rFonts w:ascii="Times New Roman" w:eastAsia="Times New Roman" w:hAnsi="Times New Roman" w:cs="Times New Roman"/>
            <w:sz w:val="28"/>
            <w:szCs w:val="28"/>
            <w:lang w:val="en-US"/>
          </w:rPr>
          <w:t xml:space="preserve"> </w:t>
        </w:r>
        <w:r w:rsidRPr="00FA5792">
          <w:rPr>
            <w:rFonts w:ascii="Times New Roman" w:eastAsia="Times New Roman" w:hAnsi="Times New Roman" w:cs="Times New Roman"/>
            <w:sz w:val="28"/>
            <w:szCs w:val="28"/>
            <w:lang w:val="en-US"/>
          </w:rPr>
          <w:t>1990-2010: a systematic analysis</w:t>
        </w:r>
      </w:hyperlink>
      <w:r w:rsidRPr="00FA5792">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br/>
      </w:r>
      <w:r>
        <w:rPr>
          <w:rFonts w:ascii="Times New Roman" w:eastAsia="Times New Roman" w:hAnsi="Times New Roman" w:cs="Times New Roman"/>
          <w:sz w:val="28"/>
          <w:szCs w:val="28"/>
          <w:lang w:val="en-US"/>
        </w:rPr>
        <w:t xml:space="preserve">- </w:t>
      </w:r>
      <w:r w:rsidRPr="00FA5792">
        <w:rPr>
          <w:rFonts w:ascii="Times New Roman" w:eastAsia="Times New Roman" w:hAnsi="Times New Roman" w:cs="Times New Roman"/>
          <w:sz w:val="28"/>
          <w:szCs w:val="28"/>
          <w:lang w:val="en-US"/>
        </w:rPr>
        <w:t>Lancet Global Health</w:t>
      </w:r>
      <w:r>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 xml:space="preserve"> 2013</w:t>
      </w:r>
      <w:r>
        <w:rPr>
          <w:rFonts w:ascii="Times New Roman" w:eastAsia="Times New Roman" w:hAnsi="Times New Roman" w:cs="Times New Roman"/>
          <w:sz w:val="28"/>
          <w:szCs w:val="28"/>
          <w:lang w:val="en-US"/>
        </w:rPr>
        <w:t>.-</w:t>
      </w:r>
      <w:r w:rsidRPr="00A74DF1">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1</w:t>
      </w:r>
      <w:r w:rsidRPr="00A74DF1">
        <w:rPr>
          <w:rFonts w:ascii="Times New Roman" w:eastAsia="Times New Roman" w:hAnsi="Times New Roman" w:cs="Times New Roman"/>
          <w:sz w:val="28"/>
          <w:szCs w:val="28"/>
          <w:lang w:val="en-US"/>
        </w:rPr>
        <w:t xml:space="preserve">. – </w:t>
      </w:r>
      <w:r>
        <w:rPr>
          <w:rFonts w:ascii="Times New Roman" w:eastAsia="Times New Roman" w:hAnsi="Times New Roman" w:cs="Times New Roman"/>
          <w:sz w:val="28"/>
          <w:szCs w:val="28"/>
        </w:rPr>
        <w:t>Р</w:t>
      </w:r>
      <w:r w:rsidRPr="00A74DF1">
        <w:rPr>
          <w:rFonts w:ascii="Times New Roman" w:eastAsia="Times New Roman" w:hAnsi="Times New Roman" w:cs="Times New Roman"/>
          <w:sz w:val="28"/>
          <w:szCs w:val="28"/>
          <w:lang w:val="en-US"/>
        </w:rPr>
        <w:t xml:space="preserve">. </w:t>
      </w:r>
      <w:r w:rsidRPr="00FA5792">
        <w:rPr>
          <w:rFonts w:ascii="Times New Roman" w:eastAsia="Times New Roman" w:hAnsi="Times New Roman" w:cs="Times New Roman"/>
          <w:sz w:val="28"/>
          <w:szCs w:val="28"/>
          <w:lang w:val="en-US"/>
        </w:rPr>
        <w:t>339-349</w:t>
      </w:r>
      <w:r w:rsidRPr="00A74DF1">
        <w:rPr>
          <w:rFonts w:ascii="Times New Roman" w:eastAsia="Times New Roman" w:hAnsi="Times New Roman" w:cs="Times New Roman"/>
          <w:sz w:val="28"/>
          <w:szCs w:val="28"/>
          <w:lang w:val="en-US"/>
        </w:rPr>
        <w:t>.</w:t>
      </w:r>
    </w:p>
    <w:p w14:paraId="7F3183AD" w14:textId="77777777" w:rsidR="00102D9D" w:rsidRPr="00FA5792" w:rsidRDefault="00102D9D" w:rsidP="00102D9D">
      <w:pPr>
        <w:pStyle w:val="a3"/>
        <w:numPr>
          <w:ilvl w:val="0"/>
          <w:numId w:val="75"/>
        </w:numPr>
        <w:tabs>
          <w:tab w:val="left" w:pos="426"/>
          <w:tab w:val="left" w:pos="709"/>
          <w:tab w:val="left" w:pos="1134"/>
        </w:tabs>
        <w:spacing w:after="0" w:line="240" w:lineRule="auto"/>
        <w:ind w:left="0" w:firstLine="709"/>
        <w:jc w:val="both"/>
        <w:rPr>
          <w:rFonts w:ascii="Times New Roman" w:eastAsia="Times New Roman" w:hAnsi="Times New Roman" w:cs="Times New Roman"/>
          <w:sz w:val="28"/>
          <w:szCs w:val="28"/>
          <w:lang w:val="en-US"/>
        </w:rPr>
      </w:pPr>
      <w:r w:rsidRPr="00FA5792">
        <w:rPr>
          <w:rFonts w:ascii="Times New Roman" w:eastAsia="Times New Roman" w:hAnsi="Times New Roman" w:cs="Times New Roman"/>
          <w:sz w:val="28"/>
          <w:szCs w:val="28"/>
          <w:lang w:val="en-US"/>
        </w:rPr>
        <w:t> </w:t>
      </w:r>
      <w:hyperlink r:id="rId129" w:history="1">
        <w:r w:rsidRPr="00FA5792">
          <w:rPr>
            <w:rFonts w:ascii="Times New Roman" w:eastAsia="Times New Roman" w:hAnsi="Times New Roman" w:cs="Times New Roman"/>
            <w:sz w:val="28"/>
            <w:szCs w:val="28"/>
            <w:lang w:val="en-US"/>
          </w:rPr>
          <w:t>USRDS annual data report: Epidemiology of kidney disease in the</w:t>
        </w:r>
        <w:r w:rsidRPr="00A74DF1">
          <w:rPr>
            <w:rFonts w:ascii="Times New Roman" w:eastAsia="Times New Roman" w:hAnsi="Times New Roman" w:cs="Times New Roman"/>
            <w:sz w:val="28"/>
            <w:szCs w:val="28"/>
            <w:lang w:val="en-US"/>
          </w:rPr>
          <w:t xml:space="preserve"> </w:t>
        </w:r>
        <w:r w:rsidRPr="00FA5792">
          <w:rPr>
            <w:rFonts w:ascii="Times New Roman" w:eastAsia="Times New Roman" w:hAnsi="Times New Roman" w:cs="Times New Roman"/>
            <w:sz w:val="28"/>
            <w:szCs w:val="28"/>
            <w:lang w:val="en-US"/>
          </w:rPr>
          <w:t>United States</w:t>
        </w:r>
      </w:hyperlink>
      <w:r w:rsidRPr="00FA5792">
        <w:rPr>
          <w:rFonts w:ascii="Times New Roman" w:eastAsia="Times New Roman" w:hAnsi="Times New Roman" w:cs="Times New Roman"/>
          <w:sz w:val="28"/>
          <w:szCs w:val="28"/>
          <w:lang w:val="en-US"/>
        </w:rPr>
        <w:t>.United States Renal Data System. National Institutes of Health</w:t>
      </w:r>
      <w:r w:rsidRPr="00631FF5">
        <w:rPr>
          <w:rFonts w:ascii="Times New Roman" w:eastAsia="Times New Roman" w:hAnsi="Times New Roman" w:cs="Times New Roman"/>
          <w:sz w:val="28"/>
          <w:szCs w:val="28"/>
          <w:lang w:val="en-US"/>
        </w:rPr>
        <w:t xml:space="preserve"> // </w:t>
      </w:r>
      <w:r w:rsidRPr="00FA5792">
        <w:rPr>
          <w:rFonts w:ascii="Times New Roman" w:eastAsia="Times New Roman" w:hAnsi="Times New Roman" w:cs="Times New Roman"/>
          <w:sz w:val="28"/>
          <w:szCs w:val="28"/>
          <w:lang w:val="en-US"/>
        </w:rPr>
        <w:t>National Institute of Diabetes and Digestive and Kidney Diseases, Bethesda, MD</w:t>
      </w:r>
      <w:r w:rsidRPr="00631FF5">
        <w:rPr>
          <w:rFonts w:ascii="Times New Roman" w:eastAsia="Times New Roman" w:hAnsi="Times New Roman" w:cs="Times New Roman"/>
          <w:sz w:val="28"/>
          <w:szCs w:val="28"/>
          <w:lang w:val="en-US"/>
        </w:rPr>
        <w:t xml:space="preserve">. – </w:t>
      </w:r>
      <w:r w:rsidRPr="00FA5792">
        <w:rPr>
          <w:rFonts w:ascii="Times New Roman" w:eastAsia="Times New Roman" w:hAnsi="Times New Roman" w:cs="Times New Roman"/>
          <w:sz w:val="28"/>
          <w:szCs w:val="28"/>
          <w:lang w:val="en-US"/>
        </w:rPr>
        <w:t>2014</w:t>
      </w:r>
      <w:r w:rsidRPr="00631FF5">
        <w:rPr>
          <w:rFonts w:ascii="Times New Roman" w:eastAsia="Times New Roman" w:hAnsi="Times New Roman" w:cs="Times New Roman"/>
          <w:sz w:val="28"/>
          <w:szCs w:val="28"/>
          <w:lang w:val="en-US"/>
        </w:rPr>
        <w:t xml:space="preserve">. – </w:t>
      </w:r>
      <w:r>
        <w:rPr>
          <w:rFonts w:ascii="Times New Roman" w:eastAsia="Times New Roman" w:hAnsi="Times New Roman" w:cs="Times New Roman"/>
          <w:sz w:val="28"/>
          <w:szCs w:val="28"/>
        </w:rPr>
        <w:t>Р</w:t>
      </w:r>
      <w:r w:rsidRPr="00631FF5">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188</w:t>
      </w:r>
      <w:r w:rsidRPr="00631FF5">
        <w:rPr>
          <w:rFonts w:ascii="Times New Roman" w:eastAsia="Times New Roman" w:hAnsi="Times New Roman" w:cs="Times New Roman"/>
          <w:sz w:val="28"/>
          <w:szCs w:val="28"/>
          <w:lang w:val="en-US"/>
        </w:rPr>
        <w:t xml:space="preserve"> -</w:t>
      </w:r>
      <w:r w:rsidRPr="00FA5792">
        <w:rPr>
          <w:rFonts w:ascii="Times New Roman" w:eastAsia="Times New Roman" w:hAnsi="Times New Roman" w:cs="Times New Roman"/>
          <w:sz w:val="28"/>
          <w:szCs w:val="28"/>
          <w:lang w:val="en-US"/>
        </w:rPr>
        <w:t>210.</w:t>
      </w:r>
    </w:p>
    <w:p w14:paraId="299576DD" w14:textId="77777777" w:rsidR="00102D9D" w:rsidRPr="00FA5792" w:rsidRDefault="001B62DB" w:rsidP="00102D9D">
      <w:pPr>
        <w:pStyle w:val="a3"/>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en-US"/>
        </w:rPr>
      </w:pPr>
      <w:hyperlink r:id="rId130" w:history="1">
        <w:r w:rsidR="00102D9D" w:rsidRPr="00FA5792">
          <w:rPr>
            <w:rStyle w:val="ab"/>
            <w:rFonts w:ascii="Times New Roman" w:hAnsi="Times New Roman" w:cs="Times New Roman"/>
            <w:color w:val="auto"/>
            <w:sz w:val="28"/>
            <w:szCs w:val="28"/>
            <w:u w:val="none"/>
            <w:lang w:val="en-US"/>
          </w:rPr>
          <w:t>https://www.who.int/data/gho/data/themes/mortality-and-global-health-estimates/ghe-leading-causes-of-death</w:t>
        </w:r>
      </w:hyperlink>
      <w:r w:rsidR="00102D9D" w:rsidRPr="00631FF5">
        <w:rPr>
          <w:rStyle w:val="ab"/>
          <w:rFonts w:ascii="Times New Roman" w:hAnsi="Times New Roman" w:cs="Times New Roman"/>
          <w:color w:val="auto"/>
          <w:sz w:val="28"/>
          <w:szCs w:val="28"/>
          <w:u w:val="none"/>
          <w:lang w:val="en-US"/>
        </w:rPr>
        <w:t>.</w:t>
      </w:r>
    </w:p>
    <w:p w14:paraId="65FDCF3B" w14:textId="77777777" w:rsidR="00102D9D" w:rsidRPr="00FA5792" w:rsidRDefault="001B62DB" w:rsidP="00102D9D">
      <w:pPr>
        <w:numPr>
          <w:ilvl w:val="0"/>
          <w:numId w:val="75"/>
        </w:numPr>
        <w:tabs>
          <w:tab w:val="left" w:pos="426"/>
          <w:tab w:val="left" w:pos="709"/>
        </w:tabs>
        <w:autoSpaceDE w:val="0"/>
        <w:autoSpaceDN w:val="0"/>
        <w:adjustRightInd w:val="0"/>
        <w:spacing w:after="0" w:line="240" w:lineRule="auto"/>
        <w:ind w:left="0" w:firstLine="709"/>
        <w:jc w:val="both"/>
        <w:rPr>
          <w:rStyle w:val="details-value"/>
          <w:rFonts w:ascii="Times New Roman" w:eastAsia="MyriadPro-Regular" w:hAnsi="Times New Roman" w:cs="Times New Roman"/>
          <w:sz w:val="28"/>
          <w:szCs w:val="28"/>
          <w:lang w:val="en-US"/>
        </w:rPr>
      </w:pPr>
      <w:hyperlink r:id="rId131" w:history="1">
        <w:r w:rsidR="00102D9D" w:rsidRPr="00FA5792">
          <w:rPr>
            <w:rStyle w:val="details-value"/>
            <w:rFonts w:ascii="Times New Roman" w:hAnsi="Times New Roman" w:cs="Times New Roman"/>
            <w:sz w:val="28"/>
            <w:szCs w:val="28"/>
            <w:lang w:val="en-US"/>
          </w:rPr>
          <w:t>https://www.who.int/ru/news-room/fact-sheets/detail/diabetes</w:t>
        </w:r>
      </w:hyperlink>
      <w:r w:rsidR="00102D9D" w:rsidRPr="00631FF5">
        <w:rPr>
          <w:rStyle w:val="details-value"/>
          <w:rFonts w:ascii="Times New Roman" w:hAnsi="Times New Roman" w:cs="Times New Roman"/>
          <w:sz w:val="28"/>
          <w:szCs w:val="28"/>
          <w:lang w:val="en-US"/>
        </w:rPr>
        <w:t>.</w:t>
      </w:r>
    </w:p>
    <w:p w14:paraId="5503E732" w14:textId="77777777" w:rsidR="00102D9D" w:rsidRPr="00C86AF6" w:rsidRDefault="001B62DB"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lang w:val="en-US"/>
        </w:rPr>
      </w:pPr>
      <w:hyperlink r:id="rId132" w:history="1">
        <w:r w:rsidR="00102D9D" w:rsidRPr="00FA5792">
          <w:rPr>
            <w:rStyle w:val="details-value"/>
            <w:rFonts w:ascii="Times New Roman" w:hAnsi="Times New Roman" w:cs="Times New Roman"/>
            <w:sz w:val="28"/>
            <w:szCs w:val="28"/>
            <w:lang w:val="en-US"/>
          </w:rPr>
          <w:t>Pouya Saeedi</w:t>
        </w:r>
      </w:hyperlink>
      <w:r w:rsidR="00102D9D" w:rsidRPr="00FA5792">
        <w:rPr>
          <w:rStyle w:val="13"/>
          <w:rFonts w:ascii="Times New Roman" w:hAnsi="Times New Roman" w:cs="Times New Roman"/>
          <w:sz w:val="28"/>
          <w:szCs w:val="28"/>
          <w:vertAlign w:val="superscript"/>
          <w:lang w:val="en-US"/>
        </w:rPr>
        <w:t> </w:t>
      </w:r>
      <w:r w:rsidR="00102D9D" w:rsidRPr="00FA5792">
        <w:rPr>
          <w:rStyle w:val="identifier"/>
          <w:rFonts w:ascii="Times New Roman" w:eastAsia="Calibri" w:hAnsi="Times New Roman" w:cs="Times New Roman"/>
          <w:sz w:val="28"/>
          <w:szCs w:val="28"/>
          <w:lang w:val="en-US"/>
        </w:rPr>
        <w:t>, </w:t>
      </w:r>
      <w:hyperlink r:id="rId133" w:history="1">
        <w:r w:rsidR="00102D9D" w:rsidRPr="00FA5792">
          <w:rPr>
            <w:rStyle w:val="details-value"/>
            <w:rFonts w:ascii="Times New Roman" w:hAnsi="Times New Roman" w:cs="Times New Roman"/>
            <w:sz w:val="28"/>
            <w:szCs w:val="28"/>
            <w:lang w:val="en-US"/>
          </w:rPr>
          <w:t>Paraskevi Salpea</w:t>
        </w:r>
      </w:hyperlink>
      <w:r w:rsidR="00102D9D" w:rsidRPr="00FA5792">
        <w:rPr>
          <w:rStyle w:val="13"/>
          <w:rFonts w:ascii="Times New Roman" w:hAnsi="Times New Roman" w:cs="Times New Roman"/>
          <w:sz w:val="28"/>
          <w:szCs w:val="28"/>
          <w:vertAlign w:val="superscript"/>
          <w:lang w:val="en-US"/>
        </w:rPr>
        <w:t> </w:t>
      </w:r>
      <w:r w:rsidR="00102D9D" w:rsidRPr="00FA5792">
        <w:rPr>
          <w:rStyle w:val="identifier"/>
          <w:rFonts w:ascii="Times New Roman" w:eastAsia="Calibri" w:hAnsi="Times New Roman" w:cs="Times New Roman"/>
          <w:sz w:val="28"/>
          <w:szCs w:val="28"/>
          <w:lang w:val="en-US"/>
        </w:rPr>
        <w:t>, </w:t>
      </w:r>
      <w:hyperlink r:id="rId134" w:history="1">
        <w:r w:rsidR="00102D9D" w:rsidRPr="00FA5792">
          <w:rPr>
            <w:rStyle w:val="details-value"/>
            <w:rFonts w:ascii="Times New Roman" w:hAnsi="Times New Roman" w:cs="Times New Roman"/>
            <w:sz w:val="28"/>
            <w:szCs w:val="28"/>
            <w:lang w:val="en-US"/>
          </w:rPr>
          <w:t>Suvi Karuranga</w:t>
        </w:r>
      </w:hyperlink>
      <w:r w:rsidR="00102D9D" w:rsidRPr="00FA5792">
        <w:rPr>
          <w:rStyle w:val="13"/>
          <w:rFonts w:ascii="Times New Roman" w:hAnsi="Times New Roman" w:cs="Times New Roman"/>
          <w:sz w:val="28"/>
          <w:szCs w:val="28"/>
          <w:vertAlign w:val="superscript"/>
          <w:lang w:val="en-US"/>
        </w:rPr>
        <w:t> </w:t>
      </w:r>
      <w:r w:rsidR="00102D9D" w:rsidRPr="00FA5792">
        <w:rPr>
          <w:rStyle w:val="identifier"/>
          <w:rFonts w:ascii="Times New Roman" w:eastAsia="Calibri" w:hAnsi="Times New Roman" w:cs="Times New Roman"/>
          <w:sz w:val="28"/>
          <w:szCs w:val="28"/>
          <w:lang w:val="en-US"/>
        </w:rPr>
        <w:t>, </w:t>
      </w:r>
      <w:hyperlink r:id="rId135" w:history="1">
        <w:r w:rsidR="00102D9D" w:rsidRPr="00FA5792">
          <w:rPr>
            <w:rStyle w:val="details-value"/>
            <w:rFonts w:ascii="Times New Roman" w:hAnsi="Times New Roman" w:cs="Times New Roman"/>
            <w:sz w:val="28"/>
            <w:szCs w:val="28"/>
            <w:lang w:val="en-US"/>
          </w:rPr>
          <w:t>Inga Petersohn</w:t>
        </w:r>
      </w:hyperlink>
      <w:r w:rsidR="00102D9D" w:rsidRPr="00FA5792">
        <w:rPr>
          <w:rStyle w:val="13"/>
          <w:rFonts w:ascii="Times New Roman" w:hAnsi="Times New Roman" w:cs="Times New Roman"/>
          <w:sz w:val="28"/>
          <w:szCs w:val="28"/>
          <w:vertAlign w:val="superscript"/>
          <w:lang w:val="en-US"/>
        </w:rPr>
        <w:t> </w:t>
      </w:r>
      <w:r w:rsidR="00102D9D" w:rsidRPr="00FA5792">
        <w:rPr>
          <w:rStyle w:val="identifier"/>
          <w:rFonts w:ascii="Times New Roman" w:eastAsia="Calibri" w:hAnsi="Times New Roman" w:cs="Times New Roman"/>
          <w:sz w:val="28"/>
          <w:szCs w:val="28"/>
          <w:lang w:val="en-US"/>
        </w:rPr>
        <w:t>, </w:t>
      </w:r>
      <w:hyperlink r:id="rId136" w:history="1">
        <w:r w:rsidR="00102D9D" w:rsidRPr="00FA5792">
          <w:rPr>
            <w:rStyle w:val="details-value"/>
            <w:rFonts w:ascii="Times New Roman" w:hAnsi="Times New Roman" w:cs="Times New Roman"/>
            <w:sz w:val="28"/>
            <w:szCs w:val="28"/>
            <w:lang w:val="en-US"/>
          </w:rPr>
          <w:t>Belma Malanda</w:t>
        </w:r>
      </w:hyperlink>
      <w:r w:rsidR="00102D9D" w:rsidRPr="00FA5792">
        <w:rPr>
          <w:rStyle w:val="13"/>
          <w:rFonts w:ascii="Times New Roman" w:hAnsi="Times New Roman" w:cs="Times New Roman"/>
          <w:sz w:val="28"/>
          <w:szCs w:val="28"/>
          <w:vertAlign w:val="superscript"/>
          <w:lang w:val="en-US"/>
        </w:rPr>
        <w:t> </w:t>
      </w:r>
      <w:r w:rsidR="00102D9D" w:rsidRPr="00FA5792">
        <w:rPr>
          <w:rStyle w:val="identifier"/>
          <w:rFonts w:ascii="Times New Roman" w:eastAsia="Calibri" w:hAnsi="Times New Roman" w:cs="Times New Roman"/>
          <w:sz w:val="28"/>
          <w:szCs w:val="28"/>
          <w:lang w:val="en-US"/>
        </w:rPr>
        <w:t>, </w:t>
      </w:r>
      <w:hyperlink r:id="rId137" w:history="1">
        <w:r w:rsidR="00102D9D" w:rsidRPr="00FA5792">
          <w:rPr>
            <w:rStyle w:val="details-value"/>
            <w:rFonts w:ascii="Times New Roman" w:hAnsi="Times New Roman" w:cs="Times New Roman"/>
            <w:sz w:val="28"/>
            <w:szCs w:val="28"/>
            <w:lang w:val="en-US"/>
          </w:rPr>
          <w:t>Edward W Gregg</w:t>
        </w:r>
      </w:hyperlink>
      <w:r w:rsidR="00102D9D" w:rsidRPr="00FA5792">
        <w:rPr>
          <w:rStyle w:val="13"/>
          <w:rFonts w:ascii="Times New Roman" w:hAnsi="Times New Roman" w:cs="Times New Roman"/>
          <w:sz w:val="28"/>
          <w:szCs w:val="28"/>
          <w:vertAlign w:val="superscript"/>
          <w:lang w:val="en-US"/>
        </w:rPr>
        <w:t> </w:t>
      </w:r>
      <w:r w:rsidR="00102D9D" w:rsidRPr="00FA5792">
        <w:rPr>
          <w:rStyle w:val="identifier"/>
          <w:rFonts w:ascii="Times New Roman" w:eastAsia="Calibri" w:hAnsi="Times New Roman" w:cs="Times New Roman"/>
          <w:sz w:val="28"/>
          <w:szCs w:val="28"/>
          <w:lang w:val="en-US"/>
        </w:rPr>
        <w:t>, </w:t>
      </w:r>
      <w:hyperlink r:id="rId138" w:history="1">
        <w:r w:rsidR="00102D9D" w:rsidRPr="00FA5792">
          <w:rPr>
            <w:rStyle w:val="details-value"/>
            <w:rFonts w:ascii="Times New Roman" w:hAnsi="Times New Roman" w:cs="Times New Roman"/>
            <w:sz w:val="28"/>
            <w:szCs w:val="28"/>
            <w:lang w:val="en-US"/>
          </w:rPr>
          <w:t>Nigel Unwin</w:t>
        </w:r>
      </w:hyperlink>
      <w:r w:rsidR="00102D9D" w:rsidRPr="00FA5792">
        <w:rPr>
          <w:rStyle w:val="13"/>
          <w:rFonts w:ascii="Times New Roman" w:hAnsi="Times New Roman" w:cs="Times New Roman"/>
          <w:sz w:val="28"/>
          <w:szCs w:val="28"/>
          <w:vertAlign w:val="superscript"/>
          <w:lang w:val="en-US"/>
        </w:rPr>
        <w:t> </w:t>
      </w:r>
      <w:r w:rsidR="00102D9D" w:rsidRPr="00FA5792">
        <w:rPr>
          <w:rStyle w:val="identifier"/>
          <w:rFonts w:ascii="Times New Roman" w:eastAsia="Calibri" w:hAnsi="Times New Roman" w:cs="Times New Roman"/>
          <w:sz w:val="28"/>
          <w:szCs w:val="28"/>
          <w:lang w:val="en-US"/>
        </w:rPr>
        <w:t>, </w:t>
      </w:r>
      <w:hyperlink r:id="rId139" w:history="1">
        <w:r w:rsidR="00102D9D" w:rsidRPr="00FA5792">
          <w:rPr>
            <w:rStyle w:val="details-value"/>
            <w:rFonts w:ascii="Times New Roman" w:hAnsi="Times New Roman" w:cs="Times New Roman"/>
            <w:sz w:val="28"/>
            <w:szCs w:val="28"/>
            <w:lang w:val="en-US"/>
          </w:rPr>
          <w:t>Sarah H Wild</w:t>
        </w:r>
      </w:hyperlink>
      <w:r w:rsidR="00102D9D" w:rsidRPr="00FA5792">
        <w:rPr>
          <w:rStyle w:val="13"/>
          <w:rFonts w:ascii="Times New Roman" w:hAnsi="Times New Roman" w:cs="Times New Roman"/>
          <w:sz w:val="28"/>
          <w:szCs w:val="28"/>
          <w:vertAlign w:val="superscript"/>
          <w:lang w:val="en-US"/>
        </w:rPr>
        <w:t> </w:t>
      </w:r>
      <w:r w:rsidR="00102D9D" w:rsidRPr="00FA5792">
        <w:rPr>
          <w:rStyle w:val="identifier"/>
          <w:rFonts w:ascii="Times New Roman" w:eastAsia="Calibri" w:hAnsi="Times New Roman" w:cs="Times New Roman"/>
          <w:sz w:val="28"/>
          <w:szCs w:val="28"/>
          <w:lang w:val="en-US"/>
        </w:rPr>
        <w:t>, </w:t>
      </w:r>
      <w:hyperlink r:id="rId140" w:history="1">
        <w:r w:rsidR="00102D9D" w:rsidRPr="00FA5792">
          <w:rPr>
            <w:rStyle w:val="details-value"/>
            <w:rFonts w:ascii="Times New Roman" w:hAnsi="Times New Roman" w:cs="Times New Roman"/>
            <w:sz w:val="28"/>
            <w:szCs w:val="28"/>
            <w:lang w:val="en-US"/>
          </w:rPr>
          <w:t>Rhys Williams</w:t>
        </w:r>
      </w:hyperlink>
      <w:r w:rsidR="00102D9D" w:rsidRPr="00FA5792">
        <w:rPr>
          <w:rStyle w:val="comma"/>
          <w:rFonts w:ascii="Times New Roman" w:hAnsi="Times New Roman" w:cs="Times New Roman"/>
          <w:sz w:val="28"/>
          <w:szCs w:val="28"/>
          <w:lang w:val="en-US"/>
        </w:rPr>
        <w:t xml:space="preserve">. </w:t>
      </w:r>
      <w:r w:rsidR="00102D9D" w:rsidRPr="00FA5792">
        <w:rPr>
          <w:rFonts w:ascii="Times New Roman" w:hAnsi="Times New Roman" w:cs="Times New Roman"/>
          <w:sz w:val="28"/>
          <w:szCs w:val="28"/>
          <w:lang w:val="en-US"/>
        </w:rPr>
        <w:t>Mortality attributable to diabetes in 20-79 years old adults, 2019 estimates: Results from the International Diabetes Federation Diabetes Atlas, 9 </w:t>
      </w:r>
      <w:r w:rsidR="00102D9D" w:rsidRPr="00FA5792">
        <w:rPr>
          <w:rFonts w:ascii="Times New Roman" w:hAnsi="Times New Roman" w:cs="Times New Roman"/>
          <w:sz w:val="28"/>
          <w:szCs w:val="28"/>
          <w:vertAlign w:val="superscript"/>
          <w:lang w:val="en-US"/>
        </w:rPr>
        <w:t>th</w:t>
      </w:r>
      <w:r w:rsidR="00102D9D" w:rsidRPr="00FA5792">
        <w:rPr>
          <w:rFonts w:ascii="Times New Roman" w:hAnsi="Times New Roman" w:cs="Times New Roman"/>
          <w:sz w:val="28"/>
          <w:szCs w:val="28"/>
          <w:lang w:val="en-US"/>
        </w:rPr>
        <w:t> edition</w:t>
      </w:r>
      <w:r w:rsidR="00102D9D" w:rsidRPr="00631FF5">
        <w:rPr>
          <w:rFonts w:ascii="Times New Roman" w:hAnsi="Times New Roman" w:cs="Times New Roman"/>
          <w:sz w:val="28"/>
          <w:szCs w:val="28"/>
          <w:lang w:val="en-US"/>
        </w:rPr>
        <w:t xml:space="preserve"> //</w:t>
      </w:r>
      <w:r w:rsidR="00102D9D" w:rsidRPr="00FA5792">
        <w:rPr>
          <w:rFonts w:ascii="Times New Roman" w:hAnsi="Times New Roman" w:cs="Times New Roman"/>
          <w:sz w:val="28"/>
          <w:szCs w:val="28"/>
          <w:lang w:val="en-US"/>
        </w:rPr>
        <w:t xml:space="preserve"> Diabetes Res Clin Pract</w:t>
      </w:r>
      <w:r w:rsidR="00102D9D" w:rsidRPr="00FA5792">
        <w:rPr>
          <w:rStyle w:val="citation-doi"/>
          <w:rFonts w:ascii="Times New Roman" w:hAnsi="Times New Roman" w:cs="Times New Roman"/>
          <w:sz w:val="28"/>
          <w:szCs w:val="28"/>
          <w:lang w:val="en-US"/>
        </w:rPr>
        <w:t>. </w:t>
      </w:r>
      <w:r w:rsidR="00102D9D">
        <w:rPr>
          <w:rStyle w:val="citation-doi"/>
          <w:rFonts w:ascii="Times New Roman" w:hAnsi="Times New Roman" w:cs="Times New Roman"/>
          <w:sz w:val="28"/>
          <w:szCs w:val="28"/>
          <w:lang w:val="en-US"/>
        </w:rPr>
        <w:t>–</w:t>
      </w:r>
      <w:r w:rsidR="00102D9D" w:rsidRPr="00631FF5">
        <w:rPr>
          <w:rStyle w:val="citation-doi"/>
          <w:rFonts w:ascii="Times New Roman" w:hAnsi="Times New Roman" w:cs="Times New Roman"/>
          <w:sz w:val="28"/>
          <w:szCs w:val="28"/>
          <w:lang w:val="en-US"/>
        </w:rPr>
        <w:t xml:space="preserve"> </w:t>
      </w:r>
      <w:r w:rsidR="00102D9D" w:rsidRPr="00FA5792">
        <w:rPr>
          <w:rStyle w:val="secondary-date"/>
          <w:rFonts w:ascii="Times New Roman" w:hAnsi="Times New Roman" w:cs="Times New Roman"/>
          <w:sz w:val="28"/>
          <w:szCs w:val="28"/>
          <w:lang w:val="en-US"/>
        </w:rPr>
        <w:t>2020</w:t>
      </w:r>
      <w:r w:rsidR="00102D9D" w:rsidRPr="00631FF5">
        <w:rPr>
          <w:rStyle w:val="secondary-date"/>
          <w:rFonts w:ascii="Times New Roman" w:hAnsi="Times New Roman" w:cs="Times New Roman"/>
          <w:sz w:val="28"/>
          <w:szCs w:val="28"/>
          <w:lang w:val="en-US"/>
        </w:rPr>
        <w:t>. - №</w:t>
      </w:r>
      <w:r w:rsidR="00102D9D" w:rsidRPr="00FA5792">
        <w:rPr>
          <w:rStyle w:val="secondary-date"/>
          <w:rFonts w:ascii="Times New Roman" w:hAnsi="Times New Roman" w:cs="Times New Roman"/>
          <w:sz w:val="28"/>
          <w:szCs w:val="28"/>
          <w:lang w:val="en-US"/>
        </w:rPr>
        <w:t>162</w:t>
      </w:r>
      <w:r w:rsidR="00102D9D" w:rsidRPr="00631FF5">
        <w:rPr>
          <w:rStyle w:val="secondary-date"/>
          <w:rFonts w:ascii="Times New Roman" w:hAnsi="Times New Roman" w:cs="Times New Roman"/>
          <w:sz w:val="28"/>
          <w:szCs w:val="28"/>
          <w:lang w:val="en-US"/>
        </w:rPr>
        <w:t xml:space="preserve">. – </w:t>
      </w:r>
      <w:r w:rsidR="00102D9D">
        <w:rPr>
          <w:rStyle w:val="secondary-date"/>
          <w:rFonts w:ascii="Times New Roman" w:hAnsi="Times New Roman" w:cs="Times New Roman"/>
          <w:sz w:val="28"/>
          <w:szCs w:val="28"/>
        </w:rPr>
        <w:t>Р</w:t>
      </w:r>
      <w:r w:rsidR="00102D9D" w:rsidRPr="00631FF5">
        <w:rPr>
          <w:rStyle w:val="secondary-date"/>
          <w:rFonts w:ascii="Times New Roman" w:hAnsi="Times New Roman" w:cs="Times New Roman"/>
          <w:sz w:val="28"/>
          <w:szCs w:val="28"/>
          <w:lang w:val="en-US"/>
        </w:rPr>
        <w:t xml:space="preserve">. </w:t>
      </w:r>
      <w:r w:rsidR="00102D9D" w:rsidRPr="00FA5792">
        <w:rPr>
          <w:rStyle w:val="secondary-date"/>
          <w:rFonts w:ascii="Times New Roman" w:hAnsi="Times New Roman" w:cs="Times New Roman"/>
          <w:sz w:val="28"/>
          <w:szCs w:val="28"/>
          <w:lang w:val="en-US"/>
        </w:rPr>
        <w:t xml:space="preserve">108086. </w:t>
      </w:r>
      <w:r w:rsidR="00102D9D" w:rsidRPr="00FA5792">
        <w:rPr>
          <w:rFonts w:ascii="Times New Roman" w:hAnsi="Times New Roman" w:cs="Times New Roman"/>
          <w:sz w:val="28"/>
          <w:szCs w:val="28"/>
          <w:lang w:val="en-US"/>
        </w:rPr>
        <w:t> </w:t>
      </w:r>
      <w:r w:rsidR="00102D9D" w:rsidRPr="00FA5792">
        <w:rPr>
          <w:rStyle w:val="title-text"/>
          <w:rFonts w:ascii="Times New Roman" w:hAnsi="Times New Roman" w:cs="Times New Roman"/>
          <w:sz w:val="28"/>
          <w:szCs w:val="28"/>
          <w:lang w:val="en-US"/>
        </w:rPr>
        <w:t>doi: 10.1016/j.diabres.2020.108086.</w:t>
      </w:r>
      <w:r w:rsidR="00102D9D" w:rsidRPr="00FA5792">
        <w:rPr>
          <w:rFonts w:ascii="Times New Roman" w:hAnsi="Times New Roman" w:cs="Times New Roman"/>
          <w:sz w:val="28"/>
          <w:szCs w:val="28"/>
          <w:lang w:val="en-US"/>
        </w:rPr>
        <w:t> </w:t>
      </w:r>
      <w:r w:rsidR="00102D9D" w:rsidRPr="00FA5792">
        <w:rPr>
          <w:rStyle w:val="sr-only"/>
          <w:rFonts w:ascii="Times New Roman" w:hAnsi="Times New Roman" w:cs="Times New Roman"/>
          <w:sz w:val="28"/>
          <w:szCs w:val="28"/>
          <w:lang w:val="en-US"/>
        </w:rPr>
        <w:t xml:space="preserve">Epub 2020 Feb 15. </w:t>
      </w:r>
      <w:r w:rsidR="00102D9D" w:rsidRPr="00C86AF6">
        <w:rPr>
          <w:rFonts w:ascii="Times New Roman" w:hAnsi="Times New Roman" w:cs="Times New Roman"/>
          <w:sz w:val="28"/>
          <w:szCs w:val="28"/>
          <w:lang w:val="en-US"/>
        </w:rPr>
        <w:t>Affiliations </w:t>
      </w:r>
      <w:r w:rsidR="00102D9D" w:rsidRPr="00C86AF6">
        <w:rPr>
          <w:rStyle w:val="id-label"/>
          <w:rFonts w:ascii="Times New Roman" w:hAnsi="Times New Roman" w:cs="Times New Roman"/>
          <w:sz w:val="28"/>
          <w:szCs w:val="28"/>
          <w:lang w:val="en-US"/>
        </w:rPr>
        <w:t>expand</w:t>
      </w:r>
      <w:r w:rsidR="00102D9D" w:rsidRPr="00C86AF6">
        <w:rPr>
          <w:rFonts w:ascii="Times New Roman" w:hAnsi="Times New Roman" w:cs="Times New Roman"/>
          <w:sz w:val="28"/>
          <w:szCs w:val="28"/>
          <w:lang w:val="en-US"/>
        </w:rPr>
        <w:t xml:space="preserve">. </w:t>
      </w:r>
      <w:r w:rsidR="00102D9D" w:rsidRPr="00C86AF6">
        <w:rPr>
          <w:rStyle w:val="cit"/>
          <w:rFonts w:ascii="Times New Roman" w:hAnsi="Times New Roman" w:cs="Times New Roman"/>
          <w:sz w:val="28"/>
          <w:szCs w:val="28"/>
          <w:lang w:val="en-US"/>
        </w:rPr>
        <w:t>PMID: </w:t>
      </w:r>
      <w:r w:rsidR="00102D9D" w:rsidRPr="00C86AF6">
        <w:rPr>
          <w:rStyle w:val="ab"/>
          <w:rFonts w:ascii="Times New Roman" w:hAnsi="Times New Roman" w:cs="Times New Roman"/>
          <w:color w:val="auto"/>
          <w:sz w:val="28"/>
          <w:szCs w:val="28"/>
          <w:u w:val="none"/>
          <w:lang w:val="en-US"/>
        </w:rPr>
        <w:t xml:space="preserve">32068099. </w:t>
      </w:r>
      <w:r w:rsidR="00102D9D" w:rsidRPr="00C86AF6">
        <w:rPr>
          <w:rStyle w:val="cit"/>
          <w:rFonts w:ascii="Times New Roman" w:hAnsi="Times New Roman" w:cs="Times New Roman"/>
          <w:sz w:val="28"/>
          <w:szCs w:val="28"/>
          <w:lang w:val="en-US"/>
        </w:rPr>
        <w:t>DOI: </w:t>
      </w:r>
      <w:hyperlink r:id="rId141" w:tgtFrame="_blank" w:history="1">
        <w:r w:rsidR="00102D9D" w:rsidRPr="00C86AF6">
          <w:rPr>
            <w:rStyle w:val="details-value"/>
            <w:rFonts w:ascii="Times New Roman" w:hAnsi="Times New Roman" w:cs="Times New Roman"/>
            <w:sz w:val="28"/>
            <w:szCs w:val="28"/>
            <w:lang w:val="en-US"/>
          </w:rPr>
          <w:t>10.1016/j.diabres.2020.108086</w:t>
        </w:r>
      </w:hyperlink>
    </w:p>
    <w:p w14:paraId="11C93E10" w14:textId="77777777" w:rsidR="00102D9D" w:rsidRPr="00C86AF6" w:rsidRDefault="001B62DB" w:rsidP="00102D9D">
      <w:pPr>
        <w:pStyle w:val="a3"/>
        <w:numPr>
          <w:ilvl w:val="0"/>
          <w:numId w:val="75"/>
        </w:numPr>
        <w:tabs>
          <w:tab w:val="left" w:pos="426"/>
          <w:tab w:val="left" w:pos="709"/>
        </w:tabs>
        <w:spacing w:after="0" w:line="240" w:lineRule="auto"/>
        <w:ind w:left="0" w:firstLine="709"/>
        <w:jc w:val="both"/>
        <w:rPr>
          <w:rStyle w:val="ab"/>
          <w:rFonts w:ascii="Times New Roman" w:hAnsi="Times New Roman" w:cs="Times New Roman"/>
          <w:color w:val="auto"/>
          <w:sz w:val="28"/>
          <w:szCs w:val="28"/>
          <w:u w:val="none"/>
          <w:lang w:val="en-US"/>
        </w:rPr>
      </w:pPr>
      <w:hyperlink r:id="rId142" w:history="1">
        <w:r w:rsidR="00102D9D" w:rsidRPr="00FA5792">
          <w:rPr>
            <w:rStyle w:val="ab"/>
            <w:rFonts w:ascii="Times New Roman" w:eastAsia="Times New Roman" w:hAnsi="Times New Roman" w:cs="Times New Roman"/>
            <w:color w:val="auto"/>
            <w:sz w:val="28"/>
            <w:szCs w:val="28"/>
            <w:u w:val="none"/>
            <w:lang w:val="en-US"/>
          </w:rPr>
          <w:t>https</w:t>
        </w:r>
        <w:r w:rsidR="00102D9D" w:rsidRPr="00C86AF6">
          <w:rPr>
            <w:rStyle w:val="ab"/>
            <w:rFonts w:ascii="Times New Roman" w:eastAsia="Times New Roman" w:hAnsi="Times New Roman" w:cs="Times New Roman"/>
            <w:color w:val="auto"/>
            <w:sz w:val="28"/>
            <w:szCs w:val="28"/>
            <w:u w:val="none"/>
            <w:lang w:val="en-US"/>
          </w:rPr>
          <w:t>://</w:t>
        </w:r>
        <w:r w:rsidR="00102D9D" w:rsidRPr="00FA5792">
          <w:rPr>
            <w:rStyle w:val="ab"/>
            <w:rFonts w:ascii="Times New Roman" w:eastAsia="Times New Roman" w:hAnsi="Times New Roman" w:cs="Times New Roman"/>
            <w:color w:val="auto"/>
            <w:sz w:val="28"/>
            <w:szCs w:val="28"/>
            <w:u w:val="none"/>
            <w:lang w:val="en-US"/>
          </w:rPr>
          <w:t>nonews</w:t>
        </w:r>
        <w:r w:rsidR="00102D9D" w:rsidRPr="00C86AF6">
          <w:rPr>
            <w:rStyle w:val="ab"/>
            <w:rFonts w:ascii="Times New Roman" w:eastAsia="Times New Roman" w:hAnsi="Times New Roman" w:cs="Times New Roman"/>
            <w:color w:val="auto"/>
            <w:sz w:val="28"/>
            <w:szCs w:val="28"/>
            <w:u w:val="none"/>
            <w:lang w:val="en-US"/>
          </w:rPr>
          <w:t>.</w:t>
        </w:r>
        <w:r w:rsidR="00102D9D" w:rsidRPr="00FA5792">
          <w:rPr>
            <w:rStyle w:val="ab"/>
            <w:rFonts w:ascii="Times New Roman" w:eastAsia="Times New Roman" w:hAnsi="Times New Roman" w:cs="Times New Roman"/>
            <w:color w:val="auto"/>
            <w:sz w:val="28"/>
            <w:szCs w:val="28"/>
            <w:u w:val="none"/>
            <w:lang w:val="en-US"/>
          </w:rPr>
          <w:t>co</w:t>
        </w:r>
        <w:r w:rsidR="00102D9D" w:rsidRPr="00C86AF6">
          <w:rPr>
            <w:rStyle w:val="ab"/>
            <w:rFonts w:ascii="Times New Roman" w:eastAsia="Times New Roman" w:hAnsi="Times New Roman" w:cs="Times New Roman"/>
            <w:color w:val="auto"/>
            <w:sz w:val="28"/>
            <w:szCs w:val="28"/>
            <w:u w:val="none"/>
            <w:lang w:val="en-US"/>
          </w:rPr>
          <w:t>/</w:t>
        </w:r>
        <w:r w:rsidR="00102D9D" w:rsidRPr="00FA5792">
          <w:rPr>
            <w:rStyle w:val="ab"/>
            <w:rFonts w:ascii="Times New Roman" w:eastAsia="Times New Roman" w:hAnsi="Times New Roman" w:cs="Times New Roman"/>
            <w:color w:val="auto"/>
            <w:sz w:val="28"/>
            <w:szCs w:val="28"/>
            <w:u w:val="none"/>
            <w:lang w:val="en-US"/>
          </w:rPr>
          <w:t>directory</w:t>
        </w:r>
        <w:r w:rsidR="00102D9D" w:rsidRPr="00C86AF6">
          <w:rPr>
            <w:rStyle w:val="ab"/>
            <w:rFonts w:ascii="Times New Roman" w:eastAsia="Times New Roman" w:hAnsi="Times New Roman" w:cs="Times New Roman"/>
            <w:color w:val="auto"/>
            <w:sz w:val="28"/>
            <w:szCs w:val="28"/>
            <w:u w:val="none"/>
            <w:lang w:val="en-US"/>
          </w:rPr>
          <w:t>/</w:t>
        </w:r>
        <w:r w:rsidR="00102D9D" w:rsidRPr="00FA5792">
          <w:rPr>
            <w:rStyle w:val="ab"/>
            <w:rFonts w:ascii="Times New Roman" w:eastAsia="Times New Roman" w:hAnsi="Times New Roman" w:cs="Times New Roman"/>
            <w:color w:val="auto"/>
            <w:sz w:val="28"/>
            <w:szCs w:val="28"/>
            <w:u w:val="none"/>
            <w:lang w:val="en-US"/>
          </w:rPr>
          <w:t>lists</w:t>
        </w:r>
        <w:r w:rsidR="00102D9D" w:rsidRPr="00C86AF6">
          <w:rPr>
            <w:rStyle w:val="ab"/>
            <w:rFonts w:ascii="Times New Roman" w:eastAsia="Times New Roman" w:hAnsi="Times New Roman" w:cs="Times New Roman"/>
            <w:color w:val="auto"/>
            <w:sz w:val="28"/>
            <w:szCs w:val="28"/>
            <w:u w:val="none"/>
            <w:lang w:val="en-US"/>
          </w:rPr>
          <w:t>/</w:t>
        </w:r>
        <w:r w:rsidR="00102D9D" w:rsidRPr="00FA5792">
          <w:rPr>
            <w:rStyle w:val="ab"/>
            <w:rFonts w:ascii="Times New Roman" w:eastAsia="Times New Roman" w:hAnsi="Times New Roman" w:cs="Times New Roman"/>
            <w:color w:val="auto"/>
            <w:sz w:val="28"/>
            <w:szCs w:val="28"/>
            <w:u w:val="none"/>
            <w:lang w:val="en-US"/>
          </w:rPr>
          <w:t>countries</w:t>
        </w:r>
        <w:r w:rsidR="00102D9D" w:rsidRPr="00C86AF6">
          <w:rPr>
            <w:rStyle w:val="ab"/>
            <w:rFonts w:ascii="Times New Roman" w:eastAsia="Times New Roman" w:hAnsi="Times New Roman" w:cs="Times New Roman"/>
            <w:color w:val="auto"/>
            <w:sz w:val="28"/>
            <w:szCs w:val="28"/>
            <w:u w:val="none"/>
            <w:lang w:val="en-US"/>
          </w:rPr>
          <w:t>/</w:t>
        </w:r>
        <w:r w:rsidR="00102D9D" w:rsidRPr="00FA5792">
          <w:rPr>
            <w:rStyle w:val="ab"/>
            <w:rFonts w:ascii="Times New Roman" w:eastAsia="Times New Roman" w:hAnsi="Times New Roman" w:cs="Times New Roman"/>
            <w:color w:val="auto"/>
            <w:sz w:val="28"/>
            <w:szCs w:val="28"/>
            <w:u w:val="none"/>
            <w:lang w:val="en-US"/>
          </w:rPr>
          <w:t>diabetes</w:t>
        </w:r>
        <w:r w:rsidR="00102D9D" w:rsidRPr="00C86AF6">
          <w:rPr>
            <w:rStyle w:val="ab"/>
            <w:rFonts w:ascii="Times New Roman" w:eastAsia="Times New Roman" w:hAnsi="Times New Roman" w:cs="Times New Roman"/>
            <w:color w:val="auto"/>
            <w:sz w:val="28"/>
            <w:szCs w:val="28"/>
            <w:u w:val="none"/>
            <w:lang w:val="en-US"/>
          </w:rPr>
          <w:t>-</w:t>
        </w:r>
        <w:r w:rsidR="00102D9D" w:rsidRPr="00FA5792">
          <w:rPr>
            <w:rStyle w:val="ab"/>
            <w:rFonts w:ascii="Times New Roman" w:eastAsia="Times New Roman" w:hAnsi="Times New Roman" w:cs="Times New Roman"/>
            <w:color w:val="auto"/>
            <w:sz w:val="28"/>
            <w:szCs w:val="28"/>
            <w:u w:val="none"/>
            <w:lang w:val="en-US"/>
          </w:rPr>
          <w:t>prevalence</w:t>
        </w:r>
      </w:hyperlink>
      <w:r w:rsidR="00102D9D" w:rsidRPr="00C86AF6">
        <w:rPr>
          <w:rStyle w:val="ab"/>
          <w:rFonts w:ascii="Times New Roman" w:eastAsia="Times New Roman" w:hAnsi="Times New Roman" w:cs="Times New Roman"/>
          <w:color w:val="auto"/>
          <w:sz w:val="28"/>
          <w:szCs w:val="28"/>
          <w:u w:val="none"/>
          <w:lang w:val="en-US"/>
        </w:rPr>
        <w:t>.</w:t>
      </w:r>
    </w:p>
    <w:p w14:paraId="705E9791" w14:textId="78D1DF86"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sz w:val="28"/>
          <w:szCs w:val="28"/>
          <w:lang w:val="en-US"/>
        </w:rPr>
        <w:t>American Diabetes Association. Standards of Medical Care in Diabetes – 2012 // Diabetes Care. – 2012. — № 35 (Suppl.1). –</w:t>
      </w:r>
      <w:r w:rsidRPr="00631FF5">
        <w:rPr>
          <w:rFonts w:ascii="Times New Roman" w:hAnsi="Times New Roman" w:cs="Times New Roman"/>
          <w:sz w:val="28"/>
          <w:szCs w:val="28"/>
          <w:lang w:val="en-US"/>
        </w:rPr>
        <w:t xml:space="preserve"> </w:t>
      </w:r>
      <w:r w:rsidRPr="00FA5792">
        <w:rPr>
          <w:rFonts w:ascii="Times New Roman" w:hAnsi="Times New Roman" w:cs="Times New Roman"/>
          <w:sz w:val="28"/>
          <w:szCs w:val="28"/>
        </w:rPr>
        <w:t>Р</w:t>
      </w:r>
      <w:r>
        <w:rPr>
          <w:rFonts w:ascii="Times New Roman" w:hAnsi="Times New Roman" w:cs="Times New Roman"/>
          <w:sz w:val="28"/>
          <w:szCs w:val="28"/>
          <w:lang w:val="en-US"/>
        </w:rPr>
        <w:t xml:space="preserve">. </w:t>
      </w:r>
      <w:r w:rsidRPr="00FA5792">
        <w:rPr>
          <w:rFonts w:ascii="Times New Roman" w:hAnsi="Times New Roman" w:cs="Times New Roman"/>
          <w:sz w:val="28"/>
          <w:szCs w:val="28"/>
          <w:lang w:val="en-US"/>
        </w:rPr>
        <w:t>11-59.</w:t>
      </w:r>
    </w:p>
    <w:p w14:paraId="77E998DF"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lang w:val="en-US"/>
        </w:rPr>
        <w:t xml:space="preserve">Unger Jeff.  Diabetes Management in the Primary Care Setting, 2nd Edition.  </w:t>
      </w:r>
      <w:r w:rsidRPr="00FA5792">
        <w:rPr>
          <w:rFonts w:ascii="Times New Roman" w:hAnsi="Times New Roman" w:cs="Times New Roman"/>
          <w:sz w:val="28"/>
          <w:szCs w:val="28"/>
        </w:rPr>
        <w:t>— Copyright В©2013, Lippincott Williams &amp; Wilkins. – 2013. – 473 p.</w:t>
      </w:r>
    </w:p>
    <w:p w14:paraId="579AA550"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sz w:val="28"/>
          <w:szCs w:val="28"/>
          <w:lang w:val="en-US"/>
        </w:rPr>
        <w:t>World Health Organization. 2008-2013 Action plan for the global strategy for the prevention and control of non-communicable diseases. Geneva: World Health Organization; 2008. Available from: </w:t>
      </w:r>
      <w:hyperlink r:id="rId143" w:history="1">
        <w:r w:rsidRPr="00FA5792">
          <w:rPr>
            <w:rFonts w:ascii="Times New Roman" w:hAnsi="Times New Roman" w:cs="Times New Roman"/>
            <w:sz w:val="28"/>
            <w:szCs w:val="28"/>
            <w:lang w:val="en-US"/>
          </w:rPr>
          <w:t>http://www.who.int/nmh/publications/ncd_action_plan_en.pdf</w:t>
        </w:r>
      </w:hyperlink>
      <w:r w:rsidRPr="00631FF5">
        <w:rPr>
          <w:rFonts w:ascii="Times New Roman" w:hAnsi="Times New Roman" w:cs="Times New Roman"/>
          <w:sz w:val="28"/>
          <w:szCs w:val="28"/>
          <w:lang w:val="en-US"/>
        </w:rPr>
        <w:t>.</w:t>
      </w:r>
    </w:p>
    <w:p w14:paraId="62C4C31B"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sz w:val="28"/>
          <w:szCs w:val="28"/>
          <w:lang w:val="en-US"/>
        </w:rPr>
        <w:t>World Health Organization. The world health report 2008: Primary health care now more than ever. Geneva (Switzerland): World Health Organization</w:t>
      </w:r>
      <w:r w:rsidRPr="00631FF5">
        <w:rPr>
          <w:rFonts w:ascii="Times New Roman" w:hAnsi="Times New Roman" w:cs="Times New Roman"/>
          <w:sz w:val="28"/>
          <w:szCs w:val="28"/>
          <w:lang w:val="en-US"/>
        </w:rPr>
        <w:t>. -</w:t>
      </w:r>
      <w:r w:rsidRPr="00FA5792">
        <w:rPr>
          <w:rFonts w:ascii="Times New Roman" w:hAnsi="Times New Roman" w:cs="Times New Roman"/>
          <w:sz w:val="28"/>
          <w:szCs w:val="28"/>
          <w:lang w:val="en-US"/>
        </w:rPr>
        <w:t xml:space="preserve"> 2008. Available from: </w:t>
      </w:r>
      <w:hyperlink r:id="rId144" w:history="1">
        <w:r w:rsidRPr="00FA5792">
          <w:rPr>
            <w:rFonts w:ascii="Times New Roman" w:hAnsi="Times New Roman" w:cs="Times New Roman"/>
            <w:sz w:val="28"/>
            <w:szCs w:val="28"/>
            <w:lang w:val="en-US"/>
          </w:rPr>
          <w:t>http://www.who.int/whr/2008/whr08_en.pdf</w:t>
        </w:r>
      </w:hyperlink>
      <w:r w:rsidRPr="00631FF5">
        <w:rPr>
          <w:rFonts w:ascii="Times New Roman" w:hAnsi="Times New Roman" w:cs="Times New Roman"/>
          <w:sz w:val="28"/>
          <w:szCs w:val="28"/>
          <w:lang w:val="en-US"/>
        </w:rPr>
        <w:t>.</w:t>
      </w:r>
    </w:p>
    <w:p w14:paraId="317DC2DE" w14:textId="77777777" w:rsidR="00102D9D" w:rsidRPr="00631FF5"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sz w:val="28"/>
          <w:szCs w:val="28"/>
          <w:lang w:val="en-US"/>
        </w:rPr>
        <w:t xml:space="preserve">Global status report on noncommunicable diseases 2014. </w:t>
      </w:r>
      <w:r w:rsidRPr="00631FF5">
        <w:rPr>
          <w:rFonts w:ascii="Times New Roman" w:hAnsi="Times New Roman" w:cs="Times New Roman"/>
          <w:sz w:val="28"/>
          <w:szCs w:val="28"/>
          <w:lang w:val="en-US"/>
        </w:rPr>
        <w:t>- Geneva: World Health Organization, 2014.</w:t>
      </w:r>
    </w:p>
    <w:p w14:paraId="40A9933E" w14:textId="6E7CC850" w:rsidR="00102D9D" w:rsidRPr="00631FF5" w:rsidRDefault="00102D9D" w:rsidP="00102D9D">
      <w:pPr>
        <w:pStyle w:val="a3"/>
        <w:numPr>
          <w:ilvl w:val="0"/>
          <w:numId w:val="75"/>
        </w:numPr>
        <w:tabs>
          <w:tab w:val="left" w:pos="426"/>
          <w:tab w:val="left" w:pos="709"/>
        </w:tabs>
        <w:autoSpaceDE w:val="0"/>
        <w:autoSpaceDN w:val="0"/>
        <w:adjustRightInd w:val="0"/>
        <w:spacing w:after="0" w:line="240" w:lineRule="auto"/>
        <w:ind w:left="0" w:firstLine="709"/>
        <w:jc w:val="both"/>
        <w:rPr>
          <w:rFonts w:ascii="Times New Roman" w:eastAsia="MyriadPro-Regular" w:hAnsi="Times New Roman" w:cs="Times New Roman"/>
          <w:sz w:val="28"/>
          <w:szCs w:val="28"/>
          <w:lang w:val="en-US"/>
        </w:rPr>
      </w:pPr>
      <w:r w:rsidRPr="00FA5792">
        <w:rPr>
          <w:rFonts w:ascii="Times New Roman" w:eastAsia="MyriadPro-Regular" w:hAnsi="Times New Roman" w:cs="Times New Roman"/>
          <w:sz w:val="28"/>
          <w:szCs w:val="28"/>
        </w:rPr>
        <w:t>Сахарный</w:t>
      </w:r>
      <w:r w:rsidRPr="00631FF5">
        <w:rPr>
          <w:rFonts w:ascii="Times New Roman" w:eastAsia="MyriadPro-Regular" w:hAnsi="Times New Roman" w:cs="Times New Roman"/>
          <w:sz w:val="28"/>
          <w:szCs w:val="28"/>
          <w:lang w:val="en-US"/>
        </w:rPr>
        <w:t xml:space="preserve"> </w:t>
      </w:r>
      <w:r w:rsidRPr="00FA5792">
        <w:rPr>
          <w:rFonts w:ascii="Times New Roman" w:eastAsia="MyriadPro-Regular" w:hAnsi="Times New Roman" w:cs="Times New Roman"/>
          <w:sz w:val="28"/>
          <w:szCs w:val="28"/>
        </w:rPr>
        <w:t>диабет</w:t>
      </w:r>
      <w:r w:rsidRPr="00631FF5">
        <w:rPr>
          <w:rFonts w:ascii="Times New Roman" w:eastAsia="MyriadPro-Regular" w:hAnsi="Times New Roman" w:cs="Times New Roman"/>
          <w:sz w:val="28"/>
          <w:szCs w:val="28"/>
          <w:lang w:val="en-US"/>
        </w:rPr>
        <w:t xml:space="preserve">-  2018. - №21(3). – </w:t>
      </w:r>
      <w:r>
        <w:rPr>
          <w:rFonts w:ascii="Times New Roman" w:eastAsia="MyriadPro-Regular" w:hAnsi="Times New Roman" w:cs="Times New Roman"/>
          <w:sz w:val="28"/>
          <w:szCs w:val="28"/>
        </w:rPr>
        <w:t>С</w:t>
      </w:r>
      <w:r w:rsidRPr="00631FF5">
        <w:rPr>
          <w:rFonts w:ascii="Times New Roman" w:eastAsia="MyriadPro-Regular" w:hAnsi="Times New Roman" w:cs="Times New Roman"/>
          <w:sz w:val="28"/>
          <w:szCs w:val="28"/>
          <w:lang w:val="en-US"/>
        </w:rPr>
        <w:t xml:space="preserve">.144-159 </w:t>
      </w:r>
      <w:r w:rsidRPr="00FA5792">
        <w:rPr>
          <w:rFonts w:ascii="Times New Roman" w:eastAsia="MyriadPro-Regular" w:hAnsi="Times New Roman" w:cs="Times New Roman"/>
          <w:sz w:val="28"/>
          <w:szCs w:val="28"/>
          <w:lang w:val="en-US"/>
        </w:rPr>
        <w:t>doi</w:t>
      </w:r>
      <w:r w:rsidRPr="00631FF5">
        <w:rPr>
          <w:rFonts w:ascii="Times New Roman" w:eastAsia="MyriadPro-Regular" w:hAnsi="Times New Roman" w:cs="Times New Roman"/>
          <w:sz w:val="28"/>
          <w:szCs w:val="28"/>
          <w:lang w:val="en-US"/>
        </w:rPr>
        <w:t>: 10.14341/</w:t>
      </w:r>
      <w:r w:rsidRPr="00FA5792">
        <w:rPr>
          <w:rFonts w:ascii="Times New Roman" w:eastAsia="MyriadPro-Regular" w:hAnsi="Times New Roman" w:cs="Times New Roman"/>
          <w:sz w:val="28"/>
          <w:szCs w:val="28"/>
          <w:lang w:val="en-US"/>
        </w:rPr>
        <w:t>DM</w:t>
      </w:r>
      <w:r w:rsidRPr="00631FF5">
        <w:rPr>
          <w:rFonts w:ascii="Times New Roman" w:eastAsia="MyriadPro-Regular" w:hAnsi="Times New Roman" w:cs="Times New Roman"/>
          <w:sz w:val="28"/>
          <w:szCs w:val="28"/>
          <w:lang w:val="en-US"/>
        </w:rPr>
        <w:t xml:space="preserve">9686 </w:t>
      </w:r>
      <w:r w:rsidRPr="00FA5792">
        <w:rPr>
          <w:rFonts w:ascii="Times New Roman" w:eastAsia="MyriadPro-Regular" w:hAnsi="Times New Roman" w:cs="Times New Roman"/>
          <w:sz w:val="28"/>
          <w:szCs w:val="28"/>
          <w:lang w:val="en-US"/>
        </w:rPr>
        <w:t>Diabetes</w:t>
      </w:r>
      <w:r w:rsidRPr="00631FF5">
        <w:rPr>
          <w:rFonts w:ascii="Times New Roman" w:eastAsia="MyriadPro-Regular" w:hAnsi="Times New Roman" w:cs="Times New Roman"/>
          <w:sz w:val="28"/>
          <w:szCs w:val="28"/>
          <w:lang w:val="en-US"/>
        </w:rPr>
        <w:t xml:space="preserve"> </w:t>
      </w:r>
      <w:r w:rsidRPr="00FA5792">
        <w:rPr>
          <w:rFonts w:ascii="Times New Roman" w:eastAsia="MyriadPro-Regular" w:hAnsi="Times New Roman" w:cs="Times New Roman"/>
          <w:sz w:val="28"/>
          <w:szCs w:val="28"/>
          <w:lang w:val="en-US"/>
        </w:rPr>
        <w:t>Mellitus</w:t>
      </w:r>
      <w:r w:rsidRPr="00631FF5">
        <w:rPr>
          <w:rFonts w:ascii="Times New Roman" w:eastAsia="MyriadPro-Regular" w:hAnsi="Times New Roman" w:cs="Times New Roman"/>
          <w:sz w:val="28"/>
          <w:szCs w:val="28"/>
          <w:lang w:val="en-US"/>
        </w:rPr>
        <w:t>. 2018;</w:t>
      </w:r>
      <w:r>
        <w:rPr>
          <w:rFonts w:ascii="Times New Roman" w:eastAsia="MyriadPro-Regular" w:hAnsi="Times New Roman" w:cs="Times New Roman"/>
          <w:sz w:val="28"/>
          <w:szCs w:val="28"/>
        </w:rPr>
        <w:t xml:space="preserve"> </w:t>
      </w:r>
      <w:r w:rsidRPr="00631FF5">
        <w:rPr>
          <w:rFonts w:ascii="Times New Roman" w:eastAsia="MyriadPro-Regular" w:hAnsi="Times New Roman" w:cs="Times New Roman"/>
          <w:sz w:val="28"/>
          <w:szCs w:val="28"/>
          <w:lang w:val="en-US"/>
        </w:rPr>
        <w:t>21(3):144-159</w:t>
      </w:r>
      <w:r w:rsidRPr="00FA5792">
        <w:rPr>
          <w:rFonts w:ascii="Times New Roman" w:eastAsia="MyriadPro-Regular" w:hAnsi="Times New Roman" w:cs="Times New Roman"/>
          <w:sz w:val="28"/>
          <w:szCs w:val="28"/>
          <w:lang w:val="en-US"/>
        </w:rPr>
        <w:t>Russian</w:t>
      </w:r>
      <w:r w:rsidRPr="00631FF5">
        <w:rPr>
          <w:rFonts w:ascii="Times New Roman" w:eastAsia="MyriadPro-Regular" w:hAnsi="Times New Roman" w:cs="Times New Roman"/>
          <w:sz w:val="28"/>
          <w:szCs w:val="28"/>
          <w:lang w:val="en-US"/>
        </w:rPr>
        <w:t xml:space="preserve"> </w:t>
      </w:r>
      <w:r w:rsidRPr="00FA5792">
        <w:rPr>
          <w:rFonts w:ascii="Times New Roman" w:eastAsia="MyriadPro-Regular" w:hAnsi="Times New Roman" w:cs="Times New Roman"/>
          <w:sz w:val="28"/>
          <w:szCs w:val="28"/>
          <w:lang w:val="en-US"/>
        </w:rPr>
        <w:t>Association</w:t>
      </w:r>
      <w:r w:rsidRPr="00631FF5">
        <w:rPr>
          <w:rFonts w:ascii="Times New Roman" w:eastAsia="MyriadPro-Regular" w:hAnsi="Times New Roman" w:cs="Times New Roman"/>
          <w:sz w:val="28"/>
          <w:szCs w:val="28"/>
          <w:lang w:val="en-US"/>
        </w:rPr>
        <w:t xml:space="preserve"> </w:t>
      </w:r>
      <w:r w:rsidRPr="00FA5792">
        <w:rPr>
          <w:rFonts w:ascii="Times New Roman" w:eastAsia="MyriadPro-Regular" w:hAnsi="Times New Roman" w:cs="Times New Roman"/>
          <w:sz w:val="28"/>
          <w:szCs w:val="28"/>
          <w:lang w:val="en-US"/>
        </w:rPr>
        <w:t>of</w:t>
      </w:r>
      <w:r w:rsidRPr="00631FF5">
        <w:rPr>
          <w:rFonts w:ascii="Times New Roman" w:eastAsia="MyriadPro-Regular" w:hAnsi="Times New Roman" w:cs="Times New Roman"/>
          <w:sz w:val="28"/>
          <w:szCs w:val="28"/>
          <w:lang w:val="en-US"/>
        </w:rPr>
        <w:t xml:space="preserve"> </w:t>
      </w:r>
      <w:r w:rsidRPr="00FA5792">
        <w:rPr>
          <w:rFonts w:ascii="Times New Roman" w:eastAsia="MyriadPro-Regular" w:hAnsi="Times New Roman" w:cs="Times New Roman"/>
          <w:sz w:val="28"/>
          <w:szCs w:val="28"/>
          <w:lang w:val="en-US"/>
        </w:rPr>
        <w:t>Endocrinologists</w:t>
      </w:r>
      <w:r w:rsidRPr="00631FF5">
        <w:rPr>
          <w:rFonts w:ascii="Times New Roman" w:eastAsia="MyriadPro-Regular" w:hAnsi="Times New Roman" w:cs="Times New Roman"/>
          <w:sz w:val="28"/>
          <w:szCs w:val="28"/>
          <w:lang w:val="en-US"/>
        </w:rPr>
        <w:t xml:space="preserve">, 2018 </w:t>
      </w:r>
      <w:r w:rsidRPr="00FA5792">
        <w:rPr>
          <w:rFonts w:ascii="Times New Roman" w:eastAsia="MyriadPro-Regular" w:hAnsi="Times New Roman" w:cs="Times New Roman"/>
          <w:sz w:val="28"/>
          <w:szCs w:val="28"/>
          <w:lang w:val="en-US"/>
        </w:rPr>
        <w:t>Received</w:t>
      </w:r>
      <w:r w:rsidRPr="00631FF5">
        <w:rPr>
          <w:rFonts w:ascii="Times New Roman" w:eastAsia="MyriadPro-Regular" w:hAnsi="Times New Roman" w:cs="Times New Roman"/>
          <w:sz w:val="28"/>
          <w:szCs w:val="28"/>
          <w:lang w:val="en-US"/>
        </w:rPr>
        <w:t>: 24.05.2018. Accepted: 10.06.2018.</w:t>
      </w:r>
    </w:p>
    <w:p w14:paraId="4F3B21FD" w14:textId="63EB38CA" w:rsidR="00C72F5E" w:rsidRPr="00C72F5E" w:rsidRDefault="00102D9D" w:rsidP="00C36BD2">
      <w:pPr>
        <w:pStyle w:val="a3"/>
        <w:numPr>
          <w:ilvl w:val="0"/>
          <w:numId w:val="75"/>
        </w:numPr>
        <w:tabs>
          <w:tab w:val="left" w:pos="426"/>
          <w:tab w:val="left" w:pos="709"/>
        </w:tabs>
        <w:autoSpaceDE w:val="0"/>
        <w:autoSpaceDN w:val="0"/>
        <w:adjustRightInd w:val="0"/>
        <w:spacing w:after="0" w:line="240" w:lineRule="auto"/>
        <w:ind w:left="0" w:firstLine="709"/>
        <w:jc w:val="both"/>
        <w:rPr>
          <w:rFonts w:ascii="Times New Roman" w:eastAsia="MyriadPro-Bold" w:hAnsi="Times New Roman" w:cs="Times New Roman"/>
          <w:bCs/>
          <w:sz w:val="28"/>
          <w:szCs w:val="28"/>
        </w:rPr>
      </w:pPr>
      <w:r w:rsidRPr="00C72F5E">
        <w:rPr>
          <w:rFonts w:ascii="Times New Roman" w:eastAsia="MyriadPro-Regular" w:hAnsi="Times New Roman" w:cs="Times New Roman"/>
          <w:sz w:val="28"/>
          <w:szCs w:val="28"/>
        </w:rPr>
        <w:t>Дедов И.И., Шестакова М.В., Викулова О.К. *, Железнякова А.В., Исаков М.А. Сахарный диабет в Российской Федерации: распространенность, заболеваемость, смертность, параметры углеводного обмена и структура сахароснижающей терапии по данным федерального регистра сахарного диабета, статус-</w:t>
      </w:r>
      <w:r w:rsidR="00C72F5E" w:rsidRPr="00C72F5E">
        <w:rPr>
          <w:rFonts w:ascii="Times New Roman" w:eastAsia="MyriadPro-Regular" w:hAnsi="Times New Roman" w:cs="Times New Roman"/>
          <w:sz w:val="28"/>
          <w:szCs w:val="28"/>
        </w:rPr>
        <w:t xml:space="preserve"> 2017г. Сахарный диабет. 2018; 21(3):144-159. </w:t>
      </w:r>
      <w:r w:rsidR="00C72F5E" w:rsidRPr="00C72F5E">
        <w:rPr>
          <w:rFonts w:ascii="Times New Roman" w:eastAsia="MyriadPro-Bold" w:hAnsi="Times New Roman" w:cs="Times New Roman"/>
          <w:bCs/>
          <w:sz w:val="28"/>
          <w:szCs w:val="28"/>
        </w:rPr>
        <w:t>https://doi.org/10.14341/DM9686</w:t>
      </w:r>
    </w:p>
    <w:p w14:paraId="5F939BAC"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kern w:val="36"/>
          <w:sz w:val="28"/>
          <w:szCs w:val="28"/>
        </w:rPr>
      </w:pPr>
      <w:r w:rsidRPr="00FA5792">
        <w:rPr>
          <w:rFonts w:ascii="Times New Roman" w:hAnsi="Times New Roman" w:cs="Times New Roman"/>
          <w:bCs/>
          <w:sz w:val="28"/>
          <w:szCs w:val="28"/>
        </w:rPr>
        <w:t>Ткаченко</w:t>
      </w:r>
      <w:r w:rsidRPr="00631FF5">
        <w:rPr>
          <w:rFonts w:ascii="Times New Roman" w:hAnsi="Times New Roman" w:cs="Times New Roman"/>
          <w:bCs/>
          <w:sz w:val="28"/>
          <w:szCs w:val="28"/>
        </w:rPr>
        <w:t xml:space="preserve"> </w:t>
      </w:r>
      <w:r w:rsidRPr="00FA5792">
        <w:rPr>
          <w:rFonts w:ascii="Times New Roman" w:hAnsi="Times New Roman" w:cs="Times New Roman"/>
          <w:bCs/>
          <w:sz w:val="28"/>
          <w:szCs w:val="28"/>
        </w:rPr>
        <w:t>В.И., Лысенко</w:t>
      </w:r>
      <w:r w:rsidRPr="00631FF5">
        <w:rPr>
          <w:rFonts w:ascii="Times New Roman" w:hAnsi="Times New Roman" w:cs="Times New Roman"/>
          <w:bCs/>
          <w:sz w:val="28"/>
          <w:szCs w:val="28"/>
        </w:rPr>
        <w:t xml:space="preserve"> </w:t>
      </w:r>
      <w:r w:rsidRPr="00FA5792">
        <w:rPr>
          <w:rFonts w:ascii="Times New Roman" w:hAnsi="Times New Roman" w:cs="Times New Roman"/>
          <w:bCs/>
          <w:sz w:val="28"/>
          <w:szCs w:val="28"/>
        </w:rPr>
        <w:t>Г.И., Маньковский</w:t>
      </w:r>
      <w:r w:rsidRPr="00631FF5">
        <w:rPr>
          <w:rFonts w:ascii="Times New Roman" w:hAnsi="Times New Roman" w:cs="Times New Roman"/>
          <w:bCs/>
          <w:sz w:val="28"/>
          <w:szCs w:val="28"/>
        </w:rPr>
        <w:t xml:space="preserve"> </w:t>
      </w:r>
      <w:r w:rsidRPr="00FA5792">
        <w:rPr>
          <w:rFonts w:ascii="Times New Roman" w:hAnsi="Times New Roman" w:cs="Times New Roman"/>
          <w:bCs/>
          <w:sz w:val="28"/>
          <w:szCs w:val="28"/>
        </w:rPr>
        <w:t>Б.Н.  Особенности оказания медицинской помощи больным сахарным диабетом 2 типа в странах мира и Украине.</w:t>
      </w:r>
      <w:r w:rsidRPr="00FA5792">
        <w:rPr>
          <w:rFonts w:ascii="Times New Roman" w:hAnsi="Times New Roman" w:cs="Times New Roman"/>
          <w:kern w:val="36"/>
          <w:sz w:val="28"/>
          <w:szCs w:val="28"/>
        </w:rPr>
        <w:t xml:space="preserve"> </w:t>
      </w:r>
    </w:p>
    <w:p w14:paraId="3CC7EFD9"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lang w:val="en-US"/>
        </w:rPr>
        <w:t xml:space="preserve">Wu C, Liu P, Yuan Z. Fruit and vegetable intake is inversely associated with type 2 diabetes in Chinese women: results from the China Health and Nutrition Survey. </w:t>
      </w:r>
      <w:r w:rsidRPr="00FA5792">
        <w:rPr>
          <w:rFonts w:ascii="Times New Roman" w:hAnsi="Times New Roman" w:cs="Times New Roman"/>
          <w:i/>
          <w:iCs/>
          <w:sz w:val="28"/>
          <w:szCs w:val="28"/>
        </w:rPr>
        <w:t xml:space="preserve">Int J Food Sci Nutr. </w:t>
      </w:r>
      <w:r>
        <w:rPr>
          <w:rFonts w:ascii="Times New Roman" w:hAnsi="Times New Roman" w:cs="Times New Roman"/>
          <w:i/>
          <w:iCs/>
          <w:sz w:val="28"/>
          <w:szCs w:val="28"/>
        </w:rPr>
        <w:t xml:space="preserve">– </w:t>
      </w:r>
      <w:r w:rsidRPr="00FA5792">
        <w:rPr>
          <w:rFonts w:ascii="Times New Roman" w:hAnsi="Times New Roman" w:cs="Times New Roman"/>
          <w:sz w:val="28"/>
          <w:szCs w:val="28"/>
        </w:rPr>
        <w:t>2021</w:t>
      </w:r>
      <w:r>
        <w:rPr>
          <w:rFonts w:ascii="Times New Roman" w:hAnsi="Times New Roman" w:cs="Times New Roman"/>
          <w:sz w:val="28"/>
          <w:szCs w:val="28"/>
        </w:rPr>
        <w:t>. -</w:t>
      </w:r>
      <w:r w:rsidRPr="00FA5792">
        <w:rPr>
          <w:rFonts w:ascii="Times New Roman" w:hAnsi="Times New Roman" w:cs="Times New Roman"/>
          <w:sz w:val="28"/>
          <w:szCs w:val="28"/>
        </w:rPr>
        <w:t xml:space="preserve"> </w:t>
      </w:r>
      <w:r>
        <w:rPr>
          <w:rFonts w:ascii="Times New Roman" w:hAnsi="Times New Roman" w:cs="Times New Roman"/>
          <w:sz w:val="28"/>
          <w:szCs w:val="28"/>
        </w:rPr>
        <w:t>№</w:t>
      </w:r>
      <w:r w:rsidRPr="00FA5792">
        <w:rPr>
          <w:rFonts w:ascii="Times New Roman" w:hAnsi="Times New Roman" w:cs="Times New Roman"/>
          <w:sz w:val="28"/>
          <w:szCs w:val="28"/>
        </w:rPr>
        <w:t>72 (2)</w:t>
      </w:r>
      <w:r>
        <w:rPr>
          <w:rFonts w:ascii="Times New Roman" w:hAnsi="Times New Roman" w:cs="Times New Roman"/>
          <w:sz w:val="28"/>
          <w:szCs w:val="28"/>
          <w:lang w:val="kk-KZ"/>
        </w:rPr>
        <w:t>.-</w:t>
      </w:r>
      <w:r w:rsidRPr="00FA5792">
        <w:rPr>
          <w:rFonts w:ascii="Times New Roman" w:hAnsi="Times New Roman" w:cs="Times New Roman"/>
          <w:sz w:val="28"/>
          <w:szCs w:val="28"/>
        </w:rPr>
        <w:t xml:space="preserve"> </w:t>
      </w:r>
      <w:r>
        <w:rPr>
          <w:rFonts w:ascii="Times New Roman" w:hAnsi="Times New Roman" w:cs="Times New Roman"/>
          <w:sz w:val="28"/>
          <w:szCs w:val="28"/>
          <w:lang w:val="kk-KZ"/>
        </w:rPr>
        <w:t>Р</w:t>
      </w:r>
      <w:r w:rsidRPr="00FA5792">
        <w:rPr>
          <w:rFonts w:ascii="Times New Roman" w:hAnsi="Times New Roman" w:cs="Times New Roman"/>
          <w:sz w:val="28"/>
          <w:szCs w:val="28"/>
        </w:rPr>
        <w:t>. 208-218.</w:t>
      </w:r>
    </w:p>
    <w:p w14:paraId="5D4933EB" w14:textId="77777777" w:rsidR="00102D9D" w:rsidRPr="00344E5D"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sz w:val="28"/>
          <w:szCs w:val="28"/>
          <w:lang w:val="en-US"/>
        </w:rPr>
        <w:t>Villegas R</w:t>
      </w:r>
      <w:r>
        <w:rPr>
          <w:rFonts w:ascii="Times New Roman" w:hAnsi="Times New Roman" w:cs="Times New Roman"/>
          <w:sz w:val="28"/>
          <w:szCs w:val="28"/>
          <w:lang w:val="kk-KZ"/>
        </w:rPr>
        <w:t>.</w:t>
      </w:r>
      <w:r w:rsidRPr="00FA5792">
        <w:rPr>
          <w:rFonts w:ascii="Times New Roman" w:hAnsi="Times New Roman" w:cs="Times New Roman"/>
          <w:sz w:val="28"/>
          <w:szCs w:val="28"/>
          <w:lang w:val="en-US"/>
        </w:rPr>
        <w:t>, Shu X</w:t>
      </w:r>
      <w:r>
        <w:rPr>
          <w:rFonts w:ascii="Times New Roman" w:hAnsi="Times New Roman" w:cs="Times New Roman"/>
          <w:sz w:val="28"/>
          <w:szCs w:val="28"/>
          <w:lang w:val="kk-KZ"/>
        </w:rPr>
        <w:t>.</w:t>
      </w:r>
      <w:r w:rsidRPr="00FA5792">
        <w:rPr>
          <w:rFonts w:ascii="Times New Roman" w:hAnsi="Times New Roman" w:cs="Times New Roman"/>
          <w:sz w:val="28"/>
          <w:szCs w:val="28"/>
          <w:lang w:val="en-US"/>
        </w:rPr>
        <w:t>O</w:t>
      </w:r>
      <w:r>
        <w:rPr>
          <w:rFonts w:ascii="Times New Roman" w:hAnsi="Times New Roman" w:cs="Times New Roman"/>
          <w:sz w:val="28"/>
          <w:szCs w:val="28"/>
          <w:lang w:val="kk-KZ"/>
        </w:rPr>
        <w:t>.</w:t>
      </w:r>
      <w:r w:rsidRPr="00FA5792">
        <w:rPr>
          <w:rFonts w:ascii="Times New Roman" w:hAnsi="Times New Roman" w:cs="Times New Roman"/>
          <w:sz w:val="28"/>
          <w:szCs w:val="28"/>
          <w:lang w:val="en-US"/>
        </w:rPr>
        <w:t>, Gao Y</w:t>
      </w:r>
      <w:r>
        <w:rPr>
          <w:rFonts w:ascii="Times New Roman" w:hAnsi="Times New Roman" w:cs="Times New Roman"/>
          <w:sz w:val="28"/>
          <w:szCs w:val="28"/>
          <w:lang w:val="kk-KZ"/>
        </w:rPr>
        <w:t>.</w:t>
      </w:r>
      <w:r w:rsidRPr="00FA5792">
        <w:rPr>
          <w:rFonts w:ascii="Times New Roman" w:hAnsi="Times New Roman" w:cs="Times New Roman"/>
          <w:sz w:val="28"/>
          <w:szCs w:val="28"/>
          <w:lang w:val="en-US"/>
        </w:rPr>
        <w:t>T</w:t>
      </w:r>
      <w:r>
        <w:rPr>
          <w:rFonts w:ascii="Times New Roman" w:hAnsi="Times New Roman" w:cs="Times New Roman"/>
          <w:sz w:val="28"/>
          <w:szCs w:val="28"/>
          <w:lang w:val="kk-KZ"/>
        </w:rPr>
        <w:t>.</w:t>
      </w:r>
      <w:r w:rsidRPr="00FA5792">
        <w:rPr>
          <w:rFonts w:ascii="Times New Roman" w:hAnsi="Times New Roman" w:cs="Times New Roman"/>
          <w:sz w:val="28"/>
          <w:szCs w:val="28"/>
          <w:lang w:val="en-US"/>
        </w:rPr>
        <w:t>, Yang G</w:t>
      </w:r>
      <w:r>
        <w:rPr>
          <w:rFonts w:ascii="Times New Roman" w:hAnsi="Times New Roman" w:cs="Times New Roman"/>
          <w:sz w:val="28"/>
          <w:szCs w:val="28"/>
          <w:lang w:val="kk-KZ"/>
        </w:rPr>
        <w:t>.</w:t>
      </w:r>
      <w:r w:rsidRPr="00FA5792">
        <w:rPr>
          <w:rFonts w:ascii="Times New Roman" w:hAnsi="Times New Roman" w:cs="Times New Roman"/>
          <w:sz w:val="28"/>
          <w:szCs w:val="28"/>
          <w:lang w:val="en-US"/>
        </w:rPr>
        <w:t>, Elasy T</w:t>
      </w:r>
      <w:r>
        <w:rPr>
          <w:rFonts w:ascii="Times New Roman" w:hAnsi="Times New Roman" w:cs="Times New Roman"/>
          <w:sz w:val="28"/>
          <w:szCs w:val="28"/>
          <w:lang w:val="kk-KZ"/>
        </w:rPr>
        <w:t>.</w:t>
      </w:r>
      <w:r w:rsidRPr="00FA5792">
        <w:rPr>
          <w:rFonts w:ascii="Times New Roman" w:hAnsi="Times New Roman" w:cs="Times New Roman"/>
          <w:sz w:val="28"/>
          <w:szCs w:val="28"/>
          <w:lang w:val="en-US"/>
        </w:rPr>
        <w:t>, Li H</w:t>
      </w:r>
      <w:r>
        <w:rPr>
          <w:rFonts w:ascii="Times New Roman" w:hAnsi="Times New Roman" w:cs="Times New Roman"/>
          <w:sz w:val="28"/>
          <w:szCs w:val="28"/>
          <w:lang w:val="kk-KZ"/>
        </w:rPr>
        <w:t>.</w:t>
      </w:r>
      <w:r w:rsidRPr="00FA5792">
        <w:rPr>
          <w:rFonts w:ascii="Times New Roman" w:hAnsi="Times New Roman" w:cs="Times New Roman"/>
          <w:sz w:val="28"/>
          <w:szCs w:val="28"/>
          <w:lang w:val="en-US"/>
        </w:rPr>
        <w:t>, Zheng W. Vegetable but not fruit consumption reduces the risk of type 2 diabetes in Chinese women</w:t>
      </w:r>
      <w:r>
        <w:rPr>
          <w:rFonts w:ascii="Times New Roman" w:hAnsi="Times New Roman" w:cs="Times New Roman"/>
          <w:sz w:val="28"/>
          <w:szCs w:val="28"/>
          <w:lang w:val="kk-KZ"/>
        </w:rPr>
        <w:t xml:space="preserve"> // </w:t>
      </w:r>
      <w:r w:rsidRPr="00344E5D">
        <w:rPr>
          <w:rFonts w:ascii="Times New Roman" w:hAnsi="Times New Roman" w:cs="Times New Roman"/>
          <w:i/>
          <w:iCs/>
          <w:sz w:val="28"/>
          <w:szCs w:val="28"/>
          <w:lang w:val="en-US"/>
        </w:rPr>
        <w:t xml:space="preserve">J Nutr. </w:t>
      </w:r>
      <w:r w:rsidRPr="00344E5D">
        <w:rPr>
          <w:rFonts w:ascii="Times New Roman" w:hAnsi="Times New Roman" w:cs="Times New Roman"/>
          <w:sz w:val="28"/>
          <w:szCs w:val="28"/>
          <w:lang w:val="en-US"/>
        </w:rPr>
        <w:t>2008</w:t>
      </w:r>
      <w:r>
        <w:rPr>
          <w:rFonts w:ascii="Times New Roman" w:hAnsi="Times New Roman" w:cs="Times New Roman"/>
          <w:sz w:val="28"/>
          <w:szCs w:val="28"/>
          <w:lang w:val="kk-KZ"/>
        </w:rPr>
        <w:t xml:space="preserve">. - </w:t>
      </w:r>
      <w:r w:rsidRPr="00344E5D">
        <w:rPr>
          <w:rFonts w:ascii="Times New Roman" w:hAnsi="Times New Roman" w:cs="Times New Roman"/>
          <w:sz w:val="28"/>
          <w:szCs w:val="28"/>
          <w:lang w:val="en-US"/>
        </w:rPr>
        <w:t xml:space="preserve">№138 (3). - </w:t>
      </w:r>
      <w:r>
        <w:rPr>
          <w:rFonts w:ascii="Times New Roman" w:hAnsi="Times New Roman" w:cs="Times New Roman"/>
          <w:sz w:val="28"/>
          <w:szCs w:val="28"/>
        </w:rPr>
        <w:t>Р</w:t>
      </w:r>
      <w:r w:rsidRPr="00344E5D">
        <w:rPr>
          <w:rFonts w:ascii="Times New Roman" w:hAnsi="Times New Roman" w:cs="Times New Roman"/>
          <w:sz w:val="28"/>
          <w:szCs w:val="28"/>
          <w:lang w:val="en-US"/>
        </w:rPr>
        <w:t>. 574-80.</w:t>
      </w:r>
    </w:p>
    <w:p w14:paraId="5C59A146" w14:textId="77777777" w:rsidR="00102D9D" w:rsidRPr="00344E5D"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sz w:val="28"/>
          <w:szCs w:val="28"/>
          <w:lang w:val="en-US"/>
        </w:rPr>
        <w:t>Coleone J</w:t>
      </w:r>
      <w:r w:rsidRPr="00344E5D">
        <w:rPr>
          <w:rFonts w:ascii="Times New Roman" w:hAnsi="Times New Roman" w:cs="Times New Roman"/>
          <w:sz w:val="28"/>
          <w:szCs w:val="28"/>
          <w:lang w:val="en-US"/>
        </w:rPr>
        <w:t>.</w:t>
      </w:r>
      <w:r w:rsidRPr="00FA5792">
        <w:rPr>
          <w:rFonts w:ascii="Times New Roman" w:hAnsi="Times New Roman" w:cs="Times New Roman"/>
          <w:sz w:val="28"/>
          <w:szCs w:val="28"/>
          <w:lang w:val="en-US"/>
        </w:rPr>
        <w:t>D</w:t>
      </w:r>
      <w:r w:rsidRPr="00344E5D">
        <w:rPr>
          <w:rFonts w:ascii="Times New Roman" w:hAnsi="Times New Roman" w:cs="Times New Roman"/>
          <w:sz w:val="28"/>
          <w:szCs w:val="28"/>
          <w:lang w:val="en-US"/>
        </w:rPr>
        <w:t>.</w:t>
      </w:r>
      <w:r w:rsidRPr="00FA5792">
        <w:rPr>
          <w:rFonts w:ascii="Times New Roman" w:hAnsi="Times New Roman" w:cs="Times New Roman"/>
          <w:sz w:val="28"/>
          <w:szCs w:val="28"/>
          <w:lang w:val="en-US"/>
        </w:rPr>
        <w:t>, Bellei E</w:t>
      </w:r>
      <w:r w:rsidRPr="00344E5D">
        <w:rPr>
          <w:rFonts w:ascii="Times New Roman" w:hAnsi="Times New Roman" w:cs="Times New Roman"/>
          <w:sz w:val="28"/>
          <w:szCs w:val="28"/>
          <w:lang w:val="en-US"/>
        </w:rPr>
        <w:t>.</w:t>
      </w:r>
      <w:r w:rsidRPr="00FA5792">
        <w:rPr>
          <w:rFonts w:ascii="Times New Roman" w:hAnsi="Times New Roman" w:cs="Times New Roman"/>
          <w:sz w:val="28"/>
          <w:szCs w:val="28"/>
          <w:lang w:val="en-US"/>
        </w:rPr>
        <w:t>A</w:t>
      </w:r>
      <w:r w:rsidRPr="00344E5D">
        <w:rPr>
          <w:rFonts w:ascii="Times New Roman" w:hAnsi="Times New Roman" w:cs="Times New Roman"/>
          <w:sz w:val="28"/>
          <w:szCs w:val="28"/>
          <w:lang w:val="en-US"/>
        </w:rPr>
        <w:t>.</w:t>
      </w:r>
      <w:r w:rsidRPr="00FA5792">
        <w:rPr>
          <w:rFonts w:ascii="Times New Roman" w:hAnsi="Times New Roman" w:cs="Times New Roman"/>
          <w:sz w:val="28"/>
          <w:szCs w:val="28"/>
          <w:lang w:val="en-US"/>
        </w:rPr>
        <w:t>, Roman M</w:t>
      </w:r>
      <w:r w:rsidRPr="00344E5D">
        <w:rPr>
          <w:rFonts w:ascii="Times New Roman" w:hAnsi="Times New Roman" w:cs="Times New Roman"/>
          <w:sz w:val="28"/>
          <w:szCs w:val="28"/>
          <w:lang w:val="en-US"/>
        </w:rPr>
        <w:t>.</w:t>
      </w:r>
      <w:r w:rsidRPr="00FA5792">
        <w:rPr>
          <w:rFonts w:ascii="Times New Roman" w:hAnsi="Times New Roman" w:cs="Times New Roman"/>
          <w:sz w:val="28"/>
          <w:szCs w:val="28"/>
          <w:lang w:val="en-US"/>
        </w:rPr>
        <w:t>K</w:t>
      </w:r>
      <w:r w:rsidRPr="00344E5D">
        <w:rPr>
          <w:rFonts w:ascii="Times New Roman" w:hAnsi="Times New Roman" w:cs="Times New Roman"/>
          <w:sz w:val="28"/>
          <w:szCs w:val="28"/>
          <w:lang w:val="en-US"/>
        </w:rPr>
        <w:t>.</w:t>
      </w:r>
      <w:r w:rsidRPr="00FA5792">
        <w:rPr>
          <w:rFonts w:ascii="Times New Roman" w:hAnsi="Times New Roman" w:cs="Times New Roman"/>
          <w:sz w:val="28"/>
          <w:szCs w:val="28"/>
          <w:lang w:val="en-US"/>
        </w:rPr>
        <w:t>, Kirsten V</w:t>
      </w:r>
      <w:r w:rsidRPr="00344E5D">
        <w:rPr>
          <w:rFonts w:ascii="Times New Roman" w:hAnsi="Times New Roman" w:cs="Times New Roman"/>
          <w:sz w:val="28"/>
          <w:szCs w:val="28"/>
          <w:lang w:val="en-US"/>
        </w:rPr>
        <w:t>.</w:t>
      </w:r>
      <w:r w:rsidRPr="00FA5792">
        <w:rPr>
          <w:rFonts w:ascii="Times New Roman" w:hAnsi="Times New Roman" w:cs="Times New Roman"/>
          <w:sz w:val="28"/>
          <w:szCs w:val="28"/>
          <w:lang w:val="en-US"/>
        </w:rPr>
        <w:t>R</w:t>
      </w:r>
      <w:r w:rsidRPr="00344E5D">
        <w:rPr>
          <w:rFonts w:ascii="Times New Roman" w:hAnsi="Times New Roman" w:cs="Times New Roman"/>
          <w:sz w:val="28"/>
          <w:szCs w:val="28"/>
          <w:lang w:val="en-US"/>
        </w:rPr>
        <w:t>.</w:t>
      </w:r>
      <w:r w:rsidRPr="00FA5792">
        <w:rPr>
          <w:rFonts w:ascii="Times New Roman" w:hAnsi="Times New Roman" w:cs="Times New Roman"/>
          <w:sz w:val="28"/>
          <w:szCs w:val="28"/>
          <w:lang w:val="en-US"/>
        </w:rPr>
        <w:t>, De Marchi ACB. Dietary Intake and Health Status of Elderly Patients with Type 2 Diabetes Mellitus: Cross-sectional Study Using a Mobile App in Primary Care</w:t>
      </w:r>
      <w:r w:rsidRPr="00344E5D">
        <w:rPr>
          <w:rFonts w:ascii="Times New Roman" w:hAnsi="Times New Roman" w:cs="Times New Roman"/>
          <w:sz w:val="28"/>
          <w:szCs w:val="28"/>
          <w:lang w:val="en-US"/>
        </w:rPr>
        <w:t xml:space="preserve"> //</w:t>
      </w:r>
      <w:r w:rsidRPr="00FA5792">
        <w:rPr>
          <w:rFonts w:ascii="Times New Roman" w:hAnsi="Times New Roman" w:cs="Times New Roman"/>
          <w:sz w:val="28"/>
          <w:szCs w:val="28"/>
          <w:lang w:val="en-US"/>
        </w:rPr>
        <w:t xml:space="preserve"> </w:t>
      </w:r>
      <w:r w:rsidRPr="00344E5D">
        <w:rPr>
          <w:rFonts w:ascii="Times New Roman" w:hAnsi="Times New Roman" w:cs="Times New Roman"/>
          <w:i/>
          <w:iCs/>
          <w:sz w:val="28"/>
          <w:szCs w:val="28"/>
          <w:lang w:val="en-US"/>
        </w:rPr>
        <w:t>JMIR Form Res. -</w:t>
      </w:r>
      <w:r w:rsidRPr="00344E5D">
        <w:rPr>
          <w:rFonts w:ascii="Times New Roman" w:hAnsi="Times New Roman" w:cs="Times New Roman"/>
          <w:sz w:val="28"/>
          <w:szCs w:val="28"/>
          <w:lang w:val="en-US"/>
        </w:rPr>
        <w:t xml:space="preserve">2021. - №5 (8). – </w:t>
      </w:r>
      <w:r>
        <w:rPr>
          <w:rFonts w:ascii="Times New Roman" w:hAnsi="Times New Roman" w:cs="Times New Roman"/>
          <w:sz w:val="28"/>
          <w:szCs w:val="28"/>
        </w:rPr>
        <w:t>Р</w:t>
      </w:r>
      <w:r w:rsidRPr="00344E5D">
        <w:rPr>
          <w:rFonts w:ascii="Times New Roman" w:hAnsi="Times New Roman" w:cs="Times New Roman"/>
          <w:sz w:val="28"/>
          <w:szCs w:val="28"/>
          <w:lang w:val="en-US"/>
        </w:rPr>
        <w:t>. 27454.</w:t>
      </w:r>
    </w:p>
    <w:p w14:paraId="758CF1A3" w14:textId="77777777" w:rsidR="00102D9D" w:rsidRPr="00FA5792" w:rsidRDefault="00102D9D" w:rsidP="00102D9D">
      <w:pPr>
        <w:pStyle w:val="a3"/>
        <w:numPr>
          <w:ilvl w:val="0"/>
          <w:numId w:val="75"/>
        </w:numPr>
        <w:tabs>
          <w:tab w:val="left" w:pos="426"/>
          <w:tab w:val="left" w:pos="709"/>
        </w:tabs>
        <w:autoSpaceDE w:val="0"/>
        <w:autoSpaceDN w:val="0"/>
        <w:adjustRightInd w:val="0"/>
        <w:spacing w:after="0" w:line="240" w:lineRule="auto"/>
        <w:ind w:left="0" w:firstLine="709"/>
        <w:jc w:val="both"/>
        <w:rPr>
          <w:rFonts w:ascii="Times New Roman" w:eastAsia="MyriadPro-Bold" w:hAnsi="Times New Roman" w:cs="Times New Roman"/>
          <w:bCs/>
          <w:sz w:val="28"/>
          <w:szCs w:val="28"/>
          <w:lang w:val="en-US"/>
        </w:rPr>
      </w:pPr>
      <w:r w:rsidRPr="00FA5792">
        <w:rPr>
          <w:rFonts w:ascii="Times New Roman" w:eastAsia="Times New Roman" w:hAnsi="Times New Roman" w:cs="Times New Roman"/>
          <w:bCs/>
          <w:kern w:val="36"/>
          <w:sz w:val="28"/>
          <w:szCs w:val="28"/>
          <w:lang w:val="en-US"/>
        </w:rPr>
        <w:t xml:space="preserve">Diabetes-induced hyperglycemia impairs male reproductive function: a systematic review </w:t>
      </w:r>
      <w:hyperlink r:id="rId145" w:history="1">
        <w:r w:rsidRPr="00FA5792">
          <w:rPr>
            <w:rFonts w:ascii="Times New Roman" w:eastAsia="Times New Roman" w:hAnsi="Times New Roman" w:cs="Times New Roman"/>
            <w:sz w:val="28"/>
            <w:szCs w:val="28"/>
            <w:lang w:val="en-US"/>
          </w:rPr>
          <w:t>Constanze C Maresch</w:t>
        </w:r>
      </w:hyperlink>
      <w:r w:rsidRPr="00FA5792">
        <w:rPr>
          <w:rFonts w:ascii="Times New Roman" w:eastAsia="Times New Roman" w:hAnsi="Times New Roman" w:cs="Times New Roman"/>
          <w:sz w:val="28"/>
          <w:szCs w:val="28"/>
          <w:vertAlign w:val="superscript"/>
          <w:lang w:val="en-US"/>
        </w:rPr>
        <w:t> </w:t>
      </w:r>
      <w:r w:rsidRPr="00FA5792">
        <w:rPr>
          <w:rFonts w:ascii="Times New Roman" w:eastAsia="Times New Roman" w:hAnsi="Times New Roman" w:cs="Times New Roman"/>
          <w:sz w:val="28"/>
          <w:szCs w:val="28"/>
          <w:lang w:val="en-US"/>
        </w:rPr>
        <w:t>, </w:t>
      </w:r>
      <w:hyperlink r:id="rId146" w:history="1">
        <w:r w:rsidRPr="00FA5792">
          <w:rPr>
            <w:rFonts w:ascii="Times New Roman" w:eastAsia="Times New Roman" w:hAnsi="Times New Roman" w:cs="Times New Roman"/>
            <w:sz w:val="28"/>
            <w:szCs w:val="28"/>
            <w:lang w:val="en-US"/>
          </w:rPr>
          <w:t>Dina C Stute</w:t>
        </w:r>
      </w:hyperlink>
      <w:r w:rsidRPr="00FA5792">
        <w:rPr>
          <w:rFonts w:ascii="Times New Roman" w:eastAsia="Times New Roman" w:hAnsi="Times New Roman" w:cs="Times New Roman"/>
          <w:sz w:val="28"/>
          <w:szCs w:val="28"/>
          <w:lang w:val="en-US"/>
        </w:rPr>
        <w:t>, </w:t>
      </w:r>
      <w:hyperlink r:id="rId147" w:history="1">
        <w:r w:rsidRPr="00FA5792">
          <w:rPr>
            <w:rFonts w:ascii="Times New Roman" w:eastAsia="Times New Roman" w:hAnsi="Times New Roman" w:cs="Times New Roman"/>
            <w:sz w:val="28"/>
            <w:szCs w:val="28"/>
            <w:lang w:val="en-US"/>
          </w:rPr>
          <w:t>Marco G Alves</w:t>
        </w:r>
      </w:hyperlink>
      <w:r w:rsidRPr="00FA5792">
        <w:rPr>
          <w:rFonts w:ascii="Times New Roman" w:eastAsia="Times New Roman" w:hAnsi="Times New Roman" w:cs="Times New Roman"/>
          <w:sz w:val="28"/>
          <w:szCs w:val="28"/>
          <w:lang w:val="en-US"/>
        </w:rPr>
        <w:t>, </w:t>
      </w:r>
      <w:hyperlink r:id="rId148" w:history="1">
        <w:r w:rsidRPr="00FA5792">
          <w:rPr>
            <w:rFonts w:ascii="Times New Roman" w:eastAsia="Times New Roman" w:hAnsi="Times New Roman" w:cs="Times New Roman"/>
            <w:sz w:val="28"/>
            <w:szCs w:val="28"/>
            <w:lang w:val="en-US"/>
          </w:rPr>
          <w:t>Pedro F Oliveira</w:t>
        </w:r>
      </w:hyperlink>
      <w:r w:rsidRPr="00FA5792">
        <w:rPr>
          <w:rFonts w:ascii="Times New Roman" w:eastAsia="Times New Roman" w:hAnsi="Times New Roman" w:cs="Times New Roman"/>
          <w:sz w:val="28"/>
          <w:szCs w:val="28"/>
          <w:lang w:val="en-US"/>
        </w:rPr>
        <w:t>, </w:t>
      </w:r>
      <w:hyperlink r:id="rId149" w:history="1">
        <w:r w:rsidRPr="00FA5792">
          <w:rPr>
            <w:rFonts w:ascii="Times New Roman" w:eastAsia="Times New Roman" w:hAnsi="Times New Roman" w:cs="Times New Roman"/>
            <w:sz w:val="28"/>
            <w:szCs w:val="28"/>
            <w:lang w:val="en-US"/>
          </w:rPr>
          <w:t>David M de Kretser</w:t>
        </w:r>
      </w:hyperlink>
      <w:r w:rsidRPr="00FA5792">
        <w:rPr>
          <w:rFonts w:ascii="Times New Roman" w:eastAsia="Times New Roman" w:hAnsi="Times New Roman" w:cs="Times New Roman"/>
          <w:sz w:val="28"/>
          <w:szCs w:val="28"/>
          <w:vertAlign w:val="superscript"/>
          <w:lang w:val="en-US"/>
        </w:rPr>
        <w:t> </w:t>
      </w:r>
      <w:r w:rsidRPr="00344E5D">
        <w:rPr>
          <w:rFonts w:ascii="Times New Roman" w:eastAsia="Times New Roman" w:hAnsi="Times New Roman" w:cs="Times New Roman"/>
          <w:sz w:val="28"/>
          <w:szCs w:val="28"/>
          <w:lang w:val="en-US"/>
        </w:rPr>
        <w:t xml:space="preserve"> // </w:t>
      </w:r>
      <w:hyperlink r:id="rId150" w:history="1">
        <w:r w:rsidRPr="00FA5792">
          <w:rPr>
            <w:rFonts w:ascii="Times New Roman" w:eastAsia="Times New Roman" w:hAnsi="Times New Roman" w:cs="Times New Roman"/>
            <w:sz w:val="28"/>
            <w:szCs w:val="28"/>
            <w:lang w:val="en-US"/>
          </w:rPr>
          <w:t>Thomas Linn</w:t>
        </w:r>
      </w:hyperlink>
      <w:r w:rsidRPr="00FA5792">
        <w:rPr>
          <w:rFonts w:ascii="Times New Roman" w:eastAsia="Times New Roman" w:hAnsi="Times New Roman" w:cs="Times New Roman"/>
          <w:sz w:val="28"/>
          <w:szCs w:val="28"/>
          <w:vertAlign w:val="superscript"/>
          <w:lang w:val="en-US"/>
        </w:rPr>
        <w:t> </w:t>
      </w:r>
      <w:r w:rsidRPr="00FA5792">
        <w:rPr>
          <w:rFonts w:ascii="Times New Roman" w:eastAsia="Times New Roman" w:hAnsi="Times New Roman" w:cs="Times New Roman"/>
          <w:sz w:val="28"/>
          <w:szCs w:val="28"/>
          <w:lang w:val="en-US"/>
        </w:rPr>
        <w:t xml:space="preserve">Affiliations Expand PMID: 29136166 DOI: </w:t>
      </w:r>
      <w:hyperlink r:id="rId151" w:tgtFrame="_blank" w:history="1">
        <w:r w:rsidRPr="00FA5792">
          <w:rPr>
            <w:rFonts w:ascii="Times New Roman" w:eastAsia="Times New Roman" w:hAnsi="Times New Roman" w:cs="Times New Roman"/>
            <w:sz w:val="28"/>
            <w:szCs w:val="28"/>
            <w:lang w:val="en-US"/>
          </w:rPr>
          <w:t>10.1093/humupd/dmx033</w:t>
        </w:r>
        <w:r w:rsidRPr="00344E5D">
          <w:rPr>
            <w:rFonts w:ascii="Times New Roman" w:eastAsia="Times New Roman" w:hAnsi="Times New Roman" w:cs="Times New Roman"/>
            <w:sz w:val="28"/>
            <w:szCs w:val="28"/>
            <w:lang w:val="en-US"/>
          </w:rPr>
          <w:t>.</w:t>
        </w:r>
        <w:r w:rsidRPr="00FA5792">
          <w:rPr>
            <w:rFonts w:ascii="Times New Roman" w:eastAsia="Times New Roman" w:hAnsi="Times New Roman" w:cs="Times New Roman"/>
            <w:sz w:val="28"/>
            <w:szCs w:val="28"/>
            <w:lang w:val="en-US"/>
          </w:rPr>
          <w:t xml:space="preserve"> </w:t>
        </w:r>
      </w:hyperlink>
    </w:p>
    <w:p w14:paraId="3B1EFA0B" w14:textId="77777777" w:rsidR="00102D9D" w:rsidRPr="00FA5792" w:rsidRDefault="001B62DB" w:rsidP="00102D9D">
      <w:pPr>
        <w:pStyle w:val="a3"/>
        <w:numPr>
          <w:ilvl w:val="0"/>
          <w:numId w:val="75"/>
        </w:numPr>
        <w:tabs>
          <w:tab w:val="left" w:pos="426"/>
          <w:tab w:val="left" w:pos="709"/>
        </w:tabs>
        <w:autoSpaceDE w:val="0"/>
        <w:autoSpaceDN w:val="0"/>
        <w:adjustRightInd w:val="0"/>
        <w:spacing w:after="0" w:line="240" w:lineRule="auto"/>
        <w:ind w:left="0" w:firstLine="709"/>
        <w:jc w:val="both"/>
        <w:rPr>
          <w:rFonts w:ascii="Times New Roman" w:eastAsia="MyriadPro-Bold" w:hAnsi="Times New Roman" w:cs="Times New Roman"/>
          <w:bCs/>
          <w:sz w:val="28"/>
          <w:szCs w:val="28"/>
          <w:lang w:val="en-US"/>
        </w:rPr>
      </w:pPr>
      <w:hyperlink r:id="rId152" w:history="1">
        <w:r w:rsidR="00102D9D" w:rsidRPr="00FA5792">
          <w:rPr>
            <w:rStyle w:val="details-value"/>
            <w:rFonts w:ascii="Times New Roman" w:hAnsi="Times New Roman" w:cs="Times New Roman"/>
            <w:sz w:val="28"/>
            <w:szCs w:val="28"/>
            <w:lang w:val="en-US"/>
          </w:rPr>
          <w:t>Constanze C</w:t>
        </w:r>
        <w:r w:rsidR="00102D9D" w:rsidRPr="00344E5D">
          <w:rPr>
            <w:rStyle w:val="details-value"/>
            <w:rFonts w:ascii="Times New Roman" w:hAnsi="Times New Roman" w:cs="Times New Roman"/>
            <w:sz w:val="28"/>
            <w:szCs w:val="28"/>
            <w:lang w:val="en-US"/>
          </w:rPr>
          <w:t>.</w:t>
        </w:r>
        <w:r w:rsidR="00102D9D" w:rsidRPr="00FA5792">
          <w:rPr>
            <w:rStyle w:val="details-value"/>
            <w:rFonts w:ascii="Times New Roman" w:hAnsi="Times New Roman" w:cs="Times New Roman"/>
            <w:sz w:val="28"/>
            <w:szCs w:val="28"/>
            <w:lang w:val="en-US"/>
          </w:rPr>
          <w:t xml:space="preserve"> Maresch</w:t>
        </w:r>
      </w:hyperlink>
      <w:r w:rsidR="00102D9D" w:rsidRPr="00FA5792">
        <w:rPr>
          <w:rFonts w:ascii="Times New Roman" w:hAnsi="Times New Roman" w:cs="Times New Roman"/>
          <w:sz w:val="28"/>
          <w:szCs w:val="28"/>
          <w:lang w:val="en-US"/>
        </w:rPr>
        <w:t>, </w:t>
      </w:r>
      <w:hyperlink r:id="rId153" w:history="1">
        <w:r w:rsidR="00102D9D" w:rsidRPr="00FA5792">
          <w:rPr>
            <w:rStyle w:val="details-value"/>
            <w:rFonts w:ascii="Times New Roman" w:hAnsi="Times New Roman" w:cs="Times New Roman"/>
            <w:sz w:val="28"/>
            <w:szCs w:val="28"/>
            <w:lang w:val="en-US"/>
          </w:rPr>
          <w:t>Dina C Stute</w:t>
        </w:r>
      </w:hyperlink>
      <w:r w:rsidR="00102D9D" w:rsidRPr="00FA5792">
        <w:rPr>
          <w:rFonts w:ascii="Times New Roman" w:hAnsi="Times New Roman" w:cs="Times New Roman"/>
          <w:sz w:val="28"/>
          <w:szCs w:val="28"/>
          <w:vertAlign w:val="superscript"/>
          <w:lang w:val="en-US"/>
        </w:rPr>
        <w:t> </w:t>
      </w:r>
      <w:r w:rsidR="00102D9D" w:rsidRPr="00FA5792">
        <w:rPr>
          <w:rFonts w:ascii="Times New Roman" w:hAnsi="Times New Roman" w:cs="Times New Roman"/>
          <w:sz w:val="28"/>
          <w:szCs w:val="28"/>
          <w:lang w:val="en-US"/>
        </w:rPr>
        <w:t>, </w:t>
      </w:r>
      <w:hyperlink r:id="rId154" w:history="1">
        <w:r w:rsidR="00102D9D" w:rsidRPr="00FA5792">
          <w:rPr>
            <w:rStyle w:val="details-value"/>
            <w:rFonts w:ascii="Times New Roman" w:hAnsi="Times New Roman" w:cs="Times New Roman"/>
            <w:sz w:val="28"/>
            <w:szCs w:val="28"/>
            <w:lang w:val="en-US"/>
          </w:rPr>
          <w:t>Marco G Alves</w:t>
        </w:r>
      </w:hyperlink>
      <w:r w:rsidR="00102D9D" w:rsidRPr="00FA5792">
        <w:rPr>
          <w:rFonts w:ascii="Times New Roman" w:hAnsi="Times New Roman" w:cs="Times New Roman"/>
          <w:sz w:val="28"/>
          <w:szCs w:val="28"/>
          <w:vertAlign w:val="superscript"/>
          <w:lang w:val="en-US"/>
        </w:rPr>
        <w:t> </w:t>
      </w:r>
      <w:r w:rsidR="00102D9D" w:rsidRPr="00FA5792">
        <w:rPr>
          <w:rFonts w:ascii="Times New Roman" w:hAnsi="Times New Roman" w:cs="Times New Roman"/>
          <w:sz w:val="28"/>
          <w:szCs w:val="28"/>
          <w:lang w:val="en-US"/>
        </w:rPr>
        <w:t>, </w:t>
      </w:r>
      <w:hyperlink r:id="rId155" w:history="1">
        <w:r w:rsidR="00102D9D" w:rsidRPr="00FA5792">
          <w:rPr>
            <w:rStyle w:val="details-value"/>
            <w:rFonts w:ascii="Times New Roman" w:hAnsi="Times New Roman" w:cs="Times New Roman"/>
            <w:sz w:val="28"/>
            <w:szCs w:val="28"/>
            <w:lang w:val="en-US"/>
          </w:rPr>
          <w:t>Pedro F Oliveira</w:t>
        </w:r>
      </w:hyperlink>
      <w:r w:rsidR="00102D9D" w:rsidRPr="00FA5792">
        <w:rPr>
          <w:rFonts w:ascii="Times New Roman" w:hAnsi="Times New Roman" w:cs="Times New Roman"/>
          <w:sz w:val="28"/>
          <w:szCs w:val="28"/>
          <w:lang w:val="en-US"/>
        </w:rPr>
        <w:t>, </w:t>
      </w:r>
      <w:hyperlink r:id="rId156" w:history="1">
        <w:r w:rsidR="00102D9D" w:rsidRPr="00FA5792">
          <w:rPr>
            <w:rStyle w:val="details-value"/>
            <w:rFonts w:ascii="Times New Roman" w:hAnsi="Times New Roman" w:cs="Times New Roman"/>
            <w:sz w:val="28"/>
            <w:szCs w:val="28"/>
            <w:lang w:val="en-US"/>
          </w:rPr>
          <w:t>David M de Kretser</w:t>
        </w:r>
      </w:hyperlink>
      <w:r w:rsidR="00102D9D" w:rsidRPr="00FA5792">
        <w:rPr>
          <w:rFonts w:ascii="Times New Roman" w:hAnsi="Times New Roman" w:cs="Times New Roman"/>
          <w:sz w:val="28"/>
          <w:szCs w:val="28"/>
          <w:vertAlign w:val="superscript"/>
          <w:lang w:val="en-US"/>
        </w:rPr>
        <w:t> </w:t>
      </w:r>
      <w:r w:rsidR="00102D9D" w:rsidRPr="00FA5792">
        <w:rPr>
          <w:rFonts w:ascii="Times New Roman" w:hAnsi="Times New Roman" w:cs="Times New Roman"/>
          <w:sz w:val="28"/>
          <w:szCs w:val="28"/>
          <w:lang w:val="en-US"/>
        </w:rPr>
        <w:t>, </w:t>
      </w:r>
      <w:hyperlink r:id="rId157" w:history="1">
        <w:r w:rsidR="00102D9D" w:rsidRPr="00FA5792">
          <w:rPr>
            <w:rStyle w:val="details-value"/>
            <w:rFonts w:ascii="Times New Roman" w:hAnsi="Times New Roman" w:cs="Times New Roman"/>
            <w:sz w:val="28"/>
            <w:szCs w:val="28"/>
            <w:lang w:val="en-US"/>
          </w:rPr>
          <w:t>Thomas Linn</w:t>
        </w:r>
      </w:hyperlink>
      <w:r w:rsidR="00102D9D" w:rsidRPr="00FA5792">
        <w:rPr>
          <w:rFonts w:ascii="Times New Roman" w:hAnsi="Times New Roman" w:cs="Times New Roman"/>
          <w:sz w:val="28"/>
          <w:szCs w:val="28"/>
          <w:lang w:val="en-US"/>
        </w:rPr>
        <w:t>.</w:t>
      </w:r>
      <w:r w:rsidR="00102D9D" w:rsidRPr="00FA5792">
        <w:rPr>
          <w:rFonts w:ascii="Times New Roman" w:hAnsi="Times New Roman" w:cs="Times New Roman"/>
          <w:sz w:val="28"/>
          <w:szCs w:val="28"/>
          <w:shd w:val="clear" w:color="auto" w:fill="FFFFFF"/>
          <w:lang w:val="en-US"/>
        </w:rPr>
        <w:t xml:space="preserve"> </w:t>
      </w:r>
      <w:r w:rsidR="00102D9D" w:rsidRPr="00FA5792">
        <w:rPr>
          <w:rFonts w:ascii="Times New Roman" w:hAnsi="Times New Roman" w:cs="Times New Roman"/>
          <w:bCs/>
          <w:kern w:val="36"/>
          <w:sz w:val="28"/>
          <w:szCs w:val="28"/>
          <w:lang w:val="en-US"/>
        </w:rPr>
        <w:t>Diabetes-induced hyperglycemia impairs male reproductive function: a systematic review</w:t>
      </w:r>
      <w:r w:rsidR="00102D9D" w:rsidRPr="00344E5D">
        <w:rPr>
          <w:rFonts w:ascii="Times New Roman" w:hAnsi="Times New Roman" w:cs="Times New Roman"/>
          <w:bCs/>
          <w:kern w:val="36"/>
          <w:sz w:val="28"/>
          <w:szCs w:val="28"/>
          <w:lang w:val="en-US"/>
        </w:rPr>
        <w:t xml:space="preserve"> // </w:t>
      </w:r>
      <w:r w:rsidR="00102D9D" w:rsidRPr="00FA5792">
        <w:rPr>
          <w:rFonts w:ascii="Times New Roman" w:hAnsi="Times New Roman" w:cs="Times New Roman"/>
          <w:sz w:val="28"/>
          <w:szCs w:val="28"/>
          <w:lang w:val="en-US"/>
        </w:rPr>
        <w:t xml:space="preserve">Affiliations Expand.  PMID: 29136166.  DOI: </w:t>
      </w:r>
      <w:hyperlink r:id="rId158" w:tgtFrame="_blank" w:history="1">
        <w:r w:rsidR="00102D9D" w:rsidRPr="00FA5792">
          <w:rPr>
            <w:rStyle w:val="details-value"/>
            <w:rFonts w:ascii="Times New Roman" w:hAnsi="Times New Roman" w:cs="Times New Roman"/>
            <w:sz w:val="28"/>
            <w:szCs w:val="28"/>
            <w:lang w:val="en-US"/>
          </w:rPr>
          <w:t xml:space="preserve">10.1093/humupd/dmx033 </w:t>
        </w:r>
      </w:hyperlink>
      <w:r w:rsidR="00102D9D">
        <w:rPr>
          <w:rStyle w:val="details-value"/>
          <w:rFonts w:ascii="Times New Roman" w:hAnsi="Times New Roman" w:cs="Times New Roman"/>
          <w:sz w:val="28"/>
          <w:szCs w:val="28"/>
        </w:rPr>
        <w:t>.</w:t>
      </w:r>
    </w:p>
    <w:p w14:paraId="2E6B4D57"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Базарбекова Р.Б., Досанова А.К. Мужской гипогонадизм: ребенок, подросток, взрослый.</w:t>
      </w:r>
      <w:r>
        <w:rPr>
          <w:rFonts w:ascii="Times New Roman" w:hAnsi="Times New Roman" w:cs="Times New Roman"/>
          <w:sz w:val="28"/>
          <w:szCs w:val="28"/>
        </w:rPr>
        <w:t xml:space="preserve"> –</w:t>
      </w:r>
      <w:r w:rsidRPr="00FA5792">
        <w:rPr>
          <w:rFonts w:ascii="Times New Roman" w:hAnsi="Times New Roman" w:cs="Times New Roman"/>
          <w:sz w:val="28"/>
          <w:szCs w:val="28"/>
        </w:rPr>
        <w:t xml:space="preserve"> Алматы</w:t>
      </w:r>
      <w:r>
        <w:rPr>
          <w:rFonts w:ascii="Times New Roman" w:hAnsi="Times New Roman" w:cs="Times New Roman"/>
          <w:sz w:val="28"/>
          <w:szCs w:val="28"/>
        </w:rPr>
        <w:t>,</w:t>
      </w:r>
      <w:r w:rsidRPr="00FA5792">
        <w:rPr>
          <w:rFonts w:ascii="Times New Roman" w:hAnsi="Times New Roman" w:cs="Times New Roman"/>
          <w:sz w:val="28"/>
          <w:szCs w:val="28"/>
        </w:rPr>
        <w:t xml:space="preserve"> 2020</w:t>
      </w:r>
      <w:r>
        <w:rPr>
          <w:rFonts w:ascii="Times New Roman" w:hAnsi="Times New Roman" w:cs="Times New Roman"/>
          <w:sz w:val="28"/>
          <w:szCs w:val="28"/>
        </w:rPr>
        <w:t>. – С.</w:t>
      </w:r>
      <w:r w:rsidRPr="00FA5792">
        <w:rPr>
          <w:rFonts w:ascii="Times New Roman" w:hAnsi="Times New Roman" w:cs="Times New Roman"/>
          <w:sz w:val="28"/>
          <w:szCs w:val="28"/>
        </w:rPr>
        <w:t xml:space="preserve">51-53. </w:t>
      </w:r>
    </w:p>
    <w:p w14:paraId="6582D82C"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Зельцер М.Е. Мужской гипогонадизм и метаболический синдром</w:t>
      </w:r>
      <w:r>
        <w:rPr>
          <w:rFonts w:ascii="Times New Roman" w:hAnsi="Times New Roman" w:cs="Times New Roman"/>
          <w:sz w:val="28"/>
          <w:szCs w:val="28"/>
        </w:rPr>
        <w:t>.</w:t>
      </w:r>
      <w:r w:rsidRPr="00FA579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A5792">
        <w:rPr>
          <w:rFonts w:ascii="Times New Roman" w:hAnsi="Times New Roman" w:cs="Times New Roman"/>
          <w:sz w:val="28"/>
          <w:szCs w:val="28"/>
        </w:rPr>
        <w:t>Алматы, 2018</w:t>
      </w:r>
      <w:r>
        <w:rPr>
          <w:rFonts w:ascii="Times New Roman" w:hAnsi="Times New Roman" w:cs="Times New Roman"/>
          <w:sz w:val="28"/>
          <w:szCs w:val="28"/>
        </w:rPr>
        <w:t xml:space="preserve">. - </w:t>
      </w:r>
      <w:r w:rsidRPr="00FA5792">
        <w:rPr>
          <w:rFonts w:ascii="Times New Roman" w:hAnsi="Times New Roman" w:cs="Times New Roman"/>
          <w:sz w:val="28"/>
          <w:szCs w:val="28"/>
        </w:rPr>
        <w:t>29 с.</w:t>
      </w:r>
    </w:p>
    <w:p w14:paraId="67ABFA75"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kk-KZ"/>
        </w:rPr>
      </w:pPr>
      <w:r w:rsidRPr="00FA5792">
        <w:rPr>
          <w:rFonts w:ascii="Times New Roman" w:hAnsi="Times New Roman" w:cs="Times New Roman"/>
          <w:sz w:val="28"/>
          <w:szCs w:val="28"/>
          <w:lang w:val="en-US"/>
        </w:rPr>
        <w:t>Josep Redon, Renata Cifkova, Stephane Laurentetall</w:t>
      </w:r>
      <w:r w:rsidRPr="00FA5792">
        <w:rPr>
          <w:rFonts w:ascii="Times New Roman" w:hAnsi="Times New Roman" w:cs="Times New Roman"/>
          <w:sz w:val="28"/>
          <w:szCs w:val="28"/>
          <w:lang w:val="kk-KZ"/>
        </w:rPr>
        <w:t>. Метаболический синдром у пациентов с артериальной гипертензией: позиция Европейского общества по артериальной гипертензии</w:t>
      </w:r>
      <w:r>
        <w:rPr>
          <w:rFonts w:ascii="Times New Roman" w:hAnsi="Times New Roman" w:cs="Times New Roman"/>
          <w:sz w:val="28"/>
          <w:szCs w:val="28"/>
          <w:lang w:val="kk-KZ"/>
        </w:rPr>
        <w:t xml:space="preserve"> </w:t>
      </w:r>
      <w:r w:rsidRPr="00FA5792">
        <w:rPr>
          <w:rFonts w:ascii="Times New Roman" w:hAnsi="Times New Roman" w:cs="Times New Roman"/>
          <w:sz w:val="28"/>
          <w:szCs w:val="28"/>
          <w:lang w:val="kk-KZ"/>
        </w:rPr>
        <w:t>//Диабет. Ожирение. Метаболический синдром.</w:t>
      </w:r>
      <w:r>
        <w:rPr>
          <w:rFonts w:ascii="Times New Roman" w:hAnsi="Times New Roman" w:cs="Times New Roman"/>
          <w:sz w:val="28"/>
          <w:szCs w:val="28"/>
          <w:lang w:val="kk-KZ"/>
        </w:rPr>
        <w:t xml:space="preserve"> – </w:t>
      </w:r>
      <w:r w:rsidRPr="00FA5792">
        <w:rPr>
          <w:rFonts w:ascii="Times New Roman" w:hAnsi="Times New Roman" w:cs="Times New Roman"/>
          <w:sz w:val="28"/>
          <w:szCs w:val="28"/>
          <w:lang w:val="kk-KZ"/>
        </w:rPr>
        <w:t>2012</w:t>
      </w:r>
      <w:r>
        <w:rPr>
          <w:rFonts w:ascii="Times New Roman" w:hAnsi="Times New Roman" w:cs="Times New Roman"/>
          <w:sz w:val="28"/>
          <w:szCs w:val="28"/>
          <w:lang w:val="kk-KZ"/>
        </w:rPr>
        <w:t>. -</w:t>
      </w:r>
      <w:r w:rsidRPr="00FA5792">
        <w:rPr>
          <w:rFonts w:ascii="Times New Roman" w:hAnsi="Times New Roman" w:cs="Times New Roman"/>
          <w:sz w:val="28"/>
          <w:szCs w:val="28"/>
          <w:lang w:val="kk-KZ"/>
        </w:rPr>
        <w:t xml:space="preserve"> </w:t>
      </w:r>
      <w:r>
        <w:rPr>
          <w:rFonts w:ascii="Times New Roman" w:hAnsi="Times New Roman" w:cs="Times New Roman"/>
          <w:sz w:val="28"/>
          <w:szCs w:val="28"/>
          <w:lang w:val="kk-KZ"/>
        </w:rPr>
        <w:t>С.</w:t>
      </w:r>
      <w:r w:rsidRPr="00FA5792">
        <w:rPr>
          <w:rFonts w:ascii="Times New Roman" w:hAnsi="Times New Roman" w:cs="Times New Roman"/>
          <w:sz w:val="28"/>
          <w:szCs w:val="28"/>
          <w:lang w:val="kk-KZ"/>
        </w:rPr>
        <w:t xml:space="preserve">7-17. </w:t>
      </w:r>
    </w:p>
    <w:p w14:paraId="4BB4389D"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kk-KZ"/>
        </w:rPr>
      </w:pPr>
      <w:r w:rsidRPr="00FA5792">
        <w:rPr>
          <w:rFonts w:ascii="Times New Roman" w:hAnsi="Times New Roman" w:cs="Times New Roman"/>
          <w:bCs/>
          <w:sz w:val="28"/>
          <w:szCs w:val="28"/>
        </w:rPr>
        <w:t>Алгоритмы специализированной медицинской помощи больным сахарным диабетом</w:t>
      </w:r>
      <w:r>
        <w:rPr>
          <w:rFonts w:ascii="Times New Roman" w:hAnsi="Times New Roman" w:cs="Times New Roman"/>
          <w:bCs/>
          <w:sz w:val="28"/>
          <w:szCs w:val="28"/>
        </w:rPr>
        <w:t xml:space="preserve"> </w:t>
      </w:r>
      <w:r w:rsidRPr="00FA5792">
        <w:rPr>
          <w:rFonts w:ascii="Times New Roman" w:hAnsi="Times New Roman" w:cs="Times New Roman"/>
          <w:sz w:val="28"/>
          <w:szCs w:val="28"/>
        </w:rPr>
        <w:t xml:space="preserve">/ </w:t>
      </w:r>
      <w:r>
        <w:rPr>
          <w:rFonts w:ascii="Times New Roman" w:hAnsi="Times New Roman" w:cs="Times New Roman"/>
          <w:sz w:val="28"/>
          <w:szCs w:val="28"/>
        </w:rPr>
        <w:t>п</w:t>
      </w:r>
      <w:r w:rsidRPr="00FA5792">
        <w:rPr>
          <w:rFonts w:ascii="Times New Roman" w:hAnsi="Times New Roman" w:cs="Times New Roman"/>
          <w:sz w:val="28"/>
          <w:szCs w:val="28"/>
        </w:rPr>
        <w:t>од редакцией И.И.Дедова, М.В.Шестаковой, А.Ю. Майорова–9-й выпуск (дополненный). –</w:t>
      </w:r>
      <w:r>
        <w:rPr>
          <w:rFonts w:ascii="Times New Roman" w:hAnsi="Times New Roman" w:cs="Times New Roman"/>
          <w:sz w:val="28"/>
          <w:szCs w:val="28"/>
        </w:rPr>
        <w:t xml:space="preserve"> </w:t>
      </w:r>
      <w:r w:rsidRPr="00FA5792">
        <w:rPr>
          <w:rFonts w:ascii="Times New Roman" w:hAnsi="Times New Roman" w:cs="Times New Roman"/>
          <w:sz w:val="28"/>
          <w:szCs w:val="28"/>
        </w:rPr>
        <w:t>М.; 2019.</w:t>
      </w:r>
    </w:p>
    <w:p w14:paraId="5BECBE45"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kk-KZ"/>
        </w:rPr>
      </w:pPr>
      <w:r w:rsidRPr="00FA5792">
        <w:rPr>
          <w:rFonts w:ascii="Times New Roman" w:hAnsi="Times New Roman" w:cs="Times New Roman"/>
          <w:sz w:val="28"/>
          <w:szCs w:val="28"/>
          <w:lang w:val="kk-KZ"/>
        </w:rPr>
        <w:t>Витязева И. И., Алташиа М. В., Трошина Е. А. Влияние нарушении жирового обмена на фертильность мужчин репродуктивного возраста и эффективность программ ЭКО//</w:t>
      </w:r>
      <w:r>
        <w:rPr>
          <w:rFonts w:ascii="Times New Roman" w:hAnsi="Times New Roman" w:cs="Times New Roman"/>
          <w:sz w:val="28"/>
          <w:szCs w:val="28"/>
          <w:lang w:val="kk-KZ"/>
        </w:rPr>
        <w:t xml:space="preserve"> </w:t>
      </w:r>
      <w:r w:rsidRPr="00FA5792">
        <w:rPr>
          <w:rFonts w:ascii="Times New Roman" w:hAnsi="Times New Roman" w:cs="Times New Roman"/>
          <w:sz w:val="28"/>
          <w:szCs w:val="28"/>
          <w:lang w:val="kk-KZ"/>
        </w:rPr>
        <w:t>Проблемы эндокринологии</w:t>
      </w:r>
      <w:r>
        <w:rPr>
          <w:rFonts w:ascii="Times New Roman" w:hAnsi="Times New Roman" w:cs="Times New Roman"/>
          <w:sz w:val="28"/>
          <w:szCs w:val="28"/>
          <w:lang w:val="kk-KZ"/>
        </w:rPr>
        <w:t>. 2014. -</w:t>
      </w:r>
      <w:r w:rsidRPr="00FA5792">
        <w:rPr>
          <w:rFonts w:ascii="Times New Roman" w:hAnsi="Times New Roman" w:cs="Times New Roman"/>
          <w:sz w:val="28"/>
          <w:szCs w:val="28"/>
          <w:lang w:val="kk-KZ"/>
        </w:rPr>
        <w:t xml:space="preserve"> №5</w:t>
      </w:r>
      <w:r>
        <w:rPr>
          <w:rFonts w:ascii="Times New Roman" w:hAnsi="Times New Roman" w:cs="Times New Roman"/>
          <w:sz w:val="28"/>
          <w:szCs w:val="28"/>
          <w:lang w:val="kk-KZ"/>
        </w:rPr>
        <w:t>, Т.</w:t>
      </w:r>
      <w:r w:rsidRPr="00FA5792">
        <w:rPr>
          <w:rFonts w:ascii="Times New Roman" w:hAnsi="Times New Roman" w:cs="Times New Roman"/>
          <w:sz w:val="28"/>
          <w:szCs w:val="28"/>
          <w:lang w:val="kk-KZ"/>
        </w:rPr>
        <w:t xml:space="preserve"> 60</w:t>
      </w:r>
      <w:r>
        <w:rPr>
          <w:rFonts w:ascii="Times New Roman" w:hAnsi="Times New Roman" w:cs="Times New Roman"/>
          <w:sz w:val="28"/>
          <w:szCs w:val="28"/>
          <w:lang w:val="kk-KZ"/>
        </w:rPr>
        <w:t>. - С.</w:t>
      </w:r>
      <w:r w:rsidRPr="00FA5792">
        <w:rPr>
          <w:rFonts w:ascii="Times New Roman" w:hAnsi="Times New Roman" w:cs="Times New Roman"/>
          <w:sz w:val="28"/>
          <w:szCs w:val="28"/>
          <w:lang w:val="kk-KZ"/>
        </w:rPr>
        <w:t xml:space="preserve"> 34-40.</w:t>
      </w:r>
    </w:p>
    <w:p w14:paraId="244C31BD" w14:textId="77777777" w:rsidR="00102D9D" w:rsidRPr="00344E5D" w:rsidRDefault="001B62DB" w:rsidP="00102D9D">
      <w:pPr>
        <w:numPr>
          <w:ilvl w:val="0"/>
          <w:numId w:val="75"/>
        </w:numPr>
        <w:tabs>
          <w:tab w:val="left" w:pos="426"/>
          <w:tab w:val="left" w:pos="709"/>
        </w:tabs>
        <w:spacing w:after="0" w:line="240" w:lineRule="auto"/>
        <w:ind w:left="0" w:firstLine="709"/>
        <w:jc w:val="both"/>
        <w:rPr>
          <w:rFonts w:ascii="Times New Roman" w:hAnsi="Times New Roman" w:cs="Times New Roman"/>
          <w:bCs/>
          <w:sz w:val="28"/>
          <w:szCs w:val="28"/>
          <w:shd w:val="clear" w:color="auto" w:fill="FFFFFF"/>
          <w:lang w:val="kk-KZ"/>
        </w:rPr>
      </w:pPr>
      <w:hyperlink r:id="rId159" w:history="1">
        <w:r w:rsidR="00102D9D" w:rsidRPr="00344E5D">
          <w:rPr>
            <w:rStyle w:val="details-value"/>
            <w:rFonts w:ascii="Times New Roman" w:hAnsi="Times New Roman" w:cs="Times New Roman"/>
            <w:sz w:val="28"/>
            <w:szCs w:val="28"/>
            <w:lang w:val="kk-KZ"/>
          </w:rPr>
          <w:t>www.diabetesatlas.org/atlas/en02</w:t>
        </w:r>
      </w:hyperlink>
      <w:r w:rsidR="00102D9D" w:rsidRPr="00344E5D">
        <w:rPr>
          <w:rStyle w:val="details-value"/>
          <w:rFonts w:ascii="Times New Roman" w:hAnsi="Times New Roman" w:cs="Times New Roman"/>
          <w:sz w:val="28"/>
          <w:szCs w:val="28"/>
          <w:lang w:val="kk-KZ"/>
        </w:rPr>
        <w:t>.</w:t>
      </w:r>
    </w:p>
    <w:p w14:paraId="05AE8C50" w14:textId="77777777" w:rsidR="00582BB6" w:rsidRDefault="00102D9D" w:rsidP="00582BB6">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 xml:space="preserve">Межевитинова Е.А. Репродуктивное здоровье и контрацепция у </w:t>
      </w:r>
      <w:r w:rsidRPr="00582BB6">
        <w:rPr>
          <w:rFonts w:ascii="Times New Roman" w:hAnsi="Times New Roman" w:cs="Times New Roman"/>
          <w:sz w:val="28"/>
          <w:szCs w:val="28"/>
        </w:rPr>
        <w:t>женщин с сахарным диабетом I типа тема диссертации и автореферата по ВАК. - 2005. РФ 14.00.01.</w:t>
      </w:r>
    </w:p>
    <w:p w14:paraId="20BE0CFC" w14:textId="0984FFF3" w:rsidR="00582BB6" w:rsidRPr="00A2446B" w:rsidRDefault="00582BB6" w:rsidP="00582BB6">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582BB6">
        <w:rPr>
          <w:rFonts w:ascii="Times New Roman" w:hAnsi="Times New Roman" w:cs="Times New Roman"/>
          <w:sz w:val="28"/>
          <w:szCs w:val="28"/>
        </w:rPr>
        <w:t xml:space="preserve">Гродницкая Е.Е., </w:t>
      </w:r>
      <w:r w:rsidR="00102D9D" w:rsidRPr="00582BB6">
        <w:rPr>
          <w:rFonts w:ascii="Times New Roman" w:hAnsi="Times New Roman" w:cs="Times New Roman"/>
          <w:sz w:val="28"/>
          <w:szCs w:val="28"/>
        </w:rPr>
        <w:t xml:space="preserve">Григорян О.Р., </w:t>
      </w:r>
      <w:r w:rsidRPr="00582BB6">
        <w:rPr>
          <w:rFonts w:ascii="Times New Roman" w:hAnsi="Times New Roman" w:cs="Times New Roman"/>
          <w:sz w:val="28"/>
          <w:szCs w:val="28"/>
        </w:rPr>
        <w:t xml:space="preserve">Дедов И.И. </w:t>
      </w:r>
      <w:r w:rsidR="00102D9D" w:rsidRPr="00582BB6">
        <w:rPr>
          <w:rFonts w:ascii="Times New Roman" w:hAnsi="Times New Roman" w:cs="Times New Roman"/>
          <w:sz w:val="28"/>
          <w:szCs w:val="28"/>
        </w:rPr>
        <w:t xml:space="preserve">Контрацепция у </w:t>
      </w:r>
      <w:r w:rsidR="00102D9D" w:rsidRPr="00A2446B">
        <w:rPr>
          <w:rFonts w:ascii="Times New Roman" w:hAnsi="Times New Roman" w:cs="Times New Roman"/>
          <w:sz w:val="28"/>
          <w:szCs w:val="28"/>
        </w:rPr>
        <w:t>женщин</w:t>
      </w:r>
      <w:r w:rsidRPr="00A2446B">
        <w:rPr>
          <w:rFonts w:ascii="Times New Roman" w:hAnsi="Times New Roman" w:cs="Times New Roman"/>
          <w:sz w:val="28"/>
          <w:szCs w:val="28"/>
        </w:rPr>
        <w:t>, больных сахарным диабетом 1 и 2 типа</w:t>
      </w:r>
      <w:r w:rsidR="00A2446B">
        <w:rPr>
          <w:rFonts w:ascii="Times New Roman" w:hAnsi="Times New Roman" w:cs="Times New Roman"/>
          <w:sz w:val="28"/>
          <w:szCs w:val="28"/>
        </w:rPr>
        <w:t xml:space="preserve"> </w:t>
      </w:r>
      <w:r w:rsidR="00102D9D" w:rsidRPr="00A2446B">
        <w:rPr>
          <w:rFonts w:ascii="Times New Roman" w:hAnsi="Times New Roman" w:cs="Times New Roman"/>
          <w:sz w:val="28"/>
          <w:szCs w:val="28"/>
        </w:rPr>
        <w:t xml:space="preserve">// </w:t>
      </w:r>
      <w:r w:rsidRPr="00A2446B">
        <w:rPr>
          <w:rFonts w:ascii="Times New Roman" w:hAnsi="Times New Roman" w:cs="Times New Roman"/>
          <w:sz w:val="28"/>
          <w:szCs w:val="28"/>
        </w:rPr>
        <w:t xml:space="preserve">Сахарный диабет, 2003. </w:t>
      </w:r>
      <w:r w:rsidR="00A2446B">
        <w:rPr>
          <w:rFonts w:ascii="Times New Roman" w:hAnsi="Times New Roman" w:cs="Times New Roman"/>
          <w:sz w:val="28"/>
          <w:szCs w:val="28"/>
        </w:rPr>
        <w:t xml:space="preserve">- </w:t>
      </w:r>
      <w:r w:rsidRPr="00A2446B">
        <w:rPr>
          <w:rFonts w:ascii="Times New Roman" w:hAnsi="Times New Roman" w:cs="Times New Roman"/>
          <w:sz w:val="28"/>
          <w:szCs w:val="28"/>
        </w:rPr>
        <w:t>№6(2)</w:t>
      </w:r>
      <w:r w:rsidR="00A2446B" w:rsidRPr="00A2446B">
        <w:rPr>
          <w:rFonts w:ascii="Times New Roman" w:hAnsi="Times New Roman" w:cs="Times New Roman"/>
          <w:sz w:val="28"/>
          <w:szCs w:val="28"/>
        </w:rPr>
        <w:t xml:space="preserve"> –</w:t>
      </w:r>
      <w:r w:rsidR="00A2446B">
        <w:rPr>
          <w:rFonts w:ascii="Times New Roman" w:hAnsi="Times New Roman" w:cs="Times New Roman"/>
          <w:sz w:val="28"/>
          <w:szCs w:val="28"/>
        </w:rPr>
        <w:t xml:space="preserve"> </w:t>
      </w:r>
      <w:r w:rsidRPr="00A2446B">
        <w:rPr>
          <w:rFonts w:ascii="Times New Roman" w:hAnsi="Times New Roman" w:cs="Times New Roman"/>
          <w:sz w:val="28"/>
          <w:szCs w:val="28"/>
        </w:rPr>
        <w:t>С. 50-56</w:t>
      </w:r>
    </w:p>
    <w:p w14:paraId="4044276E" w14:textId="695B5981" w:rsidR="008D50BC" w:rsidRPr="00A2446B" w:rsidRDefault="008D50BC" w:rsidP="008D50BC">
      <w:pPr>
        <w:numPr>
          <w:ilvl w:val="0"/>
          <w:numId w:val="75"/>
        </w:numPr>
        <w:tabs>
          <w:tab w:val="left" w:pos="360"/>
          <w:tab w:val="left" w:pos="426"/>
        </w:tabs>
        <w:spacing w:after="0" w:line="240" w:lineRule="auto"/>
        <w:ind w:left="0" w:firstLine="709"/>
        <w:jc w:val="both"/>
        <w:rPr>
          <w:rFonts w:ascii="Times New Roman" w:hAnsi="Times New Roman" w:cs="Times New Roman"/>
          <w:sz w:val="28"/>
          <w:szCs w:val="28"/>
        </w:rPr>
      </w:pPr>
      <w:r w:rsidRPr="00A2446B">
        <w:rPr>
          <w:rFonts w:ascii="Times New Roman" w:hAnsi="Times New Roman" w:cs="Times New Roman"/>
          <w:sz w:val="28"/>
          <w:szCs w:val="28"/>
        </w:rPr>
        <w:t xml:space="preserve">Григорян О.Р., Волеводз Н.Н., Андреева </w:t>
      </w:r>
      <w:r w:rsidR="00A2446B" w:rsidRPr="00A2446B">
        <w:rPr>
          <w:rFonts w:ascii="Times New Roman" w:hAnsi="Times New Roman" w:cs="Times New Roman"/>
          <w:sz w:val="28"/>
          <w:szCs w:val="28"/>
        </w:rPr>
        <w:t>Е.Н. Прегравидарная подготовка женщин, больных сахарным диабетом</w:t>
      </w:r>
      <w:r w:rsidR="00102D9D" w:rsidRPr="00A2446B">
        <w:rPr>
          <w:rFonts w:ascii="Times New Roman" w:hAnsi="Times New Roman" w:cs="Times New Roman"/>
          <w:sz w:val="28"/>
          <w:szCs w:val="28"/>
        </w:rPr>
        <w:t xml:space="preserve"> // </w:t>
      </w:r>
      <w:r w:rsidR="00A2446B" w:rsidRPr="00A2446B">
        <w:rPr>
          <w:rFonts w:ascii="Times New Roman" w:hAnsi="Times New Roman" w:cs="Times New Roman"/>
          <w:sz w:val="28"/>
          <w:szCs w:val="28"/>
        </w:rPr>
        <w:t>Терапевтический архив</w:t>
      </w:r>
      <w:r w:rsidR="00102D9D" w:rsidRPr="00A2446B">
        <w:rPr>
          <w:rFonts w:ascii="Times New Roman" w:hAnsi="Times New Roman" w:cs="Times New Roman"/>
          <w:sz w:val="28"/>
          <w:szCs w:val="28"/>
        </w:rPr>
        <w:t>, 201</w:t>
      </w:r>
      <w:r w:rsidR="00A2446B" w:rsidRPr="00A2446B">
        <w:rPr>
          <w:rFonts w:ascii="Times New Roman" w:hAnsi="Times New Roman" w:cs="Times New Roman"/>
          <w:sz w:val="28"/>
          <w:szCs w:val="28"/>
        </w:rPr>
        <w:t>6</w:t>
      </w:r>
      <w:r w:rsidR="00102D9D" w:rsidRPr="00A2446B">
        <w:rPr>
          <w:rFonts w:ascii="Times New Roman" w:hAnsi="Times New Roman" w:cs="Times New Roman"/>
          <w:sz w:val="28"/>
          <w:szCs w:val="28"/>
        </w:rPr>
        <w:t>. - №</w:t>
      </w:r>
      <w:r w:rsidR="00A2446B" w:rsidRPr="00A2446B">
        <w:rPr>
          <w:rFonts w:ascii="Times New Roman" w:hAnsi="Times New Roman" w:cs="Times New Roman"/>
          <w:sz w:val="28"/>
          <w:szCs w:val="28"/>
        </w:rPr>
        <w:t>88(7)</w:t>
      </w:r>
      <w:r w:rsidR="00102D9D" w:rsidRPr="00A2446B">
        <w:rPr>
          <w:rFonts w:ascii="Times New Roman" w:hAnsi="Times New Roman" w:cs="Times New Roman"/>
          <w:sz w:val="28"/>
          <w:szCs w:val="28"/>
        </w:rPr>
        <w:t xml:space="preserve"> – С.</w:t>
      </w:r>
      <w:r w:rsidR="00A2446B" w:rsidRPr="00A2446B">
        <w:rPr>
          <w:rFonts w:ascii="Times New Roman" w:hAnsi="Times New Roman" w:cs="Times New Roman"/>
          <w:sz w:val="28"/>
          <w:szCs w:val="28"/>
        </w:rPr>
        <w:t>114-119</w:t>
      </w:r>
    </w:p>
    <w:p w14:paraId="344A6DA5"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iCs/>
          <w:sz w:val="28"/>
          <w:szCs w:val="28"/>
        </w:rPr>
        <w:t xml:space="preserve">Дедов И.И. </w:t>
      </w:r>
      <w:r w:rsidRPr="00FA5792">
        <w:rPr>
          <w:rFonts w:ascii="Times New Roman" w:hAnsi="Times New Roman" w:cs="Times New Roman"/>
          <w:sz w:val="28"/>
          <w:szCs w:val="28"/>
        </w:rPr>
        <w:t>Федеральная целевая программа «Сахарный диабет»: Методические рекомендации / Дедов И.И., Шестакова М.В., Максимова М.А. — М., 2002. — 88 с.</w:t>
      </w:r>
    </w:p>
    <w:p w14:paraId="265D213E"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iCs/>
          <w:sz w:val="28"/>
          <w:szCs w:val="28"/>
          <w:lang w:val="en-US"/>
        </w:rPr>
        <w:t xml:space="preserve">Eriksson Ulf J. </w:t>
      </w:r>
      <w:r w:rsidRPr="00FA5792">
        <w:rPr>
          <w:rFonts w:ascii="Times New Roman" w:hAnsi="Times New Roman" w:cs="Times New Roman"/>
          <w:sz w:val="28"/>
          <w:szCs w:val="28"/>
          <w:lang w:val="en-US"/>
        </w:rPr>
        <w:t>Clinical and experimental advances in the understanding of diabetic embryopathy / Eriksson Ulf J.,Wentzel P., Hod M. // Textbook of diabetes and pregnancy /</w:t>
      </w:r>
      <w:r w:rsidRPr="00344E5D">
        <w:rPr>
          <w:rFonts w:ascii="Times New Roman" w:hAnsi="Times New Roman" w:cs="Times New Roman"/>
          <w:sz w:val="28"/>
          <w:szCs w:val="28"/>
          <w:lang w:val="en-US"/>
        </w:rPr>
        <w:t xml:space="preserve"> </w:t>
      </w:r>
      <w:r>
        <w:rPr>
          <w:rFonts w:ascii="Times New Roman" w:hAnsi="Times New Roman" w:cs="Times New Roman"/>
          <w:sz w:val="28"/>
          <w:szCs w:val="28"/>
        </w:rPr>
        <w:t>е</w:t>
      </w:r>
      <w:r w:rsidRPr="00FA5792">
        <w:rPr>
          <w:rFonts w:ascii="Times New Roman" w:hAnsi="Times New Roman" w:cs="Times New Roman"/>
          <w:sz w:val="28"/>
          <w:szCs w:val="28"/>
          <w:lang w:val="en-US"/>
        </w:rPr>
        <w:t>d. by M. Hod et al. — London, 2003. — P. 262–275.</w:t>
      </w:r>
    </w:p>
    <w:p w14:paraId="5DD11A3E"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iCs/>
          <w:sz w:val="28"/>
          <w:szCs w:val="28"/>
        </w:rPr>
        <w:t xml:space="preserve">Айламазян Э.К. </w:t>
      </w:r>
      <w:r w:rsidRPr="00FA5792">
        <w:rPr>
          <w:rFonts w:ascii="Times New Roman" w:hAnsi="Times New Roman" w:cs="Times New Roman"/>
          <w:sz w:val="28"/>
          <w:szCs w:val="28"/>
        </w:rPr>
        <w:t xml:space="preserve">Планирование беременности при сахарном диабете / Айламазян Э.К., Ланцева О.Е., Потин В.В. //Aqua Vitae. </w:t>
      </w:r>
      <w:r>
        <w:rPr>
          <w:rFonts w:ascii="Times New Roman" w:hAnsi="Times New Roman" w:cs="Times New Roman"/>
          <w:sz w:val="28"/>
          <w:szCs w:val="28"/>
        </w:rPr>
        <w:t>-</w:t>
      </w:r>
      <w:r w:rsidRPr="00FA5792">
        <w:rPr>
          <w:rFonts w:ascii="Times New Roman" w:hAnsi="Times New Roman" w:cs="Times New Roman"/>
          <w:sz w:val="28"/>
          <w:szCs w:val="28"/>
        </w:rPr>
        <w:t xml:space="preserve"> 1997. </w:t>
      </w:r>
      <w:r>
        <w:rPr>
          <w:rFonts w:ascii="Times New Roman" w:hAnsi="Times New Roman" w:cs="Times New Roman"/>
          <w:sz w:val="28"/>
          <w:szCs w:val="28"/>
        </w:rPr>
        <w:t>-</w:t>
      </w:r>
      <w:r w:rsidRPr="00FA5792">
        <w:rPr>
          <w:rFonts w:ascii="Times New Roman" w:hAnsi="Times New Roman" w:cs="Times New Roman"/>
          <w:sz w:val="28"/>
          <w:szCs w:val="28"/>
        </w:rPr>
        <w:t xml:space="preserve"> № 4. </w:t>
      </w:r>
      <w:r>
        <w:rPr>
          <w:rFonts w:ascii="Times New Roman" w:hAnsi="Times New Roman" w:cs="Times New Roman"/>
          <w:sz w:val="28"/>
          <w:szCs w:val="28"/>
        </w:rPr>
        <w:t xml:space="preserve">- </w:t>
      </w:r>
      <w:r w:rsidRPr="00FA5792">
        <w:rPr>
          <w:rFonts w:ascii="Times New Roman" w:hAnsi="Times New Roman" w:cs="Times New Roman"/>
          <w:sz w:val="28"/>
          <w:szCs w:val="28"/>
        </w:rPr>
        <w:t>С. 42–45</w:t>
      </w:r>
      <w:r>
        <w:rPr>
          <w:rFonts w:ascii="Times New Roman" w:hAnsi="Times New Roman" w:cs="Times New Roman"/>
          <w:sz w:val="28"/>
          <w:szCs w:val="28"/>
        </w:rPr>
        <w:t>.</w:t>
      </w:r>
    </w:p>
    <w:p w14:paraId="39E8AABE"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iCs/>
          <w:sz w:val="28"/>
          <w:szCs w:val="28"/>
        </w:rPr>
        <w:t xml:space="preserve">Айламазян Э.К. </w:t>
      </w:r>
      <w:r w:rsidRPr="00FA5792">
        <w:rPr>
          <w:rFonts w:ascii="Times New Roman" w:hAnsi="Times New Roman" w:cs="Times New Roman"/>
          <w:sz w:val="28"/>
          <w:szCs w:val="28"/>
        </w:rPr>
        <w:t>Гинекология от пубертата до постменопаузы / Айламазян Э.К., Потин В.В., Тарасова М.А.</w:t>
      </w:r>
      <w:r>
        <w:rPr>
          <w:rFonts w:ascii="Times New Roman" w:hAnsi="Times New Roman" w:cs="Times New Roman"/>
          <w:sz w:val="28"/>
          <w:szCs w:val="28"/>
        </w:rPr>
        <w:t xml:space="preserve"> /</w:t>
      </w:r>
      <w:r w:rsidRPr="00FA5792">
        <w:rPr>
          <w:rFonts w:ascii="Times New Roman" w:hAnsi="Times New Roman" w:cs="Times New Roman"/>
          <w:sz w:val="28"/>
          <w:szCs w:val="28"/>
        </w:rPr>
        <w:t xml:space="preserve"> </w:t>
      </w:r>
      <w:r>
        <w:rPr>
          <w:rFonts w:ascii="Times New Roman" w:hAnsi="Times New Roman" w:cs="Times New Roman"/>
          <w:sz w:val="28"/>
          <w:szCs w:val="28"/>
        </w:rPr>
        <w:t>п</w:t>
      </w:r>
      <w:r w:rsidRPr="00FA5792">
        <w:rPr>
          <w:rFonts w:ascii="Times New Roman" w:hAnsi="Times New Roman" w:cs="Times New Roman"/>
          <w:sz w:val="28"/>
          <w:szCs w:val="28"/>
        </w:rPr>
        <w:t>од ред.</w:t>
      </w:r>
      <w:r>
        <w:rPr>
          <w:rFonts w:ascii="Times New Roman" w:hAnsi="Times New Roman" w:cs="Times New Roman"/>
          <w:sz w:val="28"/>
          <w:szCs w:val="28"/>
        </w:rPr>
        <w:t xml:space="preserve"> </w:t>
      </w:r>
      <w:r w:rsidRPr="00FA5792">
        <w:rPr>
          <w:rFonts w:ascii="Times New Roman" w:hAnsi="Times New Roman" w:cs="Times New Roman"/>
          <w:sz w:val="28"/>
          <w:szCs w:val="28"/>
        </w:rPr>
        <w:t>акад.</w:t>
      </w:r>
      <w:r>
        <w:rPr>
          <w:rFonts w:ascii="Times New Roman" w:hAnsi="Times New Roman" w:cs="Times New Roman"/>
          <w:sz w:val="28"/>
          <w:szCs w:val="28"/>
        </w:rPr>
        <w:t xml:space="preserve"> </w:t>
      </w:r>
      <w:r w:rsidRPr="00FA5792">
        <w:rPr>
          <w:rFonts w:ascii="Times New Roman" w:hAnsi="Times New Roman" w:cs="Times New Roman"/>
          <w:sz w:val="28"/>
          <w:szCs w:val="28"/>
        </w:rPr>
        <w:t xml:space="preserve">РАМН проф. Э.К. Айламазяна. </w:t>
      </w:r>
      <w:r>
        <w:rPr>
          <w:rFonts w:ascii="Times New Roman" w:hAnsi="Times New Roman" w:cs="Times New Roman"/>
          <w:sz w:val="28"/>
          <w:szCs w:val="28"/>
        </w:rPr>
        <w:t xml:space="preserve"> - </w:t>
      </w:r>
      <w:r w:rsidRPr="00FA5792">
        <w:rPr>
          <w:rFonts w:ascii="Times New Roman" w:hAnsi="Times New Roman" w:cs="Times New Roman"/>
          <w:sz w:val="28"/>
          <w:szCs w:val="28"/>
        </w:rPr>
        <w:t xml:space="preserve">М.: МЕДпресс-информ, 2004. </w:t>
      </w:r>
      <w:r>
        <w:rPr>
          <w:rFonts w:ascii="Times New Roman" w:hAnsi="Times New Roman" w:cs="Times New Roman"/>
          <w:sz w:val="28"/>
          <w:szCs w:val="28"/>
        </w:rPr>
        <w:t xml:space="preserve">- </w:t>
      </w:r>
      <w:r w:rsidRPr="00FA5792">
        <w:rPr>
          <w:rFonts w:ascii="Times New Roman" w:hAnsi="Times New Roman" w:cs="Times New Roman"/>
          <w:sz w:val="28"/>
          <w:szCs w:val="28"/>
        </w:rPr>
        <w:t>447 с.</w:t>
      </w:r>
    </w:p>
    <w:p w14:paraId="2DEB1C48"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bCs/>
          <w:sz w:val="28"/>
          <w:szCs w:val="28"/>
        </w:rPr>
        <w:t>Потин</w:t>
      </w:r>
      <w:r w:rsidRPr="009263F4">
        <w:rPr>
          <w:rFonts w:ascii="Times New Roman" w:hAnsi="Times New Roman" w:cs="Times New Roman"/>
          <w:bCs/>
          <w:sz w:val="28"/>
          <w:szCs w:val="28"/>
        </w:rPr>
        <w:t xml:space="preserve"> </w:t>
      </w:r>
      <w:r w:rsidRPr="00FA5792">
        <w:rPr>
          <w:rFonts w:ascii="Times New Roman" w:hAnsi="Times New Roman" w:cs="Times New Roman"/>
          <w:bCs/>
          <w:sz w:val="28"/>
          <w:szCs w:val="28"/>
        </w:rPr>
        <w:t>В.В., Боровик</w:t>
      </w:r>
      <w:r w:rsidRPr="009263F4">
        <w:rPr>
          <w:rFonts w:ascii="Times New Roman" w:hAnsi="Times New Roman" w:cs="Times New Roman"/>
          <w:bCs/>
          <w:sz w:val="28"/>
          <w:szCs w:val="28"/>
        </w:rPr>
        <w:t xml:space="preserve"> </w:t>
      </w:r>
      <w:r w:rsidRPr="00FA5792">
        <w:rPr>
          <w:rFonts w:ascii="Times New Roman" w:hAnsi="Times New Roman" w:cs="Times New Roman"/>
          <w:bCs/>
          <w:sz w:val="28"/>
          <w:szCs w:val="28"/>
        </w:rPr>
        <w:t>Н.В., Тиселько</w:t>
      </w:r>
      <w:r w:rsidRPr="009263F4">
        <w:rPr>
          <w:rFonts w:ascii="Times New Roman" w:hAnsi="Times New Roman" w:cs="Times New Roman"/>
          <w:bCs/>
          <w:sz w:val="28"/>
          <w:szCs w:val="28"/>
        </w:rPr>
        <w:t xml:space="preserve"> </w:t>
      </w:r>
      <w:r w:rsidRPr="00FA5792">
        <w:rPr>
          <w:rFonts w:ascii="Times New Roman" w:hAnsi="Times New Roman" w:cs="Times New Roman"/>
          <w:bCs/>
          <w:sz w:val="28"/>
          <w:szCs w:val="28"/>
        </w:rPr>
        <w:t>А.В. Сахарный диабет и репродуктивная система женщины</w:t>
      </w:r>
      <w:r>
        <w:rPr>
          <w:rFonts w:ascii="Times New Roman" w:hAnsi="Times New Roman" w:cs="Times New Roman"/>
          <w:bCs/>
          <w:sz w:val="28"/>
          <w:szCs w:val="28"/>
        </w:rPr>
        <w:t xml:space="preserve"> //</w:t>
      </w:r>
      <w:r w:rsidRPr="00FA5792">
        <w:rPr>
          <w:rFonts w:ascii="Times New Roman" w:hAnsi="Times New Roman" w:cs="Times New Roman"/>
          <w:bCs/>
          <w:sz w:val="28"/>
          <w:szCs w:val="28"/>
        </w:rPr>
        <w:t xml:space="preserve"> Журнал акушерства и женских болезней. </w:t>
      </w:r>
      <w:r>
        <w:rPr>
          <w:rFonts w:ascii="Times New Roman" w:hAnsi="Times New Roman" w:cs="Times New Roman"/>
          <w:bCs/>
          <w:sz w:val="28"/>
          <w:szCs w:val="28"/>
        </w:rPr>
        <w:t xml:space="preserve">– </w:t>
      </w:r>
      <w:r w:rsidRPr="00FA5792">
        <w:rPr>
          <w:rFonts w:ascii="Times New Roman" w:hAnsi="Times New Roman" w:cs="Times New Roman"/>
          <w:bCs/>
          <w:sz w:val="28"/>
          <w:szCs w:val="28"/>
        </w:rPr>
        <w:t>2006</w:t>
      </w:r>
      <w:r>
        <w:rPr>
          <w:rFonts w:ascii="Times New Roman" w:hAnsi="Times New Roman" w:cs="Times New Roman"/>
          <w:bCs/>
          <w:sz w:val="28"/>
          <w:szCs w:val="28"/>
        </w:rPr>
        <w:t xml:space="preserve">. – </w:t>
      </w:r>
      <w:r w:rsidRPr="00FA5792">
        <w:rPr>
          <w:rFonts w:ascii="Times New Roman" w:hAnsi="Times New Roman" w:cs="Times New Roman"/>
          <w:bCs/>
          <w:sz w:val="28"/>
          <w:szCs w:val="28"/>
        </w:rPr>
        <w:t>Т</w:t>
      </w:r>
      <w:r>
        <w:rPr>
          <w:rFonts w:ascii="Times New Roman" w:hAnsi="Times New Roman" w:cs="Times New Roman"/>
          <w:bCs/>
          <w:sz w:val="28"/>
          <w:szCs w:val="28"/>
        </w:rPr>
        <w:t>.4,</w:t>
      </w:r>
      <w:r w:rsidRPr="00FA5792">
        <w:rPr>
          <w:rFonts w:ascii="Times New Roman" w:hAnsi="Times New Roman" w:cs="Times New Roman"/>
          <w:bCs/>
          <w:sz w:val="28"/>
          <w:szCs w:val="28"/>
        </w:rPr>
        <w:t xml:space="preserve"> Вып</w:t>
      </w:r>
      <w:r>
        <w:rPr>
          <w:rFonts w:ascii="Times New Roman" w:hAnsi="Times New Roman" w:cs="Times New Roman"/>
          <w:bCs/>
          <w:sz w:val="28"/>
          <w:szCs w:val="28"/>
        </w:rPr>
        <w:t>.</w:t>
      </w:r>
      <w:r w:rsidRPr="00FA5792">
        <w:rPr>
          <w:rFonts w:ascii="Times New Roman" w:hAnsi="Times New Roman" w:cs="Times New Roman"/>
          <w:bCs/>
          <w:sz w:val="28"/>
          <w:szCs w:val="28"/>
        </w:rPr>
        <w:t>1</w:t>
      </w:r>
      <w:r>
        <w:rPr>
          <w:rFonts w:ascii="Times New Roman" w:hAnsi="Times New Roman" w:cs="Times New Roman"/>
          <w:bCs/>
          <w:sz w:val="28"/>
          <w:szCs w:val="28"/>
        </w:rPr>
        <w:t xml:space="preserve">. </w:t>
      </w:r>
      <w:r w:rsidRPr="00FA5792">
        <w:rPr>
          <w:rFonts w:ascii="Times New Roman" w:hAnsi="Times New Roman" w:cs="Times New Roman"/>
          <w:sz w:val="28"/>
          <w:szCs w:val="28"/>
        </w:rPr>
        <w:t>ISSN 1684–0461</w:t>
      </w:r>
      <w:r>
        <w:rPr>
          <w:rFonts w:ascii="Times New Roman" w:hAnsi="Times New Roman" w:cs="Times New Roman"/>
          <w:sz w:val="28"/>
          <w:szCs w:val="28"/>
        </w:rPr>
        <w:t>.</w:t>
      </w:r>
    </w:p>
    <w:p w14:paraId="2FA8C728"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sz w:val="28"/>
          <w:szCs w:val="28"/>
          <w:lang w:val="en-US"/>
        </w:rPr>
        <w:t xml:space="preserve">Luxiang Shang, Mengjiao Shao, Qilong Guo, Jia Shi, Yang Zhao, Jiasuoer Xiaokereti, and Baopeng Tang.  Diabetes Mellitus is Associated with Severe Infection and Mortality in Patients with COVID-19: A Systematic Review and Meta-analysis. EPIDEMIOLOGICAL </w:t>
      </w:r>
      <w:r w:rsidRPr="009263F4">
        <w:rPr>
          <w:rFonts w:ascii="Times New Roman" w:hAnsi="Times New Roman" w:cs="Times New Roman"/>
          <w:sz w:val="28"/>
          <w:szCs w:val="28"/>
          <w:lang w:val="en-US"/>
        </w:rPr>
        <w:t xml:space="preserve">// </w:t>
      </w:r>
      <w:r w:rsidRPr="00FA5792">
        <w:rPr>
          <w:rFonts w:ascii="Times New Roman" w:hAnsi="Times New Roman" w:cs="Times New Roman"/>
          <w:sz w:val="28"/>
          <w:szCs w:val="28"/>
          <w:lang w:val="en-US"/>
        </w:rPr>
        <w:t>Archives of Medical Research 51</w:t>
      </w:r>
      <w:r w:rsidRPr="009263F4">
        <w:rPr>
          <w:rFonts w:ascii="Times New Roman" w:hAnsi="Times New Roman" w:cs="Times New Roman"/>
          <w:sz w:val="28"/>
          <w:szCs w:val="28"/>
          <w:lang w:val="en-US"/>
        </w:rPr>
        <w:t>. -</w:t>
      </w:r>
      <w:r w:rsidRPr="00FA5792">
        <w:rPr>
          <w:rFonts w:ascii="Times New Roman" w:hAnsi="Times New Roman" w:cs="Times New Roman"/>
          <w:sz w:val="28"/>
          <w:szCs w:val="28"/>
          <w:lang w:val="en-US"/>
        </w:rPr>
        <w:t>2020</w:t>
      </w:r>
      <w:r w:rsidRPr="009263F4">
        <w:rPr>
          <w:rFonts w:ascii="Times New Roman" w:hAnsi="Times New Roman" w:cs="Times New Roman"/>
          <w:sz w:val="28"/>
          <w:szCs w:val="28"/>
          <w:lang w:val="en-US"/>
        </w:rPr>
        <w:t>.</w:t>
      </w:r>
      <w:r w:rsidRPr="00FA5792">
        <w:rPr>
          <w:rFonts w:ascii="Times New Roman" w:hAnsi="Times New Roman" w:cs="Times New Roman"/>
          <w:sz w:val="28"/>
          <w:szCs w:val="28"/>
          <w:lang w:val="en-US"/>
        </w:rPr>
        <w:t xml:space="preserve"> </w:t>
      </w:r>
      <w:hyperlink r:id="rId160" w:history="1">
        <w:r w:rsidRPr="00FA5792">
          <w:rPr>
            <w:rStyle w:val="details-value"/>
            <w:rFonts w:ascii="Times New Roman" w:hAnsi="Times New Roman" w:cs="Times New Roman"/>
            <w:sz w:val="28"/>
            <w:szCs w:val="28"/>
            <w:lang w:val="en-US"/>
          </w:rPr>
          <w:t>https://doi.org/10.1016/j.arcmed2020.07.005</w:t>
        </w:r>
      </w:hyperlink>
      <w:r w:rsidRPr="00C86AF6">
        <w:rPr>
          <w:rStyle w:val="details-value"/>
          <w:rFonts w:ascii="Times New Roman" w:hAnsi="Times New Roman" w:cs="Times New Roman"/>
          <w:sz w:val="28"/>
          <w:szCs w:val="28"/>
          <w:lang w:val="en-US"/>
        </w:rPr>
        <w:t>.</w:t>
      </w:r>
    </w:p>
    <w:p w14:paraId="78ED0A91"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bCs/>
          <w:sz w:val="28"/>
          <w:szCs w:val="28"/>
          <w:lang w:val="en-US"/>
        </w:rPr>
      </w:pPr>
      <w:r w:rsidRPr="00FA5792">
        <w:rPr>
          <w:rFonts w:ascii="Times New Roman" w:hAnsi="Times New Roman" w:cs="Times New Roman"/>
          <w:sz w:val="28"/>
          <w:szCs w:val="28"/>
          <w:lang w:val="en-US"/>
        </w:rPr>
        <w:t xml:space="preserve">Yan Jing, Li RunQian, Wang HaoRan, Chen HaoRan, Liu YaBin, Gao Yang, Chen Fei. </w:t>
      </w:r>
      <w:r w:rsidRPr="00FA5792">
        <w:rPr>
          <w:rFonts w:ascii="Times New Roman" w:hAnsi="Times New Roman" w:cs="Times New Roman"/>
          <w:bCs/>
          <w:sz w:val="28"/>
          <w:szCs w:val="28"/>
          <w:lang w:val="en-US"/>
        </w:rPr>
        <w:t>Potential influence of COVID-19</w:t>
      </w:r>
      <w:r w:rsidRPr="009263F4">
        <w:rPr>
          <w:rFonts w:ascii="Times New Roman" w:hAnsi="Times New Roman" w:cs="Times New Roman"/>
          <w:bCs/>
          <w:sz w:val="28"/>
          <w:szCs w:val="28"/>
          <w:lang w:val="en-US"/>
        </w:rPr>
        <w:t xml:space="preserve"> </w:t>
      </w:r>
      <w:r w:rsidRPr="00FA5792">
        <w:rPr>
          <w:rFonts w:ascii="Times New Roman" w:hAnsi="Times New Roman" w:cs="Times New Roman"/>
          <w:bCs/>
          <w:sz w:val="28"/>
          <w:szCs w:val="28"/>
          <w:lang w:val="en-US"/>
        </w:rPr>
        <w:t>/</w:t>
      </w:r>
      <w:r w:rsidRPr="009263F4">
        <w:rPr>
          <w:rFonts w:ascii="Times New Roman" w:hAnsi="Times New Roman" w:cs="Times New Roman"/>
          <w:bCs/>
          <w:sz w:val="28"/>
          <w:szCs w:val="28"/>
          <w:lang w:val="en-US"/>
        </w:rPr>
        <w:t xml:space="preserve">/ </w:t>
      </w:r>
      <w:r w:rsidRPr="00FA5792">
        <w:rPr>
          <w:rFonts w:ascii="Times New Roman" w:hAnsi="Times New Roman" w:cs="Times New Roman"/>
          <w:bCs/>
          <w:sz w:val="28"/>
          <w:szCs w:val="28"/>
          <w:lang w:val="en-US"/>
        </w:rPr>
        <w:t xml:space="preserve">ACE2 on the female reproductive system. </w:t>
      </w:r>
      <w:r w:rsidRPr="00FA5792">
        <w:rPr>
          <w:rFonts w:ascii="Times New Roman" w:eastAsia="AdvOT26408d1e" w:hAnsi="Times New Roman" w:cs="Times New Roman"/>
          <w:sz w:val="28"/>
          <w:szCs w:val="28"/>
          <w:lang w:val="en-US"/>
        </w:rPr>
        <w:t xml:space="preserve">Published by Oxford University Press on behalf of the European Society of Human Reproduction and Embryology. </w:t>
      </w:r>
      <w:r w:rsidRPr="00FA5792">
        <w:rPr>
          <w:rFonts w:ascii="Times New Roman" w:hAnsi="Times New Roman" w:cs="Times New Roman"/>
          <w:sz w:val="28"/>
          <w:szCs w:val="28"/>
          <w:lang w:val="en-US"/>
        </w:rPr>
        <w:t>Doi:  </w:t>
      </w:r>
      <w:hyperlink r:id="rId161" w:tgtFrame="pmc_ext" w:history="1">
        <w:r w:rsidRPr="00FA5792">
          <w:rPr>
            <w:rFonts w:ascii="Times New Roman" w:hAnsi="Times New Roman" w:cs="Times New Roman"/>
            <w:sz w:val="28"/>
            <w:szCs w:val="28"/>
            <w:lang w:val="en-US"/>
          </w:rPr>
          <w:t>10.1093 / molhr / gaaa030</w:t>
        </w:r>
      </w:hyperlink>
      <w:r>
        <w:rPr>
          <w:rFonts w:ascii="Times New Roman" w:hAnsi="Times New Roman" w:cs="Times New Roman"/>
          <w:sz w:val="28"/>
          <w:szCs w:val="28"/>
        </w:rPr>
        <w:t>.</w:t>
      </w:r>
    </w:p>
    <w:p w14:paraId="38BB4FFE"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sz w:val="28"/>
          <w:szCs w:val="28"/>
          <w:lang w:val="en-US"/>
        </w:rPr>
        <w:t xml:space="preserve">Mohammad Ali Khalili, Kristian Leisegang, Ahmad Majzoub, Renata Finelli, Manesh Kumar Panner Selvam, Ralf Henkel, Moshrefi Mojgan, Ashok Agarwal  </w:t>
      </w:r>
      <w:r w:rsidRPr="00FA5792">
        <w:rPr>
          <w:rFonts w:ascii="Times New Roman" w:hAnsi="Times New Roman" w:cs="Times New Roman"/>
          <w:bCs/>
          <w:sz w:val="28"/>
          <w:szCs w:val="28"/>
          <w:lang w:val="en-US"/>
        </w:rPr>
        <w:t>Male Fertility and the COVID-19 Pandemic: Systematic Review of the Literature</w:t>
      </w:r>
      <w:r w:rsidRPr="009263F4">
        <w:rPr>
          <w:rFonts w:ascii="Times New Roman" w:hAnsi="Times New Roman" w:cs="Times New Roman"/>
          <w:bCs/>
          <w:sz w:val="28"/>
          <w:szCs w:val="28"/>
          <w:lang w:val="en-US"/>
        </w:rPr>
        <w:t xml:space="preserve"> //</w:t>
      </w:r>
      <w:r w:rsidRPr="00FA5792">
        <w:rPr>
          <w:rFonts w:ascii="Times New Roman" w:hAnsi="Times New Roman" w:cs="Times New Roman"/>
          <w:bCs/>
          <w:sz w:val="28"/>
          <w:szCs w:val="28"/>
          <w:lang w:val="en-US"/>
        </w:rPr>
        <w:t xml:space="preserve"> </w:t>
      </w:r>
      <w:r w:rsidRPr="00FA5792">
        <w:rPr>
          <w:rFonts w:ascii="Times New Roman" w:hAnsi="Times New Roman" w:cs="Times New Roman"/>
          <w:sz w:val="28"/>
          <w:szCs w:val="28"/>
          <w:lang w:val="en-US"/>
        </w:rPr>
        <w:t>World J Mens Health</w:t>
      </w:r>
      <w:r w:rsidRPr="009263F4">
        <w:rPr>
          <w:rFonts w:ascii="Times New Roman" w:hAnsi="Times New Roman" w:cs="Times New Roman"/>
          <w:sz w:val="28"/>
          <w:szCs w:val="28"/>
          <w:lang w:val="en-US"/>
        </w:rPr>
        <w:t>.-</w:t>
      </w:r>
      <w:r w:rsidRPr="00FA5792">
        <w:rPr>
          <w:rFonts w:ascii="Times New Roman" w:hAnsi="Times New Roman" w:cs="Times New Roman"/>
          <w:sz w:val="28"/>
          <w:szCs w:val="28"/>
          <w:lang w:val="en-US"/>
        </w:rPr>
        <w:t xml:space="preserve"> 2020</w:t>
      </w:r>
      <w:r>
        <w:rPr>
          <w:rFonts w:ascii="Times New Roman" w:hAnsi="Times New Roman" w:cs="Times New Roman"/>
          <w:sz w:val="28"/>
          <w:szCs w:val="28"/>
        </w:rPr>
        <w:t>. - №</w:t>
      </w:r>
      <w:r w:rsidRPr="00FA5792">
        <w:rPr>
          <w:rFonts w:ascii="Times New Roman" w:hAnsi="Times New Roman" w:cs="Times New Roman"/>
          <w:sz w:val="28"/>
          <w:szCs w:val="28"/>
          <w:lang w:val="en-US"/>
        </w:rPr>
        <w:t>38(4)</w:t>
      </w:r>
      <w:r>
        <w:rPr>
          <w:rFonts w:ascii="Times New Roman" w:hAnsi="Times New Roman" w:cs="Times New Roman"/>
          <w:sz w:val="28"/>
          <w:szCs w:val="28"/>
        </w:rPr>
        <w:t>. - Р.</w:t>
      </w:r>
      <w:r w:rsidRPr="00FA5792">
        <w:rPr>
          <w:rFonts w:ascii="Times New Roman" w:hAnsi="Times New Roman" w:cs="Times New Roman"/>
          <w:sz w:val="28"/>
          <w:szCs w:val="28"/>
          <w:lang w:val="en-US"/>
        </w:rPr>
        <w:t xml:space="preserve"> 506-520</w:t>
      </w:r>
      <w:r>
        <w:rPr>
          <w:rFonts w:ascii="Times New Roman" w:hAnsi="Times New Roman" w:cs="Times New Roman"/>
          <w:sz w:val="28"/>
          <w:szCs w:val="28"/>
        </w:rPr>
        <w:t>.</w:t>
      </w:r>
      <w:r w:rsidRPr="00FA5792">
        <w:rPr>
          <w:rFonts w:ascii="Times New Roman" w:hAnsi="Times New Roman" w:cs="Times New Roman"/>
          <w:sz w:val="28"/>
          <w:szCs w:val="28"/>
          <w:lang w:val="en-US"/>
        </w:rPr>
        <w:t xml:space="preserve">  </w:t>
      </w:r>
      <w:hyperlink r:id="rId162" w:history="1">
        <w:r w:rsidRPr="00FA5792">
          <w:rPr>
            <w:rStyle w:val="details-value"/>
            <w:rFonts w:ascii="Times New Roman" w:hAnsi="Times New Roman" w:cs="Times New Roman"/>
            <w:sz w:val="28"/>
            <w:szCs w:val="28"/>
            <w:lang w:val="en-US"/>
          </w:rPr>
          <w:t>https://doi.org/10.5534/wjmh.200134</w:t>
        </w:r>
      </w:hyperlink>
      <w:r w:rsidRPr="00FA5792">
        <w:rPr>
          <w:rFonts w:ascii="Times New Roman" w:hAnsi="Times New Roman" w:cs="Times New Roman"/>
          <w:sz w:val="28"/>
          <w:szCs w:val="28"/>
          <w:lang w:val="en-US"/>
        </w:rPr>
        <w:t xml:space="preserve">. pISSN: 2287-4208 / eISSN: 2287-4690  </w:t>
      </w:r>
    </w:p>
    <w:p w14:paraId="04F88BBC" w14:textId="77777777" w:rsidR="00102D9D" w:rsidRPr="00F0692B"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sz w:val="28"/>
          <w:szCs w:val="28"/>
          <w:lang w:val="en-US"/>
        </w:rPr>
        <w:t>Chen J</w:t>
      </w:r>
      <w:r w:rsidRPr="00F0692B">
        <w:rPr>
          <w:rFonts w:ascii="Times New Roman" w:hAnsi="Times New Roman" w:cs="Times New Roman"/>
          <w:sz w:val="28"/>
          <w:szCs w:val="28"/>
          <w:lang w:val="en-US"/>
        </w:rPr>
        <w:t>.</w:t>
      </w:r>
      <w:r w:rsidRPr="00FA5792">
        <w:rPr>
          <w:rFonts w:ascii="Times New Roman" w:hAnsi="Times New Roman" w:cs="Times New Roman"/>
          <w:sz w:val="28"/>
          <w:szCs w:val="28"/>
          <w:lang w:val="en-US"/>
        </w:rPr>
        <w:t>, Wu C</w:t>
      </w:r>
      <w:r w:rsidRPr="00F0692B">
        <w:rPr>
          <w:rFonts w:ascii="Times New Roman" w:hAnsi="Times New Roman" w:cs="Times New Roman"/>
          <w:sz w:val="28"/>
          <w:szCs w:val="28"/>
          <w:lang w:val="en-US"/>
        </w:rPr>
        <w:t>.</w:t>
      </w:r>
      <w:r w:rsidRPr="00FA5792">
        <w:rPr>
          <w:rFonts w:ascii="Times New Roman" w:hAnsi="Times New Roman" w:cs="Times New Roman"/>
          <w:sz w:val="28"/>
          <w:szCs w:val="28"/>
          <w:lang w:val="en-US"/>
        </w:rPr>
        <w:t>, Wang X</w:t>
      </w:r>
      <w:r w:rsidRPr="00F0692B">
        <w:rPr>
          <w:rFonts w:ascii="Times New Roman" w:hAnsi="Times New Roman" w:cs="Times New Roman"/>
          <w:sz w:val="28"/>
          <w:szCs w:val="28"/>
          <w:lang w:val="en-US"/>
        </w:rPr>
        <w:t>.</w:t>
      </w:r>
      <w:r w:rsidRPr="00FA5792">
        <w:rPr>
          <w:rFonts w:ascii="Times New Roman" w:hAnsi="Times New Roman" w:cs="Times New Roman"/>
          <w:sz w:val="28"/>
          <w:szCs w:val="28"/>
          <w:lang w:val="en-US"/>
        </w:rPr>
        <w:t>, Yu J</w:t>
      </w:r>
      <w:r w:rsidRPr="00F0692B">
        <w:rPr>
          <w:rFonts w:ascii="Times New Roman" w:hAnsi="Times New Roman" w:cs="Times New Roman"/>
          <w:sz w:val="28"/>
          <w:szCs w:val="28"/>
          <w:lang w:val="en-US"/>
        </w:rPr>
        <w:t>.</w:t>
      </w:r>
      <w:r w:rsidRPr="00FA5792">
        <w:rPr>
          <w:rFonts w:ascii="Times New Roman" w:hAnsi="Times New Roman" w:cs="Times New Roman"/>
          <w:sz w:val="28"/>
          <w:szCs w:val="28"/>
          <w:lang w:val="en-US"/>
        </w:rPr>
        <w:t xml:space="preserve"> and Sun Z</w:t>
      </w:r>
      <w:r w:rsidRPr="00F0692B">
        <w:rPr>
          <w:rFonts w:ascii="Times New Roman" w:hAnsi="Times New Roman" w:cs="Times New Roman"/>
          <w:sz w:val="28"/>
          <w:szCs w:val="28"/>
          <w:lang w:val="en-US"/>
        </w:rPr>
        <w:t>.</w:t>
      </w:r>
      <w:r w:rsidRPr="00FA5792">
        <w:rPr>
          <w:rFonts w:ascii="Times New Roman" w:hAnsi="Times New Roman" w:cs="Times New Roman"/>
          <w:sz w:val="28"/>
          <w:szCs w:val="28"/>
          <w:lang w:val="en-US"/>
        </w:rPr>
        <w:t xml:space="preserve"> The Impact of COVID-19 on Blood Glucose: A Systematic Review and Meta-Analysis. </w:t>
      </w:r>
      <w:r w:rsidRPr="00F0692B">
        <w:rPr>
          <w:rFonts w:ascii="Times New Roman" w:hAnsi="Times New Roman" w:cs="Times New Roman"/>
          <w:sz w:val="28"/>
          <w:szCs w:val="28"/>
          <w:lang w:val="en-US"/>
        </w:rPr>
        <w:t>Front. Endocrinol.</w:t>
      </w:r>
      <w:r>
        <w:rPr>
          <w:rFonts w:ascii="Times New Roman" w:hAnsi="Times New Roman" w:cs="Times New Roman"/>
          <w:sz w:val="28"/>
          <w:szCs w:val="28"/>
        </w:rPr>
        <w:t xml:space="preserve"> -</w:t>
      </w:r>
      <w:r w:rsidRPr="00FA5792">
        <w:rPr>
          <w:rFonts w:ascii="Times New Roman" w:hAnsi="Times New Roman" w:cs="Times New Roman"/>
          <w:sz w:val="28"/>
          <w:szCs w:val="28"/>
          <w:lang w:val="en-US"/>
        </w:rPr>
        <w:t>2020</w:t>
      </w:r>
      <w:r>
        <w:rPr>
          <w:rFonts w:ascii="Times New Roman" w:hAnsi="Times New Roman" w:cs="Times New Roman"/>
          <w:sz w:val="28"/>
          <w:szCs w:val="28"/>
        </w:rPr>
        <w:t>.</w:t>
      </w:r>
      <w:r w:rsidRPr="00F0692B">
        <w:rPr>
          <w:rFonts w:ascii="Times New Roman" w:hAnsi="Times New Roman" w:cs="Times New Roman"/>
          <w:sz w:val="28"/>
          <w:szCs w:val="28"/>
          <w:lang w:val="en-US"/>
        </w:rPr>
        <w:t xml:space="preserve"> 11:574541. </w:t>
      </w:r>
      <w:r>
        <w:rPr>
          <w:rFonts w:ascii="Times New Roman" w:hAnsi="Times New Roman" w:cs="Times New Roman"/>
          <w:sz w:val="28"/>
          <w:szCs w:val="28"/>
          <w:lang w:val="en-US"/>
        </w:rPr>
        <w:t>DOI</w:t>
      </w:r>
      <w:r w:rsidRPr="00F0692B">
        <w:rPr>
          <w:rFonts w:ascii="Times New Roman" w:hAnsi="Times New Roman" w:cs="Times New Roman"/>
          <w:sz w:val="28"/>
          <w:szCs w:val="28"/>
          <w:lang w:val="en-US"/>
        </w:rPr>
        <w:t>:  </w:t>
      </w:r>
      <w:hyperlink r:id="rId163" w:tgtFrame="pmc_ext" w:history="1">
        <w:r w:rsidRPr="00F0692B">
          <w:rPr>
            <w:rFonts w:ascii="Times New Roman" w:hAnsi="Times New Roman" w:cs="Times New Roman"/>
            <w:sz w:val="28"/>
            <w:szCs w:val="28"/>
            <w:lang w:val="en-US"/>
          </w:rPr>
          <w:t>10.3389 / fendo.2020.574541</w:t>
        </w:r>
      </w:hyperlink>
    </w:p>
    <w:p w14:paraId="4E155136" w14:textId="77777777" w:rsidR="00102D9D" w:rsidRPr="00F0692B"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sz w:val="28"/>
          <w:szCs w:val="28"/>
          <w:lang w:val="en-US"/>
        </w:rPr>
        <w:t>Moazzami B</w:t>
      </w:r>
      <w:r>
        <w:rPr>
          <w:rFonts w:ascii="Times New Roman" w:hAnsi="Times New Roman" w:cs="Times New Roman"/>
          <w:sz w:val="28"/>
          <w:szCs w:val="28"/>
          <w:lang w:val="en-US"/>
        </w:rPr>
        <w:t>.</w:t>
      </w:r>
      <w:r w:rsidRPr="00FA5792">
        <w:rPr>
          <w:rFonts w:ascii="Times New Roman" w:hAnsi="Times New Roman" w:cs="Times New Roman"/>
          <w:sz w:val="28"/>
          <w:szCs w:val="28"/>
          <w:lang w:val="en-US"/>
        </w:rPr>
        <w:t>, Chaichian S</w:t>
      </w:r>
      <w:r>
        <w:rPr>
          <w:rFonts w:ascii="Times New Roman" w:hAnsi="Times New Roman" w:cs="Times New Roman"/>
          <w:sz w:val="28"/>
          <w:szCs w:val="28"/>
          <w:lang w:val="en-US"/>
        </w:rPr>
        <w:t>.</w:t>
      </w:r>
      <w:r w:rsidRPr="00FA5792">
        <w:rPr>
          <w:rFonts w:ascii="Times New Roman" w:hAnsi="Times New Roman" w:cs="Times New Roman"/>
          <w:sz w:val="28"/>
          <w:szCs w:val="28"/>
          <w:lang w:val="en-US"/>
        </w:rPr>
        <w:t>, Kasaeian A</w:t>
      </w:r>
      <w:r>
        <w:rPr>
          <w:rFonts w:ascii="Times New Roman" w:hAnsi="Times New Roman" w:cs="Times New Roman"/>
          <w:sz w:val="28"/>
          <w:szCs w:val="28"/>
          <w:lang w:val="en-US"/>
        </w:rPr>
        <w:t>.</w:t>
      </w:r>
      <w:r w:rsidRPr="00FA5792">
        <w:rPr>
          <w:rFonts w:ascii="Times New Roman" w:hAnsi="Times New Roman" w:cs="Times New Roman"/>
          <w:sz w:val="28"/>
          <w:szCs w:val="28"/>
          <w:lang w:val="en-US"/>
        </w:rPr>
        <w:t>, Djalalinia S</w:t>
      </w:r>
      <w:r>
        <w:rPr>
          <w:rFonts w:ascii="Times New Roman" w:hAnsi="Times New Roman" w:cs="Times New Roman"/>
          <w:sz w:val="28"/>
          <w:szCs w:val="28"/>
          <w:lang w:val="en-US"/>
        </w:rPr>
        <w:t>.</w:t>
      </w:r>
      <w:r w:rsidRPr="00FA5792">
        <w:rPr>
          <w:rFonts w:ascii="Times New Roman" w:hAnsi="Times New Roman" w:cs="Times New Roman"/>
          <w:sz w:val="28"/>
          <w:szCs w:val="28"/>
          <w:lang w:val="en-US"/>
        </w:rPr>
        <w:t>, Akhlaghdoust M</w:t>
      </w:r>
      <w:r>
        <w:rPr>
          <w:rFonts w:ascii="Times New Roman" w:hAnsi="Times New Roman" w:cs="Times New Roman"/>
          <w:sz w:val="28"/>
          <w:szCs w:val="28"/>
          <w:lang w:val="en-US"/>
        </w:rPr>
        <w:t>.</w:t>
      </w:r>
      <w:r w:rsidRPr="00FA5792">
        <w:rPr>
          <w:rFonts w:ascii="Times New Roman" w:hAnsi="Times New Roman" w:cs="Times New Roman"/>
          <w:sz w:val="28"/>
          <w:szCs w:val="28"/>
          <w:lang w:val="en-US"/>
        </w:rPr>
        <w:t>, Eslami M</w:t>
      </w:r>
      <w:r>
        <w:rPr>
          <w:rFonts w:ascii="Times New Roman" w:hAnsi="Times New Roman" w:cs="Times New Roman"/>
          <w:sz w:val="28"/>
          <w:szCs w:val="28"/>
          <w:lang w:val="en-US"/>
        </w:rPr>
        <w:t>.</w:t>
      </w:r>
      <w:r w:rsidRPr="00FA5792">
        <w:rPr>
          <w:rFonts w:ascii="Times New Roman" w:hAnsi="Times New Roman" w:cs="Times New Roman"/>
          <w:sz w:val="28"/>
          <w:szCs w:val="28"/>
          <w:lang w:val="en-US"/>
        </w:rPr>
        <w:t xml:space="preserve"> et al. Metabolic risk factors and risk of Covid-19: A systematic review and meta-analysis</w:t>
      </w:r>
      <w:r>
        <w:rPr>
          <w:rFonts w:ascii="Times New Roman" w:hAnsi="Times New Roman" w:cs="Times New Roman"/>
          <w:sz w:val="28"/>
          <w:szCs w:val="28"/>
          <w:lang w:val="en-US"/>
        </w:rPr>
        <w:t xml:space="preserve"> // </w:t>
      </w:r>
      <w:r w:rsidRPr="00F0692B">
        <w:rPr>
          <w:rFonts w:ascii="Times New Roman" w:hAnsi="Times New Roman" w:cs="Times New Roman"/>
          <w:sz w:val="28"/>
          <w:szCs w:val="28"/>
          <w:lang w:val="en-US"/>
        </w:rPr>
        <w:t xml:space="preserve">PLoS ONE 15(12): e0243600. </w:t>
      </w:r>
      <w:r>
        <w:rPr>
          <w:rFonts w:ascii="Times New Roman" w:hAnsi="Times New Roman" w:cs="Times New Roman"/>
          <w:sz w:val="28"/>
          <w:szCs w:val="28"/>
          <w:lang w:val="en-US"/>
        </w:rPr>
        <w:t xml:space="preserve">- 2020. </w:t>
      </w:r>
      <w:hyperlink r:id="rId164" w:history="1">
        <w:r w:rsidRPr="00F0692B">
          <w:rPr>
            <w:rStyle w:val="details-value"/>
            <w:rFonts w:ascii="Times New Roman" w:hAnsi="Times New Roman" w:cs="Times New Roman"/>
            <w:sz w:val="28"/>
            <w:szCs w:val="28"/>
            <w:lang w:val="en-US"/>
          </w:rPr>
          <w:t>https://doi.org/10.1371/journal. pone.0243600</w:t>
        </w:r>
      </w:hyperlink>
      <w:r>
        <w:rPr>
          <w:rStyle w:val="details-value"/>
          <w:rFonts w:ascii="Times New Roman" w:hAnsi="Times New Roman" w:cs="Times New Roman"/>
          <w:sz w:val="28"/>
          <w:szCs w:val="28"/>
          <w:lang w:val="en-US"/>
        </w:rPr>
        <w:t>.</w:t>
      </w:r>
    </w:p>
    <w:p w14:paraId="22D95B03" w14:textId="77777777" w:rsidR="00102D9D" w:rsidRPr="00F0692B"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sz w:val="28"/>
          <w:szCs w:val="28"/>
          <w:lang w:val="en-US"/>
        </w:rPr>
        <w:t xml:space="preserve">Ireland: Healthy Ireland/ Governance snapshot: whole-of-government approach 2013-2025. </w:t>
      </w:r>
      <w:r w:rsidRPr="00F0692B">
        <w:rPr>
          <w:rFonts w:ascii="Times New Roman" w:hAnsi="Times New Roman" w:cs="Times New Roman"/>
          <w:sz w:val="28"/>
          <w:szCs w:val="28"/>
          <w:lang w:val="en-US"/>
        </w:rPr>
        <w:t xml:space="preserve">WHO/EURO. </w:t>
      </w:r>
    </w:p>
    <w:p w14:paraId="07854621" w14:textId="77777777" w:rsidR="00102D9D" w:rsidRPr="003955DA"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Style w:val="details-value"/>
          <w:rFonts w:ascii="Times New Roman" w:eastAsia="Calibri-Bold" w:hAnsi="Times New Roman" w:cs="Times New Roman"/>
          <w:bCs/>
          <w:sz w:val="28"/>
          <w:szCs w:val="28"/>
          <w:lang w:val="en-US"/>
        </w:rPr>
      </w:pPr>
      <w:r w:rsidRPr="00FA5792">
        <w:rPr>
          <w:rFonts w:ascii="Times New Roman" w:hAnsi="Times New Roman" w:cs="Times New Roman"/>
          <w:sz w:val="28"/>
          <w:szCs w:val="28"/>
        </w:rPr>
        <w:t>Алма</w:t>
      </w:r>
      <w:r w:rsidRPr="00F0692B">
        <w:rPr>
          <w:rFonts w:ascii="Times New Roman" w:hAnsi="Times New Roman" w:cs="Times New Roman"/>
          <w:sz w:val="28"/>
          <w:szCs w:val="28"/>
          <w:lang w:val="en-US"/>
        </w:rPr>
        <w:t>-</w:t>
      </w:r>
      <w:r w:rsidRPr="00FA5792">
        <w:rPr>
          <w:rFonts w:ascii="Times New Roman" w:hAnsi="Times New Roman" w:cs="Times New Roman"/>
          <w:sz w:val="28"/>
          <w:szCs w:val="28"/>
        </w:rPr>
        <w:t>атинская</w:t>
      </w:r>
      <w:r w:rsidRPr="00F0692B">
        <w:rPr>
          <w:rFonts w:ascii="Times New Roman" w:hAnsi="Times New Roman" w:cs="Times New Roman"/>
          <w:sz w:val="28"/>
          <w:szCs w:val="28"/>
          <w:lang w:val="en-US"/>
        </w:rPr>
        <w:t xml:space="preserve"> </w:t>
      </w:r>
      <w:r w:rsidRPr="00FA5792">
        <w:rPr>
          <w:rFonts w:ascii="Times New Roman" w:hAnsi="Times New Roman" w:cs="Times New Roman"/>
          <w:sz w:val="28"/>
          <w:szCs w:val="28"/>
        </w:rPr>
        <w:t>декларация</w:t>
      </w:r>
      <w:r w:rsidRPr="00F0692B">
        <w:rPr>
          <w:rFonts w:ascii="Times New Roman" w:hAnsi="Times New Roman" w:cs="Times New Roman"/>
          <w:sz w:val="28"/>
          <w:szCs w:val="28"/>
          <w:lang w:val="en-US"/>
        </w:rPr>
        <w:t xml:space="preserve"> 1978</w:t>
      </w:r>
      <w:r>
        <w:rPr>
          <w:rFonts w:ascii="Times New Roman" w:hAnsi="Times New Roman" w:cs="Times New Roman"/>
          <w:sz w:val="28"/>
          <w:szCs w:val="28"/>
          <w:lang w:val="en-US"/>
        </w:rPr>
        <w:t>.</w:t>
      </w:r>
      <w:r w:rsidRPr="00F0692B">
        <w:rPr>
          <w:rFonts w:ascii="Times New Roman" w:hAnsi="Times New Roman" w:cs="Times New Roman"/>
          <w:sz w:val="28"/>
          <w:szCs w:val="28"/>
          <w:lang w:val="en-US"/>
        </w:rPr>
        <w:t xml:space="preserve"> </w:t>
      </w:r>
      <w:hyperlink r:id="rId165" w:history="1">
        <w:r w:rsidRPr="003955DA">
          <w:rPr>
            <w:rStyle w:val="ab"/>
            <w:rFonts w:ascii="Times New Roman" w:hAnsi="Times New Roman" w:cs="Times New Roman"/>
            <w:color w:val="auto"/>
            <w:sz w:val="28"/>
            <w:szCs w:val="28"/>
            <w:u w:val="none"/>
            <w:lang w:val="en-US"/>
          </w:rPr>
          <w:t>https://www.euro.who.int/ru /publications/policy-documents/declaration-of-alma-ata, 1978</w:t>
        </w:r>
      </w:hyperlink>
      <w:r w:rsidRPr="003955DA">
        <w:rPr>
          <w:rStyle w:val="details-value"/>
          <w:rFonts w:ascii="Times New Roman" w:hAnsi="Times New Roman" w:cs="Times New Roman"/>
          <w:sz w:val="28"/>
          <w:szCs w:val="28"/>
          <w:lang w:val="en-US"/>
        </w:rPr>
        <w:t>.</w:t>
      </w:r>
    </w:p>
    <w:p w14:paraId="1EE010C5"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eastAsia="Calibri-Bold" w:hAnsi="Times New Roman" w:cs="Times New Roman"/>
          <w:bCs/>
          <w:sz w:val="28"/>
          <w:szCs w:val="28"/>
        </w:rPr>
      </w:pPr>
      <w:r w:rsidRPr="00FA5792">
        <w:rPr>
          <w:rFonts w:ascii="Times New Roman" w:hAnsi="Times New Roman" w:cs="Times New Roman"/>
          <w:sz w:val="28"/>
          <w:szCs w:val="28"/>
        </w:rPr>
        <w:t xml:space="preserve">Шарманов Т.Ш. Алматы в новом тысячелетии человеческого развития: монография. </w:t>
      </w:r>
      <w:r w:rsidRPr="00F0692B">
        <w:rPr>
          <w:rFonts w:ascii="Times New Roman" w:hAnsi="Times New Roman" w:cs="Times New Roman"/>
          <w:sz w:val="28"/>
          <w:szCs w:val="28"/>
        </w:rPr>
        <w:t xml:space="preserve">- </w:t>
      </w:r>
      <w:r w:rsidRPr="00FA5792">
        <w:rPr>
          <w:rFonts w:ascii="Times New Roman" w:hAnsi="Times New Roman" w:cs="Times New Roman"/>
          <w:sz w:val="28"/>
          <w:szCs w:val="28"/>
        </w:rPr>
        <w:t>Алматы-Вашингтон-Женева</w:t>
      </w:r>
      <w:r w:rsidRPr="00F0692B">
        <w:rPr>
          <w:rFonts w:ascii="Times New Roman" w:hAnsi="Times New Roman" w:cs="Times New Roman"/>
          <w:sz w:val="28"/>
          <w:szCs w:val="28"/>
        </w:rPr>
        <w:t>,</w:t>
      </w:r>
      <w:r w:rsidRPr="00FA5792">
        <w:rPr>
          <w:rFonts w:ascii="Times New Roman" w:hAnsi="Times New Roman" w:cs="Times New Roman"/>
          <w:sz w:val="28"/>
          <w:szCs w:val="28"/>
        </w:rPr>
        <w:t xml:space="preserve"> 2013.</w:t>
      </w:r>
    </w:p>
    <w:p w14:paraId="14F01290" w14:textId="77777777" w:rsidR="00102D9D" w:rsidRPr="00FA5792" w:rsidRDefault="00102D9D" w:rsidP="00102D9D">
      <w:pPr>
        <w:numPr>
          <w:ilvl w:val="0"/>
          <w:numId w:val="75"/>
        </w:numPr>
        <w:tabs>
          <w:tab w:val="left" w:pos="426"/>
          <w:tab w:val="left" w:pos="709"/>
        </w:tabs>
        <w:spacing w:after="0" w:line="240" w:lineRule="auto"/>
        <w:ind w:left="0" w:firstLine="709"/>
        <w:jc w:val="both"/>
        <w:textAlignment w:val="bottom"/>
        <w:rPr>
          <w:rFonts w:ascii="Times New Roman" w:hAnsi="Times New Roman" w:cs="Times New Roman"/>
          <w:sz w:val="28"/>
          <w:szCs w:val="28"/>
        </w:rPr>
      </w:pPr>
      <w:r w:rsidRPr="00FA5792">
        <w:rPr>
          <w:rFonts w:ascii="Times New Roman" w:hAnsi="Times New Roman" w:cs="Times New Roman"/>
          <w:bCs/>
          <w:sz w:val="28"/>
          <w:szCs w:val="28"/>
          <w:lang w:val="en-US"/>
        </w:rPr>
        <w:t xml:space="preserve">The 1st International Conference on Health Promotion, Ottawa, 1986. </w:t>
      </w:r>
      <w:hyperlink r:id="rId166" w:history="1">
        <w:r w:rsidRPr="00FA5792">
          <w:rPr>
            <w:rStyle w:val="details-value"/>
            <w:rFonts w:ascii="Times New Roman" w:hAnsi="Times New Roman" w:cs="Times New Roman"/>
            <w:sz w:val="28"/>
            <w:szCs w:val="28"/>
          </w:rPr>
          <w:t>https://www.who.int/teams/health-promotion/enhanced-wellbeing/first-global-conference</w:t>
        </w:r>
      </w:hyperlink>
    </w:p>
    <w:p w14:paraId="5904CC3E"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eastAsia="Calibri-Bold" w:hAnsi="Times New Roman" w:cs="Times New Roman"/>
          <w:bCs/>
          <w:sz w:val="28"/>
          <w:szCs w:val="28"/>
        </w:rPr>
      </w:pPr>
      <w:r w:rsidRPr="00FA5792">
        <w:rPr>
          <w:rFonts w:ascii="Times New Roman" w:hAnsi="Times New Roman" w:cs="Times New Roman"/>
          <w:sz w:val="28"/>
          <w:szCs w:val="28"/>
        </w:rPr>
        <w:t>https://www.who.int/ru/news-room/fact-sheets/detail/primary-health-care</w:t>
      </w:r>
      <w:r w:rsidRPr="003955DA">
        <w:rPr>
          <w:rFonts w:ascii="Times New Roman" w:hAnsi="Times New Roman" w:cs="Times New Roman"/>
          <w:sz w:val="28"/>
          <w:szCs w:val="28"/>
        </w:rPr>
        <w:t>.</w:t>
      </w:r>
    </w:p>
    <w:p w14:paraId="281C4DA0"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eastAsia="Calibri-Bold" w:hAnsi="Times New Roman" w:cs="Times New Roman"/>
          <w:bCs/>
          <w:sz w:val="28"/>
          <w:szCs w:val="28"/>
        </w:rPr>
      </w:pPr>
      <w:r w:rsidRPr="00FA5792">
        <w:rPr>
          <w:rFonts w:ascii="Times New Roman" w:hAnsi="Times New Roman" w:cs="Times New Roman"/>
          <w:sz w:val="28"/>
          <w:szCs w:val="28"/>
        </w:rPr>
        <w:t>Круглый стол: Защита здоровья и межсекторальное сотрудничество в контексте положений политики «здоровье 2020»: опыт регионов России.</w:t>
      </w:r>
    </w:p>
    <w:p w14:paraId="60DACA91"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eastAsia="Calibri-Bold" w:hAnsi="Times New Roman" w:cs="Times New Roman"/>
          <w:bCs/>
          <w:sz w:val="28"/>
          <w:szCs w:val="28"/>
        </w:rPr>
      </w:pPr>
      <w:r w:rsidRPr="00FA5792">
        <w:rPr>
          <w:rFonts w:ascii="Times New Roman" w:hAnsi="Times New Roman" w:cs="Times New Roman"/>
          <w:sz w:val="28"/>
          <w:szCs w:val="28"/>
        </w:rPr>
        <w:t>Резолюция Всемирной Ассамблеи Здравоохранения. Тридцать девятая сессия Всемирной ассамблеи здравоохранения, 1986</w:t>
      </w:r>
      <w:r w:rsidRPr="003955DA">
        <w:rPr>
          <w:rFonts w:ascii="Times New Roman" w:hAnsi="Times New Roman" w:cs="Times New Roman"/>
          <w:sz w:val="28"/>
          <w:szCs w:val="28"/>
        </w:rPr>
        <w:t xml:space="preserve">. </w:t>
      </w:r>
      <w:r w:rsidRPr="00FA5792">
        <w:rPr>
          <w:rFonts w:ascii="Times New Roman" w:hAnsi="Times New Roman" w:cs="Times New Roman"/>
          <w:sz w:val="28"/>
          <w:szCs w:val="28"/>
        </w:rPr>
        <w:t>WHA39.22</w:t>
      </w:r>
      <w:r>
        <w:rPr>
          <w:rFonts w:ascii="Times New Roman" w:hAnsi="Times New Roman" w:cs="Times New Roman"/>
          <w:sz w:val="28"/>
          <w:szCs w:val="28"/>
          <w:lang w:val="en-US"/>
        </w:rPr>
        <w:t>.</w:t>
      </w:r>
    </w:p>
    <w:p w14:paraId="4499F58A" w14:textId="77777777" w:rsidR="00102D9D" w:rsidRPr="003955DA" w:rsidRDefault="00102D9D" w:rsidP="00102D9D">
      <w:pPr>
        <w:numPr>
          <w:ilvl w:val="0"/>
          <w:numId w:val="75"/>
        </w:numPr>
        <w:shd w:val="clear" w:color="auto" w:fill="FFFFFF"/>
        <w:tabs>
          <w:tab w:val="left" w:pos="426"/>
          <w:tab w:val="left" w:pos="709"/>
        </w:tabs>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bCs/>
          <w:sz w:val="28"/>
          <w:szCs w:val="28"/>
        </w:rPr>
        <w:t>Укрепление</w:t>
      </w:r>
      <w:r w:rsidRPr="003955DA">
        <w:rPr>
          <w:rFonts w:ascii="Times New Roman" w:hAnsi="Times New Roman" w:cs="Times New Roman"/>
          <w:bCs/>
          <w:sz w:val="28"/>
          <w:szCs w:val="28"/>
          <w:lang w:val="en-US"/>
        </w:rPr>
        <w:t xml:space="preserve"> </w:t>
      </w:r>
      <w:r w:rsidRPr="00FA5792">
        <w:rPr>
          <w:rFonts w:ascii="Times New Roman" w:hAnsi="Times New Roman" w:cs="Times New Roman"/>
          <w:bCs/>
          <w:sz w:val="28"/>
          <w:szCs w:val="28"/>
        </w:rPr>
        <w:t>здоровья</w:t>
      </w:r>
      <w:r w:rsidRPr="003955DA">
        <w:rPr>
          <w:rFonts w:ascii="Times New Roman" w:hAnsi="Times New Roman" w:cs="Times New Roman"/>
          <w:bCs/>
          <w:sz w:val="28"/>
          <w:szCs w:val="28"/>
          <w:lang w:val="en-US"/>
        </w:rPr>
        <w:t xml:space="preserve">: </w:t>
      </w:r>
      <w:r w:rsidRPr="00FA5792">
        <w:rPr>
          <w:rFonts w:ascii="Times New Roman" w:hAnsi="Times New Roman" w:cs="Times New Roman"/>
          <w:bCs/>
          <w:sz w:val="28"/>
          <w:szCs w:val="28"/>
        </w:rPr>
        <w:t>от</w:t>
      </w:r>
      <w:r w:rsidRPr="003955DA">
        <w:rPr>
          <w:rFonts w:ascii="Times New Roman" w:hAnsi="Times New Roman" w:cs="Times New Roman"/>
          <w:bCs/>
          <w:sz w:val="28"/>
          <w:szCs w:val="28"/>
          <w:lang w:val="en-US"/>
        </w:rPr>
        <w:t xml:space="preserve"> </w:t>
      </w:r>
      <w:r w:rsidRPr="00FA5792">
        <w:rPr>
          <w:rFonts w:ascii="Times New Roman" w:hAnsi="Times New Roman" w:cs="Times New Roman"/>
          <w:bCs/>
          <w:sz w:val="28"/>
          <w:szCs w:val="28"/>
        </w:rPr>
        <w:t>Оттавской</w:t>
      </w:r>
      <w:r w:rsidRPr="003955DA">
        <w:rPr>
          <w:rFonts w:ascii="Times New Roman" w:hAnsi="Times New Roman" w:cs="Times New Roman"/>
          <w:bCs/>
          <w:sz w:val="28"/>
          <w:szCs w:val="28"/>
          <w:lang w:val="en-US"/>
        </w:rPr>
        <w:t xml:space="preserve"> </w:t>
      </w:r>
      <w:r w:rsidRPr="00FA5792">
        <w:rPr>
          <w:rFonts w:ascii="Times New Roman" w:hAnsi="Times New Roman" w:cs="Times New Roman"/>
          <w:bCs/>
          <w:sz w:val="28"/>
          <w:szCs w:val="28"/>
        </w:rPr>
        <w:t>хартии</w:t>
      </w:r>
      <w:r w:rsidRPr="003955DA">
        <w:rPr>
          <w:rFonts w:ascii="Times New Roman" w:hAnsi="Times New Roman" w:cs="Times New Roman"/>
          <w:bCs/>
          <w:sz w:val="28"/>
          <w:szCs w:val="28"/>
          <w:lang w:val="en-US"/>
        </w:rPr>
        <w:t xml:space="preserve"> – </w:t>
      </w:r>
      <w:r w:rsidRPr="00FA5792">
        <w:rPr>
          <w:rFonts w:ascii="Times New Roman" w:hAnsi="Times New Roman" w:cs="Times New Roman"/>
          <w:bCs/>
          <w:sz w:val="28"/>
          <w:szCs w:val="28"/>
        </w:rPr>
        <w:t>к</w:t>
      </w:r>
      <w:r w:rsidRPr="003955DA">
        <w:rPr>
          <w:rFonts w:ascii="Times New Roman" w:hAnsi="Times New Roman" w:cs="Times New Roman"/>
          <w:bCs/>
          <w:sz w:val="28"/>
          <w:szCs w:val="28"/>
          <w:lang w:val="en-US"/>
        </w:rPr>
        <w:t xml:space="preserve"> </w:t>
      </w:r>
      <w:r w:rsidRPr="00FA5792">
        <w:rPr>
          <w:rFonts w:ascii="Times New Roman" w:hAnsi="Times New Roman" w:cs="Times New Roman"/>
          <w:bCs/>
          <w:sz w:val="28"/>
          <w:szCs w:val="28"/>
        </w:rPr>
        <w:t>стратегии</w:t>
      </w:r>
      <w:r w:rsidRPr="003955DA">
        <w:rPr>
          <w:rFonts w:ascii="Times New Roman" w:hAnsi="Times New Roman" w:cs="Times New Roman"/>
          <w:bCs/>
          <w:sz w:val="28"/>
          <w:szCs w:val="28"/>
          <w:lang w:val="en-US"/>
        </w:rPr>
        <w:t xml:space="preserve"> </w:t>
      </w:r>
      <w:r w:rsidRPr="00FA5792">
        <w:rPr>
          <w:rFonts w:ascii="Times New Roman" w:hAnsi="Times New Roman" w:cs="Times New Roman"/>
          <w:bCs/>
          <w:sz w:val="28"/>
          <w:szCs w:val="28"/>
        </w:rPr>
        <w:t>Здоровье</w:t>
      </w:r>
      <w:r w:rsidRPr="003955DA">
        <w:rPr>
          <w:rFonts w:ascii="Times New Roman" w:hAnsi="Times New Roman" w:cs="Times New Roman"/>
          <w:bCs/>
          <w:sz w:val="28"/>
          <w:szCs w:val="28"/>
          <w:lang w:val="en-US"/>
        </w:rPr>
        <w:t>-2020</w:t>
      </w:r>
      <w:r w:rsidRPr="003955DA">
        <w:rPr>
          <w:rFonts w:ascii="Times New Roman" w:hAnsi="Times New Roman" w:cs="Times New Roman"/>
          <w:sz w:val="28"/>
          <w:szCs w:val="28"/>
          <w:lang w:val="en-US"/>
        </w:rPr>
        <w:t xml:space="preserve">  </w:t>
      </w:r>
      <w:hyperlink r:id="rId167" w:history="1">
        <w:r w:rsidRPr="003955DA">
          <w:rPr>
            <w:rStyle w:val="ab"/>
            <w:rFonts w:ascii="Times New Roman" w:eastAsiaTheme="majorEastAsia" w:hAnsi="Times New Roman" w:cs="Times New Roman"/>
            <w:color w:val="auto"/>
            <w:sz w:val="28"/>
            <w:szCs w:val="28"/>
            <w:u w:val="none"/>
            <w:lang w:val="en-US"/>
          </w:rPr>
          <w:t>https://www.euro.who.int/ru/health-topics/health-determinants /social-determinants/news/news/2013/06/health-promotion-from-ottawa-to-health-2020</w:t>
        </w:r>
      </w:hyperlink>
      <w:r w:rsidRPr="003955DA">
        <w:rPr>
          <w:rStyle w:val="details-value"/>
          <w:rFonts w:ascii="Times New Roman" w:eastAsiaTheme="majorEastAsia" w:hAnsi="Times New Roman" w:cs="Times New Roman"/>
          <w:sz w:val="28"/>
          <w:szCs w:val="28"/>
          <w:lang w:val="en-US"/>
        </w:rPr>
        <w:t>.</w:t>
      </w:r>
    </w:p>
    <w:p w14:paraId="616D994E"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 xml:space="preserve">9-я Глобальная конференция по укреплению здоровья. Шанхай 21-26 ноября, 2016г. </w:t>
      </w:r>
      <w:r w:rsidRPr="00FA5792">
        <w:rPr>
          <w:rFonts w:ascii="Times New Roman" w:hAnsi="Times New Roman" w:cs="Times New Roman"/>
          <w:bCs/>
          <w:sz w:val="28"/>
          <w:szCs w:val="28"/>
        </w:rPr>
        <w:t>Шанхайская декларация по укреплению здоровья в рамках Повестки дня в области устойчивого развития на период до 2030 г.</w:t>
      </w:r>
    </w:p>
    <w:p w14:paraId="449F2DF0"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eastAsia="SourceSansPro-Light" w:hAnsi="Times New Roman" w:cs="Times New Roman"/>
          <w:sz w:val="28"/>
          <w:szCs w:val="28"/>
          <w:lang w:val="en-US"/>
        </w:rPr>
      </w:pPr>
      <w:r w:rsidRPr="00FA5792">
        <w:rPr>
          <w:rFonts w:ascii="Times New Roman" w:eastAsia="SourceSansPro-Light" w:hAnsi="Times New Roman" w:cs="Times New Roman"/>
          <w:sz w:val="28"/>
          <w:szCs w:val="28"/>
          <w:lang w:val="en-US"/>
        </w:rPr>
        <w:t>Diabetes country profiles: Andorra. Geneva: World Health Organization</w:t>
      </w:r>
      <w:r>
        <w:rPr>
          <w:rFonts w:ascii="Times New Roman" w:eastAsia="SourceSansPro-Light" w:hAnsi="Times New Roman" w:cs="Times New Roman"/>
          <w:sz w:val="28"/>
          <w:szCs w:val="28"/>
          <w:lang w:val="en-US"/>
        </w:rPr>
        <w:t xml:space="preserve">, </w:t>
      </w:r>
      <w:r w:rsidRPr="00FA5792">
        <w:rPr>
          <w:rFonts w:ascii="Times New Roman" w:eastAsia="SourceSansPro-Light" w:hAnsi="Times New Roman" w:cs="Times New Roman"/>
          <w:sz w:val="28"/>
          <w:szCs w:val="28"/>
          <w:lang w:val="en-US"/>
        </w:rPr>
        <w:t>2016</w:t>
      </w:r>
      <w:r w:rsidRPr="00C86AF6">
        <w:rPr>
          <w:rFonts w:ascii="Times New Roman" w:eastAsia="SourceSansPro-Light" w:hAnsi="Times New Roman" w:cs="Times New Roman"/>
          <w:sz w:val="28"/>
          <w:szCs w:val="28"/>
          <w:lang w:val="en-US"/>
        </w:rPr>
        <w:t xml:space="preserve">. </w:t>
      </w:r>
      <w:r w:rsidRPr="00FA5792">
        <w:rPr>
          <w:rFonts w:ascii="Times New Roman" w:eastAsia="SourceSansPro-Light" w:hAnsi="Times New Roman" w:cs="Times New Roman"/>
          <w:sz w:val="28"/>
          <w:szCs w:val="28"/>
          <w:lang w:val="en-US"/>
        </w:rPr>
        <w:t>https://www.who.int/diabetes/country-profiles/en/.</w:t>
      </w:r>
    </w:p>
    <w:p w14:paraId="29B2198B"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Style w:val="details-value"/>
          <w:rFonts w:ascii="Times New Roman" w:hAnsi="Times New Roman" w:cs="Times New Roman"/>
          <w:sz w:val="28"/>
          <w:szCs w:val="28"/>
        </w:rPr>
        <w:t xml:space="preserve">Сорок вторая сессия Всемирной Ассамблеи Здравоохранения </w:t>
      </w:r>
      <w:r w:rsidRPr="00FA5792">
        <w:rPr>
          <w:rFonts w:ascii="Times New Roman" w:hAnsi="Times New Roman" w:cs="Times New Roman"/>
          <w:sz w:val="28"/>
          <w:szCs w:val="28"/>
        </w:rPr>
        <w:t>Резолюция и решения приложения. Выпущено издательством "Медицина" по поручению Министерства здравоохранения Союза Советских Социалистических Республик, которому ВОЗ вверила выпуск данного издания на русском языке</w:t>
      </w:r>
      <w:r w:rsidRPr="003955DA">
        <w:rPr>
          <w:rFonts w:ascii="Times New Roman" w:hAnsi="Times New Roman" w:cs="Times New Roman"/>
          <w:sz w:val="28"/>
          <w:szCs w:val="28"/>
        </w:rPr>
        <w:t xml:space="preserve">. - </w:t>
      </w:r>
      <w:r w:rsidRPr="00FA5792">
        <w:rPr>
          <w:rStyle w:val="details-value"/>
          <w:rFonts w:ascii="Times New Roman" w:hAnsi="Times New Roman" w:cs="Times New Roman"/>
          <w:sz w:val="28"/>
          <w:szCs w:val="28"/>
        </w:rPr>
        <w:t>Женева</w:t>
      </w:r>
      <w:r w:rsidRPr="00FA5792">
        <w:rPr>
          <w:rFonts w:ascii="Times New Roman" w:hAnsi="Times New Roman" w:cs="Times New Roman"/>
          <w:sz w:val="28"/>
          <w:szCs w:val="28"/>
        </w:rPr>
        <w:t>,</w:t>
      </w:r>
      <w:r w:rsidRPr="003955DA">
        <w:rPr>
          <w:rFonts w:ascii="Times New Roman" w:hAnsi="Times New Roman" w:cs="Times New Roman"/>
          <w:sz w:val="28"/>
          <w:szCs w:val="28"/>
        </w:rPr>
        <w:t xml:space="preserve"> </w:t>
      </w:r>
      <w:r w:rsidRPr="00FA5792">
        <w:rPr>
          <w:rFonts w:ascii="Times New Roman" w:hAnsi="Times New Roman" w:cs="Times New Roman"/>
          <w:sz w:val="28"/>
          <w:szCs w:val="28"/>
        </w:rPr>
        <w:t>1989</w:t>
      </w:r>
      <w:r w:rsidRPr="003955DA">
        <w:rPr>
          <w:rFonts w:ascii="Times New Roman" w:hAnsi="Times New Roman" w:cs="Times New Roman"/>
          <w:sz w:val="28"/>
          <w:szCs w:val="28"/>
        </w:rPr>
        <w:t>.</w:t>
      </w:r>
      <w:r w:rsidRPr="00FA5792">
        <w:rPr>
          <w:rFonts w:ascii="Times New Roman" w:hAnsi="Times New Roman" w:cs="Times New Roman"/>
          <w:sz w:val="28"/>
          <w:szCs w:val="28"/>
        </w:rPr>
        <w:t xml:space="preserve"> </w:t>
      </w:r>
      <w:hyperlink r:id="rId168" w:history="1">
        <w:r w:rsidRPr="003955DA">
          <w:rPr>
            <w:rStyle w:val="ab"/>
            <w:rFonts w:ascii="Times New Roman" w:hAnsi="Times New Roman" w:cs="Times New Roman"/>
            <w:color w:val="auto"/>
            <w:sz w:val="28"/>
            <w:szCs w:val="28"/>
            <w:u w:val="none"/>
          </w:rPr>
          <w:t>https://apps.who.int/iris/handle/</w:t>
        </w:r>
        <w:r w:rsidRPr="003955DA">
          <w:rPr>
            <w:rStyle w:val="ab"/>
            <w:rFonts w:ascii="Times New Roman" w:hAnsi="Times New Roman" w:cs="Times New Roman"/>
            <w:color w:val="auto"/>
            <w:sz w:val="28"/>
            <w:szCs w:val="28"/>
            <w:u w:val="none"/>
            <w:lang w:val="en-US"/>
          </w:rPr>
          <w:t xml:space="preserve"> </w:t>
        </w:r>
        <w:r w:rsidRPr="003955DA">
          <w:rPr>
            <w:rStyle w:val="ab"/>
            <w:rFonts w:ascii="Times New Roman" w:hAnsi="Times New Roman" w:cs="Times New Roman"/>
            <w:color w:val="auto"/>
            <w:sz w:val="28"/>
            <w:szCs w:val="28"/>
            <w:u w:val="none"/>
          </w:rPr>
          <w:t>10665/202578</w:t>
        </w:r>
        <w:r w:rsidRPr="003955DA">
          <w:rPr>
            <w:rStyle w:val="ab"/>
            <w:rFonts w:ascii="Times New Roman" w:hAnsi="Times New Roman" w:cs="Times New Roman"/>
            <w:color w:val="auto"/>
            <w:sz w:val="28"/>
            <w:szCs w:val="28"/>
            <w:u w:val="none"/>
            <w:lang w:val="en-US"/>
          </w:rPr>
          <w:t xml:space="preserve"> </w:t>
        </w:r>
        <w:r w:rsidRPr="003955DA">
          <w:rPr>
            <w:rStyle w:val="ab"/>
            <w:rFonts w:ascii="Times New Roman" w:hAnsi="Times New Roman" w:cs="Times New Roman"/>
            <w:color w:val="auto"/>
            <w:sz w:val="28"/>
            <w:szCs w:val="28"/>
            <w:u w:val="none"/>
          </w:rPr>
          <w:t>?locale-attribute=es&amp;</w:t>
        </w:r>
      </w:hyperlink>
      <w:r w:rsidRPr="003955DA">
        <w:rPr>
          <w:rStyle w:val="details-value"/>
          <w:rFonts w:ascii="Times New Roman" w:hAnsi="Times New Roman" w:cs="Times New Roman"/>
          <w:sz w:val="28"/>
          <w:szCs w:val="28"/>
          <w:lang w:val="en-US"/>
        </w:rPr>
        <w:t>.</w:t>
      </w:r>
    </w:p>
    <w:p w14:paraId="308ABCAB"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 xml:space="preserve"> </w:t>
      </w:r>
      <w:hyperlink r:id="rId169" w:history="1">
        <w:r w:rsidRPr="00FA5792">
          <w:rPr>
            <w:rStyle w:val="details-value"/>
            <w:rFonts w:ascii="Times New Roman" w:hAnsi="Times New Roman" w:cs="Times New Roman"/>
            <w:sz w:val="28"/>
            <w:szCs w:val="28"/>
          </w:rPr>
          <w:t>https://apps.who.int/gb/ebwha/pdf_files/WHA57/A57_REC1-ru.pdf</w:t>
        </w:r>
      </w:hyperlink>
      <w:r w:rsidRPr="003955DA">
        <w:rPr>
          <w:rStyle w:val="details-value"/>
          <w:rFonts w:ascii="Times New Roman" w:hAnsi="Times New Roman" w:cs="Times New Roman"/>
          <w:sz w:val="28"/>
          <w:szCs w:val="28"/>
        </w:rPr>
        <w:t>.</w:t>
      </w:r>
    </w:p>
    <w:p w14:paraId="5574B76C"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 xml:space="preserve">Резолюция, принятая Генеральной Ассамблеей 20 декабря 2006 года (A/61/L.39/Rev.1 и Add.1) 61/225. Всемирный день борьбы с диабетом. </w:t>
      </w:r>
      <w:hyperlink r:id="rId170" w:history="1">
        <w:r w:rsidRPr="00FA5792">
          <w:rPr>
            <w:rStyle w:val="details-value"/>
            <w:rFonts w:ascii="Times New Roman" w:hAnsi="Times New Roman" w:cs="Times New Roman"/>
            <w:sz w:val="28"/>
            <w:szCs w:val="28"/>
          </w:rPr>
          <w:t>https://undocs.org/pdf?symbol=ru/A/RES/61/225</w:t>
        </w:r>
      </w:hyperlink>
      <w:r>
        <w:rPr>
          <w:rStyle w:val="details-value"/>
          <w:rFonts w:ascii="Times New Roman" w:hAnsi="Times New Roman" w:cs="Times New Roman"/>
          <w:sz w:val="28"/>
          <w:szCs w:val="28"/>
        </w:rPr>
        <w:t>.</w:t>
      </w:r>
      <w:r w:rsidRPr="00FA5792">
        <w:rPr>
          <w:rFonts w:ascii="Times New Roman" w:hAnsi="Times New Roman" w:cs="Times New Roman"/>
          <w:sz w:val="28"/>
          <w:szCs w:val="28"/>
        </w:rPr>
        <w:t xml:space="preserve"> </w:t>
      </w:r>
      <w:r w:rsidRPr="00FA5792">
        <w:rPr>
          <w:rFonts w:ascii="Times New Roman" w:eastAsia="ArialMT" w:hAnsi="Times New Roman" w:cs="Times New Roman"/>
          <w:sz w:val="28"/>
          <w:szCs w:val="28"/>
        </w:rPr>
        <w:t xml:space="preserve">                                                                                                                              </w:t>
      </w:r>
    </w:p>
    <w:p w14:paraId="79AD9920"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WHO/NMH/NMA/16.95 Всемирная организация здравоохранения и Программа развития Организации Объединенных Наций</w:t>
      </w:r>
      <w:r w:rsidRPr="003955DA">
        <w:rPr>
          <w:rFonts w:ascii="Times New Roman" w:hAnsi="Times New Roman" w:cs="Times New Roman"/>
          <w:sz w:val="28"/>
          <w:szCs w:val="28"/>
        </w:rPr>
        <w:t>.</w:t>
      </w:r>
      <w:r w:rsidRPr="00FA5792">
        <w:rPr>
          <w:rFonts w:ascii="Times New Roman" w:hAnsi="Times New Roman" w:cs="Times New Roman"/>
          <w:sz w:val="28"/>
          <w:szCs w:val="28"/>
        </w:rPr>
        <w:t xml:space="preserve"> Справочные документы. Что нужно знать Правительствам о неинфекционных заболеваниях.</w:t>
      </w:r>
      <w:r w:rsidRPr="003955DA">
        <w:rPr>
          <w:rFonts w:ascii="Times New Roman" w:hAnsi="Times New Roman" w:cs="Times New Roman"/>
          <w:sz w:val="28"/>
          <w:szCs w:val="28"/>
        </w:rPr>
        <w:t xml:space="preserve"> - </w:t>
      </w:r>
      <w:r w:rsidRPr="00FA5792">
        <w:rPr>
          <w:rFonts w:ascii="Times New Roman" w:hAnsi="Times New Roman" w:cs="Times New Roman"/>
          <w:sz w:val="28"/>
          <w:szCs w:val="28"/>
        </w:rPr>
        <w:t>2016.</w:t>
      </w:r>
    </w:p>
    <w:p w14:paraId="13D85A3D"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 xml:space="preserve">Шестьдесят восьмая сессия Пункт 118 повестки дня Последующие меры по итогам Саммита тысячелетия. Организация Объединенных Наций A/68/650. Генеральная Ассамблея Distr.: General 10 December 2013 Russian Original: English. Записка Генерального секретаря, препровождающая доклад Генерального директора Всемирной организации здравоохранения о профилактике неинфекционных заболеваний и борьбе с ними. </w:t>
      </w:r>
      <w:hyperlink r:id="rId171" w:history="1">
        <w:r w:rsidRPr="00FA5792">
          <w:rPr>
            <w:rStyle w:val="details-value"/>
            <w:rFonts w:ascii="Times New Roman" w:hAnsi="Times New Roman" w:cs="Times New Roman"/>
            <w:sz w:val="28"/>
            <w:szCs w:val="28"/>
          </w:rPr>
          <w:t>https://undocs.org/pdf?symbol=ru/A/68/650</w:t>
        </w:r>
      </w:hyperlink>
      <w:r>
        <w:rPr>
          <w:rFonts w:ascii="Times New Roman" w:hAnsi="Times New Roman" w:cs="Times New Roman"/>
          <w:sz w:val="28"/>
          <w:szCs w:val="28"/>
          <w:lang w:val="en-US"/>
        </w:rPr>
        <w:t>.</w:t>
      </w:r>
    </w:p>
    <w:p w14:paraId="6E0A8224"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eastAsia="ArialMT" w:hAnsi="Times New Roman" w:cs="Times New Roman"/>
          <w:sz w:val="28"/>
          <w:szCs w:val="28"/>
          <w:lang w:val="en-US"/>
        </w:rPr>
      </w:pPr>
      <w:r w:rsidRPr="00FA5792">
        <w:rPr>
          <w:rFonts w:ascii="Times New Roman" w:hAnsi="Times New Roman" w:cs="Times New Roman"/>
          <w:sz w:val="28"/>
          <w:szCs w:val="28"/>
          <w:shd w:val="clear" w:color="auto" w:fill="FFFFFF"/>
        </w:rPr>
        <w:t xml:space="preserve">Итоговый документ Совещания высокого уровня Генеральной Ассамблеи ООН по НИЗ в 2014 г. Д-р Олег Честнов Помощник Генерального директора, Неинфекционные заболевания и психическое здоровье. </w:t>
      </w:r>
      <w:r w:rsidRPr="00FA5792">
        <w:rPr>
          <w:rFonts w:ascii="Times New Roman" w:hAnsi="Times New Roman" w:cs="Times New Roman"/>
          <w:sz w:val="28"/>
          <w:szCs w:val="28"/>
          <w:shd w:val="clear" w:color="auto" w:fill="FFFFFF"/>
          <w:lang w:val="en-US"/>
        </w:rPr>
        <w:t>Presented by Oleg Chestnov, Assistant Director-General for Noncommunicable Diseases and Mental Health, WHO, at the 64th session of the WHO Regional Committee for Europe.</w:t>
      </w:r>
    </w:p>
    <w:p w14:paraId="242F90D2"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right="300" w:firstLine="709"/>
        <w:jc w:val="both"/>
        <w:textAlignment w:val="baseline"/>
        <w:rPr>
          <w:rFonts w:ascii="Times New Roman" w:hAnsi="Times New Roman" w:cs="Times New Roman"/>
          <w:sz w:val="28"/>
          <w:szCs w:val="28"/>
          <w:lang w:val="en-US"/>
        </w:rPr>
      </w:pPr>
      <w:r w:rsidRPr="00FA5792">
        <w:rPr>
          <w:rFonts w:ascii="Times New Roman" w:eastAsia="ArialMT" w:hAnsi="Times New Roman" w:cs="Times New Roman"/>
          <w:sz w:val="28"/>
          <w:szCs w:val="28"/>
          <w:lang w:val="en-US"/>
        </w:rPr>
        <w:t xml:space="preserve"> </w:t>
      </w:r>
      <w:hyperlink r:id="rId172" w:history="1">
        <w:r w:rsidRPr="00FA5792">
          <w:rPr>
            <w:rStyle w:val="details-value"/>
            <w:rFonts w:ascii="Times New Roman" w:eastAsia="ArialMT" w:hAnsi="Times New Roman" w:cs="Times New Roman"/>
            <w:sz w:val="28"/>
            <w:szCs w:val="28"/>
            <w:lang w:val="en-US"/>
          </w:rPr>
          <w:t>https://www.undp.org/sustainable-development-goals</w:t>
        </w:r>
      </w:hyperlink>
      <w:r>
        <w:rPr>
          <w:rFonts w:ascii="Times New Roman" w:eastAsia="ArialMT" w:hAnsi="Times New Roman" w:cs="Times New Roman"/>
          <w:sz w:val="28"/>
          <w:szCs w:val="28"/>
          <w:lang w:val="en-US"/>
        </w:rPr>
        <w:t>.</w:t>
      </w:r>
    </w:p>
    <w:p w14:paraId="4FD397F0" w14:textId="77777777" w:rsidR="00102D9D" w:rsidRPr="003955DA"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right="300" w:firstLine="709"/>
        <w:jc w:val="both"/>
        <w:textAlignment w:val="baseline"/>
        <w:rPr>
          <w:rFonts w:ascii="Times New Roman" w:hAnsi="Times New Roman" w:cs="Times New Roman"/>
          <w:sz w:val="28"/>
          <w:szCs w:val="28"/>
          <w:lang w:val="en-US"/>
        </w:rPr>
      </w:pPr>
      <w:r w:rsidRPr="00FA5792">
        <w:rPr>
          <w:rFonts w:ascii="Times New Roman" w:hAnsi="Times New Roman" w:cs="Times New Roman"/>
          <w:bCs/>
          <w:sz w:val="28"/>
          <w:szCs w:val="28"/>
        </w:rPr>
        <w:t>Глобальная конференция ВОЗ по НИЗ.</w:t>
      </w:r>
      <w:r w:rsidRPr="00FA5792">
        <w:rPr>
          <w:rFonts w:ascii="Times New Roman" w:hAnsi="Times New Roman" w:cs="Times New Roman"/>
          <w:sz w:val="28"/>
          <w:szCs w:val="28"/>
        </w:rPr>
        <w:t xml:space="preserve"> Глобальная конференция ВОЗ по неинфекционным заболеваниям. </w:t>
      </w:r>
      <w:r w:rsidRPr="003955DA">
        <w:rPr>
          <w:rFonts w:ascii="Times New Roman" w:hAnsi="Times New Roman" w:cs="Times New Roman"/>
          <w:sz w:val="28"/>
          <w:szCs w:val="28"/>
        </w:rPr>
        <w:t>-</w:t>
      </w:r>
      <w:r w:rsidRPr="00FA5792">
        <w:rPr>
          <w:rFonts w:ascii="Times New Roman" w:hAnsi="Times New Roman" w:cs="Times New Roman"/>
          <w:sz w:val="28"/>
          <w:szCs w:val="28"/>
        </w:rPr>
        <w:t>2017</w:t>
      </w:r>
      <w:r w:rsidRPr="003955DA">
        <w:rPr>
          <w:rFonts w:ascii="Times New Roman" w:hAnsi="Times New Roman" w:cs="Times New Roman"/>
          <w:sz w:val="28"/>
          <w:szCs w:val="28"/>
        </w:rPr>
        <w:t xml:space="preserve">. </w:t>
      </w:r>
      <w:hyperlink r:id="rId173" w:history="1">
        <w:r w:rsidRPr="003955DA">
          <w:rPr>
            <w:rStyle w:val="ab"/>
            <w:rFonts w:ascii="Times New Roman" w:hAnsi="Times New Roman" w:cs="Times New Roman"/>
            <w:color w:val="auto"/>
            <w:sz w:val="28"/>
            <w:szCs w:val="28"/>
            <w:u w:val="none"/>
            <w:lang w:val="en-US"/>
          </w:rPr>
          <w:t>https://apps.who.int/mediacentre/events/2017/ncd-global-conference/ru/index. html</w:t>
        </w:r>
      </w:hyperlink>
      <w:r w:rsidRPr="003955DA">
        <w:rPr>
          <w:rStyle w:val="details-value"/>
          <w:rFonts w:ascii="Times New Roman" w:hAnsi="Times New Roman" w:cs="Times New Roman"/>
          <w:sz w:val="28"/>
          <w:szCs w:val="28"/>
          <w:lang w:val="en-US"/>
        </w:rPr>
        <w:t>.</w:t>
      </w:r>
    </w:p>
    <w:p w14:paraId="0378AF41"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bCs/>
          <w:sz w:val="28"/>
          <w:szCs w:val="28"/>
        </w:rPr>
        <w:t>Третье совещание высокого уровня ООН по НИЗ</w:t>
      </w:r>
      <w:r w:rsidRPr="00FA5792">
        <w:rPr>
          <w:rFonts w:ascii="Times New Roman" w:hAnsi="Times New Roman" w:cs="Times New Roman"/>
          <w:sz w:val="28"/>
          <w:szCs w:val="28"/>
          <w:shd w:val="clear" w:color="auto" w:fill="FFFFFF"/>
        </w:rPr>
        <w:t> </w:t>
      </w:r>
      <w:r w:rsidRPr="003955DA">
        <w:rPr>
          <w:rFonts w:ascii="Times New Roman" w:hAnsi="Times New Roman" w:cs="Times New Roman"/>
          <w:sz w:val="28"/>
          <w:szCs w:val="28"/>
          <w:shd w:val="clear" w:color="auto" w:fill="FFFFFF"/>
        </w:rPr>
        <w:t>.</w:t>
      </w:r>
    </w:p>
    <w:p w14:paraId="47E7F4A7"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Резолюция, принятая Генеральной Ассамблеей 10 октября 2019 года [без передачи в главные комитеты (A/74/L.4)] 74/2. Политическая декларация заседания высокого уровня по вопросу о всеобщем охвате услугами здравоохранения Всеобщий охват услугами здравоохранения: совместные усилия по построению более здорового мира</w:t>
      </w:r>
      <w:r w:rsidRPr="003955DA">
        <w:rPr>
          <w:rFonts w:ascii="Times New Roman" w:hAnsi="Times New Roman" w:cs="Times New Roman"/>
          <w:sz w:val="28"/>
          <w:szCs w:val="28"/>
        </w:rPr>
        <w:t>.</w:t>
      </w:r>
    </w:p>
    <w:p w14:paraId="28A192AC"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bCs/>
          <w:sz w:val="28"/>
          <w:szCs w:val="28"/>
        </w:rPr>
      </w:pPr>
      <w:r w:rsidRPr="00FA5792">
        <w:rPr>
          <w:rFonts w:ascii="Times New Roman" w:hAnsi="Times New Roman" w:cs="Times New Roman"/>
          <w:bCs/>
          <w:sz w:val="28"/>
          <w:szCs w:val="28"/>
        </w:rPr>
        <w:t xml:space="preserve">Развитие межсекторального взаимодействия в интересах здоровья и благополучия в Европейском регионе ВОЗ. Здоровье – это политический выбор Европейский региональный комитет </w:t>
      </w:r>
      <w:r w:rsidRPr="00FA5792">
        <w:rPr>
          <w:rFonts w:ascii="Times New Roman" w:hAnsi="Times New Roman" w:cs="Times New Roman"/>
          <w:sz w:val="28"/>
          <w:szCs w:val="28"/>
        </w:rPr>
        <w:t xml:space="preserve">EUR/RC65/16. Шестьдесят пятая сессия +EUR/RC65/Conf.Doc./8. </w:t>
      </w:r>
      <w:r w:rsidRPr="003955DA">
        <w:rPr>
          <w:rFonts w:ascii="Times New Roman" w:hAnsi="Times New Roman" w:cs="Times New Roman"/>
          <w:sz w:val="28"/>
          <w:szCs w:val="28"/>
        </w:rPr>
        <w:t xml:space="preserve">- </w:t>
      </w:r>
      <w:r w:rsidRPr="00FA5792">
        <w:rPr>
          <w:rFonts w:ascii="Times New Roman" w:hAnsi="Times New Roman" w:cs="Times New Roman"/>
          <w:bCs/>
          <w:sz w:val="28"/>
          <w:szCs w:val="28"/>
        </w:rPr>
        <w:t xml:space="preserve">Вильнюс, Литва, 14–17 сентября 2015. </w:t>
      </w:r>
    </w:p>
    <w:p w14:paraId="59848874" w14:textId="77777777" w:rsidR="00102D9D" w:rsidRPr="00FA5792" w:rsidRDefault="001B62DB"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lang w:val="en-US"/>
        </w:rPr>
      </w:pPr>
      <w:hyperlink r:id="rId174" w:anchor="!" w:history="1">
        <w:r w:rsidR="00102D9D" w:rsidRPr="00FA5792">
          <w:rPr>
            <w:rStyle w:val="A60"/>
            <w:rFonts w:ascii="Times New Roman" w:hAnsi="Times New Roman" w:cs="Times New Roman"/>
            <w:color w:val="auto"/>
            <w:sz w:val="28"/>
            <w:szCs w:val="28"/>
            <w:lang w:val="en-US"/>
          </w:rPr>
          <w:t>Michael Sagner</w:t>
        </w:r>
      </w:hyperlink>
      <w:r w:rsidR="00102D9D" w:rsidRPr="00FA5792">
        <w:rPr>
          <w:rFonts w:ascii="Times New Roman" w:hAnsi="Times New Roman" w:cs="Times New Roman"/>
          <w:sz w:val="28"/>
          <w:szCs w:val="28"/>
          <w:lang w:val="en-US"/>
        </w:rPr>
        <w:t xml:space="preserve">, </w:t>
      </w:r>
      <w:hyperlink r:id="rId175" w:anchor="!" w:history="1">
        <w:r w:rsidR="00102D9D" w:rsidRPr="00FA5792">
          <w:rPr>
            <w:rStyle w:val="A60"/>
            <w:rFonts w:ascii="Times New Roman" w:hAnsi="Times New Roman" w:cs="Times New Roman"/>
            <w:color w:val="auto"/>
            <w:sz w:val="28"/>
            <w:szCs w:val="28"/>
            <w:lang w:val="en-US"/>
          </w:rPr>
          <w:t>Amy McNeil</w:t>
        </w:r>
      </w:hyperlink>
      <w:r w:rsidR="00102D9D" w:rsidRPr="00FA5792">
        <w:rPr>
          <w:rFonts w:ascii="Times New Roman" w:hAnsi="Times New Roman" w:cs="Times New Roman"/>
          <w:sz w:val="28"/>
          <w:szCs w:val="28"/>
          <w:lang w:val="en-US"/>
        </w:rPr>
        <w:t xml:space="preserve">, </w:t>
      </w:r>
      <w:hyperlink r:id="rId176" w:anchor="!" w:history="1">
        <w:r w:rsidR="00102D9D" w:rsidRPr="00FA5792">
          <w:rPr>
            <w:rStyle w:val="A60"/>
            <w:rFonts w:ascii="Times New Roman" w:hAnsi="Times New Roman" w:cs="Times New Roman"/>
            <w:color w:val="auto"/>
            <w:sz w:val="28"/>
            <w:szCs w:val="28"/>
            <w:lang w:val="en-US"/>
          </w:rPr>
          <w:t xml:space="preserve">Pekka Puska, </w:t>
        </w:r>
      </w:hyperlink>
      <w:hyperlink r:id="rId177" w:anchor="!" w:history="1">
        <w:r w:rsidR="00102D9D" w:rsidRPr="00FA5792">
          <w:rPr>
            <w:rStyle w:val="A60"/>
            <w:rFonts w:ascii="Times New Roman" w:hAnsi="Times New Roman" w:cs="Times New Roman"/>
            <w:color w:val="auto"/>
            <w:sz w:val="28"/>
            <w:szCs w:val="28"/>
            <w:lang w:val="en-US"/>
          </w:rPr>
          <w:t xml:space="preserve">Charles Auffray, </w:t>
        </w:r>
      </w:hyperlink>
      <w:hyperlink r:id="rId178" w:anchor="!" w:history="1">
        <w:r w:rsidR="00102D9D" w:rsidRPr="00FA5792">
          <w:rPr>
            <w:rStyle w:val="A60"/>
            <w:rFonts w:ascii="Times New Roman" w:hAnsi="Times New Roman" w:cs="Times New Roman"/>
            <w:color w:val="auto"/>
            <w:sz w:val="28"/>
            <w:szCs w:val="28"/>
            <w:lang w:val="en-US"/>
          </w:rPr>
          <w:t xml:space="preserve">Nathan  D.Price, </w:t>
        </w:r>
      </w:hyperlink>
      <w:hyperlink r:id="rId179" w:anchor="!" w:history="1">
        <w:r w:rsidR="00102D9D" w:rsidRPr="00FA5792">
          <w:rPr>
            <w:rStyle w:val="A60"/>
            <w:rFonts w:ascii="Times New Roman" w:hAnsi="Times New Roman" w:cs="Times New Roman"/>
            <w:color w:val="auto"/>
            <w:sz w:val="28"/>
            <w:szCs w:val="28"/>
            <w:lang w:val="en-US"/>
          </w:rPr>
          <w:t xml:space="preserve">Leroy Hood, </w:t>
        </w:r>
      </w:hyperlink>
      <w:hyperlink r:id="rId180" w:anchor="!" w:history="1">
        <w:r w:rsidR="00102D9D" w:rsidRPr="00FA5792">
          <w:rPr>
            <w:rStyle w:val="A60"/>
            <w:rFonts w:ascii="Times New Roman" w:hAnsi="Times New Roman" w:cs="Times New Roman"/>
            <w:color w:val="auto"/>
            <w:sz w:val="28"/>
            <w:szCs w:val="28"/>
            <w:lang w:val="en-US"/>
          </w:rPr>
          <w:t xml:space="preserve">Carl J.Lavie, </w:t>
        </w:r>
      </w:hyperlink>
      <w:hyperlink r:id="rId181" w:anchor="!" w:history="1">
        <w:r w:rsidR="00102D9D" w:rsidRPr="00FA5792">
          <w:rPr>
            <w:rStyle w:val="A60"/>
            <w:rFonts w:ascii="Times New Roman" w:hAnsi="Times New Roman" w:cs="Times New Roman"/>
            <w:color w:val="auto"/>
            <w:sz w:val="28"/>
            <w:szCs w:val="28"/>
            <w:lang w:val="en-US"/>
          </w:rPr>
          <w:t xml:space="preserve">Ze-Guang Han, </w:t>
        </w:r>
      </w:hyperlink>
      <w:hyperlink r:id="rId182" w:anchor="!" w:history="1">
        <w:r w:rsidR="00102D9D" w:rsidRPr="00FA5792">
          <w:rPr>
            <w:rStyle w:val="A60"/>
            <w:rFonts w:ascii="Times New Roman" w:hAnsi="Times New Roman" w:cs="Times New Roman"/>
            <w:color w:val="auto"/>
            <w:sz w:val="28"/>
            <w:szCs w:val="28"/>
            <w:lang w:val="en-US"/>
          </w:rPr>
          <w:t xml:space="preserve">Zhu Chen, </w:t>
        </w:r>
      </w:hyperlink>
      <w:hyperlink r:id="rId183" w:anchor="!" w:history="1">
        <w:r w:rsidR="00102D9D" w:rsidRPr="00FA5792">
          <w:rPr>
            <w:rStyle w:val="A60"/>
            <w:rFonts w:ascii="Times New Roman" w:hAnsi="Times New Roman" w:cs="Times New Roman"/>
            <w:color w:val="auto"/>
            <w:sz w:val="28"/>
            <w:szCs w:val="28"/>
            <w:lang w:val="en-US"/>
          </w:rPr>
          <w:t xml:space="preserve">Samir Kumar Brahmachari, </w:t>
        </w:r>
      </w:hyperlink>
      <w:hyperlink r:id="rId184" w:anchor="!" w:history="1">
        <w:r w:rsidR="00102D9D" w:rsidRPr="00FA5792">
          <w:rPr>
            <w:rStyle w:val="A60"/>
            <w:rFonts w:ascii="Times New Roman" w:hAnsi="Times New Roman" w:cs="Times New Roman"/>
            <w:color w:val="auto"/>
            <w:sz w:val="28"/>
            <w:szCs w:val="28"/>
            <w:lang w:val="en-US"/>
          </w:rPr>
          <w:t xml:space="preserve">Bruce S.McEwen, </w:t>
        </w:r>
      </w:hyperlink>
      <w:hyperlink r:id="rId185" w:anchor="!" w:history="1">
        <w:r w:rsidR="00102D9D" w:rsidRPr="00FA5792">
          <w:rPr>
            <w:rStyle w:val="A60"/>
            <w:rFonts w:ascii="Times New Roman" w:hAnsi="Times New Roman" w:cs="Times New Roman"/>
            <w:color w:val="auto"/>
            <w:sz w:val="28"/>
            <w:szCs w:val="28"/>
            <w:lang w:val="en-US"/>
          </w:rPr>
          <w:t xml:space="preserve">Marcelo B.Soares, </w:t>
        </w:r>
      </w:hyperlink>
      <w:hyperlink r:id="rId186" w:anchor="!" w:history="1">
        <w:r w:rsidR="00102D9D" w:rsidRPr="00FA5792">
          <w:rPr>
            <w:rStyle w:val="A60"/>
            <w:rFonts w:ascii="Times New Roman" w:hAnsi="Times New Roman" w:cs="Times New Roman"/>
            <w:color w:val="auto"/>
            <w:sz w:val="28"/>
            <w:szCs w:val="28"/>
            <w:lang w:val="en-US"/>
          </w:rPr>
          <w:t xml:space="preserve">Rudi Balling, </w:t>
        </w:r>
      </w:hyperlink>
      <w:hyperlink r:id="rId187" w:anchor="!" w:history="1">
        <w:r w:rsidR="00102D9D" w:rsidRPr="00FA5792">
          <w:rPr>
            <w:rStyle w:val="A60"/>
            <w:rFonts w:ascii="Times New Roman" w:hAnsi="Times New Roman" w:cs="Times New Roman"/>
            <w:color w:val="auto"/>
            <w:sz w:val="28"/>
            <w:szCs w:val="28"/>
            <w:lang w:val="en-US"/>
          </w:rPr>
          <w:t xml:space="preserve">Elissa Epel, </w:t>
        </w:r>
      </w:hyperlink>
      <w:hyperlink r:id="rId188" w:anchor="!" w:history="1">
        <w:r w:rsidR="00102D9D" w:rsidRPr="00FA5792">
          <w:rPr>
            <w:rStyle w:val="A60"/>
            <w:rFonts w:ascii="Times New Roman" w:hAnsi="Times New Roman" w:cs="Times New Roman"/>
            <w:color w:val="auto"/>
            <w:sz w:val="28"/>
            <w:szCs w:val="28"/>
            <w:lang w:val="en-US"/>
          </w:rPr>
          <w:t>Ross Arena</w:t>
        </w:r>
      </w:hyperlink>
      <w:r w:rsidR="00102D9D" w:rsidRPr="00FA5792">
        <w:rPr>
          <w:rFonts w:ascii="Times New Roman" w:hAnsi="Times New Roman" w:cs="Times New Roman"/>
          <w:sz w:val="28"/>
          <w:szCs w:val="28"/>
          <w:lang w:val="en-US"/>
        </w:rPr>
        <w:t xml:space="preserve">. </w:t>
      </w:r>
      <w:r w:rsidR="00102D9D" w:rsidRPr="00FA5792">
        <w:rPr>
          <w:rStyle w:val="text"/>
          <w:rFonts w:ascii="Times New Roman" w:hAnsi="Times New Roman" w:cs="Times New Roman"/>
          <w:sz w:val="28"/>
          <w:szCs w:val="28"/>
          <w:lang w:val="en-US"/>
        </w:rPr>
        <w:t xml:space="preserve">The P4 Health Spectrum – A Predictive, Preventive, Personalized and Participatory Continuum for Promoting Health span </w:t>
      </w:r>
      <w:hyperlink r:id="rId189" w:tgtFrame="_blank" w:tooltip="Persistent link using digital object identifier" w:history="1">
        <w:r w:rsidR="00102D9D" w:rsidRPr="00FA5792">
          <w:rPr>
            <w:rStyle w:val="details-value"/>
            <w:rFonts w:ascii="Times New Roman" w:hAnsi="Times New Roman" w:cs="Times New Roman"/>
            <w:sz w:val="28"/>
            <w:szCs w:val="28"/>
            <w:lang w:val="en-US"/>
          </w:rPr>
          <w:t>https://doi.org/10.1016/j.pcad.2016.08.002</w:t>
        </w:r>
      </w:hyperlink>
      <w:hyperlink r:id="rId190" w:tgtFrame="_blank" w:history="1">
        <w:r w:rsidR="00102D9D" w:rsidRPr="00FA5792">
          <w:rPr>
            <w:rStyle w:val="details-value"/>
            <w:rFonts w:ascii="Times New Roman" w:hAnsi="Times New Roman" w:cs="Times New Roman"/>
            <w:sz w:val="28"/>
            <w:szCs w:val="28"/>
            <w:lang w:val="en-US"/>
          </w:rPr>
          <w:t>Get rights and content</w:t>
        </w:r>
      </w:hyperlink>
      <w:r w:rsidR="00102D9D">
        <w:rPr>
          <w:rStyle w:val="details-value"/>
          <w:rFonts w:ascii="Times New Roman" w:hAnsi="Times New Roman" w:cs="Times New Roman"/>
          <w:sz w:val="28"/>
          <w:szCs w:val="28"/>
          <w:lang w:val="en-US"/>
        </w:rPr>
        <w:t>.</w:t>
      </w:r>
    </w:p>
    <w:p w14:paraId="4C73BE47" w14:textId="77777777" w:rsidR="00102D9D" w:rsidRPr="00C86AF6" w:rsidRDefault="00102D9D" w:rsidP="00102D9D">
      <w:pPr>
        <w:pStyle w:val="a3"/>
        <w:numPr>
          <w:ilvl w:val="0"/>
          <w:numId w:val="75"/>
        </w:numPr>
        <w:shd w:val="clear" w:color="auto" w:fill="FFFFFF"/>
        <w:tabs>
          <w:tab w:val="left" w:pos="426"/>
        </w:tabs>
        <w:spacing w:after="0" w:line="240" w:lineRule="auto"/>
        <w:ind w:left="0" w:firstLine="709"/>
        <w:jc w:val="both"/>
        <w:rPr>
          <w:rStyle w:val="details-value"/>
          <w:rFonts w:ascii="Times New Roman" w:eastAsiaTheme="minorHAnsi" w:hAnsi="Times New Roman" w:cs="Times New Roman"/>
          <w:sz w:val="28"/>
          <w:szCs w:val="28"/>
          <w:lang w:eastAsia="en-US"/>
        </w:rPr>
      </w:pPr>
      <w:r w:rsidRPr="00FA5792">
        <w:rPr>
          <w:rFonts w:ascii="Times New Roman" w:hAnsi="Times New Roman" w:cs="Times New Roman"/>
          <w:bCs/>
          <w:sz w:val="28"/>
          <w:szCs w:val="28"/>
        </w:rPr>
        <w:t xml:space="preserve">О международном опыте оказания медицинской помощи пациентам, страдающим сахарным диабетом. </w:t>
      </w:r>
      <w:hyperlink r:id="rId191" w:history="1">
        <w:r w:rsidRPr="003955DA">
          <w:rPr>
            <w:rStyle w:val="ab"/>
            <w:rFonts w:ascii="Times New Roman" w:eastAsia="MyriadPro-Regular" w:hAnsi="Times New Roman" w:cs="Times New Roman"/>
            <w:color w:val="auto"/>
            <w:sz w:val="28"/>
            <w:szCs w:val="28"/>
            <w:u w:val="none"/>
            <w:lang w:val="en-US"/>
          </w:rPr>
          <w:t>http</w:t>
        </w:r>
        <w:r w:rsidRPr="00C86AF6">
          <w:rPr>
            <w:rStyle w:val="ab"/>
            <w:rFonts w:ascii="Times New Roman" w:eastAsia="MyriadPro-Regular" w:hAnsi="Times New Roman" w:cs="Times New Roman"/>
            <w:color w:val="auto"/>
            <w:sz w:val="28"/>
            <w:szCs w:val="28"/>
            <w:u w:val="none"/>
          </w:rPr>
          <w:t>://</w:t>
        </w:r>
        <w:r w:rsidRPr="003955DA">
          <w:rPr>
            <w:rStyle w:val="ab"/>
            <w:rFonts w:ascii="Times New Roman" w:eastAsia="MyriadPro-Regular" w:hAnsi="Times New Roman" w:cs="Times New Roman"/>
            <w:color w:val="auto"/>
            <w:sz w:val="28"/>
            <w:szCs w:val="28"/>
            <w:u w:val="none"/>
            <w:lang w:val="en-US"/>
          </w:rPr>
          <w:t>www</w:t>
        </w:r>
        <w:r w:rsidRPr="00C86AF6">
          <w:rPr>
            <w:rStyle w:val="ab"/>
            <w:rFonts w:ascii="Times New Roman" w:eastAsia="MyriadPro-Regular" w:hAnsi="Times New Roman" w:cs="Times New Roman"/>
            <w:color w:val="auto"/>
            <w:sz w:val="28"/>
            <w:szCs w:val="28"/>
            <w:u w:val="none"/>
          </w:rPr>
          <w:t>.</w:t>
        </w:r>
        <w:r w:rsidRPr="003955DA">
          <w:rPr>
            <w:rStyle w:val="ab"/>
            <w:rFonts w:ascii="Times New Roman" w:eastAsia="MyriadPro-Regular" w:hAnsi="Times New Roman" w:cs="Times New Roman"/>
            <w:color w:val="auto"/>
            <w:sz w:val="28"/>
            <w:szCs w:val="28"/>
            <w:u w:val="none"/>
            <w:lang w:val="en-US"/>
          </w:rPr>
          <w:t>rcrz</w:t>
        </w:r>
        <w:r w:rsidRPr="00C86AF6">
          <w:rPr>
            <w:rStyle w:val="ab"/>
            <w:rFonts w:ascii="Times New Roman" w:eastAsia="MyriadPro-Regular" w:hAnsi="Times New Roman" w:cs="Times New Roman"/>
            <w:color w:val="auto"/>
            <w:sz w:val="28"/>
            <w:szCs w:val="28"/>
            <w:u w:val="none"/>
          </w:rPr>
          <w:t>.</w:t>
        </w:r>
        <w:r w:rsidRPr="003955DA">
          <w:rPr>
            <w:rStyle w:val="ab"/>
            <w:rFonts w:ascii="Times New Roman" w:eastAsia="MyriadPro-Regular" w:hAnsi="Times New Roman" w:cs="Times New Roman"/>
            <w:color w:val="auto"/>
            <w:sz w:val="28"/>
            <w:szCs w:val="28"/>
            <w:u w:val="none"/>
            <w:lang w:val="en-US"/>
          </w:rPr>
          <w:t>kz</w:t>
        </w:r>
        <w:r w:rsidRPr="00C86AF6">
          <w:rPr>
            <w:rStyle w:val="ab"/>
            <w:rFonts w:ascii="Times New Roman" w:eastAsia="MyriadPro-Regular" w:hAnsi="Times New Roman" w:cs="Times New Roman"/>
            <w:color w:val="auto"/>
            <w:sz w:val="28"/>
            <w:szCs w:val="28"/>
            <w:u w:val="none"/>
          </w:rPr>
          <w:t>/</w:t>
        </w:r>
        <w:r w:rsidRPr="003955DA">
          <w:rPr>
            <w:rStyle w:val="ab"/>
            <w:rFonts w:ascii="Times New Roman" w:eastAsia="MyriadPro-Regular" w:hAnsi="Times New Roman" w:cs="Times New Roman"/>
            <w:color w:val="auto"/>
            <w:sz w:val="28"/>
            <w:szCs w:val="28"/>
            <w:u w:val="none"/>
            <w:lang w:val="en-US"/>
          </w:rPr>
          <w:t>index</w:t>
        </w:r>
        <w:r w:rsidRPr="00C86AF6">
          <w:rPr>
            <w:rStyle w:val="ab"/>
            <w:rFonts w:ascii="Times New Roman" w:eastAsia="MyriadPro-Regular" w:hAnsi="Times New Roman" w:cs="Times New Roman"/>
            <w:color w:val="auto"/>
            <w:sz w:val="28"/>
            <w:szCs w:val="28"/>
            <w:u w:val="none"/>
          </w:rPr>
          <w:t>.</w:t>
        </w:r>
        <w:r w:rsidRPr="003955DA">
          <w:rPr>
            <w:rStyle w:val="ab"/>
            <w:rFonts w:ascii="Times New Roman" w:eastAsia="MyriadPro-Regular" w:hAnsi="Times New Roman" w:cs="Times New Roman"/>
            <w:color w:val="auto"/>
            <w:sz w:val="28"/>
            <w:szCs w:val="28"/>
            <w:u w:val="none"/>
            <w:lang w:val="en-US"/>
          </w:rPr>
          <w:t>php</w:t>
        </w:r>
        <w:r w:rsidRPr="00C86AF6">
          <w:rPr>
            <w:rStyle w:val="ab"/>
            <w:rFonts w:ascii="Times New Roman" w:eastAsia="MyriadPro-Regular" w:hAnsi="Times New Roman" w:cs="Times New Roman"/>
            <w:color w:val="auto"/>
            <w:sz w:val="28"/>
            <w:szCs w:val="28"/>
            <w:u w:val="none"/>
          </w:rPr>
          <w:t>/</w:t>
        </w:r>
        <w:r w:rsidRPr="003955DA">
          <w:rPr>
            <w:rStyle w:val="ab"/>
            <w:rFonts w:ascii="Times New Roman" w:eastAsia="MyriadPro-Regular" w:hAnsi="Times New Roman" w:cs="Times New Roman"/>
            <w:color w:val="auto"/>
            <w:sz w:val="28"/>
            <w:szCs w:val="28"/>
            <w:u w:val="none"/>
            <w:lang w:val="en-US"/>
          </w:rPr>
          <w:t>ru</w:t>
        </w:r>
        <w:r w:rsidRPr="00C86AF6">
          <w:rPr>
            <w:rStyle w:val="ab"/>
            <w:rFonts w:ascii="Times New Roman" w:eastAsia="MyriadPro-Regular" w:hAnsi="Times New Roman" w:cs="Times New Roman"/>
            <w:color w:val="auto"/>
            <w:sz w:val="28"/>
            <w:szCs w:val="28"/>
            <w:u w:val="none"/>
          </w:rPr>
          <w:t>/2017-03-12-10-50-44/</w:t>
        </w:r>
        <w:r w:rsidRPr="003955DA">
          <w:rPr>
            <w:rStyle w:val="ab"/>
            <w:rFonts w:ascii="Times New Roman" w:eastAsia="MyriadPro-Regular" w:hAnsi="Times New Roman" w:cs="Times New Roman"/>
            <w:color w:val="auto"/>
            <w:sz w:val="28"/>
            <w:szCs w:val="28"/>
            <w:u w:val="none"/>
            <w:lang w:val="en-US"/>
          </w:rPr>
          <w:t>press</w:t>
        </w:r>
        <w:r w:rsidRPr="00C86AF6">
          <w:rPr>
            <w:rStyle w:val="ab"/>
            <w:rFonts w:ascii="Times New Roman" w:eastAsia="MyriadPro-Regular" w:hAnsi="Times New Roman" w:cs="Times New Roman"/>
            <w:color w:val="auto"/>
            <w:sz w:val="28"/>
            <w:szCs w:val="28"/>
            <w:u w:val="none"/>
          </w:rPr>
          <w:t>-</w:t>
        </w:r>
        <w:r w:rsidRPr="003955DA">
          <w:rPr>
            <w:rStyle w:val="ab"/>
            <w:rFonts w:ascii="Times New Roman" w:eastAsia="MyriadPro-Regular" w:hAnsi="Times New Roman" w:cs="Times New Roman"/>
            <w:color w:val="auto"/>
            <w:sz w:val="28"/>
            <w:szCs w:val="28"/>
            <w:u w:val="none"/>
            <w:lang w:val="en-US"/>
          </w:rPr>
          <w:t>reliz</w:t>
        </w:r>
        <w:r w:rsidRPr="00C86AF6">
          <w:rPr>
            <w:rStyle w:val="ab"/>
            <w:rFonts w:ascii="Times New Roman" w:eastAsia="MyriadPro-Regular" w:hAnsi="Times New Roman" w:cs="Times New Roman"/>
            <w:color w:val="auto"/>
            <w:sz w:val="28"/>
            <w:szCs w:val="28"/>
            <w:u w:val="none"/>
          </w:rPr>
          <w:t>/2310-</w:t>
        </w:r>
        <w:r w:rsidRPr="003955DA">
          <w:rPr>
            <w:rStyle w:val="ab"/>
            <w:rFonts w:ascii="Times New Roman" w:eastAsia="MyriadPro-Regular" w:hAnsi="Times New Roman" w:cs="Times New Roman"/>
            <w:color w:val="auto"/>
            <w:sz w:val="28"/>
            <w:szCs w:val="28"/>
            <w:u w:val="none"/>
            <w:lang w:val="en-US"/>
          </w:rPr>
          <w:t>o</w:t>
        </w:r>
        <w:r w:rsidRPr="00C86AF6">
          <w:rPr>
            <w:rStyle w:val="ab"/>
            <w:rFonts w:ascii="Times New Roman" w:eastAsia="MyriadPro-Regular" w:hAnsi="Times New Roman" w:cs="Times New Roman"/>
            <w:color w:val="auto"/>
            <w:sz w:val="28"/>
            <w:szCs w:val="28"/>
            <w:u w:val="none"/>
          </w:rPr>
          <w:t>-</w:t>
        </w:r>
        <w:r w:rsidRPr="003955DA">
          <w:rPr>
            <w:rStyle w:val="ab"/>
            <w:rFonts w:ascii="Times New Roman" w:eastAsia="MyriadPro-Regular" w:hAnsi="Times New Roman" w:cs="Times New Roman"/>
            <w:color w:val="auto"/>
            <w:sz w:val="28"/>
            <w:szCs w:val="28"/>
            <w:u w:val="none"/>
            <w:lang w:val="en-US"/>
          </w:rPr>
          <w:t>mezhdunarodnom</w:t>
        </w:r>
        <w:r w:rsidRPr="00C86AF6">
          <w:rPr>
            <w:rStyle w:val="ab"/>
            <w:rFonts w:ascii="Times New Roman" w:eastAsia="MyriadPro-Regular" w:hAnsi="Times New Roman" w:cs="Times New Roman"/>
            <w:color w:val="auto"/>
            <w:sz w:val="28"/>
            <w:szCs w:val="28"/>
            <w:u w:val="none"/>
          </w:rPr>
          <w:t>-</w:t>
        </w:r>
        <w:r w:rsidRPr="003955DA">
          <w:rPr>
            <w:rStyle w:val="ab"/>
            <w:rFonts w:ascii="Times New Roman" w:eastAsia="MyriadPro-Regular" w:hAnsi="Times New Roman" w:cs="Times New Roman"/>
            <w:color w:val="auto"/>
            <w:sz w:val="28"/>
            <w:szCs w:val="28"/>
            <w:u w:val="none"/>
            <w:lang w:val="en-US"/>
          </w:rPr>
          <w:t>opyte</w:t>
        </w:r>
        <w:r w:rsidRPr="00C86AF6">
          <w:rPr>
            <w:rStyle w:val="ab"/>
            <w:rFonts w:ascii="Times New Roman" w:eastAsia="MyriadPro-Regular" w:hAnsi="Times New Roman" w:cs="Times New Roman"/>
            <w:color w:val="auto"/>
            <w:sz w:val="28"/>
            <w:szCs w:val="28"/>
            <w:u w:val="none"/>
          </w:rPr>
          <w:t>-</w:t>
        </w:r>
        <w:r w:rsidRPr="003955DA">
          <w:rPr>
            <w:rStyle w:val="ab"/>
            <w:rFonts w:ascii="Times New Roman" w:eastAsia="MyriadPro-Regular" w:hAnsi="Times New Roman" w:cs="Times New Roman"/>
            <w:color w:val="auto"/>
            <w:sz w:val="28"/>
            <w:szCs w:val="28"/>
            <w:u w:val="none"/>
            <w:lang w:val="en-US"/>
          </w:rPr>
          <w:t>okazaniya</w:t>
        </w:r>
        <w:r w:rsidRPr="00C86AF6">
          <w:rPr>
            <w:rStyle w:val="ab"/>
            <w:rFonts w:ascii="Times New Roman" w:eastAsia="MyriadPro-Regular" w:hAnsi="Times New Roman" w:cs="Times New Roman"/>
            <w:color w:val="auto"/>
            <w:sz w:val="28"/>
            <w:szCs w:val="28"/>
            <w:u w:val="none"/>
          </w:rPr>
          <w:t>-</w:t>
        </w:r>
        <w:r w:rsidRPr="003955DA">
          <w:rPr>
            <w:rStyle w:val="ab"/>
            <w:rFonts w:ascii="Times New Roman" w:eastAsia="MyriadPro-Regular" w:hAnsi="Times New Roman" w:cs="Times New Roman"/>
            <w:color w:val="auto"/>
            <w:sz w:val="28"/>
            <w:szCs w:val="28"/>
            <w:u w:val="none"/>
            <w:lang w:val="en-US"/>
          </w:rPr>
          <w:t>meditsinskoj</w:t>
        </w:r>
        <w:r w:rsidRPr="00C86AF6">
          <w:rPr>
            <w:rStyle w:val="ab"/>
            <w:rFonts w:ascii="Times New Roman" w:eastAsia="MyriadPro-Regular" w:hAnsi="Times New Roman" w:cs="Times New Roman"/>
            <w:color w:val="auto"/>
            <w:sz w:val="28"/>
            <w:szCs w:val="28"/>
            <w:u w:val="none"/>
          </w:rPr>
          <w:t>-</w:t>
        </w:r>
        <w:r w:rsidRPr="003955DA">
          <w:rPr>
            <w:rStyle w:val="ab"/>
            <w:rFonts w:ascii="Times New Roman" w:eastAsia="MyriadPro-Regular" w:hAnsi="Times New Roman" w:cs="Times New Roman"/>
            <w:color w:val="auto"/>
            <w:sz w:val="28"/>
            <w:szCs w:val="28"/>
            <w:u w:val="none"/>
            <w:lang w:val="en-US"/>
          </w:rPr>
          <w:t>pomoshchi</w:t>
        </w:r>
        <w:r w:rsidRPr="00C86AF6">
          <w:rPr>
            <w:rStyle w:val="ab"/>
            <w:rFonts w:ascii="Times New Roman" w:eastAsia="MyriadPro-Regular" w:hAnsi="Times New Roman" w:cs="Times New Roman"/>
            <w:color w:val="auto"/>
            <w:sz w:val="28"/>
            <w:szCs w:val="28"/>
            <w:u w:val="none"/>
          </w:rPr>
          <w:t>-</w:t>
        </w:r>
        <w:r w:rsidRPr="003955DA">
          <w:rPr>
            <w:rStyle w:val="ab"/>
            <w:rFonts w:ascii="Times New Roman" w:eastAsia="MyriadPro-Regular" w:hAnsi="Times New Roman" w:cs="Times New Roman"/>
            <w:color w:val="auto"/>
            <w:sz w:val="28"/>
            <w:szCs w:val="28"/>
            <w:u w:val="none"/>
            <w:lang w:val="en-US"/>
          </w:rPr>
          <w:t>patsientam</w:t>
        </w:r>
        <w:r w:rsidRPr="00C86AF6">
          <w:rPr>
            <w:rStyle w:val="ab"/>
            <w:rFonts w:ascii="Times New Roman" w:eastAsia="MyriadPro-Regular" w:hAnsi="Times New Roman" w:cs="Times New Roman"/>
            <w:color w:val="auto"/>
            <w:sz w:val="28"/>
            <w:szCs w:val="28"/>
            <w:u w:val="none"/>
          </w:rPr>
          <w:t>-</w:t>
        </w:r>
        <w:r w:rsidRPr="003955DA">
          <w:rPr>
            <w:rStyle w:val="ab"/>
            <w:rFonts w:ascii="Times New Roman" w:eastAsia="MyriadPro-Regular" w:hAnsi="Times New Roman" w:cs="Times New Roman"/>
            <w:color w:val="auto"/>
            <w:sz w:val="28"/>
            <w:szCs w:val="28"/>
            <w:u w:val="none"/>
            <w:lang w:val="en-US"/>
          </w:rPr>
          <w:t>stradayushchim</w:t>
        </w:r>
        <w:r w:rsidRPr="00C86AF6">
          <w:rPr>
            <w:rStyle w:val="ab"/>
            <w:rFonts w:ascii="Times New Roman" w:eastAsia="MyriadPro-Regular" w:hAnsi="Times New Roman" w:cs="Times New Roman"/>
            <w:color w:val="auto"/>
            <w:sz w:val="28"/>
            <w:szCs w:val="28"/>
            <w:u w:val="none"/>
          </w:rPr>
          <w:t>-</w:t>
        </w:r>
        <w:r w:rsidRPr="003955DA">
          <w:rPr>
            <w:rStyle w:val="ab"/>
            <w:rFonts w:ascii="Times New Roman" w:eastAsia="MyriadPro-Regular" w:hAnsi="Times New Roman" w:cs="Times New Roman"/>
            <w:color w:val="auto"/>
            <w:sz w:val="28"/>
            <w:szCs w:val="28"/>
            <w:u w:val="none"/>
            <w:lang w:val="en-US"/>
          </w:rPr>
          <w:t>sakharnym</w:t>
        </w:r>
        <w:r w:rsidRPr="00C86AF6">
          <w:rPr>
            <w:rStyle w:val="ab"/>
            <w:rFonts w:ascii="Times New Roman" w:eastAsia="MyriadPro-Regular" w:hAnsi="Times New Roman" w:cs="Times New Roman"/>
            <w:color w:val="auto"/>
            <w:sz w:val="28"/>
            <w:szCs w:val="28"/>
            <w:u w:val="none"/>
          </w:rPr>
          <w:t>-</w:t>
        </w:r>
        <w:r w:rsidRPr="003955DA">
          <w:rPr>
            <w:rStyle w:val="ab"/>
            <w:rFonts w:ascii="Times New Roman" w:eastAsia="MyriadPro-Regular" w:hAnsi="Times New Roman" w:cs="Times New Roman"/>
            <w:color w:val="auto"/>
            <w:sz w:val="28"/>
            <w:szCs w:val="28"/>
            <w:u w:val="none"/>
            <w:lang w:val="en-US"/>
          </w:rPr>
          <w:t>diabetom</w:t>
        </w:r>
      </w:hyperlink>
      <w:r w:rsidRPr="00C86AF6">
        <w:rPr>
          <w:rStyle w:val="details-value"/>
          <w:rFonts w:ascii="Times New Roman" w:eastAsia="MyriadPro-Regular" w:hAnsi="Times New Roman" w:cs="Times New Roman"/>
          <w:sz w:val="28"/>
          <w:szCs w:val="28"/>
        </w:rPr>
        <w:t>.</w:t>
      </w:r>
    </w:p>
    <w:p w14:paraId="0F579877"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kk-KZ"/>
        </w:rPr>
      </w:pPr>
      <w:r w:rsidRPr="00FA5792">
        <w:rPr>
          <w:rFonts w:ascii="Times New Roman" w:hAnsi="Times New Roman" w:cs="Times New Roman"/>
          <w:sz w:val="28"/>
          <w:szCs w:val="28"/>
          <w:lang w:val="en-US"/>
        </w:rPr>
        <w:t xml:space="preserve">New concept for primary care. Vienna: Federal Ministry of Labour, Social Affairs, Health and Consumer Protection; Federal Chancellery: Federal Minister for Women, Families and Youth (Austria). (http://www.bmgf.gv.at/home/EN/Health/Health_care_system/ New_concept_for_primary_care, </w:t>
      </w:r>
      <w:r w:rsidRPr="00FA5792">
        <w:rPr>
          <w:rFonts w:ascii="Times New Roman" w:hAnsi="Times New Roman" w:cs="Times New Roman"/>
          <w:sz w:val="28"/>
          <w:szCs w:val="28"/>
        </w:rPr>
        <w:t>по</w:t>
      </w:r>
      <w:r w:rsidRPr="00FA5792">
        <w:rPr>
          <w:rFonts w:ascii="Times New Roman" w:hAnsi="Times New Roman" w:cs="Times New Roman"/>
          <w:sz w:val="28"/>
          <w:szCs w:val="28"/>
          <w:lang w:val="en-US"/>
        </w:rPr>
        <w:t xml:space="preserve"> </w:t>
      </w:r>
      <w:r w:rsidRPr="00FA5792">
        <w:rPr>
          <w:rFonts w:ascii="Times New Roman" w:hAnsi="Times New Roman" w:cs="Times New Roman"/>
          <w:sz w:val="28"/>
          <w:szCs w:val="28"/>
        </w:rPr>
        <w:t>состоянию</w:t>
      </w:r>
      <w:r w:rsidRPr="00FA5792">
        <w:rPr>
          <w:rFonts w:ascii="Times New Roman" w:hAnsi="Times New Roman" w:cs="Times New Roman"/>
          <w:sz w:val="28"/>
          <w:szCs w:val="28"/>
          <w:lang w:val="en-US"/>
        </w:rPr>
        <w:t xml:space="preserve"> </w:t>
      </w:r>
      <w:r w:rsidRPr="00FA5792">
        <w:rPr>
          <w:rFonts w:ascii="Times New Roman" w:hAnsi="Times New Roman" w:cs="Times New Roman"/>
          <w:sz w:val="28"/>
          <w:szCs w:val="28"/>
        </w:rPr>
        <w:t>на</w:t>
      </w:r>
      <w:r w:rsidRPr="00FA5792">
        <w:rPr>
          <w:rFonts w:ascii="Times New Roman" w:hAnsi="Times New Roman" w:cs="Times New Roman"/>
          <w:sz w:val="28"/>
          <w:szCs w:val="28"/>
          <w:lang w:val="en-US"/>
        </w:rPr>
        <w:t xml:space="preserve"> 6 </w:t>
      </w:r>
      <w:r w:rsidRPr="00FA5792">
        <w:rPr>
          <w:rFonts w:ascii="Times New Roman" w:hAnsi="Times New Roman" w:cs="Times New Roman"/>
          <w:sz w:val="28"/>
          <w:szCs w:val="28"/>
        </w:rPr>
        <w:t>ноября</w:t>
      </w:r>
      <w:r w:rsidRPr="00FA5792">
        <w:rPr>
          <w:rFonts w:ascii="Times New Roman" w:hAnsi="Times New Roman" w:cs="Times New Roman"/>
          <w:sz w:val="28"/>
          <w:szCs w:val="28"/>
          <w:lang w:val="en-US"/>
        </w:rPr>
        <w:t xml:space="preserve"> 2018 </w:t>
      </w:r>
      <w:r w:rsidRPr="00FA5792">
        <w:rPr>
          <w:rFonts w:ascii="Times New Roman" w:hAnsi="Times New Roman" w:cs="Times New Roman"/>
          <w:sz w:val="28"/>
          <w:szCs w:val="28"/>
        </w:rPr>
        <w:t>г</w:t>
      </w:r>
      <w:r w:rsidRPr="00FA5792">
        <w:rPr>
          <w:rFonts w:ascii="Times New Roman" w:hAnsi="Times New Roman" w:cs="Times New Roman"/>
          <w:sz w:val="28"/>
          <w:szCs w:val="28"/>
          <w:lang w:val="en-US"/>
        </w:rPr>
        <w:t>.).</w:t>
      </w:r>
    </w:p>
    <w:p w14:paraId="2E80CB92" w14:textId="77777777" w:rsidR="00102D9D" w:rsidRPr="00FA5792" w:rsidRDefault="00102D9D" w:rsidP="00102D9D">
      <w:pPr>
        <w:numPr>
          <w:ilvl w:val="0"/>
          <w:numId w:val="75"/>
        </w:numPr>
        <w:shd w:val="clear" w:color="auto" w:fill="FFFFFF"/>
        <w:tabs>
          <w:tab w:val="left" w:pos="426"/>
          <w:tab w:val="left" w:pos="709"/>
        </w:tabs>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sz w:val="28"/>
          <w:szCs w:val="28"/>
          <w:lang w:val="en-US"/>
        </w:rPr>
        <w:t>The Role of General Practitioners in Preventing disease and promoting health in the Nordic countries. Nordic Federation of General Practice</w:t>
      </w:r>
      <w:r>
        <w:rPr>
          <w:rFonts w:ascii="Times New Roman" w:hAnsi="Times New Roman" w:cs="Times New Roman"/>
          <w:sz w:val="28"/>
          <w:szCs w:val="28"/>
          <w:lang w:val="en-US"/>
        </w:rPr>
        <w:t>.-</w:t>
      </w:r>
      <w:r w:rsidRPr="00FA5792">
        <w:rPr>
          <w:rFonts w:ascii="Times New Roman" w:hAnsi="Times New Roman" w:cs="Times New Roman"/>
          <w:sz w:val="28"/>
          <w:szCs w:val="28"/>
          <w:lang w:val="en-US"/>
        </w:rPr>
        <w:t xml:space="preserve"> 2013. Available from: http://www.nfgp.org/files/8/policypaper_preventing_2.pdf. </w:t>
      </w:r>
    </w:p>
    <w:p w14:paraId="1E0E7EAD" w14:textId="77777777" w:rsidR="00102D9D" w:rsidRPr="003955DA"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sz w:val="28"/>
          <w:szCs w:val="28"/>
          <w:lang w:val="en-US"/>
        </w:rPr>
        <w:t>Si S</w:t>
      </w:r>
      <w:r>
        <w:rPr>
          <w:rFonts w:ascii="Times New Roman" w:hAnsi="Times New Roman" w:cs="Times New Roman"/>
          <w:sz w:val="28"/>
          <w:szCs w:val="28"/>
          <w:lang w:val="en-US"/>
        </w:rPr>
        <w:t>.</w:t>
      </w:r>
      <w:r w:rsidRPr="00FA5792">
        <w:rPr>
          <w:rFonts w:ascii="Times New Roman" w:hAnsi="Times New Roman" w:cs="Times New Roman"/>
          <w:sz w:val="28"/>
          <w:szCs w:val="28"/>
          <w:lang w:val="en-US"/>
        </w:rPr>
        <w:t>, Moss J</w:t>
      </w:r>
      <w:r>
        <w:rPr>
          <w:rFonts w:ascii="Times New Roman" w:hAnsi="Times New Roman" w:cs="Times New Roman"/>
          <w:sz w:val="28"/>
          <w:szCs w:val="28"/>
          <w:lang w:val="en-US"/>
        </w:rPr>
        <w:t>.</w:t>
      </w:r>
      <w:r w:rsidRPr="00FA5792">
        <w:rPr>
          <w:rFonts w:ascii="Times New Roman" w:hAnsi="Times New Roman" w:cs="Times New Roman"/>
          <w:sz w:val="28"/>
          <w:szCs w:val="28"/>
          <w:lang w:val="en-US"/>
        </w:rPr>
        <w:t>R</w:t>
      </w:r>
      <w:r>
        <w:rPr>
          <w:rFonts w:ascii="Times New Roman" w:hAnsi="Times New Roman" w:cs="Times New Roman"/>
          <w:sz w:val="28"/>
          <w:szCs w:val="28"/>
          <w:lang w:val="en-US"/>
        </w:rPr>
        <w:t>.</w:t>
      </w:r>
      <w:r w:rsidRPr="00FA5792">
        <w:rPr>
          <w:rFonts w:ascii="Times New Roman" w:hAnsi="Times New Roman" w:cs="Times New Roman"/>
          <w:sz w:val="28"/>
          <w:szCs w:val="28"/>
          <w:lang w:val="en-US"/>
        </w:rPr>
        <w:t>, Sullivan T</w:t>
      </w:r>
      <w:r>
        <w:rPr>
          <w:rFonts w:ascii="Times New Roman" w:hAnsi="Times New Roman" w:cs="Times New Roman"/>
          <w:sz w:val="28"/>
          <w:szCs w:val="28"/>
          <w:lang w:val="en-US"/>
        </w:rPr>
        <w:t>.</w:t>
      </w:r>
      <w:r w:rsidRPr="00FA5792">
        <w:rPr>
          <w:rFonts w:ascii="Times New Roman" w:hAnsi="Times New Roman" w:cs="Times New Roman"/>
          <w:sz w:val="28"/>
          <w:szCs w:val="28"/>
          <w:lang w:val="en-US"/>
        </w:rPr>
        <w:t>R</w:t>
      </w:r>
      <w:r>
        <w:rPr>
          <w:rFonts w:ascii="Times New Roman" w:hAnsi="Times New Roman" w:cs="Times New Roman"/>
          <w:sz w:val="28"/>
          <w:szCs w:val="28"/>
          <w:lang w:val="en-US"/>
        </w:rPr>
        <w:t>.</w:t>
      </w:r>
      <w:r w:rsidRPr="00FA5792">
        <w:rPr>
          <w:rFonts w:ascii="Times New Roman" w:hAnsi="Times New Roman" w:cs="Times New Roman"/>
          <w:sz w:val="28"/>
          <w:szCs w:val="28"/>
          <w:lang w:val="en-US"/>
        </w:rPr>
        <w:t>, Newton S</w:t>
      </w:r>
      <w:r>
        <w:rPr>
          <w:rFonts w:ascii="Times New Roman" w:hAnsi="Times New Roman" w:cs="Times New Roman"/>
          <w:sz w:val="28"/>
          <w:szCs w:val="28"/>
          <w:lang w:val="en-US"/>
        </w:rPr>
        <w:t>.</w:t>
      </w:r>
      <w:r w:rsidRPr="00FA5792">
        <w:rPr>
          <w:rFonts w:ascii="Times New Roman" w:hAnsi="Times New Roman" w:cs="Times New Roman"/>
          <w:sz w:val="28"/>
          <w:szCs w:val="28"/>
          <w:lang w:val="en-US"/>
        </w:rPr>
        <w:t>S</w:t>
      </w:r>
      <w:r>
        <w:rPr>
          <w:rFonts w:ascii="Times New Roman" w:hAnsi="Times New Roman" w:cs="Times New Roman"/>
          <w:sz w:val="28"/>
          <w:szCs w:val="28"/>
          <w:lang w:val="en-US"/>
        </w:rPr>
        <w:t>.</w:t>
      </w:r>
      <w:r w:rsidRPr="00FA5792">
        <w:rPr>
          <w:rFonts w:ascii="Times New Roman" w:hAnsi="Times New Roman" w:cs="Times New Roman"/>
          <w:sz w:val="28"/>
          <w:szCs w:val="28"/>
          <w:lang w:val="en-US"/>
        </w:rPr>
        <w:t>, Stocks N</w:t>
      </w:r>
      <w:r>
        <w:rPr>
          <w:rFonts w:ascii="Times New Roman" w:hAnsi="Times New Roman" w:cs="Times New Roman"/>
          <w:sz w:val="28"/>
          <w:szCs w:val="28"/>
          <w:lang w:val="en-US"/>
        </w:rPr>
        <w:t>.</w:t>
      </w:r>
      <w:r w:rsidRPr="00FA5792">
        <w:rPr>
          <w:rFonts w:ascii="Times New Roman" w:hAnsi="Times New Roman" w:cs="Times New Roman"/>
          <w:sz w:val="28"/>
          <w:szCs w:val="28"/>
          <w:lang w:val="en-US"/>
        </w:rPr>
        <w:t xml:space="preserve">P. Effectiveness of general practice-based health checks: a systematic review and meta-analysis. </w:t>
      </w:r>
      <w:r w:rsidRPr="003955DA">
        <w:rPr>
          <w:rFonts w:ascii="Times New Roman" w:hAnsi="Times New Roman" w:cs="Times New Roman"/>
          <w:sz w:val="28"/>
          <w:szCs w:val="28"/>
          <w:lang w:val="en-US"/>
        </w:rPr>
        <w:t xml:space="preserve">Br J Gen Pract. </w:t>
      </w:r>
      <w:r>
        <w:rPr>
          <w:rFonts w:ascii="Times New Roman" w:hAnsi="Times New Roman" w:cs="Times New Roman"/>
          <w:sz w:val="28"/>
          <w:szCs w:val="28"/>
          <w:lang w:val="en-US"/>
        </w:rPr>
        <w:t xml:space="preserve">– </w:t>
      </w:r>
      <w:r w:rsidRPr="003955DA">
        <w:rPr>
          <w:rFonts w:ascii="Times New Roman" w:hAnsi="Times New Roman" w:cs="Times New Roman"/>
          <w:sz w:val="28"/>
          <w:szCs w:val="28"/>
          <w:lang w:val="en-US"/>
        </w:rPr>
        <w:t>2014</w:t>
      </w:r>
      <w:r>
        <w:rPr>
          <w:rFonts w:ascii="Times New Roman" w:hAnsi="Times New Roman" w:cs="Times New Roman"/>
          <w:sz w:val="28"/>
          <w:szCs w:val="28"/>
          <w:lang w:val="en-US"/>
        </w:rPr>
        <w:t xml:space="preserve">. - </w:t>
      </w:r>
      <w:r>
        <w:rPr>
          <w:rFonts w:ascii="Times New Roman" w:hAnsi="Times New Roman" w:cs="Times New Roman"/>
          <w:sz w:val="28"/>
          <w:szCs w:val="28"/>
        </w:rPr>
        <w:t>№</w:t>
      </w:r>
      <w:r w:rsidRPr="003955DA">
        <w:rPr>
          <w:rFonts w:ascii="Times New Roman" w:hAnsi="Times New Roman" w:cs="Times New Roman"/>
          <w:sz w:val="28"/>
          <w:szCs w:val="28"/>
          <w:lang w:val="en-US"/>
        </w:rPr>
        <w:t>64(618)</w:t>
      </w:r>
      <w:r>
        <w:rPr>
          <w:rFonts w:ascii="Times New Roman" w:hAnsi="Times New Roman" w:cs="Times New Roman"/>
          <w:sz w:val="28"/>
          <w:szCs w:val="28"/>
        </w:rPr>
        <w:t>. – Р.</w:t>
      </w:r>
      <w:r w:rsidRPr="003955DA">
        <w:rPr>
          <w:rFonts w:ascii="Times New Roman" w:hAnsi="Times New Roman" w:cs="Times New Roman"/>
          <w:sz w:val="28"/>
          <w:szCs w:val="28"/>
          <w:lang w:val="en-US"/>
        </w:rPr>
        <w:t>47–53.</w:t>
      </w:r>
    </w:p>
    <w:p w14:paraId="2D1E7622" w14:textId="77777777" w:rsidR="00102D9D" w:rsidRPr="003955DA"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sz w:val="28"/>
          <w:szCs w:val="28"/>
          <w:lang w:val="en-US"/>
        </w:rPr>
        <w:t>Engelsen C</w:t>
      </w:r>
      <w:r w:rsidRPr="003955DA">
        <w:rPr>
          <w:rFonts w:ascii="Times New Roman" w:hAnsi="Times New Roman" w:cs="Times New Roman"/>
          <w:sz w:val="28"/>
          <w:szCs w:val="28"/>
          <w:lang w:val="en-US"/>
        </w:rPr>
        <w:t>.</w:t>
      </w:r>
      <w:r w:rsidRPr="00FA5792">
        <w:rPr>
          <w:rFonts w:ascii="Times New Roman" w:hAnsi="Times New Roman" w:cs="Times New Roman"/>
          <w:sz w:val="28"/>
          <w:szCs w:val="28"/>
          <w:lang w:val="en-US"/>
        </w:rPr>
        <w:t>, Koekkoek P</w:t>
      </w:r>
      <w:r w:rsidRPr="003955DA">
        <w:rPr>
          <w:rFonts w:ascii="Times New Roman" w:hAnsi="Times New Roman" w:cs="Times New Roman"/>
          <w:sz w:val="28"/>
          <w:szCs w:val="28"/>
          <w:lang w:val="en-US"/>
        </w:rPr>
        <w:t>.</w:t>
      </w:r>
      <w:r w:rsidRPr="00FA5792">
        <w:rPr>
          <w:rFonts w:ascii="Times New Roman" w:hAnsi="Times New Roman" w:cs="Times New Roman"/>
          <w:sz w:val="28"/>
          <w:szCs w:val="28"/>
          <w:lang w:val="en-US"/>
        </w:rPr>
        <w:t>S</w:t>
      </w:r>
      <w:r w:rsidRPr="003955DA">
        <w:rPr>
          <w:rFonts w:ascii="Times New Roman" w:hAnsi="Times New Roman" w:cs="Times New Roman"/>
          <w:sz w:val="28"/>
          <w:szCs w:val="28"/>
          <w:lang w:val="en-US"/>
        </w:rPr>
        <w:t>.</w:t>
      </w:r>
      <w:r w:rsidRPr="00FA5792">
        <w:rPr>
          <w:rFonts w:ascii="Times New Roman" w:hAnsi="Times New Roman" w:cs="Times New Roman"/>
          <w:sz w:val="28"/>
          <w:szCs w:val="28"/>
          <w:lang w:val="en-US"/>
        </w:rPr>
        <w:t>, Godefrooij M</w:t>
      </w:r>
      <w:r w:rsidRPr="003955DA">
        <w:rPr>
          <w:rFonts w:ascii="Times New Roman" w:hAnsi="Times New Roman" w:cs="Times New Roman"/>
          <w:sz w:val="28"/>
          <w:szCs w:val="28"/>
          <w:lang w:val="en-US"/>
        </w:rPr>
        <w:t>.</w:t>
      </w:r>
      <w:r w:rsidRPr="00FA5792">
        <w:rPr>
          <w:rFonts w:ascii="Times New Roman" w:hAnsi="Times New Roman" w:cs="Times New Roman"/>
          <w:sz w:val="28"/>
          <w:szCs w:val="28"/>
          <w:lang w:val="en-US"/>
        </w:rPr>
        <w:t>B</w:t>
      </w:r>
      <w:r w:rsidRPr="003955DA">
        <w:rPr>
          <w:rFonts w:ascii="Times New Roman" w:hAnsi="Times New Roman" w:cs="Times New Roman"/>
          <w:sz w:val="28"/>
          <w:szCs w:val="28"/>
          <w:lang w:val="en-US"/>
        </w:rPr>
        <w:t>.</w:t>
      </w:r>
      <w:r w:rsidRPr="00FA5792">
        <w:rPr>
          <w:rFonts w:ascii="Times New Roman" w:hAnsi="Times New Roman" w:cs="Times New Roman"/>
          <w:sz w:val="28"/>
          <w:szCs w:val="28"/>
          <w:lang w:val="en-US"/>
        </w:rPr>
        <w:t>, Spigt M</w:t>
      </w:r>
      <w:r w:rsidRPr="003955DA">
        <w:rPr>
          <w:rFonts w:ascii="Times New Roman" w:hAnsi="Times New Roman" w:cs="Times New Roman"/>
          <w:sz w:val="28"/>
          <w:szCs w:val="28"/>
          <w:lang w:val="en-US"/>
        </w:rPr>
        <w:t>.</w:t>
      </w:r>
      <w:r w:rsidRPr="00FA5792">
        <w:rPr>
          <w:rFonts w:ascii="Times New Roman" w:hAnsi="Times New Roman" w:cs="Times New Roman"/>
          <w:sz w:val="28"/>
          <w:szCs w:val="28"/>
          <w:lang w:val="en-US"/>
        </w:rPr>
        <w:t>G</w:t>
      </w:r>
      <w:r w:rsidRPr="003955DA">
        <w:rPr>
          <w:rFonts w:ascii="Times New Roman" w:hAnsi="Times New Roman" w:cs="Times New Roman"/>
          <w:sz w:val="28"/>
          <w:szCs w:val="28"/>
          <w:lang w:val="en-US"/>
        </w:rPr>
        <w:t>.</w:t>
      </w:r>
      <w:r w:rsidRPr="00FA5792">
        <w:rPr>
          <w:rFonts w:ascii="Times New Roman" w:hAnsi="Times New Roman" w:cs="Times New Roman"/>
          <w:sz w:val="28"/>
          <w:szCs w:val="28"/>
          <w:lang w:val="en-US"/>
        </w:rPr>
        <w:t>, Rutten G</w:t>
      </w:r>
      <w:r w:rsidRPr="003955DA">
        <w:rPr>
          <w:rFonts w:ascii="Times New Roman" w:hAnsi="Times New Roman" w:cs="Times New Roman"/>
          <w:sz w:val="28"/>
          <w:szCs w:val="28"/>
          <w:lang w:val="en-US"/>
        </w:rPr>
        <w:t>.</w:t>
      </w:r>
      <w:r w:rsidRPr="00FA5792">
        <w:rPr>
          <w:rFonts w:ascii="Times New Roman" w:hAnsi="Times New Roman" w:cs="Times New Roman"/>
          <w:sz w:val="28"/>
          <w:szCs w:val="28"/>
          <w:lang w:val="en-US"/>
        </w:rPr>
        <w:t xml:space="preserve">E. Screening for increased cardiometabolic risk in primary care: a systematic review. </w:t>
      </w:r>
      <w:r w:rsidRPr="003955DA">
        <w:rPr>
          <w:rFonts w:ascii="Times New Roman" w:hAnsi="Times New Roman" w:cs="Times New Roman"/>
          <w:sz w:val="28"/>
          <w:szCs w:val="28"/>
          <w:lang w:val="en-US"/>
        </w:rPr>
        <w:t xml:space="preserve">Br J Gen Pract. </w:t>
      </w:r>
      <w:r>
        <w:rPr>
          <w:rFonts w:ascii="Times New Roman" w:hAnsi="Times New Roman" w:cs="Times New Roman"/>
          <w:sz w:val="28"/>
          <w:szCs w:val="28"/>
        </w:rPr>
        <w:t xml:space="preserve">– </w:t>
      </w:r>
      <w:r w:rsidRPr="003955DA">
        <w:rPr>
          <w:rFonts w:ascii="Times New Roman" w:hAnsi="Times New Roman" w:cs="Times New Roman"/>
          <w:sz w:val="28"/>
          <w:szCs w:val="28"/>
          <w:lang w:val="en-US"/>
        </w:rPr>
        <w:t>2014</w:t>
      </w:r>
      <w:r>
        <w:rPr>
          <w:rFonts w:ascii="Times New Roman" w:hAnsi="Times New Roman" w:cs="Times New Roman"/>
          <w:sz w:val="28"/>
          <w:szCs w:val="28"/>
        </w:rPr>
        <w:t>. - №</w:t>
      </w:r>
      <w:r w:rsidRPr="003955DA">
        <w:rPr>
          <w:rFonts w:ascii="Times New Roman" w:hAnsi="Times New Roman" w:cs="Times New Roman"/>
          <w:sz w:val="28"/>
          <w:szCs w:val="28"/>
          <w:lang w:val="en-US"/>
        </w:rPr>
        <w:t>64(627)</w:t>
      </w:r>
      <w:r>
        <w:rPr>
          <w:rFonts w:ascii="Times New Roman" w:hAnsi="Times New Roman" w:cs="Times New Roman"/>
          <w:sz w:val="28"/>
          <w:szCs w:val="28"/>
        </w:rPr>
        <w:t>. – Р.</w:t>
      </w:r>
      <w:r w:rsidRPr="003955DA">
        <w:rPr>
          <w:rFonts w:ascii="Times New Roman" w:hAnsi="Times New Roman" w:cs="Times New Roman"/>
          <w:sz w:val="28"/>
          <w:szCs w:val="28"/>
          <w:lang w:val="en-US"/>
        </w:rPr>
        <w:t>616–26. </w:t>
      </w:r>
    </w:p>
    <w:p w14:paraId="04A6D48A" w14:textId="77777777" w:rsidR="00102D9D" w:rsidRPr="00FC01F7"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sz w:val="28"/>
          <w:szCs w:val="28"/>
          <w:lang w:val="en-US"/>
        </w:rPr>
        <w:t>Pedersen K</w:t>
      </w:r>
      <w:r w:rsidRPr="00FC01F7">
        <w:rPr>
          <w:rFonts w:ascii="Times New Roman" w:hAnsi="Times New Roman" w:cs="Times New Roman"/>
          <w:sz w:val="28"/>
          <w:szCs w:val="28"/>
          <w:lang w:val="en-US"/>
        </w:rPr>
        <w:t>.</w:t>
      </w:r>
      <w:r w:rsidRPr="00FA5792">
        <w:rPr>
          <w:rFonts w:ascii="Times New Roman" w:hAnsi="Times New Roman" w:cs="Times New Roman"/>
          <w:sz w:val="28"/>
          <w:szCs w:val="28"/>
          <w:lang w:val="en-US"/>
        </w:rPr>
        <w:t>M</w:t>
      </w:r>
      <w:r w:rsidRPr="00FC01F7">
        <w:rPr>
          <w:rFonts w:ascii="Times New Roman" w:hAnsi="Times New Roman" w:cs="Times New Roman"/>
          <w:sz w:val="28"/>
          <w:szCs w:val="28"/>
          <w:lang w:val="en-US"/>
        </w:rPr>
        <w:t>.</w:t>
      </w:r>
      <w:r w:rsidRPr="00FA5792">
        <w:rPr>
          <w:rFonts w:ascii="Times New Roman" w:hAnsi="Times New Roman" w:cs="Times New Roman"/>
          <w:sz w:val="28"/>
          <w:szCs w:val="28"/>
          <w:lang w:val="en-US"/>
        </w:rPr>
        <w:t>, Andersen J</w:t>
      </w:r>
      <w:r w:rsidRPr="00FC01F7">
        <w:rPr>
          <w:rFonts w:ascii="Times New Roman" w:hAnsi="Times New Roman" w:cs="Times New Roman"/>
          <w:sz w:val="28"/>
          <w:szCs w:val="28"/>
          <w:lang w:val="en-US"/>
        </w:rPr>
        <w:t>.</w:t>
      </w:r>
      <w:r w:rsidRPr="00FA5792">
        <w:rPr>
          <w:rFonts w:ascii="Times New Roman" w:hAnsi="Times New Roman" w:cs="Times New Roman"/>
          <w:sz w:val="28"/>
          <w:szCs w:val="28"/>
          <w:lang w:val="en-US"/>
        </w:rPr>
        <w:t>S</w:t>
      </w:r>
      <w:r w:rsidRPr="00FC01F7">
        <w:rPr>
          <w:rFonts w:ascii="Times New Roman" w:hAnsi="Times New Roman" w:cs="Times New Roman"/>
          <w:sz w:val="28"/>
          <w:szCs w:val="28"/>
          <w:lang w:val="en-US"/>
        </w:rPr>
        <w:t>.</w:t>
      </w:r>
      <w:r w:rsidRPr="00FA5792">
        <w:rPr>
          <w:rFonts w:ascii="Times New Roman" w:hAnsi="Times New Roman" w:cs="Times New Roman"/>
          <w:sz w:val="28"/>
          <w:szCs w:val="28"/>
          <w:lang w:val="en-US"/>
        </w:rPr>
        <w:t>, Søndergaard J. General practice and primary health Care in Denmark</w:t>
      </w:r>
      <w:r w:rsidRPr="00FC01F7">
        <w:rPr>
          <w:rFonts w:ascii="Times New Roman" w:hAnsi="Times New Roman" w:cs="Times New Roman"/>
          <w:sz w:val="28"/>
          <w:szCs w:val="28"/>
          <w:lang w:val="en-US"/>
        </w:rPr>
        <w:t xml:space="preserve"> //</w:t>
      </w:r>
      <w:r w:rsidRPr="00FA5792">
        <w:rPr>
          <w:rFonts w:ascii="Times New Roman" w:hAnsi="Times New Roman" w:cs="Times New Roman"/>
          <w:sz w:val="28"/>
          <w:szCs w:val="28"/>
          <w:lang w:val="en-US"/>
        </w:rPr>
        <w:t xml:space="preserve"> </w:t>
      </w:r>
      <w:r w:rsidRPr="00FC01F7">
        <w:rPr>
          <w:rFonts w:ascii="Times New Roman" w:hAnsi="Times New Roman" w:cs="Times New Roman"/>
          <w:sz w:val="28"/>
          <w:szCs w:val="28"/>
          <w:lang w:val="en-US"/>
        </w:rPr>
        <w:t>J Am Board Fam Med. -2012. - №25 (Suppl 1). – S. 34–8.</w:t>
      </w:r>
    </w:p>
    <w:p w14:paraId="0F3471FA" w14:textId="77777777" w:rsidR="00102D9D" w:rsidRPr="00FC01F7"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sz w:val="28"/>
          <w:szCs w:val="28"/>
          <w:lang w:val="en-US"/>
        </w:rPr>
        <w:t>Pedersen K</w:t>
      </w:r>
      <w:r w:rsidRPr="00FC01F7">
        <w:rPr>
          <w:rFonts w:ascii="Times New Roman" w:hAnsi="Times New Roman" w:cs="Times New Roman"/>
          <w:sz w:val="28"/>
          <w:szCs w:val="28"/>
          <w:lang w:val="en-US"/>
        </w:rPr>
        <w:t>.</w:t>
      </w:r>
      <w:r w:rsidRPr="00FA5792">
        <w:rPr>
          <w:rFonts w:ascii="Times New Roman" w:hAnsi="Times New Roman" w:cs="Times New Roman"/>
          <w:sz w:val="28"/>
          <w:szCs w:val="28"/>
          <w:lang w:val="en-US"/>
        </w:rPr>
        <w:t>M</w:t>
      </w:r>
      <w:r w:rsidRPr="00FC01F7">
        <w:rPr>
          <w:rFonts w:ascii="Times New Roman" w:hAnsi="Times New Roman" w:cs="Times New Roman"/>
          <w:sz w:val="28"/>
          <w:szCs w:val="28"/>
          <w:lang w:val="en-US"/>
        </w:rPr>
        <w:t>.</w:t>
      </w:r>
      <w:r w:rsidRPr="00FA5792">
        <w:rPr>
          <w:rFonts w:ascii="Times New Roman" w:hAnsi="Times New Roman" w:cs="Times New Roman"/>
          <w:sz w:val="28"/>
          <w:szCs w:val="28"/>
          <w:lang w:val="en-US"/>
        </w:rPr>
        <w:t xml:space="preserve">, Søndergaard J. Det samarbejdende hospital: Almen praksis og kommuner. </w:t>
      </w:r>
      <w:r w:rsidRPr="00FC01F7">
        <w:rPr>
          <w:rFonts w:ascii="Times New Roman" w:hAnsi="Times New Roman" w:cs="Times New Roman"/>
          <w:sz w:val="28"/>
          <w:szCs w:val="28"/>
          <w:lang w:val="en-US"/>
        </w:rPr>
        <w:t>In: Fremtidens Hospital. København: Munksgaard - 2014. -</w:t>
      </w:r>
      <w:r>
        <w:rPr>
          <w:rFonts w:ascii="Times New Roman" w:hAnsi="Times New Roman" w:cs="Times New Roman"/>
          <w:sz w:val="28"/>
          <w:szCs w:val="28"/>
        </w:rPr>
        <w:t>Р</w:t>
      </w:r>
      <w:r w:rsidRPr="00FC01F7">
        <w:rPr>
          <w:rFonts w:ascii="Times New Roman" w:hAnsi="Times New Roman" w:cs="Times New Roman"/>
          <w:sz w:val="28"/>
          <w:szCs w:val="28"/>
          <w:lang w:val="en-US"/>
        </w:rPr>
        <w:t>. 115–26.</w:t>
      </w:r>
    </w:p>
    <w:p w14:paraId="6A052E01"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kk-KZ"/>
        </w:rPr>
      </w:pPr>
      <w:r w:rsidRPr="00FA5792">
        <w:rPr>
          <w:rFonts w:ascii="Times New Roman" w:hAnsi="Times New Roman" w:cs="Times New Roman"/>
          <w:sz w:val="28"/>
          <w:szCs w:val="28"/>
          <w:lang w:val="en-US"/>
        </w:rPr>
        <w:t>Sørensen J</w:t>
      </w:r>
      <w:r w:rsidRPr="00FC01F7">
        <w:rPr>
          <w:rFonts w:ascii="Times New Roman" w:hAnsi="Times New Roman" w:cs="Times New Roman"/>
          <w:sz w:val="28"/>
          <w:szCs w:val="28"/>
          <w:lang w:val="en-US"/>
        </w:rPr>
        <w:t>.</w:t>
      </w:r>
      <w:r w:rsidRPr="00FA5792">
        <w:rPr>
          <w:rFonts w:ascii="Times New Roman" w:hAnsi="Times New Roman" w:cs="Times New Roman"/>
          <w:sz w:val="28"/>
          <w:szCs w:val="28"/>
          <w:lang w:val="en-US"/>
        </w:rPr>
        <w:t>, Sørensen J</w:t>
      </w:r>
      <w:r w:rsidRPr="00FC01F7">
        <w:rPr>
          <w:rFonts w:ascii="Times New Roman" w:hAnsi="Times New Roman" w:cs="Times New Roman"/>
          <w:sz w:val="28"/>
          <w:szCs w:val="28"/>
          <w:lang w:val="en-US"/>
        </w:rPr>
        <w:t>.</w:t>
      </w:r>
      <w:r w:rsidRPr="00FA5792">
        <w:rPr>
          <w:rFonts w:ascii="Times New Roman" w:hAnsi="Times New Roman" w:cs="Times New Roman"/>
          <w:sz w:val="28"/>
          <w:szCs w:val="28"/>
          <w:lang w:val="en-US"/>
        </w:rPr>
        <w:t>B</w:t>
      </w:r>
      <w:r w:rsidRPr="00FC01F7">
        <w:rPr>
          <w:rFonts w:ascii="Times New Roman" w:hAnsi="Times New Roman" w:cs="Times New Roman"/>
          <w:sz w:val="28"/>
          <w:szCs w:val="28"/>
          <w:lang w:val="en-US"/>
        </w:rPr>
        <w:t>.</w:t>
      </w:r>
      <w:r w:rsidRPr="00FA5792">
        <w:rPr>
          <w:rFonts w:ascii="Times New Roman" w:hAnsi="Times New Roman" w:cs="Times New Roman"/>
          <w:sz w:val="28"/>
          <w:szCs w:val="28"/>
          <w:lang w:val="en-US"/>
        </w:rPr>
        <w:t>, Skovgaard T</w:t>
      </w:r>
      <w:r w:rsidRPr="00FC01F7">
        <w:rPr>
          <w:rFonts w:ascii="Times New Roman" w:hAnsi="Times New Roman" w:cs="Times New Roman"/>
          <w:sz w:val="28"/>
          <w:szCs w:val="28"/>
          <w:lang w:val="en-US"/>
        </w:rPr>
        <w:t>.</w:t>
      </w:r>
      <w:r w:rsidRPr="00FA5792">
        <w:rPr>
          <w:rFonts w:ascii="Times New Roman" w:hAnsi="Times New Roman" w:cs="Times New Roman"/>
          <w:sz w:val="28"/>
          <w:szCs w:val="28"/>
          <w:lang w:val="en-US"/>
        </w:rPr>
        <w:t>, Bredahl T</w:t>
      </w:r>
      <w:r w:rsidRPr="00FC01F7">
        <w:rPr>
          <w:rFonts w:ascii="Times New Roman" w:hAnsi="Times New Roman" w:cs="Times New Roman"/>
          <w:sz w:val="28"/>
          <w:szCs w:val="28"/>
          <w:lang w:val="en-US"/>
        </w:rPr>
        <w:t>.</w:t>
      </w:r>
      <w:r w:rsidRPr="00FA5792">
        <w:rPr>
          <w:rFonts w:ascii="Times New Roman" w:hAnsi="Times New Roman" w:cs="Times New Roman"/>
          <w:sz w:val="28"/>
          <w:szCs w:val="28"/>
          <w:lang w:val="en-US"/>
        </w:rPr>
        <w:t>, Puggaard L. Exercise on prescription: changes in physical activity and health-related quality of life in five Danish programmes</w:t>
      </w:r>
      <w:r w:rsidRPr="00FC01F7">
        <w:rPr>
          <w:rFonts w:ascii="Times New Roman" w:hAnsi="Times New Roman" w:cs="Times New Roman"/>
          <w:sz w:val="28"/>
          <w:szCs w:val="28"/>
          <w:lang w:val="en-US"/>
        </w:rPr>
        <w:t xml:space="preserve"> //</w:t>
      </w:r>
      <w:r w:rsidRPr="00FA5792">
        <w:rPr>
          <w:rFonts w:ascii="Times New Roman" w:hAnsi="Times New Roman" w:cs="Times New Roman"/>
          <w:sz w:val="28"/>
          <w:szCs w:val="28"/>
          <w:lang w:val="en-US"/>
        </w:rPr>
        <w:t xml:space="preserve"> </w:t>
      </w:r>
      <w:r w:rsidRPr="00FC01F7">
        <w:rPr>
          <w:rFonts w:ascii="Times New Roman" w:hAnsi="Times New Roman" w:cs="Times New Roman"/>
          <w:sz w:val="28"/>
          <w:szCs w:val="28"/>
          <w:lang w:val="en-US"/>
        </w:rPr>
        <w:t xml:space="preserve">Eur J Public Health. – 2011. - №21. – </w:t>
      </w:r>
      <w:r>
        <w:rPr>
          <w:rFonts w:ascii="Times New Roman" w:hAnsi="Times New Roman" w:cs="Times New Roman"/>
          <w:sz w:val="28"/>
          <w:szCs w:val="28"/>
        </w:rPr>
        <w:t>Р</w:t>
      </w:r>
      <w:r w:rsidRPr="00FC01F7">
        <w:rPr>
          <w:rFonts w:ascii="Times New Roman" w:hAnsi="Times New Roman" w:cs="Times New Roman"/>
          <w:sz w:val="28"/>
          <w:szCs w:val="28"/>
          <w:lang w:val="en-US"/>
        </w:rPr>
        <w:t xml:space="preserve">.56–62. </w:t>
      </w:r>
    </w:p>
    <w:p w14:paraId="63C2C051"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kk-KZ"/>
        </w:rPr>
      </w:pPr>
      <w:r w:rsidRPr="00FA5792">
        <w:rPr>
          <w:rFonts w:ascii="Times New Roman" w:hAnsi="Times New Roman" w:cs="Times New Roman"/>
          <w:sz w:val="28"/>
          <w:szCs w:val="28"/>
          <w:lang w:val="en-US"/>
        </w:rPr>
        <w:t xml:space="preserve"> The Danish Healthy Cities Network strategy 2017–2020. Copenhagen: Danish Healthy Cities Network</w:t>
      </w:r>
      <w:r w:rsidRPr="00FC01F7">
        <w:rPr>
          <w:rFonts w:ascii="Times New Roman" w:hAnsi="Times New Roman" w:cs="Times New Roman"/>
          <w:sz w:val="28"/>
          <w:szCs w:val="28"/>
          <w:lang w:val="en-US"/>
        </w:rPr>
        <w:t>,</w:t>
      </w:r>
      <w:r w:rsidRPr="00FA5792">
        <w:rPr>
          <w:rFonts w:ascii="Times New Roman" w:hAnsi="Times New Roman" w:cs="Times New Roman"/>
          <w:sz w:val="28"/>
          <w:szCs w:val="28"/>
          <w:lang w:val="en-US"/>
        </w:rPr>
        <w:t xml:space="preserve"> 2017</w:t>
      </w:r>
      <w:r w:rsidRPr="00FC01F7">
        <w:rPr>
          <w:rFonts w:ascii="Times New Roman" w:hAnsi="Times New Roman" w:cs="Times New Roman"/>
          <w:sz w:val="28"/>
          <w:szCs w:val="28"/>
          <w:lang w:val="en-US"/>
        </w:rPr>
        <w:t xml:space="preserve">. </w:t>
      </w:r>
      <w:r w:rsidRPr="00FA5792">
        <w:rPr>
          <w:rFonts w:ascii="Times New Roman" w:hAnsi="Times New Roman" w:cs="Times New Roman"/>
          <w:sz w:val="28"/>
          <w:szCs w:val="28"/>
          <w:lang w:val="en-US"/>
        </w:rPr>
        <w:t>http://sund-by-net.dk/wp-content/uploads/2015/10/SBNStrategi-2017-2020.engelsk.pdf</w:t>
      </w:r>
      <w:r w:rsidRPr="00FC01F7">
        <w:rPr>
          <w:rFonts w:ascii="Times New Roman" w:hAnsi="Times New Roman" w:cs="Times New Roman"/>
          <w:sz w:val="28"/>
          <w:szCs w:val="28"/>
          <w:lang w:val="en-US"/>
        </w:rPr>
        <w:t>.</w:t>
      </w:r>
    </w:p>
    <w:p w14:paraId="4158C91B"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kk-KZ"/>
        </w:rPr>
      </w:pPr>
      <w:r w:rsidRPr="00FA5792">
        <w:rPr>
          <w:rFonts w:ascii="Times New Roman" w:hAnsi="Times New Roman" w:cs="Times New Roman"/>
          <w:sz w:val="28"/>
          <w:szCs w:val="28"/>
          <w:lang w:val="en-US"/>
        </w:rPr>
        <w:t>Amsterdam Healthy Weight Programme. Amsterdam: City of Amsterdam</w:t>
      </w:r>
      <w:r w:rsidRPr="00FC01F7">
        <w:rPr>
          <w:rFonts w:ascii="Times New Roman" w:hAnsi="Times New Roman" w:cs="Times New Roman"/>
          <w:sz w:val="28"/>
          <w:szCs w:val="28"/>
          <w:lang w:val="en-US"/>
        </w:rPr>
        <w:t xml:space="preserve">, </w:t>
      </w:r>
      <w:r w:rsidRPr="00FA5792">
        <w:rPr>
          <w:rFonts w:ascii="Times New Roman" w:hAnsi="Times New Roman" w:cs="Times New Roman"/>
          <w:sz w:val="28"/>
          <w:szCs w:val="28"/>
          <w:lang w:val="en-US"/>
        </w:rPr>
        <w:t>2018</w:t>
      </w:r>
      <w:r w:rsidRPr="00C86AF6">
        <w:rPr>
          <w:rFonts w:ascii="Times New Roman" w:hAnsi="Times New Roman" w:cs="Times New Roman"/>
          <w:sz w:val="28"/>
          <w:szCs w:val="28"/>
          <w:lang w:val="en-US"/>
        </w:rPr>
        <w:t>.</w:t>
      </w:r>
      <w:r w:rsidRPr="00FA5792">
        <w:rPr>
          <w:rFonts w:ascii="Times New Roman" w:hAnsi="Times New Roman" w:cs="Times New Roman"/>
          <w:sz w:val="28"/>
          <w:szCs w:val="28"/>
          <w:lang w:val="en-US"/>
        </w:rPr>
        <w:t xml:space="preserve"> </w:t>
      </w:r>
      <w:hyperlink r:id="rId192" w:history="1">
        <w:r w:rsidRPr="00FC01F7">
          <w:rPr>
            <w:rStyle w:val="ab"/>
            <w:rFonts w:ascii="Times New Roman" w:hAnsi="Times New Roman" w:cs="Times New Roman"/>
            <w:color w:val="auto"/>
            <w:sz w:val="28"/>
            <w:szCs w:val="28"/>
            <w:u w:val="none"/>
            <w:lang w:val="en-US"/>
          </w:rPr>
          <w:t>https://www.amsterdam.nl/bestuur-organisatie/organisatie</w:t>
        </w:r>
      </w:hyperlink>
      <w:r w:rsidRPr="00FC01F7">
        <w:rPr>
          <w:rFonts w:ascii="Times New Roman" w:hAnsi="Times New Roman" w:cs="Times New Roman"/>
          <w:sz w:val="28"/>
          <w:szCs w:val="28"/>
          <w:lang w:val="en-US"/>
        </w:rPr>
        <w:t xml:space="preserve"> </w:t>
      </w:r>
      <w:r w:rsidRPr="00FA5792">
        <w:rPr>
          <w:rFonts w:ascii="Times New Roman" w:hAnsi="Times New Roman" w:cs="Times New Roman"/>
          <w:sz w:val="28"/>
          <w:szCs w:val="28"/>
          <w:lang w:val="en-US"/>
        </w:rPr>
        <w:t>/sociaal/onderwijs-jeugd-zorg/zo-blijven-wij/amsterdam-healthy</w:t>
      </w:r>
      <w:r w:rsidRPr="00FC01F7">
        <w:rPr>
          <w:rFonts w:ascii="Times New Roman" w:hAnsi="Times New Roman" w:cs="Times New Roman"/>
          <w:sz w:val="28"/>
          <w:szCs w:val="28"/>
          <w:lang w:val="en-US"/>
        </w:rPr>
        <w:t>.</w:t>
      </w:r>
    </w:p>
    <w:p w14:paraId="0627D6F2" w14:textId="77777777" w:rsidR="00102D9D" w:rsidRPr="00FA5792" w:rsidRDefault="00102D9D" w:rsidP="00102D9D">
      <w:pPr>
        <w:numPr>
          <w:ilvl w:val="0"/>
          <w:numId w:val="75"/>
        </w:numPr>
        <w:tabs>
          <w:tab w:val="left" w:pos="426"/>
          <w:tab w:val="left" w:pos="709"/>
        </w:tabs>
        <w:spacing w:after="0" w:line="240" w:lineRule="auto"/>
        <w:ind w:left="0" w:right="-2" w:firstLine="709"/>
        <w:jc w:val="both"/>
        <w:rPr>
          <w:rFonts w:ascii="Times New Roman" w:hAnsi="Times New Roman" w:cs="Times New Roman"/>
          <w:sz w:val="28"/>
          <w:szCs w:val="28"/>
        </w:rPr>
      </w:pPr>
      <w:r w:rsidRPr="00FA5792">
        <w:rPr>
          <w:rFonts w:ascii="Times New Roman" w:hAnsi="Times New Roman" w:cs="Times New Roman"/>
          <w:sz w:val="28"/>
          <w:szCs w:val="28"/>
          <w:lang w:val="en-US"/>
        </w:rPr>
        <w:t xml:space="preserve">WHO Regional Office for Europe 2018. UN City, Marmorvej 51 DK-2100 Copenhagen O, Denmark. </w:t>
      </w:r>
      <w:r w:rsidRPr="00FA5792">
        <w:rPr>
          <w:rFonts w:ascii="Times New Roman" w:hAnsi="Times New Roman" w:cs="Times New Roman"/>
          <w:sz w:val="28"/>
          <w:szCs w:val="28"/>
        </w:rPr>
        <w:t>Обеспечение сотрудничества между услугами первичной медико-санитарной помощи и общественного здравоохранения.</w:t>
      </w:r>
    </w:p>
    <w:p w14:paraId="416DB5FD"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kk-KZ"/>
        </w:rPr>
      </w:pPr>
      <w:r w:rsidRPr="00FA5792">
        <w:rPr>
          <w:rFonts w:ascii="Times New Roman" w:hAnsi="Times New Roman" w:cs="Times New Roman"/>
          <w:sz w:val="28"/>
          <w:szCs w:val="28"/>
          <w:lang w:val="en-US"/>
        </w:rPr>
        <w:t>Kite J</w:t>
      </w:r>
      <w:r w:rsidRPr="00FC01F7">
        <w:rPr>
          <w:rFonts w:ascii="Times New Roman" w:hAnsi="Times New Roman" w:cs="Times New Roman"/>
          <w:sz w:val="28"/>
          <w:szCs w:val="28"/>
          <w:lang w:val="en-US"/>
        </w:rPr>
        <w:t>.</w:t>
      </w:r>
      <w:r w:rsidRPr="00FA5792">
        <w:rPr>
          <w:rFonts w:ascii="Times New Roman" w:hAnsi="Times New Roman" w:cs="Times New Roman"/>
          <w:sz w:val="28"/>
          <w:szCs w:val="28"/>
          <w:lang w:val="en-US"/>
        </w:rPr>
        <w:t>, Hector D</w:t>
      </w:r>
      <w:r w:rsidRPr="00FC01F7">
        <w:rPr>
          <w:rFonts w:ascii="Times New Roman" w:hAnsi="Times New Roman" w:cs="Times New Roman"/>
          <w:sz w:val="28"/>
          <w:szCs w:val="28"/>
          <w:lang w:val="en-US"/>
        </w:rPr>
        <w:t>.</w:t>
      </w:r>
      <w:r w:rsidRPr="00FA5792">
        <w:rPr>
          <w:rFonts w:ascii="Times New Roman" w:hAnsi="Times New Roman" w:cs="Times New Roman"/>
          <w:sz w:val="28"/>
          <w:szCs w:val="28"/>
          <w:lang w:val="en-US"/>
        </w:rPr>
        <w:t>, St George A</w:t>
      </w:r>
      <w:r w:rsidRPr="00FC01F7">
        <w:rPr>
          <w:rFonts w:ascii="Times New Roman" w:hAnsi="Times New Roman" w:cs="Times New Roman"/>
          <w:sz w:val="28"/>
          <w:szCs w:val="28"/>
          <w:lang w:val="en-US"/>
        </w:rPr>
        <w:t>.</w:t>
      </w:r>
      <w:r w:rsidRPr="00FA5792">
        <w:rPr>
          <w:rFonts w:ascii="Times New Roman" w:hAnsi="Times New Roman" w:cs="Times New Roman"/>
          <w:sz w:val="28"/>
          <w:szCs w:val="28"/>
          <w:lang w:val="en-US"/>
        </w:rPr>
        <w:t>, Pedisic Z</w:t>
      </w:r>
      <w:r w:rsidRPr="00FC01F7">
        <w:rPr>
          <w:rFonts w:ascii="Times New Roman" w:hAnsi="Times New Roman" w:cs="Times New Roman"/>
          <w:sz w:val="28"/>
          <w:szCs w:val="28"/>
          <w:lang w:val="en-US"/>
        </w:rPr>
        <w:t>.</w:t>
      </w:r>
      <w:r w:rsidRPr="00FA5792">
        <w:rPr>
          <w:rFonts w:ascii="Times New Roman" w:hAnsi="Times New Roman" w:cs="Times New Roman"/>
          <w:sz w:val="28"/>
          <w:szCs w:val="28"/>
          <w:lang w:val="en-US"/>
        </w:rPr>
        <w:t>, Phongsavan P</w:t>
      </w:r>
      <w:r w:rsidRPr="00FC01F7">
        <w:rPr>
          <w:rFonts w:ascii="Times New Roman" w:hAnsi="Times New Roman" w:cs="Times New Roman"/>
          <w:sz w:val="28"/>
          <w:szCs w:val="28"/>
          <w:lang w:val="en-US"/>
        </w:rPr>
        <w:t>.</w:t>
      </w:r>
      <w:r w:rsidRPr="00FA5792">
        <w:rPr>
          <w:rFonts w:ascii="Times New Roman" w:hAnsi="Times New Roman" w:cs="Times New Roman"/>
          <w:sz w:val="28"/>
          <w:szCs w:val="28"/>
          <w:lang w:val="en-US"/>
        </w:rPr>
        <w:t>, Bauman A</w:t>
      </w:r>
      <w:r w:rsidRPr="00FC01F7">
        <w:rPr>
          <w:rFonts w:ascii="Times New Roman" w:hAnsi="Times New Roman" w:cs="Times New Roman"/>
          <w:sz w:val="28"/>
          <w:szCs w:val="28"/>
          <w:lang w:val="en-US"/>
        </w:rPr>
        <w:t>.</w:t>
      </w:r>
      <w:r w:rsidRPr="00FA5792">
        <w:rPr>
          <w:rFonts w:ascii="Times New Roman" w:hAnsi="Times New Roman" w:cs="Times New Roman"/>
          <w:sz w:val="28"/>
          <w:szCs w:val="28"/>
          <w:lang w:val="en-US"/>
        </w:rPr>
        <w:t>, Mitchell J</w:t>
      </w:r>
      <w:r w:rsidRPr="00FC01F7">
        <w:rPr>
          <w:rFonts w:ascii="Times New Roman" w:hAnsi="Times New Roman" w:cs="Times New Roman"/>
          <w:sz w:val="28"/>
          <w:szCs w:val="28"/>
          <w:lang w:val="en-US"/>
        </w:rPr>
        <w:t>.</w:t>
      </w:r>
      <w:r w:rsidRPr="00FA5792">
        <w:rPr>
          <w:rFonts w:ascii="Times New Roman" w:hAnsi="Times New Roman" w:cs="Times New Roman"/>
          <w:sz w:val="28"/>
          <w:szCs w:val="28"/>
          <w:lang w:val="en-US"/>
        </w:rPr>
        <w:t>, Bellew B. Comprehensive sector-wide strategies to prevent and control obesity: what are the potential health and broader societal benefits? A case study from Australia. Public Health Research &amp; Practice September</w:t>
      </w:r>
      <w:r w:rsidRPr="00FC01F7">
        <w:rPr>
          <w:rFonts w:ascii="Times New Roman" w:hAnsi="Times New Roman" w:cs="Times New Roman"/>
          <w:sz w:val="28"/>
          <w:szCs w:val="28"/>
          <w:lang w:val="en-US"/>
        </w:rPr>
        <w:t>. -</w:t>
      </w:r>
      <w:r w:rsidRPr="00FA5792">
        <w:rPr>
          <w:rFonts w:ascii="Times New Roman" w:hAnsi="Times New Roman" w:cs="Times New Roman"/>
          <w:sz w:val="28"/>
          <w:szCs w:val="28"/>
          <w:lang w:val="en-US"/>
        </w:rPr>
        <w:t xml:space="preserve"> 2015</w:t>
      </w:r>
      <w:r w:rsidRPr="00FC01F7">
        <w:rPr>
          <w:rFonts w:ascii="Times New Roman" w:hAnsi="Times New Roman" w:cs="Times New Roman"/>
          <w:sz w:val="28"/>
          <w:szCs w:val="28"/>
          <w:lang w:val="en-US"/>
        </w:rPr>
        <w:t>. -</w:t>
      </w:r>
      <w:r w:rsidRPr="00FA5792">
        <w:rPr>
          <w:rFonts w:ascii="Times New Roman" w:hAnsi="Times New Roman" w:cs="Times New Roman"/>
          <w:sz w:val="28"/>
          <w:szCs w:val="28"/>
          <w:lang w:val="en-US"/>
        </w:rPr>
        <w:t xml:space="preserve"> Vol. 25(4)</w:t>
      </w:r>
      <w:r w:rsidRPr="00FC01F7">
        <w:rPr>
          <w:rFonts w:ascii="Times New Roman" w:hAnsi="Times New Roman" w:cs="Times New Roman"/>
          <w:sz w:val="28"/>
          <w:szCs w:val="28"/>
          <w:lang w:val="en-US"/>
        </w:rPr>
        <w:t xml:space="preserve">. </w:t>
      </w:r>
      <w:r w:rsidRPr="00FA5792">
        <w:rPr>
          <w:rFonts w:ascii="Times New Roman" w:hAnsi="Times New Roman" w:cs="Times New Roman"/>
          <w:sz w:val="28"/>
          <w:szCs w:val="28"/>
          <w:lang w:val="en-US"/>
        </w:rPr>
        <w:t xml:space="preserve">doi: </w:t>
      </w:r>
      <w:hyperlink r:id="rId193" w:history="1">
        <w:r w:rsidRPr="00FA5792">
          <w:rPr>
            <w:rStyle w:val="ab"/>
            <w:rFonts w:ascii="Times New Roman" w:hAnsi="Times New Roman" w:cs="Times New Roman"/>
            <w:color w:val="auto"/>
            <w:sz w:val="28"/>
            <w:szCs w:val="28"/>
            <w:u w:val="none"/>
            <w:lang w:val="en-US"/>
          </w:rPr>
          <w:t>http://dx.doi.org/10.17061/phrp2541545</w:t>
        </w:r>
      </w:hyperlink>
      <w:r w:rsidRPr="00FC01F7">
        <w:rPr>
          <w:rStyle w:val="ab"/>
          <w:rFonts w:ascii="Times New Roman" w:hAnsi="Times New Roman" w:cs="Times New Roman"/>
          <w:color w:val="auto"/>
          <w:sz w:val="28"/>
          <w:szCs w:val="28"/>
          <w:u w:val="none"/>
          <w:lang w:val="en-US"/>
        </w:rPr>
        <w:t>.</w:t>
      </w:r>
    </w:p>
    <w:p w14:paraId="28EB8DF8" w14:textId="77777777" w:rsidR="00102D9D" w:rsidRPr="00FA5792" w:rsidRDefault="00102D9D" w:rsidP="00102D9D">
      <w:pPr>
        <w:pStyle w:val="a3"/>
        <w:numPr>
          <w:ilvl w:val="0"/>
          <w:numId w:val="75"/>
        </w:numPr>
        <w:shd w:val="clear" w:color="auto" w:fill="FFFFFF"/>
        <w:tabs>
          <w:tab w:val="left" w:pos="426"/>
        </w:tabs>
        <w:spacing w:after="0" w:line="240" w:lineRule="auto"/>
        <w:ind w:left="0" w:firstLine="709"/>
        <w:jc w:val="both"/>
        <w:rPr>
          <w:rFonts w:ascii="Times New Roman" w:eastAsiaTheme="minorHAnsi" w:hAnsi="Times New Roman" w:cs="Times New Roman"/>
          <w:sz w:val="28"/>
          <w:szCs w:val="28"/>
          <w:lang w:val="en-US" w:eastAsia="en-US"/>
        </w:rPr>
      </w:pPr>
      <w:r w:rsidRPr="00FA5792">
        <w:rPr>
          <w:rFonts w:ascii="Times New Roman" w:hAnsi="Times New Roman" w:cs="Times New Roman"/>
          <w:sz w:val="28"/>
          <w:szCs w:val="28"/>
          <w:shd w:val="clear" w:color="auto" w:fill="FFFFFF"/>
        </w:rPr>
        <w:t>World Obesity Federation, WOF. 2020</w:t>
      </w:r>
      <w:r>
        <w:rPr>
          <w:rFonts w:ascii="Times New Roman" w:hAnsi="Times New Roman" w:cs="Times New Roman"/>
          <w:sz w:val="28"/>
          <w:szCs w:val="28"/>
          <w:shd w:val="clear" w:color="auto" w:fill="FFFFFF"/>
        </w:rPr>
        <w:t>.</w:t>
      </w:r>
    </w:p>
    <w:p w14:paraId="6FB21B83" w14:textId="77777777" w:rsidR="00102D9D" w:rsidRPr="00FA5792" w:rsidRDefault="001B62DB" w:rsidP="00102D9D">
      <w:pPr>
        <w:pStyle w:val="a3"/>
        <w:numPr>
          <w:ilvl w:val="0"/>
          <w:numId w:val="75"/>
        </w:numPr>
        <w:shd w:val="clear" w:color="auto" w:fill="FFFFFF"/>
        <w:tabs>
          <w:tab w:val="left" w:pos="426"/>
        </w:tabs>
        <w:spacing w:after="0" w:line="240" w:lineRule="auto"/>
        <w:ind w:left="0" w:firstLine="709"/>
        <w:jc w:val="both"/>
        <w:rPr>
          <w:rStyle w:val="ab"/>
          <w:rFonts w:ascii="Times New Roman" w:eastAsiaTheme="minorHAnsi" w:hAnsi="Times New Roman" w:cs="Times New Roman"/>
          <w:color w:val="auto"/>
          <w:sz w:val="28"/>
          <w:szCs w:val="28"/>
          <w:u w:val="none"/>
          <w:lang w:val="en-US" w:eastAsia="en-US"/>
        </w:rPr>
      </w:pPr>
      <w:hyperlink r:id="rId194" w:history="1">
        <w:r w:rsidR="00102D9D" w:rsidRPr="00FA5792">
          <w:rPr>
            <w:rStyle w:val="ab"/>
            <w:rFonts w:ascii="Times New Roman" w:hAnsi="Times New Roman" w:cs="Times New Roman"/>
            <w:color w:val="auto"/>
            <w:sz w:val="28"/>
            <w:szCs w:val="28"/>
            <w:u w:val="none"/>
            <w:shd w:val="clear" w:color="auto" w:fill="FFFFFF"/>
            <w:lang w:val="en-US"/>
          </w:rPr>
          <w:t>https://forbes.kz/process/expertise/kak_ssha_eksportiruyut_ojirenie/</w:t>
        </w:r>
      </w:hyperlink>
    </w:p>
    <w:p w14:paraId="1ED6682E" w14:textId="77777777" w:rsidR="00102D9D" w:rsidRPr="00FA5792" w:rsidRDefault="00102D9D" w:rsidP="00102D9D">
      <w:pPr>
        <w:pStyle w:val="a3"/>
        <w:numPr>
          <w:ilvl w:val="0"/>
          <w:numId w:val="75"/>
        </w:numPr>
        <w:shd w:val="clear" w:color="auto" w:fill="FFFFFF"/>
        <w:tabs>
          <w:tab w:val="left" w:pos="426"/>
        </w:tabs>
        <w:spacing w:after="0" w:line="240" w:lineRule="auto"/>
        <w:ind w:left="0" w:firstLine="709"/>
        <w:jc w:val="both"/>
        <w:rPr>
          <w:rStyle w:val="aa"/>
          <w:rFonts w:ascii="Times New Roman" w:eastAsiaTheme="minorHAnsi" w:hAnsi="Times New Roman" w:cs="Times New Roman"/>
          <w:b w:val="0"/>
          <w:bCs w:val="0"/>
          <w:sz w:val="28"/>
          <w:szCs w:val="28"/>
          <w:lang w:eastAsia="en-US"/>
        </w:rPr>
      </w:pPr>
      <w:r w:rsidRPr="00FA5792">
        <w:rPr>
          <w:rStyle w:val="aa"/>
          <w:rFonts w:ascii="Times New Roman" w:eastAsiaTheme="minorHAnsi" w:hAnsi="Times New Roman" w:cs="Times New Roman"/>
          <w:b w:val="0"/>
          <w:sz w:val="28"/>
          <w:szCs w:val="28"/>
          <w:lang w:eastAsia="en-US"/>
        </w:rPr>
        <w:t xml:space="preserve">О сахарном диабете в Японии. </w:t>
      </w:r>
      <w:hyperlink r:id="rId195" w:history="1">
        <w:r w:rsidRPr="00FA5792">
          <w:rPr>
            <w:rStyle w:val="ab"/>
            <w:rFonts w:ascii="Times New Roman" w:eastAsiaTheme="minorHAnsi" w:hAnsi="Times New Roman" w:cs="Times New Roman"/>
            <w:color w:val="auto"/>
            <w:sz w:val="28"/>
            <w:szCs w:val="28"/>
            <w:u w:val="none"/>
            <w:lang w:val="en-US" w:eastAsia="en-US"/>
          </w:rPr>
          <w:t>https</w:t>
        </w:r>
        <w:r w:rsidRPr="00FA5792">
          <w:rPr>
            <w:rStyle w:val="ab"/>
            <w:rFonts w:ascii="Times New Roman" w:eastAsiaTheme="minorHAnsi" w:hAnsi="Times New Roman" w:cs="Times New Roman"/>
            <w:color w:val="auto"/>
            <w:sz w:val="28"/>
            <w:szCs w:val="28"/>
            <w:u w:val="none"/>
            <w:lang w:eastAsia="en-US"/>
          </w:rPr>
          <w:t>://</w:t>
        </w:r>
        <w:r w:rsidRPr="00FA5792">
          <w:rPr>
            <w:rStyle w:val="ab"/>
            <w:rFonts w:ascii="Times New Roman" w:eastAsiaTheme="minorHAnsi" w:hAnsi="Times New Roman" w:cs="Times New Roman"/>
            <w:color w:val="auto"/>
            <w:sz w:val="28"/>
            <w:szCs w:val="28"/>
            <w:u w:val="none"/>
            <w:lang w:val="en-US" w:eastAsia="en-US"/>
          </w:rPr>
          <w:t>akinakatana</w:t>
        </w:r>
        <w:r w:rsidRPr="00FA5792">
          <w:rPr>
            <w:rStyle w:val="ab"/>
            <w:rFonts w:ascii="Times New Roman" w:eastAsiaTheme="minorHAnsi" w:hAnsi="Times New Roman" w:cs="Times New Roman"/>
            <w:color w:val="auto"/>
            <w:sz w:val="28"/>
            <w:szCs w:val="28"/>
            <w:u w:val="none"/>
            <w:lang w:eastAsia="en-US"/>
          </w:rPr>
          <w:t>.</w:t>
        </w:r>
        <w:r w:rsidRPr="00FA5792">
          <w:rPr>
            <w:rStyle w:val="ab"/>
            <w:rFonts w:ascii="Times New Roman" w:eastAsiaTheme="minorHAnsi" w:hAnsi="Times New Roman" w:cs="Times New Roman"/>
            <w:color w:val="auto"/>
            <w:sz w:val="28"/>
            <w:szCs w:val="28"/>
            <w:u w:val="none"/>
            <w:lang w:val="en-US" w:eastAsia="en-US"/>
          </w:rPr>
          <w:t>livejournal</w:t>
        </w:r>
        <w:r w:rsidRPr="00FA5792">
          <w:rPr>
            <w:rStyle w:val="ab"/>
            <w:rFonts w:ascii="Times New Roman" w:eastAsiaTheme="minorHAnsi" w:hAnsi="Times New Roman" w:cs="Times New Roman"/>
            <w:color w:val="auto"/>
            <w:sz w:val="28"/>
            <w:szCs w:val="28"/>
            <w:u w:val="none"/>
            <w:lang w:eastAsia="en-US"/>
          </w:rPr>
          <w:t>.</w:t>
        </w:r>
        <w:r w:rsidRPr="00FA5792">
          <w:rPr>
            <w:rStyle w:val="ab"/>
            <w:rFonts w:ascii="Times New Roman" w:eastAsiaTheme="minorHAnsi" w:hAnsi="Times New Roman" w:cs="Times New Roman"/>
            <w:color w:val="auto"/>
            <w:sz w:val="28"/>
            <w:szCs w:val="28"/>
            <w:u w:val="none"/>
            <w:lang w:val="en-US" w:eastAsia="en-US"/>
          </w:rPr>
          <w:t>com</w:t>
        </w:r>
        <w:r w:rsidRPr="00FA5792">
          <w:rPr>
            <w:rStyle w:val="ab"/>
            <w:rFonts w:ascii="Times New Roman" w:eastAsiaTheme="minorHAnsi" w:hAnsi="Times New Roman" w:cs="Times New Roman"/>
            <w:color w:val="auto"/>
            <w:sz w:val="28"/>
            <w:szCs w:val="28"/>
            <w:u w:val="none"/>
            <w:lang w:eastAsia="en-US"/>
          </w:rPr>
          <w:t>/44602.</w:t>
        </w:r>
        <w:r w:rsidRPr="00FA5792">
          <w:rPr>
            <w:rStyle w:val="ab"/>
            <w:rFonts w:ascii="Times New Roman" w:eastAsiaTheme="minorHAnsi" w:hAnsi="Times New Roman" w:cs="Times New Roman"/>
            <w:color w:val="auto"/>
            <w:sz w:val="28"/>
            <w:szCs w:val="28"/>
            <w:u w:val="none"/>
            <w:lang w:val="en-US" w:eastAsia="en-US"/>
          </w:rPr>
          <w:t>html</w:t>
        </w:r>
      </w:hyperlink>
      <w:r>
        <w:rPr>
          <w:rStyle w:val="ab"/>
          <w:rFonts w:ascii="Times New Roman" w:eastAsiaTheme="minorHAnsi" w:hAnsi="Times New Roman" w:cs="Times New Roman"/>
          <w:color w:val="auto"/>
          <w:sz w:val="28"/>
          <w:szCs w:val="28"/>
          <w:u w:val="none"/>
          <w:lang w:eastAsia="en-US"/>
        </w:rPr>
        <w:t>.</w:t>
      </w:r>
      <w:r w:rsidRPr="00FA5792">
        <w:rPr>
          <w:rStyle w:val="aa"/>
          <w:rFonts w:ascii="Times New Roman" w:eastAsiaTheme="minorHAnsi" w:hAnsi="Times New Roman" w:cs="Times New Roman"/>
          <w:b w:val="0"/>
          <w:sz w:val="28"/>
          <w:szCs w:val="28"/>
          <w:lang w:eastAsia="en-US"/>
        </w:rPr>
        <w:t xml:space="preserve"> </w:t>
      </w:r>
    </w:p>
    <w:p w14:paraId="22675C4B" w14:textId="77777777" w:rsidR="00102D9D" w:rsidRPr="00FA5792" w:rsidRDefault="001B62DB" w:rsidP="00102D9D">
      <w:pPr>
        <w:pStyle w:val="a3"/>
        <w:numPr>
          <w:ilvl w:val="0"/>
          <w:numId w:val="75"/>
        </w:numPr>
        <w:shd w:val="clear" w:color="auto" w:fill="FFFFFF"/>
        <w:tabs>
          <w:tab w:val="left" w:pos="426"/>
        </w:tabs>
        <w:spacing w:after="0" w:line="240" w:lineRule="auto"/>
        <w:ind w:left="0" w:firstLine="709"/>
        <w:jc w:val="both"/>
        <w:rPr>
          <w:rFonts w:ascii="Times New Roman" w:eastAsiaTheme="minorHAnsi" w:hAnsi="Times New Roman" w:cs="Times New Roman"/>
          <w:sz w:val="28"/>
          <w:szCs w:val="28"/>
          <w:lang w:eastAsia="en-US"/>
        </w:rPr>
      </w:pPr>
      <w:hyperlink r:id="rId196" w:history="1">
        <w:r w:rsidR="00102D9D" w:rsidRPr="00FA5792">
          <w:rPr>
            <w:rStyle w:val="ab"/>
            <w:rFonts w:ascii="Times New Roman" w:eastAsia="Yu Gothic" w:hAnsi="Times New Roman" w:cs="Times New Roman"/>
            <w:color w:val="auto"/>
            <w:sz w:val="28"/>
            <w:szCs w:val="28"/>
            <w:u w:val="none"/>
            <w:lang w:val="en-US"/>
          </w:rPr>
          <w:t>https</w:t>
        </w:r>
        <w:r w:rsidR="00102D9D" w:rsidRPr="00FA5792">
          <w:rPr>
            <w:rStyle w:val="ab"/>
            <w:rFonts w:ascii="Times New Roman" w:eastAsia="Yu Gothic" w:hAnsi="Times New Roman" w:cs="Times New Roman"/>
            <w:color w:val="auto"/>
            <w:sz w:val="28"/>
            <w:szCs w:val="28"/>
            <w:u w:val="none"/>
          </w:rPr>
          <w:t>://</w:t>
        </w:r>
        <w:r w:rsidR="00102D9D" w:rsidRPr="00FA5792">
          <w:rPr>
            <w:rStyle w:val="ab"/>
            <w:rFonts w:ascii="Times New Roman" w:eastAsia="Yu Gothic" w:hAnsi="Times New Roman" w:cs="Times New Roman"/>
            <w:color w:val="auto"/>
            <w:sz w:val="28"/>
            <w:szCs w:val="28"/>
            <w:u w:val="none"/>
            <w:lang w:val="en-US"/>
          </w:rPr>
          <w:t>www</w:t>
        </w:r>
        <w:r w:rsidR="00102D9D" w:rsidRPr="00FA5792">
          <w:rPr>
            <w:rStyle w:val="ab"/>
            <w:rFonts w:ascii="Times New Roman" w:eastAsia="Yu Gothic" w:hAnsi="Times New Roman" w:cs="Times New Roman"/>
            <w:color w:val="auto"/>
            <w:sz w:val="28"/>
            <w:szCs w:val="28"/>
            <w:u w:val="none"/>
          </w:rPr>
          <w:t>.</w:t>
        </w:r>
        <w:r w:rsidR="00102D9D" w:rsidRPr="00FA5792">
          <w:rPr>
            <w:rStyle w:val="ab"/>
            <w:rFonts w:ascii="Times New Roman" w:eastAsia="Yu Gothic" w:hAnsi="Times New Roman" w:cs="Times New Roman"/>
            <w:color w:val="auto"/>
            <w:sz w:val="28"/>
            <w:szCs w:val="28"/>
            <w:u w:val="none"/>
            <w:lang w:val="en-US"/>
          </w:rPr>
          <w:t>nippon</w:t>
        </w:r>
        <w:r w:rsidR="00102D9D" w:rsidRPr="00FA5792">
          <w:rPr>
            <w:rStyle w:val="ab"/>
            <w:rFonts w:ascii="Times New Roman" w:eastAsia="Yu Gothic" w:hAnsi="Times New Roman" w:cs="Times New Roman"/>
            <w:color w:val="auto"/>
            <w:sz w:val="28"/>
            <w:szCs w:val="28"/>
            <w:u w:val="none"/>
          </w:rPr>
          <w:t>.</w:t>
        </w:r>
        <w:r w:rsidR="00102D9D" w:rsidRPr="00FA5792">
          <w:rPr>
            <w:rStyle w:val="ab"/>
            <w:rFonts w:ascii="Times New Roman" w:eastAsia="Yu Gothic" w:hAnsi="Times New Roman" w:cs="Times New Roman"/>
            <w:color w:val="auto"/>
            <w:sz w:val="28"/>
            <w:szCs w:val="28"/>
            <w:u w:val="none"/>
            <w:lang w:val="en-US"/>
          </w:rPr>
          <w:t>com</w:t>
        </w:r>
        <w:r w:rsidR="00102D9D" w:rsidRPr="00FA5792">
          <w:rPr>
            <w:rStyle w:val="ab"/>
            <w:rFonts w:ascii="Times New Roman" w:eastAsia="Yu Gothic" w:hAnsi="Times New Roman" w:cs="Times New Roman"/>
            <w:color w:val="auto"/>
            <w:sz w:val="28"/>
            <w:szCs w:val="28"/>
            <w:u w:val="none"/>
          </w:rPr>
          <w:t>/</w:t>
        </w:r>
        <w:r w:rsidR="00102D9D" w:rsidRPr="00FA5792">
          <w:rPr>
            <w:rStyle w:val="ab"/>
            <w:rFonts w:ascii="Times New Roman" w:eastAsia="Yu Gothic" w:hAnsi="Times New Roman" w:cs="Times New Roman"/>
            <w:color w:val="auto"/>
            <w:sz w:val="28"/>
            <w:szCs w:val="28"/>
            <w:u w:val="none"/>
            <w:lang w:val="en-US"/>
          </w:rPr>
          <w:t>ru</w:t>
        </w:r>
        <w:r w:rsidR="00102D9D" w:rsidRPr="00FA5792">
          <w:rPr>
            <w:rStyle w:val="ab"/>
            <w:rFonts w:ascii="Times New Roman" w:eastAsia="Yu Gothic" w:hAnsi="Times New Roman" w:cs="Times New Roman"/>
            <w:color w:val="auto"/>
            <w:sz w:val="28"/>
            <w:szCs w:val="28"/>
            <w:u w:val="none"/>
          </w:rPr>
          <w:t>/</w:t>
        </w:r>
        <w:r w:rsidR="00102D9D" w:rsidRPr="00FA5792">
          <w:rPr>
            <w:rStyle w:val="ab"/>
            <w:rFonts w:ascii="Times New Roman" w:eastAsia="Yu Gothic" w:hAnsi="Times New Roman" w:cs="Times New Roman"/>
            <w:color w:val="auto"/>
            <w:sz w:val="28"/>
            <w:szCs w:val="28"/>
            <w:u w:val="none"/>
            <w:lang w:val="en-US"/>
          </w:rPr>
          <w:t>japan</w:t>
        </w:r>
        <w:r w:rsidR="00102D9D" w:rsidRPr="00FA5792">
          <w:rPr>
            <w:rStyle w:val="ab"/>
            <w:rFonts w:ascii="Times New Roman" w:eastAsia="Yu Gothic" w:hAnsi="Times New Roman" w:cs="Times New Roman"/>
            <w:color w:val="auto"/>
            <w:sz w:val="28"/>
            <w:szCs w:val="28"/>
            <w:u w:val="none"/>
          </w:rPr>
          <w:t>-</w:t>
        </w:r>
        <w:r w:rsidR="00102D9D" w:rsidRPr="00FA5792">
          <w:rPr>
            <w:rStyle w:val="ab"/>
            <w:rFonts w:ascii="Times New Roman" w:eastAsia="Yu Gothic" w:hAnsi="Times New Roman" w:cs="Times New Roman"/>
            <w:color w:val="auto"/>
            <w:sz w:val="28"/>
            <w:szCs w:val="28"/>
            <w:u w:val="none"/>
            <w:lang w:val="en-US"/>
          </w:rPr>
          <w:t>topics</w:t>
        </w:r>
        <w:r w:rsidR="00102D9D" w:rsidRPr="00FA5792">
          <w:rPr>
            <w:rStyle w:val="ab"/>
            <w:rFonts w:ascii="Times New Roman" w:eastAsia="Yu Gothic" w:hAnsi="Times New Roman" w:cs="Times New Roman"/>
            <w:color w:val="auto"/>
            <w:sz w:val="28"/>
            <w:szCs w:val="28"/>
            <w:u w:val="none"/>
          </w:rPr>
          <w:t>/</w:t>
        </w:r>
        <w:r w:rsidR="00102D9D" w:rsidRPr="00FA5792">
          <w:rPr>
            <w:rStyle w:val="ab"/>
            <w:rFonts w:ascii="Times New Roman" w:eastAsia="Yu Gothic" w:hAnsi="Times New Roman" w:cs="Times New Roman"/>
            <w:color w:val="auto"/>
            <w:sz w:val="28"/>
            <w:szCs w:val="28"/>
            <w:u w:val="none"/>
            <w:lang w:val="en-US"/>
          </w:rPr>
          <w:t>c</w:t>
        </w:r>
        <w:r w:rsidR="00102D9D" w:rsidRPr="00FA5792">
          <w:rPr>
            <w:rStyle w:val="ab"/>
            <w:rFonts w:ascii="Times New Roman" w:eastAsia="Yu Gothic" w:hAnsi="Times New Roman" w:cs="Times New Roman"/>
            <w:color w:val="auto"/>
            <w:sz w:val="28"/>
            <w:szCs w:val="28"/>
            <w:u w:val="none"/>
          </w:rPr>
          <w:t>08003/</w:t>
        </w:r>
      </w:hyperlink>
    </w:p>
    <w:p w14:paraId="724C69D5" w14:textId="77777777" w:rsidR="00102D9D" w:rsidRPr="00FA5792" w:rsidRDefault="00102D9D" w:rsidP="00102D9D">
      <w:pPr>
        <w:pStyle w:val="a3"/>
        <w:numPr>
          <w:ilvl w:val="0"/>
          <w:numId w:val="75"/>
        </w:numPr>
        <w:tabs>
          <w:tab w:val="left" w:pos="426"/>
          <w:tab w:val="left" w:pos="993"/>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rPr>
      </w:pPr>
      <w:r>
        <w:rPr>
          <w:rFonts w:ascii="Times New Roman" w:hAnsi="Times New Roman" w:cs="Times New Roman"/>
          <w:bCs/>
          <w:sz w:val="28"/>
          <w:szCs w:val="28"/>
        </w:rPr>
        <w:t xml:space="preserve">       </w:t>
      </w:r>
      <w:r w:rsidRPr="00FA5792">
        <w:rPr>
          <w:rFonts w:ascii="Times New Roman" w:hAnsi="Times New Roman" w:cs="Times New Roman"/>
          <w:bCs/>
          <w:sz w:val="28"/>
          <w:szCs w:val="28"/>
        </w:rPr>
        <w:t xml:space="preserve">Здоровый образ жизни. </w:t>
      </w:r>
      <w:r w:rsidRPr="00FA5792">
        <w:rPr>
          <w:rFonts w:ascii="Times New Roman" w:hAnsi="Times New Roman" w:cs="Times New Roman"/>
          <w:sz w:val="28"/>
          <w:szCs w:val="28"/>
          <w:shd w:val="clear" w:color="auto" w:fill="FFFFFF"/>
        </w:rPr>
        <w:t xml:space="preserve">10 секретов японского долголетия. </w:t>
      </w:r>
      <w:hyperlink r:id="rId197" w:history="1">
        <w:r w:rsidRPr="00FA5792">
          <w:rPr>
            <w:rStyle w:val="ab"/>
            <w:rFonts w:ascii="Times New Roman" w:hAnsi="Times New Roman" w:cs="Times New Roman"/>
            <w:color w:val="auto"/>
            <w:sz w:val="28"/>
            <w:szCs w:val="28"/>
            <w:u w:val="none"/>
            <w:shd w:val="clear" w:color="auto" w:fill="FFFFFF"/>
          </w:rPr>
          <w:t>https://www.partner-inform.de/partner/detail/2018/12/221/9355/10-sekretov-japonskogo-dolgoletija?lang=ru</w:t>
        </w:r>
      </w:hyperlink>
      <w:r>
        <w:rPr>
          <w:rStyle w:val="ab"/>
          <w:rFonts w:ascii="Times New Roman" w:hAnsi="Times New Roman" w:cs="Times New Roman"/>
          <w:color w:val="auto"/>
          <w:sz w:val="28"/>
          <w:szCs w:val="28"/>
          <w:u w:val="none"/>
          <w:shd w:val="clear" w:color="auto" w:fill="FFFFFF"/>
        </w:rPr>
        <w:t>.</w:t>
      </w:r>
    </w:p>
    <w:p w14:paraId="7885003E"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kk-KZ"/>
        </w:rPr>
      </w:pPr>
      <w:r w:rsidRPr="00FA5792">
        <w:rPr>
          <w:rFonts w:ascii="Times New Roman" w:eastAsia="TimesNewRomanPSMT" w:hAnsi="Times New Roman" w:cs="Times New Roman"/>
          <w:sz w:val="28"/>
          <w:szCs w:val="28"/>
          <w:lang w:val="en-US"/>
        </w:rPr>
        <w:t>Katsaga A</w:t>
      </w:r>
      <w:r w:rsidRPr="00FC01F7">
        <w:rPr>
          <w:rFonts w:ascii="Times New Roman" w:eastAsia="TimesNewRomanPSMT" w:hAnsi="Times New Roman" w:cs="Times New Roman"/>
          <w:sz w:val="28"/>
          <w:szCs w:val="28"/>
          <w:lang w:val="en-US"/>
        </w:rPr>
        <w:t>.</w:t>
      </w:r>
      <w:r w:rsidRPr="00FA5792">
        <w:rPr>
          <w:rFonts w:ascii="Times New Roman" w:eastAsia="TimesNewRomanPSMT" w:hAnsi="Times New Roman" w:cs="Times New Roman"/>
          <w:sz w:val="28"/>
          <w:szCs w:val="28"/>
          <w:lang w:val="en-US"/>
        </w:rPr>
        <w:t>, Kulzhanov M</w:t>
      </w:r>
      <w:r w:rsidRPr="00FC01F7">
        <w:rPr>
          <w:rFonts w:ascii="Times New Roman" w:eastAsia="TimesNewRomanPSMT" w:hAnsi="Times New Roman" w:cs="Times New Roman"/>
          <w:sz w:val="28"/>
          <w:szCs w:val="28"/>
          <w:lang w:val="en-US"/>
        </w:rPr>
        <w:t>.</w:t>
      </w:r>
      <w:r w:rsidRPr="00FA5792">
        <w:rPr>
          <w:rFonts w:ascii="Times New Roman" w:eastAsia="TimesNewRomanPSMT" w:hAnsi="Times New Roman" w:cs="Times New Roman"/>
          <w:sz w:val="28"/>
          <w:szCs w:val="28"/>
          <w:lang w:val="en-US"/>
        </w:rPr>
        <w:t>, Karanikolos M</w:t>
      </w:r>
      <w:r w:rsidRPr="00FC01F7">
        <w:rPr>
          <w:rFonts w:ascii="Times New Roman" w:eastAsia="TimesNewRomanPSMT" w:hAnsi="Times New Roman" w:cs="Times New Roman"/>
          <w:sz w:val="28"/>
          <w:szCs w:val="28"/>
          <w:lang w:val="en-US"/>
        </w:rPr>
        <w:t>.</w:t>
      </w:r>
      <w:r w:rsidRPr="00FA5792">
        <w:rPr>
          <w:rFonts w:ascii="Times New Roman" w:eastAsia="TimesNewRomanPSMT" w:hAnsi="Times New Roman" w:cs="Times New Roman"/>
          <w:sz w:val="28"/>
          <w:szCs w:val="28"/>
          <w:lang w:val="en-US"/>
        </w:rPr>
        <w:t xml:space="preserve">, Rechel B. Kazakhstan: Health system review. </w:t>
      </w:r>
      <w:r w:rsidRPr="00FC01F7">
        <w:rPr>
          <w:rFonts w:ascii="Times New Roman" w:eastAsia="TimesNewRomanPSMT" w:hAnsi="Times New Roman" w:cs="Times New Roman"/>
          <w:iCs/>
          <w:sz w:val="28"/>
          <w:szCs w:val="28"/>
          <w:lang w:val="en-US"/>
        </w:rPr>
        <w:t xml:space="preserve">Health Systems in Transition, </w:t>
      </w:r>
      <w:r w:rsidRPr="00FC01F7">
        <w:rPr>
          <w:rFonts w:ascii="Times New Roman" w:eastAsia="TimesNewRomanPSMT" w:hAnsi="Times New Roman" w:cs="Times New Roman"/>
          <w:sz w:val="28"/>
          <w:szCs w:val="28"/>
          <w:lang w:val="en-US"/>
        </w:rPr>
        <w:t>2012</w:t>
      </w:r>
      <w:r>
        <w:rPr>
          <w:rFonts w:ascii="Times New Roman" w:eastAsia="TimesNewRomanPSMT" w:hAnsi="Times New Roman" w:cs="Times New Roman"/>
          <w:sz w:val="28"/>
          <w:szCs w:val="28"/>
        </w:rPr>
        <w:t>. - №</w:t>
      </w:r>
      <w:r w:rsidRPr="00FC01F7">
        <w:rPr>
          <w:rFonts w:ascii="Times New Roman" w:eastAsia="TimesNewRomanPSMT" w:hAnsi="Times New Roman" w:cs="Times New Roman"/>
          <w:sz w:val="28"/>
          <w:szCs w:val="28"/>
          <w:lang w:val="en-US"/>
        </w:rPr>
        <w:t>14(4)</w:t>
      </w:r>
      <w:r>
        <w:rPr>
          <w:rFonts w:ascii="Times New Roman" w:eastAsia="TimesNewRomanPSMT" w:hAnsi="Times New Roman" w:cs="Times New Roman"/>
          <w:sz w:val="28"/>
          <w:szCs w:val="28"/>
        </w:rPr>
        <w:t>. – Р.</w:t>
      </w:r>
      <w:r w:rsidRPr="00FC01F7">
        <w:rPr>
          <w:rFonts w:ascii="Times New Roman" w:eastAsia="TimesNewRomanPSMT" w:hAnsi="Times New Roman" w:cs="Times New Roman"/>
          <w:sz w:val="28"/>
          <w:szCs w:val="28"/>
          <w:lang w:val="en-US"/>
        </w:rPr>
        <w:t>1–154.</w:t>
      </w:r>
    </w:p>
    <w:p w14:paraId="21675212" w14:textId="77777777" w:rsidR="00102D9D" w:rsidRPr="00FA5792" w:rsidRDefault="001B62DB" w:rsidP="00102D9D">
      <w:pPr>
        <w:pStyle w:val="a3"/>
        <w:numPr>
          <w:ilvl w:val="0"/>
          <w:numId w:val="75"/>
        </w:numPr>
        <w:shd w:val="clear" w:color="auto" w:fill="FFFFFF"/>
        <w:tabs>
          <w:tab w:val="left" w:pos="426"/>
        </w:tabs>
        <w:spacing w:after="0" w:line="240" w:lineRule="auto"/>
        <w:ind w:left="0" w:firstLine="709"/>
        <w:jc w:val="both"/>
        <w:rPr>
          <w:rFonts w:ascii="Times New Roman" w:eastAsiaTheme="minorHAnsi" w:hAnsi="Times New Roman" w:cs="Times New Roman"/>
          <w:sz w:val="28"/>
          <w:szCs w:val="28"/>
          <w:lang w:val="kk-KZ" w:eastAsia="en-US"/>
        </w:rPr>
      </w:pPr>
      <w:hyperlink r:id="rId198" w:history="1">
        <w:r w:rsidR="00102D9D" w:rsidRPr="00FA5792">
          <w:rPr>
            <w:rStyle w:val="ab"/>
            <w:rFonts w:ascii="Times New Roman" w:hAnsi="Times New Roman" w:cs="Times New Roman"/>
            <w:color w:val="auto"/>
            <w:sz w:val="28"/>
            <w:szCs w:val="28"/>
            <w:u w:val="none"/>
            <w:shd w:val="clear" w:color="auto" w:fill="FFFFFF"/>
            <w:lang w:val="kk-KZ"/>
          </w:rPr>
          <w:t>http://cgon.rospotrebnadzor.ru/content/62/262</w:t>
        </w:r>
      </w:hyperlink>
      <w:r w:rsidR="00102D9D">
        <w:rPr>
          <w:rStyle w:val="ab"/>
          <w:rFonts w:ascii="Times New Roman" w:hAnsi="Times New Roman" w:cs="Times New Roman"/>
          <w:color w:val="auto"/>
          <w:sz w:val="28"/>
          <w:szCs w:val="28"/>
          <w:u w:val="none"/>
          <w:shd w:val="clear" w:color="auto" w:fill="FFFFFF"/>
          <w:lang w:val="kk-KZ"/>
        </w:rPr>
        <w:t>.</w:t>
      </w:r>
    </w:p>
    <w:p w14:paraId="13C446A5" w14:textId="77777777" w:rsidR="00102D9D" w:rsidRPr="00FA5792" w:rsidRDefault="00102D9D" w:rsidP="00102D9D">
      <w:pPr>
        <w:pStyle w:val="a3"/>
        <w:numPr>
          <w:ilvl w:val="0"/>
          <w:numId w:val="75"/>
        </w:numPr>
        <w:shd w:val="clear" w:color="auto" w:fill="FFFFFF"/>
        <w:tabs>
          <w:tab w:val="left" w:pos="426"/>
        </w:tabs>
        <w:spacing w:after="0" w:line="240" w:lineRule="auto"/>
        <w:ind w:left="0" w:right="30" w:firstLine="709"/>
        <w:jc w:val="both"/>
        <w:rPr>
          <w:rFonts w:ascii="Times New Roman" w:hAnsi="Times New Roman" w:cs="Times New Roman"/>
          <w:sz w:val="28"/>
          <w:szCs w:val="28"/>
        </w:rPr>
      </w:pPr>
      <w:r w:rsidRPr="00FA5792">
        <w:rPr>
          <w:rStyle w:val="aa"/>
          <w:rFonts w:ascii="Times New Roman" w:eastAsiaTheme="majorEastAsia" w:hAnsi="Times New Roman" w:cs="Times New Roman"/>
          <w:b w:val="0"/>
          <w:sz w:val="28"/>
          <w:szCs w:val="28"/>
        </w:rPr>
        <w:t>Быстрее, выше, сильнее: повышение уровня физической активности в школах Российской Федерации. История успеха по результатам исследования «Поведение детей школьного возраста в отношении здоровья» HBSC 2013/2014. - Европейское региональное бюро ВОЗ. Копенгаген.</w:t>
      </w:r>
      <w:r>
        <w:rPr>
          <w:rStyle w:val="aa"/>
          <w:rFonts w:ascii="Times New Roman" w:eastAsiaTheme="majorEastAsia" w:hAnsi="Times New Roman" w:cs="Times New Roman"/>
          <w:b w:val="0"/>
          <w:sz w:val="28"/>
          <w:szCs w:val="28"/>
        </w:rPr>
        <w:t>-</w:t>
      </w:r>
      <w:r w:rsidRPr="00FA5792">
        <w:rPr>
          <w:rStyle w:val="aa"/>
          <w:rFonts w:ascii="Times New Roman" w:eastAsiaTheme="majorEastAsia" w:hAnsi="Times New Roman" w:cs="Times New Roman"/>
          <w:b w:val="0"/>
          <w:sz w:val="28"/>
          <w:szCs w:val="28"/>
        </w:rPr>
        <w:t xml:space="preserve"> 2016. </w:t>
      </w:r>
      <w:r>
        <w:rPr>
          <w:rStyle w:val="aa"/>
          <w:rFonts w:ascii="Times New Roman" w:eastAsiaTheme="majorEastAsia" w:hAnsi="Times New Roman" w:cs="Times New Roman"/>
          <w:b w:val="0"/>
          <w:sz w:val="28"/>
          <w:szCs w:val="28"/>
        </w:rPr>
        <w:t xml:space="preserve">– 3 с. </w:t>
      </w:r>
      <w:r w:rsidRPr="00FA5792">
        <w:rPr>
          <w:rStyle w:val="aa"/>
          <w:rFonts w:ascii="Times New Roman" w:hAnsi="Times New Roman" w:cs="Times New Roman"/>
          <w:b w:val="0"/>
          <w:sz w:val="28"/>
          <w:szCs w:val="28"/>
        </w:rPr>
        <w:t xml:space="preserve">Полный текст на русском языке на сайте Европейского регионального бюро ВОЗ: </w:t>
      </w:r>
      <w:hyperlink r:id="rId199" w:history="1">
        <w:r w:rsidRPr="00FA5792">
          <w:rPr>
            <w:rStyle w:val="aa"/>
            <w:rFonts w:ascii="Times New Roman" w:hAnsi="Times New Roman" w:cs="Times New Roman"/>
            <w:b w:val="0"/>
            <w:sz w:val="28"/>
            <w:szCs w:val="28"/>
          </w:rPr>
          <w:t>http://www.euro.who.int/__data/assets/pdf_file/0003/325524/HSBC-Success-story-increasing-physical-activity-levels-in-the-Russian-Federation-ru.pdf</w:t>
        </w:r>
      </w:hyperlink>
    </w:p>
    <w:p w14:paraId="6BD6F411" w14:textId="77777777" w:rsidR="00102D9D" w:rsidRPr="00FA5792" w:rsidRDefault="00102D9D" w:rsidP="00102D9D">
      <w:pPr>
        <w:pStyle w:val="a3"/>
        <w:numPr>
          <w:ilvl w:val="0"/>
          <w:numId w:val="75"/>
        </w:numPr>
        <w:shd w:val="clear" w:color="auto" w:fill="FFFFFF"/>
        <w:tabs>
          <w:tab w:val="left" w:pos="426"/>
        </w:tabs>
        <w:spacing w:before="100" w:beforeAutospacing="1" w:after="100" w:afterAutospacing="1" w:line="240" w:lineRule="auto"/>
        <w:ind w:left="0" w:firstLine="709"/>
        <w:jc w:val="both"/>
        <w:rPr>
          <w:rFonts w:ascii="Times New Roman" w:eastAsia="Times New Roman" w:hAnsi="Times New Roman" w:cs="Times New Roman"/>
          <w:sz w:val="28"/>
          <w:szCs w:val="28"/>
        </w:rPr>
      </w:pPr>
      <w:r w:rsidRPr="00FA5792">
        <w:rPr>
          <w:rFonts w:ascii="Times New Roman" w:hAnsi="Times New Roman" w:cs="Times New Roman"/>
          <w:bCs/>
          <w:sz w:val="28"/>
          <w:szCs w:val="28"/>
        </w:rPr>
        <w:t xml:space="preserve">Большой вопрос: реально ли победить детское ожирение </w:t>
      </w:r>
      <w:hyperlink r:id="rId200" w:history="1">
        <w:r w:rsidRPr="00FA5792">
          <w:rPr>
            <w:rStyle w:val="ab"/>
            <w:rFonts w:ascii="Times New Roman" w:eastAsiaTheme="minorHAnsi" w:hAnsi="Times New Roman" w:cs="Times New Roman"/>
            <w:color w:val="auto"/>
            <w:sz w:val="28"/>
            <w:szCs w:val="28"/>
            <w:u w:val="none"/>
            <w:lang w:eastAsia="en-US"/>
          </w:rPr>
          <w:t>https://philanthropy.ru/analysis/2021/03/04/98943</w:t>
        </w:r>
      </w:hyperlink>
      <w:r>
        <w:rPr>
          <w:rStyle w:val="ab"/>
          <w:rFonts w:ascii="Times New Roman" w:eastAsiaTheme="minorHAnsi" w:hAnsi="Times New Roman" w:cs="Times New Roman"/>
          <w:color w:val="auto"/>
          <w:sz w:val="28"/>
          <w:szCs w:val="28"/>
          <w:u w:val="none"/>
          <w:lang w:eastAsia="en-US"/>
        </w:rPr>
        <w:t>.</w:t>
      </w:r>
    </w:p>
    <w:p w14:paraId="305E1EFF" w14:textId="77777777" w:rsidR="00102D9D" w:rsidRPr="00FA5792" w:rsidRDefault="00102D9D" w:rsidP="00102D9D">
      <w:pPr>
        <w:pStyle w:val="a3"/>
        <w:numPr>
          <w:ilvl w:val="0"/>
          <w:numId w:val="75"/>
        </w:numPr>
        <w:shd w:val="clear" w:color="auto" w:fill="FFFFFF"/>
        <w:tabs>
          <w:tab w:val="left" w:pos="426"/>
        </w:tabs>
        <w:spacing w:after="0" w:line="240" w:lineRule="auto"/>
        <w:ind w:left="0" w:firstLine="709"/>
        <w:jc w:val="both"/>
        <w:rPr>
          <w:rFonts w:ascii="Times New Roman" w:eastAsiaTheme="minorHAnsi" w:hAnsi="Times New Roman" w:cs="Times New Roman"/>
          <w:sz w:val="28"/>
          <w:szCs w:val="28"/>
          <w:lang w:val="kk-KZ" w:eastAsia="en-US"/>
        </w:rPr>
      </w:pPr>
      <w:r w:rsidRPr="00FA5792">
        <w:rPr>
          <w:rFonts w:ascii="Times New Roman" w:eastAsia="Times New Roman" w:hAnsi="Times New Roman" w:cs="Times New Roman"/>
          <w:sz w:val="28"/>
          <w:szCs w:val="28"/>
          <w:bdr w:val="none" w:sz="0" w:space="0" w:color="auto" w:frame="1"/>
        </w:rPr>
        <w:t>Государственная программа «Саламатты Қазақстан» в 2011-2015 годы</w:t>
      </w:r>
      <w:r>
        <w:rPr>
          <w:rFonts w:ascii="Times New Roman" w:eastAsia="Times New Roman" w:hAnsi="Times New Roman" w:cs="Times New Roman"/>
          <w:sz w:val="28"/>
          <w:szCs w:val="28"/>
          <w:bdr w:val="none" w:sz="0" w:space="0" w:color="auto" w:frame="1"/>
        </w:rPr>
        <w:t>.</w:t>
      </w:r>
    </w:p>
    <w:p w14:paraId="25D7E8FE"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eastAsia="TimesNewRomanPSMT" w:hAnsi="Times New Roman" w:cs="Times New Roman"/>
          <w:sz w:val="28"/>
          <w:szCs w:val="28"/>
        </w:rPr>
        <w:t xml:space="preserve">Задворная О.Л., Борисов К.Н. Развитие стратегий профилактики неинфекционных заболеваний. Медицинские технологии. Оценка и выбор. </w:t>
      </w:r>
      <w:r>
        <w:rPr>
          <w:rFonts w:ascii="Times New Roman" w:eastAsia="TimesNewRomanPSMT" w:hAnsi="Times New Roman" w:cs="Times New Roman"/>
          <w:sz w:val="28"/>
          <w:szCs w:val="28"/>
        </w:rPr>
        <w:t xml:space="preserve">– </w:t>
      </w:r>
      <w:r w:rsidRPr="00FA5792">
        <w:rPr>
          <w:rFonts w:ascii="Times New Roman" w:eastAsia="TimesNewRomanPSMT" w:hAnsi="Times New Roman" w:cs="Times New Roman"/>
          <w:sz w:val="28"/>
          <w:szCs w:val="28"/>
        </w:rPr>
        <w:t>2019</w:t>
      </w:r>
      <w:r>
        <w:rPr>
          <w:rFonts w:ascii="Times New Roman" w:eastAsia="TimesNewRomanPSMT" w:hAnsi="Times New Roman" w:cs="Times New Roman"/>
          <w:sz w:val="28"/>
          <w:szCs w:val="28"/>
        </w:rPr>
        <w:t>. - №</w:t>
      </w:r>
      <w:r w:rsidRPr="00FA5792">
        <w:rPr>
          <w:rFonts w:ascii="Times New Roman" w:eastAsia="TimesNewRomanPSMT" w:hAnsi="Times New Roman" w:cs="Times New Roman"/>
          <w:sz w:val="28"/>
          <w:szCs w:val="28"/>
        </w:rPr>
        <w:t>1(35)</w:t>
      </w:r>
      <w:r>
        <w:rPr>
          <w:rFonts w:ascii="Times New Roman" w:eastAsia="TimesNewRomanPSMT" w:hAnsi="Times New Roman" w:cs="Times New Roman"/>
          <w:sz w:val="28"/>
          <w:szCs w:val="28"/>
        </w:rPr>
        <w:t>. – С.</w:t>
      </w:r>
      <w:r w:rsidRPr="00FA5792">
        <w:rPr>
          <w:rFonts w:ascii="Times New Roman" w:eastAsia="TimesNewRomanPSMT" w:hAnsi="Times New Roman" w:cs="Times New Roman"/>
          <w:sz w:val="28"/>
          <w:szCs w:val="28"/>
        </w:rPr>
        <w:t xml:space="preserve"> 43–49. DOI: 10.31556/2219-0678.2019.35.1.043-049.</w:t>
      </w:r>
    </w:p>
    <w:p w14:paraId="67120F45"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Копенгагенский консенсус мэров – Более здоровые и счастливые города для всех</w:t>
      </w:r>
      <w:r>
        <w:rPr>
          <w:rFonts w:ascii="Times New Roman" w:hAnsi="Times New Roman" w:cs="Times New Roman"/>
          <w:sz w:val="28"/>
          <w:szCs w:val="28"/>
        </w:rPr>
        <w:t xml:space="preserve">, </w:t>
      </w:r>
      <w:r w:rsidRPr="00FA5792">
        <w:rPr>
          <w:rFonts w:ascii="Times New Roman" w:hAnsi="Times New Roman" w:cs="Times New Roman"/>
          <w:sz w:val="28"/>
          <w:szCs w:val="28"/>
        </w:rPr>
        <w:t xml:space="preserve">2018. </w:t>
      </w:r>
    </w:p>
    <w:p w14:paraId="3AE0B058"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eastAsia="MyriadPro-Regular" w:hAnsi="Times New Roman" w:cs="Times New Roman"/>
          <w:sz w:val="28"/>
          <w:szCs w:val="28"/>
        </w:rPr>
      </w:pPr>
      <w:r w:rsidRPr="00FA5792">
        <w:rPr>
          <w:rFonts w:ascii="Times New Roman" w:eastAsia="MyriadPro-Regular" w:hAnsi="Times New Roman" w:cs="Times New Roman"/>
          <w:sz w:val="28"/>
          <w:szCs w:val="28"/>
        </w:rPr>
        <w:t xml:space="preserve">Улучшение показателей по неинфекционным заболеваниям: барьеры и возможности систем здравоохранения. Страновая оценка- Казахстан. </w:t>
      </w:r>
      <w:r w:rsidRPr="00FA5792">
        <w:rPr>
          <w:rFonts w:ascii="Times New Roman" w:eastAsia="MyriadPro-Bold" w:hAnsi="Times New Roman" w:cs="Times New Roman"/>
          <w:bCs/>
          <w:sz w:val="28"/>
          <w:szCs w:val="28"/>
        </w:rPr>
        <w:t xml:space="preserve">Всемирная организация здравоохранения, 2018. </w:t>
      </w:r>
      <w:r w:rsidRPr="00FA5792">
        <w:rPr>
          <w:rFonts w:ascii="Times New Roman" w:eastAsia="MyriadPro-Regular" w:hAnsi="Times New Roman" w:cs="Times New Roman"/>
          <w:sz w:val="28"/>
          <w:szCs w:val="28"/>
        </w:rPr>
        <w:t>Jill Farrington, Altynai Satylganova, Sylvie Stachenko, Juan Tello,Francesca Romana Pezzella, Anna Korotkova, Isabel Yordi Aguire, Anne Stahr Johansen.</w:t>
      </w:r>
    </w:p>
    <w:p w14:paraId="58D9F77C"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bCs/>
          <w:sz w:val="28"/>
          <w:szCs w:val="28"/>
          <w:shd w:val="clear" w:color="auto" w:fill="FFFFFF"/>
        </w:rPr>
      </w:pPr>
      <w:r w:rsidRPr="00FA5792">
        <w:rPr>
          <w:rFonts w:ascii="Times New Roman" w:eastAsia="MyriadPro-Regular" w:hAnsi="Times New Roman" w:cs="Times New Roman"/>
          <w:sz w:val="28"/>
          <w:szCs w:val="28"/>
        </w:rPr>
        <w:t>Глобальная обсерватория ВОЗ. WHO, 2016</w:t>
      </w:r>
      <w:r>
        <w:rPr>
          <w:rFonts w:ascii="Times New Roman" w:eastAsia="MyriadPro-Regular" w:hAnsi="Times New Roman" w:cs="Times New Roman"/>
          <w:sz w:val="28"/>
          <w:szCs w:val="28"/>
        </w:rPr>
        <w:t>.</w:t>
      </w:r>
    </w:p>
    <w:p w14:paraId="3CF82FE1"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bCs/>
          <w:sz w:val="28"/>
          <w:szCs w:val="28"/>
          <w:shd w:val="clear" w:color="auto" w:fill="FFFFFF"/>
        </w:rPr>
      </w:pPr>
      <w:r w:rsidRPr="00FA5792">
        <w:rPr>
          <w:rFonts w:ascii="Times New Roman" w:eastAsia="MyriadPro-Regular" w:hAnsi="Times New Roman" w:cs="Times New Roman"/>
          <w:sz w:val="28"/>
          <w:szCs w:val="28"/>
        </w:rPr>
        <w:t xml:space="preserve">Глобальная обсерватория ВОЗ. </w:t>
      </w:r>
      <w:r w:rsidRPr="00FA5792">
        <w:rPr>
          <w:rFonts w:ascii="Times New Roman" w:eastAsia="MyriadPro-Bold" w:hAnsi="Times New Roman" w:cs="Times New Roman"/>
          <w:bCs/>
          <w:sz w:val="28"/>
          <w:szCs w:val="28"/>
        </w:rPr>
        <w:t>WHO, 2015</w:t>
      </w:r>
      <w:r>
        <w:rPr>
          <w:rFonts w:ascii="Times New Roman" w:eastAsia="MyriadPro-Bold" w:hAnsi="Times New Roman" w:cs="Times New Roman"/>
          <w:bCs/>
          <w:sz w:val="28"/>
          <w:szCs w:val="28"/>
        </w:rPr>
        <w:t>.</w:t>
      </w:r>
    </w:p>
    <w:p w14:paraId="1851B0CB"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bCs/>
          <w:sz w:val="28"/>
          <w:szCs w:val="28"/>
          <w:shd w:val="clear" w:color="auto" w:fill="FFFFFF"/>
        </w:rPr>
      </w:pPr>
      <w:r w:rsidRPr="00FA5792">
        <w:rPr>
          <w:rFonts w:ascii="Times New Roman" w:eastAsia="MyriadPro-Regular" w:hAnsi="Times New Roman" w:cs="Times New Roman"/>
          <w:sz w:val="28"/>
          <w:szCs w:val="28"/>
        </w:rPr>
        <w:t>Казахская академия питания</w:t>
      </w:r>
      <w:r>
        <w:rPr>
          <w:rFonts w:ascii="Times New Roman" w:eastAsia="MyriadPro-Regular" w:hAnsi="Times New Roman" w:cs="Times New Roman"/>
          <w:sz w:val="28"/>
          <w:szCs w:val="28"/>
        </w:rPr>
        <w:t>.</w:t>
      </w:r>
      <w:r w:rsidRPr="00FA5792">
        <w:rPr>
          <w:rFonts w:ascii="Times New Roman" w:eastAsia="MyriadPro-Regular" w:hAnsi="Times New Roman" w:cs="Times New Roman"/>
          <w:sz w:val="28"/>
          <w:szCs w:val="28"/>
        </w:rPr>
        <w:t xml:space="preserve"> Отчет о научно-исследовательской работе по теме: Комплексная профилактика эпидемии избыточного веса и ожирения в Казахстане. </w:t>
      </w:r>
      <w:r>
        <w:rPr>
          <w:rFonts w:ascii="Times New Roman" w:eastAsia="MyriadPro-Regular" w:hAnsi="Times New Roman" w:cs="Times New Roman"/>
          <w:sz w:val="28"/>
          <w:szCs w:val="28"/>
        </w:rPr>
        <w:t xml:space="preserve">– </w:t>
      </w:r>
      <w:r w:rsidRPr="00FA5792">
        <w:rPr>
          <w:rFonts w:ascii="Times New Roman" w:eastAsia="MyriadPro-Regular" w:hAnsi="Times New Roman" w:cs="Times New Roman"/>
          <w:sz w:val="28"/>
          <w:szCs w:val="28"/>
        </w:rPr>
        <w:t>Астана</w:t>
      </w:r>
      <w:r>
        <w:rPr>
          <w:rFonts w:ascii="Times New Roman" w:eastAsia="MyriadPro-Regular" w:hAnsi="Times New Roman" w:cs="Times New Roman"/>
          <w:sz w:val="28"/>
          <w:szCs w:val="28"/>
        </w:rPr>
        <w:t xml:space="preserve">, </w:t>
      </w:r>
      <w:r w:rsidRPr="00FA5792">
        <w:rPr>
          <w:rFonts w:ascii="Times New Roman" w:eastAsia="MyriadPro-Regular" w:hAnsi="Times New Roman" w:cs="Times New Roman"/>
          <w:sz w:val="28"/>
          <w:szCs w:val="28"/>
        </w:rPr>
        <w:t>2014.</w:t>
      </w:r>
    </w:p>
    <w:p w14:paraId="10F81E5C" w14:textId="77777777" w:rsidR="00102D9D" w:rsidRPr="00FA5792" w:rsidRDefault="00102D9D" w:rsidP="00102D9D">
      <w:pPr>
        <w:numPr>
          <w:ilvl w:val="0"/>
          <w:numId w:val="75"/>
        </w:numPr>
        <w:tabs>
          <w:tab w:val="left" w:pos="426"/>
          <w:tab w:val="left" w:pos="709"/>
        </w:tabs>
        <w:spacing w:after="0" w:line="240" w:lineRule="auto"/>
        <w:ind w:left="0" w:firstLine="709"/>
        <w:jc w:val="both"/>
        <w:textAlignment w:val="baseline"/>
        <w:rPr>
          <w:rFonts w:ascii="Times New Roman" w:hAnsi="Times New Roman" w:cs="Times New Roman"/>
          <w:spacing w:val="2"/>
          <w:sz w:val="28"/>
          <w:szCs w:val="28"/>
        </w:rPr>
      </w:pPr>
      <w:r w:rsidRPr="00FA5792">
        <w:rPr>
          <w:rFonts w:ascii="Times New Roman" w:hAnsi="Times New Roman" w:cs="Times New Roman"/>
          <w:spacing w:val="2"/>
          <w:sz w:val="28"/>
          <w:szCs w:val="28"/>
        </w:rPr>
        <w:t xml:space="preserve">Приказ Министра здравоохранения и социального развития Республики Казахстан от 21 мая 2015 года № 367 «Об утверждении перечня социально значимых заболеваний и заболеваний, представляющих опасность для окружающих». </w:t>
      </w:r>
      <w:hyperlink r:id="rId201" w:history="1">
        <w:r w:rsidRPr="00FA5792">
          <w:rPr>
            <w:rStyle w:val="details-value"/>
            <w:rFonts w:ascii="Times New Roman" w:hAnsi="Times New Roman" w:cs="Times New Roman"/>
            <w:spacing w:val="2"/>
            <w:sz w:val="28"/>
            <w:szCs w:val="28"/>
          </w:rPr>
          <w:t>http://adilet.zan.kz/rus/</w:t>
        </w:r>
      </w:hyperlink>
    </w:p>
    <w:p w14:paraId="19B17542" w14:textId="77777777" w:rsidR="00102D9D" w:rsidRPr="00FC01F7" w:rsidRDefault="00102D9D" w:rsidP="00102D9D">
      <w:pPr>
        <w:numPr>
          <w:ilvl w:val="0"/>
          <w:numId w:val="75"/>
        </w:numPr>
        <w:tabs>
          <w:tab w:val="left" w:pos="426"/>
          <w:tab w:val="left" w:pos="709"/>
        </w:tabs>
        <w:spacing w:after="0" w:line="240" w:lineRule="auto"/>
        <w:ind w:left="0" w:firstLine="709"/>
        <w:jc w:val="both"/>
        <w:rPr>
          <w:rStyle w:val="20"/>
          <w:rFonts w:ascii="Times New Roman" w:hAnsi="Times New Roman" w:cs="Times New Roman"/>
          <w:bCs/>
          <w:color w:val="auto"/>
          <w:sz w:val="28"/>
          <w:szCs w:val="28"/>
          <w:shd w:val="clear" w:color="auto" w:fill="FFFFFF"/>
          <w:lang w:val="en-US"/>
        </w:rPr>
      </w:pPr>
      <w:r w:rsidRPr="00FA5792">
        <w:rPr>
          <w:rFonts w:ascii="Times New Roman" w:hAnsi="Times New Roman" w:cs="Times New Roman"/>
          <w:sz w:val="28"/>
          <w:szCs w:val="28"/>
          <w:shd w:val="clear" w:color="auto" w:fill="FFFFFF"/>
          <w:lang w:val="en-US"/>
        </w:rPr>
        <w:t>Glümer C</w:t>
      </w:r>
      <w:r w:rsidRPr="00FC01F7">
        <w:rPr>
          <w:rFonts w:ascii="Times New Roman" w:hAnsi="Times New Roman" w:cs="Times New Roman"/>
          <w:sz w:val="28"/>
          <w:szCs w:val="28"/>
          <w:shd w:val="clear" w:color="auto" w:fill="FFFFFF"/>
          <w:lang w:val="en-US"/>
        </w:rPr>
        <w:t>.</w:t>
      </w:r>
      <w:r w:rsidRPr="00FA5792">
        <w:rPr>
          <w:rFonts w:ascii="Times New Roman" w:hAnsi="Times New Roman" w:cs="Times New Roman"/>
          <w:sz w:val="28"/>
          <w:szCs w:val="28"/>
          <w:shd w:val="clear" w:color="auto" w:fill="FFFFFF"/>
          <w:lang w:val="en-US"/>
        </w:rPr>
        <w:t>, Hilding-Nørkjær H</w:t>
      </w:r>
      <w:r w:rsidRPr="00FC01F7">
        <w:rPr>
          <w:rFonts w:ascii="Times New Roman" w:hAnsi="Times New Roman" w:cs="Times New Roman"/>
          <w:sz w:val="28"/>
          <w:szCs w:val="28"/>
          <w:shd w:val="clear" w:color="auto" w:fill="FFFFFF"/>
          <w:lang w:val="en-US"/>
        </w:rPr>
        <w:t>.</w:t>
      </w:r>
      <w:r w:rsidRPr="00FA5792">
        <w:rPr>
          <w:rFonts w:ascii="Times New Roman" w:hAnsi="Times New Roman" w:cs="Times New Roman"/>
          <w:sz w:val="28"/>
          <w:szCs w:val="28"/>
          <w:shd w:val="clear" w:color="auto" w:fill="FFFFFF"/>
          <w:lang w:val="en-US"/>
        </w:rPr>
        <w:t>, Jensen H</w:t>
      </w:r>
      <w:r w:rsidRPr="00FC01F7">
        <w:rPr>
          <w:rFonts w:ascii="Times New Roman" w:hAnsi="Times New Roman" w:cs="Times New Roman"/>
          <w:sz w:val="28"/>
          <w:szCs w:val="28"/>
          <w:shd w:val="clear" w:color="auto" w:fill="FFFFFF"/>
          <w:lang w:val="en-US"/>
        </w:rPr>
        <w:t>.</w:t>
      </w:r>
      <w:r w:rsidRPr="00FA5792">
        <w:rPr>
          <w:rFonts w:ascii="Times New Roman" w:hAnsi="Times New Roman" w:cs="Times New Roman"/>
          <w:sz w:val="28"/>
          <w:szCs w:val="28"/>
          <w:shd w:val="clear" w:color="auto" w:fill="FFFFFF"/>
          <w:lang w:val="en-US"/>
        </w:rPr>
        <w:t>, Jørgensen T</w:t>
      </w:r>
      <w:r w:rsidRPr="00FC01F7">
        <w:rPr>
          <w:rFonts w:ascii="Times New Roman" w:hAnsi="Times New Roman" w:cs="Times New Roman"/>
          <w:sz w:val="28"/>
          <w:szCs w:val="28"/>
          <w:shd w:val="clear" w:color="auto" w:fill="FFFFFF"/>
          <w:lang w:val="en-US"/>
        </w:rPr>
        <w:t>.</w:t>
      </w:r>
      <w:r w:rsidRPr="00FA5792">
        <w:rPr>
          <w:rFonts w:ascii="Times New Roman" w:hAnsi="Times New Roman" w:cs="Times New Roman"/>
          <w:sz w:val="28"/>
          <w:szCs w:val="28"/>
          <w:shd w:val="clear" w:color="auto" w:fill="FFFFFF"/>
          <w:lang w:val="en-US"/>
        </w:rPr>
        <w:t>, Andreasen A</w:t>
      </w:r>
      <w:r w:rsidRPr="00FC01F7">
        <w:rPr>
          <w:rFonts w:ascii="Times New Roman" w:hAnsi="Times New Roman" w:cs="Times New Roman"/>
          <w:sz w:val="28"/>
          <w:szCs w:val="28"/>
          <w:shd w:val="clear" w:color="auto" w:fill="FFFFFF"/>
          <w:lang w:val="en-US"/>
        </w:rPr>
        <w:t>.</w:t>
      </w:r>
      <w:r w:rsidRPr="00FA5792">
        <w:rPr>
          <w:rFonts w:ascii="Times New Roman" w:hAnsi="Times New Roman" w:cs="Times New Roman"/>
          <w:sz w:val="28"/>
          <w:szCs w:val="28"/>
          <w:shd w:val="clear" w:color="auto" w:fill="FFFFFF"/>
          <w:lang w:val="en-US"/>
        </w:rPr>
        <w:t>, Ladelund S. </w:t>
      </w:r>
      <w:r w:rsidRPr="00FA5792">
        <w:rPr>
          <w:rStyle w:val="ref-vol"/>
          <w:rFonts w:ascii="Times New Roman" w:hAnsi="Times New Roman" w:cs="Times New Roman"/>
          <w:sz w:val="28"/>
          <w:szCs w:val="28"/>
          <w:shd w:val="clear" w:color="auto" w:fill="FFFFFF"/>
          <w:lang w:val="en-US"/>
        </w:rPr>
        <w:t>Sundhedsprofil for region og kommuner 2008.</w:t>
      </w:r>
      <w:r w:rsidRPr="00FA5792">
        <w:rPr>
          <w:rFonts w:ascii="Times New Roman" w:hAnsi="Times New Roman" w:cs="Times New Roman"/>
          <w:sz w:val="28"/>
          <w:szCs w:val="28"/>
          <w:shd w:val="clear" w:color="auto" w:fill="FFFFFF"/>
          <w:lang w:val="en-US"/>
        </w:rPr>
        <w:t> </w:t>
      </w:r>
      <w:r w:rsidRPr="00FC01F7">
        <w:rPr>
          <w:rFonts w:ascii="Times New Roman" w:hAnsi="Times New Roman" w:cs="Times New Roman"/>
          <w:sz w:val="28"/>
          <w:szCs w:val="28"/>
          <w:shd w:val="clear" w:color="auto" w:fill="FFFFFF"/>
          <w:lang w:val="en-US"/>
        </w:rPr>
        <w:t>Region Hovedstaden: Glostrup; 2008. </w:t>
      </w:r>
    </w:p>
    <w:p w14:paraId="47EC238B" w14:textId="77777777" w:rsidR="00102D9D" w:rsidRPr="00FA5792" w:rsidRDefault="00102D9D" w:rsidP="00102D9D">
      <w:pPr>
        <w:numPr>
          <w:ilvl w:val="0"/>
          <w:numId w:val="75"/>
        </w:numPr>
        <w:tabs>
          <w:tab w:val="left" w:pos="426"/>
          <w:tab w:val="left" w:pos="709"/>
        </w:tabs>
        <w:spacing w:after="0" w:line="240" w:lineRule="auto"/>
        <w:ind w:left="0" w:firstLine="709"/>
        <w:jc w:val="both"/>
        <w:rPr>
          <w:rStyle w:val="20"/>
          <w:rFonts w:ascii="Times New Roman" w:hAnsi="Times New Roman" w:cs="Times New Roman"/>
          <w:bCs/>
          <w:color w:val="auto"/>
          <w:sz w:val="28"/>
          <w:szCs w:val="28"/>
          <w:shd w:val="clear" w:color="auto" w:fill="FFFFFF"/>
          <w:lang w:val="en-US"/>
        </w:rPr>
      </w:pPr>
      <w:r w:rsidRPr="00FA5792">
        <w:rPr>
          <w:rFonts w:ascii="Times New Roman" w:hAnsi="Times New Roman" w:cs="Times New Roman"/>
          <w:sz w:val="28"/>
          <w:szCs w:val="28"/>
          <w:shd w:val="clear" w:color="auto" w:fill="FFFFFF"/>
          <w:lang w:val="en-US"/>
        </w:rPr>
        <w:t>Shaw J</w:t>
      </w:r>
      <w:r w:rsidRPr="00FC01F7">
        <w:rPr>
          <w:rFonts w:ascii="Times New Roman" w:hAnsi="Times New Roman" w:cs="Times New Roman"/>
          <w:sz w:val="28"/>
          <w:szCs w:val="28"/>
          <w:shd w:val="clear" w:color="auto" w:fill="FFFFFF"/>
          <w:lang w:val="en-US"/>
        </w:rPr>
        <w:t>.</w:t>
      </w:r>
      <w:r w:rsidRPr="00FA5792">
        <w:rPr>
          <w:rFonts w:ascii="Times New Roman" w:hAnsi="Times New Roman" w:cs="Times New Roman"/>
          <w:sz w:val="28"/>
          <w:szCs w:val="28"/>
          <w:shd w:val="clear" w:color="auto" w:fill="FFFFFF"/>
          <w:lang w:val="en-US"/>
        </w:rPr>
        <w:t>E</w:t>
      </w:r>
      <w:r w:rsidRPr="00FC01F7">
        <w:rPr>
          <w:rFonts w:ascii="Times New Roman" w:hAnsi="Times New Roman" w:cs="Times New Roman"/>
          <w:sz w:val="28"/>
          <w:szCs w:val="28"/>
          <w:shd w:val="clear" w:color="auto" w:fill="FFFFFF"/>
          <w:lang w:val="en-US"/>
        </w:rPr>
        <w:t>.</w:t>
      </w:r>
      <w:r w:rsidRPr="00FA5792">
        <w:rPr>
          <w:rFonts w:ascii="Times New Roman" w:hAnsi="Times New Roman" w:cs="Times New Roman"/>
          <w:sz w:val="28"/>
          <w:szCs w:val="28"/>
          <w:shd w:val="clear" w:color="auto" w:fill="FFFFFF"/>
          <w:lang w:val="en-US"/>
        </w:rPr>
        <w:t>, Sicree R</w:t>
      </w:r>
      <w:r w:rsidRPr="00FC01F7">
        <w:rPr>
          <w:rFonts w:ascii="Times New Roman" w:hAnsi="Times New Roman" w:cs="Times New Roman"/>
          <w:sz w:val="28"/>
          <w:szCs w:val="28"/>
          <w:shd w:val="clear" w:color="auto" w:fill="FFFFFF"/>
          <w:lang w:val="en-US"/>
        </w:rPr>
        <w:t>.</w:t>
      </w:r>
      <w:r w:rsidRPr="00FA5792">
        <w:rPr>
          <w:rFonts w:ascii="Times New Roman" w:hAnsi="Times New Roman" w:cs="Times New Roman"/>
          <w:sz w:val="28"/>
          <w:szCs w:val="28"/>
          <w:shd w:val="clear" w:color="auto" w:fill="FFFFFF"/>
          <w:lang w:val="en-US"/>
        </w:rPr>
        <w:t>A</w:t>
      </w:r>
      <w:r w:rsidRPr="00FC01F7">
        <w:rPr>
          <w:rFonts w:ascii="Times New Roman" w:hAnsi="Times New Roman" w:cs="Times New Roman"/>
          <w:sz w:val="28"/>
          <w:szCs w:val="28"/>
          <w:shd w:val="clear" w:color="auto" w:fill="FFFFFF"/>
          <w:lang w:val="en-US"/>
        </w:rPr>
        <w:t>.</w:t>
      </w:r>
      <w:r w:rsidRPr="00FA5792">
        <w:rPr>
          <w:rFonts w:ascii="Times New Roman" w:hAnsi="Times New Roman" w:cs="Times New Roman"/>
          <w:sz w:val="28"/>
          <w:szCs w:val="28"/>
          <w:shd w:val="clear" w:color="auto" w:fill="FFFFFF"/>
          <w:lang w:val="en-US"/>
        </w:rPr>
        <w:t>, Zimmet P</w:t>
      </w:r>
      <w:r w:rsidRPr="00FC01F7">
        <w:rPr>
          <w:rFonts w:ascii="Times New Roman" w:hAnsi="Times New Roman" w:cs="Times New Roman"/>
          <w:sz w:val="28"/>
          <w:szCs w:val="28"/>
          <w:shd w:val="clear" w:color="auto" w:fill="FFFFFF"/>
          <w:lang w:val="en-US"/>
        </w:rPr>
        <w:t>.</w:t>
      </w:r>
      <w:r w:rsidRPr="00FA5792">
        <w:rPr>
          <w:rFonts w:ascii="Times New Roman" w:hAnsi="Times New Roman" w:cs="Times New Roman"/>
          <w:sz w:val="28"/>
          <w:szCs w:val="28"/>
          <w:shd w:val="clear" w:color="auto" w:fill="FFFFFF"/>
          <w:lang w:val="en-US"/>
        </w:rPr>
        <w:t>Z. Global estimates of the prevalence of diabetes for 2010 and 2030. </w:t>
      </w:r>
      <w:r w:rsidRPr="00FA5792">
        <w:rPr>
          <w:rStyle w:val="ref-vol"/>
          <w:rFonts w:ascii="Times New Roman" w:hAnsi="Times New Roman" w:cs="Times New Roman"/>
          <w:sz w:val="28"/>
          <w:szCs w:val="28"/>
          <w:shd w:val="clear" w:color="auto" w:fill="FFFFFF"/>
          <w:lang w:val="en-US"/>
        </w:rPr>
        <w:t>Diabetes Res Clin Pract. </w:t>
      </w:r>
      <w:r w:rsidRPr="00FC01F7">
        <w:rPr>
          <w:rStyle w:val="ref-vol"/>
          <w:rFonts w:ascii="Times New Roman" w:hAnsi="Times New Roman" w:cs="Times New Roman"/>
          <w:sz w:val="28"/>
          <w:szCs w:val="28"/>
          <w:shd w:val="clear" w:color="auto" w:fill="FFFFFF"/>
          <w:lang w:val="en-US"/>
        </w:rPr>
        <w:t xml:space="preserve">- </w:t>
      </w:r>
      <w:r w:rsidRPr="00FA5792">
        <w:rPr>
          <w:rFonts w:ascii="Times New Roman" w:hAnsi="Times New Roman" w:cs="Times New Roman"/>
          <w:sz w:val="28"/>
          <w:szCs w:val="28"/>
          <w:shd w:val="clear" w:color="auto" w:fill="FFFFFF"/>
          <w:lang w:val="en-US"/>
        </w:rPr>
        <w:t>2010</w:t>
      </w:r>
      <w:r w:rsidRPr="00FC01F7">
        <w:rPr>
          <w:rFonts w:ascii="Times New Roman" w:hAnsi="Times New Roman" w:cs="Times New Roman"/>
          <w:sz w:val="28"/>
          <w:szCs w:val="28"/>
          <w:shd w:val="clear" w:color="auto" w:fill="FFFFFF"/>
          <w:lang w:val="en-US"/>
        </w:rPr>
        <w:t>. -</w:t>
      </w:r>
      <w:r>
        <w:rPr>
          <w:rFonts w:ascii="Times New Roman" w:hAnsi="Times New Roman" w:cs="Times New Roman"/>
          <w:sz w:val="28"/>
          <w:szCs w:val="28"/>
          <w:shd w:val="clear" w:color="auto" w:fill="FFFFFF"/>
        </w:rPr>
        <w:t xml:space="preserve"> №</w:t>
      </w:r>
      <w:r w:rsidRPr="00FC01F7">
        <w:rPr>
          <w:rFonts w:ascii="Times New Roman" w:hAnsi="Times New Roman" w:cs="Times New Roman"/>
          <w:sz w:val="28"/>
          <w:szCs w:val="28"/>
          <w:shd w:val="clear" w:color="auto" w:fill="FFFFFF"/>
          <w:lang w:val="en-US"/>
        </w:rPr>
        <w:t xml:space="preserve"> </w:t>
      </w:r>
      <w:r w:rsidRPr="00FA5792">
        <w:rPr>
          <w:rStyle w:val="nowrap"/>
          <w:rFonts w:ascii="Times New Roman" w:hAnsi="Times New Roman" w:cs="Times New Roman"/>
          <w:bCs/>
          <w:sz w:val="28"/>
          <w:szCs w:val="28"/>
          <w:shd w:val="clear" w:color="auto" w:fill="FFFFFF"/>
          <w:lang w:val="en-US"/>
        </w:rPr>
        <w:t>87</w:t>
      </w:r>
      <w:r w:rsidRPr="00FA5792">
        <w:rPr>
          <w:rFonts w:ascii="Times New Roman" w:hAnsi="Times New Roman" w:cs="Times New Roman"/>
          <w:sz w:val="28"/>
          <w:szCs w:val="28"/>
          <w:shd w:val="clear" w:color="auto" w:fill="FFFFFF"/>
          <w:lang w:val="en-US"/>
        </w:rPr>
        <w:t>(1)</w:t>
      </w:r>
      <w:r>
        <w:rPr>
          <w:rFonts w:ascii="Times New Roman" w:hAnsi="Times New Roman" w:cs="Times New Roman"/>
          <w:sz w:val="28"/>
          <w:szCs w:val="28"/>
          <w:shd w:val="clear" w:color="auto" w:fill="FFFFFF"/>
        </w:rPr>
        <w:t>. – Р.</w:t>
      </w:r>
      <w:r w:rsidRPr="00FA5792">
        <w:rPr>
          <w:rFonts w:ascii="Times New Roman" w:hAnsi="Times New Roman" w:cs="Times New Roman"/>
          <w:sz w:val="28"/>
          <w:szCs w:val="28"/>
          <w:shd w:val="clear" w:color="auto" w:fill="FFFFFF"/>
          <w:lang w:val="en-US"/>
        </w:rPr>
        <w:t>4–14. doi: 10.1016/j.diabres.2009.10.007. </w:t>
      </w:r>
    </w:p>
    <w:p w14:paraId="491C58AC" w14:textId="77777777" w:rsidR="00102D9D" w:rsidRPr="00B74CCB" w:rsidRDefault="00102D9D" w:rsidP="00102D9D">
      <w:pPr>
        <w:numPr>
          <w:ilvl w:val="0"/>
          <w:numId w:val="75"/>
        </w:numPr>
        <w:tabs>
          <w:tab w:val="left" w:pos="426"/>
          <w:tab w:val="left" w:pos="709"/>
        </w:tabs>
        <w:spacing w:after="0" w:line="240" w:lineRule="auto"/>
        <w:ind w:left="0" w:firstLine="709"/>
        <w:jc w:val="both"/>
        <w:rPr>
          <w:rStyle w:val="20"/>
          <w:rFonts w:ascii="Times New Roman" w:hAnsi="Times New Roman" w:cs="Times New Roman"/>
          <w:bCs/>
          <w:color w:val="auto"/>
          <w:sz w:val="28"/>
          <w:szCs w:val="28"/>
          <w:shd w:val="clear" w:color="auto" w:fill="FFFFFF"/>
          <w:lang w:val="en-US"/>
        </w:rPr>
      </w:pPr>
      <w:r w:rsidRPr="00FA5792">
        <w:rPr>
          <w:rFonts w:ascii="Times New Roman" w:hAnsi="Times New Roman" w:cs="Times New Roman"/>
          <w:sz w:val="28"/>
          <w:szCs w:val="28"/>
          <w:shd w:val="clear" w:color="auto" w:fill="FFFFFF"/>
          <w:lang w:val="en-US"/>
        </w:rPr>
        <w:t>Yusuf S</w:t>
      </w:r>
      <w:r w:rsidRPr="00B74CCB">
        <w:rPr>
          <w:rFonts w:ascii="Times New Roman" w:hAnsi="Times New Roman" w:cs="Times New Roman"/>
          <w:sz w:val="28"/>
          <w:szCs w:val="28"/>
          <w:shd w:val="clear" w:color="auto" w:fill="FFFFFF"/>
          <w:lang w:val="en-US"/>
        </w:rPr>
        <w:t>.</w:t>
      </w:r>
      <w:r w:rsidRPr="00FA5792">
        <w:rPr>
          <w:rFonts w:ascii="Times New Roman" w:hAnsi="Times New Roman" w:cs="Times New Roman"/>
          <w:sz w:val="28"/>
          <w:szCs w:val="28"/>
          <w:shd w:val="clear" w:color="auto" w:fill="FFFFFF"/>
          <w:lang w:val="en-US"/>
        </w:rPr>
        <w:t>, Reddy S</w:t>
      </w:r>
      <w:r w:rsidRPr="00B74CCB">
        <w:rPr>
          <w:rFonts w:ascii="Times New Roman" w:hAnsi="Times New Roman" w:cs="Times New Roman"/>
          <w:sz w:val="28"/>
          <w:szCs w:val="28"/>
          <w:shd w:val="clear" w:color="auto" w:fill="FFFFFF"/>
          <w:lang w:val="en-US"/>
        </w:rPr>
        <w:t>.</w:t>
      </w:r>
      <w:r w:rsidRPr="00FA5792">
        <w:rPr>
          <w:rFonts w:ascii="Times New Roman" w:hAnsi="Times New Roman" w:cs="Times New Roman"/>
          <w:sz w:val="28"/>
          <w:szCs w:val="28"/>
          <w:shd w:val="clear" w:color="auto" w:fill="FFFFFF"/>
          <w:lang w:val="en-US"/>
        </w:rPr>
        <w:t>, Ounpuu S</w:t>
      </w:r>
      <w:r w:rsidRPr="00B74CCB">
        <w:rPr>
          <w:rFonts w:ascii="Times New Roman" w:hAnsi="Times New Roman" w:cs="Times New Roman"/>
          <w:sz w:val="28"/>
          <w:szCs w:val="28"/>
          <w:shd w:val="clear" w:color="auto" w:fill="FFFFFF"/>
          <w:lang w:val="en-US"/>
        </w:rPr>
        <w:t>.</w:t>
      </w:r>
      <w:r w:rsidRPr="00FA5792">
        <w:rPr>
          <w:rFonts w:ascii="Times New Roman" w:hAnsi="Times New Roman" w:cs="Times New Roman"/>
          <w:sz w:val="28"/>
          <w:szCs w:val="28"/>
          <w:shd w:val="clear" w:color="auto" w:fill="FFFFFF"/>
          <w:lang w:val="en-US"/>
        </w:rPr>
        <w:t>, Anand S. Global burden of cardiovascular diseases: part I: general considerations, the epidemiologic transition, risk factors, and impact of urbanization. </w:t>
      </w:r>
      <w:r w:rsidRPr="00B74CCB">
        <w:rPr>
          <w:rStyle w:val="ref-vol"/>
          <w:rFonts w:ascii="Times New Roman" w:hAnsi="Times New Roman" w:cs="Times New Roman"/>
          <w:sz w:val="28"/>
          <w:szCs w:val="28"/>
          <w:shd w:val="clear" w:color="auto" w:fill="FFFFFF"/>
          <w:lang w:val="en-US"/>
        </w:rPr>
        <w:t>Circulation. </w:t>
      </w:r>
      <w:r>
        <w:rPr>
          <w:rStyle w:val="ref-vol"/>
          <w:rFonts w:ascii="Times New Roman" w:hAnsi="Times New Roman" w:cs="Times New Roman"/>
          <w:sz w:val="28"/>
          <w:szCs w:val="28"/>
          <w:shd w:val="clear" w:color="auto" w:fill="FFFFFF"/>
        </w:rPr>
        <w:t xml:space="preserve">– </w:t>
      </w:r>
      <w:r w:rsidRPr="00B74CCB">
        <w:rPr>
          <w:rFonts w:ascii="Times New Roman" w:hAnsi="Times New Roman" w:cs="Times New Roman"/>
          <w:sz w:val="28"/>
          <w:szCs w:val="28"/>
          <w:shd w:val="clear" w:color="auto" w:fill="FFFFFF"/>
          <w:lang w:val="en-US"/>
        </w:rPr>
        <w:t>2001</w:t>
      </w:r>
      <w:r>
        <w:rPr>
          <w:rFonts w:ascii="Times New Roman" w:hAnsi="Times New Roman" w:cs="Times New Roman"/>
          <w:sz w:val="28"/>
          <w:szCs w:val="28"/>
          <w:shd w:val="clear" w:color="auto" w:fill="FFFFFF"/>
        </w:rPr>
        <w:t>.- №</w:t>
      </w:r>
      <w:r w:rsidRPr="00B74CCB">
        <w:rPr>
          <w:rStyle w:val="nowrap"/>
          <w:rFonts w:ascii="Times New Roman" w:hAnsi="Times New Roman" w:cs="Times New Roman"/>
          <w:bCs/>
          <w:sz w:val="28"/>
          <w:szCs w:val="28"/>
          <w:shd w:val="clear" w:color="auto" w:fill="FFFFFF"/>
          <w:lang w:val="en-US"/>
        </w:rPr>
        <w:t>104</w:t>
      </w:r>
      <w:r w:rsidRPr="00B74CCB">
        <w:rPr>
          <w:rFonts w:ascii="Times New Roman" w:hAnsi="Times New Roman" w:cs="Times New Roman"/>
          <w:sz w:val="28"/>
          <w:szCs w:val="28"/>
          <w:shd w:val="clear" w:color="auto" w:fill="FFFFFF"/>
          <w:lang w:val="en-US"/>
        </w:rPr>
        <w:t>(22)</w:t>
      </w:r>
      <w:r>
        <w:rPr>
          <w:rFonts w:ascii="Times New Roman" w:hAnsi="Times New Roman" w:cs="Times New Roman"/>
          <w:sz w:val="28"/>
          <w:szCs w:val="28"/>
          <w:shd w:val="clear" w:color="auto" w:fill="FFFFFF"/>
        </w:rPr>
        <w:t xml:space="preserve">. – Р. </w:t>
      </w:r>
      <w:r w:rsidRPr="00B74CCB">
        <w:rPr>
          <w:rFonts w:ascii="Times New Roman" w:hAnsi="Times New Roman" w:cs="Times New Roman"/>
          <w:sz w:val="28"/>
          <w:szCs w:val="28"/>
          <w:shd w:val="clear" w:color="auto" w:fill="FFFFFF"/>
          <w:lang w:val="en-US"/>
        </w:rPr>
        <w:t>2746–2753. doi: 10.1161/hc4601.099487. </w:t>
      </w:r>
    </w:p>
    <w:p w14:paraId="5F829BC5" w14:textId="77777777" w:rsidR="00102D9D" w:rsidRPr="00FA5792" w:rsidRDefault="00102D9D" w:rsidP="00102D9D">
      <w:pPr>
        <w:pStyle w:val="a3"/>
        <w:numPr>
          <w:ilvl w:val="0"/>
          <w:numId w:val="75"/>
        </w:numPr>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hAnsi="Times New Roman" w:cs="Times New Roman"/>
          <w:sz w:val="28"/>
          <w:szCs w:val="28"/>
          <w:shd w:val="clear" w:color="auto" w:fill="FFFFFF"/>
          <w:lang w:val="en-US"/>
        </w:rPr>
        <w:t xml:space="preserve">NCD Risk Factor Collaboration (NCD-RisC). Trends in adult body-mass index in 200 countries from 1975 to 2014: a pooled analysis of 1698 population-based measurement studies with 19·2 million participants. </w:t>
      </w:r>
      <w:r w:rsidRPr="00FA5792">
        <w:rPr>
          <w:rFonts w:ascii="Times New Roman" w:hAnsi="Times New Roman" w:cs="Times New Roman"/>
          <w:sz w:val="28"/>
          <w:szCs w:val="28"/>
          <w:shd w:val="clear" w:color="auto" w:fill="FFFFFF"/>
        </w:rPr>
        <w:t>Lancet 2016;387(10026):1377–1396.</w:t>
      </w:r>
    </w:p>
    <w:p w14:paraId="309EB3E0"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iCs/>
          <w:sz w:val="28"/>
          <w:szCs w:val="28"/>
        </w:rPr>
        <w:t xml:space="preserve">Курс на оздоровление: Европейская стратегия профилактики и борьбы с неинфекционными заболеваниями. </w:t>
      </w:r>
      <w:r w:rsidRPr="00FA5792">
        <w:rPr>
          <w:rFonts w:ascii="Times New Roman" w:eastAsia="MyriadPro-Regular" w:hAnsi="Times New Roman" w:cs="Times New Roman"/>
          <w:sz w:val="28"/>
          <w:szCs w:val="28"/>
        </w:rPr>
        <w:t>Копенгаген, Европейское региональное бюро ВОЗ, 2006</w:t>
      </w:r>
      <w:r>
        <w:rPr>
          <w:rFonts w:ascii="Times New Roman" w:eastAsia="MyriadPro-Regular" w:hAnsi="Times New Roman" w:cs="Times New Roman"/>
          <w:sz w:val="28"/>
          <w:szCs w:val="28"/>
        </w:rPr>
        <w:t xml:space="preserve">. </w:t>
      </w:r>
      <w:r w:rsidRPr="00FA5792">
        <w:rPr>
          <w:rFonts w:ascii="Times New Roman" w:eastAsia="MyriadPro-Regular" w:hAnsi="Times New Roman" w:cs="Times New Roman"/>
          <w:sz w:val="28"/>
          <w:szCs w:val="28"/>
        </w:rPr>
        <w:t>http://www.euro.who.int/ document/e89306R.pdf</w:t>
      </w:r>
      <w:r>
        <w:rPr>
          <w:rFonts w:ascii="Times New Roman" w:eastAsia="MyriadPro-Regular" w:hAnsi="Times New Roman" w:cs="Times New Roman"/>
          <w:sz w:val="28"/>
          <w:szCs w:val="28"/>
        </w:rPr>
        <w:t>.</w:t>
      </w:r>
    </w:p>
    <w:p w14:paraId="53677403" w14:textId="77777777" w:rsidR="00102D9D" w:rsidRPr="00C86AF6"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iCs/>
          <w:sz w:val="28"/>
          <w:szCs w:val="28"/>
        </w:rPr>
        <w:t xml:space="preserve">Европейская региональная консультация высокого уровня ДЭСВ ООН/ВОЗ «Борьба с неинфекционными заболеваниями – серьезным препятствием для устойчивого развития в XXI веке». </w:t>
      </w:r>
      <w:r w:rsidRPr="00FA5792">
        <w:rPr>
          <w:rFonts w:ascii="Times New Roman" w:eastAsia="MyriadPro-Regular" w:hAnsi="Times New Roman" w:cs="Times New Roman"/>
          <w:sz w:val="28"/>
          <w:szCs w:val="28"/>
        </w:rPr>
        <w:t xml:space="preserve">Краткий отчет о совещании, 25–26 ноября 2010 г., Осло, Норвегия. Копенгаген, Европейское региональное бюро ВОЗ, 2011 </w:t>
      </w:r>
      <w:hyperlink r:id="rId202" w:history="1">
        <w:r w:rsidRPr="00C86AF6">
          <w:rPr>
            <w:rStyle w:val="ab"/>
            <w:rFonts w:ascii="Times New Roman" w:eastAsia="MyriadPro-Regular" w:hAnsi="Times New Roman" w:cs="Times New Roman"/>
            <w:color w:val="auto"/>
            <w:sz w:val="28"/>
            <w:szCs w:val="28"/>
            <w:u w:val="none"/>
          </w:rPr>
          <w:t>http://www.euro.who.int/__data/assets/pdf_file /0013/141205/NCD_Mtg_Oslo_Apr2011_SumRep_rus.pdf</w:t>
        </w:r>
      </w:hyperlink>
      <w:r w:rsidRPr="00C86AF6">
        <w:rPr>
          <w:rFonts w:ascii="Times New Roman" w:eastAsia="MyriadPro-Regular" w:hAnsi="Times New Roman" w:cs="Times New Roman"/>
          <w:sz w:val="28"/>
          <w:szCs w:val="28"/>
        </w:rPr>
        <w:t xml:space="preserve">. </w:t>
      </w:r>
    </w:p>
    <w:p w14:paraId="42DA768C" w14:textId="77777777" w:rsidR="00102D9D" w:rsidRPr="00FA5792" w:rsidRDefault="00102D9D" w:rsidP="00102D9D">
      <w:pPr>
        <w:pStyle w:val="a3"/>
        <w:numPr>
          <w:ilvl w:val="0"/>
          <w:numId w:val="75"/>
        </w:numPr>
        <w:shd w:val="clear" w:color="auto" w:fill="FFFFFF"/>
        <w:tabs>
          <w:tab w:val="left" w:pos="426"/>
        </w:tabs>
        <w:spacing w:after="0" w:line="240" w:lineRule="auto"/>
        <w:ind w:left="0" w:firstLine="709"/>
        <w:jc w:val="both"/>
        <w:rPr>
          <w:rStyle w:val="details-value"/>
          <w:rFonts w:ascii="Times New Roman" w:eastAsiaTheme="minorHAnsi" w:hAnsi="Times New Roman" w:cs="Times New Roman"/>
          <w:sz w:val="28"/>
          <w:szCs w:val="28"/>
          <w:lang w:val="kk-KZ" w:eastAsia="en-US"/>
        </w:rPr>
      </w:pPr>
      <w:r w:rsidRPr="00FA5792">
        <w:rPr>
          <w:rFonts w:ascii="Times New Roman" w:hAnsi="Times New Roman" w:cs="Times New Roman"/>
          <w:spacing w:val="4"/>
          <w:sz w:val="28"/>
          <w:szCs w:val="28"/>
        </w:rPr>
        <w:t xml:space="preserve">Поддержка реализации ЦУР в Казахстане </w:t>
      </w:r>
      <w:hyperlink r:id="rId203" w:history="1">
        <w:r w:rsidRPr="00FA5792">
          <w:rPr>
            <w:rStyle w:val="details-value"/>
            <w:rFonts w:ascii="Times New Roman" w:hAnsi="Times New Roman" w:cs="Times New Roman"/>
            <w:spacing w:val="4"/>
            <w:sz w:val="28"/>
            <w:szCs w:val="28"/>
          </w:rPr>
          <w:t>https://www.kz.undp.org/content/kazakhstan/ru/home/sustainable-development-goals.html</w:t>
        </w:r>
      </w:hyperlink>
      <w:r>
        <w:rPr>
          <w:rStyle w:val="details-value"/>
          <w:rFonts w:ascii="Times New Roman" w:hAnsi="Times New Roman" w:cs="Times New Roman"/>
          <w:spacing w:val="4"/>
          <w:sz w:val="28"/>
          <w:szCs w:val="28"/>
        </w:rPr>
        <w:t>.</w:t>
      </w:r>
    </w:p>
    <w:p w14:paraId="5202C26F" w14:textId="77777777" w:rsidR="00102D9D" w:rsidRPr="00FA5792" w:rsidRDefault="00102D9D" w:rsidP="00102D9D">
      <w:pPr>
        <w:pStyle w:val="a3"/>
        <w:numPr>
          <w:ilvl w:val="0"/>
          <w:numId w:val="75"/>
        </w:numPr>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hAnsi="Times New Roman" w:cs="Times New Roman"/>
          <w:iCs/>
          <w:sz w:val="28"/>
          <w:szCs w:val="28"/>
        </w:rPr>
        <w:t>Коршевер Н.Г., Сидельников С.А.  Мновекторный способ оценки межсекторального взаимодействия по вопросам охраны здоровья населения</w:t>
      </w:r>
      <w:r w:rsidRPr="00FA5792">
        <w:rPr>
          <w:rFonts w:ascii="Times New Roman" w:hAnsi="Times New Roman" w:cs="Times New Roman"/>
          <w:bCs/>
          <w:sz w:val="28"/>
          <w:szCs w:val="28"/>
        </w:rPr>
        <w:t xml:space="preserve">. </w:t>
      </w:r>
      <w:r>
        <w:rPr>
          <w:rFonts w:ascii="Times New Roman" w:hAnsi="Times New Roman" w:cs="Times New Roman"/>
          <w:bCs/>
          <w:sz w:val="28"/>
          <w:szCs w:val="28"/>
        </w:rPr>
        <w:t xml:space="preserve">// </w:t>
      </w:r>
      <w:r w:rsidRPr="00FA5792">
        <w:rPr>
          <w:rFonts w:ascii="Times New Roman" w:eastAsia="TimesNewRomanPSMT" w:hAnsi="Times New Roman" w:cs="Times New Roman"/>
          <w:sz w:val="28"/>
          <w:szCs w:val="28"/>
        </w:rPr>
        <w:t xml:space="preserve">Проблемы социальной гигиены, здравоохранения и истории медицины. </w:t>
      </w:r>
      <w:r>
        <w:rPr>
          <w:rFonts w:ascii="Times New Roman" w:eastAsia="TimesNewRomanPSMT" w:hAnsi="Times New Roman" w:cs="Times New Roman"/>
          <w:sz w:val="28"/>
          <w:szCs w:val="28"/>
        </w:rPr>
        <w:t xml:space="preserve">– </w:t>
      </w:r>
      <w:r w:rsidRPr="00FA5792">
        <w:rPr>
          <w:rFonts w:ascii="Times New Roman" w:eastAsia="TimesNewRomanPSMT" w:hAnsi="Times New Roman" w:cs="Times New Roman"/>
          <w:sz w:val="28"/>
          <w:szCs w:val="28"/>
        </w:rPr>
        <w:t>2015</w:t>
      </w:r>
      <w:r>
        <w:rPr>
          <w:rFonts w:ascii="Times New Roman" w:eastAsia="TimesNewRomanPSMT" w:hAnsi="Times New Roman" w:cs="Times New Roman"/>
          <w:sz w:val="28"/>
          <w:szCs w:val="28"/>
        </w:rPr>
        <w:t>. -№</w:t>
      </w:r>
      <w:r w:rsidRPr="00FA5792">
        <w:rPr>
          <w:rFonts w:ascii="Times New Roman" w:eastAsia="TimesNewRomanPSMT" w:hAnsi="Times New Roman" w:cs="Times New Roman"/>
          <w:sz w:val="28"/>
          <w:szCs w:val="28"/>
        </w:rPr>
        <w:t>23(5)</w:t>
      </w:r>
      <w:r>
        <w:rPr>
          <w:rFonts w:ascii="Times New Roman" w:eastAsia="TimesNewRomanPSMT" w:hAnsi="Times New Roman" w:cs="Times New Roman"/>
          <w:sz w:val="28"/>
          <w:szCs w:val="28"/>
        </w:rPr>
        <w:t>. -С.</w:t>
      </w:r>
      <w:r w:rsidRPr="00FA5792">
        <w:rPr>
          <w:rFonts w:ascii="Times New Roman" w:eastAsia="TimesNewRomanPSMT" w:hAnsi="Times New Roman" w:cs="Times New Roman"/>
          <w:sz w:val="28"/>
          <w:szCs w:val="28"/>
        </w:rPr>
        <w:t>16</w:t>
      </w:r>
      <w:r>
        <w:rPr>
          <w:rFonts w:ascii="Times New Roman" w:eastAsia="TimesNewRomanPSMT" w:hAnsi="Times New Roman" w:cs="Times New Roman"/>
          <w:sz w:val="28"/>
          <w:szCs w:val="28"/>
        </w:rPr>
        <w:t>-</w:t>
      </w:r>
      <w:r w:rsidRPr="00FA5792">
        <w:rPr>
          <w:rFonts w:ascii="Times New Roman" w:eastAsia="TimesNewRomanPSMT" w:hAnsi="Times New Roman" w:cs="Times New Roman"/>
          <w:sz w:val="28"/>
          <w:szCs w:val="28"/>
        </w:rPr>
        <w:t>19</w:t>
      </w:r>
      <w:r>
        <w:rPr>
          <w:rFonts w:ascii="Times New Roman" w:eastAsia="TimesNewRomanPSMT" w:hAnsi="Times New Roman" w:cs="Times New Roman"/>
          <w:sz w:val="28"/>
          <w:szCs w:val="28"/>
        </w:rPr>
        <w:t>.</w:t>
      </w:r>
    </w:p>
    <w:p w14:paraId="4EE9F38A" w14:textId="77777777" w:rsidR="00102D9D" w:rsidRPr="00FA5792" w:rsidRDefault="001B62DB"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Style w:val="details-value"/>
          <w:rFonts w:ascii="Times New Roman" w:hAnsi="Times New Roman" w:cs="Times New Roman"/>
          <w:sz w:val="28"/>
          <w:szCs w:val="28"/>
        </w:rPr>
      </w:pPr>
      <w:hyperlink r:id="rId204" w:history="1">
        <w:r w:rsidR="00102D9D" w:rsidRPr="00FA5792">
          <w:rPr>
            <w:rStyle w:val="details-value"/>
            <w:rFonts w:ascii="Times New Roman" w:hAnsi="Times New Roman" w:cs="Times New Roman"/>
            <w:sz w:val="28"/>
            <w:szCs w:val="28"/>
          </w:rPr>
          <w:t>http://rcrz.kz/files/PHC%20Conference/Declaration_rus.pdf</w:t>
        </w:r>
      </w:hyperlink>
      <w:r w:rsidR="00102D9D">
        <w:rPr>
          <w:rStyle w:val="details-value"/>
          <w:rFonts w:ascii="Times New Roman" w:hAnsi="Times New Roman" w:cs="Times New Roman"/>
          <w:sz w:val="28"/>
          <w:szCs w:val="28"/>
        </w:rPr>
        <w:t>.</w:t>
      </w:r>
    </w:p>
    <w:p w14:paraId="0030DF76"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pacing w:val="1"/>
          <w:sz w:val="28"/>
          <w:szCs w:val="28"/>
          <w:lang w:val="en-US"/>
        </w:rPr>
      </w:pPr>
      <w:r w:rsidRPr="00FA5792">
        <w:rPr>
          <w:rFonts w:ascii="Times New Roman" w:hAnsi="Times New Roman" w:cs="Times New Roman"/>
          <w:sz w:val="28"/>
          <w:szCs w:val="28"/>
          <w:lang w:val="en-US"/>
        </w:rPr>
        <w:t xml:space="preserve">David E. Bloom, Dan Chisholm, </w:t>
      </w:r>
      <w:r w:rsidRPr="00FA5792">
        <w:rPr>
          <w:rFonts w:ascii="Times New Roman" w:hAnsi="Times New Roman" w:cs="Times New Roman"/>
          <w:spacing w:val="-3"/>
          <w:sz w:val="28"/>
          <w:szCs w:val="28"/>
          <w:lang w:val="en-US"/>
        </w:rPr>
        <w:t>Eva Jané</w:t>
      </w:r>
      <w:r w:rsidRPr="00FA5792">
        <w:rPr>
          <w:rFonts w:ascii="Times New Roman" w:hAnsi="Times New Roman" w:cs="Times New Roman"/>
          <w:sz w:val="28"/>
          <w:szCs w:val="28"/>
          <w:lang w:val="en-US"/>
        </w:rPr>
        <w:t xml:space="preserve">-Llopis,  </w:t>
      </w:r>
      <w:r w:rsidRPr="00FA5792">
        <w:rPr>
          <w:rFonts w:ascii="Times New Roman" w:hAnsi="Times New Roman" w:cs="Times New Roman"/>
          <w:spacing w:val="1"/>
          <w:sz w:val="28"/>
          <w:szCs w:val="28"/>
          <w:lang w:val="en-US"/>
        </w:rPr>
        <w:t>Klaus Prettner, Adam Ste</w:t>
      </w:r>
      <w:r w:rsidRPr="00FA5792">
        <w:rPr>
          <w:rFonts w:ascii="Times New Roman" w:hAnsi="Times New Roman" w:cs="Times New Roman"/>
          <w:sz w:val="28"/>
          <w:szCs w:val="28"/>
          <w:lang w:val="en-US"/>
        </w:rPr>
        <w:t xml:space="preserve">in and Andrea Feigl / </w:t>
      </w:r>
      <w:r w:rsidRPr="00FA5792">
        <w:rPr>
          <w:rFonts w:ascii="Times New Roman" w:hAnsi="Times New Roman" w:cs="Times New Roman"/>
          <w:spacing w:val="-2"/>
          <w:sz w:val="28"/>
          <w:szCs w:val="28"/>
          <w:lang w:val="en-US"/>
        </w:rPr>
        <w:t>World</w:t>
      </w:r>
      <w:r w:rsidRPr="00FA5792">
        <w:rPr>
          <w:rFonts w:ascii="Times New Roman" w:hAnsi="Times New Roman" w:cs="Times New Roman"/>
          <w:sz w:val="28"/>
          <w:szCs w:val="28"/>
          <w:lang w:val="en-US"/>
        </w:rPr>
        <w:t xml:space="preserve"> </w:t>
      </w:r>
      <w:r w:rsidRPr="00FA5792">
        <w:rPr>
          <w:rFonts w:ascii="Times New Roman" w:hAnsi="Times New Roman" w:cs="Times New Roman"/>
          <w:spacing w:val="1"/>
          <w:sz w:val="28"/>
          <w:szCs w:val="28"/>
          <w:lang w:val="en-US"/>
        </w:rPr>
        <w:t>Health Organization/</w:t>
      </w:r>
      <w:r w:rsidRPr="00FA5792">
        <w:rPr>
          <w:rFonts w:ascii="Times New Roman" w:hAnsi="Times New Roman" w:cs="Times New Roman"/>
          <w:sz w:val="28"/>
          <w:szCs w:val="28"/>
          <w:lang w:val="en-US"/>
        </w:rPr>
        <w:t>World Economic Forum/</w:t>
      </w:r>
      <w:r w:rsidRPr="00FA5792">
        <w:rPr>
          <w:rFonts w:ascii="Times New Roman" w:hAnsi="Times New Roman" w:cs="Times New Roman"/>
          <w:bCs/>
          <w:sz w:val="28"/>
          <w:szCs w:val="28"/>
          <w:lang w:val="en-US"/>
        </w:rPr>
        <w:t>From Burden to "Best Buys": Reducing the Economic Impact of Non-Communicable Disease in Low and Middle-Income Countries</w:t>
      </w:r>
      <w:r w:rsidRPr="00FA5792">
        <w:rPr>
          <w:rFonts w:ascii="Times New Roman" w:hAnsi="Times New Roman" w:cs="Times New Roman"/>
          <w:sz w:val="28"/>
          <w:szCs w:val="28"/>
          <w:lang w:val="en-US"/>
        </w:rPr>
        <w:t xml:space="preserve"> /P</w:t>
      </w:r>
      <w:r w:rsidRPr="00FA5792">
        <w:rPr>
          <w:rFonts w:ascii="Times New Roman" w:hAnsi="Times New Roman" w:cs="Times New Roman"/>
          <w:spacing w:val="-3"/>
          <w:sz w:val="28"/>
          <w:szCs w:val="28"/>
          <w:lang w:val="en-US"/>
        </w:rPr>
        <w:t xml:space="preserve">ROGRAM ON THE </w:t>
      </w:r>
      <w:r w:rsidRPr="00FA5792">
        <w:rPr>
          <w:rFonts w:ascii="Times New Roman" w:hAnsi="Times New Roman" w:cs="Times New Roman"/>
          <w:sz w:val="28"/>
          <w:szCs w:val="28"/>
          <w:lang w:val="en-US"/>
        </w:rPr>
        <w:t>G</w:t>
      </w:r>
      <w:r w:rsidRPr="00FA5792">
        <w:rPr>
          <w:rFonts w:ascii="Times New Roman" w:hAnsi="Times New Roman" w:cs="Times New Roman"/>
          <w:spacing w:val="2"/>
          <w:sz w:val="28"/>
          <w:szCs w:val="28"/>
          <w:lang w:val="en-US"/>
        </w:rPr>
        <w:t>LOBAL</w:t>
      </w:r>
      <w:r w:rsidRPr="00FA5792">
        <w:rPr>
          <w:rFonts w:ascii="Times New Roman" w:hAnsi="Times New Roman" w:cs="Times New Roman"/>
          <w:sz w:val="28"/>
          <w:szCs w:val="28"/>
          <w:lang w:val="en-US"/>
        </w:rPr>
        <w:t xml:space="preserve"> D</w:t>
      </w:r>
      <w:r w:rsidRPr="00FA5792">
        <w:rPr>
          <w:rFonts w:ascii="Times New Roman" w:hAnsi="Times New Roman" w:cs="Times New Roman"/>
          <w:spacing w:val="-1"/>
          <w:sz w:val="28"/>
          <w:szCs w:val="28"/>
          <w:lang w:val="en-US"/>
        </w:rPr>
        <w:t xml:space="preserve">EMOGRAPHY OF </w:t>
      </w:r>
      <w:r w:rsidRPr="00FA5792">
        <w:rPr>
          <w:rFonts w:ascii="Times New Roman" w:hAnsi="Times New Roman" w:cs="Times New Roman"/>
          <w:sz w:val="28"/>
          <w:szCs w:val="28"/>
          <w:lang w:val="en-US"/>
        </w:rPr>
        <w:t>A</w:t>
      </w:r>
      <w:r w:rsidRPr="00FA5792">
        <w:rPr>
          <w:rFonts w:ascii="Times New Roman" w:hAnsi="Times New Roman" w:cs="Times New Roman"/>
          <w:spacing w:val="-1"/>
          <w:sz w:val="28"/>
          <w:szCs w:val="28"/>
          <w:lang w:val="en-US"/>
        </w:rPr>
        <w:t>GING/</w:t>
      </w:r>
      <w:r w:rsidRPr="00FA5792">
        <w:rPr>
          <w:rFonts w:ascii="Times New Roman" w:hAnsi="Times New Roman" w:cs="Times New Roman"/>
          <w:sz w:val="28"/>
          <w:szCs w:val="28"/>
          <w:lang w:val="en-US"/>
        </w:rPr>
        <w:t xml:space="preserve"> Working Paper Series/</w:t>
      </w:r>
      <w:r w:rsidRPr="00FA5792">
        <w:rPr>
          <w:rFonts w:ascii="Times New Roman" w:hAnsi="Times New Roman" w:cs="Times New Roman"/>
          <w:spacing w:val="-3"/>
          <w:sz w:val="28"/>
          <w:szCs w:val="28"/>
          <w:lang w:val="en-US"/>
        </w:rPr>
        <w:t>October</w:t>
      </w:r>
      <w:r w:rsidRPr="00FA5792">
        <w:rPr>
          <w:rFonts w:ascii="Times New Roman" w:hAnsi="Times New Roman" w:cs="Times New Roman"/>
          <w:sz w:val="28"/>
          <w:szCs w:val="28"/>
          <w:lang w:val="en-US"/>
        </w:rPr>
        <w:t xml:space="preserve"> </w:t>
      </w:r>
      <w:r w:rsidRPr="00FA5792">
        <w:rPr>
          <w:rFonts w:ascii="Times New Roman" w:hAnsi="Times New Roman" w:cs="Times New Roman"/>
          <w:spacing w:val="3"/>
          <w:sz w:val="28"/>
          <w:szCs w:val="28"/>
          <w:lang w:val="en-US"/>
        </w:rPr>
        <w:t>20</w:t>
      </w:r>
      <w:r w:rsidRPr="00FA5792">
        <w:rPr>
          <w:rFonts w:ascii="Times New Roman" w:hAnsi="Times New Roman" w:cs="Times New Roman"/>
          <w:sz w:val="28"/>
          <w:szCs w:val="28"/>
          <w:lang w:val="en-US"/>
        </w:rPr>
        <w:t xml:space="preserve">11 </w:t>
      </w:r>
      <w:r w:rsidRPr="00FA5792">
        <w:rPr>
          <w:rFonts w:ascii="Times New Roman" w:hAnsi="Times New Roman" w:cs="Times New Roman"/>
          <w:spacing w:val="1"/>
          <w:sz w:val="28"/>
          <w:szCs w:val="28"/>
          <w:lang w:val="en-US"/>
        </w:rPr>
        <w:t xml:space="preserve">PGDA Working Paper </w:t>
      </w:r>
      <w:r w:rsidRPr="00C86AF6">
        <w:rPr>
          <w:rFonts w:ascii="Times New Roman" w:hAnsi="Times New Roman" w:cs="Times New Roman"/>
          <w:spacing w:val="1"/>
          <w:sz w:val="28"/>
          <w:szCs w:val="28"/>
          <w:lang w:val="en-US"/>
        </w:rPr>
        <w:t>№</w:t>
      </w:r>
      <w:r w:rsidRPr="00FA5792">
        <w:rPr>
          <w:rFonts w:ascii="Times New Roman" w:hAnsi="Times New Roman" w:cs="Times New Roman"/>
          <w:sz w:val="28"/>
          <w:szCs w:val="28"/>
          <w:lang w:val="en-US"/>
        </w:rPr>
        <w:t>75</w:t>
      </w:r>
      <w:r w:rsidRPr="00C86AF6">
        <w:rPr>
          <w:rFonts w:ascii="Times New Roman" w:hAnsi="Times New Roman" w:cs="Times New Roman"/>
          <w:sz w:val="28"/>
          <w:szCs w:val="28"/>
          <w:lang w:val="en-US"/>
        </w:rPr>
        <w:t xml:space="preserve">. </w:t>
      </w:r>
      <w:r w:rsidRPr="00FA5792">
        <w:rPr>
          <w:rFonts w:ascii="Times New Roman" w:hAnsi="Times New Roman" w:cs="Times New Roman"/>
          <w:spacing w:val="1"/>
          <w:sz w:val="28"/>
          <w:szCs w:val="28"/>
          <w:lang w:val="en-US"/>
        </w:rPr>
        <w:t>http://www.hsph.harvard.edu/pgda/working.htm</w:t>
      </w:r>
      <w:r w:rsidRPr="00FA5792">
        <w:rPr>
          <w:rFonts w:ascii="Times New Roman" w:hAnsi="Times New Roman" w:cs="Times New Roman"/>
          <w:sz w:val="28"/>
          <w:szCs w:val="28"/>
          <w:lang w:val="en-US"/>
        </w:rPr>
        <w:t xml:space="preserve"> </w:t>
      </w:r>
      <w:r w:rsidRPr="00C86AF6">
        <w:rPr>
          <w:rFonts w:ascii="Times New Roman" w:hAnsi="Times New Roman" w:cs="Times New Roman"/>
          <w:sz w:val="28"/>
          <w:szCs w:val="28"/>
          <w:lang w:val="en-US"/>
        </w:rPr>
        <w:t>.</w:t>
      </w:r>
    </w:p>
    <w:p w14:paraId="6DF95BAD" w14:textId="77777777" w:rsidR="00102D9D" w:rsidRPr="00FA5792" w:rsidRDefault="00102D9D" w:rsidP="00102D9D">
      <w:pPr>
        <w:numPr>
          <w:ilvl w:val="0"/>
          <w:numId w:val="75"/>
        </w:numPr>
        <w:shd w:val="clear" w:color="auto" w:fill="FFFFFF"/>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eastAsia="MyriadPro-Regular" w:hAnsi="Times New Roman" w:cs="Times New Roman"/>
          <w:sz w:val="28"/>
          <w:szCs w:val="28"/>
        </w:rPr>
        <w:t>Научно-практическая конференция «Бремя диабета в Республике Казахстан»</w:t>
      </w:r>
      <w:r>
        <w:rPr>
          <w:rFonts w:ascii="Times New Roman" w:eastAsia="MyriadPro-Regular" w:hAnsi="Times New Roman" w:cs="Times New Roman"/>
          <w:sz w:val="28"/>
          <w:szCs w:val="28"/>
        </w:rPr>
        <w:t xml:space="preserve">. - </w:t>
      </w:r>
      <w:r w:rsidRPr="00FA5792">
        <w:rPr>
          <w:rFonts w:ascii="Times New Roman" w:eastAsia="MyriadPro-Regular" w:hAnsi="Times New Roman" w:cs="Times New Roman"/>
          <w:sz w:val="28"/>
          <w:szCs w:val="28"/>
        </w:rPr>
        <w:t xml:space="preserve"> 2021.</w:t>
      </w:r>
    </w:p>
    <w:p w14:paraId="123EE354"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bCs/>
          <w:sz w:val="28"/>
          <w:szCs w:val="28"/>
        </w:rPr>
        <w:t>Алматинское официальное заявление Мэров города на переднем крае охраны здоровья и благополучия для всех. Европейская сеть ВОЗ «Здоровые города». Саммит мэров.</w:t>
      </w:r>
      <w:r>
        <w:rPr>
          <w:rFonts w:ascii="Times New Roman" w:hAnsi="Times New Roman" w:cs="Times New Roman"/>
          <w:bCs/>
          <w:sz w:val="28"/>
          <w:szCs w:val="28"/>
        </w:rPr>
        <w:t xml:space="preserve"> -</w:t>
      </w:r>
      <w:r w:rsidRPr="00FA5792">
        <w:rPr>
          <w:rFonts w:ascii="Times New Roman" w:hAnsi="Times New Roman" w:cs="Times New Roman"/>
          <w:bCs/>
          <w:sz w:val="28"/>
          <w:szCs w:val="28"/>
        </w:rPr>
        <w:t xml:space="preserve"> Алматы, Казахстан, 23–24 октября 2018. </w:t>
      </w:r>
    </w:p>
    <w:p w14:paraId="11A3C989" w14:textId="77777777" w:rsidR="00102D9D" w:rsidRPr="00373B11" w:rsidRDefault="001B62DB"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Style w:val="details-value"/>
          <w:rFonts w:ascii="Times New Roman" w:hAnsi="Times New Roman" w:cs="Times New Roman"/>
          <w:sz w:val="28"/>
          <w:szCs w:val="28"/>
        </w:rPr>
      </w:pPr>
      <w:hyperlink r:id="rId205" w:tgtFrame="_blank" w:history="1">
        <w:r w:rsidR="00102D9D" w:rsidRPr="00FA5792">
          <w:rPr>
            <w:rStyle w:val="details-value"/>
            <w:rFonts w:ascii="Times New Roman" w:hAnsi="Times New Roman" w:cs="Times New Roman"/>
            <w:sz w:val="28"/>
            <w:szCs w:val="28"/>
            <w:shd w:val="clear" w:color="auto" w:fill="FFFFFF"/>
          </w:rPr>
          <w:t>Астанинская Декларация</w:t>
        </w:r>
      </w:hyperlink>
      <w:r w:rsidR="00102D9D" w:rsidRPr="00FA5792">
        <w:rPr>
          <w:rStyle w:val="ab"/>
          <w:rFonts w:ascii="Times New Roman" w:hAnsi="Times New Roman" w:cs="Times New Roman"/>
          <w:color w:val="auto"/>
          <w:sz w:val="28"/>
          <w:szCs w:val="28"/>
          <w:u w:val="none"/>
          <w:shd w:val="clear" w:color="auto" w:fill="FFFFFF"/>
        </w:rPr>
        <w:t> (</w:t>
      </w:r>
      <w:hyperlink r:id="rId206" w:tgtFrame="_blank" w:history="1">
        <w:r w:rsidR="00102D9D" w:rsidRPr="00FA5792">
          <w:rPr>
            <w:rStyle w:val="details-value"/>
            <w:rFonts w:ascii="Times New Roman" w:hAnsi="Times New Roman" w:cs="Times New Roman"/>
            <w:sz w:val="28"/>
            <w:szCs w:val="28"/>
            <w:shd w:val="clear" w:color="auto" w:fill="FFFFFF"/>
          </w:rPr>
          <w:t>Declaration of Astana</w:t>
        </w:r>
      </w:hyperlink>
      <w:r w:rsidR="00102D9D" w:rsidRPr="00FA5792">
        <w:rPr>
          <w:rStyle w:val="ab"/>
          <w:rFonts w:ascii="Times New Roman" w:hAnsi="Times New Roman" w:cs="Times New Roman"/>
          <w:color w:val="auto"/>
          <w:sz w:val="28"/>
          <w:szCs w:val="28"/>
          <w:u w:val="none"/>
          <w:shd w:val="clear" w:color="auto" w:fill="FFFFFF"/>
        </w:rPr>
        <w:t xml:space="preserve">) </w:t>
      </w:r>
      <w:r w:rsidR="00102D9D" w:rsidRPr="00FA5792">
        <w:rPr>
          <w:rFonts w:ascii="Times New Roman" w:hAnsi="Times New Roman" w:cs="Times New Roman"/>
          <w:sz w:val="28"/>
          <w:szCs w:val="28"/>
        </w:rPr>
        <w:t>Глобальная конференция по первичной медико-санитарной помощи: от Алма-Атинской декларации к всеобщему охвату услугами здравоохранения и Целям в области устойчивого развития Астана, Казахстан, 25 и 26 октября 2018 г. WHO/HIS/SDS/2018.61</w:t>
      </w:r>
      <w:r w:rsidR="00102D9D">
        <w:rPr>
          <w:rFonts w:ascii="Times New Roman" w:hAnsi="Times New Roman" w:cs="Times New Roman"/>
          <w:sz w:val="28"/>
          <w:szCs w:val="28"/>
        </w:rPr>
        <w:t xml:space="preserve"> </w:t>
      </w:r>
      <w:hyperlink r:id="rId207" w:history="1">
        <w:r w:rsidR="00102D9D" w:rsidRPr="00D56033">
          <w:rPr>
            <w:rStyle w:val="ab"/>
            <w:rFonts w:ascii="Times New Roman" w:hAnsi="Times New Roman" w:cs="Times New Roman"/>
            <w:sz w:val="28"/>
            <w:szCs w:val="28"/>
          </w:rPr>
          <w:t>https://www.who.int/docs/default-source/primary-health/ declaration/gcphc-declaration-ru.pdf</w:t>
        </w:r>
      </w:hyperlink>
      <w:r w:rsidR="00102D9D" w:rsidRPr="00373B11">
        <w:rPr>
          <w:rStyle w:val="details-value"/>
          <w:rFonts w:ascii="Times New Roman" w:hAnsi="Times New Roman" w:cs="Times New Roman"/>
          <w:sz w:val="28"/>
          <w:szCs w:val="28"/>
        </w:rPr>
        <w:t>.</w:t>
      </w:r>
    </w:p>
    <w:p w14:paraId="53775334"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373B11">
        <w:rPr>
          <w:rFonts w:ascii="Times New Roman" w:hAnsi="Times New Roman" w:cs="Times New Roman"/>
          <w:sz w:val="28"/>
          <w:szCs w:val="28"/>
        </w:rPr>
        <w:t>Репродуктивно</w:t>
      </w:r>
      <w:r w:rsidRPr="00FA5792">
        <w:rPr>
          <w:rFonts w:ascii="Times New Roman" w:hAnsi="Times New Roman" w:cs="Times New Roman"/>
          <w:sz w:val="28"/>
          <w:szCs w:val="28"/>
        </w:rPr>
        <w:t>е здоровье: проблемы и возможности / Фонд ООН в области народонаселения, Министерство здравоохранения Республики Беларусь. - Мн., 2001. - № 1. - С. 4.</w:t>
      </w:r>
    </w:p>
    <w:p w14:paraId="23BFC1D7"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hAnsi="Times New Roman" w:cs="Times New Roman"/>
          <w:sz w:val="28"/>
          <w:szCs w:val="28"/>
        </w:rPr>
        <w:t xml:space="preserve">Кулов Д.Б. </w:t>
      </w:r>
      <w:r w:rsidRPr="00FA5792">
        <w:rPr>
          <w:rFonts w:ascii="Times New Roman" w:hAnsi="Times New Roman" w:cs="Times New Roman"/>
          <w:bCs/>
          <w:sz w:val="28"/>
          <w:szCs w:val="28"/>
        </w:rPr>
        <w:t xml:space="preserve">Проблемы репродуктивного здоровья женщин в Казахстане // </w:t>
      </w:r>
      <w:r w:rsidRPr="00FA5792">
        <w:rPr>
          <w:rFonts w:ascii="Times New Roman" w:hAnsi="Times New Roman" w:cs="Times New Roman"/>
          <w:sz w:val="28"/>
          <w:szCs w:val="28"/>
        </w:rPr>
        <w:t>Проблемы репродукции. - 2010. - № 3. - С. 24-27.</w:t>
      </w:r>
    </w:p>
    <w:p w14:paraId="0E7C27AE"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kk-KZ"/>
        </w:rPr>
      </w:pPr>
      <w:r w:rsidRPr="00FA5792">
        <w:rPr>
          <w:rFonts w:ascii="Times New Roman" w:hAnsi="Times New Roman" w:cs="Times New Roman"/>
          <w:sz w:val="28"/>
          <w:szCs w:val="28"/>
        </w:rPr>
        <w:t>Мураталина А.Н. «Сахарный диабет в мегаполисе: частота, качество лечения, осложнения (на примере г. Алматы)»</w:t>
      </w:r>
      <w:r>
        <w:rPr>
          <w:rFonts w:ascii="Times New Roman" w:hAnsi="Times New Roman" w:cs="Times New Roman"/>
          <w:sz w:val="28"/>
          <w:szCs w:val="28"/>
        </w:rPr>
        <w:t xml:space="preserve">. - </w:t>
      </w:r>
      <w:r w:rsidRPr="00FA5792">
        <w:rPr>
          <w:rFonts w:ascii="Times New Roman" w:hAnsi="Times New Roman" w:cs="Times New Roman"/>
          <w:sz w:val="28"/>
          <w:szCs w:val="28"/>
        </w:rPr>
        <w:t xml:space="preserve"> 2010</w:t>
      </w:r>
      <w:r>
        <w:rPr>
          <w:rFonts w:ascii="Times New Roman" w:hAnsi="Times New Roman" w:cs="Times New Roman"/>
          <w:sz w:val="28"/>
          <w:szCs w:val="28"/>
        </w:rPr>
        <w:t>. -</w:t>
      </w:r>
      <w:r w:rsidRPr="00FA5792">
        <w:rPr>
          <w:rFonts w:ascii="Times New Roman" w:hAnsi="Times New Roman" w:cs="Times New Roman"/>
          <w:sz w:val="28"/>
          <w:szCs w:val="28"/>
        </w:rPr>
        <w:t xml:space="preserve"> 106 с.</w:t>
      </w:r>
    </w:p>
    <w:p w14:paraId="4C0AF821"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kk-KZ"/>
        </w:rPr>
      </w:pPr>
      <w:r w:rsidRPr="00FA5792">
        <w:rPr>
          <w:rFonts w:ascii="Times New Roman" w:hAnsi="Times New Roman" w:cs="Times New Roman"/>
          <w:sz w:val="28"/>
          <w:szCs w:val="28"/>
        </w:rPr>
        <w:t xml:space="preserve">Турдалиева Б.С. Научно-обоснованные подходы к профилактике хронических неинфекционных заболеваний в современных условиях. </w:t>
      </w:r>
      <w:r>
        <w:rPr>
          <w:rFonts w:ascii="Times New Roman" w:hAnsi="Times New Roman" w:cs="Times New Roman"/>
          <w:sz w:val="28"/>
          <w:szCs w:val="28"/>
        </w:rPr>
        <w:t xml:space="preserve">- </w:t>
      </w:r>
      <w:r w:rsidRPr="00FA5792">
        <w:rPr>
          <w:rFonts w:ascii="Times New Roman" w:hAnsi="Times New Roman" w:cs="Times New Roman"/>
          <w:sz w:val="28"/>
          <w:szCs w:val="28"/>
        </w:rPr>
        <w:t>2008</w:t>
      </w:r>
      <w:r>
        <w:rPr>
          <w:rFonts w:ascii="Times New Roman" w:hAnsi="Times New Roman" w:cs="Times New Roman"/>
          <w:sz w:val="28"/>
          <w:szCs w:val="28"/>
        </w:rPr>
        <w:t>. -</w:t>
      </w:r>
      <w:r w:rsidRPr="00FA5792">
        <w:rPr>
          <w:rFonts w:ascii="Times New Roman" w:hAnsi="Times New Roman" w:cs="Times New Roman"/>
          <w:sz w:val="28"/>
          <w:szCs w:val="28"/>
        </w:rPr>
        <w:t xml:space="preserve"> 264</w:t>
      </w:r>
      <w:r>
        <w:rPr>
          <w:rFonts w:ascii="Times New Roman" w:hAnsi="Times New Roman" w:cs="Times New Roman"/>
          <w:sz w:val="28"/>
          <w:szCs w:val="28"/>
        </w:rPr>
        <w:t xml:space="preserve"> </w:t>
      </w:r>
      <w:r w:rsidRPr="00FA5792">
        <w:rPr>
          <w:rFonts w:ascii="Times New Roman" w:hAnsi="Times New Roman" w:cs="Times New Roman"/>
          <w:sz w:val="28"/>
          <w:szCs w:val="28"/>
        </w:rPr>
        <w:t>с.</w:t>
      </w:r>
    </w:p>
    <w:p w14:paraId="5BDDF37C"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kk-KZ"/>
        </w:rPr>
      </w:pPr>
      <w:r w:rsidRPr="00FA5792">
        <w:rPr>
          <w:rFonts w:ascii="Times New Roman" w:hAnsi="Times New Roman" w:cs="Times New Roman"/>
          <w:sz w:val="28"/>
          <w:szCs w:val="28"/>
        </w:rPr>
        <w:t xml:space="preserve">Танбаева Г.З. Организационно-клинические основы совершенствования специализированной медицинской помощи больным сахарным диабетом в пожилом возрасте. </w:t>
      </w:r>
      <w:r>
        <w:rPr>
          <w:rFonts w:ascii="Times New Roman" w:hAnsi="Times New Roman" w:cs="Times New Roman"/>
          <w:sz w:val="28"/>
          <w:szCs w:val="28"/>
        </w:rPr>
        <w:t xml:space="preserve">– </w:t>
      </w:r>
      <w:r w:rsidRPr="00FA5792">
        <w:rPr>
          <w:rFonts w:ascii="Times New Roman" w:hAnsi="Times New Roman" w:cs="Times New Roman"/>
          <w:sz w:val="28"/>
          <w:szCs w:val="28"/>
        </w:rPr>
        <w:t>2004</w:t>
      </w:r>
      <w:r>
        <w:rPr>
          <w:rFonts w:ascii="Times New Roman" w:hAnsi="Times New Roman" w:cs="Times New Roman"/>
          <w:sz w:val="28"/>
          <w:szCs w:val="28"/>
        </w:rPr>
        <w:t>. –</w:t>
      </w:r>
      <w:r w:rsidRPr="00FA5792">
        <w:rPr>
          <w:rFonts w:ascii="Times New Roman" w:hAnsi="Times New Roman" w:cs="Times New Roman"/>
          <w:sz w:val="28"/>
          <w:szCs w:val="28"/>
        </w:rPr>
        <w:t xml:space="preserve"> 260</w:t>
      </w:r>
      <w:r>
        <w:rPr>
          <w:rFonts w:ascii="Times New Roman" w:hAnsi="Times New Roman" w:cs="Times New Roman"/>
          <w:sz w:val="28"/>
          <w:szCs w:val="28"/>
        </w:rPr>
        <w:t xml:space="preserve"> </w:t>
      </w:r>
      <w:r w:rsidRPr="00FA5792">
        <w:rPr>
          <w:rFonts w:ascii="Times New Roman" w:hAnsi="Times New Roman" w:cs="Times New Roman"/>
          <w:sz w:val="28"/>
          <w:szCs w:val="28"/>
        </w:rPr>
        <w:t>с.</w:t>
      </w:r>
    </w:p>
    <w:p w14:paraId="6CD2D2A8"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bCs/>
          <w:sz w:val="28"/>
          <w:szCs w:val="28"/>
          <w:shd w:val="clear" w:color="auto" w:fill="FFFFFF"/>
        </w:rPr>
      </w:pPr>
      <w:r w:rsidRPr="00FA5792">
        <w:rPr>
          <w:rFonts w:ascii="Times New Roman" w:hAnsi="Times New Roman" w:cs="Times New Roman"/>
          <w:sz w:val="28"/>
          <w:szCs w:val="28"/>
        </w:rPr>
        <w:t xml:space="preserve">Тажиева А.Е. Состояние и совершенствование организации амбулаторно-поликлинической помощи взрослым больным сахарным диабетом 2 типа в г.Алматы. </w:t>
      </w:r>
      <w:r>
        <w:rPr>
          <w:rFonts w:ascii="Times New Roman" w:hAnsi="Times New Roman" w:cs="Times New Roman"/>
          <w:sz w:val="28"/>
          <w:szCs w:val="28"/>
        </w:rPr>
        <w:t>д</w:t>
      </w:r>
      <w:r w:rsidRPr="00FA5792">
        <w:rPr>
          <w:rFonts w:ascii="Times New Roman" w:hAnsi="Times New Roman" w:cs="Times New Roman"/>
          <w:sz w:val="28"/>
          <w:szCs w:val="28"/>
        </w:rPr>
        <w:t>исс</w:t>
      </w:r>
      <w:r>
        <w:rPr>
          <w:rFonts w:ascii="Times New Roman" w:hAnsi="Times New Roman" w:cs="Times New Roman"/>
          <w:sz w:val="28"/>
          <w:szCs w:val="28"/>
        </w:rPr>
        <w:t>. …докт.</w:t>
      </w:r>
      <w:r w:rsidRPr="00FA5792">
        <w:rPr>
          <w:rFonts w:ascii="Times New Roman" w:hAnsi="Times New Roman" w:cs="Times New Roman"/>
          <w:sz w:val="28"/>
          <w:szCs w:val="28"/>
        </w:rPr>
        <w:t>фил</w:t>
      </w:r>
      <w:r>
        <w:rPr>
          <w:rFonts w:ascii="Times New Roman" w:hAnsi="Times New Roman" w:cs="Times New Roman"/>
          <w:sz w:val="28"/>
          <w:szCs w:val="28"/>
        </w:rPr>
        <w:t>ос.</w:t>
      </w:r>
      <w:r w:rsidRPr="00FA5792">
        <w:rPr>
          <w:rFonts w:ascii="Times New Roman" w:hAnsi="Times New Roman" w:cs="Times New Roman"/>
          <w:sz w:val="28"/>
          <w:szCs w:val="28"/>
        </w:rPr>
        <w:t>PhD.</w:t>
      </w:r>
      <w:r>
        <w:rPr>
          <w:rFonts w:ascii="Times New Roman" w:hAnsi="Times New Roman" w:cs="Times New Roman"/>
          <w:sz w:val="28"/>
          <w:szCs w:val="28"/>
        </w:rPr>
        <w:t>-</w:t>
      </w:r>
      <w:r w:rsidRPr="00FA5792">
        <w:rPr>
          <w:rFonts w:ascii="Times New Roman" w:hAnsi="Times New Roman" w:cs="Times New Roman"/>
          <w:sz w:val="28"/>
          <w:szCs w:val="28"/>
        </w:rPr>
        <w:t xml:space="preserve"> Алматы, 2018</w:t>
      </w:r>
    </w:p>
    <w:p w14:paraId="6EE86579" w14:textId="77777777" w:rsidR="00102D9D" w:rsidRPr="00FA5792" w:rsidRDefault="00102D9D" w:rsidP="00102D9D">
      <w:pPr>
        <w:numPr>
          <w:ilvl w:val="0"/>
          <w:numId w:val="75"/>
        </w:numPr>
        <w:shd w:val="clear" w:color="auto" w:fill="FFFFFF"/>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 xml:space="preserve">Что показало исследование «Бремя диабета в РК» </w:t>
      </w:r>
      <w:r w:rsidRPr="00FA5792">
        <w:rPr>
          <w:rFonts w:ascii="Times New Roman" w:hAnsi="Times New Roman" w:cs="Times New Roman"/>
          <w:iCs/>
          <w:sz w:val="28"/>
          <w:szCs w:val="28"/>
          <w:shd w:val="clear" w:color="auto" w:fill="FFFFFF"/>
        </w:rPr>
        <w:t>01 июля 2021. «Казахстанский фармацевтический вестник»</w:t>
      </w:r>
      <w:r>
        <w:rPr>
          <w:rFonts w:ascii="Times New Roman" w:hAnsi="Times New Roman" w:cs="Times New Roman"/>
          <w:iCs/>
          <w:sz w:val="28"/>
          <w:szCs w:val="28"/>
          <w:shd w:val="clear" w:color="auto" w:fill="FFFFFF"/>
        </w:rPr>
        <w:t>.- 2021.-</w:t>
      </w:r>
      <w:r w:rsidRPr="00FA5792">
        <w:rPr>
          <w:rFonts w:ascii="Times New Roman" w:hAnsi="Times New Roman" w:cs="Times New Roman"/>
          <w:iCs/>
          <w:sz w:val="28"/>
          <w:szCs w:val="28"/>
          <w:shd w:val="clear" w:color="auto" w:fill="FFFFFF"/>
        </w:rPr>
        <w:t xml:space="preserve"> №13</w:t>
      </w:r>
      <w:r>
        <w:rPr>
          <w:rFonts w:ascii="Times New Roman" w:hAnsi="Times New Roman" w:cs="Times New Roman"/>
          <w:iCs/>
          <w:sz w:val="28"/>
          <w:szCs w:val="28"/>
          <w:shd w:val="clear" w:color="auto" w:fill="FFFFFF"/>
        </w:rPr>
        <w:t xml:space="preserve">. - </w:t>
      </w:r>
      <w:r w:rsidRPr="00FA5792">
        <w:rPr>
          <w:rFonts w:ascii="Times New Roman" w:hAnsi="Times New Roman" w:cs="Times New Roman"/>
          <w:iCs/>
          <w:sz w:val="28"/>
          <w:szCs w:val="28"/>
          <w:shd w:val="clear" w:color="auto" w:fill="FFFFFF"/>
        </w:rPr>
        <w:t>612</w:t>
      </w:r>
      <w:r>
        <w:rPr>
          <w:rFonts w:ascii="Times New Roman" w:hAnsi="Times New Roman" w:cs="Times New Roman"/>
          <w:iCs/>
          <w:sz w:val="28"/>
          <w:szCs w:val="28"/>
          <w:shd w:val="clear" w:color="auto" w:fill="FFFFFF"/>
        </w:rPr>
        <w:t xml:space="preserve"> с. </w:t>
      </w:r>
      <w:hyperlink r:id="rId208" w:history="1">
        <w:r w:rsidRPr="0059219B">
          <w:rPr>
            <w:rStyle w:val="ab"/>
            <w:rFonts w:ascii="Times New Roman" w:hAnsi="Times New Roman" w:cs="Times New Roman"/>
            <w:color w:val="auto"/>
            <w:sz w:val="28"/>
            <w:szCs w:val="28"/>
            <w:u w:val="none"/>
          </w:rPr>
          <w:t>https://pharmnewskz.com/ru/article/chto-pokazalo-issledovanie-bremya-diabeta-v-rk_18494</w:t>
        </w:r>
      </w:hyperlink>
    </w:p>
    <w:p w14:paraId="6489C944" w14:textId="77777777" w:rsidR="00102D9D" w:rsidRPr="00FA5792" w:rsidRDefault="00102D9D" w:rsidP="00102D9D">
      <w:pPr>
        <w:pStyle w:val="a3"/>
        <w:numPr>
          <w:ilvl w:val="0"/>
          <w:numId w:val="75"/>
        </w:numPr>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t xml:space="preserve">Степкина Е. Л. Фармакоэкономические подходы к совершенствованию лекарственной помощи больным сахарным диабетом (на примере г. Алматы). </w:t>
      </w:r>
      <w:r>
        <w:rPr>
          <w:rFonts w:ascii="Times New Roman" w:eastAsia="Times New Roman" w:hAnsi="Times New Roman" w:cs="Times New Roman"/>
          <w:sz w:val="28"/>
          <w:szCs w:val="28"/>
        </w:rPr>
        <w:t xml:space="preserve">- </w:t>
      </w:r>
      <w:r w:rsidRPr="00FA5792">
        <w:rPr>
          <w:rFonts w:ascii="Times New Roman" w:eastAsia="Times New Roman" w:hAnsi="Times New Roman" w:cs="Times New Roman"/>
          <w:sz w:val="28"/>
          <w:szCs w:val="28"/>
        </w:rPr>
        <w:t>2009</w:t>
      </w:r>
      <w:r>
        <w:rPr>
          <w:rFonts w:ascii="Times New Roman" w:eastAsia="Times New Roman" w:hAnsi="Times New Roman" w:cs="Times New Roman"/>
          <w:sz w:val="28"/>
          <w:szCs w:val="28"/>
        </w:rPr>
        <w:t>. –</w:t>
      </w:r>
      <w:r w:rsidRPr="00FA5792">
        <w:rPr>
          <w:rFonts w:ascii="Times New Roman" w:eastAsia="Times New Roman" w:hAnsi="Times New Roman" w:cs="Times New Roman"/>
          <w:sz w:val="28"/>
          <w:szCs w:val="28"/>
        </w:rPr>
        <w:t xml:space="preserve"> 124</w:t>
      </w:r>
      <w:r>
        <w:rPr>
          <w:rFonts w:ascii="Times New Roman" w:eastAsia="Times New Roman" w:hAnsi="Times New Roman" w:cs="Times New Roman"/>
          <w:sz w:val="28"/>
          <w:szCs w:val="28"/>
        </w:rPr>
        <w:t xml:space="preserve"> с</w:t>
      </w:r>
      <w:r w:rsidRPr="00FA5792">
        <w:rPr>
          <w:rFonts w:ascii="Times New Roman" w:eastAsia="Times New Roman" w:hAnsi="Times New Roman" w:cs="Times New Roman"/>
          <w:sz w:val="28"/>
          <w:szCs w:val="28"/>
        </w:rPr>
        <w:t>.</w:t>
      </w:r>
    </w:p>
    <w:p w14:paraId="14FB2EB7" w14:textId="77777777" w:rsidR="00102D9D" w:rsidRPr="00FA5792" w:rsidRDefault="00102D9D" w:rsidP="00102D9D">
      <w:pPr>
        <w:pStyle w:val="a3"/>
        <w:numPr>
          <w:ilvl w:val="0"/>
          <w:numId w:val="75"/>
        </w:numPr>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t>Раманкулов Е.М. Ингибиторы дипептидилпептидазы-4: эффективность приема, маркеры чувствительности. Регистрационный номер: 0115РК01748</w:t>
      </w:r>
    </w:p>
    <w:p w14:paraId="033BE35F" w14:textId="77777777" w:rsidR="00102D9D" w:rsidRPr="00FA5792" w:rsidRDefault="00102D9D" w:rsidP="00102D9D">
      <w:pPr>
        <w:pStyle w:val="a3"/>
        <w:numPr>
          <w:ilvl w:val="0"/>
          <w:numId w:val="75"/>
        </w:numPr>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t xml:space="preserve"> Жармаханова Г. М. Влияние симвастатина на ранние проявления атеросклероза, индуцированного суточными колебаниями гликемии.</w:t>
      </w:r>
      <w:r>
        <w:rPr>
          <w:rFonts w:ascii="Times New Roman" w:eastAsia="Times New Roman" w:hAnsi="Times New Roman" w:cs="Times New Roman"/>
          <w:sz w:val="28"/>
          <w:szCs w:val="28"/>
        </w:rPr>
        <w:t>-</w:t>
      </w:r>
      <w:r w:rsidRPr="00FA5792">
        <w:rPr>
          <w:rFonts w:ascii="Times New Roman" w:eastAsia="Times New Roman" w:hAnsi="Times New Roman" w:cs="Times New Roman"/>
          <w:sz w:val="28"/>
          <w:szCs w:val="28"/>
        </w:rPr>
        <w:t xml:space="preserve"> 2015</w:t>
      </w:r>
      <w:r>
        <w:rPr>
          <w:rFonts w:ascii="Times New Roman" w:eastAsia="Times New Roman" w:hAnsi="Times New Roman" w:cs="Times New Roman"/>
          <w:sz w:val="28"/>
          <w:szCs w:val="28"/>
        </w:rPr>
        <w:t>.-</w:t>
      </w:r>
      <w:r w:rsidRPr="00FA5792">
        <w:rPr>
          <w:rFonts w:ascii="Times New Roman" w:eastAsia="Times New Roman" w:hAnsi="Times New Roman" w:cs="Times New Roman"/>
          <w:sz w:val="28"/>
          <w:szCs w:val="28"/>
        </w:rPr>
        <w:t xml:space="preserve"> 96 с.</w:t>
      </w:r>
    </w:p>
    <w:p w14:paraId="2B8E7287" w14:textId="77777777" w:rsidR="00102D9D" w:rsidRPr="00FA5792" w:rsidRDefault="00102D9D" w:rsidP="00102D9D">
      <w:pPr>
        <w:pStyle w:val="a3"/>
        <w:numPr>
          <w:ilvl w:val="0"/>
          <w:numId w:val="75"/>
        </w:numPr>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t xml:space="preserve">Курмамбаев Е. Ж. Влияние альфа-липоевой кислоты на модуляцию ангиогенеза при сахарном диабете 2-го типа. </w:t>
      </w:r>
      <w:r>
        <w:rPr>
          <w:rFonts w:ascii="Times New Roman" w:eastAsia="Times New Roman" w:hAnsi="Times New Roman" w:cs="Times New Roman"/>
          <w:sz w:val="28"/>
          <w:szCs w:val="28"/>
        </w:rPr>
        <w:t xml:space="preserve">- </w:t>
      </w:r>
      <w:r w:rsidRPr="00FA5792">
        <w:rPr>
          <w:rFonts w:ascii="Times New Roman" w:eastAsia="Times New Roman" w:hAnsi="Times New Roman" w:cs="Times New Roman"/>
          <w:sz w:val="28"/>
          <w:szCs w:val="28"/>
        </w:rPr>
        <w:t>2015</w:t>
      </w:r>
      <w:r>
        <w:rPr>
          <w:rFonts w:ascii="Times New Roman" w:eastAsia="Times New Roman" w:hAnsi="Times New Roman" w:cs="Times New Roman"/>
          <w:sz w:val="28"/>
          <w:szCs w:val="28"/>
        </w:rPr>
        <w:t>. -</w:t>
      </w:r>
      <w:r w:rsidRPr="00FA5792">
        <w:rPr>
          <w:rFonts w:ascii="Times New Roman" w:eastAsia="Times New Roman" w:hAnsi="Times New Roman" w:cs="Times New Roman"/>
          <w:sz w:val="28"/>
          <w:szCs w:val="28"/>
        </w:rPr>
        <w:t xml:space="preserve"> 87 с.</w:t>
      </w:r>
    </w:p>
    <w:p w14:paraId="12CC75AC" w14:textId="77777777" w:rsidR="00102D9D" w:rsidRPr="00FA5792" w:rsidRDefault="00102D9D" w:rsidP="00102D9D">
      <w:pPr>
        <w:pStyle w:val="a3"/>
        <w:numPr>
          <w:ilvl w:val="0"/>
          <w:numId w:val="75"/>
        </w:numPr>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t xml:space="preserve">Толеубеков К. К. Клинико-биохимические показатели больных хронической ишемической болезнью сердца и сахарным диабетом при лечении триметазидином. </w:t>
      </w:r>
      <w:r>
        <w:rPr>
          <w:rFonts w:ascii="Times New Roman" w:eastAsia="Times New Roman" w:hAnsi="Times New Roman" w:cs="Times New Roman"/>
          <w:sz w:val="28"/>
          <w:szCs w:val="28"/>
        </w:rPr>
        <w:t xml:space="preserve">– </w:t>
      </w:r>
      <w:r w:rsidRPr="00FA5792">
        <w:rPr>
          <w:rFonts w:ascii="Times New Roman" w:eastAsia="Times New Roman" w:hAnsi="Times New Roman" w:cs="Times New Roman"/>
          <w:sz w:val="28"/>
          <w:szCs w:val="28"/>
        </w:rPr>
        <w:t>2007</w:t>
      </w:r>
      <w:r>
        <w:rPr>
          <w:rFonts w:ascii="Times New Roman" w:eastAsia="Times New Roman" w:hAnsi="Times New Roman" w:cs="Times New Roman"/>
          <w:sz w:val="28"/>
          <w:szCs w:val="28"/>
        </w:rPr>
        <w:t xml:space="preserve">. – </w:t>
      </w:r>
      <w:r w:rsidRPr="00FA5792">
        <w:rPr>
          <w:rFonts w:ascii="Times New Roman" w:eastAsia="Times New Roman" w:hAnsi="Times New Roman" w:cs="Times New Roman"/>
          <w:sz w:val="28"/>
          <w:szCs w:val="28"/>
        </w:rPr>
        <w:t>110</w:t>
      </w:r>
      <w:r>
        <w:rPr>
          <w:rFonts w:ascii="Times New Roman" w:eastAsia="Times New Roman" w:hAnsi="Times New Roman" w:cs="Times New Roman"/>
          <w:sz w:val="28"/>
          <w:szCs w:val="28"/>
        </w:rPr>
        <w:t xml:space="preserve"> </w:t>
      </w:r>
      <w:r w:rsidRPr="00FA5792">
        <w:rPr>
          <w:rFonts w:ascii="Times New Roman" w:eastAsia="Times New Roman" w:hAnsi="Times New Roman" w:cs="Times New Roman"/>
          <w:sz w:val="28"/>
          <w:szCs w:val="28"/>
        </w:rPr>
        <w:t>с.</w:t>
      </w:r>
    </w:p>
    <w:p w14:paraId="48CAFCAF" w14:textId="77777777" w:rsidR="00102D9D" w:rsidRPr="00FA5792" w:rsidRDefault="00102D9D" w:rsidP="00102D9D">
      <w:pPr>
        <w:pStyle w:val="a3"/>
        <w:numPr>
          <w:ilvl w:val="0"/>
          <w:numId w:val="75"/>
        </w:numPr>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t xml:space="preserve">Большакова С. В. Разработка новых методов диагностики и лечения диабетической хейроартропатии. </w:t>
      </w:r>
      <w:r>
        <w:rPr>
          <w:rFonts w:ascii="Times New Roman" w:eastAsia="Times New Roman" w:hAnsi="Times New Roman" w:cs="Times New Roman"/>
          <w:sz w:val="28"/>
          <w:szCs w:val="28"/>
        </w:rPr>
        <w:t xml:space="preserve">– </w:t>
      </w:r>
      <w:r w:rsidRPr="00FA5792">
        <w:rPr>
          <w:rFonts w:ascii="Times New Roman" w:eastAsia="Times New Roman" w:hAnsi="Times New Roman" w:cs="Times New Roman"/>
          <w:sz w:val="28"/>
          <w:szCs w:val="28"/>
        </w:rPr>
        <w:t>2007</w:t>
      </w:r>
      <w:r>
        <w:rPr>
          <w:rFonts w:ascii="Times New Roman" w:eastAsia="Times New Roman" w:hAnsi="Times New Roman" w:cs="Times New Roman"/>
          <w:sz w:val="28"/>
          <w:szCs w:val="28"/>
        </w:rPr>
        <w:t>. –</w:t>
      </w:r>
      <w:r w:rsidRPr="00FA5792">
        <w:rPr>
          <w:rFonts w:ascii="Times New Roman" w:eastAsia="Times New Roman" w:hAnsi="Times New Roman" w:cs="Times New Roman"/>
          <w:sz w:val="28"/>
          <w:szCs w:val="28"/>
        </w:rPr>
        <w:t xml:space="preserve"> 100</w:t>
      </w:r>
      <w:r>
        <w:rPr>
          <w:rFonts w:ascii="Times New Roman" w:eastAsia="Times New Roman" w:hAnsi="Times New Roman" w:cs="Times New Roman"/>
          <w:sz w:val="28"/>
          <w:szCs w:val="28"/>
        </w:rPr>
        <w:t xml:space="preserve"> с.</w:t>
      </w:r>
    </w:p>
    <w:p w14:paraId="2E4C9E11" w14:textId="77777777" w:rsidR="00102D9D" w:rsidRPr="00FA5792" w:rsidRDefault="00102D9D" w:rsidP="00102D9D">
      <w:pPr>
        <w:pStyle w:val="a3"/>
        <w:numPr>
          <w:ilvl w:val="0"/>
          <w:numId w:val="75"/>
        </w:numPr>
        <w:shd w:val="clear" w:color="auto" w:fill="FFFFFF"/>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t xml:space="preserve">Месова А.М. Влияние эмоционального стресса на течение сахарного диабета и пути коррекции (экспериментальное исследование). </w:t>
      </w:r>
      <w:r>
        <w:rPr>
          <w:rFonts w:ascii="Times New Roman" w:eastAsia="Times New Roman" w:hAnsi="Times New Roman" w:cs="Times New Roman"/>
          <w:sz w:val="28"/>
          <w:szCs w:val="28"/>
        </w:rPr>
        <w:t xml:space="preserve">– </w:t>
      </w:r>
      <w:r w:rsidRPr="00FA5792">
        <w:rPr>
          <w:rFonts w:ascii="Times New Roman" w:eastAsia="Times New Roman" w:hAnsi="Times New Roman" w:cs="Times New Roman"/>
          <w:sz w:val="28"/>
          <w:szCs w:val="28"/>
        </w:rPr>
        <w:t>2010</w:t>
      </w:r>
      <w:r>
        <w:rPr>
          <w:rFonts w:ascii="Times New Roman" w:eastAsia="Times New Roman" w:hAnsi="Times New Roman" w:cs="Times New Roman"/>
          <w:sz w:val="28"/>
          <w:szCs w:val="28"/>
        </w:rPr>
        <w:t>. –</w:t>
      </w:r>
      <w:r w:rsidRPr="00FA5792">
        <w:rPr>
          <w:rFonts w:ascii="Times New Roman" w:eastAsia="Times New Roman" w:hAnsi="Times New Roman" w:cs="Times New Roman"/>
          <w:sz w:val="28"/>
          <w:szCs w:val="28"/>
        </w:rPr>
        <w:t xml:space="preserve"> 136</w:t>
      </w:r>
      <w:r>
        <w:rPr>
          <w:rFonts w:ascii="Times New Roman" w:eastAsia="Times New Roman" w:hAnsi="Times New Roman" w:cs="Times New Roman"/>
          <w:sz w:val="28"/>
          <w:szCs w:val="28"/>
        </w:rPr>
        <w:t xml:space="preserve"> </w:t>
      </w:r>
      <w:r w:rsidRPr="00FA5792">
        <w:rPr>
          <w:rFonts w:ascii="Times New Roman" w:eastAsia="Times New Roman" w:hAnsi="Times New Roman" w:cs="Times New Roman"/>
          <w:sz w:val="28"/>
          <w:szCs w:val="28"/>
        </w:rPr>
        <w:t>с.</w:t>
      </w:r>
    </w:p>
    <w:p w14:paraId="4C58B982" w14:textId="77777777" w:rsidR="00102D9D" w:rsidRPr="00FA5792" w:rsidRDefault="00102D9D" w:rsidP="00102D9D">
      <w:pPr>
        <w:pStyle w:val="a3"/>
        <w:numPr>
          <w:ilvl w:val="0"/>
          <w:numId w:val="75"/>
        </w:numPr>
        <w:shd w:val="clear" w:color="auto" w:fill="FFFFFF"/>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t xml:space="preserve"> Касенова А. С. Инсомнические и когнитивные нарушения при СД 2 типа. </w:t>
      </w:r>
      <w:r>
        <w:rPr>
          <w:rFonts w:ascii="Times New Roman" w:eastAsia="Times New Roman" w:hAnsi="Times New Roman" w:cs="Times New Roman"/>
          <w:sz w:val="28"/>
          <w:szCs w:val="28"/>
        </w:rPr>
        <w:t xml:space="preserve">– </w:t>
      </w:r>
      <w:r w:rsidRPr="00FA5792">
        <w:rPr>
          <w:rFonts w:ascii="Times New Roman" w:eastAsia="Times New Roman" w:hAnsi="Times New Roman" w:cs="Times New Roman"/>
          <w:sz w:val="28"/>
          <w:szCs w:val="28"/>
        </w:rPr>
        <w:t>2018</w:t>
      </w:r>
      <w:r>
        <w:rPr>
          <w:rFonts w:ascii="Times New Roman" w:eastAsia="Times New Roman" w:hAnsi="Times New Roman" w:cs="Times New Roman"/>
          <w:sz w:val="28"/>
          <w:szCs w:val="28"/>
        </w:rPr>
        <w:t>. –</w:t>
      </w:r>
      <w:r w:rsidRPr="00FA5792">
        <w:rPr>
          <w:rFonts w:ascii="Times New Roman" w:eastAsia="Times New Roman" w:hAnsi="Times New Roman" w:cs="Times New Roman"/>
          <w:sz w:val="28"/>
          <w:szCs w:val="28"/>
        </w:rPr>
        <w:t xml:space="preserve"> 107</w:t>
      </w:r>
      <w:r>
        <w:rPr>
          <w:rFonts w:ascii="Times New Roman" w:eastAsia="Times New Roman" w:hAnsi="Times New Roman" w:cs="Times New Roman"/>
          <w:sz w:val="28"/>
          <w:szCs w:val="28"/>
        </w:rPr>
        <w:t xml:space="preserve"> </w:t>
      </w:r>
      <w:r w:rsidRPr="00FA5792">
        <w:rPr>
          <w:rFonts w:ascii="Times New Roman" w:eastAsia="Times New Roman" w:hAnsi="Times New Roman" w:cs="Times New Roman"/>
          <w:sz w:val="28"/>
          <w:szCs w:val="28"/>
        </w:rPr>
        <w:t>с.</w:t>
      </w:r>
    </w:p>
    <w:p w14:paraId="02D18713" w14:textId="77777777" w:rsidR="00102D9D" w:rsidRPr="00FA5792" w:rsidRDefault="00102D9D" w:rsidP="00102D9D">
      <w:pPr>
        <w:pStyle w:val="a3"/>
        <w:numPr>
          <w:ilvl w:val="0"/>
          <w:numId w:val="75"/>
        </w:numPr>
        <w:shd w:val="clear" w:color="auto" w:fill="FFFFFF"/>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t xml:space="preserve"> Распопова Н. И., Дуплякин Е. Б. Депрессивные расстройства при сахарном диабете, осложненном офтальмологической патологией. МРНТИ: 76.29.52</w:t>
      </w:r>
      <w:r>
        <w:rPr>
          <w:rFonts w:ascii="Times New Roman" w:eastAsia="Times New Roman" w:hAnsi="Times New Roman" w:cs="Times New Roman"/>
          <w:sz w:val="28"/>
          <w:szCs w:val="28"/>
        </w:rPr>
        <w:t>.</w:t>
      </w:r>
    </w:p>
    <w:p w14:paraId="3B378505"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bCs/>
          <w:sz w:val="28"/>
          <w:szCs w:val="28"/>
          <w:shd w:val="clear" w:color="auto" w:fill="FFFFFF"/>
        </w:rPr>
      </w:pPr>
      <w:r w:rsidRPr="00FA5792">
        <w:rPr>
          <w:rFonts w:ascii="Times New Roman" w:hAnsi="Times New Roman" w:cs="Times New Roman"/>
          <w:sz w:val="28"/>
          <w:szCs w:val="28"/>
        </w:rPr>
        <w:t>Югай М. Н. Совершенствование системы медико-социальной экспертизы и реабилитации больных сахарным диабетом</w:t>
      </w:r>
      <w:r>
        <w:rPr>
          <w:rFonts w:ascii="Times New Roman" w:hAnsi="Times New Roman" w:cs="Times New Roman"/>
          <w:sz w:val="28"/>
          <w:szCs w:val="28"/>
        </w:rPr>
        <w:t>:</w:t>
      </w:r>
      <w:r w:rsidRPr="00FA5792">
        <w:rPr>
          <w:rFonts w:ascii="Times New Roman" w:hAnsi="Times New Roman" w:cs="Times New Roman"/>
          <w:sz w:val="28"/>
          <w:szCs w:val="28"/>
        </w:rPr>
        <w:t xml:space="preserve"> </w:t>
      </w:r>
      <w:r>
        <w:rPr>
          <w:rFonts w:ascii="Times New Roman" w:hAnsi="Times New Roman" w:cs="Times New Roman"/>
          <w:sz w:val="28"/>
          <w:szCs w:val="28"/>
        </w:rPr>
        <w:t>а</w:t>
      </w:r>
      <w:r w:rsidRPr="00FA5792">
        <w:rPr>
          <w:rFonts w:ascii="Times New Roman" w:hAnsi="Times New Roman" w:cs="Times New Roman"/>
          <w:sz w:val="28"/>
          <w:szCs w:val="28"/>
        </w:rPr>
        <w:t>втореф</w:t>
      </w:r>
      <w:r>
        <w:rPr>
          <w:rFonts w:ascii="Times New Roman" w:hAnsi="Times New Roman" w:cs="Times New Roman"/>
          <w:sz w:val="28"/>
          <w:szCs w:val="28"/>
        </w:rPr>
        <w:t xml:space="preserve">. … </w:t>
      </w:r>
      <w:r w:rsidRPr="00FA5792">
        <w:rPr>
          <w:rFonts w:ascii="Times New Roman" w:hAnsi="Times New Roman" w:cs="Times New Roman"/>
          <w:sz w:val="28"/>
          <w:szCs w:val="28"/>
        </w:rPr>
        <w:t xml:space="preserve"> дисс</w:t>
      </w:r>
      <w:r>
        <w:rPr>
          <w:rFonts w:ascii="Times New Roman" w:hAnsi="Times New Roman" w:cs="Times New Roman"/>
          <w:sz w:val="28"/>
          <w:szCs w:val="28"/>
        </w:rPr>
        <w:t>.</w:t>
      </w:r>
      <w:r w:rsidRPr="00FA5792">
        <w:rPr>
          <w:rFonts w:ascii="Times New Roman" w:hAnsi="Times New Roman" w:cs="Times New Roman"/>
          <w:sz w:val="28"/>
          <w:szCs w:val="28"/>
        </w:rPr>
        <w:t xml:space="preserve"> </w:t>
      </w:r>
      <w:r>
        <w:rPr>
          <w:rFonts w:ascii="Times New Roman" w:hAnsi="Times New Roman" w:cs="Times New Roman"/>
          <w:sz w:val="28"/>
          <w:szCs w:val="28"/>
        </w:rPr>
        <w:t>к</w:t>
      </w:r>
      <w:r w:rsidRPr="00FA5792">
        <w:rPr>
          <w:rFonts w:ascii="Times New Roman" w:hAnsi="Times New Roman" w:cs="Times New Roman"/>
          <w:sz w:val="28"/>
          <w:szCs w:val="28"/>
        </w:rPr>
        <w:t>анд</w:t>
      </w:r>
      <w:r>
        <w:rPr>
          <w:rFonts w:ascii="Times New Roman" w:hAnsi="Times New Roman" w:cs="Times New Roman"/>
          <w:sz w:val="28"/>
          <w:szCs w:val="28"/>
        </w:rPr>
        <w:t>.</w:t>
      </w:r>
      <w:r w:rsidRPr="00FA5792">
        <w:rPr>
          <w:rFonts w:ascii="Times New Roman" w:hAnsi="Times New Roman" w:cs="Times New Roman"/>
          <w:sz w:val="28"/>
          <w:szCs w:val="28"/>
        </w:rPr>
        <w:t>мед</w:t>
      </w:r>
      <w:r>
        <w:rPr>
          <w:rFonts w:ascii="Times New Roman" w:hAnsi="Times New Roman" w:cs="Times New Roman"/>
          <w:sz w:val="28"/>
          <w:szCs w:val="28"/>
        </w:rPr>
        <w:t>.</w:t>
      </w:r>
      <w:r w:rsidRPr="00FA5792">
        <w:rPr>
          <w:rFonts w:ascii="Times New Roman" w:hAnsi="Times New Roman" w:cs="Times New Roman"/>
          <w:sz w:val="28"/>
          <w:szCs w:val="28"/>
        </w:rPr>
        <w:t>н</w:t>
      </w:r>
      <w:r>
        <w:rPr>
          <w:rFonts w:ascii="Times New Roman" w:hAnsi="Times New Roman" w:cs="Times New Roman"/>
          <w:sz w:val="28"/>
          <w:szCs w:val="28"/>
        </w:rPr>
        <w:t>аук.</w:t>
      </w:r>
      <w:r w:rsidRPr="00FA579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A5792">
        <w:rPr>
          <w:rFonts w:ascii="Times New Roman" w:hAnsi="Times New Roman" w:cs="Times New Roman"/>
          <w:sz w:val="28"/>
          <w:szCs w:val="28"/>
        </w:rPr>
        <w:t>Алматы, 2010</w:t>
      </w:r>
      <w:r>
        <w:rPr>
          <w:rFonts w:ascii="Times New Roman" w:hAnsi="Times New Roman" w:cs="Times New Roman"/>
          <w:sz w:val="28"/>
          <w:szCs w:val="28"/>
        </w:rPr>
        <w:t>.</w:t>
      </w:r>
      <w:r w:rsidRPr="00FA5792">
        <w:rPr>
          <w:rFonts w:ascii="Times New Roman" w:hAnsi="Times New Roman" w:cs="Times New Roman"/>
          <w:sz w:val="28"/>
          <w:szCs w:val="28"/>
        </w:rPr>
        <w:t xml:space="preserve">       </w:t>
      </w:r>
    </w:p>
    <w:p w14:paraId="5BF6F599" w14:textId="77777777" w:rsidR="00102D9D" w:rsidRPr="00FA5792" w:rsidRDefault="00102D9D" w:rsidP="00102D9D">
      <w:pPr>
        <w:pStyle w:val="a3"/>
        <w:numPr>
          <w:ilvl w:val="0"/>
          <w:numId w:val="75"/>
        </w:numPr>
        <w:shd w:val="clear" w:color="auto" w:fill="FFFFFF"/>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t xml:space="preserve">Рамазанова Б.А. Социально-гигиенические характеристики заболеваемости и инвалидности вследствие диабетической ретинопатии. </w:t>
      </w:r>
      <w:r>
        <w:rPr>
          <w:rFonts w:ascii="Times New Roman" w:eastAsia="Times New Roman" w:hAnsi="Times New Roman" w:cs="Times New Roman"/>
          <w:sz w:val="28"/>
          <w:szCs w:val="28"/>
        </w:rPr>
        <w:t xml:space="preserve">- </w:t>
      </w:r>
      <w:r w:rsidRPr="00FA5792">
        <w:rPr>
          <w:rFonts w:ascii="Times New Roman" w:eastAsia="Times New Roman" w:hAnsi="Times New Roman" w:cs="Times New Roman"/>
          <w:sz w:val="28"/>
          <w:szCs w:val="28"/>
        </w:rPr>
        <w:t>2010</w:t>
      </w:r>
      <w:r>
        <w:rPr>
          <w:rFonts w:ascii="Times New Roman" w:eastAsia="Times New Roman" w:hAnsi="Times New Roman" w:cs="Times New Roman"/>
          <w:sz w:val="28"/>
          <w:szCs w:val="28"/>
        </w:rPr>
        <w:t xml:space="preserve">. - </w:t>
      </w:r>
      <w:r w:rsidRPr="00FA5792">
        <w:rPr>
          <w:rFonts w:ascii="Times New Roman" w:eastAsia="Times New Roman" w:hAnsi="Times New Roman" w:cs="Times New Roman"/>
          <w:sz w:val="28"/>
          <w:szCs w:val="28"/>
        </w:rPr>
        <w:t>104</w:t>
      </w:r>
      <w:r>
        <w:rPr>
          <w:rFonts w:ascii="Times New Roman" w:eastAsia="Times New Roman" w:hAnsi="Times New Roman" w:cs="Times New Roman"/>
          <w:sz w:val="28"/>
          <w:szCs w:val="28"/>
        </w:rPr>
        <w:t xml:space="preserve"> </w:t>
      </w:r>
      <w:r w:rsidRPr="00FA5792">
        <w:rPr>
          <w:rFonts w:ascii="Times New Roman" w:eastAsia="Times New Roman" w:hAnsi="Times New Roman" w:cs="Times New Roman"/>
          <w:sz w:val="28"/>
          <w:szCs w:val="28"/>
        </w:rPr>
        <w:t>с</w:t>
      </w:r>
      <w:r>
        <w:rPr>
          <w:rFonts w:ascii="Times New Roman" w:eastAsia="Times New Roman" w:hAnsi="Times New Roman" w:cs="Times New Roman"/>
          <w:sz w:val="28"/>
          <w:szCs w:val="28"/>
        </w:rPr>
        <w:t>.</w:t>
      </w:r>
    </w:p>
    <w:p w14:paraId="2C38C4D3"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5792">
        <w:rPr>
          <w:rFonts w:ascii="Times New Roman" w:hAnsi="Times New Roman" w:cs="Times New Roman"/>
          <w:bCs/>
          <w:sz w:val="28"/>
          <w:szCs w:val="28"/>
        </w:rPr>
        <w:t xml:space="preserve">Халимова Ф.Т., Шукуров Ф.А., Нурматов А.А. Оценка и прогнозирование репродуктивного здоровья женщин фертильного возраста </w:t>
      </w:r>
      <w:r>
        <w:rPr>
          <w:rFonts w:ascii="Times New Roman" w:hAnsi="Times New Roman" w:cs="Times New Roman"/>
          <w:bCs/>
          <w:sz w:val="28"/>
          <w:szCs w:val="28"/>
          <w:lang w:val="kk-KZ"/>
        </w:rPr>
        <w:t xml:space="preserve">// </w:t>
      </w:r>
      <w:r w:rsidRPr="00FA5792">
        <w:rPr>
          <w:rFonts w:ascii="Times New Roman" w:hAnsi="Times New Roman" w:cs="Times New Roman"/>
          <w:bCs/>
          <w:iCs/>
          <w:sz w:val="28"/>
          <w:szCs w:val="28"/>
        </w:rPr>
        <w:t>Вестник Академии медицинских наук Таджикистана</w:t>
      </w:r>
      <w:r>
        <w:rPr>
          <w:rFonts w:ascii="Times New Roman" w:hAnsi="Times New Roman" w:cs="Times New Roman"/>
          <w:bCs/>
          <w:iCs/>
          <w:sz w:val="28"/>
          <w:szCs w:val="28"/>
          <w:lang w:val="kk-KZ"/>
        </w:rPr>
        <w:t xml:space="preserve">. </w:t>
      </w:r>
      <w:r w:rsidRPr="00FA5792">
        <w:rPr>
          <w:rFonts w:ascii="Times New Roman" w:hAnsi="Times New Roman" w:cs="Times New Roman"/>
          <w:bCs/>
          <w:iCs/>
          <w:sz w:val="28"/>
          <w:szCs w:val="28"/>
        </w:rPr>
        <w:t>–</w:t>
      </w:r>
      <w:r>
        <w:rPr>
          <w:rFonts w:ascii="Times New Roman" w:hAnsi="Times New Roman" w:cs="Times New Roman"/>
          <w:bCs/>
          <w:iCs/>
          <w:sz w:val="28"/>
          <w:szCs w:val="28"/>
          <w:lang w:val="kk-KZ"/>
        </w:rPr>
        <w:t xml:space="preserve"> 2019. -</w:t>
      </w:r>
      <w:r w:rsidRPr="00FA5792">
        <w:rPr>
          <w:rFonts w:ascii="Times New Roman" w:hAnsi="Times New Roman" w:cs="Times New Roman"/>
          <w:bCs/>
          <w:iCs/>
          <w:sz w:val="28"/>
          <w:szCs w:val="28"/>
        </w:rPr>
        <w:t xml:space="preserve"> Т</w:t>
      </w:r>
      <w:r>
        <w:rPr>
          <w:rFonts w:ascii="Times New Roman" w:hAnsi="Times New Roman" w:cs="Times New Roman"/>
          <w:bCs/>
          <w:iCs/>
          <w:sz w:val="28"/>
          <w:szCs w:val="28"/>
          <w:lang w:val="kk-KZ"/>
        </w:rPr>
        <w:t>.9. -</w:t>
      </w:r>
      <w:r w:rsidRPr="00FA5792">
        <w:rPr>
          <w:rFonts w:ascii="Times New Roman" w:hAnsi="Times New Roman" w:cs="Times New Roman"/>
          <w:bCs/>
          <w:iCs/>
          <w:sz w:val="28"/>
          <w:szCs w:val="28"/>
        </w:rPr>
        <w:t xml:space="preserve"> №2</w:t>
      </w:r>
      <w:r>
        <w:rPr>
          <w:rFonts w:ascii="Times New Roman" w:hAnsi="Times New Roman" w:cs="Times New Roman"/>
          <w:bCs/>
          <w:iCs/>
          <w:sz w:val="28"/>
          <w:szCs w:val="28"/>
          <w:lang w:val="kk-KZ"/>
        </w:rPr>
        <w:t>.</w:t>
      </w:r>
      <w:r w:rsidRPr="00FA5792">
        <w:rPr>
          <w:rFonts w:ascii="Times New Roman" w:hAnsi="Times New Roman" w:cs="Times New Roman"/>
          <w:bCs/>
          <w:iCs/>
          <w:sz w:val="28"/>
          <w:szCs w:val="28"/>
        </w:rPr>
        <w:t xml:space="preserve"> </w:t>
      </w:r>
      <w:r>
        <w:rPr>
          <w:rFonts w:ascii="Times New Roman" w:hAnsi="Times New Roman" w:cs="Times New Roman"/>
          <w:bCs/>
          <w:sz w:val="28"/>
          <w:szCs w:val="28"/>
          <w:lang w:val="en-US"/>
        </w:rPr>
        <w:t>D</w:t>
      </w:r>
      <w:r w:rsidRPr="00FA5792">
        <w:rPr>
          <w:rFonts w:ascii="Times New Roman" w:hAnsi="Times New Roman" w:cs="Times New Roman"/>
          <w:bCs/>
          <w:sz w:val="28"/>
          <w:szCs w:val="28"/>
        </w:rPr>
        <w:t xml:space="preserve">oi: 10.31712/2221-7355-2019-9-2-199-208. </w:t>
      </w:r>
    </w:p>
    <w:p w14:paraId="18E3AF1E"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eastAsia="PalatinoLinotype-Roman" w:hAnsi="Times New Roman" w:cs="Times New Roman"/>
          <w:sz w:val="28"/>
          <w:szCs w:val="28"/>
        </w:rPr>
      </w:pPr>
      <w:r w:rsidRPr="00FA5792">
        <w:rPr>
          <w:rFonts w:ascii="Times New Roman" w:eastAsia="PalatinoLinotype-Roman" w:hAnsi="Times New Roman" w:cs="Times New Roman"/>
          <w:sz w:val="28"/>
          <w:szCs w:val="28"/>
        </w:rPr>
        <w:t xml:space="preserve"> Аполихин О.И., Москалева Н.Г., Комарова В.А. Современная демографическая ситуация и проблемы улучшения репродуктивного здоровья населения России // Экспериментальная и клиническая урология.-</w:t>
      </w:r>
      <w:r>
        <w:rPr>
          <w:rFonts w:ascii="Times New Roman" w:eastAsia="PalatinoLinotype-Roman" w:hAnsi="Times New Roman" w:cs="Times New Roman"/>
          <w:sz w:val="28"/>
          <w:szCs w:val="28"/>
          <w:lang w:val="kk-KZ"/>
        </w:rPr>
        <w:t xml:space="preserve"> </w:t>
      </w:r>
      <w:r w:rsidRPr="00FA5792">
        <w:rPr>
          <w:rFonts w:ascii="Times New Roman" w:eastAsia="PalatinoLinotype-Roman" w:hAnsi="Times New Roman" w:cs="Times New Roman"/>
          <w:sz w:val="28"/>
          <w:szCs w:val="28"/>
        </w:rPr>
        <w:t xml:space="preserve">2015. - № 4. - С. 4-14. </w:t>
      </w:r>
    </w:p>
    <w:p w14:paraId="71C1CAEB"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kk-KZ"/>
        </w:rPr>
      </w:pPr>
      <w:r w:rsidRPr="00FA5792">
        <w:rPr>
          <w:rFonts w:ascii="Times New Roman" w:eastAsia="PalatinoLinotype-Roman" w:hAnsi="Times New Roman" w:cs="Times New Roman"/>
          <w:sz w:val="28"/>
          <w:szCs w:val="28"/>
          <w:lang w:val="en-US"/>
        </w:rPr>
        <w:t xml:space="preserve">Lassi Z.S., Middleton P.F., Bhutta Z.A., Crowther C. Strategies for improving health care seeking for maternal and newborn illnesses in low- and middle-income countries: a systematic review and meta-analysis // Glob Health Action.- </w:t>
      </w:r>
      <w:r w:rsidRPr="00FA5792">
        <w:rPr>
          <w:rFonts w:ascii="Times New Roman" w:eastAsia="PalatinoLinotype-Roman" w:hAnsi="Times New Roman" w:cs="Times New Roman"/>
          <w:sz w:val="28"/>
          <w:szCs w:val="28"/>
        </w:rPr>
        <w:t>2016. - Vol. 9</w:t>
      </w:r>
      <w:r>
        <w:rPr>
          <w:rFonts w:ascii="Times New Roman" w:eastAsia="PalatinoLinotype-Roman" w:hAnsi="Times New Roman" w:cs="Times New Roman"/>
          <w:sz w:val="28"/>
          <w:szCs w:val="28"/>
        </w:rPr>
        <w:t xml:space="preserve">. - № </w:t>
      </w:r>
      <w:r w:rsidRPr="00FA5792">
        <w:rPr>
          <w:rFonts w:ascii="Times New Roman" w:eastAsia="PalatinoLinotype-Roman" w:hAnsi="Times New Roman" w:cs="Times New Roman"/>
          <w:sz w:val="28"/>
          <w:szCs w:val="28"/>
        </w:rPr>
        <w:t>1. - P. 31408</w:t>
      </w:r>
      <w:r>
        <w:rPr>
          <w:rFonts w:ascii="Times New Roman" w:eastAsia="PalatinoLinotype-Roman" w:hAnsi="Times New Roman" w:cs="Times New Roman"/>
          <w:sz w:val="28"/>
          <w:szCs w:val="28"/>
        </w:rPr>
        <w:t>.</w:t>
      </w:r>
    </w:p>
    <w:p w14:paraId="32927BFA"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eastAsia="TimesNewRomanPS-BoldMT" w:hAnsi="Times New Roman" w:cs="Times New Roman"/>
          <w:bCs/>
          <w:sz w:val="28"/>
          <w:szCs w:val="28"/>
        </w:rPr>
      </w:pPr>
      <w:r w:rsidRPr="00FA5792">
        <w:rPr>
          <w:rFonts w:ascii="Times New Roman" w:eastAsia="TimesNewRomanPS-BoldMT" w:hAnsi="Times New Roman" w:cs="Times New Roman"/>
          <w:bCs/>
          <w:sz w:val="28"/>
          <w:szCs w:val="28"/>
        </w:rPr>
        <w:t>Кузнецова Т. В. Медико-социальные факторы, опрееляющие репродуктивное поведение женщин в современных условиях</w:t>
      </w:r>
      <w:r>
        <w:rPr>
          <w:rFonts w:ascii="Times New Roman" w:eastAsia="TimesNewRomanPS-BoldMT" w:hAnsi="Times New Roman" w:cs="Times New Roman"/>
          <w:bCs/>
          <w:sz w:val="28"/>
          <w:szCs w:val="28"/>
        </w:rPr>
        <w:t>:</w:t>
      </w:r>
      <w:r w:rsidRPr="00FA5792">
        <w:rPr>
          <w:rFonts w:ascii="Times New Roman" w:eastAsia="TimesNewRomanPS-BoldMT" w:hAnsi="Times New Roman" w:cs="Times New Roman"/>
          <w:bCs/>
          <w:sz w:val="28"/>
          <w:szCs w:val="28"/>
        </w:rPr>
        <w:t xml:space="preserve"> </w:t>
      </w:r>
      <w:r>
        <w:rPr>
          <w:rFonts w:ascii="Times New Roman" w:eastAsia="TimesNewRomanPS-BoldMT" w:hAnsi="Times New Roman" w:cs="Times New Roman"/>
          <w:bCs/>
          <w:sz w:val="28"/>
          <w:szCs w:val="28"/>
        </w:rPr>
        <w:t>а</w:t>
      </w:r>
      <w:r w:rsidRPr="00FA5792">
        <w:rPr>
          <w:rFonts w:ascii="Times New Roman" w:eastAsia="TimesNewRomanPS-BoldMT" w:hAnsi="Times New Roman" w:cs="Times New Roman"/>
          <w:bCs/>
          <w:sz w:val="28"/>
          <w:szCs w:val="28"/>
        </w:rPr>
        <w:t>втореф</w:t>
      </w:r>
      <w:r>
        <w:rPr>
          <w:rFonts w:ascii="Times New Roman" w:eastAsia="TimesNewRomanPS-BoldMT" w:hAnsi="Times New Roman" w:cs="Times New Roman"/>
          <w:bCs/>
          <w:sz w:val="28"/>
          <w:szCs w:val="28"/>
        </w:rPr>
        <w:t>.</w:t>
      </w:r>
      <w:r w:rsidRPr="00FA5792">
        <w:rPr>
          <w:rFonts w:ascii="Times New Roman" w:eastAsia="TimesNewRomanPS-BoldMT" w:hAnsi="Times New Roman" w:cs="Times New Roman"/>
          <w:bCs/>
          <w:sz w:val="28"/>
          <w:szCs w:val="28"/>
        </w:rPr>
        <w:t xml:space="preserve"> </w:t>
      </w:r>
      <w:r>
        <w:rPr>
          <w:rFonts w:ascii="Times New Roman" w:eastAsia="TimesNewRomanPS-BoldMT" w:hAnsi="Times New Roman" w:cs="Times New Roman"/>
          <w:bCs/>
          <w:sz w:val="28"/>
          <w:szCs w:val="28"/>
        </w:rPr>
        <w:t>… д</w:t>
      </w:r>
      <w:r w:rsidRPr="00FA5792">
        <w:rPr>
          <w:rFonts w:ascii="Times New Roman" w:eastAsia="TimesNewRomanPS-BoldMT" w:hAnsi="Times New Roman" w:cs="Times New Roman"/>
          <w:bCs/>
          <w:sz w:val="28"/>
          <w:szCs w:val="28"/>
        </w:rPr>
        <w:t>исс</w:t>
      </w:r>
      <w:r>
        <w:rPr>
          <w:rFonts w:ascii="Times New Roman" w:eastAsia="TimesNewRomanPS-BoldMT" w:hAnsi="Times New Roman" w:cs="Times New Roman"/>
          <w:bCs/>
          <w:sz w:val="28"/>
          <w:szCs w:val="28"/>
        </w:rPr>
        <w:t>.</w:t>
      </w:r>
      <w:r w:rsidRPr="00FA5792">
        <w:rPr>
          <w:rFonts w:ascii="Times New Roman" w:eastAsia="TimesNewRomanPS-BoldMT" w:hAnsi="Times New Roman" w:cs="Times New Roman"/>
          <w:bCs/>
          <w:sz w:val="28"/>
          <w:szCs w:val="28"/>
        </w:rPr>
        <w:t xml:space="preserve"> канд</w:t>
      </w:r>
      <w:r>
        <w:rPr>
          <w:rFonts w:ascii="Times New Roman" w:eastAsia="TimesNewRomanPS-BoldMT" w:hAnsi="Times New Roman" w:cs="Times New Roman"/>
          <w:bCs/>
          <w:sz w:val="28"/>
          <w:szCs w:val="28"/>
        </w:rPr>
        <w:t>.</w:t>
      </w:r>
      <w:r w:rsidRPr="00FA5792">
        <w:rPr>
          <w:rFonts w:ascii="Times New Roman" w:eastAsia="TimesNewRomanPS-BoldMT" w:hAnsi="Times New Roman" w:cs="Times New Roman"/>
          <w:bCs/>
          <w:sz w:val="28"/>
          <w:szCs w:val="28"/>
        </w:rPr>
        <w:t xml:space="preserve"> мед</w:t>
      </w:r>
      <w:r>
        <w:rPr>
          <w:rFonts w:ascii="Times New Roman" w:eastAsia="TimesNewRomanPS-BoldMT" w:hAnsi="Times New Roman" w:cs="Times New Roman"/>
          <w:bCs/>
          <w:sz w:val="28"/>
          <w:szCs w:val="28"/>
        </w:rPr>
        <w:t>.</w:t>
      </w:r>
      <w:r w:rsidRPr="00FA5792">
        <w:rPr>
          <w:rFonts w:ascii="Times New Roman" w:eastAsia="TimesNewRomanPS-BoldMT" w:hAnsi="Times New Roman" w:cs="Times New Roman"/>
          <w:bCs/>
          <w:sz w:val="28"/>
          <w:szCs w:val="28"/>
        </w:rPr>
        <w:t xml:space="preserve"> наук </w:t>
      </w:r>
      <w:r>
        <w:rPr>
          <w:rFonts w:ascii="Times New Roman" w:eastAsia="TimesNewRomanPS-BoldMT" w:hAnsi="Times New Roman" w:cs="Times New Roman"/>
          <w:bCs/>
          <w:sz w:val="28"/>
          <w:szCs w:val="28"/>
        </w:rPr>
        <w:t xml:space="preserve">- </w:t>
      </w:r>
      <w:r w:rsidRPr="00FA5792">
        <w:rPr>
          <w:rFonts w:ascii="Times New Roman" w:eastAsia="TimesNewRomanPS-BoldMT" w:hAnsi="Times New Roman" w:cs="Times New Roman"/>
          <w:bCs/>
          <w:sz w:val="28"/>
          <w:szCs w:val="28"/>
        </w:rPr>
        <w:t>М</w:t>
      </w:r>
      <w:r>
        <w:rPr>
          <w:rFonts w:ascii="Times New Roman" w:eastAsia="TimesNewRomanPS-BoldMT" w:hAnsi="Times New Roman" w:cs="Times New Roman"/>
          <w:bCs/>
          <w:sz w:val="28"/>
          <w:szCs w:val="28"/>
        </w:rPr>
        <w:t>.,</w:t>
      </w:r>
      <w:r w:rsidRPr="00FA5792">
        <w:rPr>
          <w:rFonts w:ascii="Times New Roman" w:eastAsia="TimesNewRomanPS-BoldMT" w:hAnsi="Times New Roman" w:cs="Times New Roman"/>
          <w:bCs/>
          <w:sz w:val="28"/>
          <w:szCs w:val="28"/>
        </w:rPr>
        <w:t xml:space="preserve"> 2011.</w:t>
      </w:r>
    </w:p>
    <w:p w14:paraId="38AB0129"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kk-KZ"/>
        </w:rPr>
      </w:pPr>
      <w:r w:rsidRPr="00FA5792">
        <w:rPr>
          <w:rFonts w:ascii="Times New Roman" w:hAnsi="Times New Roman" w:cs="Times New Roman"/>
          <w:sz w:val="28"/>
          <w:szCs w:val="28"/>
        </w:rPr>
        <w:t>Хамзина Н.К. Организация высокоспециализированной медицинской помощи беременным женщинам с сахарным диабетом. Регистрационный номер: 0115РК00128</w:t>
      </w:r>
    </w:p>
    <w:p w14:paraId="1358457C"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iCs/>
          <w:sz w:val="28"/>
          <w:szCs w:val="28"/>
        </w:rPr>
        <w:t xml:space="preserve">Айламазян Э.К. </w:t>
      </w:r>
      <w:r w:rsidRPr="00FA5792">
        <w:rPr>
          <w:rFonts w:ascii="Times New Roman" w:hAnsi="Times New Roman" w:cs="Times New Roman"/>
          <w:sz w:val="28"/>
          <w:szCs w:val="28"/>
        </w:rPr>
        <w:t>Ланцева О.Е., Потин В.В. Планирование беременности при сахарном диабете. Aqua Vitae. — 1997. — № 4. — С. 42–45.</w:t>
      </w:r>
    </w:p>
    <w:p w14:paraId="3C6E5361"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bCs/>
          <w:sz w:val="28"/>
          <w:szCs w:val="28"/>
        </w:rPr>
      </w:pPr>
      <w:r w:rsidRPr="00FA5792">
        <w:rPr>
          <w:rFonts w:ascii="Times New Roman" w:hAnsi="Times New Roman" w:cs="Times New Roman"/>
          <w:bCs/>
          <w:sz w:val="28"/>
          <w:szCs w:val="28"/>
        </w:rPr>
        <w:t>Петров Ю.А., Купина А.Д. Сахарный диабет у женщин: влияние на репродуктивное здоровье и фертильность. Современные проблемы науки и образования. – 2020. – № 2</w:t>
      </w:r>
    </w:p>
    <w:p w14:paraId="6F8185F4" w14:textId="77777777" w:rsidR="00102D9D" w:rsidRPr="00FA5792" w:rsidRDefault="001B62DB"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kk-KZ"/>
        </w:rPr>
      </w:pPr>
      <w:hyperlink r:id="rId209" w:history="1">
        <w:r w:rsidR="00102D9D" w:rsidRPr="00FA5792">
          <w:rPr>
            <w:rStyle w:val="details-value"/>
            <w:rFonts w:ascii="Times New Roman" w:hAnsi="Times New Roman" w:cs="Times New Roman"/>
            <w:sz w:val="28"/>
            <w:szCs w:val="28"/>
            <w:lang w:val="en-US"/>
          </w:rPr>
          <w:t>Sharleen LO'Reilly</w:t>
        </w:r>
      </w:hyperlink>
      <w:r w:rsidR="00102D9D" w:rsidRPr="00FA5792">
        <w:rPr>
          <w:rFonts w:ascii="Times New Roman" w:hAnsi="Times New Roman" w:cs="Times New Roman"/>
          <w:sz w:val="28"/>
          <w:szCs w:val="28"/>
          <w:lang w:val="en-US"/>
        </w:rPr>
        <w:t>, </w:t>
      </w:r>
      <w:hyperlink r:id="rId210" w:history="1">
        <w:r w:rsidR="00102D9D" w:rsidRPr="00FA5792">
          <w:rPr>
            <w:rStyle w:val="details-value"/>
            <w:rFonts w:ascii="Times New Roman" w:hAnsi="Times New Roman" w:cs="Times New Roman"/>
            <w:sz w:val="28"/>
            <w:szCs w:val="28"/>
            <w:lang w:val="en-US"/>
          </w:rPr>
          <w:t>James A</w:t>
        </w:r>
        <w:r w:rsidR="00102D9D" w:rsidRPr="00425D6E">
          <w:rPr>
            <w:rStyle w:val="details-value"/>
            <w:rFonts w:ascii="Times New Roman" w:hAnsi="Times New Roman" w:cs="Times New Roman"/>
            <w:sz w:val="28"/>
            <w:szCs w:val="28"/>
            <w:lang w:val="en-US"/>
          </w:rPr>
          <w:t>.</w:t>
        </w:r>
        <w:r w:rsidR="00102D9D" w:rsidRPr="00FA5792">
          <w:rPr>
            <w:rStyle w:val="details-value"/>
            <w:rFonts w:ascii="Times New Roman" w:hAnsi="Times New Roman" w:cs="Times New Roman"/>
            <w:sz w:val="28"/>
            <w:szCs w:val="28"/>
            <w:lang w:val="en-US"/>
          </w:rPr>
          <w:t xml:space="preserve"> Dunbar</w:t>
        </w:r>
      </w:hyperlink>
      <w:r w:rsidR="00102D9D" w:rsidRPr="00FA5792">
        <w:rPr>
          <w:rFonts w:ascii="Times New Roman" w:hAnsi="Times New Roman" w:cs="Times New Roman"/>
          <w:sz w:val="28"/>
          <w:szCs w:val="28"/>
          <w:vertAlign w:val="superscript"/>
          <w:lang w:val="en-US"/>
        </w:rPr>
        <w:t> </w:t>
      </w:r>
      <w:r w:rsidR="00102D9D" w:rsidRPr="00FA5792">
        <w:rPr>
          <w:rFonts w:ascii="Times New Roman" w:hAnsi="Times New Roman" w:cs="Times New Roman"/>
          <w:sz w:val="28"/>
          <w:szCs w:val="28"/>
          <w:lang w:val="en-US"/>
        </w:rPr>
        <w:t>, </w:t>
      </w:r>
      <w:hyperlink r:id="rId211" w:history="1">
        <w:r w:rsidR="00102D9D" w:rsidRPr="00FA5792">
          <w:rPr>
            <w:rStyle w:val="details-value"/>
            <w:rFonts w:ascii="Times New Roman" w:hAnsi="Times New Roman" w:cs="Times New Roman"/>
            <w:sz w:val="28"/>
            <w:szCs w:val="28"/>
            <w:lang w:val="en-US"/>
          </w:rPr>
          <w:t>Vincent Versace</w:t>
        </w:r>
      </w:hyperlink>
      <w:r w:rsidR="00102D9D" w:rsidRPr="00FA5792">
        <w:rPr>
          <w:rFonts w:ascii="Times New Roman" w:hAnsi="Times New Roman" w:cs="Times New Roman"/>
          <w:sz w:val="28"/>
          <w:szCs w:val="28"/>
          <w:lang w:val="en-US"/>
        </w:rPr>
        <w:t>, </w:t>
      </w:r>
      <w:hyperlink r:id="rId212" w:history="1">
        <w:r w:rsidR="00102D9D" w:rsidRPr="00FA5792">
          <w:rPr>
            <w:rStyle w:val="details-value"/>
            <w:rFonts w:ascii="Times New Roman" w:hAnsi="Times New Roman" w:cs="Times New Roman"/>
            <w:sz w:val="28"/>
            <w:szCs w:val="28"/>
            <w:lang w:val="en-US"/>
          </w:rPr>
          <w:t>Edward Janus</w:t>
        </w:r>
      </w:hyperlink>
      <w:r w:rsidR="00102D9D" w:rsidRPr="00FA5792">
        <w:rPr>
          <w:rFonts w:ascii="Times New Roman" w:hAnsi="Times New Roman" w:cs="Times New Roman"/>
          <w:sz w:val="28"/>
          <w:szCs w:val="28"/>
          <w:lang w:val="en-US"/>
        </w:rPr>
        <w:t>, </w:t>
      </w:r>
      <w:hyperlink r:id="rId213" w:history="1">
        <w:r w:rsidR="00102D9D" w:rsidRPr="00FA5792">
          <w:rPr>
            <w:rStyle w:val="details-value"/>
            <w:rFonts w:ascii="Times New Roman" w:hAnsi="Times New Roman" w:cs="Times New Roman"/>
            <w:sz w:val="28"/>
            <w:szCs w:val="28"/>
            <w:lang w:val="en-US"/>
          </w:rPr>
          <w:t>James D</w:t>
        </w:r>
        <w:r w:rsidR="00102D9D" w:rsidRPr="00425D6E">
          <w:rPr>
            <w:rStyle w:val="details-value"/>
            <w:rFonts w:ascii="Times New Roman" w:hAnsi="Times New Roman" w:cs="Times New Roman"/>
            <w:sz w:val="28"/>
            <w:szCs w:val="28"/>
            <w:lang w:val="en-US"/>
          </w:rPr>
          <w:t>.</w:t>
        </w:r>
        <w:r w:rsidR="00102D9D" w:rsidRPr="00FA5792">
          <w:rPr>
            <w:rStyle w:val="details-value"/>
            <w:rFonts w:ascii="Times New Roman" w:hAnsi="Times New Roman" w:cs="Times New Roman"/>
            <w:sz w:val="28"/>
            <w:szCs w:val="28"/>
            <w:lang w:val="en-US"/>
          </w:rPr>
          <w:t xml:space="preserve"> Best</w:t>
        </w:r>
      </w:hyperlink>
      <w:r w:rsidR="00102D9D" w:rsidRPr="00FA5792">
        <w:rPr>
          <w:rFonts w:ascii="Times New Roman" w:hAnsi="Times New Roman" w:cs="Times New Roman"/>
          <w:sz w:val="28"/>
          <w:szCs w:val="28"/>
          <w:lang w:val="en-US"/>
        </w:rPr>
        <w:t>, </w:t>
      </w:r>
      <w:hyperlink r:id="rId214" w:history="1">
        <w:r w:rsidR="00102D9D" w:rsidRPr="00FA5792">
          <w:rPr>
            <w:rStyle w:val="details-value"/>
            <w:rFonts w:ascii="Times New Roman" w:hAnsi="Times New Roman" w:cs="Times New Roman"/>
            <w:sz w:val="28"/>
            <w:szCs w:val="28"/>
            <w:lang w:val="en-US"/>
          </w:rPr>
          <w:t>Rob Carter</w:t>
        </w:r>
      </w:hyperlink>
      <w:r w:rsidR="00102D9D" w:rsidRPr="00FA5792">
        <w:rPr>
          <w:rFonts w:ascii="Times New Roman" w:hAnsi="Times New Roman" w:cs="Times New Roman"/>
          <w:sz w:val="28"/>
          <w:szCs w:val="28"/>
          <w:lang w:val="en-US"/>
        </w:rPr>
        <w:t>, </w:t>
      </w:r>
      <w:hyperlink r:id="rId215" w:history="1">
        <w:r w:rsidR="00102D9D" w:rsidRPr="00FA5792">
          <w:rPr>
            <w:rStyle w:val="details-value"/>
            <w:rFonts w:ascii="Times New Roman" w:hAnsi="Times New Roman" w:cs="Times New Roman"/>
            <w:sz w:val="28"/>
            <w:szCs w:val="28"/>
            <w:lang w:val="en-US"/>
          </w:rPr>
          <w:t>Jeremy J</w:t>
        </w:r>
        <w:r w:rsidR="00102D9D" w:rsidRPr="00425D6E">
          <w:rPr>
            <w:rStyle w:val="details-value"/>
            <w:rFonts w:ascii="Times New Roman" w:hAnsi="Times New Roman" w:cs="Times New Roman"/>
            <w:sz w:val="28"/>
            <w:szCs w:val="28"/>
            <w:lang w:val="en-US"/>
          </w:rPr>
          <w:t>.</w:t>
        </w:r>
        <w:r w:rsidR="00102D9D" w:rsidRPr="00FA5792">
          <w:rPr>
            <w:rStyle w:val="details-value"/>
            <w:rFonts w:ascii="Times New Roman" w:hAnsi="Times New Roman" w:cs="Times New Roman"/>
            <w:sz w:val="28"/>
            <w:szCs w:val="28"/>
            <w:lang w:val="en-US"/>
          </w:rPr>
          <w:t xml:space="preserve"> N</w:t>
        </w:r>
        <w:r w:rsidR="00102D9D" w:rsidRPr="00425D6E">
          <w:rPr>
            <w:rStyle w:val="details-value"/>
            <w:rFonts w:ascii="Times New Roman" w:hAnsi="Times New Roman" w:cs="Times New Roman"/>
            <w:sz w:val="28"/>
            <w:szCs w:val="28"/>
            <w:lang w:val="en-US"/>
          </w:rPr>
          <w:t>.</w:t>
        </w:r>
        <w:r w:rsidR="00102D9D" w:rsidRPr="00FA5792">
          <w:rPr>
            <w:rStyle w:val="details-value"/>
            <w:rFonts w:ascii="Times New Roman" w:hAnsi="Times New Roman" w:cs="Times New Roman"/>
            <w:sz w:val="28"/>
            <w:szCs w:val="28"/>
            <w:lang w:val="en-US"/>
          </w:rPr>
          <w:t xml:space="preserve"> Oats</w:t>
        </w:r>
      </w:hyperlink>
      <w:r w:rsidR="00102D9D" w:rsidRPr="00FA5792">
        <w:rPr>
          <w:rFonts w:ascii="Times New Roman" w:hAnsi="Times New Roman" w:cs="Times New Roman"/>
          <w:sz w:val="28"/>
          <w:szCs w:val="28"/>
          <w:lang w:val="en-US"/>
        </w:rPr>
        <w:t>, </w:t>
      </w:r>
      <w:hyperlink r:id="rId216" w:history="1">
        <w:r w:rsidR="00102D9D" w:rsidRPr="00FA5792">
          <w:rPr>
            <w:rStyle w:val="details-value"/>
            <w:rFonts w:ascii="Times New Roman" w:hAnsi="Times New Roman" w:cs="Times New Roman"/>
            <w:sz w:val="28"/>
            <w:szCs w:val="28"/>
            <w:lang w:val="en-US"/>
          </w:rPr>
          <w:t>Timothy Skinner</w:t>
        </w:r>
      </w:hyperlink>
      <w:r w:rsidR="00102D9D" w:rsidRPr="00FA5792">
        <w:rPr>
          <w:rFonts w:ascii="Times New Roman" w:hAnsi="Times New Roman" w:cs="Times New Roman"/>
          <w:sz w:val="28"/>
          <w:szCs w:val="28"/>
          <w:lang w:val="en-US"/>
        </w:rPr>
        <w:t>, </w:t>
      </w:r>
      <w:hyperlink r:id="rId217" w:history="1">
        <w:r w:rsidR="00102D9D" w:rsidRPr="00FA5792">
          <w:rPr>
            <w:rStyle w:val="details-value"/>
            <w:rFonts w:ascii="Times New Roman" w:hAnsi="Times New Roman" w:cs="Times New Roman"/>
            <w:sz w:val="28"/>
            <w:szCs w:val="28"/>
            <w:lang w:val="en-US"/>
          </w:rPr>
          <w:t>Michael Ackland</w:t>
        </w:r>
      </w:hyperlink>
      <w:r w:rsidR="00102D9D" w:rsidRPr="00FA5792">
        <w:rPr>
          <w:rFonts w:ascii="Times New Roman" w:hAnsi="Times New Roman" w:cs="Times New Roman"/>
          <w:sz w:val="28"/>
          <w:szCs w:val="28"/>
          <w:lang w:val="en-US"/>
        </w:rPr>
        <w:t>, </w:t>
      </w:r>
      <w:hyperlink r:id="rId218" w:history="1">
        <w:r w:rsidR="00102D9D" w:rsidRPr="00FA5792">
          <w:rPr>
            <w:rStyle w:val="details-value"/>
            <w:rFonts w:ascii="Times New Roman" w:hAnsi="Times New Roman" w:cs="Times New Roman"/>
            <w:sz w:val="28"/>
            <w:szCs w:val="28"/>
            <w:lang w:val="en-US"/>
          </w:rPr>
          <w:t>Paddy A</w:t>
        </w:r>
        <w:r w:rsidR="00102D9D" w:rsidRPr="00425D6E">
          <w:rPr>
            <w:rStyle w:val="details-value"/>
            <w:rFonts w:ascii="Times New Roman" w:hAnsi="Times New Roman" w:cs="Times New Roman"/>
            <w:sz w:val="28"/>
            <w:szCs w:val="28"/>
            <w:lang w:val="en-US"/>
          </w:rPr>
          <w:t>.</w:t>
        </w:r>
        <w:r w:rsidR="00102D9D" w:rsidRPr="00FA5792">
          <w:rPr>
            <w:rStyle w:val="details-value"/>
            <w:rFonts w:ascii="Times New Roman" w:hAnsi="Times New Roman" w:cs="Times New Roman"/>
            <w:sz w:val="28"/>
            <w:szCs w:val="28"/>
            <w:lang w:val="en-US"/>
          </w:rPr>
          <w:t xml:space="preserve"> Phillips</w:t>
        </w:r>
      </w:hyperlink>
      <w:r w:rsidR="00102D9D" w:rsidRPr="00FA5792">
        <w:rPr>
          <w:rFonts w:ascii="Times New Roman" w:hAnsi="Times New Roman" w:cs="Times New Roman"/>
          <w:sz w:val="28"/>
          <w:szCs w:val="28"/>
          <w:lang w:val="en-US"/>
        </w:rPr>
        <w:t>, </w:t>
      </w:r>
      <w:hyperlink r:id="rId219" w:history="1">
        <w:r w:rsidR="00102D9D" w:rsidRPr="00FA5792">
          <w:rPr>
            <w:rStyle w:val="details-value"/>
            <w:rFonts w:ascii="Times New Roman" w:hAnsi="Times New Roman" w:cs="Times New Roman"/>
            <w:sz w:val="28"/>
            <w:szCs w:val="28"/>
            <w:lang w:val="en-US"/>
          </w:rPr>
          <w:t>Peter R</w:t>
        </w:r>
        <w:r w:rsidR="00102D9D" w:rsidRPr="00425D6E">
          <w:rPr>
            <w:rStyle w:val="details-value"/>
            <w:rFonts w:ascii="Times New Roman" w:hAnsi="Times New Roman" w:cs="Times New Roman"/>
            <w:sz w:val="28"/>
            <w:szCs w:val="28"/>
            <w:lang w:val="en-US"/>
          </w:rPr>
          <w:t>.</w:t>
        </w:r>
        <w:r w:rsidR="00102D9D" w:rsidRPr="00FA5792">
          <w:rPr>
            <w:rStyle w:val="details-value"/>
            <w:rFonts w:ascii="Times New Roman" w:hAnsi="Times New Roman" w:cs="Times New Roman"/>
            <w:sz w:val="28"/>
            <w:szCs w:val="28"/>
            <w:lang w:val="en-US"/>
          </w:rPr>
          <w:t xml:space="preserve"> Ebeling</w:t>
        </w:r>
      </w:hyperlink>
      <w:r w:rsidR="00102D9D" w:rsidRPr="00FA5792">
        <w:rPr>
          <w:rFonts w:ascii="Times New Roman" w:hAnsi="Times New Roman" w:cs="Times New Roman"/>
          <w:sz w:val="28"/>
          <w:szCs w:val="28"/>
          <w:lang w:val="en-US"/>
        </w:rPr>
        <w:t>, </w:t>
      </w:r>
      <w:hyperlink r:id="rId220" w:history="1">
        <w:r w:rsidR="00102D9D" w:rsidRPr="00FA5792">
          <w:rPr>
            <w:rStyle w:val="details-value"/>
            <w:rFonts w:ascii="Times New Roman" w:hAnsi="Times New Roman" w:cs="Times New Roman"/>
            <w:sz w:val="28"/>
            <w:szCs w:val="28"/>
            <w:lang w:val="en-US"/>
          </w:rPr>
          <w:t>John Reynolds</w:t>
        </w:r>
      </w:hyperlink>
      <w:r w:rsidR="00102D9D" w:rsidRPr="00FA5792">
        <w:rPr>
          <w:rFonts w:ascii="Times New Roman" w:hAnsi="Times New Roman" w:cs="Times New Roman"/>
          <w:sz w:val="28"/>
          <w:szCs w:val="28"/>
          <w:lang w:val="en-US"/>
        </w:rPr>
        <w:t>, </w:t>
      </w:r>
      <w:hyperlink r:id="rId221" w:history="1">
        <w:r w:rsidR="00102D9D" w:rsidRPr="00FA5792">
          <w:rPr>
            <w:rStyle w:val="details-value"/>
            <w:rFonts w:ascii="Times New Roman" w:hAnsi="Times New Roman" w:cs="Times New Roman"/>
            <w:sz w:val="28"/>
            <w:szCs w:val="28"/>
            <w:lang w:val="en-US"/>
          </w:rPr>
          <w:t>Sophy T</w:t>
        </w:r>
        <w:r w:rsidR="00102D9D" w:rsidRPr="00425D6E">
          <w:rPr>
            <w:rStyle w:val="details-value"/>
            <w:rFonts w:ascii="Times New Roman" w:hAnsi="Times New Roman" w:cs="Times New Roman"/>
            <w:sz w:val="28"/>
            <w:szCs w:val="28"/>
            <w:lang w:val="en-US"/>
          </w:rPr>
          <w:t>.</w:t>
        </w:r>
        <w:r w:rsidR="00102D9D" w:rsidRPr="00FA5792">
          <w:rPr>
            <w:rStyle w:val="details-value"/>
            <w:rFonts w:ascii="Times New Roman" w:hAnsi="Times New Roman" w:cs="Times New Roman"/>
            <w:sz w:val="28"/>
            <w:szCs w:val="28"/>
            <w:lang w:val="en-US"/>
          </w:rPr>
          <w:t xml:space="preserve"> F</w:t>
        </w:r>
        <w:r w:rsidR="00102D9D" w:rsidRPr="00425D6E">
          <w:rPr>
            <w:rStyle w:val="details-value"/>
            <w:rFonts w:ascii="Times New Roman" w:hAnsi="Times New Roman" w:cs="Times New Roman"/>
            <w:sz w:val="28"/>
            <w:szCs w:val="28"/>
            <w:lang w:val="en-US"/>
          </w:rPr>
          <w:t>.</w:t>
        </w:r>
        <w:r w:rsidR="00102D9D" w:rsidRPr="00FA5792">
          <w:rPr>
            <w:rStyle w:val="details-value"/>
            <w:rFonts w:ascii="Times New Roman" w:hAnsi="Times New Roman" w:cs="Times New Roman"/>
            <w:sz w:val="28"/>
            <w:szCs w:val="28"/>
            <w:lang w:val="en-US"/>
          </w:rPr>
          <w:t xml:space="preserve"> Shih</w:t>
        </w:r>
      </w:hyperlink>
      <w:r w:rsidR="00102D9D" w:rsidRPr="00FA5792">
        <w:rPr>
          <w:rFonts w:ascii="Times New Roman" w:hAnsi="Times New Roman" w:cs="Times New Roman"/>
          <w:sz w:val="28"/>
          <w:szCs w:val="28"/>
          <w:lang w:val="en-US"/>
        </w:rPr>
        <w:t>, </w:t>
      </w:r>
      <w:hyperlink r:id="rId222" w:history="1">
        <w:r w:rsidR="00102D9D" w:rsidRPr="00FA5792">
          <w:rPr>
            <w:rStyle w:val="details-value"/>
            <w:rFonts w:ascii="Times New Roman" w:hAnsi="Times New Roman" w:cs="Times New Roman"/>
            <w:sz w:val="28"/>
            <w:szCs w:val="28"/>
            <w:lang w:val="en-US"/>
          </w:rPr>
          <w:t>Virginia Hagger</w:t>
        </w:r>
      </w:hyperlink>
      <w:r w:rsidR="00102D9D" w:rsidRPr="00FA5792">
        <w:rPr>
          <w:rFonts w:ascii="Times New Roman" w:hAnsi="Times New Roman" w:cs="Times New Roman"/>
          <w:sz w:val="28"/>
          <w:szCs w:val="28"/>
          <w:lang w:val="en-US"/>
        </w:rPr>
        <w:t>, </w:t>
      </w:r>
      <w:hyperlink r:id="rId223" w:history="1">
        <w:r w:rsidR="00102D9D" w:rsidRPr="00FA5792">
          <w:rPr>
            <w:rStyle w:val="details-value"/>
            <w:rFonts w:ascii="Times New Roman" w:hAnsi="Times New Roman" w:cs="Times New Roman"/>
            <w:sz w:val="28"/>
            <w:szCs w:val="28"/>
            <w:lang w:val="en-US"/>
          </w:rPr>
          <w:t>Michael Coates</w:t>
        </w:r>
      </w:hyperlink>
      <w:r w:rsidR="00102D9D" w:rsidRPr="00FA5792">
        <w:rPr>
          <w:rFonts w:ascii="Times New Roman" w:hAnsi="Times New Roman" w:cs="Times New Roman"/>
          <w:sz w:val="28"/>
          <w:szCs w:val="28"/>
          <w:lang w:val="en-US"/>
        </w:rPr>
        <w:t>, </w:t>
      </w:r>
      <w:hyperlink r:id="rId224" w:history="1">
        <w:r w:rsidR="00102D9D" w:rsidRPr="00FA5792">
          <w:rPr>
            <w:rStyle w:val="details-value"/>
            <w:rFonts w:ascii="Times New Roman" w:hAnsi="Times New Roman" w:cs="Times New Roman"/>
            <w:sz w:val="28"/>
            <w:szCs w:val="28"/>
            <w:lang w:val="en-US"/>
          </w:rPr>
          <w:t>Carol Wildey</w:t>
        </w:r>
      </w:hyperlink>
      <w:r w:rsidR="00102D9D" w:rsidRPr="00FA5792">
        <w:rPr>
          <w:rFonts w:ascii="Times New Roman" w:hAnsi="Times New Roman" w:cs="Times New Roman"/>
          <w:sz w:val="28"/>
          <w:szCs w:val="28"/>
          <w:lang w:val="en-US"/>
        </w:rPr>
        <w:t>, </w:t>
      </w:r>
      <w:hyperlink r:id="rId225" w:history="1">
        <w:r w:rsidR="00102D9D" w:rsidRPr="00FA5792">
          <w:rPr>
            <w:rStyle w:val="details-value"/>
            <w:rFonts w:ascii="Times New Roman" w:hAnsi="Times New Roman" w:cs="Times New Roman"/>
            <w:sz w:val="28"/>
            <w:szCs w:val="28"/>
            <w:lang w:val="en-US"/>
          </w:rPr>
          <w:t>MAGDA Study Group</w:t>
        </w:r>
      </w:hyperlink>
      <w:r w:rsidR="00102D9D" w:rsidRPr="00FA5792">
        <w:rPr>
          <w:rFonts w:ascii="Times New Roman" w:hAnsi="Times New Roman" w:cs="Times New Roman"/>
          <w:sz w:val="28"/>
          <w:szCs w:val="28"/>
          <w:lang w:val="en-US"/>
        </w:rPr>
        <w:t xml:space="preserve">. </w:t>
      </w:r>
      <w:r w:rsidR="00102D9D" w:rsidRPr="00FA5792">
        <w:rPr>
          <w:rFonts w:ascii="Times New Roman" w:hAnsi="Times New Roman" w:cs="Times New Roman"/>
          <w:bCs/>
          <w:kern w:val="36"/>
          <w:sz w:val="28"/>
          <w:szCs w:val="28"/>
          <w:lang w:val="en-US"/>
        </w:rPr>
        <w:t xml:space="preserve">Mothers after Gestational Diabetes in Australia (MAGDA): A Randomised Controlled Trial of a Postnatal Diabetes Prevention Program. </w:t>
      </w:r>
      <w:r w:rsidR="00102D9D" w:rsidRPr="00FA5792">
        <w:rPr>
          <w:rFonts w:ascii="Times New Roman" w:hAnsi="Times New Roman" w:cs="Times New Roman"/>
          <w:sz w:val="28"/>
          <w:szCs w:val="28"/>
        </w:rPr>
        <w:t xml:space="preserve">Affiliations Expand. PMID: 27459502. PMCID: </w:t>
      </w:r>
      <w:hyperlink r:id="rId226" w:tgtFrame="_blank" w:history="1">
        <w:r w:rsidR="00102D9D" w:rsidRPr="00FA5792">
          <w:rPr>
            <w:rStyle w:val="details-value"/>
            <w:rFonts w:ascii="Times New Roman" w:hAnsi="Times New Roman" w:cs="Times New Roman"/>
            <w:sz w:val="28"/>
            <w:szCs w:val="28"/>
          </w:rPr>
          <w:t xml:space="preserve">PMC4961439. </w:t>
        </w:r>
      </w:hyperlink>
      <w:r w:rsidR="00102D9D" w:rsidRPr="00FA5792">
        <w:rPr>
          <w:rFonts w:ascii="Times New Roman" w:hAnsi="Times New Roman" w:cs="Times New Roman"/>
          <w:sz w:val="28"/>
          <w:szCs w:val="28"/>
        </w:rPr>
        <w:t xml:space="preserve">DOI: </w:t>
      </w:r>
      <w:hyperlink r:id="rId227" w:tgtFrame="_blank" w:history="1">
        <w:r w:rsidR="00102D9D" w:rsidRPr="00FA5792">
          <w:rPr>
            <w:rStyle w:val="details-value"/>
            <w:rFonts w:ascii="Times New Roman" w:hAnsi="Times New Roman" w:cs="Times New Roman"/>
            <w:sz w:val="28"/>
            <w:szCs w:val="28"/>
          </w:rPr>
          <w:t xml:space="preserve">10.1371/journal.pmed.1002092 </w:t>
        </w:r>
      </w:hyperlink>
    </w:p>
    <w:p w14:paraId="56FCDA0D"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kk-KZ"/>
        </w:rPr>
      </w:pPr>
      <w:r w:rsidRPr="00FA5792">
        <w:rPr>
          <w:rFonts w:ascii="Times New Roman" w:hAnsi="Times New Roman" w:cs="Times New Roman"/>
          <w:sz w:val="28"/>
          <w:szCs w:val="28"/>
        </w:rPr>
        <w:t xml:space="preserve">Ташенева Б.М. Роль коррекции гипогонадизма в комплексном лечении мужчин, больных сахарным диабетом 2 типа. </w:t>
      </w:r>
      <w:r>
        <w:rPr>
          <w:rFonts w:ascii="Times New Roman" w:hAnsi="Times New Roman" w:cs="Times New Roman"/>
          <w:sz w:val="28"/>
          <w:szCs w:val="28"/>
        </w:rPr>
        <w:t xml:space="preserve">- </w:t>
      </w:r>
      <w:r w:rsidRPr="00FA5792">
        <w:rPr>
          <w:rFonts w:ascii="Times New Roman" w:hAnsi="Times New Roman" w:cs="Times New Roman"/>
          <w:sz w:val="28"/>
          <w:szCs w:val="28"/>
        </w:rPr>
        <w:t>2010</w:t>
      </w:r>
      <w:r>
        <w:rPr>
          <w:rFonts w:ascii="Times New Roman" w:hAnsi="Times New Roman" w:cs="Times New Roman"/>
          <w:sz w:val="28"/>
          <w:szCs w:val="28"/>
        </w:rPr>
        <w:t xml:space="preserve">. - </w:t>
      </w:r>
      <w:r w:rsidRPr="00FA5792">
        <w:rPr>
          <w:rFonts w:ascii="Times New Roman" w:hAnsi="Times New Roman" w:cs="Times New Roman"/>
          <w:sz w:val="28"/>
          <w:szCs w:val="28"/>
        </w:rPr>
        <w:t xml:space="preserve"> 127</w:t>
      </w:r>
      <w:r>
        <w:rPr>
          <w:rFonts w:ascii="Times New Roman" w:hAnsi="Times New Roman" w:cs="Times New Roman"/>
          <w:sz w:val="28"/>
          <w:szCs w:val="28"/>
        </w:rPr>
        <w:t xml:space="preserve"> </w:t>
      </w:r>
      <w:r w:rsidRPr="00FA5792">
        <w:rPr>
          <w:rFonts w:ascii="Times New Roman" w:hAnsi="Times New Roman" w:cs="Times New Roman"/>
          <w:sz w:val="28"/>
          <w:szCs w:val="28"/>
        </w:rPr>
        <w:t>с.</w:t>
      </w:r>
    </w:p>
    <w:p w14:paraId="3D45FAAA"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kk-KZ"/>
        </w:rPr>
      </w:pPr>
      <w:r w:rsidRPr="00FA5792">
        <w:rPr>
          <w:rFonts w:ascii="Times New Roman" w:hAnsi="Times New Roman" w:cs="Times New Roman"/>
          <w:sz w:val="28"/>
          <w:szCs w:val="28"/>
          <w:lang w:val="kk-KZ"/>
        </w:rPr>
        <w:t>Зельцер М.Е. Гипогонадизм в Казахстане (распространение, взаимосвязь с метаболическим синдромом)// Сб. Трудов всемирного конгресса «Мужское здоровье. Междисциплинарный подход. Качество жизни»</w:t>
      </w:r>
      <w:r>
        <w:rPr>
          <w:rFonts w:ascii="Times New Roman" w:hAnsi="Times New Roman" w:cs="Times New Roman"/>
          <w:sz w:val="28"/>
          <w:szCs w:val="28"/>
          <w:lang w:val="kk-KZ"/>
        </w:rPr>
        <w:t xml:space="preserve">. - </w:t>
      </w:r>
      <w:r w:rsidRPr="00FA5792">
        <w:rPr>
          <w:rFonts w:ascii="Times New Roman" w:hAnsi="Times New Roman" w:cs="Times New Roman"/>
          <w:sz w:val="28"/>
          <w:szCs w:val="28"/>
          <w:lang w:val="kk-KZ"/>
        </w:rPr>
        <w:t>Алматы, 2014</w:t>
      </w:r>
      <w:r>
        <w:rPr>
          <w:rFonts w:ascii="Times New Roman" w:hAnsi="Times New Roman" w:cs="Times New Roman"/>
          <w:sz w:val="28"/>
          <w:szCs w:val="28"/>
          <w:lang w:val="kk-KZ"/>
        </w:rPr>
        <w:t xml:space="preserve">. - </w:t>
      </w:r>
      <w:r w:rsidRPr="00FA5792">
        <w:rPr>
          <w:rFonts w:ascii="Times New Roman" w:hAnsi="Times New Roman" w:cs="Times New Roman"/>
          <w:sz w:val="28"/>
          <w:szCs w:val="28"/>
          <w:lang w:val="kk-KZ"/>
        </w:rPr>
        <w:t xml:space="preserve"> </w:t>
      </w:r>
      <w:r>
        <w:rPr>
          <w:rFonts w:ascii="Times New Roman" w:hAnsi="Times New Roman" w:cs="Times New Roman"/>
          <w:sz w:val="28"/>
          <w:szCs w:val="28"/>
          <w:lang w:val="kk-KZ"/>
        </w:rPr>
        <w:t>С.</w:t>
      </w:r>
      <w:r w:rsidRPr="00FA5792">
        <w:rPr>
          <w:rFonts w:ascii="Times New Roman" w:hAnsi="Times New Roman" w:cs="Times New Roman"/>
          <w:sz w:val="28"/>
          <w:szCs w:val="28"/>
          <w:lang w:val="kk-KZ"/>
        </w:rPr>
        <w:t xml:space="preserve"> 89-90.</w:t>
      </w:r>
    </w:p>
    <w:p w14:paraId="40AE32B6"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lang w:val="kk-KZ"/>
        </w:rPr>
        <w:t>Ташенева Б.М. Роль коррекции гипогонадизма в комплексном лечении мужчин, больных с сахарным диабетом 2 типа</w:t>
      </w:r>
      <w:r>
        <w:rPr>
          <w:rFonts w:ascii="Times New Roman" w:hAnsi="Times New Roman" w:cs="Times New Roman"/>
          <w:sz w:val="28"/>
          <w:szCs w:val="28"/>
          <w:lang w:val="kk-KZ"/>
        </w:rPr>
        <w:t>:</w:t>
      </w:r>
      <w:r w:rsidRPr="00FA5792">
        <w:rPr>
          <w:rFonts w:ascii="Times New Roman" w:hAnsi="Times New Roman" w:cs="Times New Roman"/>
          <w:sz w:val="28"/>
          <w:szCs w:val="28"/>
          <w:lang w:val="kk-KZ"/>
        </w:rPr>
        <w:t xml:space="preserve"> автореф</w:t>
      </w:r>
      <w:r>
        <w:rPr>
          <w:rFonts w:ascii="Times New Roman" w:hAnsi="Times New Roman" w:cs="Times New Roman"/>
          <w:sz w:val="28"/>
          <w:szCs w:val="28"/>
          <w:lang w:val="kk-KZ"/>
        </w:rPr>
        <w:t>. ...</w:t>
      </w:r>
      <w:r w:rsidRPr="00FA5792">
        <w:rPr>
          <w:rFonts w:ascii="Times New Roman" w:hAnsi="Times New Roman" w:cs="Times New Roman"/>
          <w:sz w:val="28"/>
          <w:szCs w:val="28"/>
          <w:lang w:val="kk-KZ"/>
        </w:rPr>
        <w:t xml:space="preserve"> канд. </w:t>
      </w:r>
      <w:r>
        <w:rPr>
          <w:rFonts w:ascii="Times New Roman" w:hAnsi="Times New Roman" w:cs="Times New Roman"/>
          <w:sz w:val="28"/>
          <w:szCs w:val="28"/>
          <w:lang w:val="kk-KZ"/>
        </w:rPr>
        <w:t>д</w:t>
      </w:r>
      <w:r w:rsidRPr="00FA5792">
        <w:rPr>
          <w:rFonts w:ascii="Times New Roman" w:hAnsi="Times New Roman" w:cs="Times New Roman"/>
          <w:sz w:val="28"/>
          <w:szCs w:val="28"/>
          <w:lang w:val="kk-KZ"/>
        </w:rPr>
        <w:t>ис., Алматы, 2010.</w:t>
      </w:r>
    </w:p>
    <w:p w14:paraId="75DC399E"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kk-KZ"/>
        </w:rPr>
      </w:pPr>
      <w:r w:rsidRPr="00FA5792">
        <w:rPr>
          <w:rFonts w:ascii="Times New Roman" w:hAnsi="Times New Roman" w:cs="Times New Roman"/>
          <w:sz w:val="28"/>
          <w:szCs w:val="28"/>
        </w:rPr>
        <w:t>Аскарова С.С</w:t>
      </w:r>
      <w:r>
        <w:rPr>
          <w:rFonts w:ascii="Times New Roman" w:hAnsi="Times New Roman" w:cs="Times New Roman"/>
          <w:sz w:val="28"/>
          <w:szCs w:val="28"/>
        </w:rPr>
        <w:t>.</w:t>
      </w:r>
      <w:r w:rsidRPr="00FA5792">
        <w:rPr>
          <w:rFonts w:ascii="Times New Roman" w:hAnsi="Times New Roman" w:cs="Times New Roman"/>
          <w:sz w:val="28"/>
          <w:szCs w:val="28"/>
        </w:rPr>
        <w:t xml:space="preserve"> Риск развития сердечно-сосудистых заболеваний и сахарного диабета 2 типа и их коррекция при абдоминальном ожирении. </w:t>
      </w:r>
      <w:r>
        <w:rPr>
          <w:rFonts w:ascii="Times New Roman" w:hAnsi="Times New Roman" w:cs="Times New Roman"/>
          <w:sz w:val="28"/>
          <w:szCs w:val="28"/>
        </w:rPr>
        <w:t xml:space="preserve">- </w:t>
      </w:r>
      <w:r w:rsidRPr="00FA5792">
        <w:rPr>
          <w:rFonts w:ascii="Times New Roman" w:hAnsi="Times New Roman" w:cs="Times New Roman"/>
          <w:sz w:val="28"/>
          <w:szCs w:val="28"/>
        </w:rPr>
        <w:t>2010</w:t>
      </w:r>
      <w:r>
        <w:rPr>
          <w:rFonts w:ascii="Times New Roman" w:hAnsi="Times New Roman" w:cs="Times New Roman"/>
          <w:sz w:val="28"/>
          <w:szCs w:val="28"/>
        </w:rPr>
        <w:t xml:space="preserve">.- </w:t>
      </w:r>
      <w:r w:rsidRPr="00FA5792">
        <w:rPr>
          <w:rFonts w:ascii="Times New Roman" w:hAnsi="Times New Roman" w:cs="Times New Roman"/>
          <w:sz w:val="28"/>
          <w:szCs w:val="28"/>
        </w:rPr>
        <w:t>126 с.</w:t>
      </w:r>
    </w:p>
    <w:p w14:paraId="1C9B69DF" w14:textId="77777777" w:rsidR="00102D9D" w:rsidRPr="00FA5792" w:rsidRDefault="00102D9D" w:rsidP="00102D9D">
      <w:pPr>
        <w:pStyle w:val="a3"/>
        <w:numPr>
          <w:ilvl w:val="0"/>
          <w:numId w:val="75"/>
        </w:numPr>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t xml:space="preserve">Зеленская В. Н. Функция внешнего дыхания и состояние сурфактантной системы легких при сахарном диабете. </w:t>
      </w:r>
      <w:r>
        <w:rPr>
          <w:rFonts w:ascii="Times New Roman" w:eastAsia="Times New Roman" w:hAnsi="Times New Roman" w:cs="Times New Roman"/>
          <w:sz w:val="28"/>
          <w:szCs w:val="28"/>
        </w:rPr>
        <w:t xml:space="preserve">– </w:t>
      </w:r>
      <w:r w:rsidRPr="00FA5792">
        <w:rPr>
          <w:rFonts w:ascii="Times New Roman" w:eastAsia="Times New Roman" w:hAnsi="Times New Roman" w:cs="Times New Roman"/>
          <w:sz w:val="28"/>
          <w:szCs w:val="28"/>
        </w:rPr>
        <w:t>2006</w:t>
      </w:r>
      <w:r>
        <w:rPr>
          <w:rFonts w:ascii="Times New Roman" w:eastAsia="Times New Roman" w:hAnsi="Times New Roman" w:cs="Times New Roman"/>
          <w:sz w:val="28"/>
          <w:szCs w:val="28"/>
        </w:rPr>
        <w:t xml:space="preserve">. - </w:t>
      </w:r>
      <w:r w:rsidRPr="00FA5792">
        <w:rPr>
          <w:rFonts w:ascii="Times New Roman" w:eastAsia="Times New Roman" w:hAnsi="Times New Roman" w:cs="Times New Roman"/>
          <w:sz w:val="28"/>
          <w:szCs w:val="28"/>
        </w:rPr>
        <w:t xml:space="preserve"> 105</w:t>
      </w:r>
      <w:r>
        <w:rPr>
          <w:rFonts w:ascii="Times New Roman" w:eastAsia="Times New Roman" w:hAnsi="Times New Roman" w:cs="Times New Roman"/>
          <w:sz w:val="28"/>
          <w:szCs w:val="28"/>
        </w:rPr>
        <w:t xml:space="preserve"> </w:t>
      </w:r>
      <w:r w:rsidRPr="00FA5792">
        <w:rPr>
          <w:rFonts w:ascii="Times New Roman" w:eastAsia="Times New Roman" w:hAnsi="Times New Roman" w:cs="Times New Roman"/>
          <w:sz w:val="28"/>
          <w:szCs w:val="28"/>
        </w:rPr>
        <w:t>с.</w:t>
      </w:r>
    </w:p>
    <w:p w14:paraId="11395313" w14:textId="77777777" w:rsidR="00102D9D" w:rsidRPr="00FA5792" w:rsidRDefault="00102D9D" w:rsidP="00102D9D">
      <w:pPr>
        <w:pStyle w:val="a3"/>
        <w:numPr>
          <w:ilvl w:val="0"/>
          <w:numId w:val="75"/>
        </w:numPr>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t xml:space="preserve">Шаймуратов Ш. Эффективность лечения больных с впервые выявленным туберкулезом легких с сопутствующим сахарным диабетом в современных условиях. </w:t>
      </w:r>
      <w:r>
        <w:rPr>
          <w:rFonts w:ascii="Times New Roman" w:eastAsia="Times New Roman" w:hAnsi="Times New Roman" w:cs="Times New Roman"/>
          <w:sz w:val="28"/>
          <w:szCs w:val="28"/>
        </w:rPr>
        <w:t xml:space="preserve">- </w:t>
      </w:r>
      <w:r w:rsidRPr="00FA5792">
        <w:rPr>
          <w:rFonts w:ascii="Times New Roman" w:eastAsia="Times New Roman" w:hAnsi="Times New Roman" w:cs="Times New Roman"/>
          <w:sz w:val="28"/>
          <w:szCs w:val="28"/>
        </w:rPr>
        <w:t>2006</w:t>
      </w:r>
      <w:r>
        <w:rPr>
          <w:rFonts w:ascii="Times New Roman" w:eastAsia="Times New Roman" w:hAnsi="Times New Roman" w:cs="Times New Roman"/>
          <w:sz w:val="28"/>
          <w:szCs w:val="28"/>
        </w:rPr>
        <w:t xml:space="preserve">. – </w:t>
      </w:r>
      <w:r w:rsidRPr="00FA5792">
        <w:rPr>
          <w:rFonts w:ascii="Times New Roman" w:eastAsia="Times New Roman" w:hAnsi="Times New Roman" w:cs="Times New Roman"/>
          <w:sz w:val="28"/>
          <w:szCs w:val="28"/>
        </w:rPr>
        <w:t>101</w:t>
      </w:r>
      <w:r>
        <w:rPr>
          <w:rFonts w:ascii="Times New Roman" w:eastAsia="Times New Roman" w:hAnsi="Times New Roman" w:cs="Times New Roman"/>
          <w:sz w:val="28"/>
          <w:szCs w:val="28"/>
        </w:rPr>
        <w:t xml:space="preserve"> </w:t>
      </w:r>
      <w:r w:rsidRPr="00FA5792">
        <w:rPr>
          <w:rFonts w:ascii="Times New Roman" w:eastAsia="Times New Roman" w:hAnsi="Times New Roman" w:cs="Times New Roman"/>
          <w:sz w:val="28"/>
          <w:szCs w:val="28"/>
        </w:rPr>
        <w:t>с.</w:t>
      </w:r>
    </w:p>
    <w:p w14:paraId="5F34C92E" w14:textId="77777777" w:rsidR="00102D9D" w:rsidRPr="00FA5792" w:rsidRDefault="00102D9D" w:rsidP="00102D9D">
      <w:pPr>
        <w:pStyle w:val="a3"/>
        <w:numPr>
          <w:ilvl w:val="0"/>
          <w:numId w:val="75"/>
        </w:numPr>
        <w:shd w:val="clear" w:color="auto" w:fill="FFFFFF"/>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t>Жанузаков М.А. Разработка и внедрение системы скрининга диабетической нефропатии. Регистрационный номер НИР: 0104РК00090</w:t>
      </w:r>
      <w:r>
        <w:rPr>
          <w:rFonts w:ascii="Times New Roman" w:eastAsia="Times New Roman" w:hAnsi="Times New Roman" w:cs="Times New Roman"/>
          <w:sz w:val="28"/>
          <w:szCs w:val="28"/>
        </w:rPr>
        <w:t>.</w:t>
      </w:r>
    </w:p>
    <w:p w14:paraId="0716DC48" w14:textId="77777777" w:rsidR="00102D9D" w:rsidRPr="00FA5792" w:rsidRDefault="00102D9D" w:rsidP="00102D9D">
      <w:pPr>
        <w:pStyle w:val="a3"/>
        <w:numPr>
          <w:ilvl w:val="0"/>
          <w:numId w:val="75"/>
        </w:numPr>
        <w:shd w:val="clear" w:color="auto" w:fill="FFFFFF"/>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t>Абылайулы Ж. Разработка научно-обоснованных предложений по совершенствованию диагностики и лечения болезней сердечно-сосудистой системы и их осложнений при социально-значимых эндокринных заболеваниях (2009-2011). Регистрационный номер НИР: 0109РК00079</w:t>
      </w:r>
      <w:r>
        <w:rPr>
          <w:rFonts w:ascii="Times New Roman" w:eastAsia="Times New Roman" w:hAnsi="Times New Roman" w:cs="Times New Roman"/>
          <w:sz w:val="28"/>
          <w:szCs w:val="28"/>
        </w:rPr>
        <w:t>.</w:t>
      </w:r>
    </w:p>
    <w:p w14:paraId="130D5F38" w14:textId="77777777" w:rsidR="00102D9D" w:rsidRPr="00FA5792" w:rsidRDefault="00102D9D" w:rsidP="00102D9D">
      <w:pPr>
        <w:pStyle w:val="a3"/>
        <w:numPr>
          <w:ilvl w:val="0"/>
          <w:numId w:val="75"/>
        </w:numPr>
        <w:shd w:val="clear" w:color="auto" w:fill="FFFFFF"/>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t>Ботабекова Т.К. Медико-социальные и клинико-патогенетические аспекты в лечении инвалидизирующей офтальмопатологии. Регистрационный номер: 0110РК00133</w:t>
      </w:r>
      <w:r>
        <w:rPr>
          <w:rFonts w:ascii="Times New Roman" w:eastAsia="Times New Roman" w:hAnsi="Times New Roman" w:cs="Times New Roman"/>
          <w:sz w:val="28"/>
          <w:szCs w:val="28"/>
        </w:rPr>
        <w:t>.</w:t>
      </w:r>
    </w:p>
    <w:p w14:paraId="030AAF81" w14:textId="77777777" w:rsidR="00102D9D" w:rsidRPr="00FA5792" w:rsidRDefault="00102D9D" w:rsidP="00102D9D">
      <w:pPr>
        <w:pStyle w:val="a3"/>
        <w:numPr>
          <w:ilvl w:val="0"/>
          <w:numId w:val="75"/>
        </w:numPr>
        <w:shd w:val="clear" w:color="auto" w:fill="FFFFFF"/>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t>Бекмухамбетов Е.Ж. Оптимизация способов хирургического лечения синдрома диабетической стопы. Регистрационный номер: 0108РК00032</w:t>
      </w:r>
      <w:r>
        <w:rPr>
          <w:rFonts w:ascii="Times New Roman" w:eastAsia="Times New Roman" w:hAnsi="Times New Roman" w:cs="Times New Roman"/>
          <w:sz w:val="28"/>
          <w:szCs w:val="28"/>
        </w:rPr>
        <w:t>.</w:t>
      </w:r>
    </w:p>
    <w:p w14:paraId="4BFB9844" w14:textId="77777777" w:rsidR="00102D9D" w:rsidRPr="00FA5792" w:rsidRDefault="00102D9D" w:rsidP="00102D9D">
      <w:pPr>
        <w:pStyle w:val="a3"/>
        <w:numPr>
          <w:ilvl w:val="0"/>
          <w:numId w:val="75"/>
        </w:numPr>
        <w:shd w:val="clear" w:color="auto" w:fill="FFFFFF"/>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t>Аканов А.А. Изучение состояния рабочей памяти у пациентов с сахарным диабетом. Регистрационный номер: 0115РК00688</w:t>
      </w:r>
      <w:r>
        <w:rPr>
          <w:rFonts w:ascii="Times New Roman" w:eastAsia="Times New Roman" w:hAnsi="Times New Roman" w:cs="Times New Roman"/>
          <w:sz w:val="28"/>
          <w:szCs w:val="28"/>
        </w:rPr>
        <w:t>.</w:t>
      </w:r>
    </w:p>
    <w:p w14:paraId="0E0D4F96" w14:textId="77777777" w:rsidR="00102D9D" w:rsidRPr="00FA5792" w:rsidRDefault="00102D9D" w:rsidP="00102D9D">
      <w:pPr>
        <w:pStyle w:val="a3"/>
        <w:numPr>
          <w:ilvl w:val="0"/>
          <w:numId w:val="75"/>
        </w:numPr>
        <w:shd w:val="clear" w:color="auto" w:fill="FFFFFF"/>
        <w:tabs>
          <w:tab w:val="left" w:pos="426"/>
        </w:tabs>
        <w:spacing w:after="0" w:line="240" w:lineRule="auto"/>
        <w:ind w:left="0" w:firstLine="709"/>
        <w:jc w:val="both"/>
        <w:rPr>
          <w:rFonts w:ascii="Times New Roman" w:eastAsia="Times New Roman" w:hAnsi="Times New Roman" w:cs="Times New Roman"/>
          <w:sz w:val="28"/>
          <w:szCs w:val="28"/>
        </w:rPr>
      </w:pPr>
      <w:r w:rsidRPr="00FA5792">
        <w:rPr>
          <w:rFonts w:ascii="Times New Roman" w:eastAsia="Times New Roman" w:hAnsi="Times New Roman" w:cs="Times New Roman"/>
          <w:sz w:val="28"/>
          <w:szCs w:val="28"/>
        </w:rPr>
        <w:t>Аканов А.А. Изучение последствий поздней инициации инсулинотерапии у пациентов с сахарным диабетом 2 типа. Регистрационный номер: 0115РК00738</w:t>
      </w:r>
      <w:r>
        <w:rPr>
          <w:rFonts w:ascii="Times New Roman" w:eastAsia="Times New Roman" w:hAnsi="Times New Roman" w:cs="Times New Roman"/>
          <w:sz w:val="28"/>
          <w:szCs w:val="28"/>
        </w:rPr>
        <w:t>.</w:t>
      </w:r>
    </w:p>
    <w:p w14:paraId="2FB2E0AB" w14:textId="77777777" w:rsidR="00102D9D" w:rsidRPr="00FA5792" w:rsidRDefault="00102D9D" w:rsidP="00102D9D">
      <w:pPr>
        <w:numPr>
          <w:ilvl w:val="0"/>
          <w:numId w:val="75"/>
        </w:numPr>
        <w:tabs>
          <w:tab w:val="left" w:pos="426"/>
          <w:tab w:val="left" w:pos="709"/>
        </w:tabs>
        <w:spacing w:after="0" w:line="240" w:lineRule="auto"/>
        <w:ind w:left="0" w:firstLine="709"/>
        <w:jc w:val="both"/>
        <w:rPr>
          <w:rStyle w:val="details-value"/>
          <w:rFonts w:ascii="Times New Roman" w:hAnsi="Times New Roman" w:cs="Times New Roman"/>
          <w:sz w:val="28"/>
          <w:szCs w:val="28"/>
        </w:rPr>
      </w:pPr>
      <w:r w:rsidRPr="00FA5792">
        <w:rPr>
          <w:rFonts w:ascii="Times New Roman" w:hAnsi="Times New Roman" w:cs="Times New Roman"/>
          <w:bCs/>
          <w:sz w:val="28"/>
          <w:szCs w:val="28"/>
        </w:rPr>
        <w:t xml:space="preserve">Административно-территориальное деление Алматы. </w:t>
      </w:r>
      <w:hyperlink r:id="rId228" w:history="1">
        <w:r w:rsidRPr="00FA5792">
          <w:rPr>
            <w:rStyle w:val="details-value"/>
            <w:rFonts w:ascii="Times New Roman" w:hAnsi="Times New Roman" w:cs="Times New Roman"/>
            <w:bCs/>
            <w:sz w:val="28"/>
            <w:szCs w:val="28"/>
          </w:rPr>
          <w:t>https://ru.wikipedia.org/wiki/</w:t>
        </w:r>
      </w:hyperlink>
    </w:p>
    <w:p w14:paraId="7C61DC48" w14:textId="77777777" w:rsidR="00102D9D" w:rsidRPr="00FA5792" w:rsidRDefault="00102D9D" w:rsidP="00102D9D">
      <w:pPr>
        <w:pStyle w:val="a3"/>
        <w:numPr>
          <w:ilvl w:val="0"/>
          <w:numId w:val="75"/>
        </w:numPr>
        <w:tabs>
          <w:tab w:val="left" w:pos="426"/>
          <w:tab w:val="left" w:pos="709"/>
        </w:tabs>
        <w:spacing w:after="0" w:line="240" w:lineRule="auto"/>
        <w:ind w:left="0" w:firstLine="709"/>
        <w:jc w:val="both"/>
        <w:rPr>
          <w:rFonts w:ascii="Times New Roman" w:eastAsia="Times New Roman" w:hAnsi="Times New Roman" w:cs="Times New Roman"/>
          <w:sz w:val="28"/>
          <w:szCs w:val="28"/>
        </w:rPr>
      </w:pPr>
      <w:r w:rsidRPr="00FA5792">
        <w:rPr>
          <w:rFonts w:ascii="Times New Roman" w:hAnsi="Times New Roman" w:cs="Times New Roman"/>
          <w:sz w:val="28"/>
          <w:szCs w:val="28"/>
        </w:rPr>
        <w:t xml:space="preserve">Каспаров Т.Ю., Шиган Е.Н. Статистические методы в эпидемиологии. </w:t>
      </w:r>
      <w:r>
        <w:rPr>
          <w:rFonts w:ascii="Times New Roman" w:hAnsi="Times New Roman" w:cs="Times New Roman"/>
          <w:sz w:val="28"/>
          <w:szCs w:val="28"/>
        </w:rPr>
        <w:t xml:space="preserve">- </w:t>
      </w:r>
      <w:r w:rsidRPr="00FA5792">
        <w:rPr>
          <w:rFonts w:ascii="Times New Roman" w:hAnsi="Times New Roman" w:cs="Times New Roman"/>
          <w:sz w:val="28"/>
          <w:szCs w:val="28"/>
        </w:rPr>
        <w:t xml:space="preserve">М.:ЦОЛИУВ, 1983. </w:t>
      </w:r>
      <w:r>
        <w:rPr>
          <w:rFonts w:ascii="Times New Roman" w:hAnsi="Times New Roman" w:cs="Times New Roman"/>
          <w:sz w:val="28"/>
          <w:szCs w:val="28"/>
        </w:rPr>
        <w:t xml:space="preserve">– </w:t>
      </w:r>
      <w:r w:rsidRPr="00FA5792">
        <w:rPr>
          <w:rFonts w:ascii="Times New Roman" w:hAnsi="Times New Roman" w:cs="Times New Roman"/>
          <w:sz w:val="28"/>
          <w:szCs w:val="28"/>
        </w:rPr>
        <w:t>46</w:t>
      </w:r>
      <w:r>
        <w:rPr>
          <w:rFonts w:ascii="Times New Roman" w:hAnsi="Times New Roman" w:cs="Times New Roman"/>
          <w:sz w:val="28"/>
          <w:szCs w:val="28"/>
        </w:rPr>
        <w:t xml:space="preserve"> </w:t>
      </w:r>
      <w:r w:rsidRPr="00FA5792">
        <w:rPr>
          <w:rFonts w:ascii="Times New Roman" w:hAnsi="Times New Roman" w:cs="Times New Roman"/>
          <w:sz w:val="28"/>
          <w:szCs w:val="28"/>
        </w:rPr>
        <w:t>с</w:t>
      </w:r>
      <w:r>
        <w:rPr>
          <w:rFonts w:ascii="Times New Roman" w:hAnsi="Times New Roman" w:cs="Times New Roman"/>
          <w:sz w:val="28"/>
          <w:szCs w:val="28"/>
        </w:rPr>
        <w:t>.</w:t>
      </w:r>
    </w:p>
    <w:p w14:paraId="514CA007" w14:textId="77777777" w:rsidR="00102D9D" w:rsidRPr="00FA5792" w:rsidRDefault="00102D9D" w:rsidP="00102D9D">
      <w:pPr>
        <w:pStyle w:val="a3"/>
        <w:numPr>
          <w:ilvl w:val="0"/>
          <w:numId w:val="75"/>
        </w:numPr>
        <w:tabs>
          <w:tab w:val="left" w:pos="426"/>
          <w:tab w:val="left" w:pos="709"/>
        </w:tabs>
        <w:autoSpaceDE w:val="0"/>
        <w:autoSpaceDN w:val="0"/>
        <w:adjustRightInd w:val="0"/>
        <w:spacing w:after="0" w:line="240" w:lineRule="auto"/>
        <w:ind w:left="0" w:firstLine="709"/>
        <w:jc w:val="both"/>
        <w:rPr>
          <w:rFonts w:ascii="Times New Roman" w:eastAsia="Times New Roman" w:hAnsi="Times New Roman" w:cs="Times New Roman"/>
          <w:sz w:val="28"/>
          <w:szCs w:val="28"/>
        </w:rPr>
      </w:pPr>
      <w:r w:rsidRPr="00FA5792">
        <w:rPr>
          <w:rFonts w:ascii="Times New Roman" w:eastAsia="TimesNewRomanPS-BoldMT" w:hAnsi="Times New Roman" w:cs="Times New Roman"/>
          <w:bCs/>
          <w:sz w:val="28"/>
          <w:szCs w:val="28"/>
          <w:lang w:eastAsia="en-US"/>
        </w:rPr>
        <w:t>Давлетов</w:t>
      </w:r>
      <w:r w:rsidRPr="00425D6E">
        <w:rPr>
          <w:rFonts w:ascii="Times New Roman" w:eastAsia="TimesNewRomanPS-BoldMT" w:hAnsi="Times New Roman" w:cs="Times New Roman"/>
          <w:bCs/>
          <w:sz w:val="28"/>
          <w:szCs w:val="28"/>
          <w:lang w:eastAsia="en-US"/>
        </w:rPr>
        <w:t xml:space="preserve"> </w:t>
      </w:r>
      <w:r w:rsidRPr="00FA5792">
        <w:rPr>
          <w:rFonts w:ascii="Times New Roman" w:eastAsia="TimesNewRomanPS-BoldMT" w:hAnsi="Times New Roman" w:cs="Times New Roman"/>
          <w:bCs/>
          <w:sz w:val="28"/>
          <w:szCs w:val="28"/>
          <w:lang w:eastAsia="en-US"/>
        </w:rPr>
        <w:t>К.К., Беркинбаев</w:t>
      </w:r>
      <w:r w:rsidRPr="00425D6E">
        <w:rPr>
          <w:rFonts w:ascii="Times New Roman" w:eastAsia="TimesNewRomanPS-BoldMT" w:hAnsi="Times New Roman" w:cs="Times New Roman"/>
          <w:bCs/>
          <w:sz w:val="28"/>
          <w:szCs w:val="28"/>
          <w:lang w:eastAsia="en-US"/>
        </w:rPr>
        <w:t xml:space="preserve"> </w:t>
      </w:r>
      <w:r w:rsidRPr="00FA5792">
        <w:rPr>
          <w:rFonts w:ascii="Times New Roman" w:eastAsia="TimesNewRomanPS-BoldMT" w:hAnsi="Times New Roman" w:cs="Times New Roman"/>
          <w:bCs/>
          <w:sz w:val="28"/>
          <w:szCs w:val="28"/>
          <w:lang w:eastAsia="en-US"/>
        </w:rPr>
        <w:t>С.Ф., Амиров</w:t>
      </w:r>
      <w:r w:rsidRPr="00425D6E">
        <w:rPr>
          <w:rFonts w:ascii="Times New Roman" w:eastAsia="TimesNewRomanPS-BoldMT" w:hAnsi="Times New Roman" w:cs="Times New Roman"/>
          <w:bCs/>
          <w:sz w:val="28"/>
          <w:szCs w:val="28"/>
          <w:lang w:eastAsia="en-US"/>
        </w:rPr>
        <w:t xml:space="preserve"> </w:t>
      </w:r>
      <w:r w:rsidRPr="00FA5792">
        <w:rPr>
          <w:rFonts w:ascii="Times New Roman" w:eastAsia="TimesNewRomanPS-BoldMT" w:hAnsi="Times New Roman" w:cs="Times New Roman"/>
          <w:bCs/>
          <w:sz w:val="28"/>
          <w:szCs w:val="28"/>
          <w:lang w:eastAsia="en-US"/>
        </w:rPr>
        <w:t>Б.Б., Жусупов</w:t>
      </w:r>
      <w:r w:rsidRPr="00425D6E">
        <w:rPr>
          <w:rFonts w:ascii="Times New Roman" w:eastAsia="TimesNewRomanPS-BoldMT" w:hAnsi="Times New Roman" w:cs="Times New Roman"/>
          <w:bCs/>
          <w:sz w:val="28"/>
          <w:szCs w:val="28"/>
          <w:lang w:eastAsia="en-US"/>
        </w:rPr>
        <w:t xml:space="preserve"> </w:t>
      </w:r>
      <w:r w:rsidRPr="00FA5792">
        <w:rPr>
          <w:rFonts w:ascii="Times New Roman" w:eastAsia="TimesNewRomanPS-BoldMT" w:hAnsi="Times New Roman" w:cs="Times New Roman"/>
          <w:bCs/>
          <w:sz w:val="28"/>
          <w:szCs w:val="28"/>
          <w:lang w:eastAsia="en-US"/>
        </w:rPr>
        <w:t>Б.С., Абдикалиев</w:t>
      </w:r>
      <w:r w:rsidRPr="00425D6E">
        <w:rPr>
          <w:rFonts w:ascii="Times New Roman" w:eastAsia="TimesNewRomanPS-BoldMT" w:hAnsi="Times New Roman" w:cs="Times New Roman"/>
          <w:bCs/>
          <w:sz w:val="28"/>
          <w:szCs w:val="28"/>
          <w:lang w:eastAsia="en-US"/>
        </w:rPr>
        <w:t xml:space="preserve"> </w:t>
      </w:r>
      <w:r w:rsidRPr="00FA5792">
        <w:rPr>
          <w:rFonts w:ascii="Times New Roman" w:eastAsia="TimesNewRomanPS-BoldMT" w:hAnsi="Times New Roman" w:cs="Times New Roman"/>
          <w:bCs/>
          <w:sz w:val="28"/>
          <w:szCs w:val="28"/>
          <w:lang w:eastAsia="en-US"/>
        </w:rPr>
        <w:t>Н.А., Ибрагимова</w:t>
      </w:r>
      <w:r w:rsidRPr="00425D6E">
        <w:rPr>
          <w:rFonts w:ascii="Times New Roman" w:eastAsia="TimesNewRomanPS-BoldMT" w:hAnsi="Times New Roman" w:cs="Times New Roman"/>
          <w:bCs/>
          <w:sz w:val="28"/>
          <w:szCs w:val="28"/>
          <w:lang w:eastAsia="en-US"/>
        </w:rPr>
        <w:t xml:space="preserve"> </w:t>
      </w:r>
      <w:r w:rsidRPr="00FA5792">
        <w:rPr>
          <w:rFonts w:ascii="Times New Roman" w:eastAsia="TimesNewRomanPS-BoldMT" w:hAnsi="Times New Roman" w:cs="Times New Roman"/>
          <w:bCs/>
          <w:sz w:val="28"/>
          <w:szCs w:val="28"/>
          <w:lang w:eastAsia="en-US"/>
        </w:rPr>
        <w:t>Ф.С., Жарылкасынова</w:t>
      </w:r>
      <w:r w:rsidRPr="00425D6E">
        <w:rPr>
          <w:rFonts w:ascii="Times New Roman" w:eastAsia="TimesNewRomanPS-BoldMT" w:hAnsi="Times New Roman" w:cs="Times New Roman"/>
          <w:bCs/>
          <w:sz w:val="28"/>
          <w:szCs w:val="28"/>
          <w:lang w:eastAsia="en-US"/>
        </w:rPr>
        <w:t xml:space="preserve"> </w:t>
      </w:r>
      <w:r w:rsidRPr="00FA5792">
        <w:rPr>
          <w:rFonts w:ascii="Times New Roman" w:eastAsia="TimesNewRomanPS-BoldMT" w:hAnsi="Times New Roman" w:cs="Times New Roman"/>
          <w:bCs/>
          <w:sz w:val="28"/>
          <w:szCs w:val="28"/>
          <w:lang w:eastAsia="en-US"/>
        </w:rPr>
        <w:t>Р.К. Стандартизация показателей заболеваемости и смертности как основа для корректного сравнения разных регионов.</w:t>
      </w:r>
      <w:r w:rsidRPr="00FA5792">
        <w:rPr>
          <w:rFonts w:ascii="Times New Roman" w:eastAsia="TimesNewRomanPS-BoldMT" w:hAnsi="Times New Roman" w:cs="Times New Roman"/>
          <w:i/>
          <w:iCs/>
          <w:sz w:val="28"/>
          <w:szCs w:val="28"/>
          <w:lang w:eastAsia="en-US"/>
        </w:rPr>
        <w:t xml:space="preserve"> </w:t>
      </w:r>
    </w:p>
    <w:p w14:paraId="03A41FB6"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i/>
          <w:iCs/>
          <w:sz w:val="28"/>
          <w:szCs w:val="28"/>
        </w:rPr>
        <w:t xml:space="preserve">Унгуряну Т. Н., Гржибовский А. М. </w:t>
      </w:r>
      <w:r w:rsidRPr="00FA5792">
        <w:rPr>
          <w:rFonts w:ascii="Times New Roman" w:hAnsi="Times New Roman" w:cs="Times New Roman"/>
          <w:sz w:val="28"/>
          <w:szCs w:val="28"/>
        </w:rPr>
        <w:t xml:space="preserve">Программное обеспечение для статистической обработки данных STATA: введение // Экология человека. </w:t>
      </w:r>
      <w:r>
        <w:rPr>
          <w:rFonts w:ascii="Times New Roman" w:hAnsi="Times New Roman" w:cs="Times New Roman"/>
          <w:sz w:val="28"/>
          <w:szCs w:val="28"/>
        </w:rPr>
        <w:t>-</w:t>
      </w:r>
      <w:r w:rsidRPr="00FA5792">
        <w:rPr>
          <w:rFonts w:ascii="Times New Roman" w:hAnsi="Times New Roman" w:cs="Times New Roman"/>
          <w:sz w:val="28"/>
          <w:szCs w:val="28"/>
        </w:rPr>
        <w:t xml:space="preserve">2014. </w:t>
      </w:r>
      <w:r>
        <w:rPr>
          <w:rFonts w:ascii="Times New Roman" w:hAnsi="Times New Roman" w:cs="Times New Roman"/>
          <w:sz w:val="28"/>
          <w:szCs w:val="28"/>
        </w:rPr>
        <w:t xml:space="preserve">- </w:t>
      </w:r>
      <w:r w:rsidRPr="00FA5792">
        <w:rPr>
          <w:rFonts w:ascii="Times New Roman" w:hAnsi="Times New Roman" w:cs="Times New Roman"/>
          <w:sz w:val="28"/>
          <w:szCs w:val="28"/>
        </w:rPr>
        <w:t>№ 1.</w:t>
      </w:r>
      <w:r>
        <w:rPr>
          <w:rFonts w:ascii="Times New Roman" w:hAnsi="Times New Roman" w:cs="Times New Roman"/>
          <w:sz w:val="28"/>
          <w:szCs w:val="28"/>
        </w:rPr>
        <w:t>-</w:t>
      </w:r>
      <w:r w:rsidRPr="00FA5792">
        <w:rPr>
          <w:rFonts w:ascii="Times New Roman" w:hAnsi="Times New Roman" w:cs="Times New Roman"/>
          <w:sz w:val="28"/>
          <w:szCs w:val="28"/>
        </w:rPr>
        <w:t xml:space="preserve"> C. 60–63.</w:t>
      </w:r>
    </w:p>
    <w:p w14:paraId="4A614390"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 xml:space="preserve">Ядов В.А. Социологическое исследование: Методология.  Программа. Методы. - Самара, 1995.  </w:t>
      </w:r>
      <w:r>
        <w:rPr>
          <w:rFonts w:ascii="Times New Roman" w:hAnsi="Times New Roman" w:cs="Times New Roman"/>
          <w:sz w:val="28"/>
          <w:szCs w:val="28"/>
        </w:rPr>
        <w:t>–</w:t>
      </w:r>
      <w:r w:rsidRPr="00FA5792">
        <w:rPr>
          <w:rFonts w:ascii="Times New Roman" w:hAnsi="Times New Roman" w:cs="Times New Roman"/>
          <w:sz w:val="28"/>
          <w:szCs w:val="28"/>
        </w:rPr>
        <w:t xml:space="preserve"> 239</w:t>
      </w:r>
      <w:r>
        <w:rPr>
          <w:rFonts w:ascii="Times New Roman" w:hAnsi="Times New Roman" w:cs="Times New Roman"/>
          <w:sz w:val="28"/>
          <w:szCs w:val="28"/>
        </w:rPr>
        <w:t xml:space="preserve"> </w:t>
      </w:r>
      <w:r w:rsidRPr="00FA5792">
        <w:rPr>
          <w:rFonts w:ascii="Times New Roman" w:hAnsi="Times New Roman" w:cs="Times New Roman"/>
          <w:sz w:val="28"/>
          <w:szCs w:val="28"/>
        </w:rPr>
        <w:t>с.</w:t>
      </w:r>
    </w:p>
    <w:p w14:paraId="1069B8DE"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Решетников А.В., Ефименко С.А., Астафьев Л.М. Методика проведения медико-социологических исследований. - М., 2003.- 21 с.</w:t>
      </w:r>
    </w:p>
    <w:p w14:paraId="42E5D00D"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Бутенко И.А. Анкетный опрос как общение социолога с респондентами. - М., 1989- С. 25- 30.</w:t>
      </w:r>
    </w:p>
    <w:p w14:paraId="056B4D6E"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Волович В.И. Надежность информации в социологическом исследовании. - Киев, 2000.- 25 с.</w:t>
      </w:r>
    </w:p>
    <w:p w14:paraId="00862C1D"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bCs/>
          <w:sz w:val="28"/>
          <w:szCs w:val="28"/>
        </w:rPr>
        <w:t xml:space="preserve">Бурибаева Ж.К. Системный анализ и моделирование в общественном здравоохранении. </w:t>
      </w:r>
      <w:r>
        <w:rPr>
          <w:rFonts w:ascii="Times New Roman" w:hAnsi="Times New Roman" w:cs="Times New Roman"/>
          <w:bCs/>
          <w:sz w:val="28"/>
          <w:szCs w:val="28"/>
        </w:rPr>
        <w:t xml:space="preserve">- </w:t>
      </w:r>
      <w:r w:rsidRPr="00FA5792">
        <w:rPr>
          <w:rFonts w:ascii="Times New Roman" w:hAnsi="Times New Roman" w:cs="Times New Roman"/>
          <w:bCs/>
          <w:sz w:val="28"/>
          <w:szCs w:val="28"/>
        </w:rPr>
        <w:t>Алматы, 2009</w:t>
      </w:r>
      <w:r>
        <w:rPr>
          <w:rFonts w:ascii="Times New Roman" w:hAnsi="Times New Roman" w:cs="Times New Roman"/>
          <w:bCs/>
          <w:sz w:val="28"/>
          <w:szCs w:val="28"/>
        </w:rPr>
        <w:t>.</w:t>
      </w:r>
    </w:p>
    <w:p w14:paraId="3656FC06" w14:textId="77777777" w:rsidR="00102D9D" w:rsidRPr="00FA5792" w:rsidRDefault="00102D9D" w:rsidP="00102D9D">
      <w:pPr>
        <w:pStyle w:val="a3"/>
        <w:numPr>
          <w:ilvl w:val="0"/>
          <w:numId w:val="75"/>
        </w:numPr>
        <w:tabs>
          <w:tab w:val="left" w:pos="426"/>
          <w:tab w:val="left" w:pos="709"/>
        </w:tabs>
        <w:autoSpaceDE w:val="0"/>
        <w:autoSpaceDN w:val="0"/>
        <w:adjustRightInd w:val="0"/>
        <w:spacing w:after="0" w:line="240" w:lineRule="auto"/>
        <w:ind w:left="0" w:firstLine="709"/>
        <w:jc w:val="both"/>
        <w:rPr>
          <w:rFonts w:ascii="Times New Roman" w:eastAsia="Times New Roman" w:hAnsi="Times New Roman" w:cs="Times New Roman"/>
          <w:sz w:val="28"/>
          <w:szCs w:val="28"/>
        </w:rPr>
      </w:pPr>
      <w:r w:rsidRPr="00FA5792">
        <w:rPr>
          <w:rFonts w:ascii="Times New Roman" w:hAnsi="Times New Roman" w:cs="Times New Roman"/>
          <w:sz w:val="28"/>
          <w:szCs w:val="28"/>
        </w:rPr>
        <w:t xml:space="preserve">Государственная программа развития здравоохранения «Денсаулық» на 2016-2019 годы: формирование и развитие Службы общественного здравоохранения. Система организаций общественного здравоохранения. Здоровье как показатель эффективности медико-профилактической деятельности. Стратегии развития службы Общественного здравоохранения РК. Модель службы Общественного здравоохранения РК. </w:t>
      </w:r>
      <w:hyperlink r:id="rId229" w:history="1">
        <w:r w:rsidRPr="00FA5792">
          <w:rPr>
            <w:rStyle w:val="ab"/>
            <w:rFonts w:ascii="Times New Roman" w:hAnsi="Times New Roman" w:cs="Times New Roman"/>
            <w:color w:val="auto"/>
            <w:sz w:val="28"/>
            <w:szCs w:val="28"/>
            <w:u w:val="none"/>
          </w:rPr>
          <w:t>www.rcrz.kz/docs/oz/pdf</w:t>
        </w:r>
      </w:hyperlink>
      <w:r>
        <w:rPr>
          <w:rStyle w:val="ab"/>
          <w:rFonts w:ascii="Times New Roman" w:hAnsi="Times New Roman" w:cs="Times New Roman"/>
          <w:color w:val="auto"/>
          <w:sz w:val="28"/>
          <w:szCs w:val="28"/>
          <w:u w:val="none"/>
        </w:rPr>
        <w:t>.</w:t>
      </w:r>
    </w:p>
    <w:p w14:paraId="420F4175"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sz w:val="28"/>
          <w:szCs w:val="28"/>
          <w:lang w:val="en-US"/>
        </w:rPr>
        <w:t xml:space="preserve">World Health Organization. Global diabetes report 2018 </w:t>
      </w:r>
      <w:hyperlink r:id="rId230" w:history="1">
        <w:r w:rsidRPr="00FA5792">
          <w:rPr>
            <w:rStyle w:val="details-value"/>
            <w:rFonts w:ascii="Times New Roman" w:hAnsi="Times New Roman" w:cs="Times New Roman"/>
            <w:sz w:val="28"/>
            <w:szCs w:val="28"/>
            <w:lang w:val="en-US"/>
          </w:rPr>
          <w:t>http://www.who.int/en/</w:t>
        </w:r>
      </w:hyperlink>
    </w:p>
    <w:p w14:paraId="5E4EEB30"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 xml:space="preserve">Югай М.Н. Прогнозирование степени ограничения жизнедеятельности и реабилитационного потенциала инвалидов вследствие сахарного диабета // Реабилитолог в ХХI веке: материалы международной научно-практической конференции, посвященной 15-летию Московского института медико-социальной реабилитологии. </w:t>
      </w:r>
      <w:r>
        <w:rPr>
          <w:rFonts w:ascii="Times New Roman" w:hAnsi="Times New Roman" w:cs="Times New Roman"/>
          <w:sz w:val="28"/>
          <w:szCs w:val="28"/>
        </w:rPr>
        <w:t>–</w:t>
      </w:r>
      <w:r w:rsidRPr="00FA5792">
        <w:rPr>
          <w:rFonts w:ascii="Times New Roman" w:hAnsi="Times New Roman" w:cs="Times New Roman"/>
          <w:sz w:val="28"/>
          <w:szCs w:val="28"/>
        </w:rPr>
        <w:t xml:space="preserve"> М</w:t>
      </w:r>
      <w:r>
        <w:rPr>
          <w:rFonts w:ascii="Times New Roman" w:hAnsi="Times New Roman" w:cs="Times New Roman"/>
          <w:sz w:val="28"/>
          <w:szCs w:val="28"/>
        </w:rPr>
        <w:t>.,</w:t>
      </w:r>
      <w:r w:rsidRPr="00FA5792">
        <w:rPr>
          <w:rFonts w:ascii="Times New Roman" w:hAnsi="Times New Roman" w:cs="Times New Roman"/>
          <w:sz w:val="28"/>
          <w:szCs w:val="28"/>
        </w:rPr>
        <w:t xml:space="preserve"> 2007. </w:t>
      </w:r>
      <w:r>
        <w:rPr>
          <w:rFonts w:ascii="Times New Roman" w:hAnsi="Times New Roman" w:cs="Times New Roman"/>
          <w:sz w:val="28"/>
          <w:szCs w:val="28"/>
        </w:rPr>
        <w:t xml:space="preserve">- </w:t>
      </w:r>
      <w:r w:rsidRPr="00FA5792">
        <w:rPr>
          <w:rFonts w:ascii="Times New Roman" w:hAnsi="Times New Roman" w:cs="Times New Roman"/>
          <w:sz w:val="28"/>
          <w:szCs w:val="28"/>
        </w:rPr>
        <w:t>С.86-88.</w:t>
      </w:r>
    </w:p>
    <w:p w14:paraId="14A1676F"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Статистический сборник «Здоровье населения Республики Казахстан и деятельности организации здравоохранения»</w:t>
      </w:r>
      <w:r>
        <w:rPr>
          <w:rFonts w:ascii="Times New Roman" w:hAnsi="Times New Roman" w:cs="Times New Roman"/>
          <w:sz w:val="28"/>
          <w:szCs w:val="28"/>
        </w:rPr>
        <w:t>. -</w:t>
      </w:r>
      <w:r w:rsidRPr="00FA5792">
        <w:rPr>
          <w:rFonts w:ascii="Times New Roman" w:hAnsi="Times New Roman" w:cs="Times New Roman"/>
          <w:sz w:val="28"/>
          <w:szCs w:val="28"/>
        </w:rPr>
        <w:t xml:space="preserve"> 2018. </w:t>
      </w:r>
      <w:hyperlink r:id="rId231" w:history="1">
        <w:r w:rsidRPr="00FA5792">
          <w:rPr>
            <w:rStyle w:val="details-value"/>
            <w:rFonts w:ascii="Times New Roman" w:hAnsi="Times New Roman" w:cs="Times New Roman"/>
            <w:sz w:val="28"/>
            <w:szCs w:val="28"/>
          </w:rPr>
          <w:t>http://www.medinfo.kz</w:t>
        </w:r>
      </w:hyperlink>
      <w:r>
        <w:rPr>
          <w:rFonts w:ascii="Times New Roman" w:hAnsi="Times New Roman" w:cs="Times New Roman"/>
          <w:sz w:val="28"/>
          <w:szCs w:val="28"/>
        </w:rPr>
        <w:t>.</w:t>
      </w:r>
    </w:p>
    <w:p w14:paraId="0F09BC62" w14:textId="77777777" w:rsidR="00102D9D" w:rsidRPr="00FA5792" w:rsidRDefault="00102D9D" w:rsidP="00102D9D">
      <w:pPr>
        <w:numPr>
          <w:ilvl w:val="0"/>
          <w:numId w:val="75"/>
        </w:numPr>
        <w:tabs>
          <w:tab w:val="left" w:pos="426"/>
          <w:tab w:val="left" w:pos="709"/>
        </w:tabs>
        <w:spacing w:after="0" w:line="240" w:lineRule="auto"/>
        <w:ind w:left="0" w:firstLine="709"/>
        <w:jc w:val="both"/>
        <w:rPr>
          <w:rStyle w:val="details-value"/>
          <w:rFonts w:ascii="Times New Roman" w:hAnsi="Times New Roman" w:cs="Times New Roman"/>
          <w:sz w:val="28"/>
          <w:szCs w:val="28"/>
        </w:rPr>
      </w:pPr>
      <w:r w:rsidRPr="00FA5792">
        <w:rPr>
          <w:rFonts w:ascii="Times New Roman" w:hAnsi="Times New Roman" w:cs="Times New Roman"/>
          <w:sz w:val="28"/>
          <w:szCs w:val="28"/>
        </w:rPr>
        <w:t xml:space="preserve">Официальный интернет ресурс </w:t>
      </w:r>
      <w:hyperlink r:id="rId232" w:history="1">
        <w:r w:rsidRPr="006B01C4">
          <w:rPr>
            <w:rStyle w:val="ab"/>
            <w:rFonts w:ascii="Times New Roman" w:hAnsi="Times New Roman" w:cs="Times New Roman"/>
            <w:color w:val="auto"/>
            <w:sz w:val="28"/>
            <w:szCs w:val="28"/>
            <w:u w:val="none"/>
          </w:rPr>
          <w:t>http://adilet.zan.kz/rus/docs/ V14R0001068</w:t>
        </w:r>
      </w:hyperlink>
      <w:r w:rsidRPr="006B01C4">
        <w:rPr>
          <w:rStyle w:val="details-value"/>
          <w:rFonts w:ascii="Times New Roman" w:hAnsi="Times New Roman" w:cs="Times New Roman"/>
          <w:sz w:val="28"/>
          <w:szCs w:val="28"/>
        </w:rPr>
        <w:t>.</w:t>
      </w:r>
    </w:p>
    <w:p w14:paraId="038CB1C7"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Style w:val="details-value"/>
          <w:rFonts w:ascii="Times New Roman" w:hAnsi="Times New Roman" w:cs="Times New Roman"/>
          <w:sz w:val="28"/>
          <w:szCs w:val="28"/>
        </w:rPr>
      </w:pPr>
      <w:r w:rsidRPr="00FA5792">
        <w:rPr>
          <w:rFonts w:ascii="Times New Roman" w:hAnsi="Times New Roman" w:cs="Times New Roman"/>
          <w:bCs/>
          <w:sz w:val="28"/>
          <w:szCs w:val="28"/>
        </w:rPr>
        <w:t xml:space="preserve">Профили сахарного диабета в странах, 2016. Бюллетень </w:t>
      </w:r>
      <w:r w:rsidRPr="00FA5792">
        <w:rPr>
          <w:rFonts w:ascii="Times New Roman" w:hAnsi="Times New Roman" w:cs="Times New Roman"/>
          <w:bCs/>
          <w:sz w:val="28"/>
          <w:szCs w:val="28"/>
          <w:lang w:val="kk-KZ"/>
        </w:rPr>
        <w:t>ВОЗ</w:t>
      </w:r>
      <w:r w:rsidRPr="00FA5792">
        <w:rPr>
          <w:rFonts w:ascii="Times New Roman" w:hAnsi="Times New Roman" w:cs="Times New Roman"/>
          <w:bCs/>
          <w:sz w:val="28"/>
          <w:szCs w:val="28"/>
        </w:rPr>
        <w:t xml:space="preserve">. </w:t>
      </w:r>
      <w:r w:rsidRPr="00FA5792">
        <w:rPr>
          <w:rFonts w:ascii="Times New Roman" w:eastAsia="Times New Roman" w:hAnsi="Times New Roman" w:cs="Times New Roman"/>
          <w:spacing w:val="2"/>
          <w:sz w:val="28"/>
          <w:szCs w:val="28"/>
        </w:rPr>
        <w:t xml:space="preserve">Электронный ресурс: </w:t>
      </w:r>
      <w:hyperlink r:id="rId233" w:history="1">
        <w:r w:rsidRPr="00FA5792">
          <w:rPr>
            <w:rStyle w:val="details-value"/>
            <w:rFonts w:ascii="Times New Roman" w:eastAsia="Times New Roman" w:hAnsi="Times New Roman" w:cs="Times New Roman"/>
            <w:spacing w:val="2"/>
            <w:sz w:val="28"/>
            <w:szCs w:val="28"/>
            <w:lang w:val="en-US"/>
          </w:rPr>
          <w:t>https</w:t>
        </w:r>
        <w:r w:rsidRPr="00FA5792">
          <w:rPr>
            <w:rStyle w:val="details-value"/>
            <w:rFonts w:ascii="Times New Roman" w:eastAsia="Times New Roman" w:hAnsi="Times New Roman" w:cs="Times New Roman"/>
            <w:spacing w:val="2"/>
            <w:sz w:val="28"/>
            <w:szCs w:val="28"/>
          </w:rPr>
          <w:t>://</w:t>
        </w:r>
        <w:r w:rsidRPr="00FA5792">
          <w:rPr>
            <w:rStyle w:val="details-value"/>
            <w:rFonts w:ascii="Times New Roman" w:eastAsia="Times New Roman" w:hAnsi="Times New Roman" w:cs="Times New Roman"/>
            <w:spacing w:val="2"/>
            <w:sz w:val="28"/>
            <w:szCs w:val="28"/>
            <w:lang w:val="en-US"/>
          </w:rPr>
          <w:t>www</w:t>
        </w:r>
        <w:r w:rsidRPr="00FA5792">
          <w:rPr>
            <w:rStyle w:val="details-value"/>
            <w:rFonts w:ascii="Times New Roman" w:eastAsia="Times New Roman" w:hAnsi="Times New Roman" w:cs="Times New Roman"/>
            <w:spacing w:val="2"/>
            <w:sz w:val="28"/>
            <w:szCs w:val="28"/>
          </w:rPr>
          <w:t>.</w:t>
        </w:r>
        <w:r w:rsidRPr="00FA5792">
          <w:rPr>
            <w:rStyle w:val="details-value"/>
            <w:rFonts w:ascii="Times New Roman" w:eastAsia="Times New Roman" w:hAnsi="Times New Roman" w:cs="Times New Roman"/>
            <w:spacing w:val="2"/>
            <w:sz w:val="28"/>
            <w:szCs w:val="28"/>
            <w:lang w:val="en-US"/>
          </w:rPr>
          <w:t>who</w:t>
        </w:r>
        <w:r w:rsidRPr="00FA5792">
          <w:rPr>
            <w:rStyle w:val="details-value"/>
            <w:rFonts w:ascii="Times New Roman" w:eastAsia="Times New Roman" w:hAnsi="Times New Roman" w:cs="Times New Roman"/>
            <w:spacing w:val="2"/>
            <w:sz w:val="28"/>
            <w:szCs w:val="28"/>
          </w:rPr>
          <w:t>.</w:t>
        </w:r>
        <w:r w:rsidRPr="00FA5792">
          <w:rPr>
            <w:rStyle w:val="details-value"/>
            <w:rFonts w:ascii="Times New Roman" w:eastAsia="Times New Roman" w:hAnsi="Times New Roman" w:cs="Times New Roman"/>
            <w:spacing w:val="2"/>
            <w:sz w:val="28"/>
            <w:szCs w:val="28"/>
            <w:lang w:val="en-US"/>
          </w:rPr>
          <w:t>int</w:t>
        </w:r>
        <w:r w:rsidRPr="00FA5792">
          <w:rPr>
            <w:rStyle w:val="details-value"/>
            <w:rFonts w:ascii="Times New Roman" w:eastAsia="Times New Roman" w:hAnsi="Times New Roman" w:cs="Times New Roman"/>
            <w:spacing w:val="2"/>
            <w:sz w:val="28"/>
            <w:szCs w:val="28"/>
          </w:rPr>
          <w:t>/</w:t>
        </w:r>
        <w:r w:rsidRPr="00FA5792">
          <w:rPr>
            <w:rStyle w:val="details-value"/>
            <w:rFonts w:ascii="Times New Roman" w:eastAsia="Times New Roman" w:hAnsi="Times New Roman" w:cs="Times New Roman"/>
            <w:spacing w:val="2"/>
            <w:sz w:val="28"/>
            <w:szCs w:val="28"/>
            <w:lang w:val="en-US"/>
          </w:rPr>
          <w:t>ru</w:t>
        </w:r>
      </w:hyperlink>
      <w:r w:rsidRPr="00FA5792">
        <w:rPr>
          <w:rFonts w:ascii="Times New Roman" w:eastAsia="Times New Roman" w:hAnsi="Times New Roman" w:cs="Times New Roman"/>
          <w:spacing w:val="2"/>
          <w:sz w:val="28"/>
          <w:szCs w:val="28"/>
        </w:rPr>
        <w:t>.</w:t>
      </w:r>
    </w:p>
    <w:p w14:paraId="478CDF48"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bCs/>
          <w:sz w:val="28"/>
          <w:szCs w:val="28"/>
          <w:lang w:val="en-US"/>
        </w:rPr>
        <w:t xml:space="preserve">The genetic architecture of type 2 diabetes. HHS Public Access </w:t>
      </w:r>
      <w:r w:rsidRPr="00FA5792">
        <w:rPr>
          <w:rFonts w:ascii="Times New Roman" w:hAnsi="Times New Roman" w:cs="Times New Roman"/>
          <w:sz w:val="28"/>
          <w:szCs w:val="28"/>
          <w:lang w:val="en-US"/>
        </w:rPr>
        <w:t xml:space="preserve">Author manuscript Nature. </w:t>
      </w:r>
      <w:r w:rsidRPr="00FA5792">
        <w:rPr>
          <w:rFonts w:ascii="Times New Roman" w:hAnsi="Times New Roman" w:cs="Times New Roman"/>
          <w:sz w:val="28"/>
          <w:szCs w:val="28"/>
        </w:rPr>
        <w:t xml:space="preserve">Author manuscript; available in PMC 2017 February 04. </w:t>
      </w:r>
    </w:p>
    <w:p w14:paraId="025EABA5" w14:textId="77777777" w:rsidR="00102D9D" w:rsidRPr="00FA5792" w:rsidRDefault="00102D9D" w:rsidP="00102D9D">
      <w:pPr>
        <w:numPr>
          <w:ilvl w:val="0"/>
          <w:numId w:val="75"/>
        </w:numPr>
        <w:tabs>
          <w:tab w:val="left" w:pos="426"/>
          <w:tab w:val="left" w:pos="709"/>
        </w:tabs>
        <w:spacing w:after="0" w:line="240" w:lineRule="auto"/>
        <w:ind w:left="0" w:firstLine="709"/>
        <w:jc w:val="both"/>
        <w:rPr>
          <w:rStyle w:val="details-value"/>
          <w:rFonts w:ascii="Times New Roman" w:hAnsi="Times New Roman" w:cs="Times New Roman"/>
          <w:sz w:val="28"/>
          <w:szCs w:val="28"/>
          <w:lang w:val="en-US"/>
        </w:rPr>
      </w:pPr>
      <w:r w:rsidRPr="00FA5792">
        <w:rPr>
          <w:rFonts w:ascii="Times New Roman" w:hAnsi="Times New Roman" w:cs="Times New Roman"/>
          <w:sz w:val="28"/>
          <w:szCs w:val="28"/>
        </w:rPr>
        <w:t>Официальный</w:t>
      </w:r>
      <w:r w:rsidRPr="00FA5792">
        <w:rPr>
          <w:rFonts w:ascii="Times New Roman" w:hAnsi="Times New Roman" w:cs="Times New Roman"/>
          <w:sz w:val="28"/>
          <w:szCs w:val="28"/>
          <w:lang w:val="en-US"/>
        </w:rPr>
        <w:t xml:space="preserve"> </w:t>
      </w:r>
      <w:r w:rsidRPr="00FA5792">
        <w:rPr>
          <w:rFonts w:ascii="Times New Roman" w:hAnsi="Times New Roman" w:cs="Times New Roman"/>
          <w:sz w:val="28"/>
          <w:szCs w:val="28"/>
        </w:rPr>
        <w:t>сайт</w:t>
      </w:r>
      <w:r w:rsidRPr="00FA5792">
        <w:rPr>
          <w:rFonts w:ascii="Times New Roman" w:hAnsi="Times New Roman" w:cs="Times New Roman"/>
          <w:sz w:val="28"/>
          <w:szCs w:val="28"/>
          <w:lang w:val="en-US"/>
        </w:rPr>
        <w:t xml:space="preserve"> World Health Organization- </w:t>
      </w:r>
      <w:hyperlink r:id="rId234" w:history="1">
        <w:r w:rsidRPr="00FA5792">
          <w:rPr>
            <w:rStyle w:val="details-value"/>
            <w:rFonts w:ascii="Times New Roman" w:hAnsi="Times New Roman" w:cs="Times New Roman"/>
            <w:sz w:val="28"/>
            <w:szCs w:val="28"/>
            <w:lang w:val="en-US"/>
          </w:rPr>
          <w:t>www.who.int/ru/COVID-19</w:t>
        </w:r>
      </w:hyperlink>
      <w:r w:rsidRPr="006B01C4">
        <w:rPr>
          <w:rStyle w:val="details-value"/>
          <w:rFonts w:ascii="Times New Roman" w:hAnsi="Times New Roman" w:cs="Times New Roman"/>
          <w:sz w:val="28"/>
          <w:szCs w:val="28"/>
          <w:lang w:val="en-US"/>
        </w:rPr>
        <w:t>.</w:t>
      </w:r>
    </w:p>
    <w:p w14:paraId="04EB8E4B"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 xml:space="preserve">Клинический протокол диагностики и лечения сахарного диабета 2 типа. МЗ РК. </w:t>
      </w:r>
      <w:r>
        <w:rPr>
          <w:rFonts w:ascii="Times New Roman" w:hAnsi="Times New Roman" w:cs="Times New Roman"/>
          <w:sz w:val="28"/>
          <w:szCs w:val="28"/>
        </w:rPr>
        <w:t xml:space="preserve">- </w:t>
      </w:r>
      <w:r w:rsidRPr="00FA5792">
        <w:rPr>
          <w:rFonts w:ascii="Times New Roman" w:hAnsi="Times New Roman" w:cs="Times New Roman"/>
          <w:sz w:val="28"/>
          <w:szCs w:val="28"/>
        </w:rPr>
        <w:t>2014</w:t>
      </w:r>
      <w:r>
        <w:rPr>
          <w:rFonts w:ascii="Times New Roman" w:hAnsi="Times New Roman" w:cs="Times New Roman"/>
          <w:sz w:val="28"/>
          <w:szCs w:val="28"/>
        </w:rPr>
        <w:t>.</w:t>
      </w:r>
    </w:p>
    <w:p w14:paraId="5BBE9350"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ВОЗ. Глобальные факторы риска для здоровья.</w:t>
      </w:r>
      <w:r w:rsidRPr="00FA5792">
        <w:rPr>
          <w:rFonts w:ascii="Times New Roman" w:hAnsi="Times New Roman" w:cs="Times New Roman"/>
          <w:bCs/>
          <w:sz w:val="28"/>
          <w:szCs w:val="28"/>
        </w:rPr>
        <w:t xml:space="preserve"> Смертность и бремя болезней, обусловленные некоторыми основными факторами риска 2015г. </w:t>
      </w:r>
      <w:r w:rsidRPr="00FA5792">
        <w:rPr>
          <w:rFonts w:ascii="Times New Roman" w:hAnsi="Times New Roman" w:cs="Times New Roman"/>
          <w:sz w:val="28"/>
          <w:szCs w:val="28"/>
          <w:lang w:val="en-US"/>
        </w:rPr>
        <w:t xml:space="preserve">Global health risks: mortality and burden of disease attributable to selected major risks. </w:t>
      </w:r>
      <w:r w:rsidRPr="00FA5792">
        <w:rPr>
          <w:rFonts w:ascii="Times New Roman" w:hAnsi="Times New Roman" w:cs="Times New Roman"/>
          <w:sz w:val="28"/>
          <w:szCs w:val="28"/>
        </w:rPr>
        <w:t>WHO, 2015</w:t>
      </w:r>
      <w:r>
        <w:rPr>
          <w:rFonts w:ascii="Times New Roman" w:hAnsi="Times New Roman" w:cs="Times New Roman"/>
          <w:sz w:val="28"/>
          <w:szCs w:val="28"/>
        </w:rPr>
        <w:t>.</w:t>
      </w:r>
    </w:p>
    <w:p w14:paraId="39263A25" w14:textId="77777777" w:rsidR="00102D9D" w:rsidRPr="006B01C4"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sz w:val="28"/>
          <w:szCs w:val="28"/>
          <w:lang w:val="en-US"/>
        </w:rPr>
        <w:t>Nugmanova D</w:t>
      </w:r>
      <w:r w:rsidRPr="006B01C4">
        <w:rPr>
          <w:rFonts w:ascii="Times New Roman" w:hAnsi="Times New Roman" w:cs="Times New Roman"/>
          <w:sz w:val="28"/>
          <w:szCs w:val="28"/>
          <w:lang w:val="en-US"/>
        </w:rPr>
        <w:t>.</w:t>
      </w:r>
      <w:r w:rsidRPr="00FA5792">
        <w:rPr>
          <w:rFonts w:ascii="Times New Roman" w:hAnsi="Times New Roman" w:cs="Times New Roman"/>
          <w:sz w:val="28"/>
          <w:szCs w:val="28"/>
          <w:lang w:val="en-US"/>
        </w:rPr>
        <w:t>, Feshchenko Y</w:t>
      </w:r>
      <w:r w:rsidRPr="006B01C4">
        <w:rPr>
          <w:rFonts w:ascii="Times New Roman" w:hAnsi="Times New Roman" w:cs="Times New Roman"/>
          <w:sz w:val="28"/>
          <w:szCs w:val="28"/>
          <w:lang w:val="en-US"/>
        </w:rPr>
        <w:t>.</w:t>
      </w:r>
      <w:r w:rsidRPr="00FA5792">
        <w:rPr>
          <w:rFonts w:ascii="Times New Roman" w:hAnsi="Times New Roman" w:cs="Times New Roman"/>
          <w:sz w:val="28"/>
          <w:szCs w:val="28"/>
          <w:lang w:val="en-US"/>
        </w:rPr>
        <w:t>, Iashyna L</w:t>
      </w:r>
      <w:r w:rsidRPr="006B01C4">
        <w:rPr>
          <w:rFonts w:ascii="Times New Roman" w:hAnsi="Times New Roman" w:cs="Times New Roman"/>
          <w:sz w:val="28"/>
          <w:szCs w:val="28"/>
          <w:lang w:val="en-US"/>
        </w:rPr>
        <w:t>.</w:t>
      </w:r>
      <w:r w:rsidRPr="00FA5792">
        <w:rPr>
          <w:rFonts w:ascii="Times New Roman" w:hAnsi="Times New Roman" w:cs="Times New Roman"/>
          <w:sz w:val="28"/>
          <w:szCs w:val="28"/>
          <w:lang w:val="en-US"/>
        </w:rPr>
        <w:t>, Polianska M</w:t>
      </w:r>
      <w:r w:rsidRPr="006B01C4">
        <w:rPr>
          <w:rFonts w:ascii="Times New Roman" w:hAnsi="Times New Roman" w:cs="Times New Roman"/>
          <w:sz w:val="28"/>
          <w:szCs w:val="28"/>
          <w:lang w:val="en-US"/>
        </w:rPr>
        <w:t>.</w:t>
      </w:r>
      <w:r w:rsidRPr="00FA5792">
        <w:rPr>
          <w:rFonts w:ascii="Times New Roman" w:hAnsi="Times New Roman" w:cs="Times New Roman"/>
          <w:sz w:val="28"/>
          <w:szCs w:val="28"/>
          <w:lang w:val="en-US"/>
        </w:rPr>
        <w:t>, Malynovska K</w:t>
      </w:r>
      <w:r w:rsidRPr="006B01C4">
        <w:rPr>
          <w:rFonts w:ascii="Times New Roman" w:hAnsi="Times New Roman" w:cs="Times New Roman"/>
          <w:sz w:val="28"/>
          <w:szCs w:val="28"/>
          <w:lang w:val="en-US"/>
        </w:rPr>
        <w:t>.</w:t>
      </w:r>
      <w:r w:rsidRPr="00FA5792">
        <w:rPr>
          <w:rFonts w:ascii="Times New Roman" w:hAnsi="Times New Roman" w:cs="Times New Roman"/>
          <w:sz w:val="28"/>
          <w:szCs w:val="28"/>
          <w:lang w:val="en-US"/>
        </w:rPr>
        <w:t>, Stafeyeva I</w:t>
      </w:r>
      <w:r w:rsidRPr="006B01C4">
        <w:rPr>
          <w:rFonts w:ascii="Times New Roman" w:hAnsi="Times New Roman" w:cs="Times New Roman"/>
          <w:sz w:val="28"/>
          <w:szCs w:val="28"/>
          <w:lang w:val="en-US"/>
        </w:rPr>
        <w:t>.</w:t>
      </w:r>
      <w:r w:rsidRPr="00FA5792">
        <w:rPr>
          <w:rFonts w:ascii="Times New Roman" w:hAnsi="Times New Roman" w:cs="Times New Roman"/>
          <w:sz w:val="28"/>
          <w:szCs w:val="28"/>
          <w:lang w:val="en-US"/>
        </w:rPr>
        <w:t>, Makarova J</w:t>
      </w:r>
      <w:r w:rsidRPr="006B01C4">
        <w:rPr>
          <w:rFonts w:ascii="Times New Roman" w:hAnsi="Times New Roman" w:cs="Times New Roman"/>
          <w:sz w:val="28"/>
          <w:szCs w:val="28"/>
          <w:lang w:val="en-US"/>
        </w:rPr>
        <w:t>.</w:t>
      </w:r>
      <w:r w:rsidRPr="00FA5792">
        <w:rPr>
          <w:rFonts w:ascii="Times New Roman" w:hAnsi="Times New Roman" w:cs="Times New Roman"/>
          <w:sz w:val="28"/>
          <w:szCs w:val="28"/>
          <w:lang w:val="en-US"/>
        </w:rPr>
        <w:t xml:space="preserve">, Vasylyev A. Association between body mass index and patient-reported-outcome questionnaire scores (CAT™, ACT™, mMRC dyspnoea scale, IPAQ) in Ukraine, Kazakhstan and Azerbaijan: results of the CORE study. </w:t>
      </w:r>
      <w:r w:rsidRPr="006B01C4">
        <w:rPr>
          <w:rFonts w:ascii="Times New Roman" w:hAnsi="Times New Roman" w:cs="Times New Roman"/>
          <w:i/>
          <w:iCs/>
          <w:sz w:val="28"/>
          <w:szCs w:val="28"/>
          <w:lang w:val="en-US"/>
        </w:rPr>
        <w:t xml:space="preserve">BMC Pulm Med. </w:t>
      </w:r>
      <w:r>
        <w:rPr>
          <w:rFonts w:ascii="Times New Roman" w:hAnsi="Times New Roman" w:cs="Times New Roman"/>
          <w:i/>
          <w:iCs/>
          <w:sz w:val="28"/>
          <w:szCs w:val="28"/>
        </w:rPr>
        <w:t xml:space="preserve">– </w:t>
      </w:r>
      <w:r w:rsidRPr="006B01C4">
        <w:rPr>
          <w:rFonts w:ascii="Times New Roman" w:hAnsi="Times New Roman" w:cs="Times New Roman"/>
          <w:sz w:val="28"/>
          <w:szCs w:val="28"/>
          <w:lang w:val="en-US"/>
        </w:rPr>
        <w:t>2021</w:t>
      </w:r>
      <w:r>
        <w:rPr>
          <w:rFonts w:ascii="Times New Roman" w:hAnsi="Times New Roman" w:cs="Times New Roman"/>
          <w:sz w:val="28"/>
          <w:szCs w:val="28"/>
        </w:rPr>
        <w:t>. - №</w:t>
      </w:r>
      <w:r w:rsidRPr="006B01C4">
        <w:rPr>
          <w:rFonts w:ascii="Times New Roman" w:hAnsi="Times New Roman" w:cs="Times New Roman"/>
          <w:sz w:val="28"/>
          <w:szCs w:val="28"/>
          <w:lang w:val="en-US"/>
        </w:rPr>
        <w:t xml:space="preserve"> 21 (1)</w:t>
      </w:r>
      <w:r>
        <w:rPr>
          <w:rFonts w:ascii="Times New Roman" w:hAnsi="Times New Roman" w:cs="Times New Roman"/>
          <w:sz w:val="28"/>
          <w:szCs w:val="28"/>
        </w:rPr>
        <w:t xml:space="preserve">. - </w:t>
      </w:r>
      <w:r w:rsidRPr="006B01C4">
        <w:rPr>
          <w:rFonts w:ascii="Times New Roman" w:hAnsi="Times New Roman" w:cs="Times New Roman"/>
          <w:sz w:val="28"/>
          <w:szCs w:val="28"/>
          <w:lang w:val="en-US"/>
        </w:rPr>
        <w:t xml:space="preserve"> 192 p.</w:t>
      </w:r>
    </w:p>
    <w:p w14:paraId="0A91830C" w14:textId="77777777" w:rsidR="00102D9D" w:rsidRPr="006B01C4"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sz w:val="28"/>
          <w:szCs w:val="28"/>
          <w:lang w:val="en-US"/>
        </w:rPr>
        <w:t>Nam S, Dobrosielski DA, Stewart KJ. Predictors of exercise intervention dropout in sedentary individuals with type 2 diabetes</w:t>
      </w:r>
      <w:r w:rsidRPr="006B01C4">
        <w:rPr>
          <w:rFonts w:ascii="Times New Roman" w:hAnsi="Times New Roman" w:cs="Times New Roman"/>
          <w:sz w:val="28"/>
          <w:szCs w:val="28"/>
          <w:lang w:val="en-US"/>
        </w:rPr>
        <w:t xml:space="preserve"> //</w:t>
      </w:r>
      <w:r w:rsidRPr="00FA5792">
        <w:rPr>
          <w:rFonts w:ascii="Times New Roman" w:hAnsi="Times New Roman" w:cs="Times New Roman"/>
          <w:sz w:val="28"/>
          <w:szCs w:val="28"/>
          <w:lang w:val="en-US"/>
        </w:rPr>
        <w:t xml:space="preserve"> </w:t>
      </w:r>
      <w:r w:rsidRPr="006B01C4">
        <w:rPr>
          <w:rFonts w:ascii="Times New Roman" w:hAnsi="Times New Roman" w:cs="Times New Roman"/>
          <w:i/>
          <w:iCs/>
          <w:sz w:val="28"/>
          <w:szCs w:val="28"/>
          <w:lang w:val="en-US"/>
        </w:rPr>
        <w:t xml:space="preserve">J Cardiopulm Rehabil Prev.- </w:t>
      </w:r>
      <w:r w:rsidRPr="006B01C4">
        <w:rPr>
          <w:rFonts w:ascii="Times New Roman" w:hAnsi="Times New Roman" w:cs="Times New Roman"/>
          <w:sz w:val="28"/>
          <w:szCs w:val="28"/>
          <w:lang w:val="en-US"/>
        </w:rPr>
        <w:t xml:space="preserve">2012. - №32 (6). </w:t>
      </w:r>
      <w:r>
        <w:rPr>
          <w:rFonts w:ascii="Times New Roman" w:hAnsi="Times New Roman" w:cs="Times New Roman"/>
          <w:sz w:val="28"/>
          <w:szCs w:val="28"/>
        </w:rPr>
        <w:t>Р</w:t>
      </w:r>
      <w:r w:rsidRPr="006B01C4">
        <w:rPr>
          <w:rFonts w:ascii="Times New Roman" w:hAnsi="Times New Roman" w:cs="Times New Roman"/>
          <w:sz w:val="28"/>
          <w:szCs w:val="28"/>
          <w:lang w:val="en-US"/>
        </w:rPr>
        <w:t>. 370-8.</w:t>
      </w:r>
    </w:p>
    <w:p w14:paraId="0B5D2287" w14:textId="77777777" w:rsidR="00102D9D" w:rsidRPr="006B01C4"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Style w:val="20"/>
          <w:rFonts w:ascii="Times New Roman" w:hAnsi="Times New Roman" w:cs="Times New Roman"/>
          <w:color w:val="auto"/>
          <w:sz w:val="28"/>
          <w:szCs w:val="28"/>
          <w:shd w:val="clear" w:color="auto" w:fill="FFFFFF"/>
          <w:lang w:val="en-US"/>
        </w:rPr>
      </w:pPr>
      <w:r w:rsidRPr="00FA5792">
        <w:rPr>
          <w:rStyle w:val="mixed-citation"/>
          <w:rFonts w:ascii="Times New Roman" w:hAnsi="Times New Roman" w:cs="Times New Roman"/>
          <w:sz w:val="28"/>
          <w:szCs w:val="28"/>
          <w:shd w:val="clear" w:color="auto" w:fill="FFFFFF"/>
          <w:lang w:val="en-US"/>
        </w:rPr>
        <w:t>American Diabetes Association. Standards of medical care in diabetes – 2017. Diabetes Care. 2017;40(Suppl1):S4-5.</w:t>
      </w:r>
      <w:r w:rsidRPr="00FA5792">
        <w:rPr>
          <w:rStyle w:val="element-citation"/>
          <w:rFonts w:ascii="Times New Roman" w:hAnsi="Times New Roman" w:cs="Times New Roman"/>
          <w:sz w:val="28"/>
          <w:szCs w:val="28"/>
          <w:shd w:val="clear" w:color="auto" w:fill="FFFFFF"/>
          <w:lang w:val="en-US"/>
        </w:rPr>
        <w:t xml:space="preserve">American Diabetes Association Standards of medical care in diabetes – </w:t>
      </w:r>
      <w:r w:rsidRPr="006B01C4">
        <w:rPr>
          <w:rStyle w:val="ref-vol"/>
          <w:rFonts w:ascii="Times New Roman" w:hAnsi="Times New Roman" w:cs="Times New Roman"/>
          <w:i/>
          <w:iCs/>
          <w:sz w:val="28"/>
          <w:szCs w:val="28"/>
          <w:shd w:val="clear" w:color="auto" w:fill="FFFFFF"/>
          <w:lang w:val="en-US"/>
        </w:rPr>
        <w:t>Diabetes Care.-  </w:t>
      </w:r>
      <w:r w:rsidRPr="00FA5792">
        <w:rPr>
          <w:rStyle w:val="element-citation"/>
          <w:rFonts w:ascii="Times New Roman" w:hAnsi="Times New Roman" w:cs="Times New Roman"/>
          <w:sz w:val="28"/>
          <w:szCs w:val="28"/>
          <w:shd w:val="clear" w:color="auto" w:fill="FFFFFF"/>
          <w:lang w:val="en-US"/>
        </w:rPr>
        <w:t>2017.</w:t>
      </w:r>
      <w:r>
        <w:rPr>
          <w:rStyle w:val="element-citation"/>
          <w:rFonts w:ascii="Times New Roman" w:hAnsi="Times New Roman" w:cs="Times New Roman"/>
          <w:sz w:val="28"/>
          <w:szCs w:val="28"/>
          <w:shd w:val="clear" w:color="auto" w:fill="FFFFFF"/>
        </w:rPr>
        <w:t xml:space="preserve"> - №</w:t>
      </w:r>
      <w:r w:rsidRPr="006B01C4">
        <w:rPr>
          <w:rStyle w:val="nowrap"/>
          <w:rFonts w:ascii="Times New Roman" w:hAnsi="Times New Roman" w:cs="Times New Roman"/>
          <w:sz w:val="28"/>
          <w:szCs w:val="28"/>
          <w:shd w:val="clear" w:color="auto" w:fill="FFFFFF"/>
          <w:lang w:val="en-US"/>
        </w:rPr>
        <w:t>40</w:t>
      </w:r>
      <w:r>
        <w:rPr>
          <w:rStyle w:val="nowrap"/>
          <w:rFonts w:ascii="Times New Roman" w:hAnsi="Times New Roman" w:cs="Times New Roman"/>
          <w:sz w:val="28"/>
          <w:szCs w:val="28"/>
          <w:shd w:val="clear" w:color="auto" w:fill="FFFFFF"/>
        </w:rPr>
        <w:t>. – Р.</w:t>
      </w:r>
      <w:r w:rsidRPr="006B01C4">
        <w:rPr>
          <w:rStyle w:val="element-citation"/>
          <w:rFonts w:ascii="Times New Roman" w:hAnsi="Times New Roman" w:cs="Times New Roman"/>
          <w:sz w:val="28"/>
          <w:szCs w:val="28"/>
          <w:shd w:val="clear" w:color="auto" w:fill="FFFFFF"/>
          <w:lang w:val="en-US"/>
        </w:rPr>
        <w:t>4–5. </w:t>
      </w:r>
    </w:p>
    <w:p w14:paraId="0F024D3E" w14:textId="77777777" w:rsidR="00102D9D" w:rsidRPr="00E921CC" w:rsidRDefault="00102D9D" w:rsidP="00102D9D">
      <w:pPr>
        <w:numPr>
          <w:ilvl w:val="0"/>
          <w:numId w:val="75"/>
        </w:numPr>
        <w:shd w:val="clear" w:color="auto" w:fill="FFFFFF"/>
        <w:tabs>
          <w:tab w:val="left" w:pos="426"/>
          <w:tab w:val="left" w:pos="709"/>
        </w:tabs>
        <w:spacing w:after="0" w:line="240" w:lineRule="auto"/>
        <w:ind w:left="0" w:firstLine="709"/>
        <w:jc w:val="both"/>
        <w:rPr>
          <w:rFonts w:ascii="Times New Roman" w:hAnsi="Times New Roman" w:cs="Times New Roman"/>
          <w:sz w:val="28"/>
          <w:szCs w:val="28"/>
          <w:lang w:val="en-US"/>
        </w:rPr>
      </w:pPr>
      <w:r w:rsidRPr="00FA5792">
        <w:rPr>
          <w:rStyle w:val="mixed-citation"/>
          <w:rFonts w:ascii="Times New Roman" w:hAnsi="Times New Roman" w:cs="Times New Roman"/>
          <w:sz w:val="28"/>
          <w:szCs w:val="28"/>
          <w:lang w:val="en-US"/>
        </w:rPr>
        <w:t xml:space="preserve"> Rubin R</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R</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Peyrot M</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Kruger D</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F</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Travis L</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xml:space="preserve">B. Barriers to insulin injection therapy: patient and health care provider perspectives. </w:t>
      </w:r>
      <w:r w:rsidRPr="000A130A">
        <w:rPr>
          <w:rStyle w:val="mixed-citation"/>
          <w:rFonts w:ascii="Times New Roman" w:hAnsi="Times New Roman" w:cs="Times New Roman"/>
          <w:sz w:val="28"/>
          <w:szCs w:val="28"/>
          <w:lang w:val="en-US"/>
        </w:rPr>
        <w:t xml:space="preserve">Diabetes Educ. </w:t>
      </w:r>
      <w:r>
        <w:rPr>
          <w:rStyle w:val="mixed-citation"/>
          <w:rFonts w:ascii="Times New Roman" w:hAnsi="Times New Roman" w:cs="Times New Roman"/>
          <w:sz w:val="28"/>
          <w:szCs w:val="28"/>
        </w:rPr>
        <w:t>-</w:t>
      </w:r>
      <w:r w:rsidRPr="000A130A">
        <w:rPr>
          <w:rStyle w:val="mixed-citation"/>
          <w:rFonts w:ascii="Times New Roman" w:hAnsi="Times New Roman" w:cs="Times New Roman"/>
          <w:sz w:val="28"/>
          <w:szCs w:val="28"/>
          <w:lang w:val="en-US"/>
        </w:rPr>
        <w:t>2009</w:t>
      </w:r>
      <w:r>
        <w:rPr>
          <w:rStyle w:val="mixed-citation"/>
          <w:rFonts w:ascii="Times New Roman" w:hAnsi="Times New Roman" w:cs="Times New Roman"/>
          <w:sz w:val="28"/>
          <w:szCs w:val="28"/>
        </w:rPr>
        <w:t>. - №</w:t>
      </w:r>
      <w:r w:rsidRPr="000A130A">
        <w:rPr>
          <w:rStyle w:val="mixed-citation"/>
          <w:rFonts w:ascii="Times New Roman" w:hAnsi="Times New Roman" w:cs="Times New Roman"/>
          <w:sz w:val="28"/>
          <w:szCs w:val="28"/>
          <w:lang w:val="en-US"/>
        </w:rPr>
        <w:t>35(6)</w:t>
      </w:r>
      <w:r>
        <w:rPr>
          <w:rStyle w:val="mixed-citation"/>
          <w:rFonts w:ascii="Times New Roman" w:hAnsi="Times New Roman" w:cs="Times New Roman"/>
          <w:sz w:val="28"/>
          <w:szCs w:val="28"/>
        </w:rPr>
        <w:t>. – Р.</w:t>
      </w:r>
      <w:r w:rsidRPr="000A130A">
        <w:rPr>
          <w:rStyle w:val="mixed-citation"/>
          <w:rFonts w:ascii="Times New Roman" w:hAnsi="Times New Roman" w:cs="Times New Roman"/>
          <w:sz w:val="28"/>
          <w:szCs w:val="28"/>
          <w:lang w:val="en-US"/>
        </w:rPr>
        <w:t xml:space="preserve">1014-22. </w:t>
      </w:r>
    </w:p>
    <w:p w14:paraId="6659FFD7" w14:textId="77777777" w:rsidR="00102D9D" w:rsidRPr="000A130A" w:rsidRDefault="00102D9D" w:rsidP="00102D9D">
      <w:pPr>
        <w:numPr>
          <w:ilvl w:val="0"/>
          <w:numId w:val="75"/>
        </w:numPr>
        <w:shd w:val="clear" w:color="auto" w:fill="FFFFFF"/>
        <w:tabs>
          <w:tab w:val="left" w:pos="426"/>
          <w:tab w:val="left" w:pos="709"/>
        </w:tabs>
        <w:spacing w:after="0" w:line="240" w:lineRule="auto"/>
        <w:ind w:left="0" w:firstLine="709"/>
        <w:jc w:val="both"/>
        <w:rPr>
          <w:rStyle w:val="mixed-citation"/>
          <w:rFonts w:ascii="Times New Roman" w:hAnsi="Times New Roman" w:cs="Times New Roman"/>
          <w:sz w:val="28"/>
          <w:szCs w:val="28"/>
          <w:lang w:val="en-US"/>
        </w:rPr>
      </w:pPr>
      <w:r w:rsidRPr="00FA5792">
        <w:rPr>
          <w:rStyle w:val="mixed-citation"/>
          <w:rFonts w:ascii="Times New Roman" w:hAnsi="Times New Roman" w:cs="Times New Roman"/>
          <w:sz w:val="28"/>
          <w:szCs w:val="28"/>
          <w:lang w:val="en-US"/>
        </w:rPr>
        <w:t>Lai Y</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R</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Huang C</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C</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Chiu W</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C</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Liu R</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T</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Tsai N</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W</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Wang H</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C</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xml:space="preserve"> et al. HbA1C Variability Is Strongly Associated With the Severity of Cardiovascular Autonomic Neuropathy in Patients With Type 2 Diabetes After Longer Diabetes Duration. Front Neurosci. </w:t>
      </w:r>
      <w:r w:rsidRPr="00C36BD2">
        <w:rPr>
          <w:rStyle w:val="mixed-citation"/>
          <w:rFonts w:ascii="Times New Roman" w:hAnsi="Times New Roman" w:cs="Times New Roman"/>
          <w:sz w:val="28"/>
          <w:szCs w:val="28"/>
          <w:lang w:val="en-US"/>
        </w:rPr>
        <w:t xml:space="preserve">– </w:t>
      </w:r>
      <w:r w:rsidRPr="00FA5792">
        <w:rPr>
          <w:rStyle w:val="mixed-citation"/>
          <w:rFonts w:ascii="Times New Roman" w:hAnsi="Times New Roman" w:cs="Times New Roman"/>
          <w:sz w:val="28"/>
          <w:szCs w:val="28"/>
          <w:lang w:val="en-US"/>
        </w:rPr>
        <w:t>2019</w:t>
      </w:r>
      <w:r w:rsidRPr="00C36BD2">
        <w:rPr>
          <w:rStyle w:val="mixed-citation"/>
          <w:rFonts w:ascii="Times New Roman" w:hAnsi="Times New Roman" w:cs="Times New Roman"/>
          <w:sz w:val="28"/>
          <w:szCs w:val="28"/>
          <w:lang w:val="en-US"/>
        </w:rPr>
        <w:t xml:space="preserve">.- </w:t>
      </w:r>
      <w:r>
        <w:rPr>
          <w:rStyle w:val="mixed-citation"/>
          <w:rFonts w:ascii="Times New Roman" w:hAnsi="Times New Roman" w:cs="Times New Roman"/>
          <w:sz w:val="28"/>
          <w:szCs w:val="28"/>
        </w:rPr>
        <w:t>№</w:t>
      </w:r>
      <w:r w:rsidRPr="00FA5792">
        <w:rPr>
          <w:rStyle w:val="mixed-citation"/>
          <w:rFonts w:ascii="Times New Roman" w:hAnsi="Times New Roman" w:cs="Times New Roman"/>
          <w:sz w:val="28"/>
          <w:szCs w:val="28"/>
          <w:lang w:val="en-US"/>
        </w:rPr>
        <w:t>13</w:t>
      </w:r>
      <w:r>
        <w:rPr>
          <w:rStyle w:val="mixed-citation"/>
          <w:rFonts w:ascii="Times New Roman" w:hAnsi="Times New Roman" w:cs="Times New Roman"/>
          <w:sz w:val="28"/>
          <w:szCs w:val="28"/>
        </w:rPr>
        <w:t xml:space="preserve">. – </w:t>
      </w:r>
      <w:r w:rsidRPr="00FA5792">
        <w:rPr>
          <w:rStyle w:val="mixed-citation"/>
          <w:rFonts w:ascii="Times New Roman" w:hAnsi="Times New Roman" w:cs="Times New Roman"/>
          <w:sz w:val="28"/>
          <w:szCs w:val="28"/>
          <w:lang w:val="en-US"/>
        </w:rPr>
        <w:t>458</w:t>
      </w:r>
      <w:r>
        <w:rPr>
          <w:rStyle w:val="mixed-citation"/>
          <w:rFonts w:ascii="Times New Roman" w:hAnsi="Times New Roman" w:cs="Times New Roman"/>
          <w:sz w:val="28"/>
          <w:szCs w:val="28"/>
        </w:rPr>
        <w:t xml:space="preserve"> р</w:t>
      </w:r>
      <w:r w:rsidRPr="00FA5792">
        <w:rPr>
          <w:rStyle w:val="mixed-citation"/>
          <w:rFonts w:ascii="Times New Roman" w:hAnsi="Times New Roman" w:cs="Times New Roman"/>
          <w:sz w:val="28"/>
          <w:szCs w:val="28"/>
          <w:lang w:val="en-US"/>
        </w:rPr>
        <w:t>. </w:t>
      </w:r>
    </w:p>
    <w:p w14:paraId="25B8BD6A" w14:textId="77777777" w:rsidR="00102D9D" w:rsidRPr="00E921CC" w:rsidRDefault="00102D9D" w:rsidP="00102D9D">
      <w:pPr>
        <w:numPr>
          <w:ilvl w:val="0"/>
          <w:numId w:val="75"/>
        </w:numPr>
        <w:shd w:val="clear" w:color="auto" w:fill="FFFFFF"/>
        <w:tabs>
          <w:tab w:val="left" w:pos="426"/>
          <w:tab w:val="left" w:pos="709"/>
        </w:tabs>
        <w:spacing w:after="0" w:line="240" w:lineRule="auto"/>
        <w:ind w:left="0" w:firstLine="709"/>
        <w:jc w:val="both"/>
        <w:rPr>
          <w:rStyle w:val="element-citation"/>
          <w:rFonts w:ascii="Times New Roman" w:hAnsi="Times New Roman" w:cs="Times New Roman"/>
          <w:sz w:val="28"/>
          <w:szCs w:val="28"/>
          <w:lang w:val="en-US"/>
        </w:rPr>
      </w:pPr>
      <w:r w:rsidRPr="00FA5792">
        <w:rPr>
          <w:rStyle w:val="mixed-citation"/>
          <w:rFonts w:ascii="Times New Roman" w:hAnsi="Times New Roman" w:cs="Times New Roman"/>
          <w:sz w:val="28"/>
          <w:szCs w:val="28"/>
          <w:lang w:val="en-US"/>
        </w:rPr>
        <w:t>Lee W</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C</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Balu S</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Cobden D</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Joshi A</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V</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Pashos C</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xml:space="preserve">L. Medication adherence and the associated health-economic impact among patients with type 2 diabetes mellitus converting to insulin pen therapy: an analysis of third-party managed care claims data. </w:t>
      </w:r>
      <w:r w:rsidRPr="000A130A">
        <w:rPr>
          <w:rStyle w:val="mixed-citation"/>
          <w:rFonts w:ascii="Times New Roman" w:hAnsi="Times New Roman" w:cs="Times New Roman"/>
          <w:sz w:val="28"/>
          <w:szCs w:val="28"/>
          <w:lang w:val="en-US"/>
        </w:rPr>
        <w:t xml:space="preserve">Clin Ther. </w:t>
      </w:r>
      <w:r>
        <w:rPr>
          <w:rStyle w:val="mixed-citation"/>
          <w:rFonts w:ascii="Times New Roman" w:hAnsi="Times New Roman" w:cs="Times New Roman"/>
          <w:sz w:val="28"/>
          <w:szCs w:val="28"/>
        </w:rPr>
        <w:t xml:space="preserve">– </w:t>
      </w:r>
      <w:r w:rsidRPr="000A130A">
        <w:rPr>
          <w:rStyle w:val="mixed-citation"/>
          <w:rFonts w:ascii="Times New Roman" w:hAnsi="Times New Roman" w:cs="Times New Roman"/>
          <w:sz w:val="28"/>
          <w:szCs w:val="28"/>
          <w:lang w:val="en-US"/>
        </w:rPr>
        <w:t>2006</w:t>
      </w:r>
      <w:r>
        <w:rPr>
          <w:rStyle w:val="mixed-citation"/>
          <w:rFonts w:ascii="Times New Roman" w:hAnsi="Times New Roman" w:cs="Times New Roman"/>
          <w:sz w:val="28"/>
          <w:szCs w:val="28"/>
        </w:rPr>
        <w:t xml:space="preserve"> . - №</w:t>
      </w:r>
      <w:r w:rsidRPr="000A130A">
        <w:rPr>
          <w:rStyle w:val="mixed-citation"/>
          <w:rFonts w:ascii="Times New Roman" w:hAnsi="Times New Roman" w:cs="Times New Roman"/>
          <w:sz w:val="28"/>
          <w:szCs w:val="28"/>
          <w:lang w:val="en-US"/>
        </w:rPr>
        <w:t>28(10)</w:t>
      </w:r>
      <w:r>
        <w:rPr>
          <w:rStyle w:val="mixed-citation"/>
          <w:rFonts w:ascii="Times New Roman" w:hAnsi="Times New Roman" w:cs="Times New Roman"/>
          <w:sz w:val="28"/>
          <w:szCs w:val="28"/>
        </w:rPr>
        <w:t xml:space="preserve">. – Р. </w:t>
      </w:r>
      <w:r w:rsidRPr="000A130A">
        <w:rPr>
          <w:rStyle w:val="mixed-citation"/>
          <w:rFonts w:ascii="Times New Roman" w:hAnsi="Times New Roman" w:cs="Times New Roman"/>
          <w:sz w:val="28"/>
          <w:szCs w:val="28"/>
          <w:lang w:val="en-US"/>
        </w:rPr>
        <w:t xml:space="preserve">1712-25; discussion 1710-1. Erratum in: Clin Ther. 2006;28(11):1968-9. </w:t>
      </w:r>
    </w:p>
    <w:p w14:paraId="3B474AF9" w14:textId="77777777" w:rsidR="00102D9D" w:rsidRPr="006B01C4" w:rsidRDefault="00102D9D" w:rsidP="00102D9D">
      <w:pPr>
        <w:numPr>
          <w:ilvl w:val="0"/>
          <w:numId w:val="75"/>
        </w:numPr>
        <w:shd w:val="clear" w:color="auto" w:fill="FFFFFF"/>
        <w:tabs>
          <w:tab w:val="left" w:pos="426"/>
          <w:tab w:val="left" w:pos="709"/>
        </w:tabs>
        <w:spacing w:after="0" w:line="240" w:lineRule="auto"/>
        <w:ind w:left="0" w:firstLine="709"/>
        <w:jc w:val="both"/>
        <w:rPr>
          <w:rStyle w:val="mixed-citation"/>
          <w:rFonts w:ascii="Times New Roman" w:hAnsi="Times New Roman" w:cs="Times New Roman"/>
          <w:sz w:val="28"/>
          <w:szCs w:val="28"/>
          <w:lang w:val="en-US"/>
        </w:rPr>
      </w:pPr>
      <w:r w:rsidRPr="00FA5792">
        <w:rPr>
          <w:rStyle w:val="mixed-citation"/>
          <w:rFonts w:ascii="Times New Roman" w:hAnsi="Times New Roman" w:cs="Times New Roman"/>
          <w:sz w:val="28"/>
          <w:szCs w:val="28"/>
          <w:lang w:val="en-US"/>
        </w:rPr>
        <w:t xml:space="preserve"> ADVANCE Collaborative Group, Patel A</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MacMahon S</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Chalmers J</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Neal B</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Billot l</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Woodward M</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Marre M</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Cooper M</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Glasziou P</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Grobbee D</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Hamet P</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Harrap S</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Heller S</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Liu L</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Mancia G</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Mogensen C</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E</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Pan C</w:t>
      </w:r>
      <w:r w:rsidRPr="006B01C4">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Poulter N</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Rodgers A</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Williams B</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Bompoint S</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de Galan B</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E</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Joshi R</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Travert F. Intensive blood glucose control and vascular outcomes in patients with type 2 diabetes</w:t>
      </w:r>
      <w:r w:rsidRPr="001D7E7C">
        <w:rPr>
          <w:rStyle w:val="mixed-citation"/>
          <w:rFonts w:ascii="Times New Roman" w:hAnsi="Times New Roman" w:cs="Times New Roman"/>
          <w:sz w:val="28"/>
          <w:szCs w:val="28"/>
          <w:lang w:val="en-US"/>
        </w:rPr>
        <w:t xml:space="preserve"> // </w:t>
      </w:r>
      <w:r w:rsidRPr="006B01C4">
        <w:rPr>
          <w:rStyle w:val="mixed-citation"/>
          <w:rFonts w:ascii="Times New Roman" w:hAnsi="Times New Roman" w:cs="Times New Roman"/>
          <w:sz w:val="28"/>
          <w:szCs w:val="28"/>
          <w:lang w:val="en-US"/>
        </w:rPr>
        <w:t xml:space="preserve">N Engl J Med. </w:t>
      </w:r>
      <w:r w:rsidRPr="001D7E7C">
        <w:rPr>
          <w:rStyle w:val="mixed-citation"/>
          <w:rFonts w:ascii="Times New Roman" w:hAnsi="Times New Roman" w:cs="Times New Roman"/>
          <w:sz w:val="28"/>
          <w:szCs w:val="28"/>
          <w:lang w:val="en-US"/>
        </w:rPr>
        <w:t xml:space="preserve">– </w:t>
      </w:r>
      <w:r w:rsidRPr="006B01C4">
        <w:rPr>
          <w:rStyle w:val="mixed-citation"/>
          <w:rFonts w:ascii="Times New Roman" w:hAnsi="Times New Roman" w:cs="Times New Roman"/>
          <w:sz w:val="28"/>
          <w:szCs w:val="28"/>
          <w:lang w:val="en-US"/>
        </w:rPr>
        <w:t>2008</w:t>
      </w:r>
      <w:r w:rsidRPr="001D7E7C">
        <w:rPr>
          <w:rStyle w:val="mixed-citation"/>
          <w:rFonts w:ascii="Times New Roman" w:hAnsi="Times New Roman" w:cs="Times New Roman"/>
          <w:sz w:val="28"/>
          <w:szCs w:val="28"/>
          <w:lang w:val="en-US"/>
        </w:rPr>
        <w:t>. - №</w:t>
      </w:r>
      <w:r w:rsidRPr="006B01C4">
        <w:rPr>
          <w:rStyle w:val="mixed-citation"/>
          <w:rFonts w:ascii="Times New Roman" w:hAnsi="Times New Roman" w:cs="Times New Roman"/>
          <w:sz w:val="28"/>
          <w:szCs w:val="28"/>
          <w:lang w:val="en-US"/>
        </w:rPr>
        <w:t>358(24)</w:t>
      </w:r>
      <w:r w:rsidRPr="001D7E7C">
        <w:rPr>
          <w:rStyle w:val="mixed-citation"/>
          <w:rFonts w:ascii="Times New Roman" w:hAnsi="Times New Roman" w:cs="Times New Roman"/>
          <w:sz w:val="28"/>
          <w:szCs w:val="28"/>
          <w:lang w:val="en-US"/>
        </w:rPr>
        <w:t xml:space="preserve">. – </w:t>
      </w:r>
      <w:r>
        <w:rPr>
          <w:rStyle w:val="mixed-citation"/>
          <w:rFonts w:ascii="Times New Roman" w:hAnsi="Times New Roman" w:cs="Times New Roman"/>
          <w:sz w:val="28"/>
          <w:szCs w:val="28"/>
        </w:rPr>
        <w:t>Р</w:t>
      </w:r>
      <w:r w:rsidRPr="001D7E7C">
        <w:rPr>
          <w:rStyle w:val="mixed-citation"/>
          <w:rFonts w:ascii="Times New Roman" w:hAnsi="Times New Roman" w:cs="Times New Roman"/>
          <w:sz w:val="28"/>
          <w:szCs w:val="28"/>
          <w:lang w:val="en-US"/>
        </w:rPr>
        <w:t xml:space="preserve">. </w:t>
      </w:r>
      <w:r w:rsidRPr="006B01C4">
        <w:rPr>
          <w:rStyle w:val="mixed-citation"/>
          <w:rFonts w:ascii="Times New Roman" w:hAnsi="Times New Roman" w:cs="Times New Roman"/>
          <w:sz w:val="28"/>
          <w:szCs w:val="28"/>
          <w:lang w:val="en-US"/>
        </w:rPr>
        <w:t xml:space="preserve">2560-72. </w:t>
      </w:r>
    </w:p>
    <w:p w14:paraId="39140687" w14:textId="77777777" w:rsidR="00102D9D" w:rsidRPr="001D7E7C" w:rsidRDefault="00102D9D" w:rsidP="00102D9D">
      <w:pPr>
        <w:numPr>
          <w:ilvl w:val="0"/>
          <w:numId w:val="75"/>
        </w:numPr>
        <w:shd w:val="clear" w:color="auto" w:fill="FFFFFF"/>
        <w:tabs>
          <w:tab w:val="left" w:pos="426"/>
          <w:tab w:val="left" w:pos="709"/>
        </w:tabs>
        <w:spacing w:after="0" w:line="240" w:lineRule="auto"/>
        <w:ind w:left="0" w:firstLine="709"/>
        <w:jc w:val="both"/>
        <w:rPr>
          <w:rStyle w:val="element-citation"/>
          <w:rFonts w:ascii="Times New Roman" w:hAnsi="Times New Roman" w:cs="Times New Roman"/>
          <w:sz w:val="28"/>
          <w:szCs w:val="28"/>
          <w:lang w:val="en-US"/>
        </w:rPr>
      </w:pPr>
      <w:r w:rsidRPr="00FA5792">
        <w:rPr>
          <w:rStyle w:val="mixed-citation"/>
          <w:rFonts w:ascii="Times New Roman" w:hAnsi="Times New Roman" w:cs="Times New Roman"/>
          <w:sz w:val="28"/>
          <w:szCs w:val="28"/>
          <w:lang w:val="en-US"/>
        </w:rPr>
        <w:t>Butler R</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J</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Davis T</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K</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Johnson W</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G</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Gardner H</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H. Effects of nonadherence with prescription drugs among older adults</w:t>
      </w:r>
      <w:r w:rsidRPr="001D7E7C">
        <w:rPr>
          <w:rStyle w:val="mixed-citation"/>
          <w:rFonts w:ascii="Times New Roman" w:hAnsi="Times New Roman" w:cs="Times New Roman"/>
          <w:sz w:val="28"/>
          <w:szCs w:val="28"/>
          <w:lang w:val="en-US"/>
        </w:rPr>
        <w:t xml:space="preserve"> // Am J Manag Care. – 2011. - №17(2). – </w:t>
      </w:r>
      <w:r>
        <w:rPr>
          <w:rStyle w:val="mixed-citation"/>
          <w:rFonts w:ascii="Times New Roman" w:hAnsi="Times New Roman" w:cs="Times New Roman"/>
          <w:sz w:val="28"/>
          <w:szCs w:val="28"/>
        </w:rPr>
        <w:t>Р</w:t>
      </w:r>
      <w:r w:rsidRPr="001D7E7C">
        <w:rPr>
          <w:rStyle w:val="mixed-citation"/>
          <w:rFonts w:ascii="Times New Roman" w:hAnsi="Times New Roman" w:cs="Times New Roman"/>
          <w:sz w:val="28"/>
          <w:szCs w:val="28"/>
          <w:lang w:val="en-US"/>
        </w:rPr>
        <w:t xml:space="preserve">. 153-60. </w:t>
      </w:r>
    </w:p>
    <w:p w14:paraId="504B3B3D" w14:textId="77777777" w:rsidR="00102D9D" w:rsidRPr="00E921CC" w:rsidRDefault="00102D9D" w:rsidP="00102D9D">
      <w:pPr>
        <w:numPr>
          <w:ilvl w:val="0"/>
          <w:numId w:val="75"/>
        </w:numPr>
        <w:shd w:val="clear" w:color="auto" w:fill="FFFFFF"/>
        <w:tabs>
          <w:tab w:val="left" w:pos="426"/>
          <w:tab w:val="left" w:pos="709"/>
        </w:tabs>
        <w:spacing w:after="0" w:line="240" w:lineRule="auto"/>
        <w:ind w:left="0" w:firstLine="709"/>
        <w:jc w:val="both"/>
        <w:rPr>
          <w:rFonts w:ascii="Times New Roman" w:hAnsi="Times New Roman" w:cs="Times New Roman"/>
          <w:sz w:val="28"/>
          <w:szCs w:val="28"/>
          <w:lang w:val="en-US"/>
        </w:rPr>
      </w:pPr>
      <w:r w:rsidRPr="00FA5792">
        <w:rPr>
          <w:rStyle w:val="mixed-citation"/>
          <w:rFonts w:ascii="Times New Roman" w:hAnsi="Times New Roman" w:cs="Times New Roman"/>
          <w:sz w:val="28"/>
          <w:szCs w:val="28"/>
          <w:lang w:val="en-US"/>
        </w:rPr>
        <w:t>Foreman K</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F</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Stockl K</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M</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Le L</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B</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Fisk E</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Shah S</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M</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Lew H</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C</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xml:space="preserve"> et al. Impact of a text messaging pilot program on patient medication adherence. </w:t>
      </w:r>
      <w:r w:rsidRPr="000A130A">
        <w:rPr>
          <w:rStyle w:val="mixed-citation"/>
          <w:rFonts w:ascii="Times New Roman" w:hAnsi="Times New Roman" w:cs="Times New Roman"/>
          <w:sz w:val="28"/>
          <w:szCs w:val="28"/>
          <w:lang w:val="en-US"/>
        </w:rPr>
        <w:t xml:space="preserve">Clin Ther. </w:t>
      </w:r>
      <w:r>
        <w:rPr>
          <w:rStyle w:val="mixed-citation"/>
          <w:rFonts w:ascii="Times New Roman" w:hAnsi="Times New Roman" w:cs="Times New Roman"/>
          <w:sz w:val="28"/>
          <w:szCs w:val="28"/>
        </w:rPr>
        <w:t xml:space="preserve">– </w:t>
      </w:r>
      <w:r w:rsidRPr="000A130A">
        <w:rPr>
          <w:rStyle w:val="mixed-citation"/>
          <w:rFonts w:ascii="Times New Roman" w:hAnsi="Times New Roman" w:cs="Times New Roman"/>
          <w:sz w:val="28"/>
          <w:szCs w:val="28"/>
          <w:lang w:val="en-US"/>
        </w:rPr>
        <w:t>2012</w:t>
      </w:r>
      <w:r>
        <w:rPr>
          <w:rStyle w:val="mixed-citation"/>
          <w:rFonts w:ascii="Times New Roman" w:hAnsi="Times New Roman" w:cs="Times New Roman"/>
          <w:sz w:val="28"/>
          <w:szCs w:val="28"/>
        </w:rPr>
        <w:t>. - №</w:t>
      </w:r>
      <w:r w:rsidRPr="000A130A">
        <w:rPr>
          <w:rStyle w:val="mixed-citation"/>
          <w:rFonts w:ascii="Times New Roman" w:hAnsi="Times New Roman" w:cs="Times New Roman"/>
          <w:sz w:val="28"/>
          <w:szCs w:val="28"/>
          <w:lang w:val="en-US"/>
        </w:rPr>
        <w:t>34(5)</w:t>
      </w:r>
      <w:r>
        <w:rPr>
          <w:rStyle w:val="mixed-citation"/>
          <w:rFonts w:ascii="Times New Roman" w:hAnsi="Times New Roman" w:cs="Times New Roman"/>
          <w:sz w:val="28"/>
          <w:szCs w:val="28"/>
        </w:rPr>
        <w:t>. – Р.</w:t>
      </w:r>
      <w:r w:rsidRPr="000A130A">
        <w:rPr>
          <w:rStyle w:val="mixed-citation"/>
          <w:rFonts w:ascii="Times New Roman" w:hAnsi="Times New Roman" w:cs="Times New Roman"/>
          <w:sz w:val="28"/>
          <w:szCs w:val="28"/>
          <w:lang w:val="en-US"/>
        </w:rPr>
        <w:t xml:space="preserve">1084-91. </w:t>
      </w:r>
    </w:p>
    <w:p w14:paraId="712C76F6" w14:textId="77777777" w:rsidR="00102D9D" w:rsidRPr="001D7E7C" w:rsidRDefault="00102D9D" w:rsidP="00102D9D">
      <w:pPr>
        <w:numPr>
          <w:ilvl w:val="0"/>
          <w:numId w:val="75"/>
        </w:numPr>
        <w:shd w:val="clear" w:color="auto" w:fill="FFFFFF"/>
        <w:tabs>
          <w:tab w:val="left" w:pos="426"/>
          <w:tab w:val="left" w:pos="709"/>
        </w:tabs>
        <w:spacing w:after="0" w:line="240" w:lineRule="auto"/>
        <w:ind w:left="0" w:firstLine="709"/>
        <w:jc w:val="both"/>
        <w:rPr>
          <w:rStyle w:val="element-citation"/>
          <w:rFonts w:ascii="Times New Roman" w:hAnsi="Times New Roman" w:cs="Times New Roman"/>
          <w:sz w:val="28"/>
          <w:szCs w:val="28"/>
          <w:lang w:val="en-US"/>
        </w:rPr>
      </w:pPr>
      <w:r w:rsidRPr="00FA5792">
        <w:rPr>
          <w:rStyle w:val="mixed-citation"/>
          <w:rFonts w:ascii="Times New Roman" w:hAnsi="Times New Roman" w:cs="Times New Roman"/>
          <w:sz w:val="28"/>
          <w:szCs w:val="28"/>
          <w:lang w:val="en-US"/>
        </w:rPr>
        <w:t>Tan M</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Y</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xml:space="preserve">, Magarey J. Self-care practices of Malaysian adults with diabetes and sub-optimal glycaemic control. </w:t>
      </w:r>
      <w:r w:rsidRPr="001D7E7C">
        <w:rPr>
          <w:rStyle w:val="mixed-citation"/>
          <w:rFonts w:ascii="Times New Roman" w:hAnsi="Times New Roman" w:cs="Times New Roman"/>
          <w:sz w:val="28"/>
          <w:szCs w:val="28"/>
          <w:lang w:val="en-US"/>
        </w:rPr>
        <w:t xml:space="preserve">Patient Educ Couns. </w:t>
      </w:r>
      <w:r>
        <w:rPr>
          <w:rStyle w:val="mixed-citation"/>
          <w:rFonts w:ascii="Times New Roman" w:hAnsi="Times New Roman" w:cs="Times New Roman"/>
          <w:sz w:val="28"/>
          <w:szCs w:val="28"/>
        </w:rPr>
        <w:t xml:space="preserve">– </w:t>
      </w:r>
      <w:r w:rsidRPr="001D7E7C">
        <w:rPr>
          <w:rStyle w:val="mixed-citation"/>
          <w:rFonts w:ascii="Times New Roman" w:hAnsi="Times New Roman" w:cs="Times New Roman"/>
          <w:sz w:val="28"/>
          <w:szCs w:val="28"/>
          <w:lang w:val="en-US"/>
        </w:rPr>
        <w:t>2008</w:t>
      </w:r>
      <w:r>
        <w:rPr>
          <w:rStyle w:val="mixed-citation"/>
          <w:rFonts w:ascii="Times New Roman" w:hAnsi="Times New Roman" w:cs="Times New Roman"/>
          <w:sz w:val="28"/>
          <w:szCs w:val="28"/>
        </w:rPr>
        <w:t>. - №</w:t>
      </w:r>
      <w:r w:rsidRPr="001D7E7C">
        <w:rPr>
          <w:rStyle w:val="mixed-citation"/>
          <w:rFonts w:ascii="Times New Roman" w:hAnsi="Times New Roman" w:cs="Times New Roman"/>
          <w:sz w:val="28"/>
          <w:szCs w:val="28"/>
          <w:lang w:val="en-US"/>
        </w:rPr>
        <w:t>72(2)</w:t>
      </w:r>
      <w:r>
        <w:rPr>
          <w:rStyle w:val="mixed-citation"/>
          <w:rFonts w:ascii="Times New Roman" w:hAnsi="Times New Roman" w:cs="Times New Roman"/>
          <w:sz w:val="28"/>
          <w:szCs w:val="28"/>
        </w:rPr>
        <w:t xml:space="preserve">. – Р. </w:t>
      </w:r>
      <w:r w:rsidRPr="001D7E7C">
        <w:rPr>
          <w:rStyle w:val="mixed-citation"/>
          <w:rFonts w:ascii="Times New Roman" w:hAnsi="Times New Roman" w:cs="Times New Roman"/>
          <w:sz w:val="28"/>
          <w:szCs w:val="28"/>
          <w:lang w:val="en-US"/>
        </w:rPr>
        <w:t>252-67.</w:t>
      </w:r>
    </w:p>
    <w:p w14:paraId="51DCB979" w14:textId="77777777" w:rsidR="00102D9D" w:rsidRPr="000A130A" w:rsidRDefault="00102D9D" w:rsidP="00102D9D">
      <w:pPr>
        <w:numPr>
          <w:ilvl w:val="0"/>
          <w:numId w:val="75"/>
        </w:numPr>
        <w:shd w:val="clear" w:color="auto" w:fill="FFFFFF"/>
        <w:tabs>
          <w:tab w:val="left" w:pos="426"/>
          <w:tab w:val="left" w:pos="709"/>
        </w:tabs>
        <w:spacing w:after="0" w:line="240" w:lineRule="auto"/>
        <w:ind w:left="0" w:firstLine="709"/>
        <w:jc w:val="both"/>
        <w:rPr>
          <w:rFonts w:ascii="Times New Roman" w:hAnsi="Times New Roman" w:cs="Times New Roman"/>
          <w:sz w:val="28"/>
          <w:szCs w:val="28"/>
          <w:lang w:val="en-US"/>
        </w:rPr>
      </w:pPr>
      <w:r w:rsidRPr="00FA5792">
        <w:rPr>
          <w:rStyle w:val="mixed-citation"/>
          <w:rFonts w:ascii="Times New Roman" w:hAnsi="Times New Roman" w:cs="Times New Roman"/>
          <w:sz w:val="28"/>
          <w:szCs w:val="28"/>
          <w:lang w:val="en-US"/>
        </w:rPr>
        <w:t xml:space="preserve">Grant R, Adams AS, Trinacty CM, Zhang F, Kleinman K, Soumerai SB, et al. Relationship between patient medication adherence and subsequent clinical inertia in type 2 diabetes glycemic management. Diabetes Care. </w:t>
      </w:r>
      <w:r>
        <w:rPr>
          <w:rStyle w:val="mixed-citation"/>
          <w:rFonts w:ascii="Times New Roman" w:hAnsi="Times New Roman" w:cs="Times New Roman"/>
          <w:sz w:val="28"/>
          <w:szCs w:val="28"/>
        </w:rPr>
        <w:t xml:space="preserve">– </w:t>
      </w:r>
      <w:r w:rsidRPr="00FA5792">
        <w:rPr>
          <w:rStyle w:val="mixed-citation"/>
          <w:rFonts w:ascii="Times New Roman" w:hAnsi="Times New Roman" w:cs="Times New Roman"/>
          <w:sz w:val="28"/>
          <w:szCs w:val="28"/>
          <w:lang w:val="en-US"/>
        </w:rPr>
        <w:t>2007</w:t>
      </w:r>
      <w:r>
        <w:rPr>
          <w:rStyle w:val="mixed-citation"/>
          <w:rFonts w:ascii="Times New Roman" w:hAnsi="Times New Roman" w:cs="Times New Roman"/>
          <w:sz w:val="28"/>
          <w:szCs w:val="28"/>
        </w:rPr>
        <w:t>. - №</w:t>
      </w:r>
      <w:r w:rsidRPr="00FA5792">
        <w:rPr>
          <w:rStyle w:val="mixed-citation"/>
          <w:rFonts w:ascii="Times New Roman" w:hAnsi="Times New Roman" w:cs="Times New Roman"/>
          <w:sz w:val="28"/>
          <w:szCs w:val="28"/>
          <w:lang w:val="en-US"/>
        </w:rPr>
        <w:t>30(4</w:t>
      </w:r>
      <w:r>
        <w:rPr>
          <w:rStyle w:val="mixed-citation"/>
          <w:rFonts w:ascii="Times New Roman" w:hAnsi="Times New Roman" w:cs="Times New Roman"/>
          <w:sz w:val="28"/>
          <w:szCs w:val="28"/>
        </w:rPr>
        <w:t xml:space="preserve">). – Р. </w:t>
      </w:r>
      <w:r w:rsidRPr="00FA5792">
        <w:rPr>
          <w:rStyle w:val="mixed-citation"/>
          <w:rFonts w:ascii="Times New Roman" w:hAnsi="Times New Roman" w:cs="Times New Roman"/>
          <w:sz w:val="28"/>
          <w:szCs w:val="28"/>
          <w:lang w:val="en-US"/>
        </w:rPr>
        <w:t xml:space="preserve">807-12. </w:t>
      </w:r>
    </w:p>
    <w:p w14:paraId="1BC42569" w14:textId="77777777" w:rsidR="00102D9D" w:rsidRPr="000A130A" w:rsidRDefault="00102D9D" w:rsidP="00102D9D">
      <w:pPr>
        <w:numPr>
          <w:ilvl w:val="0"/>
          <w:numId w:val="75"/>
        </w:numPr>
        <w:shd w:val="clear" w:color="auto" w:fill="FFFFFF"/>
        <w:tabs>
          <w:tab w:val="left" w:pos="426"/>
          <w:tab w:val="left" w:pos="709"/>
        </w:tabs>
        <w:spacing w:after="0" w:line="240" w:lineRule="auto"/>
        <w:ind w:left="0" w:firstLine="709"/>
        <w:jc w:val="both"/>
        <w:rPr>
          <w:rStyle w:val="element-citation"/>
          <w:rFonts w:ascii="Times New Roman" w:hAnsi="Times New Roman" w:cs="Times New Roman"/>
          <w:sz w:val="28"/>
          <w:szCs w:val="28"/>
          <w:lang w:val="en-US"/>
        </w:rPr>
      </w:pPr>
      <w:r w:rsidRPr="00FA5792">
        <w:rPr>
          <w:rStyle w:val="mixed-citation"/>
          <w:rFonts w:ascii="Times New Roman" w:hAnsi="Times New Roman" w:cs="Times New Roman"/>
          <w:sz w:val="28"/>
          <w:szCs w:val="28"/>
          <w:lang w:val="en-US"/>
        </w:rPr>
        <w:t>Kooy M</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J</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van Geffen E</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C</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Heerdink E</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R</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van Dijk L</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Bouvy M</w:t>
      </w:r>
      <w:r w:rsidRPr="001D7E7C">
        <w:rPr>
          <w:rStyle w:val="mixed-citation"/>
          <w:rFonts w:ascii="Times New Roman" w:hAnsi="Times New Roman" w:cs="Times New Roman"/>
          <w:sz w:val="28"/>
          <w:szCs w:val="28"/>
          <w:lang w:val="en-US"/>
        </w:rPr>
        <w:t>.</w:t>
      </w:r>
      <w:r w:rsidRPr="00FA5792">
        <w:rPr>
          <w:rStyle w:val="mixed-citation"/>
          <w:rFonts w:ascii="Times New Roman" w:hAnsi="Times New Roman" w:cs="Times New Roman"/>
          <w:sz w:val="28"/>
          <w:szCs w:val="28"/>
          <w:lang w:val="en-US"/>
        </w:rPr>
        <w:t xml:space="preserve">L. Effects of a Telephone Counselling Intervention by Pharmacist (TelCIP) on medication adherence, patient beliefs and satisfaction with information for patients starting treatment: study protocol for a cluster randomized controlled trial. BMC Health Serv Res. </w:t>
      </w:r>
      <w:r>
        <w:rPr>
          <w:rStyle w:val="mixed-citation"/>
          <w:rFonts w:ascii="Times New Roman" w:hAnsi="Times New Roman" w:cs="Times New Roman"/>
          <w:sz w:val="28"/>
          <w:szCs w:val="28"/>
          <w:lang w:val="en-US"/>
        </w:rPr>
        <w:t>–</w:t>
      </w:r>
      <w:r w:rsidRPr="001D7E7C">
        <w:rPr>
          <w:rStyle w:val="mixed-citation"/>
          <w:rFonts w:ascii="Times New Roman" w:hAnsi="Times New Roman" w:cs="Times New Roman"/>
          <w:sz w:val="28"/>
          <w:szCs w:val="28"/>
          <w:lang w:val="en-US"/>
        </w:rPr>
        <w:t xml:space="preserve"> </w:t>
      </w:r>
      <w:r w:rsidRPr="00FA5792">
        <w:rPr>
          <w:rStyle w:val="mixed-citation"/>
          <w:rFonts w:ascii="Times New Roman" w:hAnsi="Times New Roman" w:cs="Times New Roman"/>
          <w:sz w:val="28"/>
          <w:szCs w:val="28"/>
          <w:lang w:val="en-US"/>
        </w:rPr>
        <w:t>2014</w:t>
      </w:r>
      <w:r>
        <w:rPr>
          <w:rStyle w:val="mixed-citation"/>
          <w:rFonts w:ascii="Times New Roman" w:hAnsi="Times New Roman" w:cs="Times New Roman"/>
          <w:sz w:val="28"/>
          <w:szCs w:val="28"/>
        </w:rPr>
        <w:t>. - №</w:t>
      </w:r>
      <w:r w:rsidRPr="00FA5792">
        <w:rPr>
          <w:rStyle w:val="mixed-citation"/>
          <w:rFonts w:ascii="Times New Roman" w:hAnsi="Times New Roman" w:cs="Times New Roman"/>
          <w:sz w:val="28"/>
          <w:szCs w:val="28"/>
          <w:lang w:val="en-US"/>
        </w:rPr>
        <w:t>14</w:t>
      </w:r>
      <w:r>
        <w:rPr>
          <w:rStyle w:val="mixed-citation"/>
          <w:rFonts w:ascii="Times New Roman" w:hAnsi="Times New Roman" w:cs="Times New Roman"/>
          <w:sz w:val="28"/>
          <w:szCs w:val="28"/>
        </w:rPr>
        <w:t xml:space="preserve">. – </w:t>
      </w:r>
      <w:r w:rsidRPr="00FA5792">
        <w:rPr>
          <w:rStyle w:val="mixed-citation"/>
          <w:rFonts w:ascii="Times New Roman" w:hAnsi="Times New Roman" w:cs="Times New Roman"/>
          <w:sz w:val="28"/>
          <w:szCs w:val="28"/>
          <w:lang w:val="en-US"/>
        </w:rPr>
        <w:t>219</w:t>
      </w:r>
      <w:r>
        <w:rPr>
          <w:rStyle w:val="mixed-citation"/>
          <w:rFonts w:ascii="Times New Roman" w:hAnsi="Times New Roman" w:cs="Times New Roman"/>
          <w:sz w:val="28"/>
          <w:szCs w:val="28"/>
        </w:rPr>
        <w:t xml:space="preserve"> р</w:t>
      </w:r>
      <w:r w:rsidRPr="00FA5792">
        <w:rPr>
          <w:rStyle w:val="mixed-citation"/>
          <w:rFonts w:ascii="Times New Roman" w:hAnsi="Times New Roman" w:cs="Times New Roman"/>
          <w:sz w:val="28"/>
          <w:szCs w:val="28"/>
          <w:lang w:val="en-US"/>
        </w:rPr>
        <w:t>. </w:t>
      </w:r>
    </w:p>
    <w:p w14:paraId="4EDBE770" w14:textId="77777777" w:rsidR="00102D9D" w:rsidRPr="001D7E7C" w:rsidRDefault="00102D9D" w:rsidP="00102D9D">
      <w:pPr>
        <w:numPr>
          <w:ilvl w:val="0"/>
          <w:numId w:val="75"/>
        </w:numPr>
        <w:shd w:val="clear" w:color="auto" w:fill="FFFFFF"/>
        <w:tabs>
          <w:tab w:val="left" w:pos="426"/>
          <w:tab w:val="left" w:pos="709"/>
        </w:tabs>
        <w:spacing w:after="0" w:line="240" w:lineRule="auto"/>
        <w:ind w:left="0" w:firstLine="709"/>
        <w:jc w:val="both"/>
        <w:rPr>
          <w:rStyle w:val="20"/>
          <w:rFonts w:ascii="Times New Roman" w:hAnsi="Times New Roman" w:cs="Times New Roman"/>
          <w:color w:val="auto"/>
          <w:sz w:val="28"/>
          <w:szCs w:val="28"/>
          <w:lang w:val="en-US"/>
        </w:rPr>
      </w:pPr>
      <w:r w:rsidRPr="00FA5792">
        <w:rPr>
          <w:rStyle w:val="mixed-citation"/>
          <w:rFonts w:ascii="Times New Roman" w:hAnsi="Times New Roman" w:cs="Times New Roman"/>
          <w:sz w:val="28"/>
          <w:szCs w:val="28"/>
          <w:lang w:val="en-US"/>
        </w:rPr>
        <w:t>Wubben DP, Vivian EM. Effects of pharmacist outpatient interventions on adults with diabetes mellitus: a systematic review</w:t>
      </w:r>
      <w:r w:rsidRPr="001D7E7C">
        <w:rPr>
          <w:rStyle w:val="mixed-citation"/>
          <w:rFonts w:ascii="Times New Roman" w:hAnsi="Times New Roman" w:cs="Times New Roman"/>
          <w:sz w:val="28"/>
          <w:szCs w:val="28"/>
          <w:lang w:val="en-US"/>
        </w:rPr>
        <w:t xml:space="preserve"> //</w:t>
      </w:r>
      <w:r w:rsidRPr="00FA5792">
        <w:rPr>
          <w:rStyle w:val="mixed-citation"/>
          <w:rFonts w:ascii="Times New Roman" w:hAnsi="Times New Roman" w:cs="Times New Roman"/>
          <w:sz w:val="28"/>
          <w:szCs w:val="28"/>
          <w:lang w:val="en-US"/>
        </w:rPr>
        <w:t xml:space="preserve"> </w:t>
      </w:r>
      <w:r w:rsidRPr="001D7E7C">
        <w:rPr>
          <w:rStyle w:val="mixed-citation"/>
          <w:rFonts w:ascii="Times New Roman" w:hAnsi="Times New Roman" w:cs="Times New Roman"/>
          <w:sz w:val="28"/>
          <w:szCs w:val="28"/>
          <w:lang w:val="en-US"/>
        </w:rPr>
        <w:t xml:space="preserve">Pharmacotherapy. – 2008. - №28(4). – </w:t>
      </w:r>
      <w:r>
        <w:rPr>
          <w:rStyle w:val="mixed-citation"/>
          <w:rFonts w:ascii="Times New Roman" w:hAnsi="Times New Roman" w:cs="Times New Roman"/>
          <w:sz w:val="28"/>
          <w:szCs w:val="28"/>
        </w:rPr>
        <w:t>Р</w:t>
      </w:r>
      <w:r w:rsidRPr="001D7E7C">
        <w:rPr>
          <w:rStyle w:val="mixed-citation"/>
          <w:rFonts w:ascii="Times New Roman" w:hAnsi="Times New Roman" w:cs="Times New Roman"/>
          <w:sz w:val="28"/>
          <w:szCs w:val="28"/>
          <w:lang w:val="en-US"/>
        </w:rPr>
        <w:t xml:space="preserve">.421-36. </w:t>
      </w:r>
    </w:p>
    <w:p w14:paraId="654A99AA" w14:textId="77777777" w:rsidR="00102D9D" w:rsidRPr="00FA5792" w:rsidRDefault="001B62DB" w:rsidP="00102D9D">
      <w:pPr>
        <w:numPr>
          <w:ilvl w:val="0"/>
          <w:numId w:val="75"/>
        </w:numPr>
        <w:shd w:val="clear" w:color="auto" w:fill="FFFFFF"/>
        <w:tabs>
          <w:tab w:val="left" w:pos="426"/>
          <w:tab w:val="left" w:pos="709"/>
        </w:tabs>
        <w:spacing w:after="0" w:line="240" w:lineRule="auto"/>
        <w:ind w:left="0" w:firstLine="709"/>
        <w:jc w:val="both"/>
        <w:rPr>
          <w:rStyle w:val="details-value"/>
          <w:rFonts w:ascii="Times New Roman" w:hAnsi="Times New Roman" w:cs="Times New Roman"/>
          <w:sz w:val="28"/>
          <w:szCs w:val="28"/>
          <w:lang w:val="en-US"/>
        </w:rPr>
      </w:pPr>
      <w:hyperlink r:id="rId235" w:history="1">
        <w:r w:rsidR="00102D9D" w:rsidRPr="00FA5792">
          <w:rPr>
            <w:rStyle w:val="details-value"/>
            <w:rFonts w:ascii="Times New Roman" w:hAnsi="Times New Roman" w:cs="Times New Roman"/>
            <w:sz w:val="28"/>
            <w:szCs w:val="28"/>
            <w:lang w:val="en-US"/>
          </w:rPr>
          <w:t>Marcel Nogueira</w:t>
        </w:r>
      </w:hyperlink>
      <w:r w:rsidR="00102D9D" w:rsidRPr="00FA5792">
        <w:rPr>
          <w:rFonts w:ascii="Times New Roman" w:hAnsi="Times New Roman" w:cs="Times New Roman"/>
          <w:sz w:val="28"/>
          <w:szCs w:val="28"/>
          <w:lang w:val="en-US"/>
        </w:rPr>
        <w:t>, </w:t>
      </w:r>
      <w:hyperlink r:id="rId236" w:history="1">
        <w:r w:rsidR="00102D9D" w:rsidRPr="00FA5792">
          <w:rPr>
            <w:rStyle w:val="details-value"/>
            <w:rFonts w:ascii="Times New Roman" w:hAnsi="Times New Roman" w:cs="Times New Roman"/>
            <w:sz w:val="28"/>
            <w:szCs w:val="28"/>
            <w:lang w:val="en-US"/>
          </w:rPr>
          <w:t>Leonardo Jun Otuyama</w:t>
        </w:r>
      </w:hyperlink>
      <w:r w:rsidR="00102D9D" w:rsidRPr="00FA5792">
        <w:rPr>
          <w:rFonts w:ascii="Times New Roman" w:hAnsi="Times New Roman" w:cs="Times New Roman"/>
          <w:sz w:val="28"/>
          <w:szCs w:val="28"/>
          <w:lang w:val="en-US"/>
        </w:rPr>
        <w:t>, </w:t>
      </w:r>
      <w:hyperlink r:id="rId237" w:history="1">
        <w:r w:rsidR="00102D9D" w:rsidRPr="00FA5792">
          <w:rPr>
            <w:rStyle w:val="details-value"/>
            <w:rFonts w:ascii="Times New Roman" w:hAnsi="Times New Roman" w:cs="Times New Roman"/>
            <w:sz w:val="28"/>
            <w:szCs w:val="28"/>
            <w:lang w:val="en-US"/>
          </w:rPr>
          <w:t>Priscilla Alves Rocha</w:t>
        </w:r>
      </w:hyperlink>
      <w:r w:rsidR="00102D9D" w:rsidRPr="00FA5792">
        <w:rPr>
          <w:rFonts w:ascii="Times New Roman" w:hAnsi="Times New Roman" w:cs="Times New Roman"/>
          <w:sz w:val="28"/>
          <w:szCs w:val="28"/>
          <w:lang w:val="en-US"/>
        </w:rPr>
        <w:t>, </w:t>
      </w:r>
      <w:hyperlink r:id="rId238" w:history="1">
        <w:r w:rsidR="00102D9D" w:rsidRPr="00FA5792">
          <w:rPr>
            <w:rStyle w:val="details-value"/>
            <w:rFonts w:ascii="Times New Roman" w:hAnsi="Times New Roman" w:cs="Times New Roman"/>
            <w:sz w:val="28"/>
            <w:szCs w:val="28"/>
            <w:lang w:val="en-US"/>
          </w:rPr>
          <w:t>Vanusa Barbosa Pinto</w:t>
        </w:r>
      </w:hyperlink>
      <w:r w:rsidR="00102D9D" w:rsidRPr="00FA5792">
        <w:rPr>
          <w:rStyle w:val="details-value"/>
          <w:rFonts w:ascii="Times New Roman" w:hAnsi="Times New Roman" w:cs="Times New Roman"/>
          <w:sz w:val="28"/>
          <w:szCs w:val="28"/>
          <w:lang w:val="en-US"/>
        </w:rPr>
        <w:t xml:space="preserve">. </w:t>
      </w:r>
      <w:r w:rsidR="00102D9D" w:rsidRPr="00FA5792">
        <w:rPr>
          <w:rFonts w:ascii="Times New Roman" w:hAnsi="Times New Roman" w:cs="Times New Roman"/>
          <w:sz w:val="28"/>
          <w:szCs w:val="28"/>
          <w:lang w:val="en-US"/>
        </w:rPr>
        <w:t>Pharmaceutical care-based interventions in type 2 </w:t>
      </w:r>
      <w:r w:rsidR="00102D9D" w:rsidRPr="00FA5792">
        <w:rPr>
          <w:rStyle w:val="11pt"/>
          <w:rFonts w:eastAsiaTheme="minorHAnsi"/>
          <w:sz w:val="28"/>
          <w:szCs w:val="28"/>
          <w:lang w:val="en-US"/>
        </w:rPr>
        <w:t>diabetes mellitus</w:t>
      </w:r>
      <w:r w:rsidR="00102D9D" w:rsidRPr="00FA5792">
        <w:rPr>
          <w:rFonts w:ascii="Times New Roman" w:hAnsi="Times New Roman" w:cs="Times New Roman"/>
          <w:sz w:val="28"/>
          <w:szCs w:val="28"/>
          <w:lang w:val="en-US"/>
        </w:rPr>
        <w:t> : a systematic review and meta-analysis of randomized clinical trials</w:t>
      </w:r>
      <w:r w:rsidR="00102D9D" w:rsidRPr="001D7E7C">
        <w:rPr>
          <w:rFonts w:ascii="Times New Roman" w:hAnsi="Times New Roman" w:cs="Times New Roman"/>
          <w:sz w:val="28"/>
          <w:szCs w:val="28"/>
          <w:lang w:val="en-US"/>
        </w:rPr>
        <w:t xml:space="preserve"> //</w:t>
      </w:r>
      <w:r w:rsidR="00102D9D" w:rsidRPr="00FA5792">
        <w:rPr>
          <w:rFonts w:ascii="Times New Roman" w:hAnsi="Times New Roman" w:cs="Times New Roman"/>
          <w:sz w:val="28"/>
          <w:szCs w:val="28"/>
          <w:lang w:val="en-US"/>
        </w:rPr>
        <w:t xml:space="preserve"> </w:t>
      </w:r>
      <w:hyperlink r:id="rId239" w:history="1">
        <w:r w:rsidR="00102D9D" w:rsidRPr="00FA5792">
          <w:rPr>
            <w:rStyle w:val="details-value"/>
            <w:rFonts w:ascii="Times New Roman" w:hAnsi="Times New Roman" w:cs="Times New Roman"/>
            <w:sz w:val="28"/>
            <w:szCs w:val="28"/>
            <w:lang w:val="en-US"/>
          </w:rPr>
          <w:t>Einstein (Sao Paulo).</w:t>
        </w:r>
      </w:hyperlink>
      <w:r w:rsidR="00102D9D" w:rsidRPr="001D7E7C">
        <w:rPr>
          <w:rStyle w:val="details-value"/>
          <w:rFonts w:ascii="Times New Roman" w:hAnsi="Times New Roman" w:cs="Times New Roman"/>
          <w:sz w:val="28"/>
          <w:szCs w:val="28"/>
          <w:lang w:val="en-US"/>
        </w:rPr>
        <w:t xml:space="preserve">- </w:t>
      </w:r>
      <w:r w:rsidR="00102D9D" w:rsidRPr="00FA5792">
        <w:rPr>
          <w:rFonts w:ascii="Times New Roman" w:hAnsi="Times New Roman" w:cs="Times New Roman"/>
          <w:sz w:val="28"/>
          <w:szCs w:val="28"/>
          <w:lang w:val="en-US"/>
        </w:rPr>
        <w:t> 2020</w:t>
      </w:r>
      <w:r w:rsidR="00102D9D" w:rsidRPr="001D7E7C">
        <w:rPr>
          <w:rFonts w:ascii="Times New Roman" w:hAnsi="Times New Roman" w:cs="Times New Roman"/>
          <w:sz w:val="28"/>
          <w:szCs w:val="28"/>
          <w:lang w:val="en-US"/>
        </w:rPr>
        <w:t xml:space="preserve">. </w:t>
      </w:r>
      <w:r w:rsidR="00102D9D">
        <w:rPr>
          <w:rFonts w:ascii="Times New Roman" w:hAnsi="Times New Roman" w:cs="Times New Roman"/>
          <w:sz w:val="28"/>
          <w:szCs w:val="28"/>
          <w:lang w:val="en-US"/>
        </w:rPr>
        <w:t>–</w:t>
      </w:r>
      <w:r w:rsidR="00102D9D" w:rsidRPr="00FA5792">
        <w:rPr>
          <w:rFonts w:ascii="Times New Roman" w:hAnsi="Times New Roman" w:cs="Times New Roman"/>
          <w:sz w:val="28"/>
          <w:szCs w:val="28"/>
          <w:lang w:val="en-US"/>
        </w:rPr>
        <w:t xml:space="preserve"> 1</w:t>
      </w:r>
      <w:r w:rsidR="00102D9D" w:rsidRPr="001D7E7C">
        <w:rPr>
          <w:rFonts w:ascii="Times New Roman" w:hAnsi="Times New Roman" w:cs="Times New Roman"/>
          <w:sz w:val="28"/>
          <w:szCs w:val="28"/>
          <w:lang w:val="en-US"/>
        </w:rPr>
        <w:t xml:space="preserve">8 </w:t>
      </w:r>
      <w:r w:rsidR="00102D9D">
        <w:rPr>
          <w:rFonts w:ascii="Times New Roman" w:hAnsi="Times New Roman" w:cs="Times New Roman"/>
          <w:sz w:val="28"/>
          <w:szCs w:val="28"/>
        </w:rPr>
        <w:t>р</w:t>
      </w:r>
      <w:r w:rsidR="00102D9D" w:rsidRPr="001D7E7C">
        <w:rPr>
          <w:rFonts w:ascii="Times New Roman" w:hAnsi="Times New Roman" w:cs="Times New Roman"/>
          <w:sz w:val="28"/>
          <w:szCs w:val="28"/>
          <w:lang w:val="en-US"/>
        </w:rPr>
        <w:t>.</w:t>
      </w:r>
      <w:r w:rsidR="00102D9D" w:rsidRPr="00FA5792">
        <w:rPr>
          <w:rFonts w:ascii="Times New Roman" w:hAnsi="Times New Roman" w:cs="Times New Roman"/>
          <w:sz w:val="28"/>
          <w:szCs w:val="28"/>
          <w:lang w:val="en-US"/>
        </w:rPr>
        <w:t xml:space="preserve"> eRW4686. </w:t>
      </w:r>
      <w:r w:rsidR="00102D9D" w:rsidRPr="00FA5792">
        <w:rPr>
          <w:rStyle w:val="fm-vol-iss-date"/>
          <w:rFonts w:ascii="Times New Roman" w:hAnsi="Times New Roman" w:cs="Times New Roman"/>
          <w:sz w:val="28"/>
          <w:szCs w:val="28"/>
          <w:lang w:val="en-US"/>
        </w:rPr>
        <w:t>Published online 2020 Jan 27. </w:t>
      </w:r>
      <w:r w:rsidR="00102D9D" w:rsidRPr="00FA5792">
        <w:rPr>
          <w:rStyle w:val="doi"/>
          <w:rFonts w:ascii="Times New Roman" w:hAnsi="Times New Roman" w:cs="Times New Roman"/>
          <w:sz w:val="28"/>
          <w:szCs w:val="28"/>
          <w:lang w:val="en-US"/>
        </w:rPr>
        <w:t>doi: </w:t>
      </w:r>
      <w:hyperlink r:id="rId240" w:tgtFrame="_blank" w:history="1">
        <w:r w:rsidR="00102D9D" w:rsidRPr="00FA5792">
          <w:rPr>
            <w:rStyle w:val="details-value"/>
            <w:rFonts w:ascii="Times New Roman" w:hAnsi="Times New Roman" w:cs="Times New Roman"/>
            <w:sz w:val="28"/>
            <w:szCs w:val="28"/>
            <w:lang w:val="en-US"/>
          </w:rPr>
          <w:t>10.31744/einstein_journal/2020RW4686</w:t>
        </w:r>
      </w:hyperlink>
      <w:r w:rsidR="00102D9D">
        <w:rPr>
          <w:rStyle w:val="details-value"/>
          <w:rFonts w:ascii="Times New Roman" w:hAnsi="Times New Roman" w:cs="Times New Roman"/>
          <w:sz w:val="28"/>
          <w:szCs w:val="28"/>
        </w:rPr>
        <w:t>.</w:t>
      </w:r>
    </w:p>
    <w:p w14:paraId="79F5F0C3"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Статистический сборник «Здоровье населения Республики Казахстан и деятельности организации здравоохранения»</w:t>
      </w:r>
      <w:r>
        <w:rPr>
          <w:rFonts w:ascii="Times New Roman" w:hAnsi="Times New Roman" w:cs="Times New Roman"/>
          <w:sz w:val="28"/>
          <w:szCs w:val="28"/>
        </w:rPr>
        <w:t xml:space="preserve"> -</w:t>
      </w:r>
      <w:r w:rsidRPr="00FA5792">
        <w:rPr>
          <w:rFonts w:ascii="Times New Roman" w:hAnsi="Times New Roman" w:cs="Times New Roman"/>
          <w:sz w:val="28"/>
          <w:szCs w:val="28"/>
        </w:rPr>
        <w:t xml:space="preserve"> 2020. </w:t>
      </w:r>
      <w:hyperlink r:id="rId241" w:history="1">
        <w:r w:rsidRPr="00FA5792">
          <w:rPr>
            <w:rStyle w:val="details-value"/>
            <w:rFonts w:ascii="Times New Roman" w:hAnsi="Times New Roman" w:cs="Times New Roman"/>
            <w:sz w:val="28"/>
            <w:szCs w:val="28"/>
          </w:rPr>
          <w:t>http://www.medinfo.kz</w:t>
        </w:r>
      </w:hyperlink>
      <w:r>
        <w:rPr>
          <w:rStyle w:val="details-value"/>
          <w:rFonts w:ascii="Times New Roman" w:hAnsi="Times New Roman" w:cs="Times New Roman"/>
          <w:sz w:val="28"/>
          <w:szCs w:val="28"/>
        </w:rPr>
        <w:t>.</w:t>
      </w:r>
    </w:p>
    <w:p w14:paraId="6B225928" w14:textId="77777777" w:rsidR="00102D9D" w:rsidRPr="001D7E7C"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FA5792">
        <w:rPr>
          <w:rFonts w:ascii="Times New Roman" w:hAnsi="Times New Roman" w:cs="Times New Roman"/>
          <w:bCs/>
          <w:sz w:val="28"/>
          <w:szCs w:val="28"/>
        </w:rPr>
        <w:t xml:space="preserve">Глава 3: Определение основных ценностей политики Здоровье-2020. </w:t>
      </w:r>
      <w:hyperlink r:id="rId242" w:history="1">
        <w:r w:rsidRPr="00373B11">
          <w:rPr>
            <w:rStyle w:val="ab"/>
            <w:rFonts w:ascii="Times New Roman" w:hAnsi="Times New Roman" w:cs="Times New Roman"/>
            <w:color w:val="auto"/>
            <w:sz w:val="28"/>
            <w:szCs w:val="28"/>
            <w:u w:val="none"/>
            <w:lang w:val="en-US"/>
          </w:rPr>
          <w:t>https://www.euro.who.int/en/data-and-evidence/european-health-report /european-health-report-2018/chapter-3</w:t>
        </w:r>
      </w:hyperlink>
      <w:r w:rsidRPr="00373B11">
        <w:rPr>
          <w:rFonts w:ascii="Times New Roman" w:hAnsi="Times New Roman" w:cs="Times New Roman"/>
          <w:bCs/>
          <w:sz w:val="28"/>
          <w:szCs w:val="28"/>
          <w:lang w:val="en-US"/>
        </w:rPr>
        <w:t>.</w:t>
      </w:r>
    </w:p>
    <w:p w14:paraId="1FC3382A" w14:textId="77777777" w:rsidR="00102D9D" w:rsidRPr="00FA5792" w:rsidRDefault="00102D9D" w:rsidP="00102D9D">
      <w:pPr>
        <w:numPr>
          <w:ilvl w:val="0"/>
          <w:numId w:val="75"/>
        </w:numPr>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Здоровье -21: основы политики достижения здоровье для всех в Европейском регионе ВОЗ. Европейская серия по достижению здоровье для всех</w:t>
      </w:r>
      <w:r>
        <w:rPr>
          <w:rFonts w:ascii="Times New Roman" w:hAnsi="Times New Roman" w:cs="Times New Roman"/>
          <w:sz w:val="28"/>
          <w:szCs w:val="28"/>
        </w:rPr>
        <w:t xml:space="preserve">. </w:t>
      </w:r>
      <w:r w:rsidRPr="00FA5792">
        <w:rPr>
          <w:rFonts w:ascii="Times New Roman" w:hAnsi="Times New Roman" w:cs="Times New Roman"/>
          <w:sz w:val="28"/>
          <w:szCs w:val="28"/>
        </w:rPr>
        <w:t>-</w:t>
      </w:r>
      <w:r>
        <w:rPr>
          <w:rFonts w:ascii="Times New Roman" w:hAnsi="Times New Roman" w:cs="Times New Roman"/>
          <w:sz w:val="28"/>
          <w:szCs w:val="28"/>
        </w:rPr>
        <w:t xml:space="preserve"> </w:t>
      </w:r>
      <w:r w:rsidRPr="00FA5792">
        <w:rPr>
          <w:rFonts w:ascii="Times New Roman" w:hAnsi="Times New Roman" w:cs="Times New Roman"/>
          <w:sz w:val="28"/>
          <w:szCs w:val="28"/>
        </w:rPr>
        <w:t>Копенгаген, 1999</w:t>
      </w:r>
      <w:r>
        <w:rPr>
          <w:rFonts w:ascii="Times New Roman" w:hAnsi="Times New Roman" w:cs="Times New Roman"/>
          <w:sz w:val="28"/>
          <w:szCs w:val="28"/>
        </w:rPr>
        <w:t>.</w:t>
      </w:r>
      <w:r w:rsidRPr="00FA5792">
        <w:rPr>
          <w:rFonts w:ascii="Times New Roman" w:hAnsi="Times New Roman" w:cs="Times New Roman"/>
          <w:sz w:val="28"/>
          <w:szCs w:val="28"/>
        </w:rPr>
        <w:t>-</w:t>
      </w:r>
      <w:r w:rsidRPr="00373B11">
        <w:rPr>
          <w:rFonts w:ascii="Times New Roman" w:hAnsi="Times New Roman" w:cs="Times New Roman"/>
          <w:sz w:val="28"/>
          <w:szCs w:val="28"/>
        </w:rPr>
        <w:t xml:space="preserve"> </w:t>
      </w:r>
      <w:r w:rsidRPr="00FA5792">
        <w:rPr>
          <w:rFonts w:ascii="Times New Roman" w:hAnsi="Times New Roman" w:cs="Times New Roman"/>
          <w:sz w:val="28"/>
          <w:szCs w:val="28"/>
        </w:rPr>
        <w:t xml:space="preserve">№6. </w:t>
      </w:r>
      <w:r>
        <w:rPr>
          <w:rFonts w:ascii="Times New Roman" w:hAnsi="Times New Roman" w:cs="Times New Roman"/>
          <w:sz w:val="28"/>
          <w:szCs w:val="28"/>
        </w:rPr>
        <w:t xml:space="preserve">- </w:t>
      </w:r>
      <w:r w:rsidRPr="00FA5792">
        <w:rPr>
          <w:rFonts w:ascii="Times New Roman" w:hAnsi="Times New Roman" w:cs="Times New Roman"/>
          <w:sz w:val="28"/>
          <w:szCs w:val="28"/>
        </w:rPr>
        <w:t>310 с</w:t>
      </w:r>
      <w:r>
        <w:rPr>
          <w:rFonts w:ascii="Times New Roman" w:hAnsi="Times New Roman" w:cs="Times New Roman"/>
          <w:sz w:val="28"/>
          <w:szCs w:val="28"/>
        </w:rPr>
        <w:t>.</w:t>
      </w:r>
    </w:p>
    <w:p w14:paraId="1F4E54A3"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Межсекторальная реализация основных направлений деятельности Службы общественного здравоохранения. Республиканский центр развития здравоохранения, 2017</w:t>
      </w:r>
      <w:r>
        <w:rPr>
          <w:rFonts w:ascii="Times New Roman" w:hAnsi="Times New Roman" w:cs="Times New Roman"/>
          <w:sz w:val="28"/>
          <w:szCs w:val="28"/>
        </w:rPr>
        <w:t>.</w:t>
      </w:r>
    </w:p>
    <w:p w14:paraId="1B11BF98"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kern w:val="36"/>
          <w:sz w:val="28"/>
          <w:szCs w:val="28"/>
        </w:rPr>
        <w:t>Целевая комплексная программа Диабет</w:t>
      </w:r>
      <w:r>
        <w:rPr>
          <w:rFonts w:ascii="Times New Roman" w:hAnsi="Times New Roman" w:cs="Times New Roman"/>
          <w:spacing w:val="2"/>
          <w:sz w:val="28"/>
          <w:szCs w:val="28"/>
        </w:rPr>
        <w:t xml:space="preserve">. – </w:t>
      </w:r>
      <w:r w:rsidRPr="00FA5792">
        <w:rPr>
          <w:rFonts w:ascii="Times New Roman" w:hAnsi="Times New Roman" w:cs="Times New Roman"/>
          <w:spacing w:val="2"/>
          <w:sz w:val="28"/>
          <w:szCs w:val="28"/>
        </w:rPr>
        <w:t>2000</w:t>
      </w:r>
      <w:r>
        <w:rPr>
          <w:rFonts w:ascii="Times New Roman" w:hAnsi="Times New Roman" w:cs="Times New Roman"/>
          <w:spacing w:val="2"/>
          <w:sz w:val="28"/>
          <w:szCs w:val="28"/>
        </w:rPr>
        <w:t>.</w:t>
      </w:r>
    </w:p>
    <w:p w14:paraId="12EFDD8C"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Регистры диабета и системы информационной поддержки для пациентов с диабетом в Европейском регионе ВОЗ: Предварительные результаты для консультации, 2021</w:t>
      </w:r>
      <w:r>
        <w:rPr>
          <w:rFonts w:ascii="Times New Roman" w:hAnsi="Times New Roman" w:cs="Times New Roman"/>
          <w:sz w:val="28"/>
          <w:szCs w:val="28"/>
        </w:rPr>
        <w:t>.</w:t>
      </w:r>
    </w:p>
    <w:p w14:paraId="17130799"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Внедрение программы управления заболеваниями (практические рекомендации). Проект «Передача технологий и проведение институциональной реформы в секторе здравоохранения Республики Казахстан». МЗ и СР РК.</w:t>
      </w:r>
      <w:r>
        <w:rPr>
          <w:rFonts w:ascii="Times New Roman" w:hAnsi="Times New Roman" w:cs="Times New Roman"/>
          <w:sz w:val="28"/>
          <w:szCs w:val="28"/>
        </w:rPr>
        <w:t xml:space="preserve"> - </w:t>
      </w:r>
      <w:r w:rsidRPr="00FA5792">
        <w:rPr>
          <w:rFonts w:ascii="Times New Roman" w:hAnsi="Times New Roman" w:cs="Times New Roman"/>
          <w:sz w:val="28"/>
          <w:szCs w:val="28"/>
        </w:rPr>
        <w:t>Астана, 2015</w:t>
      </w:r>
      <w:r>
        <w:rPr>
          <w:rFonts w:ascii="Times New Roman" w:hAnsi="Times New Roman" w:cs="Times New Roman"/>
          <w:sz w:val="28"/>
          <w:szCs w:val="28"/>
        </w:rPr>
        <w:t>.</w:t>
      </w:r>
    </w:p>
    <w:p w14:paraId="501733DA"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Каюпова</w:t>
      </w:r>
      <w:r w:rsidRPr="00373B11">
        <w:rPr>
          <w:rFonts w:ascii="Times New Roman" w:hAnsi="Times New Roman" w:cs="Times New Roman"/>
          <w:sz w:val="28"/>
          <w:szCs w:val="28"/>
        </w:rPr>
        <w:t xml:space="preserve"> </w:t>
      </w:r>
      <w:r w:rsidRPr="00FA5792">
        <w:rPr>
          <w:rFonts w:ascii="Times New Roman" w:hAnsi="Times New Roman" w:cs="Times New Roman"/>
          <w:sz w:val="28"/>
          <w:szCs w:val="28"/>
        </w:rPr>
        <w:t>Г.С., Тулебаев</w:t>
      </w:r>
      <w:r w:rsidRPr="00373B11">
        <w:rPr>
          <w:rFonts w:ascii="Times New Roman" w:hAnsi="Times New Roman" w:cs="Times New Roman"/>
          <w:sz w:val="28"/>
          <w:szCs w:val="28"/>
        </w:rPr>
        <w:t xml:space="preserve"> </w:t>
      </w:r>
      <w:r w:rsidRPr="00FA5792">
        <w:rPr>
          <w:rFonts w:ascii="Times New Roman" w:hAnsi="Times New Roman" w:cs="Times New Roman"/>
          <w:sz w:val="28"/>
          <w:szCs w:val="28"/>
        </w:rPr>
        <w:t>К.А., Турдалиева</w:t>
      </w:r>
      <w:r w:rsidRPr="00373B11">
        <w:rPr>
          <w:rFonts w:ascii="Times New Roman" w:hAnsi="Times New Roman" w:cs="Times New Roman"/>
          <w:sz w:val="28"/>
          <w:szCs w:val="28"/>
        </w:rPr>
        <w:t xml:space="preserve"> </w:t>
      </w:r>
      <w:r w:rsidRPr="00FA5792">
        <w:rPr>
          <w:rFonts w:ascii="Times New Roman" w:hAnsi="Times New Roman" w:cs="Times New Roman"/>
          <w:sz w:val="28"/>
          <w:szCs w:val="28"/>
        </w:rPr>
        <w:t>Б.С., Сагындыкова</w:t>
      </w:r>
      <w:r w:rsidRPr="00373B11">
        <w:rPr>
          <w:rFonts w:ascii="Times New Roman" w:hAnsi="Times New Roman" w:cs="Times New Roman"/>
          <w:sz w:val="28"/>
          <w:szCs w:val="28"/>
        </w:rPr>
        <w:t xml:space="preserve"> </w:t>
      </w:r>
      <w:r w:rsidRPr="00FA5792">
        <w:rPr>
          <w:rFonts w:ascii="Times New Roman" w:hAnsi="Times New Roman" w:cs="Times New Roman"/>
          <w:sz w:val="28"/>
          <w:szCs w:val="28"/>
        </w:rPr>
        <w:t>З.Р., Аимбетова</w:t>
      </w:r>
      <w:r w:rsidRPr="00373B11">
        <w:rPr>
          <w:rFonts w:ascii="Times New Roman" w:hAnsi="Times New Roman" w:cs="Times New Roman"/>
          <w:sz w:val="28"/>
          <w:szCs w:val="28"/>
        </w:rPr>
        <w:t xml:space="preserve"> </w:t>
      </w:r>
      <w:r w:rsidRPr="00FA5792">
        <w:rPr>
          <w:rFonts w:ascii="Times New Roman" w:hAnsi="Times New Roman" w:cs="Times New Roman"/>
          <w:sz w:val="28"/>
          <w:szCs w:val="28"/>
        </w:rPr>
        <w:t>Г.Е. Разработка мер на уровне ПМСП по повышению медицинской грамотности и изменению поведения пациентов (на примере больных с СД2т)</w:t>
      </w:r>
    </w:p>
    <w:p w14:paraId="252CFFAC"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sz w:val="28"/>
          <w:szCs w:val="28"/>
        </w:rPr>
        <w:t>Кузиева Г.Д. Научное обоснование модели всеобъемлющей амбулаторно-поликлинической медицинской помощи.</w:t>
      </w:r>
      <w:r>
        <w:rPr>
          <w:rFonts w:ascii="Times New Roman" w:hAnsi="Times New Roman" w:cs="Times New Roman"/>
          <w:sz w:val="28"/>
          <w:szCs w:val="28"/>
        </w:rPr>
        <w:t xml:space="preserve"> -</w:t>
      </w:r>
      <w:r w:rsidRPr="00FA5792">
        <w:rPr>
          <w:rFonts w:ascii="Times New Roman" w:hAnsi="Times New Roman" w:cs="Times New Roman"/>
          <w:sz w:val="28"/>
          <w:szCs w:val="28"/>
        </w:rPr>
        <w:t xml:space="preserve"> Алматы, 2017г</w:t>
      </w:r>
    </w:p>
    <w:p w14:paraId="4A593C48" w14:textId="77777777" w:rsidR="00102D9D" w:rsidRPr="00FA5792" w:rsidRDefault="00102D9D" w:rsidP="00102D9D">
      <w:pPr>
        <w:numPr>
          <w:ilvl w:val="0"/>
          <w:numId w:val="75"/>
        </w:numPr>
        <w:tabs>
          <w:tab w:val="left" w:pos="426"/>
          <w:tab w:val="left" w:pos="709"/>
        </w:tabs>
        <w:spacing w:after="0" w:line="240" w:lineRule="auto"/>
        <w:ind w:left="0" w:firstLine="709"/>
        <w:jc w:val="both"/>
        <w:rPr>
          <w:rFonts w:ascii="Times New Roman" w:hAnsi="Times New Roman" w:cs="Times New Roman"/>
          <w:sz w:val="28"/>
          <w:szCs w:val="28"/>
        </w:rPr>
      </w:pPr>
      <w:r w:rsidRPr="00FA5792">
        <w:rPr>
          <w:rFonts w:ascii="Times New Roman" w:hAnsi="Times New Roman" w:cs="Times New Roman"/>
          <w:bCs/>
          <w:sz w:val="28"/>
          <w:szCs w:val="28"/>
        </w:rPr>
        <w:t>Здоровье населения Республики Казахстан и деятельность организаций здравоохранения в 2020 году</w:t>
      </w:r>
    </w:p>
    <w:p w14:paraId="5C6A64FB" w14:textId="77777777" w:rsidR="00102D9D" w:rsidRPr="00FA5792" w:rsidRDefault="00102D9D" w:rsidP="00102D9D">
      <w:pPr>
        <w:numPr>
          <w:ilvl w:val="0"/>
          <w:numId w:val="75"/>
        </w:numPr>
        <w:shd w:val="clear" w:color="auto" w:fill="FFFFFF"/>
        <w:tabs>
          <w:tab w:val="left" w:pos="426"/>
          <w:tab w:val="left" w:pos="709"/>
        </w:tabs>
        <w:autoSpaceDE w:val="0"/>
        <w:autoSpaceDN w:val="0"/>
        <w:adjustRightInd w:val="0"/>
        <w:spacing w:after="0" w:line="240" w:lineRule="auto"/>
        <w:ind w:left="0" w:firstLine="709"/>
        <w:jc w:val="both"/>
        <w:rPr>
          <w:rStyle w:val="ab"/>
          <w:rFonts w:ascii="Times New Roman" w:hAnsi="Times New Roman" w:cs="Times New Roman"/>
          <w:color w:val="auto"/>
          <w:sz w:val="28"/>
          <w:szCs w:val="28"/>
          <w:u w:val="none"/>
        </w:rPr>
      </w:pPr>
      <w:r w:rsidRPr="00FA5792">
        <w:rPr>
          <w:rFonts w:ascii="Times New Roman" w:hAnsi="Times New Roman" w:cs="Times New Roman"/>
          <w:sz w:val="28"/>
          <w:szCs w:val="28"/>
        </w:rPr>
        <w:t xml:space="preserve">Коршевер Н.Г., Сидельников С.А. Меры медицинского характера и межсекторальное взаимодействие по вопросам охраны здоровья населения // Современные проблемы науки и образования. – 2016. – № 4.;URL: </w:t>
      </w:r>
      <w:hyperlink r:id="rId243" w:history="1">
        <w:r w:rsidRPr="00FA5792">
          <w:rPr>
            <w:rStyle w:val="ab"/>
            <w:rFonts w:ascii="Times New Roman" w:hAnsi="Times New Roman" w:cs="Times New Roman"/>
            <w:color w:val="auto"/>
            <w:sz w:val="28"/>
            <w:szCs w:val="28"/>
            <w:u w:val="none"/>
          </w:rPr>
          <w:t>http://www.science-education.ru/ru/article/view?id=24929</w:t>
        </w:r>
      </w:hyperlink>
    </w:p>
    <w:p w14:paraId="78B0CE51" w14:textId="77777777" w:rsidR="00102D9D" w:rsidRPr="00FA5792" w:rsidRDefault="00102D9D" w:rsidP="00102D9D">
      <w:pPr>
        <w:pStyle w:val="a3"/>
        <w:numPr>
          <w:ilvl w:val="0"/>
          <w:numId w:val="75"/>
        </w:numPr>
        <w:tabs>
          <w:tab w:val="left" w:pos="426"/>
        </w:tabs>
        <w:spacing w:line="240" w:lineRule="auto"/>
        <w:ind w:left="0" w:firstLine="709"/>
        <w:rPr>
          <w:rFonts w:ascii="Times New Roman" w:hAnsi="Times New Roman" w:cs="Times New Roman"/>
          <w:sz w:val="28"/>
          <w:szCs w:val="28"/>
        </w:rPr>
      </w:pPr>
      <w:r w:rsidRPr="00FA5792">
        <w:rPr>
          <w:rFonts w:ascii="Times New Roman" w:hAnsi="Times New Roman" w:cs="Times New Roman"/>
          <w:sz w:val="28"/>
          <w:szCs w:val="28"/>
        </w:rPr>
        <w:t>Какую выбрать профессию гражданам, страдающим сахарным диабетом? https://www.gov.spb.ru</w:t>
      </w:r>
      <w:r>
        <w:rPr>
          <w:rFonts w:ascii="Times New Roman" w:hAnsi="Times New Roman" w:cs="Times New Roman"/>
          <w:sz w:val="28"/>
          <w:szCs w:val="28"/>
        </w:rPr>
        <w:t>.</w:t>
      </w:r>
    </w:p>
    <w:p w14:paraId="086CBAC3" w14:textId="77777777" w:rsidR="00466CA1" w:rsidRPr="004135FE" w:rsidRDefault="00466CA1" w:rsidP="004135FE">
      <w:pPr>
        <w:spacing w:line="240" w:lineRule="auto"/>
        <w:rPr>
          <w:sz w:val="28"/>
          <w:szCs w:val="28"/>
        </w:rPr>
      </w:pPr>
    </w:p>
    <w:p w14:paraId="54568665" w14:textId="77777777" w:rsidR="00D90962" w:rsidRPr="004135FE" w:rsidRDefault="00D90962" w:rsidP="004135FE">
      <w:pPr>
        <w:shd w:val="clear" w:color="auto" w:fill="FFFFFF"/>
        <w:tabs>
          <w:tab w:val="left" w:pos="284"/>
          <w:tab w:val="left" w:pos="426"/>
          <w:tab w:val="left" w:pos="709"/>
        </w:tabs>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eastAsia="Times New Roman" w:hAnsi="Times New Roman" w:cs="Times New Roman"/>
          <w:sz w:val="28"/>
          <w:szCs w:val="28"/>
        </w:rPr>
        <w:t xml:space="preserve"> </w:t>
      </w:r>
    </w:p>
    <w:p w14:paraId="166EAE21" w14:textId="77777777" w:rsidR="00D90962" w:rsidRPr="004135FE" w:rsidRDefault="00D90962" w:rsidP="004135FE">
      <w:pPr>
        <w:shd w:val="clear" w:color="auto" w:fill="FFFFFF"/>
        <w:tabs>
          <w:tab w:val="left" w:pos="709"/>
        </w:tabs>
        <w:autoSpaceDE w:val="0"/>
        <w:autoSpaceDN w:val="0"/>
        <w:adjustRightInd w:val="0"/>
        <w:spacing w:after="0" w:line="240" w:lineRule="auto"/>
        <w:jc w:val="both"/>
        <w:rPr>
          <w:rFonts w:ascii="Times New Roman" w:hAnsi="Times New Roman" w:cs="Times New Roman"/>
          <w:sz w:val="28"/>
          <w:szCs w:val="28"/>
        </w:rPr>
      </w:pPr>
    </w:p>
    <w:p w14:paraId="2F1AEEDF" w14:textId="77777777" w:rsidR="00D90962" w:rsidRPr="004135FE" w:rsidRDefault="00D90962" w:rsidP="004135FE">
      <w:pPr>
        <w:spacing w:line="240" w:lineRule="auto"/>
        <w:rPr>
          <w:sz w:val="28"/>
          <w:szCs w:val="28"/>
        </w:rPr>
      </w:pPr>
    </w:p>
    <w:p w14:paraId="6F5A23E4" w14:textId="77777777" w:rsidR="00FF2467" w:rsidRPr="004135FE" w:rsidRDefault="00FF2467" w:rsidP="004135FE">
      <w:pPr>
        <w:shd w:val="clear" w:color="auto" w:fill="FFFFFF"/>
        <w:tabs>
          <w:tab w:val="left" w:pos="709"/>
        </w:tabs>
        <w:autoSpaceDE w:val="0"/>
        <w:autoSpaceDN w:val="0"/>
        <w:adjustRightInd w:val="0"/>
        <w:spacing w:after="0" w:line="240" w:lineRule="auto"/>
        <w:jc w:val="both"/>
        <w:rPr>
          <w:rFonts w:ascii="Times New Roman" w:hAnsi="Times New Roman" w:cs="Times New Roman"/>
          <w:sz w:val="28"/>
          <w:szCs w:val="28"/>
        </w:rPr>
      </w:pPr>
    </w:p>
    <w:p w14:paraId="24E40011" w14:textId="77777777" w:rsidR="0018166F" w:rsidRPr="004135FE" w:rsidRDefault="0018166F" w:rsidP="004135FE">
      <w:pPr>
        <w:tabs>
          <w:tab w:val="left" w:pos="709"/>
        </w:tabs>
        <w:spacing w:after="0" w:line="240" w:lineRule="auto"/>
        <w:jc w:val="both"/>
        <w:rPr>
          <w:rFonts w:ascii="Times New Roman" w:hAnsi="Times New Roman" w:cs="Times New Roman"/>
          <w:sz w:val="28"/>
          <w:szCs w:val="28"/>
        </w:rPr>
      </w:pPr>
    </w:p>
    <w:p w14:paraId="59E35694" w14:textId="77777777" w:rsidR="0018166F" w:rsidRPr="004135FE" w:rsidRDefault="0018166F" w:rsidP="004135FE">
      <w:pPr>
        <w:tabs>
          <w:tab w:val="left" w:pos="709"/>
        </w:tabs>
        <w:spacing w:after="0" w:line="240" w:lineRule="auto"/>
        <w:jc w:val="both"/>
        <w:rPr>
          <w:rFonts w:ascii="Times New Roman" w:hAnsi="Times New Roman" w:cs="Times New Roman"/>
          <w:sz w:val="28"/>
          <w:szCs w:val="28"/>
        </w:rPr>
      </w:pPr>
    </w:p>
    <w:p w14:paraId="7B80415B" w14:textId="77777777" w:rsidR="005B6AF9" w:rsidRPr="004135FE" w:rsidRDefault="005B6AF9" w:rsidP="004135FE">
      <w:pPr>
        <w:spacing w:after="0" w:line="240" w:lineRule="auto"/>
        <w:jc w:val="both"/>
        <w:rPr>
          <w:rFonts w:ascii="Times New Roman" w:hAnsi="Times New Roman" w:cs="Times New Roman"/>
          <w:sz w:val="28"/>
          <w:szCs w:val="28"/>
        </w:rPr>
        <w:sectPr w:rsidR="005B6AF9" w:rsidRPr="004135FE" w:rsidSect="00EC71C2">
          <w:type w:val="nextColumn"/>
          <w:pgSz w:w="11906" w:h="16838"/>
          <w:pgMar w:top="1134" w:right="851" w:bottom="1134" w:left="1701" w:header="708" w:footer="708" w:gutter="0"/>
          <w:cols w:space="708"/>
          <w:docGrid w:linePitch="360"/>
        </w:sectPr>
      </w:pPr>
    </w:p>
    <w:p w14:paraId="4BDC87F0" w14:textId="07D28AB2" w:rsidR="005B6AF9" w:rsidRDefault="005B6AF9" w:rsidP="00321165">
      <w:pPr>
        <w:spacing w:after="0" w:line="240" w:lineRule="auto"/>
        <w:jc w:val="center"/>
        <w:rPr>
          <w:rFonts w:ascii="Times New Roman" w:hAnsi="Times New Roman" w:cs="Times New Roman"/>
          <w:b/>
          <w:sz w:val="28"/>
          <w:szCs w:val="28"/>
        </w:rPr>
      </w:pPr>
      <w:r w:rsidRPr="004135FE">
        <w:rPr>
          <w:rFonts w:ascii="Times New Roman" w:hAnsi="Times New Roman" w:cs="Times New Roman"/>
          <w:b/>
          <w:sz w:val="28"/>
          <w:szCs w:val="28"/>
        </w:rPr>
        <w:t>ПРИЛОЖЕНИЕ А</w:t>
      </w:r>
    </w:p>
    <w:p w14:paraId="331F73D4" w14:textId="17DE89AF" w:rsidR="00321165" w:rsidRDefault="00321165" w:rsidP="00321165">
      <w:pPr>
        <w:spacing w:after="0" w:line="240" w:lineRule="auto"/>
        <w:jc w:val="center"/>
        <w:rPr>
          <w:rFonts w:ascii="Times New Roman" w:hAnsi="Times New Roman" w:cs="Times New Roman"/>
          <w:b/>
          <w:sz w:val="28"/>
          <w:szCs w:val="28"/>
        </w:rPr>
      </w:pPr>
    </w:p>
    <w:p w14:paraId="2EC5E031" w14:textId="2595F3EE" w:rsidR="00321165" w:rsidRDefault="005F1B30" w:rsidP="00321165">
      <w:pPr>
        <w:spacing w:after="0" w:line="240" w:lineRule="auto"/>
        <w:jc w:val="center"/>
        <w:rPr>
          <w:rFonts w:ascii="Times New Roman" w:hAnsi="Times New Roman" w:cs="Times New Roman"/>
          <w:bCs/>
          <w:sz w:val="28"/>
          <w:szCs w:val="28"/>
        </w:rPr>
      </w:pPr>
      <w:r w:rsidRPr="005F1B30">
        <w:rPr>
          <w:rFonts w:ascii="Times New Roman" w:hAnsi="Times New Roman" w:cs="Times New Roman"/>
          <w:bCs/>
          <w:sz w:val="28"/>
          <w:szCs w:val="28"/>
        </w:rPr>
        <w:t xml:space="preserve">Таблицы по статистическим </w:t>
      </w:r>
      <w:r>
        <w:rPr>
          <w:rFonts w:ascii="Times New Roman" w:hAnsi="Times New Roman" w:cs="Times New Roman"/>
          <w:bCs/>
          <w:sz w:val="28"/>
          <w:szCs w:val="28"/>
        </w:rPr>
        <w:t xml:space="preserve">отчетным </w:t>
      </w:r>
      <w:r w:rsidRPr="005F1B30">
        <w:rPr>
          <w:rFonts w:ascii="Times New Roman" w:hAnsi="Times New Roman" w:cs="Times New Roman"/>
          <w:bCs/>
          <w:sz w:val="28"/>
          <w:szCs w:val="28"/>
        </w:rPr>
        <w:t>данным сахарного диабета 2 типа</w:t>
      </w:r>
      <w:r>
        <w:rPr>
          <w:rFonts w:ascii="Times New Roman" w:hAnsi="Times New Roman" w:cs="Times New Roman"/>
          <w:bCs/>
          <w:sz w:val="28"/>
          <w:szCs w:val="28"/>
        </w:rPr>
        <w:t xml:space="preserve"> по г.Алматы.</w:t>
      </w:r>
    </w:p>
    <w:p w14:paraId="42F94E06" w14:textId="77777777" w:rsidR="00321165" w:rsidRPr="00321165" w:rsidRDefault="00321165" w:rsidP="00321165">
      <w:pPr>
        <w:spacing w:after="0" w:line="240" w:lineRule="auto"/>
        <w:jc w:val="center"/>
        <w:rPr>
          <w:rFonts w:ascii="Times New Roman" w:hAnsi="Times New Roman" w:cs="Times New Roman"/>
          <w:bCs/>
          <w:sz w:val="28"/>
          <w:szCs w:val="28"/>
        </w:rPr>
      </w:pPr>
    </w:p>
    <w:p w14:paraId="080B80DA" w14:textId="113BEDE3" w:rsidR="005B6AF9" w:rsidRDefault="00321165" w:rsidP="00321165">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 xml:space="preserve"> </w:t>
      </w:r>
      <w:r w:rsidR="00737DEA" w:rsidRPr="004135FE">
        <w:rPr>
          <w:rFonts w:ascii="Times New Roman" w:hAnsi="Times New Roman" w:cs="Times New Roman"/>
          <w:sz w:val="28"/>
          <w:szCs w:val="28"/>
          <w:lang w:val="kk-KZ"/>
        </w:rPr>
        <w:t xml:space="preserve">Таблица </w:t>
      </w:r>
      <w:r>
        <w:rPr>
          <w:rFonts w:ascii="Times New Roman" w:hAnsi="Times New Roman" w:cs="Times New Roman"/>
          <w:sz w:val="28"/>
          <w:szCs w:val="28"/>
          <w:lang w:val="kk-KZ"/>
        </w:rPr>
        <w:t>А1</w:t>
      </w:r>
      <w:r w:rsidR="005B6AF9" w:rsidRPr="004135FE">
        <w:rPr>
          <w:rFonts w:ascii="Times New Roman" w:hAnsi="Times New Roman" w:cs="Times New Roman"/>
          <w:sz w:val="28"/>
          <w:szCs w:val="28"/>
          <w:lang w:val="kk-KZ"/>
        </w:rPr>
        <w:t xml:space="preserve"> – </w:t>
      </w:r>
      <w:r w:rsidR="005B6AF9" w:rsidRPr="004135FE">
        <w:rPr>
          <w:rFonts w:ascii="Times New Roman" w:hAnsi="Times New Roman" w:cs="Times New Roman"/>
          <w:sz w:val="28"/>
          <w:szCs w:val="28"/>
        </w:rPr>
        <w:t>Среднегодовая численность и состав населения города Алматы в 2012-2021 годы (абс.число)</w:t>
      </w:r>
    </w:p>
    <w:p w14:paraId="4321CBFF" w14:textId="77777777" w:rsidR="00321165" w:rsidRPr="004135FE" w:rsidRDefault="00321165" w:rsidP="00321165">
      <w:pPr>
        <w:spacing w:after="0" w:line="240" w:lineRule="auto"/>
        <w:rPr>
          <w:rFonts w:ascii="Times New Roman" w:hAnsi="Times New Roman" w:cs="Times New Roman"/>
          <w:sz w:val="28"/>
          <w:szCs w:val="28"/>
          <w:lang w:val="kk-KZ"/>
        </w:rPr>
      </w:pPr>
    </w:p>
    <w:tbl>
      <w:tblPr>
        <w:tblW w:w="13576" w:type="dxa"/>
        <w:tblInd w:w="-5" w:type="dxa"/>
        <w:tblLook w:val="04A0" w:firstRow="1" w:lastRow="0" w:firstColumn="1" w:lastColumn="0" w:noHBand="0" w:noVBand="1"/>
      </w:tblPr>
      <w:tblGrid>
        <w:gridCol w:w="1557"/>
        <w:gridCol w:w="914"/>
        <w:gridCol w:w="815"/>
        <w:gridCol w:w="815"/>
        <w:gridCol w:w="915"/>
        <w:gridCol w:w="815"/>
        <w:gridCol w:w="815"/>
        <w:gridCol w:w="915"/>
        <w:gridCol w:w="815"/>
        <w:gridCol w:w="815"/>
        <w:gridCol w:w="915"/>
        <w:gridCol w:w="815"/>
        <w:gridCol w:w="815"/>
        <w:gridCol w:w="915"/>
        <w:gridCol w:w="815"/>
        <w:gridCol w:w="815"/>
      </w:tblGrid>
      <w:tr w:rsidR="005B6AF9" w:rsidRPr="00321165" w14:paraId="5F937520" w14:textId="77777777" w:rsidTr="00321165">
        <w:trPr>
          <w:trHeight w:val="200"/>
        </w:trPr>
        <w:tc>
          <w:tcPr>
            <w:tcW w:w="162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C5AD5FB"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p>
        </w:tc>
        <w:tc>
          <w:tcPr>
            <w:tcW w:w="2390"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03CFCD29"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2012</w:t>
            </w:r>
          </w:p>
        </w:tc>
        <w:tc>
          <w:tcPr>
            <w:tcW w:w="2390"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55FE629A"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2013</w:t>
            </w:r>
          </w:p>
        </w:tc>
        <w:tc>
          <w:tcPr>
            <w:tcW w:w="2390"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1B199D71"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2014</w:t>
            </w:r>
          </w:p>
        </w:tc>
        <w:tc>
          <w:tcPr>
            <w:tcW w:w="2390"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40B9B651"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2015</w:t>
            </w:r>
          </w:p>
        </w:tc>
        <w:tc>
          <w:tcPr>
            <w:tcW w:w="2390"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2F941918"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2016</w:t>
            </w:r>
          </w:p>
        </w:tc>
      </w:tr>
      <w:tr w:rsidR="00321165" w:rsidRPr="00321165" w14:paraId="2DE93764" w14:textId="77777777" w:rsidTr="00321165">
        <w:trPr>
          <w:trHeight w:val="329"/>
        </w:trPr>
        <w:tc>
          <w:tcPr>
            <w:tcW w:w="1626" w:type="dxa"/>
            <w:tcBorders>
              <w:top w:val="nil"/>
              <w:left w:val="single" w:sz="4" w:space="0" w:color="auto"/>
              <w:bottom w:val="single" w:sz="4" w:space="0" w:color="auto"/>
              <w:right w:val="single" w:sz="4" w:space="0" w:color="auto"/>
            </w:tcBorders>
            <w:shd w:val="clear" w:color="000000" w:fill="FFFFFF"/>
            <w:noWrap/>
            <w:vAlign w:val="center"/>
            <w:hideMark/>
          </w:tcPr>
          <w:p w14:paraId="37012A70"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Районы</w:t>
            </w:r>
          </w:p>
        </w:tc>
        <w:tc>
          <w:tcPr>
            <w:tcW w:w="864" w:type="dxa"/>
            <w:tcBorders>
              <w:top w:val="nil"/>
              <w:left w:val="nil"/>
              <w:bottom w:val="single" w:sz="4" w:space="0" w:color="auto"/>
              <w:right w:val="single" w:sz="4" w:space="0" w:color="auto"/>
            </w:tcBorders>
            <w:shd w:val="clear" w:color="000000" w:fill="FFFFFF"/>
            <w:vAlign w:val="center"/>
            <w:hideMark/>
          </w:tcPr>
          <w:p w14:paraId="42C5CE0C"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Всего</w:t>
            </w:r>
          </w:p>
        </w:tc>
        <w:tc>
          <w:tcPr>
            <w:tcW w:w="763" w:type="dxa"/>
            <w:tcBorders>
              <w:top w:val="nil"/>
              <w:left w:val="nil"/>
              <w:bottom w:val="single" w:sz="4" w:space="0" w:color="auto"/>
              <w:right w:val="single" w:sz="4" w:space="0" w:color="auto"/>
            </w:tcBorders>
            <w:shd w:val="clear" w:color="000000" w:fill="FFFFFF"/>
            <w:vAlign w:val="center"/>
            <w:hideMark/>
          </w:tcPr>
          <w:p w14:paraId="397E8783"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Муж</w:t>
            </w:r>
          </w:p>
        </w:tc>
        <w:tc>
          <w:tcPr>
            <w:tcW w:w="763" w:type="dxa"/>
            <w:tcBorders>
              <w:top w:val="nil"/>
              <w:left w:val="nil"/>
              <w:bottom w:val="single" w:sz="4" w:space="0" w:color="auto"/>
              <w:right w:val="single" w:sz="4" w:space="0" w:color="auto"/>
            </w:tcBorders>
            <w:shd w:val="clear" w:color="000000" w:fill="FFFFFF"/>
            <w:vAlign w:val="center"/>
            <w:hideMark/>
          </w:tcPr>
          <w:p w14:paraId="46218EAC"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Жен</w:t>
            </w:r>
          </w:p>
        </w:tc>
        <w:tc>
          <w:tcPr>
            <w:tcW w:w="864" w:type="dxa"/>
            <w:tcBorders>
              <w:top w:val="nil"/>
              <w:left w:val="nil"/>
              <w:bottom w:val="single" w:sz="4" w:space="0" w:color="auto"/>
              <w:right w:val="single" w:sz="4" w:space="0" w:color="auto"/>
            </w:tcBorders>
            <w:shd w:val="clear" w:color="000000" w:fill="FFFFFF"/>
            <w:vAlign w:val="center"/>
            <w:hideMark/>
          </w:tcPr>
          <w:p w14:paraId="106B2D69"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Всего</w:t>
            </w:r>
          </w:p>
        </w:tc>
        <w:tc>
          <w:tcPr>
            <w:tcW w:w="763" w:type="dxa"/>
            <w:tcBorders>
              <w:top w:val="nil"/>
              <w:left w:val="nil"/>
              <w:bottom w:val="single" w:sz="4" w:space="0" w:color="auto"/>
              <w:right w:val="single" w:sz="4" w:space="0" w:color="auto"/>
            </w:tcBorders>
            <w:shd w:val="clear" w:color="000000" w:fill="FFFFFF"/>
            <w:vAlign w:val="center"/>
            <w:hideMark/>
          </w:tcPr>
          <w:p w14:paraId="7AB9CF36"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Муж</w:t>
            </w:r>
          </w:p>
        </w:tc>
        <w:tc>
          <w:tcPr>
            <w:tcW w:w="763" w:type="dxa"/>
            <w:tcBorders>
              <w:top w:val="nil"/>
              <w:left w:val="nil"/>
              <w:bottom w:val="single" w:sz="4" w:space="0" w:color="auto"/>
              <w:right w:val="single" w:sz="4" w:space="0" w:color="auto"/>
            </w:tcBorders>
            <w:shd w:val="clear" w:color="000000" w:fill="FFFFFF"/>
            <w:vAlign w:val="center"/>
            <w:hideMark/>
          </w:tcPr>
          <w:p w14:paraId="454F420E"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Жен</w:t>
            </w:r>
          </w:p>
        </w:tc>
        <w:tc>
          <w:tcPr>
            <w:tcW w:w="864" w:type="dxa"/>
            <w:tcBorders>
              <w:top w:val="nil"/>
              <w:left w:val="nil"/>
              <w:bottom w:val="single" w:sz="4" w:space="0" w:color="auto"/>
              <w:right w:val="single" w:sz="4" w:space="0" w:color="auto"/>
            </w:tcBorders>
            <w:shd w:val="clear" w:color="000000" w:fill="FFFFFF"/>
            <w:vAlign w:val="center"/>
            <w:hideMark/>
          </w:tcPr>
          <w:p w14:paraId="0CA5DB3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Всего</w:t>
            </w:r>
          </w:p>
        </w:tc>
        <w:tc>
          <w:tcPr>
            <w:tcW w:w="763" w:type="dxa"/>
            <w:tcBorders>
              <w:top w:val="nil"/>
              <w:left w:val="nil"/>
              <w:bottom w:val="single" w:sz="4" w:space="0" w:color="auto"/>
              <w:right w:val="single" w:sz="4" w:space="0" w:color="auto"/>
            </w:tcBorders>
            <w:shd w:val="clear" w:color="000000" w:fill="FFFFFF"/>
            <w:vAlign w:val="center"/>
            <w:hideMark/>
          </w:tcPr>
          <w:p w14:paraId="51D8B04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Муж</w:t>
            </w:r>
          </w:p>
        </w:tc>
        <w:tc>
          <w:tcPr>
            <w:tcW w:w="763" w:type="dxa"/>
            <w:tcBorders>
              <w:top w:val="nil"/>
              <w:left w:val="nil"/>
              <w:bottom w:val="single" w:sz="4" w:space="0" w:color="auto"/>
              <w:right w:val="single" w:sz="4" w:space="0" w:color="auto"/>
            </w:tcBorders>
            <w:shd w:val="clear" w:color="000000" w:fill="FFFFFF"/>
            <w:vAlign w:val="center"/>
            <w:hideMark/>
          </w:tcPr>
          <w:p w14:paraId="00EFEDC3"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Жен</w:t>
            </w:r>
          </w:p>
        </w:tc>
        <w:tc>
          <w:tcPr>
            <w:tcW w:w="864" w:type="dxa"/>
            <w:tcBorders>
              <w:top w:val="nil"/>
              <w:left w:val="nil"/>
              <w:bottom w:val="single" w:sz="4" w:space="0" w:color="auto"/>
              <w:right w:val="single" w:sz="4" w:space="0" w:color="auto"/>
            </w:tcBorders>
            <w:shd w:val="clear" w:color="000000" w:fill="FFFFFF"/>
            <w:vAlign w:val="center"/>
            <w:hideMark/>
          </w:tcPr>
          <w:p w14:paraId="0F811461"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Всего</w:t>
            </w:r>
          </w:p>
        </w:tc>
        <w:tc>
          <w:tcPr>
            <w:tcW w:w="763" w:type="dxa"/>
            <w:tcBorders>
              <w:top w:val="nil"/>
              <w:left w:val="nil"/>
              <w:bottom w:val="single" w:sz="4" w:space="0" w:color="auto"/>
              <w:right w:val="single" w:sz="4" w:space="0" w:color="auto"/>
            </w:tcBorders>
            <w:shd w:val="clear" w:color="000000" w:fill="FFFFFF"/>
            <w:vAlign w:val="center"/>
            <w:hideMark/>
          </w:tcPr>
          <w:p w14:paraId="65F78C1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Муж</w:t>
            </w:r>
          </w:p>
        </w:tc>
        <w:tc>
          <w:tcPr>
            <w:tcW w:w="763" w:type="dxa"/>
            <w:tcBorders>
              <w:top w:val="nil"/>
              <w:left w:val="nil"/>
              <w:bottom w:val="single" w:sz="4" w:space="0" w:color="auto"/>
              <w:right w:val="single" w:sz="4" w:space="0" w:color="auto"/>
            </w:tcBorders>
            <w:shd w:val="clear" w:color="000000" w:fill="FFFFFF"/>
            <w:vAlign w:val="center"/>
            <w:hideMark/>
          </w:tcPr>
          <w:p w14:paraId="64C6B5F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Жен</w:t>
            </w:r>
          </w:p>
        </w:tc>
        <w:tc>
          <w:tcPr>
            <w:tcW w:w="864" w:type="dxa"/>
            <w:tcBorders>
              <w:top w:val="nil"/>
              <w:left w:val="nil"/>
              <w:bottom w:val="single" w:sz="4" w:space="0" w:color="auto"/>
              <w:right w:val="single" w:sz="4" w:space="0" w:color="auto"/>
            </w:tcBorders>
            <w:shd w:val="clear" w:color="000000" w:fill="FFFFFF"/>
            <w:vAlign w:val="center"/>
            <w:hideMark/>
          </w:tcPr>
          <w:p w14:paraId="3640D30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Всего</w:t>
            </w:r>
          </w:p>
        </w:tc>
        <w:tc>
          <w:tcPr>
            <w:tcW w:w="763" w:type="dxa"/>
            <w:tcBorders>
              <w:top w:val="nil"/>
              <w:left w:val="nil"/>
              <w:bottom w:val="single" w:sz="4" w:space="0" w:color="auto"/>
              <w:right w:val="single" w:sz="4" w:space="0" w:color="auto"/>
            </w:tcBorders>
            <w:shd w:val="clear" w:color="000000" w:fill="FFFFFF"/>
            <w:vAlign w:val="center"/>
            <w:hideMark/>
          </w:tcPr>
          <w:p w14:paraId="6FED6446"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Муж</w:t>
            </w:r>
          </w:p>
        </w:tc>
        <w:tc>
          <w:tcPr>
            <w:tcW w:w="763" w:type="dxa"/>
            <w:tcBorders>
              <w:top w:val="nil"/>
              <w:left w:val="nil"/>
              <w:bottom w:val="single" w:sz="4" w:space="0" w:color="auto"/>
              <w:right w:val="single" w:sz="4" w:space="0" w:color="auto"/>
            </w:tcBorders>
            <w:shd w:val="clear" w:color="000000" w:fill="FFFFFF"/>
            <w:vAlign w:val="center"/>
            <w:hideMark/>
          </w:tcPr>
          <w:p w14:paraId="012CC75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Жен</w:t>
            </w:r>
          </w:p>
        </w:tc>
      </w:tr>
      <w:tr w:rsidR="00321165" w:rsidRPr="00321165" w14:paraId="5F123E39" w14:textId="77777777" w:rsidTr="00321165">
        <w:trPr>
          <w:trHeight w:val="200"/>
        </w:trPr>
        <w:tc>
          <w:tcPr>
            <w:tcW w:w="1626" w:type="dxa"/>
            <w:tcBorders>
              <w:top w:val="nil"/>
              <w:left w:val="single" w:sz="4" w:space="0" w:color="auto"/>
              <w:bottom w:val="single" w:sz="4" w:space="0" w:color="auto"/>
              <w:right w:val="single" w:sz="4" w:space="0" w:color="auto"/>
            </w:tcBorders>
            <w:shd w:val="clear" w:color="000000" w:fill="FFFFFF"/>
            <w:noWrap/>
            <w:vAlign w:val="center"/>
            <w:hideMark/>
          </w:tcPr>
          <w:p w14:paraId="66FED3C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Алмалинский</w:t>
            </w:r>
          </w:p>
        </w:tc>
        <w:tc>
          <w:tcPr>
            <w:tcW w:w="864" w:type="dxa"/>
            <w:tcBorders>
              <w:top w:val="nil"/>
              <w:left w:val="nil"/>
              <w:bottom w:val="single" w:sz="4" w:space="0" w:color="auto"/>
              <w:right w:val="single" w:sz="4" w:space="0" w:color="auto"/>
            </w:tcBorders>
            <w:shd w:val="clear" w:color="000000" w:fill="FFFFFF"/>
            <w:noWrap/>
            <w:vAlign w:val="center"/>
            <w:hideMark/>
          </w:tcPr>
          <w:p w14:paraId="590FD744"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232064</w:t>
            </w:r>
          </w:p>
        </w:tc>
        <w:tc>
          <w:tcPr>
            <w:tcW w:w="763" w:type="dxa"/>
            <w:tcBorders>
              <w:top w:val="nil"/>
              <w:left w:val="nil"/>
              <w:bottom w:val="single" w:sz="4" w:space="0" w:color="auto"/>
              <w:right w:val="single" w:sz="4" w:space="0" w:color="auto"/>
            </w:tcBorders>
            <w:shd w:val="clear" w:color="000000" w:fill="FFFFFF"/>
            <w:noWrap/>
            <w:vAlign w:val="center"/>
            <w:hideMark/>
          </w:tcPr>
          <w:p w14:paraId="4FC23CFE"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101989</w:t>
            </w:r>
          </w:p>
        </w:tc>
        <w:tc>
          <w:tcPr>
            <w:tcW w:w="763" w:type="dxa"/>
            <w:tcBorders>
              <w:top w:val="nil"/>
              <w:left w:val="nil"/>
              <w:bottom w:val="single" w:sz="4" w:space="0" w:color="auto"/>
              <w:right w:val="single" w:sz="4" w:space="0" w:color="auto"/>
            </w:tcBorders>
            <w:shd w:val="clear" w:color="000000" w:fill="FFFFFF"/>
            <w:noWrap/>
            <w:vAlign w:val="center"/>
            <w:hideMark/>
          </w:tcPr>
          <w:p w14:paraId="69AACEB0"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130075</w:t>
            </w:r>
          </w:p>
        </w:tc>
        <w:tc>
          <w:tcPr>
            <w:tcW w:w="864" w:type="dxa"/>
            <w:tcBorders>
              <w:top w:val="nil"/>
              <w:left w:val="nil"/>
              <w:bottom w:val="single" w:sz="4" w:space="0" w:color="auto"/>
              <w:right w:val="single" w:sz="4" w:space="0" w:color="auto"/>
            </w:tcBorders>
            <w:shd w:val="clear" w:color="000000" w:fill="FFFFFF"/>
            <w:noWrap/>
            <w:vAlign w:val="center"/>
            <w:hideMark/>
          </w:tcPr>
          <w:p w14:paraId="58C81DC9"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223003</w:t>
            </w:r>
          </w:p>
        </w:tc>
        <w:tc>
          <w:tcPr>
            <w:tcW w:w="763" w:type="dxa"/>
            <w:tcBorders>
              <w:top w:val="nil"/>
              <w:left w:val="nil"/>
              <w:bottom w:val="single" w:sz="4" w:space="0" w:color="auto"/>
              <w:right w:val="single" w:sz="4" w:space="0" w:color="auto"/>
            </w:tcBorders>
            <w:shd w:val="clear" w:color="000000" w:fill="FFFFFF"/>
            <w:noWrap/>
            <w:vAlign w:val="center"/>
            <w:hideMark/>
          </w:tcPr>
          <w:p w14:paraId="102B9EC9"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96189</w:t>
            </w:r>
          </w:p>
        </w:tc>
        <w:tc>
          <w:tcPr>
            <w:tcW w:w="763" w:type="dxa"/>
            <w:tcBorders>
              <w:top w:val="nil"/>
              <w:left w:val="nil"/>
              <w:bottom w:val="single" w:sz="4" w:space="0" w:color="auto"/>
              <w:right w:val="single" w:sz="4" w:space="0" w:color="auto"/>
            </w:tcBorders>
            <w:shd w:val="clear" w:color="000000" w:fill="FFFFFF"/>
            <w:noWrap/>
            <w:vAlign w:val="center"/>
            <w:hideMark/>
          </w:tcPr>
          <w:p w14:paraId="747734AC"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126814</w:t>
            </w:r>
          </w:p>
        </w:tc>
        <w:tc>
          <w:tcPr>
            <w:tcW w:w="864" w:type="dxa"/>
            <w:tcBorders>
              <w:top w:val="nil"/>
              <w:left w:val="nil"/>
              <w:bottom w:val="single" w:sz="4" w:space="0" w:color="auto"/>
              <w:right w:val="single" w:sz="4" w:space="0" w:color="auto"/>
            </w:tcBorders>
            <w:shd w:val="clear" w:color="000000" w:fill="FFFFFF"/>
            <w:noWrap/>
            <w:vAlign w:val="center"/>
            <w:hideMark/>
          </w:tcPr>
          <w:p w14:paraId="1C2C986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235771</w:t>
            </w:r>
          </w:p>
        </w:tc>
        <w:tc>
          <w:tcPr>
            <w:tcW w:w="763" w:type="dxa"/>
            <w:tcBorders>
              <w:top w:val="nil"/>
              <w:left w:val="nil"/>
              <w:bottom w:val="single" w:sz="4" w:space="0" w:color="auto"/>
              <w:right w:val="single" w:sz="4" w:space="0" w:color="auto"/>
            </w:tcBorders>
            <w:shd w:val="clear" w:color="000000" w:fill="FFFFFF"/>
            <w:noWrap/>
            <w:vAlign w:val="center"/>
            <w:hideMark/>
          </w:tcPr>
          <w:p w14:paraId="75DF933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102262</w:t>
            </w:r>
          </w:p>
        </w:tc>
        <w:tc>
          <w:tcPr>
            <w:tcW w:w="763" w:type="dxa"/>
            <w:tcBorders>
              <w:top w:val="nil"/>
              <w:left w:val="nil"/>
              <w:bottom w:val="single" w:sz="4" w:space="0" w:color="auto"/>
              <w:right w:val="single" w:sz="4" w:space="0" w:color="auto"/>
            </w:tcBorders>
            <w:shd w:val="clear" w:color="000000" w:fill="FFFFFF"/>
            <w:noWrap/>
            <w:vAlign w:val="center"/>
            <w:hideMark/>
          </w:tcPr>
          <w:p w14:paraId="1D20739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133509</w:t>
            </w:r>
          </w:p>
        </w:tc>
        <w:tc>
          <w:tcPr>
            <w:tcW w:w="864" w:type="dxa"/>
            <w:tcBorders>
              <w:top w:val="nil"/>
              <w:left w:val="nil"/>
              <w:bottom w:val="single" w:sz="4" w:space="0" w:color="auto"/>
              <w:right w:val="single" w:sz="4" w:space="0" w:color="auto"/>
            </w:tcBorders>
            <w:shd w:val="clear" w:color="000000" w:fill="FFFFFF"/>
            <w:noWrap/>
            <w:vAlign w:val="center"/>
            <w:hideMark/>
          </w:tcPr>
          <w:p w14:paraId="0100099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244757</w:t>
            </w:r>
          </w:p>
        </w:tc>
        <w:tc>
          <w:tcPr>
            <w:tcW w:w="763" w:type="dxa"/>
            <w:tcBorders>
              <w:top w:val="nil"/>
              <w:left w:val="nil"/>
              <w:bottom w:val="single" w:sz="4" w:space="0" w:color="auto"/>
              <w:right w:val="single" w:sz="4" w:space="0" w:color="auto"/>
            </w:tcBorders>
            <w:shd w:val="clear" w:color="000000" w:fill="FFFFFF"/>
            <w:noWrap/>
            <w:vAlign w:val="center"/>
            <w:hideMark/>
          </w:tcPr>
          <w:p w14:paraId="797D424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104932</w:t>
            </w:r>
          </w:p>
        </w:tc>
        <w:tc>
          <w:tcPr>
            <w:tcW w:w="763" w:type="dxa"/>
            <w:tcBorders>
              <w:top w:val="nil"/>
              <w:left w:val="nil"/>
              <w:bottom w:val="single" w:sz="4" w:space="0" w:color="auto"/>
              <w:right w:val="single" w:sz="4" w:space="0" w:color="auto"/>
            </w:tcBorders>
            <w:shd w:val="clear" w:color="000000" w:fill="FFFFFF"/>
            <w:noWrap/>
            <w:vAlign w:val="center"/>
            <w:hideMark/>
          </w:tcPr>
          <w:p w14:paraId="55651FEC"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139825</w:t>
            </w:r>
          </w:p>
        </w:tc>
        <w:tc>
          <w:tcPr>
            <w:tcW w:w="864" w:type="dxa"/>
            <w:tcBorders>
              <w:top w:val="nil"/>
              <w:left w:val="nil"/>
              <w:bottom w:val="single" w:sz="4" w:space="0" w:color="auto"/>
              <w:right w:val="single" w:sz="4" w:space="0" w:color="auto"/>
            </w:tcBorders>
            <w:shd w:val="clear" w:color="000000" w:fill="FFFFFF"/>
            <w:noWrap/>
            <w:vAlign w:val="center"/>
            <w:hideMark/>
          </w:tcPr>
          <w:p w14:paraId="23867CAC"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246864</w:t>
            </w:r>
          </w:p>
        </w:tc>
        <w:tc>
          <w:tcPr>
            <w:tcW w:w="763" w:type="dxa"/>
            <w:tcBorders>
              <w:top w:val="nil"/>
              <w:left w:val="nil"/>
              <w:bottom w:val="single" w:sz="4" w:space="0" w:color="auto"/>
              <w:right w:val="single" w:sz="4" w:space="0" w:color="auto"/>
            </w:tcBorders>
            <w:shd w:val="clear" w:color="000000" w:fill="FFFFFF"/>
            <w:noWrap/>
            <w:vAlign w:val="center"/>
            <w:hideMark/>
          </w:tcPr>
          <w:p w14:paraId="7969A773"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105976</w:t>
            </w:r>
          </w:p>
        </w:tc>
        <w:tc>
          <w:tcPr>
            <w:tcW w:w="763" w:type="dxa"/>
            <w:tcBorders>
              <w:top w:val="nil"/>
              <w:left w:val="nil"/>
              <w:bottom w:val="single" w:sz="4" w:space="0" w:color="auto"/>
              <w:right w:val="single" w:sz="4" w:space="0" w:color="auto"/>
            </w:tcBorders>
            <w:shd w:val="clear" w:color="000000" w:fill="FFFFFF"/>
            <w:noWrap/>
            <w:vAlign w:val="center"/>
            <w:hideMark/>
          </w:tcPr>
          <w:p w14:paraId="6549E63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140888</w:t>
            </w:r>
          </w:p>
        </w:tc>
      </w:tr>
      <w:tr w:rsidR="00321165" w:rsidRPr="00321165" w14:paraId="7A0D64DA" w14:textId="77777777" w:rsidTr="00321165">
        <w:trPr>
          <w:trHeight w:val="200"/>
        </w:trPr>
        <w:tc>
          <w:tcPr>
            <w:tcW w:w="1626" w:type="dxa"/>
            <w:tcBorders>
              <w:top w:val="nil"/>
              <w:left w:val="single" w:sz="4" w:space="0" w:color="auto"/>
              <w:bottom w:val="single" w:sz="4" w:space="0" w:color="auto"/>
              <w:right w:val="single" w:sz="4" w:space="0" w:color="auto"/>
            </w:tcBorders>
            <w:shd w:val="clear" w:color="000000" w:fill="FFFFFF"/>
            <w:noWrap/>
            <w:vAlign w:val="center"/>
            <w:hideMark/>
          </w:tcPr>
          <w:p w14:paraId="59E9F3E9"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Алатауский</w:t>
            </w:r>
          </w:p>
        </w:tc>
        <w:tc>
          <w:tcPr>
            <w:tcW w:w="864" w:type="dxa"/>
            <w:tcBorders>
              <w:top w:val="nil"/>
              <w:left w:val="nil"/>
              <w:bottom w:val="single" w:sz="4" w:space="0" w:color="auto"/>
              <w:right w:val="single" w:sz="4" w:space="0" w:color="auto"/>
            </w:tcBorders>
            <w:shd w:val="clear" w:color="000000" w:fill="FFFFFF"/>
            <w:noWrap/>
            <w:vAlign w:val="center"/>
            <w:hideMark/>
          </w:tcPr>
          <w:p w14:paraId="7F3F1E5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105170</w:t>
            </w:r>
          </w:p>
        </w:tc>
        <w:tc>
          <w:tcPr>
            <w:tcW w:w="763" w:type="dxa"/>
            <w:tcBorders>
              <w:top w:val="nil"/>
              <w:left w:val="nil"/>
              <w:bottom w:val="single" w:sz="4" w:space="0" w:color="auto"/>
              <w:right w:val="single" w:sz="4" w:space="0" w:color="auto"/>
            </w:tcBorders>
            <w:shd w:val="clear" w:color="000000" w:fill="FFFFFF"/>
            <w:noWrap/>
            <w:vAlign w:val="center"/>
            <w:hideMark/>
          </w:tcPr>
          <w:p w14:paraId="337CC521"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44833</w:t>
            </w:r>
          </w:p>
        </w:tc>
        <w:tc>
          <w:tcPr>
            <w:tcW w:w="763" w:type="dxa"/>
            <w:tcBorders>
              <w:top w:val="nil"/>
              <w:left w:val="nil"/>
              <w:bottom w:val="single" w:sz="4" w:space="0" w:color="auto"/>
              <w:right w:val="single" w:sz="4" w:space="0" w:color="auto"/>
            </w:tcBorders>
            <w:shd w:val="clear" w:color="000000" w:fill="FFFFFF"/>
            <w:noWrap/>
            <w:vAlign w:val="center"/>
            <w:hideMark/>
          </w:tcPr>
          <w:p w14:paraId="54A359D4"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60337</w:t>
            </w:r>
          </w:p>
        </w:tc>
        <w:tc>
          <w:tcPr>
            <w:tcW w:w="864" w:type="dxa"/>
            <w:tcBorders>
              <w:top w:val="nil"/>
              <w:left w:val="nil"/>
              <w:bottom w:val="single" w:sz="4" w:space="0" w:color="auto"/>
              <w:right w:val="single" w:sz="4" w:space="0" w:color="auto"/>
            </w:tcBorders>
            <w:shd w:val="clear" w:color="000000" w:fill="FFFFFF"/>
            <w:noWrap/>
            <w:vAlign w:val="center"/>
            <w:hideMark/>
          </w:tcPr>
          <w:p w14:paraId="19BA07D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130566</w:t>
            </w:r>
          </w:p>
        </w:tc>
        <w:tc>
          <w:tcPr>
            <w:tcW w:w="763" w:type="dxa"/>
            <w:tcBorders>
              <w:top w:val="nil"/>
              <w:left w:val="nil"/>
              <w:bottom w:val="single" w:sz="4" w:space="0" w:color="auto"/>
              <w:right w:val="single" w:sz="4" w:space="0" w:color="auto"/>
            </w:tcBorders>
            <w:shd w:val="clear" w:color="000000" w:fill="FFFFFF"/>
            <w:noWrap/>
            <w:vAlign w:val="center"/>
            <w:hideMark/>
          </w:tcPr>
          <w:p w14:paraId="10CC67B4"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60150</w:t>
            </w:r>
          </w:p>
        </w:tc>
        <w:tc>
          <w:tcPr>
            <w:tcW w:w="763" w:type="dxa"/>
            <w:tcBorders>
              <w:top w:val="nil"/>
              <w:left w:val="nil"/>
              <w:bottom w:val="single" w:sz="4" w:space="0" w:color="auto"/>
              <w:right w:val="single" w:sz="4" w:space="0" w:color="auto"/>
            </w:tcBorders>
            <w:shd w:val="clear" w:color="000000" w:fill="FFFFFF"/>
            <w:noWrap/>
            <w:vAlign w:val="center"/>
            <w:hideMark/>
          </w:tcPr>
          <w:p w14:paraId="0CB323A2"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70416</w:t>
            </w:r>
          </w:p>
        </w:tc>
        <w:tc>
          <w:tcPr>
            <w:tcW w:w="864" w:type="dxa"/>
            <w:tcBorders>
              <w:top w:val="nil"/>
              <w:left w:val="nil"/>
              <w:bottom w:val="single" w:sz="4" w:space="0" w:color="auto"/>
              <w:right w:val="single" w:sz="4" w:space="0" w:color="auto"/>
            </w:tcBorders>
            <w:shd w:val="clear" w:color="000000" w:fill="FFFFFF"/>
            <w:noWrap/>
            <w:vAlign w:val="center"/>
            <w:hideMark/>
          </w:tcPr>
          <w:p w14:paraId="4F6ABD04"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157883</w:t>
            </w:r>
          </w:p>
        </w:tc>
        <w:tc>
          <w:tcPr>
            <w:tcW w:w="763" w:type="dxa"/>
            <w:tcBorders>
              <w:top w:val="nil"/>
              <w:left w:val="nil"/>
              <w:bottom w:val="single" w:sz="4" w:space="0" w:color="auto"/>
              <w:right w:val="single" w:sz="4" w:space="0" w:color="auto"/>
            </w:tcBorders>
            <w:shd w:val="clear" w:color="000000" w:fill="FFFFFF"/>
            <w:noWrap/>
            <w:vAlign w:val="center"/>
            <w:hideMark/>
          </w:tcPr>
          <w:p w14:paraId="4CE22103"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73193</w:t>
            </w:r>
          </w:p>
        </w:tc>
        <w:tc>
          <w:tcPr>
            <w:tcW w:w="763" w:type="dxa"/>
            <w:tcBorders>
              <w:top w:val="nil"/>
              <w:left w:val="nil"/>
              <w:bottom w:val="single" w:sz="4" w:space="0" w:color="auto"/>
              <w:right w:val="single" w:sz="4" w:space="0" w:color="auto"/>
            </w:tcBorders>
            <w:shd w:val="clear" w:color="000000" w:fill="FFFFFF"/>
            <w:noWrap/>
            <w:vAlign w:val="center"/>
            <w:hideMark/>
          </w:tcPr>
          <w:p w14:paraId="1A1952C6"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84690</w:t>
            </w:r>
          </w:p>
        </w:tc>
        <w:tc>
          <w:tcPr>
            <w:tcW w:w="864" w:type="dxa"/>
            <w:tcBorders>
              <w:top w:val="nil"/>
              <w:left w:val="nil"/>
              <w:bottom w:val="single" w:sz="4" w:space="0" w:color="auto"/>
              <w:right w:val="single" w:sz="4" w:space="0" w:color="auto"/>
            </w:tcBorders>
            <w:shd w:val="clear" w:color="000000" w:fill="FFFFFF"/>
            <w:noWrap/>
            <w:vAlign w:val="center"/>
            <w:hideMark/>
          </w:tcPr>
          <w:p w14:paraId="588931D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178581</w:t>
            </w:r>
          </w:p>
        </w:tc>
        <w:tc>
          <w:tcPr>
            <w:tcW w:w="763" w:type="dxa"/>
            <w:tcBorders>
              <w:top w:val="nil"/>
              <w:left w:val="nil"/>
              <w:bottom w:val="single" w:sz="4" w:space="0" w:color="auto"/>
              <w:right w:val="single" w:sz="4" w:space="0" w:color="auto"/>
            </w:tcBorders>
            <w:shd w:val="clear" w:color="000000" w:fill="FFFFFF"/>
            <w:noWrap/>
            <w:vAlign w:val="center"/>
            <w:hideMark/>
          </w:tcPr>
          <w:p w14:paraId="224B1DD7"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83375</w:t>
            </w:r>
          </w:p>
        </w:tc>
        <w:tc>
          <w:tcPr>
            <w:tcW w:w="763" w:type="dxa"/>
            <w:tcBorders>
              <w:top w:val="nil"/>
              <w:left w:val="nil"/>
              <w:bottom w:val="single" w:sz="4" w:space="0" w:color="auto"/>
              <w:right w:val="single" w:sz="4" w:space="0" w:color="auto"/>
            </w:tcBorders>
            <w:shd w:val="clear" w:color="000000" w:fill="FFFFFF"/>
            <w:noWrap/>
            <w:vAlign w:val="center"/>
            <w:hideMark/>
          </w:tcPr>
          <w:p w14:paraId="36C4952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95206</w:t>
            </w:r>
          </w:p>
        </w:tc>
        <w:tc>
          <w:tcPr>
            <w:tcW w:w="864" w:type="dxa"/>
            <w:tcBorders>
              <w:top w:val="nil"/>
              <w:left w:val="nil"/>
              <w:bottom w:val="single" w:sz="4" w:space="0" w:color="auto"/>
              <w:right w:val="single" w:sz="4" w:space="0" w:color="auto"/>
            </w:tcBorders>
            <w:shd w:val="clear" w:color="000000" w:fill="FFFFFF"/>
            <w:noWrap/>
            <w:vAlign w:val="center"/>
            <w:hideMark/>
          </w:tcPr>
          <w:p w14:paraId="2E9BB18C"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196050</w:t>
            </w:r>
          </w:p>
        </w:tc>
        <w:tc>
          <w:tcPr>
            <w:tcW w:w="763" w:type="dxa"/>
            <w:tcBorders>
              <w:top w:val="nil"/>
              <w:left w:val="nil"/>
              <w:bottom w:val="single" w:sz="4" w:space="0" w:color="auto"/>
              <w:right w:val="single" w:sz="4" w:space="0" w:color="auto"/>
            </w:tcBorders>
            <w:shd w:val="clear" w:color="000000" w:fill="FFFFFF"/>
            <w:noWrap/>
            <w:vAlign w:val="center"/>
            <w:hideMark/>
          </w:tcPr>
          <w:p w14:paraId="25F7054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91283</w:t>
            </w:r>
          </w:p>
        </w:tc>
        <w:tc>
          <w:tcPr>
            <w:tcW w:w="763" w:type="dxa"/>
            <w:tcBorders>
              <w:top w:val="nil"/>
              <w:left w:val="nil"/>
              <w:bottom w:val="single" w:sz="4" w:space="0" w:color="auto"/>
              <w:right w:val="single" w:sz="4" w:space="0" w:color="auto"/>
            </w:tcBorders>
            <w:shd w:val="clear" w:color="000000" w:fill="FFFFFF"/>
            <w:noWrap/>
            <w:vAlign w:val="center"/>
            <w:hideMark/>
          </w:tcPr>
          <w:p w14:paraId="109332B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104767</w:t>
            </w:r>
          </w:p>
        </w:tc>
      </w:tr>
      <w:tr w:rsidR="00321165" w:rsidRPr="00321165" w14:paraId="42ADC23C" w14:textId="77777777" w:rsidTr="00321165">
        <w:trPr>
          <w:trHeight w:val="200"/>
        </w:trPr>
        <w:tc>
          <w:tcPr>
            <w:tcW w:w="1626" w:type="dxa"/>
            <w:tcBorders>
              <w:top w:val="nil"/>
              <w:left w:val="single" w:sz="4" w:space="0" w:color="auto"/>
              <w:bottom w:val="single" w:sz="4" w:space="0" w:color="auto"/>
              <w:right w:val="single" w:sz="4" w:space="0" w:color="auto"/>
            </w:tcBorders>
            <w:shd w:val="clear" w:color="000000" w:fill="FFFFFF"/>
            <w:noWrap/>
            <w:vAlign w:val="center"/>
            <w:hideMark/>
          </w:tcPr>
          <w:p w14:paraId="6EE2FF3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Ауэзовский</w:t>
            </w:r>
          </w:p>
        </w:tc>
        <w:tc>
          <w:tcPr>
            <w:tcW w:w="864" w:type="dxa"/>
            <w:tcBorders>
              <w:top w:val="nil"/>
              <w:left w:val="nil"/>
              <w:bottom w:val="single" w:sz="4" w:space="0" w:color="auto"/>
              <w:right w:val="single" w:sz="4" w:space="0" w:color="auto"/>
            </w:tcBorders>
            <w:shd w:val="clear" w:color="000000" w:fill="FFFFFF"/>
            <w:noWrap/>
            <w:vAlign w:val="center"/>
            <w:hideMark/>
          </w:tcPr>
          <w:p w14:paraId="1566FE10"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250003</w:t>
            </w:r>
          </w:p>
        </w:tc>
        <w:tc>
          <w:tcPr>
            <w:tcW w:w="763" w:type="dxa"/>
            <w:tcBorders>
              <w:top w:val="nil"/>
              <w:left w:val="nil"/>
              <w:bottom w:val="single" w:sz="4" w:space="0" w:color="auto"/>
              <w:right w:val="single" w:sz="4" w:space="0" w:color="auto"/>
            </w:tcBorders>
            <w:shd w:val="clear" w:color="000000" w:fill="FFFFFF"/>
            <w:noWrap/>
            <w:vAlign w:val="center"/>
            <w:hideMark/>
          </w:tcPr>
          <w:p w14:paraId="2B2D6E20"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106371</w:t>
            </w:r>
          </w:p>
        </w:tc>
        <w:tc>
          <w:tcPr>
            <w:tcW w:w="763" w:type="dxa"/>
            <w:tcBorders>
              <w:top w:val="nil"/>
              <w:left w:val="nil"/>
              <w:bottom w:val="single" w:sz="4" w:space="0" w:color="auto"/>
              <w:right w:val="single" w:sz="4" w:space="0" w:color="auto"/>
            </w:tcBorders>
            <w:shd w:val="clear" w:color="000000" w:fill="FFFFFF"/>
            <w:noWrap/>
            <w:vAlign w:val="center"/>
            <w:hideMark/>
          </w:tcPr>
          <w:p w14:paraId="08E691F4"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143632</w:t>
            </w:r>
          </w:p>
        </w:tc>
        <w:tc>
          <w:tcPr>
            <w:tcW w:w="864" w:type="dxa"/>
            <w:tcBorders>
              <w:top w:val="nil"/>
              <w:left w:val="nil"/>
              <w:bottom w:val="single" w:sz="4" w:space="0" w:color="auto"/>
              <w:right w:val="single" w:sz="4" w:space="0" w:color="auto"/>
            </w:tcBorders>
            <w:shd w:val="clear" w:color="000000" w:fill="FFFFFF"/>
            <w:noWrap/>
            <w:vAlign w:val="center"/>
            <w:hideMark/>
          </w:tcPr>
          <w:p w14:paraId="1079E654"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246736</w:t>
            </w:r>
          </w:p>
        </w:tc>
        <w:tc>
          <w:tcPr>
            <w:tcW w:w="763" w:type="dxa"/>
            <w:tcBorders>
              <w:top w:val="nil"/>
              <w:left w:val="nil"/>
              <w:bottom w:val="single" w:sz="4" w:space="0" w:color="auto"/>
              <w:right w:val="single" w:sz="4" w:space="0" w:color="auto"/>
            </w:tcBorders>
            <w:shd w:val="clear" w:color="000000" w:fill="FFFFFF"/>
            <w:noWrap/>
            <w:vAlign w:val="center"/>
            <w:hideMark/>
          </w:tcPr>
          <w:p w14:paraId="2F85F032"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105268</w:t>
            </w:r>
          </w:p>
        </w:tc>
        <w:tc>
          <w:tcPr>
            <w:tcW w:w="763" w:type="dxa"/>
            <w:tcBorders>
              <w:top w:val="nil"/>
              <w:left w:val="nil"/>
              <w:bottom w:val="single" w:sz="4" w:space="0" w:color="auto"/>
              <w:right w:val="single" w:sz="4" w:space="0" w:color="auto"/>
            </w:tcBorders>
            <w:shd w:val="clear" w:color="000000" w:fill="FFFFFF"/>
            <w:noWrap/>
            <w:vAlign w:val="center"/>
            <w:hideMark/>
          </w:tcPr>
          <w:p w14:paraId="405C732C"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141468</w:t>
            </w:r>
          </w:p>
        </w:tc>
        <w:tc>
          <w:tcPr>
            <w:tcW w:w="864" w:type="dxa"/>
            <w:tcBorders>
              <w:top w:val="nil"/>
              <w:left w:val="nil"/>
              <w:bottom w:val="single" w:sz="4" w:space="0" w:color="auto"/>
              <w:right w:val="single" w:sz="4" w:space="0" w:color="auto"/>
            </w:tcBorders>
            <w:shd w:val="clear" w:color="000000" w:fill="FFFFFF"/>
            <w:noWrap/>
            <w:vAlign w:val="center"/>
            <w:hideMark/>
          </w:tcPr>
          <w:p w14:paraId="35BB43F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287051</w:t>
            </w:r>
          </w:p>
        </w:tc>
        <w:tc>
          <w:tcPr>
            <w:tcW w:w="763" w:type="dxa"/>
            <w:tcBorders>
              <w:top w:val="nil"/>
              <w:left w:val="nil"/>
              <w:bottom w:val="single" w:sz="4" w:space="0" w:color="auto"/>
              <w:right w:val="single" w:sz="4" w:space="0" w:color="auto"/>
            </w:tcBorders>
            <w:shd w:val="clear" w:color="000000" w:fill="FFFFFF"/>
            <w:noWrap/>
            <w:vAlign w:val="center"/>
            <w:hideMark/>
          </w:tcPr>
          <w:p w14:paraId="6C2C150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123533</w:t>
            </w:r>
          </w:p>
        </w:tc>
        <w:tc>
          <w:tcPr>
            <w:tcW w:w="763" w:type="dxa"/>
            <w:tcBorders>
              <w:top w:val="nil"/>
              <w:left w:val="nil"/>
              <w:bottom w:val="single" w:sz="4" w:space="0" w:color="auto"/>
              <w:right w:val="single" w:sz="4" w:space="0" w:color="auto"/>
            </w:tcBorders>
            <w:shd w:val="clear" w:color="000000" w:fill="FFFFFF"/>
            <w:noWrap/>
            <w:vAlign w:val="center"/>
            <w:hideMark/>
          </w:tcPr>
          <w:p w14:paraId="7230933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163518</w:t>
            </w:r>
          </w:p>
        </w:tc>
        <w:tc>
          <w:tcPr>
            <w:tcW w:w="864" w:type="dxa"/>
            <w:tcBorders>
              <w:top w:val="nil"/>
              <w:left w:val="nil"/>
              <w:bottom w:val="single" w:sz="4" w:space="0" w:color="auto"/>
              <w:right w:val="single" w:sz="4" w:space="0" w:color="auto"/>
            </w:tcBorders>
            <w:shd w:val="clear" w:color="000000" w:fill="FFFFFF"/>
            <w:noWrap/>
            <w:vAlign w:val="center"/>
            <w:hideMark/>
          </w:tcPr>
          <w:p w14:paraId="4C8DDE15"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275097</w:t>
            </w:r>
          </w:p>
        </w:tc>
        <w:tc>
          <w:tcPr>
            <w:tcW w:w="763" w:type="dxa"/>
            <w:tcBorders>
              <w:top w:val="nil"/>
              <w:left w:val="nil"/>
              <w:bottom w:val="single" w:sz="4" w:space="0" w:color="auto"/>
              <w:right w:val="single" w:sz="4" w:space="0" w:color="auto"/>
            </w:tcBorders>
            <w:shd w:val="clear" w:color="000000" w:fill="FFFFFF"/>
            <w:noWrap/>
            <w:vAlign w:val="center"/>
            <w:hideMark/>
          </w:tcPr>
          <w:p w14:paraId="798DB1C1"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116943</w:t>
            </w:r>
          </w:p>
        </w:tc>
        <w:tc>
          <w:tcPr>
            <w:tcW w:w="763" w:type="dxa"/>
            <w:tcBorders>
              <w:top w:val="nil"/>
              <w:left w:val="nil"/>
              <w:bottom w:val="single" w:sz="4" w:space="0" w:color="auto"/>
              <w:right w:val="single" w:sz="4" w:space="0" w:color="auto"/>
            </w:tcBorders>
            <w:shd w:val="clear" w:color="000000" w:fill="FFFFFF"/>
            <w:noWrap/>
            <w:vAlign w:val="center"/>
            <w:hideMark/>
          </w:tcPr>
          <w:p w14:paraId="4BE9290E"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158154</w:t>
            </w:r>
          </w:p>
        </w:tc>
        <w:tc>
          <w:tcPr>
            <w:tcW w:w="864" w:type="dxa"/>
            <w:tcBorders>
              <w:top w:val="nil"/>
              <w:left w:val="nil"/>
              <w:bottom w:val="single" w:sz="4" w:space="0" w:color="auto"/>
              <w:right w:val="single" w:sz="4" w:space="0" w:color="auto"/>
            </w:tcBorders>
            <w:shd w:val="clear" w:color="000000" w:fill="FFFFFF"/>
            <w:noWrap/>
            <w:vAlign w:val="center"/>
            <w:hideMark/>
          </w:tcPr>
          <w:p w14:paraId="4AD8E650"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294660</w:t>
            </w:r>
          </w:p>
        </w:tc>
        <w:tc>
          <w:tcPr>
            <w:tcW w:w="763" w:type="dxa"/>
            <w:tcBorders>
              <w:top w:val="nil"/>
              <w:left w:val="nil"/>
              <w:bottom w:val="single" w:sz="4" w:space="0" w:color="auto"/>
              <w:right w:val="single" w:sz="4" w:space="0" w:color="auto"/>
            </w:tcBorders>
            <w:shd w:val="clear" w:color="000000" w:fill="FFFFFF"/>
            <w:noWrap/>
            <w:vAlign w:val="center"/>
            <w:hideMark/>
          </w:tcPr>
          <w:p w14:paraId="7E0857E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125482</w:t>
            </w:r>
          </w:p>
        </w:tc>
        <w:tc>
          <w:tcPr>
            <w:tcW w:w="763" w:type="dxa"/>
            <w:tcBorders>
              <w:top w:val="nil"/>
              <w:left w:val="nil"/>
              <w:bottom w:val="single" w:sz="4" w:space="0" w:color="auto"/>
              <w:right w:val="single" w:sz="4" w:space="0" w:color="auto"/>
            </w:tcBorders>
            <w:shd w:val="clear" w:color="000000" w:fill="FFFFFF"/>
            <w:noWrap/>
            <w:vAlign w:val="center"/>
            <w:hideMark/>
          </w:tcPr>
          <w:p w14:paraId="212279F7"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169178</w:t>
            </w:r>
          </w:p>
        </w:tc>
      </w:tr>
      <w:tr w:rsidR="00321165" w:rsidRPr="00321165" w14:paraId="1687C38E" w14:textId="77777777" w:rsidTr="00321165">
        <w:trPr>
          <w:trHeight w:val="200"/>
        </w:trPr>
        <w:tc>
          <w:tcPr>
            <w:tcW w:w="1626" w:type="dxa"/>
            <w:tcBorders>
              <w:top w:val="nil"/>
              <w:left w:val="single" w:sz="4" w:space="0" w:color="auto"/>
              <w:bottom w:val="single" w:sz="4" w:space="0" w:color="auto"/>
              <w:right w:val="single" w:sz="4" w:space="0" w:color="auto"/>
            </w:tcBorders>
            <w:shd w:val="clear" w:color="000000" w:fill="FFFFFF"/>
            <w:noWrap/>
            <w:vAlign w:val="center"/>
            <w:hideMark/>
          </w:tcPr>
          <w:p w14:paraId="1F0158E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Бостандыкский</w:t>
            </w:r>
          </w:p>
        </w:tc>
        <w:tc>
          <w:tcPr>
            <w:tcW w:w="864" w:type="dxa"/>
            <w:tcBorders>
              <w:top w:val="nil"/>
              <w:left w:val="nil"/>
              <w:bottom w:val="single" w:sz="4" w:space="0" w:color="auto"/>
              <w:right w:val="single" w:sz="4" w:space="0" w:color="auto"/>
            </w:tcBorders>
            <w:shd w:val="clear" w:color="000000" w:fill="FFFFFF"/>
            <w:noWrap/>
            <w:vAlign w:val="center"/>
            <w:hideMark/>
          </w:tcPr>
          <w:p w14:paraId="11BC7F5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305986</w:t>
            </w:r>
          </w:p>
        </w:tc>
        <w:tc>
          <w:tcPr>
            <w:tcW w:w="763" w:type="dxa"/>
            <w:tcBorders>
              <w:top w:val="nil"/>
              <w:left w:val="nil"/>
              <w:bottom w:val="single" w:sz="4" w:space="0" w:color="auto"/>
              <w:right w:val="single" w:sz="4" w:space="0" w:color="auto"/>
            </w:tcBorders>
            <w:shd w:val="clear" w:color="000000" w:fill="FFFFFF"/>
            <w:noWrap/>
            <w:vAlign w:val="center"/>
            <w:hideMark/>
          </w:tcPr>
          <w:p w14:paraId="076E1C41"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130394</w:t>
            </w:r>
          </w:p>
        </w:tc>
        <w:tc>
          <w:tcPr>
            <w:tcW w:w="763" w:type="dxa"/>
            <w:tcBorders>
              <w:top w:val="nil"/>
              <w:left w:val="nil"/>
              <w:bottom w:val="single" w:sz="4" w:space="0" w:color="auto"/>
              <w:right w:val="single" w:sz="4" w:space="0" w:color="auto"/>
            </w:tcBorders>
            <w:shd w:val="clear" w:color="000000" w:fill="FFFFFF"/>
            <w:noWrap/>
            <w:vAlign w:val="center"/>
            <w:hideMark/>
          </w:tcPr>
          <w:p w14:paraId="263E8F74"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175592</w:t>
            </w:r>
          </w:p>
        </w:tc>
        <w:tc>
          <w:tcPr>
            <w:tcW w:w="864" w:type="dxa"/>
            <w:tcBorders>
              <w:top w:val="nil"/>
              <w:left w:val="nil"/>
              <w:bottom w:val="single" w:sz="4" w:space="0" w:color="auto"/>
              <w:right w:val="single" w:sz="4" w:space="0" w:color="auto"/>
            </w:tcBorders>
            <w:shd w:val="clear" w:color="000000" w:fill="FFFFFF"/>
            <w:noWrap/>
            <w:vAlign w:val="center"/>
            <w:hideMark/>
          </w:tcPr>
          <w:p w14:paraId="49122490"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298465</w:t>
            </w:r>
          </w:p>
        </w:tc>
        <w:tc>
          <w:tcPr>
            <w:tcW w:w="763" w:type="dxa"/>
            <w:tcBorders>
              <w:top w:val="nil"/>
              <w:left w:val="nil"/>
              <w:bottom w:val="single" w:sz="4" w:space="0" w:color="auto"/>
              <w:right w:val="single" w:sz="4" w:space="0" w:color="auto"/>
            </w:tcBorders>
            <w:shd w:val="clear" w:color="000000" w:fill="FFFFFF"/>
            <w:noWrap/>
            <w:vAlign w:val="center"/>
            <w:hideMark/>
          </w:tcPr>
          <w:p w14:paraId="581196D5"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127703</w:t>
            </w:r>
          </w:p>
        </w:tc>
        <w:tc>
          <w:tcPr>
            <w:tcW w:w="763" w:type="dxa"/>
            <w:tcBorders>
              <w:top w:val="nil"/>
              <w:left w:val="nil"/>
              <w:bottom w:val="single" w:sz="4" w:space="0" w:color="auto"/>
              <w:right w:val="single" w:sz="4" w:space="0" w:color="auto"/>
            </w:tcBorders>
            <w:shd w:val="clear" w:color="000000" w:fill="FFFFFF"/>
            <w:noWrap/>
            <w:vAlign w:val="center"/>
            <w:hideMark/>
          </w:tcPr>
          <w:p w14:paraId="35D44026"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170762</w:t>
            </w:r>
          </w:p>
        </w:tc>
        <w:tc>
          <w:tcPr>
            <w:tcW w:w="864" w:type="dxa"/>
            <w:tcBorders>
              <w:top w:val="nil"/>
              <w:left w:val="nil"/>
              <w:bottom w:val="single" w:sz="4" w:space="0" w:color="auto"/>
              <w:right w:val="single" w:sz="4" w:space="0" w:color="auto"/>
            </w:tcBorders>
            <w:shd w:val="clear" w:color="000000" w:fill="FFFFFF"/>
            <w:noWrap/>
            <w:vAlign w:val="center"/>
            <w:hideMark/>
          </w:tcPr>
          <w:p w14:paraId="2AADB252"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345718</w:t>
            </w:r>
          </w:p>
        </w:tc>
        <w:tc>
          <w:tcPr>
            <w:tcW w:w="763" w:type="dxa"/>
            <w:tcBorders>
              <w:top w:val="nil"/>
              <w:left w:val="nil"/>
              <w:bottom w:val="single" w:sz="4" w:space="0" w:color="auto"/>
              <w:right w:val="single" w:sz="4" w:space="0" w:color="auto"/>
            </w:tcBorders>
            <w:shd w:val="clear" w:color="000000" w:fill="FFFFFF"/>
            <w:noWrap/>
            <w:vAlign w:val="center"/>
            <w:hideMark/>
          </w:tcPr>
          <w:p w14:paraId="649EB653"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150145</w:t>
            </w:r>
          </w:p>
        </w:tc>
        <w:tc>
          <w:tcPr>
            <w:tcW w:w="763" w:type="dxa"/>
            <w:tcBorders>
              <w:top w:val="nil"/>
              <w:left w:val="nil"/>
              <w:bottom w:val="single" w:sz="4" w:space="0" w:color="auto"/>
              <w:right w:val="single" w:sz="4" w:space="0" w:color="auto"/>
            </w:tcBorders>
            <w:shd w:val="clear" w:color="000000" w:fill="FFFFFF"/>
            <w:noWrap/>
            <w:vAlign w:val="center"/>
            <w:hideMark/>
          </w:tcPr>
          <w:p w14:paraId="37C57362"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195573</w:t>
            </w:r>
          </w:p>
        </w:tc>
        <w:tc>
          <w:tcPr>
            <w:tcW w:w="864" w:type="dxa"/>
            <w:tcBorders>
              <w:top w:val="nil"/>
              <w:left w:val="nil"/>
              <w:bottom w:val="single" w:sz="4" w:space="0" w:color="auto"/>
              <w:right w:val="single" w:sz="4" w:space="0" w:color="auto"/>
            </w:tcBorders>
            <w:shd w:val="clear" w:color="000000" w:fill="FFFFFF"/>
            <w:noWrap/>
            <w:vAlign w:val="center"/>
            <w:hideMark/>
          </w:tcPr>
          <w:p w14:paraId="2CE8394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314149</w:t>
            </w:r>
          </w:p>
        </w:tc>
        <w:tc>
          <w:tcPr>
            <w:tcW w:w="763" w:type="dxa"/>
            <w:tcBorders>
              <w:top w:val="nil"/>
              <w:left w:val="nil"/>
              <w:bottom w:val="single" w:sz="4" w:space="0" w:color="auto"/>
              <w:right w:val="single" w:sz="4" w:space="0" w:color="auto"/>
            </w:tcBorders>
            <w:shd w:val="clear" w:color="000000" w:fill="FFFFFF"/>
            <w:noWrap/>
            <w:vAlign w:val="center"/>
            <w:hideMark/>
          </w:tcPr>
          <w:p w14:paraId="63EA98A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135044</w:t>
            </w:r>
          </w:p>
        </w:tc>
        <w:tc>
          <w:tcPr>
            <w:tcW w:w="763" w:type="dxa"/>
            <w:tcBorders>
              <w:top w:val="nil"/>
              <w:left w:val="nil"/>
              <w:bottom w:val="single" w:sz="4" w:space="0" w:color="auto"/>
              <w:right w:val="single" w:sz="4" w:space="0" w:color="auto"/>
            </w:tcBorders>
            <w:shd w:val="clear" w:color="000000" w:fill="FFFFFF"/>
            <w:noWrap/>
            <w:vAlign w:val="center"/>
            <w:hideMark/>
          </w:tcPr>
          <w:p w14:paraId="39F05262"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179105</w:t>
            </w:r>
          </w:p>
        </w:tc>
        <w:tc>
          <w:tcPr>
            <w:tcW w:w="864" w:type="dxa"/>
            <w:tcBorders>
              <w:top w:val="nil"/>
              <w:left w:val="nil"/>
              <w:bottom w:val="single" w:sz="4" w:space="0" w:color="auto"/>
              <w:right w:val="single" w:sz="4" w:space="0" w:color="auto"/>
            </w:tcBorders>
            <w:shd w:val="clear" w:color="000000" w:fill="FFFFFF"/>
            <w:noWrap/>
            <w:vAlign w:val="center"/>
            <w:hideMark/>
          </w:tcPr>
          <w:p w14:paraId="53954727"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326072</w:t>
            </w:r>
          </w:p>
        </w:tc>
        <w:tc>
          <w:tcPr>
            <w:tcW w:w="763" w:type="dxa"/>
            <w:tcBorders>
              <w:top w:val="nil"/>
              <w:left w:val="nil"/>
              <w:bottom w:val="single" w:sz="4" w:space="0" w:color="auto"/>
              <w:right w:val="single" w:sz="4" w:space="0" w:color="auto"/>
            </w:tcBorders>
            <w:shd w:val="clear" w:color="000000" w:fill="FFFFFF"/>
            <w:noWrap/>
            <w:vAlign w:val="center"/>
            <w:hideMark/>
          </w:tcPr>
          <w:p w14:paraId="20D77CE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142004</w:t>
            </w:r>
          </w:p>
        </w:tc>
        <w:tc>
          <w:tcPr>
            <w:tcW w:w="763" w:type="dxa"/>
            <w:tcBorders>
              <w:top w:val="nil"/>
              <w:left w:val="nil"/>
              <w:bottom w:val="single" w:sz="4" w:space="0" w:color="auto"/>
              <w:right w:val="single" w:sz="4" w:space="0" w:color="auto"/>
            </w:tcBorders>
            <w:shd w:val="clear" w:color="000000" w:fill="FFFFFF"/>
            <w:noWrap/>
            <w:vAlign w:val="center"/>
            <w:hideMark/>
          </w:tcPr>
          <w:p w14:paraId="05E0A78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184068</w:t>
            </w:r>
          </w:p>
        </w:tc>
      </w:tr>
      <w:tr w:rsidR="00321165" w:rsidRPr="00321165" w14:paraId="2C150596" w14:textId="77777777" w:rsidTr="00321165">
        <w:trPr>
          <w:trHeight w:val="200"/>
        </w:trPr>
        <w:tc>
          <w:tcPr>
            <w:tcW w:w="1626" w:type="dxa"/>
            <w:tcBorders>
              <w:top w:val="nil"/>
              <w:left w:val="single" w:sz="4" w:space="0" w:color="auto"/>
              <w:bottom w:val="single" w:sz="4" w:space="0" w:color="auto"/>
              <w:right w:val="single" w:sz="4" w:space="0" w:color="auto"/>
            </w:tcBorders>
            <w:shd w:val="clear" w:color="000000" w:fill="FFFFFF"/>
            <w:noWrap/>
            <w:vAlign w:val="center"/>
            <w:hideMark/>
          </w:tcPr>
          <w:p w14:paraId="7165EC6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Жетысуский</w:t>
            </w:r>
          </w:p>
        </w:tc>
        <w:tc>
          <w:tcPr>
            <w:tcW w:w="864" w:type="dxa"/>
            <w:tcBorders>
              <w:top w:val="nil"/>
              <w:left w:val="nil"/>
              <w:bottom w:val="single" w:sz="4" w:space="0" w:color="auto"/>
              <w:right w:val="single" w:sz="4" w:space="0" w:color="auto"/>
            </w:tcBorders>
            <w:shd w:val="clear" w:color="000000" w:fill="FFFFFF"/>
            <w:noWrap/>
            <w:vAlign w:val="center"/>
            <w:hideMark/>
          </w:tcPr>
          <w:p w14:paraId="6E2C53F6"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152244</w:t>
            </w:r>
          </w:p>
        </w:tc>
        <w:tc>
          <w:tcPr>
            <w:tcW w:w="763" w:type="dxa"/>
            <w:tcBorders>
              <w:top w:val="nil"/>
              <w:left w:val="nil"/>
              <w:bottom w:val="single" w:sz="4" w:space="0" w:color="auto"/>
              <w:right w:val="single" w:sz="4" w:space="0" w:color="auto"/>
            </w:tcBorders>
            <w:shd w:val="clear" w:color="000000" w:fill="FFFFFF"/>
            <w:noWrap/>
            <w:vAlign w:val="center"/>
            <w:hideMark/>
          </w:tcPr>
          <w:p w14:paraId="359DE51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63790</w:t>
            </w:r>
          </w:p>
        </w:tc>
        <w:tc>
          <w:tcPr>
            <w:tcW w:w="763" w:type="dxa"/>
            <w:tcBorders>
              <w:top w:val="nil"/>
              <w:left w:val="nil"/>
              <w:bottom w:val="single" w:sz="4" w:space="0" w:color="auto"/>
              <w:right w:val="single" w:sz="4" w:space="0" w:color="auto"/>
            </w:tcBorders>
            <w:shd w:val="clear" w:color="000000" w:fill="FFFFFF"/>
            <w:noWrap/>
            <w:vAlign w:val="center"/>
            <w:hideMark/>
          </w:tcPr>
          <w:p w14:paraId="056ADD1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88454</w:t>
            </w:r>
          </w:p>
        </w:tc>
        <w:tc>
          <w:tcPr>
            <w:tcW w:w="864" w:type="dxa"/>
            <w:tcBorders>
              <w:top w:val="nil"/>
              <w:left w:val="nil"/>
              <w:bottom w:val="single" w:sz="4" w:space="0" w:color="auto"/>
              <w:right w:val="single" w:sz="4" w:space="0" w:color="auto"/>
            </w:tcBorders>
            <w:shd w:val="clear" w:color="000000" w:fill="FFFFFF"/>
            <w:noWrap/>
            <w:vAlign w:val="center"/>
            <w:hideMark/>
          </w:tcPr>
          <w:p w14:paraId="6FB1134C"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151258</w:t>
            </w:r>
          </w:p>
        </w:tc>
        <w:tc>
          <w:tcPr>
            <w:tcW w:w="763" w:type="dxa"/>
            <w:tcBorders>
              <w:top w:val="nil"/>
              <w:left w:val="nil"/>
              <w:bottom w:val="single" w:sz="4" w:space="0" w:color="auto"/>
              <w:right w:val="single" w:sz="4" w:space="0" w:color="auto"/>
            </w:tcBorders>
            <w:shd w:val="clear" w:color="000000" w:fill="FFFFFF"/>
            <w:noWrap/>
            <w:vAlign w:val="center"/>
            <w:hideMark/>
          </w:tcPr>
          <w:p w14:paraId="773E372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64500</w:t>
            </w:r>
          </w:p>
        </w:tc>
        <w:tc>
          <w:tcPr>
            <w:tcW w:w="763" w:type="dxa"/>
            <w:tcBorders>
              <w:top w:val="nil"/>
              <w:left w:val="nil"/>
              <w:bottom w:val="single" w:sz="4" w:space="0" w:color="auto"/>
              <w:right w:val="single" w:sz="4" w:space="0" w:color="auto"/>
            </w:tcBorders>
            <w:shd w:val="clear" w:color="000000" w:fill="FFFFFF"/>
            <w:noWrap/>
            <w:vAlign w:val="center"/>
            <w:hideMark/>
          </w:tcPr>
          <w:p w14:paraId="28D7C132"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86758</w:t>
            </w:r>
          </w:p>
        </w:tc>
        <w:tc>
          <w:tcPr>
            <w:tcW w:w="864" w:type="dxa"/>
            <w:tcBorders>
              <w:top w:val="nil"/>
              <w:left w:val="nil"/>
              <w:bottom w:val="single" w:sz="4" w:space="0" w:color="auto"/>
              <w:right w:val="single" w:sz="4" w:space="0" w:color="auto"/>
            </w:tcBorders>
            <w:shd w:val="clear" w:color="000000" w:fill="FFFFFF"/>
            <w:noWrap/>
            <w:vAlign w:val="center"/>
            <w:hideMark/>
          </w:tcPr>
          <w:p w14:paraId="781B5AC6"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164430</w:t>
            </w:r>
          </w:p>
        </w:tc>
        <w:tc>
          <w:tcPr>
            <w:tcW w:w="763" w:type="dxa"/>
            <w:tcBorders>
              <w:top w:val="nil"/>
              <w:left w:val="nil"/>
              <w:bottom w:val="single" w:sz="4" w:space="0" w:color="auto"/>
              <w:right w:val="single" w:sz="4" w:space="0" w:color="auto"/>
            </w:tcBorders>
            <w:shd w:val="clear" w:color="000000" w:fill="FFFFFF"/>
            <w:noWrap/>
            <w:vAlign w:val="center"/>
            <w:hideMark/>
          </w:tcPr>
          <w:p w14:paraId="4C76664C"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71014</w:t>
            </w:r>
          </w:p>
        </w:tc>
        <w:tc>
          <w:tcPr>
            <w:tcW w:w="763" w:type="dxa"/>
            <w:tcBorders>
              <w:top w:val="nil"/>
              <w:left w:val="nil"/>
              <w:bottom w:val="single" w:sz="4" w:space="0" w:color="auto"/>
              <w:right w:val="single" w:sz="4" w:space="0" w:color="auto"/>
            </w:tcBorders>
            <w:shd w:val="clear" w:color="000000" w:fill="FFFFFF"/>
            <w:noWrap/>
            <w:vAlign w:val="center"/>
            <w:hideMark/>
          </w:tcPr>
          <w:p w14:paraId="753F61E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93416</w:t>
            </w:r>
          </w:p>
        </w:tc>
        <w:tc>
          <w:tcPr>
            <w:tcW w:w="864" w:type="dxa"/>
            <w:tcBorders>
              <w:top w:val="nil"/>
              <w:left w:val="nil"/>
              <w:bottom w:val="single" w:sz="4" w:space="0" w:color="auto"/>
              <w:right w:val="single" w:sz="4" w:space="0" w:color="auto"/>
            </w:tcBorders>
            <w:shd w:val="clear" w:color="000000" w:fill="FFFFFF"/>
            <w:noWrap/>
            <w:vAlign w:val="center"/>
            <w:hideMark/>
          </w:tcPr>
          <w:p w14:paraId="1B9CA5A7"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166313</w:t>
            </w:r>
          </w:p>
        </w:tc>
        <w:tc>
          <w:tcPr>
            <w:tcW w:w="763" w:type="dxa"/>
            <w:tcBorders>
              <w:top w:val="nil"/>
              <w:left w:val="nil"/>
              <w:bottom w:val="single" w:sz="4" w:space="0" w:color="auto"/>
              <w:right w:val="single" w:sz="4" w:space="0" w:color="auto"/>
            </w:tcBorders>
            <w:shd w:val="clear" w:color="000000" w:fill="FFFFFF"/>
            <w:noWrap/>
            <w:vAlign w:val="center"/>
            <w:hideMark/>
          </w:tcPr>
          <w:p w14:paraId="638BC884"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73521</w:t>
            </w:r>
          </w:p>
        </w:tc>
        <w:tc>
          <w:tcPr>
            <w:tcW w:w="763" w:type="dxa"/>
            <w:tcBorders>
              <w:top w:val="nil"/>
              <w:left w:val="nil"/>
              <w:bottom w:val="single" w:sz="4" w:space="0" w:color="auto"/>
              <w:right w:val="single" w:sz="4" w:space="0" w:color="auto"/>
            </w:tcBorders>
            <w:shd w:val="clear" w:color="000000" w:fill="FFFFFF"/>
            <w:noWrap/>
            <w:vAlign w:val="center"/>
            <w:hideMark/>
          </w:tcPr>
          <w:p w14:paraId="0498496C"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92792</w:t>
            </w:r>
          </w:p>
        </w:tc>
        <w:tc>
          <w:tcPr>
            <w:tcW w:w="864" w:type="dxa"/>
            <w:tcBorders>
              <w:top w:val="nil"/>
              <w:left w:val="nil"/>
              <w:bottom w:val="single" w:sz="4" w:space="0" w:color="auto"/>
              <w:right w:val="single" w:sz="4" w:space="0" w:color="auto"/>
            </w:tcBorders>
            <w:shd w:val="clear" w:color="000000" w:fill="FFFFFF"/>
            <w:noWrap/>
            <w:vAlign w:val="center"/>
            <w:hideMark/>
          </w:tcPr>
          <w:p w14:paraId="61456310"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171801</w:t>
            </w:r>
          </w:p>
        </w:tc>
        <w:tc>
          <w:tcPr>
            <w:tcW w:w="763" w:type="dxa"/>
            <w:tcBorders>
              <w:top w:val="nil"/>
              <w:left w:val="nil"/>
              <w:bottom w:val="single" w:sz="4" w:space="0" w:color="auto"/>
              <w:right w:val="single" w:sz="4" w:space="0" w:color="auto"/>
            </w:tcBorders>
            <w:shd w:val="clear" w:color="000000" w:fill="FFFFFF"/>
            <w:noWrap/>
            <w:vAlign w:val="center"/>
            <w:hideMark/>
          </w:tcPr>
          <w:p w14:paraId="3DF64AC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75969</w:t>
            </w:r>
          </w:p>
        </w:tc>
        <w:tc>
          <w:tcPr>
            <w:tcW w:w="763" w:type="dxa"/>
            <w:tcBorders>
              <w:top w:val="nil"/>
              <w:left w:val="nil"/>
              <w:bottom w:val="single" w:sz="4" w:space="0" w:color="auto"/>
              <w:right w:val="single" w:sz="4" w:space="0" w:color="auto"/>
            </w:tcBorders>
            <w:shd w:val="clear" w:color="000000" w:fill="FFFFFF"/>
            <w:noWrap/>
            <w:vAlign w:val="center"/>
            <w:hideMark/>
          </w:tcPr>
          <w:p w14:paraId="2CA0B38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95832</w:t>
            </w:r>
          </w:p>
        </w:tc>
      </w:tr>
      <w:tr w:rsidR="00321165" w:rsidRPr="00321165" w14:paraId="24FF258B" w14:textId="77777777" w:rsidTr="00321165">
        <w:trPr>
          <w:trHeight w:val="200"/>
        </w:trPr>
        <w:tc>
          <w:tcPr>
            <w:tcW w:w="1626" w:type="dxa"/>
            <w:tcBorders>
              <w:top w:val="nil"/>
              <w:left w:val="single" w:sz="4" w:space="0" w:color="auto"/>
              <w:bottom w:val="single" w:sz="4" w:space="0" w:color="auto"/>
              <w:right w:val="single" w:sz="4" w:space="0" w:color="auto"/>
            </w:tcBorders>
            <w:shd w:val="clear" w:color="000000" w:fill="FFFFFF"/>
            <w:noWrap/>
            <w:vAlign w:val="center"/>
            <w:hideMark/>
          </w:tcPr>
          <w:p w14:paraId="3D840B6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Медеуский</w:t>
            </w:r>
          </w:p>
        </w:tc>
        <w:tc>
          <w:tcPr>
            <w:tcW w:w="864" w:type="dxa"/>
            <w:tcBorders>
              <w:top w:val="nil"/>
              <w:left w:val="nil"/>
              <w:bottom w:val="single" w:sz="4" w:space="0" w:color="auto"/>
              <w:right w:val="single" w:sz="4" w:space="0" w:color="auto"/>
            </w:tcBorders>
            <w:shd w:val="clear" w:color="000000" w:fill="FFFFFF"/>
            <w:noWrap/>
            <w:vAlign w:val="center"/>
            <w:hideMark/>
          </w:tcPr>
          <w:p w14:paraId="0DB66C4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173455</w:t>
            </w:r>
          </w:p>
        </w:tc>
        <w:tc>
          <w:tcPr>
            <w:tcW w:w="763" w:type="dxa"/>
            <w:tcBorders>
              <w:top w:val="nil"/>
              <w:left w:val="nil"/>
              <w:bottom w:val="single" w:sz="4" w:space="0" w:color="auto"/>
              <w:right w:val="single" w:sz="4" w:space="0" w:color="auto"/>
            </w:tcBorders>
            <w:shd w:val="clear" w:color="000000" w:fill="FFFFFF"/>
            <w:noWrap/>
            <w:vAlign w:val="center"/>
            <w:hideMark/>
          </w:tcPr>
          <w:p w14:paraId="2A657F72"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78166</w:t>
            </w:r>
          </w:p>
        </w:tc>
        <w:tc>
          <w:tcPr>
            <w:tcW w:w="763" w:type="dxa"/>
            <w:tcBorders>
              <w:top w:val="nil"/>
              <w:left w:val="nil"/>
              <w:bottom w:val="single" w:sz="4" w:space="0" w:color="auto"/>
              <w:right w:val="single" w:sz="4" w:space="0" w:color="auto"/>
            </w:tcBorders>
            <w:shd w:val="clear" w:color="000000" w:fill="FFFFFF"/>
            <w:noWrap/>
            <w:vAlign w:val="center"/>
            <w:hideMark/>
          </w:tcPr>
          <w:p w14:paraId="12D6F81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95289</w:t>
            </w:r>
          </w:p>
        </w:tc>
        <w:tc>
          <w:tcPr>
            <w:tcW w:w="864" w:type="dxa"/>
            <w:tcBorders>
              <w:top w:val="nil"/>
              <w:left w:val="nil"/>
              <w:bottom w:val="single" w:sz="4" w:space="0" w:color="auto"/>
              <w:right w:val="single" w:sz="4" w:space="0" w:color="auto"/>
            </w:tcBorders>
            <w:shd w:val="clear" w:color="000000" w:fill="FFFFFF"/>
            <w:noWrap/>
            <w:vAlign w:val="center"/>
            <w:hideMark/>
          </w:tcPr>
          <w:p w14:paraId="5BF8E66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177497</w:t>
            </w:r>
          </w:p>
        </w:tc>
        <w:tc>
          <w:tcPr>
            <w:tcW w:w="763" w:type="dxa"/>
            <w:tcBorders>
              <w:top w:val="nil"/>
              <w:left w:val="nil"/>
              <w:bottom w:val="single" w:sz="4" w:space="0" w:color="auto"/>
              <w:right w:val="single" w:sz="4" w:space="0" w:color="auto"/>
            </w:tcBorders>
            <w:shd w:val="clear" w:color="000000" w:fill="FFFFFF"/>
            <w:noWrap/>
            <w:vAlign w:val="center"/>
            <w:hideMark/>
          </w:tcPr>
          <w:p w14:paraId="76AC8311"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80073</w:t>
            </w:r>
          </w:p>
        </w:tc>
        <w:tc>
          <w:tcPr>
            <w:tcW w:w="763" w:type="dxa"/>
            <w:tcBorders>
              <w:top w:val="nil"/>
              <w:left w:val="nil"/>
              <w:bottom w:val="single" w:sz="4" w:space="0" w:color="auto"/>
              <w:right w:val="single" w:sz="4" w:space="0" w:color="auto"/>
            </w:tcBorders>
            <w:shd w:val="clear" w:color="000000" w:fill="FFFFFF"/>
            <w:noWrap/>
            <w:vAlign w:val="center"/>
            <w:hideMark/>
          </w:tcPr>
          <w:p w14:paraId="532D081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97424</w:t>
            </w:r>
          </w:p>
        </w:tc>
        <w:tc>
          <w:tcPr>
            <w:tcW w:w="864" w:type="dxa"/>
            <w:tcBorders>
              <w:top w:val="nil"/>
              <w:left w:val="nil"/>
              <w:bottom w:val="single" w:sz="4" w:space="0" w:color="auto"/>
              <w:right w:val="single" w:sz="4" w:space="0" w:color="auto"/>
            </w:tcBorders>
            <w:shd w:val="clear" w:color="000000" w:fill="FFFFFF"/>
            <w:noWrap/>
            <w:vAlign w:val="center"/>
            <w:hideMark/>
          </w:tcPr>
          <w:p w14:paraId="019CC110"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187100</w:t>
            </w:r>
          </w:p>
        </w:tc>
        <w:tc>
          <w:tcPr>
            <w:tcW w:w="763" w:type="dxa"/>
            <w:tcBorders>
              <w:top w:val="nil"/>
              <w:left w:val="nil"/>
              <w:bottom w:val="single" w:sz="4" w:space="0" w:color="auto"/>
              <w:right w:val="single" w:sz="4" w:space="0" w:color="auto"/>
            </w:tcBorders>
            <w:shd w:val="clear" w:color="000000" w:fill="FFFFFF"/>
            <w:noWrap/>
            <w:vAlign w:val="center"/>
            <w:hideMark/>
          </w:tcPr>
          <w:p w14:paraId="75A740B3"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83736</w:t>
            </w:r>
          </w:p>
        </w:tc>
        <w:tc>
          <w:tcPr>
            <w:tcW w:w="763" w:type="dxa"/>
            <w:tcBorders>
              <w:top w:val="nil"/>
              <w:left w:val="nil"/>
              <w:bottom w:val="single" w:sz="4" w:space="0" w:color="auto"/>
              <w:right w:val="single" w:sz="4" w:space="0" w:color="auto"/>
            </w:tcBorders>
            <w:shd w:val="clear" w:color="000000" w:fill="FFFFFF"/>
            <w:noWrap/>
            <w:vAlign w:val="center"/>
            <w:hideMark/>
          </w:tcPr>
          <w:p w14:paraId="2C6A1495"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103364</w:t>
            </w:r>
          </w:p>
        </w:tc>
        <w:tc>
          <w:tcPr>
            <w:tcW w:w="864" w:type="dxa"/>
            <w:tcBorders>
              <w:top w:val="nil"/>
              <w:left w:val="nil"/>
              <w:bottom w:val="single" w:sz="4" w:space="0" w:color="auto"/>
              <w:right w:val="single" w:sz="4" w:space="0" w:color="auto"/>
            </w:tcBorders>
            <w:shd w:val="clear" w:color="000000" w:fill="FFFFFF"/>
            <w:noWrap/>
            <w:vAlign w:val="center"/>
            <w:hideMark/>
          </w:tcPr>
          <w:p w14:paraId="7CA45963"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190 933</w:t>
            </w:r>
          </w:p>
        </w:tc>
        <w:tc>
          <w:tcPr>
            <w:tcW w:w="763" w:type="dxa"/>
            <w:tcBorders>
              <w:top w:val="nil"/>
              <w:left w:val="nil"/>
              <w:bottom w:val="single" w:sz="4" w:space="0" w:color="auto"/>
              <w:right w:val="single" w:sz="4" w:space="0" w:color="auto"/>
            </w:tcBorders>
            <w:shd w:val="clear" w:color="000000" w:fill="FFFFFF"/>
            <w:noWrap/>
            <w:vAlign w:val="center"/>
            <w:hideMark/>
          </w:tcPr>
          <w:p w14:paraId="4806332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84947</w:t>
            </w:r>
          </w:p>
        </w:tc>
        <w:tc>
          <w:tcPr>
            <w:tcW w:w="763" w:type="dxa"/>
            <w:tcBorders>
              <w:top w:val="nil"/>
              <w:left w:val="nil"/>
              <w:bottom w:val="single" w:sz="4" w:space="0" w:color="auto"/>
              <w:right w:val="single" w:sz="4" w:space="0" w:color="auto"/>
            </w:tcBorders>
            <w:shd w:val="clear" w:color="000000" w:fill="FFFFFF"/>
            <w:noWrap/>
            <w:vAlign w:val="center"/>
            <w:hideMark/>
          </w:tcPr>
          <w:p w14:paraId="30E6749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105986</w:t>
            </w:r>
          </w:p>
        </w:tc>
        <w:tc>
          <w:tcPr>
            <w:tcW w:w="864" w:type="dxa"/>
            <w:tcBorders>
              <w:top w:val="nil"/>
              <w:left w:val="nil"/>
              <w:bottom w:val="single" w:sz="4" w:space="0" w:color="auto"/>
              <w:right w:val="single" w:sz="4" w:space="0" w:color="auto"/>
            </w:tcBorders>
            <w:shd w:val="clear" w:color="000000" w:fill="FFFFFF"/>
            <w:noWrap/>
            <w:vAlign w:val="center"/>
            <w:hideMark/>
          </w:tcPr>
          <w:p w14:paraId="141432AE"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208163</w:t>
            </w:r>
          </w:p>
        </w:tc>
        <w:tc>
          <w:tcPr>
            <w:tcW w:w="763" w:type="dxa"/>
            <w:tcBorders>
              <w:top w:val="nil"/>
              <w:left w:val="nil"/>
              <w:bottom w:val="single" w:sz="4" w:space="0" w:color="auto"/>
              <w:right w:val="single" w:sz="4" w:space="0" w:color="auto"/>
            </w:tcBorders>
            <w:shd w:val="clear" w:color="000000" w:fill="FFFFFF"/>
            <w:noWrap/>
            <w:vAlign w:val="center"/>
            <w:hideMark/>
          </w:tcPr>
          <w:p w14:paraId="65E904E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92273</w:t>
            </w:r>
          </w:p>
        </w:tc>
        <w:tc>
          <w:tcPr>
            <w:tcW w:w="763" w:type="dxa"/>
            <w:tcBorders>
              <w:top w:val="nil"/>
              <w:left w:val="nil"/>
              <w:bottom w:val="single" w:sz="4" w:space="0" w:color="auto"/>
              <w:right w:val="single" w:sz="4" w:space="0" w:color="auto"/>
            </w:tcBorders>
            <w:shd w:val="clear" w:color="000000" w:fill="FFFFFF"/>
            <w:noWrap/>
            <w:vAlign w:val="center"/>
            <w:hideMark/>
          </w:tcPr>
          <w:p w14:paraId="376E7EB1"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115890</w:t>
            </w:r>
          </w:p>
        </w:tc>
      </w:tr>
      <w:tr w:rsidR="00321165" w:rsidRPr="00321165" w14:paraId="7AFADC46" w14:textId="77777777" w:rsidTr="00321165">
        <w:trPr>
          <w:trHeight w:val="200"/>
        </w:trPr>
        <w:tc>
          <w:tcPr>
            <w:tcW w:w="1626" w:type="dxa"/>
            <w:tcBorders>
              <w:top w:val="nil"/>
              <w:left w:val="single" w:sz="4" w:space="0" w:color="auto"/>
              <w:bottom w:val="single" w:sz="4" w:space="0" w:color="auto"/>
              <w:right w:val="single" w:sz="4" w:space="0" w:color="auto"/>
            </w:tcBorders>
            <w:shd w:val="clear" w:color="000000" w:fill="FFFFFF"/>
            <w:noWrap/>
            <w:vAlign w:val="center"/>
            <w:hideMark/>
          </w:tcPr>
          <w:p w14:paraId="6B5005C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Наурызбайский</w:t>
            </w:r>
          </w:p>
        </w:tc>
        <w:tc>
          <w:tcPr>
            <w:tcW w:w="864" w:type="dxa"/>
            <w:tcBorders>
              <w:top w:val="nil"/>
              <w:left w:val="nil"/>
              <w:bottom w:val="single" w:sz="4" w:space="0" w:color="auto"/>
              <w:right w:val="single" w:sz="4" w:space="0" w:color="auto"/>
            </w:tcBorders>
            <w:shd w:val="clear" w:color="000000" w:fill="FFFFFF"/>
            <w:noWrap/>
            <w:vAlign w:val="center"/>
            <w:hideMark/>
          </w:tcPr>
          <w:p w14:paraId="77FAC403"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нет</w:t>
            </w:r>
          </w:p>
        </w:tc>
        <w:tc>
          <w:tcPr>
            <w:tcW w:w="763" w:type="dxa"/>
            <w:tcBorders>
              <w:top w:val="nil"/>
              <w:left w:val="nil"/>
              <w:bottom w:val="single" w:sz="4" w:space="0" w:color="auto"/>
              <w:right w:val="single" w:sz="4" w:space="0" w:color="auto"/>
            </w:tcBorders>
            <w:shd w:val="clear" w:color="000000" w:fill="FFFFFF"/>
            <w:noWrap/>
            <w:vAlign w:val="center"/>
            <w:hideMark/>
          </w:tcPr>
          <w:p w14:paraId="6A3E98C1" w14:textId="77777777" w:rsidR="005B6AF9" w:rsidRPr="00321165" w:rsidRDefault="005B6AF9" w:rsidP="004135FE">
            <w:pPr>
              <w:spacing w:after="0" w:line="240" w:lineRule="auto"/>
              <w:rPr>
                <w:rFonts w:ascii="Times New Roman" w:eastAsia="Times New Roman" w:hAnsi="Times New Roman" w:cs="Times New Roman"/>
                <w:sz w:val="28"/>
                <w:szCs w:val="28"/>
              </w:rPr>
            </w:pPr>
          </w:p>
        </w:tc>
        <w:tc>
          <w:tcPr>
            <w:tcW w:w="763" w:type="dxa"/>
            <w:tcBorders>
              <w:top w:val="nil"/>
              <w:left w:val="nil"/>
              <w:bottom w:val="single" w:sz="4" w:space="0" w:color="auto"/>
              <w:right w:val="single" w:sz="4" w:space="0" w:color="auto"/>
            </w:tcBorders>
            <w:shd w:val="clear" w:color="000000" w:fill="FFFFFF"/>
            <w:noWrap/>
            <w:vAlign w:val="center"/>
            <w:hideMark/>
          </w:tcPr>
          <w:p w14:paraId="7E771314" w14:textId="77777777" w:rsidR="005B6AF9" w:rsidRPr="00321165" w:rsidRDefault="005B6AF9" w:rsidP="004135FE">
            <w:pPr>
              <w:spacing w:after="0" w:line="240" w:lineRule="auto"/>
              <w:rPr>
                <w:rFonts w:ascii="Times New Roman" w:eastAsia="Times New Roman" w:hAnsi="Times New Roman" w:cs="Times New Roman"/>
                <w:sz w:val="28"/>
                <w:szCs w:val="28"/>
              </w:rPr>
            </w:pPr>
          </w:p>
        </w:tc>
        <w:tc>
          <w:tcPr>
            <w:tcW w:w="864" w:type="dxa"/>
            <w:tcBorders>
              <w:top w:val="nil"/>
              <w:left w:val="nil"/>
              <w:bottom w:val="single" w:sz="4" w:space="0" w:color="auto"/>
              <w:right w:val="single" w:sz="4" w:space="0" w:color="auto"/>
            </w:tcBorders>
            <w:shd w:val="clear" w:color="000000" w:fill="FFFFFF"/>
            <w:noWrap/>
            <w:vAlign w:val="center"/>
            <w:hideMark/>
          </w:tcPr>
          <w:p w14:paraId="3923E6D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нет</w:t>
            </w:r>
          </w:p>
        </w:tc>
        <w:tc>
          <w:tcPr>
            <w:tcW w:w="763" w:type="dxa"/>
            <w:tcBorders>
              <w:top w:val="nil"/>
              <w:left w:val="nil"/>
              <w:bottom w:val="single" w:sz="4" w:space="0" w:color="auto"/>
              <w:right w:val="single" w:sz="4" w:space="0" w:color="auto"/>
            </w:tcBorders>
            <w:shd w:val="clear" w:color="000000" w:fill="FFFFFF"/>
            <w:noWrap/>
            <w:vAlign w:val="center"/>
            <w:hideMark/>
          </w:tcPr>
          <w:p w14:paraId="315BBA9F" w14:textId="77777777" w:rsidR="005B6AF9" w:rsidRPr="00321165" w:rsidRDefault="005B6AF9" w:rsidP="004135FE">
            <w:pPr>
              <w:spacing w:after="0" w:line="240" w:lineRule="auto"/>
              <w:rPr>
                <w:rFonts w:ascii="Times New Roman" w:eastAsia="Times New Roman" w:hAnsi="Times New Roman" w:cs="Times New Roman"/>
                <w:sz w:val="28"/>
                <w:szCs w:val="28"/>
              </w:rPr>
            </w:pPr>
          </w:p>
        </w:tc>
        <w:tc>
          <w:tcPr>
            <w:tcW w:w="763" w:type="dxa"/>
            <w:tcBorders>
              <w:top w:val="nil"/>
              <w:left w:val="nil"/>
              <w:bottom w:val="single" w:sz="4" w:space="0" w:color="auto"/>
              <w:right w:val="single" w:sz="4" w:space="0" w:color="auto"/>
            </w:tcBorders>
            <w:shd w:val="clear" w:color="000000" w:fill="FFFFFF"/>
            <w:noWrap/>
            <w:vAlign w:val="center"/>
            <w:hideMark/>
          </w:tcPr>
          <w:p w14:paraId="27132A8C" w14:textId="77777777" w:rsidR="005B6AF9" w:rsidRPr="00321165" w:rsidRDefault="005B6AF9" w:rsidP="004135FE">
            <w:pPr>
              <w:spacing w:after="0" w:line="240" w:lineRule="auto"/>
              <w:rPr>
                <w:rFonts w:ascii="Times New Roman" w:eastAsia="Times New Roman" w:hAnsi="Times New Roman" w:cs="Times New Roman"/>
                <w:sz w:val="28"/>
                <w:szCs w:val="28"/>
              </w:rPr>
            </w:pPr>
          </w:p>
        </w:tc>
        <w:tc>
          <w:tcPr>
            <w:tcW w:w="864" w:type="dxa"/>
            <w:tcBorders>
              <w:top w:val="nil"/>
              <w:left w:val="nil"/>
              <w:bottom w:val="single" w:sz="4" w:space="0" w:color="auto"/>
              <w:right w:val="single" w:sz="4" w:space="0" w:color="auto"/>
            </w:tcBorders>
            <w:shd w:val="clear" w:color="000000" w:fill="FFFFFF"/>
            <w:noWrap/>
            <w:vAlign w:val="center"/>
            <w:hideMark/>
          </w:tcPr>
          <w:p w14:paraId="25540CF6"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нет</w:t>
            </w:r>
          </w:p>
        </w:tc>
        <w:tc>
          <w:tcPr>
            <w:tcW w:w="763" w:type="dxa"/>
            <w:tcBorders>
              <w:top w:val="nil"/>
              <w:left w:val="nil"/>
              <w:bottom w:val="single" w:sz="4" w:space="0" w:color="auto"/>
              <w:right w:val="single" w:sz="4" w:space="0" w:color="auto"/>
            </w:tcBorders>
            <w:shd w:val="clear" w:color="000000" w:fill="FFFFFF"/>
            <w:noWrap/>
            <w:vAlign w:val="center"/>
            <w:hideMark/>
          </w:tcPr>
          <w:p w14:paraId="2481F383" w14:textId="77777777" w:rsidR="005B6AF9" w:rsidRPr="00321165" w:rsidRDefault="005B6AF9" w:rsidP="004135FE">
            <w:pPr>
              <w:spacing w:after="0" w:line="240" w:lineRule="auto"/>
              <w:rPr>
                <w:rFonts w:ascii="Times New Roman" w:eastAsia="Times New Roman" w:hAnsi="Times New Roman" w:cs="Times New Roman"/>
                <w:sz w:val="28"/>
                <w:szCs w:val="28"/>
              </w:rPr>
            </w:pPr>
          </w:p>
        </w:tc>
        <w:tc>
          <w:tcPr>
            <w:tcW w:w="763" w:type="dxa"/>
            <w:tcBorders>
              <w:top w:val="nil"/>
              <w:left w:val="nil"/>
              <w:bottom w:val="single" w:sz="4" w:space="0" w:color="auto"/>
              <w:right w:val="single" w:sz="4" w:space="0" w:color="auto"/>
            </w:tcBorders>
            <w:shd w:val="clear" w:color="000000" w:fill="FFFFFF"/>
            <w:noWrap/>
            <w:vAlign w:val="center"/>
            <w:hideMark/>
          </w:tcPr>
          <w:p w14:paraId="2867C0A2" w14:textId="77777777" w:rsidR="005B6AF9" w:rsidRPr="00321165" w:rsidRDefault="005B6AF9" w:rsidP="004135FE">
            <w:pPr>
              <w:spacing w:after="0" w:line="240" w:lineRule="auto"/>
              <w:rPr>
                <w:rFonts w:ascii="Times New Roman" w:eastAsia="Times New Roman" w:hAnsi="Times New Roman" w:cs="Times New Roman"/>
                <w:sz w:val="28"/>
                <w:szCs w:val="28"/>
              </w:rPr>
            </w:pPr>
          </w:p>
        </w:tc>
        <w:tc>
          <w:tcPr>
            <w:tcW w:w="864" w:type="dxa"/>
            <w:tcBorders>
              <w:top w:val="nil"/>
              <w:left w:val="nil"/>
              <w:bottom w:val="single" w:sz="4" w:space="0" w:color="auto"/>
              <w:right w:val="single" w:sz="4" w:space="0" w:color="auto"/>
            </w:tcBorders>
            <w:shd w:val="clear" w:color="000000" w:fill="FFFFFF"/>
            <w:noWrap/>
            <w:vAlign w:val="center"/>
            <w:hideMark/>
          </w:tcPr>
          <w:p w14:paraId="2F55CAB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46651</w:t>
            </w:r>
          </w:p>
        </w:tc>
        <w:tc>
          <w:tcPr>
            <w:tcW w:w="763" w:type="dxa"/>
            <w:tcBorders>
              <w:top w:val="nil"/>
              <w:left w:val="nil"/>
              <w:bottom w:val="single" w:sz="4" w:space="0" w:color="auto"/>
              <w:right w:val="single" w:sz="4" w:space="0" w:color="auto"/>
            </w:tcBorders>
            <w:shd w:val="clear" w:color="000000" w:fill="FFFFFF"/>
            <w:noWrap/>
            <w:vAlign w:val="center"/>
            <w:hideMark/>
          </w:tcPr>
          <w:p w14:paraId="094F7DDE"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22115</w:t>
            </w:r>
          </w:p>
        </w:tc>
        <w:tc>
          <w:tcPr>
            <w:tcW w:w="763" w:type="dxa"/>
            <w:tcBorders>
              <w:top w:val="nil"/>
              <w:left w:val="nil"/>
              <w:bottom w:val="single" w:sz="4" w:space="0" w:color="auto"/>
              <w:right w:val="single" w:sz="4" w:space="0" w:color="auto"/>
            </w:tcBorders>
            <w:shd w:val="clear" w:color="000000" w:fill="FFFFFF"/>
            <w:noWrap/>
            <w:vAlign w:val="center"/>
            <w:hideMark/>
          </w:tcPr>
          <w:p w14:paraId="499C72E2"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24536</w:t>
            </w:r>
          </w:p>
        </w:tc>
        <w:tc>
          <w:tcPr>
            <w:tcW w:w="864" w:type="dxa"/>
            <w:tcBorders>
              <w:top w:val="nil"/>
              <w:left w:val="nil"/>
              <w:bottom w:val="single" w:sz="4" w:space="0" w:color="auto"/>
              <w:right w:val="single" w:sz="4" w:space="0" w:color="auto"/>
            </w:tcBorders>
            <w:shd w:val="clear" w:color="000000" w:fill="FFFFFF"/>
            <w:noWrap/>
            <w:vAlign w:val="center"/>
            <w:hideMark/>
          </w:tcPr>
          <w:p w14:paraId="11F01BA6"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52110</w:t>
            </w:r>
          </w:p>
        </w:tc>
        <w:tc>
          <w:tcPr>
            <w:tcW w:w="763" w:type="dxa"/>
            <w:tcBorders>
              <w:top w:val="nil"/>
              <w:left w:val="nil"/>
              <w:bottom w:val="single" w:sz="4" w:space="0" w:color="auto"/>
              <w:right w:val="single" w:sz="4" w:space="0" w:color="auto"/>
            </w:tcBorders>
            <w:shd w:val="clear" w:color="000000" w:fill="FFFFFF"/>
            <w:noWrap/>
            <w:vAlign w:val="center"/>
            <w:hideMark/>
          </w:tcPr>
          <w:p w14:paraId="43617716"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24644</w:t>
            </w:r>
          </w:p>
        </w:tc>
        <w:tc>
          <w:tcPr>
            <w:tcW w:w="763" w:type="dxa"/>
            <w:tcBorders>
              <w:top w:val="nil"/>
              <w:left w:val="nil"/>
              <w:bottom w:val="single" w:sz="4" w:space="0" w:color="auto"/>
              <w:right w:val="single" w:sz="4" w:space="0" w:color="auto"/>
            </w:tcBorders>
            <w:shd w:val="clear" w:color="000000" w:fill="FFFFFF"/>
            <w:noWrap/>
            <w:vAlign w:val="center"/>
            <w:hideMark/>
          </w:tcPr>
          <w:p w14:paraId="0D226149"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27466</w:t>
            </w:r>
          </w:p>
        </w:tc>
      </w:tr>
      <w:tr w:rsidR="00321165" w:rsidRPr="00321165" w14:paraId="4F4A0C8C" w14:textId="77777777" w:rsidTr="00321165">
        <w:trPr>
          <w:trHeight w:val="200"/>
        </w:trPr>
        <w:tc>
          <w:tcPr>
            <w:tcW w:w="1626" w:type="dxa"/>
            <w:tcBorders>
              <w:top w:val="nil"/>
              <w:left w:val="single" w:sz="4" w:space="0" w:color="auto"/>
              <w:bottom w:val="single" w:sz="4" w:space="0" w:color="auto"/>
              <w:right w:val="single" w:sz="4" w:space="0" w:color="auto"/>
            </w:tcBorders>
            <w:shd w:val="clear" w:color="000000" w:fill="FFFFFF"/>
            <w:noWrap/>
            <w:vAlign w:val="center"/>
            <w:hideMark/>
          </w:tcPr>
          <w:p w14:paraId="04E15076"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Турксибский</w:t>
            </w:r>
          </w:p>
        </w:tc>
        <w:tc>
          <w:tcPr>
            <w:tcW w:w="864" w:type="dxa"/>
            <w:tcBorders>
              <w:top w:val="nil"/>
              <w:left w:val="nil"/>
              <w:bottom w:val="single" w:sz="4" w:space="0" w:color="auto"/>
              <w:right w:val="single" w:sz="4" w:space="0" w:color="auto"/>
            </w:tcBorders>
            <w:shd w:val="clear" w:color="000000" w:fill="FFFFFF"/>
            <w:noWrap/>
            <w:vAlign w:val="center"/>
            <w:hideMark/>
          </w:tcPr>
          <w:p w14:paraId="52D8690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172362</w:t>
            </w:r>
          </w:p>
        </w:tc>
        <w:tc>
          <w:tcPr>
            <w:tcW w:w="763" w:type="dxa"/>
            <w:tcBorders>
              <w:top w:val="nil"/>
              <w:left w:val="nil"/>
              <w:bottom w:val="single" w:sz="4" w:space="0" w:color="auto"/>
              <w:right w:val="single" w:sz="4" w:space="0" w:color="auto"/>
            </w:tcBorders>
            <w:shd w:val="clear" w:color="000000" w:fill="FFFFFF"/>
            <w:noWrap/>
            <w:vAlign w:val="center"/>
            <w:hideMark/>
          </w:tcPr>
          <w:p w14:paraId="5342FBA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75969</w:t>
            </w:r>
          </w:p>
        </w:tc>
        <w:tc>
          <w:tcPr>
            <w:tcW w:w="763" w:type="dxa"/>
            <w:tcBorders>
              <w:top w:val="nil"/>
              <w:left w:val="nil"/>
              <w:bottom w:val="single" w:sz="4" w:space="0" w:color="auto"/>
              <w:right w:val="single" w:sz="4" w:space="0" w:color="auto"/>
            </w:tcBorders>
            <w:shd w:val="clear" w:color="000000" w:fill="FFFFFF"/>
            <w:noWrap/>
            <w:vAlign w:val="center"/>
            <w:hideMark/>
          </w:tcPr>
          <w:p w14:paraId="4BBE0186"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96393</w:t>
            </w:r>
          </w:p>
        </w:tc>
        <w:tc>
          <w:tcPr>
            <w:tcW w:w="864" w:type="dxa"/>
            <w:tcBorders>
              <w:top w:val="nil"/>
              <w:left w:val="nil"/>
              <w:bottom w:val="single" w:sz="4" w:space="0" w:color="auto"/>
              <w:right w:val="single" w:sz="4" w:space="0" w:color="auto"/>
            </w:tcBorders>
            <w:shd w:val="clear" w:color="000000" w:fill="FFFFFF"/>
            <w:noWrap/>
            <w:vAlign w:val="center"/>
            <w:hideMark/>
          </w:tcPr>
          <w:p w14:paraId="534D5E2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186732</w:t>
            </w:r>
          </w:p>
        </w:tc>
        <w:tc>
          <w:tcPr>
            <w:tcW w:w="763" w:type="dxa"/>
            <w:tcBorders>
              <w:top w:val="nil"/>
              <w:left w:val="nil"/>
              <w:bottom w:val="single" w:sz="4" w:space="0" w:color="auto"/>
              <w:right w:val="single" w:sz="4" w:space="0" w:color="auto"/>
            </w:tcBorders>
            <w:shd w:val="clear" w:color="000000" w:fill="FFFFFF"/>
            <w:noWrap/>
            <w:vAlign w:val="center"/>
            <w:hideMark/>
          </w:tcPr>
          <w:p w14:paraId="5A22BEC9"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84106</w:t>
            </w:r>
          </w:p>
        </w:tc>
        <w:tc>
          <w:tcPr>
            <w:tcW w:w="763" w:type="dxa"/>
            <w:tcBorders>
              <w:top w:val="nil"/>
              <w:left w:val="nil"/>
              <w:bottom w:val="single" w:sz="4" w:space="0" w:color="auto"/>
              <w:right w:val="single" w:sz="4" w:space="0" w:color="auto"/>
            </w:tcBorders>
            <w:shd w:val="clear" w:color="000000" w:fill="FFFFFF"/>
            <w:noWrap/>
            <w:vAlign w:val="center"/>
            <w:hideMark/>
          </w:tcPr>
          <w:p w14:paraId="01FE0814"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102626</w:t>
            </w:r>
          </w:p>
        </w:tc>
        <w:tc>
          <w:tcPr>
            <w:tcW w:w="864" w:type="dxa"/>
            <w:tcBorders>
              <w:top w:val="nil"/>
              <w:left w:val="nil"/>
              <w:bottom w:val="single" w:sz="4" w:space="0" w:color="auto"/>
              <w:right w:val="single" w:sz="4" w:space="0" w:color="auto"/>
            </w:tcBorders>
            <w:shd w:val="clear" w:color="000000" w:fill="FFFFFF"/>
            <w:noWrap/>
            <w:vAlign w:val="center"/>
            <w:hideMark/>
          </w:tcPr>
          <w:p w14:paraId="09889FB1"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206138</w:t>
            </w:r>
          </w:p>
        </w:tc>
        <w:tc>
          <w:tcPr>
            <w:tcW w:w="763" w:type="dxa"/>
            <w:tcBorders>
              <w:top w:val="nil"/>
              <w:left w:val="nil"/>
              <w:bottom w:val="single" w:sz="4" w:space="0" w:color="auto"/>
              <w:right w:val="single" w:sz="4" w:space="0" w:color="auto"/>
            </w:tcBorders>
            <w:shd w:val="clear" w:color="000000" w:fill="FFFFFF"/>
            <w:noWrap/>
            <w:vAlign w:val="center"/>
            <w:hideMark/>
          </w:tcPr>
          <w:p w14:paraId="5962F429"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93572</w:t>
            </w:r>
          </w:p>
        </w:tc>
        <w:tc>
          <w:tcPr>
            <w:tcW w:w="763" w:type="dxa"/>
            <w:tcBorders>
              <w:top w:val="nil"/>
              <w:left w:val="nil"/>
              <w:bottom w:val="single" w:sz="4" w:space="0" w:color="auto"/>
              <w:right w:val="single" w:sz="4" w:space="0" w:color="auto"/>
            </w:tcBorders>
            <w:shd w:val="clear" w:color="000000" w:fill="FFFFFF"/>
            <w:noWrap/>
            <w:vAlign w:val="center"/>
            <w:hideMark/>
          </w:tcPr>
          <w:p w14:paraId="443DB5D5"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112566</w:t>
            </w:r>
          </w:p>
        </w:tc>
        <w:tc>
          <w:tcPr>
            <w:tcW w:w="864" w:type="dxa"/>
            <w:tcBorders>
              <w:top w:val="nil"/>
              <w:left w:val="nil"/>
              <w:bottom w:val="single" w:sz="4" w:space="0" w:color="auto"/>
              <w:right w:val="single" w:sz="4" w:space="0" w:color="auto"/>
            </w:tcBorders>
            <w:shd w:val="clear" w:color="000000" w:fill="FFFFFF"/>
            <w:noWrap/>
            <w:vAlign w:val="center"/>
            <w:hideMark/>
          </w:tcPr>
          <w:p w14:paraId="0E757AF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203329</w:t>
            </w:r>
          </w:p>
        </w:tc>
        <w:tc>
          <w:tcPr>
            <w:tcW w:w="763" w:type="dxa"/>
            <w:tcBorders>
              <w:top w:val="nil"/>
              <w:left w:val="nil"/>
              <w:bottom w:val="single" w:sz="4" w:space="0" w:color="auto"/>
              <w:right w:val="single" w:sz="4" w:space="0" w:color="auto"/>
            </w:tcBorders>
            <w:shd w:val="clear" w:color="000000" w:fill="FFFFFF"/>
            <w:noWrap/>
            <w:vAlign w:val="center"/>
            <w:hideMark/>
          </w:tcPr>
          <w:p w14:paraId="4BFBB76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91896</w:t>
            </w:r>
          </w:p>
        </w:tc>
        <w:tc>
          <w:tcPr>
            <w:tcW w:w="763" w:type="dxa"/>
            <w:tcBorders>
              <w:top w:val="nil"/>
              <w:left w:val="nil"/>
              <w:bottom w:val="single" w:sz="4" w:space="0" w:color="auto"/>
              <w:right w:val="single" w:sz="4" w:space="0" w:color="auto"/>
            </w:tcBorders>
            <w:shd w:val="clear" w:color="000000" w:fill="FFFFFF"/>
            <w:noWrap/>
            <w:vAlign w:val="center"/>
            <w:hideMark/>
          </w:tcPr>
          <w:p w14:paraId="12B83B3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111433</w:t>
            </w:r>
          </w:p>
        </w:tc>
        <w:tc>
          <w:tcPr>
            <w:tcW w:w="864" w:type="dxa"/>
            <w:tcBorders>
              <w:top w:val="nil"/>
              <w:left w:val="nil"/>
              <w:bottom w:val="single" w:sz="4" w:space="0" w:color="auto"/>
              <w:right w:val="single" w:sz="4" w:space="0" w:color="auto"/>
            </w:tcBorders>
            <w:shd w:val="clear" w:color="000000" w:fill="FFFFFF"/>
            <w:noWrap/>
            <w:vAlign w:val="center"/>
            <w:hideMark/>
          </w:tcPr>
          <w:p w14:paraId="40C59C47"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215181</w:t>
            </w:r>
          </w:p>
        </w:tc>
        <w:tc>
          <w:tcPr>
            <w:tcW w:w="763" w:type="dxa"/>
            <w:tcBorders>
              <w:top w:val="nil"/>
              <w:left w:val="nil"/>
              <w:bottom w:val="single" w:sz="4" w:space="0" w:color="auto"/>
              <w:right w:val="single" w:sz="4" w:space="0" w:color="auto"/>
            </w:tcBorders>
            <w:shd w:val="clear" w:color="000000" w:fill="FFFFFF"/>
            <w:noWrap/>
            <w:vAlign w:val="center"/>
            <w:hideMark/>
          </w:tcPr>
          <w:p w14:paraId="78093910"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98525</w:t>
            </w:r>
          </w:p>
        </w:tc>
        <w:tc>
          <w:tcPr>
            <w:tcW w:w="763" w:type="dxa"/>
            <w:tcBorders>
              <w:top w:val="nil"/>
              <w:left w:val="nil"/>
              <w:bottom w:val="single" w:sz="4" w:space="0" w:color="auto"/>
              <w:right w:val="single" w:sz="4" w:space="0" w:color="auto"/>
            </w:tcBorders>
            <w:shd w:val="clear" w:color="000000" w:fill="FFFFFF"/>
            <w:noWrap/>
            <w:vAlign w:val="center"/>
            <w:hideMark/>
          </w:tcPr>
          <w:p w14:paraId="14DF22E3"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116656</w:t>
            </w:r>
          </w:p>
        </w:tc>
      </w:tr>
      <w:tr w:rsidR="00321165" w:rsidRPr="00321165" w14:paraId="3BE776A3" w14:textId="77777777" w:rsidTr="00321165">
        <w:trPr>
          <w:trHeight w:val="200"/>
        </w:trPr>
        <w:tc>
          <w:tcPr>
            <w:tcW w:w="1626" w:type="dxa"/>
            <w:tcBorders>
              <w:top w:val="nil"/>
              <w:left w:val="single" w:sz="4" w:space="0" w:color="auto"/>
              <w:bottom w:val="single" w:sz="4" w:space="0" w:color="auto"/>
              <w:right w:val="single" w:sz="4" w:space="0" w:color="auto"/>
            </w:tcBorders>
            <w:shd w:val="clear" w:color="000000" w:fill="FFFFFF"/>
            <w:noWrap/>
            <w:vAlign w:val="center"/>
            <w:hideMark/>
          </w:tcPr>
          <w:p w14:paraId="66D0258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ИТОГО</w:t>
            </w:r>
          </w:p>
        </w:tc>
        <w:tc>
          <w:tcPr>
            <w:tcW w:w="864" w:type="dxa"/>
            <w:tcBorders>
              <w:top w:val="nil"/>
              <w:left w:val="nil"/>
              <w:bottom w:val="single" w:sz="4" w:space="0" w:color="auto"/>
              <w:right w:val="single" w:sz="4" w:space="0" w:color="auto"/>
            </w:tcBorders>
            <w:shd w:val="clear" w:color="000000" w:fill="FFFFFF"/>
            <w:noWrap/>
            <w:vAlign w:val="center"/>
            <w:hideMark/>
          </w:tcPr>
          <w:p w14:paraId="5A3CC7F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1391284</w:t>
            </w:r>
          </w:p>
        </w:tc>
        <w:tc>
          <w:tcPr>
            <w:tcW w:w="763" w:type="dxa"/>
            <w:tcBorders>
              <w:top w:val="nil"/>
              <w:left w:val="nil"/>
              <w:bottom w:val="single" w:sz="4" w:space="0" w:color="auto"/>
              <w:right w:val="single" w:sz="4" w:space="0" w:color="auto"/>
            </w:tcBorders>
            <w:shd w:val="clear" w:color="000000" w:fill="FFFFFF"/>
            <w:noWrap/>
            <w:vAlign w:val="center"/>
            <w:hideMark/>
          </w:tcPr>
          <w:p w14:paraId="68D04EB5"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601512</w:t>
            </w:r>
          </w:p>
        </w:tc>
        <w:tc>
          <w:tcPr>
            <w:tcW w:w="763" w:type="dxa"/>
            <w:tcBorders>
              <w:top w:val="nil"/>
              <w:left w:val="nil"/>
              <w:bottom w:val="single" w:sz="4" w:space="0" w:color="auto"/>
              <w:right w:val="single" w:sz="4" w:space="0" w:color="auto"/>
            </w:tcBorders>
            <w:shd w:val="clear" w:color="000000" w:fill="FFFFFF"/>
            <w:noWrap/>
            <w:vAlign w:val="center"/>
            <w:hideMark/>
          </w:tcPr>
          <w:p w14:paraId="1A6858E3"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789772</w:t>
            </w:r>
          </w:p>
        </w:tc>
        <w:tc>
          <w:tcPr>
            <w:tcW w:w="864" w:type="dxa"/>
            <w:tcBorders>
              <w:top w:val="nil"/>
              <w:left w:val="nil"/>
              <w:bottom w:val="single" w:sz="4" w:space="0" w:color="auto"/>
              <w:right w:val="single" w:sz="4" w:space="0" w:color="auto"/>
            </w:tcBorders>
            <w:shd w:val="clear" w:color="000000" w:fill="FFFFFF"/>
            <w:vAlign w:val="center"/>
            <w:hideMark/>
          </w:tcPr>
          <w:p w14:paraId="3026BBD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1414257</w:t>
            </w:r>
          </w:p>
        </w:tc>
        <w:tc>
          <w:tcPr>
            <w:tcW w:w="763" w:type="dxa"/>
            <w:tcBorders>
              <w:top w:val="nil"/>
              <w:left w:val="nil"/>
              <w:bottom w:val="single" w:sz="4" w:space="0" w:color="auto"/>
              <w:right w:val="single" w:sz="4" w:space="0" w:color="auto"/>
            </w:tcBorders>
            <w:shd w:val="clear" w:color="000000" w:fill="FFFFFF"/>
            <w:vAlign w:val="center"/>
            <w:hideMark/>
          </w:tcPr>
          <w:p w14:paraId="59018DA9"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617989</w:t>
            </w:r>
          </w:p>
        </w:tc>
        <w:tc>
          <w:tcPr>
            <w:tcW w:w="763" w:type="dxa"/>
            <w:tcBorders>
              <w:top w:val="nil"/>
              <w:left w:val="nil"/>
              <w:bottom w:val="single" w:sz="4" w:space="0" w:color="auto"/>
              <w:right w:val="single" w:sz="4" w:space="0" w:color="auto"/>
            </w:tcBorders>
            <w:shd w:val="clear" w:color="000000" w:fill="FFFFFF"/>
            <w:vAlign w:val="center"/>
            <w:hideMark/>
          </w:tcPr>
          <w:p w14:paraId="2BA462B7"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796268</w:t>
            </w:r>
          </w:p>
        </w:tc>
        <w:tc>
          <w:tcPr>
            <w:tcW w:w="864" w:type="dxa"/>
            <w:tcBorders>
              <w:top w:val="nil"/>
              <w:left w:val="nil"/>
              <w:bottom w:val="single" w:sz="4" w:space="0" w:color="auto"/>
              <w:right w:val="single" w:sz="4" w:space="0" w:color="auto"/>
            </w:tcBorders>
            <w:shd w:val="clear" w:color="000000" w:fill="FFFFFF"/>
            <w:vAlign w:val="center"/>
            <w:hideMark/>
          </w:tcPr>
          <w:p w14:paraId="5C6BC38C"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1584091</w:t>
            </w:r>
          </w:p>
        </w:tc>
        <w:tc>
          <w:tcPr>
            <w:tcW w:w="763" w:type="dxa"/>
            <w:tcBorders>
              <w:top w:val="nil"/>
              <w:left w:val="nil"/>
              <w:bottom w:val="single" w:sz="4" w:space="0" w:color="auto"/>
              <w:right w:val="single" w:sz="4" w:space="0" w:color="auto"/>
            </w:tcBorders>
            <w:shd w:val="clear" w:color="000000" w:fill="FFFFFF"/>
            <w:vAlign w:val="center"/>
            <w:hideMark/>
          </w:tcPr>
          <w:p w14:paraId="2D39AD20"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697455</w:t>
            </w:r>
          </w:p>
        </w:tc>
        <w:tc>
          <w:tcPr>
            <w:tcW w:w="763" w:type="dxa"/>
            <w:tcBorders>
              <w:top w:val="nil"/>
              <w:left w:val="nil"/>
              <w:bottom w:val="single" w:sz="4" w:space="0" w:color="auto"/>
              <w:right w:val="single" w:sz="4" w:space="0" w:color="auto"/>
            </w:tcBorders>
            <w:shd w:val="clear" w:color="000000" w:fill="FFFFFF"/>
            <w:vAlign w:val="center"/>
            <w:hideMark/>
          </w:tcPr>
          <w:p w14:paraId="18B3613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88 636</w:t>
            </w:r>
          </w:p>
        </w:tc>
        <w:tc>
          <w:tcPr>
            <w:tcW w:w="864" w:type="dxa"/>
            <w:tcBorders>
              <w:top w:val="nil"/>
              <w:left w:val="nil"/>
              <w:bottom w:val="single" w:sz="4" w:space="0" w:color="auto"/>
              <w:right w:val="single" w:sz="4" w:space="0" w:color="auto"/>
            </w:tcBorders>
            <w:shd w:val="clear" w:color="000000" w:fill="FFFFFF"/>
            <w:vAlign w:val="center"/>
            <w:hideMark/>
          </w:tcPr>
          <w:p w14:paraId="34A65F57"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1619810</w:t>
            </w:r>
          </w:p>
        </w:tc>
        <w:tc>
          <w:tcPr>
            <w:tcW w:w="763" w:type="dxa"/>
            <w:tcBorders>
              <w:top w:val="nil"/>
              <w:left w:val="nil"/>
              <w:bottom w:val="single" w:sz="4" w:space="0" w:color="auto"/>
              <w:right w:val="single" w:sz="4" w:space="0" w:color="auto"/>
            </w:tcBorders>
            <w:shd w:val="clear" w:color="000000" w:fill="FFFFFF"/>
            <w:vAlign w:val="center"/>
            <w:hideMark/>
          </w:tcPr>
          <w:p w14:paraId="6DA461F2"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712773</w:t>
            </w:r>
          </w:p>
        </w:tc>
        <w:tc>
          <w:tcPr>
            <w:tcW w:w="763" w:type="dxa"/>
            <w:tcBorders>
              <w:top w:val="nil"/>
              <w:left w:val="nil"/>
              <w:bottom w:val="single" w:sz="4" w:space="0" w:color="auto"/>
              <w:right w:val="single" w:sz="4" w:space="0" w:color="auto"/>
            </w:tcBorders>
            <w:shd w:val="clear" w:color="000000" w:fill="FFFFFF"/>
            <w:vAlign w:val="center"/>
            <w:hideMark/>
          </w:tcPr>
          <w:p w14:paraId="564E7CD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907037</w:t>
            </w:r>
          </w:p>
        </w:tc>
        <w:tc>
          <w:tcPr>
            <w:tcW w:w="864" w:type="dxa"/>
            <w:tcBorders>
              <w:top w:val="nil"/>
              <w:left w:val="nil"/>
              <w:bottom w:val="single" w:sz="4" w:space="0" w:color="auto"/>
              <w:right w:val="single" w:sz="4" w:space="0" w:color="auto"/>
            </w:tcBorders>
            <w:shd w:val="clear" w:color="000000" w:fill="FFFFFF"/>
            <w:vAlign w:val="center"/>
            <w:hideMark/>
          </w:tcPr>
          <w:p w14:paraId="1C18551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1710901</w:t>
            </w:r>
          </w:p>
        </w:tc>
        <w:tc>
          <w:tcPr>
            <w:tcW w:w="763" w:type="dxa"/>
            <w:tcBorders>
              <w:top w:val="nil"/>
              <w:left w:val="nil"/>
              <w:bottom w:val="single" w:sz="4" w:space="0" w:color="auto"/>
              <w:right w:val="single" w:sz="4" w:space="0" w:color="auto"/>
            </w:tcBorders>
            <w:shd w:val="clear" w:color="000000" w:fill="FFFFFF"/>
            <w:vAlign w:val="center"/>
            <w:hideMark/>
          </w:tcPr>
          <w:p w14:paraId="6C853F66"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756 156</w:t>
            </w:r>
          </w:p>
        </w:tc>
        <w:tc>
          <w:tcPr>
            <w:tcW w:w="763" w:type="dxa"/>
            <w:tcBorders>
              <w:top w:val="nil"/>
              <w:left w:val="nil"/>
              <w:bottom w:val="single" w:sz="4" w:space="0" w:color="auto"/>
              <w:right w:val="single" w:sz="4" w:space="0" w:color="auto"/>
            </w:tcBorders>
            <w:shd w:val="clear" w:color="000000" w:fill="FFFFFF"/>
            <w:vAlign w:val="center"/>
            <w:hideMark/>
          </w:tcPr>
          <w:p w14:paraId="4EDE2969"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954 745</w:t>
            </w:r>
          </w:p>
        </w:tc>
      </w:tr>
    </w:tbl>
    <w:p w14:paraId="39BF2EB8" w14:textId="77777777" w:rsidR="005B6AF9" w:rsidRPr="004135FE" w:rsidRDefault="005B6AF9" w:rsidP="004135FE">
      <w:pPr>
        <w:spacing w:after="0" w:line="240" w:lineRule="auto"/>
        <w:rPr>
          <w:rFonts w:ascii="Times New Roman" w:hAnsi="Times New Roman" w:cs="Times New Roman"/>
          <w:sz w:val="28"/>
          <w:szCs w:val="28"/>
        </w:rPr>
      </w:pPr>
    </w:p>
    <w:p w14:paraId="0E10913B" w14:textId="77777777" w:rsidR="00321165" w:rsidRDefault="00321165" w:rsidP="004135FE">
      <w:pPr>
        <w:spacing w:after="0" w:line="240" w:lineRule="auto"/>
        <w:rPr>
          <w:rFonts w:ascii="Times New Roman" w:hAnsi="Times New Roman" w:cs="Times New Roman"/>
          <w:sz w:val="28"/>
          <w:szCs w:val="28"/>
        </w:rPr>
      </w:pPr>
    </w:p>
    <w:p w14:paraId="18D89F77" w14:textId="77777777" w:rsidR="00321165" w:rsidRDefault="00321165" w:rsidP="004135FE">
      <w:pPr>
        <w:spacing w:after="0" w:line="240" w:lineRule="auto"/>
        <w:rPr>
          <w:rFonts w:ascii="Times New Roman" w:hAnsi="Times New Roman" w:cs="Times New Roman"/>
          <w:sz w:val="28"/>
          <w:szCs w:val="28"/>
        </w:rPr>
      </w:pPr>
    </w:p>
    <w:p w14:paraId="123F9E61" w14:textId="77777777" w:rsidR="00321165" w:rsidRDefault="00321165" w:rsidP="004135FE">
      <w:pPr>
        <w:spacing w:after="0" w:line="240" w:lineRule="auto"/>
        <w:rPr>
          <w:rFonts w:ascii="Times New Roman" w:hAnsi="Times New Roman" w:cs="Times New Roman"/>
          <w:sz w:val="28"/>
          <w:szCs w:val="28"/>
        </w:rPr>
      </w:pPr>
    </w:p>
    <w:p w14:paraId="76702B12" w14:textId="50435C4E" w:rsidR="005B6AF9" w:rsidRPr="004135FE" w:rsidRDefault="005B6AF9"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Продолжение таблицы</w:t>
      </w:r>
      <w:r w:rsidR="00321165">
        <w:rPr>
          <w:rFonts w:ascii="Times New Roman" w:hAnsi="Times New Roman" w:cs="Times New Roman"/>
          <w:sz w:val="28"/>
          <w:szCs w:val="28"/>
        </w:rPr>
        <w:t xml:space="preserve"> А1</w:t>
      </w:r>
    </w:p>
    <w:p w14:paraId="483156C3" w14:textId="77777777" w:rsidR="005B6AF9" w:rsidRPr="004135FE" w:rsidRDefault="005B6AF9" w:rsidP="004135FE">
      <w:pPr>
        <w:spacing w:after="0" w:line="240" w:lineRule="auto"/>
        <w:rPr>
          <w:rFonts w:ascii="Times New Roman" w:hAnsi="Times New Roman" w:cs="Times New Roman"/>
          <w:sz w:val="28"/>
          <w:szCs w:val="28"/>
        </w:rPr>
      </w:pPr>
    </w:p>
    <w:tbl>
      <w:tblPr>
        <w:tblW w:w="14228" w:type="dxa"/>
        <w:tblLook w:val="04A0" w:firstRow="1" w:lastRow="0" w:firstColumn="1" w:lastColumn="0" w:noHBand="0" w:noVBand="1"/>
      </w:tblPr>
      <w:tblGrid>
        <w:gridCol w:w="1480"/>
        <w:gridCol w:w="874"/>
        <w:gridCol w:w="781"/>
        <w:gridCol w:w="875"/>
        <w:gridCol w:w="875"/>
        <w:gridCol w:w="781"/>
        <w:gridCol w:w="788"/>
        <w:gridCol w:w="158"/>
        <w:gridCol w:w="875"/>
        <w:gridCol w:w="781"/>
        <w:gridCol w:w="840"/>
        <w:gridCol w:w="106"/>
        <w:gridCol w:w="875"/>
        <w:gridCol w:w="781"/>
        <w:gridCol w:w="875"/>
        <w:gridCol w:w="875"/>
        <w:gridCol w:w="781"/>
        <w:gridCol w:w="875"/>
      </w:tblGrid>
      <w:tr w:rsidR="005B6AF9" w:rsidRPr="00321165" w14:paraId="69C59659" w14:textId="77777777" w:rsidTr="00321165">
        <w:trPr>
          <w:trHeight w:val="221"/>
        </w:trPr>
        <w:tc>
          <w:tcPr>
            <w:tcW w:w="1543" w:type="dxa"/>
            <w:tcBorders>
              <w:top w:val="single" w:sz="4" w:space="0" w:color="auto"/>
              <w:left w:val="single" w:sz="4" w:space="0" w:color="auto"/>
              <w:bottom w:val="single" w:sz="4" w:space="0" w:color="auto"/>
              <w:right w:val="single" w:sz="4" w:space="0" w:color="auto"/>
            </w:tcBorders>
            <w:shd w:val="clear" w:color="000000" w:fill="FFFFFF"/>
          </w:tcPr>
          <w:p w14:paraId="27DA4F2F" w14:textId="77777777" w:rsidR="005B6AF9" w:rsidRPr="00321165" w:rsidRDefault="005B6AF9" w:rsidP="004135FE">
            <w:pPr>
              <w:spacing w:after="0" w:line="240" w:lineRule="auto"/>
              <w:rPr>
                <w:rFonts w:ascii="Times New Roman" w:eastAsia="Times New Roman" w:hAnsi="Times New Roman" w:cs="Times New Roman"/>
                <w:sz w:val="28"/>
                <w:szCs w:val="28"/>
              </w:rPr>
            </w:pPr>
          </w:p>
        </w:tc>
        <w:tc>
          <w:tcPr>
            <w:tcW w:w="2537" w:type="dxa"/>
            <w:gridSpan w:val="3"/>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1C7777"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2017</w:t>
            </w:r>
          </w:p>
        </w:tc>
        <w:tc>
          <w:tcPr>
            <w:tcW w:w="2440"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482015AD"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2018</w:t>
            </w:r>
          </w:p>
        </w:tc>
        <w:tc>
          <w:tcPr>
            <w:tcW w:w="2585" w:type="dxa"/>
            <w:gridSpan w:val="4"/>
            <w:tcBorders>
              <w:top w:val="single" w:sz="4" w:space="0" w:color="auto"/>
              <w:left w:val="nil"/>
              <w:bottom w:val="single" w:sz="4" w:space="0" w:color="auto"/>
              <w:right w:val="single" w:sz="4" w:space="0" w:color="auto"/>
            </w:tcBorders>
            <w:shd w:val="clear" w:color="000000" w:fill="FFFFFF"/>
            <w:noWrap/>
            <w:vAlign w:val="center"/>
            <w:hideMark/>
          </w:tcPr>
          <w:p w14:paraId="11EC7B05"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2019</w:t>
            </w:r>
          </w:p>
        </w:tc>
        <w:tc>
          <w:tcPr>
            <w:tcW w:w="2585" w:type="dxa"/>
            <w:gridSpan w:val="4"/>
            <w:tcBorders>
              <w:top w:val="single" w:sz="4" w:space="0" w:color="auto"/>
              <w:left w:val="nil"/>
              <w:bottom w:val="single" w:sz="4" w:space="0" w:color="auto"/>
              <w:right w:val="single" w:sz="4" w:space="0" w:color="auto"/>
            </w:tcBorders>
            <w:shd w:val="clear" w:color="000000" w:fill="FFFFFF"/>
            <w:noWrap/>
            <w:vAlign w:val="center"/>
            <w:hideMark/>
          </w:tcPr>
          <w:p w14:paraId="38383B3E"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2020</w:t>
            </w:r>
          </w:p>
        </w:tc>
        <w:tc>
          <w:tcPr>
            <w:tcW w:w="2537" w:type="dxa"/>
            <w:gridSpan w:val="3"/>
            <w:tcBorders>
              <w:top w:val="single" w:sz="4" w:space="0" w:color="auto"/>
              <w:left w:val="nil"/>
              <w:bottom w:val="single" w:sz="4" w:space="0" w:color="auto"/>
              <w:right w:val="single" w:sz="4" w:space="0" w:color="auto"/>
            </w:tcBorders>
            <w:shd w:val="clear" w:color="000000" w:fill="FFFFFF"/>
            <w:noWrap/>
            <w:vAlign w:val="center"/>
            <w:hideMark/>
          </w:tcPr>
          <w:p w14:paraId="60459DDA"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2021</w:t>
            </w:r>
          </w:p>
        </w:tc>
      </w:tr>
      <w:tr w:rsidR="00321165" w:rsidRPr="00321165" w14:paraId="7A7A64D6" w14:textId="77777777" w:rsidTr="00321165">
        <w:trPr>
          <w:trHeight w:val="364"/>
        </w:trPr>
        <w:tc>
          <w:tcPr>
            <w:tcW w:w="1543" w:type="dxa"/>
            <w:tcBorders>
              <w:top w:val="nil"/>
              <w:left w:val="single" w:sz="4" w:space="0" w:color="auto"/>
              <w:bottom w:val="single" w:sz="4" w:space="0" w:color="auto"/>
              <w:right w:val="single" w:sz="4" w:space="0" w:color="auto"/>
            </w:tcBorders>
            <w:shd w:val="clear" w:color="000000" w:fill="FFFFFF"/>
            <w:vAlign w:val="center"/>
          </w:tcPr>
          <w:p w14:paraId="5C25D296"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Районы</w:t>
            </w:r>
          </w:p>
        </w:tc>
        <w:tc>
          <w:tcPr>
            <w:tcW w:w="880" w:type="dxa"/>
            <w:tcBorders>
              <w:top w:val="nil"/>
              <w:left w:val="single" w:sz="4" w:space="0" w:color="auto"/>
              <w:bottom w:val="single" w:sz="4" w:space="0" w:color="auto"/>
              <w:right w:val="single" w:sz="4" w:space="0" w:color="auto"/>
            </w:tcBorders>
            <w:shd w:val="clear" w:color="000000" w:fill="FFFFFF"/>
            <w:vAlign w:val="center"/>
            <w:hideMark/>
          </w:tcPr>
          <w:p w14:paraId="320CA0CE"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Всего</w:t>
            </w:r>
          </w:p>
        </w:tc>
        <w:tc>
          <w:tcPr>
            <w:tcW w:w="777" w:type="dxa"/>
            <w:tcBorders>
              <w:top w:val="nil"/>
              <w:left w:val="nil"/>
              <w:bottom w:val="single" w:sz="4" w:space="0" w:color="auto"/>
              <w:right w:val="single" w:sz="4" w:space="0" w:color="auto"/>
            </w:tcBorders>
            <w:shd w:val="clear" w:color="000000" w:fill="FFFFFF"/>
            <w:vAlign w:val="center"/>
            <w:hideMark/>
          </w:tcPr>
          <w:p w14:paraId="2981D049"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Муж</w:t>
            </w:r>
          </w:p>
        </w:tc>
        <w:tc>
          <w:tcPr>
            <w:tcW w:w="880" w:type="dxa"/>
            <w:tcBorders>
              <w:top w:val="nil"/>
              <w:left w:val="nil"/>
              <w:bottom w:val="single" w:sz="4" w:space="0" w:color="auto"/>
              <w:right w:val="single" w:sz="4" w:space="0" w:color="auto"/>
            </w:tcBorders>
            <w:shd w:val="clear" w:color="000000" w:fill="FFFFFF"/>
            <w:vAlign w:val="center"/>
            <w:hideMark/>
          </w:tcPr>
          <w:p w14:paraId="74204500"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Жен</w:t>
            </w:r>
          </w:p>
        </w:tc>
        <w:tc>
          <w:tcPr>
            <w:tcW w:w="880" w:type="dxa"/>
            <w:tcBorders>
              <w:top w:val="nil"/>
              <w:left w:val="nil"/>
              <w:bottom w:val="single" w:sz="4" w:space="0" w:color="auto"/>
              <w:right w:val="single" w:sz="4" w:space="0" w:color="auto"/>
            </w:tcBorders>
            <w:shd w:val="clear" w:color="000000" w:fill="FFFFFF"/>
            <w:vAlign w:val="center"/>
            <w:hideMark/>
          </w:tcPr>
          <w:p w14:paraId="150411F4"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Всего</w:t>
            </w:r>
          </w:p>
        </w:tc>
        <w:tc>
          <w:tcPr>
            <w:tcW w:w="777" w:type="dxa"/>
            <w:tcBorders>
              <w:top w:val="nil"/>
              <w:left w:val="nil"/>
              <w:bottom w:val="single" w:sz="4" w:space="0" w:color="auto"/>
              <w:right w:val="single" w:sz="4" w:space="0" w:color="auto"/>
            </w:tcBorders>
            <w:shd w:val="clear" w:color="000000" w:fill="FFFFFF"/>
            <w:vAlign w:val="center"/>
            <w:hideMark/>
          </w:tcPr>
          <w:p w14:paraId="58318858"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Муж</w:t>
            </w:r>
          </w:p>
        </w:tc>
        <w:tc>
          <w:tcPr>
            <w:tcW w:w="880" w:type="dxa"/>
            <w:gridSpan w:val="2"/>
            <w:tcBorders>
              <w:top w:val="nil"/>
              <w:left w:val="nil"/>
              <w:bottom w:val="single" w:sz="4" w:space="0" w:color="auto"/>
              <w:right w:val="single" w:sz="4" w:space="0" w:color="auto"/>
            </w:tcBorders>
            <w:shd w:val="clear" w:color="000000" w:fill="FFFFFF"/>
            <w:vAlign w:val="center"/>
            <w:hideMark/>
          </w:tcPr>
          <w:p w14:paraId="7F48757A"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Жен</w:t>
            </w:r>
          </w:p>
        </w:tc>
        <w:tc>
          <w:tcPr>
            <w:tcW w:w="880" w:type="dxa"/>
            <w:tcBorders>
              <w:top w:val="nil"/>
              <w:left w:val="nil"/>
              <w:bottom w:val="single" w:sz="4" w:space="0" w:color="auto"/>
              <w:right w:val="single" w:sz="4" w:space="0" w:color="auto"/>
            </w:tcBorders>
            <w:shd w:val="clear" w:color="000000" w:fill="FFFFFF"/>
            <w:vAlign w:val="center"/>
            <w:hideMark/>
          </w:tcPr>
          <w:p w14:paraId="19CFBD89"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Всего</w:t>
            </w:r>
          </w:p>
        </w:tc>
        <w:tc>
          <w:tcPr>
            <w:tcW w:w="777" w:type="dxa"/>
            <w:tcBorders>
              <w:top w:val="nil"/>
              <w:left w:val="nil"/>
              <w:bottom w:val="single" w:sz="4" w:space="0" w:color="auto"/>
              <w:right w:val="single" w:sz="4" w:space="0" w:color="auto"/>
            </w:tcBorders>
            <w:shd w:val="clear" w:color="000000" w:fill="FFFFFF"/>
            <w:vAlign w:val="center"/>
            <w:hideMark/>
          </w:tcPr>
          <w:p w14:paraId="51A7001E"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Муж</w:t>
            </w:r>
          </w:p>
        </w:tc>
        <w:tc>
          <w:tcPr>
            <w:tcW w:w="880" w:type="dxa"/>
            <w:gridSpan w:val="2"/>
            <w:tcBorders>
              <w:top w:val="nil"/>
              <w:left w:val="nil"/>
              <w:bottom w:val="single" w:sz="4" w:space="0" w:color="auto"/>
              <w:right w:val="single" w:sz="4" w:space="0" w:color="auto"/>
            </w:tcBorders>
            <w:shd w:val="clear" w:color="000000" w:fill="FFFFFF"/>
            <w:vAlign w:val="center"/>
            <w:hideMark/>
          </w:tcPr>
          <w:p w14:paraId="0EBC6674"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Жен</w:t>
            </w:r>
          </w:p>
        </w:tc>
        <w:tc>
          <w:tcPr>
            <w:tcW w:w="880" w:type="dxa"/>
            <w:tcBorders>
              <w:top w:val="nil"/>
              <w:left w:val="nil"/>
              <w:bottom w:val="single" w:sz="4" w:space="0" w:color="auto"/>
              <w:right w:val="single" w:sz="4" w:space="0" w:color="auto"/>
            </w:tcBorders>
            <w:shd w:val="clear" w:color="000000" w:fill="FFFFFF"/>
            <w:vAlign w:val="center"/>
            <w:hideMark/>
          </w:tcPr>
          <w:p w14:paraId="6CB324AA"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Всего</w:t>
            </w:r>
          </w:p>
        </w:tc>
        <w:tc>
          <w:tcPr>
            <w:tcW w:w="777" w:type="dxa"/>
            <w:tcBorders>
              <w:top w:val="nil"/>
              <w:left w:val="nil"/>
              <w:bottom w:val="single" w:sz="4" w:space="0" w:color="auto"/>
              <w:right w:val="single" w:sz="4" w:space="0" w:color="auto"/>
            </w:tcBorders>
            <w:shd w:val="clear" w:color="000000" w:fill="FFFFFF"/>
            <w:vAlign w:val="center"/>
            <w:hideMark/>
          </w:tcPr>
          <w:p w14:paraId="2F927443"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Муж</w:t>
            </w:r>
          </w:p>
        </w:tc>
        <w:tc>
          <w:tcPr>
            <w:tcW w:w="880" w:type="dxa"/>
            <w:tcBorders>
              <w:top w:val="nil"/>
              <w:left w:val="nil"/>
              <w:bottom w:val="single" w:sz="4" w:space="0" w:color="auto"/>
              <w:right w:val="single" w:sz="4" w:space="0" w:color="auto"/>
            </w:tcBorders>
            <w:shd w:val="clear" w:color="000000" w:fill="FFFFFF"/>
            <w:vAlign w:val="center"/>
            <w:hideMark/>
          </w:tcPr>
          <w:p w14:paraId="2082F466"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Жен</w:t>
            </w:r>
          </w:p>
        </w:tc>
        <w:tc>
          <w:tcPr>
            <w:tcW w:w="880" w:type="dxa"/>
            <w:tcBorders>
              <w:top w:val="nil"/>
              <w:left w:val="nil"/>
              <w:bottom w:val="single" w:sz="4" w:space="0" w:color="auto"/>
              <w:right w:val="single" w:sz="4" w:space="0" w:color="auto"/>
            </w:tcBorders>
            <w:shd w:val="clear" w:color="000000" w:fill="FFFFFF"/>
            <w:vAlign w:val="center"/>
            <w:hideMark/>
          </w:tcPr>
          <w:p w14:paraId="5AE6C086"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Всего</w:t>
            </w:r>
          </w:p>
        </w:tc>
        <w:tc>
          <w:tcPr>
            <w:tcW w:w="777" w:type="dxa"/>
            <w:tcBorders>
              <w:top w:val="nil"/>
              <w:left w:val="nil"/>
              <w:bottom w:val="single" w:sz="4" w:space="0" w:color="auto"/>
              <w:right w:val="single" w:sz="4" w:space="0" w:color="auto"/>
            </w:tcBorders>
            <w:shd w:val="clear" w:color="000000" w:fill="FFFFFF"/>
            <w:vAlign w:val="center"/>
            <w:hideMark/>
          </w:tcPr>
          <w:p w14:paraId="6174BBDB"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Муж</w:t>
            </w:r>
          </w:p>
        </w:tc>
        <w:tc>
          <w:tcPr>
            <w:tcW w:w="880" w:type="dxa"/>
            <w:tcBorders>
              <w:top w:val="nil"/>
              <w:left w:val="nil"/>
              <w:bottom w:val="single" w:sz="4" w:space="0" w:color="auto"/>
              <w:right w:val="single" w:sz="4" w:space="0" w:color="auto"/>
            </w:tcBorders>
            <w:shd w:val="clear" w:color="000000" w:fill="FFFFFF"/>
            <w:vAlign w:val="center"/>
            <w:hideMark/>
          </w:tcPr>
          <w:p w14:paraId="56579EF8" w14:textId="77777777" w:rsidR="005B6AF9" w:rsidRPr="00321165" w:rsidRDefault="005B6AF9" w:rsidP="004135FE">
            <w:pPr>
              <w:spacing w:after="0" w:line="240" w:lineRule="auto"/>
              <w:jc w:val="center"/>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Жен</w:t>
            </w:r>
          </w:p>
        </w:tc>
      </w:tr>
      <w:tr w:rsidR="00321165" w:rsidRPr="00321165" w14:paraId="3BF4975D" w14:textId="77777777" w:rsidTr="00321165">
        <w:trPr>
          <w:trHeight w:val="221"/>
        </w:trPr>
        <w:tc>
          <w:tcPr>
            <w:tcW w:w="1543" w:type="dxa"/>
            <w:tcBorders>
              <w:top w:val="nil"/>
              <w:left w:val="single" w:sz="4" w:space="0" w:color="auto"/>
              <w:bottom w:val="single" w:sz="4" w:space="0" w:color="auto"/>
              <w:right w:val="single" w:sz="4" w:space="0" w:color="auto"/>
            </w:tcBorders>
            <w:shd w:val="clear" w:color="000000" w:fill="FFFFFF"/>
            <w:vAlign w:val="center"/>
          </w:tcPr>
          <w:p w14:paraId="447B504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Алмалинский</w:t>
            </w:r>
          </w:p>
        </w:tc>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49C40C1C"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311846</w:t>
            </w:r>
          </w:p>
        </w:tc>
        <w:tc>
          <w:tcPr>
            <w:tcW w:w="777" w:type="dxa"/>
            <w:tcBorders>
              <w:top w:val="nil"/>
              <w:left w:val="nil"/>
              <w:bottom w:val="single" w:sz="4" w:space="0" w:color="auto"/>
              <w:right w:val="single" w:sz="4" w:space="0" w:color="auto"/>
            </w:tcBorders>
            <w:shd w:val="clear" w:color="000000" w:fill="FFFFFF"/>
            <w:noWrap/>
            <w:vAlign w:val="center"/>
            <w:hideMark/>
          </w:tcPr>
          <w:p w14:paraId="0111773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137392</w:t>
            </w:r>
          </w:p>
        </w:tc>
        <w:tc>
          <w:tcPr>
            <w:tcW w:w="880" w:type="dxa"/>
            <w:tcBorders>
              <w:top w:val="nil"/>
              <w:left w:val="nil"/>
              <w:bottom w:val="single" w:sz="4" w:space="0" w:color="auto"/>
              <w:right w:val="single" w:sz="4" w:space="0" w:color="auto"/>
            </w:tcBorders>
            <w:shd w:val="clear" w:color="000000" w:fill="FFFFFF"/>
            <w:noWrap/>
            <w:vAlign w:val="center"/>
            <w:hideMark/>
          </w:tcPr>
          <w:p w14:paraId="16179283"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174454</w:t>
            </w:r>
          </w:p>
        </w:tc>
        <w:tc>
          <w:tcPr>
            <w:tcW w:w="880" w:type="dxa"/>
            <w:tcBorders>
              <w:top w:val="nil"/>
              <w:left w:val="nil"/>
              <w:bottom w:val="single" w:sz="4" w:space="0" w:color="auto"/>
              <w:right w:val="single" w:sz="4" w:space="0" w:color="auto"/>
            </w:tcBorders>
            <w:shd w:val="clear" w:color="000000" w:fill="FFFFFF"/>
            <w:noWrap/>
            <w:vAlign w:val="center"/>
            <w:hideMark/>
          </w:tcPr>
          <w:p w14:paraId="215C660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338396</w:t>
            </w:r>
          </w:p>
        </w:tc>
        <w:tc>
          <w:tcPr>
            <w:tcW w:w="777" w:type="dxa"/>
            <w:tcBorders>
              <w:top w:val="nil"/>
              <w:left w:val="nil"/>
              <w:bottom w:val="single" w:sz="4" w:space="0" w:color="auto"/>
              <w:right w:val="single" w:sz="4" w:space="0" w:color="auto"/>
            </w:tcBorders>
            <w:shd w:val="clear" w:color="000000" w:fill="FFFFFF"/>
            <w:noWrap/>
            <w:vAlign w:val="center"/>
            <w:hideMark/>
          </w:tcPr>
          <w:p w14:paraId="70C34052"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149103</w:t>
            </w:r>
          </w:p>
        </w:tc>
        <w:tc>
          <w:tcPr>
            <w:tcW w:w="880" w:type="dxa"/>
            <w:gridSpan w:val="2"/>
            <w:tcBorders>
              <w:top w:val="nil"/>
              <w:left w:val="nil"/>
              <w:bottom w:val="single" w:sz="4" w:space="0" w:color="auto"/>
              <w:right w:val="single" w:sz="4" w:space="0" w:color="auto"/>
            </w:tcBorders>
            <w:shd w:val="clear" w:color="000000" w:fill="FFFFFF"/>
            <w:noWrap/>
            <w:vAlign w:val="center"/>
            <w:hideMark/>
          </w:tcPr>
          <w:p w14:paraId="0D877234"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189293</w:t>
            </w:r>
          </w:p>
        </w:tc>
        <w:tc>
          <w:tcPr>
            <w:tcW w:w="880" w:type="dxa"/>
            <w:tcBorders>
              <w:top w:val="nil"/>
              <w:left w:val="nil"/>
              <w:bottom w:val="single" w:sz="4" w:space="0" w:color="auto"/>
              <w:right w:val="single" w:sz="4" w:space="0" w:color="auto"/>
            </w:tcBorders>
            <w:shd w:val="clear" w:color="000000" w:fill="FFFFFF"/>
            <w:noWrap/>
            <w:vAlign w:val="center"/>
            <w:hideMark/>
          </w:tcPr>
          <w:p w14:paraId="2035000C"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355903  </w:t>
            </w:r>
          </w:p>
        </w:tc>
        <w:tc>
          <w:tcPr>
            <w:tcW w:w="777" w:type="dxa"/>
            <w:tcBorders>
              <w:top w:val="nil"/>
              <w:left w:val="nil"/>
              <w:bottom w:val="single" w:sz="4" w:space="0" w:color="auto"/>
              <w:right w:val="single" w:sz="4" w:space="0" w:color="auto"/>
            </w:tcBorders>
            <w:shd w:val="clear" w:color="000000" w:fill="FFFFFF"/>
            <w:vAlign w:val="center"/>
            <w:hideMark/>
          </w:tcPr>
          <w:p w14:paraId="2C4F86F4"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159439</w:t>
            </w:r>
          </w:p>
        </w:tc>
        <w:tc>
          <w:tcPr>
            <w:tcW w:w="880" w:type="dxa"/>
            <w:gridSpan w:val="2"/>
            <w:tcBorders>
              <w:top w:val="nil"/>
              <w:left w:val="nil"/>
              <w:bottom w:val="single" w:sz="4" w:space="0" w:color="auto"/>
              <w:right w:val="single" w:sz="4" w:space="0" w:color="auto"/>
            </w:tcBorders>
            <w:shd w:val="clear" w:color="000000" w:fill="FFFFFF"/>
            <w:vAlign w:val="center"/>
            <w:hideMark/>
          </w:tcPr>
          <w:p w14:paraId="01F91A22"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196464</w:t>
            </w:r>
          </w:p>
        </w:tc>
        <w:tc>
          <w:tcPr>
            <w:tcW w:w="880" w:type="dxa"/>
            <w:tcBorders>
              <w:top w:val="nil"/>
              <w:left w:val="nil"/>
              <w:bottom w:val="single" w:sz="4" w:space="0" w:color="auto"/>
              <w:right w:val="single" w:sz="4" w:space="0" w:color="auto"/>
            </w:tcBorders>
            <w:shd w:val="clear" w:color="000000" w:fill="FFFFFF"/>
            <w:noWrap/>
            <w:vAlign w:val="center"/>
            <w:hideMark/>
          </w:tcPr>
          <w:p w14:paraId="4C6C3583"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363102</w:t>
            </w:r>
          </w:p>
        </w:tc>
        <w:tc>
          <w:tcPr>
            <w:tcW w:w="777" w:type="dxa"/>
            <w:tcBorders>
              <w:top w:val="nil"/>
              <w:left w:val="nil"/>
              <w:bottom w:val="single" w:sz="4" w:space="0" w:color="auto"/>
              <w:right w:val="single" w:sz="4" w:space="0" w:color="auto"/>
            </w:tcBorders>
            <w:shd w:val="clear" w:color="000000" w:fill="FFFFFF"/>
            <w:noWrap/>
            <w:vAlign w:val="center"/>
            <w:hideMark/>
          </w:tcPr>
          <w:p w14:paraId="6E4DAE0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164847   </w:t>
            </w:r>
          </w:p>
        </w:tc>
        <w:tc>
          <w:tcPr>
            <w:tcW w:w="880" w:type="dxa"/>
            <w:tcBorders>
              <w:top w:val="nil"/>
              <w:left w:val="nil"/>
              <w:bottom w:val="single" w:sz="4" w:space="0" w:color="auto"/>
              <w:right w:val="single" w:sz="4" w:space="0" w:color="auto"/>
            </w:tcBorders>
            <w:shd w:val="clear" w:color="000000" w:fill="FFFFFF"/>
            <w:noWrap/>
            <w:vAlign w:val="center"/>
            <w:hideMark/>
          </w:tcPr>
          <w:p w14:paraId="351AC97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198255   </w:t>
            </w:r>
          </w:p>
        </w:tc>
        <w:tc>
          <w:tcPr>
            <w:tcW w:w="880" w:type="dxa"/>
            <w:tcBorders>
              <w:top w:val="nil"/>
              <w:left w:val="nil"/>
              <w:bottom w:val="single" w:sz="4" w:space="0" w:color="auto"/>
              <w:right w:val="single" w:sz="4" w:space="0" w:color="auto"/>
            </w:tcBorders>
            <w:shd w:val="clear" w:color="000000" w:fill="FFFFFF"/>
            <w:noWrap/>
            <w:vAlign w:val="center"/>
            <w:hideMark/>
          </w:tcPr>
          <w:p w14:paraId="5FAFC29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363638  </w:t>
            </w:r>
          </w:p>
        </w:tc>
        <w:tc>
          <w:tcPr>
            <w:tcW w:w="777" w:type="dxa"/>
            <w:tcBorders>
              <w:top w:val="nil"/>
              <w:left w:val="nil"/>
              <w:bottom w:val="single" w:sz="4" w:space="0" w:color="auto"/>
              <w:right w:val="single" w:sz="4" w:space="0" w:color="auto"/>
            </w:tcBorders>
            <w:shd w:val="clear" w:color="000000" w:fill="FFFFFF"/>
            <w:noWrap/>
            <w:vAlign w:val="center"/>
            <w:hideMark/>
          </w:tcPr>
          <w:p w14:paraId="74C98F1E"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165456</w:t>
            </w:r>
          </w:p>
        </w:tc>
        <w:tc>
          <w:tcPr>
            <w:tcW w:w="880" w:type="dxa"/>
            <w:tcBorders>
              <w:top w:val="nil"/>
              <w:left w:val="nil"/>
              <w:bottom w:val="single" w:sz="4" w:space="0" w:color="auto"/>
              <w:right w:val="single" w:sz="4" w:space="0" w:color="auto"/>
            </w:tcBorders>
            <w:shd w:val="clear" w:color="000000" w:fill="FFFFFF"/>
            <w:noWrap/>
            <w:vAlign w:val="center"/>
            <w:hideMark/>
          </w:tcPr>
          <w:p w14:paraId="738477C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198182</w:t>
            </w:r>
          </w:p>
        </w:tc>
      </w:tr>
      <w:tr w:rsidR="00321165" w:rsidRPr="00321165" w14:paraId="38CA4979" w14:textId="77777777" w:rsidTr="00321165">
        <w:trPr>
          <w:trHeight w:val="221"/>
        </w:trPr>
        <w:tc>
          <w:tcPr>
            <w:tcW w:w="1543" w:type="dxa"/>
            <w:tcBorders>
              <w:top w:val="nil"/>
              <w:left w:val="single" w:sz="4" w:space="0" w:color="auto"/>
              <w:bottom w:val="single" w:sz="4" w:space="0" w:color="auto"/>
              <w:right w:val="single" w:sz="4" w:space="0" w:color="auto"/>
            </w:tcBorders>
            <w:shd w:val="clear" w:color="000000" w:fill="FFFFFF"/>
            <w:vAlign w:val="center"/>
          </w:tcPr>
          <w:p w14:paraId="315FA4E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Алатауский</w:t>
            </w:r>
          </w:p>
        </w:tc>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3D46DF4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203317</w:t>
            </w:r>
          </w:p>
        </w:tc>
        <w:tc>
          <w:tcPr>
            <w:tcW w:w="777" w:type="dxa"/>
            <w:tcBorders>
              <w:top w:val="nil"/>
              <w:left w:val="nil"/>
              <w:bottom w:val="single" w:sz="4" w:space="0" w:color="auto"/>
              <w:right w:val="single" w:sz="4" w:space="0" w:color="auto"/>
            </w:tcBorders>
            <w:shd w:val="clear" w:color="000000" w:fill="FFFFFF"/>
            <w:noWrap/>
            <w:vAlign w:val="center"/>
            <w:hideMark/>
          </w:tcPr>
          <w:p w14:paraId="62F0960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95177</w:t>
            </w:r>
          </w:p>
        </w:tc>
        <w:tc>
          <w:tcPr>
            <w:tcW w:w="880" w:type="dxa"/>
            <w:tcBorders>
              <w:top w:val="nil"/>
              <w:left w:val="nil"/>
              <w:bottom w:val="single" w:sz="4" w:space="0" w:color="auto"/>
              <w:right w:val="single" w:sz="4" w:space="0" w:color="auto"/>
            </w:tcBorders>
            <w:shd w:val="clear" w:color="000000" w:fill="FFFFFF"/>
            <w:noWrap/>
            <w:vAlign w:val="center"/>
            <w:hideMark/>
          </w:tcPr>
          <w:p w14:paraId="42B9B389"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108140</w:t>
            </w:r>
          </w:p>
        </w:tc>
        <w:tc>
          <w:tcPr>
            <w:tcW w:w="880" w:type="dxa"/>
            <w:tcBorders>
              <w:top w:val="nil"/>
              <w:left w:val="nil"/>
              <w:bottom w:val="single" w:sz="4" w:space="0" w:color="auto"/>
              <w:right w:val="single" w:sz="4" w:space="0" w:color="auto"/>
            </w:tcBorders>
            <w:shd w:val="clear" w:color="000000" w:fill="FFFFFF"/>
            <w:noWrap/>
            <w:vAlign w:val="center"/>
            <w:hideMark/>
          </w:tcPr>
          <w:p w14:paraId="692972CC"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212217</w:t>
            </w:r>
          </w:p>
        </w:tc>
        <w:tc>
          <w:tcPr>
            <w:tcW w:w="777" w:type="dxa"/>
            <w:tcBorders>
              <w:top w:val="nil"/>
              <w:left w:val="nil"/>
              <w:bottom w:val="single" w:sz="4" w:space="0" w:color="auto"/>
              <w:right w:val="single" w:sz="4" w:space="0" w:color="auto"/>
            </w:tcBorders>
            <w:shd w:val="clear" w:color="000000" w:fill="FFFFFF"/>
            <w:noWrap/>
            <w:vAlign w:val="center"/>
            <w:hideMark/>
          </w:tcPr>
          <w:p w14:paraId="7625E8C1"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99600</w:t>
            </w:r>
          </w:p>
        </w:tc>
        <w:tc>
          <w:tcPr>
            <w:tcW w:w="880" w:type="dxa"/>
            <w:gridSpan w:val="2"/>
            <w:tcBorders>
              <w:top w:val="nil"/>
              <w:left w:val="nil"/>
              <w:bottom w:val="single" w:sz="4" w:space="0" w:color="auto"/>
              <w:right w:val="single" w:sz="4" w:space="0" w:color="auto"/>
            </w:tcBorders>
            <w:shd w:val="clear" w:color="000000" w:fill="FFFFFF"/>
            <w:noWrap/>
            <w:vAlign w:val="center"/>
            <w:hideMark/>
          </w:tcPr>
          <w:p w14:paraId="275F1C7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112617</w:t>
            </w:r>
          </w:p>
        </w:tc>
        <w:tc>
          <w:tcPr>
            <w:tcW w:w="880" w:type="dxa"/>
            <w:tcBorders>
              <w:top w:val="nil"/>
              <w:left w:val="nil"/>
              <w:bottom w:val="single" w:sz="4" w:space="0" w:color="auto"/>
              <w:right w:val="single" w:sz="4" w:space="0" w:color="auto"/>
            </w:tcBorders>
            <w:shd w:val="clear" w:color="000000" w:fill="FFFFFF"/>
            <w:noWrap/>
            <w:vAlign w:val="center"/>
            <w:hideMark/>
          </w:tcPr>
          <w:p w14:paraId="06D4C24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224157  </w:t>
            </w:r>
          </w:p>
        </w:tc>
        <w:tc>
          <w:tcPr>
            <w:tcW w:w="777" w:type="dxa"/>
            <w:tcBorders>
              <w:top w:val="nil"/>
              <w:left w:val="nil"/>
              <w:bottom w:val="single" w:sz="4" w:space="0" w:color="auto"/>
              <w:right w:val="single" w:sz="4" w:space="0" w:color="auto"/>
            </w:tcBorders>
            <w:shd w:val="clear" w:color="000000" w:fill="FFFFFF"/>
            <w:noWrap/>
            <w:vAlign w:val="center"/>
            <w:hideMark/>
          </w:tcPr>
          <w:p w14:paraId="2B2EC41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104763</w:t>
            </w:r>
          </w:p>
        </w:tc>
        <w:tc>
          <w:tcPr>
            <w:tcW w:w="880" w:type="dxa"/>
            <w:gridSpan w:val="2"/>
            <w:tcBorders>
              <w:top w:val="nil"/>
              <w:left w:val="nil"/>
              <w:bottom w:val="single" w:sz="4" w:space="0" w:color="auto"/>
              <w:right w:val="single" w:sz="4" w:space="0" w:color="auto"/>
            </w:tcBorders>
            <w:shd w:val="clear" w:color="000000" w:fill="FFFFFF"/>
            <w:noWrap/>
            <w:vAlign w:val="center"/>
            <w:hideMark/>
          </w:tcPr>
          <w:p w14:paraId="3C26529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119394</w:t>
            </w:r>
          </w:p>
        </w:tc>
        <w:tc>
          <w:tcPr>
            <w:tcW w:w="880" w:type="dxa"/>
            <w:tcBorders>
              <w:top w:val="nil"/>
              <w:left w:val="nil"/>
              <w:bottom w:val="single" w:sz="4" w:space="0" w:color="auto"/>
              <w:right w:val="single" w:sz="4" w:space="0" w:color="auto"/>
            </w:tcBorders>
            <w:shd w:val="clear" w:color="000000" w:fill="FFFFFF"/>
            <w:noWrap/>
            <w:vAlign w:val="center"/>
            <w:hideMark/>
          </w:tcPr>
          <w:p w14:paraId="253B64B1"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234037*</w:t>
            </w:r>
          </w:p>
        </w:tc>
        <w:tc>
          <w:tcPr>
            <w:tcW w:w="777" w:type="dxa"/>
            <w:tcBorders>
              <w:top w:val="nil"/>
              <w:left w:val="nil"/>
              <w:bottom w:val="single" w:sz="4" w:space="0" w:color="auto"/>
              <w:right w:val="single" w:sz="4" w:space="0" w:color="auto"/>
            </w:tcBorders>
            <w:shd w:val="clear" w:color="000000" w:fill="FFFFFF"/>
            <w:noWrap/>
            <w:vAlign w:val="center"/>
            <w:hideMark/>
          </w:tcPr>
          <w:p w14:paraId="72929B1C"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109212   </w:t>
            </w:r>
          </w:p>
        </w:tc>
        <w:tc>
          <w:tcPr>
            <w:tcW w:w="880" w:type="dxa"/>
            <w:tcBorders>
              <w:top w:val="nil"/>
              <w:left w:val="nil"/>
              <w:bottom w:val="single" w:sz="4" w:space="0" w:color="auto"/>
              <w:right w:val="single" w:sz="4" w:space="0" w:color="auto"/>
            </w:tcBorders>
            <w:shd w:val="clear" w:color="000000" w:fill="FFFFFF"/>
            <w:noWrap/>
            <w:vAlign w:val="center"/>
            <w:hideMark/>
          </w:tcPr>
          <w:p w14:paraId="7D5585F1"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124825   </w:t>
            </w:r>
          </w:p>
        </w:tc>
        <w:tc>
          <w:tcPr>
            <w:tcW w:w="880" w:type="dxa"/>
            <w:tcBorders>
              <w:top w:val="nil"/>
              <w:left w:val="nil"/>
              <w:bottom w:val="single" w:sz="4" w:space="0" w:color="auto"/>
              <w:right w:val="single" w:sz="4" w:space="0" w:color="auto"/>
            </w:tcBorders>
            <w:shd w:val="clear" w:color="000000" w:fill="FFFFFF"/>
            <w:noWrap/>
            <w:vAlign w:val="center"/>
            <w:hideMark/>
          </w:tcPr>
          <w:p w14:paraId="550069A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245533  </w:t>
            </w:r>
          </w:p>
        </w:tc>
        <w:tc>
          <w:tcPr>
            <w:tcW w:w="777" w:type="dxa"/>
            <w:tcBorders>
              <w:top w:val="nil"/>
              <w:left w:val="nil"/>
              <w:bottom w:val="single" w:sz="4" w:space="0" w:color="auto"/>
              <w:right w:val="single" w:sz="4" w:space="0" w:color="auto"/>
            </w:tcBorders>
            <w:shd w:val="clear" w:color="000000" w:fill="FFFFFF"/>
            <w:noWrap/>
            <w:vAlign w:val="center"/>
            <w:hideMark/>
          </w:tcPr>
          <w:p w14:paraId="0BE23CA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114832</w:t>
            </w:r>
          </w:p>
        </w:tc>
        <w:tc>
          <w:tcPr>
            <w:tcW w:w="880" w:type="dxa"/>
            <w:tcBorders>
              <w:top w:val="nil"/>
              <w:left w:val="nil"/>
              <w:bottom w:val="single" w:sz="4" w:space="0" w:color="auto"/>
              <w:right w:val="single" w:sz="4" w:space="0" w:color="auto"/>
            </w:tcBorders>
            <w:shd w:val="clear" w:color="000000" w:fill="FFFFFF"/>
            <w:noWrap/>
            <w:vAlign w:val="center"/>
            <w:hideMark/>
          </w:tcPr>
          <w:p w14:paraId="013DBEB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130701</w:t>
            </w:r>
          </w:p>
        </w:tc>
      </w:tr>
      <w:tr w:rsidR="00321165" w:rsidRPr="00321165" w14:paraId="279BAE5A" w14:textId="77777777" w:rsidTr="00321165">
        <w:trPr>
          <w:trHeight w:val="221"/>
        </w:trPr>
        <w:tc>
          <w:tcPr>
            <w:tcW w:w="1543" w:type="dxa"/>
            <w:tcBorders>
              <w:top w:val="nil"/>
              <w:left w:val="single" w:sz="4" w:space="0" w:color="auto"/>
              <w:bottom w:val="single" w:sz="4" w:space="0" w:color="auto"/>
              <w:right w:val="single" w:sz="4" w:space="0" w:color="auto"/>
            </w:tcBorders>
            <w:shd w:val="clear" w:color="000000" w:fill="FFFFFF"/>
            <w:vAlign w:val="center"/>
          </w:tcPr>
          <w:p w14:paraId="43717C60"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Ауэзовский</w:t>
            </w:r>
          </w:p>
        </w:tc>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73BD56D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280060</w:t>
            </w:r>
          </w:p>
        </w:tc>
        <w:tc>
          <w:tcPr>
            <w:tcW w:w="777" w:type="dxa"/>
            <w:tcBorders>
              <w:top w:val="nil"/>
              <w:left w:val="nil"/>
              <w:bottom w:val="single" w:sz="4" w:space="0" w:color="auto"/>
              <w:right w:val="single" w:sz="4" w:space="0" w:color="auto"/>
            </w:tcBorders>
            <w:shd w:val="clear" w:color="000000" w:fill="FFFFFF"/>
            <w:noWrap/>
            <w:vAlign w:val="center"/>
            <w:hideMark/>
          </w:tcPr>
          <w:p w14:paraId="41BAADB6"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121274</w:t>
            </w:r>
          </w:p>
        </w:tc>
        <w:tc>
          <w:tcPr>
            <w:tcW w:w="880" w:type="dxa"/>
            <w:tcBorders>
              <w:top w:val="nil"/>
              <w:left w:val="nil"/>
              <w:bottom w:val="single" w:sz="4" w:space="0" w:color="auto"/>
              <w:right w:val="single" w:sz="4" w:space="0" w:color="auto"/>
            </w:tcBorders>
            <w:shd w:val="clear" w:color="000000" w:fill="FFFFFF"/>
            <w:noWrap/>
            <w:vAlign w:val="center"/>
            <w:hideMark/>
          </w:tcPr>
          <w:p w14:paraId="31A6ECF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158786</w:t>
            </w:r>
          </w:p>
        </w:tc>
        <w:tc>
          <w:tcPr>
            <w:tcW w:w="880" w:type="dxa"/>
            <w:tcBorders>
              <w:top w:val="nil"/>
              <w:left w:val="nil"/>
              <w:bottom w:val="single" w:sz="4" w:space="0" w:color="auto"/>
              <w:right w:val="single" w:sz="4" w:space="0" w:color="auto"/>
            </w:tcBorders>
            <w:shd w:val="clear" w:color="000000" w:fill="FFFFFF"/>
            <w:noWrap/>
            <w:vAlign w:val="center"/>
            <w:hideMark/>
          </w:tcPr>
          <w:p w14:paraId="6BDDB55E"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293449</w:t>
            </w:r>
          </w:p>
        </w:tc>
        <w:tc>
          <w:tcPr>
            <w:tcW w:w="777" w:type="dxa"/>
            <w:tcBorders>
              <w:top w:val="nil"/>
              <w:left w:val="nil"/>
              <w:bottom w:val="single" w:sz="4" w:space="0" w:color="auto"/>
              <w:right w:val="single" w:sz="4" w:space="0" w:color="auto"/>
            </w:tcBorders>
            <w:shd w:val="clear" w:color="000000" w:fill="FFFFFF"/>
            <w:noWrap/>
            <w:vAlign w:val="center"/>
            <w:hideMark/>
          </w:tcPr>
          <w:p w14:paraId="3383B7B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127698</w:t>
            </w:r>
          </w:p>
        </w:tc>
        <w:tc>
          <w:tcPr>
            <w:tcW w:w="880" w:type="dxa"/>
            <w:gridSpan w:val="2"/>
            <w:tcBorders>
              <w:top w:val="nil"/>
              <w:left w:val="nil"/>
              <w:bottom w:val="single" w:sz="4" w:space="0" w:color="auto"/>
              <w:right w:val="single" w:sz="4" w:space="0" w:color="auto"/>
            </w:tcBorders>
            <w:shd w:val="clear" w:color="000000" w:fill="FFFFFF"/>
            <w:noWrap/>
            <w:vAlign w:val="center"/>
            <w:hideMark/>
          </w:tcPr>
          <w:p w14:paraId="5F2C6004"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165751</w:t>
            </w:r>
          </w:p>
        </w:tc>
        <w:tc>
          <w:tcPr>
            <w:tcW w:w="880" w:type="dxa"/>
            <w:tcBorders>
              <w:top w:val="nil"/>
              <w:left w:val="nil"/>
              <w:bottom w:val="single" w:sz="4" w:space="0" w:color="auto"/>
              <w:right w:val="single" w:sz="4" w:space="0" w:color="auto"/>
            </w:tcBorders>
            <w:shd w:val="clear" w:color="000000" w:fill="FFFFFF"/>
            <w:noWrap/>
            <w:vAlign w:val="center"/>
            <w:hideMark/>
          </w:tcPr>
          <w:p w14:paraId="446C668C"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299947  </w:t>
            </w:r>
          </w:p>
        </w:tc>
        <w:tc>
          <w:tcPr>
            <w:tcW w:w="777" w:type="dxa"/>
            <w:tcBorders>
              <w:top w:val="nil"/>
              <w:left w:val="nil"/>
              <w:bottom w:val="single" w:sz="4" w:space="0" w:color="auto"/>
              <w:right w:val="single" w:sz="4" w:space="0" w:color="auto"/>
            </w:tcBorders>
            <w:shd w:val="clear" w:color="000000" w:fill="FFFFFF"/>
            <w:noWrap/>
            <w:vAlign w:val="center"/>
            <w:hideMark/>
          </w:tcPr>
          <w:p w14:paraId="0DA6F4A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130383</w:t>
            </w:r>
          </w:p>
        </w:tc>
        <w:tc>
          <w:tcPr>
            <w:tcW w:w="880" w:type="dxa"/>
            <w:gridSpan w:val="2"/>
            <w:tcBorders>
              <w:top w:val="nil"/>
              <w:left w:val="nil"/>
              <w:bottom w:val="single" w:sz="4" w:space="0" w:color="auto"/>
              <w:right w:val="single" w:sz="4" w:space="0" w:color="auto"/>
            </w:tcBorders>
            <w:shd w:val="clear" w:color="000000" w:fill="FFFFFF"/>
            <w:noWrap/>
            <w:vAlign w:val="center"/>
            <w:hideMark/>
          </w:tcPr>
          <w:p w14:paraId="59059FA9"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169564</w:t>
            </w:r>
          </w:p>
        </w:tc>
        <w:tc>
          <w:tcPr>
            <w:tcW w:w="880" w:type="dxa"/>
            <w:tcBorders>
              <w:top w:val="nil"/>
              <w:left w:val="nil"/>
              <w:bottom w:val="single" w:sz="4" w:space="0" w:color="auto"/>
              <w:right w:val="single" w:sz="4" w:space="0" w:color="auto"/>
            </w:tcBorders>
            <w:shd w:val="clear" w:color="000000" w:fill="FFFFFF"/>
            <w:noWrap/>
            <w:vAlign w:val="center"/>
            <w:hideMark/>
          </w:tcPr>
          <w:p w14:paraId="47CAF82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306888</w:t>
            </w:r>
          </w:p>
        </w:tc>
        <w:tc>
          <w:tcPr>
            <w:tcW w:w="777" w:type="dxa"/>
            <w:tcBorders>
              <w:top w:val="nil"/>
              <w:left w:val="nil"/>
              <w:bottom w:val="single" w:sz="4" w:space="0" w:color="auto"/>
              <w:right w:val="single" w:sz="4" w:space="0" w:color="auto"/>
            </w:tcBorders>
            <w:shd w:val="clear" w:color="000000" w:fill="FFFFFF"/>
            <w:noWrap/>
            <w:vAlign w:val="center"/>
            <w:hideMark/>
          </w:tcPr>
          <w:p w14:paraId="509FB1C2"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134383   </w:t>
            </w:r>
          </w:p>
        </w:tc>
        <w:tc>
          <w:tcPr>
            <w:tcW w:w="880" w:type="dxa"/>
            <w:tcBorders>
              <w:top w:val="nil"/>
              <w:left w:val="nil"/>
              <w:bottom w:val="single" w:sz="4" w:space="0" w:color="auto"/>
              <w:right w:val="single" w:sz="4" w:space="0" w:color="auto"/>
            </w:tcBorders>
            <w:shd w:val="clear" w:color="000000" w:fill="FFFFFF"/>
            <w:noWrap/>
            <w:vAlign w:val="center"/>
            <w:hideMark/>
          </w:tcPr>
          <w:p w14:paraId="19735065"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172505   </w:t>
            </w:r>
          </w:p>
        </w:tc>
        <w:tc>
          <w:tcPr>
            <w:tcW w:w="880" w:type="dxa"/>
            <w:tcBorders>
              <w:top w:val="nil"/>
              <w:left w:val="nil"/>
              <w:bottom w:val="single" w:sz="4" w:space="0" w:color="auto"/>
              <w:right w:val="single" w:sz="4" w:space="0" w:color="auto"/>
            </w:tcBorders>
            <w:shd w:val="clear" w:color="000000" w:fill="FFFFFF"/>
            <w:noWrap/>
            <w:vAlign w:val="center"/>
            <w:hideMark/>
          </w:tcPr>
          <w:p w14:paraId="77E00243"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312669  </w:t>
            </w:r>
          </w:p>
        </w:tc>
        <w:tc>
          <w:tcPr>
            <w:tcW w:w="777" w:type="dxa"/>
            <w:tcBorders>
              <w:top w:val="nil"/>
              <w:left w:val="nil"/>
              <w:bottom w:val="single" w:sz="4" w:space="0" w:color="auto"/>
              <w:right w:val="single" w:sz="4" w:space="0" w:color="auto"/>
            </w:tcBorders>
            <w:shd w:val="clear" w:color="000000" w:fill="FFFFFF"/>
            <w:noWrap/>
            <w:vAlign w:val="center"/>
            <w:hideMark/>
          </w:tcPr>
          <w:p w14:paraId="67C3C0C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137027</w:t>
            </w:r>
          </w:p>
        </w:tc>
        <w:tc>
          <w:tcPr>
            <w:tcW w:w="880" w:type="dxa"/>
            <w:tcBorders>
              <w:top w:val="nil"/>
              <w:left w:val="nil"/>
              <w:bottom w:val="single" w:sz="4" w:space="0" w:color="auto"/>
              <w:right w:val="single" w:sz="4" w:space="0" w:color="auto"/>
            </w:tcBorders>
            <w:shd w:val="clear" w:color="000000" w:fill="FFFFFF"/>
            <w:noWrap/>
            <w:vAlign w:val="center"/>
            <w:hideMark/>
          </w:tcPr>
          <w:p w14:paraId="5BC820B5"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175642</w:t>
            </w:r>
          </w:p>
        </w:tc>
      </w:tr>
      <w:tr w:rsidR="00321165" w:rsidRPr="00321165" w14:paraId="14EC0BCA" w14:textId="77777777" w:rsidTr="00321165">
        <w:trPr>
          <w:trHeight w:val="221"/>
        </w:trPr>
        <w:tc>
          <w:tcPr>
            <w:tcW w:w="1543" w:type="dxa"/>
            <w:tcBorders>
              <w:top w:val="nil"/>
              <w:left w:val="single" w:sz="4" w:space="0" w:color="auto"/>
              <w:bottom w:val="single" w:sz="4" w:space="0" w:color="auto"/>
              <w:right w:val="single" w:sz="4" w:space="0" w:color="auto"/>
            </w:tcBorders>
            <w:shd w:val="clear" w:color="000000" w:fill="FFFFFF"/>
            <w:vAlign w:val="center"/>
          </w:tcPr>
          <w:p w14:paraId="1A7C6A12"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Бостандыкский</w:t>
            </w:r>
          </w:p>
        </w:tc>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31FDF0E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343250</w:t>
            </w:r>
          </w:p>
        </w:tc>
        <w:tc>
          <w:tcPr>
            <w:tcW w:w="777" w:type="dxa"/>
            <w:tcBorders>
              <w:top w:val="nil"/>
              <w:left w:val="nil"/>
              <w:bottom w:val="single" w:sz="4" w:space="0" w:color="auto"/>
              <w:right w:val="single" w:sz="4" w:space="0" w:color="auto"/>
            </w:tcBorders>
            <w:shd w:val="clear" w:color="000000" w:fill="FFFFFF"/>
            <w:noWrap/>
            <w:vAlign w:val="center"/>
            <w:hideMark/>
          </w:tcPr>
          <w:p w14:paraId="7610C3B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149555</w:t>
            </w:r>
          </w:p>
        </w:tc>
        <w:tc>
          <w:tcPr>
            <w:tcW w:w="880" w:type="dxa"/>
            <w:tcBorders>
              <w:top w:val="nil"/>
              <w:left w:val="nil"/>
              <w:bottom w:val="single" w:sz="4" w:space="0" w:color="auto"/>
              <w:right w:val="single" w:sz="4" w:space="0" w:color="auto"/>
            </w:tcBorders>
            <w:shd w:val="clear" w:color="000000" w:fill="FFFFFF"/>
            <w:noWrap/>
            <w:vAlign w:val="center"/>
            <w:hideMark/>
          </w:tcPr>
          <w:p w14:paraId="7C31E500"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193695</w:t>
            </w:r>
          </w:p>
        </w:tc>
        <w:tc>
          <w:tcPr>
            <w:tcW w:w="880" w:type="dxa"/>
            <w:tcBorders>
              <w:top w:val="nil"/>
              <w:left w:val="nil"/>
              <w:bottom w:val="single" w:sz="4" w:space="0" w:color="auto"/>
              <w:right w:val="single" w:sz="4" w:space="0" w:color="auto"/>
            </w:tcBorders>
            <w:shd w:val="clear" w:color="000000" w:fill="FFFFFF"/>
            <w:noWrap/>
            <w:vAlign w:val="center"/>
            <w:hideMark/>
          </w:tcPr>
          <w:p w14:paraId="212B2BC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357369</w:t>
            </w:r>
          </w:p>
        </w:tc>
        <w:tc>
          <w:tcPr>
            <w:tcW w:w="777" w:type="dxa"/>
            <w:tcBorders>
              <w:top w:val="nil"/>
              <w:left w:val="nil"/>
              <w:bottom w:val="single" w:sz="4" w:space="0" w:color="auto"/>
              <w:right w:val="single" w:sz="4" w:space="0" w:color="auto"/>
            </w:tcBorders>
            <w:shd w:val="clear" w:color="000000" w:fill="FFFFFF"/>
            <w:noWrap/>
            <w:vAlign w:val="center"/>
            <w:hideMark/>
          </w:tcPr>
          <w:p w14:paraId="103C72F4"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158111</w:t>
            </w:r>
          </w:p>
        </w:tc>
        <w:tc>
          <w:tcPr>
            <w:tcW w:w="880" w:type="dxa"/>
            <w:gridSpan w:val="2"/>
            <w:tcBorders>
              <w:top w:val="nil"/>
              <w:left w:val="nil"/>
              <w:bottom w:val="single" w:sz="4" w:space="0" w:color="auto"/>
              <w:right w:val="single" w:sz="4" w:space="0" w:color="auto"/>
            </w:tcBorders>
            <w:shd w:val="clear" w:color="000000" w:fill="FFFFFF"/>
            <w:noWrap/>
            <w:vAlign w:val="center"/>
            <w:hideMark/>
          </w:tcPr>
          <w:p w14:paraId="7A12AA71"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199258</w:t>
            </w:r>
          </w:p>
        </w:tc>
        <w:tc>
          <w:tcPr>
            <w:tcW w:w="880" w:type="dxa"/>
            <w:tcBorders>
              <w:top w:val="nil"/>
              <w:left w:val="nil"/>
              <w:bottom w:val="single" w:sz="4" w:space="0" w:color="auto"/>
              <w:right w:val="single" w:sz="4" w:space="0" w:color="auto"/>
            </w:tcBorders>
            <w:shd w:val="clear" w:color="000000" w:fill="FFFFFF"/>
            <w:noWrap/>
            <w:vAlign w:val="center"/>
            <w:hideMark/>
          </w:tcPr>
          <w:p w14:paraId="3921ACE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370252  </w:t>
            </w:r>
          </w:p>
        </w:tc>
        <w:tc>
          <w:tcPr>
            <w:tcW w:w="777" w:type="dxa"/>
            <w:tcBorders>
              <w:top w:val="nil"/>
              <w:left w:val="nil"/>
              <w:bottom w:val="single" w:sz="4" w:space="0" w:color="auto"/>
              <w:right w:val="single" w:sz="4" w:space="0" w:color="auto"/>
            </w:tcBorders>
            <w:shd w:val="clear" w:color="000000" w:fill="FFFFFF"/>
            <w:noWrap/>
            <w:vAlign w:val="center"/>
            <w:hideMark/>
          </w:tcPr>
          <w:p w14:paraId="5BF323DC"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165657</w:t>
            </w:r>
          </w:p>
        </w:tc>
        <w:tc>
          <w:tcPr>
            <w:tcW w:w="880" w:type="dxa"/>
            <w:gridSpan w:val="2"/>
            <w:tcBorders>
              <w:top w:val="nil"/>
              <w:left w:val="nil"/>
              <w:bottom w:val="single" w:sz="4" w:space="0" w:color="auto"/>
              <w:right w:val="single" w:sz="4" w:space="0" w:color="auto"/>
            </w:tcBorders>
            <w:shd w:val="clear" w:color="000000" w:fill="FFFFFF"/>
            <w:noWrap/>
            <w:vAlign w:val="center"/>
            <w:hideMark/>
          </w:tcPr>
          <w:p w14:paraId="19B39820"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204595</w:t>
            </w:r>
          </w:p>
        </w:tc>
        <w:tc>
          <w:tcPr>
            <w:tcW w:w="880" w:type="dxa"/>
            <w:tcBorders>
              <w:top w:val="nil"/>
              <w:left w:val="nil"/>
              <w:bottom w:val="single" w:sz="4" w:space="0" w:color="auto"/>
              <w:right w:val="single" w:sz="4" w:space="0" w:color="auto"/>
            </w:tcBorders>
            <w:shd w:val="clear" w:color="000000" w:fill="FFFFFF"/>
            <w:noWrap/>
            <w:vAlign w:val="center"/>
            <w:hideMark/>
          </w:tcPr>
          <w:p w14:paraId="19DFB801"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369265*</w:t>
            </w:r>
          </w:p>
        </w:tc>
        <w:tc>
          <w:tcPr>
            <w:tcW w:w="777" w:type="dxa"/>
            <w:tcBorders>
              <w:top w:val="nil"/>
              <w:left w:val="nil"/>
              <w:bottom w:val="single" w:sz="4" w:space="0" w:color="auto"/>
              <w:right w:val="single" w:sz="4" w:space="0" w:color="auto"/>
            </w:tcBorders>
            <w:shd w:val="clear" w:color="000000" w:fill="FFFFFF"/>
            <w:noWrap/>
            <w:vAlign w:val="center"/>
            <w:hideMark/>
          </w:tcPr>
          <w:p w14:paraId="36A2B091"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165313   </w:t>
            </w:r>
          </w:p>
        </w:tc>
        <w:tc>
          <w:tcPr>
            <w:tcW w:w="880" w:type="dxa"/>
            <w:tcBorders>
              <w:top w:val="nil"/>
              <w:left w:val="nil"/>
              <w:bottom w:val="single" w:sz="4" w:space="0" w:color="auto"/>
              <w:right w:val="single" w:sz="4" w:space="0" w:color="auto"/>
            </w:tcBorders>
            <w:shd w:val="clear" w:color="000000" w:fill="FFFFFF"/>
            <w:noWrap/>
            <w:vAlign w:val="center"/>
            <w:hideMark/>
          </w:tcPr>
          <w:p w14:paraId="1A5C78F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203952   </w:t>
            </w:r>
          </w:p>
        </w:tc>
        <w:tc>
          <w:tcPr>
            <w:tcW w:w="880" w:type="dxa"/>
            <w:tcBorders>
              <w:top w:val="nil"/>
              <w:left w:val="nil"/>
              <w:bottom w:val="single" w:sz="4" w:space="0" w:color="auto"/>
              <w:right w:val="single" w:sz="4" w:space="0" w:color="auto"/>
            </w:tcBorders>
            <w:shd w:val="clear" w:color="000000" w:fill="FFFFFF"/>
            <w:noWrap/>
            <w:vAlign w:val="center"/>
            <w:hideMark/>
          </w:tcPr>
          <w:p w14:paraId="6899E18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408761  </w:t>
            </w:r>
          </w:p>
        </w:tc>
        <w:tc>
          <w:tcPr>
            <w:tcW w:w="777" w:type="dxa"/>
            <w:tcBorders>
              <w:top w:val="nil"/>
              <w:left w:val="nil"/>
              <w:bottom w:val="single" w:sz="4" w:space="0" w:color="auto"/>
              <w:right w:val="single" w:sz="4" w:space="0" w:color="auto"/>
            </w:tcBorders>
            <w:shd w:val="clear" w:color="000000" w:fill="FFFFFF"/>
            <w:noWrap/>
            <w:vAlign w:val="center"/>
            <w:hideMark/>
          </w:tcPr>
          <w:p w14:paraId="726E5959"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183193</w:t>
            </w:r>
          </w:p>
        </w:tc>
        <w:tc>
          <w:tcPr>
            <w:tcW w:w="880" w:type="dxa"/>
            <w:tcBorders>
              <w:top w:val="nil"/>
              <w:left w:val="nil"/>
              <w:bottom w:val="single" w:sz="4" w:space="0" w:color="auto"/>
              <w:right w:val="single" w:sz="4" w:space="0" w:color="auto"/>
            </w:tcBorders>
            <w:shd w:val="clear" w:color="000000" w:fill="FFFFFF"/>
            <w:noWrap/>
            <w:vAlign w:val="center"/>
            <w:hideMark/>
          </w:tcPr>
          <w:p w14:paraId="0E66B2F5"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225568</w:t>
            </w:r>
          </w:p>
        </w:tc>
      </w:tr>
      <w:tr w:rsidR="00321165" w:rsidRPr="00321165" w14:paraId="2912CEED" w14:textId="77777777" w:rsidTr="00321165">
        <w:trPr>
          <w:trHeight w:val="221"/>
        </w:trPr>
        <w:tc>
          <w:tcPr>
            <w:tcW w:w="1543" w:type="dxa"/>
            <w:tcBorders>
              <w:top w:val="nil"/>
              <w:left w:val="single" w:sz="4" w:space="0" w:color="auto"/>
              <w:bottom w:val="single" w:sz="4" w:space="0" w:color="auto"/>
              <w:right w:val="single" w:sz="4" w:space="0" w:color="auto"/>
            </w:tcBorders>
            <w:shd w:val="clear" w:color="000000" w:fill="FFFFFF"/>
            <w:vAlign w:val="center"/>
          </w:tcPr>
          <w:p w14:paraId="3E8D135C"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Жетысуский</w:t>
            </w:r>
          </w:p>
        </w:tc>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452C7522"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174112</w:t>
            </w:r>
          </w:p>
        </w:tc>
        <w:tc>
          <w:tcPr>
            <w:tcW w:w="777" w:type="dxa"/>
            <w:tcBorders>
              <w:top w:val="nil"/>
              <w:left w:val="nil"/>
              <w:bottom w:val="single" w:sz="4" w:space="0" w:color="auto"/>
              <w:right w:val="single" w:sz="4" w:space="0" w:color="auto"/>
            </w:tcBorders>
            <w:shd w:val="clear" w:color="000000" w:fill="FFFFFF"/>
            <w:noWrap/>
            <w:vAlign w:val="center"/>
            <w:hideMark/>
          </w:tcPr>
          <w:p w14:paraId="5596627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77740</w:t>
            </w:r>
          </w:p>
        </w:tc>
        <w:tc>
          <w:tcPr>
            <w:tcW w:w="880" w:type="dxa"/>
            <w:tcBorders>
              <w:top w:val="nil"/>
              <w:left w:val="nil"/>
              <w:bottom w:val="single" w:sz="4" w:space="0" w:color="auto"/>
              <w:right w:val="single" w:sz="4" w:space="0" w:color="auto"/>
            </w:tcBorders>
            <w:shd w:val="clear" w:color="000000" w:fill="FFFFFF"/>
            <w:noWrap/>
            <w:vAlign w:val="center"/>
            <w:hideMark/>
          </w:tcPr>
          <w:p w14:paraId="054CED51"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96372</w:t>
            </w:r>
          </w:p>
        </w:tc>
        <w:tc>
          <w:tcPr>
            <w:tcW w:w="880" w:type="dxa"/>
            <w:tcBorders>
              <w:top w:val="nil"/>
              <w:left w:val="nil"/>
              <w:bottom w:val="single" w:sz="4" w:space="0" w:color="auto"/>
              <w:right w:val="single" w:sz="4" w:space="0" w:color="auto"/>
            </w:tcBorders>
            <w:shd w:val="clear" w:color="000000" w:fill="FFFFFF"/>
            <w:noWrap/>
            <w:vAlign w:val="center"/>
            <w:hideMark/>
          </w:tcPr>
          <w:p w14:paraId="7338EDB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218583*</w:t>
            </w:r>
          </w:p>
        </w:tc>
        <w:tc>
          <w:tcPr>
            <w:tcW w:w="777" w:type="dxa"/>
            <w:tcBorders>
              <w:top w:val="nil"/>
              <w:left w:val="nil"/>
              <w:bottom w:val="single" w:sz="4" w:space="0" w:color="auto"/>
              <w:right w:val="single" w:sz="4" w:space="0" w:color="auto"/>
            </w:tcBorders>
            <w:shd w:val="clear" w:color="000000" w:fill="FFFFFF"/>
            <w:noWrap/>
            <w:vAlign w:val="center"/>
            <w:hideMark/>
          </w:tcPr>
          <w:p w14:paraId="6A04E657"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98644</w:t>
            </w:r>
          </w:p>
        </w:tc>
        <w:tc>
          <w:tcPr>
            <w:tcW w:w="880" w:type="dxa"/>
            <w:gridSpan w:val="2"/>
            <w:tcBorders>
              <w:top w:val="nil"/>
              <w:left w:val="nil"/>
              <w:bottom w:val="single" w:sz="4" w:space="0" w:color="auto"/>
              <w:right w:val="single" w:sz="4" w:space="0" w:color="auto"/>
            </w:tcBorders>
            <w:shd w:val="clear" w:color="000000" w:fill="FFFFFF"/>
            <w:noWrap/>
            <w:vAlign w:val="center"/>
            <w:hideMark/>
          </w:tcPr>
          <w:p w14:paraId="5905757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119939</w:t>
            </w:r>
          </w:p>
        </w:tc>
        <w:tc>
          <w:tcPr>
            <w:tcW w:w="880" w:type="dxa"/>
            <w:tcBorders>
              <w:top w:val="nil"/>
              <w:left w:val="nil"/>
              <w:bottom w:val="single" w:sz="4" w:space="0" w:color="auto"/>
              <w:right w:val="single" w:sz="4" w:space="0" w:color="auto"/>
            </w:tcBorders>
            <w:shd w:val="clear" w:color="000000" w:fill="FFFFFF"/>
            <w:noWrap/>
            <w:vAlign w:val="center"/>
            <w:hideMark/>
          </w:tcPr>
          <w:p w14:paraId="41792D1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182085* </w:t>
            </w:r>
          </w:p>
        </w:tc>
        <w:tc>
          <w:tcPr>
            <w:tcW w:w="777" w:type="dxa"/>
            <w:tcBorders>
              <w:top w:val="nil"/>
              <w:left w:val="nil"/>
              <w:bottom w:val="single" w:sz="4" w:space="0" w:color="auto"/>
              <w:right w:val="single" w:sz="4" w:space="0" w:color="auto"/>
            </w:tcBorders>
            <w:shd w:val="clear" w:color="000000" w:fill="FFFFFF"/>
            <w:noWrap/>
            <w:vAlign w:val="center"/>
            <w:hideMark/>
          </w:tcPr>
          <w:p w14:paraId="60C41F7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82029</w:t>
            </w:r>
          </w:p>
        </w:tc>
        <w:tc>
          <w:tcPr>
            <w:tcW w:w="880" w:type="dxa"/>
            <w:gridSpan w:val="2"/>
            <w:tcBorders>
              <w:top w:val="nil"/>
              <w:left w:val="nil"/>
              <w:bottom w:val="single" w:sz="4" w:space="0" w:color="auto"/>
              <w:right w:val="single" w:sz="4" w:space="0" w:color="auto"/>
            </w:tcBorders>
            <w:shd w:val="clear" w:color="000000" w:fill="FFFFFF"/>
            <w:noWrap/>
            <w:vAlign w:val="center"/>
            <w:hideMark/>
          </w:tcPr>
          <w:p w14:paraId="5EF86DC6"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100056</w:t>
            </w:r>
          </w:p>
        </w:tc>
        <w:tc>
          <w:tcPr>
            <w:tcW w:w="880" w:type="dxa"/>
            <w:tcBorders>
              <w:top w:val="nil"/>
              <w:left w:val="nil"/>
              <w:bottom w:val="single" w:sz="4" w:space="0" w:color="auto"/>
              <w:right w:val="single" w:sz="4" w:space="0" w:color="auto"/>
            </w:tcBorders>
            <w:shd w:val="clear" w:color="000000" w:fill="FFFFFF"/>
            <w:noWrap/>
            <w:vAlign w:val="center"/>
            <w:hideMark/>
          </w:tcPr>
          <w:p w14:paraId="7B9838B1"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182034*</w:t>
            </w:r>
          </w:p>
        </w:tc>
        <w:tc>
          <w:tcPr>
            <w:tcW w:w="777" w:type="dxa"/>
            <w:tcBorders>
              <w:top w:val="nil"/>
              <w:left w:val="nil"/>
              <w:bottom w:val="single" w:sz="4" w:space="0" w:color="auto"/>
              <w:right w:val="single" w:sz="4" w:space="0" w:color="auto"/>
            </w:tcBorders>
            <w:shd w:val="clear" w:color="000000" w:fill="FFFFFF"/>
            <w:noWrap/>
            <w:vAlign w:val="center"/>
            <w:hideMark/>
          </w:tcPr>
          <w:p w14:paraId="19C3D07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 82442   </w:t>
            </w:r>
          </w:p>
        </w:tc>
        <w:tc>
          <w:tcPr>
            <w:tcW w:w="880" w:type="dxa"/>
            <w:tcBorders>
              <w:top w:val="nil"/>
              <w:left w:val="nil"/>
              <w:bottom w:val="single" w:sz="4" w:space="0" w:color="auto"/>
              <w:right w:val="single" w:sz="4" w:space="0" w:color="auto"/>
            </w:tcBorders>
            <w:shd w:val="clear" w:color="000000" w:fill="FFFFFF"/>
            <w:noWrap/>
            <w:vAlign w:val="center"/>
            <w:hideMark/>
          </w:tcPr>
          <w:p w14:paraId="082244B9"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 99592   </w:t>
            </w:r>
          </w:p>
        </w:tc>
        <w:tc>
          <w:tcPr>
            <w:tcW w:w="880" w:type="dxa"/>
            <w:tcBorders>
              <w:top w:val="nil"/>
              <w:left w:val="nil"/>
              <w:bottom w:val="single" w:sz="4" w:space="0" w:color="auto"/>
              <w:right w:val="single" w:sz="4" w:space="0" w:color="auto"/>
            </w:tcBorders>
            <w:shd w:val="clear" w:color="000000" w:fill="FFFFFF"/>
            <w:noWrap/>
            <w:vAlign w:val="center"/>
            <w:hideMark/>
          </w:tcPr>
          <w:p w14:paraId="25B3239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172916*  </w:t>
            </w:r>
          </w:p>
        </w:tc>
        <w:tc>
          <w:tcPr>
            <w:tcW w:w="777" w:type="dxa"/>
            <w:tcBorders>
              <w:top w:val="nil"/>
              <w:left w:val="nil"/>
              <w:bottom w:val="single" w:sz="4" w:space="0" w:color="auto"/>
              <w:right w:val="single" w:sz="4" w:space="0" w:color="auto"/>
            </w:tcBorders>
            <w:shd w:val="clear" w:color="000000" w:fill="FFFFFF"/>
            <w:noWrap/>
            <w:vAlign w:val="center"/>
            <w:hideMark/>
          </w:tcPr>
          <w:p w14:paraId="6469C633"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77306</w:t>
            </w:r>
          </w:p>
        </w:tc>
        <w:tc>
          <w:tcPr>
            <w:tcW w:w="880" w:type="dxa"/>
            <w:tcBorders>
              <w:top w:val="nil"/>
              <w:left w:val="nil"/>
              <w:bottom w:val="single" w:sz="4" w:space="0" w:color="auto"/>
              <w:right w:val="single" w:sz="4" w:space="0" w:color="auto"/>
            </w:tcBorders>
            <w:shd w:val="clear" w:color="000000" w:fill="FFFFFF"/>
            <w:noWrap/>
            <w:vAlign w:val="center"/>
            <w:hideMark/>
          </w:tcPr>
          <w:p w14:paraId="48E58B03"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95610</w:t>
            </w:r>
          </w:p>
        </w:tc>
      </w:tr>
      <w:tr w:rsidR="00321165" w:rsidRPr="00321165" w14:paraId="6324E23E" w14:textId="77777777" w:rsidTr="00321165">
        <w:trPr>
          <w:trHeight w:val="221"/>
        </w:trPr>
        <w:tc>
          <w:tcPr>
            <w:tcW w:w="1543" w:type="dxa"/>
            <w:tcBorders>
              <w:top w:val="nil"/>
              <w:left w:val="single" w:sz="4" w:space="0" w:color="auto"/>
              <w:bottom w:val="single" w:sz="4" w:space="0" w:color="auto"/>
              <w:right w:val="single" w:sz="4" w:space="0" w:color="auto"/>
            </w:tcBorders>
            <w:shd w:val="clear" w:color="000000" w:fill="FFFFFF"/>
            <w:vAlign w:val="center"/>
          </w:tcPr>
          <w:p w14:paraId="519935F6"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Медеуский</w:t>
            </w:r>
          </w:p>
        </w:tc>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7DB7EC5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216458</w:t>
            </w:r>
          </w:p>
        </w:tc>
        <w:tc>
          <w:tcPr>
            <w:tcW w:w="777" w:type="dxa"/>
            <w:tcBorders>
              <w:top w:val="nil"/>
              <w:left w:val="nil"/>
              <w:bottom w:val="single" w:sz="4" w:space="0" w:color="auto"/>
              <w:right w:val="single" w:sz="4" w:space="0" w:color="auto"/>
            </w:tcBorders>
            <w:shd w:val="clear" w:color="000000" w:fill="FFFFFF"/>
            <w:noWrap/>
            <w:vAlign w:val="center"/>
            <w:hideMark/>
          </w:tcPr>
          <w:p w14:paraId="13F3AF5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95540</w:t>
            </w:r>
          </w:p>
        </w:tc>
        <w:tc>
          <w:tcPr>
            <w:tcW w:w="880" w:type="dxa"/>
            <w:tcBorders>
              <w:top w:val="nil"/>
              <w:left w:val="nil"/>
              <w:bottom w:val="single" w:sz="4" w:space="0" w:color="auto"/>
              <w:right w:val="single" w:sz="4" w:space="0" w:color="auto"/>
            </w:tcBorders>
            <w:shd w:val="clear" w:color="000000" w:fill="FFFFFF"/>
            <w:noWrap/>
            <w:vAlign w:val="center"/>
            <w:hideMark/>
          </w:tcPr>
          <w:p w14:paraId="069B34C4"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120918</w:t>
            </w:r>
          </w:p>
        </w:tc>
        <w:tc>
          <w:tcPr>
            <w:tcW w:w="880" w:type="dxa"/>
            <w:tcBorders>
              <w:top w:val="nil"/>
              <w:left w:val="nil"/>
              <w:bottom w:val="single" w:sz="4" w:space="0" w:color="auto"/>
              <w:right w:val="single" w:sz="4" w:space="0" w:color="auto"/>
            </w:tcBorders>
            <w:shd w:val="clear" w:color="000000" w:fill="FFFFFF"/>
            <w:noWrap/>
            <w:vAlign w:val="center"/>
            <w:hideMark/>
          </w:tcPr>
          <w:p w14:paraId="0B43FC9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220884</w:t>
            </w:r>
          </w:p>
        </w:tc>
        <w:tc>
          <w:tcPr>
            <w:tcW w:w="777" w:type="dxa"/>
            <w:tcBorders>
              <w:top w:val="nil"/>
              <w:left w:val="nil"/>
              <w:bottom w:val="single" w:sz="4" w:space="0" w:color="auto"/>
              <w:right w:val="single" w:sz="4" w:space="0" w:color="auto"/>
            </w:tcBorders>
            <w:shd w:val="clear" w:color="000000" w:fill="FFFFFF"/>
            <w:noWrap/>
            <w:vAlign w:val="center"/>
            <w:hideMark/>
          </w:tcPr>
          <w:p w14:paraId="4A3E58A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98058</w:t>
            </w:r>
          </w:p>
        </w:tc>
        <w:tc>
          <w:tcPr>
            <w:tcW w:w="880" w:type="dxa"/>
            <w:gridSpan w:val="2"/>
            <w:tcBorders>
              <w:top w:val="nil"/>
              <w:left w:val="nil"/>
              <w:bottom w:val="single" w:sz="4" w:space="0" w:color="auto"/>
              <w:right w:val="single" w:sz="4" w:space="0" w:color="auto"/>
            </w:tcBorders>
            <w:shd w:val="clear" w:color="000000" w:fill="FFFFFF"/>
            <w:noWrap/>
            <w:vAlign w:val="center"/>
            <w:hideMark/>
          </w:tcPr>
          <w:p w14:paraId="54DC5ED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122826</w:t>
            </w:r>
          </w:p>
        </w:tc>
        <w:tc>
          <w:tcPr>
            <w:tcW w:w="880" w:type="dxa"/>
            <w:tcBorders>
              <w:top w:val="nil"/>
              <w:left w:val="nil"/>
              <w:bottom w:val="single" w:sz="4" w:space="0" w:color="auto"/>
              <w:right w:val="single" w:sz="4" w:space="0" w:color="auto"/>
            </w:tcBorders>
            <w:shd w:val="clear" w:color="000000" w:fill="FFFFFF"/>
            <w:noWrap/>
            <w:vAlign w:val="center"/>
            <w:hideMark/>
          </w:tcPr>
          <w:p w14:paraId="252FBD05"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229961  </w:t>
            </w:r>
          </w:p>
        </w:tc>
        <w:tc>
          <w:tcPr>
            <w:tcW w:w="777" w:type="dxa"/>
            <w:tcBorders>
              <w:top w:val="nil"/>
              <w:left w:val="nil"/>
              <w:bottom w:val="single" w:sz="4" w:space="0" w:color="auto"/>
              <w:right w:val="single" w:sz="4" w:space="0" w:color="auto"/>
            </w:tcBorders>
            <w:shd w:val="clear" w:color="000000" w:fill="FFFFFF"/>
            <w:noWrap/>
            <w:vAlign w:val="center"/>
            <w:hideMark/>
          </w:tcPr>
          <w:p w14:paraId="33732AE7"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102571</w:t>
            </w:r>
          </w:p>
        </w:tc>
        <w:tc>
          <w:tcPr>
            <w:tcW w:w="880" w:type="dxa"/>
            <w:gridSpan w:val="2"/>
            <w:tcBorders>
              <w:top w:val="nil"/>
              <w:left w:val="nil"/>
              <w:bottom w:val="single" w:sz="4" w:space="0" w:color="auto"/>
              <w:right w:val="single" w:sz="4" w:space="0" w:color="auto"/>
            </w:tcBorders>
            <w:shd w:val="clear" w:color="000000" w:fill="FFFFFF"/>
            <w:noWrap/>
            <w:vAlign w:val="center"/>
            <w:hideMark/>
          </w:tcPr>
          <w:p w14:paraId="6441C1B3"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127390</w:t>
            </w:r>
          </w:p>
        </w:tc>
        <w:tc>
          <w:tcPr>
            <w:tcW w:w="880" w:type="dxa"/>
            <w:tcBorders>
              <w:top w:val="nil"/>
              <w:left w:val="nil"/>
              <w:bottom w:val="single" w:sz="4" w:space="0" w:color="auto"/>
              <w:right w:val="single" w:sz="4" w:space="0" w:color="auto"/>
            </w:tcBorders>
            <w:shd w:val="clear" w:color="000000" w:fill="FFFFFF"/>
            <w:noWrap/>
            <w:vAlign w:val="center"/>
            <w:hideMark/>
          </w:tcPr>
          <w:p w14:paraId="49B0CB71"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231090</w:t>
            </w:r>
          </w:p>
        </w:tc>
        <w:tc>
          <w:tcPr>
            <w:tcW w:w="777" w:type="dxa"/>
            <w:tcBorders>
              <w:top w:val="nil"/>
              <w:left w:val="nil"/>
              <w:bottom w:val="single" w:sz="4" w:space="0" w:color="auto"/>
              <w:right w:val="single" w:sz="4" w:space="0" w:color="auto"/>
            </w:tcBorders>
            <w:shd w:val="clear" w:color="000000" w:fill="FFFFFF"/>
            <w:noWrap/>
            <w:vAlign w:val="center"/>
            <w:hideMark/>
          </w:tcPr>
          <w:p w14:paraId="1E79789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103676   </w:t>
            </w:r>
          </w:p>
        </w:tc>
        <w:tc>
          <w:tcPr>
            <w:tcW w:w="880" w:type="dxa"/>
            <w:tcBorders>
              <w:top w:val="nil"/>
              <w:left w:val="nil"/>
              <w:bottom w:val="single" w:sz="4" w:space="0" w:color="auto"/>
              <w:right w:val="single" w:sz="4" w:space="0" w:color="auto"/>
            </w:tcBorders>
            <w:shd w:val="clear" w:color="000000" w:fill="FFFFFF"/>
            <w:noWrap/>
            <w:vAlign w:val="center"/>
            <w:hideMark/>
          </w:tcPr>
          <w:p w14:paraId="3514A1E2"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127414   </w:t>
            </w:r>
          </w:p>
        </w:tc>
        <w:tc>
          <w:tcPr>
            <w:tcW w:w="880" w:type="dxa"/>
            <w:tcBorders>
              <w:top w:val="nil"/>
              <w:left w:val="nil"/>
              <w:bottom w:val="single" w:sz="4" w:space="0" w:color="auto"/>
              <w:right w:val="single" w:sz="4" w:space="0" w:color="auto"/>
            </w:tcBorders>
            <w:shd w:val="clear" w:color="000000" w:fill="FFFFFF"/>
            <w:noWrap/>
            <w:vAlign w:val="center"/>
            <w:hideMark/>
          </w:tcPr>
          <w:p w14:paraId="73933131"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243603  </w:t>
            </w:r>
          </w:p>
        </w:tc>
        <w:tc>
          <w:tcPr>
            <w:tcW w:w="777" w:type="dxa"/>
            <w:tcBorders>
              <w:top w:val="nil"/>
              <w:left w:val="nil"/>
              <w:bottom w:val="single" w:sz="4" w:space="0" w:color="auto"/>
              <w:right w:val="single" w:sz="4" w:space="0" w:color="auto"/>
            </w:tcBorders>
            <w:shd w:val="clear" w:color="000000" w:fill="FFFFFF"/>
            <w:noWrap/>
            <w:vAlign w:val="center"/>
            <w:hideMark/>
          </w:tcPr>
          <w:p w14:paraId="70D319B0"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111083</w:t>
            </w:r>
          </w:p>
        </w:tc>
        <w:tc>
          <w:tcPr>
            <w:tcW w:w="880" w:type="dxa"/>
            <w:tcBorders>
              <w:top w:val="nil"/>
              <w:left w:val="nil"/>
              <w:bottom w:val="single" w:sz="4" w:space="0" w:color="auto"/>
              <w:right w:val="single" w:sz="4" w:space="0" w:color="auto"/>
            </w:tcBorders>
            <w:shd w:val="clear" w:color="000000" w:fill="FFFFFF"/>
            <w:noWrap/>
            <w:vAlign w:val="center"/>
            <w:hideMark/>
          </w:tcPr>
          <w:p w14:paraId="6D8D5C90"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132520</w:t>
            </w:r>
          </w:p>
        </w:tc>
      </w:tr>
      <w:tr w:rsidR="00321165" w:rsidRPr="00321165" w14:paraId="690178FC" w14:textId="77777777" w:rsidTr="00321165">
        <w:trPr>
          <w:trHeight w:val="221"/>
        </w:trPr>
        <w:tc>
          <w:tcPr>
            <w:tcW w:w="1543" w:type="dxa"/>
            <w:tcBorders>
              <w:top w:val="nil"/>
              <w:left w:val="single" w:sz="4" w:space="0" w:color="auto"/>
              <w:bottom w:val="single" w:sz="4" w:space="0" w:color="auto"/>
              <w:right w:val="single" w:sz="4" w:space="0" w:color="auto"/>
            </w:tcBorders>
            <w:shd w:val="clear" w:color="000000" w:fill="FFFFFF"/>
            <w:vAlign w:val="center"/>
          </w:tcPr>
          <w:p w14:paraId="19084DF3"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Наурызбайский</w:t>
            </w:r>
          </w:p>
        </w:tc>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6EA32C8E"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83412</w:t>
            </w:r>
          </w:p>
        </w:tc>
        <w:tc>
          <w:tcPr>
            <w:tcW w:w="777" w:type="dxa"/>
            <w:tcBorders>
              <w:top w:val="nil"/>
              <w:left w:val="nil"/>
              <w:bottom w:val="single" w:sz="4" w:space="0" w:color="auto"/>
              <w:right w:val="single" w:sz="4" w:space="0" w:color="auto"/>
            </w:tcBorders>
            <w:shd w:val="clear" w:color="000000" w:fill="FFFFFF"/>
            <w:noWrap/>
            <w:vAlign w:val="center"/>
            <w:hideMark/>
          </w:tcPr>
          <w:p w14:paraId="04F1362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38831</w:t>
            </w:r>
          </w:p>
        </w:tc>
        <w:tc>
          <w:tcPr>
            <w:tcW w:w="880" w:type="dxa"/>
            <w:tcBorders>
              <w:top w:val="nil"/>
              <w:left w:val="nil"/>
              <w:bottom w:val="single" w:sz="4" w:space="0" w:color="auto"/>
              <w:right w:val="single" w:sz="4" w:space="0" w:color="auto"/>
            </w:tcBorders>
            <w:shd w:val="clear" w:color="000000" w:fill="FFFFFF"/>
            <w:noWrap/>
            <w:vAlign w:val="center"/>
            <w:hideMark/>
          </w:tcPr>
          <w:p w14:paraId="34B745A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44581</w:t>
            </w:r>
          </w:p>
        </w:tc>
        <w:tc>
          <w:tcPr>
            <w:tcW w:w="880" w:type="dxa"/>
            <w:tcBorders>
              <w:top w:val="nil"/>
              <w:left w:val="nil"/>
              <w:bottom w:val="single" w:sz="4" w:space="0" w:color="auto"/>
              <w:right w:val="single" w:sz="4" w:space="0" w:color="auto"/>
            </w:tcBorders>
            <w:shd w:val="clear" w:color="000000" w:fill="FFFFFF"/>
            <w:noWrap/>
            <w:vAlign w:val="center"/>
            <w:hideMark/>
          </w:tcPr>
          <w:p w14:paraId="75F8803E"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98448</w:t>
            </w:r>
          </w:p>
        </w:tc>
        <w:tc>
          <w:tcPr>
            <w:tcW w:w="777" w:type="dxa"/>
            <w:tcBorders>
              <w:top w:val="nil"/>
              <w:left w:val="nil"/>
              <w:bottom w:val="single" w:sz="4" w:space="0" w:color="auto"/>
              <w:right w:val="single" w:sz="4" w:space="0" w:color="auto"/>
            </w:tcBorders>
            <w:shd w:val="clear" w:color="000000" w:fill="FFFFFF"/>
            <w:noWrap/>
            <w:vAlign w:val="center"/>
            <w:hideMark/>
          </w:tcPr>
          <w:p w14:paraId="595CC38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45580</w:t>
            </w:r>
          </w:p>
        </w:tc>
        <w:tc>
          <w:tcPr>
            <w:tcW w:w="880" w:type="dxa"/>
            <w:gridSpan w:val="2"/>
            <w:tcBorders>
              <w:top w:val="nil"/>
              <w:left w:val="nil"/>
              <w:bottom w:val="single" w:sz="4" w:space="0" w:color="auto"/>
              <w:right w:val="single" w:sz="4" w:space="0" w:color="auto"/>
            </w:tcBorders>
            <w:shd w:val="clear" w:color="000000" w:fill="FFFFFF"/>
            <w:noWrap/>
            <w:vAlign w:val="center"/>
            <w:hideMark/>
          </w:tcPr>
          <w:p w14:paraId="56C61FB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52868</w:t>
            </w:r>
          </w:p>
        </w:tc>
        <w:tc>
          <w:tcPr>
            <w:tcW w:w="880" w:type="dxa"/>
            <w:tcBorders>
              <w:top w:val="nil"/>
              <w:left w:val="nil"/>
              <w:bottom w:val="single" w:sz="4" w:space="0" w:color="auto"/>
              <w:right w:val="single" w:sz="4" w:space="0" w:color="auto"/>
            </w:tcBorders>
            <w:shd w:val="clear" w:color="000000" w:fill="FFFFFF"/>
            <w:noWrap/>
            <w:vAlign w:val="center"/>
            <w:hideMark/>
          </w:tcPr>
          <w:p w14:paraId="09BC3549"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114645  </w:t>
            </w:r>
          </w:p>
        </w:tc>
        <w:tc>
          <w:tcPr>
            <w:tcW w:w="777" w:type="dxa"/>
            <w:tcBorders>
              <w:top w:val="nil"/>
              <w:left w:val="nil"/>
              <w:bottom w:val="single" w:sz="4" w:space="0" w:color="auto"/>
              <w:right w:val="single" w:sz="4" w:space="0" w:color="auto"/>
            </w:tcBorders>
            <w:shd w:val="clear" w:color="000000" w:fill="FFFFFF"/>
            <w:noWrap/>
            <w:vAlign w:val="center"/>
            <w:hideMark/>
          </w:tcPr>
          <w:p w14:paraId="1454D7A9"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53182</w:t>
            </w:r>
          </w:p>
        </w:tc>
        <w:tc>
          <w:tcPr>
            <w:tcW w:w="880" w:type="dxa"/>
            <w:gridSpan w:val="2"/>
            <w:tcBorders>
              <w:top w:val="nil"/>
              <w:left w:val="nil"/>
              <w:bottom w:val="single" w:sz="4" w:space="0" w:color="auto"/>
              <w:right w:val="single" w:sz="4" w:space="0" w:color="auto"/>
            </w:tcBorders>
            <w:shd w:val="clear" w:color="000000" w:fill="FFFFFF"/>
            <w:noWrap/>
            <w:vAlign w:val="center"/>
            <w:hideMark/>
          </w:tcPr>
          <w:p w14:paraId="15E23355"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61463</w:t>
            </w:r>
          </w:p>
        </w:tc>
        <w:tc>
          <w:tcPr>
            <w:tcW w:w="880" w:type="dxa"/>
            <w:tcBorders>
              <w:top w:val="nil"/>
              <w:left w:val="nil"/>
              <w:bottom w:val="single" w:sz="4" w:space="0" w:color="auto"/>
              <w:right w:val="single" w:sz="4" w:space="0" w:color="auto"/>
            </w:tcBorders>
            <w:shd w:val="clear" w:color="000000" w:fill="FFFFFF"/>
            <w:noWrap/>
            <w:vAlign w:val="center"/>
            <w:hideMark/>
          </w:tcPr>
          <w:p w14:paraId="21D7FB8E"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120297</w:t>
            </w:r>
          </w:p>
        </w:tc>
        <w:tc>
          <w:tcPr>
            <w:tcW w:w="777" w:type="dxa"/>
            <w:tcBorders>
              <w:top w:val="nil"/>
              <w:left w:val="nil"/>
              <w:bottom w:val="single" w:sz="4" w:space="0" w:color="auto"/>
              <w:right w:val="single" w:sz="4" w:space="0" w:color="auto"/>
            </w:tcBorders>
            <w:shd w:val="clear" w:color="000000" w:fill="FFFFFF"/>
            <w:noWrap/>
            <w:vAlign w:val="center"/>
            <w:hideMark/>
          </w:tcPr>
          <w:p w14:paraId="75DA287C"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55566   </w:t>
            </w:r>
          </w:p>
        </w:tc>
        <w:tc>
          <w:tcPr>
            <w:tcW w:w="880" w:type="dxa"/>
            <w:tcBorders>
              <w:top w:val="nil"/>
              <w:left w:val="nil"/>
              <w:bottom w:val="single" w:sz="4" w:space="0" w:color="auto"/>
              <w:right w:val="single" w:sz="4" w:space="0" w:color="auto"/>
            </w:tcBorders>
            <w:shd w:val="clear" w:color="000000" w:fill="FFFFFF"/>
            <w:noWrap/>
            <w:vAlign w:val="center"/>
            <w:hideMark/>
          </w:tcPr>
          <w:p w14:paraId="4D501C33"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64731   </w:t>
            </w:r>
          </w:p>
        </w:tc>
        <w:tc>
          <w:tcPr>
            <w:tcW w:w="880" w:type="dxa"/>
            <w:tcBorders>
              <w:top w:val="nil"/>
              <w:left w:val="nil"/>
              <w:bottom w:val="single" w:sz="4" w:space="0" w:color="auto"/>
              <w:right w:val="single" w:sz="4" w:space="0" w:color="auto"/>
            </w:tcBorders>
            <w:shd w:val="clear" w:color="000000" w:fill="FFFFFF"/>
            <w:noWrap/>
            <w:vAlign w:val="center"/>
            <w:hideMark/>
          </w:tcPr>
          <w:p w14:paraId="1556B3C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133218  </w:t>
            </w:r>
          </w:p>
        </w:tc>
        <w:tc>
          <w:tcPr>
            <w:tcW w:w="777" w:type="dxa"/>
            <w:tcBorders>
              <w:top w:val="nil"/>
              <w:left w:val="nil"/>
              <w:bottom w:val="single" w:sz="4" w:space="0" w:color="auto"/>
              <w:right w:val="single" w:sz="4" w:space="0" w:color="auto"/>
            </w:tcBorders>
            <w:shd w:val="clear" w:color="000000" w:fill="FFFFFF"/>
            <w:noWrap/>
            <w:vAlign w:val="center"/>
            <w:hideMark/>
          </w:tcPr>
          <w:p w14:paraId="3A3CD987"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61462</w:t>
            </w:r>
          </w:p>
        </w:tc>
        <w:tc>
          <w:tcPr>
            <w:tcW w:w="880" w:type="dxa"/>
            <w:tcBorders>
              <w:top w:val="nil"/>
              <w:left w:val="nil"/>
              <w:bottom w:val="single" w:sz="4" w:space="0" w:color="auto"/>
              <w:right w:val="single" w:sz="4" w:space="0" w:color="auto"/>
            </w:tcBorders>
            <w:shd w:val="clear" w:color="000000" w:fill="FFFFFF"/>
            <w:noWrap/>
            <w:vAlign w:val="center"/>
            <w:hideMark/>
          </w:tcPr>
          <w:p w14:paraId="4B71D4E7"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71756</w:t>
            </w:r>
          </w:p>
        </w:tc>
      </w:tr>
      <w:tr w:rsidR="00321165" w:rsidRPr="00321165" w14:paraId="56E4905D" w14:textId="77777777" w:rsidTr="00321165">
        <w:trPr>
          <w:trHeight w:val="221"/>
        </w:trPr>
        <w:tc>
          <w:tcPr>
            <w:tcW w:w="1543" w:type="dxa"/>
            <w:tcBorders>
              <w:top w:val="nil"/>
              <w:left w:val="single" w:sz="4" w:space="0" w:color="auto"/>
              <w:bottom w:val="single" w:sz="4" w:space="0" w:color="auto"/>
              <w:right w:val="single" w:sz="4" w:space="0" w:color="auto"/>
            </w:tcBorders>
            <w:shd w:val="clear" w:color="000000" w:fill="FFFFFF"/>
            <w:vAlign w:val="center"/>
          </w:tcPr>
          <w:p w14:paraId="788B37EE"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Турксибский</w:t>
            </w:r>
          </w:p>
        </w:tc>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0FEDA43E"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227642</w:t>
            </w:r>
          </w:p>
        </w:tc>
        <w:tc>
          <w:tcPr>
            <w:tcW w:w="777" w:type="dxa"/>
            <w:tcBorders>
              <w:top w:val="nil"/>
              <w:left w:val="nil"/>
              <w:bottom w:val="single" w:sz="4" w:space="0" w:color="auto"/>
              <w:right w:val="single" w:sz="4" w:space="0" w:color="auto"/>
            </w:tcBorders>
            <w:shd w:val="clear" w:color="000000" w:fill="FFFFFF"/>
            <w:noWrap/>
            <w:vAlign w:val="center"/>
            <w:hideMark/>
          </w:tcPr>
          <w:p w14:paraId="2AC29EE3"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104925</w:t>
            </w:r>
          </w:p>
        </w:tc>
        <w:tc>
          <w:tcPr>
            <w:tcW w:w="880" w:type="dxa"/>
            <w:tcBorders>
              <w:top w:val="nil"/>
              <w:left w:val="nil"/>
              <w:bottom w:val="single" w:sz="4" w:space="0" w:color="auto"/>
              <w:right w:val="single" w:sz="4" w:space="0" w:color="auto"/>
            </w:tcBorders>
            <w:shd w:val="clear" w:color="000000" w:fill="FFFFFF"/>
            <w:noWrap/>
            <w:vAlign w:val="center"/>
            <w:hideMark/>
          </w:tcPr>
          <w:p w14:paraId="0756456E"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122717</w:t>
            </w:r>
          </w:p>
        </w:tc>
        <w:tc>
          <w:tcPr>
            <w:tcW w:w="880" w:type="dxa"/>
            <w:tcBorders>
              <w:top w:val="nil"/>
              <w:left w:val="nil"/>
              <w:bottom w:val="single" w:sz="4" w:space="0" w:color="auto"/>
              <w:right w:val="single" w:sz="4" w:space="0" w:color="auto"/>
            </w:tcBorders>
            <w:shd w:val="clear" w:color="000000" w:fill="FFFFFF"/>
            <w:noWrap/>
            <w:vAlign w:val="center"/>
            <w:hideMark/>
          </w:tcPr>
          <w:p w14:paraId="13B25412"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192694*</w:t>
            </w:r>
          </w:p>
        </w:tc>
        <w:tc>
          <w:tcPr>
            <w:tcW w:w="777" w:type="dxa"/>
            <w:tcBorders>
              <w:top w:val="nil"/>
              <w:left w:val="nil"/>
              <w:bottom w:val="single" w:sz="4" w:space="0" w:color="auto"/>
              <w:right w:val="single" w:sz="4" w:space="0" w:color="auto"/>
            </w:tcBorders>
            <w:shd w:val="clear" w:color="000000" w:fill="FFFFFF"/>
            <w:noWrap/>
            <w:vAlign w:val="center"/>
            <w:hideMark/>
          </w:tcPr>
          <w:p w14:paraId="3B4FF87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88978</w:t>
            </w:r>
          </w:p>
        </w:tc>
        <w:tc>
          <w:tcPr>
            <w:tcW w:w="880" w:type="dxa"/>
            <w:gridSpan w:val="2"/>
            <w:tcBorders>
              <w:top w:val="nil"/>
              <w:left w:val="nil"/>
              <w:bottom w:val="single" w:sz="4" w:space="0" w:color="auto"/>
              <w:right w:val="single" w:sz="4" w:space="0" w:color="auto"/>
            </w:tcBorders>
            <w:shd w:val="clear" w:color="000000" w:fill="FFFFFF"/>
            <w:noWrap/>
            <w:vAlign w:val="center"/>
            <w:hideMark/>
          </w:tcPr>
          <w:p w14:paraId="05FC342B"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103716</w:t>
            </w:r>
          </w:p>
        </w:tc>
        <w:tc>
          <w:tcPr>
            <w:tcW w:w="880" w:type="dxa"/>
            <w:tcBorders>
              <w:top w:val="nil"/>
              <w:left w:val="nil"/>
              <w:bottom w:val="single" w:sz="4" w:space="0" w:color="auto"/>
              <w:right w:val="single" w:sz="4" w:space="0" w:color="auto"/>
            </w:tcBorders>
            <w:shd w:val="clear" w:color="000000" w:fill="FFFFFF"/>
            <w:noWrap/>
            <w:vAlign w:val="center"/>
            <w:hideMark/>
          </w:tcPr>
          <w:p w14:paraId="376A12E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244177* </w:t>
            </w:r>
          </w:p>
        </w:tc>
        <w:tc>
          <w:tcPr>
            <w:tcW w:w="777" w:type="dxa"/>
            <w:tcBorders>
              <w:top w:val="nil"/>
              <w:left w:val="nil"/>
              <w:bottom w:val="single" w:sz="4" w:space="0" w:color="auto"/>
              <w:right w:val="single" w:sz="4" w:space="0" w:color="auto"/>
            </w:tcBorders>
            <w:shd w:val="clear" w:color="000000" w:fill="FFFFFF"/>
            <w:noWrap/>
            <w:vAlign w:val="center"/>
            <w:hideMark/>
          </w:tcPr>
          <w:p w14:paraId="7B6464C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112722</w:t>
            </w:r>
          </w:p>
        </w:tc>
        <w:tc>
          <w:tcPr>
            <w:tcW w:w="880" w:type="dxa"/>
            <w:gridSpan w:val="2"/>
            <w:tcBorders>
              <w:top w:val="nil"/>
              <w:left w:val="nil"/>
              <w:bottom w:val="single" w:sz="4" w:space="0" w:color="auto"/>
              <w:right w:val="single" w:sz="4" w:space="0" w:color="auto"/>
            </w:tcBorders>
            <w:shd w:val="clear" w:color="000000" w:fill="FFFFFF"/>
            <w:noWrap/>
            <w:vAlign w:val="center"/>
            <w:hideMark/>
          </w:tcPr>
          <w:p w14:paraId="557C562E"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131455</w:t>
            </w:r>
          </w:p>
        </w:tc>
        <w:tc>
          <w:tcPr>
            <w:tcW w:w="880" w:type="dxa"/>
            <w:tcBorders>
              <w:top w:val="nil"/>
              <w:left w:val="nil"/>
              <w:bottom w:val="single" w:sz="4" w:space="0" w:color="auto"/>
              <w:right w:val="single" w:sz="4" w:space="0" w:color="auto"/>
            </w:tcBorders>
            <w:shd w:val="clear" w:color="000000" w:fill="FFFFFF"/>
            <w:noWrap/>
            <w:vAlign w:val="center"/>
            <w:hideMark/>
          </w:tcPr>
          <w:p w14:paraId="1E02FBA7"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247175</w:t>
            </w:r>
          </w:p>
        </w:tc>
        <w:tc>
          <w:tcPr>
            <w:tcW w:w="777" w:type="dxa"/>
            <w:tcBorders>
              <w:top w:val="nil"/>
              <w:left w:val="nil"/>
              <w:bottom w:val="single" w:sz="4" w:space="0" w:color="auto"/>
              <w:right w:val="single" w:sz="4" w:space="0" w:color="auto"/>
            </w:tcBorders>
            <w:shd w:val="clear" w:color="000000" w:fill="FFFFFF"/>
            <w:noWrap/>
            <w:vAlign w:val="center"/>
            <w:hideMark/>
          </w:tcPr>
          <w:p w14:paraId="737D0072"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114557   </w:t>
            </w:r>
          </w:p>
        </w:tc>
        <w:tc>
          <w:tcPr>
            <w:tcW w:w="880" w:type="dxa"/>
            <w:tcBorders>
              <w:top w:val="nil"/>
              <w:left w:val="nil"/>
              <w:bottom w:val="single" w:sz="4" w:space="0" w:color="auto"/>
              <w:right w:val="single" w:sz="4" w:space="0" w:color="auto"/>
            </w:tcBorders>
            <w:shd w:val="clear" w:color="000000" w:fill="FFFFFF"/>
            <w:noWrap/>
            <w:vAlign w:val="center"/>
            <w:hideMark/>
          </w:tcPr>
          <w:p w14:paraId="1D86F9E5"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132618   </w:t>
            </w:r>
          </w:p>
        </w:tc>
        <w:tc>
          <w:tcPr>
            <w:tcW w:w="880" w:type="dxa"/>
            <w:tcBorders>
              <w:top w:val="nil"/>
              <w:left w:val="nil"/>
              <w:bottom w:val="single" w:sz="4" w:space="0" w:color="auto"/>
              <w:right w:val="single" w:sz="4" w:space="0" w:color="auto"/>
            </w:tcBorders>
            <w:shd w:val="clear" w:color="000000" w:fill="FFFFFF"/>
            <w:noWrap/>
            <w:vAlign w:val="center"/>
            <w:hideMark/>
          </w:tcPr>
          <w:p w14:paraId="5E2D8FF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250792  </w:t>
            </w:r>
          </w:p>
        </w:tc>
        <w:tc>
          <w:tcPr>
            <w:tcW w:w="777" w:type="dxa"/>
            <w:tcBorders>
              <w:top w:val="nil"/>
              <w:left w:val="nil"/>
              <w:bottom w:val="single" w:sz="4" w:space="0" w:color="auto"/>
              <w:right w:val="single" w:sz="4" w:space="0" w:color="auto"/>
            </w:tcBorders>
            <w:shd w:val="clear" w:color="000000" w:fill="FFFFFF"/>
            <w:noWrap/>
            <w:vAlign w:val="center"/>
            <w:hideMark/>
          </w:tcPr>
          <w:p w14:paraId="14FA0042"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116759</w:t>
            </w:r>
          </w:p>
        </w:tc>
        <w:tc>
          <w:tcPr>
            <w:tcW w:w="880" w:type="dxa"/>
            <w:tcBorders>
              <w:top w:val="nil"/>
              <w:left w:val="nil"/>
              <w:bottom w:val="single" w:sz="4" w:space="0" w:color="auto"/>
              <w:right w:val="single" w:sz="4" w:space="0" w:color="auto"/>
            </w:tcBorders>
            <w:shd w:val="clear" w:color="000000" w:fill="FFFFFF"/>
            <w:noWrap/>
            <w:vAlign w:val="center"/>
            <w:hideMark/>
          </w:tcPr>
          <w:p w14:paraId="55E8968D"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134033</w:t>
            </w:r>
          </w:p>
        </w:tc>
      </w:tr>
      <w:tr w:rsidR="00321165" w:rsidRPr="00321165" w14:paraId="533014EE" w14:textId="77777777" w:rsidTr="00321165">
        <w:trPr>
          <w:trHeight w:val="221"/>
        </w:trPr>
        <w:tc>
          <w:tcPr>
            <w:tcW w:w="1543" w:type="dxa"/>
            <w:tcBorders>
              <w:top w:val="nil"/>
              <w:left w:val="single" w:sz="4" w:space="0" w:color="auto"/>
              <w:bottom w:val="single" w:sz="4" w:space="0" w:color="auto"/>
              <w:right w:val="single" w:sz="4" w:space="0" w:color="auto"/>
            </w:tcBorders>
            <w:shd w:val="clear" w:color="000000" w:fill="FFFFFF"/>
            <w:vAlign w:val="center"/>
          </w:tcPr>
          <w:p w14:paraId="19832444"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ИТОГО</w:t>
            </w:r>
          </w:p>
        </w:tc>
        <w:tc>
          <w:tcPr>
            <w:tcW w:w="880" w:type="dxa"/>
            <w:tcBorders>
              <w:top w:val="nil"/>
              <w:left w:val="single" w:sz="4" w:space="0" w:color="auto"/>
              <w:bottom w:val="single" w:sz="4" w:space="0" w:color="auto"/>
              <w:right w:val="single" w:sz="4" w:space="0" w:color="auto"/>
            </w:tcBorders>
            <w:shd w:val="clear" w:color="000000" w:fill="FFFFFF"/>
            <w:vAlign w:val="center"/>
            <w:hideMark/>
          </w:tcPr>
          <w:p w14:paraId="57130E6E"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1840097</w:t>
            </w:r>
          </w:p>
        </w:tc>
        <w:tc>
          <w:tcPr>
            <w:tcW w:w="777" w:type="dxa"/>
            <w:tcBorders>
              <w:top w:val="nil"/>
              <w:left w:val="nil"/>
              <w:bottom w:val="single" w:sz="4" w:space="0" w:color="auto"/>
              <w:right w:val="single" w:sz="4" w:space="0" w:color="auto"/>
            </w:tcBorders>
            <w:shd w:val="clear" w:color="000000" w:fill="FFFFFF"/>
            <w:vAlign w:val="center"/>
            <w:hideMark/>
          </w:tcPr>
          <w:p w14:paraId="111D87F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820434</w:t>
            </w:r>
          </w:p>
        </w:tc>
        <w:tc>
          <w:tcPr>
            <w:tcW w:w="880" w:type="dxa"/>
            <w:tcBorders>
              <w:top w:val="nil"/>
              <w:left w:val="nil"/>
              <w:bottom w:val="single" w:sz="4" w:space="0" w:color="auto"/>
              <w:right w:val="single" w:sz="4" w:space="0" w:color="auto"/>
            </w:tcBorders>
            <w:shd w:val="clear" w:color="000000" w:fill="FFFFFF"/>
            <w:vAlign w:val="center"/>
            <w:hideMark/>
          </w:tcPr>
          <w:p w14:paraId="34F63885"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1019663</w:t>
            </w:r>
          </w:p>
        </w:tc>
        <w:tc>
          <w:tcPr>
            <w:tcW w:w="880" w:type="dxa"/>
            <w:tcBorders>
              <w:top w:val="nil"/>
              <w:left w:val="nil"/>
              <w:bottom w:val="single" w:sz="4" w:space="0" w:color="auto"/>
              <w:right w:val="single" w:sz="4" w:space="0" w:color="auto"/>
            </w:tcBorders>
            <w:shd w:val="clear" w:color="000000" w:fill="FFFFFF"/>
            <w:vAlign w:val="center"/>
            <w:hideMark/>
          </w:tcPr>
          <w:p w14:paraId="64E310B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1932040</w:t>
            </w:r>
          </w:p>
        </w:tc>
        <w:tc>
          <w:tcPr>
            <w:tcW w:w="777" w:type="dxa"/>
            <w:tcBorders>
              <w:top w:val="nil"/>
              <w:left w:val="nil"/>
              <w:bottom w:val="single" w:sz="4" w:space="0" w:color="auto"/>
              <w:right w:val="single" w:sz="4" w:space="0" w:color="auto"/>
            </w:tcBorders>
            <w:shd w:val="clear" w:color="000000" w:fill="FFFFFF"/>
            <w:vAlign w:val="center"/>
            <w:hideMark/>
          </w:tcPr>
          <w:p w14:paraId="76054AD7"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865772</w:t>
            </w:r>
          </w:p>
        </w:tc>
        <w:tc>
          <w:tcPr>
            <w:tcW w:w="880" w:type="dxa"/>
            <w:gridSpan w:val="2"/>
            <w:tcBorders>
              <w:top w:val="nil"/>
              <w:left w:val="nil"/>
              <w:bottom w:val="single" w:sz="4" w:space="0" w:color="auto"/>
              <w:right w:val="single" w:sz="4" w:space="0" w:color="auto"/>
            </w:tcBorders>
            <w:shd w:val="clear" w:color="000000" w:fill="FFFFFF"/>
            <w:vAlign w:val="center"/>
            <w:hideMark/>
          </w:tcPr>
          <w:p w14:paraId="44151ECE"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1066268</w:t>
            </w:r>
          </w:p>
        </w:tc>
        <w:tc>
          <w:tcPr>
            <w:tcW w:w="880" w:type="dxa"/>
            <w:tcBorders>
              <w:top w:val="nil"/>
              <w:left w:val="nil"/>
              <w:bottom w:val="single" w:sz="4" w:space="0" w:color="auto"/>
              <w:right w:val="single" w:sz="4" w:space="0" w:color="auto"/>
            </w:tcBorders>
            <w:shd w:val="clear" w:color="000000" w:fill="FFFFFF"/>
            <w:vAlign w:val="center"/>
            <w:hideMark/>
          </w:tcPr>
          <w:p w14:paraId="794B92AF"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2021127  </w:t>
            </w:r>
          </w:p>
        </w:tc>
        <w:tc>
          <w:tcPr>
            <w:tcW w:w="777" w:type="dxa"/>
            <w:tcBorders>
              <w:top w:val="nil"/>
              <w:left w:val="nil"/>
              <w:bottom w:val="single" w:sz="4" w:space="0" w:color="auto"/>
              <w:right w:val="single" w:sz="4" w:space="0" w:color="auto"/>
            </w:tcBorders>
            <w:shd w:val="clear" w:color="000000" w:fill="FFFFFF"/>
            <w:vAlign w:val="center"/>
            <w:hideMark/>
          </w:tcPr>
          <w:p w14:paraId="63473936"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910746</w:t>
            </w:r>
          </w:p>
        </w:tc>
        <w:tc>
          <w:tcPr>
            <w:tcW w:w="880" w:type="dxa"/>
            <w:gridSpan w:val="2"/>
            <w:tcBorders>
              <w:top w:val="nil"/>
              <w:left w:val="nil"/>
              <w:bottom w:val="single" w:sz="4" w:space="0" w:color="auto"/>
              <w:right w:val="single" w:sz="4" w:space="0" w:color="auto"/>
            </w:tcBorders>
            <w:shd w:val="clear" w:color="000000" w:fill="FFFFFF"/>
            <w:vAlign w:val="center"/>
            <w:hideMark/>
          </w:tcPr>
          <w:p w14:paraId="3E6AAD5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1110381</w:t>
            </w:r>
          </w:p>
        </w:tc>
        <w:tc>
          <w:tcPr>
            <w:tcW w:w="880" w:type="dxa"/>
            <w:tcBorders>
              <w:top w:val="nil"/>
              <w:left w:val="nil"/>
              <w:bottom w:val="single" w:sz="4" w:space="0" w:color="auto"/>
              <w:right w:val="single" w:sz="4" w:space="0" w:color="auto"/>
            </w:tcBorders>
            <w:shd w:val="clear" w:color="000000" w:fill="FFFFFF"/>
            <w:noWrap/>
            <w:vAlign w:val="center"/>
            <w:hideMark/>
          </w:tcPr>
          <w:p w14:paraId="1D891C48"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2053888</w:t>
            </w:r>
          </w:p>
        </w:tc>
        <w:tc>
          <w:tcPr>
            <w:tcW w:w="777" w:type="dxa"/>
            <w:tcBorders>
              <w:top w:val="nil"/>
              <w:left w:val="nil"/>
              <w:bottom w:val="single" w:sz="4" w:space="0" w:color="auto"/>
              <w:right w:val="single" w:sz="4" w:space="0" w:color="auto"/>
            </w:tcBorders>
            <w:shd w:val="clear" w:color="000000" w:fill="FFFFFF"/>
            <w:noWrap/>
            <w:vAlign w:val="center"/>
            <w:hideMark/>
          </w:tcPr>
          <w:p w14:paraId="300EADAE" w14:textId="77777777" w:rsidR="005B6AF9" w:rsidRPr="00321165" w:rsidRDefault="005B6AF9" w:rsidP="004135FE">
            <w:pPr>
              <w:spacing w:after="0" w:line="240" w:lineRule="auto"/>
              <w:jc w:val="both"/>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929996   </w:t>
            </w:r>
          </w:p>
        </w:tc>
        <w:tc>
          <w:tcPr>
            <w:tcW w:w="880" w:type="dxa"/>
            <w:tcBorders>
              <w:top w:val="nil"/>
              <w:left w:val="nil"/>
              <w:bottom w:val="single" w:sz="4" w:space="0" w:color="auto"/>
              <w:right w:val="single" w:sz="4" w:space="0" w:color="auto"/>
            </w:tcBorders>
            <w:shd w:val="clear" w:color="000000" w:fill="FFFFFF"/>
            <w:noWrap/>
            <w:vAlign w:val="center"/>
            <w:hideMark/>
          </w:tcPr>
          <w:p w14:paraId="3E29B68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1123892   </w:t>
            </w:r>
          </w:p>
        </w:tc>
        <w:tc>
          <w:tcPr>
            <w:tcW w:w="880" w:type="dxa"/>
            <w:tcBorders>
              <w:top w:val="nil"/>
              <w:left w:val="nil"/>
              <w:bottom w:val="single" w:sz="4" w:space="0" w:color="auto"/>
              <w:right w:val="single" w:sz="4" w:space="0" w:color="auto"/>
            </w:tcBorders>
            <w:shd w:val="clear" w:color="000000" w:fill="FFFFFF"/>
            <w:vAlign w:val="center"/>
            <w:hideMark/>
          </w:tcPr>
          <w:p w14:paraId="614CAD2A"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 xml:space="preserve">2131130  </w:t>
            </w:r>
          </w:p>
        </w:tc>
        <w:tc>
          <w:tcPr>
            <w:tcW w:w="777" w:type="dxa"/>
            <w:tcBorders>
              <w:top w:val="nil"/>
              <w:left w:val="nil"/>
              <w:bottom w:val="single" w:sz="4" w:space="0" w:color="auto"/>
              <w:right w:val="single" w:sz="4" w:space="0" w:color="auto"/>
            </w:tcBorders>
            <w:shd w:val="clear" w:color="000000" w:fill="FFFFFF"/>
            <w:vAlign w:val="center"/>
            <w:hideMark/>
          </w:tcPr>
          <w:p w14:paraId="559C06B6"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967118</w:t>
            </w:r>
          </w:p>
        </w:tc>
        <w:tc>
          <w:tcPr>
            <w:tcW w:w="880" w:type="dxa"/>
            <w:tcBorders>
              <w:top w:val="nil"/>
              <w:left w:val="nil"/>
              <w:bottom w:val="single" w:sz="4" w:space="0" w:color="auto"/>
              <w:right w:val="single" w:sz="4" w:space="0" w:color="auto"/>
            </w:tcBorders>
            <w:shd w:val="clear" w:color="000000" w:fill="FFFFFF"/>
            <w:vAlign w:val="center"/>
            <w:hideMark/>
          </w:tcPr>
          <w:p w14:paraId="5DBA67E1" w14:textId="77777777" w:rsidR="005B6AF9" w:rsidRPr="00321165" w:rsidRDefault="005B6AF9" w:rsidP="004135FE">
            <w:pPr>
              <w:spacing w:after="0" w:line="240" w:lineRule="auto"/>
              <w:rPr>
                <w:rFonts w:ascii="Times New Roman" w:eastAsia="Times New Roman" w:hAnsi="Times New Roman" w:cs="Times New Roman"/>
                <w:sz w:val="28"/>
                <w:szCs w:val="28"/>
              </w:rPr>
            </w:pPr>
            <w:r w:rsidRPr="00321165">
              <w:rPr>
                <w:rFonts w:ascii="Times New Roman" w:eastAsia="Times New Roman" w:hAnsi="Times New Roman" w:cs="Times New Roman"/>
                <w:sz w:val="28"/>
                <w:szCs w:val="28"/>
              </w:rPr>
              <w:t>1164012</w:t>
            </w:r>
          </w:p>
        </w:tc>
      </w:tr>
    </w:tbl>
    <w:p w14:paraId="769FC167" w14:textId="77777777" w:rsidR="005B6AF9" w:rsidRPr="004135FE" w:rsidRDefault="005B6AF9" w:rsidP="004135FE">
      <w:pPr>
        <w:autoSpaceDE w:val="0"/>
        <w:autoSpaceDN w:val="0"/>
        <w:adjustRightInd w:val="0"/>
        <w:spacing w:after="0" w:line="240" w:lineRule="auto"/>
        <w:jc w:val="both"/>
        <w:rPr>
          <w:rFonts w:ascii="Times New Roman" w:hAnsi="Times New Roman" w:cs="Times New Roman"/>
          <w:sz w:val="28"/>
          <w:szCs w:val="28"/>
        </w:rPr>
      </w:pPr>
    </w:p>
    <w:p w14:paraId="69CB8F8A" w14:textId="77777777" w:rsidR="005B6AF9" w:rsidRPr="004135FE" w:rsidRDefault="005B6AF9" w:rsidP="004135FE">
      <w:pPr>
        <w:autoSpaceDE w:val="0"/>
        <w:autoSpaceDN w:val="0"/>
        <w:adjustRightInd w:val="0"/>
        <w:spacing w:after="0" w:line="240" w:lineRule="auto"/>
        <w:jc w:val="both"/>
        <w:rPr>
          <w:rFonts w:ascii="Times New Roman" w:hAnsi="Times New Roman" w:cs="Times New Roman"/>
          <w:sz w:val="28"/>
          <w:szCs w:val="28"/>
        </w:rPr>
      </w:pPr>
    </w:p>
    <w:p w14:paraId="414E9C8A" w14:textId="77777777" w:rsidR="005B6AF9" w:rsidRPr="004135FE" w:rsidRDefault="005B6AF9" w:rsidP="004135FE">
      <w:pPr>
        <w:autoSpaceDE w:val="0"/>
        <w:autoSpaceDN w:val="0"/>
        <w:adjustRightInd w:val="0"/>
        <w:spacing w:after="0" w:line="240" w:lineRule="auto"/>
        <w:jc w:val="both"/>
        <w:rPr>
          <w:rFonts w:ascii="Times New Roman" w:hAnsi="Times New Roman" w:cs="Times New Roman"/>
          <w:sz w:val="28"/>
          <w:szCs w:val="28"/>
        </w:rPr>
      </w:pPr>
    </w:p>
    <w:p w14:paraId="7FD83A30" w14:textId="77777777" w:rsidR="005B6AF9" w:rsidRPr="004135FE" w:rsidRDefault="005B6AF9" w:rsidP="004135FE">
      <w:pPr>
        <w:autoSpaceDE w:val="0"/>
        <w:autoSpaceDN w:val="0"/>
        <w:adjustRightInd w:val="0"/>
        <w:spacing w:after="0" w:line="240" w:lineRule="auto"/>
        <w:jc w:val="both"/>
        <w:rPr>
          <w:rFonts w:ascii="Times New Roman" w:hAnsi="Times New Roman" w:cs="Times New Roman"/>
          <w:sz w:val="28"/>
          <w:szCs w:val="28"/>
        </w:rPr>
      </w:pPr>
    </w:p>
    <w:p w14:paraId="253D3E66" w14:textId="77777777" w:rsidR="005B6AF9" w:rsidRPr="004135FE" w:rsidRDefault="005B6AF9" w:rsidP="004135FE">
      <w:pPr>
        <w:autoSpaceDE w:val="0"/>
        <w:autoSpaceDN w:val="0"/>
        <w:adjustRightInd w:val="0"/>
        <w:spacing w:after="0" w:line="240" w:lineRule="auto"/>
        <w:jc w:val="both"/>
        <w:rPr>
          <w:rFonts w:ascii="Times New Roman" w:hAnsi="Times New Roman" w:cs="Times New Roman"/>
          <w:sz w:val="28"/>
          <w:szCs w:val="28"/>
        </w:rPr>
      </w:pPr>
    </w:p>
    <w:p w14:paraId="2CE28FC1" w14:textId="35EAD4A6" w:rsidR="005B6AF9" w:rsidRPr="004135FE" w:rsidRDefault="005B6AF9" w:rsidP="004135FE">
      <w:pPr>
        <w:autoSpaceDE w:val="0"/>
        <w:autoSpaceDN w:val="0"/>
        <w:adjustRightInd w:val="0"/>
        <w:spacing w:after="0" w:line="240" w:lineRule="auto"/>
        <w:jc w:val="both"/>
        <w:rPr>
          <w:rFonts w:ascii="Times New Roman" w:hAnsi="Times New Roman" w:cs="Times New Roman"/>
          <w:sz w:val="28"/>
          <w:szCs w:val="28"/>
        </w:rPr>
      </w:pPr>
    </w:p>
    <w:p w14:paraId="0AB19B5C" w14:textId="0F28A4A3" w:rsidR="005B6AF9" w:rsidRDefault="00B728EF"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lang w:val="kk-KZ"/>
        </w:rPr>
        <w:t xml:space="preserve">Таблица </w:t>
      </w:r>
      <w:r w:rsidR="005F1B30">
        <w:rPr>
          <w:rFonts w:ascii="Times New Roman" w:hAnsi="Times New Roman" w:cs="Times New Roman"/>
          <w:sz w:val="28"/>
          <w:szCs w:val="28"/>
          <w:lang w:val="kk-KZ"/>
        </w:rPr>
        <w:t>А2 - Сред</w:t>
      </w:r>
      <w:r w:rsidR="005B6AF9" w:rsidRPr="004135FE">
        <w:rPr>
          <w:rFonts w:ascii="Times New Roman" w:hAnsi="Times New Roman" w:cs="Times New Roman"/>
          <w:sz w:val="28"/>
          <w:szCs w:val="28"/>
        </w:rPr>
        <w:t>негодовая численность мужчин по возрастным категориям г Алматы 2012г-2021г (абс)</w:t>
      </w:r>
    </w:p>
    <w:p w14:paraId="4116D3C5" w14:textId="77777777" w:rsidR="00680E37" w:rsidRPr="004135FE" w:rsidRDefault="00680E37" w:rsidP="004135FE">
      <w:pPr>
        <w:autoSpaceDE w:val="0"/>
        <w:autoSpaceDN w:val="0"/>
        <w:adjustRightInd w:val="0"/>
        <w:spacing w:after="0" w:line="240" w:lineRule="auto"/>
        <w:jc w:val="both"/>
        <w:rPr>
          <w:rFonts w:ascii="Times New Roman" w:hAnsi="Times New Roman" w:cs="Times New Roman"/>
          <w:sz w:val="28"/>
          <w:szCs w:val="28"/>
        </w:rPr>
      </w:pPr>
    </w:p>
    <w:tbl>
      <w:tblPr>
        <w:tblW w:w="14459" w:type="dxa"/>
        <w:tblInd w:w="-10" w:type="dxa"/>
        <w:tblLook w:val="04A0" w:firstRow="1" w:lastRow="0" w:firstColumn="1" w:lastColumn="0" w:noHBand="0" w:noVBand="1"/>
      </w:tblPr>
      <w:tblGrid>
        <w:gridCol w:w="506"/>
        <w:gridCol w:w="445"/>
        <w:gridCol w:w="1829"/>
        <w:gridCol w:w="780"/>
        <w:gridCol w:w="955"/>
        <w:gridCol w:w="954"/>
        <w:gridCol w:w="969"/>
        <w:gridCol w:w="969"/>
        <w:gridCol w:w="969"/>
        <w:gridCol w:w="969"/>
        <w:gridCol w:w="969"/>
        <w:gridCol w:w="969"/>
        <w:gridCol w:w="969"/>
        <w:gridCol w:w="969"/>
        <w:gridCol w:w="1238"/>
      </w:tblGrid>
      <w:tr w:rsidR="005B6AF9" w:rsidRPr="00680E37" w14:paraId="2055E334" w14:textId="77777777" w:rsidTr="00680E37">
        <w:trPr>
          <w:trHeight w:val="360"/>
        </w:trPr>
        <w:tc>
          <w:tcPr>
            <w:tcW w:w="506" w:type="dxa"/>
            <w:tcBorders>
              <w:top w:val="single" w:sz="8" w:space="0" w:color="auto"/>
              <w:left w:val="single" w:sz="8" w:space="0" w:color="auto"/>
              <w:bottom w:val="single" w:sz="8" w:space="0" w:color="auto"/>
              <w:right w:val="single" w:sz="4" w:space="0" w:color="auto"/>
            </w:tcBorders>
            <w:shd w:val="clear" w:color="auto" w:fill="auto"/>
            <w:noWrap/>
            <w:textDirection w:val="btLr"/>
            <w:vAlign w:val="center"/>
            <w:hideMark/>
          </w:tcPr>
          <w:p w14:paraId="5AA1CD65" w14:textId="77777777" w:rsidR="005B6AF9" w:rsidRPr="00680E37" w:rsidRDefault="005B6AF9" w:rsidP="004135FE">
            <w:pPr>
              <w:spacing w:after="0" w:line="240" w:lineRule="auto"/>
              <w:jc w:val="center"/>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445" w:type="dxa"/>
            <w:tcBorders>
              <w:top w:val="single" w:sz="8" w:space="0" w:color="auto"/>
              <w:left w:val="nil"/>
              <w:bottom w:val="single" w:sz="8" w:space="0" w:color="auto"/>
              <w:right w:val="single" w:sz="4" w:space="0" w:color="auto"/>
            </w:tcBorders>
            <w:shd w:val="clear" w:color="auto" w:fill="auto"/>
            <w:hideMark/>
          </w:tcPr>
          <w:p w14:paraId="0C5185A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w:t>
            </w:r>
          </w:p>
        </w:tc>
        <w:tc>
          <w:tcPr>
            <w:tcW w:w="1829" w:type="dxa"/>
            <w:tcBorders>
              <w:top w:val="single" w:sz="8" w:space="0" w:color="auto"/>
              <w:left w:val="nil"/>
              <w:bottom w:val="single" w:sz="8" w:space="0" w:color="auto"/>
              <w:right w:val="single" w:sz="4" w:space="0" w:color="auto"/>
            </w:tcBorders>
            <w:shd w:val="clear" w:color="auto" w:fill="auto"/>
            <w:hideMark/>
          </w:tcPr>
          <w:p w14:paraId="2E80B84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район</w:t>
            </w:r>
          </w:p>
        </w:tc>
        <w:tc>
          <w:tcPr>
            <w:tcW w:w="780" w:type="dxa"/>
            <w:tcBorders>
              <w:top w:val="single" w:sz="8" w:space="0" w:color="auto"/>
              <w:left w:val="nil"/>
              <w:bottom w:val="single" w:sz="8" w:space="0" w:color="auto"/>
              <w:right w:val="single" w:sz="4" w:space="0" w:color="auto"/>
            </w:tcBorders>
            <w:shd w:val="clear" w:color="auto" w:fill="auto"/>
            <w:hideMark/>
          </w:tcPr>
          <w:p w14:paraId="1B2A2B2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0-1год</w:t>
            </w:r>
          </w:p>
        </w:tc>
        <w:tc>
          <w:tcPr>
            <w:tcW w:w="955" w:type="dxa"/>
            <w:tcBorders>
              <w:top w:val="single" w:sz="8" w:space="0" w:color="auto"/>
              <w:left w:val="nil"/>
              <w:bottom w:val="single" w:sz="8" w:space="0" w:color="auto"/>
              <w:right w:val="single" w:sz="4" w:space="0" w:color="auto"/>
            </w:tcBorders>
            <w:shd w:val="clear" w:color="auto" w:fill="auto"/>
            <w:hideMark/>
          </w:tcPr>
          <w:p w14:paraId="3BC622D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1-4год</w:t>
            </w:r>
          </w:p>
        </w:tc>
        <w:tc>
          <w:tcPr>
            <w:tcW w:w="954" w:type="dxa"/>
            <w:tcBorders>
              <w:top w:val="single" w:sz="8" w:space="0" w:color="auto"/>
              <w:left w:val="nil"/>
              <w:bottom w:val="single" w:sz="8" w:space="0" w:color="auto"/>
              <w:right w:val="single" w:sz="4" w:space="0" w:color="auto"/>
            </w:tcBorders>
            <w:shd w:val="clear" w:color="auto" w:fill="auto"/>
            <w:hideMark/>
          </w:tcPr>
          <w:p w14:paraId="3B33DB1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5-9лет</w:t>
            </w:r>
          </w:p>
        </w:tc>
        <w:tc>
          <w:tcPr>
            <w:tcW w:w="969" w:type="dxa"/>
            <w:tcBorders>
              <w:top w:val="single" w:sz="8" w:space="0" w:color="auto"/>
              <w:left w:val="nil"/>
              <w:bottom w:val="single" w:sz="8" w:space="0" w:color="auto"/>
              <w:right w:val="single" w:sz="4" w:space="0" w:color="auto"/>
            </w:tcBorders>
            <w:shd w:val="clear" w:color="auto" w:fill="auto"/>
            <w:hideMark/>
          </w:tcPr>
          <w:p w14:paraId="4F67D4C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10-14лет</w:t>
            </w:r>
          </w:p>
        </w:tc>
        <w:tc>
          <w:tcPr>
            <w:tcW w:w="969" w:type="dxa"/>
            <w:tcBorders>
              <w:top w:val="single" w:sz="8" w:space="0" w:color="auto"/>
              <w:left w:val="nil"/>
              <w:bottom w:val="single" w:sz="8" w:space="0" w:color="auto"/>
              <w:right w:val="single" w:sz="4" w:space="0" w:color="auto"/>
            </w:tcBorders>
            <w:shd w:val="clear" w:color="auto" w:fill="auto"/>
            <w:hideMark/>
          </w:tcPr>
          <w:p w14:paraId="5D5B63B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15-17лет</w:t>
            </w:r>
          </w:p>
        </w:tc>
        <w:tc>
          <w:tcPr>
            <w:tcW w:w="969" w:type="dxa"/>
            <w:tcBorders>
              <w:top w:val="single" w:sz="8" w:space="0" w:color="auto"/>
              <w:left w:val="nil"/>
              <w:bottom w:val="single" w:sz="8" w:space="0" w:color="auto"/>
              <w:right w:val="single" w:sz="4" w:space="0" w:color="auto"/>
            </w:tcBorders>
            <w:shd w:val="clear" w:color="auto" w:fill="auto"/>
            <w:hideMark/>
          </w:tcPr>
          <w:p w14:paraId="160E040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18-19лет</w:t>
            </w:r>
          </w:p>
        </w:tc>
        <w:tc>
          <w:tcPr>
            <w:tcW w:w="969" w:type="dxa"/>
            <w:tcBorders>
              <w:top w:val="single" w:sz="8" w:space="0" w:color="auto"/>
              <w:left w:val="nil"/>
              <w:bottom w:val="single" w:sz="8" w:space="0" w:color="auto"/>
              <w:right w:val="single" w:sz="4" w:space="0" w:color="auto"/>
            </w:tcBorders>
            <w:shd w:val="clear" w:color="auto" w:fill="auto"/>
            <w:hideMark/>
          </w:tcPr>
          <w:p w14:paraId="32BD6D7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20-29лет</w:t>
            </w:r>
          </w:p>
        </w:tc>
        <w:tc>
          <w:tcPr>
            <w:tcW w:w="969" w:type="dxa"/>
            <w:tcBorders>
              <w:top w:val="single" w:sz="8" w:space="0" w:color="auto"/>
              <w:left w:val="nil"/>
              <w:bottom w:val="single" w:sz="8" w:space="0" w:color="auto"/>
              <w:right w:val="single" w:sz="4" w:space="0" w:color="auto"/>
            </w:tcBorders>
            <w:shd w:val="clear" w:color="auto" w:fill="auto"/>
            <w:hideMark/>
          </w:tcPr>
          <w:p w14:paraId="281E324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30-39лет</w:t>
            </w:r>
          </w:p>
        </w:tc>
        <w:tc>
          <w:tcPr>
            <w:tcW w:w="969" w:type="dxa"/>
            <w:tcBorders>
              <w:top w:val="single" w:sz="8" w:space="0" w:color="auto"/>
              <w:left w:val="nil"/>
              <w:bottom w:val="single" w:sz="8" w:space="0" w:color="auto"/>
              <w:right w:val="single" w:sz="4" w:space="0" w:color="auto"/>
            </w:tcBorders>
            <w:shd w:val="clear" w:color="auto" w:fill="auto"/>
            <w:hideMark/>
          </w:tcPr>
          <w:p w14:paraId="297C57F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40-49лет</w:t>
            </w:r>
          </w:p>
        </w:tc>
        <w:tc>
          <w:tcPr>
            <w:tcW w:w="969" w:type="dxa"/>
            <w:tcBorders>
              <w:top w:val="single" w:sz="8" w:space="0" w:color="auto"/>
              <w:left w:val="nil"/>
              <w:bottom w:val="single" w:sz="8" w:space="0" w:color="auto"/>
              <w:right w:val="single" w:sz="4" w:space="0" w:color="auto"/>
            </w:tcBorders>
            <w:shd w:val="clear" w:color="auto" w:fill="auto"/>
            <w:hideMark/>
          </w:tcPr>
          <w:p w14:paraId="2246733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50-59лет</w:t>
            </w:r>
          </w:p>
        </w:tc>
        <w:tc>
          <w:tcPr>
            <w:tcW w:w="969" w:type="dxa"/>
            <w:tcBorders>
              <w:top w:val="single" w:sz="8" w:space="0" w:color="auto"/>
              <w:left w:val="nil"/>
              <w:bottom w:val="single" w:sz="8" w:space="0" w:color="auto"/>
              <w:right w:val="single" w:sz="4" w:space="0" w:color="auto"/>
            </w:tcBorders>
            <w:shd w:val="clear" w:color="auto" w:fill="auto"/>
            <w:hideMark/>
          </w:tcPr>
          <w:p w14:paraId="03BF0DC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60-69лет</w:t>
            </w:r>
          </w:p>
        </w:tc>
        <w:tc>
          <w:tcPr>
            <w:tcW w:w="1238" w:type="dxa"/>
            <w:tcBorders>
              <w:top w:val="single" w:sz="8" w:space="0" w:color="auto"/>
              <w:left w:val="nil"/>
              <w:bottom w:val="single" w:sz="8" w:space="0" w:color="auto"/>
              <w:right w:val="single" w:sz="8" w:space="0" w:color="auto"/>
            </w:tcBorders>
            <w:shd w:val="clear" w:color="auto" w:fill="auto"/>
            <w:hideMark/>
          </w:tcPr>
          <w:p w14:paraId="53813ED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70 и старше</w:t>
            </w:r>
          </w:p>
        </w:tc>
      </w:tr>
      <w:tr w:rsidR="005B6AF9" w:rsidRPr="00680E37" w14:paraId="6243C0CE" w14:textId="77777777" w:rsidTr="00680E37">
        <w:trPr>
          <w:trHeight w:val="260"/>
        </w:trPr>
        <w:tc>
          <w:tcPr>
            <w:tcW w:w="506" w:type="dxa"/>
            <w:vMerge w:val="restart"/>
            <w:tcBorders>
              <w:top w:val="nil"/>
              <w:left w:val="single" w:sz="8" w:space="0" w:color="auto"/>
              <w:bottom w:val="single" w:sz="8" w:space="0" w:color="000000"/>
              <w:right w:val="single" w:sz="4" w:space="0" w:color="auto"/>
            </w:tcBorders>
            <w:shd w:val="clear" w:color="auto" w:fill="auto"/>
            <w:noWrap/>
            <w:textDirection w:val="btLr"/>
            <w:vAlign w:val="center"/>
            <w:hideMark/>
          </w:tcPr>
          <w:p w14:paraId="19FA14D7" w14:textId="77777777" w:rsidR="005B6AF9" w:rsidRPr="00680E37" w:rsidRDefault="005B6AF9" w:rsidP="004135FE">
            <w:pPr>
              <w:spacing w:after="0" w:line="240" w:lineRule="auto"/>
              <w:jc w:val="center"/>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2012</w:t>
            </w:r>
          </w:p>
        </w:tc>
        <w:tc>
          <w:tcPr>
            <w:tcW w:w="445" w:type="dxa"/>
            <w:tcBorders>
              <w:top w:val="nil"/>
              <w:left w:val="nil"/>
              <w:bottom w:val="single" w:sz="4" w:space="0" w:color="auto"/>
              <w:right w:val="single" w:sz="4" w:space="0" w:color="auto"/>
            </w:tcBorders>
            <w:shd w:val="clear" w:color="auto" w:fill="auto"/>
            <w:hideMark/>
          </w:tcPr>
          <w:p w14:paraId="29FE328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w:t>
            </w:r>
          </w:p>
        </w:tc>
        <w:tc>
          <w:tcPr>
            <w:tcW w:w="1829" w:type="dxa"/>
            <w:tcBorders>
              <w:top w:val="nil"/>
              <w:left w:val="nil"/>
              <w:bottom w:val="single" w:sz="4" w:space="0" w:color="auto"/>
              <w:right w:val="single" w:sz="4" w:space="0" w:color="auto"/>
            </w:tcBorders>
            <w:shd w:val="clear" w:color="auto" w:fill="auto"/>
            <w:hideMark/>
          </w:tcPr>
          <w:p w14:paraId="17E453C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Алмалинский</w:t>
            </w:r>
          </w:p>
        </w:tc>
        <w:tc>
          <w:tcPr>
            <w:tcW w:w="780" w:type="dxa"/>
            <w:tcBorders>
              <w:top w:val="nil"/>
              <w:left w:val="nil"/>
              <w:bottom w:val="single" w:sz="4" w:space="0" w:color="auto"/>
              <w:right w:val="single" w:sz="4" w:space="0" w:color="auto"/>
            </w:tcBorders>
            <w:shd w:val="clear" w:color="auto" w:fill="auto"/>
            <w:hideMark/>
          </w:tcPr>
          <w:p w14:paraId="2D6E0B9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1 870</w:t>
            </w:r>
          </w:p>
        </w:tc>
        <w:tc>
          <w:tcPr>
            <w:tcW w:w="955" w:type="dxa"/>
            <w:tcBorders>
              <w:top w:val="nil"/>
              <w:left w:val="nil"/>
              <w:bottom w:val="single" w:sz="4" w:space="0" w:color="auto"/>
              <w:right w:val="single" w:sz="4" w:space="0" w:color="auto"/>
            </w:tcBorders>
            <w:shd w:val="clear" w:color="auto" w:fill="auto"/>
            <w:hideMark/>
          </w:tcPr>
          <w:p w14:paraId="71BFC96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11 370</w:t>
            </w:r>
          </w:p>
        </w:tc>
        <w:tc>
          <w:tcPr>
            <w:tcW w:w="954" w:type="dxa"/>
            <w:tcBorders>
              <w:top w:val="nil"/>
              <w:left w:val="nil"/>
              <w:bottom w:val="single" w:sz="4" w:space="0" w:color="auto"/>
              <w:right w:val="single" w:sz="4" w:space="0" w:color="auto"/>
            </w:tcBorders>
            <w:shd w:val="clear" w:color="auto" w:fill="auto"/>
            <w:hideMark/>
          </w:tcPr>
          <w:p w14:paraId="659EE9B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11 541</w:t>
            </w:r>
          </w:p>
        </w:tc>
        <w:tc>
          <w:tcPr>
            <w:tcW w:w="969" w:type="dxa"/>
            <w:tcBorders>
              <w:top w:val="nil"/>
              <w:left w:val="nil"/>
              <w:bottom w:val="single" w:sz="4" w:space="0" w:color="auto"/>
              <w:right w:val="single" w:sz="4" w:space="0" w:color="auto"/>
            </w:tcBorders>
            <w:shd w:val="clear" w:color="auto" w:fill="auto"/>
            <w:hideMark/>
          </w:tcPr>
          <w:p w14:paraId="1C799F7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8 043</w:t>
            </w:r>
          </w:p>
        </w:tc>
        <w:tc>
          <w:tcPr>
            <w:tcW w:w="969" w:type="dxa"/>
            <w:tcBorders>
              <w:top w:val="nil"/>
              <w:left w:val="nil"/>
              <w:bottom w:val="single" w:sz="4" w:space="0" w:color="auto"/>
              <w:right w:val="single" w:sz="4" w:space="0" w:color="auto"/>
            </w:tcBorders>
            <w:shd w:val="clear" w:color="auto" w:fill="auto"/>
            <w:hideMark/>
          </w:tcPr>
          <w:p w14:paraId="00E6C39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2 344</w:t>
            </w:r>
          </w:p>
        </w:tc>
        <w:tc>
          <w:tcPr>
            <w:tcW w:w="969" w:type="dxa"/>
            <w:tcBorders>
              <w:top w:val="nil"/>
              <w:left w:val="nil"/>
              <w:bottom w:val="single" w:sz="4" w:space="0" w:color="auto"/>
              <w:right w:val="single" w:sz="4" w:space="0" w:color="auto"/>
            </w:tcBorders>
            <w:shd w:val="clear" w:color="auto" w:fill="auto"/>
            <w:hideMark/>
          </w:tcPr>
          <w:p w14:paraId="2FE93B6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1 538</w:t>
            </w:r>
          </w:p>
        </w:tc>
        <w:tc>
          <w:tcPr>
            <w:tcW w:w="969" w:type="dxa"/>
            <w:tcBorders>
              <w:top w:val="nil"/>
              <w:left w:val="nil"/>
              <w:bottom w:val="single" w:sz="4" w:space="0" w:color="auto"/>
              <w:right w:val="single" w:sz="4" w:space="0" w:color="auto"/>
            </w:tcBorders>
            <w:shd w:val="clear" w:color="auto" w:fill="auto"/>
            <w:hideMark/>
          </w:tcPr>
          <w:p w14:paraId="21990BA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13 689</w:t>
            </w:r>
          </w:p>
        </w:tc>
        <w:tc>
          <w:tcPr>
            <w:tcW w:w="969" w:type="dxa"/>
            <w:tcBorders>
              <w:top w:val="nil"/>
              <w:left w:val="nil"/>
              <w:bottom w:val="single" w:sz="4" w:space="0" w:color="auto"/>
              <w:right w:val="single" w:sz="4" w:space="0" w:color="auto"/>
            </w:tcBorders>
            <w:shd w:val="clear" w:color="auto" w:fill="auto"/>
            <w:hideMark/>
          </w:tcPr>
          <w:p w14:paraId="0760E93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14 403</w:t>
            </w:r>
          </w:p>
        </w:tc>
        <w:tc>
          <w:tcPr>
            <w:tcW w:w="969" w:type="dxa"/>
            <w:tcBorders>
              <w:top w:val="nil"/>
              <w:left w:val="nil"/>
              <w:bottom w:val="single" w:sz="4" w:space="0" w:color="auto"/>
              <w:right w:val="single" w:sz="4" w:space="0" w:color="auto"/>
            </w:tcBorders>
            <w:shd w:val="clear" w:color="auto" w:fill="auto"/>
            <w:hideMark/>
          </w:tcPr>
          <w:p w14:paraId="2BDF8F2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12 012</w:t>
            </w:r>
          </w:p>
        </w:tc>
        <w:tc>
          <w:tcPr>
            <w:tcW w:w="969" w:type="dxa"/>
            <w:tcBorders>
              <w:top w:val="nil"/>
              <w:left w:val="nil"/>
              <w:bottom w:val="single" w:sz="4" w:space="0" w:color="auto"/>
              <w:right w:val="single" w:sz="4" w:space="0" w:color="auto"/>
            </w:tcBorders>
            <w:shd w:val="clear" w:color="auto" w:fill="auto"/>
            <w:hideMark/>
          </w:tcPr>
          <w:p w14:paraId="3A8394C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11 318</w:t>
            </w:r>
          </w:p>
        </w:tc>
        <w:tc>
          <w:tcPr>
            <w:tcW w:w="969" w:type="dxa"/>
            <w:tcBorders>
              <w:top w:val="nil"/>
              <w:left w:val="nil"/>
              <w:bottom w:val="single" w:sz="4" w:space="0" w:color="auto"/>
              <w:right w:val="single" w:sz="4" w:space="0" w:color="auto"/>
            </w:tcBorders>
            <w:shd w:val="clear" w:color="auto" w:fill="auto"/>
            <w:hideMark/>
          </w:tcPr>
          <w:p w14:paraId="64EFBB6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7 041</w:t>
            </w:r>
          </w:p>
        </w:tc>
        <w:tc>
          <w:tcPr>
            <w:tcW w:w="1238" w:type="dxa"/>
            <w:tcBorders>
              <w:top w:val="nil"/>
              <w:left w:val="nil"/>
              <w:bottom w:val="single" w:sz="4" w:space="0" w:color="auto"/>
              <w:right w:val="single" w:sz="8" w:space="0" w:color="auto"/>
            </w:tcBorders>
            <w:shd w:val="clear" w:color="auto" w:fill="auto"/>
            <w:hideMark/>
          </w:tcPr>
          <w:p w14:paraId="5BF5081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6 820</w:t>
            </w:r>
          </w:p>
        </w:tc>
      </w:tr>
      <w:tr w:rsidR="005B6AF9" w:rsidRPr="00680E37" w14:paraId="1D0E8313" w14:textId="77777777" w:rsidTr="00680E37">
        <w:trPr>
          <w:trHeight w:val="249"/>
        </w:trPr>
        <w:tc>
          <w:tcPr>
            <w:tcW w:w="506" w:type="dxa"/>
            <w:vMerge/>
            <w:tcBorders>
              <w:top w:val="nil"/>
              <w:left w:val="single" w:sz="8" w:space="0" w:color="auto"/>
              <w:bottom w:val="single" w:sz="8" w:space="0" w:color="000000"/>
              <w:right w:val="single" w:sz="4" w:space="0" w:color="auto"/>
            </w:tcBorders>
            <w:vAlign w:val="center"/>
            <w:hideMark/>
          </w:tcPr>
          <w:p w14:paraId="5C487AFF"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4" w:space="0" w:color="auto"/>
              <w:right w:val="single" w:sz="4" w:space="0" w:color="auto"/>
            </w:tcBorders>
            <w:shd w:val="clear" w:color="auto" w:fill="auto"/>
            <w:hideMark/>
          </w:tcPr>
          <w:p w14:paraId="63A3728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w:t>
            </w:r>
          </w:p>
        </w:tc>
        <w:tc>
          <w:tcPr>
            <w:tcW w:w="1829" w:type="dxa"/>
            <w:tcBorders>
              <w:top w:val="nil"/>
              <w:left w:val="nil"/>
              <w:bottom w:val="single" w:sz="4" w:space="0" w:color="auto"/>
              <w:right w:val="single" w:sz="4" w:space="0" w:color="auto"/>
            </w:tcBorders>
            <w:shd w:val="clear" w:color="auto" w:fill="auto"/>
            <w:hideMark/>
          </w:tcPr>
          <w:p w14:paraId="106CD85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Алатауский</w:t>
            </w:r>
          </w:p>
        </w:tc>
        <w:tc>
          <w:tcPr>
            <w:tcW w:w="780" w:type="dxa"/>
            <w:tcBorders>
              <w:top w:val="nil"/>
              <w:left w:val="nil"/>
              <w:bottom w:val="single" w:sz="4" w:space="0" w:color="auto"/>
              <w:right w:val="single" w:sz="4" w:space="0" w:color="auto"/>
            </w:tcBorders>
            <w:shd w:val="clear" w:color="auto" w:fill="auto"/>
            <w:hideMark/>
          </w:tcPr>
          <w:p w14:paraId="3AB3754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918</w:t>
            </w:r>
          </w:p>
        </w:tc>
        <w:tc>
          <w:tcPr>
            <w:tcW w:w="955" w:type="dxa"/>
            <w:tcBorders>
              <w:top w:val="nil"/>
              <w:left w:val="nil"/>
              <w:bottom w:val="single" w:sz="4" w:space="0" w:color="auto"/>
              <w:right w:val="single" w:sz="4" w:space="0" w:color="auto"/>
            </w:tcBorders>
            <w:shd w:val="clear" w:color="auto" w:fill="auto"/>
            <w:hideMark/>
          </w:tcPr>
          <w:p w14:paraId="11A6836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8 371</w:t>
            </w:r>
          </w:p>
        </w:tc>
        <w:tc>
          <w:tcPr>
            <w:tcW w:w="954" w:type="dxa"/>
            <w:tcBorders>
              <w:top w:val="nil"/>
              <w:left w:val="nil"/>
              <w:bottom w:val="single" w:sz="4" w:space="0" w:color="auto"/>
              <w:right w:val="single" w:sz="4" w:space="0" w:color="auto"/>
            </w:tcBorders>
            <w:shd w:val="clear" w:color="auto" w:fill="auto"/>
            <w:hideMark/>
          </w:tcPr>
          <w:p w14:paraId="3C0AD34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3 882</w:t>
            </w:r>
          </w:p>
        </w:tc>
        <w:tc>
          <w:tcPr>
            <w:tcW w:w="969" w:type="dxa"/>
            <w:tcBorders>
              <w:top w:val="nil"/>
              <w:left w:val="nil"/>
              <w:bottom w:val="single" w:sz="4" w:space="0" w:color="auto"/>
              <w:right w:val="single" w:sz="4" w:space="0" w:color="auto"/>
            </w:tcBorders>
            <w:shd w:val="clear" w:color="auto" w:fill="auto"/>
            <w:hideMark/>
          </w:tcPr>
          <w:p w14:paraId="0657A5E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2 217</w:t>
            </w:r>
          </w:p>
        </w:tc>
        <w:tc>
          <w:tcPr>
            <w:tcW w:w="969" w:type="dxa"/>
            <w:tcBorders>
              <w:top w:val="nil"/>
              <w:left w:val="nil"/>
              <w:bottom w:val="single" w:sz="4" w:space="0" w:color="auto"/>
              <w:right w:val="single" w:sz="4" w:space="0" w:color="auto"/>
            </w:tcBorders>
            <w:shd w:val="clear" w:color="auto" w:fill="auto"/>
            <w:hideMark/>
          </w:tcPr>
          <w:p w14:paraId="6B85673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2 204</w:t>
            </w:r>
          </w:p>
        </w:tc>
        <w:tc>
          <w:tcPr>
            <w:tcW w:w="969" w:type="dxa"/>
            <w:tcBorders>
              <w:top w:val="nil"/>
              <w:left w:val="nil"/>
              <w:bottom w:val="single" w:sz="4" w:space="0" w:color="auto"/>
              <w:right w:val="single" w:sz="4" w:space="0" w:color="auto"/>
            </w:tcBorders>
            <w:shd w:val="clear" w:color="auto" w:fill="auto"/>
            <w:hideMark/>
          </w:tcPr>
          <w:p w14:paraId="77D574F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1 361</w:t>
            </w:r>
          </w:p>
        </w:tc>
        <w:tc>
          <w:tcPr>
            <w:tcW w:w="969" w:type="dxa"/>
            <w:tcBorders>
              <w:top w:val="nil"/>
              <w:left w:val="nil"/>
              <w:bottom w:val="single" w:sz="4" w:space="0" w:color="auto"/>
              <w:right w:val="single" w:sz="4" w:space="0" w:color="auto"/>
            </w:tcBorders>
            <w:shd w:val="clear" w:color="auto" w:fill="auto"/>
            <w:hideMark/>
          </w:tcPr>
          <w:p w14:paraId="52F4BC0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7 008</w:t>
            </w:r>
          </w:p>
        </w:tc>
        <w:tc>
          <w:tcPr>
            <w:tcW w:w="969" w:type="dxa"/>
            <w:tcBorders>
              <w:top w:val="nil"/>
              <w:left w:val="nil"/>
              <w:bottom w:val="single" w:sz="4" w:space="0" w:color="auto"/>
              <w:right w:val="single" w:sz="4" w:space="0" w:color="auto"/>
            </w:tcBorders>
            <w:shd w:val="clear" w:color="auto" w:fill="auto"/>
            <w:hideMark/>
          </w:tcPr>
          <w:p w14:paraId="11DE87C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6 207</w:t>
            </w:r>
          </w:p>
        </w:tc>
        <w:tc>
          <w:tcPr>
            <w:tcW w:w="969" w:type="dxa"/>
            <w:tcBorders>
              <w:top w:val="nil"/>
              <w:left w:val="nil"/>
              <w:bottom w:val="single" w:sz="4" w:space="0" w:color="auto"/>
              <w:right w:val="single" w:sz="4" w:space="0" w:color="auto"/>
            </w:tcBorders>
            <w:shd w:val="clear" w:color="auto" w:fill="auto"/>
            <w:hideMark/>
          </w:tcPr>
          <w:p w14:paraId="210C97D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5 602</w:t>
            </w:r>
          </w:p>
        </w:tc>
        <w:tc>
          <w:tcPr>
            <w:tcW w:w="969" w:type="dxa"/>
            <w:tcBorders>
              <w:top w:val="nil"/>
              <w:left w:val="nil"/>
              <w:bottom w:val="single" w:sz="4" w:space="0" w:color="auto"/>
              <w:right w:val="single" w:sz="4" w:space="0" w:color="auto"/>
            </w:tcBorders>
            <w:shd w:val="clear" w:color="auto" w:fill="auto"/>
            <w:hideMark/>
          </w:tcPr>
          <w:p w14:paraId="7B2A012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4 065</w:t>
            </w:r>
          </w:p>
        </w:tc>
        <w:tc>
          <w:tcPr>
            <w:tcW w:w="969" w:type="dxa"/>
            <w:tcBorders>
              <w:top w:val="nil"/>
              <w:left w:val="nil"/>
              <w:bottom w:val="single" w:sz="4" w:space="0" w:color="auto"/>
              <w:right w:val="single" w:sz="4" w:space="0" w:color="auto"/>
            </w:tcBorders>
            <w:shd w:val="clear" w:color="auto" w:fill="auto"/>
            <w:hideMark/>
          </w:tcPr>
          <w:p w14:paraId="157BEEA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1 701</w:t>
            </w:r>
          </w:p>
        </w:tc>
        <w:tc>
          <w:tcPr>
            <w:tcW w:w="1238" w:type="dxa"/>
            <w:tcBorders>
              <w:top w:val="nil"/>
              <w:left w:val="nil"/>
              <w:bottom w:val="single" w:sz="4" w:space="0" w:color="auto"/>
              <w:right w:val="single" w:sz="8" w:space="0" w:color="auto"/>
            </w:tcBorders>
            <w:shd w:val="clear" w:color="auto" w:fill="auto"/>
            <w:hideMark/>
          </w:tcPr>
          <w:p w14:paraId="4E7FEF5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1 293</w:t>
            </w:r>
          </w:p>
        </w:tc>
      </w:tr>
      <w:tr w:rsidR="005B6AF9" w:rsidRPr="00680E37" w14:paraId="730D2ADA" w14:textId="77777777" w:rsidTr="00680E37">
        <w:trPr>
          <w:trHeight w:val="226"/>
        </w:trPr>
        <w:tc>
          <w:tcPr>
            <w:tcW w:w="506" w:type="dxa"/>
            <w:vMerge/>
            <w:tcBorders>
              <w:top w:val="nil"/>
              <w:left w:val="single" w:sz="8" w:space="0" w:color="auto"/>
              <w:bottom w:val="single" w:sz="8" w:space="0" w:color="000000"/>
              <w:right w:val="single" w:sz="4" w:space="0" w:color="auto"/>
            </w:tcBorders>
            <w:vAlign w:val="center"/>
            <w:hideMark/>
          </w:tcPr>
          <w:p w14:paraId="50C743E5"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4" w:space="0" w:color="auto"/>
              <w:right w:val="single" w:sz="4" w:space="0" w:color="auto"/>
            </w:tcBorders>
            <w:shd w:val="clear" w:color="auto" w:fill="auto"/>
            <w:hideMark/>
          </w:tcPr>
          <w:p w14:paraId="078499C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w:t>
            </w:r>
          </w:p>
        </w:tc>
        <w:tc>
          <w:tcPr>
            <w:tcW w:w="1829" w:type="dxa"/>
            <w:tcBorders>
              <w:top w:val="nil"/>
              <w:left w:val="nil"/>
              <w:bottom w:val="single" w:sz="4" w:space="0" w:color="auto"/>
              <w:right w:val="single" w:sz="4" w:space="0" w:color="auto"/>
            </w:tcBorders>
            <w:shd w:val="clear" w:color="auto" w:fill="auto"/>
            <w:hideMark/>
          </w:tcPr>
          <w:p w14:paraId="050C759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Ауэзовский</w:t>
            </w:r>
          </w:p>
        </w:tc>
        <w:tc>
          <w:tcPr>
            <w:tcW w:w="780" w:type="dxa"/>
            <w:tcBorders>
              <w:top w:val="nil"/>
              <w:left w:val="nil"/>
              <w:bottom w:val="single" w:sz="4" w:space="0" w:color="auto"/>
              <w:right w:val="single" w:sz="4" w:space="0" w:color="auto"/>
            </w:tcBorders>
            <w:shd w:val="clear" w:color="auto" w:fill="auto"/>
            <w:hideMark/>
          </w:tcPr>
          <w:p w14:paraId="4A07AC7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1 571</w:t>
            </w:r>
          </w:p>
        </w:tc>
        <w:tc>
          <w:tcPr>
            <w:tcW w:w="955" w:type="dxa"/>
            <w:tcBorders>
              <w:top w:val="nil"/>
              <w:left w:val="nil"/>
              <w:bottom w:val="single" w:sz="4" w:space="0" w:color="auto"/>
              <w:right w:val="single" w:sz="4" w:space="0" w:color="auto"/>
            </w:tcBorders>
            <w:shd w:val="clear" w:color="auto" w:fill="auto"/>
            <w:hideMark/>
          </w:tcPr>
          <w:p w14:paraId="2371560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12 632</w:t>
            </w:r>
          </w:p>
        </w:tc>
        <w:tc>
          <w:tcPr>
            <w:tcW w:w="954" w:type="dxa"/>
            <w:tcBorders>
              <w:top w:val="nil"/>
              <w:left w:val="nil"/>
              <w:bottom w:val="single" w:sz="4" w:space="0" w:color="auto"/>
              <w:right w:val="single" w:sz="4" w:space="0" w:color="auto"/>
            </w:tcBorders>
            <w:shd w:val="clear" w:color="auto" w:fill="auto"/>
            <w:hideMark/>
          </w:tcPr>
          <w:p w14:paraId="4DFE5F3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9 682</w:t>
            </w:r>
          </w:p>
        </w:tc>
        <w:tc>
          <w:tcPr>
            <w:tcW w:w="969" w:type="dxa"/>
            <w:tcBorders>
              <w:top w:val="nil"/>
              <w:left w:val="nil"/>
              <w:bottom w:val="single" w:sz="4" w:space="0" w:color="auto"/>
              <w:right w:val="single" w:sz="4" w:space="0" w:color="auto"/>
            </w:tcBorders>
            <w:shd w:val="clear" w:color="auto" w:fill="auto"/>
            <w:hideMark/>
          </w:tcPr>
          <w:p w14:paraId="32970FC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6 973</w:t>
            </w:r>
          </w:p>
        </w:tc>
        <w:tc>
          <w:tcPr>
            <w:tcW w:w="969" w:type="dxa"/>
            <w:tcBorders>
              <w:top w:val="nil"/>
              <w:left w:val="nil"/>
              <w:bottom w:val="single" w:sz="4" w:space="0" w:color="auto"/>
              <w:right w:val="single" w:sz="4" w:space="0" w:color="auto"/>
            </w:tcBorders>
            <w:shd w:val="clear" w:color="auto" w:fill="auto"/>
            <w:hideMark/>
          </w:tcPr>
          <w:p w14:paraId="68442BF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3 921</w:t>
            </w:r>
          </w:p>
        </w:tc>
        <w:tc>
          <w:tcPr>
            <w:tcW w:w="969" w:type="dxa"/>
            <w:tcBorders>
              <w:top w:val="nil"/>
              <w:left w:val="nil"/>
              <w:bottom w:val="single" w:sz="4" w:space="0" w:color="auto"/>
              <w:right w:val="single" w:sz="4" w:space="0" w:color="auto"/>
            </w:tcBorders>
            <w:shd w:val="clear" w:color="auto" w:fill="auto"/>
            <w:hideMark/>
          </w:tcPr>
          <w:p w14:paraId="1A5870B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2 400</w:t>
            </w:r>
          </w:p>
        </w:tc>
        <w:tc>
          <w:tcPr>
            <w:tcW w:w="969" w:type="dxa"/>
            <w:tcBorders>
              <w:top w:val="nil"/>
              <w:left w:val="nil"/>
              <w:bottom w:val="single" w:sz="4" w:space="0" w:color="auto"/>
              <w:right w:val="single" w:sz="4" w:space="0" w:color="auto"/>
            </w:tcBorders>
            <w:shd w:val="clear" w:color="auto" w:fill="auto"/>
            <w:hideMark/>
          </w:tcPr>
          <w:p w14:paraId="4DE7D95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17 117</w:t>
            </w:r>
          </w:p>
        </w:tc>
        <w:tc>
          <w:tcPr>
            <w:tcW w:w="969" w:type="dxa"/>
            <w:tcBorders>
              <w:top w:val="nil"/>
              <w:left w:val="nil"/>
              <w:bottom w:val="single" w:sz="4" w:space="0" w:color="auto"/>
              <w:right w:val="single" w:sz="4" w:space="0" w:color="auto"/>
            </w:tcBorders>
            <w:shd w:val="clear" w:color="auto" w:fill="auto"/>
            <w:hideMark/>
          </w:tcPr>
          <w:p w14:paraId="528AC54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15 676</w:t>
            </w:r>
          </w:p>
        </w:tc>
        <w:tc>
          <w:tcPr>
            <w:tcW w:w="969" w:type="dxa"/>
            <w:tcBorders>
              <w:top w:val="nil"/>
              <w:left w:val="nil"/>
              <w:bottom w:val="single" w:sz="4" w:space="0" w:color="auto"/>
              <w:right w:val="single" w:sz="4" w:space="0" w:color="auto"/>
            </w:tcBorders>
            <w:shd w:val="clear" w:color="auto" w:fill="auto"/>
            <w:hideMark/>
          </w:tcPr>
          <w:p w14:paraId="30BF6F1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13 286</w:t>
            </w:r>
          </w:p>
        </w:tc>
        <w:tc>
          <w:tcPr>
            <w:tcW w:w="969" w:type="dxa"/>
            <w:tcBorders>
              <w:top w:val="nil"/>
              <w:left w:val="nil"/>
              <w:bottom w:val="single" w:sz="4" w:space="0" w:color="auto"/>
              <w:right w:val="single" w:sz="4" w:space="0" w:color="auto"/>
            </w:tcBorders>
            <w:shd w:val="clear" w:color="auto" w:fill="auto"/>
            <w:hideMark/>
          </w:tcPr>
          <w:p w14:paraId="3B14A81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11 438</w:t>
            </w:r>
          </w:p>
        </w:tc>
        <w:tc>
          <w:tcPr>
            <w:tcW w:w="969" w:type="dxa"/>
            <w:tcBorders>
              <w:top w:val="nil"/>
              <w:left w:val="nil"/>
              <w:bottom w:val="single" w:sz="4" w:space="0" w:color="auto"/>
              <w:right w:val="single" w:sz="4" w:space="0" w:color="auto"/>
            </w:tcBorders>
            <w:shd w:val="clear" w:color="auto" w:fill="auto"/>
            <w:hideMark/>
          </w:tcPr>
          <w:p w14:paraId="2280FD5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6 337</w:t>
            </w:r>
          </w:p>
        </w:tc>
        <w:tc>
          <w:tcPr>
            <w:tcW w:w="1238" w:type="dxa"/>
            <w:tcBorders>
              <w:top w:val="nil"/>
              <w:left w:val="nil"/>
              <w:bottom w:val="single" w:sz="4" w:space="0" w:color="auto"/>
              <w:right w:val="single" w:sz="8" w:space="0" w:color="auto"/>
            </w:tcBorders>
            <w:shd w:val="clear" w:color="auto" w:fill="auto"/>
            <w:hideMark/>
          </w:tcPr>
          <w:p w14:paraId="498449B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5 328</w:t>
            </w:r>
          </w:p>
        </w:tc>
      </w:tr>
      <w:tr w:rsidR="005B6AF9" w:rsidRPr="00680E37" w14:paraId="0BA2A038" w14:textId="77777777" w:rsidTr="00680E37">
        <w:trPr>
          <w:trHeight w:val="229"/>
        </w:trPr>
        <w:tc>
          <w:tcPr>
            <w:tcW w:w="506" w:type="dxa"/>
            <w:vMerge/>
            <w:tcBorders>
              <w:top w:val="nil"/>
              <w:left w:val="single" w:sz="8" w:space="0" w:color="auto"/>
              <w:bottom w:val="single" w:sz="8" w:space="0" w:color="000000"/>
              <w:right w:val="single" w:sz="4" w:space="0" w:color="auto"/>
            </w:tcBorders>
            <w:vAlign w:val="center"/>
            <w:hideMark/>
          </w:tcPr>
          <w:p w14:paraId="5B31D592"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4" w:space="0" w:color="auto"/>
              <w:right w:val="single" w:sz="4" w:space="0" w:color="auto"/>
            </w:tcBorders>
            <w:shd w:val="clear" w:color="auto" w:fill="auto"/>
            <w:hideMark/>
          </w:tcPr>
          <w:p w14:paraId="21DB1CE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w:t>
            </w:r>
          </w:p>
        </w:tc>
        <w:tc>
          <w:tcPr>
            <w:tcW w:w="1829" w:type="dxa"/>
            <w:tcBorders>
              <w:top w:val="nil"/>
              <w:left w:val="nil"/>
              <w:bottom w:val="single" w:sz="4" w:space="0" w:color="auto"/>
              <w:right w:val="single" w:sz="4" w:space="0" w:color="auto"/>
            </w:tcBorders>
            <w:shd w:val="clear" w:color="auto" w:fill="auto"/>
            <w:hideMark/>
          </w:tcPr>
          <w:p w14:paraId="6DF1969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Бостандыкский</w:t>
            </w:r>
          </w:p>
        </w:tc>
        <w:tc>
          <w:tcPr>
            <w:tcW w:w="780" w:type="dxa"/>
            <w:tcBorders>
              <w:top w:val="nil"/>
              <w:left w:val="nil"/>
              <w:bottom w:val="single" w:sz="4" w:space="0" w:color="auto"/>
              <w:right w:val="single" w:sz="4" w:space="0" w:color="auto"/>
            </w:tcBorders>
            <w:shd w:val="clear" w:color="auto" w:fill="auto"/>
            <w:hideMark/>
          </w:tcPr>
          <w:p w14:paraId="682B580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1 453</w:t>
            </w:r>
          </w:p>
        </w:tc>
        <w:tc>
          <w:tcPr>
            <w:tcW w:w="955" w:type="dxa"/>
            <w:tcBorders>
              <w:top w:val="nil"/>
              <w:left w:val="nil"/>
              <w:bottom w:val="single" w:sz="4" w:space="0" w:color="auto"/>
              <w:right w:val="single" w:sz="4" w:space="0" w:color="auto"/>
            </w:tcBorders>
            <w:shd w:val="clear" w:color="auto" w:fill="auto"/>
            <w:hideMark/>
          </w:tcPr>
          <w:p w14:paraId="61DBF1E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8 589</w:t>
            </w:r>
          </w:p>
        </w:tc>
        <w:tc>
          <w:tcPr>
            <w:tcW w:w="954" w:type="dxa"/>
            <w:tcBorders>
              <w:top w:val="nil"/>
              <w:left w:val="nil"/>
              <w:bottom w:val="single" w:sz="4" w:space="0" w:color="auto"/>
              <w:right w:val="single" w:sz="4" w:space="0" w:color="auto"/>
            </w:tcBorders>
            <w:shd w:val="clear" w:color="auto" w:fill="auto"/>
            <w:hideMark/>
          </w:tcPr>
          <w:p w14:paraId="4DDC3F6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7 894</w:t>
            </w:r>
          </w:p>
        </w:tc>
        <w:tc>
          <w:tcPr>
            <w:tcW w:w="969" w:type="dxa"/>
            <w:tcBorders>
              <w:top w:val="nil"/>
              <w:left w:val="nil"/>
              <w:bottom w:val="single" w:sz="4" w:space="0" w:color="auto"/>
              <w:right w:val="single" w:sz="4" w:space="0" w:color="auto"/>
            </w:tcBorders>
            <w:shd w:val="clear" w:color="auto" w:fill="auto"/>
            <w:hideMark/>
          </w:tcPr>
          <w:p w14:paraId="157A12E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6 435</w:t>
            </w:r>
          </w:p>
        </w:tc>
        <w:tc>
          <w:tcPr>
            <w:tcW w:w="969" w:type="dxa"/>
            <w:tcBorders>
              <w:top w:val="nil"/>
              <w:left w:val="nil"/>
              <w:bottom w:val="single" w:sz="4" w:space="0" w:color="auto"/>
              <w:right w:val="single" w:sz="4" w:space="0" w:color="auto"/>
            </w:tcBorders>
            <w:shd w:val="clear" w:color="auto" w:fill="auto"/>
            <w:hideMark/>
          </w:tcPr>
          <w:p w14:paraId="0733639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4 538</w:t>
            </w:r>
          </w:p>
        </w:tc>
        <w:tc>
          <w:tcPr>
            <w:tcW w:w="969" w:type="dxa"/>
            <w:tcBorders>
              <w:top w:val="nil"/>
              <w:left w:val="nil"/>
              <w:bottom w:val="single" w:sz="4" w:space="0" w:color="auto"/>
              <w:right w:val="single" w:sz="4" w:space="0" w:color="auto"/>
            </w:tcBorders>
            <w:shd w:val="clear" w:color="auto" w:fill="auto"/>
            <w:hideMark/>
          </w:tcPr>
          <w:p w14:paraId="5980322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13 849</w:t>
            </w:r>
          </w:p>
        </w:tc>
        <w:tc>
          <w:tcPr>
            <w:tcW w:w="969" w:type="dxa"/>
            <w:tcBorders>
              <w:top w:val="nil"/>
              <w:left w:val="nil"/>
              <w:bottom w:val="single" w:sz="4" w:space="0" w:color="auto"/>
              <w:right w:val="single" w:sz="4" w:space="0" w:color="auto"/>
            </w:tcBorders>
            <w:shd w:val="clear" w:color="auto" w:fill="auto"/>
            <w:hideMark/>
          </w:tcPr>
          <w:p w14:paraId="2610F90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36 339</w:t>
            </w:r>
          </w:p>
        </w:tc>
        <w:tc>
          <w:tcPr>
            <w:tcW w:w="969" w:type="dxa"/>
            <w:tcBorders>
              <w:top w:val="nil"/>
              <w:left w:val="nil"/>
              <w:bottom w:val="single" w:sz="4" w:space="0" w:color="auto"/>
              <w:right w:val="single" w:sz="4" w:space="0" w:color="auto"/>
            </w:tcBorders>
            <w:shd w:val="clear" w:color="auto" w:fill="auto"/>
            <w:hideMark/>
          </w:tcPr>
          <w:p w14:paraId="742D785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14 734</w:t>
            </w:r>
          </w:p>
        </w:tc>
        <w:tc>
          <w:tcPr>
            <w:tcW w:w="969" w:type="dxa"/>
            <w:tcBorders>
              <w:top w:val="nil"/>
              <w:left w:val="nil"/>
              <w:bottom w:val="single" w:sz="4" w:space="0" w:color="auto"/>
              <w:right w:val="single" w:sz="4" w:space="0" w:color="auto"/>
            </w:tcBorders>
            <w:shd w:val="clear" w:color="auto" w:fill="auto"/>
            <w:hideMark/>
          </w:tcPr>
          <w:p w14:paraId="0F6ED82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12 341</w:t>
            </w:r>
          </w:p>
        </w:tc>
        <w:tc>
          <w:tcPr>
            <w:tcW w:w="969" w:type="dxa"/>
            <w:tcBorders>
              <w:top w:val="nil"/>
              <w:left w:val="nil"/>
              <w:bottom w:val="single" w:sz="4" w:space="0" w:color="auto"/>
              <w:right w:val="single" w:sz="4" w:space="0" w:color="auto"/>
            </w:tcBorders>
            <w:shd w:val="clear" w:color="auto" w:fill="auto"/>
            <w:hideMark/>
          </w:tcPr>
          <w:p w14:paraId="2A66561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11 142</w:t>
            </w:r>
          </w:p>
        </w:tc>
        <w:tc>
          <w:tcPr>
            <w:tcW w:w="969" w:type="dxa"/>
            <w:tcBorders>
              <w:top w:val="nil"/>
              <w:left w:val="nil"/>
              <w:bottom w:val="single" w:sz="4" w:space="0" w:color="auto"/>
              <w:right w:val="single" w:sz="4" w:space="0" w:color="auto"/>
            </w:tcBorders>
            <w:shd w:val="clear" w:color="auto" w:fill="auto"/>
            <w:hideMark/>
          </w:tcPr>
          <w:p w14:paraId="33024E2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6 998</w:t>
            </w:r>
          </w:p>
        </w:tc>
        <w:tc>
          <w:tcPr>
            <w:tcW w:w="1238" w:type="dxa"/>
            <w:tcBorders>
              <w:top w:val="nil"/>
              <w:left w:val="nil"/>
              <w:bottom w:val="single" w:sz="4" w:space="0" w:color="auto"/>
              <w:right w:val="single" w:sz="8" w:space="0" w:color="auto"/>
            </w:tcBorders>
            <w:shd w:val="clear" w:color="auto" w:fill="auto"/>
            <w:hideMark/>
          </w:tcPr>
          <w:p w14:paraId="7A7C3FA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6 079</w:t>
            </w:r>
          </w:p>
        </w:tc>
      </w:tr>
      <w:tr w:rsidR="005B6AF9" w:rsidRPr="00680E37" w14:paraId="67EC4D64" w14:textId="77777777" w:rsidTr="00680E37">
        <w:trPr>
          <w:trHeight w:val="206"/>
        </w:trPr>
        <w:tc>
          <w:tcPr>
            <w:tcW w:w="506" w:type="dxa"/>
            <w:vMerge/>
            <w:tcBorders>
              <w:top w:val="nil"/>
              <w:left w:val="single" w:sz="8" w:space="0" w:color="auto"/>
              <w:bottom w:val="single" w:sz="8" w:space="0" w:color="000000"/>
              <w:right w:val="single" w:sz="4" w:space="0" w:color="auto"/>
            </w:tcBorders>
            <w:vAlign w:val="center"/>
            <w:hideMark/>
          </w:tcPr>
          <w:p w14:paraId="78E940CF"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4" w:space="0" w:color="auto"/>
              <w:right w:val="single" w:sz="4" w:space="0" w:color="auto"/>
            </w:tcBorders>
            <w:shd w:val="clear" w:color="auto" w:fill="auto"/>
            <w:hideMark/>
          </w:tcPr>
          <w:p w14:paraId="2768357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w:t>
            </w:r>
          </w:p>
        </w:tc>
        <w:tc>
          <w:tcPr>
            <w:tcW w:w="1829" w:type="dxa"/>
            <w:tcBorders>
              <w:top w:val="nil"/>
              <w:left w:val="nil"/>
              <w:bottom w:val="single" w:sz="4" w:space="0" w:color="auto"/>
              <w:right w:val="single" w:sz="4" w:space="0" w:color="auto"/>
            </w:tcBorders>
            <w:shd w:val="clear" w:color="auto" w:fill="auto"/>
            <w:hideMark/>
          </w:tcPr>
          <w:p w14:paraId="63D70DC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Жетысуский</w:t>
            </w:r>
          </w:p>
        </w:tc>
        <w:tc>
          <w:tcPr>
            <w:tcW w:w="780" w:type="dxa"/>
            <w:tcBorders>
              <w:top w:val="nil"/>
              <w:left w:val="nil"/>
              <w:bottom w:val="single" w:sz="4" w:space="0" w:color="auto"/>
              <w:right w:val="single" w:sz="4" w:space="0" w:color="auto"/>
            </w:tcBorders>
            <w:shd w:val="clear" w:color="auto" w:fill="auto"/>
            <w:hideMark/>
          </w:tcPr>
          <w:p w14:paraId="4C38BAC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645</w:t>
            </w:r>
          </w:p>
        </w:tc>
        <w:tc>
          <w:tcPr>
            <w:tcW w:w="955" w:type="dxa"/>
            <w:tcBorders>
              <w:top w:val="nil"/>
              <w:left w:val="nil"/>
              <w:bottom w:val="single" w:sz="4" w:space="0" w:color="auto"/>
              <w:right w:val="single" w:sz="4" w:space="0" w:color="auto"/>
            </w:tcBorders>
            <w:shd w:val="clear" w:color="auto" w:fill="auto"/>
            <w:hideMark/>
          </w:tcPr>
          <w:p w14:paraId="3762273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5 105</w:t>
            </w:r>
          </w:p>
        </w:tc>
        <w:tc>
          <w:tcPr>
            <w:tcW w:w="954" w:type="dxa"/>
            <w:tcBorders>
              <w:top w:val="nil"/>
              <w:left w:val="nil"/>
              <w:bottom w:val="single" w:sz="4" w:space="0" w:color="auto"/>
              <w:right w:val="single" w:sz="4" w:space="0" w:color="auto"/>
            </w:tcBorders>
            <w:shd w:val="clear" w:color="auto" w:fill="auto"/>
            <w:hideMark/>
          </w:tcPr>
          <w:p w14:paraId="4B86D79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3 932</w:t>
            </w:r>
          </w:p>
        </w:tc>
        <w:tc>
          <w:tcPr>
            <w:tcW w:w="969" w:type="dxa"/>
            <w:tcBorders>
              <w:top w:val="nil"/>
              <w:left w:val="nil"/>
              <w:bottom w:val="single" w:sz="4" w:space="0" w:color="auto"/>
              <w:right w:val="single" w:sz="4" w:space="0" w:color="auto"/>
            </w:tcBorders>
            <w:shd w:val="clear" w:color="auto" w:fill="auto"/>
            <w:hideMark/>
          </w:tcPr>
          <w:p w14:paraId="0F09DD0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2 555</w:t>
            </w:r>
          </w:p>
        </w:tc>
        <w:tc>
          <w:tcPr>
            <w:tcW w:w="969" w:type="dxa"/>
            <w:tcBorders>
              <w:top w:val="nil"/>
              <w:left w:val="nil"/>
              <w:bottom w:val="single" w:sz="4" w:space="0" w:color="auto"/>
              <w:right w:val="single" w:sz="4" w:space="0" w:color="auto"/>
            </w:tcBorders>
            <w:shd w:val="clear" w:color="auto" w:fill="auto"/>
            <w:hideMark/>
          </w:tcPr>
          <w:p w14:paraId="0871243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1 757</w:t>
            </w:r>
          </w:p>
        </w:tc>
        <w:tc>
          <w:tcPr>
            <w:tcW w:w="969" w:type="dxa"/>
            <w:tcBorders>
              <w:top w:val="nil"/>
              <w:left w:val="nil"/>
              <w:bottom w:val="single" w:sz="4" w:space="0" w:color="auto"/>
              <w:right w:val="single" w:sz="4" w:space="0" w:color="auto"/>
            </w:tcBorders>
            <w:shd w:val="clear" w:color="auto" w:fill="auto"/>
            <w:hideMark/>
          </w:tcPr>
          <w:p w14:paraId="7787478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1 411</w:t>
            </w:r>
          </w:p>
        </w:tc>
        <w:tc>
          <w:tcPr>
            <w:tcW w:w="969" w:type="dxa"/>
            <w:tcBorders>
              <w:top w:val="nil"/>
              <w:left w:val="nil"/>
              <w:bottom w:val="single" w:sz="4" w:space="0" w:color="auto"/>
              <w:right w:val="single" w:sz="4" w:space="0" w:color="auto"/>
            </w:tcBorders>
            <w:shd w:val="clear" w:color="auto" w:fill="auto"/>
            <w:hideMark/>
          </w:tcPr>
          <w:p w14:paraId="1BD0791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12 059</w:t>
            </w:r>
          </w:p>
        </w:tc>
        <w:tc>
          <w:tcPr>
            <w:tcW w:w="969" w:type="dxa"/>
            <w:tcBorders>
              <w:top w:val="nil"/>
              <w:left w:val="nil"/>
              <w:bottom w:val="single" w:sz="4" w:space="0" w:color="auto"/>
              <w:right w:val="single" w:sz="4" w:space="0" w:color="auto"/>
            </w:tcBorders>
            <w:shd w:val="clear" w:color="auto" w:fill="auto"/>
            <w:hideMark/>
          </w:tcPr>
          <w:p w14:paraId="27C30A4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11 155</w:t>
            </w:r>
          </w:p>
        </w:tc>
        <w:tc>
          <w:tcPr>
            <w:tcW w:w="969" w:type="dxa"/>
            <w:tcBorders>
              <w:top w:val="nil"/>
              <w:left w:val="nil"/>
              <w:bottom w:val="single" w:sz="4" w:space="0" w:color="auto"/>
              <w:right w:val="single" w:sz="4" w:space="0" w:color="auto"/>
            </w:tcBorders>
            <w:shd w:val="clear" w:color="auto" w:fill="auto"/>
            <w:hideMark/>
          </w:tcPr>
          <w:p w14:paraId="006F11B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9 378</w:t>
            </w:r>
          </w:p>
        </w:tc>
        <w:tc>
          <w:tcPr>
            <w:tcW w:w="969" w:type="dxa"/>
            <w:tcBorders>
              <w:top w:val="nil"/>
              <w:left w:val="nil"/>
              <w:bottom w:val="single" w:sz="4" w:space="0" w:color="auto"/>
              <w:right w:val="single" w:sz="4" w:space="0" w:color="auto"/>
            </w:tcBorders>
            <w:shd w:val="clear" w:color="auto" w:fill="auto"/>
            <w:hideMark/>
          </w:tcPr>
          <w:p w14:paraId="4007D9A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7 732</w:t>
            </w:r>
          </w:p>
        </w:tc>
        <w:tc>
          <w:tcPr>
            <w:tcW w:w="969" w:type="dxa"/>
            <w:tcBorders>
              <w:top w:val="nil"/>
              <w:left w:val="nil"/>
              <w:bottom w:val="single" w:sz="4" w:space="0" w:color="auto"/>
              <w:right w:val="single" w:sz="4" w:space="0" w:color="auto"/>
            </w:tcBorders>
            <w:shd w:val="clear" w:color="auto" w:fill="auto"/>
            <w:hideMark/>
          </w:tcPr>
          <w:p w14:paraId="083671C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4 179</w:t>
            </w:r>
          </w:p>
        </w:tc>
        <w:tc>
          <w:tcPr>
            <w:tcW w:w="1238" w:type="dxa"/>
            <w:tcBorders>
              <w:top w:val="nil"/>
              <w:left w:val="nil"/>
              <w:bottom w:val="single" w:sz="4" w:space="0" w:color="auto"/>
              <w:right w:val="single" w:sz="8" w:space="0" w:color="auto"/>
            </w:tcBorders>
            <w:shd w:val="clear" w:color="auto" w:fill="auto"/>
            <w:hideMark/>
          </w:tcPr>
          <w:p w14:paraId="2BB8B45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3 879</w:t>
            </w:r>
          </w:p>
        </w:tc>
      </w:tr>
      <w:tr w:rsidR="005B6AF9" w:rsidRPr="00680E37" w14:paraId="17A7B27C" w14:textId="77777777" w:rsidTr="00680E37">
        <w:trPr>
          <w:trHeight w:val="186"/>
        </w:trPr>
        <w:tc>
          <w:tcPr>
            <w:tcW w:w="506" w:type="dxa"/>
            <w:vMerge/>
            <w:tcBorders>
              <w:top w:val="nil"/>
              <w:left w:val="single" w:sz="8" w:space="0" w:color="auto"/>
              <w:bottom w:val="single" w:sz="8" w:space="0" w:color="000000"/>
              <w:right w:val="single" w:sz="4" w:space="0" w:color="auto"/>
            </w:tcBorders>
            <w:vAlign w:val="center"/>
            <w:hideMark/>
          </w:tcPr>
          <w:p w14:paraId="6F61EDF6"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4" w:space="0" w:color="auto"/>
              <w:right w:val="single" w:sz="4" w:space="0" w:color="auto"/>
            </w:tcBorders>
            <w:shd w:val="clear" w:color="auto" w:fill="auto"/>
            <w:hideMark/>
          </w:tcPr>
          <w:p w14:paraId="1AF2E12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w:t>
            </w:r>
          </w:p>
        </w:tc>
        <w:tc>
          <w:tcPr>
            <w:tcW w:w="1829" w:type="dxa"/>
            <w:tcBorders>
              <w:top w:val="nil"/>
              <w:left w:val="nil"/>
              <w:bottom w:val="single" w:sz="4" w:space="0" w:color="auto"/>
              <w:right w:val="single" w:sz="4" w:space="0" w:color="auto"/>
            </w:tcBorders>
            <w:shd w:val="clear" w:color="auto" w:fill="auto"/>
            <w:hideMark/>
          </w:tcPr>
          <w:p w14:paraId="72B3F5C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Медеуский</w:t>
            </w:r>
          </w:p>
        </w:tc>
        <w:tc>
          <w:tcPr>
            <w:tcW w:w="780" w:type="dxa"/>
            <w:tcBorders>
              <w:top w:val="nil"/>
              <w:left w:val="nil"/>
              <w:bottom w:val="single" w:sz="4" w:space="0" w:color="auto"/>
              <w:right w:val="single" w:sz="4" w:space="0" w:color="auto"/>
            </w:tcBorders>
            <w:shd w:val="clear" w:color="auto" w:fill="auto"/>
            <w:hideMark/>
          </w:tcPr>
          <w:p w14:paraId="7CE882A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1 270</w:t>
            </w:r>
          </w:p>
        </w:tc>
        <w:tc>
          <w:tcPr>
            <w:tcW w:w="955" w:type="dxa"/>
            <w:tcBorders>
              <w:top w:val="nil"/>
              <w:left w:val="nil"/>
              <w:bottom w:val="single" w:sz="4" w:space="0" w:color="auto"/>
              <w:right w:val="single" w:sz="4" w:space="0" w:color="auto"/>
            </w:tcBorders>
            <w:shd w:val="clear" w:color="auto" w:fill="auto"/>
            <w:hideMark/>
          </w:tcPr>
          <w:p w14:paraId="7EE8EC5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9 931</w:t>
            </w:r>
          </w:p>
        </w:tc>
        <w:tc>
          <w:tcPr>
            <w:tcW w:w="954" w:type="dxa"/>
            <w:tcBorders>
              <w:top w:val="nil"/>
              <w:left w:val="nil"/>
              <w:bottom w:val="single" w:sz="4" w:space="0" w:color="auto"/>
              <w:right w:val="single" w:sz="4" w:space="0" w:color="auto"/>
            </w:tcBorders>
            <w:shd w:val="clear" w:color="auto" w:fill="auto"/>
            <w:hideMark/>
          </w:tcPr>
          <w:p w14:paraId="48C00EA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8 263</w:t>
            </w:r>
          </w:p>
        </w:tc>
        <w:tc>
          <w:tcPr>
            <w:tcW w:w="969" w:type="dxa"/>
            <w:tcBorders>
              <w:top w:val="nil"/>
              <w:left w:val="nil"/>
              <w:bottom w:val="single" w:sz="4" w:space="0" w:color="auto"/>
              <w:right w:val="single" w:sz="4" w:space="0" w:color="auto"/>
            </w:tcBorders>
            <w:shd w:val="clear" w:color="auto" w:fill="auto"/>
            <w:hideMark/>
          </w:tcPr>
          <w:p w14:paraId="0AFE6A3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7 207</w:t>
            </w:r>
          </w:p>
        </w:tc>
        <w:tc>
          <w:tcPr>
            <w:tcW w:w="969" w:type="dxa"/>
            <w:tcBorders>
              <w:top w:val="nil"/>
              <w:left w:val="nil"/>
              <w:bottom w:val="single" w:sz="4" w:space="0" w:color="auto"/>
              <w:right w:val="single" w:sz="4" w:space="0" w:color="auto"/>
            </w:tcBorders>
            <w:shd w:val="clear" w:color="auto" w:fill="auto"/>
            <w:hideMark/>
          </w:tcPr>
          <w:p w14:paraId="5D3E9CF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3 080</w:t>
            </w:r>
          </w:p>
        </w:tc>
        <w:tc>
          <w:tcPr>
            <w:tcW w:w="969" w:type="dxa"/>
            <w:tcBorders>
              <w:top w:val="nil"/>
              <w:left w:val="nil"/>
              <w:bottom w:val="single" w:sz="4" w:space="0" w:color="auto"/>
              <w:right w:val="single" w:sz="4" w:space="0" w:color="auto"/>
            </w:tcBorders>
            <w:shd w:val="clear" w:color="auto" w:fill="auto"/>
            <w:hideMark/>
          </w:tcPr>
          <w:p w14:paraId="4619BF9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1 436</w:t>
            </w:r>
          </w:p>
        </w:tc>
        <w:tc>
          <w:tcPr>
            <w:tcW w:w="969" w:type="dxa"/>
            <w:tcBorders>
              <w:top w:val="nil"/>
              <w:left w:val="nil"/>
              <w:bottom w:val="single" w:sz="4" w:space="0" w:color="auto"/>
              <w:right w:val="single" w:sz="4" w:space="0" w:color="auto"/>
            </w:tcBorders>
            <w:shd w:val="clear" w:color="auto" w:fill="auto"/>
            <w:hideMark/>
          </w:tcPr>
          <w:p w14:paraId="64D9208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10 966</w:t>
            </w:r>
          </w:p>
        </w:tc>
        <w:tc>
          <w:tcPr>
            <w:tcW w:w="969" w:type="dxa"/>
            <w:tcBorders>
              <w:top w:val="nil"/>
              <w:left w:val="nil"/>
              <w:bottom w:val="single" w:sz="4" w:space="0" w:color="auto"/>
              <w:right w:val="single" w:sz="4" w:space="0" w:color="auto"/>
            </w:tcBorders>
            <w:shd w:val="clear" w:color="auto" w:fill="auto"/>
            <w:hideMark/>
          </w:tcPr>
          <w:p w14:paraId="78C2FA1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10 190</w:t>
            </w:r>
          </w:p>
        </w:tc>
        <w:tc>
          <w:tcPr>
            <w:tcW w:w="969" w:type="dxa"/>
            <w:tcBorders>
              <w:top w:val="nil"/>
              <w:left w:val="nil"/>
              <w:bottom w:val="single" w:sz="4" w:space="0" w:color="auto"/>
              <w:right w:val="single" w:sz="4" w:space="0" w:color="auto"/>
            </w:tcBorders>
            <w:shd w:val="clear" w:color="auto" w:fill="auto"/>
            <w:hideMark/>
          </w:tcPr>
          <w:p w14:paraId="6B00627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8 855</w:t>
            </w:r>
          </w:p>
        </w:tc>
        <w:tc>
          <w:tcPr>
            <w:tcW w:w="969" w:type="dxa"/>
            <w:tcBorders>
              <w:top w:val="nil"/>
              <w:left w:val="nil"/>
              <w:bottom w:val="single" w:sz="4" w:space="0" w:color="auto"/>
              <w:right w:val="single" w:sz="4" w:space="0" w:color="auto"/>
            </w:tcBorders>
            <w:shd w:val="clear" w:color="auto" w:fill="auto"/>
            <w:hideMark/>
          </w:tcPr>
          <w:p w14:paraId="08CF99F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8 119</w:t>
            </w:r>
          </w:p>
        </w:tc>
        <w:tc>
          <w:tcPr>
            <w:tcW w:w="969" w:type="dxa"/>
            <w:tcBorders>
              <w:top w:val="nil"/>
              <w:left w:val="nil"/>
              <w:bottom w:val="single" w:sz="4" w:space="0" w:color="auto"/>
              <w:right w:val="single" w:sz="4" w:space="0" w:color="auto"/>
            </w:tcBorders>
            <w:shd w:val="clear" w:color="auto" w:fill="auto"/>
            <w:hideMark/>
          </w:tcPr>
          <w:p w14:paraId="1F51C3D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5 008</w:t>
            </w:r>
          </w:p>
        </w:tc>
        <w:tc>
          <w:tcPr>
            <w:tcW w:w="1238" w:type="dxa"/>
            <w:tcBorders>
              <w:top w:val="nil"/>
              <w:left w:val="nil"/>
              <w:bottom w:val="single" w:sz="4" w:space="0" w:color="auto"/>
              <w:right w:val="single" w:sz="8" w:space="0" w:color="auto"/>
            </w:tcBorders>
            <w:shd w:val="clear" w:color="auto" w:fill="auto"/>
            <w:hideMark/>
          </w:tcPr>
          <w:p w14:paraId="1ED2CA4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3 833</w:t>
            </w:r>
          </w:p>
        </w:tc>
      </w:tr>
      <w:tr w:rsidR="005B6AF9" w:rsidRPr="00680E37" w14:paraId="7FE8D37C" w14:textId="77777777" w:rsidTr="00680E37">
        <w:trPr>
          <w:trHeight w:val="244"/>
        </w:trPr>
        <w:tc>
          <w:tcPr>
            <w:tcW w:w="506" w:type="dxa"/>
            <w:vMerge/>
            <w:tcBorders>
              <w:top w:val="nil"/>
              <w:left w:val="single" w:sz="8" w:space="0" w:color="auto"/>
              <w:bottom w:val="single" w:sz="8" w:space="0" w:color="000000"/>
              <w:right w:val="single" w:sz="4" w:space="0" w:color="auto"/>
            </w:tcBorders>
            <w:vAlign w:val="center"/>
            <w:hideMark/>
          </w:tcPr>
          <w:p w14:paraId="1776EF9A"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4" w:space="0" w:color="auto"/>
              <w:right w:val="single" w:sz="4" w:space="0" w:color="auto"/>
            </w:tcBorders>
            <w:shd w:val="clear" w:color="auto" w:fill="auto"/>
            <w:hideMark/>
          </w:tcPr>
          <w:p w14:paraId="48D2B56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w:t>
            </w:r>
          </w:p>
        </w:tc>
        <w:tc>
          <w:tcPr>
            <w:tcW w:w="1829" w:type="dxa"/>
            <w:tcBorders>
              <w:top w:val="nil"/>
              <w:left w:val="nil"/>
              <w:bottom w:val="single" w:sz="4" w:space="0" w:color="auto"/>
              <w:right w:val="single" w:sz="4" w:space="0" w:color="auto"/>
            </w:tcBorders>
            <w:shd w:val="clear" w:color="auto" w:fill="auto"/>
            <w:hideMark/>
          </w:tcPr>
          <w:p w14:paraId="5685C45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Наурызбайский</w:t>
            </w:r>
          </w:p>
        </w:tc>
        <w:tc>
          <w:tcPr>
            <w:tcW w:w="780" w:type="dxa"/>
            <w:tcBorders>
              <w:top w:val="nil"/>
              <w:left w:val="nil"/>
              <w:bottom w:val="single" w:sz="4" w:space="0" w:color="auto"/>
              <w:right w:val="single" w:sz="4" w:space="0" w:color="auto"/>
            </w:tcBorders>
            <w:shd w:val="clear" w:color="auto" w:fill="auto"/>
            <w:hideMark/>
          </w:tcPr>
          <w:p w14:paraId="64CA704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55" w:type="dxa"/>
            <w:tcBorders>
              <w:top w:val="nil"/>
              <w:left w:val="nil"/>
              <w:bottom w:val="single" w:sz="4" w:space="0" w:color="auto"/>
              <w:right w:val="single" w:sz="4" w:space="0" w:color="auto"/>
            </w:tcBorders>
            <w:shd w:val="clear" w:color="auto" w:fill="auto"/>
            <w:hideMark/>
          </w:tcPr>
          <w:p w14:paraId="454368B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54" w:type="dxa"/>
            <w:tcBorders>
              <w:top w:val="nil"/>
              <w:left w:val="nil"/>
              <w:bottom w:val="single" w:sz="4" w:space="0" w:color="auto"/>
              <w:right w:val="single" w:sz="4" w:space="0" w:color="auto"/>
            </w:tcBorders>
            <w:shd w:val="clear" w:color="auto" w:fill="auto"/>
            <w:hideMark/>
          </w:tcPr>
          <w:p w14:paraId="4614B1B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22F2514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4526146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60E9589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72F8299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355F668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27EE4F7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7C6C82E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69E74BA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1238" w:type="dxa"/>
            <w:tcBorders>
              <w:top w:val="nil"/>
              <w:left w:val="nil"/>
              <w:bottom w:val="single" w:sz="4" w:space="0" w:color="auto"/>
              <w:right w:val="single" w:sz="8" w:space="0" w:color="auto"/>
            </w:tcBorders>
            <w:shd w:val="clear" w:color="auto" w:fill="auto"/>
            <w:hideMark/>
          </w:tcPr>
          <w:p w14:paraId="694E679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r>
      <w:tr w:rsidR="005B6AF9" w:rsidRPr="00680E37" w14:paraId="139B9D9B" w14:textId="77777777" w:rsidTr="00680E37">
        <w:trPr>
          <w:trHeight w:val="224"/>
        </w:trPr>
        <w:tc>
          <w:tcPr>
            <w:tcW w:w="506" w:type="dxa"/>
            <w:vMerge/>
            <w:tcBorders>
              <w:top w:val="nil"/>
              <w:left w:val="single" w:sz="8" w:space="0" w:color="auto"/>
              <w:bottom w:val="single" w:sz="8" w:space="0" w:color="000000"/>
              <w:right w:val="single" w:sz="4" w:space="0" w:color="auto"/>
            </w:tcBorders>
            <w:vAlign w:val="center"/>
            <w:hideMark/>
          </w:tcPr>
          <w:p w14:paraId="22062EC4"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8" w:space="0" w:color="auto"/>
              <w:right w:val="single" w:sz="4" w:space="0" w:color="auto"/>
            </w:tcBorders>
            <w:shd w:val="clear" w:color="auto" w:fill="auto"/>
            <w:hideMark/>
          </w:tcPr>
          <w:p w14:paraId="623CCC4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w:t>
            </w:r>
          </w:p>
        </w:tc>
        <w:tc>
          <w:tcPr>
            <w:tcW w:w="1829" w:type="dxa"/>
            <w:tcBorders>
              <w:top w:val="nil"/>
              <w:left w:val="nil"/>
              <w:bottom w:val="single" w:sz="8" w:space="0" w:color="auto"/>
              <w:right w:val="single" w:sz="4" w:space="0" w:color="auto"/>
            </w:tcBorders>
            <w:shd w:val="clear" w:color="auto" w:fill="auto"/>
            <w:hideMark/>
          </w:tcPr>
          <w:p w14:paraId="517586A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Турксибский</w:t>
            </w:r>
          </w:p>
        </w:tc>
        <w:tc>
          <w:tcPr>
            <w:tcW w:w="780" w:type="dxa"/>
            <w:tcBorders>
              <w:top w:val="nil"/>
              <w:left w:val="nil"/>
              <w:bottom w:val="single" w:sz="8" w:space="0" w:color="auto"/>
              <w:right w:val="single" w:sz="4" w:space="0" w:color="auto"/>
            </w:tcBorders>
            <w:shd w:val="clear" w:color="auto" w:fill="auto"/>
            <w:hideMark/>
          </w:tcPr>
          <w:p w14:paraId="24BC6E3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428</w:t>
            </w:r>
          </w:p>
        </w:tc>
        <w:tc>
          <w:tcPr>
            <w:tcW w:w="955" w:type="dxa"/>
            <w:tcBorders>
              <w:top w:val="nil"/>
              <w:left w:val="nil"/>
              <w:bottom w:val="single" w:sz="8" w:space="0" w:color="auto"/>
              <w:right w:val="single" w:sz="4" w:space="0" w:color="auto"/>
            </w:tcBorders>
            <w:shd w:val="clear" w:color="auto" w:fill="auto"/>
            <w:hideMark/>
          </w:tcPr>
          <w:p w14:paraId="6BDE20B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5 844</w:t>
            </w:r>
          </w:p>
        </w:tc>
        <w:tc>
          <w:tcPr>
            <w:tcW w:w="954" w:type="dxa"/>
            <w:tcBorders>
              <w:top w:val="nil"/>
              <w:left w:val="nil"/>
              <w:bottom w:val="single" w:sz="8" w:space="0" w:color="auto"/>
              <w:right w:val="single" w:sz="4" w:space="0" w:color="auto"/>
            </w:tcBorders>
            <w:shd w:val="clear" w:color="auto" w:fill="auto"/>
            <w:hideMark/>
          </w:tcPr>
          <w:p w14:paraId="439A887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5 257</w:t>
            </w:r>
          </w:p>
        </w:tc>
        <w:tc>
          <w:tcPr>
            <w:tcW w:w="969" w:type="dxa"/>
            <w:tcBorders>
              <w:top w:val="nil"/>
              <w:left w:val="nil"/>
              <w:bottom w:val="single" w:sz="8" w:space="0" w:color="auto"/>
              <w:right w:val="single" w:sz="4" w:space="0" w:color="auto"/>
            </w:tcBorders>
            <w:shd w:val="clear" w:color="auto" w:fill="auto"/>
            <w:hideMark/>
          </w:tcPr>
          <w:p w14:paraId="1A7211A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4 967</w:t>
            </w:r>
          </w:p>
        </w:tc>
        <w:tc>
          <w:tcPr>
            <w:tcW w:w="969" w:type="dxa"/>
            <w:tcBorders>
              <w:top w:val="nil"/>
              <w:left w:val="nil"/>
              <w:bottom w:val="single" w:sz="8" w:space="0" w:color="auto"/>
              <w:right w:val="single" w:sz="4" w:space="0" w:color="auto"/>
            </w:tcBorders>
            <w:shd w:val="clear" w:color="auto" w:fill="auto"/>
            <w:hideMark/>
          </w:tcPr>
          <w:p w14:paraId="251CE88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3 473</w:t>
            </w:r>
          </w:p>
        </w:tc>
        <w:tc>
          <w:tcPr>
            <w:tcW w:w="969" w:type="dxa"/>
            <w:tcBorders>
              <w:top w:val="nil"/>
              <w:left w:val="nil"/>
              <w:bottom w:val="single" w:sz="8" w:space="0" w:color="auto"/>
              <w:right w:val="single" w:sz="4" w:space="0" w:color="auto"/>
            </w:tcBorders>
            <w:shd w:val="clear" w:color="auto" w:fill="auto"/>
            <w:hideMark/>
          </w:tcPr>
          <w:p w14:paraId="61112BE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2 054</w:t>
            </w:r>
          </w:p>
        </w:tc>
        <w:tc>
          <w:tcPr>
            <w:tcW w:w="969" w:type="dxa"/>
            <w:tcBorders>
              <w:top w:val="nil"/>
              <w:left w:val="nil"/>
              <w:bottom w:val="single" w:sz="8" w:space="0" w:color="auto"/>
              <w:right w:val="single" w:sz="4" w:space="0" w:color="auto"/>
            </w:tcBorders>
            <w:shd w:val="clear" w:color="auto" w:fill="auto"/>
            <w:hideMark/>
          </w:tcPr>
          <w:p w14:paraId="6ACD305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13 651</w:t>
            </w:r>
          </w:p>
        </w:tc>
        <w:tc>
          <w:tcPr>
            <w:tcW w:w="969" w:type="dxa"/>
            <w:tcBorders>
              <w:top w:val="nil"/>
              <w:left w:val="nil"/>
              <w:bottom w:val="single" w:sz="8" w:space="0" w:color="auto"/>
              <w:right w:val="single" w:sz="4" w:space="0" w:color="auto"/>
            </w:tcBorders>
            <w:shd w:val="clear" w:color="auto" w:fill="auto"/>
            <w:hideMark/>
          </w:tcPr>
          <w:p w14:paraId="5CC4CFD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11 768</w:t>
            </w:r>
          </w:p>
        </w:tc>
        <w:tc>
          <w:tcPr>
            <w:tcW w:w="969" w:type="dxa"/>
            <w:tcBorders>
              <w:top w:val="nil"/>
              <w:left w:val="nil"/>
              <w:bottom w:val="single" w:sz="8" w:space="0" w:color="auto"/>
              <w:right w:val="single" w:sz="4" w:space="0" w:color="auto"/>
            </w:tcBorders>
            <w:shd w:val="clear" w:color="auto" w:fill="auto"/>
            <w:hideMark/>
          </w:tcPr>
          <w:p w14:paraId="0565B77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9 725</w:t>
            </w:r>
          </w:p>
        </w:tc>
        <w:tc>
          <w:tcPr>
            <w:tcW w:w="969" w:type="dxa"/>
            <w:tcBorders>
              <w:top w:val="nil"/>
              <w:left w:val="nil"/>
              <w:bottom w:val="single" w:sz="8" w:space="0" w:color="auto"/>
              <w:right w:val="single" w:sz="4" w:space="0" w:color="auto"/>
            </w:tcBorders>
            <w:shd w:val="clear" w:color="auto" w:fill="auto"/>
            <w:hideMark/>
          </w:tcPr>
          <w:p w14:paraId="2A3CBDC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9 735</w:t>
            </w:r>
          </w:p>
        </w:tc>
        <w:tc>
          <w:tcPr>
            <w:tcW w:w="969" w:type="dxa"/>
            <w:tcBorders>
              <w:top w:val="nil"/>
              <w:left w:val="nil"/>
              <w:bottom w:val="single" w:sz="8" w:space="0" w:color="auto"/>
              <w:right w:val="single" w:sz="4" w:space="0" w:color="auto"/>
            </w:tcBorders>
            <w:shd w:val="clear" w:color="auto" w:fill="auto"/>
            <w:hideMark/>
          </w:tcPr>
          <w:p w14:paraId="7748674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5 048</w:t>
            </w:r>
          </w:p>
        </w:tc>
        <w:tc>
          <w:tcPr>
            <w:tcW w:w="1238" w:type="dxa"/>
            <w:tcBorders>
              <w:top w:val="nil"/>
              <w:left w:val="nil"/>
              <w:bottom w:val="single" w:sz="8" w:space="0" w:color="auto"/>
              <w:right w:val="single" w:sz="8" w:space="0" w:color="auto"/>
            </w:tcBorders>
            <w:shd w:val="clear" w:color="auto" w:fill="auto"/>
            <w:hideMark/>
          </w:tcPr>
          <w:p w14:paraId="2FB0258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4 017</w:t>
            </w:r>
          </w:p>
        </w:tc>
      </w:tr>
      <w:tr w:rsidR="005B6AF9" w:rsidRPr="00680E37" w14:paraId="6735F12E" w14:textId="77777777" w:rsidTr="00680E37">
        <w:trPr>
          <w:trHeight w:val="271"/>
        </w:trPr>
        <w:tc>
          <w:tcPr>
            <w:tcW w:w="506" w:type="dxa"/>
            <w:vMerge w:val="restart"/>
            <w:tcBorders>
              <w:top w:val="nil"/>
              <w:left w:val="single" w:sz="8" w:space="0" w:color="auto"/>
              <w:bottom w:val="single" w:sz="8" w:space="0" w:color="000000"/>
              <w:right w:val="single" w:sz="4" w:space="0" w:color="auto"/>
            </w:tcBorders>
            <w:shd w:val="clear" w:color="auto" w:fill="auto"/>
            <w:noWrap/>
            <w:textDirection w:val="btLr"/>
            <w:vAlign w:val="center"/>
            <w:hideMark/>
          </w:tcPr>
          <w:p w14:paraId="53FA11AF" w14:textId="77777777" w:rsidR="005B6AF9" w:rsidRPr="00680E37" w:rsidRDefault="005B6AF9" w:rsidP="004135FE">
            <w:pPr>
              <w:spacing w:after="0" w:line="240" w:lineRule="auto"/>
              <w:jc w:val="center"/>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2013</w:t>
            </w:r>
          </w:p>
        </w:tc>
        <w:tc>
          <w:tcPr>
            <w:tcW w:w="445" w:type="dxa"/>
            <w:tcBorders>
              <w:top w:val="nil"/>
              <w:left w:val="nil"/>
              <w:bottom w:val="single" w:sz="4" w:space="0" w:color="auto"/>
              <w:right w:val="single" w:sz="4" w:space="0" w:color="auto"/>
            </w:tcBorders>
            <w:shd w:val="clear" w:color="auto" w:fill="auto"/>
            <w:hideMark/>
          </w:tcPr>
          <w:p w14:paraId="3B85404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w:t>
            </w:r>
          </w:p>
        </w:tc>
        <w:tc>
          <w:tcPr>
            <w:tcW w:w="1829" w:type="dxa"/>
            <w:tcBorders>
              <w:top w:val="nil"/>
              <w:left w:val="nil"/>
              <w:bottom w:val="single" w:sz="4" w:space="0" w:color="auto"/>
              <w:right w:val="single" w:sz="4" w:space="0" w:color="auto"/>
            </w:tcBorders>
            <w:shd w:val="clear" w:color="auto" w:fill="auto"/>
            <w:hideMark/>
          </w:tcPr>
          <w:p w14:paraId="01FF347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Алмалинский</w:t>
            </w:r>
          </w:p>
        </w:tc>
        <w:tc>
          <w:tcPr>
            <w:tcW w:w="780" w:type="dxa"/>
            <w:tcBorders>
              <w:top w:val="nil"/>
              <w:left w:val="nil"/>
              <w:bottom w:val="single" w:sz="4" w:space="0" w:color="auto"/>
              <w:right w:val="single" w:sz="4" w:space="0" w:color="auto"/>
            </w:tcBorders>
            <w:shd w:val="clear" w:color="auto" w:fill="auto"/>
            <w:hideMark/>
          </w:tcPr>
          <w:p w14:paraId="368B8E5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2 056</w:t>
            </w:r>
          </w:p>
        </w:tc>
        <w:tc>
          <w:tcPr>
            <w:tcW w:w="955" w:type="dxa"/>
            <w:tcBorders>
              <w:top w:val="nil"/>
              <w:left w:val="nil"/>
              <w:bottom w:val="single" w:sz="4" w:space="0" w:color="auto"/>
              <w:right w:val="single" w:sz="4" w:space="0" w:color="auto"/>
            </w:tcBorders>
            <w:shd w:val="clear" w:color="auto" w:fill="auto"/>
            <w:hideMark/>
          </w:tcPr>
          <w:p w14:paraId="22DFAD4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9 845</w:t>
            </w:r>
          </w:p>
        </w:tc>
        <w:tc>
          <w:tcPr>
            <w:tcW w:w="954" w:type="dxa"/>
            <w:tcBorders>
              <w:top w:val="nil"/>
              <w:left w:val="nil"/>
              <w:bottom w:val="single" w:sz="4" w:space="0" w:color="auto"/>
              <w:right w:val="single" w:sz="4" w:space="0" w:color="auto"/>
            </w:tcBorders>
            <w:shd w:val="clear" w:color="auto" w:fill="auto"/>
            <w:hideMark/>
          </w:tcPr>
          <w:p w14:paraId="7A06F38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11 324</w:t>
            </w:r>
          </w:p>
        </w:tc>
        <w:tc>
          <w:tcPr>
            <w:tcW w:w="969" w:type="dxa"/>
            <w:tcBorders>
              <w:top w:val="nil"/>
              <w:left w:val="nil"/>
              <w:bottom w:val="single" w:sz="4" w:space="0" w:color="auto"/>
              <w:right w:val="single" w:sz="4" w:space="0" w:color="auto"/>
            </w:tcBorders>
            <w:shd w:val="clear" w:color="auto" w:fill="auto"/>
            <w:hideMark/>
          </w:tcPr>
          <w:p w14:paraId="77B8619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8 265</w:t>
            </w:r>
          </w:p>
        </w:tc>
        <w:tc>
          <w:tcPr>
            <w:tcW w:w="969" w:type="dxa"/>
            <w:tcBorders>
              <w:top w:val="nil"/>
              <w:left w:val="nil"/>
              <w:bottom w:val="single" w:sz="4" w:space="0" w:color="auto"/>
              <w:right w:val="single" w:sz="4" w:space="0" w:color="auto"/>
            </w:tcBorders>
            <w:shd w:val="clear" w:color="auto" w:fill="auto"/>
            <w:hideMark/>
          </w:tcPr>
          <w:p w14:paraId="7785EEC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2 734</w:t>
            </w:r>
          </w:p>
        </w:tc>
        <w:tc>
          <w:tcPr>
            <w:tcW w:w="969" w:type="dxa"/>
            <w:tcBorders>
              <w:top w:val="nil"/>
              <w:left w:val="nil"/>
              <w:bottom w:val="single" w:sz="4" w:space="0" w:color="auto"/>
              <w:right w:val="single" w:sz="4" w:space="0" w:color="auto"/>
            </w:tcBorders>
            <w:shd w:val="clear" w:color="auto" w:fill="auto"/>
            <w:hideMark/>
          </w:tcPr>
          <w:p w14:paraId="6826E07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2 035</w:t>
            </w:r>
          </w:p>
        </w:tc>
        <w:tc>
          <w:tcPr>
            <w:tcW w:w="969" w:type="dxa"/>
            <w:tcBorders>
              <w:top w:val="nil"/>
              <w:left w:val="nil"/>
              <w:bottom w:val="single" w:sz="4" w:space="0" w:color="auto"/>
              <w:right w:val="single" w:sz="4" w:space="0" w:color="auto"/>
            </w:tcBorders>
            <w:shd w:val="clear" w:color="auto" w:fill="auto"/>
            <w:hideMark/>
          </w:tcPr>
          <w:p w14:paraId="367D7B9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13 486</w:t>
            </w:r>
          </w:p>
        </w:tc>
        <w:tc>
          <w:tcPr>
            <w:tcW w:w="969" w:type="dxa"/>
            <w:tcBorders>
              <w:top w:val="nil"/>
              <w:left w:val="nil"/>
              <w:bottom w:val="single" w:sz="4" w:space="0" w:color="auto"/>
              <w:right w:val="single" w:sz="4" w:space="0" w:color="auto"/>
            </w:tcBorders>
            <w:shd w:val="clear" w:color="auto" w:fill="auto"/>
            <w:hideMark/>
          </w:tcPr>
          <w:p w14:paraId="06FBF5B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13 250</w:t>
            </w:r>
          </w:p>
        </w:tc>
        <w:tc>
          <w:tcPr>
            <w:tcW w:w="969" w:type="dxa"/>
            <w:tcBorders>
              <w:top w:val="nil"/>
              <w:left w:val="nil"/>
              <w:bottom w:val="single" w:sz="4" w:space="0" w:color="auto"/>
              <w:right w:val="single" w:sz="4" w:space="0" w:color="auto"/>
            </w:tcBorders>
            <w:shd w:val="clear" w:color="auto" w:fill="auto"/>
            <w:hideMark/>
          </w:tcPr>
          <w:p w14:paraId="0B0EA32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11 048</w:t>
            </w:r>
          </w:p>
        </w:tc>
        <w:tc>
          <w:tcPr>
            <w:tcW w:w="969" w:type="dxa"/>
            <w:tcBorders>
              <w:top w:val="nil"/>
              <w:left w:val="nil"/>
              <w:bottom w:val="single" w:sz="4" w:space="0" w:color="auto"/>
              <w:right w:val="single" w:sz="4" w:space="0" w:color="auto"/>
            </w:tcBorders>
            <w:shd w:val="clear" w:color="auto" w:fill="auto"/>
            <w:hideMark/>
          </w:tcPr>
          <w:p w14:paraId="4B9707E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10 225</w:t>
            </w:r>
          </w:p>
        </w:tc>
        <w:tc>
          <w:tcPr>
            <w:tcW w:w="969" w:type="dxa"/>
            <w:tcBorders>
              <w:top w:val="nil"/>
              <w:left w:val="nil"/>
              <w:bottom w:val="single" w:sz="4" w:space="0" w:color="auto"/>
              <w:right w:val="single" w:sz="4" w:space="0" w:color="auto"/>
            </w:tcBorders>
            <w:shd w:val="clear" w:color="auto" w:fill="auto"/>
            <w:hideMark/>
          </w:tcPr>
          <w:p w14:paraId="7C17343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6 680</w:t>
            </w:r>
          </w:p>
        </w:tc>
        <w:tc>
          <w:tcPr>
            <w:tcW w:w="1238" w:type="dxa"/>
            <w:tcBorders>
              <w:top w:val="nil"/>
              <w:left w:val="nil"/>
              <w:bottom w:val="single" w:sz="4" w:space="0" w:color="auto"/>
              <w:right w:val="single" w:sz="8" w:space="0" w:color="auto"/>
            </w:tcBorders>
            <w:shd w:val="clear" w:color="auto" w:fill="auto"/>
            <w:hideMark/>
          </w:tcPr>
          <w:p w14:paraId="213AC8C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5 241</w:t>
            </w:r>
          </w:p>
        </w:tc>
      </w:tr>
      <w:tr w:rsidR="005B6AF9" w:rsidRPr="00680E37" w14:paraId="7F89E703" w14:textId="77777777" w:rsidTr="00680E37">
        <w:trPr>
          <w:trHeight w:val="204"/>
        </w:trPr>
        <w:tc>
          <w:tcPr>
            <w:tcW w:w="506" w:type="dxa"/>
            <w:vMerge/>
            <w:tcBorders>
              <w:top w:val="nil"/>
              <w:left w:val="single" w:sz="8" w:space="0" w:color="auto"/>
              <w:bottom w:val="single" w:sz="8" w:space="0" w:color="000000"/>
              <w:right w:val="single" w:sz="4" w:space="0" w:color="auto"/>
            </w:tcBorders>
            <w:vAlign w:val="center"/>
            <w:hideMark/>
          </w:tcPr>
          <w:p w14:paraId="1B725EF5"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4" w:space="0" w:color="auto"/>
              <w:right w:val="single" w:sz="4" w:space="0" w:color="auto"/>
            </w:tcBorders>
            <w:shd w:val="clear" w:color="auto" w:fill="auto"/>
            <w:hideMark/>
          </w:tcPr>
          <w:p w14:paraId="0DB1B06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w:t>
            </w:r>
          </w:p>
        </w:tc>
        <w:tc>
          <w:tcPr>
            <w:tcW w:w="1829" w:type="dxa"/>
            <w:tcBorders>
              <w:top w:val="nil"/>
              <w:left w:val="nil"/>
              <w:bottom w:val="single" w:sz="4" w:space="0" w:color="auto"/>
              <w:right w:val="single" w:sz="4" w:space="0" w:color="auto"/>
            </w:tcBorders>
            <w:shd w:val="clear" w:color="auto" w:fill="auto"/>
            <w:hideMark/>
          </w:tcPr>
          <w:p w14:paraId="74C9194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Алатауский</w:t>
            </w:r>
          </w:p>
        </w:tc>
        <w:tc>
          <w:tcPr>
            <w:tcW w:w="780" w:type="dxa"/>
            <w:tcBorders>
              <w:top w:val="nil"/>
              <w:left w:val="nil"/>
              <w:bottom w:val="single" w:sz="4" w:space="0" w:color="auto"/>
              <w:right w:val="single" w:sz="4" w:space="0" w:color="auto"/>
            </w:tcBorders>
            <w:shd w:val="clear" w:color="auto" w:fill="auto"/>
            <w:hideMark/>
          </w:tcPr>
          <w:p w14:paraId="61DB01D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1 832</w:t>
            </w:r>
          </w:p>
        </w:tc>
        <w:tc>
          <w:tcPr>
            <w:tcW w:w="955" w:type="dxa"/>
            <w:tcBorders>
              <w:top w:val="nil"/>
              <w:left w:val="nil"/>
              <w:bottom w:val="single" w:sz="4" w:space="0" w:color="auto"/>
              <w:right w:val="single" w:sz="4" w:space="0" w:color="auto"/>
            </w:tcBorders>
            <w:shd w:val="clear" w:color="auto" w:fill="auto"/>
            <w:hideMark/>
          </w:tcPr>
          <w:p w14:paraId="29E39C7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6 921</w:t>
            </w:r>
          </w:p>
        </w:tc>
        <w:tc>
          <w:tcPr>
            <w:tcW w:w="954" w:type="dxa"/>
            <w:tcBorders>
              <w:top w:val="nil"/>
              <w:left w:val="nil"/>
              <w:bottom w:val="single" w:sz="4" w:space="0" w:color="auto"/>
              <w:right w:val="single" w:sz="4" w:space="0" w:color="auto"/>
            </w:tcBorders>
            <w:shd w:val="clear" w:color="auto" w:fill="auto"/>
            <w:hideMark/>
          </w:tcPr>
          <w:p w14:paraId="1BF6032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7 315</w:t>
            </w:r>
          </w:p>
        </w:tc>
        <w:tc>
          <w:tcPr>
            <w:tcW w:w="969" w:type="dxa"/>
            <w:tcBorders>
              <w:top w:val="nil"/>
              <w:left w:val="nil"/>
              <w:bottom w:val="single" w:sz="4" w:space="0" w:color="auto"/>
              <w:right w:val="single" w:sz="4" w:space="0" w:color="auto"/>
            </w:tcBorders>
            <w:shd w:val="clear" w:color="auto" w:fill="auto"/>
            <w:hideMark/>
          </w:tcPr>
          <w:p w14:paraId="47E4CAE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4 908</w:t>
            </w:r>
          </w:p>
        </w:tc>
        <w:tc>
          <w:tcPr>
            <w:tcW w:w="969" w:type="dxa"/>
            <w:tcBorders>
              <w:top w:val="nil"/>
              <w:left w:val="nil"/>
              <w:bottom w:val="single" w:sz="4" w:space="0" w:color="auto"/>
              <w:right w:val="single" w:sz="4" w:space="0" w:color="auto"/>
            </w:tcBorders>
            <w:shd w:val="clear" w:color="auto" w:fill="auto"/>
            <w:hideMark/>
          </w:tcPr>
          <w:p w14:paraId="2F49264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1 719</w:t>
            </w:r>
          </w:p>
        </w:tc>
        <w:tc>
          <w:tcPr>
            <w:tcW w:w="969" w:type="dxa"/>
            <w:tcBorders>
              <w:top w:val="nil"/>
              <w:left w:val="nil"/>
              <w:bottom w:val="single" w:sz="4" w:space="0" w:color="auto"/>
              <w:right w:val="single" w:sz="4" w:space="0" w:color="auto"/>
            </w:tcBorders>
            <w:shd w:val="clear" w:color="auto" w:fill="auto"/>
            <w:hideMark/>
          </w:tcPr>
          <w:p w14:paraId="244D951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1 127</w:t>
            </w:r>
          </w:p>
        </w:tc>
        <w:tc>
          <w:tcPr>
            <w:tcW w:w="969" w:type="dxa"/>
            <w:tcBorders>
              <w:top w:val="nil"/>
              <w:left w:val="nil"/>
              <w:bottom w:val="single" w:sz="4" w:space="0" w:color="auto"/>
              <w:right w:val="single" w:sz="4" w:space="0" w:color="auto"/>
            </w:tcBorders>
            <w:shd w:val="clear" w:color="auto" w:fill="auto"/>
            <w:hideMark/>
          </w:tcPr>
          <w:p w14:paraId="4F5E129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9 777</w:t>
            </w:r>
          </w:p>
        </w:tc>
        <w:tc>
          <w:tcPr>
            <w:tcW w:w="969" w:type="dxa"/>
            <w:tcBorders>
              <w:top w:val="nil"/>
              <w:left w:val="nil"/>
              <w:bottom w:val="single" w:sz="4" w:space="0" w:color="auto"/>
              <w:right w:val="single" w:sz="4" w:space="0" w:color="auto"/>
            </w:tcBorders>
            <w:shd w:val="clear" w:color="auto" w:fill="auto"/>
            <w:hideMark/>
          </w:tcPr>
          <w:p w14:paraId="66FAEB6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9 320</w:t>
            </w:r>
          </w:p>
        </w:tc>
        <w:tc>
          <w:tcPr>
            <w:tcW w:w="969" w:type="dxa"/>
            <w:tcBorders>
              <w:top w:val="nil"/>
              <w:left w:val="nil"/>
              <w:bottom w:val="single" w:sz="4" w:space="0" w:color="auto"/>
              <w:right w:val="single" w:sz="4" w:space="0" w:color="auto"/>
            </w:tcBorders>
            <w:shd w:val="clear" w:color="auto" w:fill="auto"/>
            <w:hideMark/>
          </w:tcPr>
          <w:p w14:paraId="432617D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7 582</w:t>
            </w:r>
          </w:p>
        </w:tc>
        <w:tc>
          <w:tcPr>
            <w:tcW w:w="969" w:type="dxa"/>
            <w:tcBorders>
              <w:top w:val="nil"/>
              <w:left w:val="nil"/>
              <w:bottom w:val="single" w:sz="4" w:space="0" w:color="auto"/>
              <w:right w:val="single" w:sz="4" w:space="0" w:color="auto"/>
            </w:tcBorders>
            <w:shd w:val="clear" w:color="auto" w:fill="auto"/>
            <w:hideMark/>
          </w:tcPr>
          <w:p w14:paraId="276CDD1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5 580</w:t>
            </w:r>
          </w:p>
        </w:tc>
        <w:tc>
          <w:tcPr>
            <w:tcW w:w="969" w:type="dxa"/>
            <w:tcBorders>
              <w:top w:val="nil"/>
              <w:left w:val="nil"/>
              <w:bottom w:val="single" w:sz="4" w:space="0" w:color="auto"/>
              <w:right w:val="single" w:sz="4" w:space="0" w:color="auto"/>
            </w:tcBorders>
            <w:shd w:val="clear" w:color="auto" w:fill="auto"/>
            <w:hideMark/>
          </w:tcPr>
          <w:p w14:paraId="166A49E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2 396</w:t>
            </w:r>
          </w:p>
        </w:tc>
        <w:tc>
          <w:tcPr>
            <w:tcW w:w="1238" w:type="dxa"/>
            <w:tcBorders>
              <w:top w:val="nil"/>
              <w:left w:val="nil"/>
              <w:bottom w:val="single" w:sz="4" w:space="0" w:color="auto"/>
              <w:right w:val="single" w:sz="8" w:space="0" w:color="auto"/>
            </w:tcBorders>
            <w:shd w:val="clear" w:color="auto" w:fill="auto"/>
            <w:hideMark/>
          </w:tcPr>
          <w:p w14:paraId="06A192D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1 673</w:t>
            </w:r>
          </w:p>
        </w:tc>
      </w:tr>
      <w:tr w:rsidR="005B6AF9" w:rsidRPr="00680E37" w14:paraId="0B687F2C" w14:textId="77777777" w:rsidTr="00680E37">
        <w:trPr>
          <w:trHeight w:val="263"/>
        </w:trPr>
        <w:tc>
          <w:tcPr>
            <w:tcW w:w="506" w:type="dxa"/>
            <w:vMerge/>
            <w:tcBorders>
              <w:top w:val="nil"/>
              <w:left w:val="single" w:sz="8" w:space="0" w:color="auto"/>
              <w:bottom w:val="single" w:sz="8" w:space="0" w:color="000000"/>
              <w:right w:val="single" w:sz="4" w:space="0" w:color="auto"/>
            </w:tcBorders>
            <w:vAlign w:val="center"/>
            <w:hideMark/>
          </w:tcPr>
          <w:p w14:paraId="687059CB"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4" w:space="0" w:color="auto"/>
              <w:right w:val="single" w:sz="4" w:space="0" w:color="auto"/>
            </w:tcBorders>
            <w:shd w:val="clear" w:color="auto" w:fill="auto"/>
            <w:hideMark/>
          </w:tcPr>
          <w:p w14:paraId="3931BCC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w:t>
            </w:r>
          </w:p>
        </w:tc>
        <w:tc>
          <w:tcPr>
            <w:tcW w:w="1829" w:type="dxa"/>
            <w:tcBorders>
              <w:top w:val="nil"/>
              <w:left w:val="nil"/>
              <w:bottom w:val="single" w:sz="4" w:space="0" w:color="auto"/>
              <w:right w:val="single" w:sz="4" w:space="0" w:color="auto"/>
            </w:tcBorders>
            <w:shd w:val="clear" w:color="auto" w:fill="auto"/>
            <w:hideMark/>
          </w:tcPr>
          <w:p w14:paraId="4423033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Ауэзовский</w:t>
            </w:r>
          </w:p>
        </w:tc>
        <w:tc>
          <w:tcPr>
            <w:tcW w:w="780" w:type="dxa"/>
            <w:tcBorders>
              <w:top w:val="nil"/>
              <w:left w:val="nil"/>
              <w:bottom w:val="single" w:sz="4" w:space="0" w:color="auto"/>
              <w:right w:val="single" w:sz="4" w:space="0" w:color="auto"/>
            </w:tcBorders>
            <w:shd w:val="clear" w:color="auto" w:fill="auto"/>
            <w:hideMark/>
          </w:tcPr>
          <w:p w14:paraId="0E3E48C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2 246</w:t>
            </w:r>
          </w:p>
        </w:tc>
        <w:tc>
          <w:tcPr>
            <w:tcW w:w="955" w:type="dxa"/>
            <w:tcBorders>
              <w:top w:val="nil"/>
              <w:left w:val="nil"/>
              <w:bottom w:val="single" w:sz="4" w:space="0" w:color="auto"/>
              <w:right w:val="single" w:sz="4" w:space="0" w:color="auto"/>
            </w:tcBorders>
            <w:shd w:val="clear" w:color="auto" w:fill="auto"/>
            <w:hideMark/>
          </w:tcPr>
          <w:p w14:paraId="067B4CF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10 632</w:t>
            </w:r>
          </w:p>
        </w:tc>
        <w:tc>
          <w:tcPr>
            <w:tcW w:w="954" w:type="dxa"/>
            <w:tcBorders>
              <w:top w:val="nil"/>
              <w:left w:val="nil"/>
              <w:bottom w:val="single" w:sz="4" w:space="0" w:color="auto"/>
              <w:right w:val="single" w:sz="4" w:space="0" w:color="auto"/>
            </w:tcBorders>
            <w:shd w:val="clear" w:color="auto" w:fill="auto"/>
            <w:hideMark/>
          </w:tcPr>
          <w:p w14:paraId="43457D6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11 262</w:t>
            </w:r>
          </w:p>
        </w:tc>
        <w:tc>
          <w:tcPr>
            <w:tcW w:w="969" w:type="dxa"/>
            <w:tcBorders>
              <w:top w:val="nil"/>
              <w:left w:val="nil"/>
              <w:bottom w:val="single" w:sz="4" w:space="0" w:color="auto"/>
              <w:right w:val="single" w:sz="4" w:space="0" w:color="auto"/>
            </w:tcBorders>
            <w:shd w:val="clear" w:color="auto" w:fill="auto"/>
            <w:hideMark/>
          </w:tcPr>
          <w:p w14:paraId="5BE9673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8 186</w:t>
            </w:r>
          </w:p>
        </w:tc>
        <w:tc>
          <w:tcPr>
            <w:tcW w:w="969" w:type="dxa"/>
            <w:tcBorders>
              <w:top w:val="nil"/>
              <w:left w:val="nil"/>
              <w:bottom w:val="single" w:sz="4" w:space="0" w:color="auto"/>
              <w:right w:val="single" w:sz="4" w:space="0" w:color="auto"/>
            </w:tcBorders>
            <w:shd w:val="clear" w:color="auto" w:fill="auto"/>
            <w:hideMark/>
          </w:tcPr>
          <w:p w14:paraId="2429475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4 154</w:t>
            </w:r>
          </w:p>
        </w:tc>
        <w:tc>
          <w:tcPr>
            <w:tcW w:w="969" w:type="dxa"/>
            <w:tcBorders>
              <w:top w:val="nil"/>
              <w:left w:val="nil"/>
              <w:bottom w:val="single" w:sz="4" w:space="0" w:color="auto"/>
              <w:right w:val="single" w:sz="4" w:space="0" w:color="auto"/>
            </w:tcBorders>
            <w:shd w:val="clear" w:color="auto" w:fill="auto"/>
            <w:hideMark/>
          </w:tcPr>
          <w:p w14:paraId="5EA22AA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1 729</w:t>
            </w:r>
          </w:p>
        </w:tc>
        <w:tc>
          <w:tcPr>
            <w:tcW w:w="969" w:type="dxa"/>
            <w:tcBorders>
              <w:top w:val="nil"/>
              <w:left w:val="nil"/>
              <w:bottom w:val="single" w:sz="4" w:space="0" w:color="auto"/>
              <w:right w:val="single" w:sz="4" w:space="0" w:color="auto"/>
            </w:tcBorders>
            <w:shd w:val="clear" w:color="auto" w:fill="auto"/>
            <w:hideMark/>
          </w:tcPr>
          <w:p w14:paraId="0E4AE09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16 370</w:t>
            </w:r>
          </w:p>
        </w:tc>
        <w:tc>
          <w:tcPr>
            <w:tcW w:w="969" w:type="dxa"/>
            <w:tcBorders>
              <w:top w:val="nil"/>
              <w:left w:val="nil"/>
              <w:bottom w:val="single" w:sz="4" w:space="0" w:color="auto"/>
              <w:right w:val="single" w:sz="4" w:space="0" w:color="auto"/>
            </w:tcBorders>
            <w:shd w:val="clear" w:color="auto" w:fill="auto"/>
            <w:hideMark/>
          </w:tcPr>
          <w:p w14:paraId="699618B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15 391</w:t>
            </w:r>
          </w:p>
        </w:tc>
        <w:tc>
          <w:tcPr>
            <w:tcW w:w="969" w:type="dxa"/>
            <w:tcBorders>
              <w:top w:val="nil"/>
              <w:left w:val="nil"/>
              <w:bottom w:val="single" w:sz="4" w:space="0" w:color="auto"/>
              <w:right w:val="single" w:sz="4" w:space="0" w:color="auto"/>
            </w:tcBorders>
            <w:shd w:val="clear" w:color="auto" w:fill="auto"/>
            <w:hideMark/>
          </w:tcPr>
          <w:p w14:paraId="3E3E9F2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12 842</w:t>
            </w:r>
          </w:p>
        </w:tc>
        <w:tc>
          <w:tcPr>
            <w:tcW w:w="969" w:type="dxa"/>
            <w:tcBorders>
              <w:top w:val="nil"/>
              <w:left w:val="nil"/>
              <w:bottom w:val="single" w:sz="4" w:space="0" w:color="auto"/>
              <w:right w:val="single" w:sz="4" w:space="0" w:color="auto"/>
            </w:tcBorders>
            <w:shd w:val="clear" w:color="auto" w:fill="auto"/>
            <w:hideMark/>
          </w:tcPr>
          <w:p w14:paraId="036CC5B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11 326</w:t>
            </w:r>
          </w:p>
        </w:tc>
        <w:tc>
          <w:tcPr>
            <w:tcW w:w="969" w:type="dxa"/>
            <w:tcBorders>
              <w:top w:val="nil"/>
              <w:left w:val="nil"/>
              <w:bottom w:val="single" w:sz="4" w:space="0" w:color="auto"/>
              <w:right w:val="single" w:sz="4" w:space="0" w:color="auto"/>
            </w:tcBorders>
            <w:shd w:val="clear" w:color="auto" w:fill="auto"/>
            <w:hideMark/>
          </w:tcPr>
          <w:p w14:paraId="7EE9741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6 478</w:t>
            </w:r>
          </w:p>
        </w:tc>
        <w:tc>
          <w:tcPr>
            <w:tcW w:w="1238" w:type="dxa"/>
            <w:tcBorders>
              <w:top w:val="nil"/>
              <w:left w:val="nil"/>
              <w:bottom w:val="single" w:sz="4" w:space="0" w:color="auto"/>
              <w:right w:val="single" w:sz="8" w:space="0" w:color="auto"/>
            </w:tcBorders>
            <w:shd w:val="clear" w:color="auto" w:fill="auto"/>
            <w:hideMark/>
          </w:tcPr>
          <w:p w14:paraId="5D1861B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4 652</w:t>
            </w:r>
          </w:p>
        </w:tc>
      </w:tr>
      <w:tr w:rsidR="005B6AF9" w:rsidRPr="00680E37" w14:paraId="0C1608C4" w14:textId="77777777" w:rsidTr="00680E37">
        <w:trPr>
          <w:trHeight w:val="182"/>
        </w:trPr>
        <w:tc>
          <w:tcPr>
            <w:tcW w:w="506" w:type="dxa"/>
            <w:vMerge/>
            <w:tcBorders>
              <w:top w:val="nil"/>
              <w:left w:val="single" w:sz="8" w:space="0" w:color="auto"/>
              <w:bottom w:val="single" w:sz="8" w:space="0" w:color="000000"/>
              <w:right w:val="single" w:sz="4" w:space="0" w:color="auto"/>
            </w:tcBorders>
            <w:vAlign w:val="center"/>
            <w:hideMark/>
          </w:tcPr>
          <w:p w14:paraId="42E3737B"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4" w:space="0" w:color="auto"/>
              <w:right w:val="single" w:sz="4" w:space="0" w:color="auto"/>
            </w:tcBorders>
            <w:shd w:val="clear" w:color="auto" w:fill="auto"/>
            <w:hideMark/>
          </w:tcPr>
          <w:p w14:paraId="2AD20DE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w:t>
            </w:r>
          </w:p>
        </w:tc>
        <w:tc>
          <w:tcPr>
            <w:tcW w:w="1829" w:type="dxa"/>
            <w:tcBorders>
              <w:top w:val="nil"/>
              <w:left w:val="nil"/>
              <w:bottom w:val="single" w:sz="4" w:space="0" w:color="auto"/>
              <w:right w:val="single" w:sz="4" w:space="0" w:color="auto"/>
            </w:tcBorders>
            <w:shd w:val="clear" w:color="auto" w:fill="auto"/>
            <w:hideMark/>
          </w:tcPr>
          <w:p w14:paraId="576B1C3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Бостандыкский</w:t>
            </w:r>
          </w:p>
        </w:tc>
        <w:tc>
          <w:tcPr>
            <w:tcW w:w="780" w:type="dxa"/>
            <w:tcBorders>
              <w:top w:val="nil"/>
              <w:left w:val="nil"/>
              <w:bottom w:val="single" w:sz="4" w:space="0" w:color="auto"/>
              <w:right w:val="single" w:sz="4" w:space="0" w:color="auto"/>
            </w:tcBorders>
            <w:shd w:val="clear" w:color="auto" w:fill="auto"/>
            <w:hideMark/>
          </w:tcPr>
          <w:p w14:paraId="4325917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1 436</w:t>
            </w:r>
          </w:p>
        </w:tc>
        <w:tc>
          <w:tcPr>
            <w:tcW w:w="955" w:type="dxa"/>
            <w:tcBorders>
              <w:top w:val="nil"/>
              <w:left w:val="nil"/>
              <w:bottom w:val="single" w:sz="4" w:space="0" w:color="auto"/>
              <w:right w:val="single" w:sz="4" w:space="0" w:color="auto"/>
            </w:tcBorders>
            <w:shd w:val="clear" w:color="auto" w:fill="auto"/>
            <w:hideMark/>
          </w:tcPr>
          <w:p w14:paraId="134B54C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7 608</w:t>
            </w:r>
          </w:p>
        </w:tc>
        <w:tc>
          <w:tcPr>
            <w:tcW w:w="954" w:type="dxa"/>
            <w:tcBorders>
              <w:top w:val="nil"/>
              <w:left w:val="nil"/>
              <w:bottom w:val="single" w:sz="4" w:space="0" w:color="auto"/>
              <w:right w:val="single" w:sz="4" w:space="0" w:color="auto"/>
            </w:tcBorders>
            <w:shd w:val="clear" w:color="auto" w:fill="auto"/>
            <w:hideMark/>
          </w:tcPr>
          <w:p w14:paraId="4BFF62F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8 526</w:t>
            </w:r>
          </w:p>
        </w:tc>
        <w:tc>
          <w:tcPr>
            <w:tcW w:w="969" w:type="dxa"/>
            <w:tcBorders>
              <w:top w:val="nil"/>
              <w:left w:val="nil"/>
              <w:bottom w:val="single" w:sz="4" w:space="0" w:color="auto"/>
              <w:right w:val="single" w:sz="4" w:space="0" w:color="auto"/>
            </w:tcBorders>
            <w:shd w:val="clear" w:color="auto" w:fill="auto"/>
            <w:hideMark/>
          </w:tcPr>
          <w:p w14:paraId="1F84FC1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6 746</w:t>
            </w:r>
          </w:p>
        </w:tc>
        <w:tc>
          <w:tcPr>
            <w:tcW w:w="969" w:type="dxa"/>
            <w:tcBorders>
              <w:top w:val="nil"/>
              <w:left w:val="nil"/>
              <w:bottom w:val="single" w:sz="4" w:space="0" w:color="auto"/>
              <w:right w:val="single" w:sz="4" w:space="0" w:color="auto"/>
            </w:tcBorders>
            <w:shd w:val="clear" w:color="auto" w:fill="auto"/>
            <w:hideMark/>
          </w:tcPr>
          <w:p w14:paraId="4BC8E8E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4 971</w:t>
            </w:r>
          </w:p>
        </w:tc>
        <w:tc>
          <w:tcPr>
            <w:tcW w:w="969" w:type="dxa"/>
            <w:tcBorders>
              <w:top w:val="nil"/>
              <w:left w:val="nil"/>
              <w:bottom w:val="single" w:sz="4" w:space="0" w:color="auto"/>
              <w:right w:val="single" w:sz="4" w:space="0" w:color="auto"/>
            </w:tcBorders>
            <w:shd w:val="clear" w:color="auto" w:fill="auto"/>
            <w:hideMark/>
          </w:tcPr>
          <w:p w14:paraId="759CF11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12 576</w:t>
            </w:r>
          </w:p>
        </w:tc>
        <w:tc>
          <w:tcPr>
            <w:tcW w:w="969" w:type="dxa"/>
            <w:tcBorders>
              <w:top w:val="nil"/>
              <w:left w:val="nil"/>
              <w:bottom w:val="single" w:sz="4" w:space="0" w:color="auto"/>
              <w:right w:val="single" w:sz="4" w:space="0" w:color="auto"/>
            </w:tcBorders>
            <w:shd w:val="clear" w:color="auto" w:fill="auto"/>
            <w:hideMark/>
          </w:tcPr>
          <w:p w14:paraId="20D9D82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36 525</w:t>
            </w:r>
          </w:p>
        </w:tc>
        <w:tc>
          <w:tcPr>
            <w:tcW w:w="969" w:type="dxa"/>
            <w:tcBorders>
              <w:top w:val="nil"/>
              <w:left w:val="nil"/>
              <w:bottom w:val="single" w:sz="4" w:space="0" w:color="auto"/>
              <w:right w:val="single" w:sz="4" w:space="0" w:color="auto"/>
            </w:tcBorders>
            <w:shd w:val="clear" w:color="auto" w:fill="auto"/>
            <w:hideMark/>
          </w:tcPr>
          <w:p w14:paraId="6045E6B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14 737</w:t>
            </w:r>
          </w:p>
        </w:tc>
        <w:tc>
          <w:tcPr>
            <w:tcW w:w="969" w:type="dxa"/>
            <w:tcBorders>
              <w:top w:val="nil"/>
              <w:left w:val="nil"/>
              <w:bottom w:val="single" w:sz="4" w:space="0" w:color="auto"/>
              <w:right w:val="single" w:sz="4" w:space="0" w:color="auto"/>
            </w:tcBorders>
            <w:shd w:val="clear" w:color="auto" w:fill="auto"/>
            <w:hideMark/>
          </w:tcPr>
          <w:p w14:paraId="74B1148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12 043</w:t>
            </w:r>
          </w:p>
        </w:tc>
        <w:tc>
          <w:tcPr>
            <w:tcW w:w="969" w:type="dxa"/>
            <w:tcBorders>
              <w:top w:val="nil"/>
              <w:left w:val="nil"/>
              <w:bottom w:val="single" w:sz="4" w:space="0" w:color="auto"/>
              <w:right w:val="single" w:sz="4" w:space="0" w:color="auto"/>
            </w:tcBorders>
            <w:shd w:val="clear" w:color="auto" w:fill="auto"/>
            <w:hideMark/>
          </w:tcPr>
          <w:p w14:paraId="486D90A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10 740</w:t>
            </w:r>
          </w:p>
        </w:tc>
        <w:tc>
          <w:tcPr>
            <w:tcW w:w="969" w:type="dxa"/>
            <w:tcBorders>
              <w:top w:val="nil"/>
              <w:left w:val="nil"/>
              <w:bottom w:val="single" w:sz="4" w:space="0" w:color="auto"/>
              <w:right w:val="single" w:sz="4" w:space="0" w:color="auto"/>
            </w:tcBorders>
            <w:shd w:val="clear" w:color="auto" w:fill="auto"/>
            <w:hideMark/>
          </w:tcPr>
          <w:p w14:paraId="2E5247A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6 788</w:t>
            </w:r>
          </w:p>
        </w:tc>
        <w:tc>
          <w:tcPr>
            <w:tcW w:w="1238" w:type="dxa"/>
            <w:tcBorders>
              <w:top w:val="nil"/>
              <w:left w:val="nil"/>
              <w:bottom w:val="single" w:sz="4" w:space="0" w:color="auto"/>
              <w:right w:val="single" w:sz="8" w:space="0" w:color="auto"/>
            </w:tcBorders>
            <w:shd w:val="clear" w:color="auto" w:fill="auto"/>
            <w:hideMark/>
          </w:tcPr>
          <w:p w14:paraId="2592CED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5 007</w:t>
            </w:r>
          </w:p>
        </w:tc>
      </w:tr>
      <w:tr w:rsidR="005B6AF9" w:rsidRPr="00680E37" w14:paraId="1AF07BB2" w14:textId="77777777" w:rsidTr="00680E37">
        <w:trPr>
          <w:trHeight w:val="231"/>
        </w:trPr>
        <w:tc>
          <w:tcPr>
            <w:tcW w:w="506" w:type="dxa"/>
            <w:vMerge/>
            <w:tcBorders>
              <w:top w:val="nil"/>
              <w:left w:val="single" w:sz="8" w:space="0" w:color="auto"/>
              <w:bottom w:val="single" w:sz="8" w:space="0" w:color="000000"/>
              <w:right w:val="single" w:sz="4" w:space="0" w:color="auto"/>
            </w:tcBorders>
            <w:vAlign w:val="center"/>
            <w:hideMark/>
          </w:tcPr>
          <w:p w14:paraId="445B07F1"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4" w:space="0" w:color="auto"/>
              <w:right w:val="single" w:sz="4" w:space="0" w:color="auto"/>
            </w:tcBorders>
            <w:shd w:val="clear" w:color="auto" w:fill="auto"/>
            <w:hideMark/>
          </w:tcPr>
          <w:p w14:paraId="734C7FF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w:t>
            </w:r>
          </w:p>
        </w:tc>
        <w:tc>
          <w:tcPr>
            <w:tcW w:w="1829" w:type="dxa"/>
            <w:tcBorders>
              <w:top w:val="nil"/>
              <w:left w:val="nil"/>
              <w:bottom w:val="single" w:sz="4" w:space="0" w:color="auto"/>
              <w:right w:val="single" w:sz="4" w:space="0" w:color="auto"/>
            </w:tcBorders>
            <w:shd w:val="clear" w:color="auto" w:fill="auto"/>
            <w:hideMark/>
          </w:tcPr>
          <w:p w14:paraId="58D70C2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Жетысуский</w:t>
            </w:r>
          </w:p>
        </w:tc>
        <w:tc>
          <w:tcPr>
            <w:tcW w:w="780" w:type="dxa"/>
            <w:tcBorders>
              <w:top w:val="nil"/>
              <w:left w:val="nil"/>
              <w:bottom w:val="single" w:sz="4" w:space="0" w:color="auto"/>
              <w:right w:val="single" w:sz="4" w:space="0" w:color="auto"/>
            </w:tcBorders>
            <w:shd w:val="clear" w:color="auto" w:fill="auto"/>
            <w:hideMark/>
          </w:tcPr>
          <w:p w14:paraId="4CF9850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843</w:t>
            </w:r>
          </w:p>
        </w:tc>
        <w:tc>
          <w:tcPr>
            <w:tcW w:w="955" w:type="dxa"/>
            <w:tcBorders>
              <w:top w:val="nil"/>
              <w:left w:val="nil"/>
              <w:bottom w:val="single" w:sz="4" w:space="0" w:color="auto"/>
              <w:right w:val="single" w:sz="4" w:space="0" w:color="auto"/>
            </w:tcBorders>
            <w:shd w:val="clear" w:color="auto" w:fill="auto"/>
            <w:hideMark/>
          </w:tcPr>
          <w:p w14:paraId="1B71A0C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4 612</w:t>
            </w:r>
          </w:p>
        </w:tc>
        <w:tc>
          <w:tcPr>
            <w:tcW w:w="954" w:type="dxa"/>
            <w:tcBorders>
              <w:top w:val="nil"/>
              <w:left w:val="nil"/>
              <w:bottom w:val="single" w:sz="4" w:space="0" w:color="auto"/>
              <w:right w:val="single" w:sz="4" w:space="0" w:color="auto"/>
            </w:tcBorders>
            <w:shd w:val="clear" w:color="auto" w:fill="auto"/>
            <w:hideMark/>
          </w:tcPr>
          <w:p w14:paraId="7132E64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4 817</w:t>
            </w:r>
          </w:p>
        </w:tc>
        <w:tc>
          <w:tcPr>
            <w:tcW w:w="969" w:type="dxa"/>
            <w:tcBorders>
              <w:top w:val="nil"/>
              <w:left w:val="nil"/>
              <w:bottom w:val="single" w:sz="4" w:space="0" w:color="auto"/>
              <w:right w:val="single" w:sz="4" w:space="0" w:color="auto"/>
            </w:tcBorders>
            <w:shd w:val="clear" w:color="auto" w:fill="auto"/>
            <w:hideMark/>
          </w:tcPr>
          <w:p w14:paraId="48BA5EF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3 169</w:t>
            </w:r>
          </w:p>
        </w:tc>
        <w:tc>
          <w:tcPr>
            <w:tcW w:w="969" w:type="dxa"/>
            <w:tcBorders>
              <w:top w:val="nil"/>
              <w:left w:val="nil"/>
              <w:bottom w:val="single" w:sz="4" w:space="0" w:color="auto"/>
              <w:right w:val="single" w:sz="4" w:space="0" w:color="auto"/>
            </w:tcBorders>
            <w:shd w:val="clear" w:color="auto" w:fill="auto"/>
            <w:hideMark/>
          </w:tcPr>
          <w:p w14:paraId="30DAADC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1 536</w:t>
            </w:r>
          </w:p>
        </w:tc>
        <w:tc>
          <w:tcPr>
            <w:tcW w:w="969" w:type="dxa"/>
            <w:tcBorders>
              <w:top w:val="nil"/>
              <w:left w:val="nil"/>
              <w:bottom w:val="single" w:sz="4" w:space="0" w:color="auto"/>
              <w:right w:val="single" w:sz="4" w:space="0" w:color="auto"/>
            </w:tcBorders>
            <w:shd w:val="clear" w:color="auto" w:fill="auto"/>
            <w:hideMark/>
          </w:tcPr>
          <w:p w14:paraId="504AA3E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1 363</w:t>
            </w:r>
          </w:p>
        </w:tc>
        <w:tc>
          <w:tcPr>
            <w:tcW w:w="969" w:type="dxa"/>
            <w:tcBorders>
              <w:top w:val="nil"/>
              <w:left w:val="nil"/>
              <w:bottom w:val="single" w:sz="4" w:space="0" w:color="auto"/>
              <w:right w:val="single" w:sz="4" w:space="0" w:color="auto"/>
            </w:tcBorders>
            <w:shd w:val="clear" w:color="auto" w:fill="auto"/>
            <w:hideMark/>
          </w:tcPr>
          <w:p w14:paraId="5A7DEC1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13 082</w:t>
            </w:r>
          </w:p>
        </w:tc>
        <w:tc>
          <w:tcPr>
            <w:tcW w:w="969" w:type="dxa"/>
            <w:tcBorders>
              <w:top w:val="nil"/>
              <w:left w:val="nil"/>
              <w:bottom w:val="single" w:sz="4" w:space="0" w:color="auto"/>
              <w:right w:val="single" w:sz="4" w:space="0" w:color="auto"/>
            </w:tcBorders>
            <w:shd w:val="clear" w:color="auto" w:fill="auto"/>
            <w:hideMark/>
          </w:tcPr>
          <w:p w14:paraId="2BD72A2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11 804</w:t>
            </w:r>
          </w:p>
        </w:tc>
        <w:tc>
          <w:tcPr>
            <w:tcW w:w="969" w:type="dxa"/>
            <w:tcBorders>
              <w:top w:val="nil"/>
              <w:left w:val="nil"/>
              <w:bottom w:val="single" w:sz="4" w:space="0" w:color="auto"/>
              <w:right w:val="single" w:sz="4" w:space="0" w:color="auto"/>
            </w:tcBorders>
            <w:shd w:val="clear" w:color="auto" w:fill="auto"/>
            <w:hideMark/>
          </w:tcPr>
          <w:p w14:paraId="78785D4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9 127</w:t>
            </w:r>
          </w:p>
        </w:tc>
        <w:tc>
          <w:tcPr>
            <w:tcW w:w="969" w:type="dxa"/>
            <w:tcBorders>
              <w:top w:val="nil"/>
              <w:left w:val="nil"/>
              <w:bottom w:val="single" w:sz="4" w:space="0" w:color="auto"/>
              <w:right w:val="single" w:sz="4" w:space="0" w:color="auto"/>
            </w:tcBorders>
            <w:shd w:val="clear" w:color="auto" w:fill="auto"/>
            <w:hideMark/>
          </w:tcPr>
          <w:p w14:paraId="3C9E469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7 493</w:t>
            </w:r>
          </w:p>
        </w:tc>
        <w:tc>
          <w:tcPr>
            <w:tcW w:w="969" w:type="dxa"/>
            <w:tcBorders>
              <w:top w:val="nil"/>
              <w:left w:val="nil"/>
              <w:bottom w:val="single" w:sz="4" w:space="0" w:color="auto"/>
              <w:right w:val="single" w:sz="4" w:space="0" w:color="auto"/>
            </w:tcBorders>
            <w:shd w:val="clear" w:color="auto" w:fill="auto"/>
            <w:hideMark/>
          </w:tcPr>
          <w:p w14:paraId="1F07609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3 926</w:t>
            </w:r>
          </w:p>
        </w:tc>
        <w:tc>
          <w:tcPr>
            <w:tcW w:w="1238" w:type="dxa"/>
            <w:tcBorders>
              <w:top w:val="nil"/>
              <w:left w:val="nil"/>
              <w:bottom w:val="single" w:sz="4" w:space="0" w:color="auto"/>
              <w:right w:val="single" w:sz="8" w:space="0" w:color="auto"/>
            </w:tcBorders>
            <w:shd w:val="clear" w:color="auto" w:fill="auto"/>
            <w:hideMark/>
          </w:tcPr>
          <w:p w14:paraId="7910F76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2 728</w:t>
            </w:r>
          </w:p>
        </w:tc>
      </w:tr>
      <w:tr w:rsidR="005B6AF9" w:rsidRPr="00680E37" w14:paraId="61EAE1BB" w14:textId="77777777" w:rsidTr="00680E37">
        <w:trPr>
          <w:trHeight w:val="264"/>
        </w:trPr>
        <w:tc>
          <w:tcPr>
            <w:tcW w:w="506" w:type="dxa"/>
            <w:vMerge/>
            <w:tcBorders>
              <w:top w:val="nil"/>
              <w:left w:val="single" w:sz="8" w:space="0" w:color="auto"/>
              <w:bottom w:val="single" w:sz="8" w:space="0" w:color="000000"/>
              <w:right w:val="single" w:sz="4" w:space="0" w:color="auto"/>
            </w:tcBorders>
            <w:vAlign w:val="center"/>
            <w:hideMark/>
          </w:tcPr>
          <w:p w14:paraId="16C61B95"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4" w:space="0" w:color="auto"/>
              <w:right w:val="single" w:sz="4" w:space="0" w:color="auto"/>
            </w:tcBorders>
            <w:shd w:val="clear" w:color="auto" w:fill="auto"/>
            <w:hideMark/>
          </w:tcPr>
          <w:p w14:paraId="491CD44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w:t>
            </w:r>
          </w:p>
        </w:tc>
        <w:tc>
          <w:tcPr>
            <w:tcW w:w="1829" w:type="dxa"/>
            <w:tcBorders>
              <w:top w:val="nil"/>
              <w:left w:val="nil"/>
              <w:bottom w:val="single" w:sz="4" w:space="0" w:color="auto"/>
              <w:right w:val="single" w:sz="4" w:space="0" w:color="auto"/>
            </w:tcBorders>
            <w:shd w:val="clear" w:color="auto" w:fill="auto"/>
            <w:hideMark/>
          </w:tcPr>
          <w:p w14:paraId="7208ADF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Медеуский</w:t>
            </w:r>
          </w:p>
        </w:tc>
        <w:tc>
          <w:tcPr>
            <w:tcW w:w="780" w:type="dxa"/>
            <w:tcBorders>
              <w:top w:val="nil"/>
              <w:left w:val="nil"/>
              <w:bottom w:val="single" w:sz="4" w:space="0" w:color="auto"/>
              <w:right w:val="single" w:sz="4" w:space="0" w:color="auto"/>
            </w:tcBorders>
            <w:shd w:val="clear" w:color="auto" w:fill="auto"/>
            <w:hideMark/>
          </w:tcPr>
          <w:p w14:paraId="5207A8F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1 702</w:t>
            </w:r>
          </w:p>
        </w:tc>
        <w:tc>
          <w:tcPr>
            <w:tcW w:w="955" w:type="dxa"/>
            <w:tcBorders>
              <w:top w:val="nil"/>
              <w:left w:val="nil"/>
              <w:bottom w:val="single" w:sz="4" w:space="0" w:color="auto"/>
              <w:right w:val="single" w:sz="4" w:space="0" w:color="auto"/>
            </w:tcBorders>
            <w:shd w:val="clear" w:color="auto" w:fill="auto"/>
            <w:hideMark/>
          </w:tcPr>
          <w:p w14:paraId="0AE9CE7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8 341</w:t>
            </w:r>
          </w:p>
        </w:tc>
        <w:tc>
          <w:tcPr>
            <w:tcW w:w="954" w:type="dxa"/>
            <w:tcBorders>
              <w:top w:val="nil"/>
              <w:left w:val="nil"/>
              <w:bottom w:val="single" w:sz="4" w:space="0" w:color="auto"/>
              <w:right w:val="single" w:sz="4" w:space="0" w:color="auto"/>
            </w:tcBorders>
            <w:shd w:val="clear" w:color="auto" w:fill="auto"/>
            <w:hideMark/>
          </w:tcPr>
          <w:p w14:paraId="46A38B8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10 581</w:t>
            </w:r>
          </w:p>
        </w:tc>
        <w:tc>
          <w:tcPr>
            <w:tcW w:w="969" w:type="dxa"/>
            <w:tcBorders>
              <w:top w:val="nil"/>
              <w:left w:val="nil"/>
              <w:bottom w:val="single" w:sz="4" w:space="0" w:color="auto"/>
              <w:right w:val="single" w:sz="4" w:space="0" w:color="auto"/>
            </w:tcBorders>
            <w:shd w:val="clear" w:color="auto" w:fill="auto"/>
            <w:hideMark/>
          </w:tcPr>
          <w:p w14:paraId="0B2D303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8 455</w:t>
            </w:r>
          </w:p>
        </w:tc>
        <w:tc>
          <w:tcPr>
            <w:tcW w:w="969" w:type="dxa"/>
            <w:tcBorders>
              <w:top w:val="nil"/>
              <w:left w:val="nil"/>
              <w:bottom w:val="single" w:sz="4" w:space="0" w:color="auto"/>
              <w:right w:val="single" w:sz="4" w:space="0" w:color="auto"/>
            </w:tcBorders>
            <w:shd w:val="clear" w:color="auto" w:fill="auto"/>
            <w:hideMark/>
          </w:tcPr>
          <w:p w14:paraId="5F9E48F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2 454</w:t>
            </w:r>
          </w:p>
        </w:tc>
        <w:tc>
          <w:tcPr>
            <w:tcW w:w="969" w:type="dxa"/>
            <w:tcBorders>
              <w:top w:val="nil"/>
              <w:left w:val="nil"/>
              <w:bottom w:val="single" w:sz="4" w:space="0" w:color="auto"/>
              <w:right w:val="single" w:sz="4" w:space="0" w:color="auto"/>
            </w:tcBorders>
            <w:shd w:val="clear" w:color="auto" w:fill="auto"/>
            <w:hideMark/>
          </w:tcPr>
          <w:p w14:paraId="56635B3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1 280</w:t>
            </w:r>
          </w:p>
        </w:tc>
        <w:tc>
          <w:tcPr>
            <w:tcW w:w="969" w:type="dxa"/>
            <w:tcBorders>
              <w:top w:val="nil"/>
              <w:left w:val="nil"/>
              <w:bottom w:val="single" w:sz="4" w:space="0" w:color="auto"/>
              <w:right w:val="single" w:sz="4" w:space="0" w:color="auto"/>
            </w:tcBorders>
            <w:shd w:val="clear" w:color="auto" w:fill="auto"/>
            <w:hideMark/>
          </w:tcPr>
          <w:p w14:paraId="3CB035F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11 019</w:t>
            </w:r>
          </w:p>
        </w:tc>
        <w:tc>
          <w:tcPr>
            <w:tcW w:w="969" w:type="dxa"/>
            <w:tcBorders>
              <w:top w:val="nil"/>
              <w:left w:val="nil"/>
              <w:bottom w:val="single" w:sz="4" w:space="0" w:color="auto"/>
              <w:right w:val="single" w:sz="4" w:space="0" w:color="auto"/>
            </w:tcBorders>
            <w:shd w:val="clear" w:color="auto" w:fill="auto"/>
            <w:hideMark/>
          </w:tcPr>
          <w:p w14:paraId="4F13E3E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10 380</w:t>
            </w:r>
          </w:p>
        </w:tc>
        <w:tc>
          <w:tcPr>
            <w:tcW w:w="969" w:type="dxa"/>
            <w:tcBorders>
              <w:top w:val="nil"/>
              <w:left w:val="nil"/>
              <w:bottom w:val="single" w:sz="4" w:space="0" w:color="auto"/>
              <w:right w:val="single" w:sz="4" w:space="0" w:color="auto"/>
            </w:tcBorders>
            <w:shd w:val="clear" w:color="auto" w:fill="auto"/>
            <w:hideMark/>
          </w:tcPr>
          <w:p w14:paraId="491C041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8 898</w:t>
            </w:r>
          </w:p>
        </w:tc>
        <w:tc>
          <w:tcPr>
            <w:tcW w:w="969" w:type="dxa"/>
            <w:tcBorders>
              <w:top w:val="nil"/>
              <w:left w:val="nil"/>
              <w:bottom w:val="single" w:sz="4" w:space="0" w:color="auto"/>
              <w:right w:val="single" w:sz="4" w:space="0" w:color="auto"/>
            </w:tcBorders>
            <w:shd w:val="clear" w:color="auto" w:fill="auto"/>
            <w:hideMark/>
          </w:tcPr>
          <w:p w14:paraId="52D4DB8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8 256</w:t>
            </w:r>
          </w:p>
        </w:tc>
        <w:tc>
          <w:tcPr>
            <w:tcW w:w="969" w:type="dxa"/>
            <w:tcBorders>
              <w:top w:val="nil"/>
              <w:left w:val="nil"/>
              <w:bottom w:val="single" w:sz="4" w:space="0" w:color="auto"/>
              <w:right w:val="single" w:sz="4" w:space="0" w:color="auto"/>
            </w:tcBorders>
            <w:shd w:val="clear" w:color="auto" w:fill="auto"/>
            <w:hideMark/>
          </w:tcPr>
          <w:p w14:paraId="4AF61A8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5 136</w:t>
            </w:r>
          </w:p>
        </w:tc>
        <w:tc>
          <w:tcPr>
            <w:tcW w:w="1238" w:type="dxa"/>
            <w:tcBorders>
              <w:top w:val="nil"/>
              <w:left w:val="nil"/>
              <w:bottom w:val="single" w:sz="4" w:space="0" w:color="auto"/>
              <w:right w:val="single" w:sz="8" w:space="0" w:color="auto"/>
            </w:tcBorders>
            <w:shd w:val="clear" w:color="auto" w:fill="auto"/>
            <w:hideMark/>
          </w:tcPr>
          <w:p w14:paraId="5E64F3D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3 571</w:t>
            </w:r>
          </w:p>
        </w:tc>
      </w:tr>
      <w:tr w:rsidR="005B6AF9" w:rsidRPr="00680E37" w14:paraId="5402B5AF" w14:textId="77777777" w:rsidTr="00680E37">
        <w:trPr>
          <w:trHeight w:val="170"/>
        </w:trPr>
        <w:tc>
          <w:tcPr>
            <w:tcW w:w="506" w:type="dxa"/>
            <w:vMerge/>
            <w:tcBorders>
              <w:top w:val="nil"/>
              <w:left w:val="single" w:sz="8" w:space="0" w:color="auto"/>
              <w:bottom w:val="single" w:sz="8" w:space="0" w:color="000000"/>
              <w:right w:val="single" w:sz="4" w:space="0" w:color="auto"/>
            </w:tcBorders>
            <w:vAlign w:val="center"/>
            <w:hideMark/>
          </w:tcPr>
          <w:p w14:paraId="0AE2BB59"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4" w:space="0" w:color="auto"/>
              <w:right w:val="single" w:sz="4" w:space="0" w:color="auto"/>
            </w:tcBorders>
            <w:shd w:val="clear" w:color="auto" w:fill="auto"/>
            <w:hideMark/>
          </w:tcPr>
          <w:p w14:paraId="3739F4D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w:t>
            </w:r>
          </w:p>
        </w:tc>
        <w:tc>
          <w:tcPr>
            <w:tcW w:w="1829" w:type="dxa"/>
            <w:tcBorders>
              <w:top w:val="nil"/>
              <w:left w:val="nil"/>
              <w:bottom w:val="single" w:sz="4" w:space="0" w:color="auto"/>
              <w:right w:val="single" w:sz="4" w:space="0" w:color="auto"/>
            </w:tcBorders>
            <w:shd w:val="clear" w:color="auto" w:fill="auto"/>
            <w:hideMark/>
          </w:tcPr>
          <w:p w14:paraId="457295B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Наурызбайский</w:t>
            </w:r>
          </w:p>
        </w:tc>
        <w:tc>
          <w:tcPr>
            <w:tcW w:w="780" w:type="dxa"/>
            <w:tcBorders>
              <w:top w:val="nil"/>
              <w:left w:val="nil"/>
              <w:bottom w:val="single" w:sz="4" w:space="0" w:color="auto"/>
              <w:right w:val="single" w:sz="4" w:space="0" w:color="auto"/>
            </w:tcBorders>
            <w:shd w:val="clear" w:color="auto" w:fill="auto"/>
            <w:hideMark/>
          </w:tcPr>
          <w:p w14:paraId="57E6CE3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55" w:type="dxa"/>
            <w:tcBorders>
              <w:top w:val="nil"/>
              <w:left w:val="nil"/>
              <w:bottom w:val="single" w:sz="4" w:space="0" w:color="auto"/>
              <w:right w:val="single" w:sz="4" w:space="0" w:color="auto"/>
            </w:tcBorders>
            <w:shd w:val="clear" w:color="auto" w:fill="auto"/>
            <w:hideMark/>
          </w:tcPr>
          <w:p w14:paraId="4C8134E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54" w:type="dxa"/>
            <w:tcBorders>
              <w:top w:val="nil"/>
              <w:left w:val="nil"/>
              <w:bottom w:val="single" w:sz="4" w:space="0" w:color="auto"/>
              <w:right w:val="single" w:sz="4" w:space="0" w:color="auto"/>
            </w:tcBorders>
            <w:shd w:val="clear" w:color="auto" w:fill="auto"/>
            <w:hideMark/>
          </w:tcPr>
          <w:p w14:paraId="13D7222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3F45769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66E3BC4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49BAAA7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192A535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07CB648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20DD676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68D5207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534ADEE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1238" w:type="dxa"/>
            <w:tcBorders>
              <w:top w:val="nil"/>
              <w:left w:val="nil"/>
              <w:bottom w:val="single" w:sz="4" w:space="0" w:color="auto"/>
              <w:right w:val="single" w:sz="8" w:space="0" w:color="auto"/>
            </w:tcBorders>
            <w:shd w:val="clear" w:color="auto" w:fill="auto"/>
            <w:hideMark/>
          </w:tcPr>
          <w:p w14:paraId="7A5618C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r>
      <w:tr w:rsidR="005B6AF9" w:rsidRPr="00680E37" w14:paraId="32597541" w14:textId="77777777" w:rsidTr="00680E37">
        <w:trPr>
          <w:trHeight w:val="232"/>
        </w:trPr>
        <w:tc>
          <w:tcPr>
            <w:tcW w:w="506" w:type="dxa"/>
            <w:vMerge/>
            <w:tcBorders>
              <w:top w:val="nil"/>
              <w:left w:val="single" w:sz="8" w:space="0" w:color="auto"/>
              <w:bottom w:val="single" w:sz="8" w:space="0" w:color="000000"/>
              <w:right w:val="single" w:sz="4" w:space="0" w:color="auto"/>
            </w:tcBorders>
            <w:vAlign w:val="center"/>
            <w:hideMark/>
          </w:tcPr>
          <w:p w14:paraId="0700D76A"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8" w:space="0" w:color="auto"/>
              <w:right w:val="single" w:sz="4" w:space="0" w:color="auto"/>
            </w:tcBorders>
            <w:shd w:val="clear" w:color="auto" w:fill="auto"/>
            <w:hideMark/>
          </w:tcPr>
          <w:p w14:paraId="4654B30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w:t>
            </w:r>
          </w:p>
        </w:tc>
        <w:tc>
          <w:tcPr>
            <w:tcW w:w="1829" w:type="dxa"/>
            <w:tcBorders>
              <w:top w:val="nil"/>
              <w:left w:val="nil"/>
              <w:bottom w:val="single" w:sz="8" w:space="0" w:color="auto"/>
              <w:right w:val="single" w:sz="4" w:space="0" w:color="auto"/>
            </w:tcBorders>
            <w:shd w:val="clear" w:color="auto" w:fill="auto"/>
            <w:hideMark/>
          </w:tcPr>
          <w:p w14:paraId="3A6421B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Турксибский</w:t>
            </w:r>
          </w:p>
        </w:tc>
        <w:tc>
          <w:tcPr>
            <w:tcW w:w="780" w:type="dxa"/>
            <w:tcBorders>
              <w:top w:val="nil"/>
              <w:left w:val="nil"/>
              <w:bottom w:val="single" w:sz="8" w:space="0" w:color="auto"/>
              <w:right w:val="single" w:sz="4" w:space="0" w:color="auto"/>
            </w:tcBorders>
            <w:shd w:val="clear" w:color="auto" w:fill="auto"/>
            <w:hideMark/>
          </w:tcPr>
          <w:p w14:paraId="2E6EB9C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1 032</w:t>
            </w:r>
          </w:p>
        </w:tc>
        <w:tc>
          <w:tcPr>
            <w:tcW w:w="955" w:type="dxa"/>
            <w:tcBorders>
              <w:top w:val="nil"/>
              <w:left w:val="nil"/>
              <w:bottom w:val="single" w:sz="8" w:space="0" w:color="auto"/>
              <w:right w:val="single" w:sz="4" w:space="0" w:color="auto"/>
            </w:tcBorders>
            <w:shd w:val="clear" w:color="auto" w:fill="auto"/>
            <w:hideMark/>
          </w:tcPr>
          <w:p w14:paraId="68DA05F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4 977</w:t>
            </w:r>
          </w:p>
        </w:tc>
        <w:tc>
          <w:tcPr>
            <w:tcW w:w="954" w:type="dxa"/>
            <w:tcBorders>
              <w:top w:val="nil"/>
              <w:left w:val="nil"/>
              <w:bottom w:val="single" w:sz="8" w:space="0" w:color="auto"/>
              <w:right w:val="single" w:sz="4" w:space="0" w:color="auto"/>
            </w:tcBorders>
            <w:shd w:val="clear" w:color="auto" w:fill="auto"/>
            <w:hideMark/>
          </w:tcPr>
          <w:p w14:paraId="0F24E76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6 858</w:t>
            </w:r>
          </w:p>
        </w:tc>
        <w:tc>
          <w:tcPr>
            <w:tcW w:w="969" w:type="dxa"/>
            <w:tcBorders>
              <w:top w:val="nil"/>
              <w:left w:val="nil"/>
              <w:bottom w:val="single" w:sz="8" w:space="0" w:color="auto"/>
              <w:right w:val="single" w:sz="4" w:space="0" w:color="auto"/>
            </w:tcBorders>
            <w:shd w:val="clear" w:color="auto" w:fill="auto"/>
            <w:hideMark/>
          </w:tcPr>
          <w:p w14:paraId="15CDECC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5 667</w:t>
            </w:r>
          </w:p>
        </w:tc>
        <w:tc>
          <w:tcPr>
            <w:tcW w:w="969" w:type="dxa"/>
            <w:tcBorders>
              <w:top w:val="nil"/>
              <w:left w:val="nil"/>
              <w:bottom w:val="single" w:sz="8" w:space="0" w:color="auto"/>
              <w:right w:val="single" w:sz="4" w:space="0" w:color="auto"/>
            </w:tcBorders>
            <w:shd w:val="clear" w:color="auto" w:fill="auto"/>
            <w:hideMark/>
          </w:tcPr>
          <w:p w14:paraId="1801550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3 995</w:t>
            </w:r>
          </w:p>
        </w:tc>
        <w:tc>
          <w:tcPr>
            <w:tcW w:w="969" w:type="dxa"/>
            <w:tcBorders>
              <w:top w:val="nil"/>
              <w:left w:val="nil"/>
              <w:bottom w:val="single" w:sz="8" w:space="0" w:color="auto"/>
              <w:right w:val="single" w:sz="4" w:space="0" w:color="auto"/>
            </w:tcBorders>
            <w:shd w:val="clear" w:color="auto" w:fill="auto"/>
            <w:hideMark/>
          </w:tcPr>
          <w:p w14:paraId="0627B30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2 371</w:t>
            </w:r>
          </w:p>
        </w:tc>
        <w:tc>
          <w:tcPr>
            <w:tcW w:w="969" w:type="dxa"/>
            <w:tcBorders>
              <w:top w:val="nil"/>
              <w:left w:val="nil"/>
              <w:bottom w:val="single" w:sz="8" w:space="0" w:color="auto"/>
              <w:right w:val="single" w:sz="4" w:space="0" w:color="auto"/>
            </w:tcBorders>
            <w:shd w:val="clear" w:color="auto" w:fill="auto"/>
            <w:hideMark/>
          </w:tcPr>
          <w:p w14:paraId="3C0AEF7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15 061</w:t>
            </w:r>
          </w:p>
        </w:tc>
        <w:tc>
          <w:tcPr>
            <w:tcW w:w="969" w:type="dxa"/>
            <w:tcBorders>
              <w:top w:val="nil"/>
              <w:left w:val="nil"/>
              <w:bottom w:val="single" w:sz="8" w:space="0" w:color="auto"/>
              <w:right w:val="single" w:sz="4" w:space="0" w:color="auto"/>
            </w:tcBorders>
            <w:shd w:val="clear" w:color="auto" w:fill="auto"/>
            <w:hideMark/>
          </w:tcPr>
          <w:p w14:paraId="0A90F09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13 838</w:t>
            </w:r>
          </w:p>
        </w:tc>
        <w:tc>
          <w:tcPr>
            <w:tcW w:w="969" w:type="dxa"/>
            <w:tcBorders>
              <w:top w:val="nil"/>
              <w:left w:val="nil"/>
              <w:bottom w:val="single" w:sz="8" w:space="0" w:color="auto"/>
              <w:right w:val="single" w:sz="4" w:space="0" w:color="auto"/>
            </w:tcBorders>
            <w:shd w:val="clear" w:color="auto" w:fill="auto"/>
            <w:hideMark/>
          </w:tcPr>
          <w:p w14:paraId="7569795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10 897</w:t>
            </w:r>
          </w:p>
        </w:tc>
        <w:tc>
          <w:tcPr>
            <w:tcW w:w="969" w:type="dxa"/>
            <w:tcBorders>
              <w:top w:val="nil"/>
              <w:left w:val="nil"/>
              <w:bottom w:val="single" w:sz="8" w:space="0" w:color="auto"/>
              <w:right w:val="single" w:sz="4" w:space="0" w:color="auto"/>
            </w:tcBorders>
            <w:shd w:val="clear" w:color="auto" w:fill="auto"/>
            <w:hideMark/>
          </w:tcPr>
          <w:p w14:paraId="6A61AF5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10 474</w:t>
            </w:r>
          </w:p>
        </w:tc>
        <w:tc>
          <w:tcPr>
            <w:tcW w:w="969" w:type="dxa"/>
            <w:tcBorders>
              <w:top w:val="nil"/>
              <w:left w:val="nil"/>
              <w:bottom w:val="single" w:sz="8" w:space="0" w:color="auto"/>
              <w:right w:val="single" w:sz="4" w:space="0" w:color="auto"/>
            </w:tcBorders>
            <w:shd w:val="clear" w:color="auto" w:fill="auto"/>
            <w:hideMark/>
          </w:tcPr>
          <w:p w14:paraId="40906C4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5 529</w:t>
            </w:r>
          </w:p>
        </w:tc>
        <w:tc>
          <w:tcPr>
            <w:tcW w:w="1238" w:type="dxa"/>
            <w:tcBorders>
              <w:top w:val="nil"/>
              <w:left w:val="nil"/>
              <w:bottom w:val="single" w:sz="8" w:space="0" w:color="auto"/>
              <w:right w:val="single" w:sz="8" w:space="0" w:color="auto"/>
            </w:tcBorders>
            <w:shd w:val="clear" w:color="auto" w:fill="auto"/>
            <w:hideMark/>
          </w:tcPr>
          <w:p w14:paraId="7F95D6A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3 407</w:t>
            </w:r>
          </w:p>
        </w:tc>
      </w:tr>
      <w:tr w:rsidR="005B6AF9" w:rsidRPr="00680E37" w14:paraId="102CF069" w14:textId="77777777" w:rsidTr="00680E37">
        <w:trPr>
          <w:trHeight w:val="266"/>
        </w:trPr>
        <w:tc>
          <w:tcPr>
            <w:tcW w:w="506" w:type="dxa"/>
            <w:vMerge w:val="restart"/>
            <w:tcBorders>
              <w:top w:val="nil"/>
              <w:left w:val="single" w:sz="8" w:space="0" w:color="auto"/>
              <w:bottom w:val="single" w:sz="8" w:space="0" w:color="000000"/>
              <w:right w:val="single" w:sz="4" w:space="0" w:color="auto"/>
            </w:tcBorders>
            <w:shd w:val="clear" w:color="auto" w:fill="auto"/>
            <w:noWrap/>
            <w:textDirection w:val="btLr"/>
            <w:vAlign w:val="center"/>
            <w:hideMark/>
          </w:tcPr>
          <w:p w14:paraId="2CF40054" w14:textId="77777777" w:rsidR="005B6AF9" w:rsidRPr="00680E37" w:rsidRDefault="005B6AF9" w:rsidP="004135FE">
            <w:pPr>
              <w:spacing w:after="0" w:line="240" w:lineRule="auto"/>
              <w:jc w:val="center"/>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2014</w:t>
            </w:r>
          </w:p>
        </w:tc>
        <w:tc>
          <w:tcPr>
            <w:tcW w:w="445" w:type="dxa"/>
            <w:tcBorders>
              <w:top w:val="nil"/>
              <w:left w:val="nil"/>
              <w:bottom w:val="single" w:sz="4" w:space="0" w:color="auto"/>
              <w:right w:val="single" w:sz="4" w:space="0" w:color="auto"/>
            </w:tcBorders>
            <w:shd w:val="clear" w:color="auto" w:fill="auto"/>
            <w:hideMark/>
          </w:tcPr>
          <w:p w14:paraId="27BD557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w:t>
            </w:r>
          </w:p>
        </w:tc>
        <w:tc>
          <w:tcPr>
            <w:tcW w:w="1829" w:type="dxa"/>
            <w:tcBorders>
              <w:top w:val="nil"/>
              <w:left w:val="nil"/>
              <w:bottom w:val="single" w:sz="4" w:space="0" w:color="auto"/>
              <w:right w:val="single" w:sz="4" w:space="0" w:color="auto"/>
            </w:tcBorders>
            <w:shd w:val="clear" w:color="auto" w:fill="auto"/>
            <w:hideMark/>
          </w:tcPr>
          <w:p w14:paraId="2584332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Алмалинский</w:t>
            </w:r>
          </w:p>
        </w:tc>
        <w:tc>
          <w:tcPr>
            <w:tcW w:w="780" w:type="dxa"/>
            <w:tcBorders>
              <w:top w:val="nil"/>
              <w:left w:val="nil"/>
              <w:bottom w:val="single" w:sz="4" w:space="0" w:color="auto"/>
              <w:right w:val="single" w:sz="4" w:space="0" w:color="auto"/>
            </w:tcBorders>
            <w:shd w:val="clear" w:color="auto" w:fill="auto"/>
            <w:hideMark/>
          </w:tcPr>
          <w:p w14:paraId="5BAB749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2 833</w:t>
            </w:r>
          </w:p>
        </w:tc>
        <w:tc>
          <w:tcPr>
            <w:tcW w:w="955" w:type="dxa"/>
            <w:tcBorders>
              <w:top w:val="nil"/>
              <w:left w:val="nil"/>
              <w:bottom w:val="single" w:sz="4" w:space="0" w:color="auto"/>
              <w:right w:val="single" w:sz="4" w:space="0" w:color="auto"/>
            </w:tcBorders>
            <w:shd w:val="clear" w:color="auto" w:fill="auto"/>
            <w:hideMark/>
          </w:tcPr>
          <w:p w14:paraId="5BA40C9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35 195</w:t>
            </w:r>
          </w:p>
        </w:tc>
        <w:tc>
          <w:tcPr>
            <w:tcW w:w="954" w:type="dxa"/>
            <w:tcBorders>
              <w:top w:val="nil"/>
              <w:left w:val="nil"/>
              <w:bottom w:val="single" w:sz="4" w:space="0" w:color="auto"/>
              <w:right w:val="single" w:sz="4" w:space="0" w:color="auto"/>
            </w:tcBorders>
            <w:shd w:val="clear" w:color="auto" w:fill="auto"/>
            <w:hideMark/>
          </w:tcPr>
          <w:p w14:paraId="3F83A08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12 062</w:t>
            </w:r>
          </w:p>
        </w:tc>
        <w:tc>
          <w:tcPr>
            <w:tcW w:w="969" w:type="dxa"/>
            <w:tcBorders>
              <w:top w:val="nil"/>
              <w:left w:val="nil"/>
              <w:bottom w:val="single" w:sz="4" w:space="0" w:color="auto"/>
              <w:right w:val="single" w:sz="4" w:space="0" w:color="auto"/>
            </w:tcBorders>
            <w:shd w:val="clear" w:color="auto" w:fill="auto"/>
            <w:hideMark/>
          </w:tcPr>
          <w:p w14:paraId="37B1F9D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14 161</w:t>
            </w:r>
          </w:p>
        </w:tc>
        <w:tc>
          <w:tcPr>
            <w:tcW w:w="969" w:type="dxa"/>
            <w:tcBorders>
              <w:top w:val="nil"/>
              <w:left w:val="nil"/>
              <w:bottom w:val="single" w:sz="4" w:space="0" w:color="auto"/>
              <w:right w:val="single" w:sz="4" w:space="0" w:color="auto"/>
            </w:tcBorders>
            <w:shd w:val="clear" w:color="auto" w:fill="auto"/>
            <w:hideMark/>
          </w:tcPr>
          <w:p w14:paraId="41CA79A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9 361</w:t>
            </w:r>
          </w:p>
        </w:tc>
        <w:tc>
          <w:tcPr>
            <w:tcW w:w="969" w:type="dxa"/>
            <w:tcBorders>
              <w:top w:val="nil"/>
              <w:left w:val="nil"/>
              <w:bottom w:val="single" w:sz="4" w:space="0" w:color="auto"/>
              <w:right w:val="single" w:sz="4" w:space="0" w:color="auto"/>
            </w:tcBorders>
            <w:shd w:val="clear" w:color="auto" w:fill="auto"/>
            <w:hideMark/>
          </w:tcPr>
          <w:p w14:paraId="0FAAFA7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7 028</w:t>
            </w:r>
          </w:p>
        </w:tc>
        <w:tc>
          <w:tcPr>
            <w:tcW w:w="969" w:type="dxa"/>
            <w:tcBorders>
              <w:top w:val="nil"/>
              <w:left w:val="nil"/>
              <w:bottom w:val="single" w:sz="4" w:space="0" w:color="auto"/>
              <w:right w:val="single" w:sz="4" w:space="0" w:color="auto"/>
            </w:tcBorders>
            <w:shd w:val="clear" w:color="auto" w:fill="auto"/>
            <w:hideMark/>
          </w:tcPr>
          <w:p w14:paraId="2D57F43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12 621</w:t>
            </w:r>
          </w:p>
        </w:tc>
        <w:tc>
          <w:tcPr>
            <w:tcW w:w="969" w:type="dxa"/>
            <w:tcBorders>
              <w:top w:val="nil"/>
              <w:left w:val="nil"/>
              <w:bottom w:val="single" w:sz="4" w:space="0" w:color="auto"/>
              <w:right w:val="single" w:sz="4" w:space="0" w:color="auto"/>
            </w:tcBorders>
            <w:shd w:val="clear" w:color="auto" w:fill="auto"/>
            <w:hideMark/>
          </w:tcPr>
          <w:p w14:paraId="22417A7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8 620</w:t>
            </w:r>
          </w:p>
        </w:tc>
        <w:tc>
          <w:tcPr>
            <w:tcW w:w="969" w:type="dxa"/>
            <w:tcBorders>
              <w:top w:val="nil"/>
              <w:left w:val="nil"/>
              <w:bottom w:val="single" w:sz="4" w:space="0" w:color="auto"/>
              <w:right w:val="single" w:sz="4" w:space="0" w:color="auto"/>
            </w:tcBorders>
            <w:shd w:val="clear" w:color="auto" w:fill="auto"/>
            <w:hideMark/>
          </w:tcPr>
          <w:p w14:paraId="4502EFF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6 530</w:t>
            </w:r>
          </w:p>
        </w:tc>
        <w:tc>
          <w:tcPr>
            <w:tcW w:w="969" w:type="dxa"/>
            <w:tcBorders>
              <w:top w:val="nil"/>
              <w:left w:val="nil"/>
              <w:bottom w:val="single" w:sz="4" w:space="0" w:color="auto"/>
              <w:right w:val="single" w:sz="4" w:space="0" w:color="auto"/>
            </w:tcBorders>
            <w:shd w:val="clear" w:color="auto" w:fill="auto"/>
            <w:hideMark/>
          </w:tcPr>
          <w:p w14:paraId="1CBC589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5 973</w:t>
            </w:r>
          </w:p>
        </w:tc>
        <w:tc>
          <w:tcPr>
            <w:tcW w:w="969" w:type="dxa"/>
            <w:tcBorders>
              <w:top w:val="nil"/>
              <w:left w:val="nil"/>
              <w:bottom w:val="single" w:sz="4" w:space="0" w:color="auto"/>
              <w:right w:val="single" w:sz="4" w:space="0" w:color="auto"/>
            </w:tcBorders>
            <w:shd w:val="clear" w:color="auto" w:fill="auto"/>
            <w:hideMark/>
          </w:tcPr>
          <w:p w14:paraId="009FFA8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4 473</w:t>
            </w:r>
          </w:p>
        </w:tc>
        <w:tc>
          <w:tcPr>
            <w:tcW w:w="1238" w:type="dxa"/>
            <w:tcBorders>
              <w:top w:val="nil"/>
              <w:left w:val="nil"/>
              <w:bottom w:val="single" w:sz="4" w:space="0" w:color="auto"/>
              <w:right w:val="single" w:sz="8" w:space="0" w:color="auto"/>
            </w:tcBorders>
            <w:shd w:val="clear" w:color="auto" w:fill="auto"/>
            <w:hideMark/>
          </w:tcPr>
          <w:p w14:paraId="145B5DD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3 832</w:t>
            </w:r>
          </w:p>
        </w:tc>
      </w:tr>
      <w:tr w:rsidR="005B6AF9" w:rsidRPr="00680E37" w14:paraId="49CED596" w14:textId="77777777" w:rsidTr="00680E37">
        <w:trPr>
          <w:trHeight w:val="171"/>
        </w:trPr>
        <w:tc>
          <w:tcPr>
            <w:tcW w:w="506" w:type="dxa"/>
            <w:vMerge/>
            <w:tcBorders>
              <w:top w:val="nil"/>
              <w:left w:val="single" w:sz="8" w:space="0" w:color="auto"/>
              <w:bottom w:val="single" w:sz="8" w:space="0" w:color="000000"/>
              <w:right w:val="single" w:sz="4" w:space="0" w:color="auto"/>
            </w:tcBorders>
            <w:vAlign w:val="center"/>
            <w:hideMark/>
          </w:tcPr>
          <w:p w14:paraId="270F9432"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4" w:space="0" w:color="auto"/>
              <w:right w:val="single" w:sz="4" w:space="0" w:color="auto"/>
            </w:tcBorders>
            <w:shd w:val="clear" w:color="auto" w:fill="auto"/>
            <w:hideMark/>
          </w:tcPr>
          <w:p w14:paraId="1BB50C2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w:t>
            </w:r>
          </w:p>
        </w:tc>
        <w:tc>
          <w:tcPr>
            <w:tcW w:w="1829" w:type="dxa"/>
            <w:tcBorders>
              <w:top w:val="nil"/>
              <w:left w:val="nil"/>
              <w:bottom w:val="single" w:sz="4" w:space="0" w:color="auto"/>
              <w:right w:val="single" w:sz="4" w:space="0" w:color="auto"/>
            </w:tcBorders>
            <w:shd w:val="clear" w:color="auto" w:fill="auto"/>
            <w:hideMark/>
          </w:tcPr>
          <w:p w14:paraId="0BA02F6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Алатауский</w:t>
            </w:r>
          </w:p>
        </w:tc>
        <w:tc>
          <w:tcPr>
            <w:tcW w:w="780" w:type="dxa"/>
            <w:tcBorders>
              <w:top w:val="nil"/>
              <w:left w:val="nil"/>
              <w:bottom w:val="single" w:sz="4" w:space="0" w:color="auto"/>
              <w:right w:val="single" w:sz="4" w:space="0" w:color="auto"/>
            </w:tcBorders>
            <w:shd w:val="clear" w:color="auto" w:fill="auto"/>
            <w:hideMark/>
          </w:tcPr>
          <w:p w14:paraId="1B46CAC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2 332</w:t>
            </w:r>
          </w:p>
        </w:tc>
        <w:tc>
          <w:tcPr>
            <w:tcW w:w="955" w:type="dxa"/>
            <w:tcBorders>
              <w:top w:val="nil"/>
              <w:left w:val="nil"/>
              <w:bottom w:val="single" w:sz="4" w:space="0" w:color="auto"/>
              <w:right w:val="single" w:sz="4" w:space="0" w:color="auto"/>
            </w:tcBorders>
            <w:shd w:val="clear" w:color="auto" w:fill="auto"/>
            <w:hideMark/>
          </w:tcPr>
          <w:p w14:paraId="05DE4CB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8 668</w:t>
            </w:r>
          </w:p>
        </w:tc>
        <w:tc>
          <w:tcPr>
            <w:tcW w:w="954" w:type="dxa"/>
            <w:tcBorders>
              <w:top w:val="nil"/>
              <w:left w:val="nil"/>
              <w:bottom w:val="single" w:sz="4" w:space="0" w:color="auto"/>
              <w:right w:val="single" w:sz="4" w:space="0" w:color="auto"/>
            </w:tcBorders>
            <w:shd w:val="clear" w:color="auto" w:fill="auto"/>
            <w:hideMark/>
          </w:tcPr>
          <w:p w14:paraId="3C32A3F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9 325</w:t>
            </w:r>
          </w:p>
        </w:tc>
        <w:tc>
          <w:tcPr>
            <w:tcW w:w="969" w:type="dxa"/>
            <w:tcBorders>
              <w:top w:val="nil"/>
              <w:left w:val="nil"/>
              <w:bottom w:val="single" w:sz="4" w:space="0" w:color="auto"/>
              <w:right w:val="single" w:sz="4" w:space="0" w:color="auto"/>
            </w:tcBorders>
            <w:shd w:val="clear" w:color="auto" w:fill="auto"/>
            <w:hideMark/>
          </w:tcPr>
          <w:p w14:paraId="7DC9573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6 506</w:t>
            </w:r>
          </w:p>
        </w:tc>
        <w:tc>
          <w:tcPr>
            <w:tcW w:w="969" w:type="dxa"/>
            <w:tcBorders>
              <w:top w:val="nil"/>
              <w:left w:val="nil"/>
              <w:bottom w:val="single" w:sz="4" w:space="0" w:color="auto"/>
              <w:right w:val="single" w:sz="4" w:space="0" w:color="auto"/>
            </w:tcBorders>
            <w:shd w:val="clear" w:color="auto" w:fill="auto"/>
            <w:hideMark/>
          </w:tcPr>
          <w:p w14:paraId="3023D3B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3 075</w:t>
            </w:r>
          </w:p>
        </w:tc>
        <w:tc>
          <w:tcPr>
            <w:tcW w:w="969" w:type="dxa"/>
            <w:tcBorders>
              <w:top w:val="nil"/>
              <w:left w:val="nil"/>
              <w:bottom w:val="single" w:sz="4" w:space="0" w:color="auto"/>
              <w:right w:val="single" w:sz="4" w:space="0" w:color="auto"/>
            </w:tcBorders>
            <w:shd w:val="clear" w:color="auto" w:fill="auto"/>
            <w:hideMark/>
          </w:tcPr>
          <w:p w14:paraId="697DDB5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1 307</w:t>
            </w:r>
          </w:p>
        </w:tc>
        <w:tc>
          <w:tcPr>
            <w:tcW w:w="969" w:type="dxa"/>
            <w:tcBorders>
              <w:top w:val="nil"/>
              <w:left w:val="nil"/>
              <w:bottom w:val="single" w:sz="4" w:space="0" w:color="auto"/>
              <w:right w:val="single" w:sz="4" w:space="0" w:color="auto"/>
            </w:tcBorders>
            <w:shd w:val="clear" w:color="auto" w:fill="auto"/>
            <w:hideMark/>
          </w:tcPr>
          <w:p w14:paraId="1C54538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11 165</w:t>
            </w:r>
          </w:p>
        </w:tc>
        <w:tc>
          <w:tcPr>
            <w:tcW w:w="969" w:type="dxa"/>
            <w:tcBorders>
              <w:top w:val="nil"/>
              <w:left w:val="nil"/>
              <w:bottom w:val="single" w:sz="4" w:space="0" w:color="auto"/>
              <w:right w:val="single" w:sz="4" w:space="0" w:color="auto"/>
            </w:tcBorders>
            <w:shd w:val="clear" w:color="auto" w:fill="auto"/>
            <w:hideMark/>
          </w:tcPr>
          <w:p w14:paraId="6A14267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11 140</w:t>
            </w:r>
          </w:p>
        </w:tc>
        <w:tc>
          <w:tcPr>
            <w:tcW w:w="969" w:type="dxa"/>
            <w:tcBorders>
              <w:top w:val="nil"/>
              <w:left w:val="nil"/>
              <w:bottom w:val="single" w:sz="4" w:space="0" w:color="auto"/>
              <w:right w:val="single" w:sz="4" w:space="0" w:color="auto"/>
            </w:tcBorders>
            <w:shd w:val="clear" w:color="auto" w:fill="auto"/>
            <w:hideMark/>
          </w:tcPr>
          <w:p w14:paraId="2215BD8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8 691</w:t>
            </w:r>
          </w:p>
        </w:tc>
        <w:tc>
          <w:tcPr>
            <w:tcW w:w="969" w:type="dxa"/>
            <w:tcBorders>
              <w:top w:val="nil"/>
              <w:left w:val="nil"/>
              <w:bottom w:val="single" w:sz="4" w:space="0" w:color="auto"/>
              <w:right w:val="single" w:sz="4" w:space="0" w:color="auto"/>
            </w:tcBorders>
            <w:shd w:val="clear" w:color="auto" w:fill="auto"/>
            <w:hideMark/>
          </w:tcPr>
          <w:p w14:paraId="3715241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6 467</w:t>
            </w:r>
          </w:p>
        </w:tc>
        <w:tc>
          <w:tcPr>
            <w:tcW w:w="969" w:type="dxa"/>
            <w:tcBorders>
              <w:top w:val="nil"/>
              <w:left w:val="nil"/>
              <w:bottom w:val="single" w:sz="4" w:space="0" w:color="auto"/>
              <w:right w:val="single" w:sz="4" w:space="0" w:color="auto"/>
            </w:tcBorders>
            <w:shd w:val="clear" w:color="auto" w:fill="auto"/>
            <w:hideMark/>
          </w:tcPr>
          <w:p w14:paraId="4116286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2 881</w:t>
            </w:r>
          </w:p>
        </w:tc>
        <w:tc>
          <w:tcPr>
            <w:tcW w:w="1238" w:type="dxa"/>
            <w:tcBorders>
              <w:top w:val="nil"/>
              <w:left w:val="nil"/>
              <w:bottom w:val="single" w:sz="4" w:space="0" w:color="auto"/>
              <w:right w:val="single" w:sz="8" w:space="0" w:color="auto"/>
            </w:tcBorders>
            <w:shd w:val="clear" w:color="auto" w:fill="auto"/>
            <w:hideMark/>
          </w:tcPr>
          <w:p w14:paraId="0A17B03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1 636</w:t>
            </w:r>
          </w:p>
        </w:tc>
      </w:tr>
      <w:tr w:rsidR="005B6AF9" w:rsidRPr="00680E37" w14:paraId="2BA83936" w14:textId="77777777" w:rsidTr="00680E37">
        <w:trPr>
          <w:trHeight w:val="262"/>
        </w:trPr>
        <w:tc>
          <w:tcPr>
            <w:tcW w:w="506" w:type="dxa"/>
            <w:vMerge/>
            <w:tcBorders>
              <w:top w:val="nil"/>
              <w:left w:val="single" w:sz="8" w:space="0" w:color="auto"/>
              <w:bottom w:val="single" w:sz="8" w:space="0" w:color="000000"/>
              <w:right w:val="single" w:sz="4" w:space="0" w:color="auto"/>
            </w:tcBorders>
            <w:vAlign w:val="center"/>
            <w:hideMark/>
          </w:tcPr>
          <w:p w14:paraId="1EE4C585"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4" w:space="0" w:color="auto"/>
              <w:right w:val="single" w:sz="4" w:space="0" w:color="auto"/>
            </w:tcBorders>
            <w:shd w:val="clear" w:color="auto" w:fill="auto"/>
            <w:hideMark/>
          </w:tcPr>
          <w:p w14:paraId="497A339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w:t>
            </w:r>
          </w:p>
        </w:tc>
        <w:tc>
          <w:tcPr>
            <w:tcW w:w="1829" w:type="dxa"/>
            <w:tcBorders>
              <w:top w:val="nil"/>
              <w:left w:val="nil"/>
              <w:bottom w:val="single" w:sz="4" w:space="0" w:color="auto"/>
              <w:right w:val="single" w:sz="4" w:space="0" w:color="auto"/>
            </w:tcBorders>
            <w:shd w:val="clear" w:color="auto" w:fill="auto"/>
            <w:hideMark/>
          </w:tcPr>
          <w:p w14:paraId="701B05F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Ауэзовский</w:t>
            </w:r>
          </w:p>
        </w:tc>
        <w:tc>
          <w:tcPr>
            <w:tcW w:w="780" w:type="dxa"/>
            <w:tcBorders>
              <w:top w:val="nil"/>
              <w:left w:val="nil"/>
              <w:bottom w:val="single" w:sz="4" w:space="0" w:color="auto"/>
              <w:right w:val="single" w:sz="4" w:space="0" w:color="auto"/>
            </w:tcBorders>
            <w:shd w:val="clear" w:color="auto" w:fill="auto"/>
            <w:hideMark/>
          </w:tcPr>
          <w:p w14:paraId="57C1DA0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3 093</w:t>
            </w:r>
          </w:p>
        </w:tc>
        <w:tc>
          <w:tcPr>
            <w:tcW w:w="955" w:type="dxa"/>
            <w:tcBorders>
              <w:top w:val="nil"/>
              <w:left w:val="nil"/>
              <w:bottom w:val="single" w:sz="4" w:space="0" w:color="auto"/>
              <w:right w:val="single" w:sz="4" w:space="0" w:color="auto"/>
            </w:tcBorders>
            <w:shd w:val="clear" w:color="auto" w:fill="auto"/>
            <w:hideMark/>
          </w:tcPr>
          <w:p w14:paraId="42D743C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12 861</w:t>
            </w:r>
          </w:p>
        </w:tc>
        <w:tc>
          <w:tcPr>
            <w:tcW w:w="954" w:type="dxa"/>
            <w:tcBorders>
              <w:top w:val="nil"/>
              <w:left w:val="nil"/>
              <w:bottom w:val="single" w:sz="4" w:space="0" w:color="auto"/>
              <w:right w:val="single" w:sz="4" w:space="0" w:color="auto"/>
            </w:tcBorders>
            <w:shd w:val="clear" w:color="auto" w:fill="auto"/>
            <w:hideMark/>
          </w:tcPr>
          <w:p w14:paraId="5750B47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14 034</w:t>
            </w:r>
          </w:p>
        </w:tc>
        <w:tc>
          <w:tcPr>
            <w:tcW w:w="969" w:type="dxa"/>
            <w:tcBorders>
              <w:top w:val="nil"/>
              <w:left w:val="nil"/>
              <w:bottom w:val="single" w:sz="4" w:space="0" w:color="auto"/>
              <w:right w:val="single" w:sz="4" w:space="0" w:color="auto"/>
            </w:tcBorders>
            <w:shd w:val="clear" w:color="auto" w:fill="auto"/>
            <w:hideMark/>
          </w:tcPr>
          <w:p w14:paraId="4E28EEE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10 087</w:t>
            </w:r>
          </w:p>
        </w:tc>
        <w:tc>
          <w:tcPr>
            <w:tcW w:w="969" w:type="dxa"/>
            <w:tcBorders>
              <w:top w:val="nil"/>
              <w:left w:val="nil"/>
              <w:bottom w:val="single" w:sz="4" w:space="0" w:color="auto"/>
              <w:right w:val="single" w:sz="4" w:space="0" w:color="auto"/>
            </w:tcBorders>
            <w:shd w:val="clear" w:color="auto" w:fill="auto"/>
            <w:hideMark/>
          </w:tcPr>
          <w:p w14:paraId="13622FC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5 444</w:t>
            </w:r>
          </w:p>
        </w:tc>
        <w:tc>
          <w:tcPr>
            <w:tcW w:w="969" w:type="dxa"/>
            <w:tcBorders>
              <w:top w:val="nil"/>
              <w:left w:val="nil"/>
              <w:bottom w:val="single" w:sz="4" w:space="0" w:color="auto"/>
              <w:right w:val="single" w:sz="4" w:space="0" w:color="auto"/>
            </w:tcBorders>
            <w:shd w:val="clear" w:color="auto" w:fill="auto"/>
            <w:hideMark/>
          </w:tcPr>
          <w:p w14:paraId="38CF6B3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2 127</w:t>
            </w:r>
          </w:p>
        </w:tc>
        <w:tc>
          <w:tcPr>
            <w:tcW w:w="969" w:type="dxa"/>
            <w:tcBorders>
              <w:top w:val="nil"/>
              <w:left w:val="nil"/>
              <w:bottom w:val="single" w:sz="4" w:space="0" w:color="auto"/>
              <w:right w:val="single" w:sz="4" w:space="0" w:color="auto"/>
            </w:tcBorders>
            <w:shd w:val="clear" w:color="auto" w:fill="auto"/>
            <w:hideMark/>
          </w:tcPr>
          <w:p w14:paraId="0850DDD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18 343</w:t>
            </w:r>
          </w:p>
        </w:tc>
        <w:tc>
          <w:tcPr>
            <w:tcW w:w="969" w:type="dxa"/>
            <w:tcBorders>
              <w:top w:val="nil"/>
              <w:left w:val="nil"/>
              <w:bottom w:val="single" w:sz="4" w:space="0" w:color="auto"/>
              <w:right w:val="single" w:sz="4" w:space="0" w:color="auto"/>
            </w:tcBorders>
            <w:shd w:val="clear" w:color="auto" w:fill="auto"/>
            <w:hideMark/>
          </w:tcPr>
          <w:p w14:paraId="215C730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17 739</w:t>
            </w:r>
          </w:p>
        </w:tc>
        <w:tc>
          <w:tcPr>
            <w:tcW w:w="969" w:type="dxa"/>
            <w:tcBorders>
              <w:top w:val="nil"/>
              <w:left w:val="nil"/>
              <w:bottom w:val="single" w:sz="4" w:space="0" w:color="auto"/>
              <w:right w:val="single" w:sz="4" w:space="0" w:color="auto"/>
            </w:tcBorders>
            <w:shd w:val="clear" w:color="auto" w:fill="auto"/>
            <w:hideMark/>
          </w:tcPr>
          <w:p w14:paraId="72B5A42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14 578</w:t>
            </w:r>
          </w:p>
        </w:tc>
        <w:tc>
          <w:tcPr>
            <w:tcW w:w="969" w:type="dxa"/>
            <w:tcBorders>
              <w:top w:val="nil"/>
              <w:left w:val="nil"/>
              <w:bottom w:val="single" w:sz="4" w:space="0" w:color="auto"/>
              <w:right w:val="single" w:sz="4" w:space="0" w:color="auto"/>
            </w:tcBorders>
            <w:shd w:val="clear" w:color="auto" w:fill="auto"/>
            <w:hideMark/>
          </w:tcPr>
          <w:p w14:paraId="3D67CA2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12 687</w:t>
            </w:r>
          </w:p>
        </w:tc>
        <w:tc>
          <w:tcPr>
            <w:tcW w:w="969" w:type="dxa"/>
            <w:tcBorders>
              <w:top w:val="nil"/>
              <w:left w:val="nil"/>
              <w:bottom w:val="single" w:sz="4" w:space="0" w:color="auto"/>
              <w:right w:val="single" w:sz="4" w:space="0" w:color="auto"/>
            </w:tcBorders>
            <w:shd w:val="clear" w:color="auto" w:fill="auto"/>
            <w:hideMark/>
          </w:tcPr>
          <w:p w14:paraId="51C4285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7 691</w:t>
            </w:r>
          </w:p>
        </w:tc>
        <w:tc>
          <w:tcPr>
            <w:tcW w:w="1238" w:type="dxa"/>
            <w:tcBorders>
              <w:top w:val="nil"/>
              <w:left w:val="nil"/>
              <w:bottom w:val="single" w:sz="4" w:space="0" w:color="auto"/>
              <w:right w:val="single" w:sz="8" w:space="0" w:color="auto"/>
            </w:tcBorders>
            <w:shd w:val="clear" w:color="auto" w:fill="auto"/>
            <w:hideMark/>
          </w:tcPr>
          <w:p w14:paraId="6D4C857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4 849</w:t>
            </w:r>
          </w:p>
        </w:tc>
      </w:tr>
      <w:tr w:rsidR="005B6AF9" w:rsidRPr="00680E37" w14:paraId="04FEEBD0" w14:textId="77777777" w:rsidTr="00680E37">
        <w:trPr>
          <w:trHeight w:val="254"/>
        </w:trPr>
        <w:tc>
          <w:tcPr>
            <w:tcW w:w="506" w:type="dxa"/>
            <w:vMerge/>
            <w:tcBorders>
              <w:top w:val="nil"/>
              <w:left w:val="single" w:sz="8" w:space="0" w:color="auto"/>
              <w:bottom w:val="single" w:sz="8" w:space="0" w:color="000000"/>
              <w:right w:val="single" w:sz="4" w:space="0" w:color="auto"/>
            </w:tcBorders>
            <w:vAlign w:val="center"/>
            <w:hideMark/>
          </w:tcPr>
          <w:p w14:paraId="6FA79B84"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4" w:space="0" w:color="auto"/>
              <w:right w:val="single" w:sz="4" w:space="0" w:color="auto"/>
            </w:tcBorders>
            <w:shd w:val="clear" w:color="auto" w:fill="auto"/>
            <w:hideMark/>
          </w:tcPr>
          <w:p w14:paraId="0C05FB1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w:t>
            </w:r>
          </w:p>
        </w:tc>
        <w:tc>
          <w:tcPr>
            <w:tcW w:w="1829" w:type="dxa"/>
            <w:tcBorders>
              <w:top w:val="nil"/>
              <w:left w:val="nil"/>
              <w:bottom w:val="single" w:sz="4" w:space="0" w:color="auto"/>
              <w:right w:val="single" w:sz="4" w:space="0" w:color="auto"/>
            </w:tcBorders>
            <w:shd w:val="clear" w:color="auto" w:fill="auto"/>
            <w:hideMark/>
          </w:tcPr>
          <w:p w14:paraId="5C7D3BB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Бостандыкский</w:t>
            </w:r>
          </w:p>
        </w:tc>
        <w:tc>
          <w:tcPr>
            <w:tcW w:w="780" w:type="dxa"/>
            <w:tcBorders>
              <w:top w:val="nil"/>
              <w:left w:val="nil"/>
              <w:bottom w:val="single" w:sz="4" w:space="0" w:color="auto"/>
              <w:right w:val="single" w:sz="4" w:space="0" w:color="auto"/>
            </w:tcBorders>
            <w:shd w:val="clear" w:color="auto" w:fill="auto"/>
            <w:hideMark/>
          </w:tcPr>
          <w:p w14:paraId="4B68264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2 127</w:t>
            </w:r>
          </w:p>
        </w:tc>
        <w:tc>
          <w:tcPr>
            <w:tcW w:w="955" w:type="dxa"/>
            <w:tcBorders>
              <w:top w:val="nil"/>
              <w:left w:val="nil"/>
              <w:bottom w:val="single" w:sz="4" w:space="0" w:color="auto"/>
              <w:right w:val="single" w:sz="4" w:space="0" w:color="auto"/>
            </w:tcBorders>
            <w:shd w:val="clear" w:color="auto" w:fill="auto"/>
            <w:hideMark/>
          </w:tcPr>
          <w:p w14:paraId="7591735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9 680</w:t>
            </w:r>
          </w:p>
        </w:tc>
        <w:tc>
          <w:tcPr>
            <w:tcW w:w="954" w:type="dxa"/>
            <w:tcBorders>
              <w:top w:val="nil"/>
              <w:left w:val="nil"/>
              <w:bottom w:val="single" w:sz="4" w:space="0" w:color="auto"/>
              <w:right w:val="single" w:sz="4" w:space="0" w:color="auto"/>
            </w:tcBorders>
            <w:shd w:val="clear" w:color="auto" w:fill="auto"/>
            <w:hideMark/>
          </w:tcPr>
          <w:p w14:paraId="6802D2F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11 230</w:t>
            </w:r>
          </w:p>
        </w:tc>
        <w:tc>
          <w:tcPr>
            <w:tcW w:w="969" w:type="dxa"/>
            <w:tcBorders>
              <w:top w:val="nil"/>
              <w:left w:val="nil"/>
              <w:bottom w:val="single" w:sz="4" w:space="0" w:color="auto"/>
              <w:right w:val="single" w:sz="4" w:space="0" w:color="auto"/>
            </w:tcBorders>
            <w:shd w:val="clear" w:color="auto" w:fill="auto"/>
            <w:hideMark/>
          </w:tcPr>
          <w:p w14:paraId="4F64C31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8 512</w:t>
            </w:r>
          </w:p>
        </w:tc>
        <w:tc>
          <w:tcPr>
            <w:tcW w:w="969" w:type="dxa"/>
            <w:tcBorders>
              <w:top w:val="nil"/>
              <w:left w:val="nil"/>
              <w:bottom w:val="single" w:sz="4" w:space="0" w:color="auto"/>
              <w:right w:val="single" w:sz="4" w:space="0" w:color="auto"/>
            </w:tcBorders>
            <w:shd w:val="clear" w:color="auto" w:fill="auto"/>
            <w:hideMark/>
          </w:tcPr>
          <w:p w14:paraId="679E513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5 571</w:t>
            </w:r>
          </w:p>
        </w:tc>
        <w:tc>
          <w:tcPr>
            <w:tcW w:w="969" w:type="dxa"/>
            <w:tcBorders>
              <w:top w:val="nil"/>
              <w:left w:val="nil"/>
              <w:bottom w:val="single" w:sz="4" w:space="0" w:color="auto"/>
              <w:right w:val="single" w:sz="4" w:space="0" w:color="auto"/>
            </w:tcBorders>
            <w:shd w:val="clear" w:color="auto" w:fill="auto"/>
            <w:hideMark/>
          </w:tcPr>
          <w:p w14:paraId="3F9F1D8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11 561</w:t>
            </w:r>
          </w:p>
        </w:tc>
        <w:tc>
          <w:tcPr>
            <w:tcW w:w="969" w:type="dxa"/>
            <w:tcBorders>
              <w:top w:val="nil"/>
              <w:left w:val="nil"/>
              <w:bottom w:val="single" w:sz="4" w:space="0" w:color="auto"/>
              <w:right w:val="single" w:sz="4" w:space="0" w:color="auto"/>
            </w:tcBorders>
            <w:shd w:val="clear" w:color="auto" w:fill="auto"/>
            <w:hideMark/>
          </w:tcPr>
          <w:p w14:paraId="563C766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40 905</w:t>
            </w:r>
          </w:p>
        </w:tc>
        <w:tc>
          <w:tcPr>
            <w:tcW w:w="969" w:type="dxa"/>
            <w:tcBorders>
              <w:top w:val="nil"/>
              <w:left w:val="nil"/>
              <w:bottom w:val="single" w:sz="4" w:space="0" w:color="auto"/>
              <w:right w:val="single" w:sz="4" w:space="0" w:color="auto"/>
            </w:tcBorders>
            <w:shd w:val="clear" w:color="auto" w:fill="auto"/>
            <w:hideMark/>
          </w:tcPr>
          <w:p w14:paraId="6896DCE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18 265</w:t>
            </w:r>
          </w:p>
        </w:tc>
        <w:tc>
          <w:tcPr>
            <w:tcW w:w="969" w:type="dxa"/>
            <w:tcBorders>
              <w:top w:val="nil"/>
              <w:left w:val="nil"/>
              <w:bottom w:val="single" w:sz="4" w:space="0" w:color="auto"/>
              <w:right w:val="single" w:sz="4" w:space="0" w:color="auto"/>
            </w:tcBorders>
            <w:shd w:val="clear" w:color="auto" w:fill="auto"/>
            <w:hideMark/>
          </w:tcPr>
          <w:p w14:paraId="7EA660F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14 992</w:t>
            </w:r>
          </w:p>
        </w:tc>
        <w:tc>
          <w:tcPr>
            <w:tcW w:w="969" w:type="dxa"/>
            <w:tcBorders>
              <w:top w:val="nil"/>
              <w:left w:val="nil"/>
              <w:bottom w:val="single" w:sz="4" w:space="0" w:color="auto"/>
              <w:right w:val="single" w:sz="4" w:space="0" w:color="auto"/>
            </w:tcBorders>
            <w:shd w:val="clear" w:color="auto" w:fill="auto"/>
            <w:hideMark/>
          </w:tcPr>
          <w:p w14:paraId="4FE1C62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13 226</w:t>
            </w:r>
          </w:p>
        </w:tc>
        <w:tc>
          <w:tcPr>
            <w:tcW w:w="969" w:type="dxa"/>
            <w:tcBorders>
              <w:top w:val="nil"/>
              <w:left w:val="nil"/>
              <w:bottom w:val="single" w:sz="4" w:space="0" w:color="auto"/>
              <w:right w:val="single" w:sz="4" w:space="0" w:color="auto"/>
            </w:tcBorders>
            <w:shd w:val="clear" w:color="auto" w:fill="auto"/>
            <w:hideMark/>
          </w:tcPr>
          <w:p w14:paraId="237BC6D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8 447</w:t>
            </w:r>
          </w:p>
        </w:tc>
        <w:tc>
          <w:tcPr>
            <w:tcW w:w="1238" w:type="dxa"/>
            <w:tcBorders>
              <w:top w:val="nil"/>
              <w:left w:val="nil"/>
              <w:bottom w:val="single" w:sz="4" w:space="0" w:color="auto"/>
              <w:right w:val="single" w:sz="8" w:space="0" w:color="auto"/>
            </w:tcBorders>
            <w:shd w:val="clear" w:color="auto" w:fill="auto"/>
            <w:hideMark/>
          </w:tcPr>
          <w:p w14:paraId="5E873B6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5 629</w:t>
            </w:r>
          </w:p>
        </w:tc>
      </w:tr>
      <w:tr w:rsidR="005B6AF9" w:rsidRPr="00680E37" w14:paraId="41D39DA3" w14:textId="77777777" w:rsidTr="00680E37">
        <w:trPr>
          <w:trHeight w:val="301"/>
        </w:trPr>
        <w:tc>
          <w:tcPr>
            <w:tcW w:w="506" w:type="dxa"/>
            <w:vMerge/>
            <w:tcBorders>
              <w:top w:val="nil"/>
              <w:left w:val="single" w:sz="8" w:space="0" w:color="auto"/>
              <w:bottom w:val="single" w:sz="8" w:space="0" w:color="000000"/>
              <w:right w:val="single" w:sz="4" w:space="0" w:color="auto"/>
            </w:tcBorders>
            <w:vAlign w:val="center"/>
            <w:hideMark/>
          </w:tcPr>
          <w:p w14:paraId="42A934AC"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4" w:space="0" w:color="auto"/>
              <w:right w:val="single" w:sz="4" w:space="0" w:color="auto"/>
            </w:tcBorders>
            <w:shd w:val="clear" w:color="auto" w:fill="auto"/>
            <w:hideMark/>
          </w:tcPr>
          <w:p w14:paraId="7056877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w:t>
            </w:r>
          </w:p>
        </w:tc>
        <w:tc>
          <w:tcPr>
            <w:tcW w:w="1829" w:type="dxa"/>
            <w:tcBorders>
              <w:top w:val="nil"/>
              <w:left w:val="nil"/>
              <w:bottom w:val="single" w:sz="4" w:space="0" w:color="auto"/>
              <w:right w:val="single" w:sz="4" w:space="0" w:color="auto"/>
            </w:tcBorders>
            <w:shd w:val="clear" w:color="auto" w:fill="auto"/>
            <w:hideMark/>
          </w:tcPr>
          <w:p w14:paraId="4297F06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Жетысуский</w:t>
            </w:r>
          </w:p>
        </w:tc>
        <w:tc>
          <w:tcPr>
            <w:tcW w:w="780" w:type="dxa"/>
            <w:tcBorders>
              <w:top w:val="nil"/>
              <w:left w:val="nil"/>
              <w:bottom w:val="single" w:sz="4" w:space="0" w:color="auto"/>
              <w:right w:val="single" w:sz="4" w:space="0" w:color="auto"/>
            </w:tcBorders>
            <w:shd w:val="clear" w:color="auto" w:fill="auto"/>
            <w:hideMark/>
          </w:tcPr>
          <w:p w14:paraId="59EE187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1 136</w:t>
            </w:r>
          </w:p>
        </w:tc>
        <w:tc>
          <w:tcPr>
            <w:tcW w:w="955" w:type="dxa"/>
            <w:tcBorders>
              <w:top w:val="nil"/>
              <w:left w:val="nil"/>
              <w:bottom w:val="single" w:sz="4" w:space="0" w:color="auto"/>
              <w:right w:val="single" w:sz="4" w:space="0" w:color="auto"/>
            </w:tcBorders>
            <w:shd w:val="clear" w:color="auto" w:fill="auto"/>
            <w:hideMark/>
          </w:tcPr>
          <w:p w14:paraId="1E2CD1B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5 090</w:t>
            </w:r>
          </w:p>
        </w:tc>
        <w:tc>
          <w:tcPr>
            <w:tcW w:w="954" w:type="dxa"/>
            <w:tcBorders>
              <w:top w:val="nil"/>
              <w:left w:val="nil"/>
              <w:bottom w:val="single" w:sz="4" w:space="0" w:color="auto"/>
              <w:right w:val="single" w:sz="4" w:space="0" w:color="auto"/>
            </w:tcBorders>
            <w:shd w:val="clear" w:color="auto" w:fill="auto"/>
            <w:hideMark/>
          </w:tcPr>
          <w:p w14:paraId="387710F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5 426</w:t>
            </w:r>
          </w:p>
        </w:tc>
        <w:tc>
          <w:tcPr>
            <w:tcW w:w="969" w:type="dxa"/>
            <w:tcBorders>
              <w:top w:val="nil"/>
              <w:left w:val="nil"/>
              <w:bottom w:val="single" w:sz="4" w:space="0" w:color="auto"/>
              <w:right w:val="single" w:sz="4" w:space="0" w:color="auto"/>
            </w:tcBorders>
            <w:shd w:val="clear" w:color="auto" w:fill="auto"/>
            <w:hideMark/>
          </w:tcPr>
          <w:p w14:paraId="4AD263E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3 699</w:t>
            </w:r>
          </w:p>
        </w:tc>
        <w:tc>
          <w:tcPr>
            <w:tcW w:w="969" w:type="dxa"/>
            <w:tcBorders>
              <w:top w:val="nil"/>
              <w:left w:val="nil"/>
              <w:bottom w:val="single" w:sz="4" w:space="0" w:color="auto"/>
              <w:right w:val="single" w:sz="4" w:space="0" w:color="auto"/>
            </w:tcBorders>
            <w:shd w:val="clear" w:color="auto" w:fill="auto"/>
            <w:hideMark/>
          </w:tcPr>
          <w:p w14:paraId="044FEAD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2 159</w:t>
            </w:r>
          </w:p>
        </w:tc>
        <w:tc>
          <w:tcPr>
            <w:tcW w:w="969" w:type="dxa"/>
            <w:tcBorders>
              <w:top w:val="nil"/>
              <w:left w:val="nil"/>
              <w:bottom w:val="single" w:sz="4" w:space="0" w:color="auto"/>
              <w:right w:val="single" w:sz="4" w:space="0" w:color="auto"/>
            </w:tcBorders>
            <w:shd w:val="clear" w:color="auto" w:fill="auto"/>
            <w:hideMark/>
          </w:tcPr>
          <w:p w14:paraId="08F103F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1 334</w:t>
            </w:r>
          </w:p>
        </w:tc>
        <w:tc>
          <w:tcPr>
            <w:tcW w:w="969" w:type="dxa"/>
            <w:tcBorders>
              <w:top w:val="nil"/>
              <w:left w:val="nil"/>
              <w:bottom w:val="single" w:sz="4" w:space="0" w:color="auto"/>
              <w:right w:val="single" w:sz="4" w:space="0" w:color="auto"/>
            </w:tcBorders>
            <w:shd w:val="clear" w:color="auto" w:fill="auto"/>
            <w:hideMark/>
          </w:tcPr>
          <w:p w14:paraId="2132B82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13 663</w:t>
            </w:r>
          </w:p>
        </w:tc>
        <w:tc>
          <w:tcPr>
            <w:tcW w:w="969" w:type="dxa"/>
            <w:tcBorders>
              <w:top w:val="nil"/>
              <w:left w:val="nil"/>
              <w:bottom w:val="single" w:sz="4" w:space="0" w:color="auto"/>
              <w:right w:val="single" w:sz="4" w:space="0" w:color="auto"/>
            </w:tcBorders>
            <w:shd w:val="clear" w:color="auto" w:fill="auto"/>
            <w:hideMark/>
          </w:tcPr>
          <w:p w14:paraId="31CEC52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13 111</w:t>
            </w:r>
          </w:p>
        </w:tc>
        <w:tc>
          <w:tcPr>
            <w:tcW w:w="969" w:type="dxa"/>
            <w:tcBorders>
              <w:top w:val="nil"/>
              <w:left w:val="nil"/>
              <w:bottom w:val="single" w:sz="4" w:space="0" w:color="auto"/>
              <w:right w:val="single" w:sz="4" w:space="0" w:color="auto"/>
            </w:tcBorders>
            <w:shd w:val="clear" w:color="auto" w:fill="auto"/>
            <w:hideMark/>
          </w:tcPr>
          <w:p w14:paraId="646EF42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9 899</w:t>
            </w:r>
          </w:p>
        </w:tc>
        <w:tc>
          <w:tcPr>
            <w:tcW w:w="969" w:type="dxa"/>
            <w:tcBorders>
              <w:top w:val="nil"/>
              <w:left w:val="nil"/>
              <w:bottom w:val="single" w:sz="4" w:space="0" w:color="auto"/>
              <w:right w:val="single" w:sz="4" w:space="0" w:color="auto"/>
            </w:tcBorders>
            <w:shd w:val="clear" w:color="auto" w:fill="auto"/>
            <w:hideMark/>
          </w:tcPr>
          <w:p w14:paraId="0F98C3A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8 210</w:t>
            </w:r>
          </w:p>
        </w:tc>
        <w:tc>
          <w:tcPr>
            <w:tcW w:w="969" w:type="dxa"/>
            <w:tcBorders>
              <w:top w:val="nil"/>
              <w:left w:val="nil"/>
              <w:bottom w:val="single" w:sz="4" w:space="0" w:color="auto"/>
              <w:right w:val="single" w:sz="4" w:space="0" w:color="auto"/>
            </w:tcBorders>
            <w:shd w:val="clear" w:color="auto" w:fill="auto"/>
            <w:hideMark/>
          </w:tcPr>
          <w:p w14:paraId="729778F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4 534</w:t>
            </w:r>
          </w:p>
        </w:tc>
        <w:tc>
          <w:tcPr>
            <w:tcW w:w="1238" w:type="dxa"/>
            <w:tcBorders>
              <w:top w:val="nil"/>
              <w:left w:val="nil"/>
              <w:bottom w:val="single" w:sz="4" w:space="0" w:color="auto"/>
              <w:right w:val="single" w:sz="8" w:space="0" w:color="auto"/>
            </w:tcBorders>
            <w:shd w:val="clear" w:color="auto" w:fill="auto"/>
            <w:hideMark/>
          </w:tcPr>
          <w:p w14:paraId="3808B9F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2 753</w:t>
            </w:r>
          </w:p>
        </w:tc>
      </w:tr>
      <w:tr w:rsidR="005B6AF9" w:rsidRPr="00680E37" w14:paraId="45BA34FC" w14:textId="77777777" w:rsidTr="00680E37">
        <w:trPr>
          <w:trHeight w:val="208"/>
        </w:trPr>
        <w:tc>
          <w:tcPr>
            <w:tcW w:w="506" w:type="dxa"/>
            <w:vMerge/>
            <w:tcBorders>
              <w:top w:val="nil"/>
              <w:left w:val="single" w:sz="8" w:space="0" w:color="auto"/>
              <w:bottom w:val="single" w:sz="8" w:space="0" w:color="000000"/>
              <w:right w:val="single" w:sz="4" w:space="0" w:color="auto"/>
            </w:tcBorders>
            <w:vAlign w:val="center"/>
            <w:hideMark/>
          </w:tcPr>
          <w:p w14:paraId="6E534CAE"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4" w:space="0" w:color="auto"/>
              <w:right w:val="single" w:sz="4" w:space="0" w:color="auto"/>
            </w:tcBorders>
            <w:shd w:val="clear" w:color="auto" w:fill="auto"/>
            <w:hideMark/>
          </w:tcPr>
          <w:p w14:paraId="0CB1A09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w:t>
            </w:r>
          </w:p>
        </w:tc>
        <w:tc>
          <w:tcPr>
            <w:tcW w:w="1829" w:type="dxa"/>
            <w:tcBorders>
              <w:top w:val="nil"/>
              <w:left w:val="nil"/>
              <w:bottom w:val="single" w:sz="4" w:space="0" w:color="auto"/>
              <w:right w:val="single" w:sz="4" w:space="0" w:color="auto"/>
            </w:tcBorders>
            <w:shd w:val="clear" w:color="auto" w:fill="auto"/>
            <w:hideMark/>
          </w:tcPr>
          <w:p w14:paraId="156A20D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Медеуский</w:t>
            </w:r>
          </w:p>
        </w:tc>
        <w:tc>
          <w:tcPr>
            <w:tcW w:w="780" w:type="dxa"/>
            <w:tcBorders>
              <w:top w:val="nil"/>
              <w:left w:val="nil"/>
              <w:bottom w:val="single" w:sz="4" w:space="0" w:color="auto"/>
              <w:right w:val="single" w:sz="4" w:space="0" w:color="auto"/>
            </w:tcBorders>
            <w:shd w:val="clear" w:color="auto" w:fill="auto"/>
            <w:hideMark/>
          </w:tcPr>
          <w:p w14:paraId="237B829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1 958</w:t>
            </w:r>
          </w:p>
        </w:tc>
        <w:tc>
          <w:tcPr>
            <w:tcW w:w="955" w:type="dxa"/>
            <w:tcBorders>
              <w:top w:val="nil"/>
              <w:left w:val="nil"/>
              <w:bottom w:val="single" w:sz="4" w:space="0" w:color="auto"/>
              <w:right w:val="single" w:sz="4" w:space="0" w:color="auto"/>
            </w:tcBorders>
            <w:shd w:val="clear" w:color="auto" w:fill="auto"/>
            <w:hideMark/>
          </w:tcPr>
          <w:p w14:paraId="544EDA6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8 839</w:t>
            </w:r>
          </w:p>
        </w:tc>
        <w:tc>
          <w:tcPr>
            <w:tcW w:w="954" w:type="dxa"/>
            <w:tcBorders>
              <w:top w:val="nil"/>
              <w:left w:val="nil"/>
              <w:bottom w:val="single" w:sz="4" w:space="0" w:color="auto"/>
              <w:right w:val="single" w:sz="4" w:space="0" w:color="auto"/>
            </w:tcBorders>
            <w:shd w:val="clear" w:color="auto" w:fill="auto"/>
            <w:hideMark/>
          </w:tcPr>
          <w:p w14:paraId="701DE76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10 897</w:t>
            </w:r>
          </w:p>
        </w:tc>
        <w:tc>
          <w:tcPr>
            <w:tcW w:w="969" w:type="dxa"/>
            <w:tcBorders>
              <w:top w:val="nil"/>
              <w:left w:val="nil"/>
              <w:bottom w:val="single" w:sz="4" w:space="0" w:color="auto"/>
              <w:right w:val="single" w:sz="4" w:space="0" w:color="auto"/>
            </w:tcBorders>
            <w:shd w:val="clear" w:color="auto" w:fill="auto"/>
            <w:hideMark/>
          </w:tcPr>
          <w:p w14:paraId="46424A0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8 634</w:t>
            </w:r>
          </w:p>
        </w:tc>
        <w:tc>
          <w:tcPr>
            <w:tcW w:w="969" w:type="dxa"/>
            <w:tcBorders>
              <w:top w:val="nil"/>
              <w:left w:val="nil"/>
              <w:bottom w:val="single" w:sz="4" w:space="0" w:color="auto"/>
              <w:right w:val="single" w:sz="4" w:space="0" w:color="auto"/>
            </w:tcBorders>
            <w:shd w:val="clear" w:color="auto" w:fill="auto"/>
            <w:hideMark/>
          </w:tcPr>
          <w:p w14:paraId="781EEDF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2 607</w:t>
            </w:r>
          </w:p>
        </w:tc>
        <w:tc>
          <w:tcPr>
            <w:tcW w:w="969" w:type="dxa"/>
            <w:tcBorders>
              <w:top w:val="nil"/>
              <w:left w:val="nil"/>
              <w:bottom w:val="single" w:sz="4" w:space="0" w:color="auto"/>
              <w:right w:val="single" w:sz="4" w:space="0" w:color="auto"/>
            </w:tcBorders>
            <w:shd w:val="clear" w:color="auto" w:fill="auto"/>
            <w:hideMark/>
          </w:tcPr>
          <w:p w14:paraId="559D285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1 394</w:t>
            </w:r>
          </w:p>
        </w:tc>
        <w:tc>
          <w:tcPr>
            <w:tcW w:w="969" w:type="dxa"/>
            <w:tcBorders>
              <w:top w:val="nil"/>
              <w:left w:val="nil"/>
              <w:bottom w:val="single" w:sz="4" w:space="0" w:color="auto"/>
              <w:right w:val="single" w:sz="4" w:space="0" w:color="auto"/>
            </w:tcBorders>
            <w:shd w:val="clear" w:color="auto" w:fill="auto"/>
            <w:hideMark/>
          </w:tcPr>
          <w:p w14:paraId="0921E0F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11 122</w:t>
            </w:r>
          </w:p>
        </w:tc>
        <w:tc>
          <w:tcPr>
            <w:tcW w:w="969" w:type="dxa"/>
            <w:tcBorders>
              <w:top w:val="nil"/>
              <w:left w:val="nil"/>
              <w:bottom w:val="single" w:sz="4" w:space="0" w:color="auto"/>
              <w:right w:val="single" w:sz="4" w:space="0" w:color="auto"/>
            </w:tcBorders>
            <w:shd w:val="clear" w:color="auto" w:fill="auto"/>
            <w:hideMark/>
          </w:tcPr>
          <w:p w14:paraId="73BEFB4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11 048</w:t>
            </w:r>
          </w:p>
        </w:tc>
        <w:tc>
          <w:tcPr>
            <w:tcW w:w="969" w:type="dxa"/>
            <w:tcBorders>
              <w:top w:val="nil"/>
              <w:left w:val="nil"/>
              <w:bottom w:val="single" w:sz="4" w:space="0" w:color="auto"/>
              <w:right w:val="single" w:sz="4" w:space="0" w:color="auto"/>
            </w:tcBorders>
            <w:shd w:val="clear" w:color="auto" w:fill="auto"/>
            <w:hideMark/>
          </w:tcPr>
          <w:p w14:paraId="00BBA7F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9 279</w:t>
            </w:r>
          </w:p>
        </w:tc>
        <w:tc>
          <w:tcPr>
            <w:tcW w:w="969" w:type="dxa"/>
            <w:tcBorders>
              <w:top w:val="nil"/>
              <w:left w:val="nil"/>
              <w:bottom w:val="single" w:sz="4" w:space="0" w:color="auto"/>
              <w:right w:val="single" w:sz="4" w:space="0" w:color="auto"/>
            </w:tcBorders>
            <w:shd w:val="clear" w:color="auto" w:fill="auto"/>
            <w:hideMark/>
          </w:tcPr>
          <w:p w14:paraId="3A26A2D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8 640</w:t>
            </w:r>
          </w:p>
        </w:tc>
        <w:tc>
          <w:tcPr>
            <w:tcW w:w="969" w:type="dxa"/>
            <w:tcBorders>
              <w:top w:val="nil"/>
              <w:left w:val="nil"/>
              <w:bottom w:val="single" w:sz="4" w:space="0" w:color="auto"/>
              <w:right w:val="single" w:sz="4" w:space="0" w:color="auto"/>
            </w:tcBorders>
            <w:shd w:val="clear" w:color="auto" w:fill="auto"/>
            <w:hideMark/>
          </w:tcPr>
          <w:p w14:paraId="7741E73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5 676</w:t>
            </w:r>
          </w:p>
        </w:tc>
        <w:tc>
          <w:tcPr>
            <w:tcW w:w="1238" w:type="dxa"/>
            <w:tcBorders>
              <w:top w:val="nil"/>
              <w:left w:val="nil"/>
              <w:bottom w:val="single" w:sz="4" w:space="0" w:color="auto"/>
              <w:right w:val="single" w:sz="8" w:space="0" w:color="auto"/>
            </w:tcBorders>
            <w:shd w:val="clear" w:color="auto" w:fill="auto"/>
            <w:hideMark/>
          </w:tcPr>
          <w:p w14:paraId="3650683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3 642</w:t>
            </w:r>
          </w:p>
        </w:tc>
      </w:tr>
      <w:tr w:rsidR="005B6AF9" w:rsidRPr="00680E37" w14:paraId="7AE99E6F" w14:textId="77777777" w:rsidTr="00680E37">
        <w:trPr>
          <w:trHeight w:val="242"/>
        </w:trPr>
        <w:tc>
          <w:tcPr>
            <w:tcW w:w="506" w:type="dxa"/>
            <w:vMerge/>
            <w:tcBorders>
              <w:top w:val="nil"/>
              <w:left w:val="single" w:sz="8" w:space="0" w:color="auto"/>
              <w:bottom w:val="single" w:sz="8" w:space="0" w:color="000000"/>
              <w:right w:val="single" w:sz="4" w:space="0" w:color="auto"/>
            </w:tcBorders>
            <w:vAlign w:val="center"/>
            <w:hideMark/>
          </w:tcPr>
          <w:p w14:paraId="138F73D4"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4" w:space="0" w:color="auto"/>
              <w:right w:val="single" w:sz="4" w:space="0" w:color="auto"/>
            </w:tcBorders>
            <w:shd w:val="clear" w:color="auto" w:fill="auto"/>
            <w:hideMark/>
          </w:tcPr>
          <w:p w14:paraId="015B3C0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w:t>
            </w:r>
          </w:p>
        </w:tc>
        <w:tc>
          <w:tcPr>
            <w:tcW w:w="1829" w:type="dxa"/>
            <w:tcBorders>
              <w:top w:val="nil"/>
              <w:left w:val="nil"/>
              <w:bottom w:val="single" w:sz="4" w:space="0" w:color="auto"/>
              <w:right w:val="single" w:sz="4" w:space="0" w:color="auto"/>
            </w:tcBorders>
            <w:shd w:val="clear" w:color="auto" w:fill="auto"/>
            <w:hideMark/>
          </w:tcPr>
          <w:p w14:paraId="241B5C6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Наурызбайский</w:t>
            </w:r>
          </w:p>
        </w:tc>
        <w:tc>
          <w:tcPr>
            <w:tcW w:w="780" w:type="dxa"/>
            <w:tcBorders>
              <w:top w:val="nil"/>
              <w:left w:val="nil"/>
              <w:bottom w:val="single" w:sz="4" w:space="0" w:color="auto"/>
              <w:right w:val="single" w:sz="4" w:space="0" w:color="auto"/>
            </w:tcBorders>
            <w:shd w:val="clear" w:color="auto" w:fill="auto"/>
            <w:hideMark/>
          </w:tcPr>
          <w:p w14:paraId="48B465D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55" w:type="dxa"/>
            <w:tcBorders>
              <w:top w:val="nil"/>
              <w:left w:val="nil"/>
              <w:bottom w:val="single" w:sz="4" w:space="0" w:color="auto"/>
              <w:right w:val="single" w:sz="4" w:space="0" w:color="auto"/>
            </w:tcBorders>
            <w:shd w:val="clear" w:color="auto" w:fill="auto"/>
            <w:hideMark/>
          </w:tcPr>
          <w:p w14:paraId="4BB38B3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54" w:type="dxa"/>
            <w:tcBorders>
              <w:top w:val="nil"/>
              <w:left w:val="nil"/>
              <w:bottom w:val="single" w:sz="4" w:space="0" w:color="auto"/>
              <w:right w:val="single" w:sz="4" w:space="0" w:color="auto"/>
            </w:tcBorders>
            <w:shd w:val="clear" w:color="auto" w:fill="auto"/>
            <w:hideMark/>
          </w:tcPr>
          <w:p w14:paraId="41F15FB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63F14D3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3B2CF6A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46FE2D5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201D6A6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23887D9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4646C0D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2361517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969" w:type="dxa"/>
            <w:tcBorders>
              <w:top w:val="nil"/>
              <w:left w:val="nil"/>
              <w:bottom w:val="single" w:sz="4" w:space="0" w:color="auto"/>
              <w:right w:val="single" w:sz="4" w:space="0" w:color="auto"/>
            </w:tcBorders>
            <w:shd w:val="clear" w:color="auto" w:fill="auto"/>
            <w:hideMark/>
          </w:tcPr>
          <w:p w14:paraId="677F667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c>
          <w:tcPr>
            <w:tcW w:w="1238" w:type="dxa"/>
            <w:tcBorders>
              <w:top w:val="nil"/>
              <w:left w:val="nil"/>
              <w:bottom w:val="single" w:sz="4" w:space="0" w:color="auto"/>
              <w:right w:val="single" w:sz="8" w:space="0" w:color="auto"/>
            </w:tcBorders>
            <w:shd w:val="clear" w:color="auto" w:fill="auto"/>
            <w:hideMark/>
          </w:tcPr>
          <w:p w14:paraId="1D8B0FC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 </w:t>
            </w:r>
          </w:p>
        </w:tc>
      </w:tr>
      <w:tr w:rsidR="005B6AF9" w:rsidRPr="00680E37" w14:paraId="239C91FD" w14:textId="77777777" w:rsidTr="00680E37">
        <w:trPr>
          <w:trHeight w:val="161"/>
        </w:trPr>
        <w:tc>
          <w:tcPr>
            <w:tcW w:w="506" w:type="dxa"/>
            <w:vMerge/>
            <w:tcBorders>
              <w:top w:val="nil"/>
              <w:left w:val="single" w:sz="8" w:space="0" w:color="auto"/>
              <w:bottom w:val="single" w:sz="8" w:space="0" w:color="000000"/>
              <w:right w:val="single" w:sz="4" w:space="0" w:color="auto"/>
            </w:tcBorders>
            <w:vAlign w:val="center"/>
            <w:hideMark/>
          </w:tcPr>
          <w:p w14:paraId="6F6FF14C"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445" w:type="dxa"/>
            <w:tcBorders>
              <w:top w:val="nil"/>
              <w:left w:val="nil"/>
              <w:bottom w:val="single" w:sz="8" w:space="0" w:color="auto"/>
              <w:right w:val="single" w:sz="4" w:space="0" w:color="auto"/>
            </w:tcBorders>
            <w:shd w:val="clear" w:color="auto" w:fill="auto"/>
            <w:hideMark/>
          </w:tcPr>
          <w:p w14:paraId="3488DCE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w:t>
            </w:r>
          </w:p>
        </w:tc>
        <w:tc>
          <w:tcPr>
            <w:tcW w:w="1829" w:type="dxa"/>
            <w:tcBorders>
              <w:top w:val="nil"/>
              <w:left w:val="nil"/>
              <w:bottom w:val="single" w:sz="8" w:space="0" w:color="auto"/>
              <w:right w:val="single" w:sz="4" w:space="0" w:color="auto"/>
            </w:tcBorders>
            <w:shd w:val="clear" w:color="auto" w:fill="auto"/>
            <w:hideMark/>
          </w:tcPr>
          <w:p w14:paraId="018E8FB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Турксибский</w:t>
            </w:r>
          </w:p>
        </w:tc>
        <w:tc>
          <w:tcPr>
            <w:tcW w:w="780" w:type="dxa"/>
            <w:tcBorders>
              <w:top w:val="nil"/>
              <w:left w:val="nil"/>
              <w:bottom w:val="single" w:sz="8" w:space="0" w:color="auto"/>
              <w:right w:val="single" w:sz="4" w:space="0" w:color="auto"/>
            </w:tcBorders>
            <w:shd w:val="clear" w:color="auto" w:fill="auto"/>
            <w:hideMark/>
          </w:tcPr>
          <w:p w14:paraId="552C092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1 292</w:t>
            </w:r>
          </w:p>
        </w:tc>
        <w:tc>
          <w:tcPr>
            <w:tcW w:w="955" w:type="dxa"/>
            <w:tcBorders>
              <w:top w:val="nil"/>
              <w:left w:val="nil"/>
              <w:bottom w:val="single" w:sz="8" w:space="0" w:color="auto"/>
              <w:right w:val="single" w:sz="4" w:space="0" w:color="auto"/>
            </w:tcBorders>
            <w:shd w:val="clear" w:color="auto" w:fill="auto"/>
            <w:hideMark/>
          </w:tcPr>
          <w:p w14:paraId="1567839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6 156</w:t>
            </w:r>
          </w:p>
        </w:tc>
        <w:tc>
          <w:tcPr>
            <w:tcW w:w="954" w:type="dxa"/>
            <w:tcBorders>
              <w:top w:val="nil"/>
              <w:left w:val="nil"/>
              <w:bottom w:val="single" w:sz="8" w:space="0" w:color="auto"/>
              <w:right w:val="single" w:sz="4" w:space="0" w:color="auto"/>
            </w:tcBorders>
            <w:shd w:val="clear" w:color="auto" w:fill="auto"/>
            <w:hideMark/>
          </w:tcPr>
          <w:p w14:paraId="3F312C0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7 742</w:t>
            </w:r>
          </w:p>
        </w:tc>
        <w:tc>
          <w:tcPr>
            <w:tcW w:w="969" w:type="dxa"/>
            <w:tcBorders>
              <w:top w:val="nil"/>
              <w:left w:val="nil"/>
              <w:bottom w:val="single" w:sz="8" w:space="0" w:color="auto"/>
              <w:right w:val="single" w:sz="4" w:space="0" w:color="auto"/>
            </w:tcBorders>
            <w:shd w:val="clear" w:color="auto" w:fill="auto"/>
            <w:hideMark/>
          </w:tcPr>
          <w:p w14:paraId="5C72C40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6 743</w:t>
            </w:r>
          </w:p>
        </w:tc>
        <w:tc>
          <w:tcPr>
            <w:tcW w:w="969" w:type="dxa"/>
            <w:tcBorders>
              <w:top w:val="nil"/>
              <w:left w:val="nil"/>
              <w:bottom w:val="single" w:sz="8" w:space="0" w:color="auto"/>
              <w:right w:val="single" w:sz="4" w:space="0" w:color="auto"/>
            </w:tcBorders>
            <w:shd w:val="clear" w:color="auto" w:fill="auto"/>
            <w:hideMark/>
          </w:tcPr>
          <w:p w14:paraId="39D76FA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5 159</w:t>
            </w:r>
          </w:p>
        </w:tc>
        <w:tc>
          <w:tcPr>
            <w:tcW w:w="969" w:type="dxa"/>
            <w:tcBorders>
              <w:top w:val="nil"/>
              <w:left w:val="nil"/>
              <w:bottom w:val="single" w:sz="8" w:space="0" w:color="auto"/>
              <w:right w:val="single" w:sz="4" w:space="0" w:color="auto"/>
            </w:tcBorders>
            <w:shd w:val="clear" w:color="auto" w:fill="auto"/>
            <w:hideMark/>
          </w:tcPr>
          <w:p w14:paraId="18E3201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2 622</w:t>
            </w:r>
          </w:p>
        </w:tc>
        <w:tc>
          <w:tcPr>
            <w:tcW w:w="969" w:type="dxa"/>
            <w:tcBorders>
              <w:top w:val="nil"/>
              <w:left w:val="nil"/>
              <w:bottom w:val="single" w:sz="8" w:space="0" w:color="auto"/>
              <w:right w:val="single" w:sz="4" w:space="0" w:color="auto"/>
            </w:tcBorders>
            <w:shd w:val="clear" w:color="auto" w:fill="auto"/>
            <w:hideMark/>
          </w:tcPr>
          <w:p w14:paraId="5C53556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15 940</w:t>
            </w:r>
          </w:p>
        </w:tc>
        <w:tc>
          <w:tcPr>
            <w:tcW w:w="969" w:type="dxa"/>
            <w:tcBorders>
              <w:top w:val="nil"/>
              <w:left w:val="nil"/>
              <w:bottom w:val="single" w:sz="8" w:space="0" w:color="auto"/>
              <w:right w:val="single" w:sz="4" w:space="0" w:color="auto"/>
            </w:tcBorders>
            <w:shd w:val="clear" w:color="auto" w:fill="auto"/>
            <w:hideMark/>
          </w:tcPr>
          <w:p w14:paraId="03FFD64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15 510</w:t>
            </w:r>
          </w:p>
        </w:tc>
        <w:tc>
          <w:tcPr>
            <w:tcW w:w="969" w:type="dxa"/>
            <w:tcBorders>
              <w:top w:val="nil"/>
              <w:left w:val="nil"/>
              <w:bottom w:val="single" w:sz="8" w:space="0" w:color="auto"/>
              <w:right w:val="single" w:sz="4" w:space="0" w:color="auto"/>
            </w:tcBorders>
            <w:shd w:val="clear" w:color="auto" w:fill="auto"/>
            <w:hideMark/>
          </w:tcPr>
          <w:p w14:paraId="08CBA8A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11 711</w:t>
            </w:r>
          </w:p>
        </w:tc>
        <w:tc>
          <w:tcPr>
            <w:tcW w:w="969" w:type="dxa"/>
            <w:tcBorders>
              <w:top w:val="nil"/>
              <w:left w:val="nil"/>
              <w:bottom w:val="single" w:sz="8" w:space="0" w:color="auto"/>
              <w:right w:val="single" w:sz="4" w:space="0" w:color="auto"/>
            </w:tcBorders>
            <w:shd w:val="clear" w:color="auto" w:fill="auto"/>
            <w:hideMark/>
          </w:tcPr>
          <w:p w14:paraId="0810C54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11 117</w:t>
            </w:r>
          </w:p>
        </w:tc>
        <w:tc>
          <w:tcPr>
            <w:tcW w:w="969" w:type="dxa"/>
            <w:tcBorders>
              <w:top w:val="nil"/>
              <w:left w:val="nil"/>
              <w:bottom w:val="single" w:sz="8" w:space="0" w:color="auto"/>
              <w:right w:val="single" w:sz="4" w:space="0" w:color="auto"/>
            </w:tcBorders>
            <w:shd w:val="clear" w:color="auto" w:fill="auto"/>
            <w:hideMark/>
          </w:tcPr>
          <w:p w14:paraId="066C6B9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6 239</w:t>
            </w:r>
          </w:p>
        </w:tc>
        <w:tc>
          <w:tcPr>
            <w:tcW w:w="1238" w:type="dxa"/>
            <w:tcBorders>
              <w:top w:val="nil"/>
              <w:left w:val="nil"/>
              <w:bottom w:val="single" w:sz="8" w:space="0" w:color="auto"/>
              <w:right w:val="single" w:sz="8" w:space="0" w:color="auto"/>
            </w:tcBorders>
            <w:shd w:val="clear" w:color="auto" w:fill="auto"/>
            <w:hideMark/>
          </w:tcPr>
          <w:p w14:paraId="086847F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3 341</w:t>
            </w:r>
          </w:p>
        </w:tc>
      </w:tr>
    </w:tbl>
    <w:p w14:paraId="23C6FB9E" w14:textId="77777777" w:rsidR="00680E37" w:rsidRDefault="00680E37"/>
    <w:p w14:paraId="29B72D48" w14:textId="44885B1A" w:rsidR="00680E37" w:rsidRDefault="00680E37" w:rsidP="00680E3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Продолжение таблицы А2</w:t>
      </w:r>
    </w:p>
    <w:p w14:paraId="6281D437" w14:textId="77777777" w:rsidR="00680E37" w:rsidRDefault="00680E37"/>
    <w:tbl>
      <w:tblPr>
        <w:tblW w:w="14459" w:type="dxa"/>
        <w:tblInd w:w="-10" w:type="dxa"/>
        <w:tblLook w:val="04A0" w:firstRow="1" w:lastRow="0" w:firstColumn="1" w:lastColumn="0" w:noHBand="0" w:noVBand="1"/>
      </w:tblPr>
      <w:tblGrid>
        <w:gridCol w:w="567"/>
        <w:gridCol w:w="384"/>
        <w:gridCol w:w="1829"/>
        <w:gridCol w:w="780"/>
        <w:gridCol w:w="955"/>
        <w:gridCol w:w="954"/>
        <w:gridCol w:w="969"/>
        <w:gridCol w:w="969"/>
        <w:gridCol w:w="969"/>
        <w:gridCol w:w="969"/>
        <w:gridCol w:w="969"/>
        <w:gridCol w:w="969"/>
        <w:gridCol w:w="969"/>
        <w:gridCol w:w="969"/>
        <w:gridCol w:w="1238"/>
      </w:tblGrid>
      <w:tr w:rsidR="005B6AF9" w:rsidRPr="00680E37" w14:paraId="0018DDAF" w14:textId="77777777" w:rsidTr="00680E37">
        <w:trPr>
          <w:trHeight w:val="352"/>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48995B8B" w14:textId="77777777" w:rsidR="005B6AF9" w:rsidRPr="00680E37" w:rsidRDefault="005B6AF9" w:rsidP="004135FE">
            <w:pPr>
              <w:spacing w:after="0" w:line="240" w:lineRule="auto"/>
              <w:jc w:val="center"/>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2015</w:t>
            </w:r>
          </w:p>
        </w:tc>
        <w:tc>
          <w:tcPr>
            <w:tcW w:w="384" w:type="dxa"/>
            <w:tcBorders>
              <w:top w:val="single" w:sz="4" w:space="0" w:color="auto"/>
              <w:left w:val="nil"/>
              <w:bottom w:val="single" w:sz="4" w:space="0" w:color="auto"/>
              <w:right w:val="single" w:sz="4" w:space="0" w:color="auto"/>
            </w:tcBorders>
            <w:shd w:val="clear" w:color="auto" w:fill="auto"/>
            <w:hideMark/>
          </w:tcPr>
          <w:p w14:paraId="3E59CC0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w:t>
            </w:r>
          </w:p>
        </w:tc>
        <w:tc>
          <w:tcPr>
            <w:tcW w:w="1829" w:type="dxa"/>
            <w:tcBorders>
              <w:top w:val="single" w:sz="4" w:space="0" w:color="auto"/>
              <w:left w:val="nil"/>
              <w:bottom w:val="single" w:sz="4" w:space="0" w:color="auto"/>
              <w:right w:val="single" w:sz="4" w:space="0" w:color="auto"/>
            </w:tcBorders>
            <w:shd w:val="clear" w:color="auto" w:fill="auto"/>
            <w:hideMark/>
          </w:tcPr>
          <w:p w14:paraId="15F4C49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Алмалинский</w:t>
            </w:r>
          </w:p>
        </w:tc>
        <w:tc>
          <w:tcPr>
            <w:tcW w:w="780" w:type="dxa"/>
            <w:tcBorders>
              <w:top w:val="single" w:sz="4" w:space="0" w:color="auto"/>
              <w:left w:val="nil"/>
              <w:bottom w:val="single" w:sz="4" w:space="0" w:color="auto"/>
              <w:right w:val="single" w:sz="4" w:space="0" w:color="auto"/>
            </w:tcBorders>
            <w:shd w:val="clear" w:color="auto" w:fill="auto"/>
            <w:hideMark/>
          </w:tcPr>
          <w:p w14:paraId="6A25C5F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1 750</w:t>
            </w:r>
          </w:p>
        </w:tc>
        <w:tc>
          <w:tcPr>
            <w:tcW w:w="955" w:type="dxa"/>
            <w:tcBorders>
              <w:top w:val="single" w:sz="4" w:space="0" w:color="auto"/>
              <w:left w:val="nil"/>
              <w:bottom w:val="single" w:sz="4" w:space="0" w:color="auto"/>
              <w:right w:val="single" w:sz="4" w:space="0" w:color="auto"/>
            </w:tcBorders>
            <w:shd w:val="clear" w:color="auto" w:fill="auto"/>
            <w:hideMark/>
          </w:tcPr>
          <w:p w14:paraId="4628860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8 309</w:t>
            </w:r>
          </w:p>
        </w:tc>
        <w:tc>
          <w:tcPr>
            <w:tcW w:w="954" w:type="dxa"/>
            <w:tcBorders>
              <w:top w:val="single" w:sz="4" w:space="0" w:color="auto"/>
              <w:left w:val="nil"/>
              <w:bottom w:val="single" w:sz="4" w:space="0" w:color="auto"/>
              <w:right w:val="single" w:sz="4" w:space="0" w:color="auto"/>
            </w:tcBorders>
            <w:shd w:val="clear" w:color="auto" w:fill="auto"/>
            <w:hideMark/>
          </w:tcPr>
          <w:p w14:paraId="1BAA603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9 157</w:t>
            </w:r>
          </w:p>
        </w:tc>
        <w:tc>
          <w:tcPr>
            <w:tcW w:w="969" w:type="dxa"/>
            <w:tcBorders>
              <w:top w:val="single" w:sz="4" w:space="0" w:color="auto"/>
              <w:left w:val="nil"/>
              <w:bottom w:val="single" w:sz="4" w:space="0" w:color="auto"/>
              <w:right w:val="single" w:sz="4" w:space="0" w:color="auto"/>
            </w:tcBorders>
            <w:shd w:val="clear" w:color="auto" w:fill="auto"/>
            <w:hideMark/>
          </w:tcPr>
          <w:p w14:paraId="723A9F4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6 215</w:t>
            </w:r>
          </w:p>
        </w:tc>
        <w:tc>
          <w:tcPr>
            <w:tcW w:w="969" w:type="dxa"/>
            <w:tcBorders>
              <w:top w:val="single" w:sz="4" w:space="0" w:color="auto"/>
              <w:left w:val="nil"/>
              <w:bottom w:val="single" w:sz="4" w:space="0" w:color="auto"/>
              <w:right w:val="single" w:sz="4" w:space="0" w:color="auto"/>
            </w:tcBorders>
            <w:shd w:val="clear" w:color="auto" w:fill="auto"/>
            <w:hideMark/>
          </w:tcPr>
          <w:p w14:paraId="4DFD83E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4 300</w:t>
            </w:r>
          </w:p>
        </w:tc>
        <w:tc>
          <w:tcPr>
            <w:tcW w:w="969" w:type="dxa"/>
            <w:tcBorders>
              <w:top w:val="single" w:sz="4" w:space="0" w:color="auto"/>
              <w:left w:val="nil"/>
              <w:bottom w:val="single" w:sz="4" w:space="0" w:color="auto"/>
              <w:right w:val="single" w:sz="4" w:space="0" w:color="auto"/>
            </w:tcBorders>
            <w:shd w:val="clear" w:color="auto" w:fill="auto"/>
            <w:hideMark/>
          </w:tcPr>
          <w:p w14:paraId="11BAA47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4 845</w:t>
            </w:r>
          </w:p>
        </w:tc>
        <w:tc>
          <w:tcPr>
            <w:tcW w:w="969" w:type="dxa"/>
            <w:tcBorders>
              <w:top w:val="single" w:sz="4" w:space="0" w:color="auto"/>
              <w:left w:val="nil"/>
              <w:bottom w:val="single" w:sz="4" w:space="0" w:color="auto"/>
              <w:right w:val="single" w:sz="4" w:space="0" w:color="auto"/>
            </w:tcBorders>
            <w:shd w:val="clear" w:color="auto" w:fill="auto"/>
            <w:hideMark/>
          </w:tcPr>
          <w:p w14:paraId="404437C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18 403</w:t>
            </w:r>
          </w:p>
        </w:tc>
        <w:tc>
          <w:tcPr>
            <w:tcW w:w="969" w:type="dxa"/>
            <w:tcBorders>
              <w:top w:val="single" w:sz="4" w:space="0" w:color="auto"/>
              <w:left w:val="nil"/>
              <w:bottom w:val="single" w:sz="4" w:space="0" w:color="auto"/>
              <w:right w:val="single" w:sz="4" w:space="0" w:color="auto"/>
            </w:tcBorders>
            <w:shd w:val="clear" w:color="auto" w:fill="auto"/>
            <w:hideMark/>
          </w:tcPr>
          <w:p w14:paraId="141BCEB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15 001</w:t>
            </w:r>
          </w:p>
        </w:tc>
        <w:tc>
          <w:tcPr>
            <w:tcW w:w="969" w:type="dxa"/>
            <w:tcBorders>
              <w:top w:val="single" w:sz="4" w:space="0" w:color="auto"/>
              <w:left w:val="nil"/>
              <w:bottom w:val="single" w:sz="4" w:space="0" w:color="auto"/>
              <w:right w:val="single" w:sz="4" w:space="0" w:color="auto"/>
            </w:tcBorders>
            <w:shd w:val="clear" w:color="auto" w:fill="auto"/>
            <w:hideMark/>
          </w:tcPr>
          <w:p w14:paraId="09D70A8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12 469</w:t>
            </w:r>
          </w:p>
        </w:tc>
        <w:tc>
          <w:tcPr>
            <w:tcW w:w="969" w:type="dxa"/>
            <w:tcBorders>
              <w:top w:val="single" w:sz="4" w:space="0" w:color="auto"/>
              <w:left w:val="nil"/>
              <w:bottom w:val="single" w:sz="4" w:space="0" w:color="auto"/>
              <w:right w:val="single" w:sz="4" w:space="0" w:color="auto"/>
            </w:tcBorders>
            <w:shd w:val="clear" w:color="auto" w:fill="auto"/>
            <w:hideMark/>
          </w:tcPr>
          <w:p w14:paraId="19BB4C5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11 008</w:t>
            </w:r>
          </w:p>
        </w:tc>
        <w:tc>
          <w:tcPr>
            <w:tcW w:w="969" w:type="dxa"/>
            <w:tcBorders>
              <w:top w:val="single" w:sz="4" w:space="0" w:color="auto"/>
              <w:left w:val="nil"/>
              <w:bottom w:val="single" w:sz="4" w:space="0" w:color="auto"/>
              <w:right w:val="single" w:sz="4" w:space="0" w:color="auto"/>
            </w:tcBorders>
            <w:shd w:val="clear" w:color="auto" w:fill="auto"/>
            <w:hideMark/>
          </w:tcPr>
          <w:p w14:paraId="416C45A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8 052</w:t>
            </w:r>
          </w:p>
        </w:tc>
        <w:tc>
          <w:tcPr>
            <w:tcW w:w="1238" w:type="dxa"/>
            <w:tcBorders>
              <w:top w:val="single" w:sz="4" w:space="0" w:color="auto"/>
              <w:left w:val="nil"/>
              <w:bottom w:val="single" w:sz="4" w:space="0" w:color="auto"/>
              <w:right w:val="single" w:sz="4" w:space="0" w:color="auto"/>
            </w:tcBorders>
            <w:shd w:val="clear" w:color="auto" w:fill="auto"/>
            <w:hideMark/>
          </w:tcPr>
          <w:p w14:paraId="71B9CDC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5 423</w:t>
            </w:r>
          </w:p>
        </w:tc>
      </w:tr>
      <w:tr w:rsidR="005B6AF9" w:rsidRPr="00680E37" w14:paraId="06290218" w14:textId="77777777" w:rsidTr="00680E37">
        <w:trPr>
          <w:trHeight w:val="244"/>
        </w:trPr>
        <w:tc>
          <w:tcPr>
            <w:tcW w:w="567" w:type="dxa"/>
            <w:vMerge/>
            <w:tcBorders>
              <w:top w:val="single" w:sz="4" w:space="0" w:color="auto"/>
              <w:left w:val="single" w:sz="8" w:space="0" w:color="auto"/>
              <w:bottom w:val="single" w:sz="8" w:space="0" w:color="000000"/>
              <w:right w:val="single" w:sz="4" w:space="0" w:color="auto"/>
            </w:tcBorders>
            <w:vAlign w:val="center"/>
            <w:hideMark/>
          </w:tcPr>
          <w:p w14:paraId="54FD3CA5"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single" w:sz="4" w:space="0" w:color="auto"/>
              <w:left w:val="nil"/>
              <w:bottom w:val="single" w:sz="4" w:space="0" w:color="auto"/>
              <w:right w:val="single" w:sz="4" w:space="0" w:color="auto"/>
            </w:tcBorders>
            <w:shd w:val="clear" w:color="auto" w:fill="auto"/>
            <w:hideMark/>
          </w:tcPr>
          <w:p w14:paraId="120C570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w:t>
            </w:r>
          </w:p>
        </w:tc>
        <w:tc>
          <w:tcPr>
            <w:tcW w:w="1829" w:type="dxa"/>
            <w:tcBorders>
              <w:top w:val="single" w:sz="4" w:space="0" w:color="auto"/>
              <w:left w:val="nil"/>
              <w:bottom w:val="single" w:sz="4" w:space="0" w:color="auto"/>
              <w:right w:val="single" w:sz="4" w:space="0" w:color="auto"/>
            </w:tcBorders>
            <w:shd w:val="clear" w:color="auto" w:fill="auto"/>
            <w:hideMark/>
          </w:tcPr>
          <w:p w14:paraId="7E730A1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Алатауский</w:t>
            </w:r>
          </w:p>
        </w:tc>
        <w:tc>
          <w:tcPr>
            <w:tcW w:w="780" w:type="dxa"/>
            <w:tcBorders>
              <w:top w:val="single" w:sz="4" w:space="0" w:color="auto"/>
              <w:left w:val="nil"/>
              <w:bottom w:val="single" w:sz="4" w:space="0" w:color="auto"/>
              <w:right w:val="single" w:sz="4" w:space="0" w:color="auto"/>
            </w:tcBorders>
            <w:shd w:val="clear" w:color="auto" w:fill="auto"/>
            <w:hideMark/>
          </w:tcPr>
          <w:p w14:paraId="1E572C2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2 731</w:t>
            </w:r>
          </w:p>
        </w:tc>
        <w:tc>
          <w:tcPr>
            <w:tcW w:w="955" w:type="dxa"/>
            <w:tcBorders>
              <w:top w:val="single" w:sz="4" w:space="0" w:color="auto"/>
              <w:left w:val="nil"/>
              <w:bottom w:val="single" w:sz="4" w:space="0" w:color="auto"/>
              <w:right w:val="single" w:sz="4" w:space="0" w:color="auto"/>
            </w:tcBorders>
            <w:shd w:val="clear" w:color="auto" w:fill="auto"/>
            <w:hideMark/>
          </w:tcPr>
          <w:p w14:paraId="1145FB0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10 379</w:t>
            </w:r>
          </w:p>
        </w:tc>
        <w:tc>
          <w:tcPr>
            <w:tcW w:w="954" w:type="dxa"/>
            <w:tcBorders>
              <w:top w:val="single" w:sz="4" w:space="0" w:color="auto"/>
              <w:left w:val="nil"/>
              <w:bottom w:val="single" w:sz="4" w:space="0" w:color="auto"/>
              <w:right w:val="single" w:sz="4" w:space="0" w:color="auto"/>
            </w:tcBorders>
            <w:shd w:val="clear" w:color="auto" w:fill="auto"/>
            <w:hideMark/>
          </w:tcPr>
          <w:p w14:paraId="44BC4F7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10 470</w:t>
            </w:r>
          </w:p>
        </w:tc>
        <w:tc>
          <w:tcPr>
            <w:tcW w:w="969" w:type="dxa"/>
            <w:tcBorders>
              <w:top w:val="single" w:sz="4" w:space="0" w:color="auto"/>
              <w:left w:val="nil"/>
              <w:bottom w:val="single" w:sz="4" w:space="0" w:color="auto"/>
              <w:right w:val="single" w:sz="4" w:space="0" w:color="auto"/>
            </w:tcBorders>
            <w:shd w:val="clear" w:color="auto" w:fill="auto"/>
            <w:hideMark/>
          </w:tcPr>
          <w:p w14:paraId="0740DE0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7 489</w:t>
            </w:r>
          </w:p>
        </w:tc>
        <w:tc>
          <w:tcPr>
            <w:tcW w:w="969" w:type="dxa"/>
            <w:tcBorders>
              <w:top w:val="single" w:sz="4" w:space="0" w:color="auto"/>
              <w:left w:val="nil"/>
              <w:bottom w:val="single" w:sz="4" w:space="0" w:color="auto"/>
              <w:right w:val="single" w:sz="4" w:space="0" w:color="auto"/>
            </w:tcBorders>
            <w:shd w:val="clear" w:color="auto" w:fill="auto"/>
            <w:hideMark/>
          </w:tcPr>
          <w:p w14:paraId="5E93421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3 228</w:t>
            </w:r>
          </w:p>
        </w:tc>
        <w:tc>
          <w:tcPr>
            <w:tcW w:w="969" w:type="dxa"/>
            <w:tcBorders>
              <w:top w:val="single" w:sz="4" w:space="0" w:color="auto"/>
              <w:left w:val="nil"/>
              <w:bottom w:val="single" w:sz="4" w:space="0" w:color="auto"/>
              <w:right w:val="single" w:sz="4" w:space="0" w:color="auto"/>
            </w:tcBorders>
            <w:shd w:val="clear" w:color="auto" w:fill="auto"/>
            <w:hideMark/>
          </w:tcPr>
          <w:p w14:paraId="525B03A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1 524</w:t>
            </w:r>
          </w:p>
        </w:tc>
        <w:tc>
          <w:tcPr>
            <w:tcW w:w="969" w:type="dxa"/>
            <w:tcBorders>
              <w:top w:val="single" w:sz="4" w:space="0" w:color="auto"/>
              <w:left w:val="nil"/>
              <w:bottom w:val="single" w:sz="4" w:space="0" w:color="auto"/>
              <w:right w:val="single" w:sz="4" w:space="0" w:color="auto"/>
            </w:tcBorders>
            <w:shd w:val="clear" w:color="auto" w:fill="auto"/>
            <w:hideMark/>
          </w:tcPr>
          <w:p w14:paraId="08A830A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12 612</w:t>
            </w:r>
          </w:p>
        </w:tc>
        <w:tc>
          <w:tcPr>
            <w:tcW w:w="969" w:type="dxa"/>
            <w:tcBorders>
              <w:top w:val="single" w:sz="4" w:space="0" w:color="auto"/>
              <w:left w:val="nil"/>
              <w:bottom w:val="single" w:sz="4" w:space="0" w:color="auto"/>
              <w:right w:val="single" w:sz="4" w:space="0" w:color="auto"/>
            </w:tcBorders>
            <w:shd w:val="clear" w:color="auto" w:fill="auto"/>
            <w:hideMark/>
          </w:tcPr>
          <w:p w14:paraId="3760453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13 100</w:t>
            </w:r>
          </w:p>
        </w:tc>
        <w:tc>
          <w:tcPr>
            <w:tcW w:w="969" w:type="dxa"/>
            <w:tcBorders>
              <w:top w:val="single" w:sz="4" w:space="0" w:color="auto"/>
              <w:left w:val="nil"/>
              <w:bottom w:val="single" w:sz="4" w:space="0" w:color="auto"/>
              <w:right w:val="single" w:sz="4" w:space="0" w:color="auto"/>
            </w:tcBorders>
            <w:shd w:val="clear" w:color="auto" w:fill="auto"/>
            <w:hideMark/>
          </w:tcPr>
          <w:p w14:paraId="034C768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9 615</w:t>
            </w:r>
          </w:p>
        </w:tc>
        <w:tc>
          <w:tcPr>
            <w:tcW w:w="969" w:type="dxa"/>
            <w:tcBorders>
              <w:top w:val="single" w:sz="4" w:space="0" w:color="auto"/>
              <w:left w:val="nil"/>
              <w:bottom w:val="single" w:sz="4" w:space="0" w:color="auto"/>
              <w:right w:val="single" w:sz="4" w:space="0" w:color="auto"/>
            </w:tcBorders>
            <w:shd w:val="clear" w:color="auto" w:fill="auto"/>
            <w:hideMark/>
          </w:tcPr>
          <w:p w14:paraId="276BABD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7 240</w:t>
            </w:r>
          </w:p>
        </w:tc>
        <w:tc>
          <w:tcPr>
            <w:tcW w:w="969" w:type="dxa"/>
            <w:tcBorders>
              <w:top w:val="single" w:sz="4" w:space="0" w:color="auto"/>
              <w:left w:val="nil"/>
              <w:bottom w:val="single" w:sz="4" w:space="0" w:color="auto"/>
              <w:right w:val="single" w:sz="4" w:space="0" w:color="auto"/>
            </w:tcBorders>
            <w:shd w:val="clear" w:color="auto" w:fill="auto"/>
            <w:hideMark/>
          </w:tcPr>
          <w:p w14:paraId="68AC946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3 328</w:t>
            </w:r>
          </w:p>
        </w:tc>
        <w:tc>
          <w:tcPr>
            <w:tcW w:w="1238" w:type="dxa"/>
            <w:tcBorders>
              <w:top w:val="single" w:sz="4" w:space="0" w:color="auto"/>
              <w:left w:val="nil"/>
              <w:bottom w:val="single" w:sz="4" w:space="0" w:color="auto"/>
              <w:right w:val="single" w:sz="8" w:space="0" w:color="auto"/>
            </w:tcBorders>
            <w:shd w:val="clear" w:color="auto" w:fill="auto"/>
            <w:hideMark/>
          </w:tcPr>
          <w:p w14:paraId="3FC510F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1 659</w:t>
            </w:r>
          </w:p>
        </w:tc>
      </w:tr>
      <w:tr w:rsidR="005B6AF9" w:rsidRPr="00680E37" w14:paraId="0FBE37FB" w14:textId="77777777" w:rsidTr="00680E37">
        <w:trPr>
          <w:trHeight w:val="149"/>
        </w:trPr>
        <w:tc>
          <w:tcPr>
            <w:tcW w:w="567" w:type="dxa"/>
            <w:vMerge/>
            <w:tcBorders>
              <w:top w:val="nil"/>
              <w:left w:val="single" w:sz="8" w:space="0" w:color="auto"/>
              <w:bottom w:val="single" w:sz="8" w:space="0" w:color="000000"/>
              <w:right w:val="single" w:sz="4" w:space="0" w:color="auto"/>
            </w:tcBorders>
            <w:vAlign w:val="center"/>
            <w:hideMark/>
          </w:tcPr>
          <w:p w14:paraId="6E41F9D4"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741A332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w:t>
            </w:r>
          </w:p>
        </w:tc>
        <w:tc>
          <w:tcPr>
            <w:tcW w:w="1829" w:type="dxa"/>
            <w:tcBorders>
              <w:top w:val="nil"/>
              <w:left w:val="nil"/>
              <w:bottom w:val="single" w:sz="4" w:space="0" w:color="auto"/>
              <w:right w:val="single" w:sz="4" w:space="0" w:color="auto"/>
            </w:tcBorders>
            <w:shd w:val="clear" w:color="auto" w:fill="auto"/>
            <w:hideMark/>
          </w:tcPr>
          <w:p w14:paraId="2C2A144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Ауэзовский</w:t>
            </w:r>
          </w:p>
        </w:tc>
        <w:tc>
          <w:tcPr>
            <w:tcW w:w="780" w:type="dxa"/>
            <w:tcBorders>
              <w:top w:val="nil"/>
              <w:left w:val="nil"/>
              <w:bottom w:val="single" w:sz="4" w:space="0" w:color="auto"/>
              <w:right w:val="single" w:sz="4" w:space="0" w:color="auto"/>
            </w:tcBorders>
            <w:shd w:val="clear" w:color="auto" w:fill="auto"/>
            <w:hideMark/>
          </w:tcPr>
          <w:p w14:paraId="6557991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3 180</w:t>
            </w:r>
          </w:p>
        </w:tc>
        <w:tc>
          <w:tcPr>
            <w:tcW w:w="955" w:type="dxa"/>
            <w:tcBorders>
              <w:top w:val="nil"/>
              <w:left w:val="nil"/>
              <w:bottom w:val="single" w:sz="4" w:space="0" w:color="auto"/>
              <w:right w:val="single" w:sz="4" w:space="0" w:color="auto"/>
            </w:tcBorders>
            <w:shd w:val="clear" w:color="auto" w:fill="auto"/>
            <w:hideMark/>
          </w:tcPr>
          <w:p w14:paraId="6C97F56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12 542</w:t>
            </w:r>
          </w:p>
        </w:tc>
        <w:tc>
          <w:tcPr>
            <w:tcW w:w="954" w:type="dxa"/>
            <w:tcBorders>
              <w:top w:val="nil"/>
              <w:left w:val="nil"/>
              <w:bottom w:val="single" w:sz="4" w:space="0" w:color="auto"/>
              <w:right w:val="single" w:sz="4" w:space="0" w:color="auto"/>
            </w:tcBorders>
            <w:shd w:val="clear" w:color="auto" w:fill="auto"/>
            <w:hideMark/>
          </w:tcPr>
          <w:p w14:paraId="1CAE03D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12 999</w:t>
            </w:r>
          </w:p>
        </w:tc>
        <w:tc>
          <w:tcPr>
            <w:tcW w:w="969" w:type="dxa"/>
            <w:tcBorders>
              <w:top w:val="nil"/>
              <w:left w:val="nil"/>
              <w:bottom w:val="single" w:sz="4" w:space="0" w:color="auto"/>
              <w:right w:val="single" w:sz="4" w:space="0" w:color="auto"/>
            </w:tcBorders>
            <w:shd w:val="clear" w:color="auto" w:fill="auto"/>
            <w:hideMark/>
          </w:tcPr>
          <w:p w14:paraId="5AD5914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8 934</w:t>
            </w:r>
          </w:p>
        </w:tc>
        <w:tc>
          <w:tcPr>
            <w:tcW w:w="969" w:type="dxa"/>
            <w:tcBorders>
              <w:top w:val="nil"/>
              <w:left w:val="nil"/>
              <w:bottom w:val="single" w:sz="4" w:space="0" w:color="auto"/>
              <w:right w:val="single" w:sz="4" w:space="0" w:color="auto"/>
            </w:tcBorders>
            <w:shd w:val="clear" w:color="auto" w:fill="auto"/>
            <w:hideMark/>
          </w:tcPr>
          <w:p w14:paraId="4E33A35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4 469</w:t>
            </w:r>
          </w:p>
        </w:tc>
        <w:tc>
          <w:tcPr>
            <w:tcW w:w="969" w:type="dxa"/>
            <w:tcBorders>
              <w:top w:val="nil"/>
              <w:left w:val="nil"/>
              <w:bottom w:val="single" w:sz="4" w:space="0" w:color="auto"/>
              <w:right w:val="single" w:sz="4" w:space="0" w:color="auto"/>
            </w:tcBorders>
            <w:shd w:val="clear" w:color="auto" w:fill="auto"/>
            <w:hideMark/>
          </w:tcPr>
          <w:p w14:paraId="2E0E2A2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2 332</w:t>
            </w:r>
          </w:p>
        </w:tc>
        <w:tc>
          <w:tcPr>
            <w:tcW w:w="969" w:type="dxa"/>
            <w:tcBorders>
              <w:top w:val="nil"/>
              <w:left w:val="nil"/>
              <w:bottom w:val="single" w:sz="4" w:space="0" w:color="auto"/>
              <w:right w:val="single" w:sz="4" w:space="0" w:color="auto"/>
            </w:tcBorders>
            <w:shd w:val="clear" w:color="auto" w:fill="auto"/>
            <w:hideMark/>
          </w:tcPr>
          <w:p w14:paraId="7074FDE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17 272</w:t>
            </w:r>
          </w:p>
        </w:tc>
        <w:tc>
          <w:tcPr>
            <w:tcW w:w="969" w:type="dxa"/>
            <w:tcBorders>
              <w:top w:val="nil"/>
              <w:left w:val="nil"/>
              <w:bottom w:val="single" w:sz="4" w:space="0" w:color="auto"/>
              <w:right w:val="single" w:sz="4" w:space="0" w:color="auto"/>
            </w:tcBorders>
            <w:shd w:val="clear" w:color="auto" w:fill="auto"/>
            <w:hideMark/>
          </w:tcPr>
          <w:p w14:paraId="533E576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17 066</w:t>
            </w:r>
          </w:p>
        </w:tc>
        <w:tc>
          <w:tcPr>
            <w:tcW w:w="969" w:type="dxa"/>
            <w:tcBorders>
              <w:top w:val="nil"/>
              <w:left w:val="nil"/>
              <w:bottom w:val="single" w:sz="4" w:space="0" w:color="auto"/>
              <w:right w:val="single" w:sz="4" w:space="0" w:color="auto"/>
            </w:tcBorders>
            <w:shd w:val="clear" w:color="auto" w:fill="auto"/>
            <w:hideMark/>
          </w:tcPr>
          <w:p w14:paraId="19AC9A7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13 731</w:t>
            </w:r>
          </w:p>
        </w:tc>
        <w:tc>
          <w:tcPr>
            <w:tcW w:w="969" w:type="dxa"/>
            <w:tcBorders>
              <w:top w:val="nil"/>
              <w:left w:val="nil"/>
              <w:bottom w:val="single" w:sz="4" w:space="0" w:color="auto"/>
              <w:right w:val="single" w:sz="4" w:space="0" w:color="auto"/>
            </w:tcBorders>
            <w:shd w:val="clear" w:color="auto" w:fill="auto"/>
            <w:hideMark/>
          </w:tcPr>
          <w:p w14:paraId="0DAF4F2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12 148</w:t>
            </w:r>
          </w:p>
        </w:tc>
        <w:tc>
          <w:tcPr>
            <w:tcW w:w="969" w:type="dxa"/>
            <w:tcBorders>
              <w:top w:val="nil"/>
              <w:left w:val="nil"/>
              <w:bottom w:val="single" w:sz="4" w:space="0" w:color="auto"/>
              <w:right w:val="single" w:sz="4" w:space="0" w:color="auto"/>
            </w:tcBorders>
            <w:shd w:val="clear" w:color="auto" w:fill="auto"/>
            <w:hideMark/>
          </w:tcPr>
          <w:p w14:paraId="197B74C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7 796</w:t>
            </w:r>
          </w:p>
        </w:tc>
        <w:tc>
          <w:tcPr>
            <w:tcW w:w="1238" w:type="dxa"/>
            <w:tcBorders>
              <w:top w:val="nil"/>
              <w:left w:val="nil"/>
              <w:bottom w:val="single" w:sz="4" w:space="0" w:color="auto"/>
              <w:right w:val="single" w:sz="8" w:space="0" w:color="auto"/>
            </w:tcBorders>
            <w:shd w:val="clear" w:color="auto" w:fill="auto"/>
            <w:hideMark/>
          </w:tcPr>
          <w:p w14:paraId="303C2E0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4 474</w:t>
            </w:r>
          </w:p>
        </w:tc>
      </w:tr>
      <w:tr w:rsidR="005B6AF9" w:rsidRPr="00680E37" w14:paraId="555FD14C" w14:textId="77777777" w:rsidTr="00680E37">
        <w:trPr>
          <w:trHeight w:val="198"/>
        </w:trPr>
        <w:tc>
          <w:tcPr>
            <w:tcW w:w="567" w:type="dxa"/>
            <w:vMerge/>
            <w:tcBorders>
              <w:top w:val="nil"/>
              <w:left w:val="single" w:sz="8" w:space="0" w:color="auto"/>
              <w:bottom w:val="single" w:sz="8" w:space="0" w:color="000000"/>
              <w:right w:val="single" w:sz="4" w:space="0" w:color="auto"/>
            </w:tcBorders>
            <w:vAlign w:val="center"/>
            <w:hideMark/>
          </w:tcPr>
          <w:p w14:paraId="0F765A93"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4A7D6A5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w:t>
            </w:r>
          </w:p>
        </w:tc>
        <w:tc>
          <w:tcPr>
            <w:tcW w:w="1829" w:type="dxa"/>
            <w:tcBorders>
              <w:top w:val="nil"/>
              <w:left w:val="nil"/>
              <w:bottom w:val="single" w:sz="4" w:space="0" w:color="auto"/>
              <w:right w:val="single" w:sz="4" w:space="0" w:color="auto"/>
            </w:tcBorders>
            <w:shd w:val="clear" w:color="auto" w:fill="auto"/>
            <w:hideMark/>
          </w:tcPr>
          <w:p w14:paraId="486509C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Бостандыкский</w:t>
            </w:r>
          </w:p>
        </w:tc>
        <w:tc>
          <w:tcPr>
            <w:tcW w:w="780" w:type="dxa"/>
            <w:tcBorders>
              <w:top w:val="nil"/>
              <w:left w:val="nil"/>
              <w:bottom w:val="single" w:sz="4" w:space="0" w:color="auto"/>
              <w:right w:val="single" w:sz="4" w:space="0" w:color="auto"/>
            </w:tcBorders>
            <w:shd w:val="clear" w:color="auto" w:fill="auto"/>
            <w:hideMark/>
          </w:tcPr>
          <w:p w14:paraId="6736164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1 985</w:t>
            </w:r>
          </w:p>
        </w:tc>
        <w:tc>
          <w:tcPr>
            <w:tcW w:w="955" w:type="dxa"/>
            <w:tcBorders>
              <w:top w:val="nil"/>
              <w:left w:val="nil"/>
              <w:bottom w:val="single" w:sz="4" w:space="0" w:color="auto"/>
              <w:right w:val="single" w:sz="4" w:space="0" w:color="auto"/>
            </w:tcBorders>
            <w:shd w:val="clear" w:color="auto" w:fill="auto"/>
            <w:hideMark/>
          </w:tcPr>
          <w:p w14:paraId="21007D1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9 013</w:t>
            </w:r>
          </w:p>
        </w:tc>
        <w:tc>
          <w:tcPr>
            <w:tcW w:w="954" w:type="dxa"/>
            <w:tcBorders>
              <w:top w:val="nil"/>
              <w:left w:val="nil"/>
              <w:bottom w:val="single" w:sz="4" w:space="0" w:color="auto"/>
              <w:right w:val="single" w:sz="4" w:space="0" w:color="auto"/>
            </w:tcBorders>
            <w:shd w:val="clear" w:color="auto" w:fill="auto"/>
            <w:hideMark/>
          </w:tcPr>
          <w:p w14:paraId="2ACC1ED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9 970</w:t>
            </w:r>
          </w:p>
        </w:tc>
        <w:tc>
          <w:tcPr>
            <w:tcW w:w="969" w:type="dxa"/>
            <w:tcBorders>
              <w:top w:val="nil"/>
              <w:left w:val="nil"/>
              <w:bottom w:val="single" w:sz="4" w:space="0" w:color="auto"/>
              <w:right w:val="single" w:sz="4" w:space="0" w:color="auto"/>
            </w:tcBorders>
            <w:shd w:val="clear" w:color="auto" w:fill="auto"/>
            <w:hideMark/>
          </w:tcPr>
          <w:p w14:paraId="73C81A7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7 111</w:t>
            </w:r>
          </w:p>
        </w:tc>
        <w:tc>
          <w:tcPr>
            <w:tcW w:w="969" w:type="dxa"/>
            <w:tcBorders>
              <w:top w:val="nil"/>
              <w:left w:val="nil"/>
              <w:bottom w:val="single" w:sz="4" w:space="0" w:color="auto"/>
              <w:right w:val="single" w:sz="4" w:space="0" w:color="auto"/>
            </w:tcBorders>
            <w:shd w:val="clear" w:color="auto" w:fill="auto"/>
            <w:hideMark/>
          </w:tcPr>
          <w:p w14:paraId="5EACF4F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5 352</w:t>
            </w:r>
          </w:p>
        </w:tc>
        <w:tc>
          <w:tcPr>
            <w:tcW w:w="969" w:type="dxa"/>
            <w:tcBorders>
              <w:top w:val="nil"/>
              <w:left w:val="nil"/>
              <w:bottom w:val="single" w:sz="4" w:space="0" w:color="auto"/>
              <w:right w:val="single" w:sz="4" w:space="0" w:color="auto"/>
            </w:tcBorders>
            <w:shd w:val="clear" w:color="auto" w:fill="auto"/>
            <w:hideMark/>
          </w:tcPr>
          <w:p w14:paraId="2C3E938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11 004</w:t>
            </w:r>
          </w:p>
        </w:tc>
        <w:tc>
          <w:tcPr>
            <w:tcW w:w="969" w:type="dxa"/>
            <w:tcBorders>
              <w:top w:val="nil"/>
              <w:left w:val="nil"/>
              <w:bottom w:val="single" w:sz="4" w:space="0" w:color="auto"/>
              <w:right w:val="single" w:sz="4" w:space="0" w:color="auto"/>
            </w:tcBorders>
            <w:shd w:val="clear" w:color="auto" w:fill="auto"/>
            <w:hideMark/>
          </w:tcPr>
          <w:p w14:paraId="77AF70A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37 260</w:t>
            </w:r>
          </w:p>
        </w:tc>
        <w:tc>
          <w:tcPr>
            <w:tcW w:w="969" w:type="dxa"/>
            <w:tcBorders>
              <w:top w:val="nil"/>
              <w:left w:val="nil"/>
              <w:bottom w:val="single" w:sz="4" w:space="0" w:color="auto"/>
              <w:right w:val="single" w:sz="4" w:space="0" w:color="auto"/>
            </w:tcBorders>
            <w:shd w:val="clear" w:color="auto" w:fill="auto"/>
            <w:hideMark/>
          </w:tcPr>
          <w:p w14:paraId="2082584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15 895</w:t>
            </w:r>
          </w:p>
        </w:tc>
        <w:tc>
          <w:tcPr>
            <w:tcW w:w="969" w:type="dxa"/>
            <w:tcBorders>
              <w:top w:val="nil"/>
              <w:left w:val="nil"/>
              <w:bottom w:val="single" w:sz="4" w:space="0" w:color="auto"/>
              <w:right w:val="single" w:sz="4" w:space="0" w:color="auto"/>
            </w:tcBorders>
            <w:shd w:val="clear" w:color="auto" w:fill="auto"/>
            <w:hideMark/>
          </w:tcPr>
          <w:p w14:paraId="4381043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12 990</w:t>
            </w:r>
          </w:p>
        </w:tc>
        <w:tc>
          <w:tcPr>
            <w:tcW w:w="969" w:type="dxa"/>
            <w:tcBorders>
              <w:top w:val="nil"/>
              <w:left w:val="nil"/>
              <w:bottom w:val="single" w:sz="4" w:space="0" w:color="auto"/>
              <w:right w:val="single" w:sz="4" w:space="0" w:color="auto"/>
            </w:tcBorders>
            <w:shd w:val="clear" w:color="auto" w:fill="auto"/>
            <w:hideMark/>
          </w:tcPr>
          <w:p w14:paraId="478A9D5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11 441</w:t>
            </w:r>
          </w:p>
        </w:tc>
        <w:tc>
          <w:tcPr>
            <w:tcW w:w="969" w:type="dxa"/>
            <w:tcBorders>
              <w:top w:val="nil"/>
              <w:left w:val="nil"/>
              <w:bottom w:val="single" w:sz="4" w:space="0" w:color="auto"/>
              <w:right w:val="single" w:sz="4" w:space="0" w:color="auto"/>
            </w:tcBorders>
            <w:shd w:val="clear" w:color="auto" w:fill="auto"/>
            <w:hideMark/>
          </w:tcPr>
          <w:p w14:paraId="2BC2449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8 012</w:t>
            </w:r>
          </w:p>
        </w:tc>
        <w:tc>
          <w:tcPr>
            <w:tcW w:w="1238" w:type="dxa"/>
            <w:tcBorders>
              <w:top w:val="nil"/>
              <w:left w:val="nil"/>
              <w:bottom w:val="single" w:sz="4" w:space="0" w:color="auto"/>
              <w:right w:val="single" w:sz="8" w:space="0" w:color="auto"/>
            </w:tcBorders>
            <w:shd w:val="clear" w:color="auto" w:fill="auto"/>
            <w:hideMark/>
          </w:tcPr>
          <w:p w14:paraId="56CEC4C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5 011</w:t>
            </w:r>
          </w:p>
        </w:tc>
      </w:tr>
      <w:tr w:rsidR="005B6AF9" w:rsidRPr="00680E37" w14:paraId="36663586" w14:textId="77777777" w:rsidTr="00680E37">
        <w:trPr>
          <w:trHeight w:val="232"/>
        </w:trPr>
        <w:tc>
          <w:tcPr>
            <w:tcW w:w="567" w:type="dxa"/>
            <w:vMerge/>
            <w:tcBorders>
              <w:top w:val="nil"/>
              <w:left w:val="single" w:sz="8" w:space="0" w:color="auto"/>
              <w:bottom w:val="single" w:sz="8" w:space="0" w:color="000000"/>
              <w:right w:val="single" w:sz="4" w:space="0" w:color="auto"/>
            </w:tcBorders>
            <w:vAlign w:val="center"/>
            <w:hideMark/>
          </w:tcPr>
          <w:p w14:paraId="57ED23A1"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3F7CBB3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w:t>
            </w:r>
          </w:p>
        </w:tc>
        <w:tc>
          <w:tcPr>
            <w:tcW w:w="1829" w:type="dxa"/>
            <w:tcBorders>
              <w:top w:val="nil"/>
              <w:left w:val="nil"/>
              <w:bottom w:val="single" w:sz="4" w:space="0" w:color="auto"/>
              <w:right w:val="single" w:sz="4" w:space="0" w:color="auto"/>
            </w:tcBorders>
            <w:shd w:val="clear" w:color="auto" w:fill="auto"/>
            <w:hideMark/>
          </w:tcPr>
          <w:p w14:paraId="2F27241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Жетысуский</w:t>
            </w:r>
          </w:p>
        </w:tc>
        <w:tc>
          <w:tcPr>
            <w:tcW w:w="780" w:type="dxa"/>
            <w:tcBorders>
              <w:top w:val="nil"/>
              <w:left w:val="nil"/>
              <w:bottom w:val="single" w:sz="4" w:space="0" w:color="auto"/>
              <w:right w:val="single" w:sz="4" w:space="0" w:color="auto"/>
            </w:tcBorders>
            <w:shd w:val="clear" w:color="auto" w:fill="auto"/>
            <w:hideMark/>
          </w:tcPr>
          <w:p w14:paraId="0BA1656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1 666</w:t>
            </w:r>
          </w:p>
        </w:tc>
        <w:tc>
          <w:tcPr>
            <w:tcW w:w="955" w:type="dxa"/>
            <w:tcBorders>
              <w:top w:val="nil"/>
              <w:left w:val="nil"/>
              <w:bottom w:val="single" w:sz="4" w:space="0" w:color="auto"/>
              <w:right w:val="single" w:sz="4" w:space="0" w:color="auto"/>
            </w:tcBorders>
            <w:shd w:val="clear" w:color="auto" w:fill="auto"/>
            <w:hideMark/>
          </w:tcPr>
          <w:p w14:paraId="49BBAD0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7 211</w:t>
            </w:r>
          </w:p>
        </w:tc>
        <w:tc>
          <w:tcPr>
            <w:tcW w:w="954" w:type="dxa"/>
            <w:tcBorders>
              <w:top w:val="nil"/>
              <w:left w:val="nil"/>
              <w:bottom w:val="single" w:sz="4" w:space="0" w:color="auto"/>
              <w:right w:val="single" w:sz="4" w:space="0" w:color="auto"/>
            </w:tcBorders>
            <w:shd w:val="clear" w:color="auto" w:fill="auto"/>
            <w:hideMark/>
          </w:tcPr>
          <w:p w14:paraId="3FE8ECF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8 085</w:t>
            </w:r>
          </w:p>
        </w:tc>
        <w:tc>
          <w:tcPr>
            <w:tcW w:w="969" w:type="dxa"/>
            <w:tcBorders>
              <w:top w:val="nil"/>
              <w:left w:val="nil"/>
              <w:bottom w:val="single" w:sz="4" w:space="0" w:color="auto"/>
              <w:right w:val="single" w:sz="4" w:space="0" w:color="auto"/>
            </w:tcBorders>
            <w:shd w:val="clear" w:color="auto" w:fill="auto"/>
            <w:hideMark/>
          </w:tcPr>
          <w:p w14:paraId="65D84F6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5 403</w:t>
            </w:r>
          </w:p>
        </w:tc>
        <w:tc>
          <w:tcPr>
            <w:tcW w:w="969" w:type="dxa"/>
            <w:tcBorders>
              <w:top w:val="nil"/>
              <w:left w:val="nil"/>
              <w:bottom w:val="single" w:sz="4" w:space="0" w:color="auto"/>
              <w:right w:val="single" w:sz="4" w:space="0" w:color="auto"/>
            </w:tcBorders>
            <w:shd w:val="clear" w:color="auto" w:fill="auto"/>
            <w:hideMark/>
          </w:tcPr>
          <w:p w14:paraId="366BADD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2 332</w:t>
            </w:r>
          </w:p>
        </w:tc>
        <w:tc>
          <w:tcPr>
            <w:tcW w:w="969" w:type="dxa"/>
            <w:tcBorders>
              <w:top w:val="nil"/>
              <w:left w:val="nil"/>
              <w:bottom w:val="single" w:sz="4" w:space="0" w:color="auto"/>
              <w:right w:val="single" w:sz="4" w:space="0" w:color="auto"/>
            </w:tcBorders>
            <w:shd w:val="clear" w:color="auto" w:fill="auto"/>
            <w:hideMark/>
          </w:tcPr>
          <w:p w14:paraId="5BF8CF2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1 811</w:t>
            </w:r>
          </w:p>
        </w:tc>
        <w:tc>
          <w:tcPr>
            <w:tcW w:w="969" w:type="dxa"/>
            <w:tcBorders>
              <w:top w:val="nil"/>
              <w:left w:val="nil"/>
              <w:bottom w:val="single" w:sz="4" w:space="0" w:color="auto"/>
              <w:right w:val="single" w:sz="4" w:space="0" w:color="auto"/>
            </w:tcBorders>
            <w:shd w:val="clear" w:color="auto" w:fill="auto"/>
            <w:hideMark/>
          </w:tcPr>
          <w:p w14:paraId="732FA79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12 697</w:t>
            </w:r>
          </w:p>
        </w:tc>
        <w:tc>
          <w:tcPr>
            <w:tcW w:w="969" w:type="dxa"/>
            <w:tcBorders>
              <w:top w:val="nil"/>
              <w:left w:val="nil"/>
              <w:bottom w:val="single" w:sz="4" w:space="0" w:color="auto"/>
              <w:right w:val="single" w:sz="4" w:space="0" w:color="auto"/>
            </w:tcBorders>
            <w:shd w:val="clear" w:color="auto" w:fill="auto"/>
            <w:hideMark/>
          </w:tcPr>
          <w:p w14:paraId="063C397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11 990</w:t>
            </w:r>
          </w:p>
        </w:tc>
        <w:tc>
          <w:tcPr>
            <w:tcW w:w="969" w:type="dxa"/>
            <w:tcBorders>
              <w:top w:val="nil"/>
              <w:left w:val="nil"/>
              <w:bottom w:val="single" w:sz="4" w:space="0" w:color="auto"/>
              <w:right w:val="single" w:sz="4" w:space="0" w:color="auto"/>
            </w:tcBorders>
            <w:shd w:val="clear" w:color="auto" w:fill="auto"/>
            <w:hideMark/>
          </w:tcPr>
          <w:p w14:paraId="4F74A74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8 837</w:t>
            </w:r>
          </w:p>
        </w:tc>
        <w:tc>
          <w:tcPr>
            <w:tcW w:w="969" w:type="dxa"/>
            <w:tcBorders>
              <w:top w:val="nil"/>
              <w:left w:val="nil"/>
              <w:bottom w:val="single" w:sz="4" w:space="0" w:color="auto"/>
              <w:right w:val="single" w:sz="4" w:space="0" w:color="auto"/>
            </w:tcBorders>
            <w:shd w:val="clear" w:color="auto" w:fill="auto"/>
            <w:hideMark/>
          </w:tcPr>
          <w:p w14:paraId="49411E1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7 339</w:t>
            </w:r>
          </w:p>
        </w:tc>
        <w:tc>
          <w:tcPr>
            <w:tcW w:w="969" w:type="dxa"/>
            <w:tcBorders>
              <w:top w:val="nil"/>
              <w:left w:val="nil"/>
              <w:bottom w:val="single" w:sz="4" w:space="0" w:color="auto"/>
              <w:right w:val="single" w:sz="4" w:space="0" w:color="auto"/>
            </w:tcBorders>
            <w:shd w:val="clear" w:color="auto" w:fill="auto"/>
            <w:hideMark/>
          </w:tcPr>
          <w:p w14:paraId="622D0C8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4 121</w:t>
            </w:r>
          </w:p>
        </w:tc>
        <w:tc>
          <w:tcPr>
            <w:tcW w:w="1238" w:type="dxa"/>
            <w:tcBorders>
              <w:top w:val="nil"/>
              <w:left w:val="nil"/>
              <w:bottom w:val="single" w:sz="4" w:space="0" w:color="auto"/>
              <w:right w:val="single" w:sz="8" w:space="0" w:color="auto"/>
            </w:tcBorders>
            <w:shd w:val="clear" w:color="auto" w:fill="auto"/>
            <w:hideMark/>
          </w:tcPr>
          <w:p w14:paraId="7546C0F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2 029</w:t>
            </w:r>
          </w:p>
        </w:tc>
      </w:tr>
      <w:tr w:rsidR="005B6AF9" w:rsidRPr="00680E37" w14:paraId="23F00D5B" w14:textId="77777777" w:rsidTr="00680E37">
        <w:trPr>
          <w:trHeight w:val="293"/>
        </w:trPr>
        <w:tc>
          <w:tcPr>
            <w:tcW w:w="567" w:type="dxa"/>
            <w:vMerge/>
            <w:tcBorders>
              <w:top w:val="nil"/>
              <w:left w:val="single" w:sz="8" w:space="0" w:color="auto"/>
              <w:bottom w:val="single" w:sz="8" w:space="0" w:color="000000"/>
              <w:right w:val="single" w:sz="4" w:space="0" w:color="auto"/>
            </w:tcBorders>
            <w:vAlign w:val="center"/>
            <w:hideMark/>
          </w:tcPr>
          <w:p w14:paraId="0A203584"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10B1C8A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w:t>
            </w:r>
          </w:p>
        </w:tc>
        <w:tc>
          <w:tcPr>
            <w:tcW w:w="1829" w:type="dxa"/>
            <w:tcBorders>
              <w:top w:val="nil"/>
              <w:left w:val="nil"/>
              <w:bottom w:val="single" w:sz="4" w:space="0" w:color="auto"/>
              <w:right w:val="single" w:sz="4" w:space="0" w:color="auto"/>
            </w:tcBorders>
            <w:shd w:val="clear" w:color="auto" w:fill="auto"/>
            <w:hideMark/>
          </w:tcPr>
          <w:p w14:paraId="0F6B248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Медеуский</w:t>
            </w:r>
          </w:p>
        </w:tc>
        <w:tc>
          <w:tcPr>
            <w:tcW w:w="780" w:type="dxa"/>
            <w:tcBorders>
              <w:top w:val="nil"/>
              <w:left w:val="nil"/>
              <w:bottom w:val="single" w:sz="4" w:space="0" w:color="auto"/>
              <w:right w:val="single" w:sz="4" w:space="0" w:color="auto"/>
            </w:tcBorders>
            <w:shd w:val="clear" w:color="auto" w:fill="auto"/>
            <w:hideMark/>
          </w:tcPr>
          <w:p w14:paraId="1C66216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2 017</w:t>
            </w:r>
          </w:p>
        </w:tc>
        <w:tc>
          <w:tcPr>
            <w:tcW w:w="955" w:type="dxa"/>
            <w:tcBorders>
              <w:top w:val="nil"/>
              <w:left w:val="nil"/>
              <w:bottom w:val="single" w:sz="4" w:space="0" w:color="auto"/>
              <w:right w:val="single" w:sz="4" w:space="0" w:color="auto"/>
            </w:tcBorders>
            <w:shd w:val="clear" w:color="auto" w:fill="auto"/>
            <w:hideMark/>
          </w:tcPr>
          <w:p w14:paraId="151CEAC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9 082</w:t>
            </w:r>
          </w:p>
        </w:tc>
        <w:tc>
          <w:tcPr>
            <w:tcW w:w="954" w:type="dxa"/>
            <w:tcBorders>
              <w:top w:val="nil"/>
              <w:left w:val="nil"/>
              <w:bottom w:val="single" w:sz="4" w:space="0" w:color="auto"/>
              <w:right w:val="single" w:sz="4" w:space="0" w:color="auto"/>
            </w:tcBorders>
            <w:shd w:val="clear" w:color="auto" w:fill="auto"/>
            <w:hideMark/>
          </w:tcPr>
          <w:p w14:paraId="116887A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10 642</w:t>
            </w:r>
          </w:p>
        </w:tc>
        <w:tc>
          <w:tcPr>
            <w:tcW w:w="969" w:type="dxa"/>
            <w:tcBorders>
              <w:top w:val="nil"/>
              <w:left w:val="nil"/>
              <w:bottom w:val="single" w:sz="4" w:space="0" w:color="auto"/>
              <w:right w:val="single" w:sz="4" w:space="0" w:color="auto"/>
            </w:tcBorders>
            <w:shd w:val="clear" w:color="auto" w:fill="auto"/>
            <w:hideMark/>
          </w:tcPr>
          <w:p w14:paraId="7228C89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7 520</w:t>
            </w:r>
          </w:p>
        </w:tc>
        <w:tc>
          <w:tcPr>
            <w:tcW w:w="969" w:type="dxa"/>
            <w:tcBorders>
              <w:top w:val="nil"/>
              <w:left w:val="nil"/>
              <w:bottom w:val="single" w:sz="4" w:space="0" w:color="auto"/>
              <w:right w:val="single" w:sz="4" w:space="0" w:color="auto"/>
            </w:tcBorders>
            <w:shd w:val="clear" w:color="auto" w:fill="auto"/>
            <w:hideMark/>
          </w:tcPr>
          <w:p w14:paraId="21A4282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3 046</w:t>
            </w:r>
          </w:p>
        </w:tc>
        <w:tc>
          <w:tcPr>
            <w:tcW w:w="969" w:type="dxa"/>
            <w:tcBorders>
              <w:top w:val="nil"/>
              <w:left w:val="nil"/>
              <w:bottom w:val="single" w:sz="4" w:space="0" w:color="auto"/>
              <w:right w:val="single" w:sz="4" w:space="0" w:color="auto"/>
            </w:tcBorders>
            <w:shd w:val="clear" w:color="auto" w:fill="auto"/>
            <w:hideMark/>
          </w:tcPr>
          <w:p w14:paraId="31A5AEE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1 549</w:t>
            </w:r>
          </w:p>
        </w:tc>
        <w:tc>
          <w:tcPr>
            <w:tcW w:w="969" w:type="dxa"/>
            <w:tcBorders>
              <w:top w:val="nil"/>
              <w:left w:val="nil"/>
              <w:bottom w:val="single" w:sz="4" w:space="0" w:color="auto"/>
              <w:right w:val="single" w:sz="4" w:space="0" w:color="auto"/>
            </w:tcBorders>
            <w:shd w:val="clear" w:color="auto" w:fill="auto"/>
            <w:hideMark/>
          </w:tcPr>
          <w:p w14:paraId="3C3366A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11 366</w:t>
            </w:r>
          </w:p>
        </w:tc>
        <w:tc>
          <w:tcPr>
            <w:tcW w:w="969" w:type="dxa"/>
            <w:tcBorders>
              <w:top w:val="nil"/>
              <w:left w:val="nil"/>
              <w:bottom w:val="single" w:sz="4" w:space="0" w:color="auto"/>
              <w:right w:val="single" w:sz="4" w:space="0" w:color="auto"/>
            </w:tcBorders>
            <w:shd w:val="clear" w:color="auto" w:fill="auto"/>
            <w:hideMark/>
          </w:tcPr>
          <w:p w14:paraId="1AF5D7E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11 658</w:t>
            </w:r>
          </w:p>
        </w:tc>
        <w:tc>
          <w:tcPr>
            <w:tcW w:w="969" w:type="dxa"/>
            <w:tcBorders>
              <w:top w:val="nil"/>
              <w:left w:val="nil"/>
              <w:bottom w:val="single" w:sz="4" w:space="0" w:color="auto"/>
              <w:right w:val="single" w:sz="4" w:space="0" w:color="auto"/>
            </w:tcBorders>
            <w:shd w:val="clear" w:color="auto" w:fill="auto"/>
            <w:hideMark/>
          </w:tcPr>
          <w:p w14:paraId="6467A9F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9 431</w:t>
            </w:r>
          </w:p>
        </w:tc>
        <w:tc>
          <w:tcPr>
            <w:tcW w:w="969" w:type="dxa"/>
            <w:tcBorders>
              <w:top w:val="nil"/>
              <w:left w:val="nil"/>
              <w:bottom w:val="single" w:sz="4" w:space="0" w:color="auto"/>
              <w:right w:val="single" w:sz="4" w:space="0" w:color="auto"/>
            </w:tcBorders>
            <w:shd w:val="clear" w:color="auto" w:fill="auto"/>
            <w:hideMark/>
          </w:tcPr>
          <w:p w14:paraId="77EFDFF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8 906</w:t>
            </w:r>
          </w:p>
        </w:tc>
        <w:tc>
          <w:tcPr>
            <w:tcW w:w="969" w:type="dxa"/>
            <w:tcBorders>
              <w:top w:val="nil"/>
              <w:left w:val="nil"/>
              <w:bottom w:val="single" w:sz="4" w:space="0" w:color="auto"/>
              <w:right w:val="single" w:sz="4" w:space="0" w:color="auto"/>
            </w:tcBorders>
            <w:shd w:val="clear" w:color="auto" w:fill="auto"/>
            <w:hideMark/>
          </w:tcPr>
          <w:p w14:paraId="486FD6E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6 089</w:t>
            </w:r>
          </w:p>
        </w:tc>
        <w:tc>
          <w:tcPr>
            <w:tcW w:w="1238" w:type="dxa"/>
            <w:tcBorders>
              <w:top w:val="nil"/>
              <w:left w:val="nil"/>
              <w:bottom w:val="single" w:sz="4" w:space="0" w:color="auto"/>
              <w:right w:val="single" w:sz="8" w:space="0" w:color="auto"/>
            </w:tcBorders>
            <w:shd w:val="clear" w:color="auto" w:fill="auto"/>
            <w:hideMark/>
          </w:tcPr>
          <w:p w14:paraId="0594438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3 641</w:t>
            </w:r>
          </w:p>
        </w:tc>
      </w:tr>
      <w:tr w:rsidR="005B6AF9" w:rsidRPr="00680E37" w14:paraId="00835EEE" w14:textId="77777777" w:rsidTr="00680E37">
        <w:trPr>
          <w:trHeight w:val="200"/>
        </w:trPr>
        <w:tc>
          <w:tcPr>
            <w:tcW w:w="567" w:type="dxa"/>
            <w:vMerge/>
            <w:tcBorders>
              <w:top w:val="nil"/>
              <w:left w:val="single" w:sz="8" w:space="0" w:color="auto"/>
              <w:bottom w:val="single" w:sz="8" w:space="0" w:color="000000"/>
              <w:right w:val="single" w:sz="4" w:space="0" w:color="auto"/>
            </w:tcBorders>
            <w:vAlign w:val="center"/>
            <w:hideMark/>
          </w:tcPr>
          <w:p w14:paraId="4B3D1813"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01D17DB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w:t>
            </w:r>
          </w:p>
        </w:tc>
        <w:tc>
          <w:tcPr>
            <w:tcW w:w="1829" w:type="dxa"/>
            <w:tcBorders>
              <w:top w:val="nil"/>
              <w:left w:val="nil"/>
              <w:bottom w:val="single" w:sz="4" w:space="0" w:color="auto"/>
              <w:right w:val="single" w:sz="4" w:space="0" w:color="auto"/>
            </w:tcBorders>
            <w:shd w:val="clear" w:color="auto" w:fill="auto"/>
            <w:hideMark/>
          </w:tcPr>
          <w:p w14:paraId="5CD00BF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Наурызбайский</w:t>
            </w:r>
          </w:p>
        </w:tc>
        <w:tc>
          <w:tcPr>
            <w:tcW w:w="780" w:type="dxa"/>
            <w:tcBorders>
              <w:top w:val="nil"/>
              <w:left w:val="nil"/>
              <w:bottom w:val="single" w:sz="4" w:space="0" w:color="auto"/>
              <w:right w:val="single" w:sz="4" w:space="0" w:color="auto"/>
            </w:tcBorders>
            <w:shd w:val="clear" w:color="auto" w:fill="auto"/>
            <w:hideMark/>
          </w:tcPr>
          <w:p w14:paraId="3468486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743</w:t>
            </w:r>
          </w:p>
        </w:tc>
        <w:tc>
          <w:tcPr>
            <w:tcW w:w="955" w:type="dxa"/>
            <w:tcBorders>
              <w:top w:val="nil"/>
              <w:left w:val="nil"/>
              <w:bottom w:val="single" w:sz="4" w:space="0" w:color="auto"/>
              <w:right w:val="single" w:sz="4" w:space="0" w:color="auto"/>
            </w:tcBorders>
            <w:shd w:val="clear" w:color="auto" w:fill="auto"/>
            <w:hideMark/>
          </w:tcPr>
          <w:p w14:paraId="1FAE1B9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2 337</w:t>
            </w:r>
          </w:p>
        </w:tc>
        <w:tc>
          <w:tcPr>
            <w:tcW w:w="954" w:type="dxa"/>
            <w:tcBorders>
              <w:top w:val="nil"/>
              <w:left w:val="nil"/>
              <w:bottom w:val="single" w:sz="4" w:space="0" w:color="auto"/>
              <w:right w:val="single" w:sz="4" w:space="0" w:color="auto"/>
            </w:tcBorders>
            <w:shd w:val="clear" w:color="auto" w:fill="auto"/>
            <w:hideMark/>
          </w:tcPr>
          <w:p w14:paraId="7566367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2 410</w:t>
            </w:r>
          </w:p>
        </w:tc>
        <w:tc>
          <w:tcPr>
            <w:tcW w:w="969" w:type="dxa"/>
            <w:tcBorders>
              <w:top w:val="nil"/>
              <w:left w:val="nil"/>
              <w:bottom w:val="single" w:sz="4" w:space="0" w:color="auto"/>
              <w:right w:val="single" w:sz="4" w:space="0" w:color="auto"/>
            </w:tcBorders>
            <w:shd w:val="clear" w:color="auto" w:fill="auto"/>
            <w:hideMark/>
          </w:tcPr>
          <w:p w14:paraId="6D446AA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1 655</w:t>
            </w:r>
          </w:p>
        </w:tc>
        <w:tc>
          <w:tcPr>
            <w:tcW w:w="969" w:type="dxa"/>
            <w:tcBorders>
              <w:top w:val="nil"/>
              <w:left w:val="nil"/>
              <w:bottom w:val="single" w:sz="4" w:space="0" w:color="auto"/>
              <w:right w:val="single" w:sz="4" w:space="0" w:color="auto"/>
            </w:tcBorders>
            <w:shd w:val="clear" w:color="auto" w:fill="auto"/>
            <w:hideMark/>
          </w:tcPr>
          <w:p w14:paraId="74BCEA4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732</w:t>
            </w:r>
          </w:p>
        </w:tc>
        <w:tc>
          <w:tcPr>
            <w:tcW w:w="969" w:type="dxa"/>
            <w:tcBorders>
              <w:top w:val="nil"/>
              <w:left w:val="nil"/>
              <w:bottom w:val="single" w:sz="4" w:space="0" w:color="auto"/>
              <w:right w:val="single" w:sz="4" w:space="0" w:color="auto"/>
            </w:tcBorders>
            <w:shd w:val="clear" w:color="auto" w:fill="auto"/>
            <w:hideMark/>
          </w:tcPr>
          <w:p w14:paraId="0E747CA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366</w:t>
            </w:r>
          </w:p>
        </w:tc>
        <w:tc>
          <w:tcPr>
            <w:tcW w:w="969" w:type="dxa"/>
            <w:tcBorders>
              <w:top w:val="nil"/>
              <w:left w:val="nil"/>
              <w:bottom w:val="single" w:sz="4" w:space="0" w:color="auto"/>
              <w:right w:val="single" w:sz="4" w:space="0" w:color="auto"/>
            </w:tcBorders>
            <w:shd w:val="clear" w:color="auto" w:fill="auto"/>
            <w:hideMark/>
          </w:tcPr>
          <w:p w14:paraId="25DE40C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3 286</w:t>
            </w:r>
          </w:p>
        </w:tc>
        <w:tc>
          <w:tcPr>
            <w:tcW w:w="969" w:type="dxa"/>
            <w:tcBorders>
              <w:top w:val="nil"/>
              <w:left w:val="nil"/>
              <w:bottom w:val="single" w:sz="4" w:space="0" w:color="auto"/>
              <w:right w:val="single" w:sz="4" w:space="0" w:color="auto"/>
            </w:tcBorders>
            <w:shd w:val="clear" w:color="auto" w:fill="auto"/>
            <w:hideMark/>
          </w:tcPr>
          <w:p w14:paraId="5A67B15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3 558</w:t>
            </w:r>
          </w:p>
        </w:tc>
        <w:tc>
          <w:tcPr>
            <w:tcW w:w="969" w:type="dxa"/>
            <w:tcBorders>
              <w:top w:val="nil"/>
              <w:left w:val="nil"/>
              <w:bottom w:val="single" w:sz="4" w:space="0" w:color="auto"/>
              <w:right w:val="single" w:sz="4" w:space="0" w:color="auto"/>
            </w:tcBorders>
            <w:shd w:val="clear" w:color="auto" w:fill="auto"/>
            <w:hideMark/>
          </w:tcPr>
          <w:p w14:paraId="570A2B8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2 846</w:t>
            </w:r>
          </w:p>
        </w:tc>
        <w:tc>
          <w:tcPr>
            <w:tcW w:w="969" w:type="dxa"/>
            <w:tcBorders>
              <w:top w:val="nil"/>
              <w:left w:val="nil"/>
              <w:bottom w:val="single" w:sz="4" w:space="0" w:color="auto"/>
              <w:right w:val="single" w:sz="4" w:space="0" w:color="auto"/>
            </w:tcBorders>
            <w:shd w:val="clear" w:color="auto" w:fill="auto"/>
            <w:hideMark/>
          </w:tcPr>
          <w:p w14:paraId="3C35596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2 331</w:t>
            </w:r>
          </w:p>
        </w:tc>
        <w:tc>
          <w:tcPr>
            <w:tcW w:w="969" w:type="dxa"/>
            <w:tcBorders>
              <w:top w:val="nil"/>
              <w:left w:val="nil"/>
              <w:bottom w:val="single" w:sz="4" w:space="0" w:color="auto"/>
              <w:right w:val="single" w:sz="4" w:space="0" w:color="auto"/>
            </w:tcBorders>
            <w:shd w:val="clear" w:color="auto" w:fill="auto"/>
            <w:hideMark/>
          </w:tcPr>
          <w:p w14:paraId="65B3791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1 218</w:t>
            </w:r>
          </w:p>
        </w:tc>
        <w:tc>
          <w:tcPr>
            <w:tcW w:w="1238" w:type="dxa"/>
            <w:tcBorders>
              <w:top w:val="nil"/>
              <w:left w:val="nil"/>
              <w:bottom w:val="single" w:sz="4" w:space="0" w:color="auto"/>
              <w:right w:val="single" w:sz="8" w:space="0" w:color="auto"/>
            </w:tcBorders>
            <w:shd w:val="clear" w:color="auto" w:fill="auto"/>
            <w:hideMark/>
          </w:tcPr>
          <w:p w14:paraId="31395BC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633</w:t>
            </w:r>
          </w:p>
        </w:tc>
      </w:tr>
      <w:tr w:rsidR="005B6AF9" w:rsidRPr="00680E37" w14:paraId="0D5F013C" w14:textId="77777777" w:rsidTr="00680E37">
        <w:trPr>
          <w:trHeight w:val="234"/>
        </w:trPr>
        <w:tc>
          <w:tcPr>
            <w:tcW w:w="567" w:type="dxa"/>
            <w:vMerge/>
            <w:tcBorders>
              <w:top w:val="nil"/>
              <w:left w:val="single" w:sz="8" w:space="0" w:color="auto"/>
              <w:bottom w:val="single" w:sz="8" w:space="0" w:color="000000"/>
              <w:right w:val="single" w:sz="4" w:space="0" w:color="auto"/>
            </w:tcBorders>
            <w:vAlign w:val="center"/>
            <w:hideMark/>
          </w:tcPr>
          <w:p w14:paraId="4ADD7E51"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8" w:space="0" w:color="auto"/>
              <w:right w:val="single" w:sz="4" w:space="0" w:color="auto"/>
            </w:tcBorders>
            <w:shd w:val="clear" w:color="auto" w:fill="auto"/>
            <w:hideMark/>
          </w:tcPr>
          <w:p w14:paraId="2E43C99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w:t>
            </w:r>
          </w:p>
        </w:tc>
        <w:tc>
          <w:tcPr>
            <w:tcW w:w="1829" w:type="dxa"/>
            <w:tcBorders>
              <w:top w:val="nil"/>
              <w:left w:val="nil"/>
              <w:bottom w:val="single" w:sz="8" w:space="0" w:color="auto"/>
              <w:right w:val="single" w:sz="4" w:space="0" w:color="auto"/>
            </w:tcBorders>
            <w:shd w:val="clear" w:color="auto" w:fill="auto"/>
            <w:hideMark/>
          </w:tcPr>
          <w:p w14:paraId="799859F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Турксибский</w:t>
            </w:r>
          </w:p>
        </w:tc>
        <w:tc>
          <w:tcPr>
            <w:tcW w:w="780" w:type="dxa"/>
            <w:tcBorders>
              <w:top w:val="nil"/>
              <w:left w:val="nil"/>
              <w:bottom w:val="single" w:sz="8" w:space="0" w:color="auto"/>
              <w:right w:val="single" w:sz="4" w:space="0" w:color="auto"/>
            </w:tcBorders>
            <w:shd w:val="clear" w:color="auto" w:fill="auto"/>
            <w:hideMark/>
          </w:tcPr>
          <w:p w14:paraId="64C09C4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1 558</w:t>
            </w:r>
          </w:p>
        </w:tc>
        <w:tc>
          <w:tcPr>
            <w:tcW w:w="955" w:type="dxa"/>
            <w:tcBorders>
              <w:top w:val="nil"/>
              <w:left w:val="nil"/>
              <w:bottom w:val="single" w:sz="8" w:space="0" w:color="auto"/>
              <w:right w:val="single" w:sz="4" w:space="0" w:color="auto"/>
            </w:tcBorders>
            <w:shd w:val="clear" w:color="auto" w:fill="auto"/>
            <w:hideMark/>
          </w:tcPr>
          <w:p w14:paraId="4C38C66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6 757</w:t>
            </w:r>
          </w:p>
        </w:tc>
        <w:tc>
          <w:tcPr>
            <w:tcW w:w="954" w:type="dxa"/>
            <w:tcBorders>
              <w:top w:val="nil"/>
              <w:left w:val="nil"/>
              <w:bottom w:val="single" w:sz="8" w:space="0" w:color="auto"/>
              <w:right w:val="single" w:sz="4" w:space="0" w:color="auto"/>
            </w:tcBorders>
            <w:shd w:val="clear" w:color="auto" w:fill="auto"/>
            <w:hideMark/>
          </w:tcPr>
          <w:p w14:paraId="391F6EF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7 428</w:t>
            </w:r>
          </w:p>
        </w:tc>
        <w:tc>
          <w:tcPr>
            <w:tcW w:w="969" w:type="dxa"/>
            <w:tcBorders>
              <w:top w:val="nil"/>
              <w:left w:val="nil"/>
              <w:bottom w:val="single" w:sz="8" w:space="0" w:color="auto"/>
              <w:right w:val="single" w:sz="4" w:space="0" w:color="auto"/>
            </w:tcBorders>
            <w:shd w:val="clear" w:color="auto" w:fill="auto"/>
            <w:hideMark/>
          </w:tcPr>
          <w:p w14:paraId="05F12A5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5 273</w:t>
            </w:r>
          </w:p>
        </w:tc>
        <w:tc>
          <w:tcPr>
            <w:tcW w:w="969" w:type="dxa"/>
            <w:tcBorders>
              <w:top w:val="nil"/>
              <w:left w:val="nil"/>
              <w:bottom w:val="single" w:sz="8" w:space="0" w:color="auto"/>
              <w:right w:val="single" w:sz="4" w:space="0" w:color="auto"/>
            </w:tcBorders>
            <w:shd w:val="clear" w:color="auto" w:fill="auto"/>
            <w:hideMark/>
          </w:tcPr>
          <w:p w14:paraId="0FF203F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3 381</w:t>
            </w:r>
          </w:p>
        </w:tc>
        <w:tc>
          <w:tcPr>
            <w:tcW w:w="969" w:type="dxa"/>
            <w:tcBorders>
              <w:top w:val="nil"/>
              <w:left w:val="nil"/>
              <w:bottom w:val="single" w:sz="8" w:space="0" w:color="auto"/>
              <w:right w:val="single" w:sz="4" w:space="0" w:color="auto"/>
            </w:tcBorders>
            <w:shd w:val="clear" w:color="auto" w:fill="auto"/>
            <w:hideMark/>
          </w:tcPr>
          <w:p w14:paraId="528E71E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2 757</w:t>
            </w:r>
          </w:p>
        </w:tc>
        <w:tc>
          <w:tcPr>
            <w:tcW w:w="969" w:type="dxa"/>
            <w:tcBorders>
              <w:top w:val="nil"/>
              <w:left w:val="nil"/>
              <w:bottom w:val="single" w:sz="8" w:space="0" w:color="auto"/>
              <w:right w:val="single" w:sz="4" w:space="0" w:color="auto"/>
            </w:tcBorders>
            <w:shd w:val="clear" w:color="auto" w:fill="auto"/>
            <w:hideMark/>
          </w:tcPr>
          <w:p w14:paraId="3DB4384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15 819</w:t>
            </w:r>
          </w:p>
        </w:tc>
        <w:tc>
          <w:tcPr>
            <w:tcW w:w="969" w:type="dxa"/>
            <w:tcBorders>
              <w:top w:val="nil"/>
              <w:left w:val="nil"/>
              <w:bottom w:val="single" w:sz="8" w:space="0" w:color="auto"/>
              <w:right w:val="single" w:sz="4" w:space="0" w:color="auto"/>
            </w:tcBorders>
            <w:shd w:val="clear" w:color="auto" w:fill="auto"/>
            <w:hideMark/>
          </w:tcPr>
          <w:p w14:paraId="45DEFC3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15 880</w:t>
            </w:r>
          </w:p>
        </w:tc>
        <w:tc>
          <w:tcPr>
            <w:tcW w:w="969" w:type="dxa"/>
            <w:tcBorders>
              <w:top w:val="nil"/>
              <w:left w:val="nil"/>
              <w:bottom w:val="single" w:sz="8" w:space="0" w:color="auto"/>
              <w:right w:val="single" w:sz="4" w:space="0" w:color="auto"/>
            </w:tcBorders>
            <w:shd w:val="clear" w:color="auto" w:fill="auto"/>
            <w:hideMark/>
          </w:tcPr>
          <w:p w14:paraId="167DB0D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11 905</w:t>
            </w:r>
          </w:p>
        </w:tc>
        <w:tc>
          <w:tcPr>
            <w:tcW w:w="969" w:type="dxa"/>
            <w:tcBorders>
              <w:top w:val="nil"/>
              <w:left w:val="nil"/>
              <w:bottom w:val="single" w:sz="8" w:space="0" w:color="auto"/>
              <w:right w:val="single" w:sz="4" w:space="0" w:color="auto"/>
            </w:tcBorders>
            <w:shd w:val="clear" w:color="auto" w:fill="auto"/>
            <w:hideMark/>
          </w:tcPr>
          <w:p w14:paraId="6EF5845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11 134</w:t>
            </w:r>
          </w:p>
        </w:tc>
        <w:tc>
          <w:tcPr>
            <w:tcW w:w="969" w:type="dxa"/>
            <w:tcBorders>
              <w:top w:val="nil"/>
              <w:left w:val="nil"/>
              <w:bottom w:val="single" w:sz="8" w:space="0" w:color="auto"/>
              <w:right w:val="single" w:sz="4" w:space="0" w:color="auto"/>
            </w:tcBorders>
            <w:shd w:val="clear" w:color="auto" w:fill="auto"/>
            <w:hideMark/>
          </w:tcPr>
          <w:p w14:paraId="5BE3CB5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6 768</w:t>
            </w:r>
          </w:p>
        </w:tc>
        <w:tc>
          <w:tcPr>
            <w:tcW w:w="1238" w:type="dxa"/>
            <w:tcBorders>
              <w:top w:val="nil"/>
              <w:left w:val="nil"/>
              <w:bottom w:val="single" w:sz="8" w:space="0" w:color="auto"/>
              <w:right w:val="single" w:sz="8" w:space="0" w:color="auto"/>
            </w:tcBorders>
            <w:shd w:val="clear" w:color="auto" w:fill="auto"/>
            <w:hideMark/>
          </w:tcPr>
          <w:p w14:paraId="4CFC7D4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3 236</w:t>
            </w:r>
          </w:p>
        </w:tc>
      </w:tr>
      <w:tr w:rsidR="005B6AF9" w:rsidRPr="00680E37" w14:paraId="61DF3E5A" w14:textId="77777777" w:rsidTr="00680E37">
        <w:trPr>
          <w:trHeight w:val="139"/>
        </w:trPr>
        <w:tc>
          <w:tcPr>
            <w:tcW w:w="567" w:type="dxa"/>
            <w:vMerge w:val="restart"/>
            <w:tcBorders>
              <w:top w:val="nil"/>
              <w:left w:val="single" w:sz="8" w:space="0" w:color="auto"/>
              <w:bottom w:val="single" w:sz="8" w:space="0" w:color="000000"/>
              <w:right w:val="single" w:sz="4" w:space="0" w:color="auto"/>
            </w:tcBorders>
            <w:shd w:val="clear" w:color="auto" w:fill="auto"/>
            <w:noWrap/>
            <w:textDirection w:val="btLr"/>
            <w:vAlign w:val="center"/>
            <w:hideMark/>
          </w:tcPr>
          <w:p w14:paraId="10BF189E" w14:textId="77777777" w:rsidR="005B6AF9" w:rsidRPr="00680E37" w:rsidRDefault="005B6AF9" w:rsidP="004135FE">
            <w:pPr>
              <w:spacing w:after="0" w:line="240" w:lineRule="auto"/>
              <w:jc w:val="center"/>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2016</w:t>
            </w:r>
          </w:p>
        </w:tc>
        <w:tc>
          <w:tcPr>
            <w:tcW w:w="384" w:type="dxa"/>
            <w:tcBorders>
              <w:top w:val="nil"/>
              <w:left w:val="nil"/>
              <w:bottom w:val="single" w:sz="4" w:space="0" w:color="auto"/>
              <w:right w:val="single" w:sz="4" w:space="0" w:color="auto"/>
            </w:tcBorders>
            <w:shd w:val="clear" w:color="auto" w:fill="auto"/>
            <w:hideMark/>
          </w:tcPr>
          <w:p w14:paraId="0E20134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w:t>
            </w:r>
          </w:p>
        </w:tc>
        <w:tc>
          <w:tcPr>
            <w:tcW w:w="1829" w:type="dxa"/>
            <w:tcBorders>
              <w:top w:val="nil"/>
              <w:left w:val="nil"/>
              <w:bottom w:val="single" w:sz="4" w:space="0" w:color="auto"/>
              <w:right w:val="single" w:sz="4" w:space="0" w:color="auto"/>
            </w:tcBorders>
            <w:shd w:val="clear" w:color="auto" w:fill="auto"/>
            <w:hideMark/>
          </w:tcPr>
          <w:p w14:paraId="7F8F84B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Алмалинский</w:t>
            </w:r>
          </w:p>
        </w:tc>
        <w:tc>
          <w:tcPr>
            <w:tcW w:w="780" w:type="dxa"/>
            <w:tcBorders>
              <w:top w:val="nil"/>
              <w:left w:val="nil"/>
              <w:bottom w:val="single" w:sz="4" w:space="0" w:color="auto"/>
              <w:right w:val="single" w:sz="4" w:space="0" w:color="auto"/>
            </w:tcBorders>
            <w:shd w:val="clear" w:color="auto" w:fill="auto"/>
            <w:hideMark/>
          </w:tcPr>
          <w:p w14:paraId="3FE46EF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1 782</w:t>
            </w:r>
          </w:p>
        </w:tc>
        <w:tc>
          <w:tcPr>
            <w:tcW w:w="955" w:type="dxa"/>
            <w:tcBorders>
              <w:top w:val="nil"/>
              <w:left w:val="nil"/>
              <w:bottom w:val="single" w:sz="4" w:space="0" w:color="auto"/>
              <w:right w:val="single" w:sz="4" w:space="0" w:color="auto"/>
            </w:tcBorders>
            <w:shd w:val="clear" w:color="auto" w:fill="auto"/>
            <w:hideMark/>
          </w:tcPr>
          <w:p w14:paraId="398138E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8 353</w:t>
            </w:r>
          </w:p>
        </w:tc>
        <w:tc>
          <w:tcPr>
            <w:tcW w:w="954" w:type="dxa"/>
            <w:tcBorders>
              <w:top w:val="nil"/>
              <w:left w:val="nil"/>
              <w:bottom w:val="single" w:sz="4" w:space="0" w:color="auto"/>
              <w:right w:val="single" w:sz="4" w:space="0" w:color="auto"/>
            </w:tcBorders>
            <w:shd w:val="clear" w:color="auto" w:fill="auto"/>
            <w:hideMark/>
          </w:tcPr>
          <w:p w14:paraId="2D7164A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9 580</w:t>
            </w:r>
          </w:p>
        </w:tc>
        <w:tc>
          <w:tcPr>
            <w:tcW w:w="969" w:type="dxa"/>
            <w:tcBorders>
              <w:top w:val="nil"/>
              <w:left w:val="nil"/>
              <w:bottom w:val="single" w:sz="4" w:space="0" w:color="auto"/>
              <w:right w:val="single" w:sz="4" w:space="0" w:color="auto"/>
            </w:tcBorders>
            <w:shd w:val="clear" w:color="auto" w:fill="auto"/>
            <w:hideMark/>
          </w:tcPr>
          <w:p w14:paraId="722EB62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7 064</w:t>
            </w:r>
          </w:p>
        </w:tc>
        <w:tc>
          <w:tcPr>
            <w:tcW w:w="969" w:type="dxa"/>
            <w:tcBorders>
              <w:top w:val="nil"/>
              <w:left w:val="nil"/>
              <w:bottom w:val="single" w:sz="4" w:space="0" w:color="auto"/>
              <w:right w:val="single" w:sz="4" w:space="0" w:color="auto"/>
            </w:tcBorders>
            <w:shd w:val="clear" w:color="auto" w:fill="auto"/>
            <w:hideMark/>
          </w:tcPr>
          <w:p w14:paraId="050FCAF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3 630</w:t>
            </w:r>
          </w:p>
        </w:tc>
        <w:tc>
          <w:tcPr>
            <w:tcW w:w="969" w:type="dxa"/>
            <w:tcBorders>
              <w:top w:val="nil"/>
              <w:left w:val="nil"/>
              <w:bottom w:val="single" w:sz="4" w:space="0" w:color="auto"/>
              <w:right w:val="single" w:sz="4" w:space="0" w:color="auto"/>
            </w:tcBorders>
            <w:shd w:val="clear" w:color="auto" w:fill="auto"/>
            <w:hideMark/>
          </w:tcPr>
          <w:p w14:paraId="49E95D4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3 831</w:t>
            </w:r>
          </w:p>
        </w:tc>
        <w:tc>
          <w:tcPr>
            <w:tcW w:w="969" w:type="dxa"/>
            <w:tcBorders>
              <w:top w:val="nil"/>
              <w:left w:val="nil"/>
              <w:bottom w:val="single" w:sz="4" w:space="0" w:color="auto"/>
              <w:right w:val="single" w:sz="4" w:space="0" w:color="auto"/>
            </w:tcBorders>
            <w:shd w:val="clear" w:color="auto" w:fill="auto"/>
            <w:hideMark/>
          </w:tcPr>
          <w:p w14:paraId="18AC9C4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17 405</w:t>
            </w:r>
          </w:p>
        </w:tc>
        <w:tc>
          <w:tcPr>
            <w:tcW w:w="969" w:type="dxa"/>
            <w:tcBorders>
              <w:top w:val="nil"/>
              <w:left w:val="nil"/>
              <w:bottom w:val="single" w:sz="4" w:space="0" w:color="auto"/>
              <w:right w:val="single" w:sz="4" w:space="0" w:color="auto"/>
            </w:tcBorders>
            <w:shd w:val="clear" w:color="auto" w:fill="auto"/>
            <w:hideMark/>
          </w:tcPr>
          <w:p w14:paraId="30F412B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15 237</w:t>
            </w:r>
          </w:p>
        </w:tc>
        <w:tc>
          <w:tcPr>
            <w:tcW w:w="969" w:type="dxa"/>
            <w:tcBorders>
              <w:top w:val="nil"/>
              <w:left w:val="nil"/>
              <w:bottom w:val="single" w:sz="4" w:space="0" w:color="auto"/>
              <w:right w:val="single" w:sz="4" w:space="0" w:color="auto"/>
            </w:tcBorders>
            <w:shd w:val="clear" w:color="auto" w:fill="auto"/>
            <w:hideMark/>
          </w:tcPr>
          <w:p w14:paraId="1E7E651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12 590</w:t>
            </w:r>
          </w:p>
        </w:tc>
        <w:tc>
          <w:tcPr>
            <w:tcW w:w="969" w:type="dxa"/>
            <w:tcBorders>
              <w:top w:val="nil"/>
              <w:left w:val="nil"/>
              <w:bottom w:val="single" w:sz="4" w:space="0" w:color="auto"/>
              <w:right w:val="single" w:sz="4" w:space="0" w:color="auto"/>
            </w:tcBorders>
            <w:shd w:val="clear" w:color="auto" w:fill="auto"/>
            <w:hideMark/>
          </w:tcPr>
          <w:p w14:paraId="71F9448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11 064</w:t>
            </w:r>
          </w:p>
        </w:tc>
        <w:tc>
          <w:tcPr>
            <w:tcW w:w="969" w:type="dxa"/>
            <w:tcBorders>
              <w:top w:val="nil"/>
              <w:left w:val="nil"/>
              <w:bottom w:val="single" w:sz="4" w:space="0" w:color="auto"/>
              <w:right w:val="single" w:sz="4" w:space="0" w:color="auto"/>
            </w:tcBorders>
            <w:shd w:val="clear" w:color="auto" w:fill="auto"/>
            <w:hideMark/>
          </w:tcPr>
          <w:p w14:paraId="02C6BDB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8 145</w:t>
            </w:r>
          </w:p>
        </w:tc>
        <w:tc>
          <w:tcPr>
            <w:tcW w:w="1238" w:type="dxa"/>
            <w:tcBorders>
              <w:top w:val="nil"/>
              <w:left w:val="nil"/>
              <w:bottom w:val="single" w:sz="4" w:space="0" w:color="auto"/>
              <w:right w:val="single" w:sz="8" w:space="0" w:color="auto"/>
            </w:tcBorders>
            <w:shd w:val="clear" w:color="auto" w:fill="auto"/>
            <w:hideMark/>
          </w:tcPr>
          <w:p w14:paraId="1D690B3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5 454</w:t>
            </w:r>
          </w:p>
        </w:tc>
      </w:tr>
      <w:tr w:rsidR="005B6AF9" w:rsidRPr="00680E37" w14:paraId="51D7E4B5" w14:textId="77777777" w:rsidTr="00680E37">
        <w:trPr>
          <w:trHeight w:val="188"/>
        </w:trPr>
        <w:tc>
          <w:tcPr>
            <w:tcW w:w="567" w:type="dxa"/>
            <w:vMerge/>
            <w:tcBorders>
              <w:top w:val="nil"/>
              <w:left w:val="single" w:sz="8" w:space="0" w:color="auto"/>
              <w:bottom w:val="single" w:sz="8" w:space="0" w:color="000000"/>
              <w:right w:val="single" w:sz="4" w:space="0" w:color="auto"/>
            </w:tcBorders>
            <w:vAlign w:val="center"/>
            <w:hideMark/>
          </w:tcPr>
          <w:p w14:paraId="4C67F496"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4B1EFBE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w:t>
            </w:r>
          </w:p>
        </w:tc>
        <w:tc>
          <w:tcPr>
            <w:tcW w:w="1829" w:type="dxa"/>
            <w:tcBorders>
              <w:top w:val="nil"/>
              <w:left w:val="nil"/>
              <w:bottom w:val="single" w:sz="4" w:space="0" w:color="auto"/>
              <w:right w:val="single" w:sz="4" w:space="0" w:color="auto"/>
            </w:tcBorders>
            <w:shd w:val="clear" w:color="auto" w:fill="auto"/>
            <w:hideMark/>
          </w:tcPr>
          <w:p w14:paraId="7EB3A05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Алатауский</w:t>
            </w:r>
          </w:p>
        </w:tc>
        <w:tc>
          <w:tcPr>
            <w:tcW w:w="780" w:type="dxa"/>
            <w:tcBorders>
              <w:top w:val="nil"/>
              <w:left w:val="nil"/>
              <w:bottom w:val="single" w:sz="4" w:space="0" w:color="auto"/>
              <w:right w:val="single" w:sz="4" w:space="0" w:color="auto"/>
            </w:tcBorders>
            <w:shd w:val="clear" w:color="auto" w:fill="auto"/>
            <w:hideMark/>
          </w:tcPr>
          <w:p w14:paraId="4C1B235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3 027</w:t>
            </w:r>
          </w:p>
        </w:tc>
        <w:tc>
          <w:tcPr>
            <w:tcW w:w="955" w:type="dxa"/>
            <w:tcBorders>
              <w:top w:val="nil"/>
              <w:left w:val="nil"/>
              <w:bottom w:val="single" w:sz="4" w:space="0" w:color="auto"/>
              <w:right w:val="single" w:sz="4" w:space="0" w:color="auto"/>
            </w:tcBorders>
            <w:shd w:val="clear" w:color="auto" w:fill="auto"/>
            <w:hideMark/>
          </w:tcPr>
          <w:p w14:paraId="4828871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11 770</w:t>
            </w:r>
          </w:p>
        </w:tc>
        <w:tc>
          <w:tcPr>
            <w:tcW w:w="954" w:type="dxa"/>
            <w:tcBorders>
              <w:top w:val="nil"/>
              <w:left w:val="nil"/>
              <w:bottom w:val="single" w:sz="4" w:space="0" w:color="auto"/>
              <w:right w:val="single" w:sz="4" w:space="0" w:color="auto"/>
            </w:tcBorders>
            <w:shd w:val="clear" w:color="auto" w:fill="auto"/>
            <w:hideMark/>
          </w:tcPr>
          <w:p w14:paraId="55D280A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11 679</w:t>
            </w:r>
          </w:p>
        </w:tc>
        <w:tc>
          <w:tcPr>
            <w:tcW w:w="969" w:type="dxa"/>
            <w:tcBorders>
              <w:top w:val="nil"/>
              <w:left w:val="nil"/>
              <w:bottom w:val="single" w:sz="4" w:space="0" w:color="auto"/>
              <w:right w:val="single" w:sz="4" w:space="0" w:color="auto"/>
            </w:tcBorders>
            <w:shd w:val="clear" w:color="auto" w:fill="auto"/>
            <w:hideMark/>
          </w:tcPr>
          <w:p w14:paraId="079F3D1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8 270</w:t>
            </w:r>
          </w:p>
        </w:tc>
        <w:tc>
          <w:tcPr>
            <w:tcW w:w="969" w:type="dxa"/>
            <w:tcBorders>
              <w:top w:val="nil"/>
              <w:left w:val="nil"/>
              <w:bottom w:val="single" w:sz="4" w:space="0" w:color="auto"/>
              <w:right w:val="single" w:sz="4" w:space="0" w:color="auto"/>
            </w:tcBorders>
            <w:shd w:val="clear" w:color="auto" w:fill="auto"/>
            <w:hideMark/>
          </w:tcPr>
          <w:p w14:paraId="02F7B02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3 470</w:t>
            </w:r>
          </w:p>
        </w:tc>
        <w:tc>
          <w:tcPr>
            <w:tcW w:w="969" w:type="dxa"/>
            <w:tcBorders>
              <w:top w:val="nil"/>
              <w:left w:val="nil"/>
              <w:bottom w:val="single" w:sz="4" w:space="0" w:color="auto"/>
              <w:right w:val="single" w:sz="4" w:space="0" w:color="auto"/>
            </w:tcBorders>
            <w:shd w:val="clear" w:color="auto" w:fill="auto"/>
            <w:hideMark/>
          </w:tcPr>
          <w:p w14:paraId="732E0B0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1 641</w:t>
            </w:r>
          </w:p>
        </w:tc>
        <w:tc>
          <w:tcPr>
            <w:tcW w:w="969" w:type="dxa"/>
            <w:tcBorders>
              <w:top w:val="nil"/>
              <w:left w:val="nil"/>
              <w:bottom w:val="single" w:sz="4" w:space="0" w:color="auto"/>
              <w:right w:val="single" w:sz="4" w:space="0" w:color="auto"/>
            </w:tcBorders>
            <w:shd w:val="clear" w:color="auto" w:fill="auto"/>
            <w:hideMark/>
          </w:tcPr>
          <w:p w14:paraId="486B031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13 033</w:t>
            </w:r>
          </w:p>
        </w:tc>
        <w:tc>
          <w:tcPr>
            <w:tcW w:w="969" w:type="dxa"/>
            <w:tcBorders>
              <w:top w:val="nil"/>
              <w:left w:val="nil"/>
              <w:bottom w:val="single" w:sz="4" w:space="0" w:color="auto"/>
              <w:right w:val="single" w:sz="4" w:space="0" w:color="auto"/>
            </w:tcBorders>
            <w:shd w:val="clear" w:color="auto" w:fill="auto"/>
            <w:hideMark/>
          </w:tcPr>
          <w:p w14:paraId="4C623C3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14 654</w:t>
            </w:r>
          </w:p>
        </w:tc>
        <w:tc>
          <w:tcPr>
            <w:tcW w:w="969" w:type="dxa"/>
            <w:tcBorders>
              <w:top w:val="nil"/>
              <w:left w:val="nil"/>
              <w:bottom w:val="single" w:sz="4" w:space="0" w:color="auto"/>
              <w:right w:val="single" w:sz="4" w:space="0" w:color="auto"/>
            </w:tcBorders>
            <w:shd w:val="clear" w:color="auto" w:fill="auto"/>
            <w:hideMark/>
          </w:tcPr>
          <w:p w14:paraId="6FAD8A1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10 554</w:t>
            </w:r>
          </w:p>
        </w:tc>
        <w:tc>
          <w:tcPr>
            <w:tcW w:w="969" w:type="dxa"/>
            <w:tcBorders>
              <w:top w:val="nil"/>
              <w:left w:val="nil"/>
              <w:bottom w:val="single" w:sz="4" w:space="0" w:color="auto"/>
              <w:right w:val="single" w:sz="4" w:space="0" w:color="auto"/>
            </w:tcBorders>
            <w:shd w:val="clear" w:color="auto" w:fill="auto"/>
            <w:hideMark/>
          </w:tcPr>
          <w:p w14:paraId="6F9741F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7 785</w:t>
            </w:r>
          </w:p>
        </w:tc>
        <w:tc>
          <w:tcPr>
            <w:tcW w:w="969" w:type="dxa"/>
            <w:tcBorders>
              <w:top w:val="nil"/>
              <w:left w:val="nil"/>
              <w:bottom w:val="single" w:sz="4" w:space="0" w:color="auto"/>
              <w:right w:val="single" w:sz="4" w:space="0" w:color="auto"/>
            </w:tcBorders>
            <w:shd w:val="clear" w:color="auto" w:fill="auto"/>
            <w:hideMark/>
          </w:tcPr>
          <w:p w14:paraId="18CB523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3 729</w:t>
            </w:r>
          </w:p>
        </w:tc>
        <w:tc>
          <w:tcPr>
            <w:tcW w:w="1238" w:type="dxa"/>
            <w:tcBorders>
              <w:top w:val="nil"/>
              <w:left w:val="nil"/>
              <w:bottom w:val="single" w:sz="4" w:space="0" w:color="auto"/>
              <w:right w:val="single" w:sz="8" w:space="0" w:color="auto"/>
            </w:tcBorders>
            <w:shd w:val="clear" w:color="auto" w:fill="auto"/>
            <w:hideMark/>
          </w:tcPr>
          <w:p w14:paraId="4B1DD09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1 671</w:t>
            </w:r>
          </w:p>
        </w:tc>
      </w:tr>
      <w:tr w:rsidR="005B6AF9" w:rsidRPr="00680E37" w14:paraId="4199051E" w14:textId="77777777" w:rsidTr="00680E37">
        <w:trPr>
          <w:trHeight w:val="222"/>
        </w:trPr>
        <w:tc>
          <w:tcPr>
            <w:tcW w:w="567" w:type="dxa"/>
            <w:vMerge/>
            <w:tcBorders>
              <w:top w:val="nil"/>
              <w:left w:val="single" w:sz="8" w:space="0" w:color="auto"/>
              <w:bottom w:val="single" w:sz="8" w:space="0" w:color="000000"/>
              <w:right w:val="single" w:sz="4" w:space="0" w:color="auto"/>
            </w:tcBorders>
            <w:vAlign w:val="center"/>
            <w:hideMark/>
          </w:tcPr>
          <w:p w14:paraId="626DC1E7"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27B4A61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w:t>
            </w:r>
          </w:p>
        </w:tc>
        <w:tc>
          <w:tcPr>
            <w:tcW w:w="1829" w:type="dxa"/>
            <w:tcBorders>
              <w:top w:val="nil"/>
              <w:left w:val="nil"/>
              <w:bottom w:val="single" w:sz="4" w:space="0" w:color="auto"/>
              <w:right w:val="single" w:sz="4" w:space="0" w:color="auto"/>
            </w:tcBorders>
            <w:shd w:val="clear" w:color="auto" w:fill="auto"/>
            <w:hideMark/>
          </w:tcPr>
          <w:p w14:paraId="5853AA4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Ауэзовский</w:t>
            </w:r>
          </w:p>
        </w:tc>
        <w:tc>
          <w:tcPr>
            <w:tcW w:w="780" w:type="dxa"/>
            <w:tcBorders>
              <w:top w:val="nil"/>
              <w:left w:val="nil"/>
              <w:bottom w:val="single" w:sz="4" w:space="0" w:color="auto"/>
              <w:right w:val="single" w:sz="4" w:space="0" w:color="auto"/>
            </w:tcBorders>
            <w:shd w:val="clear" w:color="auto" w:fill="auto"/>
            <w:hideMark/>
          </w:tcPr>
          <w:p w14:paraId="1CB81FF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3 116</w:t>
            </w:r>
          </w:p>
        </w:tc>
        <w:tc>
          <w:tcPr>
            <w:tcW w:w="955" w:type="dxa"/>
            <w:tcBorders>
              <w:top w:val="nil"/>
              <w:left w:val="nil"/>
              <w:bottom w:val="single" w:sz="4" w:space="0" w:color="auto"/>
              <w:right w:val="single" w:sz="4" w:space="0" w:color="auto"/>
            </w:tcBorders>
            <w:shd w:val="clear" w:color="auto" w:fill="auto"/>
            <w:hideMark/>
          </w:tcPr>
          <w:p w14:paraId="5EAE123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13 184</w:t>
            </w:r>
          </w:p>
        </w:tc>
        <w:tc>
          <w:tcPr>
            <w:tcW w:w="954" w:type="dxa"/>
            <w:tcBorders>
              <w:top w:val="nil"/>
              <w:left w:val="nil"/>
              <w:bottom w:val="single" w:sz="4" w:space="0" w:color="auto"/>
              <w:right w:val="single" w:sz="4" w:space="0" w:color="auto"/>
            </w:tcBorders>
            <w:shd w:val="clear" w:color="auto" w:fill="auto"/>
            <w:hideMark/>
          </w:tcPr>
          <w:p w14:paraId="56FE255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13 704</w:t>
            </w:r>
          </w:p>
        </w:tc>
        <w:tc>
          <w:tcPr>
            <w:tcW w:w="969" w:type="dxa"/>
            <w:tcBorders>
              <w:top w:val="nil"/>
              <w:left w:val="nil"/>
              <w:bottom w:val="single" w:sz="4" w:space="0" w:color="auto"/>
              <w:right w:val="single" w:sz="4" w:space="0" w:color="auto"/>
            </w:tcBorders>
            <w:shd w:val="clear" w:color="auto" w:fill="auto"/>
            <w:hideMark/>
          </w:tcPr>
          <w:p w14:paraId="6EEA83F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9 793</w:t>
            </w:r>
          </w:p>
        </w:tc>
        <w:tc>
          <w:tcPr>
            <w:tcW w:w="969" w:type="dxa"/>
            <w:tcBorders>
              <w:top w:val="nil"/>
              <w:left w:val="nil"/>
              <w:bottom w:val="single" w:sz="4" w:space="0" w:color="auto"/>
              <w:right w:val="single" w:sz="4" w:space="0" w:color="auto"/>
            </w:tcBorders>
            <w:shd w:val="clear" w:color="auto" w:fill="auto"/>
            <w:hideMark/>
          </w:tcPr>
          <w:p w14:paraId="35D692D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4 792</w:t>
            </w:r>
          </w:p>
        </w:tc>
        <w:tc>
          <w:tcPr>
            <w:tcW w:w="969" w:type="dxa"/>
            <w:tcBorders>
              <w:top w:val="nil"/>
              <w:left w:val="nil"/>
              <w:bottom w:val="single" w:sz="4" w:space="0" w:color="auto"/>
              <w:right w:val="single" w:sz="4" w:space="0" w:color="auto"/>
            </w:tcBorders>
            <w:shd w:val="clear" w:color="auto" w:fill="auto"/>
            <w:hideMark/>
          </w:tcPr>
          <w:p w14:paraId="03CD489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3 696</w:t>
            </w:r>
          </w:p>
        </w:tc>
        <w:tc>
          <w:tcPr>
            <w:tcW w:w="969" w:type="dxa"/>
            <w:tcBorders>
              <w:top w:val="nil"/>
              <w:left w:val="nil"/>
              <w:bottom w:val="single" w:sz="4" w:space="0" w:color="auto"/>
              <w:right w:val="single" w:sz="4" w:space="0" w:color="auto"/>
            </w:tcBorders>
            <w:shd w:val="clear" w:color="auto" w:fill="auto"/>
            <w:hideMark/>
          </w:tcPr>
          <w:p w14:paraId="75655DB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19 156</w:t>
            </w:r>
          </w:p>
        </w:tc>
        <w:tc>
          <w:tcPr>
            <w:tcW w:w="969" w:type="dxa"/>
            <w:tcBorders>
              <w:top w:val="nil"/>
              <w:left w:val="nil"/>
              <w:bottom w:val="single" w:sz="4" w:space="0" w:color="auto"/>
              <w:right w:val="single" w:sz="4" w:space="0" w:color="auto"/>
            </w:tcBorders>
            <w:shd w:val="clear" w:color="auto" w:fill="auto"/>
            <w:hideMark/>
          </w:tcPr>
          <w:p w14:paraId="4CC9A93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18 428</w:t>
            </w:r>
          </w:p>
        </w:tc>
        <w:tc>
          <w:tcPr>
            <w:tcW w:w="969" w:type="dxa"/>
            <w:tcBorders>
              <w:top w:val="nil"/>
              <w:left w:val="nil"/>
              <w:bottom w:val="single" w:sz="4" w:space="0" w:color="auto"/>
              <w:right w:val="single" w:sz="4" w:space="0" w:color="auto"/>
            </w:tcBorders>
            <w:shd w:val="clear" w:color="auto" w:fill="auto"/>
            <w:hideMark/>
          </w:tcPr>
          <w:p w14:paraId="6F6DC4E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14 122</w:t>
            </w:r>
          </w:p>
        </w:tc>
        <w:tc>
          <w:tcPr>
            <w:tcW w:w="969" w:type="dxa"/>
            <w:tcBorders>
              <w:top w:val="nil"/>
              <w:left w:val="nil"/>
              <w:bottom w:val="single" w:sz="4" w:space="0" w:color="auto"/>
              <w:right w:val="single" w:sz="4" w:space="0" w:color="auto"/>
            </w:tcBorders>
            <w:shd w:val="clear" w:color="auto" w:fill="auto"/>
            <w:hideMark/>
          </w:tcPr>
          <w:p w14:paraId="6127998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12 574</w:t>
            </w:r>
          </w:p>
        </w:tc>
        <w:tc>
          <w:tcPr>
            <w:tcW w:w="969" w:type="dxa"/>
            <w:tcBorders>
              <w:top w:val="nil"/>
              <w:left w:val="nil"/>
              <w:bottom w:val="single" w:sz="4" w:space="0" w:color="auto"/>
              <w:right w:val="single" w:sz="4" w:space="0" w:color="auto"/>
            </w:tcBorders>
            <w:shd w:val="clear" w:color="auto" w:fill="auto"/>
            <w:hideMark/>
          </w:tcPr>
          <w:p w14:paraId="473A829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8 298</w:t>
            </w:r>
          </w:p>
        </w:tc>
        <w:tc>
          <w:tcPr>
            <w:tcW w:w="1238" w:type="dxa"/>
            <w:tcBorders>
              <w:top w:val="nil"/>
              <w:left w:val="nil"/>
              <w:bottom w:val="single" w:sz="4" w:space="0" w:color="auto"/>
              <w:right w:val="single" w:sz="8" w:space="0" w:color="auto"/>
            </w:tcBorders>
            <w:shd w:val="clear" w:color="auto" w:fill="auto"/>
            <w:hideMark/>
          </w:tcPr>
          <w:p w14:paraId="2AB01EC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4 619</w:t>
            </w:r>
          </w:p>
        </w:tc>
      </w:tr>
      <w:tr w:rsidR="005B6AF9" w:rsidRPr="00680E37" w14:paraId="0C513636" w14:textId="77777777" w:rsidTr="00680E37">
        <w:trPr>
          <w:trHeight w:val="269"/>
        </w:trPr>
        <w:tc>
          <w:tcPr>
            <w:tcW w:w="567" w:type="dxa"/>
            <w:vMerge/>
            <w:tcBorders>
              <w:top w:val="nil"/>
              <w:left w:val="single" w:sz="8" w:space="0" w:color="auto"/>
              <w:bottom w:val="single" w:sz="8" w:space="0" w:color="000000"/>
              <w:right w:val="single" w:sz="4" w:space="0" w:color="auto"/>
            </w:tcBorders>
            <w:vAlign w:val="center"/>
            <w:hideMark/>
          </w:tcPr>
          <w:p w14:paraId="2666276B"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3802ED5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w:t>
            </w:r>
          </w:p>
        </w:tc>
        <w:tc>
          <w:tcPr>
            <w:tcW w:w="1829" w:type="dxa"/>
            <w:tcBorders>
              <w:top w:val="nil"/>
              <w:left w:val="nil"/>
              <w:bottom w:val="single" w:sz="4" w:space="0" w:color="auto"/>
              <w:right w:val="single" w:sz="4" w:space="0" w:color="auto"/>
            </w:tcBorders>
            <w:shd w:val="clear" w:color="auto" w:fill="auto"/>
            <w:hideMark/>
          </w:tcPr>
          <w:p w14:paraId="635808A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Бостандыкский</w:t>
            </w:r>
          </w:p>
        </w:tc>
        <w:tc>
          <w:tcPr>
            <w:tcW w:w="780" w:type="dxa"/>
            <w:tcBorders>
              <w:top w:val="nil"/>
              <w:left w:val="nil"/>
              <w:bottom w:val="single" w:sz="4" w:space="0" w:color="auto"/>
              <w:right w:val="single" w:sz="4" w:space="0" w:color="auto"/>
            </w:tcBorders>
            <w:shd w:val="clear" w:color="auto" w:fill="auto"/>
            <w:hideMark/>
          </w:tcPr>
          <w:p w14:paraId="4350FE0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1 921</w:t>
            </w:r>
          </w:p>
        </w:tc>
        <w:tc>
          <w:tcPr>
            <w:tcW w:w="955" w:type="dxa"/>
            <w:tcBorders>
              <w:top w:val="nil"/>
              <w:left w:val="nil"/>
              <w:bottom w:val="single" w:sz="4" w:space="0" w:color="auto"/>
              <w:right w:val="single" w:sz="4" w:space="0" w:color="auto"/>
            </w:tcBorders>
            <w:shd w:val="clear" w:color="auto" w:fill="auto"/>
            <w:hideMark/>
          </w:tcPr>
          <w:p w14:paraId="152D589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9 642</w:t>
            </w:r>
          </w:p>
        </w:tc>
        <w:tc>
          <w:tcPr>
            <w:tcW w:w="954" w:type="dxa"/>
            <w:tcBorders>
              <w:top w:val="nil"/>
              <w:left w:val="nil"/>
              <w:bottom w:val="single" w:sz="4" w:space="0" w:color="auto"/>
              <w:right w:val="single" w:sz="4" w:space="0" w:color="auto"/>
            </w:tcBorders>
            <w:shd w:val="clear" w:color="auto" w:fill="auto"/>
            <w:hideMark/>
          </w:tcPr>
          <w:p w14:paraId="07AB4AE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10 665</w:t>
            </w:r>
          </w:p>
        </w:tc>
        <w:tc>
          <w:tcPr>
            <w:tcW w:w="969" w:type="dxa"/>
            <w:tcBorders>
              <w:top w:val="nil"/>
              <w:left w:val="nil"/>
              <w:bottom w:val="single" w:sz="4" w:space="0" w:color="auto"/>
              <w:right w:val="single" w:sz="4" w:space="0" w:color="auto"/>
            </w:tcBorders>
            <w:shd w:val="clear" w:color="auto" w:fill="auto"/>
            <w:hideMark/>
          </w:tcPr>
          <w:p w14:paraId="516466E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7 972</w:t>
            </w:r>
          </w:p>
        </w:tc>
        <w:tc>
          <w:tcPr>
            <w:tcW w:w="969" w:type="dxa"/>
            <w:tcBorders>
              <w:top w:val="nil"/>
              <w:left w:val="nil"/>
              <w:bottom w:val="single" w:sz="4" w:space="0" w:color="auto"/>
              <w:right w:val="single" w:sz="4" w:space="0" w:color="auto"/>
            </w:tcBorders>
            <w:shd w:val="clear" w:color="auto" w:fill="auto"/>
            <w:hideMark/>
          </w:tcPr>
          <w:p w14:paraId="13CCFC4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6 300</w:t>
            </w:r>
          </w:p>
        </w:tc>
        <w:tc>
          <w:tcPr>
            <w:tcW w:w="969" w:type="dxa"/>
            <w:tcBorders>
              <w:top w:val="nil"/>
              <w:left w:val="nil"/>
              <w:bottom w:val="single" w:sz="4" w:space="0" w:color="auto"/>
              <w:right w:val="single" w:sz="4" w:space="0" w:color="auto"/>
            </w:tcBorders>
            <w:shd w:val="clear" w:color="auto" w:fill="auto"/>
            <w:hideMark/>
          </w:tcPr>
          <w:p w14:paraId="39F7A88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10 813</w:t>
            </w:r>
          </w:p>
        </w:tc>
        <w:tc>
          <w:tcPr>
            <w:tcW w:w="969" w:type="dxa"/>
            <w:tcBorders>
              <w:top w:val="nil"/>
              <w:left w:val="nil"/>
              <w:bottom w:val="single" w:sz="4" w:space="0" w:color="auto"/>
              <w:right w:val="single" w:sz="4" w:space="0" w:color="auto"/>
            </w:tcBorders>
            <w:shd w:val="clear" w:color="auto" w:fill="auto"/>
            <w:hideMark/>
          </w:tcPr>
          <w:p w14:paraId="6D0A2B3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39 951</w:t>
            </w:r>
          </w:p>
        </w:tc>
        <w:tc>
          <w:tcPr>
            <w:tcW w:w="969" w:type="dxa"/>
            <w:tcBorders>
              <w:top w:val="nil"/>
              <w:left w:val="nil"/>
              <w:bottom w:val="single" w:sz="4" w:space="0" w:color="auto"/>
              <w:right w:val="single" w:sz="4" w:space="0" w:color="auto"/>
            </w:tcBorders>
            <w:shd w:val="clear" w:color="auto" w:fill="auto"/>
            <w:hideMark/>
          </w:tcPr>
          <w:p w14:paraId="3A29092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16 492</w:t>
            </w:r>
          </w:p>
        </w:tc>
        <w:tc>
          <w:tcPr>
            <w:tcW w:w="969" w:type="dxa"/>
            <w:tcBorders>
              <w:top w:val="nil"/>
              <w:left w:val="nil"/>
              <w:bottom w:val="single" w:sz="4" w:space="0" w:color="auto"/>
              <w:right w:val="single" w:sz="4" w:space="0" w:color="auto"/>
            </w:tcBorders>
            <w:shd w:val="clear" w:color="auto" w:fill="auto"/>
            <w:hideMark/>
          </w:tcPr>
          <w:p w14:paraId="535179F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13 364</w:t>
            </w:r>
          </w:p>
        </w:tc>
        <w:tc>
          <w:tcPr>
            <w:tcW w:w="969" w:type="dxa"/>
            <w:tcBorders>
              <w:top w:val="nil"/>
              <w:left w:val="nil"/>
              <w:bottom w:val="single" w:sz="4" w:space="0" w:color="auto"/>
              <w:right w:val="single" w:sz="4" w:space="0" w:color="auto"/>
            </w:tcBorders>
            <w:shd w:val="clear" w:color="auto" w:fill="auto"/>
            <w:hideMark/>
          </w:tcPr>
          <w:p w14:paraId="77C1775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11 656</w:t>
            </w:r>
          </w:p>
        </w:tc>
        <w:tc>
          <w:tcPr>
            <w:tcW w:w="969" w:type="dxa"/>
            <w:tcBorders>
              <w:top w:val="nil"/>
              <w:left w:val="nil"/>
              <w:bottom w:val="single" w:sz="4" w:space="0" w:color="auto"/>
              <w:right w:val="single" w:sz="4" w:space="0" w:color="auto"/>
            </w:tcBorders>
            <w:shd w:val="clear" w:color="auto" w:fill="auto"/>
            <w:hideMark/>
          </w:tcPr>
          <w:p w14:paraId="540C005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8 194</w:t>
            </w:r>
          </w:p>
        </w:tc>
        <w:tc>
          <w:tcPr>
            <w:tcW w:w="1238" w:type="dxa"/>
            <w:tcBorders>
              <w:top w:val="nil"/>
              <w:left w:val="nil"/>
              <w:bottom w:val="single" w:sz="4" w:space="0" w:color="auto"/>
              <w:right w:val="single" w:sz="8" w:space="0" w:color="auto"/>
            </w:tcBorders>
            <w:shd w:val="clear" w:color="auto" w:fill="auto"/>
            <w:hideMark/>
          </w:tcPr>
          <w:p w14:paraId="6B75412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5 034</w:t>
            </w:r>
          </w:p>
        </w:tc>
      </w:tr>
      <w:tr w:rsidR="005B6AF9" w:rsidRPr="00680E37" w14:paraId="18416A63" w14:textId="77777777" w:rsidTr="00680E37">
        <w:trPr>
          <w:trHeight w:val="60"/>
        </w:trPr>
        <w:tc>
          <w:tcPr>
            <w:tcW w:w="567" w:type="dxa"/>
            <w:vMerge/>
            <w:tcBorders>
              <w:top w:val="nil"/>
              <w:left w:val="single" w:sz="8" w:space="0" w:color="auto"/>
              <w:bottom w:val="single" w:sz="8" w:space="0" w:color="000000"/>
              <w:right w:val="single" w:sz="4" w:space="0" w:color="auto"/>
            </w:tcBorders>
            <w:vAlign w:val="center"/>
            <w:hideMark/>
          </w:tcPr>
          <w:p w14:paraId="22995C35"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707325A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w:t>
            </w:r>
          </w:p>
        </w:tc>
        <w:tc>
          <w:tcPr>
            <w:tcW w:w="1829" w:type="dxa"/>
            <w:tcBorders>
              <w:top w:val="nil"/>
              <w:left w:val="nil"/>
              <w:bottom w:val="single" w:sz="4" w:space="0" w:color="auto"/>
              <w:right w:val="single" w:sz="4" w:space="0" w:color="auto"/>
            </w:tcBorders>
            <w:shd w:val="clear" w:color="auto" w:fill="auto"/>
            <w:hideMark/>
          </w:tcPr>
          <w:p w14:paraId="0C77A38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Жетысуский</w:t>
            </w:r>
          </w:p>
        </w:tc>
        <w:tc>
          <w:tcPr>
            <w:tcW w:w="780" w:type="dxa"/>
            <w:tcBorders>
              <w:top w:val="nil"/>
              <w:left w:val="nil"/>
              <w:bottom w:val="single" w:sz="4" w:space="0" w:color="auto"/>
              <w:right w:val="single" w:sz="4" w:space="0" w:color="auto"/>
            </w:tcBorders>
            <w:shd w:val="clear" w:color="auto" w:fill="auto"/>
            <w:hideMark/>
          </w:tcPr>
          <w:p w14:paraId="64C9264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1 679</w:t>
            </w:r>
          </w:p>
        </w:tc>
        <w:tc>
          <w:tcPr>
            <w:tcW w:w="955" w:type="dxa"/>
            <w:tcBorders>
              <w:top w:val="nil"/>
              <w:left w:val="nil"/>
              <w:bottom w:val="single" w:sz="4" w:space="0" w:color="auto"/>
              <w:right w:val="single" w:sz="4" w:space="0" w:color="auto"/>
            </w:tcBorders>
            <w:shd w:val="clear" w:color="auto" w:fill="auto"/>
            <w:hideMark/>
          </w:tcPr>
          <w:p w14:paraId="13CDEFB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7 361</w:t>
            </w:r>
          </w:p>
        </w:tc>
        <w:tc>
          <w:tcPr>
            <w:tcW w:w="954" w:type="dxa"/>
            <w:tcBorders>
              <w:top w:val="nil"/>
              <w:left w:val="nil"/>
              <w:bottom w:val="single" w:sz="4" w:space="0" w:color="auto"/>
              <w:right w:val="single" w:sz="4" w:space="0" w:color="auto"/>
            </w:tcBorders>
            <w:shd w:val="clear" w:color="auto" w:fill="auto"/>
            <w:hideMark/>
          </w:tcPr>
          <w:p w14:paraId="5E71563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8 377</w:t>
            </w:r>
          </w:p>
        </w:tc>
        <w:tc>
          <w:tcPr>
            <w:tcW w:w="969" w:type="dxa"/>
            <w:tcBorders>
              <w:top w:val="nil"/>
              <w:left w:val="nil"/>
              <w:bottom w:val="single" w:sz="4" w:space="0" w:color="auto"/>
              <w:right w:val="single" w:sz="4" w:space="0" w:color="auto"/>
            </w:tcBorders>
            <w:shd w:val="clear" w:color="auto" w:fill="auto"/>
            <w:hideMark/>
          </w:tcPr>
          <w:p w14:paraId="3D05013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5 821</w:t>
            </w:r>
          </w:p>
        </w:tc>
        <w:tc>
          <w:tcPr>
            <w:tcW w:w="969" w:type="dxa"/>
            <w:tcBorders>
              <w:top w:val="nil"/>
              <w:left w:val="nil"/>
              <w:bottom w:val="single" w:sz="4" w:space="0" w:color="auto"/>
              <w:right w:val="single" w:sz="4" w:space="0" w:color="auto"/>
            </w:tcBorders>
            <w:shd w:val="clear" w:color="auto" w:fill="auto"/>
            <w:hideMark/>
          </w:tcPr>
          <w:p w14:paraId="040CDCF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2 667</w:t>
            </w:r>
          </w:p>
        </w:tc>
        <w:tc>
          <w:tcPr>
            <w:tcW w:w="969" w:type="dxa"/>
            <w:tcBorders>
              <w:top w:val="nil"/>
              <w:left w:val="nil"/>
              <w:bottom w:val="single" w:sz="4" w:space="0" w:color="auto"/>
              <w:right w:val="single" w:sz="4" w:space="0" w:color="auto"/>
            </w:tcBorders>
            <w:shd w:val="clear" w:color="auto" w:fill="auto"/>
            <w:hideMark/>
          </w:tcPr>
          <w:p w14:paraId="7C85FA3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1 909</w:t>
            </w:r>
          </w:p>
        </w:tc>
        <w:tc>
          <w:tcPr>
            <w:tcW w:w="969" w:type="dxa"/>
            <w:tcBorders>
              <w:top w:val="nil"/>
              <w:left w:val="nil"/>
              <w:bottom w:val="single" w:sz="4" w:space="0" w:color="auto"/>
              <w:right w:val="single" w:sz="4" w:space="0" w:color="auto"/>
            </w:tcBorders>
            <w:shd w:val="clear" w:color="auto" w:fill="auto"/>
            <w:hideMark/>
          </w:tcPr>
          <w:p w14:paraId="3ADC43C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12 848</w:t>
            </w:r>
          </w:p>
        </w:tc>
        <w:tc>
          <w:tcPr>
            <w:tcW w:w="969" w:type="dxa"/>
            <w:tcBorders>
              <w:top w:val="nil"/>
              <w:left w:val="nil"/>
              <w:bottom w:val="single" w:sz="4" w:space="0" w:color="auto"/>
              <w:right w:val="single" w:sz="4" w:space="0" w:color="auto"/>
            </w:tcBorders>
            <w:shd w:val="clear" w:color="auto" w:fill="auto"/>
            <w:hideMark/>
          </w:tcPr>
          <w:p w14:paraId="2F210DA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12 471</w:t>
            </w:r>
          </w:p>
        </w:tc>
        <w:tc>
          <w:tcPr>
            <w:tcW w:w="969" w:type="dxa"/>
            <w:tcBorders>
              <w:top w:val="nil"/>
              <w:left w:val="nil"/>
              <w:bottom w:val="single" w:sz="4" w:space="0" w:color="auto"/>
              <w:right w:val="single" w:sz="4" w:space="0" w:color="auto"/>
            </w:tcBorders>
            <w:shd w:val="clear" w:color="auto" w:fill="auto"/>
            <w:hideMark/>
          </w:tcPr>
          <w:p w14:paraId="22146EE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8 993</w:t>
            </w:r>
          </w:p>
        </w:tc>
        <w:tc>
          <w:tcPr>
            <w:tcW w:w="969" w:type="dxa"/>
            <w:tcBorders>
              <w:top w:val="nil"/>
              <w:left w:val="nil"/>
              <w:bottom w:val="single" w:sz="4" w:space="0" w:color="auto"/>
              <w:right w:val="single" w:sz="4" w:space="0" w:color="auto"/>
            </w:tcBorders>
            <w:shd w:val="clear" w:color="auto" w:fill="auto"/>
            <w:hideMark/>
          </w:tcPr>
          <w:p w14:paraId="04F0054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7 519</w:t>
            </w:r>
          </w:p>
        </w:tc>
        <w:tc>
          <w:tcPr>
            <w:tcW w:w="969" w:type="dxa"/>
            <w:tcBorders>
              <w:top w:val="nil"/>
              <w:left w:val="nil"/>
              <w:bottom w:val="single" w:sz="4" w:space="0" w:color="auto"/>
              <w:right w:val="single" w:sz="4" w:space="0" w:color="auto"/>
            </w:tcBorders>
            <w:shd w:val="clear" w:color="auto" w:fill="auto"/>
            <w:hideMark/>
          </w:tcPr>
          <w:p w14:paraId="0706B7A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4 305</w:t>
            </w:r>
          </w:p>
        </w:tc>
        <w:tc>
          <w:tcPr>
            <w:tcW w:w="1238" w:type="dxa"/>
            <w:tcBorders>
              <w:top w:val="nil"/>
              <w:left w:val="nil"/>
              <w:bottom w:val="single" w:sz="4" w:space="0" w:color="auto"/>
              <w:right w:val="single" w:sz="8" w:space="0" w:color="auto"/>
            </w:tcBorders>
            <w:shd w:val="clear" w:color="auto" w:fill="auto"/>
            <w:hideMark/>
          </w:tcPr>
          <w:p w14:paraId="27C0531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2 019</w:t>
            </w:r>
          </w:p>
        </w:tc>
      </w:tr>
      <w:tr w:rsidR="005B6AF9" w:rsidRPr="00680E37" w14:paraId="5DD70BCF" w14:textId="77777777" w:rsidTr="00680E37">
        <w:trPr>
          <w:trHeight w:val="224"/>
        </w:trPr>
        <w:tc>
          <w:tcPr>
            <w:tcW w:w="567" w:type="dxa"/>
            <w:vMerge/>
            <w:tcBorders>
              <w:top w:val="nil"/>
              <w:left w:val="single" w:sz="8" w:space="0" w:color="auto"/>
              <w:bottom w:val="single" w:sz="8" w:space="0" w:color="000000"/>
              <w:right w:val="single" w:sz="4" w:space="0" w:color="auto"/>
            </w:tcBorders>
            <w:vAlign w:val="center"/>
            <w:hideMark/>
          </w:tcPr>
          <w:p w14:paraId="209B0C31"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772F7E6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w:t>
            </w:r>
          </w:p>
        </w:tc>
        <w:tc>
          <w:tcPr>
            <w:tcW w:w="1829" w:type="dxa"/>
            <w:tcBorders>
              <w:top w:val="nil"/>
              <w:left w:val="nil"/>
              <w:bottom w:val="single" w:sz="4" w:space="0" w:color="auto"/>
              <w:right w:val="single" w:sz="4" w:space="0" w:color="auto"/>
            </w:tcBorders>
            <w:shd w:val="clear" w:color="auto" w:fill="auto"/>
            <w:hideMark/>
          </w:tcPr>
          <w:p w14:paraId="7412188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Медеуский</w:t>
            </w:r>
          </w:p>
        </w:tc>
        <w:tc>
          <w:tcPr>
            <w:tcW w:w="780" w:type="dxa"/>
            <w:tcBorders>
              <w:top w:val="nil"/>
              <w:left w:val="nil"/>
              <w:bottom w:val="single" w:sz="4" w:space="0" w:color="auto"/>
              <w:right w:val="single" w:sz="4" w:space="0" w:color="auto"/>
            </w:tcBorders>
            <w:shd w:val="clear" w:color="auto" w:fill="auto"/>
            <w:hideMark/>
          </w:tcPr>
          <w:p w14:paraId="7542DEE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1 918</w:t>
            </w:r>
          </w:p>
        </w:tc>
        <w:tc>
          <w:tcPr>
            <w:tcW w:w="955" w:type="dxa"/>
            <w:tcBorders>
              <w:top w:val="nil"/>
              <w:left w:val="nil"/>
              <w:bottom w:val="single" w:sz="4" w:space="0" w:color="auto"/>
              <w:right w:val="single" w:sz="4" w:space="0" w:color="auto"/>
            </w:tcBorders>
            <w:shd w:val="clear" w:color="auto" w:fill="auto"/>
            <w:hideMark/>
          </w:tcPr>
          <w:p w14:paraId="216E669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9 039</w:t>
            </w:r>
          </w:p>
        </w:tc>
        <w:tc>
          <w:tcPr>
            <w:tcW w:w="954" w:type="dxa"/>
            <w:tcBorders>
              <w:top w:val="nil"/>
              <w:left w:val="nil"/>
              <w:bottom w:val="single" w:sz="4" w:space="0" w:color="auto"/>
              <w:right w:val="single" w:sz="4" w:space="0" w:color="auto"/>
            </w:tcBorders>
            <w:shd w:val="clear" w:color="auto" w:fill="auto"/>
            <w:hideMark/>
          </w:tcPr>
          <w:p w14:paraId="23626F8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10 855</w:t>
            </w:r>
          </w:p>
        </w:tc>
        <w:tc>
          <w:tcPr>
            <w:tcW w:w="969" w:type="dxa"/>
            <w:tcBorders>
              <w:top w:val="nil"/>
              <w:left w:val="nil"/>
              <w:bottom w:val="single" w:sz="4" w:space="0" w:color="auto"/>
              <w:right w:val="single" w:sz="4" w:space="0" w:color="auto"/>
            </w:tcBorders>
            <w:shd w:val="clear" w:color="auto" w:fill="auto"/>
            <w:hideMark/>
          </w:tcPr>
          <w:p w14:paraId="125D11C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8 066</w:t>
            </w:r>
          </w:p>
        </w:tc>
        <w:tc>
          <w:tcPr>
            <w:tcW w:w="969" w:type="dxa"/>
            <w:tcBorders>
              <w:top w:val="nil"/>
              <w:left w:val="nil"/>
              <w:bottom w:val="single" w:sz="4" w:space="0" w:color="auto"/>
              <w:right w:val="single" w:sz="4" w:space="0" w:color="auto"/>
            </w:tcBorders>
            <w:shd w:val="clear" w:color="auto" w:fill="auto"/>
            <w:hideMark/>
          </w:tcPr>
          <w:p w14:paraId="17804F5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3 539</w:t>
            </w:r>
          </w:p>
        </w:tc>
        <w:tc>
          <w:tcPr>
            <w:tcW w:w="969" w:type="dxa"/>
            <w:tcBorders>
              <w:top w:val="nil"/>
              <w:left w:val="nil"/>
              <w:bottom w:val="single" w:sz="4" w:space="0" w:color="auto"/>
              <w:right w:val="single" w:sz="4" w:space="0" w:color="auto"/>
            </w:tcBorders>
            <w:shd w:val="clear" w:color="auto" w:fill="auto"/>
            <w:hideMark/>
          </w:tcPr>
          <w:p w14:paraId="3071B2F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3 004</w:t>
            </w:r>
          </w:p>
        </w:tc>
        <w:tc>
          <w:tcPr>
            <w:tcW w:w="969" w:type="dxa"/>
            <w:tcBorders>
              <w:top w:val="nil"/>
              <w:left w:val="nil"/>
              <w:bottom w:val="single" w:sz="4" w:space="0" w:color="auto"/>
              <w:right w:val="single" w:sz="4" w:space="0" w:color="auto"/>
            </w:tcBorders>
            <w:shd w:val="clear" w:color="auto" w:fill="auto"/>
            <w:hideMark/>
          </w:tcPr>
          <w:p w14:paraId="14EADA0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13 202</w:t>
            </w:r>
          </w:p>
        </w:tc>
        <w:tc>
          <w:tcPr>
            <w:tcW w:w="969" w:type="dxa"/>
            <w:tcBorders>
              <w:top w:val="nil"/>
              <w:left w:val="nil"/>
              <w:bottom w:val="single" w:sz="4" w:space="0" w:color="auto"/>
              <w:right w:val="single" w:sz="4" w:space="0" w:color="auto"/>
            </w:tcBorders>
            <w:shd w:val="clear" w:color="auto" w:fill="auto"/>
            <w:hideMark/>
          </w:tcPr>
          <w:p w14:paraId="10BB693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12 908</w:t>
            </w:r>
          </w:p>
        </w:tc>
        <w:tc>
          <w:tcPr>
            <w:tcW w:w="969" w:type="dxa"/>
            <w:tcBorders>
              <w:top w:val="nil"/>
              <w:left w:val="nil"/>
              <w:bottom w:val="single" w:sz="4" w:space="0" w:color="auto"/>
              <w:right w:val="single" w:sz="4" w:space="0" w:color="auto"/>
            </w:tcBorders>
            <w:shd w:val="clear" w:color="auto" w:fill="auto"/>
            <w:hideMark/>
          </w:tcPr>
          <w:p w14:paraId="00C0CDB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10 124</w:t>
            </w:r>
          </w:p>
        </w:tc>
        <w:tc>
          <w:tcPr>
            <w:tcW w:w="969" w:type="dxa"/>
            <w:tcBorders>
              <w:top w:val="nil"/>
              <w:left w:val="nil"/>
              <w:bottom w:val="single" w:sz="4" w:space="0" w:color="auto"/>
              <w:right w:val="single" w:sz="4" w:space="0" w:color="auto"/>
            </w:tcBorders>
            <w:shd w:val="clear" w:color="auto" w:fill="auto"/>
            <w:hideMark/>
          </w:tcPr>
          <w:p w14:paraId="7FA15BD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9 354</w:t>
            </w:r>
          </w:p>
        </w:tc>
        <w:tc>
          <w:tcPr>
            <w:tcW w:w="969" w:type="dxa"/>
            <w:tcBorders>
              <w:top w:val="nil"/>
              <w:left w:val="nil"/>
              <w:bottom w:val="single" w:sz="4" w:space="0" w:color="auto"/>
              <w:right w:val="single" w:sz="4" w:space="0" w:color="auto"/>
            </w:tcBorders>
            <w:shd w:val="clear" w:color="auto" w:fill="auto"/>
            <w:hideMark/>
          </w:tcPr>
          <w:p w14:paraId="6C4D504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6 450</w:t>
            </w:r>
          </w:p>
        </w:tc>
        <w:tc>
          <w:tcPr>
            <w:tcW w:w="1238" w:type="dxa"/>
            <w:tcBorders>
              <w:top w:val="nil"/>
              <w:left w:val="nil"/>
              <w:bottom w:val="single" w:sz="4" w:space="0" w:color="auto"/>
              <w:right w:val="single" w:sz="8" w:space="0" w:color="auto"/>
            </w:tcBorders>
            <w:shd w:val="clear" w:color="auto" w:fill="auto"/>
            <w:hideMark/>
          </w:tcPr>
          <w:p w14:paraId="6D0E6F7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3 814</w:t>
            </w:r>
          </w:p>
        </w:tc>
      </w:tr>
      <w:tr w:rsidR="005B6AF9" w:rsidRPr="00680E37" w14:paraId="2940A4AF" w14:textId="77777777" w:rsidTr="00680E37">
        <w:trPr>
          <w:trHeight w:val="271"/>
        </w:trPr>
        <w:tc>
          <w:tcPr>
            <w:tcW w:w="567" w:type="dxa"/>
            <w:vMerge/>
            <w:tcBorders>
              <w:top w:val="nil"/>
              <w:left w:val="single" w:sz="8" w:space="0" w:color="auto"/>
              <w:bottom w:val="single" w:sz="8" w:space="0" w:color="000000"/>
              <w:right w:val="single" w:sz="4" w:space="0" w:color="auto"/>
            </w:tcBorders>
            <w:vAlign w:val="center"/>
            <w:hideMark/>
          </w:tcPr>
          <w:p w14:paraId="1DECED7A"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255F1CA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w:t>
            </w:r>
          </w:p>
        </w:tc>
        <w:tc>
          <w:tcPr>
            <w:tcW w:w="1829" w:type="dxa"/>
            <w:tcBorders>
              <w:top w:val="nil"/>
              <w:left w:val="nil"/>
              <w:bottom w:val="single" w:sz="4" w:space="0" w:color="auto"/>
              <w:right w:val="single" w:sz="4" w:space="0" w:color="auto"/>
            </w:tcBorders>
            <w:shd w:val="clear" w:color="auto" w:fill="auto"/>
            <w:hideMark/>
          </w:tcPr>
          <w:p w14:paraId="4CDB7A3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Наурызбайский</w:t>
            </w:r>
          </w:p>
        </w:tc>
        <w:tc>
          <w:tcPr>
            <w:tcW w:w="780" w:type="dxa"/>
            <w:tcBorders>
              <w:top w:val="nil"/>
              <w:left w:val="nil"/>
              <w:bottom w:val="single" w:sz="4" w:space="0" w:color="auto"/>
              <w:right w:val="single" w:sz="4" w:space="0" w:color="auto"/>
            </w:tcBorders>
            <w:shd w:val="clear" w:color="auto" w:fill="auto"/>
            <w:hideMark/>
          </w:tcPr>
          <w:p w14:paraId="1AEBEB9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688</w:t>
            </w:r>
          </w:p>
        </w:tc>
        <w:tc>
          <w:tcPr>
            <w:tcW w:w="955" w:type="dxa"/>
            <w:tcBorders>
              <w:top w:val="nil"/>
              <w:left w:val="nil"/>
              <w:bottom w:val="single" w:sz="4" w:space="0" w:color="auto"/>
              <w:right w:val="single" w:sz="4" w:space="0" w:color="auto"/>
            </w:tcBorders>
            <w:shd w:val="clear" w:color="auto" w:fill="auto"/>
            <w:hideMark/>
          </w:tcPr>
          <w:p w14:paraId="67B8E8D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2 764</w:t>
            </w:r>
          </w:p>
        </w:tc>
        <w:tc>
          <w:tcPr>
            <w:tcW w:w="954" w:type="dxa"/>
            <w:tcBorders>
              <w:top w:val="nil"/>
              <w:left w:val="nil"/>
              <w:bottom w:val="single" w:sz="4" w:space="0" w:color="auto"/>
              <w:right w:val="single" w:sz="4" w:space="0" w:color="auto"/>
            </w:tcBorders>
            <w:shd w:val="clear" w:color="auto" w:fill="auto"/>
            <w:hideMark/>
          </w:tcPr>
          <w:p w14:paraId="3BCAB2F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2 765</w:t>
            </w:r>
          </w:p>
        </w:tc>
        <w:tc>
          <w:tcPr>
            <w:tcW w:w="969" w:type="dxa"/>
            <w:tcBorders>
              <w:top w:val="nil"/>
              <w:left w:val="nil"/>
              <w:bottom w:val="single" w:sz="4" w:space="0" w:color="auto"/>
              <w:right w:val="single" w:sz="4" w:space="0" w:color="auto"/>
            </w:tcBorders>
            <w:shd w:val="clear" w:color="auto" w:fill="auto"/>
            <w:hideMark/>
          </w:tcPr>
          <w:p w14:paraId="6A41770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1 980</w:t>
            </w:r>
          </w:p>
        </w:tc>
        <w:tc>
          <w:tcPr>
            <w:tcW w:w="969" w:type="dxa"/>
            <w:tcBorders>
              <w:top w:val="nil"/>
              <w:left w:val="nil"/>
              <w:bottom w:val="single" w:sz="4" w:space="0" w:color="auto"/>
              <w:right w:val="single" w:sz="4" w:space="0" w:color="auto"/>
            </w:tcBorders>
            <w:shd w:val="clear" w:color="auto" w:fill="auto"/>
            <w:hideMark/>
          </w:tcPr>
          <w:p w14:paraId="6C80A06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809</w:t>
            </w:r>
          </w:p>
        </w:tc>
        <w:tc>
          <w:tcPr>
            <w:tcW w:w="969" w:type="dxa"/>
            <w:tcBorders>
              <w:top w:val="nil"/>
              <w:left w:val="nil"/>
              <w:bottom w:val="single" w:sz="4" w:space="0" w:color="auto"/>
              <w:right w:val="single" w:sz="4" w:space="0" w:color="auto"/>
            </w:tcBorders>
            <w:shd w:val="clear" w:color="auto" w:fill="auto"/>
            <w:hideMark/>
          </w:tcPr>
          <w:p w14:paraId="1D95C31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404</w:t>
            </w:r>
          </w:p>
        </w:tc>
        <w:tc>
          <w:tcPr>
            <w:tcW w:w="969" w:type="dxa"/>
            <w:tcBorders>
              <w:top w:val="nil"/>
              <w:left w:val="nil"/>
              <w:bottom w:val="single" w:sz="4" w:space="0" w:color="auto"/>
              <w:right w:val="single" w:sz="4" w:space="0" w:color="auto"/>
            </w:tcBorders>
            <w:shd w:val="clear" w:color="auto" w:fill="auto"/>
            <w:hideMark/>
          </w:tcPr>
          <w:p w14:paraId="1569399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3 569</w:t>
            </w:r>
          </w:p>
        </w:tc>
        <w:tc>
          <w:tcPr>
            <w:tcW w:w="969" w:type="dxa"/>
            <w:tcBorders>
              <w:top w:val="nil"/>
              <w:left w:val="nil"/>
              <w:bottom w:val="single" w:sz="4" w:space="0" w:color="auto"/>
              <w:right w:val="single" w:sz="4" w:space="0" w:color="auto"/>
            </w:tcBorders>
            <w:shd w:val="clear" w:color="auto" w:fill="auto"/>
            <w:hideMark/>
          </w:tcPr>
          <w:p w14:paraId="00D25A1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4 014</w:t>
            </w:r>
          </w:p>
        </w:tc>
        <w:tc>
          <w:tcPr>
            <w:tcW w:w="969" w:type="dxa"/>
            <w:tcBorders>
              <w:top w:val="nil"/>
              <w:left w:val="nil"/>
              <w:bottom w:val="single" w:sz="4" w:space="0" w:color="auto"/>
              <w:right w:val="single" w:sz="4" w:space="0" w:color="auto"/>
            </w:tcBorders>
            <w:shd w:val="clear" w:color="auto" w:fill="auto"/>
            <w:hideMark/>
          </w:tcPr>
          <w:p w14:paraId="20D6620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3 021</w:t>
            </w:r>
          </w:p>
        </w:tc>
        <w:tc>
          <w:tcPr>
            <w:tcW w:w="969" w:type="dxa"/>
            <w:tcBorders>
              <w:top w:val="nil"/>
              <w:left w:val="nil"/>
              <w:bottom w:val="single" w:sz="4" w:space="0" w:color="auto"/>
              <w:right w:val="single" w:sz="4" w:space="0" w:color="auto"/>
            </w:tcBorders>
            <w:shd w:val="clear" w:color="auto" w:fill="auto"/>
            <w:hideMark/>
          </w:tcPr>
          <w:p w14:paraId="5B7C235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2 536</w:t>
            </w:r>
          </w:p>
        </w:tc>
        <w:tc>
          <w:tcPr>
            <w:tcW w:w="969" w:type="dxa"/>
            <w:tcBorders>
              <w:top w:val="nil"/>
              <w:left w:val="nil"/>
              <w:bottom w:val="single" w:sz="4" w:space="0" w:color="auto"/>
              <w:right w:val="single" w:sz="4" w:space="0" w:color="auto"/>
            </w:tcBorders>
            <w:shd w:val="clear" w:color="auto" w:fill="auto"/>
            <w:hideMark/>
          </w:tcPr>
          <w:p w14:paraId="4465137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1 413</w:t>
            </w:r>
          </w:p>
        </w:tc>
        <w:tc>
          <w:tcPr>
            <w:tcW w:w="1238" w:type="dxa"/>
            <w:tcBorders>
              <w:top w:val="nil"/>
              <w:left w:val="nil"/>
              <w:bottom w:val="single" w:sz="4" w:space="0" w:color="auto"/>
              <w:right w:val="single" w:sz="8" w:space="0" w:color="auto"/>
            </w:tcBorders>
            <w:shd w:val="clear" w:color="auto" w:fill="auto"/>
            <w:hideMark/>
          </w:tcPr>
          <w:p w14:paraId="74A9983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681</w:t>
            </w:r>
          </w:p>
        </w:tc>
      </w:tr>
      <w:tr w:rsidR="005B6AF9" w:rsidRPr="00680E37" w14:paraId="445BD0EE" w14:textId="77777777" w:rsidTr="00680E37">
        <w:trPr>
          <w:trHeight w:val="178"/>
        </w:trPr>
        <w:tc>
          <w:tcPr>
            <w:tcW w:w="567" w:type="dxa"/>
            <w:vMerge/>
            <w:tcBorders>
              <w:top w:val="nil"/>
              <w:left w:val="single" w:sz="8" w:space="0" w:color="auto"/>
              <w:bottom w:val="single" w:sz="8" w:space="0" w:color="000000"/>
              <w:right w:val="single" w:sz="4" w:space="0" w:color="auto"/>
            </w:tcBorders>
            <w:vAlign w:val="center"/>
            <w:hideMark/>
          </w:tcPr>
          <w:p w14:paraId="2FFAA46B"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8" w:space="0" w:color="auto"/>
              <w:right w:val="single" w:sz="4" w:space="0" w:color="auto"/>
            </w:tcBorders>
            <w:shd w:val="clear" w:color="auto" w:fill="auto"/>
            <w:hideMark/>
          </w:tcPr>
          <w:p w14:paraId="3D82645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w:t>
            </w:r>
          </w:p>
        </w:tc>
        <w:tc>
          <w:tcPr>
            <w:tcW w:w="1829" w:type="dxa"/>
            <w:tcBorders>
              <w:top w:val="nil"/>
              <w:left w:val="nil"/>
              <w:bottom w:val="single" w:sz="8" w:space="0" w:color="auto"/>
              <w:right w:val="single" w:sz="4" w:space="0" w:color="auto"/>
            </w:tcBorders>
            <w:shd w:val="clear" w:color="auto" w:fill="auto"/>
            <w:hideMark/>
          </w:tcPr>
          <w:p w14:paraId="4E50B57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Турксибский</w:t>
            </w:r>
          </w:p>
        </w:tc>
        <w:tc>
          <w:tcPr>
            <w:tcW w:w="780" w:type="dxa"/>
            <w:tcBorders>
              <w:top w:val="nil"/>
              <w:left w:val="nil"/>
              <w:bottom w:val="single" w:sz="8" w:space="0" w:color="auto"/>
              <w:right w:val="single" w:sz="4" w:space="0" w:color="auto"/>
            </w:tcBorders>
            <w:shd w:val="clear" w:color="auto" w:fill="auto"/>
            <w:hideMark/>
          </w:tcPr>
          <w:p w14:paraId="094EC89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1 644</w:t>
            </w:r>
          </w:p>
        </w:tc>
        <w:tc>
          <w:tcPr>
            <w:tcW w:w="955" w:type="dxa"/>
            <w:tcBorders>
              <w:top w:val="nil"/>
              <w:left w:val="nil"/>
              <w:bottom w:val="single" w:sz="8" w:space="0" w:color="auto"/>
              <w:right w:val="single" w:sz="4" w:space="0" w:color="auto"/>
            </w:tcBorders>
            <w:shd w:val="clear" w:color="auto" w:fill="auto"/>
            <w:hideMark/>
          </w:tcPr>
          <w:p w14:paraId="2E70FB7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7 527</w:t>
            </w:r>
          </w:p>
        </w:tc>
        <w:tc>
          <w:tcPr>
            <w:tcW w:w="954" w:type="dxa"/>
            <w:tcBorders>
              <w:top w:val="nil"/>
              <w:left w:val="nil"/>
              <w:bottom w:val="single" w:sz="8" w:space="0" w:color="auto"/>
              <w:right w:val="single" w:sz="4" w:space="0" w:color="auto"/>
            </w:tcBorders>
            <w:shd w:val="clear" w:color="auto" w:fill="auto"/>
            <w:hideMark/>
          </w:tcPr>
          <w:p w14:paraId="3F6C55E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8 446</w:t>
            </w:r>
          </w:p>
        </w:tc>
        <w:tc>
          <w:tcPr>
            <w:tcW w:w="969" w:type="dxa"/>
            <w:tcBorders>
              <w:top w:val="nil"/>
              <w:left w:val="nil"/>
              <w:bottom w:val="single" w:sz="8" w:space="0" w:color="auto"/>
              <w:right w:val="single" w:sz="4" w:space="0" w:color="auto"/>
            </w:tcBorders>
            <w:shd w:val="clear" w:color="auto" w:fill="auto"/>
            <w:hideMark/>
          </w:tcPr>
          <w:p w14:paraId="3A277B6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6 075</w:t>
            </w:r>
          </w:p>
        </w:tc>
        <w:tc>
          <w:tcPr>
            <w:tcW w:w="969" w:type="dxa"/>
            <w:tcBorders>
              <w:top w:val="nil"/>
              <w:left w:val="nil"/>
              <w:bottom w:val="single" w:sz="8" w:space="0" w:color="auto"/>
              <w:right w:val="single" w:sz="4" w:space="0" w:color="auto"/>
            </w:tcBorders>
            <w:shd w:val="clear" w:color="auto" w:fill="auto"/>
            <w:hideMark/>
          </w:tcPr>
          <w:p w14:paraId="17B69A2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3 738</w:t>
            </w:r>
          </w:p>
        </w:tc>
        <w:tc>
          <w:tcPr>
            <w:tcW w:w="969" w:type="dxa"/>
            <w:tcBorders>
              <w:top w:val="nil"/>
              <w:left w:val="nil"/>
              <w:bottom w:val="single" w:sz="8" w:space="0" w:color="auto"/>
              <w:right w:val="single" w:sz="4" w:space="0" w:color="auto"/>
            </w:tcBorders>
            <w:shd w:val="clear" w:color="auto" w:fill="auto"/>
            <w:hideMark/>
          </w:tcPr>
          <w:p w14:paraId="5345962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2 876</w:t>
            </w:r>
          </w:p>
        </w:tc>
        <w:tc>
          <w:tcPr>
            <w:tcW w:w="969" w:type="dxa"/>
            <w:tcBorders>
              <w:top w:val="nil"/>
              <w:left w:val="nil"/>
              <w:bottom w:val="single" w:sz="8" w:space="0" w:color="auto"/>
              <w:right w:val="single" w:sz="4" w:space="0" w:color="auto"/>
            </w:tcBorders>
            <w:shd w:val="clear" w:color="auto" w:fill="auto"/>
            <w:hideMark/>
          </w:tcPr>
          <w:p w14:paraId="2F9F106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17 079</w:t>
            </w:r>
          </w:p>
        </w:tc>
        <w:tc>
          <w:tcPr>
            <w:tcW w:w="969" w:type="dxa"/>
            <w:tcBorders>
              <w:top w:val="nil"/>
              <w:left w:val="nil"/>
              <w:bottom w:val="single" w:sz="8" w:space="0" w:color="auto"/>
              <w:right w:val="single" w:sz="4" w:space="0" w:color="auto"/>
            </w:tcBorders>
            <w:shd w:val="clear" w:color="auto" w:fill="auto"/>
            <w:hideMark/>
          </w:tcPr>
          <w:p w14:paraId="0445AB1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17 774</w:t>
            </w:r>
          </w:p>
        </w:tc>
        <w:tc>
          <w:tcPr>
            <w:tcW w:w="969" w:type="dxa"/>
            <w:tcBorders>
              <w:top w:val="nil"/>
              <w:left w:val="nil"/>
              <w:bottom w:val="single" w:sz="8" w:space="0" w:color="auto"/>
              <w:right w:val="single" w:sz="4" w:space="0" w:color="auto"/>
            </w:tcBorders>
            <w:shd w:val="clear" w:color="auto" w:fill="auto"/>
            <w:hideMark/>
          </w:tcPr>
          <w:p w14:paraId="7FC08EF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12 940</w:t>
            </w:r>
          </w:p>
        </w:tc>
        <w:tc>
          <w:tcPr>
            <w:tcW w:w="969" w:type="dxa"/>
            <w:tcBorders>
              <w:top w:val="nil"/>
              <w:left w:val="nil"/>
              <w:bottom w:val="single" w:sz="8" w:space="0" w:color="auto"/>
              <w:right w:val="single" w:sz="4" w:space="0" w:color="auto"/>
            </w:tcBorders>
            <w:shd w:val="clear" w:color="auto" w:fill="auto"/>
            <w:hideMark/>
          </w:tcPr>
          <w:p w14:paraId="193A0AE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11 652</w:t>
            </w:r>
          </w:p>
        </w:tc>
        <w:tc>
          <w:tcPr>
            <w:tcW w:w="969" w:type="dxa"/>
            <w:tcBorders>
              <w:top w:val="nil"/>
              <w:left w:val="nil"/>
              <w:bottom w:val="single" w:sz="8" w:space="0" w:color="auto"/>
              <w:right w:val="single" w:sz="4" w:space="0" w:color="auto"/>
            </w:tcBorders>
            <w:shd w:val="clear" w:color="auto" w:fill="auto"/>
            <w:hideMark/>
          </w:tcPr>
          <w:p w14:paraId="62C1F48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7 347</w:t>
            </w:r>
          </w:p>
        </w:tc>
        <w:tc>
          <w:tcPr>
            <w:tcW w:w="1238" w:type="dxa"/>
            <w:tcBorders>
              <w:top w:val="nil"/>
              <w:left w:val="nil"/>
              <w:bottom w:val="single" w:sz="8" w:space="0" w:color="auto"/>
              <w:right w:val="single" w:sz="8" w:space="0" w:color="auto"/>
            </w:tcBorders>
            <w:shd w:val="clear" w:color="auto" w:fill="auto"/>
            <w:hideMark/>
          </w:tcPr>
          <w:p w14:paraId="45CF7F8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3 268</w:t>
            </w:r>
          </w:p>
        </w:tc>
      </w:tr>
      <w:tr w:rsidR="005B6AF9" w:rsidRPr="00680E37" w14:paraId="71296C88" w14:textId="77777777" w:rsidTr="00680E37">
        <w:trPr>
          <w:trHeight w:val="167"/>
        </w:trPr>
        <w:tc>
          <w:tcPr>
            <w:tcW w:w="567" w:type="dxa"/>
            <w:vMerge w:val="restart"/>
            <w:tcBorders>
              <w:top w:val="single" w:sz="4" w:space="0" w:color="auto"/>
              <w:left w:val="single" w:sz="8" w:space="0" w:color="auto"/>
              <w:bottom w:val="single" w:sz="8" w:space="0" w:color="000000"/>
              <w:right w:val="single" w:sz="4" w:space="0" w:color="auto"/>
            </w:tcBorders>
            <w:textDirection w:val="btLr"/>
            <w:vAlign w:val="center"/>
            <w:hideMark/>
          </w:tcPr>
          <w:p w14:paraId="116B1C78" w14:textId="77777777" w:rsidR="005B6AF9" w:rsidRPr="00680E37" w:rsidRDefault="005B6AF9" w:rsidP="004135FE">
            <w:pPr>
              <w:spacing w:after="0" w:line="240" w:lineRule="auto"/>
              <w:ind w:left="113" w:right="113"/>
              <w:jc w:val="center"/>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2017</w:t>
            </w:r>
          </w:p>
        </w:tc>
        <w:tc>
          <w:tcPr>
            <w:tcW w:w="384" w:type="dxa"/>
            <w:tcBorders>
              <w:top w:val="single" w:sz="4" w:space="0" w:color="auto"/>
              <w:left w:val="nil"/>
              <w:bottom w:val="single" w:sz="4" w:space="0" w:color="auto"/>
              <w:right w:val="single" w:sz="4" w:space="0" w:color="auto"/>
            </w:tcBorders>
            <w:shd w:val="clear" w:color="auto" w:fill="auto"/>
            <w:hideMark/>
          </w:tcPr>
          <w:p w14:paraId="552FF18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w:t>
            </w:r>
          </w:p>
        </w:tc>
        <w:tc>
          <w:tcPr>
            <w:tcW w:w="1829" w:type="dxa"/>
            <w:tcBorders>
              <w:top w:val="nil"/>
              <w:left w:val="nil"/>
              <w:bottom w:val="single" w:sz="4" w:space="0" w:color="auto"/>
              <w:right w:val="single" w:sz="4" w:space="0" w:color="auto"/>
            </w:tcBorders>
            <w:shd w:val="clear" w:color="auto" w:fill="auto"/>
            <w:hideMark/>
          </w:tcPr>
          <w:p w14:paraId="2B526C6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Алмалинский</w:t>
            </w:r>
          </w:p>
        </w:tc>
        <w:tc>
          <w:tcPr>
            <w:tcW w:w="780" w:type="dxa"/>
            <w:tcBorders>
              <w:top w:val="nil"/>
              <w:left w:val="nil"/>
              <w:bottom w:val="single" w:sz="4" w:space="0" w:color="auto"/>
              <w:right w:val="single" w:sz="4" w:space="0" w:color="auto"/>
            </w:tcBorders>
            <w:shd w:val="clear" w:color="auto" w:fill="auto"/>
            <w:hideMark/>
          </w:tcPr>
          <w:p w14:paraId="1415EF3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2 083</w:t>
            </w:r>
          </w:p>
        </w:tc>
        <w:tc>
          <w:tcPr>
            <w:tcW w:w="955" w:type="dxa"/>
            <w:tcBorders>
              <w:top w:val="nil"/>
              <w:left w:val="nil"/>
              <w:bottom w:val="single" w:sz="4" w:space="0" w:color="auto"/>
              <w:right w:val="single" w:sz="4" w:space="0" w:color="auto"/>
            </w:tcBorders>
            <w:shd w:val="clear" w:color="auto" w:fill="auto"/>
            <w:hideMark/>
          </w:tcPr>
          <w:p w14:paraId="28868FC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9 828</w:t>
            </w:r>
          </w:p>
        </w:tc>
        <w:tc>
          <w:tcPr>
            <w:tcW w:w="954" w:type="dxa"/>
            <w:tcBorders>
              <w:top w:val="nil"/>
              <w:left w:val="nil"/>
              <w:bottom w:val="single" w:sz="4" w:space="0" w:color="auto"/>
              <w:right w:val="single" w:sz="4" w:space="0" w:color="auto"/>
            </w:tcBorders>
            <w:shd w:val="clear" w:color="auto" w:fill="auto"/>
            <w:hideMark/>
          </w:tcPr>
          <w:p w14:paraId="4D46C91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11 273</w:t>
            </w:r>
          </w:p>
        </w:tc>
        <w:tc>
          <w:tcPr>
            <w:tcW w:w="969" w:type="dxa"/>
            <w:tcBorders>
              <w:top w:val="nil"/>
              <w:left w:val="nil"/>
              <w:bottom w:val="single" w:sz="4" w:space="0" w:color="auto"/>
              <w:right w:val="single" w:sz="4" w:space="0" w:color="auto"/>
            </w:tcBorders>
            <w:shd w:val="clear" w:color="auto" w:fill="auto"/>
            <w:hideMark/>
          </w:tcPr>
          <w:p w14:paraId="2F9D649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8 939</w:t>
            </w:r>
          </w:p>
        </w:tc>
        <w:tc>
          <w:tcPr>
            <w:tcW w:w="969" w:type="dxa"/>
            <w:tcBorders>
              <w:top w:val="nil"/>
              <w:left w:val="nil"/>
              <w:bottom w:val="single" w:sz="4" w:space="0" w:color="auto"/>
              <w:right w:val="single" w:sz="4" w:space="0" w:color="auto"/>
            </w:tcBorders>
            <w:shd w:val="clear" w:color="auto" w:fill="auto"/>
            <w:hideMark/>
          </w:tcPr>
          <w:p w14:paraId="44293B5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4 588</w:t>
            </w:r>
          </w:p>
        </w:tc>
        <w:tc>
          <w:tcPr>
            <w:tcW w:w="969" w:type="dxa"/>
            <w:tcBorders>
              <w:top w:val="nil"/>
              <w:left w:val="nil"/>
              <w:bottom w:val="single" w:sz="4" w:space="0" w:color="auto"/>
              <w:right w:val="single" w:sz="4" w:space="0" w:color="auto"/>
            </w:tcBorders>
            <w:shd w:val="clear" w:color="auto" w:fill="auto"/>
            <w:hideMark/>
          </w:tcPr>
          <w:p w14:paraId="7CD658C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5 465</w:t>
            </w:r>
          </w:p>
        </w:tc>
        <w:tc>
          <w:tcPr>
            <w:tcW w:w="969" w:type="dxa"/>
            <w:tcBorders>
              <w:top w:val="nil"/>
              <w:left w:val="nil"/>
              <w:bottom w:val="single" w:sz="4" w:space="0" w:color="auto"/>
              <w:right w:val="single" w:sz="4" w:space="0" w:color="auto"/>
            </w:tcBorders>
            <w:shd w:val="clear" w:color="auto" w:fill="auto"/>
            <w:hideMark/>
          </w:tcPr>
          <w:p w14:paraId="461A061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27 811</w:t>
            </w:r>
          </w:p>
        </w:tc>
        <w:tc>
          <w:tcPr>
            <w:tcW w:w="969" w:type="dxa"/>
            <w:tcBorders>
              <w:top w:val="nil"/>
              <w:left w:val="nil"/>
              <w:bottom w:val="single" w:sz="4" w:space="0" w:color="auto"/>
              <w:right w:val="single" w:sz="4" w:space="0" w:color="auto"/>
            </w:tcBorders>
            <w:shd w:val="clear" w:color="auto" w:fill="auto"/>
            <w:hideMark/>
          </w:tcPr>
          <w:p w14:paraId="6F689B2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21 529</w:t>
            </w:r>
          </w:p>
        </w:tc>
        <w:tc>
          <w:tcPr>
            <w:tcW w:w="969" w:type="dxa"/>
            <w:tcBorders>
              <w:top w:val="nil"/>
              <w:left w:val="nil"/>
              <w:bottom w:val="single" w:sz="4" w:space="0" w:color="auto"/>
              <w:right w:val="single" w:sz="4" w:space="0" w:color="auto"/>
            </w:tcBorders>
            <w:shd w:val="clear" w:color="auto" w:fill="auto"/>
            <w:hideMark/>
          </w:tcPr>
          <w:p w14:paraId="1B1568E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16 377</w:t>
            </w:r>
          </w:p>
        </w:tc>
        <w:tc>
          <w:tcPr>
            <w:tcW w:w="969" w:type="dxa"/>
            <w:tcBorders>
              <w:top w:val="nil"/>
              <w:left w:val="nil"/>
              <w:bottom w:val="single" w:sz="4" w:space="0" w:color="auto"/>
              <w:right w:val="single" w:sz="4" w:space="0" w:color="auto"/>
            </w:tcBorders>
            <w:shd w:val="clear" w:color="auto" w:fill="auto"/>
            <w:hideMark/>
          </w:tcPr>
          <w:p w14:paraId="1F67682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13 737</w:t>
            </w:r>
          </w:p>
        </w:tc>
        <w:tc>
          <w:tcPr>
            <w:tcW w:w="969" w:type="dxa"/>
            <w:tcBorders>
              <w:top w:val="nil"/>
              <w:left w:val="nil"/>
              <w:bottom w:val="single" w:sz="4" w:space="0" w:color="auto"/>
              <w:right w:val="single" w:sz="4" w:space="0" w:color="auto"/>
            </w:tcBorders>
            <w:shd w:val="clear" w:color="auto" w:fill="auto"/>
            <w:hideMark/>
          </w:tcPr>
          <w:p w14:paraId="5D14478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9 542</w:t>
            </w:r>
          </w:p>
        </w:tc>
        <w:tc>
          <w:tcPr>
            <w:tcW w:w="1238" w:type="dxa"/>
            <w:tcBorders>
              <w:top w:val="nil"/>
              <w:left w:val="nil"/>
              <w:bottom w:val="single" w:sz="4" w:space="0" w:color="auto"/>
              <w:right w:val="single" w:sz="8" w:space="0" w:color="auto"/>
            </w:tcBorders>
            <w:shd w:val="clear" w:color="auto" w:fill="auto"/>
            <w:hideMark/>
          </w:tcPr>
          <w:p w14:paraId="6E092DA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6 220</w:t>
            </w:r>
          </w:p>
        </w:tc>
      </w:tr>
      <w:tr w:rsidR="005B6AF9" w:rsidRPr="00680E37" w14:paraId="4C2EFA78" w14:textId="77777777" w:rsidTr="00680E37">
        <w:trPr>
          <w:trHeight w:val="111"/>
        </w:trPr>
        <w:tc>
          <w:tcPr>
            <w:tcW w:w="567" w:type="dxa"/>
            <w:vMerge/>
            <w:tcBorders>
              <w:top w:val="nil"/>
              <w:left w:val="single" w:sz="8" w:space="0" w:color="auto"/>
              <w:bottom w:val="single" w:sz="8" w:space="0" w:color="000000"/>
              <w:right w:val="single" w:sz="4" w:space="0" w:color="auto"/>
            </w:tcBorders>
            <w:vAlign w:val="center"/>
            <w:hideMark/>
          </w:tcPr>
          <w:p w14:paraId="5D3589D3"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69F55D8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w:t>
            </w:r>
          </w:p>
        </w:tc>
        <w:tc>
          <w:tcPr>
            <w:tcW w:w="1829" w:type="dxa"/>
            <w:tcBorders>
              <w:top w:val="nil"/>
              <w:left w:val="nil"/>
              <w:bottom w:val="single" w:sz="4" w:space="0" w:color="auto"/>
              <w:right w:val="single" w:sz="4" w:space="0" w:color="auto"/>
            </w:tcBorders>
            <w:shd w:val="clear" w:color="auto" w:fill="auto"/>
            <w:hideMark/>
          </w:tcPr>
          <w:p w14:paraId="0513251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Алатауский</w:t>
            </w:r>
          </w:p>
        </w:tc>
        <w:tc>
          <w:tcPr>
            <w:tcW w:w="780" w:type="dxa"/>
            <w:tcBorders>
              <w:top w:val="nil"/>
              <w:left w:val="nil"/>
              <w:bottom w:val="single" w:sz="4" w:space="0" w:color="auto"/>
              <w:right w:val="single" w:sz="4" w:space="0" w:color="auto"/>
            </w:tcBorders>
            <w:shd w:val="clear" w:color="auto" w:fill="auto"/>
            <w:hideMark/>
          </w:tcPr>
          <w:p w14:paraId="4A82E40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3 218</w:t>
            </w:r>
          </w:p>
        </w:tc>
        <w:tc>
          <w:tcPr>
            <w:tcW w:w="955" w:type="dxa"/>
            <w:tcBorders>
              <w:top w:val="nil"/>
              <w:left w:val="nil"/>
              <w:bottom w:val="single" w:sz="4" w:space="0" w:color="auto"/>
              <w:right w:val="single" w:sz="4" w:space="0" w:color="auto"/>
            </w:tcBorders>
            <w:shd w:val="clear" w:color="auto" w:fill="auto"/>
            <w:hideMark/>
          </w:tcPr>
          <w:p w14:paraId="1A71F5D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12 720</w:t>
            </w:r>
          </w:p>
        </w:tc>
        <w:tc>
          <w:tcPr>
            <w:tcW w:w="954" w:type="dxa"/>
            <w:tcBorders>
              <w:top w:val="nil"/>
              <w:left w:val="nil"/>
              <w:bottom w:val="single" w:sz="4" w:space="0" w:color="auto"/>
              <w:right w:val="single" w:sz="4" w:space="0" w:color="auto"/>
            </w:tcBorders>
            <w:shd w:val="clear" w:color="auto" w:fill="auto"/>
            <w:hideMark/>
          </w:tcPr>
          <w:p w14:paraId="20F1467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12 303</w:t>
            </w:r>
          </w:p>
        </w:tc>
        <w:tc>
          <w:tcPr>
            <w:tcW w:w="969" w:type="dxa"/>
            <w:tcBorders>
              <w:top w:val="nil"/>
              <w:left w:val="nil"/>
              <w:bottom w:val="single" w:sz="4" w:space="0" w:color="auto"/>
              <w:right w:val="single" w:sz="4" w:space="0" w:color="auto"/>
            </w:tcBorders>
            <w:shd w:val="clear" w:color="auto" w:fill="auto"/>
            <w:hideMark/>
          </w:tcPr>
          <w:p w14:paraId="632A469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8 878</w:t>
            </w:r>
          </w:p>
        </w:tc>
        <w:tc>
          <w:tcPr>
            <w:tcW w:w="969" w:type="dxa"/>
            <w:tcBorders>
              <w:top w:val="nil"/>
              <w:left w:val="nil"/>
              <w:bottom w:val="single" w:sz="4" w:space="0" w:color="auto"/>
              <w:right w:val="single" w:sz="4" w:space="0" w:color="auto"/>
            </w:tcBorders>
            <w:shd w:val="clear" w:color="auto" w:fill="auto"/>
            <w:hideMark/>
          </w:tcPr>
          <w:p w14:paraId="67E3ABA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3 520</w:t>
            </w:r>
          </w:p>
        </w:tc>
        <w:tc>
          <w:tcPr>
            <w:tcW w:w="969" w:type="dxa"/>
            <w:tcBorders>
              <w:top w:val="nil"/>
              <w:left w:val="nil"/>
              <w:bottom w:val="single" w:sz="4" w:space="0" w:color="auto"/>
              <w:right w:val="single" w:sz="4" w:space="0" w:color="auto"/>
            </w:tcBorders>
            <w:shd w:val="clear" w:color="auto" w:fill="auto"/>
            <w:hideMark/>
          </w:tcPr>
          <w:p w14:paraId="243D35D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1 657</w:t>
            </w:r>
          </w:p>
        </w:tc>
        <w:tc>
          <w:tcPr>
            <w:tcW w:w="969" w:type="dxa"/>
            <w:tcBorders>
              <w:top w:val="nil"/>
              <w:left w:val="nil"/>
              <w:bottom w:val="single" w:sz="4" w:space="0" w:color="auto"/>
              <w:right w:val="single" w:sz="4" w:space="0" w:color="auto"/>
            </w:tcBorders>
            <w:shd w:val="clear" w:color="auto" w:fill="auto"/>
            <w:hideMark/>
          </w:tcPr>
          <w:p w14:paraId="5B46F22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12 974</w:t>
            </w:r>
          </w:p>
        </w:tc>
        <w:tc>
          <w:tcPr>
            <w:tcW w:w="969" w:type="dxa"/>
            <w:tcBorders>
              <w:top w:val="nil"/>
              <w:left w:val="nil"/>
              <w:bottom w:val="single" w:sz="4" w:space="0" w:color="auto"/>
              <w:right w:val="single" w:sz="4" w:space="0" w:color="auto"/>
            </w:tcBorders>
            <w:shd w:val="clear" w:color="auto" w:fill="auto"/>
            <w:hideMark/>
          </w:tcPr>
          <w:p w14:paraId="4BC406A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15 500</w:t>
            </w:r>
          </w:p>
        </w:tc>
        <w:tc>
          <w:tcPr>
            <w:tcW w:w="969" w:type="dxa"/>
            <w:tcBorders>
              <w:top w:val="nil"/>
              <w:left w:val="nil"/>
              <w:bottom w:val="single" w:sz="4" w:space="0" w:color="auto"/>
              <w:right w:val="single" w:sz="4" w:space="0" w:color="auto"/>
            </w:tcBorders>
            <w:shd w:val="clear" w:color="auto" w:fill="auto"/>
            <w:hideMark/>
          </w:tcPr>
          <w:p w14:paraId="3A40EC2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10 842</w:t>
            </w:r>
          </w:p>
        </w:tc>
        <w:tc>
          <w:tcPr>
            <w:tcW w:w="969" w:type="dxa"/>
            <w:tcBorders>
              <w:top w:val="nil"/>
              <w:left w:val="nil"/>
              <w:bottom w:val="single" w:sz="4" w:space="0" w:color="auto"/>
              <w:right w:val="single" w:sz="4" w:space="0" w:color="auto"/>
            </w:tcBorders>
            <w:shd w:val="clear" w:color="auto" w:fill="auto"/>
            <w:hideMark/>
          </w:tcPr>
          <w:p w14:paraId="67B0245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7 980</w:t>
            </w:r>
          </w:p>
        </w:tc>
        <w:tc>
          <w:tcPr>
            <w:tcW w:w="969" w:type="dxa"/>
            <w:tcBorders>
              <w:top w:val="nil"/>
              <w:left w:val="nil"/>
              <w:bottom w:val="single" w:sz="4" w:space="0" w:color="auto"/>
              <w:right w:val="single" w:sz="4" w:space="0" w:color="auto"/>
            </w:tcBorders>
            <w:shd w:val="clear" w:color="auto" w:fill="auto"/>
            <w:hideMark/>
          </w:tcPr>
          <w:p w14:paraId="6B6F738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3 898</w:t>
            </w:r>
          </w:p>
        </w:tc>
        <w:tc>
          <w:tcPr>
            <w:tcW w:w="1238" w:type="dxa"/>
            <w:tcBorders>
              <w:top w:val="nil"/>
              <w:left w:val="nil"/>
              <w:bottom w:val="single" w:sz="4" w:space="0" w:color="auto"/>
              <w:right w:val="single" w:sz="8" w:space="0" w:color="auto"/>
            </w:tcBorders>
            <w:shd w:val="clear" w:color="auto" w:fill="auto"/>
            <w:hideMark/>
          </w:tcPr>
          <w:p w14:paraId="2DAFCBE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1 687</w:t>
            </w:r>
          </w:p>
        </w:tc>
      </w:tr>
      <w:tr w:rsidR="005B6AF9" w:rsidRPr="00680E37" w14:paraId="64AC78AE" w14:textId="77777777" w:rsidTr="00680E37">
        <w:trPr>
          <w:trHeight w:val="174"/>
        </w:trPr>
        <w:tc>
          <w:tcPr>
            <w:tcW w:w="567" w:type="dxa"/>
            <w:vMerge/>
            <w:tcBorders>
              <w:top w:val="nil"/>
              <w:left w:val="single" w:sz="8" w:space="0" w:color="auto"/>
              <w:bottom w:val="single" w:sz="8" w:space="0" w:color="000000"/>
              <w:right w:val="single" w:sz="4" w:space="0" w:color="auto"/>
            </w:tcBorders>
            <w:vAlign w:val="center"/>
            <w:hideMark/>
          </w:tcPr>
          <w:p w14:paraId="414BB059"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0FB92F9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w:t>
            </w:r>
          </w:p>
        </w:tc>
        <w:tc>
          <w:tcPr>
            <w:tcW w:w="1829" w:type="dxa"/>
            <w:tcBorders>
              <w:top w:val="nil"/>
              <w:left w:val="nil"/>
              <w:bottom w:val="single" w:sz="4" w:space="0" w:color="auto"/>
              <w:right w:val="single" w:sz="4" w:space="0" w:color="auto"/>
            </w:tcBorders>
            <w:shd w:val="clear" w:color="auto" w:fill="auto"/>
            <w:hideMark/>
          </w:tcPr>
          <w:p w14:paraId="4E642F0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Ауэзовский</w:t>
            </w:r>
          </w:p>
        </w:tc>
        <w:tc>
          <w:tcPr>
            <w:tcW w:w="780" w:type="dxa"/>
            <w:tcBorders>
              <w:top w:val="nil"/>
              <w:left w:val="nil"/>
              <w:bottom w:val="single" w:sz="4" w:space="0" w:color="auto"/>
              <w:right w:val="single" w:sz="4" w:space="0" w:color="auto"/>
            </w:tcBorders>
            <w:shd w:val="clear" w:color="auto" w:fill="auto"/>
            <w:hideMark/>
          </w:tcPr>
          <w:p w14:paraId="746C80E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2 604</w:t>
            </w:r>
          </w:p>
        </w:tc>
        <w:tc>
          <w:tcPr>
            <w:tcW w:w="955" w:type="dxa"/>
            <w:tcBorders>
              <w:top w:val="nil"/>
              <w:left w:val="nil"/>
              <w:bottom w:val="single" w:sz="4" w:space="0" w:color="auto"/>
              <w:right w:val="single" w:sz="4" w:space="0" w:color="auto"/>
            </w:tcBorders>
            <w:shd w:val="clear" w:color="auto" w:fill="auto"/>
            <w:hideMark/>
          </w:tcPr>
          <w:p w14:paraId="0199C63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11 729</w:t>
            </w:r>
          </w:p>
        </w:tc>
        <w:tc>
          <w:tcPr>
            <w:tcW w:w="954" w:type="dxa"/>
            <w:tcBorders>
              <w:top w:val="nil"/>
              <w:left w:val="nil"/>
              <w:bottom w:val="single" w:sz="4" w:space="0" w:color="auto"/>
              <w:right w:val="single" w:sz="4" w:space="0" w:color="auto"/>
            </w:tcBorders>
            <w:shd w:val="clear" w:color="auto" w:fill="auto"/>
            <w:hideMark/>
          </w:tcPr>
          <w:p w14:paraId="035694C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12 680</w:t>
            </w:r>
          </w:p>
        </w:tc>
        <w:tc>
          <w:tcPr>
            <w:tcW w:w="969" w:type="dxa"/>
            <w:tcBorders>
              <w:top w:val="nil"/>
              <w:left w:val="nil"/>
              <w:bottom w:val="single" w:sz="4" w:space="0" w:color="auto"/>
              <w:right w:val="single" w:sz="4" w:space="0" w:color="auto"/>
            </w:tcBorders>
            <w:shd w:val="clear" w:color="auto" w:fill="auto"/>
            <w:hideMark/>
          </w:tcPr>
          <w:p w14:paraId="2B96A43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9 738</w:t>
            </w:r>
          </w:p>
        </w:tc>
        <w:tc>
          <w:tcPr>
            <w:tcW w:w="969" w:type="dxa"/>
            <w:tcBorders>
              <w:top w:val="nil"/>
              <w:left w:val="nil"/>
              <w:bottom w:val="single" w:sz="4" w:space="0" w:color="auto"/>
              <w:right w:val="single" w:sz="4" w:space="0" w:color="auto"/>
            </w:tcBorders>
            <w:shd w:val="clear" w:color="auto" w:fill="auto"/>
            <w:hideMark/>
          </w:tcPr>
          <w:p w14:paraId="4D266BA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4 969</w:t>
            </w:r>
          </w:p>
        </w:tc>
        <w:tc>
          <w:tcPr>
            <w:tcW w:w="969" w:type="dxa"/>
            <w:tcBorders>
              <w:top w:val="nil"/>
              <w:left w:val="nil"/>
              <w:bottom w:val="single" w:sz="4" w:space="0" w:color="auto"/>
              <w:right w:val="single" w:sz="4" w:space="0" w:color="auto"/>
            </w:tcBorders>
            <w:shd w:val="clear" w:color="auto" w:fill="auto"/>
            <w:hideMark/>
          </w:tcPr>
          <w:p w14:paraId="55FC39B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3 728</w:t>
            </w:r>
          </w:p>
        </w:tc>
        <w:tc>
          <w:tcPr>
            <w:tcW w:w="969" w:type="dxa"/>
            <w:tcBorders>
              <w:top w:val="nil"/>
              <w:left w:val="nil"/>
              <w:bottom w:val="single" w:sz="4" w:space="0" w:color="auto"/>
              <w:right w:val="single" w:sz="4" w:space="0" w:color="auto"/>
            </w:tcBorders>
            <w:shd w:val="clear" w:color="auto" w:fill="auto"/>
            <w:hideMark/>
          </w:tcPr>
          <w:p w14:paraId="483F46C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18 348</w:t>
            </w:r>
          </w:p>
        </w:tc>
        <w:tc>
          <w:tcPr>
            <w:tcW w:w="969" w:type="dxa"/>
            <w:tcBorders>
              <w:top w:val="nil"/>
              <w:left w:val="nil"/>
              <w:bottom w:val="single" w:sz="4" w:space="0" w:color="auto"/>
              <w:right w:val="single" w:sz="4" w:space="0" w:color="auto"/>
            </w:tcBorders>
            <w:shd w:val="clear" w:color="auto" w:fill="auto"/>
            <w:hideMark/>
          </w:tcPr>
          <w:p w14:paraId="3E8AE83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19 027</w:t>
            </w:r>
          </w:p>
        </w:tc>
        <w:tc>
          <w:tcPr>
            <w:tcW w:w="969" w:type="dxa"/>
            <w:tcBorders>
              <w:top w:val="nil"/>
              <w:left w:val="nil"/>
              <w:bottom w:val="single" w:sz="4" w:space="0" w:color="auto"/>
              <w:right w:val="single" w:sz="4" w:space="0" w:color="auto"/>
            </w:tcBorders>
            <w:shd w:val="clear" w:color="auto" w:fill="auto"/>
            <w:hideMark/>
          </w:tcPr>
          <w:p w14:paraId="71FBF22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13 862</w:t>
            </w:r>
          </w:p>
        </w:tc>
        <w:tc>
          <w:tcPr>
            <w:tcW w:w="969" w:type="dxa"/>
            <w:tcBorders>
              <w:top w:val="nil"/>
              <w:left w:val="nil"/>
              <w:bottom w:val="single" w:sz="4" w:space="0" w:color="auto"/>
              <w:right w:val="single" w:sz="4" w:space="0" w:color="auto"/>
            </w:tcBorders>
            <w:shd w:val="clear" w:color="auto" w:fill="auto"/>
            <w:hideMark/>
          </w:tcPr>
          <w:p w14:paraId="6985B06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12 004</w:t>
            </w:r>
          </w:p>
        </w:tc>
        <w:tc>
          <w:tcPr>
            <w:tcW w:w="969" w:type="dxa"/>
            <w:tcBorders>
              <w:top w:val="nil"/>
              <w:left w:val="nil"/>
              <w:bottom w:val="single" w:sz="4" w:space="0" w:color="auto"/>
              <w:right w:val="single" w:sz="4" w:space="0" w:color="auto"/>
            </w:tcBorders>
            <w:shd w:val="clear" w:color="auto" w:fill="auto"/>
            <w:hideMark/>
          </w:tcPr>
          <w:p w14:paraId="48CCA74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8 008</w:t>
            </w:r>
          </w:p>
        </w:tc>
        <w:tc>
          <w:tcPr>
            <w:tcW w:w="1238" w:type="dxa"/>
            <w:tcBorders>
              <w:top w:val="nil"/>
              <w:left w:val="nil"/>
              <w:bottom w:val="single" w:sz="4" w:space="0" w:color="auto"/>
              <w:right w:val="single" w:sz="8" w:space="0" w:color="auto"/>
            </w:tcBorders>
            <w:shd w:val="clear" w:color="auto" w:fill="auto"/>
            <w:hideMark/>
          </w:tcPr>
          <w:p w14:paraId="6E3AE69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4 577</w:t>
            </w:r>
          </w:p>
        </w:tc>
      </w:tr>
      <w:tr w:rsidR="005B6AF9" w:rsidRPr="00680E37" w14:paraId="49779837" w14:textId="77777777" w:rsidTr="00680E37">
        <w:trPr>
          <w:trHeight w:val="208"/>
        </w:trPr>
        <w:tc>
          <w:tcPr>
            <w:tcW w:w="567" w:type="dxa"/>
            <w:vMerge/>
            <w:tcBorders>
              <w:top w:val="nil"/>
              <w:left w:val="single" w:sz="8" w:space="0" w:color="auto"/>
              <w:bottom w:val="single" w:sz="8" w:space="0" w:color="000000"/>
              <w:right w:val="single" w:sz="4" w:space="0" w:color="auto"/>
            </w:tcBorders>
            <w:vAlign w:val="center"/>
            <w:hideMark/>
          </w:tcPr>
          <w:p w14:paraId="479E9EFA"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2B45A8A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w:t>
            </w:r>
          </w:p>
        </w:tc>
        <w:tc>
          <w:tcPr>
            <w:tcW w:w="1829" w:type="dxa"/>
            <w:tcBorders>
              <w:top w:val="nil"/>
              <w:left w:val="nil"/>
              <w:bottom w:val="single" w:sz="4" w:space="0" w:color="auto"/>
              <w:right w:val="single" w:sz="4" w:space="0" w:color="auto"/>
            </w:tcBorders>
            <w:shd w:val="clear" w:color="auto" w:fill="auto"/>
            <w:hideMark/>
          </w:tcPr>
          <w:p w14:paraId="2A63BB4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Бостандыкский</w:t>
            </w:r>
          </w:p>
        </w:tc>
        <w:tc>
          <w:tcPr>
            <w:tcW w:w="780" w:type="dxa"/>
            <w:tcBorders>
              <w:top w:val="nil"/>
              <w:left w:val="nil"/>
              <w:bottom w:val="single" w:sz="4" w:space="0" w:color="auto"/>
              <w:right w:val="single" w:sz="4" w:space="0" w:color="auto"/>
            </w:tcBorders>
            <w:shd w:val="clear" w:color="auto" w:fill="auto"/>
            <w:hideMark/>
          </w:tcPr>
          <w:p w14:paraId="4F13630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2 044</w:t>
            </w:r>
          </w:p>
        </w:tc>
        <w:tc>
          <w:tcPr>
            <w:tcW w:w="955" w:type="dxa"/>
            <w:tcBorders>
              <w:top w:val="nil"/>
              <w:left w:val="nil"/>
              <w:bottom w:val="single" w:sz="4" w:space="0" w:color="auto"/>
              <w:right w:val="single" w:sz="4" w:space="0" w:color="auto"/>
            </w:tcBorders>
            <w:shd w:val="clear" w:color="auto" w:fill="auto"/>
            <w:hideMark/>
          </w:tcPr>
          <w:p w14:paraId="35CA3EF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9 810</w:t>
            </w:r>
          </w:p>
        </w:tc>
        <w:tc>
          <w:tcPr>
            <w:tcW w:w="954" w:type="dxa"/>
            <w:tcBorders>
              <w:top w:val="nil"/>
              <w:left w:val="nil"/>
              <w:bottom w:val="single" w:sz="4" w:space="0" w:color="auto"/>
              <w:right w:val="single" w:sz="4" w:space="0" w:color="auto"/>
            </w:tcBorders>
            <w:shd w:val="clear" w:color="auto" w:fill="auto"/>
            <w:hideMark/>
          </w:tcPr>
          <w:p w14:paraId="2ADF1BA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11 222</w:t>
            </w:r>
          </w:p>
        </w:tc>
        <w:tc>
          <w:tcPr>
            <w:tcW w:w="969" w:type="dxa"/>
            <w:tcBorders>
              <w:top w:val="nil"/>
              <w:left w:val="nil"/>
              <w:bottom w:val="single" w:sz="4" w:space="0" w:color="auto"/>
              <w:right w:val="single" w:sz="4" w:space="0" w:color="auto"/>
            </w:tcBorders>
            <w:shd w:val="clear" w:color="auto" w:fill="auto"/>
            <w:hideMark/>
          </w:tcPr>
          <w:p w14:paraId="4C354BF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8 691</w:t>
            </w:r>
          </w:p>
        </w:tc>
        <w:tc>
          <w:tcPr>
            <w:tcW w:w="969" w:type="dxa"/>
            <w:tcBorders>
              <w:top w:val="nil"/>
              <w:left w:val="nil"/>
              <w:bottom w:val="single" w:sz="4" w:space="0" w:color="auto"/>
              <w:right w:val="single" w:sz="4" w:space="0" w:color="auto"/>
            </w:tcBorders>
            <w:shd w:val="clear" w:color="auto" w:fill="auto"/>
            <w:hideMark/>
          </w:tcPr>
          <w:p w14:paraId="33AFD1D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5 794</w:t>
            </w:r>
          </w:p>
        </w:tc>
        <w:tc>
          <w:tcPr>
            <w:tcW w:w="969" w:type="dxa"/>
            <w:tcBorders>
              <w:top w:val="nil"/>
              <w:left w:val="nil"/>
              <w:bottom w:val="single" w:sz="4" w:space="0" w:color="auto"/>
              <w:right w:val="single" w:sz="4" w:space="0" w:color="auto"/>
            </w:tcBorders>
            <w:shd w:val="clear" w:color="auto" w:fill="auto"/>
            <w:hideMark/>
          </w:tcPr>
          <w:p w14:paraId="7B12FFA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9 328</w:t>
            </w:r>
          </w:p>
        </w:tc>
        <w:tc>
          <w:tcPr>
            <w:tcW w:w="969" w:type="dxa"/>
            <w:tcBorders>
              <w:top w:val="nil"/>
              <w:left w:val="nil"/>
              <w:bottom w:val="single" w:sz="4" w:space="0" w:color="auto"/>
              <w:right w:val="single" w:sz="4" w:space="0" w:color="auto"/>
            </w:tcBorders>
            <w:shd w:val="clear" w:color="auto" w:fill="auto"/>
            <w:hideMark/>
          </w:tcPr>
          <w:p w14:paraId="22E6608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39 034</w:t>
            </w:r>
          </w:p>
        </w:tc>
        <w:tc>
          <w:tcPr>
            <w:tcW w:w="969" w:type="dxa"/>
            <w:tcBorders>
              <w:top w:val="nil"/>
              <w:left w:val="nil"/>
              <w:bottom w:val="single" w:sz="4" w:space="0" w:color="auto"/>
              <w:right w:val="single" w:sz="4" w:space="0" w:color="auto"/>
            </w:tcBorders>
            <w:shd w:val="clear" w:color="auto" w:fill="auto"/>
            <w:hideMark/>
          </w:tcPr>
          <w:p w14:paraId="7B11804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18 816</w:t>
            </w:r>
          </w:p>
        </w:tc>
        <w:tc>
          <w:tcPr>
            <w:tcW w:w="969" w:type="dxa"/>
            <w:tcBorders>
              <w:top w:val="nil"/>
              <w:left w:val="nil"/>
              <w:bottom w:val="single" w:sz="4" w:space="0" w:color="auto"/>
              <w:right w:val="single" w:sz="4" w:space="0" w:color="auto"/>
            </w:tcBorders>
            <w:shd w:val="clear" w:color="auto" w:fill="auto"/>
            <w:hideMark/>
          </w:tcPr>
          <w:p w14:paraId="69739D0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14 583</w:t>
            </w:r>
          </w:p>
        </w:tc>
        <w:tc>
          <w:tcPr>
            <w:tcW w:w="969" w:type="dxa"/>
            <w:tcBorders>
              <w:top w:val="nil"/>
              <w:left w:val="nil"/>
              <w:bottom w:val="single" w:sz="4" w:space="0" w:color="auto"/>
              <w:right w:val="single" w:sz="4" w:space="0" w:color="auto"/>
            </w:tcBorders>
            <w:shd w:val="clear" w:color="auto" w:fill="auto"/>
            <w:hideMark/>
          </w:tcPr>
          <w:p w14:paraId="135B0E9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12 612</w:t>
            </w:r>
          </w:p>
        </w:tc>
        <w:tc>
          <w:tcPr>
            <w:tcW w:w="969" w:type="dxa"/>
            <w:tcBorders>
              <w:top w:val="nil"/>
              <w:left w:val="nil"/>
              <w:bottom w:val="single" w:sz="4" w:space="0" w:color="auto"/>
              <w:right w:val="single" w:sz="4" w:space="0" w:color="auto"/>
            </w:tcBorders>
            <w:shd w:val="clear" w:color="auto" w:fill="auto"/>
            <w:hideMark/>
          </w:tcPr>
          <w:p w14:paraId="274BD84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8 941</w:t>
            </w:r>
          </w:p>
        </w:tc>
        <w:tc>
          <w:tcPr>
            <w:tcW w:w="1238" w:type="dxa"/>
            <w:tcBorders>
              <w:top w:val="nil"/>
              <w:left w:val="nil"/>
              <w:bottom w:val="single" w:sz="4" w:space="0" w:color="auto"/>
              <w:right w:val="single" w:sz="8" w:space="0" w:color="auto"/>
            </w:tcBorders>
            <w:shd w:val="clear" w:color="auto" w:fill="auto"/>
            <w:hideMark/>
          </w:tcPr>
          <w:p w14:paraId="23B3F2D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5 641</w:t>
            </w:r>
          </w:p>
        </w:tc>
      </w:tr>
      <w:tr w:rsidR="005B6AF9" w:rsidRPr="00680E37" w14:paraId="7DCBF39E" w14:textId="77777777" w:rsidTr="00680E37">
        <w:trPr>
          <w:trHeight w:val="255"/>
        </w:trPr>
        <w:tc>
          <w:tcPr>
            <w:tcW w:w="567" w:type="dxa"/>
            <w:vMerge/>
            <w:tcBorders>
              <w:top w:val="nil"/>
              <w:left w:val="single" w:sz="8" w:space="0" w:color="auto"/>
              <w:bottom w:val="single" w:sz="8" w:space="0" w:color="000000"/>
              <w:right w:val="single" w:sz="4" w:space="0" w:color="auto"/>
            </w:tcBorders>
            <w:vAlign w:val="center"/>
            <w:hideMark/>
          </w:tcPr>
          <w:p w14:paraId="0C1750B9"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75807B6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w:t>
            </w:r>
          </w:p>
        </w:tc>
        <w:tc>
          <w:tcPr>
            <w:tcW w:w="1829" w:type="dxa"/>
            <w:tcBorders>
              <w:top w:val="nil"/>
              <w:left w:val="nil"/>
              <w:bottom w:val="single" w:sz="4" w:space="0" w:color="auto"/>
              <w:right w:val="single" w:sz="4" w:space="0" w:color="auto"/>
            </w:tcBorders>
            <w:shd w:val="clear" w:color="auto" w:fill="auto"/>
            <w:hideMark/>
          </w:tcPr>
          <w:p w14:paraId="5D0B397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Жетысуский</w:t>
            </w:r>
          </w:p>
        </w:tc>
        <w:tc>
          <w:tcPr>
            <w:tcW w:w="780" w:type="dxa"/>
            <w:tcBorders>
              <w:top w:val="nil"/>
              <w:left w:val="nil"/>
              <w:bottom w:val="single" w:sz="4" w:space="0" w:color="auto"/>
              <w:right w:val="single" w:sz="4" w:space="0" w:color="auto"/>
            </w:tcBorders>
            <w:shd w:val="clear" w:color="auto" w:fill="auto"/>
            <w:hideMark/>
          </w:tcPr>
          <w:p w14:paraId="12A79D3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1 734</w:t>
            </w:r>
          </w:p>
        </w:tc>
        <w:tc>
          <w:tcPr>
            <w:tcW w:w="955" w:type="dxa"/>
            <w:tcBorders>
              <w:top w:val="nil"/>
              <w:left w:val="nil"/>
              <w:bottom w:val="single" w:sz="4" w:space="0" w:color="auto"/>
              <w:right w:val="single" w:sz="4" w:space="0" w:color="auto"/>
            </w:tcBorders>
            <w:shd w:val="clear" w:color="auto" w:fill="auto"/>
            <w:hideMark/>
          </w:tcPr>
          <w:p w14:paraId="4346EF7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7 415</w:t>
            </w:r>
          </w:p>
        </w:tc>
        <w:tc>
          <w:tcPr>
            <w:tcW w:w="954" w:type="dxa"/>
            <w:tcBorders>
              <w:top w:val="nil"/>
              <w:left w:val="nil"/>
              <w:bottom w:val="single" w:sz="4" w:space="0" w:color="auto"/>
              <w:right w:val="single" w:sz="4" w:space="0" w:color="auto"/>
            </w:tcBorders>
            <w:shd w:val="clear" w:color="auto" w:fill="auto"/>
            <w:hideMark/>
          </w:tcPr>
          <w:p w14:paraId="135C9F3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8 548</w:t>
            </w:r>
          </w:p>
        </w:tc>
        <w:tc>
          <w:tcPr>
            <w:tcW w:w="969" w:type="dxa"/>
            <w:tcBorders>
              <w:top w:val="nil"/>
              <w:left w:val="nil"/>
              <w:bottom w:val="single" w:sz="4" w:space="0" w:color="auto"/>
              <w:right w:val="single" w:sz="4" w:space="0" w:color="auto"/>
            </w:tcBorders>
            <w:shd w:val="clear" w:color="auto" w:fill="auto"/>
            <w:hideMark/>
          </w:tcPr>
          <w:p w14:paraId="6353C5C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6 240</w:t>
            </w:r>
          </w:p>
        </w:tc>
        <w:tc>
          <w:tcPr>
            <w:tcW w:w="969" w:type="dxa"/>
            <w:tcBorders>
              <w:top w:val="nil"/>
              <w:left w:val="nil"/>
              <w:bottom w:val="single" w:sz="4" w:space="0" w:color="auto"/>
              <w:right w:val="single" w:sz="4" w:space="0" w:color="auto"/>
            </w:tcBorders>
            <w:shd w:val="clear" w:color="auto" w:fill="auto"/>
            <w:hideMark/>
          </w:tcPr>
          <w:p w14:paraId="1FD87A1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2 665</w:t>
            </w:r>
          </w:p>
        </w:tc>
        <w:tc>
          <w:tcPr>
            <w:tcW w:w="969" w:type="dxa"/>
            <w:tcBorders>
              <w:top w:val="nil"/>
              <w:left w:val="nil"/>
              <w:bottom w:val="single" w:sz="4" w:space="0" w:color="auto"/>
              <w:right w:val="single" w:sz="4" w:space="0" w:color="auto"/>
            </w:tcBorders>
            <w:shd w:val="clear" w:color="auto" w:fill="auto"/>
            <w:hideMark/>
          </w:tcPr>
          <w:p w14:paraId="4ED02FF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1 767</w:t>
            </w:r>
          </w:p>
        </w:tc>
        <w:tc>
          <w:tcPr>
            <w:tcW w:w="969" w:type="dxa"/>
            <w:tcBorders>
              <w:top w:val="nil"/>
              <w:left w:val="nil"/>
              <w:bottom w:val="single" w:sz="4" w:space="0" w:color="auto"/>
              <w:right w:val="single" w:sz="4" w:space="0" w:color="auto"/>
            </w:tcBorders>
            <w:shd w:val="clear" w:color="auto" w:fill="auto"/>
            <w:hideMark/>
          </w:tcPr>
          <w:p w14:paraId="23CD541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12 557</w:t>
            </w:r>
          </w:p>
        </w:tc>
        <w:tc>
          <w:tcPr>
            <w:tcW w:w="969" w:type="dxa"/>
            <w:tcBorders>
              <w:top w:val="nil"/>
              <w:left w:val="nil"/>
              <w:bottom w:val="single" w:sz="4" w:space="0" w:color="auto"/>
              <w:right w:val="single" w:sz="4" w:space="0" w:color="auto"/>
            </w:tcBorders>
            <w:shd w:val="clear" w:color="auto" w:fill="auto"/>
            <w:hideMark/>
          </w:tcPr>
          <w:p w14:paraId="171F36F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13 296</w:t>
            </w:r>
          </w:p>
        </w:tc>
        <w:tc>
          <w:tcPr>
            <w:tcW w:w="969" w:type="dxa"/>
            <w:tcBorders>
              <w:top w:val="nil"/>
              <w:left w:val="nil"/>
              <w:bottom w:val="single" w:sz="4" w:space="0" w:color="auto"/>
              <w:right w:val="single" w:sz="4" w:space="0" w:color="auto"/>
            </w:tcBorders>
            <w:shd w:val="clear" w:color="auto" w:fill="auto"/>
            <w:hideMark/>
          </w:tcPr>
          <w:p w14:paraId="238C884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9 340</w:t>
            </w:r>
          </w:p>
        </w:tc>
        <w:tc>
          <w:tcPr>
            <w:tcW w:w="969" w:type="dxa"/>
            <w:tcBorders>
              <w:top w:val="nil"/>
              <w:left w:val="nil"/>
              <w:bottom w:val="single" w:sz="4" w:space="0" w:color="auto"/>
              <w:right w:val="single" w:sz="4" w:space="0" w:color="auto"/>
            </w:tcBorders>
            <w:shd w:val="clear" w:color="auto" w:fill="auto"/>
            <w:hideMark/>
          </w:tcPr>
          <w:p w14:paraId="61560BB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7 502</w:t>
            </w:r>
          </w:p>
        </w:tc>
        <w:tc>
          <w:tcPr>
            <w:tcW w:w="969" w:type="dxa"/>
            <w:tcBorders>
              <w:top w:val="nil"/>
              <w:left w:val="nil"/>
              <w:bottom w:val="single" w:sz="4" w:space="0" w:color="auto"/>
              <w:right w:val="single" w:sz="4" w:space="0" w:color="auto"/>
            </w:tcBorders>
            <w:shd w:val="clear" w:color="auto" w:fill="auto"/>
            <w:hideMark/>
          </w:tcPr>
          <w:p w14:paraId="3D0CADE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4 504</w:t>
            </w:r>
          </w:p>
        </w:tc>
        <w:tc>
          <w:tcPr>
            <w:tcW w:w="1238" w:type="dxa"/>
            <w:tcBorders>
              <w:top w:val="nil"/>
              <w:left w:val="nil"/>
              <w:bottom w:val="single" w:sz="4" w:space="0" w:color="auto"/>
              <w:right w:val="single" w:sz="8" w:space="0" w:color="auto"/>
            </w:tcBorders>
            <w:shd w:val="clear" w:color="auto" w:fill="auto"/>
            <w:hideMark/>
          </w:tcPr>
          <w:p w14:paraId="2A78F7E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2 172</w:t>
            </w:r>
          </w:p>
        </w:tc>
      </w:tr>
      <w:tr w:rsidR="005B6AF9" w:rsidRPr="00680E37" w14:paraId="351B9BA7" w14:textId="77777777" w:rsidTr="00680E37">
        <w:trPr>
          <w:trHeight w:val="304"/>
        </w:trPr>
        <w:tc>
          <w:tcPr>
            <w:tcW w:w="567" w:type="dxa"/>
            <w:vMerge/>
            <w:tcBorders>
              <w:top w:val="nil"/>
              <w:left w:val="single" w:sz="8" w:space="0" w:color="auto"/>
              <w:bottom w:val="single" w:sz="8" w:space="0" w:color="000000"/>
              <w:right w:val="single" w:sz="4" w:space="0" w:color="auto"/>
            </w:tcBorders>
            <w:vAlign w:val="center"/>
            <w:hideMark/>
          </w:tcPr>
          <w:p w14:paraId="144E0144"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0F9353C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w:t>
            </w:r>
          </w:p>
        </w:tc>
        <w:tc>
          <w:tcPr>
            <w:tcW w:w="1829" w:type="dxa"/>
            <w:tcBorders>
              <w:top w:val="nil"/>
              <w:left w:val="nil"/>
              <w:bottom w:val="single" w:sz="4" w:space="0" w:color="auto"/>
              <w:right w:val="single" w:sz="4" w:space="0" w:color="auto"/>
            </w:tcBorders>
            <w:shd w:val="clear" w:color="auto" w:fill="auto"/>
            <w:hideMark/>
          </w:tcPr>
          <w:p w14:paraId="2201335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Медеуский</w:t>
            </w:r>
          </w:p>
        </w:tc>
        <w:tc>
          <w:tcPr>
            <w:tcW w:w="780" w:type="dxa"/>
            <w:tcBorders>
              <w:top w:val="nil"/>
              <w:left w:val="nil"/>
              <w:bottom w:val="single" w:sz="4" w:space="0" w:color="auto"/>
              <w:right w:val="single" w:sz="4" w:space="0" w:color="auto"/>
            </w:tcBorders>
            <w:shd w:val="clear" w:color="auto" w:fill="auto"/>
            <w:hideMark/>
          </w:tcPr>
          <w:p w14:paraId="231A44E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1 855</w:t>
            </w:r>
          </w:p>
        </w:tc>
        <w:tc>
          <w:tcPr>
            <w:tcW w:w="955" w:type="dxa"/>
            <w:tcBorders>
              <w:top w:val="nil"/>
              <w:left w:val="nil"/>
              <w:bottom w:val="single" w:sz="4" w:space="0" w:color="auto"/>
              <w:right w:val="single" w:sz="4" w:space="0" w:color="auto"/>
            </w:tcBorders>
            <w:shd w:val="clear" w:color="auto" w:fill="auto"/>
            <w:hideMark/>
          </w:tcPr>
          <w:p w14:paraId="41D123C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8 980</w:t>
            </w:r>
          </w:p>
        </w:tc>
        <w:tc>
          <w:tcPr>
            <w:tcW w:w="954" w:type="dxa"/>
            <w:tcBorders>
              <w:top w:val="nil"/>
              <w:left w:val="nil"/>
              <w:bottom w:val="single" w:sz="4" w:space="0" w:color="auto"/>
              <w:right w:val="single" w:sz="4" w:space="0" w:color="auto"/>
            </w:tcBorders>
            <w:shd w:val="clear" w:color="auto" w:fill="auto"/>
            <w:hideMark/>
          </w:tcPr>
          <w:p w14:paraId="0F56AAC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10 746</w:t>
            </w:r>
          </w:p>
        </w:tc>
        <w:tc>
          <w:tcPr>
            <w:tcW w:w="969" w:type="dxa"/>
            <w:tcBorders>
              <w:top w:val="nil"/>
              <w:left w:val="nil"/>
              <w:bottom w:val="single" w:sz="4" w:space="0" w:color="auto"/>
              <w:right w:val="single" w:sz="4" w:space="0" w:color="auto"/>
            </w:tcBorders>
            <w:shd w:val="clear" w:color="auto" w:fill="auto"/>
            <w:hideMark/>
          </w:tcPr>
          <w:p w14:paraId="0AE1E56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8 538</w:t>
            </w:r>
          </w:p>
        </w:tc>
        <w:tc>
          <w:tcPr>
            <w:tcW w:w="969" w:type="dxa"/>
            <w:tcBorders>
              <w:top w:val="nil"/>
              <w:left w:val="nil"/>
              <w:bottom w:val="single" w:sz="4" w:space="0" w:color="auto"/>
              <w:right w:val="single" w:sz="4" w:space="0" w:color="auto"/>
            </w:tcBorders>
            <w:shd w:val="clear" w:color="auto" w:fill="auto"/>
            <w:hideMark/>
          </w:tcPr>
          <w:p w14:paraId="1729EC0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4 384</w:t>
            </w:r>
          </w:p>
        </w:tc>
        <w:tc>
          <w:tcPr>
            <w:tcW w:w="969" w:type="dxa"/>
            <w:tcBorders>
              <w:top w:val="nil"/>
              <w:left w:val="nil"/>
              <w:bottom w:val="single" w:sz="4" w:space="0" w:color="auto"/>
              <w:right w:val="single" w:sz="4" w:space="0" w:color="auto"/>
            </w:tcBorders>
            <w:shd w:val="clear" w:color="auto" w:fill="auto"/>
            <w:hideMark/>
          </w:tcPr>
          <w:p w14:paraId="3E513D1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4 517</w:t>
            </w:r>
          </w:p>
        </w:tc>
        <w:tc>
          <w:tcPr>
            <w:tcW w:w="969" w:type="dxa"/>
            <w:tcBorders>
              <w:top w:val="nil"/>
              <w:left w:val="nil"/>
              <w:bottom w:val="single" w:sz="4" w:space="0" w:color="auto"/>
              <w:right w:val="single" w:sz="4" w:space="0" w:color="auto"/>
            </w:tcBorders>
            <w:shd w:val="clear" w:color="auto" w:fill="auto"/>
            <w:hideMark/>
          </w:tcPr>
          <w:p w14:paraId="4DA2303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15 989</w:t>
            </w:r>
          </w:p>
        </w:tc>
        <w:tc>
          <w:tcPr>
            <w:tcW w:w="969" w:type="dxa"/>
            <w:tcBorders>
              <w:top w:val="nil"/>
              <w:left w:val="nil"/>
              <w:bottom w:val="single" w:sz="4" w:space="0" w:color="auto"/>
              <w:right w:val="single" w:sz="4" w:space="0" w:color="auto"/>
            </w:tcBorders>
            <w:shd w:val="clear" w:color="auto" w:fill="auto"/>
            <w:hideMark/>
          </w:tcPr>
          <w:p w14:paraId="62208E0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13 550</w:t>
            </w:r>
          </w:p>
        </w:tc>
        <w:tc>
          <w:tcPr>
            <w:tcW w:w="969" w:type="dxa"/>
            <w:tcBorders>
              <w:top w:val="nil"/>
              <w:left w:val="nil"/>
              <w:bottom w:val="single" w:sz="4" w:space="0" w:color="auto"/>
              <w:right w:val="single" w:sz="4" w:space="0" w:color="auto"/>
            </w:tcBorders>
            <w:shd w:val="clear" w:color="auto" w:fill="auto"/>
            <w:hideMark/>
          </w:tcPr>
          <w:p w14:paraId="15F5EA3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10 310</w:t>
            </w:r>
          </w:p>
        </w:tc>
        <w:tc>
          <w:tcPr>
            <w:tcW w:w="969" w:type="dxa"/>
            <w:tcBorders>
              <w:top w:val="nil"/>
              <w:left w:val="nil"/>
              <w:bottom w:val="single" w:sz="4" w:space="0" w:color="auto"/>
              <w:right w:val="single" w:sz="4" w:space="0" w:color="auto"/>
            </w:tcBorders>
            <w:shd w:val="clear" w:color="auto" w:fill="auto"/>
            <w:hideMark/>
          </w:tcPr>
          <w:p w14:paraId="16278FA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9 334</w:t>
            </w:r>
          </w:p>
        </w:tc>
        <w:tc>
          <w:tcPr>
            <w:tcW w:w="969" w:type="dxa"/>
            <w:tcBorders>
              <w:top w:val="nil"/>
              <w:left w:val="nil"/>
              <w:bottom w:val="single" w:sz="4" w:space="0" w:color="auto"/>
              <w:right w:val="single" w:sz="4" w:space="0" w:color="auto"/>
            </w:tcBorders>
            <w:shd w:val="clear" w:color="auto" w:fill="auto"/>
            <w:hideMark/>
          </w:tcPr>
          <w:p w14:paraId="06BFF38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6 438</w:t>
            </w:r>
          </w:p>
        </w:tc>
        <w:tc>
          <w:tcPr>
            <w:tcW w:w="1238" w:type="dxa"/>
            <w:tcBorders>
              <w:top w:val="nil"/>
              <w:left w:val="nil"/>
              <w:bottom w:val="single" w:sz="4" w:space="0" w:color="auto"/>
              <w:right w:val="single" w:sz="8" w:space="0" w:color="auto"/>
            </w:tcBorders>
            <w:shd w:val="clear" w:color="auto" w:fill="auto"/>
            <w:hideMark/>
          </w:tcPr>
          <w:p w14:paraId="0CEE82C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3 938</w:t>
            </w:r>
          </w:p>
        </w:tc>
      </w:tr>
      <w:tr w:rsidR="005B6AF9" w:rsidRPr="00680E37" w14:paraId="22C2CE55" w14:textId="77777777" w:rsidTr="00680E37">
        <w:trPr>
          <w:trHeight w:val="263"/>
        </w:trPr>
        <w:tc>
          <w:tcPr>
            <w:tcW w:w="567" w:type="dxa"/>
            <w:vMerge/>
            <w:tcBorders>
              <w:top w:val="nil"/>
              <w:left w:val="single" w:sz="8" w:space="0" w:color="auto"/>
              <w:bottom w:val="single" w:sz="8" w:space="0" w:color="000000"/>
              <w:right w:val="single" w:sz="4" w:space="0" w:color="auto"/>
            </w:tcBorders>
            <w:vAlign w:val="center"/>
            <w:hideMark/>
          </w:tcPr>
          <w:p w14:paraId="7F2F3892"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519A304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w:t>
            </w:r>
          </w:p>
        </w:tc>
        <w:tc>
          <w:tcPr>
            <w:tcW w:w="1829" w:type="dxa"/>
            <w:tcBorders>
              <w:top w:val="nil"/>
              <w:left w:val="nil"/>
              <w:bottom w:val="single" w:sz="4" w:space="0" w:color="auto"/>
              <w:right w:val="single" w:sz="4" w:space="0" w:color="auto"/>
            </w:tcBorders>
            <w:shd w:val="clear" w:color="auto" w:fill="auto"/>
            <w:hideMark/>
          </w:tcPr>
          <w:p w14:paraId="2339E0C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Наурызбайский</w:t>
            </w:r>
          </w:p>
        </w:tc>
        <w:tc>
          <w:tcPr>
            <w:tcW w:w="780" w:type="dxa"/>
            <w:tcBorders>
              <w:top w:val="nil"/>
              <w:left w:val="nil"/>
              <w:bottom w:val="single" w:sz="4" w:space="0" w:color="auto"/>
              <w:right w:val="single" w:sz="4" w:space="0" w:color="auto"/>
            </w:tcBorders>
            <w:shd w:val="clear" w:color="auto" w:fill="auto"/>
            <w:hideMark/>
          </w:tcPr>
          <w:p w14:paraId="7E71818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1 290</w:t>
            </w:r>
          </w:p>
        </w:tc>
        <w:tc>
          <w:tcPr>
            <w:tcW w:w="955" w:type="dxa"/>
            <w:tcBorders>
              <w:top w:val="nil"/>
              <w:left w:val="nil"/>
              <w:bottom w:val="single" w:sz="4" w:space="0" w:color="auto"/>
              <w:right w:val="single" w:sz="4" w:space="0" w:color="auto"/>
            </w:tcBorders>
            <w:shd w:val="clear" w:color="auto" w:fill="auto"/>
            <w:hideMark/>
          </w:tcPr>
          <w:p w14:paraId="63839B5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4 888</w:t>
            </w:r>
          </w:p>
        </w:tc>
        <w:tc>
          <w:tcPr>
            <w:tcW w:w="954" w:type="dxa"/>
            <w:tcBorders>
              <w:top w:val="nil"/>
              <w:left w:val="nil"/>
              <w:bottom w:val="single" w:sz="4" w:space="0" w:color="auto"/>
              <w:right w:val="single" w:sz="4" w:space="0" w:color="auto"/>
            </w:tcBorders>
            <w:shd w:val="clear" w:color="auto" w:fill="auto"/>
            <w:hideMark/>
          </w:tcPr>
          <w:p w14:paraId="4AEC585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4 509</w:t>
            </w:r>
          </w:p>
        </w:tc>
        <w:tc>
          <w:tcPr>
            <w:tcW w:w="969" w:type="dxa"/>
            <w:tcBorders>
              <w:top w:val="nil"/>
              <w:left w:val="nil"/>
              <w:bottom w:val="single" w:sz="4" w:space="0" w:color="auto"/>
              <w:right w:val="single" w:sz="4" w:space="0" w:color="auto"/>
            </w:tcBorders>
            <w:shd w:val="clear" w:color="auto" w:fill="auto"/>
            <w:hideMark/>
          </w:tcPr>
          <w:p w14:paraId="6804D5D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3 302</w:t>
            </w:r>
          </w:p>
        </w:tc>
        <w:tc>
          <w:tcPr>
            <w:tcW w:w="969" w:type="dxa"/>
            <w:tcBorders>
              <w:top w:val="nil"/>
              <w:left w:val="nil"/>
              <w:bottom w:val="single" w:sz="4" w:space="0" w:color="auto"/>
              <w:right w:val="single" w:sz="4" w:space="0" w:color="auto"/>
            </w:tcBorders>
            <w:shd w:val="clear" w:color="auto" w:fill="auto"/>
            <w:hideMark/>
          </w:tcPr>
          <w:p w14:paraId="1C8D999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1 477</w:t>
            </w:r>
          </w:p>
        </w:tc>
        <w:tc>
          <w:tcPr>
            <w:tcW w:w="969" w:type="dxa"/>
            <w:tcBorders>
              <w:top w:val="nil"/>
              <w:left w:val="nil"/>
              <w:bottom w:val="single" w:sz="4" w:space="0" w:color="auto"/>
              <w:right w:val="single" w:sz="4" w:space="0" w:color="auto"/>
            </w:tcBorders>
            <w:shd w:val="clear" w:color="auto" w:fill="auto"/>
            <w:hideMark/>
          </w:tcPr>
          <w:p w14:paraId="7F49031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899</w:t>
            </w:r>
          </w:p>
        </w:tc>
        <w:tc>
          <w:tcPr>
            <w:tcW w:w="969" w:type="dxa"/>
            <w:tcBorders>
              <w:top w:val="nil"/>
              <w:left w:val="nil"/>
              <w:bottom w:val="single" w:sz="4" w:space="0" w:color="auto"/>
              <w:right w:val="single" w:sz="4" w:space="0" w:color="auto"/>
            </w:tcBorders>
            <w:shd w:val="clear" w:color="auto" w:fill="auto"/>
            <w:hideMark/>
          </w:tcPr>
          <w:p w14:paraId="2F07E0F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5 496</w:t>
            </w:r>
          </w:p>
        </w:tc>
        <w:tc>
          <w:tcPr>
            <w:tcW w:w="969" w:type="dxa"/>
            <w:tcBorders>
              <w:top w:val="nil"/>
              <w:left w:val="nil"/>
              <w:bottom w:val="single" w:sz="4" w:space="0" w:color="auto"/>
              <w:right w:val="single" w:sz="4" w:space="0" w:color="auto"/>
            </w:tcBorders>
            <w:shd w:val="clear" w:color="auto" w:fill="auto"/>
            <w:hideMark/>
          </w:tcPr>
          <w:p w14:paraId="5C4E67A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5 836</w:t>
            </w:r>
          </w:p>
        </w:tc>
        <w:tc>
          <w:tcPr>
            <w:tcW w:w="969" w:type="dxa"/>
            <w:tcBorders>
              <w:top w:val="nil"/>
              <w:left w:val="nil"/>
              <w:bottom w:val="single" w:sz="4" w:space="0" w:color="auto"/>
              <w:right w:val="single" w:sz="4" w:space="0" w:color="auto"/>
            </w:tcBorders>
            <w:shd w:val="clear" w:color="auto" w:fill="auto"/>
            <w:hideMark/>
          </w:tcPr>
          <w:p w14:paraId="46EC530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4 337</w:t>
            </w:r>
          </w:p>
        </w:tc>
        <w:tc>
          <w:tcPr>
            <w:tcW w:w="969" w:type="dxa"/>
            <w:tcBorders>
              <w:top w:val="nil"/>
              <w:left w:val="nil"/>
              <w:bottom w:val="single" w:sz="4" w:space="0" w:color="auto"/>
              <w:right w:val="single" w:sz="4" w:space="0" w:color="auto"/>
            </w:tcBorders>
            <w:shd w:val="clear" w:color="auto" w:fill="auto"/>
            <w:hideMark/>
          </w:tcPr>
          <w:p w14:paraId="733A250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3 691</w:t>
            </w:r>
          </w:p>
        </w:tc>
        <w:tc>
          <w:tcPr>
            <w:tcW w:w="969" w:type="dxa"/>
            <w:tcBorders>
              <w:top w:val="nil"/>
              <w:left w:val="nil"/>
              <w:bottom w:val="single" w:sz="4" w:space="0" w:color="auto"/>
              <w:right w:val="single" w:sz="4" w:space="0" w:color="auto"/>
            </w:tcBorders>
            <w:shd w:val="clear" w:color="auto" w:fill="auto"/>
            <w:hideMark/>
          </w:tcPr>
          <w:p w14:paraId="18AC916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2 088</w:t>
            </w:r>
          </w:p>
        </w:tc>
        <w:tc>
          <w:tcPr>
            <w:tcW w:w="1238" w:type="dxa"/>
            <w:tcBorders>
              <w:top w:val="nil"/>
              <w:left w:val="nil"/>
              <w:bottom w:val="single" w:sz="4" w:space="0" w:color="auto"/>
              <w:right w:val="single" w:sz="8" w:space="0" w:color="auto"/>
            </w:tcBorders>
            <w:shd w:val="clear" w:color="auto" w:fill="auto"/>
            <w:hideMark/>
          </w:tcPr>
          <w:p w14:paraId="2F531E6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1 018</w:t>
            </w:r>
          </w:p>
        </w:tc>
      </w:tr>
      <w:tr w:rsidR="005B6AF9" w:rsidRPr="00680E37" w14:paraId="0BB7C751" w14:textId="77777777" w:rsidTr="00680E37">
        <w:trPr>
          <w:trHeight w:val="182"/>
        </w:trPr>
        <w:tc>
          <w:tcPr>
            <w:tcW w:w="567" w:type="dxa"/>
            <w:vMerge/>
            <w:tcBorders>
              <w:top w:val="nil"/>
              <w:left w:val="single" w:sz="8" w:space="0" w:color="auto"/>
              <w:bottom w:val="single" w:sz="8" w:space="0" w:color="000000"/>
              <w:right w:val="single" w:sz="4" w:space="0" w:color="auto"/>
            </w:tcBorders>
            <w:vAlign w:val="center"/>
            <w:hideMark/>
          </w:tcPr>
          <w:p w14:paraId="26725617"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8" w:space="0" w:color="auto"/>
              <w:right w:val="single" w:sz="4" w:space="0" w:color="auto"/>
            </w:tcBorders>
            <w:shd w:val="clear" w:color="auto" w:fill="auto"/>
            <w:hideMark/>
          </w:tcPr>
          <w:p w14:paraId="0B5D879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w:t>
            </w:r>
          </w:p>
        </w:tc>
        <w:tc>
          <w:tcPr>
            <w:tcW w:w="1829" w:type="dxa"/>
            <w:tcBorders>
              <w:top w:val="nil"/>
              <w:left w:val="nil"/>
              <w:bottom w:val="single" w:sz="8" w:space="0" w:color="auto"/>
              <w:right w:val="single" w:sz="4" w:space="0" w:color="auto"/>
            </w:tcBorders>
            <w:shd w:val="clear" w:color="auto" w:fill="auto"/>
            <w:hideMark/>
          </w:tcPr>
          <w:p w14:paraId="1E26D65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Турксибский</w:t>
            </w:r>
          </w:p>
        </w:tc>
        <w:tc>
          <w:tcPr>
            <w:tcW w:w="780" w:type="dxa"/>
            <w:tcBorders>
              <w:top w:val="nil"/>
              <w:left w:val="nil"/>
              <w:bottom w:val="single" w:sz="8" w:space="0" w:color="auto"/>
              <w:right w:val="single" w:sz="4" w:space="0" w:color="auto"/>
            </w:tcBorders>
            <w:shd w:val="clear" w:color="auto" w:fill="auto"/>
            <w:hideMark/>
          </w:tcPr>
          <w:p w14:paraId="52FA7DF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1 852</w:t>
            </w:r>
          </w:p>
        </w:tc>
        <w:tc>
          <w:tcPr>
            <w:tcW w:w="955" w:type="dxa"/>
            <w:tcBorders>
              <w:top w:val="nil"/>
              <w:left w:val="nil"/>
              <w:bottom w:val="single" w:sz="8" w:space="0" w:color="auto"/>
              <w:right w:val="single" w:sz="4" w:space="0" w:color="auto"/>
            </w:tcBorders>
            <w:shd w:val="clear" w:color="auto" w:fill="auto"/>
            <w:hideMark/>
          </w:tcPr>
          <w:p w14:paraId="6EBF077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8 110</w:t>
            </w:r>
          </w:p>
        </w:tc>
        <w:tc>
          <w:tcPr>
            <w:tcW w:w="954" w:type="dxa"/>
            <w:tcBorders>
              <w:top w:val="nil"/>
              <w:left w:val="nil"/>
              <w:bottom w:val="single" w:sz="8" w:space="0" w:color="auto"/>
              <w:right w:val="single" w:sz="4" w:space="0" w:color="auto"/>
            </w:tcBorders>
            <w:shd w:val="clear" w:color="auto" w:fill="auto"/>
            <w:hideMark/>
          </w:tcPr>
          <w:p w14:paraId="318ECD9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9 226</w:t>
            </w:r>
          </w:p>
        </w:tc>
        <w:tc>
          <w:tcPr>
            <w:tcW w:w="969" w:type="dxa"/>
            <w:tcBorders>
              <w:top w:val="nil"/>
              <w:left w:val="nil"/>
              <w:bottom w:val="single" w:sz="8" w:space="0" w:color="auto"/>
              <w:right w:val="single" w:sz="4" w:space="0" w:color="auto"/>
            </w:tcBorders>
            <w:shd w:val="clear" w:color="auto" w:fill="auto"/>
            <w:hideMark/>
          </w:tcPr>
          <w:p w14:paraId="4E72779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6 965</w:t>
            </w:r>
          </w:p>
        </w:tc>
        <w:tc>
          <w:tcPr>
            <w:tcW w:w="969" w:type="dxa"/>
            <w:tcBorders>
              <w:top w:val="nil"/>
              <w:left w:val="nil"/>
              <w:bottom w:val="single" w:sz="8" w:space="0" w:color="auto"/>
              <w:right w:val="single" w:sz="4" w:space="0" w:color="auto"/>
            </w:tcBorders>
            <w:shd w:val="clear" w:color="auto" w:fill="auto"/>
            <w:hideMark/>
          </w:tcPr>
          <w:p w14:paraId="1861E1B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3 677</w:t>
            </w:r>
          </w:p>
        </w:tc>
        <w:tc>
          <w:tcPr>
            <w:tcW w:w="969" w:type="dxa"/>
            <w:tcBorders>
              <w:top w:val="nil"/>
              <w:left w:val="nil"/>
              <w:bottom w:val="single" w:sz="8" w:space="0" w:color="auto"/>
              <w:right w:val="single" w:sz="4" w:space="0" w:color="auto"/>
            </w:tcBorders>
            <w:shd w:val="clear" w:color="auto" w:fill="auto"/>
            <w:hideMark/>
          </w:tcPr>
          <w:p w14:paraId="7E1D4D3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2 786</w:t>
            </w:r>
          </w:p>
        </w:tc>
        <w:tc>
          <w:tcPr>
            <w:tcW w:w="969" w:type="dxa"/>
            <w:tcBorders>
              <w:top w:val="nil"/>
              <w:left w:val="nil"/>
              <w:bottom w:val="single" w:sz="8" w:space="0" w:color="auto"/>
              <w:right w:val="single" w:sz="4" w:space="0" w:color="auto"/>
            </w:tcBorders>
            <w:shd w:val="clear" w:color="auto" w:fill="auto"/>
            <w:hideMark/>
          </w:tcPr>
          <w:p w14:paraId="452772F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17 435</w:t>
            </w:r>
          </w:p>
        </w:tc>
        <w:tc>
          <w:tcPr>
            <w:tcW w:w="969" w:type="dxa"/>
            <w:tcBorders>
              <w:top w:val="nil"/>
              <w:left w:val="nil"/>
              <w:bottom w:val="single" w:sz="8" w:space="0" w:color="auto"/>
              <w:right w:val="single" w:sz="4" w:space="0" w:color="auto"/>
            </w:tcBorders>
            <w:shd w:val="clear" w:color="auto" w:fill="auto"/>
            <w:hideMark/>
          </w:tcPr>
          <w:p w14:paraId="15718A7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18 423</w:t>
            </w:r>
          </w:p>
        </w:tc>
        <w:tc>
          <w:tcPr>
            <w:tcW w:w="969" w:type="dxa"/>
            <w:tcBorders>
              <w:top w:val="nil"/>
              <w:left w:val="nil"/>
              <w:bottom w:val="single" w:sz="8" w:space="0" w:color="auto"/>
              <w:right w:val="single" w:sz="4" w:space="0" w:color="auto"/>
            </w:tcBorders>
            <w:shd w:val="clear" w:color="auto" w:fill="auto"/>
            <w:hideMark/>
          </w:tcPr>
          <w:p w14:paraId="3FD9442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13 471</w:t>
            </w:r>
          </w:p>
        </w:tc>
        <w:tc>
          <w:tcPr>
            <w:tcW w:w="969" w:type="dxa"/>
            <w:tcBorders>
              <w:top w:val="nil"/>
              <w:left w:val="nil"/>
              <w:bottom w:val="single" w:sz="8" w:space="0" w:color="auto"/>
              <w:right w:val="single" w:sz="4" w:space="0" w:color="auto"/>
            </w:tcBorders>
            <w:shd w:val="clear" w:color="auto" w:fill="auto"/>
            <w:hideMark/>
          </w:tcPr>
          <w:p w14:paraId="0D17847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11 658</w:t>
            </w:r>
          </w:p>
        </w:tc>
        <w:tc>
          <w:tcPr>
            <w:tcW w:w="969" w:type="dxa"/>
            <w:tcBorders>
              <w:top w:val="nil"/>
              <w:left w:val="nil"/>
              <w:bottom w:val="single" w:sz="8" w:space="0" w:color="auto"/>
              <w:right w:val="single" w:sz="4" w:space="0" w:color="auto"/>
            </w:tcBorders>
            <w:shd w:val="clear" w:color="auto" w:fill="auto"/>
            <w:hideMark/>
          </w:tcPr>
          <w:p w14:paraId="5A41F1A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7 787</w:t>
            </w:r>
          </w:p>
        </w:tc>
        <w:tc>
          <w:tcPr>
            <w:tcW w:w="1238" w:type="dxa"/>
            <w:tcBorders>
              <w:top w:val="nil"/>
              <w:left w:val="nil"/>
              <w:bottom w:val="single" w:sz="8" w:space="0" w:color="auto"/>
              <w:right w:val="single" w:sz="8" w:space="0" w:color="auto"/>
            </w:tcBorders>
            <w:shd w:val="clear" w:color="auto" w:fill="auto"/>
            <w:hideMark/>
          </w:tcPr>
          <w:p w14:paraId="2EE1138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3 535</w:t>
            </w:r>
          </w:p>
        </w:tc>
      </w:tr>
      <w:tr w:rsidR="005B6AF9" w:rsidRPr="00680E37" w14:paraId="43B99752" w14:textId="77777777" w:rsidTr="00680E37">
        <w:trPr>
          <w:trHeight w:val="231"/>
        </w:trPr>
        <w:tc>
          <w:tcPr>
            <w:tcW w:w="567" w:type="dxa"/>
            <w:vMerge w:val="restart"/>
            <w:tcBorders>
              <w:top w:val="nil"/>
              <w:left w:val="single" w:sz="8" w:space="0" w:color="auto"/>
              <w:bottom w:val="single" w:sz="8" w:space="0" w:color="000000"/>
              <w:right w:val="single" w:sz="4" w:space="0" w:color="auto"/>
            </w:tcBorders>
            <w:shd w:val="clear" w:color="auto" w:fill="auto"/>
            <w:noWrap/>
            <w:textDirection w:val="btLr"/>
            <w:vAlign w:val="center"/>
            <w:hideMark/>
          </w:tcPr>
          <w:p w14:paraId="24661FA8" w14:textId="77777777" w:rsidR="005B6AF9" w:rsidRPr="00680E37" w:rsidRDefault="005B6AF9" w:rsidP="004135FE">
            <w:pPr>
              <w:spacing w:after="0" w:line="240" w:lineRule="auto"/>
              <w:jc w:val="center"/>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2018</w:t>
            </w:r>
          </w:p>
        </w:tc>
        <w:tc>
          <w:tcPr>
            <w:tcW w:w="384" w:type="dxa"/>
            <w:tcBorders>
              <w:top w:val="nil"/>
              <w:left w:val="nil"/>
              <w:bottom w:val="single" w:sz="4" w:space="0" w:color="auto"/>
              <w:right w:val="single" w:sz="4" w:space="0" w:color="auto"/>
            </w:tcBorders>
            <w:shd w:val="clear" w:color="auto" w:fill="auto"/>
            <w:hideMark/>
          </w:tcPr>
          <w:p w14:paraId="7CD9307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w:t>
            </w:r>
          </w:p>
        </w:tc>
        <w:tc>
          <w:tcPr>
            <w:tcW w:w="1829" w:type="dxa"/>
            <w:tcBorders>
              <w:top w:val="nil"/>
              <w:left w:val="nil"/>
              <w:bottom w:val="single" w:sz="4" w:space="0" w:color="auto"/>
              <w:right w:val="single" w:sz="4" w:space="0" w:color="auto"/>
            </w:tcBorders>
            <w:shd w:val="clear" w:color="auto" w:fill="auto"/>
            <w:hideMark/>
          </w:tcPr>
          <w:p w14:paraId="33254D8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Алмалинский</w:t>
            </w:r>
          </w:p>
        </w:tc>
        <w:tc>
          <w:tcPr>
            <w:tcW w:w="780" w:type="dxa"/>
            <w:tcBorders>
              <w:top w:val="nil"/>
              <w:left w:val="nil"/>
              <w:bottom w:val="single" w:sz="4" w:space="0" w:color="auto"/>
              <w:right w:val="single" w:sz="4" w:space="0" w:color="auto"/>
            </w:tcBorders>
            <w:shd w:val="clear" w:color="auto" w:fill="auto"/>
            <w:hideMark/>
          </w:tcPr>
          <w:p w14:paraId="391BF71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2 180</w:t>
            </w:r>
          </w:p>
        </w:tc>
        <w:tc>
          <w:tcPr>
            <w:tcW w:w="955" w:type="dxa"/>
            <w:tcBorders>
              <w:top w:val="nil"/>
              <w:left w:val="nil"/>
              <w:bottom w:val="single" w:sz="4" w:space="0" w:color="auto"/>
              <w:right w:val="single" w:sz="4" w:space="0" w:color="auto"/>
            </w:tcBorders>
            <w:shd w:val="clear" w:color="auto" w:fill="auto"/>
            <w:hideMark/>
          </w:tcPr>
          <w:p w14:paraId="00E3901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10 059</w:t>
            </w:r>
          </w:p>
        </w:tc>
        <w:tc>
          <w:tcPr>
            <w:tcW w:w="954" w:type="dxa"/>
            <w:tcBorders>
              <w:top w:val="nil"/>
              <w:left w:val="nil"/>
              <w:bottom w:val="single" w:sz="4" w:space="0" w:color="auto"/>
              <w:right w:val="single" w:sz="4" w:space="0" w:color="auto"/>
            </w:tcBorders>
            <w:shd w:val="clear" w:color="auto" w:fill="auto"/>
            <w:hideMark/>
          </w:tcPr>
          <w:p w14:paraId="351B8E8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11 574</w:t>
            </w:r>
          </w:p>
        </w:tc>
        <w:tc>
          <w:tcPr>
            <w:tcW w:w="969" w:type="dxa"/>
            <w:tcBorders>
              <w:top w:val="nil"/>
              <w:left w:val="nil"/>
              <w:bottom w:val="single" w:sz="4" w:space="0" w:color="auto"/>
              <w:right w:val="single" w:sz="4" w:space="0" w:color="auto"/>
            </w:tcBorders>
            <w:shd w:val="clear" w:color="auto" w:fill="auto"/>
            <w:hideMark/>
          </w:tcPr>
          <w:p w14:paraId="7D38D35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9 762</w:t>
            </w:r>
          </w:p>
        </w:tc>
        <w:tc>
          <w:tcPr>
            <w:tcW w:w="969" w:type="dxa"/>
            <w:tcBorders>
              <w:top w:val="nil"/>
              <w:left w:val="nil"/>
              <w:bottom w:val="single" w:sz="4" w:space="0" w:color="auto"/>
              <w:right w:val="single" w:sz="4" w:space="0" w:color="auto"/>
            </w:tcBorders>
            <w:shd w:val="clear" w:color="auto" w:fill="auto"/>
            <w:hideMark/>
          </w:tcPr>
          <w:p w14:paraId="0811DD8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6 482</w:t>
            </w:r>
          </w:p>
        </w:tc>
        <w:tc>
          <w:tcPr>
            <w:tcW w:w="969" w:type="dxa"/>
            <w:tcBorders>
              <w:top w:val="nil"/>
              <w:left w:val="nil"/>
              <w:bottom w:val="single" w:sz="4" w:space="0" w:color="auto"/>
              <w:right w:val="single" w:sz="4" w:space="0" w:color="auto"/>
            </w:tcBorders>
            <w:shd w:val="clear" w:color="auto" w:fill="auto"/>
            <w:hideMark/>
          </w:tcPr>
          <w:p w14:paraId="306C8FE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7 070</w:t>
            </w:r>
          </w:p>
        </w:tc>
        <w:tc>
          <w:tcPr>
            <w:tcW w:w="969" w:type="dxa"/>
            <w:tcBorders>
              <w:top w:val="nil"/>
              <w:left w:val="nil"/>
              <w:bottom w:val="single" w:sz="4" w:space="0" w:color="auto"/>
              <w:right w:val="single" w:sz="4" w:space="0" w:color="auto"/>
            </w:tcBorders>
            <w:shd w:val="clear" w:color="auto" w:fill="auto"/>
            <w:hideMark/>
          </w:tcPr>
          <w:p w14:paraId="4FDAA26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29 746</w:t>
            </w:r>
          </w:p>
        </w:tc>
        <w:tc>
          <w:tcPr>
            <w:tcW w:w="969" w:type="dxa"/>
            <w:tcBorders>
              <w:top w:val="nil"/>
              <w:left w:val="nil"/>
              <w:bottom w:val="single" w:sz="4" w:space="0" w:color="auto"/>
              <w:right w:val="single" w:sz="4" w:space="0" w:color="auto"/>
            </w:tcBorders>
            <w:shd w:val="clear" w:color="auto" w:fill="auto"/>
            <w:hideMark/>
          </w:tcPr>
          <w:p w14:paraId="11946C4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23 482</w:t>
            </w:r>
          </w:p>
        </w:tc>
        <w:tc>
          <w:tcPr>
            <w:tcW w:w="969" w:type="dxa"/>
            <w:tcBorders>
              <w:top w:val="nil"/>
              <w:left w:val="nil"/>
              <w:bottom w:val="single" w:sz="4" w:space="0" w:color="auto"/>
              <w:right w:val="single" w:sz="4" w:space="0" w:color="auto"/>
            </w:tcBorders>
            <w:shd w:val="clear" w:color="auto" w:fill="auto"/>
            <w:hideMark/>
          </w:tcPr>
          <w:p w14:paraId="060AE87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17 375</w:t>
            </w:r>
          </w:p>
        </w:tc>
        <w:tc>
          <w:tcPr>
            <w:tcW w:w="969" w:type="dxa"/>
            <w:tcBorders>
              <w:top w:val="nil"/>
              <w:left w:val="nil"/>
              <w:bottom w:val="single" w:sz="4" w:space="0" w:color="auto"/>
              <w:right w:val="single" w:sz="4" w:space="0" w:color="auto"/>
            </w:tcBorders>
            <w:shd w:val="clear" w:color="auto" w:fill="auto"/>
            <w:hideMark/>
          </w:tcPr>
          <w:p w14:paraId="6B84DCB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14 433</w:t>
            </w:r>
          </w:p>
        </w:tc>
        <w:tc>
          <w:tcPr>
            <w:tcW w:w="969" w:type="dxa"/>
            <w:tcBorders>
              <w:top w:val="nil"/>
              <w:left w:val="nil"/>
              <w:bottom w:val="single" w:sz="4" w:space="0" w:color="auto"/>
              <w:right w:val="single" w:sz="4" w:space="0" w:color="auto"/>
            </w:tcBorders>
            <w:shd w:val="clear" w:color="auto" w:fill="auto"/>
            <w:hideMark/>
          </w:tcPr>
          <w:p w14:paraId="63136CB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10 196</w:t>
            </w:r>
          </w:p>
        </w:tc>
        <w:tc>
          <w:tcPr>
            <w:tcW w:w="1238" w:type="dxa"/>
            <w:tcBorders>
              <w:top w:val="nil"/>
              <w:left w:val="nil"/>
              <w:bottom w:val="single" w:sz="4" w:space="0" w:color="auto"/>
              <w:right w:val="single" w:sz="8" w:space="0" w:color="auto"/>
            </w:tcBorders>
            <w:shd w:val="clear" w:color="auto" w:fill="auto"/>
            <w:hideMark/>
          </w:tcPr>
          <w:p w14:paraId="7B3F3AA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6 744</w:t>
            </w:r>
          </w:p>
        </w:tc>
      </w:tr>
      <w:tr w:rsidR="005B6AF9" w:rsidRPr="00680E37" w14:paraId="24596A20" w14:textId="77777777" w:rsidTr="00680E37">
        <w:trPr>
          <w:trHeight w:val="122"/>
        </w:trPr>
        <w:tc>
          <w:tcPr>
            <w:tcW w:w="567" w:type="dxa"/>
            <w:vMerge/>
            <w:tcBorders>
              <w:top w:val="nil"/>
              <w:left w:val="single" w:sz="8" w:space="0" w:color="auto"/>
              <w:bottom w:val="single" w:sz="8" w:space="0" w:color="000000"/>
              <w:right w:val="single" w:sz="4" w:space="0" w:color="auto"/>
            </w:tcBorders>
            <w:vAlign w:val="center"/>
            <w:hideMark/>
          </w:tcPr>
          <w:p w14:paraId="41EEF470"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072449C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w:t>
            </w:r>
          </w:p>
        </w:tc>
        <w:tc>
          <w:tcPr>
            <w:tcW w:w="1829" w:type="dxa"/>
            <w:tcBorders>
              <w:top w:val="nil"/>
              <w:left w:val="nil"/>
              <w:bottom w:val="single" w:sz="4" w:space="0" w:color="auto"/>
              <w:right w:val="single" w:sz="4" w:space="0" w:color="auto"/>
            </w:tcBorders>
            <w:shd w:val="clear" w:color="auto" w:fill="auto"/>
            <w:hideMark/>
          </w:tcPr>
          <w:p w14:paraId="162E152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Алатауский</w:t>
            </w:r>
          </w:p>
        </w:tc>
        <w:tc>
          <w:tcPr>
            <w:tcW w:w="780" w:type="dxa"/>
            <w:tcBorders>
              <w:top w:val="nil"/>
              <w:left w:val="nil"/>
              <w:bottom w:val="single" w:sz="4" w:space="0" w:color="auto"/>
              <w:right w:val="single" w:sz="4" w:space="0" w:color="auto"/>
            </w:tcBorders>
            <w:shd w:val="clear" w:color="auto" w:fill="auto"/>
            <w:hideMark/>
          </w:tcPr>
          <w:p w14:paraId="00EE612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3 305</w:t>
            </w:r>
          </w:p>
        </w:tc>
        <w:tc>
          <w:tcPr>
            <w:tcW w:w="955" w:type="dxa"/>
            <w:tcBorders>
              <w:top w:val="nil"/>
              <w:left w:val="nil"/>
              <w:bottom w:val="single" w:sz="4" w:space="0" w:color="auto"/>
              <w:right w:val="single" w:sz="4" w:space="0" w:color="auto"/>
            </w:tcBorders>
            <w:shd w:val="clear" w:color="auto" w:fill="auto"/>
            <w:hideMark/>
          </w:tcPr>
          <w:p w14:paraId="54128CF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13 409</w:t>
            </w:r>
          </w:p>
        </w:tc>
        <w:tc>
          <w:tcPr>
            <w:tcW w:w="954" w:type="dxa"/>
            <w:tcBorders>
              <w:top w:val="nil"/>
              <w:left w:val="nil"/>
              <w:bottom w:val="single" w:sz="4" w:space="0" w:color="auto"/>
              <w:right w:val="single" w:sz="4" w:space="0" w:color="auto"/>
            </w:tcBorders>
            <w:shd w:val="clear" w:color="auto" w:fill="auto"/>
            <w:hideMark/>
          </w:tcPr>
          <w:p w14:paraId="66B660C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12 924</w:t>
            </w:r>
          </w:p>
        </w:tc>
        <w:tc>
          <w:tcPr>
            <w:tcW w:w="969" w:type="dxa"/>
            <w:tcBorders>
              <w:top w:val="nil"/>
              <w:left w:val="nil"/>
              <w:bottom w:val="single" w:sz="4" w:space="0" w:color="auto"/>
              <w:right w:val="single" w:sz="4" w:space="0" w:color="auto"/>
            </w:tcBorders>
            <w:shd w:val="clear" w:color="auto" w:fill="auto"/>
            <w:hideMark/>
          </w:tcPr>
          <w:p w14:paraId="7DABAC6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9 820</w:t>
            </w:r>
          </w:p>
        </w:tc>
        <w:tc>
          <w:tcPr>
            <w:tcW w:w="969" w:type="dxa"/>
            <w:tcBorders>
              <w:top w:val="nil"/>
              <w:left w:val="nil"/>
              <w:bottom w:val="single" w:sz="4" w:space="0" w:color="auto"/>
              <w:right w:val="single" w:sz="4" w:space="0" w:color="auto"/>
            </w:tcBorders>
            <w:shd w:val="clear" w:color="auto" w:fill="auto"/>
            <w:hideMark/>
          </w:tcPr>
          <w:p w14:paraId="3E02AE4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3 918</w:t>
            </w:r>
          </w:p>
        </w:tc>
        <w:tc>
          <w:tcPr>
            <w:tcW w:w="969" w:type="dxa"/>
            <w:tcBorders>
              <w:top w:val="nil"/>
              <w:left w:val="nil"/>
              <w:bottom w:val="single" w:sz="4" w:space="0" w:color="auto"/>
              <w:right w:val="single" w:sz="4" w:space="0" w:color="auto"/>
            </w:tcBorders>
            <w:shd w:val="clear" w:color="auto" w:fill="auto"/>
            <w:hideMark/>
          </w:tcPr>
          <w:p w14:paraId="07E4F48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1 977</w:t>
            </w:r>
          </w:p>
        </w:tc>
        <w:tc>
          <w:tcPr>
            <w:tcW w:w="969" w:type="dxa"/>
            <w:tcBorders>
              <w:top w:val="nil"/>
              <w:left w:val="nil"/>
              <w:bottom w:val="single" w:sz="4" w:space="0" w:color="auto"/>
              <w:right w:val="single" w:sz="4" w:space="0" w:color="auto"/>
            </w:tcBorders>
            <w:shd w:val="clear" w:color="auto" w:fill="auto"/>
            <w:hideMark/>
          </w:tcPr>
          <w:p w14:paraId="75856F8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12 731</w:t>
            </w:r>
          </w:p>
        </w:tc>
        <w:tc>
          <w:tcPr>
            <w:tcW w:w="969" w:type="dxa"/>
            <w:tcBorders>
              <w:top w:val="nil"/>
              <w:left w:val="nil"/>
              <w:bottom w:val="single" w:sz="4" w:space="0" w:color="auto"/>
              <w:right w:val="single" w:sz="4" w:space="0" w:color="auto"/>
            </w:tcBorders>
            <w:shd w:val="clear" w:color="auto" w:fill="auto"/>
            <w:hideMark/>
          </w:tcPr>
          <w:p w14:paraId="1B14666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16 165</w:t>
            </w:r>
          </w:p>
        </w:tc>
        <w:tc>
          <w:tcPr>
            <w:tcW w:w="969" w:type="dxa"/>
            <w:tcBorders>
              <w:top w:val="nil"/>
              <w:left w:val="nil"/>
              <w:bottom w:val="single" w:sz="4" w:space="0" w:color="auto"/>
              <w:right w:val="single" w:sz="4" w:space="0" w:color="auto"/>
            </w:tcBorders>
            <w:shd w:val="clear" w:color="auto" w:fill="auto"/>
            <w:hideMark/>
          </w:tcPr>
          <w:p w14:paraId="78A89D6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11 222</w:t>
            </w:r>
          </w:p>
        </w:tc>
        <w:tc>
          <w:tcPr>
            <w:tcW w:w="969" w:type="dxa"/>
            <w:tcBorders>
              <w:top w:val="nil"/>
              <w:left w:val="nil"/>
              <w:bottom w:val="single" w:sz="4" w:space="0" w:color="auto"/>
              <w:right w:val="single" w:sz="4" w:space="0" w:color="auto"/>
            </w:tcBorders>
            <w:shd w:val="clear" w:color="auto" w:fill="auto"/>
            <w:hideMark/>
          </w:tcPr>
          <w:p w14:paraId="77AC916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8 188</w:t>
            </w:r>
          </w:p>
        </w:tc>
        <w:tc>
          <w:tcPr>
            <w:tcW w:w="969" w:type="dxa"/>
            <w:tcBorders>
              <w:top w:val="nil"/>
              <w:left w:val="nil"/>
              <w:bottom w:val="single" w:sz="4" w:space="0" w:color="auto"/>
              <w:right w:val="single" w:sz="4" w:space="0" w:color="auto"/>
            </w:tcBorders>
            <w:shd w:val="clear" w:color="auto" w:fill="auto"/>
            <w:hideMark/>
          </w:tcPr>
          <w:p w14:paraId="3251F90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4 165</w:t>
            </w:r>
          </w:p>
        </w:tc>
        <w:tc>
          <w:tcPr>
            <w:tcW w:w="1238" w:type="dxa"/>
            <w:tcBorders>
              <w:top w:val="nil"/>
              <w:left w:val="nil"/>
              <w:bottom w:val="single" w:sz="4" w:space="0" w:color="auto"/>
              <w:right w:val="single" w:sz="8" w:space="0" w:color="auto"/>
            </w:tcBorders>
            <w:shd w:val="clear" w:color="auto" w:fill="auto"/>
            <w:hideMark/>
          </w:tcPr>
          <w:p w14:paraId="0DCA48D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1 776</w:t>
            </w:r>
          </w:p>
        </w:tc>
      </w:tr>
      <w:tr w:rsidR="005B6AF9" w:rsidRPr="00680E37" w14:paraId="51BA5882" w14:textId="77777777" w:rsidTr="00680E37">
        <w:trPr>
          <w:trHeight w:val="169"/>
        </w:trPr>
        <w:tc>
          <w:tcPr>
            <w:tcW w:w="567" w:type="dxa"/>
            <w:vMerge/>
            <w:tcBorders>
              <w:top w:val="nil"/>
              <w:left w:val="single" w:sz="8" w:space="0" w:color="auto"/>
              <w:bottom w:val="single" w:sz="8" w:space="0" w:color="000000"/>
              <w:right w:val="single" w:sz="4" w:space="0" w:color="auto"/>
            </w:tcBorders>
            <w:vAlign w:val="center"/>
            <w:hideMark/>
          </w:tcPr>
          <w:p w14:paraId="1549176F"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3014AD9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w:t>
            </w:r>
          </w:p>
        </w:tc>
        <w:tc>
          <w:tcPr>
            <w:tcW w:w="1829" w:type="dxa"/>
            <w:tcBorders>
              <w:top w:val="nil"/>
              <w:left w:val="nil"/>
              <w:bottom w:val="single" w:sz="4" w:space="0" w:color="auto"/>
              <w:right w:val="single" w:sz="4" w:space="0" w:color="auto"/>
            </w:tcBorders>
            <w:shd w:val="clear" w:color="auto" w:fill="auto"/>
            <w:hideMark/>
          </w:tcPr>
          <w:p w14:paraId="2453DFB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Ауэзовский</w:t>
            </w:r>
          </w:p>
        </w:tc>
        <w:tc>
          <w:tcPr>
            <w:tcW w:w="780" w:type="dxa"/>
            <w:tcBorders>
              <w:top w:val="nil"/>
              <w:left w:val="nil"/>
              <w:bottom w:val="single" w:sz="4" w:space="0" w:color="auto"/>
              <w:right w:val="single" w:sz="4" w:space="0" w:color="auto"/>
            </w:tcBorders>
            <w:shd w:val="clear" w:color="auto" w:fill="auto"/>
            <w:hideMark/>
          </w:tcPr>
          <w:p w14:paraId="40B9ED8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2 477</w:t>
            </w:r>
          </w:p>
        </w:tc>
        <w:tc>
          <w:tcPr>
            <w:tcW w:w="955" w:type="dxa"/>
            <w:tcBorders>
              <w:top w:val="nil"/>
              <w:left w:val="nil"/>
              <w:bottom w:val="single" w:sz="4" w:space="0" w:color="auto"/>
              <w:right w:val="single" w:sz="4" w:space="0" w:color="auto"/>
            </w:tcBorders>
            <w:shd w:val="clear" w:color="auto" w:fill="auto"/>
            <w:hideMark/>
          </w:tcPr>
          <w:p w14:paraId="37DA5EE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11 930</w:t>
            </w:r>
          </w:p>
        </w:tc>
        <w:tc>
          <w:tcPr>
            <w:tcW w:w="954" w:type="dxa"/>
            <w:tcBorders>
              <w:top w:val="nil"/>
              <w:left w:val="nil"/>
              <w:bottom w:val="single" w:sz="4" w:space="0" w:color="auto"/>
              <w:right w:val="single" w:sz="4" w:space="0" w:color="auto"/>
            </w:tcBorders>
            <w:shd w:val="clear" w:color="auto" w:fill="auto"/>
            <w:hideMark/>
          </w:tcPr>
          <w:p w14:paraId="4F76F43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13 028</w:t>
            </w:r>
          </w:p>
        </w:tc>
        <w:tc>
          <w:tcPr>
            <w:tcW w:w="969" w:type="dxa"/>
            <w:tcBorders>
              <w:top w:val="nil"/>
              <w:left w:val="nil"/>
              <w:bottom w:val="single" w:sz="4" w:space="0" w:color="auto"/>
              <w:right w:val="single" w:sz="4" w:space="0" w:color="auto"/>
            </w:tcBorders>
            <w:shd w:val="clear" w:color="auto" w:fill="auto"/>
            <w:hideMark/>
          </w:tcPr>
          <w:p w14:paraId="2182F1D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10 580</w:t>
            </w:r>
          </w:p>
        </w:tc>
        <w:tc>
          <w:tcPr>
            <w:tcW w:w="969" w:type="dxa"/>
            <w:tcBorders>
              <w:top w:val="nil"/>
              <w:left w:val="nil"/>
              <w:bottom w:val="single" w:sz="4" w:space="0" w:color="auto"/>
              <w:right w:val="single" w:sz="4" w:space="0" w:color="auto"/>
            </w:tcBorders>
            <w:shd w:val="clear" w:color="auto" w:fill="auto"/>
            <w:hideMark/>
          </w:tcPr>
          <w:p w14:paraId="378395A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5 375</w:t>
            </w:r>
          </w:p>
        </w:tc>
        <w:tc>
          <w:tcPr>
            <w:tcW w:w="969" w:type="dxa"/>
            <w:tcBorders>
              <w:top w:val="nil"/>
              <w:left w:val="nil"/>
              <w:bottom w:val="single" w:sz="4" w:space="0" w:color="auto"/>
              <w:right w:val="single" w:sz="4" w:space="0" w:color="auto"/>
            </w:tcBorders>
            <w:shd w:val="clear" w:color="auto" w:fill="auto"/>
            <w:hideMark/>
          </w:tcPr>
          <w:p w14:paraId="4E0FE58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4 067</w:t>
            </w:r>
          </w:p>
        </w:tc>
        <w:tc>
          <w:tcPr>
            <w:tcW w:w="969" w:type="dxa"/>
            <w:tcBorders>
              <w:top w:val="nil"/>
              <w:left w:val="nil"/>
              <w:bottom w:val="single" w:sz="4" w:space="0" w:color="auto"/>
              <w:right w:val="single" w:sz="4" w:space="0" w:color="auto"/>
            </w:tcBorders>
            <w:shd w:val="clear" w:color="auto" w:fill="auto"/>
            <w:hideMark/>
          </w:tcPr>
          <w:p w14:paraId="52E5540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19 442</w:t>
            </w:r>
          </w:p>
        </w:tc>
        <w:tc>
          <w:tcPr>
            <w:tcW w:w="969" w:type="dxa"/>
            <w:tcBorders>
              <w:top w:val="nil"/>
              <w:left w:val="nil"/>
              <w:bottom w:val="single" w:sz="4" w:space="0" w:color="auto"/>
              <w:right w:val="single" w:sz="4" w:space="0" w:color="auto"/>
            </w:tcBorders>
            <w:shd w:val="clear" w:color="auto" w:fill="auto"/>
            <w:hideMark/>
          </w:tcPr>
          <w:p w14:paraId="42D6085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21 196</w:t>
            </w:r>
          </w:p>
        </w:tc>
        <w:tc>
          <w:tcPr>
            <w:tcW w:w="969" w:type="dxa"/>
            <w:tcBorders>
              <w:top w:val="nil"/>
              <w:left w:val="nil"/>
              <w:bottom w:val="single" w:sz="4" w:space="0" w:color="auto"/>
              <w:right w:val="single" w:sz="4" w:space="0" w:color="auto"/>
            </w:tcBorders>
            <w:shd w:val="clear" w:color="auto" w:fill="auto"/>
            <w:hideMark/>
          </w:tcPr>
          <w:p w14:paraId="280A72A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14 787</w:t>
            </w:r>
          </w:p>
        </w:tc>
        <w:tc>
          <w:tcPr>
            <w:tcW w:w="969" w:type="dxa"/>
            <w:tcBorders>
              <w:top w:val="nil"/>
              <w:left w:val="nil"/>
              <w:bottom w:val="single" w:sz="4" w:space="0" w:color="auto"/>
              <w:right w:val="single" w:sz="4" w:space="0" w:color="auto"/>
            </w:tcBorders>
            <w:shd w:val="clear" w:color="auto" w:fill="auto"/>
            <w:hideMark/>
          </w:tcPr>
          <w:p w14:paraId="33DD5F5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12 386</w:t>
            </w:r>
          </w:p>
        </w:tc>
        <w:tc>
          <w:tcPr>
            <w:tcW w:w="969" w:type="dxa"/>
            <w:tcBorders>
              <w:top w:val="nil"/>
              <w:left w:val="nil"/>
              <w:bottom w:val="single" w:sz="4" w:space="0" w:color="auto"/>
              <w:right w:val="single" w:sz="4" w:space="0" w:color="auto"/>
            </w:tcBorders>
            <w:shd w:val="clear" w:color="auto" w:fill="auto"/>
            <w:hideMark/>
          </w:tcPr>
          <w:p w14:paraId="4E9F4AF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8 625</w:t>
            </w:r>
          </w:p>
        </w:tc>
        <w:tc>
          <w:tcPr>
            <w:tcW w:w="1238" w:type="dxa"/>
            <w:tcBorders>
              <w:top w:val="nil"/>
              <w:left w:val="nil"/>
              <w:bottom w:val="single" w:sz="4" w:space="0" w:color="auto"/>
              <w:right w:val="single" w:sz="8" w:space="0" w:color="auto"/>
            </w:tcBorders>
            <w:shd w:val="clear" w:color="auto" w:fill="auto"/>
            <w:hideMark/>
          </w:tcPr>
          <w:p w14:paraId="500B048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4 914</w:t>
            </w:r>
          </w:p>
        </w:tc>
      </w:tr>
      <w:tr w:rsidR="005B6AF9" w:rsidRPr="00680E37" w14:paraId="33D4F89F" w14:textId="77777777" w:rsidTr="00680E37">
        <w:trPr>
          <w:trHeight w:val="232"/>
        </w:trPr>
        <w:tc>
          <w:tcPr>
            <w:tcW w:w="567" w:type="dxa"/>
            <w:vMerge/>
            <w:tcBorders>
              <w:top w:val="nil"/>
              <w:left w:val="single" w:sz="8" w:space="0" w:color="auto"/>
              <w:bottom w:val="single" w:sz="8" w:space="0" w:color="000000"/>
              <w:right w:val="single" w:sz="4" w:space="0" w:color="auto"/>
            </w:tcBorders>
            <w:vAlign w:val="center"/>
            <w:hideMark/>
          </w:tcPr>
          <w:p w14:paraId="74E25169"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295A0F5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w:t>
            </w:r>
          </w:p>
        </w:tc>
        <w:tc>
          <w:tcPr>
            <w:tcW w:w="1829" w:type="dxa"/>
            <w:tcBorders>
              <w:top w:val="nil"/>
              <w:left w:val="nil"/>
              <w:bottom w:val="single" w:sz="4" w:space="0" w:color="auto"/>
              <w:right w:val="single" w:sz="4" w:space="0" w:color="auto"/>
            </w:tcBorders>
            <w:shd w:val="clear" w:color="auto" w:fill="auto"/>
            <w:hideMark/>
          </w:tcPr>
          <w:p w14:paraId="7F0B99E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Бостандыкский</w:t>
            </w:r>
          </w:p>
        </w:tc>
        <w:tc>
          <w:tcPr>
            <w:tcW w:w="780" w:type="dxa"/>
            <w:tcBorders>
              <w:top w:val="nil"/>
              <w:left w:val="nil"/>
              <w:bottom w:val="single" w:sz="4" w:space="0" w:color="auto"/>
              <w:right w:val="single" w:sz="4" w:space="0" w:color="auto"/>
            </w:tcBorders>
            <w:shd w:val="clear" w:color="auto" w:fill="auto"/>
            <w:hideMark/>
          </w:tcPr>
          <w:p w14:paraId="7B1B30B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1 998</w:t>
            </w:r>
          </w:p>
        </w:tc>
        <w:tc>
          <w:tcPr>
            <w:tcW w:w="955" w:type="dxa"/>
            <w:tcBorders>
              <w:top w:val="nil"/>
              <w:left w:val="nil"/>
              <w:bottom w:val="single" w:sz="4" w:space="0" w:color="auto"/>
              <w:right w:val="single" w:sz="4" w:space="0" w:color="auto"/>
            </w:tcBorders>
            <w:shd w:val="clear" w:color="auto" w:fill="auto"/>
            <w:hideMark/>
          </w:tcPr>
          <w:p w14:paraId="5D27DC2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10 214</w:t>
            </w:r>
          </w:p>
        </w:tc>
        <w:tc>
          <w:tcPr>
            <w:tcW w:w="954" w:type="dxa"/>
            <w:tcBorders>
              <w:top w:val="nil"/>
              <w:left w:val="nil"/>
              <w:bottom w:val="single" w:sz="4" w:space="0" w:color="auto"/>
              <w:right w:val="single" w:sz="4" w:space="0" w:color="auto"/>
            </w:tcBorders>
            <w:shd w:val="clear" w:color="auto" w:fill="auto"/>
            <w:hideMark/>
          </w:tcPr>
          <w:p w14:paraId="5D34B22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11 736</w:t>
            </w:r>
          </w:p>
        </w:tc>
        <w:tc>
          <w:tcPr>
            <w:tcW w:w="969" w:type="dxa"/>
            <w:tcBorders>
              <w:top w:val="nil"/>
              <w:left w:val="nil"/>
              <w:bottom w:val="single" w:sz="4" w:space="0" w:color="auto"/>
              <w:right w:val="single" w:sz="4" w:space="0" w:color="auto"/>
            </w:tcBorders>
            <w:shd w:val="clear" w:color="auto" w:fill="auto"/>
            <w:hideMark/>
          </w:tcPr>
          <w:p w14:paraId="49A29B8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9 697</w:t>
            </w:r>
          </w:p>
        </w:tc>
        <w:tc>
          <w:tcPr>
            <w:tcW w:w="969" w:type="dxa"/>
            <w:tcBorders>
              <w:top w:val="nil"/>
              <w:left w:val="nil"/>
              <w:bottom w:val="single" w:sz="4" w:space="0" w:color="auto"/>
              <w:right w:val="single" w:sz="4" w:space="0" w:color="auto"/>
            </w:tcBorders>
            <w:shd w:val="clear" w:color="auto" w:fill="auto"/>
            <w:hideMark/>
          </w:tcPr>
          <w:p w14:paraId="7E34F6A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6 250</w:t>
            </w:r>
          </w:p>
        </w:tc>
        <w:tc>
          <w:tcPr>
            <w:tcW w:w="969" w:type="dxa"/>
            <w:tcBorders>
              <w:top w:val="nil"/>
              <w:left w:val="nil"/>
              <w:bottom w:val="single" w:sz="4" w:space="0" w:color="auto"/>
              <w:right w:val="single" w:sz="4" w:space="0" w:color="auto"/>
            </w:tcBorders>
            <w:shd w:val="clear" w:color="auto" w:fill="auto"/>
            <w:hideMark/>
          </w:tcPr>
          <w:p w14:paraId="50E6A35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8 629</w:t>
            </w:r>
          </w:p>
        </w:tc>
        <w:tc>
          <w:tcPr>
            <w:tcW w:w="969" w:type="dxa"/>
            <w:tcBorders>
              <w:top w:val="nil"/>
              <w:left w:val="nil"/>
              <w:bottom w:val="single" w:sz="4" w:space="0" w:color="auto"/>
              <w:right w:val="single" w:sz="4" w:space="0" w:color="auto"/>
            </w:tcBorders>
            <w:shd w:val="clear" w:color="auto" w:fill="auto"/>
            <w:hideMark/>
          </w:tcPr>
          <w:p w14:paraId="3B14BEB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39 462</w:t>
            </w:r>
          </w:p>
        </w:tc>
        <w:tc>
          <w:tcPr>
            <w:tcW w:w="969" w:type="dxa"/>
            <w:tcBorders>
              <w:top w:val="nil"/>
              <w:left w:val="nil"/>
              <w:bottom w:val="single" w:sz="4" w:space="0" w:color="auto"/>
              <w:right w:val="single" w:sz="4" w:space="0" w:color="auto"/>
            </w:tcBorders>
            <w:shd w:val="clear" w:color="auto" w:fill="auto"/>
            <w:hideMark/>
          </w:tcPr>
          <w:p w14:paraId="25E5F76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21 034</w:t>
            </w:r>
          </w:p>
        </w:tc>
        <w:tc>
          <w:tcPr>
            <w:tcW w:w="969" w:type="dxa"/>
            <w:tcBorders>
              <w:top w:val="nil"/>
              <w:left w:val="nil"/>
              <w:bottom w:val="single" w:sz="4" w:space="0" w:color="auto"/>
              <w:right w:val="single" w:sz="4" w:space="0" w:color="auto"/>
            </w:tcBorders>
            <w:shd w:val="clear" w:color="auto" w:fill="auto"/>
            <w:hideMark/>
          </w:tcPr>
          <w:p w14:paraId="0250303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15 703</w:t>
            </w:r>
          </w:p>
        </w:tc>
        <w:tc>
          <w:tcPr>
            <w:tcW w:w="969" w:type="dxa"/>
            <w:tcBorders>
              <w:top w:val="nil"/>
              <w:left w:val="nil"/>
              <w:bottom w:val="single" w:sz="4" w:space="0" w:color="auto"/>
              <w:right w:val="single" w:sz="4" w:space="0" w:color="auto"/>
            </w:tcBorders>
            <w:shd w:val="clear" w:color="auto" w:fill="auto"/>
            <w:hideMark/>
          </w:tcPr>
          <w:p w14:paraId="595657A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13 068</w:t>
            </w:r>
          </w:p>
        </w:tc>
        <w:tc>
          <w:tcPr>
            <w:tcW w:w="969" w:type="dxa"/>
            <w:tcBorders>
              <w:top w:val="nil"/>
              <w:left w:val="nil"/>
              <w:bottom w:val="single" w:sz="4" w:space="0" w:color="auto"/>
              <w:right w:val="single" w:sz="4" w:space="0" w:color="auto"/>
            </w:tcBorders>
            <w:shd w:val="clear" w:color="auto" w:fill="auto"/>
            <w:hideMark/>
          </w:tcPr>
          <w:p w14:paraId="606D081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9 333</w:t>
            </w:r>
          </w:p>
        </w:tc>
        <w:tc>
          <w:tcPr>
            <w:tcW w:w="1238" w:type="dxa"/>
            <w:tcBorders>
              <w:top w:val="nil"/>
              <w:left w:val="nil"/>
              <w:bottom w:val="single" w:sz="4" w:space="0" w:color="auto"/>
              <w:right w:val="single" w:sz="8" w:space="0" w:color="auto"/>
            </w:tcBorders>
            <w:shd w:val="clear" w:color="auto" w:fill="auto"/>
            <w:hideMark/>
          </w:tcPr>
          <w:p w14:paraId="51DD5A1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6 060</w:t>
            </w:r>
          </w:p>
        </w:tc>
      </w:tr>
      <w:tr w:rsidR="005B6AF9" w:rsidRPr="00680E37" w14:paraId="094DDE21" w14:textId="77777777" w:rsidTr="00680E37">
        <w:trPr>
          <w:trHeight w:val="124"/>
        </w:trPr>
        <w:tc>
          <w:tcPr>
            <w:tcW w:w="567" w:type="dxa"/>
            <w:vMerge/>
            <w:tcBorders>
              <w:top w:val="nil"/>
              <w:left w:val="single" w:sz="8" w:space="0" w:color="auto"/>
              <w:bottom w:val="single" w:sz="8" w:space="0" w:color="000000"/>
              <w:right w:val="single" w:sz="4" w:space="0" w:color="auto"/>
            </w:tcBorders>
            <w:vAlign w:val="center"/>
            <w:hideMark/>
          </w:tcPr>
          <w:p w14:paraId="0C52B951"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5C9C0BD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w:t>
            </w:r>
          </w:p>
        </w:tc>
        <w:tc>
          <w:tcPr>
            <w:tcW w:w="1829" w:type="dxa"/>
            <w:tcBorders>
              <w:top w:val="nil"/>
              <w:left w:val="nil"/>
              <w:bottom w:val="single" w:sz="4" w:space="0" w:color="auto"/>
              <w:right w:val="single" w:sz="4" w:space="0" w:color="auto"/>
            </w:tcBorders>
            <w:shd w:val="clear" w:color="auto" w:fill="auto"/>
            <w:hideMark/>
          </w:tcPr>
          <w:p w14:paraId="697E8EB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Жетысуский</w:t>
            </w:r>
          </w:p>
        </w:tc>
        <w:tc>
          <w:tcPr>
            <w:tcW w:w="780" w:type="dxa"/>
            <w:tcBorders>
              <w:top w:val="nil"/>
              <w:left w:val="nil"/>
              <w:bottom w:val="single" w:sz="4" w:space="0" w:color="auto"/>
              <w:right w:val="single" w:sz="4" w:space="0" w:color="auto"/>
            </w:tcBorders>
            <w:shd w:val="clear" w:color="auto" w:fill="auto"/>
            <w:hideMark/>
          </w:tcPr>
          <w:p w14:paraId="3736065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1 667</w:t>
            </w:r>
          </w:p>
        </w:tc>
        <w:tc>
          <w:tcPr>
            <w:tcW w:w="955" w:type="dxa"/>
            <w:tcBorders>
              <w:top w:val="nil"/>
              <w:left w:val="nil"/>
              <w:bottom w:val="single" w:sz="4" w:space="0" w:color="auto"/>
              <w:right w:val="single" w:sz="4" w:space="0" w:color="auto"/>
            </w:tcBorders>
            <w:shd w:val="clear" w:color="auto" w:fill="auto"/>
            <w:hideMark/>
          </w:tcPr>
          <w:p w14:paraId="2E9E9EE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7 467</w:t>
            </w:r>
          </w:p>
        </w:tc>
        <w:tc>
          <w:tcPr>
            <w:tcW w:w="954" w:type="dxa"/>
            <w:tcBorders>
              <w:top w:val="nil"/>
              <w:left w:val="nil"/>
              <w:bottom w:val="single" w:sz="4" w:space="0" w:color="auto"/>
              <w:right w:val="single" w:sz="4" w:space="0" w:color="auto"/>
            </w:tcBorders>
            <w:shd w:val="clear" w:color="auto" w:fill="auto"/>
            <w:hideMark/>
          </w:tcPr>
          <w:p w14:paraId="16431FE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8 523</w:t>
            </w:r>
          </w:p>
        </w:tc>
        <w:tc>
          <w:tcPr>
            <w:tcW w:w="969" w:type="dxa"/>
            <w:tcBorders>
              <w:top w:val="nil"/>
              <w:left w:val="nil"/>
              <w:bottom w:val="single" w:sz="4" w:space="0" w:color="auto"/>
              <w:right w:val="single" w:sz="4" w:space="0" w:color="auto"/>
            </w:tcBorders>
            <w:shd w:val="clear" w:color="auto" w:fill="auto"/>
            <w:hideMark/>
          </w:tcPr>
          <w:p w14:paraId="282C5AF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6 811</w:t>
            </w:r>
          </w:p>
        </w:tc>
        <w:tc>
          <w:tcPr>
            <w:tcW w:w="969" w:type="dxa"/>
            <w:tcBorders>
              <w:top w:val="nil"/>
              <w:left w:val="nil"/>
              <w:bottom w:val="single" w:sz="4" w:space="0" w:color="auto"/>
              <w:right w:val="single" w:sz="4" w:space="0" w:color="auto"/>
            </w:tcBorders>
            <w:shd w:val="clear" w:color="auto" w:fill="auto"/>
            <w:hideMark/>
          </w:tcPr>
          <w:p w14:paraId="48AA21A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2 978</w:t>
            </w:r>
          </w:p>
        </w:tc>
        <w:tc>
          <w:tcPr>
            <w:tcW w:w="969" w:type="dxa"/>
            <w:tcBorders>
              <w:top w:val="nil"/>
              <w:left w:val="nil"/>
              <w:bottom w:val="single" w:sz="4" w:space="0" w:color="auto"/>
              <w:right w:val="single" w:sz="4" w:space="0" w:color="auto"/>
            </w:tcBorders>
            <w:shd w:val="clear" w:color="auto" w:fill="auto"/>
            <w:hideMark/>
          </w:tcPr>
          <w:p w14:paraId="41D9C36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2 324</w:t>
            </w:r>
          </w:p>
        </w:tc>
        <w:tc>
          <w:tcPr>
            <w:tcW w:w="969" w:type="dxa"/>
            <w:tcBorders>
              <w:top w:val="nil"/>
              <w:left w:val="nil"/>
              <w:bottom w:val="single" w:sz="4" w:space="0" w:color="auto"/>
              <w:right w:val="single" w:sz="4" w:space="0" w:color="auto"/>
            </w:tcBorders>
            <w:shd w:val="clear" w:color="auto" w:fill="auto"/>
            <w:hideMark/>
          </w:tcPr>
          <w:p w14:paraId="5A2B42E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12 234</w:t>
            </w:r>
          </w:p>
        </w:tc>
        <w:tc>
          <w:tcPr>
            <w:tcW w:w="969" w:type="dxa"/>
            <w:tcBorders>
              <w:top w:val="nil"/>
              <w:left w:val="nil"/>
              <w:bottom w:val="single" w:sz="4" w:space="0" w:color="auto"/>
              <w:right w:val="single" w:sz="4" w:space="0" w:color="auto"/>
            </w:tcBorders>
            <w:shd w:val="clear" w:color="auto" w:fill="auto"/>
            <w:hideMark/>
          </w:tcPr>
          <w:p w14:paraId="48B27FF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13 019</w:t>
            </w:r>
          </w:p>
        </w:tc>
        <w:tc>
          <w:tcPr>
            <w:tcW w:w="969" w:type="dxa"/>
            <w:tcBorders>
              <w:top w:val="nil"/>
              <w:left w:val="nil"/>
              <w:bottom w:val="single" w:sz="4" w:space="0" w:color="auto"/>
              <w:right w:val="single" w:sz="4" w:space="0" w:color="auto"/>
            </w:tcBorders>
            <w:shd w:val="clear" w:color="auto" w:fill="auto"/>
            <w:hideMark/>
          </w:tcPr>
          <w:p w14:paraId="02E5189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9 336</w:t>
            </w:r>
          </w:p>
        </w:tc>
        <w:tc>
          <w:tcPr>
            <w:tcW w:w="969" w:type="dxa"/>
            <w:tcBorders>
              <w:top w:val="nil"/>
              <w:left w:val="nil"/>
              <w:bottom w:val="single" w:sz="4" w:space="0" w:color="auto"/>
              <w:right w:val="single" w:sz="4" w:space="0" w:color="auto"/>
            </w:tcBorders>
            <w:shd w:val="clear" w:color="auto" w:fill="auto"/>
            <w:hideMark/>
          </w:tcPr>
          <w:p w14:paraId="29ECAF6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7 509</w:t>
            </w:r>
          </w:p>
        </w:tc>
        <w:tc>
          <w:tcPr>
            <w:tcW w:w="969" w:type="dxa"/>
            <w:tcBorders>
              <w:top w:val="nil"/>
              <w:left w:val="nil"/>
              <w:bottom w:val="single" w:sz="4" w:space="0" w:color="auto"/>
              <w:right w:val="single" w:sz="4" w:space="0" w:color="auto"/>
            </w:tcBorders>
            <w:shd w:val="clear" w:color="auto" w:fill="auto"/>
            <w:hideMark/>
          </w:tcPr>
          <w:p w14:paraId="78128AE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4 774</w:t>
            </w:r>
          </w:p>
        </w:tc>
        <w:tc>
          <w:tcPr>
            <w:tcW w:w="1238" w:type="dxa"/>
            <w:tcBorders>
              <w:top w:val="nil"/>
              <w:left w:val="nil"/>
              <w:bottom w:val="single" w:sz="4" w:space="0" w:color="auto"/>
              <w:right w:val="single" w:sz="8" w:space="0" w:color="auto"/>
            </w:tcBorders>
            <w:shd w:val="clear" w:color="auto" w:fill="auto"/>
            <w:hideMark/>
          </w:tcPr>
          <w:p w14:paraId="7A682B3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2 311</w:t>
            </w:r>
          </w:p>
        </w:tc>
      </w:tr>
    </w:tbl>
    <w:p w14:paraId="3E1BC4B2" w14:textId="7A3B6810" w:rsidR="00680E37" w:rsidRDefault="00680E37"/>
    <w:tbl>
      <w:tblPr>
        <w:tblW w:w="14459" w:type="dxa"/>
        <w:tblInd w:w="-15" w:type="dxa"/>
        <w:tblLook w:val="04A0" w:firstRow="1" w:lastRow="0" w:firstColumn="1" w:lastColumn="0" w:noHBand="0" w:noVBand="1"/>
      </w:tblPr>
      <w:tblGrid>
        <w:gridCol w:w="568"/>
        <w:gridCol w:w="385"/>
        <w:gridCol w:w="1863"/>
        <w:gridCol w:w="779"/>
        <w:gridCol w:w="952"/>
        <w:gridCol w:w="951"/>
        <w:gridCol w:w="966"/>
        <w:gridCol w:w="966"/>
        <w:gridCol w:w="966"/>
        <w:gridCol w:w="966"/>
        <w:gridCol w:w="966"/>
        <w:gridCol w:w="966"/>
        <w:gridCol w:w="966"/>
        <w:gridCol w:w="966"/>
        <w:gridCol w:w="1233"/>
      </w:tblGrid>
      <w:tr w:rsidR="005B6AF9" w:rsidRPr="00680E37" w14:paraId="763D4B2B" w14:textId="77777777" w:rsidTr="00680E37">
        <w:trPr>
          <w:trHeight w:val="171"/>
        </w:trPr>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0B4F5E0D"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single" w:sz="4" w:space="0" w:color="auto"/>
              <w:left w:val="nil"/>
              <w:bottom w:val="single" w:sz="4" w:space="0" w:color="auto"/>
              <w:right w:val="single" w:sz="4" w:space="0" w:color="auto"/>
            </w:tcBorders>
            <w:shd w:val="clear" w:color="auto" w:fill="auto"/>
            <w:hideMark/>
          </w:tcPr>
          <w:p w14:paraId="7ED7C5D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w:t>
            </w:r>
          </w:p>
        </w:tc>
        <w:tc>
          <w:tcPr>
            <w:tcW w:w="1829" w:type="dxa"/>
            <w:tcBorders>
              <w:top w:val="single" w:sz="4" w:space="0" w:color="auto"/>
              <w:left w:val="nil"/>
              <w:bottom w:val="single" w:sz="4" w:space="0" w:color="auto"/>
              <w:right w:val="single" w:sz="4" w:space="0" w:color="auto"/>
            </w:tcBorders>
            <w:shd w:val="clear" w:color="auto" w:fill="auto"/>
            <w:hideMark/>
          </w:tcPr>
          <w:p w14:paraId="52F9AC6F" w14:textId="23E48D0B" w:rsidR="00680E37" w:rsidRDefault="005B6AF9" w:rsidP="00680E37">
            <w:pPr>
              <w:autoSpaceDE w:val="0"/>
              <w:autoSpaceDN w:val="0"/>
              <w:adjustRightInd w:val="0"/>
              <w:spacing w:after="0" w:line="240" w:lineRule="auto"/>
              <w:jc w:val="both"/>
              <w:rPr>
                <w:rFonts w:ascii="Times New Roman" w:hAnsi="Times New Roman" w:cs="Times New Roman"/>
                <w:sz w:val="28"/>
                <w:szCs w:val="28"/>
              </w:rPr>
            </w:pPr>
            <w:r w:rsidRPr="00680E37">
              <w:rPr>
                <w:rFonts w:ascii="Times New Roman" w:eastAsia="Times New Roman" w:hAnsi="Times New Roman" w:cs="Times New Roman"/>
                <w:sz w:val="24"/>
                <w:szCs w:val="24"/>
              </w:rPr>
              <w:t>Медеуский</w:t>
            </w:r>
            <w:r w:rsidR="00680E37">
              <w:rPr>
                <w:rFonts w:ascii="Times New Roman" w:hAnsi="Times New Roman" w:cs="Times New Roman"/>
                <w:sz w:val="28"/>
                <w:szCs w:val="28"/>
                <w:lang w:val="kk-KZ"/>
              </w:rPr>
              <w:t xml:space="preserve"> Продолжение таблицы А2</w:t>
            </w:r>
          </w:p>
          <w:p w14:paraId="36CD3D31" w14:textId="4F58FCBC" w:rsidR="005B6AF9" w:rsidRPr="00680E37" w:rsidRDefault="005B6AF9" w:rsidP="004135FE">
            <w:pPr>
              <w:spacing w:after="0" w:line="240" w:lineRule="auto"/>
              <w:rPr>
                <w:rFonts w:ascii="Times New Roman" w:eastAsia="Times New Roman" w:hAnsi="Times New Roman" w:cs="Times New Roman"/>
                <w:sz w:val="24"/>
                <w:szCs w:val="24"/>
              </w:rPr>
            </w:pPr>
          </w:p>
        </w:tc>
        <w:tc>
          <w:tcPr>
            <w:tcW w:w="780" w:type="dxa"/>
            <w:tcBorders>
              <w:top w:val="single" w:sz="4" w:space="0" w:color="auto"/>
              <w:left w:val="nil"/>
              <w:bottom w:val="single" w:sz="4" w:space="0" w:color="auto"/>
              <w:right w:val="single" w:sz="4" w:space="0" w:color="auto"/>
            </w:tcBorders>
            <w:shd w:val="clear" w:color="auto" w:fill="auto"/>
            <w:hideMark/>
          </w:tcPr>
          <w:p w14:paraId="7AB15F4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1 787</w:t>
            </w:r>
          </w:p>
        </w:tc>
        <w:tc>
          <w:tcPr>
            <w:tcW w:w="955" w:type="dxa"/>
            <w:tcBorders>
              <w:top w:val="single" w:sz="4" w:space="0" w:color="auto"/>
              <w:left w:val="nil"/>
              <w:bottom w:val="single" w:sz="4" w:space="0" w:color="auto"/>
              <w:right w:val="single" w:sz="4" w:space="0" w:color="auto"/>
            </w:tcBorders>
            <w:shd w:val="clear" w:color="auto" w:fill="auto"/>
            <w:hideMark/>
          </w:tcPr>
          <w:p w14:paraId="01A14F3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9 069</w:t>
            </w:r>
          </w:p>
        </w:tc>
        <w:tc>
          <w:tcPr>
            <w:tcW w:w="954" w:type="dxa"/>
            <w:tcBorders>
              <w:top w:val="single" w:sz="4" w:space="0" w:color="auto"/>
              <w:left w:val="nil"/>
              <w:bottom w:val="single" w:sz="4" w:space="0" w:color="auto"/>
              <w:right w:val="single" w:sz="4" w:space="0" w:color="auto"/>
            </w:tcBorders>
            <w:shd w:val="clear" w:color="auto" w:fill="auto"/>
            <w:hideMark/>
          </w:tcPr>
          <w:p w14:paraId="246970D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10 991</w:t>
            </w:r>
          </w:p>
        </w:tc>
        <w:tc>
          <w:tcPr>
            <w:tcW w:w="969" w:type="dxa"/>
            <w:tcBorders>
              <w:top w:val="single" w:sz="4" w:space="0" w:color="auto"/>
              <w:left w:val="nil"/>
              <w:bottom w:val="single" w:sz="4" w:space="0" w:color="auto"/>
              <w:right w:val="single" w:sz="4" w:space="0" w:color="auto"/>
            </w:tcBorders>
            <w:shd w:val="clear" w:color="auto" w:fill="auto"/>
            <w:hideMark/>
          </w:tcPr>
          <w:p w14:paraId="7C1B8D5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9 469</w:t>
            </w:r>
          </w:p>
        </w:tc>
        <w:tc>
          <w:tcPr>
            <w:tcW w:w="969" w:type="dxa"/>
            <w:tcBorders>
              <w:top w:val="single" w:sz="4" w:space="0" w:color="auto"/>
              <w:left w:val="nil"/>
              <w:bottom w:val="single" w:sz="4" w:space="0" w:color="auto"/>
              <w:right w:val="single" w:sz="4" w:space="0" w:color="auto"/>
            </w:tcBorders>
            <w:shd w:val="clear" w:color="auto" w:fill="auto"/>
            <w:hideMark/>
          </w:tcPr>
          <w:p w14:paraId="480B7EF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4 779</w:t>
            </w:r>
          </w:p>
        </w:tc>
        <w:tc>
          <w:tcPr>
            <w:tcW w:w="969" w:type="dxa"/>
            <w:tcBorders>
              <w:top w:val="single" w:sz="4" w:space="0" w:color="auto"/>
              <w:left w:val="nil"/>
              <w:bottom w:val="single" w:sz="4" w:space="0" w:color="auto"/>
              <w:right w:val="single" w:sz="4" w:space="0" w:color="auto"/>
            </w:tcBorders>
            <w:shd w:val="clear" w:color="auto" w:fill="auto"/>
            <w:hideMark/>
          </w:tcPr>
          <w:p w14:paraId="7C12BF4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4 936</w:t>
            </w:r>
          </w:p>
        </w:tc>
        <w:tc>
          <w:tcPr>
            <w:tcW w:w="969" w:type="dxa"/>
            <w:tcBorders>
              <w:top w:val="single" w:sz="4" w:space="0" w:color="auto"/>
              <w:left w:val="nil"/>
              <w:bottom w:val="single" w:sz="4" w:space="0" w:color="auto"/>
              <w:right w:val="single" w:sz="4" w:space="0" w:color="auto"/>
            </w:tcBorders>
            <w:shd w:val="clear" w:color="auto" w:fill="auto"/>
            <w:hideMark/>
          </w:tcPr>
          <w:p w14:paraId="764179D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16 180</w:t>
            </w:r>
          </w:p>
        </w:tc>
        <w:tc>
          <w:tcPr>
            <w:tcW w:w="969" w:type="dxa"/>
            <w:tcBorders>
              <w:top w:val="single" w:sz="4" w:space="0" w:color="auto"/>
              <w:left w:val="nil"/>
              <w:bottom w:val="single" w:sz="4" w:space="0" w:color="auto"/>
              <w:right w:val="single" w:sz="4" w:space="0" w:color="auto"/>
            </w:tcBorders>
            <w:shd w:val="clear" w:color="auto" w:fill="auto"/>
            <w:hideMark/>
          </w:tcPr>
          <w:p w14:paraId="48ECD00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14 477</w:t>
            </w:r>
          </w:p>
        </w:tc>
        <w:tc>
          <w:tcPr>
            <w:tcW w:w="969" w:type="dxa"/>
            <w:tcBorders>
              <w:top w:val="single" w:sz="4" w:space="0" w:color="auto"/>
              <w:left w:val="nil"/>
              <w:bottom w:val="single" w:sz="4" w:space="0" w:color="auto"/>
              <w:right w:val="single" w:sz="4" w:space="0" w:color="auto"/>
            </w:tcBorders>
            <w:shd w:val="clear" w:color="auto" w:fill="auto"/>
            <w:hideMark/>
          </w:tcPr>
          <w:p w14:paraId="3FF6688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10 866</w:t>
            </w:r>
          </w:p>
        </w:tc>
        <w:tc>
          <w:tcPr>
            <w:tcW w:w="969" w:type="dxa"/>
            <w:tcBorders>
              <w:top w:val="single" w:sz="4" w:space="0" w:color="auto"/>
              <w:left w:val="nil"/>
              <w:bottom w:val="single" w:sz="4" w:space="0" w:color="auto"/>
              <w:right w:val="single" w:sz="4" w:space="0" w:color="auto"/>
            </w:tcBorders>
            <w:shd w:val="clear" w:color="auto" w:fill="auto"/>
            <w:hideMark/>
          </w:tcPr>
          <w:p w14:paraId="6B15BD4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9 562</w:t>
            </w:r>
          </w:p>
        </w:tc>
        <w:tc>
          <w:tcPr>
            <w:tcW w:w="969" w:type="dxa"/>
            <w:tcBorders>
              <w:top w:val="single" w:sz="4" w:space="0" w:color="auto"/>
              <w:left w:val="nil"/>
              <w:bottom w:val="single" w:sz="4" w:space="0" w:color="auto"/>
              <w:right w:val="single" w:sz="4" w:space="0" w:color="auto"/>
            </w:tcBorders>
            <w:shd w:val="clear" w:color="auto" w:fill="auto"/>
            <w:hideMark/>
          </w:tcPr>
          <w:p w14:paraId="3C0BB87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6 736</w:t>
            </w:r>
          </w:p>
        </w:tc>
        <w:tc>
          <w:tcPr>
            <w:tcW w:w="1238" w:type="dxa"/>
            <w:tcBorders>
              <w:top w:val="single" w:sz="4" w:space="0" w:color="auto"/>
              <w:left w:val="nil"/>
              <w:bottom w:val="single" w:sz="4" w:space="0" w:color="auto"/>
              <w:right w:val="single" w:sz="4" w:space="0" w:color="auto"/>
            </w:tcBorders>
            <w:shd w:val="clear" w:color="auto" w:fill="auto"/>
            <w:hideMark/>
          </w:tcPr>
          <w:p w14:paraId="28AFAAE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4 133</w:t>
            </w:r>
          </w:p>
        </w:tc>
      </w:tr>
      <w:tr w:rsidR="005B6AF9" w:rsidRPr="00680E37" w14:paraId="79D9FAE6" w14:textId="77777777" w:rsidTr="00680E37">
        <w:trPr>
          <w:trHeight w:val="220"/>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2879A13D"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single" w:sz="4" w:space="0" w:color="auto"/>
              <w:left w:val="nil"/>
              <w:bottom w:val="single" w:sz="4" w:space="0" w:color="auto"/>
              <w:right w:val="single" w:sz="4" w:space="0" w:color="auto"/>
            </w:tcBorders>
            <w:shd w:val="clear" w:color="auto" w:fill="auto"/>
            <w:hideMark/>
          </w:tcPr>
          <w:p w14:paraId="5D2B7B4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w:t>
            </w:r>
          </w:p>
        </w:tc>
        <w:tc>
          <w:tcPr>
            <w:tcW w:w="1829" w:type="dxa"/>
            <w:tcBorders>
              <w:top w:val="single" w:sz="4" w:space="0" w:color="auto"/>
              <w:left w:val="nil"/>
              <w:bottom w:val="single" w:sz="4" w:space="0" w:color="auto"/>
              <w:right w:val="single" w:sz="4" w:space="0" w:color="auto"/>
            </w:tcBorders>
            <w:shd w:val="clear" w:color="auto" w:fill="auto"/>
            <w:hideMark/>
          </w:tcPr>
          <w:p w14:paraId="6826002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Наурызбайский</w:t>
            </w:r>
          </w:p>
        </w:tc>
        <w:tc>
          <w:tcPr>
            <w:tcW w:w="780" w:type="dxa"/>
            <w:tcBorders>
              <w:top w:val="single" w:sz="4" w:space="0" w:color="auto"/>
              <w:left w:val="nil"/>
              <w:bottom w:val="single" w:sz="4" w:space="0" w:color="auto"/>
              <w:right w:val="single" w:sz="4" w:space="0" w:color="auto"/>
            </w:tcBorders>
            <w:shd w:val="clear" w:color="auto" w:fill="auto"/>
            <w:hideMark/>
          </w:tcPr>
          <w:p w14:paraId="14E0C77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1 415</w:t>
            </w:r>
          </w:p>
        </w:tc>
        <w:tc>
          <w:tcPr>
            <w:tcW w:w="955" w:type="dxa"/>
            <w:tcBorders>
              <w:top w:val="single" w:sz="4" w:space="0" w:color="auto"/>
              <w:left w:val="nil"/>
              <w:bottom w:val="single" w:sz="4" w:space="0" w:color="auto"/>
              <w:right w:val="single" w:sz="4" w:space="0" w:color="auto"/>
            </w:tcBorders>
            <w:shd w:val="clear" w:color="auto" w:fill="auto"/>
            <w:hideMark/>
          </w:tcPr>
          <w:p w14:paraId="0E4FE36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5 769</w:t>
            </w:r>
          </w:p>
        </w:tc>
        <w:tc>
          <w:tcPr>
            <w:tcW w:w="954" w:type="dxa"/>
            <w:tcBorders>
              <w:top w:val="single" w:sz="4" w:space="0" w:color="auto"/>
              <w:left w:val="nil"/>
              <w:bottom w:val="single" w:sz="4" w:space="0" w:color="auto"/>
              <w:right w:val="single" w:sz="4" w:space="0" w:color="auto"/>
            </w:tcBorders>
            <w:shd w:val="clear" w:color="auto" w:fill="auto"/>
            <w:hideMark/>
          </w:tcPr>
          <w:p w14:paraId="29D4172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5 137</w:t>
            </w:r>
          </w:p>
        </w:tc>
        <w:tc>
          <w:tcPr>
            <w:tcW w:w="969" w:type="dxa"/>
            <w:tcBorders>
              <w:top w:val="single" w:sz="4" w:space="0" w:color="auto"/>
              <w:left w:val="nil"/>
              <w:bottom w:val="single" w:sz="4" w:space="0" w:color="auto"/>
              <w:right w:val="single" w:sz="4" w:space="0" w:color="auto"/>
            </w:tcBorders>
            <w:shd w:val="clear" w:color="auto" w:fill="auto"/>
            <w:hideMark/>
          </w:tcPr>
          <w:p w14:paraId="4889DFA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4 091</w:t>
            </w:r>
          </w:p>
        </w:tc>
        <w:tc>
          <w:tcPr>
            <w:tcW w:w="969" w:type="dxa"/>
            <w:tcBorders>
              <w:top w:val="single" w:sz="4" w:space="0" w:color="auto"/>
              <w:left w:val="nil"/>
              <w:bottom w:val="single" w:sz="4" w:space="0" w:color="auto"/>
              <w:right w:val="single" w:sz="4" w:space="0" w:color="auto"/>
            </w:tcBorders>
            <w:shd w:val="clear" w:color="auto" w:fill="auto"/>
            <w:hideMark/>
          </w:tcPr>
          <w:p w14:paraId="6C550BD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1 734</w:t>
            </w:r>
          </w:p>
        </w:tc>
        <w:tc>
          <w:tcPr>
            <w:tcW w:w="969" w:type="dxa"/>
            <w:tcBorders>
              <w:top w:val="single" w:sz="4" w:space="0" w:color="auto"/>
              <w:left w:val="nil"/>
              <w:bottom w:val="single" w:sz="4" w:space="0" w:color="auto"/>
              <w:right w:val="single" w:sz="4" w:space="0" w:color="auto"/>
            </w:tcBorders>
            <w:shd w:val="clear" w:color="auto" w:fill="auto"/>
            <w:hideMark/>
          </w:tcPr>
          <w:p w14:paraId="15B4F81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952</w:t>
            </w:r>
          </w:p>
        </w:tc>
        <w:tc>
          <w:tcPr>
            <w:tcW w:w="969" w:type="dxa"/>
            <w:tcBorders>
              <w:top w:val="single" w:sz="4" w:space="0" w:color="auto"/>
              <w:left w:val="nil"/>
              <w:bottom w:val="single" w:sz="4" w:space="0" w:color="auto"/>
              <w:right w:val="single" w:sz="4" w:space="0" w:color="auto"/>
            </w:tcBorders>
            <w:shd w:val="clear" w:color="auto" w:fill="auto"/>
            <w:hideMark/>
          </w:tcPr>
          <w:p w14:paraId="5A9EB69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6 437</w:t>
            </w:r>
          </w:p>
        </w:tc>
        <w:tc>
          <w:tcPr>
            <w:tcW w:w="969" w:type="dxa"/>
            <w:tcBorders>
              <w:top w:val="single" w:sz="4" w:space="0" w:color="auto"/>
              <w:left w:val="nil"/>
              <w:bottom w:val="single" w:sz="4" w:space="0" w:color="auto"/>
              <w:right w:val="single" w:sz="4" w:space="0" w:color="auto"/>
            </w:tcBorders>
            <w:shd w:val="clear" w:color="auto" w:fill="auto"/>
            <w:hideMark/>
          </w:tcPr>
          <w:p w14:paraId="15D0959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7 096</w:t>
            </w:r>
          </w:p>
        </w:tc>
        <w:tc>
          <w:tcPr>
            <w:tcW w:w="969" w:type="dxa"/>
            <w:tcBorders>
              <w:top w:val="single" w:sz="4" w:space="0" w:color="auto"/>
              <w:left w:val="nil"/>
              <w:bottom w:val="single" w:sz="4" w:space="0" w:color="auto"/>
              <w:right w:val="single" w:sz="4" w:space="0" w:color="auto"/>
            </w:tcBorders>
            <w:shd w:val="clear" w:color="auto" w:fill="auto"/>
            <w:hideMark/>
          </w:tcPr>
          <w:p w14:paraId="7E0721D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5 001</w:t>
            </w:r>
          </w:p>
        </w:tc>
        <w:tc>
          <w:tcPr>
            <w:tcW w:w="969" w:type="dxa"/>
            <w:tcBorders>
              <w:top w:val="single" w:sz="4" w:space="0" w:color="auto"/>
              <w:left w:val="nil"/>
              <w:bottom w:val="single" w:sz="4" w:space="0" w:color="auto"/>
              <w:right w:val="single" w:sz="4" w:space="0" w:color="auto"/>
            </w:tcBorders>
            <w:shd w:val="clear" w:color="auto" w:fill="auto"/>
            <w:hideMark/>
          </w:tcPr>
          <w:p w14:paraId="72AADF9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4 309</w:t>
            </w:r>
          </w:p>
        </w:tc>
        <w:tc>
          <w:tcPr>
            <w:tcW w:w="969" w:type="dxa"/>
            <w:tcBorders>
              <w:top w:val="single" w:sz="4" w:space="0" w:color="auto"/>
              <w:left w:val="nil"/>
              <w:bottom w:val="single" w:sz="4" w:space="0" w:color="auto"/>
              <w:right w:val="single" w:sz="4" w:space="0" w:color="auto"/>
            </w:tcBorders>
            <w:shd w:val="clear" w:color="auto" w:fill="auto"/>
            <w:hideMark/>
          </w:tcPr>
          <w:p w14:paraId="2051A36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2 477</w:t>
            </w:r>
          </w:p>
        </w:tc>
        <w:tc>
          <w:tcPr>
            <w:tcW w:w="1238" w:type="dxa"/>
            <w:tcBorders>
              <w:top w:val="single" w:sz="4" w:space="0" w:color="auto"/>
              <w:left w:val="nil"/>
              <w:bottom w:val="single" w:sz="4" w:space="0" w:color="auto"/>
              <w:right w:val="single" w:sz="4" w:space="0" w:color="auto"/>
            </w:tcBorders>
            <w:shd w:val="clear" w:color="auto" w:fill="auto"/>
            <w:hideMark/>
          </w:tcPr>
          <w:p w14:paraId="76F6EC7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1 162</w:t>
            </w:r>
          </w:p>
        </w:tc>
      </w:tr>
      <w:tr w:rsidR="005B6AF9" w:rsidRPr="00680E37" w14:paraId="0D90BD4E" w14:textId="77777777" w:rsidTr="00680E37">
        <w:trPr>
          <w:trHeight w:val="254"/>
        </w:trPr>
        <w:tc>
          <w:tcPr>
            <w:tcW w:w="567" w:type="dxa"/>
            <w:vMerge/>
            <w:tcBorders>
              <w:top w:val="single" w:sz="4" w:space="0" w:color="auto"/>
              <w:left w:val="single" w:sz="8" w:space="0" w:color="auto"/>
              <w:bottom w:val="single" w:sz="8" w:space="0" w:color="000000"/>
              <w:right w:val="single" w:sz="4" w:space="0" w:color="auto"/>
            </w:tcBorders>
            <w:vAlign w:val="center"/>
            <w:hideMark/>
          </w:tcPr>
          <w:p w14:paraId="3A7B44F6"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single" w:sz="4" w:space="0" w:color="auto"/>
              <w:left w:val="nil"/>
              <w:bottom w:val="single" w:sz="8" w:space="0" w:color="auto"/>
              <w:right w:val="single" w:sz="4" w:space="0" w:color="auto"/>
            </w:tcBorders>
            <w:shd w:val="clear" w:color="auto" w:fill="auto"/>
            <w:hideMark/>
          </w:tcPr>
          <w:p w14:paraId="2611718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w:t>
            </w:r>
          </w:p>
        </w:tc>
        <w:tc>
          <w:tcPr>
            <w:tcW w:w="1829" w:type="dxa"/>
            <w:tcBorders>
              <w:top w:val="single" w:sz="4" w:space="0" w:color="auto"/>
              <w:left w:val="nil"/>
              <w:bottom w:val="single" w:sz="8" w:space="0" w:color="auto"/>
              <w:right w:val="single" w:sz="4" w:space="0" w:color="auto"/>
            </w:tcBorders>
            <w:shd w:val="clear" w:color="auto" w:fill="auto"/>
            <w:hideMark/>
          </w:tcPr>
          <w:p w14:paraId="063C171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Турксибский</w:t>
            </w:r>
          </w:p>
        </w:tc>
        <w:tc>
          <w:tcPr>
            <w:tcW w:w="780" w:type="dxa"/>
            <w:tcBorders>
              <w:top w:val="single" w:sz="4" w:space="0" w:color="auto"/>
              <w:left w:val="nil"/>
              <w:bottom w:val="single" w:sz="8" w:space="0" w:color="auto"/>
              <w:right w:val="single" w:sz="4" w:space="0" w:color="auto"/>
            </w:tcBorders>
            <w:shd w:val="clear" w:color="auto" w:fill="auto"/>
            <w:hideMark/>
          </w:tcPr>
          <w:p w14:paraId="4A4D994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1 924</w:t>
            </w:r>
          </w:p>
        </w:tc>
        <w:tc>
          <w:tcPr>
            <w:tcW w:w="955" w:type="dxa"/>
            <w:tcBorders>
              <w:top w:val="single" w:sz="4" w:space="0" w:color="auto"/>
              <w:left w:val="nil"/>
              <w:bottom w:val="single" w:sz="8" w:space="0" w:color="auto"/>
              <w:right w:val="single" w:sz="4" w:space="0" w:color="auto"/>
            </w:tcBorders>
            <w:shd w:val="clear" w:color="auto" w:fill="auto"/>
            <w:hideMark/>
          </w:tcPr>
          <w:p w14:paraId="1DFF0CA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8 555</w:t>
            </w:r>
          </w:p>
        </w:tc>
        <w:tc>
          <w:tcPr>
            <w:tcW w:w="954" w:type="dxa"/>
            <w:tcBorders>
              <w:top w:val="single" w:sz="4" w:space="0" w:color="auto"/>
              <w:left w:val="nil"/>
              <w:bottom w:val="single" w:sz="8" w:space="0" w:color="auto"/>
              <w:right w:val="single" w:sz="4" w:space="0" w:color="auto"/>
            </w:tcBorders>
            <w:shd w:val="clear" w:color="auto" w:fill="auto"/>
            <w:hideMark/>
          </w:tcPr>
          <w:p w14:paraId="5C95D2F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9 573</w:t>
            </w:r>
          </w:p>
        </w:tc>
        <w:tc>
          <w:tcPr>
            <w:tcW w:w="969" w:type="dxa"/>
            <w:tcBorders>
              <w:top w:val="single" w:sz="4" w:space="0" w:color="auto"/>
              <w:left w:val="nil"/>
              <w:bottom w:val="single" w:sz="8" w:space="0" w:color="auto"/>
              <w:right w:val="single" w:sz="4" w:space="0" w:color="auto"/>
            </w:tcBorders>
            <w:shd w:val="clear" w:color="auto" w:fill="auto"/>
            <w:hideMark/>
          </w:tcPr>
          <w:p w14:paraId="7ACB153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7 802</w:t>
            </w:r>
          </w:p>
        </w:tc>
        <w:tc>
          <w:tcPr>
            <w:tcW w:w="969" w:type="dxa"/>
            <w:tcBorders>
              <w:top w:val="single" w:sz="4" w:space="0" w:color="auto"/>
              <w:left w:val="nil"/>
              <w:bottom w:val="single" w:sz="8" w:space="0" w:color="auto"/>
              <w:right w:val="single" w:sz="4" w:space="0" w:color="auto"/>
            </w:tcBorders>
            <w:shd w:val="clear" w:color="auto" w:fill="auto"/>
            <w:hideMark/>
          </w:tcPr>
          <w:p w14:paraId="5BF99D6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3 826</w:t>
            </w:r>
          </w:p>
        </w:tc>
        <w:tc>
          <w:tcPr>
            <w:tcW w:w="969" w:type="dxa"/>
            <w:tcBorders>
              <w:top w:val="single" w:sz="4" w:space="0" w:color="auto"/>
              <w:left w:val="nil"/>
              <w:bottom w:val="single" w:sz="8" w:space="0" w:color="auto"/>
              <w:right w:val="single" w:sz="4" w:space="0" w:color="auto"/>
            </w:tcBorders>
            <w:shd w:val="clear" w:color="auto" w:fill="auto"/>
            <w:hideMark/>
          </w:tcPr>
          <w:p w14:paraId="1218115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2 575</w:t>
            </w:r>
          </w:p>
        </w:tc>
        <w:tc>
          <w:tcPr>
            <w:tcW w:w="969" w:type="dxa"/>
            <w:tcBorders>
              <w:top w:val="single" w:sz="4" w:space="0" w:color="auto"/>
              <w:left w:val="nil"/>
              <w:bottom w:val="single" w:sz="8" w:space="0" w:color="auto"/>
              <w:right w:val="single" w:sz="4" w:space="0" w:color="auto"/>
            </w:tcBorders>
            <w:shd w:val="clear" w:color="auto" w:fill="auto"/>
            <w:hideMark/>
          </w:tcPr>
          <w:p w14:paraId="405F2FA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16 862</w:t>
            </w:r>
          </w:p>
        </w:tc>
        <w:tc>
          <w:tcPr>
            <w:tcW w:w="969" w:type="dxa"/>
            <w:tcBorders>
              <w:top w:val="single" w:sz="4" w:space="0" w:color="auto"/>
              <w:left w:val="nil"/>
              <w:bottom w:val="single" w:sz="8" w:space="0" w:color="auto"/>
              <w:right w:val="single" w:sz="4" w:space="0" w:color="auto"/>
            </w:tcBorders>
            <w:shd w:val="clear" w:color="auto" w:fill="auto"/>
            <w:hideMark/>
          </w:tcPr>
          <w:p w14:paraId="1EB3A76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19 138</w:t>
            </w:r>
          </w:p>
        </w:tc>
        <w:tc>
          <w:tcPr>
            <w:tcW w:w="969" w:type="dxa"/>
            <w:tcBorders>
              <w:top w:val="single" w:sz="4" w:space="0" w:color="auto"/>
              <w:left w:val="nil"/>
              <w:bottom w:val="single" w:sz="8" w:space="0" w:color="auto"/>
              <w:right w:val="single" w:sz="4" w:space="0" w:color="auto"/>
            </w:tcBorders>
            <w:shd w:val="clear" w:color="auto" w:fill="auto"/>
            <w:hideMark/>
          </w:tcPr>
          <w:p w14:paraId="6D29174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13 805</w:t>
            </w:r>
          </w:p>
        </w:tc>
        <w:tc>
          <w:tcPr>
            <w:tcW w:w="969" w:type="dxa"/>
            <w:tcBorders>
              <w:top w:val="single" w:sz="4" w:space="0" w:color="auto"/>
              <w:left w:val="nil"/>
              <w:bottom w:val="single" w:sz="8" w:space="0" w:color="auto"/>
              <w:right w:val="single" w:sz="4" w:space="0" w:color="auto"/>
            </w:tcBorders>
            <w:shd w:val="clear" w:color="auto" w:fill="auto"/>
            <w:hideMark/>
          </w:tcPr>
          <w:p w14:paraId="5C6F770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11 473</w:t>
            </w:r>
          </w:p>
        </w:tc>
        <w:tc>
          <w:tcPr>
            <w:tcW w:w="969" w:type="dxa"/>
            <w:tcBorders>
              <w:top w:val="single" w:sz="4" w:space="0" w:color="auto"/>
              <w:left w:val="nil"/>
              <w:bottom w:val="single" w:sz="8" w:space="0" w:color="auto"/>
              <w:right w:val="single" w:sz="4" w:space="0" w:color="auto"/>
            </w:tcBorders>
            <w:shd w:val="clear" w:color="auto" w:fill="auto"/>
            <w:hideMark/>
          </w:tcPr>
          <w:p w14:paraId="3B363F3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8 187</w:t>
            </w:r>
          </w:p>
        </w:tc>
        <w:tc>
          <w:tcPr>
            <w:tcW w:w="1238" w:type="dxa"/>
            <w:tcBorders>
              <w:top w:val="single" w:sz="4" w:space="0" w:color="auto"/>
              <w:left w:val="nil"/>
              <w:bottom w:val="single" w:sz="8" w:space="0" w:color="auto"/>
              <w:right w:val="single" w:sz="8" w:space="0" w:color="auto"/>
            </w:tcBorders>
            <w:shd w:val="clear" w:color="auto" w:fill="auto"/>
            <w:hideMark/>
          </w:tcPr>
          <w:p w14:paraId="2B238AC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3 840</w:t>
            </w:r>
          </w:p>
        </w:tc>
      </w:tr>
      <w:tr w:rsidR="005B6AF9" w:rsidRPr="00680E37" w14:paraId="4DE8D247" w14:textId="77777777" w:rsidTr="00680E37">
        <w:trPr>
          <w:trHeight w:val="159"/>
        </w:trPr>
        <w:tc>
          <w:tcPr>
            <w:tcW w:w="567" w:type="dxa"/>
            <w:vMerge w:val="restart"/>
            <w:tcBorders>
              <w:top w:val="nil"/>
              <w:left w:val="single" w:sz="8" w:space="0" w:color="auto"/>
              <w:bottom w:val="single" w:sz="8" w:space="0" w:color="000000"/>
              <w:right w:val="single" w:sz="4" w:space="0" w:color="auto"/>
            </w:tcBorders>
            <w:shd w:val="clear" w:color="auto" w:fill="auto"/>
            <w:noWrap/>
            <w:textDirection w:val="btLr"/>
            <w:vAlign w:val="center"/>
            <w:hideMark/>
          </w:tcPr>
          <w:p w14:paraId="04BB2338" w14:textId="77777777" w:rsidR="005B6AF9" w:rsidRPr="00680E37" w:rsidRDefault="005B6AF9" w:rsidP="004135FE">
            <w:pPr>
              <w:spacing w:after="0" w:line="240" w:lineRule="auto"/>
              <w:jc w:val="center"/>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2019</w:t>
            </w:r>
          </w:p>
        </w:tc>
        <w:tc>
          <w:tcPr>
            <w:tcW w:w="384" w:type="dxa"/>
            <w:tcBorders>
              <w:top w:val="nil"/>
              <w:left w:val="nil"/>
              <w:bottom w:val="single" w:sz="4" w:space="0" w:color="auto"/>
              <w:right w:val="single" w:sz="4" w:space="0" w:color="auto"/>
            </w:tcBorders>
            <w:shd w:val="clear" w:color="auto" w:fill="auto"/>
            <w:hideMark/>
          </w:tcPr>
          <w:p w14:paraId="1A42D29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w:t>
            </w:r>
          </w:p>
        </w:tc>
        <w:tc>
          <w:tcPr>
            <w:tcW w:w="1829" w:type="dxa"/>
            <w:tcBorders>
              <w:top w:val="nil"/>
              <w:left w:val="nil"/>
              <w:bottom w:val="single" w:sz="4" w:space="0" w:color="auto"/>
              <w:right w:val="single" w:sz="4" w:space="0" w:color="auto"/>
            </w:tcBorders>
            <w:shd w:val="clear" w:color="auto" w:fill="auto"/>
            <w:hideMark/>
          </w:tcPr>
          <w:p w14:paraId="1094D97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Алмалинский</w:t>
            </w:r>
          </w:p>
        </w:tc>
        <w:tc>
          <w:tcPr>
            <w:tcW w:w="780" w:type="dxa"/>
            <w:tcBorders>
              <w:top w:val="nil"/>
              <w:left w:val="nil"/>
              <w:bottom w:val="single" w:sz="4" w:space="0" w:color="auto"/>
              <w:right w:val="single" w:sz="4" w:space="0" w:color="auto"/>
            </w:tcBorders>
            <w:shd w:val="clear" w:color="auto" w:fill="auto"/>
            <w:hideMark/>
          </w:tcPr>
          <w:p w14:paraId="3968A84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1 956</w:t>
            </w:r>
          </w:p>
        </w:tc>
        <w:tc>
          <w:tcPr>
            <w:tcW w:w="955" w:type="dxa"/>
            <w:tcBorders>
              <w:top w:val="nil"/>
              <w:left w:val="nil"/>
              <w:bottom w:val="single" w:sz="4" w:space="0" w:color="auto"/>
              <w:right w:val="single" w:sz="4" w:space="0" w:color="auto"/>
            </w:tcBorders>
            <w:shd w:val="clear" w:color="auto" w:fill="auto"/>
            <w:hideMark/>
          </w:tcPr>
          <w:p w14:paraId="7F0CFFD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10 002</w:t>
            </w:r>
          </w:p>
        </w:tc>
        <w:tc>
          <w:tcPr>
            <w:tcW w:w="954" w:type="dxa"/>
            <w:tcBorders>
              <w:top w:val="nil"/>
              <w:left w:val="nil"/>
              <w:bottom w:val="single" w:sz="4" w:space="0" w:color="auto"/>
              <w:right w:val="single" w:sz="4" w:space="0" w:color="auto"/>
            </w:tcBorders>
            <w:shd w:val="clear" w:color="auto" w:fill="auto"/>
            <w:hideMark/>
          </w:tcPr>
          <w:p w14:paraId="30BFB69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12 173</w:t>
            </w:r>
          </w:p>
        </w:tc>
        <w:tc>
          <w:tcPr>
            <w:tcW w:w="969" w:type="dxa"/>
            <w:tcBorders>
              <w:top w:val="nil"/>
              <w:left w:val="nil"/>
              <w:bottom w:val="single" w:sz="4" w:space="0" w:color="auto"/>
              <w:right w:val="single" w:sz="4" w:space="0" w:color="auto"/>
            </w:tcBorders>
            <w:shd w:val="clear" w:color="auto" w:fill="auto"/>
            <w:hideMark/>
          </w:tcPr>
          <w:p w14:paraId="45CCB6D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10 396</w:t>
            </w:r>
          </w:p>
        </w:tc>
        <w:tc>
          <w:tcPr>
            <w:tcW w:w="969" w:type="dxa"/>
            <w:tcBorders>
              <w:top w:val="nil"/>
              <w:left w:val="nil"/>
              <w:bottom w:val="single" w:sz="4" w:space="0" w:color="auto"/>
              <w:right w:val="single" w:sz="4" w:space="0" w:color="auto"/>
            </w:tcBorders>
            <w:shd w:val="clear" w:color="auto" w:fill="auto"/>
            <w:hideMark/>
          </w:tcPr>
          <w:p w14:paraId="598E425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7 771</w:t>
            </w:r>
          </w:p>
        </w:tc>
        <w:tc>
          <w:tcPr>
            <w:tcW w:w="969" w:type="dxa"/>
            <w:tcBorders>
              <w:top w:val="nil"/>
              <w:left w:val="nil"/>
              <w:bottom w:val="single" w:sz="4" w:space="0" w:color="auto"/>
              <w:right w:val="single" w:sz="4" w:space="0" w:color="auto"/>
            </w:tcBorders>
            <w:shd w:val="clear" w:color="auto" w:fill="auto"/>
            <w:hideMark/>
          </w:tcPr>
          <w:p w14:paraId="419422A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8 613</w:t>
            </w:r>
          </w:p>
        </w:tc>
        <w:tc>
          <w:tcPr>
            <w:tcW w:w="969" w:type="dxa"/>
            <w:tcBorders>
              <w:top w:val="nil"/>
              <w:left w:val="nil"/>
              <w:bottom w:val="single" w:sz="4" w:space="0" w:color="auto"/>
              <w:right w:val="single" w:sz="4" w:space="0" w:color="auto"/>
            </w:tcBorders>
            <w:shd w:val="clear" w:color="auto" w:fill="auto"/>
            <w:hideMark/>
          </w:tcPr>
          <w:p w14:paraId="6B03389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32 023</w:t>
            </w:r>
          </w:p>
        </w:tc>
        <w:tc>
          <w:tcPr>
            <w:tcW w:w="969" w:type="dxa"/>
            <w:tcBorders>
              <w:top w:val="nil"/>
              <w:left w:val="nil"/>
              <w:bottom w:val="single" w:sz="4" w:space="0" w:color="auto"/>
              <w:right w:val="single" w:sz="4" w:space="0" w:color="auto"/>
            </w:tcBorders>
            <w:shd w:val="clear" w:color="auto" w:fill="auto"/>
            <w:hideMark/>
          </w:tcPr>
          <w:p w14:paraId="759EC85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25 063</w:t>
            </w:r>
          </w:p>
        </w:tc>
        <w:tc>
          <w:tcPr>
            <w:tcW w:w="969" w:type="dxa"/>
            <w:tcBorders>
              <w:top w:val="nil"/>
              <w:left w:val="nil"/>
              <w:bottom w:val="single" w:sz="4" w:space="0" w:color="auto"/>
              <w:right w:val="single" w:sz="4" w:space="0" w:color="auto"/>
            </w:tcBorders>
            <w:shd w:val="clear" w:color="auto" w:fill="auto"/>
            <w:hideMark/>
          </w:tcPr>
          <w:p w14:paraId="67791A4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18 291</w:t>
            </w:r>
          </w:p>
        </w:tc>
        <w:tc>
          <w:tcPr>
            <w:tcW w:w="969" w:type="dxa"/>
            <w:tcBorders>
              <w:top w:val="nil"/>
              <w:left w:val="nil"/>
              <w:bottom w:val="single" w:sz="4" w:space="0" w:color="auto"/>
              <w:right w:val="single" w:sz="4" w:space="0" w:color="auto"/>
            </w:tcBorders>
            <w:shd w:val="clear" w:color="auto" w:fill="auto"/>
            <w:hideMark/>
          </w:tcPr>
          <w:p w14:paraId="2BF12FA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15 033</w:t>
            </w:r>
          </w:p>
        </w:tc>
        <w:tc>
          <w:tcPr>
            <w:tcW w:w="969" w:type="dxa"/>
            <w:tcBorders>
              <w:top w:val="nil"/>
              <w:left w:val="nil"/>
              <w:bottom w:val="single" w:sz="4" w:space="0" w:color="auto"/>
              <w:right w:val="single" w:sz="4" w:space="0" w:color="auto"/>
            </w:tcBorders>
            <w:shd w:val="clear" w:color="auto" w:fill="auto"/>
            <w:hideMark/>
          </w:tcPr>
          <w:p w14:paraId="5EBE76D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10 661</w:t>
            </w:r>
          </w:p>
        </w:tc>
        <w:tc>
          <w:tcPr>
            <w:tcW w:w="1238" w:type="dxa"/>
            <w:tcBorders>
              <w:top w:val="nil"/>
              <w:left w:val="nil"/>
              <w:bottom w:val="single" w:sz="4" w:space="0" w:color="auto"/>
              <w:right w:val="single" w:sz="8" w:space="0" w:color="auto"/>
            </w:tcBorders>
            <w:shd w:val="clear" w:color="auto" w:fill="auto"/>
            <w:hideMark/>
          </w:tcPr>
          <w:p w14:paraId="4BE2913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7 457</w:t>
            </w:r>
          </w:p>
        </w:tc>
      </w:tr>
      <w:tr w:rsidR="005B6AF9" w:rsidRPr="00680E37" w14:paraId="63EB1CB0" w14:textId="77777777" w:rsidTr="00680E37">
        <w:trPr>
          <w:trHeight w:val="208"/>
        </w:trPr>
        <w:tc>
          <w:tcPr>
            <w:tcW w:w="567" w:type="dxa"/>
            <w:vMerge/>
            <w:tcBorders>
              <w:top w:val="nil"/>
              <w:left w:val="single" w:sz="8" w:space="0" w:color="auto"/>
              <w:bottom w:val="single" w:sz="8" w:space="0" w:color="000000"/>
              <w:right w:val="single" w:sz="4" w:space="0" w:color="auto"/>
            </w:tcBorders>
            <w:vAlign w:val="center"/>
            <w:hideMark/>
          </w:tcPr>
          <w:p w14:paraId="77D7C096"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2B042FA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w:t>
            </w:r>
          </w:p>
        </w:tc>
        <w:tc>
          <w:tcPr>
            <w:tcW w:w="1829" w:type="dxa"/>
            <w:tcBorders>
              <w:top w:val="nil"/>
              <w:left w:val="nil"/>
              <w:bottom w:val="single" w:sz="4" w:space="0" w:color="auto"/>
              <w:right w:val="single" w:sz="4" w:space="0" w:color="auto"/>
            </w:tcBorders>
            <w:shd w:val="clear" w:color="auto" w:fill="auto"/>
            <w:hideMark/>
          </w:tcPr>
          <w:p w14:paraId="5AA6035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Алатауский</w:t>
            </w:r>
          </w:p>
        </w:tc>
        <w:tc>
          <w:tcPr>
            <w:tcW w:w="780" w:type="dxa"/>
            <w:tcBorders>
              <w:top w:val="nil"/>
              <w:left w:val="nil"/>
              <w:bottom w:val="single" w:sz="4" w:space="0" w:color="auto"/>
              <w:right w:val="single" w:sz="4" w:space="0" w:color="auto"/>
            </w:tcBorders>
            <w:shd w:val="clear" w:color="auto" w:fill="auto"/>
            <w:hideMark/>
          </w:tcPr>
          <w:p w14:paraId="2DDB3EB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3 423</w:t>
            </w:r>
          </w:p>
        </w:tc>
        <w:tc>
          <w:tcPr>
            <w:tcW w:w="955" w:type="dxa"/>
            <w:tcBorders>
              <w:top w:val="nil"/>
              <w:left w:val="nil"/>
              <w:bottom w:val="single" w:sz="4" w:space="0" w:color="auto"/>
              <w:right w:val="single" w:sz="4" w:space="0" w:color="auto"/>
            </w:tcBorders>
            <w:shd w:val="clear" w:color="auto" w:fill="auto"/>
            <w:hideMark/>
          </w:tcPr>
          <w:p w14:paraId="4F01634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14 336</w:t>
            </w:r>
          </w:p>
        </w:tc>
        <w:tc>
          <w:tcPr>
            <w:tcW w:w="954" w:type="dxa"/>
            <w:tcBorders>
              <w:top w:val="nil"/>
              <w:left w:val="nil"/>
              <w:bottom w:val="single" w:sz="4" w:space="0" w:color="auto"/>
              <w:right w:val="single" w:sz="4" w:space="0" w:color="auto"/>
            </w:tcBorders>
            <w:shd w:val="clear" w:color="auto" w:fill="auto"/>
            <w:hideMark/>
          </w:tcPr>
          <w:p w14:paraId="034A2CC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14 056</w:t>
            </w:r>
          </w:p>
        </w:tc>
        <w:tc>
          <w:tcPr>
            <w:tcW w:w="969" w:type="dxa"/>
            <w:tcBorders>
              <w:top w:val="nil"/>
              <w:left w:val="nil"/>
              <w:bottom w:val="single" w:sz="4" w:space="0" w:color="auto"/>
              <w:right w:val="single" w:sz="4" w:space="0" w:color="auto"/>
            </w:tcBorders>
            <w:shd w:val="clear" w:color="auto" w:fill="auto"/>
            <w:hideMark/>
          </w:tcPr>
          <w:p w14:paraId="4FA4988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10 773</w:t>
            </w:r>
          </w:p>
        </w:tc>
        <w:tc>
          <w:tcPr>
            <w:tcW w:w="969" w:type="dxa"/>
            <w:tcBorders>
              <w:top w:val="nil"/>
              <w:left w:val="nil"/>
              <w:bottom w:val="single" w:sz="4" w:space="0" w:color="auto"/>
              <w:right w:val="single" w:sz="4" w:space="0" w:color="auto"/>
            </w:tcBorders>
            <w:shd w:val="clear" w:color="auto" w:fill="auto"/>
            <w:hideMark/>
          </w:tcPr>
          <w:p w14:paraId="787D0CE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4 313</w:t>
            </w:r>
          </w:p>
        </w:tc>
        <w:tc>
          <w:tcPr>
            <w:tcW w:w="969" w:type="dxa"/>
            <w:tcBorders>
              <w:top w:val="nil"/>
              <w:left w:val="nil"/>
              <w:bottom w:val="single" w:sz="4" w:space="0" w:color="auto"/>
              <w:right w:val="single" w:sz="4" w:space="0" w:color="auto"/>
            </w:tcBorders>
            <w:shd w:val="clear" w:color="auto" w:fill="auto"/>
            <w:hideMark/>
          </w:tcPr>
          <w:p w14:paraId="7065B75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1 989</w:t>
            </w:r>
          </w:p>
        </w:tc>
        <w:tc>
          <w:tcPr>
            <w:tcW w:w="969" w:type="dxa"/>
            <w:tcBorders>
              <w:top w:val="nil"/>
              <w:left w:val="nil"/>
              <w:bottom w:val="single" w:sz="4" w:space="0" w:color="auto"/>
              <w:right w:val="single" w:sz="4" w:space="0" w:color="auto"/>
            </w:tcBorders>
            <w:shd w:val="clear" w:color="auto" w:fill="auto"/>
            <w:hideMark/>
          </w:tcPr>
          <w:p w14:paraId="0936626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12 453</w:t>
            </w:r>
          </w:p>
        </w:tc>
        <w:tc>
          <w:tcPr>
            <w:tcW w:w="969" w:type="dxa"/>
            <w:tcBorders>
              <w:top w:val="nil"/>
              <w:left w:val="nil"/>
              <w:bottom w:val="single" w:sz="4" w:space="0" w:color="auto"/>
              <w:right w:val="single" w:sz="4" w:space="0" w:color="auto"/>
            </w:tcBorders>
            <w:shd w:val="clear" w:color="auto" w:fill="auto"/>
            <w:hideMark/>
          </w:tcPr>
          <w:p w14:paraId="0669403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16 745</w:t>
            </w:r>
          </w:p>
        </w:tc>
        <w:tc>
          <w:tcPr>
            <w:tcW w:w="969" w:type="dxa"/>
            <w:tcBorders>
              <w:top w:val="nil"/>
              <w:left w:val="nil"/>
              <w:bottom w:val="single" w:sz="4" w:space="0" w:color="auto"/>
              <w:right w:val="single" w:sz="4" w:space="0" w:color="auto"/>
            </w:tcBorders>
            <w:shd w:val="clear" w:color="auto" w:fill="auto"/>
            <w:hideMark/>
          </w:tcPr>
          <w:p w14:paraId="0ED1461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11 606</w:t>
            </w:r>
          </w:p>
        </w:tc>
        <w:tc>
          <w:tcPr>
            <w:tcW w:w="969" w:type="dxa"/>
            <w:tcBorders>
              <w:top w:val="nil"/>
              <w:left w:val="nil"/>
              <w:bottom w:val="single" w:sz="4" w:space="0" w:color="auto"/>
              <w:right w:val="single" w:sz="4" w:space="0" w:color="auto"/>
            </w:tcBorders>
            <w:shd w:val="clear" w:color="auto" w:fill="auto"/>
            <w:hideMark/>
          </w:tcPr>
          <w:p w14:paraId="0D79A39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8 581</w:t>
            </w:r>
          </w:p>
        </w:tc>
        <w:tc>
          <w:tcPr>
            <w:tcW w:w="969" w:type="dxa"/>
            <w:tcBorders>
              <w:top w:val="nil"/>
              <w:left w:val="nil"/>
              <w:bottom w:val="single" w:sz="4" w:space="0" w:color="auto"/>
              <w:right w:val="single" w:sz="4" w:space="0" w:color="auto"/>
            </w:tcBorders>
            <w:shd w:val="clear" w:color="auto" w:fill="auto"/>
            <w:hideMark/>
          </w:tcPr>
          <w:p w14:paraId="0E8682A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4 514</w:t>
            </w:r>
          </w:p>
        </w:tc>
        <w:tc>
          <w:tcPr>
            <w:tcW w:w="1238" w:type="dxa"/>
            <w:tcBorders>
              <w:top w:val="nil"/>
              <w:left w:val="nil"/>
              <w:bottom w:val="single" w:sz="4" w:space="0" w:color="auto"/>
              <w:right w:val="single" w:sz="8" w:space="0" w:color="auto"/>
            </w:tcBorders>
            <w:shd w:val="clear" w:color="auto" w:fill="auto"/>
            <w:hideMark/>
          </w:tcPr>
          <w:p w14:paraId="594FC2A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1 974</w:t>
            </w:r>
          </w:p>
        </w:tc>
      </w:tr>
      <w:tr w:rsidR="005B6AF9" w:rsidRPr="00680E37" w14:paraId="53B9CFCC" w14:textId="77777777" w:rsidTr="00680E37">
        <w:trPr>
          <w:trHeight w:val="242"/>
        </w:trPr>
        <w:tc>
          <w:tcPr>
            <w:tcW w:w="567" w:type="dxa"/>
            <w:vMerge/>
            <w:tcBorders>
              <w:top w:val="nil"/>
              <w:left w:val="single" w:sz="8" w:space="0" w:color="auto"/>
              <w:bottom w:val="single" w:sz="8" w:space="0" w:color="000000"/>
              <w:right w:val="single" w:sz="4" w:space="0" w:color="auto"/>
            </w:tcBorders>
            <w:vAlign w:val="center"/>
            <w:hideMark/>
          </w:tcPr>
          <w:p w14:paraId="4DB88997"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3B83572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w:t>
            </w:r>
          </w:p>
        </w:tc>
        <w:tc>
          <w:tcPr>
            <w:tcW w:w="1829" w:type="dxa"/>
            <w:tcBorders>
              <w:top w:val="nil"/>
              <w:left w:val="nil"/>
              <w:bottom w:val="single" w:sz="4" w:space="0" w:color="auto"/>
              <w:right w:val="single" w:sz="4" w:space="0" w:color="auto"/>
            </w:tcBorders>
            <w:shd w:val="clear" w:color="auto" w:fill="auto"/>
            <w:hideMark/>
          </w:tcPr>
          <w:p w14:paraId="38B318D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Ауэзовский</w:t>
            </w:r>
          </w:p>
        </w:tc>
        <w:tc>
          <w:tcPr>
            <w:tcW w:w="780" w:type="dxa"/>
            <w:tcBorders>
              <w:top w:val="nil"/>
              <w:left w:val="nil"/>
              <w:bottom w:val="single" w:sz="4" w:space="0" w:color="auto"/>
              <w:right w:val="single" w:sz="4" w:space="0" w:color="auto"/>
            </w:tcBorders>
            <w:shd w:val="clear" w:color="auto" w:fill="auto"/>
            <w:hideMark/>
          </w:tcPr>
          <w:p w14:paraId="49CD716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2 420</w:t>
            </w:r>
          </w:p>
        </w:tc>
        <w:tc>
          <w:tcPr>
            <w:tcW w:w="955" w:type="dxa"/>
            <w:tcBorders>
              <w:top w:val="nil"/>
              <w:left w:val="nil"/>
              <w:bottom w:val="single" w:sz="4" w:space="0" w:color="auto"/>
              <w:right w:val="single" w:sz="4" w:space="0" w:color="auto"/>
            </w:tcBorders>
            <w:shd w:val="clear" w:color="auto" w:fill="auto"/>
            <w:hideMark/>
          </w:tcPr>
          <w:p w14:paraId="6984998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11 580</w:t>
            </w:r>
          </w:p>
        </w:tc>
        <w:tc>
          <w:tcPr>
            <w:tcW w:w="954" w:type="dxa"/>
            <w:tcBorders>
              <w:top w:val="nil"/>
              <w:left w:val="nil"/>
              <w:bottom w:val="single" w:sz="4" w:space="0" w:color="auto"/>
              <w:right w:val="single" w:sz="4" w:space="0" w:color="auto"/>
            </w:tcBorders>
            <w:shd w:val="clear" w:color="auto" w:fill="auto"/>
            <w:hideMark/>
          </w:tcPr>
          <w:p w14:paraId="1F033F8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13 398</w:t>
            </w:r>
          </w:p>
        </w:tc>
        <w:tc>
          <w:tcPr>
            <w:tcW w:w="969" w:type="dxa"/>
            <w:tcBorders>
              <w:top w:val="nil"/>
              <w:left w:val="nil"/>
              <w:bottom w:val="single" w:sz="4" w:space="0" w:color="auto"/>
              <w:right w:val="single" w:sz="4" w:space="0" w:color="auto"/>
            </w:tcBorders>
            <w:shd w:val="clear" w:color="auto" w:fill="auto"/>
            <w:hideMark/>
          </w:tcPr>
          <w:p w14:paraId="5AA8728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11 286</w:t>
            </w:r>
          </w:p>
        </w:tc>
        <w:tc>
          <w:tcPr>
            <w:tcW w:w="969" w:type="dxa"/>
            <w:tcBorders>
              <w:top w:val="nil"/>
              <w:left w:val="nil"/>
              <w:bottom w:val="single" w:sz="4" w:space="0" w:color="auto"/>
              <w:right w:val="single" w:sz="4" w:space="0" w:color="auto"/>
            </w:tcBorders>
            <w:shd w:val="clear" w:color="auto" w:fill="auto"/>
            <w:hideMark/>
          </w:tcPr>
          <w:p w14:paraId="0B3DD0F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5 669</w:t>
            </w:r>
          </w:p>
        </w:tc>
        <w:tc>
          <w:tcPr>
            <w:tcW w:w="969" w:type="dxa"/>
            <w:tcBorders>
              <w:top w:val="nil"/>
              <w:left w:val="nil"/>
              <w:bottom w:val="single" w:sz="4" w:space="0" w:color="auto"/>
              <w:right w:val="single" w:sz="4" w:space="0" w:color="auto"/>
            </w:tcBorders>
            <w:shd w:val="clear" w:color="auto" w:fill="auto"/>
            <w:hideMark/>
          </w:tcPr>
          <w:p w14:paraId="5D86C1F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3 676</w:t>
            </w:r>
          </w:p>
        </w:tc>
        <w:tc>
          <w:tcPr>
            <w:tcW w:w="969" w:type="dxa"/>
            <w:tcBorders>
              <w:top w:val="nil"/>
              <w:left w:val="nil"/>
              <w:bottom w:val="single" w:sz="4" w:space="0" w:color="auto"/>
              <w:right w:val="single" w:sz="4" w:space="0" w:color="auto"/>
            </w:tcBorders>
            <w:shd w:val="clear" w:color="auto" w:fill="auto"/>
            <w:hideMark/>
          </w:tcPr>
          <w:p w14:paraId="15CAFA1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19 019</w:t>
            </w:r>
          </w:p>
        </w:tc>
        <w:tc>
          <w:tcPr>
            <w:tcW w:w="969" w:type="dxa"/>
            <w:tcBorders>
              <w:top w:val="nil"/>
              <w:left w:val="nil"/>
              <w:bottom w:val="single" w:sz="4" w:space="0" w:color="auto"/>
              <w:right w:val="single" w:sz="4" w:space="0" w:color="auto"/>
            </w:tcBorders>
            <w:shd w:val="clear" w:color="auto" w:fill="auto"/>
            <w:hideMark/>
          </w:tcPr>
          <w:p w14:paraId="26E91F6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21 672</w:t>
            </w:r>
          </w:p>
        </w:tc>
        <w:tc>
          <w:tcPr>
            <w:tcW w:w="969" w:type="dxa"/>
            <w:tcBorders>
              <w:top w:val="nil"/>
              <w:left w:val="nil"/>
              <w:bottom w:val="single" w:sz="4" w:space="0" w:color="auto"/>
              <w:right w:val="single" w:sz="4" w:space="0" w:color="auto"/>
            </w:tcBorders>
            <w:shd w:val="clear" w:color="auto" w:fill="auto"/>
            <w:hideMark/>
          </w:tcPr>
          <w:p w14:paraId="586633C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15 185</w:t>
            </w:r>
          </w:p>
        </w:tc>
        <w:tc>
          <w:tcPr>
            <w:tcW w:w="969" w:type="dxa"/>
            <w:tcBorders>
              <w:top w:val="nil"/>
              <w:left w:val="nil"/>
              <w:bottom w:val="single" w:sz="4" w:space="0" w:color="auto"/>
              <w:right w:val="single" w:sz="4" w:space="0" w:color="auto"/>
            </w:tcBorders>
            <w:shd w:val="clear" w:color="auto" w:fill="auto"/>
            <w:hideMark/>
          </w:tcPr>
          <w:p w14:paraId="63DCCA6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12 410</w:t>
            </w:r>
          </w:p>
        </w:tc>
        <w:tc>
          <w:tcPr>
            <w:tcW w:w="969" w:type="dxa"/>
            <w:tcBorders>
              <w:top w:val="nil"/>
              <w:left w:val="nil"/>
              <w:bottom w:val="single" w:sz="4" w:space="0" w:color="auto"/>
              <w:right w:val="single" w:sz="4" w:space="0" w:color="auto"/>
            </w:tcBorders>
            <w:shd w:val="clear" w:color="auto" w:fill="auto"/>
            <w:hideMark/>
          </w:tcPr>
          <w:p w14:paraId="284CE5D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8 912</w:t>
            </w:r>
          </w:p>
        </w:tc>
        <w:tc>
          <w:tcPr>
            <w:tcW w:w="1238" w:type="dxa"/>
            <w:tcBorders>
              <w:top w:val="nil"/>
              <w:left w:val="nil"/>
              <w:bottom w:val="single" w:sz="4" w:space="0" w:color="auto"/>
              <w:right w:val="single" w:sz="8" w:space="0" w:color="auto"/>
            </w:tcBorders>
            <w:shd w:val="clear" w:color="auto" w:fill="auto"/>
            <w:hideMark/>
          </w:tcPr>
          <w:p w14:paraId="2919896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5 156</w:t>
            </w:r>
          </w:p>
        </w:tc>
      </w:tr>
      <w:tr w:rsidR="005B6AF9" w:rsidRPr="00680E37" w14:paraId="28ED616B" w14:textId="77777777" w:rsidTr="00680E37">
        <w:trPr>
          <w:trHeight w:val="161"/>
        </w:trPr>
        <w:tc>
          <w:tcPr>
            <w:tcW w:w="567" w:type="dxa"/>
            <w:vMerge/>
            <w:tcBorders>
              <w:top w:val="nil"/>
              <w:left w:val="single" w:sz="8" w:space="0" w:color="auto"/>
              <w:bottom w:val="single" w:sz="8" w:space="0" w:color="000000"/>
              <w:right w:val="single" w:sz="4" w:space="0" w:color="auto"/>
            </w:tcBorders>
            <w:vAlign w:val="center"/>
            <w:hideMark/>
          </w:tcPr>
          <w:p w14:paraId="1A659D9A"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475BE44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w:t>
            </w:r>
          </w:p>
        </w:tc>
        <w:tc>
          <w:tcPr>
            <w:tcW w:w="1829" w:type="dxa"/>
            <w:tcBorders>
              <w:top w:val="nil"/>
              <w:left w:val="nil"/>
              <w:bottom w:val="single" w:sz="4" w:space="0" w:color="auto"/>
              <w:right w:val="single" w:sz="4" w:space="0" w:color="auto"/>
            </w:tcBorders>
            <w:shd w:val="clear" w:color="auto" w:fill="auto"/>
            <w:hideMark/>
          </w:tcPr>
          <w:p w14:paraId="2B514EA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Бостандыкский</w:t>
            </w:r>
          </w:p>
        </w:tc>
        <w:tc>
          <w:tcPr>
            <w:tcW w:w="780" w:type="dxa"/>
            <w:tcBorders>
              <w:top w:val="nil"/>
              <w:left w:val="nil"/>
              <w:bottom w:val="single" w:sz="4" w:space="0" w:color="auto"/>
              <w:right w:val="single" w:sz="4" w:space="0" w:color="auto"/>
            </w:tcBorders>
            <w:shd w:val="clear" w:color="auto" w:fill="auto"/>
            <w:hideMark/>
          </w:tcPr>
          <w:p w14:paraId="69428AB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1 795</w:t>
            </w:r>
          </w:p>
        </w:tc>
        <w:tc>
          <w:tcPr>
            <w:tcW w:w="955" w:type="dxa"/>
            <w:tcBorders>
              <w:top w:val="nil"/>
              <w:left w:val="nil"/>
              <w:bottom w:val="single" w:sz="4" w:space="0" w:color="auto"/>
              <w:right w:val="single" w:sz="4" w:space="0" w:color="auto"/>
            </w:tcBorders>
            <w:shd w:val="clear" w:color="auto" w:fill="auto"/>
            <w:hideMark/>
          </w:tcPr>
          <w:p w14:paraId="38CFB37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10 434</w:t>
            </w:r>
          </w:p>
        </w:tc>
        <w:tc>
          <w:tcPr>
            <w:tcW w:w="954" w:type="dxa"/>
            <w:tcBorders>
              <w:top w:val="nil"/>
              <w:left w:val="nil"/>
              <w:bottom w:val="single" w:sz="4" w:space="0" w:color="auto"/>
              <w:right w:val="single" w:sz="4" w:space="0" w:color="auto"/>
            </w:tcBorders>
            <w:shd w:val="clear" w:color="auto" w:fill="auto"/>
            <w:hideMark/>
          </w:tcPr>
          <w:p w14:paraId="1323DBA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12 407</w:t>
            </w:r>
          </w:p>
        </w:tc>
        <w:tc>
          <w:tcPr>
            <w:tcW w:w="969" w:type="dxa"/>
            <w:tcBorders>
              <w:top w:val="nil"/>
              <w:left w:val="nil"/>
              <w:bottom w:val="single" w:sz="4" w:space="0" w:color="auto"/>
              <w:right w:val="single" w:sz="4" w:space="0" w:color="auto"/>
            </w:tcBorders>
            <w:shd w:val="clear" w:color="auto" w:fill="auto"/>
            <w:hideMark/>
          </w:tcPr>
          <w:p w14:paraId="61AE7B3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10 446</w:t>
            </w:r>
          </w:p>
        </w:tc>
        <w:tc>
          <w:tcPr>
            <w:tcW w:w="969" w:type="dxa"/>
            <w:tcBorders>
              <w:top w:val="nil"/>
              <w:left w:val="nil"/>
              <w:bottom w:val="single" w:sz="4" w:space="0" w:color="auto"/>
              <w:right w:val="single" w:sz="4" w:space="0" w:color="auto"/>
            </w:tcBorders>
            <w:shd w:val="clear" w:color="auto" w:fill="auto"/>
            <w:hideMark/>
          </w:tcPr>
          <w:p w14:paraId="7DB90BB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7 258</w:t>
            </w:r>
          </w:p>
        </w:tc>
        <w:tc>
          <w:tcPr>
            <w:tcW w:w="969" w:type="dxa"/>
            <w:tcBorders>
              <w:top w:val="nil"/>
              <w:left w:val="nil"/>
              <w:bottom w:val="single" w:sz="4" w:space="0" w:color="auto"/>
              <w:right w:val="single" w:sz="4" w:space="0" w:color="auto"/>
            </w:tcBorders>
            <w:shd w:val="clear" w:color="auto" w:fill="auto"/>
            <w:hideMark/>
          </w:tcPr>
          <w:p w14:paraId="3F039AE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10 430</w:t>
            </w:r>
          </w:p>
        </w:tc>
        <w:tc>
          <w:tcPr>
            <w:tcW w:w="969" w:type="dxa"/>
            <w:tcBorders>
              <w:top w:val="nil"/>
              <w:left w:val="nil"/>
              <w:bottom w:val="single" w:sz="4" w:space="0" w:color="auto"/>
              <w:right w:val="single" w:sz="4" w:space="0" w:color="auto"/>
            </w:tcBorders>
            <w:shd w:val="clear" w:color="auto" w:fill="auto"/>
            <w:hideMark/>
          </w:tcPr>
          <w:p w14:paraId="0859D8D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41 763</w:t>
            </w:r>
          </w:p>
        </w:tc>
        <w:tc>
          <w:tcPr>
            <w:tcW w:w="969" w:type="dxa"/>
            <w:tcBorders>
              <w:top w:val="nil"/>
              <w:left w:val="nil"/>
              <w:bottom w:val="single" w:sz="4" w:space="0" w:color="auto"/>
              <w:right w:val="single" w:sz="4" w:space="0" w:color="auto"/>
            </w:tcBorders>
            <w:shd w:val="clear" w:color="auto" w:fill="auto"/>
            <w:hideMark/>
          </w:tcPr>
          <w:p w14:paraId="79E0C34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24 943</w:t>
            </w:r>
          </w:p>
        </w:tc>
        <w:tc>
          <w:tcPr>
            <w:tcW w:w="969" w:type="dxa"/>
            <w:tcBorders>
              <w:top w:val="nil"/>
              <w:left w:val="nil"/>
              <w:bottom w:val="single" w:sz="4" w:space="0" w:color="auto"/>
              <w:right w:val="single" w:sz="4" w:space="0" w:color="auto"/>
            </w:tcBorders>
            <w:shd w:val="clear" w:color="auto" w:fill="auto"/>
            <w:hideMark/>
          </w:tcPr>
          <w:p w14:paraId="3EAFD7A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16 629</w:t>
            </w:r>
          </w:p>
        </w:tc>
        <w:tc>
          <w:tcPr>
            <w:tcW w:w="969" w:type="dxa"/>
            <w:tcBorders>
              <w:top w:val="nil"/>
              <w:left w:val="nil"/>
              <w:bottom w:val="single" w:sz="4" w:space="0" w:color="auto"/>
              <w:right w:val="single" w:sz="4" w:space="0" w:color="auto"/>
            </w:tcBorders>
            <w:shd w:val="clear" w:color="auto" w:fill="auto"/>
            <w:hideMark/>
          </w:tcPr>
          <w:p w14:paraId="7AF0F45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13 350</w:t>
            </w:r>
          </w:p>
        </w:tc>
        <w:tc>
          <w:tcPr>
            <w:tcW w:w="969" w:type="dxa"/>
            <w:tcBorders>
              <w:top w:val="nil"/>
              <w:left w:val="nil"/>
              <w:bottom w:val="single" w:sz="4" w:space="0" w:color="auto"/>
              <w:right w:val="single" w:sz="4" w:space="0" w:color="auto"/>
            </w:tcBorders>
            <w:shd w:val="clear" w:color="auto" w:fill="auto"/>
            <w:hideMark/>
          </w:tcPr>
          <w:p w14:paraId="08D9885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9 732</w:t>
            </w:r>
          </w:p>
        </w:tc>
        <w:tc>
          <w:tcPr>
            <w:tcW w:w="1238" w:type="dxa"/>
            <w:tcBorders>
              <w:top w:val="nil"/>
              <w:left w:val="nil"/>
              <w:bottom w:val="single" w:sz="4" w:space="0" w:color="auto"/>
              <w:right w:val="single" w:sz="8" w:space="0" w:color="auto"/>
            </w:tcBorders>
            <w:shd w:val="clear" w:color="auto" w:fill="auto"/>
            <w:hideMark/>
          </w:tcPr>
          <w:p w14:paraId="1C4F4A9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6 470</w:t>
            </w:r>
          </w:p>
        </w:tc>
      </w:tr>
      <w:tr w:rsidR="005B6AF9" w:rsidRPr="00680E37" w14:paraId="2B01E6F9" w14:textId="77777777" w:rsidTr="00680E37">
        <w:trPr>
          <w:trHeight w:val="210"/>
        </w:trPr>
        <w:tc>
          <w:tcPr>
            <w:tcW w:w="567" w:type="dxa"/>
            <w:vMerge/>
            <w:tcBorders>
              <w:top w:val="nil"/>
              <w:left w:val="single" w:sz="8" w:space="0" w:color="auto"/>
              <w:bottom w:val="single" w:sz="8" w:space="0" w:color="000000"/>
              <w:right w:val="single" w:sz="4" w:space="0" w:color="auto"/>
            </w:tcBorders>
            <w:vAlign w:val="center"/>
            <w:hideMark/>
          </w:tcPr>
          <w:p w14:paraId="35BF0230"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7BC3CDB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w:t>
            </w:r>
          </w:p>
        </w:tc>
        <w:tc>
          <w:tcPr>
            <w:tcW w:w="1829" w:type="dxa"/>
            <w:tcBorders>
              <w:top w:val="nil"/>
              <w:left w:val="nil"/>
              <w:bottom w:val="single" w:sz="4" w:space="0" w:color="auto"/>
              <w:right w:val="single" w:sz="4" w:space="0" w:color="auto"/>
            </w:tcBorders>
            <w:shd w:val="clear" w:color="auto" w:fill="auto"/>
            <w:hideMark/>
          </w:tcPr>
          <w:p w14:paraId="21B8D7D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Жетысуский</w:t>
            </w:r>
          </w:p>
        </w:tc>
        <w:tc>
          <w:tcPr>
            <w:tcW w:w="780" w:type="dxa"/>
            <w:tcBorders>
              <w:top w:val="nil"/>
              <w:left w:val="nil"/>
              <w:bottom w:val="single" w:sz="4" w:space="0" w:color="auto"/>
              <w:right w:val="single" w:sz="4" w:space="0" w:color="auto"/>
            </w:tcBorders>
            <w:shd w:val="clear" w:color="auto" w:fill="auto"/>
            <w:hideMark/>
          </w:tcPr>
          <w:p w14:paraId="4B3D9A5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1 669</w:t>
            </w:r>
          </w:p>
        </w:tc>
        <w:tc>
          <w:tcPr>
            <w:tcW w:w="955" w:type="dxa"/>
            <w:tcBorders>
              <w:top w:val="nil"/>
              <w:left w:val="nil"/>
              <w:bottom w:val="single" w:sz="4" w:space="0" w:color="auto"/>
              <w:right w:val="single" w:sz="4" w:space="0" w:color="auto"/>
            </w:tcBorders>
            <w:shd w:val="clear" w:color="auto" w:fill="auto"/>
            <w:hideMark/>
          </w:tcPr>
          <w:p w14:paraId="1556D4C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7 552</w:t>
            </w:r>
          </w:p>
        </w:tc>
        <w:tc>
          <w:tcPr>
            <w:tcW w:w="954" w:type="dxa"/>
            <w:tcBorders>
              <w:top w:val="nil"/>
              <w:left w:val="nil"/>
              <w:bottom w:val="single" w:sz="4" w:space="0" w:color="auto"/>
              <w:right w:val="single" w:sz="4" w:space="0" w:color="auto"/>
            </w:tcBorders>
            <w:shd w:val="clear" w:color="auto" w:fill="auto"/>
            <w:hideMark/>
          </w:tcPr>
          <w:p w14:paraId="3F2D694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8 599</w:t>
            </w:r>
          </w:p>
        </w:tc>
        <w:tc>
          <w:tcPr>
            <w:tcW w:w="969" w:type="dxa"/>
            <w:tcBorders>
              <w:top w:val="nil"/>
              <w:left w:val="nil"/>
              <w:bottom w:val="single" w:sz="4" w:space="0" w:color="auto"/>
              <w:right w:val="single" w:sz="4" w:space="0" w:color="auto"/>
            </w:tcBorders>
            <w:shd w:val="clear" w:color="auto" w:fill="auto"/>
            <w:hideMark/>
          </w:tcPr>
          <w:p w14:paraId="4C2B945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7 289</w:t>
            </w:r>
          </w:p>
        </w:tc>
        <w:tc>
          <w:tcPr>
            <w:tcW w:w="969" w:type="dxa"/>
            <w:tcBorders>
              <w:top w:val="nil"/>
              <w:left w:val="nil"/>
              <w:bottom w:val="single" w:sz="4" w:space="0" w:color="auto"/>
              <w:right w:val="single" w:sz="4" w:space="0" w:color="auto"/>
            </w:tcBorders>
            <w:shd w:val="clear" w:color="auto" w:fill="auto"/>
            <w:hideMark/>
          </w:tcPr>
          <w:p w14:paraId="3EE7A50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3 314</w:t>
            </w:r>
          </w:p>
        </w:tc>
        <w:tc>
          <w:tcPr>
            <w:tcW w:w="969" w:type="dxa"/>
            <w:tcBorders>
              <w:top w:val="nil"/>
              <w:left w:val="nil"/>
              <w:bottom w:val="single" w:sz="4" w:space="0" w:color="auto"/>
              <w:right w:val="single" w:sz="4" w:space="0" w:color="auto"/>
            </w:tcBorders>
            <w:shd w:val="clear" w:color="auto" w:fill="auto"/>
            <w:hideMark/>
          </w:tcPr>
          <w:p w14:paraId="57B1DC7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2 172</w:t>
            </w:r>
          </w:p>
        </w:tc>
        <w:tc>
          <w:tcPr>
            <w:tcW w:w="969" w:type="dxa"/>
            <w:tcBorders>
              <w:top w:val="nil"/>
              <w:left w:val="nil"/>
              <w:bottom w:val="single" w:sz="4" w:space="0" w:color="auto"/>
              <w:right w:val="single" w:sz="4" w:space="0" w:color="auto"/>
            </w:tcBorders>
            <w:shd w:val="clear" w:color="auto" w:fill="auto"/>
            <w:hideMark/>
          </w:tcPr>
          <w:p w14:paraId="5D62ED6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12 370</w:t>
            </w:r>
          </w:p>
        </w:tc>
        <w:tc>
          <w:tcPr>
            <w:tcW w:w="969" w:type="dxa"/>
            <w:tcBorders>
              <w:top w:val="nil"/>
              <w:left w:val="nil"/>
              <w:bottom w:val="single" w:sz="4" w:space="0" w:color="auto"/>
              <w:right w:val="single" w:sz="4" w:space="0" w:color="auto"/>
            </w:tcBorders>
            <w:shd w:val="clear" w:color="auto" w:fill="auto"/>
            <w:hideMark/>
          </w:tcPr>
          <w:p w14:paraId="3739BEF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14 013</w:t>
            </w:r>
          </w:p>
        </w:tc>
        <w:tc>
          <w:tcPr>
            <w:tcW w:w="969" w:type="dxa"/>
            <w:tcBorders>
              <w:top w:val="nil"/>
              <w:left w:val="nil"/>
              <w:bottom w:val="single" w:sz="4" w:space="0" w:color="auto"/>
              <w:right w:val="single" w:sz="4" w:space="0" w:color="auto"/>
            </w:tcBorders>
            <w:shd w:val="clear" w:color="auto" w:fill="auto"/>
            <w:hideMark/>
          </w:tcPr>
          <w:p w14:paraId="3D60C97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9 873</w:t>
            </w:r>
          </w:p>
        </w:tc>
        <w:tc>
          <w:tcPr>
            <w:tcW w:w="969" w:type="dxa"/>
            <w:tcBorders>
              <w:top w:val="nil"/>
              <w:left w:val="nil"/>
              <w:bottom w:val="single" w:sz="4" w:space="0" w:color="auto"/>
              <w:right w:val="single" w:sz="4" w:space="0" w:color="auto"/>
            </w:tcBorders>
            <w:shd w:val="clear" w:color="auto" w:fill="auto"/>
            <w:hideMark/>
          </w:tcPr>
          <w:p w14:paraId="451D1CF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7 631</w:t>
            </w:r>
          </w:p>
        </w:tc>
        <w:tc>
          <w:tcPr>
            <w:tcW w:w="969" w:type="dxa"/>
            <w:tcBorders>
              <w:top w:val="nil"/>
              <w:left w:val="nil"/>
              <w:bottom w:val="single" w:sz="4" w:space="0" w:color="auto"/>
              <w:right w:val="single" w:sz="4" w:space="0" w:color="auto"/>
            </w:tcBorders>
            <w:shd w:val="clear" w:color="auto" w:fill="auto"/>
            <w:hideMark/>
          </w:tcPr>
          <w:p w14:paraId="08EC0D1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5 051</w:t>
            </w:r>
          </w:p>
        </w:tc>
        <w:tc>
          <w:tcPr>
            <w:tcW w:w="1238" w:type="dxa"/>
            <w:tcBorders>
              <w:top w:val="nil"/>
              <w:left w:val="nil"/>
              <w:bottom w:val="single" w:sz="4" w:space="0" w:color="auto"/>
              <w:right w:val="single" w:sz="8" w:space="0" w:color="auto"/>
            </w:tcBorders>
            <w:shd w:val="clear" w:color="auto" w:fill="auto"/>
            <w:hideMark/>
          </w:tcPr>
          <w:p w14:paraId="62BDEB8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2 496</w:t>
            </w:r>
          </w:p>
        </w:tc>
      </w:tr>
      <w:tr w:rsidR="005B6AF9" w:rsidRPr="00680E37" w14:paraId="22C3C02C" w14:textId="77777777" w:rsidTr="00680E37">
        <w:trPr>
          <w:trHeight w:val="244"/>
        </w:trPr>
        <w:tc>
          <w:tcPr>
            <w:tcW w:w="567" w:type="dxa"/>
            <w:vMerge/>
            <w:tcBorders>
              <w:top w:val="nil"/>
              <w:left w:val="single" w:sz="8" w:space="0" w:color="auto"/>
              <w:bottom w:val="single" w:sz="8" w:space="0" w:color="000000"/>
              <w:right w:val="single" w:sz="4" w:space="0" w:color="auto"/>
            </w:tcBorders>
            <w:vAlign w:val="center"/>
            <w:hideMark/>
          </w:tcPr>
          <w:p w14:paraId="0306B022"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329FBB6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w:t>
            </w:r>
          </w:p>
        </w:tc>
        <w:tc>
          <w:tcPr>
            <w:tcW w:w="1829" w:type="dxa"/>
            <w:tcBorders>
              <w:top w:val="nil"/>
              <w:left w:val="nil"/>
              <w:bottom w:val="single" w:sz="4" w:space="0" w:color="auto"/>
              <w:right w:val="single" w:sz="4" w:space="0" w:color="auto"/>
            </w:tcBorders>
            <w:shd w:val="clear" w:color="auto" w:fill="auto"/>
            <w:hideMark/>
          </w:tcPr>
          <w:p w14:paraId="34E4467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Медеуский</w:t>
            </w:r>
          </w:p>
        </w:tc>
        <w:tc>
          <w:tcPr>
            <w:tcW w:w="780" w:type="dxa"/>
            <w:tcBorders>
              <w:top w:val="nil"/>
              <w:left w:val="nil"/>
              <w:bottom w:val="single" w:sz="4" w:space="0" w:color="auto"/>
              <w:right w:val="single" w:sz="4" w:space="0" w:color="auto"/>
            </w:tcBorders>
            <w:shd w:val="clear" w:color="auto" w:fill="auto"/>
            <w:hideMark/>
          </w:tcPr>
          <w:p w14:paraId="347025F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1 530</w:t>
            </w:r>
          </w:p>
        </w:tc>
        <w:tc>
          <w:tcPr>
            <w:tcW w:w="955" w:type="dxa"/>
            <w:tcBorders>
              <w:top w:val="nil"/>
              <w:left w:val="nil"/>
              <w:bottom w:val="single" w:sz="4" w:space="0" w:color="auto"/>
              <w:right w:val="single" w:sz="4" w:space="0" w:color="auto"/>
            </w:tcBorders>
            <w:shd w:val="clear" w:color="auto" w:fill="auto"/>
            <w:hideMark/>
          </w:tcPr>
          <w:p w14:paraId="4D6E1DD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8 191</w:t>
            </w:r>
          </w:p>
        </w:tc>
        <w:tc>
          <w:tcPr>
            <w:tcW w:w="954" w:type="dxa"/>
            <w:tcBorders>
              <w:top w:val="nil"/>
              <w:left w:val="nil"/>
              <w:bottom w:val="single" w:sz="4" w:space="0" w:color="auto"/>
              <w:right w:val="single" w:sz="4" w:space="0" w:color="auto"/>
            </w:tcBorders>
            <w:shd w:val="clear" w:color="auto" w:fill="auto"/>
            <w:hideMark/>
          </w:tcPr>
          <w:p w14:paraId="147AE30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10 071</w:t>
            </w:r>
          </w:p>
        </w:tc>
        <w:tc>
          <w:tcPr>
            <w:tcW w:w="969" w:type="dxa"/>
            <w:tcBorders>
              <w:top w:val="nil"/>
              <w:left w:val="nil"/>
              <w:bottom w:val="single" w:sz="4" w:space="0" w:color="auto"/>
              <w:right w:val="single" w:sz="4" w:space="0" w:color="auto"/>
            </w:tcBorders>
            <w:shd w:val="clear" w:color="auto" w:fill="auto"/>
            <w:hideMark/>
          </w:tcPr>
          <w:p w14:paraId="4963251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9 127</w:t>
            </w:r>
          </w:p>
        </w:tc>
        <w:tc>
          <w:tcPr>
            <w:tcW w:w="969" w:type="dxa"/>
            <w:tcBorders>
              <w:top w:val="nil"/>
              <w:left w:val="nil"/>
              <w:bottom w:val="single" w:sz="4" w:space="0" w:color="auto"/>
              <w:right w:val="single" w:sz="4" w:space="0" w:color="auto"/>
            </w:tcBorders>
            <w:shd w:val="clear" w:color="auto" w:fill="auto"/>
            <w:hideMark/>
          </w:tcPr>
          <w:p w14:paraId="7B92654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4 766</w:t>
            </w:r>
          </w:p>
        </w:tc>
        <w:tc>
          <w:tcPr>
            <w:tcW w:w="969" w:type="dxa"/>
            <w:tcBorders>
              <w:top w:val="nil"/>
              <w:left w:val="nil"/>
              <w:bottom w:val="single" w:sz="4" w:space="0" w:color="auto"/>
              <w:right w:val="single" w:sz="4" w:space="0" w:color="auto"/>
            </w:tcBorders>
            <w:shd w:val="clear" w:color="auto" w:fill="auto"/>
            <w:hideMark/>
          </w:tcPr>
          <w:p w14:paraId="3A45308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5 390</w:t>
            </w:r>
          </w:p>
        </w:tc>
        <w:tc>
          <w:tcPr>
            <w:tcW w:w="969" w:type="dxa"/>
            <w:tcBorders>
              <w:top w:val="nil"/>
              <w:left w:val="nil"/>
              <w:bottom w:val="single" w:sz="4" w:space="0" w:color="auto"/>
              <w:right w:val="single" w:sz="4" w:space="0" w:color="auto"/>
            </w:tcBorders>
            <w:shd w:val="clear" w:color="auto" w:fill="auto"/>
            <w:hideMark/>
          </w:tcPr>
          <w:p w14:paraId="0B63D17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16 024</w:t>
            </w:r>
          </w:p>
        </w:tc>
        <w:tc>
          <w:tcPr>
            <w:tcW w:w="969" w:type="dxa"/>
            <w:tcBorders>
              <w:top w:val="nil"/>
              <w:left w:val="nil"/>
              <w:bottom w:val="single" w:sz="4" w:space="0" w:color="auto"/>
              <w:right w:val="single" w:sz="4" w:space="0" w:color="auto"/>
            </w:tcBorders>
            <w:shd w:val="clear" w:color="auto" w:fill="auto"/>
            <w:hideMark/>
          </w:tcPr>
          <w:p w14:paraId="0F675F9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14 948</w:t>
            </w:r>
          </w:p>
        </w:tc>
        <w:tc>
          <w:tcPr>
            <w:tcW w:w="969" w:type="dxa"/>
            <w:tcBorders>
              <w:top w:val="nil"/>
              <w:left w:val="nil"/>
              <w:bottom w:val="single" w:sz="4" w:space="0" w:color="auto"/>
              <w:right w:val="single" w:sz="4" w:space="0" w:color="auto"/>
            </w:tcBorders>
            <w:shd w:val="clear" w:color="auto" w:fill="auto"/>
            <w:hideMark/>
          </w:tcPr>
          <w:p w14:paraId="0BCB789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11 450</w:t>
            </w:r>
          </w:p>
        </w:tc>
        <w:tc>
          <w:tcPr>
            <w:tcW w:w="969" w:type="dxa"/>
            <w:tcBorders>
              <w:top w:val="nil"/>
              <w:left w:val="nil"/>
              <w:bottom w:val="single" w:sz="4" w:space="0" w:color="auto"/>
              <w:right w:val="single" w:sz="4" w:space="0" w:color="auto"/>
            </w:tcBorders>
            <w:shd w:val="clear" w:color="auto" w:fill="auto"/>
            <w:hideMark/>
          </w:tcPr>
          <w:p w14:paraId="17DD933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9 682</w:t>
            </w:r>
          </w:p>
        </w:tc>
        <w:tc>
          <w:tcPr>
            <w:tcW w:w="969" w:type="dxa"/>
            <w:tcBorders>
              <w:top w:val="nil"/>
              <w:left w:val="nil"/>
              <w:bottom w:val="single" w:sz="4" w:space="0" w:color="auto"/>
              <w:right w:val="single" w:sz="4" w:space="0" w:color="auto"/>
            </w:tcBorders>
            <w:shd w:val="clear" w:color="auto" w:fill="auto"/>
            <w:hideMark/>
          </w:tcPr>
          <w:p w14:paraId="2A66845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7 079</w:t>
            </w:r>
          </w:p>
        </w:tc>
        <w:tc>
          <w:tcPr>
            <w:tcW w:w="1238" w:type="dxa"/>
            <w:tcBorders>
              <w:top w:val="nil"/>
              <w:left w:val="nil"/>
              <w:bottom w:val="single" w:sz="4" w:space="0" w:color="auto"/>
              <w:right w:val="single" w:sz="8" w:space="0" w:color="auto"/>
            </w:tcBorders>
            <w:shd w:val="clear" w:color="auto" w:fill="auto"/>
            <w:hideMark/>
          </w:tcPr>
          <w:p w14:paraId="39EF0C9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4 313</w:t>
            </w:r>
          </w:p>
        </w:tc>
      </w:tr>
      <w:tr w:rsidR="005B6AF9" w:rsidRPr="00680E37" w14:paraId="17625CCF" w14:textId="77777777" w:rsidTr="00680E37">
        <w:trPr>
          <w:trHeight w:val="291"/>
        </w:trPr>
        <w:tc>
          <w:tcPr>
            <w:tcW w:w="567" w:type="dxa"/>
            <w:vMerge/>
            <w:tcBorders>
              <w:top w:val="nil"/>
              <w:left w:val="single" w:sz="8" w:space="0" w:color="auto"/>
              <w:bottom w:val="single" w:sz="8" w:space="0" w:color="000000"/>
              <w:right w:val="single" w:sz="4" w:space="0" w:color="auto"/>
            </w:tcBorders>
            <w:vAlign w:val="center"/>
            <w:hideMark/>
          </w:tcPr>
          <w:p w14:paraId="4AB0295B"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632F6BF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w:t>
            </w:r>
          </w:p>
        </w:tc>
        <w:tc>
          <w:tcPr>
            <w:tcW w:w="1829" w:type="dxa"/>
            <w:tcBorders>
              <w:top w:val="nil"/>
              <w:left w:val="nil"/>
              <w:bottom w:val="single" w:sz="4" w:space="0" w:color="auto"/>
              <w:right w:val="single" w:sz="4" w:space="0" w:color="auto"/>
            </w:tcBorders>
            <w:shd w:val="clear" w:color="auto" w:fill="auto"/>
            <w:hideMark/>
          </w:tcPr>
          <w:p w14:paraId="2D4CB4E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Наурызбайский</w:t>
            </w:r>
          </w:p>
        </w:tc>
        <w:tc>
          <w:tcPr>
            <w:tcW w:w="780" w:type="dxa"/>
            <w:tcBorders>
              <w:top w:val="nil"/>
              <w:left w:val="nil"/>
              <w:bottom w:val="single" w:sz="4" w:space="0" w:color="auto"/>
              <w:right w:val="single" w:sz="4" w:space="0" w:color="auto"/>
            </w:tcBorders>
            <w:shd w:val="clear" w:color="auto" w:fill="auto"/>
            <w:hideMark/>
          </w:tcPr>
          <w:p w14:paraId="72C4A5C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1 616</w:t>
            </w:r>
          </w:p>
        </w:tc>
        <w:tc>
          <w:tcPr>
            <w:tcW w:w="955" w:type="dxa"/>
            <w:tcBorders>
              <w:top w:val="nil"/>
              <w:left w:val="nil"/>
              <w:bottom w:val="single" w:sz="4" w:space="0" w:color="auto"/>
              <w:right w:val="single" w:sz="4" w:space="0" w:color="auto"/>
            </w:tcBorders>
            <w:shd w:val="clear" w:color="auto" w:fill="auto"/>
            <w:hideMark/>
          </w:tcPr>
          <w:p w14:paraId="7D19D04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6 743</w:t>
            </w:r>
          </w:p>
        </w:tc>
        <w:tc>
          <w:tcPr>
            <w:tcW w:w="954" w:type="dxa"/>
            <w:tcBorders>
              <w:top w:val="nil"/>
              <w:left w:val="nil"/>
              <w:bottom w:val="single" w:sz="4" w:space="0" w:color="auto"/>
              <w:right w:val="single" w:sz="4" w:space="0" w:color="auto"/>
            </w:tcBorders>
            <w:shd w:val="clear" w:color="auto" w:fill="auto"/>
            <w:hideMark/>
          </w:tcPr>
          <w:p w14:paraId="6257811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6 223</w:t>
            </w:r>
          </w:p>
        </w:tc>
        <w:tc>
          <w:tcPr>
            <w:tcW w:w="969" w:type="dxa"/>
            <w:tcBorders>
              <w:top w:val="nil"/>
              <w:left w:val="nil"/>
              <w:bottom w:val="single" w:sz="4" w:space="0" w:color="auto"/>
              <w:right w:val="single" w:sz="4" w:space="0" w:color="auto"/>
            </w:tcBorders>
            <w:shd w:val="clear" w:color="auto" w:fill="auto"/>
            <w:hideMark/>
          </w:tcPr>
          <w:p w14:paraId="51FF443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4 886</w:t>
            </w:r>
          </w:p>
        </w:tc>
        <w:tc>
          <w:tcPr>
            <w:tcW w:w="969" w:type="dxa"/>
            <w:tcBorders>
              <w:top w:val="nil"/>
              <w:left w:val="nil"/>
              <w:bottom w:val="single" w:sz="4" w:space="0" w:color="auto"/>
              <w:right w:val="single" w:sz="4" w:space="0" w:color="auto"/>
            </w:tcBorders>
            <w:shd w:val="clear" w:color="auto" w:fill="auto"/>
            <w:hideMark/>
          </w:tcPr>
          <w:p w14:paraId="48E8C00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2 075</w:t>
            </w:r>
          </w:p>
        </w:tc>
        <w:tc>
          <w:tcPr>
            <w:tcW w:w="969" w:type="dxa"/>
            <w:tcBorders>
              <w:top w:val="nil"/>
              <w:left w:val="nil"/>
              <w:bottom w:val="single" w:sz="4" w:space="0" w:color="auto"/>
              <w:right w:val="single" w:sz="4" w:space="0" w:color="auto"/>
            </w:tcBorders>
            <w:shd w:val="clear" w:color="auto" w:fill="auto"/>
            <w:hideMark/>
          </w:tcPr>
          <w:p w14:paraId="241CBD4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935</w:t>
            </w:r>
          </w:p>
        </w:tc>
        <w:tc>
          <w:tcPr>
            <w:tcW w:w="969" w:type="dxa"/>
            <w:tcBorders>
              <w:top w:val="nil"/>
              <w:left w:val="nil"/>
              <w:bottom w:val="single" w:sz="4" w:space="0" w:color="auto"/>
              <w:right w:val="single" w:sz="4" w:space="0" w:color="auto"/>
            </w:tcBorders>
            <w:shd w:val="clear" w:color="auto" w:fill="auto"/>
            <w:hideMark/>
          </w:tcPr>
          <w:p w14:paraId="7D95ADE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7 389</w:t>
            </w:r>
          </w:p>
        </w:tc>
        <w:tc>
          <w:tcPr>
            <w:tcW w:w="969" w:type="dxa"/>
            <w:tcBorders>
              <w:top w:val="nil"/>
              <w:left w:val="nil"/>
              <w:bottom w:val="single" w:sz="4" w:space="0" w:color="auto"/>
              <w:right w:val="single" w:sz="4" w:space="0" w:color="auto"/>
            </w:tcBorders>
            <w:shd w:val="clear" w:color="auto" w:fill="auto"/>
            <w:hideMark/>
          </w:tcPr>
          <w:p w14:paraId="723E16D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8 288</w:t>
            </w:r>
          </w:p>
        </w:tc>
        <w:tc>
          <w:tcPr>
            <w:tcW w:w="969" w:type="dxa"/>
            <w:tcBorders>
              <w:top w:val="nil"/>
              <w:left w:val="nil"/>
              <w:bottom w:val="single" w:sz="4" w:space="0" w:color="auto"/>
              <w:right w:val="single" w:sz="4" w:space="0" w:color="auto"/>
            </w:tcBorders>
            <w:shd w:val="clear" w:color="auto" w:fill="auto"/>
            <w:hideMark/>
          </w:tcPr>
          <w:p w14:paraId="53001E4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5 744</w:t>
            </w:r>
          </w:p>
        </w:tc>
        <w:tc>
          <w:tcPr>
            <w:tcW w:w="969" w:type="dxa"/>
            <w:tcBorders>
              <w:top w:val="nil"/>
              <w:left w:val="nil"/>
              <w:bottom w:val="single" w:sz="4" w:space="0" w:color="auto"/>
              <w:right w:val="single" w:sz="4" w:space="0" w:color="auto"/>
            </w:tcBorders>
            <w:shd w:val="clear" w:color="auto" w:fill="auto"/>
            <w:hideMark/>
          </w:tcPr>
          <w:p w14:paraId="4696B60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4 863</w:t>
            </w:r>
          </w:p>
        </w:tc>
        <w:tc>
          <w:tcPr>
            <w:tcW w:w="969" w:type="dxa"/>
            <w:tcBorders>
              <w:top w:val="nil"/>
              <w:left w:val="nil"/>
              <w:bottom w:val="single" w:sz="4" w:space="0" w:color="auto"/>
              <w:right w:val="single" w:sz="4" w:space="0" w:color="auto"/>
            </w:tcBorders>
            <w:shd w:val="clear" w:color="auto" w:fill="auto"/>
            <w:hideMark/>
          </w:tcPr>
          <w:p w14:paraId="1ED3014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3 017</w:t>
            </w:r>
          </w:p>
        </w:tc>
        <w:tc>
          <w:tcPr>
            <w:tcW w:w="1238" w:type="dxa"/>
            <w:tcBorders>
              <w:top w:val="nil"/>
              <w:left w:val="nil"/>
              <w:bottom w:val="single" w:sz="4" w:space="0" w:color="auto"/>
              <w:right w:val="single" w:sz="8" w:space="0" w:color="auto"/>
            </w:tcBorders>
            <w:shd w:val="clear" w:color="auto" w:fill="auto"/>
            <w:hideMark/>
          </w:tcPr>
          <w:p w14:paraId="1FE460C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1 403</w:t>
            </w:r>
          </w:p>
        </w:tc>
      </w:tr>
      <w:tr w:rsidR="005B6AF9" w:rsidRPr="00680E37" w14:paraId="14A0A36A" w14:textId="77777777" w:rsidTr="00680E37">
        <w:trPr>
          <w:trHeight w:val="268"/>
        </w:trPr>
        <w:tc>
          <w:tcPr>
            <w:tcW w:w="567" w:type="dxa"/>
            <w:vMerge/>
            <w:tcBorders>
              <w:top w:val="nil"/>
              <w:left w:val="single" w:sz="8" w:space="0" w:color="auto"/>
              <w:bottom w:val="single" w:sz="8" w:space="0" w:color="000000"/>
              <w:right w:val="single" w:sz="4" w:space="0" w:color="auto"/>
            </w:tcBorders>
            <w:vAlign w:val="center"/>
            <w:hideMark/>
          </w:tcPr>
          <w:p w14:paraId="338F3DDA"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8" w:space="0" w:color="auto"/>
              <w:right w:val="single" w:sz="4" w:space="0" w:color="auto"/>
            </w:tcBorders>
            <w:shd w:val="clear" w:color="auto" w:fill="auto"/>
            <w:hideMark/>
          </w:tcPr>
          <w:p w14:paraId="1944A71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w:t>
            </w:r>
          </w:p>
        </w:tc>
        <w:tc>
          <w:tcPr>
            <w:tcW w:w="1829" w:type="dxa"/>
            <w:tcBorders>
              <w:top w:val="nil"/>
              <w:left w:val="nil"/>
              <w:bottom w:val="single" w:sz="8" w:space="0" w:color="auto"/>
              <w:right w:val="single" w:sz="4" w:space="0" w:color="auto"/>
            </w:tcBorders>
            <w:shd w:val="clear" w:color="auto" w:fill="auto"/>
            <w:hideMark/>
          </w:tcPr>
          <w:p w14:paraId="79CA0CF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Турксибский</w:t>
            </w:r>
          </w:p>
        </w:tc>
        <w:tc>
          <w:tcPr>
            <w:tcW w:w="780" w:type="dxa"/>
            <w:tcBorders>
              <w:top w:val="nil"/>
              <w:left w:val="nil"/>
              <w:bottom w:val="single" w:sz="8" w:space="0" w:color="auto"/>
              <w:right w:val="single" w:sz="4" w:space="0" w:color="auto"/>
            </w:tcBorders>
            <w:shd w:val="clear" w:color="auto" w:fill="auto"/>
            <w:hideMark/>
          </w:tcPr>
          <w:p w14:paraId="57605F1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2 152</w:t>
            </w:r>
          </w:p>
        </w:tc>
        <w:tc>
          <w:tcPr>
            <w:tcW w:w="955" w:type="dxa"/>
            <w:tcBorders>
              <w:top w:val="nil"/>
              <w:left w:val="nil"/>
              <w:bottom w:val="single" w:sz="8" w:space="0" w:color="auto"/>
              <w:right w:val="single" w:sz="4" w:space="0" w:color="auto"/>
            </w:tcBorders>
            <w:shd w:val="clear" w:color="auto" w:fill="auto"/>
            <w:hideMark/>
          </w:tcPr>
          <w:p w14:paraId="272D86E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9 631</w:t>
            </w:r>
          </w:p>
        </w:tc>
        <w:tc>
          <w:tcPr>
            <w:tcW w:w="954" w:type="dxa"/>
            <w:tcBorders>
              <w:top w:val="nil"/>
              <w:left w:val="nil"/>
              <w:bottom w:val="single" w:sz="8" w:space="0" w:color="auto"/>
              <w:right w:val="single" w:sz="4" w:space="0" w:color="auto"/>
            </w:tcBorders>
            <w:shd w:val="clear" w:color="auto" w:fill="auto"/>
            <w:hideMark/>
          </w:tcPr>
          <w:p w14:paraId="189DC5B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11 146</w:t>
            </w:r>
          </w:p>
        </w:tc>
        <w:tc>
          <w:tcPr>
            <w:tcW w:w="969" w:type="dxa"/>
            <w:tcBorders>
              <w:top w:val="nil"/>
              <w:left w:val="nil"/>
              <w:bottom w:val="single" w:sz="8" w:space="0" w:color="auto"/>
              <w:right w:val="single" w:sz="4" w:space="0" w:color="auto"/>
            </w:tcBorders>
            <w:shd w:val="clear" w:color="auto" w:fill="auto"/>
            <w:hideMark/>
          </w:tcPr>
          <w:p w14:paraId="77B7610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9 415</w:t>
            </w:r>
          </w:p>
        </w:tc>
        <w:tc>
          <w:tcPr>
            <w:tcW w:w="969" w:type="dxa"/>
            <w:tcBorders>
              <w:top w:val="nil"/>
              <w:left w:val="nil"/>
              <w:bottom w:val="single" w:sz="8" w:space="0" w:color="auto"/>
              <w:right w:val="single" w:sz="4" w:space="0" w:color="auto"/>
            </w:tcBorders>
            <w:shd w:val="clear" w:color="auto" w:fill="auto"/>
            <w:hideMark/>
          </w:tcPr>
          <w:p w14:paraId="511288C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4 270</w:t>
            </w:r>
          </w:p>
        </w:tc>
        <w:tc>
          <w:tcPr>
            <w:tcW w:w="969" w:type="dxa"/>
            <w:tcBorders>
              <w:top w:val="nil"/>
              <w:left w:val="nil"/>
              <w:bottom w:val="single" w:sz="8" w:space="0" w:color="auto"/>
              <w:right w:val="single" w:sz="4" w:space="0" w:color="auto"/>
            </w:tcBorders>
            <w:shd w:val="clear" w:color="auto" w:fill="auto"/>
            <w:hideMark/>
          </w:tcPr>
          <w:p w14:paraId="4F15694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2 540</w:t>
            </w:r>
          </w:p>
        </w:tc>
        <w:tc>
          <w:tcPr>
            <w:tcW w:w="969" w:type="dxa"/>
            <w:tcBorders>
              <w:top w:val="nil"/>
              <w:left w:val="nil"/>
              <w:bottom w:val="single" w:sz="8" w:space="0" w:color="auto"/>
              <w:right w:val="single" w:sz="4" w:space="0" w:color="auto"/>
            </w:tcBorders>
            <w:shd w:val="clear" w:color="auto" w:fill="auto"/>
            <w:hideMark/>
          </w:tcPr>
          <w:p w14:paraId="037554E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15 919</w:t>
            </w:r>
          </w:p>
        </w:tc>
        <w:tc>
          <w:tcPr>
            <w:tcW w:w="969" w:type="dxa"/>
            <w:tcBorders>
              <w:top w:val="nil"/>
              <w:left w:val="nil"/>
              <w:bottom w:val="single" w:sz="8" w:space="0" w:color="auto"/>
              <w:right w:val="single" w:sz="4" w:space="0" w:color="auto"/>
            </w:tcBorders>
            <w:shd w:val="clear" w:color="auto" w:fill="auto"/>
            <w:hideMark/>
          </w:tcPr>
          <w:p w14:paraId="47465ED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19 525</w:t>
            </w:r>
          </w:p>
        </w:tc>
        <w:tc>
          <w:tcPr>
            <w:tcW w:w="969" w:type="dxa"/>
            <w:tcBorders>
              <w:top w:val="nil"/>
              <w:left w:val="nil"/>
              <w:bottom w:val="single" w:sz="8" w:space="0" w:color="auto"/>
              <w:right w:val="single" w:sz="4" w:space="0" w:color="auto"/>
            </w:tcBorders>
            <w:shd w:val="clear" w:color="auto" w:fill="auto"/>
            <w:hideMark/>
          </w:tcPr>
          <w:p w14:paraId="71B1E1F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14 118</w:t>
            </w:r>
          </w:p>
        </w:tc>
        <w:tc>
          <w:tcPr>
            <w:tcW w:w="969" w:type="dxa"/>
            <w:tcBorders>
              <w:top w:val="nil"/>
              <w:left w:val="nil"/>
              <w:bottom w:val="single" w:sz="8" w:space="0" w:color="auto"/>
              <w:right w:val="single" w:sz="4" w:space="0" w:color="auto"/>
            </w:tcBorders>
            <w:shd w:val="clear" w:color="auto" w:fill="auto"/>
            <w:hideMark/>
          </w:tcPr>
          <w:p w14:paraId="50364B2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11 350</w:t>
            </w:r>
          </w:p>
        </w:tc>
        <w:tc>
          <w:tcPr>
            <w:tcW w:w="969" w:type="dxa"/>
            <w:tcBorders>
              <w:top w:val="nil"/>
              <w:left w:val="nil"/>
              <w:bottom w:val="single" w:sz="8" w:space="0" w:color="auto"/>
              <w:right w:val="single" w:sz="4" w:space="0" w:color="auto"/>
            </w:tcBorders>
            <w:shd w:val="clear" w:color="auto" w:fill="auto"/>
            <w:hideMark/>
          </w:tcPr>
          <w:p w14:paraId="4DEDADD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8 532</w:t>
            </w:r>
          </w:p>
        </w:tc>
        <w:tc>
          <w:tcPr>
            <w:tcW w:w="1238" w:type="dxa"/>
            <w:tcBorders>
              <w:top w:val="nil"/>
              <w:left w:val="nil"/>
              <w:bottom w:val="single" w:sz="8" w:space="0" w:color="auto"/>
              <w:right w:val="single" w:sz="8" w:space="0" w:color="auto"/>
            </w:tcBorders>
            <w:shd w:val="clear" w:color="auto" w:fill="auto"/>
            <w:hideMark/>
          </w:tcPr>
          <w:p w14:paraId="32341F4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4 124</w:t>
            </w:r>
          </w:p>
        </w:tc>
      </w:tr>
      <w:tr w:rsidR="005B6AF9" w:rsidRPr="00680E37" w14:paraId="5C9570CA" w14:textId="77777777" w:rsidTr="00680E37">
        <w:trPr>
          <w:trHeight w:val="257"/>
        </w:trPr>
        <w:tc>
          <w:tcPr>
            <w:tcW w:w="567" w:type="dxa"/>
            <w:vMerge w:val="restart"/>
            <w:tcBorders>
              <w:top w:val="nil"/>
              <w:left w:val="single" w:sz="8" w:space="0" w:color="auto"/>
              <w:bottom w:val="single" w:sz="8" w:space="0" w:color="000000"/>
              <w:right w:val="single" w:sz="4" w:space="0" w:color="auto"/>
            </w:tcBorders>
            <w:shd w:val="clear" w:color="auto" w:fill="auto"/>
            <w:noWrap/>
            <w:textDirection w:val="btLr"/>
            <w:vAlign w:val="center"/>
            <w:hideMark/>
          </w:tcPr>
          <w:p w14:paraId="71A9CAF5" w14:textId="77777777" w:rsidR="005B6AF9" w:rsidRPr="00680E37" w:rsidRDefault="005B6AF9" w:rsidP="004135FE">
            <w:pPr>
              <w:spacing w:after="0" w:line="240" w:lineRule="auto"/>
              <w:jc w:val="center"/>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2020</w:t>
            </w:r>
          </w:p>
        </w:tc>
        <w:tc>
          <w:tcPr>
            <w:tcW w:w="384" w:type="dxa"/>
            <w:tcBorders>
              <w:top w:val="nil"/>
              <w:left w:val="nil"/>
              <w:bottom w:val="single" w:sz="4" w:space="0" w:color="auto"/>
              <w:right w:val="single" w:sz="4" w:space="0" w:color="auto"/>
            </w:tcBorders>
            <w:shd w:val="clear" w:color="auto" w:fill="auto"/>
            <w:hideMark/>
          </w:tcPr>
          <w:p w14:paraId="19DC14B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w:t>
            </w:r>
          </w:p>
        </w:tc>
        <w:tc>
          <w:tcPr>
            <w:tcW w:w="1829" w:type="dxa"/>
            <w:tcBorders>
              <w:top w:val="nil"/>
              <w:left w:val="nil"/>
              <w:bottom w:val="single" w:sz="4" w:space="0" w:color="auto"/>
              <w:right w:val="single" w:sz="4" w:space="0" w:color="auto"/>
            </w:tcBorders>
            <w:shd w:val="clear" w:color="auto" w:fill="auto"/>
            <w:hideMark/>
          </w:tcPr>
          <w:p w14:paraId="2B135FC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Алмалинский</w:t>
            </w:r>
          </w:p>
        </w:tc>
        <w:tc>
          <w:tcPr>
            <w:tcW w:w="780" w:type="dxa"/>
            <w:tcBorders>
              <w:top w:val="nil"/>
              <w:left w:val="nil"/>
              <w:bottom w:val="single" w:sz="4" w:space="0" w:color="auto"/>
              <w:right w:val="single" w:sz="4" w:space="0" w:color="auto"/>
            </w:tcBorders>
            <w:shd w:val="clear" w:color="auto" w:fill="auto"/>
            <w:hideMark/>
          </w:tcPr>
          <w:p w14:paraId="214D86E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1 846</w:t>
            </w:r>
          </w:p>
        </w:tc>
        <w:tc>
          <w:tcPr>
            <w:tcW w:w="955" w:type="dxa"/>
            <w:tcBorders>
              <w:top w:val="nil"/>
              <w:left w:val="nil"/>
              <w:bottom w:val="single" w:sz="4" w:space="0" w:color="auto"/>
              <w:right w:val="single" w:sz="4" w:space="0" w:color="auto"/>
            </w:tcBorders>
            <w:shd w:val="clear" w:color="auto" w:fill="auto"/>
            <w:hideMark/>
          </w:tcPr>
          <w:p w14:paraId="363DBF5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9 448</w:t>
            </w:r>
          </w:p>
        </w:tc>
        <w:tc>
          <w:tcPr>
            <w:tcW w:w="954" w:type="dxa"/>
            <w:tcBorders>
              <w:top w:val="nil"/>
              <w:left w:val="nil"/>
              <w:bottom w:val="single" w:sz="4" w:space="0" w:color="auto"/>
              <w:right w:val="single" w:sz="4" w:space="0" w:color="auto"/>
            </w:tcBorders>
            <w:shd w:val="clear" w:color="auto" w:fill="auto"/>
            <w:hideMark/>
          </w:tcPr>
          <w:p w14:paraId="79E30C0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12 026</w:t>
            </w:r>
          </w:p>
        </w:tc>
        <w:tc>
          <w:tcPr>
            <w:tcW w:w="969" w:type="dxa"/>
            <w:tcBorders>
              <w:top w:val="nil"/>
              <w:left w:val="nil"/>
              <w:bottom w:val="single" w:sz="4" w:space="0" w:color="auto"/>
              <w:right w:val="single" w:sz="4" w:space="0" w:color="auto"/>
            </w:tcBorders>
            <w:shd w:val="clear" w:color="auto" w:fill="auto"/>
            <w:hideMark/>
          </w:tcPr>
          <w:p w14:paraId="1651600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10 631</w:t>
            </w:r>
          </w:p>
        </w:tc>
        <w:tc>
          <w:tcPr>
            <w:tcW w:w="969" w:type="dxa"/>
            <w:tcBorders>
              <w:top w:val="nil"/>
              <w:left w:val="nil"/>
              <w:bottom w:val="single" w:sz="4" w:space="0" w:color="auto"/>
              <w:right w:val="single" w:sz="4" w:space="0" w:color="auto"/>
            </w:tcBorders>
            <w:shd w:val="clear" w:color="auto" w:fill="auto"/>
            <w:hideMark/>
          </w:tcPr>
          <w:p w14:paraId="4ADEC82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6 677</w:t>
            </w:r>
          </w:p>
        </w:tc>
        <w:tc>
          <w:tcPr>
            <w:tcW w:w="969" w:type="dxa"/>
            <w:tcBorders>
              <w:top w:val="nil"/>
              <w:left w:val="nil"/>
              <w:bottom w:val="single" w:sz="4" w:space="0" w:color="auto"/>
              <w:right w:val="single" w:sz="4" w:space="0" w:color="auto"/>
            </w:tcBorders>
            <w:shd w:val="clear" w:color="auto" w:fill="auto"/>
            <w:hideMark/>
          </w:tcPr>
          <w:p w14:paraId="5FB0B26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8 451</w:t>
            </w:r>
          </w:p>
        </w:tc>
        <w:tc>
          <w:tcPr>
            <w:tcW w:w="969" w:type="dxa"/>
            <w:tcBorders>
              <w:top w:val="nil"/>
              <w:left w:val="nil"/>
              <w:bottom w:val="single" w:sz="4" w:space="0" w:color="auto"/>
              <w:right w:val="single" w:sz="4" w:space="0" w:color="auto"/>
            </w:tcBorders>
            <w:shd w:val="clear" w:color="auto" w:fill="auto"/>
            <w:hideMark/>
          </w:tcPr>
          <w:p w14:paraId="18B891B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33 356</w:t>
            </w:r>
          </w:p>
        </w:tc>
        <w:tc>
          <w:tcPr>
            <w:tcW w:w="969" w:type="dxa"/>
            <w:tcBorders>
              <w:top w:val="nil"/>
              <w:left w:val="nil"/>
              <w:bottom w:val="single" w:sz="4" w:space="0" w:color="auto"/>
              <w:right w:val="single" w:sz="4" w:space="0" w:color="auto"/>
            </w:tcBorders>
            <w:shd w:val="clear" w:color="auto" w:fill="auto"/>
            <w:hideMark/>
          </w:tcPr>
          <w:p w14:paraId="7BBA650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25 542</w:t>
            </w:r>
          </w:p>
        </w:tc>
        <w:tc>
          <w:tcPr>
            <w:tcW w:w="969" w:type="dxa"/>
            <w:tcBorders>
              <w:top w:val="nil"/>
              <w:left w:val="nil"/>
              <w:bottom w:val="single" w:sz="4" w:space="0" w:color="auto"/>
              <w:right w:val="single" w:sz="4" w:space="0" w:color="auto"/>
            </w:tcBorders>
            <w:shd w:val="clear" w:color="auto" w:fill="auto"/>
            <w:hideMark/>
          </w:tcPr>
          <w:p w14:paraId="38C2B80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18 496</w:t>
            </w:r>
          </w:p>
        </w:tc>
        <w:tc>
          <w:tcPr>
            <w:tcW w:w="969" w:type="dxa"/>
            <w:tcBorders>
              <w:top w:val="nil"/>
              <w:left w:val="nil"/>
              <w:bottom w:val="single" w:sz="4" w:space="0" w:color="auto"/>
              <w:right w:val="single" w:sz="4" w:space="0" w:color="auto"/>
            </w:tcBorders>
            <w:shd w:val="clear" w:color="auto" w:fill="auto"/>
            <w:hideMark/>
          </w:tcPr>
          <w:p w14:paraId="211BA3F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14 666</w:t>
            </w:r>
          </w:p>
        </w:tc>
        <w:tc>
          <w:tcPr>
            <w:tcW w:w="969" w:type="dxa"/>
            <w:tcBorders>
              <w:top w:val="nil"/>
              <w:left w:val="nil"/>
              <w:bottom w:val="single" w:sz="4" w:space="0" w:color="auto"/>
              <w:right w:val="single" w:sz="4" w:space="0" w:color="auto"/>
            </w:tcBorders>
            <w:shd w:val="clear" w:color="auto" w:fill="auto"/>
            <w:hideMark/>
          </w:tcPr>
          <w:p w14:paraId="3C6DFB0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10 768</w:t>
            </w:r>
          </w:p>
        </w:tc>
        <w:tc>
          <w:tcPr>
            <w:tcW w:w="1238" w:type="dxa"/>
            <w:tcBorders>
              <w:top w:val="nil"/>
              <w:left w:val="nil"/>
              <w:bottom w:val="single" w:sz="4" w:space="0" w:color="auto"/>
              <w:right w:val="single" w:sz="8" w:space="0" w:color="auto"/>
            </w:tcBorders>
            <w:shd w:val="clear" w:color="auto" w:fill="auto"/>
            <w:hideMark/>
          </w:tcPr>
          <w:p w14:paraId="6243C2C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7 563</w:t>
            </w:r>
          </w:p>
        </w:tc>
      </w:tr>
      <w:tr w:rsidR="005B6AF9" w:rsidRPr="00680E37" w14:paraId="0A0F903B" w14:textId="77777777" w:rsidTr="00680E37">
        <w:trPr>
          <w:trHeight w:val="293"/>
        </w:trPr>
        <w:tc>
          <w:tcPr>
            <w:tcW w:w="567" w:type="dxa"/>
            <w:vMerge/>
            <w:tcBorders>
              <w:top w:val="nil"/>
              <w:left w:val="single" w:sz="8" w:space="0" w:color="auto"/>
              <w:bottom w:val="single" w:sz="8" w:space="0" w:color="000000"/>
              <w:right w:val="single" w:sz="4" w:space="0" w:color="auto"/>
            </w:tcBorders>
            <w:vAlign w:val="center"/>
            <w:hideMark/>
          </w:tcPr>
          <w:p w14:paraId="6C14DD4E"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777AF71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w:t>
            </w:r>
          </w:p>
        </w:tc>
        <w:tc>
          <w:tcPr>
            <w:tcW w:w="1829" w:type="dxa"/>
            <w:tcBorders>
              <w:top w:val="nil"/>
              <w:left w:val="nil"/>
              <w:bottom w:val="single" w:sz="4" w:space="0" w:color="auto"/>
              <w:right w:val="single" w:sz="4" w:space="0" w:color="auto"/>
            </w:tcBorders>
            <w:shd w:val="clear" w:color="auto" w:fill="auto"/>
            <w:hideMark/>
          </w:tcPr>
          <w:p w14:paraId="4365193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Алатауский</w:t>
            </w:r>
          </w:p>
        </w:tc>
        <w:tc>
          <w:tcPr>
            <w:tcW w:w="780" w:type="dxa"/>
            <w:tcBorders>
              <w:top w:val="nil"/>
              <w:left w:val="nil"/>
              <w:bottom w:val="single" w:sz="4" w:space="0" w:color="auto"/>
              <w:right w:val="single" w:sz="4" w:space="0" w:color="auto"/>
            </w:tcBorders>
            <w:shd w:val="clear" w:color="auto" w:fill="auto"/>
            <w:hideMark/>
          </w:tcPr>
          <w:p w14:paraId="188575A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3 457</w:t>
            </w:r>
          </w:p>
        </w:tc>
        <w:tc>
          <w:tcPr>
            <w:tcW w:w="955" w:type="dxa"/>
            <w:tcBorders>
              <w:top w:val="nil"/>
              <w:left w:val="nil"/>
              <w:bottom w:val="single" w:sz="4" w:space="0" w:color="auto"/>
              <w:right w:val="single" w:sz="4" w:space="0" w:color="auto"/>
            </w:tcBorders>
            <w:shd w:val="clear" w:color="auto" w:fill="auto"/>
            <w:hideMark/>
          </w:tcPr>
          <w:p w14:paraId="52FF484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14 828</w:t>
            </w:r>
          </w:p>
        </w:tc>
        <w:tc>
          <w:tcPr>
            <w:tcW w:w="954" w:type="dxa"/>
            <w:tcBorders>
              <w:top w:val="nil"/>
              <w:left w:val="nil"/>
              <w:bottom w:val="single" w:sz="4" w:space="0" w:color="auto"/>
              <w:right w:val="single" w:sz="4" w:space="0" w:color="auto"/>
            </w:tcBorders>
            <w:shd w:val="clear" w:color="auto" w:fill="auto"/>
            <w:hideMark/>
          </w:tcPr>
          <w:p w14:paraId="2683D57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14 771</w:t>
            </w:r>
          </w:p>
        </w:tc>
        <w:tc>
          <w:tcPr>
            <w:tcW w:w="969" w:type="dxa"/>
            <w:tcBorders>
              <w:top w:val="nil"/>
              <w:left w:val="nil"/>
              <w:bottom w:val="single" w:sz="4" w:space="0" w:color="auto"/>
              <w:right w:val="single" w:sz="4" w:space="0" w:color="auto"/>
            </w:tcBorders>
            <w:shd w:val="clear" w:color="auto" w:fill="auto"/>
            <w:hideMark/>
          </w:tcPr>
          <w:p w14:paraId="2AA1B0C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11 514</w:t>
            </w:r>
          </w:p>
        </w:tc>
        <w:tc>
          <w:tcPr>
            <w:tcW w:w="969" w:type="dxa"/>
            <w:tcBorders>
              <w:top w:val="nil"/>
              <w:left w:val="nil"/>
              <w:bottom w:val="single" w:sz="4" w:space="0" w:color="auto"/>
              <w:right w:val="single" w:sz="4" w:space="0" w:color="auto"/>
            </w:tcBorders>
            <w:shd w:val="clear" w:color="auto" w:fill="auto"/>
            <w:hideMark/>
          </w:tcPr>
          <w:p w14:paraId="18081EC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4 891</w:t>
            </w:r>
          </w:p>
        </w:tc>
        <w:tc>
          <w:tcPr>
            <w:tcW w:w="969" w:type="dxa"/>
            <w:tcBorders>
              <w:top w:val="nil"/>
              <w:left w:val="nil"/>
              <w:bottom w:val="single" w:sz="4" w:space="0" w:color="auto"/>
              <w:right w:val="single" w:sz="4" w:space="0" w:color="auto"/>
            </w:tcBorders>
            <w:shd w:val="clear" w:color="auto" w:fill="auto"/>
            <w:hideMark/>
          </w:tcPr>
          <w:p w14:paraId="0A92B47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2 229</w:t>
            </w:r>
          </w:p>
        </w:tc>
        <w:tc>
          <w:tcPr>
            <w:tcW w:w="969" w:type="dxa"/>
            <w:tcBorders>
              <w:top w:val="nil"/>
              <w:left w:val="nil"/>
              <w:bottom w:val="single" w:sz="4" w:space="0" w:color="auto"/>
              <w:right w:val="single" w:sz="4" w:space="0" w:color="auto"/>
            </w:tcBorders>
            <w:shd w:val="clear" w:color="auto" w:fill="auto"/>
            <w:hideMark/>
          </w:tcPr>
          <w:p w14:paraId="39229EE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12 240</w:t>
            </w:r>
          </w:p>
        </w:tc>
        <w:tc>
          <w:tcPr>
            <w:tcW w:w="969" w:type="dxa"/>
            <w:tcBorders>
              <w:top w:val="nil"/>
              <w:left w:val="nil"/>
              <w:bottom w:val="single" w:sz="4" w:space="0" w:color="auto"/>
              <w:right w:val="single" w:sz="4" w:space="0" w:color="auto"/>
            </w:tcBorders>
            <w:shd w:val="clear" w:color="auto" w:fill="auto"/>
            <w:hideMark/>
          </w:tcPr>
          <w:p w14:paraId="003639E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17 319</w:t>
            </w:r>
          </w:p>
        </w:tc>
        <w:tc>
          <w:tcPr>
            <w:tcW w:w="969" w:type="dxa"/>
            <w:tcBorders>
              <w:top w:val="nil"/>
              <w:left w:val="nil"/>
              <w:bottom w:val="single" w:sz="4" w:space="0" w:color="auto"/>
              <w:right w:val="single" w:sz="4" w:space="0" w:color="auto"/>
            </w:tcBorders>
            <w:shd w:val="clear" w:color="auto" w:fill="auto"/>
            <w:hideMark/>
          </w:tcPr>
          <w:p w14:paraId="3B57A7F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12 086</w:t>
            </w:r>
          </w:p>
        </w:tc>
        <w:tc>
          <w:tcPr>
            <w:tcW w:w="969" w:type="dxa"/>
            <w:tcBorders>
              <w:top w:val="nil"/>
              <w:left w:val="nil"/>
              <w:bottom w:val="single" w:sz="4" w:space="0" w:color="auto"/>
              <w:right w:val="single" w:sz="4" w:space="0" w:color="auto"/>
            </w:tcBorders>
            <w:shd w:val="clear" w:color="auto" w:fill="auto"/>
            <w:hideMark/>
          </w:tcPr>
          <w:p w14:paraId="2CD4455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8 820</w:t>
            </w:r>
          </w:p>
        </w:tc>
        <w:tc>
          <w:tcPr>
            <w:tcW w:w="969" w:type="dxa"/>
            <w:tcBorders>
              <w:top w:val="nil"/>
              <w:left w:val="nil"/>
              <w:bottom w:val="single" w:sz="4" w:space="0" w:color="auto"/>
              <w:right w:val="single" w:sz="4" w:space="0" w:color="auto"/>
            </w:tcBorders>
            <w:shd w:val="clear" w:color="auto" w:fill="auto"/>
            <w:hideMark/>
          </w:tcPr>
          <w:p w14:paraId="6674035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4 937</w:t>
            </w:r>
          </w:p>
        </w:tc>
        <w:tc>
          <w:tcPr>
            <w:tcW w:w="1238" w:type="dxa"/>
            <w:tcBorders>
              <w:top w:val="nil"/>
              <w:left w:val="nil"/>
              <w:bottom w:val="single" w:sz="4" w:space="0" w:color="auto"/>
              <w:right w:val="single" w:sz="8" w:space="0" w:color="auto"/>
            </w:tcBorders>
            <w:shd w:val="clear" w:color="auto" w:fill="auto"/>
            <w:hideMark/>
          </w:tcPr>
          <w:p w14:paraId="0BB06B4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2 063</w:t>
            </w:r>
          </w:p>
        </w:tc>
      </w:tr>
      <w:tr w:rsidR="005B6AF9" w:rsidRPr="00680E37" w14:paraId="0171E9EE" w14:textId="77777777" w:rsidTr="00680E37">
        <w:trPr>
          <w:trHeight w:val="114"/>
        </w:trPr>
        <w:tc>
          <w:tcPr>
            <w:tcW w:w="567" w:type="dxa"/>
            <w:vMerge/>
            <w:tcBorders>
              <w:top w:val="nil"/>
              <w:left w:val="single" w:sz="8" w:space="0" w:color="auto"/>
              <w:bottom w:val="single" w:sz="8" w:space="0" w:color="000000"/>
              <w:right w:val="single" w:sz="4" w:space="0" w:color="auto"/>
            </w:tcBorders>
            <w:vAlign w:val="center"/>
            <w:hideMark/>
          </w:tcPr>
          <w:p w14:paraId="121CE554"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79967C5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w:t>
            </w:r>
          </w:p>
        </w:tc>
        <w:tc>
          <w:tcPr>
            <w:tcW w:w="1829" w:type="dxa"/>
            <w:tcBorders>
              <w:top w:val="nil"/>
              <w:left w:val="nil"/>
              <w:bottom w:val="single" w:sz="4" w:space="0" w:color="auto"/>
              <w:right w:val="single" w:sz="4" w:space="0" w:color="auto"/>
            </w:tcBorders>
            <w:shd w:val="clear" w:color="auto" w:fill="auto"/>
            <w:hideMark/>
          </w:tcPr>
          <w:p w14:paraId="1D2CF19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Ауэзовский</w:t>
            </w:r>
          </w:p>
        </w:tc>
        <w:tc>
          <w:tcPr>
            <w:tcW w:w="780" w:type="dxa"/>
            <w:tcBorders>
              <w:top w:val="nil"/>
              <w:left w:val="nil"/>
              <w:bottom w:val="single" w:sz="4" w:space="0" w:color="auto"/>
              <w:right w:val="single" w:sz="4" w:space="0" w:color="auto"/>
            </w:tcBorders>
            <w:shd w:val="clear" w:color="auto" w:fill="auto"/>
            <w:hideMark/>
          </w:tcPr>
          <w:p w14:paraId="603E165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2 129</w:t>
            </w:r>
          </w:p>
        </w:tc>
        <w:tc>
          <w:tcPr>
            <w:tcW w:w="955" w:type="dxa"/>
            <w:tcBorders>
              <w:top w:val="nil"/>
              <w:left w:val="nil"/>
              <w:bottom w:val="single" w:sz="4" w:space="0" w:color="auto"/>
              <w:right w:val="single" w:sz="4" w:space="0" w:color="auto"/>
            </w:tcBorders>
            <w:shd w:val="clear" w:color="auto" w:fill="auto"/>
            <w:hideMark/>
          </w:tcPr>
          <w:p w14:paraId="48EBB63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11 245</w:t>
            </w:r>
          </w:p>
        </w:tc>
        <w:tc>
          <w:tcPr>
            <w:tcW w:w="954" w:type="dxa"/>
            <w:tcBorders>
              <w:top w:val="nil"/>
              <w:left w:val="nil"/>
              <w:bottom w:val="single" w:sz="4" w:space="0" w:color="auto"/>
              <w:right w:val="single" w:sz="4" w:space="0" w:color="auto"/>
            </w:tcBorders>
            <w:shd w:val="clear" w:color="auto" w:fill="auto"/>
            <w:hideMark/>
          </w:tcPr>
          <w:p w14:paraId="15BA0EB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13 665</w:t>
            </w:r>
          </w:p>
        </w:tc>
        <w:tc>
          <w:tcPr>
            <w:tcW w:w="969" w:type="dxa"/>
            <w:tcBorders>
              <w:top w:val="nil"/>
              <w:left w:val="nil"/>
              <w:bottom w:val="single" w:sz="4" w:space="0" w:color="auto"/>
              <w:right w:val="single" w:sz="4" w:space="0" w:color="auto"/>
            </w:tcBorders>
            <w:shd w:val="clear" w:color="auto" w:fill="auto"/>
            <w:hideMark/>
          </w:tcPr>
          <w:p w14:paraId="1DD30E7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11 918</w:t>
            </w:r>
          </w:p>
        </w:tc>
        <w:tc>
          <w:tcPr>
            <w:tcW w:w="969" w:type="dxa"/>
            <w:tcBorders>
              <w:top w:val="nil"/>
              <w:left w:val="nil"/>
              <w:bottom w:val="single" w:sz="4" w:space="0" w:color="auto"/>
              <w:right w:val="single" w:sz="4" w:space="0" w:color="auto"/>
            </w:tcBorders>
            <w:shd w:val="clear" w:color="auto" w:fill="auto"/>
            <w:hideMark/>
          </w:tcPr>
          <w:p w14:paraId="44DEEDD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5 695</w:t>
            </w:r>
          </w:p>
        </w:tc>
        <w:tc>
          <w:tcPr>
            <w:tcW w:w="969" w:type="dxa"/>
            <w:tcBorders>
              <w:top w:val="nil"/>
              <w:left w:val="nil"/>
              <w:bottom w:val="single" w:sz="4" w:space="0" w:color="auto"/>
              <w:right w:val="single" w:sz="4" w:space="0" w:color="auto"/>
            </w:tcBorders>
            <w:shd w:val="clear" w:color="auto" w:fill="auto"/>
            <w:hideMark/>
          </w:tcPr>
          <w:p w14:paraId="3756CED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3 905</w:t>
            </w:r>
          </w:p>
        </w:tc>
        <w:tc>
          <w:tcPr>
            <w:tcW w:w="969" w:type="dxa"/>
            <w:tcBorders>
              <w:top w:val="nil"/>
              <w:left w:val="nil"/>
              <w:bottom w:val="single" w:sz="4" w:space="0" w:color="auto"/>
              <w:right w:val="single" w:sz="4" w:space="0" w:color="auto"/>
            </w:tcBorders>
            <w:shd w:val="clear" w:color="auto" w:fill="auto"/>
            <w:hideMark/>
          </w:tcPr>
          <w:p w14:paraId="184A968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19 742</w:t>
            </w:r>
          </w:p>
        </w:tc>
        <w:tc>
          <w:tcPr>
            <w:tcW w:w="969" w:type="dxa"/>
            <w:tcBorders>
              <w:top w:val="nil"/>
              <w:left w:val="nil"/>
              <w:bottom w:val="single" w:sz="4" w:space="0" w:color="auto"/>
              <w:right w:val="single" w:sz="4" w:space="0" w:color="auto"/>
            </w:tcBorders>
            <w:shd w:val="clear" w:color="auto" w:fill="auto"/>
            <w:hideMark/>
          </w:tcPr>
          <w:p w14:paraId="007D934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22 835</w:t>
            </w:r>
          </w:p>
        </w:tc>
        <w:tc>
          <w:tcPr>
            <w:tcW w:w="969" w:type="dxa"/>
            <w:tcBorders>
              <w:top w:val="nil"/>
              <w:left w:val="nil"/>
              <w:bottom w:val="single" w:sz="4" w:space="0" w:color="auto"/>
              <w:right w:val="single" w:sz="4" w:space="0" w:color="auto"/>
            </w:tcBorders>
            <w:shd w:val="clear" w:color="auto" w:fill="auto"/>
            <w:hideMark/>
          </w:tcPr>
          <w:p w14:paraId="6C87192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15 792</w:t>
            </w:r>
          </w:p>
        </w:tc>
        <w:tc>
          <w:tcPr>
            <w:tcW w:w="969" w:type="dxa"/>
            <w:tcBorders>
              <w:top w:val="nil"/>
              <w:left w:val="nil"/>
              <w:bottom w:val="single" w:sz="4" w:space="0" w:color="auto"/>
              <w:right w:val="single" w:sz="4" w:space="0" w:color="auto"/>
            </w:tcBorders>
            <w:shd w:val="clear" w:color="auto" w:fill="auto"/>
            <w:hideMark/>
          </w:tcPr>
          <w:p w14:paraId="15DBCBC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12 626</w:t>
            </w:r>
          </w:p>
        </w:tc>
        <w:tc>
          <w:tcPr>
            <w:tcW w:w="969" w:type="dxa"/>
            <w:tcBorders>
              <w:top w:val="nil"/>
              <w:left w:val="nil"/>
              <w:bottom w:val="single" w:sz="4" w:space="0" w:color="auto"/>
              <w:right w:val="single" w:sz="4" w:space="0" w:color="auto"/>
            </w:tcBorders>
            <w:shd w:val="clear" w:color="auto" w:fill="auto"/>
            <w:hideMark/>
          </w:tcPr>
          <w:p w14:paraId="2C25469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9 342</w:t>
            </w:r>
          </w:p>
        </w:tc>
        <w:tc>
          <w:tcPr>
            <w:tcW w:w="1238" w:type="dxa"/>
            <w:tcBorders>
              <w:top w:val="nil"/>
              <w:left w:val="nil"/>
              <w:bottom w:val="single" w:sz="4" w:space="0" w:color="auto"/>
              <w:right w:val="single" w:sz="8" w:space="0" w:color="auto"/>
            </w:tcBorders>
            <w:shd w:val="clear" w:color="auto" w:fill="auto"/>
            <w:hideMark/>
          </w:tcPr>
          <w:p w14:paraId="2D11082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5 420</w:t>
            </w:r>
          </w:p>
        </w:tc>
      </w:tr>
      <w:tr w:rsidR="005B6AF9" w:rsidRPr="00680E37" w14:paraId="5AFE0873" w14:textId="77777777" w:rsidTr="00680E37">
        <w:trPr>
          <w:trHeight w:val="234"/>
        </w:trPr>
        <w:tc>
          <w:tcPr>
            <w:tcW w:w="567" w:type="dxa"/>
            <w:vMerge/>
            <w:tcBorders>
              <w:top w:val="nil"/>
              <w:left w:val="single" w:sz="8" w:space="0" w:color="auto"/>
              <w:bottom w:val="single" w:sz="8" w:space="0" w:color="000000"/>
              <w:right w:val="single" w:sz="4" w:space="0" w:color="auto"/>
            </w:tcBorders>
            <w:vAlign w:val="center"/>
            <w:hideMark/>
          </w:tcPr>
          <w:p w14:paraId="0A280051"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3BA0E76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w:t>
            </w:r>
          </w:p>
        </w:tc>
        <w:tc>
          <w:tcPr>
            <w:tcW w:w="1829" w:type="dxa"/>
            <w:tcBorders>
              <w:top w:val="nil"/>
              <w:left w:val="nil"/>
              <w:bottom w:val="single" w:sz="4" w:space="0" w:color="auto"/>
              <w:right w:val="single" w:sz="4" w:space="0" w:color="auto"/>
            </w:tcBorders>
            <w:shd w:val="clear" w:color="auto" w:fill="auto"/>
            <w:hideMark/>
          </w:tcPr>
          <w:p w14:paraId="26D99CA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Бостандыкский</w:t>
            </w:r>
          </w:p>
        </w:tc>
        <w:tc>
          <w:tcPr>
            <w:tcW w:w="780" w:type="dxa"/>
            <w:tcBorders>
              <w:top w:val="nil"/>
              <w:left w:val="nil"/>
              <w:bottom w:val="single" w:sz="4" w:space="0" w:color="auto"/>
              <w:right w:val="single" w:sz="4" w:space="0" w:color="auto"/>
            </w:tcBorders>
            <w:shd w:val="clear" w:color="auto" w:fill="auto"/>
            <w:hideMark/>
          </w:tcPr>
          <w:p w14:paraId="055B0F4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2 035</w:t>
            </w:r>
          </w:p>
        </w:tc>
        <w:tc>
          <w:tcPr>
            <w:tcW w:w="955" w:type="dxa"/>
            <w:tcBorders>
              <w:top w:val="nil"/>
              <w:left w:val="nil"/>
              <w:bottom w:val="single" w:sz="4" w:space="0" w:color="auto"/>
              <w:right w:val="single" w:sz="4" w:space="0" w:color="auto"/>
            </w:tcBorders>
            <w:shd w:val="clear" w:color="auto" w:fill="auto"/>
            <w:hideMark/>
          </w:tcPr>
          <w:p w14:paraId="1166E10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10 632</w:t>
            </w:r>
          </w:p>
        </w:tc>
        <w:tc>
          <w:tcPr>
            <w:tcW w:w="954" w:type="dxa"/>
            <w:tcBorders>
              <w:top w:val="nil"/>
              <w:left w:val="nil"/>
              <w:bottom w:val="single" w:sz="4" w:space="0" w:color="auto"/>
              <w:right w:val="single" w:sz="4" w:space="0" w:color="auto"/>
            </w:tcBorders>
            <w:shd w:val="clear" w:color="auto" w:fill="auto"/>
            <w:hideMark/>
          </w:tcPr>
          <w:p w14:paraId="32D2A9A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13 570</w:t>
            </w:r>
          </w:p>
        </w:tc>
        <w:tc>
          <w:tcPr>
            <w:tcW w:w="969" w:type="dxa"/>
            <w:tcBorders>
              <w:top w:val="nil"/>
              <w:left w:val="nil"/>
              <w:bottom w:val="single" w:sz="4" w:space="0" w:color="auto"/>
              <w:right w:val="single" w:sz="4" w:space="0" w:color="auto"/>
            </w:tcBorders>
            <w:shd w:val="clear" w:color="auto" w:fill="auto"/>
            <w:hideMark/>
          </w:tcPr>
          <w:p w14:paraId="56C3075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11 700</w:t>
            </w:r>
          </w:p>
        </w:tc>
        <w:tc>
          <w:tcPr>
            <w:tcW w:w="969" w:type="dxa"/>
            <w:tcBorders>
              <w:top w:val="nil"/>
              <w:left w:val="nil"/>
              <w:bottom w:val="single" w:sz="4" w:space="0" w:color="auto"/>
              <w:right w:val="single" w:sz="4" w:space="0" w:color="auto"/>
            </w:tcBorders>
            <w:shd w:val="clear" w:color="auto" w:fill="auto"/>
            <w:hideMark/>
          </w:tcPr>
          <w:p w14:paraId="12FC893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6 284</w:t>
            </w:r>
          </w:p>
        </w:tc>
        <w:tc>
          <w:tcPr>
            <w:tcW w:w="969" w:type="dxa"/>
            <w:tcBorders>
              <w:top w:val="nil"/>
              <w:left w:val="nil"/>
              <w:bottom w:val="single" w:sz="4" w:space="0" w:color="auto"/>
              <w:right w:val="single" w:sz="4" w:space="0" w:color="auto"/>
            </w:tcBorders>
            <w:shd w:val="clear" w:color="auto" w:fill="auto"/>
            <w:hideMark/>
          </w:tcPr>
          <w:p w14:paraId="7D29C8B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8 539</w:t>
            </w:r>
          </w:p>
        </w:tc>
        <w:tc>
          <w:tcPr>
            <w:tcW w:w="969" w:type="dxa"/>
            <w:tcBorders>
              <w:top w:val="nil"/>
              <w:left w:val="nil"/>
              <w:bottom w:val="single" w:sz="4" w:space="0" w:color="auto"/>
              <w:right w:val="single" w:sz="4" w:space="0" w:color="auto"/>
            </w:tcBorders>
            <w:shd w:val="clear" w:color="auto" w:fill="auto"/>
            <w:hideMark/>
          </w:tcPr>
          <w:p w14:paraId="47051ED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41 898</w:t>
            </w:r>
          </w:p>
        </w:tc>
        <w:tc>
          <w:tcPr>
            <w:tcW w:w="969" w:type="dxa"/>
            <w:tcBorders>
              <w:top w:val="nil"/>
              <w:left w:val="nil"/>
              <w:bottom w:val="single" w:sz="4" w:space="0" w:color="auto"/>
              <w:right w:val="single" w:sz="4" w:space="0" w:color="auto"/>
            </w:tcBorders>
            <w:shd w:val="clear" w:color="auto" w:fill="auto"/>
            <w:hideMark/>
          </w:tcPr>
          <w:p w14:paraId="2A7D17B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26 741</w:t>
            </w:r>
          </w:p>
        </w:tc>
        <w:tc>
          <w:tcPr>
            <w:tcW w:w="969" w:type="dxa"/>
            <w:tcBorders>
              <w:top w:val="nil"/>
              <w:left w:val="nil"/>
              <w:bottom w:val="single" w:sz="4" w:space="0" w:color="auto"/>
              <w:right w:val="single" w:sz="4" w:space="0" w:color="auto"/>
            </w:tcBorders>
            <w:shd w:val="clear" w:color="auto" w:fill="auto"/>
            <w:hideMark/>
          </w:tcPr>
          <w:p w14:paraId="1C0399C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17 758</w:t>
            </w:r>
          </w:p>
        </w:tc>
        <w:tc>
          <w:tcPr>
            <w:tcW w:w="969" w:type="dxa"/>
            <w:tcBorders>
              <w:top w:val="nil"/>
              <w:left w:val="nil"/>
              <w:bottom w:val="single" w:sz="4" w:space="0" w:color="auto"/>
              <w:right w:val="single" w:sz="4" w:space="0" w:color="auto"/>
            </w:tcBorders>
            <w:shd w:val="clear" w:color="auto" w:fill="auto"/>
            <w:hideMark/>
          </w:tcPr>
          <w:p w14:paraId="512E458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13 984</w:t>
            </w:r>
          </w:p>
        </w:tc>
        <w:tc>
          <w:tcPr>
            <w:tcW w:w="969" w:type="dxa"/>
            <w:tcBorders>
              <w:top w:val="nil"/>
              <w:left w:val="nil"/>
              <w:bottom w:val="single" w:sz="4" w:space="0" w:color="auto"/>
              <w:right w:val="single" w:sz="4" w:space="0" w:color="auto"/>
            </w:tcBorders>
            <w:shd w:val="clear" w:color="auto" w:fill="auto"/>
            <w:hideMark/>
          </w:tcPr>
          <w:p w14:paraId="772DF94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10 544</w:t>
            </w:r>
          </w:p>
        </w:tc>
        <w:tc>
          <w:tcPr>
            <w:tcW w:w="1238" w:type="dxa"/>
            <w:tcBorders>
              <w:top w:val="nil"/>
              <w:left w:val="nil"/>
              <w:bottom w:val="single" w:sz="4" w:space="0" w:color="auto"/>
              <w:right w:val="single" w:sz="8" w:space="0" w:color="auto"/>
            </w:tcBorders>
            <w:shd w:val="clear" w:color="auto" w:fill="auto"/>
            <w:hideMark/>
          </w:tcPr>
          <w:p w14:paraId="39C1CDB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6 920</w:t>
            </w:r>
          </w:p>
        </w:tc>
      </w:tr>
      <w:tr w:rsidR="005B6AF9" w:rsidRPr="00680E37" w14:paraId="5A2AEC6B" w14:textId="77777777" w:rsidTr="00680E37">
        <w:trPr>
          <w:trHeight w:val="139"/>
        </w:trPr>
        <w:tc>
          <w:tcPr>
            <w:tcW w:w="567" w:type="dxa"/>
            <w:vMerge/>
            <w:tcBorders>
              <w:top w:val="nil"/>
              <w:left w:val="single" w:sz="8" w:space="0" w:color="auto"/>
              <w:bottom w:val="single" w:sz="8" w:space="0" w:color="000000"/>
              <w:right w:val="single" w:sz="4" w:space="0" w:color="auto"/>
            </w:tcBorders>
            <w:vAlign w:val="center"/>
            <w:hideMark/>
          </w:tcPr>
          <w:p w14:paraId="5E97003D"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61F1038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w:t>
            </w:r>
          </w:p>
        </w:tc>
        <w:tc>
          <w:tcPr>
            <w:tcW w:w="1829" w:type="dxa"/>
            <w:tcBorders>
              <w:top w:val="nil"/>
              <w:left w:val="nil"/>
              <w:bottom w:val="single" w:sz="4" w:space="0" w:color="auto"/>
              <w:right w:val="single" w:sz="4" w:space="0" w:color="auto"/>
            </w:tcBorders>
            <w:shd w:val="clear" w:color="auto" w:fill="auto"/>
            <w:hideMark/>
          </w:tcPr>
          <w:p w14:paraId="7621CE1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Жетысуский</w:t>
            </w:r>
          </w:p>
        </w:tc>
        <w:tc>
          <w:tcPr>
            <w:tcW w:w="780" w:type="dxa"/>
            <w:tcBorders>
              <w:top w:val="nil"/>
              <w:left w:val="nil"/>
              <w:bottom w:val="single" w:sz="4" w:space="0" w:color="auto"/>
              <w:right w:val="single" w:sz="4" w:space="0" w:color="auto"/>
            </w:tcBorders>
            <w:shd w:val="clear" w:color="auto" w:fill="auto"/>
            <w:hideMark/>
          </w:tcPr>
          <w:p w14:paraId="09EC96C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1 540</w:t>
            </w:r>
          </w:p>
        </w:tc>
        <w:tc>
          <w:tcPr>
            <w:tcW w:w="955" w:type="dxa"/>
            <w:tcBorders>
              <w:top w:val="nil"/>
              <w:left w:val="nil"/>
              <w:bottom w:val="single" w:sz="4" w:space="0" w:color="auto"/>
              <w:right w:val="single" w:sz="4" w:space="0" w:color="auto"/>
            </w:tcBorders>
            <w:shd w:val="clear" w:color="auto" w:fill="auto"/>
            <w:hideMark/>
          </w:tcPr>
          <w:p w14:paraId="546160A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7 463</w:t>
            </w:r>
          </w:p>
        </w:tc>
        <w:tc>
          <w:tcPr>
            <w:tcW w:w="954" w:type="dxa"/>
            <w:tcBorders>
              <w:top w:val="nil"/>
              <w:left w:val="nil"/>
              <w:bottom w:val="single" w:sz="4" w:space="0" w:color="auto"/>
              <w:right w:val="single" w:sz="4" w:space="0" w:color="auto"/>
            </w:tcBorders>
            <w:shd w:val="clear" w:color="auto" w:fill="auto"/>
            <w:hideMark/>
          </w:tcPr>
          <w:p w14:paraId="36C6CDE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8 618</w:t>
            </w:r>
          </w:p>
        </w:tc>
        <w:tc>
          <w:tcPr>
            <w:tcW w:w="969" w:type="dxa"/>
            <w:tcBorders>
              <w:top w:val="nil"/>
              <w:left w:val="nil"/>
              <w:bottom w:val="single" w:sz="4" w:space="0" w:color="auto"/>
              <w:right w:val="single" w:sz="4" w:space="0" w:color="auto"/>
            </w:tcBorders>
            <w:shd w:val="clear" w:color="auto" w:fill="auto"/>
            <w:hideMark/>
          </w:tcPr>
          <w:p w14:paraId="03D4DBF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7 775</w:t>
            </w:r>
          </w:p>
        </w:tc>
        <w:tc>
          <w:tcPr>
            <w:tcW w:w="969" w:type="dxa"/>
            <w:tcBorders>
              <w:top w:val="nil"/>
              <w:left w:val="nil"/>
              <w:bottom w:val="single" w:sz="4" w:space="0" w:color="auto"/>
              <w:right w:val="single" w:sz="4" w:space="0" w:color="auto"/>
            </w:tcBorders>
            <w:shd w:val="clear" w:color="auto" w:fill="auto"/>
            <w:hideMark/>
          </w:tcPr>
          <w:p w14:paraId="1807B1E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3 427</w:t>
            </w:r>
          </w:p>
        </w:tc>
        <w:tc>
          <w:tcPr>
            <w:tcW w:w="969" w:type="dxa"/>
            <w:tcBorders>
              <w:top w:val="nil"/>
              <w:left w:val="nil"/>
              <w:bottom w:val="single" w:sz="4" w:space="0" w:color="auto"/>
              <w:right w:val="single" w:sz="4" w:space="0" w:color="auto"/>
            </w:tcBorders>
            <w:shd w:val="clear" w:color="auto" w:fill="auto"/>
            <w:hideMark/>
          </w:tcPr>
          <w:p w14:paraId="7A3FD71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2 185</w:t>
            </w:r>
          </w:p>
        </w:tc>
        <w:tc>
          <w:tcPr>
            <w:tcW w:w="969" w:type="dxa"/>
            <w:tcBorders>
              <w:top w:val="nil"/>
              <w:left w:val="nil"/>
              <w:bottom w:val="single" w:sz="4" w:space="0" w:color="auto"/>
              <w:right w:val="single" w:sz="4" w:space="0" w:color="auto"/>
            </w:tcBorders>
            <w:shd w:val="clear" w:color="auto" w:fill="auto"/>
            <w:hideMark/>
          </w:tcPr>
          <w:p w14:paraId="7E2B325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11 537</w:t>
            </w:r>
          </w:p>
        </w:tc>
        <w:tc>
          <w:tcPr>
            <w:tcW w:w="969" w:type="dxa"/>
            <w:tcBorders>
              <w:top w:val="nil"/>
              <w:left w:val="nil"/>
              <w:bottom w:val="single" w:sz="4" w:space="0" w:color="auto"/>
              <w:right w:val="single" w:sz="4" w:space="0" w:color="auto"/>
            </w:tcBorders>
            <w:shd w:val="clear" w:color="auto" w:fill="auto"/>
            <w:hideMark/>
          </w:tcPr>
          <w:p w14:paraId="5A38362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14 177</w:t>
            </w:r>
          </w:p>
        </w:tc>
        <w:tc>
          <w:tcPr>
            <w:tcW w:w="969" w:type="dxa"/>
            <w:tcBorders>
              <w:top w:val="nil"/>
              <w:left w:val="nil"/>
              <w:bottom w:val="single" w:sz="4" w:space="0" w:color="auto"/>
              <w:right w:val="single" w:sz="4" w:space="0" w:color="auto"/>
            </w:tcBorders>
            <w:shd w:val="clear" w:color="auto" w:fill="auto"/>
            <w:hideMark/>
          </w:tcPr>
          <w:p w14:paraId="3982A00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10 200</w:t>
            </w:r>
          </w:p>
        </w:tc>
        <w:tc>
          <w:tcPr>
            <w:tcW w:w="969" w:type="dxa"/>
            <w:tcBorders>
              <w:top w:val="nil"/>
              <w:left w:val="nil"/>
              <w:bottom w:val="single" w:sz="4" w:space="0" w:color="auto"/>
              <w:right w:val="single" w:sz="4" w:space="0" w:color="auto"/>
            </w:tcBorders>
            <w:shd w:val="clear" w:color="auto" w:fill="auto"/>
            <w:hideMark/>
          </w:tcPr>
          <w:p w14:paraId="6342244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7 605</w:t>
            </w:r>
          </w:p>
        </w:tc>
        <w:tc>
          <w:tcPr>
            <w:tcW w:w="969" w:type="dxa"/>
            <w:tcBorders>
              <w:top w:val="nil"/>
              <w:left w:val="nil"/>
              <w:bottom w:val="single" w:sz="4" w:space="0" w:color="auto"/>
              <w:right w:val="single" w:sz="4" w:space="0" w:color="auto"/>
            </w:tcBorders>
            <w:shd w:val="clear" w:color="auto" w:fill="auto"/>
            <w:hideMark/>
          </w:tcPr>
          <w:p w14:paraId="7B769BA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5 277</w:t>
            </w:r>
          </w:p>
        </w:tc>
        <w:tc>
          <w:tcPr>
            <w:tcW w:w="1238" w:type="dxa"/>
            <w:tcBorders>
              <w:top w:val="nil"/>
              <w:left w:val="nil"/>
              <w:bottom w:val="single" w:sz="4" w:space="0" w:color="auto"/>
              <w:right w:val="single" w:sz="8" w:space="0" w:color="auto"/>
            </w:tcBorders>
            <w:shd w:val="clear" w:color="auto" w:fill="auto"/>
            <w:hideMark/>
          </w:tcPr>
          <w:p w14:paraId="103EF43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2 605</w:t>
            </w:r>
          </w:p>
        </w:tc>
      </w:tr>
      <w:tr w:rsidR="005B6AF9" w:rsidRPr="00680E37" w14:paraId="4795168F" w14:textId="77777777" w:rsidTr="00680E37">
        <w:trPr>
          <w:trHeight w:val="188"/>
        </w:trPr>
        <w:tc>
          <w:tcPr>
            <w:tcW w:w="567" w:type="dxa"/>
            <w:vMerge/>
            <w:tcBorders>
              <w:top w:val="nil"/>
              <w:left w:val="single" w:sz="8" w:space="0" w:color="auto"/>
              <w:bottom w:val="single" w:sz="8" w:space="0" w:color="000000"/>
              <w:right w:val="single" w:sz="4" w:space="0" w:color="auto"/>
            </w:tcBorders>
            <w:vAlign w:val="center"/>
            <w:hideMark/>
          </w:tcPr>
          <w:p w14:paraId="3BBC9EEF"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4E2A1D6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w:t>
            </w:r>
          </w:p>
        </w:tc>
        <w:tc>
          <w:tcPr>
            <w:tcW w:w="1829" w:type="dxa"/>
            <w:tcBorders>
              <w:top w:val="nil"/>
              <w:left w:val="nil"/>
              <w:bottom w:val="single" w:sz="4" w:space="0" w:color="auto"/>
              <w:right w:val="single" w:sz="4" w:space="0" w:color="auto"/>
            </w:tcBorders>
            <w:shd w:val="clear" w:color="auto" w:fill="auto"/>
            <w:hideMark/>
          </w:tcPr>
          <w:p w14:paraId="40B6C57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Медеуский</w:t>
            </w:r>
          </w:p>
        </w:tc>
        <w:tc>
          <w:tcPr>
            <w:tcW w:w="780" w:type="dxa"/>
            <w:tcBorders>
              <w:top w:val="nil"/>
              <w:left w:val="nil"/>
              <w:bottom w:val="single" w:sz="4" w:space="0" w:color="auto"/>
              <w:right w:val="single" w:sz="4" w:space="0" w:color="auto"/>
            </w:tcBorders>
            <w:shd w:val="clear" w:color="auto" w:fill="auto"/>
            <w:hideMark/>
          </w:tcPr>
          <w:p w14:paraId="3EC175C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1 335</w:t>
            </w:r>
          </w:p>
        </w:tc>
        <w:tc>
          <w:tcPr>
            <w:tcW w:w="955" w:type="dxa"/>
            <w:tcBorders>
              <w:top w:val="nil"/>
              <w:left w:val="nil"/>
              <w:bottom w:val="single" w:sz="4" w:space="0" w:color="auto"/>
              <w:right w:val="single" w:sz="4" w:space="0" w:color="auto"/>
            </w:tcBorders>
            <w:shd w:val="clear" w:color="auto" w:fill="auto"/>
            <w:hideMark/>
          </w:tcPr>
          <w:p w14:paraId="1ECFA16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8 016</w:t>
            </w:r>
          </w:p>
        </w:tc>
        <w:tc>
          <w:tcPr>
            <w:tcW w:w="954" w:type="dxa"/>
            <w:tcBorders>
              <w:top w:val="nil"/>
              <w:left w:val="nil"/>
              <w:bottom w:val="single" w:sz="4" w:space="0" w:color="auto"/>
              <w:right w:val="single" w:sz="4" w:space="0" w:color="auto"/>
            </w:tcBorders>
            <w:shd w:val="clear" w:color="auto" w:fill="auto"/>
            <w:hideMark/>
          </w:tcPr>
          <w:p w14:paraId="1E6F543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10 308</w:t>
            </w:r>
          </w:p>
        </w:tc>
        <w:tc>
          <w:tcPr>
            <w:tcW w:w="969" w:type="dxa"/>
            <w:tcBorders>
              <w:top w:val="nil"/>
              <w:left w:val="nil"/>
              <w:bottom w:val="single" w:sz="4" w:space="0" w:color="auto"/>
              <w:right w:val="single" w:sz="4" w:space="0" w:color="auto"/>
            </w:tcBorders>
            <w:shd w:val="clear" w:color="auto" w:fill="auto"/>
            <w:hideMark/>
          </w:tcPr>
          <w:p w14:paraId="2FFEA87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9 477</w:t>
            </w:r>
          </w:p>
        </w:tc>
        <w:tc>
          <w:tcPr>
            <w:tcW w:w="969" w:type="dxa"/>
            <w:tcBorders>
              <w:top w:val="nil"/>
              <w:left w:val="nil"/>
              <w:bottom w:val="single" w:sz="4" w:space="0" w:color="auto"/>
              <w:right w:val="single" w:sz="4" w:space="0" w:color="auto"/>
            </w:tcBorders>
            <w:shd w:val="clear" w:color="auto" w:fill="auto"/>
            <w:hideMark/>
          </w:tcPr>
          <w:p w14:paraId="5792631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4 466</w:t>
            </w:r>
          </w:p>
        </w:tc>
        <w:tc>
          <w:tcPr>
            <w:tcW w:w="969" w:type="dxa"/>
            <w:tcBorders>
              <w:top w:val="nil"/>
              <w:left w:val="nil"/>
              <w:bottom w:val="single" w:sz="4" w:space="0" w:color="auto"/>
              <w:right w:val="single" w:sz="4" w:space="0" w:color="auto"/>
            </w:tcBorders>
            <w:shd w:val="clear" w:color="auto" w:fill="auto"/>
            <w:hideMark/>
          </w:tcPr>
          <w:p w14:paraId="25F0D64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4 785</w:t>
            </w:r>
          </w:p>
        </w:tc>
        <w:tc>
          <w:tcPr>
            <w:tcW w:w="969" w:type="dxa"/>
            <w:tcBorders>
              <w:top w:val="nil"/>
              <w:left w:val="nil"/>
              <w:bottom w:val="single" w:sz="4" w:space="0" w:color="auto"/>
              <w:right w:val="single" w:sz="4" w:space="0" w:color="auto"/>
            </w:tcBorders>
            <w:shd w:val="clear" w:color="auto" w:fill="auto"/>
            <w:hideMark/>
          </w:tcPr>
          <w:p w14:paraId="235948F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16 595</w:t>
            </w:r>
          </w:p>
        </w:tc>
        <w:tc>
          <w:tcPr>
            <w:tcW w:w="969" w:type="dxa"/>
            <w:tcBorders>
              <w:top w:val="nil"/>
              <w:left w:val="nil"/>
              <w:bottom w:val="single" w:sz="4" w:space="0" w:color="auto"/>
              <w:right w:val="single" w:sz="4" w:space="0" w:color="auto"/>
            </w:tcBorders>
            <w:shd w:val="clear" w:color="auto" w:fill="auto"/>
            <w:hideMark/>
          </w:tcPr>
          <w:p w14:paraId="3351308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15 426</w:t>
            </w:r>
          </w:p>
        </w:tc>
        <w:tc>
          <w:tcPr>
            <w:tcW w:w="969" w:type="dxa"/>
            <w:tcBorders>
              <w:top w:val="nil"/>
              <w:left w:val="nil"/>
              <w:bottom w:val="single" w:sz="4" w:space="0" w:color="auto"/>
              <w:right w:val="single" w:sz="4" w:space="0" w:color="auto"/>
            </w:tcBorders>
            <w:shd w:val="clear" w:color="auto" w:fill="auto"/>
            <w:hideMark/>
          </w:tcPr>
          <w:p w14:paraId="4CBE999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11 700</w:t>
            </w:r>
          </w:p>
        </w:tc>
        <w:tc>
          <w:tcPr>
            <w:tcW w:w="969" w:type="dxa"/>
            <w:tcBorders>
              <w:top w:val="nil"/>
              <w:left w:val="nil"/>
              <w:bottom w:val="single" w:sz="4" w:space="0" w:color="auto"/>
              <w:right w:val="single" w:sz="4" w:space="0" w:color="auto"/>
            </w:tcBorders>
            <w:shd w:val="clear" w:color="auto" w:fill="auto"/>
            <w:hideMark/>
          </w:tcPr>
          <w:p w14:paraId="4717B9D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9 756</w:t>
            </w:r>
          </w:p>
        </w:tc>
        <w:tc>
          <w:tcPr>
            <w:tcW w:w="969" w:type="dxa"/>
            <w:tcBorders>
              <w:top w:val="nil"/>
              <w:left w:val="nil"/>
              <w:bottom w:val="single" w:sz="4" w:space="0" w:color="auto"/>
              <w:right w:val="single" w:sz="4" w:space="0" w:color="auto"/>
            </w:tcBorders>
            <w:shd w:val="clear" w:color="auto" w:fill="auto"/>
            <w:hideMark/>
          </w:tcPr>
          <w:p w14:paraId="7441EBA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7 356</w:t>
            </w:r>
          </w:p>
        </w:tc>
        <w:tc>
          <w:tcPr>
            <w:tcW w:w="1238" w:type="dxa"/>
            <w:tcBorders>
              <w:top w:val="nil"/>
              <w:left w:val="nil"/>
              <w:bottom w:val="single" w:sz="4" w:space="0" w:color="auto"/>
              <w:right w:val="single" w:sz="8" w:space="0" w:color="auto"/>
            </w:tcBorders>
            <w:shd w:val="clear" w:color="auto" w:fill="auto"/>
            <w:hideMark/>
          </w:tcPr>
          <w:p w14:paraId="1FF9A75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4 455</w:t>
            </w:r>
          </w:p>
        </w:tc>
      </w:tr>
      <w:tr w:rsidR="005B6AF9" w:rsidRPr="00680E37" w14:paraId="5B991105" w14:textId="77777777" w:rsidTr="00680E37">
        <w:trPr>
          <w:trHeight w:val="222"/>
        </w:trPr>
        <w:tc>
          <w:tcPr>
            <w:tcW w:w="567" w:type="dxa"/>
            <w:vMerge/>
            <w:tcBorders>
              <w:top w:val="nil"/>
              <w:left w:val="single" w:sz="8" w:space="0" w:color="auto"/>
              <w:bottom w:val="single" w:sz="8" w:space="0" w:color="000000"/>
              <w:right w:val="single" w:sz="4" w:space="0" w:color="auto"/>
            </w:tcBorders>
            <w:vAlign w:val="center"/>
            <w:hideMark/>
          </w:tcPr>
          <w:p w14:paraId="3D8F4C02"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3D63BD5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w:t>
            </w:r>
          </w:p>
        </w:tc>
        <w:tc>
          <w:tcPr>
            <w:tcW w:w="1829" w:type="dxa"/>
            <w:tcBorders>
              <w:top w:val="nil"/>
              <w:left w:val="nil"/>
              <w:bottom w:val="single" w:sz="4" w:space="0" w:color="auto"/>
              <w:right w:val="single" w:sz="4" w:space="0" w:color="auto"/>
            </w:tcBorders>
            <w:shd w:val="clear" w:color="auto" w:fill="auto"/>
            <w:hideMark/>
          </w:tcPr>
          <w:p w14:paraId="3662CF6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Наурызбайский</w:t>
            </w:r>
          </w:p>
        </w:tc>
        <w:tc>
          <w:tcPr>
            <w:tcW w:w="780" w:type="dxa"/>
            <w:tcBorders>
              <w:top w:val="nil"/>
              <w:left w:val="nil"/>
              <w:bottom w:val="single" w:sz="4" w:space="0" w:color="auto"/>
              <w:right w:val="single" w:sz="4" w:space="0" w:color="auto"/>
            </w:tcBorders>
            <w:shd w:val="clear" w:color="auto" w:fill="auto"/>
            <w:hideMark/>
          </w:tcPr>
          <w:p w14:paraId="07BB696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1 584</w:t>
            </w:r>
          </w:p>
        </w:tc>
        <w:tc>
          <w:tcPr>
            <w:tcW w:w="955" w:type="dxa"/>
            <w:tcBorders>
              <w:top w:val="nil"/>
              <w:left w:val="nil"/>
              <w:bottom w:val="single" w:sz="4" w:space="0" w:color="auto"/>
              <w:right w:val="single" w:sz="4" w:space="0" w:color="auto"/>
            </w:tcBorders>
            <w:shd w:val="clear" w:color="auto" w:fill="auto"/>
            <w:hideMark/>
          </w:tcPr>
          <w:p w14:paraId="3BC6623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7 156</w:t>
            </w:r>
          </w:p>
        </w:tc>
        <w:tc>
          <w:tcPr>
            <w:tcW w:w="954" w:type="dxa"/>
            <w:tcBorders>
              <w:top w:val="nil"/>
              <w:left w:val="nil"/>
              <w:bottom w:val="single" w:sz="4" w:space="0" w:color="auto"/>
              <w:right w:val="single" w:sz="4" w:space="0" w:color="auto"/>
            </w:tcBorders>
            <w:shd w:val="clear" w:color="auto" w:fill="auto"/>
            <w:hideMark/>
          </w:tcPr>
          <w:p w14:paraId="44B39A3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6 895</w:t>
            </w:r>
          </w:p>
        </w:tc>
        <w:tc>
          <w:tcPr>
            <w:tcW w:w="969" w:type="dxa"/>
            <w:tcBorders>
              <w:top w:val="nil"/>
              <w:left w:val="nil"/>
              <w:bottom w:val="single" w:sz="4" w:space="0" w:color="auto"/>
              <w:right w:val="single" w:sz="4" w:space="0" w:color="auto"/>
            </w:tcBorders>
            <w:shd w:val="clear" w:color="auto" w:fill="auto"/>
            <w:hideMark/>
          </w:tcPr>
          <w:p w14:paraId="393145C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5 295</w:t>
            </w:r>
          </w:p>
        </w:tc>
        <w:tc>
          <w:tcPr>
            <w:tcW w:w="969" w:type="dxa"/>
            <w:tcBorders>
              <w:top w:val="nil"/>
              <w:left w:val="nil"/>
              <w:bottom w:val="single" w:sz="4" w:space="0" w:color="auto"/>
              <w:right w:val="single" w:sz="4" w:space="0" w:color="auto"/>
            </w:tcBorders>
            <w:shd w:val="clear" w:color="auto" w:fill="auto"/>
            <w:hideMark/>
          </w:tcPr>
          <w:p w14:paraId="324F4D9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2 320</w:t>
            </w:r>
          </w:p>
        </w:tc>
        <w:tc>
          <w:tcPr>
            <w:tcW w:w="969" w:type="dxa"/>
            <w:tcBorders>
              <w:top w:val="nil"/>
              <w:left w:val="nil"/>
              <w:bottom w:val="single" w:sz="4" w:space="0" w:color="auto"/>
              <w:right w:val="single" w:sz="4" w:space="0" w:color="auto"/>
            </w:tcBorders>
            <w:shd w:val="clear" w:color="auto" w:fill="auto"/>
            <w:hideMark/>
          </w:tcPr>
          <w:p w14:paraId="276099A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1 160</w:t>
            </w:r>
          </w:p>
        </w:tc>
        <w:tc>
          <w:tcPr>
            <w:tcW w:w="969" w:type="dxa"/>
            <w:tcBorders>
              <w:top w:val="nil"/>
              <w:left w:val="nil"/>
              <w:bottom w:val="single" w:sz="4" w:space="0" w:color="auto"/>
              <w:right w:val="single" w:sz="4" w:space="0" w:color="auto"/>
            </w:tcBorders>
            <w:shd w:val="clear" w:color="auto" w:fill="auto"/>
            <w:hideMark/>
          </w:tcPr>
          <w:p w14:paraId="3FF4A3C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6 532</w:t>
            </w:r>
          </w:p>
        </w:tc>
        <w:tc>
          <w:tcPr>
            <w:tcW w:w="969" w:type="dxa"/>
            <w:tcBorders>
              <w:top w:val="nil"/>
              <w:left w:val="nil"/>
              <w:bottom w:val="single" w:sz="4" w:space="0" w:color="auto"/>
              <w:right w:val="single" w:sz="4" w:space="0" w:color="auto"/>
            </w:tcBorders>
            <w:shd w:val="clear" w:color="auto" w:fill="auto"/>
            <w:hideMark/>
          </w:tcPr>
          <w:p w14:paraId="273B843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8 695</w:t>
            </w:r>
          </w:p>
        </w:tc>
        <w:tc>
          <w:tcPr>
            <w:tcW w:w="969" w:type="dxa"/>
            <w:tcBorders>
              <w:top w:val="nil"/>
              <w:left w:val="nil"/>
              <w:bottom w:val="single" w:sz="4" w:space="0" w:color="auto"/>
              <w:right w:val="single" w:sz="4" w:space="0" w:color="auto"/>
            </w:tcBorders>
            <w:shd w:val="clear" w:color="auto" w:fill="auto"/>
            <w:hideMark/>
          </w:tcPr>
          <w:p w14:paraId="314B64E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5 962</w:t>
            </w:r>
          </w:p>
        </w:tc>
        <w:tc>
          <w:tcPr>
            <w:tcW w:w="969" w:type="dxa"/>
            <w:tcBorders>
              <w:top w:val="nil"/>
              <w:left w:val="nil"/>
              <w:bottom w:val="single" w:sz="4" w:space="0" w:color="auto"/>
              <w:right w:val="single" w:sz="4" w:space="0" w:color="auto"/>
            </w:tcBorders>
            <w:shd w:val="clear" w:color="auto" w:fill="auto"/>
            <w:hideMark/>
          </w:tcPr>
          <w:p w14:paraId="3469E91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5 007</w:t>
            </w:r>
          </w:p>
        </w:tc>
        <w:tc>
          <w:tcPr>
            <w:tcW w:w="969" w:type="dxa"/>
            <w:tcBorders>
              <w:top w:val="nil"/>
              <w:left w:val="nil"/>
              <w:bottom w:val="single" w:sz="4" w:space="0" w:color="auto"/>
              <w:right w:val="single" w:sz="4" w:space="0" w:color="auto"/>
            </w:tcBorders>
            <w:shd w:val="clear" w:color="auto" w:fill="auto"/>
            <w:hideMark/>
          </w:tcPr>
          <w:p w14:paraId="5E204A5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3 302</w:t>
            </w:r>
          </w:p>
        </w:tc>
        <w:tc>
          <w:tcPr>
            <w:tcW w:w="1238" w:type="dxa"/>
            <w:tcBorders>
              <w:top w:val="nil"/>
              <w:left w:val="nil"/>
              <w:bottom w:val="single" w:sz="4" w:space="0" w:color="auto"/>
              <w:right w:val="single" w:sz="8" w:space="0" w:color="auto"/>
            </w:tcBorders>
            <w:shd w:val="clear" w:color="auto" w:fill="auto"/>
            <w:hideMark/>
          </w:tcPr>
          <w:p w14:paraId="17D182F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1 598</w:t>
            </w:r>
          </w:p>
        </w:tc>
      </w:tr>
      <w:tr w:rsidR="005B6AF9" w:rsidRPr="00680E37" w14:paraId="68D636EE" w14:textId="77777777" w:rsidTr="00680E37">
        <w:trPr>
          <w:trHeight w:val="226"/>
        </w:trPr>
        <w:tc>
          <w:tcPr>
            <w:tcW w:w="567" w:type="dxa"/>
            <w:vMerge/>
            <w:tcBorders>
              <w:top w:val="nil"/>
              <w:left w:val="single" w:sz="8" w:space="0" w:color="auto"/>
              <w:bottom w:val="single" w:sz="8" w:space="0" w:color="000000"/>
              <w:right w:val="single" w:sz="4" w:space="0" w:color="auto"/>
            </w:tcBorders>
            <w:vAlign w:val="center"/>
            <w:hideMark/>
          </w:tcPr>
          <w:p w14:paraId="1A2ED2DF"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8" w:space="0" w:color="auto"/>
              <w:right w:val="single" w:sz="4" w:space="0" w:color="auto"/>
            </w:tcBorders>
            <w:shd w:val="clear" w:color="auto" w:fill="auto"/>
            <w:hideMark/>
          </w:tcPr>
          <w:p w14:paraId="115C77A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w:t>
            </w:r>
          </w:p>
        </w:tc>
        <w:tc>
          <w:tcPr>
            <w:tcW w:w="1829" w:type="dxa"/>
            <w:tcBorders>
              <w:top w:val="nil"/>
              <w:left w:val="nil"/>
              <w:bottom w:val="single" w:sz="8" w:space="0" w:color="auto"/>
              <w:right w:val="single" w:sz="4" w:space="0" w:color="auto"/>
            </w:tcBorders>
            <w:shd w:val="clear" w:color="auto" w:fill="auto"/>
            <w:hideMark/>
          </w:tcPr>
          <w:p w14:paraId="2365FAF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Турксибский</w:t>
            </w:r>
          </w:p>
        </w:tc>
        <w:tc>
          <w:tcPr>
            <w:tcW w:w="780" w:type="dxa"/>
            <w:tcBorders>
              <w:top w:val="nil"/>
              <w:left w:val="nil"/>
              <w:bottom w:val="single" w:sz="8" w:space="0" w:color="auto"/>
              <w:right w:val="single" w:sz="4" w:space="0" w:color="auto"/>
            </w:tcBorders>
            <w:shd w:val="clear" w:color="auto" w:fill="auto"/>
            <w:hideMark/>
          </w:tcPr>
          <w:p w14:paraId="1A596DE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1 918</w:t>
            </w:r>
          </w:p>
        </w:tc>
        <w:tc>
          <w:tcPr>
            <w:tcW w:w="955" w:type="dxa"/>
            <w:tcBorders>
              <w:top w:val="nil"/>
              <w:left w:val="nil"/>
              <w:bottom w:val="single" w:sz="8" w:space="0" w:color="auto"/>
              <w:right w:val="single" w:sz="4" w:space="0" w:color="auto"/>
            </w:tcBorders>
            <w:shd w:val="clear" w:color="auto" w:fill="auto"/>
            <w:hideMark/>
          </w:tcPr>
          <w:p w14:paraId="73DB36F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9 513</w:t>
            </w:r>
          </w:p>
        </w:tc>
        <w:tc>
          <w:tcPr>
            <w:tcW w:w="954" w:type="dxa"/>
            <w:tcBorders>
              <w:top w:val="nil"/>
              <w:left w:val="nil"/>
              <w:bottom w:val="single" w:sz="8" w:space="0" w:color="auto"/>
              <w:right w:val="single" w:sz="4" w:space="0" w:color="auto"/>
            </w:tcBorders>
            <w:shd w:val="clear" w:color="auto" w:fill="auto"/>
            <w:hideMark/>
          </w:tcPr>
          <w:p w14:paraId="3BD9D84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11 443</w:t>
            </w:r>
          </w:p>
        </w:tc>
        <w:tc>
          <w:tcPr>
            <w:tcW w:w="969" w:type="dxa"/>
            <w:tcBorders>
              <w:top w:val="nil"/>
              <w:left w:val="nil"/>
              <w:bottom w:val="single" w:sz="8" w:space="0" w:color="auto"/>
              <w:right w:val="single" w:sz="4" w:space="0" w:color="auto"/>
            </w:tcBorders>
            <w:shd w:val="clear" w:color="auto" w:fill="auto"/>
            <w:hideMark/>
          </w:tcPr>
          <w:p w14:paraId="2F4B47E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9 863</w:t>
            </w:r>
          </w:p>
        </w:tc>
        <w:tc>
          <w:tcPr>
            <w:tcW w:w="969" w:type="dxa"/>
            <w:tcBorders>
              <w:top w:val="nil"/>
              <w:left w:val="nil"/>
              <w:bottom w:val="single" w:sz="8" w:space="0" w:color="auto"/>
              <w:right w:val="single" w:sz="4" w:space="0" w:color="auto"/>
            </w:tcBorders>
            <w:shd w:val="clear" w:color="auto" w:fill="auto"/>
            <w:hideMark/>
          </w:tcPr>
          <w:p w14:paraId="76124B8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4 507</w:t>
            </w:r>
          </w:p>
        </w:tc>
        <w:tc>
          <w:tcPr>
            <w:tcW w:w="969" w:type="dxa"/>
            <w:tcBorders>
              <w:top w:val="nil"/>
              <w:left w:val="nil"/>
              <w:bottom w:val="single" w:sz="8" w:space="0" w:color="auto"/>
              <w:right w:val="single" w:sz="4" w:space="0" w:color="auto"/>
            </w:tcBorders>
            <w:shd w:val="clear" w:color="auto" w:fill="auto"/>
            <w:hideMark/>
          </w:tcPr>
          <w:p w14:paraId="36E82F0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2 578</w:t>
            </w:r>
          </w:p>
        </w:tc>
        <w:tc>
          <w:tcPr>
            <w:tcW w:w="969" w:type="dxa"/>
            <w:tcBorders>
              <w:top w:val="nil"/>
              <w:left w:val="nil"/>
              <w:bottom w:val="single" w:sz="8" w:space="0" w:color="auto"/>
              <w:right w:val="single" w:sz="4" w:space="0" w:color="auto"/>
            </w:tcBorders>
            <w:shd w:val="clear" w:color="auto" w:fill="auto"/>
            <w:hideMark/>
          </w:tcPr>
          <w:p w14:paraId="0460967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15 591</w:t>
            </w:r>
          </w:p>
        </w:tc>
        <w:tc>
          <w:tcPr>
            <w:tcW w:w="969" w:type="dxa"/>
            <w:tcBorders>
              <w:top w:val="nil"/>
              <w:left w:val="nil"/>
              <w:bottom w:val="single" w:sz="8" w:space="0" w:color="auto"/>
              <w:right w:val="single" w:sz="4" w:space="0" w:color="auto"/>
            </w:tcBorders>
            <w:shd w:val="clear" w:color="auto" w:fill="auto"/>
            <w:hideMark/>
          </w:tcPr>
          <w:p w14:paraId="0879A0F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20 031</w:t>
            </w:r>
          </w:p>
        </w:tc>
        <w:tc>
          <w:tcPr>
            <w:tcW w:w="969" w:type="dxa"/>
            <w:tcBorders>
              <w:top w:val="nil"/>
              <w:left w:val="nil"/>
              <w:bottom w:val="single" w:sz="8" w:space="0" w:color="auto"/>
              <w:right w:val="single" w:sz="4" w:space="0" w:color="auto"/>
            </w:tcBorders>
            <w:shd w:val="clear" w:color="auto" w:fill="auto"/>
            <w:hideMark/>
          </w:tcPr>
          <w:p w14:paraId="3D21B52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14 598</w:t>
            </w:r>
          </w:p>
        </w:tc>
        <w:tc>
          <w:tcPr>
            <w:tcW w:w="969" w:type="dxa"/>
            <w:tcBorders>
              <w:top w:val="nil"/>
              <w:left w:val="nil"/>
              <w:bottom w:val="single" w:sz="8" w:space="0" w:color="auto"/>
              <w:right w:val="single" w:sz="4" w:space="0" w:color="auto"/>
            </w:tcBorders>
            <w:shd w:val="clear" w:color="auto" w:fill="auto"/>
            <w:hideMark/>
          </w:tcPr>
          <w:p w14:paraId="512F1ED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11 289</w:t>
            </w:r>
          </w:p>
        </w:tc>
        <w:tc>
          <w:tcPr>
            <w:tcW w:w="969" w:type="dxa"/>
            <w:tcBorders>
              <w:top w:val="nil"/>
              <w:left w:val="nil"/>
              <w:bottom w:val="single" w:sz="8" w:space="0" w:color="auto"/>
              <w:right w:val="single" w:sz="4" w:space="0" w:color="auto"/>
            </w:tcBorders>
            <w:shd w:val="clear" w:color="auto" w:fill="auto"/>
            <w:hideMark/>
          </w:tcPr>
          <w:p w14:paraId="17BFD6A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8 866</w:t>
            </w:r>
          </w:p>
        </w:tc>
        <w:tc>
          <w:tcPr>
            <w:tcW w:w="1238" w:type="dxa"/>
            <w:tcBorders>
              <w:top w:val="nil"/>
              <w:left w:val="nil"/>
              <w:bottom w:val="single" w:sz="8" w:space="0" w:color="auto"/>
              <w:right w:val="single" w:sz="8" w:space="0" w:color="auto"/>
            </w:tcBorders>
            <w:shd w:val="clear" w:color="auto" w:fill="auto"/>
            <w:hideMark/>
          </w:tcPr>
          <w:p w14:paraId="3599D03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4 372</w:t>
            </w:r>
          </w:p>
        </w:tc>
      </w:tr>
      <w:tr w:rsidR="005B6AF9" w:rsidRPr="00680E37" w14:paraId="230FFAF9" w14:textId="77777777" w:rsidTr="00680E37">
        <w:trPr>
          <w:trHeight w:val="190"/>
        </w:trPr>
        <w:tc>
          <w:tcPr>
            <w:tcW w:w="567" w:type="dxa"/>
            <w:vMerge w:val="restart"/>
            <w:tcBorders>
              <w:top w:val="nil"/>
              <w:left w:val="single" w:sz="8" w:space="0" w:color="auto"/>
              <w:bottom w:val="single" w:sz="8" w:space="0" w:color="000000"/>
              <w:right w:val="single" w:sz="4" w:space="0" w:color="auto"/>
            </w:tcBorders>
            <w:shd w:val="clear" w:color="auto" w:fill="auto"/>
            <w:noWrap/>
            <w:textDirection w:val="btLr"/>
            <w:vAlign w:val="center"/>
            <w:hideMark/>
          </w:tcPr>
          <w:p w14:paraId="7D063DF2" w14:textId="77777777" w:rsidR="005B6AF9" w:rsidRPr="00680E37" w:rsidRDefault="005B6AF9" w:rsidP="004135FE">
            <w:pPr>
              <w:spacing w:after="0" w:line="240" w:lineRule="auto"/>
              <w:jc w:val="center"/>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2021</w:t>
            </w:r>
          </w:p>
        </w:tc>
        <w:tc>
          <w:tcPr>
            <w:tcW w:w="384" w:type="dxa"/>
            <w:tcBorders>
              <w:top w:val="nil"/>
              <w:left w:val="nil"/>
              <w:bottom w:val="single" w:sz="4" w:space="0" w:color="auto"/>
              <w:right w:val="single" w:sz="4" w:space="0" w:color="auto"/>
            </w:tcBorders>
            <w:shd w:val="clear" w:color="auto" w:fill="auto"/>
            <w:hideMark/>
          </w:tcPr>
          <w:p w14:paraId="738365E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w:t>
            </w:r>
          </w:p>
        </w:tc>
        <w:tc>
          <w:tcPr>
            <w:tcW w:w="1829" w:type="dxa"/>
            <w:tcBorders>
              <w:top w:val="nil"/>
              <w:left w:val="nil"/>
              <w:bottom w:val="single" w:sz="4" w:space="0" w:color="auto"/>
              <w:right w:val="single" w:sz="4" w:space="0" w:color="auto"/>
            </w:tcBorders>
            <w:shd w:val="clear" w:color="auto" w:fill="auto"/>
            <w:hideMark/>
          </w:tcPr>
          <w:p w14:paraId="12E9F61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Алмалинский</w:t>
            </w:r>
          </w:p>
        </w:tc>
        <w:tc>
          <w:tcPr>
            <w:tcW w:w="780" w:type="dxa"/>
            <w:tcBorders>
              <w:top w:val="nil"/>
              <w:left w:val="nil"/>
              <w:bottom w:val="single" w:sz="4" w:space="0" w:color="auto"/>
              <w:right w:val="single" w:sz="4" w:space="0" w:color="auto"/>
            </w:tcBorders>
            <w:shd w:val="clear" w:color="auto" w:fill="auto"/>
            <w:hideMark/>
          </w:tcPr>
          <w:p w14:paraId="349189D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1 856</w:t>
            </w:r>
          </w:p>
        </w:tc>
        <w:tc>
          <w:tcPr>
            <w:tcW w:w="955" w:type="dxa"/>
            <w:tcBorders>
              <w:top w:val="nil"/>
              <w:left w:val="nil"/>
              <w:bottom w:val="single" w:sz="4" w:space="0" w:color="auto"/>
              <w:right w:val="single" w:sz="4" w:space="0" w:color="auto"/>
            </w:tcBorders>
            <w:shd w:val="clear" w:color="auto" w:fill="auto"/>
            <w:hideMark/>
          </w:tcPr>
          <w:p w14:paraId="4E63037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9 114</w:t>
            </w:r>
          </w:p>
        </w:tc>
        <w:tc>
          <w:tcPr>
            <w:tcW w:w="954" w:type="dxa"/>
            <w:tcBorders>
              <w:top w:val="nil"/>
              <w:left w:val="nil"/>
              <w:bottom w:val="single" w:sz="4" w:space="0" w:color="auto"/>
              <w:right w:val="single" w:sz="4" w:space="0" w:color="auto"/>
            </w:tcBorders>
            <w:shd w:val="clear" w:color="auto" w:fill="auto"/>
            <w:hideMark/>
          </w:tcPr>
          <w:p w14:paraId="47896CD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12 373</w:t>
            </w:r>
          </w:p>
        </w:tc>
        <w:tc>
          <w:tcPr>
            <w:tcW w:w="969" w:type="dxa"/>
            <w:tcBorders>
              <w:top w:val="nil"/>
              <w:left w:val="nil"/>
              <w:bottom w:val="single" w:sz="4" w:space="0" w:color="auto"/>
              <w:right w:val="single" w:sz="4" w:space="0" w:color="auto"/>
            </w:tcBorders>
            <w:shd w:val="clear" w:color="auto" w:fill="auto"/>
            <w:hideMark/>
          </w:tcPr>
          <w:p w14:paraId="7E22125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11 145</w:t>
            </w:r>
          </w:p>
        </w:tc>
        <w:tc>
          <w:tcPr>
            <w:tcW w:w="969" w:type="dxa"/>
            <w:tcBorders>
              <w:top w:val="nil"/>
              <w:left w:val="nil"/>
              <w:bottom w:val="single" w:sz="4" w:space="0" w:color="auto"/>
              <w:right w:val="single" w:sz="4" w:space="0" w:color="auto"/>
            </w:tcBorders>
            <w:shd w:val="clear" w:color="auto" w:fill="auto"/>
            <w:hideMark/>
          </w:tcPr>
          <w:p w14:paraId="7C261B9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8 520</w:t>
            </w:r>
          </w:p>
        </w:tc>
        <w:tc>
          <w:tcPr>
            <w:tcW w:w="969" w:type="dxa"/>
            <w:tcBorders>
              <w:top w:val="nil"/>
              <w:left w:val="nil"/>
              <w:bottom w:val="single" w:sz="4" w:space="0" w:color="auto"/>
              <w:right w:val="single" w:sz="4" w:space="0" w:color="auto"/>
            </w:tcBorders>
            <w:shd w:val="clear" w:color="auto" w:fill="auto"/>
            <w:hideMark/>
          </w:tcPr>
          <w:p w14:paraId="5CFE8D6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8 912</w:t>
            </w:r>
          </w:p>
        </w:tc>
        <w:tc>
          <w:tcPr>
            <w:tcW w:w="969" w:type="dxa"/>
            <w:tcBorders>
              <w:top w:val="nil"/>
              <w:left w:val="nil"/>
              <w:bottom w:val="single" w:sz="4" w:space="0" w:color="auto"/>
              <w:right w:val="single" w:sz="4" w:space="0" w:color="auto"/>
            </w:tcBorders>
            <w:shd w:val="clear" w:color="auto" w:fill="auto"/>
            <w:hideMark/>
          </w:tcPr>
          <w:p w14:paraId="2C82D4B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34 252</w:t>
            </w:r>
          </w:p>
        </w:tc>
        <w:tc>
          <w:tcPr>
            <w:tcW w:w="969" w:type="dxa"/>
            <w:tcBorders>
              <w:top w:val="nil"/>
              <w:left w:val="nil"/>
              <w:bottom w:val="single" w:sz="4" w:space="0" w:color="auto"/>
              <w:right w:val="single" w:sz="4" w:space="0" w:color="auto"/>
            </w:tcBorders>
            <w:shd w:val="clear" w:color="auto" w:fill="auto"/>
            <w:hideMark/>
          </w:tcPr>
          <w:p w14:paraId="32279B2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26 518</w:t>
            </w:r>
          </w:p>
        </w:tc>
        <w:tc>
          <w:tcPr>
            <w:tcW w:w="969" w:type="dxa"/>
            <w:tcBorders>
              <w:top w:val="nil"/>
              <w:left w:val="nil"/>
              <w:bottom w:val="single" w:sz="4" w:space="0" w:color="auto"/>
              <w:right w:val="single" w:sz="4" w:space="0" w:color="auto"/>
            </w:tcBorders>
            <w:shd w:val="clear" w:color="auto" w:fill="auto"/>
            <w:hideMark/>
          </w:tcPr>
          <w:p w14:paraId="347891E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19 281</w:t>
            </w:r>
          </w:p>
        </w:tc>
        <w:tc>
          <w:tcPr>
            <w:tcW w:w="969" w:type="dxa"/>
            <w:tcBorders>
              <w:top w:val="nil"/>
              <w:left w:val="nil"/>
              <w:bottom w:val="single" w:sz="4" w:space="0" w:color="auto"/>
              <w:right w:val="single" w:sz="4" w:space="0" w:color="auto"/>
            </w:tcBorders>
            <w:shd w:val="clear" w:color="auto" w:fill="auto"/>
            <w:hideMark/>
          </w:tcPr>
          <w:p w14:paraId="1082C14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14 861</w:t>
            </w:r>
          </w:p>
        </w:tc>
        <w:tc>
          <w:tcPr>
            <w:tcW w:w="969" w:type="dxa"/>
            <w:tcBorders>
              <w:top w:val="nil"/>
              <w:left w:val="nil"/>
              <w:bottom w:val="single" w:sz="4" w:space="0" w:color="auto"/>
              <w:right w:val="single" w:sz="4" w:space="0" w:color="auto"/>
            </w:tcBorders>
            <w:shd w:val="clear" w:color="auto" w:fill="auto"/>
            <w:hideMark/>
          </w:tcPr>
          <w:p w14:paraId="033DC9F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11 094</w:t>
            </w:r>
          </w:p>
        </w:tc>
        <w:tc>
          <w:tcPr>
            <w:tcW w:w="1238" w:type="dxa"/>
            <w:tcBorders>
              <w:top w:val="nil"/>
              <w:left w:val="nil"/>
              <w:bottom w:val="single" w:sz="4" w:space="0" w:color="auto"/>
              <w:right w:val="single" w:sz="8" w:space="0" w:color="auto"/>
            </w:tcBorders>
            <w:shd w:val="clear" w:color="auto" w:fill="auto"/>
            <w:hideMark/>
          </w:tcPr>
          <w:p w14:paraId="747AB8C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7 530</w:t>
            </w:r>
          </w:p>
        </w:tc>
      </w:tr>
      <w:tr w:rsidR="005B6AF9" w:rsidRPr="00680E37" w14:paraId="32B16CA2" w14:textId="77777777" w:rsidTr="00680E37">
        <w:trPr>
          <w:trHeight w:val="252"/>
        </w:trPr>
        <w:tc>
          <w:tcPr>
            <w:tcW w:w="567" w:type="dxa"/>
            <w:vMerge/>
            <w:tcBorders>
              <w:top w:val="nil"/>
              <w:left w:val="single" w:sz="8" w:space="0" w:color="auto"/>
              <w:bottom w:val="single" w:sz="8" w:space="0" w:color="000000"/>
              <w:right w:val="single" w:sz="4" w:space="0" w:color="auto"/>
            </w:tcBorders>
            <w:vAlign w:val="center"/>
            <w:hideMark/>
          </w:tcPr>
          <w:p w14:paraId="371BE7EB"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449CE47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w:t>
            </w:r>
          </w:p>
        </w:tc>
        <w:tc>
          <w:tcPr>
            <w:tcW w:w="1829" w:type="dxa"/>
            <w:tcBorders>
              <w:top w:val="nil"/>
              <w:left w:val="nil"/>
              <w:bottom w:val="single" w:sz="4" w:space="0" w:color="auto"/>
              <w:right w:val="single" w:sz="4" w:space="0" w:color="auto"/>
            </w:tcBorders>
            <w:shd w:val="clear" w:color="auto" w:fill="auto"/>
            <w:hideMark/>
          </w:tcPr>
          <w:p w14:paraId="51F53E4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Алатауский</w:t>
            </w:r>
          </w:p>
        </w:tc>
        <w:tc>
          <w:tcPr>
            <w:tcW w:w="780" w:type="dxa"/>
            <w:tcBorders>
              <w:top w:val="nil"/>
              <w:left w:val="nil"/>
              <w:bottom w:val="single" w:sz="4" w:space="0" w:color="auto"/>
              <w:right w:val="single" w:sz="4" w:space="0" w:color="auto"/>
            </w:tcBorders>
            <w:shd w:val="clear" w:color="auto" w:fill="auto"/>
            <w:hideMark/>
          </w:tcPr>
          <w:p w14:paraId="486351E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3 831</w:t>
            </w:r>
          </w:p>
        </w:tc>
        <w:tc>
          <w:tcPr>
            <w:tcW w:w="955" w:type="dxa"/>
            <w:tcBorders>
              <w:top w:val="nil"/>
              <w:left w:val="nil"/>
              <w:bottom w:val="single" w:sz="4" w:space="0" w:color="auto"/>
              <w:right w:val="single" w:sz="4" w:space="0" w:color="auto"/>
            </w:tcBorders>
            <w:shd w:val="clear" w:color="auto" w:fill="auto"/>
            <w:hideMark/>
          </w:tcPr>
          <w:p w14:paraId="254B086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15 517</w:t>
            </w:r>
          </w:p>
        </w:tc>
        <w:tc>
          <w:tcPr>
            <w:tcW w:w="954" w:type="dxa"/>
            <w:tcBorders>
              <w:top w:val="nil"/>
              <w:left w:val="nil"/>
              <w:bottom w:val="single" w:sz="4" w:space="0" w:color="auto"/>
              <w:right w:val="single" w:sz="4" w:space="0" w:color="auto"/>
            </w:tcBorders>
            <w:shd w:val="clear" w:color="auto" w:fill="auto"/>
            <w:hideMark/>
          </w:tcPr>
          <w:p w14:paraId="4A8D40D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15 841</w:t>
            </w:r>
          </w:p>
        </w:tc>
        <w:tc>
          <w:tcPr>
            <w:tcW w:w="969" w:type="dxa"/>
            <w:tcBorders>
              <w:top w:val="nil"/>
              <w:left w:val="nil"/>
              <w:bottom w:val="single" w:sz="4" w:space="0" w:color="auto"/>
              <w:right w:val="single" w:sz="4" w:space="0" w:color="auto"/>
            </w:tcBorders>
            <w:shd w:val="clear" w:color="auto" w:fill="auto"/>
            <w:hideMark/>
          </w:tcPr>
          <w:p w14:paraId="27FC41A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12 399</w:t>
            </w:r>
          </w:p>
        </w:tc>
        <w:tc>
          <w:tcPr>
            <w:tcW w:w="969" w:type="dxa"/>
            <w:tcBorders>
              <w:top w:val="nil"/>
              <w:left w:val="nil"/>
              <w:bottom w:val="single" w:sz="4" w:space="0" w:color="auto"/>
              <w:right w:val="single" w:sz="4" w:space="0" w:color="auto"/>
            </w:tcBorders>
            <w:shd w:val="clear" w:color="auto" w:fill="auto"/>
            <w:hideMark/>
          </w:tcPr>
          <w:p w14:paraId="136F988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5 254</w:t>
            </w:r>
          </w:p>
        </w:tc>
        <w:tc>
          <w:tcPr>
            <w:tcW w:w="969" w:type="dxa"/>
            <w:tcBorders>
              <w:top w:val="nil"/>
              <w:left w:val="nil"/>
              <w:bottom w:val="single" w:sz="4" w:space="0" w:color="auto"/>
              <w:right w:val="single" w:sz="4" w:space="0" w:color="auto"/>
            </w:tcBorders>
            <w:shd w:val="clear" w:color="auto" w:fill="auto"/>
            <w:hideMark/>
          </w:tcPr>
          <w:p w14:paraId="3B3C673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2 467</w:t>
            </w:r>
          </w:p>
        </w:tc>
        <w:tc>
          <w:tcPr>
            <w:tcW w:w="969" w:type="dxa"/>
            <w:tcBorders>
              <w:top w:val="nil"/>
              <w:left w:val="nil"/>
              <w:bottom w:val="single" w:sz="4" w:space="0" w:color="auto"/>
              <w:right w:val="single" w:sz="4" w:space="0" w:color="auto"/>
            </w:tcBorders>
            <w:shd w:val="clear" w:color="auto" w:fill="auto"/>
            <w:hideMark/>
          </w:tcPr>
          <w:p w14:paraId="1750647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12 290</w:t>
            </w:r>
          </w:p>
        </w:tc>
        <w:tc>
          <w:tcPr>
            <w:tcW w:w="969" w:type="dxa"/>
            <w:tcBorders>
              <w:top w:val="nil"/>
              <w:left w:val="nil"/>
              <w:bottom w:val="single" w:sz="4" w:space="0" w:color="auto"/>
              <w:right w:val="single" w:sz="4" w:space="0" w:color="auto"/>
            </w:tcBorders>
            <w:shd w:val="clear" w:color="auto" w:fill="auto"/>
            <w:hideMark/>
          </w:tcPr>
          <w:p w14:paraId="022B585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18 057</w:t>
            </w:r>
          </w:p>
        </w:tc>
        <w:tc>
          <w:tcPr>
            <w:tcW w:w="969" w:type="dxa"/>
            <w:tcBorders>
              <w:top w:val="nil"/>
              <w:left w:val="nil"/>
              <w:bottom w:val="single" w:sz="4" w:space="0" w:color="auto"/>
              <w:right w:val="single" w:sz="4" w:space="0" w:color="auto"/>
            </w:tcBorders>
            <w:shd w:val="clear" w:color="auto" w:fill="auto"/>
            <w:hideMark/>
          </w:tcPr>
          <w:p w14:paraId="53E8C80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12 585</w:t>
            </w:r>
          </w:p>
        </w:tc>
        <w:tc>
          <w:tcPr>
            <w:tcW w:w="969" w:type="dxa"/>
            <w:tcBorders>
              <w:top w:val="nil"/>
              <w:left w:val="nil"/>
              <w:bottom w:val="single" w:sz="4" w:space="0" w:color="auto"/>
              <w:right w:val="single" w:sz="4" w:space="0" w:color="auto"/>
            </w:tcBorders>
            <w:shd w:val="clear" w:color="auto" w:fill="auto"/>
            <w:hideMark/>
          </w:tcPr>
          <w:p w14:paraId="244EF79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9 084</w:t>
            </w:r>
          </w:p>
        </w:tc>
        <w:tc>
          <w:tcPr>
            <w:tcW w:w="969" w:type="dxa"/>
            <w:tcBorders>
              <w:top w:val="nil"/>
              <w:left w:val="nil"/>
              <w:bottom w:val="single" w:sz="4" w:space="0" w:color="auto"/>
              <w:right w:val="single" w:sz="4" w:space="0" w:color="auto"/>
            </w:tcBorders>
            <w:shd w:val="clear" w:color="auto" w:fill="auto"/>
            <w:hideMark/>
          </w:tcPr>
          <w:p w14:paraId="047CF8B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5 309</w:t>
            </w:r>
          </w:p>
        </w:tc>
        <w:tc>
          <w:tcPr>
            <w:tcW w:w="1238" w:type="dxa"/>
            <w:tcBorders>
              <w:top w:val="nil"/>
              <w:left w:val="nil"/>
              <w:bottom w:val="single" w:sz="4" w:space="0" w:color="auto"/>
              <w:right w:val="single" w:sz="8" w:space="0" w:color="auto"/>
            </w:tcBorders>
            <w:shd w:val="clear" w:color="auto" w:fill="auto"/>
            <w:hideMark/>
          </w:tcPr>
          <w:p w14:paraId="495DE89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2 198</w:t>
            </w:r>
          </w:p>
        </w:tc>
      </w:tr>
      <w:tr w:rsidR="005B6AF9" w:rsidRPr="00680E37" w14:paraId="4C50AF5D" w14:textId="77777777" w:rsidTr="00680E37">
        <w:trPr>
          <w:trHeight w:val="227"/>
        </w:trPr>
        <w:tc>
          <w:tcPr>
            <w:tcW w:w="567" w:type="dxa"/>
            <w:vMerge/>
            <w:tcBorders>
              <w:top w:val="nil"/>
              <w:left w:val="single" w:sz="8" w:space="0" w:color="auto"/>
              <w:bottom w:val="single" w:sz="8" w:space="0" w:color="000000"/>
              <w:right w:val="single" w:sz="4" w:space="0" w:color="auto"/>
            </w:tcBorders>
            <w:vAlign w:val="center"/>
            <w:hideMark/>
          </w:tcPr>
          <w:p w14:paraId="5BA15306"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56FAF4A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w:t>
            </w:r>
          </w:p>
        </w:tc>
        <w:tc>
          <w:tcPr>
            <w:tcW w:w="1829" w:type="dxa"/>
            <w:tcBorders>
              <w:top w:val="nil"/>
              <w:left w:val="nil"/>
              <w:bottom w:val="single" w:sz="4" w:space="0" w:color="auto"/>
              <w:right w:val="single" w:sz="4" w:space="0" w:color="auto"/>
            </w:tcBorders>
            <w:shd w:val="clear" w:color="auto" w:fill="auto"/>
            <w:hideMark/>
          </w:tcPr>
          <w:p w14:paraId="7488A4F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Ауэзовский</w:t>
            </w:r>
          </w:p>
        </w:tc>
        <w:tc>
          <w:tcPr>
            <w:tcW w:w="780" w:type="dxa"/>
            <w:tcBorders>
              <w:top w:val="nil"/>
              <w:left w:val="nil"/>
              <w:bottom w:val="single" w:sz="4" w:space="0" w:color="auto"/>
              <w:right w:val="single" w:sz="4" w:space="0" w:color="auto"/>
            </w:tcBorders>
            <w:shd w:val="clear" w:color="auto" w:fill="auto"/>
            <w:hideMark/>
          </w:tcPr>
          <w:p w14:paraId="392CE8E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2 320</w:t>
            </w:r>
          </w:p>
        </w:tc>
        <w:tc>
          <w:tcPr>
            <w:tcW w:w="955" w:type="dxa"/>
            <w:tcBorders>
              <w:top w:val="nil"/>
              <w:left w:val="nil"/>
              <w:bottom w:val="single" w:sz="4" w:space="0" w:color="auto"/>
              <w:right w:val="single" w:sz="4" w:space="0" w:color="auto"/>
            </w:tcBorders>
            <w:shd w:val="clear" w:color="auto" w:fill="auto"/>
            <w:hideMark/>
          </w:tcPr>
          <w:p w14:paraId="0AEFABA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10 784</w:t>
            </w:r>
          </w:p>
        </w:tc>
        <w:tc>
          <w:tcPr>
            <w:tcW w:w="954" w:type="dxa"/>
            <w:tcBorders>
              <w:top w:val="nil"/>
              <w:left w:val="nil"/>
              <w:bottom w:val="single" w:sz="4" w:space="0" w:color="auto"/>
              <w:right w:val="single" w:sz="4" w:space="0" w:color="auto"/>
            </w:tcBorders>
            <w:shd w:val="clear" w:color="auto" w:fill="auto"/>
            <w:hideMark/>
          </w:tcPr>
          <w:p w14:paraId="2799E9C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14 051</w:t>
            </w:r>
          </w:p>
        </w:tc>
        <w:tc>
          <w:tcPr>
            <w:tcW w:w="969" w:type="dxa"/>
            <w:tcBorders>
              <w:top w:val="nil"/>
              <w:left w:val="nil"/>
              <w:bottom w:val="single" w:sz="4" w:space="0" w:color="auto"/>
              <w:right w:val="single" w:sz="4" w:space="0" w:color="auto"/>
            </w:tcBorders>
            <w:shd w:val="clear" w:color="auto" w:fill="auto"/>
            <w:hideMark/>
          </w:tcPr>
          <w:p w14:paraId="56AB7B7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12 369</w:t>
            </w:r>
          </w:p>
        </w:tc>
        <w:tc>
          <w:tcPr>
            <w:tcW w:w="969" w:type="dxa"/>
            <w:tcBorders>
              <w:top w:val="nil"/>
              <w:left w:val="nil"/>
              <w:bottom w:val="single" w:sz="4" w:space="0" w:color="auto"/>
              <w:right w:val="single" w:sz="4" w:space="0" w:color="auto"/>
            </w:tcBorders>
            <w:shd w:val="clear" w:color="auto" w:fill="auto"/>
            <w:hideMark/>
          </w:tcPr>
          <w:p w14:paraId="0BAD940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6 104</w:t>
            </w:r>
          </w:p>
        </w:tc>
        <w:tc>
          <w:tcPr>
            <w:tcW w:w="969" w:type="dxa"/>
            <w:tcBorders>
              <w:top w:val="nil"/>
              <w:left w:val="nil"/>
              <w:bottom w:val="single" w:sz="4" w:space="0" w:color="auto"/>
              <w:right w:val="single" w:sz="4" w:space="0" w:color="auto"/>
            </w:tcBorders>
            <w:shd w:val="clear" w:color="auto" w:fill="auto"/>
            <w:hideMark/>
          </w:tcPr>
          <w:p w14:paraId="1D15733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3 703</w:t>
            </w:r>
          </w:p>
        </w:tc>
        <w:tc>
          <w:tcPr>
            <w:tcW w:w="969" w:type="dxa"/>
            <w:tcBorders>
              <w:top w:val="nil"/>
              <w:left w:val="nil"/>
              <w:bottom w:val="single" w:sz="4" w:space="0" w:color="auto"/>
              <w:right w:val="single" w:sz="4" w:space="0" w:color="auto"/>
            </w:tcBorders>
            <w:shd w:val="clear" w:color="auto" w:fill="auto"/>
            <w:hideMark/>
          </w:tcPr>
          <w:p w14:paraId="5AF0E8A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19 337</w:t>
            </w:r>
          </w:p>
        </w:tc>
        <w:tc>
          <w:tcPr>
            <w:tcW w:w="969" w:type="dxa"/>
            <w:tcBorders>
              <w:top w:val="nil"/>
              <w:left w:val="nil"/>
              <w:bottom w:val="single" w:sz="4" w:space="0" w:color="auto"/>
              <w:right w:val="single" w:sz="4" w:space="0" w:color="auto"/>
            </w:tcBorders>
            <w:shd w:val="clear" w:color="auto" w:fill="auto"/>
            <w:hideMark/>
          </w:tcPr>
          <w:p w14:paraId="671B38C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23 653</w:t>
            </w:r>
          </w:p>
        </w:tc>
        <w:tc>
          <w:tcPr>
            <w:tcW w:w="969" w:type="dxa"/>
            <w:tcBorders>
              <w:top w:val="nil"/>
              <w:left w:val="nil"/>
              <w:bottom w:val="single" w:sz="4" w:space="0" w:color="auto"/>
              <w:right w:val="single" w:sz="4" w:space="0" w:color="auto"/>
            </w:tcBorders>
            <w:shd w:val="clear" w:color="auto" w:fill="auto"/>
            <w:hideMark/>
          </w:tcPr>
          <w:p w14:paraId="1A5EBEE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16 519</w:t>
            </w:r>
          </w:p>
        </w:tc>
        <w:tc>
          <w:tcPr>
            <w:tcW w:w="969" w:type="dxa"/>
            <w:tcBorders>
              <w:top w:val="nil"/>
              <w:left w:val="nil"/>
              <w:bottom w:val="single" w:sz="4" w:space="0" w:color="auto"/>
              <w:right w:val="single" w:sz="4" w:space="0" w:color="auto"/>
            </w:tcBorders>
            <w:shd w:val="clear" w:color="auto" w:fill="auto"/>
            <w:hideMark/>
          </w:tcPr>
          <w:p w14:paraId="3FCF7B9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12 878</w:t>
            </w:r>
          </w:p>
        </w:tc>
        <w:tc>
          <w:tcPr>
            <w:tcW w:w="969" w:type="dxa"/>
            <w:tcBorders>
              <w:top w:val="nil"/>
              <w:left w:val="nil"/>
              <w:bottom w:val="single" w:sz="4" w:space="0" w:color="auto"/>
              <w:right w:val="single" w:sz="4" w:space="0" w:color="auto"/>
            </w:tcBorders>
            <w:shd w:val="clear" w:color="auto" w:fill="auto"/>
            <w:hideMark/>
          </w:tcPr>
          <w:p w14:paraId="15C616F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9 839</w:t>
            </w:r>
          </w:p>
        </w:tc>
        <w:tc>
          <w:tcPr>
            <w:tcW w:w="1238" w:type="dxa"/>
            <w:tcBorders>
              <w:top w:val="nil"/>
              <w:left w:val="nil"/>
              <w:bottom w:val="single" w:sz="4" w:space="0" w:color="auto"/>
              <w:right w:val="single" w:sz="8" w:space="0" w:color="auto"/>
            </w:tcBorders>
            <w:shd w:val="clear" w:color="auto" w:fill="auto"/>
            <w:hideMark/>
          </w:tcPr>
          <w:p w14:paraId="6B6CE9C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5 470</w:t>
            </w:r>
          </w:p>
        </w:tc>
      </w:tr>
      <w:tr w:rsidR="005B6AF9" w:rsidRPr="00680E37" w14:paraId="58A56D88" w14:textId="77777777" w:rsidTr="00680E37">
        <w:trPr>
          <w:trHeight w:val="232"/>
        </w:trPr>
        <w:tc>
          <w:tcPr>
            <w:tcW w:w="567" w:type="dxa"/>
            <w:vMerge/>
            <w:tcBorders>
              <w:top w:val="nil"/>
              <w:left w:val="single" w:sz="8" w:space="0" w:color="auto"/>
              <w:bottom w:val="single" w:sz="8" w:space="0" w:color="000000"/>
              <w:right w:val="single" w:sz="4" w:space="0" w:color="auto"/>
            </w:tcBorders>
            <w:vAlign w:val="center"/>
            <w:hideMark/>
          </w:tcPr>
          <w:p w14:paraId="4E644E3D"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791A50A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w:t>
            </w:r>
          </w:p>
        </w:tc>
        <w:tc>
          <w:tcPr>
            <w:tcW w:w="1829" w:type="dxa"/>
            <w:tcBorders>
              <w:top w:val="nil"/>
              <w:left w:val="nil"/>
              <w:bottom w:val="single" w:sz="4" w:space="0" w:color="auto"/>
              <w:right w:val="single" w:sz="4" w:space="0" w:color="auto"/>
            </w:tcBorders>
            <w:shd w:val="clear" w:color="auto" w:fill="auto"/>
            <w:hideMark/>
          </w:tcPr>
          <w:p w14:paraId="0193FB7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Бостандыкский</w:t>
            </w:r>
          </w:p>
        </w:tc>
        <w:tc>
          <w:tcPr>
            <w:tcW w:w="780" w:type="dxa"/>
            <w:tcBorders>
              <w:top w:val="nil"/>
              <w:left w:val="nil"/>
              <w:bottom w:val="single" w:sz="4" w:space="0" w:color="auto"/>
              <w:right w:val="single" w:sz="4" w:space="0" w:color="auto"/>
            </w:tcBorders>
            <w:shd w:val="clear" w:color="auto" w:fill="auto"/>
            <w:hideMark/>
          </w:tcPr>
          <w:p w14:paraId="2523E3D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2 168</w:t>
            </w:r>
          </w:p>
        </w:tc>
        <w:tc>
          <w:tcPr>
            <w:tcW w:w="955" w:type="dxa"/>
            <w:tcBorders>
              <w:top w:val="nil"/>
              <w:left w:val="nil"/>
              <w:bottom w:val="single" w:sz="4" w:space="0" w:color="auto"/>
              <w:right w:val="single" w:sz="4" w:space="0" w:color="auto"/>
            </w:tcBorders>
            <w:shd w:val="clear" w:color="auto" w:fill="auto"/>
            <w:hideMark/>
          </w:tcPr>
          <w:p w14:paraId="6CE9A65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10 933</w:t>
            </w:r>
          </w:p>
        </w:tc>
        <w:tc>
          <w:tcPr>
            <w:tcW w:w="954" w:type="dxa"/>
            <w:tcBorders>
              <w:top w:val="nil"/>
              <w:left w:val="nil"/>
              <w:bottom w:val="single" w:sz="4" w:space="0" w:color="auto"/>
              <w:right w:val="single" w:sz="4" w:space="0" w:color="auto"/>
            </w:tcBorders>
            <w:shd w:val="clear" w:color="auto" w:fill="auto"/>
            <w:hideMark/>
          </w:tcPr>
          <w:p w14:paraId="5A9F7C7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14 393</w:t>
            </w:r>
          </w:p>
        </w:tc>
        <w:tc>
          <w:tcPr>
            <w:tcW w:w="969" w:type="dxa"/>
            <w:tcBorders>
              <w:top w:val="nil"/>
              <w:left w:val="nil"/>
              <w:bottom w:val="single" w:sz="4" w:space="0" w:color="auto"/>
              <w:right w:val="single" w:sz="4" w:space="0" w:color="auto"/>
            </w:tcBorders>
            <w:shd w:val="clear" w:color="auto" w:fill="auto"/>
            <w:hideMark/>
          </w:tcPr>
          <w:p w14:paraId="337782A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12 548</w:t>
            </w:r>
          </w:p>
        </w:tc>
        <w:tc>
          <w:tcPr>
            <w:tcW w:w="969" w:type="dxa"/>
            <w:tcBorders>
              <w:top w:val="nil"/>
              <w:left w:val="nil"/>
              <w:bottom w:val="single" w:sz="4" w:space="0" w:color="auto"/>
              <w:right w:val="single" w:sz="4" w:space="0" w:color="auto"/>
            </w:tcBorders>
            <w:shd w:val="clear" w:color="auto" w:fill="auto"/>
            <w:hideMark/>
          </w:tcPr>
          <w:p w14:paraId="0ADD1AB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7 929</w:t>
            </w:r>
          </w:p>
        </w:tc>
        <w:tc>
          <w:tcPr>
            <w:tcW w:w="969" w:type="dxa"/>
            <w:tcBorders>
              <w:top w:val="nil"/>
              <w:left w:val="nil"/>
              <w:bottom w:val="single" w:sz="4" w:space="0" w:color="auto"/>
              <w:right w:val="single" w:sz="4" w:space="0" w:color="auto"/>
            </w:tcBorders>
            <w:shd w:val="clear" w:color="auto" w:fill="auto"/>
            <w:hideMark/>
          </w:tcPr>
          <w:p w14:paraId="5F55A4B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10 079</w:t>
            </w:r>
          </w:p>
        </w:tc>
        <w:tc>
          <w:tcPr>
            <w:tcW w:w="969" w:type="dxa"/>
            <w:tcBorders>
              <w:top w:val="nil"/>
              <w:left w:val="nil"/>
              <w:bottom w:val="single" w:sz="4" w:space="0" w:color="auto"/>
              <w:right w:val="single" w:sz="4" w:space="0" w:color="auto"/>
            </w:tcBorders>
            <w:shd w:val="clear" w:color="auto" w:fill="auto"/>
            <w:hideMark/>
          </w:tcPr>
          <w:p w14:paraId="739D8F1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42 924</w:t>
            </w:r>
          </w:p>
        </w:tc>
        <w:tc>
          <w:tcPr>
            <w:tcW w:w="969" w:type="dxa"/>
            <w:tcBorders>
              <w:top w:val="nil"/>
              <w:left w:val="nil"/>
              <w:bottom w:val="single" w:sz="4" w:space="0" w:color="auto"/>
              <w:right w:val="single" w:sz="4" w:space="0" w:color="auto"/>
            </w:tcBorders>
            <w:shd w:val="clear" w:color="auto" w:fill="auto"/>
            <w:hideMark/>
          </w:tcPr>
          <w:p w14:paraId="7E88756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29 414</w:t>
            </w:r>
          </w:p>
        </w:tc>
        <w:tc>
          <w:tcPr>
            <w:tcW w:w="969" w:type="dxa"/>
            <w:tcBorders>
              <w:top w:val="nil"/>
              <w:left w:val="nil"/>
              <w:bottom w:val="single" w:sz="4" w:space="0" w:color="auto"/>
              <w:right w:val="single" w:sz="4" w:space="0" w:color="auto"/>
            </w:tcBorders>
            <w:shd w:val="clear" w:color="auto" w:fill="auto"/>
            <w:hideMark/>
          </w:tcPr>
          <w:p w14:paraId="540C9B8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19 665</w:t>
            </w:r>
          </w:p>
        </w:tc>
        <w:tc>
          <w:tcPr>
            <w:tcW w:w="969" w:type="dxa"/>
            <w:tcBorders>
              <w:top w:val="nil"/>
              <w:left w:val="nil"/>
              <w:bottom w:val="single" w:sz="4" w:space="0" w:color="auto"/>
              <w:right w:val="single" w:sz="4" w:space="0" w:color="auto"/>
            </w:tcBorders>
            <w:shd w:val="clear" w:color="auto" w:fill="auto"/>
            <w:hideMark/>
          </w:tcPr>
          <w:p w14:paraId="02B6686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14 899</w:t>
            </w:r>
          </w:p>
        </w:tc>
        <w:tc>
          <w:tcPr>
            <w:tcW w:w="969" w:type="dxa"/>
            <w:tcBorders>
              <w:top w:val="nil"/>
              <w:left w:val="nil"/>
              <w:bottom w:val="single" w:sz="4" w:space="0" w:color="auto"/>
              <w:right w:val="single" w:sz="4" w:space="0" w:color="auto"/>
            </w:tcBorders>
            <w:shd w:val="clear" w:color="auto" w:fill="auto"/>
            <w:hideMark/>
          </w:tcPr>
          <w:p w14:paraId="2AD0D8C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11 153</w:t>
            </w:r>
          </w:p>
        </w:tc>
        <w:tc>
          <w:tcPr>
            <w:tcW w:w="1238" w:type="dxa"/>
            <w:tcBorders>
              <w:top w:val="nil"/>
              <w:left w:val="nil"/>
              <w:bottom w:val="single" w:sz="4" w:space="0" w:color="auto"/>
              <w:right w:val="single" w:sz="8" w:space="0" w:color="auto"/>
            </w:tcBorders>
            <w:shd w:val="clear" w:color="auto" w:fill="auto"/>
            <w:hideMark/>
          </w:tcPr>
          <w:p w14:paraId="2919AA4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7 088</w:t>
            </w:r>
          </w:p>
        </w:tc>
      </w:tr>
      <w:tr w:rsidR="005B6AF9" w:rsidRPr="00680E37" w14:paraId="1D73F8A1" w14:textId="77777777" w:rsidTr="00680E37">
        <w:trPr>
          <w:trHeight w:val="208"/>
        </w:trPr>
        <w:tc>
          <w:tcPr>
            <w:tcW w:w="567" w:type="dxa"/>
            <w:vMerge/>
            <w:tcBorders>
              <w:top w:val="nil"/>
              <w:left w:val="single" w:sz="8" w:space="0" w:color="auto"/>
              <w:bottom w:val="single" w:sz="8" w:space="0" w:color="000000"/>
              <w:right w:val="single" w:sz="4" w:space="0" w:color="auto"/>
            </w:tcBorders>
            <w:vAlign w:val="center"/>
            <w:hideMark/>
          </w:tcPr>
          <w:p w14:paraId="5D67E627"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75F547A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w:t>
            </w:r>
          </w:p>
        </w:tc>
        <w:tc>
          <w:tcPr>
            <w:tcW w:w="1829" w:type="dxa"/>
            <w:tcBorders>
              <w:top w:val="nil"/>
              <w:left w:val="nil"/>
              <w:bottom w:val="single" w:sz="4" w:space="0" w:color="auto"/>
              <w:right w:val="single" w:sz="4" w:space="0" w:color="auto"/>
            </w:tcBorders>
            <w:shd w:val="clear" w:color="auto" w:fill="auto"/>
            <w:hideMark/>
          </w:tcPr>
          <w:p w14:paraId="5DCA913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Жетысуский</w:t>
            </w:r>
          </w:p>
        </w:tc>
        <w:tc>
          <w:tcPr>
            <w:tcW w:w="780" w:type="dxa"/>
            <w:tcBorders>
              <w:top w:val="nil"/>
              <w:left w:val="nil"/>
              <w:bottom w:val="single" w:sz="4" w:space="0" w:color="auto"/>
              <w:right w:val="single" w:sz="4" w:space="0" w:color="auto"/>
            </w:tcBorders>
            <w:shd w:val="clear" w:color="auto" w:fill="auto"/>
            <w:hideMark/>
          </w:tcPr>
          <w:p w14:paraId="3F31794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1 417</w:t>
            </w:r>
          </w:p>
        </w:tc>
        <w:tc>
          <w:tcPr>
            <w:tcW w:w="955" w:type="dxa"/>
            <w:tcBorders>
              <w:top w:val="nil"/>
              <w:left w:val="nil"/>
              <w:bottom w:val="single" w:sz="4" w:space="0" w:color="auto"/>
              <w:right w:val="single" w:sz="4" w:space="0" w:color="auto"/>
            </w:tcBorders>
            <w:shd w:val="clear" w:color="auto" w:fill="auto"/>
            <w:hideMark/>
          </w:tcPr>
          <w:p w14:paraId="6807005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7 073</w:t>
            </w:r>
          </w:p>
        </w:tc>
        <w:tc>
          <w:tcPr>
            <w:tcW w:w="954" w:type="dxa"/>
            <w:tcBorders>
              <w:top w:val="nil"/>
              <w:left w:val="nil"/>
              <w:bottom w:val="single" w:sz="4" w:space="0" w:color="auto"/>
              <w:right w:val="single" w:sz="4" w:space="0" w:color="auto"/>
            </w:tcBorders>
            <w:shd w:val="clear" w:color="auto" w:fill="auto"/>
            <w:hideMark/>
          </w:tcPr>
          <w:p w14:paraId="6FA42DF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8 636</w:t>
            </w:r>
          </w:p>
        </w:tc>
        <w:tc>
          <w:tcPr>
            <w:tcW w:w="969" w:type="dxa"/>
            <w:tcBorders>
              <w:top w:val="nil"/>
              <w:left w:val="nil"/>
              <w:bottom w:val="single" w:sz="4" w:space="0" w:color="auto"/>
              <w:right w:val="single" w:sz="4" w:space="0" w:color="auto"/>
            </w:tcBorders>
            <w:shd w:val="clear" w:color="auto" w:fill="auto"/>
            <w:hideMark/>
          </w:tcPr>
          <w:p w14:paraId="0884575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7 984</w:t>
            </w:r>
          </w:p>
        </w:tc>
        <w:tc>
          <w:tcPr>
            <w:tcW w:w="969" w:type="dxa"/>
            <w:tcBorders>
              <w:top w:val="nil"/>
              <w:left w:val="nil"/>
              <w:bottom w:val="single" w:sz="4" w:space="0" w:color="auto"/>
              <w:right w:val="single" w:sz="4" w:space="0" w:color="auto"/>
            </w:tcBorders>
            <w:shd w:val="clear" w:color="auto" w:fill="auto"/>
            <w:hideMark/>
          </w:tcPr>
          <w:p w14:paraId="5816783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3 555</w:t>
            </w:r>
          </w:p>
        </w:tc>
        <w:tc>
          <w:tcPr>
            <w:tcW w:w="969" w:type="dxa"/>
            <w:tcBorders>
              <w:top w:val="nil"/>
              <w:left w:val="nil"/>
              <w:bottom w:val="single" w:sz="4" w:space="0" w:color="auto"/>
              <w:right w:val="single" w:sz="4" w:space="0" w:color="auto"/>
            </w:tcBorders>
            <w:shd w:val="clear" w:color="auto" w:fill="auto"/>
            <w:hideMark/>
          </w:tcPr>
          <w:p w14:paraId="710DF1B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1 802</w:t>
            </w:r>
          </w:p>
        </w:tc>
        <w:tc>
          <w:tcPr>
            <w:tcW w:w="969" w:type="dxa"/>
            <w:tcBorders>
              <w:top w:val="nil"/>
              <w:left w:val="nil"/>
              <w:bottom w:val="single" w:sz="4" w:space="0" w:color="auto"/>
              <w:right w:val="single" w:sz="4" w:space="0" w:color="auto"/>
            </w:tcBorders>
            <w:shd w:val="clear" w:color="auto" w:fill="auto"/>
            <w:hideMark/>
          </w:tcPr>
          <w:p w14:paraId="3EFF451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8 511</w:t>
            </w:r>
          </w:p>
        </w:tc>
        <w:tc>
          <w:tcPr>
            <w:tcW w:w="969" w:type="dxa"/>
            <w:tcBorders>
              <w:top w:val="nil"/>
              <w:left w:val="nil"/>
              <w:bottom w:val="single" w:sz="4" w:space="0" w:color="auto"/>
              <w:right w:val="single" w:sz="4" w:space="0" w:color="auto"/>
            </w:tcBorders>
            <w:shd w:val="clear" w:color="auto" w:fill="auto"/>
            <w:hideMark/>
          </w:tcPr>
          <w:p w14:paraId="62093E3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12 976</w:t>
            </w:r>
          </w:p>
        </w:tc>
        <w:tc>
          <w:tcPr>
            <w:tcW w:w="969" w:type="dxa"/>
            <w:tcBorders>
              <w:top w:val="nil"/>
              <w:left w:val="nil"/>
              <w:bottom w:val="single" w:sz="4" w:space="0" w:color="auto"/>
              <w:right w:val="single" w:sz="4" w:space="0" w:color="auto"/>
            </w:tcBorders>
            <w:shd w:val="clear" w:color="auto" w:fill="auto"/>
            <w:hideMark/>
          </w:tcPr>
          <w:p w14:paraId="17A4C82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9 673</w:t>
            </w:r>
          </w:p>
        </w:tc>
        <w:tc>
          <w:tcPr>
            <w:tcW w:w="969" w:type="dxa"/>
            <w:tcBorders>
              <w:top w:val="nil"/>
              <w:left w:val="nil"/>
              <w:bottom w:val="single" w:sz="4" w:space="0" w:color="auto"/>
              <w:right w:val="single" w:sz="4" w:space="0" w:color="auto"/>
            </w:tcBorders>
            <w:shd w:val="clear" w:color="auto" w:fill="auto"/>
            <w:hideMark/>
          </w:tcPr>
          <w:p w14:paraId="279F69E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7 203</w:t>
            </w:r>
          </w:p>
        </w:tc>
        <w:tc>
          <w:tcPr>
            <w:tcW w:w="969" w:type="dxa"/>
            <w:tcBorders>
              <w:top w:val="nil"/>
              <w:left w:val="nil"/>
              <w:bottom w:val="single" w:sz="4" w:space="0" w:color="auto"/>
              <w:right w:val="single" w:sz="4" w:space="0" w:color="auto"/>
            </w:tcBorders>
            <w:shd w:val="clear" w:color="auto" w:fill="auto"/>
            <w:hideMark/>
          </w:tcPr>
          <w:p w14:paraId="29AE34F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5 408</w:t>
            </w:r>
          </w:p>
        </w:tc>
        <w:tc>
          <w:tcPr>
            <w:tcW w:w="1238" w:type="dxa"/>
            <w:tcBorders>
              <w:top w:val="nil"/>
              <w:left w:val="nil"/>
              <w:bottom w:val="single" w:sz="4" w:space="0" w:color="auto"/>
              <w:right w:val="single" w:sz="8" w:space="0" w:color="auto"/>
            </w:tcBorders>
            <w:shd w:val="clear" w:color="auto" w:fill="auto"/>
            <w:hideMark/>
          </w:tcPr>
          <w:p w14:paraId="1B33634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3 068</w:t>
            </w:r>
          </w:p>
        </w:tc>
      </w:tr>
      <w:tr w:rsidR="005B6AF9" w:rsidRPr="00680E37" w14:paraId="0B40D863" w14:textId="77777777" w:rsidTr="00680E37">
        <w:trPr>
          <w:trHeight w:val="198"/>
        </w:trPr>
        <w:tc>
          <w:tcPr>
            <w:tcW w:w="567" w:type="dxa"/>
            <w:vMerge/>
            <w:tcBorders>
              <w:top w:val="nil"/>
              <w:left w:val="single" w:sz="8" w:space="0" w:color="auto"/>
              <w:bottom w:val="single" w:sz="8" w:space="0" w:color="000000"/>
              <w:right w:val="single" w:sz="4" w:space="0" w:color="auto"/>
            </w:tcBorders>
            <w:vAlign w:val="center"/>
            <w:hideMark/>
          </w:tcPr>
          <w:p w14:paraId="0515F290"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3607290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w:t>
            </w:r>
          </w:p>
        </w:tc>
        <w:tc>
          <w:tcPr>
            <w:tcW w:w="1829" w:type="dxa"/>
            <w:tcBorders>
              <w:top w:val="nil"/>
              <w:left w:val="nil"/>
              <w:bottom w:val="single" w:sz="4" w:space="0" w:color="auto"/>
              <w:right w:val="single" w:sz="4" w:space="0" w:color="auto"/>
            </w:tcBorders>
            <w:shd w:val="clear" w:color="auto" w:fill="auto"/>
            <w:hideMark/>
          </w:tcPr>
          <w:p w14:paraId="4BBD932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Медеуский</w:t>
            </w:r>
          </w:p>
        </w:tc>
        <w:tc>
          <w:tcPr>
            <w:tcW w:w="780" w:type="dxa"/>
            <w:tcBorders>
              <w:top w:val="nil"/>
              <w:left w:val="nil"/>
              <w:bottom w:val="single" w:sz="4" w:space="0" w:color="auto"/>
              <w:right w:val="single" w:sz="4" w:space="0" w:color="auto"/>
            </w:tcBorders>
            <w:shd w:val="clear" w:color="auto" w:fill="auto"/>
            <w:hideMark/>
          </w:tcPr>
          <w:p w14:paraId="42C4614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1 621</w:t>
            </w:r>
          </w:p>
        </w:tc>
        <w:tc>
          <w:tcPr>
            <w:tcW w:w="955" w:type="dxa"/>
            <w:tcBorders>
              <w:top w:val="nil"/>
              <w:left w:val="nil"/>
              <w:bottom w:val="single" w:sz="4" w:space="0" w:color="auto"/>
              <w:right w:val="single" w:sz="4" w:space="0" w:color="auto"/>
            </w:tcBorders>
            <w:shd w:val="clear" w:color="auto" w:fill="auto"/>
            <w:hideMark/>
          </w:tcPr>
          <w:p w14:paraId="02D45CD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8 035</w:t>
            </w:r>
          </w:p>
        </w:tc>
        <w:tc>
          <w:tcPr>
            <w:tcW w:w="954" w:type="dxa"/>
            <w:tcBorders>
              <w:top w:val="nil"/>
              <w:left w:val="nil"/>
              <w:bottom w:val="single" w:sz="4" w:space="0" w:color="auto"/>
              <w:right w:val="single" w:sz="4" w:space="0" w:color="auto"/>
            </w:tcBorders>
            <w:shd w:val="clear" w:color="auto" w:fill="auto"/>
            <w:hideMark/>
          </w:tcPr>
          <w:p w14:paraId="27F9CC7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10 628</w:t>
            </w:r>
          </w:p>
        </w:tc>
        <w:tc>
          <w:tcPr>
            <w:tcW w:w="969" w:type="dxa"/>
            <w:tcBorders>
              <w:top w:val="nil"/>
              <w:left w:val="nil"/>
              <w:bottom w:val="single" w:sz="4" w:space="0" w:color="auto"/>
              <w:right w:val="single" w:sz="4" w:space="0" w:color="auto"/>
            </w:tcBorders>
            <w:shd w:val="clear" w:color="auto" w:fill="auto"/>
            <w:hideMark/>
          </w:tcPr>
          <w:p w14:paraId="3524D0F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9 878</w:t>
            </w:r>
          </w:p>
        </w:tc>
        <w:tc>
          <w:tcPr>
            <w:tcW w:w="969" w:type="dxa"/>
            <w:tcBorders>
              <w:top w:val="nil"/>
              <w:left w:val="nil"/>
              <w:bottom w:val="single" w:sz="4" w:space="0" w:color="auto"/>
              <w:right w:val="single" w:sz="4" w:space="0" w:color="auto"/>
            </w:tcBorders>
            <w:shd w:val="clear" w:color="auto" w:fill="auto"/>
            <w:hideMark/>
          </w:tcPr>
          <w:p w14:paraId="607149E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5 004</w:t>
            </w:r>
          </w:p>
        </w:tc>
        <w:tc>
          <w:tcPr>
            <w:tcW w:w="969" w:type="dxa"/>
            <w:tcBorders>
              <w:top w:val="nil"/>
              <w:left w:val="nil"/>
              <w:bottom w:val="single" w:sz="4" w:space="0" w:color="auto"/>
              <w:right w:val="single" w:sz="4" w:space="0" w:color="auto"/>
            </w:tcBorders>
            <w:shd w:val="clear" w:color="auto" w:fill="auto"/>
            <w:hideMark/>
          </w:tcPr>
          <w:p w14:paraId="752D094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4 738</w:t>
            </w:r>
          </w:p>
        </w:tc>
        <w:tc>
          <w:tcPr>
            <w:tcW w:w="969" w:type="dxa"/>
            <w:tcBorders>
              <w:top w:val="nil"/>
              <w:left w:val="nil"/>
              <w:bottom w:val="single" w:sz="4" w:space="0" w:color="auto"/>
              <w:right w:val="single" w:sz="4" w:space="0" w:color="auto"/>
            </w:tcBorders>
            <w:shd w:val="clear" w:color="auto" w:fill="auto"/>
            <w:hideMark/>
          </w:tcPr>
          <w:p w14:paraId="5BC97A8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19 205</w:t>
            </w:r>
          </w:p>
        </w:tc>
        <w:tc>
          <w:tcPr>
            <w:tcW w:w="969" w:type="dxa"/>
            <w:tcBorders>
              <w:top w:val="nil"/>
              <w:left w:val="nil"/>
              <w:bottom w:val="single" w:sz="4" w:space="0" w:color="auto"/>
              <w:right w:val="single" w:sz="4" w:space="0" w:color="auto"/>
            </w:tcBorders>
            <w:shd w:val="clear" w:color="auto" w:fill="auto"/>
            <w:hideMark/>
          </w:tcPr>
          <w:p w14:paraId="5B6F4F0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17 300</w:t>
            </w:r>
          </w:p>
        </w:tc>
        <w:tc>
          <w:tcPr>
            <w:tcW w:w="969" w:type="dxa"/>
            <w:tcBorders>
              <w:top w:val="nil"/>
              <w:left w:val="nil"/>
              <w:bottom w:val="single" w:sz="4" w:space="0" w:color="auto"/>
              <w:right w:val="single" w:sz="4" w:space="0" w:color="auto"/>
            </w:tcBorders>
            <w:shd w:val="clear" w:color="auto" w:fill="auto"/>
            <w:hideMark/>
          </w:tcPr>
          <w:p w14:paraId="5836ED1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12 576</w:t>
            </w:r>
          </w:p>
        </w:tc>
        <w:tc>
          <w:tcPr>
            <w:tcW w:w="969" w:type="dxa"/>
            <w:tcBorders>
              <w:top w:val="nil"/>
              <w:left w:val="nil"/>
              <w:bottom w:val="single" w:sz="4" w:space="0" w:color="auto"/>
              <w:right w:val="single" w:sz="4" w:space="0" w:color="auto"/>
            </w:tcBorders>
            <w:shd w:val="clear" w:color="auto" w:fill="auto"/>
            <w:hideMark/>
          </w:tcPr>
          <w:p w14:paraId="4E339F9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10 276</w:t>
            </w:r>
          </w:p>
        </w:tc>
        <w:tc>
          <w:tcPr>
            <w:tcW w:w="969" w:type="dxa"/>
            <w:tcBorders>
              <w:top w:val="nil"/>
              <w:left w:val="nil"/>
              <w:bottom w:val="single" w:sz="4" w:space="0" w:color="auto"/>
              <w:right w:val="single" w:sz="4" w:space="0" w:color="auto"/>
            </w:tcBorders>
            <w:shd w:val="clear" w:color="auto" w:fill="auto"/>
            <w:hideMark/>
          </w:tcPr>
          <w:p w14:paraId="2D7E6230"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7 669</w:t>
            </w:r>
          </w:p>
        </w:tc>
        <w:tc>
          <w:tcPr>
            <w:tcW w:w="1238" w:type="dxa"/>
            <w:tcBorders>
              <w:top w:val="nil"/>
              <w:left w:val="nil"/>
              <w:bottom w:val="single" w:sz="4" w:space="0" w:color="auto"/>
              <w:right w:val="single" w:sz="8" w:space="0" w:color="auto"/>
            </w:tcBorders>
            <w:shd w:val="clear" w:color="auto" w:fill="auto"/>
            <w:hideMark/>
          </w:tcPr>
          <w:p w14:paraId="6489885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4 153</w:t>
            </w:r>
          </w:p>
        </w:tc>
      </w:tr>
      <w:tr w:rsidR="005B6AF9" w:rsidRPr="00680E37" w14:paraId="04D151C9" w14:textId="77777777" w:rsidTr="00680E37">
        <w:trPr>
          <w:trHeight w:val="201"/>
        </w:trPr>
        <w:tc>
          <w:tcPr>
            <w:tcW w:w="567" w:type="dxa"/>
            <w:vMerge/>
            <w:tcBorders>
              <w:top w:val="nil"/>
              <w:left w:val="single" w:sz="8" w:space="0" w:color="auto"/>
              <w:bottom w:val="single" w:sz="8" w:space="0" w:color="000000"/>
              <w:right w:val="single" w:sz="4" w:space="0" w:color="auto"/>
            </w:tcBorders>
            <w:vAlign w:val="center"/>
            <w:hideMark/>
          </w:tcPr>
          <w:p w14:paraId="51BA12D3"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4" w:space="0" w:color="auto"/>
              <w:right w:val="single" w:sz="4" w:space="0" w:color="auto"/>
            </w:tcBorders>
            <w:shd w:val="clear" w:color="auto" w:fill="auto"/>
            <w:hideMark/>
          </w:tcPr>
          <w:p w14:paraId="6A70FFB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w:t>
            </w:r>
          </w:p>
        </w:tc>
        <w:tc>
          <w:tcPr>
            <w:tcW w:w="1829" w:type="dxa"/>
            <w:tcBorders>
              <w:top w:val="nil"/>
              <w:left w:val="nil"/>
              <w:bottom w:val="single" w:sz="4" w:space="0" w:color="auto"/>
              <w:right w:val="single" w:sz="4" w:space="0" w:color="auto"/>
            </w:tcBorders>
            <w:shd w:val="clear" w:color="auto" w:fill="auto"/>
            <w:hideMark/>
          </w:tcPr>
          <w:p w14:paraId="0C0F123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Наурызбайский</w:t>
            </w:r>
          </w:p>
        </w:tc>
        <w:tc>
          <w:tcPr>
            <w:tcW w:w="780" w:type="dxa"/>
            <w:tcBorders>
              <w:top w:val="nil"/>
              <w:left w:val="nil"/>
              <w:bottom w:val="single" w:sz="4" w:space="0" w:color="auto"/>
              <w:right w:val="single" w:sz="4" w:space="0" w:color="auto"/>
            </w:tcBorders>
            <w:shd w:val="clear" w:color="auto" w:fill="auto"/>
            <w:hideMark/>
          </w:tcPr>
          <w:p w14:paraId="393B39D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2 091</w:t>
            </w:r>
          </w:p>
        </w:tc>
        <w:tc>
          <w:tcPr>
            <w:tcW w:w="955" w:type="dxa"/>
            <w:tcBorders>
              <w:top w:val="nil"/>
              <w:left w:val="nil"/>
              <w:bottom w:val="single" w:sz="4" w:space="0" w:color="auto"/>
              <w:right w:val="single" w:sz="4" w:space="0" w:color="auto"/>
            </w:tcBorders>
            <w:shd w:val="clear" w:color="auto" w:fill="auto"/>
            <w:hideMark/>
          </w:tcPr>
          <w:p w14:paraId="3027208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7 988</w:t>
            </w:r>
          </w:p>
        </w:tc>
        <w:tc>
          <w:tcPr>
            <w:tcW w:w="954" w:type="dxa"/>
            <w:tcBorders>
              <w:top w:val="nil"/>
              <w:left w:val="nil"/>
              <w:bottom w:val="single" w:sz="4" w:space="0" w:color="auto"/>
              <w:right w:val="single" w:sz="4" w:space="0" w:color="auto"/>
            </w:tcBorders>
            <w:shd w:val="clear" w:color="auto" w:fill="auto"/>
            <w:hideMark/>
          </w:tcPr>
          <w:p w14:paraId="6818E8E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7 948</w:t>
            </w:r>
          </w:p>
        </w:tc>
        <w:tc>
          <w:tcPr>
            <w:tcW w:w="969" w:type="dxa"/>
            <w:tcBorders>
              <w:top w:val="nil"/>
              <w:left w:val="nil"/>
              <w:bottom w:val="single" w:sz="4" w:space="0" w:color="auto"/>
              <w:right w:val="single" w:sz="4" w:space="0" w:color="auto"/>
            </w:tcBorders>
            <w:shd w:val="clear" w:color="auto" w:fill="auto"/>
            <w:hideMark/>
          </w:tcPr>
          <w:p w14:paraId="1EAC201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5 946</w:t>
            </w:r>
          </w:p>
        </w:tc>
        <w:tc>
          <w:tcPr>
            <w:tcW w:w="969" w:type="dxa"/>
            <w:tcBorders>
              <w:top w:val="nil"/>
              <w:left w:val="nil"/>
              <w:bottom w:val="single" w:sz="4" w:space="0" w:color="auto"/>
              <w:right w:val="single" w:sz="4" w:space="0" w:color="auto"/>
            </w:tcBorders>
            <w:shd w:val="clear" w:color="auto" w:fill="auto"/>
            <w:hideMark/>
          </w:tcPr>
          <w:p w14:paraId="4C58E0D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2 582</w:t>
            </w:r>
          </w:p>
        </w:tc>
        <w:tc>
          <w:tcPr>
            <w:tcW w:w="969" w:type="dxa"/>
            <w:tcBorders>
              <w:top w:val="nil"/>
              <w:left w:val="nil"/>
              <w:bottom w:val="single" w:sz="4" w:space="0" w:color="auto"/>
              <w:right w:val="single" w:sz="4" w:space="0" w:color="auto"/>
            </w:tcBorders>
            <w:shd w:val="clear" w:color="auto" w:fill="auto"/>
            <w:hideMark/>
          </w:tcPr>
          <w:p w14:paraId="08B6459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1 310</w:t>
            </w:r>
          </w:p>
        </w:tc>
        <w:tc>
          <w:tcPr>
            <w:tcW w:w="969" w:type="dxa"/>
            <w:tcBorders>
              <w:top w:val="nil"/>
              <w:left w:val="nil"/>
              <w:bottom w:val="single" w:sz="4" w:space="0" w:color="auto"/>
              <w:right w:val="single" w:sz="4" w:space="0" w:color="auto"/>
            </w:tcBorders>
            <w:shd w:val="clear" w:color="auto" w:fill="auto"/>
            <w:hideMark/>
          </w:tcPr>
          <w:p w14:paraId="53986F2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6 794</w:t>
            </w:r>
          </w:p>
        </w:tc>
        <w:tc>
          <w:tcPr>
            <w:tcW w:w="969" w:type="dxa"/>
            <w:tcBorders>
              <w:top w:val="nil"/>
              <w:left w:val="nil"/>
              <w:bottom w:val="single" w:sz="4" w:space="0" w:color="auto"/>
              <w:right w:val="single" w:sz="4" w:space="0" w:color="auto"/>
            </w:tcBorders>
            <w:shd w:val="clear" w:color="auto" w:fill="auto"/>
            <w:hideMark/>
          </w:tcPr>
          <w:p w14:paraId="19ECCE9D"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9 634</w:t>
            </w:r>
          </w:p>
        </w:tc>
        <w:tc>
          <w:tcPr>
            <w:tcW w:w="969" w:type="dxa"/>
            <w:tcBorders>
              <w:top w:val="nil"/>
              <w:left w:val="nil"/>
              <w:bottom w:val="single" w:sz="4" w:space="0" w:color="auto"/>
              <w:right w:val="single" w:sz="4" w:space="0" w:color="auto"/>
            </w:tcBorders>
            <w:shd w:val="clear" w:color="auto" w:fill="auto"/>
            <w:hideMark/>
          </w:tcPr>
          <w:p w14:paraId="2CBF0D4A"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6 375</w:t>
            </w:r>
          </w:p>
        </w:tc>
        <w:tc>
          <w:tcPr>
            <w:tcW w:w="969" w:type="dxa"/>
            <w:tcBorders>
              <w:top w:val="nil"/>
              <w:left w:val="nil"/>
              <w:bottom w:val="single" w:sz="4" w:space="0" w:color="auto"/>
              <w:right w:val="single" w:sz="4" w:space="0" w:color="auto"/>
            </w:tcBorders>
            <w:shd w:val="clear" w:color="auto" w:fill="auto"/>
            <w:hideMark/>
          </w:tcPr>
          <w:p w14:paraId="386DA8D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5 358</w:t>
            </w:r>
          </w:p>
        </w:tc>
        <w:tc>
          <w:tcPr>
            <w:tcW w:w="969" w:type="dxa"/>
            <w:tcBorders>
              <w:top w:val="nil"/>
              <w:left w:val="nil"/>
              <w:bottom w:val="single" w:sz="4" w:space="0" w:color="auto"/>
              <w:right w:val="single" w:sz="4" w:space="0" w:color="auto"/>
            </w:tcBorders>
            <w:shd w:val="clear" w:color="auto" w:fill="auto"/>
            <w:hideMark/>
          </w:tcPr>
          <w:p w14:paraId="61F2716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3 691</w:t>
            </w:r>
          </w:p>
        </w:tc>
        <w:tc>
          <w:tcPr>
            <w:tcW w:w="1238" w:type="dxa"/>
            <w:tcBorders>
              <w:top w:val="nil"/>
              <w:left w:val="nil"/>
              <w:bottom w:val="single" w:sz="4" w:space="0" w:color="auto"/>
              <w:right w:val="single" w:sz="8" w:space="0" w:color="auto"/>
            </w:tcBorders>
            <w:shd w:val="clear" w:color="auto" w:fill="auto"/>
            <w:hideMark/>
          </w:tcPr>
          <w:p w14:paraId="2CF66D7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1 745</w:t>
            </w:r>
          </w:p>
        </w:tc>
      </w:tr>
      <w:tr w:rsidR="005B6AF9" w:rsidRPr="00680E37" w14:paraId="59BE572B" w14:textId="77777777" w:rsidTr="00680E37">
        <w:trPr>
          <w:trHeight w:val="178"/>
        </w:trPr>
        <w:tc>
          <w:tcPr>
            <w:tcW w:w="567" w:type="dxa"/>
            <w:vMerge/>
            <w:tcBorders>
              <w:top w:val="nil"/>
              <w:left w:val="single" w:sz="8" w:space="0" w:color="auto"/>
              <w:bottom w:val="single" w:sz="8" w:space="0" w:color="000000"/>
              <w:right w:val="single" w:sz="4" w:space="0" w:color="auto"/>
            </w:tcBorders>
            <w:vAlign w:val="center"/>
            <w:hideMark/>
          </w:tcPr>
          <w:p w14:paraId="6D3B354D" w14:textId="77777777" w:rsidR="005B6AF9" w:rsidRPr="00680E37" w:rsidRDefault="005B6AF9" w:rsidP="004135FE">
            <w:pPr>
              <w:spacing w:after="0" w:line="240" w:lineRule="auto"/>
              <w:rPr>
                <w:rFonts w:ascii="Times New Roman" w:eastAsia="Times New Roman" w:hAnsi="Times New Roman" w:cs="Times New Roman"/>
                <w:sz w:val="24"/>
                <w:szCs w:val="24"/>
              </w:rPr>
            </w:pPr>
          </w:p>
        </w:tc>
        <w:tc>
          <w:tcPr>
            <w:tcW w:w="384" w:type="dxa"/>
            <w:tcBorders>
              <w:top w:val="nil"/>
              <w:left w:val="nil"/>
              <w:bottom w:val="single" w:sz="8" w:space="0" w:color="auto"/>
              <w:right w:val="single" w:sz="4" w:space="0" w:color="auto"/>
            </w:tcBorders>
            <w:shd w:val="clear" w:color="auto" w:fill="auto"/>
            <w:hideMark/>
          </w:tcPr>
          <w:p w14:paraId="1378CE66"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w:t>
            </w:r>
          </w:p>
        </w:tc>
        <w:tc>
          <w:tcPr>
            <w:tcW w:w="1829" w:type="dxa"/>
            <w:tcBorders>
              <w:top w:val="nil"/>
              <w:left w:val="nil"/>
              <w:bottom w:val="single" w:sz="8" w:space="0" w:color="auto"/>
              <w:right w:val="single" w:sz="4" w:space="0" w:color="auto"/>
            </w:tcBorders>
            <w:shd w:val="clear" w:color="auto" w:fill="auto"/>
            <w:hideMark/>
          </w:tcPr>
          <w:p w14:paraId="1C92E99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Турксибский</w:t>
            </w:r>
          </w:p>
        </w:tc>
        <w:tc>
          <w:tcPr>
            <w:tcW w:w="780" w:type="dxa"/>
            <w:tcBorders>
              <w:top w:val="nil"/>
              <w:left w:val="nil"/>
              <w:bottom w:val="single" w:sz="8" w:space="0" w:color="auto"/>
              <w:right w:val="single" w:sz="4" w:space="0" w:color="auto"/>
            </w:tcBorders>
            <w:shd w:val="clear" w:color="auto" w:fill="auto"/>
            <w:hideMark/>
          </w:tcPr>
          <w:p w14:paraId="4B18D53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2 154</w:t>
            </w:r>
          </w:p>
        </w:tc>
        <w:tc>
          <w:tcPr>
            <w:tcW w:w="955" w:type="dxa"/>
            <w:tcBorders>
              <w:top w:val="nil"/>
              <w:left w:val="nil"/>
              <w:bottom w:val="single" w:sz="8" w:space="0" w:color="auto"/>
              <w:right w:val="single" w:sz="4" w:space="0" w:color="auto"/>
            </w:tcBorders>
            <w:shd w:val="clear" w:color="auto" w:fill="auto"/>
            <w:hideMark/>
          </w:tcPr>
          <w:p w14:paraId="12B9A7F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9 368</w:t>
            </w:r>
          </w:p>
        </w:tc>
        <w:tc>
          <w:tcPr>
            <w:tcW w:w="954" w:type="dxa"/>
            <w:tcBorders>
              <w:top w:val="nil"/>
              <w:left w:val="nil"/>
              <w:bottom w:val="single" w:sz="8" w:space="0" w:color="auto"/>
              <w:right w:val="single" w:sz="4" w:space="0" w:color="auto"/>
            </w:tcBorders>
            <w:shd w:val="clear" w:color="auto" w:fill="auto"/>
            <w:hideMark/>
          </w:tcPr>
          <w:p w14:paraId="776E16B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11 628</w:t>
            </w:r>
          </w:p>
        </w:tc>
        <w:tc>
          <w:tcPr>
            <w:tcW w:w="969" w:type="dxa"/>
            <w:tcBorders>
              <w:top w:val="nil"/>
              <w:left w:val="nil"/>
              <w:bottom w:val="single" w:sz="8" w:space="0" w:color="auto"/>
              <w:right w:val="single" w:sz="4" w:space="0" w:color="auto"/>
            </w:tcBorders>
            <w:shd w:val="clear" w:color="auto" w:fill="auto"/>
            <w:hideMark/>
          </w:tcPr>
          <w:p w14:paraId="556A056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10 247</w:t>
            </w:r>
          </w:p>
        </w:tc>
        <w:tc>
          <w:tcPr>
            <w:tcW w:w="969" w:type="dxa"/>
            <w:tcBorders>
              <w:top w:val="nil"/>
              <w:left w:val="nil"/>
              <w:bottom w:val="single" w:sz="8" w:space="0" w:color="auto"/>
              <w:right w:val="single" w:sz="4" w:space="0" w:color="auto"/>
            </w:tcBorders>
            <w:shd w:val="clear" w:color="auto" w:fill="auto"/>
            <w:hideMark/>
          </w:tcPr>
          <w:p w14:paraId="5F5D3C2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4 743</w:t>
            </w:r>
          </w:p>
        </w:tc>
        <w:tc>
          <w:tcPr>
            <w:tcW w:w="969" w:type="dxa"/>
            <w:tcBorders>
              <w:top w:val="nil"/>
              <w:left w:val="nil"/>
              <w:bottom w:val="single" w:sz="8" w:space="0" w:color="auto"/>
              <w:right w:val="single" w:sz="4" w:space="0" w:color="auto"/>
            </w:tcBorders>
            <w:shd w:val="clear" w:color="auto" w:fill="auto"/>
            <w:hideMark/>
          </w:tcPr>
          <w:p w14:paraId="16DA26F9"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2 704</w:t>
            </w:r>
          </w:p>
        </w:tc>
        <w:tc>
          <w:tcPr>
            <w:tcW w:w="969" w:type="dxa"/>
            <w:tcBorders>
              <w:top w:val="nil"/>
              <w:left w:val="nil"/>
              <w:bottom w:val="single" w:sz="8" w:space="0" w:color="auto"/>
              <w:right w:val="single" w:sz="4" w:space="0" w:color="auto"/>
            </w:tcBorders>
            <w:shd w:val="clear" w:color="auto" w:fill="auto"/>
            <w:hideMark/>
          </w:tcPr>
          <w:p w14:paraId="4A15E0C5"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15 123</w:t>
            </w:r>
          </w:p>
        </w:tc>
        <w:tc>
          <w:tcPr>
            <w:tcW w:w="969" w:type="dxa"/>
            <w:tcBorders>
              <w:top w:val="nil"/>
              <w:left w:val="nil"/>
              <w:bottom w:val="single" w:sz="8" w:space="0" w:color="auto"/>
              <w:right w:val="single" w:sz="4" w:space="0" w:color="auto"/>
            </w:tcBorders>
            <w:shd w:val="clear" w:color="auto" w:fill="auto"/>
            <w:hideMark/>
          </w:tcPr>
          <w:p w14:paraId="445CB5E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20 580</w:t>
            </w:r>
          </w:p>
        </w:tc>
        <w:tc>
          <w:tcPr>
            <w:tcW w:w="969" w:type="dxa"/>
            <w:tcBorders>
              <w:top w:val="nil"/>
              <w:left w:val="nil"/>
              <w:bottom w:val="single" w:sz="8" w:space="0" w:color="auto"/>
              <w:right w:val="single" w:sz="4" w:space="0" w:color="auto"/>
            </w:tcBorders>
            <w:shd w:val="clear" w:color="auto" w:fill="auto"/>
            <w:hideMark/>
          </w:tcPr>
          <w:p w14:paraId="33BABAE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15 156</w:t>
            </w:r>
          </w:p>
        </w:tc>
        <w:tc>
          <w:tcPr>
            <w:tcW w:w="969" w:type="dxa"/>
            <w:tcBorders>
              <w:top w:val="nil"/>
              <w:left w:val="nil"/>
              <w:bottom w:val="single" w:sz="8" w:space="0" w:color="auto"/>
              <w:right w:val="single" w:sz="4" w:space="0" w:color="auto"/>
            </w:tcBorders>
            <w:shd w:val="clear" w:color="auto" w:fill="auto"/>
            <w:hideMark/>
          </w:tcPr>
          <w:p w14:paraId="1DA0156B"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11 425</w:t>
            </w:r>
          </w:p>
        </w:tc>
        <w:tc>
          <w:tcPr>
            <w:tcW w:w="969" w:type="dxa"/>
            <w:tcBorders>
              <w:top w:val="nil"/>
              <w:left w:val="nil"/>
              <w:bottom w:val="single" w:sz="8" w:space="0" w:color="auto"/>
              <w:right w:val="single" w:sz="4" w:space="0" w:color="auto"/>
            </w:tcBorders>
            <w:shd w:val="clear" w:color="auto" w:fill="auto"/>
            <w:hideMark/>
          </w:tcPr>
          <w:p w14:paraId="21626EE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9 163</w:t>
            </w:r>
          </w:p>
        </w:tc>
        <w:tc>
          <w:tcPr>
            <w:tcW w:w="1238" w:type="dxa"/>
            <w:tcBorders>
              <w:top w:val="nil"/>
              <w:left w:val="nil"/>
              <w:bottom w:val="single" w:sz="8" w:space="0" w:color="auto"/>
              <w:right w:val="single" w:sz="8" w:space="0" w:color="auto"/>
            </w:tcBorders>
            <w:shd w:val="clear" w:color="auto" w:fill="auto"/>
            <w:hideMark/>
          </w:tcPr>
          <w:p w14:paraId="584492BE"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4 468</w:t>
            </w:r>
          </w:p>
        </w:tc>
      </w:tr>
    </w:tbl>
    <w:p w14:paraId="7622E5C8" w14:textId="42DC485E" w:rsidR="005B6AF9" w:rsidRPr="004135FE" w:rsidRDefault="005B6AF9" w:rsidP="004135FE">
      <w:pPr>
        <w:autoSpaceDE w:val="0"/>
        <w:autoSpaceDN w:val="0"/>
        <w:adjustRightInd w:val="0"/>
        <w:spacing w:after="0" w:line="240" w:lineRule="auto"/>
        <w:jc w:val="both"/>
        <w:rPr>
          <w:rFonts w:ascii="Times New Roman" w:hAnsi="Times New Roman" w:cs="Times New Roman"/>
          <w:sz w:val="28"/>
          <w:szCs w:val="28"/>
        </w:rPr>
      </w:pPr>
    </w:p>
    <w:p w14:paraId="3AF0E495" w14:textId="4FCD22FB" w:rsidR="005B6AF9" w:rsidRDefault="0053576E" w:rsidP="004135FE">
      <w:pPr>
        <w:autoSpaceDE w:val="0"/>
        <w:autoSpaceDN w:val="0"/>
        <w:adjustRightInd w:val="0"/>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lang w:val="kk-KZ"/>
        </w:rPr>
        <w:t>Таб</w:t>
      </w:r>
      <w:r w:rsidR="00B728EF" w:rsidRPr="004135FE">
        <w:rPr>
          <w:rFonts w:ascii="Times New Roman" w:hAnsi="Times New Roman" w:cs="Times New Roman"/>
          <w:sz w:val="28"/>
          <w:szCs w:val="28"/>
          <w:lang w:val="kk-KZ"/>
        </w:rPr>
        <w:t xml:space="preserve">лица </w:t>
      </w:r>
      <w:r w:rsidR="00680E37">
        <w:rPr>
          <w:rFonts w:ascii="Times New Roman" w:hAnsi="Times New Roman" w:cs="Times New Roman"/>
          <w:sz w:val="28"/>
          <w:szCs w:val="28"/>
          <w:lang w:val="kk-KZ"/>
        </w:rPr>
        <w:t xml:space="preserve">А3 </w:t>
      </w:r>
      <w:r w:rsidR="005B6AF9" w:rsidRPr="004135FE">
        <w:rPr>
          <w:rFonts w:ascii="Times New Roman" w:hAnsi="Times New Roman" w:cs="Times New Roman"/>
          <w:sz w:val="28"/>
          <w:szCs w:val="28"/>
          <w:lang w:val="kk-KZ"/>
        </w:rPr>
        <w:t xml:space="preserve">- </w:t>
      </w:r>
      <w:r w:rsidR="005B6AF9" w:rsidRPr="004135FE">
        <w:rPr>
          <w:rFonts w:ascii="Times New Roman" w:hAnsi="Times New Roman" w:cs="Times New Roman"/>
          <w:sz w:val="28"/>
          <w:szCs w:val="28"/>
        </w:rPr>
        <w:t>Среднегодовая численность женщин по возрастным категориям г Алматы 2012г-2021г (абс)</w:t>
      </w:r>
    </w:p>
    <w:p w14:paraId="0BC3E21C" w14:textId="77777777" w:rsidR="00680E37" w:rsidRPr="004135FE" w:rsidRDefault="00680E37" w:rsidP="004135FE">
      <w:pPr>
        <w:autoSpaceDE w:val="0"/>
        <w:autoSpaceDN w:val="0"/>
        <w:adjustRightInd w:val="0"/>
        <w:spacing w:after="0" w:line="240" w:lineRule="auto"/>
        <w:jc w:val="both"/>
        <w:rPr>
          <w:rFonts w:ascii="Times New Roman" w:hAnsi="Times New Roman" w:cs="Times New Roman"/>
          <w:sz w:val="28"/>
          <w:szCs w:val="28"/>
        </w:rPr>
      </w:pPr>
    </w:p>
    <w:tbl>
      <w:tblPr>
        <w:tblW w:w="14459" w:type="dxa"/>
        <w:tblInd w:w="-5" w:type="dxa"/>
        <w:tblLook w:val="04A0" w:firstRow="1" w:lastRow="0" w:firstColumn="1" w:lastColumn="0" w:noHBand="0" w:noVBand="1"/>
      </w:tblPr>
      <w:tblGrid>
        <w:gridCol w:w="554"/>
        <w:gridCol w:w="485"/>
        <w:gridCol w:w="2098"/>
        <w:gridCol w:w="777"/>
        <w:gridCol w:w="893"/>
        <w:gridCol w:w="889"/>
        <w:gridCol w:w="946"/>
        <w:gridCol w:w="947"/>
        <w:gridCol w:w="947"/>
        <w:gridCol w:w="947"/>
        <w:gridCol w:w="947"/>
        <w:gridCol w:w="947"/>
        <w:gridCol w:w="947"/>
        <w:gridCol w:w="946"/>
        <w:gridCol w:w="1189"/>
      </w:tblGrid>
      <w:tr w:rsidR="005B6AF9" w:rsidRPr="004135FE" w14:paraId="1B82118C" w14:textId="77777777" w:rsidTr="00680E37">
        <w:trPr>
          <w:trHeight w:val="226"/>
        </w:trPr>
        <w:tc>
          <w:tcPr>
            <w:tcW w:w="554" w:type="dxa"/>
            <w:tcBorders>
              <w:top w:val="single" w:sz="4" w:space="0" w:color="auto"/>
              <w:left w:val="single" w:sz="4" w:space="0" w:color="auto"/>
              <w:bottom w:val="nil"/>
              <w:right w:val="single" w:sz="4" w:space="0" w:color="auto"/>
            </w:tcBorders>
            <w:shd w:val="clear" w:color="auto" w:fill="auto"/>
            <w:noWrap/>
            <w:textDirection w:val="btLr"/>
            <w:vAlign w:val="center"/>
            <w:hideMark/>
          </w:tcPr>
          <w:p w14:paraId="467DF9F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485" w:type="dxa"/>
            <w:tcBorders>
              <w:top w:val="single" w:sz="4" w:space="0" w:color="auto"/>
              <w:left w:val="nil"/>
              <w:bottom w:val="nil"/>
              <w:right w:val="single" w:sz="4" w:space="0" w:color="auto"/>
            </w:tcBorders>
            <w:shd w:val="clear" w:color="auto" w:fill="auto"/>
            <w:hideMark/>
          </w:tcPr>
          <w:p w14:paraId="69EAC69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w:t>
            </w:r>
          </w:p>
        </w:tc>
        <w:tc>
          <w:tcPr>
            <w:tcW w:w="2098" w:type="dxa"/>
            <w:tcBorders>
              <w:top w:val="single" w:sz="4" w:space="0" w:color="auto"/>
              <w:left w:val="single" w:sz="4" w:space="0" w:color="auto"/>
              <w:bottom w:val="nil"/>
              <w:right w:val="single" w:sz="4" w:space="0" w:color="auto"/>
            </w:tcBorders>
            <w:shd w:val="clear" w:color="auto" w:fill="auto"/>
            <w:hideMark/>
          </w:tcPr>
          <w:p w14:paraId="6ED1EE4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район</w:t>
            </w:r>
          </w:p>
        </w:tc>
        <w:tc>
          <w:tcPr>
            <w:tcW w:w="777" w:type="dxa"/>
            <w:tcBorders>
              <w:top w:val="single" w:sz="4" w:space="0" w:color="auto"/>
              <w:left w:val="nil"/>
              <w:bottom w:val="nil"/>
              <w:right w:val="single" w:sz="4" w:space="0" w:color="auto"/>
            </w:tcBorders>
            <w:shd w:val="clear" w:color="auto" w:fill="auto"/>
            <w:hideMark/>
          </w:tcPr>
          <w:p w14:paraId="06AF7FC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0-1год</w:t>
            </w:r>
          </w:p>
        </w:tc>
        <w:tc>
          <w:tcPr>
            <w:tcW w:w="893" w:type="dxa"/>
            <w:tcBorders>
              <w:top w:val="single" w:sz="4" w:space="0" w:color="auto"/>
              <w:left w:val="nil"/>
              <w:bottom w:val="nil"/>
              <w:right w:val="single" w:sz="4" w:space="0" w:color="auto"/>
            </w:tcBorders>
            <w:shd w:val="clear" w:color="auto" w:fill="auto"/>
            <w:hideMark/>
          </w:tcPr>
          <w:p w14:paraId="15C4ADC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1-4год</w:t>
            </w:r>
          </w:p>
        </w:tc>
        <w:tc>
          <w:tcPr>
            <w:tcW w:w="889" w:type="dxa"/>
            <w:tcBorders>
              <w:top w:val="single" w:sz="4" w:space="0" w:color="auto"/>
              <w:left w:val="nil"/>
              <w:bottom w:val="nil"/>
              <w:right w:val="single" w:sz="4" w:space="0" w:color="auto"/>
            </w:tcBorders>
            <w:shd w:val="clear" w:color="auto" w:fill="auto"/>
            <w:hideMark/>
          </w:tcPr>
          <w:p w14:paraId="354AD07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5-9лет</w:t>
            </w:r>
          </w:p>
        </w:tc>
        <w:tc>
          <w:tcPr>
            <w:tcW w:w="946" w:type="dxa"/>
            <w:tcBorders>
              <w:top w:val="single" w:sz="4" w:space="0" w:color="auto"/>
              <w:left w:val="nil"/>
              <w:bottom w:val="nil"/>
              <w:right w:val="single" w:sz="4" w:space="0" w:color="auto"/>
            </w:tcBorders>
            <w:shd w:val="clear" w:color="auto" w:fill="auto"/>
            <w:hideMark/>
          </w:tcPr>
          <w:p w14:paraId="122CD2D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10-14лет</w:t>
            </w:r>
          </w:p>
        </w:tc>
        <w:tc>
          <w:tcPr>
            <w:tcW w:w="947" w:type="dxa"/>
            <w:tcBorders>
              <w:top w:val="single" w:sz="4" w:space="0" w:color="auto"/>
              <w:left w:val="nil"/>
              <w:bottom w:val="nil"/>
              <w:right w:val="single" w:sz="4" w:space="0" w:color="auto"/>
            </w:tcBorders>
            <w:shd w:val="clear" w:color="auto" w:fill="auto"/>
            <w:hideMark/>
          </w:tcPr>
          <w:p w14:paraId="5CA0E82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15-17лет</w:t>
            </w:r>
          </w:p>
        </w:tc>
        <w:tc>
          <w:tcPr>
            <w:tcW w:w="947" w:type="dxa"/>
            <w:tcBorders>
              <w:top w:val="single" w:sz="4" w:space="0" w:color="auto"/>
              <w:left w:val="nil"/>
              <w:bottom w:val="nil"/>
              <w:right w:val="single" w:sz="4" w:space="0" w:color="auto"/>
            </w:tcBorders>
            <w:shd w:val="clear" w:color="auto" w:fill="auto"/>
            <w:hideMark/>
          </w:tcPr>
          <w:p w14:paraId="23F80C6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18-19лет</w:t>
            </w:r>
          </w:p>
        </w:tc>
        <w:tc>
          <w:tcPr>
            <w:tcW w:w="947" w:type="dxa"/>
            <w:tcBorders>
              <w:top w:val="single" w:sz="4" w:space="0" w:color="auto"/>
              <w:left w:val="nil"/>
              <w:bottom w:val="nil"/>
              <w:right w:val="single" w:sz="4" w:space="0" w:color="auto"/>
            </w:tcBorders>
            <w:shd w:val="clear" w:color="auto" w:fill="auto"/>
            <w:hideMark/>
          </w:tcPr>
          <w:p w14:paraId="7E0056C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20-29лет</w:t>
            </w:r>
          </w:p>
        </w:tc>
        <w:tc>
          <w:tcPr>
            <w:tcW w:w="947" w:type="dxa"/>
            <w:tcBorders>
              <w:top w:val="single" w:sz="4" w:space="0" w:color="auto"/>
              <w:left w:val="nil"/>
              <w:bottom w:val="nil"/>
              <w:right w:val="single" w:sz="4" w:space="0" w:color="auto"/>
            </w:tcBorders>
            <w:shd w:val="clear" w:color="auto" w:fill="auto"/>
            <w:hideMark/>
          </w:tcPr>
          <w:p w14:paraId="6E0F0E0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30-39лет</w:t>
            </w:r>
          </w:p>
        </w:tc>
        <w:tc>
          <w:tcPr>
            <w:tcW w:w="947" w:type="dxa"/>
            <w:tcBorders>
              <w:top w:val="single" w:sz="4" w:space="0" w:color="auto"/>
              <w:left w:val="nil"/>
              <w:bottom w:val="nil"/>
              <w:right w:val="single" w:sz="4" w:space="0" w:color="auto"/>
            </w:tcBorders>
            <w:shd w:val="clear" w:color="auto" w:fill="auto"/>
            <w:hideMark/>
          </w:tcPr>
          <w:p w14:paraId="529AF43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40-49лет</w:t>
            </w:r>
          </w:p>
        </w:tc>
        <w:tc>
          <w:tcPr>
            <w:tcW w:w="947" w:type="dxa"/>
            <w:tcBorders>
              <w:top w:val="single" w:sz="4" w:space="0" w:color="auto"/>
              <w:left w:val="nil"/>
              <w:bottom w:val="nil"/>
              <w:right w:val="single" w:sz="4" w:space="0" w:color="auto"/>
            </w:tcBorders>
            <w:shd w:val="clear" w:color="auto" w:fill="auto"/>
            <w:hideMark/>
          </w:tcPr>
          <w:p w14:paraId="1D98E18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50-59лет</w:t>
            </w:r>
          </w:p>
        </w:tc>
        <w:tc>
          <w:tcPr>
            <w:tcW w:w="946" w:type="dxa"/>
            <w:tcBorders>
              <w:top w:val="single" w:sz="4" w:space="0" w:color="auto"/>
              <w:left w:val="nil"/>
              <w:bottom w:val="nil"/>
              <w:right w:val="single" w:sz="4" w:space="0" w:color="auto"/>
            </w:tcBorders>
            <w:shd w:val="clear" w:color="auto" w:fill="auto"/>
            <w:hideMark/>
          </w:tcPr>
          <w:p w14:paraId="0D113E0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60-69лет</w:t>
            </w:r>
          </w:p>
        </w:tc>
        <w:tc>
          <w:tcPr>
            <w:tcW w:w="1189" w:type="dxa"/>
            <w:tcBorders>
              <w:top w:val="single" w:sz="4" w:space="0" w:color="auto"/>
              <w:left w:val="nil"/>
              <w:bottom w:val="nil"/>
              <w:right w:val="single" w:sz="4" w:space="0" w:color="auto"/>
            </w:tcBorders>
            <w:shd w:val="clear" w:color="auto" w:fill="auto"/>
            <w:hideMark/>
          </w:tcPr>
          <w:p w14:paraId="6984822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 и старше</w:t>
            </w:r>
          </w:p>
        </w:tc>
      </w:tr>
      <w:tr w:rsidR="005B6AF9" w:rsidRPr="004135FE" w14:paraId="4AB3F80D" w14:textId="77777777" w:rsidTr="00680E37">
        <w:trPr>
          <w:trHeight w:val="226"/>
        </w:trPr>
        <w:tc>
          <w:tcPr>
            <w:tcW w:w="554" w:type="dxa"/>
            <w:vMerge w:val="restart"/>
            <w:tcBorders>
              <w:top w:val="single" w:sz="8" w:space="0" w:color="auto"/>
              <w:left w:val="single" w:sz="8" w:space="0" w:color="auto"/>
              <w:bottom w:val="single" w:sz="8" w:space="0" w:color="000000"/>
              <w:right w:val="single" w:sz="4" w:space="0" w:color="auto"/>
            </w:tcBorders>
            <w:shd w:val="clear" w:color="auto" w:fill="auto"/>
            <w:noWrap/>
            <w:textDirection w:val="btLr"/>
            <w:vAlign w:val="center"/>
            <w:hideMark/>
          </w:tcPr>
          <w:p w14:paraId="67E7F99B" w14:textId="77777777" w:rsidR="005B6AF9" w:rsidRPr="004135FE" w:rsidRDefault="005B6AF9"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2012г</w:t>
            </w:r>
          </w:p>
        </w:tc>
        <w:tc>
          <w:tcPr>
            <w:tcW w:w="485" w:type="dxa"/>
            <w:tcBorders>
              <w:top w:val="single" w:sz="8" w:space="0" w:color="auto"/>
              <w:left w:val="nil"/>
              <w:bottom w:val="single" w:sz="4" w:space="0" w:color="auto"/>
              <w:right w:val="single" w:sz="4" w:space="0" w:color="auto"/>
            </w:tcBorders>
            <w:shd w:val="clear" w:color="auto" w:fill="auto"/>
            <w:hideMark/>
          </w:tcPr>
          <w:p w14:paraId="495F8FA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tcBorders>
              <w:top w:val="single" w:sz="8" w:space="0" w:color="auto"/>
              <w:left w:val="single" w:sz="4" w:space="0" w:color="auto"/>
              <w:bottom w:val="single" w:sz="4" w:space="0" w:color="auto"/>
              <w:right w:val="single" w:sz="4" w:space="0" w:color="auto"/>
            </w:tcBorders>
            <w:shd w:val="clear" w:color="auto" w:fill="auto"/>
            <w:hideMark/>
          </w:tcPr>
          <w:p w14:paraId="72175D3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777" w:type="dxa"/>
            <w:tcBorders>
              <w:top w:val="single" w:sz="8" w:space="0" w:color="auto"/>
              <w:left w:val="nil"/>
              <w:bottom w:val="single" w:sz="4" w:space="0" w:color="auto"/>
              <w:right w:val="single" w:sz="4" w:space="0" w:color="auto"/>
            </w:tcBorders>
            <w:shd w:val="clear" w:color="auto" w:fill="auto"/>
            <w:hideMark/>
          </w:tcPr>
          <w:p w14:paraId="0560463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1 708</w:t>
            </w:r>
          </w:p>
        </w:tc>
        <w:tc>
          <w:tcPr>
            <w:tcW w:w="893" w:type="dxa"/>
            <w:tcBorders>
              <w:top w:val="single" w:sz="8" w:space="0" w:color="auto"/>
              <w:left w:val="nil"/>
              <w:bottom w:val="single" w:sz="4" w:space="0" w:color="auto"/>
              <w:right w:val="single" w:sz="4" w:space="0" w:color="auto"/>
            </w:tcBorders>
            <w:shd w:val="clear" w:color="auto" w:fill="auto"/>
            <w:hideMark/>
          </w:tcPr>
          <w:p w14:paraId="5971DAF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10 595</w:t>
            </w:r>
          </w:p>
        </w:tc>
        <w:tc>
          <w:tcPr>
            <w:tcW w:w="889" w:type="dxa"/>
            <w:tcBorders>
              <w:top w:val="single" w:sz="8" w:space="0" w:color="auto"/>
              <w:left w:val="nil"/>
              <w:bottom w:val="single" w:sz="4" w:space="0" w:color="auto"/>
              <w:right w:val="single" w:sz="4" w:space="0" w:color="auto"/>
            </w:tcBorders>
            <w:shd w:val="clear" w:color="auto" w:fill="auto"/>
            <w:hideMark/>
          </w:tcPr>
          <w:p w14:paraId="7FEAC1D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10 705</w:t>
            </w:r>
          </w:p>
        </w:tc>
        <w:tc>
          <w:tcPr>
            <w:tcW w:w="946" w:type="dxa"/>
            <w:tcBorders>
              <w:top w:val="single" w:sz="8" w:space="0" w:color="auto"/>
              <w:left w:val="nil"/>
              <w:bottom w:val="single" w:sz="4" w:space="0" w:color="auto"/>
              <w:right w:val="single" w:sz="4" w:space="0" w:color="auto"/>
            </w:tcBorders>
            <w:shd w:val="clear" w:color="auto" w:fill="auto"/>
            <w:hideMark/>
          </w:tcPr>
          <w:p w14:paraId="6C1A920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7 925</w:t>
            </w:r>
          </w:p>
        </w:tc>
        <w:tc>
          <w:tcPr>
            <w:tcW w:w="947" w:type="dxa"/>
            <w:tcBorders>
              <w:top w:val="single" w:sz="8" w:space="0" w:color="auto"/>
              <w:left w:val="nil"/>
              <w:bottom w:val="single" w:sz="4" w:space="0" w:color="auto"/>
              <w:right w:val="single" w:sz="4" w:space="0" w:color="auto"/>
            </w:tcBorders>
            <w:shd w:val="clear" w:color="auto" w:fill="auto"/>
            <w:hideMark/>
          </w:tcPr>
          <w:p w14:paraId="52619A7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2 355</w:t>
            </w:r>
          </w:p>
        </w:tc>
        <w:tc>
          <w:tcPr>
            <w:tcW w:w="947" w:type="dxa"/>
            <w:tcBorders>
              <w:top w:val="single" w:sz="8" w:space="0" w:color="auto"/>
              <w:left w:val="nil"/>
              <w:bottom w:val="single" w:sz="4" w:space="0" w:color="auto"/>
              <w:right w:val="single" w:sz="4" w:space="0" w:color="auto"/>
            </w:tcBorders>
            <w:shd w:val="clear" w:color="auto" w:fill="auto"/>
            <w:hideMark/>
          </w:tcPr>
          <w:p w14:paraId="056FCBC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1 640</w:t>
            </w:r>
          </w:p>
        </w:tc>
        <w:tc>
          <w:tcPr>
            <w:tcW w:w="947" w:type="dxa"/>
            <w:tcBorders>
              <w:top w:val="single" w:sz="8" w:space="0" w:color="auto"/>
              <w:left w:val="nil"/>
              <w:bottom w:val="single" w:sz="4" w:space="0" w:color="auto"/>
              <w:right w:val="single" w:sz="4" w:space="0" w:color="auto"/>
            </w:tcBorders>
            <w:shd w:val="clear" w:color="auto" w:fill="auto"/>
            <w:hideMark/>
          </w:tcPr>
          <w:p w14:paraId="2CE9777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16 894</w:t>
            </w:r>
          </w:p>
        </w:tc>
        <w:tc>
          <w:tcPr>
            <w:tcW w:w="947" w:type="dxa"/>
            <w:tcBorders>
              <w:top w:val="single" w:sz="8" w:space="0" w:color="auto"/>
              <w:left w:val="nil"/>
              <w:bottom w:val="single" w:sz="4" w:space="0" w:color="auto"/>
              <w:right w:val="single" w:sz="4" w:space="0" w:color="auto"/>
            </w:tcBorders>
            <w:shd w:val="clear" w:color="auto" w:fill="auto"/>
            <w:hideMark/>
          </w:tcPr>
          <w:p w14:paraId="139A13B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20 363</w:t>
            </w:r>
          </w:p>
        </w:tc>
        <w:tc>
          <w:tcPr>
            <w:tcW w:w="947" w:type="dxa"/>
            <w:tcBorders>
              <w:top w:val="single" w:sz="8" w:space="0" w:color="auto"/>
              <w:left w:val="nil"/>
              <w:bottom w:val="single" w:sz="4" w:space="0" w:color="auto"/>
              <w:right w:val="single" w:sz="4" w:space="0" w:color="auto"/>
            </w:tcBorders>
            <w:shd w:val="clear" w:color="auto" w:fill="auto"/>
            <w:hideMark/>
          </w:tcPr>
          <w:p w14:paraId="18F2048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16 286</w:t>
            </w:r>
          </w:p>
        </w:tc>
        <w:tc>
          <w:tcPr>
            <w:tcW w:w="947" w:type="dxa"/>
            <w:tcBorders>
              <w:top w:val="single" w:sz="8" w:space="0" w:color="auto"/>
              <w:left w:val="nil"/>
              <w:bottom w:val="single" w:sz="4" w:space="0" w:color="auto"/>
              <w:right w:val="single" w:sz="4" w:space="0" w:color="auto"/>
            </w:tcBorders>
            <w:shd w:val="clear" w:color="auto" w:fill="auto"/>
            <w:hideMark/>
          </w:tcPr>
          <w:p w14:paraId="17A494B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16 131</w:t>
            </w:r>
          </w:p>
        </w:tc>
        <w:tc>
          <w:tcPr>
            <w:tcW w:w="946" w:type="dxa"/>
            <w:tcBorders>
              <w:top w:val="single" w:sz="8" w:space="0" w:color="auto"/>
              <w:left w:val="nil"/>
              <w:bottom w:val="single" w:sz="4" w:space="0" w:color="auto"/>
              <w:right w:val="single" w:sz="4" w:space="0" w:color="auto"/>
            </w:tcBorders>
            <w:shd w:val="clear" w:color="auto" w:fill="auto"/>
            <w:hideMark/>
          </w:tcPr>
          <w:p w14:paraId="1FEA435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11 020</w:t>
            </w:r>
          </w:p>
        </w:tc>
        <w:tc>
          <w:tcPr>
            <w:tcW w:w="1189" w:type="dxa"/>
            <w:tcBorders>
              <w:top w:val="single" w:sz="8" w:space="0" w:color="auto"/>
              <w:left w:val="nil"/>
              <w:bottom w:val="single" w:sz="4" w:space="0" w:color="auto"/>
              <w:right w:val="single" w:sz="8" w:space="0" w:color="auto"/>
            </w:tcBorders>
            <w:shd w:val="clear" w:color="auto" w:fill="auto"/>
            <w:hideMark/>
          </w:tcPr>
          <w:p w14:paraId="79263B0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14 439</w:t>
            </w:r>
          </w:p>
        </w:tc>
      </w:tr>
      <w:tr w:rsidR="005B6AF9" w:rsidRPr="004135FE" w14:paraId="7EB1FF97" w14:textId="77777777" w:rsidTr="00680E37">
        <w:trPr>
          <w:trHeight w:val="226"/>
        </w:trPr>
        <w:tc>
          <w:tcPr>
            <w:tcW w:w="554" w:type="dxa"/>
            <w:vMerge/>
            <w:tcBorders>
              <w:top w:val="single" w:sz="8" w:space="0" w:color="auto"/>
              <w:left w:val="single" w:sz="8" w:space="0" w:color="auto"/>
              <w:bottom w:val="single" w:sz="8" w:space="0" w:color="000000"/>
              <w:right w:val="single" w:sz="4" w:space="0" w:color="auto"/>
            </w:tcBorders>
            <w:vAlign w:val="center"/>
            <w:hideMark/>
          </w:tcPr>
          <w:p w14:paraId="753FE9A7"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2FF3B13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tcBorders>
              <w:top w:val="nil"/>
              <w:left w:val="single" w:sz="4" w:space="0" w:color="auto"/>
              <w:bottom w:val="single" w:sz="4" w:space="0" w:color="auto"/>
              <w:right w:val="single" w:sz="4" w:space="0" w:color="auto"/>
            </w:tcBorders>
            <w:shd w:val="clear" w:color="auto" w:fill="auto"/>
            <w:hideMark/>
          </w:tcPr>
          <w:p w14:paraId="32E172A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777" w:type="dxa"/>
            <w:tcBorders>
              <w:top w:val="nil"/>
              <w:left w:val="nil"/>
              <w:bottom w:val="single" w:sz="4" w:space="0" w:color="auto"/>
              <w:right w:val="single" w:sz="4" w:space="0" w:color="auto"/>
            </w:tcBorders>
            <w:shd w:val="clear" w:color="auto" w:fill="auto"/>
            <w:hideMark/>
          </w:tcPr>
          <w:p w14:paraId="0DF83FF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866</w:t>
            </w:r>
          </w:p>
        </w:tc>
        <w:tc>
          <w:tcPr>
            <w:tcW w:w="893" w:type="dxa"/>
            <w:tcBorders>
              <w:top w:val="nil"/>
              <w:left w:val="nil"/>
              <w:bottom w:val="single" w:sz="4" w:space="0" w:color="auto"/>
              <w:right w:val="single" w:sz="4" w:space="0" w:color="auto"/>
            </w:tcBorders>
            <w:shd w:val="clear" w:color="auto" w:fill="auto"/>
            <w:hideMark/>
          </w:tcPr>
          <w:p w14:paraId="07B9E12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7 773</w:t>
            </w:r>
          </w:p>
        </w:tc>
        <w:tc>
          <w:tcPr>
            <w:tcW w:w="889" w:type="dxa"/>
            <w:tcBorders>
              <w:top w:val="nil"/>
              <w:left w:val="nil"/>
              <w:bottom w:val="single" w:sz="4" w:space="0" w:color="auto"/>
              <w:right w:val="single" w:sz="4" w:space="0" w:color="auto"/>
            </w:tcBorders>
            <w:shd w:val="clear" w:color="auto" w:fill="auto"/>
            <w:hideMark/>
          </w:tcPr>
          <w:p w14:paraId="00FEB45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3 643</w:t>
            </w:r>
          </w:p>
        </w:tc>
        <w:tc>
          <w:tcPr>
            <w:tcW w:w="946" w:type="dxa"/>
            <w:tcBorders>
              <w:top w:val="nil"/>
              <w:left w:val="nil"/>
              <w:bottom w:val="single" w:sz="4" w:space="0" w:color="auto"/>
              <w:right w:val="single" w:sz="4" w:space="0" w:color="auto"/>
            </w:tcBorders>
            <w:shd w:val="clear" w:color="auto" w:fill="auto"/>
            <w:hideMark/>
          </w:tcPr>
          <w:p w14:paraId="465A138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2 094</w:t>
            </w:r>
          </w:p>
        </w:tc>
        <w:tc>
          <w:tcPr>
            <w:tcW w:w="947" w:type="dxa"/>
            <w:tcBorders>
              <w:top w:val="nil"/>
              <w:left w:val="nil"/>
              <w:bottom w:val="single" w:sz="4" w:space="0" w:color="auto"/>
              <w:right w:val="single" w:sz="4" w:space="0" w:color="auto"/>
            </w:tcBorders>
            <w:shd w:val="clear" w:color="auto" w:fill="auto"/>
            <w:hideMark/>
          </w:tcPr>
          <w:p w14:paraId="08ACD1C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2 156</w:t>
            </w:r>
          </w:p>
        </w:tc>
        <w:tc>
          <w:tcPr>
            <w:tcW w:w="947" w:type="dxa"/>
            <w:tcBorders>
              <w:top w:val="nil"/>
              <w:left w:val="nil"/>
              <w:bottom w:val="single" w:sz="4" w:space="0" w:color="auto"/>
              <w:right w:val="single" w:sz="4" w:space="0" w:color="auto"/>
            </w:tcBorders>
            <w:shd w:val="clear" w:color="auto" w:fill="auto"/>
            <w:hideMark/>
          </w:tcPr>
          <w:p w14:paraId="68F9990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1 395</w:t>
            </w:r>
          </w:p>
        </w:tc>
        <w:tc>
          <w:tcPr>
            <w:tcW w:w="947" w:type="dxa"/>
            <w:tcBorders>
              <w:top w:val="nil"/>
              <w:left w:val="nil"/>
              <w:bottom w:val="single" w:sz="4" w:space="0" w:color="auto"/>
              <w:right w:val="single" w:sz="4" w:space="0" w:color="auto"/>
            </w:tcBorders>
            <w:shd w:val="clear" w:color="auto" w:fill="auto"/>
            <w:hideMark/>
          </w:tcPr>
          <w:p w14:paraId="4A6FE56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12 637</w:t>
            </w:r>
          </w:p>
        </w:tc>
        <w:tc>
          <w:tcPr>
            <w:tcW w:w="947" w:type="dxa"/>
            <w:tcBorders>
              <w:top w:val="nil"/>
              <w:left w:val="nil"/>
              <w:bottom w:val="single" w:sz="4" w:space="0" w:color="auto"/>
              <w:right w:val="single" w:sz="4" w:space="0" w:color="auto"/>
            </w:tcBorders>
            <w:shd w:val="clear" w:color="auto" w:fill="auto"/>
            <w:hideMark/>
          </w:tcPr>
          <w:p w14:paraId="41BF732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11 869</w:t>
            </w:r>
          </w:p>
        </w:tc>
        <w:tc>
          <w:tcPr>
            <w:tcW w:w="947" w:type="dxa"/>
            <w:tcBorders>
              <w:top w:val="nil"/>
              <w:left w:val="nil"/>
              <w:bottom w:val="single" w:sz="4" w:space="0" w:color="auto"/>
              <w:right w:val="single" w:sz="4" w:space="0" w:color="auto"/>
            </w:tcBorders>
            <w:shd w:val="clear" w:color="auto" w:fill="auto"/>
            <w:hideMark/>
          </w:tcPr>
          <w:p w14:paraId="68B2ADB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7 524</w:t>
            </w:r>
          </w:p>
        </w:tc>
        <w:tc>
          <w:tcPr>
            <w:tcW w:w="947" w:type="dxa"/>
            <w:tcBorders>
              <w:top w:val="nil"/>
              <w:left w:val="nil"/>
              <w:bottom w:val="single" w:sz="4" w:space="0" w:color="auto"/>
              <w:right w:val="single" w:sz="4" w:space="0" w:color="auto"/>
            </w:tcBorders>
            <w:shd w:val="clear" w:color="auto" w:fill="auto"/>
            <w:hideMark/>
          </w:tcPr>
          <w:p w14:paraId="29BEFE9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5 822</w:t>
            </w:r>
          </w:p>
        </w:tc>
        <w:tc>
          <w:tcPr>
            <w:tcW w:w="946" w:type="dxa"/>
            <w:tcBorders>
              <w:top w:val="nil"/>
              <w:left w:val="nil"/>
              <w:bottom w:val="single" w:sz="4" w:space="0" w:color="auto"/>
              <w:right w:val="single" w:sz="4" w:space="0" w:color="auto"/>
            </w:tcBorders>
            <w:shd w:val="clear" w:color="auto" w:fill="auto"/>
            <w:hideMark/>
          </w:tcPr>
          <w:p w14:paraId="1F3936F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2 467</w:t>
            </w:r>
          </w:p>
        </w:tc>
        <w:tc>
          <w:tcPr>
            <w:tcW w:w="1189" w:type="dxa"/>
            <w:tcBorders>
              <w:top w:val="nil"/>
              <w:left w:val="nil"/>
              <w:bottom w:val="single" w:sz="4" w:space="0" w:color="auto"/>
              <w:right w:val="single" w:sz="8" w:space="0" w:color="auto"/>
            </w:tcBorders>
            <w:shd w:val="clear" w:color="auto" w:fill="auto"/>
            <w:hideMark/>
          </w:tcPr>
          <w:p w14:paraId="70FEEC0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2 057</w:t>
            </w:r>
          </w:p>
        </w:tc>
      </w:tr>
      <w:tr w:rsidR="005B6AF9" w:rsidRPr="004135FE" w14:paraId="2F654B1E" w14:textId="77777777" w:rsidTr="00680E37">
        <w:trPr>
          <w:trHeight w:val="226"/>
        </w:trPr>
        <w:tc>
          <w:tcPr>
            <w:tcW w:w="554" w:type="dxa"/>
            <w:vMerge/>
            <w:tcBorders>
              <w:top w:val="single" w:sz="8" w:space="0" w:color="auto"/>
              <w:left w:val="single" w:sz="8" w:space="0" w:color="auto"/>
              <w:bottom w:val="single" w:sz="8" w:space="0" w:color="000000"/>
              <w:right w:val="single" w:sz="4" w:space="0" w:color="auto"/>
            </w:tcBorders>
            <w:vAlign w:val="center"/>
            <w:hideMark/>
          </w:tcPr>
          <w:p w14:paraId="0DA73A78"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637AD5B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tcBorders>
              <w:top w:val="nil"/>
              <w:left w:val="single" w:sz="4" w:space="0" w:color="auto"/>
              <w:bottom w:val="single" w:sz="4" w:space="0" w:color="auto"/>
              <w:right w:val="single" w:sz="4" w:space="0" w:color="auto"/>
            </w:tcBorders>
            <w:shd w:val="clear" w:color="auto" w:fill="auto"/>
            <w:hideMark/>
          </w:tcPr>
          <w:p w14:paraId="7A66FD8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777" w:type="dxa"/>
            <w:tcBorders>
              <w:top w:val="nil"/>
              <w:left w:val="nil"/>
              <w:bottom w:val="single" w:sz="4" w:space="0" w:color="auto"/>
              <w:right w:val="single" w:sz="4" w:space="0" w:color="auto"/>
            </w:tcBorders>
            <w:shd w:val="clear" w:color="auto" w:fill="auto"/>
            <w:hideMark/>
          </w:tcPr>
          <w:p w14:paraId="5C1897D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1 539</w:t>
            </w:r>
          </w:p>
        </w:tc>
        <w:tc>
          <w:tcPr>
            <w:tcW w:w="893" w:type="dxa"/>
            <w:tcBorders>
              <w:top w:val="nil"/>
              <w:left w:val="nil"/>
              <w:bottom w:val="single" w:sz="4" w:space="0" w:color="auto"/>
              <w:right w:val="single" w:sz="4" w:space="0" w:color="auto"/>
            </w:tcBorders>
            <w:shd w:val="clear" w:color="auto" w:fill="auto"/>
            <w:hideMark/>
          </w:tcPr>
          <w:p w14:paraId="368588F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11 930</w:t>
            </w:r>
          </w:p>
        </w:tc>
        <w:tc>
          <w:tcPr>
            <w:tcW w:w="889" w:type="dxa"/>
            <w:tcBorders>
              <w:top w:val="nil"/>
              <w:left w:val="nil"/>
              <w:bottom w:val="single" w:sz="4" w:space="0" w:color="auto"/>
              <w:right w:val="single" w:sz="4" w:space="0" w:color="auto"/>
            </w:tcBorders>
            <w:shd w:val="clear" w:color="auto" w:fill="auto"/>
            <w:hideMark/>
          </w:tcPr>
          <w:p w14:paraId="3BE53E1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9 084</w:t>
            </w:r>
          </w:p>
        </w:tc>
        <w:tc>
          <w:tcPr>
            <w:tcW w:w="946" w:type="dxa"/>
            <w:tcBorders>
              <w:top w:val="nil"/>
              <w:left w:val="nil"/>
              <w:bottom w:val="single" w:sz="4" w:space="0" w:color="auto"/>
              <w:right w:val="single" w:sz="4" w:space="0" w:color="auto"/>
            </w:tcBorders>
            <w:shd w:val="clear" w:color="auto" w:fill="auto"/>
            <w:hideMark/>
          </w:tcPr>
          <w:p w14:paraId="648C76B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6 718</w:t>
            </w:r>
          </w:p>
        </w:tc>
        <w:tc>
          <w:tcPr>
            <w:tcW w:w="947" w:type="dxa"/>
            <w:tcBorders>
              <w:top w:val="nil"/>
              <w:left w:val="nil"/>
              <w:bottom w:val="single" w:sz="4" w:space="0" w:color="auto"/>
              <w:right w:val="single" w:sz="4" w:space="0" w:color="auto"/>
            </w:tcBorders>
            <w:shd w:val="clear" w:color="auto" w:fill="auto"/>
            <w:hideMark/>
          </w:tcPr>
          <w:p w14:paraId="7BB3FDD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3 895</w:t>
            </w:r>
          </w:p>
        </w:tc>
        <w:tc>
          <w:tcPr>
            <w:tcW w:w="947" w:type="dxa"/>
            <w:tcBorders>
              <w:top w:val="nil"/>
              <w:left w:val="nil"/>
              <w:bottom w:val="single" w:sz="4" w:space="0" w:color="auto"/>
              <w:right w:val="single" w:sz="4" w:space="0" w:color="auto"/>
            </w:tcBorders>
            <w:shd w:val="clear" w:color="auto" w:fill="auto"/>
            <w:hideMark/>
          </w:tcPr>
          <w:p w14:paraId="431DD80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2 374</w:t>
            </w:r>
          </w:p>
        </w:tc>
        <w:tc>
          <w:tcPr>
            <w:tcW w:w="947" w:type="dxa"/>
            <w:tcBorders>
              <w:top w:val="nil"/>
              <w:left w:val="nil"/>
              <w:bottom w:val="single" w:sz="4" w:space="0" w:color="auto"/>
              <w:right w:val="single" w:sz="4" w:space="0" w:color="auto"/>
            </w:tcBorders>
            <w:shd w:val="clear" w:color="auto" w:fill="auto"/>
            <w:hideMark/>
          </w:tcPr>
          <w:p w14:paraId="6AF563E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24 099</w:t>
            </w:r>
          </w:p>
        </w:tc>
        <w:tc>
          <w:tcPr>
            <w:tcW w:w="947" w:type="dxa"/>
            <w:tcBorders>
              <w:top w:val="nil"/>
              <w:left w:val="nil"/>
              <w:bottom w:val="single" w:sz="4" w:space="0" w:color="auto"/>
              <w:right w:val="single" w:sz="4" w:space="0" w:color="auto"/>
            </w:tcBorders>
            <w:shd w:val="clear" w:color="auto" w:fill="auto"/>
            <w:hideMark/>
          </w:tcPr>
          <w:p w14:paraId="63075DB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23 958</w:t>
            </w:r>
          </w:p>
        </w:tc>
        <w:tc>
          <w:tcPr>
            <w:tcW w:w="947" w:type="dxa"/>
            <w:tcBorders>
              <w:top w:val="nil"/>
              <w:left w:val="nil"/>
              <w:bottom w:val="single" w:sz="4" w:space="0" w:color="auto"/>
              <w:right w:val="single" w:sz="4" w:space="0" w:color="auto"/>
            </w:tcBorders>
            <w:shd w:val="clear" w:color="auto" w:fill="auto"/>
            <w:hideMark/>
          </w:tcPr>
          <w:p w14:paraId="2CA29DB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19 257</w:t>
            </w:r>
          </w:p>
        </w:tc>
        <w:tc>
          <w:tcPr>
            <w:tcW w:w="947" w:type="dxa"/>
            <w:tcBorders>
              <w:top w:val="nil"/>
              <w:left w:val="nil"/>
              <w:bottom w:val="single" w:sz="4" w:space="0" w:color="auto"/>
              <w:right w:val="single" w:sz="4" w:space="0" w:color="auto"/>
            </w:tcBorders>
            <w:shd w:val="clear" w:color="auto" w:fill="auto"/>
            <w:hideMark/>
          </w:tcPr>
          <w:p w14:paraId="7589D28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17 700</w:t>
            </w:r>
          </w:p>
        </w:tc>
        <w:tc>
          <w:tcPr>
            <w:tcW w:w="946" w:type="dxa"/>
            <w:tcBorders>
              <w:top w:val="nil"/>
              <w:left w:val="nil"/>
              <w:bottom w:val="single" w:sz="4" w:space="0" w:color="auto"/>
              <w:right w:val="single" w:sz="4" w:space="0" w:color="auto"/>
            </w:tcBorders>
            <w:shd w:val="clear" w:color="auto" w:fill="auto"/>
            <w:hideMark/>
          </w:tcPr>
          <w:p w14:paraId="435E0C0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10 685</w:t>
            </w:r>
          </w:p>
        </w:tc>
        <w:tc>
          <w:tcPr>
            <w:tcW w:w="1189" w:type="dxa"/>
            <w:tcBorders>
              <w:top w:val="nil"/>
              <w:left w:val="nil"/>
              <w:bottom w:val="single" w:sz="4" w:space="0" w:color="auto"/>
              <w:right w:val="single" w:sz="8" w:space="0" w:color="auto"/>
            </w:tcBorders>
            <w:shd w:val="clear" w:color="auto" w:fill="auto"/>
            <w:hideMark/>
          </w:tcPr>
          <w:p w14:paraId="09FFA4E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12 336</w:t>
            </w:r>
          </w:p>
        </w:tc>
      </w:tr>
      <w:tr w:rsidR="005B6AF9" w:rsidRPr="004135FE" w14:paraId="0965D64C" w14:textId="77777777" w:rsidTr="00680E37">
        <w:trPr>
          <w:trHeight w:val="226"/>
        </w:trPr>
        <w:tc>
          <w:tcPr>
            <w:tcW w:w="554" w:type="dxa"/>
            <w:vMerge/>
            <w:tcBorders>
              <w:top w:val="single" w:sz="8" w:space="0" w:color="auto"/>
              <w:left w:val="single" w:sz="8" w:space="0" w:color="auto"/>
              <w:bottom w:val="single" w:sz="8" w:space="0" w:color="000000"/>
              <w:right w:val="single" w:sz="4" w:space="0" w:color="auto"/>
            </w:tcBorders>
            <w:vAlign w:val="center"/>
            <w:hideMark/>
          </w:tcPr>
          <w:p w14:paraId="5BFF8FA5"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76368D4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tcBorders>
              <w:top w:val="nil"/>
              <w:left w:val="single" w:sz="4" w:space="0" w:color="auto"/>
              <w:bottom w:val="single" w:sz="4" w:space="0" w:color="auto"/>
              <w:right w:val="single" w:sz="4" w:space="0" w:color="auto"/>
            </w:tcBorders>
            <w:shd w:val="clear" w:color="auto" w:fill="auto"/>
            <w:hideMark/>
          </w:tcPr>
          <w:p w14:paraId="25D78D1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777" w:type="dxa"/>
            <w:tcBorders>
              <w:top w:val="nil"/>
              <w:left w:val="nil"/>
              <w:bottom w:val="single" w:sz="4" w:space="0" w:color="auto"/>
              <w:right w:val="single" w:sz="4" w:space="0" w:color="auto"/>
            </w:tcBorders>
            <w:shd w:val="clear" w:color="auto" w:fill="auto"/>
            <w:hideMark/>
          </w:tcPr>
          <w:p w14:paraId="594C047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1 376</w:t>
            </w:r>
          </w:p>
        </w:tc>
        <w:tc>
          <w:tcPr>
            <w:tcW w:w="893" w:type="dxa"/>
            <w:tcBorders>
              <w:top w:val="nil"/>
              <w:left w:val="nil"/>
              <w:bottom w:val="single" w:sz="4" w:space="0" w:color="auto"/>
              <w:right w:val="single" w:sz="4" w:space="0" w:color="auto"/>
            </w:tcBorders>
            <w:shd w:val="clear" w:color="auto" w:fill="auto"/>
            <w:hideMark/>
          </w:tcPr>
          <w:p w14:paraId="54543F0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7 866</w:t>
            </w:r>
          </w:p>
        </w:tc>
        <w:tc>
          <w:tcPr>
            <w:tcW w:w="889" w:type="dxa"/>
            <w:tcBorders>
              <w:top w:val="nil"/>
              <w:left w:val="nil"/>
              <w:bottom w:val="single" w:sz="4" w:space="0" w:color="auto"/>
              <w:right w:val="single" w:sz="4" w:space="0" w:color="auto"/>
            </w:tcBorders>
            <w:shd w:val="clear" w:color="auto" w:fill="auto"/>
            <w:hideMark/>
          </w:tcPr>
          <w:p w14:paraId="3F026AF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7 476</w:t>
            </w:r>
          </w:p>
        </w:tc>
        <w:tc>
          <w:tcPr>
            <w:tcW w:w="946" w:type="dxa"/>
            <w:tcBorders>
              <w:top w:val="nil"/>
              <w:left w:val="nil"/>
              <w:bottom w:val="single" w:sz="4" w:space="0" w:color="auto"/>
              <w:right w:val="single" w:sz="4" w:space="0" w:color="auto"/>
            </w:tcBorders>
            <w:shd w:val="clear" w:color="auto" w:fill="auto"/>
            <w:hideMark/>
          </w:tcPr>
          <w:p w14:paraId="5ACEA93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6 126</w:t>
            </w:r>
          </w:p>
        </w:tc>
        <w:tc>
          <w:tcPr>
            <w:tcW w:w="947" w:type="dxa"/>
            <w:tcBorders>
              <w:top w:val="nil"/>
              <w:left w:val="nil"/>
              <w:bottom w:val="single" w:sz="4" w:space="0" w:color="auto"/>
              <w:right w:val="single" w:sz="4" w:space="0" w:color="auto"/>
            </w:tcBorders>
            <w:shd w:val="clear" w:color="auto" w:fill="auto"/>
            <w:hideMark/>
          </w:tcPr>
          <w:p w14:paraId="453ED69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5 516</w:t>
            </w:r>
          </w:p>
        </w:tc>
        <w:tc>
          <w:tcPr>
            <w:tcW w:w="947" w:type="dxa"/>
            <w:tcBorders>
              <w:top w:val="nil"/>
              <w:left w:val="nil"/>
              <w:bottom w:val="single" w:sz="4" w:space="0" w:color="auto"/>
              <w:right w:val="single" w:sz="4" w:space="0" w:color="auto"/>
            </w:tcBorders>
            <w:shd w:val="clear" w:color="auto" w:fill="auto"/>
            <w:hideMark/>
          </w:tcPr>
          <w:p w14:paraId="16BAFB0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18 372</w:t>
            </w:r>
          </w:p>
        </w:tc>
        <w:tc>
          <w:tcPr>
            <w:tcW w:w="947" w:type="dxa"/>
            <w:tcBorders>
              <w:top w:val="nil"/>
              <w:left w:val="nil"/>
              <w:bottom w:val="single" w:sz="4" w:space="0" w:color="auto"/>
              <w:right w:val="single" w:sz="4" w:space="0" w:color="auto"/>
            </w:tcBorders>
            <w:shd w:val="clear" w:color="auto" w:fill="auto"/>
            <w:hideMark/>
          </w:tcPr>
          <w:p w14:paraId="1E3D20C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46 817</w:t>
            </w:r>
          </w:p>
        </w:tc>
        <w:tc>
          <w:tcPr>
            <w:tcW w:w="947" w:type="dxa"/>
            <w:tcBorders>
              <w:top w:val="nil"/>
              <w:left w:val="nil"/>
              <w:bottom w:val="single" w:sz="4" w:space="0" w:color="auto"/>
              <w:right w:val="single" w:sz="4" w:space="0" w:color="auto"/>
            </w:tcBorders>
            <w:shd w:val="clear" w:color="auto" w:fill="auto"/>
            <w:hideMark/>
          </w:tcPr>
          <w:p w14:paraId="2A1F0E9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22 032</w:t>
            </w:r>
          </w:p>
        </w:tc>
        <w:tc>
          <w:tcPr>
            <w:tcW w:w="947" w:type="dxa"/>
            <w:tcBorders>
              <w:top w:val="nil"/>
              <w:left w:val="nil"/>
              <w:bottom w:val="single" w:sz="4" w:space="0" w:color="auto"/>
              <w:right w:val="single" w:sz="4" w:space="0" w:color="auto"/>
            </w:tcBorders>
            <w:shd w:val="clear" w:color="auto" w:fill="auto"/>
            <w:hideMark/>
          </w:tcPr>
          <w:p w14:paraId="0480903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17 931</w:t>
            </w:r>
          </w:p>
        </w:tc>
        <w:tc>
          <w:tcPr>
            <w:tcW w:w="947" w:type="dxa"/>
            <w:tcBorders>
              <w:top w:val="nil"/>
              <w:left w:val="nil"/>
              <w:bottom w:val="single" w:sz="4" w:space="0" w:color="auto"/>
              <w:right w:val="single" w:sz="4" w:space="0" w:color="auto"/>
            </w:tcBorders>
            <w:shd w:val="clear" w:color="auto" w:fill="auto"/>
            <w:hideMark/>
          </w:tcPr>
          <w:p w14:paraId="5328D55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17 245</w:t>
            </w:r>
          </w:p>
        </w:tc>
        <w:tc>
          <w:tcPr>
            <w:tcW w:w="946" w:type="dxa"/>
            <w:tcBorders>
              <w:top w:val="nil"/>
              <w:left w:val="nil"/>
              <w:bottom w:val="single" w:sz="4" w:space="0" w:color="auto"/>
              <w:right w:val="single" w:sz="4" w:space="0" w:color="auto"/>
            </w:tcBorders>
            <w:shd w:val="clear" w:color="auto" w:fill="auto"/>
            <w:hideMark/>
          </w:tcPr>
          <w:p w14:paraId="608D11C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11 573</w:t>
            </w:r>
          </w:p>
        </w:tc>
        <w:tc>
          <w:tcPr>
            <w:tcW w:w="1189" w:type="dxa"/>
            <w:tcBorders>
              <w:top w:val="nil"/>
              <w:left w:val="nil"/>
              <w:bottom w:val="single" w:sz="4" w:space="0" w:color="auto"/>
              <w:right w:val="single" w:sz="8" w:space="0" w:color="auto"/>
            </w:tcBorders>
            <w:shd w:val="clear" w:color="auto" w:fill="auto"/>
            <w:hideMark/>
          </w:tcPr>
          <w:p w14:paraId="1EF0728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13 194</w:t>
            </w:r>
          </w:p>
        </w:tc>
      </w:tr>
      <w:tr w:rsidR="005B6AF9" w:rsidRPr="004135FE" w14:paraId="2B22C858" w14:textId="77777777" w:rsidTr="00680E37">
        <w:trPr>
          <w:trHeight w:val="226"/>
        </w:trPr>
        <w:tc>
          <w:tcPr>
            <w:tcW w:w="554" w:type="dxa"/>
            <w:vMerge/>
            <w:tcBorders>
              <w:top w:val="single" w:sz="8" w:space="0" w:color="auto"/>
              <w:left w:val="single" w:sz="8" w:space="0" w:color="auto"/>
              <w:bottom w:val="single" w:sz="8" w:space="0" w:color="000000"/>
              <w:right w:val="single" w:sz="4" w:space="0" w:color="auto"/>
            </w:tcBorders>
            <w:vAlign w:val="center"/>
            <w:hideMark/>
          </w:tcPr>
          <w:p w14:paraId="22DAD8C2"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40BA585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tcBorders>
              <w:top w:val="nil"/>
              <w:left w:val="single" w:sz="4" w:space="0" w:color="auto"/>
              <w:bottom w:val="single" w:sz="4" w:space="0" w:color="auto"/>
              <w:right w:val="single" w:sz="4" w:space="0" w:color="auto"/>
            </w:tcBorders>
            <w:shd w:val="clear" w:color="auto" w:fill="auto"/>
            <w:hideMark/>
          </w:tcPr>
          <w:p w14:paraId="47DB5DC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777" w:type="dxa"/>
            <w:tcBorders>
              <w:top w:val="nil"/>
              <w:left w:val="nil"/>
              <w:bottom w:val="single" w:sz="4" w:space="0" w:color="auto"/>
              <w:right w:val="single" w:sz="4" w:space="0" w:color="auto"/>
            </w:tcBorders>
            <w:shd w:val="clear" w:color="auto" w:fill="auto"/>
            <w:hideMark/>
          </w:tcPr>
          <w:p w14:paraId="45A9EEF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651</w:t>
            </w:r>
          </w:p>
        </w:tc>
        <w:tc>
          <w:tcPr>
            <w:tcW w:w="893" w:type="dxa"/>
            <w:tcBorders>
              <w:top w:val="nil"/>
              <w:left w:val="nil"/>
              <w:bottom w:val="single" w:sz="4" w:space="0" w:color="auto"/>
              <w:right w:val="single" w:sz="4" w:space="0" w:color="auto"/>
            </w:tcBorders>
            <w:shd w:val="clear" w:color="auto" w:fill="auto"/>
            <w:hideMark/>
          </w:tcPr>
          <w:p w14:paraId="234158B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4 704</w:t>
            </w:r>
          </w:p>
        </w:tc>
        <w:tc>
          <w:tcPr>
            <w:tcW w:w="889" w:type="dxa"/>
            <w:tcBorders>
              <w:top w:val="nil"/>
              <w:left w:val="nil"/>
              <w:bottom w:val="single" w:sz="4" w:space="0" w:color="auto"/>
              <w:right w:val="single" w:sz="4" w:space="0" w:color="auto"/>
            </w:tcBorders>
            <w:shd w:val="clear" w:color="auto" w:fill="auto"/>
            <w:hideMark/>
          </w:tcPr>
          <w:p w14:paraId="1CF630C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3 851</w:t>
            </w:r>
          </w:p>
        </w:tc>
        <w:tc>
          <w:tcPr>
            <w:tcW w:w="946" w:type="dxa"/>
            <w:tcBorders>
              <w:top w:val="nil"/>
              <w:left w:val="nil"/>
              <w:bottom w:val="single" w:sz="4" w:space="0" w:color="auto"/>
              <w:right w:val="single" w:sz="4" w:space="0" w:color="auto"/>
            </w:tcBorders>
            <w:shd w:val="clear" w:color="auto" w:fill="auto"/>
            <w:hideMark/>
          </w:tcPr>
          <w:p w14:paraId="2BBA7EF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2 701</w:t>
            </w:r>
          </w:p>
        </w:tc>
        <w:tc>
          <w:tcPr>
            <w:tcW w:w="947" w:type="dxa"/>
            <w:tcBorders>
              <w:top w:val="nil"/>
              <w:left w:val="nil"/>
              <w:bottom w:val="single" w:sz="4" w:space="0" w:color="auto"/>
              <w:right w:val="single" w:sz="4" w:space="0" w:color="auto"/>
            </w:tcBorders>
            <w:shd w:val="clear" w:color="auto" w:fill="auto"/>
            <w:hideMark/>
          </w:tcPr>
          <w:p w14:paraId="2CA58B7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1 705</w:t>
            </w:r>
          </w:p>
        </w:tc>
        <w:tc>
          <w:tcPr>
            <w:tcW w:w="947" w:type="dxa"/>
            <w:tcBorders>
              <w:top w:val="nil"/>
              <w:left w:val="nil"/>
              <w:bottom w:val="single" w:sz="4" w:space="0" w:color="auto"/>
              <w:right w:val="single" w:sz="4" w:space="0" w:color="auto"/>
            </w:tcBorders>
            <w:shd w:val="clear" w:color="auto" w:fill="auto"/>
            <w:hideMark/>
          </w:tcPr>
          <w:p w14:paraId="65E3535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1 498</w:t>
            </w:r>
          </w:p>
        </w:tc>
        <w:tc>
          <w:tcPr>
            <w:tcW w:w="947" w:type="dxa"/>
            <w:tcBorders>
              <w:top w:val="nil"/>
              <w:left w:val="nil"/>
              <w:bottom w:val="single" w:sz="4" w:space="0" w:color="auto"/>
              <w:right w:val="single" w:sz="4" w:space="0" w:color="auto"/>
            </w:tcBorders>
            <w:shd w:val="clear" w:color="auto" w:fill="auto"/>
            <w:hideMark/>
          </w:tcPr>
          <w:p w14:paraId="5D0193B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16 627</w:t>
            </w:r>
          </w:p>
        </w:tc>
        <w:tc>
          <w:tcPr>
            <w:tcW w:w="947" w:type="dxa"/>
            <w:tcBorders>
              <w:top w:val="nil"/>
              <w:left w:val="nil"/>
              <w:bottom w:val="single" w:sz="4" w:space="0" w:color="auto"/>
              <w:right w:val="single" w:sz="4" w:space="0" w:color="auto"/>
            </w:tcBorders>
            <w:shd w:val="clear" w:color="auto" w:fill="auto"/>
            <w:hideMark/>
          </w:tcPr>
          <w:p w14:paraId="208C9C2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17 001</w:t>
            </w:r>
          </w:p>
        </w:tc>
        <w:tc>
          <w:tcPr>
            <w:tcW w:w="947" w:type="dxa"/>
            <w:tcBorders>
              <w:top w:val="nil"/>
              <w:left w:val="nil"/>
              <w:bottom w:val="single" w:sz="4" w:space="0" w:color="auto"/>
              <w:right w:val="single" w:sz="4" w:space="0" w:color="auto"/>
            </w:tcBorders>
            <w:shd w:val="clear" w:color="auto" w:fill="auto"/>
            <w:hideMark/>
          </w:tcPr>
          <w:p w14:paraId="4D4FB21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13 002</w:t>
            </w:r>
          </w:p>
        </w:tc>
        <w:tc>
          <w:tcPr>
            <w:tcW w:w="947" w:type="dxa"/>
            <w:tcBorders>
              <w:top w:val="nil"/>
              <w:left w:val="nil"/>
              <w:bottom w:val="single" w:sz="4" w:space="0" w:color="auto"/>
              <w:right w:val="single" w:sz="4" w:space="0" w:color="auto"/>
            </w:tcBorders>
            <w:shd w:val="clear" w:color="auto" w:fill="auto"/>
            <w:hideMark/>
          </w:tcPr>
          <w:p w14:paraId="056F734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11 691</w:t>
            </w:r>
          </w:p>
        </w:tc>
        <w:tc>
          <w:tcPr>
            <w:tcW w:w="946" w:type="dxa"/>
            <w:tcBorders>
              <w:top w:val="nil"/>
              <w:left w:val="nil"/>
              <w:bottom w:val="single" w:sz="4" w:space="0" w:color="auto"/>
              <w:right w:val="single" w:sz="4" w:space="0" w:color="auto"/>
            </w:tcBorders>
            <w:shd w:val="clear" w:color="auto" w:fill="auto"/>
            <w:hideMark/>
          </w:tcPr>
          <w:p w14:paraId="1FA6EFC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6 852</w:t>
            </w:r>
          </w:p>
        </w:tc>
        <w:tc>
          <w:tcPr>
            <w:tcW w:w="1189" w:type="dxa"/>
            <w:tcBorders>
              <w:top w:val="nil"/>
              <w:left w:val="nil"/>
              <w:bottom w:val="single" w:sz="4" w:space="0" w:color="auto"/>
              <w:right w:val="single" w:sz="8" w:space="0" w:color="auto"/>
            </w:tcBorders>
            <w:shd w:val="clear" w:color="auto" w:fill="auto"/>
            <w:hideMark/>
          </w:tcPr>
          <w:p w14:paraId="6249252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8 159</w:t>
            </w:r>
          </w:p>
        </w:tc>
      </w:tr>
      <w:tr w:rsidR="005B6AF9" w:rsidRPr="004135FE" w14:paraId="39AB2C46" w14:textId="77777777" w:rsidTr="00680E37">
        <w:trPr>
          <w:trHeight w:val="226"/>
        </w:trPr>
        <w:tc>
          <w:tcPr>
            <w:tcW w:w="554" w:type="dxa"/>
            <w:vMerge/>
            <w:tcBorders>
              <w:top w:val="single" w:sz="8" w:space="0" w:color="auto"/>
              <w:left w:val="single" w:sz="8" w:space="0" w:color="auto"/>
              <w:bottom w:val="single" w:sz="8" w:space="0" w:color="000000"/>
              <w:right w:val="single" w:sz="4" w:space="0" w:color="auto"/>
            </w:tcBorders>
            <w:vAlign w:val="center"/>
            <w:hideMark/>
          </w:tcPr>
          <w:p w14:paraId="706CB1E1"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14F103B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tcBorders>
              <w:top w:val="nil"/>
              <w:left w:val="single" w:sz="4" w:space="0" w:color="auto"/>
              <w:bottom w:val="single" w:sz="4" w:space="0" w:color="auto"/>
              <w:right w:val="single" w:sz="4" w:space="0" w:color="auto"/>
            </w:tcBorders>
            <w:shd w:val="clear" w:color="auto" w:fill="auto"/>
            <w:hideMark/>
          </w:tcPr>
          <w:p w14:paraId="7D29655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777" w:type="dxa"/>
            <w:tcBorders>
              <w:top w:val="nil"/>
              <w:left w:val="nil"/>
              <w:bottom w:val="single" w:sz="4" w:space="0" w:color="auto"/>
              <w:right w:val="single" w:sz="4" w:space="0" w:color="auto"/>
            </w:tcBorders>
            <w:shd w:val="clear" w:color="auto" w:fill="auto"/>
            <w:hideMark/>
          </w:tcPr>
          <w:p w14:paraId="38229CB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1 228</w:t>
            </w:r>
          </w:p>
        </w:tc>
        <w:tc>
          <w:tcPr>
            <w:tcW w:w="893" w:type="dxa"/>
            <w:tcBorders>
              <w:top w:val="nil"/>
              <w:left w:val="nil"/>
              <w:bottom w:val="single" w:sz="4" w:space="0" w:color="auto"/>
              <w:right w:val="single" w:sz="4" w:space="0" w:color="auto"/>
            </w:tcBorders>
            <w:shd w:val="clear" w:color="auto" w:fill="auto"/>
            <w:hideMark/>
          </w:tcPr>
          <w:p w14:paraId="22E3031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9 167</w:t>
            </w:r>
          </w:p>
        </w:tc>
        <w:tc>
          <w:tcPr>
            <w:tcW w:w="889" w:type="dxa"/>
            <w:tcBorders>
              <w:top w:val="nil"/>
              <w:left w:val="nil"/>
              <w:bottom w:val="single" w:sz="4" w:space="0" w:color="auto"/>
              <w:right w:val="single" w:sz="4" w:space="0" w:color="auto"/>
            </w:tcBorders>
            <w:shd w:val="clear" w:color="auto" w:fill="auto"/>
            <w:hideMark/>
          </w:tcPr>
          <w:p w14:paraId="79FAE87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7 848</w:t>
            </w:r>
          </w:p>
        </w:tc>
        <w:tc>
          <w:tcPr>
            <w:tcW w:w="946" w:type="dxa"/>
            <w:tcBorders>
              <w:top w:val="nil"/>
              <w:left w:val="nil"/>
              <w:bottom w:val="single" w:sz="4" w:space="0" w:color="auto"/>
              <w:right w:val="single" w:sz="4" w:space="0" w:color="auto"/>
            </w:tcBorders>
            <w:shd w:val="clear" w:color="auto" w:fill="auto"/>
            <w:hideMark/>
          </w:tcPr>
          <w:p w14:paraId="29B600C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6 757</w:t>
            </w:r>
          </w:p>
        </w:tc>
        <w:tc>
          <w:tcPr>
            <w:tcW w:w="947" w:type="dxa"/>
            <w:tcBorders>
              <w:top w:val="nil"/>
              <w:left w:val="nil"/>
              <w:bottom w:val="single" w:sz="4" w:space="0" w:color="auto"/>
              <w:right w:val="single" w:sz="4" w:space="0" w:color="auto"/>
            </w:tcBorders>
            <w:shd w:val="clear" w:color="auto" w:fill="auto"/>
            <w:hideMark/>
          </w:tcPr>
          <w:p w14:paraId="464834B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2 874</w:t>
            </w:r>
          </w:p>
        </w:tc>
        <w:tc>
          <w:tcPr>
            <w:tcW w:w="947" w:type="dxa"/>
            <w:tcBorders>
              <w:top w:val="nil"/>
              <w:left w:val="nil"/>
              <w:bottom w:val="single" w:sz="4" w:space="0" w:color="auto"/>
              <w:right w:val="single" w:sz="4" w:space="0" w:color="auto"/>
            </w:tcBorders>
            <w:shd w:val="clear" w:color="auto" w:fill="auto"/>
            <w:hideMark/>
          </w:tcPr>
          <w:p w14:paraId="5B1A742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1 423</w:t>
            </w:r>
          </w:p>
        </w:tc>
        <w:tc>
          <w:tcPr>
            <w:tcW w:w="947" w:type="dxa"/>
            <w:tcBorders>
              <w:top w:val="nil"/>
              <w:left w:val="nil"/>
              <w:bottom w:val="single" w:sz="4" w:space="0" w:color="auto"/>
              <w:right w:val="single" w:sz="4" w:space="0" w:color="auto"/>
            </w:tcBorders>
            <w:shd w:val="clear" w:color="auto" w:fill="auto"/>
            <w:hideMark/>
          </w:tcPr>
          <w:p w14:paraId="20E777D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13 768</w:t>
            </w:r>
          </w:p>
        </w:tc>
        <w:tc>
          <w:tcPr>
            <w:tcW w:w="947" w:type="dxa"/>
            <w:tcBorders>
              <w:top w:val="nil"/>
              <w:left w:val="nil"/>
              <w:bottom w:val="single" w:sz="4" w:space="0" w:color="auto"/>
              <w:right w:val="single" w:sz="4" w:space="0" w:color="auto"/>
            </w:tcBorders>
            <w:shd w:val="clear" w:color="auto" w:fill="auto"/>
            <w:hideMark/>
          </w:tcPr>
          <w:p w14:paraId="6AEDC50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13 903</w:t>
            </w:r>
          </w:p>
        </w:tc>
        <w:tc>
          <w:tcPr>
            <w:tcW w:w="947" w:type="dxa"/>
            <w:tcBorders>
              <w:top w:val="nil"/>
              <w:left w:val="nil"/>
              <w:bottom w:val="single" w:sz="4" w:space="0" w:color="auto"/>
              <w:right w:val="single" w:sz="4" w:space="0" w:color="auto"/>
            </w:tcBorders>
            <w:shd w:val="clear" w:color="auto" w:fill="auto"/>
            <w:hideMark/>
          </w:tcPr>
          <w:p w14:paraId="3EAD824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11 651</w:t>
            </w:r>
          </w:p>
        </w:tc>
        <w:tc>
          <w:tcPr>
            <w:tcW w:w="947" w:type="dxa"/>
            <w:tcBorders>
              <w:top w:val="nil"/>
              <w:left w:val="nil"/>
              <w:bottom w:val="single" w:sz="4" w:space="0" w:color="auto"/>
              <w:right w:val="single" w:sz="4" w:space="0" w:color="auto"/>
            </w:tcBorders>
            <w:shd w:val="clear" w:color="auto" w:fill="auto"/>
            <w:hideMark/>
          </w:tcPr>
          <w:p w14:paraId="216BAFB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11 365</w:t>
            </w:r>
          </w:p>
        </w:tc>
        <w:tc>
          <w:tcPr>
            <w:tcW w:w="946" w:type="dxa"/>
            <w:tcBorders>
              <w:top w:val="nil"/>
              <w:left w:val="nil"/>
              <w:bottom w:val="single" w:sz="4" w:space="0" w:color="auto"/>
              <w:right w:val="single" w:sz="4" w:space="0" w:color="auto"/>
            </w:tcBorders>
            <w:shd w:val="clear" w:color="auto" w:fill="auto"/>
            <w:hideMark/>
          </w:tcPr>
          <w:p w14:paraId="3B3FE13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7 492</w:t>
            </w:r>
          </w:p>
        </w:tc>
        <w:tc>
          <w:tcPr>
            <w:tcW w:w="1189" w:type="dxa"/>
            <w:tcBorders>
              <w:top w:val="nil"/>
              <w:left w:val="nil"/>
              <w:bottom w:val="single" w:sz="4" w:space="0" w:color="auto"/>
              <w:right w:val="single" w:sz="8" w:space="0" w:color="auto"/>
            </w:tcBorders>
            <w:shd w:val="clear" w:color="auto" w:fill="auto"/>
            <w:hideMark/>
          </w:tcPr>
          <w:p w14:paraId="1CB07CA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7 785</w:t>
            </w:r>
          </w:p>
        </w:tc>
      </w:tr>
      <w:tr w:rsidR="005B6AF9" w:rsidRPr="004135FE" w14:paraId="61EE2761" w14:textId="77777777" w:rsidTr="00680E37">
        <w:trPr>
          <w:trHeight w:val="226"/>
        </w:trPr>
        <w:tc>
          <w:tcPr>
            <w:tcW w:w="554" w:type="dxa"/>
            <w:vMerge/>
            <w:tcBorders>
              <w:top w:val="single" w:sz="8" w:space="0" w:color="auto"/>
              <w:left w:val="single" w:sz="8" w:space="0" w:color="auto"/>
              <w:bottom w:val="single" w:sz="8" w:space="0" w:color="000000"/>
              <w:right w:val="single" w:sz="4" w:space="0" w:color="auto"/>
            </w:tcBorders>
            <w:vAlign w:val="center"/>
            <w:hideMark/>
          </w:tcPr>
          <w:p w14:paraId="76CE3AD7"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60B439E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tcBorders>
              <w:top w:val="nil"/>
              <w:left w:val="single" w:sz="4" w:space="0" w:color="auto"/>
              <w:bottom w:val="single" w:sz="4" w:space="0" w:color="auto"/>
              <w:right w:val="single" w:sz="4" w:space="0" w:color="auto"/>
            </w:tcBorders>
            <w:shd w:val="clear" w:color="auto" w:fill="auto"/>
            <w:hideMark/>
          </w:tcPr>
          <w:p w14:paraId="7D1E06B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777" w:type="dxa"/>
            <w:tcBorders>
              <w:top w:val="nil"/>
              <w:left w:val="nil"/>
              <w:bottom w:val="single" w:sz="4" w:space="0" w:color="auto"/>
              <w:right w:val="single" w:sz="4" w:space="0" w:color="auto"/>
            </w:tcBorders>
            <w:shd w:val="clear" w:color="auto" w:fill="auto"/>
            <w:hideMark/>
          </w:tcPr>
          <w:p w14:paraId="03F3A1D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893" w:type="dxa"/>
            <w:tcBorders>
              <w:top w:val="nil"/>
              <w:left w:val="nil"/>
              <w:bottom w:val="single" w:sz="4" w:space="0" w:color="auto"/>
              <w:right w:val="single" w:sz="4" w:space="0" w:color="auto"/>
            </w:tcBorders>
            <w:shd w:val="clear" w:color="auto" w:fill="auto"/>
            <w:hideMark/>
          </w:tcPr>
          <w:p w14:paraId="3494CAE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889" w:type="dxa"/>
            <w:tcBorders>
              <w:top w:val="nil"/>
              <w:left w:val="nil"/>
              <w:bottom w:val="single" w:sz="4" w:space="0" w:color="auto"/>
              <w:right w:val="single" w:sz="4" w:space="0" w:color="auto"/>
            </w:tcBorders>
            <w:shd w:val="clear" w:color="auto" w:fill="auto"/>
            <w:hideMark/>
          </w:tcPr>
          <w:p w14:paraId="4B38442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6" w:type="dxa"/>
            <w:tcBorders>
              <w:top w:val="nil"/>
              <w:left w:val="nil"/>
              <w:bottom w:val="single" w:sz="4" w:space="0" w:color="auto"/>
              <w:right w:val="single" w:sz="4" w:space="0" w:color="auto"/>
            </w:tcBorders>
            <w:shd w:val="clear" w:color="auto" w:fill="auto"/>
            <w:hideMark/>
          </w:tcPr>
          <w:p w14:paraId="489A5B6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7" w:type="dxa"/>
            <w:tcBorders>
              <w:top w:val="nil"/>
              <w:left w:val="nil"/>
              <w:bottom w:val="single" w:sz="4" w:space="0" w:color="auto"/>
              <w:right w:val="single" w:sz="4" w:space="0" w:color="auto"/>
            </w:tcBorders>
            <w:shd w:val="clear" w:color="auto" w:fill="auto"/>
            <w:hideMark/>
          </w:tcPr>
          <w:p w14:paraId="64B1B88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7" w:type="dxa"/>
            <w:tcBorders>
              <w:top w:val="nil"/>
              <w:left w:val="nil"/>
              <w:bottom w:val="single" w:sz="4" w:space="0" w:color="auto"/>
              <w:right w:val="single" w:sz="4" w:space="0" w:color="auto"/>
            </w:tcBorders>
            <w:shd w:val="clear" w:color="auto" w:fill="auto"/>
            <w:hideMark/>
          </w:tcPr>
          <w:p w14:paraId="1101677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7" w:type="dxa"/>
            <w:tcBorders>
              <w:top w:val="nil"/>
              <w:left w:val="nil"/>
              <w:bottom w:val="single" w:sz="4" w:space="0" w:color="auto"/>
              <w:right w:val="single" w:sz="4" w:space="0" w:color="auto"/>
            </w:tcBorders>
            <w:shd w:val="clear" w:color="auto" w:fill="auto"/>
            <w:hideMark/>
          </w:tcPr>
          <w:p w14:paraId="7DEB183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7" w:type="dxa"/>
            <w:tcBorders>
              <w:top w:val="nil"/>
              <w:left w:val="nil"/>
              <w:bottom w:val="single" w:sz="4" w:space="0" w:color="auto"/>
              <w:right w:val="single" w:sz="4" w:space="0" w:color="auto"/>
            </w:tcBorders>
            <w:shd w:val="clear" w:color="auto" w:fill="auto"/>
            <w:hideMark/>
          </w:tcPr>
          <w:p w14:paraId="3F0C197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7" w:type="dxa"/>
            <w:tcBorders>
              <w:top w:val="nil"/>
              <w:left w:val="nil"/>
              <w:bottom w:val="single" w:sz="4" w:space="0" w:color="auto"/>
              <w:right w:val="single" w:sz="4" w:space="0" w:color="auto"/>
            </w:tcBorders>
            <w:shd w:val="clear" w:color="auto" w:fill="auto"/>
            <w:hideMark/>
          </w:tcPr>
          <w:p w14:paraId="4E38F7D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7" w:type="dxa"/>
            <w:tcBorders>
              <w:top w:val="nil"/>
              <w:left w:val="nil"/>
              <w:bottom w:val="single" w:sz="4" w:space="0" w:color="auto"/>
              <w:right w:val="single" w:sz="4" w:space="0" w:color="auto"/>
            </w:tcBorders>
            <w:shd w:val="clear" w:color="auto" w:fill="auto"/>
            <w:hideMark/>
          </w:tcPr>
          <w:p w14:paraId="7A87D8C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6" w:type="dxa"/>
            <w:tcBorders>
              <w:top w:val="nil"/>
              <w:left w:val="nil"/>
              <w:bottom w:val="single" w:sz="4" w:space="0" w:color="auto"/>
              <w:right w:val="single" w:sz="4" w:space="0" w:color="auto"/>
            </w:tcBorders>
            <w:shd w:val="clear" w:color="auto" w:fill="auto"/>
            <w:hideMark/>
          </w:tcPr>
          <w:p w14:paraId="4893370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189" w:type="dxa"/>
            <w:tcBorders>
              <w:top w:val="nil"/>
              <w:left w:val="nil"/>
              <w:bottom w:val="single" w:sz="4" w:space="0" w:color="auto"/>
              <w:right w:val="single" w:sz="8" w:space="0" w:color="auto"/>
            </w:tcBorders>
            <w:shd w:val="clear" w:color="auto" w:fill="auto"/>
            <w:hideMark/>
          </w:tcPr>
          <w:p w14:paraId="52B4174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r>
      <w:tr w:rsidR="005B6AF9" w:rsidRPr="004135FE" w14:paraId="32B8F064" w14:textId="77777777" w:rsidTr="00680E37">
        <w:trPr>
          <w:trHeight w:val="226"/>
        </w:trPr>
        <w:tc>
          <w:tcPr>
            <w:tcW w:w="554" w:type="dxa"/>
            <w:vMerge/>
            <w:tcBorders>
              <w:top w:val="single" w:sz="8" w:space="0" w:color="auto"/>
              <w:left w:val="single" w:sz="8" w:space="0" w:color="auto"/>
              <w:bottom w:val="single" w:sz="8" w:space="0" w:color="000000"/>
              <w:right w:val="single" w:sz="4" w:space="0" w:color="auto"/>
            </w:tcBorders>
            <w:vAlign w:val="center"/>
            <w:hideMark/>
          </w:tcPr>
          <w:p w14:paraId="0869A89B"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8" w:space="0" w:color="auto"/>
              <w:right w:val="single" w:sz="4" w:space="0" w:color="auto"/>
            </w:tcBorders>
            <w:shd w:val="clear" w:color="auto" w:fill="auto"/>
            <w:hideMark/>
          </w:tcPr>
          <w:p w14:paraId="5875F92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tcBorders>
              <w:top w:val="nil"/>
              <w:left w:val="single" w:sz="4" w:space="0" w:color="auto"/>
              <w:bottom w:val="single" w:sz="8" w:space="0" w:color="auto"/>
              <w:right w:val="single" w:sz="4" w:space="0" w:color="auto"/>
            </w:tcBorders>
            <w:shd w:val="clear" w:color="auto" w:fill="auto"/>
            <w:hideMark/>
          </w:tcPr>
          <w:p w14:paraId="40E44BD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777" w:type="dxa"/>
            <w:tcBorders>
              <w:top w:val="nil"/>
              <w:left w:val="nil"/>
              <w:bottom w:val="single" w:sz="8" w:space="0" w:color="auto"/>
              <w:right w:val="single" w:sz="4" w:space="0" w:color="auto"/>
            </w:tcBorders>
            <w:shd w:val="clear" w:color="auto" w:fill="auto"/>
            <w:hideMark/>
          </w:tcPr>
          <w:p w14:paraId="113F89C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378</w:t>
            </w:r>
          </w:p>
        </w:tc>
        <w:tc>
          <w:tcPr>
            <w:tcW w:w="893" w:type="dxa"/>
            <w:tcBorders>
              <w:top w:val="nil"/>
              <w:left w:val="nil"/>
              <w:bottom w:val="single" w:sz="8" w:space="0" w:color="auto"/>
              <w:right w:val="single" w:sz="4" w:space="0" w:color="auto"/>
            </w:tcBorders>
            <w:shd w:val="clear" w:color="auto" w:fill="auto"/>
            <w:hideMark/>
          </w:tcPr>
          <w:p w14:paraId="4D9529A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5 529</w:t>
            </w:r>
          </w:p>
        </w:tc>
        <w:tc>
          <w:tcPr>
            <w:tcW w:w="889" w:type="dxa"/>
            <w:tcBorders>
              <w:top w:val="nil"/>
              <w:left w:val="nil"/>
              <w:bottom w:val="single" w:sz="8" w:space="0" w:color="auto"/>
              <w:right w:val="single" w:sz="4" w:space="0" w:color="auto"/>
            </w:tcBorders>
            <w:shd w:val="clear" w:color="auto" w:fill="auto"/>
            <w:hideMark/>
          </w:tcPr>
          <w:p w14:paraId="6E6BB26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4 939</w:t>
            </w:r>
          </w:p>
        </w:tc>
        <w:tc>
          <w:tcPr>
            <w:tcW w:w="946" w:type="dxa"/>
            <w:tcBorders>
              <w:top w:val="nil"/>
              <w:left w:val="nil"/>
              <w:bottom w:val="single" w:sz="8" w:space="0" w:color="auto"/>
              <w:right w:val="single" w:sz="4" w:space="0" w:color="auto"/>
            </w:tcBorders>
            <w:shd w:val="clear" w:color="auto" w:fill="auto"/>
            <w:hideMark/>
          </w:tcPr>
          <w:p w14:paraId="34A7DEE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5 007</w:t>
            </w:r>
          </w:p>
        </w:tc>
        <w:tc>
          <w:tcPr>
            <w:tcW w:w="947" w:type="dxa"/>
            <w:tcBorders>
              <w:top w:val="nil"/>
              <w:left w:val="nil"/>
              <w:bottom w:val="single" w:sz="8" w:space="0" w:color="auto"/>
              <w:right w:val="single" w:sz="4" w:space="0" w:color="auto"/>
            </w:tcBorders>
            <w:shd w:val="clear" w:color="auto" w:fill="auto"/>
            <w:hideMark/>
          </w:tcPr>
          <w:p w14:paraId="271E1FE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3 214</w:t>
            </w:r>
          </w:p>
        </w:tc>
        <w:tc>
          <w:tcPr>
            <w:tcW w:w="947" w:type="dxa"/>
            <w:tcBorders>
              <w:top w:val="nil"/>
              <w:left w:val="nil"/>
              <w:bottom w:val="single" w:sz="8" w:space="0" w:color="auto"/>
              <w:right w:val="single" w:sz="4" w:space="0" w:color="auto"/>
            </w:tcBorders>
            <w:shd w:val="clear" w:color="auto" w:fill="auto"/>
            <w:hideMark/>
          </w:tcPr>
          <w:p w14:paraId="49BAA34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2 109</w:t>
            </w:r>
          </w:p>
        </w:tc>
        <w:tc>
          <w:tcPr>
            <w:tcW w:w="947" w:type="dxa"/>
            <w:tcBorders>
              <w:top w:val="nil"/>
              <w:left w:val="nil"/>
              <w:bottom w:val="single" w:sz="8" w:space="0" w:color="auto"/>
              <w:right w:val="single" w:sz="4" w:space="0" w:color="auto"/>
            </w:tcBorders>
            <w:shd w:val="clear" w:color="auto" w:fill="auto"/>
            <w:hideMark/>
          </w:tcPr>
          <w:p w14:paraId="1817BEA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16 638</w:t>
            </w:r>
          </w:p>
        </w:tc>
        <w:tc>
          <w:tcPr>
            <w:tcW w:w="947" w:type="dxa"/>
            <w:tcBorders>
              <w:top w:val="nil"/>
              <w:left w:val="nil"/>
              <w:bottom w:val="single" w:sz="8" w:space="0" w:color="auto"/>
              <w:right w:val="single" w:sz="4" w:space="0" w:color="auto"/>
            </w:tcBorders>
            <w:shd w:val="clear" w:color="auto" w:fill="auto"/>
            <w:hideMark/>
          </w:tcPr>
          <w:p w14:paraId="61F8F16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16 689</w:t>
            </w:r>
          </w:p>
        </w:tc>
        <w:tc>
          <w:tcPr>
            <w:tcW w:w="947" w:type="dxa"/>
            <w:tcBorders>
              <w:top w:val="nil"/>
              <w:left w:val="nil"/>
              <w:bottom w:val="single" w:sz="8" w:space="0" w:color="auto"/>
              <w:right w:val="single" w:sz="4" w:space="0" w:color="auto"/>
            </w:tcBorders>
            <w:shd w:val="clear" w:color="auto" w:fill="auto"/>
            <w:hideMark/>
          </w:tcPr>
          <w:p w14:paraId="265261E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12 939</w:t>
            </w:r>
          </w:p>
        </w:tc>
        <w:tc>
          <w:tcPr>
            <w:tcW w:w="947" w:type="dxa"/>
            <w:tcBorders>
              <w:top w:val="nil"/>
              <w:left w:val="nil"/>
              <w:bottom w:val="single" w:sz="8" w:space="0" w:color="auto"/>
              <w:right w:val="single" w:sz="4" w:space="0" w:color="auto"/>
            </w:tcBorders>
            <w:shd w:val="clear" w:color="auto" w:fill="auto"/>
            <w:hideMark/>
          </w:tcPr>
          <w:p w14:paraId="4183829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12 669</w:t>
            </w:r>
          </w:p>
        </w:tc>
        <w:tc>
          <w:tcPr>
            <w:tcW w:w="946" w:type="dxa"/>
            <w:tcBorders>
              <w:top w:val="nil"/>
              <w:left w:val="nil"/>
              <w:bottom w:val="single" w:sz="8" w:space="0" w:color="auto"/>
              <w:right w:val="single" w:sz="4" w:space="0" w:color="auto"/>
            </w:tcBorders>
            <w:shd w:val="clear" w:color="auto" w:fill="auto"/>
            <w:hideMark/>
          </w:tcPr>
          <w:p w14:paraId="6D3584E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7 232</w:t>
            </w:r>
          </w:p>
        </w:tc>
        <w:tc>
          <w:tcPr>
            <w:tcW w:w="1189" w:type="dxa"/>
            <w:tcBorders>
              <w:top w:val="nil"/>
              <w:left w:val="nil"/>
              <w:bottom w:val="single" w:sz="8" w:space="0" w:color="auto"/>
              <w:right w:val="single" w:sz="8" w:space="0" w:color="auto"/>
            </w:tcBorders>
            <w:shd w:val="clear" w:color="auto" w:fill="auto"/>
            <w:hideMark/>
          </w:tcPr>
          <w:p w14:paraId="3937F4D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9 024</w:t>
            </w:r>
          </w:p>
        </w:tc>
      </w:tr>
      <w:tr w:rsidR="005B6AF9" w:rsidRPr="004135FE" w14:paraId="65486086" w14:textId="77777777" w:rsidTr="00680E37">
        <w:trPr>
          <w:trHeight w:val="226"/>
        </w:trPr>
        <w:tc>
          <w:tcPr>
            <w:tcW w:w="554" w:type="dxa"/>
            <w:vMerge w:val="restart"/>
            <w:tcBorders>
              <w:top w:val="nil"/>
              <w:left w:val="single" w:sz="8" w:space="0" w:color="auto"/>
              <w:bottom w:val="single" w:sz="8" w:space="0" w:color="000000"/>
              <w:right w:val="single" w:sz="4" w:space="0" w:color="auto"/>
            </w:tcBorders>
            <w:shd w:val="clear" w:color="auto" w:fill="auto"/>
            <w:noWrap/>
            <w:textDirection w:val="btLr"/>
            <w:vAlign w:val="center"/>
            <w:hideMark/>
          </w:tcPr>
          <w:p w14:paraId="7BEAF1B5" w14:textId="77777777" w:rsidR="005B6AF9" w:rsidRPr="004135FE" w:rsidRDefault="005B6AF9"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2013г</w:t>
            </w:r>
          </w:p>
        </w:tc>
        <w:tc>
          <w:tcPr>
            <w:tcW w:w="485" w:type="dxa"/>
            <w:tcBorders>
              <w:top w:val="nil"/>
              <w:left w:val="nil"/>
              <w:bottom w:val="single" w:sz="4" w:space="0" w:color="auto"/>
              <w:right w:val="single" w:sz="4" w:space="0" w:color="auto"/>
            </w:tcBorders>
            <w:shd w:val="clear" w:color="auto" w:fill="auto"/>
            <w:hideMark/>
          </w:tcPr>
          <w:p w14:paraId="7F47B49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tcBorders>
              <w:top w:val="nil"/>
              <w:left w:val="single" w:sz="4" w:space="0" w:color="auto"/>
              <w:bottom w:val="single" w:sz="4" w:space="0" w:color="auto"/>
              <w:right w:val="single" w:sz="4" w:space="0" w:color="auto"/>
            </w:tcBorders>
            <w:shd w:val="clear" w:color="auto" w:fill="auto"/>
            <w:hideMark/>
          </w:tcPr>
          <w:p w14:paraId="7CE8378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777" w:type="dxa"/>
            <w:tcBorders>
              <w:top w:val="nil"/>
              <w:left w:val="nil"/>
              <w:bottom w:val="single" w:sz="4" w:space="0" w:color="auto"/>
              <w:right w:val="single" w:sz="4" w:space="0" w:color="auto"/>
            </w:tcBorders>
            <w:shd w:val="clear" w:color="auto" w:fill="auto"/>
            <w:hideMark/>
          </w:tcPr>
          <w:p w14:paraId="73A84B0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2 005</w:t>
            </w:r>
          </w:p>
        </w:tc>
        <w:tc>
          <w:tcPr>
            <w:tcW w:w="893" w:type="dxa"/>
            <w:tcBorders>
              <w:top w:val="nil"/>
              <w:left w:val="nil"/>
              <w:bottom w:val="single" w:sz="4" w:space="0" w:color="auto"/>
              <w:right w:val="single" w:sz="4" w:space="0" w:color="auto"/>
            </w:tcBorders>
            <w:shd w:val="clear" w:color="auto" w:fill="auto"/>
            <w:hideMark/>
          </w:tcPr>
          <w:p w14:paraId="1A5342E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9 262</w:t>
            </w:r>
          </w:p>
        </w:tc>
        <w:tc>
          <w:tcPr>
            <w:tcW w:w="889" w:type="dxa"/>
            <w:tcBorders>
              <w:top w:val="nil"/>
              <w:left w:val="nil"/>
              <w:bottom w:val="single" w:sz="4" w:space="0" w:color="auto"/>
              <w:right w:val="single" w:sz="4" w:space="0" w:color="auto"/>
            </w:tcBorders>
            <w:shd w:val="clear" w:color="auto" w:fill="auto"/>
            <w:hideMark/>
          </w:tcPr>
          <w:p w14:paraId="073A7F6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10 313</w:t>
            </w:r>
          </w:p>
        </w:tc>
        <w:tc>
          <w:tcPr>
            <w:tcW w:w="946" w:type="dxa"/>
            <w:tcBorders>
              <w:top w:val="nil"/>
              <w:left w:val="nil"/>
              <w:bottom w:val="single" w:sz="4" w:space="0" w:color="auto"/>
              <w:right w:val="single" w:sz="4" w:space="0" w:color="auto"/>
            </w:tcBorders>
            <w:shd w:val="clear" w:color="auto" w:fill="auto"/>
            <w:hideMark/>
          </w:tcPr>
          <w:p w14:paraId="6A36199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8 282</w:t>
            </w:r>
          </w:p>
        </w:tc>
        <w:tc>
          <w:tcPr>
            <w:tcW w:w="947" w:type="dxa"/>
            <w:tcBorders>
              <w:top w:val="nil"/>
              <w:left w:val="nil"/>
              <w:bottom w:val="single" w:sz="4" w:space="0" w:color="auto"/>
              <w:right w:val="single" w:sz="4" w:space="0" w:color="auto"/>
            </w:tcBorders>
            <w:shd w:val="clear" w:color="auto" w:fill="auto"/>
            <w:hideMark/>
          </w:tcPr>
          <w:p w14:paraId="3881604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2 926</w:t>
            </w:r>
          </w:p>
        </w:tc>
        <w:tc>
          <w:tcPr>
            <w:tcW w:w="947" w:type="dxa"/>
            <w:tcBorders>
              <w:top w:val="nil"/>
              <w:left w:val="nil"/>
              <w:bottom w:val="single" w:sz="4" w:space="0" w:color="auto"/>
              <w:right w:val="single" w:sz="4" w:space="0" w:color="auto"/>
            </w:tcBorders>
            <w:shd w:val="clear" w:color="auto" w:fill="auto"/>
            <w:hideMark/>
          </w:tcPr>
          <w:p w14:paraId="5658094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3 393</w:t>
            </w:r>
          </w:p>
        </w:tc>
        <w:tc>
          <w:tcPr>
            <w:tcW w:w="947" w:type="dxa"/>
            <w:tcBorders>
              <w:top w:val="nil"/>
              <w:left w:val="nil"/>
              <w:bottom w:val="single" w:sz="4" w:space="0" w:color="auto"/>
              <w:right w:val="single" w:sz="4" w:space="0" w:color="auto"/>
            </w:tcBorders>
            <w:shd w:val="clear" w:color="auto" w:fill="auto"/>
            <w:hideMark/>
          </w:tcPr>
          <w:p w14:paraId="0A69593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18 925</w:t>
            </w:r>
          </w:p>
        </w:tc>
        <w:tc>
          <w:tcPr>
            <w:tcW w:w="947" w:type="dxa"/>
            <w:tcBorders>
              <w:top w:val="nil"/>
              <w:left w:val="nil"/>
              <w:bottom w:val="single" w:sz="4" w:space="0" w:color="auto"/>
              <w:right w:val="single" w:sz="4" w:space="0" w:color="auto"/>
            </w:tcBorders>
            <w:shd w:val="clear" w:color="auto" w:fill="auto"/>
            <w:hideMark/>
          </w:tcPr>
          <w:p w14:paraId="06914E9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18 847</w:t>
            </w:r>
          </w:p>
        </w:tc>
        <w:tc>
          <w:tcPr>
            <w:tcW w:w="947" w:type="dxa"/>
            <w:tcBorders>
              <w:top w:val="nil"/>
              <w:left w:val="nil"/>
              <w:bottom w:val="single" w:sz="4" w:space="0" w:color="auto"/>
              <w:right w:val="single" w:sz="4" w:space="0" w:color="auto"/>
            </w:tcBorders>
            <w:shd w:val="clear" w:color="auto" w:fill="auto"/>
            <w:hideMark/>
          </w:tcPr>
          <w:p w14:paraId="0F80604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15 430</w:t>
            </w:r>
          </w:p>
        </w:tc>
        <w:tc>
          <w:tcPr>
            <w:tcW w:w="947" w:type="dxa"/>
            <w:tcBorders>
              <w:top w:val="nil"/>
              <w:left w:val="nil"/>
              <w:bottom w:val="single" w:sz="4" w:space="0" w:color="auto"/>
              <w:right w:val="single" w:sz="4" w:space="0" w:color="auto"/>
            </w:tcBorders>
            <w:shd w:val="clear" w:color="auto" w:fill="auto"/>
            <w:hideMark/>
          </w:tcPr>
          <w:p w14:paraId="4AFB505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14 751</w:t>
            </w:r>
          </w:p>
        </w:tc>
        <w:tc>
          <w:tcPr>
            <w:tcW w:w="946" w:type="dxa"/>
            <w:tcBorders>
              <w:top w:val="nil"/>
              <w:left w:val="nil"/>
              <w:bottom w:val="single" w:sz="4" w:space="0" w:color="auto"/>
              <w:right w:val="single" w:sz="4" w:space="0" w:color="auto"/>
            </w:tcBorders>
            <w:shd w:val="clear" w:color="auto" w:fill="auto"/>
            <w:hideMark/>
          </w:tcPr>
          <w:p w14:paraId="26455EA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11 263</w:t>
            </w:r>
          </w:p>
        </w:tc>
        <w:tc>
          <w:tcPr>
            <w:tcW w:w="1189" w:type="dxa"/>
            <w:tcBorders>
              <w:top w:val="nil"/>
              <w:left w:val="nil"/>
              <w:bottom w:val="single" w:sz="4" w:space="0" w:color="auto"/>
              <w:right w:val="single" w:sz="8" w:space="0" w:color="auto"/>
            </w:tcBorders>
            <w:shd w:val="clear" w:color="auto" w:fill="auto"/>
            <w:hideMark/>
          </w:tcPr>
          <w:p w14:paraId="4E4C6EE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11 417</w:t>
            </w:r>
          </w:p>
        </w:tc>
      </w:tr>
      <w:tr w:rsidR="005B6AF9" w:rsidRPr="004135FE" w14:paraId="3D18BDB6"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24ABDA22"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6FDC21F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tcBorders>
              <w:top w:val="nil"/>
              <w:left w:val="single" w:sz="4" w:space="0" w:color="auto"/>
              <w:bottom w:val="single" w:sz="4" w:space="0" w:color="auto"/>
              <w:right w:val="single" w:sz="4" w:space="0" w:color="auto"/>
            </w:tcBorders>
            <w:shd w:val="clear" w:color="auto" w:fill="auto"/>
            <w:hideMark/>
          </w:tcPr>
          <w:p w14:paraId="6B0F015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777" w:type="dxa"/>
            <w:tcBorders>
              <w:top w:val="nil"/>
              <w:left w:val="nil"/>
              <w:bottom w:val="single" w:sz="4" w:space="0" w:color="auto"/>
              <w:right w:val="single" w:sz="4" w:space="0" w:color="auto"/>
            </w:tcBorders>
            <w:shd w:val="clear" w:color="auto" w:fill="auto"/>
            <w:hideMark/>
          </w:tcPr>
          <w:p w14:paraId="39B3BBA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1 725</w:t>
            </w:r>
          </w:p>
        </w:tc>
        <w:tc>
          <w:tcPr>
            <w:tcW w:w="893" w:type="dxa"/>
            <w:tcBorders>
              <w:top w:val="nil"/>
              <w:left w:val="nil"/>
              <w:bottom w:val="single" w:sz="4" w:space="0" w:color="auto"/>
              <w:right w:val="single" w:sz="4" w:space="0" w:color="auto"/>
            </w:tcBorders>
            <w:shd w:val="clear" w:color="auto" w:fill="auto"/>
            <w:hideMark/>
          </w:tcPr>
          <w:p w14:paraId="3F31D28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6 546</w:t>
            </w:r>
          </w:p>
        </w:tc>
        <w:tc>
          <w:tcPr>
            <w:tcW w:w="889" w:type="dxa"/>
            <w:tcBorders>
              <w:top w:val="nil"/>
              <w:left w:val="nil"/>
              <w:bottom w:val="single" w:sz="4" w:space="0" w:color="auto"/>
              <w:right w:val="single" w:sz="4" w:space="0" w:color="auto"/>
            </w:tcBorders>
            <w:shd w:val="clear" w:color="auto" w:fill="auto"/>
            <w:hideMark/>
          </w:tcPr>
          <w:p w14:paraId="7567348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7 058</w:t>
            </w:r>
          </w:p>
        </w:tc>
        <w:tc>
          <w:tcPr>
            <w:tcW w:w="946" w:type="dxa"/>
            <w:tcBorders>
              <w:top w:val="nil"/>
              <w:left w:val="nil"/>
              <w:bottom w:val="single" w:sz="4" w:space="0" w:color="auto"/>
              <w:right w:val="single" w:sz="4" w:space="0" w:color="auto"/>
            </w:tcBorders>
            <w:shd w:val="clear" w:color="auto" w:fill="auto"/>
            <w:hideMark/>
          </w:tcPr>
          <w:p w14:paraId="1356051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4 782</w:t>
            </w:r>
          </w:p>
        </w:tc>
        <w:tc>
          <w:tcPr>
            <w:tcW w:w="947" w:type="dxa"/>
            <w:tcBorders>
              <w:top w:val="nil"/>
              <w:left w:val="nil"/>
              <w:bottom w:val="single" w:sz="4" w:space="0" w:color="auto"/>
              <w:right w:val="single" w:sz="4" w:space="0" w:color="auto"/>
            </w:tcBorders>
            <w:shd w:val="clear" w:color="auto" w:fill="auto"/>
            <w:hideMark/>
          </w:tcPr>
          <w:p w14:paraId="660D2CA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1 634</w:t>
            </w:r>
          </w:p>
        </w:tc>
        <w:tc>
          <w:tcPr>
            <w:tcW w:w="947" w:type="dxa"/>
            <w:tcBorders>
              <w:top w:val="nil"/>
              <w:left w:val="nil"/>
              <w:bottom w:val="single" w:sz="4" w:space="0" w:color="auto"/>
              <w:right w:val="single" w:sz="4" w:space="0" w:color="auto"/>
            </w:tcBorders>
            <w:shd w:val="clear" w:color="auto" w:fill="auto"/>
            <w:hideMark/>
          </w:tcPr>
          <w:p w14:paraId="2277B7F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1 075</w:t>
            </w:r>
          </w:p>
        </w:tc>
        <w:tc>
          <w:tcPr>
            <w:tcW w:w="947" w:type="dxa"/>
            <w:tcBorders>
              <w:top w:val="nil"/>
              <w:left w:val="nil"/>
              <w:bottom w:val="single" w:sz="4" w:space="0" w:color="auto"/>
              <w:right w:val="single" w:sz="4" w:space="0" w:color="auto"/>
            </w:tcBorders>
            <w:shd w:val="clear" w:color="auto" w:fill="auto"/>
            <w:hideMark/>
          </w:tcPr>
          <w:p w14:paraId="65D99E1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13 800</w:t>
            </w:r>
          </w:p>
        </w:tc>
        <w:tc>
          <w:tcPr>
            <w:tcW w:w="947" w:type="dxa"/>
            <w:tcBorders>
              <w:top w:val="nil"/>
              <w:left w:val="nil"/>
              <w:bottom w:val="single" w:sz="4" w:space="0" w:color="auto"/>
              <w:right w:val="single" w:sz="4" w:space="0" w:color="auto"/>
            </w:tcBorders>
            <w:shd w:val="clear" w:color="auto" w:fill="auto"/>
            <w:hideMark/>
          </w:tcPr>
          <w:p w14:paraId="689332B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12 565</w:t>
            </w:r>
          </w:p>
        </w:tc>
        <w:tc>
          <w:tcPr>
            <w:tcW w:w="947" w:type="dxa"/>
            <w:tcBorders>
              <w:top w:val="nil"/>
              <w:left w:val="nil"/>
              <w:bottom w:val="single" w:sz="4" w:space="0" w:color="auto"/>
              <w:right w:val="single" w:sz="4" w:space="0" w:color="auto"/>
            </w:tcBorders>
            <w:shd w:val="clear" w:color="auto" w:fill="auto"/>
            <w:hideMark/>
          </w:tcPr>
          <w:p w14:paraId="720CBC0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8 570</w:t>
            </w:r>
          </w:p>
        </w:tc>
        <w:tc>
          <w:tcPr>
            <w:tcW w:w="947" w:type="dxa"/>
            <w:tcBorders>
              <w:top w:val="nil"/>
              <w:left w:val="nil"/>
              <w:bottom w:val="single" w:sz="4" w:space="0" w:color="auto"/>
              <w:right w:val="single" w:sz="4" w:space="0" w:color="auto"/>
            </w:tcBorders>
            <w:shd w:val="clear" w:color="auto" w:fill="auto"/>
            <w:hideMark/>
          </w:tcPr>
          <w:p w14:paraId="6D96C29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6 580</w:t>
            </w:r>
          </w:p>
        </w:tc>
        <w:tc>
          <w:tcPr>
            <w:tcW w:w="946" w:type="dxa"/>
            <w:tcBorders>
              <w:top w:val="nil"/>
              <w:left w:val="nil"/>
              <w:bottom w:val="single" w:sz="4" w:space="0" w:color="auto"/>
              <w:right w:val="single" w:sz="4" w:space="0" w:color="auto"/>
            </w:tcBorders>
            <w:shd w:val="clear" w:color="auto" w:fill="auto"/>
            <w:hideMark/>
          </w:tcPr>
          <w:p w14:paraId="4BB5125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3 080</w:t>
            </w:r>
          </w:p>
        </w:tc>
        <w:tc>
          <w:tcPr>
            <w:tcW w:w="1189" w:type="dxa"/>
            <w:tcBorders>
              <w:top w:val="nil"/>
              <w:left w:val="nil"/>
              <w:bottom w:val="single" w:sz="4" w:space="0" w:color="auto"/>
              <w:right w:val="single" w:sz="8" w:space="0" w:color="auto"/>
            </w:tcBorders>
            <w:shd w:val="clear" w:color="auto" w:fill="auto"/>
            <w:hideMark/>
          </w:tcPr>
          <w:p w14:paraId="7C8CB56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3 001</w:t>
            </w:r>
          </w:p>
        </w:tc>
      </w:tr>
      <w:tr w:rsidR="005B6AF9" w:rsidRPr="004135FE" w14:paraId="7A0E0CB3"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7932C20F"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2B4BBC9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tcBorders>
              <w:top w:val="nil"/>
              <w:left w:val="single" w:sz="4" w:space="0" w:color="auto"/>
              <w:bottom w:val="single" w:sz="4" w:space="0" w:color="auto"/>
              <w:right w:val="single" w:sz="4" w:space="0" w:color="auto"/>
            </w:tcBorders>
            <w:shd w:val="clear" w:color="auto" w:fill="auto"/>
            <w:hideMark/>
          </w:tcPr>
          <w:p w14:paraId="138E287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777" w:type="dxa"/>
            <w:tcBorders>
              <w:top w:val="nil"/>
              <w:left w:val="nil"/>
              <w:bottom w:val="single" w:sz="4" w:space="0" w:color="auto"/>
              <w:right w:val="single" w:sz="4" w:space="0" w:color="auto"/>
            </w:tcBorders>
            <w:shd w:val="clear" w:color="auto" w:fill="auto"/>
            <w:hideMark/>
          </w:tcPr>
          <w:p w14:paraId="4FB27D7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2 101</w:t>
            </w:r>
          </w:p>
        </w:tc>
        <w:tc>
          <w:tcPr>
            <w:tcW w:w="893" w:type="dxa"/>
            <w:tcBorders>
              <w:top w:val="nil"/>
              <w:left w:val="nil"/>
              <w:bottom w:val="single" w:sz="4" w:space="0" w:color="auto"/>
              <w:right w:val="single" w:sz="4" w:space="0" w:color="auto"/>
            </w:tcBorders>
            <w:shd w:val="clear" w:color="auto" w:fill="auto"/>
            <w:hideMark/>
          </w:tcPr>
          <w:p w14:paraId="0D845F8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10 346</w:t>
            </w:r>
          </w:p>
        </w:tc>
        <w:tc>
          <w:tcPr>
            <w:tcW w:w="889" w:type="dxa"/>
            <w:tcBorders>
              <w:top w:val="nil"/>
              <w:left w:val="nil"/>
              <w:bottom w:val="single" w:sz="4" w:space="0" w:color="auto"/>
              <w:right w:val="single" w:sz="4" w:space="0" w:color="auto"/>
            </w:tcBorders>
            <w:shd w:val="clear" w:color="auto" w:fill="auto"/>
            <w:hideMark/>
          </w:tcPr>
          <w:p w14:paraId="2A5280D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10 758</w:t>
            </w:r>
          </w:p>
        </w:tc>
        <w:tc>
          <w:tcPr>
            <w:tcW w:w="946" w:type="dxa"/>
            <w:tcBorders>
              <w:top w:val="nil"/>
              <w:left w:val="nil"/>
              <w:bottom w:val="single" w:sz="4" w:space="0" w:color="auto"/>
              <w:right w:val="single" w:sz="4" w:space="0" w:color="auto"/>
            </w:tcBorders>
            <w:shd w:val="clear" w:color="auto" w:fill="auto"/>
            <w:hideMark/>
          </w:tcPr>
          <w:p w14:paraId="3A2558B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7 792</w:t>
            </w:r>
          </w:p>
        </w:tc>
        <w:tc>
          <w:tcPr>
            <w:tcW w:w="947" w:type="dxa"/>
            <w:tcBorders>
              <w:top w:val="nil"/>
              <w:left w:val="nil"/>
              <w:bottom w:val="single" w:sz="4" w:space="0" w:color="auto"/>
              <w:right w:val="single" w:sz="4" w:space="0" w:color="auto"/>
            </w:tcBorders>
            <w:shd w:val="clear" w:color="auto" w:fill="auto"/>
            <w:hideMark/>
          </w:tcPr>
          <w:p w14:paraId="45C8A56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4 032</w:t>
            </w:r>
          </w:p>
        </w:tc>
        <w:tc>
          <w:tcPr>
            <w:tcW w:w="947" w:type="dxa"/>
            <w:tcBorders>
              <w:top w:val="nil"/>
              <w:left w:val="nil"/>
              <w:bottom w:val="single" w:sz="4" w:space="0" w:color="auto"/>
              <w:right w:val="single" w:sz="4" w:space="0" w:color="auto"/>
            </w:tcBorders>
            <w:shd w:val="clear" w:color="auto" w:fill="auto"/>
            <w:hideMark/>
          </w:tcPr>
          <w:p w14:paraId="3D7DC96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1 760</w:t>
            </w:r>
          </w:p>
        </w:tc>
        <w:tc>
          <w:tcPr>
            <w:tcW w:w="947" w:type="dxa"/>
            <w:tcBorders>
              <w:top w:val="nil"/>
              <w:left w:val="nil"/>
              <w:bottom w:val="single" w:sz="4" w:space="0" w:color="auto"/>
              <w:right w:val="single" w:sz="4" w:space="0" w:color="auto"/>
            </w:tcBorders>
            <w:shd w:val="clear" w:color="auto" w:fill="auto"/>
            <w:hideMark/>
          </w:tcPr>
          <w:p w14:paraId="1DA4CA6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22 868</w:t>
            </w:r>
          </w:p>
        </w:tc>
        <w:tc>
          <w:tcPr>
            <w:tcW w:w="947" w:type="dxa"/>
            <w:tcBorders>
              <w:top w:val="nil"/>
              <w:left w:val="nil"/>
              <w:bottom w:val="single" w:sz="4" w:space="0" w:color="auto"/>
              <w:right w:val="single" w:sz="4" w:space="0" w:color="auto"/>
            </w:tcBorders>
            <w:shd w:val="clear" w:color="auto" w:fill="auto"/>
            <w:hideMark/>
          </w:tcPr>
          <w:p w14:paraId="55F6155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22 821</w:t>
            </w:r>
          </w:p>
        </w:tc>
        <w:tc>
          <w:tcPr>
            <w:tcW w:w="947" w:type="dxa"/>
            <w:tcBorders>
              <w:top w:val="nil"/>
              <w:left w:val="nil"/>
              <w:bottom w:val="single" w:sz="4" w:space="0" w:color="auto"/>
              <w:right w:val="single" w:sz="4" w:space="0" w:color="auto"/>
            </w:tcBorders>
            <w:shd w:val="clear" w:color="auto" w:fill="auto"/>
            <w:hideMark/>
          </w:tcPr>
          <w:p w14:paraId="5C9E1D8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18 778</w:t>
            </w:r>
          </w:p>
        </w:tc>
        <w:tc>
          <w:tcPr>
            <w:tcW w:w="947" w:type="dxa"/>
            <w:tcBorders>
              <w:top w:val="nil"/>
              <w:left w:val="nil"/>
              <w:bottom w:val="single" w:sz="4" w:space="0" w:color="auto"/>
              <w:right w:val="single" w:sz="4" w:space="0" w:color="auto"/>
            </w:tcBorders>
            <w:shd w:val="clear" w:color="auto" w:fill="auto"/>
            <w:hideMark/>
          </w:tcPr>
          <w:p w14:paraId="38DF72E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17 765</w:t>
            </w:r>
          </w:p>
        </w:tc>
        <w:tc>
          <w:tcPr>
            <w:tcW w:w="946" w:type="dxa"/>
            <w:tcBorders>
              <w:top w:val="nil"/>
              <w:left w:val="nil"/>
              <w:bottom w:val="single" w:sz="4" w:space="0" w:color="auto"/>
              <w:right w:val="single" w:sz="4" w:space="0" w:color="auto"/>
            </w:tcBorders>
            <w:shd w:val="clear" w:color="auto" w:fill="auto"/>
            <w:hideMark/>
          </w:tcPr>
          <w:p w14:paraId="6F46C30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11 266</w:t>
            </w:r>
          </w:p>
        </w:tc>
        <w:tc>
          <w:tcPr>
            <w:tcW w:w="1189" w:type="dxa"/>
            <w:tcBorders>
              <w:top w:val="nil"/>
              <w:left w:val="nil"/>
              <w:bottom w:val="single" w:sz="4" w:space="0" w:color="auto"/>
              <w:right w:val="single" w:sz="8" w:space="0" w:color="auto"/>
            </w:tcBorders>
            <w:shd w:val="clear" w:color="auto" w:fill="auto"/>
            <w:hideMark/>
          </w:tcPr>
          <w:p w14:paraId="08B3F01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11 181</w:t>
            </w:r>
          </w:p>
        </w:tc>
      </w:tr>
      <w:tr w:rsidR="005B6AF9" w:rsidRPr="004135FE" w14:paraId="45BEA2A9"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080A1C47"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06EB7CF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tcBorders>
              <w:top w:val="nil"/>
              <w:left w:val="single" w:sz="4" w:space="0" w:color="auto"/>
              <w:bottom w:val="single" w:sz="4" w:space="0" w:color="auto"/>
              <w:right w:val="single" w:sz="4" w:space="0" w:color="auto"/>
            </w:tcBorders>
            <w:shd w:val="clear" w:color="auto" w:fill="auto"/>
            <w:hideMark/>
          </w:tcPr>
          <w:p w14:paraId="13264A9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777" w:type="dxa"/>
            <w:tcBorders>
              <w:top w:val="nil"/>
              <w:left w:val="nil"/>
              <w:bottom w:val="single" w:sz="4" w:space="0" w:color="auto"/>
              <w:right w:val="single" w:sz="4" w:space="0" w:color="auto"/>
            </w:tcBorders>
            <w:shd w:val="clear" w:color="auto" w:fill="auto"/>
            <w:hideMark/>
          </w:tcPr>
          <w:p w14:paraId="3F08D03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1 427</w:t>
            </w:r>
          </w:p>
        </w:tc>
        <w:tc>
          <w:tcPr>
            <w:tcW w:w="893" w:type="dxa"/>
            <w:tcBorders>
              <w:top w:val="nil"/>
              <w:left w:val="nil"/>
              <w:bottom w:val="single" w:sz="4" w:space="0" w:color="auto"/>
              <w:right w:val="single" w:sz="4" w:space="0" w:color="auto"/>
            </w:tcBorders>
            <w:shd w:val="clear" w:color="auto" w:fill="auto"/>
            <w:hideMark/>
          </w:tcPr>
          <w:p w14:paraId="502962E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7 102</w:t>
            </w:r>
          </w:p>
        </w:tc>
        <w:tc>
          <w:tcPr>
            <w:tcW w:w="889" w:type="dxa"/>
            <w:tcBorders>
              <w:top w:val="nil"/>
              <w:left w:val="nil"/>
              <w:bottom w:val="single" w:sz="4" w:space="0" w:color="auto"/>
              <w:right w:val="single" w:sz="4" w:space="0" w:color="auto"/>
            </w:tcBorders>
            <w:shd w:val="clear" w:color="auto" w:fill="auto"/>
            <w:hideMark/>
          </w:tcPr>
          <w:p w14:paraId="5EC4920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8 003</w:t>
            </w:r>
          </w:p>
        </w:tc>
        <w:tc>
          <w:tcPr>
            <w:tcW w:w="946" w:type="dxa"/>
            <w:tcBorders>
              <w:top w:val="nil"/>
              <w:left w:val="nil"/>
              <w:bottom w:val="single" w:sz="4" w:space="0" w:color="auto"/>
              <w:right w:val="single" w:sz="4" w:space="0" w:color="auto"/>
            </w:tcBorders>
            <w:shd w:val="clear" w:color="auto" w:fill="auto"/>
            <w:hideMark/>
          </w:tcPr>
          <w:p w14:paraId="362333B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6 291</w:t>
            </w:r>
          </w:p>
        </w:tc>
        <w:tc>
          <w:tcPr>
            <w:tcW w:w="947" w:type="dxa"/>
            <w:tcBorders>
              <w:top w:val="nil"/>
              <w:left w:val="nil"/>
              <w:bottom w:val="single" w:sz="4" w:space="0" w:color="auto"/>
              <w:right w:val="single" w:sz="4" w:space="0" w:color="auto"/>
            </w:tcBorders>
            <w:shd w:val="clear" w:color="auto" w:fill="auto"/>
            <w:hideMark/>
          </w:tcPr>
          <w:p w14:paraId="7F84DD0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6 027</w:t>
            </w:r>
          </w:p>
        </w:tc>
        <w:tc>
          <w:tcPr>
            <w:tcW w:w="947" w:type="dxa"/>
            <w:tcBorders>
              <w:top w:val="nil"/>
              <w:left w:val="nil"/>
              <w:bottom w:val="single" w:sz="4" w:space="0" w:color="auto"/>
              <w:right w:val="single" w:sz="4" w:space="0" w:color="auto"/>
            </w:tcBorders>
            <w:shd w:val="clear" w:color="auto" w:fill="auto"/>
            <w:hideMark/>
          </w:tcPr>
          <w:p w14:paraId="271F7F8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16 999</w:t>
            </w:r>
          </w:p>
        </w:tc>
        <w:tc>
          <w:tcPr>
            <w:tcW w:w="947" w:type="dxa"/>
            <w:tcBorders>
              <w:top w:val="nil"/>
              <w:left w:val="nil"/>
              <w:bottom w:val="single" w:sz="4" w:space="0" w:color="auto"/>
              <w:right w:val="single" w:sz="4" w:space="0" w:color="auto"/>
            </w:tcBorders>
            <w:shd w:val="clear" w:color="auto" w:fill="auto"/>
            <w:hideMark/>
          </w:tcPr>
          <w:p w14:paraId="7E6C23C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46 345</w:t>
            </w:r>
          </w:p>
        </w:tc>
        <w:tc>
          <w:tcPr>
            <w:tcW w:w="947" w:type="dxa"/>
            <w:tcBorders>
              <w:top w:val="nil"/>
              <w:left w:val="nil"/>
              <w:bottom w:val="single" w:sz="4" w:space="0" w:color="auto"/>
              <w:right w:val="single" w:sz="4" w:space="0" w:color="auto"/>
            </w:tcBorders>
            <w:shd w:val="clear" w:color="auto" w:fill="auto"/>
            <w:hideMark/>
          </w:tcPr>
          <w:p w14:paraId="15A64D7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21 289</w:t>
            </w:r>
          </w:p>
        </w:tc>
        <w:tc>
          <w:tcPr>
            <w:tcW w:w="947" w:type="dxa"/>
            <w:tcBorders>
              <w:top w:val="nil"/>
              <w:left w:val="nil"/>
              <w:bottom w:val="single" w:sz="4" w:space="0" w:color="auto"/>
              <w:right w:val="single" w:sz="4" w:space="0" w:color="auto"/>
            </w:tcBorders>
            <w:shd w:val="clear" w:color="auto" w:fill="auto"/>
            <w:hideMark/>
          </w:tcPr>
          <w:p w14:paraId="27F56CC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17 688</w:t>
            </w:r>
          </w:p>
        </w:tc>
        <w:tc>
          <w:tcPr>
            <w:tcW w:w="947" w:type="dxa"/>
            <w:tcBorders>
              <w:top w:val="nil"/>
              <w:left w:val="nil"/>
              <w:bottom w:val="single" w:sz="4" w:space="0" w:color="auto"/>
              <w:right w:val="single" w:sz="4" w:space="0" w:color="auto"/>
            </w:tcBorders>
            <w:shd w:val="clear" w:color="auto" w:fill="auto"/>
            <w:hideMark/>
          </w:tcPr>
          <w:p w14:paraId="0D5AAC6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16 411</w:t>
            </w:r>
          </w:p>
        </w:tc>
        <w:tc>
          <w:tcPr>
            <w:tcW w:w="946" w:type="dxa"/>
            <w:tcBorders>
              <w:top w:val="nil"/>
              <w:left w:val="nil"/>
              <w:bottom w:val="single" w:sz="4" w:space="0" w:color="auto"/>
              <w:right w:val="single" w:sz="4" w:space="0" w:color="auto"/>
            </w:tcBorders>
            <w:shd w:val="clear" w:color="auto" w:fill="auto"/>
            <w:hideMark/>
          </w:tcPr>
          <w:p w14:paraId="6A95391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11 886</w:t>
            </w:r>
          </w:p>
        </w:tc>
        <w:tc>
          <w:tcPr>
            <w:tcW w:w="1189" w:type="dxa"/>
            <w:tcBorders>
              <w:top w:val="nil"/>
              <w:left w:val="nil"/>
              <w:bottom w:val="single" w:sz="4" w:space="0" w:color="auto"/>
              <w:right w:val="single" w:sz="8" w:space="0" w:color="auto"/>
            </w:tcBorders>
            <w:shd w:val="clear" w:color="auto" w:fill="auto"/>
            <w:hideMark/>
          </w:tcPr>
          <w:p w14:paraId="79BC3EB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11 294</w:t>
            </w:r>
          </w:p>
        </w:tc>
      </w:tr>
      <w:tr w:rsidR="005B6AF9" w:rsidRPr="004135FE" w14:paraId="27088A5D"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3D72FF71"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7FBE67E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tcBorders>
              <w:top w:val="nil"/>
              <w:left w:val="single" w:sz="4" w:space="0" w:color="auto"/>
              <w:bottom w:val="single" w:sz="4" w:space="0" w:color="auto"/>
              <w:right w:val="single" w:sz="4" w:space="0" w:color="auto"/>
            </w:tcBorders>
            <w:shd w:val="clear" w:color="auto" w:fill="auto"/>
            <w:hideMark/>
          </w:tcPr>
          <w:p w14:paraId="46A5825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777" w:type="dxa"/>
            <w:tcBorders>
              <w:top w:val="nil"/>
              <w:left w:val="nil"/>
              <w:bottom w:val="single" w:sz="4" w:space="0" w:color="auto"/>
              <w:right w:val="single" w:sz="4" w:space="0" w:color="auto"/>
            </w:tcBorders>
            <w:shd w:val="clear" w:color="auto" w:fill="auto"/>
            <w:hideMark/>
          </w:tcPr>
          <w:p w14:paraId="5686AAC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832</w:t>
            </w:r>
          </w:p>
        </w:tc>
        <w:tc>
          <w:tcPr>
            <w:tcW w:w="893" w:type="dxa"/>
            <w:tcBorders>
              <w:top w:val="nil"/>
              <w:left w:val="nil"/>
              <w:bottom w:val="single" w:sz="4" w:space="0" w:color="auto"/>
              <w:right w:val="single" w:sz="4" w:space="0" w:color="auto"/>
            </w:tcBorders>
            <w:shd w:val="clear" w:color="auto" w:fill="auto"/>
            <w:hideMark/>
          </w:tcPr>
          <w:p w14:paraId="0751BC2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4 304</w:t>
            </w:r>
          </w:p>
        </w:tc>
        <w:tc>
          <w:tcPr>
            <w:tcW w:w="889" w:type="dxa"/>
            <w:tcBorders>
              <w:top w:val="nil"/>
              <w:left w:val="nil"/>
              <w:bottom w:val="single" w:sz="4" w:space="0" w:color="auto"/>
              <w:right w:val="single" w:sz="4" w:space="0" w:color="auto"/>
            </w:tcBorders>
            <w:shd w:val="clear" w:color="auto" w:fill="auto"/>
            <w:hideMark/>
          </w:tcPr>
          <w:p w14:paraId="65ACF32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4 697</w:t>
            </w:r>
          </w:p>
        </w:tc>
        <w:tc>
          <w:tcPr>
            <w:tcW w:w="946" w:type="dxa"/>
            <w:tcBorders>
              <w:top w:val="nil"/>
              <w:left w:val="nil"/>
              <w:bottom w:val="single" w:sz="4" w:space="0" w:color="auto"/>
              <w:right w:val="single" w:sz="4" w:space="0" w:color="auto"/>
            </w:tcBorders>
            <w:shd w:val="clear" w:color="auto" w:fill="auto"/>
            <w:hideMark/>
          </w:tcPr>
          <w:p w14:paraId="36F9BD3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3 215</w:t>
            </w:r>
          </w:p>
        </w:tc>
        <w:tc>
          <w:tcPr>
            <w:tcW w:w="947" w:type="dxa"/>
            <w:tcBorders>
              <w:top w:val="nil"/>
              <w:left w:val="nil"/>
              <w:bottom w:val="single" w:sz="4" w:space="0" w:color="auto"/>
              <w:right w:val="single" w:sz="4" w:space="0" w:color="auto"/>
            </w:tcBorders>
            <w:shd w:val="clear" w:color="auto" w:fill="auto"/>
            <w:hideMark/>
          </w:tcPr>
          <w:p w14:paraId="25DDE0B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1 554</w:t>
            </w:r>
          </w:p>
        </w:tc>
        <w:tc>
          <w:tcPr>
            <w:tcW w:w="947" w:type="dxa"/>
            <w:tcBorders>
              <w:top w:val="nil"/>
              <w:left w:val="nil"/>
              <w:bottom w:val="single" w:sz="4" w:space="0" w:color="auto"/>
              <w:right w:val="single" w:sz="4" w:space="0" w:color="auto"/>
            </w:tcBorders>
            <w:shd w:val="clear" w:color="auto" w:fill="auto"/>
            <w:hideMark/>
          </w:tcPr>
          <w:p w14:paraId="4C01D91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1 448</w:t>
            </w:r>
          </w:p>
        </w:tc>
        <w:tc>
          <w:tcPr>
            <w:tcW w:w="947" w:type="dxa"/>
            <w:tcBorders>
              <w:top w:val="nil"/>
              <w:left w:val="nil"/>
              <w:bottom w:val="single" w:sz="4" w:space="0" w:color="auto"/>
              <w:right w:val="single" w:sz="4" w:space="0" w:color="auto"/>
            </w:tcBorders>
            <w:shd w:val="clear" w:color="auto" w:fill="auto"/>
            <w:hideMark/>
          </w:tcPr>
          <w:p w14:paraId="7DF22BA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17 379</w:t>
            </w:r>
          </w:p>
        </w:tc>
        <w:tc>
          <w:tcPr>
            <w:tcW w:w="947" w:type="dxa"/>
            <w:tcBorders>
              <w:top w:val="nil"/>
              <w:left w:val="nil"/>
              <w:bottom w:val="single" w:sz="4" w:space="0" w:color="auto"/>
              <w:right w:val="single" w:sz="4" w:space="0" w:color="auto"/>
            </w:tcBorders>
            <w:shd w:val="clear" w:color="auto" w:fill="auto"/>
            <w:hideMark/>
          </w:tcPr>
          <w:p w14:paraId="4E82BAB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16 458</w:t>
            </w:r>
          </w:p>
        </w:tc>
        <w:tc>
          <w:tcPr>
            <w:tcW w:w="947" w:type="dxa"/>
            <w:tcBorders>
              <w:top w:val="nil"/>
              <w:left w:val="nil"/>
              <w:bottom w:val="single" w:sz="4" w:space="0" w:color="auto"/>
              <w:right w:val="single" w:sz="4" w:space="0" w:color="auto"/>
            </w:tcBorders>
            <w:shd w:val="clear" w:color="auto" w:fill="auto"/>
            <w:hideMark/>
          </w:tcPr>
          <w:p w14:paraId="08426FF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12 518</w:t>
            </w:r>
          </w:p>
        </w:tc>
        <w:tc>
          <w:tcPr>
            <w:tcW w:w="947" w:type="dxa"/>
            <w:tcBorders>
              <w:top w:val="nil"/>
              <w:left w:val="nil"/>
              <w:bottom w:val="single" w:sz="4" w:space="0" w:color="auto"/>
              <w:right w:val="single" w:sz="4" w:space="0" w:color="auto"/>
            </w:tcBorders>
            <w:shd w:val="clear" w:color="auto" w:fill="auto"/>
            <w:hideMark/>
          </w:tcPr>
          <w:p w14:paraId="77CE8DB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11 024</w:t>
            </w:r>
          </w:p>
        </w:tc>
        <w:tc>
          <w:tcPr>
            <w:tcW w:w="946" w:type="dxa"/>
            <w:tcBorders>
              <w:top w:val="nil"/>
              <w:left w:val="nil"/>
              <w:bottom w:val="single" w:sz="4" w:space="0" w:color="auto"/>
              <w:right w:val="single" w:sz="4" w:space="0" w:color="auto"/>
            </w:tcBorders>
            <w:shd w:val="clear" w:color="auto" w:fill="auto"/>
            <w:hideMark/>
          </w:tcPr>
          <w:p w14:paraId="4A1F21F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6 827</w:t>
            </w:r>
          </w:p>
        </w:tc>
        <w:tc>
          <w:tcPr>
            <w:tcW w:w="1189" w:type="dxa"/>
            <w:tcBorders>
              <w:top w:val="nil"/>
              <w:left w:val="nil"/>
              <w:bottom w:val="single" w:sz="4" w:space="0" w:color="auto"/>
              <w:right w:val="single" w:sz="8" w:space="0" w:color="auto"/>
            </w:tcBorders>
            <w:shd w:val="clear" w:color="auto" w:fill="auto"/>
            <w:hideMark/>
          </w:tcPr>
          <w:p w14:paraId="27669FA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6 502</w:t>
            </w:r>
          </w:p>
        </w:tc>
      </w:tr>
    </w:tbl>
    <w:p w14:paraId="04B5465C" w14:textId="258B5075" w:rsidR="00680E37" w:rsidRDefault="00680E37" w:rsidP="00680E3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Продолжение таблицы А3</w:t>
      </w:r>
    </w:p>
    <w:p w14:paraId="74C6075D" w14:textId="77777777" w:rsidR="00680E37" w:rsidRDefault="00680E37"/>
    <w:tbl>
      <w:tblPr>
        <w:tblW w:w="14459" w:type="dxa"/>
        <w:tblInd w:w="-10" w:type="dxa"/>
        <w:tblLook w:val="04A0" w:firstRow="1" w:lastRow="0" w:firstColumn="1" w:lastColumn="0" w:noHBand="0" w:noVBand="1"/>
      </w:tblPr>
      <w:tblGrid>
        <w:gridCol w:w="554"/>
        <w:gridCol w:w="485"/>
        <w:gridCol w:w="2098"/>
        <w:gridCol w:w="777"/>
        <w:gridCol w:w="893"/>
        <w:gridCol w:w="889"/>
        <w:gridCol w:w="946"/>
        <w:gridCol w:w="947"/>
        <w:gridCol w:w="947"/>
        <w:gridCol w:w="947"/>
        <w:gridCol w:w="947"/>
        <w:gridCol w:w="947"/>
        <w:gridCol w:w="947"/>
        <w:gridCol w:w="946"/>
        <w:gridCol w:w="1189"/>
      </w:tblGrid>
      <w:tr w:rsidR="005B6AF9" w:rsidRPr="004135FE" w14:paraId="155650C7" w14:textId="77777777" w:rsidTr="00680E37">
        <w:trPr>
          <w:trHeight w:val="226"/>
        </w:trPr>
        <w:tc>
          <w:tcPr>
            <w:tcW w:w="554" w:type="dxa"/>
            <w:vMerge w:val="restart"/>
            <w:tcBorders>
              <w:top w:val="single" w:sz="4" w:space="0" w:color="auto"/>
              <w:left w:val="single" w:sz="4" w:space="0" w:color="auto"/>
              <w:bottom w:val="single" w:sz="4" w:space="0" w:color="auto"/>
              <w:right w:val="single" w:sz="4" w:space="0" w:color="auto"/>
            </w:tcBorders>
            <w:vAlign w:val="center"/>
            <w:hideMark/>
          </w:tcPr>
          <w:p w14:paraId="0DB0D573"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single" w:sz="4" w:space="0" w:color="auto"/>
              <w:left w:val="nil"/>
              <w:bottom w:val="single" w:sz="4" w:space="0" w:color="auto"/>
              <w:right w:val="single" w:sz="4" w:space="0" w:color="auto"/>
            </w:tcBorders>
            <w:shd w:val="clear" w:color="auto" w:fill="auto"/>
            <w:hideMark/>
          </w:tcPr>
          <w:p w14:paraId="53F9511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tcBorders>
              <w:top w:val="single" w:sz="4" w:space="0" w:color="auto"/>
              <w:left w:val="single" w:sz="4" w:space="0" w:color="auto"/>
              <w:bottom w:val="single" w:sz="4" w:space="0" w:color="auto"/>
              <w:right w:val="single" w:sz="4" w:space="0" w:color="auto"/>
            </w:tcBorders>
            <w:shd w:val="clear" w:color="auto" w:fill="auto"/>
            <w:hideMark/>
          </w:tcPr>
          <w:p w14:paraId="1EA83DD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777" w:type="dxa"/>
            <w:tcBorders>
              <w:top w:val="single" w:sz="4" w:space="0" w:color="auto"/>
              <w:left w:val="nil"/>
              <w:bottom w:val="single" w:sz="4" w:space="0" w:color="auto"/>
              <w:right w:val="single" w:sz="4" w:space="0" w:color="auto"/>
            </w:tcBorders>
            <w:shd w:val="clear" w:color="auto" w:fill="auto"/>
            <w:hideMark/>
          </w:tcPr>
          <w:p w14:paraId="375A19B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1 604</w:t>
            </w:r>
          </w:p>
        </w:tc>
        <w:tc>
          <w:tcPr>
            <w:tcW w:w="893" w:type="dxa"/>
            <w:tcBorders>
              <w:top w:val="single" w:sz="4" w:space="0" w:color="auto"/>
              <w:left w:val="nil"/>
              <w:bottom w:val="single" w:sz="4" w:space="0" w:color="auto"/>
              <w:right w:val="single" w:sz="4" w:space="0" w:color="auto"/>
            </w:tcBorders>
            <w:shd w:val="clear" w:color="auto" w:fill="auto"/>
            <w:hideMark/>
          </w:tcPr>
          <w:p w14:paraId="1699071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7 831</w:t>
            </w:r>
          </w:p>
        </w:tc>
        <w:tc>
          <w:tcPr>
            <w:tcW w:w="889" w:type="dxa"/>
            <w:tcBorders>
              <w:top w:val="single" w:sz="4" w:space="0" w:color="auto"/>
              <w:left w:val="nil"/>
              <w:bottom w:val="single" w:sz="4" w:space="0" w:color="auto"/>
              <w:right w:val="single" w:sz="4" w:space="0" w:color="auto"/>
            </w:tcBorders>
            <w:shd w:val="clear" w:color="auto" w:fill="auto"/>
            <w:hideMark/>
          </w:tcPr>
          <w:p w14:paraId="07B23BD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9 992</w:t>
            </w:r>
          </w:p>
        </w:tc>
        <w:tc>
          <w:tcPr>
            <w:tcW w:w="946" w:type="dxa"/>
            <w:tcBorders>
              <w:top w:val="single" w:sz="4" w:space="0" w:color="auto"/>
              <w:left w:val="nil"/>
              <w:bottom w:val="single" w:sz="4" w:space="0" w:color="auto"/>
              <w:right w:val="single" w:sz="4" w:space="0" w:color="auto"/>
            </w:tcBorders>
            <w:shd w:val="clear" w:color="auto" w:fill="auto"/>
            <w:hideMark/>
          </w:tcPr>
          <w:p w14:paraId="5BADDD2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8 045</w:t>
            </w:r>
          </w:p>
        </w:tc>
        <w:tc>
          <w:tcPr>
            <w:tcW w:w="947" w:type="dxa"/>
            <w:tcBorders>
              <w:top w:val="single" w:sz="4" w:space="0" w:color="auto"/>
              <w:left w:val="nil"/>
              <w:bottom w:val="single" w:sz="4" w:space="0" w:color="auto"/>
              <w:right w:val="single" w:sz="4" w:space="0" w:color="auto"/>
            </w:tcBorders>
            <w:shd w:val="clear" w:color="auto" w:fill="auto"/>
            <w:hideMark/>
          </w:tcPr>
          <w:p w14:paraId="3809F04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2 522</w:t>
            </w:r>
          </w:p>
        </w:tc>
        <w:tc>
          <w:tcPr>
            <w:tcW w:w="947" w:type="dxa"/>
            <w:tcBorders>
              <w:top w:val="single" w:sz="4" w:space="0" w:color="auto"/>
              <w:left w:val="nil"/>
              <w:bottom w:val="single" w:sz="4" w:space="0" w:color="auto"/>
              <w:right w:val="single" w:sz="4" w:space="0" w:color="auto"/>
            </w:tcBorders>
            <w:shd w:val="clear" w:color="auto" w:fill="auto"/>
            <w:hideMark/>
          </w:tcPr>
          <w:p w14:paraId="70543FE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1 274</w:t>
            </w:r>
          </w:p>
        </w:tc>
        <w:tc>
          <w:tcPr>
            <w:tcW w:w="947" w:type="dxa"/>
            <w:tcBorders>
              <w:top w:val="single" w:sz="4" w:space="0" w:color="auto"/>
              <w:left w:val="nil"/>
              <w:bottom w:val="single" w:sz="4" w:space="0" w:color="auto"/>
              <w:right w:val="single" w:sz="4" w:space="0" w:color="auto"/>
            </w:tcBorders>
            <w:shd w:val="clear" w:color="auto" w:fill="auto"/>
            <w:hideMark/>
          </w:tcPr>
          <w:p w14:paraId="6B23F51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13 621</w:t>
            </w:r>
          </w:p>
        </w:tc>
        <w:tc>
          <w:tcPr>
            <w:tcW w:w="947" w:type="dxa"/>
            <w:tcBorders>
              <w:top w:val="single" w:sz="4" w:space="0" w:color="auto"/>
              <w:left w:val="nil"/>
              <w:bottom w:val="single" w:sz="4" w:space="0" w:color="auto"/>
              <w:right w:val="single" w:sz="4" w:space="0" w:color="auto"/>
            </w:tcBorders>
            <w:shd w:val="clear" w:color="auto" w:fill="auto"/>
            <w:hideMark/>
          </w:tcPr>
          <w:p w14:paraId="5D7DE5C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13 940</w:t>
            </w:r>
          </w:p>
        </w:tc>
        <w:tc>
          <w:tcPr>
            <w:tcW w:w="947" w:type="dxa"/>
            <w:tcBorders>
              <w:top w:val="single" w:sz="4" w:space="0" w:color="auto"/>
              <w:left w:val="nil"/>
              <w:bottom w:val="single" w:sz="4" w:space="0" w:color="auto"/>
              <w:right w:val="single" w:sz="4" w:space="0" w:color="auto"/>
            </w:tcBorders>
            <w:shd w:val="clear" w:color="auto" w:fill="auto"/>
            <w:hideMark/>
          </w:tcPr>
          <w:p w14:paraId="41E57B6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11 679</w:t>
            </w:r>
          </w:p>
        </w:tc>
        <w:tc>
          <w:tcPr>
            <w:tcW w:w="947" w:type="dxa"/>
            <w:tcBorders>
              <w:top w:val="single" w:sz="4" w:space="0" w:color="auto"/>
              <w:left w:val="nil"/>
              <w:bottom w:val="single" w:sz="4" w:space="0" w:color="auto"/>
              <w:right w:val="single" w:sz="4" w:space="0" w:color="auto"/>
            </w:tcBorders>
            <w:shd w:val="clear" w:color="auto" w:fill="auto"/>
            <w:hideMark/>
          </w:tcPr>
          <w:p w14:paraId="1BBB21E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11 610</w:t>
            </w:r>
          </w:p>
        </w:tc>
        <w:tc>
          <w:tcPr>
            <w:tcW w:w="946" w:type="dxa"/>
            <w:tcBorders>
              <w:top w:val="single" w:sz="4" w:space="0" w:color="auto"/>
              <w:left w:val="nil"/>
              <w:bottom w:val="single" w:sz="4" w:space="0" w:color="auto"/>
              <w:right w:val="single" w:sz="4" w:space="0" w:color="auto"/>
            </w:tcBorders>
            <w:shd w:val="clear" w:color="auto" w:fill="auto"/>
            <w:hideMark/>
          </w:tcPr>
          <w:p w14:paraId="750FDFA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7 930</w:t>
            </w:r>
          </w:p>
        </w:tc>
        <w:tc>
          <w:tcPr>
            <w:tcW w:w="1189" w:type="dxa"/>
            <w:tcBorders>
              <w:top w:val="single" w:sz="4" w:space="0" w:color="auto"/>
              <w:left w:val="nil"/>
              <w:bottom w:val="single" w:sz="4" w:space="0" w:color="auto"/>
              <w:right w:val="single" w:sz="4" w:space="0" w:color="auto"/>
            </w:tcBorders>
            <w:shd w:val="clear" w:color="auto" w:fill="auto"/>
            <w:hideMark/>
          </w:tcPr>
          <w:p w14:paraId="7D03C98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7 376</w:t>
            </w:r>
          </w:p>
        </w:tc>
      </w:tr>
      <w:tr w:rsidR="005B6AF9" w:rsidRPr="004135FE" w14:paraId="184CDC49" w14:textId="77777777" w:rsidTr="00680E37">
        <w:trPr>
          <w:trHeight w:val="226"/>
        </w:trPr>
        <w:tc>
          <w:tcPr>
            <w:tcW w:w="554" w:type="dxa"/>
            <w:vMerge/>
            <w:tcBorders>
              <w:top w:val="single" w:sz="4" w:space="0" w:color="auto"/>
              <w:left w:val="single" w:sz="8" w:space="0" w:color="auto"/>
              <w:bottom w:val="single" w:sz="8" w:space="0" w:color="000000"/>
              <w:right w:val="single" w:sz="4" w:space="0" w:color="auto"/>
            </w:tcBorders>
            <w:vAlign w:val="center"/>
            <w:hideMark/>
          </w:tcPr>
          <w:p w14:paraId="2B659FF6"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single" w:sz="4" w:space="0" w:color="auto"/>
              <w:left w:val="nil"/>
              <w:bottom w:val="single" w:sz="4" w:space="0" w:color="auto"/>
              <w:right w:val="single" w:sz="4" w:space="0" w:color="auto"/>
            </w:tcBorders>
            <w:shd w:val="clear" w:color="auto" w:fill="auto"/>
            <w:hideMark/>
          </w:tcPr>
          <w:p w14:paraId="74B666A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tcBorders>
              <w:top w:val="single" w:sz="4" w:space="0" w:color="auto"/>
              <w:left w:val="single" w:sz="4" w:space="0" w:color="auto"/>
              <w:bottom w:val="single" w:sz="4" w:space="0" w:color="auto"/>
              <w:right w:val="single" w:sz="4" w:space="0" w:color="auto"/>
            </w:tcBorders>
            <w:shd w:val="clear" w:color="auto" w:fill="auto"/>
            <w:hideMark/>
          </w:tcPr>
          <w:p w14:paraId="148CD6A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777" w:type="dxa"/>
            <w:tcBorders>
              <w:top w:val="single" w:sz="4" w:space="0" w:color="auto"/>
              <w:left w:val="nil"/>
              <w:bottom w:val="single" w:sz="4" w:space="0" w:color="auto"/>
              <w:right w:val="single" w:sz="4" w:space="0" w:color="auto"/>
            </w:tcBorders>
            <w:shd w:val="clear" w:color="auto" w:fill="auto"/>
            <w:hideMark/>
          </w:tcPr>
          <w:p w14:paraId="7A14AC1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893" w:type="dxa"/>
            <w:tcBorders>
              <w:top w:val="single" w:sz="4" w:space="0" w:color="auto"/>
              <w:left w:val="nil"/>
              <w:bottom w:val="single" w:sz="4" w:space="0" w:color="auto"/>
              <w:right w:val="single" w:sz="4" w:space="0" w:color="auto"/>
            </w:tcBorders>
            <w:shd w:val="clear" w:color="auto" w:fill="auto"/>
            <w:hideMark/>
          </w:tcPr>
          <w:p w14:paraId="061B219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889" w:type="dxa"/>
            <w:tcBorders>
              <w:top w:val="single" w:sz="4" w:space="0" w:color="auto"/>
              <w:left w:val="nil"/>
              <w:bottom w:val="single" w:sz="4" w:space="0" w:color="auto"/>
              <w:right w:val="single" w:sz="4" w:space="0" w:color="auto"/>
            </w:tcBorders>
            <w:shd w:val="clear" w:color="auto" w:fill="auto"/>
            <w:hideMark/>
          </w:tcPr>
          <w:p w14:paraId="59E43D8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6" w:type="dxa"/>
            <w:tcBorders>
              <w:top w:val="single" w:sz="4" w:space="0" w:color="auto"/>
              <w:left w:val="nil"/>
              <w:bottom w:val="single" w:sz="4" w:space="0" w:color="auto"/>
              <w:right w:val="single" w:sz="4" w:space="0" w:color="auto"/>
            </w:tcBorders>
            <w:shd w:val="clear" w:color="auto" w:fill="auto"/>
            <w:hideMark/>
          </w:tcPr>
          <w:p w14:paraId="241A1DB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7" w:type="dxa"/>
            <w:tcBorders>
              <w:top w:val="single" w:sz="4" w:space="0" w:color="auto"/>
              <w:left w:val="nil"/>
              <w:bottom w:val="single" w:sz="4" w:space="0" w:color="auto"/>
              <w:right w:val="single" w:sz="4" w:space="0" w:color="auto"/>
            </w:tcBorders>
            <w:shd w:val="clear" w:color="auto" w:fill="auto"/>
            <w:hideMark/>
          </w:tcPr>
          <w:p w14:paraId="18F1F67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7" w:type="dxa"/>
            <w:tcBorders>
              <w:top w:val="single" w:sz="4" w:space="0" w:color="auto"/>
              <w:left w:val="nil"/>
              <w:bottom w:val="single" w:sz="4" w:space="0" w:color="auto"/>
              <w:right w:val="single" w:sz="4" w:space="0" w:color="auto"/>
            </w:tcBorders>
            <w:shd w:val="clear" w:color="auto" w:fill="auto"/>
            <w:hideMark/>
          </w:tcPr>
          <w:p w14:paraId="158984B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7" w:type="dxa"/>
            <w:tcBorders>
              <w:top w:val="single" w:sz="4" w:space="0" w:color="auto"/>
              <w:left w:val="nil"/>
              <w:bottom w:val="single" w:sz="4" w:space="0" w:color="auto"/>
              <w:right w:val="single" w:sz="4" w:space="0" w:color="auto"/>
            </w:tcBorders>
            <w:shd w:val="clear" w:color="auto" w:fill="auto"/>
            <w:hideMark/>
          </w:tcPr>
          <w:p w14:paraId="57B5CEA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7" w:type="dxa"/>
            <w:tcBorders>
              <w:top w:val="single" w:sz="4" w:space="0" w:color="auto"/>
              <w:left w:val="nil"/>
              <w:bottom w:val="single" w:sz="4" w:space="0" w:color="auto"/>
              <w:right w:val="single" w:sz="4" w:space="0" w:color="auto"/>
            </w:tcBorders>
            <w:shd w:val="clear" w:color="auto" w:fill="auto"/>
            <w:hideMark/>
          </w:tcPr>
          <w:p w14:paraId="74C6AD6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7" w:type="dxa"/>
            <w:tcBorders>
              <w:top w:val="single" w:sz="4" w:space="0" w:color="auto"/>
              <w:left w:val="nil"/>
              <w:bottom w:val="single" w:sz="4" w:space="0" w:color="auto"/>
              <w:right w:val="single" w:sz="4" w:space="0" w:color="auto"/>
            </w:tcBorders>
            <w:shd w:val="clear" w:color="auto" w:fill="auto"/>
            <w:hideMark/>
          </w:tcPr>
          <w:p w14:paraId="04F6E0C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7" w:type="dxa"/>
            <w:tcBorders>
              <w:top w:val="single" w:sz="4" w:space="0" w:color="auto"/>
              <w:left w:val="nil"/>
              <w:bottom w:val="single" w:sz="4" w:space="0" w:color="auto"/>
              <w:right w:val="single" w:sz="4" w:space="0" w:color="auto"/>
            </w:tcBorders>
            <w:shd w:val="clear" w:color="auto" w:fill="auto"/>
            <w:hideMark/>
          </w:tcPr>
          <w:p w14:paraId="0E19C0C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6" w:type="dxa"/>
            <w:tcBorders>
              <w:top w:val="single" w:sz="4" w:space="0" w:color="auto"/>
              <w:left w:val="nil"/>
              <w:bottom w:val="single" w:sz="4" w:space="0" w:color="auto"/>
              <w:right w:val="single" w:sz="4" w:space="0" w:color="auto"/>
            </w:tcBorders>
            <w:shd w:val="clear" w:color="auto" w:fill="auto"/>
            <w:hideMark/>
          </w:tcPr>
          <w:p w14:paraId="0D04882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189" w:type="dxa"/>
            <w:tcBorders>
              <w:top w:val="single" w:sz="4" w:space="0" w:color="auto"/>
              <w:left w:val="nil"/>
              <w:bottom w:val="single" w:sz="4" w:space="0" w:color="auto"/>
              <w:right w:val="single" w:sz="8" w:space="0" w:color="auto"/>
            </w:tcBorders>
            <w:shd w:val="clear" w:color="auto" w:fill="auto"/>
            <w:hideMark/>
          </w:tcPr>
          <w:p w14:paraId="01E70F9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r>
      <w:tr w:rsidR="005B6AF9" w:rsidRPr="004135FE" w14:paraId="20AB4DEB"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57AB8F3F"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8" w:space="0" w:color="auto"/>
              <w:right w:val="single" w:sz="4" w:space="0" w:color="auto"/>
            </w:tcBorders>
            <w:shd w:val="clear" w:color="auto" w:fill="auto"/>
            <w:hideMark/>
          </w:tcPr>
          <w:p w14:paraId="6BA3539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tcBorders>
              <w:top w:val="nil"/>
              <w:left w:val="single" w:sz="4" w:space="0" w:color="auto"/>
              <w:bottom w:val="single" w:sz="8" w:space="0" w:color="auto"/>
              <w:right w:val="single" w:sz="4" w:space="0" w:color="auto"/>
            </w:tcBorders>
            <w:shd w:val="clear" w:color="auto" w:fill="auto"/>
            <w:hideMark/>
          </w:tcPr>
          <w:p w14:paraId="73CB347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777" w:type="dxa"/>
            <w:tcBorders>
              <w:top w:val="nil"/>
              <w:left w:val="nil"/>
              <w:bottom w:val="single" w:sz="8" w:space="0" w:color="auto"/>
              <w:right w:val="single" w:sz="4" w:space="0" w:color="auto"/>
            </w:tcBorders>
            <w:shd w:val="clear" w:color="auto" w:fill="auto"/>
            <w:hideMark/>
          </w:tcPr>
          <w:p w14:paraId="55A91E2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956</w:t>
            </w:r>
          </w:p>
        </w:tc>
        <w:tc>
          <w:tcPr>
            <w:tcW w:w="893" w:type="dxa"/>
            <w:tcBorders>
              <w:top w:val="nil"/>
              <w:left w:val="nil"/>
              <w:bottom w:val="single" w:sz="8" w:space="0" w:color="auto"/>
              <w:right w:val="single" w:sz="4" w:space="0" w:color="auto"/>
            </w:tcBorders>
            <w:shd w:val="clear" w:color="auto" w:fill="auto"/>
            <w:hideMark/>
          </w:tcPr>
          <w:p w14:paraId="53F5FB4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4 673</w:t>
            </w:r>
          </w:p>
        </w:tc>
        <w:tc>
          <w:tcPr>
            <w:tcW w:w="889" w:type="dxa"/>
            <w:tcBorders>
              <w:top w:val="nil"/>
              <w:left w:val="nil"/>
              <w:bottom w:val="single" w:sz="8" w:space="0" w:color="auto"/>
              <w:right w:val="single" w:sz="4" w:space="0" w:color="auto"/>
            </w:tcBorders>
            <w:shd w:val="clear" w:color="auto" w:fill="auto"/>
            <w:hideMark/>
          </w:tcPr>
          <w:p w14:paraId="1EB4E4F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6 469</w:t>
            </w:r>
          </w:p>
        </w:tc>
        <w:tc>
          <w:tcPr>
            <w:tcW w:w="946" w:type="dxa"/>
            <w:tcBorders>
              <w:top w:val="nil"/>
              <w:left w:val="nil"/>
              <w:bottom w:val="single" w:sz="8" w:space="0" w:color="auto"/>
              <w:right w:val="single" w:sz="4" w:space="0" w:color="auto"/>
            </w:tcBorders>
            <w:shd w:val="clear" w:color="auto" w:fill="auto"/>
            <w:hideMark/>
          </w:tcPr>
          <w:p w14:paraId="1CC00D2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5 696</w:t>
            </w:r>
          </w:p>
        </w:tc>
        <w:tc>
          <w:tcPr>
            <w:tcW w:w="947" w:type="dxa"/>
            <w:tcBorders>
              <w:top w:val="nil"/>
              <w:left w:val="nil"/>
              <w:bottom w:val="single" w:sz="8" w:space="0" w:color="auto"/>
              <w:right w:val="single" w:sz="4" w:space="0" w:color="auto"/>
            </w:tcBorders>
            <w:shd w:val="clear" w:color="auto" w:fill="auto"/>
            <w:hideMark/>
          </w:tcPr>
          <w:p w14:paraId="0EC65B7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3 794</w:t>
            </w:r>
          </w:p>
        </w:tc>
        <w:tc>
          <w:tcPr>
            <w:tcW w:w="947" w:type="dxa"/>
            <w:tcBorders>
              <w:top w:val="nil"/>
              <w:left w:val="nil"/>
              <w:bottom w:val="single" w:sz="8" w:space="0" w:color="auto"/>
              <w:right w:val="single" w:sz="4" w:space="0" w:color="auto"/>
            </w:tcBorders>
            <w:shd w:val="clear" w:color="auto" w:fill="auto"/>
            <w:hideMark/>
          </w:tcPr>
          <w:p w14:paraId="6AAF3E6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2 206</w:t>
            </w:r>
          </w:p>
        </w:tc>
        <w:tc>
          <w:tcPr>
            <w:tcW w:w="947" w:type="dxa"/>
            <w:tcBorders>
              <w:top w:val="nil"/>
              <w:left w:val="nil"/>
              <w:bottom w:val="single" w:sz="8" w:space="0" w:color="auto"/>
              <w:right w:val="single" w:sz="4" w:space="0" w:color="auto"/>
            </w:tcBorders>
            <w:shd w:val="clear" w:color="auto" w:fill="auto"/>
            <w:hideMark/>
          </w:tcPr>
          <w:p w14:paraId="5FF9669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17 648</w:t>
            </w:r>
          </w:p>
        </w:tc>
        <w:tc>
          <w:tcPr>
            <w:tcW w:w="947" w:type="dxa"/>
            <w:tcBorders>
              <w:top w:val="nil"/>
              <w:left w:val="nil"/>
              <w:bottom w:val="single" w:sz="8" w:space="0" w:color="auto"/>
              <w:right w:val="single" w:sz="4" w:space="0" w:color="auto"/>
            </w:tcBorders>
            <w:shd w:val="clear" w:color="auto" w:fill="auto"/>
            <w:hideMark/>
          </w:tcPr>
          <w:p w14:paraId="7DE13D5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17 536</w:t>
            </w:r>
          </w:p>
        </w:tc>
        <w:tc>
          <w:tcPr>
            <w:tcW w:w="947" w:type="dxa"/>
            <w:tcBorders>
              <w:top w:val="nil"/>
              <w:left w:val="nil"/>
              <w:bottom w:val="single" w:sz="8" w:space="0" w:color="auto"/>
              <w:right w:val="single" w:sz="4" w:space="0" w:color="auto"/>
            </w:tcBorders>
            <w:shd w:val="clear" w:color="auto" w:fill="auto"/>
            <w:hideMark/>
          </w:tcPr>
          <w:p w14:paraId="44FA287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13 726</w:t>
            </w:r>
          </w:p>
        </w:tc>
        <w:tc>
          <w:tcPr>
            <w:tcW w:w="947" w:type="dxa"/>
            <w:tcBorders>
              <w:top w:val="nil"/>
              <w:left w:val="nil"/>
              <w:bottom w:val="single" w:sz="8" w:space="0" w:color="auto"/>
              <w:right w:val="single" w:sz="4" w:space="0" w:color="auto"/>
            </w:tcBorders>
            <w:shd w:val="clear" w:color="auto" w:fill="auto"/>
            <w:hideMark/>
          </w:tcPr>
          <w:p w14:paraId="4BEE2CA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13 676</w:t>
            </w:r>
          </w:p>
        </w:tc>
        <w:tc>
          <w:tcPr>
            <w:tcW w:w="946" w:type="dxa"/>
            <w:tcBorders>
              <w:top w:val="nil"/>
              <w:left w:val="nil"/>
              <w:bottom w:val="single" w:sz="8" w:space="0" w:color="auto"/>
              <w:right w:val="single" w:sz="4" w:space="0" w:color="auto"/>
            </w:tcBorders>
            <w:shd w:val="clear" w:color="auto" w:fill="auto"/>
            <w:hideMark/>
          </w:tcPr>
          <w:p w14:paraId="0B32CB1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8 218</w:t>
            </w:r>
          </w:p>
        </w:tc>
        <w:tc>
          <w:tcPr>
            <w:tcW w:w="1189" w:type="dxa"/>
            <w:tcBorders>
              <w:top w:val="nil"/>
              <w:left w:val="nil"/>
              <w:bottom w:val="single" w:sz="8" w:space="0" w:color="auto"/>
              <w:right w:val="single" w:sz="8" w:space="0" w:color="auto"/>
            </w:tcBorders>
            <w:shd w:val="clear" w:color="auto" w:fill="auto"/>
            <w:hideMark/>
          </w:tcPr>
          <w:p w14:paraId="36A630C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8 027</w:t>
            </w:r>
          </w:p>
        </w:tc>
      </w:tr>
      <w:tr w:rsidR="005B6AF9" w:rsidRPr="004135FE" w14:paraId="72D9603D" w14:textId="77777777" w:rsidTr="00680E37">
        <w:trPr>
          <w:trHeight w:val="226"/>
        </w:trPr>
        <w:tc>
          <w:tcPr>
            <w:tcW w:w="554" w:type="dxa"/>
            <w:vMerge w:val="restart"/>
            <w:tcBorders>
              <w:top w:val="nil"/>
              <w:left w:val="single" w:sz="8" w:space="0" w:color="auto"/>
              <w:bottom w:val="single" w:sz="8" w:space="0" w:color="000000"/>
              <w:right w:val="single" w:sz="4" w:space="0" w:color="auto"/>
            </w:tcBorders>
            <w:shd w:val="clear" w:color="auto" w:fill="auto"/>
            <w:noWrap/>
            <w:textDirection w:val="btLr"/>
            <w:vAlign w:val="center"/>
            <w:hideMark/>
          </w:tcPr>
          <w:p w14:paraId="66D8E63E" w14:textId="77777777" w:rsidR="005B6AF9" w:rsidRPr="004135FE" w:rsidRDefault="005B6AF9"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2014г</w:t>
            </w:r>
          </w:p>
        </w:tc>
        <w:tc>
          <w:tcPr>
            <w:tcW w:w="485" w:type="dxa"/>
            <w:tcBorders>
              <w:top w:val="nil"/>
              <w:left w:val="nil"/>
              <w:bottom w:val="single" w:sz="4" w:space="0" w:color="auto"/>
              <w:right w:val="single" w:sz="4" w:space="0" w:color="auto"/>
            </w:tcBorders>
            <w:shd w:val="clear" w:color="auto" w:fill="auto"/>
            <w:hideMark/>
          </w:tcPr>
          <w:p w14:paraId="2A05C95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tcBorders>
              <w:top w:val="nil"/>
              <w:left w:val="single" w:sz="4" w:space="0" w:color="auto"/>
              <w:bottom w:val="single" w:sz="4" w:space="0" w:color="auto"/>
              <w:right w:val="single" w:sz="4" w:space="0" w:color="auto"/>
            </w:tcBorders>
            <w:shd w:val="clear" w:color="auto" w:fill="auto"/>
            <w:hideMark/>
          </w:tcPr>
          <w:p w14:paraId="3B0AE3C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777" w:type="dxa"/>
            <w:tcBorders>
              <w:top w:val="nil"/>
              <w:left w:val="nil"/>
              <w:bottom w:val="single" w:sz="4" w:space="0" w:color="auto"/>
              <w:right w:val="single" w:sz="4" w:space="0" w:color="auto"/>
            </w:tcBorders>
            <w:shd w:val="clear" w:color="auto" w:fill="auto"/>
            <w:hideMark/>
          </w:tcPr>
          <w:p w14:paraId="2BD03D5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2 631</w:t>
            </w:r>
          </w:p>
        </w:tc>
        <w:tc>
          <w:tcPr>
            <w:tcW w:w="893" w:type="dxa"/>
            <w:tcBorders>
              <w:top w:val="nil"/>
              <w:left w:val="nil"/>
              <w:bottom w:val="single" w:sz="4" w:space="0" w:color="auto"/>
              <w:right w:val="single" w:sz="4" w:space="0" w:color="auto"/>
            </w:tcBorders>
            <w:shd w:val="clear" w:color="auto" w:fill="auto"/>
            <w:hideMark/>
          </w:tcPr>
          <w:p w14:paraId="6ECD8DA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45 741</w:t>
            </w:r>
          </w:p>
        </w:tc>
        <w:tc>
          <w:tcPr>
            <w:tcW w:w="889" w:type="dxa"/>
            <w:tcBorders>
              <w:top w:val="nil"/>
              <w:left w:val="nil"/>
              <w:bottom w:val="single" w:sz="4" w:space="0" w:color="auto"/>
              <w:right w:val="single" w:sz="4" w:space="0" w:color="auto"/>
            </w:tcBorders>
            <w:shd w:val="clear" w:color="auto" w:fill="auto"/>
            <w:hideMark/>
          </w:tcPr>
          <w:p w14:paraId="5EC09DE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11 253</w:t>
            </w:r>
          </w:p>
        </w:tc>
        <w:tc>
          <w:tcPr>
            <w:tcW w:w="946" w:type="dxa"/>
            <w:tcBorders>
              <w:top w:val="nil"/>
              <w:left w:val="nil"/>
              <w:bottom w:val="single" w:sz="4" w:space="0" w:color="auto"/>
              <w:right w:val="single" w:sz="4" w:space="0" w:color="auto"/>
            </w:tcBorders>
            <w:shd w:val="clear" w:color="auto" w:fill="auto"/>
            <w:hideMark/>
          </w:tcPr>
          <w:p w14:paraId="1E769D8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15 672</w:t>
            </w:r>
          </w:p>
        </w:tc>
        <w:tc>
          <w:tcPr>
            <w:tcW w:w="947" w:type="dxa"/>
            <w:tcBorders>
              <w:top w:val="nil"/>
              <w:left w:val="nil"/>
              <w:bottom w:val="single" w:sz="4" w:space="0" w:color="auto"/>
              <w:right w:val="single" w:sz="4" w:space="0" w:color="auto"/>
            </w:tcBorders>
            <w:shd w:val="clear" w:color="auto" w:fill="auto"/>
            <w:hideMark/>
          </w:tcPr>
          <w:p w14:paraId="4786327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11 901</w:t>
            </w:r>
          </w:p>
        </w:tc>
        <w:tc>
          <w:tcPr>
            <w:tcW w:w="947" w:type="dxa"/>
            <w:tcBorders>
              <w:top w:val="nil"/>
              <w:left w:val="nil"/>
              <w:bottom w:val="single" w:sz="4" w:space="0" w:color="auto"/>
              <w:right w:val="single" w:sz="4" w:space="0" w:color="auto"/>
            </w:tcBorders>
            <w:shd w:val="clear" w:color="auto" w:fill="auto"/>
            <w:hideMark/>
          </w:tcPr>
          <w:p w14:paraId="024BB53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10 013</w:t>
            </w:r>
          </w:p>
        </w:tc>
        <w:tc>
          <w:tcPr>
            <w:tcW w:w="947" w:type="dxa"/>
            <w:tcBorders>
              <w:top w:val="nil"/>
              <w:left w:val="nil"/>
              <w:bottom w:val="single" w:sz="4" w:space="0" w:color="auto"/>
              <w:right w:val="single" w:sz="4" w:space="0" w:color="auto"/>
            </w:tcBorders>
            <w:shd w:val="clear" w:color="auto" w:fill="auto"/>
            <w:hideMark/>
          </w:tcPr>
          <w:p w14:paraId="2D739D4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18 319</w:t>
            </w:r>
          </w:p>
        </w:tc>
        <w:tc>
          <w:tcPr>
            <w:tcW w:w="947" w:type="dxa"/>
            <w:tcBorders>
              <w:top w:val="nil"/>
              <w:left w:val="nil"/>
              <w:bottom w:val="single" w:sz="4" w:space="0" w:color="auto"/>
              <w:right w:val="single" w:sz="4" w:space="0" w:color="auto"/>
            </w:tcBorders>
            <w:shd w:val="clear" w:color="auto" w:fill="auto"/>
            <w:hideMark/>
          </w:tcPr>
          <w:p w14:paraId="476488C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13 764</w:t>
            </w:r>
          </w:p>
        </w:tc>
        <w:tc>
          <w:tcPr>
            <w:tcW w:w="947" w:type="dxa"/>
            <w:tcBorders>
              <w:top w:val="nil"/>
              <w:left w:val="nil"/>
              <w:bottom w:val="single" w:sz="4" w:space="0" w:color="auto"/>
              <w:right w:val="single" w:sz="4" w:space="0" w:color="auto"/>
            </w:tcBorders>
            <w:shd w:val="clear" w:color="auto" w:fill="auto"/>
            <w:hideMark/>
          </w:tcPr>
          <w:p w14:paraId="76E013A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9 511</w:t>
            </w:r>
          </w:p>
        </w:tc>
        <w:tc>
          <w:tcPr>
            <w:tcW w:w="947" w:type="dxa"/>
            <w:tcBorders>
              <w:top w:val="nil"/>
              <w:left w:val="nil"/>
              <w:bottom w:val="single" w:sz="4" w:space="0" w:color="auto"/>
              <w:right w:val="single" w:sz="4" w:space="0" w:color="auto"/>
            </w:tcBorders>
            <w:shd w:val="clear" w:color="auto" w:fill="auto"/>
            <w:hideMark/>
          </w:tcPr>
          <w:p w14:paraId="0D5FEEC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8 448</w:t>
            </w:r>
          </w:p>
        </w:tc>
        <w:tc>
          <w:tcPr>
            <w:tcW w:w="946" w:type="dxa"/>
            <w:tcBorders>
              <w:top w:val="nil"/>
              <w:left w:val="nil"/>
              <w:bottom w:val="single" w:sz="4" w:space="0" w:color="auto"/>
              <w:right w:val="single" w:sz="4" w:space="0" w:color="auto"/>
            </w:tcBorders>
            <w:shd w:val="clear" w:color="auto" w:fill="auto"/>
            <w:hideMark/>
          </w:tcPr>
          <w:p w14:paraId="3458FA3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7 992</w:t>
            </w:r>
          </w:p>
        </w:tc>
        <w:tc>
          <w:tcPr>
            <w:tcW w:w="1189" w:type="dxa"/>
            <w:tcBorders>
              <w:top w:val="nil"/>
              <w:left w:val="nil"/>
              <w:bottom w:val="single" w:sz="4" w:space="0" w:color="auto"/>
              <w:right w:val="single" w:sz="8" w:space="0" w:color="auto"/>
            </w:tcBorders>
            <w:shd w:val="clear" w:color="auto" w:fill="auto"/>
            <w:hideMark/>
          </w:tcPr>
          <w:p w14:paraId="54844F0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8 108</w:t>
            </w:r>
          </w:p>
        </w:tc>
      </w:tr>
      <w:tr w:rsidR="005B6AF9" w:rsidRPr="004135FE" w14:paraId="122DA63B"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184DFF0C"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033E1EA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tcBorders>
              <w:top w:val="nil"/>
              <w:left w:val="single" w:sz="4" w:space="0" w:color="auto"/>
              <w:bottom w:val="single" w:sz="4" w:space="0" w:color="auto"/>
              <w:right w:val="single" w:sz="4" w:space="0" w:color="auto"/>
            </w:tcBorders>
            <w:shd w:val="clear" w:color="auto" w:fill="auto"/>
            <w:hideMark/>
          </w:tcPr>
          <w:p w14:paraId="012A44A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777" w:type="dxa"/>
            <w:tcBorders>
              <w:top w:val="nil"/>
              <w:left w:val="nil"/>
              <w:bottom w:val="single" w:sz="4" w:space="0" w:color="auto"/>
              <w:right w:val="single" w:sz="4" w:space="0" w:color="auto"/>
            </w:tcBorders>
            <w:shd w:val="clear" w:color="auto" w:fill="auto"/>
            <w:hideMark/>
          </w:tcPr>
          <w:p w14:paraId="4D98BB0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2 193</w:t>
            </w:r>
          </w:p>
        </w:tc>
        <w:tc>
          <w:tcPr>
            <w:tcW w:w="893" w:type="dxa"/>
            <w:tcBorders>
              <w:top w:val="nil"/>
              <w:left w:val="nil"/>
              <w:bottom w:val="single" w:sz="4" w:space="0" w:color="auto"/>
              <w:right w:val="single" w:sz="4" w:space="0" w:color="auto"/>
            </w:tcBorders>
            <w:shd w:val="clear" w:color="auto" w:fill="auto"/>
            <w:hideMark/>
          </w:tcPr>
          <w:p w14:paraId="774BA56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8 140</w:t>
            </w:r>
          </w:p>
        </w:tc>
        <w:tc>
          <w:tcPr>
            <w:tcW w:w="889" w:type="dxa"/>
            <w:tcBorders>
              <w:top w:val="nil"/>
              <w:left w:val="nil"/>
              <w:bottom w:val="single" w:sz="4" w:space="0" w:color="auto"/>
              <w:right w:val="single" w:sz="4" w:space="0" w:color="auto"/>
            </w:tcBorders>
            <w:shd w:val="clear" w:color="auto" w:fill="auto"/>
            <w:hideMark/>
          </w:tcPr>
          <w:p w14:paraId="2C15FB9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8 835</w:t>
            </w:r>
          </w:p>
        </w:tc>
        <w:tc>
          <w:tcPr>
            <w:tcW w:w="946" w:type="dxa"/>
            <w:tcBorders>
              <w:top w:val="nil"/>
              <w:left w:val="nil"/>
              <w:bottom w:val="single" w:sz="4" w:space="0" w:color="auto"/>
              <w:right w:val="single" w:sz="4" w:space="0" w:color="auto"/>
            </w:tcBorders>
            <w:shd w:val="clear" w:color="auto" w:fill="auto"/>
            <w:hideMark/>
          </w:tcPr>
          <w:p w14:paraId="6260FA1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6 421</w:t>
            </w:r>
          </w:p>
        </w:tc>
        <w:tc>
          <w:tcPr>
            <w:tcW w:w="947" w:type="dxa"/>
            <w:tcBorders>
              <w:top w:val="nil"/>
              <w:left w:val="nil"/>
              <w:bottom w:val="single" w:sz="4" w:space="0" w:color="auto"/>
              <w:right w:val="single" w:sz="4" w:space="0" w:color="auto"/>
            </w:tcBorders>
            <w:shd w:val="clear" w:color="auto" w:fill="auto"/>
            <w:hideMark/>
          </w:tcPr>
          <w:p w14:paraId="3D66127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2 943</w:t>
            </w:r>
          </w:p>
        </w:tc>
        <w:tc>
          <w:tcPr>
            <w:tcW w:w="947" w:type="dxa"/>
            <w:tcBorders>
              <w:top w:val="nil"/>
              <w:left w:val="nil"/>
              <w:bottom w:val="single" w:sz="4" w:space="0" w:color="auto"/>
              <w:right w:val="single" w:sz="4" w:space="0" w:color="auto"/>
            </w:tcBorders>
            <w:shd w:val="clear" w:color="auto" w:fill="auto"/>
            <w:hideMark/>
          </w:tcPr>
          <w:p w14:paraId="0FDFA3E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1 265</w:t>
            </w:r>
          </w:p>
        </w:tc>
        <w:tc>
          <w:tcPr>
            <w:tcW w:w="947" w:type="dxa"/>
            <w:tcBorders>
              <w:top w:val="nil"/>
              <w:left w:val="nil"/>
              <w:bottom w:val="single" w:sz="4" w:space="0" w:color="auto"/>
              <w:right w:val="single" w:sz="4" w:space="0" w:color="auto"/>
            </w:tcBorders>
            <w:shd w:val="clear" w:color="auto" w:fill="auto"/>
            <w:hideMark/>
          </w:tcPr>
          <w:p w14:paraId="11A040C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15 835</w:t>
            </w:r>
          </w:p>
        </w:tc>
        <w:tc>
          <w:tcPr>
            <w:tcW w:w="947" w:type="dxa"/>
            <w:tcBorders>
              <w:top w:val="nil"/>
              <w:left w:val="nil"/>
              <w:bottom w:val="single" w:sz="4" w:space="0" w:color="auto"/>
              <w:right w:val="single" w:sz="4" w:space="0" w:color="auto"/>
            </w:tcBorders>
            <w:shd w:val="clear" w:color="auto" w:fill="auto"/>
            <w:hideMark/>
          </w:tcPr>
          <w:p w14:paraId="4BE27E1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14 600</w:t>
            </w:r>
          </w:p>
        </w:tc>
        <w:tc>
          <w:tcPr>
            <w:tcW w:w="947" w:type="dxa"/>
            <w:tcBorders>
              <w:top w:val="nil"/>
              <w:left w:val="nil"/>
              <w:bottom w:val="single" w:sz="4" w:space="0" w:color="auto"/>
              <w:right w:val="single" w:sz="4" w:space="0" w:color="auto"/>
            </w:tcBorders>
            <w:shd w:val="clear" w:color="auto" w:fill="auto"/>
            <w:hideMark/>
          </w:tcPr>
          <w:p w14:paraId="4B0C2A1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10 023</w:t>
            </w:r>
          </w:p>
        </w:tc>
        <w:tc>
          <w:tcPr>
            <w:tcW w:w="947" w:type="dxa"/>
            <w:tcBorders>
              <w:top w:val="nil"/>
              <w:left w:val="nil"/>
              <w:bottom w:val="single" w:sz="4" w:space="0" w:color="auto"/>
              <w:right w:val="single" w:sz="4" w:space="0" w:color="auto"/>
            </w:tcBorders>
            <w:shd w:val="clear" w:color="auto" w:fill="auto"/>
            <w:hideMark/>
          </w:tcPr>
          <w:p w14:paraId="2CB7D09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7 611</w:t>
            </w:r>
          </w:p>
        </w:tc>
        <w:tc>
          <w:tcPr>
            <w:tcW w:w="946" w:type="dxa"/>
            <w:tcBorders>
              <w:top w:val="nil"/>
              <w:left w:val="nil"/>
              <w:bottom w:val="single" w:sz="4" w:space="0" w:color="auto"/>
              <w:right w:val="single" w:sz="4" w:space="0" w:color="auto"/>
            </w:tcBorders>
            <w:shd w:val="clear" w:color="auto" w:fill="auto"/>
            <w:hideMark/>
          </w:tcPr>
          <w:p w14:paraId="22C9B34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3 743</w:t>
            </w:r>
          </w:p>
        </w:tc>
        <w:tc>
          <w:tcPr>
            <w:tcW w:w="1189" w:type="dxa"/>
            <w:tcBorders>
              <w:top w:val="nil"/>
              <w:left w:val="nil"/>
              <w:bottom w:val="single" w:sz="4" w:space="0" w:color="auto"/>
              <w:right w:val="single" w:sz="8" w:space="0" w:color="auto"/>
            </w:tcBorders>
            <w:shd w:val="clear" w:color="auto" w:fill="auto"/>
            <w:hideMark/>
          </w:tcPr>
          <w:p w14:paraId="2EEE974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3 081</w:t>
            </w:r>
          </w:p>
        </w:tc>
      </w:tr>
      <w:tr w:rsidR="005B6AF9" w:rsidRPr="004135FE" w14:paraId="054EE17F"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7C4EE472"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799EE06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tcBorders>
              <w:top w:val="nil"/>
              <w:left w:val="single" w:sz="4" w:space="0" w:color="auto"/>
              <w:bottom w:val="single" w:sz="4" w:space="0" w:color="auto"/>
              <w:right w:val="single" w:sz="4" w:space="0" w:color="auto"/>
            </w:tcBorders>
            <w:shd w:val="clear" w:color="auto" w:fill="auto"/>
            <w:hideMark/>
          </w:tcPr>
          <w:p w14:paraId="5F1393F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777" w:type="dxa"/>
            <w:tcBorders>
              <w:top w:val="nil"/>
              <w:left w:val="nil"/>
              <w:bottom w:val="single" w:sz="4" w:space="0" w:color="auto"/>
              <w:right w:val="single" w:sz="4" w:space="0" w:color="auto"/>
            </w:tcBorders>
            <w:shd w:val="clear" w:color="auto" w:fill="auto"/>
            <w:hideMark/>
          </w:tcPr>
          <w:p w14:paraId="0D20BF7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2 907</w:t>
            </w:r>
          </w:p>
        </w:tc>
        <w:tc>
          <w:tcPr>
            <w:tcW w:w="893" w:type="dxa"/>
            <w:tcBorders>
              <w:top w:val="nil"/>
              <w:left w:val="nil"/>
              <w:bottom w:val="single" w:sz="4" w:space="0" w:color="auto"/>
              <w:right w:val="single" w:sz="4" w:space="0" w:color="auto"/>
            </w:tcBorders>
            <w:shd w:val="clear" w:color="auto" w:fill="auto"/>
            <w:hideMark/>
          </w:tcPr>
          <w:p w14:paraId="3C5D929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12 358</w:t>
            </w:r>
          </w:p>
        </w:tc>
        <w:tc>
          <w:tcPr>
            <w:tcW w:w="889" w:type="dxa"/>
            <w:tcBorders>
              <w:top w:val="nil"/>
              <w:left w:val="nil"/>
              <w:bottom w:val="single" w:sz="4" w:space="0" w:color="auto"/>
              <w:right w:val="single" w:sz="4" w:space="0" w:color="auto"/>
            </w:tcBorders>
            <w:shd w:val="clear" w:color="auto" w:fill="auto"/>
            <w:hideMark/>
          </w:tcPr>
          <w:p w14:paraId="6CCE8A3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13 415</w:t>
            </w:r>
          </w:p>
        </w:tc>
        <w:tc>
          <w:tcPr>
            <w:tcW w:w="946" w:type="dxa"/>
            <w:tcBorders>
              <w:top w:val="nil"/>
              <w:left w:val="nil"/>
              <w:bottom w:val="single" w:sz="4" w:space="0" w:color="auto"/>
              <w:right w:val="single" w:sz="4" w:space="0" w:color="auto"/>
            </w:tcBorders>
            <w:shd w:val="clear" w:color="auto" w:fill="auto"/>
            <w:hideMark/>
          </w:tcPr>
          <w:p w14:paraId="4A986EF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9 434</w:t>
            </w:r>
          </w:p>
        </w:tc>
        <w:tc>
          <w:tcPr>
            <w:tcW w:w="947" w:type="dxa"/>
            <w:tcBorders>
              <w:top w:val="nil"/>
              <w:left w:val="nil"/>
              <w:bottom w:val="single" w:sz="4" w:space="0" w:color="auto"/>
              <w:right w:val="single" w:sz="4" w:space="0" w:color="auto"/>
            </w:tcBorders>
            <w:shd w:val="clear" w:color="auto" w:fill="auto"/>
            <w:hideMark/>
          </w:tcPr>
          <w:p w14:paraId="54E6BD0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4 945</w:t>
            </w:r>
          </w:p>
        </w:tc>
        <w:tc>
          <w:tcPr>
            <w:tcW w:w="947" w:type="dxa"/>
            <w:tcBorders>
              <w:top w:val="nil"/>
              <w:left w:val="nil"/>
              <w:bottom w:val="single" w:sz="4" w:space="0" w:color="auto"/>
              <w:right w:val="single" w:sz="4" w:space="0" w:color="auto"/>
            </w:tcBorders>
            <w:shd w:val="clear" w:color="auto" w:fill="auto"/>
            <w:hideMark/>
          </w:tcPr>
          <w:p w14:paraId="32EF46B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2 251</w:t>
            </w:r>
          </w:p>
        </w:tc>
        <w:tc>
          <w:tcPr>
            <w:tcW w:w="947" w:type="dxa"/>
            <w:tcBorders>
              <w:top w:val="nil"/>
              <w:left w:val="nil"/>
              <w:bottom w:val="single" w:sz="4" w:space="0" w:color="auto"/>
              <w:right w:val="single" w:sz="4" w:space="0" w:color="auto"/>
            </w:tcBorders>
            <w:shd w:val="clear" w:color="auto" w:fill="auto"/>
            <w:hideMark/>
          </w:tcPr>
          <w:p w14:paraId="207957D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26 426</w:t>
            </w:r>
          </w:p>
        </w:tc>
        <w:tc>
          <w:tcPr>
            <w:tcW w:w="947" w:type="dxa"/>
            <w:tcBorders>
              <w:top w:val="nil"/>
              <w:left w:val="nil"/>
              <w:bottom w:val="single" w:sz="4" w:space="0" w:color="auto"/>
              <w:right w:val="single" w:sz="4" w:space="0" w:color="auto"/>
            </w:tcBorders>
            <w:shd w:val="clear" w:color="auto" w:fill="auto"/>
            <w:hideMark/>
          </w:tcPr>
          <w:p w14:paraId="6A2AA54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26 385</w:t>
            </w:r>
          </w:p>
        </w:tc>
        <w:tc>
          <w:tcPr>
            <w:tcW w:w="947" w:type="dxa"/>
            <w:tcBorders>
              <w:top w:val="nil"/>
              <w:left w:val="nil"/>
              <w:bottom w:val="single" w:sz="4" w:space="0" w:color="auto"/>
              <w:right w:val="single" w:sz="4" w:space="0" w:color="auto"/>
            </w:tcBorders>
            <w:shd w:val="clear" w:color="auto" w:fill="auto"/>
            <w:hideMark/>
          </w:tcPr>
          <w:p w14:paraId="011338B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20 923</w:t>
            </w:r>
          </w:p>
        </w:tc>
        <w:tc>
          <w:tcPr>
            <w:tcW w:w="947" w:type="dxa"/>
            <w:tcBorders>
              <w:top w:val="nil"/>
              <w:left w:val="nil"/>
              <w:bottom w:val="single" w:sz="4" w:space="0" w:color="auto"/>
              <w:right w:val="single" w:sz="4" w:space="0" w:color="auto"/>
            </w:tcBorders>
            <w:shd w:val="clear" w:color="auto" w:fill="auto"/>
            <w:hideMark/>
          </w:tcPr>
          <w:p w14:paraId="59726BA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19 435</w:t>
            </w:r>
          </w:p>
        </w:tc>
        <w:tc>
          <w:tcPr>
            <w:tcW w:w="946" w:type="dxa"/>
            <w:tcBorders>
              <w:top w:val="nil"/>
              <w:left w:val="nil"/>
              <w:bottom w:val="single" w:sz="4" w:space="0" w:color="auto"/>
              <w:right w:val="single" w:sz="4" w:space="0" w:color="auto"/>
            </w:tcBorders>
            <w:shd w:val="clear" w:color="auto" w:fill="auto"/>
            <w:hideMark/>
          </w:tcPr>
          <w:p w14:paraId="159832C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13 319</w:t>
            </w:r>
          </w:p>
        </w:tc>
        <w:tc>
          <w:tcPr>
            <w:tcW w:w="1189" w:type="dxa"/>
            <w:tcBorders>
              <w:top w:val="nil"/>
              <w:left w:val="nil"/>
              <w:bottom w:val="single" w:sz="4" w:space="0" w:color="auto"/>
              <w:right w:val="single" w:sz="8" w:space="0" w:color="auto"/>
            </w:tcBorders>
            <w:shd w:val="clear" w:color="auto" w:fill="auto"/>
            <w:hideMark/>
          </w:tcPr>
          <w:p w14:paraId="0AE16E3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11 720</w:t>
            </w:r>
          </w:p>
        </w:tc>
      </w:tr>
      <w:tr w:rsidR="005B6AF9" w:rsidRPr="004135FE" w14:paraId="691DABA4"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3E2D759E"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7105F5E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tcBorders>
              <w:top w:val="nil"/>
              <w:left w:val="single" w:sz="4" w:space="0" w:color="auto"/>
              <w:bottom w:val="single" w:sz="4" w:space="0" w:color="auto"/>
              <w:right w:val="single" w:sz="4" w:space="0" w:color="auto"/>
            </w:tcBorders>
            <w:shd w:val="clear" w:color="auto" w:fill="auto"/>
            <w:hideMark/>
          </w:tcPr>
          <w:p w14:paraId="0CB69D8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777" w:type="dxa"/>
            <w:tcBorders>
              <w:top w:val="nil"/>
              <w:left w:val="nil"/>
              <w:bottom w:val="single" w:sz="4" w:space="0" w:color="auto"/>
              <w:right w:val="single" w:sz="4" w:space="0" w:color="auto"/>
            </w:tcBorders>
            <w:shd w:val="clear" w:color="auto" w:fill="auto"/>
            <w:hideMark/>
          </w:tcPr>
          <w:p w14:paraId="54C5B6A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2 085</w:t>
            </w:r>
          </w:p>
        </w:tc>
        <w:tc>
          <w:tcPr>
            <w:tcW w:w="893" w:type="dxa"/>
            <w:tcBorders>
              <w:top w:val="nil"/>
              <w:left w:val="nil"/>
              <w:bottom w:val="single" w:sz="4" w:space="0" w:color="auto"/>
              <w:right w:val="single" w:sz="4" w:space="0" w:color="auto"/>
            </w:tcBorders>
            <w:shd w:val="clear" w:color="auto" w:fill="auto"/>
            <w:hideMark/>
          </w:tcPr>
          <w:p w14:paraId="3FFC2AF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9 027</w:t>
            </w:r>
          </w:p>
        </w:tc>
        <w:tc>
          <w:tcPr>
            <w:tcW w:w="889" w:type="dxa"/>
            <w:tcBorders>
              <w:top w:val="nil"/>
              <w:left w:val="nil"/>
              <w:bottom w:val="single" w:sz="4" w:space="0" w:color="auto"/>
              <w:right w:val="single" w:sz="4" w:space="0" w:color="auto"/>
            </w:tcBorders>
            <w:shd w:val="clear" w:color="auto" w:fill="auto"/>
            <w:hideMark/>
          </w:tcPr>
          <w:p w14:paraId="4809DFF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10 571</w:t>
            </w:r>
          </w:p>
        </w:tc>
        <w:tc>
          <w:tcPr>
            <w:tcW w:w="946" w:type="dxa"/>
            <w:tcBorders>
              <w:top w:val="nil"/>
              <w:left w:val="nil"/>
              <w:bottom w:val="single" w:sz="4" w:space="0" w:color="auto"/>
              <w:right w:val="single" w:sz="4" w:space="0" w:color="auto"/>
            </w:tcBorders>
            <w:shd w:val="clear" w:color="auto" w:fill="auto"/>
            <w:hideMark/>
          </w:tcPr>
          <w:p w14:paraId="3DE2A99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8 164</w:t>
            </w:r>
          </w:p>
        </w:tc>
        <w:tc>
          <w:tcPr>
            <w:tcW w:w="947" w:type="dxa"/>
            <w:tcBorders>
              <w:top w:val="nil"/>
              <w:left w:val="nil"/>
              <w:bottom w:val="single" w:sz="4" w:space="0" w:color="auto"/>
              <w:right w:val="single" w:sz="4" w:space="0" w:color="auto"/>
            </w:tcBorders>
            <w:shd w:val="clear" w:color="auto" w:fill="auto"/>
            <w:hideMark/>
          </w:tcPr>
          <w:p w14:paraId="3B9157B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6 144</w:t>
            </w:r>
          </w:p>
        </w:tc>
        <w:tc>
          <w:tcPr>
            <w:tcW w:w="947" w:type="dxa"/>
            <w:tcBorders>
              <w:top w:val="nil"/>
              <w:left w:val="nil"/>
              <w:bottom w:val="single" w:sz="4" w:space="0" w:color="auto"/>
              <w:right w:val="single" w:sz="4" w:space="0" w:color="auto"/>
            </w:tcBorders>
            <w:shd w:val="clear" w:color="auto" w:fill="auto"/>
            <w:hideMark/>
          </w:tcPr>
          <w:p w14:paraId="51DF722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16 524</w:t>
            </w:r>
          </w:p>
        </w:tc>
        <w:tc>
          <w:tcPr>
            <w:tcW w:w="947" w:type="dxa"/>
            <w:tcBorders>
              <w:top w:val="nil"/>
              <w:left w:val="nil"/>
              <w:bottom w:val="single" w:sz="4" w:space="0" w:color="auto"/>
              <w:right w:val="single" w:sz="4" w:space="0" w:color="auto"/>
            </w:tcBorders>
            <w:shd w:val="clear" w:color="auto" w:fill="auto"/>
            <w:hideMark/>
          </w:tcPr>
          <w:p w14:paraId="042B3E7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50 918</w:t>
            </w:r>
          </w:p>
        </w:tc>
        <w:tc>
          <w:tcPr>
            <w:tcW w:w="947" w:type="dxa"/>
            <w:tcBorders>
              <w:top w:val="nil"/>
              <w:left w:val="nil"/>
              <w:bottom w:val="single" w:sz="4" w:space="0" w:color="auto"/>
              <w:right w:val="single" w:sz="4" w:space="0" w:color="auto"/>
            </w:tcBorders>
            <w:shd w:val="clear" w:color="auto" w:fill="auto"/>
            <w:hideMark/>
          </w:tcPr>
          <w:p w14:paraId="0A088EE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25 232</w:t>
            </w:r>
          </w:p>
        </w:tc>
        <w:tc>
          <w:tcPr>
            <w:tcW w:w="947" w:type="dxa"/>
            <w:tcBorders>
              <w:top w:val="nil"/>
              <w:left w:val="nil"/>
              <w:bottom w:val="single" w:sz="4" w:space="0" w:color="auto"/>
              <w:right w:val="single" w:sz="4" w:space="0" w:color="auto"/>
            </w:tcBorders>
            <w:shd w:val="clear" w:color="auto" w:fill="auto"/>
            <w:hideMark/>
          </w:tcPr>
          <w:p w14:paraId="055F4A2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20 880</w:t>
            </w:r>
          </w:p>
        </w:tc>
        <w:tc>
          <w:tcPr>
            <w:tcW w:w="947" w:type="dxa"/>
            <w:tcBorders>
              <w:top w:val="nil"/>
              <w:left w:val="nil"/>
              <w:bottom w:val="single" w:sz="4" w:space="0" w:color="auto"/>
              <w:right w:val="single" w:sz="4" w:space="0" w:color="auto"/>
            </w:tcBorders>
            <w:shd w:val="clear" w:color="auto" w:fill="auto"/>
            <w:hideMark/>
          </w:tcPr>
          <w:p w14:paraId="33AC74E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19 061</w:t>
            </w:r>
          </w:p>
        </w:tc>
        <w:tc>
          <w:tcPr>
            <w:tcW w:w="946" w:type="dxa"/>
            <w:tcBorders>
              <w:top w:val="nil"/>
              <w:left w:val="nil"/>
              <w:bottom w:val="single" w:sz="4" w:space="0" w:color="auto"/>
              <w:right w:val="single" w:sz="4" w:space="0" w:color="auto"/>
            </w:tcBorders>
            <w:shd w:val="clear" w:color="auto" w:fill="auto"/>
            <w:hideMark/>
          </w:tcPr>
          <w:p w14:paraId="7A0DF81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14 356</w:t>
            </w:r>
          </w:p>
        </w:tc>
        <w:tc>
          <w:tcPr>
            <w:tcW w:w="1189" w:type="dxa"/>
            <w:tcBorders>
              <w:top w:val="nil"/>
              <w:left w:val="nil"/>
              <w:bottom w:val="single" w:sz="4" w:space="0" w:color="auto"/>
              <w:right w:val="single" w:sz="8" w:space="0" w:color="auto"/>
            </w:tcBorders>
            <w:shd w:val="clear" w:color="auto" w:fill="auto"/>
            <w:hideMark/>
          </w:tcPr>
          <w:p w14:paraId="04F293D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12 611</w:t>
            </w:r>
          </w:p>
        </w:tc>
      </w:tr>
      <w:tr w:rsidR="005B6AF9" w:rsidRPr="004135FE" w14:paraId="536B678B"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324E8FF1"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0AF4D07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tcBorders>
              <w:top w:val="nil"/>
              <w:left w:val="single" w:sz="4" w:space="0" w:color="auto"/>
              <w:bottom w:val="single" w:sz="4" w:space="0" w:color="auto"/>
              <w:right w:val="single" w:sz="4" w:space="0" w:color="auto"/>
            </w:tcBorders>
            <w:shd w:val="clear" w:color="auto" w:fill="auto"/>
            <w:hideMark/>
          </w:tcPr>
          <w:p w14:paraId="6CEE3CB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777" w:type="dxa"/>
            <w:tcBorders>
              <w:top w:val="nil"/>
              <w:left w:val="nil"/>
              <w:bottom w:val="single" w:sz="4" w:space="0" w:color="auto"/>
              <w:right w:val="single" w:sz="4" w:space="0" w:color="auto"/>
            </w:tcBorders>
            <w:shd w:val="clear" w:color="auto" w:fill="auto"/>
            <w:hideMark/>
          </w:tcPr>
          <w:p w14:paraId="0A9D4B3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1 067</w:t>
            </w:r>
          </w:p>
        </w:tc>
        <w:tc>
          <w:tcPr>
            <w:tcW w:w="893" w:type="dxa"/>
            <w:tcBorders>
              <w:top w:val="nil"/>
              <w:left w:val="nil"/>
              <w:bottom w:val="single" w:sz="4" w:space="0" w:color="auto"/>
              <w:right w:val="single" w:sz="4" w:space="0" w:color="auto"/>
            </w:tcBorders>
            <w:shd w:val="clear" w:color="auto" w:fill="auto"/>
            <w:hideMark/>
          </w:tcPr>
          <w:p w14:paraId="4F5B897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4 856</w:t>
            </w:r>
          </w:p>
        </w:tc>
        <w:tc>
          <w:tcPr>
            <w:tcW w:w="889" w:type="dxa"/>
            <w:tcBorders>
              <w:top w:val="nil"/>
              <w:left w:val="nil"/>
              <w:bottom w:val="single" w:sz="4" w:space="0" w:color="auto"/>
              <w:right w:val="single" w:sz="4" w:space="0" w:color="auto"/>
            </w:tcBorders>
            <w:shd w:val="clear" w:color="auto" w:fill="auto"/>
            <w:hideMark/>
          </w:tcPr>
          <w:p w14:paraId="05B5B08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5 124</w:t>
            </w:r>
          </w:p>
        </w:tc>
        <w:tc>
          <w:tcPr>
            <w:tcW w:w="946" w:type="dxa"/>
            <w:tcBorders>
              <w:top w:val="nil"/>
              <w:left w:val="nil"/>
              <w:bottom w:val="single" w:sz="4" w:space="0" w:color="auto"/>
              <w:right w:val="single" w:sz="4" w:space="0" w:color="auto"/>
            </w:tcBorders>
            <w:shd w:val="clear" w:color="auto" w:fill="auto"/>
            <w:hideMark/>
          </w:tcPr>
          <w:p w14:paraId="26425FD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3 683</w:t>
            </w:r>
          </w:p>
        </w:tc>
        <w:tc>
          <w:tcPr>
            <w:tcW w:w="947" w:type="dxa"/>
            <w:tcBorders>
              <w:top w:val="nil"/>
              <w:left w:val="nil"/>
              <w:bottom w:val="single" w:sz="4" w:space="0" w:color="auto"/>
              <w:right w:val="single" w:sz="4" w:space="0" w:color="auto"/>
            </w:tcBorders>
            <w:shd w:val="clear" w:color="auto" w:fill="auto"/>
            <w:hideMark/>
          </w:tcPr>
          <w:p w14:paraId="5B63C6C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2 197</w:t>
            </w:r>
          </w:p>
        </w:tc>
        <w:tc>
          <w:tcPr>
            <w:tcW w:w="947" w:type="dxa"/>
            <w:tcBorders>
              <w:top w:val="nil"/>
              <w:left w:val="nil"/>
              <w:bottom w:val="single" w:sz="4" w:space="0" w:color="auto"/>
              <w:right w:val="single" w:sz="4" w:space="0" w:color="auto"/>
            </w:tcBorders>
            <w:shd w:val="clear" w:color="auto" w:fill="auto"/>
            <w:hideMark/>
          </w:tcPr>
          <w:p w14:paraId="1DCD639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1 325</w:t>
            </w:r>
          </w:p>
        </w:tc>
        <w:tc>
          <w:tcPr>
            <w:tcW w:w="947" w:type="dxa"/>
            <w:tcBorders>
              <w:top w:val="nil"/>
              <w:left w:val="nil"/>
              <w:bottom w:val="single" w:sz="4" w:space="0" w:color="auto"/>
              <w:right w:val="single" w:sz="4" w:space="0" w:color="auto"/>
            </w:tcBorders>
            <w:shd w:val="clear" w:color="auto" w:fill="auto"/>
            <w:hideMark/>
          </w:tcPr>
          <w:p w14:paraId="6B723A2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17 764</w:t>
            </w:r>
          </w:p>
        </w:tc>
        <w:tc>
          <w:tcPr>
            <w:tcW w:w="947" w:type="dxa"/>
            <w:tcBorders>
              <w:top w:val="nil"/>
              <w:left w:val="nil"/>
              <w:bottom w:val="single" w:sz="4" w:space="0" w:color="auto"/>
              <w:right w:val="single" w:sz="4" w:space="0" w:color="auto"/>
            </w:tcBorders>
            <w:shd w:val="clear" w:color="auto" w:fill="auto"/>
            <w:hideMark/>
          </w:tcPr>
          <w:p w14:paraId="182E8B2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17 714</w:t>
            </w:r>
          </w:p>
        </w:tc>
        <w:tc>
          <w:tcPr>
            <w:tcW w:w="947" w:type="dxa"/>
            <w:tcBorders>
              <w:top w:val="nil"/>
              <w:left w:val="nil"/>
              <w:bottom w:val="single" w:sz="4" w:space="0" w:color="auto"/>
              <w:right w:val="single" w:sz="4" w:space="0" w:color="auto"/>
            </w:tcBorders>
            <w:shd w:val="clear" w:color="auto" w:fill="auto"/>
            <w:hideMark/>
          </w:tcPr>
          <w:p w14:paraId="4C9DBAB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13 460</w:t>
            </w:r>
          </w:p>
        </w:tc>
        <w:tc>
          <w:tcPr>
            <w:tcW w:w="947" w:type="dxa"/>
            <w:tcBorders>
              <w:top w:val="nil"/>
              <w:left w:val="nil"/>
              <w:bottom w:val="single" w:sz="4" w:space="0" w:color="auto"/>
              <w:right w:val="single" w:sz="4" w:space="0" w:color="auto"/>
            </w:tcBorders>
            <w:shd w:val="clear" w:color="auto" w:fill="auto"/>
            <w:hideMark/>
          </w:tcPr>
          <w:p w14:paraId="5A113DB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11 871</w:t>
            </w:r>
          </w:p>
        </w:tc>
        <w:tc>
          <w:tcPr>
            <w:tcW w:w="946" w:type="dxa"/>
            <w:tcBorders>
              <w:top w:val="nil"/>
              <w:left w:val="nil"/>
              <w:bottom w:val="single" w:sz="4" w:space="0" w:color="auto"/>
              <w:right w:val="single" w:sz="4" w:space="0" w:color="auto"/>
            </w:tcBorders>
            <w:shd w:val="clear" w:color="auto" w:fill="auto"/>
            <w:hideMark/>
          </w:tcPr>
          <w:p w14:paraId="6278C47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7 746</w:t>
            </w:r>
          </w:p>
        </w:tc>
        <w:tc>
          <w:tcPr>
            <w:tcW w:w="1189" w:type="dxa"/>
            <w:tcBorders>
              <w:top w:val="nil"/>
              <w:left w:val="nil"/>
              <w:bottom w:val="single" w:sz="4" w:space="0" w:color="auto"/>
              <w:right w:val="single" w:sz="8" w:space="0" w:color="auto"/>
            </w:tcBorders>
            <w:shd w:val="clear" w:color="auto" w:fill="auto"/>
            <w:hideMark/>
          </w:tcPr>
          <w:p w14:paraId="4E16955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6 609</w:t>
            </w:r>
          </w:p>
        </w:tc>
      </w:tr>
      <w:tr w:rsidR="005B6AF9" w:rsidRPr="004135FE" w14:paraId="39E49BFC"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5A7029E5"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1C040D5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tcBorders>
              <w:top w:val="nil"/>
              <w:left w:val="single" w:sz="4" w:space="0" w:color="auto"/>
              <w:bottom w:val="single" w:sz="4" w:space="0" w:color="auto"/>
              <w:right w:val="single" w:sz="4" w:space="0" w:color="auto"/>
            </w:tcBorders>
            <w:shd w:val="clear" w:color="auto" w:fill="auto"/>
            <w:hideMark/>
          </w:tcPr>
          <w:p w14:paraId="6280593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777" w:type="dxa"/>
            <w:tcBorders>
              <w:top w:val="nil"/>
              <w:left w:val="nil"/>
              <w:bottom w:val="single" w:sz="4" w:space="0" w:color="auto"/>
              <w:right w:val="single" w:sz="4" w:space="0" w:color="auto"/>
            </w:tcBorders>
            <w:shd w:val="clear" w:color="auto" w:fill="auto"/>
            <w:hideMark/>
          </w:tcPr>
          <w:p w14:paraId="70EC271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1 858</w:t>
            </w:r>
          </w:p>
        </w:tc>
        <w:tc>
          <w:tcPr>
            <w:tcW w:w="893" w:type="dxa"/>
            <w:tcBorders>
              <w:top w:val="nil"/>
              <w:left w:val="nil"/>
              <w:bottom w:val="single" w:sz="4" w:space="0" w:color="auto"/>
              <w:right w:val="single" w:sz="4" w:space="0" w:color="auto"/>
            </w:tcBorders>
            <w:shd w:val="clear" w:color="auto" w:fill="auto"/>
            <w:hideMark/>
          </w:tcPr>
          <w:p w14:paraId="2EA4847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8 196</w:t>
            </w:r>
          </w:p>
        </w:tc>
        <w:tc>
          <w:tcPr>
            <w:tcW w:w="889" w:type="dxa"/>
            <w:tcBorders>
              <w:top w:val="nil"/>
              <w:left w:val="nil"/>
              <w:bottom w:val="single" w:sz="4" w:space="0" w:color="auto"/>
              <w:right w:val="single" w:sz="4" w:space="0" w:color="auto"/>
            </w:tcBorders>
            <w:shd w:val="clear" w:color="auto" w:fill="auto"/>
            <w:hideMark/>
          </w:tcPr>
          <w:p w14:paraId="787A53F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10 261</w:t>
            </w:r>
          </w:p>
        </w:tc>
        <w:tc>
          <w:tcPr>
            <w:tcW w:w="946" w:type="dxa"/>
            <w:tcBorders>
              <w:top w:val="nil"/>
              <w:left w:val="nil"/>
              <w:bottom w:val="single" w:sz="4" w:space="0" w:color="auto"/>
              <w:right w:val="single" w:sz="4" w:space="0" w:color="auto"/>
            </w:tcBorders>
            <w:shd w:val="clear" w:color="auto" w:fill="auto"/>
            <w:hideMark/>
          </w:tcPr>
          <w:p w14:paraId="07F343C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8 101</w:t>
            </w:r>
          </w:p>
        </w:tc>
        <w:tc>
          <w:tcPr>
            <w:tcW w:w="947" w:type="dxa"/>
            <w:tcBorders>
              <w:top w:val="nil"/>
              <w:left w:val="nil"/>
              <w:bottom w:val="single" w:sz="4" w:space="0" w:color="auto"/>
              <w:right w:val="single" w:sz="4" w:space="0" w:color="auto"/>
            </w:tcBorders>
            <w:shd w:val="clear" w:color="auto" w:fill="auto"/>
            <w:hideMark/>
          </w:tcPr>
          <w:p w14:paraId="1A7C139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2 601</w:t>
            </w:r>
          </w:p>
        </w:tc>
        <w:tc>
          <w:tcPr>
            <w:tcW w:w="947" w:type="dxa"/>
            <w:tcBorders>
              <w:top w:val="nil"/>
              <w:left w:val="nil"/>
              <w:bottom w:val="single" w:sz="4" w:space="0" w:color="auto"/>
              <w:right w:val="single" w:sz="4" w:space="0" w:color="auto"/>
            </w:tcBorders>
            <w:shd w:val="clear" w:color="auto" w:fill="auto"/>
            <w:hideMark/>
          </w:tcPr>
          <w:p w14:paraId="2509649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1 395</w:t>
            </w:r>
          </w:p>
        </w:tc>
        <w:tc>
          <w:tcPr>
            <w:tcW w:w="947" w:type="dxa"/>
            <w:tcBorders>
              <w:top w:val="nil"/>
              <w:left w:val="nil"/>
              <w:bottom w:val="single" w:sz="4" w:space="0" w:color="auto"/>
              <w:right w:val="single" w:sz="4" w:space="0" w:color="auto"/>
            </w:tcBorders>
            <w:shd w:val="clear" w:color="auto" w:fill="auto"/>
            <w:hideMark/>
          </w:tcPr>
          <w:p w14:paraId="74641C8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14 842</w:t>
            </w:r>
          </w:p>
        </w:tc>
        <w:tc>
          <w:tcPr>
            <w:tcW w:w="947" w:type="dxa"/>
            <w:tcBorders>
              <w:top w:val="nil"/>
              <w:left w:val="nil"/>
              <w:bottom w:val="single" w:sz="4" w:space="0" w:color="auto"/>
              <w:right w:val="single" w:sz="4" w:space="0" w:color="auto"/>
            </w:tcBorders>
            <w:shd w:val="clear" w:color="auto" w:fill="auto"/>
            <w:hideMark/>
          </w:tcPr>
          <w:p w14:paraId="3FA6C7E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15 055</w:t>
            </w:r>
          </w:p>
        </w:tc>
        <w:tc>
          <w:tcPr>
            <w:tcW w:w="947" w:type="dxa"/>
            <w:tcBorders>
              <w:top w:val="nil"/>
              <w:left w:val="nil"/>
              <w:bottom w:val="single" w:sz="4" w:space="0" w:color="auto"/>
              <w:right w:val="single" w:sz="4" w:space="0" w:color="auto"/>
            </w:tcBorders>
            <w:shd w:val="clear" w:color="auto" w:fill="auto"/>
            <w:hideMark/>
          </w:tcPr>
          <w:p w14:paraId="7C4EA0A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12 321</w:t>
            </w:r>
          </w:p>
        </w:tc>
        <w:tc>
          <w:tcPr>
            <w:tcW w:w="947" w:type="dxa"/>
            <w:tcBorders>
              <w:top w:val="nil"/>
              <w:left w:val="nil"/>
              <w:bottom w:val="single" w:sz="4" w:space="0" w:color="auto"/>
              <w:right w:val="single" w:sz="4" w:space="0" w:color="auto"/>
            </w:tcBorders>
            <w:shd w:val="clear" w:color="auto" w:fill="auto"/>
            <w:hideMark/>
          </w:tcPr>
          <w:p w14:paraId="6F7552E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12 214</w:t>
            </w:r>
          </w:p>
        </w:tc>
        <w:tc>
          <w:tcPr>
            <w:tcW w:w="946" w:type="dxa"/>
            <w:tcBorders>
              <w:top w:val="nil"/>
              <w:left w:val="nil"/>
              <w:bottom w:val="single" w:sz="4" w:space="0" w:color="auto"/>
              <w:right w:val="single" w:sz="4" w:space="0" w:color="auto"/>
            </w:tcBorders>
            <w:shd w:val="clear" w:color="auto" w:fill="auto"/>
            <w:hideMark/>
          </w:tcPr>
          <w:p w14:paraId="02FA18B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8 897</w:t>
            </w:r>
          </w:p>
        </w:tc>
        <w:tc>
          <w:tcPr>
            <w:tcW w:w="1189" w:type="dxa"/>
            <w:tcBorders>
              <w:top w:val="nil"/>
              <w:left w:val="nil"/>
              <w:bottom w:val="single" w:sz="4" w:space="0" w:color="auto"/>
              <w:right w:val="single" w:sz="8" w:space="0" w:color="auto"/>
            </w:tcBorders>
            <w:shd w:val="clear" w:color="auto" w:fill="auto"/>
            <w:hideMark/>
          </w:tcPr>
          <w:p w14:paraId="4F92481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7 623</w:t>
            </w:r>
          </w:p>
        </w:tc>
      </w:tr>
      <w:tr w:rsidR="005B6AF9" w:rsidRPr="004135FE" w14:paraId="35DD11C1"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1240E62C"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5ECACE5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tcBorders>
              <w:top w:val="nil"/>
              <w:left w:val="single" w:sz="4" w:space="0" w:color="auto"/>
              <w:bottom w:val="single" w:sz="4" w:space="0" w:color="auto"/>
              <w:right w:val="single" w:sz="4" w:space="0" w:color="auto"/>
            </w:tcBorders>
            <w:shd w:val="clear" w:color="auto" w:fill="auto"/>
            <w:hideMark/>
          </w:tcPr>
          <w:p w14:paraId="255BE8A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777" w:type="dxa"/>
            <w:tcBorders>
              <w:top w:val="nil"/>
              <w:left w:val="nil"/>
              <w:bottom w:val="single" w:sz="4" w:space="0" w:color="auto"/>
              <w:right w:val="single" w:sz="4" w:space="0" w:color="auto"/>
            </w:tcBorders>
            <w:shd w:val="clear" w:color="auto" w:fill="auto"/>
            <w:hideMark/>
          </w:tcPr>
          <w:p w14:paraId="51FA30B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893" w:type="dxa"/>
            <w:tcBorders>
              <w:top w:val="nil"/>
              <w:left w:val="nil"/>
              <w:bottom w:val="single" w:sz="4" w:space="0" w:color="auto"/>
              <w:right w:val="single" w:sz="4" w:space="0" w:color="auto"/>
            </w:tcBorders>
            <w:shd w:val="clear" w:color="auto" w:fill="auto"/>
            <w:hideMark/>
          </w:tcPr>
          <w:p w14:paraId="062B4CE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889" w:type="dxa"/>
            <w:tcBorders>
              <w:top w:val="nil"/>
              <w:left w:val="nil"/>
              <w:bottom w:val="single" w:sz="4" w:space="0" w:color="auto"/>
              <w:right w:val="single" w:sz="4" w:space="0" w:color="auto"/>
            </w:tcBorders>
            <w:shd w:val="clear" w:color="auto" w:fill="auto"/>
            <w:hideMark/>
          </w:tcPr>
          <w:p w14:paraId="4631CF6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6" w:type="dxa"/>
            <w:tcBorders>
              <w:top w:val="nil"/>
              <w:left w:val="nil"/>
              <w:bottom w:val="single" w:sz="4" w:space="0" w:color="auto"/>
              <w:right w:val="single" w:sz="4" w:space="0" w:color="auto"/>
            </w:tcBorders>
            <w:shd w:val="clear" w:color="auto" w:fill="auto"/>
            <w:hideMark/>
          </w:tcPr>
          <w:p w14:paraId="7FEF411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7" w:type="dxa"/>
            <w:tcBorders>
              <w:top w:val="nil"/>
              <w:left w:val="nil"/>
              <w:bottom w:val="single" w:sz="4" w:space="0" w:color="auto"/>
              <w:right w:val="single" w:sz="4" w:space="0" w:color="auto"/>
            </w:tcBorders>
            <w:shd w:val="clear" w:color="auto" w:fill="auto"/>
            <w:hideMark/>
          </w:tcPr>
          <w:p w14:paraId="18A10DE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7" w:type="dxa"/>
            <w:tcBorders>
              <w:top w:val="nil"/>
              <w:left w:val="nil"/>
              <w:bottom w:val="single" w:sz="4" w:space="0" w:color="auto"/>
              <w:right w:val="single" w:sz="4" w:space="0" w:color="auto"/>
            </w:tcBorders>
            <w:shd w:val="clear" w:color="auto" w:fill="auto"/>
            <w:hideMark/>
          </w:tcPr>
          <w:p w14:paraId="759F758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7" w:type="dxa"/>
            <w:tcBorders>
              <w:top w:val="nil"/>
              <w:left w:val="nil"/>
              <w:bottom w:val="single" w:sz="4" w:space="0" w:color="auto"/>
              <w:right w:val="single" w:sz="4" w:space="0" w:color="auto"/>
            </w:tcBorders>
            <w:shd w:val="clear" w:color="auto" w:fill="auto"/>
            <w:hideMark/>
          </w:tcPr>
          <w:p w14:paraId="016D1D6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7" w:type="dxa"/>
            <w:tcBorders>
              <w:top w:val="nil"/>
              <w:left w:val="nil"/>
              <w:bottom w:val="single" w:sz="4" w:space="0" w:color="auto"/>
              <w:right w:val="single" w:sz="4" w:space="0" w:color="auto"/>
            </w:tcBorders>
            <w:shd w:val="clear" w:color="auto" w:fill="auto"/>
            <w:hideMark/>
          </w:tcPr>
          <w:p w14:paraId="520EC6D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7" w:type="dxa"/>
            <w:tcBorders>
              <w:top w:val="nil"/>
              <w:left w:val="nil"/>
              <w:bottom w:val="single" w:sz="4" w:space="0" w:color="auto"/>
              <w:right w:val="single" w:sz="4" w:space="0" w:color="auto"/>
            </w:tcBorders>
            <w:shd w:val="clear" w:color="auto" w:fill="auto"/>
            <w:hideMark/>
          </w:tcPr>
          <w:p w14:paraId="1BEE598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7" w:type="dxa"/>
            <w:tcBorders>
              <w:top w:val="nil"/>
              <w:left w:val="nil"/>
              <w:bottom w:val="single" w:sz="4" w:space="0" w:color="auto"/>
              <w:right w:val="single" w:sz="4" w:space="0" w:color="auto"/>
            </w:tcBorders>
            <w:shd w:val="clear" w:color="auto" w:fill="auto"/>
            <w:hideMark/>
          </w:tcPr>
          <w:p w14:paraId="21ED834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6" w:type="dxa"/>
            <w:tcBorders>
              <w:top w:val="nil"/>
              <w:left w:val="nil"/>
              <w:bottom w:val="single" w:sz="4" w:space="0" w:color="auto"/>
              <w:right w:val="single" w:sz="4" w:space="0" w:color="auto"/>
            </w:tcBorders>
            <w:shd w:val="clear" w:color="auto" w:fill="auto"/>
            <w:hideMark/>
          </w:tcPr>
          <w:p w14:paraId="2FD248E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189" w:type="dxa"/>
            <w:tcBorders>
              <w:top w:val="nil"/>
              <w:left w:val="nil"/>
              <w:bottom w:val="single" w:sz="4" w:space="0" w:color="auto"/>
              <w:right w:val="single" w:sz="8" w:space="0" w:color="auto"/>
            </w:tcBorders>
            <w:shd w:val="clear" w:color="auto" w:fill="auto"/>
            <w:hideMark/>
          </w:tcPr>
          <w:p w14:paraId="3144C24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r>
      <w:tr w:rsidR="005B6AF9" w:rsidRPr="004135FE" w14:paraId="3C265F7D"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7CFEE04B"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8" w:space="0" w:color="auto"/>
              <w:right w:val="single" w:sz="4" w:space="0" w:color="auto"/>
            </w:tcBorders>
            <w:shd w:val="clear" w:color="auto" w:fill="auto"/>
            <w:hideMark/>
          </w:tcPr>
          <w:p w14:paraId="58EF8C8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tcBorders>
              <w:top w:val="nil"/>
              <w:left w:val="single" w:sz="4" w:space="0" w:color="auto"/>
              <w:bottom w:val="single" w:sz="8" w:space="0" w:color="auto"/>
              <w:right w:val="single" w:sz="4" w:space="0" w:color="auto"/>
            </w:tcBorders>
            <w:shd w:val="clear" w:color="auto" w:fill="auto"/>
            <w:hideMark/>
          </w:tcPr>
          <w:p w14:paraId="78EE73C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777" w:type="dxa"/>
            <w:tcBorders>
              <w:top w:val="nil"/>
              <w:left w:val="nil"/>
              <w:bottom w:val="single" w:sz="8" w:space="0" w:color="auto"/>
              <w:right w:val="single" w:sz="4" w:space="0" w:color="auto"/>
            </w:tcBorders>
            <w:shd w:val="clear" w:color="auto" w:fill="auto"/>
            <w:hideMark/>
          </w:tcPr>
          <w:p w14:paraId="6EDB77B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1 231</w:t>
            </w:r>
          </w:p>
        </w:tc>
        <w:tc>
          <w:tcPr>
            <w:tcW w:w="893" w:type="dxa"/>
            <w:tcBorders>
              <w:top w:val="nil"/>
              <w:left w:val="nil"/>
              <w:bottom w:val="single" w:sz="8" w:space="0" w:color="auto"/>
              <w:right w:val="single" w:sz="4" w:space="0" w:color="auto"/>
            </w:tcBorders>
            <w:shd w:val="clear" w:color="auto" w:fill="auto"/>
            <w:hideMark/>
          </w:tcPr>
          <w:p w14:paraId="748DC2E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5 737</w:t>
            </w:r>
          </w:p>
        </w:tc>
        <w:tc>
          <w:tcPr>
            <w:tcW w:w="889" w:type="dxa"/>
            <w:tcBorders>
              <w:top w:val="nil"/>
              <w:left w:val="nil"/>
              <w:bottom w:val="single" w:sz="8" w:space="0" w:color="auto"/>
              <w:right w:val="single" w:sz="4" w:space="0" w:color="auto"/>
            </w:tcBorders>
            <w:shd w:val="clear" w:color="auto" w:fill="auto"/>
            <w:hideMark/>
          </w:tcPr>
          <w:p w14:paraId="7D7B4D7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7 291</w:t>
            </w:r>
          </w:p>
        </w:tc>
        <w:tc>
          <w:tcPr>
            <w:tcW w:w="946" w:type="dxa"/>
            <w:tcBorders>
              <w:top w:val="nil"/>
              <w:left w:val="nil"/>
              <w:bottom w:val="single" w:sz="8" w:space="0" w:color="auto"/>
              <w:right w:val="single" w:sz="4" w:space="0" w:color="auto"/>
            </w:tcBorders>
            <w:shd w:val="clear" w:color="auto" w:fill="auto"/>
            <w:hideMark/>
          </w:tcPr>
          <w:p w14:paraId="7E57D2E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6 851</w:t>
            </w:r>
          </w:p>
        </w:tc>
        <w:tc>
          <w:tcPr>
            <w:tcW w:w="947" w:type="dxa"/>
            <w:tcBorders>
              <w:top w:val="nil"/>
              <w:left w:val="nil"/>
              <w:bottom w:val="single" w:sz="8" w:space="0" w:color="auto"/>
              <w:right w:val="single" w:sz="4" w:space="0" w:color="auto"/>
            </w:tcBorders>
            <w:shd w:val="clear" w:color="auto" w:fill="auto"/>
            <w:hideMark/>
          </w:tcPr>
          <w:p w14:paraId="0A43C25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4 774</w:t>
            </w:r>
          </w:p>
        </w:tc>
        <w:tc>
          <w:tcPr>
            <w:tcW w:w="947" w:type="dxa"/>
            <w:tcBorders>
              <w:top w:val="nil"/>
              <w:left w:val="nil"/>
              <w:bottom w:val="single" w:sz="8" w:space="0" w:color="auto"/>
              <w:right w:val="single" w:sz="4" w:space="0" w:color="auto"/>
            </w:tcBorders>
            <w:shd w:val="clear" w:color="auto" w:fill="auto"/>
            <w:hideMark/>
          </w:tcPr>
          <w:p w14:paraId="6482466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2 280</w:t>
            </w:r>
          </w:p>
        </w:tc>
        <w:tc>
          <w:tcPr>
            <w:tcW w:w="947" w:type="dxa"/>
            <w:tcBorders>
              <w:top w:val="nil"/>
              <w:left w:val="nil"/>
              <w:bottom w:val="single" w:sz="8" w:space="0" w:color="auto"/>
              <w:right w:val="single" w:sz="4" w:space="0" w:color="auto"/>
            </w:tcBorders>
            <w:shd w:val="clear" w:color="auto" w:fill="auto"/>
            <w:hideMark/>
          </w:tcPr>
          <w:p w14:paraId="74D411B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18 839</w:t>
            </w:r>
          </w:p>
        </w:tc>
        <w:tc>
          <w:tcPr>
            <w:tcW w:w="947" w:type="dxa"/>
            <w:tcBorders>
              <w:top w:val="nil"/>
              <w:left w:val="nil"/>
              <w:bottom w:val="single" w:sz="8" w:space="0" w:color="auto"/>
              <w:right w:val="single" w:sz="4" w:space="0" w:color="auto"/>
            </w:tcBorders>
            <w:shd w:val="clear" w:color="auto" w:fill="auto"/>
            <w:hideMark/>
          </w:tcPr>
          <w:p w14:paraId="06B7B48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19 142</w:t>
            </w:r>
          </w:p>
        </w:tc>
        <w:tc>
          <w:tcPr>
            <w:tcW w:w="947" w:type="dxa"/>
            <w:tcBorders>
              <w:top w:val="nil"/>
              <w:left w:val="nil"/>
              <w:bottom w:val="single" w:sz="8" w:space="0" w:color="auto"/>
              <w:right w:val="single" w:sz="4" w:space="0" w:color="auto"/>
            </w:tcBorders>
            <w:shd w:val="clear" w:color="auto" w:fill="auto"/>
            <w:hideMark/>
          </w:tcPr>
          <w:p w14:paraId="50966BC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14 611</w:t>
            </w:r>
          </w:p>
        </w:tc>
        <w:tc>
          <w:tcPr>
            <w:tcW w:w="947" w:type="dxa"/>
            <w:tcBorders>
              <w:top w:val="nil"/>
              <w:left w:val="nil"/>
              <w:bottom w:val="single" w:sz="8" w:space="0" w:color="auto"/>
              <w:right w:val="single" w:sz="4" w:space="0" w:color="auto"/>
            </w:tcBorders>
            <w:shd w:val="clear" w:color="auto" w:fill="auto"/>
            <w:hideMark/>
          </w:tcPr>
          <w:p w14:paraId="35B2648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14 401</w:t>
            </w:r>
          </w:p>
        </w:tc>
        <w:tc>
          <w:tcPr>
            <w:tcW w:w="946" w:type="dxa"/>
            <w:tcBorders>
              <w:top w:val="nil"/>
              <w:left w:val="nil"/>
              <w:bottom w:val="single" w:sz="8" w:space="0" w:color="auto"/>
              <w:right w:val="single" w:sz="4" w:space="0" w:color="auto"/>
            </w:tcBorders>
            <w:shd w:val="clear" w:color="auto" w:fill="auto"/>
            <w:hideMark/>
          </w:tcPr>
          <w:p w14:paraId="17C651D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9 379</w:t>
            </w:r>
          </w:p>
        </w:tc>
        <w:tc>
          <w:tcPr>
            <w:tcW w:w="1189" w:type="dxa"/>
            <w:tcBorders>
              <w:top w:val="nil"/>
              <w:left w:val="nil"/>
              <w:bottom w:val="single" w:sz="8" w:space="0" w:color="auto"/>
              <w:right w:val="single" w:sz="8" w:space="0" w:color="auto"/>
            </w:tcBorders>
            <w:shd w:val="clear" w:color="auto" w:fill="auto"/>
            <w:hideMark/>
          </w:tcPr>
          <w:p w14:paraId="2E3ED96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8 030</w:t>
            </w:r>
          </w:p>
        </w:tc>
      </w:tr>
      <w:tr w:rsidR="005B6AF9" w:rsidRPr="004135FE" w14:paraId="0767E3C3" w14:textId="77777777" w:rsidTr="00680E37">
        <w:trPr>
          <w:trHeight w:val="226"/>
        </w:trPr>
        <w:tc>
          <w:tcPr>
            <w:tcW w:w="554" w:type="dxa"/>
            <w:vMerge w:val="restart"/>
            <w:tcBorders>
              <w:top w:val="nil"/>
              <w:left w:val="single" w:sz="8" w:space="0" w:color="auto"/>
              <w:bottom w:val="single" w:sz="8" w:space="0" w:color="000000"/>
              <w:right w:val="single" w:sz="4" w:space="0" w:color="auto"/>
            </w:tcBorders>
            <w:shd w:val="clear" w:color="auto" w:fill="auto"/>
            <w:noWrap/>
            <w:textDirection w:val="btLr"/>
            <w:vAlign w:val="center"/>
            <w:hideMark/>
          </w:tcPr>
          <w:p w14:paraId="272A24EA" w14:textId="77777777" w:rsidR="005B6AF9" w:rsidRPr="004135FE" w:rsidRDefault="005B6AF9"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2015г</w:t>
            </w:r>
          </w:p>
        </w:tc>
        <w:tc>
          <w:tcPr>
            <w:tcW w:w="485" w:type="dxa"/>
            <w:tcBorders>
              <w:top w:val="nil"/>
              <w:left w:val="nil"/>
              <w:bottom w:val="single" w:sz="4" w:space="0" w:color="auto"/>
              <w:right w:val="single" w:sz="4" w:space="0" w:color="auto"/>
            </w:tcBorders>
            <w:shd w:val="clear" w:color="auto" w:fill="auto"/>
            <w:hideMark/>
          </w:tcPr>
          <w:p w14:paraId="16D6EB1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tcBorders>
              <w:top w:val="nil"/>
              <w:left w:val="single" w:sz="4" w:space="0" w:color="auto"/>
              <w:bottom w:val="single" w:sz="4" w:space="0" w:color="auto"/>
              <w:right w:val="single" w:sz="4" w:space="0" w:color="auto"/>
            </w:tcBorders>
            <w:shd w:val="clear" w:color="auto" w:fill="auto"/>
            <w:hideMark/>
          </w:tcPr>
          <w:p w14:paraId="4E04BEA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777" w:type="dxa"/>
            <w:tcBorders>
              <w:top w:val="nil"/>
              <w:left w:val="nil"/>
              <w:bottom w:val="single" w:sz="4" w:space="0" w:color="auto"/>
              <w:right w:val="single" w:sz="4" w:space="0" w:color="auto"/>
            </w:tcBorders>
            <w:shd w:val="clear" w:color="auto" w:fill="auto"/>
            <w:hideMark/>
          </w:tcPr>
          <w:p w14:paraId="2712A71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1 622</w:t>
            </w:r>
          </w:p>
        </w:tc>
        <w:tc>
          <w:tcPr>
            <w:tcW w:w="893" w:type="dxa"/>
            <w:tcBorders>
              <w:top w:val="nil"/>
              <w:left w:val="nil"/>
              <w:bottom w:val="single" w:sz="4" w:space="0" w:color="auto"/>
              <w:right w:val="single" w:sz="4" w:space="0" w:color="auto"/>
            </w:tcBorders>
            <w:shd w:val="clear" w:color="auto" w:fill="auto"/>
            <w:hideMark/>
          </w:tcPr>
          <w:p w14:paraId="11A2085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7 712</w:t>
            </w:r>
          </w:p>
        </w:tc>
        <w:tc>
          <w:tcPr>
            <w:tcW w:w="889" w:type="dxa"/>
            <w:tcBorders>
              <w:top w:val="nil"/>
              <w:left w:val="nil"/>
              <w:bottom w:val="single" w:sz="4" w:space="0" w:color="auto"/>
              <w:right w:val="single" w:sz="4" w:space="0" w:color="auto"/>
            </w:tcBorders>
            <w:shd w:val="clear" w:color="auto" w:fill="auto"/>
            <w:hideMark/>
          </w:tcPr>
          <w:p w14:paraId="1025937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8 682</w:t>
            </w:r>
          </w:p>
        </w:tc>
        <w:tc>
          <w:tcPr>
            <w:tcW w:w="946" w:type="dxa"/>
            <w:tcBorders>
              <w:top w:val="nil"/>
              <w:left w:val="nil"/>
              <w:bottom w:val="single" w:sz="4" w:space="0" w:color="auto"/>
              <w:right w:val="single" w:sz="4" w:space="0" w:color="auto"/>
            </w:tcBorders>
            <w:shd w:val="clear" w:color="auto" w:fill="auto"/>
            <w:hideMark/>
          </w:tcPr>
          <w:p w14:paraId="0C96409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6 100</w:t>
            </w:r>
          </w:p>
        </w:tc>
        <w:tc>
          <w:tcPr>
            <w:tcW w:w="947" w:type="dxa"/>
            <w:tcBorders>
              <w:top w:val="nil"/>
              <w:left w:val="nil"/>
              <w:bottom w:val="single" w:sz="4" w:space="0" w:color="auto"/>
              <w:right w:val="single" w:sz="4" w:space="0" w:color="auto"/>
            </w:tcBorders>
            <w:shd w:val="clear" w:color="auto" w:fill="auto"/>
            <w:hideMark/>
          </w:tcPr>
          <w:p w14:paraId="7B3912A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4 119</w:t>
            </w:r>
          </w:p>
        </w:tc>
        <w:tc>
          <w:tcPr>
            <w:tcW w:w="947" w:type="dxa"/>
            <w:tcBorders>
              <w:top w:val="nil"/>
              <w:left w:val="nil"/>
              <w:bottom w:val="single" w:sz="4" w:space="0" w:color="auto"/>
              <w:right w:val="single" w:sz="4" w:space="0" w:color="auto"/>
            </w:tcBorders>
            <w:shd w:val="clear" w:color="auto" w:fill="auto"/>
            <w:hideMark/>
          </w:tcPr>
          <w:p w14:paraId="578DB88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5 425</w:t>
            </w:r>
          </w:p>
        </w:tc>
        <w:tc>
          <w:tcPr>
            <w:tcW w:w="947" w:type="dxa"/>
            <w:tcBorders>
              <w:top w:val="nil"/>
              <w:left w:val="nil"/>
              <w:bottom w:val="single" w:sz="4" w:space="0" w:color="auto"/>
              <w:right w:val="single" w:sz="4" w:space="0" w:color="auto"/>
            </w:tcBorders>
            <w:shd w:val="clear" w:color="auto" w:fill="auto"/>
            <w:hideMark/>
          </w:tcPr>
          <w:p w14:paraId="72EC284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24 308</w:t>
            </w:r>
          </w:p>
        </w:tc>
        <w:tc>
          <w:tcPr>
            <w:tcW w:w="947" w:type="dxa"/>
            <w:tcBorders>
              <w:top w:val="nil"/>
              <w:left w:val="nil"/>
              <w:bottom w:val="single" w:sz="4" w:space="0" w:color="auto"/>
              <w:right w:val="single" w:sz="4" w:space="0" w:color="auto"/>
            </w:tcBorders>
            <w:shd w:val="clear" w:color="auto" w:fill="auto"/>
            <w:hideMark/>
          </w:tcPr>
          <w:p w14:paraId="68D1BF1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21 241</w:t>
            </w:r>
          </w:p>
        </w:tc>
        <w:tc>
          <w:tcPr>
            <w:tcW w:w="947" w:type="dxa"/>
            <w:tcBorders>
              <w:top w:val="nil"/>
              <w:left w:val="nil"/>
              <w:bottom w:val="single" w:sz="4" w:space="0" w:color="auto"/>
              <w:right w:val="single" w:sz="4" w:space="0" w:color="auto"/>
            </w:tcBorders>
            <w:shd w:val="clear" w:color="auto" w:fill="auto"/>
            <w:hideMark/>
          </w:tcPr>
          <w:p w14:paraId="519E035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17 997</w:t>
            </w:r>
          </w:p>
        </w:tc>
        <w:tc>
          <w:tcPr>
            <w:tcW w:w="947" w:type="dxa"/>
            <w:tcBorders>
              <w:top w:val="nil"/>
              <w:left w:val="nil"/>
              <w:bottom w:val="single" w:sz="4" w:space="0" w:color="auto"/>
              <w:right w:val="single" w:sz="4" w:space="0" w:color="auto"/>
            </w:tcBorders>
            <w:shd w:val="clear" w:color="auto" w:fill="auto"/>
            <w:hideMark/>
          </w:tcPr>
          <w:p w14:paraId="35F417B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16 089</w:t>
            </w:r>
          </w:p>
        </w:tc>
        <w:tc>
          <w:tcPr>
            <w:tcW w:w="946" w:type="dxa"/>
            <w:tcBorders>
              <w:top w:val="nil"/>
              <w:left w:val="nil"/>
              <w:bottom w:val="single" w:sz="4" w:space="0" w:color="auto"/>
              <w:right w:val="single" w:sz="4" w:space="0" w:color="auto"/>
            </w:tcBorders>
            <w:shd w:val="clear" w:color="auto" w:fill="auto"/>
            <w:hideMark/>
          </w:tcPr>
          <w:p w14:paraId="703DECB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14 429</w:t>
            </w:r>
          </w:p>
        </w:tc>
        <w:tc>
          <w:tcPr>
            <w:tcW w:w="1189" w:type="dxa"/>
            <w:tcBorders>
              <w:top w:val="nil"/>
              <w:left w:val="nil"/>
              <w:bottom w:val="single" w:sz="4" w:space="0" w:color="auto"/>
              <w:right w:val="single" w:sz="8" w:space="0" w:color="auto"/>
            </w:tcBorders>
            <w:shd w:val="clear" w:color="auto" w:fill="auto"/>
            <w:hideMark/>
          </w:tcPr>
          <w:p w14:paraId="12B0102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12 101</w:t>
            </w:r>
          </w:p>
        </w:tc>
      </w:tr>
      <w:tr w:rsidR="005B6AF9" w:rsidRPr="004135FE" w14:paraId="7F810C21"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37996989"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1372815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tcBorders>
              <w:top w:val="nil"/>
              <w:left w:val="single" w:sz="4" w:space="0" w:color="auto"/>
              <w:bottom w:val="single" w:sz="4" w:space="0" w:color="auto"/>
              <w:right w:val="single" w:sz="4" w:space="0" w:color="auto"/>
            </w:tcBorders>
            <w:shd w:val="clear" w:color="auto" w:fill="auto"/>
            <w:hideMark/>
          </w:tcPr>
          <w:p w14:paraId="2AD9A96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777" w:type="dxa"/>
            <w:tcBorders>
              <w:top w:val="nil"/>
              <w:left w:val="nil"/>
              <w:bottom w:val="single" w:sz="4" w:space="0" w:color="auto"/>
              <w:right w:val="single" w:sz="4" w:space="0" w:color="auto"/>
            </w:tcBorders>
            <w:shd w:val="clear" w:color="auto" w:fill="auto"/>
            <w:hideMark/>
          </w:tcPr>
          <w:p w14:paraId="7B44750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2 545</w:t>
            </w:r>
          </w:p>
        </w:tc>
        <w:tc>
          <w:tcPr>
            <w:tcW w:w="893" w:type="dxa"/>
            <w:tcBorders>
              <w:top w:val="nil"/>
              <w:left w:val="nil"/>
              <w:bottom w:val="single" w:sz="4" w:space="0" w:color="auto"/>
              <w:right w:val="single" w:sz="4" w:space="0" w:color="auto"/>
            </w:tcBorders>
            <w:shd w:val="clear" w:color="auto" w:fill="auto"/>
            <w:hideMark/>
          </w:tcPr>
          <w:p w14:paraId="0C49CE7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9 668</w:t>
            </w:r>
          </w:p>
        </w:tc>
        <w:tc>
          <w:tcPr>
            <w:tcW w:w="889" w:type="dxa"/>
            <w:tcBorders>
              <w:top w:val="nil"/>
              <w:left w:val="nil"/>
              <w:bottom w:val="single" w:sz="4" w:space="0" w:color="auto"/>
              <w:right w:val="single" w:sz="4" w:space="0" w:color="auto"/>
            </w:tcBorders>
            <w:shd w:val="clear" w:color="auto" w:fill="auto"/>
            <w:hideMark/>
          </w:tcPr>
          <w:p w14:paraId="0682146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9 980</w:t>
            </w:r>
          </w:p>
        </w:tc>
        <w:tc>
          <w:tcPr>
            <w:tcW w:w="946" w:type="dxa"/>
            <w:tcBorders>
              <w:top w:val="nil"/>
              <w:left w:val="nil"/>
              <w:bottom w:val="single" w:sz="4" w:space="0" w:color="auto"/>
              <w:right w:val="single" w:sz="4" w:space="0" w:color="auto"/>
            </w:tcBorders>
            <w:shd w:val="clear" w:color="auto" w:fill="auto"/>
            <w:hideMark/>
          </w:tcPr>
          <w:p w14:paraId="475497B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6 898</w:t>
            </w:r>
          </w:p>
        </w:tc>
        <w:tc>
          <w:tcPr>
            <w:tcW w:w="947" w:type="dxa"/>
            <w:tcBorders>
              <w:top w:val="nil"/>
              <w:left w:val="nil"/>
              <w:bottom w:val="single" w:sz="4" w:space="0" w:color="auto"/>
              <w:right w:val="single" w:sz="4" w:space="0" w:color="auto"/>
            </w:tcBorders>
            <w:shd w:val="clear" w:color="auto" w:fill="auto"/>
            <w:hideMark/>
          </w:tcPr>
          <w:p w14:paraId="134D367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2 997</w:t>
            </w:r>
          </w:p>
        </w:tc>
        <w:tc>
          <w:tcPr>
            <w:tcW w:w="947" w:type="dxa"/>
            <w:tcBorders>
              <w:top w:val="nil"/>
              <w:left w:val="nil"/>
              <w:bottom w:val="single" w:sz="4" w:space="0" w:color="auto"/>
              <w:right w:val="single" w:sz="4" w:space="0" w:color="auto"/>
            </w:tcBorders>
            <w:shd w:val="clear" w:color="auto" w:fill="auto"/>
            <w:hideMark/>
          </w:tcPr>
          <w:p w14:paraId="142EB3F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1 420</w:t>
            </w:r>
          </w:p>
        </w:tc>
        <w:tc>
          <w:tcPr>
            <w:tcW w:w="947" w:type="dxa"/>
            <w:tcBorders>
              <w:top w:val="nil"/>
              <w:left w:val="nil"/>
              <w:bottom w:val="single" w:sz="4" w:space="0" w:color="auto"/>
              <w:right w:val="single" w:sz="4" w:space="0" w:color="auto"/>
            </w:tcBorders>
            <w:shd w:val="clear" w:color="auto" w:fill="auto"/>
            <w:hideMark/>
          </w:tcPr>
          <w:p w14:paraId="5EBBE56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17 633</w:t>
            </w:r>
          </w:p>
        </w:tc>
        <w:tc>
          <w:tcPr>
            <w:tcW w:w="947" w:type="dxa"/>
            <w:tcBorders>
              <w:top w:val="nil"/>
              <w:left w:val="nil"/>
              <w:bottom w:val="single" w:sz="4" w:space="0" w:color="auto"/>
              <w:right w:val="single" w:sz="4" w:space="0" w:color="auto"/>
            </w:tcBorders>
            <w:shd w:val="clear" w:color="auto" w:fill="auto"/>
            <w:hideMark/>
          </w:tcPr>
          <w:p w14:paraId="695D4B6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16 644</w:t>
            </w:r>
          </w:p>
        </w:tc>
        <w:tc>
          <w:tcPr>
            <w:tcW w:w="947" w:type="dxa"/>
            <w:tcBorders>
              <w:top w:val="nil"/>
              <w:left w:val="nil"/>
              <w:bottom w:val="single" w:sz="4" w:space="0" w:color="auto"/>
              <w:right w:val="single" w:sz="4" w:space="0" w:color="auto"/>
            </w:tcBorders>
            <w:shd w:val="clear" w:color="auto" w:fill="auto"/>
            <w:hideMark/>
          </w:tcPr>
          <w:p w14:paraId="3B21BEB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11 244</w:t>
            </w:r>
          </w:p>
        </w:tc>
        <w:tc>
          <w:tcPr>
            <w:tcW w:w="947" w:type="dxa"/>
            <w:tcBorders>
              <w:top w:val="nil"/>
              <w:left w:val="nil"/>
              <w:bottom w:val="single" w:sz="4" w:space="0" w:color="auto"/>
              <w:right w:val="single" w:sz="4" w:space="0" w:color="auto"/>
            </w:tcBorders>
            <w:shd w:val="clear" w:color="auto" w:fill="auto"/>
            <w:hideMark/>
          </w:tcPr>
          <w:p w14:paraId="189DB98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8 575</w:t>
            </w:r>
          </w:p>
        </w:tc>
        <w:tc>
          <w:tcPr>
            <w:tcW w:w="946" w:type="dxa"/>
            <w:tcBorders>
              <w:top w:val="nil"/>
              <w:left w:val="nil"/>
              <w:bottom w:val="single" w:sz="4" w:space="0" w:color="auto"/>
              <w:right w:val="single" w:sz="4" w:space="0" w:color="auto"/>
            </w:tcBorders>
            <w:shd w:val="clear" w:color="auto" w:fill="auto"/>
            <w:hideMark/>
          </w:tcPr>
          <w:p w14:paraId="75E394C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4 446</w:t>
            </w:r>
          </w:p>
        </w:tc>
        <w:tc>
          <w:tcPr>
            <w:tcW w:w="1189" w:type="dxa"/>
            <w:tcBorders>
              <w:top w:val="nil"/>
              <w:left w:val="nil"/>
              <w:bottom w:val="single" w:sz="4" w:space="0" w:color="auto"/>
              <w:right w:val="single" w:sz="8" w:space="0" w:color="auto"/>
            </w:tcBorders>
            <w:shd w:val="clear" w:color="auto" w:fill="auto"/>
            <w:hideMark/>
          </w:tcPr>
          <w:p w14:paraId="36D0B37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3 156</w:t>
            </w:r>
          </w:p>
        </w:tc>
      </w:tr>
      <w:tr w:rsidR="005B6AF9" w:rsidRPr="004135FE" w14:paraId="0B6EB173"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14BB4786"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6FB3AB2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tcBorders>
              <w:top w:val="nil"/>
              <w:left w:val="single" w:sz="4" w:space="0" w:color="auto"/>
              <w:bottom w:val="single" w:sz="4" w:space="0" w:color="auto"/>
              <w:right w:val="single" w:sz="4" w:space="0" w:color="auto"/>
            </w:tcBorders>
            <w:shd w:val="clear" w:color="auto" w:fill="auto"/>
            <w:hideMark/>
          </w:tcPr>
          <w:p w14:paraId="5AB90DD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777" w:type="dxa"/>
            <w:tcBorders>
              <w:top w:val="nil"/>
              <w:left w:val="nil"/>
              <w:bottom w:val="single" w:sz="4" w:space="0" w:color="auto"/>
              <w:right w:val="single" w:sz="4" w:space="0" w:color="auto"/>
            </w:tcBorders>
            <w:shd w:val="clear" w:color="auto" w:fill="auto"/>
            <w:hideMark/>
          </w:tcPr>
          <w:p w14:paraId="0853FC7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2 817</w:t>
            </w:r>
          </w:p>
        </w:tc>
        <w:tc>
          <w:tcPr>
            <w:tcW w:w="893" w:type="dxa"/>
            <w:tcBorders>
              <w:top w:val="nil"/>
              <w:left w:val="nil"/>
              <w:bottom w:val="single" w:sz="4" w:space="0" w:color="auto"/>
              <w:right w:val="single" w:sz="4" w:space="0" w:color="auto"/>
            </w:tcBorders>
            <w:shd w:val="clear" w:color="auto" w:fill="auto"/>
            <w:hideMark/>
          </w:tcPr>
          <w:p w14:paraId="19085C0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11 898</w:t>
            </w:r>
          </w:p>
        </w:tc>
        <w:tc>
          <w:tcPr>
            <w:tcW w:w="889" w:type="dxa"/>
            <w:tcBorders>
              <w:top w:val="nil"/>
              <w:left w:val="nil"/>
              <w:bottom w:val="single" w:sz="4" w:space="0" w:color="auto"/>
              <w:right w:val="single" w:sz="4" w:space="0" w:color="auto"/>
            </w:tcBorders>
            <w:shd w:val="clear" w:color="auto" w:fill="auto"/>
            <w:hideMark/>
          </w:tcPr>
          <w:p w14:paraId="70BE943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12 505</w:t>
            </w:r>
          </w:p>
        </w:tc>
        <w:tc>
          <w:tcPr>
            <w:tcW w:w="946" w:type="dxa"/>
            <w:tcBorders>
              <w:top w:val="nil"/>
              <w:left w:val="nil"/>
              <w:bottom w:val="single" w:sz="4" w:space="0" w:color="auto"/>
              <w:right w:val="single" w:sz="4" w:space="0" w:color="auto"/>
            </w:tcBorders>
            <w:shd w:val="clear" w:color="auto" w:fill="auto"/>
            <w:hideMark/>
          </w:tcPr>
          <w:p w14:paraId="5A48D38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8 398</w:t>
            </w:r>
          </w:p>
        </w:tc>
        <w:tc>
          <w:tcPr>
            <w:tcW w:w="947" w:type="dxa"/>
            <w:tcBorders>
              <w:top w:val="nil"/>
              <w:left w:val="nil"/>
              <w:bottom w:val="single" w:sz="4" w:space="0" w:color="auto"/>
              <w:right w:val="single" w:sz="4" w:space="0" w:color="auto"/>
            </w:tcBorders>
            <w:shd w:val="clear" w:color="auto" w:fill="auto"/>
            <w:hideMark/>
          </w:tcPr>
          <w:p w14:paraId="36E6C75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4 256</w:t>
            </w:r>
          </w:p>
        </w:tc>
        <w:tc>
          <w:tcPr>
            <w:tcW w:w="947" w:type="dxa"/>
            <w:tcBorders>
              <w:top w:val="nil"/>
              <w:left w:val="nil"/>
              <w:bottom w:val="single" w:sz="4" w:space="0" w:color="auto"/>
              <w:right w:val="single" w:sz="4" w:space="0" w:color="auto"/>
            </w:tcBorders>
            <w:shd w:val="clear" w:color="auto" w:fill="auto"/>
            <w:hideMark/>
          </w:tcPr>
          <w:p w14:paraId="4E7944E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2 295</w:t>
            </w:r>
          </w:p>
        </w:tc>
        <w:tc>
          <w:tcPr>
            <w:tcW w:w="947" w:type="dxa"/>
            <w:tcBorders>
              <w:top w:val="nil"/>
              <w:left w:val="nil"/>
              <w:bottom w:val="single" w:sz="4" w:space="0" w:color="auto"/>
              <w:right w:val="single" w:sz="4" w:space="0" w:color="auto"/>
            </w:tcBorders>
            <w:shd w:val="clear" w:color="auto" w:fill="auto"/>
            <w:hideMark/>
          </w:tcPr>
          <w:p w14:paraId="1D54D03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25 334</w:t>
            </w:r>
          </w:p>
        </w:tc>
        <w:tc>
          <w:tcPr>
            <w:tcW w:w="947" w:type="dxa"/>
            <w:tcBorders>
              <w:top w:val="nil"/>
              <w:left w:val="nil"/>
              <w:bottom w:val="single" w:sz="4" w:space="0" w:color="auto"/>
              <w:right w:val="single" w:sz="4" w:space="0" w:color="auto"/>
            </w:tcBorders>
            <w:shd w:val="clear" w:color="auto" w:fill="auto"/>
            <w:hideMark/>
          </w:tcPr>
          <w:p w14:paraId="59C3E12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26 220</w:t>
            </w:r>
          </w:p>
        </w:tc>
        <w:tc>
          <w:tcPr>
            <w:tcW w:w="947" w:type="dxa"/>
            <w:tcBorders>
              <w:top w:val="nil"/>
              <w:left w:val="nil"/>
              <w:bottom w:val="single" w:sz="4" w:space="0" w:color="auto"/>
              <w:right w:val="single" w:sz="4" w:space="0" w:color="auto"/>
            </w:tcBorders>
            <w:shd w:val="clear" w:color="auto" w:fill="auto"/>
            <w:hideMark/>
          </w:tcPr>
          <w:p w14:paraId="4AA2ABC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20 538</w:t>
            </w:r>
          </w:p>
        </w:tc>
        <w:tc>
          <w:tcPr>
            <w:tcW w:w="947" w:type="dxa"/>
            <w:tcBorders>
              <w:top w:val="nil"/>
              <w:left w:val="nil"/>
              <w:bottom w:val="single" w:sz="4" w:space="0" w:color="auto"/>
              <w:right w:val="single" w:sz="4" w:space="0" w:color="auto"/>
            </w:tcBorders>
            <w:shd w:val="clear" w:color="auto" w:fill="auto"/>
            <w:hideMark/>
          </w:tcPr>
          <w:p w14:paraId="5DA5CE9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18 848</w:t>
            </w:r>
          </w:p>
        </w:tc>
        <w:tc>
          <w:tcPr>
            <w:tcW w:w="946" w:type="dxa"/>
            <w:tcBorders>
              <w:top w:val="nil"/>
              <w:left w:val="nil"/>
              <w:bottom w:val="single" w:sz="4" w:space="0" w:color="auto"/>
              <w:right w:val="single" w:sz="4" w:space="0" w:color="auto"/>
            </w:tcBorders>
            <w:shd w:val="clear" w:color="auto" w:fill="auto"/>
            <w:hideMark/>
          </w:tcPr>
          <w:p w14:paraId="3CF4092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13 953</w:t>
            </w:r>
          </w:p>
        </w:tc>
        <w:tc>
          <w:tcPr>
            <w:tcW w:w="1189" w:type="dxa"/>
            <w:tcBorders>
              <w:top w:val="nil"/>
              <w:left w:val="nil"/>
              <w:bottom w:val="single" w:sz="4" w:space="0" w:color="auto"/>
              <w:right w:val="single" w:sz="8" w:space="0" w:color="auto"/>
            </w:tcBorders>
            <w:shd w:val="clear" w:color="auto" w:fill="auto"/>
            <w:hideMark/>
          </w:tcPr>
          <w:p w14:paraId="79108FE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11 092</w:t>
            </w:r>
          </w:p>
        </w:tc>
      </w:tr>
    </w:tbl>
    <w:p w14:paraId="743CC3ED" w14:textId="77777777" w:rsidR="00680E37" w:rsidRDefault="00680E37" w:rsidP="00680E3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Продолжение таблицы А3</w:t>
      </w:r>
    </w:p>
    <w:p w14:paraId="7AB45C10" w14:textId="77777777" w:rsidR="00680E37" w:rsidRDefault="00680E37"/>
    <w:tbl>
      <w:tblPr>
        <w:tblW w:w="14459" w:type="dxa"/>
        <w:tblInd w:w="-15" w:type="dxa"/>
        <w:tblLook w:val="04A0" w:firstRow="1" w:lastRow="0" w:firstColumn="1" w:lastColumn="0" w:noHBand="0" w:noVBand="1"/>
      </w:tblPr>
      <w:tblGrid>
        <w:gridCol w:w="554"/>
        <w:gridCol w:w="485"/>
        <w:gridCol w:w="2098"/>
        <w:gridCol w:w="777"/>
        <w:gridCol w:w="893"/>
        <w:gridCol w:w="889"/>
        <w:gridCol w:w="946"/>
        <w:gridCol w:w="947"/>
        <w:gridCol w:w="947"/>
        <w:gridCol w:w="947"/>
        <w:gridCol w:w="947"/>
        <w:gridCol w:w="947"/>
        <w:gridCol w:w="947"/>
        <w:gridCol w:w="946"/>
        <w:gridCol w:w="1189"/>
      </w:tblGrid>
      <w:tr w:rsidR="005B6AF9" w:rsidRPr="004135FE" w14:paraId="4AC6C3BB" w14:textId="77777777" w:rsidTr="00680E37">
        <w:trPr>
          <w:trHeight w:val="226"/>
        </w:trPr>
        <w:tc>
          <w:tcPr>
            <w:tcW w:w="554" w:type="dxa"/>
            <w:vMerge w:val="restart"/>
            <w:tcBorders>
              <w:top w:val="single" w:sz="4" w:space="0" w:color="auto"/>
              <w:left w:val="single" w:sz="4" w:space="0" w:color="auto"/>
              <w:bottom w:val="single" w:sz="4" w:space="0" w:color="auto"/>
              <w:right w:val="single" w:sz="4" w:space="0" w:color="auto"/>
            </w:tcBorders>
            <w:vAlign w:val="center"/>
            <w:hideMark/>
          </w:tcPr>
          <w:p w14:paraId="309A325D"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single" w:sz="4" w:space="0" w:color="auto"/>
              <w:left w:val="nil"/>
              <w:bottom w:val="single" w:sz="4" w:space="0" w:color="auto"/>
              <w:right w:val="single" w:sz="4" w:space="0" w:color="auto"/>
            </w:tcBorders>
            <w:shd w:val="clear" w:color="auto" w:fill="auto"/>
            <w:hideMark/>
          </w:tcPr>
          <w:p w14:paraId="268AEC5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tcBorders>
              <w:top w:val="single" w:sz="4" w:space="0" w:color="auto"/>
              <w:left w:val="single" w:sz="4" w:space="0" w:color="auto"/>
              <w:bottom w:val="single" w:sz="4" w:space="0" w:color="auto"/>
              <w:right w:val="single" w:sz="4" w:space="0" w:color="auto"/>
            </w:tcBorders>
            <w:shd w:val="clear" w:color="auto" w:fill="auto"/>
            <w:hideMark/>
          </w:tcPr>
          <w:p w14:paraId="3A9A3F5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777" w:type="dxa"/>
            <w:tcBorders>
              <w:top w:val="single" w:sz="4" w:space="0" w:color="auto"/>
              <w:left w:val="nil"/>
              <w:bottom w:val="single" w:sz="4" w:space="0" w:color="auto"/>
              <w:right w:val="single" w:sz="4" w:space="0" w:color="auto"/>
            </w:tcBorders>
            <w:shd w:val="clear" w:color="auto" w:fill="auto"/>
            <w:hideMark/>
          </w:tcPr>
          <w:p w14:paraId="4A7CD61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1 864</w:t>
            </w:r>
          </w:p>
        </w:tc>
        <w:tc>
          <w:tcPr>
            <w:tcW w:w="893" w:type="dxa"/>
            <w:tcBorders>
              <w:top w:val="single" w:sz="4" w:space="0" w:color="auto"/>
              <w:left w:val="nil"/>
              <w:bottom w:val="single" w:sz="4" w:space="0" w:color="auto"/>
              <w:right w:val="single" w:sz="4" w:space="0" w:color="auto"/>
            </w:tcBorders>
            <w:shd w:val="clear" w:color="auto" w:fill="auto"/>
            <w:hideMark/>
          </w:tcPr>
          <w:p w14:paraId="322E9A0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8 413</w:t>
            </w:r>
          </w:p>
        </w:tc>
        <w:tc>
          <w:tcPr>
            <w:tcW w:w="889" w:type="dxa"/>
            <w:tcBorders>
              <w:top w:val="single" w:sz="4" w:space="0" w:color="auto"/>
              <w:left w:val="nil"/>
              <w:bottom w:val="single" w:sz="4" w:space="0" w:color="auto"/>
              <w:right w:val="single" w:sz="4" w:space="0" w:color="auto"/>
            </w:tcBorders>
            <w:shd w:val="clear" w:color="auto" w:fill="auto"/>
            <w:hideMark/>
          </w:tcPr>
          <w:p w14:paraId="40D8F98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9 409</w:t>
            </w:r>
          </w:p>
        </w:tc>
        <w:tc>
          <w:tcPr>
            <w:tcW w:w="946" w:type="dxa"/>
            <w:tcBorders>
              <w:top w:val="single" w:sz="4" w:space="0" w:color="auto"/>
              <w:left w:val="nil"/>
              <w:bottom w:val="single" w:sz="4" w:space="0" w:color="auto"/>
              <w:right w:val="single" w:sz="4" w:space="0" w:color="auto"/>
            </w:tcBorders>
            <w:shd w:val="clear" w:color="auto" w:fill="auto"/>
            <w:hideMark/>
          </w:tcPr>
          <w:p w14:paraId="5EE9A63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6 805</w:t>
            </w:r>
          </w:p>
        </w:tc>
        <w:tc>
          <w:tcPr>
            <w:tcW w:w="947" w:type="dxa"/>
            <w:tcBorders>
              <w:top w:val="single" w:sz="4" w:space="0" w:color="auto"/>
              <w:left w:val="nil"/>
              <w:bottom w:val="single" w:sz="4" w:space="0" w:color="auto"/>
              <w:right w:val="single" w:sz="4" w:space="0" w:color="auto"/>
            </w:tcBorders>
            <w:shd w:val="clear" w:color="auto" w:fill="auto"/>
            <w:hideMark/>
          </w:tcPr>
          <w:p w14:paraId="449A03E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6 568</w:t>
            </w:r>
          </w:p>
        </w:tc>
        <w:tc>
          <w:tcPr>
            <w:tcW w:w="947" w:type="dxa"/>
            <w:tcBorders>
              <w:top w:val="single" w:sz="4" w:space="0" w:color="auto"/>
              <w:left w:val="nil"/>
              <w:bottom w:val="single" w:sz="4" w:space="0" w:color="auto"/>
              <w:right w:val="single" w:sz="4" w:space="0" w:color="auto"/>
            </w:tcBorders>
            <w:shd w:val="clear" w:color="auto" w:fill="auto"/>
            <w:hideMark/>
          </w:tcPr>
          <w:p w14:paraId="639403F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16 076</w:t>
            </w:r>
          </w:p>
        </w:tc>
        <w:tc>
          <w:tcPr>
            <w:tcW w:w="947" w:type="dxa"/>
            <w:tcBorders>
              <w:top w:val="single" w:sz="4" w:space="0" w:color="auto"/>
              <w:left w:val="nil"/>
              <w:bottom w:val="single" w:sz="4" w:space="0" w:color="auto"/>
              <w:right w:val="single" w:sz="4" w:space="0" w:color="auto"/>
            </w:tcBorders>
            <w:shd w:val="clear" w:color="auto" w:fill="auto"/>
            <w:hideMark/>
          </w:tcPr>
          <w:p w14:paraId="4069E9A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46 307</w:t>
            </w:r>
          </w:p>
        </w:tc>
        <w:tc>
          <w:tcPr>
            <w:tcW w:w="947" w:type="dxa"/>
            <w:tcBorders>
              <w:top w:val="single" w:sz="4" w:space="0" w:color="auto"/>
              <w:left w:val="nil"/>
              <w:bottom w:val="single" w:sz="4" w:space="0" w:color="auto"/>
              <w:right w:val="single" w:sz="4" w:space="0" w:color="auto"/>
            </w:tcBorders>
            <w:shd w:val="clear" w:color="auto" w:fill="auto"/>
            <w:hideMark/>
          </w:tcPr>
          <w:p w14:paraId="3A35CFB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22 462</w:t>
            </w:r>
          </w:p>
        </w:tc>
        <w:tc>
          <w:tcPr>
            <w:tcW w:w="947" w:type="dxa"/>
            <w:tcBorders>
              <w:top w:val="single" w:sz="4" w:space="0" w:color="auto"/>
              <w:left w:val="nil"/>
              <w:bottom w:val="single" w:sz="4" w:space="0" w:color="auto"/>
              <w:right w:val="single" w:sz="4" w:space="0" w:color="auto"/>
            </w:tcBorders>
            <w:shd w:val="clear" w:color="auto" w:fill="auto"/>
            <w:hideMark/>
          </w:tcPr>
          <w:p w14:paraId="3D6D5DD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18 667</w:t>
            </w:r>
          </w:p>
        </w:tc>
        <w:tc>
          <w:tcPr>
            <w:tcW w:w="947" w:type="dxa"/>
            <w:tcBorders>
              <w:top w:val="single" w:sz="4" w:space="0" w:color="auto"/>
              <w:left w:val="nil"/>
              <w:bottom w:val="single" w:sz="4" w:space="0" w:color="auto"/>
              <w:right w:val="single" w:sz="4" w:space="0" w:color="auto"/>
            </w:tcBorders>
            <w:shd w:val="clear" w:color="auto" w:fill="auto"/>
            <w:hideMark/>
          </w:tcPr>
          <w:p w14:paraId="27B6D9B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16 986</w:t>
            </w:r>
          </w:p>
        </w:tc>
        <w:tc>
          <w:tcPr>
            <w:tcW w:w="946" w:type="dxa"/>
            <w:tcBorders>
              <w:top w:val="single" w:sz="4" w:space="0" w:color="auto"/>
              <w:left w:val="nil"/>
              <w:bottom w:val="single" w:sz="4" w:space="0" w:color="auto"/>
              <w:right w:val="single" w:sz="4" w:space="0" w:color="auto"/>
            </w:tcBorders>
            <w:shd w:val="clear" w:color="auto" w:fill="auto"/>
            <w:hideMark/>
          </w:tcPr>
          <w:p w14:paraId="2CCA8FE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14 017</w:t>
            </w:r>
          </w:p>
        </w:tc>
        <w:tc>
          <w:tcPr>
            <w:tcW w:w="1189" w:type="dxa"/>
            <w:tcBorders>
              <w:top w:val="single" w:sz="4" w:space="0" w:color="auto"/>
              <w:left w:val="nil"/>
              <w:bottom w:val="single" w:sz="4" w:space="0" w:color="auto"/>
              <w:right w:val="single" w:sz="4" w:space="0" w:color="auto"/>
            </w:tcBorders>
            <w:shd w:val="clear" w:color="auto" w:fill="auto"/>
            <w:hideMark/>
          </w:tcPr>
          <w:p w14:paraId="71FE7B2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11 531</w:t>
            </w:r>
          </w:p>
        </w:tc>
      </w:tr>
      <w:tr w:rsidR="005B6AF9" w:rsidRPr="004135FE" w14:paraId="0820DEC5" w14:textId="77777777" w:rsidTr="00680E37">
        <w:trPr>
          <w:trHeight w:val="226"/>
        </w:trPr>
        <w:tc>
          <w:tcPr>
            <w:tcW w:w="554" w:type="dxa"/>
            <w:vMerge/>
            <w:tcBorders>
              <w:top w:val="single" w:sz="4" w:space="0" w:color="auto"/>
              <w:left w:val="single" w:sz="8" w:space="0" w:color="auto"/>
              <w:bottom w:val="single" w:sz="8" w:space="0" w:color="000000"/>
              <w:right w:val="single" w:sz="4" w:space="0" w:color="auto"/>
            </w:tcBorders>
            <w:vAlign w:val="center"/>
            <w:hideMark/>
          </w:tcPr>
          <w:p w14:paraId="464FCADA"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single" w:sz="4" w:space="0" w:color="auto"/>
              <w:left w:val="nil"/>
              <w:bottom w:val="single" w:sz="4" w:space="0" w:color="auto"/>
              <w:right w:val="single" w:sz="4" w:space="0" w:color="auto"/>
            </w:tcBorders>
            <w:shd w:val="clear" w:color="auto" w:fill="auto"/>
            <w:hideMark/>
          </w:tcPr>
          <w:p w14:paraId="7E25F8F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tcBorders>
              <w:top w:val="single" w:sz="4" w:space="0" w:color="auto"/>
              <w:left w:val="single" w:sz="4" w:space="0" w:color="auto"/>
              <w:bottom w:val="single" w:sz="4" w:space="0" w:color="auto"/>
              <w:right w:val="single" w:sz="4" w:space="0" w:color="auto"/>
            </w:tcBorders>
            <w:shd w:val="clear" w:color="auto" w:fill="auto"/>
            <w:hideMark/>
          </w:tcPr>
          <w:p w14:paraId="11CC170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777" w:type="dxa"/>
            <w:tcBorders>
              <w:top w:val="single" w:sz="4" w:space="0" w:color="auto"/>
              <w:left w:val="nil"/>
              <w:bottom w:val="single" w:sz="4" w:space="0" w:color="auto"/>
              <w:right w:val="single" w:sz="4" w:space="0" w:color="auto"/>
            </w:tcBorders>
            <w:shd w:val="clear" w:color="auto" w:fill="auto"/>
            <w:hideMark/>
          </w:tcPr>
          <w:p w14:paraId="5D9C73E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1 541</w:t>
            </w:r>
          </w:p>
        </w:tc>
        <w:tc>
          <w:tcPr>
            <w:tcW w:w="893" w:type="dxa"/>
            <w:tcBorders>
              <w:top w:val="single" w:sz="4" w:space="0" w:color="auto"/>
              <w:left w:val="nil"/>
              <w:bottom w:val="single" w:sz="4" w:space="0" w:color="auto"/>
              <w:right w:val="single" w:sz="4" w:space="0" w:color="auto"/>
            </w:tcBorders>
            <w:shd w:val="clear" w:color="auto" w:fill="auto"/>
            <w:hideMark/>
          </w:tcPr>
          <w:p w14:paraId="5616871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6 876</w:t>
            </w:r>
          </w:p>
        </w:tc>
        <w:tc>
          <w:tcPr>
            <w:tcW w:w="889" w:type="dxa"/>
            <w:tcBorders>
              <w:top w:val="single" w:sz="4" w:space="0" w:color="auto"/>
              <w:left w:val="nil"/>
              <w:bottom w:val="single" w:sz="4" w:space="0" w:color="auto"/>
              <w:right w:val="single" w:sz="4" w:space="0" w:color="auto"/>
            </w:tcBorders>
            <w:shd w:val="clear" w:color="auto" w:fill="auto"/>
            <w:hideMark/>
          </w:tcPr>
          <w:p w14:paraId="394A072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7 483</w:t>
            </w:r>
          </w:p>
        </w:tc>
        <w:tc>
          <w:tcPr>
            <w:tcW w:w="946" w:type="dxa"/>
            <w:tcBorders>
              <w:top w:val="single" w:sz="4" w:space="0" w:color="auto"/>
              <w:left w:val="nil"/>
              <w:bottom w:val="single" w:sz="4" w:space="0" w:color="auto"/>
              <w:right w:val="single" w:sz="4" w:space="0" w:color="auto"/>
            </w:tcBorders>
            <w:shd w:val="clear" w:color="auto" w:fill="auto"/>
            <w:hideMark/>
          </w:tcPr>
          <w:p w14:paraId="68003B2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5 344</w:t>
            </w:r>
          </w:p>
        </w:tc>
        <w:tc>
          <w:tcPr>
            <w:tcW w:w="947" w:type="dxa"/>
            <w:tcBorders>
              <w:top w:val="single" w:sz="4" w:space="0" w:color="auto"/>
              <w:left w:val="nil"/>
              <w:bottom w:val="single" w:sz="4" w:space="0" w:color="auto"/>
              <w:right w:val="single" w:sz="4" w:space="0" w:color="auto"/>
            </w:tcBorders>
            <w:shd w:val="clear" w:color="auto" w:fill="auto"/>
            <w:hideMark/>
          </w:tcPr>
          <w:p w14:paraId="6BEB246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2 529</w:t>
            </w:r>
          </w:p>
        </w:tc>
        <w:tc>
          <w:tcPr>
            <w:tcW w:w="947" w:type="dxa"/>
            <w:tcBorders>
              <w:top w:val="single" w:sz="4" w:space="0" w:color="auto"/>
              <w:left w:val="nil"/>
              <w:bottom w:val="single" w:sz="4" w:space="0" w:color="auto"/>
              <w:right w:val="single" w:sz="4" w:space="0" w:color="auto"/>
            </w:tcBorders>
            <w:shd w:val="clear" w:color="auto" w:fill="auto"/>
            <w:hideMark/>
          </w:tcPr>
          <w:p w14:paraId="36E09BA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2 566</w:t>
            </w:r>
          </w:p>
        </w:tc>
        <w:tc>
          <w:tcPr>
            <w:tcW w:w="947" w:type="dxa"/>
            <w:tcBorders>
              <w:top w:val="single" w:sz="4" w:space="0" w:color="auto"/>
              <w:left w:val="nil"/>
              <w:bottom w:val="single" w:sz="4" w:space="0" w:color="auto"/>
              <w:right w:val="single" w:sz="4" w:space="0" w:color="auto"/>
            </w:tcBorders>
            <w:shd w:val="clear" w:color="auto" w:fill="auto"/>
            <w:hideMark/>
          </w:tcPr>
          <w:p w14:paraId="61C0F2E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16 888</w:t>
            </w:r>
          </w:p>
        </w:tc>
        <w:tc>
          <w:tcPr>
            <w:tcW w:w="947" w:type="dxa"/>
            <w:tcBorders>
              <w:top w:val="single" w:sz="4" w:space="0" w:color="auto"/>
              <w:left w:val="nil"/>
              <w:bottom w:val="single" w:sz="4" w:space="0" w:color="auto"/>
              <w:right w:val="single" w:sz="4" w:space="0" w:color="auto"/>
            </w:tcBorders>
            <w:shd w:val="clear" w:color="auto" w:fill="auto"/>
            <w:hideMark/>
          </w:tcPr>
          <w:p w14:paraId="42340E9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15 644</w:t>
            </w:r>
          </w:p>
        </w:tc>
        <w:tc>
          <w:tcPr>
            <w:tcW w:w="947" w:type="dxa"/>
            <w:tcBorders>
              <w:top w:val="single" w:sz="4" w:space="0" w:color="auto"/>
              <w:left w:val="nil"/>
              <w:bottom w:val="single" w:sz="4" w:space="0" w:color="auto"/>
              <w:right w:val="single" w:sz="4" w:space="0" w:color="auto"/>
            </w:tcBorders>
            <w:shd w:val="clear" w:color="auto" w:fill="auto"/>
            <w:hideMark/>
          </w:tcPr>
          <w:p w14:paraId="622196C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11 703</w:t>
            </w:r>
          </w:p>
        </w:tc>
        <w:tc>
          <w:tcPr>
            <w:tcW w:w="947" w:type="dxa"/>
            <w:tcBorders>
              <w:top w:val="single" w:sz="4" w:space="0" w:color="auto"/>
              <w:left w:val="nil"/>
              <w:bottom w:val="single" w:sz="4" w:space="0" w:color="auto"/>
              <w:right w:val="single" w:sz="4" w:space="0" w:color="auto"/>
            </w:tcBorders>
            <w:shd w:val="clear" w:color="auto" w:fill="auto"/>
            <w:hideMark/>
          </w:tcPr>
          <w:p w14:paraId="3DA2C9F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10 445</w:t>
            </w:r>
          </w:p>
        </w:tc>
        <w:tc>
          <w:tcPr>
            <w:tcW w:w="946" w:type="dxa"/>
            <w:tcBorders>
              <w:top w:val="single" w:sz="4" w:space="0" w:color="auto"/>
              <w:left w:val="nil"/>
              <w:bottom w:val="single" w:sz="4" w:space="0" w:color="auto"/>
              <w:right w:val="single" w:sz="4" w:space="0" w:color="auto"/>
            </w:tcBorders>
            <w:shd w:val="clear" w:color="auto" w:fill="auto"/>
            <w:hideMark/>
          </w:tcPr>
          <w:p w14:paraId="292A782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6 829</w:t>
            </w:r>
          </w:p>
        </w:tc>
        <w:tc>
          <w:tcPr>
            <w:tcW w:w="1189" w:type="dxa"/>
            <w:tcBorders>
              <w:top w:val="single" w:sz="4" w:space="0" w:color="auto"/>
              <w:left w:val="nil"/>
              <w:bottom w:val="single" w:sz="4" w:space="0" w:color="auto"/>
              <w:right w:val="single" w:sz="8" w:space="0" w:color="auto"/>
            </w:tcBorders>
            <w:shd w:val="clear" w:color="auto" w:fill="auto"/>
            <w:hideMark/>
          </w:tcPr>
          <w:p w14:paraId="5D51045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4 944</w:t>
            </w:r>
          </w:p>
        </w:tc>
      </w:tr>
      <w:tr w:rsidR="005B6AF9" w:rsidRPr="004135FE" w14:paraId="45466430"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700ED885"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049565E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tcBorders>
              <w:top w:val="nil"/>
              <w:left w:val="single" w:sz="4" w:space="0" w:color="auto"/>
              <w:bottom w:val="single" w:sz="4" w:space="0" w:color="auto"/>
              <w:right w:val="single" w:sz="4" w:space="0" w:color="auto"/>
            </w:tcBorders>
            <w:shd w:val="clear" w:color="auto" w:fill="auto"/>
            <w:hideMark/>
          </w:tcPr>
          <w:p w14:paraId="7273CF1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777" w:type="dxa"/>
            <w:tcBorders>
              <w:top w:val="nil"/>
              <w:left w:val="nil"/>
              <w:bottom w:val="single" w:sz="4" w:space="0" w:color="auto"/>
              <w:right w:val="single" w:sz="4" w:space="0" w:color="auto"/>
            </w:tcBorders>
            <w:shd w:val="clear" w:color="auto" w:fill="auto"/>
            <w:hideMark/>
          </w:tcPr>
          <w:p w14:paraId="5FDCCD0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1 931</w:t>
            </w:r>
          </w:p>
        </w:tc>
        <w:tc>
          <w:tcPr>
            <w:tcW w:w="893" w:type="dxa"/>
            <w:tcBorders>
              <w:top w:val="nil"/>
              <w:left w:val="nil"/>
              <w:bottom w:val="single" w:sz="4" w:space="0" w:color="auto"/>
              <w:right w:val="single" w:sz="4" w:space="0" w:color="auto"/>
            </w:tcBorders>
            <w:shd w:val="clear" w:color="auto" w:fill="auto"/>
            <w:hideMark/>
          </w:tcPr>
          <w:p w14:paraId="34B30C9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8 496</w:t>
            </w:r>
          </w:p>
        </w:tc>
        <w:tc>
          <w:tcPr>
            <w:tcW w:w="889" w:type="dxa"/>
            <w:tcBorders>
              <w:top w:val="nil"/>
              <w:left w:val="nil"/>
              <w:bottom w:val="single" w:sz="4" w:space="0" w:color="auto"/>
              <w:right w:val="single" w:sz="4" w:space="0" w:color="auto"/>
            </w:tcBorders>
            <w:shd w:val="clear" w:color="auto" w:fill="auto"/>
            <w:hideMark/>
          </w:tcPr>
          <w:p w14:paraId="53F7D94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10 096</w:t>
            </w:r>
          </w:p>
        </w:tc>
        <w:tc>
          <w:tcPr>
            <w:tcW w:w="946" w:type="dxa"/>
            <w:tcBorders>
              <w:top w:val="nil"/>
              <w:left w:val="nil"/>
              <w:bottom w:val="single" w:sz="4" w:space="0" w:color="auto"/>
              <w:right w:val="single" w:sz="4" w:space="0" w:color="auto"/>
            </w:tcBorders>
            <w:shd w:val="clear" w:color="auto" w:fill="auto"/>
            <w:hideMark/>
          </w:tcPr>
          <w:p w14:paraId="66571E0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7 300</w:t>
            </w:r>
          </w:p>
        </w:tc>
        <w:tc>
          <w:tcPr>
            <w:tcW w:w="947" w:type="dxa"/>
            <w:tcBorders>
              <w:top w:val="nil"/>
              <w:left w:val="nil"/>
              <w:bottom w:val="single" w:sz="4" w:space="0" w:color="auto"/>
              <w:right w:val="single" w:sz="4" w:space="0" w:color="auto"/>
            </w:tcBorders>
            <w:shd w:val="clear" w:color="auto" w:fill="auto"/>
            <w:hideMark/>
          </w:tcPr>
          <w:p w14:paraId="3727FD5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2 811</w:t>
            </w:r>
          </w:p>
        </w:tc>
        <w:tc>
          <w:tcPr>
            <w:tcW w:w="947" w:type="dxa"/>
            <w:tcBorders>
              <w:top w:val="nil"/>
              <w:left w:val="nil"/>
              <w:bottom w:val="single" w:sz="4" w:space="0" w:color="auto"/>
              <w:right w:val="single" w:sz="4" w:space="0" w:color="auto"/>
            </w:tcBorders>
            <w:shd w:val="clear" w:color="auto" w:fill="auto"/>
            <w:hideMark/>
          </w:tcPr>
          <w:p w14:paraId="142DA8D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1 452</w:t>
            </w:r>
          </w:p>
        </w:tc>
        <w:tc>
          <w:tcPr>
            <w:tcW w:w="947" w:type="dxa"/>
            <w:tcBorders>
              <w:top w:val="nil"/>
              <w:left w:val="nil"/>
              <w:bottom w:val="single" w:sz="4" w:space="0" w:color="auto"/>
              <w:right w:val="single" w:sz="4" w:space="0" w:color="auto"/>
            </w:tcBorders>
            <w:shd w:val="clear" w:color="auto" w:fill="auto"/>
            <w:hideMark/>
          </w:tcPr>
          <w:p w14:paraId="36B27A6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15 255</w:t>
            </w:r>
          </w:p>
        </w:tc>
        <w:tc>
          <w:tcPr>
            <w:tcW w:w="947" w:type="dxa"/>
            <w:tcBorders>
              <w:top w:val="nil"/>
              <w:left w:val="nil"/>
              <w:bottom w:val="single" w:sz="4" w:space="0" w:color="auto"/>
              <w:right w:val="single" w:sz="4" w:space="0" w:color="auto"/>
            </w:tcBorders>
            <w:shd w:val="clear" w:color="auto" w:fill="auto"/>
            <w:hideMark/>
          </w:tcPr>
          <w:p w14:paraId="780F5DE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16 045</w:t>
            </w:r>
          </w:p>
        </w:tc>
        <w:tc>
          <w:tcPr>
            <w:tcW w:w="947" w:type="dxa"/>
            <w:tcBorders>
              <w:top w:val="nil"/>
              <w:left w:val="nil"/>
              <w:bottom w:val="single" w:sz="4" w:space="0" w:color="auto"/>
              <w:right w:val="single" w:sz="4" w:space="0" w:color="auto"/>
            </w:tcBorders>
            <w:shd w:val="clear" w:color="auto" w:fill="auto"/>
            <w:hideMark/>
          </w:tcPr>
          <w:p w14:paraId="0092F4A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12 834</w:t>
            </w:r>
          </w:p>
        </w:tc>
        <w:tc>
          <w:tcPr>
            <w:tcW w:w="947" w:type="dxa"/>
            <w:tcBorders>
              <w:top w:val="nil"/>
              <w:left w:val="nil"/>
              <w:bottom w:val="single" w:sz="4" w:space="0" w:color="auto"/>
              <w:right w:val="single" w:sz="4" w:space="0" w:color="auto"/>
            </w:tcBorders>
            <w:shd w:val="clear" w:color="auto" w:fill="auto"/>
            <w:hideMark/>
          </w:tcPr>
          <w:p w14:paraId="20C0CDA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12 418</w:t>
            </w:r>
          </w:p>
        </w:tc>
        <w:tc>
          <w:tcPr>
            <w:tcW w:w="946" w:type="dxa"/>
            <w:tcBorders>
              <w:top w:val="nil"/>
              <w:left w:val="nil"/>
              <w:bottom w:val="single" w:sz="4" w:space="0" w:color="auto"/>
              <w:right w:val="single" w:sz="4" w:space="0" w:color="auto"/>
            </w:tcBorders>
            <w:shd w:val="clear" w:color="auto" w:fill="auto"/>
            <w:hideMark/>
          </w:tcPr>
          <w:p w14:paraId="1F9DC2A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9 660</w:t>
            </w:r>
          </w:p>
        </w:tc>
        <w:tc>
          <w:tcPr>
            <w:tcW w:w="1189" w:type="dxa"/>
            <w:tcBorders>
              <w:top w:val="nil"/>
              <w:left w:val="nil"/>
              <w:bottom w:val="single" w:sz="4" w:space="0" w:color="auto"/>
              <w:right w:val="single" w:sz="8" w:space="0" w:color="auto"/>
            </w:tcBorders>
            <w:shd w:val="clear" w:color="auto" w:fill="auto"/>
            <w:hideMark/>
          </w:tcPr>
          <w:p w14:paraId="024251B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7 688</w:t>
            </w:r>
          </w:p>
        </w:tc>
      </w:tr>
      <w:tr w:rsidR="005B6AF9" w:rsidRPr="004135FE" w14:paraId="7F8A9E36"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387E6131"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63635C2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tcBorders>
              <w:top w:val="nil"/>
              <w:left w:val="single" w:sz="4" w:space="0" w:color="auto"/>
              <w:bottom w:val="single" w:sz="4" w:space="0" w:color="auto"/>
              <w:right w:val="single" w:sz="4" w:space="0" w:color="auto"/>
            </w:tcBorders>
            <w:shd w:val="clear" w:color="auto" w:fill="auto"/>
            <w:hideMark/>
          </w:tcPr>
          <w:p w14:paraId="75D25B3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777" w:type="dxa"/>
            <w:tcBorders>
              <w:top w:val="nil"/>
              <w:left w:val="nil"/>
              <w:bottom w:val="single" w:sz="4" w:space="0" w:color="auto"/>
              <w:right w:val="single" w:sz="4" w:space="0" w:color="auto"/>
            </w:tcBorders>
            <w:shd w:val="clear" w:color="auto" w:fill="auto"/>
            <w:hideMark/>
          </w:tcPr>
          <w:p w14:paraId="220154A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649</w:t>
            </w:r>
          </w:p>
        </w:tc>
        <w:tc>
          <w:tcPr>
            <w:tcW w:w="893" w:type="dxa"/>
            <w:tcBorders>
              <w:top w:val="nil"/>
              <w:left w:val="nil"/>
              <w:bottom w:val="single" w:sz="4" w:space="0" w:color="auto"/>
              <w:right w:val="single" w:sz="4" w:space="0" w:color="auto"/>
            </w:tcBorders>
            <w:shd w:val="clear" w:color="auto" w:fill="auto"/>
            <w:hideMark/>
          </w:tcPr>
          <w:p w14:paraId="281922D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2 206</w:t>
            </w:r>
          </w:p>
        </w:tc>
        <w:tc>
          <w:tcPr>
            <w:tcW w:w="889" w:type="dxa"/>
            <w:tcBorders>
              <w:top w:val="nil"/>
              <w:left w:val="nil"/>
              <w:bottom w:val="single" w:sz="4" w:space="0" w:color="auto"/>
              <w:right w:val="single" w:sz="4" w:space="0" w:color="auto"/>
            </w:tcBorders>
            <w:shd w:val="clear" w:color="auto" w:fill="auto"/>
            <w:hideMark/>
          </w:tcPr>
          <w:p w14:paraId="675B923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2 235</w:t>
            </w:r>
          </w:p>
        </w:tc>
        <w:tc>
          <w:tcPr>
            <w:tcW w:w="946" w:type="dxa"/>
            <w:tcBorders>
              <w:top w:val="nil"/>
              <w:left w:val="nil"/>
              <w:bottom w:val="single" w:sz="4" w:space="0" w:color="auto"/>
              <w:right w:val="single" w:sz="4" w:space="0" w:color="auto"/>
            </w:tcBorders>
            <w:shd w:val="clear" w:color="auto" w:fill="auto"/>
            <w:hideMark/>
          </w:tcPr>
          <w:p w14:paraId="3F0418B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1 512</w:t>
            </w:r>
          </w:p>
        </w:tc>
        <w:tc>
          <w:tcPr>
            <w:tcW w:w="947" w:type="dxa"/>
            <w:tcBorders>
              <w:top w:val="nil"/>
              <w:left w:val="nil"/>
              <w:bottom w:val="single" w:sz="4" w:space="0" w:color="auto"/>
              <w:right w:val="single" w:sz="4" w:space="0" w:color="auto"/>
            </w:tcBorders>
            <w:shd w:val="clear" w:color="auto" w:fill="auto"/>
            <w:hideMark/>
          </w:tcPr>
          <w:p w14:paraId="1B35508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690</w:t>
            </w:r>
          </w:p>
        </w:tc>
        <w:tc>
          <w:tcPr>
            <w:tcW w:w="947" w:type="dxa"/>
            <w:tcBorders>
              <w:top w:val="nil"/>
              <w:left w:val="nil"/>
              <w:bottom w:val="single" w:sz="4" w:space="0" w:color="auto"/>
              <w:right w:val="single" w:sz="4" w:space="0" w:color="auto"/>
            </w:tcBorders>
            <w:shd w:val="clear" w:color="auto" w:fill="auto"/>
            <w:hideMark/>
          </w:tcPr>
          <w:p w14:paraId="675EB39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378</w:t>
            </w:r>
          </w:p>
        </w:tc>
        <w:tc>
          <w:tcPr>
            <w:tcW w:w="947" w:type="dxa"/>
            <w:tcBorders>
              <w:top w:val="nil"/>
              <w:left w:val="nil"/>
              <w:bottom w:val="single" w:sz="4" w:space="0" w:color="auto"/>
              <w:right w:val="single" w:sz="4" w:space="0" w:color="auto"/>
            </w:tcBorders>
            <w:shd w:val="clear" w:color="auto" w:fill="auto"/>
            <w:hideMark/>
          </w:tcPr>
          <w:p w14:paraId="371C875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4 201</w:t>
            </w:r>
          </w:p>
        </w:tc>
        <w:tc>
          <w:tcPr>
            <w:tcW w:w="947" w:type="dxa"/>
            <w:tcBorders>
              <w:top w:val="nil"/>
              <w:left w:val="nil"/>
              <w:bottom w:val="single" w:sz="4" w:space="0" w:color="auto"/>
              <w:right w:val="single" w:sz="4" w:space="0" w:color="auto"/>
            </w:tcBorders>
            <w:shd w:val="clear" w:color="auto" w:fill="auto"/>
            <w:hideMark/>
          </w:tcPr>
          <w:p w14:paraId="5C7FF1A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4 015</w:t>
            </w:r>
          </w:p>
        </w:tc>
        <w:tc>
          <w:tcPr>
            <w:tcW w:w="947" w:type="dxa"/>
            <w:tcBorders>
              <w:top w:val="nil"/>
              <w:left w:val="nil"/>
              <w:bottom w:val="single" w:sz="4" w:space="0" w:color="auto"/>
              <w:right w:val="single" w:sz="4" w:space="0" w:color="auto"/>
            </w:tcBorders>
            <w:shd w:val="clear" w:color="auto" w:fill="auto"/>
            <w:hideMark/>
          </w:tcPr>
          <w:p w14:paraId="3365D16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3 257</w:t>
            </w:r>
          </w:p>
        </w:tc>
        <w:tc>
          <w:tcPr>
            <w:tcW w:w="947" w:type="dxa"/>
            <w:tcBorders>
              <w:top w:val="nil"/>
              <w:left w:val="nil"/>
              <w:bottom w:val="single" w:sz="4" w:space="0" w:color="auto"/>
              <w:right w:val="single" w:sz="4" w:space="0" w:color="auto"/>
            </w:tcBorders>
            <w:shd w:val="clear" w:color="auto" w:fill="auto"/>
            <w:hideMark/>
          </w:tcPr>
          <w:p w14:paraId="6420534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2 714</w:t>
            </w:r>
          </w:p>
        </w:tc>
        <w:tc>
          <w:tcPr>
            <w:tcW w:w="946" w:type="dxa"/>
            <w:tcBorders>
              <w:top w:val="nil"/>
              <w:left w:val="nil"/>
              <w:bottom w:val="single" w:sz="4" w:space="0" w:color="auto"/>
              <w:right w:val="single" w:sz="4" w:space="0" w:color="auto"/>
            </w:tcBorders>
            <w:shd w:val="clear" w:color="auto" w:fill="auto"/>
            <w:hideMark/>
          </w:tcPr>
          <w:p w14:paraId="4727E7B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1 607</w:t>
            </w:r>
          </w:p>
        </w:tc>
        <w:tc>
          <w:tcPr>
            <w:tcW w:w="1189" w:type="dxa"/>
            <w:tcBorders>
              <w:top w:val="nil"/>
              <w:left w:val="nil"/>
              <w:bottom w:val="single" w:sz="4" w:space="0" w:color="auto"/>
              <w:right w:val="single" w:sz="8" w:space="0" w:color="auto"/>
            </w:tcBorders>
            <w:shd w:val="clear" w:color="auto" w:fill="auto"/>
            <w:hideMark/>
          </w:tcPr>
          <w:p w14:paraId="60F058C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1 072</w:t>
            </w:r>
          </w:p>
        </w:tc>
      </w:tr>
      <w:tr w:rsidR="005B6AF9" w:rsidRPr="004135FE" w14:paraId="15CA079C"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03E4683F"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8" w:space="0" w:color="auto"/>
              <w:right w:val="single" w:sz="4" w:space="0" w:color="auto"/>
            </w:tcBorders>
            <w:shd w:val="clear" w:color="auto" w:fill="auto"/>
            <w:hideMark/>
          </w:tcPr>
          <w:p w14:paraId="6C7FD84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tcBorders>
              <w:top w:val="nil"/>
              <w:left w:val="single" w:sz="4" w:space="0" w:color="auto"/>
              <w:bottom w:val="single" w:sz="8" w:space="0" w:color="auto"/>
              <w:right w:val="single" w:sz="4" w:space="0" w:color="auto"/>
            </w:tcBorders>
            <w:shd w:val="clear" w:color="auto" w:fill="auto"/>
            <w:hideMark/>
          </w:tcPr>
          <w:p w14:paraId="7F99201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777" w:type="dxa"/>
            <w:tcBorders>
              <w:top w:val="nil"/>
              <w:left w:val="nil"/>
              <w:bottom w:val="single" w:sz="8" w:space="0" w:color="auto"/>
              <w:right w:val="single" w:sz="4" w:space="0" w:color="auto"/>
            </w:tcBorders>
            <w:shd w:val="clear" w:color="auto" w:fill="auto"/>
            <w:hideMark/>
          </w:tcPr>
          <w:p w14:paraId="3071F05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1 435</w:t>
            </w:r>
          </w:p>
        </w:tc>
        <w:tc>
          <w:tcPr>
            <w:tcW w:w="893" w:type="dxa"/>
            <w:tcBorders>
              <w:top w:val="nil"/>
              <w:left w:val="nil"/>
              <w:bottom w:val="single" w:sz="8" w:space="0" w:color="auto"/>
              <w:right w:val="single" w:sz="4" w:space="0" w:color="auto"/>
            </w:tcBorders>
            <w:shd w:val="clear" w:color="auto" w:fill="auto"/>
            <w:hideMark/>
          </w:tcPr>
          <w:p w14:paraId="1E1E4AE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6 289</w:t>
            </w:r>
          </w:p>
        </w:tc>
        <w:tc>
          <w:tcPr>
            <w:tcW w:w="889" w:type="dxa"/>
            <w:tcBorders>
              <w:top w:val="nil"/>
              <w:left w:val="nil"/>
              <w:bottom w:val="single" w:sz="8" w:space="0" w:color="auto"/>
              <w:right w:val="single" w:sz="4" w:space="0" w:color="auto"/>
            </w:tcBorders>
            <w:shd w:val="clear" w:color="auto" w:fill="auto"/>
            <w:hideMark/>
          </w:tcPr>
          <w:p w14:paraId="0B2BEE6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7 079</w:t>
            </w:r>
          </w:p>
        </w:tc>
        <w:tc>
          <w:tcPr>
            <w:tcW w:w="946" w:type="dxa"/>
            <w:tcBorders>
              <w:top w:val="nil"/>
              <w:left w:val="nil"/>
              <w:bottom w:val="single" w:sz="8" w:space="0" w:color="auto"/>
              <w:right w:val="single" w:sz="4" w:space="0" w:color="auto"/>
            </w:tcBorders>
            <w:shd w:val="clear" w:color="auto" w:fill="auto"/>
            <w:hideMark/>
          </w:tcPr>
          <w:p w14:paraId="2F65127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5 238</w:t>
            </w:r>
          </w:p>
        </w:tc>
        <w:tc>
          <w:tcPr>
            <w:tcW w:w="947" w:type="dxa"/>
            <w:tcBorders>
              <w:top w:val="nil"/>
              <w:left w:val="nil"/>
              <w:bottom w:val="single" w:sz="8" w:space="0" w:color="auto"/>
              <w:right w:val="single" w:sz="4" w:space="0" w:color="auto"/>
            </w:tcBorders>
            <w:shd w:val="clear" w:color="auto" w:fill="auto"/>
            <w:hideMark/>
          </w:tcPr>
          <w:p w14:paraId="538282D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3 296</w:t>
            </w:r>
          </w:p>
        </w:tc>
        <w:tc>
          <w:tcPr>
            <w:tcW w:w="947" w:type="dxa"/>
            <w:tcBorders>
              <w:top w:val="nil"/>
              <w:left w:val="nil"/>
              <w:bottom w:val="single" w:sz="8" w:space="0" w:color="auto"/>
              <w:right w:val="single" w:sz="4" w:space="0" w:color="auto"/>
            </w:tcBorders>
            <w:shd w:val="clear" w:color="auto" w:fill="auto"/>
            <w:hideMark/>
          </w:tcPr>
          <w:p w14:paraId="50E399D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2 294</w:t>
            </w:r>
          </w:p>
        </w:tc>
        <w:tc>
          <w:tcPr>
            <w:tcW w:w="947" w:type="dxa"/>
            <w:tcBorders>
              <w:top w:val="nil"/>
              <w:left w:val="nil"/>
              <w:bottom w:val="single" w:sz="8" w:space="0" w:color="auto"/>
              <w:right w:val="single" w:sz="4" w:space="0" w:color="auto"/>
            </w:tcBorders>
            <w:shd w:val="clear" w:color="auto" w:fill="auto"/>
            <w:hideMark/>
          </w:tcPr>
          <w:p w14:paraId="4691144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18 773</w:t>
            </w:r>
          </w:p>
        </w:tc>
        <w:tc>
          <w:tcPr>
            <w:tcW w:w="947" w:type="dxa"/>
            <w:tcBorders>
              <w:top w:val="nil"/>
              <w:left w:val="nil"/>
              <w:bottom w:val="single" w:sz="8" w:space="0" w:color="auto"/>
              <w:right w:val="single" w:sz="4" w:space="0" w:color="auto"/>
            </w:tcBorders>
            <w:shd w:val="clear" w:color="auto" w:fill="auto"/>
            <w:hideMark/>
          </w:tcPr>
          <w:p w14:paraId="46C500A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19 711</w:t>
            </w:r>
          </w:p>
        </w:tc>
        <w:tc>
          <w:tcPr>
            <w:tcW w:w="947" w:type="dxa"/>
            <w:tcBorders>
              <w:top w:val="nil"/>
              <w:left w:val="nil"/>
              <w:bottom w:val="single" w:sz="8" w:space="0" w:color="auto"/>
              <w:right w:val="single" w:sz="4" w:space="0" w:color="auto"/>
            </w:tcBorders>
            <w:shd w:val="clear" w:color="auto" w:fill="auto"/>
            <w:hideMark/>
          </w:tcPr>
          <w:p w14:paraId="0EB7CED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14 894</w:t>
            </w:r>
          </w:p>
        </w:tc>
        <w:tc>
          <w:tcPr>
            <w:tcW w:w="947" w:type="dxa"/>
            <w:tcBorders>
              <w:top w:val="nil"/>
              <w:left w:val="nil"/>
              <w:bottom w:val="single" w:sz="8" w:space="0" w:color="auto"/>
              <w:right w:val="single" w:sz="4" w:space="0" w:color="auto"/>
            </w:tcBorders>
            <w:shd w:val="clear" w:color="auto" w:fill="auto"/>
            <w:hideMark/>
          </w:tcPr>
          <w:p w14:paraId="3C87718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14 393</w:t>
            </w:r>
          </w:p>
        </w:tc>
        <w:tc>
          <w:tcPr>
            <w:tcW w:w="946" w:type="dxa"/>
            <w:tcBorders>
              <w:top w:val="nil"/>
              <w:left w:val="nil"/>
              <w:bottom w:val="single" w:sz="8" w:space="0" w:color="auto"/>
              <w:right w:val="single" w:sz="4" w:space="0" w:color="auto"/>
            </w:tcBorders>
            <w:shd w:val="clear" w:color="auto" w:fill="auto"/>
            <w:hideMark/>
          </w:tcPr>
          <w:p w14:paraId="331A932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10 197</w:t>
            </w:r>
          </w:p>
        </w:tc>
        <w:tc>
          <w:tcPr>
            <w:tcW w:w="1189" w:type="dxa"/>
            <w:tcBorders>
              <w:top w:val="nil"/>
              <w:left w:val="nil"/>
              <w:bottom w:val="single" w:sz="8" w:space="0" w:color="auto"/>
              <w:right w:val="single" w:sz="8" w:space="0" w:color="auto"/>
            </w:tcBorders>
            <w:shd w:val="clear" w:color="auto" w:fill="auto"/>
            <w:hideMark/>
          </w:tcPr>
          <w:p w14:paraId="1D8BC32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7 834</w:t>
            </w:r>
          </w:p>
        </w:tc>
      </w:tr>
      <w:tr w:rsidR="005B6AF9" w:rsidRPr="004135FE" w14:paraId="3FF761A5" w14:textId="77777777" w:rsidTr="00680E37">
        <w:trPr>
          <w:trHeight w:val="226"/>
        </w:trPr>
        <w:tc>
          <w:tcPr>
            <w:tcW w:w="554" w:type="dxa"/>
            <w:vMerge w:val="restart"/>
            <w:tcBorders>
              <w:top w:val="nil"/>
              <w:left w:val="single" w:sz="8" w:space="0" w:color="auto"/>
              <w:bottom w:val="single" w:sz="8" w:space="0" w:color="000000"/>
              <w:right w:val="single" w:sz="4" w:space="0" w:color="auto"/>
            </w:tcBorders>
            <w:shd w:val="clear" w:color="auto" w:fill="auto"/>
            <w:noWrap/>
            <w:textDirection w:val="btLr"/>
            <w:vAlign w:val="center"/>
            <w:hideMark/>
          </w:tcPr>
          <w:p w14:paraId="0292A2C0" w14:textId="77777777" w:rsidR="005B6AF9" w:rsidRPr="004135FE" w:rsidRDefault="005B6AF9"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2016г</w:t>
            </w:r>
          </w:p>
        </w:tc>
        <w:tc>
          <w:tcPr>
            <w:tcW w:w="485" w:type="dxa"/>
            <w:tcBorders>
              <w:top w:val="nil"/>
              <w:left w:val="nil"/>
              <w:bottom w:val="single" w:sz="4" w:space="0" w:color="auto"/>
              <w:right w:val="single" w:sz="4" w:space="0" w:color="auto"/>
            </w:tcBorders>
            <w:shd w:val="clear" w:color="auto" w:fill="auto"/>
            <w:hideMark/>
          </w:tcPr>
          <w:p w14:paraId="4E7A404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tcBorders>
              <w:top w:val="nil"/>
              <w:left w:val="single" w:sz="4" w:space="0" w:color="auto"/>
              <w:bottom w:val="single" w:sz="4" w:space="0" w:color="auto"/>
              <w:right w:val="single" w:sz="4" w:space="0" w:color="auto"/>
            </w:tcBorders>
            <w:shd w:val="clear" w:color="auto" w:fill="auto"/>
            <w:hideMark/>
          </w:tcPr>
          <w:p w14:paraId="43006A7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777" w:type="dxa"/>
            <w:tcBorders>
              <w:top w:val="nil"/>
              <w:left w:val="nil"/>
              <w:bottom w:val="single" w:sz="4" w:space="0" w:color="auto"/>
              <w:right w:val="single" w:sz="4" w:space="0" w:color="auto"/>
            </w:tcBorders>
            <w:shd w:val="clear" w:color="auto" w:fill="auto"/>
            <w:hideMark/>
          </w:tcPr>
          <w:p w14:paraId="0201281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1 617</w:t>
            </w:r>
          </w:p>
        </w:tc>
        <w:tc>
          <w:tcPr>
            <w:tcW w:w="893" w:type="dxa"/>
            <w:tcBorders>
              <w:top w:val="nil"/>
              <w:left w:val="nil"/>
              <w:bottom w:val="single" w:sz="4" w:space="0" w:color="auto"/>
              <w:right w:val="single" w:sz="4" w:space="0" w:color="auto"/>
            </w:tcBorders>
            <w:shd w:val="clear" w:color="auto" w:fill="auto"/>
            <w:hideMark/>
          </w:tcPr>
          <w:p w14:paraId="016B60B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7 759</w:t>
            </w:r>
          </w:p>
        </w:tc>
        <w:tc>
          <w:tcPr>
            <w:tcW w:w="889" w:type="dxa"/>
            <w:tcBorders>
              <w:top w:val="nil"/>
              <w:left w:val="nil"/>
              <w:bottom w:val="single" w:sz="4" w:space="0" w:color="auto"/>
              <w:right w:val="single" w:sz="4" w:space="0" w:color="auto"/>
            </w:tcBorders>
            <w:shd w:val="clear" w:color="auto" w:fill="auto"/>
            <w:hideMark/>
          </w:tcPr>
          <w:p w14:paraId="0F6ABB2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9 078</w:t>
            </w:r>
          </w:p>
        </w:tc>
        <w:tc>
          <w:tcPr>
            <w:tcW w:w="946" w:type="dxa"/>
            <w:tcBorders>
              <w:top w:val="nil"/>
              <w:left w:val="nil"/>
              <w:bottom w:val="single" w:sz="4" w:space="0" w:color="auto"/>
              <w:right w:val="single" w:sz="4" w:space="0" w:color="auto"/>
            </w:tcBorders>
            <w:shd w:val="clear" w:color="auto" w:fill="auto"/>
            <w:hideMark/>
          </w:tcPr>
          <w:p w14:paraId="0C99BF9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6 725</w:t>
            </w:r>
          </w:p>
        </w:tc>
        <w:tc>
          <w:tcPr>
            <w:tcW w:w="947" w:type="dxa"/>
            <w:tcBorders>
              <w:top w:val="nil"/>
              <w:left w:val="nil"/>
              <w:bottom w:val="single" w:sz="4" w:space="0" w:color="auto"/>
              <w:right w:val="single" w:sz="4" w:space="0" w:color="auto"/>
            </w:tcBorders>
            <w:shd w:val="clear" w:color="auto" w:fill="auto"/>
            <w:hideMark/>
          </w:tcPr>
          <w:p w14:paraId="0158E6E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3 927</w:t>
            </w:r>
          </w:p>
        </w:tc>
        <w:tc>
          <w:tcPr>
            <w:tcW w:w="947" w:type="dxa"/>
            <w:tcBorders>
              <w:top w:val="nil"/>
              <w:left w:val="nil"/>
              <w:bottom w:val="single" w:sz="4" w:space="0" w:color="auto"/>
              <w:right w:val="single" w:sz="4" w:space="0" w:color="auto"/>
            </w:tcBorders>
            <w:shd w:val="clear" w:color="auto" w:fill="auto"/>
            <w:hideMark/>
          </w:tcPr>
          <w:p w14:paraId="4A9FC58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4 221</w:t>
            </w:r>
          </w:p>
        </w:tc>
        <w:tc>
          <w:tcPr>
            <w:tcW w:w="947" w:type="dxa"/>
            <w:tcBorders>
              <w:top w:val="nil"/>
              <w:left w:val="nil"/>
              <w:bottom w:val="single" w:sz="4" w:space="0" w:color="auto"/>
              <w:right w:val="single" w:sz="4" w:space="0" w:color="auto"/>
            </w:tcBorders>
            <w:shd w:val="clear" w:color="auto" w:fill="auto"/>
            <w:hideMark/>
          </w:tcPr>
          <w:p w14:paraId="6E6AB21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22 734</w:t>
            </w:r>
          </w:p>
        </w:tc>
        <w:tc>
          <w:tcPr>
            <w:tcW w:w="947" w:type="dxa"/>
            <w:tcBorders>
              <w:top w:val="nil"/>
              <w:left w:val="nil"/>
              <w:bottom w:val="single" w:sz="4" w:space="0" w:color="auto"/>
              <w:right w:val="single" w:sz="4" w:space="0" w:color="auto"/>
            </w:tcBorders>
            <w:shd w:val="clear" w:color="auto" w:fill="auto"/>
            <w:hideMark/>
          </w:tcPr>
          <w:p w14:paraId="0E3FA54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21 430</w:t>
            </w:r>
          </w:p>
        </w:tc>
        <w:tc>
          <w:tcPr>
            <w:tcW w:w="947" w:type="dxa"/>
            <w:tcBorders>
              <w:top w:val="nil"/>
              <w:left w:val="nil"/>
              <w:bottom w:val="single" w:sz="4" w:space="0" w:color="auto"/>
              <w:right w:val="single" w:sz="4" w:space="0" w:color="auto"/>
            </w:tcBorders>
            <w:shd w:val="clear" w:color="auto" w:fill="auto"/>
            <w:hideMark/>
          </w:tcPr>
          <w:p w14:paraId="3AB55F9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18 195</w:t>
            </w:r>
          </w:p>
        </w:tc>
        <w:tc>
          <w:tcPr>
            <w:tcW w:w="947" w:type="dxa"/>
            <w:tcBorders>
              <w:top w:val="nil"/>
              <w:left w:val="nil"/>
              <w:bottom w:val="single" w:sz="4" w:space="0" w:color="auto"/>
              <w:right w:val="single" w:sz="4" w:space="0" w:color="auto"/>
            </w:tcBorders>
            <w:shd w:val="clear" w:color="auto" w:fill="auto"/>
            <w:hideMark/>
          </w:tcPr>
          <w:p w14:paraId="5B216E9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15 916</w:t>
            </w:r>
          </w:p>
        </w:tc>
        <w:tc>
          <w:tcPr>
            <w:tcW w:w="946" w:type="dxa"/>
            <w:tcBorders>
              <w:top w:val="nil"/>
              <w:left w:val="nil"/>
              <w:bottom w:val="single" w:sz="4" w:space="0" w:color="auto"/>
              <w:right w:val="single" w:sz="4" w:space="0" w:color="auto"/>
            </w:tcBorders>
            <w:shd w:val="clear" w:color="auto" w:fill="auto"/>
            <w:hideMark/>
          </w:tcPr>
          <w:p w14:paraId="2C9D447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14 760</w:t>
            </w:r>
          </w:p>
        </w:tc>
        <w:tc>
          <w:tcPr>
            <w:tcW w:w="1189" w:type="dxa"/>
            <w:tcBorders>
              <w:top w:val="nil"/>
              <w:left w:val="nil"/>
              <w:bottom w:val="single" w:sz="4" w:space="0" w:color="auto"/>
              <w:right w:val="single" w:sz="8" w:space="0" w:color="auto"/>
            </w:tcBorders>
            <w:shd w:val="clear" w:color="auto" w:fill="auto"/>
            <w:hideMark/>
          </w:tcPr>
          <w:p w14:paraId="285780D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12 317</w:t>
            </w:r>
          </w:p>
        </w:tc>
      </w:tr>
      <w:tr w:rsidR="005B6AF9" w:rsidRPr="004135FE" w14:paraId="67B5B66E"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1069DC19"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482D66C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tcBorders>
              <w:top w:val="nil"/>
              <w:left w:val="single" w:sz="4" w:space="0" w:color="auto"/>
              <w:bottom w:val="single" w:sz="4" w:space="0" w:color="auto"/>
              <w:right w:val="single" w:sz="4" w:space="0" w:color="auto"/>
            </w:tcBorders>
            <w:shd w:val="clear" w:color="auto" w:fill="auto"/>
            <w:hideMark/>
          </w:tcPr>
          <w:p w14:paraId="10CD976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777" w:type="dxa"/>
            <w:tcBorders>
              <w:top w:val="nil"/>
              <w:left w:val="nil"/>
              <w:bottom w:val="single" w:sz="4" w:space="0" w:color="auto"/>
              <w:right w:val="single" w:sz="4" w:space="0" w:color="auto"/>
            </w:tcBorders>
            <w:shd w:val="clear" w:color="auto" w:fill="auto"/>
            <w:hideMark/>
          </w:tcPr>
          <w:p w14:paraId="3A35DE2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2 886</w:t>
            </w:r>
          </w:p>
        </w:tc>
        <w:tc>
          <w:tcPr>
            <w:tcW w:w="893" w:type="dxa"/>
            <w:tcBorders>
              <w:top w:val="nil"/>
              <w:left w:val="nil"/>
              <w:bottom w:val="single" w:sz="4" w:space="0" w:color="auto"/>
              <w:right w:val="single" w:sz="4" w:space="0" w:color="auto"/>
            </w:tcBorders>
            <w:shd w:val="clear" w:color="auto" w:fill="auto"/>
            <w:hideMark/>
          </w:tcPr>
          <w:p w14:paraId="3F9742B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10 885</w:t>
            </w:r>
          </w:p>
        </w:tc>
        <w:tc>
          <w:tcPr>
            <w:tcW w:w="889" w:type="dxa"/>
            <w:tcBorders>
              <w:top w:val="nil"/>
              <w:left w:val="nil"/>
              <w:bottom w:val="single" w:sz="4" w:space="0" w:color="auto"/>
              <w:right w:val="single" w:sz="4" w:space="0" w:color="auto"/>
            </w:tcBorders>
            <w:shd w:val="clear" w:color="auto" w:fill="auto"/>
            <w:hideMark/>
          </w:tcPr>
          <w:p w14:paraId="28E6950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11 086</w:t>
            </w:r>
          </w:p>
        </w:tc>
        <w:tc>
          <w:tcPr>
            <w:tcW w:w="946" w:type="dxa"/>
            <w:tcBorders>
              <w:top w:val="nil"/>
              <w:left w:val="nil"/>
              <w:bottom w:val="single" w:sz="4" w:space="0" w:color="auto"/>
              <w:right w:val="single" w:sz="4" w:space="0" w:color="auto"/>
            </w:tcBorders>
            <w:shd w:val="clear" w:color="auto" w:fill="auto"/>
            <w:hideMark/>
          </w:tcPr>
          <w:p w14:paraId="30F0431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7 800</w:t>
            </w:r>
          </w:p>
        </w:tc>
        <w:tc>
          <w:tcPr>
            <w:tcW w:w="947" w:type="dxa"/>
            <w:tcBorders>
              <w:top w:val="nil"/>
              <w:left w:val="nil"/>
              <w:bottom w:val="single" w:sz="4" w:space="0" w:color="auto"/>
              <w:right w:val="single" w:sz="4" w:space="0" w:color="auto"/>
            </w:tcBorders>
            <w:shd w:val="clear" w:color="auto" w:fill="auto"/>
            <w:hideMark/>
          </w:tcPr>
          <w:p w14:paraId="0C4B053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3 217</w:t>
            </w:r>
          </w:p>
        </w:tc>
        <w:tc>
          <w:tcPr>
            <w:tcW w:w="947" w:type="dxa"/>
            <w:tcBorders>
              <w:top w:val="nil"/>
              <w:left w:val="nil"/>
              <w:bottom w:val="single" w:sz="4" w:space="0" w:color="auto"/>
              <w:right w:val="single" w:sz="4" w:space="0" w:color="auto"/>
            </w:tcBorders>
            <w:shd w:val="clear" w:color="auto" w:fill="auto"/>
            <w:hideMark/>
          </w:tcPr>
          <w:p w14:paraId="35135DA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1 546</w:t>
            </w:r>
          </w:p>
        </w:tc>
        <w:tc>
          <w:tcPr>
            <w:tcW w:w="947" w:type="dxa"/>
            <w:tcBorders>
              <w:top w:val="nil"/>
              <w:left w:val="nil"/>
              <w:bottom w:val="single" w:sz="4" w:space="0" w:color="auto"/>
              <w:right w:val="single" w:sz="4" w:space="0" w:color="auto"/>
            </w:tcBorders>
            <w:shd w:val="clear" w:color="auto" w:fill="auto"/>
            <w:hideMark/>
          </w:tcPr>
          <w:p w14:paraId="42FDA21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18 790</w:t>
            </w:r>
          </w:p>
        </w:tc>
        <w:tc>
          <w:tcPr>
            <w:tcW w:w="947" w:type="dxa"/>
            <w:tcBorders>
              <w:top w:val="nil"/>
              <w:left w:val="nil"/>
              <w:bottom w:val="single" w:sz="4" w:space="0" w:color="auto"/>
              <w:right w:val="single" w:sz="4" w:space="0" w:color="auto"/>
            </w:tcBorders>
            <w:shd w:val="clear" w:color="auto" w:fill="auto"/>
            <w:hideMark/>
          </w:tcPr>
          <w:p w14:paraId="174144C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18 638</w:t>
            </w:r>
          </w:p>
        </w:tc>
        <w:tc>
          <w:tcPr>
            <w:tcW w:w="947" w:type="dxa"/>
            <w:tcBorders>
              <w:top w:val="nil"/>
              <w:left w:val="nil"/>
              <w:bottom w:val="single" w:sz="4" w:space="0" w:color="auto"/>
              <w:right w:val="single" w:sz="4" w:space="0" w:color="auto"/>
            </w:tcBorders>
            <w:shd w:val="clear" w:color="auto" w:fill="auto"/>
            <w:hideMark/>
          </w:tcPr>
          <w:p w14:paraId="3DF90F2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12 431</w:t>
            </w:r>
          </w:p>
        </w:tc>
        <w:tc>
          <w:tcPr>
            <w:tcW w:w="947" w:type="dxa"/>
            <w:tcBorders>
              <w:top w:val="nil"/>
              <w:left w:val="nil"/>
              <w:bottom w:val="single" w:sz="4" w:space="0" w:color="auto"/>
              <w:right w:val="single" w:sz="4" w:space="0" w:color="auto"/>
            </w:tcBorders>
            <w:shd w:val="clear" w:color="auto" w:fill="auto"/>
            <w:hideMark/>
          </w:tcPr>
          <w:p w14:paraId="16C79BE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9 299</w:t>
            </w:r>
          </w:p>
        </w:tc>
        <w:tc>
          <w:tcPr>
            <w:tcW w:w="946" w:type="dxa"/>
            <w:tcBorders>
              <w:top w:val="nil"/>
              <w:left w:val="nil"/>
              <w:bottom w:val="single" w:sz="4" w:space="0" w:color="auto"/>
              <w:right w:val="single" w:sz="4" w:space="0" w:color="auto"/>
            </w:tcBorders>
            <w:shd w:val="clear" w:color="auto" w:fill="auto"/>
            <w:hideMark/>
          </w:tcPr>
          <w:p w14:paraId="02B5622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4 991</w:t>
            </w:r>
          </w:p>
        </w:tc>
        <w:tc>
          <w:tcPr>
            <w:tcW w:w="1189" w:type="dxa"/>
            <w:tcBorders>
              <w:top w:val="nil"/>
              <w:left w:val="nil"/>
              <w:bottom w:val="single" w:sz="4" w:space="0" w:color="auto"/>
              <w:right w:val="single" w:sz="8" w:space="0" w:color="auto"/>
            </w:tcBorders>
            <w:shd w:val="clear" w:color="auto" w:fill="auto"/>
            <w:hideMark/>
          </w:tcPr>
          <w:p w14:paraId="038385E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3 198</w:t>
            </w:r>
          </w:p>
        </w:tc>
      </w:tr>
      <w:tr w:rsidR="005B6AF9" w:rsidRPr="004135FE" w14:paraId="625BD630"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412488EC"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31A590A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tcBorders>
              <w:top w:val="nil"/>
              <w:left w:val="single" w:sz="4" w:space="0" w:color="auto"/>
              <w:bottom w:val="single" w:sz="4" w:space="0" w:color="auto"/>
              <w:right w:val="single" w:sz="4" w:space="0" w:color="auto"/>
            </w:tcBorders>
            <w:shd w:val="clear" w:color="auto" w:fill="auto"/>
            <w:hideMark/>
          </w:tcPr>
          <w:p w14:paraId="37AB95D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777" w:type="dxa"/>
            <w:tcBorders>
              <w:top w:val="nil"/>
              <w:left w:val="nil"/>
              <w:bottom w:val="single" w:sz="4" w:space="0" w:color="auto"/>
              <w:right w:val="single" w:sz="4" w:space="0" w:color="auto"/>
            </w:tcBorders>
            <w:shd w:val="clear" w:color="auto" w:fill="auto"/>
            <w:hideMark/>
          </w:tcPr>
          <w:p w14:paraId="4C9F0E0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2 837</w:t>
            </w:r>
          </w:p>
        </w:tc>
        <w:tc>
          <w:tcPr>
            <w:tcW w:w="893" w:type="dxa"/>
            <w:tcBorders>
              <w:top w:val="nil"/>
              <w:left w:val="nil"/>
              <w:bottom w:val="single" w:sz="4" w:space="0" w:color="auto"/>
              <w:right w:val="single" w:sz="4" w:space="0" w:color="auto"/>
            </w:tcBorders>
            <w:shd w:val="clear" w:color="auto" w:fill="auto"/>
            <w:hideMark/>
          </w:tcPr>
          <w:p w14:paraId="0CEAD92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12 320</w:t>
            </w:r>
          </w:p>
        </w:tc>
        <w:tc>
          <w:tcPr>
            <w:tcW w:w="889" w:type="dxa"/>
            <w:tcBorders>
              <w:top w:val="nil"/>
              <w:left w:val="nil"/>
              <w:bottom w:val="single" w:sz="4" w:space="0" w:color="auto"/>
              <w:right w:val="single" w:sz="4" w:space="0" w:color="auto"/>
            </w:tcBorders>
            <w:shd w:val="clear" w:color="auto" w:fill="auto"/>
            <w:hideMark/>
          </w:tcPr>
          <w:p w14:paraId="2898504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13 299</w:t>
            </w:r>
          </w:p>
        </w:tc>
        <w:tc>
          <w:tcPr>
            <w:tcW w:w="946" w:type="dxa"/>
            <w:tcBorders>
              <w:top w:val="nil"/>
              <w:left w:val="nil"/>
              <w:bottom w:val="single" w:sz="4" w:space="0" w:color="auto"/>
              <w:right w:val="single" w:sz="4" w:space="0" w:color="auto"/>
            </w:tcBorders>
            <w:shd w:val="clear" w:color="auto" w:fill="auto"/>
            <w:hideMark/>
          </w:tcPr>
          <w:p w14:paraId="764CA1B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9 136</w:t>
            </w:r>
          </w:p>
        </w:tc>
        <w:tc>
          <w:tcPr>
            <w:tcW w:w="947" w:type="dxa"/>
            <w:tcBorders>
              <w:top w:val="nil"/>
              <w:left w:val="nil"/>
              <w:bottom w:val="single" w:sz="4" w:space="0" w:color="auto"/>
              <w:right w:val="single" w:sz="4" w:space="0" w:color="auto"/>
            </w:tcBorders>
            <w:shd w:val="clear" w:color="auto" w:fill="auto"/>
            <w:hideMark/>
          </w:tcPr>
          <w:p w14:paraId="74E4AED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4 306</w:t>
            </w:r>
          </w:p>
        </w:tc>
        <w:tc>
          <w:tcPr>
            <w:tcW w:w="947" w:type="dxa"/>
            <w:tcBorders>
              <w:top w:val="nil"/>
              <w:left w:val="nil"/>
              <w:bottom w:val="single" w:sz="4" w:space="0" w:color="auto"/>
              <w:right w:val="single" w:sz="4" w:space="0" w:color="auto"/>
            </w:tcBorders>
            <w:shd w:val="clear" w:color="auto" w:fill="auto"/>
            <w:hideMark/>
          </w:tcPr>
          <w:p w14:paraId="041535E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4 071</w:t>
            </w:r>
          </w:p>
        </w:tc>
        <w:tc>
          <w:tcPr>
            <w:tcW w:w="947" w:type="dxa"/>
            <w:tcBorders>
              <w:top w:val="nil"/>
              <w:left w:val="nil"/>
              <w:bottom w:val="single" w:sz="4" w:space="0" w:color="auto"/>
              <w:right w:val="single" w:sz="4" w:space="0" w:color="auto"/>
            </w:tcBorders>
            <w:shd w:val="clear" w:color="auto" w:fill="auto"/>
            <w:hideMark/>
          </w:tcPr>
          <w:p w14:paraId="3CC245E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28 396</w:t>
            </w:r>
          </w:p>
        </w:tc>
        <w:tc>
          <w:tcPr>
            <w:tcW w:w="947" w:type="dxa"/>
            <w:tcBorders>
              <w:top w:val="nil"/>
              <w:left w:val="nil"/>
              <w:bottom w:val="single" w:sz="4" w:space="0" w:color="auto"/>
              <w:right w:val="single" w:sz="4" w:space="0" w:color="auto"/>
            </w:tcBorders>
            <w:shd w:val="clear" w:color="auto" w:fill="auto"/>
            <w:hideMark/>
          </w:tcPr>
          <w:p w14:paraId="0401488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27 625</w:t>
            </w:r>
          </w:p>
        </w:tc>
        <w:tc>
          <w:tcPr>
            <w:tcW w:w="947" w:type="dxa"/>
            <w:tcBorders>
              <w:top w:val="nil"/>
              <w:left w:val="nil"/>
              <w:bottom w:val="single" w:sz="4" w:space="0" w:color="auto"/>
              <w:right w:val="single" w:sz="4" w:space="0" w:color="auto"/>
            </w:tcBorders>
            <w:shd w:val="clear" w:color="auto" w:fill="auto"/>
            <w:hideMark/>
          </w:tcPr>
          <w:p w14:paraId="4047213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21 440</w:t>
            </w:r>
          </w:p>
        </w:tc>
        <w:tc>
          <w:tcPr>
            <w:tcW w:w="947" w:type="dxa"/>
            <w:tcBorders>
              <w:top w:val="nil"/>
              <w:left w:val="nil"/>
              <w:bottom w:val="single" w:sz="4" w:space="0" w:color="auto"/>
              <w:right w:val="single" w:sz="4" w:space="0" w:color="auto"/>
            </w:tcBorders>
            <w:shd w:val="clear" w:color="auto" w:fill="auto"/>
            <w:hideMark/>
          </w:tcPr>
          <w:p w14:paraId="03D1A56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19 450</w:t>
            </w:r>
          </w:p>
        </w:tc>
        <w:tc>
          <w:tcPr>
            <w:tcW w:w="946" w:type="dxa"/>
            <w:tcBorders>
              <w:top w:val="nil"/>
              <w:left w:val="nil"/>
              <w:bottom w:val="single" w:sz="4" w:space="0" w:color="auto"/>
              <w:right w:val="single" w:sz="4" w:space="0" w:color="auto"/>
            </w:tcBorders>
            <w:shd w:val="clear" w:color="auto" w:fill="auto"/>
            <w:hideMark/>
          </w:tcPr>
          <w:p w14:paraId="1CC32E4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14 810</w:t>
            </w:r>
          </w:p>
        </w:tc>
        <w:tc>
          <w:tcPr>
            <w:tcW w:w="1189" w:type="dxa"/>
            <w:tcBorders>
              <w:top w:val="nil"/>
              <w:left w:val="nil"/>
              <w:bottom w:val="single" w:sz="4" w:space="0" w:color="auto"/>
              <w:right w:val="single" w:sz="8" w:space="0" w:color="auto"/>
            </w:tcBorders>
            <w:shd w:val="clear" w:color="auto" w:fill="auto"/>
            <w:hideMark/>
          </w:tcPr>
          <w:p w14:paraId="06D2DC5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11 488</w:t>
            </w:r>
          </w:p>
        </w:tc>
      </w:tr>
      <w:tr w:rsidR="005B6AF9" w:rsidRPr="004135FE" w14:paraId="2BFD773F"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7834CE72"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1CE0D18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tcBorders>
              <w:top w:val="nil"/>
              <w:left w:val="single" w:sz="4" w:space="0" w:color="auto"/>
              <w:bottom w:val="single" w:sz="4" w:space="0" w:color="auto"/>
              <w:right w:val="single" w:sz="4" w:space="0" w:color="auto"/>
            </w:tcBorders>
            <w:shd w:val="clear" w:color="auto" w:fill="auto"/>
            <w:hideMark/>
          </w:tcPr>
          <w:p w14:paraId="77D38B2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777" w:type="dxa"/>
            <w:tcBorders>
              <w:top w:val="nil"/>
              <w:left w:val="nil"/>
              <w:bottom w:val="single" w:sz="4" w:space="0" w:color="auto"/>
              <w:right w:val="single" w:sz="4" w:space="0" w:color="auto"/>
            </w:tcBorders>
            <w:shd w:val="clear" w:color="auto" w:fill="auto"/>
            <w:hideMark/>
          </w:tcPr>
          <w:p w14:paraId="098E1FD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1 885</w:t>
            </w:r>
          </w:p>
        </w:tc>
        <w:tc>
          <w:tcPr>
            <w:tcW w:w="893" w:type="dxa"/>
            <w:tcBorders>
              <w:top w:val="nil"/>
              <w:left w:val="nil"/>
              <w:bottom w:val="single" w:sz="4" w:space="0" w:color="auto"/>
              <w:right w:val="single" w:sz="4" w:space="0" w:color="auto"/>
            </w:tcBorders>
            <w:shd w:val="clear" w:color="auto" w:fill="auto"/>
            <w:hideMark/>
          </w:tcPr>
          <w:p w14:paraId="2C68A92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9 040</w:t>
            </w:r>
          </w:p>
        </w:tc>
        <w:tc>
          <w:tcPr>
            <w:tcW w:w="889" w:type="dxa"/>
            <w:tcBorders>
              <w:top w:val="nil"/>
              <w:left w:val="nil"/>
              <w:bottom w:val="single" w:sz="4" w:space="0" w:color="auto"/>
              <w:right w:val="single" w:sz="4" w:space="0" w:color="auto"/>
            </w:tcBorders>
            <w:shd w:val="clear" w:color="auto" w:fill="auto"/>
            <w:hideMark/>
          </w:tcPr>
          <w:p w14:paraId="462E883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10 200</w:t>
            </w:r>
          </w:p>
        </w:tc>
        <w:tc>
          <w:tcPr>
            <w:tcW w:w="946" w:type="dxa"/>
            <w:tcBorders>
              <w:top w:val="nil"/>
              <w:left w:val="nil"/>
              <w:bottom w:val="single" w:sz="4" w:space="0" w:color="auto"/>
              <w:right w:val="single" w:sz="4" w:space="0" w:color="auto"/>
            </w:tcBorders>
            <w:shd w:val="clear" w:color="auto" w:fill="auto"/>
            <w:hideMark/>
          </w:tcPr>
          <w:p w14:paraId="022CD5F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7 516</w:t>
            </w:r>
          </w:p>
        </w:tc>
        <w:tc>
          <w:tcPr>
            <w:tcW w:w="947" w:type="dxa"/>
            <w:tcBorders>
              <w:top w:val="nil"/>
              <w:left w:val="nil"/>
              <w:bottom w:val="single" w:sz="4" w:space="0" w:color="auto"/>
              <w:right w:val="single" w:sz="4" w:space="0" w:color="auto"/>
            </w:tcBorders>
            <w:shd w:val="clear" w:color="auto" w:fill="auto"/>
            <w:hideMark/>
          </w:tcPr>
          <w:p w14:paraId="0D1A183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7 006</w:t>
            </w:r>
          </w:p>
        </w:tc>
        <w:tc>
          <w:tcPr>
            <w:tcW w:w="947" w:type="dxa"/>
            <w:tcBorders>
              <w:top w:val="nil"/>
              <w:left w:val="nil"/>
              <w:bottom w:val="single" w:sz="4" w:space="0" w:color="auto"/>
              <w:right w:val="single" w:sz="4" w:space="0" w:color="auto"/>
            </w:tcBorders>
            <w:shd w:val="clear" w:color="auto" w:fill="auto"/>
            <w:hideMark/>
          </w:tcPr>
          <w:p w14:paraId="3D20A10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14 452</w:t>
            </w:r>
          </w:p>
        </w:tc>
        <w:tc>
          <w:tcPr>
            <w:tcW w:w="947" w:type="dxa"/>
            <w:tcBorders>
              <w:top w:val="nil"/>
              <w:left w:val="nil"/>
              <w:bottom w:val="single" w:sz="4" w:space="0" w:color="auto"/>
              <w:right w:val="single" w:sz="4" w:space="0" w:color="auto"/>
            </w:tcBorders>
            <w:shd w:val="clear" w:color="auto" w:fill="auto"/>
            <w:hideMark/>
          </w:tcPr>
          <w:p w14:paraId="27CE2AE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47 587</w:t>
            </w:r>
          </w:p>
        </w:tc>
        <w:tc>
          <w:tcPr>
            <w:tcW w:w="947" w:type="dxa"/>
            <w:tcBorders>
              <w:top w:val="nil"/>
              <w:left w:val="nil"/>
              <w:bottom w:val="single" w:sz="4" w:space="0" w:color="auto"/>
              <w:right w:val="single" w:sz="4" w:space="0" w:color="auto"/>
            </w:tcBorders>
            <w:shd w:val="clear" w:color="auto" w:fill="auto"/>
            <w:hideMark/>
          </w:tcPr>
          <w:p w14:paraId="2B4FBDC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23 333</w:t>
            </w:r>
          </w:p>
        </w:tc>
        <w:tc>
          <w:tcPr>
            <w:tcW w:w="947" w:type="dxa"/>
            <w:tcBorders>
              <w:top w:val="nil"/>
              <w:left w:val="nil"/>
              <w:bottom w:val="single" w:sz="4" w:space="0" w:color="auto"/>
              <w:right w:val="single" w:sz="4" w:space="0" w:color="auto"/>
            </w:tcBorders>
            <w:shd w:val="clear" w:color="auto" w:fill="auto"/>
            <w:hideMark/>
          </w:tcPr>
          <w:p w14:paraId="2D302C1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19 264</w:t>
            </w:r>
          </w:p>
        </w:tc>
        <w:tc>
          <w:tcPr>
            <w:tcW w:w="947" w:type="dxa"/>
            <w:tcBorders>
              <w:top w:val="nil"/>
              <w:left w:val="nil"/>
              <w:bottom w:val="single" w:sz="4" w:space="0" w:color="auto"/>
              <w:right w:val="single" w:sz="4" w:space="0" w:color="auto"/>
            </w:tcBorders>
            <w:shd w:val="clear" w:color="auto" w:fill="auto"/>
            <w:hideMark/>
          </w:tcPr>
          <w:p w14:paraId="2C1791E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17 507</w:t>
            </w:r>
          </w:p>
        </w:tc>
        <w:tc>
          <w:tcPr>
            <w:tcW w:w="946" w:type="dxa"/>
            <w:tcBorders>
              <w:top w:val="nil"/>
              <w:left w:val="nil"/>
              <w:bottom w:val="single" w:sz="4" w:space="0" w:color="auto"/>
              <w:right w:val="single" w:sz="4" w:space="0" w:color="auto"/>
            </w:tcBorders>
            <w:shd w:val="clear" w:color="auto" w:fill="auto"/>
            <w:hideMark/>
          </w:tcPr>
          <w:p w14:paraId="1F44D27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14 469</w:t>
            </w:r>
          </w:p>
        </w:tc>
        <w:tc>
          <w:tcPr>
            <w:tcW w:w="1189" w:type="dxa"/>
            <w:tcBorders>
              <w:top w:val="nil"/>
              <w:left w:val="nil"/>
              <w:bottom w:val="single" w:sz="4" w:space="0" w:color="auto"/>
              <w:right w:val="single" w:sz="8" w:space="0" w:color="auto"/>
            </w:tcBorders>
            <w:shd w:val="clear" w:color="auto" w:fill="auto"/>
            <w:hideMark/>
          </w:tcPr>
          <w:p w14:paraId="2E4BC62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11 809</w:t>
            </w:r>
          </w:p>
        </w:tc>
      </w:tr>
      <w:tr w:rsidR="005B6AF9" w:rsidRPr="004135FE" w14:paraId="276BA9BA"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35D484C1"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34F5A3E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tcBorders>
              <w:top w:val="nil"/>
              <w:left w:val="single" w:sz="4" w:space="0" w:color="auto"/>
              <w:bottom w:val="single" w:sz="4" w:space="0" w:color="auto"/>
              <w:right w:val="single" w:sz="4" w:space="0" w:color="auto"/>
            </w:tcBorders>
            <w:shd w:val="clear" w:color="auto" w:fill="auto"/>
            <w:hideMark/>
          </w:tcPr>
          <w:p w14:paraId="4E9E7D5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777" w:type="dxa"/>
            <w:tcBorders>
              <w:top w:val="nil"/>
              <w:left w:val="nil"/>
              <w:bottom w:val="single" w:sz="4" w:space="0" w:color="auto"/>
              <w:right w:val="single" w:sz="4" w:space="0" w:color="auto"/>
            </w:tcBorders>
            <w:shd w:val="clear" w:color="auto" w:fill="auto"/>
            <w:hideMark/>
          </w:tcPr>
          <w:p w14:paraId="313B159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1 563</w:t>
            </w:r>
          </w:p>
        </w:tc>
        <w:tc>
          <w:tcPr>
            <w:tcW w:w="893" w:type="dxa"/>
            <w:tcBorders>
              <w:top w:val="nil"/>
              <w:left w:val="nil"/>
              <w:bottom w:val="single" w:sz="4" w:space="0" w:color="auto"/>
              <w:right w:val="single" w:sz="4" w:space="0" w:color="auto"/>
            </w:tcBorders>
            <w:shd w:val="clear" w:color="auto" w:fill="auto"/>
            <w:hideMark/>
          </w:tcPr>
          <w:p w14:paraId="42B861C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7 027</w:t>
            </w:r>
          </w:p>
        </w:tc>
        <w:tc>
          <w:tcPr>
            <w:tcW w:w="889" w:type="dxa"/>
            <w:tcBorders>
              <w:top w:val="nil"/>
              <w:left w:val="nil"/>
              <w:bottom w:val="single" w:sz="4" w:space="0" w:color="auto"/>
              <w:right w:val="single" w:sz="4" w:space="0" w:color="auto"/>
            </w:tcBorders>
            <w:shd w:val="clear" w:color="auto" w:fill="auto"/>
            <w:hideMark/>
          </w:tcPr>
          <w:p w14:paraId="368AF46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7 797</w:t>
            </w:r>
          </w:p>
        </w:tc>
        <w:tc>
          <w:tcPr>
            <w:tcW w:w="946" w:type="dxa"/>
            <w:tcBorders>
              <w:top w:val="nil"/>
              <w:left w:val="nil"/>
              <w:bottom w:val="single" w:sz="4" w:space="0" w:color="auto"/>
              <w:right w:val="single" w:sz="4" w:space="0" w:color="auto"/>
            </w:tcBorders>
            <w:shd w:val="clear" w:color="auto" w:fill="auto"/>
            <w:hideMark/>
          </w:tcPr>
          <w:p w14:paraId="0BCF756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5 691</w:t>
            </w:r>
          </w:p>
        </w:tc>
        <w:tc>
          <w:tcPr>
            <w:tcW w:w="947" w:type="dxa"/>
            <w:tcBorders>
              <w:top w:val="nil"/>
              <w:left w:val="nil"/>
              <w:bottom w:val="single" w:sz="4" w:space="0" w:color="auto"/>
              <w:right w:val="single" w:sz="4" w:space="0" w:color="auto"/>
            </w:tcBorders>
            <w:shd w:val="clear" w:color="auto" w:fill="auto"/>
            <w:hideMark/>
          </w:tcPr>
          <w:p w14:paraId="30D7C3A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2 767</w:t>
            </w:r>
          </w:p>
        </w:tc>
        <w:tc>
          <w:tcPr>
            <w:tcW w:w="947" w:type="dxa"/>
            <w:tcBorders>
              <w:top w:val="nil"/>
              <w:left w:val="nil"/>
              <w:bottom w:val="single" w:sz="4" w:space="0" w:color="auto"/>
              <w:right w:val="single" w:sz="4" w:space="0" w:color="auto"/>
            </w:tcBorders>
            <w:shd w:val="clear" w:color="auto" w:fill="auto"/>
            <w:hideMark/>
          </w:tcPr>
          <w:p w14:paraId="607A230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2 809</w:t>
            </w:r>
          </w:p>
        </w:tc>
        <w:tc>
          <w:tcPr>
            <w:tcW w:w="947" w:type="dxa"/>
            <w:tcBorders>
              <w:top w:val="nil"/>
              <w:left w:val="nil"/>
              <w:bottom w:val="single" w:sz="4" w:space="0" w:color="auto"/>
              <w:right w:val="single" w:sz="4" w:space="0" w:color="auto"/>
            </w:tcBorders>
            <w:shd w:val="clear" w:color="auto" w:fill="auto"/>
            <w:hideMark/>
          </w:tcPr>
          <w:p w14:paraId="489EAE5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17 101</w:t>
            </w:r>
          </w:p>
        </w:tc>
        <w:tc>
          <w:tcPr>
            <w:tcW w:w="947" w:type="dxa"/>
            <w:tcBorders>
              <w:top w:val="nil"/>
              <w:left w:val="nil"/>
              <w:bottom w:val="single" w:sz="4" w:space="0" w:color="auto"/>
              <w:right w:val="single" w:sz="4" w:space="0" w:color="auto"/>
            </w:tcBorders>
            <w:shd w:val="clear" w:color="auto" w:fill="auto"/>
            <w:hideMark/>
          </w:tcPr>
          <w:p w14:paraId="0A922D0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16 258</w:t>
            </w:r>
          </w:p>
        </w:tc>
        <w:tc>
          <w:tcPr>
            <w:tcW w:w="947" w:type="dxa"/>
            <w:tcBorders>
              <w:top w:val="nil"/>
              <w:left w:val="nil"/>
              <w:bottom w:val="single" w:sz="4" w:space="0" w:color="auto"/>
              <w:right w:val="single" w:sz="4" w:space="0" w:color="auto"/>
            </w:tcBorders>
            <w:shd w:val="clear" w:color="auto" w:fill="auto"/>
            <w:hideMark/>
          </w:tcPr>
          <w:p w14:paraId="24D6F41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12 099</w:t>
            </w:r>
          </w:p>
        </w:tc>
        <w:tc>
          <w:tcPr>
            <w:tcW w:w="947" w:type="dxa"/>
            <w:tcBorders>
              <w:top w:val="nil"/>
              <w:left w:val="nil"/>
              <w:bottom w:val="single" w:sz="4" w:space="0" w:color="auto"/>
              <w:right w:val="single" w:sz="4" w:space="0" w:color="auto"/>
            </w:tcBorders>
            <w:shd w:val="clear" w:color="auto" w:fill="auto"/>
            <w:hideMark/>
          </w:tcPr>
          <w:p w14:paraId="655FAC5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10 612</w:t>
            </w:r>
          </w:p>
        </w:tc>
        <w:tc>
          <w:tcPr>
            <w:tcW w:w="946" w:type="dxa"/>
            <w:tcBorders>
              <w:top w:val="nil"/>
              <w:left w:val="nil"/>
              <w:bottom w:val="single" w:sz="4" w:space="0" w:color="auto"/>
              <w:right w:val="single" w:sz="4" w:space="0" w:color="auto"/>
            </w:tcBorders>
            <w:shd w:val="clear" w:color="auto" w:fill="auto"/>
            <w:hideMark/>
          </w:tcPr>
          <w:p w14:paraId="22635B1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7 159</w:t>
            </w:r>
          </w:p>
        </w:tc>
        <w:tc>
          <w:tcPr>
            <w:tcW w:w="1189" w:type="dxa"/>
            <w:tcBorders>
              <w:top w:val="nil"/>
              <w:left w:val="nil"/>
              <w:bottom w:val="single" w:sz="4" w:space="0" w:color="auto"/>
              <w:right w:val="single" w:sz="8" w:space="0" w:color="auto"/>
            </w:tcBorders>
            <w:shd w:val="clear" w:color="auto" w:fill="auto"/>
            <w:hideMark/>
          </w:tcPr>
          <w:p w14:paraId="58AAB19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4 949</w:t>
            </w:r>
          </w:p>
        </w:tc>
      </w:tr>
      <w:tr w:rsidR="005B6AF9" w:rsidRPr="004135FE" w14:paraId="1E607CF3"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685AFD10"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05AB4D5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tcBorders>
              <w:top w:val="nil"/>
              <w:left w:val="single" w:sz="4" w:space="0" w:color="auto"/>
              <w:bottom w:val="single" w:sz="4" w:space="0" w:color="auto"/>
              <w:right w:val="single" w:sz="4" w:space="0" w:color="auto"/>
            </w:tcBorders>
            <w:shd w:val="clear" w:color="auto" w:fill="auto"/>
            <w:hideMark/>
          </w:tcPr>
          <w:p w14:paraId="17C3E0F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777" w:type="dxa"/>
            <w:tcBorders>
              <w:top w:val="nil"/>
              <w:left w:val="nil"/>
              <w:bottom w:val="single" w:sz="4" w:space="0" w:color="auto"/>
              <w:right w:val="single" w:sz="4" w:space="0" w:color="auto"/>
            </w:tcBorders>
            <w:shd w:val="clear" w:color="auto" w:fill="auto"/>
            <w:hideMark/>
          </w:tcPr>
          <w:p w14:paraId="509A716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1 818</w:t>
            </w:r>
          </w:p>
        </w:tc>
        <w:tc>
          <w:tcPr>
            <w:tcW w:w="893" w:type="dxa"/>
            <w:tcBorders>
              <w:top w:val="nil"/>
              <w:left w:val="nil"/>
              <w:bottom w:val="single" w:sz="4" w:space="0" w:color="auto"/>
              <w:right w:val="single" w:sz="4" w:space="0" w:color="auto"/>
            </w:tcBorders>
            <w:shd w:val="clear" w:color="auto" w:fill="auto"/>
            <w:hideMark/>
          </w:tcPr>
          <w:p w14:paraId="4FFE023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8 691</w:t>
            </w:r>
          </w:p>
        </w:tc>
        <w:tc>
          <w:tcPr>
            <w:tcW w:w="889" w:type="dxa"/>
            <w:tcBorders>
              <w:top w:val="nil"/>
              <w:left w:val="nil"/>
              <w:bottom w:val="single" w:sz="4" w:space="0" w:color="auto"/>
              <w:right w:val="single" w:sz="4" w:space="0" w:color="auto"/>
            </w:tcBorders>
            <w:shd w:val="clear" w:color="auto" w:fill="auto"/>
            <w:hideMark/>
          </w:tcPr>
          <w:p w14:paraId="5EA7EAD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10 247</w:t>
            </w:r>
          </w:p>
        </w:tc>
        <w:tc>
          <w:tcPr>
            <w:tcW w:w="946" w:type="dxa"/>
            <w:tcBorders>
              <w:top w:val="nil"/>
              <w:left w:val="nil"/>
              <w:bottom w:val="single" w:sz="4" w:space="0" w:color="auto"/>
              <w:right w:val="single" w:sz="4" w:space="0" w:color="auto"/>
            </w:tcBorders>
            <w:shd w:val="clear" w:color="auto" w:fill="auto"/>
            <w:hideMark/>
          </w:tcPr>
          <w:p w14:paraId="6AE94BC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7 828</w:t>
            </w:r>
          </w:p>
        </w:tc>
        <w:tc>
          <w:tcPr>
            <w:tcW w:w="947" w:type="dxa"/>
            <w:tcBorders>
              <w:top w:val="nil"/>
              <w:left w:val="nil"/>
              <w:bottom w:val="single" w:sz="4" w:space="0" w:color="auto"/>
              <w:right w:val="single" w:sz="4" w:space="0" w:color="auto"/>
            </w:tcBorders>
            <w:shd w:val="clear" w:color="auto" w:fill="auto"/>
            <w:hideMark/>
          </w:tcPr>
          <w:p w14:paraId="130C7C3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3 461</w:t>
            </w:r>
          </w:p>
        </w:tc>
        <w:tc>
          <w:tcPr>
            <w:tcW w:w="947" w:type="dxa"/>
            <w:tcBorders>
              <w:top w:val="nil"/>
              <w:left w:val="nil"/>
              <w:bottom w:val="single" w:sz="4" w:space="0" w:color="auto"/>
              <w:right w:val="single" w:sz="4" w:space="0" w:color="auto"/>
            </w:tcBorders>
            <w:shd w:val="clear" w:color="auto" w:fill="auto"/>
            <w:hideMark/>
          </w:tcPr>
          <w:p w14:paraId="6107088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2 803</w:t>
            </w:r>
          </w:p>
        </w:tc>
        <w:tc>
          <w:tcPr>
            <w:tcW w:w="947" w:type="dxa"/>
            <w:tcBorders>
              <w:top w:val="nil"/>
              <w:left w:val="nil"/>
              <w:bottom w:val="single" w:sz="4" w:space="0" w:color="auto"/>
              <w:right w:val="single" w:sz="4" w:space="0" w:color="auto"/>
            </w:tcBorders>
            <w:shd w:val="clear" w:color="auto" w:fill="auto"/>
            <w:hideMark/>
          </w:tcPr>
          <w:p w14:paraId="65DDF64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17 405</w:t>
            </w:r>
          </w:p>
        </w:tc>
        <w:tc>
          <w:tcPr>
            <w:tcW w:w="947" w:type="dxa"/>
            <w:tcBorders>
              <w:top w:val="nil"/>
              <w:left w:val="nil"/>
              <w:bottom w:val="single" w:sz="4" w:space="0" w:color="auto"/>
              <w:right w:val="single" w:sz="4" w:space="0" w:color="auto"/>
            </w:tcBorders>
            <w:shd w:val="clear" w:color="auto" w:fill="auto"/>
            <w:hideMark/>
          </w:tcPr>
          <w:p w14:paraId="0F3D211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17 946</w:t>
            </w:r>
          </w:p>
        </w:tc>
        <w:tc>
          <w:tcPr>
            <w:tcW w:w="947" w:type="dxa"/>
            <w:tcBorders>
              <w:top w:val="nil"/>
              <w:left w:val="nil"/>
              <w:bottom w:val="single" w:sz="4" w:space="0" w:color="auto"/>
              <w:right w:val="single" w:sz="4" w:space="0" w:color="auto"/>
            </w:tcBorders>
            <w:shd w:val="clear" w:color="auto" w:fill="auto"/>
            <w:hideMark/>
          </w:tcPr>
          <w:p w14:paraId="372A298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14 069</w:t>
            </w:r>
          </w:p>
        </w:tc>
        <w:tc>
          <w:tcPr>
            <w:tcW w:w="947" w:type="dxa"/>
            <w:tcBorders>
              <w:top w:val="nil"/>
              <w:left w:val="nil"/>
              <w:bottom w:val="single" w:sz="4" w:space="0" w:color="auto"/>
              <w:right w:val="single" w:sz="4" w:space="0" w:color="auto"/>
            </w:tcBorders>
            <w:shd w:val="clear" w:color="auto" w:fill="auto"/>
            <w:hideMark/>
          </w:tcPr>
          <w:p w14:paraId="6788A55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13 148</w:t>
            </w:r>
          </w:p>
        </w:tc>
        <w:tc>
          <w:tcPr>
            <w:tcW w:w="946" w:type="dxa"/>
            <w:tcBorders>
              <w:top w:val="nil"/>
              <w:left w:val="nil"/>
              <w:bottom w:val="single" w:sz="4" w:space="0" w:color="auto"/>
              <w:right w:val="single" w:sz="4" w:space="0" w:color="auto"/>
            </w:tcBorders>
            <w:shd w:val="clear" w:color="auto" w:fill="auto"/>
            <w:hideMark/>
          </w:tcPr>
          <w:p w14:paraId="003AFCE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10 422</w:t>
            </w:r>
          </w:p>
        </w:tc>
        <w:tc>
          <w:tcPr>
            <w:tcW w:w="1189" w:type="dxa"/>
            <w:tcBorders>
              <w:top w:val="nil"/>
              <w:left w:val="nil"/>
              <w:bottom w:val="single" w:sz="4" w:space="0" w:color="auto"/>
              <w:right w:val="single" w:sz="8" w:space="0" w:color="auto"/>
            </w:tcBorders>
            <w:shd w:val="clear" w:color="auto" w:fill="auto"/>
            <w:hideMark/>
          </w:tcPr>
          <w:p w14:paraId="7203FF2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8 052</w:t>
            </w:r>
          </w:p>
        </w:tc>
      </w:tr>
      <w:tr w:rsidR="005B6AF9" w:rsidRPr="004135FE" w14:paraId="3B5D4319"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76A628DA"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5F7A245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tcBorders>
              <w:top w:val="nil"/>
              <w:left w:val="single" w:sz="4" w:space="0" w:color="auto"/>
              <w:bottom w:val="single" w:sz="4" w:space="0" w:color="auto"/>
              <w:right w:val="single" w:sz="4" w:space="0" w:color="auto"/>
            </w:tcBorders>
            <w:shd w:val="clear" w:color="auto" w:fill="auto"/>
            <w:hideMark/>
          </w:tcPr>
          <w:p w14:paraId="6BD0DBD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777" w:type="dxa"/>
            <w:tcBorders>
              <w:top w:val="nil"/>
              <w:left w:val="nil"/>
              <w:bottom w:val="single" w:sz="4" w:space="0" w:color="auto"/>
              <w:right w:val="single" w:sz="4" w:space="0" w:color="auto"/>
            </w:tcBorders>
            <w:shd w:val="clear" w:color="auto" w:fill="auto"/>
            <w:hideMark/>
          </w:tcPr>
          <w:p w14:paraId="468FD1A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672</w:t>
            </w:r>
          </w:p>
        </w:tc>
        <w:tc>
          <w:tcPr>
            <w:tcW w:w="893" w:type="dxa"/>
            <w:tcBorders>
              <w:top w:val="nil"/>
              <w:left w:val="nil"/>
              <w:bottom w:val="single" w:sz="4" w:space="0" w:color="auto"/>
              <w:right w:val="single" w:sz="4" w:space="0" w:color="auto"/>
            </w:tcBorders>
            <w:shd w:val="clear" w:color="auto" w:fill="auto"/>
            <w:hideMark/>
          </w:tcPr>
          <w:p w14:paraId="166BC7C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2 617</w:t>
            </w:r>
          </w:p>
        </w:tc>
        <w:tc>
          <w:tcPr>
            <w:tcW w:w="889" w:type="dxa"/>
            <w:tcBorders>
              <w:top w:val="nil"/>
              <w:left w:val="nil"/>
              <w:bottom w:val="single" w:sz="4" w:space="0" w:color="auto"/>
              <w:right w:val="single" w:sz="4" w:space="0" w:color="auto"/>
            </w:tcBorders>
            <w:shd w:val="clear" w:color="auto" w:fill="auto"/>
            <w:hideMark/>
          </w:tcPr>
          <w:p w14:paraId="3FDB95F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2 438</w:t>
            </w:r>
          </w:p>
        </w:tc>
        <w:tc>
          <w:tcPr>
            <w:tcW w:w="946" w:type="dxa"/>
            <w:tcBorders>
              <w:top w:val="nil"/>
              <w:left w:val="nil"/>
              <w:bottom w:val="single" w:sz="4" w:space="0" w:color="auto"/>
              <w:right w:val="single" w:sz="4" w:space="0" w:color="auto"/>
            </w:tcBorders>
            <w:shd w:val="clear" w:color="auto" w:fill="auto"/>
            <w:hideMark/>
          </w:tcPr>
          <w:p w14:paraId="66146CC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1 761</w:t>
            </w:r>
          </w:p>
        </w:tc>
        <w:tc>
          <w:tcPr>
            <w:tcW w:w="947" w:type="dxa"/>
            <w:tcBorders>
              <w:top w:val="nil"/>
              <w:left w:val="nil"/>
              <w:bottom w:val="single" w:sz="4" w:space="0" w:color="auto"/>
              <w:right w:val="single" w:sz="4" w:space="0" w:color="auto"/>
            </w:tcBorders>
            <w:shd w:val="clear" w:color="auto" w:fill="auto"/>
            <w:hideMark/>
          </w:tcPr>
          <w:p w14:paraId="389D346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767</w:t>
            </w:r>
          </w:p>
        </w:tc>
        <w:tc>
          <w:tcPr>
            <w:tcW w:w="947" w:type="dxa"/>
            <w:tcBorders>
              <w:top w:val="nil"/>
              <w:left w:val="nil"/>
              <w:bottom w:val="single" w:sz="4" w:space="0" w:color="auto"/>
              <w:right w:val="single" w:sz="4" w:space="0" w:color="auto"/>
            </w:tcBorders>
            <w:shd w:val="clear" w:color="auto" w:fill="auto"/>
            <w:hideMark/>
          </w:tcPr>
          <w:p w14:paraId="01EF484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404</w:t>
            </w:r>
          </w:p>
        </w:tc>
        <w:tc>
          <w:tcPr>
            <w:tcW w:w="947" w:type="dxa"/>
            <w:tcBorders>
              <w:top w:val="nil"/>
              <w:left w:val="nil"/>
              <w:bottom w:val="single" w:sz="4" w:space="0" w:color="auto"/>
              <w:right w:val="single" w:sz="4" w:space="0" w:color="auto"/>
            </w:tcBorders>
            <w:shd w:val="clear" w:color="auto" w:fill="auto"/>
            <w:hideMark/>
          </w:tcPr>
          <w:p w14:paraId="53B499D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4 776</w:t>
            </w:r>
          </w:p>
        </w:tc>
        <w:tc>
          <w:tcPr>
            <w:tcW w:w="947" w:type="dxa"/>
            <w:tcBorders>
              <w:top w:val="nil"/>
              <w:left w:val="nil"/>
              <w:bottom w:val="single" w:sz="4" w:space="0" w:color="auto"/>
              <w:right w:val="single" w:sz="4" w:space="0" w:color="auto"/>
            </w:tcBorders>
            <w:shd w:val="clear" w:color="auto" w:fill="auto"/>
            <w:hideMark/>
          </w:tcPr>
          <w:p w14:paraId="527FBDD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4 494</w:t>
            </w:r>
          </w:p>
        </w:tc>
        <w:tc>
          <w:tcPr>
            <w:tcW w:w="947" w:type="dxa"/>
            <w:tcBorders>
              <w:top w:val="nil"/>
              <w:left w:val="nil"/>
              <w:bottom w:val="single" w:sz="4" w:space="0" w:color="auto"/>
              <w:right w:val="single" w:sz="4" w:space="0" w:color="auto"/>
            </w:tcBorders>
            <w:shd w:val="clear" w:color="auto" w:fill="auto"/>
            <w:hideMark/>
          </w:tcPr>
          <w:p w14:paraId="09A2593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3 539</w:t>
            </w:r>
          </w:p>
        </w:tc>
        <w:tc>
          <w:tcPr>
            <w:tcW w:w="947" w:type="dxa"/>
            <w:tcBorders>
              <w:top w:val="nil"/>
              <w:left w:val="nil"/>
              <w:bottom w:val="single" w:sz="4" w:space="0" w:color="auto"/>
              <w:right w:val="single" w:sz="4" w:space="0" w:color="auto"/>
            </w:tcBorders>
            <w:shd w:val="clear" w:color="auto" w:fill="auto"/>
            <w:hideMark/>
          </w:tcPr>
          <w:p w14:paraId="3446503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2 976</w:t>
            </w:r>
          </w:p>
        </w:tc>
        <w:tc>
          <w:tcPr>
            <w:tcW w:w="946" w:type="dxa"/>
            <w:tcBorders>
              <w:top w:val="nil"/>
              <w:left w:val="nil"/>
              <w:bottom w:val="single" w:sz="4" w:space="0" w:color="auto"/>
              <w:right w:val="single" w:sz="4" w:space="0" w:color="auto"/>
            </w:tcBorders>
            <w:shd w:val="clear" w:color="auto" w:fill="auto"/>
            <w:hideMark/>
          </w:tcPr>
          <w:p w14:paraId="08809D7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1 834</w:t>
            </w:r>
          </w:p>
        </w:tc>
        <w:tc>
          <w:tcPr>
            <w:tcW w:w="1189" w:type="dxa"/>
            <w:tcBorders>
              <w:top w:val="nil"/>
              <w:left w:val="nil"/>
              <w:bottom w:val="single" w:sz="4" w:space="0" w:color="auto"/>
              <w:right w:val="single" w:sz="8" w:space="0" w:color="auto"/>
            </w:tcBorders>
            <w:shd w:val="clear" w:color="auto" w:fill="auto"/>
            <w:hideMark/>
          </w:tcPr>
          <w:p w14:paraId="492569E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1 188</w:t>
            </w:r>
          </w:p>
        </w:tc>
      </w:tr>
      <w:tr w:rsidR="005B6AF9" w:rsidRPr="004135FE" w14:paraId="2B9769BA"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03E3F10D"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8" w:space="0" w:color="auto"/>
              <w:right w:val="single" w:sz="4" w:space="0" w:color="auto"/>
            </w:tcBorders>
            <w:shd w:val="clear" w:color="auto" w:fill="auto"/>
            <w:hideMark/>
          </w:tcPr>
          <w:p w14:paraId="5AA3207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tcBorders>
              <w:top w:val="nil"/>
              <w:left w:val="single" w:sz="4" w:space="0" w:color="auto"/>
              <w:bottom w:val="single" w:sz="8" w:space="0" w:color="auto"/>
              <w:right w:val="single" w:sz="4" w:space="0" w:color="auto"/>
            </w:tcBorders>
            <w:shd w:val="clear" w:color="auto" w:fill="auto"/>
            <w:hideMark/>
          </w:tcPr>
          <w:p w14:paraId="3F215D8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777" w:type="dxa"/>
            <w:tcBorders>
              <w:top w:val="nil"/>
              <w:left w:val="nil"/>
              <w:bottom w:val="single" w:sz="8" w:space="0" w:color="auto"/>
              <w:right w:val="single" w:sz="4" w:space="0" w:color="auto"/>
            </w:tcBorders>
            <w:shd w:val="clear" w:color="auto" w:fill="auto"/>
            <w:hideMark/>
          </w:tcPr>
          <w:p w14:paraId="7E0DFE3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1 465</w:t>
            </w:r>
          </w:p>
        </w:tc>
        <w:tc>
          <w:tcPr>
            <w:tcW w:w="893" w:type="dxa"/>
            <w:tcBorders>
              <w:top w:val="nil"/>
              <w:left w:val="nil"/>
              <w:bottom w:val="single" w:sz="8" w:space="0" w:color="auto"/>
              <w:right w:val="single" w:sz="4" w:space="0" w:color="auto"/>
            </w:tcBorders>
            <w:shd w:val="clear" w:color="auto" w:fill="auto"/>
            <w:hideMark/>
          </w:tcPr>
          <w:p w14:paraId="79DFC0E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7 018</w:t>
            </w:r>
          </w:p>
        </w:tc>
        <w:tc>
          <w:tcPr>
            <w:tcW w:w="889" w:type="dxa"/>
            <w:tcBorders>
              <w:top w:val="nil"/>
              <w:left w:val="nil"/>
              <w:bottom w:val="single" w:sz="8" w:space="0" w:color="auto"/>
              <w:right w:val="single" w:sz="4" w:space="0" w:color="auto"/>
            </w:tcBorders>
            <w:shd w:val="clear" w:color="auto" w:fill="auto"/>
            <w:hideMark/>
          </w:tcPr>
          <w:p w14:paraId="17F84E3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7 835</w:t>
            </w:r>
          </w:p>
        </w:tc>
        <w:tc>
          <w:tcPr>
            <w:tcW w:w="946" w:type="dxa"/>
            <w:tcBorders>
              <w:top w:val="nil"/>
              <w:left w:val="nil"/>
              <w:bottom w:val="single" w:sz="8" w:space="0" w:color="auto"/>
              <w:right w:val="single" w:sz="4" w:space="0" w:color="auto"/>
            </w:tcBorders>
            <w:shd w:val="clear" w:color="auto" w:fill="auto"/>
            <w:hideMark/>
          </w:tcPr>
          <w:p w14:paraId="2BDE386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5 889</w:t>
            </w:r>
          </w:p>
        </w:tc>
        <w:tc>
          <w:tcPr>
            <w:tcW w:w="947" w:type="dxa"/>
            <w:tcBorders>
              <w:top w:val="nil"/>
              <w:left w:val="nil"/>
              <w:bottom w:val="single" w:sz="8" w:space="0" w:color="auto"/>
              <w:right w:val="single" w:sz="4" w:space="0" w:color="auto"/>
            </w:tcBorders>
            <w:shd w:val="clear" w:color="auto" w:fill="auto"/>
            <w:hideMark/>
          </w:tcPr>
          <w:p w14:paraId="0727854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3 573</w:t>
            </w:r>
          </w:p>
        </w:tc>
        <w:tc>
          <w:tcPr>
            <w:tcW w:w="947" w:type="dxa"/>
            <w:tcBorders>
              <w:top w:val="nil"/>
              <w:left w:val="nil"/>
              <w:bottom w:val="single" w:sz="8" w:space="0" w:color="auto"/>
              <w:right w:val="single" w:sz="4" w:space="0" w:color="auto"/>
            </w:tcBorders>
            <w:shd w:val="clear" w:color="auto" w:fill="auto"/>
            <w:hideMark/>
          </w:tcPr>
          <w:p w14:paraId="1230491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2 584</w:t>
            </w:r>
          </w:p>
        </w:tc>
        <w:tc>
          <w:tcPr>
            <w:tcW w:w="947" w:type="dxa"/>
            <w:tcBorders>
              <w:top w:val="nil"/>
              <w:left w:val="nil"/>
              <w:bottom w:val="single" w:sz="8" w:space="0" w:color="auto"/>
              <w:right w:val="single" w:sz="4" w:space="0" w:color="auto"/>
            </w:tcBorders>
            <w:shd w:val="clear" w:color="auto" w:fill="auto"/>
            <w:hideMark/>
          </w:tcPr>
          <w:p w14:paraId="617194F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19 544</w:t>
            </w:r>
          </w:p>
        </w:tc>
        <w:tc>
          <w:tcPr>
            <w:tcW w:w="947" w:type="dxa"/>
            <w:tcBorders>
              <w:top w:val="nil"/>
              <w:left w:val="nil"/>
              <w:bottom w:val="single" w:sz="8" w:space="0" w:color="auto"/>
              <w:right w:val="single" w:sz="4" w:space="0" w:color="auto"/>
            </w:tcBorders>
            <w:shd w:val="clear" w:color="auto" w:fill="auto"/>
            <w:hideMark/>
          </w:tcPr>
          <w:p w14:paraId="5D6D4AE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21 214</w:t>
            </w:r>
          </w:p>
        </w:tc>
        <w:tc>
          <w:tcPr>
            <w:tcW w:w="947" w:type="dxa"/>
            <w:tcBorders>
              <w:top w:val="nil"/>
              <w:left w:val="nil"/>
              <w:bottom w:val="single" w:sz="8" w:space="0" w:color="auto"/>
              <w:right w:val="single" w:sz="4" w:space="0" w:color="auto"/>
            </w:tcBorders>
            <w:shd w:val="clear" w:color="auto" w:fill="auto"/>
            <w:hideMark/>
          </w:tcPr>
          <w:p w14:paraId="44DF8B6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15 857</w:t>
            </w:r>
          </w:p>
        </w:tc>
        <w:tc>
          <w:tcPr>
            <w:tcW w:w="947" w:type="dxa"/>
            <w:tcBorders>
              <w:top w:val="nil"/>
              <w:left w:val="nil"/>
              <w:bottom w:val="single" w:sz="8" w:space="0" w:color="auto"/>
              <w:right w:val="single" w:sz="4" w:space="0" w:color="auto"/>
            </w:tcBorders>
            <w:shd w:val="clear" w:color="auto" w:fill="auto"/>
            <w:hideMark/>
          </w:tcPr>
          <w:p w14:paraId="4EF5036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14 878</w:t>
            </w:r>
          </w:p>
        </w:tc>
        <w:tc>
          <w:tcPr>
            <w:tcW w:w="946" w:type="dxa"/>
            <w:tcBorders>
              <w:top w:val="nil"/>
              <w:left w:val="nil"/>
              <w:bottom w:val="single" w:sz="8" w:space="0" w:color="auto"/>
              <w:right w:val="single" w:sz="4" w:space="0" w:color="auto"/>
            </w:tcBorders>
            <w:shd w:val="clear" w:color="auto" w:fill="auto"/>
            <w:hideMark/>
          </w:tcPr>
          <w:p w14:paraId="28907DB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10 983</w:t>
            </w:r>
          </w:p>
        </w:tc>
        <w:tc>
          <w:tcPr>
            <w:tcW w:w="1189" w:type="dxa"/>
            <w:tcBorders>
              <w:top w:val="nil"/>
              <w:left w:val="nil"/>
              <w:bottom w:val="single" w:sz="8" w:space="0" w:color="auto"/>
              <w:right w:val="single" w:sz="8" w:space="0" w:color="auto"/>
            </w:tcBorders>
            <w:shd w:val="clear" w:color="auto" w:fill="auto"/>
            <w:hideMark/>
          </w:tcPr>
          <w:p w14:paraId="4A3342D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8 025</w:t>
            </w:r>
          </w:p>
        </w:tc>
      </w:tr>
    </w:tbl>
    <w:p w14:paraId="5A354D83" w14:textId="77777777" w:rsidR="00680E37" w:rsidRDefault="00680E37"/>
    <w:p w14:paraId="6AFAD951" w14:textId="77777777" w:rsidR="00680E37" w:rsidRDefault="00680E37" w:rsidP="00680E3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Продолжение таблицы А3</w:t>
      </w:r>
    </w:p>
    <w:p w14:paraId="49EB8284" w14:textId="77777777" w:rsidR="00680E37" w:rsidRDefault="00680E37"/>
    <w:tbl>
      <w:tblPr>
        <w:tblW w:w="14459" w:type="dxa"/>
        <w:tblInd w:w="-20" w:type="dxa"/>
        <w:tblLook w:val="04A0" w:firstRow="1" w:lastRow="0" w:firstColumn="1" w:lastColumn="0" w:noHBand="0" w:noVBand="1"/>
      </w:tblPr>
      <w:tblGrid>
        <w:gridCol w:w="554"/>
        <w:gridCol w:w="485"/>
        <w:gridCol w:w="2098"/>
        <w:gridCol w:w="777"/>
        <w:gridCol w:w="893"/>
        <w:gridCol w:w="889"/>
        <w:gridCol w:w="946"/>
        <w:gridCol w:w="947"/>
        <w:gridCol w:w="947"/>
        <w:gridCol w:w="947"/>
        <w:gridCol w:w="947"/>
        <w:gridCol w:w="947"/>
        <w:gridCol w:w="947"/>
        <w:gridCol w:w="946"/>
        <w:gridCol w:w="1189"/>
      </w:tblGrid>
      <w:tr w:rsidR="005B6AF9" w:rsidRPr="004135FE" w14:paraId="5B8480CC" w14:textId="77777777" w:rsidTr="00680E37">
        <w:trPr>
          <w:trHeight w:val="226"/>
        </w:trPr>
        <w:tc>
          <w:tcPr>
            <w:tcW w:w="554"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14:paraId="6ABFCC93" w14:textId="77777777" w:rsidR="005B6AF9" w:rsidRPr="004135FE" w:rsidRDefault="005B6AF9"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2017г</w:t>
            </w:r>
          </w:p>
        </w:tc>
        <w:tc>
          <w:tcPr>
            <w:tcW w:w="485" w:type="dxa"/>
            <w:tcBorders>
              <w:top w:val="single" w:sz="4" w:space="0" w:color="auto"/>
              <w:left w:val="nil"/>
              <w:bottom w:val="single" w:sz="4" w:space="0" w:color="auto"/>
              <w:right w:val="single" w:sz="4" w:space="0" w:color="auto"/>
            </w:tcBorders>
            <w:shd w:val="clear" w:color="auto" w:fill="auto"/>
            <w:hideMark/>
          </w:tcPr>
          <w:p w14:paraId="5B18129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tcBorders>
              <w:top w:val="single" w:sz="4" w:space="0" w:color="auto"/>
              <w:left w:val="single" w:sz="4" w:space="0" w:color="auto"/>
              <w:bottom w:val="single" w:sz="4" w:space="0" w:color="auto"/>
              <w:right w:val="single" w:sz="4" w:space="0" w:color="auto"/>
            </w:tcBorders>
            <w:shd w:val="clear" w:color="auto" w:fill="auto"/>
            <w:hideMark/>
          </w:tcPr>
          <w:p w14:paraId="458E405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777" w:type="dxa"/>
            <w:tcBorders>
              <w:top w:val="single" w:sz="4" w:space="0" w:color="auto"/>
              <w:left w:val="nil"/>
              <w:bottom w:val="single" w:sz="4" w:space="0" w:color="auto"/>
              <w:right w:val="single" w:sz="4" w:space="0" w:color="auto"/>
            </w:tcBorders>
            <w:shd w:val="clear" w:color="auto" w:fill="auto"/>
            <w:hideMark/>
          </w:tcPr>
          <w:p w14:paraId="7D470B6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1 998</w:t>
            </w:r>
          </w:p>
        </w:tc>
        <w:tc>
          <w:tcPr>
            <w:tcW w:w="893" w:type="dxa"/>
            <w:tcBorders>
              <w:top w:val="single" w:sz="4" w:space="0" w:color="auto"/>
              <w:left w:val="nil"/>
              <w:bottom w:val="single" w:sz="4" w:space="0" w:color="auto"/>
              <w:right w:val="single" w:sz="4" w:space="0" w:color="auto"/>
            </w:tcBorders>
            <w:shd w:val="clear" w:color="auto" w:fill="auto"/>
            <w:hideMark/>
          </w:tcPr>
          <w:p w14:paraId="298CE79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9 086</w:t>
            </w:r>
          </w:p>
        </w:tc>
        <w:tc>
          <w:tcPr>
            <w:tcW w:w="889" w:type="dxa"/>
            <w:tcBorders>
              <w:top w:val="single" w:sz="4" w:space="0" w:color="auto"/>
              <w:left w:val="nil"/>
              <w:bottom w:val="single" w:sz="4" w:space="0" w:color="auto"/>
              <w:right w:val="single" w:sz="4" w:space="0" w:color="auto"/>
            </w:tcBorders>
            <w:shd w:val="clear" w:color="auto" w:fill="auto"/>
            <w:hideMark/>
          </w:tcPr>
          <w:p w14:paraId="1D9DC48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10 646</w:t>
            </w:r>
          </w:p>
        </w:tc>
        <w:tc>
          <w:tcPr>
            <w:tcW w:w="946" w:type="dxa"/>
            <w:tcBorders>
              <w:top w:val="single" w:sz="4" w:space="0" w:color="auto"/>
              <w:left w:val="nil"/>
              <w:bottom w:val="single" w:sz="4" w:space="0" w:color="auto"/>
              <w:right w:val="single" w:sz="4" w:space="0" w:color="auto"/>
            </w:tcBorders>
            <w:shd w:val="clear" w:color="auto" w:fill="auto"/>
            <w:hideMark/>
          </w:tcPr>
          <w:p w14:paraId="488A4B9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8 452</w:t>
            </w:r>
          </w:p>
        </w:tc>
        <w:tc>
          <w:tcPr>
            <w:tcW w:w="947" w:type="dxa"/>
            <w:tcBorders>
              <w:top w:val="single" w:sz="4" w:space="0" w:color="auto"/>
              <w:left w:val="nil"/>
              <w:bottom w:val="single" w:sz="4" w:space="0" w:color="auto"/>
              <w:right w:val="single" w:sz="4" w:space="0" w:color="auto"/>
            </w:tcBorders>
            <w:shd w:val="clear" w:color="auto" w:fill="auto"/>
            <w:hideMark/>
          </w:tcPr>
          <w:p w14:paraId="7C83793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5 308</w:t>
            </w:r>
          </w:p>
        </w:tc>
        <w:tc>
          <w:tcPr>
            <w:tcW w:w="947" w:type="dxa"/>
            <w:tcBorders>
              <w:top w:val="single" w:sz="4" w:space="0" w:color="auto"/>
              <w:left w:val="nil"/>
              <w:bottom w:val="single" w:sz="4" w:space="0" w:color="auto"/>
              <w:right w:val="single" w:sz="4" w:space="0" w:color="auto"/>
            </w:tcBorders>
            <w:shd w:val="clear" w:color="auto" w:fill="auto"/>
            <w:hideMark/>
          </w:tcPr>
          <w:p w14:paraId="5ACDE8C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6 159</w:t>
            </w:r>
          </w:p>
        </w:tc>
        <w:tc>
          <w:tcPr>
            <w:tcW w:w="947" w:type="dxa"/>
            <w:tcBorders>
              <w:top w:val="single" w:sz="4" w:space="0" w:color="auto"/>
              <w:left w:val="nil"/>
              <w:bottom w:val="single" w:sz="4" w:space="0" w:color="auto"/>
              <w:right w:val="single" w:sz="4" w:space="0" w:color="auto"/>
            </w:tcBorders>
            <w:shd w:val="clear" w:color="auto" w:fill="auto"/>
            <w:hideMark/>
          </w:tcPr>
          <w:p w14:paraId="2868045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32 679</w:t>
            </w:r>
          </w:p>
        </w:tc>
        <w:tc>
          <w:tcPr>
            <w:tcW w:w="947" w:type="dxa"/>
            <w:tcBorders>
              <w:top w:val="single" w:sz="4" w:space="0" w:color="auto"/>
              <w:left w:val="nil"/>
              <w:bottom w:val="single" w:sz="4" w:space="0" w:color="auto"/>
              <w:right w:val="single" w:sz="4" w:space="0" w:color="auto"/>
            </w:tcBorders>
            <w:shd w:val="clear" w:color="auto" w:fill="auto"/>
            <w:hideMark/>
          </w:tcPr>
          <w:p w14:paraId="397A721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27 215</w:t>
            </w:r>
          </w:p>
        </w:tc>
        <w:tc>
          <w:tcPr>
            <w:tcW w:w="947" w:type="dxa"/>
            <w:tcBorders>
              <w:top w:val="single" w:sz="4" w:space="0" w:color="auto"/>
              <w:left w:val="nil"/>
              <w:bottom w:val="single" w:sz="4" w:space="0" w:color="auto"/>
              <w:right w:val="single" w:sz="4" w:space="0" w:color="auto"/>
            </w:tcBorders>
            <w:shd w:val="clear" w:color="auto" w:fill="auto"/>
            <w:hideMark/>
          </w:tcPr>
          <w:p w14:paraId="2977ADF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23 079</w:t>
            </w:r>
          </w:p>
        </w:tc>
        <w:tc>
          <w:tcPr>
            <w:tcW w:w="947" w:type="dxa"/>
            <w:tcBorders>
              <w:top w:val="single" w:sz="4" w:space="0" w:color="auto"/>
              <w:left w:val="nil"/>
              <w:bottom w:val="single" w:sz="4" w:space="0" w:color="auto"/>
              <w:right w:val="single" w:sz="4" w:space="0" w:color="auto"/>
            </w:tcBorders>
            <w:shd w:val="clear" w:color="auto" w:fill="auto"/>
            <w:hideMark/>
          </w:tcPr>
          <w:p w14:paraId="6F593C0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19 150</w:t>
            </w:r>
          </w:p>
        </w:tc>
        <w:tc>
          <w:tcPr>
            <w:tcW w:w="946" w:type="dxa"/>
            <w:tcBorders>
              <w:top w:val="single" w:sz="4" w:space="0" w:color="auto"/>
              <w:left w:val="nil"/>
              <w:bottom w:val="single" w:sz="4" w:space="0" w:color="auto"/>
              <w:right w:val="single" w:sz="4" w:space="0" w:color="auto"/>
            </w:tcBorders>
            <w:shd w:val="clear" w:color="auto" w:fill="auto"/>
            <w:hideMark/>
          </w:tcPr>
          <w:p w14:paraId="4D62042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16 834</w:t>
            </w:r>
          </w:p>
        </w:tc>
        <w:tc>
          <w:tcPr>
            <w:tcW w:w="1189" w:type="dxa"/>
            <w:tcBorders>
              <w:top w:val="single" w:sz="4" w:space="0" w:color="auto"/>
              <w:left w:val="nil"/>
              <w:bottom w:val="single" w:sz="4" w:space="0" w:color="auto"/>
              <w:right w:val="single" w:sz="4" w:space="0" w:color="auto"/>
            </w:tcBorders>
            <w:shd w:val="clear" w:color="auto" w:fill="auto"/>
            <w:hideMark/>
          </w:tcPr>
          <w:p w14:paraId="4446645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13 848</w:t>
            </w:r>
          </w:p>
        </w:tc>
      </w:tr>
      <w:tr w:rsidR="005B6AF9" w:rsidRPr="004135FE" w14:paraId="6F14A5DC" w14:textId="77777777" w:rsidTr="00680E37">
        <w:trPr>
          <w:trHeight w:val="226"/>
        </w:trPr>
        <w:tc>
          <w:tcPr>
            <w:tcW w:w="554" w:type="dxa"/>
            <w:vMerge/>
            <w:tcBorders>
              <w:top w:val="single" w:sz="4" w:space="0" w:color="auto"/>
              <w:left w:val="single" w:sz="8" w:space="0" w:color="auto"/>
              <w:bottom w:val="single" w:sz="8" w:space="0" w:color="000000"/>
              <w:right w:val="single" w:sz="4" w:space="0" w:color="auto"/>
            </w:tcBorders>
            <w:vAlign w:val="center"/>
            <w:hideMark/>
          </w:tcPr>
          <w:p w14:paraId="054E037B"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single" w:sz="4" w:space="0" w:color="auto"/>
              <w:left w:val="nil"/>
              <w:bottom w:val="single" w:sz="4" w:space="0" w:color="auto"/>
              <w:right w:val="single" w:sz="4" w:space="0" w:color="auto"/>
            </w:tcBorders>
            <w:shd w:val="clear" w:color="auto" w:fill="auto"/>
            <w:hideMark/>
          </w:tcPr>
          <w:p w14:paraId="1CE8325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tcBorders>
              <w:top w:val="single" w:sz="4" w:space="0" w:color="auto"/>
              <w:left w:val="single" w:sz="4" w:space="0" w:color="auto"/>
              <w:bottom w:val="single" w:sz="4" w:space="0" w:color="auto"/>
              <w:right w:val="single" w:sz="4" w:space="0" w:color="auto"/>
            </w:tcBorders>
            <w:shd w:val="clear" w:color="auto" w:fill="auto"/>
            <w:hideMark/>
          </w:tcPr>
          <w:p w14:paraId="12E0175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777" w:type="dxa"/>
            <w:tcBorders>
              <w:top w:val="single" w:sz="4" w:space="0" w:color="auto"/>
              <w:left w:val="nil"/>
              <w:bottom w:val="single" w:sz="4" w:space="0" w:color="auto"/>
              <w:right w:val="single" w:sz="4" w:space="0" w:color="auto"/>
            </w:tcBorders>
            <w:shd w:val="clear" w:color="auto" w:fill="auto"/>
            <w:hideMark/>
          </w:tcPr>
          <w:p w14:paraId="39EC0F0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3 034</w:t>
            </w:r>
          </w:p>
        </w:tc>
        <w:tc>
          <w:tcPr>
            <w:tcW w:w="893" w:type="dxa"/>
            <w:tcBorders>
              <w:top w:val="single" w:sz="4" w:space="0" w:color="auto"/>
              <w:left w:val="nil"/>
              <w:bottom w:val="single" w:sz="4" w:space="0" w:color="auto"/>
              <w:right w:val="single" w:sz="4" w:space="0" w:color="auto"/>
            </w:tcBorders>
            <w:shd w:val="clear" w:color="auto" w:fill="auto"/>
            <w:hideMark/>
          </w:tcPr>
          <w:p w14:paraId="3008DEF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11 855</w:t>
            </w:r>
          </w:p>
        </w:tc>
        <w:tc>
          <w:tcPr>
            <w:tcW w:w="889" w:type="dxa"/>
            <w:tcBorders>
              <w:top w:val="single" w:sz="4" w:space="0" w:color="auto"/>
              <w:left w:val="nil"/>
              <w:bottom w:val="single" w:sz="4" w:space="0" w:color="auto"/>
              <w:right w:val="single" w:sz="4" w:space="0" w:color="auto"/>
            </w:tcBorders>
            <w:shd w:val="clear" w:color="auto" w:fill="auto"/>
            <w:hideMark/>
          </w:tcPr>
          <w:p w14:paraId="5F5DE99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11 477</w:t>
            </w:r>
          </w:p>
        </w:tc>
        <w:tc>
          <w:tcPr>
            <w:tcW w:w="946" w:type="dxa"/>
            <w:tcBorders>
              <w:top w:val="single" w:sz="4" w:space="0" w:color="auto"/>
              <w:left w:val="nil"/>
              <w:bottom w:val="single" w:sz="4" w:space="0" w:color="auto"/>
              <w:right w:val="single" w:sz="4" w:space="0" w:color="auto"/>
            </w:tcBorders>
            <w:shd w:val="clear" w:color="auto" w:fill="auto"/>
            <w:hideMark/>
          </w:tcPr>
          <w:p w14:paraId="30D7337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8 356</w:t>
            </w:r>
          </w:p>
        </w:tc>
        <w:tc>
          <w:tcPr>
            <w:tcW w:w="947" w:type="dxa"/>
            <w:tcBorders>
              <w:top w:val="single" w:sz="4" w:space="0" w:color="auto"/>
              <w:left w:val="nil"/>
              <w:bottom w:val="single" w:sz="4" w:space="0" w:color="auto"/>
              <w:right w:val="single" w:sz="4" w:space="0" w:color="auto"/>
            </w:tcBorders>
            <w:shd w:val="clear" w:color="auto" w:fill="auto"/>
            <w:hideMark/>
          </w:tcPr>
          <w:p w14:paraId="4ADE9F3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3 373</w:t>
            </w:r>
          </w:p>
        </w:tc>
        <w:tc>
          <w:tcPr>
            <w:tcW w:w="947" w:type="dxa"/>
            <w:tcBorders>
              <w:top w:val="single" w:sz="4" w:space="0" w:color="auto"/>
              <w:left w:val="nil"/>
              <w:bottom w:val="single" w:sz="4" w:space="0" w:color="auto"/>
              <w:right w:val="single" w:sz="4" w:space="0" w:color="auto"/>
            </w:tcBorders>
            <w:shd w:val="clear" w:color="auto" w:fill="auto"/>
            <w:hideMark/>
          </w:tcPr>
          <w:p w14:paraId="598E0CC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1 671</w:t>
            </w:r>
          </w:p>
        </w:tc>
        <w:tc>
          <w:tcPr>
            <w:tcW w:w="947" w:type="dxa"/>
            <w:tcBorders>
              <w:top w:val="single" w:sz="4" w:space="0" w:color="auto"/>
              <w:left w:val="nil"/>
              <w:bottom w:val="single" w:sz="4" w:space="0" w:color="auto"/>
              <w:right w:val="single" w:sz="4" w:space="0" w:color="auto"/>
            </w:tcBorders>
            <w:shd w:val="clear" w:color="auto" w:fill="auto"/>
            <w:hideMark/>
          </w:tcPr>
          <w:p w14:paraId="398C9F9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18 368</w:t>
            </w:r>
          </w:p>
        </w:tc>
        <w:tc>
          <w:tcPr>
            <w:tcW w:w="947" w:type="dxa"/>
            <w:tcBorders>
              <w:top w:val="single" w:sz="4" w:space="0" w:color="auto"/>
              <w:left w:val="nil"/>
              <w:bottom w:val="single" w:sz="4" w:space="0" w:color="auto"/>
              <w:right w:val="single" w:sz="4" w:space="0" w:color="auto"/>
            </w:tcBorders>
            <w:shd w:val="clear" w:color="auto" w:fill="auto"/>
            <w:hideMark/>
          </w:tcPr>
          <w:p w14:paraId="62D3E66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19 527</w:t>
            </w:r>
          </w:p>
        </w:tc>
        <w:tc>
          <w:tcPr>
            <w:tcW w:w="947" w:type="dxa"/>
            <w:tcBorders>
              <w:top w:val="single" w:sz="4" w:space="0" w:color="auto"/>
              <w:left w:val="nil"/>
              <w:bottom w:val="single" w:sz="4" w:space="0" w:color="auto"/>
              <w:right w:val="single" w:sz="4" w:space="0" w:color="auto"/>
            </w:tcBorders>
            <w:shd w:val="clear" w:color="auto" w:fill="auto"/>
            <w:hideMark/>
          </w:tcPr>
          <w:p w14:paraId="763C041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12 701</w:t>
            </w:r>
          </w:p>
        </w:tc>
        <w:tc>
          <w:tcPr>
            <w:tcW w:w="947" w:type="dxa"/>
            <w:tcBorders>
              <w:top w:val="single" w:sz="4" w:space="0" w:color="auto"/>
              <w:left w:val="nil"/>
              <w:bottom w:val="single" w:sz="4" w:space="0" w:color="auto"/>
              <w:right w:val="single" w:sz="4" w:space="0" w:color="auto"/>
            </w:tcBorders>
            <w:shd w:val="clear" w:color="auto" w:fill="auto"/>
            <w:hideMark/>
          </w:tcPr>
          <w:p w14:paraId="7775E96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9 389</w:t>
            </w:r>
          </w:p>
        </w:tc>
        <w:tc>
          <w:tcPr>
            <w:tcW w:w="946" w:type="dxa"/>
            <w:tcBorders>
              <w:top w:val="single" w:sz="4" w:space="0" w:color="auto"/>
              <w:left w:val="nil"/>
              <w:bottom w:val="single" w:sz="4" w:space="0" w:color="auto"/>
              <w:right w:val="single" w:sz="4" w:space="0" w:color="auto"/>
            </w:tcBorders>
            <w:shd w:val="clear" w:color="auto" w:fill="auto"/>
            <w:hideMark/>
          </w:tcPr>
          <w:p w14:paraId="018808C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5 194</w:t>
            </w:r>
          </w:p>
        </w:tc>
        <w:tc>
          <w:tcPr>
            <w:tcW w:w="1189" w:type="dxa"/>
            <w:tcBorders>
              <w:top w:val="single" w:sz="4" w:space="0" w:color="auto"/>
              <w:left w:val="nil"/>
              <w:bottom w:val="single" w:sz="4" w:space="0" w:color="auto"/>
              <w:right w:val="single" w:sz="8" w:space="0" w:color="auto"/>
            </w:tcBorders>
            <w:shd w:val="clear" w:color="auto" w:fill="auto"/>
            <w:hideMark/>
          </w:tcPr>
          <w:p w14:paraId="5AC5BDF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3 195</w:t>
            </w:r>
          </w:p>
        </w:tc>
      </w:tr>
      <w:tr w:rsidR="005B6AF9" w:rsidRPr="004135FE" w14:paraId="60A5D51B"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062BD007"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59D84D9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tcBorders>
              <w:top w:val="nil"/>
              <w:left w:val="single" w:sz="4" w:space="0" w:color="auto"/>
              <w:bottom w:val="single" w:sz="4" w:space="0" w:color="auto"/>
              <w:right w:val="single" w:sz="4" w:space="0" w:color="auto"/>
            </w:tcBorders>
            <w:shd w:val="clear" w:color="auto" w:fill="auto"/>
            <w:hideMark/>
          </w:tcPr>
          <w:p w14:paraId="5A26A5A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777" w:type="dxa"/>
            <w:tcBorders>
              <w:top w:val="nil"/>
              <w:left w:val="nil"/>
              <w:bottom w:val="single" w:sz="4" w:space="0" w:color="auto"/>
              <w:right w:val="single" w:sz="4" w:space="0" w:color="auto"/>
            </w:tcBorders>
            <w:shd w:val="clear" w:color="auto" w:fill="auto"/>
            <w:hideMark/>
          </w:tcPr>
          <w:p w14:paraId="17ACD54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2 371</w:t>
            </w:r>
          </w:p>
        </w:tc>
        <w:tc>
          <w:tcPr>
            <w:tcW w:w="893" w:type="dxa"/>
            <w:tcBorders>
              <w:top w:val="nil"/>
              <w:left w:val="nil"/>
              <w:bottom w:val="single" w:sz="4" w:space="0" w:color="auto"/>
              <w:right w:val="single" w:sz="4" w:space="0" w:color="auto"/>
            </w:tcBorders>
            <w:shd w:val="clear" w:color="auto" w:fill="auto"/>
            <w:hideMark/>
          </w:tcPr>
          <w:p w14:paraId="5C7FAD3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10 873</w:t>
            </w:r>
          </w:p>
        </w:tc>
        <w:tc>
          <w:tcPr>
            <w:tcW w:w="889" w:type="dxa"/>
            <w:tcBorders>
              <w:top w:val="nil"/>
              <w:left w:val="nil"/>
              <w:bottom w:val="single" w:sz="4" w:space="0" w:color="auto"/>
              <w:right w:val="single" w:sz="4" w:space="0" w:color="auto"/>
            </w:tcBorders>
            <w:shd w:val="clear" w:color="auto" w:fill="auto"/>
            <w:hideMark/>
          </w:tcPr>
          <w:p w14:paraId="2924B9F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12 338</w:t>
            </w:r>
          </w:p>
        </w:tc>
        <w:tc>
          <w:tcPr>
            <w:tcW w:w="946" w:type="dxa"/>
            <w:tcBorders>
              <w:top w:val="nil"/>
              <w:left w:val="nil"/>
              <w:bottom w:val="single" w:sz="4" w:space="0" w:color="auto"/>
              <w:right w:val="single" w:sz="4" w:space="0" w:color="auto"/>
            </w:tcBorders>
            <w:shd w:val="clear" w:color="auto" w:fill="auto"/>
            <w:hideMark/>
          </w:tcPr>
          <w:p w14:paraId="00FF58A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9 099</w:t>
            </w:r>
          </w:p>
        </w:tc>
        <w:tc>
          <w:tcPr>
            <w:tcW w:w="947" w:type="dxa"/>
            <w:tcBorders>
              <w:top w:val="nil"/>
              <w:left w:val="nil"/>
              <w:bottom w:val="single" w:sz="4" w:space="0" w:color="auto"/>
              <w:right w:val="single" w:sz="4" w:space="0" w:color="auto"/>
            </w:tcBorders>
            <w:shd w:val="clear" w:color="auto" w:fill="auto"/>
            <w:hideMark/>
          </w:tcPr>
          <w:p w14:paraId="5EF7E3C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4 372</w:t>
            </w:r>
          </w:p>
        </w:tc>
        <w:tc>
          <w:tcPr>
            <w:tcW w:w="947" w:type="dxa"/>
            <w:tcBorders>
              <w:top w:val="nil"/>
              <w:left w:val="nil"/>
              <w:bottom w:val="single" w:sz="4" w:space="0" w:color="auto"/>
              <w:right w:val="single" w:sz="4" w:space="0" w:color="auto"/>
            </w:tcBorders>
            <w:shd w:val="clear" w:color="auto" w:fill="auto"/>
            <w:hideMark/>
          </w:tcPr>
          <w:p w14:paraId="66EAAB4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3 008</w:t>
            </w:r>
          </w:p>
        </w:tc>
        <w:tc>
          <w:tcPr>
            <w:tcW w:w="947" w:type="dxa"/>
            <w:tcBorders>
              <w:top w:val="nil"/>
              <w:left w:val="nil"/>
              <w:bottom w:val="single" w:sz="4" w:space="0" w:color="auto"/>
              <w:right w:val="single" w:sz="4" w:space="0" w:color="auto"/>
            </w:tcBorders>
            <w:shd w:val="clear" w:color="auto" w:fill="auto"/>
            <w:hideMark/>
          </w:tcPr>
          <w:p w14:paraId="53B9A18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24 866</w:t>
            </w:r>
          </w:p>
        </w:tc>
        <w:tc>
          <w:tcPr>
            <w:tcW w:w="947" w:type="dxa"/>
            <w:tcBorders>
              <w:top w:val="nil"/>
              <w:left w:val="nil"/>
              <w:bottom w:val="single" w:sz="4" w:space="0" w:color="auto"/>
              <w:right w:val="single" w:sz="4" w:space="0" w:color="auto"/>
            </w:tcBorders>
            <w:shd w:val="clear" w:color="auto" w:fill="auto"/>
            <w:hideMark/>
          </w:tcPr>
          <w:p w14:paraId="13759C1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27 056</w:t>
            </w:r>
          </w:p>
        </w:tc>
        <w:tc>
          <w:tcPr>
            <w:tcW w:w="947" w:type="dxa"/>
            <w:tcBorders>
              <w:top w:val="nil"/>
              <w:left w:val="nil"/>
              <w:bottom w:val="single" w:sz="4" w:space="0" w:color="auto"/>
              <w:right w:val="single" w:sz="4" w:space="0" w:color="auto"/>
            </w:tcBorders>
            <w:shd w:val="clear" w:color="auto" w:fill="auto"/>
            <w:hideMark/>
          </w:tcPr>
          <w:p w14:paraId="21F304F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20 624</w:t>
            </w:r>
          </w:p>
        </w:tc>
        <w:tc>
          <w:tcPr>
            <w:tcW w:w="947" w:type="dxa"/>
            <w:tcBorders>
              <w:top w:val="nil"/>
              <w:left w:val="nil"/>
              <w:bottom w:val="single" w:sz="4" w:space="0" w:color="auto"/>
              <w:right w:val="single" w:sz="4" w:space="0" w:color="auto"/>
            </w:tcBorders>
            <w:shd w:val="clear" w:color="auto" w:fill="auto"/>
            <w:hideMark/>
          </w:tcPr>
          <w:p w14:paraId="031237F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18 382</w:t>
            </w:r>
          </w:p>
        </w:tc>
        <w:tc>
          <w:tcPr>
            <w:tcW w:w="946" w:type="dxa"/>
            <w:tcBorders>
              <w:top w:val="nil"/>
              <w:left w:val="nil"/>
              <w:bottom w:val="single" w:sz="4" w:space="0" w:color="auto"/>
              <w:right w:val="single" w:sz="4" w:space="0" w:color="auto"/>
            </w:tcBorders>
            <w:shd w:val="clear" w:color="auto" w:fill="auto"/>
            <w:hideMark/>
          </w:tcPr>
          <w:p w14:paraId="6CF90BF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14 299</w:t>
            </w:r>
          </w:p>
        </w:tc>
        <w:tc>
          <w:tcPr>
            <w:tcW w:w="1189" w:type="dxa"/>
            <w:tcBorders>
              <w:top w:val="nil"/>
              <w:left w:val="nil"/>
              <w:bottom w:val="single" w:sz="4" w:space="0" w:color="auto"/>
              <w:right w:val="single" w:sz="8" w:space="0" w:color="auto"/>
            </w:tcBorders>
            <w:shd w:val="clear" w:color="auto" w:fill="auto"/>
            <w:hideMark/>
          </w:tcPr>
          <w:p w14:paraId="294BEBE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11 498</w:t>
            </w:r>
          </w:p>
        </w:tc>
      </w:tr>
      <w:tr w:rsidR="005B6AF9" w:rsidRPr="004135FE" w14:paraId="2F6BF2E3"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54ED64FE"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32484B9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tcBorders>
              <w:top w:val="nil"/>
              <w:left w:val="single" w:sz="4" w:space="0" w:color="auto"/>
              <w:bottom w:val="single" w:sz="4" w:space="0" w:color="auto"/>
              <w:right w:val="single" w:sz="4" w:space="0" w:color="auto"/>
            </w:tcBorders>
            <w:shd w:val="clear" w:color="auto" w:fill="auto"/>
            <w:hideMark/>
          </w:tcPr>
          <w:p w14:paraId="1A8918E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777" w:type="dxa"/>
            <w:tcBorders>
              <w:top w:val="nil"/>
              <w:left w:val="nil"/>
              <w:bottom w:val="single" w:sz="4" w:space="0" w:color="auto"/>
              <w:right w:val="single" w:sz="4" w:space="0" w:color="auto"/>
            </w:tcBorders>
            <w:shd w:val="clear" w:color="auto" w:fill="auto"/>
            <w:hideMark/>
          </w:tcPr>
          <w:p w14:paraId="188E2EF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1 824</w:t>
            </w:r>
          </w:p>
        </w:tc>
        <w:tc>
          <w:tcPr>
            <w:tcW w:w="893" w:type="dxa"/>
            <w:tcBorders>
              <w:top w:val="nil"/>
              <w:left w:val="nil"/>
              <w:bottom w:val="single" w:sz="4" w:space="0" w:color="auto"/>
              <w:right w:val="single" w:sz="4" w:space="0" w:color="auto"/>
            </w:tcBorders>
            <w:shd w:val="clear" w:color="auto" w:fill="auto"/>
            <w:hideMark/>
          </w:tcPr>
          <w:p w14:paraId="21AC7EA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9 305</w:t>
            </w:r>
          </w:p>
        </w:tc>
        <w:tc>
          <w:tcPr>
            <w:tcW w:w="889" w:type="dxa"/>
            <w:tcBorders>
              <w:top w:val="nil"/>
              <w:left w:val="nil"/>
              <w:bottom w:val="single" w:sz="4" w:space="0" w:color="auto"/>
              <w:right w:val="single" w:sz="4" w:space="0" w:color="auto"/>
            </w:tcBorders>
            <w:shd w:val="clear" w:color="auto" w:fill="auto"/>
            <w:hideMark/>
          </w:tcPr>
          <w:p w14:paraId="71841DC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10 616</w:t>
            </w:r>
          </w:p>
        </w:tc>
        <w:tc>
          <w:tcPr>
            <w:tcW w:w="946" w:type="dxa"/>
            <w:tcBorders>
              <w:top w:val="nil"/>
              <w:left w:val="nil"/>
              <w:bottom w:val="single" w:sz="4" w:space="0" w:color="auto"/>
              <w:right w:val="single" w:sz="4" w:space="0" w:color="auto"/>
            </w:tcBorders>
            <w:shd w:val="clear" w:color="auto" w:fill="auto"/>
            <w:hideMark/>
          </w:tcPr>
          <w:p w14:paraId="7477CD0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8 121</w:t>
            </w:r>
          </w:p>
        </w:tc>
        <w:tc>
          <w:tcPr>
            <w:tcW w:w="947" w:type="dxa"/>
            <w:tcBorders>
              <w:top w:val="nil"/>
              <w:left w:val="nil"/>
              <w:bottom w:val="single" w:sz="4" w:space="0" w:color="auto"/>
              <w:right w:val="single" w:sz="4" w:space="0" w:color="auto"/>
            </w:tcBorders>
            <w:shd w:val="clear" w:color="auto" w:fill="auto"/>
            <w:hideMark/>
          </w:tcPr>
          <w:p w14:paraId="3300C50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6 680</w:t>
            </w:r>
          </w:p>
        </w:tc>
        <w:tc>
          <w:tcPr>
            <w:tcW w:w="947" w:type="dxa"/>
            <w:tcBorders>
              <w:top w:val="nil"/>
              <w:left w:val="nil"/>
              <w:bottom w:val="single" w:sz="4" w:space="0" w:color="auto"/>
              <w:right w:val="single" w:sz="4" w:space="0" w:color="auto"/>
            </w:tcBorders>
            <w:shd w:val="clear" w:color="auto" w:fill="auto"/>
            <w:hideMark/>
          </w:tcPr>
          <w:p w14:paraId="3F938EC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13 219</w:t>
            </w:r>
          </w:p>
        </w:tc>
        <w:tc>
          <w:tcPr>
            <w:tcW w:w="947" w:type="dxa"/>
            <w:tcBorders>
              <w:top w:val="nil"/>
              <w:left w:val="nil"/>
              <w:bottom w:val="single" w:sz="4" w:space="0" w:color="auto"/>
              <w:right w:val="single" w:sz="4" w:space="0" w:color="auto"/>
            </w:tcBorders>
            <w:shd w:val="clear" w:color="auto" w:fill="auto"/>
            <w:hideMark/>
          </w:tcPr>
          <w:p w14:paraId="1AD893E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44 541</w:t>
            </w:r>
          </w:p>
        </w:tc>
        <w:tc>
          <w:tcPr>
            <w:tcW w:w="947" w:type="dxa"/>
            <w:tcBorders>
              <w:top w:val="nil"/>
              <w:left w:val="nil"/>
              <w:bottom w:val="single" w:sz="4" w:space="0" w:color="auto"/>
              <w:right w:val="single" w:sz="4" w:space="0" w:color="auto"/>
            </w:tcBorders>
            <w:shd w:val="clear" w:color="auto" w:fill="auto"/>
            <w:hideMark/>
          </w:tcPr>
          <w:p w14:paraId="01AFB0B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26 353</w:t>
            </w:r>
          </w:p>
        </w:tc>
        <w:tc>
          <w:tcPr>
            <w:tcW w:w="947" w:type="dxa"/>
            <w:tcBorders>
              <w:top w:val="nil"/>
              <w:left w:val="nil"/>
              <w:bottom w:val="single" w:sz="4" w:space="0" w:color="auto"/>
              <w:right w:val="single" w:sz="4" w:space="0" w:color="auto"/>
            </w:tcBorders>
            <w:shd w:val="clear" w:color="auto" w:fill="auto"/>
            <w:hideMark/>
          </w:tcPr>
          <w:p w14:paraId="4C1ADFC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21 503</w:t>
            </w:r>
          </w:p>
        </w:tc>
        <w:tc>
          <w:tcPr>
            <w:tcW w:w="947" w:type="dxa"/>
            <w:tcBorders>
              <w:top w:val="nil"/>
              <w:left w:val="nil"/>
              <w:bottom w:val="single" w:sz="4" w:space="0" w:color="auto"/>
              <w:right w:val="single" w:sz="4" w:space="0" w:color="auto"/>
            </w:tcBorders>
            <w:shd w:val="clear" w:color="auto" w:fill="auto"/>
            <w:hideMark/>
          </w:tcPr>
          <w:p w14:paraId="3E07AED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18 939</w:t>
            </w:r>
          </w:p>
        </w:tc>
        <w:tc>
          <w:tcPr>
            <w:tcW w:w="946" w:type="dxa"/>
            <w:tcBorders>
              <w:top w:val="nil"/>
              <w:left w:val="nil"/>
              <w:bottom w:val="single" w:sz="4" w:space="0" w:color="auto"/>
              <w:right w:val="single" w:sz="4" w:space="0" w:color="auto"/>
            </w:tcBorders>
            <w:shd w:val="clear" w:color="auto" w:fill="auto"/>
            <w:hideMark/>
          </w:tcPr>
          <w:p w14:paraId="47CB148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15 648</w:t>
            </w:r>
          </w:p>
        </w:tc>
        <w:tc>
          <w:tcPr>
            <w:tcW w:w="1189" w:type="dxa"/>
            <w:tcBorders>
              <w:top w:val="nil"/>
              <w:left w:val="nil"/>
              <w:bottom w:val="single" w:sz="4" w:space="0" w:color="auto"/>
              <w:right w:val="single" w:sz="8" w:space="0" w:color="auto"/>
            </w:tcBorders>
            <w:shd w:val="clear" w:color="auto" w:fill="auto"/>
            <w:hideMark/>
          </w:tcPr>
          <w:p w14:paraId="54DFF94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13 150</w:t>
            </w:r>
          </w:p>
        </w:tc>
      </w:tr>
      <w:tr w:rsidR="005B6AF9" w:rsidRPr="004135FE" w14:paraId="4A23B08A"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5B51C83A"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6B7B4A2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tcBorders>
              <w:top w:val="nil"/>
              <w:left w:val="single" w:sz="4" w:space="0" w:color="auto"/>
              <w:bottom w:val="single" w:sz="4" w:space="0" w:color="auto"/>
              <w:right w:val="single" w:sz="4" w:space="0" w:color="auto"/>
            </w:tcBorders>
            <w:shd w:val="clear" w:color="auto" w:fill="auto"/>
            <w:hideMark/>
          </w:tcPr>
          <w:p w14:paraId="73D7FE3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777" w:type="dxa"/>
            <w:tcBorders>
              <w:top w:val="nil"/>
              <w:left w:val="nil"/>
              <w:bottom w:val="single" w:sz="4" w:space="0" w:color="auto"/>
              <w:right w:val="single" w:sz="4" w:space="0" w:color="auto"/>
            </w:tcBorders>
            <w:shd w:val="clear" w:color="auto" w:fill="auto"/>
            <w:hideMark/>
          </w:tcPr>
          <w:p w14:paraId="4040C4E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1 544</w:t>
            </w:r>
          </w:p>
        </w:tc>
        <w:tc>
          <w:tcPr>
            <w:tcW w:w="893" w:type="dxa"/>
            <w:tcBorders>
              <w:top w:val="nil"/>
              <w:left w:val="nil"/>
              <w:bottom w:val="single" w:sz="4" w:space="0" w:color="auto"/>
              <w:right w:val="single" w:sz="4" w:space="0" w:color="auto"/>
            </w:tcBorders>
            <w:shd w:val="clear" w:color="auto" w:fill="auto"/>
            <w:hideMark/>
          </w:tcPr>
          <w:p w14:paraId="0FCF611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7 125</w:t>
            </w:r>
          </w:p>
        </w:tc>
        <w:tc>
          <w:tcPr>
            <w:tcW w:w="889" w:type="dxa"/>
            <w:tcBorders>
              <w:top w:val="nil"/>
              <w:left w:val="nil"/>
              <w:bottom w:val="single" w:sz="4" w:space="0" w:color="auto"/>
              <w:right w:val="single" w:sz="4" w:space="0" w:color="auto"/>
            </w:tcBorders>
            <w:shd w:val="clear" w:color="auto" w:fill="auto"/>
            <w:hideMark/>
          </w:tcPr>
          <w:p w14:paraId="21CC4A2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8 058</w:t>
            </w:r>
          </w:p>
        </w:tc>
        <w:tc>
          <w:tcPr>
            <w:tcW w:w="946" w:type="dxa"/>
            <w:tcBorders>
              <w:top w:val="nil"/>
              <w:left w:val="nil"/>
              <w:bottom w:val="single" w:sz="4" w:space="0" w:color="auto"/>
              <w:right w:val="single" w:sz="4" w:space="0" w:color="auto"/>
            </w:tcBorders>
            <w:shd w:val="clear" w:color="auto" w:fill="auto"/>
            <w:hideMark/>
          </w:tcPr>
          <w:p w14:paraId="3546A19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5 939</w:t>
            </w:r>
          </w:p>
        </w:tc>
        <w:tc>
          <w:tcPr>
            <w:tcW w:w="947" w:type="dxa"/>
            <w:tcBorders>
              <w:top w:val="nil"/>
              <w:left w:val="nil"/>
              <w:bottom w:val="single" w:sz="4" w:space="0" w:color="auto"/>
              <w:right w:val="single" w:sz="4" w:space="0" w:color="auto"/>
            </w:tcBorders>
            <w:shd w:val="clear" w:color="auto" w:fill="auto"/>
            <w:hideMark/>
          </w:tcPr>
          <w:p w14:paraId="71B2511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2 653</w:t>
            </w:r>
          </w:p>
        </w:tc>
        <w:tc>
          <w:tcPr>
            <w:tcW w:w="947" w:type="dxa"/>
            <w:tcBorders>
              <w:top w:val="nil"/>
              <w:left w:val="nil"/>
              <w:bottom w:val="single" w:sz="4" w:space="0" w:color="auto"/>
              <w:right w:val="single" w:sz="4" w:space="0" w:color="auto"/>
            </w:tcBorders>
            <w:shd w:val="clear" w:color="auto" w:fill="auto"/>
            <w:hideMark/>
          </w:tcPr>
          <w:p w14:paraId="60DD7F0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2 541</w:t>
            </w:r>
          </w:p>
        </w:tc>
        <w:tc>
          <w:tcPr>
            <w:tcW w:w="947" w:type="dxa"/>
            <w:tcBorders>
              <w:top w:val="nil"/>
              <w:left w:val="nil"/>
              <w:bottom w:val="single" w:sz="4" w:space="0" w:color="auto"/>
              <w:right w:val="single" w:sz="4" w:space="0" w:color="auto"/>
            </w:tcBorders>
            <w:shd w:val="clear" w:color="auto" w:fill="auto"/>
            <w:hideMark/>
          </w:tcPr>
          <w:p w14:paraId="2C5FE94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16 076</w:t>
            </w:r>
          </w:p>
        </w:tc>
        <w:tc>
          <w:tcPr>
            <w:tcW w:w="947" w:type="dxa"/>
            <w:tcBorders>
              <w:top w:val="nil"/>
              <w:left w:val="nil"/>
              <w:bottom w:val="single" w:sz="4" w:space="0" w:color="auto"/>
              <w:right w:val="single" w:sz="4" w:space="0" w:color="auto"/>
            </w:tcBorders>
            <w:shd w:val="clear" w:color="auto" w:fill="auto"/>
            <w:hideMark/>
          </w:tcPr>
          <w:p w14:paraId="7684C3D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16 726</w:t>
            </w:r>
          </w:p>
        </w:tc>
        <w:tc>
          <w:tcPr>
            <w:tcW w:w="947" w:type="dxa"/>
            <w:tcBorders>
              <w:top w:val="nil"/>
              <w:left w:val="nil"/>
              <w:bottom w:val="single" w:sz="4" w:space="0" w:color="auto"/>
              <w:right w:val="single" w:sz="4" w:space="0" w:color="auto"/>
            </w:tcBorders>
            <w:shd w:val="clear" w:color="auto" w:fill="auto"/>
            <w:hideMark/>
          </w:tcPr>
          <w:p w14:paraId="5E5A361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12 393</w:t>
            </w:r>
          </w:p>
        </w:tc>
        <w:tc>
          <w:tcPr>
            <w:tcW w:w="947" w:type="dxa"/>
            <w:tcBorders>
              <w:top w:val="nil"/>
              <w:left w:val="nil"/>
              <w:bottom w:val="single" w:sz="4" w:space="0" w:color="auto"/>
              <w:right w:val="single" w:sz="4" w:space="0" w:color="auto"/>
            </w:tcBorders>
            <w:shd w:val="clear" w:color="auto" w:fill="auto"/>
            <w:hideMark/>
          </w:tcPr>
          <w:p w14:paraId="45DB187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10 552</w:t>
            </w:r>
          </w:p>
        </w:tc>
        <w:tc>
          <w:tcPr>
            <w:tcW w:w="946" w:type="dxa"/>
            <w:tcBorders>
              <w:top w:val="nil"/>
              <w:left w:val="nil"/>
              <w:bottom w:val="single" w:sz="4" w:space="0" w:color="auto"/>
              <w:right w:val="single" w:sz="4" w:space="0" w:color="auto"/>
            </w:tcBorders>
            <w:shd w:val="clear" w:color="auto" w:fill="auto"/>
            <w:hideMark/>
          </w:tcPr>
          <w:p w14:paraId="0146082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7 506</w:t>
            </w:r>
          </w:p>
        </w:tc>
        <w:tc>
          <w:tcPr>
            <w:tcW w:w="1189" w:type="dxa"/>
            <w:tcBorders>
              <w:top w:val="nil"/>
              <w:left w:val="nil"/>
              <w:bottom w:val="single" w:sz="4" w:space="0" w:color="auto"/>
              <w:right w:val="single" w:sz="8" w:space="0" w:color="auto"/>
            </w:tcBorders>
            <w:shd w:val="clear" w:color="auto" w:fill="auto"/>
            <w:hideMark/>
          </w:tcPr>
          <w:p w14:paraId="76B2F31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5 259</w:t>
            </w:r>
          </w:p>
        </w:tc>
      </w:tr>
      <w:tr w:rsidR="005B6AF9" w:rsidRPr="004135FE" w14:paraId="4031313A"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56386996"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4D3775F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tcBorders>
              <w:top w:val="nil"/>
              <w:left w:val="single" w:sz="4" w:space="0" w:color="auto"/>
              <w:bottom w:val="single" w:sz="4" w:space="0" w:color="auto"/>
              <w:right w:val="single" w:sz="4" w:space="0" w:color="auto"/>
            </w:tcBorders>
            <w:shd w:val="clear" w:color="auto" w:fill="auto"/>
            <w:hideMark/>
          </w:tcPr>
          <w:p w14:paraId="63B5295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777" w:type="dxa"/>
            <w:tcBorders>
              <w:top w:val="nil"/>
              <w:left w:val="nil"/>
              <w:bottom w:val="single" w:sz="4" w:space="0" w:color="auto"/>
              <w:right w:val="single" w:sz="4" w:space="0" w:color="auto"/>
            </w:tcBorders>
            <w:shd w:val="clear" w:color="auto" w:fill="auto"/>
            <w:hideMark/>
          </w:tcPr>
          <w:p w14:paraId="3800F48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1 681</w:t>
            </w:r>
          </w:p>
        </w:tc>
        <w:tc>
          <w:tcPr>
            <w:tcW w:w="893" w:type="dxa"/>
            <w:tcBorders>
              <w:top w:val="nil"/>
              <w:left w:val="nil"/>
              <w:bottom w:val="single" w:sz="4" w:space="0" w:color="auto"/>
              <w:right w:val="single" w:sz="4" w:space="0" w:color="auto"/>
            </w:tcBorders>
            <w:shd w:val="clear" w:color="auto" w:fill="auto"/>
            <w:hideMark/>
          </w:tcPr>
          <w:p w14:paraId="17B1E92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8 430</w:t>
            </w:r>
          </w:p>
        </w:tc>
        <w:tc>
          <w:tcPr>
            <w:tcW w:w="889" w:type="dxa"/>
            <w:tcBorders>
              <w:top w:val="nil"/>
              <w:left w:val="nil"/>
              <w:bottom w:val="single" w:sz="4" w:space="0" w:color="auto"/>
              <w:right w:val="single" w:sz="4" w:space="0" w:color="auto"/>
            </w:tcBorders>
            <w:shd w:val="clear" w:color="auto" w:fill="auto"/>
            <w:hideMark/>
          </w:tcPr>
          <w:p w14:paraId="1F49B47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10 291</w:t>
            </w:r>
          </w:p>
        </w:tc>
        <w:tc>
          <w:tcPr>
            <w:tcW w:w="946" w:type="dxa"/>
            <w:tcBorders>
              <w:top w:val="nil"/>
              <w:left w:val="nil"/>
              <w:bottom w:val="single" w:sz="4" w:space="0" w:color="auto"/>
              <w:right w:val="single" w:sz="4" w:space="0" w:color="auto"/>
            </w:tcBorders>
            <w:shd w:val="clear" w:color="auto" w:fill="auto"/>
            <w:hideMark/>
          </w:tcPr>
          <w:p w14:paraId="699DF1E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8 314</w:t>
            </w:r>
          </w:p>
        </w:tc>
        <w:tc>
          <w:tcPr>
            <w:tcW w:w="947" w:type="dxa"/>
            <w:tcBorders>
              <w:top w:val="nil"/>
              <w:left w:val="nil"/>
              <w:bottom w:val="single" w:sz="4" w:space="0" w:color="auto"/>
              <w:right w:val="single" w:sz="4" w:space="0" w:color="auto"/>
            </w:tcBorders>
            <w:shd w:val="clear" w:color="auto" w:fill="auto"/>
            <w:hideMark/>
          </w:tcPr>
          <w:p w14:paraId="6B562A9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4 535</w:t>
            </w:r>
          </w:p>
        </w:tc>
        <w:tc>
          <w:tcPr>
            <w:tcW w:w="947" w:type="dxa"/>
            <w:tcBorders>
              <w:top w:val="nil"/>
              <w:left w:val="nil"/>
              <w:bottom w:val="single" w:sz="4" w:space="0" w:color="auto"/>
              <w:right w:val="single" w:sz="4" w:space="0" w:color="auto"/>
            </w:tcBorders>
            <w:shd w:val="clear" w:color="auto" w:fill="auto"/>
            <w:hideMark/>
          </w:tcPr>
          <w:p w14:paraId="63ACF6D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5 360</w:t>
            </w:r>
          </w:p>
        </w:tc>
        <w:tc>
          <w:tcPr>
            <w:tcW w:w="947" w:type="dxa"/>
            <w:tcBorders>
              <w:top w:val="nil"/>
              <w:left w:val="nil"/>
              <w:bottom w:val="single" w:sz="4" w:space="0" w:color="auto"/>
              <w:right w:val="single" w:sz="4" w:space="0" w:color="auto"/>
            </w:tcBorders>
            <w:shd w:val="clear" w:color="auto" w:fill="auto"/>
            <w:hideMark/>
          </w:tcPr>
          <w:p w14:paraId="7D86660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21 296</w:t>
            </w:r>
          </w:p>
        </w:tc>
        <w:tc>
          <w:tcPr>
            <w:tcW w:w="947" w:type="dxa"/>
            <w:tcBorders>
              <w:top w:val="nil"/>
              <w:left w:val="nil"/>
              <w:bottom w:val="single" w:sz="4" w:space="0" w:color="auto"/>
              <w:right w:val="single" w:sz="4" w:space="0" w:color="auto"/>
            </w:tcBorders>
            <w:shd w:val="clear" w:color="auto" w:fill="auto"/>
            <w:hideMark/>
          </w:tcPr>
          <w:p w14:paraId="2805F9A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18 683</w:t>
            </w:r>
          </w:p>
        </w:tc>
        <w:tc>
          <w:tcPr>
            <w:tcW w:w="947" w:type="dxa"/>
            <w:tcBorders>
              <w:top w:val="nil"/>
              <w:left w:val="nil"/>
              <w:bottom w:val="single" w:sz="4" w:space="0" w:color="auto"/>
              <w:right w:val="single" w:sz="4" w:space="0" w:color="auto"/>
            </w:tcBorders>
            <w:shd w:val="clear" w:color="auto" w:fill="auto"/>
            <w:hideMark/>
          </w:tcPr>
          <w:p w14:paraId="0847827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14 446</w:t>
            </w:r>
          </w:p>
        </w:tc>
        <w:tc>
          <w:tcPr>
            <w:tcW w:w="947" w:type="dxa"/>
            <w:tcBorders>
              <w:top w:val="nil"/>
              <w:left w:val="nil"/>
              <w:bottom w:val="single" w:sz="4" w:space="0" w:color="auto"/>
              <w:right w:val="single" w:sz="4" w:space="0" w:color="auto"/>
            </w:tcBorders>
            <w:shd w:val="clear" w:color="auto" w:fill="auto"/>
            <w:hideMark/>
          </w:tcPr>
          <w:p w14:paraId="3A64E04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13 001</w:t>
            </w:r>
          </w:p>
        </w:tc>
        <w:tc>
          <w:tcPr>
            <w:tcW w:w="946" w:type="dxa"/>
            <w:tcBorders>
              <w:top w:val="nil"/>
              <w:left w:val="nil"/>
              <w:bottom w:val="single" w:sz="4" w:space="0" w:color="auto"/>
              <w:right w:val="single" w:sz="4" w:space="0" w:color="auto"/>
            </w:tcBorders>
            <w:shd w:val="clear" w:color="auto" w:fill="auto"/>
            <w:hideMark/>
          </w:tcPr>
          <w:p w14:paraId="4AFDD85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10 491</w:t>
            </w:r>
          </w:p>
        </w:tc>
        <w:tc>
          <w:tcPr>
            <w:tcW w:w="1189" w:type="dxa"/>
            <w:tcBorders>
              <w:top w:val="nil"/>
              <w:left w:val="nil"/>
              <w:bottom w:val="single" w:sz="4" w:space="0" w:color="auto"/>
              <w:right w:val="single" w:sz="8" w:space="0" w:color="auto"/>
            </w:tcBorders>
            <w:shd w:val="clear" w:color="auto" w:fill="auto"/>
            <w:hideMark/>
          </w:tcPr>
          <w:p w14:paraId="076170C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8 186</w:t>
            </w:r>
          </w:p>
        </w:tc>
      </w:tr>
      <w:tr w:rsidR="005B6AF9" w:rsidRPr="004135FE" w14:paraId="5F8D7AD8"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3A3A6639"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6D705E9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tcBorders>
              <w:top w:val="nil"/>
              <w:left w:val="single" w:sz="4" w:space="0" w:color="auto"/>
              <w:bottom w:val="single" w:sz="4" w:space="0" w:color="auto"/>
              <w:right w:val="single" w:sz="4" w:space="0" w:color="auto"/>
            </w:tcBorders>
            <w:shd w:val="clear" w:color="auto" w:fill="auto"/>
            <w:hideMark/>
          </w:tcPr>
          <w:p w14:paraId="0AEA98E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777" w:type="dxa"/>
            <w:tcBorders>
              <w:top w:val="nil"/>
              <w:left w:val="nil"/>
              <w:bottom w:val="single" w:sz="4" w:space="0" w:color="auto"/>
              <w:right w:val="single" w:sz="4" w:space="0" w:color="auto"/>
            </w:tcBorders>
            <w:shd w:val="clear" w:color="auto" w:fill="auto"/>
            <w:hideMark/>
          </w:tcPr>
          <w:p w14:paraId="64F9D1E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1 138</w:t>
            </w:r>
          </w:p>
        </w:tc>
        <w:tc>
          <w:tcPr>
            <w:tcW w:w="893" w:type="dxa"/>
            <w:tcBorders>
              <w:top w:val="nil"/>
              <w:left w:val="nil"/>
              <w:bottom w:val="single" w:sz="4" w:space="0" w:color="auto"/>
              <w:right w:val="single" w:sz="4" w:space="0" w:color="auto"/>
            </w:tcBorders>
            <w:shd w:val="clear" w:color="auto" w:fill="auto"/>
            <w:hideMark/>
          </w:tcPr>
          <w:p w14:paraId="5EF5826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4 679</w:t>
            </w:r>
          </w:p>
        </w:tc>
        <w:tc>
          <w:tcPr>
            <w:tcW w:w="889" w:type="dxa"/>
            <w:tcBorders>
              <w:top w:val="nil"/>
              <w:left w:val="nil"/>
              <w:bottom w:val="single" w:sz="4" w:space="0" w:color="auto"/>
              <w:right w:val="single" w:sz="4" w:space="0" w:color="auto"/>
            </w:tcBorders>
            <w:shd w:val="clear" w:color="auto" w:fill="auto"/>
            <w:hideMark/>
          </w:tcPr>
          <w:p w14:paraId="0B985ED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4 122</w:t>
            </w:r>
          </w:p>
        </w:tc>
        <w:tc>
          <w:tcPr>
            <w:tcW w:w="946" w:type="dxa"/>
            <w:tcBorders>
              <w:top w:val="nil"/>
              <w:left w:val="nil"/>
              <w:bottom w:val="single" w:sz="4" w:space="0" w:color="auto"/>
              <w:right w:val="single" w:sz="4" w:space="0" w:color="auto"/>
            </w:tcBorders>
            <w:shd w:val="clear" w:color="auto" w:fill="auto"/>
            <w:hideMark/>
          </w:tcPr>
          <w:p w14:paraId="6F7B4B8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3 017</w:t>
            </w:r>
          </w:p>
        </w:tc>
        <w:tc>
          <w:tcPr>
            <w:tcW w:w="947" w:type="dxa"/>
            <w:tcBorders>
              <w:top w:val="nil"/>
              <w:left w:val="nil"/>
              <w:bottom w:val="single" w:sz="4" w:space="0" w:color="auto"/>
              <w:right w:val="single" w:sz="4" w:space="0" w:color="auto"/>
            </w:tcBorders>
            <w:shd w:val="clear" w:color="auto" w:fill="auto"/>
            <w:hideMark/>
          </w:tcPr>
          <w:p w14:paraId="680C4ED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1 265</w:t>
            </w:r>
          </w:p>
        </w:tc>
        <w:tc>
          <w:tcPr>
            <w:tcW w:w="947" w:type="dxa"/>
            <w:tcBorders>
              <w:top w:val="nil"/>
              <w:left w:val="nil"/>
              <w:bottom w:val="single" w:sz="4" w:space="0" w:color="auto"/>
              <w:right w:val="single" w:sz="4" w:space="0" w:color="auto"/>
            </w:tcBorders>
            <w:shd w:val="clear" w:color="auto" w:fill="auto"/>
            <w:hideMark/>
          </w:tcPr>
          <w:p w14:paraId="3B39196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760</w:t>
            </w:r>
          </w:p>
        </w:tc>
        <w:tc>
          <w:tcPr>
            <w:tcW w:w="947" w:type="dxa"/>
            <w:tcBorders>
              <w:top w:val="nil"/>
              <w:left w:val="nil"/>
              <w:bottom w:val="single" w:sz="4" w:space="0" w:color="auto"/>
              <w:right w:val="single" w:sz="4" w:space="0" w:color="auto"/>
            </w:tcBorders>
            <w:shd w:val="clear" w:color="auto" w:fill="auto"/>
            <w:hideMark/>
          </w:tcPr>
          <w:p w14:paraId="1891081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7 736</w:t>
            </w:r>
          </w:p>
        </w:tc>
        <w:tc>
          <w:tcPr>
            <w:tcW w:w="947" w:type="dxa"/>
            <w:tcBorders>
              <w:top w:val="nil"/>
              <w:left w:val="nil"/>
              <w:bottom w:val="single" w:sz="4" w:space="0" w:color="auto"/>
              <w:right w:val="single" w:sz="4" w:space="0" w:color="auto"/>
            </w:tcBorders>
            <w:shd w:val="clear" w:color="auto" w:fill="auto"/>
            <w:hideMark/>
          </w:tcPr>
          <w:p w14:paraId="0EF1567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7 247</w:t>
            </w:r>
          </w:p>
        </w:tc>
        <w:tc>
          <w:tcPr>
            <w:tcW w:w="947" w:type="dxa"/>
            <w:tcBorders>
              <w:top w:val="nil"/>
              <w:left w:val="nil"/>
              <w:bottom w:val="single" w:sz="4" w:space="0" w:color="auto"/>
              <w:right w:val="single" w:sz="4" w:space="0" w:color="auto"/>
            </w:tcBorders>
            <w:shd w:val="clear" w:color="auto" w:fill="auto"/>
            <w:hideMark/>
          </w:tcPr>
          <w:p w14:paraId="5B8EFED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5 334</w:t>
            </w:r>
          </w:p>
        </w:tc>
        <w:tc>
          <w:tcPr>
            <w:tcW w:w="947" w:type="dxa"/>
            <w:tcBorders>
              <w:top w:val="nil"/>
              <w:left w:val="nil"/>
              <w:bottom w:val="single" w:sz="4" w:space="0" w:color="auto"/>
              <w:right w:val="single" w:sz="4" w:space="0" w:color="auto"/>
            </w:tcBorders>
            <w:shd w:val="clear" w:color="auto" w:fill="auto"/>
            <w:hideMark/>
          </w:tcPr>
          <w:p w14:paraId="17D2DE9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4 468</w:t>
            </w:r>
          </w:p>
        </w:tc>
        <w:tc>
          <w:tcPr>
            <w:tcW w:w="946" w:type="dxa"/>
            <w:tcBorders>
              <w:top w:val="nil"/>
              <w:left w:val="nil"/>
              <w:bottom w:val="single" w:sz="4" w:space="0" w:color="auto"/>
              <w:right w:val="single" w:sz="4" w:space="0" w:color="auto"/>
            </w:tcBorders>
            <w:shd w:val="clear" w:color="auto" w:fill="auto"/>
            <w:hideMark/>
          </w:tcPr>
          <w:p w14:paraId="0FB1021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2 972</w:t>
            </w:r>
          </w:p>
        </w:tc>
        <w:tc>
          <w:tcPr>
            <w:tcW w:w="1189" w:type="dxa"/>
            <w:tcBorders>
              <w:top w:val="nil"/>
              <w:left w:val="nil"/>
              <w:bottom w:val="single" w:sz="4" w:space="0" w:color="auto"/>
              <w:right w:val="single" w:sz="8" w:space="0" w:color="auto"/>
            </w:tcBorders>
            <w:shd w:val="clear" w:color="auto" w:fill="auto"/>
            <w:hideMark/>
          </w:tcPr>
          <w:p w14:paraId="14AA2D0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1 843</w:t>
            </w:r>
          </w:p>
        </w:tc>
      </w:tr>
      <w:tr w:rsidR="005B6AF9" w:rsidRPr="004135FE" w14:paraId="2CC8F79B"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51AE977F"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8" w:space="0" w:color="auto"/>
              <w:right w:val="single" w:sz="4" w:space="0" w:color="auto"/>
            </w:tcBorders>
            <w:shd w:val="clear" w:color="auto" w:fill="auto"/>
            <w:hideMark/>
          </w:tcPr>
          <w:p w14:paraId="31F6B39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tcBorders>
              <w:top w:val="nil"/>
              <w:left w:val="single" w:sz="4" w:space="0" w:color="auto"/>
              <w:bottom w:val="single" w:sz="8" w:space="0" w:color="auto"/>
              <w:right w:val="single" w:sz="4" w:space="0" w:color="auto"/>
            </w:tcBorders>
            <w:shd w:val="clear" w:color="auto" w:fill="auto"/>
            <w:hideMark/>
          </w:tcPr>
          <w:p w14:paraId="605544A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777" w:type="dxa"/>
            <w:tcBorders>
              <w:top w:val="nil"/>
              <w:left w:val="nil"/>
              <w:bottom w:val="single" w:sz="8" w:space="0" w:color="auto"/>
              <w:right w:val="single" w:sz="4" w:space="0" w:color="auto"/>
            </w:tcBorders>
            <w:shd w:val="clear" w:color="auto" w:fill="auto"/>
            <w:hideMark/>
          </w:tcPr>
          <w:p w14:paraId="4237CAD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1 696</w:t>
            </w:r>
          </w:p>
        </w:tc>
        <w:tc>
          <w:tcPr>
            <w:tcW w:w="893" w:type="dxa"/>
            <w:tcBorders>
              <w:top w:val="nil"/>
              <w:left w:val="nil"/>
              <w:bottom w:val="single" w:sz="8" w:space="0" w:color="auto"/>
              <w:right w:val="single" w:sz="4" w:space="0" w:color="auto"/>
            </w:tcBorders>
            <w:shd w:val="clear" w:color="auto" w:fill="auto"/>
            <w:hideMark/>
          </w:tcPr>
          <w:p w14:paraId="716D132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7 519</w:t>
            </w:r>
          </w:p>
        </w:tc>
        <w:tc>
          <w:tcPr>
            <w:tcW w:w="889" w:type="dxa"/>
            <w:tcBorders>
              <w:top w:val="nil"/>
              <w:left w:val="nil"/>
              <w:bottom w:val="single" w:sz="8" w:space="0" w:color="auto"/>
              <w:right w:val="single" w:sz="4" w:space="0" w:color="auto"/>
            </w:tcBorders>
            <w:shd w:val="clear" w:color="auto" w:fill="auto"/>
            <w:hideMark/>
          </w:tcPr>
          <w:p w14:paraId="008403A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8 570</w:t>
            </w:r>
          </w:p>
        </w:tc>
        <w:tc>
          <w:tcPr>
            <w:tcW w:w="946" w:type="dxa"/>
            <w:tcBorders>
              <w:top w:val="nil"/>
              <w:left w:val="nil"/>
              <w:bottom w:val="single" w:sz="8" w:space="0" w:color="auto"/>
              <w:right w:val="single" w:sz="4" w:space="0" w:color="auto"/>
            </w:tcBorders>
            <w:shd w:val="clear" w:color="auto" w:fill="auto"/>
            <w:hideMark/>
          </w:tcPr>
          <w:p w14:paraId="638DD54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6 732</w:t>
            </w:r>
          </w:p>
        </w:tc>
        <w:tc>
          <w:tcPr>
            <w:tcW w:w="947" w:type="dxa"/>
            <w:tcBorders>
              <w:top w:val="nil"/>
              <w:left w:val="nil"/>
              <w:bottom w:val="single" w:sz="8" w:space="0" w:color="auto"/>
              <w:right w:val="single" w:sz="4" w:space="0" w:color="auto"/>
            </w:tcBorders>
            <w:shd w:val="clear" w:color="auto" w:fill="auto"/>
            <w:hideMark/>
          </w:tcPr>
          <w:p w14:paraId="533C891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3 437</w:t>
            </w:r>
          </w:p>
        </w:tc>
        <w:tc>
          <w:tcPr>
            <w:tcW w:w="947" w:type="dxa"/>
            <w:tcBorders>
              <w:top w:val="nil"/>
              <w:left w:val="nil"/>
              <w:bottom w:val="single" w:sz="8" w:space="0" w:color="auto"/>
              <w:right w:val="single" w:sz="4" w:space="0" w:color="auto"/>
            </w:tcBorders>
            <w:shd w:val="clear" w:color="auto" w:fill="auto"/>
            <w:hideMark/>
          </w:tcPr>
          <w:p w14:paraId="546443C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2 348</w:t>
            </w:r>
          </w:p>
        </w:tc>
        <w:tc>
          <w:tcPr>
            <w:tcW w:w="947" w:type="dxa"/>
            <w:tcBorders>
              <w:top w:val="nil"/>
              <w:left w:val="nil"/>
              <w:bottom w:val="single" w:sz="8" w:space="0" w:color="auto"/>
              <w:right w:val="single" w:sz="4" w:space="0" w:color="auto"/>
            </w:tcBorders>
            <w:shd w:val="clear" w:color="auto" w:fill="auto"/>
            <w:hideMark/>
          </w:tcPr>
          <w:p w14:paraId="2588C58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19 147</w:t>
            </w:r>
          </w:p>
        </w:tc>
        <w:tc>
          <w:tcPr>
            <w:tcW w:w="947" w:type="dxa"/>
            <w:tcBorders>
              <w:top w:val="nil"/>
              <w:left w:val="nil"/>
              <w:bottom w:val="single" w:sz="8" w:space="0" w:color="auto"/>
              <w:right w:val="single" w:sz="4" w:space="0" w:color="auto"/>
            </w:tcBorders>
            <w:shd w:val="clear" w:color="auto" w:fill="auto"/>
            <w:hideMark/>
          </w:tcPr>
          <w:p w14:paraId="0B0F2B5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22 086</w:t>
            </w:r>
          </w:p>
        </w:tc>
        <w:tc>
          <w:tcPr>
            <w:tcW w:w="947" w:type="dxa"/>
            <w:tcBorders>
              <w:top w:val="nil"/>
              <w:left w:val="nil"/>
              <w:bottom w:val="single" w:sz="8" w:space="0" w:color="auto"/>
              <w:right w:val="single" w:sz="4" w:space="0" w:color="auto"/>
            </w:tcBorders>
            <w:shd w:val="clear" w:color="auto" w:fill="auto"/>
            <w:hideMark/>
          </w:tcPr>
          <w:p w14:paraId="5FFE1A7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16 331</w:t>
            </w:r>
          </w:p>
        </w:tc>
        <w:tc>
          <w:tcPr>
            <w:tcW w:w="947" w:type="dxa"/>
            <w:tcBorders>
              <w:top w:val="nil"/>
              <w:left w:val="nil"/>
              <w:bottom w:val="single" w:sz="8" w:space="0" w:color="auto"/>
              <w:right w:val="single" w:sz="4" w:space="0" w:color="auto"/>
            </w:tcBorders>
            <w:shd w:val="clear" w:color="auto" w:fill="auto"/>
            <w:hideMark/>
          </w:tcPr>
          <w:p w14:paraId="3249549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14 910</w:t>
            </w:r>
          </w:p>
        </w:tc>
        <w:tc>
          <w:tcPr>
            <w:tcW w:w="946" w:type="dxa"/>
            <w:tcBorders>
              <w:top w:val="nil"/>
              <w:left w:val="nil"/>
              <w:bottom w:val="single" w:sz="8" w:space="0" w:color="auto"/>
              <w:right w:val="single" w:sz="4" w:space="0" w:color="auto"/>
            </w:tcBorders>
            <w:shd w:val="clear" w:color="auto" w:fill="auto"/>
            <w:hideMark/>
          </w:tcPr>
          <w:p w14:paraId="423F022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11 515</w:t>
            </w:r>
          </w:p>
        </w:tc>
        <w:tc>
          <w:tcPr>
            <w:tcW w:w="1189" w:type="dxa"/>
            <w:tcBorders>
              <w:top w:val="nil"/>
              <w:left w:val="nil"/>
              <w:bottom w:val="single" w:sz="8" w:space="0" w:color="auto"/>
              <w:right w:val="single" w:sz="8" w:space="0" w:color="auto"/>
            </w:tcBorders>
            <w:shd w:val="clear" w:color="auto" w:fill="auto"/>
            <w:hideMark/>
          </w:tcPr>
          <w:p w14:paraId="0641FE6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8 426</w:t>
            </w:r>
          </w:p>
        </w:tc>
      </w:tr>
      <w:tr w:rsidR="005B6AF9" w:rsidRPr="004135FE" w14:paraId="0EFA56E4" w14:textId="77777777" w:rsidTr="00680E37">
        <w:trPr>
          <w:trHeight w:val="226"/>
        </w:trPr>
        <w:tc>
          <w:tcPr>
            <w:tcW w:w="554" w:type="dxa"/>
            <w:vMerge w:val="restart"/>
            <w:tcBorders>
              <w:top w:val="nil"/>
              <w:left w:val="single" w:sz="8" w:space="0" w:color="auto"/>
              <w:bottom w:val="single" w:sz="8" w:space="0" w:color="000000"/>
              <w:right w:val="single" w:sz="4" w:space="0" w:color="auto"/>
            </w:tcBorders>
            <w:shd w:val="clear" w:color="auto" w:fill="auto"/>
            <w:noWrap/>
            <w:textDirection w:val="btLr"/>
            <w:vAlign w:val="center"/>
            <w:hideMark/>
          </w:tcPr>
          <w:p w14:paraId="34CFAE68" w14:textId="77777777" w:rsidR="005B6AF9" w:rsidRPr="004135FE" w:rsidRDefault="005B6AF9"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2018г</w:t>
            </w:r>
          </w:p>
        </w:tc>
        <w:tc>
          <w:tcPr>
            <w:tcW w:w="485" w:type="dxa"/>
            <w:tcBorders>
              <w:top w:val="nil"/>
              <w:left w:val="nil"/>
              <w:bottom w:val="single" w:sz="4" w:space="0" w:color="auto"/>
              <w:right w:val="single" w:sz="4" w:space="0" w:color="auto"/>
            </w:tcBorders>
            <w:shd w:val="clear" w:color="auto" w:fill="auto"/>
            <w:hideMark/>
          </w:tcPr>
          <w:p w14:paraId="1E628EF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tcBorders>
              <w:top w:val="nil"/>
              <w:left w:val="single" w:sz="4" w:space="0" w:color="auto"/>
              <w:bottom w:val="single" w:sz="4" w:space="0" w:color="auto"/>
              <w:right w:val="single" w:sz="4" w:space="0" w:color="auto"/>
            </w:tcBorders>
            <w:shd w:val="clear" w:color="auto" w:fill="auto"/>
            <w:hideMark/>
          </w:tcPr>
          <w:p w14:paraId="46147D7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777" w:type="dxa"/>
            <w:tcBorders>
              <w:top w:val="nil"/>
              <w:left w:val="nil"/>
              <w:bottom w:val="single" w:sz="4" w:space="0" w:color="auto"/>
              <w:right w:val="single" w:sz="4" w:space="0" w:color="auto"/>
            </w:tcBorders>
            <w:shd w:val="clear" w:color="auto" w:fill="auto"/>
            <w:hideMark/>
          </w:tcPr>
          <w:p w14:paraId="1B1F0EB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1 914</w:t>
            </w:r>
          </w:p>
        </w:tc>
        <w:tc>
          <w:tcPr>
            <w:tcW w:w="893" w:type="dxa"/>
            <w:tcBorders>
              <w:top w:val="nil"/>
              <w:left w:val="nil"/>
              <w:bottom w:val="single" w:sz="4" w:space="0" w:color="auto"/>
              <w:right w:val="single" w:sz="4" w:space="0" w:color="auto"/>
            </w:tcBorders>
            <w:shd w:val="clear" w:color="auto" w:fill="auto"/>
            <w:hideMark/>
          </w:tcPr>
          <w:p w14:paraId="1185127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9 388</w:t>
            </w:r>
          </w:p>
        </w:tc>
        <w:tc>
          <w:tcPr>
            <w:tcW w:w="889" w:type="dxa"/>
            <w:tcBorders>
              <w:top w:val="nil"/>
              <w:left w:val="nil"/>
              <w:bottom w:val="single" w:sz="4" w:space="0" w:color="auto"/>
              <w:right w:val="single" w:sz="4" w:space="0" w:color="auto"/>
            </w:tcBorders>
            <w:shd w:val="clear" w:color="auto" w:fill="auto"/>
            <w:hideMark/>
          </w:tcPr>
          <w:p w14:paraId="39226D1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10 967</w:t>
            </w:r>
          </w:p>
        </w:tc>
        <w:tc>
          <w:tcPr>
            <w:tcW w:w="946" w:type="dxa"/>
            <w:tcBorders>
              <w:top w:val="nil"/>
              <w:left w:val="nil"/>
              <w:bottom w:val="single" w:sz="4" w:space="0" w:color="auto"/>
              <w:right w:val="single" w:sz="4" w:space="0" w:color="auto"/>
            </w:tcBorders>
            <w:shd w:val="clear" w:color="auto" w:fill="auto"/>
            <w:hideMark/>
          </w:tcPr>
          <w:p w14:paraId="78BF1F7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9 293</w:t>
            </w:r>
          </w:p>
        </w:tc>
        <w:tc>
          <w:tcPr>
            <w:tcW w:w="947" w:type="dxa"/>
            <w:tcBorders>
              <w:top w:val="nil"/>
              <w:left w:val="nil"/>
              <w:bottom w:val="single" w:sz="4" w:space="0" w:color="auto"/>
              <w:right w:val="single" w:sz="4" w:space="0" w:color="auto"/>
            </w:tcBorders>
            <w:shd w:val="clear" w:color="auto" w:fill="auto"/>
            <w:hideMark/>
          </w:tcPr>
          <w:p w14:paraId="5726B62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7 141</w:t>
            </w:r>
          </w:p>
        </w:tc>
        <w:tc>
          <w:tcPr>
            <w:tcW w:w="947" w:type="dxa"/>
            <w:tcBorders>
              <w:top w:val="nil"/>
              <w:left w:val="nil"/>
              <w:bottom w:val="single" w:sz="4" w:space="0" w:color="auto"/>
              <w:right w:val="single" w:sz="4" w:space="0" w:color="auto"/>
            </w:tcBorders>
            <w:shd w:val="clear" w:color="auto" w:fill="auto"/>
            <w:hideMark/>
          </w:tcPr>
          <w:p w14:paraId="0325D5C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9 181</w:t>
            </w:r>
          </w:p>
        </w:tc>
        <w:tc>
          <w:tcPr>
            <w:tcW w:w="947" w:type="dxa"/>
            <w:tcBorders>
              <w:top w:val="nil"/>
              <w:left w:val="nil"/>
              <w:bottom w:val="single" w:sz="4" w:space="0" w:color="auto"/>
              <w:right w:val="single" w:sz="4" w:space="0" w:color="auto"/>
            </w:tcBorders>
            <w:shd w:val="clear" w:color="auto" w:fill="auto"/>
            <w:hideMark/>
          </w:tcPr>
          <w:p w14:paraId="5D85DE5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35 066</w:t>
            </w:r>
          </w:p>
        </w:tc>
        <w:tc>
          <w:tcPr>
            <w:tcW w:w="947" w:type="dxa"/>
            <w:tcBorders>
              <w:top w:val="nil"/>
              <w:left w:val="nil"/>
              <w:bottom w:val="single" w:sz="4" w:space="0" w:color="auto"/>
              <w:right w:val="single" w:sz="4" w:space="0" w:color="auto"/>
            </w:tcBorders>
            <w:shd w:val="clear" w:color="auto" w:fill="auto"/>
            <w:hideMark/>
          </w:tcPr>
          <w:p w14:paraId="73AFCDA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29 089</w:t>
            </w:r>
          </w:p>
        </w:tc>
        <w:tc>
          <w:tcPr>
            <w:tcW w:w="947" w:type="dxa"/>
            <w:tcBorders>
              <w:top w:val="nil"/>
              <w:left w:val="nil"/>
              <w:bottom w:val="single" w:sz="4" w:space="0" w:color="auto"/>
              <w:right w:val="single" w:sz="4" w:space="0" w:color="auto"/>
            </w:tcBorders>
            <w:shd w:val="clear" w:color="auto" w:fill="auto"/>
            <w:hideMark/>
          </w:tcPr>
          <w:p w14:paraId="3A708D6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24 601</w:t>
            </w:r>
          </w:p>
        </w:tc>
        <w:tc>
          <w:tcPr>
            <w:tcW w:w="947" w:type="dxa"/>
            <w:tcBorders>
              <w:top w:val="nil"/>
              <w:left w:val="nil"/>
              <w:bottom w:val="single" w:sz="4" w:space="0" w:color="auto"/>
              <w:right w:val="single" w:sz="4" w:space="0" w:color="auto"/>
            </w:tcBorders>
            <w:shd w:val="clear" w:color="auto" w:fill="auto"/>
            <w:hideMark/>
          </w:tcPr>
          <w:p w14:paraId="0AED824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20 197</w:t>
            </w:r>
          </w:p>
        </w:tc>
        <w:tc>
          <w:tcPr>
            <w:tcW w:w="946" w:type="dxa"/>
            <w:tcBorders>
              <w:top w:val="nil"/>
              <w:left w:val="nil"/>
              <w:bottom w:val="single" w:sz="4" w:space="0" w:color="auto"/>
              <w:right w:val="single" w:sz="4" w:space="0" w:color="auto"/>
            </w:tcBorders>
            <w:shd w:val="clear" w:color="auto" w:fill="auto"/>
            <w:hideMark/>
          </w:tcPr>
          <w:p w14:paraId="54AAEFA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17 568</w:t>
            </w:r>
          </w:p>
        </w:tc>
        <w:tc>
          <w:tcPr>
            <w:tcW w:w="1189" w:type="dxa"/>
            <w:tcBorders>
              <w:top w:val="nil"/>
              <w:left w:val="nil"/>
              <w:bottom w:val="single" w:sz="4" w:space="0" w:color="auto"/>
              <w:right w:val="single" w:sz="8" w:space="0" w:color="auto"/>
            </w:tcBorders>
            <w:shd w:val="clear" w:color="auto" w:fill="auto"/>
            <w:hideMark/>
          </w:tcPr>
          <w:p w14:paraId="3CB88CB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14 888</w:t>
            </w:r>
          </w:p>
        </w:tc>
      </w:tr>
      <w:tr w:rsidR="005B6AF9" w:rsidRPr="004135FE" w14:paraId="31967E4E"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34E43495"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31C2041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tcBorders>
              <w:top w:val="nil"/>
              <w:left w:val="single" w:sz="4" w:space="0" w:color="auto"/>
              <w:bottom w:val="single" w:sz="4" w:space="0" w:color="auto"/>
              <w:right w:val="single" w:sz="4" w:space="0" w:color="auto"/>
            </w:tcBorders>
            <w:shd w:val="clear" w:color="auto" w:fill="auto"/>
            <w:hideMark/>
          </w:tcPr>
          <w:p w14:paraId="7B2460B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777" w:type="dxa"/>
            <w:tcBorders>
              <w:top w:val="nil"/>
              <w:left w:val="nil"/>
              <w:bottom w:val="single" w:sz="4" w:space="0" w:color="auto"/>
              <w:right w:val="single" w:sz="4" w:space="0" w:color="auto"/>
            </w:tcBorders>
            <w:shd w:val="clear" w:color="auto" w:fill="auto"/>
            <w:hideMark/>
          </w:tcPr>
          <w:p w14:paraId="3D9E3AD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3 183</w:t>
            </w:r>
          </w:p>
        </w:tc>
        <w:tc>
          <w:tcPr>
            <w:tcW w:w="893" w:type="dxa"/>
            <w:tcBorders>
              <w:top w:val="nil"/>
              <w:left w:val="nil"/>
              <w:bottom w:val="single" w:sz="4" w:space="0" w:color="auto"/>
              <w:right w:val="single" w:sz="4" w:space="0" w:color="auto"/>
            </w:tcBorders>
            <w:shd w:val="clear" w:color="auto" w:fill="auto"/>
            <w:hideMark/>
          </w:tcPr>
          <w:p w14:paraId="7A435FE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12 611</w:t>
            </w:r>
          </w:p>
        </w:tc>
        <w:tc>
          <w:tcPr>
            <w:tcW w:w="889" w:type="dxa"/>
            <w:tcBorders>
              <w:top w:val="nil"/>
              <w:left w:val="nil"/>
              <w:bottom w:val="single" w:sz="4" w:space="0" w:color="auto"/>
              <w:right w:val="single" w:sz="4" w:space="0" w:color="auto"/>
            </w:tcBorders>
            <w:shd w:val="clear" w:color="auto" w:fill="auto"/>
            <w:hideMark/>
          </w:tcPr>
          <w:p w14:paraId="05C41EE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11 975</w:t>
            </w:r>
          </w:p>
        </w:tc>
        <w:tc>
          <w:tcPr>
            <w:tcW w:w="946" w:type="dxa"/>
            <w:tcBorders>
              <w:top w:val="nil"/>
              <w:left w:val="nil"/>
              <w:bottom w:val="single" w:sz="4" w:space="0" w:color="auto"/>
              <w:right w:val="single" w:sz="4" w:space="0" w:color="auto"/>
            </w:tcBorders>
            <w:shd w:val="clear" w:color="auto" w:fill="auto"/>
            <w:hideMark/>
          </w:tcPr>
          <w:p w14:paraId="4FE25E0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9 182</w:t>
            </w:r>
          </w:p>
        </w:tc>
        <w:tc>
          <w:tcPr>
            <w:tcW w:w="947" w:type="dxa"/>
            <w:tcBorders>
              <w:top w:val="nil"/>
              <w:left w:val="nil"/>
              <w:bottom w:val="single" w:sz="4" w:space="0" w:color="auto"/>
              <w:right w:val="single" w:sz="4" w:space="0" w:color="auto"/>
            </w:tcBorders>
            <w:shd w:val="clear" w:color="auto" w:fill="auto"/>
            <w:hideMark/>
          </w:tcPr>
          <w:p w14:paraId="3A3F2CA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3 688</w:t>
            </w:r>
          </w:p>
        </w:tc>
        <w:tc>
          <w:tcPr>
            <w:tcW w:w="947" w:type="dxa"/>
            <w:tcBorders>
              <w:top w:val="nil"/>
              <w:left w:val="nil"/>
              <w:bottom w:val="single" w:sz="4" w:space="0" w:color="auto"/>
              <w:right w:val="single" w:sz="4" w:space="0" w:color="auto"/>
            </w:tcBorders>
            <w:shd w:val="clear" w:color="auto" w:fill="auto"/>
            <w:hideMark/>
          </w:tcPr>
          <w:p w14:paraId="24A00BC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1 717</w:t>
            </w:r>
          </w:p>
        </w:tc>
        <w:tc>
          <w:tcPr>
            <w:tcW w:w="947" w:type="dxa"/>
            <w:tcBorders>
              <w:top w:val="nil"/>
              <w:left w:val="nil"/>
              <w:bottom w:val="single" w:sz="4" w:space="0" w:color="auto"/>
              <w:right w:val="single" w:sz="4" w:space="0" w:color="auto"/>
            </w:tcBorders>
            <w:shd w:val="clear" w:color="auto" w:fill="auto"/>
            <w:hideMark/>
          </w:tcPr>
          <w:p w14:paraId="2AEFE13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18 221</w:t>
            </w:r>
          </w:p>
        </w:tc>
        <w:tc>
          <w:tcPr>
            <w:tcW w:w="947" w:type="dxa"/>
            <w:tcBorders>
              <w:top w:val="nil"/>
              <w:left w:val="nil"/>
              <w:bottom w:val="single" w:sz="4" w:space="0" w:color="auto"/>
              <w:right w:val="single" w:sz="4" w:space="0" w:color="auto"/>
            </w:tcBorders>
            <w:shd w:val="clear" w:color="auto" w:fill="auto"/>
            <w:hideMark/>
          </w:tcPr>
          <w:p w14:paraId="4F9F458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20 618</w:t>
            </w:r>
          </w:p>
        </w:tc>
        <w:tc>
          <w:tcPr>
            <w:tcW w:w="947" w:type="dxa"/>
            <w:tcBorders>
              <w:top w:val="nil"/>
              <w:left w:val="nil"/>
              <w:bottom w:val="single" w:sz="4" w:space="0" w:color="auto"/>
              <w:right w:val="single" w:sz="4" w:space="0" w:color="auto"/>
            </w:tcBorders>
            <w:shd w:val="clear" w:color="auto" w:fill="auto"/>
            <w:hideMark/>
          </w:tcPr>
          <w:p w14:paraId="2C3C453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12 972</w:t>
            </w:r>
          </w:p>
        </w:tc>
        <w:tc>
          <w:tcPr>
            <w:tcW w:w="947" w:type="dxa"/>
            <w:tcBorders>
              <w:top w:val="nil"/>
              <w:left w:val="nil"/>
              <w:bottom w:val="single" w:sz="4" w:space="0" w:color="auto"/>
              <w:right w:val="single" w:sz="4" w:space="0" w:color="auto"/>
            </w:tcBorders>
            <w:shd w:val="clear" w:color="auto" w:fill="auto"/>
            <w:hideMark/>
          </w:tcPr>
          <w:p w14:paraId="1F38D0D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9 509</w:t>
            </w:r>
          </w:p>
        </w:tc>
        <w:tc>
          <w:tcPr>
            <w:tcW w:w="946" w:type="dxa"/>
            <w:tcBorders>
              <w:top w:val="nil"/>
              <w:left w:val="nil"/>
              <w:bottom w:val="single" w:sz="4" w:space="0" w:color="auto"/>
              <w:right w:val="single" w:sz="4" w:space="0" w:color="auto"/>
            </w:tcBorders>
            <w:shd w:val="clear" w:color="auto" w:fill="auto"/>
            <w:hideMark/>
          </w:tcPr>
          <w:p w14:paraId="61AF700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5 581</w:t>
            </w:r>
          </w:p>
        </w:tc>
        <w:tc>
          <w:tcPr>
            <w:tcW w:w="1189" w:type="dxa"/>
            <w:tcBorders>
              <w:top w:val="nil"/>
              <w:left w:val="nil"/>
              <w:bottom w:val="single" w:sz="4" w:space="0" w:color="auto"/>
              <w:right w:val="single" w:sz="8" w:space="0" w:color="auto"/>
            </w:tcBorders>
            <w:shd w:val="clear" w:color="auto" w:fill="auto"/>
            <w:hideMark/>
          </w:tcPr>
          <w:p w14:paraId="226902A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3 360</w:t>
            </w:r>
          </w:p>
        </w:tc>
      </w:tr>
      <w:tr w:rsidR="005B6AF9" w:rsidRPr="004135FE" w14:paraId="1E4FF8EB"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7578496E"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22A5EBA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tcBorders>
              <w:top w:val="nil"/>
              <w:left w:val="single" w:sz="4" w:space="0" w:color="auto"/>
              <w:bottom w:val="single" w:sz="4" w:space="0" w:color="auto"/>
              <w:right w:val="single" w:sz="4" w:space="0" w:color="auto"/>
            </w:tcBorders>
            <w:shd w:val="clear" w:color="auto" w:fill="auto"/>
            <w:hideMark/>
          </w:tcPr>
          <w:p w14:paraId="524E7F0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777" w:type="dxa"/>
            <w:tcBorders>
              <w:top w:val="nil"/>
              <w:left w:val="nil"/>
              <w:bottom w:val="single" w:sz="4" w:space="0" w:color="auto"/>
              <w:right w:val="single" w:sz="4" w:space="0" w:color="auto"/>
            </w:tcBorders>
            <w:shd w:val="clear" w:color="auto" w:fill="auto"/>
            <w:hideMark/>
          </w:tcPr>
          <w:p w14:paraId="286CC23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2 501</w:t>
            </w:r>
          </w:p>
        </w:tc>
        <w:tc>
          <w:tcPr>
            <w:tcW w:w="893" w:type="dxa"/>
            <w:tcBorders>
              <w:top w:val="nil"/>
              <w:left w:val="nil"/>
              <w:bottom w:val="single" w:sz="4" w:space="0" w:color="auto"/>
              <w:right w:val="single" w:sz="4" w:space="0" w:color="auto"/>
            </w:tcBorders>
            <w:shd w:val="clear" w:color="auto" w:fill="auto"/>
            <w:hideMark/>
          </w:tcPr>
          <w:p w14:paraId="6F64273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10 907</w:t>
            </w:r>
          </w:p>
        </w:tc>
        <w:tc>
          <w:tcPr>
            <w:tcW w:w="889" w:type="dxa"/>
            <w:tcBorders>
              <w:top w:val="nil"/>
              <w:left w:val="nil"/>
              <w:bottom w:val="single" w:sz="4" w:space="0" w:color="auto"/>
              <w:right w:val="single" w:sz="4" w:space="0" w:color="auto"/>
            </w:tcBorders>
            <w:shd w:val="clear" w:color="auto" w:fill="auto"/>
            <w:hideMark/>
          </w:tcPr>
          <w:p w14:paraId="7041B51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12 556</w:t>
            </w:r>
          </w:p>
        </w:tc>
        <w:tc>
          <w:tcPr>
            <w:tcW w:w="946" w:type="dxa"/>
            <w:tcBorders>
              <w:top w:val="nil"/>
              <w:left w:val="nil"/>
              <w:bottom w:val="single" w:sz="4" w:space="0" w:color="auto"/>
              <w:right w:val="single" w:sz="4" w:space="0" w:color="auto"/>
            </w:tcBorders>
            <w:shd w:val="clear" w:color="auto" w:fill="auto"/>
            <w:hideMark/>
          </w:tcPr>
          <w:p w14:paraId="23CCDEB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10 141</w:t>
            </w:r>
          </w:p>
        </w:tc>
        <w:tc>
          <w:tcPr>
            <w:tcW w:w="947" w:type="dxa"/>
            <w:tcBorders>
              <w:top w:val="nil"/>
              <w:left w:val="nil"/>
              <w:bottom w:val="single" w:sz="4" w:space="0" w:color="auto"/>
              <w:right w:val="single" w:sz="4" w:space="0" w:color="auto"/>
            </w:tcBorders>
            <w:shd w:val="clear" w:color="auto" w:fill="auto"/>
            <w:hideMark/>
          </w:tcPr>
          <w:p w14:paraId="0589D91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4 660</w:t>
            </w:r>
          </w:p>
        </w:tc>
        <w:tc>
          <w:tcPr>
            <w:tcW w:w="947" w:type="dxa"/>
            <w:tcBorders>
              <w:top w:val="nil"/>
              <w:left w:val="nil"/>
              <w:bottom w:val="single" w:sz="4" w:space="0" w:color="auto"/>
              <w:right w:val="single" w:sz="4" w:space="0" w:color="auto"/>
            </w:tcBorders>
            <w:shd w:val="clear" w:color="auto" w:fill="auto"/>
            <w:hideMark/>
          </w:tcPr>
          <w:p w14:paraId="145A3EC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3 166</w:t>
            </w:r>
          </w:p>
        </w:tc>
        <w:tc>
          <w:tcPr>
            <w:tcW w:w="947" w:type="dxa"/>
            <w:tcBorders>
              <w:top w:val="nil"/>
              <w:left w:val="nil"/>
              <w:bottom w:val="single" w:sz="4" w:space="0" w:color="auto"/>
              <w:right w:val="single" w:sz="4" w:space="0" w:color="auto"/>
            </w:tcBorders>
            <w:shd w:val="clear" w:color="auto" w:fill="auto"/>
            <w:hideMark/>
          </w:tcPr>
          <w:p w14:paraId="6527B9C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25 364</w:t>
            </w:r>
          </w:p>
        </w:tc>
        <w:tc>
          <w:tcPr>
            <w:tcW w:w="947" w:type="dxa"/>
            <w:tcBorders>
              <w:top w:val="nil"/>
              <w:left w:val="nil"/>
              <w:bottom w:val="single" w:sz="4" w:space="0" w:color="auto"/>
              <w:right w:val="single" w:sz="4" w:space="0" w:color="auto"/>
            </w:tcBorders>
            <w:shd w:val="clear" w:color="auto" w:fill="auto"/>
            <w:hideMark/>
          </w:tcPr>
          <w:p w14:paraId="400DE9F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28 906</w:t>
            </w:r>
          </w:p>
        </w:tc>
        <w:tc>
          <w:tcPr>
            <w:tcW w:w="947" w:type="dxa"/>
            <w:tcBorders>
              <w:top w:val="nil"/>
              <w:left w:val="nil"/>
              <w:bottom w:val="single" w:sz="4" w:space="0" w:color="auto"/>
              <w:right w:val="single" w:sz="4" w:space="0" w:color="auto"/>
            </w:tcBorders>
            <w:shd w:val="clear" w:color="auto" w:fill="auto"/>
            <w:hideMark/>
          </w:tcPr>
          <w:p w14:paraId="70D4B1A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21 740</w:t>
            </w:r>
          </w:p>
        </w:tc>
        <w:tc>
          <w:tcPr>
            <w:tcW w:w="947" w:type="dxa"/>
            <w:tcBorders>
              <w:top w:val="nil"/>
              <w:left w:val="nil"/>
              <w:bottom w:val="single" w:sz="4" w:space="0" w:color="auto"/>
              <w:right w:val="single" w:sz="4" w:space="0" w:color="auto"/>
            </w:tcBorders>
            <w:shd w:val="clear" w:color="auto" w:fill="auto"/>
            <w:hideMark/>
          </w:tcPr>
          <w:p w14:paraId="2AB0D54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19 038</w:t>
            </w:r>
          </w:p>
        </w:tc>
        <w:tc>
          <w:tcPr>
            <w:tcW w:w="946" w:type="dxa"/>
            <w:tcBorders>
              <w:top w:val="nil"/>
              <w:left w:val="nil"/>
              <w:bottom w:val="single" w:sz="4" w:space="0" w:color="auto"/>
              <w:right w:val="single" w:sz="4" w:space="0" w:color="auto"/>
            </w:tcBorders>
            <w:shd w:val="clear" w:color="auto" w:fill="auto"/>
            <w:hideMark/>
          </w:tcPr>
          <w:p w14:paraId="5CF2A47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15 215</w:t>
            </w:r>
          </w:p>
        </w:tc>
        <w:tc>
          <w:tcPr>
            <w:tcW w:w="1189" w:type="dxa"/>
            <w:tcBorders>
              <w:top w:val="nil"/>
              <w:left w:val="nil"/>
              <w:bottom w:val="single" w:sz="4" w:space="0" w:color="auto"/>
              <w:right w:val="single" w:sz="8" w:space="0" w:color="auto"/>
            </w:tcBorders>
            <w:shd w:val="clear" w:color="auto" w:fill="auto"/>
            <w:hideMark/>
          </w:tcPr>
          <w:p w14:paraId="639D22E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12 267</w:t>
            </w:r>
          </w:p>
        </w:tc>
      </w:tr>
      <w:tr w:rsidR="005B6AF9" w:rsidRPr="004135FE" w14:paraId="019A1A59"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7D0D076A"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77E2689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tcBorders>
              <w:top w:val="nil"/>
              <w:left w:val="single" w:sz="4" w:space="0" w:color="auto"/>
              <w:bottom w:val="single" w:sz="4" w:space="0" w:color="auto"/>
              <w:right w:val="single" w:sz="4" w:space="0" w:color="auto"/>
            </w:tcBorders>
            <w:shd w:val="clear" w:color="auto" w:fill="auto"/>
            <w:hideMark/>
          </w:tcPr>
          <w:p w14:paraId="43D439A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777" w:type="dxa"/>
            <w:tcBorders>
              <w:top w:val="nil"/>
              <w:left w:val="nil"/>
              <w:bottom w:val="single" w:sz="4" w:space="0" w:color="auto"/>
              <w:right w:val="single" w:sz="4" w:space="0" w:color="auto"/>
            </w:tcBorders>
            <w:shd w:val="clear" w:color="auto" w:fill="auto"/>
            <w:hideMark/>
          </w:tcPr>
          <w:p w14:paraId="3FB4CE2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1 832</w:t>
            </w:r>
          </w:p>
        </w:tc>
        <w:tc>
          <w:tcPr>
            <w:tcW w:w="893" w:type="dxa"/>
            <w:tcBorders>
              <w:top w:val="nil"/>
              <w:left w:val="nil"/>
              <w:bottom w:val="single" w:sz="4" w:space="0" w:color="auto"/>
              <w:right w:val="single" w:sz="4" w:space="0" w:color="auto"/>
            </w:tcBorders>
            <w:shd w:val="clear" w:color="auto" w:fill="auto"/>
            <w:hideMark/>
          </w:tcPr>
          <w:p w14:paraId="16558C2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9 473</w:t>
            </w:r>
          </w:p>
        </w:tc>
        <w:tc>
          <w:tcPr>
            <w:tcW w:w="889" w:type="dxa"/>
            <w:tcBorders>
              <w:top w:val="nil"/>
              <w:left w:val="nil"/>
              <w:bottom w:val="single" w:sz="4" w:space="0" w:color="auto"/>
              <w:right w:val="single" w:sz="4" w:space="0" w:color="auto"/>
            </w:tcBorders>
            <w:shd w:val="clear" w:color="auto" w:fill="auto"/>
            <w:hideMark/>
          </w:tcPr>
          <w:p w14:paraId="6AED9F4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11 154</w:t>
            </w:r>
          </w:p>
        </w:tc>
        <w:tc>
          <w:tcPr>
            <w:tcW w:w="946" w:type="dxa"/>
            <w:tcBorders>
              <w:top w:val="nil"/>
              <w:left w:val="nil"/>
              <w:bottom w:val="single" w:sz="4" w:space="0" w:color="auto"/>
              <w:right w:val="single" w:sz="4" w:space="0" w:color="auto"/>
            </w:tcBorders>
            <w:shd w:val="clear" w:color="auto" w:fill="auto"/>
            <w:hideMark/>
          </w:tcPr>
          <w:p w14:paraId="3904906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9 137</w:t>
            </w:r>
          </w:p>
        </w:tc>
        <w:tc>
          <w:tcPr>
            <w:tcW w:w="947" w:type="dxa"/>
            <w:tcBorders>
              <w:top w:val="nil"/>
              <w:left w:val="nil"/>
              <w:bottom w:val="single" w:sz="4" w:space="0" w:color="auto"/>
              <w:right w:val="single" w:sz="4" w:space="0" w:color="auto"/>
            </w:tcBorders>
            <w:shd w:val="clear" w:color="auto" w:fill="auto"/>
            <w:hideMark/>
          </w:tcPr>
          <w:p w14:paraId="7F25AEC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7 270</w:t>
            </w:r>
          </w:p>
        </w:tc>
        <w:tc>
          <w:tcPr>
            <w:tcW w:w="947" w:type="dxa"/>
            <w:tcBorders>
              <w:top w:val="nil"/>
              <w:left w:val="nil"/>
              <w:bottom w:val="single" w:sz="4" w:space="0" w:color="auto"/>
              <w:right w:val="single" w:sz="4" w:space="0" w:color="auto"/>
            </w:tcBorders>
            <w:shd w:val="clear" w:color="auto" w:fill="auto"/>
            <w:hideMark/>
          </w:tcPr>
          <w:p w14:paraId="63AF6BA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11 842</w:t>
            </w:r>
          </w:p>
        </w:tc>
        <w:tc>
          <w:tcPr>
            <w:tcW w:w="947" w:type="dxa"/>
            <w:tcBorders>
              <w:top w:val="nil"/>
              <w:left w:val="nil"/>
              <w:bottom w:val="single" w:sz="4" w:space="0" w:color="auto"/>
              <w:right w:val="single" w:sz="4" w:space="0" w:color="auto"/>
            </w:tcBorders>
            <w:shd w:val="clear" w:color="auto" w:fill="auto"/>
            <w:hideMark/>
          </w:tcPr>
          <w:p w14:paraId="5BC0B6D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42 460</w:t>
            </w:r>
          </w:p>
        </w:tc>
        <w:tc>
          <w:tcPr>
            <w:tcW w:w="947" w:type="dxa"/>
            <w:tcBorders>
              <w:top w:val="nil"/>
              <w:left w:val="nil"/>
              <w:bottom w:val="single" w:sz="4" w:space="0" w:color="auto"/>
              <w:right w:val="single" w:sz="4" w:space="0" w:color="auto"/>
            </w:tcBorders>
            <w:shd w:val="clear" w:color="auto" w:fill="auto"/>
            <w:hideMark/>
          </w:tcPr>
          <w:p w14:paraId="0B33F8A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28 362</w:t>
            </w:r>
          </w:p>
        </w:tc>
        <w:tc>
          <w:tcPr>
            <w:tcW w:w="947" w:type="dxa"/>
            <w:tcBorders>
              <w:top w:val="nil"/>
              <w:left w:val="nil"/>
              <w:bottom w:val="single" w:sz="4" w:space="0" w:color="auto"/>
              <w:right w:val="single" w:sz="4" w:space="0" w:color="auto"/>
            </w:tcBorders>
            <w:shd w:val="clear" w:color="auto" w:fill="auto"/>
            <w:hideMark/>
          </w:tcPr>
          <w:p w14:paraId="63D7EE1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22 719</w:t>
            </w:r>
          </w:p>
        </w:tc>
        <w:tc>
          <w:tcPr>
            <w:tcW w:w="947" w:type="dxa"/>
            <w:tcBorders>
              <w:top w:val="nil"/>
              <w:left w:val="nil"/>
              <w:bottom w:val="single" w:sz="4" w:space="0" w:color="auto"/>
              <w:right w:val="single" w:sz="4" w:space="0" w:color="auto"/>
            </w:tcBorders>
            <w:shd w:val="clear" w:color="auto" w:fill="auto"/>
            <w:hideMark/>
          </w:tcPr>
          <w:p w14:paraId="6DD6FCF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19 572</w:t>
            </w:r>
          </w:p>
        </w:tc>
        <w:tc>
          <w:tcPr>
            <w:tcW w:w="946" w:type="dxa"/>
            <w:tcBorders>
              <w:top w:val="nil"/>
              <w:left w:val="nil"/>
              <w:bottom w:val="single" w:sz="4" w:space="0" w:color="auto"/>
              <w:right w:val="single" w:sz="4" w:space="0" w:color="auto"/>
            </w:tcBorders>
            <w:shd w:val="clear" w:color="auto" w:fill="auto"/>
            <w:hideMark/>
          </w:tcPr>
          <w:p w14:paraId="6BB38A8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16 467</w:t>
            </w:r>
          </w:p>
        </w:tc>
        <w:tc>
          <w:tcPr>
            <w:tcW w:w="1189" w:type="dxa"/>
            <w:tcBorders>
              <w:top w:val="nil"/>
              <w:left w:val="nil"/>
              <w:bottom w:val="single" w:sz="4" w:space="0" w:color="auto"/>
              <w:right w:val="single" w:sz="8" w:space="0" w:color="auto"/>
            </w:tcBorders>
            <w:shd w:val="clear" w:color="auto" w:fill="auto"/>
            <w:hideMark/>
          </w:tcPr>
          <w:p w14:paraId="61D69EE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13 981</w:t>
            </w:r>
          </w:p>
        </w:tc>
      </w:tr>
      <w:tr w:rsidR="005B6AF9" w:rsidRPr="004135FE" w14:paraId="0F9C9DB7"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0FF17E6F"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3E8C215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tcBorders>
              <w:top w:val="nil"/>
              <w:left w:val="single" w:sz="4" w:space="0" w:color="auto"/>
              <w:bottom w:val="single" w:sz="4" w:space="0" w:color="auto"/>
              <w:right w:val="single" w:sz="4" w:space="0" w:color="auto"/>
            </w:tcBorders>
            <w:shd w:val="clear" w:color="auto" w:fill="auto"/>
            <w:hideMark/>
          </w:tcPr>
          <w:p w14:paraId="20E81B1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777" w:type="dxa"/>
            <w:tcBorders>
              <w:top w:val="nil"/>
              <w:left w:val="nil"/>
              <w:bottom w:val="single" w:sz="4" w:space="0" w:color="auto"/>
              <w:right w:val="single" w:sz="4" w:space="0" w:color="auto"/>
            </w:tcBorders>
            <w:shd w:val="clear" w:color="auto" w:fill="auto"/>
            <w:hideMark/>
          </w:tcPr>
          <w:p w14:paraId="036391D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1 502</w:t>
            </w:r>
          </w:p>
        </w:tc>
        <w:tc>
          <w:tcPr>
            <w:tcW w:w="893" w:type="dxa"/>
            <w:tcBorders>
              <w:top w:val="nil"/>
              <w:left w:val="nil"/>
              <w:bottom w:val="single" w:sz="4" w:space="0" w:color="auto"/>
              <w:right w:val="single" w:sz="4" w:space="0" w:color="auto"/>
            </w:tcBorders>
            <w:shd w:val="clear" w:color="auto" w:fill="auto"/>
            <w:hideMark/>
          </w:tcPr>
          <w:p w14:paraId="1DDF2BE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7 003</w:t>
            </w:r>
          </w:p>
        </w:tc>
        <w:tc>
          <w:tcPr>
            <w:tcW w:w="889" w:type="dxa"/>
            <w:tcBorders>
              <w:top w:val="nil"/>
              <w:left w:val="nil"/>
              <w:bottom w:val="single" w:sz="4" w:space="0" w:color="auto"/>
              <w:right w:val="single" w:sz="4" w:space="0" w:color="auto"/>
            </w:tcBorders>
            <w:shd w:val="clear" w:color="auto" w:fill="auto"/>
            <w:hideMark/>
          </w:tcPr>
          <w:p w14:paraId="15A39F8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8 058</w:t>
            </w:r>
          </w:p>
        </w:tc>
        <w:tc>
          <w:tcPr>
            <w:tcW w:w="946" w:type="dxa"/>
            <w:tcBorders>
              <w:top w:val="nil"/>
              <w:left w:val="nil"/>
              <w:bottom w:val="single" w:sz="4" w:space="0" w:color="auto"/>
              <w:right w:val="single" w:sz="4" w:space="0" w:color="auto"/>
            </w:tcBorders>
            <w:shd w:val="clear" w:color="auto" w:fill="auto"/>
            <w:hideMark/>
          </w:tcPr>
          <w:p w14:paraId="412C8FE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6 381</w:t>
            </w:r>
          </w:p>
        </w:tc>
        <w:tc>
          <w:tcPr>
            <w:tcW w:w="947" w:type="dxa"/>
            <w:tcBorders>
              <w:top w:val="nil"/>
              <w:left w:val="nil"/>
              <w:bottom w:val="single" w:sz="4" w:space="0" w:color="auto"/>
              <w:right w:val="single" w:sz="4" w:space="0" w:color="auto"/>
            </w:tcBorders>
            <w:shd w:val="clear" w:color="auto" w:fill="auto"/>
            <w:hideMark/>
          </w:tcPr>
          <w:p w14:paraId="65998D2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3 361</w:t>
            </w:r>
          </w:p>
        </w:tc>
        <w:tc>
          <w:tcPr>
            <w:tcW w:w="947" w:type="dxa"/>
            <w:tcBorders>
              <w:top w:val="nil"/>
              <w:left w:val="nil"/>
              <w:bottom w:val="single" w:sz="4" w:space="0" w:color="auto"/>
              <w:right w:val="single" w:sz="4" w:space="0" w:color="auto"/>
            </w:tcBorders>
            <w:shd w:val="clear" w:color="auto" w:fill="auto"/>
            <w:hideMark/>
          </w:tcPr>
          <w:p w14:paraId="4EC8CAC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2 630</w:t>
            </w:r>
          </w:p>
        </w:tc>
        <w:tc>
          <w:tcPr>
            <w:tcW w:w="947" w:type="dxa"/>
            <w:tcBorders>
              <w:top w:val="nil"/>
              <w:left w:val="nil"/>
              <w:bottom w:val="single" w:sz="4" w:space="0" w:color="auto"/>
              <w:right w:val="single" w:sz="4" w:space="0" w:color="auto"/>
            </w:tcBorders>
            <w:shd w:val="clear" w:color="auto" w:fill="auto"/>
            <w:hideMark/>
          </w:tcPr>
          <w:p w14:paraId="0818750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15 281</w:t>
            </w:r>
          </w:p>
        </w:tc>
        <w:tc>
          <w:tcPr>
            <w:tcW w:w="947" w:type="dxa"/>
            <w:tcBorders>
              <w:top w:val="nil"/>
              <w:left w:val="nil"/>
              <w:bottom w:val="single" w:sz="4" w:space="0" w:color="auto"/>
              <w:right w:val="single" w:sz="4" w:space="0" w:color="auto"/>
            </w:tcBorders>
            <w:shd w:val="clear" w:color="auto" w:fill="auto"/>
            <w:hideMark/>
          </w:tcPr>
          <w:p w14:paraId="2D4DAE7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16 748</w:t>
            </w:r>
          </w:p>
        </w:tc>
        <w:tc>
          <w:tcPr>
            <w:tcW w:w="947" w:type="dxa"/>
            <w:tcBorders>
              <w:top w:val="nil"/>
              <w:left w:val="nil"/>
              <w:bottom w:val="single" w:sz="4" w:space="0" w:color="auto"/>
              <w:right w:val="single" w:sz="4" w:space="0" w:color="auto"/>
            </w:tcBorders>
            <w:shd w:val="clear" w:color="auto" w:fill="auto"/>
            <w:hideMark/>
          </w:tcPr>
          <w:p w14:paraId="182AAB7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12 474</w:t>
            </w:r>
          </w:p>
        </w:tc>
        <w:tc>
          <w:tcPr>
            <w:tcW w:w="947" w:type="dxa"/>
            <w:tcBorders>
              <w:top w:val="nil"/>
              <w:left w:val="nil"/>
              <w:bottom w:val="single" w:sz="4" w:space="0" w:color="auto"/>
              <w:right w:val="single" w:sz="4" w:space="0" w:color="auto"/>
            </w:tcBorders>
            <w:shd w:val="clear" w:color="auto" w:fill="auto"/>
            <w:hideMark/>
          </w:tcPr>
          <w:p w14:paraId="380038A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10 342</w:t>
            </w:r>
          </w:p>
        </w:tc>
        <w:tc>
          <w:tcPr>
            <w:tcW w:w="946" w:type="dxa"/>
            <w:tcBorders>
              <w:top w:val="nil"/>
              <w:left w:val="nil"/>
              <w:bottom w:val="single" w:sz="4" w:space="0" w:color="auto"/>
              <w:right w:val="single" w:sz="4" w:space="0" w:color="auto"/>
            </w:tcBorders>
            <w:shd w:val="clear" w:color="auto" w:fill="auto"/>
            <w:hideMark/>
          </w:tcPr>
          <w:p w14:paraId="7B8A9C1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7 871</w:t>
            </w:r>
          </w:p>
        </w:tc>
        <w:tc>
          <w:tcPr>
            <w:tcW w:w="1189" w:type="dxa"/>
            <w:tcBorders>
              <w:top w:val="nil"/>
              <w:left w:val="nil"/>
              <w:bottom w:val="single" w:sz="4" w:space="0" w:color="auto"/>
              <w:right w:val="single" w:sz="8" w:space="0" w:color="auto"/>
            </w:tcBorders>
            <w:shd w:val="clear" w:color="auto" w:fill="auto"/>
            <w:hideMark/>
          </w:tcPr>
          <w:p w14:paraId="0F92D90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5 525</w:t>
            </w:r>
          </w:p>
        </w:tc>
      </w:tr>
    </w:tbl>
    <w:p w14:paraId="457157F2" w14:textId="77777777" w:rsidR="00680E37" w:rsidRDefault="00680E37" w:rsidP="00680E3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Продолжение таблицы А3</w:t>
      </w:r>
    </w:p>
    <w:p w14:paraId="346FF0B0" w14:textId="77777777" w:rsidR="00680E37" w:rsidRPr="00680E37" w:rsidRDefault="00680E37">
      <w:pPr>
        <w:rPr>
          <w:sz w:val="6"/>
          <w:szCs w:val="6"/>
        </w:rPr>
      </w:pPr>
    </w:p>
    <w:tbl>
      <w:tblPr>
        <w:tblW w:w="14459" w:type="dxa"/>
        <w:tblInd w:w="-25" w:type="dxa"/>
        <w:tblLook w:val="04A0" w:firstRow="1" w:lastRow="0" w:firstColumn="1" w:lastColumn="0" w:noHBand="0" w:noVBand="1"/>
      </w:tblPr>
      <w:tblGrid>
        <w:gridCol w:w="554"/>
        <w:gridCol w:w="485"/>
        <w:gridCol w:w="2098"/>
        <w:gridCol w:w="777"/>
        <w:gridCol w:w="893"/>
        <w:gridCol w:w="889"/>
        <w:gridCol w:w="946"/>
        <w:gridCol w:w="947"/>
        <w:gridCol w:w="947"/>
        <w:gridCol w:w="947"/>
        <w:gridCol w:w="947"/>
        <w:gridCol w:w="947"/>
        <w:gridCol w:w="947"/>
        <w:gridCol w:w="946"/>
        <w:gridCol w:w="1189"/>
      </w:tblGrid>
      <w:tr w:rsidR="005B6AF9" w:rsidRPr="004135FE" w14:paraId="29160455" w14:textId="77777777" w:rsidTr="00680E37">
        <w:trPr>
          <w:trHeight w:val="226"/>
        </w:trPr>
        <w:tc>
          <w:tcPr>
            <w:tcW w:w="554" w:type="dxa"/>
            <w:vMerge w:val="restart"/>
            <w:tcBorders>
              <w:top w:val="single" w:sz="4" w:space="0" w:color="auto"/>
              <w:left w:val="single" w:sz="4" w:space="0" w:color="auto"/>
              <w:bottom w:val="single" w:sz="4" w:space="0" w:color="auto"/>
              <w:right w:val="single" w:sz="4" w:space="0" w:color="auto"/>
            </w:tcBorders>
            <w:vAlign w:val="center"/>
            <w:hideMark/>
          </w:tcPr>
          <w:p w14:paraId="065B237E"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single" w:sz="4" w:space="0" w:color="auto"/>
              <w:left w:val="nil"/>
              <w:bottom w:val="single" w:sz="4" w:space="0" w:color="auto"/>
              <w:right w:val="single" w:sz="4" w:space="0" w:color="auto"/>
            </w:tcBorders>
            <w:shd w:val="clear" w:color="auto" w:fill="auto"/>
            <w:hideMark/>
          </w:tcPr>
          <w:p w14:paraId="716D3A1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tcBorders>
              <w:top w:val="single" w:sz="4" w:space="0" w:color="auto"/>
              <w:left w:val="single" w:sz="4" w:space="0" w:color="auto"/>
              <w:bottom w:val="single" w:sz="4" w:space="0" w:color="auto"/>
              <w:right w:val="single" w:sz="4" w:space="0" w:color="auto"/>
            </w:tcBorders>
            <w:shd w:val="clear" w:color="auto" w:fill="auto"/>
            <w:hideMark/>
          </w:tcPr>
          <w:p w14:paraId="065B643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777" w:type="dxa"/>
            <w:tcBorders>
              <w:top w:val="single" w:sz="4" w:space="0" w:color="auto"/>
              <w:left w:val="nil"/>
              <w:bottom w:val="single" w:sz="4" w:space="0" w:color="auto"/>
              <w:right w:val="single" w:sz="4" w:space="0" w:color="auto"/>
            </w:tcBorders>
            <w:shd w:val="clear" w:color="auto" w:fill="auto"/>
            <w:hideMark/>
          </w:tcPr>
          <w:p w14:paraId="7B20919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1 699</w:t>
            </w:r>
          </w:p>
        </w:tc>
        <w:tc>
          <w:tcPr>
            <w:tcW w:w="893" w:type="dxa"/>
            <w:tcBorders>
              <w:top w:val="single" w:sz="4" w:space="0" w:color="auto"/>
              <w:left w:val="nil"/>
              <w:bottom w:val="single" w:sz="4" w:space="0" w:color="auto"/>
              <w:right w:val="single" w:sz="4" w:space="0" w:color="auto"/>
            </w:tcBorders>
            <w:shd w:val="clear" w:color="auto" w:fill="auto"/>
            <w:hideMark/>
          </w:tcPr>
          <w:p w14:paraId="2B7DE7C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8 431</w:t>
            </w:r>
          </w:p>
        </w:tc>
        <w:tc>
          <w:tcPr>
            <w:tcW w:w="889" w:type="dxa"/>
            <w:tcBorders>
              <w:top w:val="single" w:sz="4" w:space="0" w:color="auto"/>
              <w:left w:val="nil"/>
              <w:bottom w:val="single" w:sz="4" w:space="0" w:color="auto"/>
              <w:right w:val="single" w:sz="4" w:space="0" w:color="auto"/>
            </w:tcBorders>
            <w:shd w:val="clear" w:color="auto" w:fill="auto"/>
            <w:hideMark/>
          </w:tcPr>
          <w:p w14:paraId="1831B7C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10 237</w:t>
            </w:r>
          </w:p>
        </w:tc>
        <w:tc>
          <w:tcPr>
            <w:tcW w:w="946" w:type="dxa"/>
            <w:tcBorders>
              <w:top w:val="single" w:sz="4" w:space="0" w:color="auto"/>
              <w:left w:val="nil"/>
              <w:bottom w:val="single" w:sz="4" w:space="0" w:color="auto"/>
              <w:right w:val="single" w:sz="4" w:space="0" w:color="auto"/>
            </w:tcBorders>
            <w:shd w:val="clear" w:color="auto" w:fill="auto"/>
            <w:hideMark/>
          </w:tcPr>
          <w:p w14:paraId="46650CA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9 159</w:t>
            </w:r>
          </w:p>
        </w:tc>
        <w:tc>
          <w:tcPr>
            <w:tcW w:w="947" w:type="dxa"/>
            <w:tcBorders>
              <w:top w:val="single" w:sz="4" w:space="0" w:color="auto"/>
              <w:left w:val="nil"/>
              <w:bottom w:val="single" w:sz="4" w:space="0" w:color="auto"/>
              <w:right w:val="single" w:sz="4" w:space="0" w:color="auto"/>
            </w:tcBorders>
            <w:shd w:val="clear" w:color="auto" w:fill="auto"/>
            <w:hideMark/>
          </w:tcPr>
          <w:p w14:paraId="2DA2A8E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4 927</w:t>
            </w:r>
          </w:p>
        </w:tc>
        <w:tc>
          <w:tcPr>
            <w:tcW w:w="947" w:type="dxa"/>
            <w:tcBorders>
              <w:top w:val="single" w:sz="4" w:space="0" w:color="auto"/>
              <w:left w:val="nil"/>
              <w:bottom w:val="single" w:sz="4" w:space="0" w:color="auto"/>
              <w:right w:val="single" w:sz="4" w:space="0" w:color="auto"/>
            </w:tcBorders>
            <w:shd w:val="clear" w:color="auto" w:fill="auto"/>
            <w:hideMark/>
          </w:tcPr>
          <w:p w14:paraId="543657A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5 735</w:t>
            </w:r>
          </w:p>
        </w:tc>
        <w:tc>
          <w:tcPr>
            <w:tcW w:w="947" w:type="dxa"/>
            <w:tcBorders>
              <w:top w:val="single" w:sz="4" w:space="0" w:color="auto"/>
              <w:left w:val="nil"/>
              <w:bottom w:val="single" w:sz="4" w:space="0" w:color="auto"/>
              <w:right w:val="single" w:sz="4" w:space="0" w:color="auto"/>
            </w:tcBorders>
            <w:shd w:val="clear" w:color="auto" w:fill="auto"/>
            <w:hideMark/>
          </w:tcPr>
          <w:p w14:paraId="43CE2C5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20 661</w:t>
            </w:r>
          </w:p>
        </w:tc>
        <w:tc>
          <w:tcPr>
            <w:tcW w:w="947" w:type="dxa"/>
            <w:tcBorders>
              <w:top w:val="single" w:sz="4" w:space="0" w:color="auto"/>
              <w:left w:val="nil"/>
              <w:bottom w:val="single" w:sz="4" w:space="0" w:color="auto"/>
              <w:right w:val="single" w:sz="4" w:space="0" w:color="auto"/>
            </w:tcBorders>
            <w:shd w:val="clear" w:color="auto" w:fill="auto"/>
            <w:hideMark/>
          </w:tcPr>
          <w:p w14:paraId="5787CAB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19 621</w:t>
            </w:r>
          </w:p>
        </w:tc>
        <w:tc>
          <w:tcPr>
            <w:tcW w:w="947" w:type="dxa"/>
            <w:tcBorders>
              <w:top w:val="single" w:sz="4" w:space="0" w:color="auto"/>
              <w:left w:val="nil"/>
              <w:bottom w:val="single" w:sz="4" w:space="0" w:color="auto"/>
              <w:right w:val="single" w:sz="4" w:space="0" w:color="auto"/>
            </w:tcBorders>
            <w:shd w:val="clear" w:color="auto" w:fill="auto"/>
            <w:hideMark/>
          </w:tcPr>
          <w:p w14:paraId="0F77ADE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14 949</w:t>
            </w:r>
          </w:p>
        </w:tc>
        <w:tc>
          <w:tcPr>
            <w:tcW w:w="947" w:type="dxa"/>
            <w:tcBorders>
              <w:top w:val="single" w:sz="4" w:space="0" w:color="auto"/>
              <w:left w:val="nil"/>
              <w:bottom w:val="single" w:sz="4" w:space="0" w:color="auto"/>
              <w:right w:val="single" w:sz="4" w:space="0" w:color="auto"/>
            </w:tcBorders>
            <w:shd w:val="clear" w:color="auto" w:fill="auto"/>
            <w:hideMark/>
          </w:tcPr>
          <w:p w14:paraId="7D5793A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13 067</w:t>
            </w:r>
          </w:p>
        </w:tc>
        <w:tc>
          <w:tcPr>
            <w:tcW w:w="946" w:type="dxa"/>
            <w:tcBorders>
              <w:top w:val="single" w:sz="4" w:space="0" w:color="auto"/>
              <w:left w:val="nil"/>
              <w:bottom w:val="single" w:sz="4" w:space="0" w:color="auto"/>
              <w:right w:val="single" w:sz="4" w:space="0" w:color="auto"/>
            </w:tcBorders>
            <w:shd w:val="clear" w:color="auto" w:fill="auto"/>
            <w:hideMark/>
          </w:tcPr>
          <w:p w14:paraId="23C8E0A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10 719</w:t>
            </w:r>
          </w:p>
        </w:tc>
        <w:tc>
          <w:tcPr>
            <w:tcW w:w="1189" w:type="dxa"/>
            <w:tcBorders>
              <w:top w:val="single" w:sz="4" w:space="0" w:color="auto"/>
              <w:left w:val="nil"/>
              <w:bottom w:val="single" w:sz="4" w:space="0" w:color="auto"/>
              <w:right w:val="single" w:sz="4" w:space="0" w:color="auto"/>
            </w:tcBorders>
            <w:shd w:val="clear" w:color="auto" w:fill="auto"/>
            <w:hideMark/>
          </w:tcPr>
          <w:p w14:paraId="6C5F8FA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8 610</w:t>
            </w:r>
          </w:p>
        </w:tc>
      </w:tr>
      <w:tr w:rsidR="005B6AF9" w:rsidRPr="004135FE" w14:paraId="29990A63" w14:textId="77777777" w:rsidTr="00680E37">
        <w:trPr>
          <w:trHeight w:val="226"/>
        </w:trPr>
        <w:tc>
          <w:tcPr>
            <w:tcW w:w="554" w:type="dxa"/>
            <w:vMerge/>
            <w:tcBorders>
              <w:top w:val="single" w:sz="4" w:space="0" w:color="auto"/>
              <w:left w:val="single" w:sz="4" w:space="0" w:color="auto"/>
              <w:bottom w:val="single" w:sz="4" w:space="0" w:color="auto"/>
              <w:right w:val="single" w:sz="4" w:space="0" w:color="auto"/>
            </w:tcBorders>
            <w:vAlign w:val="center"/>
            <w:hideMark/>
          </w:tcPr>
          <w:p w14:paraId="4CB0F9A2"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single" w:sz="4" w:space="0" w:color="auto"/>
              <w:left w:val="nil"/>
              <w:bottom w:val="single" w:sz="4" w:space="0" w:color="auto"/>
              <w:right w:val="single" w:sz="4" w:space="0" w:color="auto"/>
            </w:tcBorders>
            <w:shd w:val="clear" w:color="auto" w:fill="auto"/>
            <w:hideMark/>
          </w:tcPr>
          <w:p w14:paraId="3C65A40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tcBorders>
              <w:top w:val="single" w:sz="4" w:space="0" w:color="auto"/>
              <w:left w:val="single" w:sz="4" w:space="0" w:color="auto"/>
              <w:bottom w:val="single" w:sz="4" w:space="0" w:color="auto"/>
              <w:right w:val="single" w:sz="4" w:space="0" w:color="auto"/>
            </w:tcBorders>
            <w:shd w:val="clear" w:color="auto" w:fill="auto"/>
            <w:hideMark/>
          </w:tcPr>
          <w:p w14:paraId="2251804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777" w:type="dxa"/>
            <w:tcBorders>
              <w:top w:val="single" w:sz="4" w:space="0" w:color="auto"/>
              <w:left w:val="nil"/>
              <w:bottom w:val="single" w:sz="4" w:space="0" w:color="auto"/>
              <w:right w:val="single" w:sz="4" w:space="0" w:color="auto"/>
            </w:tcBorders>
            <w:shd w:val="clear" w:color="auto" w:fill="auto"/>
            <w:hideMark/>
          </w:tcPr>
          <w:p w14:paraId="2BB2C2F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1 259</w:t>
            </w:r>
          </w:p>
        </w:tc>
        <w:tc>
          <w:tcPr>
            <w:tcW w:w="893" w:type="dxa"/>
            <w:tcBorders>
              <w:top w:val="single" w:sz="4" w:space="0" w:color="auto"/>
              <w:left w:val="nil"/>
              <w:bottom w:val="single" w:sz="4" w:space="0" w:color="auto"/>
              <w:right w:val="single" w:sz="4" w:space="0" w:color="auto"/>
            </w:tcBorders>
            <w:shd w:val="clear" w:color="auto" w:fill="auto"/>
            <w:hideMark/>
          </w:tcPr>
          <w:p w14:paraId="03EE46C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5 296</w:t>
            </w:r>
          </w:p>
        </w:tc>
        <w:tc>
          <w:tcPr>
            <w:tcW w:w="889" w:type="dxa"/>
            <w:tcBorders>
              <w:top w:val="single" w:sz="4" w:space="0" w:color="auto"/>
              <w:left w:val="nil"/>
              <w:bottom w:val="single" w:sz="4" w:space="0" w:color="auto"/>
              <w:right w:val="single" w:sz="4" w:space="0" w:color="auto"/>
            </w:tcBorders>
            <w:shd w:val="clear" w:color="auto" w:fill="auto"/>
            <w:hideMark/>
          </w:tcPr>
          <w:p w14:paraId="671E6AA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4 908</w:t>
            </w:r>
          </w:p>
        </w:tc>
        <w:tc>
          <w:tcPr>
            <w:tcW w:w="946" w:type="dxa"/>
            <w:tcBorders>
              <w:top w:val="single" w:sz="4" w:space="0" w:color="auto"/>
              <w:left w:val="nil"/>
              <w:bottom w:val="single" w:sz="4" w:space="0" w:color="auto"/>
              <w:right w:val="single" w:sz="4" w:space="0" w:color="auto"/>
            </w:tcBorders>
            <w:shd w:val="clear" w:color="auto" w:fill="auto"/>
            <w:hideMark/>
          </w:tcPr>
          <w:p w14:paraId="14EF710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3 788</w:t>
            </w:r>
          </w:p>
        </w:tc>
        <w:tc>
          <w:tcPr>
            <w:tcW w:w="947" w:type="dxa"/>
            <w:tcBorders>
              <w:top w:val="single" w:sz="4" w:space="0" w:color="auto"/>
              <w:left w:val="nil"/>
              <w:bottom w:val="single" w:sz="4" w:space="0" w:color="auto"/>
              <w:right w:val="single" w:sz="4" w:space="0" w:color="auto"/>
            </w:tcBorders>
            <w:shd w:val="clear" w:color="auto" w:fill="auto"/>
            <w:hideMark/>
          </w:tcPr>
          <w:p w14:paraId="40CED40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1 519</w:t>
            </w:r>
          </w:p>
        </w:tc>
        <w:tc>
          <w:tcPr>
            <w:tcW w:w="947" w:type="dxa"/>
            <w:tcBorders>
              <w:top w:val="single" w:sz="4" w:space="0" w:color="auto"/>
              <w:left w:val="nil"/>
              <w:bottom w:val="single" w:sz="4" w:space="0" w:color="auto"/>
              <w:right w:val="single" w:sz="4" w:space="0" w:color="auto"/>
            </w:tcBorders>
            <w:shd w:val="clear" w:color="auto" w:fill="auto"/>
            <w:hideMark/>
          </w:tcPr>
          <w:p w14:paraId="59A9183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926</w:t>
            </w:r>
          </w:p>
        </w:tc>
        <w:tc>
          <w:tcPr>
            <w:tcW w:w="947" w:type="dxa"/>
            <w:tcBorders>
              <w:top w:val="single" w:sz="4" w:space="0" w:color="auto"/>
              <w:left w:val="nil"/>
              <w:bottom w:val="single" w:sz="4" w:space="0" w:color="auto"/>
              <w:right w:val="single" w:sz="4" w:space="0" w:color="auto"/>
            </w:tcBorders>
            <w:shd w:val="clear" w:color="auto" w:fill="auto"/>
            <w:hideMark/>
          </w:tcPr>
          <w:p w14:paraId="4713B42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9 191</w:t>
            </w:r>
          </w:p>
        </w:tc>
        <w:tc>
          <w:tcPr>
            <w:tcW w:w="947" w:type="dxa"/>
            <w:tcBorders>
              <w:top w:val="single" w:sz="4" w:space="0" w:color="auto"/>
              <w:left w:val="nil"/>
              <w:bottom w:val="single" w:sz="4" w:space="0" w:color="auto"/>
              <w:right w:val="single" w:sz="4" w:space="0" w:color="auto"/>
            </w:tcBorders>
            <w:shd w:val="clear" w:color="auto" w:fill="auto"/>
            <w:hideMark/>
          </w:tcPr>
          <w:p w14:paraId="59F212E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8 778</w:t>
            </w:r>
          </w:p>
        </w:tc>
        <w:tc>
          <w:tcPr>
            <w:tcW w:w="947" w:type="dxa"/>
            <w:tcBorders>
              <w:top w:val="single" w:sz="4" w:space="0" w:color="auto"/>
              <w:left w:val="nil"/>
              <w:bottom w:val="single" w:sz="4" w:space="0" w:color="auto"/>
              <w:right w:val="single" w:sz="4" w:space="0" w:color="auto"/>
            </w:tcBorders>
            <w:shd w:val="clear" w:color="auto" w:fill="auto"/>
            <w:hideMark/>
          </w:tcPr>
          <w:p w14:paraId="36CC1B9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6 353</w:t>
            </w:r>
          </w:p>
        </w:tc>
        <w:tc>
          <w:tcPr>
            <w:tcW w:w="947" w:type="dxa"/>
            <w:tcBorders>
              <w:top w:val="single" w:sz="4" w:space="0" w:color="auto"/>
              <w:left w:val="nil"/>
              <w:bottom w:val="single" w:sz="4" w:space="0" w:color="auto"/>
              <w:right w:val="single" w:sz="4" w:space="0" w:color="auto"/>
            </w:tcBorders>
            <w:shd w:val="clear" w:color="auto" w:fill="auto"/>
            <w:hideMark/>
          </w:tcPr>
          <w:p w14:paraId="4F4BF48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5 233</w:t>
            </w:r>
          </w:p>
        </w:tc>
        <w:tc>
          <w:tcPr>
            <w:tcW w:w="946" w:type="dxa"/>
            <w:tcBorders>
              <w:top w:val="single" w:sz="4" w:space="0" w:color="auto"/>
              <w:left w:val="nil"/>
              <w:bottom w:val="single" w:sz="4" w:space="0" w:color="auto"/>
              <w:right w:val="single" w:sz="4" w:space="0" w:color="auto"/>
            </w:tcBorders>
            <w:shd w:val="clear" w:color="auto" w:fill="auto"/>
            <w:hideMark/>
          </w:tcPr>
          <w:p w14:paraId="2FF0DC7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3 480</w:t>
            </w:r>
          </w:p>
        </w:tc>
        <w:tc>
          <w:tcPr>
            <w:tcW w:w="1189" w:type="dxa"/>
            <w:tcBorders>
              <w:top w:val="single" w:sz="4" w:space="0" w:color="auto"/>
              <w:left w:val="nil"/>
              <w:bottom w:val="single" w:sz="4" w:space="0" w:color="auto"/>
              <w:right w:val="single" w:sz="4" w:space="0" w:color="auto"/>
            </w:tcBorders>
            <w:shd w:val="clear" w:color="auto" w:fill="auto"/>
            <w:hideMark/>
          </w:tcPr>
          <w:p w14:paraId="4646EA5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2 137</w:t>
            </w:r>
          </w:p>
        </w:tc>
      </w:tr>
      <w:tr w:rsidR="005B6AF9" w:rsidRPr="004135FE" w14:paraId="6C6D0C43" w14:textId="77777777" w:rsidTr="00680E37">
        <w:trPr>
          <w:trHeight w:val="226"/>
        </w:trPr>
        <w:tc>
          <w:tcPr>
            <w:tcW w:w="554" w:type="dxa"/>
            <w:vMerge/>
            <w:tcBorders>
              <w:top w:val="single" w:sz="4" w:space="0" w:color="auto"/>
              <w:left w:val="single" w:sz="8" w:space="0" w:color="auto"/>
              <w:bottom w:val="single" w:sz="8" w:space="0" w:color="000000"/>
              <w:right w:val="single" w:sz="4" w:space="0" w:color="auto"/>
            </w:tcBorders>
            <w:vAlign w:val="center"/>
            <w:hideMark/>
          </w:tcPr>
          <w:p w14:paraId="6F303853"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single" w:sz="4" w:space="0" w:color="auto"/>
              <w:left w:val="nil"/>
              <w:bottom w:val="single" w:sz="8" w:space="0" w:color="auto"/>
              <w:right w:val="single" w:sz="4" w:space="0" w:color="auto"/>
            </w:tcBorders>
            <w:shd w:val="clear" w:color="auto" w:fill="auto"/>
            <w:hideMark/>
          </w:tcPr>
          <w:p w14:paraId="27EDC97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tcBorders>
              <w:top w:val="single" w:sz="4" w:space="0" w:color="auto"/>
              <w:left w:val="single" w:sz="4" w:space="0" w:color="auto"/>
              <w:bottom w:val="single" w:sz="8" w:space="0" w:color="auto"/>
              <w:right w:val="single" w:sz="4" w:space="0" w:color="auto"/>
            </w:tcBorders>
            <w:shd w:val="clear" w:color="auto" w:fill="auto"/>
            <w:hideMark/>
          </w:tcPr>
          <w:p w14:paraId="68573AF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777" w:type="dxa"/>
            <w:tcBorders>
              <w:top w:val="single" w:sz="4" w:space="0" w:color="auto"/>
              <w:left w:val="nil"/>
              <w:bottom w:val="single" w:sz="8" w:space="0" w:color="auto"/>
              <w:right w:val="single" w:sz="4" w:space="0" w:color="auto"/>
            </w:tcBorders>
            <w:shd w:val="clear" w:color="auto" w:fill="auto"/>
            <w:hideMark/>
          </w:tcPr>
          <w:p w14:paraId="757CFF6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1 723</w:t>
            </w:r>
          </w:p>
        </w:tc>
        <w:tc>
          <w:tcPr>
            <w:tcW w:w="893" w:type="dxa"/>
            <w:tcBorders>
              <w:top w:val="single" w:sz="4" w:space="0" w:color="auto"/>
              <w:left w:val="nil"/>
              <w:bottom w:val="single" w:sz="8" w:space="0" w:color="auto"/>
              <w:right w:val="single" w:sz="4" w:space="0" w:color="auto"/>
            </w:tcBorders>
            <w:shd w:val="clear" w:color="auto" w:fill="auto"/>
            <w:hideMark/>
          </w:tcPr>
          <w:p w14:paraId="575FC43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7 950</w:t>
            </w:r>
          </w:p>
        </w:tc>
        <w:tc>
          <w:tcPr>
            <w:tcW w:w="889" w:type="dxa"/>
            <w:tcBorders>
              <w:top w:val="single" w:sz="4" w:space="0" w:color="auto"/>
              <w:left w:val="nil"/>
              <w:bottom w:val="single" w:sz="8" w:space="0" w:color="auto"/>
              <w:right w:val="single" w:sz="4" w:space="0" w:color="auto"/>
            </w:tcBorders>
            <w:shd w:val="clear" w:color="auto" w:fill="auto"/>
            <w:hideMark/>
          </w:tcPr>
          <w:p w14:paraId="0FF6BD0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8 932</w:t>
            </w:r>
          </w:p>
        </w:tc>
        <w:tc>
          <w:tcPr>
            <w:tcW w:w="946" w:type="dxa"/>
            <w:tcBorders>
              <w:top w:val="single" w:sz="4" w:space="0" w:color="auto"/>
              <w:left w:val="nil"/>
              <w:bottom w:val="single" w:sz="8" w:space="0" w:color="auto"/>
              <w:right w:val="single" w:sz="4" w:space="0" w:color="auto"/>
            </w:tcBorders>
            <w:shd w:val="clear" w:color="auto" w:fill="auto"/>
            <w:hideMark/>
          </w:tcPr>
          <w:p w14:paraId="07BDBF7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7 409</w:t>
            </w:r>
          </w:p>
        </w:tc>
        <w:tc>
          <w:tcPr>
            <w:tcW w:w="947" w:type="dxa"/>
            <w:tcBorders>
              <w:top w:val="single" w:sz="4" w:space="0" w:color="auto"/>
              <w:left w:val="nil"/>
              <w:bottom w:val="single" w:sz="8" w:space="0" w:color="auto"/>
              <w:right w:val="single" w:sz="4" w:space="0" w:color="auto"/>
            </w:tcBorders>
            <w:shd w:val="clear" w:color="auto" w:fill="auto"/>
            <w:hideMark/>
          </w:tcPr>
          <w:p w14:paraId="1566BB2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3 625</w:t>
            </w:r>
          </w:p>
        </w:tc>
        <w:tc>
          <w:tcPr>
            <w:tcW w:w="947" w:type="dxa"/>
            <w:tcBorders>
              <w:top w:val="single" w:sz="4" w:space="0" w:color="auto"/>
              <w:left w:val="nil"/>
              <w:bottom w:val="single" w:sz="8" w:space="0" w:color="auto"/>
              <w:right w:val="single" w:sz="4" w:space="0" w:color="auto"/>
            </w:tcBorders>
            <w:shd w:val="clear" w:color="auto" w:fill="auto"/>
            <w:hideMark/>
          </w:tcPr>
          <w:p w14:paraId="2126A43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2 311</w:t>
            </w:r>
          </w:p>
        </w:tc>
        <w:tc>
          <w:tcPr>
            <w:tcW w:w="947" w:type="dxa"/>
            <w:tcBorders>
              <w:top w:val="single" w:sz="4" w:space="0" w:color="auto"/>
              <w:left w:val="nil"/>
              <w:bottom w:val="single" w:sz="8" w:space="0" w:color="auto"/>
              <w:right w:val="single" w:sz="4" w:space="0" w:color="auto"/>
            </w:tcBorders>
            <w:shd w:val="clear" w:color="auto" w:fill="auto"/>
            <w:hideMark/>
          </w:tcPr>
          <w:p w14:paraId="627735D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18 509</w:t>
            </w:r>
          </w:p>
        </w:tc>
        <w:tc>
          <w:tcPr>
            <w:tcW w:w="947" w:type="dxa"/>
            <w:tcBorders>
              <w:top w:val="single" w:sz="4" w:space="0" w:color="auto"/>
              <w:left w:val="nil"/>
              <w:bottom w:val="single" w:sz="8" w:space="0" w:color="auto"/>
              <w:right w:val="single" w:sz="4" w:space="0" w:color="auto"/>
            </w:tcBorders>
            <w:shd w:val="clear" w:color="auto" w:fill="auto"/>
            <w:hideMark/>
          </w:tcPr>
          <w:p w14:paraId="12593AB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22 754</w:t>
            </w:r>
          </w:p>
        </w:tc>
        <w:tc>
          <w:tcPr>
            <w:tcW w:w="947" w:type="dxa"/>
            <w:tcBorders>
              <w:top w:val="single" w:sz="4" w:space="0" w:color="auto"/>
              <w:left w:val="nil"/>
              <w:bottom w:val="single" w:sz="8" w:space="0" w:color="auto"/>
              <w:right w:val="single" w:sz="4" w:space="0" w:color="auto"/>
            </w:tcBorders>
            <w:shd w:val="clear" w:color="auto" w:fill="auto"/>
            <w:hideMark/>
          </w:tcPr>
          <w:p w14:paraId="042F695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16 786</w:t>
            </w:r>
          </w:p>
        </w:tc>
        <w:tc>
          <w:tcPr>
            <w:tcW w:w="947" w:type="dxa"/>
            <w:tcBorders>
              <w:top w:val="single" w:sz="4" w:space="0" w:color="auto"/>
              <w:left w:val="nil"/>
              <w:bottom w:val="single" w:sz="8" w:space="0" w:color="auto"/>
              <w:right w:val="single" w:sz="4" w:space="0" w:color="auto"/>
            </w:tcBorders>
            <w:shd w:val="clear" w:color="auto" w:fill="auto"/>
            <w:hideMark/>
          </w:tcPr>
          <w:p w14:paraId="29E9BC3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14 861</w:t>
            </w:r>
          </w:p>
        </w:tc>
        <w:tc>
          <w:tcPr>
            <w:tcW w:w="946" w:type="dxa"/>
            <w:tcBorders>
              <w:top w:val="single" w:sz="4" w:space="0" w:color="auto"/>
              <w:left w:val="nil"/>
              <w:bottom w:val="single" w:sz="8" w:space="0" w:color="auto"/>
              <w:right w:val="single" w:sz="4" w:space="0" w:color="auto"/>
            </w:tcBorders>
            <w:shd w:val="clear" w:color="auto" w:fill="auto"/>
            <w:hideMark/>
          </w:tcPr>
          <w:p w14:paraId="06E5B8D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12 040</w:t>
            </w:r>
          </w:p>
        </w:tc>
        <w:tc>
          <w:tcPr>
            <w:tcW w:w="1189" w:type="dxa"/>
            <w:tcBorders>
              <w:top w:val="single" w:sz="4" w:space="0" w:color="auto"/>
              <w:left w:val="nil"/>
              <w:bottom w:val="single" w:sz="8" w:space="0" w:color="auto"/>
              <w:right w:val="single" w:sz="8" w:space="0" w:color="auto"/>
            </w:tcBorders>
            <w:shd w:val="clear" w:color="auto" w:fill="auto"/>
            <w:hideMark/>
          </w:tcPr>
          <w:p w14:paraId="35F0A81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8 869</w:t>
            </w:r>
          </w:p>
        </w:tc>
      </w:tr>
      <w:tr w:rsidR="005B6AF9" w:rsidRPr="004135FE" w14:paraId="6316A5C3" w14:textId="77777777" w:rsidTr="00680E37">
        <w:trPr>
          <w:trHeight w:val="226"/>
        </w:trPr>
        <w:tc>
          <w:tcPr>
            <w:tcW w:w="554" w:type="dxa"/>
            <w:vMerge w:val="restart"/>
            <w:tcBorders>
              <w:top w:val="nil"/>
              <w:left w:val="single" w:sz="8" w:space="0" w:color="auto"/>
              <w:bottom w:val="single" w:sz="8" w:space="0" w:color="000000"/>
              <w:right w:val="single" w:sz="4" w:space="0" w:color="auto"/>
            </w:tcBorders>
            <w:shd w:val="clear" w:color="auto" w:fill="auto"/>
            <w:noWrap/>
            <w:textDirection w:val="btLr"/>
            <w:vAlign w:val="center"/>
            <w:hideMark/>
          </w:tcPr>
          <w:p w14:paraId="2E7C4FFD" w14:textId="77777777" w:rsidR="005B6AF9" w:rsidRPr="004135FE" w:rsidRDefault="005B6AF9"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2019г</w:t>
            </w:r>
          </w:p>
        </w:tc>
        <w:tc>
          <w:tcPr>
            <w:tcW w:w="485" w:type="dxa"/>
            <w:tcBorders>
              <w:top w:val="nil"/>
              <w:left w:val="nil"/>
              <w:bottom w:val="single" w:sz="4" w:space="0" w:color="auto"/>
              <w:right w:val="single" w:sz="4" w:space="0" w:color="auto"/>
            </w:tcBorders>
            <w:shd w:val="clear" w:color="auto" w:fill="auto"/>
            <w:hideMark/>
          </w:tcPr>
          <w:p w14:paraId="72157B3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tcBorders>
              <w:top w:val="nil"/>
              <w:left w:val="single" w:sz="4" w:space="0" w:color="auto"/>
              <w:bottom w:val="single" w:sz="4" w:space="0" w:color="auto"/>
              <w:right w:val="single" w:sz="4" w:space="0" w:color="auto"/>
            </w:tcBorders>
            <w:shd w:val="clear" w:color="auto" w:fill="auto"/>
            <w:hideMark/>
          </w:tcPr>
          <w:p w14:paraId="3D25EDA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777" w:type="dxa"/>
            <w:tcBorders>
              <w:top w:val="nil"/>
              <w:left w:val="nil"/>
              <w:bottom w:val="single" w:sz="4" w:space="0" w:color="auto"/>
              <w:right w:val="single" w:sz="4" w:space="0" w:color="auto"/>
            </w:tcBorders>
            <w:shd w:val="clear" w:color="auto" w:fill="auto"/>
            <w:hideMark/>
          </w:tcPr>
          <w:p w14:paraId="731B5B3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1 816</w:t>
            </w:r>
          </w:p>
        </w:tc>
        <w:tc>
          <w:tcPr>
            <w:tcW w:w="893" w:type="dxa"/>
            <w:tcBorders>
              <w:top w:val="nil"/>
              <w:left w:val="nil"/>
              <w:bottom w:val="single" w:sz="4" w:space="0" w:color="auto"/>
              <w:right w:val="single" w:sz="4" w:space="0" w:color="auto"/>
            </w:tcBorders>
            <w:shd w:val="clear" w:color="auto" w:fill="auto"/>
            <w:hideMark/>
          </w:tcPr>
          <w:p w14:paraId="7B87194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9 190</w:t>
            </w:r>
          </w:p>
        </w:tc>
        <w:tc>
          <w:tcPr>
            <w:tcW w:w="889" w:type="dxa"/>
            <w:tcBorders>
              <w:top w:val="nil"/>
              <w:left w:val="nil"/>
              <w:bottom w:val="single" w:sz="4" w:space="0" w:color="auto"/>
              <w:right w:val="single" w:sz="4" w:space="0" w:color="auto"/>
            </w:tcBorders>
            <w:shd w:val="clear" w:color="auto" w:fill="auto"/>
            <w:hideMark/>
          </w:tcPr>
          <w:p w14:paraId="08E0CF8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11 390</w:t>
            </w:r>
          </w:p>
        </w:tc>
        <w:tc>
          <w:tcPr>
            <w:tcW w:w="946" w:type="dxa"/>
            <w:tcBorders>
              <w:top w:val="nil"/>
              <w:left w:val="nil"/>
              <w:bottom w:val="single" w:sz="4" w:space="0" w:color="auto"/>
              <w:right w:val="single" w:sz="4" w:space="0" w:color="auto"/>
            </w:tcBorders>
            <w:shd w:val="clear" w:color="auto" w:fill="auto"/>
            <w:hideMark/>
          </w:tcPr>
          <w:p w14:paraId="3385F35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9 725</w:t>
            </w:r>
          </w:p>
        </w:tc>
        <w:tc>
          <w:tcPr>
            <w:tcW w:w="947" w:type="dxa"/>
            <w:tcBorders>
              <w:top w:val="nil"/>
              <w:left w:val="nil"/>
              <w:bottom w:val="single" w:sz="4" w:space="0" w:color="auto"/>
              <w:right w:val="single" w:sz="4" w:space="0" w:color="auto"/>
            </w:tcBorders>
            <w:shd w:val="clear" w:color="auto" w:fill="auto"/>
            <w:hideMark/>
          </w:tcPr>
          <w:p w14:paraId="34D60CA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7 774</w:t>
            </w:r>
          </w:p>
        </w:tc>
        <w:tc>
          <w:tcPr>
            <w:tcW w:w="947" w:type="dxa"/>
            <w:tcBorders>
              <w:top w:val="nil"/>
              <w:left w:val="nil"/>
              <w:bottom w:val="single" w:sz="4" w:space="0" w:color="auto"/>
              <w:right w:val="single" w:sz="4" w:space="0" w:color="auto"/>
            </w:tcBorders>
            <w:shd w:val="clear" w:color="auto" w:fill="auto"/>
            <w:hideMark/>
          </w:tcPr>
          <w:p w14:paraId="12B042A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9 621</w:t>
            </w:r>
          </w:p>
        </w:tc>
        <w:tc>
          <w:tcPr>
            <w:tcW w:w="947" w:type="dxa"/>
            <w:tcBorders>
              <w:top w:val="nil"/>
              <w:left w:val="nil"/>
              <w:bottom w:val="single" w:sz="4" w:space="0" w:color="auto"/>
              <w:right w:val="single" w:sz="4" w:space="0" w:color="auto"/>
            </w:tcBorders>
            <w:shd w:val="clear" w:color="auto" w:fill="auto"/>
            <w:hideMark/>
          </w:tcPr>
          <w:p w14:paraId="0EF9CE4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35 788</w:t>
            </w:r>
          </w:p>
        </w:tc>
        <w:tc>
          <w:tcPr>
            <w:tcW w:w="947" w:type="dxa"/>
            <w:tcBorders>
              <w:top w:val="nil"/>
              <w:left w:val="nil"/>
              <w:bottom w:val="single" w:sz="4" w:space="0" w:color="auto"/>
              <w:right w:val="single" w:sz="4" w:space="0" w:color="auto"/>
            </w:tcBorders>
            <w:shd w:val="clear" w:color="auto" w:fill="auto"/>
            <w:hideMark/>
          </w:tcPr>
          <w:p w14:paraId="206BF3F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29 963</w:t>
            </w:r>
          </w:p>
        </w:tc>
        <w:tc>
          <w:tcPr>
            <w:tcW w:w="947" w:type="dxa"/>
            <w:tcBorders>
              <w:top w:val="nil"/>
              <w:left w:val="nil"/>
              <w:bottom w:val="single" w:sz="4" w:space="0" w:color="auto"/>
              <w:right w:val="single" w:sz="4" w:space="0" w:color="auto"/>
            </w:tcBorders>
            <w:shd w:val="clear" w:color="auto" w:fill="auto"/>
            <w:hideMark/>
          </w:tcPr>
          <w:p w14:paraId="687BAAC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25 779</w:t>
            </w:r>
          </w:p>
        </w:tc>
        <w:tc>
          <w:tcPr>
            <w:tcW w:w="947" w:type="dxa"/>
            <w:tcBorders>
              <w:top w:val="nil"/>
              <w:left w:val="nil"/>
              <w:bottom w:val="single" w:sz="4" w:space="0" w:color="auto"/>
              <w:right w:val="single" w:sz="4" w:space="0" w:color="auto"/>
            </w:tcBorders>
            <w:shd w:val="clear" w:color="auto" w:fill="auto"/>
            <w:hideMark/>
          </w:tcPr>
          <w:p w14:paraId="6B52FF1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20 928</w:t>
            </w:r>
          </w:p>
        </w:tc>
        <w:tc>
          <w:tcPr>
            <w:tcW w:w="946" w:type="dxa"/>
            <w:tcBorders>
              <w:top w:val="nil"/>
              <w:left w:val="nil"/>
              <w:bottom w:val="single" w:sz="4" w:space="0" w:color="auto"/>
              <w:right w:val="single" w:sz="4" w:space="0" w:color="auto"/>
            </w:tcBorders>
            <w:shd w:val="clear" w:color="auto" w:fill="auto"/>
            <w:hideMark/>
          </w:tcPr>
          <w:p w14:paraId="6A10DFA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18 292</w:t>
            </w:r>
          </w:p>
        </w:tc>
        <w:tc>
          <w:tcPr>
            <w:tcW w:w="1189" w:type="dxa"/>
            <w:tcBorders>
              <w:top w:val="nil"/>
              <w:left w:val="nil"/>
              <w:bottom w:val="single" w:sz="4" w:space="0" w:color="auto"/>
              <w:right w:val="single" w:sz="8" w:space="0" w:color="auto"/>
            </w:tcBorders>
            <w:shd w:val="clear" w:color="auto" w:fill="auto"/>
            <w:hideMark/>
          </w:tcPr>
          <w:p w14:paraId="24621D9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16 198</w:t>
            </w:r>
          </w:p>
        </w:tc>
      </w:tr>
      <w:tr w:rsidR="005B6AF9" w:rsidRPr="004135FE" w14:paraId="1B911C97"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76E21D9A"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5B968F2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tcBorders>
              <w:top w:val="nil"/>
              <w:left w:val="single" w:sz="4" w:space="0" w:color="auto"/>
              <w:bottom w:val="single" w:sz="4" w:space="0" w:color="auto"/>
              <w:right w:val="single" w:sz="4" w:space="0" w:color="auto"/>
            </w:tcBorders>
            <w:shd w:val="clear" w:color="auto" w:fill="auto"/>
            <w:hideMark/>
          </w:tcPr>
          <w:p w14:paraId="39FE04A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777" w:type="dxa"/>
            <w:tcBorders>
              <w:top w:val="nil"/>
              <w:left w:val="nil"/>
              <w:bottom w:val="single" w:sz="4" w:space="0" w:color="auto"/>
              <w:right w:val="single" w:sz="4" w:space="0" w:color="auto"/>
            </w:tcBorders>
            <w:shd w:val="clear" w:color="auto" w:fill="auto"/>
            <w:hideMark/>
          </w:tcPr>
          <w:p w14:paraId="6105A42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3 261</w:t>
            </w:r>
          </w:p>
        </w:tc>
        <w:tc>
          <w:tcPr>
            <w:tcW w:w="893" w:type="dxa"/>
            <w:tcBorders>
              <w:top w:val="nil"/>
              <w:left w:val="nil"/>
              <w:bottom w:val="single" w:sz="4" w:space="0" w:color="auto"/>
              <w:right w:val="single" w:sz="4" w:space="0" w:color="auto"/>
            </w:tcBorders>
            <w:shd w:val="clear" w:color="auto" w:fill="auto"/>
            <w:hideMark/>
          </w:tcPr>
          <w:p w14:paraId="3077676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13 509</w:t>
            </w:r>
          </w:p>
        </w:tc>
        <w:tc>
          <w:tcPr>
            <w:tcW w:w="889" w:type="dxa"/>
            <w:tcBorders>
              <w:top w:val="nil"/>
              <w:left w:val="nil"/>
              <w:bottom w:val="single" w:sz="4" w:space="0" w:color="auto"/>
              <w:right w:val="single" w:sz="4" w:space="0" w:color="auto"/>
            </w:tcBorders>
            <w:shd w:val="clear" w:color="auto" w:fill="auto"/>
            <w:hideMark/>
          </w:tcPr>
          <w:p w14:paraId="6FC792B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13 003</w:t>
            </w:r>
          </w:p>
        </w:tc>
        <w:tc>
          <w:tcPr>
            <w:tcW w:w="946" w:type="dxa"/>
            <w:tcBorders>
              <w:top w:val="nil"/>
              <w:left w:val="nil"/>
              <w:bottom w:val="single" w:sz="4" w:space="0" w:color="auto"/>
              <w:right w:val="single" w:sz="4" w:space="0" w:color="auto"/>
            </w:tcBorders>
            <w:shd w:val="clear" w:color="auto" w:fill="auto"/>
            <w:hideMark/>
          </w:tcPr>
          <w:p w14:paraId="565479A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10 117</w:t>
            </w:r>
          </w:p>
        </w:tc>
        <w:tc>
          <w:tcPr>
            <w:tcW w:w="947" w:type="dxa"/>
            <w:tcBorders>
              <w:top w:val="nil"/>
              <w:left w:val="nil"/>
              <w:bottom w:val="single" w:sz="4" w:space="0" w:color="auto"/>
              <w:right w:val="single" w:sz="4" w:space="0" w:color="auto"/>
            </w:tcBorders>
            <w:shd w:val="clear" w:color="auto" w:fill="auto"/>
            <w:hideMark/>
          </w:tcPr>
          <w:p w14:paraId="01CCE42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4 132</w:t>
            </w:r>
          </w:p>
        </w:tc>
        <w:tc>
          <w:tcPr>
            <w:tcW w:w="947" w:type="dxa"/>
            <w:tcBorders>
              <w:top w:val="nil"/>
              <w:left w:val="nil"/>
              <w:bottom w:val="single" w:sz="4" w:space="0" w:color="auto"/>
              <w:right w:val="single" w:sz="4" w:space="0" w:color="auto"/>
            </w:tcBorders>
            <w:shd w:val="clear" w:color="auto" w:fill="auto"/>
            <w:hideMark/>
          </w:tcPr>
          <w:p w14:paraId="2C595AC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1 849</w:t>
            </w:r>
          </w:p>
        </w:tc>
        <w:tc>
          <w:tcPr>
            <w:tcW w:w="947" w:type="dxa"/>
            <w:tcBorders>
              <w:top w:val="nil"/>
              <w:left w:val="nil"/>
              <w:bottom w:val="single" w:sz="4" w:space="0" w:color="auto"/>
              <w:right w:val="single" w:sz="4" w:space="0" w:color="auto"/>
            </w:tcBorders>
            <w:shd w:val="clear" w:color="auto" w:fill="auto"/>
            <w:hideMark/>
          </w:tcPr>
          <w:p w14:paraId="7AFC370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18 466</w:t>
            </w:r>
          </w:p>
        </w:tc>
        <w:tc>
          <w:tcPr>
            <w:tcW w:w="947" w:type="dxa"/>
            <w:tcBorders>
              <w:top w:val="nil"/>
              <w:left w:val="nil"/>
              <w:bottom w:val="single" w:sz="4" w:space="0" w:color="auto"/>
              <w:right w:val="single" w:sz="4" w:space="0" w:color="auto"/>
            </w:tcBorders>
            <w:shd w:val="clear" w:color="auto" w:fill="auto"/>
            <w:hideMark/>
          </w:tcPr>
          <w:p w14:paraId="38D7AA8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21 899</w:t>
            </w:r>
          </w:p>
        </w:tc>
        <w:tc>
          <w:tcPr>
            <w:tcW w:w="947" w:type="dxa"/>
            <w:tcBorders>
              <w:top w:val="nil"/>
              <w:left w:val="nil"/>
              <w:bottom w:val="single" w:sz="4" w:space="0" w:color="auto"/>
              <w:right w:val="single" w:sz="4" w:space="0" w:color="auto"/>
            </w:tcBorders>
            <w:shd w:val="clear" w:color="auto" w:fill="auto"/>
            <w:hideMark/>
          </w:tcPr>
          <w:p w14:paraId="44B61D0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13 599</w:t>
            </w:r>
          </w:p>
        </w:tc>
        <w:tc>
          <w:tcPr>
            <w:tcW w:w="947" w:type="dxa"/>
            <w:tcBorders>
              <w:top w:val="nil"/>
              <w:left w:val="nil"/>
              <w:bottom w:val="single" w:sz="4" w:space="0" w:color="auto"/>
              <w:right w:val="single" w:sz="4" w:space="0" w:color="auto"/>
            </w:tcBorders>
            <w:shd w:val="clear" w:color="auto" w:fill="auto"/>
            <w:hideMark/>
          </w:tcPr>
          <w:p w14:paraId="1983F4B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9 886</w:t>
            </w:r>
          </w:p>
        </w:tc>
        <w:tc>
          <w:tcPr>
            <w:tcW w:w="946" w:type="dxa"/>
            <w:tcBorders>
              <w:top w:val="nil"/>
              <w:left w:val="nil"/>
              <w:bottom w:val="single" w:sz="4" w:space="0" w:color="auto"/>
              <w:right w:val="single" w:sz="4" w:space="0" w:color="auto"/>
            </w:tcBorders>
            <w:shd w:val="clear" w:color="auto" w:fill="auto"/>
            <w:hideMark/>
          </w:tcPr>
          <w:p w14:paraId="765047F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6 090</w:t>
            </w:r>
          </w:p>
        </w:tc>
        <w:tc>
          <w:tcPr>
            <w:tcW w:w="1189" w:type="dxa"/>
            <w:tcBorders>
              <w:top w:val="nil"/>
              <w:left w:val="nil"/>
              <w:bottom w:val="single" w:sz="4" w:space="0" w:color="auto"/>
              <w:right w:val="single" w:sz="8" w:space="0" w:color="auto"/>
            </w:tcBorders>
            <w:shd w:val="clear" w:color="auto" w:fill="auto"/>
            <w:hideMark/>
          </w:tcPr>
          <w:p w14:paraId="00E63BC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3 583</w:t>
            </w:r>
          </w:p>
        </w:tc>
      </w:tr>
      <w:tr w:rsidR="005B6AF9" w:rsidRPr="004135FE" w14:paraId="67250273"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29027CAA"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5F75406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tcBorders>
              <w:top w:val="nil"/>
              <w:left w:val="single" w:sz="4" w:space="0" w:color="auto"/>
              <w:bottom w:val="single" w:sz="4" w:space="0" w:color="auto"/>
              <w:right w:val="single" w:sz="4" w:space="0" w:color="auto"/>
            </w:tcBorders>
            <w:shd w:val="clear" w:color="auto" w:fill="auto"/>
            <w:hideMark/>
          </w:tcPr>
          <w:p w14:paraId="3034081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777" w:type="dxa"/>
            <w:tcBorders>
              <w:top w:val="nil"/>
              <w:left w:val="nil"/>
              <w:bottom w:val="single" w:sz="4" w:space="0" w:color="auto"/>
              <w:right w:val="single" w:sz="4" w:space="0" w:color="auto"/>
            </w:tcBorders>
            <w:shd w:val="clear" w:color="auto" w:fill="auto"/>
            <w:hideMark/>
          </w:tcPr>
          <w:p w14:paraId="5728498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2 286</w:t>
            </w:r>
          </w:p>
        </w:tc>
        <w:tc>
          <w:tcPr>
            <w:tcW w:w="893" w:type="dxa"/>
            <w:tcBorders>
              <w:top w:val="nil"/>
              <w:left w:val="nil"/>
              <w:bottom w:val="single" w:sz="4" w:space="0" w:color="auto"/>
              <w:right w:val="single" w:sz="4" w:space="0" w:color="auto"/>
            </w:tcBorders>
            <w:shd w:val="clear" w:color="auto" w:fill="auto"/>
            <w:hideMark/>
          </w:tcPr>
          <w:p w14:paraId="3F98B53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10 861</w:t>
            </w:r>
          </w:p>
        </w:tc>
        <w:tc>
          <w:tcPr>
            <w:tcW w:w="889" w:type="dxa"/>
            <w:tcBorders>
              <w:top w:val="nil"/>
              <w:left w:val="nil"/>
              <w:bottom w:val="single" w:sz="4" w:space="0" w:color="auto"/>
              <w:right w:val="single" w:sz="4" w:space="0" w:color="auto"/>
            </w:tcBorders>
            <w:shd w:val="clear" w:color="auto" w:fill="auto"/>
            <w:hideMark/>
          </w:tcPr>
          <w:p w14:paraId="606C4F7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12 621</w:t>
            </w:r>
          </w:p>
        </w:tc>
        <w:tc>
          <w:tcPr>
            <w:tcW w:w="946" w:type="dxa"/>
            <w:tcBorders>
              <w:top w:val="nil"/>
              <w:left w:val="nil"/>
              <w:bottom w:val="single" w:sz="4" w:space="0" w:color="auto"/>
              <w:right w:val="single" w:sz="4" w:space="0" w:color="auto"/>
            </w:tcBorders>
            <w:shd w:val="clear" w:color="auto" w:fill="auto"/>
            <w:hideMark/>
          </w:tcPr>
          <w:p w14:paraId="3631CF0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10 913</w:t>
            </w:r>
          </w:p>
        </w:tc>
        <w:tc>
          <w:tcPr>
            <w:tcW w:w="947" w:type="dxa"/>
            <w:tcBorders>
              <w:top w:val="nil"/>
              <w:left w:val="nil"/>
              <w:bottom w:val="single" w:sz="4" w:space="0" w:color="auto"/>
              <w:right w:val="single" w:sz="4" w:space="0" w:color="auto"/>
            </w:tcBorders>
            <w:shd w:val="clear" w:color="auto" w:fill="auto"/>
            <w:hideMark/>
          </w:tcPr>
          <w:p w14:paraId="2FDFA22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5 048</w:t>
            </w:r>
          </w:p>
        </w:tc>
        <w:tc>
          <w:tcPr>
            <w:tcW w:w="947" w:type="dxa"/>
            <w:tcBorders>
              <w:top w:val="nil"/>
              <w:left w:val="nil"/>
              <w:bottom w:val="single" w:sz="4" w:space="0" w:color="auto"/>
              <w:right w:val="single" w:sz="4" w:space="0" w:color="auto"/>
            </w:tcBorders>
            <w:shd w:val="clear" w:color="auto" w:fill="auto"/>
            <w:hideMark/>
          </w:tcPr>
          <w:p w14:paraId="315D440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3 132</w:t>
            </w:r>
          </w:p>
        </w:tc>
        <w:tc>
          <w:tcPr>
            <w:tcW w:w="947" w:type="dxa"/>
            <w:tcBorders>
              <w:top w:val="nil"/>
              <w:left w:val="nil"/>
              <w:bottom w:val="single" w:sz="4" w:space="0" w:color="auto"/>
              <w:right w:val="single" w:sz="4" w:space="0" w:color="auto"/>
            </w:tcBorders>
            <w:shd w:val="clear" w:color="auto" w:fill="auto"/>
            <w:hideMark/>
          </w:tcPr>
          <w:p w14:paraId="6207BCC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24 755</w:t>
            </w:r>
          </w:p>
        </w:tc>
        <w:tc>
          <w:tcPr>
            <w:tcW w:w="947" w:type="dxa"/>
            <w:tcBorders>
              <w:top w:val="nil"/>
              <w:left w:val="nil"/>
              <w:bottom w:val="single" w:sz="4" w:space="0" w:color="auto"/>
              <w:right w:val="single" w:sz="4" w:space="0" w:color="auto"/>
            </w:tcBorders>
            <w:shd w:val="clear" w:color="auto" w:fill="auto"/>
            <w:hideMark/>
          </w:tcPr>
          <w:p w14:paraId="5DE1D7E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29 736</w:t>
            </w:r>
          </w:p>
        </w:tc>
        <w:tc>
          <w:tcPr>
            <w:tcW w:w="947" w:type="dxa"/>
            <w:tcBorders>
              <w:top w:val="nil"/>
              <w:left w:val="nil"/>
              <w:bottom w:val="single" w:sz="4" w:space="0" w:color="auto"/>
              <w:right w:val="single" w:sz="4" w:space="0" w:color="auto"/>
            </w:tcBorders>
            <w:shd w:val="clear" w:color="auto" w:fill="auto"/>
            <w:hideMark/>
          </w:tcPr>
          <w:p w14:paraId="3C24F9A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22 245</w:t>
            </w:r>
          </w:p>
        </w:tc>
        <w:tc>
          <w:tcPr>
            <w:tcW w:w="947" w:type="dxa"/>
            <w:tcBorders>
              <w:top w:val="nil"/>
              <w:left w:val="nil"/>
              <w:bottom w:val="single" w:sz="4" w:space="0" w:color="auto"/>
              <w:right w:val="single" w:sz="4" w:space="0" w:color="auto"/>
            </w:tcBorders>
            <w:shd w:val="clear" w:color="auto" w:fill="auto"/>
            <w:hideMark/>
          </w:tcPr>
          <w:p w14:paraId="71899C9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19 191</w:t>
            </w:r>
          </w:p>
        </w:tc>
        <w:tc>
          <w:tcPr>
            <w:tcW w:w="946" w:type="dxa"/>
            <w:tcBorders>
              <w:top w:val="nil"/>
              <w:left w:val="nil"/>
              <w:bottom w:val="single" w:sz="4" w:space="0" w:color="auto"/>
              <w:right w:val="single" w:sz="4" w:space="0" w:color="auto"/>
            </w:tcBorders>
            <w:shd w:val="clear" w:color="auto" w:fill="auto"/>
            <w:hideMark/>
          </w:tcPr>
          <w:p w14:paraId="4748ED1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15 897</w:t>
            </w:r>
          </w:p>
        </w:tc>
        <w:tc>
          <w:tcPr>
            <w:tcW w:w="1189" w:type="dxa"/>
            <w:tcBorders>
              <w:top w:val="nil"/>
              <w:left w:val="nil"/>
              <w:bottom w:val="single" w:sz="4" w:space="0" w:color="auto"/>
              <w:right w:val="single" w:sz="8" w:space="0" w:color="auto"/>
            </w:tcBorders>
            <w:shd w:val="clear" w:color="auto" w:fill="auto"/>
            <w:hideMark/>
          </w:tcPr>
          <w:p w14:paraId="53BBCFF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12 879</w:t>
            </w:r>
          </w:p>
        </w:tc>
      </w:tr>
      <w:tr w:rsidR="005B6AF9" w:rsidRPr="004135FE" w14:paraId="18847162"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11DBF4EF"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3E5031A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tcBorders>
              <w:top w:val="nil"/>
              <w:left w:val="single" w:sz="4" w:space="0" w:color="auto"/>
              <w:bottom w:val="single" w:sz="4" w:space="0" w:color="auto"/>
              <w:right w:val="single" w:sz="4" w:space="0" w:color="auto"/>
            </w:tcBorders>
            <w:shd w:val="clear" w:color="auto" w:fill="auto"/>
            <w:hideMark/>
          </w:tcPr>
          <w:p w14:paraId="258E337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777" w:type="dxa"/>
            <w:tcBorders>
              <w:top w:val="nil"/>
              <w:left w:val="nil"/>
              <w:bottom w:val="single" w:sz="4" w:space="0" w:color="auto"/>
              <w:right w:val="single" w:sz="4" w:space="0" w:color="auto"/>
            </w:tcBorders>
            <w:shd w:val="clear" w:color="auto" w:fill="auto"/>
            <w:hideMark/>
          </w:tcPr>
          <w:p w14:paraId="5B59BEA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1 818</w:t>
            </w:r>
          </w:p>
        </w:tc>
        <w:tc>
          <w:tcPr>
            <w:tcW w:w="893" w:type="dxa"/>
            <w:tcBorders>
              <w:top w:val="nil"/>
              <w:left w:val="nil"/>
              <w:bottom w:val="single" w:sz="4" w:space="0" w:color="auto"/>
              <w:right w:val="single" w:sz="4" w:space="0" w:color="auto"/>
            </w:tcBorders>
            <w:shd w:val="clear" w:color="auto" w:fill="auto"/>
            <w:hideMark/>
          </w:tcPr>
          <w:p w14:paraId="1CF4567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9 613</w:t>
            </w:r>
          </w:p>
        </w:tc>
        <w:tc>
          <w:tcPr>
            <w:tcW w:w="889" w:type="dxa"/>
            <w:tcBorders>
              <w:top w:val="nil"/>
              <w:left w:val="nil"/>
              <w:bottom w:val="single" w:sz="4" w:space="0" w:color="auto"/>
              <w:right w:val="single" w:sz="4" w:space="0" w:color="auto"/>
            </w:tcBorders>
            <w:shd w:val="clear" w:color="auto" w:fill="auto"/>
            <w:hideMark/>
          </w:tcPr>
          <w:p w14:paraId="64A559A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11 778</w:t>
            </w:r>
          </w:p>
        </w:tc>
        <w:tc>
          <w:tcPr>
            <w:tcW w:w="946" w:type="dxa"/>
            <w:tcBorders>
              <w:top w:val="nil"/>
              <w:left w:val="nil"/>
              <w:bottom w:val="single" w:sz="4" w:space="0" w:color="auto"/>
              <w:right w:val="single" w:sz="4" w:space="0" w:color="auto"/>
            </w:tcBorders>
            <w:shd w:val="clear" w:color="auto" w:fill="auto"/>
            <w:hideMark/>
          </w:tcPr>
          <w:p w14:paraId="366E7B9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10 006</w:t>
            </w:r>
          </w:p>
        </w:tc>
        <w:tc>
          <w:tcPr>
            <w:tcW w:w="947" w:type="dxa"/>
            <w:tcBorders>
              <w:top w:val="nil"/>
              <w:left w:val="nil"/>
              <w:bottom w:val="single" w:sz="4" w:space="0" w:color="auto"/>
              <w:right w:val="single" w:sz="4" w:space="0" w:color="auto"/>
            </w:tcBorders>
            <w:shd w:val="clear" w:color="auto" w:fill="auto"/>
            <w:hideMark/>
          </w:tcPr>
          <w:p w14:paraId="47885B1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8 025</w:t>
            </w:r>
          </w:p>
        </w:tc>
        <w:tc>
          <w:tcPr>
            <w:tcW w:w="947" w:type="dxa"/>
            <w:tcBorders>
              <w:top w:val="nil"/>
              <w:left w:val="nil"/>
              <w:bottom w:val="single" w:sz="4" w:space="0" w:color="auto"/>
              <w:right w:val="single" w:sz="4" w:space="0" w:color="auto"/>
            </w:tcBorders>
            <w:shd w:val="clear" w:color="auto" w:fill="auto"/>
            <w:hideMark/>
          </w:tcPr>
          <w:p w14:paraId="551AAE1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14 690</w:t>
            </w:r>
          </w:p>
        </w:tc>
        <w:tc>
          <w:tcPr>
            <w:tcW w:w="947" w:type="dxa"/>
            <w:tcBorders>
              <w:top w:val="nil"/>
              <w:left w:val="nil"/>
              <w:bottom w:val="single" w:sz="4" w:space="0" w:color="auto"/>
              <w:right w:val="single" w:sz="4" w:space="0" w:color="auto"/>
            </w:tcBorders>
            <w:shd w:val="clear" w:color="auto" w:fill="auto"/>
            <w:hideMark/>
          </w:tcPr>
          <w:p w14:paraId="7B96499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43 025</w:t>
            </w:r>
          </w:p>
        </w:tc>
        <w:tc>
          <w:tcPr>
            <w:tcW w:w="947" w:type="dxa"/>
            <w:tcBorders>
              <w:top w:val="nil"/>
              <w:left w:val="nil"/>
              <w:bottom w:val="single" w:sz="4" w:space="0" w:color="auto"/>
              <w:right w:val="single" w:sz="4" w:space="0" w:color="auto"/>
            </w:tcBorders>
            <w:shd w:val="clear" w:color="auto" w:fill="auto"/>
            <w:hideMark/>
          </w:tcPr>
          <w:p w14:paraId="4F9191B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29 958</w:t>
            </w:r>
          </w:p>
        </w:tc>
        <w:tc>
          <w:tcPr>
            <w:tcW w:w="947" w:type="dxa"/>
            <w:tcBorders>
              <w:top w:val="nil"/>
              <w:left w:val="nil"/>
              <w:bottom w:val="single" w:sz="4" w:space="0" w:color="auto"/>
              <w:right w:val="single" w:sz="4" w:space="0" w:color="auto"/>
            </w:tcBorders>
            <w:shd w:val="clear" w:color="auto" w:fill="auto"/>
            <w:hideMark/>
          </w:tcPr>
          <w:p w14:paraId="1E8F5F4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23 801</w:t>
            </w:r>
          </w:p>
        </w:tc>
        <w:tc>
          <w:tcPr>
            <w:tcW w:w="947" w:type="dxa"/>
            <w:tcBorders>
              <w:top w:val="nil"/>
              <w:left w:val="nil"/>
              <w:bottom w:val="single" w:sz="4" w:space="0" w:color="auto"/>
              <w:right w:val="single" w:sz="4" w:space="0" w:color="auto"/>
            </w:tcBorders>
            <w:shd w:val="clear" w:color="auto" w:fill="auto"/>
            <w:hideMark/>
          </w:tcPr>
          <w:p w14:paraId="7D46620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20 058</w:t>
            </w:r>
          </w:p>
        </w:tc>
        <w:tc>
          <w:tcPr>
            <w:tcW w:w="946" w:type="dxa"/>
            <w:tcBorders>
              <w:top w:val="nil"/>
              <w:left w:val="nil"/>
              <w:bottom w:val="single" w:sz="4" w:space="0" w:color="auto"/>
              <w:right w:val="single" w:sz="4" w:space="0" w:color="auto"/>
            </w:tcBorders>
            <w:shd w:val="clear" w:color="auto" w:fill="auto"/>
            <w:hideMark/>
          </w:tcPr>
          <w:p w14:paraId="102ACA4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17 026</w:t>
            </w:r>
          </w:p>
        </w:tc>
        <w:tc>
          <w:tcPr>
            <w:tcW w:w="1189" w:type="dxa"/>
            <w:tcBorders>
              <w:top w:val="nil"/>
              <w:left w:val="nil"/>
              <w:bottom w:val="single" w:sz="4" w:space="0" w:color="auto"/>
              <w:right w:val="single" w:sz="8" w:space="0" w:color="auto"/>
            </w:tcBorders>
            <w:shd w:val="clear" w:color="auto" w:fill="auto"/>
            <w:hideMark/>
          </w:tcPr>
          <w:p w14:paraId="549FFB9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14 797</w:t>
            </w:r>
          </w:p>
        </w:tc>
      </w:tr>
      <w:tr w:rsidR="005B6AF9" w:rsidRPr="004135FE" w14:paraId="10FA60E2"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2BFE6AAF"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5A4F8A3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tcBorders>
              <w:top w:val="nil"/>
              <w:left w:val="single" w:sz="4" w:space="0" w:color="auto"/>
              <w:bottom w:val="single" w:sz="4" w:space="0" w:color="auto"/>
              <w:right w:val="single" w:sz="4" w:space="0" w:color="auto"/>
            </w:tcBorders>
            <w:shd w:val="clear" w:color="auto" w:fill="auto"/>
            <w:hideMark/>
          </w:tcPr>
          <w:p w14:paraId="3877887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777" w:type="dxa"/>
            <w:tcBorders>
              <w:top w:val="nil"/>
              <w:left w:val="nil"/>
              <w:bottom w:val="single" w:sz="4" w:space="0" w:color="auto"/>
              <w:right w:val="single" w:sz="4" w:space="0" w:color="auto"/>
            </w:tcBorders>
            <w:shd w:val="clear" w:color="auto" w:fill="auto"/>
            <w:hideMark/>
          </w:tcPr>
          <w:p w14:paraId="5CBA7D6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1 395</w:t>
            </w:r>
          </w:p>
        </w:tc>
        <w:tc>
          <w:tcPr>
            <w:tcW w:w="893" w:type="dxa"/>
            <w:tcBorders>
              <w:top w:val="nil"/>
              <w:left w:val="nil"/>
              <w:bottom w:val="single" w:sz="4" w:space="0" w:color="auto"/>
              <w:right w:val="single" w:sz="4" w:space="0" w:color="auto"/>
            </w:tcBorders>
            <w:shd w:val="clear" w:color="auto" w:fill="auto"/>
            <w:hideMark/>
          </w:tcPr>
          <w:p w14:paraId="7969487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6 903</w:t>
            </w:r>
          </w:p>
        </w:tc>
        <w:tc>
          <w:tcPr>
            <w:tcW w:w="889" w:type="dxa"/>
            <w:tcBorders>
              <w:top w:val="nil"/>
              <w:left w:val="nil"/>
              <w:bottom w:val="single" w:sz="4" w:space="0" w:color="auto"/>
              <w:right w:val="single" w:sz="4" w:space="0" w:color="auto"/>
            </w:tcBorders>
            <w:shd w:val="clear" w:color="auto" w:fill="auto"/>
            <w:hideMark/>
          </w:tcPr>
          <w:p w14:paraId="570D964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8 278</w:t>
            </w:r>
          </w:p>
        </w:tc>
        <w:tc>
          <w:tcPr>
            <w:tcW w:w="946" w:type="dxa"/>
            <w:tcBorders>
              <w:top w:val="nil"/>
              <w:left w:val="nil"/>
              <w:bottom w:val="single" w:sz="4" w:space="0" w:color="auto"/>
              <w:right w:val="single" w:sz="4" w:space="0" w:color="auto"/>
            </w:tcBorders>
            <w:shd w:val="clear" w:color="auto" w:fill="auto"/>
            <w:hideMark/>
          </w:tcPr>
          <w:p w14:paraId="3F4A2F3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6 797</w:t>
            </w:r>
          </w:p>
        </w:tc>
        <w:tc>
          <w:tcPr>
            <w:tcW w:w="947" w:type="dxa"/>
            <w:tcBorders>
              <w:top w:val="nil"/>
              <w:left w:val="nil"/>
              <w:bottom w:val="single" w:sz="4" w:space="0" w:color="auto"/>
              <w:right w:val="single" w:sz="4" w:space="0" w:color="auto"/>
            </w:tcBorders>
            <w:shd w:val="clear" w:color="auto" w:fill="auto"/>
            <w:hideMark/>
          </w:tcPr>
          <w:p w14:paraId="1C02A85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3 556</w:t>
            </w:r>
          </w:p>
        </w:tc>
        <w:tc>
          <w:tcPr>
            <w:tcW w:w="947" w:type="dxa"/>
            <w:tcBorders>
              <w:top w:val="nil"/>
              <w:left w:val="nil"/>
              <w:bottom w:val="single" w:sz="4" w:space="0" w:color="auto"/>
              <w:right w:val="single" w:sz="4" w:space="0" w:color="auto"/>
            </w:tcBorders>
            <w:shd w:val="clear" w:color="auto" w:fill="auto"/>
            <w:hideMark/>
          </w:tcPr>
          <w:p w14:paraId="2D00535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2 809</w:t>
            </w:r>
          </w:p>
        </w:tc>
        <w:tc>
          <w:tcPr>
            <w:tcW w:w="947" w:type="dxa"/>
            <w:tcBorders>
              <w:top w:val="nil"/>
              <w:left w:val="nil"/>
              <w:bottom w:val="single" w:sz="4" w:space="0" w:color="auto"/>
              <w:right w:val="single" w:sz="4" w:space="0" w:color="auto"/>
            </w:tcBorders>
            <w:shd w:val="clear" w:color="auto" w:fill="auto"/>
            <w:hideMark/>
          </w:tcPr>
          <w:p w14:paraId="008A0C9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15 424</w:t>
            </w:r>
          </w:p>
        </w:tc>
        <w:tc>
          <w:tcPr>
            <w:tcW w:w="947" w:type="dxa"/>
            <w:tcBorders>
              <w:top w:val="nil"/>
              <w:left w:val="nil"/>
              <w:bottom w:val="single" w:sz="4" w:space="0" w:color="auto"/>
              <w:right w:val="single" w:sz="4" w:space="0" w:color="auto"/>
            </w:tcBorders>
            <w:shd w:val="clear" w:color="auto" w:fill="auto"/>
            <w:hideMark/>
          </w:tcPr>
          <w:p w14:paraId="4B12E55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17 441</w:t>
            </w:r>
          </w:p>
        </w:tc>
        <w:tc>
          <w:tcPr>
            <w:tcW w:w="947" w:type="dxa"/>
            <w:tcBorders>
              <w:top w:val="nil"/>
              <w:left w:val="nil"/>
              <w:bottom w:val="single" w:sz="4" w:space="0" w:color="auto"/>
              <w:right w:val="single" w:sz="4" w:space="0" w:color="auto"/>
            </w:tcBorders>
            <w:shd w:val="clear" w:color="auto" w:fill="auto"/>
            <w:hideMark/>
          </w:tcPr>
          <w:p w14:paraId="2EF4E93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13 003</w:t>
            </w:r>
          </w:p>
        </w:tc>
        <w:tc>
          <w:tcPr>
            <w:tcW w:w="947" w:type="dxa"/>
            <w:tcBorders>
              <w:top w:val="nil"/>
              <w:left w:val="nil"/>
              <w:bottom w:val="single" w:sz="4" w:space="0" w:color="auto"/>
              <w:right w:val="single" w:sz="4" w:space="0" w:color="auto"/>
            </w:tcBorders>
            <w:shd w:val="clear" w:color="auto" w:fill="auto"/>
            <w:hideMark/>
          </w:tcPr>
          <w:p w14:paraId="04A3A12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10 366</w:t>
            </w:r>
          </w:p>
        </w:tc>
        <w:tc>
          <w:tcPr>
            <w:tcW w:w="946" w:type="dxa"/>
            <w:tcBorders>
              <w:top w:val="nil"/>
              <w:left w:val="nil"/>
              <w:bottom w:val="single" w:sz="4" w:space="0" w:color="auto"/>
              <w:right w:val="single" w:sz="4" w:space="0" w:color="auto"/>
            </w:tcBorders>
            <w:shd w:val="clear" w:color="auto" w:fill="auto"/>
            <w:hideMark/>
          </w:tcPr>
          <w:p w14:paraId="146AE5A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8 213</w:t>
            </w:r>
          </w:p>
        </w:tc>
        <w:tc>
          <w:tcPr>
            <w:tcW w:w="1189" w:type="dxa"/>
            <w:tcBorders>
              <w:top w:val="nil"/>
              <w:left w:val="nil"/>
              <w:bottom w:val="single" w:sz="4" w:space="0" w:color="auto"/>
              <w:right w:val="single" w:sz="8" w:space="0" w:color="auto"/>
            </w:tcBorders>
            <w:shd w:val="clear" w:color="auto" w:fill="auto"/>
            <w:hideMark/>
          </w:tcPr>
          <w:p w14:paraId="63FA361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5 871</w:t>
            </w:r>
          </w:p>
        </w:tc>
      </w:tr>
      <w:tr w:rsidR="005B6AF9" w:rsidRPr="004135FE" w14:paraId="74516B01"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706384FB"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34F18AF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tcBorders>
              <w:top w:val="nil"/>
              <w:left w:val="single" w:sz="4" w:space="0" w:color="auto"/>
              <w:bottom w:val="single" w:sz="4" w:space="0" w:color="auto"/>
              <w:right w:val="single" w:sz="4" w:space="0" w:color="auto"/>
            </w:tcBorders>
            <w:shd w:val="clear" w:color="auto" w:fill="auto"/>
            <w:hideMark/>
          </w:tcPr>
          <w:p w14:paraId="316C1FD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777" w:type="dxa"/>
            <w:tcBorders>
              <w:top w:val="nil"/>
              <w:left w:val="nil"/>
              <w:bottom w:val="single" w:sz="4" w:space="0" w:color="auto"/>
              <w:right w:val="single" w:sz="4" w:space="0" w:color="auto"/>
            </w:tcBorders>
            <w:shd w:val="clear" w:color="auto" w:fill="auto"/>
            <w:hideMark/>
          </w:tcPr>
          <w:p w14:paraId="1C0E17E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1 425</w:t>
            </w:r>
          </w:p>
        </w:tc>
        <w:tc>
          <w:tcPr>
            <w:tcW w:w="893" w:type="dxa"/>
            <w:tcBorders>
              <w:top w:val="nil"/>
              <w:left w:val="nil"/>
              <w:bottom w:val="single" w:sz="4" w:space="0" w:color="auto"/>
              <w:right w:val="single" w:sz="4" w:space="0" w:color="auto"/>
            </w:tcBorders>
            <w:shd w:val="clear" w:color="auto" w:fill="auto"/>
            <w:hideMark/>
          </w:tcPr>
          <w:p w14:paraId="63B6E2F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7 544</w:t>
            </w:r>
          </w:p>
        </w:tc>
        <w:tc>
          <w:tcPr>
            <w:tcW w:w="889" w:type="dxa"/>
            <w:tcBorders>
              <w:top w:val="nil"/>
              <w:left w:val="nil"/>
              <w:bottom w:val="single" w:sz="4" w:space="0" w:color="auto"/>
              <w:right w:val="single" w:sz="4" w:space="0" w:color="auto"/>
            </w:tcBorders>
            <w:shd w:val="clear" w:color="auto" w:fill="auto"/>
            <w:hideMark/>
          </w:tcPr>
          <w:p w14:paraId="7A2ECBF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9 458</w:t>
            </w:r>
          </w:p>
        </w:tc>
        <w:tc>
          <w:tcPr>
            <w:tcW w:w="946" w:type="dxa"/>
            <w:tcBorders>
              <w:top w:val="nil"/>
              <w:left w:val="nil"/>
              <w:bottom w:val="single" w:sz="4" w:space="0" w:color="auto"/>
              <w:right w:val="single" w:sz="4" w:space="0" w:color="auto"/>
            </w:tcBorders>
            <w:shd w:val="clear" w:color="auto" w:fill="auto"/>
            <w:hideMark/>
          </w:tcPr>
          <w:p w14:paraId="70549F1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8 739</w:t>
            </w:r>
          </w:p>
        </w:tc>
        <w:tc>
          <w:tcPr>
            <w:tcW w:w="947" w:type="dxa"/>
            <w:tcBorders>
              <w:top w:val="nil"/>
              <w:left w:val="nil"/>
              <w:bottom w:val="single" w:sz="4" w:space="0" w:color="auto"/>
              <w:right w:val="single" w:sz="4" w:space="0" w:color="auto"/>
            </w:tcBorders>
            <w:shd w:val="clear" w:color="auto" w:fill="auto"/>
            <w:hideMark/>
          </w:tcPr>
          <w:p w14:paraId="7967609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4 971</w:t>
            </w:r>
          </w:p>
        </w:tc>
        <w:tc>
          <w:tcPr>
            <w:tcW w:w="947" w:type="dxa"/>
            <w:tcBorders>
              <w:top w:val="nil"/>
              <w:left w:val="nil"/>
              <w:bottom w:val="single" w:sz="4" w:space="0" w:color="auto"/>
              <w:right w:val="single" w:sz="4" w:space="0" w:color="auto"/>
            </w:tcBorders>
            <w:shd w:val="clear" w:color="auto" w:fill="auto"/>
            <w:hideMark/>
          </w:tcPr>
          <w:p w14:paraId="0DF2303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5 699</w:t>
            </w:r>
          </w:p>
        </w:tc>
        <w:tc>
          <w:tcPr>
            <w:tcW w:w="947" w:type="dxa"/>
            <w:tcBorders>
              <w:top w:val="nil"/>
              <w:left w:val="nil"/>
              <w:bottom w:val="single" w:sz="4" w:space="0" w:color="auto"/>
              <w:right w:val="single" w:sz="4" w:space="0" w:color="auto"/>
            </w:tcBorders>
            <w:shd w:val="clear" w:color="auto" w:fill="auto"/>
            <w:hideMark/>
          </w:tcPr>
          <w:p w14:paraId="1F317FD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20 050</w:t>
            </w:r>
          </w:p>
        </w:tc>
        <w:tc>
          <w:tcPr>
            <w:tcW w:w="947" w:type="dxa"/>
            <w:tcBorders>
              <w:top w:val="nil"/>
              <w:left w:val="nil"/>
              <w:bottom w:val="single" w:sz="4" w:space="0" w:color="auto"/>
              <w:right w:val="single" w:sz="4" w:space="0" w:color="auto"/>
            </w:tcBorders>
            <w:shd w:val="clear" w:color="auto" w:fill="auto"/>
            <w:hideMark/>
          </w:tcPr>
          <w:p w14:paraId="4901E8E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20 560</w:t>
            </w:r>
          </w:p>
        </w:tc>
        <w:tc>
          <w:tcPr>
            <w:tcW w:w="947" w:type="dxa"/>
            <w:tcBorders>
              <w:top w:val="nil"/>
              <w:left w:val="nil"/>
              <w:bottom w:val="single" w:sz="4" w:space="0" w:color="auto"/>
              <w:right w:val="single" w:sz="4" w:space="0" w:color="auto"/>
            </w:tcBorders>
            <w:shd w:val="clear" w:color="auto" w:fill="auto"/>
            <w:hideMark/>
          </w:tcPr>
          <w:p w14:paraId="69505CD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15 545</w:t>
            </w:r>
          </w:p>
        </w:tc>
        <w:tc>
          <w:tcPr>
            <w:tcW w:w="947" w:type="dxa"/>
            <w:tcBorders>
              <w:top w:val="nil"/>
              <w:left w:val="nil"/>
              <w:bottom w:val="single" w:sz="4" w:space="0" w:color="auto"/>
              <w:right w:val="single" w:sz="4" w:space="0" w:color="auto"/>
            </w:tcBorders>
            <w:shd w:val="clear" w:color="auto" w:fill="auto"/>
            <w:hideMark/>
          </w:tcPr>
          <w:p w14:paraId="4B06F1D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13 325</w:t>
            </w:r>
          </w:p>
        </w:tc>
        <w:tc>
          <w:tcPr>
            <w:tcW w:w="946" w:type="dxa"/>
            <w:tcBorders>
              <w:top w:val="nil"/>
              <w:left w:val="nil"/>
              <w:bottom w:val="single" w:sz="4" w:space="0" w:color="auto"/>
              <w:right w:val="single" w:sz="4" w:space="0" w:color="auto"/>
            </w:tcBorders>
            <w:shd w:val="clear" w:color="auto" w:fill="auto"/>
            <w:hideMark/>
          </w:tcPr>
          <w:p w14:paraId="6479568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11 035</w:t>
            </w:r>
          </w:p>
        </w:tc>
        <w:tc>
          <w:tcPr>
            <w:tcW w:w="1189" w:type="dxa"/>
            <w:tcBorders>
              <w:top w:val="nil"/>
              <w:left w:val="nil"/>
              <w:bottom w:val="single" w:sz="4" w:space="0" w:color="auto"/>
              <w:right w:val="single" w:sz="8" w:space="0" w:color="auto"/>
            </w:tcBorders>
            <w:shd w:val="clear" w:color="auto" w:fill="auto"/>
            <w:hideMark/>
          </w:tcPr>
          <w:p w14:paraId="1DF8FEB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9 039</w:t>
            </w:r>
          </w:p>
        </w:tc>
      </w:tr>
      <w:tr w:rsidR="005B6AF9" w:rsidRPr="004135FE" w14:paraId="1B00215A"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7282F71A"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254E967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tcBorders>
              <w:top w:val="nil"/>
              <w:left w:val="single" w:sz="4" w:space="0" w:color="auto"/>
              <w:bottom w:val="single" w:sz="4" w:space="0" w:color="auto"/>
              <w:right w:val="single" w:sz="4" w:space="0" w:color="auto"/>
            </w:tcBorders>
            <w:shd w:val="clear" w:color="auto" w:fill="auto"/>
            <w:hideMark/>
          </w:tcPr>
          <w:p w14:paraId="52EEE3A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777" w:type="dxa"/>
            <w:tcBorders>
              <w:top w:val="nil"/>
              <w:left w:val="nil"/>
              <w:bottom w:val="single" w:sz="4" w:space="0" w:color="auto"/>
              <w:right w:val="single" w:sz="4" w:space="0" w:color="auto"/>
            </w:tcBorders>
            <w:shd w:val="clear" w:color="auto" w:fill="auto"/>
            <w:hideMark/>
          </w:tcPr>
          <w:p w14:paraId="319FDBF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1 497</w:t>
            </w:r>
          </w:p>
        </w:tc>
        <w:tc>
          <w:tcPr>
            <w:tcW w:w="893" w:type="dxa"/>
            <w:tcBorders>
              <w:top w:val="nil"/>
              <w:left w:val="nil"/>
              <w:bottom w:val="single" w:sz="4" w:space="0" w:color="auto"/>
              <w:right w:val="single" w:sz="4" w:space="0" w:color="auto"/>
            </w:tcBorders>
            <w:shd w:val="clear" w:color="auto" w:fill="auto"/>
            <w:hideMark/>
          </w:tcPr>
          <w:p w14:paraId="5CC5DD2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6 221</w:t>
            </w:r>
          </w:p>
        </w:tc>
        <w:tc>
          <w:tcPr>
            <w:tcW w:w="889" w:type="dxa"/>
            <w:tcBorders>
              <w:top w:val="nil"/>
              <w:left w:val="nil"/>
              <w:bottom w:val="single" w:sz="4" w:space="0" w:color="auto"/>
              <w:right w:val="single" w:sz="4" w:space="0" w:color="auto"/>
            </w:tcBorders>
            <w:shd w:val="clear" w:color="auto" w:fill="auto"/>
            <w:hideMark/>
          </w:tcPr>
          <w:p w14:paraId="2DC2263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5 998</w:t>
            </w:r>
          </w:p>
        </w:tc>
        <w:tc>
          <w:tcPr>
            <w:tcW w:w="946" w:type="dxa"/>
            <w:tcBorders>
              <w:top w:val="nil"/>
              <w:left w:val="nil"/>
              <w:bottom w:val="single" w:sz="4" w:space="0" w:color="auto"/>
              <w:right w:val="single" w:sz="4" w:space="0" w:color="auto"/>
            </w:tcBorders>
            <w:shd w:val="clear" w:color="auto" w:fill="auto"/>
            <w:hideMark/>
          </w:tcPr>
          <w:p w14:paraId="0C41E2C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4 522</w:t>
            </w:r>
          </w:p>
        </w:tc>
        <w:tc>
          <w:tcPr>
            <w:tcW w:w="947" w:type="dxa"/>
            <w:tcBorders>
              <w:top w:val="nil"/>
              <w:left w:val="nil"/>
              <w:bottom w:val="single" w:sz="4" w:space="0" w:color="auto"/>
              <w:right w:val="single" w:sz="4" w:space="0" w:color="auto"/>
            </w:tcBorders>
            <w:shd w:val="clear" w:color="auto" w:fill="auto"/>
            <w:hideMark/>
          </w:tcPr>
          <w:p w14:paraId="56A5C65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1 862</w:t>
            </w:r>
          </w:p>
        </w:tc>
        <w:tc>
          <w:tcPr>
            <w:tcW w:w="947" w:type="dxa"/>
            <w:tcBorders>
              <w:top w:val="nil"/>
              <w:left w:val="nil"/>
              <w:bottom w:val="single" w:sz="4" w:space="0" w:color="auto"/>
              <w:right w:val="single" w:sz="4" w:space="0" w:color="auto"/>
            </w:tcBorders>
            <w:shd w:val="clear" w:color="auto" w:fill="auto"/>
            <w:hideMark/>
          </w:tcPr>
          <w:p w14:paraId="30B777A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924</w:t>
            </w:r>
          </w:p>
        </w:tc>
        <w:tc>
          <w:tcPr>
            <w:tcW w:w="947" w:type="dxa"/>
            <w:tcBorders>
              <w:top w:val="nil"/>
              <w:left w:val="nil"/>
              <w:bottom w:val="single" w:sz="4" w:space="0" w:color="auto"/>
              <w:right w:val="single" w:sz="4" w:space="0" w:color="auto"/>
            </w:tcBorders>
            <w:shd w:val="clear" w:color="auto" w:fill="auto"/>
            <w:hideMark/>
          </w:tcPr>
          <w:p w14:paraId="0975753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10 121</w:t>
            </w:r>
          </w:p>
        </w:tc>
        <w:tc>
          <w:tcPr>
            <w:tcW w:w="947" w:type="dxa"/>
            <w:tcBorders>
              <w:top w:val="nil"/>
              <w:left w:val="nil"/>
              <w:bottom w:val="single" w:sz="4" w:space="0" w:color="auto"/>
              <w:right w:val="single" w:sz="4" w:space="0" w:color="auto"/>
            </w:tcBorders>
            <w:shd w:val="clear" w:color="auto" w:fill="auto"/>
            <w:hideMark/>
          </w:tcPr>
          <w:p w14:paraId="7A1F9AD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10 460</w:t>
            </w:r>
          </w:p>
        </w:tc>
        <w:tc>
          <w:tcPr>
            <w:tcW w:w="947" w:type="dxa"/>
            <w:tcBorders>
              <w:top w:val="nil"/>
              <w:left w:val="nil"/>
              <w:bottom w:val="single" w:sz="4" w:space="0" w:color="auto"/>
              <w:right w:val="single" w:sz="4" w:space="0" w:color="auto"/>
            </w:tcBorders>
            <w:shd w:val="clear" w:color="auto" w:fill="auto"/>
            <w:hideMark/>
          </w:tcPr>
          <w:p w14:paraId="2985449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7 269</w:t>
            </w:r>
          </w:p>
        </w:tc>
        <w:tc>
          <w:tcPr>
            <w:tcW w:w="947" w:type="dxa"/>
            <w:tcBorders>
              <w:top w:val="nil"/>
              <w:left w:val="nil"/>
              <w:bottom w:val="single" w:sz="4" w:space="0" w:color="auto"/>
              <w:right w:val="single" w:sz="4" w:space="0" w:color="auto"/>
            </w:tcBorders>
            <w:shd w:val="clear" w:color="auto" w:fill="auto"/>
            <w:hideMark/>
          </w:tcPr>
          <w:p w14:paraId="78A4235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5 998</w:t>
            </w:r>
          </w:p>
        </w:tc>
        <w:tc>
          <w:tcPr>
            <w:tcW w:w="946" w:type="dxa"/>
            <w:tcBorders>
              <w:top w:val="nil"/>
              <w:left w:val="nil"/>
              <w:bottom w:val="single" w:sz="4" w:space="0" w:color="auto"/>
              <w:right w:val="single" w:sz="4" w:space="0" w:color="auto"/>
            </w:tcBorders>
            <w:shd w:val="clear" w:color="auto" w:fill="auto"/>
            <w:hideMark/>
          </w:tcPr>
          <w:p w14:paraId="4BED01C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4 083</w:t>
            </w:r>
          </w:p>
        </w:tc>
        <w:tc>
          <w:tcPr>
            <w:tcW w:w="1189" w:type="dxa"/>
            <w:tcBorders>
              <w:top w:val="nil"/>
              <w:left w:val="nil"/>
              <w:bottom w:val="single" w:sz="4" w:space="0" w:color="auto"/>
              <w:right w:val="single" w:sz="8" w:space="0" w:color="auto"/>
            </w:tcBorders>
            <w:shd w:val="clear" w:color="auto" w:fill="auto"/>
            <w:hideMark/>
          </w:tcPr>
          <w:p w14:paraId="5E69C6E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2 508</w:t>
            </w:r>
          </w:p>
        </w:tc>
      </w:tr>
      <w:tr w:rsidR="005B6AF9" w:rsidRPr="004135FE" w14:paraId="2459D4B7"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6F0C2B38"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8" w:space="0" w:color="auto"/>
              <w:right w:val="single" w:sz="4" w:space="0" w:color="auto"/>
            </w:tcBorders>
            <w:shd w:val="clear" w:color="auto" w:fill="auto"/>
            <w:hideMark/>
          </w:tcPr>
          <w:p w14:paraId="40E3060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tcBorders>
              <w:top w:val="nil"/>
              <w:left w:val="single" w:sz="4" w:space="0" w:color="auto"/>
              <w:bottom w:val="single" w:sz="8" w:space="0" w:color="auto"/>
              <w:right w:val="single" w:sz="4" w:space="0" w:color="auto"/>
            </w:tcBorders>
            <w:shd w:val="clear" w:color="auto" w:fill="auto"/>
            <w:hideMark/>
          </w:tcPr>
          <w:p w14:paraId="606ABF4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777" w:type="dxa"/>
            <w:tcBorders>
              <w:top w:val="nil"/>
              <w:left w:val="nil"/>
              <w:bottom w:val="single" w:sz="8" w:space="0" w:color="auto"/>
              <w:right w:val="single" w:sz="4" w:space="0" w:color="auto"/>
            </w:tcBorders>
            <w:shd w:val="clear" w:color="auto" w:fill="auto"/>
            <w:hideMark/>
          </w:tcPr>
          <w:p w14:paraId="7A38582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1 983</w:t>
            </w:r>
          </w:p>
        </w:tc>
        <w:tc>
          <w:tcPr>
            <w:tcW w:w="893" w:type="dxa"/>
            <w:tcBorders>
              <w:top w:val="nil"/>
              <w:left w:val="nil"/>
              <w:bottom w:val="single" w:sz="8" w:space="0" w:color="auto"/>
              <w:right w:val="single" w:sz="4" w:space="0" w:color="auto"/>
            </w:tcBorders>
            <w:shd w:val="clear" w:color="auto" w:fill="auto"/>
            <w:hideMark/>
          </w:tcPr>
          <w:p w14:paraId="5E9C040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8 936</w:t>
            </w:r>
          </w:p>
        </w:tc>
        <w:tc>
          <w:tcPr>
            <w:tcW w:w="889" w:type="dxa"/>
            <w:tcBorders>
              <w:top w:val="nil"/>
              <w:left w:val="nil"/>
              <w:bottom w:val="single" w:sz="8" w:space="0" w:color="auto"/>
              <w:right w:val="single" w:sz="4" w:space="0" w:color="auto"/>
            </w:tcBorders>
            <w:shd w:val="clear" w:color="auto" w:fill="auto"/>
            <w:hideMark/>
          </w:tcPr>
          <w:p w14:paraId="22534B4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10 398</w:t>
            </w:r>
          </w:p>
        </w:tc>
        <w:tc>
          <w:tcPr>
            <w:tcW w:w="946" w:type="dxa"/>
            <w:tcBorders>
              <w:top w:val="nil"/>
              <w:left w:val="nil"/>
              <w:bottom w:val="single" w:sz="8" w:space="0" w:color="auto"/>
              <w:right w:val="single" w:sz="4" w:space="0" w:color="auto"/>
            </w:tcBorders>
            <w:shd w:val="clear" w:color="auto" w:fill="auto"/>
            <w:hideMark/>
          </w:tcPr>
          <w:p w14:paraId="707A8D6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8 928</w:t>
            </w:r>
          </w:p>
        </w:tc>
        <w:tc>
          <w:tcPr>
            <w:tcW w:w="947" w:type="dxa"/>
            <w:tcBorders>
              <w:top w:val="nil"/>
              <w:left w:val="nil"/>
              <w:bottom w:val="single" w:sz="8" w:space="0" w:color="auto"/>
              <w:right w:val="single" w:sz="4" w:space="0" w:color="auto"/>
            </w:tcBorders>
            <w:shd w:val="clear" w:color="auto" w:fill="auto"/>
            <w:hideMark/>
          </w:tcPr>
          <w:p w14:paraId="288F4FE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4 019</w:t>
            </w:r>
          </w:p>
        </w:tc>
        <w:tc>
          <w:tcPr>
            <w:tcW w:w="947" w:type="dxa"/>
            <w:tcBorders>
              <w:top w:val="nil"/>
              <w:left w:val="nil"/>
              <w:bottom w:val="single" w:sz="8" w:space="0" w:color="auto"/>
              <w:right w:val="single" w:sz="4" w:space="0" w:color="auto"/>
            </w:tcBorders>
            <w:shd w:val="clear" w:color="auto" w:fill="auto"/>
            <w:hideMark/>
          </w:tcPr>
          <w:p w14:paraId="1CF946A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2 356</w:t>
            </w:r>
          </w:p>
        </w:tc>
        <w:tc>
          <w:tcPr>
            <w:tcW w:w="947" w:type="dxa"/>
            <w:tcBorders>
              <w:top w:val="nil"/>
              <w:left w:val="nil"/>
              <w:bottom w:val="single" w:sz="8" w:space="0" w:color="auto"/>
              <w:right w:val="single" w:sz="4" w:space="0" w:color="auto"/>
            </w:tcBorders>
            <w:shd w:val="clear" w:color="auto" w:fill="auto"/>
            <w:hideMark/>
          </w:tcPr>
          <w:p w14:paraId="2217760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17 751</w:t>
            </w:r>
          </w:p>
        </w:tc>
        <w:tc>
          <w:tcPr>
            <w:tcW w:w="947" w:type="dxa"/>
            <w:tcBorders>
              <w:top w:val="nil"/>
              <w:left w:val="nil"/>
              <w:bottom w:val="single" w:sz="8" w:space="0" w:color="auto"/>
              <w:right w:val="single" w:sz="4" w:space="0" w:color="auto"/>
            </w:tcBorders>
            <w:shd w:val="clear" w:color="auto" w:fill="auto"/>
            <w:hideMark/>
          </w:tcPr>
          <w:p w14:paraId="7918388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23 258</w:t>
            </w:r>
          </w:p>
        </w:tc>
        <w:tc>
          <w:tcPr>
            <w:tcW w:w="947" w:type="dxa"/>
            <w:tcBorders>
              <w:top w:val="nil"/>
              <w:left w:val="nil"/>
              <w:bottom w:val="single" w:sz="8" w:space="0" w:color="auto"/>
              <w:right w:val="single" w:sz="4" w:space="0" w:color="auto"/>
            </w:tcBorders>
            <w:shd w:val="clear" w:color="auto" w:fill="auto"/>
            <w:hideMark/>
          </w:tcPr>
          <w:p w14:paraId="313D2CD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17 369</w:t>
            </w:r>
          </w:p>
        </w:tc>
        <w:tc>
          <w:tcPr>
            <w:tcW w:w="947" w:type="dxa"/>
            <w:tcBorders>
              <w:top w:val="nil"/>
              <w:left w:val="nil"/>
              <w:bottom w:val="single" w:sz="8" w:space="0" w:color="auto"/>
              <w:right w:val="single" w:sz="4" w:space="0" w:color="auto"/>
            </w:tcBorders>
            <w:shd w:val="clear" w:color="auto" w:fill="auto"/>
            <w:hideMark/>
          </w:tcPr>
          <w:p w14:paraId="12ED3A5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14 669</w:t>
            </w:r>
          </w:p>
        </w:tc>
        <w:tc>
          <w:tcPr>
            <w:tcW w:w="946" w:type="dxa"/>
            <w:tcBorders>
              <w:top w:val="nil"/>
              <w:left w:val="nil"/>
              <w:bottom w:val="single" w:sz="8" w:space="0" w:color="auto"/>
              <w:right w:val="single" w:sz="4" w:space="0" w:color="auto"/>
            </w:tcBorders>
            <w:shd w:val="clear" w:color="auto" w:fill="auto"/>
            <w:hideMark/>
          </w:tcPr>
          <w:p w14:paraId="31E43BC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12 514</w:t>
            </w:r>
          </w:p>
        </w:tc>
        <w:tc>
          <w:tcPr>
            <w:tcW w:w="1189" w:type="dxa"/>
            <w:tcBorders>
              <w:top w:val="nil"/>
              <w:left w:val="nil"/>
              <w:bottom w:val="single" w:sz="8" w:space="0" w:color="auto"/>
              <w:right w:val="single" w:sz="8" w:space="0" w:color="auto"/>
            </w:tcBorders>
            <w:shd w:val="clear" w:color="auto" w:fill="auto"/>
            <w:hideMark/>
          </w:tcPr>
          <w:p w14:paraId="1BD70EA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9 274</w:t>
            </w:r>
          </w:p>
        </w:tc>
      </w:tr>
      <w:tr w:rsidR="005B6AF9" w:rsidRPr="004135FE" w14:paraId="2D3A737D" w14:textId="77777777" w:rsidTr="00680E37">
        <w:trPr>
          <w:trHeight w:val="226"/>
        </w:trPr>
        <w:tc>
          <w:tcPr>
            <w:tcW w:w="554" w:type="dxa"/>
            <w:vMerge w:val="restart"/>
            <w:tcBorders>
              <w:top w:val="nil"/>
              <w:left w:val="single" w:sz="8" w:space="0" w:color="auto"/>
              <w:bottom w:val="single" w:sz="8" w:space="0" w:color="000000"/>
              <w:right w:val="single" w:sz="4" w:space="0" w:color="auto"/>
            </w:tcBorders>
            <w:shd w:val="clear" w:color="auto" w:fill="auto"/>
            <w:noWrap/>
            <w:textDirection w:val="btLr"/>
            <w:vAlign w:val="center"/>
            <w:hideMark/>
          </w:tcPr>
          <w:p w14:paraId="2542453A" w14:textId="77777777" w:rsidR="005B6AF9" w:rsidRPr="004135FE" w:rsidRDefault="005B6AF9"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2020г</w:t>
            </w:r>
          </w:p>
        </w:tc>
        <w:tc>
          <w:tcPr>
            <w:tcW w:w="485" w:type="dxa"/>
            <w:tcBorders>
              <w:top w:val="nil"/>
              <w:left w:val="nil"/>
              <w:bottom w:val="single" w:sz="4" w:space="0" w:color="auto"/>
              <w:right w:val="single" w:sz="4" w:space="0" w:color="auto"/>
            </w:tcBorders>
            <w:shd w:val="clear" w:color="auto" w:fill="auto"/>
            <w:hideMark/>
          </w:tcPr>
          <w:p w14:paraId="7A66864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tcBorders>
              <w:top w:val="nil"/>
              <w:left w:val="single" w:sz="4" w:space="0" w:color="auto"/>
              <w:bottom w:val="single" w:sz="4" w:space="0" w:color="auto"/>
              <w:right w:val="single" w:sz="4" w:space="0" w:color="auto"/>
            </w:tcBorders>
            <w:shd w:val="clear" w:color="auto" w:fill="auto"/>
            <w:hideMark/>
          </w:tcPr>
          <w:p w14:paraId="4A3950B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777" w:type="dxa"/>
            <w:tcBorders>
              <w:top w:val="nil"/>
              <w:left w:val="nil"/>
              <w:bottom w:val="single" w:sz="4" w:space="0" w:color="auto"/>
              <w:right w:val="single" w:sz="4" w:space="0" w:color="auto"/>
            </w:tcBorders>
            <w:shd w:val="clear" w:color="auto" w:fill="auto"/>
            <w:hideMark/>
          </w:tcPr>
          <w:p w14:paraId="13D9717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1 571</w:t>
            </w:r>
          </w:p>
        </w:tc>
        <w:tc>
          <w:tcPr>
            <w:tcW w:w="893" w:type="dxa"/>
            <w:tcBorders>
              <w:top w:val="nil"/>
              <w:left w:val="nil"/>
              <w:bottom w:val="single" w:sz="4" w:space="0" w:color="auto"/>
              <w:right w:val="single" w:sz="4" w:space="0" w:color="auto"/>
            </w:tcBorders>
            <w:shd w:val="clear" w:color="auto" w:fill="auto"/>
            <w:hideMark/>
          </w:tcPr>
          <w:p w14:paraId="17E3A46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8 821</w:t>
            </w:r>
          </w:p>
        </w:tc>
        <w:tc>
          <w:tcPr>
            <w:tcW w:w="889" w:type="dxa"/>
            <w:tcBorders>
              <w:top w:val="nil"/>
              <w:left w:val="nil"/>
              <w:bottom w:val="single" w:sz="4" w:space="0" w:color="auto"/>
              <w:right w:val="single" w:sz="4" w:space="0" w:color="auto"/>
            </w:tcBorders>
            <w:shd w:val="clear" w:color="auto" w:fill="auto"/>
            <w:hideMark/>
          </w:tcPr>
          <w:p w14:paraId="13279F2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11 230</w:t>
            </w:r>
          </w:p>
        </w:tc>
        <w:tc>
          <w:tcPr>
            <w:tcW w:w="946" w:type="dxa"/>
            <w:tcBorders>
              <w:top w:val="nil"/>
              <w:left w:val="nil"/>
              <w:bottom w:val="single" w:sz="4" w:space="0" w:color="auto"/>
              <w:right w:val="single" w:sz="4" w:space="0" w:color="auto"/>
            </w:tcBorders>
            <w:shd w:val="clear" w:color="auto" w:fill="auto"/>
            <w:hideMark/>
          </w:tcPr>
          <w:p w14:paraId="72122FF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10 102</w:t>
            </w:r>
          </w:p>
        </w:tc>
        <w:tc>
          <w:tcPr>
            <w:tcW w:w="947" w:type="dxa"/>
            <w:tcBorders>
              <w:top w:val="nil"/>
              <w:left w:val="nil"/>
              <w:bottom w:val="single" w:sz="4" w:space="0" w:color="auto"/>
              <w:right w:val="single" w:sz="4" w:space="0" w:color="auto"/>
            </w:tcBorders>
            <w:shd w:val="clear" w:color="auto" w:fill="auto"/>
            <w:hideMark/>
          </w:tcPr>
          <w:p w14:paraId="3EC67CB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6 087</w:t>
            </w:r>
          </w:p>
        </w:tc>
        <w:tc>
          <w:tcPr>
            <w:tcW w:w="947" w:type="dxa"/>
            <w:tcBorders>
              <w:top w:val="nil"/>
              <w:left w:val="nil"/>
              <w:bottom w:val="single" w:sz="4" w:space="0" w:color="auto"/>
              <w:right w:val="single" w:sz="4" w:space="0" w:color="auto"/>
            </w:tcBorders>
            <w:shd w:val="clear" w:color="auto" w:fill="auto"/>
            <w:hideMark/>
          </w:tcPr>
          <w:p w14:paraId="5FABEAB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8 193</w:t>
            </w:r>
          </w:p>
        </w:tc>
        <w:tc>
          <w:tcPr>
            <w:tcW w:w="947" w:type="dxa"/>
            <w:tcBorders>
              <w:top w:val="nil"/>
              <w:left w:val="nil"/>
              <w:bottom w:val="single" w:sz="4" w:space="0" w:color="auto"/>
              <w:right w:val="single" w:sz="4" w:space="0" w:color="auto"/>
            </w:tcBorders>
            <w:shd w:val="clear" w:color="auto" w:fill="auto"/>
            <w:hideMark/>
          </w:tcPr>
          <w:p w14:paraId="61589E6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34 117</w:t>
            </w:r>
          </w:p>
        </w:tc>
        <w:tc>
          <w:tcPr>
            <w:tcW w:w="947" w:type="dxa"/>
            <w:tcBorders>
              <w:top w:val="nil"/>
              <w:left w:val="nil"/>
              <w:bottom w:val="single" w:sz="4" w:space="0" w:color="auto"/>
              <w:right w:val="single" w:sz="4" w:space="0" w:color="auto"/>
            </w:tcBorders>
            <w:shd w:val="clear" w:color="auto" w:fill="auto"/>
            <w:hideMark/>
          </w:tcPr>
          <w:p w14:paraId="1FC20ED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29 470</w:t>
            </w:r>
          </w:p>
        </w:tc>
        <w:tc>
          <w:tcPr>
            <w:tcW w:w="947" w:type="dxa"/>
            <w:tcBorders>
              <w:top w:val="nil"/>
              <w:left w:val="nil"/>
              <w:bottom w:val="single" w:sz="4" w:space="0" w:color="auto"/>
              <w:right w:val="single" w:sz="4" w:space="0" w:color="auto"/>
            </w:tcBorders>
            <w:shd w:val="clear" w:color="auto" w:fill="auto"/>
            <w:hideMark/>
          </w:tcPr>
          <w:p w14:paraId="72C123A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25 507</w:t>
            </w:r>
          </w:p>
        </w:tc>
        <w:tc>
          <w:tcPr>
            <w:tcW w:w="947" w:type="dxa"/>
            <w:tcBorders>
              <w:top w:val="nil"/>
              <w:left w:val="nil"/>
              <w:bottom w:val="single" w:sz="4" w:space="0" w:color="auto"/>
              <w:right w:val="single" w:sz="4" w:space="0" w:color="auto"/>
            </w:tcBorders>
            <w:shd w:val="clear" w:color="auto" w:fill="auto"/>
            <w:hideMark/>
          </w:tcPr>
          <w:p w14:paraId="7680AE2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20 755</w:t>
            </w:r>
          </w:p>
        </w:tc>
        <w:tc>
          <w:tcPr>
            <w:tcW w:w="946" w:type="dxa"/>
            <w:tcBorders>
              <w:top w:val="nil"/>
              <w:left w:val="nil"/>
              <w:bottom w:val="single" w:sz="4" w:space="0" w:color="auto"/>
              <w:right w:val="single" w:sz="4" w:space="0" w:color="auto"/>
            </w:tcBorders>
            <w:shd w:val="clear" w:color="auto" w:fill="auto"/>
            <w:hideMark/>
          </w:tcPr>
          <w:p w14:paraId="41A6FAB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18 097</w:t>
            </w:r>
          </w:p>
        </w:tc>
        <w:tc>
          <w:tcPr>
            <w:tcW w:w="1189" w:type="dxa"/>
            <w:tcBorders>
              <w:top w:val="nil"/>
              <w:left w:val="nil"/>
              <w:bottom w:val="single" w:sz="4" w:space="0" w:color="auto"/>
              <w:right w:val="single" w:sz="8" w:space="0" w:color="auto"/>
            </w:tcBorders>
            <w:shd w:val="clear" w:color="auto" w:fill="auto"/>
            <w:hideMark/>
          </w:tcPr>
          <w:p w14:paraId="3DEC4C5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16 649</w:t>
            </w:r>
          </w:p>
        </w:tc>
      </w:tr>
      <w:tr w:rsidR="005B6AF9" w:rsidRPr="004135FE" w14:paraId="035F7436"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366D44DF"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18F7FD4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tcBorders>
              <w:top w:val="nil"/>
              <w:left w:val="single" w:sz="4" w:space="0" w:color="auto"/>
              <w:bottom w:val="single" w:sz="4" w:space="0" w:color="auto"/>
              <w:right w:val="single" w:sz="4" w:space="0" w:color="auto"/>
            </w:tcBorders>
            <w:shd w:val="clear" w:color="auto" w:fill="auto"/>
            <w:hideMark/>
          </w:tcPr>
          <w:p w14:paraId="7CBC2D3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777" w:type="dxa"/>
            <w:tcBorders>
              <w:top w:val="nil"/>
              <w:left w:val="nil"/>
              <w:bottom w:val="single" w:sz="4" w:space="0" w:color="auto"/>
              <w:right w:val="single" w:sz="4" w:space="0" w:color="auto"/>
            </w:tcBorders>
            <w:shd w:val="clear" w:color="auto" w:fill="auto"/>
            <w:hideMark/>
          </w:tcPr>
          <w:p w14:paraId="5A20499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3 372</w:t>
            </w:r>
          </w:p>
        </w:tc>
        <w:tc>
          <w:tcPr>
            <w:tcW w:w="893" w:type="dxa"/>
            <w:tcBorders>
              <w:top w:val="nil"/>
              <w:left w:val="nil"/>
              <w:bottom w:val="single" w:sz="4" w:space="0" w:color="auto"/>
              <w:right w:val="single" w:sz="4" w:space="0" w:color="auto"/>
            </w:tcBorders>
            <w:shd w:val="clear" w:color="auto" w:fill="auto"/>
            <w:hideMark/>
          </w:tcPr>
          <w:p w14:paraId="23B3E3D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14 054</w:t>
            </w:r>
          </w:p>
        </w:tc>
        <w:tc>
          <w:tcPr>
            <w:tcW w:w="889" w:type="dxa"/>
            <w:tcBorders>
              <w:top w:val="nil"/>
              <w:left w:val="nil"/>
              <w:bottom w:val="single" w:sz="4" w:space="0" w:color="auto"/>
              <w:right w:val="single" w:sz="4" w:space="0" w:color="auto"/>
            </w:tcBorders>
            <w:shd w:val="clear" w:color="auto" w:fill="auto"/>
            <w:hideMark/>
          </w:tcPr>
          <w:p w14:paraId="4737D17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13 815</w:t>
            </w:r>
          </w:p>
        </w:tc>
        <w:tc>
          <w:tcPr>
            <w:tcW w:w="946" w:type="dxa"/>
            <w:tcBorders>
              <w:top w:val="nil"/>
              <w:left w:val="nil"/>
              <w:bottom w:val="single" w:sz="4" w:space="0" w:color="auto"/>
              <w:right w:val="single" w:sz="4" w:space="0" w:color="auto"/>
            </w:tcBorders>
            <w:shd w:val="clear" w:color="auto" w:fill="auto"/>
            <w:hideMark/>
          </w:tcPr>
          <w:p w14:paraId="436ADA4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10 836</w:t>
            </w:r>
          </w:p>
        </w:tc>
        <w:tc>
          <w:tcPr>
            <w:tcW w:w="947" w:type="dxa"/>
            <w:tcBorders>
              <w:top w:val="nil"/>
              <w:left w:val="nil"/>
              <w:bottom w:val="single" w:sz="4" w:space="0" w:color="auto"/>
              <w:right w:val="single" w:sz="4" w:space="0" w:color="auto"/>
            </w:tcBorders>
            <w:shd w:val="clear" w:color="auto" w:fill="auto"/>
            <w:hideMark/>
          </w:tcPr>
          <w:p w14:paraId="7545BEA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4 652</w:t>
            </w:r>
          </w:p>
        </w:tc>
        <w:tc>
          <w:tcPr>
            <w:tcW w:w="947" w:type="dxa"/>
            <w:tcBorders>
              <w:top w:val="nil"/>
              <w:left w:val="nil"/>
              <w:bottom w:val="single" w:sz="4" w:space="0" w:color="auto"/>
              <w:right w:val="single" w:sz="4" w:space="0" w:color="auto"/>
            </w:tcBorders>
            <w:shd w:val="clear" w:color="auto" w:fill="auto"/>
            <w:hideMark/>
          </w:tcPr>
          <w:p w14:paraId="0FAFB7C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2 264</w:t>
            </w:r>
          </w:p>
        </w:tc>
        <w:tc>
          <w:tcPr>
            <w:tcW w:w="947" w:type="dxa"/>
            <w:tcBorders>
              <w:top w:val="nil"/>
              <w:left w:val="nil"/>
              <w:bottom w:val="single" w:sz="4" w:space="0" w:color="auto"/>
              <w:right w:val="single" w:sz="4" w:space="0" w:color="auto"/>
            </w:tcBorders>
            <w:shd w:val="clear" w:color="auto" w:fill="auto"/>
            <w:hideMark/>
          </w:tcPr>
          <w:p w14:paraId="63292BA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18 132</w:t>
            </w:r>
          </w:p>
        </w:tc>
        <w:tc>
          <w:tcPr>
            <w:tcW w:w="947" w:type="dxa"/>
            <w:tcBorders>
              <w:top w:val="nil"/>
              <w:left w:val="nil"/>
              <w:bottom w:val="single" w:sz="4" w:space="0" w:color="auto"/>
              <w:right w:val="single" w:sz="4" w:space="0" w:color="auto"/>
            </w:tcBorders>
            <w:shd w:val="clear" w:color="auto" w:fill="auto"/>
            <w:hideMark/>
          </w:tcPr>
          <w:p w14:paraId="3D7D470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23 050</w:t>
            </w:r>
          </w:p>
        </w:tc>
        <w:tc>
          <w:tcPr>
            <w:tcW w:w="947" w:type="dxa"/>
            <w:tcBorders>
              <w:top w:val="nil"/>
              <w:left w:val="nil"/>
              <w:bottom w:val="single" w:sz="4" w:space="0" w:color="auto"/>
              <w:right w:val="single" w:sz="4" w:space="0" w:color="auto"/>
            </w:tcBorders>
            <w:shd w:val="clear" w:color="auto" w:fill="auto"/>
            <w:hideMark/>
          </w:tcPr>
          <w:p w14:paraId="0A1B378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14 195</w:t>
            </w:r>
          </w:p>
        </w:tc>
        <w:tc>
          <w:tcPr>
            <w:tcW w:w="947" w:type="dxa"/>
            <w:tcBorders>
              <w:top w:val="nil"/>
              <w:left w:val="nil"/>
              <w:bottom w:val="single" w:sz="4" w:space="0" w:color="auto"/>
              <w:right w:val="single" w:sz="4" w:space="0" w:color="auto"/>
            </w:tcBorders>
            <w:shd w:val="clear" w:color="auto" w:fill="auto"/>
            <w:hideMark/>
          </w:tcPr>
          <w:p w14:paraId="512D26C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10 189</w:t>
            </w:r>
          </w:p>
        </w:tc>
        <w:tc>
          <w:tcPr>
            <w:tcW w:w="946" w:type="dxa"/>
            <w:tcBorders>
              <w:top w:val="nil"/>
              <w:left w:val="nil"/>
              <w:bottom w:val="single" w:sz="4" w:space="0" w:color="auto"/>
              <w:right w:val="single" w:sz="4" w:space="0" w:color="auto"/>
            </w:tcBorders>
            <w:shd w:val="clear" w:color="auto" w:fill="auto"/>
            <w:hideMark/>
          </w:tcPr>
          <w:p w14:paraId="4C35951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6 519</w:t>
            </w:r>
          </w:p>
        </w:tc>
        <w:tc>
          <w:tcPr>
            <w:tcW w:w="1189" w:type="dxa"/>
            <w:tcBorders>
              <w:top w:val="nil"/>
              <w:left w:val="nil"/>
              <w:bottom w:val="single" w:sz="4" w:space="0" w:color="auto"/>
              <w:right w:val="single" w:sz="8" w:space="0" w:color="auto"/>
            </w:tcBorders>
            <w:shd w:val="clear" w:color="auto" w:fill="auto"/>
            <w:hideMark/>
          </w:tcPr>
          <w:p w14:paraId="3EA60D7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3 804</w:t>
            </w:r>
          </w:p>
        </w:tc>
      </w:tr>
    </w:tbl>
    <w:p w14:paraId="0E528158" w14:textId="77777777" w:rsidR="00680E37" w:rsidRDefault="00680E37" w:rsidP="00680E37">
      <w:pPr>
        <w:autoSpaceDE w:val="0"/>
        <w:autoSpaceDN w:val="0"/>
        <w:adjustRightInd w:val="0"/>
        <w:spacing w:after="0" w:line="240" w:lineRule="auto"/>
        <w:jc w:val="both"/>
        <w:rPr>
          <w:rFonts w:ascii="Times New Roman" w:hAnsi="Times New Roman" w:cs="Times New Roman"/>
          <w:sz w:val="28"/>
          <w:szCs w:val="28"/>
          <w:lang w:val="kk-KZ"/>
        </w:rPr>
      </w:pPr>
    </w:p>
    <w:p w14:paraId="5FFB1324" w14:textId="3E1A343B" w:rsidR="00680E37" w:rsidRDefault="00680E37" w:rsidP="00680E37">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Продолжение таблицы А3</w:t>
      </w:r>
    </w:p>
    <w:p w14:paraId="2847A7BF" w14:textId="77777777" w:rsidR="00680E37" w:rsidRPr="00680E37" w:rsidRDefault="00680E37">
      <w:pPr>
        <w:rPr>
          <w:sz w:val="2"/>
          <w:szCs w:val="2"/>
        </w:rPr>
      </w:pPr>
    </w:p>
    <w:tbl>
      <w:tblPr>
        <w:tblW w:w="14459" w:type="dxa"/>
        <w:tblInd w:w="-30" w:type="dxa"/>
        <w:tblLook w:val="04A0" w:firstRow="1" w:lastRow="0" w:firstColumn="1" w:lastColumn="0" w:noHBand="0" w:noVBand="1"/>
      </w:tblPr>
      <w:tblGrid>
        <w:gridCol w:w="554"/>
        <w:gridCol w:w="485"/>
        <w:gridCol w:w="2098"/>
        <w:gridCol w:w="777"/>
        <w:gridCol w:w="893"/>
        <w:gridCol w:w="889"/>
        <w:gridCol w:w="946"/>
        <w:gridCol w:w="947"/>
        <w:gridCol w:w="947"/>
        <w:gridCol w:w="947"/>
        <w:gridCol w:w="947"/>
        <w:gridCol w:w="947"/>
        <w:gridCol w:w="947"/>
        <w:gridCol w:w="946"/>
        <w:gridCol w:w="1189"/>
      </w:tblGrid>
      <w:tr w:rsidR="005B6AF9" w:rsidRPr="004135FE" w14:paraId="205628A4" w14:textId="77777777" w:rsidTr="00680E37">
        <w:trPr>
          <w:trHeight w:val="226"/>
        </w:trPr>
        <w:tc>
          <w:tcPr>
            <w:tcW w:w="554" w:type="dxa"/>
            <w:vMerge w:val="restart"/>
            <w:tcBorders>
              <w:top w:val="single" w:sz="4" w:space="0" w:color="auto"/>
              <w:left w:val="single" w:sz="4" w:space="0" w:color="auto"/>
              <w:bottom w:val="single" w:sz="4" w:space="0" w:color="auto"/>
              <w:right w:val="single" w:sz="4" w:space="0" w:color="auto"/>
            </w:tcBorders>
            <w:vAlign w:val="center"/>
            <w:hideMark/>
          </w:tcPr>
          <w:p w14:paraId="7FF9F742"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single" w:sz="4" w:space="0" w:color="auto"/>
              <w:left w:val="nil"/>
              <w:bottom w:val="single" w:sz="4" w:space="0" w:color="auto"/>
              <w:right w:val="single" w:sz="4" w:space="0" w:color="auto"/>
            </w:tcBorders>
            <w:shd w:val="clear" w:color="auto" w:fill="auto"/>
            <w:hideMark/>
          </w:tcPr>
          <w:p w14:paraId="338F8F4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tcBorders>
              <w:top w:val="single" w:sz="4" w:space="0" w:color="auto"/>
              <w:left w:val="single" w:sz="4" w:space="0" w:color="auto"/>
              <w:bottom w:val="single" w:sz="4" w:space="0" w:color="auto"/>
              <w:right w:val="single" w:sz="4" w:space="0" w:color="auto"/>
            </w:tcBorders>
            <w:shd w:val="clear" w:color="auto" w:fill="auto"/>
            <w:hideMark/>
          </w:tcPr>
          <w:p w14:paraId="257914E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777" w:type="dxa"/>
            <w:tcBorders>
              <w:top w:val="single" w:sz="4" w:space="0" w:color="auto"/>
              <w:left w:val="nil"/>
              <w:bottom w:val="single" w:sz="4" w:space="0" w:color="auto"/>
              <w:right w:val="single" w:sz="4" w:space="0" w:color="auto"/>
            </w:tcBorders>
            <w:shd w:val="clear" w:color="auto" w:fill="auto"/>
            <w:hideMark/>
          </w:tcPr>
          <w:p w14:paraId="3122AD0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2 010</w:t>
            </w:r>
          </w:p>
        </w:tc>
        <w:tc>
          <w:tcPr>
            <w:tcW w:w="893" w:type="dxa"/>
            <w:tcBorders>
              <w:top w:val="single" w:sz="4" w:space="0" w:color="auto"/>
              <w:left w:val="nil"/>
              <w:bottom w:val="single" w:sz="4" w:space="0" w:color="auto"/>
              <w:right w:val="single" w:sz="4" w:space="0" w:color="auto"/>
            </w:tcBorders>
            <w:shd w:val="clear" w:color="auto" w:fill="auto"/>
            <w:hideMark/>
          </w:tcPr>
          <w:p w14:paraId="1A55466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10 526</w:t>
            </w:r>
          </w:p>
        </w:tc>
        <w:tc>
          <w:tcPr>
            <w:tcW w:w="889" w:type="dxa"/>
            <w:tcBorders>
              <w:top w:val="single" w:sz="4" w:space="0" w:color="auto"/>
              <w:left w:val="nil"/>
              <w:bottom w:val="single" w:sz="4" w:space="0" w:color="auto"/>
              <w:right w:val="single" w:sz="4" w:space="0" w:color="auto"/>
            </w:tcBorders>
            <w:shd w:val="clear" w:color="auto" w:fill="auto"/>
            <w:hideMark/>
          </w:tcPr>
          <w:p w14:paraId="547ABB3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12 834</w:t>
            </w:r>
          </w:p>
        </w:tc>
        <w:tc>
          <w:tcPr>
            <w:tcW w:w="946" w:type="dxa"/>
            <w:tcBorders>
              <w:top w:val="single" w:sz="4" w:space="0" w:color="auto"/>
              <w:left w:val="nil"/>
              <w:bottom w:val="single" w:sz="4" w:space="0" w:color="auto"/>
              <w:right w:val="single" w:sz="4" w:space="0" w:color="auto"/>
            </w:tcBorders>
            <w:shd w:val="clear" w:color="auto" w:fill="auto"/>
            <w:hideMark/>
          </w:tcPr>
          <w:p w14:paraId="036D89C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11 513</w:t>
            </w:r>
          </w:p>
        </w:tc>
        <w:tc>
          <w:tcPr>
            <w:tcW w:w="947" w:type="dxa"/>
            <w:tcBorders>
              <w:top w:val="single" w:sz="4" w:space="0" w:color="auto"/>
              <w:left w:val="nil"/>
              <w:bottom w:val="single" w:sz="4" w:space="0" w:color="auto"/>
              <w:right w:val="single" w:sz="4" w:space="0" w:color="auto"/>
            </w:tcBorders>
            <w:shd w:val="clear" w:color="auto" w:fill="auto"/>
            <w:hideMark/>
          </w:tcPr>
          <w:p w14:paraId="1C4C15E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5 261</w:t>
            </w:r>
          </w:p>
        </w:tc>
        <w:tc>
          <w:tcPr>
            <w:tcW w:w="947" w:type="dxa"/>
            <w:tcBorders>
              <w:top w:val="single" w:sz="4" w:space="0" w:color="auto"/>
              <w:left w:val="nil"/>
              <w:bottom w:val="single" w:sz="4" w:space="0" w:color="auto"/>
              <w:right w:val="single" w:sz="4" w:space="0" w:color="auto"/>
            </w:tcBorders>
            <w:shd w:val="clear" w:color="auto" w:fill="auto"/>
            <w:hideMark/>
          </w:tcPr>
          <w:p w14:paraId="2DF0FAA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3 365</w:t>
            </w:r>
          </w:p>
        </w:tc>
        <w:tc>
          <w:tcPr>
            <w:tcW w:w="947" w:type="dxa"/>
            <w:tcBorders>
              <w:top w:val="single" w:sz="4" w:space="0" w:color="auto"/>
              <w:left w:val="nil"/>
              <w:bottom w:val="single" w:sz="4" w:space="0" w:color="auto"/>
              <w:right w:val="single" w:sz="4" w:space="0" w:color="auto"/>
            </w:tcBorders>
            <w:shd w:val="clear" w:color="auto" w:fill="auto"/>
            <w:hideMark/>
          </w:tcPr>
          <w:p w14:paraId="10CC102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24 244</w:t>
            </w:r>
          </w:p>
        </w:tc>
        <w:tc>
          <w:tcPr>
            <w:tcW w:w="947" w:type="dxa"/>
            <w:tcBorders>
              <w:top w:val="single" w:sz="4" w:space="0" w:color="auto"/>
              <w:left w:val="nil"/>
              <w:bottom w:val="single" w:sz="4" w:space="0" w:color="auto"/>
              <w:right w:val="single" w:sz="4" w:space="0" w:color="auto"/>
            </w:tcBorders>
            <w:shd w:val="clear" w:color="auto" w:fill="auto"/>
            <w:hideMark/>
          </w:tcPr>
          <w:p w14:paraId="7F93EF2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30 472</w:t>
            </w:r>
          </w:p>
        </w:tc>
        <w:tc>
          <w:tcPr>
            <w:tcW w:w="947" w:type="dxa"/>
            <w:tcBorders>
              <w:top w:val="single" w:sz="4" w:space="0" w:color="auto"/>
              <w:left w:val="nil"/>
              <w:bottom w:val="single" w:sz="4" w:space="0" w:color="auto"/>
              <w:right w:val="single" w:sz="4" w:space="0" w:color="auto"/>
            </w:tcBorders>
            <w:shd w:val="clear" w:color="auto" w:fill="auto"/>
            <w:hideMark/>
          </w:tcPr>
          <w:p w14:paraId="694A55E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22 910</w:t>
            </w:r>
          </w:p>
        </w:tc>
        <w:tc>
          <w:tcPr>
            <w:tcW w:w="947" w:type="dxa"/>
            <w:tcBorders>
              <w:top w:val="single" w:sz="4" w:space="0" w:color="auto"/>
              <w:left w:val="nil"/>
              <w:bottom w:val="single" w:sz="4" w:space="0" w:color="auto"/>
              <w:right w:val="single" w:sz="4" w:space="0" w:color="auto"/>
            </w:tcBorders>
            <w:shd w:val="clear" w:color="auto" w:fill="auto"/>
            <w:hideMark/>
          </w:tcPr>
          <w:p w14:paraId="63CD60E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19 536</w:t>
            </w:r>
          </w:p>
        </w:tc>
        <w:tc>
          <w:tcPr>
            <w:tcW w:w="946" w:type="dxa"/>
            <w:tcBorders>
              <w:top w:val="single" w:sz="4" w:space="0" w:color="auto"/>
              <w:left w:val="nil"/>
              <w:bottom w:val="single" w:sz="4" w:space="0" w:color="auto"/>
              <w:right w:val="single" w:sz="4" w:space="0" w:color="auto"/>
            </w:tcBorders>
            <w:shd w:val="clear" w:color="auto" w:fill="auto"/>
            <w:hideMark/>
          </w:tcPr>
          <w:p w14:paraId="590B07F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16 581</w:t>
            </w:r>
          </w:p>
        </w:tc>
        <w:tc>
          <w:tcPr>
            <w:tcW w:w="1189" w:type="dxa"/>
            <w:tcBorders>
              <w:top w:val="single" w:sz="4" w:space="0" w:color="auto"/>
              <w:left w:val="nil"/>
              <w:bottom w:val="single" w:sz="4" w:space="0" w:color="auto"/>
              <w:right w:val="single" w:sz="4" w:space="0" w:color="auto"/>
            </w:tcBorders>
            <w:shd w:val="clear" w:color="auto" w:fill="auto"/>
            <w:hideMark/>
          </w:tcPr>
          <w:p w14:paraId="173D28E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13 320</w:t>
            </w:r>
          </w:p>
        </w:tc>
      </w:tr>
      <w:tr w:rsidR="005B6AF9" w:rsidRPr="004135FE" w14:paraId="7F9C576E" w14:textId="77777777" w:rsidTr="00680E37">
        <w:trPr>
          <w:trHeight w:val="226"/>
        </w:trPr>
        <w:tc>
          <w:tcPr>
            <w:tcW w:w="554" w:type="dxa"/>
            <w:vMerge/>
            <w:tcBorders>
              <w:top w:val="single" w:sz="4" w:space="0" w:color="auto"/>
              <w:left w:val="single" w:sz="8" w:space="0" w:color="auto"/>
              <w:bottom w:val="single" w:sz="8" w:space="0" w:color="000000"/>
              <w:right w:val="single" w:sz="4" w:space="0" w:color="auto"/>
            </w:tcBorders>
            <w:vAlign w:val="center"/>
            <w:hideMark/>
          </w:tcPr>
          <w:p w14:paraId="2461DA72"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single" w:sz="4" w:space="0" w:color="auto"/>
              <w:left w:val="nil"/>
              <w:bottom w:val="single" w:sz="4" w:space="0" w:color="auto"/>
              <w:right w:val="single" w:sz="4" w:space="0" w:color="auto"/>
            </w:tcBorders>
            <w:shd w:val="clear" w:color="auto" w:fill="auto"/>
            <w:hideMark/>
          </w:tcPr>
          <w:p w14:paraId="59060A1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tcBorders>
              <w:top w:val="single" w:sz="4" w:space="0" w:color="auto"/>
              <w:left w:val="single" w:sz="4" w:space="0" w:color="auto"/>
              <w:bottom w:val="single" w:sz="4" w:space="0" w:color="auto"/>
              <w:right w:val="single" w:sz="4" w:space="0" w:color="auto"/>
            </w:tcBorders>
            <w:shd w:val="clear" w:color="auto" w:fill="auto"/>
            <w:hideMark/>
          </w:tcPr>
          <w:p w14:paraId="57BE543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777" w:type="dxa"/>
            <w:tcBorders>
              <w:top w:val="single" w:sz="4" w:space="0" w:color="auto"/>
              <w:left w:val="nil"/>
              <w:bottom w:val="single" w:sz="4" w:space="0" w:color="auto"/>
              <w:right w:val="single" w:sz="4" w:space="0" w:color="auto"/>
            </w:tcBorders>
            <w:shd w:val="clear" w:color="auto" w:fill="auto"/>
            <w:hideMark/>
          </w:tcPr>
          <w:p w14:paraId="3BB2D5B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1 855</w:t>
            </w:r>
          </w:p>
        </w:tc>
        <w:tc>
          <w:tcPr>
            <w:tcW w:w="893" w:type="dxa"/>
            <w:tcBorders>
              <w:top w:val="single" w:sz="4" w:space="0" w:color="auto"/>
              <w:left w:val="nil"/>
              <w:bottom w:val="single" w:sz="4" w:space="0" w:color="auto"/>
              <w:right w:val="single" w:sz="4" w:space="0" w:color="auto"/>
            </w:tcBorders>
            <w:shd w:val="clear" w:color="auto" w:fill="auto"/>
            <w:hideMark/>
          </w:tcPr>
          <w:p w14:paraId="56BCDB3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9 932</w:t>
            </w:r>
          </w:p>
        </w:tc>
        <w:tc>
          <w:tcPr>
            <w:tcW w:w="889" w:type="dxa"/>
            <w:tcBorders>
              <w:top w:val="single" w:sz="4" w:space="0" w:color="auto"/>
              <w:left w:val="nil"/>
              <w:bottom w:val="single" w:sz="4" w:space="0" w:color="auto"/>
              <w:right w:val="single" w:sz="4" w:space="0" w:color="auto"/>
            </w:tcBorders>
            <w:shd w:val="clear" w:color="auto" w:fill="auto"/>
            <w:hideMark/>
          </w:tcPr>
          <w:p w14:paraId="2632A6B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12 721</w:t>
            </w:r>
          </w:p>
        </w:tc>
        <w:tc>
          <w:tcPr>
            <w:tcW w:w="946" w:type="dxa"/>
            <w:tcBorders>
              <w:top w:val="single" w:sz="4" w:space="0" w:color="auto"/>
              <w:left w:val="nil"/>
              <w:bottom w:val="single" w:sz="4" w:space="0" w:color="auto"/>
              <w:right w:val="single" w:sz="4" w:space="0" w:color="auto"/>
            </w:tcBorders>
            <w:shd w:val="clear" w:color="auto" w:fill="auto"/>
            <w:hideMark/>
          </w:tcPr>
          <w:p w14:paraId="0033B81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11 242</w:t>
            </w:r>
          </w:p>
        </w:tc>
        <w:tc>
          <w:tcPr>
            <w:tcW w:w="947" w:type="dxa"/>
            <w:tcBorders>
              <w:top w:val="single" w:sz="4" w:space="0" w:color="auto"/>
              <w:left w:val="nil"/>
              <w:bottom w:val="single" w:sz="4" w:space="0" w:color="auto"/>
              <w:right w:val="single" w:sz="4" w:space="0" w:color="auto"/>
            </w:tcBorders>
            <w:shd w:val="clear" w:color="auto" w:fill="auto"/>
            <w:hideMark/>
          </w:tcPr>
          <w:p w14:paraId="5B2A27D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5 983</w:t>
            </w:r>
          </w:p>
        </w:tc>
        <w:tc>
          <w:tcPr>
            <w:tcW w:w="947" w:type="dxa"/>
            <w:tcBorders>
              <w:top w:val="single" w:sz="4" w:space="0" w:color="auto"/>
              <w:left w:val="nil"/>
              <w:bottom w:val="single" w:sz="4" w:space="0" w:color="auto"/>
              <w:right w:val="single" w:sz="4" w:space="0" w:color="auto"/>
            </w:tcBorders>
            <w:shd w:val="clear" w:color="auto" w:fill="auto"/>
            <w:hideMark/>
          </w:tcPr>
          <w:p w14:paraId="7B483D7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11 929</w:t>
            </w:r>
          </w:p>
        </w:tc>
        <w:tc>
          <w:tcPr>
            <w:tcW w:w="947" w:type="dxa"/>
            <w:tcBorders>
              <w:top w:val="single" w:sz="4" w:space="0" w:color="auto"/>
              <w:left w:val="nil"/>
              <w:bottom w:val="single" w:sz="4" w:space="0" w:color="auto"/>
              <w:right w:val="single" w:sz="4" w:space="0" w:color="auto"/>
            </w:tcBorders>
            <w:shd w:val="clear" w:color="auto" w:fill="auto"/>
            <w:hideMark/>
          </w:tcPr>
          <w:p w14:paraId="1D6C352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44 357</w:t>
            </w:r>
          </w:p>
        </w:tc>
        <w:tc>
          <w:tcPr>
            <w:tcW w:w="947" w:type="dxa"/>
            <w:tcBorders>
              <w:top w:val="single" w:sz="4" w:space="0" w:color="auto"/>
              <w:left w:val="nil"/>
              <w:bottom w:val="single" w:sz="4" w:space="0" w:color="auto"/>
              <w:right w:val="single" w:sz="4" w:space="0" w:color="auto"/>
            </w:tcBorders>
            <w:shd w:val="clear" w:color="auto" w:fill="auto"/>
            <w:hideMark/>
          </w:tcPr>
          <w:p w14:paraId="5B4041D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32 683</w:t>
            </w:r>
          </w:p>
        </w:tc>
        <w:tc>
          <w:tcPr>
            <w:tcW w:w="947" w:type="dxa"/>
            <w:tcBorders>
              <w:top w:val="single" w:sz="4" w:space="0" w:color="auto"/>
              <w:left w:val="nil"/>
              <w:bottom w:val="single" w:sz="4" w:space="0" w:color="auto"/>
              <w:right w:val="single" w:sz="4" w:space="0" w:color="auto"/>
            </w:tcBorders>
            <w:shd w:val="clear" w:color="auto" w:fill="auto"/>
            <w:hideMark/>
          </w:tcPr>
          <w:p w14:paraId="4B2A5D5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25 635</w:t>
            </w:r>
          </w:p>
        </w:tc>
        <w:tc>
          <w:tcPr>
            <w:tcW w:w="947" w:type="dxa"/>
            <w:tcBorders>
              <w:top w:val="single" w:sz="4" w:space="0" w:color="auto"/>
              <w:left w:val="nil"/>
              <w:bottom w:val="single" w:sz="4" w:space="0" w:color="auto"/>
              <w:right w:val="single" w:sz="4" w:space="0" w:color="auto"/>
            </w:tcBorders>
            <w:shd w:val="clear" w:color="auto" w:fill="auto"/>
            <w:hideMark/>
          </w:tcPr>
          <w:p w14:paraId="334BF86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21 082</w:t>
            </w:r>
          </w:p>
        </w:tc>
        <w:tc>
          <w:tcPr>
            <w:tcW w:w="946" w:type="dxa"/>
            <w:tcBorders>
              <w:top w:val="single" w:sz="4" w:space="0" w:color="auto"/>
              <w:left w:val="nil"/>
              <w:bottom w:val="single" w:sz="4" w:space="0" w:color="auto"/>
              <w:right w:val="single" w:sz="4" w:space="0" w:color="auto"/>
            </w:tcBorders>
            <w:shd w:val="clear" w:color="auto" w:fill="auto"/>
            <w:hideMark/>
          </w:tcPr>
          <w:p w14:paraId="04861FF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18 267</w:t>
            </w:r>
          </w:p>
        </w:tc>
        <w:tc>
          <w:tcPr>
            <w:tcW w:w="1189" w:type="dxa"/>
            <w:tcBorders>
              <w:top w:val="single" w:sz="4" w:space="0" w:color="auto"/>
              <w:left w:val="nil"/>
              <w:bottom w:val="single" w:sz="4" w:space="0" w:color="auto"/>
              <w:right w:val="single" w:sz="8" w:space="0" w:color="auto"/>
            </w:tcBorders>
            <w:shd w:val="clear" w:color="auto" w:fill="auto"/>
            <w:hideMark/>
          </w:tcPr>
          <w:p w14:paraId="2884898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16 007</w:t>
            </w:r>
          </w:p>
        </w:tc>
      </w:tr>
      <w:tr w:rsidR="005B6AF9" w:rsidRPr="004135FE" w14:paraId="1D448EB1"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2BD305EE"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599755C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tcBorders>
              <w:top w:val="nil"/>
              <w:left w:val="single" w:sz="4" w:space="0" w:color="auto"/>
              <w:bottom w:val="single" w:sz="4" w:space="0" w:color="auto"/>
              <w:right w:val="single" w:sz="4" w:space="0" w:color="auto"/>
            </w:tcBorders>
            <w:shd w:val="clear" w:color="auto" w:fill="auto"/>
            <w:hideMark/>
          </w:tcPr>
          <w:p w14:paraId="1DC17BD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777" w:type="dxa"/>
            <w:tcBorders>
              <w:top w:val="nil"/>
              <w:left w:val="nil"/>
              <w:bottom w:val="single" w:sz="4" w:space="0" w:color="auto"/>
              <w:right w:val="single" w:sz="4" w:space="0" w:color="auto"/>
            </w:tcBorders>
            <w:shd w:val="clear" w:color="auto" w:fill="auto"/>
            <w:hideMark/>
          </w:tcPr>
          <w:p w14:paraId="22B9DAA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1 394</w:t>
            </w:r>
          </w:p>
        </w:tc>
        <w:tc>
          <w:tcPr>
            <w:tcW w:w="893" w:type="dxa"/>
            <w:tcBorders>
              <w:top w:val="nil"/>
              <w:left w:val="nil"/>
              <w:bottom w:val="single" w:sz="4" w:space="0" w:color="auto"/>
              <w:right w:val="single" w:sz="4" w:space="0" w:color="auto"/>
            </w:tcBorders>
            <w:shd w:val="clear" w:color="auto" w:fill="auto"/>
            <w:hideMark/>
          </w:tcPr>
          <w:p w14:paraId="4F06EF5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6 638</w:t>
            </w:r>
          </w:p>
        </w:tc>
        <w:tc>
          <w:tcPr>
            <w:tcW w:w="889" w:type="dxa"/>
            <w:tcBorders>
              <w:top w:val="nil"/>
              <w:left w:val="nil"/>
              <w:bottom w:val="single" w:sz="4" w:space="0" w:color="auto"/>
              <w:right w:val="single" w:sz="4" w:space="0" w:color="auto"/>
            </w:tcBorders>
            <w:shd w:val="clear" w:color="auto" w:fill="auto"/>
            <w:hideMark/>
          </w:tcPr>
          <w:p w14:paraId="5817F9C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8 372</w:t>
            </w:r>
          </w:p>
        </w:tc>
        <w:tc>
          <w:tcPr>
            <w:tcW w:w="946" w:type="dxa"/>
            <w:tcBorders>
              <w:top w:val="nil"/>
              <w:left w:val="nil"/>
              <w:bottom w:val="single" w:sz="4" w:space="0" w:color="auto"/>
              <w:right w:val="single" w:sz="4" w:space="0" w:color="auto"/>
            </w:tcBorders>
            <w:shd w:val="clear" w:color="auto" w:fill="auto"/>
            <w:hideMark/>
          </w:tcPr>
          <w:p w14:paraId="2AD60AB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7 175</w:t>
            </w:r>
          </w:p>
        </w:tc>
        <w:tc>
          <w:tcPr>
            <w:tcW w:w="947" w:type="dxa"/>
            <w:tcBorders>
              <w:top w:val="nil"/>
              <w:left w:val="nil"/>
              <w:bottom w:val="single" w:sz="4" w:space="0" w:color="auto"/>
              <w:right w:val="single" w:sz="4" w:space="0" w:color="auto"/>
            </w:tcBorders>
            <w:shd w:val="clear" w:color="auto" w:fill="auto"/>
            <w:hideMark/>
          </w:tcPr>
          <w:p w14:paraId="70666DB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3 385</w:t>
            </w:r>
          </w:p>
        </w:tc>
        <w:tc>
          <w:tcPr>
            <w:tcW w:w="947" w:type="dxa"/>
            <w:tcBorders>
              <w:top w:val="nil"/>
              <w:left w:val="nil"/>
              <w:bottom w:val="single" w:sz="4" w:space="0" w:color="auto"/>
              <w:right w:val="single" w:sz="4" w:space="0" w:color="auto"/>
            </w:tcBorders>
            <w:shd w:val="clear" w:color="auto" w:fill="auto"/>
            <w:hideMark/>
          </w:tcPr>
          <w:p w14:paraId="248AFD4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2 806</w:t>
            </w:r>
          </w:p>
        </w:tc>
        <w:tc>
          <w:tcPr>
            <w:tcW w:w="947" w:type="dxa"/>
            <w:tcBorders>
              <w:top w:val="nil"/>
              <w:left w:val="nil"/>
              <w:bottom w:val="single" w:sz="4" w:space="0" w:color="auto"/>
              <w:right w:val="single" w:sz="4" w:space="0" w:color="auto"/>
            </w:tcBorders>
            <w:shd w:val="clear" w:color="auto" w:fill="auto"/>
            <w:hideMark/>
          </w:tcPr>
          <w:p w14:paraId="0322C4C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14 281</w:t>
            </w:r>
          </w:p>
        </w:tc>
        <w:tc>
          <w:tcPr>
            <w:tcW w:w="947" w:type="dxa"/>
            <w:tcBorders>
              <w:top w:val="nil"/>
              <w:left w:val="nil"/>
              <w:bottom w:val="single" w:sz="4" w:space="0" w:color="auto"/>
              <w:right w:val="single" w:sz="4" w:space="0" w:color="auto"/>
            </w:tcBorders>
            <w:shd w:val="clear" w:color="auto" w:fill="auto"/>
            <w:hideMark/>
          </w:tcPr>
          <w:p w14:paraId="67E43DD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17 553</w:t>
            </w:r>
          </w:p>
        </w:tc>
        <w:tc>
          <w:tcPr>
            <w:tcW w:w="947" w:type="dxa"/>
            <w:tcBorders>
              <w:top w:val="nil"/>
              <w:left w:val="nil"/>
              <w:bottom w:val="single" w:sz="4" w:space="0" w:color="auto"/>
              <w:right w:val="single" w:sz="4" w:space="0" w:color="auto"/>
            </w:tcBorders>
            <w:shd w:val="clear" w:color="auto" w:fill="auto"/>
            <w:hideMark/>
          </w:tcPr>
          <w:p w14:paraId="3A26483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13 209</w:t>
            </w:r>
          </w:p>
        </w:tc>
        <w:tc>
          <w:tcPr>
            <w:tcW w:w="947" w:type="dxa"/>
            <w:tcBorders>
              <w:top w:val="nil"/>
              <w:left w:val="nil"/>
              <w:bottom w:val="single" w:sz="4" w:space="0" w:color="auto"/>
              <w:right w:val="single" w:sz="4" w:space="0" w:color="auto"/>
            </w:tcBorders>
            <w:shd w:val="clear" w:color="auto" w:fill="auto"/>
            <w:hideMark/>
          </w:tcPr>
          <w:p w14:paraId="69AE2DC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10 254</w:t>
            </w:r>
          </w:p>
        </w:tc>
        <w:tc>
          <w:tcPr>
            <w:tcW w:w="946" w:type="dxa"/>
            <w:tcBorders>
              <w:top w:val="nil"/>
              <w:left w:val="nil"/>
              <w:bottom w:val="single" w:sz="4" w:space="0" w:color="auto"/>
              <w:right w:val="single" w:sz="4" w:space="0" w:color="auto"/>
            </w:tcBorders>
            <w:shd w:val="clear" w:color="auto" w:fill="auto"/>
            <w:hideMark/>
          </w:tcPr>
          <w:p w14:paraId="5A1F923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8 496</w:t>
            </w:r>
          </w:p>
        </w:tc>
        <w:tc>
          <w:tcPr>
            <w:tcW w:w="1189" w:type="dxa"/>
            <w:tcBorders>
              <w:top w:val="nil"/>
              <w:left w:val="nil"/>
              <w:bottom w:val="single" w:sz="4" w:space="0" w:color="auto"/>
              <w:right w:val="single" w:sz="8" w:space="0" w:color="auto"/>
            </w:tcBorders>
            <w:shd w:val="clear" w:color="auto" w:fill="auto"/>
            <w:hideMark/>
          </w:tcPr>
          <w:p w14:paraId="0839678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6 062</w:t>
            </w:r>
          </w:p>
        </w:tc>
      </w:tr>
      <w:tr w:rsidR="005B6AF9" w:rsidRPr="004135FE" w14:paraId="67073EA8"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6A22D312"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5508514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tcBorders>
              <w:top w:val="nil"/>
              <w:left w:val="single" w:sz="4" w:space="0" w:color="auto"/>
              <w:bottom w:val="single" w:sz="4" w:space="0" w:color="auto"/>
              <w:right w:val="single" w:sz="4" w:space="0" w:color="auto"/>
            </w:tcBorders>
            <w:shd w:val="clear" w:color="auto" w:fill="auto"/>
            <w:hideMark/>
          </w:tcPr>
          <w:p w14:paraId="3B22CE4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777" w:type="dxa"/>
            <w:tcBorders>
              <w:top w:val="nil"/>
              <w:left w:val="nil"/>
              <w:bottom w:val="single" w:sz="4" w:space="0" w:color="auto"/>
              <w:right w:val="single" w:sz="4" w:space="0" w:color="auto"/>
            </w:tcBorders>
            <w:shd w:val="clear" w:color="auto" w:fill="auto"/>
            <w:hideMark/>
          </w:tcPr>
          <w:p w14:paraId="41518B6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1 233</w:t>
            </w:r>
          </w:p>
        </w:tc>
        <w:tc>
          <w:tcPr>
            <w:tcW w:w="893" w:type="dxa"/>
            <w:tcBorders>
              <w:top w:val="nil"/>
              <w:left w:val="nil"/>
              <w:bottom w:val="single" w:sz="4" w:space="0" w:color="auto"/>
              <w:right w:val="single" w:sz="4" w:space="0" w:color="auto"/>
            </w:tcBorders>
            <w:shd w:val="clear" w:color="auto" w:fill="auto"/>
            <w:hideMark/>
          </w:tcPr>
          <w:p w14:paraId="705E056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7 274</w:t>
            </w:r>
          </w:p>
        </w:tc>
        <w:tc>
          <w:tcPr>
            <w:tcW w:w="889" w:type="dxa"/>
            <w:tcBorders>
              <w:top w:val="nil"/>
              <w:left w:val="nil"/>
              <w:bottom w:val="single" w:sz="4" w:space="0" w:color="auto"/>
              <w:right w:val="single" w:sz="4" w:space="0" w:color="auto"/>
            </w:tcBorders>
            <w:shd w:val="clear" w:color="auto" w:fill="auto"/>
            <w:hideMark/>
          </w:tcPr>
          <w:p w14:paraId="6201F41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9 580</w:t>
            </w:r>
          </w:p>
        </w:tc>
        <w:tc>
          <w:tcPr>
            <w:tcW w:w="946" w:type="dxa"/>
            <w:tcBorders>
              <w:top w:val="nil"/>
              <w:left w:val="nil"/>
              <w:bottom w:val="single" w:sz="4" w:space="0" w:color="auto"/>
              <w:right w:val="single" w:sz="4" w:space="0" w:color="auto"/>
            </w:tcBorders>
            <w:shd w:val="clear" w:color="auto" w:fill="auto"/>
            <w:hideMark/>
          </w:tcPr>
          <w:p w14:paraId="7FFF099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9 129</w:t>
            </w:r>
          </w:p>
        </w:tc>
        <w:tc>
          <w:tcPr>
            <w:tcW w:w="947" w:type="dxa"/>
            <w:tcBorders>
              <w:top w:val="nil"/>
              <w:left w:val="nil"/>
              <w:bottom w:val="single" w:sz="4" w:space="0" w:color="auto"/>
              <w:right w:val="single" w:sz="4" w:space="0" w:color="auto"/>
            </w:tcBorders>
            <w:shd w:val="clear" w:color="auto" w:fill="auto"/>
            <w:hideMark/>
          </w:tcPr>
          <w:p w14:paraId="76211A1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4 504</w:t>
            </w:r>
          </w:p>
        </w:tc>
        <w:tc>
          <w:tcPr>
            <w:tcW w:w="947" w:type="dxa"/>
            <w:tcBorders>
              <w:top w:val="nil"/>
              <w:left w:val="nil"/>
              <w:bottom w:val="single" w:sz="4" w:space="0" w:color="auto"/>
              <w:right w:val="single" w:sz="4" w:space="0" w:color="auto"/>
            </w:tcBorders>
            <w:shd w:val="clear" w:color="auto" w:fill="auto"/>
            <w:hideMark/>
          </w:tcPr>
          <w:p w14:paraId="6EF2AB9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5 150</w:t>
            </w:r>
          </w:p>
        </w:tc>
        <w:tc>
          <w:tcPr>
            <w:tcW w:w="947" w:type="dxa"/>
            <w:tcBorders>
              <w:top w:val="nil"/>
              <w:left w:val="nil"/>
              <w:bottom w:val="single" w:sz="4" w:space="0" w:color="auto"/>
              <w:right w:val="single" w:sz="4" w:space="0" w:color="auto"/>
            </w:tcBorders>
            <w:shd w:val="clear" w:color="auto" w:fill="auto"/>
            <w:hideMark/>
          </w:tcPr>
          <w:p w14:paraId="6EAE75F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19 820</w:t>
            </w:r>
          </w:p>
        </w:tc>
        <w:tc>
          <w:tcPr>
            <w:tcW w:w="947" w:type="dxa"/>
            <w:tcBorders>
              <w:top w:val="nil"/>
              <w:left w:val="nil"/>
              <w:bottom w:val="single" w:sz="4" w:space="0" w:color="auto"/>
              <w:right w:val="single" w:sz="4" w:space="0" w:color="auto"/>
            </w:tcBorders>
            <w:shd w:val="clear" w:color="auto" w:fill="auto"/>
            <w:hideMark/>
          </w:tcPr>
          <w:p w14:paraId="35F1173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20 815</w:t>
            </w:r>
          </w:p>
        </w:tc>
        <w:tc>
          <w:tcPr>
            <w:tcW w:w="947" w:type="dxa"/>
            <w:tcBorders>
              <w:top w:val="nil"/>
              <w:left w:val="nil"/>
              <w:bottom w:val="single" w:sz="4" w:space="0" w:color="auto"/>
              <w:right w:val="single" w:sz="4" w:space="0" w:color="auto"/>
            </w:tcBorders>
            <w:shd w:val="clear" w:color="auto" w:fill="auto"/>
            <w:hideMark/>
          </w:tcPr>
          <w:p w14:paraId="7D139A2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15 851</w:t>
            </w:r>
          </w:p>
        </w:tc>
        <w:tc>
          <w:tcPr>
            <w:tcW w:w="947" w:type="dxa"/>
            <w:tcBorders>
              <w:top w:val="nil"/>
              <w:left w:val="nil"/>
              <w:bottom w:val="single" w:sz="4" w:space="0" w:color="auto"/>
              <w:right w:val="single" w:sz="4" w:space="0" w:color="auto"/>
            </w:tcBorders>
            <w:shd w:val="clear" w:color="auto" w:fill="auto"/>
            <w:hideMark/>
          </w:tcPr>
          <w:p w14:paraId="740CA9F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13 275</w:t>
            </w:r>
          </w:p>
        </w:tc>
        <w:tc>
          <w:tcPr>
            <w:tcW w:w="946" w:type="dxa"/>
            <w:tcBorders>
              <w:top w:val="nil"/>
              <w:left w:val="nil"/>
              <w:bottom w:val="single" w:sz="4" w:space="0" w:color="auto"/>
              <w:right w:val="single" w:sz="4" w:space="0" w:color="auto"/>
            </w:tcBorders>
            <w:shd w:val="clear" w:color="auto" w:fill="auto"/>
            <w:hideMark/>
          </w:tcPr>
          <w:p w14:paraId="24E1821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11 441</w:t>
            </w:r>
          </w:p>
        </w:tc>
        <w:tc>
          <w:tcPr>
            <w:tcW w:w="1189" w:type="dxa"/>
            <w:tcBorders>
              <w:top w:val="nil"/>
              <w:left w:val="nil"/>
              <w:bottom w:val="single" w:sz="4" w:space="0" w:color="auto"/>
              <w:right w:val="single" w:sz="8" w:space="0" w:color="auto"/>
            </w:tcBorders>
            <w:shd w:val="clear" w:color="auto" w:fill="auto"/>
            <w:hideMark/>
          </w:tcPr>
          <w:p w14:paraId="7A493F1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9 343</w:t>
            </w:r>
          </w:p>
        </w:tc>
      </w:tr>
      <w:tr w:rsidR="005B6AF9" w:rsidRPr="004135FE" w14:paraId="7C98E884"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1BFBAE71"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215FDEB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tcBorders>
              <w:top w:val="nil"/>
              <w:left w:val="single" w:sz="4" w:space="0" w:color="auto"/>
              <w:bottom w:val="single" w:sz="4" w:space="0" w:color="auto"/>
              <w:right w:val="single" w:sz="4" w:space="0" w:color="auto"/>
            </w:tcBorders>
            <w:shd w:val="clear" w:color="auto" w:fill="auto"/>
            <w:hideMark/>
          </w:tcPr>
          <w:p w14:paraId="75F119F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777" w:type="dxa"/>
            <w:tcBorders>
              <w:top w:val="nil"/>
              <w:left w:val="nil"/>
              <w:bottom w:val="single" w:sz="4" w:space="0" w:color="auto"/>
              <w:right w:val="single" w:sz="4" w:space="0" w:color="auto"/>
            </w:tcBorders>
            <w:shd w:val="clear" w:color="auto" w:fill="auto"/>
            <w:hideMark/>
          </w:tcPr>
          <w:p w14:paraId="3D7E8EC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1 488</w:t>
            </w:r>
          </w:p>
        </w:tc>
        <w:tc>
          <w:tcPr>
            <w:tcW w:w="893" w:type="dxa"/>
            <w:tcBorders>
              <w:top w:val="nil"/>
              <w:left w:val="nil"/>
              <w:bottom w:val="single" w:sz="4" w:space="0" w:color="auto"/>
              <w:right w:val="single" w:sz="4" w:space="0" w:color="auto"/>
            </w:tcBorders>
            <w:shd w:val="clear" w:color="auto" w:fill="auto"/>
            <w:hideMark/>
          </w:tcPr>
          <w:p w14:paraId="3B38EF1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6 702</w:t>
            </w:r>
          </w:p>
        </w:tc>
        <w:tc>
          <w:tcPr>
            <w:tcW w:w="889" w:type="dxa"/>
            <w:tcBorders>
              <w:top w:val="nil"/>
              <w:left w:val="nil"/>
              <w:bottom w:val="single" w:sz="4" w:space="0" w:color="auto"/>
              <w:right w:val="single" w:sz="4" w:space="0" w:color="auto"/>
            </w:tcBorders>
            <w:shd w:val="clear" w:color="auto" w:fill="auto"/>
            <w:hideMark/>
          </w:tcPr>
          <w:p w14:paraId="1238398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6 543</w:t>
            </w:r>
          </w:p>
        </w:tc>
        <w:tc>
          <w:tcPr>
            <w:tcW w:w="946" w:type="dxa"/>
            <w:tcBorders>
              <w:top w:val="nil"/>
              <w:left w:val="nil"/>
              <w:bottom w:val="single" w:sz="4" w:space="0" w:color="auto"/>
              <w:right w:val="single" w:sz="4" w:space="0" w:color="auto"/>
            </w:tcBorders>
            <w:shd w:val="clear" w:color="auto" w:fill="auto"/>
            <w:hideMark/>
          </w:tcPr>
          <w:p w14:paraId="12043F3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4 995</w:t>
            </w:r>
          </w:p>
        </w:tc>
        <w:tc>
          <w:tcPr>
            <w:tcW w:w="947" w:type="dxa"/>
            <w:tcBorders>
              <w:top w:val="nil"/>
              <w:left w:val="nil"/>
              <w:bottom w:val="single" w:sz="4" w:space="0" w:color="auto"/>
              <w:right w:val="single" w:sz="4" w:space="0" w:color="auto"/>
            </w:tcBorders>
            <w:shd w:val="clear" w:color="auto" w:fill="auto"/>
            <w:hideMark/>
          </w:tcPr>
          <w:p w14:paraId="47FA2A4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2 085</w:t>
            </w:r>
          </w:p>
        </w:tc>
        <w:tc>
          <w:tcPr>
            <w:tcW w:w="947" w:type="dxa"/>
            <w:tcBorders>
              <w:top w:val="nil"/>
              <w:left w:val="nil"/>
              <w:bottom w:val="single" w:sz="4" w:space="0" w:color="auto"/>
              <w:right w:val="single" w:sz="4" w:space="0" w:color="auto"/>
            </w:tcBorders>
            <w:shd w:val="clear" w:color="auto" w:fill="auto"/>
            <w:hideMark/>
          </w:tcPr>
          <w:p w14:paraId="6333AA1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1 041</w:t>
            </w:r>
          </w:p>
        </w:tc>
        <w:tc>
          <w:tcPr>
            <w:tcW w:w="947" w:type="dxa"/>
            <w:tcBorders>
              <w:top w:val="nil"/>
              <w:left w:val="nil"/>
              <w:bottom w:val="single" w:sz="4" w:space="0" w:color="auto"/>
              <w:right w:val="single" w:sz="4" w:space="0" w:color="auto"/>
            </w:tcBorders>
            <w:shd w:val="clear" w:color="auto" w:fill="auto"/>
            <w:hideMark/>
          </w:tcPr>
          <w:p w14:paraId="50115A8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9 780</w:t>
            </w:r>
          </w:p>
        </w:tc>
        <w:tc>
          <w:tcPr>
            <w:tcW w:w="947" w:type="dxa"/>
            <w:tcBorders>
              <w:top w:val="nil"/>
              <w:left w:val="nil"/>
              <w:bottom w:val="single" w:sz="4" w:space="0" w:color="auto"/>
              <w:right w:val="single" w:sz="4" w:space="0" w:color="auto"/>
            </w:tcBorders>
            <w:shd w:val="clear" w:color="auto" w:fill="auto"/>
            <w:hideMark/>
          </w:tcPr>
          <w:p w14:paraId="44CB820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11 243</w:t>
            </w:r>
          </w:p>
        </w:tc>
        <w:tc>
          <w:tcPr>
            <w:tcW w:w="947" w:type="dxa"/>
            <w:tcBorders>
              <w:top w:val="nil"/>
              <w:left w:val="nil"/>
              <w:bottom w:val="single" w:sz="4" w:space="0" w:color="auto"/>
              <w:right w:val="single" w:sz="4" w:space="0" w:color="auto"/>
            </w:tcBorders>
            <w:shd w:val="clear" w:color="auto" w:fill="auto"/>
            <w:hideMark/>
          </w:tcPr>
          <w:p w14:paraId="4E491AB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7 538</w:t>
            </w:r>
          </w:p>
        </w:tc>
        <w:tc>
          <w:tcPr>
            <w:tcW w:w="947" w:type="dxa"/>
            <w:tcBorders>
              <w:top w:val="nil"/>
              <w:left w:val="nil"/>
              <w:bottom w:val="single" w:sz="4" w:space="0" w:color="auto"/>
              <w:right w:val="single" w:sz="4" w:space="0" w:color="auto"/>
            </w:tcBorders>
            <w:shd w:val="clear" w:color="auto" w:fill="auto"/>
            <w:hideMark/>
          </w:tcPr>
          <w:p w14:paraId="6592D13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6 211</w:t>
            </w:r>
          </w:p>
        </w:tc>
        <w:tc>
          <w:tcPr>
            <w:tcW w:w="946" w:type="dxa"/>
            <w:tcBorders>
              <w:top w:val="nil"/>
              <w:left w:val="nil"/>
              <w:bottom w:val="single" w:sz="4" w:space="0" w:color="auto"/>
              <w:right w:val="single" w:sz="4" w:space="0" w:color="auto"/>
            </w:tcBorders>
            <w:shd w:val="clear" w:color="auto" w:fill="auto"/>
            <w:hideMark/>
          </w:tcPr>
          <w:p w14:paraId="4C70488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4 433</w:t>
            </w:r>
          </w:p>
        </w:tc>
        <w:tc>
          <w:tcPr>
            <w:tcW w:w="1189" w:type="dxa"/>
            <w:tcBorders>
              <w:top w:val="nil"/>
              <w:left w:val="nil"/>
              <w:bottom w:val="single" w:sz="4" w:space="0" w:color="auto"/>
              <w:right w:val="single" w:sz="8" w:space="0" w:color="auto"/>
            </w:tcBorders>
            <w:shd w:val="clear" w:color="auto" w:fill="auto"/>
            <w:hideMark/>
          </w:tcPr>
          <w:p w14:paraId="0A9B22F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2 733</w:t>
            </w:r>
          </w:p>
        </w:tc>
      </w:tr>
      <w:tr w:rsidR="005B6AF9" w:rsidRPr="004135FE" w14:paraId="6A91D4E9"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111D1627"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8" w:space="0" w:color="auto"/>
              <w:right w:val="single" w:sz="4" w:space="0" w:color="auto"/>
            </w:tcBorders>
            <w:shd w:val="clear" w:color="auto" w:fill="auto"/>
            <w:hideMark/>
          </w:tcPr>
          <w:p w14:paraId="23E795E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tcBorders>
              <w:top w:val="nil"/>
              <w:left w:val="single" w:sz="4" w:space="0" w:color="auto"/>
              <w:bottom w:val="single" w:sz="8" w:space="0" w:color="auto"/>
              <w:right w:val="single" w:sz="4" w:space="0" w:color="auto"/>
            </w:tcBorders>
            <w:shd w:val="clear" w:color="auto" w:fill="auto"/>
            <w:hideMark/>
          </w:tcPr>
          <w:p w14:paraId="066FBB6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777" w:type="dxa"/>
            <w:tcBorders>
              <w:top w:val="nil"/>
              <w:left w:val="nil"/>
              <w:bottom w:val="single" w:sz="8" w:space="0" w:color="auto"/>
              <w:right w:val="single" w:sz="4" w:space="0" w:color="auto"/>
            </w:tcBorders>
            <w:shd w:val="clear" w:color="auto" w:fill="auto"/>
            <w:hideMark/>
          </w:tcPr>
          <w:p w14:paraId="0775467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1 812</w:t>
            </w:r>
          </w:p>
        </w:tc>
        <w:tc>
          <w:tcPr>
            <w:tcW w:w="893" w:type="dxa"/>
            <w:tcBorders>
              <w:top w:val="nil"/>
              <w:left w:val="nil"/>
              <w:bottom w:val="single" w:sz="8" w:space="0" w:color="auto"/>
              <w:right w:val="single" w:sz="4" w:space="0" w:color="auto"/>
            </w:tcBorders>
            <w:shd w:val="clear" w:color="auto" w:fill="auto"/>
            <w:hideMark/>
          </w:tcPr>
          <w:p w14:paraId="391E351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8 779</w:t>
            </w:r>
          </w:p>
        </w:tc>
        <w:tc>
          <w:tcPr>
            <w:tcW w:w="889" w:type="dxa"/>
            <w:tcBorders>
              <w:top w:val="nil"/>
              <w:left w:val="nil"/>
              <w:bottom w:val="single" w:sz="8" w:space="0" w:color="auto"/>
              <w:right w:val="single" w:sz="4" w:space="0" w:color="auto"/>
            </w:tcBorders>
            <w:shd w:val="clear" w:color="auto" w:fill="auto"/>
            <w:hideMark/>
          </w:tcPr>
          <w:p w14:paraId="56E709E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10 558</w:t>
            </w:r>
          </w:p>
        </w:tc>
        <w:tc>
          <w:tcPr>
            <w:tcW w:w="946" w:type="dxa"/>
            <w:tcBorders>
              <w:top w:val="nil"/>
              <w:left w:val="nil"/>
              <w:bottom w:val="single" w:sz="8" w:space="0" w:color="auto"/>
              <w:right w:val="single" w:sz="4" w:space="0" w:color="auto"/>
            </w:tcBorders>
            <w:shd w:val="clear" w:color="auto" w:fill="auto"/>
            <w:hideMark/>
          </w:tcPr>
          <w:p w14:paraId="78746B6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9 349</w:t>
            </w:r>
          </w:p>
        </w:tc>
        <w:tc>
          <w:tcPr>
            <w:tcW w:w="947" w:type="dxa"/>
            <w:tcBorders>
              <w:top w:val="nil"/>
              <w:left w:val="nil"/>
              <w:bottom w:val="single" w:sz="8" w:space="0" w:color="auto"/>
              <w:right w:val="single" w:sz="4" w:space="0" w:color="auto"/>
            </w:tcBorders>
            <w:shd w:val="clear" w:color="auto" w:fill="auto"/>
            <w:hideMark/>
          </w:tcPr>
          <w:p w14:paraId="2549A2B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4 370</w:t>
            </w:r>
          </w:p>
        </w:tc>
        <w:tc>
          <w:tcPr>
            <w:tcW w:w="947" w:type="dxa"/>
            <w:tcBorders>
              <w:top w:val="nil"/>
              <w:left w:val="nil"/>
              <w:bottom w:val="single" w:sz="8" w:space="0" w:color="auto"/>
              <w:right w:val="single" w:sz="4" w:space="0" w:color="auto"/>
            </w:tcBorders>
            <w:shd w:val="clear" w:color="auto" w:fill="auto"/>
            <w:hideMark/>
          </w:tcPr>
          <w:p w14:paraId="14F32A6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2 384</w:t>
            </w:r>
          </w:p>
        </w:tc>
        <w:tc>
          <w:tcPr>
            <w:tcW w:w="947" w:type="dxa"/>
            <w:tcBorders>
              <w:top w:val="nil"/>
              <w:left w:val="nil"/>
              <w:bottom w:val="single" w:sz="8" w:space="0" w:color="auto"/>
              <w:right w:val="single" w:sz="4" w:space="0" w:color="auto"/>
            </w:tcBorders>
            <w:shd w:val="clear" w:color="auto" w:fill="auto"/>
            <w:hideMark/>
          </w:tcPr>
          <w:p w14:paraId="4FAEA3E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17 016</w:t>
            </w:r>
          </w:p>
        </w:tc>
        <w:tc>
          <w:tcPr>
            <w:tcW w:w="947" w:type="dxa"/>
            <w:tcBorders>
              <w:top w:val="nil"/>
              <w:left w:val="nil"/>
              <w:bottom w:val="single" w:sz="8" w:space="0" w:color="auto"/>
              <w:right w:val="single" w:sz="4" w:space="0" w:color="auto"/>
            </w:tcBorders>
            <w:shd w:val="clear" w:color="auto" w:fill="auto"/>
            <w:hideMark/>
          </w:tcPr>
          <w:p w14:paraId="79D2EA1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23 441</w:t>
            </w:r>
          </w:p>
        </w:tc>
        <w:tc>
          <w:tcPr>
            <w:tcW w:w="947" w:type="dxa"/>
            <w:tcBorders>
              <w:top w:val="nil"/>
              <w:left w:val="nil"/>
              <w:bottom w:val="single" w:sz="8" w:space="0" w:color="auto"/>
              <w:right w:val="single" w:sz="4" w:space="0" w:color="auto"/>
            </w:tcBorders>
            <w:shd w:val="clear" w:color="auto" w:fill="auto"/>
            <w:hideMark/>
          </w:tcPr>
          <w:p w14:paraId="2B6BB3B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17 773</w:t>
            </w:r>
          </w:p>
        </w:tc>
        <w:tc>
          <w:tcPr>
            <w:tcW w:w="947" w:type="dxa"/>
            <w:tcBorders>
              <w:top w:val="nil"/>
              <w:left w:val="nil"/>
              <w:bottom w:val="single" w:sz="8" w:space="0" w:color="auto"/>
              <w:right w:val="single" w:sz="4" w:space="0" w:color="auto"/>
            </w:tcBorders>
            <w:shd w:val="clear" w:color="auto" w:fill="auto"/>
            <w:hideMark/>
          </w:tcPr>
          <w:p w14:paraId="5DDA96B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14 514</w:t>
            </w:r>
          </w:p>
        </w:tc>
        <w:tc>
          <w:tcPr>
            <w:tcW w:w="946" w:type="dxa"/>
            <w:tcBorders>
              <w:top w:val="nil"/>
              <w:left w:val="nil"/>
              <w:bottom w:val="single" w:sz="8" w:space="0" w:color="auto"/>
              <w:right w:val="single" w:sz="4" w:space="0" w:color="auto"/>
            </w:tcBorders>
            <w:shd w:val="clear" w:color="auto" w:fill="auto"/>
            <w:hideMark/>
          </w:tcPr>
          <w:p w14:paraId="25D615B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13 009</w:t>
            </w:r>
          </w:p>
        </w:tc>
        <w:tc>
          <w:tcPr>
            <w:tcW w:w="1189" w:type="dxa"/>
            <w:tcBorders>
              <w:top w:val="nil"/>
              <w:left w:val="nil"/>
              <w:bottom w:val="single" w:sz="8" w:space="0" w:color="auto"/>
              <w:right w:val="single" w:sz="8" w:space="0" w:color="auto"/>
            </w:tcBorders>
            <w:shd w:val="clear" w:color="auto" w:fill="auto"/>
            <w:hideMark/>
          </w:tcPr>
          <w:p w14:paraId="210C291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9 602</w:t>
            </w:r>
          </w:p>
        </w:tc>
      </w:tr>
      <w:tr w:rsidR="005B6AF9" w:rsidRPr="004135FE" w14:paraId="5DD14B79" w14:textId="77777777" w:rsidTr="00680E37">
        <w:trPr>
          <w:trHeight w:val="226"/>
        </w:trPr>
        <w:tc>
          <w:tcPr>
            <w:tcW w:w="554" w:type="dxa"/>
            <w:vMerge w:val="restart"/>
            <w:tcBorders>
              <w:top w:val="nil"/>
              <w:left w:val="single" w:sz="8" w:space="0" w:color="auto"/>
              <w:bottom w:val="single" w:sz="8" w:space="0" w:color="000000"/>
              <w:right w:val="single" w:sz="4" w:space="0" w:color="auto"/>
            </w:tcBorders>
            <w:shd w:val="clear" w:color="auto" w:fill="auto"/>
            <w:noWrap/>
            <w:textDirection w:val="btLr"/>
            <w:vAlign w:val="center"/>
            <w:hideMark/>
          </w:tcPr>
          <w:p w14:paraId="77A1E241" w14:textId="77777777" w:rsidR="005B6AF9" w:rsidRPr="004135FE" w:rsidRDefault="005B6AF9"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2021г</w:t>
            </w:r>
          </w:p>
        </w:tc>
        <w:tc>
          <w:tcPr>
            <w:tcW w:w="485" w:type="dxa"/>
            <w:tcBorders>
              <w:top w:val="nil"/>
              <w:left w:val="nil"/>
              <w:bottom w:val="single" w:sz="4" w:space="0" w:color="auto"/>
              <w:right w:val="single" w:sz="4" w:space="0" w:color="auto"/>
            </w:tcBorders>
            <w:shd w:val="clear" w:color="auto" w:fill="auto"/>
            <w:hideMark/>
          </w:tcPr>
          <w:p w14:paraId="1871E23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tcBorders>
              <w:top w:val="nil"/>
              <w:left w:val="single" w:sz="4" w:space="0" w:color="auto"/>
              <w:bottom w:val="single" w:sz="4" w:space="0" w:color="auto"/>
              <w:right w:val="single" w:sz="4" w:space="0" w:color="auto"/>
            </w:tcBorders>
            <w:shd w:val="clear" w:color="auto" w:fill="auto"/>
            <w:hideMark/>
          </w:tcPr>
          <w:p w14:paraId="6400CCC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777" w:type="dxa"/>
            <w:tcBorders>
              <w:top w:val="nil"/>
              <w:left w:val="nil"/>
              <w:bottom w:val="single" w:sz="4" w:space="0" w:color="auto"/>
              <w:right w:val="single" w:sz="4" w:space="0" w:color="auto"/>
            </w:tcBorders>
            <w:shd w:val="clear" w:color="auto" w:fill="auto"/>
            <w:hideMark/>
          </w:tcPr>
          <w:p w14:paraId="0DBC8B8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1 793</w:t>
            </w:r>
          </w:p>
        </w:tc>
        <w:tc>
          <w:tcPr>
            <w:tcW w:w="893" w:type="dxa"/>
            <w:tcBorders>
              <w:top w:val="nil"/>
              <w:left w:val="nil"/>
              <w:bottom w:val="single" w:sz="4" w:space="0" w:color="auto"/>
              <w:right w:val="single" w:sz="4" w:space="0" w:color="auto"/>
            </w:tcBorders>
            <w:shd w:val="clear" w:color="auto" w:fill="auto"/>
            <w:hideMark/>
          </w:tcPr>
          <w:p w14:paraId="15411AA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8 577</w:t>
            </w:r>
          </w:p>
        </w:tc>
        <w:tc>
          <w:tcPr>
            <w:tcW w:w="889" w:type="dxa"/>
            <w:tcBorders>
              <w:top w:val="nil"/>
              <w:left w:val="nil"/>
              <w:bottom w:val="single" w:sz="4" w:space="0" w:color="auto"/>
              <w:right w:val="single" w:sz="4" w:space="0" w:color="auto"/>
            </w:tcBorders>
            <w:shd w:val="clear" w:color="auto" w:fill="auto"/>
            <w:hideMark/>
          </w:tcPr>
          <w:p w14:paraId="7DA8280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11 506</w:t>
            </w:r>
          </w:p>
        </w:tc>
        <w:tc>
          <w:tcPr>
            <w:tcW w:w="946" w:type="dxa"/>
            <w:tcBorders>
              <w:top w:val="nil"/>
              <w:left w:val="nil"/>
              <w:bottom w:val="single" w:sz="4" w:space="0" w:color="auto"/>
              <w:right w:val="single" w:sz="4" w:space="0" w:color="auto"/>
            </w:tcBorders>
            <w:shd w:val="clear" w:color="auto" w:fill="auto"/>
            <w:hideMark/>
          </w:tcPr>
          <w:p w14:paraId="3714403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10 607</w:t>
            </w:r>
          </w:p>
        </w:tc>
        <w:tc>
          <w:tcPr>
            <w:tcW w:w="947" w:type="dxa"/>
            <w:tcBorders>
              <w:top w:val="nil"/>
              <w:left w:val="nil"/>
              <w:bottom w:val="single" w:sz="4" w:space="0" w:color="auto"/>
              <w:right w:val="single" w:sz="4" w:space="0" w:color="auto"/>
            </w:tcBorders>
            <w:shd w:val="clear" w:color="auto" w:fill="auto"/>
            <w:hideMark/>
          </w:tcPr>
          <w:p w14:paraId="1EF0C70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8 002</w:t>
            </w:r>
          </w:p>
        </w:tc>
        <w:tc>
          <w:tcPr>
            <w:tcW w:w="947" w:type="dxa"/>
            <w:tcBorders>
              <w:top w:val="nil"/>
              <w:left w:val="nil"/>
              <w:bottom w:val="single" w:sz="4" w:space="0" w:color="auto"/>
              <w:right w:val="single" w:sz="4" w:space="0" w:color="auto"/>
            </w:tcBorders>
            <w:shd w:val="clear" w:color="auto" w:fill="auto"/>
            <w:hideMark/>
          </w:tcPr>
          <w:p w14:paraId="160FA50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9 932</w:t>
            </w:r>
          </w:p>
        </w:tc>
        <w:tc>
          <w:tcPr>
            <w:tcW w:w="947" w:type="dxa"/>
            <w:tcBorders>
              <w:top w:val="nil"/>
              <w:left w:val="nil"/>
              <w:bottom w:val="single" w:sz="4" w:space="0" w:color="auto"/>
              <w:right w:val="single" w:sz="4" w:space="0" w:color="auto"/>
            </w:tcBorders>
            <w:shd w:val="clear" w:color="auto" w:fill="auto"/>
            <w:hideMark/>
          </w:tcPr>
          <w:p w14:paraId="713B608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34 402</w:t>
            </w:r>
          </w:p>
        </w:tc>
        <w:tc>
          <w:tcPr>
            <w:tcW w:w="947" w:type="dxa"/>
            <w:tcBorders>
              <w:top w:val="nil"/>
              <w:left w:val="nil"/>
              <w:bottom w:val="single" w:sz="4" w:space="0" w:color="auto"/>
              <w:right w:val="single" w:sz="4" w:space="0" w:color="auto"/>
            </w:tcBorders>
            <w:shd w:val="clear" w:color="auto" w:fill="auto"/>
            <w:hideMark/>
          </w:tcPr>
          <w:p w14:paraId="0DF1EF9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30 341</w:t>
            </w:r>
          </w:p>
        </w:tc>
        <w:tc>
          <w:tcPr>
            <w:tcW w:w="947" w:type="dxa"/>
            <w:tcBorders>
              <w:top w:val="nil"/>
              <w:left w:val="nil"/>
              <w:bottom w:val="single" w:sz="4" w:space="0" w:color="auto"/>
              <w:right w:val="single" w:sz="4" w:space="0" w:color="auto"/>
            </w:tcBorders>
            <w:shd w:val="clear" w:color="auto" w:fill="auto"/>
            <w:hideMark/>
          </w:tcPr>
          <w:p w14:paraId="1581F6B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26 057</w:t>
            </w:r>
          </w:p>
        </w:tc>
        <w:tc>
          <w:tcPr>
            <w:tcW w:w="947" w:type="dxa"/>
            <w:tcBorders>
              <w:top w:val="nil"/>
              <w:left w:val="nil"/>
              <w:bottom w:val="single" w:sz="4" w:space="0" w:color="auto"/>
              <w:right w:val="single" w:sz="4" w:space="0" w:color="auto"/>
            </w:tcBorders>
            <w:shd w:val="clear" w:color="auto" w:fill="auto"/>
            <w:hideMark/>
          </w:tcPr>
          <w:p w14:paraId="35E3539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21 416</w:t>
            </w:r>
          </w:p>
        </w:tc>
        <w:tc>
          <w:tcPr>
            <w:tcW w:w="946" w:type="dxa"/>
            <w:tcBorders>
              <w:top w:val="nil"/>
              <w:left w:val="nil"/>
              <w:bottom w:val="single" w:sz="4" w:space="0" w:color="auto"/>
              <w:right w:val="single" w:sz="4" w:space="0" w:color="auto"/>
            </w:tcBorders>
            <w:shd w:val="clear" w:color="auto" w:fill="auto"/>
            <w:hideMark/>
          </w:tcPr>
          <w:p w14:paraId="6D0A20F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18 601</w:t>
            </w:r>
          </w:p>
        </w:tc>
        <w:tc>
          <w:tcPr>
            <w:tcW w:w="1189" w:type="dxa"/>
            <w:tcBorders>
              <w:top w:val="nil"/>
              <w:left w:val="nil"/>
              <w:bottom w:val="single" w:sz="4" w:space="0" w:color="auto"/>
              <w:right w:val="single" w:sz="8" w:space="0" w:color="auto"/>
            </w:tcBorders>
            <w:shd w:val="clear" w:color="auto" w:fill="auto"/>
            <w:hideMark/>
          </w:tcPr>
          <w:p w14:paraId="389F998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16 948</w:t>
            </w:r>
          </w:p>
        </w:tc>
      </w:tr>
      <w:tr w:rsidR="005B6AF9" w:rsidRPr="004135FE" w14:paraId="13F75E37"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414937B9"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30EB9B1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tcBorders>
              <w:top w:val="nil"/>
              <w:left w:val="single" w:sz="4" w:space="0" w:color="auto"/>
              <w:bottom w:val="single" w:sz="4" w:space="0" w:color="auto"/>
              <w:right w:val="single" w:sz="4" w:space="0" w:color="auto"/>
            </w:tcBorders>
            <w:shd w:val="clear" w:color="auto" w:fill="auto"/>
            <w:hideMark/>
          </w:tcPr>
          <w:p w14:paraId="59A95D8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777" w:type="dxa"/>
            <w:tcBorders>
              <w:top w:val="nil"/>
              <w:left w:val="nil"/>
              <w:bottom w:val="single" w:sz="4" w:space="0" w:color="auto"/>
              <w:right w:val="single" w:sz="4" w:space="0" w:color="auto"/>
            </w:tcBorders>
            <w:shd w:val="clear" w:color="auto" w:fill="auto"/>
            <w:hideMark/>
          </w:tcPr>
          <w:p w14:paraId="5175E94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3 540</w:t>
            </w:r>
          </w:p>
        </w:tc>
        <w:tc>
          <w:tcPr>
            <w:tcW w:w="893" w:type="dxa"/>
            <w:tcBorders>
              <w:top w:val="nil"/>
              <w:left w:val="nil"/>
              <w:bottom w:val="single" w:sz="4" w:space="0" w:color="auto"/>
              <w:right w:val="single" w:sz="4" w:space="0" w:color="auto"/>
            </w:tcBorders>
            <w:shd w:val="clear" w:color="auto" w:fill="auto"/>
            <w:hideMark/>
          </w:tcPr>
          <w:p w14:paraId="3382E51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14 694</w:t>
            </w:r>
          </w:p>
        </w:tc>
        <w:tc>
          <w:tcPr>
            <w:tcW w:w="889" w:type="dxa"/>
            <w:tcBorders>
              <w:top w:val="nil"/>
              <w:left w:val="nil"/>
              <w:bottom w:val="single" w:sz="4" w:space="0" w:color="auto"/>
              <w:right w:val="single" w:sz="4" w:space="0" w:color="auto"/>
            </w:tcBorders>
            <w:shd w:val="clear" w:color="auto" w:fill="auto"/>
            <w:hideMark/>
          </w:tcPr>
          <w:p w14:paraId="3F9C7CB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14 733</w:t>
            </w:r>
          </w:p>
        </w:tc>
        <w:tc>
          <w:tcPr>
            <w:tcW w:w="946" w:type="dxa"/>
            <w:tcBorders>
              <w:top w:val="nil"/>
              <w:left w:val="nil"/>
              <w:bottom w:val="single" w:sz="4" w:space="0" w:color="auto"/>
              <w:right w:val="single" w:sz="4" w:space="0" w:color="auto"/>
            </w:tcBorders>
            <w:shd w:val="clear" w:color="auto" w:fill="auto"/>
            <w:hideMark/>
          </w:tcPr>
          <w:p w14:paraId="7168BFD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11 485</w:t>
            </w:r>
          </w:p>
        </w:tc>
        <w:tc>
          <w:tcPr>
            <w:tcW w:w="947" w:type="dxa"/>
            <w:tcBorders>
              <w:top w:val="nil"/>
              <w:left w:val="nil"/>
              <w:bottom w:val="single" w:sz="4" w:space="0" w:color="auto"/>
              <w:right w:val="single" w:sz="4" w:space="0" w:color="auto"/>
            </w:tcBorders>
            <w:shd w:val="clear" w:color="auto" w:fill="auto"/>
            <w:hideMark/>
          </w:tcPr>
          <w:p w14:paraId="5A94424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5 089</w:t>
            </w:r>
          </w:p>
        </w:tc>
        <w:tc>
          <w:tcPr>
            <w:tcW w:w="947" w:type="dxa"/>
            <w:tcBorders>
              <w:top w:val="nil"/>
              <w:left w:val="nil"/>
              <w:bottom w:val="single" w:sz="4" w:space="0" w:color="auto"/>
              <w:right w:val="single" w:sz="4" w:space="0" w:color="auto"/>
            </w:tcBorders>
            <w:shd w:val="clear" w:color="auto" w:fill="auto"/>
            <w:hideMark/>
          </w:tcPr>
          <w:p w14:paraId="04C0111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2 592</w:t>
            </w:r>
          </w:p>
        </w:tc>
        <w:tc>
          <w:tcPr>
            <w:tcW w:w="947" w:type="dxa"/>
            <w:tcBorders>
              <w:top w:val="nil"/>
              <w:left w:val="nil"/>
              <w:bottom w:val="single" w:sz="4" w:space="0" w:color="auto"/>
              <w:right w:val="single" w:sz="4" w:space="0" w:color="auto"/>
            </w:tcBorders>
            <w:shd w:val="clear" w:color="auto" w:fill="auto"/>
            <w:hideMark/>
          </w:tcPr>
          <w:p w14:paraId="575C4AA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18 290</w:t>
            </w:r>
          </w:p>
        </w:tc>
        <w:tc>
          <w:tcPr>
            <w:tcW w:w="947" w:type="dxa"/>
            <w:tcBorders>
              <w:top w:val="nil"/>
              <w:left w:val="nil"/>
              <w:bottom w:val="single" w:sz="4" w:space="0" w:color="auto"/>
              <w:right w:val="single" w:sz="4" w:space="0" w:color="auto"/>
            </w:tcBorders>
            <w:shd w:val="clear" w:color="auto" w:fill="auto"/>
            <w:hideMark/>
          </w:tcPr>
          <w:p w14:paraId="0AA9352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23 900</w:t>
            </w:r>
          </w:p>
        </w:tc>
        <w:tc>
          <w:tcPr>
            <w:tcW w:w="947" w:type="dxa"/>
            <w:tcBorders>
              <w:top w:val="nil"/>
              <w:left w:val="nil"/>
              <w:bottom w:val="single" w:sz="4" w:space="0" w:color="auto"/>
              <w:right w:val="single" w:sz="4" w:space="0" w:color="auto"/>
            </w:tcBorders>
            <w:shd w:val="clear" w:color="auto" w:fill="auto"/>
            <w:hideMark/>
          </w:tcPr>
          <w:p w14:paraId="1868C10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14 845</w:t>
            </w:r>
          </w:p>
        </w:tc>
        <w:tc>
          <w:tcPr>
            <w:tcW w:w="947" w:type="dxa"/>
            <w:tcBorders>
              <w:top w:val="nil"/>
              <w:left w:val="nil"/>
              <w:bottom w:val="single" w:sz="4" w:space="0" w:color="auto"/>
              <w:right w:val="single" w:sz="4" w:space="0" w:color="auto"/>
            </w:tcBorders>
            <w:shd w:val="clear" w:color="auto" w:fill="auto"/>
            <w:hideMark/>
          </w:tcPr>
          <w:p w14:paraId="05C21BA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10 487</w:t>
            </w:r>
          </w:p>
        </w:tc>
        <w:tc>
          <w:tcPr>
            <w:tcW w:w="946" w:type="dxa"/>
            <w:tcBorders>
              <w:top w:val="nil"/>
              <w:left w:val="nil"/>
              <w:bottom w:val="single" w:sz="4" w:space="0" w:color="auto"/>
              <w:right w:val="single" w:sz="4" w:space="0" w:color="auto"/>
            </w:tcBorders>
            <w:shd w:val="clear" w:color="auto" w:fill="auto"/>
            <w:hideMark/>
          </w:tcPr>
          <w:p w14:paraId="02ABEE6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7 090</w:t>
            </w:r>
          </w:p>
        </w:tc>
        <w:tc>
          <w:tcPr>
            <w:tcW w:w="1189" w:type="dxa"/>
            <w:tcBorders>
              <w:top w:val="nil"/>
              <w:left w:val="nil"/>
              <w:bottom w:val="single" w:sz="4" w:space="0" w:color="auto"/>
              <w:right w:val="single" w:sz="8" w:space="0" w:color="auto"/>
            </w:tcBorders>
            <w:shd w:val="clear" w:color="auto" w:fill="auto"/>
            <w:hideMark/>
          </w:tcPr>
          <w:p w14:paraId="18E4936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3 956</w:t>
            </w:r>
          </w:p>
        </w:tc>
      </w:tr>
      <w:tr w:rsidR="005B6AF9" w:rsidRPr="004135FE" w14:paraId="77C1F499"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13E62A44"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7FF034B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tcBorders>
              <w:top w:val="nil"/>
              <w:left w:val="single" w:sz="4" w:space="0" w:color="auto"/>
              <w:bottom w:val="single" w:sz="4" w:space="0" w:color="auto"/>
              <w:right w:val="single" w:sz="4" w:space="0" w:color="auto"/>
            </w:tcBorders>
            <w:shd w:val="clear" w:color="auto" w:fill="auto"/>
            <w:hideMark/>
          </w:tcPr>
          <w:p w14:paraId="3D232B4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777" w:type="dxa"/>
            <w:tcBorders>
              <w:top w:val="nil"/>
              <w:left w:val="nil"/>
              <w:bottom w:val="single" w:sz="4" w:space="0" w:color="auto"/>
              <w:right w:val="single" w:sz="4" w:space="0" w:color="auto"/>
            </w:tcBorders>
            <w:shd w:val="clear" w:color="auto" w:fill="auto"/>
            <w:hideMark/>
          </w:tcPr>
          <w:p w14:paraId="0940BBC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2 146</w:t>
            </w:r>
          </w:p>
        </w:tc>
        <w:tc>
          <w:tcPr>
            <w:tcW w:w="893" w:type="dxa"/>
            <w:tcBorders>
              <w:top w:val="nil"/>
              <w:left w:val="nil"/>
              <w:bottom w:val="single" w:sz="4" w:space="0" w:color="auto"/>
              <w:right w:val="single" w:sz="4" w:space="0" w:color="auto"/>
            </w:tcBorders>
            <w:shd w:val="clear" w:color="auto" w:fill="auto"/>
            <w:hideMark/>
          </w:tcPr>
          <w:p w14:paraId="1370B1D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10 317</w:t>
            </w:r>
          </w:p>
        </w:tc>
        <w:tc>
          <w:tcPr>
            <w:tcW w:w="889" w:type="dxa"/>
            <w:tcBorders>
              <w:top w:val="nil"/>
              <w:left w:val="nil"/>
              <w:bottom w:val="single" w:sz="4" w:space="0" w:color="auto"/>
              <w:right w:val="single" w:sz="4" w:space="0" w:color="auto"/>
            </w:tcBorders>
            <w:shd w:val="clear" w:color="auto" w:fill="auto"/>
            <w:hideMark/>
          </w:tcPr>
          <w:p w14:paraId="656331D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13 163</w:t>
            </w:r>
          </w:p>
        </w:tc>
        <w:tc>
          <w:tcPr>
            <w:tcW w:w="946" w:type="dxa"/>
            <w:tcBorders>
              <w:top w:val="nil"/>
              <w:left w:val="nil"/>
              <w:bottom w:val="single" w:sz="4" w:space="0" w:color="auto"/>
              <w:right w:val="single" w:sz="4" w:space="0" w:color="auto"/>
            </w:tcBorders>
            <w:shd w:val="clear" w:color="auto" w:fill="auto"/>
            <w:hideMark/>
          </w:tcPr>
          <w:p w14:paraId="297BC97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11 933</w:t>
            </w:r>
          </w:p>
        </w:tc>
        <w:tc>
          <w:tcPr>
            <w:tcW w:w="947" w:type="dxa"/>
            <w:tcBorders>
              <w:top w:val="nil"/>
              <w:left w:val="nil"/>
              <w:bottom w:val="single" w:sz="4" w:space="0" w:color="auto"/>
              <w:right w:val="single" w:sz="4" w:space="0" w:color="auto"/>
            </w:tcBorders>
            <w:shd w:val="clear" w:color="auto" w:fill="auto"/>
            <w:hideMark/>
          </w:tcPr>
          <w:p w14:paraId="0CEBC0B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5 616</w:t>
            </w:r>
          </w:p>
        </w:tc>
        <w:tc>
          <w:tcPr>
            <w:tcW w:w="947" w:type="dxa"/>
            <w:tcBorders>
              <w:top w:val="nil"/>
              <w:left w:val="nil"/>
              <w:bottom w:val="single" w:sz="4" w:space="0" w:color="auto"/>
              <w:right w:val="single" w:sz="4" w:space="0" w:color="auto"/>
            </w:tcBorders>
            <w:shd w:val="clear" w:color="auto" w:fill="auto"/>
            <w:hideMark/>
          </w:tcPr>
          <w:p w14:paraId="4B4C8C4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3 561</w:t>
            </w:r>
          </w:p>
        </w:tc>
        <w:tc>
          <w:tcPr>
            <w:tcW w:w="947" w:type="dxa"/>
            <w:tcBorders>
              <w:top w:val="nil"/>
              <w:left w:val="nil"/>
              <w:bottom w:val="single" w:sz="4" w:space="0" w:color="auto"/>
              <w:right w:val="single" w:sz="4" w:space="0" w:color="auto"/>
            </w:tcBorders>
            <w:shd w:val="clear" w:color="auto" w:fill="auto"/>
            <w:hideMark/>
          </w:tcPr>
          <w:p w14:paraId="52ADBC2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23 653</w:t>
            </w:r>
          </w:p>
        </w:tc>
        <w:tc>
          <w:tcPr>
            <w:tcW w:w="947" w:type="dxa"/>
            <w:tcBorders>
              <w:top w:val="nil"/>
              <w:left w:val="nil"/>
              <w:bottom w:val="single" w:sz="4" w:space="0" w:color="auto"/>
              <w:right w:val="single" w:sz="4" w:space="0" w:color="auto"/>
            </w:tcBorders>
            <w:shd w:val="clear" w:color="auto" w:fill="auto"/>
            <w:hideMark/>
          </w:tcPr>
          <w:p w14:paraId="6E173D5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30 913</w:t>
            </w:r>
          </w:p>
        </w:tc>
        <w:tc>
          <w:tcPr>
            <w:tcW w:w="947" w:type="dxa"/>
            <w:tcBorders>
              <w:top w:val="nil"/>
              <w:left w:val="nil"/>
              <w:bottom w:val="single" w:sz="4" w:space="0" w:color="auto"/>
              <w:right w:val="single" w:sz="4" w:space="0" w:color="auto"/>
            </w:tcBorders>
            <w:shd w:val="clear" w:color="auto" w:fill="auto"/>
            <w:hideMark/>
          </w:tcPr>
          <w:p w14:paraId="0C9A10E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23 646</w:t>
            </w:r>
          </w:p>
        </w:tc>
        <w:tc>
          <w:tcPr>
            <w:tcW w:w="947" w:type="dxa"/>
            <w:tcBorders>
              <w:top w:val="nil"/>
              <w:left w:val="nil"/>
              <w:bottom w:val="single" w:sz="4" w:space="0" w:color="auto"/>
              <w:right w:val="single" w:sz="4" w:space="0" w:color="auto"/>
            </w:tcBorders>
            <w:shd w:val="clear" w:color="auto" w:fill="auto"/>
            <w:hideMark/>
          </w:tcPr>
          <w:p w14:paraId="0D8701A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19 821</w:t>
            </w:r>
          </w:p>
        </w:tc>
        <w:tc>
          <w:tcPr>
            <w:tcW w:w="946" w:type="dxa"/>
            <w:tcBorders>
              <w:top w:val="nil"/>
              <w:left w:val="nil"/>
              <w:bottom w:val="single" w:sz="4" w:space="0" w:color="auto"/>
              <w:right w:val="single" w:sz="4" w:space="0" w:color="auto"/>
            </w:tcBorders>
            <w:shd w:val="clear" w:color="auto" w:fill="auto"/>
            <w:hideMark/>
          </w:tcPr>
          <w:p w14:paraId="0F56283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17 284</w:t>
            </w:r>
          </w:p>
        </w:tc>
        <w:tc>
          <w:tcPr>
            <w:tcW w:w="1189" w:type="dxa"/>
            <w:tcBorders>
              <w:top w:val="nil"/>
              <w:left w:val="nil"/>
              <w:bottom w:val="single" w:sz="4" w:space="0" w:color="auto"/>
              <w:right w:val="single" w:sz="8" w:space="0" w:color="auto"/>
            </w:tcBorders>
            <w:shd w:val="clear" w:color="auto" w:fill="auto"/>
            <w:hideMark/>
          </w:tcPr>
          <w:p w14:paraId="7750F48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13 589</w:t>
            </w:r>
          </w:p>
        </w:tc>
      </w:tr>
      <w:tr w:rsidR="005B6AF9" w:rsidRPr="004135FE" w14:paraId="5A2E67E7"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66D180B3"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0E433B42"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tcBorders>
              <w:top w:val="nil"/>
              <w:left w:val="single" w:sz="4" w:space="0" w:color="auto"/>
              <w:bottom w:val="single" w:sz="4" w:space="0" w:color="auto"/>
              <w:right w:val="single" w:sz="4" w:space="0" w:color="auto"/>
            </w:tcBorders>
            <w:shd w:val="clear" w:color="auto" w:fill="auto"/>
            <w:hideMark/>
          </w:tcPr>
          <w:p w14:paraId="4444F97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777" w:type="dxa"/>
            <w:tcBorders>
              <w:top w:val="nil"/>
              <w:left w:val="nil"/>
              <w:bottom w:val="single" w:sz="4" w:space="0" w:color="auto"/>
              <w:right w:val="single" w:sz="4" w:space="0" w:color="auto"/>
            </w:tcBorders>
            <w:shd w:val="clear" w:color="auto" w:fill="auto"/>
            <w:hideMark/>
          </w:tcPr>
          <w:p w14:paraId="2524183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2 029</w:t>
            </w:r>
          </w:p>
        </w:tc>
        <w:tc>
          <w:tcPr>
            <w:tcW w:w="893" w:type="dxa"/>
            <w:tcBorders>
              <w:top w:val="nil"/>
              <w:left w:val="nil"/>
              <w:bottom w:val="single" w:sz="4" w:space="0" w:color="auto"/>
              <w:right w:val="single" w:sz="4" w:space="0" w:color="auto"/>
            </w:tcBorders>
            <w:shd w:val="clear" w:color="auto" w:fill="auto"/>
            <w:hideMark/>
          </w:tcPr>
          <w:p w14:paraId="74C0B2D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10 203</w:t>
            </w:r>
          </w:p>
        </w:tc>
        <w:tc>
          <w:tcPr>
            <w:tcW w:w="889" w:type="dxa"/>
            <w:tcBorders>
              <w:top w:val="nil"/>
              <w:left w:val="nil"/>
              <w:bottom w:val="single" w:sz="4" w:space="0" w:color="auto"/>
              <w:right w:val="single" w:sz="4" w:space="0" w:color="auto"/>
            </w:tcBorders>
            <w:shd w:val="clear" w:color="auto" w:fill="auto"/>
            <w:hideMark/>
          </w:tcPr>
          <w:p w14:paraId="1F9AC8C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13 610</w:t>
            </w:r>
          </w:p>
        </w:tc>
        <w:tc>
          <w:tcPr>
            <w:tcW w:w="946" w:type="dxa"/>
            <w:tcBorders>
              <w:top w:val="nil"/>
              <w:left w:val="nil"/>
              <w:bottom w:val="single" w:sz="4" w:space="0" w:color="auto"/>
              <w:right w:val="single" w:sz="4" w:space="0" w:color="auto"/>
            </w:tcBorders>
            <w:shd w:val="clear" w:color="auto" w:fill="auto"/>
            <w:hideMark/>
          </w:tcPr>
          <w:p w14:paraId="1015B4A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12 123</w:t>
            </w:r>
          </w:p>
        </w:tc>
        <w:tc>
          <w:tcPr>
            <w:tcW w:w="947" w:type="dxa"/>
            <w:tcBorders>
              <w:top w:val="nil"/>
              <w:left w:val="nil"/>
              <w:bottom w:val="single" w:sz="4" w:space="0" w:color="auto"/>
              <w:right w:val="single" w:sz="4" w:space="0" w:color="auto"/>
            </w:tcBorders>
            <w:shd w:val="clear" w:color="auto" w:fill="auto"/>
            <w:hideMark/>
          </w:tcPr>
          <w:p w14:paraId="2BBFC77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7 954</w:t>
            </w:r>
          </w:p>
        </w:tc>
        <w:tc>
          <w:tcPr>
            <w:tcW w:w="947" w:type="dxa"/>
            <w:tcBorders>
              <w:top w:val="nil"/>
              <w:left w:val="nil"/>
              <w:bottom w:val="single" w:sz="4" w:space="0" w:color="auto"/>
              <w:right w:val="single" w:sz="4" w:space="0" w:color="auto"/>
            </w:tcBorders>
            <w:shd w:val="clear" w:color="auto" w:fill="auto"/>
            <w:hideMark/>
          </w:tcPr>
          <w:p w14:paraId="775378B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11 714</w:t>
            </w:r>
          </w:p>
        </w:tc>
        <w:tc>
          <w:tcPr>
            <w:tcW w:w="947" w:type="dxa"/>
            <w:tcBorders>
              <w:top w:val="nil"/>
              <w:left w:val="nil"/>
              <w:bottom w:val="single" w:sz="4" w:space="0" w:color="auto"/>
              <w:right w:val="single" w:sz="4" w:space="0" w:color="auto"/>
            </w:tcBorders>
            <w:shd w:val="clear" w:color="auto" w:fill="auto"/>
            <w:hideMark/>
          </w:tcPr>
          <w:p w14:paraId="584BF56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46 132</w:t>
            </w:r>
          </w:p>
        </w:tc>
        <w:tc>
          <w:tcPr>
            <w:tcW w:w="947" w:type="dxa"/>
            <w:tcBorders>
              <w:top w:val="nil"/>
              <w:left w:val="nil"/>
              <w:bottom w:val="single" w:sz="4" w:space="0" w:color="auto"/>
              <w:right w:val="single" w:sz="4" w:space="0" w:color="auto"/>
            </w:tcBorders>
            <w:shd w:val="clear" w:color="auto" w:fill="auto"/>
            <w:hideMark/>
          </w:tcPr>
          <w:p w14:paraId="75133FB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36 016</w:t>
            </w:r>
          </w:p>
        </w:tc>
        <w:tc>
          <w:tcPr>
            <w:tcW w:w="947" w:type="dxa"/>
            <w:tcBorders>
              <w:top w:val="nil"/>
              <w:left w:val="nil"/>
              <w:bottom w:val="single" w:sz="4" w:space="0" w:color="auto"/>
              <w:right w:val="single" w:sz="4" w:space="0" w:color="auto"/>
            </w:tcBorders>
            <w:shd w:val="clear" w:color="auto" w:fill="auto"/>
            <w:hideMark/>
          </w:tcPr>
          <w:p w14:paraId="7E806FF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27 767</w:t>
            </w:r>
          </w:p>
        </w:tc>
        <w:tc>
          <w:tcPr>
            <w:tcW w:w="947" w:type="dxa"/>
            <w:tcBorders>
              <w:top w:val="nil"/>
              <w:left w:val="nil"/>
              <w:bottom w:val="single" w:sz="4" w:space="0" w:color="auto"/>
              <w:right w:val="single" w:sz="4" w:space="0" w:color="auto"/>
            </w:tcBorders>
            <w:shd w:val="clear" w:color="auto" w:fill="auto"/>
            <w:hideMark/>
          </w:tcPr>
          <w:p w14:paraId="2054A6A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22 314</w:t>
            </w:r>
          </w:p>
        </w:tc>
        <w:tc>
          <w:tcPr>
            <w:tcW w:w="946" w:type="dxa"/>
            <w:tcBorders>
              <w:top w:val="nil"/>
              <w:left w:val="nil"/>
              <w:bottom w:val="single" w:sz="4" w:space="0" w:color="auto"/>
              <w:right w:val="single" w:sz="4" w:space="0" w:color="auto"/>
            </w:tcBorders>
            <w:shd w:val="clear" w:color="auto" w:fill="auto"/>
            <w:hideMark/>
          </w:tcPr>
          <w:p w14:paraId="6A8A56F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19 254</w:t>
            </w:r>
          </w:p>
        </w:tc>
        <w:tc>
          <w:tcPr>
            <w:tcW w:w="1189" w:type="dxa"/>
            <w:tcBorders>
              <w:top w:val="nil"/>
              <w:left w:val="nil"/>
              <w:bottom w:val="single" w:sz="4" w:space="0" w:color="auto"/>
              <w:right w:val="single" w:sz="8" w:space="0" w:color="auto"/>
            </w:tcBorders>
            <w:shd w:val="clear" w:color="auto" w:fill="auto"/>
            <w:hideMark/>
          </w:tcPr>
          <w:p w14:paraId="58373D1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16 452</w:t>
            </w:r>
          </w:p>
        </w:tc>
      </w:tr>
      <w:tr w:rsidR="005B6AF9" w:rsidRPr="004135FE" w14:paraId="2053385C"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4154E1A2"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7060E01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tcBorders>
              <w:top w:val="nil"/>
              <w:left w:val="single" w:sz="4" w:space="0" w:color="auto"/>
              <w:bottom w:val="single" w:sz="4" w:space="0" w:color="auto"/>
              <w:right w:val="single" w:sz="4" w:space="0" w:color="auto"/>
            </w:tcBorders>
            <w:shd w:val="clear" w:color="auto" w:fill="auto"/>
            <w:hideMark/>
          </w:tcPr>
          <w:p w14:paraId="4F819CD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777" w:type="dxa"/>
            <w:tcBorders>
              <w:top w:val="nil"/>
              <w:left w:val="nil"/>
              <w:bottom w:val="single" w:sz="4" w:space="0" w:color="auto"/>
              <w:right w:val="single" w:sz="4" w:space="0" w:color="auto"/>
            </w:tcBorders>
            <w:shd w:val="clear" w:color="auto" w:fill="auto"/>
            <w:hideMark/>
          </w:tcPr>
          <w:p w14:paraId="3A6A868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1 348</w:t>
            </w:r>
          </w:p>
        </w:tc>
        <w:tc>
          <w:tcPr>
            <w:tcW w:w="893" w:type="dxa"/>
            <w:tcBorders>
              <w:top w:val="nil"/>
              <w:left w:val="nil"/>
              <w:bottom w:val="single" w:sz="4" w:space="0" w:color="auto"/>
              <w:right w:val="single" w:sz="4" w:space="0" w:color="auto"/>
            </w:tcBorders>
            <w:shd w:val="clear" w:color="auto" w:fill="auto"/>
            <w:hideMark/>
          </w:tcPr>
          <w:p w14:paraId="23B69E4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6 211</w:t>
            </w:r>
          </w:p>
        </w:tc>
        <w:tc>
          <w:tcPr>
            <w:tcW w:w="889" w:type="dxa"/>
            <w:tcBorders>
              <w:top w:val="nil"/>
              <w:left w:val="nil"/>
              <w:bottom w:val="single" w:sz="4" w:space="0" w:color="auto"/>
              <w:right w:val="single" w:sz="4" w:space="0" w:color="auto"/>
            </w:tcBorders>
            <w:shd w:val="clear" w:color="auto" w:fill="auto"/>
            <w:hideMark/>
          </w:tcPr>
          <w:p w14:paraId="2FE342C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8 441</w:t>
            </w:r>
          </w:p>
        </w:tc>
        <w:tc>
          <w:tcPr>
            <w:tcW w:w="946" w:type="dxa"/>
            <w:tcBorders>
              <w:top w:val="nil"/>
              <w:left w:val="nil"/>
              <w:bottom w:val="single" w:sz="4" w:space="0" w:color="auto"/>
              <w:right w:val="single" w:sz="4" w:space="0" w:color="auto"/>
            </w:tcBorders>
            <w:shd w:val="clear" w:color="auto" w:fill="auto"/>
            <w:hideMark/>
          </w:tcPr>
          <w:p w14:paraId="3C862B4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7 387</w:t>
            </w:r>
          </w:p>
        </w:tc>
        <w:tc>
          <w:tcPr>
            <w:tcW w:w="947" w:type="dxa"/>
            <w:tcBorders>
              <w:top w:val="nil"/>
              <w:left w:val="nil"/>
              <w:bottom w:val="single" w:sz="4" w:space="0" w:color="auto"/>
              <w:right w:val="single" w:sz="4" w:space="0" w:color="auto"/>
            </w:tcBorders>
            <w:shd w:val="clear" w:color="auto" w:fill="auto"/>
            <w:hideMark/>
          </w:tcPr>
          <w:p w14:paraId="0237323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3 375</w:t>
            </w:r>
          </w:p>
        </w:tc>
        <w:tc>
          <w:tcPr>
            <w:tcW w:w="947" w:type="dxa"/>
            <w:tcBorders>
              <w:top w:val="nil"/>
              <w:left w:val="nil"/>
              <w:bottom w:val="single" w:sz="4" w:space="0" w:color="auto"/>
              <w:right w:val="single" w:sz="4" w:space="0" w:color="auto"/>
            </w:tcBorders>
            <w:shd w:val="clear" w:color="auto" w:fill="auto"/>
            <w:hideMark/>
          </w:tcPr>
          <w:p w14:paraId="1A8E1F4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1 887</w:t>
            </w:r>
          </w:p>
        </w:tc>
        <w:tc>
          <w:tcPr>
            <w:tcW w:w="947" w:type="dxa"/>
            <w:tcBorders>
              <w:top w:val="nil"/>
              <w:left w:val="nil"/>
              <w:bottom w:val="single" w:sz="4" w:space="0" w:color="auto"/>
              <w:right w:val="single" w:sz="4" w:space="0" w:color="auto"/>
            </w:tcBorders>
            <w:shd w:val="clear" w:color="auto" w:fill="auto"/>
            <w:hideMark/>
          </w:tcPr>
          <w:p w14:paraId="5952C29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11 120</w:t>
            </w:r>
          </w:p>
        </w:tc>
        <w:tc>
          <w:tcPr>
            <w:tcW w:w="947" w:type="dxa"/>
            <w:tcBorders>
              <w:top w:val="nil"/>
              <w:left w:val="nil"/>
              <w:bottom w:val="single" w:sz="4" w:space="0" w:color="auto"/>
              <w:right w:val="single" w:sz="4" w:space="0" w:color="auto"/>
            </w:tcBorders>
            <w:shd w:val="clear" w:color="auto" w:fill="auto"/>
            <w:hideMark/>
          </w:tcPr>
          <w:p w14:paraId="56FFAC2A"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17 115</w:t>
            </w:r>
          </w:p>
        </w:tc>
        <w:tc>
          <w:tcPr>
            <w:tcW w:w="947" w:type="dxa"/>
            <w:tcBorders>
              <w:top w:val="nil"/>
              <w:left w:val="nil"/>
              <w:bottom w:val="single" w:sz="4" w:space="0" w:color="auto"/>
              <w:right w:val="single" w:sz="4" w:space="0" w:color="auto"/>
            </w:tcBorders>
            <w:shd w:val="clear" w:color="auto" w:fill="auto"/>
            <w:hideMark/>
          </w:tcPr>
          <w:p w14:paraId="297C9F8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13 074</w:t>
            </w:r>
          </w:p>
        </w:tc>
        <w:tc>
          <w:tcPr>
            <w:tcW w:w="947" w:type="dxa"/>
            <w:tcBorders>
              <w:top w:val="nil"/>
              <w:left w:val="nil"/>
              <w:bottom w:val="single" w:sz="4" w:space="0" w:color="auto"/>
              <w:right w:val="single" w:sz="4" w:space="0" w:color="auto"/>
            </w:tcBorders>
            <w:shd w:val="clear" w:color="auto" w:fill="auto"/>
            <w:hideMark/>
          </w:tcPr>
          <w:p w14:paraId="2D00B07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10 218</w:t>
            </w:r>
          </w:p>
        </w:tc>
        <w:tc>
          <w:tcPr>
            <w:tcW w:w="946" w:type="dxa"/>
            <w:tcBorders>
              <w:top w:val="nil"/>
              <w:left w:val="nil"/>
              <w:bottom w:val="single" w:sz="4" w:space="0" w:color="auto"/>
              <w:right w:val="single" w:sz="4" w:space="0" w:color="auto"/>
            </w:tcBorders>
            <w:shd w:val="clear" w:color="auto" w:fill="auto"/>
            <w:hideMark/>
          </w:tcPr>
          <w:p w14:paraId="0E7ECECD"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8 890</w:t>
            </w:r>
          </w:p>
        </w:tc>
        <w:tc>
          <w:tcPr>
            <w:tcW w:w="1189" w:type="dxa"/>
            <w:tcBorders>
              <w:top w:val="nil"/>
              <w:left w:val="nil"/>
              <w:bottom w:val="single" w:sz="4" w:space="0" w:color="auto"/>
              <w:right w:val="single" w:sz="8" w:space="0" w:color="auto"/>
            </w:tcBorders>
            <w:shd w:val="clear" w:color="auto" w:fill="auto"/>
            <w:hideMark/>
          </w:tcPr>
          <w:p w14:paraId="31D054D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6 544</w:t>
            </w:r>
          </w:p>
        </w:tc>
      </w:tr>
      <w:tr w:rsidR="005B6AF9" w:rsidRPr="004135FE" w14:paraId="560FB64E"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33A5F81D"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012C507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tcBorders>
              <w:top w:val="nil"/>
              <w:left w:val="single" w:sz="4" w:space="0" w:color="auto"/>
              <w:bottom w:val="single" w:sz="4" w:space="0" w:color="auto"/>
              <w:right w:val="single" w:sz="4" w:space="0" w:color="auto"/>
            </w:tcBorders>
            <w:shd w:val="clear" w:color="auto" w:fill="auto"/>
            <w:hideMark/>
          </w:tcPr>
          <w:p w14:paraId="1C16EC1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777" w:type="dxa"/>
            <w:tcBorders>
              <w:top w:val="nil"/>
              <w:left w:val="nil"/>
              <w:bottom w:val="single" w:sz="4" w:space="0" w:color="auto"/>
              <w:right w:val="single" w:sz="4" w:space="0" w:color="auto"/>
            </w:tcBorders>
            <w:shd w:val="clear" w:color="auto" w:fill="auto"/>
            <w:hideMark/>
          </w:tcPr>
          <w:p w14:paraId="366B536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1 544</w:t>
            </w:r>
          </w:p>
        </w:tc>
        <w:tc>
          <w:tcPr>
            <w:tcW w:w="893" w:type="dxa"/>
            <w:tcBorders>
              <w:top w:val="nil"/>
              <w:left w:val="nil"/>
              <w:bottom w:val="single" w:sz="4" w:space="0" w:color="auto"/>
              <w:right w:val="single" w:sz="4" w:space="0" w:color="auto"/>
            </w:tcBorders>
            <w:shd w:val="clear" w:color="auto" w:fill="auto"/>
            <w:hideMark/>
          </w:tcPr>
          <w:p w14:paraId="4E6B1B6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7 404</w:t>
            </w:r>
          </w:p>
        </w:tc>
        <w:tc>
          <w:tcPr>
            <w:tcW w:w="889" w:type="dxa"/>
            <w:tcBorders>
              <w:top w:val="nil"/>
              <w:left w:val="nil"/>
              <w:bottom w:val="single" w:sz="4" w:space="0" w:color="auto"/>
              <w:right w:val="single" w:sz="4" w:space="0" w:color="auto"/>
            </w:tcBorders>
            <w:shd w:val="clear" w:color="auto" w:fill="auto"/>
            <w:hideMark/>
          </w:tcPr>
          <w:p w14:paraId="7E07082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10 104</w:t>
            </w:r>
          </w:p>
        </w:tc>
        <w:tc>
          <w:tcPr>
            <w:tcW w:w="946" w:type="dxa"/>
            <w:tcBorders>
              <w:top w:val="nil"/>
              <w:left w:val="nil"/>
              <w:bottom w:val="single" w:sz="4" w:space="0" w:color="auto"/>
              <w:right w:val="single" w:sz="4" w:space="0" w:color="auto"/>
            </w:tcBorders>
            <w:shd w:val="clear" w:color="auto" w:fill="auto"/>
            <w:hideMark/>
          </w:tcPr>
          <w:p w14:paraId="6ED0697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9 430</w:t>
            </w:r>
          </w:p>
        </w:tc>
        <w:tc>
          <w:tcPr>
            <w:tcW w:w="947" w:type="dxa"/>
            <w:tcBorders>
              <w:top w:val="nil"/>
              <w:left w:val="nil"/>
              <w:bottom w:val="single" w:sz="4" w:space="0" w:color="auto"/>
              <w:right w:val="single" w:sz="4" w:space="0" w:color="auto"/>
            </w:tcBorders>
            <w:shd w:val="clear" w:color="auto" w:fill="auto"/>
            <w:hideMark/>
          </w:tcPr>
          <w:p w14:paraId="4C6A644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4 751</w:t>
            </w:r>
          </w:p>
        </w:tc>
        <w:tc>
          <w:tcPr>
            <w:tcW w:w="947" w:type="dxa"/>
            <w:tcBorders>
              <w:top w:val="nil"/>
              <w:left w:val="nil"/>
              <w:bottom w:val="single" w:sz="4" w:space="0" w:color="auto"/>
              <w:right w:val="single" w:sz="4" w:space="0" w:color="auto"/>
            </w:tcBorders>
            <w:shd w:val="clear" w:color="auto" w:fill="auto"/>
            <w:hideMark/>
          </w:tcPr>
          <w:p w14:paraId="2895C93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5 466</w:t>
            </w:r>
          </w:p>
        </w:tc>
        <w:tc>
          <w:tcPr>
            <w:tcW w:w="947" w:type="dxa"/>
            <w:tcBorders>
              <w:top w:val="nil"/>
              <w:left w:val="nil"/>
              <w:bottom w:val="single" w:sz="4" w:space="0" w:color="auto"/>
              <w:right w:val="single" w:sz="4" w:space="0" w:color="auto"/>
            </w:tcBorders>
            <w:shd w:val="clear" w:color="auto" w:fill="auto"/>
            <w:hideMark/>
          </w:tcPr>
          <w:p w14:paraId="15561403"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21 400</w:t>
            </w:r>
          </w:p>
        </w:tc>
        <w:tc>
          <w:tcPr>
            <w:tcW w:w="947" w:type="dxa"/>
            <w:tcBorders>
              <w:top w:val="nil"/>
              <w:left w:val="nil"/>
              <w:bottom w:val="single" w:sz="4" w:space="0" w:color="auto"/>
              <w:right w:val="single" w:sz="4" w:space="0" w:color="auto"/>
            </w:tcBorders>
            <w:shd w:val="clear" w:color="auto" w:fill="auto"/>
            <w:hideMark/>
          </w:tcPr>
          <w:p w14:paraId="224A6B51"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21 653</w:t>
            </w:r>
          </w:p>
        </w:tc>
        <w:tc>
          <w:tcPr>
            <w:tcW w:w="947" w:type="dxa"/>
            <w:tcBorders>
              <w:top w:val="nil"/>
              <w:left w:val="nil"/>
              <w:bottom w:val="single" w:sz="4" w:space="0" w:color="auto"/>
              <w:right w:val="single" w:sz="4" w:space="0" w:color="auto"/>
            </w:tcBorders>
            <w:shd w:val="clear" w:color="auto" w:fill="auto"/>
            <w:hideMark/>
          </w:tcPr>
          <w:p w14:paraId="1C03CD0F"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16 373</w:t>
            </w:r>
          </w:p>
        </w:tc>
        <w:tc>
          <w:tcPr>
            <w:tcW w:w="947" w:type="dxa"/>
            <w:tcBorders>
              <w:top w:val="nil"/>
              <w:left w:val="nil"/>
              <w:bottom w:val="single" w:sz="4" w:space="0" w:color="auto"/>
              <w:right w:val="single" w:sz="4" w:space="0" w:color="auto"/>
            </w:tcBorders>
            <w:shd w:val="clear" w:color="auto" w:fill="auto"/>
            <w:hideMark/>
          </w:tcPr>
          <w:p w14:paraId="58DE68A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13 584</w:t>
            </w:r>
          </w:p>
        </w:tc>
        <w:tc>
          <w:tcPr>
            <w:tcW w:w="946" w:type="dxa"/>
            <w:tcBorders>
              <w:top w:val="nil"/>
              <w:left w:val="nil"/>
              <w:bottom w:val="single" w:sz="4" w:space="0" w:color="auto"/>
              <w:right w:val="single" w:sz="4" w:space="0" w:color="auto"/>
            </w:tcBorders>
            <w:shd w:val="clear" w:color="auto" w:fill="auto"/>
            <w:hideMark/>
          </w:tcPr>
          <w:p w14:paraId="6760BA7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11 600</w:t>
            </w:r>
          </w:p>
        </w:tc>
        <w:tc>
          <w:tcPr>
            <w:tcW w:w="1189" w:type="dxa"/>
            <w:tcBorders>
              <w:top w:val="nil"/>
              <w:left w:val="nil"/>
              <w:bottom w:val="single" w:sz="4" w:space="0" w:color="auto"/>
              <w:right w:val="single" w:sz="8" w:space="0" w:color="auto"/>
            </w:tcBorders>
            <w:shd w:val="clear" w:color="auto" w:fill="auto"/>
            <w:hideMark/>
          </w:tcPr>
          <w:p w14:paraId="04DE0FC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9 211</w:t>
            </w:r>
          </w:p>
        </w:tc>
      </w:tr>
      <w:tr w:rsidR="005B6AF9" w:rsidRPr="004135FE" w14:paraId="04221B75"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33D1C1F4"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4" w:space="0" w:color="auto"/>
              <w:right w:val="single" w:sz="4" w:space="0" w:color="auto"/>
            </w:tcBorders>
            <w:shd w:val="clear" w:color="auto" w:fill="auto"/>
            <w:hideMark/>
          </w:tcPr>
          <w:p w14:paraId="110A6B89"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tcBorders>
              <w:top w:val="nil"/>
              <w:left w:val="single" w:sz="4" w:space="0" w:color="auto"/>
              <w:bottom w:val="single" w:sz="4" w:space="0" w:color="auto"/>
              <w:right w:val="single" w:sz="4" w:space="0" w:color="auto"/>
            </w:tcBorders>
            <w:shd w:val="clear" w:color="auto" w:fill="auto"/>
            <w:hideMark/>
          </w:tcPr>
          <w:p w14:paraId="57CC1B9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777" w:type="dxa"/>
            <w:tcBorders>
              <w:top w:val="nil"/>
              <w:left w:val="nil"/>
              <w:bottom w:val="single" w:sz="4" w:space="0" w:color="auto"/>
              <w:right w:val="single" w:sz="4" w:space="0" w:color="auto"/>
            </w:tcBorders>
            <w:shd w:val="clear" w:color="auto" w:fill="auto"/>
            <w:hideMark/>
          </w:tcPr>
          <w:p w14:paraId="4C4B723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1 870</w:t>
            </w:r>
          </w:p>
        </w:tc>
        <w:tc>
          <w:tcPr>
            <w:tcW w:w="893" w:type="dxa"/>
            <w:tcBorders>
              <w:top w:val="nil"/>
              <w:left w:val="nil"/>
              <w:bottom w:val="single" w:sz="4" w:space="0" w:color="auto"/>
              <w:right w:val="single" w:sz="4" w:space="0" w:color="auto"/>
            </w:tcBorders>
            <w:shd w:val="clear" w:color="auto" w:fill="auto"/>
            <w:hideMark/>
          </w:tcPr>
          <w:p w14:paraId="056A1D60"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7 353</w:t>
            </w:r>
          </w:p>
        </w:tc>
        <w:tc>
          <w:tcPr>
            <w:tcW w:w="889" w:type="dxa"/>
            <w:tcBorders>
              <w:top w:val="nil"/>
              <w:left w:val="nil"/>
              <w:bottom w:val="single" w:sz="4" w:space="0" w:color="auto"/>
              <w:right w:val="single" w:sz="4" w:space="0" w:color="auto"/>
            </w:tcBorders>
            <w:shd w:val="clear" w:color="auto" w:fill="auto"/>
            <w:hideMark/>
          </w:tcPr>
          <w:p w14:paraId="52F59A7B"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7 557</w:t>
            </w:r>
          </w:p>
        </w:tc>
        <w:tc>
          <w:tcPr>
            <w:tcW w:w="946" w:type="dxa"/>
            <w:tcBorders>
              <w:top w:val="nil"/>
              <w:left w:val="nil"/>
              <w:bottom w:val="single" w:sz="4" w:space="0" w:color="auto"/>
              <w:right w:val="single" w:sz="4" w:space="0" w:color="auto"/>
            </w:tcBorders>
            <w:shd w:val="clear" w:color="auto" w:fill="auto"/>
            <w:hideMark/>
          </w:tcPr>
          <w:p w14:paraId="333439C6"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5 597</w:t>
            </w:r>
          </w:p>
        </w:tc>
        <w:tc>
          <w:tcPr>
            <w:tcW w:w="947" w:type="dxa"/>
            <w:tcBorders>
              <w:top w:val="nil"/>
              <w:left w:val="nil"/>
              <w:bottom w:val="single" w:sz="4" w:space="0" w:color="auto"/>
              <w:right w:val="single" w:sz="4" w:space="0" w:color="auto"/>
            </w:tcBorders>
            <w:shd w:val="clear" w:color="auto" w:fill="auto"/>
            <w:hideMark/>
          </w:tcPr>
          <w:p w14:paraId="759939A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2 430</w:t>
            </w:r>
          </w:p>
        </w:tc>
        <w:tc>
          <w:tcPr>
            <w:tcW w:w="947" w:type="dxa"/>
            <w:tcBorders>
              <w:top w:val="nil"/>
              <w:left w:val="nil"/>
              <w:bottom w:val="single" w:sz="4" w:space="0" w:color="auto"/>
              <w:right w:val="single" w:sz="4" w:space="0" w:color="auto"/>
            </w:tcBorders>
            <w:shd w:val="clear" w:color="auto" w:fill="auto"/>
            <w:hideMark/>
          </w:tcPr>
          <w:p w14:paraId="12454B2E"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1 270</w:t>
            </w:r>
          </w:p>
        </w:tc>
        <w:tc>
          <w:tcPr>
            <w:tcW w:w="947" w:type="dxa"/>
            <w:tcBorders>
              <w:top w:val="nil"/>
              <w:left w:val="nil"/>
              <w:bottom w:val="single" w:sz="4" w:space="0" w:color="auto"/>
              <w:right w:val="single" w:sz="4" w:space="0" w:color="auto"/>
            </w:tcBorders>
            <w:shd w:val="clear" w:color="auto" w:fill="auto"/>
            <w:hideMark/>
          </w:tcPr>
          <w:p w14:paraId="0761EE45"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10 391</w:t>
            </w:r>
          </w:p>
        </w:tc>
        <w:tc>
          <w:tcPr>
            <w:tcW w:w="947" w:type="dxa"/>
            <w:tcBorders>
              <w:top w:val="nil"/>
              <w:left w:val="nil"/>
              <w:bottom w:val="single" w:sz="4" w:space="0" w:color="auto"/>
              <w:right w:val="single" w:sz="4" w:space="0" w:color="auto"/>
            </w:tcBorders>
            <w:shd w:val="clear" w:color="auto" w:fill="auto"/>
            <w:hideMark/>
          </w:tcPr>
          <w:p w14:paraId="52FE7647"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12 498</w:t>
            </w:r>
          </w:p>
        </w:tc>
        <w:tc>
          <w:tcPr>
            <w:tcW w:w="947" w:type="dxa"/>
            <w:tcBorders>
              <w:top w:val="nil"/>
              <w:left w:val="nil"/>
              <w:bottom w:val="single" w:sz="4" w:space="0" w:color="auto"/>
              <w:right w:val="single" w:sz="4" w:space="0" w:color="auto"/>
            </w:tcBorders>
            <w:shd w:val="clear" w:color="auto" w:fill="auto"/>
            <w:hideMark/>
          </w:tcPr>
          <w:p w14:paraId="070C57E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8 159</w:t>
            </w:r>
          </w:p>
        </w:tc>
        <w:tc>
          <w:tcPr>
            <w:tcW w:w="947" w:type="dxa"/>
            <w:tcBorders>
              <w:top w:val="nil"/>
              <w:left w:val="nil"/>
              <w:bottom w:val="single" w:sz="4" w:space="0" w:color="auto"/>
              <w:right w:val="single" w:sz="4" w:space="0" w:color="auto"/>
            </w:tcBorders>
            <w:shd w:val="clear" w:color="auto" w:fill="auto"/>
            <w:hideMark/>
          </w:tcPr>
          <w:p w14:paraId="7F946DFC"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6 646</w:t>
            </w:r>
          </w:p>
        </w:tc>
        <w:tc>
          <w:tcPr>
            <w:tcW w:w="946" w:type="dxa"/>
            <w:tcBorders>
              <w:top w:val="nil"/>
              <w:left w:val="nil"/>
              <w:bottom w:val="single" w:sz="4" w:space="0" w:color="auto"/>
              <w:right w:val="single" w:sz="4" w:space="0" w:color="auto"/>
            </w:tcBorders>
            <w:shd w:val="clear" w:color="auto" w:fill="auto"/>
            <w:hideMark/>
          </w:tcPr>
          <w:p w14:paraId="7C4C6A88"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4 985</w:t>
            </w:r>
          </w:p>
        </w:tc>
        <w:tc>
          <w:tcPr>
            <w:tcW w:w="1189" w:type="dxa"/>
            <w:tcBorders>
              <w:top w:val="nil"/>
              <w:left w:val="nil"/>
              <w:bottom w:val="single" w:sz="4" w:space="0" w:color="auto"/>
              <w:right w:val="single" w:sz="8" w:space="0" w:color="auto"/>
            </w:tcBorders>
            <w:shd w:val="clear" w:color="auto" w:fill="auto"/>
            <w:hideMark/>
          </w:tcPr>
          <w:p w14:paraId="1A9FEBB4" w14:textId="77777777" w:rsidR="005B6AF9" w:rsidRPr="004135FE" w:rsidRDefault="005B6AF9"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3 000</w:t>
            </w:r>
          </w:p>
        </w:tc>
      </w:tr>
      <w:tr w:rsidR="005B6AF9" w:rsidRPr="004135FE" w14:paraId="265C4E1E" w14:textId="77777777" w:rsidTr="00680E37">
        <w:trPr>
          <w:trHeight w:val="226"/>
        </w:trPr>
        <w:tc>
          <w:tcPr>
            <w:tcW w:w="554" w:type="dxa"/>
            <w:vMerge/>
            <w:tcBorders>
              <w:top w:val="nil"/>
              <w:left w:val="single" w:sz="8" w:space="0" w:color="auto"/>
              <w:bottom w:val="single" w:sz="8" w:space="0" w:color="000000"/>
              <w:right w:val="single" w:sz="4" w:space="0" w:color="auto"/>
            </w:tcBorders>
            <w:vAlign w:val="center"/>
            <w:hideMark/>
          </w:tcPr>
          <w:p w14:paraId="2B83FA6C" w14:textId="77777777" w:rsidR="005B6AF9" w:rsidRPr="004135FE" w:rsidRDefault="005B6AF9" w:rsidP="004135FE">
            <w:pPr>
              <w:spacing w:after="0" w:line="240" w:lineRule="auto"/>
              <w:rPr>
                <w:rFonts w:ascii="Times New Roman" w:eastAsia="Times New Roman" w:hAnsi="Times New Roman" w:cs="Times New Roman"/>
                <w:sz w:val="28"/>
                <w:szCs w:val="28"/>
              </w:rPr>
            </w:pPr>
          </w:p>
        </w:tc>
        <w:tc>
          <w:tcPr>
            <w:tcW w:w="485" w:type="dxa"/>
            <w:tcBorders>
              <w:top w:val="nil"/>
              <w:left w:val="nil"/>
              <w:bottom w:val="single" w:sz="8" w:space="0" w:color="auto"/>
              <w:right w:val="single" w:sz="4" w:space="0" w:color="auto"/>
            </w:tcBorders>
            <w:shd w:val="clear" w:color="auto" w:fill="auto"/>
            <w:hideMark/>
          </w:tcPr>
          <w:p w14:paraId="012ACD7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w:t>
            </w:r>
          </w:p>
        </w:tc>
        <w:tc>
          <w:tcPr>
            <w:tcW w:w="2098" w:type="dxa"/>
            <w:tcBorders>
              <w:top w:val="nil"/>
              <w:left w:val="single" w:sz="4" w:space="0" w:color="auto"/>
              <w:bottom w:val="single" w:sz="8" w:space="0" w:color="auto"/>
              <w:right w:val="single" w:sz="4" w:space="0" w:color="auto"/>
            </w:tcBorders>
            <w:shd w:val="clear" w:color="auto" w:fill="auto"/>
            <w:hideMark/>
          </w:tcPr>
          <w:p w14:paraId="6218111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Турксибский</w:t>
            </w:r>
          </w:p>
        </w:tc>
        <w:tc>
          <w:tcPr>
            <w:tcW w:w="777" w:type="dxa"/>
            <w:tcBorders>
              <w:top w:val="nil"/>
              <w:left w:val="nil"/>
              <w:bottom w:val="single" w:sz="8" w:space="0" w:color="auto"/>
              <w:right w:val="single" w:sz="4" w:space="0" w:color="auto"/>
            </w:tcBorders>
            <w:shd w:val="clear" w:color="auto" w:fill="auto"/>
            <w:hideMark/>
          </w:tcPr>
          <w:p w14:paraId="50554DB1"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1 979</w:t>
            </w:r>
          </w:p>
        </w:tc>
        <w:tc>
          <w:tcPr>
            <w:tcW w:w="893" w:type="dxa"/>
            <w:tcBorders>
              <w:top w:val="nil"/>
              <w:left w:val="nil"/>
              <w:bottom w:val="single" w:sz="8" w:space="0" w:color="auto"/>
              <w:right w:val="single" w:sz="4" w:space="0" w:color="auto"/>
            </w:tcBorders>
            <w:shd w:val="clear" w:color="auto" w:fill="auto"/>
            <w:hideMark/>
          </w:tcPr>
          <w:p w14:paraId="73926187"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8 758</w:t>
            </w:r>
          </w:p>
        </w:tc>
        <w:tc>
          <w:tcPr>
            <w:tcW w:w="889" w:type="dxa"/>
            <w:tcBorders>
              <w:top w:val="nil"/>
              <w:left w:val="nil"/>
              <w:bottom w:val="single" w:sz="8" w:space="0" w:color="auto"/>
              <w:right w:val="single" w:sz="4" w:space="0" w:color="auto"/>
            </w:tcBorders>
            <w:shd w:val="clear" w:color="auto" w:fill="auto"/>
            <w:hideMark/>
          </w:tcPr>
          <w:p w14:paraId="51B47D44"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10 673</w:t>
            </w:r>
          </w:p>
        </w:tc>
        <w:tc>
          <w:tcPr>
            <w:tcW w:w="946" w:type="dxa"/>
            <w:tcBorders>
              <w:top w:val="nil"/>
              <w:left w:val="nil"/>
              <w:bottom w:val="single" w:sz="8" w:space="0" w:color="auto"/>
              <w:right w:val="single" w:sz="4" w:space="0" w:color="auto"/>
            </w:tcBorders>
            <w:shd w:val="clear" w:color="auto" w:fill="auto"/>
            <w:hideMark/>
          </w:tcPr>
          <w:p w14:paraId="1436720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9 621</w:t>
            </w:r>
          </w:p>
        </w:tc>
        <w:tc>
          <w:tcPr>
            <w:tcW w:w="947" w:type="dxa"/>
            <w:tcBorders>
              <w:top w:val="nil"/>
              <w:left w:val="nil"/>
              <w:bottom w:val="single" w:sz="8" w:space="0" w:color="auto"/>
              <w:right w:val="single" w:sz="4" w:space="0" w:color="auto"/>
            </w:tcBorders>
            <w:shd w:val="clear" w:color="auto" w:fill="auto"/>
            <w:hideMark/>
          </w:tcPr>
          <w:p w14:paraId="07C1EFC2"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4 592</w:t>
            </w:r>
          </w:p>
        </w:tc>
        <w:tc>
          <w:tcPr>
            <w:tcW w:w="947" w:type="dxa"/>
            <w:tcBorders>
              <w:top w:val="nil"/>
              <w:left w:val="nil"/>
              <w:bottom w:val="single" w:sz="8" w:space="0" w:color="auto"/>
              <w:right w:val="single" w:sz="4" w:space="0" w:color="auto"/>
            </w:tcBorders>
            <w:shd w:val="clear" w:color="auto" w:fill="auto"/>
            <w:hideMark/>
          </w:tcPr>
          <w:p w14:paraId="36179E3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2 623</w:t>
            </w:r>
          </w:p>
        </w:tc>
        <w:tc>
          <w:tcPr>
            <w:tcW w:w="947" w:type="dxa"/>
            <w:tcBorders>
              <w:top w:val="nil"/>
              <w:left w:val="nil"/>
              <w:bottom w:val="single" w:sz="8" w:space="0" w:color="auto"/>
              <w:right w:val="single" w:sz="4" w:space="0" w:color="auto"/>
            </w:tcBorders>
            <w:shd w:val="clear" w:color="auto" w:fill="auto"/>
            <w:hideMark/>
          </w:tcPr>
          <w:p w14:paraId="431CD14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16 398</w:t>
            </w:r>
          </w:p>
        </w:tc>
        <w:tc>
          <w:tcPr>
            <w:tcW w:w="947" w:type="dxa"/>
            <w:tcBorders>
              <w:top w:val="nil"/>
              <w:left w:val="nil"/>
              <w:bottom w:val="single" w:sz="8" w:space="0" w:color="auto"/>
              <w:right w:val="single" w:sz="4" w:space="0" w:color="auto"/>
            </w:tcBorders>
            <w:shd w:val="clear" w:color="auto" w:fill="auto"/>
            <w:hideMark/>
          </w:tcPr>
          <w:p w14:paraId="4394BCC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23 450</w:t>
            </w:r>
          </w:p>
        </w:tc>
        <w:tc>
          <w:tcPr>
            <w:tcW w:w="947" w:type="dxa"/>
            <w:tcBorders>
              <w:top w:val="nil"/>
              <w:left w:val="nil"/>
              <w:bottom w:val="single" w:sz="8" w:space="0" w:color="auto"/>
              <w:right w:val="single" w:sz="4" w:space="0" w:color="auto"/>
            </w:tcBorders>
            <w:shd w:val="clear" w:color="auto" w:fill="auto"/>
            <w:hideMark/>
          </w:tcPr>
          <w:p w14:paraId="3C1BC68F"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18 180</w:t>
            </w:r>
          </w:p>
        </w:tc>
        <w:tc>
          <w:tcPr>
            <w:tcW w:w="947" w:type="dxa"/>
            <w:tcBorders>
              <w:top w:val="nil"/>
              <w:left w:val="nil"/>
              <w:bottom w:val="single" w:sz="8" w:space="0" w:color="auto"/>
              <w:right w:val="single" w:sz="4" w:space="0" w:color="auto"/>
            </w:tcBorders>
            <w:shd w:val="clear" w:color="auto" w:fill="auto"/>
            <w:hideMark/>
          </w:tcPr>
          <w:p w14:paraId="109D3DBC"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14 630</w:t>
            </w:r>
          </w:p>
        </w:tc>
        <w:tc>
          <w:tcPr>
            <w:tcW w:w="946" w:type="dxa"/>
            <w:tcBorders>
              <w:top w:val="nil"/>
              <w:left w:val="nil"/>
              <w:bottom w:val="single" w:sz="8" w:space="0" w:color="auto"/>
              <w:right w:val="single" w:sz="4" w:space="0" w:color="auto"/>
            </w:tcBorders>
            <w:shd w:val="clear" w:color="auto" w:fill="auto"/>
            <w:hideMark/>
          </w:tcPr>
          <w:p w14:paraId="7B560A58"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13 367</w:t>
            </w:r>
          </w:p>
        </w:tc>
        <w:tc>
          <w:tcPr>
            <w:tcW w:w="1189" w:type="dxa"/>
            <w:tcBorders>
              <w:top w:val="nil"/>
              <w:left w:val="nil"/>
              <w:bottom w:val="single" w:sz="8" w:space="0" w:color="auto"/>
              <w:right w:val="single" w:sz="8" w:space="0" w:color="auto"/>
            </w:tcBorders>
            <w:shd w:val="clear" w:color="auto" w:fill="auto"/>
            <w:hideMark/>
          </w:tcPr>
          <w:p w14:paraId="2ED7C2E3" w14:textId="77777777" w:rsidR="005B6AF9" w:rsidRPr="00680E37" w:rsidRDefault="005B6AF9" w:rsidP="004135FE">
            <w:pPr>
              <w:spacing w:after="0" w:line="240" w:lineRule="auto"/>
              <w:rPr>
                <w:rFonts w:ascii="Times New Roman" w:eastAsia="Times New Roman" w:hAnsi="Times New Roman" w:cs="Times New Roman"/>
                <w:sz w:val="24"/>
                <w:szCs w:val="24"/>
              </w:rPr>
            </w:pPr>
            <w:r w:rsidRPr="00680E37">
              <w:rPr>
                <w:rFonts w:ascii="Times New Roman" w:eastAsia="Times New Roman" w:hAnsi="Times New Roman" w:cs="Times New Roman"/>
                <w:sz w:val="24"/>
                <w:szCs w:val="24"/>
              </w:rPr>
              <w:t>9 762</w:t>
            </w:r>
          </w:p>
        </w:tc>
      </w:tr>
    </w:tbl>
    <w:p w14:paraId="18445B8A" w14:textId="26296D30" w:rsidR="0053576E" w:rsidRPr="004135FE" w:rsidRDefault="0053576E" w:rsidP="004135FE">
      <w:pPr>
        <w:spacing w:after="0" w:line="240" w:lineRule="auto"/>
        <w:rPr>
          <w:rFonts w:ascii="Times New Roman" w:hAnsi="Times New Roman" w:cs="Times New Roman"/>
          <w:sz w:val="28"/>
          <w:szCs w:val="28"/>
        </w:rPr>
      </w:pPr>
    </w:p>
    <w:p w14:paraId="11788717" w14:textId="046F8EB3"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Таблица </w:t>
      </w:r>
      <w:r w:rsidR="00680E37">
        <w:rPr>
          <w:rFonts w:ascii="Times New Roman" w:hAnsi="Times New Roman" w:cs="Times New Roman"/>
          <w:sz w:val="28"/>
          <w:szCs w:val="28"/>
        </w:rPr>
        <w:t>А4</w:t>
      </w:r>
      <w:r w:rsidRPr="004135FE">
        <w:rPr>
          <w:rFonts w:ascii="Times New Roman" w:hAnsi="Times New Roman" w:cs="Times New Roman"/>
          <w:sz w:val="28"/>
          <w:szCs w:val="28"/>
        </w:rPr>
        <w:t xml:space="preserve"> - Первичная заболеваемость СД 2 типа населения города Алматы по районам за 2012-2021 годы</w:t>
      </w:r>
    </w:p>
    <w:p w14:paraId="57E33B8B" w14:textId="77777777" w:rsidR="0053576E" w:rsidRPr="004135FE" w:rsidRDefault="0053576E" w:rsidP="004135FE">
      <w:pPr>
        <w:spacing w:after="0" w:line="240" w:lineRule="auto"/>
        <w:jc w:val="both"/>
        <w:rPr>
          <w:rFonts w:ascii="Times New Roman" w:hAnsi="Times New Roman" w:cs="Times New Roman"/>
          <w:sz w:val="28"/>
          <w:szCs w:val="28"/>
        </w:rPr>
      </w:pPr>
    </w:p>
    <w:tbl>
      <w:tblPr>
        <w:tblStyle w:val="a5"/>
        <w:tblW w:w="0" w:type="auto"/>
        <w:tblLook w:val="04A0" w:firstRow="1" w:lastRow="0" w:firstColumn="1" w:lastColumn="0" w:noHBand="0" w:noVBand="1"/>
      </w:tblPr>
      <w:tblGrid>
        <w:gridCol w:w="2098"/>
        <w:gridCol w:w="899"/>
        <w:gridCol w:w="1432"/>
        <w:gridCol w:w="851"/>
        <w:gridCol w:w="1432"/>
        <w:gridCol w:w="993"/>
        <w:gridCol w:w="1432"/>
        <w:gridCol w:w="851"/>
        <w:gridCol w:w="1432"/>
        <w:gridCol w:w="850"/>
        <w:gridCol w:w="1432"/>
      </w:tblGrid>
      <w:tr w:rsidR="0053576E" w:rsidRPr="004135FE" w14:paraId="20E961C1" w14:textId="77777777" w:rsidTr="00680E37">
        <w:trPr>
          <w:trHeight w:val="20"/>
        </w:trPr>
        <w:tc>
          <w:tcPr>
            <w:tcW w:w="2098" w:type="dxa"/>
            <w:vMerge w:val="restart"/>
          </w:tcPr>
          <w:p w14:paraId="43703A8F"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Районы</w:t>
            </w:r>
          </w:p>
        </w:tc>
        <w:tc>
          <w:tcPr>
            <w:tcW w:w="2331" w:type="dxa"/>
            <w:gridSpan w:val="2"/>
          </w:tcPr>
          <w:p w14:paraId="43834B7A"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2012</w:t>
            </w:r>
          </w:p>
        </w:tc>
        <w:tc>
          <w:tcPr>
            <w:tcW w:w="2283" w:type="dxa"/>
            <w:gridSpan w:val="2"/>
          </w:tcPr>
          <w:p w14:paraId="1EF364C2"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2013</w:t>
            </w:r>
          </w:p>
        </w:tc>
        <w:tc>
          <w:tcPr>
            <w:tcW w:w="2425" w:type="dxa"/>
            <w:gridSpan w:val="2"/>
          </w:tcPr>
          <w:p w14:paraId="7A6D2D5B"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2014</w:t>
            </w:r>
          </w:p>
        </w:tc>
        <w:tc>
          <w:tcPr>
            <w:tcW w:w="2283" w:type="dxa"/>
            <w:gridSpan w:val="2"/>
          </w:tcPr>
          <w:p w14:paraId="4971F5D1"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2015</w:t>
            </w:r>
          </w:p>
        </w:tc>
        <w:tc>
          <w:tcPr>
            <w:tcW w:w="2282" w:type="dxa"/>
            <w:gridSpan w:val="2"/>
          </w:tcPr>
          <w:p w14:paraId="33F03336"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2016</w:t>
            </w:r>
          </w:p>
        </w:tc>
      </w:tr>
      <w:tr w:rsidR="0053576E" w:rsidRPr="004135FE" w14:paraId="6F1B8264" w14:textId="77777777" w:rsidTr="00680E37">
        <w:trPr>
          <w:trHeight w:val="20"/>
        </w:trPr>
        <w:tc>
          <w:tcPr>
            <w:tcW w:w="2098" w:type="dxa"/>
            <w:vMerge/>
          </w:tcPr>
          <w:p w14:paraId="3457F95D"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p>
        </w:tc>
        <w:tc>
          <w:tcPr>
            <w:tcW w:w="899" w:type="dxa"/>
          </w:tcPr>
          <w:p w14:paraId="2E062CDE"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Абс.</w:t>
            </w:r>
          </w:p>
        </w:tc>
        <w:tc>
          <w:tcPr>
            <w:tcW w:w="1432" w:type="dxa"/>
          </w:tcPr>
          <w:p w14:paraId="3DF41073"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На 100 000 населения</w:t>
            </w:r>
          </w:p>
        </w:tc>
        <w:tc>
          <w:tcPr>
            <w:tcW w:w="851" w:type="dxa"/>
          </w:tcPr>
          <w:p w14:paraId="5727D069"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Абс.</w:t>
            </w:r>
          </w:p>
        </w:tc>
        <w:tc>
          <w:tcPr>
            <w:tcW w:w="1432" w:type="dxa"/>
          </w:tcPr>
          <w:p w14:paraId="2D7334AC"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На 100 000 населения</w:t>
            </w:r>
          </w:p>
        </w:tc>
        <w:tc>
          <w:tcPr>
            <w:tcW w:w="993" w:type="dxa"/>
          </w:tcPr>
          <w:p w14:paraId="37B86CDF"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Абс.</w:t>
            </w:r>
          </w:p>
        </w:tc>
        <w:tc>
          <w:tcPr>
            <w:tcW w:w="1432" w:type="dxa"/>
          </w:tcPr>
          <w:p w14:paraId="39357E4E"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На 100 000 населения</w:t>
            </w:r>
          </w:p>
        </w:tc>
        <w:tc>
          <w:tcPr>
            <w:tcW w:w="851" w:type="dxa"/>
          </w:tcPr>
          <w:p w14:paraId="543B4143"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Абс.</w:t>
            </w:r>
          </w:p>
        </w:tc>
        <w:tc>
          <w:tcPr>
            <w:tcW w:w="1432" w:type="dxa"/>
          </w:tcPr>
          <w:p w14:paraId="004399C2"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На 100 000 населения</w:t>
            </w:r>
          </w:p>
        </w:tc>
        <w:tc>
          <w:tcPr>
            <w:tcW w:w="850" w:type="dxa"/>
          </w:tcPr>
          <w:p w14:paraId="3C6E68F7"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Абс.</w:t>
            </w:r>
          </w:p>
        </w:tc>
        <w:tc>
          <w:tcPr>
            <w:tcW w:w="1432" w:type="dxa"/>
          </w:tcPr>
          <w:p w14:paraId="72BD9C21"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На 100 000 населения</w:t>
            </w:r>
          </w:p>
        </w:tc>
      </w:tr>
      <w:tr w:rsidR="0053576E" w:rsidRPr="004135FE" w14:paraId="74247D37" w14:textId="77777777" w:rsidTr="00680E37">
        <w:trPr>
          <w:trHeight w:val="20"/>
        </w:trPr>
        <w:tc>
          <w:tcPr>
            <w:tcW w:w="2098" w:type="dxa"/>
          </w:tcPr>
          <w:p w14:paraId="0D661F75"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99" w:type="dxa"/>
          </w:tcPr>
          <w:p w14:paraId="21D178FD"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431</w:t>
            </w:r>
          </w:p>
        </w:tc>
        <w:tc>
          <w:tcPr>
            <w:tcW w:w="1432" w:type="dxa"/>
          </w:tcPr>
          <w:p w14:paraId="7C1B3F33"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185,72</w:t>
            </w:r>
          </w:p>
        </w:tc>
        <w:tc>
          <w:tcPr>
            <w:tcW w:w="851" w:type="dxa"/>
          </w:tcPr>
          <w:p w14:paraId="3C5477B2"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360</w:t>
            </w:r>
          </w:p>
        </w:tc>
        <w:tc>
          <w:tcPr>
            <w:tcW w:w="1432" w:type="dxa"/>
          </w:tcPr>
          <w:p w14:paraId="0F80BE5C"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161,43</w:t>
            </w:r>
          </w:p>
        </w:tc>
        <w:tc>
          <w:tcPr>
            <w:tcW w:w="993" w:type="dxa"/>
          </w:tcPr>
          <w:p w14:paraId="591388F7"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349</w:t>
            </w:r>
          </w:p>
        </w:tc>
        <w:tc>
          <w:tcPr>
            <w:tcW w:w="1432" w:type="dxa"/>
          </w:tcPr>
          <w:p w14:paraId="5D7A58C0"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148,02</w:t>
            </w:r>
          </w:p>
        </w:tc>
        <w:tc>
          <w:tcPr>
            <w:tcW w:w="851" w:type="dxa"/>
          </w:tcPr>
          <w:p w14:paraId="39ABA29B"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447</w:t>
            </w:r>
          </w:p>
        </w:tc>
        <w:tc>
          <w:tcPr>
            <w:tcW w:w="1432" w:type="dxa"/>
          </w:tcPr>
          <w:p w14:paraId="0889DA85"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182,63</w:t>
            </w:r>
          </w:p>
        </w:tc>
        <w:tc>
          <w:tcPr>
            <w:tcW w:w="850" w:type="dxa"/>
          </w:tcPr>
          <w:p w14:paraId="2B90DB5D"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638</w:t>
            </w:r>
          </w:p>
        </w:tc>
        <w:tc>
          <w:tcPr>
            <w:tcW w:w="1432" w:type="dxa"/>
          </w:tcPr>
          <w:p w14:paraId="6F3C375A"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258,44</w:t>
            </w:r>
          </w:p>
        </w:tc>
      </w:tr>
      <w:tr w:rsidR="0053576E" w:rsidRPr="004135FE" w14:paraId="2DAC88E8" w14:textId="77777777" w:rsidTr="00680E37">
        <w:trPr>
          <w:trHeight w:val="20"/>
        </w:trPr>
        <w:tc>
          <w:tcPr>
            <w:tcW w:w="2098" w:type="dxa"/>
          </w:tcPr>
          <w:p w14:paraId="36E49B32"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99" w:type="dxa"/>
          </w:tcPr>
          <w:p w14:paraId="7B229C83"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178</w:t>
            </w:r>
          </w:p>
        </w:tc>
        <w:tc>
          <w:tcPr>
            <w:tcW w:w="1432" w:type="dxa"/>
          </w:tcPr>
          <w:p w14:paraId="79DB3523"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169,25</w:t>
            </w:r>
          </w:p>
        </w:tc>
        <w:tc>
          <w:tcPr>
            <w:tcW w:w="851" w:type="dxa"/>
          </w:tcPr>
          <w:p w14:paraId="6992811D"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172</w:t>
            </w:r>
          </w:p>
        </w:tc>
        <w:tc>
          <w:tcPr>
            <w:tcW w:w="1432" w:type="dxa"/>
          </w:tcPr>
          <w:p w14:paraId="34702A0D"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131,73</w:t>
            </w:r>
          </w:p>
        </w:tc>
        <w:tc>
          <w:tcPr>
            <w:tcW w:w="993" w:type="dxa"/>
          </w:tcPr>
          <w:p w14:paraId="4E09F982"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242</w:t>
            </w:r>
          </w:p>
        </w:tc>
        <w:tc>
          <w:tcPr>
            <w:tcW w:w="1432" w:type="dxa"/>
          </w:tcPr>
          <w:p w14:paraId="6FB5C053"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153,28</w:t>
            </w:r>
          </w:p>
        </w:tc>
        <w:tc>
          <w:tcPr>
            <w:tcW w:w="851" w:type="dxa"/>
          </w:tcPr>
          <w:p w14:paraId="2AA010A9"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320</w:t>
            </w:r>
          </w:p>
        </w:tc>
        <w:tc>
          <w:tcPr>
            <w:tcW w:w="1432" w:type="dxa"/>
          </w:tcPr>
          <w:p w14:paraId="59ABFB6F"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179,19</w:t>
            </w:r>
          </w:p>
        </w:tc>
        <w:tc>
          <w:tcPr>
            <w:tcW w:w="850" w:type="dxa"/>
          </w:tcPr>
          <w:p w14:paraId="35D9BB93"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299</w:t>
            </w:r>
          </w:p>
        </w:tc>
        <w:tc>
          <w:tcPr>
            <w:tcW w:w="1432" w:type="dxa"/>
          </w:tcPr>
          <w:p w14:paraId="7CFDBF9B"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152,51</w:t>
            </w:r>
          </w:p>
        </w:tc>
      </w:tr>
      <w:tr w:rsidR="0053576E" w:rsidRPr="004135FE" w14:paraId="0445BEC6" w14:textId="77777777" w:rsidTr="00680E37">
        <w:trPr>
          <w:trHeight w:val="20"/>
        </w:trPr>
        <w:tc>
          <w:tcPr>
            <w:tcW w:w="2098" w:type="dxa"/>
          </w:tcPr>
          <w:p w14:paraId="4F0CFFD3"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99" w:type="dxa"/>
          </w:tcPr>
          <w:p w14:paraId="40BF2FCC"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550</w:t>
            </w:r>
          </w:p>
        </w:tc>
        <w:tc>
          <w:tcPr>
            <w:tcW w:w="1432" w:type="dxa"/>
          </w:tcPr>
          <w:p w14:paraId="01997F67"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220,00</w:t>
            </w:r>
          </w:p>
        </w:tc>
        <w:tc>
          <w:tcPr>
            <w:tcW w:w="851" w:type="dxa"/>
          </w:tcPr>
          <w:p w14:paraId="78B9412C"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707</w:t>
            </w:r>
          </w:p>
        </w:tc>
        <w:tc>
          <w:tcPr>
            <w:tcW w:w="1432" w:type="dxa"/>
          </w:tcPr>
          <w:p w14:paraId="76061C02"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286,54</w:t>
            </w:r>
          </w:p>
        </w:tc>
        <w:tc>
          <w:tcPr>
            <w:tcW w:w="993" w:type="dxa"/>
          </w:tcPr>
          <w:p w14:paraId="636D7B2D"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569</w:t>
            </w:r>
          </w:p>
        </w:tc>
        <w:tc>
          <w:tcPr>
            <w:tcW w:w="1432" w:type="dxa"/>
          </w:tcPr>
          <w:p w14:paraId="7A1B5053"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198,22</w:t>
            </w:r>
          </w:p>
        </w:tc>
        <w:tc>
          <w:tcPr>
            <w:tcW w:w="851" w:type="dxa"/>
          </w:tcPr>
          <w:p w14:paraId="04E57E56"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572</w:t>
            </w:r>
          </w:p>
        </w:tc>
        <w:tc>
          <w:tcPr>
            <w:tcW w:w="1432" w:type="dxa"/>
          </w:tcPr>
          <w:p w14:paraId="732C5838"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207,93</w:t>
            </w:r>
          </w:p>
        </w:tc>
        <w:tc>
          <w:tcPr>
            <w:tcW w:w="850" w:type="dxa"/>
          </w:tcPr>
          <w:p w14:paraId="07415847"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539</w:t>
            </w:r>
          </w:p>
        </w:tc>
        <w:tc>
          <w:tcPr>
            <w:tcW w:w="1432" w:type="dxa"/>
          </w:tcPr>
          <w:p w14:paraId="70E4600D"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182,92</w:t>
            </w:r>
          </w:p>
        </w:tc>
      </w:tr>
      <w:tr w:rsidR="0053576E" w:rsidRPr="004135FE" w14:paraId="77D9ABAC" w14:textId="77777777" w:rsidTr="00680E37">
        <w:trPr>
          <w:trHeight w:val="20"/>
        </w:trPr>
        <w:tc>
          <w:tcPr>
            <w:tcW w:w="2098" w:type="dxa"/>
          </w:tcPr>
          <w:p w14:paraId="02B462B6"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99" w:type="dxa"/>
          </w:tcPr>
          <w:p w14:paraId="5D3B9D1B"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382</w:t>
            </w:r>
          </w:p>
        </w:tc>
        <w:tc>
          <w:tcPr>
            <w:tcW w:w="1432" w:type="dxa"/>
          </w:tcPr>
          <w:p w14:paraId="53070F78"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124,84</w:t>
            </w:r>
          </w:p>
        </w:tc>
        <w:tc>
          <w:tcPr>
            <w:tcW w:w="851" w:type="dxa"/>
          </w:tcPr>
          <w:p w14:paraId="50E94656"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410</w:t>
            </w:r>
          </w:p>
        </w:tc>
        <w:tc>
          <w:tcPr>
            <w:tcW w:w="1432" w:type="dxa"/>
          </w:tcPr>
          <w:p w14:paraId="203C1F9F"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137,37</w:t>
            </w:r>
          </w:p>
        </w:tc>
        <w:tc>
          <w:tcPr>
            <w:tcW w:w="993" w:type="dxa"/>
          </w:tcPr>
          <w:p w14:paraId="3D95CA17"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410</w:t>
            </w:r>
          </w:p>
        </w:tc>
        <w:tc>
          <w:tcPr>
            <w:tcW w:w="1432" w:type="dxa"/>
          </w:tcPr>
          <w:p w14:paraId="36769817"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118,59</w:t>
            </w:r>
          </w:p>
        </w:tc>
        <w:tc>
          <w:tcPr>
            <w:tcW w:w="851" w:type="dxa"/>
          </w:tcPr>
          <w:p w14:paraId="7EB58BFC"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348</w:t>
            </w:r>
          </w:p>
        </w:tc>
        <w:tc>
          <w:tcPr>
            <w:tcW w:w="1432" w:type="dxa"/>
          </w:tcPr>
          <w:p w14:paraId="15C83664"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110,78</w:t>
            </w:r>
          </w:p>
        </w:tc>
        <w:tc>
          <w:tcPr>
            <w:tcW w:w="850" w:type="dxa"/>
          </w:tcPr>
          <w:p w14:paraId="3CDB46E9"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486</w:t>
            </w:r>
          </w:p>
        </w:tc>
        <w:tc>
          <w:tcPr>
            <w:tcW w:w="1432" w:type="dxa"/>
          </w:tcPr>
          <w:p w14:paraId="433C3568"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149,05</w:t>
            </w:r>
          </w:p>
        </w:tc>
      </w:tr>
      <w:tr w:rsidR="0053576E" w:rsidRPr="004135FE" w14:paraId="658A9BCC" w14:textId="77777777" w:rsidTr="00680E37">
        <w:trPr>
          <w:trHeight w:val="20"/>
        </w:trPr>
        <w:tc>
          <w:tcPr>
            <w:tcW w:w="2098" w:type="dxa"/>
          </w:tcPr>
          <w:p w14:paraId="749BDDF7"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99" w:type="dxa"/>
          </w:tcPr>
          <w:p w14:paraId="1A9F4FEF"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325</w:t>
            </w:r>
          </w:p>
        </w:tc>
        <w:tc>
          <w:tcPr>
            <w:tcW w:w="1432" w:type="dxa"/>
          </w:tcPr>
          <w:p w14:paraId="6CCA3965"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213,47</w:t>
            </w:r>
          </w:p>
        </w:tc>
        <w:tc>
          <w:tcPr>
            <w:tcW w:w="851" w:type="dxa"/>
          </w:tcPr>
          <w:p w14:paraId="2508D306"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308</w:t>
            </w:r>
          </w:p>
        </w:tc>
        <w:tc>
          <w:tcPr>
            <w:tcW w:w="1432" w:type="dxa"/>
          </w:tcPr>
          <w:p w14:paraId="5E94666B"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203,63</w:t>
            </w:r>
          </w:p>
        </w:tc>
        <w:tc>
          <w:tcPr>
            <w:tcW w:w="993" w:type="dxa"/>
          </w:tcPr>
          <w:p w14:paraId="7E29FD85"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437</w:t>
            </w:r>
          </w:p>
        </w:tc>
        <w:tc>
          <w:tcPr>
            <w:tcW w:w="1432" w:type="dxa"/>
          </w:tcPr>
          <w:p w14:paraId="2BEFD1AD"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265,77</w:t>
            </w:r>
          </w:p>
        </w:tc>
        <w:tc>
          <w:tcPr>
            <w:tcW w:w="851" w:type="dxa"/>
          </w:tcPr>
          <w:p w14:paraId="2A4BA527"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290</w:t>
            </w:r>
          </w:p>
        </w:tc>
        <w:tc>
          <w:tcPr>
            <w:tcW w:w="1432" w:type="dxa"/>
          </w:tcPr>
          <w:p w14:paraId="330B91B3"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174,37</w:t>
            </w:r>
          </w:p>
        </w:tc>
        <w:tc>
          <w:tcPr>
            <w:tcW w:w="850" w:type="dxa"/>
          </w:tcPr>
          <w:p w14:paraId="5DE15345"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453</w:t>
            </w:r>
          </w:p>
        </w:tc>
        <w:tc>
          <w:tcPr>
            <w:tcW w:w="1432" w:type="dxa"/>
          </w:tcPr>
          <w:p w14:paraId="284476B4"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263,68</w:t>
            </w:r>
          </w:p>
        </w:tc>
      </w:tr>
      <w:tr w:rsidR="0053576E" w:rsidRPr="004135FE" w14:paraId="0D8C3695" w14:textId="77777777" w:rsidTr="00680E37">
        <w:trPr>
          <w:trHeight w:val="20"/>
        </w:trPr>
        <w:tc>
          <w:tcPr>
            <w:tcW w:w="2098" w:type="dxa"/>
          </w:tcPr>
          <w:p w14:paraId="1187DB19"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99" w:type="dxa"/>
          </w:tcPr>
          <w:p w14:paraId="23ECF678"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266</w:t>
            </w:r>
          </w:p>
        </w:tc>
        <w:tc>
          <w:tcPr>
            <w:tcW w:w="1432" w:type="dxa"/>
          </w:tcPr>
          <w:p w14:paraId="54B82FC3"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153,35</w:t>
            </w:r>
          </w:p>
        </w:tc>
        <w:tc>
          <w:tcPr>
            <w:tcW w:w="851" w:type="dxa"/>
          </w:tcPr>
          <w:p w14:paraId="390D2155"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334</w:t>
            </w:r>
          </w:p>
        </w:tc>
        <w:tc>
          <w:tcPr>
            <w:tcW w:w="1432" w:type="dxa"/>
          </w:tcPr>
          <w:p w14:paraId="47C49D62"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188,17</w:t>
            </w:r>
          </w:p>
        </w:tc>
        <w:tc>
          <w:tcPr>
            <w:tcW w:w="993" w:type="dxa"/>
          </w:tcPr>
          <w:p w14:paraId="5CD69AD5"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275</w:t>
            </w:r>
          </w:p>
        </w:tc>
        <w:tc>
          <w:tcPr>
            <w:tcW w:w="1432" w:type="dxa"/>
          </w:tcPr>
          <w:p w14:paraId="2FFEBC3D"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146,98</w:t>
            </w:r>
          </w:p>
        </w:tc>
        <w:tc>
          <w:tcPr>
            <w:tcW w:w="851" w:type="dxa"/>
          </w:tcPr>
          <w:p w14:paraId="5A884859"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330</w:t>
            </w:r>
          </w:p>
        </w:tc>
        <w:tc>
          <w:tcPr>
            <w:tcW w:w="1432" w:type="dxa"/>
          </w:tcPr>
          <w:p w14:paraId="394C7685"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172,84</w:t>
            </w:r>
          </w:p>
        </w:tc>
        <w:tc>
          <w:tcPr>
            <w:tcW w:w="850" w:type="dxa"/>
          </w:tcPr>
          <w:p w14:paraId="456B8D47"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345</w:t>
            </w:r>
          </w:p>
        </w:tc>
        <w:tc>
          <w:tcPr>
            <w:tcW w:w="1432" w:type="dxa"/>
          </w:tcPr>
          <w:p w14:paraId="4A17C924"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165,74</w:t>
            </w:r>
          </w:p>
        </w:tc>
      </w:tr>
      <w:tr w:rsidR="0053576E" w:rsidRPr="004135FE" w14:paraId="30EF5959" w14:textId="77777777" w:rsidTr="00680E37">
        <w:trPr>
          <w:trHeight w:val="20"/>
        </w:trPr>
        <w:tc>
          <w:tcPr>
            <w:tcW w:w="2098" w:type="dxa"/>
          </w:tcPr>
          <w:p w14:paraId="5716B710"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99" w:type="dxa"/>
          </w:tcPr>
          <w:p w14:paraId="1D79BEDA"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w:t>
            </w:r>
          </w:p>
        </w:tc>
        <w:tc>
          <w:tcPr>
            <w:tcW w:w="1432" w:type="dxa"/>
          </w:tcPr>
          <w:p w14:paraId="629B6319"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w:t>
            </w:r>
          </w:p>
        </w:tc>
        <w:tc>
          <w:tcPr>
            <w:tcW w:w="851" w:type="dxa"/>
          </w:tcPr>
          <w:p w14:paraId="7E358EDE"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w:t>
            </w:r>
          </w:p>
        </w:tc>
        <w:tc>
          <w:tcPr>
            <w:tcW w:w="1432" w:type="dxa"/>
          </w:tcPr>
          <w:p w14:paraId="67B6E437"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w:t>
            </w:r>
          </w:p>
        </w:tc>
        <w:tc>
          <w:tcPr>
            <w:tcW w:w="993" w:type="dxa"/>
          </w:tcPr>
          <w:p w14:paraId="6E5DFEB3"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w:t>
            </w:r>
          </w:p>
        </w:tc>
        <w:tc>
          <w:tcPr>
            <w:tcW w:w="1432" w:type="dxa"/>
          </w:tcPr>
          <w:p w14:paraId="2701085F"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w:t>
            </w:r>
          </w:p>
        </w:tc>
        <w:tc>
          <w:tcPr>
            <w:tcW w:w="851" w:type="dxa"/>
          </w:tcPr>
          <w:p w14:paraId="6DAAFB5A"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63</w:t>
            </w:r>
          </w:p>
        </w:tc>
        <w:tc>
          <w:tcPr>
            <w:tcW w:w="1432" w:type="dxa"/>
          </w:tcPr>
          <w:p w14:paraId="5379998A"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135,05</w:t>
            </w:r>
          </w:p>
        </w:tc>
        <w:tc>
          <w:tcPr>
            <w:tcW w:w="850" w:type="dxa"/>
          </w:tcPr>
          <w:p w14:paraId="7B04280F"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116</w:t>
            </w:r>
          </w:p>
        </w:tc>
        <w:tc>
          <w:tcPr>
            <w:tcW w:w="1432" w:type="dxa"/>
          </w:tcPr>
          <w:p w14:paraId="6981BAFD"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222,61</w:t>
            </w:r>
          </w:p>
        </w:tc>
      </w:tr>
      <w:tr w:rsidR="0053576E" w:rsidRPr="004135FE" w14:paraId="5DB849A4" w14:textId="77777777" w:rsidTr="00680E37">
        <w:trPr>
          <w:trHeight w:val="20"/>
        </w:trPr>
        <w:tc>
          <w:tcPr>
            <w:tcW w:w="2098" w:type="dxa"/>
          </w:tcPr>
          <w:p w14:paraId="69437236"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99" w:type="dxa"/>
          </w:tcPr>
          <w:p w14:paraId="5B817B60"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376</w:t>
            </w:r>
          </w:p>
        </w:tc>
        <w:tc>
          <w:tcPr>
            <w:tcW w:w="1432" w:type="dxa"/>
          </w:tcPr>
          <w:p w14:paraId="1166F216"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218,15</w:t>
            </w:r>
          </w:p>
        </w:tc>
        <w:tc>
          <w:tcPr>
            <w:tcW w:w="851" w:type="dxa"/>
          </w:tcPr>
          <w:p w14:paraId="3561F229"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358</w:t>
            </w:r>
          </w:p>
        </w:tc>
        <w:tc>
          <w:tcPr>
            <w:tcW w:w="1432" w:type="dxa"/>
          </w:tcPr>
          <w:p w14:paraId="0993E344"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191,72</w:t>
            </w:r>
          </w:p>
        </w:tc>
        <w:tc>
          <w:tcPr>
            <w:tcW w:w="993" w:type="dxa"/>
          </w:tcPr>
          <w:p w14:paraId="09826F6A"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401</w:t>
            </w:r>
          </w:p>
        </w:tc>
        <w:tc>
          <w:tcPr>
            <w:tcW w:w="1432" w:type="dxa"/>
          </w:tcPr>
          <w:p w14:paraId="6BF8E276"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194,53</w:t>
            </w:r>
          </w:p>
        </w:tc>
        <w:tc>
          <w:tcPr>
            <w:tcW w:w="851" w:type="dxa"/>
          </w:tcPr>
          <w:p w14:paraId="4614C878"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390</w:t>
            </w:r>
          </w:p>
        </w:tc>
        <w:tc>
          <w:tcPr>
            <w:tcW w:w="1432" w:type="dxa"/>
          </w:tcPr>
          <w:p w14:paraId="265B8A53"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191,81</w:t>
            </w:r>
          </w:p>
        </w:tc>
        <w:tc>
          <w:tcPr>
            <w:tcW w:w="850" w:type="dxa"/>
          </w:tcPr>
          <w:p w14:paraId="20D646C1"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447</w:t>
            </w:r>
          </w:p>
        </w:tc>
        <w:tc>
          <w:tcPr>
            <w:tcW w:w="1432" w:type="dxa"/>
          </w:tcPr>
          <w:p w14:paraId="57652138"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207,73</w:t>
            </w:r>
          </w:p>
        </w:tc>
      </w:tr>
      <w:tr w:rsidR="0053576E" w:rsidRPr="004135FE" w14:paraId="2E68EACF" w14:textId="77777777" w:rsidTr="00680E37">
        <w:trPr>
          <w:trHeight w:val="20"/>
        </w:trPr>
        <w:tc>
          <w:tcPr>
            <w:tcW w:w="2098" w:type="dxa"/>
          </w:tcPr>
          <w:p w14:paraId="01EE12CA"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Всего</w:t>
            </w:r>
          </w:p>
        </w:tc>
        <w:tc>
          <w:tcPr>
            <w:tcW w:w="899" w:type="dxa"/>
          </w:tcPr>
          <w:p w14:paraId="25538CAD" w14:textId="77777777" w:rsidR="0053576E" w:rsidRPr="004135FE" w:rsidRDefault="0053576E"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2508</w:t>
            </w:r>
          </w:p>
        </w:tc>
        <w:tc>
          <w:tcPr>
            <w:tcW w:w="1432" w:type="dxa"/>
          </w:tcPr>
          <w:p w14:paraId="114892A8"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hAnsi="Times New Roman" w:cs="Times New Roman"/>
                <w:sz w:val="28"/>
                <w:szCs w:val="28"/>
              </w:rPr>
              <w:t>180,27</w:t>
            </w:r>
          </w:p>
        </w:tc>
        <w:tc>
          <w:tcPr>
            <w:tcW w:w="851" w:type="dxa"/>
          </w:tcPr>
          <w:p w14:paraId="282EFE4A" w14:textId="77777777" w:rsidR="0053576E" w:rsidRPr="004135FE" w:rsidRDefault="0053576E" w:rsidP="004135FE">
            <w:pPr>
              <w:spacing w:after="0" w:line="240" w:lineRule="auto"/>
              <w:rPr>
                <w:rFonts w:ascii="Times New Roman" w:hAnsi="Times New Roman" w:cs="Times New Roman"/>
                <w:sz w:val="28"/>
                <w:szCs w:val="28"/>
              </w:rPr>
            </w:pPr>
            <w:r w:rsidRPr="004135FE">
              <w:rPr>
                <w:rFonts w:ascii="Times New Roman" w:hAnsi="Times New Roman" w:cs="Times New Roman"/>
                <w:sz w:val="28"/>
                <w:szCs w:val="28"/>
              </w:rPr>
              <w:t>2649</w:t>
            </w:r>
          </w:p>
        </w:tc>
        <w:tc>
          <w:tcPr>
            <w:tcW w:w="1432" w:type="dxa"/>
          </w:tcPr>
          <w:p w14:paraId="2DDE2CC2"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hAnsi="Times New Roman" w:cs="Times New Roman"/>
                <w:sz w:val="28"/>
                <w:szCs w:val="28"/>
              </w:rPr>
              <w:t>187,31</w:t>
            </w:r>
          </w:p>
        </w:tc>
        <w:tc>
          <w:tcPr>
            <w:tcW w:w="993" w:type="dxa"/>
          </w:tcPr>
          <w:p w14:paraId="3F67DA14"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hAnsi="Times New Roman" w:cs="Times New Roman"/>
                <w:sz w:val="28"/>
                <w:szCs w:val="28"/>
              </w:rPr>
              <w:t>2683</w:t>
            </w:r>
          </w:p>
        </w:tc>
        <w:tc>
          <w:tcPr>
            <w:tcW w:w="1432" w:type="dxa"/>
          </w:tcPr>
          <w:p w14:paraId="0E2615AC"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hAnsi="Times New Roman" w:cs="Times New Roman"/>
                <w:sz w:val="28"/>
                <w:szCs w:val="28"/>
              </w:rPr>
              <w:t>169,37</w:t>
            </w:r>
          </w:p>
        </w:tc>
        <w:tc>
          <w:tcPr>
            <w:tcW w:w="851" w:type="dxa"/>
          </w:tcPr>
          <w:p w14:paraId="661A2A3E"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hAnsi="Times New Roman" w:cs="Times New Roman"/>
                <w:sz w:val="28"/>
                <w:szCs w:val="28"/>
              </w:rPr>
              <w:t>2760</w:t>
            </w:r>
          </w:p>
        </w:tc>
        <w:tc>
          <w:tcPr>
            <w:tcW w:w="1432" w:type="dxa"/>
          </w:tcPr>
          <w:p w14:paraId="14D386A9"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hAnsi="Times New Roman" w:cs="Times New Roman"/>
                <w:sz w:val="28"/>
                <w:szCs w:val="28"/>
              </w:rPr>
              <w:t>170,39</w:t>
            </w:r>
          </w:p>
        </w:tc>
        <w:tc>
          <w:tcPr>
            <w:tcW w:w="850" w:type="dxa"/>
          </w:tcPr>
          <w:p w14:paraId="11E1B7B8"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hAnsi="Times New Roman" w:cs="Times New Roman"/>
                <w:sz w:val="28"/>
                <w:szCs w:val="28"/>
              </w:rPr>
              <w:t>3323</w:t>
            </w:r>
          </w:p>
        </w:tc>
        <w:tc>
          <w:tcPr>
            <w:tcW w:w="1432" w:type="dxa"/>
          </w:tcPr>
          <w:p w14:paraId="1B51DBC6"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hAnsi="Times New Roman" w:cs="Times New Roman"/>
                <w:sz w:val="28"/>
                <w:szCs w:val="28"/>
              </w:rPr>
              <w:t>194,23</w:t>
            </w:r>
          </w:p>
        </w:tc>
      </w:tr>
      <w:tr w:rsidR="0053576E" w:rsidRPr="004135FE" w14:paraId="354A014F" w14:textId="77777777" w:rsidTr="00680E37">
        <w:tc>
          <w:tcPr>
            <w:tcW w:w="2098" w:type="dxa"/>
            <w:vMerge w:val="restart"/>
          </w:tcPr>
          <w:p w14:paraId="43187FDA"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Районы</w:t>
            </w:r>
          </w:p>
        </w:tc>
        <w:tc>
          <w:tcPr>
            <w:tcW w:w="2331" w:type="dxa"/>
            <w:gridSpan w:val="2"/>
          </w:tcPr>
          <w:p w14:paraId="1DEDA8DC"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2017</w:t>
            </w:r>
          </w:p>
        </w:tc>
        <w:tc>
          <w:tcPr>
            <w:tcW w:w="2283" w:type="dxa"/>
            <w:gridSpan w:val="2"/>
          </w:tcPr>
          <w:p w14:paraId="4173D185"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2018</w:t>
            </w:r>
          </w:p>
        </w:tc>
        <w:tc>
          <w:tcPr>
            <w:tcW w:w="2425" w:type="dxa"/>
            <w:gridSpan w:val="2"/>
          </w:tcPr>
          <w:p w14:paraId="1339ADBE"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2019</w:t>
            </w:r>
          </w:p>
        </w:tc>
        <w:tc>
          <w:tcPr>
            <w:tcW w:w="2283" w:type="dxa"/>
            <w:gridSpan w:val="2"/>
          </w:tcPr>
          <w:p w14:paraId="26CAFE02"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2020</w:t>
            </w:r>
          </w:p>
        </w:tc>
        <w:tc>
          <w:tcPr>
            <w:tcW w:w="2282" w:type="dxa"/>
            <w:gridSpan w:val="2"/>
          </w:tcPr>
          <w:p w14:paraId="547F5E1A"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2021</w:t>
            </w:r>
          </w:p>
        </w:tc>
      </w:tr>
      <w:tr w:rsidR="0053576E" w:rsidRPr="004135FE" w14:paraId="30760667" w14:textId="77777777" w:rsidTr="00680E37">
        <w:tc>
          <w:tcPr>
            <w:tcW w:w="2098" w:type="dxa"/>
            <w:vMerge/>
          </w:tcPr>
          <w:p w14:paraId="732102D2"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p>
        </w:tc>
        <w:tc>
          <w:tcPr>
            <w:tcW w:w="899" w:type="dxa"/>
          </w:tcPr>
          <w:p w14:paraId="54762B4C"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Абс.</w:t>
            </w:r>
          </w:p>
        </w:tc>
        <w:tc>
          <w:tcPr>
            <w:tcW w:w="1432" w:type="dxa"/>
          </w:tcPr>
          <w:p w14:paraId="5467E9EF"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На 100 000 населения</w:t>
            </w:r>
          </w:p>
        </w:tc>
        <w:tc>
          <w:tcPr>
            <w:tcW w:w="851" w:type="dxa"/>
          </w:tcPr>
          <w:p w14:paraId="3186622C"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Абс.</w:t>
            </w:r>
          </w:p>
        </w:tc>
        <w:tc>
          <w:tcPr>
            <w:tcW w:w="1432" w:type="dxa"/>
          </w:tcPr>
          <w:p w14:paraId="0B70FE7D"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На 100 000 населения</w:t>
            </w:r>
          </w:p>
        </w:tc>
        <w:tc>
          <w:tcPr>
            <w:tcW w:w="993" w:type="dxa"/>
          </w:tcPr>
          <w:p w14:paraId="08DFC659"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Абс.</w:t>
            </w:r>
          </w:p>
        </w:tc>
        <w:tc>
          <w:tcPr>
            <w:tcW w:w="1432" w:type="dxa"/>
          </w:tcPr>
          <w:p w14:paraId="0BC8FC02"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На 100 000 населения</w:t>
            </w:r>
          </w:p>
        </w:tc>
        <w:tc>
          <w:tcPr>
            <w:tcW w:w="851" w:type="dxa"/>
          </w:tcPr>
          <w:p w14:paraId="38788AA1"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Абс.</w:t>
            </w:r>
          </w:p>
        </w:tc>
        <w:tc>
          <w:tcPr>
            <w:tcW w:w="1432" w:type="dxa"/>
          </w:tcPr>
          <w:p w14:paraId="036B1B48"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На 100 000 населения</w:t>
            </w:r>
          </w:p>
        </w:tc>
        <w:tc>
          <w:tcPr>
            <w:tcW w:w="850" w:type="dxa"/>
          </w:tcPr>
          <w:p w14:paraId="3F025600"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Абс.</w:t>
            </w:r>
          </w:p>
        </w:tc>
        <w:tc>
          <w:tcPr>
            <w:tcW w:w="1432" w:type="dxa"/>
          </w:tcPr>
          <w:p w14:paraId="57AA045B"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На 100 000 населения</w:t>
            </w:r>
          </w:p>
        </w:tc>
      </w:tr>
      <w:tr w:rsidR="0053576E" w:rsidRPr="004135FE" w14:paraId="34FB5869" w14:textId="77777777" w:rsidTr="00680E37">
        <w:tc>
          <w:tcPr>
            <w:tcW w:w="2098" w:type="dxa"/>
          </w:tcPr>
          <w:p w14:paraId="3AE0741C"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99" w:type="dxa"/>
          </w:tcPr>
          <w:p w14:paraId="4FD33614"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652</w:t>
            </w:r>
          </w:p>
        </w:tc>
        <w:tc>
          <w:tcPr>
            <w:tcW w:w="1432" w:type="dxa"/>
          </w:tcPr>
          <w:p w14:paraId="74CE8A49"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209,08</w:t>
            </w:r>
          </w:p>
        </w:tc>
        <w:tc>
          <w:tcPr>
            <w:tcW w:w="851" w:type="dxa"/>
          </w:tcPr>
          <w:p w14:paraId="329BF760"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652</w:t>
            </w:r>
          </w:p>
        </w:tc>
        <w:tc>
          <w:tcPr>
            <w:tcW w:w="1432" w:type="dxa"/>
          </w:tcPr>
          <w:p w14:paraId="246DE43C"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192,67</w:t>
            </w:r>
          </w:p>
        </w:tc>
        <w:tc>
          <w:tcPr>
            <w:tcW w:w="993" w:type="dxa"/>
          </w:tcPr>
          <w:p w14:paraId="26D99AC7"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710</w:t>
            </w:r>
          </w:p>
        </w:tc>
        <w:tc>
          <w:tcPr>
            <w:tcW w:w="1432" w:type="dxa"/>
          </w:tcPr>
          <w:p w14:paraId="05139AFD"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199,49</w:t>
            </w:r>
          </w:p>
        </w:tc>
        <w:tc>
          <w:tcPr>
            <w:tcW w:w="851" w:type="dxa"/>
          </w:tcPr>
          <w:p w14:paraId="5C2D9574"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623</w:t>
            </w:r>
          </w:p>
        </w:tc>
        <w:tc>
          <w:tcPr>
            <w:tcW w:w="1432" w:type="dxa"/>
          </w:tcPr>
          <w:p w14:paraId="5BCB7029"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171,58</w:t>
            </w:r>
          </w:p>
        </w:tc>
        <w:tc>
          <w:tcPr>
            <w:tcW w:w="850" w:type="dxa"/>
          </w:tcPr>
          <w:p w14:paraId="269AB9C0"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786</w:t>
            </w:r>
          </w:p>
        </w:tc>
        <w:tc>
          <w:tcPr>
            <w:tcW w:w="1432" w:type="dxa"/>
          </w:tcPr>
          <w:p w14:paraId="18D4C0F6"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216,15</w:t>
            </w:r>
          </w:p>
        </w:tc>
      </w:tr>
      <w:tr w:rsidR="0053576E" w:rsidRPr="004135FE" w14:paraId="3D12E659" w14:textId="77777777" w:rsidTr="00680E37">
        <w:tc>
          <w:tcPr>
            <w:tcW w:w="2098" w:type="dxa"/>
          </w:tcPr>
          <w:p w14:paraId="297B9315"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99" w:type="dxa"/>
          </w:tcPr>
          <w:p w14:paraId="04C6456E"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492</w:t>
            </w:r>
          </w:p>
        </w:tc>
        <w:tc>
          <w:tcPr>
            <w:tcW w:w="1432" w:type="dxa"/>
          </w:tcPr>
          <w:p w14:paraId="4562344C"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241,99</w:t>
            </w:r>
          </w:p>
        </w:tc>
        <w:tc>
          <w:tcPr>
            <w:tcW w:w="851" w:type="dxa"/>
          </w:tcPr>
          <w:p w14:paraId="637D2F4F"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449</w:t>
            </w:r>
          </w:p>
        </w:tc>
        <w:tc>
          <w:tcPr>
            <w:tcW w:w="1432" w:type="dxa"/>
          </w:tcPr>
          <w:p w14:paraId="548CD286"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211,58</w:t>
            </w:r>
          </w:p>
        </w:tc>
        <w:tc>
          <w:tcPr>
            <w:tcW w:w="993" w:type="dxa"/>
          </w:tcPr>
          <w:p w14:paraId="39753CF1"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392</w:t>
            </w:r>
          </w:p>
        </w:tc>
        <w:tc>
          <w:tcPr>
            <w:tcW w:w="1432" w:type="dxa"/>
          </w:tcPr>
          <w:p w14:paraId="61AFB05B"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174,88</w:t>
            </w:r>
          </w:p>
        </w:tc>
        <w:tc>
          <w:tcPr>
            <w:tcW w:w="851" w:type="dxa"/>
          </w:tcPr>
          <w:p w14:paraId="2C0D85DA"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409</w:t>
            </w:r>
          </w:p>
        </w:tc>
        <w:tc>
          <w:tcPr>
            <w:tcW w:w="1432" w:type="dxa"/>
          </w:tcPr>
          <w:p w14:paraId="1DD4BA2A"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174,76</w:t>
            </w:r>
          </w:p>
        </w:tc>
        <w:tc>
          <w:tcPr>
            <w:tcW w:w="850" w:type="dxa"/>
          </w:tcPr>
          <w:p w14:paraId="04F6990E"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573</w:t>
            </w:r>
          </w:p>
        </w:tc>
        <w:tc>
          <w:tcPr>
            <w:tcW w:w="1432" w:type="dxa"/>
          </w:tcPr>
          <w:p w14:paraId="035A5F9E"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233,37</w:t>
            </w:r>
          </w:p>
        </w:tc>
      </w:tr>
      <w:tr w:rsidR="0053576E" w:rsidRPr="004135FE" w14:paraId="1560402E" w14:textId="77777777" w:rsidTr="00680E37">
        <w:tc>
          <w:tcPr>
            <w:tcW w:w="2098" w:type="dxa"/>
          </w:tcPr>
          <w:p w14:paraId="191BB5C8"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99" w:type="dxa"/>
          </w:tcPr>
          <w:p w14:paraId="57197E24"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475</w:t>
            </w:r>
          </w:p>
        </w:tc>
        <w:tc>
          <w:tcPr>
            <w:tcW w:w="1432" w:type="dxa"/>
          </w:tcPr>
          <w:p w14:paraId="080905AC"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169,61</w:t>
            </w:r>
          </w:p>
        </w:tc>
        <w:tc>
          <w:tcPr>
            <w:tcW w:w="851" w:type="dxa"/>
          </w:tcPr>
          <w:p w14:paraId="5D2B3BC0"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554</w:t>
            </w:r>
          </w:p>
        </w:tc>
        <w:tc>
          <w:tcPr>
            <w:tcW w:w="1432" w:type="dxa"/>
          </w:tcPr>
          <w:p w14:paraId="5EA00B4A"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188,79</w:t>
            </w:r>
          </w:p>
        </w:tc>
        <w:tc>
          <w:tcPr>
            <w:tcW w:w="993" w:type="dxa"/>
          </w:tcPr>
          <w:p w14:paraId="3CDE0E38"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589</w:t>
            </w:r>
          </w:p>
        </w:tc>
        <w:tc>
          <w:tcPr>
            <w:tcW w:w="1432" w:type="dxa"/>
          </w:tcPr>
          <w:p w14:paraId="2DD4493F"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196,37</w:t>
            </w:r>
          </w:p>
        </w:tc>
        <w:tc>
          <w:tcPr>
            <w:tcW w:w="851" w:type="dxa"/>
          </w:tcPr>
          <w:p w14:paraId="440AB3A1"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626</w:t>
            </w:r>
          </w:p>
        </w:tc>
        <w:tc>
          <w:tcPr>
            <w:tcW w:w="1432" w:type="dxa"/>
          </w:tcPr>
          <w:p w14:paraId="6999F4BD"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203,98</w:t>
            </w:r>
          </w:p>
        </w:tc>
        <w:tc>
          <w:tcPr>
            <w:tcW w:w="850" w:type="dxa"/>
          </w:tcPr>
          <w:p w14:paraId="524EDAEA"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816</w:t>
            </w:r>
          </w:p>
        </w:tc>
        <w:tc>
          <w:tcPr>
            <w:tcW w:w="1432" w:type="dxa"/>
          </w:tcPr>
          <w:p w14:paraId="36311E32"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260,98</w:t>
            </w:r>
          </w:p>
        </w:tc>
      </w:tr>
      <w:tr w:rsidR="0053576E" w:rsidRPr="004135FE" w14:paraId="791D19E4" w14:textId="77777777" w:rsidTr="00680E37">
        <w:tc>
          <w:tcPr>
            <w:tcW w:w="2098" w:type="dxa"/>
          </w:tcPr>
          <w:p w14:paraId="288ADA49"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99" w:type="dxa"/>
          </w:tcPr>
          <w:p w14:paraId="71E4F77C"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588</w:t>
            </w:r>
          </w:p>
        </w:tc>
        <w:tc>
          <w:tcPr>
            <w:tcW w:w="1432" w:type="dxa"/>
          </w:tcPr>
          <w:p w14:paraId="77F74F7F"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171,30</w:t>
            </w:r>
          </w:p>
        </w:tc>
        <w:tc>
          <w:tcPr>
            <w:tcW w:w="851" w:type="dxa"/>
          </w:tcPr>
          <w:p w14:paraId="65B1BA4A"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659</w:t>
            </w:r>
          </w:p>
        </w:tc>
        <w:tc>
          <w:tcPr>
            <w:tcW w:w="1432" w:type="dxa"/>
          </w:tcPr>
          <w:p w14:paraId="6E448C29"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184,40</w:t>
            </w:r>
          </w:p>
        </w:tc>
        <w:tc>
          <w:tcPr>
            <w:tcW w:w="993" w:type="dxa"/>
          </w:tcPr>
          <w:p w14:paraId="56C1F495"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737</w:t>
            </w:r>
          </w:p>
        </w:tc>
        <w:tc>
          <w:tcPr>
            <w:tcW w:w="1432" w:type="dxa"/>
          </w:tcPr>
          <w:p w14:paraId="69D0E359"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199,05</w:t>
            </w:r>
          </w:p>
        </w:tc>
        <w:tc>
          <w:tcPr>
            <w:tcW w:w="851" w:type="dxa"/>
          </w:tcPr>
          <w:p w14:paraId="0DAECAC4"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602</w:t>
            </w:r>
          </w:p>
        </w:tc>
        <w:tc>
          <w:tcPr>
            <w:tcW w:w="1432" w:type="dxa"/>
          </w:tcPr>
          <w:p w14:paraId="05A5773B"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163,03</w:t>
            </w:r>
          </w:p>
        </w:tc>
        <w:tc>
          <w:tcPr>
            <w:tcW w:w="850" w:type="dxa"/>
          </w:tcPr>
          <w:p w14:paraId="37DBC47D"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750</w:t>
            </w:r>
          </w:p>
        </w:tc>
        <w:tc>
          <w:tcPr>
            <w:tcW w:w="1432" w:type="dxa"/>
          </w:tcPr>
          <w:p w14:paraId="050DAFC7"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183,48</w:t>
            </w:r>
          </w:p>
        </w:tc>
      </w:tr>
      <w:tr w:rsidR="0053576E" w:rsidRPr="004135FE" w14:paraId="5DCE08B2" w14:textId="77777777" w:rsidTr="00680E37">
        <w:tc>
          <w:tcPr>
            <w:tcW w:w="2098" w:type="dxa"/>
          </w:tcPr>
          <w:p w14:paraId="6C772D4C"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99" w:type="dxa"/>
          </w:tcPr>
          <w:p w14:paraId="3311A4FC"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439</w:t>
            </w:r>
          </w:p>
        </w:tc>
        <w:tc>
          <w:tcPr>
            <w:tcW w:w="1432" w:type="dxa"/>
          </w:tcPr>
          <w:p w14:paraId="46F3326F"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252,14</w:t>
            </w:r>
          </w:p>
        </w:tc>
        <w:tc>
          <w:tcPr>
            <w:tcW w:w="851" w:type="dxa"/>
          </w:tcPr>
          <w:p w14:paraId="7AE2B2D3"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428</w:t>
            </w:r>
          </w:p>
        </w:tc>
        <w:tc>
          <w:tcPr>
            <w:tcW w:w="1432" w:type="dxa"/>
          </w:tcPr>
          <w:p w14:paraId="65F33512"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195,81</w:t>
            </w:r>
          </w:p>
        </w:tc>
        <w:tc>
          <w:tcPr>
            <w:tcW w:w="993" w:type="dxa"/>
          </w:tcPr>
          <w:p w14:paraId="3E47ED73"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276</w:t>
            </w:r>
          </w:p>
        </w:tc>
        <w:tc>
          <w:tcPr>
            <w:tcW w:w="1432" w:type="dxa"/>
          </w:tcPr>
          <w:p w14:paraId="686D1C8E"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151,58</w:t>
            </w:r>
          </w:p>
        </w:tc>
        <w:tc>
          <w:tcPr>
            <w:tcW w:w="851" w:type="dxa"/>
          </w:tcPr>
          <w:p w14:paraId="3CED743D"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342</w:t>
            </w:r>
          </w:p>
        </w:tc>
        <w:tc>
          <w:tcPr>
            <w:tcW w:w="1432" w:type="dxa"/>
          </w:tcPr>
          <w:p w14:paraId="7C911D46"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187,88</w:t>
            </w:r>
          </w:p>
        </w:tc>
        <w:tc>
          <w:tcPr>
            <w:tcW w:w="850" w:type="dxa"/>
          </w:tcPr>
          <w:p w14:paraId="661D13D1"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681</w:t>
            </w:r>
          </w:p>
        </w:tc>
        <w:tc>
          <w:tcPr>
            <w:tcW w:w="1432" w:type="dxa"/>
          </w:tcPr>
          <w:p w14:paraId="048E2FD7"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393,83</w:t>
            </w:r>
          </w:p>
        </w:tc>
      </w:tr>
      <w:tr w:rsidR="0053576E" w:rsidRPr="004135FE" w14:paraId="7837FF1F" w14:textId="77777777" w:rsidTr="00680E37">
        <w:tc>
          <w:tcPr>
            <w:tcW w:w="2098" w:type="dxa"/>
          </w:tcPr>
          <w:p w14:paraId="44307A58"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99" w:type="dxa"/>
          </w:tcPr>
          <w:p w14:paraId="12D2481B"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326</w:t>
            </w:r>
          </w:p>
        </w:tc>
        <w:tc>
          <w:tcPr>
            <w:tcW w:w="1432" w:type="dxa"/>
          </w:tcPr>
          <w:p w14:paraId="2824E7E3"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150,61</w:t>
            </w:r>
          </w:p>
        </w:tc>
        <w:tc>
          <w:tcPr>
            <w:tcW w:w="851" w:type="dxa"/>
          </w:tcPr>
          <w:p w14:paraId="2AE0AC29"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334</w:t>
            </w:r>
          </w:p>
        </w:tc>
        <w:tc>
          <w:tcPr>
            <w:tcW w:w="1432" w:type="dxa"/>
          </w:tcPr>
          <w:p w14:paraId="08395952"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151,21</w:t>
            </w:r>
          </w:p>
        </w:tc>
        <w:tc>
          <w:tcPr>
            <w:tcW w:w="993" w:type="dxa"/>
          </w:tcPr>
          <w:p w14:paraId="1B2449A7"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442</w:t>
            </w:r>
          </w:p>
        </w:tc>
        <w:tc>
          <w:tcPr>
            <w:tcW w:w="1432" w:type="dxa"/>
          </w:tcPr>
          <w:p w14:paraId="5A2A3B3F"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192,21</w:t>
            </w:r>
          </w:p>
        </w:tc>
        <w:tc>
          <w:tcPr>
            <w:tcW w:w="851" w:type="dxa"/>
          </w:tcPr>
          <w:p w14:paraId="212FC6D7"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450</w:t>
            </w:r>
          </w:p>
        </w:tc>
        <w:tc>
          <w:tcPr>
            <w:tcW w:w="1432" w:type="dxa"/>
          </w:tcPr>
          <w:p w14:paraId="40EBEF9C"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194,73</w:t>
            </w:r>
          </w:p>
        </w:tc>
        <w:tc>
          <w:tcPr>
            <w:tcW w:w="850" w:type="dxa"/>
          </w:tcPr>
          <w:p w14:paraId="365414C8"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550</w:t>
            </w:r>
          </w:p>
        </w:tc>
        <w:tc>
          <w:tcPr>
            <w:tcW w:w="1432" w:type="dxa"/>
          </w:tcPr>
          <w:p w14:paraId="52ADFFB7"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225,78</w:t>
            </w:r>
          </w:p>
        </w:tc>
      </w:tr>
      <w:tr w:rsidR="0053576E" w:rsidRPr="004135FE" w14:paraId="4B26679C" w14:textId="77777777" w:rsidTr="00680E37">
        <w:tc>
          <w:tcPr>
            <w:tcW w:w="2098" w:type="dxa"/>
          </w:tcPr>
          <w:p w14:paraId="17433AD4"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99" w:type="dxa"/>
          </w:tcPr>
          <w:p w14:paraId="0934A685"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131</w:t>
            </w:r>
          </w:p>
        </w:tc>
        <w:tc>
          <w:tcPr>
            <w:tcW w:w="1432" w:type="dxa"/>
          </w:tcPr>
          <w:p w14:paraId="43E4E514"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157,05</w:t>
            </w:r>
          </w:p>
        </w:tc>
        <w:tc>
          <w:tcPr>
            <w:tcW w:w="851" w:type="dxa"/>
          </w:tcPr>
          <w:p w14:paraId="3F3502E9"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191</w:t>
            </w:r>
          </w:p>
        </w:tc>
        <w:tc>
          <w:tcPr>
            <w:tcW w:w="1432" w:type="dxa"/>
          </w:tcPr>
          <w:p w14:paraId="6FBD8BE5"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194,01</w:t>
            </w:r>
          </w:p>
        </w:tc>
        <w:tc>
          <w:tcPr>
            <w:tcW w:w="993" w:type="dxa"/>
          </w:tcPr>
          <w:p w14:paraId="55ACB592"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284</w:t>
            </w:r>
          </w:p>
        </w:tc>
        <w:tc>
          <w:tcPr>
            <w:tcW w:w="1432" w:type="dxa"/>
          </w:tcPr>
          <w:p w14:paraId="5DBE72BC"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247,72</w:t>
            </w:r>
          </w:p>
        </w:tc>
        <w:tc>
          <w:tcPr>
            <w:tcW w:w="851" w:type="dxa"/>
          </w:tcPr>
          <w:p w14:paraId="6E44882F"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310</w:t>
            </w:r>
          </w:p>
        </w:tc>
        <w:tc>
          <w:tcPr>
            <w:tcW w:w="1432" w:type="dxa"/>
          </w:tcPr>
          <w:p w14:paraId="562976DF"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257,70</w:t>
            </w:r>
          </w:p>
        </w:tc>
        <w:tc>
          <w:tcPr>
            <w:tcW w:w="850" w:type="dxa"/>
          </w:tcPr>
          <w:p w14:paraId="0FC23656"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314</w:t>
            </w:r>
          </w:p>
        </w:tc>
        <w:tc>
          <w:tcPr>
            <w:tcW w:w="1432" w:type="dxa"/>
          </w:tcPr>
          <w:p w14:paraId="28AB353F"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235,70</w:t>
            </w:r>
          </w:p>
        </w:tc>
      </w:tr>
      <w:tr w:rsidR="0053576E" w:rsidRPr="004135FE" w14:paraId="455AD78B" w14:textId="77777777" w:rsidTr="00680E37">
        <w:tc>
          <w:tcPr>
            <w:tcW w:w="2098" w:type="dxa"/>
          </w:tcPr>
          <w:p w14:paraId="1B61AE94"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99" w:type="dxa"/>
          </w:tcPr>
          <w:p w14:paraId="0D73349E"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575</w:t>
            </w:r>
          </w:p>
        </w:tc>
        <w:tc>
          <w:tcPr>
            <w:tcW w:w="1432" w:type="dxa"/>
          </w:tcPr>
          <w:p w14:paraId="17B64481"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252,59</w:t>
            </w:r>
          </w:p>
        </w:tc>
        <w:tc>
          <w:tcPr>
            <w:tcW w:w="851" w:type="dxa"/>
          </w:tcPr>
          <w:p w14:paraId="466EB7B2"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668</w:t>
            </w:r>
          </w:p>
        </w:tc>
        <w:tc>
          <w:tcPr>
            <w:tcW w:w="1432" w:type="dxa"/>
          </w:tcPr>
          <w:p w14:paraId="2089EF4C"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346,66</w:t>
            </w:r>
          </w:p>
        </w:tc>
        <w:tc>
          <w:tcPr>
            <w:tcW w:w="993" w:type="dxa"/>
          </w:tcPr>
          <w:p w14:paraId="66AE02F6"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602</w:t>
            </w:r>
          </w:p>
        </w:tc>
        <w:tc>
          <w:tcPr>
            <w:tcW w:w="1432" w:type="dxa"/>
          </w:tcPr>
          <w:p w14:paraId="3CB474BA"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246,54</w:t>
            </w:r>
          </w:p>
        </w:tc>
        <w:tc>
          <w:tcPr>
            <w:tcW w:w="851" w:type="dxa"/>
          </w:tcPr>
          <w:p w14:paraId="71EEE9D8"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491</w:t>
            </w:r>
          </w:p>
        </w:tc>
        <w:tc>
          <w:tcPr>
            <w:tcW w:w="1432" w:type="dxa"/>
          </w:tcPr>
          <w:p w14:paraId="758E0158"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198,64</w:t>
            </w:r>
          </w:p>
        </w:tc>
        <w:tc>
          <w:tcPr>
            <w:tcW w:w="850" w:type="dxa"/>
          </w:tcPr>
          <w:p w14:paraId="63D6932A"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593</w:t>
            </w:r>
          </w:p>
        </w:tc>
        <w:tc>
          <w:tcPr>
            <w:tcW w:w="1432" w:type="dxa"/>
          </w:tcPr>
          <w:p w14:paraId="39D89863"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236,45</w:t>
            </w:r>
          </w:p>
        </w:tc>
      </w:tr>
      <w:tr w:rsidR="0053576E" w:rsidRPr="004135FE" w14:paraId="5FC8C90F" w14:textId="77777777" w:rsidTr="00680E37">
        <w:tc>
          <w:tcPr>
            <w:tcW w:w="2098" w:type="dxa"/>
          </w:tcPr>
          <w:p w14:paraId="490BD792"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Всего</w:t>
            </w:r>
          </w:p>
        </w:tc>
        <w:tc>
          <w:tcPr>
            <w:tcW w:w="899" w:type="dxa"/>
            <w:vAlign w:val="center"/>
          </w:tcPr>
          <w:p w14:paraId="6659E157"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3678</w:t>
            </w:r>
          </w:p>
        </w:tc>
        <w:tc>
          <w:tcPr>
            <w:tcW w:w="1432" w:type="dxa"/>
            <w:vAlign w:val="center"/>
          </w:tcPr>
          <w:p w14:paraId="2126B6A0"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199,88</w:t>
            </w:r>
          </w:p>
        </w:tc>
        <w:tc>
          <w:tcPr>
            <w:tcW w:w="851" w:type="dxa"/>
            <w:vAlign w:val="center"/>
          </w:tcPr>
          <w:p w14:paraId="6538E0CE"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3935</w:t>
            </w:r>
          </w:p>
        </w:tc>
        <w:tc>
          <w:tcPr>
            <w:tcW w:w="1432" w:type="dxa"/>
            <w:vAlign w:val="center"/>
          </w:tcPr>
          <w:p w14:paraId="52152004"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203,67</w:t>
            </w:r>
          </w:p>
        </w:tc>
        <w:tc>
          <w:tcPr>
            <w:tcW w:w="993" w:type="dxa"/>
            <w:vAlign w:val="center"/>
          </w:tcPr>
          <w:p w14:paraId="0F7A29D9"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4032</w:t>
            </w:r>
          </w:p>
        </w:tc>
        <w:tc>
          <w:tcPr>
            <w:tcW w:w="1432" w:type="dxa"/>
            <w:vAlign w:val="center"/>
          </w:tcPr>
          <w:p w14:paraId="5CA42EFD"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199,49</w:t>
            </w:r>
          </w:p>
        </w:tc>
        <w:tc>
          <w:tcPr>
            <w:tcW w:w="851" w:type="dxa"/>
            <w:vAlign w:val="center"/>
          </w:tcPr>
          <w:p w14:paraId="21AB92DA"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3853</w:t>
            </w:r>
          </w:p>
        </w:tc>
        <w:tc>
          <w:tcPr>
            <w:tcW w:w="1432" w:type="dxa"/>
            <w:vAlign w:val="center"/>
          </w:tcPr>
          <w:p w14:paraId="4E2D8119"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187,60</w:t>
            </w:r>
          </w:p>
        </w:tc>
        <w:tc>
          <w:tcPr>
            <w:tcW w:w="850" w:type="dxa"/>
            <w:vAlign w:val="center"/>
          </w:tcPr>
          <w:p w14:paraId="42BE75FF"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5063</w:t>
            </w:r>
          </w:p>
        </w:tc>
        <w:tc>
          <w:tcPr>
            <w:tcW w:w="1432" w:type="dxa"/>
            <w:vAlign w:val="center"/>
          </w:tcPr>
          <w:p w14:paraId="1FC19047"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r w:rsidRPr="004135FE">
              <w:rPr>
                <w:rFonts w:ascii="Times New Roman" w:hAnsi="Times New Roman" w:cs="Times New Roman"/>
                <w:sz w:val="28"/>
                <w:szCs w:val="28"/>
              </w:rPr>
              <w:t>237,57</w:t>
            </w:r>
          </w:p>
        </w:tc>
      </w:tr>
    </w:tbl>
    <w:p w14:paraId="744ADA6F" w14:textId="67325165" w:rsidR="0053576E" w:rsidRDefault="00B728EF" w:rsidP="00680E37">
      <w:pPr>
        <w:spacing w:after="0" w:line="240" w:lineRule="auto"/>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Таблица </w:t>
      </w:r>
      <w:r w:rsidR="00680E37">
        <w:rPr>
          <w:rFonts w:ascii="Times New Roman" w:eastAsia="Times New Roman" w:hAnsi="Times New Roman" w:cs="Times New Roman"/>
          <w:sz w:val="28"/>
          <w:szCs w:val="28"/>
        </w:rPr>
        <w:t>А5</w:t>
      </w:r>
      <w:r w:rsidR="0053576E" w:rsidRPr="004135FE">
        <w:rPr>
          <w:rFonts w:ascii="Times New Roman" w:eastAsia="Times New Roman" w:hAnsi="Times New Roman" w:cs="Times New Roman"/>
          <w:sz w:val="28"/>
          <w:szCs w:val="28"/>
        </w:rPr>
        <w:t xml:space="preserve"> - Распространенность СД2т по районам и гендерному признаку г.Алматы с 2012г – по 2021г. </w:t>
      </w:r>
    </w:p>
    <w:p w14:paraId="10697AEB" w14:textId="77777777" w:rsidR="00680E37" w:rsidRPr="004135FE" w:rsidRDefault="00680E37" w:rsidP="004135FE">
      <w:pPr>
        <w:spacing w:after="0" w:line="240" w:lineRule="auto"/>
        <w:ind w:firstLine="567"/>
        <w:jc w:val="both"/>
        <w:rPr>
          <w:rFonts w:ascii="Times New Roman" w:eastAsia="Times New Roman" w:hAnsi="Times New Roman" w:cs="Times New Roman"/>
          <w:sz w:val="28"/>
          <w:szCs w:val="28"/>
        </w:rPr>
      </w:pPr>
    </w:p>
    <w:tbl>
      <w:tblPr>
        <w:tblStyle w:val="a5"/>
        <w:tblW w:w="13603" w:type="dxa"/>
        <w:tblLook w:val="04A0" w:firstRow="1" w:lastRow="0" w:firstColumn="1" w:lastColumn="0" w:noHBand="0" w:noVBand="1"/>
      </w:tblPr>
      <w:tblGrid>
        <w:gridCol w:w="554"/>
        <w:gridCol w:w="2098"/>
        <w:gridCol w:w="1738"/>
        <w:gridCol w:w="1823"/>
        <w:gridCol w:w="1720"/>
        <w:gridCol w:w="2268"/>
        <w:gridCol w:w="1276"/>
        <w:gridCol w:w="2126"/>
      </w:tblGrid>
      <w:tr w:rsidR="0053576E" w:rsidRPr="004135FE" w14:paraId="727C78F3" w14:textId="77777777" w:rsidTr="00680E37">
        <w:trPr>
          <w:cantSplit/>
          <w:trHeight w:val="227"/>
        </w:trPr>
        <w:tc>
          <w:tcPr>
            <w:tcW w:w="554" w:type="dxa"/>
            <w:vMerge w:val="restart"/>
            <w:textDirection w:val="btLr"/>
          </w:tcPr>
          <w:p w14:paraId="76AACE4E" w14:textId="7EF7515D" w:rsidR="0053576E" w:rsidRPr="004135FE" w:rsidRDefault="0053576E" w:rsidP="004135FE">
            <w:pPr>
              <w:spacing w:after="0" w:line="240" w:lineRule="auto"/>
              <w:ind w:left="113" w:right="113"/>
              <w:rPr>
                <w:rFonts w:ascii="Times New Roman" w:hAnsi="Times New Roman" w:cs="Times New Roman"/>
                <w:sz w:val="28"/>
                <w:szCs w:val="28"/>
              </w:rPr>
            </w:pPr>
            <w:r w:rsidRPr="00680E37">
              <w:rPr>
                <w:rFonts w:ascii="Times New Roman" w:hAnsi="Times New Roman" w:cs="Times New Roman"/>
                <w:sz w:val="24"/>
                <w:szCs w:val="24"/>
              </w:rPr>
              <w:t>Го</w:t>
            </w:r>
            <w:r w:rsidR="00680E37">
              <w:rPr>
                <w:rFonts w:ascii="Times New Roman" w:hAnsi="Times New Roman" w:cs="Times New Roman"/>
                <w:sz w:val="28"/>
                <w:szCs w:val="28"/>
              </w:rPr>
              <w:t>дд</w:t>
            </w:r>
            <w:r w:rsidRPr="004135FE">
              <w:rPr>
                <w:rFonts w:ascii="Times New Roman" w:hAnsi="Times New Roman" w:cs="Times New Roman"/>
                <w:sz w:val="28"/>
                <w:szCs w:val="28"/>
              </w:rPr>
              <w:t>ды</w:t>
            </w:r>
          </w:p>
        </w:tc>
        <w:tc>
          <w:tcPr>
            <w:tcW w:w="2098" w:type="dxa"/>
            <w:vMerge w:val="restart"/>
          </w:tcPr>
          <w:p w14:paraId="11B97B74"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Районы</w:t>
            </w:r>
          </w:p>
        </w:tc>
        <w:tc>
          <w:tcPr>
            <w:tcW w:w="3561" w:type="dxa"/>
            <w:gridSpan w:val="2"/>
          </w:tcPr>
          <w:p w14:paraId="13C1C106"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 xml:space="preserve">Всего </w:t>
            </w:r>
          </w:p>
        </w:tc>
        <w:tc>
          <w:tcPr>
            <w:tcW w:w="3988" w:type="dxa"/>
            <w:gridSpan w:val="2"/>
          </w:tcPr>
          <w:p w14:paraId="0B16B948"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Мужчины</w:t>
            </w:r>
          </w:p>
        </w:tc>
        <w:tc>
          <w:tcPr>
            <w:tcW w:w="3402" w:type="dxa"/>
            <w:gridSpan w:val="2"/>
          </w:tcPr>
          <w:p w14:paraId="01CEB82E"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Женщины</w:t>
            </w:r>
          </w:p>
        </w:tc>
      </w:tr>
      <w:tr w:rsidR="0053576E" w:rsidRPr="004135FE" w14:paraId="04CE6F22" w14:textId="77777777" w:rsidTr="00680E37">
        <w:trPr>
          <w:cantSplit/>
          <w:trHeight w:val="227"/>
        </w:trPr>
        <w:tc>
          <w:tcPr>
            <w:tcW w:w="554" w:type="dxa"/>
            <w:vMerge/>
            <w:textDirection w:val="btLr"/>
          </w:tcPr>
          <w:p w14:paraId="2C3903FB"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vMerge/>
          </w:tcPr>
          <w:p w14:paraId="225A8EC6" w14:textId="77777777" w:rsidR="0053576E" w:rsidRPr="004135FE" w:rsidRDefault="0053576E" w:rsidP="004135FE">
            <w:pPr>
              <w:spacing w:after="0" w:line="240" w:lineRule="auto"/>
              <w:jc w:val="center"/>
              <w:rPr>
                <w:rFonts w:ascii="Times New Roman" w:hAnsi="Times New Roman" w:cs="Times New Roman"/>
                <w:sz w:val="28"/>
                <w:szCs w:val="28"/>
              </w:rPr>
            </w:pPr>
          </w:p>
        </w:tc>
        <w:tc>
          <w:tcPr>
            <w:tcW w:w="1738" w:type="dxa"/>
          </w:tcPr>
          <w:p w14:paraId="07240C90"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абс.</w:t>
            </w:r>
          </w:p>
        </w:tc>
        <w:tc>
          <w:tcPr>
            <w:tcW w:w="1823" w:type="dxa"/>
          </w:tcPr>
          <w:p w14:paraId="0D02A07F"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на 100 тыс</w:t>
            </w:r>
          </w:p>
        </w:tc>
        <w:tc>
          <w:tcPr>
            <w:tcW w:w="1720" w:type="dxa"/>
          </w:tcPr>
          <w:p w14:paraId="38D3D3BF"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абс</w:t>
            </w:r>
          </w:p>
        </w:tc>
        <w:tc>
          <w:tcPr>
            <w:tcW w:w="2268" w:type="dxa"/>
          </w:tcPr>
          <w:p w14:paraId="316F154A"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на 100 тыс</w:t>
            </w:r>
          </w:p>
        </w:tc>
        <w:tc>
          <w:tcPr>
            <w:tcW w:w="1276" w:type="dxa"/>
          </w:tcPr>
          <w:p w14:paraId="0D9075A1"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абс</w:t>
            </w:r>
          </w:p>
        </w:tc>
        <w:tc>
          <w:tcPr>
            <w:tcW w:w="2126" w:type="dxa"/>
          </w:tcPr>
          <w:p w14:paraId="79FD485F" w14:textId="77777777" w:rsidR="0053576E" w:rsidRPr="004135FE" w:rsidRDefault="0053576E" w:rsidP="004135FE">
            <w:pPr>
              <w:spacing w:after="0" w:line="240" w:lineRule="auto"/>
              <w:jc w:val="center"/>
              <w:rPr>
                <w:rFonts w:ascii="Times New Roman" w:hAnsi="Times New Roman" w:cs="Times New Roman"/>
                <w:sz w:val="28"/>
                <w:szCs w:val="28"/>
              </w:rPr>
            </w:pPr>
            <w:r w:rsidRPr="004135FE">
              <w:rPr>
                <w:rFonts w:ascii="Times New Roman" w:hAnsi="Times New Roman" w:cs="Times New Roman"/>
                <w:sz w:val="28"/>
                <w:szCs w:val="28"/>
              </w:rPr>
              <w:t>на 100 тыс</w:t>
            </w:r>
          </w:p>
        </w:tc>
      </w:tr>
      <w:tr w:rsidR="0053576E" w:rsidRPr="004135FE" w14:paraId="4E0A7C04" w14:textId="77777777" w:rsidTr="00680E37">
        <w:trPr>
          <w:cantSplit/>
          <w:trHeight w:val="227"/>
        </w:trPr>
        <w:tc>
          <w:tcPr>
            <w:tcW w:w="554" w:type="dxa"/>
            <w:vMerge w:val="restart"/>
            <w:textDirection w:val="btLr"/>
          </w:tcPr>
          <w:p w14:paraId="7E8A2053"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r w:rsidRPr="004135FE">
              <w:rPr>
                <w:rFonts w:ascii="Times New Roman" w:hAnsi="Times New Roman" w:cs="Times New Roman"/>
                <w:sz w:val="28"/>
                <w:szCs w:val="28"/>
              </w:rPr>
              <w:t>2012 г</w:t>
            </w:r>
          </w:p>
        </w:tc>
        <w:tc>
          <w:tcPr>
            <w:tcW w:w="2098" w:type="dxa"/>
          </w:tcPr>
          <w:p w14:paraId="1406FA1B"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Алмалинский</w:t>
            </w:r>
          </w:p>
        </w:tc>
        <w:tc>
          <w:tcPr>
            <w:tcW w:w="1738" w:type="dxa"/>
          </w:tcPr>
          <w:p w14:paraId="6AB58B4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4379</w:t>
            </w:r>
          </w:p>
        </w:tc>
        <w:tc>
          <w:tcPr>
            <w:tcW w:w="1823" w:type="dxa"/>
          </w:tcPr>
          <w:p w14:paraId="51AD798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1886,98</w:t>
            </w:r>
          </w:p>
        </w:tc>
        <w:tc>
          <w:tcPr>
            <w:tcW w:w="1720" w:type="dxa"/>
          </w:tcPr>
          <w:p w14:paraId="071C6CF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1398</w:t>
            </w:r>
          </w:p>
        </w:tc>
        <w:tc>
          <w:tcPr>
            <w:tcW w:w="2268" w:type="dxa"/>
          </w:tcPr>
          <w:p w14:paraId="688C09C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602,42</w:t>
            </w:r>
          </w:p>
        </w:tc>
        <w:tc>
          <w:tcPr>
            <w:tcW w:w="1276" w:type="dxa"/>
          </w:tcPr>
          <w:p w14:paraId="5F60FCC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2981</w:t>
            </w:r>
          </w:p>
        </w:tc>
        <w:tc>
          <w:tcPr>
            <w:tcW w:w="2126" w:type="dxa"/>
          </w:tcPr>
          <w:p w14:paraId="26CE291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1284,56</w:t>
            </w:r>
          </w:p>
        </w:tc>
      </w:tr>
      <w:tr w:rsidR="0053576E" w:rsidRPr="004135FE" w14:paraId="7C6DF378" w14:textId="77777777" w:rsidTr="00680E37">
        <w:trPr>
          <w:cantSplit/>
          <w:trHeight w:val="227"/>
        </w:trPr>
        <w:tc>
          <w:tcPr>
            <w:tcW w:w="554" w:type="dxa"/>
            <w:vMerge/>
            <w:textDirection w:val="btLr"/>
          </w:tcPr>
          <w:p w14:paraId="0344958D"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7929EB81"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Алатауский</w:t>
            </w:r>
          </w:p>
        </w:tc>
        <w:tc>
          <w:tcPr>
            <w:tcW w:w="1738" w:type="dxa"/>
          </w:tcPr>
          <w:p w14:paraId="583CB74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1295</w:t>
            </w:r>
          </w:p>
        </w:tc>
        <w:tc>
          <w:tcPr>
            <w:tcW w:w="1823" w:type="dxa"/>
          </w:tcPr>
          <w:p w14:paraId="2C50735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1231,34</w:t>
            </w:r>
          </w:p>
        </w:tc>
        <w:tc>
          <w:tcPr>
            <w:tcW w:w="1720" w:type="dxa"/>
          </w:tcPr>
          <w:p w14:paraId="25669CB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463</w:t>
            </w:r>
          </w:p>
        </w:tc>
        <w:tc>
          <w:tcPr>
            <w:tcW w:w="2268" w:type="dxa"/>
          </w:tcPr>
          <w:p w14:paraId="6C95E6F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440,24</w:t>
            </w:r>
          </w:p>
        </w:tc>
        <w:tc>
          <w:tcPr>
            <w:tcW w:w="1276" w:type="dxa"/>
          </w:tcPr>
          <w:p w14:paraId="4DCAD2E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832</w:t>
            </w:r>
          </w:p>
        </w:tc>
        <w:tc>
          <w:tcPr>
            <w:tcW w:w="2126" w:type="dxa"/>
          </w:tcPr>
          <w:p w14:paraId="79097F8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791,10</w:t>
            </w:r>
          </w:p>
        </w:tc>
      </w:tr>
      <w:tr w:rsidR="0053576E" w:rsidRPr="004135FE" w14:paraId="1C390880" w14:textId="77777777" w:rsidTr="00680E37">
        <w:trPr>
          <w:cantSplit/>
          <w:trHeight w:val="227"/>
        </w:trPr>
        <w:tc>
          <w:tcPr>
            <w:tcW w:w="554" w:type="dxa"/>
            <w:vMerge/>
            <w:textDirection w:val="btLr"/>
          </w:tcPr>
          <w:p w14:paraId="21224100"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3A2460F6"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Ауэзовский</w:t>
            </w:r>
          </w:p>
        </w:tc>
        <w:tc>
          <w:tcPr>
            <w:tcW w:w="1738" w:type="dxa"/>
          </w:tcPr>
          <w:p w14:paraId="20A88D8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5268</w:t>
            </w:r>
          </w:p>
        </w:tc>
        <w:tc>
          <w:tcPr>
            <w:tcW w:w="1823" w:type="dxa"/>
          </w:tcPr>
          <w:p w14:paraId="7D4ACE9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2107,17</w:t>
            </w:r>
          </w:p>
        </w:tc>
        <w:tc>
          <w:tcPr>
            <w:tcW w:w="1720" w:type="dxa"/>
          </w:tcPr>
          <w:p w14:paraId="39E50A9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1631</w:t>
            </w:r>
          </w:p>
        </w:tc>
        <w:tc>
          <w:tcPr>
            <w:tcW w:w="2268" w:type="dxa"/>
          </w:tcPr>
          <w:p w14:paraId="22D42D7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652,39</w:t>
            </w:r>
          </w:p>
        </w:tc>
        <w:tc>
          <w:tcPr>
            <w:tcW w:w="1276" w:type="dxa"/>
          </w:tcPr>
          <w:p w14:paraId="40E18D5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3637</w:t>
            </w:r>
          </w:p>
        </w:tc>
        <w:tc>
          <w:tcPr>
            <w:tcW w:w="2126" w:type="dxa"/>
          </w:tcPr>
          <w:p w14:paraId="27F9262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1454,78</w:t>
            </w:r>
          </w:p>
        </w:tc>
      </w:tr>
      <w:tr w:rsidR="0053576E" w:rsidRPr="004135FE" w14:paraId="6BBC4E47" w14:textId="77777777" w:rsidTr="00680E37">
        <w:trPr>
          <w:cantSplit/>
          <w:trHeight w:val="227"/>
        </w:trPr>
        <w:tc>
          <w:tcPr>
            <w:tcW w:w="554" w:type="dxa"/>
            <w:vMerge/>
            <w:textDirection w:val="btLr"/>
          </w:tcPr>
          <w:p w14:paraId="5307CCAC"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6D43C8D5"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Бостандыкский</w:t>
            </w:r>
          </w:p>
        </w:tc>
        <w:tc>
          <w:tcPr>
            <w:tcW w:w="1738" w:type="dxa"/>
          </w:tcPr>
          <w:p w14:paraId="5C7C983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3685</w:t>
            </w:r>
          </w:p>
        </w:tc>
        <w:tc>
          <w:tcPr>
            <w:tcW w:w="1823" w:type="dxa"/>
          </w:tcPr>
          <w:p w14:paraId="32E8C4D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1204,30</w:t>
            </w:r>
          </w:p>
        </w:tc>
        <w:tc>
          <w:tcPr>
            <w:tcW w:w="1720" w:type="dxa"/>
          </w:tcPr>
          <w:p w14:paraId="26D4F2F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1094</w:t>
            </w:r>
          </w:p>
        </w:tc>
        <w:tc>
          <w:tcPr>
            <w:tcW w:w="2268" w:type="dxa"/>
          </w:tcPr>
          <w:p w14:paraId="52795BF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357,53</w:t>
            </w:r>
          </w:p>
        </w:tc>
        <w:tc>
          <w:tcPr>
            <w:tcW w:w="1276" w:type="dxa"/>
          </w:tcPr>
          <w:p w14:paraId="14CA376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2591</w:t>
            </w:r>
          </w:p>
        </w:tc>
        <w:tc>
          <w:tcPr>
            <w:tcW w:w="2126" w:type="dxa"/>
          </w:tcPr>
          <w:p w14:paraId="2CBD0D8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846,77</w:t>
            </w:r>
          </w:p>
        </w:tc>
      </w:tr>
      <w:tr w:rsidR="0053576E" w:rsidRPr="004135FE" w14:paraId="25EBE538" w14:textId="77777777" w:rsidTr="00680E37">
        <w:trPr>
          <w:cantSplit/>
          <w:trHeight w:val="227"/>
        </w:trPr>
        <w:tc>
          <w:tcPr>
            <w:tcW w:w="554" w:type="dxa"/>
            <w:vMerge/>
            <w:textDirection w:val="btLr"/>
          </w:tcPr>
          <w:p w14:paraId="3213E504"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4045A198"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Жетысуский</w:t>
            </w:r>
          </w:p>
        </w:tc>
        <w:tc>
          <w:tcPr>
            <w:tcW w:w="1738" w:type="dxa"/>
          </w:tcPr>
          <w:p w14:paraId="4A55279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2320</w:t>
            </w:r>
          </w:p>
        </w:tc>
        <w:tc>
          <w:tcPr>
            <w:tcW w:w="1823" w:type="dxa"/>
          </w:tcPr>
          <w:p w14:paraId="3FDC06B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1523,87</w:t>
            </w:r>
          </w:p>
        </w:tc>
        <w:tc>
          <w:tcPr>
            <w:tcW w:w="1720" w:type="dxa"/>
          </w:tcPr>
          <w:p w14:paraId="76F9C1C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701</w:t>
            </w:r>
          </w:p>
        </w:tc>
        <w:tc>
          <w:tcPr>
            <w:tcW w:w="2268" w:type="dxa"/>
          </w:tcPr>
          <w:p w14:paraId="668B53A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460,45</w:t>
            </w:r>
          </w:p>
        </w:tc>
        <w:tc>
          <w:tcPr>
            <w:tcW w:w="1276" w:type="dxa"/>
          </w:tcPr>
          <w:p w14:paraId="0A14B9E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1619</w:t>
            </w:r>
          </w:p>
        </w:tc>
        <w:tc>
          <w:tcPr>
            <w:tcW w:w="2126" w:type="dxa"/>
          </w:tcPr>
          <w:p w14:paraId="582BDDE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1063,42</w:t>
            </w:r>
          </w:p>
        </w:tc>
      </w:tr>
      <w:tr w:rsidR="0053576E" w:rsidRPr="004135FE" w14:paraId="559DC457" w14:textId="77777777" w:rsidTr="00680E37">
        <w:trPr>
          <w:cantSplit/>
          <w:trHeight w:val="227"/>
        </w:trPr>
        <w:tc>
          <w:tcPr>
            <w:tcW w:w="554" w:type="dxa"/>
            <w:vMerge/>
            <w:textDirection w:val="btLr"/>
          </w:tcPr>
          <w:p w14:paraId="65C55F12"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5FDD2B8D"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Медеуский</w:t>
            </w:r>
          </w:p>
        </w:tc>
        <w:tc>
          <w:tcPr>
            <w:tcW w:w="1738" w:type="dxa"/>
          </w:tcPr>
          <w:p w14:paraId="42DC9D4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2910</w:t>
            </w:r>
          </w:p>
        </w:tc>
        <w:tc>
          <w:tcPr>
            <w:tcW w:w="1823" w:type="dxa"/>
          </w:tcPr>
          <w:p w14:paraId="248AC3E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1677,67</w:t>
            </w:r>
          </w:p>
        </w:tc>
        <w:tc>
          <w:tcPr>
            <w:tcW w:w="1720" w:type="dxa"/>
          </w:tcPr>
          <w:p w14:paraId="7A8B1CB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924</w:t>
            </w:r>
          </w:p>
        </w:tc>
        <w:tc>
          <w:tcPr>
            <w:tcW w:w="2268" w:type="dxa"/>
          </w:tcPr>
          <w:p w14:paraId="45DA36A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532,70</w:t>
            </w:r>
          </w:p>
        </w:tc>
        <w:tc>
          <w:tcPr>
            <w:tcW w:w="1276" w:type="dxa"/>
          </w:tcPr>
          <w:p w14:paraId="5F6EB2B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1986</w:t>
            </w:r>
          </w:p>
        </w:tc>
        <w:tc>
          <w:tcPr>
            <w:tcW w:w="2126" w:type="dxa"/>
          </w:tcPr>
          <w:p w14:paraId="34CA72A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1144,97</w:t>
            </w:r>
          </w:p>
        </w:tc>
      </w:tr>
      <w:tr w:rsidR="0053576E" w:rsidRPr="004135FE" w14:paraId="294FA32C" w14:textId="77777777" w:rsidTr="00680E37">
        <w:trPr>
          <w:cantSplit/>
          <w:trHeight w:val="227"/>
        </w:trPr>
        <w:tc>
          <w:tcPr>
            <w:tcW w:w="554" w:type="dxa"/>
            <w:vMerge/>
            <w:textDirection w:val="btLr"/>
          </w:tcPr>
          <w:p w14:paraId="20821C9E"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3A90992A"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Наурызбайский</w:t>
            </w:r>
          </w:p>
        </w:tc>
        <w:tc>
          <w:tcPr>
            <w:tcW w:w="1738" w:type="dxa"/>
          </w:tcPr>
          <w:p w14:paraId="5850A9D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w:t>
            </w:r>
          </w:p>
        </w:tc>
        <w:tc>
          <w:tcPr>
            <w:tcW w:w="1823" w:type="dxa"/>
          </w:tcPr>
          <w:p w14:paraId="29905ED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w:t>
            </w:r>
          </w:p>
        </w:tc>
        <w:tc>
          <w:tcPr>
            <w:tcW w:w="1720" w:type="dxa"/>
          </w:tcPr>
          <w:p w14:paraId="22925D3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w:t>
            </w:r>
          </w:p>
        </w:tc>
        <w:tc>
          <w:tcPr>
            <w:tcW w:w="2268" w:type="dxa"/>
          </w:tcPr>
          <w:p w14:paraId="640F6A1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w:t>
            </w:r>
          </w:p>
        </w:tc>
        <w:tc>
          <w:tcPr>
            <w:tcW w:w="1276" w:type="dxa"/>
          </w:tcPr>
          <w:p w14:paraId="3E65BD0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w:t>
            </w:r>
          </w:p>
        </w:tc>
        <w:tc>
          <w:tcPr>
            <w:tcW w:w="2126" w:type="dxa"/>
          </w:tcPr>
          <w:p w14:paraId="6011E37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w:t>
            </w:r>
          </w:p>
        </w:tc>
      </w:tr>
      <w:tr w:rsidR="0053576E" w:rsidRPr="004135FE" w14:paraId="719867F8" w14:textId="77777777" w:rsidTr="00680E37">
        <w:trPr>
          <w:cantSplit/>
          <w:trHeight w:val="227"/>
        </w:trPr>
        <w:tc>
          <w:tcPr>
            <w:tcW w:w="554" w:type="dxa"/>
            <w:vMerge/>
            <w:textDirection w:val="btLr"/>
          </w:tcPr>
          <w:p w14:paraId="6F339424"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28C71C05"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Турксибский</w:t>
            </w:r>
          </w:p>
        </w:tc>
        <w:tc>
          <w:tcPr>
            <w:tcW w:w="1738" w:type="dxa"/>
          </w:tcPr>
          <w:p w14:paraId="798AB7D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3168</w:t>
            </w:r>
          </w:p>
        </w:tc>
        <w:tc>
          <w:tcPr>
            <w:tcW w:w="1823" w:type="dxa"/>
          </w:tcPr>
          <w:p w14:paraId="59BCA77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1837,99</w:t>
            </w:r>
          </w:p>
        </w:tc>
        <w:tc>
          <w:tcPr>
            <w:tcW w:w="1720" w:type="dxa"/>
          </w:tcPr>
          <w:p w14:paraId="3572AA0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888</w:t>
            </w:r>
          </w:p>
        </w:tc>
        <w:tc>
          <w:tcPr>
            <w:tcW w:w="2268" w:type="dxa"/>
          </w:tcPr>
          <w:p w14:paraId="0AF2725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515,19</w:t>
            </w:r>
          </w:p>
        </w:tc>
        <w:tc>
          <w:tcPr>
            <w:tcW w:w="1276" w:type="dxa"/>
          </w:tcPr>
          <w:p w14:paraId="12184CB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2280</w:t>
            </w:r>
          </w:p>
        </w:tc>
        <w:tc>
          <w:tcPr>
            <w:tcW w:w="2126" w:type="dxa"/>
          </w:tcPr>
          <w:p w14:paraId="4944DB2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1322,80</w:t>
            </w:r>
          </w:p>
        </w:tc>
      </w:tr>
      <w:tr w:rsidR="0053576E" w:rsidRPr="004135FE" w14:paraId="3AB6F6C6" w14:textId="77777777" w:rsidTr="00680E37">
        <w:trPr>
          <w:cantSplit/>
          <w:trHeight w:val="227"/>
        </w:trPr>
        <w:tc>
          <w:tcPr>
            <w:tcW w:w="554" w:type="dxa"/>
            <w:vMerge/>
            <w:textDirection w:val="btLr"/>
          </w:tcPr>
          <w:p w14:paraId="7ED97825"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77E328BC"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Итого </w:t>
            </w:r>
          </w:p>
        </w:tc>
        <w:tc>
          <w:tcPr>
            <w:tcW w:w="1738" w:type="dxa"/>
          </w:tcPr>
          <w:p w14:paraId="609EB9E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23025</w:t>
            </w:r>
          </w:p>
        </w:tc>
        <w:tc>
          <w:tcPr>
            <w:tcW w:w="1823" w:type="dxa"/>
          </w:tcPr>
          <w:p w14:paraId="444E5AE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1654,95</w:t>
            </w:r>
          </w:p>
        </w:tc>
        <w:tc>
          <w:tcPr>
            <w:tcW w:w="1720" w:type="dxa"/>
          </w:tcPr>
          <w:p w14:paraId="0D036D6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7099</w:t>
            </w:r>
          </w:p>
        </w:tc>
        <w:tc>
          <w:tcPr>
            <w:tcW w:w="2268" w:type="dxa"/>
          </w:tcPr>
          <w:p w14:paraId="5787BA9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510,25</w:t>
            </w:r>
          </w:p>
        </w:tc>
        <w:tc>
          <w:tcPr>
            <w:tcW w:w="1276" w:type="dxa"/>
          </w:tcPr>
          <w:p w14:paraId="0D0E0DF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15926</w:t>
            </w:r>
          </w:p>
        </w:tc>
        <w:tc>
          <w:tcPr>
            <w:tcW w:w="2126" w:type="dxa"/>
          </w:tcPr>
          <w:p w14:paraId="6F3AB82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1144,70</w:t>
            </w:r>
          </w:p>
        </w:tc>
      </w:tr>
      <w:tr w:rsidR="0053576E" w:rsidRPr="004135FE" w14:paraId="7043740C" w14:textId="77777777" w:rsidTr="00680E37">
        <w:trPr>
          <w:cantSplit/>
          <w:trHeight w:val="227"/>
        </w:trPr>
        <w:tc>
          <w:tcPr>
            <w:tcW w:w="554" w:type="dxa"/>
            <w:vMerge w:val="restart"/>
            <w:textDirection w:val="btLr"/>
          </w:tcPr>
          <w:p w14:paraId="1825DEAD"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r w:rsidRPr="004135FE">
              <w:rPr>
                <w:rFonts w:ascii="Times New Roman" w:hAnsi="Times New Roman" w:cs="Times New Roman"/>
                <w:sz w:val="28"/>
                <w:szCs w:val="28"/>
              </w:rPr>
              <w:t>2013 г</w:t>
            </w:r>
          </w:p>
        </w:tc>
        <w:tc>
          <w:tcPr>
            <w:tcW w:w="2098" w:type="dxa"/>
          </w:tcPr>
          <w:p w14:paraId="7FDC5707"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Алмалинский</w:t>
            </w:r>
          </w:p>
        </w:tc>
        <w:tc>
          <w:tcPr>
            <w:tcW w:w="1738" w:type="dxa"/>
          </w:tcPr>
          <w:p w14:paraId="4303B2F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4475</w:t>
            </w:r>
          </w:p>
        </w:tc>
        <w:tc>
          <w:tcPr>
            <w:tcW w:w="1823" w:type="dxa"/>
          </w:tcPr>
          <w:p w14:paraId="7FF648B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2006,70</w:t>
            </w:r>
          </w:p>
        </w:tc>
        <w:tc>
          <w:tcPr>
            <w:tcW w:w="1720" w:type="dxa"/>
          </w:tcPr>
          <w:p w14:paraId="2651305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1433</w:t>
            </w:r>
          </w:p>
        </w:tc>
        <w:tc>
          <w:tcPr>
            <w:tcW w:w="2268" w:type="dxa"/>
          </w:tcPr>
          <w:p w14:paraId="13B722A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642,59</w:t>
            </w:r>
          </w:p>
        </w:tc>
        <w:tc>
          <w:tcPr>
            <w:tcW w:w="1276" w:type="dxa"/>
          </w:tcPr>
          <w:p w14:paraId="73B89C2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3042</w:t>
            </w:r>
          </w:p>
        </w:tc>
        <w:tc>
          <w:tcPr>
            <w:tcW w:w="2126" w:type="dxa"/>
          </w:tcPr>
          <w:p w14:paraId="0C4C902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1364,11</w:t>
            </w:r>
          </w:p>
        </w:tc>
      </w:tr>
      <w:tr w:rsidR="0053576E" w:rsidRPr="004135FE" w14:paraId="0268EAF9" w14:textId="77777777" w:rsidTr="00680E37">
        <w:trPr>
          <w:cantSplit/>
          <w:trHeight w:val="227"/>
        </w:trPr>
        <w:tc>
          <w:tcPr>
            <w:tcW w:w="554" w:type="dxa"/>
            <w:vMerge/>
            <w:textDirection w:val="btLr"/>
          </w:tcPr>
          <w:p w14:paraId="66C7D390"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1B0C2809"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Алатауский</w:t>
            </w:r>
          </w:p>
        </w:tc>
        <w:tc>
          <w:tcPr>
            <w:tcW w:w="1738" w:type="dxa"/>
          </w:tcPr>
          <w:p w14:paraId="3C68AA4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1218</w:t>
            </w:r>
          </w:p>
        </w:tc>
        <w:tc>
          <w:tcPr>
            <w:tcW w:w="1823" w:type="dxa"/>
          </w:tcPr>
          <w:p w14:paraId="16582FF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932,86</w:t>
            </w:r>
          </w:p>
        </w:tc>
        <w:tc>
          <w:tcPr>
            <w:tcW w:w="1720" w:type="dxa"/>
          </w:tcPr>
          <w:p w14:paraId="5034107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444</w:t>
            </w:r>
          </w:p>
        </w:tc>
        <w:tc>
          <w:tcPr>
            <w:tcW w:w="2268" w:type="dxa"/>
          </w:tcPr>
          <w:p w14:paraId="7868458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340,06</w:t>
            </w:r>
          </w:p>
        </w:tc>
        <w:tc>
          <w:tcPr>
            <w:tcW w:w="1276" w:type="dxa"/>
          </w:tcPr>
          <w:p w14:paraId="53400A8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774</w:t>
            </w:r>
          </w:p>
        </w:tc>
        <w:tc>
          <w:tcPr>
            <w:tcW w:w="2126" w:type="dxa"/>
          </w:tcPr>
          <w:p w14:paraId="5AE0F02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592,80</w:t>
            </w:r>
          </w:p>
        </w:tc>
      </w:tr>
      <w:tr w:rsidR="0053576E" w:rsidRPr="004135FE" w14:paraId="2452D2AB" w14:textId="77777777" w:rsidTr="00680E37">
        <w:trPr>
          <w:cantSplit/>
          <w:trHeight w:val="227"/>
        </w:trPr>
        <w:tc>
          <w:tcPr>
            <w:tcW w:w="554" w:type="dxa"/>
            <w:vMerge/>
            <w:textDirection w:val="btLr"/>
          </w:tcPr>
          <w:p w14:paraId="0E0B02CA"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5776B8EE"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Ауэзовский</w:t>
            </w:r>
          </w:p>
        </w:tc>
        <w:tc>
          <w:tcPr>
            <w:tcW w:w="1738" w:type="dxa"/>
          </w:tcPr>
          <w:p w14:paraId="00A1602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5703</w:t>
            </w:r>
          </w:p>
        </w:tc>
        <w:tc>
          <w:tcPr>
            <w:tcW w:w="1823" w:type="dxa"/>
          </w:tcPr>
          <w:p w14:paraId="49F1610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2311,38</w:t>
            </w:r>
          </w:p>
        </w:tc>
        <w:tc>
          <w:tcPr>
            <w:tcW w:w="1720" w:type="dxa"/>
          </w:tcPr>
          <w:p w14:paraId="4C24F6C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1757</w:t>
            </w:r>
          </w:p>
        </w:tc>
        <w:tc>
          <w:tcPr>
            <w:tcW w:w="2268" w:type="dxa"/>
          </w:tcPr>
          <w:p w14:paraId="411B36E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712,10</w:t>
            </w:r>
          </w:p>
        </w:tc>
        <w:tc>
          <w:tcPr>
            <w:tcW w:w="1276" w:type="dxa"/>
          </w:tcPr>
          <w:p w14:paraId="4C16589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3946</w:t>
            </w:r>
          </w:p>
        </w:tc>
        <w:tc>
          <w:tcPr>
            <w:tcW w:w="2126" w:type="dxa"/>
          </w:tcPr>
          <w:p w14:paraId="105191C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1599,28</w:t>
            </w:r>
          </w:p>
        </w:tc>
      </w:tr>
      <w:tr w:rsidR="0053576E" w:rsidRPr="004135FE" w14:paraId="34B9DBAD" w14:textId="77777777" w:rsidTr="00680E37">
        <w:trPr>
          <w:cantSplit/>
          <w:trHeight w:val="227"/>
        </w:trPr>
        <w:tc>
          <w:tcPr>
            <w:tcW w:w="554" w:type="dxa"/>
            <w:vMerge/>
            <w:textDirection w:val="btLr"/>
          </w:tcPr>
          <w:p w14:paraId="1868AD42"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02CB8D3B"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Бостандыкский</w:t>
            </w:r>
          </w:p>
        </w:tc>
        <w:tc>
          <w:tcPr>
            <w:tcW w:w="1738" w:type="dxa"/>
          </w:tcPr>
          <w:p w14:paraId="55F5B22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3985</w:t>
            </w:r>
          </w:p>
        </w:tc>
        <w:tc>
          <w:tcPr>
            <w:tcW w:w="1823" w:type="dxa"/>
          </w:tcPr>
          <w:p w14:paraId="4DC051F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1335,16</w:t>
            </w:r>
          </w:p>
        </w:tc>
        <w:tc>
          <w:tcPr>
            <w:tcW w:w="1720" w:type="dxa"/>
          </w:tcPr>
          <w:p w14:paraId="661572B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1224</w:t>
            </w:r>
          </w:p>
        </w:tc>
        <w:tc>
          <w:tcPr>
            <w:tcW w:w="2268" w:type="dxa"/>
          </w:tcPr>
          <w:p w14:paraId="5FDF4F6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410,10</w:t>
            </w:r>
          </w:p>
        </w:tc>
        <w:tc>
          <w:tcPr>
            <w:tcW w:w="1276" w:type="dxa"/>
          </w:tcPr>
          <w:p w14:paraId="14F598E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2761</w:t>
            </w:r>
          </w:p>
        </w:tc>
        <w:tc>
          <w:tcPr>
            <w:tcW w:w="2126" w:type="dxa"/>
          </w:tcPr>
          <w:p w14:paraId="2CF7AD2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925,07</w:t>
            </w:r>
          </w:p>
        </w:tc>
      </w:tr>
      <w:tr w:rsidR="0053576E" w:rsidRPr="004135FE" w14:paraId="173A5C45" w14:textId="77777777" w:rsidTr="00680E37">
        <w:trPr>
          <w:cantSplit/>
          <w:trHeight w:val="227"/>
        </w:trPr>
        <w:tc>
          <w:tcPr>
            <w:tcW w:w="554" w:type="dxa"/>
            <w:vMerge/>
            <w:textDirection w:val="btLr"/>
          </w:tcPr>
          <w:p w14:paraId="592D4C05"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39CA434B"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Жетысуский</w:t>
            </w:r>
          </w:p>
        </w:tc>
        <w:tc>
          <w:tcPr>
            <w:tcW w:w="1738" w:type="dxa"/>
          </w:tcPr>
          <w:p w14:paraId="1F84682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2616</w:t>
            </w:r>
          </w:p>
        </w:tc>
        <w:tc>
          <w:tcPr>
            <w:tcW w:w="1823" w:type="dxa"/>
          </w:tcPr>
          <w:p w14:paraId="359CFDE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1729,50</w:t>
            </w:r>
          </w:p>
        </w:tc>
        <w:tc>
          <w:tcPr>
            <w:tcW w:w="1720" w:type="dxa"/>
          </w:tcPr>
          <w:p w14:paraId="62C48CC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786</w:t>
            </w:r>
          </w:p>
        </w:tc>
        <w:tc>
          <w:tcPr>
            <w:tcW w:w="2268" w:type="dxa"/>
          </w:tcPr>
          <w:p w14:paraId="2959D20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519,64</w:t>
            </w:r>
          </w:p>
        </w:tc>
        <w:tc>
          <w:tcPr>
            <w:tcW w:w="1276" w:type="dxa"/>
          </w:tcPr>
          <w:p w14:paraId="75DA928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1830</w:t>
            </w:r>
          </w:p>
        </w:tc>
        <w:tc>
          <w:tcPr>
            <w:tcW w:w="2126" w:type="dxa"/>
          </w:tcPr>
          <w:p w14:paraId="5D3361C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1209,85</w:t>
            </w:r>
          </w:p>
        </w:tc>
      </w:tr>
      <w:tr w:rsidR="0053576E" w:rsidRPr="004135FE" w14:paraId="4AC747B9" w14:textId="77777777" w:rsidTr="00680E37">
        <w:trPr>
          <w:cantSplit/>
          <w:trHeight w:val="227"/>
        </w:trPr>
        <w:tc>
          <w:tcPr>
            <w:tcW w:w="554" w:type="dxa"/>
            <w:vMerge/>
            <w:textDirection w:val="btLr"/>
          </w:tcPr>
          <w:p w14:paraId="34F28228"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5678101F"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Медеуский</w:t>
            </w:r>
          </w:p>
        </w:tc>
        <w:tc>
          <w:tcPr>
            <w:tcW w:w="1738" w:type="dxa"/>
          </w:tcPr>
          <w:p w14:paraId="570F5C1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3227</w:t>
            </w:r>
          </w:p>
        </w:tc>
        <w:tc>
          <w:tcPr>
            <w:tcW w:w="1823" w:type="dxa"/>
          </w:tcPr>
          <w:p w14:paraId="034BB3B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1818,06</w:t>
            </w:r>
          </w:p>
        </w:tc>
        <w:tc>
          <w:tcPr>
            <w:tcW w:w="1720" w:type="dxa"/>
          </w:tcPr>
          <w:p w14:paraId="0A3B696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1064</w:t>
            </w:r>
          </w:p>
        </w:tc>
        <w:tc>
          <w:tcPr>
            <w:tcW w:w="2268" w:type="dxa"/>
          </w:tcPr>
          <w:p w14:paraId="24464A3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599,45</w:t>
            </w:r>
          </w:p>
        </w:tc>
        <w:tc>
          <w:tcPr>
            <w:tcW w:w="1276" w:type="dxa"/>
          </w:tcPr>
          <w:p w14:paraId="3798FAC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2163</w:t>
            </w:r>
          </w:p>
        </w:tc>
        <w:tc>
          <w:tcPr>
            <w:tcW w:w="2126" w:type="dxa"/>
          </w:tcPr>
          <w:p w14:paraId="02D89B3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1218,61</w:t>
            </w:r>
          </w:p>
        </w:tc>
      </w:tr>
      <w:tr w:rsidR="0053576E" w:rsidRPr="004135FE" w14:paraId="438A1F50" w14:textId="77777777" w:rsidTr="00680E37">
        <w:trPr>
          <w:cantSplit/>
          <w:trHeight w:val="227"/>
        </w:trPr>
        <w:tc>
          <w:tcPr>
            <w:tcW w:w="554" w:type="dxa"/>
            <w:vMerge/>
            <w:textDirection w:val="btLr"/>
          </w:tcPr>
          <w:p w14:paraId="5A176DA2"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4FD5C022"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Наурызбайский</w:t>
            </w:r>
          </w:p>
        </w:tc>
        <w:tc>
          <w:tcPr>
            <w:tcW w:w="1738" w:type="dxa"/>
          </w:tcPr>
          <w:p w14:paraId="5638C1D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w:t>
            </w:r>
          </w:p>
        </w:tc>
        <w:tc>
          <w:tcPr>
            <w:tcW w:w="1823" w:type="dxa"/>
          </w:tcPr>
          <w:p w14:paraId="5A71987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 </w:t>
            </w:r>
          </w:p>
        </w:tc>
        <w:tc>
          <w:tcPr>
            <w:tcW w:w="1720" w:type="dxa"/>
          </w:tcPr>
          <w:p w14:paraId="52F2157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2268" w:type="dxa"/>
          </w:tcPr>
          <w:p w14:paraId="2C2F78F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276" w:type="dxa"/>
          </w:tcPr>
          <w:p w14:paraId="343F53D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2126" w:type="dxa"/>
          </w:tcPr>
          <w:p w14:paraId="7C7F87D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r>
      <w:tr w:rsidR="0053576E" w:rsidRPr="004135FE" w14:paraId="23883D2D" w14:textId="77777777" w:rsidTr="00680E37">
        <w:trPr>
          <w:cantSplit/>
          <w:trHeight w:val="227"/>
        </w:trPr>
        <w:tc>
          <w:tcPr>
            <w:tcW w:w="554" w:type="dxa"/>
            <w:vMerge/>
            <w:textDirection w:val="btLr"/>
          </w:tcPr>
          <w:p w14:paraId="24E01781"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43F288BA"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Турксибский</w:t>
            </w:r>
          </w:p>
        </w:tc>
        <w:tc>
          <w:tcPr>
            <w:tcW w:w="1738" w:type="dxa"/>
          </w:tcPr>
          <w:p w14:paraId="4A7431B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3296</w:t>
            </w:r>
          </w:p>
        </w:tc>
        <w:tc>
          <w:tcPr>
            <w:tcW w:w="1823" w:type="dxa"/>
          </w:tcPr>
          <w:p w14:paraId="66A52E9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1765,10</w:t>
            </w:r>
          </w:p>
        </w:tc>
        <w:tc>
          <w:tcPr>
            <w:tcW w:w="1720" w:type="dxa"/>
          </w:tcPr>
          <w:p w14:paraId="69FA797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926</w:t>
            </w:r>
          </w:p>
        </w:tc>
        <w:tc>
          <w:tcPr>
            <w:tcW w:w="2268" w:type="dxa"/>
          </w:tcPr>
          <w:p w14:paraId="491336D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495,90</w:t>
            </w:r>
          </w:p>
        </w:tc>
        <w:tc>
          <w:tcPr>
            <w:tcW w:w="1276" w:type="dxa"/>
          </w:tcPr>
          <w:p w14:paraId="012C3AD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2370</w:t>
            </w:r>
          </w:p>
        </w:tc>
        <w:tc>
          <w:tcPr>
            <w:tcW w:w="2126" w:type="dxa"/>
          </w:tcPr>
          <w:p w14:paraId="18DAF8D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1269,20</w:t>
            </w:r>
          </w:p>
        </w:tc>
      </w:tr>
      <w:tr w:rsidR="0053576E" w:rsidRPr="004135FE" w14:paraId="4446157A" w14:textId="77777777" w:rsidTr="00680E37">
        <w:trPr>
          <w:cantSplit/>
          <w:trHeight w:val="227"/>
        </w:trPr>
        <w:tc>
          <w:tcPr>
            <w:tcW w:w="554" w:type="dxa"/>
            <w:vMerge/>
            <w:textDirection w:val="btLr"/>
          </w:tcPr>
          <w:p w14:paraId="3C9F9EC2"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529A4B89"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Итого </w:t>
            </w:r>
          </w:p>
        </w:tc>
        <w:tc>
          <w:tcPr>
            <w:tcW w:w="1738" w:type="dxa"/>
          </w:tcPr>
          <w:p w14:paraId="04509AD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24520</w:t>
            </w:r>
          </w:p>
        </w:tc>
        <w:tc>
          <w:tcPr>
            <w:tcW w:w="1823" w:type="dxa"/>
          </w:tcPr>
          <w:p w14:paraId="2350FC4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1733,77</w:t>
            </w:r>
          </w:p>
        </w:tc>
        <w:tc>
          <w:tcPr>
            <w:tcW w:w="1720" w:type="dxa"/>
          </w:tcPr>
          <w:p w14:paraId="74EBF9C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7634</w:t>
            </w:r>
          </w:p>
        </w:tc>
        <w:tc>
          <w:tcPr>
            <w:tcW w:w="2268" w:type="dxa"/>
          </w:tcPr>
          <w:p w14:paraId="1BDA1F0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539,79</w:t>
            </w:r>
          </w:p>
        </w:tc>
        <w:tc>
          <w:tcPr>
            <w:tcW w:w="1276" w:type="dxa"/>
          </w:tcPr>
          <w:p w14:paraId="19E56AB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16886</w:t>
            </w:r>
          </w:p>
        </w:tc>
        <w:tc>
          <w:tcPr>
            <w:tcW w:w="2126" w:type="dxa"/>
          </w:tcPr>
          <w:p w14:paraId="113BF58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1193,98</w:t>
            </w:r>
          </w:p>
        </w:tc>
      </w:tr>
      <w:tr w:rsidR="0053576E" w:rsidRPr="004135FE" w14:paraId="11F0F12D" w14:textId="77777777" w:rsidTr="00680E37">
        <w:trPr>
          <w:cantSplit/>
          <w:trHeight w:val="227"/>
        </w:trPr>
        <w:tc>
          <w:tcPr>
            <w:tcW w:w="554" w:type="dxa"/>
            <w:vMerge w:val="restart"/>
            <w:textDirection w:val="btLr"/>
          </w:tcPr>
          <w:p w14:paraId="4FB2CB53"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r w:rsidRPr="004135FE">
              <w:rPr>
                <w:rFonts w:ascii="Times New Roman" w:hAnsi="Times New Roman" w:cs="Times New Roman"/>
                <w:sz w:val="28"/>
                <w:szCs w:val="28"/>
              </w:rPr>
              <w:t>2014 г</w:t>
            </w:r>
          </w:p>
        </w:tc>
        <w:tc>
          <w:tcPr>
            <w:tcW w:w="2098" w:type="dxa"/>
          </w:tcPr>
          <w:p w14:paraId="192F1F79"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Алмалинский</w:t>
            </w:r>
          </w:p>
        </w:tc>
        <w:tc>
          <w:tcPr>
            <w:tcW w:w="1738" w:type="dxa"/>
          </w:tcPr>
          <w:p w14:paraId="3FD7232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4096</w:t>
            </w:r>
          </w:p>
        </w:tc>
        <w:tc>
          <w:tcPr>
            <w:tcW w:w="1823" w:type="dxa"/>
          </w:tcPr>
          <w:p w14:paraId="3B6C398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1737,28</w:t>
            </w:r>
          </w:p>
        </w:tc>
        <w:tc>
          <w:tcPr>
            <w:tcW w:w="1720" w:type="dxa"/>
          </w:tcPr>
          <w:p w14:paraId="41E6D56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1330</w:t>
            </w:r>
          </w:p>
        </w:tc>
        <w:tc>
          <w:tcPr>
            <w:tcW w:w="2268" w:type="dxa"/>
          </w:tcPr>
          <w:p w14:paraId="4F953AC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564,11</w:t>
            </w:r>
          </w:p>
        </w:tc>
        <w:tc>
          <w:tcPr>
            <w:tcW w:w="1276" w:type="dxa"/>
          </w:tcPr>
          <w:p w14:paraId="2AFC381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2766</w:t>
            </w:r>
          </w:p>
        </w:tc>
        <w:tc>
          <w:tcPr>
            <w:tcW w:w="2126" w:type="dxa"/>
          </w:tcPr>
          <w:p w14:paraId="2900776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1173,17</w:t>
            </w:r>
          </w:p>
        </w:tc>
      </w:tr>
      <w:tr w:rsidR="0053576E" w:rsidRPr="004135FE" w14:paraId="76CC7FF2" w14:textId="77777777" w:rsidTr="00680E37">
        <w:trPr>
          <w:cantSplit/>
          <w:trHeight w:val="227"/>
        </w:trPr>
        <w:tc>
          <w:tcPr>
            <w:tcW w:w="554" w:type="dxa"/>
            <w:vMerge/>
            <w:textDirection w:val="btLr"/>
          </w:tcPr>
          <w:p w14:paraId="63610783"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1C6A2753"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Алатауский</w:t>
            </w:r>
          </w:p>
        </w:tc>
        <w:tc>
          <w:tcPr>
            <w:tcW w:w="1738" w:type="dxa"/>
          </w:tcPr>
          <w:p w14:paraId="2F7362D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1474</w:t>
            </w:r>
          </w:p>
        </w:tc>
        <w:tc>
          <w:tcPr>
            <w:tcW w:w="1823" w:type="dxa"/>
          </w:tcPr>
          <w:p w14:paraId="78A4653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933,60</w:t>
            </w:r>
          </w:p>
        </w:tc>
        <w:tc>
          <w:tcPr>
            <w:tcW w:w="1720" w:type="dxa"/>
          </w:tcPr>
          <w:p w14:paraId="55CCD4C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546</w:t>
            </w:r>
          </w:p>
        </w:tc>
        <w:tc>
          <w:tcPr>
            <w:tcW w:w="2268" w:type="dxa"/>
          </w:tcPr>
          <w:p w14:paraId="2E0B239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345,83</w:t>
            </w:r>
          </w:p>
        </w:tc>
        <w:tc>
          <w:tcPr>
            <w:tcW w:w="1276" w:type="dxa"/>
          </w:tcPr>
          <w:p w14:paraId="7C604CA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928</w:t>
            </w:r>
          </w:p>
        </w:tc>
        <w:tc>
          <w:tcPr>
            <w:tcW w:w="2126" w:type="dxa"/>
          </w:tcPr>
          <w:p w14:paraId="1568F6B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587,78</w:t>
            </w:r>
          </w:p>
        </w:tc>
      </w:tr>
      <w:tr w:rsidR="0053576E" w:rsidRPr="004135FE" w14:paraId="48E799AA" w14:textId="77777777" w:rsidTr="00680E37">
        <w:trPr>
          <w:cantSplit/>
          <w:trHeight w:val="227"/>
        </w:trPr>
        <w:tc>
          <w:tcPr>
            <w:tcW w:w="554" w:type="dxa"/>
            <w:vMerge/>
            <w:textDirection w:val="btLr"/>
          </w:tcPr>
          <w:p w14:paraId="1E556818"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4D8719E3"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Ауэзовский</w:t>
            </w:r>
          </w:p>
        </w:tc>
        <w:tc>
          <w:tcPr>
            <w:tcW w:w="1738" w:type="dxa"/>
          </w:tcPr>
          <w:p w14:paraId="52F90A0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6062</w:t>
            </w:r>
          </w:p>
        </w:tc>
        <w:tc>
          <w:tcPr>
            <w:tcW w:w="1823" w:type="dxa"/>
          </w:tcPr>
          <w:p w14:paraId="3701C1D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2111,82</w:t>
            </w:r>
          </w:p>
        </w:tc>
        <w:tc>
          <w:tcPr>
            <w:tcW w:w="1720" w:type="dxa"/>
          </w:tcPr>
          <w:p w14:paraId="59757FF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1873</w:t>
            </w:r>
          </w:p>
        </w:tc>
        <w:tc>
          <w:tcPr>
            <w:tcW w:w="2268" w:type="dxa"/>
          </w:tcPr>
          <w:p w14:paraId="0BBBD99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652,50</w:t>
            </w:r>
          </w:p>
        </w:tc>
        <w:tc>
          <w:tcPr>
            <w:tcW w:w="1276" w:type="dxa"/>
          </w:tcPr>
          <w:p w14:paraId="40963C2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4189</w:t>
            </w:r>
          </w:p>
        </w:tc>
        <w:tc>
          <w:tcPr>
            <w:tcW w:w="2126" w:type="dxa"/>
          </w:tcPr>
          <w:p w14:paraId="5E8FACD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1459,32</w:t>
            </w:r>
          </w:p>
        </w:tc>
      </w:tr>
      <w:tr w:rsidR="0053576E" w:rsidRPr="004135FE" w14:paraId="0CC5B2CB" w14:textId="77777777" w:rsidTr="00680E37">
        <w:trPr>
          <w:cantSplit/>
          <w:trHeight w:val="227"/>
        </w:trPr>
        <w:tc>
          <w:tcPr>
            <w:tcW w:w="554" w:type="dxa"/>
            <w:vMerge/>
            <w:textDirection w:val="btLr"/>
          </w:tcPr>
          <w:p w14:paraId="77FEE080"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07F7953A"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Бостандыкский</w:t>
            </w:r>
          </w:p>
        </w:tc>
        <w:tc>
          <w:tcPr>
            <w:tcW w:w="1738" w:type="dxa"/>
          </w:tcPr>
          <w:p w14:paraId="402475F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4337</w:t>
            </w:r>
          </w:p>
        </w:tc>
        <w:tc>
          <w:tcPr>
            <w:tcW w:w="1823" w:type="dxa"/>
          </w:tcPr>
          <w:p w14:paraId="51CE386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1254,49</w:t>
            </w:r>
          </w:p>
        </w:tc>
        <w:tc>
          <w:tcPr>
            <w:tcW w:w="1720" w:type="dxa"/>
          </w:tcPr>
          <w:p w14:paraId="6F57BA8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1358</w:t>
            </w:r>
          </w:p>
        </w:tc>
        <w:tc>
          <w:tcPr>
            <w:tcW w:w="2268" w:type="dxa"/>
          </w:tcPr>
          <w:p w14:paraId="139C0D2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392,81</w:t>
            </w:r>
          </w:p>
        </w:tc>
        <w:tc>
          <w:tcPr>
            <w:tcW w:w="1276" w:type="dxa"/>
          </w:tcPr>
          <w:p w14:paraId="64B1AD3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2979</w:t>
            </w:r>
          </w:p>
        </w:tc>
        <w:tc>
          <w:tcPr>
            <w:tcW w:w="2126" w:type="dxa"/>
          </w:tcPr>
          <w:p w14:paraId="0F500B1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861,68</w:t>
            </w:r>
          </w:p>
        </w:tc>
      </w:tr>
      <w:tr w:rsidR="0053576E" w:rsidRPr="004135FE" w14:paraId="01DE1D1C" w14:textId="77777777" w:rsidTr="00680E37">
        <w:trPr>
          <w:cantSplit/>
          <w:trHeight w:val="227"/>
        </w:trPr>
        <w:tc>
          <w:tcPr>
            <w:tcW w:w="554" w:type="dxa"/>
            <w:vMerge/>
            <w:textDirection w:val="btLr"/>
          </w:tcPr>
          <w:p w14:paraId="1768D5E3"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2BE22B86"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Жетысуский</w:t>
            </w:r>
          </w:p>
        </w:tc>
        <w:tc>
          <w:tcPr>
            <w:tcW w:w="1738" w:type="dxa"/>
          </w:tcPr>
          <w:p w14:paraId="1EAC872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3145</w:t>
            </w:r>
          </w:p>
        </w:tc>
        <w:tc>
          <w:tcPr>
            <w:tcW w:w="1823" w:type="dxa"/>
          </w:tcPr>
          <w:p w14:paraId="5BC9A3F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1912,67</w:t>
            </w:r>
          </w:p>
        </w:tc>
        <w:tc>
          <w:tcPr>
            <w:tcW w:w="1720" w:type="dxa"/>
          </w:tcPr>
          <w:p w14:paraId="61A4B29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964</w:t>
            </w:r>
          </w:p>
        </w:tc>
        <w:tc>
          <w:tcPr>
            <w:tcW w:w="2268" w:type="dxa"/>
          </w:tcPr>
          <w:p w14:paraId="066445F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586,27</w:t>
            </w:r>
          </w:p>
        </w:tc>
        <w:tc>
          <w:tcPr>
            <w:tcW w:w="1276" w:type="dxa"/>
          </w:tcPr>
          <w:p w14:paraId="4FDCD8E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2181</w:t>
            </w:r>
          </w:p>
        </w:tc>
        <w:tc>
          <w:tcPr>
            <w:tcW w:w="2126" w:type="dxa"/>
          </w:tcPr>
          <w:p w14:paraId="667A6E1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1326,40</w:t>
            </w:r>
          </w:p>
        </w:tc>
      </w:tr>
      <w:tr w:rsidR="0053576E" w:rsidRPr="004135FE" w14:paraId="727A672E" w14:textId="77777777" w:rsidTr="00680E37">
        <w:trPr>
          <w:cantSplit/>
          <w:trHeight w:val="227"/>
        </w:trPr>
        <w:tc>
          <w:tcPr>
            <w:tcW w:w="554" w:type="dxa"/>
            <w:vMerge/>
            <w:textDirection w:val="btLr"/>
          </w:tcPr>
          <w:p w14:paraId="410F69DA"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075CB042"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Медеуский</w:t>
            </w:r>
          </w:p>
        </w:tc>
        <w:tc>
          <w:tcPr>
            <w:tcW w:w="1738" w:type="dxa"/>
          </w:tcPr>
          <w:p w14:paraId="09E2993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3387</w:t>
            </w:r>
          </w:p>
        </w:tc>
        <w:tc>
          <w:tcPr>
            <w:tcW w:w="1823" w:type="dxa"/>
          </w:tcPr>
          <w:p w14:paraId="551C802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1810,26</w:t>
            </w:r>
          </w:p>
        </w:tc>
        <w:tc>
          <w:tcPr>
            <w:tcW w:w="1720" w:type="dxa"/>
          </w:tcPr>
          <w:p w14:paraId="416D930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1128</w:t>
            </w:r>
          </w:p>
        </w:tc>
        <w:tc>
          <w:tcPr>
            <w:tcW w:w="2268" w:type="dxa"/>
          </w:tcPr>
          <w:p w14:paraId="23AEC0E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602,89</w:t>
            </w:r>
          </w:p>
        </w:tc>
        <w:tc>
          <w:tcPr>
            <w:tcW w:w="1276" w:type="dxa"/>
          </w:tcPr>
          <w:p w14:paraId="022BF2D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2259</w:t>
            </w:r>
          </w:p>
        </w:tc>
        <w:tc>
          <w:tcPr>
            <w:tcW w:w="2126" w:type="dxa"/>
          </w:tcPr>
          <w:p w14:paraId="6B107C3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1207,38</w:t>
            </w:r>
          </w:p>
        </w:tc>
      </w:tr>
      <w:tr w:rsidR="0053576E" w:rsidRPr="004135FE" w14:paraId="3F1EC2B6" w14:textId="77777777" w:rsidTr="00680E37">
        <w:trPr>
          <w:cantSplit/>
          <w:trHeight w:val="227"/>
        </w:trPr>
        <w:tc>
          <w:tcPr>
            <w:tcW w:w="554" w:type="dxa"/>
            <w:vMerge/>
            <w:textDirection w:val="btLr"/>
          </w:tcPr>
          <w:p w14:paraId="5CD543C6"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7C95EAB4"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Наурызбайский</w:t>
            </w:r>
          </w:p>
        </w:tc>
        <w:tc>
          <w:tcPr>
            <w:tcW w:w="1738" w:type="dxa"/>
          </w:tcPr>
          <w:p w14:paraId="1E59EB3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w:t>
            </w:r>
          </w:p>
        </w:tc>
        <w:tc>
          <w:tcPr>
            <w:tcW w:w="1823" w:type="dxa"/>
          </w:tcPr>
          <w:p w14:paraId="7AA0443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 </w:t>
            </w:r>
          </w:p>
        </w:tc>
        <w:tc>
          <w:tcPr>
            <w:tcW w:w="1720" w:type="dxa"/>
          </w:tcPr>
          <w:p w14:paraId="7165B92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2268" w:type="dxa"/>
          </w:tcPr>
          <w:p w14:paraId="667D495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276" w:type="dxa"/>
          </w:tcPr>
          <w:p w14:paraId="6F725FC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2126" w:type="dxa"/>
          </w:tcPr>
          <w:p w14:paraId="11D1F7D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r>
    </w:tbl>
    <w:p w14:paraId="70F96B5F" w14:textId="7477F113" w:rsidR="00680E37" w:rsidRPr="00680E37" w:rsidRDefault="00680E37">
      <w:pPr>
        <w:rPr>
          <w:rFonts w:ascii="Times New Roman" w:eastAsia="Times New Roman" w:hAnsi="Times New Roman" w:cs="Times New Roman"/>
          <w:sz w:val="28"/>
          <w:szCs w:val="28"/>
        </w:rPr>
      </w:pPr>
      <w:r w:rsidRPr="00680E37">
        <w:rPr>
          <w:rFonts w:ascii="Times New Roman" w:eastAsia="Times New Roman" w:hAnsi="Times New Roman" w:cs="Times New Roman"/>
          <w:sz w:val="28"/>
          <w:szCs w:val="28"/>
        </w:rPr>
        <w:t>Продолжение таблицы А5</w:t>
      </w:r>
    </w:p>
    <w:tbl>
      <w:tblPr>
        <w:tblStyle w:val="a5"/>
        <w:tblW w:w="13603" w:type="dxa"/>
        <w:tblLook w:val="04A0" w:firstRow="1" w:lastRow="0" w:firstColumn="1" w:lastColumn="0" w:noHBand="0" w:noVBand="1"/>
      </w:tblPr>
      <w:tblGrid>
        <w:gridCol w:w="554"/>
        <w:gridCol w:w="2098"/>
        <w:gridCol w:w="1738"/>
        <w:gridCol w:w="1823"/>
        <w:gridCol w:w="1720"/>
        <w:gridCol w:w="2268"/>
        <w:gridCol w:w="1276"/>
        <w:gridCol w:w="2126"/>
      </w:tblGrid>
      <w:tr w:rsidR="0053576E" w:rsidRPr="004135FE" w14:paraId="076CEE31" w14:textId="77777777" w:rsidTr="00680E37">
        <w:trPr>
          <w:cantSplit/>
          <w:trHeight w:val="227"/>
        </w:trPr>
        <w:tc>
          <w:tcPr>
            <w:tcW w:w="554" w:type="dxa"/>
            <w:vMerge w:val="restart"/>
            <w:textDirection w:val="btLr"/>
          </w:tcPr>
          <w:p w14:paraId="1A208966"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6D43DA41"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Турксибский</w:t>
            </w:r>
          </w:p>
        </w:tc>
        <w:tc>
          <w:tcPr>
            <w:tcW w:w="1738" w:type="dxa"/>
          </w:tcPr>
          <w:p w14:paraId="5F18E56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3543</w:t>
            </w:r>
          </w:p>
        </w:tc>
        <w:tc>
          <w:tcPr>
            <w:tcW w:w="1823" w:type="dxa"/>
          </w:tcPr>
          <w:p w14:paraId="5925689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1718,75</w:t>
            </w:r>
          </w:p>
        </w:tc>
        <w:tc>
          <w:tcPr>
            <w:tcW w:w="1720" w:type="dxa"/>
          </w:tcPr>
          <w:p w14:paraId="0B29A62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1005</w:t>
            </w:r>
          </w:p>
        </w:tc>
        <w:tc>
          <w:tcPr>
            <w:tcW w:w="2268" w:type="dxa"/>
          </w:tcPr>
          <w:p w14:paraId="57D8A67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487,54</w:t>
            </w:r>
          </w:p>
        </w:tc>
        <w:tc>
          <w:tcPr>
            <w:tcW w:w="1276" w:type="dxa"/>
          </w:tcPr>
          <w:p w14:paraId="2D783F0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2538</w:t>
            </w:r>
          </w:p>
        </w:tc>
        <w:tc>
          <w:tcPr>
            <w:tcW w:w="2126" w:type="dxa"/>
          </w:tcPr>
          <w:p w14:paraId="7917217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1231,21</w:t>
            </w:r>
          </w:p>
        </w:tc>
      </w:tr>
      <w:tr w:rsidR="0053576E" w:rsidRPr="004135FE" w14:paraId="0318152A" w14:textId="77777777" w:rsidTr="00680E37">
        <w:trPr>
          <w:cantSplit/>
          <w:trHeight w:val="227"/>
        </w:trPr>
        <w:tc>
          <w:tcPr>
            <w:tcW w:w="554" w:type="dxa"/>
            <w:vMerge/>
            <w:textDirection w:val="btLr"/>
          </w:tcPr>
          <w:p w14:paraId="78FA7463"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3B4FE8B6"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Итого </w:t>
            </w:r>
          </w:p>
        </w:tc>
        <w:tc>
          <w:tcPr>
            <w:tcW w:w="1738" w:type="dxa"/>
          </w:tcPr>
          <w:p w14:paraId="039F539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26044</w:t>
            </w:r>
          </w:p>
        </w:tc>
        <w:tc>
          <w:tcPr>
            <w:tcW w:w="1823" w:type="dxa"/>
          </w:tcPr>
          <w:p w14:paraId="125616D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1644,10</w:t>
            </w:r>
          </w:p>
        </w:tc>
        <w:tc>
          <w:tcPr>
            <w:tcW w:w="1720" w:type="dxa"/>
          </w:tcPr>
          <w:p w14:paraId="0BB78AF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8204</w:t>
            </w:r>
          </w:p>
        </w:tc>
        <w:tc>
          <w:tcPr>
            <w:tcW w:w="2268" w:type="dxa"/>
          </w:tcPr>
          <w:p w14:paraId="1B5B743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517,90</w:t>
            </w:r>
          </w:p>
        </w:tc>
        <w:tc>
          <w:tcPr>
            <w:tcW w:w="1276" w:type="dxa"/>
          </w:tcPr>
          <w:p w14:paraId="1E86EC5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17840</w:t>
            </w:r>
          </w:p>
        </w:tc>
        <w:tc>
          <w:tcPr>
            <w:tcW w:w="2126" w:type="dxa"/>
          </w:tcPr>
          <w:p w14:paraId="3926084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1126,20</w:t>
            </w:r>
          </w:p>
        </w:tc>
      </w:tr>
      <w:tr w:rsidR="0053576E" w:rsidRPr="004135FE" w14:paraId="0098BD9C" w14:textId="77777777" w:rsidTr="00680E37">
        <w:trPr>
          <w:cantSplit/>
          <w:trHeight w:val="227"/>
        </w:trPr>
        <w:tc>
          <w:tcPr>
            <w:tcW w:w="554" w:type="dxa"/>
            <w:vMerge w:val="restart"/>
            <w:textDirection w:val="btLr"/>
          </w:tcPr>
          <w:p w14:paraId="4DF0946B"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r w:rsidRPr="004135FE">
              <w:rPr>
                <w:rFonts w:ascii="Times New Roman" w:hAnsi="Times New Roman" w:cs="Times New Roman"/>
                <w:sz w:val="28"/>
                <w:szCs w:val="28"/>
              </w:rPr>
              <w:t>2015 г</w:t>
            </w:r>
          </w:p>
        </w:tc>
        <w:tc>
          <w:tcPr>
            <w:tcW w:w="2098" w:type="dxa"/>
          </w:tcPr>
          <w:p w14:paraId="217AB480"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Алмалинский</w:t>
            </w:r>
          </w:p>
        </w:tc>
        <w:tc>
          <w:tcPr>
            <w:tcW w:w="1738" w:type="dxa"/>
          </w:tcPr>
          <w:p w14:paraId="7B6B64F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4054</w:t>
            </w:r>
          </w:p>
        </w:tc>
        <w:tc>
          <w:tcPr>
            <w:tcW w:w="1823" w:type="dxa"/>
          </w:tcPr>
          <w:p w14:paraId="620E63F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1656,34</w:t>
            </w:r>
          </w:p>
        </w:tc>
        <w:tc>
          <w:tcPr>
            <w:tcW w:w="1720" w:type="dxa"/>
          </w:tcPr>
          <w:p w14:paraId="5D1D4EE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1308</w:t>
            </w:r>
          </w:p>
        </w:tc>
        <w:tc>
          <w:tcPr>
            <w:tcW w:w="2268" w:type="dxa"/>
          </w:tcPr>
          <w:p w14:paraId="48689D6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534,41</w:t>
            </w:r>
          </w:p>
        </w:tc>
        <w:tc>
          <w:tcPr>
            <w:tcW w:w="1276" w:type="dxa"/>
          </w:tcPr>
          <w:p w14:paraId="706C509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2746</w:t>
            </w:r>
          </w:p>
        </w:tc>
        <w:tc>
          <w:tcPr>
            <w:tcW w:w="2126" w:type="dxa"/>
          </w:tcPr>
          <w:p w14:paraId="065B88B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1121,93</w:t>
            </w:r>
          </w:p>
        </w:tc>
      </w:tr>
      <w:tr w:rsidR="0053576E" w:rsidRPr="004135FE" w14:paraId="3935BBD8" w14:textId="77777777" w:rsidTr="00680E37">
        <w:trPr>
          <w:cantSplit/>
          <w:trHeight w:val="227"/>
        </w:trPr>
        <w:tc>
          <w:tcPr>
            <w:tcW w:w="554" w:type="dxa"/>
            <w:vMerge/>
            <w:textDirection w:val="btLr"/>
          </w:tcPr>
          <w:p w14:paraId="7EAEB713"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0FB256F5"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Алатауский</w:t>
            </w:r>
          </w:p>
        </w:tc>
        <w:tc>
          <w:tcPr>
            <w:tcW w:w="1738" w:type="dxa"/>
          </w:tcPr>
          <w:p w14:paraId="47BEA82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1666</w:t>
            </w:r>
          </w:p>
        </w:tc>
        <w:tc>
          <w:tcPr>
            <w:tcW w:w="1823" w:type="dxa"/>
          </w:tcPr>
          <w:p w14:paraId="7846C8D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932,91</w:t>
            </w:r>
          </w:p>
        </w:tc>
        <w:tc>
          <w:tcPr>
            <w:tcW w:w="1720" w:type="dxa"/>
          </w:tcPr>
          <w:p w14:paraId="4E94FCE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608</w:t>
            </w:r>
          </w:p>
        </w:tc>
        <w:tc>
          <w:tcPr>
            <w:tcW w:w="2268" w:type="dxa"/>
          </w:tcPr>
          <w:p w14:paraId="44B65D4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340,46</w:t>
            </w:r>
          </w:p>
        </w:tc>
        <w:tc>
          <w:tcPr>
            <w:tcW w:w="1276" w:type="dxa"/>
          </w:tcPr>
          <w:p w14:paraId="2324DA8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1058</w:t>
            </w:r>
          </w:p>
        </w:tc>
        <w:tc>
          <w:tcPr>
            <w:tcW w:w="2126" w:type="dxa"/>
          </w:tcPr>
          <w:p w14:paraId="57DFA12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592,45</w:t>
            </w:r>
          </w:p>
        </w:tc>
      </w:tr>
      <w:tr w:rsidR="0053576E" w:rsidRPr="004135FE" w14:paraId="376BD219" w14:textId="77777777" w:rsidTr="00680E37">
        <w:trPr>
          <w:cantSplit/>
          <w:trHeight w:val="227"/>
        </w:trPr>
        <w:tc>
          <w:tcPr>
            <w:tcW w:w="554" w:type="dxa"/>
            <w:vMerge/>
            <w:textDirection w:val="btLr"/>
          </w:tcPr>
          <w:p w14:paraId="5D74182C"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49D02D7F"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Ауэзовский</w:t>
            </w:r>
          </w:p>
        </w:tc>
        <w:tc>
          <w:tcPr>
            <w:tcW w:w="1738" w:type="dxa"/>
          </w:tcPr>
          <w:p w14:paraId="526E2EF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6196</w:t>
            </w:r>
          </w:p>
        </w:tc>
        <w:tc>
          <w:tcPr>
            <w:tcW w:w="1823" w:type="dxa"/>
          </w:tcPr>
          <w:p w14:paraId="680D6F2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2252,30</w:t>
            </w:r>
          </w:p>
        </w:tc>
        <w:tc>
          <w:tcPr>
            <w:tcW w:w="1720" w:type="dxa"/>
          </w:tcPr>
          <w:p w14:paraId="666F3EA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1888</w:t>
            </w:r>
          </w:p>
        </w:tc>
        <w:tc>
          <w:tcPr>
            <w:tcW w:w="2268" w:type="dxa"/>
          </w:tcPr>
          <w:p w14:paraId="54C3920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686,30</w:t>
            </w:r>
          </w:p>
        </w:tc>
        <w:tc>
          <w:tcPr>
            <w:tcW w:w="1276" w:type="dxa"/>
          </w:tcPr>
          <w:p w14:paraId="6DC66FC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4308</w:t>
            </w:r>
          </w:p>
        </w:tc>
        <w:tc>
          <w:tcPr>
            <w:tcW w:w="2126" w:type="dxa"/>
          </w:tcPr>
          <w:p w14:paraId="70BA556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1565,99</w:t>
            </w:r>
          </w:p>
        </w:tc>
      </w:tr>
      <w:tr w:rsidR="0053576E" w:rsidRPr="004135FE" w14:paraId="6E7C1590" w14:textId="77777777" w:rsidTr="00680E37">
        <w:trPr>
          <w:cantSplit/>
          <w:trHeight w:val="227"/>
        </w:trPr>
        <w:tc>
          <w:tcPr>
            <w:tcW w:w="554" w:type="dxa"/>
            <w:vMerge/>
            <w:textDirection w:val="btLr"/>
          </w:tcPr>
          <w:p w14:paraId="3E67D609"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308ADFA7"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Бостандыкский</w:t>
            </w:r>
          </w:p>
        </w:tc>
        <w:tc>
          <w:tcPr>
            <w:tcW w:w="1738" w:type="dxa"/>
          </w:tcPr>
          <w:p w14:paraId="5AB2CEF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4493</w:t>
            </w:r>
          </w:p>
        </w:tc>
        <w:tc>
          <w:tcPr>
            <w:tcW w:w="1823" w:type="dxa"/>
          </w:tcPr>
          <w:p w14:paraId="18BB275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1430,21</w:t>
            </w:r>
          </w:p>
        </w:tc>
        <w:tc>
          <w:tcPr>
            <w:tcW w:w="1720" w:type="dxa"/>
          </w:tcPr>
          <w:p w14:paraId="5EE0D1E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1423</w:t>
            </w:r>
          </w:p>
        </w:tc>
        <w:tc>
          <w:tcPr>
            <w:tcW w:w="2268" w:type="dxa"/>
          </w:tcPr>
          <w:p w14:paraId="71E1659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452,97</w:t>
            </w:r>
          </w:p>
        </w:tc>
        <w:tc>
          <w:tcPr>
            <w:tcW w:w="1276" w:type="dxa"/>
          </w:tcPr>
          <w:p w14:paraId="6F02D6B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3070</w:t>
            </w:r>
          </w:p>
        </w:tc>
        <w:tc>
          <w:tcPr>
            <w:tcW w:w="2126" w:type="dxa"/>
          </w:tcPr>
          <w:p w14:paraId="5AF4701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977,24</w:t>
            </w:r>
          </w:p>
        </w:tc>
      </w:tr>
      <w:tr w:rsidR="0053576E" w:rsidRPr="004135FE" w14:paraId="4FCCA9C7" w14:textId="77777777" w:rsidTr="00680E37">
        <w:trPr>
          <w:cantSplit/>
          <w:trHeight w:val="227"/>
        </w:trPr>
        <w:tc>
          <w:tcPr>
            <w:tcW w:w="554" w:type="dxa"/>
            <w:vMerge/>
            <w:textDirection w:val="btLr"/>
          </w:tcPr>
          <w:p w14:paraId="295429E7"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1CD84EAC"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Жетысуский</w:t>
            </w:r>
          </w:p>
        </w:tc>
        <w:tc>
          <w:tcPr>
            <w:tcW w:w="1738" w:type="dxa"/>
          </w:tcPr>
          <w:p w14:paraId="314EE87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2675</w:t>
            </w:r>
          </w:p>
        </w:tc>
        <w:tc>
          <w:tcPr>
            <w:tcW w:w="1823" w:type="dxa"/>
          </w:tcPr>
          <w:p w14:paraId="3B38D7C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1608,41</w:t>
            </w:r>
          </w:p>
        </w:tc>
        <w:tc>
          <w:tcPr>
            <w:tcW w:w="1720" w:type="dxa"/>
          </w:tcPr>
          <w:p w14:paraId="0EB9B54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813</w:t>
            </w:r>
          </w:p>
        </w:tc>
        <w:tc>
          <w:tcPr>
            <w:tcW w:w="2268" w:type="dxa"/>
          </w:tcPr>
          <w:p w14:paraId="056BEDB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488,84</w:t>
            </w:r>
          </w:p>
        </w:tc>
        <w:tc>
          <w:tcPr>
            <w:tcW w:w="1276" w:type="dxa"/>
          </w:tcPr>
          <w:p w14:paraId="188B2A3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1862</w:t>
            </w:r>
          </w:p>
        </w:tc>
        <w:tc>
          <w:tcPr>
            <w:tcW w:w="2126" w:type="dxa"/>
          </w:tcPr>
          <w:p w14:paraId="2DDE9A2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1119,58</w:t>
            </w:r>
          </w:p>
        </w:tc>
      </w:tr>
      <w:tr w:rsidR="0053576E" w:rsidRPr="004135FE" w14:paraId="65479A91" w14:textId="77777777" w:rsidTr="00680E37">
        <w:trPr>
          <w:cantSplit/>
          <w:trHeight w:val="227"/>
        </w:trPr>
        <w:tc>
          <w:tcPr>
            <w:tcW w:w="554" w:type="dxa"/>
            <w:vMerge/>
            <w:textDirection w:val="btLr"/>
          </w:tcPr>
          <w:p w14:paraId="799A0870"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2542A607"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Медеуский</w:t>
            </w:r>
          </w:p>
        </w:tc>
        <w:tc>
          <w:tcPr>
            <w:tcW w:w="1738" w:type="dxa"/>
          </w:tcPr>
          <w:p w14:paraId="08E81F6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3415</w:t>
            </w:r>
          </w:p>
        </w:tc>
        <w:tc>
          <w:tcPr>
            <w:tcW w:w="1823" w:type="dxa"/>
          </w:tcPr>
          <w:p w14:paraId="4C09897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1788,59</w:t>
            </w:r>
          </w:p>
        </w:tc>
        <w:tc>
          <w:tcPr>
            <w:tcW w:w="1720" w:type="dxa"/>
          </w:tcPr>
          <w:p w14:paraId="24EC366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1133</w:t>
            </w:r>
          </w:p>
        </w:tc>
        <w:tc>
          <w:tcPr>
            <w:tcW w:w="2268" w:type="dxa"/>
          </w:tcPr>
          <w:p w14:paraId="14F118B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593,40</w:t>
            </w:r>
          </w:p>
        </w:tc>
        <w:tc>
          <w:tcPr>
            <w:tcW w:w="1276" w:type="dxa"/>
          </w:tcPr>
          <w:p w14:paraId="004EF16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2282</w:t>
            </w:r>
          </w:p>
        </w:tc>
        <w:tc>
          <w:tcPr>
            <w:tcW w:w="2126" w:type="dxa"/>
          </w:tcPr>
          <w:p w14:paraId="6F8F3DE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1195,18</w:t>
            </w:r>
          </w:p>
        </w:tc>
      </w:tr>
      <w:tr w:rsidR="0053576E" w:rsidRPr="004135FE" w14:paraId="1B763B68" w14:textId="77777777" w:rsidTr="00680E37">
        <w:trPr>
          <w:cantSplit/>
          <w:trHeight w:val="227"/>
        </w:trPr>
        <w:tc>
          <w:tcPr>
            <w:tcW w:w="554" w:type="dxa"/>
            <w:vMerge/>
            <w:textDirection w:val="btLr"/>
          </w:tcPr>
          <w:p w14:paraId="0701A371"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64E7D5B4"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Наурызбайский</w:t>
            </w:r>
          </w:p>
        </w:tc>
        <w:tc>
          <w:tcPr>
            <w:tcW w:w="1738" w:type="dxa"/>
          </w:tcPr>
          <w:p w14:paraId="2CFE485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394</w:t>
            </w:r>
          </w:p>
        </w:tc>
        <w:tc>
          <w:tcPr>
            <w:tcW w:w="1823" w:type="dxa"/>
          </w:tcPr>
          <w:p w14:paraId="3228EA7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844,57</w:t>
            </w:r>
          </w:p>
        </w:tc>
        <w:tc>
          <w:tcPr>
            <w:tcW w:w="1720" w:type="dxa"/>
          </w:tcPr>
          <w:p w14:paraId="66B6F8E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138</w:t>
            </w:r>
          </w:p>
        </w:tc>
        <w:tc>
          <w:tcPr>
            <w:tcW w:w="2268" w:type="dxa"/>
          </w:tcPr>
          <w:p w14:paraId="14774F1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295,81</w:t>
            </w:r>
          </w:p>
        </w:tc>
        <w:tc>
          <w:tcPr>
            <w:tcW w:w="1276" w:type="dxa"/>
          </w:tcPr>
          <w:p w14:paraId="402226C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256</w:t>
            </w:r>
          </w:p>
        </w:tc>
        <w:tc>
          <w:tcPr>
            <w:tcW w:w="2126" w:type="dxa"/>
          </w:tcPr>
          <w:p w14:paraId="7935AE8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548,76</w:t>
            </w:r>
          </w:p>
        </w:tc>
      </w:tr>
      <w:tr w:rsidR="0053576E" w:rsidRPr="004135FE" w14:paraId="287EE8E5" w14:textId="77777777" w:rsidTr="00680E37">
        <w:trPr>
          <w:cantSplit/>
          <w:trHeight w:val="227"/>
        </w:trPr>
        <w:tc>
          <w:tcPr>
            <w:tcW w:w="554" w:type="dxa"/>
            <w:vMerge/>
            <w:textDirection w:val="btLr"/>
          </w:tcPr>
          <w:p w14:paraId="21D1B2B7"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04C1D739"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Турксибский</w:t>
            </w:r>
          </w:p>
        </w:tc>
        <w:tc>
          <w:tcPr>
            <w:tcW w:w="1738" w:type="dxa"/>
          </w:tcPr>
          <w:p w14:paraId="1B6A56C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3713</w:t>
            </w:r>
          </w:p>
        </w:tc>
        <w:tc>
          <w:tcPr>
            <w:tcW w:w="1823" w:type="dxa"/>
          </w:tcPr>
          <w:p w14:paraId="599035E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1826,10</w:t>
            </w:r>
          </w:p>
        </w:tc>
        <w:tc>
          <w:tcPr>
            <w:tcW w:w="1720" w:type="dxa"/>
          </w:tcPr>
          <w:p w14:paraId="0C70094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1059</w:t>
            </w:r>
          </w:p>
        </w:tc>
        <w:tc>
          <w:tcPr>
            <w:tcW w:w="2268" w:type="dxa"/>
          </w:tcPr>
          <w:p w14:paraId="4120AB0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520,83</w:t>
            </w:r>
          </w:p>
        </w:tc>
        <w:tc>
          <w:tcPr>
            <w:tcW w:w="1276" w:type="dxa"/>
          </w:tcPr>
          <w:p w14:paraId="1D4E1B4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2654</w:t>
            </w:r>
          </w:p>
        </w:tc>
        <w:tc>
          <w:tcPr>
            <w:tcW w:w="2126" w:type="dxa"/>
          </w:tcPr>
          <w:p w14:paraId="5878AC8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1305,27</w:t>
            </w:r>
          </w:p>
        </w:tc>
      </w:tr>
      <w:tr w:rsidR="0053576E" w:rsidRPr="004135FE" w14:paraId="5CAF8128" w14:textId="77777777" w:rsidTr="00680E37">
        <w:trPr>
          <w:cantSplit/>
          <w:trHeight w:val="227"/>
        </w:trPr>
        <w:tc>
          <w:tcPr>
            <w:tcW w:w="554" w:type="dxa"/>
            <w:vMerge/>
            <w:textDirection w:val="btLr"/>
          </w:tcPr>
          <w:p w14:paraId="27B961B9"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0DE6C975"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Итого </w:t>
            </w:r>
          </w:p>
        </w:tc>
        <w:tc>
          <w:tcPr>
            <w:tcW w:w="1738" w:type="dxa"/>
          </w:tcPr>
          <w:p w14:paraId="69CB396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26606</w:t>
            </w:r>
          </w:p>
        </w:tc>
        <w:tc>
          <w:tcPr>
            <w:tcW w:w="1823" w:type="dxa"/>
          </w:tcPr>
          <w:p w14:paraId="34665BE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1642,54</w:t>
            </w:r>
          </w:p>
        </w:tc>
        <w:tc>
          <w:tcPr>
            <w:tcW w:w="1720" w:type="dxa"/>
          </w:tcPr>
          <w:p w14:paraId="55E119F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8370</w:t>
            </w:r>
          </w:p>
        </w:tc>
        <w:tc>
          <w:tcPr>
            <w:tcW w:w="2268" w:type="dxa"/>
          </w:tcPr>
          <w:p w14:paraId="37AEF40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516,73</w:t>
            </w:r>
          </w:p>
        </w:tc>
        <w:tc>
          <w:tcPr>
            <w:tcW w:w="1276" w:type="dxa"/>
          </w:tcPr>
          <w:p w14:paraId="4DD4605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18236</w:t>
            </w:r>
          </w:p>
        </w:tc>
        <w:tc>
          <w:tcPr>
            <w:tcW w:w="2126" w:type="dxa"/>
          </w:tcPr>
          <w:p w14:paraId="67810BD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1125,81</w:t>
            </w:r>
          </w:p>
        </w:tc>
      </w:tr>
      <w:tr w:rsidR="0053576E" w:rsidRPr="004135FE" w14:paraId="7F6A8686" w14:textId="77777777" w:rsidTr="00680E37">
        <w:trPr>
          <w:cantSplit/>
          <w:trHeight w:val="227"/>
        </w:trPr>
        <w:tc>
          <w:tcPr>
            <w:tcW w:w="554" w:type="dxa"/>
            <w:vMerge w:val="restart"/>
            <w:textDirection w:val="btLr"/>
          </w:tcPr>
          <w:p w14:paraId="53FABDC3"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r w:rsidRPr="004135FE">
              <w:rPr>
                <w:rFonts w:ascii="Times New Roman" w:hAnsi="Times New Roman" w:cs="Times New Roman"/>
                <w:sz w:val="28"/>
                <w:szCs w:val="28"/>
              </w:rPr>
              <w:t>2016 г</w:t>
            </w:r>
          </w:p>
        </w:tc>
        <w:tc>
          <w:tcPr>
            <w:tcW w:w="2098" w:type="dxa"/>
          </w:tcPr>
          <w:p w14:paraId="554EC0B3"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Алмалинский</w:t>
            </w:r>
          </w:p>
        </w:tc>
        <w:tc>
          <w:tcPr>
            <w:tcW w:w="1738" w:type="dxa"/>
          </w:tcPr>
          <w:p w14:paraId="49436B3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4603</w:t>
            </w:r>
          </w:p>
        </w:tc>
        <w:tc>
          <w:tcPr>
            <w:tcW w:w="1823" w:type="dxa"/>
          </w:tcPr>
          <w:p w14:paraId="3A75152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1864,59</w:t>
            </w:r>
          </w:p>
        </w:tc>
        <w:tc>
          <w:tcPr>
            <w:tcW w:w="1720" w:type="dxa"/>
          </w:tcPr>
          <w:p w14:paraId="38B9D39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1494</w:t>
            </w:r>
          </w:p>
        </w:tc>
        <w:tc>
          <w:tcPr>
            <w:tcW w:w="2268" w:type="dxa"/>
          </w:tcPr>
          <w:p w14:paraId="4BF6E77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605,19</w:t>
            </w:r>
          </w:p>
        </w:tc>
        <w:tc>
          <w:tcPr>
            <w:tcW w:w="1276" w:type="dxa"/>
          </w:tcPr>
          <w:p w14:paraId="5A1AFFD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3109</w:t>
            </w:r>
          </w:p>
        </w:tc>
        <w:tc>
          <w:tcPr>
            <w:tcW w:w="2126" w:type="dxa"/>
          </w:tcPr>
          <w:p w14:paraId="58D5069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1259,40</w:t>
            </w:r>
          </w:p>
        </w:tc>
      </w:tr>
      <w:tr w:rsidR="0053576E" w:rsidRPr="004135FE" w14:paraId="571D84B9" w14:textId="77777777" w:rsidTr="00680E37">
        <w:trPr>
          <w:cantSplit/>
          <w:trHeight w:val="227"/>
        </w:trPr>
        <w:tc>
          <w:tcPr>
            <w:tcW w:w="554" w:type="dxa"/>
            <w:vMerge/>
            <w:textDirection w:val="btLr"/>
          </w:tcPr>
          <w:p w14:paraId="34B7C14F"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087FCCA5"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Алатауский</w:t>
            </w:r>
          </w:p>
        </w:tc>
        <w:tc>
          <w:tcPr>
            <w:tcW w:w="1738" w:type="dxa"/>
          </w:tcPr>
          <w:p w14:paraId="29DA7A5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2260</w:t>
            </w:r>
          </w:p>
        </w:tc>
        <w:tc>
          <w:tcPr>
            <w:tcW w:w="1823" w:type="dxa"/>
          </w:tcPr>
          <w:p w14:paraId="3D94D98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1152,77</w:t>
            </w:r>
          </w:p>
        </w:tc>
        <w:tc>
          <w:tcPr>
            <w:tcW w:w="1720" w:type="dxa"/>
          </w:tcPr>
          <w:p w14:paraId="126A4CD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854</w:t>
            </w:r>
          </w:p>
        </w:tc>
        <w:tc>
          <w:tcPr>
            <w:tcW w:w="2268" w:type="dxa"/>
          </w:tcPr>
          <w:p w14:paraId="131389F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435,60</w:t>
            </w:r>
          </w:p>
        </w:tc>
        <w:tc>
          <w:tcPr>
            <w:tcW w:w="1276" w:type="dxa"/>
          </w:tcPr>
          <w:p w14:paraId="6F9F72E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1406</w:t>
            </w:r>
          </w:p>
        </w:tc>
        <w:tc>
          <w:tcPr>
            <w:tcW w:w="2126" w:type="dxa"/>
          </w:tcPr>
          <w:p w14:paraId="530738D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717,16</w:t>
            </w:r>
          </w:p>
        </w:tc>
      </w:tr>
      <w:tr w:rsidR="0053576E" w:rsidRPr="004135FE" w14:paraId="1D1C2A0B" w14:textId="77777777" w:rsidTr="00680E37">
        <w:trPr>
          <w:cantSplit/>
          <w:trHeight w:val="227"/>
        </w:trPr>
        <w:tc>
          <w:tcPr>
            <w:tcW w:w="554" w:type="dxa"/>
            <w:vMerge/>
            <w:textDirection w:val="btLr"/>
          </w:tcPr>
          <w:p w14:paraId="22799283"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2CF6753F"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Ауэзовский</w:t>
            </w:r>
          </w:p>
        </w:tc>
        <w:tc>
          <w:tcPr>
            <w:tcW w:w="1738" w:type="dxa"/>
          </w:tcPr>
          <w:p w14:paraId="05FCBA9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6466</w:t>
            </w:r>
          </w:p>
        </w:tc>
        <w:tc>
          <w:tcPr>
            <w:tcW w:w="1823" w:type="dxa"/>
          </w:tcPr>
          <w:p w14:paraId="4B8E2DD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2194,39</w:t>
            </w:r>
          </w:p>
        </w:tc>
        <w:tc>
          <w:tcPr>
            <w:tcW w:w="1720" w:type="dxa"/>
          </w:tcPr>
          <w:p w14:paraId="28821AF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2006</w:t>
            </w:r>
          </w:p>
        </w:tc>
        <w:tc>
          <w:tcPr>
            <w:tcW w:w="2268" w:type="dxa"/>
          </w:tcPr>
          <w:p w14:paraId="2250C7C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680,78</w:t>
            </w:r>
          </w:p>
        </w:tc>
        <w:tc>
          <w:tcPr>
            <w:tcW w:w="1276" w:type="dxa"/>
          </w:tcPr>
          <w:p w14:paraId="100DD00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4460</w:t>
            </w:r>
          </w:p>
        </w:tc>
        <w:tc>
          <w:tcPr>
            <w:tcW w:w="2126" w:type="dxa"/>
          </w:tcPr>
          <w:p w14:paraId="7CF34E9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1513,61</w:t>
            </w:r>
          </w:p>
        </w:tc>
      </w:tr>
      <w:tr w:rsidR="0053576E" w:rsidRPr="004135FE" w14:paraId="07825DC3" w14:textId="77777777" w:rsidTr="00680E37">
        <w:trPr>
          <w:cantSplit/>
          <w:trHeight w:val="227"/>
        </w:trPr>
        <w:tc>
          <w:tcPr>
            <w:tcW w:w="554" w:type="dxa"/>
            <w:vMerge/>
            <w:textDirection w:val="btLr"/>
          </w:tcPr>
          <w:p w14:paraId="5C859A46"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0C7C44B4"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Бостандыкский</w:t>
            </w:r>
          </w:p>
        </w:tc>
        <w:tc>
          <w:tcPr>
            <w:tcW w:w="1738" w:type="dxa"/>
          </w:tcPr>
          <w:p w14:paraId="166455A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4979</w:t>
            </w:r>
          </w:p>
        </w:tc>
        <w:tc>
          <w:tcPr>
            <w:tcW w:w="1823" w:type="dxa"/>
          </w:tcPr>
          <w:p w14:paraId="2235C9B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1526,96</w:t>
            </w:r>
          </w:p>
        </w:tc>
        <w:tc>
          <w:tcPr>
            <w:tcW w:w="1720" w:type="dxa"/>
          </w:tcPr>
          <w:p w14:paraId="0488759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1594</w:t>
            </w:r>
          </w:p>
        </w:tc>
        <w:tc>
          <w:tcPr>
            <w:tcW w:w="2268" w:type="dxa"/>
          </w:tcPr>
          <w:p w14:paraId="0213918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488,85</w:t>
            </w:r>
          </w:p>
        </w:tc>
        <w:tc>
          <w:tcPr>
            <w:tcW w:w="1276" w:type="dxa"/>
          </w:tcPr>
          <w:p w14:paraId="43C2849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3385</w:t>
            </w:r>
          </w:p>
        </w:tc>
        <w:tc>
          <w:tcPr>
            <w:tcW w:w="2126" w:type="dxa"/>
          </w:tcPr>
          <w:p w14:paraId="1865769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1038,11</w:t>
            </w:r>
          </w:p>
        </w:tc>
      </w:tr>
      <w:tr w:rsidR="0053576E" w:rsidRPr="004135FE" w14:paraId="32A65F71" w14:textId="77777777" w:rsidTr="00680E37">
        <w:trPr>
          <w:cantSplit/>
          <w:trHeight w:val="227"/>
        </w:trPr>
        <w:tc>
          <w:tcPr>
            <w:tcW w:w="554" w:type="dxa"/>
            <w:vMerge/>
            <w:textDirection w:val="btLr"/>
          </w:tcPr>
          <w:p w14:paraId="2F53C773"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3C1756CD"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Жетысуский</w:t>
            </w:r>
          </w:p>
        </w:tc>
        <w:tc>
          <w:tcPr>
            <w:tcW w:w="1738" w:type="dxa"/>
          </w:tcPr>
          <w:p w14:paraId="6669D00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3379</w:t>
            </w:r>
          </w:p>
        </w:tc>
        <w:tc>
          <w:tcPr>
            <w:tcW w:w="1823" w:type="dxa"/>
          </w:tcPr>
          <w:p w14:paraId="045DDF4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1966,81</w:t>
            </w:r>
          </w:p>
        </w:tc>
        <w:tc>
          <w:tcPr>
            <w:tcW w:w="1720" w:type="dxa"/>
          </w:tcPr>
          <w:p w14:paraId="204A842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1016</w:t>
            </w:r>
          </w:p>
        </w:tc>
        <w:tc>
          <w:tcPr>
            <w:tcW w:w="2268" w:type="dxa"/>
          </w:tcPr>
          <w:p w14:paraId="65BB8C5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591,38</w:t>
            </w:r>
          </w:p>
        </w:tc>
        <w:tc>
          <w:tcPr>
            <w:tcW w:w="1276" w:type="dxa"/>
          </w:tcPr>
          <w:p w14:paraId="6704328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2363</w:t>
            </w:r>
          </w:p>
        </w:tc>
        <w:tc>
          <w:tcPr>
            <w:tcW w:w="2126" w:type="dxa"/>
          </w:tcPr>
          <w:p w14:paraId="2713837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1375,43</w:t>
            </w:r>
          </w:p>
        </w:tc>
      </w:tr>
      <w:tr w:rsidR="0053576E" w:rsidRPr="004135FE" w14:paraId="2F937378" w14:textId="77777777" w:rsidTr="00680E37">
        <w:trPr>
          <w:cantSplit/>
          <w:trHeight w:val="227"/>
        </w:trPr>
        <w:tc>
          <w:tcPr>
            <w:tcW w:w="554" w:type="dxa"/>
            <w:vMerge/>
            <w:textDirection w:val="btLr"/>
          </w:tcPr>
          <w:p w14:paraId="33A84047"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58B6AF8B"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Медеуский</w:t>
            </w:r>
          </w:p>
        </w:tc>
        <w:tc>
          <w:tcPr>
            <w:tcW w:w="1738" w:type="dxa"/>
          </w:tcPr>
          <w:p w14:paraId="737959D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3809</w:t>
            </w:r>
          </w:p>
        </w:tc>
        <w:tc>
          <w:tcPr>
            <w:tcW w:w="1823" w:type="dxa"/>
          </w:tcPr>
          <w:p w14:paraId="117847A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1829,82</w:t>
            </w:r>
          </w:p>
        </w:tc>
        <w:tc>
          <w:tcPr>
            <w:tcW w:w="1720" w:type="dxa"/>
          </w:tcPr>
          <w:p w14:paraId="4E6099B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1276</w:t>
            </w:r>
          </w:p>
        </w:tc>
        <w:tc>
          <w:tcPr>
            <w:tcW w:w="2268" w:type="dxa"/>
          </w:tcPr>
          <w:p w14:paraId="6AF6047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612,98</w:t>
            </w:r>
          </w:p>
        </w:tc>
        <w:tc>
          <w:tcPr>
            <w:tcW w:w="1276" w:type="dxa"/>
          </w:tcPr>
          <w:p w14:paraId="7B15C37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2533</w:t>
            </w:r>
          </w:p>
        </w:tc>
        <w:tc>
          <w:tcPr>
            <w:tcW w:w="2126" w:type="dxa"/>
          </w:tcPr>
          <w:p w14:paraId="0CF8604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1216,83</w:t>
            </w:r>
          </w:p>
        </w:tc>
      </w:tr>
      <w:tr w:rsidR="0053576E" w:rsidRPr="004135FE" w14:paraId="0549EF9A" w14:textId="77777777" w:rsidTr="00680E37">
        <w:trPr>
          <w:cantSplit/>
          <w:trHeight w:val="227"/>
        </w:trPr>
        <w:tc>
          <w:tcPr>
            <w:tcW w:w="554" w:type="dxa"/>
            <w:vMerge/>
            <w:textDirection w:val="btLr"/>
          </w:tcPr>
          <w:p w14:paraId="46C181FC"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08A46DA7"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Наурызбайский</w:t>
            </w:r>
          </w:p>
        </w:tc>
        <w:tc>
          <w:tcPr>
            <w:tcW w:w="1738" w:type="dxa"/>
          </w:tcPr>
          <w:p w14:paraId="270F4FA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587</w:t>
            </w:r>
          </w:p>
        </w:tc>
        <w:tc>
          <w:tcPr>
            <w:tcW w:w="1823" w:type="dxa"/>
          </w:tcPr>
          <w:p w14:paraId="116E6A3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1126,46</w:t>
            </w:r>
          </w:p>
        </w:tc>
        <w:tc>
          <w:tcPr>
            <w:tcW w:w="1720" w:type="dxa"/>
          </w:tcPr>
          <w:p w14:paraId="53ECB51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212</w:t>
            </w:r>
          </w:p>
        </w:tc>
        <w:tc>
          <w:tcPr>
            <w:tcW w:w="2268" w:type="dxa"/>
          </w:tcPr>
          <w:p w14:paraId="3AEB09C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406,83</w:t>
            </w:r>
          </w:p>
        </w:tc>
        <w:tc>
          <w:tcPr>
            <w:tcW w:w="1276" w:type="dxa"/>
          </w:tcPr>
          <w:p w14:paraId="65E3888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375</w:t>
            </w:r>
          </w:p>
        </w:tc>
        <w:tc>
          <w:tcPr>
            <w:tcW w:w="2126" w:type="dxa"/>
          </w:tcPr>
          <w:p w14:paraId="64FAD1A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719,63</w:t>
            </w:r>
          </w:p>
        </w:tc>
      </w:tr>
      <w:tr w:rsidR="0053576E" w:rsidRPr="004135FE" w14:paraId="04AA1D86" w14:textId="77777777" w:rsidTr="00680E37">
        <w:trPr>
          <w:cantSplit/>
          <w:trHeight w:val="227"/>
        </w:trPr>
        <w:tc>
          <w:tcPr>
            <w:tcW w:w="554" w:type="dxa"/>
            <w:vMerge/>
            <w:textDirection w:val="btLr"/>
          </w:tcPr>
          <w:p w14:paraId="0079AB0F"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56A41632"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Турксибский</w:t>
            </w:r>
          </w:p>
        </w:tc>
        <w:tc>
          <w:tcPr>
            <w:tcW w:w="1738" w:type="dxa"/>
          </w:tcPr>
          <w:p w14:paraId="6FF45B6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4371</w:t>
            </w:r>
          </w:p>
        </w:tc>
        <w:tc>
          <w:tcPr>
            <w:tcW w:w="1823" w:type="dxa"/>
          </w:tcPr>
          <w:p w14:paraId="0C63383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2031,31</w:t>
            </w:r>
          </w:p>
        </w:tc>
        <w:tc>
          <w:tcPr>
            <w:tcW w:w="1720" w:type="dxa"/>
          </w:tcPr>
          <w:p w14:paraId="556F651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1301</w:t>
            </w:r>
          </w:p>
        </w:tc>
        <w:tc>
          <w:tcPr>
            <w:tcW w:w="2268" w:type="dxa"/>
          </w:tcPr>
          <w:p w14:paraId="2D85695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604,61</w:t>
            </w:r>
          </w:p>
        </w:tc>
        <w:tc>
          <w:tcPr>
            <w:tcW w:w="1276" w:type="dxa"/>
          </w:tcPr>
          <w:p w14:paraId="7227D7F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3070</w:t>
            </w:r>
          </w:p>
        </w:tc>
        <w:tc>
          <w:tcPr>
            <w:tcW w:w="2126" w:type="dxa"/>
          </w:tcPr>
          <w:p w14:paraId="7D9628D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1426,71</w:t>
            </w:r>
          </w:p>
        </w:tc>
      </w:tr>
      <w:tr w:rsidR="0053576E" w:rsidRPr="004135FE" w14:paraId="09D47C3E" w14:textId="77777777" w:rsidTr="00680E37">
        <w:trPr>
          <w:cantSplit/>
          <w:trHeight w:val="227"/>
        </w:trPr>
        <w:tc>
          <w:tcPr>
            <w:tcW w:w="554" w:type="dxa"/>
            <w:vMerge/>
            <w:textDirection w:val="btLr"/>
          </w:tcPr>
          <w:p w14:paraId="0D3B4791"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36354DC2"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Итого </w:t>
            </w:r>
          </w:p>
        </w:tc>
        <w:tc>
          <w:tcPr>
            <w:tcW w:w="1738" w:type="dxa"/>
          </w:tcPr>
          <w:p w14:paraId="35F4DB4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30454</w:t>
            </w:r>
          </w:p>
        </w:tc>
        <w:tc>
          <w:tcPr>
            <w:tcW w:w="1823" w:type="dxa"/>
          </w:tcPr>
          <w:p w14:paraId="0D8CF76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1780,00</w:t>
            </w:r>
          </w:p>
        </w:tc>
        <w:tc>
          <w:tcPr>
            <w:tcW w:w="1720" w:type="dxa"/>
          </w:tcPr>
          <w:p w14:paraId="73FCF91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9753</w:t>
            </w:r>
          </w:p>
        </w:tc>
        <w:tc>
          <w:tcPr>
            <w:tcW w:w="2268" w:type="dxa"/>
          </w:tcPr>
          <w:p w14:paraId="4AEE030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570,05</w:t>
            </w:r>
          </w:p>
        </w:tc>
        <w:tc>
          <w:tcPr>
            <w:tcW w:w="1276" w:type="dxa"/>
          </w:tcPr>
          <w:p w14:paraId="27F6618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20701</w:t>
            </w:r>
          </w:p>
        </w:tc>
        <w:tc>
          <w:tcPr>
            <w:tcW w:w="2126" w:type="dxa"/>
          </w:tcPr>
          <w:p w14:paraId="3208774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1209,95</w:t>
            </w:r>
          </w:p>
        </w:tc>
      </w:tr>
      <w:tr w:rsidR="0053576E" w:rsidRPr="004135FE" w14:paraId="5D12A456" w14:textId="77777777" w:rsidTr="00680E37">
        <w:trPr>
          <w:cantSplit/>
          <w:trHeight w:val="227"/>
        </w:trPr>
        <w:tc>
          <w:tcPr>
            <w:tcW w:w="554" w:type="dxa"/>
            <w:vMerge w:val="restart"/>
            <w:textDirection w:val="btLr"/>
          </w:tcPr>
          <w:p w14:paraId="37AF18C3"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r w:rsidRPr="004135FE">
              <w:rPr>
                <w:rFonts w:ascii="Times New Roman" w:hAnsi="Times New Roman" w:cs="Times New Roman"/>
                <w:sz w:val="28"/>
                <w:szCs w:val="28"/>
              </w:rPr>
              <w:t>2017 г</w:t>
            </w:r>
          </w:p>
        </w:tc>
        <w:tc>
          <w:tcPr>
            <w:tcW w:w="2098" w:type="dxa"/>
          </w:tcPr>
          <w:p w14:paraId="5355BA32"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Алмалинский</w:t>
            </w:r>
          </w:p>
        </w:tc>
        <w:tc>
          <w:tcPr>
            <w:tcW w:w="1738" w:type="dxa"/>
          </w:tcPr>
          <w:p w14:paraId="1AD4E35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5341</w:t>
            </w:r>
          </w:p>
        </w:tc>
        <w:tc>
          <w:tcPr>
            <w:tcW w:w="1823" w:type="dxa"/>
          </w:tcPr>
          <w:p w14:paraId="7422258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1712,70</w:t>
            </w:r>
          </w:p>
        </w:tc>
        <w:tc>
          <w:tcPr>
            <w:tcW w:w="1720" w:type="dxa"/>
          </w:tcPr>
          <w:p w14:paraId="5D07346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1752</w:t>
            </w:r>
          </w:p>
        </w:tc>
        <w:tc>
          <w:tcPr>
            <w:tcW w:w="2268" w:type="dxa"/>
          </w:tcPr>
          <w:p w14:paraId="7871B39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561,82</w:t>
            </w:r>
          </w:p>
        </w:tc>
        <w:tc>
          <w:tcPr>
            <w:tcW w:w="1276" w:type="dxa"/>
          </w:tcPr>
          <w:p w14:paraId="3D02E0A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3589</w:t>
            </w:r>
          </w:p>
        </w:tc>
        <w:tc>
          <w:tcPr>
            <w:tcW w:w="2126" w:type="dxa"/>
          </w:tcPr>
          <w:p w14:paraId="3272116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1150,89</w:t>
            </w:r>
          </w:p>
        </w:tc>
      </w:tr>
      <w:tr w:rsidR="0053576E" w:rsidRPr="004135FE" w14:paraId="7C1DBE2F" w14:textId="77777777" w:rsidTr="00680E37">
        <w:trPr>
          <w:cantSplit/>
          <w:trHeight w:val="227"/>
        </w:trPr>
        <w:tc>
          <w:tcPr>
            <w:tcW w:w="554" w:type="dxa"/>
            <w:vMerge/>
            <w:textDirection w:val="btLr"/>
          </w:tcPr>
          <w:p w14:paraId="2F37641D"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7B088373"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Алатауский</w:t>
            </w:r>
          </w:p>
        </w:tc>
        <w:tc>
          <w:tcPr>
            <w:tcW w:w="1738" w:type="dxa"/>
          </w:tcPr>
          <w:p w14:paraId="10A7C79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2511</w:t>
            </w:r>
          </w:p>
        </w:tc>
        <w:tc>
          <w:tcPr>
            <w:tcW w:w="1823" w:type="dxa"/>
          </w:tcPr>
          <w:p w14:paraId="0FA0CC9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1235,02</w:t>
            </w:r>
          </w:p>
        </w:tc>
        <w:tc>
          <w:tcPr>
            <w:tcW w:w="1720" w:type="dxa"/>
          </w:tcPr>
          <w:p w14:paraId="26D5837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962</w:t>
            </w:r>
          </w:p>
        </w:tc>
        <w:tc>
          <w:tcPr>
            <w:tcW w:w="2268" w:type="dxa"/>
          </w:tcPr>
          <w:p w14:paraId="68203D9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473,15</w:t>
            </w:r>
          </w:p>
        </w:tc>
        <w:tc>
          <w:tcPr>
            <w:tcW w:w="1276" w:type="dxa"/>
          </w:tcPr>
          <w:p w14:paraId="37E6FAB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1549</w:t>
            </w:r>
          </w:p>
        </w:tc>
        <w:tc>
          <w:tcPr>
            <w:tcW w:w="2126" w:type="dxa"/>
          </w:tcPr>
          <w:p w14:paraId="332DB8F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761,86</w:t>
            </w:r>
          </w:p>
        </w:tc>
      </w:tr>
      <w:tr w:rsidR="0053576E" w:rsidRPr="004135FE" w14:paraId="59F41BDF" w14:textId="77777777" w:rsidTr="00680E37">
        <w:trPr>
          <w:cantSplit/>
          <w:trHeight w:val="227"/>
        </w:trPr>
        <w:tc>
          <w:tcPr>
            <w:tcW w:w="554" w:type="dxa"/>
            <w:vMerge/>
            <w:textDirection w:val="btLr"/>
          </w:tcPr>
          <w:p w14:paraId="1C1604D7"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13C47803"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Ауэзовский</w:t>
            </w:r>
          </w:p>
        </w:tc>
        <w:tc>
          <w:tcPr>
            <w:tcW w:w="1738" w:type="dxa"/>
          </w:tcPr>
          <w:p w14:paraId="733CBEA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6121</w:t>
            </w:r>
          </w:p>
        </w:tc>
        <w:tc>
          <w:tcPr>
            <w:tcW w:w="1823" w:type="dxa"/>
          </w:tcPr>
          <w:p w14:paraId="7C6A723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2185,60</w:t>
            </w:r>
          </w:p>
        </w:tc>
        <w:tc>
          <w:tcPr>
            <w:tcW w:w="1720" w:type="dxa"/>
          </w:tcPr>
          <w:p w14:paraId="1AACA3B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1903</w:t>
            </w:r>
          </w:p>
        </w:tc>
        <w:tc>
          <w:tcPr>
            <w:tcW w:w="2268" w:type="dxa"/>
          </w:tcPr>
          <w:p w14:paraId="6C106C9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679,50</w:t>
            </w:r>
          </w:p>
        </w:tc>
        <w:tc>
          <w:tcPr>
            <w:tcW w:w="1276" w:type="dxa"/>
          </w:tcPr>
          <w:p w14:paraId="4D225B3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4218</w:t>
            </w:r>
          </w:p>
        </w:tc>
        <w:tc>
          <w:tcPr>
            <w:tcW w:w="2126" w:type="dxa"/>
          </w:tcPr>
          <w:p w14:paraId="3A11DA6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1506,11</w:t>
            </w:r>
          </w:p>
        </w:tc>
      </w:tr>
      <w:tr w:rsidR="0053576E" w:rsidRPr="004135FE" w14:paraId="6307EAB4" w14:textId="77777777" w:rsidTr="00680E37">
        <w:trPr>
          <w:cantSplit/>
          <w:trHeight w:val="227"/>
        </w:trPr>
        <w:tc>
          <w:tcPr>
            <w:tcW w:w="554" w:type="dxa"/>
            <w:vMerge/>
            <w:textDirection w:val="btLr"/>
          </w:tcPr>
          <w:p w14:paraId="04DE2949"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59E27EE1"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Бостандыкский</w:t>
            </w:r>
          </w:p>
        </w:tc>
        <w:tc>
          <w:tcPr>
            <w:tcW w:w="1738" w:type="dxa"/>
          </w:tcPr>
          <w:p w14:paraId="612A61C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5407</w:t>
            </w:r>
          </w:p>
        </w:tc>
        <w:tc>
          <w:tcPr>
            <w:tcW w:w="1823" w:type="dxa"/>
          </w:tcPr>
          <w:p w14:paraId="31F588D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1575,24</w:t>
            </w:r>
          </w:p>
        </w:tc>
        <w:tc>
          <w:tcPr>
            <w:tcW w:w="1720" w:type="dxa"/>
          </w:tcPr>
          <w:p w14:paraId="338FD53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1759</w:t>
            </w:r>
          </w:p>
        </w:tc>
        <w:tc>
          <w:tcPr>
            <w:tcW w:w="2268" w:type="dxa"/>
          </w:tcPr>
          <w:p w14:paraId="2FF32D1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512,45</w:t>
            </w:r>
          </w:p>
        </w:tc>
        <w:tc>
          <w:tcPr>
            <w:tcW w:w="1276" w:type="dxa"/>
          </w:tcPr>
          <w:p w14:paraId="1F14C4B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3648</w:t>
            </w:r>
          </w:p>
        </w:tc>
        <w:tc>
          <w:tcPr>
            <w:tcW w:w="2126" w:type="dxa"/>
          </w:tcPr>
          <w:p w14:paraId="7ACB444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1062,78</w:t>
            </w:r>
          </w:p>
        </w:tc>
      </w:tr>
      <w:tr w:rsidR="0053576E" w:rsidRPr="004135FE" w14:paraId="4EA384D7" w14:textId="77777777" w:rsidTr="00680E37">
        <w:trPr>
          <w:cantSplit/>
          <w:trHeight w:val="227"/>
        </w:trPr>
        <w:tc>
          <w:tcPr>
            <w:tcW w:w="554" w:type="dxa"/>
            <w:vMerge/>
            <w:textDirection w:val="btLr"/>
          </w:tcPr>
          <w:p w14:paraId="41C3E62A"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1361ACE1"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Жетысуский</w:t>
            </w:r>
          </w:p>
        </w:tc>
        <w:tc>
          <w:tcPr>
            <w:tcW w:w="1738" w:type="dxa"/>
          </w:tcPr>
          <w:p w14:paraId="2532027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3705</w:t>
            </w:r>
          </w:p>
        </w:tc>
        <w:tc>
          <w:tcPr>
            <w:tcW w:w="1823" w:type="dxa"/>
          </w:tcPr>
          <w:p w14:paraId="0A964B9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2127,94</w:t>
            </w:r>
          </w:p>
        </w:tc>
        <w:tc>
          <w:tcPr>
            <w:tcW w:w="1720" w:type="dxa"/>
          </w:tcPr>
          <w:p w14:paraId="42DE424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1127</w:t>
            </w:r>
          </w:p>
        </w:tc>
        <w:tc>
          <w:tcPr>
            <w:tcW w:w="2268" w:type="dxa"/>
          </w:tcPr>
          <w:p w14:paraId="63A0C17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647,28</w:t>
            </w:r>
          </w:p>
        </w:tc>
        <w:tc>
          <w:tcPr>
            <w:tcW w:w="1276" w:type="dxa"/>
          </w:tcPr>
          <w:p w14:paraId="292B6DE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2578</w:t>
            </w:r>
          </w:p>
        </w:tc>
        <w:tc>
          <w:tcPr>
            <w:tcW w:w="2126" w:type="dxa"/>
          </w:tcPr>
          <w:p w14:paraId="022488D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1480,66</w:t>
            </w:r>
          </w:p>
        </w:tc>
      </w:tr>
      <w:tr w:rsidR="0053576E" w:rsidRPr="004135FE" w14:paraId="0B02851B" w14:textId="77777777" w:rsidTr="00680E37">
        <w:trPr>
          <w:cantSplit/>
          <w:trHeight w:val="227"/>
        </w:trPr>
        <w:tc>
          <w:tcPr>
            <w:tcW w:w="554" w:type="dxa"/>
            <w:vMerge/>
            <w:textDirection w:val="btLr"/>
          </w:tcPr>
          <w:p w14:paraId="722BFDED"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1CB96B6E"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Медеуский</w:t>
            </w:r>
          </w:p>
        </w:tc>
        <w:tc>
          <w:tcPr>
            <w:tcW w:w="1738" w:type="dxa"/>
          </w:tcPr>
          <w:p w14:paraId="105B180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3692</w:t>
            </w:r>
          </w:p>
        </w:tc>
        <w:tc>
          <w:tcPr>
            <w:tcW w:w="1823" w:type="dxa"/>
          </w:tcPr>
          <w:p w14:paraId="11B59FC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1705,64</w:t>
            </w:r>
          </w:p>
        </w:tc>
        <w:tc>
          <w:tcPr>
            <w:tcW w:w="1720" w:type="dxa"/>
          </w:tcPr>
          <w:p w14:paraId="7FC084D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1274</w:t>
            </w:r>
          </w:p>
        </w:tc>
        <w:tc>
          <w:tcPr>
            <w:tcW w:w="2268" w:type="dxa"/>
          </w:tcPr>
          <w:p w14:paraId="17B41DB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588,57</w:t>
            </w:r>
          </w:p>
        </w:tc>
        <w:tc>
          <w:tcPr>
            <w:tcW w:w="1276" w:type="dxa"/>
          </w:tcPr>
          <w:p w14:paraId="73E5D75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2418</w:t>
            </w:r>
          </w:p>
        </w:tc>
        <w:tc>
          <w:tcPr>
            <w:tcW w:w="2126" w:type="dxa"/>
          </w:tcPr>
          <w:p w14:paraId="538406B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1117,08</w:t>
            </w:r>
          </w:p>
        </w:tc>
      </w:tr>
      <w:tr w:rsidR="0053576E" w:rsidRPr="004135FE" w14:paraId="5DCF7B5D" w14:textId="77777777" w:rsidTr="00680E37">
        <w:trPr>
          <w:cantSplit/>
          <w:trHeight w:val="227"/>
        </w:trPr>
        <w:tc>
          <w:tcPr>
            <w:tcW w:w="554" w:type="dxa"/>
            <w:vMerge/>
            <w:textDirection w:val="btLr"/>
          </w:tcPr>
          <w:p w14:paraId="7AB9227D"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2B6D12C4"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Наурызбайский</w:t>
            </w:r>
          </w:p>
        </w:tc>
        <w:tc>
          <w:tcPr>
            <w:tcW w:w="1738" w:type="dxa"/>
          </w:tcPr>
          <w:p w14:paraId="1275BEB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843</w:t>
            </w:r>
          </w:p>
        </w:tc>
        <w:tc>
          <w:tcPr>
            <w:tcW w:w="1823" w:type="dxa"/>
          </w:tcPr>
          <w:p w14:paraId="4A21962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1010,65</w:t>
            </w:r>
          </w:p>
        </w:tc>
        <w:tc>
          <w:tcPr>
            <w:tcW w:w="1720" w:type="dxa"/>
          </w:tcPr>
          <w:p w14:paraId="058AD1D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332</w:t>
            </w:r>
          </w:p>
        </w:tc>
        <w:tc>
          <w:tcPr>
            <w:tcW w:w="2268" w:type="dxa"/>
          </w:tcPr>
          <w:p w14:paraId="39A1770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398,02</w:t>
            </w:r>
          </w:p>
        </w:tc>
        <w:tc>
          <w:tcPr>
            <w:tcW w:w="1276" w:type="dxa"/>
          </w:tcPr>
          <w:p w14:paraId="02612C4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511</w:t>
            </w:r>
          </w:p>
        </w:tc>
        <w:tc>
          <w:tcPr>
            <w:tcW w:w="2126" w:type="dxa"/>
          </w:tcPr>
          <w:p w14:paraId="64EC719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612,62</w:t>
            </w:r>
          </w:p>
        </w:tc>
      </w:tr>
    </w:tbl>
    <w:p w14:paraId="281DD079" w14:textId="77777777" w:rsidR="00680E37" w:rsidRPr="00680E37" w:rsidRDefault="00680E37" w:rsidP="00680E37">
      <w:pPr>
        <w:rPr>
          <w:rFonts w:ascii="Times New Roman" w:eastAsia="Times New Roman" w:hAnsi="Times New Roman" w:cs="Times New Roman"/>
          <w:sz w:val="28"/>
          <w:szCs w:val="28"/>
        </w:rPr>
      </w:pPr>
      <w:r w:rsidRPr="00680E37">
        <w:rPr>
          <w:rFonts w:ascii="Times New Roman" w:eastAsia="Times New Roman" w:hAnsi="Times New Roman" w:cs="Times New Roman"/>
          <w:sz w:val="28"/>
          <w:szCs w:val="28"/>
        </w:rPr>
        <w:t>Продолжение таблицы А5</w:t>
      </w:r>
    </w:p>
    <w:tbl>
      <w:tblPr>
        <w:tblStyle w:val="a5"/>
        <w:tblW w:w="13603" w:type="dxa"/>
        <w:tblLook w:val="04A0" w:firstRow="1" w:lastRow="0" w:firstColumn="1" w:lastColumn="0" w:noHBand="0" w:noVBand="1"/>
      </w:tblPr>
      <w:tblGrid>
        <w:gridCol w:w="554"/>
        <w:gridCol w:w="2098"/>
        <w:gridCol w:w="1738"/>
        <w:gridCol w:w="1823"/>
        <w:gridCol w:w="1720"/>
        <w:gridCol w:w="2268"/>
        <w:gridCol w:w="1276"/>
        <w:gridCol w:w="2126"/>
      </w:tblGrid>
      <w:tr w:rsidR="0053576E" w:rsidRPr="004135FE" w14:paraId="05CA0EA8" w14:textId="77777777" w:rsidTr="00680E37">
        <w:trPr>
          <w:cantSplit/>
          <w:trHeight w:val="227"/>
        </w:trPr>
        <w:tc>
          <w:tcPr>
            <w:tcW w:w="554" w:type="dxa"/>
            <w:vMerge w:val="restart"/>
            <w:textDirection w:val="btLr"/>
          </w:tcPr>
          <w:p w14:paraId="7BBC7BC5"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08E51E5E"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Турксибский</w:t>
            </w:r>
          </w:p>
        </w:tc>
        <w:tc>
          <w:tcPr>
            <w:tcW w:w="1738" w:type="dxa"/>
          </w:tcPr>
          <w:p w14:paraId="58CAC1E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4613</w:t>
            </w:r>
          </w:p>
        </w:tc>
        <w:tc>
          <w:tcPr>
            <w:tcW w:w="1823" w:type="dxa"/>
          </w:tcPr>
          <w:p w14:paraId="757DBF3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2026,43</w:t>
            </w:r>
          </w:p>
        </w:tc>
        <w:tc>
          <w:tcPr>
            <w:tcW w:w="1720" w:type="dxa"/>
          </w:tcPr>
          <w:p w14:paraId="741E7ED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1422</w:t>
            </w:r>
          </w:p>
        </w:tc>
        <w:tc>
          <w:tcPr>
            <w:tcW w:w="2268" w:type="dxa"/>
          </w:tcPr>
          <w:p w14:paraId="50F41B4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624,67</w:t>
            </w:r>
          </w:p>
        </w:tc>
        <w:tc>
          <w:tcPr>
            <w:tcW w:w="1276" w:type="dxa"/>
          </w:tcPr>
          <w:p w14:paraId="3FC7364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3191</w:t>
            </w:r>
          </w:p>
        </w:tc>
        <w:tc>
          <w:tcPr>
            <w:tcW w:w="2126" w:type="dxa"/>
          </w:tcPr>
          <w:p w14:paraId="587B1B1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1401,76</w:t>
            </w:r>
          </w:p>
        </w:tc>
      </w:tr>
      <w:tr w:rsidR="0053576E" w:rsidRPr="004135FE" w14:paraId="3CC6AE84" w14:textId="77777777" w:rsidTr="00680E37">
        <w:trPr>
          <w:cantSplit/>
          <w:trHeight w:val="227"/>
        </w:trPr>
        <w:tc>
          <w:tcPr>
            <w:tcW w:w="554" w:type="dxa"/>
            <w:vMerge/>
            <w:textDirection w:val="btLr"/>
          </w:tcPr>
          <w:p w14:paraId="33A0EE57"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3FE458FF"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Итого </w:t>
            </w:r>
          </w:p>
        </w:tc>
        <w:tc>
          <w:tcPr>
            <w:tcW w:w="1738" w:type="dxa"/>
          </w:tcPr>
          <w:p w14:paraId="3636FCD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32233</w:t>
            </w:r>
          </w:p>
        </w:tc>
        <w:tc>
          <w:tcPr>
            <w:tcW w:w="1823" w:type="dxa"/>
          </w:tcPr>
          <w:p w14:paraId="768F760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1751,70</w:t>
            </w:r>
          </w:p>
        </w:tc>
        <w:tc>
          <w:tcPr>
            <w:tcW w:w="1720" w:type="dxa"/>
          </w:tcPr>
          <w:p w14:paraId="78B0299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10531</w:t>
            </w:r>
          </w:p>
        </w:tc>
        <w:tc>
          <w:tcPr>
            <w:tcW w:w="2268" w:type="dxa"/>
          </w:tcPr>
          <w:p w14:paraId="193926B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572,31</w:t>
            </w:r>
          </w:p>
        </w:tc>
        <w:tc>
          <w:tcPr>
            <w:tcW w:w="1276" w:type="dxa"/>
          </w:tcPr>
          <w:p w14:paraId="408EA9E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21702</w:t>
            </w:r>
          </w:p>
        </w:tc>
        <w:tc>
          <w:tcPr>
            <w:tcW w:w="2126" w:type="dxa"/>
          </w:tcPr>
          <w:p w14:paraId="3C19971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1179,39</w:t>
            </w:r>
          </w:p>
        </w:tc>
      </w:tr>
      <w:tr w:rsidR="0053576E" w:rsidRPr="004135FE" w14:paraId="3167AAAF" w14:textId="77777777" w:rsidTr="00680E37">
        <w:trPr>
          <w:cantSplit/>
          <w:trHeight w:val="227"/>
        </w:trPr>
        <w:tc>
          <w:tcPr>
            <w:tcW w:w="554" w:type="dxa"/>
            <w:vMerge w:val="restart"/>
            <w:textDirection w:val="btLr"/>
          </w:tcPr>
          <w:p w14:paraId="2D21D146"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r w:rsidRPr="004135FE">
              <w:rPr>
                <w:rFonts w:ascii="Times New Roman" w:hAnsi="Times New Roman" w:cs="Times New Roman"/>
                <w:sz w:val="28"/>
                <w:szCs w:val="28"/>
              </w:rPr>
              <w:t>2018 г</w:t>
            </w:r>
          </w:p>
        </w:tc>
        <w:tc>
          <w:tcPr>
            <w:tcW w:w="2098" w:type="dxa"/>
          </w:tcPr>
          <w:p w14:paraId="056643AC"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Алмалинский</w:t>
            </w:r>
          </w:p>
        </w:tc>
        <w:tc>
          <w:tcPr>
            <w:tcW w:w="1738" w:type="dxa"/>
          </w:tcPr>
          <w:p w14:paraId="3F3EDDC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5831</w:t>
            </w:r>
          </w:p>
        </w:tc>
        <w:tc>
          <w:tcPr>
            <w:tcW w:w="1823" w:type="dxa"/>
          </w:tcPr>
          <w:p w14:paraId="69CEC8E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1723,13</w:t>
            </w:r>
          </w:p>
        </w:tc>
        <w:tc>
          <w:tcPr>
            <w:tcW w:w="1720" w:type="dxa"/>
          </w:tcPr>
          <w:p w14:paraId="3CFEF75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1936</w:t>
            </w:r>
          </w:p>
        </w:tc>
        <w:tc>
          <w:tcPr>
            <w:tcW w:w="2268" w:type="dxa"/>
          </w:tcPr>
          <w:p w14:paraId="1C63131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572,11</w:t>
            </w:r>
          </w:p>
        </w:tc>
        <w:tc>
          <w:tcPr>
            <w:tcW w:w="1276" w:type="dxa"/>
          </w:tcPr>
          <w:p w14:paraId="1FDFBDA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3895</w:t>
            </w:r>
          </w:p>
        </w:tc>
        <w:tc>
          <w:tcPr>
            <w:tcW w:w="2126" w:type="dxa"/>
          </w:tcPr>
          <w:p w14:paraId="657AC1B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1151,02</w:t>
            </w:r>
          </w:p>
        </w:tc>
      </w:tr>
      <w:tr w:rsidR="0053576E" w:rsidRPr="004135FE" w14:paraId="0C71AD18" w14:textId="77777777" w:rsidTr="00680E37">
        <w:trPr>
          <w:cantSplit/>
          <w:trHeight w:val="227"/>
        </w:trPr>
        <w:tc>
          <w:tcPr>
            <w:tcW w:w="554" w:type="dxa"/>
            <w:vMerge/>
            <w:textDirection w:val="btLr"/>
          </w:tcPr>
          <w:p w14:paraId="710BBD6F"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6A6F3E90"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Алатауский</w:t>
            </w:r>
          </w:p>
        </w:tc>
        <w:tc>
          <w:tcPr>
            <w:tcW w:w="1738" w:type="dxa"/>
          </w:tcPr>
          <w:p w14:paraId="48C0023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2947</w:t>
            </w:r>
          </w:p>
        </w:tc>
        <w:tc>
          <w:tcPr>
            <w:tcW w:w="1823" w:type="dxa"/>
          </w:tcPr>
          <w:p w14:paraId="0922B58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1388,67</w:t>
            </w:r>
          </w:p>
        </w:tc>
        <w:tc>
          <w:tcPr>
            <w:tcW w:w="1720" w:type="dxa"/>
          </w:tcPr>
          <w:p w14:paraId="139ACDF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1137</w:t>
            </w:r>
          </w:p>
        </w:tc>
        <w:tc>
          <w:tcPr>
            <w:tcW w:w="2268" w:type="dxa"/>
          </w:tcPr>
          <w:p w14:paraId="34DB5E7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535,77</w:t>
            </w:r>
          </w:p>
        </w:tc>
        <w:tc>
          <w:tcPr>
            <w:tcW w:w="1276" w:type="dxa"/>
          </w:tcPr>
          <w:p w14:paraId="5EC47CE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1810</w:t>
            </w:r>
          </w:p>
        </w:tc>
        <w:tc>
          <w:tcPr>
            <w:tcW w:w="2126" w:type="dxa"/>
          </w:tcPr>
          <w:p w14:paraId="32F8C38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852,90</w:t>
            </w:r>
          </w:p>
        </w:tc>
      </w:tr>
      <w:tr w:rsidR="0053576E" w:rsidRPr="004135FE" w14:paraId="5B36EC9B" w14:textId="77777777" w:rsidTr="00680E37">
        <w:trPr>
          <w:cantSplit/>
          <w:trHeight w:val="227"/>
        </w:trPr>
        <w:tc>
          <w:tcPr>
            <w:tcW w:w="554" w:type="dxa"/>
            <w:vMerge/>
            <w:textDirection w:val="btLr"/>
          </w:tcPr>
          <w:p w14:paraId="000A3B27"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238BFAF2"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Ауэзовский</w:t>
            </w:r>
          </w:p>
        </w:tc>
        <w:tc>
          <w:tcPr>
            <w:tcW w:w="1738" w:type="dxa"/>
          </w:tcPr>
          <w:p w14:paraId="4C26DD1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6721</w:t>
            </w:r>
          </w:p>
        </w:tc>
        <w:tc>
          <w:tcPr>
            <w:tcW w:w="1823" w:type="dxa"/>
          </w:tcPr>
          <w:p w14:paraId="09FCDEA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2290,35</w:t>
            </w:r>
          </w:p>
        </w:tc>
        <w:tc>
          <w:tcPr>
            <w:tcW w:w="1720" w:type="dxa"/>
          </w:tcPr>
          <w:p w14:paraId="44F5721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2114</w:t>
            </w:r>
          </w:p>
        </w:tc>
        <w:tc>
          <w:tcPr>
            <w:tcW w:w="2268" w:type="dxa"/>
          </w:tcPr>
          <w:p w14:paraId="1726F7F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720,40</w:t>
            </w:r>
          </w:p>
        </w:tc>
        <w:tc>
          <w:tcPr>
            <w:tcW w:w="1276" w:type="dxa"/>
          </w:tcPr>
          <w:p w14:paraId="4D043C4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4607</w:t>
            </w:r>
          </w:p>
        </w:tc>
        <w:tc>
          <w:tcPr>
            <w:tcW w:w="2126" w:type="dxa"/>
          </w:tcPr>
          <w:p w14:paraId="3689B02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1569,95</w:t>
            </w:r>
          </w:p>
        </w:tc>
      </w:tr>
      <w:tr w:rsidR="0053576E" w:rsidRPr="004135FE" w14:paraId="0C6AE4D6" w14:textId="77777777" w:rsidTr="00680E37">
        <w:trPr>
          <w:cantSplit/>
          <w:trHeight w:val="227"/>
        </w:trPr>
        <w:tc>
          <w:tcPr>
            <w:tcW w:w="554" w:type="dxa"/>
            <w:vMerge/>
            <w:textDirection w:val="btLr"/>
          </w:tcPr>
          <w:p w14:paraId="651FD17F"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10B4D127"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Бостандыкский</w:t>
            </w:r>
          </w:p>
        </w:tc>
        <w:tc>
          <w:tcPr>
            <w:tcW w:w="1738" w:type="dxa"/>
          </w:tcPr>
          <w:p w14:paraId="03C87AB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5974</w:t>
            </w:r>
          </w:p>
        </w:tc>
        <w:tc>
          <w:tcPr>
            <w:tcW w:w="1823" w:type="dxa"/>
          </w:tcPr>
          <w:p w14:paraId="3D199FF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1671,66</w:t>
            </w:r>
          </w:p>
        </w:tc>
        <w:tc>
          <w:tcPr>
            <w:tcW w:w="1720" w:type="dxa"/>
          </w:tcPr>
          <w:p w14:paraId="1B1BAC5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1961</w:t>
            </w:r>
          </w:p>
        </w:tc>
        <w:tc>
          <w:tcPr>
            <w:tcW w:w="2268" w:type="dxa"/>
          </w:tcPr>
          <w:p w14:paraId="0FB0448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548,73</w:t>
            </w:r>
          </w:p>
        </w:tc>
        <w:tc>
          <w:tcPr>
            <w:tcW w:w="1276" w:type="dxa"/>
          </w:tcPr>
          <w:p w14:paraId="7840BEB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4013</w:t>
            </w:r>
          </w:p>
        </w:tc>
        <w:tc>
          <w:tcPr>
            <w:tcW w:w="2126" w:type="dxa"/>
          </w:tcPr>
          <w:p w14:paraId="66E2232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1122,93</w:t>
            </w:r>
          </w:p>
        </w:tc>
      </w:tr>
      <w:tr w:rsidR="0053576E" w:rsidRPr="004135FE" w14:paraId="2007942F" w14:textId="77777777" w:rsidTr="00680E37">
        <w:trPr>
          <w:cantSplit/>
          <w:trHeight w:val="227"/>
        </w:trPr>
        <w:tc>
          <w:tcPr>
            <w:tcW w:w="554" w:type="dxa"/>
            <w:vMerge/>
            <w:textDirection w:val="btLr"/>
          </w:tcPr>
          <w:p w14:paraId="7BD9A787"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67FCD250"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Жетысуский</w:t>
            </w:r>
          </w:p>
        </w:tc>
        <w:tc>
          <w:tcPr>
            <w:tcW w:w="1738" w:type="dxa"/>
          </w:tcPr>
          <w:p w14:paraId="691D330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4038</w:t>
            </w:r>
          </w:p>
        </w:tc>
        <w:tc>
          <w:tcPr>
            <w:tcW w:w="1823" w:type="dxa"/>
          </w:tcPr>
          <w:p w14:paraId="203BB04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1847,35</w:t>
            </w:r>
          </w:p>
        </w:tc>
        <w:tc>
          <w:tcPr>
            <w:tcW w:w="1720" w:type="dxa"/>
          </w:tcPr>
          <w:p w14:paraId="2CE706C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1237</w:t>
            </w:r>
          </w:p>
        </w:tc>
        <w:tc>
          <w:tcPr>
            <w:tcW w:w="2268" w:type="dxa"/>
          </w:tcPr>
          <w:p w14:paraId="35FC292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565,92</w:t>
            </w:r>
          </w:p>
        </w:tc>
        <w:tc>
          <w:tcPr>
            <w:tcW w:w="1276" w:type="dxa"/>
          </w:tcPr>
          <w:p w14:paraId="25C4B39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2801</w:t>
            </w:r>
          </w:p>
        </w:tc>
        <w:tc>
          <w:tcPr>
            <w:tcW w:w="2126" w:type="dxa"/>
          </w:tcPr>
          <w:p w14:paraId="062A4E3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1281,44</w:t>
            </w:r>
          </w:p>
        </w:tc>
      </w:tr>
      <w:tr w:rsidR="0053576E" w:rsidRPr="004135FE" w14:paraId="4A1297B3" w14:textId="77777777" w:rsidTr="00680E37">
        <w:trPr>
          <w:cantSplit/>
          <w:trHeight w:val="227"/>
        </w:trPr>
        <w:tc>
          <w:tcPr>
            <w:tcW w:w="554" w:type="dxa"/>
            <w:vMerge/>
            <w:textDirection w:val="btLr"/>
          </w:tcPr>
          <w:p w14:paraId="5DCCA0BF"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0E3F98C8"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Медеуский</w:t>
            </w:r>
          </w:p>
        </w:tc>
        <w:tc>
          <w:tcPr>
            <w:tcW w:w="1738" w:type="dxa"/>
          </w:tcPr>
          <w:p w14:paraId="38D4D88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3908</w:t>
            </w:r>
          </w:p>
        </w:tc>
        <w:tc>
          <w:tcPr>
            <w:tcW w:w="1823" w:type="dxa"/>
          </w:tcPr>
          <w:p w14:paraId="5883321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1769,25</w:t>
            </w:r>
          </w:p>
        </w:tc>
        <w:tc>
          <w:tcPr>
            <w:tcW w:w="1720" w:type="dxa"/>
          </w:tcPr>
          <w:p w14:paraId="3C24A88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1341</w:t>
            </w:r>
          </w:p>
        </w:tc>
        <w:tc>
          <w:tcPr>
            <w:tcW w:w="2268" w:type="dxa"/>
          </w:tcPr>
          <w:p w14:paraId="6561B0D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607,11</w:t>
            </w:r>
          </w:p>
        </w:tc>
        <w:tc>
          <w:tcPr>
            <w:tcW w:w="1276" w:type="dxa"/>
          </w:tcPr>
          <w:p w14:paraId="6FC9D64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2567</w:t>
            </w:r>
          </w:p>
        </w:tc>
        <w:tc>
          <w:tcPr>
            <w:tcW w:w="2126" w:type="dxa"/>
          </w:tcPr>
          <w:p w14:paraId="2D2D9DF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1162,15</w:t>
            </w:r>
          </w:p>
        </w:tc>
      </w:tr>
      <w:tr w:rsidR="0053576E" w:rsidRPr="004135FE" w14:paraId="618337B9" w14:textId="77777777" w:rsidTr="00680E37">
        <w:trPr>
          <w:cantSplit/>
          <w:trHeight w:val="227"/>
        </w:trPr>
        <w:tc>
          <w:tcPr>
            <w:tcW w:w="554" w:type="dxa"/>
            <w:vMerge/>
            <w:textDirection w:val="btLr"/>
          </w:tcPr>
          <w:p w14:paraId="46528EFC"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68443508"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Наурызбайский</w:t>
            </w:r>
          </w:p>
        </w:tc>
        <w:tc>
          <w:tcPr>
            <w:tcW w:w="1738" w:type="dxa"/>
          </w:tcPr>
          <w:p w14:paraId="1BB36BC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1265</w:t>
            </w:r>
          </w:p>
        </w:tc>
        <w:tc>
          <w:tcPr>
            <w:tcW w:w="1823" w:type="dxa"/>
          </w:tcPr>
          <w:p w14:paraId="4D3B163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1284,94</w:t>
            </w:r>
          </w:p>
        </w:tc>
        <w:tc>
          <w:tcPr>
            <w:tcW w:w="1720" w:type="dxa"/>
          </w:tcPr>
          <w:p w14:paraId="6ECF78F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515</w:t>
            </w:r>
          </w:p>
        </w:tc>
        <w:tc>
          <w:tcPr>
            <w:tcW w:w="2268" w:type="dxa"/>
          </w:tcPr>
          <w:p w14:paraId="286199A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523,12</w:t>
            </w:r>
          </w:p>
        </w:tc>
        <w:tc>
          <w:tcPr>
            <w:tcW w:w="1276" w:type="dxa"/>
          </w:tcPr>
          <w:p w14:paraId="434FFBA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750</w:t>
            </w:r>
          </w:p>
        </w:tc>
        <w:tc>
          <w:tcPr>
            <w:tcW w:w="2126" w:type="dxa"/>
          </w:tcPr>
          <w:p w14:paraId="6E76E02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761,82</w:t>
            </w:r>
          </w:p>
        </w:tc>
      </w:tr>
      <w:tr w:rsidR="0053576E" w:rsidRPr="004135FE" w14:paraId="3F927956" w14:textId="77777777" w:rsidTr="00680E37">
        <w:trPr>
          <w:cantSplit/>
          <w:trHeight w:val="227"/>
        </w:trPr>
        <w:tc>
          <w:tcPr>
            <w:tcW w:w="554" w:type="dxa"/>
            <w:vMerge/>
            <w:textDirection w:val="btLr"/>
          </w:tcPr>
          <w:p w14:paraId="01FDAD85"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7BF67DB6"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Турксибский</w:t>
            </w:r>
          </w:p>
        </w:tc>
        <w:tc>
          <w:tcPr>
            <w:tcW w:w="1738" w:type="dxa"/>
          </w:tcPr>
          <w:p w14:paraId="3A41AA6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5230</w:t>
            </w:r>
          </w:p>
        </w:tc>
        <w:tc>
          <w:tcPr>
            <w:tcW w:w="1823" w:type="dxa"/>
          </w:tcPr>
          <w:p w14:paraId="04320E0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2714,15</w:t>
            </w:r>
          </w:p>
        </w:tc>
        <w:tc>
          <w:tcPr>
            <w:tcW w:w="1720" w:type="dxa"/>
          </w:tcPr>
          <w:p w14:paraId="0F4FE9C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1634</w:t>
            </w:r>
          </w:p>
        </w:tc>
        <w:tc>
          <w:tcPr>
            <w:tcW w:w="2268" w:type="dxa"/>
          </w:tcPr>
          <w:p w14:paraId="07C8074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847,98</w:t>
            </w:r>
          </w:p>
        </w:tc>
        <w:tc>
          <w:tcPr>
            <w:tcW w:w="1276" w:type="dxa"/>
          </w:tcPr>
          <w:p w14:paraId="1FCB168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3596</w:t>
            </w:r>
          </w:p>
        </w:tc>
        <w:tc>
          <w:tcPr>
            <w:tcW w:w="2126" w:type="dxa"/>
          </w:tcPr>
          <w:p w14:paraId="4D2C826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1866,17</w:t>
            </w:r>
          </w:p>
        </w:tc>
      </w:tr>
      <w:tr w:rsidR="0053576E" w:rsidRPr="004135FE" w14:paraId="7848E8AB" w14:textId="77777777" w:rsidTr="00680E37">
        <w:trPr>
          <w:cantSplit/>
          <w:trHeight w:val="227"/>
        </w:trPr>
        <w:tc>
          <w:tcPr>
            <w:tcW w:w="554" w:type="dxa"/>
            <w:vMerge/>
            <w:textDirection w:val="btLr"/>
          </w:tcPr>
          <w:p w14:paraId="7145B7A0"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1AA257BC"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Итого </w:t>
            </w:r>
          </w:p>
        </w:tc>
        <w:tc>
          <w:tcPr>
            <w:tcW w:w="1738" w:type="dxa"/>
          </w:tcPr>
          <w:p w14:paraId="610C7C4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35914</w:t>
            </w:r>
          </w:p>
        </w:tc>
        <w:tc>
          <w:tcPr>
            <w:tcW w:w="1823" w:type="dxa"/>
          </w:tcPr>
          <w:p w14:paraId="37084D0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1858,86</w:t>
            </w:r>
          </w:p>
        </w:tc>
        <w:tc>
          <w:tcPr>
            <w:tcW w:w="1720" w:type="dxa"/>
          </w:tcPr>
          <w:p w14:paraId="547F662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11875</w:t>
            </w:r>
          </w:p>
        </w:tc>
        <w:tc>
          <w:tcPr>
            <w:tcW w:w="2268" w:type="dxa"/>
          </w:tcPr>
          <w:p w14:paraId="367E958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614,64</w:t>
            </w:r>
          </w:p>
        </w:tc>
        <w:tc>
          <w:tcPr>
            <w:tcW w:w="1276" w:type="dxa"/>
          </w:tcPr>
          <w:p w14:paraId="313B07B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24039</w:t>
            </w:r>
          </w:p>
        </w:tc>
        <w:tc>
          <w:tcPr>
            <w:tcW w:w="2126" w:type="dxa"/>
          </w:tcPr>
          <w:p w14:paraId="40A4407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1244,23</w:t>
            </w:r>
          </w:p>
        </w:tc>
      </w:tr>
      <w:tr w:rsidR="0053576E" w:rsidRPr="004135FE" w14:paraId="1B1A9403" w14:textId="77777777" w:rsidTr="00680E37">
        <w:trPr>
          <w:cantSplit/>
          <w:trHeight w:val="227"/>
        </w:trPr>
        <w:tc>
          <w:tcPr>
            <w:tcW w:w="554" w:type="dxa"/>
            <w:vMerge w:val="restart"/>
            <w:textDirection w:val="btLr"/>
          </w:tcPr>
          <w:p w14:paraId="2012DC1D"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r w:rsidRPr="004135FE">
              <w:rPr>
                <w:rFonts w:ascii="Times New Roman" w:hAnsi="Times New Roman" w:cs="Times New Roman"/>
                <w:sz w:val="28"/>
                <w:szCs w:val="28"/>
              </w:rPr>
              <w:t>2019 г</w:t>
            </w:r>
          </w:p>
        </w:tc>
        <w:tc>
          <w:tcPr>
            <w:tcW w:w="2098" w:type="dxa"/>
          </w:tcPr>
          <w:p w14:paraId="0E92FEE8"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Алмалинский</w:t>
            </w:r>
          </w:p>
        </w:tc>
        <w:tc>
          <w:tcPr>
            <w:tcW w:w="1738" w:type="dxa"/>
          </w:tcPr>
          <w:p w14:paraId="3849D0D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6485</w:t>
            </w:r>
          </w:p>
        </w:tc>
        <w:tc>
          <w:tcPr>
            <w:tcW w:w="1823" w:type="dxa"/>
          </w:tcPr>
          <w:p w14:paraId="02DE8C2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1822,13</w:t>
            </w:r>
          </w:p>
        </w:tc>
        <w:tc>
          <w:tcPr>
            <w:tcW w:w="1720" w:type="dxa"/>
          </w:tcPr>
          <w:p w14:paraId="2EB43E5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2199</w:t>
            </w:r>
          </w:p>
        </w:tc>
        <w:tc>
          <w:tcPr>
            <w:tcW w:w="2268" w:type="dxa"/>
          </w:tcPr>
          <w:p w14:paraId="53C7641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617,86</w:t>
            </w:r>
          </w:p>
        </w:tc>
        <w:tc>
          <w:tcPr>
            <w:tcW w:w="1276" w:type="dxa"/>
          </w:tcPr>
          <w:p w14:paraId="2357E62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4286</w:t>
            </w:r>
          </w:p>
        </w:tc>
        <w:tc>
          <w:tcPr>
            <w:tcW w:w="2126" w:type="dxa"/>
          </w:tcPr>
          <w:p w14:paraId="7E26370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1204,26</w:t>
            </w:r>
          </w:p>
        </w:tc>
      </w:tr>
      <w:tr w:rsidR="0053576E" w:rsidRPr="004135FE" w14:paraId="5CD30BE8" w14:textId="77777777" w:rsidTr="00680E37">
        <w:trPr>
          <w:cantSplit/>
          <w:trHeight w:val="227"/>
        </w:trPr>
        <w:tc>
          <w:tcPr>
            <w:tcW w:w="554" w:type="dxa"/>
            <w:vMerge/>
            <w:textDirection w:val="btLr"/>
          </w:tcPr>
          <w:p w14:paraId="65AD0A09"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3A66D808"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Алатауский</w:t>
            </w:r>
          </w:p>
        </w:tc>
        <w:tc>
          <w:tcPr>
            <w:tcW w:w="1738" w:type="dxa"/>
          </w:tcPr>
          <w:p w14:paraId="167A7FC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3421</w:t>
            </w:r>
          </w:p>
        </w:tc>
        <w:tc>
          <w:tcPr>
            <w:tcW w:w="1823" w:type="dxa"/>
          </w:tcPr>
          <w:p w14:paraId="7485AD9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1526,16</w:t>
            </w:r>
          </w:p>
        </w:tc>
        <w:tc>
          <w:tcPr>
            <w:tcW w:w="1720" w:type="dxa"/>
          </w:tcPr>
          <w:p w14:paraId="47617D0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1352</w:t>
            </w:r>
          </w:p>
        </w:tc>
        <w:tc>
          <w:tcPr>
            <w:tcW w:w="2268" w:type="dxa"/>
          </w:tcPr>
          <w:p w14:paraId="02075E0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603,15</w:t>
            </w:r>
          </w:p>
        </w:tc>
        <w:tc>
          <w:tcPr>
            <w:tcW w:w="1276" w:type="dxa"/>
          </w:tcPr>
          <w:p w14:paraId="6FAEE12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2069</w:t>
            </w:r>
          </w:p>
        </w:tc>
        <w:tc>
          <w:tcPr>
            <w:tcW w:w="2126" w:type="dxa"/>
          </w:tcPr>
          <w:p w14:paraId="230047E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923,01</w:t>
            </w:r>
          </w:p>
        </w:tc>
      </w:tr>
      <w:tr w:rsidR="0053576E" w:rsidRPr="004135FE" w14:paraId="0A42717B" w14:textId="77777777" w:rsidTr="00680E37">
        <w:trPr>
          <w:cantSplit/>
          <w:trHeight w:val="227"/>
        </w:trPr>
        <w:tc>
          <w:tcPr>
            <w:tcW w:w="554" w:type="dxa"/>
            <w:vMerge/>
            <w:textDirection w:val="btLr"/>
          </w:tcPr>
          <w:p w14:paraId="277CBCD1"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7764693A"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Ауэзовский</w:t>
            </w:r>
          </w:p>
        </w:tc>
        <w:tc>
          <w:tcPr>
            <w:tcW w:w="1738" w:type="dxa"/>
          </w:tcPr>
          <w:p w14:paraId="6225C4F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7352</w:t>
            </w:r>
          </w:p>
        </w:tc>
        <w:tc>
          <w:tcPr>
            <w:tcW w:w="1823" w:type="dxa"/>
          </w:tcPr>
          <w:p w14:paraId="5E020AF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2451,10</w:t>
            </w:r>
          </w:p>
        </w:tc>
        <w:tc>
          <w:tcPr>
            <w:tcW w:w="1720" w:type="dxa"/>
          </w:tcPr>
          <w:p w14:paraId="0F6BEB1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2337</w:t>
            </w:r>
          </w:p>
        </w:tc>
        <w:tc>
          <w:tcPr>
            <w:tcW w:w="2268" w:type="dxa"/>
          </w:tcPr>
          <w:p w14:paraId="3A26BC2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779,14</w:t>
            </w:r>
          </w:p>
        </w:tc>
        <w:tc>
          <w:tcPr>
            <w:tcW w:w="1276" w:type="dxa"/>
          </w:tcPr>
          <w:p w14:paraId="7B0C119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5015</w:t>
            </w:r>
          </w:p>
        </w:tc>
        <w:tc>
          <w:tcPr>
            <w:tcW w:w="2126" w:type="dxa"/>
          </w:tcPr>
          <w:p w14:paraId="190C5C6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1671,96</w:t>
            </w:r>
          </w:p>
        </w:tc>
      </w:tr>
      <w:tr w:rsidR="0053576E" w:rsidRPr="004135FE" w14:paraId="72CE7A6D" w14:textId="77777777" w:rsidTr="00680E37">
        <w:trPr>
          <w:cantSplit/>
          <w:trHeight w:val="227"/>
        </w:trPr>
        <w:tc>
          <w:tcPr>
            <w:tcW w:w="554" w:type="dxa"/>
            <w:vMerge/>
            <w:textDirection w:val="btLr"/>
          </w:tcPr>
          <w:p w14:paraId="320831C8"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7F6AA509"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Бостандыкский</w:t>
            </w:r>
          </w:p>
        </w:tc>
        <w:tc>
          <w:tcPr>
            <w:tcW w:w="1738" w:type="dxa"/>
          </w:tcPr>
          <w:p w14:paraId="394A533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6847</w:t>
            </w:r>
          </w:p>
        </w:tc>
        <w:tc>
          <w:tcPr>
            <w:tcW w:w="1823" w:type="dxa"/>
          </w:tcPr>
          <w:p w14:paraId="7368267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1849,28</w:t>
            </w:r>
          </w:p>
        </w:tc>
        <w:tc>
          <w:tcPr>
            <w:tcW w:w="1720" w:type="dxa"/>
          </w:tcPr>
          <w:p w14:paraId="7D99C01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2299</w:t>
            </w:r>
          </w:p>
        </w:tc>
        <w:tc>
          <w:tcPr>
            <w:tcW w:w="2268" w:type="dxa"/>
          </w:tcPr>
          <w:p w14:paraId="0E6ADFD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620,93</w:t>
            </w:r>
          </w:p>
        </w:tc>
        <w:tc>
          <w:tcPr>
            <w:tcW w:w="1276" w:type="dxa"/>
          </w:tcPr>
          <w:p w14:paraId="3519F87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4548</w:t>
            </w:r>
          </w:p>
        </w:tc>
        <w:tc>
          <w:tcPr>
            <w:tcW w:w="2126" w:type="dxa"/>
          </w:tcPr>
          <w:p w14:paraId="405E0AB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1228,35</w:t>
            </w:r>
          </w:p>
        </w:tc>
      </w:tr>
      <w:tr w:rsidR="0053576E" w:rsidRPr="004135FE" w14:paraId="18F3BBEC" w14:textId="77777777" w:rsidTr="00680E37">
        <w:trPr>
          <w:cantSplit/>
          <w:trHeight w:val="227"/>
        </w:trPr>
        <w:tc>
          <w:tcPr>
            <w:tcW w:w="554" w:type="dxa"/>
            <w:vMerge/>
            <w:textDirection w:val="btLr"/>
          </w:tcPr>
          <w:p w14:paraId="763BA746"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698D160C"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Жетысуский</w:t>
            </w:r>
          </w:p>
        </w:tc>
        <w:tc>
          <w:tcPr>
            <w:tcW w:w="1738" w:type="dxa"/>
          </w:tcPr>
          <w:p w14:paraId="6493C0A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4422</w:t>
            </w:r>
          </w:p>
        </w:tc>
        <w:tc>
          <w:tcPr>
            <w:tcW w:w="1823" w:type="dxa"/>
          </w:tcPr>
          <w:p w14:paraId="1353590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2428,54</w:t>
            </w:r>
          </w:p>
        </w:tc>
        <w:tc>
          <w:tcPr>
            <w:tcW w:w="1720" w:type="dxa"/>
          </w:tcPr>
          <w:p w14:paraId="7F8C4E5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1374</w:t>
            </w:r>
          </w:p>
        </w:tc>
        <w:tc>
          <w:tcPr>
            <w:tcW w:w="2268" w:type="dxa"/>
          </w:tcPr>
          <w:p w14:paraId="44A755A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754,59</w:t>
            </w:r>
          </w:p>
        </w:tc>
        <w:tc>
          <w:tcPr>
            <w:tcW w:w="1276" w:type="dxa"/>
          </w:tcPr>
          <w:p w14:paraId="628D918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3048</w:t>
            </w:r>
          </w:p>
        </w:tc>
        <w:tc>
          <w:tcPr>
            <w:tcW w:w="2126" w:type="dxa"/>
          </w:tcPr>
          <w:p w14:paraId="6C15BCA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1673,94</w:t>
            </w:r>
          </w:p>
        </w:tc>
      </w:tr>
      <w:tr w:rsidR="0053576E" w:rsidRPr="004135FE" w14:paraId="2E11EBE3" w14:textId="77777777" w:rsidTr="00680E37">
        <w:trPr>
          <w:cantSplit/>
          <w:trHeight w:val="227"/>
        </w:trPr>
        <w:tc>
          <w:tcPr>
            <w:tcW w:w="554" w:type="dxa"/>
            <w:vMerge/>
            <w:textDirection w:val="btLr"/>
          </w:tcPr>
          <w:p w14:paraId="597D1171"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2E130B8C"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Медеуский</w:t>
            </w:r>
          </w:p>
        </w:tc>
        <w:tc>
          <w:tcPr>
            <w:tcW w:w="1738" w:type="dxa"/>
          </w:tcPr>
          <w:p w14:paraId="2BAEB82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4525</w:t>
            </w:r>
          </w:p>
        </w:tc>
        <w:tc>
          <w:tcPr>
            <w:tcW w:w="1823" w:type="dxa"/>
          </w:tcPr>
          <w:p w14:paraId="68DA7B4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1967,72</w:t>
            </w:r>
          </w:p>
        </w:tc>
        <w:tc>
          <w:tcPr>
            <w:tcW w:w="1720" w:type="dxa"/>
          </w:tcPr>
          <w:p w14:paraId="20B8B3A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1572</w:t>
            </w:r>
          </w:p>
        </w:tc>
        <w:tc>
          <w:tcPr>
            <w:tcW w:w="2268" w:type="dxa"/>
          </w:tcPr>
          <w:p w14:paraId="68D0EB7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683,59</w:t>
            </w:r>
          </w:p>
        </w:tc>
        <w:tc>
          <w:tcPr>
            <w:tcW w:w="1276" w:type="dxa"/>
          </w:tcPr>
          <w:p w14:paraId="31E6910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2953</w:t>
            </w:r>
          </w:p>
        </w:tc>
        <w:tc>
          <w:tcPr>
            <w:tcW w:w="2126" w:type="dxa"/>
          </w:tcPr>
          <w:p w14:paraId="7557382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1284,13</w:t>
            </w:r>
          </w:p>
        </w:tc>
      </w:tr>
      <w:tr w:rsidR="0053576E" w:rsidRPr="004135FE" w14:paraId="7A4BC028" w14:textId="77777777" w:rsidTr="00680E37">
        <w:trPr>
          <w:cantSplit/>
          <w:trHeight w:val="227"/>
        </w:trPr>
        <w:tc>
          <w:tcPr>
            <w:tcW w:w="554" w:type="dxa"/>
            <w:vMerge/>
            <w:textDirection w:val="btLr"/>
          </w:tcPr>
          <w:p w14:paraId="00933477"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2A507A45"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Наурызбайский</w:t>
            </w:r>
          </w:p>
        </w:tc>
        <w:tc>
          <w:tcPr>
            <w:tcW w:w="1738" w:type="dxa"/>
          </w:tcPr>
          <w:p w14:paraId="6C6F760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1619</w:t>
            </w:r>
          </w:p>
        </w:tc>
        <w:tc>
          <w:tcPr>
            <w:tcW w:w="1823" w:type="dxa"/>
          </w:tcPr>
          <w:p w14:paraId="0B0F71B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1412,19</w:t>
            </w:r>
          </w:p>
        </w:tc>
        <w:tc>
          <w:tcPr>
            <w:tcW w:w="1720" w:type="dxa"/>
          </w:tcPr>
          <w:p w14:paraId="6A89B40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663</w:t>
            </w:r>
          </w:p>
        </w:tc>
        <w:tc>
          <w:tcPr>
            <w:tcW w:w="2268" w:type="dxa"/>
          </w:tcPr>
          <w:p w14:paraId="3FCC156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578,31</w:t>
            </w:r>
          </w:p>
        </w:tc>
        <w:tc>
          <w:tcPr>
            <w:tcW w:w="1276" w:type="dxa"/>
          </w:tcPr>
          <w:p w14:paraId="135E1EB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956</w:t>
            </w:r>
          </w:p>
        </w:tc>
        <w:tc>
          <w:tcPr>
            <w:tcW w:w="2126" w:type="dxa"/>
          </w:tcPr>
          <w:p w14:paraId="1CCCDD1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833,88</w:t>
            </w:r>
          </w:p>
        </w:tc>
      </w:tr>
      <w:tr w:rsidR="0053576E" w:rsidRPr="004135FE" w14:paraId="125654DE" w14:textId="77777777" w:rsidTr="00680E37">
        <w:trPr>
          <w:cantSplit/>
          <w:trHeight w:val="227"/>
        </w:trPr>
        <w:tc>
          <w:tcPr>
            <w:tcW w:w="554" w:type="dxa"/>
            <w:vMerge/>
            <w:textDirection w:val="btLr"/>
          </w:tcPr>
          <w:p w14:paraId="4717ACD3"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724E02E0" w14:textId="77777777" w:rsidR="0053576E" w:rsidRPr="004135FE" w:rsidRDefault="0053576E" w:rsidP="004135FE">
            <w:pPr>
              <w:spacing w:after="0" w:line="240" w:lineRule="auto"/>
              <w:jc w:val="both"/>
              <w:rPr>
                <w:rFonts w:ascii="Times New Roman" w:eastAsia="Times New Roman" w:hAnsi="Times New Roman" w:cs="Times New Roman"/>
                <w:bCs/>
                <w:sz w:val="28"/>
                <w:szCs w:val="28"/>
              </w:rPr>
            </w:pPr>
            <w:r w:rsidRPr="004135FE">
              <w:rPr>
                <w:rFonts w:ascii="Times New Roman" w:eastAsia="Times New Roman" w:hAnsi="Times New Roman" w:cs="Times New Roman"/>
                <w:bCs/>
                <w:sz w:val="28"/>
                <w:szCs w:val="28"/>
              </w:rPr>
              <w:t>Турксибский</w:t>
            </w:r>
          </w:p>
        </w:tc>
        <w:tc>
          <w:tcPr>
            <w:tcW w:w="1738" w:type="dxa"/>
          </w:tcPr>
          <w:p w14:paraId="35D13E9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5835</w:t>
            </w:r>
          </w:p>
        </w:tc>
        <w:tc>
          <w:tcPr>
            <w:tcW w:w="1823" w:type="dxa"/>
          </w:tcPr>
          <w:p w14:paraId="375BF4F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2389,66</w:t>
            </w:r>
          </w:p>
        </w:tc>
        <w:tc>
          <w:tcPr>
            <w:tcW w:w="1720" w:type="dxa"/>
          </w:tcPr>
          <w:p w14:paraId="5DD158B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1833</w:t>
            </w:r>
          </w:p>
        </w:tc>
        <w:tc>
          <w:tcPr>
            <w:tcW w:w="2268" w:type="dxa"/>
          </w:tcPr>
          <w:p w14:paraId="4345F63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750,68</w:t>
            </w:r>
          </w:p>
        </w:tc>
        <w:tc>
          <w:tcPr>
            <w:tcW w:w="1276" w:type="dxa"/>
          </w:tcPr>
          <w:p w14:paraId="6E02A41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4002</w:t>
            </w:r>
          </w:p>
        </w:tc>
        <w:tc>
          <w:tcPr>
            <w:tcW w:w="2126" w:type="dxa"/>
          </w:tcPr>
          <w:p w14:paraId="765E14F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1638,98</w:t>
            </w:r>
          </w:p>
        </w:tc>
      </w:tr>
      <w:tr w:rsidR="0053576E" w:rsidRPr="004135FE" w14:paraId="5E955A30" w14:textId="77777777" w:rsidTr="00680E37">
        <w:trPr>
          <w:cantSplit/>
          <w:trHeight w:val="227"/>
        </w:trPr>
        <w:tc>
          <w:tcPr>
            <w:tcW w:w="554" w:type="dxa"/>
            <w:vMerge/>
            <w:textDirection w:val="btLr"/>
          </w:tcPr>
          <w:p w14:paraId="1502911B"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1E858517"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Итого </w:t>
            </w:r>
          </w:p>
        </w:tc>
        <w:tc>
          <w:tcPr>
            <w:tcW w:w="1738" w:type="dxa"/>
          </w:tcPr>
          <w:p w14:paraId="034F736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40506</w:t>
            </w:r>
          </w:p>
        </w:tc>
        <w:tc>
          <w:tcPr>
            <w:tcW w:w="1823" w:type="dxa"/>
          </w:tcPr>
          <w:p w14:paraId="1A0A610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2004,13</w:t>
            </w:r>
          </w:p>
        </w:tc>
        <w:tc>
          <w:tcPr>
            <w:tcW w:w="1720" w:type="dxa"/>
          </w:tcPr>
          <w:p w14:paraId="1B38142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13629</w:t>
            </w:r>
          </w:p>
        </w:tc>
        <w:tc>
          <w:tcPr>
            <w:tcW w:w="2268" w:type="dxa"/>
          </w:tcPr>
          <w:p w14:paraId="5169A36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674,33</w:t>
            </w:r>
          </w:p>
        </w:tc>
        <w:tc>
          <w:tcPr>
            <w:tcW w:w="1276" w:type="dxa"/>
          </w:tcPr>
          <w:p w14:paraId="5CAFCAE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26877</w:t>
            </w:r>
          </w:p>
        </w:tc>
        <w:tc>
          <w:tcPr>
            <w:tcW w:w="2126" w:type="dxa"/>
          </w:tcPr>
          <w:p w14:paraId="5F085AE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1329,80</w:t>
            </w:r>
          </w:p>
        </w:tc>
      </w:tr>
      <w:tr w:rsidR="0053576E" w:rsidRPr="004135FE" w14:paraId="331CF918" w14:textId="77777777" w:rsidTr="00680E37">
        <w:trPr>
          <w:cantSplit/>
          <w:trHeight w:val="227"/>
        </w:trPr>
        <w:tc>
          <w:tcPr>
            <w:tcW w:w="554" w:type="dxa"/>
            <w:vMerge w:val="restart"/>
            <w:textDirection w:val="btLr"/>
          </w:tcPr>
          <w:p w14:paraId="22B1DBB3"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r w:rsidRPr="004135FE">
              <w:rPr>
                <w:rFonts w:ascii="Times New Roman" w:hAnsi="Times New Roman" w:cs="Times New Roman"/>
                <w:sz w:val="28"/>
                <w:szCs w:val="28"/>
              </w:rPr>
              <w:t xml:space="preserve">2020 г </w:t>
            </w:r>
          </w:p>
        </w:tc>
        <w:tc>
          <w:tcPr>
            <w:tcW w:w="2098" w:type="dxa"/>
          </w:tcPr>
          <w:p w14:paraId="1C4629F6"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eastAsia="Times New Roman" w:hAnsi="Times New Roman" w:cs="Times New Roman"/>
                <w:bCs/>
                <w:sz w:val="28"/>
                <w:szCs w:val="28"/>
              </w:rPr>
              <w:t>Алмалинский</w:t>
            </w:r>
          </w:p>
        </w:tc>
        <w:tc>
          <w:tcPr>
            <w:tcW w:w="1738" w:type="dxa"/>
          </w:tcPr>
          <w:p w14:paraId="4AC4843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6954</w:t>
            </w:r>
          </w:p>
        </w:tc>
        <w:tc>
          <w:tcPr>
            <w:tcW w:w="1823" w:type="dxa"/>
          </w:tcPr>
          <w:p w14:paraId="7011984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1915,16</w:t>
            </w:r>
          </w:p>
        </w:tc>
        <w:tc>
          <w:tcPr>
            <w:tcW w:w="1720" w:type="dxa"/>
          </w:tcPr>
          <w:p w14:paraId="6E0CF67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2411</w:t>
            </w:r>
          </w:p>
        </w:tc>
        <w:tc>
          <w:tcPr>
            <w:tcW w:w="2268" w:type="dxa"/>
          </w:tcPr>
          <w:p w14:paraId="02586FD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664,00</w:t>
            </w:r>
          </w:p>
        </w:tc>
        <w:tc>
          <w:tcPr>
            <w:tcW w:w="1276" w:type="dxa"/>
          </w:tcPr>
          <w:p w14:paraId="15C6D2D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4543</w:t>
            </w:r>
          </w:p>
        </w:tc>
        <w:tc>
          <w:tcPr>
            <w:tcW w:w="2126" w:type="dxa"/>
          </w:tcPr>
          <w:p w14:paraId="079325C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1251,16</w:t>
            </w:r>
          </w:p>
        </w:tc>
      </w:tr>
      <w:tr w:rsidR="0053576E" w:rsidRPr="004135FE" w14:paraId="7295A2AA" w14:textId="77777777" w:rsidTr="00680E37">
        <w:trPr>
          <w:cantSplit/>
          <w:trHeight w:val="227"/>
        </w:trPr>
        <w:tc>
          <w:tcPr>
            <w:tcW w:w="554" w:type="dxa"/>
            <w:vMerge/>
            <w:textDirection w:val="btLr"/>
          </w:tcPr>
          <w:p w14:paraId="798CD13A"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2A439129"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eastAsia="Times New Roman" w:hAnsi="Times New Roman" w:cs="Times New Roman"/>
                <w:bCs/>
                <w:sz w:val="28"/>
                <w:szCs w:val="28"/>
              </w:rPr>
              <w:t>Алатауский</w:t>
            </w:r>
          </w:p>
        </w:tc>
        <w:tc>
          <w:tcPr>
            <w:tcW w:w="1738" w:type="dxa"/>
          </w:tcPr>
          <w:p w14:paraId="7D24ABB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3710</w:t>
            </w:r>
          </w:p>
        </w:tc>
        <w:tc>
          <w:tcPr>
            <w:tcW w:w="1823" w:type="dxa"/>
          </w:tcPr>
          <w:p w14:paraId="02DD1CF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1585,22</w:t>
            </w:r>
          </w:p>
        </w:tc>
        <w:tc>
          <w:tcPr>
            <w:tcW w:w="1720" w:type="dxa"/>
          </w:tcPr>
          <w:p w14:paraId="77AD2FA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1469</w:t>
            </w:r>
          </w:p>
        </w:tc>
        <w:tc>
          <w:tcPr>
            <w:tcW w:w="2268" w:type="dxa"/>
          </w:tcPr>
          <w:p w14:paraId="4A09360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627,68</w:t>
            </w:r>
          </w:p>
        </w:tc>
        <w:tc>
          <w:tcPr>
            <w:tcW w:w="1276" w:type="dxa"/>
          </w:tcPr>
          <w:p w14:paraId="5E6A120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2241</w:t>
            </w:r>
          </w:p>
        </w:tc>
        <w:tc>
          <w:tcPr>
            <w:tcW w:w="2126" w:type="dxa"/>
          </w:tcPr>
          <w:p w14:paraId="2642FAA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957,54</w:t>
            </w:r>
          </w:p>
        </w:tc>
      </w:tr>
      <w:tr w:rsidR="0053576E" w:rsidRPr="004135FE" w14:paraId="4C03DEAD" w14:textId="77777777" w:rsidTr="00680E37">
        <w:trPr>
          <w:cantSplit/>
          <w:trHeight w:val="227"/>
        </w:trPr>
        <w:tc>
          <w:tcPr>
            <w:tcW w:w="554" w:type="dxa"/>
            <w:vMerge/>
            <w:textDirection w:val="btLr"/>
          </w:tcPr>
          <w:p w14:paraId="718E4C17"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7B0A03C4"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eastAsia="Times New Roman" w:hAnsi="Times New Roman" w:cs="Times New Roman"/>
                <w:bCs/>
                <w:sz w:val="28"/>
                <w:szCs w:val="28"/>
              </w:rPr>
              <w:t>Ауэзовский</w:t>
            </w:r>
          </w:p>
        </w:tc>
        <w:tc>
          <w:tcPr>
            <w:tcW w:w="1738" w:type="dxa"/>
          </w:tcPr>
          <w:p w14:paraId="4A3F685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7269</w:t>
            </w:r>
          </w:p>
        </w:tc>
        <w:tc>
          <w:tcPr>
            <w:tcW w:w="1823" w:type="dxa"/>
          </w:tcPr>
          <w:p w14:paraId="7D91DDD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2368,62</w:t>
            </w:r>
          </w:p>
        </w:tc>
        <w:tc>
          <w:tcPr>
            <w:tcW w:w="1720" w:type="dxa"/>
          </w:tcPr>
          <w:p w14:paraId="5FF868F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2301</w:t>
            </w:r>
          </w:p>
        </w:tc>
        <w:tc>
          <w:tcPr>
            <w:tcW w:w="2268" w:type="dxa"/>
          </w:tcPr>
          <w:p w14:paraId="57DF4F8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749,78</w:t>
            </w:r>
          </w:p>
        </w:tc>
        <w:tc>
          <w:tcPr>
            <w:tcW w:w="1276" w:type="dxa"/>
          </w:tcPr>
          <w:p w14:paraId="2CFBB82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4968</w:t>
            </w:r>
          </w:p>
        </w:tc>
        <w:tc>
          <w:tcPr>
            <w:tcW w:w="2126" w:type="dxa"/>
          </w:tcPr>
          <w:p w14:paraId="4FD57C0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1618,83</w:t>
            </w:r>
          </w:p>
        </w:tc>
      </w:tr>
      <w:tr w:rsidR="0053576E" w:rsidRPr="004135FE" w14:paraId="52DCCD7E" w14:textId="77777777" w:rsidTr="00680E37">
        <w:trPr>
          <w:cantSplit/>
          <w:trHeight w:val="227"/>
        </w:trPr>
        <w:tc>
          <w:tcPr>
            <w:tcW w:w="554" w:type="dxa"/>
            <w:vMerge/>
            <w:textDirection w:val="btLr"/>
          </w:tcPr>
          <w:p w14:paraId="4B826D49"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65A76C93"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eastAsia="Times New Roman" w:hAnsi="Times New Roman" w:cs="Times New Roman"/>
                <w:bCs/>
                <w:sz w:val="28"/>
                <w:szCs w:val="28"/>
              </w:rPr>
              <w:t>Бостандыкский</w:t>
            </w:r>
          </w:p>
        </w:tc>
        <w:tc>
          <w:tcPr>
            <w:tcW w:w="1738" w:type="dxa"/>
          </w:tcPr>
          <w:p w14:paraId="62FD222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7107</w:t>
            </w:r>
          </w:p>
        </w:tc>
        <w:tc>
          <w:tcPr>
            <w:tcW w:w="1823" w:type="dxa"/>
          </w:tcPr>
          <w:p w14:paraId="24155CA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1924,63</w:t>
            </w:r>
          </w:p>
        </w:tc>
        <w:tc>
          <w:tcPr>
            <w:tcW w:w="1720" w:type="dxa"/>
          </w:tcPr>
          <w:p w14:paraId="6290955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2446</w:t>
            </w:r>
          </w:p>
        </w:tc>
        <w:tc>
          <w:tcPr>
            <w:tcW w:w="2268" w:type="dxa"/>
          </w:tcPr>
          <w:p w14:paraId="5FBDEB3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662,40</w:t>
            </w:r>
          </w:p>
        </w:tc>
        <w:tc>
          <w:tcPr>
            <w:tcW w:w="1276" w:type="dxa"/>
          </w:tcPr>
          <w:p w14:paraId="13F4A6A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4661</w:t>
            </w:r>
          </w:p>
        </w:tc>
        <w:tc>
          <w:tcPr>
            <w:tcW w:w="2126" w:type="dxa"/>
          </w:tcPr>
          <w:p w14:paraId="2BAACF3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1262,24</w:t>
            </w:r>
          </w:p>
        </w:tc>
      </w:tr>
      <w:tr w:rsidR="0053576E" w:rsidRPr="004135FE" w14:paraId="098846EC" w14:textId="77777777" w:rsidTr="00680E37">
        <w:trPr>
          <w:cantSplit/>
          <w:trHeight w:val="227"/>
        </w:trPr>
        <w:tc>
          <w:tcPr>
            <w:tcW w:w="554" w:type="dxa"/>
            <w:vMerge/>
            <w:textDirection w:val="btLr"/>
          </w:tcPr>
          <w:p w14:paraId="7BC44A6A"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3467B713"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eastAsia="Times New Roman" w:hAnsi="Times New Roman" w:cs="Times New Roman"/>
                <w:bCs/>
                <w:sz w:val="28"/>
                <w:szCs w:val="28"/>
              </w:rPr>
              <w:t>Жетысуский</w:t>
            </w:r>
          </w:p>
        </w:tc>
        <w:tc>
          <w:tcPr>
            <w:tcW w:w="1738" w:type="dxa"/>
          </w:tcPr>
          <w:p w14:paraId="09E7236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4574</w:t>
            </w:r>
          </w:p>
        </w:tc>
        <w:tc>
          <w:tcPr>
            <w:tcW w:w="1823" w:type="dxa"/>
          </w:tcPr>
          <w:p w14:paraId="0345F58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2512,72</w:t>
            </w:r>
          </w:p>
        </w:tc>
        <w:tc>
          <w:tcPr>
            <w:tcW w:w="1720" w:type="dxa"/>
          </w:tcPr>
          <w:p w14:paraId="2DE9A82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1452</w:t>
            </w:r>
          </w:p>
        </w:tc>
        <w:tc>
          <w:tcPr>
            <w:tcW w:w="2268" w:type="dxa"/>
          </w:tcPr>
          <w:p w14:paraId="77E4545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797,65</w:t>
            </w:r>
          </w:p>
        </w:tc>
        <w:tc>
          <w:tcPr>
            <w:tcW w:w="1276" w:type="dxa"/>
          </w:tcPr>
          <w:p w14:paraId="0D8416E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3122</w:t>
            </w:r>
          </w:p>
        </w:tc>
        <w:tc>
          <w:tcPr>
            <w:tcW w:w="2126" w:type="dxa"/>
          </w:tcPr>
          <w:p w14:paraId="1F6F3D1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1715,06</w:t>
            </w:r>
          </w:p>
        </w:tc>
      </w:tr>
      <w:tr w:rsidR="0053576E" w:rsidRPr="004135FE" w14:paraId="2C1527AC" w14:textId="77777777" w:rsidTr="00680E37">
        <w:trPr>
          <w:cantSplit/>
          <w:trHeight w:val="227"/>
        </w:trPr>
        <w:tc>
          <w:tcPr>
            <w:tcW w:w="554" w:type="dxa"/>
            <w:vMerge/>
            <w:textDirection w:val="btLr"/>
          </w:tcPr>
          <w:p w14:paraId="4C1586DA"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70E33F18"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eastAsia="Times New Roman" w:hAnsi="Times New Roman" w:cs="Times New Roman"/>
                <w:bCs/>
                <w:sz w:val="28"/>
                <w:szCs w:val="28"/>
              </w:rPr>
              <w:t>Медеуский</w:t>
            </w:r>
          </w:p>
        </w:tc>
        <w:tc>
          <w:tcPr>
            <w:tcW w:w="1738" w:type="dxa"/>
          </w:tcPr>
          <w:p w14:paraId="58F87D1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4734</w:t>
            </w:r>
          </w:p>
        </w:tc>
        <w:tc>
          <w:tcPr>
            <w:tcW w:w="1823" w:type="dxa"/>
          </w:tcPr>
          <w:p w14:paraId="4FE4DC6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2048,55</w:t>
            </w:r>
          </w:p>
        </w:tc>
        <w:tc>
          <w:tcPr>
            <w:tcW w:w="1720" w:type="dxa"/>
          </w:tcPr>
          <w:p w14:paraId="19E8934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1671</w:t>
            </w:r>
          </w:p>
        </w:tc>
        <w:tc>
          <w:tcPr>
            <w:tcW w:w="2268" w:type="dxa"/>
          </w:tcPr>
          <w:p w14:paraId="0A67745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723,09</w:t>
            </w:r>
          </w:p>
        </w:tc>
        <w:tc>
          <w:tcPr>
            <w:tcW w:w="1276" w:type="dxa"/>
          </w:tcPr>
          <w:p w14:paraId="3DE7347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3063</w:t>
            </w:r>
          </w:p>
        </w:tc>
        <w:tc>
          <w:tcPr>
            <w:tcW w:w="2126" w:type="dxa"/>
          </w:tcPr>
          <w:p w14:paraId="69D5045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1325,46</w:t>
            </w:r>
          </w:p>
        </w:tc>
      </w:tr>
      <w:tr w:rsidR="0053576E" w:rsidRPr="004135FE" w14:paraId="44636481" w14:textId="77777777" w:rsidTr="00680E37">
        <w:trPr>
          <w:cantSplit/>
          <w:trHeight w:val="227"/>
        </w:trPr>
        <w:tc>
          <w:tcPr>
            <w:tcW w:w="554" w:type="dxa"/>
            <w:vMerge/>
            <w:textDirection w:val="btLr"/>
          </w:tcPr>
          <w:p w14:paraId="429FBAB1"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04C9DD8A"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eastAsia="Times New Roman" w:hAnsi="Times New Roman" w:cs="Times New Roman"/>
                <w:bCs/>
                <w:sz w:val="28"/>
                <w:szCs w:val="28"/>
              </w:rPr>
              <w:t>Наурызбайский</w:t>
            </w:r>
          </w:p>
        </w:tc>
        <w:tc>
          <w:tcPr>
            <w:tcW w:w="1738" w:type="dxa"/>
          </w:tcPr>
          <w:p w14:paraId="4F44A45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1891</w:t>
            </w:r>
          </w:p>
        </w:tc>
        <w:tc>
          <w:tcPr>
            <w:tcW w:w="1823" w:type="dxa"/>
          </w:tcPr>
          <w:p w14:paraId="17607F3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1571,94</w:t>
            </w:r>
          </w:p>
        </w:tc>
        <w:tc>
          <w:tcPr>
            <w:tcW w:w="1720" w:type="dxa"/>
          </w:tcPr>
          <w:p w14:paraId="6BFCEE8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772</w:t>
            </w:r>
          </w:p>
        </w:tc>
        <w:tc>
          <w:tcPr>
            <w:tcW w:w="2268" w:type="dxa"/>
          </w:tcPr>
          <w:p w14:paraId="61581F9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641,75</w:t>
            </w:r>
          </w:p>
        </w:tc>
        <w:tc>
          <w:tcPr>
            <w:tcW w:w="1276" w:type="dxa"/>
          </w:tcPr>
          <w:p w14:paraId="0CC1B11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1119</w:t>
            </w:r>
          </w:p>
        </w:tc>
        <w:tc>
          <w:tcPr>
            <w:tcW w:w="2126" w:type="dxa"/>
          </w:tcPr>
          <w:p w14:paraId="7DB2834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930,20</w:t>
            </w:r>
          </w:p>
        </w:tc>
      </w:tr>
    </w:tbl>
    <w:p w14:paraId="40116982" w14:textId="77777777" w:rsidR="00680E37" w:rsidRPr="00680E37" w:rsidRDefault="00680E37" w:rsidP="00680E37">
      <w:pPr>
        <w:rPr>
          <w:rFonts w:ascii="Times New Roman" w:eastAsia="Times New Roman" w:hAnsi="Times New Roman" w:cs="Times New Roman"/>
          <w:sz w:val="28"/>
          <w:szCs w:val="28"/>
        </w:rPr>
      </w:pPr>
      <w:r w:rsidRPr="00680E37">
        <w:rPr>
          <w:rFonts w:ascii="Times New Roman" w:eastAsia="Times New Roman" w:hAnsi="Times New Roman" w:cs="Times New Roman"/>
          <w:sz w:val="28"/>
          <w:szCs w:val="28"/>
        </w:rPr>
        <w:t>Продолжение таблицы А5</w:t>
      </w:r>
    </w:p>
    <w:tbl>
      <w:tblPr>
        <w:tblStyle w:val="a5"/>
        <w:tblW w:w="13603" w:type="dxa"/>
        <w:tblLook w:val="04A0" w:firstRow="1" w:lastRow="0" w:firstColumn="1" w:lastColumn="0" w:noHBand="0" w:noVBand="1"/>
      </w:tblPr>
      <w:tblGrid>
        <w:gridCol w:w="554"/>
        <w:gridCol w:w="2098"/>
        <w:gridCol w:w="1738"/>
        <w:gridCol w:w="1823"/>
        <w:gridCol w:w="1720"/>
        <w:gridCol w:w="2268"/>
        <w:gridCol w:w="1276"/>
        <w:gridCol w:w="2126"/>
      </w:tblGrid>
      <w:tr w:rsidR="0053576E" w:rsidRPr="004135FE" w14:paraId="073A3346" w14:textId="77777777" w:rsidTr="00680E37">
        <w:trPr>
          <w:cantSplit/>
          <w:trHeight w:val="227"/>
        </w:trPr>
        <w:tc>
          <w:tcPr>
            <w:tcW w:w="554" w:type="dxa"/>
            <w:vMerge w:val="restart"/>
            <w:textDirection w:val="btLr"/>
          </w:tcPr>
          <w:p w14:paraId="341392BD"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6DF12962"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eastAsia="Times New Roman" w:hAnsi="Times New Roman" w:cs="Times New Roman"/>
                <w:bCs/>
                <w:sz w:val="28"/>
                <w:szCs w:val="28"/>
              </w:rPr>
              <w:t>Турксибский</w:t>
            </w:r>
          </w:p>
        </w:tc>
        <w:tc>
          <w:tcPr>
            <w:tcW w:w="1738" w:type="dxa"/>
          </w:tcPr>
          <w:p w14:paraId="57CD94C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6095</w:t>
            </w:r>
          </w:p>
        </w:tc>
        <w:tc>
          <w:tcPr>
            <w:tcW w:w="1823" w:type="dxa"/>
          </w:tcPr>
          <w:p w14:paraId="04D2749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2465,86</w:t>
            </w:r>
          </w:p>
        </w:tc>
        <w:tc>
          <w:tcPr>
            <w:tcW w:w="1720" w:type="dxa"/>
          </w:tcPr>
          <w:p w14:paraId="18CF587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1929</w:t>
            </w:r>
          </w:p>
        </w:tc>
        <w:tc>
          <w:tcPr>
            <w:tcW w:w="2268" w:type="dxa"/>
          </w:tcPr>
          <w:p w14:paraId="65827D8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780,42</w:t>
            </w:r>
          </w:p>
        </w:tc>
        <w:tc>
          <w:tcPr>
            <w:tcW w:w="1276" w:type="dxa"/>
          </w:tcPr>
          <w:p w14:paraId="5A15FD1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4166</w:t>
            </w:r>
          </w:p>
        </w:tc>
        <w:tc>
          <w:tcPr>
            <w:tcW w:w="2126" w:type="dxa"/>
          </w:tcPr>
          <w:p w14:paraId="189AD71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1685,45</w:t>
            </w:r>
          </w:p>
        </w:tc>
      </w:tr>
      <w:tr w:rsidR="0053576E" w:rsidRPr="004135FE" w14:paraId="478DE2A1" w14:textId="77777777" w:rsidTr="00680E37">
        <w:trPr>
          <w:cantSplit/>
          <w:trHeight w:val="227"/>
        </w:trPr>
        <w:tc>
          <w:tcPr>
            <w:tcW w:w="554" w:type="dxa"/>
            <w:vMerge/>
            <w:textDirection w:val="btLr"/>
          </w:tcPr>
          <w:p w14:paraId="5ECDB475"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p>
        </w:tc>
        <w:tc>
          <w:tcPr>
            <w:tcW w:w="2098" w:type="dxa"/>
          </w:tcPr>
          <w:p w14:paraId="1490D6E8"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Итого </w:t>
            </w:r>
          </w:p>
        </w:tc>
        <w:tc>
          <w:tcPr>
            <w:tcW w:w="1738" w:type="dxa"/>
          </w:tcPr>
          <w:p w14:paraId="1391331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42334</w:t>
            </w:r>
          </w:p>
        </w:tc>
        <w:tc>
          <w:tcPr>
            <w:tcW w:w="1823" w:type="dxa"/>
          </w:tcPr>
          <w:p w14:paraId="4460A9C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2061,16</w:t>
            </w:r>
          </w:p>
        </w:tc>
        <w:tc>
          <w:tcPr>
            <w:tcW w:w="1720" w:type="dxa"/>
          </w:tcPr>
          <w:p w14:paraId="4B5F182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14451</w:t>
            </w:r>
          </w:p>
        </w:tc>
        <w:tc>
          <w:tcPr>
            <w:tcW w:w="2268" w:type="dxa"/>
          </w:tcPr>
          <w:p w14:paraId="1A2D911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703,59</w:t>
            </w:r>
          </w:p>
        </w:tc>
        <w:tc>
          <w:tcPr>
            <w:tcW w:w="1276" w:type="dxa"/>
          </w:tcPr>
          <w:p w14:paraId="6123F6C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27883</w:t>
            </w:r>
          </w:p>
        </w:tc>
        <w:tc>
          <w:tcPr>
            <w:tcW w:w="2126" w:type="dxa"/>
          </w:tcPr>
          <w:p w14:paraId="3BBFC8F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1357,57</w:t>
            </w:r>
          </w:p>
        </w:tc>
      </w:tr>
      <w:tr w:rsidR="0053576E" w:rsidRPr="004135FE" w14:paraId="7D8D89B4" w14:textId="77777777" w:rsidTr="00680E37">
        <w:trPr>
          <w:cantSplit/>
          <w:trHeight w:val="227"/>
        </w:trPr>
        <w:tc>
          <w:tcPr>
            <w:tcW w:w="554" w:type="dxa"/>
            <w:vMerge w:val="restart"/>
            <w:textDirection w:val="btLr"/>
          </w:tcPr>
          <w:p w14:paraId="293C2317" w14:textId="77777777" w:rsidR="0053576E" w:rsidRPr="004135FE" w:rsidRDefault="0053576E" w:rsidP="004135FE">
            <w:pPr>
              <w:spacing w:after="0" w:line="240" w:lineRule="auto"/>
              <w:ind w:left="113" w:right="113"/>
              <w:jc w:val="center"/>
              <w:rPr>
                <w:rFonts w:ascii="Times New Roman" w:hAnsi="Times New Roman" w:cs="Times New Roman"/>
                <w:sz w:val="28"/>
                <w:szCs w:val="28"/>
              </w:rPr>
            </w:pPr>
            <w:r w:rsidRPr="004135FE">
              <w:rPr>
                <w:rFonts w:ascii="Times New Roman" w:hAnsi="Times New Roman" w:cs="Times New Roman"/>
                <w:sz w:val="28"/>
                <w:szCs w:val="28"/>
              </w:rPr>
              <w:t xml:space="preserve">2021 г </w:t>
            </w:r>
          </w:p>
        </w:tc>
        <w:tc>
          <w:tcPr>
            <w:tcW w:w="2098" w:type="dxa"/>
          </w:tcPr>
          <w:p w14:paraId="031AF2B7"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eastAsia="Times New Roman" w:hAnsi="Times New Roman" w:cs="Times New Roman"/>
                <w:bCs/>
                <w:sz w:val="28"/>
                <w:szCs w:val="28"/>
              </w:rPr>
              <w:t>Алмалинский</w:t>
            </w:r>
          </w:p>
        </w:tc>
        <w:tc>
          <w:tcPr>
            <w:tcW w:w="1738" w:type="dxa"/>
          </w:tcPr>
          <w:p w14:paraId="3BDE034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7365</w:t>
            </w:r>
          </w:p>
        </w:tc>
        <w:tc>
          <w:tcPr>
            <w:tcW w:w="1823" w:type="dxa"/>
          </w:tcPr>
          <w:p w14:paraId="4F30F93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2025,37</w:t>
            </w:r>
          </w:p>
        </w:tc>
        <w:tc>
          <w:tcPr>
            <w:tcW w:w="1720" w:type="dxa"/>
          </w:tcPr>
          <w:p w14:paraId="24D485F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2560</w:t>
            </w:r>
          </w:p>
        </w:tc>
        <w:tc>
          <w:tcPr>
            <w:tcW w:w="2268" w:type="dxa"/>
          </w:tcPr>
          <w:p w14:paraId="08246BA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704,00</w:t>
            </w:r>
          </w:p>
        </w:tc>
        <w:tc>
          <w:tcPr>
            <w:tcW w:w="1276" w:type="dxa"/>
          </w:tcPr>
          <w:p w14:paraId="78421F4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4805</w:t>
            </w:r>
          </w:p>
        </w:tc>
        <w:tc>
          <w:tcPr>
            <w:tcW w:w="2126" w:type="dxa"/>
          </w:tcPr>
          <w:p w14:paraId="1BB8046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1321,37</w:t>
            </w:r>
          </w:p>
        </w:tc>
      </w:tr>
      <w:tr w:rsidR="0053576E" w:rsidRPr="004135FE" w14:paraId="2172C0BE" w14:textId="77777777" w:rsidTr="00680E37">
        <w:trPr>
          <w:cantSplit/>
          <w:trHeight w:val="227"/>
        </w:trPr>
        <w:tc>
          <w:tcPr>
            <w:tcW w:w="554" w:type="dxa"/>
            <w:vMerge/>
          </w:tcPr>
          <w:p w14:paraId="39E8B7A0" w14:textId="77777777" w:rsidR="0053576E" w:rsidRPr="004135FE" w:rsidRDefault="0053576E" w:rsidP="004135FE">
            <w:pPr>
              <w:spacing w:after="0" w:line="240" w:lineRule="auto"/>
              <w:jc w:val="center"/>
              <w:rPr>
                <w:rFonts w:ascii="Times New Roman" w:hAnsi="Times New Roman" w:cs="Times New Roman"/>
                <w:sz w:val="28"/>
                <w:szCs w:val="28"/>
              </w:rPr>
            </w:pPr>
          </w:p>
        </w:tc>
        <w:tc>
          <w:tcPr>
            <w:tcW w:w="2098" w:type="dxa"/>
          </w:tcPr>
          <w:p w14:paraId="2FD94B12"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eastAsia="Times New Roman" w:hAnsi="Times New Roman" w:cs="Times New Roman"/>
                <w:bCs/>
                <w:sz w:val="28"/>
                <w:szCs w:val="28"/>
              </w:rPr>
              <w:t>Алатауский</w:t>
            </w:r>
          </w:p>
        </w:tc>
        <w:tc>
          <w:tcPr>
            <w:tcW w:w="1738" w:type="dxa"/>
          </w:tcPr>
          <w:p w14:paraId="3E21B22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4052</w:t>
            </w:r>
          </w:p>
        </w:tc>
        <w:tc>
          <w:tcPr>
            <w:tcW w:w="1823" w:type="dxa"/>
          </w:tcPr>
          <w:p w14:paraId="2DBB657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1650,29</w:t>
            </w:r>
          </w:p>
        </w:tc>
        <w:tc>
          <w:tcPr>
            <w:tcW w:w="1720" w:type="dxa"/>
          </w:tcPr>
          <w:p w14:paraId="093173E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1586</w:t>
            </w:r>
          </w:p>
        </w:tc>
        <w:tc>
          <w:tcPr>
            <w:tcW w:w="2268" w:type="dxa"/>
          </w:tcPr>
          <w:p w14:paraId="4937682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645,94</w:t>
            </w:r>
          </w:p>
        </w:tc>
        <w:tc>
          <w:tcPr>
            <w:tcW w:w="1276" w:type="dxa"/>
          </w:tcPr>
          <w:p w14:paraId="6DA3DC8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2466</w:t>
            </w:r>
          </w:p>
        </w:tc>
        <w:tc>
          <w:tcPr>
            <w:tcW w:w="2126" w:type="dxa"/>
          </w:tcPr>
          <w:p w14:paraId="4250665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1004,35</w:t>
            </w:r>
          </w:p>
        </w:tc>
      </w:tr>
      <w:tr w:rsidR="0053576E" w:rsidRPr="004135FE" w14:paraId="7C31265C" w14:textId="77777777" w:rsidTr="00680E37">
        <w:trPr>
          <w:cantSplit/>
          <w:trHeight w:val="227"/>
        </w:trPr>
        <w:tc>
          <w:tcPr>
            <w:tcW w:w="554" w:type="dxa"/>
            <w:vMerge/>
          </w:tcPr>
          <w:p w14:paraId="4A590826" w14:textId="77777777" w:rsidR="0053576E" w:rsidRPr="004135FE" w:rsidRDefault="0053576E" w:rsidP="004135FE">
            <w:pPr>
              <w:spacing w:after="0" w:line="240" w:lineRule="auto"/>
              <w:jc w:val="center"/>
              <w:rPr>
                <w:rFonts w:ascii="Times New Roman" w:hAnsi="Times New Roman" w:cs="Times New Roman"/>
                <w:sz w:val="28"/>
                <w:szCs w:val="28"/>
              </w:rPr>
            </w:pPr>
          </w:p>
        </w:tc>
        <w:tc>
          <w:tcPr>
            <w:tcW w:w="2098" w:type="dxa"/>
          </w:tcPr>
          <w:p w14:paraId="549A6C73"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eastAsia="Times New Roman" w:hAnsi="Times New Roman" w:cs="Times New Roman"/>
                <w:bCs/>
                <w:sz w:val="28"/>
                <w:szCs w:val="28"/>
              </w:rPr>
              <w:t>Ауэзовский</w:t>
            </w:r>
          </w:p>
        </w:tc>
        <w:tc>
          <w:tcPr>
            <w:tcW w:w="1738" w:type="dxa"/>
          </w:tcPr>
          <w:p w14:paraId="433F5F0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7692</w:t>
            </w:r>
          </w:p>
        </w:tc>
        <w:tc>
          <w:tcPr>
            <w:tcW w:w="1823" w:type="dxa"/>
          </w:tcPr>
          <w:p w14:paraId="712D74E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2460,11</w:t>
            </w:r>
          </w:p>
        </w:tc>
        <w:tc>
          <w:tcPr>
            <w:tcW w:w="1720" w:type="dxa"/>
          </w:tcPr>
          <w:p w14:paraId="77EB525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2443</w:t>
            </w:r>
          </w:p>
        </w:tc>
        <w:tc>
          <w:tcPr>
            <w:tcW w:w="2268" w:type="dxa"/>
          </w:tcPr>
          <w:p w14:paraId="19C357F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781,34</w:t>
            </w:r>
          </w:p>
        </w:tc>
        <w:tc>
          <w:tcPr>
            <w:tcW w:w="1276" w:type="dxa"/>
          </w:tcPr>
          <w:p w14:paraId="761319D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5249</w:t>
            </w:r>
          </w:p>
        </w:tc>
        <w:tc>
          <w:tcPr>
            <w:tcW w:w="2126" w:type="dxa"/>
          </w:tcPr>
          <w:p w14:paraId="55D2346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1678,77</w:t>
            </w:r>
          </w:p>
        </w:tc>
      </w:tr>
      <w:tr w:rsidR="0053576E" w:rsidRPr="004135FE" w14:paraId="3BBEE5E7" w14:textId="77777777" w:rsidTr="00680E37">
        <w:trPr>
          <w:cantSplit/>
          <w:trHeight w:val="227"/>
        </w:trPr>
        <w:tc>
          <w:tcPr>
            <w:tcW w:w="554" w:type="dxa"/>
            <w:vMerge/>
          </w:tcPr>
          <w:p w14:paraId="04999A8D" w14:textId="77777777" w:rsidR="0053576E" w:rsidRPr="004135FE" w:rsidRDefault="0053576E" w:rsidP="004135FE">
            <w:pPr>
              <w:spacing w:after="0" w:line="240" w:lineRule="auto"/>
              <w:jc w:val="center"/>
              <w:rPr>
                <w:rFonts w:ascii="Times New Roman" w:hAnsi="Times New Roman" w:cs="Times New Roman"/>
                <w:sz w:val="28"/>
                <w:szCs w:val="28"/>
              </w:rPr>
            </w:pPr>
          </w:p>
        </w:tc>
        <w:tc>
          <w:tcPr>
            <w:tcW w:w="2098" w:type="dxa"/>
          </w:tcPr>
          <w:p w14:paraId="13CAC1E8"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eastAsia="Times New Roman" w:hAnsi="Times New Roman" w:cs="Times New Roman"/>
                <w:bCs/>
                <w:sz w:val="28"/>
                <w:szCs w:val="28"/>
              </w:rPr>
              <w:t>Бостандыкский</w:t>
            </w:r>
          </w:p>
        </w:tc>
        <w:tc>
          <w:tcPr>
            <w:tcW w:w="1738" w:type="dxa"/>
          </w:tcPr>
          <w:p w14:paraId="647D9AF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7420</w:t>
            </w:r>
          </w:p>
        </w:tc>
        <w:tc>
          <w:tcPr>
            <w:tcW w:w="1823" w:type="dxa"/>
          </w:tcPr>
          <w:p w14:paraId="41AF3D6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1815,24</w:t>
            </w:r>
          </w:p>
        </w:tc>
        <w:tc>
          <w:tcPr>
            <w:tcW w:w="1720" w:type="dxa"/>
          </w:tcPr>
          <w:p w14:paraId="7AD3E81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2621</w:t>
            </w:r>
          </w:p>
        </w:tc>
        <w:tc>
          <w:tcPr>
            <w:tcW w:w="2268" w:type="dxa"/>
          </w:tcPr>
          <w:p w14:paraId="2E7CB43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641,21</w:t>
            </w:r>
          </w:p>
        </w:tc>
        <w:tc>
          <w:tcPr>
            <w:tcW w:w="1276" w:type="dxa"/>
          </w:tcPr>
          <w:p w14:paraId="011AA2C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4799</w:t>
            </w:r>
          </w:p>
        </w:tc>
        <w:tc>
          <w:tcPr>
            <w:tcW w:w="2126" w:type="dxa"/>
          </w:tcPr>
          <w:p w14:paraId="75E3B5B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1174,04</w:t>
            </w:r>
          </w:p>
        </w:tc>
      </w:tr>
      <w:tr w:rsidR="0053576E" w:rsidRPr="004135FE" w14:paraId="2160CE8D" w14:textId="77777777" w:rsidTr="00680E37">
        <w:trPr>
          <w:cantSplit/>
          <w:trHeight w:val="227"/>
        </w:trPr>
        <w:tc>
          <w:tcPr>
            <w:tcW w:w="554" w:type="dxa"/>
            <w:vMerge/>
          </w:tcPr>
          <w:p w14:paraId="2586ABC2" w14:textId="77777777" w:rsidR="0053576E" w:rsidRPr="004135FE" w:rsidRDefault="0053576E" w:rsidP="004135FE">
            <w:pPr>
              <w:spacing w:after="0" w:line="240" w:lineRule="auto"/>
              <w:jc w:val="center"/>
              <w:rPr>
                <w:rFonts w:ascii="Times New Roman" w:hAnsi="Times New Roman" w:cs="Times New Roman"/>
                <w:sz w:val="28"/>
                <w:szCs w:val="28"/>
              </w:rPr>
            </w:pPr>
          </w:p>
        </w:tc>
        <w:tc>
          <w:tcPr>
            <w:tcW w:w="2098" w:type="dxa"/>
          </w:tcPr>
          <w:p w14:paraId="3A77E6FA"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eastAsia="Times New Roman" w:hAnsi="Times New Roman" w:cs="Times New Roman"/>
                <w:bCs/>
                <w:sz w:val="28"/>
                <w:szCs w:val="28"/>
              </w:rPr>
              <w:t>Жетысуский</w:t>
            </w:r>
          </w:p>
        </w:tc>
        <w:tc>
          <w:tcPr>
            <w:tcW w:w="1738" w:type="dxa"/>
          </w:tcPr>
          <w:p w14:paraId="24E4D2D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4896</w:t>
            </w:r>
          </w:p>
        </w:tc>
        <w:tc>
          <w:tcPr>
            <w:tcW w:w="1823" w:type="dxa"/>
          </w:tcPr>
          <w:p w14:paraId="79789F7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2831,43</w:t>
            </w:r>
          </w:p>
        </w:tc>
        <w:tc>
          <w:tcPr>
            <w:tcW w:w="1720" w:type="dxa"/>
          </w:tcPr>
          <w:p w14:paraId="238BC9D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1559</w:t>
            </w:r>
          </w:p>
        </w:tc>
        <w:tc>
          <w:tcPr>
            <w:tcW w:w="2268" w:type="dxa"/>
          </w:tcPr>
          <w:p w14:paraId="44CB1CF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901,59</w:t>
            </w:r>
          </w:p>
        </w:tc>
        <w:tc>
          <w:tcPr>
            <w:tcW w:w="1276" w:type="dxa"/>
          </w:tcPr>
          <w:p w14:paraId="3F22093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3337</w:t>
            </w:r>
          </w:p>
        </w:tc>
        <w:tc>
          <w:tcPr>
            <w:tcW w:w="2126" w:type="dxa"/>
          </w:tcPr>
          <w:p w14:paraId="17C9522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1929,84</w:t>
            </w:r>
          </w:p>
        </w:tc>
      </w:tr>
      <w:tr w:rsidR="0053576E" w:rsidRPr="004135FE" w14:paraId="3BD9D4DC" w14:textId="77777777" w:rsidTr="00680E37">
        <w:trPr>
          <w:cantSplit/>
          <w:trHeight w:val="227"/>
        </w:trPr>
        <w:tc>
          <w:tcPr>
            <w:tcW w:w="554" w:type="dxa"/>
            <w:vMerge/>
          </w:tcPr>
          <w:p w14:paraId="19E0B5CA" w14:textId="77777777" w:rsidR="0053576E" w:rsidRPr="004135FE" w:rsidRDefault="0053576E" w:rsidP="004135FE">
            <w:pPr>
              <w:spacing w:after="0" w:line="240" w:lineRule="auto"/>
              <w:jc w:val="center"/>
              <w:rPr>
                <w:rFonts w:ascii="Times New Roman" w:hAnsi="Times New Roman" w:cs="Times New Roman"/>
                <w:sz w:val="28"/>
                <w:szCs w:val="28"/>
              </w:rPr>
            </w:pPr>
          </w:p>
        </w:tc>
        <w:tc>
          <w:tcPr>
            <w:tcW w:w="2098" w:type="dxa"/>
          </w:tcPr>
          <w:p w14:paraId="5CAAD38F"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eastAsia="Times New Roman" w:hAnsi="Times New Roman" w:cs="Times New Roman"/>
                <w:bCs/>
                <w:sz w:val="28"/>
                <w:szCs w:val="28"/>
              </w:rPr>
              <w:t>Медеуский</w:t>
            </w:r>
          </w:p>
        </w:tc>
        <w:tc>
          <w:tcPr>
            <w:tcW w:w="1738" w:type="dxa"/>
          </w:tcPr>
          <w:p w14:paraId="2082F23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4976</w:t>
            </w:r>
          </w:p>
        </w:tc>
        <w:tc>
          <w:tcPr>
            <w:tcW w:w="1823" w:type="dxa"/>
          </w:tcPr>
          <w:p w14:paraId="5A93C71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2042,67</w:t>
            </w:r>
          </w:p>
        </w:tc>
        <w:tc>
          <w:tcPr>
            <w:tcW w:w="1720" w:type="dxa"/>
          </w:tcPr>
          <w:p w14:paraId="724A327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1772</w:t>
            </w:r>
          </w:p>
        </w:tc>
        <w:tc>
          <w:tcPr>
            <w:tcW w:w="2268" w:type="dxa"/>
          </w:tcPr>
          <w:p w14:paraId="237E1EE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727,41</w:t>
            </w:r>
          </w:p>
        </w:tc>
        <w:tc>
          <w:tcPr>
            <w:tcW w:w="1276" w:type="dxa"/>
          </w:tcPr>
          <w:p w14:paraId="38733AB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3204</w:t>
            </w:r>
          </w:p>
        </w:tc>
        <w:tc>
          <w:tcPr>
            <w:tcW w:w="2126" w:type="dxa"/>
          </w:tcPr>
          <w:p w14:paraId="37A1237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1315,25</w:t>
            </w:r>
          </w:p>
        </w:tc>
      </w:tr>
      <w:tr w:rsidR="0053576E" w:rsidRPr="004135FE" w14:paraId="10B0EA1F" w14:textId="77777777" w:rsidTr="00680E37">
        <w:trPr>
          <w:cantSplit/>
          <w:trHeight w:val="227"/>
        </w:trPr>
        <w:tc>
          <w:tcPr>
            <w:tcW w:w="554" w:type="dxa"/>
            <w:vMerge/>
          </w:tcPr>
          <w:p w14:paraId="2EC7CCD9" w14:textId="77777777" w:rsidR="0053576E" w:rsidRPr="004135FE" w:rsidRDefault="0053576E" w:rsidP="004135FE">
            <w:pPr>
              <w:spacing w:after="0" w:line="240" w:lineRule="auto"/>
              <w:jc w:val="center"/>
              <w:rPr>
                <w:rFonts w:ascii="Times New Roman" w:hAnsi="Times New Roman" w:cs="Times New Roman"/>
                <w:sz w:val="28"/>
                <w:szCs w:val="28"/>
              </w:rPr>
            </w:pPr>
          </w:p>
        </w:tc>
        <w:tc>
          <w:tcPr>
            <w:tcW w:w="2098" w:type="dxa"/>
          </w:tcPr>
          <w:p w14:paraId="420A5AE7"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eastAsia="Times New Roman" w:hAnsi="Times New Roman" w:cs="Times New Roman"/>
                <w:bCs/>
                <w:sz w:val="28"/>
                <w:szCs w:val="28"/>
              </w:rPr>
              <w:t>Наурызбайский</w:t>
            </w:r>
          </w:p>
        </w:tc>
        <w:tc>
          <w:tcPr>
            <w:tcW w:w="1738" w:type="dxa"/>
          </w:tcPr>
          <w:p w14:paraId="224E20F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2189</w:t>
            </w:r>
          </w:p>
        </w:tc>
        <w:tc>
          <w:tcPr>
            <w:tcW w:w="1823" w:type="dxa"/>
          </w:tcPr>
          <w:p w14:paraId="2A54784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1643,17</w:t>
            </w:r>
          </w:p>
        </w:tc>
        <w:tc>
          <w:tcPr>
            <w:tcW w:w="1720" w:type="dxa"/>
          </w:tcPr>
          <w:p w14:paraId="05972AF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889</w:t>
            </w:r>
          </w:p>
        </w:tc>
        <w:tc>
          <w:tcPr>
            <w:tcW w:w="2268" w:type="dxa"/>
          </w:tcPr>
          <w:p w14:paraId="1358F4A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667,33</w:t>
            </w:r>
          </w:p>
        </w:tc>
        <w:tc>
          <w:tcPr>
            <w:tcW w:w="1276" w:type="dxa"/>
          </w:tcPr>
          <w:p w14:paraId="56AF05E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1300</w:t>
            </w:r>
          </w:p>
        </w:tc>
        <w:tc>
          <w:tcPr>
            <w:tcW w:w="2126" w:type="dxa"/>
          </w:tcPr>
          <w:p w14:paraId="1382818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975,84</w:t>
            </w:r>
          </w:p>
        </w:tc>
      </w:tr>
      <w:tr w:rsidR="0053576E" w:rsidRPr="004135FE" w14:paraId="7186535E" w14:textId="77777777" w:rsidTr="00680E37">
        <w:trPr>
          <w:cantSplit/>
          <w:trHeight w:val="227"/>
        </w:trPr>
        <w:tc>
          <w:tcPr>
            <w:tcW w:w="554" w:type="dxa"/>
            <w:vMerge/>
          </w:tcPr>
          <w:p w14:paraId="6E127050" w14:textId="77777777" w:rsidR="0053576E" w:rsidRPr="004135FE" w:rsidRDefault="0053576E" w:rsidP="004135FE">
            <w:pPr>
              <w:spacing w:after="0" w:line="240" w:lineRule="auto"/>
              <w:jc w:val="center"/>
              <w:rPr>
                <w:rFonts w:ascii="Times New Roman" w:hAnsi="Times New Roman" w:cs="Times New Roman"/>
                <w:sz w:val="28"/>
                <w:szCs w:val="28"/>
              </w:rPr>
            </w:pPr>
          </w:p>
        </w:tc>
        <w:tc>
          <w:tcPr>
            <w:tcW w:w="2098" w:type="dxa"/>
          </w:tcPr>
          <w:p w14:paraId="546BB116"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eastAsia="Times New Roman" w:hAnsi="Times New Roman" w:cs="Times New Roman"/>
                <w:bCs/>
                <w:sz w:val="28"/>
                <w:szCs w:val="28"/>
              </w:rPr>
              <w:t>Турксибский</w:t>
            </w:r>
          </w:p>
        </w:tc>
        <w:tc>
          <w:tcPr>
            <w:tcW w:w="1738" w:type="dxa"/>
          </w:tcPr>
          <w:p w14:paraId="427574E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6138</w:t>
            </w:r>
          </w:p>
        </w:tc>
        <w:tc>
          <w:tcPr>
            <w:tcW w:w="1823" w:type="dxa"/>
          </w:tcPr>
          <w:p w14:paraId="2F13A36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2447,45</w:t>
            </w:r>
          </w:p>
        </w:tc>
        <w:tc>
          <w:tcPr>
            <w:tcW w:w="1720" w:type="dxa"/>
          </w:tcPr>
          <w:p w14:paraId="1F718C0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1994</w:t>
            </w:r>
          </w:p>
        </w:tc>
        <w:tc>
          <w:tcPr>
            <w:tcW w:w="2268" w:type="dxa"/>
          </w:tcPr>
          <w:p w14:paraId="6216A77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795,08</w:t>
            </w:r>
          </w:p>
        </w:tc>
        <w:tc>
          <w:tcPr>
            <w:tcW w:w="1276" w:type="dxa"/>
          </w:tcPr>
          <w:p w14:paraId="1A224FE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4144</w:t>
            </w:r>
          </w:p>
        </w:tc>
        <w:tc>
          <w:tcPr>
            <w:tcW w:w="2126" w:type="dxa"/>
          </w:tcPr>
          <w:p w14:paraId="3161019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1652,37</w:t>
            </w:r>
          </w:p>
        </w:tc>
      </w:tr>
      <w:tr w:rsidR="0053576E" w:rsidRPr="004135FE" w14:paraId="7AE8C703" w14:textId="77777777" w:rsidTr="00680E37">
        <w:trPr>
          <w:cantSplit/>
          <w:trHeight w:val="227"/>
        </w:trPr>
        <w:tc>
          <w:tcPr>
            <w:tcW w:w="554" w:type="dxa"/>
            <w:vMerge/>
          </w:tcPr>
          <w:p w14:paraId="49393DBA" w14:textId="77777777" w:rsidR="0053576E" w:rsidRPr="004135FE" w:rsidRDefault="0053576E" w:rsidP="004135FE">
            <w:pPr>
              <w:spacing w:after="0" w:line="240" w:lineRule="auto"/>
              <w:jc w:val="center"/>
              <w:rPr>
                <w:rFonts w:ascii="Times New Roman" w:hAnsi="Times New Roman" w:cs="Times New Roman"/>
                <w:sz w:val="28"/>
                <w:szCs w:val="28"/>
              </w:rPr>
            </w:pPr>
          </w:p>
        </w:tc>
        <w:tc>
          <w:tcPr>
            <w:tcW w:w="2098" w:type="dxa"/>
          </w:tcPr>
          <w:p w14:paraId="3401D6B9" w14:textId="77777777" w:rsidR="0053576E" w:rsidRPr="004135FE" w:rsidRDefault="0053576E"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Итого </w:t>
            </w:r>
          </w:p>
        </w:tc>
        <w:tc>
          <w:tcPr>
            <w:tcW w:w="1738" w:type="dxa"/>
          </w:tcPr>
          <w:p w14:paraId="45973BF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44728</w:t>
            </w:r>
          </w:p>
        </w:tc>
        <w:tc>
          <w:tcPr>
            <w:tcW w:w="1823" w:type="dxa"/>
          </w:tcPr>
          <w:p w14:paraId="55E54F5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hAnsi="Times New Roman" w:cs="Times New Roman"/>
                <w:sz w:val="28"/>
                <w:szCs w:val="28"/>
              </w:rPr>
              <w:t>2098,79</w:t>
            </w:r>
          </w:p>
        </w:tc>
        <w:tc>
          <w:tcPr>
            <w:tcW w:w="1720" w:type="dxa"/>
          </w:tcPr>
          <w:p w14:paraId="5922D00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15424</w:t>
            </w:r>
          </w:p>
        </w:tc>
        <w:tc>
          <w:tcPr>
            <w:tcW w:w="2268" w:type="dxa"/>
          </w:tcPr>
          <w:p w14:paraId="279327D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723,75</w:t>
            </w:r>
          </w:p>
        </w:tc>
        <w:tc>
          <w:tcPr>
            <w:tcW w:w="1276" w:type="dxa"/>
          </w:tcPr>
          <w:p w14:paraId="536CE6C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29304</w:t>
            </w:r>
          </w:p>
        </w:tc>
        <w:tc>
          <w:tcPr>
            <w:tcW w:w="2126" w:type="dxa"/>
          </w:tcPr>
          <w:p w14:paraId="13DF5C6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1375,05</w:t>
            </w:r>
          </w:p>
        </w:tc>
      </w:tr>
    </w:tbl>
    <w:p w14:paraId="4F27B7FF" w14:textId="77777777" w:rsidR="0053576E" w:rsidRPr="004135FE" w:rsidRDefault="0053576E" w:rsidP="004135FE">
      <w:pPr>
        <w:spacing w:after="0" w:line="240" w:lineRule="auto"/>
        <w:jc w:val="both"/>
        <w:rPr>
          <w:rFonts w:ascii="Times New Roman" w:eastAsia="Times New Roman" w:hAnsi="Times New Roman" w:cs="Times New Roman"/>
          <w:sz w:val="28"/>
          <w:szCs w:val="28"/>
        </w:rPr>
      </w:pPr>
    </w:p>
    <w:p w14:paraId="41CA9FDB" w14:textId="77777777" w:rsidR="0053576E" w:rsidRPr="004135FE" w:rsidRDefault="0053576E" w:rsidP="004135FE">
      <w:pPr>
        <w:spacing w:after="0" w:line="240" w:lineRule="auto"/>
        <w:jc w:val="center"/>
        <w:rPr>
          <w:rFonts w:ascii="Times New Roman" w:hAnsi="Times New Roman" w:cs="Times New Roman"/>
          <w:sz w:val="28"/>
          <w:szCs w:val="28"/>
        </w:rPr>
      </w:pPr>
    </w:p>
    <w:p w14:paraId="156375D2" w14:textId="77777777" w:rsidR="0053576E" w:rsidRPr="004135FE" w:rsidRDefault="0053576E" w:rsidP="004135FE">
      <w:pPr>
        <w:spacing w:after="0" w:line="240" w:lineRule="auto"/>
        <w:jc w:val="center"/>
        <w:rPr>
          <w:rFonts w:ascii="Times New Roman" w:hAnsi="Times New Roman" w:cs="Times New Roman"/>
          <w:sz w:val="28"/>
          <w:szCs w:val="28"/>
        </w:rPr>
      </w:pPr>
    </w:p>
    <w:p w14:paraId="23ABA3ED" w14:textId="77777777" w:rsidR="0053576E" w:rsidRPr="004135FE" w:rsidRDefault="0053576E" w:rsidP="004135FE">
      <w:pPr>
        <w:spacing w:after="0" w:line="240" w:lineRule="auto"/>
        <w:jc w:val="center"/>
        <w:rPr>
          <w:rFonts w:ascii="Times New Roman" w:hAnsi="Times New Roman" w:cs="Times New Roman"/>
          <w:sz w:val="28"/>
          <w:szCs w:val="28"/>
        </w:rPr>
      </w:pPr>
    </w:p>
    <w:p w14:paraId="0ABC7C24" w14:textId="77777777" w:rsidR="0053576E" w:rsidRPr="004135FE" w:rsidRDefault="0053576E" w:rsidP="004135FE">
      <w:pPr>
        <w:spacing w:after="0" w:line="240" w:lineRule="auto"/>
        <w:jc w:val="center"/>
        <w:rPr>
          <w:rFonts w:ascii="Times New Roman" w:hAnsi="Times New Roman" w:cs="Times New Roman"/>
          <w:sz w:val="28"/>
          <w:szCs w:val="28"/>
        </w:rPr>
      </w:pPr>
    </w:p>
    <w:p w14:paraId="7BF317AA" w14:textId="77777777" w:rsidR="0053576E" w:rsidRPr="004135FE" w:rsidRDefault="0053576E" w:rsidP="004135FE">
      <w:pPr>
        <w:spacing w:after="0" w:line="240" w:lineRule="auto"/>
        <w:jc w:val="center"/>
        <w:rPr>
          <w:rFonts w:ascii="Times New Roman" w:hAnsi="Times New Roman" w:cs="Times New Roman"/>
          <w:sz w:val="28"/>
          <w:szCs w:val="28"/>
        </w:rPr>
      </w:pPr>
    </w:p>
    <w:p w14:paraId="37DFC381" w14:textId="77777777" w:rsidR="0053576E" w:rsidRPr="004135FE" w:rsidRDefault="0053576E" w:rsidP="004135FE">
      <w:pPr>
        <w:spacing w:after="0" w:line="240" w:lineRule="auto"/>
        <w:jc w:val="center"/>
        <w:rPr>
          <w:rFonts w:ascii="Times New Roman" w:hAnsi="Times New Roman" w:cs="Times New Roman"/>
          <w:sz w:val="28"/>
          <w:szCs w:val="28"/>
        </w:rPr>
      </w:pPr>
    </w:p>
    <w:p w14:paraId="1E5BF153" w14:textId="65EC4F49" w:rsidR="0053576E" w:rsidRPr="004135FE" w:rsidRDefault="0053576E" w:rsidP="004135FE">
      <w:pPr>
        <w:spacing w:after="0" w:line="240" w:lineRule="auto"/>
        <w:jc w:val="center"/>
        <w:rPr>
          <w:rFonts w:ascii="Times New Roman" w:hAnsi="Times New Roman" w:cs="Times New Roman"/>
          <w:sz w:val="28"/>
          <w:szCs w:val="28"/>
        </w:rPr>
      </w:pPr>
    </w:p>
    <w:p w14:paraId="35AAA36C" w14:textId="61CD02AB" w:rsidR="0053576E" w:rsidRPr="004135FE" w:rsidRDefault="0053576E" w:rsidP="004135FE">
      <w:pPr>
        <w:spacing w:after="0" w:line="240" w:lineRule="auto"/>
        <w:jc w:val="center"/>
        <w:rPr>
          <w:rFonts w:ascii="Times New Roman" w:hAnsi="Times New Roman" w:cs="Times New Roman"/>
          <w:sz w:val="28"/>
          <w:szCs w:val="28"/>
        </w:rPr>
      </w:pPr>
    </w:p>
    <w:p w14:paraId="10EC5515" w14:textId="7CDE14B6" w:rsidR="0053576E" w:rsidRPr="004135FE" w:rsidRDefault="0053576E" w:rsidP="004135FE">
      <w:pPr>
        <w:spacing w:after="0" w:line="240" w:lineRule="auto"/>
        <w:jc w:val="center"/>
        <w:rPr>
          <w:rFonts w:ascii="Times New Roman" w:hAnsi="Times New Roman" w:cs="Times New Roman"/>
          <w:sz w:val="28"/>
          <w:szCs w:val="28"/>
        </w:rPr>
      </w:pPr>
    </w:p>
    <w:p w14:paraId="6ECD8885" w14:textId="6352A77F" w:rsidR="0053576E" w:rsidRPr="004135FE" w:rsidRDefault="0053576E" w:rsidP="004135FE">
      <w:pPr>
        <w:spacing w:after="0" w:line="240" w:lineRule="auto"/>
        <w:jc w:val="center"/>
        <w:rPr>
          <w:rFonts w:ascii="Times New Roman" w:hAnsi="Times New Roman" w:cs="Times New Roman"/>
          <w:sz w:val="28"/>
          <w:szCs w:val="28"/>
        </w:rPr>
      </w:pPr>
    </w:p>
    <w:p w14:paraId="74F0A46D" w14:textId="43DC7B11" w:rsidR="0053576E" w:rsidRPr="004135FE" w:rsidRDefault="0053576E" w:rsidP="004135FE">
      <w:pPr>
        <w:spacing w:after="0" w:line="240" w:lineRule="auto"/>
        <w:jc w:val="center"/>
        <w:rPr>
          <w:rFonts w:ascii="Times New Roman" w:hAnsi="Times New Roman" w:cs="Times New Roman"/>
          <w:sz w:val="28"/>
          <w:szCs w:val="28"/>
        </w:rPr>
      </w:pPr>
    </w:p>
    <w:p w14:paraId="7C6A0EF1" w14:textId="770969BA" w:rsidR="0053576E" w:rsidRDefault="0053576E" w:rsidP="004135FE">
      <w:pPr>
        <w:spacing w:after="0" w:line="240" w:lineRule="auto"/>
        <w:jc w:val="center"/>
        <w:rPr>
          <w:rFonts w:ascii="Times New Roman" w:hAnsi="Times New Roman" w:cs="Times New Roman"/>
          <w:sz w:val="28"/>
          <w:szCs w:val="28"/>
        </w:rPr>
      </w:pPr>
    </w:p>
    <w:p w14:paraId="3F2A0C0B" w14:textId="77777777" w:rsidR="00680E37" w:rsidRPr="004135FE" w:rsidRDefault="00680E37" w:rsidP="004135FE">
      <w:pPr>
        <w:spacing w:after="0" w:line="240" w:lineRule="auto"/>
        <w:jc w:val="center"/>
        <w:rPr>
          <w:rFonts w:ascii="Times New Roman" w:hAnsi="Times New Roman" w:cs="Times New Roman"/>
          <w:sz w:val="28"/>
          <w:szCs w:val="28"/>
        </w:rPr>
      </w:pPr>
    </w:p>
    <w:p w14:paraId="4845BF3D" w14:textId="77777777" w:rsidR="0053576E" w:rsidRPr="004135FE" w:rsidRDefault="0053576E" w:rsidP="004135FE">
      <w:pPr>
        <w:spacing w:after="0" w:line="240" w:lineRule="auto"/>
        <w:jc w:val="center"/>
        <w:rPr>
          <w:rFonts w:ascii="Times New Roman" w:hAnsi="Times New Roman" w:cs="Times New Roman"/>
          <w:sz w:val="28"/>
          <w:szCs w:val="28"/>
        </w:rPr>
      </w:pPr>
    </w:p>
    <w:p w14:paraId="36C668F1" w14:textId="77777777" w:rsidR="0053576E" w:rsidRPr="004135FE" w:rsidRDefault="0053576E" w:rsidP="004135FE">
      <w:pPr>
        <w:spacing w:after="0" w:line="240" w:lineRule="auto"/>
        <w:jc w:val="center"/>
        <w:rPr>
          <w:rFonts w:ascii="Times New Roman" w:hAnsi="Times New Roman" w:cs="Times New Roman"/>
          <w:sz w:val="28"/>
          <w:szCs w:val="28"/>
        </w:rPr>
      </w:pPr>
    </w:p>
    <w:p w14:paraId="74B4C0F6" w14:textId="73FB6BD9" w:rsidR="0053576E" w:rsidRDefault="00B728EF"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Таблица </w:t>
      </w:r>
      <w:r w:rsidR="00680E37">
        <w:rPr>
          <w:rFonts w:ascii="Times New Roman" w:hAnsi="Times New Roman" w:cs="Times New Roman"/>
          <w:sz w:val="28"/>
          <w:szCs w:val="28"/>
        </w:rPr>
        <w:t xml:space="preserve">А6 </w:t>
      </w:r>
      <w:r w:rsidR="0053576E" w:rsidRPr="004135FE">
        <w:rPr>
          <w:rFonts w:ascii="Times New Roman" w:hAnsi="Times New Roman" w:cs="Times New Roman"/>
          <w:sz w:val="28"/>
          <w:szCs w:val="28"/>
        </w:rPr>
        <w:t>- Поло-возрастная распространенность СД2т среди мужчин по районам г</w:t>
      </w:r>
      <w:r w:rsidR="00680E37">
        <w:rPr>
          <w:rFonts w:ascii="Times New Roman" w:hAnsi="Times New Roman" w:cs="Times New Roman"/>
          <w:sz w:val="28"/>
          <w:szCs w:val="28"/>
        </w:rPr>
        <w:t xml:space="preserve">. </w:t>
      </w:r>
      <w:r w:rsidR="0053576E" w:rsidRPr="004135FE">
        <w:rPr>
          <w:rFonts w:ascii="Times New Roman" w:hAnsi="Times New Roman" w:cs="Times New Roman"/>
          <w:sz w:val="28"/>
          <w:szCs w:val="28"/>
        </w:rPr>
        <w:t>Алматы</w:t>
      </w:r>
    </w:p>
    <w:p w14:paraId="60C57056" w14:textId="77777777" w:rsidR="00680E37" w:rsidRPr="004135FE" w:rsidRDefault="00680E37" w:rsidP="004135FE">
      <w:pPr>
        <w:spacing w:after="0" w:line="240" w:lineRule="auto"/>
        <w:jc w:val="both"/>
        <w:rPr>
          <w:rFonts w:ascii="Times New Roman" w:hAnsi="Times New Roman" w:cs="Times New Roman"/>
          <w:sz w:val="28"/>
          <w:szCs w:val="28"/>
        </w:rPr>
      </w:pPr>
    </w:p>
    <w:tbl>
      <w:tblPr>
        <w:tblW w:w="14459" w:type="dxa"/>
        <w:tblInd w:w="-5" w:type="dxa"/>
        <w:tblLook w:val="04A0" w:firstRow="1" w:lastRow="0" w:firstColumn="1" w:lastColumn="0" w:noHBand="0" w:noVBand="1"/>
      </w:tblPr>
      <w:tblGrid>
        <w:gridCol w:w="553"/>
        <w:gridCol w:w="373"/>
        <w:gridCol w:w="2098"/>
        <w:gridCol w:w="878"/>
        <w:gridCol w:w="879"/>
        <w:gridCol w:w="879"/>
        <w:gridCol w:w="941"/>
        <w:gridCol w:w="941"/>
        <w:gridCol w:w="941"/>
        <w:gridCol w:w="941"/>
        <w:gridCol w:w="941"/>
        <w:gridCol w:w="941"/>
        <w:gridCol w:w="941"/>
        <w:gridCol w:w="941"/>
        <w:gridCol w:w="1271"/>
      </w:tblGrid>
      <w:tr w:rsidR="0053576E" w:rsidRPr="004135FE" w14:paraId="7ED62EBD" w14:textId="77777777" w:rsidTr="00680E37">
        <w:trPr>
          <w:cantSplit/>
          <w:trHeight w:val="227"/>
        </w:trPr>
        <w:tc>
          <w:tcPr>
            <w:tcW w:w="553"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555B8E4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годы</w:t>
            </w:r>
          </w:p>
        </w:tc>
        <w:tc>
          <w:tcPr>
            <w:tcW w:w="373" w:type="dxa"/>
            <w:tcBorders>
              <w:top w:val="single" w:sz="4" w:space="0" w:color="auto"/>
              <w:left w:val="nil"/>
              <w:bottom w:val="single" w:sz="4" w:space="0" w:color="auto"/>
              <w:right w:val="single" w:sz="4" w:space="0" w:color="auto"/>
            </w:tcBorders>
            <w:shd w:val="clear" w:color="auto" w:fill="auto"/>
            <w:vAlign w:val="bottom"/>
            <w:hideMark/>
          </w:tcPr>
          <w:p w14:paraId="346E562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2098" w:type="dxa"/>
            <w:tcBorders>
              <w:top w:val="single" w:sz="4" w:space="0" w:color="auto"/>
              <w:left w:val="nil"/>
              <w:bottom w:val="single" w:sz="4" w:space="0" w:color="auto"/>
              <w:right w:val="single" w:sz="4" w:space="0" w:color="auto"/>
            </w:tcBorders>
            <w:shd w:val="clear" w:color="auto" w:fill="auto"/>
            <w:vAlign w:val="center"/>
            <w:hideMark/>
          </w:tcPr>
          <w:p w14:paraId="07EC8CB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район</w:t>
            </w:r>
          </w:p>
        </w:tc>
        <w:tc>
          <w:tcPr>
            <w:tcW w:w="878" w:type="dxa"/>
            <w:tcBorders>
              <w:top w:val="single" w:sz="4" w:space="0" w:color="auto"/>
              <w:left w:val="nil"/>
              <w:bottom w:val="single" w:sz="4" w:space="0" w:color="auto"/>
              <w:right w:val="single" w:sz="4" w:space="0" w:color="auto"/>
            </w:tcBorders>
            <w:shd w:val="clear" w:color="auto" w:fill="auto"/>
            <w:hideMark/>
          </w:tcPr>
          <w:p w14:paraId="18DDDFF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0-1 год</w:t>
            </w:r>
          </w:p>
        </w:tc>
        <w:tc>
          <w:tcPr>
            <w:tcW w:w="879" w:type="dxa"/>
            <w:tcBorders>
              <w:top w:val="single" w:sz="4" w:space="0" w:color="auto"/>
              <w:left w:val="nil"/>
              <w:bottom w:val="single" w:sz="4" w:space="0" w:color="auto"/>
              <w:right w:val="single" w:sz="4" w:space="0" w:color="auto"/>
            </w:tcBorders>
            <w:shd w:val="clear" w:color="auto" w:fill="auto"/>
            <w:hideMark/>
          </w:tcPr>
          <w:p w14:paraId="12E661D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год</w:t>
            </w:r>
          </w:p>
        </w:tc>
        <w:tc>
          <w:tcPr>
            <w:tcW w:w="879" w:type="dxa"/>
            <w:tcBorders>
              <w:top w:val="single" w:sz="4" w:space="0" w:color="auto"/>
              <w:left w:val="nil"/>
              <w:bottom w:val="single" w:sz="4" w:space="0" w:color="auto"/>
              <w:right w:val="single" w:sz="4" w:space="0" w:color="auto"/>
            </w:tcBorders>
            <w:shd w:val="clear" w:color="auto" w:fill="auto"/>
            <w:hideMark/>
          </w:tcPr>
          <w:p w14:paraId="2B4393A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5-9 лет</w:t>
            </w:r>
          </w:p>
        </w:tc>
        <w:tc>
          <w:tcPr>
            <w:tcW w:w="941" w:type="dxa"/>
            <w:tcBorders>
              <w:top w:val="single" w:sz="4" w:space="0" w:color="auto"/>
              <w:left w:val="nil"/>
              <w:bottom w:val="single" w:sz="4" w:space="0" w:color="auto"/>
              <w:right w:val="single" w:sz="4" w:space="0" w:color="auto"/>
            </w:tcBorders>
            <w:shd w:val="clear" w:color="auto" w:fill="auto"/>
            <w:hideMark/>
          </w:tcPr>
          <w:p w14:paraId="5A832EE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10-14лет</w:t>
            </w:r>
          </w:p>
        </w:tc>
        <w:tc>
          <w:tcPr>
            <w:tcW w:w="941" w:type="dxa"/>
            <w:tcBorders>
              <w:top w:val="single" w:sz="4" w:space="0" w:color="auto"/>
              <w:left w:val="nil"/>
              <w:bottom w:val="single" w:sz="4" w:space="0" w:color="auto"/>
              <w:right w:val="single" w:sz="4" w:space="0" w:color="auto"/>
            </w:tcBorders>
            <w:shd w:val="clear" w:color="auto" w:fill="auto"/>
            <w:hideMark/>
          </w:tcPr>
          <w:p w14:paraId="75AB1C3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15-17лет</w:t>
            </w:r>
          </w:p>
        </w:tc>
        <w:tc>
          <w:tcPr>
            <w:tcW w:w="941" w:type="dxa"/>
            <w:tcBorders>
              <w:top w:val="single" w:sz="4" w:space="0" w:color="auto"/>
              <w:left w:val="nil"/>
              <w:bottom w:val="single" w:sz="4" w:space="0" w:color="auto"/>
              <w:right w:val="single" w:sz="4" w:space="0" w:color="auto"/>
            </w:tcBorders>
            <w:shd w:val="clear" w:color="auto" w:fill="auto"/>
            <w:hideMark/>
          </w:tcPr>
          <w:p w14:paraId="40669B6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18-19лет</w:t>
            </w:r>
          </w:p>
        </w:tc>
        <w:tc>
          <w:tcPr>
            <w:tcW w:w="941" w:type="dxa"/>
            <w:tcBorders>
              <w:top w:val="single" w:sz="4" w:space="0" w:color="auto"/>
              <w:left w:val="nil"/>
              <w:bottom w:val="single" w:sz="4" w:space="0" w:color="auto"/>
              <w:right w:val="single" w:sz="4" w:space="0" w:color="auto"/>
            </w:tcBorders>
            <w:shd w:val="clear" w:color="auto" w:fill="auto"/>
            <w:hideMark/>
          </w:tcPr>
          <w:p w14:paraId="3B64E9C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20-29лет</w:t>
            </w:r>
          </w:p>
        </w:tc>
        <w:tc>
          <w:tcPr>
            <w:tcW w:w="941" w:type="dxa"/>
            <w:tcBorders>
              <w:top w:val="single" w:sz="4" w:space="0" w:color="auto"/>
              <w:left w:val="nil"/>
              <w:bottom w:val="single" w:sz="4" w:space="0" w:color="auto"/>
              <w:right w:val="single" w:sz="4" w:space="0" w:color="auto"/>
            </w:tcBorders>
            <w:shd w:val="clear" w:color="auto" w:fill="auto"/>
            <w:hideMark/>
          </w:tcPr>
          <w:p w14:paraId="296960F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30-39лет</w:t>
            </w:r>
          </w:p>
        </w:tc>
        <w:tc>
          <w:tcPr>
            <w:tcW w:w="941" w:type="dxa"/>
            <w:tcBorders>
              <w:top w:val="single" w:sz="4" w:space="0" w:color="auto"/>
              <w:left w:val="nil"/>
              <w:bottom w:val="single" w:sz="4" w:space="0" w:color="auto"/>
              <w:right w:val="single" w:sz="4" w:space="0" w:color="auto"/>
            </w:tcBorders>
            <w:shd w:val="clear" w:color="auto" w:fill="auto"/>
            <w:hideMark/>
          </w:tcPr>
          <w:p w14:paraId="4AB8DBB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40-49лет</w:t>
            </w:r>
          </w:p>
        </w:tc>
        <w:tc>
          <w:tcPr>
            <w:tcW w:w="941" w:type="dxa"/>
            <w:tcBorders>
              <w:top w:val="single" w:sz="4" w:space="0" w:color="auto"/>
              <w:left w:val="nil"/>
              <w:bottom w:val="single" w:sz="4" w:space="0" w:color="auto"/>
              <w:right w:val="single" w:sz="4" w:space="0" w:color="auto"/>
            </w:tcBorders>
            <w:shd w:val="clear" w:color="auto" w:fill="auto"/>
            <w:hideMark/>
          </w:tcPr>
          <w:p w14:paraId="30D2A18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50-59лет</w:t>
            </w:r>
          </w:p>
        </w:tc>
        <w:tc>
          <w:tcPr>
            <w:tcW w:w="941" w:type="dxa"/>
            <w:tcBorders>
              <w:top w:val="single" w:sz="4" w:space="0" w:color="auto"/>
              <w:left w:val="nil"/>
              <w:bottom w:val="single" w:sz="4" w:space="0" w:color="auto"/>
              <w:right w:val="single" w:sz="4" w:space="0" w:color="auto"/>
            </w:tcBorders>
            <w:shd w:val="clear" w:color="auto" w:fill="auto"/>
            <w:hideMark/>
          </w:tcPr>
          <w:p w14:paraId="1B8A7C0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60-69лет</w:t>
            </w:r>
          </w:p>
        </w:tc>
        <w:tc>
          <w:tcPr>
            <w:tcW w:w="1271" w:type="dxa"/>
            <w:tcBorders>
              <w:top w:val="single" w:sz="4" w:space="0" w:color="auto"/>
              <w:left w:val="nil"/>
              <w:bottom w:val="single" w:sz="4" w:space="0" w:color="auto"/>
              <w:right w:val="single" w:sz="4" w:space="0" w:color="auto"/>
            </w:tcBorders>
            <w:shd w:val="clear" w:color="auto" w:fill="auto"/>
            <w:hideMark/>
          </w:tcPr>
          <w:p w14:paraId="2AC5BC5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 и старше</w:t>
            </w:r>
          </w:p>
        </w:tc>
      </w:tr>
      <w:tr w:rsidR="0053576E" w:rsidRPr="004135FE" w14:paraId="2BBDC9BA" w14:textId="77777777" w:rsidTr="00680E37">
        <w:trPr>
          <w:cantSplit/>
          <w:trHeight w:val="227"/>
        </w:trPr>
        <w:tc>
          <w:tcPr>
            <w:tcW w:w="553"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79CBF52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2012год</w:t>
            </w:r>
          </w:p>
        </w:tc>
        <w:tc>
          <w:tcPr>
            <w:tcW w:w="373" w:type="dxa"/>
            <w:tcBorders>
              <w:top w:val="nil"/>
              <w:left w:val="nil"/>
              <w:bottom w:val="single" w:sz="4" w:space="0" w:color="auto"/>
              <w:right w:val="single" w:sz="4" w:space="0" w:color="auto"/>
            </w:tcBorders>
            <w:shd w:val="clear" w:color="auto" w:fill="auto"/>
            <w:vAlign w:val="bottom"/>
            <w:hideMark/>
          </w:tcPr>
          <w:p w14:paraId="2088D9F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tcBorders>
              <w:top w:val="nil"/>
              <w:left w:val="nil"/>
              <w:bottom w:val="single" w:sz="4" w:space="0" w:color="auto"/>
              <w:right w:val="single" w:sz="4" w:space="0" w:color="auto"/>
            </w:tcBorders>
            <w:shd w:val="clear" w:color="auto" w:fill="auto"/>
            <w:vAlign w:val="center"/>
            <w:hideMark/>
          </w:tcPr>
          <w:p w14:paraId="3D1EE23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78" w:type="dxa"/>
            <w:tcBorders>
              <w:top w:val="nil"/>
              <w:left w:val="nil"/>
              <w:bottom w:val="single" w:sz="4" w:space="0" w:color="auto"/>
              <w:right w:val="single" w:sz="4" w:space="0" w:color="auto"/>
            </w:tcBorders>
            <w:shd w:val="clear" w:color="auto" w:fill="auto"/>
            <w:vAlign w:val="center"/>
            <w:hideMark/>
          </w:tcPr>
          <w:p w14:paraId="64D98A7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1 870</w:t>
            </w:r>
          </w:p>
        </w:tc>
        <w:tc>
          <w:tcPr>
            <w:tcW w:w="879" w:type="dxa"/>
            <w:tcBorders>
              <w:top w:val="nil"/>
              <w:left w:val="nil"/>
              <w:bottom w:val="single" w:sz="4" w:space="0" w:color="auto"/>
              <w:right w:val="single" w:sz="4" w:space="0" w:color="auto"/>
            </w:tcBorders>
            <w:shd w:val="clear" w:color="auto" w:fill="auto"/>
            <w:vAlign w:val="center"/>
            <w:hideMark/>
          </w:tcPr>
          <w:p w14:paraId="08A19DF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11 370</w:t>
            </w:r>
          </w:p>
        </w:tc>
        <w:tc>
          <w:tcPr>
            <w:tcW w:w="879" w:type="dxa"/>
            <w:tcBorders>
              <w:top w:val="nil"/>
              <w:left w:val="nil"/>
              <w:bottom w:val="single" w:sz="4" w:space="0" w:color="auto"/>
              <w:right w:val="single" w:sz="4" w:space="0" w:color="auto"/>
            </w:tcBorders>
            <w:shd w:val="clear" w:color="auto" w:fill="auto"/>
            <w:vAlign w:val="center"/>
            <w:hideMark/>
          </w:tcPr>
          <w:p w14:paraId="3B36096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11 541</w:t>
            </w:r>
          </w:p>
        </w:tc>
        <w:tc>
          <w:tcPr>
            <w:tcW w:w="941" w:type="dxa"/>
            <w:tcBorders>
              <w:top w:val="nil"/>
              <w:left w:val="nil"/>
              <w:bottom w:val="single" w:sz="4" w:space="0" w:color="auto"/>
              <w:right w:val="single" w:sz="4" w:space="0" w:color="auto"/>
            </w:tcBorders>
            <w:shd w:val="clear" w:color="auto" w:fill="auto"/>
            <w:vAlign w:val="center"/>
            <w:hideMark/>
          </w:tcPr>
          <w:p w14:paraId="2313E49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8 043</w:t>
            </w:r>
          </w:p>
        </w:tc>
        <w:tc>
          <w:tcPr>
            <w:tcW w:w="941" w:type="dxa"/>
            <w:tcBorders>
              <w:top w:val="nil"/>
              <w:left w:val="nil"/>
              <w:bottom w:val="single" w:sz="4" w:space="0" w:color="auto"/>
              <w:right w:val="single" w:sz="4" w:space="0" w:color="auto"/>
            </w:tcBorders>
            <w:shd w:val="clear" w:color="auto" w:fill="auto"/>
            <w:vAlign w:val="center"/>
            <w:hideMark/>
          </w:tcPr>
          <w:p w14:paraId="4D34B6A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2 344</w:t>
            </w:r>
          </w:p>
        </w:tc>
        <w:tc>
          <w:tcPr>
            <w:tcW w:w="941" w:type="dxa"/>
            <w:tcBorders>
              <w:top w:val="nil"/>
              <w:left w:val="nil"/>
              <w:bottom w:val="single" w:sz="4" w:space="0" w:color="auto"/>
              <w:right w:val="single" w:sz="4" w:space="0" w:color="auto"/>
            </w:tcBorders>
            <w:shd w:val="clear" w:color="auto" w:fill="auto"/>
            <w:vAlign w:val="center"/>
            <w:hideMark/>
          </w:tcPr>
          <w:p w14:paraId="7A507AB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1 538</w:t>
            </w:r>
          </w:p>
        </w:tc>
        <w:tc>
          <w:tcPr>
            <w:tcW w:w="941" w:type="dxa"/>
            <w:tcBorders>
              <w:top w:val="nil"/>
              <w:left w:val="nil"/>
              <w:bottom w:val="single" w:sz="4" w:space="0" w:color="auto"/>
              <w:right w:val="single" w:sz="4" w:space="0" w:color="auto"/>
            </w:tcBorders>
            <w:shd w:val="clear" w:color="auto" w:fill="auto"/>
            <w:vAlign w:val="center"/>
            <w:hideMark/>
          </w:tcPr>
          <w:p w14:paraId="7C817C7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13 689</w:t>
            </w:r>
          </w:p>
        </w:tc>
        <w:tc>
          <w:tcPr>
            <w:tcW w:w="941" w:type="dxa"/>
            <w:tcBorders>
              <w:top w:val="nil"/>
              <w:left w:val="nil"/>
              <w:bottom w:val="single" w:sz="4" w:space="0" w:color="auto"/>
              <w:right w:val="single" w:sz="4" w:space="0" w:color="auto"/>
            </w:tcBorders>
            <w:shd w:val="clear" w:color="auto" w:fill="auto"/>
            <w:vAlign w:val="center"/>
            <w:hideMark/>
          </w:tcPr>
          <w:p w14:paraId="0E9129A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14 403</w:t>
            </w:r>
          </w:p>
        </w:tc>
        <w:tc>
          <w:tcPr>
            <w:tcW w:w="941" w:type="dxa"/>
            <w:tcBorders>
              <w:top w:val="nil"/>
              <w:left w:val="nil"/>
              <w:bottom w:val="single" w:sz="4" w:space="0" w:color="auto"/>
              <w:right w:val="single" w:sz="4" w:space="0" w:color="auto"/>
            </w:tcBorders>
            <w:shd w:val="clear" w:color="auto" w:fill="auto"/>
            <w:vAlign w:val="center"/>
            <w:hideMark/>
          </w:tcPr>
          <w:p w14:paraId="71F8346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12 012</w:t>
            </w:r>
          </w:p>
        </w:tc>
        <w:tc>
          <w:tcPr>
            <w:tcW w:w="941" w:type="dxa"/>
            <w:tcBorders>
              <w:top w:val="nil"/>
              <w:left w:val="nil"/>
              <w:bottom w:val="single" w:sz="4" w:space="0" w:color="auto"/>
              <w:right w:val="single" w:sz="4" w:space="0" w:color="auto"/>
            </w:tcBorders>
            <w:shd w:val="clear" w:color="auto" w:fill="auto"/>
            <w:vAlign w:val="center"/>
            <w:hideMark/>
          </w:tcPr>
          <w:p w14:paraId="59FF1E7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11 318</w:t>
            </w:r>
          </w:p>
        </w:tc>
        <w:tc>
          <w:tcPr>
            <w:tcW w:w="941" w:type="dxa"/>
            <w:tcBorders>
              <w:top w:val="nil"/>
              <w:left w:val="nil"/>
              <w:bottom w:val="single" w:sz="4" w:space="0" w:color="auto"/>
              <w:right w:val="single" w:sz="4" w:space="0" w:color="auto"/>
            </w:tcBorders>
            <w:shd w:val="clear" w:color="auto" w:fill="auto"/>
            <w:vAlign w:val="center"/>
            <w:hideMark/>
          </w:tcPr>
          <w:p w14:paraId="2B41C84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7 041</w:t>
            </w:r>
          </w:p>
        </w:tc>
        <w:tc>
          <w:tcPr>
            <w:tcW w:w="1271" w:type="dxa"/>
            <w:tcBorders>
              <w:top w:val="nil"/>
              <w:left w:val="nil"/>
              <w:bottom w:val="single" w:sz="4" w:space="0" w:color="auto"/>
              <w:right w:val="single" w:sz="4" w:space="0" w:color="auto"/>
            </w:tcBorders>
            <w:shd w:val="clear" w:color="auto" w:fill="auto"/>
            <w:vAlign w:val="center"/>
            <w:hideMark/>
          </w:tcPr>
          <w:p w14:paraId="15AD12F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6 820</w:t>
            </w:r>
          </w:p>
        </w:tc>
      </w:tr>
      <w:tr w:rsidR="0053576E" w:rsidRPr="004135FE" w14:paraId="4E904B14"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2AF0B44C"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6F41854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tcBorders>
              <w:top w:val="nil"/>
              <w:left w:val="nil"/>
              <w:bottom w:val="single" w:sz="4" w:space="0" w:color="auto"/>
              <w:right w:val="single" w:sz="4" w:space="0" w:color="auto"/>
            </w:tcBorders>
            <w:shd w:val="clear" w:color="auto" w:fill="auto"/>
            <w:vAlign w:val="center"/>
            <w:hideMark/>
          </w:tcPr>
          <w:p w14:paraId="3FA2BB1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78" w:type="dxa"/>
            <w:tcBorders>
              <w:top w:val="nil"/>
              <w:left w:val="nil"/>
              <w:bottom w:val="single" w:sz="4" w:space="0" w:color="auto"/>
              <w:right w:val="single" w:sz="4" w:space="0" w:color="auto"/>
            </w:tcBorders>
            <w:shd w:val="clear" w:color="auto" w:fill="auto"/>
            <w:vAlign w:val="center"/>
            <w:hideMark/>
          </w:tcPr>
          <w:p w14:paraId="60EFB06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918</w:t>
            </w:r>
          </w:p>
        </w:tc>
        <w:tc>
          <w:tcPr>
            <w:tcW w:w="879" w:type="dxa"/>
            <w:tcBorders>
              <w:top w:val="nil"/>
              <w:left w:val="nil"/>
              <w:bottom w:val="single" w:sz="4" w:space="0" w:color="auto"/>
              <w:right w:val="single" w:sz="4" w:space="0" w:color="auto"/>
            </w:tcBorders>
            <w:shd w:val="clear" w:color="auto" w:fill="auto"/>
            <w:vAlign w:val="center"/>
            <w:hideMark/>
          </w:tcPr>
          <w:p w14:paraId="66502E5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8 371</w:t>
            </w:r>
          </w:p>
        </w:tc>
        <w:tc>
          <w:tcPr>
            <w:tcW w:w="879" w:type="dxa"/>
            <w:tcBorders>
              <w:top w:val="nil"/>
              <w:left w:val="nil"/>
              <w:bottom w:val="single" w:sz="4" w:space="0" w:color="auto"/>
              <w:right w:val="single" w:sz="4" w:space="0" w:color="auto"/>
            </w:tcBorders>
            <w:shd w:val="clear" w:color="auto" w:fill="auto"/>
            <w:vAlign w:val="center"/>
            <w:hideMark/>
          </w:tcPr>
          <w:p w14:paraId="2D0EE3A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3 882</w:t>
            </w:r>
          </w:p>
        </w:tc>
        <w:tc>
          <w:tcPr>
            <w:tcW w:w="941" w:type="dxa"/>
            <w:tcBorders>
              <w:top w:val="nil"/>
              <w:left w:val="nil"/>
              <w:bottom w:val="single" w:sz="4" w:space="0" w:color="auto"/>
              <w:right w:val="single" w:sz="4" w:space="0" w:color="auto"/>
            </w:tcBorders>
            <w:shd w:val="clear" w:color="auto" w:fill="auto"/>
            <w:vAlign w:val="center"/>
            <w:hideMark/>
          </w:tcPr>
          <w:p w14:paraId="2F3F3C0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2 217</w:t>
            </w:r>
          </w:p>
        </w:tc>
        <w:tc>
          <w:tcPr>
            <w:tcW w:w="941" w:type="dxa"/>
            <w:tcBorders>
              <w:top w:val="nil"/>
              <w:left w:val="nil"/>
              <w:bottom w:val="single" w:sz="4" w:space="0" w:color="auto"/>
              <w:right w:val="single" w:sz="4" w:space="0" w:color="auto"/>
            </w:tcBorders>
            <w:shd w:val="clear" w:color="auto" w:fill="auto"/>
            <w:vAlign w:val="center"/>
            <w:hideMark/>
          </w:tcPr>
          <w:p w14:paraId="27EFB12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2 204</w:t>
            </w:r>
          </w:p>
        </w:tc>
        <w:tc>
          <w:tcPr>
            <w:tcW w:w="941" w:type="dxa"/>
            <w:tcBorders>
              <w:top w:val="nil"/>
              <w:left w:val="nil"/>
              <w:bottom w:val="single" w:sz="4" w:space="0" w:color="auto"/>
              <w:right w:val="single" w:sz="4" w:space="0" w:color="auto"/>
            </w:tcBorders>
            <w:shd w:val="clear" w:color="auto" w:fill="auto"/>
            <w:vAlign w:val="center"/>
            <w:hideMark/>
          </w:tcPr>
          <w:p w14:paraId="316B739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1 361</w:t>
            </w:r>
          </w:p>
        </w:tc>
        <w:tc>
          <w:tcPr>
            <w:tcW w:w="941" w:type="dxa"/>
            <w:tcBorders>
              <w:top w:val="nil"/>
              <w:left w:val="nil"/>
              <w:bottom w:val="single" w:sz="4" w:space="0" w:color="auto"/>
              <w:right w:val="single" w:sz="4" w:space="0" w:color="auto"/>
            </w:tcBorders>
            <w:shd w:val="clear" w:color="auto" w:fill="auto"/>
            <w:vAlign w:val="center"/>
            <w:hideMark/>
          </w:tcPr>
          <w:p w14:paraId="023D521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7 008</w:t>
            </w:r>
          </w:p>
        </w:tc>
        <w:tc>
          <w:tcPr>
            <w:tcW w:w="941" w:type="dxa"/>
            <w:tcBorders>
              <w:top w:val="nil"/>
              <w:left w:val="nil"/>
              <w:bottom w:val="single" w:sz="4" w:space="0" w:color="auto"/>
              <w:right w:val="single" w:sz="4" w:space="0" w:color="auto"/>
            </w:tcBorders>
            <w:shd w:val="clear" w:color="auto" w:fill="auto"/>
            <w:vAlign w:val="center"/>
            <w:hideMark/>
          </w:tcPr>
          <w:p w14:paraId="058278E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6 207</w:t>
            </w:r>
          </w:p>
        </w:tc>
        <w:tc>
          <w:tcPr>
            <w:tcW w:w="941" w:type="dxa"/>
            <w:tcBorders>
              <w:top w:val="nil"/>
              <w:left w:val="nil"/>
              <w:bottom w:val="single" w:sz="4" w:space="0" w:color="auto"/>
              <w:right w:val="single" w:sz="4" w:space="0" w:color="auto"/>
            </w:tcBorders>
            <w:shd w:val="clear" w:color="auto" w:fill="auto"/>
            <w:vAlign w:val="center"/>
            <w:hideMark/>
          </w:tcPr>
          <w:p w14:paraId="7965BD4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5 602</w:t>
            </w:r>
          </w:p>
        </w:tc>
        <w:tc>
          <w:tcPr>
            <w:tcW w:w="941" w:type="dxa"/>
            <w:tcBorders>
              <w:top w:val="nil"/>
              <w:left w:val="nil"/>
              <w:bottom w:val="single" w:sz="4" w:space="0" w:color="auto"/>
              <w:right w:val="single" w:sz="4" w:space="0" w:color="auto"/>
            </w:tcBorders>
            <w:shd w:val="clear" w:color="auto" w:fill="auto"/>
            <w:vAlign w:val="center"/>
            <w:hideMark/>
          </w:tcPr>
          <w:p w14:paraId="4F1BC29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4 065</w:t>
            </w:r>
          </w:p>
        </w:tc>
        <w:tc>
          <w:tcPr>
            <w:tcW w:w="941" w:type="dxa"/>
            <w:tcBorders>
              <w:top w:val="nil"/>
              <w:left w:val="nil"/>
              <w:bottom w:val="single" w:sz="4" w:space="0" w:color="auto"/>
              <w:right w:val="single" w:sz="4" w:space="0" w:color="auto"/>
            </w:tcBorders>
            <w:shd w:val="clear" w:color="auto" w:fill="auto"/>
            <w:vAlign w:val="center"/>
            <w:hideMark/>
          </w:tcPr>
          <w:p w14:paraId="77063D5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1 701</w:t>
            </w:r>
          </w:p>
        </w:tc>
        <w:tc>
          <w:tcPr>
            <w:tcW w:w="1271" w:type="dxa"/>
            <w:tcBorders>
              <w:top w:val="nil"/>
              <w:left w:val="nil"/>
              <w:bottom w:val="single" w:sz="4" w:space="0" w:color="auto"/>
              <w:right w:val="single" w:sz="4" w:space="0" w:color="auto"/>
            </w:tcBorders>
            <w:shd w:val="clear" w:color="auto" w:fill="auto"/>
            <w:vAlign w:val="center"/>
            <w:hideMark/>
          </w:tcPr>
          <w:p w14:paraId="456BAB1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1 293</w:t>
            </w:r>
          </w:p>
        </w:tc>
      </w:tr>
      <w:tr w:rsidR="0053576E" w:rsidRPr="004135FE" w14:paraId="290D0D54"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109D2C6A"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78BD926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tcBorders>
              <w:top w:val="nil"/>
              <w:left w:val="nil"/>
              <w:bottom w:val="single" w:sz="4" w:space="0" w:color="auto"/>
              <w:right w:val="single" w:sz="4" w:space="0" w:color="auto"/>
            </w:tcBorders>
            <w:shd w:val="clear" w:color="auto" w:fill="auto"/>
            <w:vAlign w:val="center"/>
            <w:hideMark/>
          </w:tcPr>
          <w:p w14:paraId="1BA7817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78" w:type="dxa"/>
            <w:tcBorders>
              <w:top w:val="nil"/>
              <w:left w:val="nil"/>
              <w:bottom w:val="single" w:sz="4" w:space="0" w:color="auto"/>
              <w:right w:val="single" w:sz="4" w:space="0" w:color="auto"/>
            </w:tcBorders>
            <w:shd w:val="clear" w:color="auto" w:fill="auto"/>
            <w:vAlign w:val="center"/>
            <w:hideMark/>
          </w:tcPr>
          <w:p w14:paraId="041DB31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1 571</w:t>
            </w:r>
          </w:p>
        </w:tc>
        <w:tc>
          <w:tcPr>
            <w:tcW w:w="879" w:type="dxa"/>
            <w:tcBorders>
              <w:top w:val="nil"/>
              <w:left w:val="nil"/>
              <w:bottom w:val="single" w:sz="4" w:space="0" w:color="auto"/>
              <w:right w:val="single" w:sz="4" w:space="0" w:color="auto"/>
            </w:tcBorders>
            <w:shd w:val="clear" w:color="auto" w:fill="auto"/>
            <w:vAlign w:val="center"/>
            <w:hideMark/>
          </w:tcPr>
          <w:p w14:paraId="026BD6B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12 632</w:t>
            </w:r>
          </w:p>
        </w:tc>
        <w:tc>
          <w:tcPr>
            <w:tcW w:w="879" w:type="dxa"/>
            <w:tcBorders>
              <w:top w:val="nil"/>
              <w:left w:val="nil"/>
              <w:bottom w:val="single" w:sz="4" w:space="0" w:color="auto"/>
              <w:right w:val="single" w:sz="4" w:space="0" w:color="auto"/>
            </w:tcBorders>
            <w:shd w:val="clear" w:color="auto" w:fill="auto"/>
            <w:vAlign w:val="center"/>
            <w:hideMark/>
          </w:tcPr>
          <w:p w14:paraId="7E19EDA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9 682</w:t>
            </w:r>
          </w:p>
        </w:tc>
        <w:tc>
          <w:tcPr>
            <w:tcW w:w="941" w:type="dxa"/>
            <w:tcBorders>
              <w:top w:val="nil"/>
              <w:left w:val="nil"/>
              <w:bottom w:val="single" w:sz="4" w:space="0" w:color="auto"/>
              <w:right w:val="single" w:sz="4" w:space="0" w:color="auto"/>
            </w:tcBorders>
            <w:shd w:val="clear" w:color="auto" w:fill="auto"/>
            <w:vAlign w:val="center"/>
            <w:hideMark/>
          </w:tcPr>
          <w:p w14:paraId="43BEBCB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6 973</w:t>
            </w:r>
          </w:p>
        </w:tc>
        <w:tc>
          <w:tcPr>
            <w:tcW w:w="941" w:type="dxa"/>
            <w:tcBorders>
              <w:top w:val="nil"/>
              <w:left w:val="nil"/>
              <w:bottom w:val="single" w:sz="4" w:space="0" w:color="auto"/>
              <w:right w:val="single" w:sz="4" w:space="0" w:color="auto"/>
            </w:tcBorders>
            <w:shd w:val="clear" w:color="auto" w:fill="auto"/>
            <w:vAlign w:val="center"/>
            <w:hideMark/>
          </w:tcPr>
          <w:p w14:paraId="075BA1D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3 921</w:t>
            </w:r>
          </w:p>
        </w:tc>
        <w:tc>
          <w:tcPr>
            <w:tcW w:w="941" w:type="dxa"/>
            <w:tcBorders>
              <w:top w:val="nil"/>
              <w:left w:val="nil"/>
              <w:bottom w:val="single" w:sz="4" w:space="0" w:color="auto"/>
              <w:right w:val="single" w:sz="4" w:space="0" w:color="auto"/>
            </w:tcBorders>
            <w:shd w:val="clear" w:color="auto" w:fill="auto"/>
            <w:vAlign w:val="center"/>
            <w:hideMark/>
          </w:tcPr>
          <w:p w14:paraId="615D50C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2 400</w:t>
            </w:r>
          </w:p>
        </w:tc>
        <w:tc>
          <w:tcPr>
            <w:tcW w:w="941" w:type="dxa"/>
            <w:tcBorders>
              <w:top w:val="nil"/>
              <w:left w:val="nil"/>
              <w:bottom w:val="single" w:sz="4" w:space="0" w:color="auto"/>
              <w:right w:val="single" w:sz="4" w:space="0" w:color="auto"/>
            </w:tcBorders>
            <w:shd w:val="clear" w:color="auto" w:fill="auto"/>
            <w:vAlign w:val="center"/>
            <w:hideMark/>
          </w:tcPr>
          <w:p w14:paraId="53F0FD0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17 117</w:t>
            </w:r>
          </w:p>
        </w:tc>
        <w:tc>
          <w:tcPr>
            <w:tcW w:w="941" w:type="dxa"/>
            <w:tcBorders>
              <w:top w:val="nil"/>
              <w:left w:val="nil"/>
              <w:bottom w:val="single" w:sz="4" w:space="0" w:color="auto"/>
              <w:right w:val="single" w:sz="4" w:space="0" w:color="auto"/>
            </w:tcBorders>
            <w:shd w:val="clear" w:color="auto" w:fill="auto"/>
            <w:vAlign w:val="center"/>
            <w:hideMark/>
          </w:tcPr>
          <w:p w14:paraId="5F27860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15 676</w:t>
            </w:r>
          </w:p>
        </w:tc>
        <w:tc>
          <w:tcPr>
            <w:tcW w:w="941" w:type="dxa"/>
            <w:tcBorders>
              <w:top w:val="nil"/>
              <w:left w:val="nil"/>
              <w:bottom w:val="single" w:sz="4" w:space="0" w:color="auto"/>
              <w:right w:val="single" w:sz="4" w:space="0" w:color="auto"/>
            </w:tcBorders>
            <w:shd w:val="clear" w:color="auto" w:fill="auto"/>
            <w:vAlign w:val="center"/>
            <w:hideMark/>
          </w:tcPr>
          <w:p w14:paraId="0A4D92E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13 286</w:t>
            </w:r>
          </w:p>
        </w:tc>
        <w:tc>
          <w:tcPr>
            <w:tcW w:w="941" w:type="dxa"/>
            <w:tcBorders>
              <w:top w:val="nil"/>
              <w:left w:val="nil"/>
              <w:bottom w:val="single" w:sz="4" w:space="0" w:color="auto"/>
              <w:right w:val="single" w:sz="4" w:space="0" w:color="auto"/>
            </w:tcBorders>
            <w:shd w:val="clear" w:color="auto" w:fill="auto"/>
            <w:vAlign w:val="center"/>
            <w:hideMark/>
          </w:tcPr>
          <w:p w14:paraId="5D08C7D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11 438</w:t>
            </w:r>
          </w:p>
        </w:tc>
        <w:tc>
          <w:tcPr>
            <w:tcW w:w="941" w:type="dxa"/>
            <w:tcBorders>
              <w:top w:val="nil"/>
              <w:left w:val="nil"/>
              <w:bottom w:val="single" w:sz="4" w:space="0" w:color="auto"/>
              <w:right w:val="single" w:sz="4" w:space="0" w:color="auto"/>
            </w:tcBorders>
            <w:shd w:val="clear" w:color="auto" w:fill="auto"/>
            <w:vAlign w:val="center"/>
            <w:hideMark/>
          </w:tcPr>
          <w:p w14:paraId="34E8220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6 337</w:t>
            </w:r>
          </w:p>
        </w:tc>
        <w:tc>
          <w:tcPr>
            <w:tcW w:w="1271" w:type="dxa"/>
            <w:tcBorders>
              <w:top w:val="nil"/>
              <w:left w:val="nil"/>
              <w:bottom w:val="single" w:sz="4" w:space="0" w:color="auto"/>
              <w:right w:val="single" w:sz="4" w:space="0" w:color="auto"/>
            </w:tcBorders>
            <w:shd w:val="clear" w:color="auto" w:fill="auto"/>
            <w:vAlign w:val="center"/>
            <w:hideMark/>
          </w:tcPr>
          <w:p w14:paraId="486D6D7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5 328</w:t>
            </w:r>
          </w:p>
        </w:tc>
      </w:tr>
      <w:tr w:rsidR="0053576E" w:rsidRPr="004135FE" w14:paraId="0F089469"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74C51199"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474122B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tcBorders>
              <w:top w:val="nil"/>
              <w:left w:val="nil"/>
              <w:bottom w:val="single" w:sz="4" w:space="0" w:color="auto"/>
              <w:right w:val="single" w:sz="4" w:space="0" w:color="auto"/>
            </w:tcBorders>
            <w:shd w:val="clear" w:color="auto" w:fill="auto"/>
            <w:vAlign w:val="center"/>
            <w:hideMark/>
          </w:tcPr>
          <w:p w14:paraId="28DE150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78" w:type="dxa"/>
            <w:tcBorders>
              <w:top w:val="nil"/>
              <w:left w:val="nil"/>
              <w:bottom w:val="single" w:sz="4" w:space="0" w:color="auto"/>
              <w:right w:val="single" w:sz="4" w:space="0" w:color="auto"/>
            </w:tcBorders>
            <w:shd w:val="clear" w:color="auto" w:fill="auto"/>
            <w:vAlign w:val="center"/>
            <w:hideMark/>
          </w:tcPr>
          <w:p w14:paraId="6ADAB1F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1 453</w:t>
            </w:r>
          </w:p>
        </w:tc>
        <w:tc>
          <w:tcPr>
            <w:tcW w:w="879" w:type="dxa"/>
            <w:tcBorders>
              <w:top w:val="nil"/>
              <w:left w:val="nil"/>
              <w:bottom w:val="single" w:sz="4" w:space="0" w:color="auto"/>
              <w:right w:val="single" w:sz="4" w:space="0" w:color="auto"/>
            </w:tcBorders>
            <w:shd w:val="clear" w:color="auto" w:fill="auto"/>
            <w:vAlign w:val="center"/>
            <w:hideMark/>
          </w:tcPr>
          <w:p w14:paraId="62EA68E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8 589</w:t>
            </w:r>
          </w:p>
        </w:tc>
        <w:tc>
          <w:tcPr>
            <w:tcW w:w="879" w:type="dxa"/>
            <w:tcBorders>
              <w:top w:val="nil"/>
              <w:left w:val="nil"/>
              <w:bottom w:val="single" w:sz="4" w:space="0" w:color="auto"/>
              <w:right w:val="single" w:sz="4" w:space="0" w:color="auto"/>
            </w:tcBorders>
            <w:shd w:val="clear" w:color="auto" w:fill="auto"/>
            <w:vAlign w:val="center"/>
            <w:hideMark/>
          </w:tcPr>
          <w:p w14:paraId="55C7893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7 894</w:t>
            </w:r>
          </w:p>
        </w:tc>
        <w:tc>
          <w:tcPr>
            <w:tcW w:w="941" w:type="dxa"/>
            <w:tcBorders>
              <w:top w:val="nil"/>
              <w:left w:val="nil"/>
              <w:bottom w:val="single" w:sz="4" w:space="0" w:color="auto"/>
              <w:right w:val="single" w:sz="4" w:space="0" w:color="auto"/>
            </w:tcBorders>
            <w:shd w:val="clear" w:color="auto" w:fill="auto"/>
            <w:vAlign w:val="center"/>
            <w:hideMark/>
          </w:tcPr>
          <w:p w14:paraId="62E6C86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6 435</w:t>
            </w:r>
          </w:p>
        </w:tc>
        <w:tc>
          <w:tcPr>
            <w:tcW w:w="941" w:type="dxa"/>
            <w:tcBorders>
              <w:top w:val="nil"/>
              <w:left w:val="nil"/>
              <w:bottom w:val="single" w:sz="4" w:space="0" w:color="auto"/>
              <w:right w:val="single" w:sz="4" w:space="0" w:color="auto"/>
            </w:tcBorders>
            <w:shd w:val="clear" w:color="auto" w:fill="auto"/>
            <w:vAlign w:val="center"/>
            <w:hideMark/>
          </w:tcPr>
          <w:p w14:paraId="4AA3330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4 538</w:t>
            </w:r>
          </w:p>
        </w:tc>
        <w:tc>
          <w:tcPr>
            <w:tcW w:w="941" w:type="dxa"/>
            <w:tcBorders>
              <w:top w:val="nil"/>
              <w:left w:val="nil"/>
              <w:bottom w:val="single" w:sz="4" w:space="0" w:color="auto"/>
              <w:right w:val="single" w:sz="4" w:space="0" w:color="auto"/>
            </w:tcBorders>
            <w:shd w:val="clear" w:color="auto" w:fill="auto"/>
            <w:vAlign w:val="center"/>
            <w:hideMark/>
          </w:tcPr>
          <w:p w14:paraId="71EA111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13 849</w:t>
            </w:r>
          </w:p>
        </w:tc>
        <w:tc>
          <w:tcPr>
            <w:tcW w:w="941" w:type="dxa"/>
            <w:tcBorders>
              <w:top w:val="nil"/>
              <w:left w:val="nil"/>
              <w:bottom w:val="single" w:sz="4" w:space="0" w:color="auto"/>
              <w:right w:val="single" w:sz="4" w:space="0" w:color="auto"/>
            </w:tcBorders>
            <w:shd w:val="clear" w:color="auto" w:fill="auto"/>
            <w:vAlign w:val="center"/>
            <w:hideMark/>
          </w:tcPr>
          <w:p w14:paraId="3B9EDFB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36 339</w:t>
            </w:r>
          </w:p>
        </w:tc>
        <w:tc>
          <w:tcPr>
            <w:tcW w:w="941" w:type="dxa"/>
            <w:tcBorders>
              <w:top w:val="nil"/>
              <w:left w:val="nil"/>
              <w:bottom w:val="single" w:sz="4" w:space="0" w:color="auto"/>
              <w:right w:val="single" w:sz="4" w:space="0" w:color="auto"/>
            </w:tcBorders>
            <w:shd w:val="clear" w:color="auto" w:fill="auto"/>
            <w:vAlign w:val="center"/>
            <w:hideMark/>
          </w:tcPr>
          <w:p w14:paraId="58F893F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14 734</w:t>
            </w:r>
          </w:p>
        </w:tc>
        <w:tc>
          <w:tcPr>
            <w:tcW w:w="941" w:type="dxa"/>
            <w:tcBorders>
              <w:top w:val="nil"/>
              <w:left w:val="nil"/>
              <w:bottom w:val="single" w:sz="4" w:space="0" w:color="auto"/>
              <w:right w:val="single" w:sz="4" w:space="0" w:color="auto"/>
            </w:tcBorders>
            <w:shd w:val="clear" w:color="auto" w:fill="auto"/>
            <w:vAlign w:val="center"/>
            <w:hideMark/>
          </w:tcPr>
          <w:p w14:paraId="5352596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12 341</w:t>
            </w:r>
          </w:p>
        </w:tc>
        <w:tc>
          <w:tcPr>
            <w:tcW w:w="941" w:type="dxa"/>
            <w:tcBorders>
              <w:top w:val="nil"/>
              <w:left w:val="nil"/>
              <w:bottom w:val="single" w:sz="4" w:space="0" w:color="auto"/>
              <w:right w:val="single" w:sz="4" w:space="0" w:color="auto"/>
            </w:tcBorders>
            <w:shd w:val="clear" w:color="auto" w:fill="auto"/>
            <w:vAlign w:val="center"/>
            <w:hideMark/>
          </w:tcPr>
          <w:p w14:paraId="193DA8D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11 142</w:t>
            </w:r>
          </w:p>
        </w:tc>
        <w:tc>
          <w:tcPr>
            <w:tcW w:w="941" w:type="dxa"/>
            <w:tcBorders>
              <w:top w:val="nil"/>
              <w:left w:val="nil"/>
              <w:bottom w:val="single" w:sz="4" w:space="0" w:color="auto"/>
              <w:right w:val="single" w:sz="4" w:space="0" w:color="auto"/>
            </w:tcBorders>
            <w:shd w:val="clear" w:color="auto" w:fill="auto"/>
            <w:vAlign w:val="center"/>
            <w:hideMark/>
          </w:tcPr>
          <w:p w14:paraId="6D838F8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6 998</w:t>
            </w:r>
          </w:p>
        </w:tc>
        <w:tc>
          <w:tcPr>
            <w:tcW w:w="1271" w:type="dxa"/>
            <w:tcBorders>
              <w:top w:val="nil"/>
              <w:left w:val="nil"/>
              <w:bottom w:val="single" w:sz="4" w:space="0" w:color="auto"/>
              <w:right w:val="single" w:sz="4" w:space="0" w:color="auto"/>
            </w:tcBorders>
            <w:shd w:val="clear" w:color="auto" w:fill="auto"/>
            <w:vAlign w:val="center"/>
            <w:hideMark/>
          </w:tcPr>
          <w:p w14:paraId="6B253FA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6 079</w:t>
            </w:r>
          </w:p>
        </w:tc>
      </w:tr>
      <w:tr w:rsidR="0053576E" w:rsidRPr="004135FE" w14:paraId="05D3BF3C"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57323B69"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3D1E1EF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tcBorders>
              <w:top w:val="nil"/>
              <w:left w:val="nil"/>
              <w:bottom w:val="single" w:sz="4" w:space="0" w:color="auto"/>
              <w:right w:val="single" w:sz="4" w:space="0" w:color="auto"/>
            </w:tcBorders>
            <w:shd w:val="clear" w:color="auto" w:fill="auto"/>
            <w:vAlign w:val="center"/>
            <w:hideMark/>
          </w:tcPr>
          <w:p w14:paraId="47977C5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78" w:type="dxa"/>
            <w:tcBorders>
              <w:top w:val="nil"/>
              <w:left w:val="nil"/>
              <w:bottom w:val="single" w:sz="4" w:space="0" w:color="auto"/>
              <w:right w:val="single" w:sz="4" w:space="0" w:color="auto"/>
            </w:tcBorders>
            <w:shd w:val="clear" w:color="auto" w:fill="auto"/>
            <w:vAlign w:val="center"/>
            <w:hideMark/>
          </w:tcPr>
          <w:p w14:paraId="198A0AC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645</w:t>
            </w:r>
          </w:p>
        </w:tc>
        <w:tc>
          <w:tcPr>
            <w:tcW w:w="879" w:type="dxa"/>
            <w:tcBorders>
              <w:top w:val="nil"/>
              <w:left w:val="nil"/>
              <w:bottom w:val="single" w:sz="4" w:space="0" w:color="auto"/>
              <w:right w:val="single" w:sz="4" w:space="0" w:color="auto"/>
            </w:tcBorders>
            <w:shd w:val="clear" w:color="auto" w:fill="auto"/>
            <w:vAlign w:val="center"/>
            <w:hideMark/>
          </w:tcPr>
          <w:p w14:paraId="5FCCEAE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5 105</w:t>
            </w:r>
          </w:p>
        </w:tc>
        <w:tc>
          <w:tcPr>
            <w:tcW w:w="879" w:type="dxa"/>
            <w:tcBorders>
              <w:top w:val="nil"/>
              <w:left w:val="nil"/>
              <w:bottom w:val="single" w:sz="4" w:space="0" w:color="auto"/>
              <w:right w:val="single" w:sz="4" w:space="0" w:color="auto"/>
            </w:tcBorders>
            <w:shd w:val="clear" w:color="auto" w:fill="auto"/>
            <w:vAlign w:val="center"/>
            <w:hideMark/>
          </w:tcPr>
          <w:p w14:paraId="535BB17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3 932</w:t>
            </w:r>
          </w:p>
        </w:tc>
        <w:tc>
          <w:tcPr>
            <w:tcW w:w="941" w:type="dxa"/>
            <w:tcBorders>
              <w:top w:val="nil"/>
              <w:left w:val="nil"/>
              <w:bottom w:val="single" w:sz="4" w:space="0" w:color="auto"/>
              <w:right w:val="single" w:sz="4" w:space="0" w:color="auto"/>
            </w:tcBorders>
            <w:shd w:val="clear" w:color="auto" w:fill="auto"/>
            <w:vAlign w:val="center"/>
            <w:hideMark/>
          </w:tcPr>
          <w:p w14:paraId="7FB452D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2 555</w:t>
            </w:r>
          </w:p>
        </w:tc>
        <w:tc>
          <w:tcPr>
            <w:tcW w:w="941" w:type="dxa"/>
            <w:tcBorders>
              <w:top w:val="nil"/>
              <w:left w:val="nil"/>
              <w:bottom w:val="single" w:sz="4" w:space="0" w:color="auto"/>
              <w:right w:val="single" w:sz="4" w:space="0" w:color="auto"/>
            </w:tcBorders>
            <w:shd w:val="clear" w:color="auto" w:fill="auto"/>
            <w:vAlign w:val="center"/>
            <w:hideMark/>
          </w:tcPr>
          <w:p w14:paraId="43DABA7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1 757</w:t>
            </w:r>
          </w:p>
        </w:tc>
        <w:tc>
          <w:tcPr>
            <w:tcW w:w="941" w:type="dxa"/>
            <w:tcBorders>
              <w:top w:val="nil"/>
              <w:left w:val="nil"/>
              <w:bottom w:val="single" w:sz="4" w:space="0" w:color="auto"/>
              <w:right w:val="single" w:sz="4" w:space="0" w:color="auto"/>
            </w:tcBorders>
            <w:shd w:val="clear" w:color="auto" w:fill="auto"/>
            <w:vAlign w:val="center"/>
            <w:hideMark/>
          </w:tcPr>
          <w:p w14:paraId="392FBE6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1 411</w:t>
            </w:r>
          </w:p>
        </w:tc>
        <w:tc>
          <w:tcPr>
            <w:tcW w:w="941" w:type="dxa"/>
            <w:tcBorders>
              <w:top w:val="nil"/>
              <w:left w:val="nil"/>
              <w:bottom w:val="single" w:sz="4" w:space="0" w:color="auto"/>
              <w:right w:val="single" w:sz="4" w:space="0" w:color="auto"/>
            </w:tcBorders>
            <w:shd w:val="clear" w:color="auto" w:fill="auto"/>
            <w:vAlign w:val="center"/>
            <w:hideMark/>
          </w:tcPr>
          <w:p w14:paraId="77A802C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12 059</w:t>
            </w:r>
          </w:p>
        </w:tc>
        <w:tc>
          <w:tcPr>
            <w:tcW w:w="941" w:type="dxa"/>
            <w:tcBorders>
              <w:top w:val="nil"/>
              <w:left w:val="nil"/>
              <w:bottom w:val="single" w:sz="4" w:space="0" w:color="auto"/>
              <w:right w:val="single" w:sz="4" w:space="0" w:color="auto"/>
            </w:tcBorders>
            <w:shd w:val="clear" w:color="auto" w:fill="auto"/>
            <w:vAlign w:val="center"/>
            <w:hideMark/>
          </w:tcPr>
          <w:p w14:paraId="037E8CB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11 155</w:t>
            </w:r>
          </w:p>
        </w:tc>
        <w:tc>
          <w:tcPr>
            <w:tcW w:w="941" w:type="dxa"/>
            <w:tcBorders>
              <w:top w:val="nil"/>
              <w:left w:val="nil"/>
              <w:bottom w:val="single" w:sz="4" w:space="0" w:color="auto"/>
              <w:right w:val="single" w:sz="4" w:space="0" w:color="auto"/>
            </w:tcBorders>
            <w:shd w:val="clear" w:color="auto" w:fill="auto"/>
            <w:vAlign w:val="center"/>
            <w:hideMark/>
          </w:tcPr>
          <w:p w14:paraId="28E82F6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9 378</w:t>
            </w:r>
          </w:p>
        </w:tc>
        <w:tc>
          <w:tcPr>
            <w:tcW w:w="941" w:type="dxa"/>
            <w:tcBorders>
              <w:top w:val="nil"/>
              <w:left w:val="nil"/>
              <w:bottom w:val="single" w:sz="4" w:space="0" w:color="auto"/>
              <w:right w:val="single" w:sz="4" w:space="0" w:color="auto"/>
            </w:tcBorders>
            <w:shd w:val="clear" w:color="auto" w:fill="auto"/>
            <w:vAlign w:val="center"/>
            <w:hideMark/>
          </w:tcPr>
          <w:p w14:paraId="6E6F58B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7 732</w:t>
            </w:r>
          </w:p>
        </w:tc>
        <w:tc>
          <w:tcPr>
            <w:tcW w:w="941" w:type="dxa"/>
            <w:tcBorders>
              <w:top w:val="nil"/>
              <w:left w:val="nil"/>
              <w:bottom w:val="single" w:sz="4" w:space="0" w:color="auto"/>
              <w:right w:val="single" w:sz="4" w:space="0" w:color="auto"/>
            </w:tcBorders>
            <w:shd w:val="clear" w:color="auto" w:fill="auto"/>
            <w:vAlign w:val="center"/>
            <w:hideMark/>
          </w:tcPr>
          <w:p w14:paraId="40AC07B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4 179</w:t>
            </w:r>
          </w:p>
        </w:tc>
        <w:tc>
          <w:tcPr>
            <w:tcW w:w="1271" w:type="dxa"/>
            <w:tcBorders>
              <w:top w:val="nil"/>
              <w:left w:val="nil"/>
              <w:bottom w:val="single" w:sz="4" w:space="0" w:color="auto"/>
              <w:right w:val="single" w:sz="4" w:space="0" w:color="auto"/>
            </w:tcBorders>
            <w:shd w:val="clear" w:color="auto" w:fill="auto"/>
            <w:vAlign w:val="center"/>
            <w:hideMark/>
          </w:tcPr>
          <w:p w14:paraId="22B145E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3 879</w:t>
            </w:r>
          </w:p>
        </w:tc>
      </w:tr>
      <w:tr w:rsidR="0053576E" w:rsidRPr="004135FE" w14:paraId="79C55A52"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275C0E21"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1196DDB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tcBorders>
              <w:top w:val="nil"/>
              <w:left w:val="nil"/>
              <w:bottom w:val="single" w:sz="4" w:space="0" w:color="auto"/>
              <w:right w:val="single" w:sz="4" w:space="0" w:color="auto"/>
            </w:tcBorders>
            <w:shd w:val="clear" w:color="auto" w:fill="auto"/>
            <w:vAlign w:val="center"/>
            <w:hideMark/>
          </w:tcPr>
          <w:p w14:paraId="63C43AC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78" w:type="dxa"/>
            <w:tcBorders>
              <w:top w:val="nil"/>
              <w:left w:val="nil"/>
              <w:bottom w:val="single" w:sz="4" w:space="0" w:color="auto"/>
              <w:right w:val="single" w:sz="4" w:space="0" w:color="auto"/>
            </w:tcBorders>
            <w:shd w:val="clear" w:color="auto" w:fill="auto"/>
            <w:vAlign w:val="center"/>
            <w:hideMark/>
          </w:tcPr>
          <w:p w14:paraId="7A10A05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1 270</w:t>
            </w:r>
          </w:p>
        </w:tc>
        <w:tc>
          <w:tcPr>
            <w:tcW w:w="879" w:type="dxa"/>
            <w:tcBorders>
              <w:top w:val="nil"/>
              <w:left w:val="nil"/>
              <w:bottom w:val="single" w:sz="4" w:space="0" w:color="auto"/>
              <w:right w:val="single" w:sz="4" w:space="0" w:color="auto"/>
            </w:tcBorders>
            <w:shd w:val="clear" w:color="auto" w:fill="auto"/>
            <w:vAlign w:val="center"/>
            <w:hideMark/>
          </w:tcPr>
          <w:p w14:paraId="6AE4099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9 931</w:t>
            </w:r>
          </w:p>
        </w:tc>
        <w:tc>
          <w:tcPr>
            <w:tcW w:w="879" w:type="dxa"/>
            <w:tcBorders>
              <w:top w:val="nil"/>
              <w:left w:val="nil"/>
              <w:bottom w:val="single" w:sz="4" w:space="0" w:color="auto"/>
              <w:right w:val="single" w:sz="4" w:space="0" w:color="auto"/>
            </w:tcBorders>
            <w:shd w:val="clear" w:color="auto" w:fill="auto"/>
            <w:vAlign w:val="center"/>
            <w:hideMark/>
          </w:tcPr>
          <w:p w14:paraId="4950B38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8 263</w:t>
            </w:r>
          </w:p>
        </w:tc>
        <w:tc>
          <w:tcPr>
            <w:tcW w:w="941" w:type="dxa"/>
            <w:tcBorders>
              <w:top w:val="nil"/>
              <w:left w:val="nil"/>
              <w:bottom w:val="single" w:sz="4" w:space="0" w:color="auto"/>
              <w:right w:val="single" w:sz="4" w:space="0" w:color="auto"/>
            </w:tcBorders>
            <w:shd w:val="clear" w:color="auto" w:fill="auto"/>
            <w:vAlign w:val="center"/>
            <w:hideMark/>
          </w:tcPr>
          <w:p w14:paraId="3805365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7 207</w:t>
            </w:r>
          </w:p>
        </w:tc>
        <w:tc>
          <w:tcPr>
            <w:tcW w:w="941" w:type="dxa"/>
            <w:tcBorders>
              <w:top w:val="nil"/>
              <w:left w:val="nil"/>
              <w:bottom w:val="single" w:sz="4" w:space="0" w:color="auto"/>
              <w:right w:val="single" w:sz="4" w:space="0" w:color="auto"/>
            </w:tcBorders>
            <w:shd w:val="clear" w:color="auto" w:fill="auto"/>
            <w:vAlign w:val="center"/>
            <w:hideMark/>
          </w:tcPr>
          <w:p w14:paraId="3B03573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3 080</w:t>
            </w:r>
          </w:p>
        </w:tc>
        <w:tc>
          <w:tcPr>
            <w:tcW w:w="941" w:type="dxa"/>
            <w:tcBorders>
              <w:top w:val="nil"/>
              <w:left w:val="nil"/>
              <w:bottom w:val="single" w:sz="4" w:space="0" w:color="auto"/>
              <w:right w:val="single" w:sz="4" w:space="0" w:color="auto"/>
            </w:tcBorders>
            <w:shd w:val="clear" w:color="auto" w:fill="auto"/>
            <w:vAlign w:val="center"/>
            <w:hideMark/>
          </w:tcPr>
          <w:p w14:paraId="0A35B31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1 436</w:t>
            </w:r>
          </w:p>
        </w:tc>
        <w:tc>
          <w:tcPr>
            <w:tcW w:w="941" w:type="dxa"/>
            <w:tcBorders>
              <w:top w:val="nil"/>
              <w:left w:val="nil"/>
              <w:bottom w:val="single" w:sz="4" w:space="0" w:color="auto"/>
              <w:right w:val="single" w:sz="4" w:space="0" w:color="auto"/>
            </w:tcBorders>
            <w:shd w:val="clear" w:color="auto" w:fill="auto"/>
            <w:vAlign w:val="center"/>
            <w:hideMark/>
          </w:tcPr>
          <w:p w14:paraId="4925737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10 966</w:t>
            </w:r>
          </w:p>
        </w:tc>
        <w:tc>
          <w:tcPr>
            <w:tcW w:w="941" w:type="dxa"/>
            <w:tcBorders>
              <w:top w:val="nil"/>
              <w:left w:val="nil"/>
              <w:bottom w:val="single" w:sz="4" w:space="0" w:color="auto"/>
              <w:right w:val="single" w:sz="4" w:space="0" w:color="auto"/>
            </w:tcBorders>
            <w:shd w:val="clear" w:color="auto" w:fill="auto"/>
            <w:vAlign w:val="center"/>
            <w:hideMark/>
          </w:tcPr>
          <w:p w14:paraId="3CCAA55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10 190</w:t>
            </w:r>
          </w:p>
        </w:tc>
        <w:tc>
          <w:tcPr>
            <w:tcW w:w="941" w:type="dxa"/>
            <w:tcBorders>
              <w:top w:val="nil"/>
              <w:left w:val="nil"/>
              <w:bottom w:val="single" w:sz="4" w:space="0" w:color="auto"/>
              <w:right w:val="single" w:sz="4" w:space="0" w:color="auto"/>
            </w:tcBorders>
            <w:shd w:val="clear" w:color="auto" w:fill="auto"/>
            <w:vAlign w:val="center"/>
            <w:hideMark/>
          </w:tcPr>
          <w:p w14:paraId="45350A8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8 855</w:t>
            </w:r>
          </w:p>
        </w:tc>
        <w:tc>
          <w:tcPr>
            <w:tcW w:w="941" w:type="dxa"/>
            <w:tcBorders>
              <w:top w:val="nil"/>
              <w:left w:val="nil"/>
              <w:bottom w:val="single" w:sz="4" w:space="0" w:color="auto"/>
              <w:right w:val="single" w:sz="4" w:space="0" w:color="auto"/>
            </w:tcBorders>
            <w:shd w:val="clear" w:color="auto" w:fill="auto"/>
            <w:vAlign w:val="center"/>
            <w:hideMark/>
          </w:tcPr>
          <w:p w14:paraId="1EE1279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8 119</w:t>
            </w:r>
          </w:p>
        </w:tc>
        <w:tc>
          <w:tcPr>
            <w:tcW w:w="941" w:type="dxa"/>
            <w:tcBorders>
              <w:top w:val="nil"/>
              <w:left w:val="nil"/>
              <w:bottom w:val="single" w:sz="4" w:space="0" w:color="auto"/>
              <w:right w:val="single" w:sz="4" w:space="0" w:color="auto"/>
            </w:tcBorders>
            <w:shd w:val="clear" w:color="auto" w:fill="auto"/>
            <w:vAlign w:val="center"/>
            <w:hideMark/>
          </w:tcPr>
          <w:p w14:paraId="3EB9C50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5 008</w:t>
            </w:r>
          </w:p>
        </w:tc>
        <w:tc>
          <w:tcPr>
            <w:tcW w:w="1271" w:type="dxa"/>
            <w:tcBorders>
              <w:top w:val="nil"/>
              <w:left w:val="nil"/>
              <w:bottom w:val="single" w:sz="4" w:space="0" w:color="auto"/>
              <w:right w:val="single" w:sz="4" w:space="0" w:color="auto"/>
            </w:tcBorders>
            <w:shd w:val="clear" w:color="auto" w:fill="auto"/>
            <w:vAlign w:val="center"/>
            <w:hideMark/>
          </w:tcPr>
          <w:p w14:paraId="77C91F5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3 833</w:t>
            </w:r>
          </w:p>
        </w:tc>
      </w:tr>
      <w:tr w:rsidR="0053576E" w:rsidRPr="004135FE" w14:paraId="4D978CD4"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232701B0"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2A78873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tcBorders>
              <w:top w:val="nil"/>
              <w:left w:val="nil"/>
              <w:bottom w:val="single" w:sz="4" w:space="0" w:color="auto"/>
              <w:right w:val="single" w:sz="4" w:space="0" w:color="auto"/>
            </w:tcBorders>
            <w:shd w:val="clear" w:color="auto" w:fill="auto"/>
            <w:vAlign w:val="center"/>
            <w:hideMark/>
          </w:tcPr>
          <w:p w14:paraId="6CE73CD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78" w:type="dxa"/>
            <w:tcBorders>
              <w:top w:val="nil"/>
              <w:left w:val="nil"/>
              <w:bottom w:val="single" w:sz="4" w:space="0" w:color="auto"/>
              <w:right w:val="single" w:sz="4" w:space="0" w:color="auto"/>
            </w:tcBorders>
            <w:shd w:val="clear" w:color="auto" w:fill="auto"/>
            <w:vAlign w:val="center"/>
            <w:hideMark/>
          </w:tcPr>
          <w:p w14:paraId="7E16D0D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879" w:type="dxa"/>
            <w:tcBorders>
              <w:top w:val="nil"/>
              <w:left w:val="nil"/>
              <w:bottom w:val="single" w:sz="4" w:space="0" w:color="auto"/>
              <w:right w:val="single" w:sz="4" w:space="0" w:color="auto"/>
            </w:tcBorders>
            <w:shd w:val="clear" w:color="auto" w:fill="auto"/>
            <w:vAlign w:val="center"/>
            <w:hideMark/>
          </w:tcPr>
          <w:p w14:paraId="4C577B6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879" w:type="dxa"/>
            <w:tcBorders>
              <w:top w:val="nil"/>
              <w:left w:val="nil"/>
              <w:bottom w:val="single" w:sz="4" w:space="0" w:color="auto"/>
              <w:right w:val="single" w:sz="4" w:space="0" w:color="auto"/>
            </w:tcBorders>
            <w:shd w:val="clear" w:color="auto" w:fill="auto"/>
            <w:vAlign w:val="center"/>
            <w:hideMark/>
          </w:tcPr>
          <w:p w14:paraId="53255B5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nil"/>
              <w:left w:val="nil"/>
              <w:bottom w:val="single" w:sz="4" w:space="0" w:color="auto"/>
              <w:right w:val="single" w:sz="4" w:space="0" w:color="auto"/>
            </w:tcBorders>
            <w:shd w:val="clear" w:color="auto" w:fill="auto"/>
            <w:vAlign w:val="center"/>
            <w:hideMark/>
          </w:tcPr>
          <w:p w14:paraId="5B2E9C7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nil"/>
              <w:left w:val="nil"/>
              <w:bottom w:val="single" w:sz="4" w:space="0" w:color="auto"/>
              <w:right w:val="single" w:sz="4" w:space="0" w:color="auto"/>
            </w:tcBorders>
            <w:shd w:val="clear" w:color="auto" w:fill="auto"/>
            <w:vAlign w:val="center"/>
            <w:hideMark/>
          </w:tcPr>
          <w:p w14:paraId="26350BA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nil"/>
              <w:left w:val="nil"/>
              <w:bottom w:val="single" w:sz="4" w:space="0" w:color="auto"/>
              <w:right w:val="single" w:sz="4" w:space="0" w:color="auto"/>
            </w:tcBorders>
            <w:shd w:val="clear" w:color="auto" w:fill="auto"/>
            <w:vAlign w:val="center"/>
            <w:hideMark/>
          </w:tcPr>
          <w:p w14:paraId="5C0C9C4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nil"/>
              <w:left w:val="nil"/>
              <w:bottom w:val="single" w:sz="4" w:space="0" w:color="auto"/>
              <w:right w:val="single" w:sz="4" w:space="0" w:color="auto"/>
            </w:tcBorders>
            <w:shd w:val="clear" w:color="auto" w:fill="auto"/>
            <w:vAlign w:val="center"/>
            <w:hideMark/>
          </w:tcPr>
          <w:p w14:paraId="6AD4E3E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nil"/>
              <w:left w:val="nil"/>
              <w:bottom w:val="single" w:sz="4" w:space="0" w:color="auto"/>
              <w:right w:val="single" w:sz="4" w:space="0" w:color="auto"/>
            </w:tcBorders>
            <w:shd w:val="clear" w:color="auto" w:fill="auto"/>
            <w:vAlign w:val="center"/>
            <w:hideMark/>
          </w:tcPr>
          <w:p w14:paraId="0437FC0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nil"/>
              <w:left w:val="nil"/>
              <w:bottom w:val="single" w:sz="4" w:space="0" w:color="auto"/>
              <w:right w:val="single" w:sz="4" w:space="0" w:color="auto"/>
            </w:tcBorders>
            <w:shd w:val="clear" w:color="auto" w:fill="auto"/>
            <w:vAlign w:val="center"/>
            <w:hideMark/>
          </w:tcPr>
          <w:p w14:paraId="72CC234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nil"/>
              <w:left w:val="nil"/>
              <w:bottom w:val="single" w:sz="4" w:space="0" w:color="auto"/>
              <w:right w:val="single" w:sz="4" w:space="0" w:color="auto"/>
            </w:tcBorders>
            <w:shd w:val="clear" w:color="auto" w:fill="auto"/>
            <w:vAlign w:val="center"/>
            <w:hideMark/>
          </w:tcPr>
          <w:p w14:paraId="1C7173D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nil"/>
              <w:left w:val="nil"/>
              <w:bottom w:val="single" w:sz="4" w:space="0" w:color="auto"/>
              <w:right w:val="single" w:sz="4" w:space="0" w:color="auto"/>
            </w:tcBorders>
            <w:shd w:val="clear" w:color="auto" w:fill="auto"/>
            <w:vAlign w:val="center"/>
            <w:hideMark/>
          </w:tcPr>
          <w:p w14:paraId="4775E96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271" w:type="dxa"/>
            <w:tcBorders>
              <w:top w:val="nil"/>
              <w:left w:val="nil"/>
              <w:bottom w:val="single" w:sz="4" w:space="0" w:color="auto"/>
              <w:right w:val="single" w:sz="4" w:space="0" w:color="auto"/>
            </w:tcBorders>
            <w:shd w:val="clear" w:color="auto" w:fill="auto"/>
            <w:vAlign w:val="center"/>
            <w:hideMark/>
          </w:tcPr>
          <w:p w14:paraId="1188F12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r>
      <w:tr w:rsidR="0053576E" w:rsidRPr="004135FE" w14:paraId="7AC2F49C"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4A0274EF"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5B4CDF7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tcBorders>
              <w:top w:val="nil"/>
              <w:left w:val="nil"/>
              <w:bottom w:val="single" w:sz="4" w:space="0" w:color="auto"/>
              <w:right w:val="single" w:sz="4" w:space="0" w:color="auto"/>
            </w:tcBorders>
            <w:shd w:val="clear" w:color="auto" w:fill="auto"/>
            <w:vAlign w:val="center"/>
            <w:hideMark/>
          </w:tcPr>
          <w:p w14:paraId="2F25047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78" w:type="dxa"/>
            <w:tcBorders>
              <w:top w:val="nil"/>
              <w:left w:val="nil"/>
              <w:bottom w:val="single" w:sz="4" w:space="0" w:color="auto"/>
              <w:right w:val="single" w:sz="4" w:space="0" w:color="auto"/>
            </w:tcBorders>
            <w:shd w:val="clear" w:color="auto" w:fill="auto"/>
            <w:vAlign w:val="center"/>
            <w:hideMark/>
          </w:tcPr>
          <w:p w14:paraId="3A28F9D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428</w:t>
            </w:r>
          </w:p>
        </w:tc>
        <w:tc>
          <w:tcPr>
            <w:tcW w:w="879" w:type="dxa"/>
            <w:tcBorders>
              <w:top w:val="nil"/>
              <w:left w:val="nil"/>
              <w:bottom w:val="single" w:sz="4" w:space="0" w:color="auto"/>
              <w:right w:val="single" w:sz="4" w:space="0" w:color="auto"/>
            </w:tcBorders>
            <w:shd w:val="clear" w:color="auto" w:fill="auto"/>
            <w:vAlign w:val="center"/>
            <w:hideMark/>
          </w:tcPr>
          <w:p w14:paraId="5106425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5 844</w:t>
            </w:r>
          </w:p>
        </w:tc>
        <w:tc>
          <w:tcPr>
            <w:tcW w:w="879" w:type="dxa"/>
            <w:tcBorders>
              <w:top w:val="nil"/>
              <w:left w:val="nil"/>
              <w:bottom w:val="single" w:sz="4" w:space="0" w:color="auto"/>
              <w:right w:val="single" w:sz="4" w:space="0" w:color="auto"/>
            </w:tcBorders>
            <w:shd w:val="clear" w:color="auto" w:fill="auto"/>
            <w:vAlign w:val="center"/>
            <w:hideMark/>
          </w:tcPr>
          <w:p w14:paraId="782BE02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5 257</w:t>
            </w:r>
          </w:p>
        </w:tc>
        <w:tc>
          <w:tcPr>
            <w:tcW w:w="941" w:type="dxa"/>
            <w:tcBorders>
              <w:top w:val="nil"/>
              <w:left w:val="nil"/>
              <w:bottom w:val="single" w:sz="4" w:space="0" w:color="auto"/>
              <w:right w:val="single" w:sz="4" w:space="0" w:color="auto"/>
            </w:tcBorders>
            <w:shd w:val="clear" w:color="auto" w:fill="auto"/>
            <w:vAlign w:val="center"/>
            <w:hideMark/>
          </w:tcPr>
          <w:p w14:paraId="4642AB6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4 967</w:t>
            </w:r>
          </w:p>
        </w:tc>
        <w:tc>
          <w:tcPr>
            <w:tcW w:w="941" w:type="dxa"/>
            <w:tcBorders>
              <w:top w:val="nil"/>
              <w:left w:val="nil"/>
              <w:bottom w:val="single" w:sz="4" w:space="0" w:color="auto"/>
              <w:right w:val="single" w:sz="4" w:space="0" w:color="auto"/>
            </w:tcBorders>
            <w:shd w:val="clear" w:color="auto" w:fill="auto"/>
            <w:vAlign w:val="center"/>
            <w:hideMark/>
          </w:tcPr>
          <w:p w14:paraId="06B7799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3 473</w:t>
            </w:r>
          </w:p>
        </w:tc>
        <w:tc>
          <w:tcPr>
            <w:tcW w:w="941" w:type="dxa"/>
            <w:tcBorders>
              <w:top w:val="nil"/>
              <w:left w:val="nil"/>
              <w:bottom w:val="single" w:sz="4" w:space="0" w:color="auto"/>
              <w:right w:val="single" w:sz="4" w:space="0" w:color="auto"/>
            </w:tcBorders>
            <w:shd w:val="clear" w:color="auto" w:fill="auto"/>
            <w:vAlign w:val="center"/>
            <w:hideMark/>
          </w:tcPr>
          <w:p w14:paraId="47C0A5D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2 054</w:t>
            </w:r>
          </w:p>
        </w:tc>
        <w:tc>
          <w:tcPr>
            <w:tcW w:w="941" w:type="dxa"/>
            <w:tcBorders>
              <w:top w:val="nil"/>
              <w:left w:val="nil"/>
              <w:bottom w:val="single" w:sz="4" w:space="0" w:color="auto"/>
              <w:right w:val="single" w:sz="4" w:space="0" w:color="auto"/>
            </w:tcBorders>
            <w:shd w:val="clear" w:color="auto" w:fill="auto"/>
            <w:vAlign w:val="center"/>
            <w:hideMark/>
          </w:tcPr>
          <w:p w14:paraId="44A813D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13 651</w:t>
            </w:r>
          </w:p>
        </w:tc>
        <w:tc>
          <w:tcPr>
            <w:tcW w:w="941" w:type="dxa"/>
            <w:tcBorders>
              <w:top w:val="nil"/>
              <w:left w:val="nil"/>
              <w:bottom w:val="single" w:sz="4" w:space="0" w:color="auto"/>
              <w:right w:val="single" w:sz="4" w:space="0" w:color="auto"/>
            </w:tcBorders>
            <w:shd w:val="clear" w:color="auto" w:fill="auto"/>
            <w:vAlign w:val="center"/>
            <w:hideMark/>
          </w:tcPr>
          <w:p w14:paraId="7F0DB89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11 768</w:t>
            </w:r>
          </w:p>
        </w:tc>
        <w:tc>
          <w:tcPr>
            <w:tcW w:w="941" w:type="dxa"/>
            <w:tcBorders>
              <w:top w:val="nil"/>
              <w:left w:val="nil"/>
              <w:bottom w:val="single" w:sz="4" w:space="0" w:color="auto"/>
              <w:right w:val="single" w:sz="4" w:space="0" w:color="auto"/>
            </w:tcBorders>
            <w:shd w:val="clear" w:color="auto" w:fill="auto"/>
            <w:vAlign w:val="center"/>
            <w:hideMark/>
          </w:tcPr>
          <w:p w14:paraId="4C6EFCA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9 725</w:t>
            </w:r>
          </w:p>
        </w:tc>
        <w:tc>
          <w:tcPr>
            <w:tcW w:w="941" w:type="dxa"/>
            <w:tcBorders>
              <w:top w:val="nil"/>
              <w:left w:val="nil"/>
              <w:bottom w:val="single" w:sz="4" w:space="0" w:color="auto"/>
              <w:right w:val="single" w:sz="4" w:space="0" w:color="auto"/>
            </w:tcBorders>
            <w:shd w:val="clear" w:color="auto" w:fill="auto"/>
            <w:vAlign w:val="center"/>
            <w:hideMark/>
          </w:tcPr>
          <w:p w14:paraId="58E05CE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9 735</w:t>
            </w:r>
          </w:p>
        </w:tc>
        <w:tc>
          <w:tcPr>
            <w:tcW w:w="941" w:type="dxa"/>
            <w:tcBorders>
              <w:top w:val="nil"/>
              <w:left w:val="nil"/>
              <w:bottom w:val="single" w:sz="4" w:space="0" w:color="auto"/>
              <w:right w:val="single" w:sz="4" w:space="0" w:color="auto"/>
            </w:tcBorders>
            <w:shd w:val="clear" w:color="auto" w:fill="auto"/>
            <w:vAlign w:val="center"/>
            <w:hideMark/>
          </w:tcPr>
          <w:p w14:paraId="3257EA0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5 048</w:t>
            </w:r>
          </w:p>
        </w:tc>
        <w:tc>
          <w:tcPr>
            <w:tcW w:w="1271" w:type="dxa"/>
            <w:tcBorders>
              <w:top w:val="nil"/>
              <w:left w:val="nil"/>
              <w:bottom w:val="single" w:sz="4" w:space="0" w:color="auto"/>
              <w:right w:val="single" w:sz="4" w:space="0" w:color="auto"/>
            </w:tcBorders>
            <w:shd w:val="clear" w:color="auto" w:fill="auto"/>
            <w:vAlign w:val="center"/>
            <w:hideMark/>
          </w:tcPr>
          <w:p w14:paraId="71B9AA3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4 017</w:t>
            </w:r>
          </w:p>
        </w:tc>
      </w:tr>
      <w:tr w:rsidR="0053576E" w:rsidRPr="004135FE" w14:paraId="541A0D83" w14:textId="77777777" w:rsidTr="00680E37">
        <w:trPr>
          <w:cantSplit/>
          <w:trHeight w:val="227"/>
        </w:trPr>
        <w:tc>
          <w:tcPr>
            <w:tcW w:w="553"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242F0A9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2013год</w:t>
            </w:r>
          </w:p>
        </w:tc>
        <w:tc>
          <w:tcPr>
            <w:tcW w:w="373" w:type="dxa"/>
            <w:tcBorders>
              <w:top w:val="nil"/>
              <w:left w:val="nil"/>
              <w:bottom w:val="single" w:sz="4" w:space="0" w:color="auto"/>
              <w:right w:val="single" w:sz="4" w:space="0" w:color="auto"/>
            </w:tcBorders>
            <w:shd w:val="clear" w:color="auto" w:fill="auto"/>
            <w:vAlign w:val="bottom"/>
            <w:hideMark/>
          </w:tcPr>
          <w:p w14:paraId="3BB54D4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tcBorders>
              <w:top w:val="nil"/>
              <w:left w:val="nil"/>
              <w:bottom w:val="single" w:sz="4" w:space="0" w:color="auto"/>
              <w:right w:val="single" w:sz="4" w:space="0" w:color="auto"/>
            </w:tcBorders>
            <w:shd w:val="clear" w:color="auto" w:fill="auto"/>
            <w:vAlign w:val="center"/>
            <w:hideMark/>
          </w:tcPr>
          <w:p w14:paraId="3563105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78" w:type="dxa"/>
            <w:tcBorders>
              <w:top w:val="nil"/>
              <w:left w:val="nil"/>
              <w:bottom w:val="single" w:sz="4" w:space="0" w:color="auto"/>
              <w:right w:val="single" w:sz="4" w:space="0" w:color="auto"/>
            </w:tcBorders>
            <w:shd w:val="clear" w:color="auto" w:fill="auto"/>
            <w:vAlign w:val="center"/>
            <w:hideMark/>
          </w:tcPr>
          <w:p w14:paraId="34758D4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2 056</w:t>
            </w:r>
          </w:p>
        </w:tc>
        <w:tc>
          <w:tcPr>
            <w:tcW w:w="879" w:type="dxa"/>
            <w:tcBorders>
              <w:top w:val="nil"/>
              <w:left w:val="nil"/>
              <w:bottom w:val="single" w:sz="4" w:space="0" w:color="auto"/>
              <w:right w:val="single" w:sz="4" w:space="0" w:color="auto"/>
            </w:tcBorders>
            <w:shd w:val="clear" w:color="auto" w:fill="auto"/>
            <w:vAlign w:val="center"/>
            <w:hideMark/>
          </w:tcPr>
          <w:p w14:paraId="1CB9A9D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9 845</w:t>
            </w:r>
          </w:p>
        </w:tc>
        <w:tc>
          <w:tcPr>
            <w:tcW w:w="879" w:type="dxa"/>
            <w:tcBorders>
              <w:top w:val="nil"/>
              <w:left w:val="nil"/>
              <w:bottom w:val="single" w:sz="4" w:space="0" w:color="auto"/>
              <w:right w:val="single" w:sz="4" w:space="0" w:color="auto"/>
            </w:tcBorders>
            <w:shd w:val="clear" w:color="auto" w:fill="auto"/>
            <w:vAlign w:val="center"/>
            <w:hideMark/>
          </w:tcPr>
          <w:p w14:paraId="19B4ACA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11 324</w:t>
            </w:r>
          </w:p>
        </w:tc>
        <w:tc>
          <w:tcPr>
            <w:tcW w:w="941" w:type="dxa"/>
            <w:tcBorders>
              <w:top w:val="nil"/>
              <w:left w:val="nil"/>
              <w:bottom w:val="single" w:sz="4" w:space="0" w:color="auto"/>
              <w:right w:val="single" w:sz="4" w:space="0" w:color="auto"/>
            </w:tcBorders>
            <w:shd w:val="clear" w:color="auto" w:fill="auto"/>
            <w:vAlign w:val="center"/>
            <w:hideMark/>
          </w:tcPr>
          <w:p w14:paraId="434FD0C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8 265</w:t>
            </w:r>
          </w:p>
        </w:tc>
        <w:tc>
          <w:tcPr>
            <w:tcW w:w="941" w:type="dxa"/>
            <w:tcBorders>
              <w:top w:val="nil"/>
              <w:left w:val="nil"/>
              <w:bottom w:val="single" w:sz="4" w:space="0" w:color="auto"/>
              <w:right w:val="single" w:sz="4" w:space="0" w:color="auto"/>
            </w:tcBorders>
            <w:shd w:val="clear" w:color="auto" w:fill="auto"/>
            <w:vAlign w:val="center"/>
            <w:hideMark/>
          </w:tcPr>
          <w:p w14:paraId="6808CA1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2 734</w:t>
            </w:r>
          </w:p>
        </w:tc>
        <w:tc>
          <w:tcPr>
            <w:tcW w:w="941" w:type="dxa"/>
            <w:tcBorders>
              <w:top w:val="nil"/>
              <w:left w:val="nil"/>
              <w:bottom w:val="single" w:sz="4" w:space="0" w:color="auto"/>
              <w:right w:val="single" w:sz="4" w:space="0" w:color="auto"/>
            </w:tcBorders>
            <w:shd w:val="clear" w:color="auto" w:fill="auto"/>
            <w:vAlign w:val="center"/>
            <w:hideMark/>
          </w:tcPr>
          <w:p w14:paraId="343DBAD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2 035</w:t>
            </w:r>
          </w:p>
        </w:tc>
        <w:tc>
          <w:tcPr>
            <w:tcW w:w="941" w:type="dxa"/>
            <w:tcBorders>
              <w:top w:val="nil"/>
              <w:left w:val="nil"/>
              <w:bottom w:val="single" w:sz="4" w:space="0" w:color="auto"/>
              <w:right w:val="single" w:sz="4" w:space="0" w:color="auto"/>
            </w:tcBorders>
            <w:shd w:val="clear" w:color="auto" w:fill="auto"/>
            <w:vAlign w:val="center"/>
            <w:hideMark/>
          </w:tcPr>
          <w:p w14:paraId="3F364FF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13 486</w:t>
            </w:r>
          </w:p>
        </w:tc>
        <w:tc>
          <w:tcPr>
            <w:tcW w:w="941" w:type="dxa"/>
            <w:tcBorders>
              <w:top w:val="nil"/>
              <w:left w:val="nil"/>
              <w:bottom w:val="single" w:sz="4" w:space="0" w:color="auto"/>
              <w:right w:val="single" w:sz="4" w:space="0" w:color="auto"/>
            </w:tcBorders>
            <w:shd w:val="clear" w:color="auto" w:fill="auto"/>
            <w:vAlign w:val="center"/>
            <w:hideMark/>
          </w:tcPr>
          <w:p w14:paraId="21A723A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13 250</w:t>
            </w:r>
          </w:p>
        </w:tc>
        <w:tc>
          <w:tcPr>
            <w:tcW w:w="941" w:type="dxa"/>
            <w:tcBorders>
              <w:top w:val="nil"/>
              <w:left w:val="nil"/>
              <w:bottom w:val="single" w:sz="4" w:space="0" w:color="auto"/>
              <w:right w:val="single" w:sz="4" w:space="0" w:color="auto"/>
            </w:tcBorders>
            <w:shd w:val="clear" w:color="auto" w:fill="auto"/>
            <w:vAlign w:val="center"/>
            <w:hideMark/>
          </w:tcPr>
          <w:p w14:paraId="240FA4D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11 048</w:t>
            </w:r>
          </w:p>
        </w:tc>
        <w:tc>
          <w:tcPr>
            <w:tcW w:w="941" w:type="dxa"/>
            <w:tcBorders>
              <w:top w:val="nil"/>
              <w:left w:val="nil"/>
              <w:bottom w:val="single" w:sz="4" w:space="0" w:color="auto"/>
              <w:right w:val="single" w:sz="4" w:space="0" w:color="auto"/>
            </w:tcBorders>
            <w:shd w:val="clear" w:color="auto" w:fill="auto"/>
            <w:vAlign w:val="center"/>
            <w:hideMark/>
          </w:tcPr>
          <w:p w14:paraId="0733D0E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10 225</w:t>
            </w:r>
          </w:p>
        </w:tc>
        <w:tc>
          <w:tcPr>
            <w:tcW w:w="941" w:type="dxa"/>
            <w:tcBorders>
              <w:top w:val="nil"/>
              <w:left w:val="nil"/>
              <w:bottom w:val="single" w:sz="4" w:space="0" w:color="auto"/>
              <w:right w:val="single" w:sz="4" w:space="0" w:color="auto"/>
            </w:tcBorders>
            <w:shd w:val="clear" w:color="auto" w:fill="auto"/>
            <w:vAlign w:val="center"/>
            <w:hideMark/>
          </w:tcPr>
          <w:p w14:paraId="69E11C7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6 680</w:t>
            </w:r>
          </w:p>
        </w:tc>
        <w:tc>
          <w:tcPr>
            <w:tcW w:w="1271" w:type="dxa"/>
            <w:tcBorders>
              <w:top w:val="nil"/>
              <w:left w:val="nil"/>
              <w:bottom w:val="single" w:sz="4" w:space="0" w:color="auto"/>
              <w:right w:val="single" w:sz="4" w:space="0" w:color="auto"/>
            </w:tcBorders>
            <w:shd w:val="clear" w:color="auto" w:fill="auto"/>
            <w:vAlign w:val="center"/>
            <w:hideMark/>
          </w:tcPr>
          <w:p w14:paraId="7C0E853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5 241</w:t>
            </w:r>
          </w:p>
        </w:tc>
      </w:tr>
      <w:tr w:rsidR="0053576E" w:rsidRPr="004135FE" w14:paraId="66CB85AE"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068535C8"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3F6CEF4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tcBorders>
              <w:top w:val="nil"/>
              <w:left w:val="nil"/>
              <w:bottom w:val="single" w:sz="4" w:space="0" w:color="auto"/>
              <w:right w:val="single" w:sz="4" w:space="0" w:color="auto"/>
            </w:tcBorders>
            <w:shd w:val="clear" w:color="auto" w:fill="auto"/>
            <w:vAlign w:val="center"/>
            <w:hideMark/>
          </w:tcPr>
          <w:p w14:paraId="51255F4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78" w:type="dxa"/>
            <w:tcBorders>
              <w:top w:val="nil"/>
              <w:left w:val="nil"/>
              <w:bottom w:val="single" w:sz="4" w:space="0" w:color="auto"/>
              <w:right w:val="single" w:sz="4" w:space="0" w:color="auto"/>
            </w:tcBorders>
            <w:shd w:val="clear" w:color="auto" w:fill="auto"/>
            <w:vAlign w:val="center"/>
            <w:hideMark/>
          </w:tcPr>
          <w:p w14:paraId="21C4D56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1 832</w:t>
            </w:r>
          </w:p>
        </w:tc>
        <w:tc>
          <w:tcPr>
            <w:tcW w:w="879" w:type="dxa"/>
            <w:tcBorders>
              <w:top w:val="nil"/>
              <w:left w:val="nil"/>
              <w:bottom w:val="single" w:sz="4" w:space="0" w:color="auto"/>
              <w:right w:val="single" w:sz="4" w:space="0" w:color="auto"/>
            </w:tcBorders>
            <w:shd w:val="clear" w:color="auto" w:fill="auto"/>
            <w:vAlign w:val="center"/>
            <w:hideMark/>
          </w:tcPr>
          <w:p w14:paraId="173B832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6 921</w:t>
            </w:r>
          </w:p>
        </w:tc>
        <w:tc>
          <w:tcPr>
            <w:tcW w:w="879" w:type="dxa"/>
            <w:tcBorders>
              <w:top w:val="nil"/>
              <w:left w:val="nil"/>
              <w:bottom w:val="single" w:sz="4" w:space="0" w:color="auto"/>
              <w:right w:val="single" w:sz="4" w:space="0" w:color="auto"/>
            </w:tcBorders>
            <w:shd w:val="clear" w:color="auto" w:fill="auto"/>
            <w:vAlign w:val="center"/>
            <w:hideMark/>
          </w:tcPr>
          <w:p w14:paraId="6122FB2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7 315</w:t>
            </w:r>
          </w:p>
        </w:tc>
        <w:tc>
          <w:tcPr>
            <w:tcW w:w="941" w:type="dxa"/>
            <w:tcBorders>
              <w:top w:val="nil"/>
              <w:left w:val="nil"/>
              <w:bottom w:val="single" w:sz="4" w:space="0" w:color="auto"/>
              <w:right w:val="single" w:sz="4" w:space="0" w:color="auto"/>
            </w:tcBorders>
            <w:shd w:val="clear" w:color="auto" w:fill="auto"/>
            <w:vAlign w:val="center"/>
            <w:hideMark/>
          </w:tcPr>
          <w:p w14:paraId="160A09C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4 908</w:t>
            </w:r>
          </w:p>
        </w:tc>
        <w:tc>
          <w:tcPr>
            <w:tcW w:w="941" w:type="dxa"/>
            <w:tcBorders>
              <w:top w:val="nil"/>
              <w:left w:val="nil"/>
              <w:bottom w:val="single" w:sz="4" w:space="0" w:color="auto"/>
              <w:right w:val="single" w:sz="4" w:space="0" w:color="auto"/>
            </w:tcBorders>
            <w:shd w:val="clear" w:color="auto" w:fill="auto"/>
            <w:vAlign w:val="center"/>
            <w:hideMark/>
          </w:tcPr>
          <w:p w14:paraId="1A25950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1 719</w:t>
            </w:r>
          </w:p>
        </w:tc>
        <w:tc>
          <w:tcPr>
            <w:tcW w:w="941" w:type="dxa"/>
            <w:tcBorders>
              <w:top w:val="nil"/>
              <w:left w:val="nil"/>
              <w:bottom w:val="single" w:sz="4" w:space="0" w:color="auto"/>
              <w:right w:val="single" w:sz="4" w:space="0" w:color="auto"/>
            </w:tcBorders>
            <w:shd w:val="clear" w:color="auto" w:fill="auto"/>
            <w:vAlign w:val="center"/>
            <w:hideMark/>
          </w:tcPr>
          <w:p w14:paraId="2ED3B5F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1 127</w:t>
            </w:r>
          </w:p>
        </w:tc>
        <w:tc>
          <w:tcPr>
            <w:tcW w:w="941" w:type="dxa"/>
            <w:tcBorders>
              <w:top w:val="nil"/>
              <w:left w:val="nil"/>
              <w:bottom w:val="single" w:sz="4" w:space="0" w:color="auto"/>
              <w:right w:val="single" w:sz="4" w:space="0" w:color="auto"/>
            </w:tcBorders>
            <w:shd w:val="clear" w:color="auto" w:fill="auto"/>
            <w:vAlign w:val="center"/>
            <w:hideMark/>
          </w:tcPr>
          <w:p w14:paraId="0AF89EF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9 777</w:t>
            </w:r>
          </w:p>
        </w:tc>
        <w:tc>
          <w:tcPr>
            <w:tcW w:w="941" w:type="dxa"/>
            <w:tcBorders>
              <w:top w:val="nil"/>
              <w:left w:val="nil"/>
              <w:bottom w:val="single" w:sz="4" w:space="0" w:color="auto"/>
              <w:right w:val="single" w:sz="4" w:space="0" w:color="auto"/>
            </w:tcBorders>
            <w:shd w:val="clear" w:color="auto" w:fill="auto"/>
            <w:vAlign w:val="center"/>
            <w:hideMark/>
          </w:tcPr>
          <w:p w14:paraId="7EF6781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9 320</w:t>
            </w:r>
          </w:p>
        </w:tc>
        <w:tc>
          <w:tcPr>
            <w:tcW w:w="941" w:type="dxa"/>
            <w:tcBorders>
              <w:top w:val="nil"/>
              <w:left w:val="nil"/>
              <w:bottom w:val="single" w:sz="4" w:space="0" w:color="auto"/>
              <w:right w:val="single" w:sz="4" w:space="0" w:color="auto"/>
            </w:tcBorders>
            <w:shd w:val="clear" w:color="auto" w:fill="auto"/>
            <w:vAlign w:val="center"/>
            <w:hideMark/>
          </w:tcPr>
          <w:p w14:paraId="5068E8F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7 582</w:t>
            </w:r>
          </w:p>
        </w:tc>
        <w:tc>
          <w:tcPr>
            <w:tcW w:w="941" w:type="dxa"/>
            <w:tcBorders>
              <w:top w:val="nil"/>
              <w:left w:val="nil"/>
              <w:bottom w:val="single" w:sz="4" w:space="0" w:color="auto"/>
              <w:right w:val="single" w:sz="4" w:space="0" w:color="auto"/>
            </w:tcBorders>
            <w:shd w:val="clear" w:color="auto" w:fill="auto"/>
            <w:vAlign w:val="center"/>
            <w:hideMark/>
          </w:tcPr>
          <w:p w14:paraId="63BDF59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5 580</w:t>
            </w:r>
          </w:p>
        </w:tc>
        <w:tc>
          <w:tcPr>
            <w:tcW w:w="941" w:type="dxa"/>
            <w:tcBorders>
              <w:top w:val="nil"/>
              <w:left w:val="nil"/>
              <w:bottom w:val="single" w:sz="4" w:space="0" w:color="auto"/>
              <w:right w:val="single" w:sz="4" w:space="0" w:color="auto"/>
            </w:tcBorders>
            <w:shd w:val="clear" w:color="auto" w:fill="auto"/>
            <w:vAlign w:val="center"/>
            <w:hideMark/>
          </w:tcPr>
          <w:p w14:paraId="0984767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2 396</w:t>
            </w:r>
          </w:p>
        </w:tc>
        <w:tc>
          <w:tcPr>
            <w:tcW w:w="1271" w:type="dxa"/>
            <w:tcBorders>
              <w:top w:val="nil"/>
              <w:left w:val="nil"/>
              <w:bottom w:val="single" w:sz="4" w:space="0" w:color="auto"/>
              <w:right w:val="single" w:sz="4" w:space="0" w:color="auto"/>
            </w:tcBorders>
            <w:shd w:val="clear" w:color="auto" w:fill="auto"/>
            <w:vAlign w:val="center"/>
            <w:hideMark/>
          </w:tcPr>
          <w:p w14:paraId="39C21C7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1 673</w:t>
            </w:r>
          </w:p>
        </w:tc>
      </w:tr>
      <w:tr w:rsidR="0053576E" w:rsidRPr="004135FE" w14:paraId="5AE8A789"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28D44CBD"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7390B10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tcBorders>
              <w:top w:val="nil"/>
              <w:left w:val="nil"/>
              <w:bottom w:val="single" w:sz="4" w:space="0" w:color="auto"/>
              <w:right w:val="single" w:sz="4" w:space="0" w:color="auto"/>
            </w:tcBorders>
            <w:shd w:val="clear" w:color="auto" w:fill="auto"/>
            <w:vAlign w:val="center"/>
            <w:hideMark/>
          </w:tcPr>
          <w:p w14:paraId="10E4F0A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78" w:type="dxa"/>
            <w:tcBorders>
              <w:top w:val="nil"/>
              <w:left w:val="nil"/>
              <w:bottom w:val="single" w:sz="4" w:space="0" w:color="auto"/>
              <w:right w:val="single" w:sz="4" w:space="0" w:color="auto"/>
            </w:tcBorders>
            <w:shd w:val="clear" w:color="auto" w:fill="auto"/>
            <w:vAlign w:val="center"/>
            <w:hideMark/>
          </w:tcPr>
          <w:p w14:paraId="39F101A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2 246</w:t>
            </w:r>
          </w:p>
        </w:tc>
        <w:tc>
          <w:tcPr>
            <w:tcW w:w="879" w:type="dxa"/>
            <w:tcBorders>
              <w:top w:val="nil"/>
              <w:left w:val="nil"/>
              <w:bottom w:val="single" w:sz="4" w:space="0" w:color="auto"/>
              <w:right w:val="single" w:sz="4" w:space="0" w:color="auto"/>
            </w:tcBorders>
            <w:shd w:val="clear" w:color="auto" w:fill="auto"/>
            <w:vAlign w:val="center"/>
            <w:hideMark/>
          </w:tcPr>
          <w:p w14:paraId="6DD9F68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10 632</w:t>
            </w:r>
          </w:p>
        </w:tc>
        <w:tc>
          <w:tcPr>
            <w:tcW w:w="879" w:type="dxa"/>
            <w:tcBorders>
              <w:top w:val="nil"/>
              <w:left w:val="nil"/>
              <w:bottom w:val="single" w:sz="4" w:space="0" w:color="auto"/>
              <w:right w:val="single" w:sz="4" w:space="0" w:color="auto"/>
            </w:tcBorders>
            <w:shd w:val="clear" w:color="auto" w:fill="auto"/>
            <w:vAlign w:val="center"/>
            <w:hideMark/>
          </w:tcPr>
          <w:p w14:paraId="5DD2969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11 262</w:t>
            </w:r>
          </w:p>
        </w:tc>
        <w:tc>
          <w:tcPr>
            <w:tcW w:w="941" w:type="dxa"/>
            <w:tcBorders>
              <w:top w:val="nil"/>
              <w:left w:val="nil"/>
              <w:bottom w:val="single" w:sz="4" w:space="0" w:color="auto"/>
              <w:right w:val="single" w:sz="4" w:space="0" w:color="auto"/>
            </w:tcBorders>
            <w:shd w:val="clear" w:color="auto" w:fill="auto"/>
            <w:vAlign w:val="center"/>
            <w:hideMark/>
          </w:tcPr>
          <w:p w14:paraId="72E8161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8 186</w:t>
            </w:r>
          </w:p>
        </w:tc>
        <w:tc>
          <w:tcPr>
            <w:tcW w:w="941" w:type="dxa"/>
            <w:tcBorders>
              <w:top w:val="nil"/>
              <w:left w:val="nil"/>
              <w:bottom w:val="single" w:sz="4" w:space="0" w:color="auto"/>
              <w:right w:val="single" w:sz="4" w:space="0" w:color="auto"/>
            </w:tcBorders>
            <w:shd w:val="clear" w:color="auto" w:fill="auto"/>
            <w:vAlign w:val="center"/>
            <w:hideMark/>
          </w:tcPr>
          <w:p w14:paraId="4CA363A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4 154</w:t>
            </w:r>
          </w:p>
        </w:tc>
        <w:tc>
          <w:tcPr>
            <w:tcW w:w="941" w:type="dxa"/>
            <w:tcBorders>
              <w:top w:val="nil"/>
              <w:left w:val="nil"/>
              <w:bottom w:val="single" w:sz="4" w:space="0" w:color="auto"/>
              <w:right w:val="single" w:sz="4" w:space="0" w:color="auto"/>
            </w:tcBorders>
            <w:shd w:val="clear" w:color="auto" w:fill="auto"/>
            <w:vAlign w:val="center"/>
            <w:hideMark/>
          </w:tcPr>
          <w:p w14:paraId="33325FE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1 729</w:t>
            </w:r>
          </w:p>
        </w:tc>
        <w:tc>
          <w:tcPr>
            <w:tcW w:w="941" w:type="dxa"/>
            <w:tcBorders>
              <w:top w:val="nil"/>
              <w:left w:val="nil"/>
              <w:bottom w:val="single" w:sz="4" w:space="0" w:color="auto"/>
              <w:right w:val="single" w:sz="4" w:space="0" w:color="auto"/>
            </w:tcBorders>
            <w:shd w:val="clear" w:color="auto" w:fill="auto"/>
            <w:vAlign w:val="center"/>
            <w:hideMark/>
          </w:tcPr>
          <w:p w14:paraId="2E96B64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16 370</w:t>
            </w:r>
          </w:p>
        </w:tc>
        <w:tc>
          <w:tcPr>
            <w:tcW w:w="941" w:type="dxa"/>
            <w:tcBorders>
              <w:top w:val="nil"/>
              <w:left w:val="nil"/>
              <w:bottom w:val="single" w:sz="4" w:space="0" w:color="auto"/>
              <w:right w:val="single" w:sz="4" w:space="0" w:color="auto"/>
            </w:tcBorders>
            <w:shd w:val="clear" w:color="auto" w:fill="auto"/>
            <w:vAlign w:val="center"/>
            <w:hideMark/>
          </w:tcPr>
          <w:p w14:paraId="66DC927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15 391</w:t>
            </w:r>
          </w:p>
        </w:tc>
        <w:tc>
          <w:tcPr>
            <w:tcW w:w="941" w:type="dxa"/>
            <w:tcBorders>
              <w:top w:val="nil"/>
              <w:left w:val="nil"/>
              <w:bottom w:val="single" w:sz="4" w:space="0" w:color="auto"/>
              <w:right w:val="single" w:sz="4" w:space="0" w:color="auto"/>
            </w:tcBorders>
            <w:shd w:val="clear" w:color="auto" w:fill="auto"/>
            <w:vAlign w:val="center"/>
            <w:hideMark/>
          </w:tcPr>
          <w:p w14:paraId="36EAFD8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12 842</w:t>
            </w:r>
          </w:p>
        </w:tc>
        <w:tc>
          <w:tcPr>
            <w:tcW w:w="941" w:type="dxa"/>
            <w:tcBorders>
              <w:top w:val="nil"/>
              <w:left w:val="nil"/>
              <w:bottom w:val="single" w:sz="4" w:space="0" w:color="auto"/>
              <w:right w:val="single" w:sz="4" w:space="0" w:color="auto"/>
            </w:tcBorders>
            <w:shd w:val="clear" w:color="auto" w:fill="auto"/>
            <w:vAlign w:val="center"/>
            <w:hideMark/>
          </w:tcPr>
          <w:p w14:paraId="700CDCE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11 326</w:t>
            </w:r>
          </w:p>
        </w:tc>
        <w:tc>
          <w:tcPr>
            <w:tcW w:w="941" w:type="dxa"/>
            <w:tcBorders>
              <w:top w:val="nil"/>
              <w:left w:val="nil"/>
              <w:bottom w:val="single" w:sz="4" w:space="0" w:color="auto"/>
              <w:right w:val="single" w:sz="4" w:space="0" w:color="auto"/>
            </w:tcBorders>
            <w:shd w:val="clear" w:color="auto" w:fill="auto"/>
            <w:vAlign w:val="center"/>
            <w:hideMark/>
          </w:tcPr>
          <w:p w14:paraId="3883D1A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6 478</w:t>
            </w:r>
          </w:p>
        </w:tc>
        <w:tc>
          <w:tcPr>
            <w:tcW w:w="1271" w:type="dxa"/>
            <w:tcBorders>
              <w:top w:val="nil"/>
              <w:left w:val="nil"/>
              <w:bottom w:val="single" w:sz="4" w:space="0" w:color="auto"/>
              <w:right w:val="single" w:sz="4" w:space="0" w:color="auto"/>
            </w:tcBorders>
            <w:shd w:val="clear" w:color="auto" w:fill="auto"/>
            <w:vAlign w:val="center"/>
            <w:hideMark/>
          </w:tcPr>
          <w:p w14:paraId="340FBD9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4 652</w:t>
            </w:r>
          </w:p>
        </w:tc>
      </w:tr>
      <w:tr w:rsidR="0053576E" w:rsidRPr="004135FE" w14:paraId="44C79B3D"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2A702BA1"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2C4698C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tcBorders>
              <w:top w:val="nil"/>
              <w:left w:val="nil"/>
              <w:bottom w:val="single" w:sz="4" w:space="0" w:color="auto"/>
              <w:right w:val="single" w:sz="4" w:space="0" w:color="auto"/>
            </w:tcBorders>
            <w:shd w:val="clear" w:color="auto" w:fill="auto"/>
            <w:vAlign w:val="center"/>
            <w:hideMark/>
          </w:tcPr>
          <w:p w14:paraId="2B60DE1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78" w:type="dxa"/>
            <w:tcBorders>
              <w:top w:val="nil"/>
              <w:left w:val="nil"/>
              <w:bottom w:val="single" w:sz="4" w:space="0" w:color="auto"/>
              <w:right w:val="single" w:sz="4" w:space="0" w:color="auto"/>
            </w:tcBorders>
            <w:shd w:val="clear" w:color="auto" w:fill="auto"/>
            <w:vAlign w:val="center"/>
            <w:hideMark/>
          </w:tcPr>
          <w:p w14:paraId="3E350E9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1 436</w:t>
            </w:r>
          </w:p>
        </w:tc>
        <w:tc>
          <w:tcPr>
            <w:tcW w:w="879" w:type="dxa"/>
            <w:tcBorders>
              <w:top w:val="nil"/>
              <w:left w:val="nil"/>
              <w:bottom w:val="single" w:sz="4" w:space="0" w:color="auto"/>
              <w:right w:val="single" w:sz="4" w:space="0" w:color="auto"/>
            </w:tcBorders>
            <w:shd w:val="clear" w:color="auto" w:fill="auto"/>
            <w:vAlign w:val="center"/>
            <w:hideMark/>
          </w:tcPr>
          <w:p w14:paraId="147DA8D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7 608</w:t>
            </w:r>
          </w:p>
        </w:tc>
        <w:tc>
          <w:tcPr>
            <w:tcW w:w="879" w:type="dxa"/>
            <w:tcBorders>
              <w:top w:val="nil"/>
              <w:left w:val="nil"/>
              <w:bottom w:val="single" w:sz="4" w:space="0" w:color="auto"/>
              <w:right w:val="single" w:sz="4" w:space="0" w:color="auto"/>
            </w:tcBorders>
            <w:shd w:val="clear" w:color="auto" w:fill="auto"/>
            <w:vAlign w:val="center"/>
            <w:hideMark/>
          </w:tcPr>
          <w:p w14:paraId="33C264B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8 526</w:t>
            </w:r>
          </w:p>
        </w:tc>
        <w:tc>
          <w:tcPr>
            <w:tcW w:w="941" w:type="dxa"/>
            <w:tcBorders>
              <w:top w:val="nil"/>
              <w:left w:val="nil"/>
              <w:bottom w:val="single" w:sz="4" w:space="0" w:color="auto"/>
              <w:right w:val="single" w:sz="4" w:space="0" w:color="auto"/>
            </w:tcBorders>
            <w:shd w:val="clear" w:color="auto" w:fill="auto"/>
            <w:vAlign w:val="center"/>
            <w:hideMark/>
          </w:tcPr>
          <w:p w14:paraId="439DC36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6 746</w:t>
            </w:r>
          </w:p>
        </w:tc>
        <w:tc>
          <w:tcPr>
            <w:tcW w:w="941" w:type="dxa"/>
            <w:tcBorders>
              <w:top w:val="nil"/>
              <w:left w:val="nil"/>
              <w:bottom w:val="single" w:sz="4" w:space="0" w:color="auto"/>
              <w:right w:val="single" w:sz="4" w:space="0" w:color="auto"/>
            </w:tcBorders>
            <w:shd w:val="clear" w:color="auto" w:fill="auto"/>
            <w:vAlign w:val="center"/>
            <w:hideMark/>
          </w:tcPr>
          <w:p w14:paraId="165F005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4 971</w:t>
            </w:r>
          </w:p>
        </w:tc>
        <w:tc>
          <w:tcPr>
            <w:tcW w:w="941" w:type="dxa"/>
            <w:tcBorders>
              <w:top w:val="nil"/>
              <w:left w:val="nil"/>
              <w:bottom w:val="single" w:sz="4" w:space="0" w:color="auto"/>
              <w:right w:val="single" w:sz="4" w:space="0" w:color="auto"/>
            </w:tcBorders>
            <w:shd w:val="clear" w:color="auto" w:fill="auto"/>
            <w:vAlign w:val="center"/>
            <w:hideMark/>
          </w:tcPr>
          <w:p w14:paraId="559DF2D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12 576</w:t>
            </w:r>
          </w:p>
        </w:tc>
        <w:tc>
          <w:tcPr>
            <w:tcW w:w="941" w:type="dxa"/>
            <w:tcBorders>
              <w:top w:val="nil"/>
              <w:left w:val="nil"/>
              <w:bottom w:val="single" w:sz="4" w:space="0" w:color="auto"/>
              <w:right w:val="single" w:sz="4" w:space="0" w:color="auto"/>
            </w:tcBorders>
            <w:shd w:val="clear" w:color="auto" w:fill="auto"/>
            <w:vAlign w:val="center"/>
            <w:hideMark/>
          </w:tcPr>
          <w:p w14:paraId="2779C9A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36 525</w:t>
            </w:r>
          </w:p>
        </w:tc>
        <w:tc>
          <w:tcPr>
            <w:tcW w:w="941" w:type="dxa"/>
            <w:tcBorders>
              <w:top w:val="nil"/>
              <w:left w:val="nil"/>
              <w:bottom w:val="single" w:sz="4" w:space="0" w:color="auto"/>
              <w:right w:val="single" w:sz="4" w:space="0" w:color="auto"/>
            </w:tcBorders>
            <w:shd w:val="clear" w:color="auto" w:fill="auto"/>
            <w:vAlign w:val="center"/>
            <w:hideMark/>
          </w:tcPr>
          <w:p w14:paraId="063A7B5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14 737</w:t>
            </w:r>
          </w:p>
        </w:tc>
        <w:tc>
          <w:tcPr>
            <w:tcW w:w="941" w:type="dxa"/>
            <w:tcBorders>
              <w:top w:val="nil"/>
              <w:left w:val="nil"/>
              <w:bottom w:val="single" w:sz="4" w:space="0" w:color="auto"/>
              <w:right w:val="single" w:sz="4" w:space="0" w:color="auto"/>
            </w:tcBorders>
            <w:shd w:val="clear" w:color="auto" w:fill="auto"/>
            <w:vAlign w:val="center"/>
            <w:hideMark/>
          </w:tcPr>
          <w:p w14:paraId="0C9B7B4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12 043</w:t>
            </w:r>
          </w:p>
        </w:tc>
        <w:tc>
          <w:tcPr>
            <w:tcW w:w="941" w:type="dxa"/>
            <w:tcBorders>
              <w:top w:val="nil"/>
              <w:left w:val="nil"/>
              <w:bottom w:val="single" w:sz="4" w:space="0" w:color="auto"/>
              <w:right w:val="single" w:sz="4" w:space="0" w:color="auto"/>
            </w:tcBorders>
            <w:shd w:val="clear" w:color="auto" w:fill="auto"/>
            <w:vAlign w:val="center"/>
            <w:hideMark/>
          </w:tcPr>
          <w:p w14:paraId="43D3FF4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10 740</w:t>
            </w:r>
          </w:p>
        </w:tc>
        <w:tc>
          <w:tcPr>
            <w:tcW w:w="941" w:type="dxa"/>
            <w:tcBorders>
              <w:top w:val="nil"/>
              <w:left w:val="nil"/>
              <w:bottom w:val="single" w:sz="4" w:space="0" w:color="auto"/>
              <w:right w:val="single" w:sz="4" w:space="0" w:color="auto"/>
            </w:tcBorders>
            <w:shd w:val="clear" w:color="auto" w:fill="auto"/>
            <w:vAlign w:val="center"/>
            <w:hideMark/>
          </w:tcPr>
          <w:p w14:paraId="36F4DCA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6 788</w:t>
            </w:r>
          </w:p>
        </w:tc>
        <w:tc>
          <w:tcPr>
            <w:tcW w:w="1271" w:type="dxa"/>
            <w:tcBorders>
              <w:top w:val="nil"/>
              <w:left w:val="nil"/>
              <w:bottom w:val="single" w:sz="4" w:space="0" w:color="auto"/>
              <w:right w:val="single" w:sz="4" w:space="0" w:color="auto"/>
            </w:tcBorders>
            <w:shd w:val="clear" w:color="auto" w:fill="auto"/>
            <w:vAlign w:val="center"/>
            <w:hideMark/>
          </w:tcPr>
          <w:p w14:paraId="6AC28DD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5 007</w:t>
            </w:r>
          </w:p>
        </w:tc>
      </w:tr>
      <w:tr w:rsidR="0053576E" w:rsidRPr="004135FE" w14:paraId="719DCE12"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389B46DB"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37FA154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tcBorders>
              <w:top w:val="nil"/>
              <w:left w:val="nil"/>
              <w:bottom w:val="single" w:sz="4" w:space="0" w:color="auto"/>
              <w:right w:val="single" w:sz="4" w:space="0" w:color="auto"/>
            </w:tcBorders>
            <w:shd w:val="clear" w:color="auto" w:fill="auto"/>
            <w:vAlign w:val="center"/>
            <w:hideMark/>
          </w:tcPr>
          <w:p w14:paraId="100F16D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78" w:type="dxa"/>
            <w:tcBorders>
              <w:top w:val="nil"/>
              <w:left w:val="nil"/>
              <w:bottom w:val="single" w:sz="4" w:space="0" w:color="auto"/>
              <w:right w:val="single" w:sz="4" w:space="0" w:color="auto"/>
            </w:tcBorders>
            <w:shd w:val="clear" w:color="auto" w:fill="auto"/>
            <w:vAlign w:val="center"/>
            <w:hideMark/>
          </w:tcPr>
          <w:p w14:paraId="2DEC0BF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843</w:t>
            </w:r>
          </w:p>
        </w:tc>
        <w:tc>
          <w:tcPr>
            <w:tcW w:w="879" w:type="dxa"/>
            <w:tcBorders>
              <w:top w:val="nil"/>
              <w:left w:val="nil"/>
              <w:bottom w:val="single" w:sz="4" w:space="0" w:color="auto"/>
              <w:right w:val="single" w:sz="4" w:space="0" w:color="auto"/>
            </w:tcBorders>
            <w:shd w:val="clear" w:color="auto" w:fill="auto"/>
            <w:vAlign w:val="center"/>
            <w:hideMark/>
          </w:tcPr>
          <w:p w14:paraId="53942F7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4 612</w:t>
            </w:r>
          </w:p>
        </w:tc>
        <w:tc>
          <w:tcPr>
            <w:tcW w:w="879" w:type="dxa"/>
            <w:tcBorders>
              <w:top w:val="nil"/>
              <w:left w:val="nil"/>
              <w:bottom w:val="single" w:sz="4" w:space="0" w:color="auto"/>
              <w:right w:val="single" w:sz="4" w:space="0" w:color="auto"/>
            </w:tcBorders>
            <w:shd w:val="clear" w:color="auto" w:fill="auto"/>
            <w:vAlign w:val="center"/>
            <w:hideMark/>
          </w:tcPr>
          <w:p w14:paraId="76ECCFA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4 817</w:t>
            </w:r>
          </w:p>
        </w:tc>
        <w:tc>
          <w:tcPr>
            <w:tcW w:w="941" w:type="dxa"/>
            <w:tcBorders>
              <w:top w:val="nil"/>
              <w:left w:val="nil"/>
              <w:bottom w:val="single" w:sz="4" w:space="0" w:color="auto"/>
              <w:right w:val="single" w:sz="4" w:space="0" w:color="auto"/>
            </w:tcBorders>
            <w:shd w:val="clear" w:color="auto" w:fill="auto"/>
            <w:vAlign w:val="center"/>
            <w:hideMark/>
          </w:tcPr>
          <w:p w14:paraId="75E8009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3 169</w:t>
            </w:r>
          </w:p>
        </w:tc>
        <w:tc>
          <w:tcPr>
            <w:tcW w:w="941" w:type="dxa"/>
            <w:tcBorders>
              <w:top w:val="nil"/>
              <w:left w:val="nil"/>
              <w:bottom w:val="single" w:sz="4" w:space="0" w:color="auto"/>
              <w:right w:val="single" w:sz="4" w:space="0" w:color="auto"/>
            </w:tcBorders>
            <w:shd w:val="clear" w:color="auto" w:fill="auto"/>
            <w:vAlign w:val="center"/>
            <w:hideMark/>
          </w:tcPr>
          <w:p w14:paraId="606B1AC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1 536</w:t>
            </w:r>
          </w:p>
        </w:tc>
        <w:tc>
          <w:tcPr>
            <w:tcW w:w="941" w:type="dxa"/>
            <w:tcBorders>
              <w:top w:val="nil"/>
              <w:left w:val="nil"/>
              <w:bottom w:val="single" w:sz="4" w:space="0" w:color="auto"/>
              <w:right w:val="single" w:sz="4" w:space="0" w:color="auto"/>
            </w:tcBorders>
            <w:shd w:val="clear" w:color="auto" w:fill="auto"/>
            <w:vAlign w:val="center"/>
            <w:hideMark/>
          </w:tcPr>
          <w:p w14:paraId="07EF75F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1 363</w:t>
            </w:r>
          </w:p>
        </w:tc>
        <w:tc>
          <w:tcPr>
            <w:tcW w:w="941" w:type="dxa"/>
            <w:tcBorders>
              <w:top w:val="nil"/>
              <w:left w:val="nil"/>
              <w:bottom w:val="single" w:sz="4" w:space="0" w:color="auto"/>
              <w:right w:val="single" w:sz="4" w:space="0" w:color="auto"/>
            </w:tcBorders>
            <w:shd w:val="clear" w:color="auto" w:fill="auto"/>
            <w:vAlign w:val="center"/>
            <w:hideMark/>
          </w:tcPr>
          <w:p w14:paraId="088CB87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13 082</w:t>
            </w:r>
          </w:p>
        </w:tc>
        <w:tc>
          <w:tcPr>
            <w:tcW w:w="941" w:type="dxa"/>
            <w:tcBorders>
              <w:top w:val="nil"/>
              <w:left w:val="nil"/>
              <w:bottom w:val="single" w:sz="4" w:space="0" w:color="auto"/>
              <w:right w:val="single" w:sz="4" w:space="0" w:color="auto"/>
            </w:tcBorders>
            <w:shd w:val="clear" w:color="auto" w:fill="auto"/>
            <w:vAlign w:val="center"/>
            <w:hideMark/>
          </w:tcPr>
          <w:p w14:paraId="198D176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11 804</w:t>
            </w:r>
          </w:p>
        </w:tc>
        <w:tc>
          <w:tcPr>
            <w:tcW w:w="941" w:type="dxa"/>
            <w:tcBorders>
              <w:top w:val="nil"/>
              <w:left w:val="nil"/>
              <w:bottom w:val="single" w:sz="4" w:space="0" w:color="auto"/>
              <w:right w:val="single" w:sz="4" w:space="0" w:color="auto"/>
            </w:tcBorders>
            <w:shd w:val="clear" w:color="auto" w:fill="auto"/>
            <w:vAlign w:val="center"/>
            <w:hideMark/>
          </w:tcPr>
          <w:p w14:paraId="54C88FE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9 127</w:t>
            </w:r>
          </w:p>
        </w:tc>
        <w:tc>
          <w:tcPr>
            <w:tcW w:w="941" w:type="dxa"/>
            <w:tcBorders>
              <w:top w:val="nil"/>
              <w:left w:val="nil"/>
              <w:bottom w:val="single" w:sz="4" w:space="0" w:color="auto"/>
              <w:right w:val="single" w:sz="4" w:space="0" w:color="auto"/>
            </w:tcBorders>
            <w:shd w:val="clear" w:color="auto" w:fill="auto"/>
            <w:vAlign w:val="center"/>
            <w:hideMark/>
          </w:tcPr>
          <w:p w14:paraId="2D4592E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7 493</w:t>
            </w:r>
          </w:p>
        </w:tc>
        <w:tc>
          <w:tcPr>
            <w:tcW w:w="941" w:type="dxa"/>
            <w:tcBorders>
              <w:top w:val="nil"/>
              <w:left w:val="nil"/>
              <w:bottom w:val="single" w:sz="4" w:space="0" w:color="auto"/>
              <w:right w:val="single" w:sz="4" w:space="0" w:color="auto"/>
            </w:tcBorders>
            <w:shd w:val="clear" w:color="auto" w:fill="auto"/>
            <w:vAlign w:val="center"/>
            <w:hideMark/>
          </w:tcPr>
          <w:p w14:paraId="612220D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3 926</w:t>
            </w:r>
          </w:p>
        </w:tc>
        <w:tc>
          <w:tcPr>
            <w:tcW w:w="1271" w:type="dxa"/>
            <w:tcBorders>
              <w:top w:val="nil"/>
              <w:left w:val="nil"/>
              <w:bottom w:val="single" w:sz="4" w:space="0" w:color="auto"/>
              <w:right w:val="single" w:sz="4" w:space="0" w:color="auto"/>
            </w:tcBorders>
            <w:shd w:val="clear" w:color="auto" w:fill="auto"/>
            <w:vAlign w:val="center"/>
            <w:hideMark/>
          </w:tcPr>
          <w:p w14:paraId="75524E9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2 728</w:t>
            </w:r>
          </w:p>
        </w:tc>
      </w:tr>
      <w:tr w:rsidR="0053576E" w:rsidRPr="004135FE" w14:paraId="3F603ECB"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4DF772DD"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28FE588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tcBorders>
              <w:top w:val="nil"/>
              <w:left w:val="nil"/>
              <w:bottom w:val="single" w:sz="4" w:space="0" w:color="auto"/>
              <w:right w:val="single" w:sz="4" w:space="0" w:color="auto"/>
            </w:tcBorders>
            <w:shd w:val="clear" w:color="auto" w:fill="auto"/>
            <w:vAlign w:val="center"/>
            <w:hideMark/>
          </w:tcPr>
          <w:p w14:paraId="409747D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78" w:type="dxa"/>
            <w:tcBorders>
              <w:top w:val="nil"/>
              <w:left w:val="nil"/>
              <w:bottom w:val="single" w:sz="4" w:space="0" w:color="auto"/>
              <w:right w:val="single" w:sz="4" w:space="0" w:color="auto"/>
            </w:tcBorders>
            <w:shd w:val="clear" w:color="auto" w:fill="auto"/>
            <w:vAlign w:val="center"/>
            <w:hideMark/>
          </w:tcPr>
          <w:p w14:paraId="06AC45F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1 702</w:t>
            </w:r>
          </w:p>
        </w:tc>
        <w:tc>
          <w:tcPr>
            <w:tcW w:w="879" w:type="dxa"/>
            <w:tcBorders>
              <w:top w:val="nil"/>
              <w:left w:val="nil"/>
              <w:bottom w:val="single" w:sz="4" w:space="0" w:color="auto"/>
              <w:right w:val="single" w:sz="4" w:space="0" w:color="auto"/>
            </w:tcBorders>
            <w:shd w:val="clear" w:color="auto" w:fill="auto"/>
            <w:vAlign w:val="center"/>
            <w:hideMark/>
          </w:tcPr>
          <w:p w14:paraId="1A060C4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8 341</w:t>
            </w:r>
          </w:p>
        </w:tc>
        <w:tc>
          <w:tcPr>
            <w:tcW w:w="879" w:type="dxa"/>
            <w:tcBorders>
              <w:top w:val="nil"/>
              <w:left w:val="nil"/>
              <w:bottom w:val="single" w:sz="4" w:space="0" w:color="auto"/>
              <w:right w:val="single" w:sz="4" w:space="0" w:color="auto"/>
            </w:tcBorders>
            <w:shd w:val="clear" w:color="auto" w:fill="auto"/>
            <w:vAlign w:val="center"/>
            <w:hideMark/>
          </w:tcPr>
          <w:p w14:paraId="75119B9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10 581</w:t>
            </w:r>
          </w:p>
        </w:tc>
        <w:tc>
          <w:tcPr>
            <w:tcW w:w="941" w:type="dxa"/>
            <w:tcBorders>
              <w:top w:val="nil"/>
              <w:left w:val="nil"/>
              <w:bottom w:val="single" w:sz="4" w:space="0" w:color="auto"/>
              <w:right w:val="single" w:sz="4" w:space="0" w:color="auto"/>
            </w:tcBorders>
            <w:shd w:val="clear" w:color="auto" w:fill="auto"/>
            <w:vAlign w:val="center"/>
            <w:hideMark/>
          </w:tcPr>
          <w:p w14:paraId="3F8AD89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8 455</w:t>
            </w:r>
          </w:p>
        </w:tc>
        <w:tc>
          <w:tcPr>
            <w:tcW w:w="941" w:type="dxa"/>
            <w:tcBorders>
              <w:top w:val="nil"/>
              <w:left w:val="nil"/>
              <w:bottom w:val="single" w:sz="4" w:space="0" w:color="auto"/>
              <w:right w:val="single" w:sz="4" w:space="0" w:color="auto"/>
            </w:tcBorders>
            <w:shd w:val="clear" w:color="auto" w:fill="auto"/>
            <w:vAlign w:val="center"/>
            <w:hideMark/>
          </w:tcPr>
          <w:p w14:paraId="4CA489C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2 454</w:t>
            </w:r>
          </w:p>
        </w:tc>
        <w:tc>
          <w:tcPr>
            <w:tcW w:w="941" w:type="dxa"/>
            <w:tcBorders>
              <w:top w:val="nil"/>
              <w:left w:val="nil"/>
              <w:bottom w:val="single" w:sz="4" w:space="0" w:color="auto"/>
              <w:right w:val="single" w:sz="4" w:space="0" w:color="auto"/>
            </w:tcBorders>
            <w:shd w:val="clear" w:color="auto" w:fill="auto"/>
            <w:vAlign w:val="center"/>
            <w:hideMark/>
          </w:tcPr>
          <w:p w14:paraId="5F45639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1 280</w:t>
            </w:r>
          </w:p>
        </w:tc>
        <w:tc>
          <w:tcPr>
            <w:tcW w:w="941" w:type="dxa"/>
            <w:tcBorders>
              <w:top w:val="nil"/>
              <w:left w:val="nil"/>
              <w:bottom w:val="single" w:sz="4" w:space="0" w:color="auto"/>
              <w:right w:val="single" w:sz="4" w:space="0" w:color="auto"/>
            </w:tcBorders>
            <w:shd w:val="clear" w:color="auto" w:fill="auto"/>
            <w:vAlign w:val="center"/>
            <w:hideMark/>
          </w:tcPr>
          <w:p w14:paraId="040B683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11 019</w:t>
            </w:r>
          </w:p>
        </w:tc>
        <w:tc>
          <w:tcPr>
            <w:tcW w:w="941" w:type="dxa"/>
            <w:tcBorders>
              <w:top w:val="nil"/>
              <w:left w:val="nil"/>
              <w:bottom w:val="single" w:sz="4" w:space="0" w:color="auto"/>
              <w:right w:val="single" w:sz="4" w:space="0" w:color="auto"/>
            </w:tcBorders>
            <w:shd w:val="clear" w:color="auto" w:fill="auto"/>
            <w:vAlign w:val="center"/>
            <w:hideMark/>
          </w:tcPr>
          <w:p w14:paraId="44A9A1D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10 380</w:t>
            </w:r>
          </w:p>
        </w:tc>
        <w:tc>
          <w:tcPr>
            <w:tcW w:w="941" w:type="dxa"/>
            <w:tcBorders>
              <w:top w:val="nil"/>
              <w:left w:val="nil"/>
              <w:bottom w:val="single" w:sz="4" w:space="0" w:color="auto"/>
              <w:right w:val="single" w:sz="4" w:space="0" w:color="auto"/>
            </w:tcBorders>
            <w:shd w:val="clear" w:color="auto" w:fill="auto"/>
            <w:vAlign w:val="center"/>
            <w:hideMark/>
          </w:tcPr>
          <w:p w14:paraId="3AB317E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8 898</w:t>
            </w:r>
          </w:p>
        </w:tc>
        <w:tc>
          <w:tcPr>
            <w:tcW w:w="941" w:type="dxa"/>
            <w:tcBorders>
              <w:top w:val="nil"/>
              <w:left w:val="nil"/>
              <w:bottom w:val="single" w:sz="4" w:space="0" w:color="auto"/>
              <w:right w:val="single" w:sz="4" w:space="0" w:color="auto"/>
            </w:tcBorders>
            <w:shd w:val="clear" w:color="auto" w:fill="auto"/>
            <w:vAlign w:val="center"/>
            <w:hideMark/>
          </w:tcPr>
          <w:p w14:paraId="03A93F2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8 256</w:t>
            </w:r>
          </w:p>
        </w:tc>
        <w:tc>
          <w:tcPr>
            <w:tcW w:w="941" w:type="dxa"/>
            <w:tcBorders>
              <w:top w:val="nil"/>
              <w:left w:val="nil"/>
              <w:bottom w:val="single" w:sz="4" w:space="0" w:color="auto"/>
              <w:right w:val="single" w:sz="4" w:space="0" w:color="auto"/>
            </w:tcBorders>
            <w:shd w:val="clear" w:color="auto" w:fill="auto"/>
            <w:vAlign w:val="center"/>
            <w:hideMark/>
          </w:tcPr>
          <w:p w14:paraId="0EE9930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5 136</w:t>
            </w:r>
          </w:p>
        </w:tc>
        <w:tc>
          <w:tcPr>
            <w:tcW w:w="1271" w:type="dxa"/>
            <w:tcBorders>
              <w:top w:val="nil"/>
              <w:left w:val="nil"/>
              <w:bottom w:val="single" w:sz="4" w:space="0" w:color="auto"/>
              <w:right w:val="single" w:sz="4" w:space="0" w:color="auto"/>
            </w:tcBorders>
            <w:shd w:val="clear" w:color="auto" w:fill="auto"/>
            <w:vAlign w:val="center"/>
            <w:hideMark/>
          </w:tcPr>
          <w:p w14:paraId="31B9C8F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3 571</w:t>
            </w:r>
          </w:p>
        </w:tc>
      </w:tr>
    </w:tbl>
    <w:p w14:paraId="3CB921AD" w14:textId="331CAB54" w:rsidR="00680E37" w:rsidRPr="00680E37" w:rsidRDefault="00680E37" w:rsidP="00680E37">
      <w:pPr>
        <w:rPr>
          <w:rFonts w:ascii="Times New Roman" w:eastAsia="Times New Roman" w:hAnsi="Times New Roman" w:cs="Times New Roman"/>
          <w:sz w:val="28"/>
          <w:szCs w:val="28"/>
        </w:rPr>
      </w:pPr>
      <w:r w:rsidRPr="00680E37">
        <w:rPr>
          <w:rFonts w:ascii="Times New Roman" w:eastAsia="Times New Roman" w:hAnsi="Times New Roman" w:cs="Times New Roman"/>
          <w:sz w:val="28"/>
          <w:szCs w:val="28"/>
        </w:rPr>
        <w:t>Продолжение таблицы А</w:t>
      </w:r>
      <w:r>
        <w:rPr>
          <w:rFonts w:ascii="Times New Roman" w:eastAsia="Times New Roman" w:hAnsi="Times New Roman" w:cs="Times New Roman"/>
          <w:sz w:val="28"/>
          <w:szCs w:val="28"/>
        </w:rPr>
        <w:t>6</w:t>
      </w:r>
    </w:p>
    <w:tbl>
      <w:tblPr>
        <w:tblW w:w="14459" w:type="dxa"/>
        <w:tblInd w:w="-5" w:type="dxa"/>
        <w:tblLook w:val="04A0" w:firstRow="1" w:lastRow="0" w:firstColumn="1" w:lastColumn="0" w:noHBand="0" w:noVBand="1"/>
      </w:tblPr>
      <w:tblGrid>
        <w:gridCol w:w="553"/>
        <w:gridCol w:w="373"/>
        <w:gridCol w:w="2098"/>
        <w:gridCol w:w="878"/>
        <w:gridCol w:w="879"/>
        <w:gridCol w:w="879"/>
        <w:gridCol w:w="941"/>
        <w:gridCol w:w="941"/>
        <w:gridCol w:w="941"/>
        <w:gridCol w:w="941"/>
        <w:gridCol w:w="941"/>
        <w:gridCol w:w="941"/>
        <w:gridCol w:w="941"/>
        <w:gridCol w:w="941"/>
        <w:gridCol w:w="1271"/>
      </w:tblGrid>
      <w:tr w:rsidR="0053576E" w:rsidRPr="004135FE" w14:paraId="78700BDC" w14:textId="77777777" w:rsidTr="00680E37">
        <w:trPr>
          <w:cantSplit/>
          <w:trHeight w:val="227"/>
        </w:trPr>
        <w:tc>
          <w:tcPr>
            <w:tcW w:w="553" w:type="dxa"/>
            <w:vMerge w:val="restart"/>
            <w:tcBorders>
              <w:top w:val="single" w:sz="4" w:space="0" w:color="auto"/>
              <w:left w:val="single" w:sz="4" w:space="0" w:color="auto"/>
              <w:bottom w:val="single" w:sz="4" w:space="0" w:color="auto"/>
              <w:right w:val="single" w:sz="4" w:space="0" w:color="auto"/>
            </w:tcBorders>
            <w:vAlign w:val="center"/>
            <w:hideMark/>
          </w:tcPr>
          <w:p w14:paraId="6A55C404"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single" w:sz="4" w:space="0" w:color="auto"/>
              <w:left w:val="nil"/>
              <w:bottom w:val="single" w:sz="4" w:space="0" w:color="auto"/>
              <w:right w:val="single" w:sz="4" w:space="0" w:color="auto"/>
            </w:tcBorders>
            <w:shd w:val="clear" w:color="auto" w:fill="auto"/>
            <w:vAlign w:val="bottom"/>
            <w:hideMark/>
          </w:tcPr>
          <w:p w14:paraId="774DB83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tcBorders>
              <w:top w:val="single" w:sz="4" w:space="0" w:color="auto"/>
              <w:left w:val="nil"/>
              <w:bottom w:val="single" w:sz="4" w:space="0" w:color="auto"/>
              <w:right w:val="single" w:sz="4" w:space="0" w:color="auto"/>
            </w:tcBorders>
            <w:shd w:val="clear" w:color="auto" w:fill="auto"/>
            <w:vAlign w:val="center"/>
            <w:hideMark/>
          </w:tcPr>
          <w:p w14:paraId="7BA15CB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78" w:type="dxa"/>
            <w:tcBorders>
              <w:top w:val="single" w:sz="4" w:space="0" w:color="auto"/>
              <w:left w:val="nil"/>
              <w:bottom w:val="single" w:sz="4" w:space="0" w:color="auto"/>
              <w:right w:val="single" w:sz="4" w:space="0" w:color="auto"/>
            </w:tcBorders>
            <w:shd w:val="clear" w:color="auto" w:fill="auto"/>
            <w:vAlign w:val="center"/>
            <w:hideMark/>
          </w:tcPr>
          <w:p w14:paraId="786DC10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879" w:type="dxa"/>
            <w:tcBorders>
              <w:top w:val="single" w:sz="4" w:space="0" w:color="auto"/>
              <w:left w:val="nil"/>
              <w:bottom w:val="single" w:sz="4" w:space="0" w:color="auto"/>
              <w:right w:val="single" w:sz="4" w:space="0" w:color="auto"/>
            </w:tcBorders>
            <w:shd w:val="clear" w:color="auto" w:fill="auto"/>
            <w:vAlign w:val="center"/>
            <w:hideMark/>
          </w:tcPr>
          <w:p w14:paraId="2593E5F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879" w:type="dxa"/>
            <w:tcBorders>
              <w:top w:val="single" w:sz="4" w:space="0" w:color="auto"/>
              <w:left w:val="nil"/>
              <w:bottom w:val="single" w:sz="4" w:space="0" w:color="auto"/>
              <w:right w:val="single" w:sz="4" w:space="0" w:color="auto"/>
            </w:tcBorders>
            <w:shd w:val="clear" w:color="auto" w:fill="auto"/>
            <w:vAlign w:val="center"/>
            <w:hideMark/>
          </w:tcPr>
          <w:p w14:paraId="35EA114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6FA5440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3230AB9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1032DBD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0A281B0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3FA27CB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57966A4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407795F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46C1B1D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0FD1A33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r>
      <w:tr w:rsidR="0053576E" w:rsidRPr="004135FE" w14:paraId="721245E3" w14:textId="77777777" w:rsidTr="00680E37">
        <w:trPr>
          <w:cantSplit/>
          <w:trHeight w:val="227"/>
        </w:trPr>
        <w:tc>
          <w:tcPr>
            <w:tcW w:w="553" w:type="dxa"/>
            <w:vMerge/>
            <w:tcBorders>
              <w:top w:val="single" w:sz="4" w:space="0" w:color="auto"/>
              <w:left w:val="single" w:sz="4" w:space="0" w:color="auto"/>
              <w:bottom w:val="single" w:sz="4" w:space="0" w:color="auto"/>
              <w:right w:val="single" w:sz="4" w:space="0" w:color="auto"/>
            </w:tcBorders>
            <w:vAlign w:val="center"/>
            <w:hideMark/>
          </w:tcPr>
          <w:p w14:paraId="7D83F9AB"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single" w:sz="4" w:space="0" w:color="auto"/>
              <w:left w:val="nil"/>
              <w:bottom w:val="single" w:sz="4" w:space="0" w:color="auto"/>
              <w:right w:val="single" w:sz="4" w:space="0" w:color="auto"/>
            </w:tcBorders>
            <w:shd w:val="clear" w:color="auto" w:fill="auto"/>
            <w:vAlign w:val="bottom"/>
            <w:hideMark/>
          </w:tcPr>
          <w:p w14:paraId="4B0E13F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tcBorders>
              <w:top w:val="single" w:sz="4" w:space="0" w:color="auto"/>
              <w:left w:val="nil"/>
              <w:bottom w:val="single" w:sz="4" w:space="0" w:color="auto"/>
              <w:right w:val="single" w:sz="4" w:space="0" w:color="auto"/>
            </w:tcBorders>
            <w:shd w:val="clear" w:color="auto" w:fill="auto"/>
            <w:vAlign w:val="center"/>
            <w:hideMark/>
          </w:tcPr>
          <w:p w14:paraId="7621253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78" w:type="dxa"/>
            <w:tcBorders>
              <w:top w:val="single" w:sz="4" w:space="0" w:color="auto"/>
              <w:left w:val="nil"/>
              <w:bottom w:val="single" w:sz="4" w:space="0" w:color="auto"/>
              <w:right w:val="single" w:sz="4" w:space="0" w:color="auto"/>
            </w:tcBorders>
            <w:shd w:val="clear" w:color="auto" w:fill="auto"/>
            <w:vAlign w:val="center"/>
            <w:hideMark/>
          </w:tcPr>
          <w:p w14:paraId="709DFFE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1 032</w:t>
            </w:r>
          </w:p>
        </w:tc>
        <w:tc>
          <w:tcPr>
            <w:tcW w:w="879" w:type="dxa"/>
            <w:tcBorders>
              <w:top w:val="single" w:sz="4" w:space="0" w:color="auto"/>
              <w:left w:val="nil"/>
              <w:bottom w:val="single" w:sz="4" w:space="0" w:color="auto"/>
              <w:right w:val="single" w:sz="4" w:space="0" w:color="auto"/>
            </w:tcBorders>
            <w:shd w:val="clear" w:color="auto" w:fill="auto"/>
            <w:vAlign w:val="center"/>
            <w:hideMark/>
          </w:tcPr>
          <w:p w14:paraId="786E447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4 977</w:t>
            </w:r>
          </w:p>
        </w:tc>
        <w:tc>
          <w:tcPr>
            <w:tcW w:w="879" w:type="dxa"/>
            <w:tcBorders>
              <w:top w:val="single" w:sz="4" w:space="0" w:color="auto"/>
              <w:left w:val="nil"/>
              <w:bottom w:val="single" w:sz="4" w:space="0" w:color="auto"/>
              <w:right w:val="single" w:sz="4" w:space="0" w:color="auto"/>
            </w:tcBorders>
            <w:shd w:val="clear" w:color="auto" w:fill="auto"/>
            <w:vAlign w:val="center"/>
            <w:hideMark/>
          </w:tcPr>
          <w:p w14:paraId="3945481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6 858</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31EBA9D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5 667</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38DF973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3 995</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74B9DBD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2 371</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1933E1C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15 061</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7668A5B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13 838</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27AA604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10 897</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4E3D6FD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10 474</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25F9883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5 529</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70EA92E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3 407</w:t>
            </w:r>
          </w:p>
        </w:tc>
      </w:tr>
      <w:tr w:rsidR="0053576E" w:rsidRPr="004135FE" w14:paraId="70EC82A4" w14:textId="77777777" w:rsidTr="00680E37">
        <w:trPr>
          <w:cantSplit/>
          <w:trHeight w:val="227"/>
        </w:trPr>
        <w:tc>
          <w:tcPr>
            <w:tcW w:w="553"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4210087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2014год</w:t>
            </w:r>
          </w:p>
        </w:tc>
        <w:tc>
          <w:tcPr>
            <w:tcW w:w="373" w:type="dxa"/>
            <w:tcBorders>
              <w:top w:val="nil"/>
              <w:left w:val="nil"/>
              <w:bottom w:val="single" w:sz="4" w:space="0" w:color="auto"/>
              <w:right w:val="single" w:sz="4" w:space="0" w:color="auto"/>
            </w:tcBorders>
            <w:shd w:val="clear" w:color="auto" w:fill="auto"/>
            <w:vAlign w:val="bottom"/>
            <w:hideMark/>
          </w:tcPr>
          <w:p w14:paraId="7C2229A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tcBorders>
              <w:top w:val="nil"/>
              <w:left w:val="nil"/>
              <w:bottom w:val="single" w:sz="4" w:space="0" w:color="auto"/>
              <w:right w:val="single" w:sz="4" w:space="0" w:color="auto"/>
            </w:tcBorders>
            <w:shd w:val="clear" w:color="auto" w:fill="auto"/>
            <w:vAlign w:val="center"/>
            <w:hideMark/>
          </w:tcPr>
          <w:p w14:paraId="45A3E24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78" w:type="dxa"/>
            <w:tcBorders>
              <w:top w:val="nil"/>
              <w:left w:val="nil"/>
              <w:bottom w:val="single" w:sz="4" w:space="0" w:color="auto"/>
              <w:right w:val="single" w:sz="4" w:space="0" w:color="auto"/>
            </w:tcBorders>
            <w:shd w:val="clear" w:color="auto" w:fill="auto"/>
            <w:vAlign w:val="center"/>
            <w:hideMark/>
          </w:tcPr>
          <w:p w14:paraId="3B2B864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2 833</w:t>
            </w:r>
          </w:p>
        </w:tc>
        <w:tc>
          <w:tcPr>
            <w:tcW w:w="879" w:type="dxa"/>
            <w:tcBorders>
              <w:top w:val="nil"/>
              <w:left w:val="nil"/>
              <w:bottom w:val="single" w:sz="4" w:space="0" w:color="auto"/>
              <w:right w:val="single" w:sz="4" w:space="0" w:color="auto"/>
            </w:tcBorders>
            <w:shd w:val="clear" w:color="auto" w:fill="auto"/>
            <w:vAlign w:val="center"/>
            <w:hideMark/>
          </w:tcPr>
          <w:p w14:paraId="0FCBCB4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35 195</w:t>
            </w:r>
          </w:p>
        </w:tc>
        <w:tc>
          <w:tcPr>
            <w:tcW w:w="879" w:type="dxa"/>
            <w:tcBorders>
              <w:top w:val="nil"/>
              <w:left w:val="nil"/>
              <w:bottom w:val="single" w:sz="4" w:space="0" w:color="auto"/>
              <w:right w:val="single" w:sz="4" w:space="0" w:color="auto"/>
            </w:tcBorders>
            <w:shd w:val="clear" w:color="auto" w:fill="auto"/>
            <w:vAlign w:val="center"/>
            <w:hideMark/>
          </w:tcPr>
          <w:p w14:paraId="184343E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12 062</w:t>
            </w:r>
          </w:p>
        </w:tc>
        <w:tc>
          <w:tcPr>
            <w:tcW w:w="941" w:type="dxa"/>
            <w:tcBorders>
              <w:top w:val="nil"/>
              <w:left w:val="nil"/>
              <w:bottom w:val="single" w:sz="4" w:space="0" w:color="auto"/>
              <w:right w:val="single" w:sz="4" w:space="0" w:color="auto"/>
            </w:tcBorders>
            <w:shd w:val="clear" w:color="auto" w:fill="auto"/>
            <w:vAlign w:val="center"/>
            <w:hideMark/>
          </w:tcPr>
          <w:p w14:paraId="6791DE1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14 161</w:t>
            </w:r>
          </w:p>
        </w:tc>
        <w:tc>
          <w:tcPr>
            <w:tcW w:w="941" w:type="dxa"/>
            <w:tcBorders>
              <w:top w:val="nil"/>
              <w:left w:val="nil"/>
              <w:bottom w:val="single" w:sz="4" w:space="0" w:color="auto"/>
              <w:right w:val="single" w:sz="4" w:space="0" w:color="auto"/>
            </w:tcBorders>
            <w:shd w:val="clear" w:color="auto" w:fill="auto"/>
            <w:vAlign w:val="center"/>
            <w:hideMark/>
          </w:tcPr>
          <w:p w14:paraId="620145D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9 361</w:t>
            </w:r>
          </w:p>
        </w:tc>
        <w:tc>
          <w:tcPr>
            <w:tcW w:w="941" w:type="dxa"/>
            <w:tcBorders>
              <w:top w:val="nil"/>
              <w:left w:val="nil"/>
              <w:bottom w:val="single" w:sz="4" w:space="0" w:color="auto"/>
              <w:right w:val="single" w:sz="4" w:space="0" w:color="auto"/>
            </w:tcBorders>
            <w:shd w:val="clear" w:color="auto" w:fill="auto"/>
            <w:vAlign w:val="center"/>
            <w:hideMark/>
          </w:tcPr>
          <w:p w14:paraId="65E1E34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7 028</w:t>
            </w:r>
          </w:p>
        </w:tc>
        <w:tc>
          <w:tcPr>
            <w:tcW w:w="941" w:type="dxa"/>
            <w:tcBorders>
              <w:top w:val="nil"/>
              <w:left w:val="nil"/>
              <w:bottom w:val="single" w:sz="4" w:space="0" w:color="auto"/>
              <w:right w:val="single" w:sz="4" w:space="0" w:color="auto"/>
            </w:tcBorders>
            <w:shd w:val="clear" w:color="auto" w:fill="auto"/>
            <w:vAlign w:val="center"/>
            <w:hideMark/>
          </w:tcPr>
          <w:p w14:paraId="25D9439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12 621</w:t>
            </w:r>
          </w:p>
        </w:tc>
        <w:tc>
          <w:tcPr>
            <w:tcW w:w="941" w:type="dxa"/>
            <w:tcBorders>
              <w:top w:val="nil"/>
              <w:left w:val="nil"/>
              <w:bottom w:val="single" w:sz="4" w:space="0" w:color="auto"/>
              <w:right w:val="single" w:sz="4" w:space="0" w:color="auto"/>
            </w:tcBorders>
            <w:shd w:val="clear" w:color="auto" w:fill="auto"/>
            <w:vAlign w:val="center"/>
            <w:hideMark/>
          </w:tcPr>
          <w:p w14:paraId="1B03743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8 620</w:t>
            </w:r>
          </w:p>
        </w:tc>
        <w:tc>
          <w:tcPr>
            <w:tcW w:w="941" w:type="dxa"/>
            <w:tcBorders>
              <w:top w:val="nil"/>
              <w:left w:val="nil"/>
              <w:bottom w:val="single" w:sz="4" w:space="0" w:color="auto"/>
              <w:right w:val="single" w:sz="4" w:space="0" w:color="auto"/>
            </w:tcBorders>
            <w:shd w:val="clear" w:color="auto" w:fill="auto"/>
            <w:vAlign w:val="center"/>
            <w:hideMark/>
          </w:tcPr>
          <w:p w14:paraId="6E8E32D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6 530</w:t>
            </w:r>
          </w:p>
        </w:tc>
        <w:tc>
          <w:tcPr>
            <w:tcW w:w="941" w:type="dxa"/>
            <w:tcBorders>
              <w:top w:val="nil"/>
              <w:left w:val="nil"/>
              <w:bottom w:val="single" w:sz="4" w:space="0" w:color="auto"/>
              <w:right w:val="single" w:sz="4" w:space="0" w:color="auto"/>
            </w:tcBorders>
            <w:shd w:val="clear" w:color="auto" w:fill="auto"/>
            <w:vAlign w:val="center"/>
            <w:hideMark/>
          </w:tcPr>
          <w:p w14:paraId="6040C87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5 973</w:t>
            </w:r>
          </w:p>
        </w:tc>
        <w:tc>
          <w:tcPr>
            <w:tcW w:w="941" w:type="dxa"/>
            <w:tcBorders>
              <w:top w:val="nil"/>
              <w:left w:val="nil"/>
              <w:bottom w:val="single" w:sz="4" w:space="0" w:color="auto"/>
              <w:right w:val="single" w:sz="4" w:space="0" w:color="auto"/>
            </w:tcBorders>
            <w:shd w:val="clear" w:color="auto" w:fill="auto"/>
            <w:vAlign w:val="center"/>
            <w:hideMark/>
          </w:tcPr>
          <w:p w14:paraId="3057EC0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4 473</w:t>
            </w:r>
          </w:p>
        </w:tc>
        <w:tc>
          <w:tcPr>
            <w:tcW w:w="1271" w:type="dxa"/>
            <w:tcBorders>
              <w:top w:val="nil"/>
              <w:left w:val="nil"/>
              <w:bottom w:val="single" w:sz="4" w:space="0" w:color="auto"/>
              <w:right w:val="single" w:sz="4" w:space="0" w:color="auto"/>
            </w:tcBorders>
            <w:shd w:val="clear" w:color="auto" w:fill="auto"/>
            <w:vAlign w:val="center"/>
            <w:hideMark/>
          </w:tcPr>
          <w:p w14:paraId="38069E1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3 832</w:t>
            </w:r>
          </w:p>
        </w:tc>
      </w:tr>
      <w:tr w:rsidR="0053576E" w:rsidRPr="004135FE" w14:paraId="0C42A445"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3C5CD20D"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4FF31BF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tcBorders>
              <w:top w:val="nil"/>
              <w:left w:val="nil"/>
              <w:bottom w:val="single" w:sz="4" w:space="0" w:color="auto"/>
              <w:right w:val="single" w:sz="4" w:space="0" w:color="auto"/>
            </w:tcBorders>
            <w:shd w:val="clear" w:color="auto" w:fill="auto"/>
            <w:vAlign w:val="center"/>
            <w:hideMark/>
          </w:tcPr>
          <w:p w14:paraId="3C845AA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78" w:type="dxa"/>
            <w:tcBorders>
              <w:top w:val="nil"/>
              <w:left w:val="nil"/>
              <w:bottom w:val="single" w:sz="4" w:space="0" w:color="auto"/>
              <w:right w:val="single" w:sz="4" w:space="0" w:color="auto"/>
            </w:tcBorders>
            <w:shd w:val="clear" w:color="auto" w:fill="auto"/>
            <w:vAlign w:val="center"/>
            <w:hideMark/>
          </w:tcPr>
          <w:p w14:paraId="3C975C1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2 332</w:t>
            </w:r>
          </w:p>
        </w:tc>
        <w:tc>
          <w:tcPr>
            <w:tcW w:w="879" w:type="dxa"/>
            <w:tcBorders>
              <w:top w:val="nil"/>
              <w:left w:val="nil"/>
              <w:bottom w:val="single" w:sz="4" w:space="0" w:color="auto"/>
              <w:right w:val="single" w:sz="4" w:space="0" w:color="auto"/>
            </w:tcBorders>
            <w:shd w:val="clear" w:color="auto" w:fill="auto"/>
            <w:vAlign w:val="center"/>
            <w:hideMark/>
          </w:tcPr>
          <w:p w14:paraId="15B3BB0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8 668</w:t>
            </w:r>
          </w:p>
        </w:tc>
        <w:tc>
          <w:tcPr>
            <w:tcW w:w="879" w:type="dxa"/>
            <w:tcBorders>
              <w:top w:val="nil"/>
              <w:left w:val="nil"/>
              <w:bottom w:val="single" w:sz="4" w:space="0" w:color="auto"/>
              <w:right w:val="single" w:sz="4" w:space="0" w:color="auto"/>
            </w:tcBorders>
            <w:shd w:val="clear" w:color="auto" w:fill="auto"/>
            <w:vAlign w:val="center"/>
            <w:hideMark/>
          </w:tcPr>
          <w:p w14:paraId="2B1A3CD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9 325</w:t>
            </w:r>
          </w:p>
        </w:tc>
        <w:tc>
          <w:tcPr>
            <w:tcW w:w="941" w:type="dxa"/>
            <w:tcBorders>
              <w:top w:val="nil"/>
              <w:left w:val="nil"/>
              <w:bottom w:val="single" w:sz="4" w:space="0" w:color="auto"/>
              <w:right w:val="single" w:sz="4" w:space="0" w:color="auto"/>
            </w:tcBorders>
            <w:shd w:val="clear" w:color="auto" w:fill="auto"/>
            <w:vAlign w:val="center"/>
            <w:hideMark/>
          </w:tcPr>
          <w:p w14:paraId="289C699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6 506</w:t>
            </w:r>
          </w:p>
        </w:tc>
        <w:tc>
          <w:tcPr>
            <w:tcW w:w="941" w:type="dxa"/>
            <w:tcBorders>
              <w:top w:val="nil"/>
              <w:left w:val="nil"/>
              <w:bottom w:val="single" w:sz="4" w:space="0" w:color="auto"/>
              <w:right w:val="single" w:sz="4" w:space="0" w:color="auto"/>
            </w:tcBorders>
            <w:shd w:val="clear" w:color="auto" w:fill="auto"/>
            <w:vAlign w:val="center"/>
            <w:hideMark/>
          </w:tcPr>
          <w:p w14:paraId="138B476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3 075</w:t>
            </w:r>
          </w:p>
        </w:tc>
        <w:tc>
          <w:tcPr>
            <w:tcW w:w="941" w:type="dxa"/>
            <w:tcBorders>
              <w:top w:val="nil"/>
              <w:left w:val="nil"/>
              <w:bottom w:val="single" w:sz="4" w:space="0" w:color="auto"/>
              <w:right w:val="single" w:sz="4" w:space="0" w:color="auto"/>
            </w:tcBorders>
            <w:shd w:val="clear" w:color="auto" w:fill="auto"/>
            <w:vAlign w:val="center"/>
            <w:hideMark/>
          </w:tcPr>
          <w:p w14:paraId="614019A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1 307</w:t>
            </w:r>
          </w:p>
        </w:tc>
        <w:tc>
          <w:tcPr>
            <w:tcW w:w="941" w:type="dxa"/>
            <w:tcBorders>
              <w:top w:val="nil"/>
              <w:left w:val="nil"/>
              <w:bottom w:val="single" w:sz="4" w:space="0" w:color="auto"/>
              <w:right w:val="single" w:sz="4" w:space="0" w:color="auto"/>
            </w:tcBorders>
            <w:shd w:val="clear" w:color="auto" w:fill="auto"/>
            <w:vAlign w:val="center"/>
            <w:hideMark/>
          </w:tcPr>
          <w:p w14:paraId="7326166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11 165</w:t>
            </w:r>
          </w:p>
        </w:tc>
        <w:tc>
          <w:tcPr>
            <w:tcW w:w="941" w:type="dxa"/>
            <w:tcBorders>
              <w:top w:val="nil"/>
              <w:left w:val="nil"/>
              <w:bottom w:val="single" w:sz="4" w:space="0" w:color="auto"/>
              <w:right w:val="single" w:sz="4" w:space="0" w:color="auto"/>
            </w:tcBorders>
            <w:shd w:val="clear" w:color="auto" w:fill="auto"/>
            <w:vAlign w:val="center"/>
            <w:hideMark/>
          </w:tcPr>
          <w:p w14:paraId="17375B3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11 140</w:t>
            </w:r>
          </w:p>
        </w:tc>
        <w:tc>
          <w:tcPr>
            <w:tcW w:w="941" w:type="dxa"/>
            <w:tcBorders>
              <w:top w:val="nil"/>
              <w:left w:val="nil"/>
              <w:bottom w:val="single" w:sz="4" w:space="0" w:color="auto"/>
              <w:right w:val="single" w:sz="4" w:space="0" w:color="auto"/>
            </w:tcBorders>
            <w:shd w:val="clear" w:color="auto" w:fill="auto"/>
            <w:vAlign w:val="center"/>
            <w:hideMark/>
          </w:tcPr>
          <w:p w14:paraId="41B3447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8 691</w:t>
            </w:r>
          </w:p>
        </w:tc>
        <w:tc>
          <w:tcPr>
            <w:tcW w:w="941" w:type="dxa"/>
            <w:tcBorders>
              <w:top w:val="nil"/>
              <w:left w:val="nil"/>
              <w:bottom w:val="single" w:sz="4" w:space="0" w:color="auto"/>
              <w:right w:val="single" w:sz="4" w:space="0" w:color="auto"/>
            </w:tcBorders>
            <w:shd w:val="clear" w:color="auto" w:fill="auto"/>
            <w:vAlign w:val="center"/>
            <w:hideMark/>
          </w:tcPr>
          <w:p w14:paraId="155764C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6 467</w:t>
            </w:r>
          </w:p>
        </w:tc>
        <w:tc>
          <w:tcPr>
            <w:tcW w:w="941" w:type="dxa"/>
            <w:tcBorders>
              <w:top w:val="nil"/>
              <w:left w:val="nil"/>
              <w:bottom w:val="single" w:sz="4" w:space="0" w:color="auto"/>
              <w:right w:val="single" w:sz="4" w:space="0" w:color="auto"/>
            </w:tcBorders>
            <w:shd w:val="clear" w:color="auto" w:fill="auto"/>
            <w:vAlign w:val="center"/>
            <w:hideMark/>
          </w:tcPr>
          <w:p w14:paraId="54C0DE7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2 881</w:t>
            </w:r>
          </w:p>
        </w:tc>
        <w:tc>
          <w:tcPr>
            <w:tcW w:w="1271" w:type="dxa"/>
            <w:tcBorders>
              <w:top w:val="nil"/>
              <w:left w:val="nil"/>
              <w:bottom w:val="single" w:sz="4" w:space="0" w:color="auto"/>
              <w:right w:val="single" w:sz="4" w:space="0" w:color="auto"/>
            </w:tcBorders>
            <w:shd w:val="clear" w:color="auto" w:fill="auto"/>
            <w:vAlign w:val="center"/>
            <w:hideMark/>
          </w:tcPr>
          <w:p w14:paraId="06231E0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1 636</w:t>
            </w:r>
          </w:p>
        </w:tc>
      </w:tr>
      <w:tr w:rsidR="0053576E" w:rsidRPr="004135FE" w14:paraId="2A58C757"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73A49C5E"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0D0FAFE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tcBorders>
              <w:top w:val="nil"/>
              <w:left w:val="nil"/>
              <w:bottom w:val="single" w:sz="4" w:space="0" w:color="auto"/>
              <w:right w:val="single" w:sz="4" w:space="0" w:color="auto"/>
            </w:tcBorders>
            <w:shd w:val="clear" w:color="auto" w:fill="auto"/>
            <w:vAlign w:val="center"/>
            <w:hideMark/>
          </w:tcPr>
          <w:p w14:paraId="2DDCA84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78" w:type="dxa"/>
            <w:tcBorders>
              <w:top w:val="nil"/>
              <w:left w:val="nil"/>
              <w:bottom w:val="single" w:sz="4" w:space="0" w:color="auto"/>
              <w:right w:val="single" w:sz="4" w:space="0" w:color="auto"/>
            </w:tcBorders>
            <w:shd w:val="clear" w:color="auto" w:fill="auto"/>
            <w:vAlign w:val="center"/>
            <w:hideMark/>
          </w:tcPr>
          <w:p w14:paraId="052FB64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3 093</w:t>
            </w:r>
          </w:p>
        </w:tc>
        <w:tc>
          <w:tcPr>
            <w:tcW w:w="879" w:type="dxa"/>
            <w:tcBorders>
              <w:top w:val="nil"/>
              <w:left w:val="nil"/>
              <w:bottom w:val="single" w:sz="4" w:space="0" w:color="auto"/>
              <w:right w:val="single" w:sz="4" w:space="0" w:color="auto"/>
            </w:tcBorders>
            <w:shd w:val="clear" w:color="auto" w:fill="auto"/>
            <w:vAlign w:val="center"/>
            <w:hideMark/>
          </w:tcPr>
          <w:p w14:paraId="1271AF5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12 861</w:t>
            </w:r>
          </w:p>
        </w:tc>
        <w:tc>
          <w:tcPr>
            <w:tcW w:w="879" w:type="dxa"/>
            <w:tcBorders>
              <w:top w:val="nil"/>
              <w:left w:val="nil"/>
              <w:bottom w:val="single" w:sz="4" w:space="0" w:color="auto"/>
              <w:right w:val="single" w:sz="4" w:space="0" w:color="auto"/>
            </w:tcBorders>
            <w:shd w:val="clear" w:color="auto" w:fill="auto"/>
            <w:vAlign w:val="center"/>
            <w:hideMark/>
          </w:tcPr>
          <w:p w14:paraId="2E618B9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14 034</w:t>
            </w:r>
          </w:p>
        </w:tc>
        <w:tc>
          <w:tcPr>
            <w:tcW w:w="941" w:type="dxa"/>
            <w:tcBorders>
              <w:top w:val="nil"/>
              <w:left w:val="nil"/>
              <w:bottom w:val="single" w:sz="4" w:space="0" w:color="auto"/>
              <w:right w:val="single" w:sz="4" w:space="0" w:color="auto"/>
            </w:tcBorders>
            <w:shd w:val="clear" w:color="auto" w:fill="auto"/>
            <w:vAlign w:val="center"/>
            <w:hideMark/>
          </w:tcPr>
          <w:p w14:paraId="6F3586B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10 087</w:t>
            </w:r>
          </w:p>
        </w:tc>
        <w:tc>
          <w:tcPr>
            <w:tcW w:w="941" w:type="dxa"/>
            <w:tcBorders>
              <w:top w:val="nil"/>
              <w:left w:val="nil"/>
              <w:bottom w:val="single" w:sz="4" w:space="0" w:color="auto"/>
              <w:right w:val="single" w:sz="4" w:space="0" w:color="auto"/>
            </w:tcBorders>
            <w:shd w:val="clear" w:color="auto" w:fill="auto"/>
            <w:vAlign w:val="center"/>
            <w:hideMark/>
          </w:tcPr>
          <w:p w14:paraId="737DBFF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5 444</w:t>
            </w:r>
          </w:p>
        </w:tc>
        <w:tc>
          <w:tcPr>
            <w:tcW w:w="941" w:type="dxa"/>
            <w:tcBorders>
              <w:top w:val="nil"/>
              <w:left w:val="nil"/>
              <w:bottom w:val="single" w:sz="4" w:space="0" w:color="auto"/>
              <w:right w:val="single" w:sz="4" w:space="0" w:color="auto"/>
            </w:tcBorders>
            <w:shd w:val="clear" w:color="auto" w:fill="auto"/>
            <w:vAlign w:val="center"/>
            <w:hideMark/>
          </w:tcPr>
          <w:p w14:paraId="3A3979D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2 127</w:t>
            </w:r>
          </w:p>
        </w:tc>
        <w:tc>
          <w:tcPr>
            <w:tcW w:w="941" w:type="dxa"/>
            <w:tcBorders>
              <w:top w:val="nil"/>
              <w:left w:val="nil"/>
              <w:bottom w:val="single" w:sz="4" w:space="0" w:color="auto"/>
              <w:right w:val="single" w:sz="4" w:space="0" w:color="auto"/>
            </w:tcBorders>
            <w:shd w:val="clear" w:color="auto" w:fill="auto"/>
            <w:vAlign w:val="center"/>
            <w:hideMark/>
          </w:tcPr>
          <w:p w14:paraId="4A04C9C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18 343</w:t>
            </w:r>
          </w:p>
        </w:tc>
        <w:tc>
          <w:tcPr>
            <w:tcW w:w="941" w:type="dxa"/>
            <w:tcBorders>
              <w:top w:val="nil"/>
              <w:left w:val="nil"/>
              <w:bottom w:val="single" w:sz="4" w:space="0" w:color="auto"/>
              <w:right w:val="single" w:sz="4" w:space="0" w:color="auto"/>
            </w:tcBorders>
            <w:shd w:val="clear" w:color="auto" w:fill="auto"/>
            <w:vAlign w:val="center"/>
            <w:hideMark/>
          </w:tcPr>
          <w:p w14:paraId="34BCF35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17 739</w:t>
            </w:r>
          </w:p>
        </w:tc>
        <w:tc>
          <w:tcPr>
            <w:tcW w:w="941" w:type="dxa"/>
            <w:tcBorders>
              <w:top w:val="nil"/>
              <w:left w:val="nil"/>
              <w:bottom w:val="single" w:sz="4" w:space="0" w:color="auto"/>
              <w:right w:val="single" w:sz="4" w:space="0" w:color="auto"/>
            </w:tcBorders>
            <w:shd w:val="clear" w:color="auto" w:fill="auto"/>
            <w:vAlign w:val="center"/>
            <w:hideMark/>
          </w:tcPr>
          <w:p w14:paraId="4FD01E9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14 578</w:t>
            </w:r>
          </w:p>
        </w:tc>
        <w:tc>
          <w:tcPr>
            <w:tcW w:w="941" w:type="dxa"/>
            <w:tcBorders>
              <w:top w:val="nil"/>
              <w:left w:val="nil"/>
              <w:bottom w:val="single" w:sz="4" w:space="0" w:color="auto"/>
              <w:right w:val="single" w:sz="4" w:space="0" w:color="auto"/>
            </w:tcBorders>
            <w:shd w:val="clear" w:color="auto" w:fill="auto"/>
            <w:vAlign w:val="center"/>
            <w:hideMark/>
          </w:tcPr>
          <w:p w14:paraId="7E32FD8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12 687</w:t>
            </w:r>
          </w:p>
        </w:tc>
        <w:tc>
          <w:tcPr>
            <w:tcW w:w="941" w:type="dxa"/>
            <w:tcBorders>
              <w:top w:val="nil"/>
              <w:left w:val="nil"/>
              <w:bottom w:val="single" w:sz="4" w:space="0" w:color="auto"/>
              <w:right w:val="single" w:sz="4" w:space="0" w:color="auto"/>
            </w:tcBorders>
            <w:shd w:val="clear" w:color="auto" w:fill="auto"/>
            <w:vAlign w:val="center"/>
            <w:hideMark/>
          </w:tcPr>
          <w:p w14:paraId="0534AFA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7 691</w:t>
            </w:r>
          </w:p>
        </w:tc>
        <w:tc>
          <w:tcPr>
            <w:tcW w:w="1271" w:type="dxa"/>
            <w:tcBorders>
              <w:top w:val="nil"/>
              <w:left w:val="nil"/>
              <w:bottom w:val="single" w:sz="4" w:space="0" w:color="auto"/>
              <w:right w:val="single" w:sz="4" w:space="0" w:color="auto"/>
            </w:tcBorders>
            <w:shd w:val="clear" w:color="auto" w:fill="auto"/>
            <w:vAlign w:val="center"/>
            <w:hideMark/>
          </w:tcPr>
          <w:p w14:paraId="51439FD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4 849</w:t>
            </w:r>
          </w:p>
        </w:tc>
      </w:tr>
      <w:tr w:rsidR="0053576E" w:rsidRPr="004135FE" w14:paraId="0DC5084A"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2AE41738"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0B5B852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tcBorders>
              <w:top w:val="nil"/>
              <w:left w:val="nil"/>
              <w:bottom w:val="single" w:sz="4" w:space="0" w:color="auto"/>
              <w:right w:val="single" w:sz="4" w:space="0" w:color="auto"/>
            </w:tcBorders>
            <w:shd w:val="clear" w:color="auto" w:fill="auto"/>
            <w:vAlign w:val="center"/>
            <w:hideMark/>
          </w:tcPr>
          <w:p w14:paraId="5110F44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78" w:type="dxa"/>
            <w:tcBorders>
              <w:top w:val="nil"/>
              <w:left w:val="nil"/>
              <w:bottom w:val="single" w:sz="4" w:space="0" w:color="auto"/>
              <w:right w:val="single" w:sz="4" w:space="0" w:color="auto"/>
            </w:tcBorders>
            <w:shd w:val="clear" w:color="auto" w:fill="auto"/>
            <w:vAlign w:val="center"/>
            <w:hideMark/>
          </w:tcPr>
          <w:p w14:paraId="127814F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2 127</w:t>
            </w:r>
          </w:p>
        </w:tc>
        <w:tc>
          <w:tcPr>
            <w:tcW w:w="879" w:type="dxa"/>
            <w:tcBorders>
              <w:top w:val="nil"/>
              <w:left w:val="nil"/>
              <w:bottom w:val="single" w:sz="4" w:space="0" w:color="auto"/>
              <w:right w:val="single" w:sz="4" w:space="0" w:color="auto"/>
            </w:tcBorders>
            <w:shd w:val="clear" w:color="auto" w:fill="auto"/>
            <w:vAlign w:val="center"/>
            <w:hideMark/>
          </w:tcPr>
          <w:p w14:paraId="23C94B6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9 680</w:t>
            </w:r>
          </w:p>
        </w:tc>
        <w:tc>
          <w:tcPr>
            <w:tcW w:w="879" w:type="dxa"/>
            <w:tcBorders>
              <w:top w:val="nil"/>
              <w:left w:val="nil"/>
              <w:bottom w:val="single" w:sz="4" w:space="0" w:color="auto"/>
              <w:right w:val="single" w:sz="4" w:space="0" w:color="auto"/>
            </w:tcBorders>
            <w:shd w:val="clear" w:color="auto" w:fill="auto"/>
            <w:vAlign w:val="center"/>
            <w:hideMark/>
          </w:tcPr>
          <w:p w14:paraId="7C5DA78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11 230</w:t>
            </w:r>
          </w:p>
        </w:tc>
        <w:tc>
          <w:tcPr>
            <w:tcW w:w="941" w:type="dxa"/>
            <w:tcBorders>
              <w:top w:val="nil"/>
              <w:left w:val="nil"/>
              <w:bottom w:val="single" w:sz="4" w:space="0" w:color="auto"/>
              <w:right w:val="single" w:sz="4" w:space="0" w:color="auto"/>
            </w:tcBorders>
            <w:shd w:val="clear" w:color="auto" w:fill="auto"/>
            <w:vAlign w:val="center"/>
            <w:hideMark/>
          </w:tcPr>
          <w:p w14:paraId="2FF1817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8 512</w:t>
            </w:r>
          </w:p>
        </w:tc>
        <w:tc>
          <w:tcPr>
            <w:tcW w:w="941" w:type="dxa"/>
            <w:tcBorders>
              <w:top w:val="nil"/>
              <w:left w:val="nil"/>
              <w:bottom w:val="single" w:sz="4" w:space="0" w:color="auto"/>
              <w:right w:val="single" w:sz="4" w:space="0" w:color="auto"/>
            </w:tcBorders>
            <w:shd w:val="clear" w:color="auto" w:fill="auto"/>
            <w:vAlign w:val="center"/>
            <w:hideMark/>
          </w:tcPr>
          <w:p w14:paraId="5F01C4A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5 571</w:t>
            </w:r>
          </w:p>
        </w:tc>
        <w:tc>
          <w:tcPr>
            <w:tcW w:w="941" w:type="dxa"/>
            <w:tcBorders>
              <w:top w:val="nil"/>
              <w:left w:val="nil"/>
              <w:bottom w:val="single" w:sz="4" w:space="0" w:color="auto"/>
              <w:right w:val="single" w:sz="4" w:space="0" w:color="auto"/>
            </w:tcBorders>
            <w:shd w:val="clear" w:color="auto" w:fill="auto"/>
            <w:vAlign w:val="center"/>
            <w:hideMark/>
          </w:tcPr>
          <w:p w14:paraId="61E2C4A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11 561</w:t>
            </w:r>
          </w:p>
        </w:tc>
        <w:tc>
          <w:tcPr>
            <w:tcW w:w="941" w:type="dxa"/>
            <w:tcBorders>
              <w:top w:val="nil"/>
              <w:left w:val="nil"/>
              <w:bottom w:val="single" w:sz="4" w:space="0" w:color="auto"/>
              <w:right w:val="single" w:sz="4" w:space="0" w:color="auto"/>
            </w:tcBorders>
            <w:shd w:val="clear" w:color="auto" w:fill="auto"/>
            <w:vAlign w:val="center"/>
            <w:hideMark/>
          </w:tcPr>
          <w:p w14:paraId="539F80D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40 905</w:t>
            </w:r>
          </w:p>
        </w:tc>
        <w:tc>
          <w:tcPr>
            <w:tcW w:w="941" w:type="dxa"/>
            <w:tcBorders>
              <w:top w:val="nil"/>
              <w:left w:val="nil"/>
              <w:bottom w:val="single" w:sz="4" w:space="0" w:color="auto"/>
              <w:right w:val="single" w:sz="4" w:space="0" w:color="auto"/>
            </w:tcBorders>
            <w:shd w:val="clear" w:color="auto" w:fill="auto"/>
            <w:vAlign w:val="center"/>
            <w:hideMark/>
          </w:tcPr>
          <w:p w14:paraId="291F15E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18 265</w:t>
            </w:r>
          </w:p>
        </w:tc>
        <w:tc>
          <w:tcPr>
            <w:tcW w:w="941" w:type="dxa"/>
            <w:tcBorders>
              <w:top w:val="nil"/>
              <w:left w:val="nil"/>
              <w:bottom w:val="single" w:sz="4" w:space="0" w:color="auto"/>
              <w:right w:val="single" w:sz="4" w:space="0" w:color="auto"/>
            </w:tcBorders>
            <w:shd w:val="clear" w:color="auto" w:fill="auto"/>
            <w:vAlign w:val="center"/>
            <w:hideMark/>
          </w:tcPr>
          <w:p w14:paraId="2897BED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14 992</w:t>
            </w:r>
          </w:p>
        </w:tc>
        <w:tc>
          <w:tcPr>
            <w:tcW w:w="941" w:type="dxa"/>
            <w:tcBorders>
              <w:top w:val="nil"/>
              <w:left w:val="nil"/>
              <w:bottom w:val="single" w:sz="4" w:space="0" w:color="auto"/>
              <w:right w:val="single" w:sz="4" w:space="0" w:color="auto"/>
            </w:tcBorders>
            <w:shd w:val="clear" w:color="auto" w:fill="auto"/>
            <w:vAlign w:val="center"/>
            <w:hideMark/>
          </w:tcPr>
          <w:p w14:paraId="6081375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13 226</w:t>
            </w:r>
          </w:p>
        </w:tc>
        <w:tc>
          <w:tcPr>
            <w:tcW w:w="941" w:type="dxa"/>
            <w:tcBorders>
              <w:top w:val="nil"/>
              <w:left w:val="nil"/>
              <w:bottom w:val="single" w:sz="4" w:space="0" w:color="auto"/>
              <w:right w:val="single" w:sz="4" w:space="0" w:color="auto"/>
            </w:tcBorders>
            <w:shd w:val="clear" w:color="auto" w:fill="auto"/>
            <w:vAlign w:val="center"/>
            <w:hideMark/>
          </w:tcPr>
          <w:p w14:paraId="5834DA6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8 447</w:t>
            </w:r>
          </w:p>
        </w:tc>
        <w:tc>
          <w:tcPr>
            <w:tcW w:w="1271" w:type="dxa"/>
            <w:tcBorders>
              <w:top w:val="nil"/>
              <w:left w:val="nil"/>
              <w:bottom w:val="single" w:sz="4" w:space="0" w:color="auto"/>
              <w:right w:val="single" w:sz="4" w:space="0" w:color="auto"/>
            </w:tcBorders>
            <w:shd w:val="clear" w:color="auto" w:fill="auto"/>
            <w:vAlign w:val="center"/>
            <w:hideMark/>
          </w:tcPr>
          <w:p w14:paraId="7EAB541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5 629</w:t>
            </w:r>
          </w:p>
        </w:tc>
      </w:tr>
      <w:tr w:rsidR="0053576E" w:rsidRPr="004135FE" w14:paraId="6DAF5E44"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5ADBB8F3"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3A5339B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tcBorders>
              <w:top w:val="nil"/>
              <w:left w:val="nil"/>
              <w:bottom w:val="single" w:sz="4" w:space="0" w:color="auto"/>
              <w:right w:val="single" w:sz="4" w:space="0" w:color="auto"/>
            </w:tcBorders>
            <w:shd w:val="clear" w:color="auto" w:fill="auto"/>
            <w:vAlign w:val="center"/>
            <w:hideMark/>
          </w:tcPr>
          <w:p w14:paraId="25D9E97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78" w:type="dxa"/>
            <w:tcBorders>
              <w:top w:val="nil"/>
              <w:left w:val="nil"/>
              <w:bottom w:val="single" w:sz="4" w:space="0" w:color="auto"/>
              <w:right w:val="single" w:sz="4" w:space="0" w:color="auto"/>
            </w:tcBorders>
            <w:shd w:val="clear" w:color="auto" w:fill="auto"/>
            <w:vAlign w:val="center"/>
            <w:hideMark/>
          </w:tcPr>
          <w:p w14:paraId="33DF293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1 136</w:t>
            </w:r>
          </w:p>
        </w:tc>
        <w:tc>
          <w:tcPr>
            <w:tcW w:w="879" w:type="dxa"/>
            <w:tcBorders>
              <w:top w:val="nil"/>
              <w:left w:val="nil"/>
              <w:bottom w:val="single" w:sz="4" w:space="0" w:color="auto"/>
              <w:right w:val="single" w:sz="4" w:space="0" w:color="auto"/>
            </w:tcBorders>
            <w:shd w:val="clear" w:color="auto" w:fill="auto"/>
            <w:vAlign w:val="center"/>
            <w:hideMark/>
          </w:tcPr>
          <w:p w14:paraId="133DF84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5 090</w:t>
            </w:r>
          </w:p>
        </w:tc>
        <w:tc>
          <w:tcPr>
            <w:tcW w:w="879" w:type="dxa"/>
            <w:tcBorders>
              <w:top w:val="nil"/>
              <w:left w:val="nil"/>
              <w:bottom w:val="single" w:sz="4" w:space="0" w:color="auto"/>
              <w:right w:val="single" w:sz="4" w:space="0" w:color="auto"/>
            </w:tcBorders>
            <w:shd w:val="clear" w:color="auto" w:fill="auto"/>
            <w:vAlign w:val="center"/>
            <w:hideMark/>
          </w:tcPr>
          <w:p w14:paraId="4B6AA3F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5 426</w:t>
            </w:r>
          </w:p>
        </w:tc>
        <w:tc>
          <w:tcPr>
            <w:tcW w:w="941" w:type="dxa"/>
            <w:tcBorders>
              <w:top w:val="nil"/>
              <w:left w:val="nil"/>
              <w:bottom w:val="single" w:sz="4" w:space="0" w:color="auto"/>
              <w:right w:val="single" w:sz="4" w:space="0" w:color="auto"/>
            </w:tcBorders>
            <w:shd w:val="clear" w:color="auto" w:fill="auto"/>
            <w:vAlign w:val="center"/>
            <w:hideMark/>
          </w:tcPr>
          <w:p w14:paraId="552040D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3 699</w:t>
            </w:r>
          </w:p>
        </w:tc>
        <w:tc>
          <w:tcPr>
            <w:tcW w:w="941" w:type="dxa"/>
            <w:tcBorders>
              <w:top w:val="nil"/>
              <w:left w:val="nil"/>
              <w:bottom w:val="single" w:sz="4" w:space="0" w:color="auto"/>
              <w:right w:val="single" w:sz="4" w:space="0" w:color="auto"/>
            </w:tcBorders>
            <w:shd w:val="clear" w:color="auto" w:fill="auto"/>
            <w:vAlign w:val="center"/>
            <w:hideMark/>
          </w:tcPr>
          <w:p w14:paraId="5163A42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2 159</w:t>
            </w:r>
          </w:p>
        </w:tc>
        <w:tc>
          <w:tcPr>
            <w:tcW w:w="941" w:type="dxa"/>
            <w:tcBorders>
              <w:top w:val="nil"/>
              <w:left w:val="nil"/>
              <w:bottom w:val="single" w:sz="4" w:space="0" w:color="auto"/>
              <w:right w:val="single" w:sz="4" w:space="0" w:color="auto"/>
            </w:tcBorders>
            <w:shd w:val="clear" w:color="auto" w:fill="auto"/>
            <w:vAlign w:val="center"/>
            <w:hideMark/>
          </w:tcPr>
          <w:p w14:paraId="769E8E7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1 334</w:t>
            </w:r>
          </w:p>
        </w:tc>
        <w:tc>
          <w:tcPr>
            <w:tcW w:w="941" w:type="dxa"/>
            <w:tcBorders>
              <w:top w:val="nil"/>
              <w:left w:val="nil"/>
              <w:bottom w:val="single" w:sz="4" w:space="0" w:color="auto"/>
              <w:right w:val="single" w:sz="4" w:space="0" w:color="auto"/>
            </w:tcBorders>
            <w:shd w:val="clear" w:color="auto" w:fill="auto"/>
            <w:vAlign w:val="center"/>
            <w:hideMark/>
          </w:tcPr>
          <w:p w14:paraId="3BCD556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13 663</w:t>
            </w:r>
          </w:p>
        </w:tc>
        <w:tc>
          <w:tcPr>
            <w:tcW w:w="941" w:type="dxa"/>
            <w:tcBorders>
              <w:top w:val="nil"/>
              <w:left w:val="nil"/>
              <w:bottom w:val="single" w:sz="4" w:space="0" w:color="auto"/>
              <w:right w:val="single" w:sz="4" w:space="0" w:color="auto"/>
            </w:tcBorders>
            <w:shd w:val="clear" w:color="auto" w:fill="auto"/>
            <w:vAlign w:val="center"/>
            <w:hideMark/>
          </w:tcPr>
          <w:p w14:paraId="4F535F4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13 111</w:t>
            </w:r>
          </w:p>
        </w:tc>
        <w:tc>
          <w:tcPr>
            <w:tcW w:w="941" w:type="dxa"/>
            <w:tcBorders>
              <w:top w:val="nil"/>
              <w:left w:val="nil"/>
              <w:bottom w:val="single" w:sz="4" w:space="0" w:color="auto"/>
              <w:right w:val="single" w:sz="4" w:space="0" w:color="auto"/>
            </w:tcBorders>
            <w:shd w:val="clear" w:color="auto" w:fill="auto"/>
            <w:vAlign w:val="center"/>
            <w:hideMark/>
          </w:tcPr>
          <w:p w14:paraId="4C7A624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9 899</w:t>
            </w:r>
          </w:p>
        </w:tc>
        <w:tc>
          <w:tcPr>
            <w:tcW w:w="941" w:type="dxa"/>
            <w:tcBorders>
              <w:top w:val="nil"/>
              <w:left w:val="nil"/>
              <w:bottom w:val="single" w:sz="4" w:space="0" w:color="auto"/>
              <w:right w:val="single" w:sz="4" w:space="0" w:color="auto"/>
            </w:tcBorders>
            <w:shd w:val="clear" w:color="auto" w:fill="auto"/>
            <w:vAlign w:val="center"/>
            <w:hideMark/>
          </w:tcPr>
          <w:p w14:paraId="0E1A49C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8 210</w:t>
            </w:r>
          </w:p>
        </w:tc>
        <w:tc>
          <w:tcPr>
            <w:tcW w:w="941" w:type="dxa"/>
            <w:tcBorders>
              <w:top w:val="nil"/>
              <w:left w:val="nil"/>
              <w:bottom w:val="single" w:sz="4" w:space="0" w:color="auto"/>
              <w:right w:val="single" w:sz="4" w:space="0" w:color="auto"/>
            </w:tcBorders>
            <w:shd w:val="clear" w:color="auto" w:fill="auto"/>
            <w:vAlign w:val="center"/>
            <w:hideMark/>
          </w:tcPr>
          <w:p w14:paraId="218DA31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4 534</w:t>
            </w:r>
          </w:p>
        </w:tc>
        <w:tc>
          <w:tcPr>
            <w:tcW w:w="1271" w:type="dxa"/>
            <w:tcBorders>
              <w:top w:val="nil"/>
              <w:left w:val="nil"/>
              <w:bottom w:val="single" w:sz="4" w:space="0" w:color="auto"/>
              <w:right w:val="single" w:sz="4" w:space="0" w:color="auto"/>
            </w:tcBorders>
            <w:shd w:val="clear" w:color="auto" w:fill="auto"/>
            <w:vAlign w:val="center"/>
            <w:hideMark/>
          </w:tcPr>
          <w:p w14:paraId="51B6D25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2 753</w:t>
            </w:r>
          </w:p>
        </w:tc>
      </w:tr>
      <w:tr w:rsidR="0053576E" w:rsidRPr="004135FE" w14:paraId="309A9629"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7BC045AB"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1A3DB1C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tcBorders>
              <w:top w:val="nil"/>
              <w:left w:val="nil"/>
              <w:bottom w:val="single" w:sz="4" w:space="0" w:color="auto"/>
              <w:right w:val="single" w:sz="4" w:space="0" w:color="auto"/>
            </w:tcBorders>
            <w:shd w:val="clear" w:color="auto" w:fill="auto"/>
            <w:vAlign w:val="center"/>
            <w:hideMark/>
          </w:tcPr>
          <w:p w14:paraId="4BD9CE1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78" w:type="dxa"/>
            <w:tcBorders>
              <w:top w:val="nil"/>
              <w:left w:val="nil"/>
              <w:bottom w:val="single" w:sz="4" w:space="0" w:color="auto"/>
              <w:right w:val="single" w:sz="4" w:space="0" w:color="auto"/>
            </w:tcBorders>
            <w:shd w:val="clear" w:color="auto" w:fill="auto"/>
            <w:vAlign w:val="center"/>
            <w:hideMark/>
          </w:tcPr>
          <w:p w14:paraId="7DC5694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1 958</w:t>
            </w:r>
          </w:p>
        </w:tc>
        <w:tc>
          <w:tcPr>
            <w:tcW w:w="879" w:type="dxa"/>
            <w:tcBorders>
              <w:top w:val="nil"/>
              <w:left w:val="nil"/>
              <w:bottom w:val="single" w:sz="4" w:space="0" w:color="auto"/>
              <w:right w:val="single" w:sz="4" w:space="0" w:color="auto"/>
            </w:tcBorders>
            <w:shd w:val="clear" w:color="auto" w:fill="auto"/>
            <w:vAlign w:val="center"/>
            <w:hideMark/>
          </w:tcPr>
          <w:p w14:paraId="1963D55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8 839</w:t>
            </w:r>
          </w:p>
        </w:tc>
        <w:tc>
          <w:tcPr>
            <w:tcW w:w="879" w:type="dxa"/>
            <w:tcBorders>
              <w:top w:val="nil"/>
              <w:left w:val="nil"/>
              <w:bottom w:val="single" w:sz="4" w:space="0" w:color="auto"/>
              <w:right w:val="single" w:sz="4" w:space="0" w:color="auto"/>
            </w:tcBorders>
            <w:shd w:val="clear" w:color="auto" w:fill="auto"/>
            <w:vAlign w:val="center"/>
            <w:hideMark/>
          </w:tcPr>
          <w:p w14:paraId="25FBD4F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10 897</w:t>
            </w:r>
          </w:p>
        </w:tc>
        <w:tc>
          <w:tcPr>
            <w:tcW w:w="941" w:type="dxa"/>
            <w:tcBorders>
              <w:top w:val="nil"/>
              <w:left w:val="nil"/>
              <w:bottom w:val="single" w:sz="4" w:space="0" w:color="auto"/>
              <w:right w:val="single" w:sz="4" w:space="0" w:color="auto"/>
            </w:tcBorders>
            <w:shd w:val="clear" w:color="auto" w:fill="auto"/>
            <w:vAlign w:val="center"/>
            <w:hideMark/>
          </w:tcPr>
          <w:p w14:paraId="49255B8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8 634</w:t>
            </w:r>
          </w:p>
        </w:tc>
        <w:tc>
          <w:tcPr>
            <w:tcW w:w="941" w:type="dxa"/>
            <w:tcBorders>
              <w:top w:val="nil"/>
              <w:left w:val="nil"/>
              <w:bottom w:val="single" w:sz="4" w:space="0" w:color="auto"/>
              <w:right w:val="single" w:sz="4" w:space="0" w:color="auto"/>
            </w:tcBorders>
            <w:shd w:val="clear" w:color="auto" w:fill="auto"/>
            <w:vAlign w:val="center"/>
            <w:hideMark/>
          </w:tcPr>
          <w:p w14:paraId="3934F71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2 607</w:t>
            </w:r>
          </w:p>
        </w:tc>
        <w:tc>
          <w:tcPr>
            <w:tcW w:w="941" w:type="dxa"/>
            <w:tcBorders>
              <w:top w:val="nil"/>
              <w:left w:val="nil"/>
              <w:bottom w:val="single" w:sz="4" w:space="0" w:color="auto"/>
              <w:right w:val="single" w:sz="4" w:space="0" w:color="auto"/>
            </w:tcBorders>
            <w:shd w:val="clear" w:color="auto" w:fill="auto"/>
            <w:vAlign w:val="center"/>
            <w:hideMark/>
          </w:tcPr>
          <w:p w14:paraId="3FF7741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1 394</w:t>
            </w:r>
          </w:p>
        </w:tc>
        <w:tc>
          <w:tcPr>
            <w:tcW w:w="941" w:type="dxa"/>
            <w:tcBorders>
              <w:top w:val="nil"/>
              <w:left w:val="nil"/>
              <w:bottom w:val="single" w:sz="4" w:space="0" w:color="auto"/>
              <w:right w:val="single" w:sz="4" w:space="0" w:color="auto"/>
            </w:tcBorders>
            <w:shd w:val="clear" w:color="auto" w:fill="auto"/>
            <w:vAlign w:val="center"/>
            <w:hideMark/>
          </w:tcPr>
          <w:p w14:paraId="132E38B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11 122</w:t>
            </w:r>
          </w:p>
        </w:tc>
        <w:tc>
          <w:tcPr>
            <w:tcW w:w="941" w:type="dxa"/>
            <w:tcBorders>
              <w:top w:val="nil"/>
              <w:left w:val="nil"/>
              <w:bottom w:val="single" w:sz="4" w:space="0" w:color="auto"/>
              <w:right w:val="single" w:sz="4" w:space="0" w:color="auto"/>
            </w:tcBorders>
            <w:shd w:val="clear" w:color="auto" w:fill="auto"/>
            <w:vAlign w:val="center"/>
            <w:hideMark/>
          </w:tcPr>
          <w:p w14:paraId="6F4225C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11 048</w:t>
            </w:r>
          </w:p>
        </w:tc>
        <w:tc>
          <w:tcPr>
            <w:tcW w:w="941" w:type="dxa"/>
            <w:tcBorders>
              <w:top w:val="nil"/>
              <w:left w:val="nil"/>
              <w:bottom w:val="single" w:sz="4" w:space="0" w:color="auto"/>
              <w:right w:val="single" w:sz="4" w:space="0" w:color="auto"/>
            </w:tcBorders>
            <w:shd w:val="clear" w:color="auto" w:fill="auto"/>
            <w:vAlign w:val="center"/>
            <w:hideMark/>
          </w:tcPr>
          <w:p w14:paraId="57AF718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9 279</w:t>
            </w:r>
          </w:p>
        </w:tc>
        <w:tc>
          <w:tcPr>
            <w:tcW w:w="941" w:type="dxa"/>
            <w:tcBorders>
              <w:top w:val="nil"/>
              <w:left w:val="nil"/>
              <w:bottom w:val="single" w:sz="4" w:space="0" w:color="auto"/>
              <w:right w:val="single" w:sz="4" w:space="0" w:color="auto"/>
            </w:tcBorders>
            <w:shd w:val="clear" w:color="auto" w:fill="auto"/>
            <w:vAlign w:val="center"/>
            <w:hideMark/>
          </w:tcPr>
          <w:p w14:paraId="00A3DB4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8 640</w:t>
            </w:r>
          </w:p>
        </w:tc>
        <w:tc>
          <w:tcPr>
            <w:tcW w:w="941" w:type="dxa"/>
            <w:tcBorders>
              <w:top w:val="nil"/>
              <w:left w:val="nil"/>
              <w:bottom w:val="single" w:sz="4" w:space="0" w:color="auto"/>
              <w:right w:val="single" w:sz="4" w:space="0" w:color="auto"/>
            </w:tcBorders>
            <w:shd w:val="clear" w:color="auto" w:fill="auto"/>
            <w:vAlign w:val="center"/>
            <w:hideMark/>
          </w:tcPr>
          <w:p w14:paraId="291F2CD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5 676</w:t>
            </w:r>
          </w:p>
        </w:tc>
        <w:tc>
          <w:tcPr>
            <w:tcW w:w="1271" w:type="dxa"/>
            <w:tcBorders>
              <w:top w:val="nil"/>
              <w:left w:val="nil"/>
              <w:bottom w:val="single" w:sz="4" w:space="0" w:color="auto"/>
              <w:right w:val="single" w:sz="4" w:space="0" w:color="auto"/>
            </w:tcBorders>
            <w:shd w:val="clear" w:color="auto" w:fill="auto"/>
            <w:vAlign w:val="center"/>
            <w:hideMark/>
          </w:tcPr>
          <w:p w14:paraId="2C0756D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3 642</w:t>
            </w:r>
          </w:p>
        </w:tc>
      </w:tr>
      <w:tr w:rsidR="0053576E" w:rsidRPr="004135FE" w14:paraId="6B7F788A"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357F7940"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765B5FF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tcBorders>
              <w:top w:val="nil"/>
              <w:left w:val="nil"/>
              <w:bottom w:val="single" w:sz="4" w:space="0" w:color="auto"/>
              <w:right w:val="single" w:sz="4" w:space="0" w:color="auto"/>
            </w:tcBorders>
            <w:shd w:val="clear" w:color="auto" w:fill="auto"/>
            <w:vAlign w:val="center"/>
            <w:hideMark/>
          </w:tcPr>
          <w:p w14:paraId="2A7E0C8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78" w:type="dxa"/>
            <w:tcBorders>
              <w:top w:val="nil"/>
              <w:left w:val="nil"/>
              <w:bottom w:val="single" w:sz="4" w:space="0" w:color="auto"/>
              <w:right w:val="single" w:sz="4" w:space="0" w:color="auto"/>
            </w:tcBorders>
            <w:shd w:val="clear" w:color="auto" w:fill="auto"/>
            <w:vAlign w:val="center"/>
            <w:hideMark/>
          </w:tcPr>
          <w:p w14:paraId="40B38A0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879" w:type="dxa"/>
            <w:tcBorders>
              <w:top w:val="nil"/>
              <w:left w:val="nil"/>
              <w:bottom w:val="single" w:sz="4" w:space="0" w:color="auto"/>
              <w:right w:val="single" w:sz="4" w:space="0" w:color="auto"/>
            </w:tcBorders>
            <w:shd w:val="clear" w:color="auto" w:fill="auto"/>
            <w:vAlign w:val="center"/>
            <w:hideMark/>
          </w:tcPr>
          <w:p w14:paraId="42C4345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879" w:type="dxa"/>
            <w:tcBorders>
              <w:top w:val="nil"/>
              <w:left w:val="nil"/>
              <w:bottom w:val="single" w:sz="4" w:space="0" w:color="auto"/>
              <w:right w:val="single" w:sz="4" w:space="0" w:color="auto"/>
            </w:tcBorders>
            <w:shd w:val="clear" w:color="auto" w:fill="auto"/>
            <w:vAlign w:val="center"/>
            <w:hideMark/>
          </w:tcPr>
          <w:p w14:paraId="7C18039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nil"/>
              <w:left w:val="nil"/>
              <w:bottom w:val="single" w:sz="4" w:space="0" w:color="auto"/>
              <w:right w:val="single" w:sz="4" w:space="0" w:color="auto"/>
            </w:tcBorders>
            <w:shd w:val="clear" w:color="auto" w:fill="auto"/>
            <w:vAlign w:val="center"/>
            <w:hideMark/>
          </w:tcPr>
          <w:p w14:paraId="404E442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nil"/>
              <w:left w:val="nil"/>
              <w:bottom w:val="single" w:sz="4" w:space="0" w:color="auto"/>
              <w:right w:val="single" w:sz="4" w:space="0" w:color="auto"/>
            </w:tcBorders>
            <w:shd w:val="clear" w:color="auto" w:fill="auto"/>
            <w:vAlign w:val="center"/>
            <w:hideMark/>
          </w:tcPr>
          <w:p w14:paraId="1599113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nil"/>
              <w:left w:val="nil"/>
              <w:bottom w:val="single" w:sz="4" w:space="0" w:color="auto"/>
              <w:right w:val="single" w:sz="4" w:space="0" w:color="auto"/>
            </w:tcBorders>
            <w:shd w:val="clear" w:color="auto" w:fill="auto"/>
            <w:vAlign w:val="center"/>
            <w:hideMark/>
          </w:tcPr>
          <w:p w14:paraId="2C353EC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nil"/>
              <w:left w:val="nil"/>
              <w:bottom w:val="single" w:sz="4" w:space="0" w:color="auto"/>
              <w:right w:val="single" w:sz="4" w:space="0" w:color="auto"/>
            </w:tcBorders>
            <w:shd w:val="clear" w:color="auto" w:fill="auto"/>
            <w:vAlign w:val="center"/>
            <w:hideMark/>
          </w:tcPr>
          <w:p w14:paraId="11B6E23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nil"/>
              <w:left w:val="nil"/>
              <w:bottom w:val="single" w:sz="4" w:space="0" w:color="auto"/>
              <w:right w:val="single" w:sz="4" w:space="0" w:color="auto"/>
            </w:tcBorders>
            <w:shd w:val="clear" w:color="auto" w:fill="auto"/>
            <w:vAlign w:val="center"/>
            <w:hideMark/>
          </w:tcPr>
          <w:p w14:paraId="3011241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nil"/>
              <w:left w:val="nil"/>
              <w:bottom w:val="single" w:sz="4" w:space="0" w:color="auto"/>
              <w:right w:val="single" w:sz="4" w:space="0" w:color="auto"/>
            </w:tcBorders>
            <w:shd w:val="clear" w:color="auto" w:fill="auto"/>
            <w:vAlign w:val="center"/>
            <w:hideMark/>
          </w:tcPr>
          <w:p w14:paraId="1CA30EA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nil"/>
              <w:left w:val="nil"/>
              <w:bottom w:val="single" w:sz="4" w:space="0" w:color="auto"/>
              <w:right w:val="single" w:sz="4" w:space="0" w:color="auto"/>
            </w:tcBorders>
            <w:shd w:val="clear" w:color="auto" w:fill="auto"/>
            <w:vAlign w:val="center"/>
            <w:hideMark/>
          </w:tcPr>
          <w:p w14:paraId="367502C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41" w:type="dxa"/>
            <w:tcBorders>
              <w:top w:val="nil"/>
              <w:left w:val="nil"/>
              <w:bottom w:val="single" w:sz="4" w:space="0" w:color="auto"/>
              <w:right w:val="single" w:sz="4" w:space="0" w:color="auto"/>
            </w:tcBorders>
            <w:shd w:val="clear" w:color="auto" w:fill="auto"/>
            <w:vAlign w:val="center"/>
            <w:hideMark/>
          </w:tcPr>
          <w:p w14:paraId="41F7EF9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271" w:type="dxa"/>
            <w:tcBorders>
              <w:top w:val="nil"/>
              <w:left w:val="nil"/>
              <w:bottom w:val="single" w:sz="4" w:space="0" w:color="auto"/>
              <w:right w:val="single" w:sz="4" w:space="0" w:color="auto"/>
            </w:tcBorders>
            <w:shd w:val="clear" w:color="auto" w:fill="auto"/>
            <w:vAlign w:val="center"/>
            <w:hideMark/>
          </w:tcPr>
          <w:p w14:paraId="5FAF849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r>
      <w:tr w:rsidR="0053576E" w:rsidRPr="004135FE" w14:paraId="69D1657A"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1440297E"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7C8474D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tcBorders>
              <w:top w:val="nil"/>
              <w:left w:val="nil"/>
              <w:bottom w:val="single" w:sz="4" w:space="0" w:color="auto"/>
              <w:right w:val="single" w:sz="4" w:space="0" w:color="auto"/>
            </w:tcBorders>
            <w:shd w:val="clear" w:color="auto" w:fill="auto"/>
            <w:vAlign w:val="center"/>
            <w:hideMark/>
          </w:tcPr>
          <w:p w14:paraId="0083C43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78" w:type="dxa"/>
            <w:tcBorders>
              <w:top w:val="nil"/>
              <w:left w:val="nil"/>
              <w:bottom w:val="single" w:sz="4" w:space="0" w:color="auto"/>
              <w:right w:val="single" w:sz="4" w:space="0" w:color="auto"/>
            </w:tcBorders>
            <w:shd w:val="clear" w:color="auto" w:fill="auto"/>
            <w:vAlign w:val="center"/>
            <w:hideMark/>
          </w:tcPr>
          <w:p w14:paraId="5A0C012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1 292</w:t>
            </w:r>
          </w:p>
        </w:tc>
        <w:tc>
          <w:tcPr>
            <w:tcW w:w="879" w:type="dxa"/>
            <w:tcBorders>
              <w:top w:val="nil"/>
              <w:left w:val="nil"/>
              <w:bottom w:val="single" w:sz="4" w:space="0" w:color="auto"/>
              <w:right w:val="single" w:sz="4" w:space="0" w:color="auto"/>
            </w:tcBorders>
            <w:shd w:val="clear" w:color="auto" w:fill="auto"/>
            <w:vAlign w:val="center"/>
            <w:hideMark/>
          </w:tcPr>
          <w:p w14:paraId="1994CFF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6 156</w:t>
            </w:r>
          </w:p>
        </w:tc>
        <w:tc>
          <w:tcPr>
            <w:tcW w:w="879" w:type="dxa"/>
            <w:tcBorders>
              <w:top w:val="nil"/>
              <w:left w:val="nil"/>
              <w:bottom w:val="single" w:sz="4" w:space="0" w:color="auto"/>
              <w:right w:val="single" w:sz="4" w:space="0" w:color="auto"/>
            </w:tcBorders>
            <w:shd w:val="clear" w:color="auto" w:fill="auto"/>
            <w:vAlign w:val="center"/>
            <w:hideMark/>
          </w:tcPr>
          <w:p w14:paraId="7CFC299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7 742</w:t>
            </w:r>
          </w:p>
        </w:tc>
        <w:tc>
          <w:tcPr>
            <w:tcW w:w="941" w:type="dxa"/>
            <w:tcBorders>
              <w:top w:val="nil"/>
              <w:left w:val="nil"/>
              <w:bottom w:val="single" w:sz="4" w:space="0" w:color="auto"/>
              <w:right w:val="single" w:sz="4" w:space="0" w:color="auto"/>
            </w:tcBorders>
            <w:shd w:val="clear" w:color="auto" w:fill="auto"/>
            <w:vAlign w:val="center"/>
            <w:hideMark/>
          </w:tcPr>
          <w:p w14:paraId="70D5BD9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6 743</w:t>
            </w:r>
          </w:p>
        </w:tc>
        <w:tc>
          <w:tcPr>
            <w:tcW w:w="941" w:type="dxa"/>
            <w:tcBorders>
              <w:top w:val="nil"/>
              <w:left w:val="nil"/>
              <w:bottom w:val="single" w:sz="4" w:space="0" w:color="auto"/>
              <w:right w:val="single" w:sz="4" w:space="0" w:color="auto"/>
            </w:tcBorders>
            <w:shd w:val="clear" w:color="auto" w:fill="auto"/>
            <w:vAlign w:val="center"/>
            <w:hideMark/>
          </w:tcPr>
          <w:p w14:paraId="52D7E57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5 159</w:t>
            </w:r>
          </w:p>
        </w:tc>
        <w:tc>
          <w:tcPr>
            <w:tcW w:w="941" w:type="dxa"/>
            <w:tcBorders>
              <w:top w:val="nil"/>
              <w:left w:val="nil"/>
              <w:bottom w:val="single" w:sz="4" w:space="0" w:color="auto"/>
              <w:right w:val="single" w:sz="4" w:space="0" w:color="auto"/>
            </w:tcBorders>
            <w:shd w:val="clear" w:color="auto" w:fill="auto"/>
            <w:vAlign w:val="center"/>
            <w:hideMark/>
          </w:tcPr>
          <w:p w14:paraId="3F8AA6F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2 622</w:t>
            </w:r>
          </w:p>
        </w:tc>
        <w:tc>
          <w:tcPr>
            <w:tcW w:w="941" w:type="dxa"/>
            <w:tcBorders>
              <w:top w:val="nil"/>
              <w:left w:val="nil"/>
              <w:bottom w:val="single" w:sz="4" w:space="0" w:color="auto"/>
              <w:right w:val="single" w:sz="4" w:space="0" w:color="auto"/>
            </w:tcBorders>
            <w:shd w:val="clear" w:color="auto" w:fill="auto"/>
            <w:vAlign w:val="center"/>
            <w:hideMark/>
          </w:tcPr>
          <w:p w14:paraId="453486C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15 940</w:t>
            </w:r>
          </w:p>
        </w:tc>
        <w:tc>
          <w:tcPr>
            <w:tcW w:w="941" w:type="dxa"/>
            <w:tcBorders>
              <w:top w:val="nil"/>
              <w:left w:val="nil"/>
              <w:bottom w:val="single" w:sz="4" w:space="0" w:color="auto"/>
              <w:right w:val="single" w:sz="4" w:space="0" w:color="auto"/>
            </w:tcBorders>
            <w:shd w:val="clear" w:color="auto" w:fill="auto"/>
            <w:vAlign w:val="center"/>
            <w:hideMark/>
          </w:tcPr>
          <w:p w14:paraId="0B22945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15 510</w:t>
            </w:r>
          </w:p>
        </w:tc>
        <w:tc>
          <w:tcPr>
            <w:tcW w:w="941" w:type="dxa"/>
            <w:tcBorders>
              <w:top w:val="nil"/>
              <w:left w:val="nil"/>
              <w:bottom w:val="single" w:sz="4" w:space="0" w:color="auto"/>
              <w:right w:val="single" w:sz="4" w:space="0" w:color="auto"/>
            </w:tcBorders>
            <w:shd w:val="clear" w:color="auto" w:fill="auto"/>
            <w:vAlign w:val="center"/>
            <w:hideMark/>
          </w:tcPr>
          <w:p w14:paraId="48A0F17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11 711</w:t>
            </w:r>
          </w:p>
        </w:tc>
        <w:tc>
          <w:tcPr>
            <w:tcW w:w="941" w:type="dxa"/>
            <w:tcBorders>
              <w:top w:val="nil"/>
              <w:left w:val="nil"/>
              <w:bottom w:val="single" w:sz="4" w:space="0" w:color="auto"/>
              <w:right w:val="single" w:sz="4" w:space="0" w:color="auto"/>
            </w:tcBorders>
            <w:shd w:val="clear" w:color="auto" w:fill="auto"/>
            <w:vAlign w:val="center"/>
            <w:hideMark/>
          </w:tcPr>
          <w:p w14:paraId="615B6C3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11 117</w:t>
            </w:r>
          </w:p>
        </w:tc>
        <w:tc>
          <w:tcPr>
            <w:tcW w:w="941" w:type="dxa"/>
            <w:tcBorders>
              <w:top w:val="nil"/>
              <w:left w:val="nil"/>
              <w:bottom w:val="single" w:sz="4" w:space="0" w:color="auto"/>
              <w:right w:val="single" w:sz="4" w:space="0" w:color="auto"/>
            </w:tcBorders>
            <w:shd w:val="clear" w:color="auto" w:fill="auto"/>
            <w:vAlign w:val="center"/>
            <w:hideMark/>
          </w:tcPr>
          <w:p w14:paraId="0B5376F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6 239</w:t>
            </w:r>
          </w:p>
        </w:tc>
        <w:tc>
          <w:tcPr>
            <w:tcW w:w="1271" w:type="dxa"/>
            <w:tcBorders>
              <w:top w:val="nil"/>
              <w:left w:val="nil"/>
              <w:bottom w:val="single" w:sz="4" w:space="0" w:color="auto"/>
              <w:right w:val="single" w:sz="4" w:space="0" w:color="auto"/>
            </w:tcBorders>
            <w:shd w:val="clear" w:color="auto" w:fill="auto"/>
            <w:vAlign w:val="center"/>
            <w:hideMark/>
          </w:tcPr>
          <w:p w14:paraId="1C07944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3 341</w:t>
            </w:r>
          </w:p>
        </w:tc>
      </w:tr>
      <w:tr w:rsidR="0053576E" w:rsidRPr="004135FE" w14:paraId="5706A1C5" w14:textId="77777777" w:rsidTr="00680E37">
        <w:trPr>
          <w:cantSplit/>
          <w:trHeight w:val="227"/>
        </w:trPr>
        <w:tc>
          <w:tcPr>
            <w:tcW w:w="553"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212EDDC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2015год</w:t>
            </w:r>
          </w:p>
        </w:tc>
        <w:tc>
          <w:tcPr>
            <w:tcW w:w="373" w:type="dxa"/>
            <w:tcBorders>
              <w:top w:val="nil"/>
              <w:left w:val="nil"/>
              <w:bottom w:val="single" w:sz="4" w:space="0" w:color="auto"/>
              <w:right w:val="single" w:sz="4" w:space="0" w:color="auto"/>
            </w:tcBorders>
            <w:shd w:val="clear" w:color="auto" w:fill="auto"/>
            <w:vAlign w:val="bottom"/>
            <w:hideMark/>
          </w:tcPr>
          <w:p w14:paraId="1DFFCB3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tcBorders>
              <w:top w:val="nil"/>
              <w:left w:val="nil"/>
              <w:bottom w:val="single" w:sz="4" w:space="0" w:color="auto"/>
              <w:right w:val="single" w:sz="4" w:space="0" w:color="auto"/>
            </w:tcBorders>
            <w:shd w:val="clear" w:color="auto" w:fill="auto"/>
            <w:vAlign w:val="center"/>
            <w:hideMark/>
          </w:tcPr>
          <w:p w14:paraId="7923598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78" w:type="dxa"/>
            <w:tcBorders>
              <w:top w:val="nil"/>
              <w:left w:val="nil"/>
              <w:bottom w:val="single" w:sz="4" w:space="0" w:color="auto"/>
              <w:right w:val="single" w:sz="4" w:space="0" w:color="auto"/>
            </w:tcBorders>
            <w:shd w:val="clear" w:color="auto" w:fill="auto"/>
            <w:vAlign w:val="center"/>
            <w:hideMark/>
          </w:tcPr>
          <w:p w14:paraId="5C2EE03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1 750</w:t>
            </w:r>
          </w:p>
        </w:tc>
        <w:tc>
          <w:tcPr>
            <w:tcW w:w="879" w:type="dxa"/>
            <w:tcBorders>
              <w:top w:val="nil"/>
              <w:left w:val="nil"/>
              <w:bottom w:val="single" w:sz="4" w:space="0" w:color="auto"/>
              <w:right w:val="single" w:sz="4" w:space="0" w:color="auto"/>
            </w:tcBorders>
            <w:shd w:val="clear" w:color="auto" w:fill="auto"/>
            <w:vAlign w:val="center"/>
            <w:hideMark/>
          </w:tcPr>
          <w:p w14:paraId="0D5BA8B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8 309</w:t>
            </w:r>
          </w:p>
        </w:tc>
        <w:tc>
          <w:tcPr>
            <w:tcW w:w="879" w:type="dxa"/>
            <w:tcBorders>
              <w:top w:val="nil"/>
              <w:left w:val="nil"/>
              <w:bottom w:val="single" w:sz="4" w:space="0" w:color="auto"/>
              <w:right w:val="single" w:sz="4" w:space="0" w:color="auto"/>
            </w:tcBorders>
            <w:shd w:val="clear" w:color="auto" w:fill="auto"/>
            <w:vAlign w:val="center"/>
            <w:hideMark/>
          </w:tcPr>
          <w:p w14:paraId="10646A6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9 157</w:t>
            </w:r>
          </w:p>
        </w:tc>
        <w:tc>
          <w:tcPr>
            <w:tcW w:w="941" w:type="dxa"/>
            <w:tcBorders>
              <w:top w:val="nil"/>
              <w:left w:val="nil"/>
              <w:bottom w:val="single" w:sz="4" w:space="0" w:color="auto"/>
              <w:right w:val="single" w:sz="4" w:space="0" w:color="auto"/>
            </w:tcBorders>
            <w:shd w:val="clear" w:color="auto" w:fill="auto"/>
            <w:vAlign w:val="center"/>
            <w:hideMark/>
          </w:tcPr>
          <w:p w14:paraId="775360F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6 215</w:t>
            </w:r>
          </w:p>
        </w:tc>
        <w:tc>
          <w:tcPr>
            <w:tcW w:w="941" w:type="dxa"/>
            <w:tcBorders>
              <w:top w:val="nil"/>
              <w:left w:val="nil"/>
              <w:bottom w:val="single" w:sz="4" w:space="0" w:color="auto"/>
              <w:right w:val="single" w:sz="4" w:space="0" w:color="auto"/>
            </w:tcBorders>
            <w:shd w:val="clear" w:color="auto" w:fill="auto"/>
            <w:vAlign w:val="center"/>
            <w:hideMark/>
          </w:tcPr>
          <w:p w14:paraId="54BBB24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4 300</w:t>
            </w:r>
          </w:p>
        </w:tc>
        <w:tc>
          <w:tcPr>
            <w:tcW w:w="941" w:type="dxa"/>
            <w:tcBorders>
              <w:top w:val="nil"/>
              <w:left w:val="nil"/>
              <w:bottom w:val="single" w:sz="4" w:space="0" w:color="auto"/>
              <w:right w:val="single" w:sz="4" w:space="0" w:color="auto"/>
            </w:tcBorders>
            <w:shd w:val="clear" w:color="auto" w:fill="auto"/>
            <w:vAlign w:val="center"/>
            <w:hideMark/>
          </w:tcPr>
          <w:p w14:paraId="3FB24F3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4 845</w:t>
            </w:r>
          </w:p>
        </w:tc>
        <w:tc>
          <w:tcPr>
            <w:tcW w:w="941" w:type="dxa"/>
            <w:tcBorders>
              <w:top w:val="nil"/>
              <w:left w:val="nil"/>
              <w:bottom w:val="single" w:sz="4" w:space="0" w:color="auto"/>
              <w:right w:val="single" w:sz="4" w:space="0" w:color="auto"/>
            </w:tcBorders>
            <w:shd w:val="clear" w:color="auto" w:fill="auto"/>
            <w:vAlign w:val="center"/>
            <w:hideMark/>
          </w:tcPr>
          <w:p w14:paraId="3696B90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18 403</w:t>
            </w:r>
          </w:p>
        </w:tc>
        <w:tc>
          <w:tcPr>
            <w:tcW w:w="941" w:type="dxa"/>
            <w:tcBorders>
              <w:top w:val="nil"/>
              <w:left w:val="nil"/>
              <w:bottom w:val="single" w:sz="4" w:space="0" w:color="auto"/>
              <w:right w:val="single" w:sz="4" w:space="0" w:color="auto"/>
            </w:tcBorders>
            <w:shd w:val="clear" w:color="auto" w:fill="auto"/>
            <w:vAlign w:val="center"/>
            <w:hideMark/>
          </w:tcPr>
          <w:p w14:paraId="4F44B0D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15 001</w:t>
            </w:r>
          </w:p>
        </w:tc>
        <w:tc>
          <w:tcPr>
            <w:tcW w:w="941" w:type="dxa"/>
            <w:tcBorders>
              <w:top w:val="nil"/>
              <w:left w:val="nil"/>
              <w:bottom w:val="single" w:sz="4" w:space="0" w:color="auto"/>
              <w:right w:val="single" w:sz="4" w:space="0" w:color="auto"/>
            </w:tcBorders>
            <w:shd w:val="clear" w:color="auto" w:fill="auto"/>
            <w:vAlign w:val="center"/>
            <w:hideMark/>
          </w:tcPr>
          <w:p w14:paraId="1940C82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12 469</w:t>
            </w:r>
          </w:p>
        </w:tc>
        <w:tc>
          <w:tcPr>
            <w:tcW w:w="941" w:type="dxa"/>
            <w:tcBorders>
              <w:top w:val="nil"/>
              <w:left w:val="nil"/>
              <w:bottom w:val="single" w:sz="4" w:space="0" w:color="auto"/>
              <w:right w:val="single" w:sz="4" w:space="0" w:color="auto"/>
            </w:tcBorders>
            <w:shd w:val="clear" w:color="auto" w:fill="auto"/>
            <w:vAlign w:val="center"/>
            <w:hideMark/>
          </w:tcPr>
          <w:p w14:paraId="654C364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11 008</w:t>
            </w:r>
          </w:p>
        </w:tc>
        <w:tc>
          <w:tcPr>
            <w:tcW w:w="941" w:type="dxa"/>
            <w:tcBorders>
              <w:top w:val="nil"/>
              <w:left w:val="nil"/>
              <w:bottom w:val="single" w:sz="4" w:space="0" w:color="auto"/>
              <w:right w:val="single" w:sz="4" w:space="0" w:color="auto"/>
            </w:tcBorders>
            <w:shd w:val="clear" w:color="auto" w:fill="auto"/>
            <w:vAlign w:val="center"/>
            <w:hideMark/>
          </w:tcPr>
          <w:p w14:paraId="37CBD42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8 052</w:t>
            </w:r>
          </w:p>
        </w:tc>
        <w:tc>
          <w:tcPr>
            <w:tcW w:w="1271" w:type="dxa"/>
            <w:tcBorders>
              <w:top w:val="nil"/>
              <w:left w:val="nil"/>
              <w:bottom w:val="single" w:sz="4" w:space="0" w:color="auto"/>
              <w:right w:val="single" w:sz="4" w:space="0" w:color="auto"/>
            </w:tcBorders>
            <w:shd w:val="clear" w:color="auto" w:fill="auto"/>
            <w:vAlign w:val="center"/>
            <w:hideMark/>
          </w:tcPr>
          <w:p w14:paraId="2197C8F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5 423</w:t>
            </w:r>
          </w:p>
        </w:tc>
      </w:tr>
      <w:tr w:rsidR="0053576E" w:rsidRPr="004135FE" w14:paraId="6086A76E"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3478F92E"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1FFC21C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tcBorders>
              <w:top w:val="nil"/>
              <w:left w:val="nil"/>
              <w:bottom w:val="single" w:sz="4" w:space="0" w:color="auto"/>
              <w:right w:val="single" w:sz="4" w:space="0" w:color="auto"/>
            </w:tcBorders>
            <w:shd w:val="clear" w:color="auto" w:fill="auto"/>
            <w:vAlign w:val="center"/>
            <w:hideMark/>
          </w:tcPr>
          <w:p w14:paraId="26A9388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78" w:type="dxa"/>
            <w:tcBorders>
              <w:top w:val="nil"/>
              <w:left w:val="nil"/>
              <w:bottom w:val="single" w:sz="4" w:space="0" w:color="auto"/>
              <w:right w:val="single" w:sz="4" w:space="0" w:color="auto"/>
            </w:tcBorders>
            <w:shd w:val="clear" w:color="auto" w:fill="auto"/>
            <w:vAlign w:val="center"/>
            <w:hideMark/>
          </w:tcPr>
          <w:p w14:paraId="44EB177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2 731</w:t>
            </w:r>
          </w:p>
        </w:tc>
        <w:tc>
          <w:tcPr>
            <w:tcW w:w="879" w:type="dxa"/>
            <w:tcBorders>
              <w:top w:val="nil"/>
              <w:left w:val="nil"/>
              <w:bottom w:val="single" w:sz="4" w:space="0" w:color="auto"/>
              <w:right w:val="single" w:sz="4" w:space="0" w:color="auto"/>
            </w:tcBorders>
            <w:shd w:val="clear" w:color="auto" w:fill="auto"/>
            <w:vAlign w:val="center"/>
            <w:hideMark/>
          </w:tcPr>
          <w:p w14:paraId="09F1254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10 379</w:t>
            </w:r>
          </w:p>
        </w:tc>
        <w:tc>
          <w:tcPr>
            <w:tcW w:w="879" w:type="dxa"/>
            <w:tcBorders>
              <w:top w:val="nil"/>
              <w:left w:val="nil"/>
              <w:bottom w:val="single" w:sz="4" w:space="0" w:color="auto"/>
              <w:right w:val="single" w:sz="4" w:space="0" w:color="auto"/>
            </w:tcBorders>
            <w:shd w:val="clear" w:color="auto" w:fill="auto"/>
            <w:vAlign w:val="center"/>
            <w:hideMark/>
          </w:tcPr>
          <w:p w14:paraId="0330BD5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10 470</w:t>
            </w:r>
          </w:p>
        </w:tc>
        <w:tc>
          <w:tcPr>
            <w:tcW w:w="941" w:type="dxa"/>
            <w:tcBorders>
              <w:top w:val="nil"/>
              <w:left w:val="nil"/>
              <w:bottom w:val="single" w:sz="4" w:space="0" w:color="auto"/>
              <w:right w:val="single" w:sz="4" w:space="0" w:color="auto"/>
            </w:tcBorders>
            <w:shd w:val="clear" w:color="auto" w:fill="auto"/>
            <w:vAlign w:val="center"/>
            <w:hideMark/>
          </w:tcPr>
          <w:p w14:paraId="7FDD49B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7 489</w:t>
            </w:r>
          </w:p>
        </w:tc>
        <w:tc>
          <w:tcPr>
            <w:tcW w:w="941" w:type="dxa"/>
            <w:tcBorders>
              <w:top w:val="nil"/>
              <w:left w:val="nil"/>
              <w:bottom w:val="single" w:sz="4" w:space="0" w:color="auto"/>
              <w:right w:val="single" w:sz="4" w:space="0" w:color="auto"/>
            </w:tcBorders>
            <w:shd w:val="clear" w:color="auto" w:fill="auto"/>
            <w:vAlign w:val="center"/>
            <w:hideMark/>
          </w:tcPr>
          <w:p w14:paraId="6761BC6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3 228</w:t>
            </w:r>
          </w:p>
        </w:tc>
        <w:tc>
          <w:tcPr>
            <w:tcW w:w="941" w:type="dxa"/>
            <w:tcBorders>
              <w:top w:val="nil"/>
              <w:left w:val="nil"/>
              <w:bottom w:val="single" w:sz="4" w:space="0" w:color="auto"/>
              <w:right w:val="single" w:sz="4" w:space="0" w:color="auto"/>
            </w:tcBorders>
            <w:shd w:val="clear" w:color="auto" w:fill="auto"/>
            <w:vAlign w:val="center"/>
            <w:hideMark/>
          </w:tcPr>
          <w:p w14:paraId="2B85EB4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1 524</w:t>
            </w:r>
          </w:p>
        </w:tc>
        <w:tc>
          <w:tcPr>
            <w:tcW w:w="941" w:type="dxa"/>
            <w:tcBorders>
              <w:top w:val="nil"/>
              <w:left w:val="nil"/>
              <w:bottom w:val="single" w:sz="4" w:space="0" w:color="auto"/>
              <w:right w:val="single" w:sz="4" w:space="0" w:color="auto"/>
            </w:tcBorders>
            <w:shd w:val="clear" w:color="auto" w:fill="auto"/>
            <w:vAlign w:val="center"/>
            <w:hideMark/>
          </w:tcPr>
          <w:p w14:paraId="4B9FC22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12 612</w:t>
            </w:r>
          </w:p>
        </w:tc>
        <w:tc>
          <w:tcPr>
            <w:tcW w:w="941" w:type="dxa"/>
            <w:tcBorders>
              <w:top w:val="nil"/>
              <w:left w:val="nil"/>
              <w:bottom w:val="single" w:sz="4" w:space="0" w:color="auto"/>
              <w:right w:val="single" w:sz="4" w:space="0" w:color="auto"/>
            </w:tcBorders>
            <w:shd w:val="clear" w:color="auto" w:fill="auto"/>
            <w:vAlign w:val="center"/>
            <w:hideMark/>
          </w:tcPr>
          <w:p w14:paraId="4AE9522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13 100</w:t>
            </w:r>
          </w:p>
        </w:tc>
        <w:tc>
          <w:tcPr>
            <w:tcW w:w="941" w:type="dxa"/>
            <w:tcBorders>
              <w:top w:val="nil"/>
              <w:left w:val="nil"/>
              <w:bottom w:val="single" w:sz="4" w:space="0" w:color="auto"/>
              <w:right w:val="single" w:sz="4" w:space="0" w:color="auto"/>
            </w:tcBorders>
            <w:shd w:val="clear" w:color="auto" w:fill="auto"/>
            <w:vAlign w:val="center"/>
            <w:hideMark/>
          </w:tcPr>
          <w:p w14:paraId="74025EA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9 615</w:t>
            </w:r>
          </w:p>
        </w:tc>
        <w:tc>
          <w:tcPr>
            <w:tcW w:w="941" w:type="dxa"/>
            <w:tcBorders>
              <w:top w:val="nil"/>
              <w:left w:val="nil"/>
              <w:bottom w:val="single" w:sz="4" w:space="0" w:color="auto"/>
              <w:right w:val="single" w:sz="4" w:space="0" w:color="auto"/>
            </w:tcBorders>
            <w:shd w:val="clear" w:color="auto" w:fill="auto"/>
            <w:vAlign w:val="center"/>
            <w:hideMark/>
          </w:tcPr>
          <w:p w14:paraId="19F6833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7 240</w:t>
            </w:r>
          </w:p>
        </w:tc>
        <w:tc>
          <w:tcPr>
            <w:tcW w:w="941" w:type="dxa"/>
            <w:tcBorders>
              <w:top w:val="nil"/>
              <w:left w:val="nil"/>
              <w:bottom w:val="single" w:sz="4" w:space="0" w:color="auto"/>
              <w:right w:val="single" w:sz="4" w:space="0" w:color="auto"/>
            </w:tcBorders>
            <w:shd w:val="clear" w:color="auto" w:fill="auto"/>
            <w:vAlign w:val="center"/>
            <w:hideMark/>
          </w:tcPr>
          <w:p w14:paraId="2113A3C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3 328</w:t>
            </w:r>
          </w:p>
        </w:tc>
        <w:tc>
          <w:tcPr>
            <w:tcW w:w="1271" w:type="dxa"/>
            <w:tcBorders>
              <w:top w:val="nil"/>
              <w:left w:val="nil"/>
              <w:bottom w:val="single" w:sz="4" w:space="0" w:color="auto"/>
              <w:right w:val="single" w:sz="4" w:space="0" w:color="auto"/>
            </w:tcBorders>
            <w:shd w:val="clear" w:color="auto" w:fill="auto"/>
            <w:vAlign w:val="center"/>
            <w:hideMark/>
          </w:tcPr>
          <w:p w14:paraId="097ECCE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1 659</w:t>
            </w:r>
          </w:p>
        </w:tc>
      </w:tr>
      <w:tr w:rsidR="0053576E" w:rsidRPr="004135FE" w14:paraId="380AD70D"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28D2230B"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20972F0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tcBorders>
              <w:top w:val="nil"/>
              <w:left w:val="nil"/>
              <w:bottom w:val="single" w:sz="4" w:space="0" w:color="auto"/>
              <w:right w:val="single" w:sz="4" w:space="0" w:color="auto"/>
            </w:tcBorders>
            <w:shd w:val="clear" w:color="auto" w:fill="auto"/>
            <w:vAlign w:val="center"/>
            <w:hideMark/>
          </w:tcPr>
          <w:p w14:paraId="62F48ED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78" w:type="dxa"/>
            <w:tcBorders>
              <w:top w:val="nil"/>
              <w:left w:val="nil"/>
              <w:bottom w:val="single" w:sz="4" w:space="0" w:color="auto"/>
              <w:right w:val="single" w:sz="4" w:space="0" w:color="auto"/>
            </w:tcBorders>
            <w:shd w:val="clear" w:color="auto" w:fill="auto"/>
            <w:vAlign w:val="center"/>
            <w:hideMark/>
          </w:tcPr>
          <w:p w14:paraId="5B19944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3 180</w:t>
            </w:r>
          </w:p>
        </w:tc>
        <w:tc>
          <w:tcPr>
            <w:tcW w:w="879" w:type="dxa"/>
            <w:tcBorders>
              <w:top w:val="nil"/>
              <w:left w:val="nil"/>
              <w:bottom w:val="single" w:sz="4" w:space="0" w:color="auto"/>
              <w:right w:val="single" w:sz="4" w:space="0" w:color="auto"/>
            </w:tcBorders>
            <w:shd w:val="clear" w:color="auto" w:fill="auto"/>
            <w:vAlign w:val="center"/>
            <w:hideMark/>
          </w:tcPr>
          <w:p w14:paraId="7F59E8B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12 542</w:t>
            </w:r>
          </w:p>
        </w:tc>
        <w:tc>
          <w:tcPr>
            <w:tcW w:w="879" w:type="dxa"/>
            <w:tcBorders>
              <w:top w:val="nil"/>
              <w:left w:val="nil"/>
              <w:bottom w:val="single" w:sz="4" w:space="0" w:color="auto"/>
              <w:right w:val="single" w:sz="4" w:space="0" w:color="auto"/>
            </w:tcBorders>
            <w:shd w:val="clear" w:color="auto" w:fill="auto"/>
            <w:vAlign w:val="center"/>
            <w:hideMark/>
          </w:tcPr>
          <w:p w14:paraId="3740AF0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12 999</w:t>
            </w:r>
          </w:p>
        </w:tc>
        <w:tc>
          <w:tcPr>
            <w:tcW w:w="941" w:type="dxa"/>
            <w:tcBorders>
              <w:top w:val="nil"/>
              <w:left w:val="nil"/>
              <w:bottom w:val="single" w:sz="4" w:space="0" w:color="auto"/>
              <w:right w:val="single" w:sz="4" w:space="0" w:color="auto"/>
            </w:tcBorders>
            <w:shd w:val="clear" w:color="auto" w:fill="auto"/>
            <w:vAlign w:val="center"/>
            <w:hideMark/>
          </w:tcPr>
          <w:p w14:paraId="4787B2E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8 934</w:t>
            </w:r>
          </w:p>
        </w:tc>
        <w:tc>
          <w:tcPr>
            <w:tcW w:w="941" w:type="dxa"/>
            <w:tcBorders>
              <w:top w:val="nil"/>
              <w:left w:val="nil"/>
              <w:bottom w:val="single" w:sz="4" w:space="0" w:color="auto"/>
              <w:right w:val="single" w:sz="4" w:space="0" w:color="auto"/>
            </w:tcBorders>
            <w:shd w:val="clear" w:color="auto" w:fill="auto"/>
            <w:vAlign w:val="center"/>
            <w:hideMark/>
          </w:tcPr>
          <w:p w14:paraId="3BE812F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4 469</w:t>
            </w:r>
          </w:p>
        </w:tc>
        <w:tc>
          <w:tcPr>
            <w:tcW w:w="941" w:type="dxa"/>
            <w:tcBorders>
              <w:top w:val="nil"/>
              <w:left w:val="nil"/>
              <w:bottom w:val="single" w:sz="4" w:space="0" w:color="auto"/>
              <w:right w:val="single" w:sz="4" w:space="0" w:color="auto"/>
            </w:tcBorders>
            <w:shd w:val="clear" w:color="auto" w:fill="auto"/>
            <w:vAlign w:val="center"/>
            <w:hideMark/>
          </w:tcPr>
          <w:p w14:paraId="512BE0D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2 332</w:t>
            </w:r>
          </w:p>
        </w:tc>
        <w:tc>
          <w:tcPr>
            <w:tcW w:w="941" w:type="dxa"/>
            <w:tcBorders>
              <w:top w:val="nil"/>
              <w:left w:val="nil"/>
              <w:bottom w:val="single" w:sz="4" w:space="0" w:color="auto"/>
              <w:right w:val="single" w:sz="4" w:space="0" w:color="auto"/>
            </w:tcBorders>
            <w:shd w:val="clear" w:color="auto" w:fill="auto"/>
            <w:vAlign w:val="center"/>
            <w:hideMark/>
          </w:tcPr>
          <w:p w14:paraId="1B5DC63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17 272</w:t>
            </w:r>
          </w:p>
        </w:tc>
        <w:tc>
          <w:tcPr>
            <w:tcW w:w="941" w:type="dxa"/>
            <w:tcBorders>
              <w:top w:val="nil"/>
              <w:left w:val="nil"/>
              <w:bottom w:val="single" w:sz="4" w:space="0" w:color="auto"/>
              <w:right w:val="single" w:sz="4" w:space="0" w:color="auto"/>
            </w:tcBorders>
            <w:shd w:val="clear" w:color="auto" w:fill="auto"/>
            <w:vAlign w:val="center"/>
            <w:hideMark/>
          </w:tcPr>
          <w:p w14:paraId="778AF11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17 066</w:t>
            </w:r>
          </w:p>
        </w:tc>
        <w:tc>
          <w:tcPr>
            <w:tcW w:w="941" w:type="dxa"/>
            <w:tcBorders>
              <w:top w:val="nil"/>
              <w:left w:val="nil"/>
              <w:bottom w:val="single" w:sz="4" w:space="0" w:color="auto"/>
              <w:right w:val="single" w:sz="4" w:space="0" w:color="auto"/>
            </w:tcBorders>
            <w:shd w:val="clear" w:color="auto" w:fill="auto"/>
            <w:vAlign w:val="center"/>
            <w:hideMark/>
          </w:tcPr>
          <w:p w14:paraId="285004E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13 731</w:t>
            </w:r>
          </w:p>
        </w:tc>
        <w:tc>
          <w:tcPr>
            <w:tcW w:w="941" w:type="dxa"/>
            <w:tcBorders>
              <w:top w:val="nil"/>
              <w:left w:val="nil"/>
              <w:bottom w:val="single" w:sz="4" w:space="0" w:color="auto"/>
              <w:right w:val="single" w:sz="4" w:space="0" w:color="auto"/>
            </w:tcBorders>
            <w:shd w:val="clear" w:color="auto" w:fill="auto"/>
            <w:vAlign w:val="center"/>
            <w:hideMark/>
          </w:tcPr>
          <w:p w14:paraId="20D7F99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12 148</w:t>
            </w:r>
          </w:p>
        </w:tc>
        <w:tc>
          <w:tcPr>
            <w:tcW w:w="941" w:type="dxa"/>
            <w:tcBorders>
              <w:top w:val="nil"/>
              <w:left w:val="nil"/>
              <w:bottom w:val="single" w:sz="4" w:space="0" w:color="auto"/>
              <w:right w:val="single" w:sz="4" w:space="0" w:color="auto"/>
            </w:tcBorders>
            <w:shd w:val="clear" w:color="auto" w:fill="auto"/>
            <w:vAlign w:val="center"/>
            <w:hideMark/>
          </w:tcPr>
          <w:p w14:paraId="188EE52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7 796</w:t>
            </w:r>
          </w:p>
        </w:tc>
        <w:tc>
          <w:tcPr>
            <w:tcW w:w="1271" w:type="dxa"/>
            <w:tcBorders>
              <w:top w:val="nil"/>
              <w:left w:val="nil"/>
              <w:bottom w:val="single" w:sz="4" w:space="0" w:color="auto"/>
              <w:right w:val="single" w:sz="4" w:space="0" w:color="auto"/>
            </w:tcBorders>
            <w:shd w:val="clear" w:color="auto" w:fill="auto"/>
            <w:vAlign w:val="center"/>
            <w:hideMark/>
          </w:tcPr>
          <w:p w14:paraId="3CF9039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4 474</w:t>
            </w:r>
          </w:p>
        </w:tc>
      </w:tr>
      <w:tr w:rsidR="0053576E" w:rsidRPr="004135FE" w14:paraId="79A468CB"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12E8CD7D"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081FFDF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tcBorders>
              <w:top w:val="nil"/>
              <w:left w:val="nil"/>
              <w:bottom w:val="single" w:sz="4" w:space="0" w:color="auto"/>
              <w:right w:val="single" w:sz="4" w:space="0" w:color="auto"/>
            </w:tcBorders>
            <w:shd w:val="clear" w:color="auto" w:fill="auto"/>
            <w:vAlign w:val="center"/>
            <w:hideMark/>
          </w:tcPr>
          <w:p w14:paraId="4E5FBAF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78" w:type="dxa"/>
            <w:tcBorders>
              <w:top w:val="nil"/>
              <w:left w:val="nil"/>
              <w:bottom w:val="single" w:sz="4" w:space="0" w:color="auto"/>
              <w:right w:val="single" w:sz="4" w:space="0" w:color="auto"/>
            </w:tcBorders>
            <w:shd w:val="clear" w:color="auto" w:fill="auto"/>
            <w:vAlign w:val="center"/>
            <w:hideMark/>
          </w:tcPr>
          <w:p w14:paraId="49953AD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1 985</w:t>
            </w:r>
          </w:p>
        </w:tc>
        <w:tc>
          <w:tcPr>
            <w:tcW w:w="879" w:type="dxa"/>
            <w:tcBorders>
              <w:top w:val="nil"/>
              <w:left w:val="nil"/>
              <w:bottom w:val="single" w:sz="4" w:space="0" w:color="auto"/>
              <w:right w:val="single" w:sz="4" w:space="0" w:color="auto"/>
            </w:tcBorders>
            <w:shd w:val="clear" w:color="auto" w:fill="auto"/>
            <w:vAlign w:val="center"/>
            <w:hideMark/>
          </w:tcPr>
          <w:p w14:paraId="7CFF86D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9 013</w:t>
            </w:r>
          </w:p>
        </w:tc>
        <w:tc>
          <w:tcPr>
            <w:tcW w:w="879" w:type="dxa"/>
            <w:tcBorders>
              <w:top w:val="nil"/>
              <w:left w:val="nil"/>
              <w:bottom w:val="single" w:sz="4" w:space="0" w:color="auto"/>
              <w:right w:val="single" w:sz="4" w:space="0" w:color="auto"/>
            </w:tcBorders>
            <w:shd w:val="clear" w:color="auto" w:fill="auto"/>
            <w:vAlign w:val="center"/>
            <w:hideMark/>
          </w:tcPr>
          <w:p w14:paraId="71E521E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9 970</w:t>
            </w:r>
          </w:p>
        </w:tc>
        <w:tc>
          <w:tcPr>
            <w:tcW w:w="941" w:type="dxa"/>
            <w:tcBorders>
              <w:top w:val="nil"/>
              <w:left w:val="nil"/>
              <w:bottom w:val="single" w:sz="4" w:space="0" w:color="auto"/>
              <w:right w:val="single" w:sz="4" w:space="0" w:color="auto"/>
            </w:tcBorders>
            <w:shd w:val="clear" w:color="auto" w:fill="auto"/>
            <w:vAlign w:val="center"/>
            <w:hideMark/>
          </w:tcPr>
          <w:p w14:paraId="7E516FB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7 111</w:t>
            </w:r>
          </w:p>
        </w:tc>
        <w:tc>
          <w:tcPr>
            <w:tcW w:w="941" w:type="dxa"/>
            <w:tcBorders>
              <w:top w:val="nil"/>
              <w:left w:val="nil"/>
              <w:bottom w:val="single" w:sz="4" w:space="0" w:color="auto"/>
              <w:right w:val="single" w:sz="4" w:space="0" w:color="auto"/>
            </w:tcBorders>
            <w:shd w:val="clear" w:color="auto" w:fill="auto"/>
            <w:vAlign w:val="center"/>
            <w:hideMark/>
          </w:tcPr>
          <w:p w14:paraId="15374AC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5 352</w:t>
            </w:r>
          </w:p>
        </w:tc>
        <w:tc>
          <w:tcPr>
            <w:tcW w:w="941" w:type="dxa"/>
            <w:tcBorders>
              <w:top w:val="nil"/>
              <w:left w:val="nil"/>
              <w:bottom w:val="single" w:sz="4" w:space="0" w:color="auto"/>
              <w:right w:val="single" w:sz="4" w:space="0" w:color="auto"/>
            </w:tcBorders>
            <w:shd w:val="clear" w:color="auto" w:fill="auto"/>
            <w:vAlign w:val="center"/>
            <w:hideMark/>
          </w:tcPr>
          <w:p w14:paraId="053D381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11 004</w:t>
            </w:r>
          </w:p>
        </w:tc>
        <w:tc>
          <w:tcPr>
            <w:tcW w:w="941" w:type="dxa"/>
            <w:tcBorders>
              <w:top w:val="nil"/>
              <w:left w:val="nil"/>
              <w:bottom w:val="single" w:sz="4" w:space="0" w:color="auto"/>
              <w:right w:val="single" w:sz="4" w:space="0" w:color="auto"/>
            </w:tcBorders>
            <w:shd w:val="clear" w:color="auto" w:fill="auto"/>
            <w:vAlign w:val="center"/>
            <w:hideMark/>
          </w:tcPr>
          <w:p w14:paraId="189CDAB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37 260</w:t>
            </w:r>
          </w:p>
        </w:tc>
        <w:tc>
          <w:tcPr>
            <w:tcW w:w="941" w:type="dxa"/>
            <w:tcBorders>
              <w:top w:val="nil"/>
              <w:left w:val="nil"/>
              <w:bottom w:val="single" w:sz="4" w:space="0" w:color="auto"/>
              <w:right w:val="single" w:sz="4" w:space="0" w:color="auto"/>
            </w:tcBorders>
            <w:shd w:val="clear" w:color="auto" w:fill="auto"/>
            <w:vAlign w:val="center"/>
            <w:hideMark/>
          </w:tcPr>
          <w:p w14:paraId="547F5F9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15 895</w:t>
            </w:r>
          </w:p>
        </w:tc>
        <w:tc>
          <w:tcPr>
            <w:tcW w:w="941" w:type="dxa"/>
            <w:tcBorders>
              <w:top w:val="nil"/>
              <w:left w:val="nil"/>
              <w:bottom w:val="single" w:sz="4" w:space="0" w:color="auto"/>
              <w:right w:val="single" w:sz="4" w:space="0" w:color="auto"/>
            </w:tcBorders>
            <w:shd w:val="clear" w:color="auto" w:fill="auto"/>
            <w:vAlign w:val="center"/>
            <w:hideMark/>
          </w:tcPr>
          <w:p w14:paraId="35831E2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12 990</w:t>
            </w:r>
          </w:p>
        </w:tc>
        <w:tc>
          <w:tcPr>
            <w:tcW w:w="941" w:type="dxa"/>
            <w:tcBorders>
              <w:top w:val="nil"/>
              <w:left w:val="nil"/>
              <w:bottom w:val="single" w:sz="4" w:space="0" w:color="auto"/>
              <w:right w:val="single" w:sz="4" w:space="0" w:color="auto"/>
            </w:tcBorders>
            <w:shd w:val="clear" w:color="auto" w:fill="auto"/>
            <w:vAlign w:val="center"/>
            <w:hideMark/>
          </w:tcPr>
          <w:p w14:paraId="02280F5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11 441</w:t>
            </w:r>
          </w:p>
        </w:tc>
        <w:tc>
          <w:tcPr>
            <w:tcW w:w="941" w:type="dxa"/>
            <w:tcBorders>
              <w:top w:val="nil"/>
              <w:left w:val="nil"/>
              <w:bottom w:val="single" w:sz="4" w:space="0" w:color="auto"/>
              <w:right w:val="single" w:sz="4" w:space="0" w:color="auto"/>
            </w:tcBorders>
            <w:shd w:val="clear" w:color="auto" w:fill="auto"/>
            <w:vAlign w:val="center"/>
            <w:hideMark/>
          </w:tcPr>
          <w:p w14:paraId="55E1424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8 012</w:t>
            </w:r>
          </w:p>
        </w:tc>
        <w:tc>
          <w:tcPr>
            <w:tcW w:w="1271" w:type="dxa"/>
            <w:tcBorders>
              <w:top w:val="nil"/>
              <w:left w:val="nil"/>
              <w:bottom w:val="single" w:sz="4" w:space="0" w:color="auto"/>
              <w:right w:val="single" w:sz="4" w:space="0" w:color="auto"/>
            </w:tcBorders>
            <w:shd w:val="clear" w:color="auto" w:fill="auto"/>
            <w:vAlign w:val="center"/>
            <w:hideMark/>
          </w:tcPr>
          <w:p w14:paraId="3DB8E7E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5 011</w:t>
            </w:r>
          </w:p>
        </w:tc>
      </w:tr>
    </w:tbl>
    <w:p w14:paraId="063F45C1" w14:textId="77777777" w:rsidR="00680E37" w:rsidRDefault="00680E37" w:rsidP="00680E37">
      <w:pPr>
        <w:rPr>
          <w:rFonts w:ascii="Times New Roman" w:eastAsia="Times New Roman" w:hAnsi="Times New Roman" w:cs="Times New Roman"/>
          <w:sz w:val="28"/>
          <w:szCs w:val="28"/>
        </w:rPr>
      </w:pPr>
    </w:p>
    <w:p w14:paraId="6DE5725B" w14:textId="08A6C6EA" w:rsidR="00680E37" w:rsidRPr="00680E37" w:rsidRDefault="00680E37">
      <w:pPr>
        <w:rPr>
          <w:rFonts w:ascii="Times New Roman" w:eastAsia="Times New Roman" w:hAnsi="Times New Roman" w:cs="Times New Roman"/>
          <w:sz w:val="28"/>
          <w:szCs w:val="28"/>
        </w:rPr>
      </w:pPr>
      <w:r w:rsidRPr="00680E37">
        <w:rPr>
          <w:rFonts w:ascii="Times New Roman" w:eastAsia="Times New Roman" w:hAnsi="Times New Roman" w:cs="Times New Roman"/>
          <w:sz w:val="28"/>
          <w:szCs w:val="28"/>
        </w:rPr>
        <w:t>Продолжение таблицы А</w:t>
      </w:r>
      <w:r>
        <w:rPr>
          <w:rFonts w:ascii="Times New Roman" w:eastAsia="Times New Roman" w:hAnsi="Times New Roman" w:cs="Times New Roman"/>
          <w:sz w:val="28"/>
          <w:szCs w:val="28"/>
        </w:rPr>
        <w:t>6</w:t>
      </w:r>
    </w:p>
    <w:tbl>
      <w:tblPr>
        <w:tblW w:w="14459" w:type="dxa"/>
        <w:tblInd w:w="-5" w:type="dxa"/>
        <w:tblLook w:val="04A0" w:firstRow="1" w:lastRow="0" w:firstColumn="1" w:lastColumn="0" w:noHBand="0" w:noVBand="1"/>
      </w:tblPr>
      <w:tblGrid>
        <w:gridCol w:w="553"/>
        <w:gridCol w:w="373"/>
        <w:gridCol w:w="2098"/>
        <w:gridCol w:w="878"/>
        <w:gridCol w:w="879"/>
        <w:gridCol w:w="879"/>
        <w:gridCol w:w="941"/>
        <w:gridCol w:w="941"/>
        <w:gridCol w:w="941"/>
        <w:gridCol w:w="941"/>
        <w:gridCol w:w="941"/>
        <w:gridCol w:w="941"/>
        <w:gridCol w:w="941"/>
        <w:gridCol w:w="941"/>
        <w:gridCol w:w="1271"/>
      </w:tblGrid>
      <w:tr w:rsidR="0053576E" w:rsidRPr="004135FE" w14:paraId="569C741A" w14:textId="77777777" w:rsidTr="00680E37">
        <w:trPr>
          <w:cantSplit/>
          <w:trHeight w:val="227"/>
        </w:trPr>
        <w:tc>
          <w:tcPr>
            <w:tcW w:w="553" w:type="dxa"/>
            <w:vMerge w:val="restart"/>
            <w:tcBorders>
              <w:top w:val="single" w:sz="4" w:space="0" w:color="auto"/>
              <w:left w:val="single" w:sz="4" w:space="0" w:color="auto"/>
              <w:bottom w:val="single" w:sz="4" w:space="0" w:color="auto"/>
              <w:right w:val="single" w:sz="4" w:space="0" w:color="auto"/>
            </w:tcBorders>
            <w:vAlign w:val="center"/>
            <w:hideMark/>
          </w:tcPr>
          <w:p w14:paraId="33552D95"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single" w:sz="4" w:space="0" w:color="auto"/>
              <w:left w:val="nil"/>
              <w:bottom w:val="single" w:sz="4" w:space="0" w:color="auto"/>
              <w:right w:val="single" w:sz="4" w:space="0" w:color="auto"/>
            </w:tcBorders>
            <w:shd w:val="clear" w:color="auto" w:fill="auto"/>
            <w:vAlign w:val="bottom"/>
            <w:hideMark/>
          </w:tcPr>
          <w:p w14:paraId="65C26E1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tcBorders>
              <w:top w:val="single" w:sz="4" w:space="0" w:color="auto"/>
              <w:left w:val="nil"/>
              <w:bottom w:val="single" w:sz="4" w:space="0" w:color="auto"/>
              <w:right w:val="single" w:sz="4" w:space="0" w:color="auto"/>
            </w:tcBorders>
            <w:shd w:val="clear" w:color="auto" w:fill="auto"/>
            <w:vAlign w:val="center"/>
            <w:hideMark/>
          </w:tcPr>
          <w:p w14:paraId="6F0654B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78" w:type="dxa"/>
            <w:tcBorders>
              <w:top w:val="single" w:sz="4" w:space="0" w:color="auto"/>
              <w:left w:val="nil"/>
              <w:bottom w:val="single" w:sz="4" w:space="0" w:color="auto"/>
              <w:right w:val="single" w:sz="4" w:space="0" w:color="auto"/>
            </w:tcBorders>
            <w:shd w:val="clear" w:color="auto" w:fill="auto"/>
            <w:vAlign w:val="center"/>
            <w:hideMark/>
          </w:tcPr>
          <w:p w14:paraId="60EC49E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1 666</w:t>
            </w:r>
          </w:p>
        </w:tc>
        <w:tc>
          <w:tcPr>
            <w:tcW w:w="879" w:type="dxa"/>
            <w:tcBorders>
              <w:top w:val="single" w:sz="4" w:space="0" w:color="auto"/>
              <w:left w:val="nil"/>
              <w:bottom w:val="single" w:sz="4" w:space="0" w:color="auto"/>
              <w:right w:val="single" w:sz="4" w:space="0" w:color="auto"/>
            </w:tcBorders>
            <w:shd w:val="clear" w:color="auto" w:fill="auto"/>
            <w:vAlign w:val="center"/>
            <w:hideMark/>
          </w:tcPr>
          <w:p w14:paraId="63DB9B3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7 211</w:t>
            </w:r>
          </w:p>
        </w:tc>
        <w:tc>
          <w:tcPr>
            <w:tcW w:w="879" w:type="dxa"/>
            <w:tcBorders>
              <w:top w:val="single" w:sz="4" w:space="0" w:color="auto"/>
              <w:left w:val="nil"/>
              <w:bottom w:val="single" w:sz="4" w:space="0" w:color="auto"/>
              <w:right w:val="single" w:sz="4" w:space="0" w:color="auto"/>
            </w:tcBorders>
            <w:shd w:val="clear" w:color="auto" w:fill="auto"/>
            <w:vAlign w:val="center"/>
            <w:hideMark/>
          </w:tcPr>
          <w:p w14:paraId="7ADDD88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8 085</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2BC8AD8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5 403</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4CB6D37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2 332</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1CDB3C8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1 811</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21AD8E5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12 697</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1A395E4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11 990</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25E324C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8 837</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1607F09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7 339</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49A4BC9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4 121</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4FE31B5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2 029</w:t>
            </w:r>
          </w:p>
        </w:tc>
      </w:tr>
      <w:tr w:rsidR="0053576E" w:rsidRPr="004135FE" w14:paraId="369B42F1"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4B1EFCAF"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7ED0AD5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tcBorders>
              <w:top w:val="nil"/>
              <w:left w:val="nil"/>
              <w:bottom w:val="single" w:sz="4" w:space="0" w:color="auto"/>
              <w:right w:val="single" w:sz="4" w:space="0" w:color="auto"/>
            </w:tcBorders>
            <w:shd w:val="clear" w:color="auto" w:fill="auto"/>
            <w:vAlign w:val="center"/>
            <w:hideMark/>
          </w:tcPr>
          <w:p w14:paraId="26971F2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78" w:type="dxa"/>
            <w:tcBorders>
              <w:top w:val="nil"/>
              <w:left w:val="nil"/>
              <w:bottom w:val="single" w:sz="4" w:space="0" w:color="auto"/>
              <w:right w:val="single" w:sz="4" w:space="0" w:color="auto"/>
            </w:tcBorders>
            <w:shd w:val="clear" w:color="auto" w:fill="auto"/>
            <w:vAlign w:val="center"/>
            <w:hideMark/>
          </w:tcPr>
          <w:p w14:paraId="0E91E8C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2 017</w:t>
            </w:r>
          </w:p>
        </w:tc>
        <w:tc>
          <w:tcPr>
            <w:tcW w:w="879" w:type="dxa"/>
            <w:tcBorders>
              <w:top w:val="nil"/>
              <w:left w:val="nil"/>
              <w:bottom w:val="single" w:sz="4" w:space="0" w:color="auto"/>
              <w:right w:val="single" w:sz="4" w:space="0" w:color="auto"/>
            </w:tcBorders>
            <w:shd w:val="clear" w:color="auto" w:fill="auto"/>
            <w:vAlign w:val="center"/>
            <w:hideMark/>
          </w:tcPr>
          <w:p w14:paraId="0E9B6E6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9 082</w:t>
            </w:r>
          </w:p>
        </w:tc>
        <w:tc>
          <w:tcPr>
            <w:tcW w:w="879" w:type="dxa"/>
            <w:tcBorders>
              <w:top w:val="nil"/>
              <w:left w:val="nil"/>
              <w:bottom w:val="single" w:sz="4" w:space="0" w:color="auto"/>
              <w:right w:val="single" w:sz="4" w:space="0" w:color="auto"/>
            </w:tcBorders>
            <w:shd w:val="clear" w:color="auto" w:fill="auto"/>
            <w:vAlign w:val="center"/>
            <w:hideMark/>
          </w:tcPr>
          <w:p w14:paraId="7BE694D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10 642</w:t>
            </w:r>
          </w:p>
        </w:tc>
        <w:tc>
          <w:tcPr>
            <w:tcW w:w="941" w:type="dxa"/>
            <w:tcBorders>
              <w:top w:val="nil"/>
              <w:left w:val="nil"/>
              <w:bottom w:val="single" w:sz="4" w:space="0" w:color="auto"/>
              <w:right w:val="single" w:sz="4" w:space="0" w:color="auto"/>
            </w:tcBorders>
            <w:shd w:val="clear" w:color="auto" w:fill="auto"/>
            <w:vAlign w:val="center"/>
            <w:hideMark/>
          </w:tcPr>
          <w:p w14:paraId="57E9FEB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7 520</w:t>
            </w:r>
          </w:p>
        </w:tc>
        <w:tc>
          <w:tcPr>
            <w:tcW w:w="941" w:type="dxa"/>
            <w:tcBorders>
              <w:top w:val="nil"/>
              <w:left w:val="nil"/>
              <w:bottom w:val="single" w:sz="4" w:space="0" w:color="auto"/>
              <w:right w:val="single" w:sz="4" w:space="0" w:color="auto"/>
            </w:tcBorders>
            <w:shd w:val="clear" w:color="auto" w:fill="auto"/>
            <w:vAlign w:val="center"/>
            <w:hideMark/>
          </w:tcPr>
          <w:p w14:paraId="46DE565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3 046</w:t>
            </w:r>
          </w:p>
        </w:tc>
        <w:tc>
          <w:tcPr>
            <w:tcW w:w="941" w:type="dxa"/>
            <w:tcBorders>
              <w:top w:val="nil"/>
              <w:left w:val="nil"/>
              <w:bottom w:val="single" w:sz="4" w:space="0" w:color="auto"/>
              <w:right w:val="single" w:sz="4" w:space="0" w:color="auto"/>
            </w:tcBorders>
            <w:shd w:val="clear" w:color="auto" w:fill="auto"/>
            <w:vAlign w:val="center"/>
            <w:hideMark/>
          </w:tcPr>
          <w:p w14:paraId="5AA29AC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1 549</w:t>
            </w:r>
          </w:p>
        </w:tc>
        <w:tc>
          <w:tcPr>
            <w:tcW w:w="941" w:type="dxa"/>
            <w:tcBorders>
              <w:top w:val="nil"/>
              <w:left w:val="nil"/>
              <w:bottom w:val="single" w:sz="4" w:space="0" w:color="auto"/>
              <w:right w:val="single" w:sz="4" w:space="0" w:color="auto"/>
            </w:tcBorders>
            <w:shd w:val="clear" w:color="auto" w:fill="auto"/>
            <w:vAlign w:val="center"/>
            <w:hideMark/>
          </w:tcPr>
          <w:p w14:paraId="2B196C7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11 366</w:t>
            </w:r>
          </w:p>
        </w:tc>
        <w:tc>
          <w:tcPr>
            <w:tcW w:w="941" w:type="dxa"/>
            <w:tcBorders>
              <w:top w:val="nil"/>
              <w:left w:val="nil"/>
              <w:bottom w:val="single" w:sz="4" w:space="0" w:color="auto"/>
              <w:right w:val="single" w:sz="4" w:space="0" w:color="auto"/>
            </w:tcBorders>
            <w:shd w:val="clear" w:color="auto" w:fill="auto"/>
            <w:vAlign w:val="center"/>
            <w:hideMark/>
          </w:tcPr>
          <w:p w14:paraId="0963ABD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11 658</w:t>
            </w:r>
          </w:p>
        </w:tc>
        <w:tc>
          <w:tcPr>
            <w:tcW w:w="941" w:type="dxa"/>
            <w:tcBorders>
              <w:top w:val="nil"/>
              <w:left w:val="nil"/>
              <w:bottom w:val="single" w:sz="4" w:space="0" w:color="auto"/>
              <w:right w:val="single" w:sz="4" w:space="0" w:color="auto"/>
            </w:tcBorders>
            <w:shd w:val="clear" w:color="auto" w:fill="auto"/>
            <w:vAlign w:val="center"/>
            <w:hideMark/>
          </w:tcPr>
          <w:p w14:paraId="4FC4F67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9 431</w:t>
            </w:r>
          </w:p>
        </w:tc>
        <w:tc>
          <w:tcPr>
            <w:tcW w:w="941" w:type="dxa"/>
            <w:tcBorders>
              <w:top w:val="nil"/>
              <w:left w:val="nil"/>
              <w:bottom w:val="single" w:sz="4" w:space="0" w:color="auto"/>
              <w:right w:val="single" w:sz="4" w:space="0" w:color="auto"/>
            </w:tcBorders>
            <w:shd w:val="clear" w:color="auto" w:fill="auto"/>
            <w:vAlign w:val="center"/>
            <w:hideMark/>
          </w:tcPr>
          <w:p w14:paraId="522FB0A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8 906</w:t>
            </w:r>
          </w:p>
        </w:tc>
        <w:tc>
          <w:tcPr>
            <w:tcW w:w="941" w:type="dxa"/>
            <w:tcBorders>
              <w:top w:val="nil"/>
              <w:left w:val="nil"/>
              <w:bottom w:val="single" w:sz="4" w:space="0" w:color="auto"/>
              <w:right w:val="single" w:sz="4" w:space="0" w:color="auto"/>
            </w:tcBorders>
            <w:shd w:val="clear" w:color="auto" w:fill="auto"/>
            <w:vAlign w:val="center"/>
            <w:hideMark/>
          </w:tcPr>
          <w:p w14:paraId="0A99FCA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6 089</w:t>
            </w:r>
          </w:p>
        </w:tc>
        <w:tc>
          <w:tcPr>
            <w:tcW w:w="1271" w:type="dxa"/>
            <w:tcBorders>
              <w:top w:val="nil"/>
              <w:left w:val="nil"/>
              <w:bottom w:val="single" w:sz="4" w:space="0" w:color="auto"/>
              <w:right w:val="single" w:sz="4" w:space="0" w:color="auto"/>
            </w:tcBorders>
            <w:shd w:val="clear" w:color="auto" w:fill="auto"/>
            <w:vAlign w:val="center"/>
            <w:hideMark/>
          </w:tcPr>
          <w:p w14:paraId="507F16D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3 641</w:t>
            </w:r>
          </w:p>
        </w:tc>
      </w:tr>
      <w:tr w:rsidR="0053576E" w:rsidRPr="004135FE" w14:paraId="48662DA7"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7D63EA6B"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7D25070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tcBorders>
              <w:top w:val="nil"/>
              <w:left w:val="nil"/>
              <w:bottom w:val="single" w:sz="4" w:space="0" w:color="auto"/>
              <w:right w:val="single" w:sz="4" w:space="0" w:color="auto"/>
            </w:tcBorders>
            <w:shd w:val="clear" w:color="auto" w:fill="auto"/>
            <w:vAlign w:val="center"/>
            <w:hideMark/>
          </w:tcPr>
          <w:p w14:paraId="108B70A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78" w:type="dxa"/>
            <w:tcBorders>
              <w:top w:val="nil"/>
              <w:left w:val="nil"/>
              <w:bottom w:val="single" w:sz="4" w:space="0" w:color="auto"/>
              <w:right w:val="single" w:sz="4" w:space="0" w:color="auto"/>
            </w:tcBorders>
            <w:shd w:val="clear" w:color="auto" w:fill="auto"/>
            <w:vAlign w:val="center"/>
            <w:hideMark/>
          </w:tcPr>
          <w:p w14:paraId="506CCFA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743</w:t>
            </w:r>
          </w:p>
        </w:tc>
        <w:tc>
          <w:tcPr>
            <w:tcW w:w="879" w:type="dxa"/>
            <w:tcBorders>
              <w:top w:val="nil"/>
              <w:left w:val="nil"/>
              <w:bottom w:val="single" w:sz="4" w:space="0" w:color="auto"/>
              <w:right w:val="single" w:sz="4" w:space="0" w:color="auto"/>
            </w:tcBorders>
            <w:shd w:val="clear" w:color="auto" w:fill="auto"/>
            <w:vAlign w:val="center"/>
            <w:hideMark/>
          </w:tcPr>
          <w:p w14:paraId="7966A9C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2 337</w:t>
            </w:r>
          </w:p>
        </w:tc>
        <w:tc>
          <w:tcPr>
            <w:tcW w:w="879" w:type="dxa"/>
            <w:tcBorders>
              <w:top w:val="nil"/>
              <w:left w:val="nil"/>
              <w:bottom w:val="single" w:sz="4" w:space="0" w:color="auto"/>
              <w:right w:val="single" w:sz="4" w:space="0" w:color="auto"/>
            </w:tcBorders>
            <w:shd w:val="clear" w:color="auto" w:fill="auto"/>
            <w:vAlign w:val="center"/>
            <w:hideMark/>
          </w:tcPr>
          <w:p w14:paraId="728C4A6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2 410</w:t>
            </w:r>
          </w:p>
        </w:tc>
        <w:tc>
          <w:tcPr>
            <w:tcW w:w="941" w:type="dxa"/>
            <w:tcBorders>
              <w:top w:val="nil"/>
              <w:left w:val="nil"/>
              <w:bottom w:val="single" w:sz="4" w:space="0" w:color="auto"/>
              <w:right w:val="single" w:sz="4" w:space="0" w:color="auto"/>
            </w:tcBorders>
            <w:shd w:val="clear" w:color="auto" w:fill="auto"/>
            <w:vAlign w:val="center"/>
            <w:hideMark/>
          </w:tcPr>
          <w:p w14:paraId="0B0E344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1 655</w:t>
            </w:r>
          </w:p>
        </w:tc>
        <w:tc>
          <w:tcPr>
            <w:tcW w:w="941" w:type="dxa"/>
            <w:tcBorders>
              <w:top w:val="nil"/>
              <w:left w:val="nil"/>
              <w:bottom w:val="single" w:sz="4" w:space="0" w:color="auto"/>
              <w:right w:val="single" w:sz="4" w:space="0" w:color="auto"/>
            </w:tcBorders>
            <w:shd w:val="clear" w:color="auto" w:fill="auto"/>
            <w:vAlign w:val="center"/>
            <w:hideMark/>
          </w:tcPr>
          <w:p w14:paraId="3AF8FEF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732</w:t>
            </w:r>
          </w:p>
        </w:tc>
        <w:tc>
          <w:tcPr>
            <w:tcW w:w="941" w:type="dxa"/>
            <w:tcBorders>
              <w:top w:val="nil"/>
              <w:left w:val="nil"/>
              <w:bottom w:val="single" w:sz="4" w:space="0" w:color="auto"/>
              <w:right w:val="single" w:sz="4" w:space="0" w:color="auto"/>
            </w:tcBorders>
            <w:shd w:val="clear" w:color="auto" w:fill="auto"/>
            <w:vAlign w:val="center"/>
            <w:hideMark/>
          </w:tcPr>
          <w:p w14:paraId="7D5AC5F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366</w:t>
            </w:r>
          </w:p>
        </w:tc>
        <w:tc>
          <w:tcPr>
            <w:tcW w:w="941" w:type="dxa"/>
            <w:tcBorders>
              <w:top w:val="nil"/>
              <w:left w:val="nil"/>
              <w:bottom w:val="single" w:sz="4" w:space="0" w:color="auto"/>
              <w:right w:val="single" w:sz="4" w:space="0" w:color="auto"/>
            </w:tcBorders>
            <w:shd w:val="clear" w:color="auto" w:fill="auto"/>
            <w:vAlign w:val="center"/>
            <w:hideMark/>
          </w:tcPr>
          <w:p w14:paraId="1E68717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3 286</w:t>
            </w:r>
          </w:p>
        </w:tc>
        <w:tc>
          <w:tcPr>
            <w:tcW w:w="941" w:type="dxa"/>
            <w:tcBorders>
              <w:top w:val="nil"/>
              <w:left w:val="nil"/>
              <w:bottom w:val="single" w:sz="4" w:space="0" w:color="auto"/>
              <w:right w:val="single" w:sz="4" w:space="0" w:color="auto"/>
            </w:tcBorders>
            <w:shd w:val="clear" w:color="auto" w:fill="auto"/>
            <w:vAlign w:val="center"/>
            <w:hideMark/>
          </w:tcPr>
          <w:p w14:paraId="27D59DA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3 558</w:t>
            </w:r>
          </w:p>
        </w:tc>
        <w:tc>
          <w:tcPr>
            <w:tcW w:w="941" w:type="dxa"/>
            <w:tcBorders>
              <w:top w:val="nil"/>
              <w:left w:val="nil"/>
              <w:bottom w:val="single" w:sz="4" w:space="0" w:color="auto"/>
              <w:right w:val="single" w:sz="4" w:space="0" w:color="auto"/>
            </w:tcBorders>
            <w:shd w:val="clear" w:color="auto" w:fill="auto"/>
            <w:vAlign w:val="center"/>
            <w:hideMark/>
          </w:tcPr>
          <w:p w14:paraId="490DC4B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2 846</w:t>
            </w:r>
          </w:p>
        </w:tc>
        <w:tc>
          <w:tcPr>
            <w:tcW w:w="941" w:type="dxa"/>
            <w:tcBorders>
              <w:top w:val="nil"/>
              <w:left w:val="nil"/>
              <w:bottom w:val="single" w:sz="4" w:space="0" w:color="auto"/>
              <w:right w:val="single" w:sz="4" w:space="0" w:color="auto"/>
            </w:tcBorders>
            <w:shd w:val="clear" w:color="auto" w:fill="auto"/>
            <w:vAlign w:val="center"/>
            <w:hideMark/>
          </w:tcPr>
          <w:p w14:paraId="3040916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2 331</w:t>
            </w:r>
          </w:p>
        </w:tc>
        <w:tc>
          <w:tcPr>
            <w:tcW w:w="941" w:type="dxa"/>
            <w:tcBorders>
              <w:top w:val="nil"/>
              <w:left w:val="nil"/>
              <w:bottom w:val="single" w:sz="4" w:space="0" w:color="auto"/>
              <w:right w:val="single" w:sz="4" w:space="0" w:color="auto"/>
            </w:tcBorders>
            <w:shd w:val="clear" w:color="auto" w:fill="auto"/>
            <w:vAlign w:val="center"/>
            <w:hideMark/>
          </w:tcPr>
          <w:p w14:paraId="3816C5A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1 218</w:t>
            </w:r>
          </w:p>
        </w:tc>
        <w:tc>
          <w:tcPr>
            <w:tcW w:w="1271" w:type="dxa"/>
            <w:tcBorders>
              <w:top w:val="nil"/>
              <w:left w:val="nil"/>
              <w:bottom w:val="single" w:sz="4" w:space="0" w:color="auto"/>
              <w:right w:val="single" w:sz="4" w:space="0" w:color="auto"/>
            </w:tcBorders>
            <w:shd w:val="clear" w:color="auto" w:fill="auto"/>
            <w:vAlign w:val="center"/>
            <w:hideMark/>
          </w:tcPr>
          <w:p w14:paraId="5CA8879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633</w:t>
            </w:r>
          </w:p>
        </w:tc>
      </w:tr>
      <w:tr w:rsidR="0053576E" w:rsidRPr="004135FE" w14:paraId="22487E91"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12F2474C"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73A5EA1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tcBorders>
              <w:top w:val="nil"/>
              <w:left w:val="nil"/>
              <w:bottom w:val="single" w:sz="4" w:space="0" w:color="auto"/>
              <w:right w:val="single" w:sz="4" w:space="0" w:color="auto"/>
            </w:tcBorders>
            <w:shd w:val="clear" w:color="auto" w:fill="auto"/>
            <w:vAlign w:val="center"/>
            <w:hideMark/>
          </w:tcPr>
          <w:p w14:paraId="3F12C9D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78" w:type="dxa"/>
            <w:tcBorders>
              <w:top w:val="nil"/>
              <w:left w:val="nil"/>
              <w:bottom w:val="single" w:sz="4" w:space="0" w:color="auto"/>
              <w:right w:val="single" w:sz="4" w:space="0" w:color="auto"/>
            </w:tcBorders>
            <w:shd w:val="clear" w:color="auto" w:fill="auto"/>
            <w:vAlign w:val="center"/>
            <w:hideMark/>
          </w:tcPr>
          <w:p w14:paraId="4ED5908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1 558</w:t>
            </w:r>
          </w:p>
        </w:tc>
        <w:tc>
          <w:tcPr>
            <w:tcW w:w="879" w:type="dxa"/>
            <w:tcBorders>
              <w:top w:val="nil"/>
              <w:left w:val="nil"/>
              <w:bottom w:val="single" w:sz="4" w:space="0" w:color="auto"/>
              <w:right w:val="single" w:sz="4" w:space="0" w:color="auto"/>
            </w:tcBorders>
            <w:shd w:val="clear" w:color="auto" w:fill="auto"/>
            <w:vAlign w:val="center"/>
            <w:hideMark/>
          </w:tcPr>
          <w:p w14:paraId="72163B9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6 757</w:t>
            </w:r>
          </w:p>
        </w:tc>
        <w:tc>
          <w:tcPr>
            <w:tcW w:w="879" w:type="dxa"/>
            <w:tcBorders>
              <w:top w:val="nil"/>
              <w:left w:val="nil"/>
              <w:bottom w:val="single" w:sz="4" w:space="0" w:color="auto"/>
              <w:right w:val="single" w:sz="4" w:space="0" w:color="auto"/>
            </w:tcBorders>
            <w:shd w:val="clear" w:color="auto" w:fill="auto"/>
            <w:vAlign w:val="center"/>
            <w:hideMark/>
          </w:tcPr>
          <w:p w14:paraId="59F92B0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7 428</w:t>
            </w:r>
          </w:p>
        </w:tc>
        <w:tc>
          <w:tcPr>
            <w:tcW w:w="941" w:type="dxa"/>
            <w:tcBorders>
              <w:top w:val="nil"/>
              <w:left w:val="nil"/>
              <w:bottom w:val="single" w:sz="4" w:space="0" w:color="auto"/>
              <w:right w:val="single" w:sz="4" w:space="0" w:color="auto"/>
            </w:tcBorders>
            <w:shd w:val="clear" w:color="auto" w:fill="auto"/>
            <w:vAlign w:val="center"/>
            <w:hideMark/>
          </w:tcPr>
          <w:p w14:paraId="46F4B2A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5 273</w:t>
            </w:r>
          </w:p>
        </w:tc>
        <w:tc>
          <w:tcPr>
            <w:tcW w:w="941" w:type="dxa"/>
            <w:tcBorders>
              <w:top w:val="nil"/>
              <w:left w:val="nil"/>
              <w:bottom w:val="single" w:sz="4" w:space="0" w:color="auto"/>
              <w:right w:val="single" w:sz="4" w:space="0" w:color="auto"/>
            </w:tcBorders>
            <w:shd w:val="clear" w:color="auto" w:fill="auto"/>
            <w:vAlign w:val="center"/>
            <w:hideMark/>
          </w:tcPr>
          <w:p w14:paraId="3476042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3 381</w:t>
            </w:r>
          </w:p>
        </w:tc>
        <w:tc>
          <w:tcPr>
            <w:tcW w:w="941" w:type="dxa"/>
            <w:tcBorders>
              <w:top w:val="nil"/>
              <w:left w:val="nil"/>
              <w:bottom w:val="single" w:sz="4" w:space="0" w:color="auto"/>
              <w:right w:val="single" w:sz="4" w:space="0" w:color="auto"/>
            </w:tcBorders>
            <w:shd w:val="clear" w:color="auto" w:fill="auto"/>
            <w:vAlign w:val="center"/>
            <w:hideMark/>
          </w:tcPr>
          <w:p w14:paraId="2E8A76C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2 757</w:t>
            </w:r>
          </w:p>
        </w:tc>
        <w:tc>
          <w:tcPr>
            <w:tcW w:w="941" w:type="dxa"/>
            <w:tcBorders>
              <w:top w:val="nil"/>
              <w:left w:val="nil"/>
              <w:bottom w:val="single" w:sz="4" w:space="0" w:color="auto"/>
              <w:right w:val="single" w:sz="4" w:space="0" w:color="auto"/>
            </w:tcBorders>
            <w:shd w:val="clear" w:color="auto" w:fill="auto"/>
            <w:vAlign w:val="center"/>
            <w:hideMark/>
          </w:tcPr>
          <w:p w14:paraId="10FBA0F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15 819</w:t>
            </w:r>
          </w:p>
        </w:tc>
        <w:tc>
          <w:tcPr>
            <w:tcW w:w="941" w:type="dxa"/>
            <w:tcBorders>
              <w:top w:val="nil"/>
              <w:left w:val="nil"/>
              <w:bottom w:val="single" w:sz="4" w:space="0" w:color="auto"/>
              <w:right w:val="single" w:sz="4" w:space="0" w:color="auto"/>
            </w:tcBorders>
            <w:shd w:val="clear" w:color="auto" w:fill="auto"/>
            <w:vAlign w:val="center"/>
            <w:hideMark/>
          </w:tcPr>
          <w:p w14:paraId="205BC49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15 880</w:t>
            </w:r>
          </w:p>
        </w:tc>
        <w:tc>
          <w:tcPr>
            <w:tcW w:w="941" w:type="dxa"/>
            <w:tcBorders>
              <w:top w:val="nil"/>
              <w:left w:val="nil"/>
              <w:bottom w:val="single" w:sz="4" w:space="0" w:color="auto"/>
              <w:right w:val="single" w:sz="4" w:space="0" w:color="auto"/>
            </w:tcBorders>
            <w:shd w:val="clear" w:color="auto" w:fill="auto"/>
            <w:vAlign w:val="center"/>
            <w:hideMark/>
          </w:tcPr>
          <w:p w14:paraId="7B91443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11 905</w:t>
            </w:r>
          </w:p>
        </w:tc>
        <w:tc>
          <w:tcPr>
            <w:tcW w:w="941" w:type="dxa"/>
            <w:tcBorders>
              <w:top w:val="nil"/>
              <w:left w:val="nil"/>
              <w:bottom w:val="single" w:sz="4" w:space="0" w:color="auto"/>
              <w:right w:val="single" w:sz="4" w:space="0" w:color="auto"/>
            </w:tcBorders>
            <w:shd w:val="clear" w:color="auto" w:fill="auto"/>
            <w:vAlign w:val="center"/>
            <w:hideMark/>
          </w:tcPr>
          <w:p w14:paraId="0EF30C1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11 134</w:t>
            </w:r>
          </w:p>
        </w:tc>
        <w:tc>
          <w:tcPr>
            <w:tcW w:w="941" w:type="dxa"/>
            <w:tcBorders>
              <w:top w:val="nil"/>
              <w:left w:val="nil"/>
              <w:bottom w:val="single" w:sz="4" w:space="0" w:color="auto"/>
              <w:right w:val="single" w:sz="4" w:space="0" w:color="auto"/>
            </w:tcBorders>
            <w:shd w:val="clear" w:color="auto" w:fill="auto"/>
            <w:vAlign w:val="center"/>
            <w:hideMark/>
          </w:tcPr>
          <w:p w14:paraId="1D245A1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6 768</w:t>
            </w:r>
          </w:p>
        </w:tc>
        <w:tc>
          <w:tcPr>
            <w:tcW w:w="1271" w:type="dxa"/>
            <w:tcBorders>
              <w:top w:val="nil"/>
              <w:left w:val="nil"/>
              <w:bottom w:val="single" w:sz="4" w:space="0" w:color="auto"/>
              <w:right w:val="single" w:sz="4" w:space="0" w:color="auto"/>
            </w:tcBorders>
            <w:shd w:val="clear" w:color="auto" w:fill="auto"/>
            <w:vAlign w:val="center"/>
            <w:hideMark/>
          </w:tcPr>
          <w:p w14:paraId="16A064D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3 236</w:t>
            </w:r>
          </w:p>
        </w:tc>
      </w:tr>
      <w:tr w:rsidR="0053576E" w:rsidRPr="004135FE" w14:paraId="1065D83A" w14:textId="77777777" w:rsidTr="00680E37">
        <w:trPr>
          <w:cantSplit/>
          <w:trHeight w:val="227"/>
        </w:trPr>
        <w:tc>
          <w:tcPr>
            <w:tcW w:w="553"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522C55F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2016год</w:t>
            </w:r>
          </w:p>
        </w:tc>
        <w:tc>
          <w:tcPr>
            <w:tcW w:w="373" w:type="dxa"/>
            <w:tcBorders>
              <w:top w:val="nil"/>
              <w:left w:val="nil"/>
              <w:bottom w:val="single" w:sz="4" w:space="0" w:color="auto"/>
              <w:right w:val="single" w:sz="4" w:space="0" w:color="auto"/>
            </w:tcBorders>
            <w:shd w:val="clear" w:color="auto" w:fill="auto"/>
            <w:vAlign w:val="bottom"/>
            <w:hideMark/>
          </w:tcPr>
          <w:p w14:paraId="09E9F38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tcBorders>
              <w:top w:val="nil"/>
              <w:left w:val="nil"/>
              <w:bottom w:val="single" w:sz="4" w:space="0" w:color="auto"/>
              <w:right w:val="single" w:sz="4" w:space="0" w:color="auto"/>
            </w:tcBorders>
            <w:shd w:val="clear" w:color="auto" w:fill="auto"/>
            <w:vAlign w:val="center"/>
            <w:hideMark/>
          </w:tcPr>
          <w:p w14:paraId="6F2FD72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78" w:type="dxa"/>
            <w:tcBorders>
              <w:top w:val="nil"/>
              <w:left w:val="nil"/>
              <w:bottom w:val="single" w:sz="4" w:space="0" w:color="auto"/>
              <w:right w:val="single" w:sz="4" w:space="0" w:color="auto"/>
            </w:tcBorders>
            <w:shd w:val="clear" w:color="auto" w:fill="auto"/>
            <w:vAlign w:val="center"/>
            <w:hideMark/>
          </w:tcPr>
          <w:p w14:paraId="195F03D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1 782</w:t>
            </w:r>
          </w:p>
        </w:tc>
        <w:tc>
          <w:tcPr>
            <w:tcW w:w="879" w:type="dxa"/>
            <w:tcBorders>
              <w:top w:val="nil"/>
              <w:left w:val="nil"/>
              <w:bottom w:val="single" w:sz="4" w:space="0" w:color="auto"/>
              <w:right w:val="single" w:sz="4" w:space="0" w:color="auto"/>
            </w:tcBorders>
            <w:shd w:val="clear" w:color="auto" w:fill="auto"/>
            <w:vAlign w:val="center"/>
            <w:hideMark/>
          </w:tcPr>
          <w:p w14:paraId="6D21FF0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8 353</w:t>
            </w:r>
          </w:p>
        </w:tc>
        <w:tc>
          <w:tcPr>
            <w:tcW w:w="879" w:type="dxa"/>
            <w:tcBorders>
              <w:top w:val="nil"/>
              <w:left w:val="nil"/>
              <w:bottom w:val="single" w:sz="4" w:space="0" w:color="auto"/>
              <w:right w:val="single" w:sz="4" w:space="0" w:color="auto"/>
            </w:tcBorders>
            <w:shd w:val="clear" w:color="auto" w:fill="auto"/>
            <w:vAlign w:val="center"/>
            <w:hideMark/>
          </w:tcPr>
          <w:p w14:paraId="4C419FC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9 580</w:t>
            </w:r>
          </w:p>
        </w:tc>
        <w:tc>
          <w:tcPr>
            <w:tcW w:w="941" w:type="dxa"/>
            <w:tcBorders>
              <w:top w:val="nil"/>
              <w:left w:val="nil"/>
              <w:bottom w:val="single" w:sz="4" w:space="0" w:color="auto"/>
              <w:right w:val="single" w:sz="4" w:space="0" w:color="auto"/>
            </w:tcBorders>
            <w:shd w:val="clear" w:color="auto" w:fill="auto"/>
            <w:vAlign w:val="center"/>
            <w:hideMark/>
          </w:tcPr>
          <w:p w14:paraId="0C9BBFC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7 064</w:t>
            </w:r>
          </w:p>
        </w:tc>
        <w:tc>
          <w:tcPr>
            <w:tcW w:w="941" w:type="dxa"/>
            <w:tcBorders>
              <w:top w:val="nil"/>
              <w:left w:val="nil"/>
              <w:bottom w:val="single" w:sz="4" w:space="0" w:color="auto"/>
              <w:right w:val="single" w:sz="4" w:space="0" w:color="auto"/>
            </w:tcBorders>
            <w:shd w:val="clear" w:color="auto" w:fill="auto"/>
            <w:vAlign w:val="center"/>
            <w:hideMark/>
          </w:tcPr>
          <w:p w14:paraId="4E1831D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3 630</w:t>
            </w:r>
          </w:p>
        </w:tc>
        <w:tc>
          <w:tcPr>
            <w:tcW w:w="941" w:type="dxa"/>
            <w:tcBorders>
              <w:top w:val="nil"/>
              <w:left w:val="nil"/>
              <w:bottom w:val="single" w:sz="4" w:space="0" w:color="auto"/>
              <w:right w:val="single" w:sz="4" w:space="0" w:color="auto"/>
            </w:tcBorders>
            <w:shd w:val="clear" w:color="auto" w:fill="auto"/>
            <w:vAlign w:val="center"/>
            <w:hideMark/>
          </w:tcPr>
          <w:p w14:paraId="113DFAE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3 831</w:t>
            </w:r>
          </w:p>
        </w:tc>
        <w:tc>
          <w:tcPr>
            <w:tcW w:w="941" w:type="dxa"/>
            <w:tcBorders>
              <w:top w:val="nil"/>
              <w:left w:val="nil"/>
              <w:bottom w:val="single" w:sz="4" w:space="0" w:color="auto"/>
              <w:right w:val="single" w:sz="4" w:space="0" w:color="auto"/>
            </w:tcBorders>
            <w:shd w:val="clear" w:color="auto" w:fill="auto"/>
            <w:vAlign w:val="center"/>
            <w:hideMark/>
          </w:tcPr>
          <w:p w14:paraId="11D0117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17 405</w:t>
            </w:r>
          </w:p>
        </w:tc>
        <w:tc>
          <w:tcPr>
            <w:tcW w:w="941" w:type="dxa"/>
            <w:tcBorders>
              <w:top w:val="nil"/>
              <w:left w:val="nil"/>
              <w:bottom w:val="single" w:sz="4" w:space="0" w:color="auto"/>
              <w:right w:val="single" w:sz="4" w:space="0" w:color="auto"/>
            </w:tcBorders>
            <w:shd w:val="clear" w:color="auto" w:fill="auto"/>
            <w:vAlign w:val="center"/>
            <w:hideMark/>
          </w:tcPr>
          <w:p w14:paraId="7639F07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15 237</w:t>
            </w:r>
          </w:p>
        </w:tc>
        <w:tc>
          <w:tcPr>
            <w:tcW w:w="941" w:type="dxa"/>
            <w:tcBorders>
              <w:top w:val="nil"/>
              <w:left w:val="nil"/>
              <w:bottom w:val="single" w:sz="4" w:space="0" w:color="auto"/>
              <w:right w:val="single" w:sz="4" w:space="0" w:color="auto"/>
            </w:tcBorders>
            <w:shd w:val="clear" w:color="auto" w:fill="auto"/>
            <w:vAlign w:val="center"/>
            <w:hideMark/>
          </w:tcPr>
          <w:p w14:paraId="27CC06D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12 590</w:t>
            </w:r>
          </w:p>
        </w:tc>
        <w:tc>
          <w:tcPr>
            <w:tcW w:w="941" w:type="dxa"/>
            <w:tcBorders>
              <w:top w:val="nil"/>
              <w:left w:val="nil"/>
              <w:bottom w:val="single" w:sz="4" w:space="0" w:color="auto"/>
              <w:right w:val="single" w:sz="4" w:space="0" w:color="auto"/>
            </w:tcBorders>
            <w:shd w:val="clear" w:color="auto" w:fill="auto"/>
            <w:vAlign w:val="center"/>
            <w:hideMark/>
          </w:tcPr>
          <w:p w14:paraId="592E28E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11 064</w:t>
            </w:r>
          </w:p>
        </w:tc>
        <w:tc>
          <w:tcPr>
            <w:tcW w:w="941" w:type="dxa"/>
            <w:tcBorders>
              <w:top w:val="nil"/>
              <w:left w:val="nil"/>
              <w:bottom w:val="single" w:sz="4" w:space="0" w:color="auto"/>
              <w:right w:val="single" w:sz="4" w:space="0" w:color="auto"/>
            </w:tcBorders>
            <w:shd w:val="clear" w:color="auto" w:fill="auto"/>
            <w:vAlign w:val="center"/>
            <w:hideMark/>
          </w:tcPr>
          <w:p w14:paraId="5AE45A3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8 145</w:t>
            </w:r>
          </w:p>
        </w:tc>
        <w:tc>
          <w:tcPr>
            <w:tcW w:w="1271" w:type="dxa"/>
            <w:tcBorders>
              <w:top w:val="nil"/>
              <w:left w:val="nil"/>
              <w:bottom w:val="single" w:sz="4" w:space="0" w:color="auto"/>
              <w:right w:val="single" w:sz="4" w:space="0" w:color="auto"/>
            </w:tcBorders>
            <w:shd w:val="clear" w:color="auto" w:fill="auto"/>
            <w:vAlign w:val="center"/>
            <w:hideMark/>
          </w:tcPr>
          <w:p w14:paraId="05650B0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5 454</w:t>
            </w:r>
          </w:p>
        </w:tc>
      </w:tr>
      <w:tr w:rsidR="0053576E" w:rsidRPr="004135FE" w14:paraId="716B06A0"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2E24EF21"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59F6987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tcBorders>
              <w:top w:val="nil"/>
              <w:left w:val="nil"/>
              <w:bottom w:val="single" w:sz="4" w:space="0" w:color="auto"/>
              <w:right w:val="single" w:sz="4" w:space="0" w:color="auto"/>
            </w:tcBorders>
            <w:shd w:val="clear" w:color="auto" w:fill="auto"/>
            <w:vAlign w:val="center"/>
            <w:hideMark/>
          </w:tcPr>
          <w:p w14:paraId="6443A7A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78" w:type="dxa"/>
            <w:tcBorders>
              <w:top w:val="nil"/>
              <w:left w:val="nil"/>
              <w:bottom w:val="single" w:sz="4" w:space="0" w:color="auto"/>
              <w:right w:val="single" w:sz="4" w:space="0" w:color="auto"/>
            </w:tcBorders>
            <w:shd w:val="clear" w:color="auto" w:fill="auto"/>
            <w:vAlign w:val="center"/>
            <w:hideMark/>
          </w:tcPr>
          <w:p w14:paraId="12849CA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3 027</w:t>
            </w:r>
          </w:p>
        </w:tc>
        <w:tc>
          <w:tcPr>
            <w:tcW w:w="879" w:type="dxa"/>
            <w:tcBorders>
              <w:top w:val="nil"/>
              <w:left w:val="nil"/>
              <w:bottom w:val="single" w:sz="4" w:space="0" w:color="auto"/>
              <w:right w:val="single" w:sz="4" w:space="0" w:color="auto"/>
            </w:tcBorders>
            <w:shd w:val="clear" w:color="auto" w:fill="auto"/>
            <w:vAlign w:val="center"/>
            <w:hideMark/>
          </w:tcPr>
          <w:p w14:paraId="0479548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11 770</w:t>
            </w:r>
          </w:p>
        </w:tc>
        <w:tc>
          <w:tcPr>
            <w:tcW w:w="879" w:type="dxa"/>
            <w:tcBorders>
              <w:top w:val="nil"/>
              <w:left w:val="nil"/>
              <w:bottom w:val="single" w:sz="4" w:space="0" w:color="auto"/>
              <w:right w:val="single" w:sz="4" w:space="0" w:color="auto"/>
            </w:tcBorders>
            <w:shd w:val="clear" w:color="auto" w:fill="auto"/>
            <w:vAlign w:val="center"/>
            <w:hideMark/>
          </w:tcPr>
          <w:p w14:paraId="3DABC36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11 679</w:t>
            </w:r>
          </w:p>
        </w:tc>
        <w:tc>
          <w:tcPr>
            <w:tcW w:w="941" w:type="dxa"/>
            <w:tcBorders>
              <w:top w:val="nil"/>
              <w:left w:val="nil"/>
              <w:bottom w:val="single" w:sz="4" w:space="0" w:color="auto"/>
              <w:right w:val="single" w:sz="4" w:space="0" w:color="auto"/>
            </w:tcBorders>
            <w:shd w:val="clear" w:color="auto" w:fill="auto"/>
            <w:vAlign w:val="center"/>
            <w:hideMark/>
          </w:tcPr>
          <w:p w14:paraId="0174783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8 270</w:t>
            </w:r>
          </w:p>
        </w:tc>
        <w:tc>
          <w:tcPr>
            <w:tcW w:w="941" w:type="dxa"/>
            <w:tcBorders>
              <w:top w:val="nil"/>
              <w:left w:val="nil"/>
              <w:bottom w:val="single" w:sz="4" w:space="0" w:color="auto"/>
              <w:right w:val="single" w:sz="4" w:space="0" w:color="auto"/>
            </w:tcBorders>
            <w:shd w:val="clear" w:color="auto" w:fill="auto"/>
            <w:vAlign w:val="center"/>
            <w:hideMark/>
          </w:tcPr>
          <w:p w14:paraId="6C34FDD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3 470</w:t>
            </w:r>
          </w:p>
        </w:tc>
        <w:tc>
          <w:tcPr>
            <w:tcW w:w="941" w:type="dxa"/>
            <w:tcBorders>
              <w:top w:val="nil"/>
              <w:left w:val="nil"/>
              <w:bottom w:val="single" w:sz="4" w:space="0" w:color="auto"/>
              <w:right w:val="single" w:sz="4" w:space="0" w:color="auto"/>
            </w:tcBorders>
            <w:shd w:val="clear" w:color="auto" w:fill="auto"/>
            <w:vAlign w:val="center"/>
            <w:hideMark/>
          </w:tcPr>
          <w:p w14:paraId="47FA365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1 641</w:t>
            </w:r>
          </w:p>
        </w:tc>
        <w:tc>
          <w:tcPr>
            <w:tcW w:w="941" w:type="dxa"/>
            <w:tcBorders>
              <w:top w:val="nil"/>
              <w:left w:val="nil"/>
              <w:bottom w:val="single" w:sz="4" w:space="0" w:color="auto"/>
              <w:right w:val="single" w:sz="4" w:space="0" w:color="auto"/>
            </w:tcBorders>
            <w:shd w:val="clear" w:color="auto" w:fill="auto"/>
            <w:vAlign w:val="center"/>
            <w:hideMark/>
          </w:tcPr>
          <w:p w14:paraId="6503468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13 033</w:t>
            </w:r>
          </w:p>
        </w:tc>
        <w:tc>
          <w:tcPr>
            <w:tcW w:w="941" w:type="dxa"/>
            <w:tcBorders>
              <w:top w:val="nil"/>
              <w:left w:val="nil"/>
              <w:bottom w:val="single" w:sz="4" w:space="0" w:color="auto"/>
              <w:right w:val="single" w:sz="4" w:space="0" w:color="auto"/>
            </w:tcBorders>
            <w:shd w:val="clear" w:color="auto" w:fill="auto"/>
            <w:vAlign w:val="center"/>
            <w:hideMark/>
          </w:tcPr>
          <w:p w14:paraId="49B669B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14 654</w:t>
            </w:r>
          </w:p>
        </w:tc>
        <w:tc>
          <w:tcPr>
            <w:tcW w:w="941" w:type="dxa"/>
            <w:tcBorders>
              <w:top w:val="nil"/>
              <w:left w:val="nil"/>
              <w:bottom w:val="single" w:sz="4" w:space="0" w:color="auto"/>
              <w:right w:val="single" w:sz="4" w:space="0" w:color="auto"/>
            </w:tcBorders>
            <w:shd w:val="clear" w:color="auto" w:fill="auto"/>
            <w:vAlign w:val="center"/>
            <w:hideMark/>
          </w:tcPr>
          <w:p w14:paraId="76033B5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10 554</w:t>
            </w:r>
          </w:p>
        </w:tc>
        <w:tc>
          <w:tcPr>
            <w:tcW w:w="941" w:type="dxa"/>
            <w:tcBorders>
              <w:top w:val="nil"/>
              <w:left w:val="nil"/>
              <w:bottom w:val="single" w:sz="4" w:space="0" w:color="auto"/>
              <w:right w:val="single" w:sz="4" w:space="0" w:color="auto"/>
            </w:tcBorders>
            <w:shd w:val="clear" w:color="auto" w:fill="auto"/>
            <w:vAlign w:val="center"/>
            <w:hideMark/>
          </w:tcPr>
          <w:p w14:paraId="7507937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7 785</w:t>
            </w:r>
          </w:p>
        </w:tc>
        <w:tc>
          <w:tcPr>
            <w:tcW w:w="941" w:type="dxa"/>
            <w:tcBorders>
              <w:top w:val="nil"/>
              <w:left w:val="nil"/>
              <w:bottom w:val="single" w:sz="4" w:space="0" w:color="auto"/>
              <w:right w:val="single" w:sz="4" w:space="0" w:color="auto"/>
            </w:tcBorders>
            <w:shd w:val="clear" w:color="auto" w:fill="auto"/>
            <w:vAlign w:val="center"/>
            <w:hideMark/>
          </w:tcPr>
          <w:p w14:paraId="3EB09AE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3 729</w:t>
            </w:r>
          </w:p>
        </w:tc>
        <w:tc>
          <w:tcPr>
            <w:tcW w:w="1271" w:type="dxa"/>
            <w:tcBorders>
              <w:top w:val="nil"/>
              <w:left w:val="nil"/>
              <w:bottom w:val="single" w:sz="4" w:space="0" w:color="auto"/>
              <w:right w:val="single" w:sz="4" w:space="0" w:color="auto"/>
            </w:tcBorders>
            <w:shd w:val="clear" w:color="auto" w:fill="auto"/>
            <w:vAlign w:val="center"/>
            <w:hideMark/>
          </w:tcPr>
          <w:p w14:paraId="1832D6E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1 671</w:t>
            </w:r>
          </w:p>
        </w:tc>
      </w:tr>
      <w:tr w:rsidR="0053576E" w:rsidRPr="004135FE" w14:paraId="23FF6D7F"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31EA167F"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7C6DCF0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tcBorders>
              <w:top w:val="nil"/>
              <w:left w:val="nil"/>
              <w:bottom w:val="single" w:sz="4" w:space="0" w:color="auto"/>
              <w:right w:val="single" w:sz="4" w:space="0" w:color="auto"/>
            </w:tcBorders>
            <w:shd w:val="clear" w:color="auto" w:fill="auto"/>
            <w:vAlign w:val="center"/>
            <w:hideMark/>
          </w:tcPr>
          <w:p w14:paraId="1BACA8B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78" w:type="dxa"/>
            <w:tcBorders>
              <w:top w:val="nil"/>
              <w:left w:val="nil"/>
              <w:bottom w:val="single" w:sz="4" w:space="0" w:color="auto"/>
              <w:right w:val="single" w:sz="4" w:space="0" w:color="auto"/>
            </w:tcBorders>
            <w:shd w:val="clear" w:color="auto" w:fill="auto"/>
            <w:vAlign w:val="center"/>
            <w:hideMark/>
          </w:tcPr>
          <w:p w14:paraId="49D17ED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3 116</w:t>
            </w:r>
          </w:p>
        </w:tc>
        <w:tc>
          <w:tcPr>
            <w:tcW w:w="879" w:type="dxa"/>
            <w:tcBorders>
              <w:top w:val="nil"/>
              <w:left w:val="nil"/>
              <w:bottom w:val="single" w:sz="4" w:space="0" w:color="auto"/>
              <w:right w:val="single" w:sz="4" w:space="0" w:color="auto"/>
            </w:tcBorders>
            <w:shd w:val="clear" w:color="auto" w:fill="auto"/>
            <w:vAlign w:val="center"/>
            <w:hideMark/>
          </w:tcPr>
          <w:p w14:paraId="04FD1DA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13 184</w:t>
            </w:r>
          </w:p>
        </w:tc>
        <w:tc>
          <w:tcPr>
            <w:tcW w:w="879" w:type="dxa"/>
            <w:tcBorders>
              <w:top w:val="nil"/>
              <w:left w:val="nil"/>
              <w:bottom w:val="single" w:sz="4" w:space="0" w:color="auto"/>
              <w:right w:val="single" w:sz="4" w:space="0" w:color="auto"/>
            </w:tcBorders>
            <w:shd w:val="clear" w:color="auto" w:fill="auto"/>
            <w:vAlign w:val="center"/>
            <w:hideMark/>
          </w:tcPr>
          <w:p w14:paraId="7D679E6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13 704</w:t>
            </w:r>
          </w:p>
        </w:tc>
        <w:tc>
          <w:tcPr>
            <w:tcW w:w="941" w:type="dxa"/>
            <w:tcBorders>
              <w:top w:val="nil"/>
              <w:left w:val="nil"/>
              <w:bottom w:val="single" w:sz="4" w:space="0" w:color="auto"/>
              <w:right w:val="single" w:sz="4" w:space="0" w:color="auto"/>
            </w:tcBorders>
            <w:shd w:val="clear" w:color="auto" w:fill="auto"/>
            <w:vAlign w:val="center"/>
            <w:hideMark/>
          </w:tcPr>
          <w:p w14:paraId="0B34D69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9 793</w:t>
            </w:r>
          </w:p>
        </w:tc>
        <w:tc>
          <w:tcPr>
            <w:tcW w:w="941" w:type="dxa"/>
            <w:tcBorders>
              <w:top w:val="nil"/>
              <w:left w:val="nil"/>
              <w:bottom w:val="single" w:sz="4" w:space="0" w:color="auto"/>
              <w:right w:val="single" w:sz="4" w:space="0" w:color="auto"/>
            </w:tcBorders>
            <w:shd w:val="clear" w:color="auto" w:fill="auto"/>
            <w:vAlign w:val="center"/>
            <w:hideMark/>
          </w:tcPr>
          <w:p w14:paraId="051964C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4 792</w:t>
            </w:r>
          </w:p>
        </w:tc>
        <w:tc>
          <w:tcPr>
            <w:tcW w:w="941" w:type="dxa"/>
            <w:tcBorders>
              <w:top w:val="nil"/>
              <w:left w:val="nil"/>
              <w:bottom w:val="single" w:sz="4" w:space="0" w:color="auto"/>
              <w:right w:val="single" w:sz="4" w:space="0" w:color="auto"/>
            </w:tcBorders>
            <w:shd w:val="clear" w:color="auto" w:fill="auto"/>
            <w:vAlign w:val="center"/>
            <w:hideMark/>
          </w:tcPr>
          <w:p w14:paraId="3A3B0A4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3 696</w:t>
            </w:r>
          </w:p>
        </w:tc>
        <w:tc>
          <w:tcPr>
            <w:tcW w:w="941" w:type="dxa"/>
            <w:tcBorders>
              <w:top w:val="nil"/>
              <w:left w:val="nil"/>
              <w:bottom w:val="single" w:sz="4" w:space="0" w:color="auto"/>
              <w:right w:val="single" w:sz="4" w:space="0" w:color="auto"/>
            </w:tcBorders>
            <w:shd w:val="clear" w:color="auto" w:fill="auto"/>
            <w:vAlign w:val="center"/>
            <w:hideMark/>
          </w:tcPr>
          <w:p w14:paraId="0606B25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19 156</w:t>
            </w:r>
          </w:p>
        </w:tc>
        <w:tc>
          <w:tcPr>
            <w:tcW w:w="941" w:type="dxa"/>
            <w:tcBorders>
              <w:top w:val="nil"/>
              <w:left w:val="nil"/>
              <w:bottom w:val="single" w:sz="4" w:space="0" w:color="auto"/>
              <w:right w:val="single" w:sz="4" w:space="0" w:color="auto"/>
            </w:tcBorders>
            <w:shd w:val="clear" w:color="auto" w:fill="auto"/>
            <w:vAlign w:val="center"/>
            <w:hideMark/>
          </w:tcPr>
          <w:p w14:paraId="49F49E4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18 428</w:t>
            </w:r>
          </w:p>
        </w:tc>
        <w:tc>
          <w:tcPr>
            <w:tcW w:w="941" w:type="dxa"/>
            <w:tcBorders>
              <w:top w:val="nil"/>
              <w:left w:val="nil"/>
              <w:bottom w:val="single" w:sz="4" w:space="0" w:color="auto"/>
              <w:right w:val="single" w:sz="4" w:space="0" w:color="auto"/>
            </w:tcBorders>
            <w:shd w:val="clear" w:color="auto" w:fill="auto"/>
            <w:vAlign w:val="center"/>
            <w:hideMark/>
          </w:tcPr>
          <w:p w14:paraId="4869E2F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14 122</w:t>
            </w:r>
          </w:p>
        </w:tc>
        <w:tc>
          <w:tcPr>
            <w:tcW w:w="941" w:type="dxa"/>
            <w:tcBorders>
              <w:top w:val="nil"/>
              <w:left w:val="nil"/>
              <w:bottom w:val="single" w:sz="4" w:space="0" w:color="auto"/>
              <w:right w:val="single" w:sz="4" w:space="0" w:color="auto"/>
            </w:tcBorders>
            <w:shd w:val="clear" w:color="auto" w:fill="auto"/>
            <w:vAlign w:val="center"/>
            <w:hideMark/>
          </w:tcPr>
          <w:p w14:paraId="2135D6C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12 574</w:t>
            </w:r>
          </w:p>
        </w:tc>
        <w:tc>
          <w:tcPr>
            <w:tcW w:w="941" w:type="dxa"/>
            <w:tcBorders>
              <w:top w:val="nil"/>
              <w:left w:val="nil"/>
              <w:bottom w:val="single" w:sz="4" w:space="0" w:color="auto"/>
              <w:right w:val="single" w:sz="4" w:space="0" w:color="auto"/>
            </w:tcBorders>
            <w:shd w:val="clear" w:color="auto" w:fill="auto"/>
            <w:vAlign w:val="center"/>
            <w:hideMark/>
          </w:tcPr>
          <w:p w14:paraId="297D8C7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8 298</w:t>
            </w:r>
          </w:p>
        </w:tc>
        <w:tc>
          <w:tcPr>
            <w:tcW w:w="1271" w:type="dxa"/>
            <w:tcBorders>
              <w:top w:val="nil"/>
              <w:left w:val="nil"/>
              <w:bottom w:val="single" w:sz="4" w:space="0" w:color="auto"/>
              <w:right w:val="single" w:sz="4" w:space="0" w:color="auto"/>
            </w:tcBorders>
            <w:shd w:val="clear" w:color="auto" w:fill="auto"/>
            <w:vAlign w:val="center"/>
            <w:hideMark/>
          </w:tcPr>
          <w:p w14:paraId="5081F0C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4 619</w:t>
            </w:r>
          </w:p>
        </w:tc>
      </w:tr>
      <w:tr w:rsidR="0053576E" w:rsidRPr="004135FE" w14:paraId="6F6985D9"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19185B22"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566CF17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tcBorders>
              <w:top w:val="nil"/>
              <w:left w:val="nil"/>
              <w:bottom w:val="single" w:sz="4" w:space="0" w:color="auto"/>
              <w:right w:val="single" w:sz="4" w:space="0" w:color="auto"/>
            </w:tcBorders>
            <w:shd w:val="clear" w:color="auto" w:fill="auto"/>
            <w:vAlign w:val="center"/>
            <w:hideMark/>
          </w:tcPr>
          <w:p w14:paraId="2C77E1A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78" w:type="dxa"/>
            <w:tcBorders>
              <w:top w:val="nil"/>
              <w:left w:val="nil"/>
              <w:bottom w:val="single" w:sz="4" w:space="0" w:color="auto"/>
              <w:right w:val="single" w:sz="4" w:space="0" w:color="auto"/>
            </w:tcBorders>
            <w:shd w:val="clear" w:color="auto" w:fill="auto"/>
            <w:vAlign w:val="center"/>
            <w:hideMark/>
          </w:tcPr>
          <w:p w14:paraId="0E17CC5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1 921</w:t>
            </w:r>
          </w:p>
        </w:tc>
        <w:tc>
          <w:tcPr>
            <w:tcW w:w="879" w:type="dxa"/>
            <w:tcBorders>
              <w:top w:val="nil"/>
              <w:left w:val="nil"/>
              <w:bottom w:val="single" w:sz="4" w:space="0" w:color="auto"/>
              <w:right w:val="single" w:sz="4" w:space="0" w:color="auto"/>
            </w:tcBorders>
            <w:shd w:val="clear" w:color="auto" w:fill="auto"/>
            <w:vAlign w:val="center"/>
            <w:hideMark/>
          </w:tcPr>
          <w:p w14:paraId="4205BEF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9 642</w:t>
            </w:r>
          </w:p>
        </w:tc>
        <w:tc>
          <w:tcPr>
            <w:tcW w:w="879" w:type="dxa"/>
            <w:tcBorders>
              <w:top w:val="nil"/>
              <w:left w:val="nil"/>
              <w:bottom w:val="single" w:sz="4" w:space="0" w:color="auto"/>
              <w:right w:val="single" w:sz="4" w:space="0" w:color="auto"/>
            </w:tcBorders>
            <w:shd w:val="clear" w:color="auto" w:fill="auto"/>
            <w:vAlign w:val="center"/>
            <w:hideMark/>
          </w:tcPr>
          <w:p w14:paraId="717C533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10 665</w:t>
            </w:r>
          </w:p>
        </w:tc>
        <w:tc>
          <w:tcPr>
            <w:tcW w:w="941" w:type="dxa"/>
            <w:tcBorders>
              <w:top w:val="nil"/>
              <w:left w:val="nil"/>
              <w:bottom w:val="single" w:sz="4" w:space="0" w:color="auto"/>
              <w:right w:val="single" w:sz="4" w:space="0" w:color="auto"/>
            </w:tcBorders>
            <w:shd w:val="clear" w:color="auto" w:fill="auto"/>
            <w:vAlign w:val="center"/>
            <w:hideMark/>
          </w:tcPr>
          <w:p w14:paraId="4991290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7 972</w:t>
            </w:r>
          </w:p>
        </w:tc>
        <w:tc>
          <w:tcPr>
            <w:tcW w:w="941" w:type="dxa"/>
            <w:tcBorders>
              <w:top w:val="nil"/>
              <w:left w:val="nil"/>
              <w:bottom w:val="single" w:sz="4" w:space="0" w:color="auto"/>
              <w:right w:val="single" w:sz="4" w:space="0" w:color="auto"/>
            </w:tcBorders>
            <w:shd w:val="clear" w:color="auto" w:fill="auto"/>
            <w:vAlign w:val="center"/>
            <w:hideMark/>
          </w:tcPr>
          <w:p w14:paraId="60DF559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6 300</w:t>
            </w:r>
          </w:p>
        </w:tc>
        <w:tc>
          <w:tcPr>
            <w:tcW w:w="941" w:type="dxa"/>
            <w:tcBorders>
              <w:top w:val="nil"/>
              <w:left w:val="nil"/>
              <w:bottom w:val="single" w:sz="4" w:space="0" w:color="auto"/>
              <w:right w:val="single" w:sz="4" w:space="0" w:color="auto"/>
            </w:tcBorders>
            <w:shd w:val="clear" w:color="auto" w:fill="auto"/>
            <w:vAlign w:val="center"/>
            <w:hideMark/>
          </w:tcPr>
          <w:p w14:paraId="72E38B9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10 813</w:t>
            </w:r>
          </w:p>
        </w:tc>
        <w:tc>
          <w:tcPr>
            <w:tcW w:w="941" w:type="dxa"/>
            <w:tcBorders>
              <w:top w:val="nil"/>
              <w:left w:val="nil"/>
              <w:bottom w:val="single" w:sz="4" w:space="0" w:color="auto"/>
              <w:right w:val="single" w:sz="4" w:space="0" w:color="auto"/>
            </w:tcBorders>
            <w:shd w:val="clear" w:color="auto" w:fill="auto"/>
            <w:vAlign w:val="center"/>
            <w:hideMark/>
          </w:tcPr>
          <w:p w14:paraId="1E6E5AB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39 951</w:t>
            </w:r>
          </w:p>
        </w:tc>
        <w:tc>
          <w:tcPr>
            <w:tcW w:w="941" w:type="dxa"/>
            <w:tcBorders>
              <w:top w:val="nil"/>
              <w:left w:val="nil"/>
              <w:bottom w:val="single" w:sz="4" w:space="0" w:color="auto"/>
              <w:right w:val="single" w:sz="4" w:space="0" w:color="auto"/>
            </w:tcBorders>
            <w:shd w:val="clear" w:color="auto" w:fill="auto"/>
            <w:vAlign w:val="center"/>
            <w:hideMark/>
          </w:tcPr>
          <w:p w14:paraId="0A9A45D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16 492</w:t>
            </w:r>
          </w:p>
        </w:tc>
        <w:tc>
          <w:tcPr>
            <w:tcW w:w="941" w:type="dxa"/>
            <w:tcBorders>
              <w:top w:val="nil"/>
              <w:left w:val="nil"/>
              <w:bottom w:val="single" w:sz="4" w:space="0" w:color="auto"/>
              <w:right w:val="single" w:sz="4" w:space="0" w:color="auto"/>
            </w:tcBorders>
            <w:shd w:val="clear" w:color="auto" w:fill="auto"/>
            <w:vAlign w:val="center"/>
            <w:hideMark/>
          </w:tcPr>
          <w:p w14:paraId="5B76278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13 364</w:t>
            </w:r>
          </w:p>
        </w:tc>
        <w:tc>
          <w:tcPr>
            <w:tcW w:w="941" w:type="dxa"/>
            <w:tcBorders>
              <w:top w:val="nil"/>
              <w:left w:val="nil"/>
              <w:bottom w:val="single" w:sz="4" w:space="0" w:color="auto"/>
              <w:right w:val="single" w:sz="4" w:space="0" w:color="auto"/>
            </w:tcBorders>
            <w:shd w:val="clear" w:color="auto" w:fill="auto"/>
            <w:vAlign w:val="center"/>
            <w:hideMark/>
          </w:tcPr>
          <w:p w14:paraId="5ED6C7B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11 656</w:t>
            </w:r>
          </w:p>
        </w:tc>
        <w:tc>
          <w:tcPr>
            <w:tcW w:w="941" w:type="dxa"/>
            <w:tcBorders>
              <w:top w:val="nil"/>
              <w:left w:val="nil"/>
              <w:bottom w:val="single" w:sz="4" w:space="0" w:color="auto"/>
              <w:right w:val="single" w:sz="4" w:space="0" w:color="auto"/>
            </w:tcBorders>
            <w:shd w:val="clear" w:color="auto" w:fill="auto"/>
            <w:vAlign w:val="center"/>
            <w:hideMark/>
          </w:tcPr>
          <w:p w14:paraId="70B7E23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8 194</w:t>
            </w:r>
          </w:p>
        </w:tc>
        <w:tc>
          <w:tcPr>
            <w:tcW w:w="1271" w:type="dxa"/>
            <w:tcBorders>
              <w:top w:val="nil"/>
              <w:left w:val="nil"/>
              <w:bottom w:val="single" w:sz="4" w:space="0" w:color="auto"/>
              <w:right w:val="single" w:sz="4" w:space="0" w:color="auto"/>
            </w:tcBorders>
            <w:shd w:val="clear" w:color="auto" w:fill="auto"/>
            <w:vAlign w:val="center"/>
            <w:hideMark/>
          </w:tcPr>
          <w:p w14:paraId="596E16B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5 034</w:t>
            </w:r>
          </w:p>
        </w:tc>
      </w:tr>
      <w:tr w:rsidR="0053576E" w:rsidRPr="004135FE" w14:paraId="43F4D34B"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3E40D835"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58B3453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tcBorders>
              <w:top w:val="nil"/>
              <w:left w:val="nil"/>
              <w:bottom w:val="single" w:sz="4" w:space="0" w:color="auto"/>
              <w:right w:val="single" w:sz="4" w:space="0" w:color="auto"/>
            </w:tcBorders>
            <w:shd w:val="clear" w:color="auto" w:fill="auto"/>
            <w:vAlign w:val="center"/>
            <w:hideMark/>
          </w:tcPr>
          <w:p w14:paraId="70723DC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78" w:type="dxa"/>
            <w:tcBorders>
              <w:top w:val="nil"/>
              <w:left w:val="nil"/>
              <w:bottom w:val="single" w:sz="4" w:space="0" w:color="auto"/>
              <w:right w:val="single" w:sz="4" w:space="0" w:color="auto"/>
            </w:tcBorders>
            <w:shd w:val="clear" w:color="auto" w:fill="auto"/>
            <w:vAlign w:val="center"/>
            <w:hideMark/>
          </w:tcPr>
          <w:p w14:paraId="69B887A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1 679</w:t>
            </w:r>
          </w:p>
        </w:tc>
        <w:tc>
          <w:tcPr>
            <w:tcW w:w="879" w:type="dxa"/>
            <w:tcBorders>
              <w:top w:val="nil"/>
              <w:left w:val="nil"/>
              <w:bottom w:val="single" w:sz="4" w:space="0" w:color="auto"/>
              <w:right w:val="single" w:sz="4" w:space="0" w:color="auto"/>
            </w:tcBorders>
            <w:shd w:val="clear" w:color="auto" w:fill="auto"/>
            <w:vAlign w:val="center"/>
            <w:hideMark/>
          </w:tcPr>
          <w:p w14:paraId="673910D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7 361</w:t>
            </w:r>
          </w:p>
        </w:tc>
        <w:tc>
          <w:tcPr>
            <w:tcW w:w="879" w:type="dxa"/>
            <w:tcBorders>
              <w:top w:val="nil"/>
              <w:left w:val="nil"/>
              <w:bottom w:val="single" w:sz="4" w:space="0" w:color="auto"/>
              <w:right w:val="single" w:sz="4" w:space="0" w:color="auto"/>
            </w:tcBorders>
            <w:shd w:val="clear" w:color="auto" w:fill="auto"/>
            <w:vAlign w:val="center"/>
            <w:hideMark/>
          </w:tcPr>
          <w:p w14:paraId="13472B7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8 377</w:t>
            </w:r>
          </w:p>
        </w:tc>
        <w:tc>
          <w:tcPr>
            <w:tcW w:w="941" w:type="dxa"/>
            <w:tcBorders>
              <w:top w:val="nil"/>
              <w:left w:val="nil"/>
              <w:bottom w:val="single" w:sz="4" w:space="0" w:color="auto"/>
              <w:right w:val="single" w:sz="4" w:space="0" w:color="auto"/>
            </w:tcBorders>
            <w:shd w:val="clear" w:color="auto" w:fill="auto"/>
            <w:vAlign w:val="center"/>
            <w:hideMark/>
          </w:tcPr>
          <w:p w14:paraId="2C5C6D7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5 821</w:t>
            </w:r>
          </w:p>
        </w:tc>
        <w:tc>
          <w:tcPr>
            <w:tcW w:w="941" w:type="dxa"/>
            <w:tcBorders>
              <w:top w:val="nil"/>
              <w:left w:val="nil"/>
              <w:bottom w:val="single" w:sz="4" w:space="0" w:color="auto"/>
              <w:right w:val="single" w:sz="4" w:space="0" w:color="auto"/>
            </w:tcBorders>
            <w:shd w:val="clear" w:color="auto" w:fill="auto"/>
            <w:vAlign w:val="center"/>
            <w:hideMark/>
          </w:tcPr>
          <w:p w14:paraId="70E16A1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2 667</w:t>
            </w:r>
          </w:p>
        </w:tc>
        <w:tc>
          <w:tcPr>
            <w:tcW w:w="941" w:type="dxa"/>
            <w:tcBorders>
              <w:top w:val="nil"/>
              <w:left w:val="nil"/>
              <w:bottom w:val="single" w:sz="4" w:space="0" w:color="auto"/>
              <w:right w:val="single" w:sz="4" w:space="0" w:color="auto"/>
            </w:tcBorders>
            <w:shd w:val="clear" w:color="auto" w:fill="auto"/>
            <w:vAlign w:val="center"/>
            <w:hideMark/>
          </w:tcPr>
          <w:p w14:paraId="12B0D79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1 909</w:t>
            </w:r>
          </w:p>
        </w:tc>
        <w:tc>
          <w:tcPr>
            <w:tcW w:w="941" w:type="dxa"/>
            <w:tcBorders>
              <w:top w:val="nil"/>
              <w:left w:val="nil"/>
              <w:bottom w:val="single" w:sz="4" w:space="0" w:color="auto"/>
              <w:right w:val="single" w:sz="4" w:space="0" w:color="auto"/>
            </w:tcBorders>
            <w:shd w:val="clear" w:color="auto" w:fill="auto"/>
            <w:vAlign w:val="center"/>
            <w:hideMark/>
          </w:tcPr>
          <w:p w14:paraId="254B9BD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12 848</w:t>
            </w:r>
          </w:p>
        </w:tc>
        <w:tc>
          <w:tcPr>
            <w:tcW w:w="941" w:type="dxa"/>
            <w:tcBorders>
              <w:top w:val="nil"/>
              <w:left w:val="nil"/>
              <w:bottom w:val="single" w:sz="4" w:space="0" w:color="auto"/>
              <w:right w:val="single" w:sz="4" w:space="0" w:color="auto"/>
            </w:tcBorders>
            <w:shd w:val="clear" w:color="auto" w:fill="auto"/>
            <w:vAlign w:val="center"/>
            <w:hideMark/>
          </w:tcPr>
          <w:p w14:paraId="60A654B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12 471</w:t>
            </w:r>
          </w:p>
        </w:tc>
        <w:tc>
          <w:tcPr>
            <w:tcW w:w="941" w:type="dxa"/>
            <w:tcBorders>
              <w:top w:val="nil"/>
              <w:left w:val="nil"/>
              <w:bottom w:val="single" w:sz="4" w:space="0" w:color="auto"/>
              <w:right w:val="single" w:sz="4" w:space="0" w:color="auto"/>
            </w:tcBorders>
            <w:shd w:val="clear" w:color="auto" w:fill="auto"/>
            <w:vAlign w:val="center"/>
            <w:hideMark/>
          </w:tcPr>
          <w:p w14:paraId="680D6AA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8 993</w:t>
            </w:r>
          </w:p>
        </w:tc>
        <w:tc>
          <w:tcPr>
            <w:tcW w:w="941" w:type="dxa"/>
            <w:tcBorders>
              <w:top w:val="nil"/>
              <w:left w:val="nil"/>
              <w:bottom w:val="single" w:sz="4" w:space="0" w:color="auto"/>
              <w:right w:val="single" w:sz="4" w:space="0" w:color="auto"/>
            </w:tcBorders>
            <w:shd w:val="clear" w:color="auto" w:fill="auto"/>
            <w:vAlign w:val="center"/>
            <w:hideMark/>
          </w:tcPr>
          <w:p w14:paraId="65C1E8B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7 519</w:t>
            </w:r>
          </w:p>
        </w:tc>
        <w:tc>
          <w:tcPr>
            <w:tcW w:w="941" w:type="dxa"/>
            <w:tcBorders>
              <w:top w:val="nil"/>
              <w:left w:val="nil"/>
              <w:bottom w:val="single" w:sz="4" w:space="0" w:color="auto"/>
              <w:right w:val="single" w:sz="4" w:space="0" w:color="auto"/>
            </w:tcBorders>
            <w:shd w:val="clear" w:color="auto" w:fill="auto"/>
            <w:vAlign w:val="center"/>
            <w:hideMark/>
          </w:tcPr>
          <w:p w14:paraId="5B091F4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4 305</w:t>
            </w:r>
          </w:p>
        </w:tc>
        <w:tc>
          <w:tcPr>
            <w:tcW w:w="1271" w:type="dxa"/>
            <w:tcBorders>
              <w:top w:val="nil"/>
              <w:left w:val="nil"/>
              <w:bottom w:val="single" w:sz="4" w:space="0" w:color="auto"/>
              <w:right w:val="single" w:sz="4" w:space="0" w:color="auto"/>
            </w:tcBorders>
            <w:shd w:val="clear" w:color="auto" w:fill="auto"/>
            <w:vAlign w:val="center"/>
            <w:hideMark/>
          </w:tcPr>
          <w:p w14:paraId="0801B12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2 019</w:t>
            </w:r>
          </w:p>
        </w:tc>
      </w:tr>
      <w:tr w:rsidR="0053576E" w:rsidRPr="004135FE" w14:paraId="0A5BEA44"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225AC6B4"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0F85B4C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tcBorders>
              <w:top w:val="nil"/>
              <w:left w:val="nil"/>
              <w:bottom w:val="single" w:sz="4" w:space="0" w:color="auto"/>
              <w:right w:val="single" w:sz="4" w:space="0" w:color="auto"/>
            </w:tcBorders>
            <w:shd w:val="clear" w:color="auto" w:fill="auto"/>
            <w:vAlign w:val="center"/>
            <w:hideMark/>
          </w:tcPr>
          <w:p w14:paraId="17759B9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78" w:type="dxa"/>
            <w:tcBorders>
              <w:top w:val="nil"/>
              <w:left w:val="nil"/>
              <w:bottom w:val="single" w:sz="4" w:space="0" w:color="auto"/>
              <w:right w:val="single" w:sz="4" w:space="0" w:color="auto"/>
            </w:tcBorders>
            <w:shd w:val="clear" w:color="auto" w:fill="auto"/>
            <w:vAlign w:val="center"/>
            <w:hideMark/>
          </w:tcPr>
          <w:p w14:paraId="15DE295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1 918</w:t>
            </w:r>
          </w:p>
        </w:tc>
        <w:tc>
          <w:tcPr>
            <w:tcW w:w="879" w:type="dxa"/>
            <w:tcBorders>
              <w:top w:val="nil"/>
              <w:left w:val="nil"/>
              <w:bottom w:val="single" w:sz="4" w:space="0" w:color="auto"/>
              <w:right w:val="single" w:sz="4" w:space="0" w:color="auto"/>
            </w:tcBorders>
            <w:shd w:val="clear" w:color="auto" w:fill="auto"/>
            <w:vAlign w:val="center"/>
            <w:hideMark/>
          </w:tcPr>
          <w:p w14:paraId="06E5181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9 039</w:t>
            </w:r>
          </w:p>
        </w:tc>
        <w:tc>
          <w:tcPr>
            <w:tcW w:w="879" w:type="dxa"/>
            <w:tcBorders>
              <w:top w:val="nil"/>
              <w:left w:val="nil"/>
              <w:bottom w:val="single" w:sz="4" w:space="0" w:color="auto"/>
              <w:right w:val="single" w:sz="4" w:space="0" w:color="auto"/>
            </w:tcBorders>
            <w:shd w:val="clear" w:color="auto" w:fill="auto"/>
            <w:vAlign w:val="center"/>
            <w:hideMark/>
          </w:tcPr>
          <w:p w14:paraId="1DDA259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10 855</w:t>
            </w:r>
          </w:p>
        </w:tc>
        <w:tc>
          <w:tcPr>
            <w:tcW w:w="941" w:type="dxa"/>
            <w:tcBorders>
              <w:top w:val="nil"/>
              <w:left w:val="nil"/>
              <w:bottom w:val="single" w:sz="4" w:space="0" w:color="auto"/>
              <w:right w:val="single" w:sz="4" w:space="0" w:color="auto"/>
            </w:tcBorders>
            <w:shd w:val="clear" w:color="auto" w:fill="auto"/>
            <w:vAlign w:val="center"/>
            <w:hideMark/>
          </w:tcPr>
          <w:p w14:paraId="54E1CA2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8 066</w:t>
            </w:r>
          </w:p>
        </w:tc>
        <w:tc>
          <w:tcPr>
            <w:tcW w:w="941" w:type="dxa"/>
            <w:tcBorders>
              <w:top w:val="nil"/>
              <w:left w:val="nil"/>
              <w:bottom w:val="single" w:sz="4" w:space="0" w:color="auto"/>
              <w:right w:val="single" w:sz="4" w:space="0" w:color="auto"/>
            </w:tcBorders>
            <w:shd w:val="clear" w:color="auto" w:fill="auto"/>
            <w:vAlign w:val="center"/>
            <w:hideMark/>
          </w:tcPr>
          <w:p w14:paraId="75153D5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3 539</w:t>
            </w:r>
          </w:p>
        </w:tc>
        <w:tc>
          <w:tcPr>
            <w:tcW w:w="941" w:type="dxa"/>
            <w:tcBorders>
              <w:top w:val="nil"/>
              <w:left w:val="nil"/>
              <w:bottom w:val="single" w:sz="4" w:space="0" w:color="auto"/>
              <w:right w:val="single" w:sz="4" w:space="0" w:color="auto"/>
            </w:tcBorders>
            <w:shd w:val="clear" w:color="auto" w:fill="auto"/>
            <w:vAlign w:val="center"/>
            <w:hideMark/>
          </w:tcPr>
          <w:p w14:paraId="4AE01B0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3 004</w:t>
            </w:r>
          </w:p>
        </w:tc>
        <w:tc>
          <w:tcPr>
            <w:tcW w:w="941" w:type="dxa"/>
            <w:tcBorders>
              <w:top w:val="nil"/>
              <w:left w:val="nil"/>
              <w:bottom w:val="single" w:sz="4" w:space="0" w:color="auto"/>
              <w:right w:val="single" w:sz="4" w:space="0" w:color="auto"/>
            </w:tcBorders>
            <w:shd w:val="clear" w:color="auto" w:fill="auto"/>
            <w:vAlign w:val="center"/>
            <w:hideMark/>
          </w:tcPr>
          <w:p w14:paraId="1279103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13 202</w:t>
            </w:r>
          </w:p>
        </w:tc>
        <w:tc>
          <w:tcPr>
            <w:tcW w:w="941" w:type="dxa"/>
            <w:tcBorders>
              <w:top w:val="nil"/>
              <w:left w:val="nil"/>
              <w:bottom w:val="single" w:sz="4" w:space="0" w:color="auto"/>
              <w:right w:val="single" w:sz="4" w:space="0" w:color="auto"/>
            </w:tcBorders>
            <w:shd w:val="clear" w:color="auto" w:fill="auto"/>
            <w:vAlign w:val="center"/>
            <w:hideMark/>
          </w:tcPr>
          <w:p w14:paraId="4970DF4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12 908</w:t>
            </w:r>
          </w:p>
        </w:tc>
        <w:tc>
          <w:tcPr>
            <w:tcW w:w="941" w:type="dxa"/>
            <w:tcBorders>
              <w:top w:val="nil"/>
              <w:left w:val="nil"/>
              <w:bottom w:val="single" w:sz="4" w:space="0" w:color="auto"/>
              <w:right w:val="single" w:sz="4" w:space="0" w:color="auto"/>
            </w:tcBorders>
            <w:shd w:val="clear" w:color="auto" w:fill="auto"/>
            <w:vAlign w:val="center"/>
            <w:hideMark/>
          </w:tcPr>
          <w:p w14:paraId="0A33A9C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10 124</w:t>
            </w:r>
          </w:p>
        </w:tc>
        <w:tc>
          <w:tcPr>
            <w:tcW w:w="941" w:type="dxa"/>
            <w:tcBorders>
              <w:top w:val="nil"/>
              <w:left w:val="nil"/>
              <w:bottom w:val="single" w:sz="4" w:space="0" w:color="auto"/>
              <w:right w:val="single" w:sz="4" w:space="0" w:color="auto"/>
            </w:tcBorders>
            <w:shd w:val="clear" w:color="auto" w:fill="auto"/>
            <w:vAlign w:val="center"/>
            <w:hideMark/>
          </w:tcPr>
          <w:p w14:paraId="7B05D79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9 354</w:t>
            </w:r>
          </w:p>
        </w:tc>
        <w:tc>
          <w:tcPr>
            <w:tcW w:w="941" w:type="dxa"/>
            <w:tcBorders>
              <w:top w:val="nil"/>
              <w:left w:val="nil"/>
              <w:bottom w:val="single" w:sz="4" w:space="0" w:color="auto"/>
              <w:right w:val="single" w:sz="4" w:space="0" w:color="auto"/>
            </w:tcBorders>
            <w:shd w:val="clear" w:color="auto" w:fill="auto"/>
            <w:vAlign w:val="center"/>
            <w:hideMark/>
          </w:tcPr>
          <w:p w14:paraId="2A2DA07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6 450</w:t>
            </w:r>
          </w:p>
        </w:tc>
        <w:tc>
          <w:tcPr>
            <w:tcW w:w="1271" w:type="dxa"/>
            <w:tcBorders>
              <w:top w:val="nil"/>
              <w:left w:val="nil"/>
              <w:bottom w:val="single" w:sz="4" w:space="0" w:color="auto"/>
              <w:right w:val="single" w:sz="4" w:space="0" w:color="auto"/>
            </w:tcBorders>
            <w:shd w:val="clear" w:color="auto" w:fill="auto"/>
            <w:vAlign w:val="center"/>
            <w:hideMark/>
          </w:tcPr>
          <w:p w14:paraId="3370D30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3 814</w:t>
            </w:r>
          </w:p>
        </w:tc>
      </w:tr>
      <w:tr w:rsidR="0053576E" w:rsidRPr="004135FE" w14:paraId="4C4DCEA1"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0336F3D2"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6E346CD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tcBorders>
              <w:top w:val="nil"/>
              <w:left w:val="nil"/>
              <w:bottom w:val="single" w:sz="4" w:space="0" w:color="auto"/>
              <w:right w:val="single" w:sz="4" w:space="0" w:color="auto"/>
            </w:tcBorders>
            <w:shd w:val="clear" w:color="auto" w:fill="auto"/>
            <w:vAlign w:val="center"/>
            <w:hideMark/>
          </w:tcPr>
          <w:p w14:paraId="6C40851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78" w:type="dxa"/>
            <w:tcBorders>
              <w:top w:val="nil"/>
              <w:left w:val="nil"/>
              <w:bottom w:val="single" w:sz="4" w:space="0" w:color="auto"/>
              <w:right w:val="single" w:sz="4" w:space="0" w:color="auto"/>
            </w:tcBorders>
            <w:shd w:val="clear" w:color="auto" w:fill="auto"/>
            <w:vAlign w:val="center"/>
            <w:hideMark/>
          </w:tcPr>
          <w:p w14:paraId="023EC66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688</w:t>
            </w:r>
          </w:p>
        </w:tc>
        <w:tc>
          <w:tcPr>
            <w:tcW w:w="879" w:type="dxa"/>
            <w:tcBorders>
              <w:top w:val="nil"/>
              <w:left w:val="nil"/>
              <w:bottom w:val="single" w:sz="4" w:space="0" w:color="auto"/>
              <w:right w:val="single" w:sz="4" w:space="0" w:color="auto"/>
            </w:tcBorders>
            <w:shd w:val="clear" w:color="auto" w:fill="auto"/>
            <w:vAlign w:val="center"/>
            <w:hideMark/>
          </w:tcPr>
          <w:p w14:paraId="3D4E51C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2 764</w:t>
            </w:r>
          </w:p>
        </w:tc>
        <w:tc>
          <w:tcPr>
            <w:tcW w:w="879" w:type="dxa"/>
            <w:tcBorders>
              <w:top w:val="nil"/>
              <w:left w:val="nil"/>
              <w:bottom w:val="single" w:sz="4" w:space="0" w:color="auto"/>
              <w:right w:val="single" w:sz="4" w:space="0" w:color="auto"/>
            </w:tcBorders>
            <w:shd w:val="clear" w:color="auto" w:fill="auto"/>
            <w:vAlign w:val="center"/>
            <w:hideMark/>
          </w:tcPr>
          <w:p w14:paraId="00A442E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2 765</w:t>
            </w:r>
          </w:p>
        </w:tc>
        <w:tc>
          <w:tcPr>
            <w:tcW w:w="941" w:type="dxa"/>
            <w:tcBorders>
              <w:top w:val="nil"/>
              <w:left w:val="nil"/>
              <w:bottom w:val="single" w:sz="4" w:space="0" w:color="auto"/>
              <w:right w:val="single" w:sz="4" w:space="0" w:color="auto"/>
            </w:tcBorders>
            <w:shd w:val="clear" w:color="auto" w:fill="auto"/>
            <w:vAlign w:val="center"/>
            <w:hideMark/>
          </w:tcPr>
          <w:p w14:paraId="38A62DF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1 980</w:t>
            </w:r>
          </w:p>
        </w:tc>
        <w:tc>
          <w:tcPr>
            <w:tcW w:w="941" w:type="dxa"/>
            <w:tcBorders>
              <w:top w:val="nil"/>
              <w:left w:val="nil"/>
              <w:bottom w:val="single" w:sz="4" w:space="0" w:color="auto"/>
              <w:right w:val="single" w:sz="4" w:space="0" w:color="auto"/>
            </w:tcBorders>
            <w:shd w:val="clear" w:color="auto" w:fill="auto"/>
            <w:vAlign w:val="center"/>
            <w:hideMark/>
          </w:tcPr>
          <w:p w14:paraId="5A3F3FF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809</w:t>
            </w:r>
          </w:p>
        </w:tc>
        <w:tc>
          <w:tcPr>
            <w:tcW w:w="941" w:type="dxa"/>
            <w:tcBorders>
              <w:top w:val="nil"/>
              <w:left w:val="nil"/>
              <w:bottom w:val="single" w:sz="4" w:space="0" w:color="auto"/>
              <w:right w:val="single" w:sz="4" w:space="0" w:color="auto"/>
            </w:tcBorders>
            <w:shd w:val="clear" w:color="auto" w:fill="auto"/>
            <w:vAlign w:val="center"/>
            <w:hideMark/>
          </w:tcPr>
          <w:p w14:paraId="4785D21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404</w:t>
            </w:r>
          </w:p>
        </w:tc>
        <w:tc>
          <w:tcPr>
            <w:tcW w:w="941" w:type="dxa"/>
            <w:tcBorders>
              <w:top w:val="nil"/>
              <w:left w:val="nil"/>
              <w:bottom w:val="single" w:sz="4" w:space="0" w:color="auto"/>
              <w:right w:val="single" w:sz="4" w:space="0" w:color="auto"/>
            </w:tcBorders>
            <w:shd w:val="clear" w:color="auto" w:fill="auto"/>
            <w:vAlign w:val="center"/>
            <w:hideMark/>
          </w:tcPr>
          <w:p w14:paraId="73DA147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3 569</w:t>
            </w:r>
          </w:p>
        </w:tc>
        <w:tc>
          <w:tcPr>
            <w:tcW w:w="941" w:type="dxa"/>
            <w:tcBorders>
              <w:top w:val="nil"/>
              <w:left w:val="nil"/>
              <w:bottom w:val="single" w:sz="4" w:space="0" w:color="auto"/>
              <w:right w:val="single" w:sz="4" w:space="0" w:color="auto"/>
            </w:tcBorders>
            <w:shd w:val="clear" w:color="auto" w:fill="auto"/>
            <w:vAlign w:val="center"/>
            <w:hideMark/>
          </w:tcPr>
          <w:p w14:paraId="104F53E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4 014</w:t>
            </w:r>
          </w:p>
        </w:tc>
        <w:tc>
          <w:tcPr>
            <w:tcW w:w="941" w:type="dxa"/>
            <w:tcBorders>
              <w:top w:val="nil"/>
              <w:left w:val="nil"/>
              <w:bottom w:val="single" w:sz="4" w:space="0" w:color="auto"/>
              <w:right w:val="single" w:sz="4" w:space="0" w:color="auto"/>
            </w:tcBorders>
            <w:shd w:val="clear" w:color="auto" w:fill="auto"/>
            <w:vAlign w:val="center"/>
            <w:hideMark/>
          </w:tcPr>
          <w:p w14:paraId="4E535DF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3 021</w:t>
            </w:r>
          </w:p>
        </w:tc>
        <w:tc>
          <w:tcPr>
            <w:tcW w:w="941" w:type="dxa"/>
            <w:tcBorders>
              <w:top w:val="nil"/>
              <w:left w:val="nil"/>
              <w:bottom w:val="single" w:sz="4" w:space="0" w:color="auto"/>
              <w:right w:val="single" w:sz="4" w:space="0" w:color="auto"/>
            </w:tcBorders>
            <w:shd w:val="clear" w:color="auto" w:fill="auto"/>
            <w:vAlign w:val="center"/>
            <w:hideMark/>
          </w:tcPr>
          <w:p w14:paraId="6F49001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2 536</w:t>
            </w:r>
          </w:p>
        </w:tc>
        <w:tc>
          <w:tcPr>
            <w:tcW w:w="941" w:type="dxa"/>
            <w:tcBorders>
              <w:top w:val="nil"/>
              <w:left w:val="nil"/>
              <w:bottom w:val="single" w:sz="4" w:space="0" w:color="auto"/>
              <w:right w:val="single" w:sz="4" w:space="0" w:color="auto"/>
            </w:tcBorders>
            <w:shd w:val="clear" w:color="auto" w:fill="auto"/>
            <w:vAlign w:val="center"/>
            <w:hideMark/>
          </w:tcPr>
          <w:p w14:paraId="5E96062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1 413</w:t>
            </w:r>
          </w:p>
        </w:tc>
        <w:tc>
          <w:tcPr>
            <w:tcW w:w="1271" w:type="dxa"/>
            <w:tcBorders>
              <w:top w:val="nil"/>
              <w:left w:val="nil"/>
              <w:bottom w:val="single" w:sz="4" w:space="0" w:color="auto"/>
              <w:right w:val="single" w:sz="4" w:space="0" w:color="auto"/>
            </w:tcBorders>
            <w:shd w:val="clear" w:color="auto" w:fill="auto"/>
            <w:vAlign w:val="center"/>
            <w:hideMark/>
          </w:tcPr>
          <w:p w14:paraId="3C776AE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681</w:t>
            </w:r>
          </w:p>
        </w:tc>
      </w:tr>
      <w:tr w:rsidR="0053576E" w:rsidRPr="004135FE" w14:paraId="495ED98F"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5FFCC9BB"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7FD4039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tcBorders>
              <w:top w:val="nil"/>
              <w:left w:val="nil"/>
              <w:bottom w:val="single" w:sz="4" w:space="0" w:color="auto"/>
              <w:right w:val="single" w:sz="4" w:space="0" w:color="auto"/>
            </w:tcBorders>
            <w:shd w:val="clear" w:color="auto" w:fill="auto"/>
            <w:vAlign w:val="center"/>
            <w:hideMark/>
          </w:tcPr>
          <w:p w14:paraId="0399BC7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78" w:type="dxa"/>
            <w:tcBorders>
              <w:top w:val="nil"/>
              <w:left w:val="nil"/>
              <w:bottom w:val="single" w:sz="4" w:space="0" w:color="auto"/>
              <w:right w:val="single" w:sz="4" w:space="0" w:color="auto"/>
            </w:tcBorders>
            <w:shd w:val="clear" w:color="auto" w:fill="auto"/>
            <w:vAlign w:val="center"/>
            <w:hideMark/>
          </w:tcPr>
          <w:p w14:paraId="3BDF5B7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1 644</w:t>
            </w:r>
          </w:p>
        </w:tc>
        <w:tc>
          <w:tcPr>
            <w:tcW w:w="879" w:type="dxa"/>
            <w:tcBorders>
              <w:top w:val="nil"/>
              <w:left w:val="nil"/>
              <w:bottom w:val="single" w:sz="4" w:space="0" w:color="auto"/>
              <w:right w:val="single" w:sz="4" w:space="0" w:color="auto"/>
            </w:tcBorders>
            <w:shd w:val="clear" w:color="auto" w:fill="auto"/>
            <w:vAlign w:val="center"/>
            <w:hideMark/>
          </w:tcPr>
          <w:p w14:paraId="02C506A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7 527</w:t>
            </w:r>
          </w:p>
        </w:tc>
        <w:tc>
          <w:tcPr>
            <w:tcW w:w="879" w:type="dxa"/>
            <w:tcBorders>
              <w:top w:val="nil"/>
              <w:left w:val="nil"/>
              <w:bottom w:val="single" w:sz="4" w:space="0" w:color="auto"/>
              <w:right w:val="single" w:sz="4" w:space="0" w:color="auto"/>
            </w:tcBorders>
            <w:shd w:val="clear" w:color="auto" w:fill="auto"/>
            <w:vAlign w:val="center"/>
            <w:hideMark/>
          </w:tcPr>
          <w:p w14:paraId="5B9DECE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8 446</w:t>
            </w:r>
          </w:p>
        </w:tc>
        <w:tc>
          <w:tcPr>
            <w:tcW w:w="941" w:type="dxa"/>
            <w:tcBorders>
              <w:top w:val="nil"/>
              <w:left w:val="nil"/>
              <w:bottom w:val="single" w:sz="4" w:space="0" w:color="auto"/>
              <w:right w:val="single" w:sz="4" w:space="0" w:color="auto"/>
            </w:tcBorders>
            <w:shd w:val="clear" w:color="auto" w:fill="auto"/>
            <w:vAlign w:val="center"/>
            <w:hideMark/>
          </w:tcPr>
          <w:p w14:paraId="5495E31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6 075</w:t>
            </w:r>
          </w:p>
        </w:tc>
        <w:tc>
          <w:tcPr>
            <w:tcW w:w="941" w:type="dxa"/>
            <w:tcBorders>
              <w:top w:val="nil"/>
              <w:left w:val="nil"/>
              <w:bottom w:val="single" w:sz="4" w:space="0" w:color="auto"/>
              <w:right w:val="single" w:sz="4" w:space="0" w:color="auto"/>
            </w:tcBorders>
            <w:shd w:val="clear" w:color="auto" w:fill="auto"/>
            <w:vAlign w:val="center"/>
            <w:hideMark/>
          </w:tcPr>
          <w:p w14:paraId="1534AD7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3 738</w:t>
            </w:r>
          </w:p>
        </w:tc>
        <w:tc>
          <w:tcPr>
            <w:tcW w:w="941" w:type="dxa"/>
            <w:tcBorders>
              <w:top w:val="nil"/>
              <w:left w:val="nil"/>
              <w:bottom w:val="single" w:sz="4" w:space="0" w:color="auto"/>
              <w:right w:val="single" w:sz="4" w:space="0" w:color="auto"/>
            </w:tcBorders>
            <w:shd w:val="clear" w:color="auto" w:fill="auto"/>
            <w:vAlign w:val="center"/>
            <w:hideMark/>
          </w:tcPr>
          <w:p w14:paraId="20EE664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2 876</w:t>
            </w:r>
          </w:p>
        </w:tc>
        <w:tc>
          <w:tcPr>
            <w:tcW w:w="941" w:type="dxa"/>
            <w:tcBorders>
              <w:top w:val="nil"/>
              <w:left w:val="nil"/>
              <w:bottom w:val="single" w:sz="4" w:space="0" w:color="auto"/>
              <w:right w:val="single" w:sz="4" w:space="0" w:color="auto"/>
            </w:tcBorders>
            <w:shd w:val="clear" w:color="auto" w:fill="auto"/>
            <w:vAlign w:val="center"/>
            <w:hideMark/>
          </w:tcPr>
          <w:p w14:paraId="74D5607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17 079</w:t>
            </w:r>
          </w:p>
        </w:tc>
        <w:tc>
          <w:tcPr>
            <w:tcW w:w="941" w:type="dxa"/>
            <w:tcBorders>
              <w:top w:val="nil"/>
              <w:left w:val="nil"/>
              <w:bottom w:val="single" w:sz="4" w:space="0" w:color="auto"/>
              <w:right w:val="single" w:sz="4" w:space="0" w:color="auto"/>
            </w:tcBorders>
            <w:shd w:val="clear" w:color="auto" w:fill="auto"/>
            <w:vAlign w:val="center"/>
            <w:hideMark/>
          </w:tcPr>
          <w:p w14:paraId="38E1BBE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17 774</w:t>
            </w:r>
          </w:p>
        </w:tc>
        <w:tc>
          <w:tcPr>
            <w:tcW w:w="941" w:type="dxa"/>
            <w:tcBorders>
              <w:top w:val="nil"/>
              <w:left w:val="nil"/>
              <w:bottom w:val="single" w:sz="4" w:space="0" w:color="auto"/>
              <w:right w:val="single" w:sz="4" w:space="0" w:color="auto"/>
            </w:tcBorders>
            <w:shd w:val="clear" w:color="auto" w:fill="auto"/>
            <w:vAlign w:val="center"/>
            <w:hideMark/>
          </w:tcPr>
          <w:p w14:paraId="46F323B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12 940</w:t>
            </w:r>
          </w:p>
        </w:tc>
        <w:tc>
          <w:tcPr>
            <w:tcW w:w="941" w:type="dxa"/>
            <w:tcBorders>
              <w:top w:val="nil"/>
              <w:left w:val="nil"/>
              <w:bottom w:val="single" w:sz="4" w:space="0" w:color="auto"/>
              <w:right w:val="single" w:sz="4" w:space="0" w:color="auto"/>
            </w:tcBorders>
            <w:shd w:val="clear" w:color="auto" w:fill="auto"/>
            <w:vAlign w:val="center"/>
            <w:hideMark/>
          </w:tcPr>
          <w:p w14:paraId="78AE6BF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11 652</w:t>
            </w:r>
          </w:p>
        </w:tc>
        <w:tc>
          <w:tcPr>
            <w:tcW w:w="941" w:type="dxa"/>
            <w:tcBorders>
              <w:top w:val="nil"/>
              <w:left w:val="nil"/>
              <w:bottom w:val="single" w:sz="4" w:space="0" w:color="auto"/>
              <w:right w:val="single" w:sz="4" w:space="0" w:color="auto"/>
            </w:tcBorders>
            <w:shd w:val="clear" w:color="auto" w:fill="auto"/>
            <w:vAlign w:val="center"/>
            <w:hideMark/>
          </w:tcPr>
          <w:p w14:paraId="5671A57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7 347</w:t>
            </w:r>
          </w:p>
        </w:tc>
        <w:tc>
          <w:tcPr>
            <w:tcW w:w="1271" w:type="dxa"/>
            <w:tcBorders>
              <w:top w:val="nil"/>
              <w:left w:val="nil"/>
              <w:bottom w:val="single" w:sz="4" w:space="0" w:color="auto"/>
              <w:right w:val="single" w:sz="4" w:space="0" w:color="auto"/>
            </w:tcBorders>
            <w:shd w:val="clear" w:color="auto" w:fill="auto"/>
            <w:vAlign w:val="center"/>
            <w:hideMark/>
          </w:tcPr>
          <w:p w14:paraId="60E4ECD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3 268</w:t>
            </w:r>
          </w:p>
        </w:tc>
      </w:tr>
      <w:tr w:rsidR="0053576E" w:rsidRPr="004135FE" w14:paraId="0C3CA0F8" w14:textId="77777777" w:rsidTr="00680E37">
        <w:trPr>
          <w:cantSplit/>
          <w:trHeight w:val="227"/>
        </w:trPr>
        <w:tc>
          <w:tcPr>
            <w:tcW w:w="553"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56CD1A8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2017год</w:t>
            </w:r>
          </w:p>
        </w:tc>
        <w:tc>
          <w:tcPr>
            <w:tcW w:w="373" w:type="dxa"/>
            <w:tcBorders>
              <w:top w:val="nil"/>
              <w:left w:val="nil"/>
              <w:bottom w:val="single" w:sz="4" w:space="0" w:color="auto"/>
              <w:right w:val="single" w:sz="4" w:space="0" w:color="auto"/>
            </w:tcBorders>
            <w:shd w:val="clear" w:color="auto" w:fill="auto"/>
            <w:vAlign w:val="bottom"/>
            <w:hideMark/>
          </w:tcPr>
          <w:p w14:paraId="158006F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tcBorders>
              <w:top w:val="nil"/>
              <w:left w:val="nil"/>
              <w:bottom w:val="single" w:sz="4" w:space="0" w:color="auto"/>
              <w:right w:val="single" w:sz="4" w:space="0" w:color="auto"/>
            </w:tcBorders>
            <w:shd w:val="clear" w:color="auto" w:fill="auto"/>
            <w:vAlign w:val="center"/>
            <w:hideMark/>
          </w:tcPr>
          <w:p w14:paraId="6B96E0C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78" w:type="dxa"/>
            <w:tcBorders>
              <w:top w:val="nil"/>
              <w:left w:val="nil"/>
              <w:bottom w:val="single" w:sz="4" w:space="0" w:color="auto"/>
              <w:right w:val="single" w:sz="4" w:space="0" w:color="auto"/>
            </w:tcBorders>
            <w:shd w:val="clear" w:color="auto" w:fill="auto"/>
            <w:vAlign w:val="center"/>
            <w:hideMark/>
          </w:tcPr>
          <w:p w14:paraId="1639357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2 083</w:t>
            </w:r>
          </w:p>
        </w:tc>
        <w:tc>
          <w:tcPr>
            <w:tcW w:w="879" w:type="dxa"/>
            <w:tcBorders>
              <w:top w:val="nil"/>
              <w:left w:val="nil"/>
              <w:bottom w:val="single" w:sz="4" w:space="0" w:color="auto"/>
              <w:right w:val="single" w:sz="4" w:space="0" w:color="auto"/>
            </w:tcBorders>
            <w:shd w:val="clear" w:color="auto" w:fill="auto"/>
            <w:vAlign w:val="center"/>
            <w:hideMark/>
          </w:tcPr>
          <w:p w14:paraId="2BC4D8B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9 828</w:t>
            </w:r>
          </w:p>
        </w:tc>
        <w:tc>
          <w:tcPr>
            <w:tcW w:w="879" w:type="dxa"/>
            <w:tcBorders>
              <w:top w:val="nil"/>
              <w:left w:val="nil"/>
              <w:bottom w:val="single" w:sz="4" w:space="0" w:color="auto"/>
              <w:right w:val="single" w:sz="4" w:space="0" w:color="auto"/>
            </w:tcBorders>
            <w:shd w:val="clear" w:color="auto" w:fill="auto"/>
            <w:vAlign w:val="center"/>
            <w:hideMark/>
          </w:tcPr>
          <w:p w14:paraId="39B9DC9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11 273</w:t>
            </w:r>
          </w:p>
        </w:tc>
        <w:tc>
          <w:tcPr>
            <w:tcW w:w="941" w:type="dxa"/>
            <w:tcBorders>
              <w:top w:val="nil"/>
              <w:left w:val="nil"/>
              <w:bottom w:val="single" w:sz="4" w:space="0" w:color="auto"/>
              <w:right w:val="single" w:sz="4" w:space="0" w:color="auto"/>
            </w:tcBorders>
            <w:shd w:val="clear" w:color="auto" w:fill="auto"/>
            <w:vAlign w:val="center"/>
            <w:hideMark/>
          </w:tcPr>
          <w:p w14:paraId="2A4F471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8 939</w:t>
            </w:r>
          </w:p>
        </w:tc>
        <w:tc>
          <w:tcPr>
            <w:tcW w:w="941" w:type="dxa"/>
            <w:tcBorders>
              <w:top w:val="nil"/>
              <w:left w:val="nil"/>
              <w:bottom w:val="single" w:sz="4" w:space="0" w:color="auto"/>
              <w:right w:val="single" w:sz="4" w:space="0" w:color="auto"/>
            </w:tcBorders>
            <w:shd w:val="clear" w:color="auto" w:fill="auto"/>
            <w:vAlign w:val="center"/>
            <w:hideMark/>
          </w:tcPr>
          <w:p w14:paraId="3E683CB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4 588</w:t>
            </w:r>
          </w:p>
        </w:tc>
        <w:tc>
          <w:tcPr>
            <w:tcW w:w="941" w:type="dxa"/>
            <w:tcBorders>
              <w:top w:val="nil"/>
              <w:left w:val="nil"/>
              <w:bottom w:val="single" w:sz="4" w:space="0" w:color="auto"/>
              <w:right w:val="single" w:sz="4" w:space="0" w:color="auto"/>
            </w:tcBorders>
            <w:shd w:val="clear" w:color="auto" w:fill="auto"/>
            <w:vAlign w:val="center"/>
            <w:hideMark/>
          </w:tcPr>
          <w:p w14:paraId="3FED104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5 465</w:t>
            </w:r>
          </w:p>
        </w:tc>
        <w:tc>
          <w:tcPr>
            <w:tcW w:w="941" w:type="dxa"/>
            <w:tcBorders>
              <w:top w:val="nil"/>
              <w:left w:val="nil"/>
              <w:bottom w:val="single" w:sz="4" w:space="0" w:color="auto"/>
              <w:right w:val="single" w:sz="4" w:space="0" w:color="auto"/>
            </w:tcBorders>
            <w:shd w:val="clear" w:color="auto" w:fill="auto"/>
            <w:vAlign w:val="center"/>
            <w:hideMark/>
          </w:tcPr>
          <w:p w14:paraId="0495E2D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27 811</w:t>
            </w:r>
          </w:p>
        </w:tc>
        <w:tc>
          <w:tcPr>
            <w:tcW w:w="941" w:type="dxa"/>
            <w:tcBorders>
              <w:top w:val="nil"/>
              <w:left w:val="nil"/>
              <w:bottom w:val="single" w:sz="4" w:space="0" w:color="auto"/>
              <w:right w:val="single" w:sz="4" w:space="0" w:color="auto"/>
            </w:tcBorders>
            <w:shd w:val="clear" w:color="auto" w:fill="auto"/>
            <w:vAlign w:val="center"/>
            <w:hideMark/>
          </w:tcPr>
          <w:p w14:paraId="052CE9D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21 529</w:t>
            </w:r>
          </w:p>
        </w:tc>
        <w:tc>
          <w:tcPr>
            <w:tcW w:w="941" w:type="dxa"/>
            <w:tcBorders>
              <w:top w:val="nil"/>
              <w:left w:val="nil"/>
              <w:bottom w:val="single" w:sz="4" w:space="0" w:color="auto"/>
              <w:right w:val="single" w:sz="4" w:space="0" w:color="auto"/>
            </w:tcBorders>
            <w:shd w:val="clear" w:color="auto" w:fill="auto"/>
            <w:vAlign w:val="center"/>
            <w:hideMark/>
          </w:tcPr>
          <w:p w14:paraId="2712ACE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16 377</w:t>
            </w:r>
          </w:p>
        </w:tc>
        <w:tc>
          <w:tcPr>
            <w:tcW w:w="941" w:type="dxa"/>
            <w:tcBorders>
              <w:top w:val="nil"/>
              <w:left w:val="nil"/>
              <w:bottom w:val="single" w:sz="4" w:space="0" w:color="auto"/>
              <w:right w:val="single" w:sz="4" w:space="0" w:color="auto"/>
            </w:tcBorders>
            <w:shd w:val="clear" w:color="auto" w:fill="auto"/>
            <w:vAlign w:val="center"/>
            <w:hideMark/>
          </w:tcPr>
          <w:p w14:paraId="127EDED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13 737</w:t>
            </w:r>
          </w:p>
        </w:tc>
        <w:tc>
          <w:tcPr>
            <w:tcW w:w="941" w:type="dxa"/>
            <w:tcBorders>
              <w:top w:val="nil"/>
              <w:left w:val="nil"/>
              <w:bottom w:val="single" w:sz="4" w:space="0" w:color="auto"/>
              <w:right w:val="single" w:sz="4" w:space="0" w:color="auto"/>
            </w:tcBorders>
            <w:shd w:val="clear" w:color="auto" w:fill="auto"/>
            <w:vAlign w:val="center"/>
            <w:hideMark/>
          </w:tcPr>
          <w:p w14:paraId="2837092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9 542</w:t>
            </w:r>
          </w:p>
        </w:tc>
        <w:tc>
          <w:tcPr>
            <w:tcW w:w="1271" w:type="dxa"/>
            <w:tcBorders>
              <w:top w:val="nil"/>
              <w:left w:val="nil"/>
              <w:bottom w:val="single" w:sz="4" w:space="0" w:color="auto"/>
              <w:right w:val="single" w:sz="4" w:space="0" w:color="auto"/>
            </w:tcBorders>
            <w:shd w:val="clear" w:color="auto" w:fill="auto"/>
            <w:vAlign w:val="center"/>
            <w:hideMark/>
          </w:tcPr>
          <w:p w14:paraId="62665E4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6 220</w:t>
            </w:r>
          </w:p>
        </w:tc>
      </w:tr>
      <w:tr w:rsidR="0053576E" w:rsidRPr="004135FE" w14:paraId="206B01F0"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0CF7FA47"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2049216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tcBorders>
              <w:top w:val="nil"/>
              <w:left w:val="nil"/>
              <w:bottom w:val="single" w:sz="4" w:space="0" w:color="auto"/>
              <w:right w:val="single" w:sz="4" w:space="0" w:color="auto"/>
            </w:tcBorders>
            <w:shd w:val="clear" w:color="auto" w:fill="auto"/>
            <w:vAlign w:val="center"/>
            <w:hideMark/>
          </w:tcPr>
          <w:p w14:paraId="30933B5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78" w:type="dxa"/>
            <w:tcBorders>
              <w:top w:val="nil"/>
              <w:left w:val="nil"/>
              <w:bottom w:val="single" w:sz="4" w:space="0" w:color="auto"/>
              <w:right w:val="single" w:sz="4" w:space="0" w:color="auto"/>
            </w:tcBorders>
            <w:shd w:val="clear" w:color="auto" w:fill="auto"/>
            <w:vAlign w:val="center"/>
            <w:hideMark/>
          </w:tcPr>
          <w:p w14:paraId="1B57768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3 218</w:t>
            </w:r>
          </w:p>
        </w:tc>
        <w:tc>
          <w:tcPr>
            <w:tcW w:w="879" w:type="dxa"/>
            <w:tcBorders>
              <w:top w:val="nil"/>
              <w:left w:val="nil"/>
              <w:bottom w:val="single" w:sz="4" w:space="0" w:color="auto"/>
              <w:right w:val="single" w:sz="4" w:space="0" w:color="auto"/>
            </w:tcBorders>
            <w:shd w:val="clear" w:color="auto" w:fill="auto"/>
            <w:vAlign w:val="center"/>
            <w:hideMark/>
          </w:tcPr>
          <w:p w14:paraId="056B0CA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12 720</w:t>
            </w:r>
          </w:p>
        </w:tc>
        <w:tc>
          <w:tcPr>
            <w:tcW w:w="879" w:type="dxa"/>
            <w:tcBorders>
              <w:top w:val="nil"/>
              <w:left w:val="nil"/>
              <w:bottom w:val="single" w:sz="4" w:space="0" w:color="auto"/>
              <w:right w:val="single" w:sz="4" w:space="0" w:color="auto"/>
            </w:tcBorders>
            <w:shd w:val="clear" w:color="auto" w:fill="auto"/>
            <w:vAlign w:val="center"/>
            <w:hideMark/>
          </w:tcPr>
          <w:p w14:paraId="76D16D4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12 303</w:t>
            </w:r>
          </w:p>
        </w:tc>
        <w:tc>
          <w:tcPr>
            <w:tcW w:w="941" w:type="dxa"/>
            <w:tcBorders>
              <w:top w:val="nil"/>
              <w:left w:val="nil"/>
              <w:bottom w:val="single" w:sz="4" w:space="0" w:color="auto"/>
              <w:right w:val="single" w:sz="4" w:space="0" w:color="auto"/>
            </w:tcBorders>
            <w:shd w:val="clear" w:color="auto" w:fill="auto"/>
            <w:vAlign w:val="center"/>
            <w:hideMark/>
          </w:tcPr>
          <w:p w14:paraId="5B5A64B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8 878</w:t>
            </w:r>
          </w:p>
        </w:tc>
        <w:tc>
          <w:tcPr>
            <w:tcW w:w="941" w:type="dxa"/>
            <w:tcBorders>
              <w:top w:val="nil"/>
              <w:left w:val="nil"/>
              <w:bottom w:val="single" w:sz="4" w:space="0" w:color="auto"/>
              <w:right w:val="single" w:sz="4" w:space="0" w:color="auto"/>
            </w:tcBorders>
            <w:shd w:val="clear" w:color="auto" w:fill="auto"/>
            <w:vAlign w:val="center"/>
            <w:hideMark/>
          </w:tcPr>
          <w:p w14:paraId="35D64FD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3 520</w:t>
            </w:r>
          </w:p>
        </w:tc>
        <w:tc>
          <w:tcPr>
            <w:tcW w:w="941" w:type="dxa"/>
            <w:tcBorders>
              <w:top w:val="nil"/>
              <w:left w:val="nil"/>
              <w:bottom w:val="single" w:sz="4" w:space="0" w:color="auto"/>
              <w:right w:val="single" w:sz="4" w:space="0" w:color="auto"/>
            </w:tcBorders>
            <w:shd w:val="clear" w:color="auto" w:fill="auto"/>
            <w:vAlign w:val="center"/>
            <w:hideMark/>
          </w:tcPr>
          <w:p w14:paraId="79C1CE0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1 657</w:t>
            </w:r>
          </w:p>
        </w:tc>
        <w:tc>
          <w:tcPr>
            <w:tcW w:w="941" w:type="dxa"/>
            <w:tcBorders>
              <w:top w:val="nil"/>
              <w:left w:val="nil"/>
              <w:bottom w:val="single" w:sz="4" w:space="0" w:color="auto"/>
              <w:right w:val="single" w:sz="4" w:space="0" w:color="auto"/>
            </w:tcBorders>
            <w:shd w:val="clear" w:color="auto" w:fill="auto"/>
            <w:vAlign w:val="center"/>
            <w:hideMark/>
          </w:tcPr>
          <w:p w14:paraId="1B0919F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12 974</w:t>
            </w:r>
          </w:p>
        </w:tc>
        <w:tc>
          <w:tcPr>
            <w:tcW w:w="941" w:type="dxa"/>
            <w:tcBorders>
              <w:top w:val="nil"/>
              <w:left w:val="nil"/>
              <w:bottom w:val="single" w:sz="4" w:space="0" w:color="auto"/>
              <w:right w:val="single" w:sz="4" w:space="0" w:color="auto"/>
            </w:tcBorders>
            <w:shd w:val="clear" w:color="auto" w:fill="auto"/>
            <w:vAlign w:val="center"/>
            <w:hideMark/>
          </w:tcPr>
          <w:p w14:paraId="4734E5B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15 500</w:t>
            </w:r>
          </w:p>
        </w:tc>
        <w:tc>
          <w:tcPr>
            <w:tcW w:w="941" w:type="dxa"/>
            <w:tcBorders>
              <w:top w:val="nil"/>
              <w:left w:val="nil"/>
              <w:bottom w:val="single" w:sz="4" w:space="0" w:color="auto"/>
              <w:right w:val="single" w:sz="4" w:space="0" w:color="auto"/>
            </w:tcBorders>
            <w:shd w:val="clear" w:color="auto" w:fill="auto"/>
            <w:vAlign w:val="center"/>
            <w:hideMark/>
          </w:tcPr>
          <w:p w14:paraId="535DECB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10 842</w:t>
            </w:r>
          </w:p>
        </w:tc>
        <w:tc>
          <w:tcPr>
            <w:tcW w:w="941" w:type="dxa"/>
            <w:tcBorders>
              <w:top w:val="nil"/>
              <w:left w:val="nil"/>
              <w:bottom w:val="single" w:sz="4" w:space="0" w:color="auto"/>
              <w:right w:val="single" w:sz="4" w:space="0" w:color="auto"/>
            </w:tcBorders>
            <w:shd w:val="clear" w:color="auto" w:fill="auto"/>
            <w:vAlign w:val="center"/>
            <w:hideMark/>
          </w:tcPr>
          <w:p w14:paraId="554FABC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7 980</w:t>
            </w:r>
          </w:p>
        </w:tc>
        <w:tc>
          <w:tcPr>
            <w:tcW w:w="941" w:type="dxa"/>
            <w:tcBorders>
              <w:top w:val="nil"/>
              <w:left w:val="nil"/>
              <w:bottom w:val="single" w:sz="4" w:space="0" w:color="auto"/>
              <w:right w:val="single" w:sz="4" w:space="0" w:color="auto"/>
            </w:tcBorders>
            <w:shd w:val="clear" w:color="auto" w:fill="auto"/>
            <w:vAlign w:val="center"/>
            <w:hideMark/>
          </w:tcPr>
          <w:p w14:paraId="6C7EF0E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3 898</w:t>
            </w:r>
          </w:p>
        </w:tc>
        <w:tc>
          <w:tcPr>
            <w:tcW w:w="1271" w:type="dxa"/>
            <w:tcBorders>
              <w:top w:val="nil"/>
              <w:left w:val="nil"/>
              <w:bottom w:val="single" w:sz="4" w:space="0" w:color="auto"/>
              <w:right w:val="single" w:sz="4" w:space="0" w:color="auto"/>
            </w:tcBorders>
            <w:shd w:val="clear" w:color="auto" w:fill="auto"/>
            <w:vAlign w:val="center"/>
            <w:hideMark/>
          </w:tcPr>
          <w:p w14:paraId="5CED8DE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1 687</w:t>
            </w:r>
          </w:p>
        </w:tc>
      </w:tr>
    </w:tbl>
    <w:p w14:paraId="2ACA285B" w14:textId="77777777" w:rsidR="00680E37" w:rsidRDefault="00680E37" w:rsidP="00680E37">
      <w:pPr>
        <w:rPr>
          <w:rFonts w:ascii="Times New Roman" w:eastAsia="Times New Roman" w:hAnsi="Times New Roman" w:cs="Times New Roman"/>
          <w:sz w:val="28"/>
          <w:szCs w:val="28"/>
        </w:rPr>
      </w:pPr>
    </w:p>
    <w:p w14:paraId="0129B449" w14:textId="252A92FA" w:rsidR="00680E37" w:rsidRPr="00680E37" w:rsidRDefault="00680E37">
      <w:pPr>
        <w:rPr>
          <w:rFonts w:ascii="Times New Roman" w:eastAsia="Times New Roman" w:hAnsi="Times New Roman" w:cs="Times New Roman"/>
          <w:sz w:val="28"/>
          <w:szCs w:val="28"/>
        </w:rPr>
      </w:pPr>
      <w:r w:rsidRPr="00680E37">
        <w:rPr>
          <w:rFonts w:ascii="Times New Roman" w:eastAsia="Times New Roman" w:hAnsi="Times New Roman" w:cs="Times New Roman"/>
          <w:sz w:val="28"/>
          <w:szCs w:val="28"/>
        </w:rPr>
        <w:t>Продолжение таблицы А</w:t>
      </w:r>
      <w:r>
        <w:rPr>
          <w:rFonts w:ascii="Times New Roman" w:eastAsia="Times New Roman" w:hAnsi="Times New Roman" w:cs="Times New Roman"/>
          <w:sz w:val="28"/>
          <w:szCs w:val="28"/>
        </w:rPr>
        <w:t>6</w:t>
      </w:r>
    </w:p>
    <w:tbl>
      <w:tblPr>
        <w:tblW w:w="14459" w:type="dxa"/>
        <w:tblInd w:w="-5" w:type="dxa"/>
        <w:tblLook w:val="04A0" w:firstRow="1" w:lastRow="0" w:firstColumn="1" w:lastColumn="0" w:noHBand="0" w:noVBand="1"/>
      </w:tblPr>
      <w:tblGrid>
        <w:gridCol w:w="553"/>
        <w:gridCol w:w="373"/>
        <w:gridCol w:w="2098"/>
        <w:gridCol w:w="878"/>
        <w:gridCol w:w="879"/>
        <w:gridCol w:w="879"/>
        <w:gridCol w:w="941"/>
        <w:gridCol w:w="941"/>
        <w:gridCol w:w="941"/>
        <w:gridCol w:w="941"/>
        <w:gridCol w:w="941"/>
        <w:gridCol w:w="941"/>
        <w:gridCol w:w="941"/>
        <w:gridCol w:w="941"/>
        <w:gridCol w:w="1271"/>
      </w:tblGrid>
      <w:tr w:rsidR="0053576E" w:rsidRPr="004135FE" w14:paraId="7585A7FA" w14:textId="77777777" w:rsidTr="00680E37">
        <w:trPr>
          <w:cantSplit/>
          <w:trHeight w:val="227"/>
        </w:trPr>
        <w:tc>
          <w:tcPr>
            <w:tcW w:w="553" w:type="dxa"/>
            <w:vMerge w:val="restart"/>
            <w:tcBorders>
              <w:top w:val="single" w:sz="4" w:space="0" w:color="auto"/>
              <w:left w:val="single" w:sz="4" w:space="0" w:color="auto"/>
              <w:bottom w:val="single" w:sz="4" w:space="0" w:color="auto"/>
              <w:right w:val="single" w:sz="4" w:space="0" w:color="auto"/>
            </w:tcBorders>
            <w:vAlign w:val="center"/>
            <w:hideMark/>
          </w:tcPr>
          <w:p w14:paraId="44360E2F"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single" w:sz="4" w:space="0" w:color="auto"/>
              <w:left w:val="nil"/>
              <w:bottom w:val="single" w:sz="4" w:space="0" w:color="auto"/>
              <w:right w:val="single" w:sz="4" w:space="0" w:color="auto"/>
            </w:tcBorders>
            <w:shd w:val="clear" w:color="auto" w:fill="auto"/>
            <w:vAlign w:val="bottom"/>
            <w:hideMark/>
          </w:tcPr>
          <w:p w14:paraId="68CAEB2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tcBorders>
              <w:top w:val="single" w:sz="4" w:space="0" w:color="auto"/>
              <w:left w:val="nil"/>
              <w:bottom w:val="single" w:sz="4" w:space="0" w:color="auto"/>
              <w:right w:val="single" w:sz="4" w:space="0" w:color="auto"/>
            </w:tcBorders>
            <w:shd w:val="clear" w:color="auto" w:fill="auto"/>
            <w:vAlign w:val="center"/>
            <w:hideMark/>
          </w:tcPr>
          <w:p w14:paraId="4BAD0FD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78" w:type="dxa"/>
            <w:tcBorders>
              <w:top w:val="single" w:sz="4" w:space="0" w:color="auto"/>
              <w:left w:val="nil"/>
              <w:bottom w:val="single" w:sz="4" w:space="0" w:color="auto"/>
              <w:right w:val="single" w:sz="4" w:space="0" w:color="auto"/>
            </w:tcBorders>
            <w:shd w:val="clear" w:color="auto" w:fill="auto"/>
            <w:vAlign w:val="center"/>
            <w:hideMark/>
          </w:tcPr>
          <w:p w14:paraId="4945739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2 604</w:t>
            </w:r>
          </w:p>
        </w:tc>
        <w:tc>
          <w:tcPr>
            <w:tcW w:w="879" w:type="dxa"/>
            <w:tcBorders>
              <w:top w:val="single" w:sz="4" w:space="0" w:color="auto"/>
              <w:left w:val="nil"/>
              <w:bottom w:val="single" w:sz="4" w:space="0" w:color="auto"/>
              <w:right w:val="single" w:sz="4" w:space="0" w:color="auto"/>
            </w:tcBorders>
            <w:shd w:val="clear" w:color="auto" w:fill="auto"/>
            <w:vAlign w:val="center"/>
            <w:hideMark/>
          </w:tcPr>
          <w:p w14:paraId="086F279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11 729</w:t>
            </w:r>
          </w:p>
        </w:tc>
        <w:tc>
          <w:tcPr>
            <w:tcW w:w="879" w:type="dxa"/>
            <w:tcBorders>
              <w:top w:val="single" w:sz="4" w:space="0" w:color="auto"/>
              <w:left w:val="nil"/>
              <w:bottom w:val="single" w:sz="4" w:space="0" w:color="auto"/>
              <w:right w:val="single" w:sz="4" w:space="0" w:color="auto"/>
            </w:tcBorders>
            <w:shd w:val="clear" w:color="auto" w:fill="auto"/>
            <w:vAlign w:val="center"/>
            <w:hideMark/>
          </w:tcPr>
          <w:p w14:paraId="2B4EA24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12 680</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02B3354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9 738</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301008A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4 969</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72291EC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3 728</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2E8D970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18 348</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08E8856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19 027</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5B524BF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13 862</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7F38CEC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12 004</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416224F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8 008</w:t>
            </w:r>
          </w:p>
        </w:tc>
        <w:tc>
          <w:tcPr>
            <w:tcW w:w="1271" w:type="dxa"/>
            <w:tcBorders>
              <w:top w:val="single" w:sz="4" w:space="0" w:color="auto"/>
              <w:left w:val="nil"/>
              <w:bottom w:val="single" w:sz="4" w:space="0" w:color="auto"/>
              <w:right w:val="single" w:sz="4" w:space="0" w:color="auto"/>
            </w:tcBorders>
            <w:shd w:val="clear" w:color="auto" w:fill="auto"/>
            <w:vAlign w:val="center"/>
            <w:hideMark/>
          </w:tcPr>
          <w:p w14:paraId="6D306AF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4 577</w:t>
            </w:r>
          </w:p>
        </w:tc>
      </w:tr>
      <w:tr w:rsidR="0053576E" w:rsidRPr="004135FE" w14:paraId="7808E6E1"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238A1F07"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04D5171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tcBorders>
              <w:top w:val="nil"/>
              <w:left w:val="nil"/>
              <w:bottom w:val="single" w:sz="4" w:space="0" w:color="auto"/>
              <w:right w:val="single" w:sz="4" w:space="0" w:color="auto"/>
            </w:tcBorders>
            <w:shd w:val="clear" w:color="auto" w:fill="auto"/>
            <w:vAlign w:val="center"/>
            <w:hideMark/>
          </w:tcPr>
          <w:p w14:paraId="7DE405D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78" w:type="dxa"/>
            <w:tcBorders>
              <w:top w:val="nil"/>
              <w:left w:val="nil"/>
              <w:bottom w:val="single" w:sz="4" w:space="0" w:color="auto"/>
              <w:right w:val="single" w:sz="4" w:space="0" w:color="auto"/>
            </w:tcBorders>
            <w:shd w:val="clear" w:color="auto" w:fill="auto"/>
            <w:vAlign w:val="center"/>
            <w:hideMark/>
          </w:tcPr>
          <w:p w14:paraId="2FC0778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2 044</w:t>
            </w:r>
          </w:p>
        </w:tc>
        <w:tc>
          <w:tcPr>
            <w:tcW w:w="879" w:type="dxa"/>
            <w:tcBorders>
              <w:top w:val="nil"/>
              <w:left w:val="nil"/>
              <w:bottom w:val="single" w:sz="4" w:space="0" w:color="auto"/>
              <w:right w:val="single" w:sz="4" w:space="0" w:color="auto"/>
            </w:tcBorders>
            <w:shd w:val="clear" w:color="auto" w:fill="auto"/>
            <w:vAlign w:val="center"/>
            <w:hideMark/>
          </w:tcPr>
          <w:p w14:paraId="05B5291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9 810</w:t>
            </w:r>
          </w:p>
        </w:tc>
        <w:tc>
          <w:tcPr>
            <w:tcW w:w="879" w:type="dxa"/>
            <w:tcBorders>
              <w:top w:val="nil"/>
              <w:left w:val="nil"/>
              <w:bottom w:val="single" w:sz="4" w:space="0" w:color="auto"/>
              <w:right w:val="single" w:sz="4" w:space="0" w:color="auto"/>
            </w:tcBorders>
            <w:shd w:val="clear" w:color="auto" w:fill="auto"/>
            <w:vAlign w:val="center"/>
            <w:hideMark/>
          </w:tcPr>
          <w:p w14:paraId="11F71F8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11 222</w:t>
            </w:r>
          </w:p>
        </w:tc>
        <w:tc>
          <w:tcPr>
            <w:tcW w:w="941" w:type="dxa"/>
            <w:tcBorders>
              <w:top w:val="nil"/>
              <w:left w:val="nil"/>
              <w:bottom w:val="single" w:sz="4" w:space="0" w:color="auto"/>
              <w:right w:val="single" w:sz="4" w:space="0" w:color="auto"/>
            </w:tcBorders>
            <w:shd w:val="clear" w:color="auto" w:fill="auto"/>
            <w:vAlign w:val="center"/>
            <w:hideMark/>
          </w:tcPr>
          <w:p w14:paraId="5081E17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8 691</w:t>
            </w:r>
          </w:p>
        </w:tc>
        <w:tc>
          <w:tcPr>
            <w:tcW w:w="941" w:type="dxa"/>
            <w:tcBorders>
              <w:top w:val="nil"/>
              <w:left w:val="nil"/>
              <w:bottom w:val="single" w:sz="4" w:space="0" w:color="auto"/>
              <w:right w:val="single" w:sz="4" w:space="0" w:color="auto"/>
            </w:tcBorders>
            <w:shd w:val="clear" w:color="auto" w:fill="auto"/>
            <w:vAlign w:val="center"/>
            <w:hideMark/>
          </w:tcPr>
          <w:p w14:paraId="21B2DD5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5 794</w:t>
            </w:r>
          </w:p>
        </w:tc>
        <w:tc>
          <w:tcPr>
            <w:tcW w:w="941" w:type="dxa"/>
            <w:tcBorders>
              <w:top w:val="nil"/>
              <w:left w:val="nil"/>
              <w:bottom w:val="single" w:sz="4" w:space="0" w:color="auto"/>
              <w:right w:val="single" w:sz="4" w:space="0" w:color="auto"/>
            </w:tcBorders>
            <w:shd w:val="clear" w:color="auto" w:fill="auto"/>
            <w:vAlign w:val="center"/>
            <w:hideMark/>
          </w:tcPr>
          <w:p w14:paraId="65E1D69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9 328</w:t>
            </w:r>
          </w:p>
        </w:tc>
        <w:tc>
          <w:tcPr>
            <w:tcW w:w="941" w:type="dxa"/>
            <w:tcBorders>
              <w:top w:val="nil"/>
              <w:left w:val="nil"/>
              <w:bottom w:val="single" w:sz="4" w:space="0" w:color="auto"/>
              <w:right w:val="single" w:sz="4" w:space="0" w:color="auto"/>
            </w:tcBorders>
            <w:shd w:val="clear" w:color="auto" w:fill="auto"/>
            <w:vAlign w:val="center"/>
            <w:hideMark/>
          </w:tcPr>
          <w:p w14:paraId="23F1B74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39 034</w:t>
            </w:r>
          </w:p>
        </w:tc>
        <w:tc>
          <w:tcPr>
            <w:tcW w:w="941" w:type="dxa"/>
            <w:tcBorders>
              <w:top w:val="nil"/>
              <w:left w:val="nil"/>
              <w:bottom w:val="single" w:sz="4" w:space="0" w:color="auto"/>
              <w:right w:val="single" w:sz="4" w:space="0" w:color="auto"/>
            </w:tcBorders>
            <w:shd w:val="clear" w:color="auto" w:fill="auto"/>
            <w:vAlign w:val="center"/>
            <w:hideMark/>
          </w:tcPr>
          <w:p w14:paraId="0B1195A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18 816</w:t>
            </w:r>
          </w:p>
        </w:tc>
        <w:tc>
          <w:tcPr>
            <w:tcW w:w="941" w:type="dxa"/>
            <w:tcBorders>
              <w:top w:val="nil"/>
              <w:left w:val="nil"/>
              <w:bottom w:val="single" w:sz="4" w:space="0" w:color="auto"/>
              <w:right w:val="single" w:sz="4" w:space="0" w:color="auto"/>
            </w:tcBorders>
            <w:shd w:val="clear" w:color="auto" w:fill="auto"/>
            <w:vAlign w:val="center"/>
            <w:hideMark/>
          </w:tcPr>
          <w:p w14:paraId="3CA8217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14 583</w:t>
            </w:r>
          </w:p>
        </w:tc>
        <w:tc>
          <w:tcPr>
            <w:tcW w:w="941" w:type="dxa"/>
            <w:tcBorders>
              <w:top w:val="nil"/>
              <w:left w:val="nil"/>
              <w:bottom w:val="single" w:sz="4" w:space="0" w:color="auto"/>
              <w:right w:val="single" w:sz="4" w:space="0" w:color="auto"/>
            </w:tcBorders>
            <w:shd w:val="clear" w:color="auto" w:fill="auto"/>
            <w:vAlign w:val="center"/>
            <w:hideMark/>
          </w:tcPr>
          <w:p w14:paraId="191858E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12 612</w:t>
            </w:r>
          </w:p>
        </w:tc>
        <w:tc>
          <w:tcPr>
            <w:tcW w:w="941" w:type="dxa"/>
            <w:tcBorders>
              <w:top w:val="nil"/>
              <w:left w:val="nil"/>
              <w:bottom w:val="single" w:sz="4" w:space="0" w:color="auto"/>
              <w:right w:val="single" w:sz="4" w:space="0" w:color="auto"/>
            </w:tcBorders>
            <w:shd w:val="clear" w:color="auto" w:fill="auto"/>
            <w:vAlign w:val="center"/>
            <w:hideMark/>
          </w:tcPr>
          <w:p w14:paraId="56174FC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8 941</w:t>
            </w:r>
          </w:p>
        </w:tc>
        <w:tc>
          <w:tcPr>
            <w:tcW w:w="1271" w:type="dxa"/>
            <w:tcBorders>
              <w:top w:val="nil"/>
              <w:left w:val="nil"/>
              <w:bottom w:val="single" w:sz="4" w:space="0" w:color="auto"/>
              <w:right w:val="single" w:sz="4" w:space="0" w:color="auto"/>
            </w:tcBorders>
            <w:shd w:val="clear" w:color="auto" w:fill="auto"/>
            <w:vAlign w:val="center"/>
            <w:hideMark/>
          </w:tcPr>
          <w:p w14:paraId="575BCE5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5 641</w:t>
            </w:r>
          </w:p>
        </w:tc>
      </w:tr>
      <w:tr w:rsidR="0053576E" w:rsidRPr="004135FE" w14:paraId="0DE845A6"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088E33D0"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52665F9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tcBorders>
              <w:top w:val="nil"/>
              <w:left w:val="nil"/>
              <w:bottom w:val="single" w:sz="4" w:space="0" w:color="auto"/>
              <w:right w:val="single" w:sz="4" w:space="0" w:color="auto"/>
            </w:tcBorders>
            <w:shd w:val="clear" w:color="auto" w:fill="auto"/>
            <w:vAlign w:val="center"/>
            <w:hideMark/>
          </w:tcPr>
          <w:p w14:paraId="3C6E2A6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78" w:type="dxa"/>
            <w:tcBorders>
              <w:top w:val="nil"/>
              <w:left w:val="nil"/>
              <w:bottom w:val="single" w:sz="4" w:space="0" w:color="auto"/>
              <w:right w:val="single" w:sz="4" w:space="0" w:color="auto"/>
            </w:tcBorders>
            <w:shd w:val="clear" w:color="auto" w:fill="auto"/>
            <w:vAlign w:val="center"/>
            <w:hideMark/>
          </w:tcPr>
          <w:p w14:paraId="695E7A2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1 734</w:t>
            </w:r>
          </w:p>
        </w:tc>
        <w:tc>
          <w:tcPr>
            <w:tcW w:w="879" w:type="dxa"/>
            <w:tcBorders>
              <w:top w:val="nil"/>
              <w:left w:val="nil"/>
              <w:bottom w:val="single" w:sz="4" w:space="0" w:color="auto"/>
              <w:right w:val="single" w:sz="4" w:space="0" w:color="auto"/>
            </w:tcBorders>
            <w:shd w:val="clear" w:color="auto" w:fill="auto"/>
            <w:vAlign w:val="center"/>
            <w:hideMark/>
          </w:tcPr>
          <w:p w14:paraId="6880185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7 415</w:t>
            </w:r>
          </w:p>
        </w:tc>
        <w:tc>
          <w:tcPr>
            <w:tcW w:w="879" w:type="dxa"/>
            <w:tcBorders>
              <w:top w:val="nil"/>
              <w:left w:val="nil"/>
              <w:bottom w:val="single" w:sz="4" w:space="0" w:color="auto"/>
              <w:right w:val="single" w:sz="4" w:space="0" w:color="auto"/>
            </w:tcBorders>
            <w:shd w:val="clear" w:color="auto" w:fill="auto"/>
            <w:vAlign w:val="center"/>
            <w:hideMark/>
          </w:tcPr>
          <w:p w14:paraId="1533492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8 548</w:t>
            </w:r>
          </w:p>
        </w:tc>
        <w:tc>
          <w:tcPr>
            <w:tcW w:w="941" w:type="dxa"/>
            <w:tcBorders>
              <w:top w:val="nil"/>
              <w:left w:val="nil"/>
              <w:bottom w:val="single" w:sz="4" w:space="0" w:color="auto"/>
              <w:right w:val="single" w:sz="4" w:space="0" w:color="auto"/>
            </w:tcBorders>
            <w:shd w:val="clear" w:color="auto" w:fill="auto"/>
            <w:vAlign w:val="center"/>
            <w:hideMark/>
          </w:tcPr>
          <w:p w14:paraId="6B894A4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6 240</w:t>
            </w:r>
          </w:p>
        </w:tc>
        <w:tc>
          <w:tcPr>
            <w:tcW w:w="941" w:type="dxa"/>
            <w:tcBorders>
              <w:top w:val="nil"/>
              <w:left w:val="nil"/>
              <w:bottom w:val="single" w:sz="4" w:space="0" w:color="auto"/>
              <w:right w:val="single" w:sz="4" w:space="0" w:color="auto"/>
            </w:tcBorders>
            <w:shd w:val="clear" w:color="auto" w:fill="auto"/>
            <w:vAlign w:val="center"/>
            <w:hideMark/>
          </w:tcPr>
          <w:p w14:paraId="0CF491F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2 665</w:t>
            </w:r>
          </w:p>
        </w:tc>
        <w:tc>
          <w:tcPr>
            <w:tcW w:w="941" w:type="dxa"/>
            <w:tcBorders>
              <w:top w:val="nil"/>
              <w:left w:val="nil"/>
              <w:bottom w:val="single" w:sz="4" w:space="0" w:color="auto"/>
              <w:right w:val="single" w:sz="4" w:space="0" w:color="auto"/>
            </w:tcBorders>
            <w:shd w:val="clear" w:color="auto" w:fill="auto"/>
            <w:vAlign w:val="center"/>
            <w:hideMark/>
          </w:tcPr>
          <w:p w14:paraId="1D8F8AE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1 767</w:t>
            </w:r>
          </w:p>
        </w:tc>
        <w:tc>
          <w:tcPr>
            <w:tcW w:w="941" w:type="dxa"/>
            <w:tcBorders>
              <w:top w:val="nil"/>
              <w:left w:val="nil"/>
              <w:bottom w:val="single" w:sz="4" w:space="0" w:color="auto"/>
              <w:right w:val="single" w:sz="4" w:space="0" w:color="auto"/>
            </w:tcBorders>
            <w:shd w:val="clear" w:color="auto" w:fill="auto"/>
            <w:vAlign w:val="center"/>
            <w:hideMark/>
          </w:tcPr>
          <w:p w14:paraId="26D10DF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12 557</w:t>
            </w:r>
          </w:p>
        </w:tc>
        <w:tc>
          <w:tcPr>
            <w:tcW w:w="941" w:type="dxa"/>
            <w:tcBorders>
              <w:top w:val="nil"/>
              <w:left w:val="nil"/>
              <w:bottom w:val="single" w:sz="4" w:space="0" w:color="auto"/>
              <w:right w:val="single" w:sz="4" w:space="0" w:color="auto"/>
            </w:tcBorders>
            <w:shd w:val="clear" w:color="auto" w:fill="auto"/>
            <w:vAlign w:val="center"/>
            <w:hideMark/>
          </w:tcPr>
          <w:p w14:paraId="3D11D09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13 296</w:t>
            </w:r>
          </w:p>
        </w:tc>
        <w:tc>
          <w:tcPr>
            <w:tcW w:w="941" w:type="dxa"/>
            <w:tcBorders>
              <w:top w:val="nil"/>
              <w:left w:val="nil"/>
              <w:bottom w:val="single" w:sz="4" w:space="0" w:color="auto"/>
              <w:right w:val="single" w:sz="4" w:space="0" w:color="auto"/>
            </w:tcBorders>
            <w:shd w:val="clear" w:color="auto" w:fill="auto"/>
            <w:vAlign w:val="center"/>
            <w:hideMark/>
          </w:tcPr>
          <w:p w14:paraId="6F7B0C9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9 340</w:t>
            </w:r>
          </w:p>
        </w:tc>
        <w:tc>
          <w:tcPr>
            <w:tcW w:w="941" w:type="dxa"/>
            <w:tcBorders>
              <w:top w:val="nil"/>
              <w:left w:val="nil"/>
              <w:bottom w:val="single" w:sz="4" w:space="0" w:color="auto"/>
              <w:right w:val="single" w:sz="4" w:space="0" w:color="auto"/>
            </w:tcBorders>
            <w:shd w:val="clear" w:color="auto" w:fill="auto"/>
            <w:vAlign w:val="center"/>
            <w:hideMark/>
          </w:tcPr>
          <w:p w14:paraId="5E9FB6E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7 502</w:t>
            </w:r>
          </w:p>
        </w:tc>
        <w:tc>
          <w:tcPr>
            <w:tcW w:w="941" w:type="dxa"/>
            <w:tcBorders>
              <w:top w:val="nil"/>
              <w:left w:val="nil"/>
              <w:bottom w:val="single" w:sz="4" w:space="0" w:color="auto"/>
              <w:right w:val="single" w:sz="4" w:space="0" w:color="auto"/>
            </w:tcBorders>
            <w:shd w:val="clear" w:color="auto" w:fill="auto"/>
            <w:vAlign w:val="center"/>
            <w:hideMark/>
          </w:tcPr>
          <w:p w14:paraId="3037B97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4 504</w:t>
            </w:r>
          </w:p>
        </w:tc>
        <w:tc>
          <w:tcPr>
            <w:tcW w:w="1271" w:type="dxa"/>
            <w:tcBorders>
              <w:top w:val="nil"/>
              <w:left w:val="nil"/>
              <w:bottom w:val="single" w:sz="4" w:space="0" w:color="auto"/>
              <w:right w:val="single" w:sz="4" w:space="0" w:color="auto"/>
            </w:tcBorders>
            <w:shd w:val="clear" w:color="auto" w:fill="auto"/>
            <w:vAlign w:val="center"/>
            <w:hideMark/>
          </w:tcPr>
          <w:p w14:paraId="64D3015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2 172</w:t>
            </w:r>
          </w:p>
        </w:tc>
      </w:tr>
      <w:tr w:rsidR="0053576E" w:rsidRPr="004135FE" w14:paraId="687394A7"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22C4A442"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6CDE3F3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tcBorders>
              <w:top w:val="nil"/>
              <w:left w:val="nil"/>
              <w:bottom w:val="single" w:sz="4" w:space="0" w:color="auto"/>
              <w:right w:val="single" w:sz="4" w:space="0" w:color="auto"/>
            </w:tcBorders>
            <w:shd w:val="clear" w:color="auto" w:fill="auto"/>
            <w:vAlign w:val="center"/>
            <w:hideMark/>
          </w:tcPr>
          <w:p w14:paraId="252CB0A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78" w:type="dxa"/>
            <w:tcBorders>
              <w:top w:val="nil"/>
              <w:left w:val="nil"/>
              <w:bottom w:val="single" w:sz="4" w:space="0" w:color="auto"/>
              <w:right w:val="single" w:sz="4" w:space="0" w:color="auto"/>
            </w:tcBorders>
            <w:shd w:val="clear" w:color="auto" w:fill="auto"/>
            <w:vAlign w:val="center"/>
            <w:hideMark/>
          </w:tcPr>
          <w:p w14:paraId="3E82823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1 855</w:t>
            </w:r>
          </w:p>
        </w:tc>
        <w:tc>
          <w:tcPr>
            <w:tcW w:w="879" w:type="dxa"/>
            <w:tcBorders>
              <w:top w:val="nil"/>
              <w:left w:val="nil"/>
              <w:bottom w:val="single" w:sz="4" w:space="0" w:color="auto"/>
              <w:right w:val="single" w:sz="4" w:space="0" w:color="auto"/>
            </w:tcBorders>
            <w:shd w:val="clear" w:color="auto" w:fill="auto"/>
            <w:vAlign w:val="center"/>
            <w:hideMark/>
          </w:tcPr>
          <w:p w14:paraId="2FCB2A2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8 980</w:t>
            </w:r>
          </w:p>
        </w:tc>
        <w:tc>
          <w:tcPr>
            <w:tcW w:w="879" w:type="dxa"/>
            <w:tcBorders>
              <w:top w:val="nil"/>
              <w:left w:val="nil"/>
              <w:bottom w:val="single" w:sz="4" w:space="0" w:color="auto"/>
              <w:right w:val="single" w:sz="4" w:space="0" w:color="auto"/>
            </w:tcBorders>
            <w:shd w:val="clear" w:color="auto" w:fill="auto"/>
            <w:vAlign w:val="center"/>
            <w:hideMark/>
          </w:tcPr>
          <w:p w14:paraId="201C619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10 746</w:t>
            </w:r>
          </w:p>
        </w:tc>
        <w:tc>
          <w:tcPr>
            <w:tcW w:w="941" w:type="dxa"/>
            <w:tcBorders>
              <w:top w:val="nil"/>
              <w:left w:val="nil"/>
              <w:bottom w:val="single" w:sz="4" w:space="0" w:color="auto"/>
              <w:right w:val="single" w:sz="4" w:space="0" w:color="auto"/>
            </w:tcBorders>
            <w:shd w:val="clear" w:color="auto" w:fill="auto"/>
            <w:vAlign w:val="center"/>
            <w:hideMark/>
          </w:tcPr>
          <w:p w14:paraId="7BD8FF1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8 538</w:t>
            </w:r>
          </w:p>
        </w:tc>
        <w:tc>
          <w:tcPr>
            <w:tcW w:w="941" w:type="dxa"/>
            <w:tcBorders>
              <w:top w:val="nil"/>
              <w:left w:val="nil"/>
              <w:bottom w:val="single" w:sz="4" w:space="0" w:color="auto"/>
              <w:right w:val="single" w:sz="4" w:space="0" w:color="auto"/>
            </w:tcBorders>
            <w:shd w:val="clear" w:color="auto" w:fill="auto"/>
            <w:vAlign w:val="center"/>
            <w:hideMark/>
          </w:tcPr>
          <w:p w14:paraId="4EBF5E1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4 384</w:t>
            </w:r>
          </w:p>
        </w:tc>
        <w:tc>
          <w:tcPr>
            <w:tcW w:w="941" w:type="dxa"/>
            <w:tcBorders>
              <w:top w:val="nil"/>
              <w:left w:val="nil"/>
              <w:bottom w:val="single" w:sz="4" w:space="0" w:color="auto"/>
              <w:right w:val="single" w:sz="4" w:space="0" w:color="auto"/>
            </w:tcBorders>
            <w:shd w:val="clear" w:color="auto" w:fill="auto"/>
            <w:vAlign w:val="center"/>
            <w:hideMark/>
          </w:tcPr>
          <w:p w14:paraId="1E89638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4 517</w:t>
            </w:r>
          </w:p>
        </w:tc>
        <w:tc>
          <w:tcPr>
            <w:tcW w:w="941" w:type="dxa"/>
            <w:tcBorders>
              <w:top w:val="nil"/>
              <w:left w:val="nil"/>
              <w:bottom w:val="single" w:sz="4" w:space="0" w:color="auto"/>
              <w:right w:val="single" w:sz="4" w:space="0" w:color="auto"/>
            </w:tcBorders>
            <w:shd w:val="clear" w:color="auto" w:fill="auto"/>
            <w:vAlign w:val="center"/>
            <w:hideMark/>
          </w:tcPr>
          <w:p w14:paraId="17BB533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15 989</w:t>
            </w:r>
          </w:p>
        </w:tc>
        <w:tc>
          <w:tcPr>
            <w:tcW w:w="941" w:type="dxa"/>
            <w:tcBorders>
              <w:top w:val="nil"/>
              <w:left w:val="nil"/>
              <w:bottom w:val="single" w:sz="4" w:space="0" w:color="auto"/>
              <w:right w:val="single" w:sz="4" w:space="0" w:color="auto"/>
            </w:tcBorders>
            <w:shd w:val="clear" w:color="auto" w:fill="auto"/>
            <w:vAlign w:val="center"/>
            <w:hideMark/>
          </w:tcPr>
          <w:p w14:paraId="08730D9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13 550</w:t>
            </w:r>
          </w:p>
        </w:tc>
        <w:tc>
          <w:tcPr>
            <w:tcW w:w="941" w:type="dxa"/>
            <w:tcBorders>
              <w:top w:val="nil"/>
              <w:left w:val="nil"/>
              <w:bottom w:val="single" w:sz="4" w:space="0" w:color="auto"/>
              <w:right w:val="single" w:sz="4" w:space="0" w:color="auto"/>
            </w:tcBorders>
            <w:shd w:val="clear" w:color="auto" w:fill="auto"/>
            <w:vAlign w:val="center"/>
            <w:hideMark/>
          </w:tcPr>
          <w:p w14:paraId="40DC1ED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10 310</w:t>
            </w:r>
          </w:p>
        </w:tc>
        <w:tc>
          <w:tcPr>
            <w:tcW w:w="941" w:type="dxa"/>
            <w:tcBorders>
              <w:top w:val="nil"/>
              <w:left w:val="nil"/>
              <w:bottom w:val="single" w:sz="4" w:space="0" w:color="auto"/>
              <w:right w:val="single" w:sz="4" w:space="0" w:color="auto"/>
            </w:tcBorders>
            <w:shd w:val="clear" w:color="auto" w:fill="auto"/>
            <w:vAlign w:val="center"/>
            <w:hideMark/>
          </w:tcPr>
          <w:p w14:paraId="5797C33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9 334</w:t>
            </w:r>
          </w:p>
        </w:tc>
        <w:tc>
          <w:tcPr>
            <w:tcW w:w="941" w:type="dxa"/>
            <w:tcBorders>
              <w:top w:val="nil"/>
              <w:left w:val="nil"/>
              <w:bottom w:val="single" w:sz="4" w:space="0" w:color="auto"/>
              <w:right w:val="single" w:sz="4" w:space="0" w:color="auto"/>
            </w:tcBorders>
            <w:shd w:val="clear" w:color="auto" w:fill="auto"/>
            <w:vAlign w:val="center"/>
            <w:hideMark/>
          </w:tcPr>
          <w:p w14:paraId="74282BA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6 438</w:t>
            </w:r>
          </w:p>
        </w:tc>
        <w:tc>
          <w:tcPr>
            <w:tcW w:w="1271" w:type="dxa"/>
            <w:tcBorders>
              <w:top w:val="nil"/>
              <w:left w:val="nil"/>
              <w:bottom w:val="single" w:sz="4" w:space="0" w:color="auto"/>
              <w:right w:val="single" w:sz="4" w:space="0" w:color="auto"/>
            </w:tcBorders>
            <w:shd w:val="clear" w:color="auto" w:fill="auto"/>
            <w:vAlign w:val="center"/>
            <w:hideMark/>
          </w:tcPr>
          <w:p w14:paraId="441EB0D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3 938</w:t>
            </w:r>
          </w:p>
        </w:tc>
      </w:tr>
      <w:tr w:rsidR="0053576E" w:rsidRPr="004135FE" w14:paraId="7690B135"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351AB55E"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5CACA3C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tcBorders>
              <w:top w:val="nil"/>
              <w:left w:val="nil"/>
              <w:bottom w:val="single" w:sz="4" w:space="0" w:color="auto"/>
              <w:right w:val="single" w:sz="4" w:space="0" w:color="auto"/>
            </w:tcBorders>
            <w:shd w:val="clear" w:color="auto" w:fill="auto"/>
            <w:vAlign w:val="center"/>
            <w:hideMark/>
          </w:tcPr>
          <w:p w14:paraId="6614C25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78" w:type="dxa"/>
            <w:tcBorders>
              <w:top w:val="nil"/>
              <w:left w:val="nil"/>
              <w:bottom w:val="single" w:sz="4" w:space="0" w:color="auto"/>
              <w:right w:val="single" w:sz="4" w:space="0" w:color="auto"/>
            </w:tcBorders>
            <w:shd w:val="clear" w:color="auto" w:fill="auto"/>
            <w:vAlign w:val="center"/>
            <w:hideMark/>
          </w:tcPr>
          <w:p w14:paraId="45707FC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1 290</w:t>
            </w:r>
          </w:p>
        </w:tc>
        <w:tc>
          <w:tcPr>
            <w:tcW w:w="879" w:type="dxa"/>
            <w:tcBorders>
              <w:top w:val="nil"/>
              <w:left w:val="nil"/>
              <w:bottom w:val="single" w:sz="4" w:space="0" w:color="auto"/>
              <w:right w:val="single" w:sz="4" w:space="0" w:color="auto"/>
            </w:tcBorders>
            <w:shd w:val="clear" w:color="auto" w:fill="auto"/>
            <w:vAlign w:val="center"/>
            <w:hideMark/>
          </w:tcPr>
          <w:p w14:paraId="07E234D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4 888</w:t>
            </w:r>
          </w:p>
        </w:tc>
        <w:tc>
          <w:tcPr>
            <w:tcW w:w="879" w:type="dxa"/>
            <w:tcBorders>
              <w:top w:val="nil"/>
              <w:left w:val="nil"/>
              <w:bottom w:val="single" w:sz="4" w:space="0" w:color="auto"/>
              <w:right w:val="single" w:sz="4" w:space="0" w:color="auto"/>
            </w:tcBorders>
            <w:shd w:val="clear" w:color="auto" w:fill="auto"/>
            <w:vAlign w:val="center"/>
            <w:hideMark/>
          </w:tcPr>
          <w:p w14:paraId="0C12874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4 509</w:t>
            </w:r>
          </w:p>
        </w:tc>
        <w:tc>
          <w:tcPr>
            <w:tcW w:w="941" w:type="dxa"/>
            <w:tcBorders>
              <w:top w:val="nil"/>
              <w:left w:val="nil"/>
              <w:bottom w:val="single" w:sz="4" w:space="0" w:color="auto"/>
              <w:right w:val="single" w:sz="4" w:space="0" w:color="auto"/>
            </w:tcBorders>
            <w:shd w:val="clear" w:color="auto" w:fill="auto"/>
            <w:vAlign w:val="center"/>
            <w:hideMark/>
          </w:tcPr>
          <w:p w14:paraId="3DDD9BB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3 302</w:t>
            </w:r>
          </w:p>
        </w:tc>
        <w:tc>
          <w:tcPr>
            <w:tcW w:w="941" w:type="dxa"/>
            <w:tcBorders>
              <w:top w:val="nil"/>
              <w:left w:val="nil"/>
              <w:bottom w:val="single" w:sz="4" w:space="0" w:color="auto"/>
              <w:right w:val="single" w:sz="4" w:space="0" w:color="auto"/>
            </w:tcBorders>
            <w:shd w:val="clear" w:color="auto" w:fill="auto"/>
            <w:vAlign w:val="center"/>
            <w:hideMark/>
          </w:tcPr>
          <w:p w14:paraId="79AAC5C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1 477</w:t>
            </w:r>
          </w:p>
        </w:tc>
        <w:tc>
          <w:tcPr>
            <w:tcW w:w="941" w:type="dxa"/>
            <w:tcBorders>
              <w:top w:val="nil"/>
              <w:left w:val="nil"/>
              <w:bottom w:val="single" w:sz="4" w:space="0" w:color="auto"/>
              <w:right w:val="single" w:sz="4" w:space="0" w:color="auto"/>
            </w:tcBorders>
            <w:shd w:val="clear" w:color="auto" w:fill="auto"/>
            <w:vAlign w:val="center"/>
            <w:hideMark/>
          </w:tcPr>
          <w:p w14:paraId="2771E2B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899</w:t>
            </w:r>
          </w:p>
        </w:tc>
        <w:tc>
          <w:tcPr>
            <w:tcW w:w="941" w:type="dxa"/>
            <w:tcBorders>
              <w:top w:val="nil"/>
              <w:left w:val="nil"/>
              <w:bottom w:val="single" w:sz="4" w:space="0" w:color="auto"/>
              <w:right w:val="single" w:sz="4" w:space="0" w:color="auto"/>
            </w:tcBorders>
            <w:shd w:val="clear" w:color="auto" w:fill="auto"/>
            <w:vAlign w:val="center"/>
            <w:hideMark/>
          </w:tcPr>
          <w:p w14:paraId="57128F1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5 496</w:t>
            </w:r>
          </w:p>
        </w:tc>
        <w:tc>
          <w:tcPr>
            <w:tcW w:w="941" w:type="dxa"/>
            <w:tcBorders>
              <w:top w:val="nil"/>
              <w:left w:val="nil"/>
              <w:bottom w:val="single" w:sz="4" w:space="0" w:color="auto"/>
              <w:right w:val="single" w:sz="4" w:space="0" w:color="auto"/>
            </w:tcBorders>
            <w:shd w:val="clear" w:color="auto" w:fill="auto"/>
            <w:vAlign w:val="center"/>
            <w:hideMark/>
          </w:tcPr>
          <w:p w14:paraId="7E09648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5 836</w:t>
            </w:r>
          </w:p>
        </w:tc>
        <w:tc>
          <w:tcPr>
            <w:tcW w:w="941" w:type="dxa"/>
            <w:tcBorders>
              <w:top w:val="nil"/>
              <w:left w:val="nil"/>
              <w:bottom w:val="single" w:sz="4" w:space="0" w:color="auto"/>
              <w:right w:val="single" w:sz="4" w:space="0" w:color="auto"/>
            </w:tcBorders>
            <w:shd w:val="clear" w:color="auto" w:fill="auto"/>
            <w:vAlign w:val="center"/>
            <w:hideMark/>
          </w:tcPr>
          <w:p w14:paraId="4962D88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4 337</w:t>
            </w:r>
          </w:p>
        </w:tc>
        <w:tc>
          <w:tcPr>
            <w:tcW w:w="941" w:type="dxa"/>
            <w:tcBorders>
              <w:top w:val="nil"/>
              <w:left w:val="nil"/>
              <w:bottom w:val="single" w:sz="4" w:space="0" w:color="auto"/>
              <w:right w:val="single" w:sz="4" w:space="0" w:color="auto"/>
            </w:tcBorders>
            <w:shd w:val="clear" w:color="auto" w:fill="auto"/>
            <w:vAlign w:val="center"/>
            <w:hideMark/>
          </w:tcPr>
          <w:p w14:paraId="7019772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3 691</w:t>
            </w:r>
          </w:p>
        </w:tc>
        <w:tc>
          <w:tcPr>
            <w:tcW w:w="941" w:type="dxa"/>
            <w:tcBorders>
              <w:top w:val="nil"/>
              <w:left w:val="nil"/>
              <w:bottom w:val="single" w:sz="4" w:space="0" w:color="auto"/>
              <w:right w:val="single" w:sz="4" w:space="0" w:color="auto"/>
            </w:tcBorders>
            <w:shd w:val="clear" w:color="auto" w:fill="auto"/>
            <w:vAlign w:val="center"/>
            <w:hideMark/>
          </w:tcPr>
          <w:p w14:paraId="1BFCF14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2 088</w:t>
            </w:r>
          </w:p>
        </w:tc>
        <w:tc>
          <w:tcPr>
            <w:tcW w:w="1271" w:type="dxa"/>
            <w:tcBorders>
              <w:top w:val="nil"/>
              <w:left w:val="nil"/>
              <w:bottom w:val="single" w:sz="4" w:space="0" w:color="auto"/>
              <w:right w:val="single" w:sz="4" w:space="0" w:color="auto"/>
            </w:tcBorders>
            <w:shd w:val="clear" w:color="auto" w:fill="auto"/>
            <w:vAlign w:val="center"/>
            <w:hideMark/>
          </w:tcPr>
          <w:p w14:paraId="51C1100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1 018</w:t>
            </w:r>
          </w:p>
        </w:tc>
      </w:tr>
      <w:tr w:rsidR="0053576E" w:rsidRPr="004135FE" w14:paraId="70A627C3"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27EB4833"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083D8F7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tcBorders>
              <w:top w:val="nil"/>
              <w:left w:val="nil"/>
              <w:bottom w:val="single" w:sz="4" w:space="0" w:color="auto"/>
              <w:right w:val="single" w:sz="4" w:space="0" w:color="auto"/>
            </w:tcBorders>
            <w:shd w:val="clear" w:color="auto" w:fill="auto"/>
            <w:vAlign w:val="center"/>
            <w:hideMark/>
          </w:tcPr>
          <w:p w14:paraId="3CB49D6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78" w:type="dxa"/>
            <w:tcBorders>
              <w:top w:val="nil"/>
              <w:left w:val="nil"/>
              <w:bottom w:val="single" w:sz="4" w:space="0" w:color="auto"/>
              <w:right w:val="single" w:sz="4" w:space="0" w:color="auto"/>
            </w:tcBorders>
            <w:shd w:val="clear" w:color="auto" w:fill="auto"/>
            <w:vAlign w:val="center"/>
            <w:hideMark/>
          </w:tcPr>
          <w:p w14:paraId="7807002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1 852</w:t>
            </w:r>
          </w:p>
        </w:tc>
        <w:tc>
          <w:tcPr>
            <w:tcW w:w="879" w:type="dxa"/>
            <w:tcBorders>
              <w:top w:val="nil"/>
              <w:left w:val="nil"/>
              <w:bottom w:val="single" w:sz="4" w:space="0" w:color="auto"/>
              <w:right w:val="single" w:sz="4" w:space="0" w:color="auto"/>
            </w:tcBorders>
            <w:shd w:val="clear" w:color="auto" w:fill="auto"/>
            <w:vAlign w:val="center"/>
            <w:hideMark/>
          </w:tcPr>
          <w:p w14:paraId="3F9D0D6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8 110</w:t>
            </w:r>
          </w:p>
        </w:tc>
        <w:tc>
          <w:tcPr>
            <w:tcW w:w="879" w:type="dxa"/>
            <w:tcBorders>
              <w:top w:val="nil"/>
              <w:left w:val="nil"/>
              <w:bottom w:val="single" w:sz="4" w:space="0" w:color="auto"/>
              <w:right w:val="single" w:sz="4" w:space="0" w:color="auto"/>
            </w:tcBorders>
            <w:shd w:val="clear" w:color="auto" w:fill="auto"/>
            <w:vAlign w:val="center"/>
            <w:hideMark/>
          </w:tcPr>
          <w:p w14:paraId="071784A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9 226</w:t>
            </w:r>
          </w:p>
        </w:tc>
        <w:tc>
          <w:tcPr>
            <w:tcW w:w="941" w:type="dxa"/>
            <w:tcBorders>
              <w:top w:val="nil"/>
              <w:left w:val="nil"/>
              <w:bottom w:val="single" w:sz="4" w:space="0" w:color="auto"/>
              <w:right w:val="single" w:sz="4" w:space="0" w:color="auto"/>
            </w:tcBorders>
            <w:shd w:val="clear" w:color="auto" w:fill="auto"/>
            <w:vAlign w:val="center"/>
            <w:hideMark/>
          </w:tcPr>
          <w:p w14:paraId="2C49C86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6 965</w:t>
            </w:r>
          </w:p>
        </w:tc>
        <w:tc>
          <w:tcPr>
            <w:tcW w:w="941" w:type="dxa"/>
            <w:tcBorders>
              <w:top w:val="nil"/>
              <w:left w:val="nil"/>
              <w:bottom w:val="single" w:sz="4" w:space="0" w:color="auto"/>
              <w:right w:val="single" w:sz="4" w:space="0" w:color="auto"/>
            </w:tcBorders>
            <w:shd w:val="clear" w:color="auto" w:fill="auto"/>
            <w:vAlign w:val="center"/>
            <w:hideMark/>
          </w:tcPr>
          <w:p w14:paraId="2599CBF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3 677</w:t>
            </w:r>
          </w:p>
        </w:tc>
        <w:tc>
          <w:tcPr>
            <w:tcW w:w="941" w:type="dxa"/>
            <w:tcBorders>
              <w:top w:val="nil"/>
              <w:left w:val="nil"/>
              <w:bottom w:val="single" w:sz="4" w:space="0" w:color="auto"/>
              <w:right w:val="single" w:sz="4" w:space="0" w:color="auto"/>
            </w:tcBorders>
            <w:shd w:val="clear" w:color="auto" w:fill="auto"/>
            <w:vAlign w:val="center"/>
            <w:hideMark/>
          </w:tcPr>
          <w:p w14:paraId="1831C30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2 786</w:t>
            </w:r>
          </w:p>
        </w:tc>
        <w:tc>
          <w:tcPr>
            <w:tcW w:w="941" w:type="dxa"/>
            <w:tcBorders>
              <w:top w:val="nil"/>
              <w:left w:val="nil"/>
              <w:bottom w:val="single" w:sz="4" w:space="0" w:color="auto"/>
              <w:right w:val="single" w:sz="4" w:space="0" w:color="auto"/>
            </w:tcBorders>
            <w:shd w:val="clear" w:color="auto" w:fill="auto"/>
            <w:vAlign w:val="center"/>
            <w:hideMark/>
          </w:tcPr>
          <w:p w14:paraId="4814B62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17 435</w:t>
            </w:r>
          </w:p>
        </w:tc>
        <w:tc>
          <w:tcPr>
            <w:tcW w:w="941" w:type="dxa"/>
            <w:tcBorders>
              <w:top w:val="nil"/>
              <w:left w:val="nil"/>
              <w:bottom w:val="single" w:sz="4" w:space="0" w:color="auto"/>
              <w:right w:val="single" w:sz="4" w:space="0" w:color="auto"/>
            </w:tcBorders>
            <w:shd w:val="clear" w:color="auto" w:fill="auto"/>
            <w:vAlign w:val="center"/>
            <w:hideMark/>
          </w:tcPr>
          <w:p w14:paraId="5D9C7CE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18 423</w:t>
            </w:r>
          </w:p>
        </w:tc>
        <w:tc>
          <w:tcPr>
            <w:tcW w:w="941" w:type="dxa"/>
            <w:tcBorders>
              <w:top w:val="nil"/>
              <w:left w:val="nil"/>
              <w:bottom w:val="single" w:sz="4" w:space="0" w:color="auto"/>
              <w:right w:val="single" w:sz="4" w:space="0" w:color="auto"/>
            </w:tcBorders>
            <w:shd w:val="clear" w:color="auto" w:fill="auto"/>
            <w:vAlign w:val="center"/>
            <w:hideMark/>
          </w:tcPr>
          <w:p w14:paraId="5770DDD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13 471</w:t>
            </w:r>
          </w:p>
        </w:tc>
        <w:tc>
          <w:tcPr>
            <w:tcW w:w="941" w:type="dxa"/>
            <w:tcBorders>
              <w:top w:val="nil"/>
              <w:left w:val="nil"/>
              <w:bottom w:val="single" w:sz="4" w:space="0" w:color="auto"/>
              <w:right w:val="single" w:sz="4" w:space="0" w:color="auto"/>
            </w:tcBorders>
            <w:shd w:val="clear" w:color="auto" w:fill="auto"/>
            <w:vAlign w:val="center"/>
            <w:hideMark/>
          </w:tcPr>
          <w:p w14:paraId="1FFA9FB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11 658</w:t>
            </w:r>
          </w:p>
        </w:tc>
        <w:tc>
          <w:tcPr>
            <w:tcW w:w="941" w:type="dxa"/>
            <w:tcBorders>
              <w:top w:val="nil"/>
              <w:left w:val="nil"/>
              <w:bottom w:val="single" w:sz="4" w:space="0" w:color="auto"/>
              <w:right w:val="single" w:sz="4" w:space="0" w:color="auto"/>
            </w:tcBorders>
            <w:shd w:val="clear" w:color="auto" w:fill="auto"/>
            <w:vAlign w:val="center"/>
            <w:hideMark/>
          </w:tcPr>
          <w:p w14:paraId="6CCD6AC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7 787</w:t>
            </w:r>
          </w:p>
        </w:tc>
        <w:tc>
          <w:tcPr>
            <w:tcW w:w="1271" w:type="dxa"/>
            <w:tcBorders>
              <w:top w:val="nil"/>
              <w:left w:val="nil"/>
              <w:bottom w:val="single" w:sz="4" w:space="0" w:color="auto"/>
              <w:right w:val="single" w:sz="4" w:space="0" w:color="auto"/>
            </w:tcBorders>
            <w:shd w:val="clear" w:color="auto" w:fill="auto"/>
            <w:vAlign w:val="center"/>
            <w:hideMark/>
          </w:tcPr>
          <w:p w14:paraId="1F85F21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3 535</w:t>
            </w:r>
          </w:p>
        </w:tc>
      </w:tr>
      <w:tr w:rsidR="0053576E" w:rsidRPr="004135FE" w14:paraId="6AA757FE" w14:textId="77777777" w:rsidTr="00680E37">
        <w:trPr>
          <w:cantSplit/>
          <w:trHeight w:val="227"/>
        </w:trPr>
        <w:tc>
          <w:tcPr>
            <w:tcW w:w="553"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31504CE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2018год</w:t>
            </w:r>
          </w:p>
        </w:tc>
        <w:tc>
          <w:tcPr>
            <w:tcW w:w="373" w:type="dxa"/>
            <w:tcBorders>
              <w:top w:val="nil"/>
              <w:left w:val="nil"/>
              <w:bottom w:val="single" w:sz="4" w:space="0" w:color="auto"/>
              <w:right w:val="single" w:sz="4" w:space="0" w:color="auto"/>
            </w:tcBorders>
            <w:shd w:val="clear" w:color="auto" w:fill="auto"/>
            <w:vAlign w:val="bottom"/>
            <w:hideMark/>
          </w:tcPr>
          <w:p w14:paraId="70A293C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tcBorders>
              <w:top w:val="nil"/>
              <w:left w:val="nil"/>
              <w:bottom w:val="single" w:sz="4" w:space="0" w:color="auto"/>
              <w:right w:val="single" w:sz="4" w:space="0" w:color="auto"/>
            </w:tcBorders>
            <w:shd w:val="clear" w:color="auto" w:fill="auto"/>
            <w:vAlign w:val="center"/>
            <w:hideMark/>
          </w:tcPr>
          <w:p w14:paraId="280C280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78" w:type="dxa"/>
            <w:tcBorders>
              <w:top w:val="nil"/>
              <w:left w:val="nil"/>
              <w:bottom w:val="single" w:sz="4" w:space="0" w:color="auto"/>
              <w:right w:val="single" w:sz="4" w:space="0" w:color="auto"/>
            </w:tcBorders>
            <w:shd w:val="clear" w:color="auto" w:fill="auto"/>
            <w:vAlign w:val="center"/>
            <w:hideMark/>
          </w:tcPr>
          <w:p w14:paraId="7568CD1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2 180</w:t>
            </w:r>
          </w:p>
        </w:tc>
        <w:tc>
          <w:tcPr>
            <w:tcW w:w="879" w:type="dxa"/>
            <w:tcBorders>
              <w:top w:val="nil"/>
              <w:left w:val="nil"/>
              <w:bottom w:val="single" w:sz="4" w:space="0" w:color="auto"/>
              <w:right w:val="single" w:sz="4" w:space="0" w:color="auto"/>
            </w:tcBorders>
            <w:shd w:val="clear" w:color="auto" w:fill="auto"/>
            <w:vAlign w:val="center"/>
            <w:hideMark/>
          </w:tcPr>
          <w:p w14:paraId="5090D3C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10 059</w:t>
            </w:r>
          </w:p>
        </w:tc>
        <w:tc>
          <w:tcPr>
            <w:tcW w:w="879" w:type="dxa"/>
            <w:tcBorders>
              <w:top w:val="nil"/>
              <w:left w:val="nil"/>
              <w:bottom w:val="single" w:sz="4" w:space="0" w:color="auto"/>
              <w:right w:val="single" w:sz="4" w:space="0" w:color="auto"/>
            </w:tcBorders>
            <w:shd w:val="clear" w:color="auto" w:fill="auto"/>
            <w:vAlign w:val="center"/>
            <w:hideMark/>
          </w:tcPr>
          <w:p w14:paraId="5F1A67C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11 574</w:t>
            </w:r>
          </w:p>
        </w:tc>
        <w:tc>
          <w:tcPr>
            <w:tcW w:w="941" w:type="dxa"/>
            <w:tcBorders>
              <w:top w:val="nil"/>
              <w:left w:val="nil"/>
              <w:bottom w:val="single" w:sz="4" w:space="0" w:color="auto"/>
              <w:right w:val="single" w:sz="4" w:space="0" w:color="auto"/>
            </w:tcBorders>
            <w:shd w:val="clear" w:color="auto" w:fill="auto"/>
            <w:vAlign w:val="center"/>
            <w:hideMark/>
          </w:tcPr>
          <w:p w14:paraId="130BB38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9 762</w:t>
            </w:r>
          </w:p>
        </w:tc>
        <w:tc>
          <w:tcPr>
            <w:tcW w:w="941" w:type="dxa"/>
            <w:tcBorders>
              <w:top w:val="nil"/>
              <w:left w:val="nil"/>
              <w:bottom w:val="single" w:sz="4" w:space="0" w:color="auto"/>
              <w:right w:val="single" w:sz="4" w:space="0" w:color="auto"/>
            </w:tcBorders>
            <w:shd w:val="clear" w:color="auto" w:fill="auto"/>
            <w:vAlign w:val="center"/>
            <w:hideMark/>
          </w:tcPr>
          <w:p w14:paraId="42F410E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6 482</w:t>
            </w:r>
          </w:p>
        </w:tc>
        <w:tc>
          <w:tcPr>
            <w:tcW w:w="941" w:type="dxa"/>
            <w:tcBorders>
              <w:top w:val="nil"/>
              <w:left w:val="nil"/>
              <w:bottom w:val="single" w:sz="4" w:space="0" w:color="auto"/>
              <w:right w:val="single" w:sz="4" w:space="0" w:color="auto"/>
            </w:tcBorders>
            <w:shd w:val="clear" w:color="auto" w:fill="auto"/>
            <w:vAlign w:val="center"/>
            <w:hideMark/>
          </w:tcPr>
          <w:p w14:paraId="283917E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7 070</w:t>
            </w:r>
          </w:p>
        </w:tc>
        <w:tc>
          <w:tcPr>
            <w:tcW w:w="941" w:type="dxa"/>
            <w:tcBorders>
              <w:top w:val="nil"/>
              <w:left w:val="nil"/>
              <w:bottom w:val="single" w:sz="4" w:space="0" w:color="auto"/>
              <w:right w:val="single" w:sz="4" w:space="0" w:color="auto"/>
            </w:tcBorders>
            <w:shd w:val="clear" w:color="auto" w:fill="auto"/>
            <w:vAlign w:val="center"/>
            <w:hideMark/>
          </w:tcPr>
          <w:p w14:paraId="3155E1C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29 746</w:t>
            </w:r>
          </w:p>
        </w:tc>
        <w:tc>
          <w:tcPr>
            <w:tcW w:w="941" w:type="dxa"/>
            <w:tcBorders>
              <w:top w:val="nil"/>
              <w:left w:val="nil"/>
              <w:bottom w:val="single" w:sz="4" w:space="0" w:color="auto"/>
              <w:right w:val="single" w:sz="4" w:space="0" w:color="auto"/>
            </w:tcBorders>
            <w:shd w:val="clear" w:color="auto" w:fill="auto"/>
            <w:vAlign w:val="center"/>
            <w:hideMark/>
          </w:tcPr>
          <w:p w14:paraId="46C3CE0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23 482</w:t>
            </w:r>
          </w:p>
        </w:tc>
        <w:tc>
          <w:tcPr>
            <w:tcW w:w="941" w:type="dxa"/>
            <w:tcBorders>
              <w:top w:val="nil"/>
              <w:left w:val="nil"/>
              <w:bottom w:val="single" w:sz="4" w:space="0" w:color="auto"/>
              <w:right w:val="single" w:sz="4" w:space="0" w:color="auto"/>
            </w:tcBorders>
            <w:shd w:val="clear" w:color="auto" w:fill="auto"/>
            <w:vAlign w:val="center"/>
            <w:hideMark/>
          </w:tcPr>
          <w:p w14:paraId="60C500D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17 375</w:t>
            </w:r>
          </w:p>
        </w:tc>
        <w:tc>
          <w:tcPr>
            <w:tcW w:w="941" w:type="dxa"/>
            <w:tcBorders>
              <w:top w:val="nil"/>
              <w:left w:val="nil"/>
              <w:bottom w:val="single" w:sz="4" w:space="0" w:color="auto"/>
              <w:right w:val="single" w:sz="4" w:space="0" w:color="auto"/>
            </w:tcBorders>
            <w:shd w:val="clear" w:color="auto" w:fill="auto"/>
            <w:vAlign w:val="center"/>
            <w:hideMark/>
          </w:tcPr>
          <w:p w14:paraId="00BD5D4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14 433</w:t>
            </w:r>
          </w:p>
        </w:tc>
        <w:tc>
          <w:tcPr>
            <w:tcW w:w="941" w:type="dxa"/>
            <w:tcBorders>
              <w:top w:val="nil"/>
              <w:left w:val="nil"/>
              <w:bottom w:val="single" w:sz="4" w:space="0" w:color="auto"/>
              <w:right w:val="single" w:sz="4" w:space="0" w:color="auto"/>
            </w:tcBorders>
            <w:shd w:val="clear" w:color="auto" w:fill="auto"/>
            <w:vAlign w:val="center"/>
            <w:hideMark/>
          </w:tcPr>
          <w:p w14:paraId="7BB0DA6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10 196</w:t>
            </w:r>
          </w:p>
        </w:tc>
        <w:tc>
          <w:tcPr>
            <w:tcW w:w="1271" w:type="dxa"/>
            <w:tcBorders>
              <w:top w:val="nil"/>
              <w:left w:val="nil"/>
              <w:bottom w:val="single" w:sz="4" w:space="0" w:color="auto"/>
              <w:right w:val="single" w:sz="4" w:space="0" w:color="auto"/>
            </w:tcBorders>
            <w:shd w:val="clear" w:color="auto" w:fill="auto"/>
            <w:vAlign w:val="center"/>
            <w:hideMark/>
          </w:tcPr>
          <w:p w14:paraId="4AB7077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6 744</w:t>
            </w:r>
          </w:p>
        </w:tc>
      </w:tr>
      <w:tr w:rsidR="0053576E" w:rsidRPr="004135FE" w14:paraId="297E617B"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30E7A8B4"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423FDDC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tcBorders>
              <w:top w:val="nil"/>
              <w:left w:val="nil"/>
              <w:bottom w:val="single" w:sz="4" w:space="0" w:color="auto"/>
              <w:right w:val="single" w:sz="4" w:space="0" w:color="auto"/>
            </w:tcBorders>
            <w:shd w:val="clear" w:color="auto" w:fill="auto"/>
            <w:vAlign w:val="center"/>
            <w:hideMark/>
          </w:tcPr>
          <w:p w14:paraId="272BF3B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78" w:type="dxa"/>
            <w:tcBorders>
              <w:top w:val="nil"/>
              <w:left w:val="nil"/>
              <w:bottom w:val="single" w:sz="4" w:space="0" w:color="auto"/>
              <w:right w:val="single" w:sz="4" w:space="0" w:color="auto"/>
            </w:tcBorders>
            <w:shd w:val="clear" w:color="auto" w:fill="auto"/>
            <w:vAlign w:val="center"/>
            <w:hideMark/>
          </w:tcPr>
          <w:p w14:paraId="5C314D7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3 305</w:t>
            </w:r>
          </w:p>
        </w:tc>
        <w:tc>
          <w:tcPr>
            <w:tcW w:w="879" w:type="dxa"/>
            <w:tcBorders>
              <w:top w:val="nil"/>
              <w:left w:val="nil"/>
              <w:bottom w:val="single" w:sz="4" w:space="0" w:color="auto"/>
              <w:right w:val="single" w:sz="4" w:space="0" w:color="auto"/>
            </w:tcBorders>
            <w:shd w:val="clear" w:color="auto" w:fill="auto"/>
            <w:vAlign w:val="center"/>
            <w:hideMark/>
          </w:tcPr>
          <w:p w14:paraId="6A7642A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13 409</w:t>
            </w:r>
          </w:p>
        </w:tc>
        <w:tc>
          <w:tcPr>
            <w:tcW w:w="879" w:type="dxa"/>
            <w:tcBorders>
              <w:top w:val="nil"/>
              <w:left w:val="nil"/>
              <w:bottom w:val="single" w:sz="4" w:space="0" w:color="auto"/>
              <w:right w:val="single" w:sz="4" w:space="0" w:color="auto"/>
            </w:tcBorders>
            <w:shd w:val="clear" w:color="auto" w:fill="auto"/>
            <w:vAlign w:val="center"/>
            <w:hideMark/>
          </w:tcPr>
          <w:p w14:paraId="55E7A16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12 924</w:t>
            </w:r>
          </w:p>
        </w:tc>
        <w:tc>
          <w:tcPr>
            <w:tcW w:w="941" w:type="dxa"/>
            <w:tcBorders>
              <w:top w:val="nil"/>
              <w:left w:val="nil"/>
              <w:bottom w:val="single" w:sz="4" w:space="0" w:color="auto"/>
              <w:right w:val="single" w:sz="4" w:space="0" w:color="auto"/>
            </w:tcBorders>
            <w:shd w:val="clear" w:color="auto" w:fill="auto"/>
            <w:vAlign w:val="center"/>
            <w:hideMark/>
          </w:tcPr>
          <w:p w14:paraId="3228217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9 820</w:t>
            </w:r>
          </w:p>
        </w:tc>
        <w:tc>
          <w:tcPr>
            <w:tcW w:w="941" w:type="dxa"/>
            <w:tcBorders>
              <w:top w:val="nil"/>
              <w:left w:val="nil"/>
              <w:bottom w:val="single" w:sz="4" w:space="0" w:color="auto"/>
              <w:right w:val="single" w:sz="4" w:space="0" w:color="auto"/>
            </w:tcBorders>
            <w:shd w:val="clear" w:color="auto" w:fill="auto"/>
            <w:vAlign w:val="center"/>
            <w:hideMark/>
          </w:tcPr>
          <w:p w14:paraId="4897E64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3 918</w:t>
            </w:r>
          </w:p>
        </w:tc>
        <w:tc>
          <w:tcPr>
            <w:tcW w:w="941" w:type="dxa"/>
            <w:tcBorders>
              <w:top w:val="nil"/>
              <w:left w:val="nil"/>
              <w:bottom w:val="single" w:sz="4" w:space="0" w:color="auto"/>
              <w:right w:val="single" w:sz="4" w:space="0" w:color="auto"/>
            </w:tcBorders>
            <w:shd w:val="clear" w:color="auto" w:fill="auto"/>
            <w:vAlign w:val="center"/>
            <w:hideMark/>
          </w:tcPr>
          <w:p w14:paraId="066955A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1 977</w:t>
            </w:r>
          </w:p>
        </w:tc>
        <w:tc>
          <w:tcPr>
            <w:tcW w:w="941" w:type="dxa"/>
            <w:tcBorders>
              <w:top w:val="nil"/>
              <w:left w:val="nil"/>
              <w:bottom w:val="single" w:sz="4" w:space="0" w:color="auto"/>
              <w:right w:val="single" w:sz="4" w:space="0" w:color="auto"/>
            </w:tcBorders>
            <w:shd w:val="clear" w:color="auto" w:fill="auto"/>
            <w:vAlign w:val="center"/>
            <w:hideMark/>
          </w:tcPr>
          <w:p w14:paraId="1206F1A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12 731</w:t>
            </w:r>
          </w:p>
        </w:tc>
        <w:tc>
          <w:tcPr>
            <w:tcW w:w="941" w:type="dxa"/>
            <w:tcBorders>
              <w:top w:val="nil"/>
              <w:left w:val="nil"/>
              <w:bottom w:val="single" w:sz="4" w:space="0" w:color="auto"/>
              <w:right w:val="single" w:sz="4" w:space="0" w:color="auto"/>
            </w:tcBorders>
            <w:shd w:val="clear" w:color="auto" w:fill="auto"/>
            <w:vAlign w:val="center"/>
            <w:hideMark/>
          </w:tcPr>
          <w:p w14:paraId="2F7190A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16 165</w:t>
            </w:r>
          </w:p>
        </w:tc>
        <w:tc>
          <w:tcPr>
            <w:tcW w:w="941" w:type="dxa"/>
            <w:tcBorders>
              <w:top w:val="nil"/>
              <w:left w:val="nil"/>
              <w:bottom w:val="single" w:sz="4" w:space="0" w:color="auto"/>
              <w:right w:val="single" w:sz="4" w:space="0" w:color="auto"/>
            </w:tcBorders>
            <w:shd w:val="clear" w:color="auto" w:fill="auto"/>
            <w:vAlign w:val="center"/>
            <w:hideMark/>
          </w:tcPr>
          <w:p w14:paraId="32C7093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11 222</w:t>
            </w:r>
          </w:p>
        </w:tc>
        <w:tc>
          <w:tcPr>
            <w:tcW w:w="941" w:type="dxa"/>
            <w:tcBorders>
              <w:top w:val="nil"/>
              <w:left w:val="nil"/>
              <w:bottom w:val="single" w:sz="4" w:space="0" w:color="auto"/>
              <w:right w:val="single" w:sz="4" w:space="0" w:color="auto"/>
            </w:tcBorders>
            <w:shd w:val="clear" w:color="auto" w:fill="auto"/>
            <w:vAlign w:val="center"/>
            <w:hideMark/>
          </w:tcPr>
          <w:p w14:paraId="18BA80A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8 188</w:t>
            </w:r>
          </w:p>
        </w:tc>
        <w:tc>
          <w:tcPr>
            <w:tcW w:w="941" w:type="dxa"/>
            <w:tcBorders>
              <w:top w:val="nil"/>
              <w:left w:val="nil"/>
              <w:bottom w:val="single" w:sz="4" w:space="0" w:color="auto"/>
              <w:right w:val="single" w:sz="4" w:space="0" w:color="auto"/>
            </w:tcBorders>
            <w:shd w:val="clear" w:color="auto" w:fill="auto"/>
            <w:vAlign w:val="center"/>
            <w:hideMark/>
          </w:tcPr>
          <w:p w14:paraId="45E6DE3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4 165</w:t>
            </w:r>
          </w:p>
        </w:tc>
        <w:tc>
          <w:tcPr>
            <w:tcW w:w="1271" w:type="dxa"/>
            <w:tcBorders>
              <w:top w:val="nil"/>
              <w:left w:val="nil"/>
              <w:bottom w:val="single" w:sz="4" w:space="0" w:color="auto"/>
              <w:right w:val="single" w:sz="4" w:space="0" w:color="auto"/>
            </w:tcBorders>
            <w:shd w:val="clear" w:color="auto" w:fill="auto"/>
            <w:vAlign w:val="center"/>
            <w:hideMark/>
          </w:tcPr>
          <w:p w14:paraId="44E893E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1 776</w:t>
            </w:r>
          </w:p>
        </w:tc>
      </w:tr>
      <w:tr w:rsidR="0053576E" w:rsidRPr="004135FE" w14:paraId="4FDAEB03"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706E6261"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55C1140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tcBorders>
              <w:top w:val="nil"/>
              <w:left w:val="nil"/>
              <w:bottom w:val="single" w:sz="4" w:space="0" w:color="auto"/>
              <w:right w:val="single" w:sz="4" w:space="0" w:color="auto"/>
            </w:tcBorders>
            <w:shd w:val="clear" w:color="auto" w:fill="auto"/>
            <w:vAlign w:val="center"/>
            <w:hideMark/>
          </w:tcPr>
          <w:p w14:paraId="6B29527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78" w:type="dxa"/>
            <w:tcBorders>
              <w:top w:val="nil"/>
              <w:left w:val="nil"/>
              <w:bottom w:val="single" w:sz="4" w:space="0" w:color="auto"/>
              <w:right w:val="single" w:sz="4" w:space="0" w:color="auto"/>
            </w:tcBorders>
            <w:shd w:val="clear" w:color="auto" w:fill="auto"/>
            <w:vAlign w:val="center"/>
            <w:hideMark/>
          </w:tcPr>
          <w:p w14:paraId="2B4C77F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2 477</w:t>
            </w:r>
          </w:p>
        </w:tc>
        <w:tc>
          <w:tcPr>
            <w:tcW w:w="879" w:type="dxa"/>
            <w:tcBorders>
              <w:top w:val="nil"/>
              <w:left w:val="nil"/>
              <w:bottom w:val="single" w:sz="4" w:space="0" w:color="auto"/>
              <w:right w:val="single" w:sz="4" w:space="0" w:color="auto"/>
            </w:tcBorders>
            <w:shd w:val="clear" w:color="auto" w:fill="auto"/>
            <w:vAlign w:val="center"/>
            <w:hideMark/>
          </w:tcPr>
          <w:p w14:paraId="2FA414E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11 930</w:t>
            </w:r>
          </w:p>
        </w:tc>
        <w:tc>
          <w:tcPr>
            <w:tcW w:w="879" w:type="dxa"/>
            <w:tcBorders>
              <w:top w:val="nil"/>
              <w:left w:val="nil"/>
              <w:bottom w:val="single" w:sz="4" w:space="0" w:color="auto"/>
              <w:right w:val="single" w:sz="4" w:space="0" w:color="auto"/>
            </w:tcBorders>
            <w:shd w:val="clear" w:color="auto" w:fill="auto"/>
            <w:vAlign w:val="center"/>
            <w:hideMark/>
          </w:tcPr>
          <w:p w14:paraId="44C3B72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13 028</w:t>
            </w:r>
          </w:p>
        </w:tc>
        <w:tc>
          <w:tcPr>
            <w:tcW w:w="941" w:type="dxa"/>
            <w:tcBorders>
              <w:top w:val="nil"/>
              <w:left w:val="nil"/>
              <w:bottom w:val="single" w:sz="4" w:space="0" w:color="auto"/>
              <w:right w:val="single" w:sz="4" w:space="0" w:color="auto"/>
            </w:tcBorders>
            <w:shd w:val="clear" w:color="auto" w:fill="auto"/>
            <w:vAlign w:val="center"/>
            <w:hideMark/>
          </w:tcPr>
          <w:p w14:paraId="2355C14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10 580</w:t>
            </w:r>
          </w:p>
        </w:tc>
        <w:tc>
          <w:tcPr>
            <w:tcW w:w="941" w:type="dxa"/>
            <w:tcBorders>
              <w:top w:val="nil"/>
              <w:left w:val="nil"/>
              <w:bottom w:val="single" w:sz="4" w:space="0" w:color="auto"/>
              <w:right w:val="single" w:sz="4" w:space="0" w:color="auto"/>
            </w:tcBorders>
            <w:shd w:val="clear" w:color="auto" w:fill="auto"/>
            <w:vAlign w:val="center"/>
            <w:hideMark/>
          </w:tcPr>
          <w:p w14:paraId="2BE3F15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5 375</w:t>
            </w:r>
          </w:p>
        </w:tc>
        <w:tc>
          <w:tcPr>
            <w:tcW w:w="941" w:type="dxa"/>
            <w:tcBorders>
              <w:top w:val="nil"/>
              <w:left w:val="nil"/>
              <w:bottom w:val="single" w:sz="4" w:space="0" w:color="auto"/>
              <w:right w:val="single" w:sz="4" w:space="0" w:color="auto"/>
            </w:tcBorders>
            <w:shd w:val="clear" w:color="auto" w:fill="auto"/>
            <w:vAlign w:val="center"/>
            <w:hideMark/>
          </w:tcPr>
          <w:p w14:paraId="62AF8EA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4 067</w:t>
            </w:r>
          </w:p>
        </w:tc>
        <w:tc>
          <w:tcPr>
            <w:tcW w:w="941" w:type="dxa"/>
            <w:tcBorders>
              <w:top w:val="nil"/>
              <w:left w:val="nil"/>
              <w:bottom w:val="single" w:sz="4" w:space="0" w:color="auto"/>
              <w:right w:val="single" w:sz="4" w:space="0" w:color="auto"/>
            </w:tcBorders>
            <w:shd w:val="clear" w:color="auto" w:fill="auto"/>
            <w:vAlign w:val="center"/>
            <w:hideMark/>
          </w:tcPr>
          <w:p w14:paraId="0401291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19 442</w:t>
            </w:r>
          </w:p>
        </w:tc>
        <w:tc>
          <w:tcPr>
            <w:tcW w:w="941" w:type="dxa"/>
            <w:tcBorders>
              <w:top w:val="nil"/>
              <w:left w:val="nil"/>
              <w:bottom w:val="single" w:sz="4" w:space="0" w:color="auto"/>
              <w:right w:val="single" w:sz="4" w:space="0" w:color="auto"/>
            </w:tcBorders>
            <w:shd w:val="clear" w:color="auto" w:fill="auto"/>
            <w:vAlign w:val="center"/>
            <w:hideMark/>
          </w:tcPr>
          <w:p w14:paraId="3B9116B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21 196</w:t>
            </w:r>
          </w:p>
        </w:tc>
        <w:tc>
          <w:tcPr>
            <w:tcW w:w="941" w:type="dxa"/>
            <w:tcBorders>
              <w:top w:val="nil"/>
              <w:left w:val="nil"/>
              <w:bottom w:val="single" w:sz="4" w:space="0" w:color="auto"/>
              <w:right w:val="single" w:sz="4" w:space="0" w:color="auto"/>
            </w:tcBorders>
            <w:shd w:val="clear" w:color="auto" w:fill="auto"/>
            <w:vAlign w:val="center"/>
            <w:hideMark/>
          </w:tcPr>
          <w:p w14:paraId="4821446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14 787</w:t>
            </w:r>
          </w:p>
        </w:tc>
        <w:tc>
          <w:tcPr>
            <w:tcW w:w="941" w:type="dxa"/>
            <w:tcBorders>
              <w:top w:val="nil"/>
              <w:left w:val="nil"/>
              <w:bottom w:val="single" w:sz="4" w:space="0" w:color="auto"/>
              <w:right w:val="single" w:sz="4" w:space="0" w:color="auto"/>
            </w:tcBorders>
            <w:shd w:val="clear" w:color="auto" w:fill="auto"/>
            <w:vAlign w:val="center"/>
            <w:hideMark/>
          </w:tcPr>
          <w:p w14:paraId="3F49AF5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12 386</w:t>
            </w:r>
          </w:p>
        </w:tc>
        <w:tc>
          <w:tcPr>
            <w:tcW w:w="941" w:type="dxa"/>
            <w:tcBorders>
              <w:top w:val="nil"/>
              <w:left w:val="nil"/>
              <w:bottom w:val="single" w:sz="4" w:space="0" w:color="auto"/>
              <w:right w:val="single" w:sz="4" w:space="0" w:color="auto"/>
            </w:tcBorders>
            <w:shd w:val="clear" w:color="auto" w:fill="auto"/>
            <w:vAlign w:val="center"/>
            <w:hideMark/>
          </w:tcPr>
          <w:p w14:paraId="08D8252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8 625</w:t>
            </w:r>
          </w:p>
        </w:tc>
        <w:tc>
          <w:tcPr>
            <w:tcW w:w="1271" w:type="dxa"/>
            <w:tcBorders>
              <w:top w:val="nil"/>
              <w:left w:val="nil"/>
              <w:bottom w:val="single" w:sz="4" w:space="0" w:color="auto"/>
              <w:right w:val="single" w:sz="4" w:space="0" w:color="auto"/>
            </w:tcBorders>
            <w:shd w:val="clear" w:color="auto" w:fill="auto"/>
            <w:vAlign w:val="center"/>
            <w:hideMark/>
          </w:tcPr>
          <w:p w14:paraId="6715F16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4 914</w:t>
            </w:r>
          </w:p>
        </w:tc>
      </w:tr>
      <w:tr w:rsidR="0053576E" w:rsidRPr="004135FE" w14:paraId="12A18D0A"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1C76AFD4"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1044146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tcBorders>
              <w:top w:val="nil"/>
              <w:left w:val="nil"/>
              <w:bottom w:val="single" w:sz="4" w:space="0" w:color="auto"/>
              <w:right w:val="single" w:sz="4" w:space="0" w:color="auto"/>
            </w:tcBorders>
            <w:shd w:val="clear" w:color="auto" w:fill="auto"/>
            <w:vAlign w:val="center"/>
            <w:hideMark/>
          </w:tcPr>
          <w:p w14:paraId="1ECFC30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78" w:type="dxa"/>
            <w:tcBorders>
              <w:top w:val="nil"/>
              <w:left w:val="nil"/>
              <w:bottom w:val="single" w:sz="4" w:space="0" w:color="auto"/>
              <w:right w:val="single" w:sz="4" w:space="0" w:color="auto"/>
            </w:tcBorders>
            <w:shd w:val="clear" w:color="auto" w:fill="auto"/>
            <w:vAlign w:val="center"/>
            <w:hideMark/>
          </w:tcPr>
          <w:p w14:paraId="237AD1C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1 998</w:t>
            </w:r>
          </w:p>
        </w:tc>
        <w:tc>
          <w:tcPr>
            <w:tcW w:w="879" w:type="dxa"/>
            <w:tcBorders>
              <w:top w:val="nil"/>
              <w:left w:val="nil"/>
              <w:bottom w:val="single" w:sz="4" w:space="0" w:color="auto"/>
              <w:right w:val="single" w:sz="4" w:space="0" w:color="auto"/>
            </w:tcBorders>
            <w:shd w:val="clear" w:color="auto" w:fill="auto"/>
            <w:vAlign w:val="center"/>
            <w:hideMark/>
          </w:tcPr>
          <w:p w14:paraId="39CF2D3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10 214</w:t>
            </w:r>
          </w:p>
        </w:tc>
        <w:tc>
          <w:tcPr>
            <w:tcW w:w="879" w:type="dxa"/>
            <w:tcBorders>
              <w:top w:val="nil"/>
              <w:left w:val="nil"/>
              <w:bottom w:val="single" w:sz="4" w:space="0" w:color="auto"/>
              <w:right w:val="single" w:sz="4" w:space="0" w:color="auto"/>
            </w:tcBorders>
            <w:shd w:val="clear" w:color="auto" w:fill="auto"/>
            <w:vAlign w:val="center"/>
            <w:hideMark/>
          </w:tcPr>
          <w:p w14:paraId="5C057F7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11 736</w:t>
            </w:r>
          </w:p>
        </w:tc>
        <w:tc>
          <w:tcPr>
            <w:tcW w:w="941" w:type="dxa"/>
            <w:tcBorders>
              <w:top w:val="nil"/>
              <w:left w:val="nil"/>
              <w:bottom w:val="single" w:sz="4" w:space="0" w:color="auto"/>
              <w:right w:val="single" w:sz="4" w:space="0" w:color="auto"/>
            </w:tcBorders>
            <w:shd w:val="clear" w:color="auto" w:fill="auto"/>
            <w:vAlign w:val="center"/>
            <w:hideMark/>
          </w:tcPr>
          <w:p w14:paraId="59F83A8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9 697</w:t>
            </w:r>
          </w:p>
        </w:tc>
        <w:tc>
          <w:tcPr>
            <w:tcW w:w="941" w:type="dxa"/>
            <w:tcBorders>
              <w:top w:val="nil"/>
              <w:left w:val="nil"/>
              <w:bottom w:val="single" w:sz="4" w:space="0" w:color="auto"/>
              <w:right w:val="single" w:sz="4" w:space="0" w:color="auto"/>
            </w:tcBorders>
            <w:shd w:val="clear" w:color="auto" w:fill="auto"/>
            <w:vAlign w:val="center"/>
            <w:hideMark/>
          </w:tcPr>
          <w:p w14:paraId="22E9D9E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6 250</w:t>
            </w:r>
          </w:p>
        </w:tc>
        <w:tc>
          <w:tcPr>
            <w:tcW w:w="941" w:type="dxa"/>
            <w:tcBorders>
              <w:top w:val="nil"/>
              <w:left w:val="nil"/>
              <w:bottom w:val="single" w:sz="4" w:space="0" w:color="auto"/>
              <w:right w:val="single" w:sz="4" w:space="0" w:color="auto"/>
            </w:tcBorders>
            <w:shd w:val="clear" w:color="auto" w:fill="auto"/>
            <w:vAlign w:val="center"/>
            <w:hideMark/>
          </w:tcPr>
          <w:p w14:paraId="005A629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8 629</w:t>
            </w:r>
          </w:p>
        </w:tc>
        <w:tc>
          <w:tcPr>
            <w:tcW w:w="941" w:type="dxa"/>
            <w:tcBorders>
              <w:top w:val="nil"/>
              <w:left w:val="nil"/>
              <w:bottom w:val="single" w:sz="4" w:space="0" w:color="auto"/>
              <w:right w:val="single" w:sz="4" w:space="0" w:color="auto"/>
            </w:tcBorders>
            <w:shd w:val="clear" w:color="auto" w:fill="auto"/>
            <w:vAlign w:val="center"/>
            <w:hideMark/>
          </w:tcPr>
          <w:p w14:paraId="2685209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39 462</w:t>
            </w:r>
          </w:p>
        </w:tc>
        <w:tc>
          <w:tcPr>
            <w:tcW w:w="941" w:type="dxa"/>
            <w:tcBorders>
              <w:top w:val="nil"/>
              <w:left w:val="nil"/>
              <w:bottom w:val="single" w:sz="4" w:space="0" w:color="auto"/>
              <w:right w:val="single" w:sz="4" w:space="0" w:color="auto"/>
            </w:tcBorders>
            <w:shd w:val="clear" w:color="auto" w:fill="auto"/>
            <w:vAlign w:val="center"/>
            <w:hideMark/>
          </w:tcPr>
          <w:p w14:paraId="5C40CDC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21 034</w:t>
            </w:r>
          </w:p>
        </w:tc>
        <w:tc>
          <w:tcPr>
            <w:tcW w:w="941" w:type="dxa"/>
            <w:tcBorders>
              <w:top w:val="nil"/>
              <w:left w:val="nil"/>
              <w:bottom w:val="single" w:sz="4" w:space="0" w:color="auto"/>
              <w:right w:val="single" w:sz="4" w:space="0" w:color="auto"/>
            </w:tcBorders>
            <w:shd w:val="clear" w:color="auto" w:fill="auto"/>
            <w:vAlign w:val="center"/>
            <w:hideMark/>
          </w:tcPr>
          <w:p w14:paraId="3D2309A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15 703</w:t>
            </w:r>
          </w:p>
        </w:tc>
        <w:tc>
          <w:tcPr>
            <w:tcW w:w="941" w:type="dxa"/>
            <w:tcBorders>
              <w:top w:val="nil"/>
              <w:left w:val="nil"/>
              <w:bottom w:val="single" w:sz="4" w:space="0" w:color="auto"/>
              <w:right w:val="single" w:sz="4" w:space="0" w:color="auto"/>
            </w:tcBorders>
            <w:shd w:val="clear" w:color="auto" w:fill="auto"/>
            <w:vAlign w:val="center"/>
            <w:hideMark/>
          </w:tcPr>
          <w:p w14:paraId="04356A7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13 068</w:t>
            </w:r>
          </w:p>
        </w:tc>
        <w:tc>
          <w:tcPr>
            <w:tcW w:w="941" w:type="dxa"/>
            <w:tcBorders>
              <w:top w:val="nil"/>
              <w:left w:val="nil"/>
              <w:bottom w:val="single" w:sz="4" w:space="0" w:color="auto"/>
              <w:right w:val="single" w:sz="4" w:space="0" w:color="auto"/>
            </w:tcBorders>
            <w:shd w:val="clear" w:color="auto" w:fill="auto"/>
            <w:vAlign w:val="center"/>
            <w:hideMark/>
          </w:tcPr>
          <w:p w14:paraId="104300B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9 333</w:t>
            </w:r>
          </w:p>
        </w:tc>
        <w:tc>
          <w:tcPr>
            <w:tcW w:w="1271" w:type="dxa"/>
            <w:tcBorders>
              <w:top w:val="nil"/>
              <w:left w:val="nil"/>
              <w:bottom w:val="single" w:sz="4" w:space="0" w:color="auto"/>
              <w:right w:val="single" w:sz="4" w:space="0" w:color="auto"/>
            </w:tcBorders>
            <w:shd w:val="clear" w:color="auto" w:fill="auto"/>
            <w:vAlign w:val="center"/>
            <w:hideMark/>
          </w:tcPr>
          <w:p w14:paraId="757E8AD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6 060</w:t>
            </w:r>
          </w:p>
        </w:tc>
      </w:tr>
      <w:tr w:rsidR="0053576E" w:rsidRPr="004135FE" w14:paraId="28B49B27"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5AAC62D1"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2257CFE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tcBorders>
              <w:top w:val="nil"/>
              <w:left w:val="nil"/>
              <w:bottom w:val="single" w:sz="4" w:space="0" w:color="auto"/>
              <w:right w:val="single" w:sz="4" w:space="0" w:color="auto"/>
            </w:tcBorders>
            <w:shd w:val="clear" w:color="auto" w:fill="auto"/>
            <w:vAlign w:val="center"/>
            <w:hideMark/>
          </w:tcPr>
          <w:p w14:paraId="1DCED06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78" w:type="dxa"/>
            <w:tcBorders>
              <w:top w:val="nil"/>
              <w:left w:val="nil"/>
              <w:bottom w:val="single" w:sz="4" w:space="0" w:color="auto"/>
              <w:right w:val="single" w:sz="4" w:space="0" w:color="auto"/>
            </w:tcBorders>
            <w:shd w:val="clear" w:color="auto" w:fill="auto"/>
            <w:vAlign w:val="center"/>
            <w:hideMark/>
          </w:tcPr>
          <w:p w14:paraId="221E5F0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1 667</w:t>
            </w:r>
          </w:p>
        </w:tc>
        <w:tc>
          <w:tcPr>
            <w:tcW w:w="879" w:type="dxa"/>
            <w:tcBorders>
              <w:top w:val="nil"/>
              <w:left w:val="nil"/>
              <w:bottom w:val="single" w:sz="4" w:space="0" w:color="auto"/>
              <w:right w:val="single" w:sz="4" w:space="0" w:color="auto"/>
            </w:tcBorders>
            <w:shd w:val="clear" w:color="auto" w:fill="auto"/>
            <w:vAlign w:val="center"/>
            <w:hideMark/>
          </w:tcPr>
          <w:p w14:paraId="022F83C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7 467</w:t>
            </w:r>
          </w:p>
        </w:tc>
        <w:tc>
          <w:tcPr>
            <w:tcW w:w="879" w:type="dxa"/>
            <w:tcBorders>
              <w:top w:val="nil"/>
              <w:left w:val="nil"/>
              <w:bottom w:val="single" w:sz="4" w:space="0" w:color="auto"/>
              <w:right w:val="single" w:sz="4" w:space="0" w:color="auto"/>
            </w:tcBorders>
            <w:shd w:val="clear" w:color="auto" w:fill="auto"/>
            <w:vAlign w:val="center"/>
            <w:hideMark/>
          </w:tcPr>
          <w:p w14:paraId="73E0328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8 523</w:t>
            </w:r>
          </w:p>
        </w:tc>
        <w:tc>
          <w:tcPr>
            <w:tcW w:w="941" w:type="dxa"/>
            <w:tcBorders>
              <w:top w:val="nil"/>
              <w:left w:val="nil"/>
              <w:bottom w:val="single" w:sz="4" w:space="0" w:color="auto"/>
              <w:right w:val="single" w:sz="4" w:space="0" w:color="auto"/>
            </w:tcBorders>
            <w:shd w:val="clear" w:color="auto" w:fill="auto"/>
            <w:vAlign w:val="center"/>
            <w:hideMark/>
          </w:tcPr>
          <w:p w14:paraId="7AFF43D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6 811</w:t>
            </w:r>
          </w:p>
        </w:tc>
        <w:tc>
          <w:tcPr>
            <w:tcW w:w="941" w:type="dxa"/>
            <w:tcBorders>
              <w:top w:val="nil"/>
              <w:left w:val="nil"/>
              <w:bottom w:val="single" w:sz="4" w:space="0" w:color="auto"/>
              <w:right w:val="single" w:sz="4" w:space="0" w:color="auto"/>
            </w:tcBorders>
            <w:shd w:val="clear" w:color="auto" w:fill="auto"/>
            <w:vAlign w:val="center"/>
            <w:hideMark/>
          </w:tcPr>
          <w:p w14:paraId="2DDA043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2 978</w:t>
            </w:r>
          </w:p>
        </w:tc>
        <w:tc>
          <w:tcPr>
            <w:tcW w:w="941" w:type="dxa"/>
            <w:tcBorders>
              <w:top w:val="nil"/>
              <w:left w:val="nil"/>
              <w:bottom w:val="single" w:sz="4" w:space="0" w:color="auto"/>
              <w:right w:val="single" w:sz="4" w:space="0" w:color="auto"/>
            </w:tcBorders>
            <w:shd w:val="clear" w:color="auto" w:fill="auto"/>
            <w:vAlign w:val="center"/>
            <w:hideMark/>
          </w:tcPr>
          <w:p w14:paraId="1FE18B7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2 324</w:t>
            </w:r>
          </w:p>
        </w:tc>
        <w:tc>
          <w:tcPr>
            <w:tcW w:w="941" w:type="dxa"/>
            <w:tcBorders>
              <w:top w:val="nil"/>
              <w:left w:val="nil"/>
              <w:bottom w:val="single" w:sz="4" w:space="0" w:color="auto"/>
              <w:right w:val="single" w:sz="4" w:space="0" w:color="auto"/>
            </w:tcBorders>
            <w:shd w:val="clear" w:color="auto" w:fill="auto"/>
            <w:vAlign w:val="center"/>
            <w:hideMark/>
          </w:tcPr>
          <w:p w14:paraId="2AB08FB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12 234</w:t>
            </w:r>
          </w:p>
        </w:tc>
        <w:tc>
          <w:tcPr>
            <w:tcW w:w="941" w:type="dxa"/>
            <w:tcBorders>
              <w:top w:val="nil"/>
              <w:left w:val="nil"/>
              <w:bottom w:val="single" w:sz="4" w:space="0" w:color="auto"/>
              <w:right w:val="single" w:sz="4" w:space="0" w:color="auto"/>
            </w:tcBorders>
            <w:shd w:val="clear" w:color="auto" w:fill="auto"/>
            <w:vAlign w:val="center"/>
            <w:hideMark/>
          </w:tcPr>
          <w:p w14:paraId="5285B1B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13 019</w:t>
            </w:r>
          </w:p>
        </w:tc>
        <w:tc>
          <w:tcPr>
            <w:tcW w:w="941" w:type="dxa"/>
            <w:tcBorders>
              <w:top w:val="nil"/>
              <w:left w:val="nil"/>
              <w:bottom w:val="single" w:sz="4" w:space="0" w:color="auto"/>
              <w:right w:val="single" w:sz="4" w:space="0" w:color="auto"/>
            </w:tcBorders>
            <w:shd w:val="clear" w:color="auto" w:fill="auto"/>
            <w:vAlign w:val="center"/>
            <w:hideMark/>
          </w:tcPr>
          <w:p w14:paraId="6DFEFA8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9 336</w:t>
            </w:r>
          </w:p>
        </w:tc>
        <w:tc>
          <w:tcPr>
            <w:tcW w:w="941" w:type="dxa"/>
            <w:tcBorders>
              <w:top w:val="nil"/>
              <w:left w:val="nil"/>
              <w:bottom w:val="single" w:sz="4" w:space="0" w:color="auto"/>
              <w:right w:val="single" w:sz="4" w:space="0" w:color="auto"/>
            </w:tcBorders>
            <w:shd w:val="clear" w:color="auto" w:fill="auto"/>
            <w:vAlign w:val="center"/>
            <w:hideMark/>
          </w:tcPr>
          <w:p w14:paraId="69DE6A2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7 509</w:t>
            </w:r>
          </w:p>
        </w:tc>
        <w:tc>
          <w:tcPr>
            <w:tcW w:w="941" w:type="dxa"/>
            <w:tcBorders>
              <w:top w:val="nil"/>
              <w:left w:val="nil"/>
              <w:bottom w:val="single" w:sz="4" w:space="0" w:color="auto"/>
              <w:right w:val="single" w:sz="4" w:space="0" w:color="auto"/>
            </w:tcBorders>
            <w:shd w:val="clear" w:color="auto" w:fill="auto"/>
            <w:vAlign w:val="center"/>
            <w:hideMark/>
          </w:tcPr>
          <w:p w14:paraId="149B5B4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4 774</w:t>
            </w:r>
          </w:p>
        </w:tc>
        <w:tc>
          <w:tcPr>
            <w:tcW w:w="1271" w:type="dxa"/>
            <w:tcBorders>
              <w:top w:val="nil"/>
              <w:left w:val="nil"/>
              <w:bottom w:val="single" w:sz="4" w:space="0" w:color="auto"/>
              <w:right w:val="single" w:sz="4" w:space="0" w:color="auto"/>
            </w:tcBorders>
            <w:shd w:val="clear" w:color="auto" w:fill="auto"/>
            <w:vAlign w:val="center"/>
            <w:hideMark/>
          </w:tcPr>
          <w:p w14:paraId="27093EA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2 311</w:t>
            </w:r>
          </w:p>
        </w:tc>
      </w:tr>
      <w:tr w:rsidR="0053576E" w:rsidRPr="004135FE" w14:paraId="0DE3CB8C"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33B0F9E4"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276F67B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tcBorders>
              <w:top w:val="nil"/>
              <w:left w:val="nil"/>
              <w:bottom w:val="single" w:sz="4" w:space="0" w:color="auto"/>
              <w:right w:val="single" w:sz="4" w:space="0" w:color="auto"/>
            </w:tcBorders>
            <w:shd w:val="clear" w:color="auto" w:fill="auto"/>
            <w:vAlign w:val="center"/>
            <w:hideMark/>
          </w:tcPr>
          <w:p w14:paraId="77E985D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78" w:type="dxa"/>
            <w:tcBorders>
              <w:top w:val="nil"/>
              <w:left w:val="nil"/>
              <w:bottom w:val="single" w:sz="4" w:space="0" w:color="auto"/>
              <w:right w:val="single" w:sz="4" w:space="0" w:color="auto"/>
            </w:tcBorders>
            <w:shd w:val="clear" w:color="auto" w:fill="auto"/>
            <w:vAlign w:val="center"/>
            <w:hideMark/>
          </w:tcPr>
          <w:p w14:paraId="54C00D6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1 787</w:t>
            </w:r>
          </w:p>
        </w:tc>
        <w:tc>
          <w:tcPr>
            <w:tcW w:w="879" w:type="dxa"/>
            <w:tcBorders>
              <w:top w:val="nil"/>
              <w:left w:val="nil"/>
              <w:bottom w:val="single" w:sz="4" w:space="0" w:color="auto"/>
              <w:right w:val="single" w:sz="4" w:space="0" w:color="auto"/>
            </w:tcBorders>
            <w:shd w:val="clear" w:color="auto" w:fill="auto"/>
            <w:vAlign w:val="center"/>
            <w:hideMark/>
          </w:tcPr>
          <w:p w14:paraId="66CE035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9 069</w:t>
            </w:r>
          </w:p>
        </w:tc>
        <w:tc>
          <w:tcPr>
            <w:tcW w:w="879" w:type="dxa"/>
            <w:tcBorders>
              <w:top w:val="nil"/>
              <w:left w:val="nil"/>
              <w:bottom w:val="single" w:sz="4" w:space="0" w:color="auto"/>
              <w:right w:val="single" w:sz="4" w:space="0" w:color="auto"/>
            </w:tcBorders>
            <w:shd w:val="clear" w:color="auto" w:fill="auto"/>
            <w:vAlign w:val="center"/>
            <w:hideMark/>
          </w:tcPr>
          <w:p w14:paraId="0863679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10 991</w:t>
            </w:r>
          </w:p>
        </w:tc>
        <w:tc>
          <w:tcPr>
            <w:tcW w:w="941" w:type="dxa"/>
            <w:tcBorders>
              <w:top w:val="nil"/>
              <w:left w:val="nil"/>
              <w:bottom w:val="single" w:sz="4" w:space="0" w:color="auto"/>
              <w:right w:val="single" w:sz="4" w:space="0" w:color="auto"/>
            </w:tcBorders>
            <w:shd w:val="clear" w:color="auto" w:fill="auto"/>
            <w:vAlign w:val="center"/>
            <w:hideMark/>
          </w:tcPr>
          <w:p w14:paraId="688ADCA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9 469</w:t>
            </w:r>
          </w:p>
        </w:tc>
        <w:tc>
          <w:tcPr>
            <w:tcW w:w="941" w:type="dxa"/>
            <w:tcBorders>
              <w:top w:val="nil"/>
              <w:left w:val="nil"/>
              <w:bottom w:val="single" w:sz="4" w:space="0" w:color="auto"/>
              <w:right w:val="single" w:sz="4" w:space="0" w:color="auto"/>
            </w:tcBorders>
            <w:shd w:val="clear" w:color="auto" w:fill="auto"/>
            <w:vAlign w:val="center"/>
            <w:hideMark/>
          </w:tcPr>
          <w:p w14:paraId="3240051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4 779</w:t>
            </w:r>
          </w:p>
        </w:tc>
        <w:tc>
          <w:tcPr>
            <w:tcW w:w="941" w:type="dxa"/>
            <w:tcBorders>
              <w:top w:val="nil"/>
              <w:left w:val="nil"/>
              <w:bottom w:val="single" w:sz="4" w:space="0" w:color="auto"/>
              <w:right w:val="single" w:sz="4" w:space="0" w:color="auto"/>
            </w:tcBorders>
            <w:shd w:val="clear" w:color="auto" w:fill="auto"/>
            <w:vAlign w:val="center"/>
            <w:hideMark/>
          </w:tcPr>
          <w:p w14:paraId="5D0FA74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4 936</w:t>
            </w:r>
          </w:p>
        </w:tc>
        <w:tc>
          <w:tcPr>
            <w:tcW w:w="941" w:type="dxa"/>
            <w:tcBorders>
              <w:top w:val="nil"/>
              <w:left w:val="nil"/>
              <w:bottom w:val="single" w:sz="4" w:space="0" w:color="auto"/>
              <w:right w:val="single" w:sz="4" w:space="0" w:color="auto"/>
            </w:tcBorders>
            <w:shd w:val="clear" w:color="auto" w:fill="auto"/>
            <w:vAlign w:val="center"/>
            <w:hideMark/>
          </w:tcPr>
          <w:p w14:paraId="3C90646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16 180</w:t>
            </w:r>
          </w:p>
        </w:tc>
        <w:tc>
          <w:tcPr>
            <w:tcW w:w="941" w:type="dxa"/>
            <w:tcBorders>
              <w:top w:val="nil"/>
              <w:left w:val="nil"/>
              <w:bottom w:val="single" w:sz="4" w:space="0" w:color="auto"/>
              <w:right w:val="single" w:sz="4" w:space="0" w:color="auto"/>
            </w:tcBorders>
            <w:shd w:val="clear" w:color="auto" w:fill="auto"/>
            <w:vAlign w:val="center"/>
            <w:hideMark/>
          </w:tcPr>
          <w:p w14:paraId="0A68533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14 477</w:t>
            </w:r>
          </w:p>
        </w:tc>
        <w:tc>
          <w:tcPr>
            <w:tcW w:w="941" w:type="dxa"/>
            <w:tcBorders>
              <w:top w:val="nil"/>
              <w:left w:val="nil"/>
              <w:bottom w:val="single" w:sz="4" w:space="0" w:color="auto"/>
              <w:right w:val="single" w:sz="4" w:space="0" w:color="auto"/>
            </w:tcBorders>
            <w:shd w:val="clear" w:color="auto" w:fill="auto"/>
            <w:vAlign w:val="center"/>
            <w:hideMark/>
          </w:tcPr>
          <w:p w14:paraId="5F4DBE6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10 866</w:t>
            </w:r>
          </w:p>
        </w:tc>
        <w:tc>
          <w:tcPr>
            <w:tcW w:w="941" w:type="dxa"/>
            <w:tcBorders>
              <w:top w:val="nil"/>
              <w:left w:val="nil"/>
              <w:bottom w:val="single" w:sz="4" w:space="0" w:color="auto"/>
              <w:right w:val="single" w:sz="4" w:space="0" w:color="auto"/>
            </w:tcBorders>
            <w:shd w:val="clear" w:color="auto" w:fill="auto"/>
            <w:vAlign w:val="center"/>
            <w:hideMark/>
          </w:tcPr>
          <w:p w14:paraId="448F13B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9 562</w:t>
            </w:r>
          </w:p>
        </w:tc>
        <w:tc>
          <w:tcPr>
            <w:tcW w:w="941" w:type="dxa"/>
            <w:tcBorders>
              <w:top w:val="nil"/>
              <w:left w:val="nil"/>
              <w:bottom w:val="single" w:sz="4" w:space="0" w:color="auto"/>
              <w:right w:val="single" w:sz="4" w:space="0" w:color="auto"/>
            </w:tcBorders>
            <w:shd w:val="clear" w:color="auto" w:fill="auto"/>
            <w:vAlign w:val="center"/>
            <w:hideMark/>
          </w:tcPr>
          <w:p w14:paraId="3FF4558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6 736</w:t>
            </w:r>
          </w:p>
        </w:tc>
        <w:tc>
          <w:tcPr>
            <w:tcW w:w="1271" w:type="dxa"/>
            <w:tcBorders>
              <w:top w:val="nil"/>
              <w:left w:val="nil"/>
              <w:bottom w:val="single" w:sz="4" w:space="0" w:color="auto"/>
              <w:right w:val="single" w:sz="4" w:space="0" w:color="auto"/>
            </w:tcBorders>
            <w:shd w:val="clear" w:color="auto" w:fill="auto"/>
            <w:vAlign w:val="center"/>
            <w:hideMark/>
          </w:tcPr>
          <w:p w14:paraId="1B830F0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4 133</w:t>
            </w:r>
          </w:p>
        </w:tc>
      </w:tr>
      <w:tr w:rsidR="0053576E" w:rsidRPr="004135FE" w14:paraId="5270C469"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77046B16"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7F8D11C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tcBorders>
              <w:top w:val="nil"/>
              <w:left w:val="nil"/>
              <w:bottom w:val="single" w:sz="4" w:space="0" w:color="auto"/>
              <w:right w:val="single" w:sz="4" w:space="0" w:color="auto"/>
            </w:tcBorders>
            <w:shd w:val="clear" w:color="auto" w:fill="auto"/>
            <w:vAlign w:val="center"/>
            <w:hideMark/>
          </w:tcPr>
          <w:p w14:paraId="61F07AA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78" w:type="dxa"/>
            <w:tcBorders>
              <w:top w:val="nil"/>
              <w:left w:val="nil"/>
              <w:bottom w:val="single" w:sz="4" w:space="0" w:color="auto"/>
              <w:right w:val="single" w:sz="4" w:space="0" w:color="auto"/>
            </w:tcBorders>
            <w:shd w:val="clear" w:color="auto" w:fill="auto"/>
            <w:vAlign w:val="center"/>
            <w:hideMark/>
          </w:tcPr>
          <w:p w14:paraId="619F284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1 415</w:t>
            </w:r>
          </w:p>
        </w:tc>
        <w:tc>
          <w:tcPr>
            <w:tcW w:w="879" w:type="dxa"/>
            <w:tcBorders>
              <w:top w:val="nil"/>
              <w:left w:val="nil"/>
              <w:bottom w:val="single" w:sz="4" w:space="0" w:color="auto"/>
              <w:right w:val="single" w:sz="4" w:space="0" w:color="auto"/>
            </w:tcBorders>
            <w:shd w:val="clear" w:color="auto" w:fill="auto"/>
            <w:vAlign w:val="center"/>
            <w:hideMark/>
          </w:tcPr>
          <w:p w14:paraId="31D8CEB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5 769</w:t>
            </w:r>
          </w:p>
        </w:tc>
        <w:tc>
          <w:tcPr>
            <w:tcW w:w="879" w:type="dxa"/>
            <w:tcBorders>
              <w:top w:val="nil"/>
              <w:left w:val="nil"/>
              <w:bottom w:val="single" w:sz="4" w:space="0" w:color="auto"/>
              <w:right w:val="single" w:sz="4" w:space="0" w:color="auto"/>
            </w:tcBorders>
            <w:shd w:val="clear" w:color="auto" w:fill="auto"/>
            <w:vAlign w:val="center"/>
            <w:hideMark/>
          </w:tcPr>
          <w:p w14:paraId="657EE85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5 137</w:t>
            </w:r>
          </w:p>
        </w:tc>
        <w:tc>
          <w:tcPr>
            <w:tcW w:w="941" w:type="dxa"/>
            <w:tcBorders>
              <w:top w:val="nil"/>
              <w:left w:val="nil"/>
              <w:bottom w:val="single" w:sz="4" w:space="0" w:color="auto"/>
              <w:right w:val="single" w:sz="4" w:space="0" w:color="auto"/>
            </w:tcBorders>
            <w:shd w:val="clear" w:color="auto" w:fill="auto"/>
            <w:vAlign w:val="center"/>
            <w:hideMark/>
          </w:tcPr>
          <w:p w14:paraId="50A3613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4 091</w:t>
            </w:r>
          </w:p>
        </w:tc>
        <w:tc>
          <w:tcPr>
            <w:tcW w:w="941" w:type="dxa"/>
            <w:tcBorders>
              <w:top w:val="nil"/>
              <w:left w:val="nil"/>
              <w:bottom w:val="single" w:sz="4" w:space="0" w:color="auto"/>
              <w:right w:val="single" w:sz="4" w:space="0" w:color="auto"/>
            </w:tcBorders>
            <w:shd w:val="clear" w:color="auto" w:fill="auto"/>
            <w:vAlign w:val="center"/>
            <w:hideMark/>
          </w:tcPr>
          <w:p w14:paraId="26D5432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1 734</w:t>
            </w:r>
          </w:p>
        </w:tc>
        <w:tc>
          <w:tcPr>
            <w:tcW w:w="941" w:type="dxa"/>
            <w:tcBorders>
              <w:top w:val="nil"/>
              <w:left w:val="nil"/>
              <w:bottom w:val="single" w:sz="4" w:space="0" w:color="auto"/>
              <w:right w:val="single" w:sz="4" w:space="0" w:color="auto"/>
            </w:tcBorders>
            <w:shd w:val="clear" w:color="auto" w:fill="auto"/>
            <w:vAlign w:val="center"/>
            <w:hideMark/>
          </w:tcPr>
          <w:p w14:paraId="5E7D6C7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952</w:t>
            </w:r>
          </w:p>
        </w:tc>
        <w:tc>
          <w:tcPr>
            <w:tcW w:w="941" w:type="dxa"/>
            <w:tcBorders>
              <w:top w:val="nil"/>
              <w:left w:val="nil"/>
              <w:bottom w:val="single" w:sz="4" w:space="0" w:color="auto"/>
              <w:right w:val="single" w:sz="4" w:space="0" w:color="auto"/>
            </w:tcBorders>
            <w:shd w:val="clear" w:color="auto" w:fill="auto"/>
            <w:vAlign w:val="center"/>
            <w:hideMark/>
          </w:tcPr>
          <w:p w14:paraId="0CB7919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6 437</w:t>
            </w:r>
          </w:p>
        </w:tc>
        <w:tc>
          <w:tcPr>
            <w:tcW w:w="941" w:type="dxa"/>
            <w:tcBorders>
              <w:top w:val="nil"/>
              <w:left w:val="nil"/>
              <w:bottom w:val="single" w:sz="4" w:space="0" w:color="auto"/>
              <w:right w:val="single" w:sz="4" w:space="0" w:color="auto"/>
            </w:tcBorders>
            <w:shd w:val="clear" w:color="auto" w:fill="auto"/>
            <w:vAlign w:val="center"/>
            <w:hideMark/>
          </w:tcPr>
          <w:p w14:paraId="795803D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7 096</w:t>
            </w:r>
          </w:p>
        </w:tc>
        <w:tc>
          <w:tcPr>
            <w:tcW w:w="941" w:type="dxa"/>
            <w:tcBorders>
              <w:top w:val="nil"/>
              <w:left w:val="nil"/>
              <w:bottom w:val="single" w:sz="4" w:space="0" w:color="auto"/>
              <w:right w:val="single" w:sz="4" w:space="0" w:color="auto"/>
            </w:tcBorders>
            <w:shd w:val="clear" w:color="auto" w:fill="auto"/>
            <w:vAlign w:val="center"/>
            <w:hideMark/>
          </w:tcPr>
          <w:p w14:paraId="4098810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5 001</w:t>
            </w:r>
          </w:p>
        </w:tc>
        <w:tc>
          <w:tcPr>
            <w:tcW w:w="941" w:type="dxa"/>
            <w:tcBorders>
              <w:top w:val="nil"/>
              <w:left w:val="nil"/>
              <w:bottom w:val="single" w:sz="4" w:space="0" w:color="auto"/>
              <w:right w:val="single" w:sz="4" w:space="0" w:color="auto"/>
            </w:tcBorders>
            <w:shd w:val="clear" w:color="auto" w:fill="auto"/>
            <w:vAlign w:val="center"/>
            <w:hideMark/>
          </w:tcPr>
          <w:p w14:paraId="359C059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4 309</w:t>
            </w:r>
          </w:p>
        </w:tc>
        <w:tc>
          <w:tcPr>
            <w:tcW w:w="941" w:type="dxa"/>
            <w:tcBorders>
              <w:top w:val="nil"/>
              <w:left w:val="nil"/>
              <w:bottom w:val="single" w:sz="4" w:space="0" w:color="auto"/>
              <w:right w:val="single" w:sz="4" w:space="0" w:color="auto"/>
            </w:tcBorders>
            <w:shd w:val="clear" w:color="auto" w:fill="auto"/>
            <w:vAlign w:val="center"/>
            <w:hideMark/>
          </w:tcPr>
          <w:p w14:paraId="3D8EAC2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2 477</w:t>
            </w:r>
          </w:p>
        </w:tc>
        <w:tc>
          <w:tcPr>
            <w:tcW w:w="1271" w:type="dxa"/>
            <w:tcBorders>
              <w:top w:val="nil"/>
              <w:left w:val="nil"/>
              <w:bottom w:val="single" w:sz="4" w:space="0" w:color="auto"/>
              <w:right w:val="single" w:sz="4" w:space="0" w:color="auto"/>
            </w:tcBorders>
            <w:shd w:val="clear" w:color="auto" w:fill="auto"/>
            <w:vAlign w:val="center"/>
            <w:hideMark/>
          </w:tcPr>
          <w:p w14:paraId="256FF0A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1 162</w:t>
            </w:r>
          </w:p>
        </w:tc>
      </w:tr>
      <w:tr w:rsidR="0053576E" w:rsidRPr="004135FE" w14:paraId="0A73D682" w14:textId="77777777" w:rsidTr="00680E37">
        <w:trPr>
          <w:cantSplit/>
          <w:trHeight w:val="227"/>
        </w:trPr>
        <w:tc>
          <w:tcPr>
            <w:tcW w:w="553" w:type="dxa"/>
            <w:vMerge/>
            <w:tcBorders>
              <w:top w:val="nil"/>
              <w:left w:val="single" w:sz="4" w:space="0" w:color="auto"/>
              <w:bottom w:val="single" w:sz="4" w:space="0" w:color="auto"/>
              <w:right w:val="single" w:sz="4" w:space="0" w:color="auto"/>
            </w:tcBorders>
            <w:vAlign w:val="center"/>
            <w:hideMark/>
          </w:tcPr>
          <w:p w14:paraId="4B2BC663"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tcBorders>
              <w:top w:val="nil"/>
              <w:left w:val="nil"/>
              <w:bottom w:val="single" w:sz="4" w:space="0" w:color="auto"/>
              <w:right w:val="single" w:sz="4" w:space="0" w:color="auto"/>
            </w:tcBorders>
            <w:shd w:val="clear" w:color="auto" w:fill="auto"/>
            <w:vAlign w:val="bottom"/>
            <w:hideMark/>
          </w:tcPr>
          <w:p w14:paraId="6966A06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tcBorders>
              <w:top w:val="nil"/>
              <w:left w:val="nil"/>
              <w:bottom w:val="single" w:sz="4" w:space="0" w:color="auto"/>
              <w:right w:val="single" w:sz="4" w:space="0" w:color="auto"/>
            </w:tcBorders>
            <w:shd w:val="clear" w:color="auto" w:fill="auto"/>
            <w:vAlign w:val="center"/>
            <w:hideMark/>
          </w:tcPr>
          <w:p w14:paraId="212554F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78" w:type="dxa"/>
            <w:tcBorders>
              <w:top w:val="nil"/>
              <w:left w:val="nil"/>
              <w:bottom w:val="single" w:sz="4" w:space="0" w:color="auto"/>
              <w:right w:val="single" w:sz="4" w:space="0" w:color="auto"/>
            </w:tcBorders>
            <w:shd w:val="clear" w:color="auto" w:fill="auto"/>
            <w:vAlign w:val="center"/>
            <w:hideMark/>
          </w:tcPr>
          <w:p w14:paraId="303A03C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1 924</w:t>
            </w:r>
          </w:p>
        </w:tc>
        <w:tc>
          <w:tcPr>
            <w:tcW w:w="879" w:type="dxa"/>
            <w:tcBorders>
              <w:top w:val="nil"/>
              <w:left w:val="nil"/>
              <w:bottom w:val="single" w:sz="4" w:space="0" w:color="auto"/>
              <w:right w:val="single" w:sz="4" w:space="0" w:color="auto"/>
            </w:tcBorders>
            <w:shd w:val="clear" w:color="auto" w:fill="auto"/>
            <w:vAlign w:val="center"/>
            <w:hideMark/>
          </w:tcPr>
          <w:p w14:paraId="3CB037B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8 555</w:t>
            </w:r>
          </w:p>
        </w:tc>
        <w:tc>
          <w:tcPr>
            <w:tcW w:w="879" w:type="dxa"/>
            <w:tcBorders>
              <w:top w:val="nil"/>
              <w:left w:val="nil"/>
              <w:bottom w:val="single" w:sz="4" w:space="0" w:color="auto"/>
              <w:right w:val="single" w:sz="4" w:space="0" w:color="auto"/>
            </w:tcBorders>
            <w:shd w:val="clear" w:color="auto" w:fill="auto"/>
            <w:vAlign w:val="center"/>
            <w:hideMark/>
          </w:tcPr>
          <w:p w14:paraId="4F5677C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9 573</w:t>
            </w:r>
          </w:p>
        </w:tc>
        <w:tc>
          <w:tcPr>
            <w:tcW w:w="941" w:type="dxa"/>
            <w:tcBorders>
              <w:top w:val="nil"/>
              <w:left w:val="nil"/>
              <w:bottom w:val="single" w:sz="4" w:space="0" w:color="auto"/>
              <w:right w:val="single" w:sz="4" w:space="0" w:color="auto"/>
            </w:tcBorders>
            <w:shd w:val="clear" w:color="auto" w:fill="auto"/>
            <w:vAlign w:val="center"/>
            <w:hideMark/>
          </w:tcPr>
          <w:p w14:paraId="433E7A7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7 802</w:t>
            </w:r>
          </w:p>
        </w:tc>
        <w:tc>
          <w:tcPr>
            <w:tcW w:w="941" w:type="dxa"/>
            <w:tcBorders>
              <w:top w:val="nil"/>
              <w:left w:val="nil"/>
              <w:bottom w:val="single" w:sz="4" w:space="0" w:color="auto"/>
              <w:right w:val="single" w:sz="4" w:space="0" w:color="auto"/>
            </w:tcBorders>
            <w:shd w:val="clear" w:color="auto" w:fill="auto"/>
            <w:vAlign w:val="center"/>
            <w:hideMark/>
          </w:tcPr>
          <w:p w14:paraId="4EEC16C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3 826</w:t>
            </w:r>
          </w:p>
        </w:tc>
        <w:tc>
          <w:tcPr>
            <w:tcW w:w="941" w:type="dxa"/>
            <w:tcBorders>
              <w:top w:val="nil"/>
              <w:left w:val="nil"/>
              <w:bottom w:val="single" w:sz="4" w:space="0" w:color="auto"/>
              <w:right w:val="single" w:sz="4" w:space="0" w:color="auto"/>
            </w:tcBorders>
            <w:shd w:val="clear" w:color="auto" w:fill="auto"/>
            <w:vAlign w:val="center"/>
            <w:hideMark/>
          </w:tcPr>
          <w:p w14:paraId="5232559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2 575</w:t>
            </w:r>
          </w:p>
        </w:tc>
        <w:tc>
          <w:tcPr>
            <w:tcW w:w="941" w:type="dxa"/>
            <w:tcBorders>
              <w:top w:val="nil"/>
              <w:left w:val="nil"/>
              <w:bottom w:val="single" w:sz="4" w:space="0" w:color="auto"/>
              <w:right w:val="single" w:sz="4" w:space="0" w:color="auto"/>
            </w:tcBorders>
            <w:shd w:val="clear" w:color="auto" w:fill="auto"/>
            <w:vAlign w:val="center"/>
            <w:hideMark/>
          </w:tcPr>
          <w:p w14:paraId="700B3DE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16 862</w:t>
            </w:r>
          </w:p>
        </w:tc>
        <w:tc>
          <w:tcPr>
            <w:tcW w:w="941" w:type="dxa"/>
            <w:tcBorders>
              <w:top w:val="nil"/>
              <w:left w:val="nil"/>
              <w:bottom w:val="single" w:sz="4" w:space="0" w:color="auto"/>
              <w:right w:val="single" w:sz="4" w:space="0" w:color="auto"/>
            </w:tcBorders>
            <w:shd w:val="clear" w:color="auto" w:fill="auto"/>
            <w:vAlign w:val="center"/>
            <w:hideMark/>
          </w:tcPr>
          <w:p w14:paraId="7A52A6E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19 138</w:t>
            </w:r>
          </w:p>
        </w:tc>
        <w:tc>
          <w:tcPr>
            <w:tcW w:w="941" w:type="dxa"/>
            <w:tcBorders>
              <w:top w:val="nil"/>
              <w:left w:val="nil"/>
              <w:bottom w:val="single" w:sz="4" w:space="0" w:color="auto"/>
              <w:right w:val="single" w:sz="4" w:space="0" w:color="auto"/>
            </w:tcBorders>
            <w:shd w:val="clear" w:color="auto" w:fill="auto"/>
            <w:vAlign w:val="center"/>
            <w:hideMark/>
          </w:tcPr>
          <w:p w14:paraId="4FD9B99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13 805</w:t>
            </w:r>
          </w:p>
        </w:tc>
        <w:tc>
          <w:tcPr>
            <w:tcW w:w="941" w:type="dxa"/>
            <w:tcBorders>
              <w:top w:val="nil"/>
              <w:left w:val="nil"/>
              <w:bottom w:val="single" w:sz="4" w:space="0" w:color="auto"/>
              <w:right w:val="single" w:sz="4" w:space="0" w:color="auto"/>
            </w:tcBorders>
            <w:shd w:val="clear" w:color="auto" w:fill="auto"/>
            <w:vAlign w:val="center"/>
            <w:hideMark/>
          </w:tcPr>
          <w:p w14:paraId="6EB2CA2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11 473</w:t>
            </w:r>
          </w:p>
        </w:tc>
        <w:tc>
          <w:tcPr>
            <w:tcW w:w="941" w:type="dxa"/>
            <w:tcBorders>
              <w:top w:val="nil"/>
              <w:left w:val="nil"/>
              <w:bottom w:val="single" w:sz="4" w:space="0" w:color="auto"/>
              <w:right w:val="single" w:sz="4" w:space="0" w:color="auto"/>
            </w:tcBorders>
            <w:shd w:val="clear" w:color="auto" w:fill="auto"/>
            <w:vAlign w:val="center"/>
            <w:hideMark/>
          </w:tcPr>
          <w:p w14:paraId="5C02E9C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8 187</w:t>
            </w:r>
          </w:p>
        </w:tc>
        <w:tc>
          <w:tcPr>
            <w:tcW w:w="1271" w:type="dxa"/>
            <w:tcBorders>
              <w:top w:val="nil"/>
              <w:left w:val="nil"/>
              <w:bottom w:val="single" w:sz="4" w:space="0" w:color="auto"/>
              <w:right w:val="single" w:sz="4" w:space="0" w:color="auto"/>
            </w:tcBorders>
            <w:shd w:val="clear" w:color="auto" w:fill="auto"/>
            <w:vAlign w:val="center"/>
            <w:hideMark/>
          </w:tcPr>
          <w:p w14:paraId="76CF516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3 840</w:t>
            </w:r>
          </w:p>
        </w:tc>
      </w:tr>
    </w:tbl>
    <w:p w14:paraId="6D555364" w14:textId="7D6D039C" w:rsidR="00680E37" w:rsidRDefault="00680E37"/>
    <w:p w14:paraId="0D0F852E" w14:textId="4EA65FA1" w:rsidR="00680E37" w:rsidRPr="00680E37" w:rsidRDefault="00680E37" w:rsidP="00680E37">
      <w:pPr>
        <w:rPr>
          <w:rFonts w:ascii="Times New Roman" w:eastAsia="Times New Roman" w:hAnsi="Times New Roman" w:cs="Times New Roman"/>
          <w:sz w:val="28"/>
          <w:szCs w:val="28"/>
        </w:rPr>
      </w:pPr>
      <w:r w:rsidRPr="00680E37">
        <w:rPr>
          <w:rFonts w:ascii="Times New Roman" w:eastAsia="Times New Roman" w:hAnsi="Times New Roman" w:cs="Times New Roman"/>
          <w:sz w:val="28"/>
          <w:szCs w:val="28"/>
        </w:rPr>
        <w:t>Продолжение таблицы А</w:t>
      </w:r>
      <w:r>
        <w:rPr>
          <w:rFonts w:ascii="Times New Roman" w:eastAsia="Times New Roman" w:hAnsi="Times New Roman" w:cs="Times New Roman"/>
          <w:sz w:val="28"/>
          <w:szCs w:val="28"/>
        </w:rPr>
        <w:t>6</w:t>
      </w:r>
    </w:p>
    <w:tbl>
      <w:tblPr>
        <w:tblW w:w="1445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
        <w:gridCol w:w="373"/>
        <w:gridCol w:w="2098"/>
        <w:gridCol w:w="878"/>
        <w:gridCol w:w="879"/>
        <w:gridCol w:w="879"/>
        <w:gridCol w:w="941"/>
        <w:gridCol w:w="941"/>
        <w:gridCol w:w="941"/>
        <w:gridCol w:w="941"/>
        <w:gridCol w:w="941"/>
        <w:gridCol w:w="941"/>
        <w:gridCol w:w="941"/>
        <w:gridCol w:w="941"/>
        <w:gridCol w:w="1271"/>
      </w:tblGrid>
      <w:tr w:rsidR="0053576E" w:rsidRPr="004135FE" w14:paraId="53A535ED" w14:textId="77777777" w:rsidTr="00680E37">
        <w:trPr>
          <w:cantSplit/>
          <w:trHeight w:val="227"/>
        </w:trPr>
        <w:tc>
          <w:tcPr>
            <w:tcW w:w="553" w:type="dxa"/>
            <w:vMerge w:val="restart"/>
            <w:shd w:val="clear" w:color="auto" w:fill="auto"/>
            <w:textDirection w:val="btLr"/>
            <w:vAlign w:val="center"/>
            <w:hideMark/>
          </w:tcPr>
          <w:p w14:paraId="18F9024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2019год</w:t>
            </w:r>
          </w:p>
        </w:tc>
        <w:tc>
          <w:tcPr>
            <w:tcW w:w="373" w:type="dxa"/>
            <w:shd w:val="clear" w:color="auto" w:fill="auto"/>
            <w:vAlign w:val="bottom"/>
            <w:hideMark/>
          </w:tcPr>
          <w:p w14:paraId="23D961D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shd w:val="clear" w:color="auto" w:fill="auto"/>
            <w:vAlign w:val="center"/>
            <w:hideMark/>
          </w:tcPr>
          <w:p w14:paraId="658A6AB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78" w:type="dxa"/>
            <w:shd w:val="clear" w:color="auto" w:fill="auto"/>
            <w:vAlign w:val="center"/>
            <w:hideMark/>
          </w:tcPr>
          <w:p w14:paraId="0A2CB58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1 956</w:t>
            </w:r>
          </w:p>
        </w:tc>
        <w:tc>
          <w:tcPr>
            <w:tcW w:w="879" w:type="dxa"/>
            <w:shd w:val="clear" w:color="auto" w:fill="auto"/>
            <w:vAlign w:val="center"/>
            <w:hideMark/>
          </w:tcPr>
          <w:p w14:paraId="703C43E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10 002</w:t>
            </w:r>
          </w:p>
        </w:tc>
        <w:tc>
          <w:tcPr>
            <w:tcW w:w="879" w:type="dxa"/>
            <w:shd w:val="clear" w:color="auto" w:fill="auto"/>
            <w:vAlign w:val="center"/>
            <w:hideMark/>
          </w:tcPr>
          <w:p w14:paraId="53068CB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12 173</w:t>
            </w:r>
          </w:p>
        </w:tc>
        <w:tc>
          <w:tcPr>
            <w:tcW w:w="941" w:type="dxa"/>
            <w:shd w:val="clear" w:color="auto" w:fill="auto"/>
            <w:vAlign w:val="center"/>
            <w:hideMark/>
          </w:tcPr>
          <w:p w14:paraId="3D50927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10 396</w:t>
            </w:r>
          </w:p>
        </w:tc>
        <w:tc>
          <w:tcPr>
            <w:tcW w:w="941" w:type="dxa"/>
            <w:shd w:val="clear" w:color="auto" w:fill="auto"/>
            <w:vAlign w:val="center"/>
            <w:hideMark/>
          </w:tcPr>
          <w:p w14:paraId="570F6DC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7 771</w:t>
            </w:r>
          </w:p>
        </w:tc>
        <w:tc>
          <w:tcPr>
            <w:tcW w:w="941" w:type="dxa"/>
            <w:shd w:val="clear" w:color="auto" w:fill="auto"/>
            <w:vAlign w:val="center"/>
            <w:hideMark/>
          </w:tcPr>
          <w:p w14:paraId="05F2DB3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8 613</w:t>
            </w:r>
          </w:p>
        </w:tc>
        <w:tc>
          <w:tcPr>
            <w:tcW w:w="941" w:type="dxa"/>
            <w:shd w:val="clear" w:color="auto" w:fill="auto"/>
            <w:vAlign w:val="center"/>
            <w:hideMark/>
          </w:tcPr>
          <w:p w14:paraId="50CF71E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32 023</w:t>
            </w:r>
          </w:p>
        </w:tc>
        <w:tc>
          <w:tcPr>
            <w:tcW w:w="941" w:type="dxa"/>
            <w:shd w:val="clear" w:color="auto" w:fill="auto"/>
            <w:vAlign w:val="center"/>
            <w:hideMark/>
          </w:tcPr>
          <w:p w14:paraId="41510D2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25 063</w:t>
            </w:r>
          </w:p>
        </w:tc>
        <w:tc>
          <w:tcPr>
            <w:tcW w:w="941" w:type="dxa"/>
            <w:shd w:val="clear" w:color="auto" w:fill="auto"/>
            <w:vAlign w:val="center"/>
            <w:hideMark/>
          </w:tcPr>
          <w:p w14:paraId="5D73268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18 291</w:t>
            </w:r>
          </w:p>
        </w:tc>
        <w:tc>
          <w:tcPr>
            <w:tcW w:w="941" w:type="dxa"/>
            <w:shd w:val="clear" w:color="auto" w:fill="auto"/>
            <w:vAlign w:val="center"/>
            <w:hideMark/>
          </w:tcPr>
          <w:p w14:paraId="259AD9B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15 033</w:t>
            </w:r>
          </w:p>
        </w:tc>
        <w:tc>
          <w:tcPr>
            <w:tcW w:w="941" w:type="dxa"/>
            <w:shd w:val="clear" w:color="auto" w:fill="auto"/>
            <w:vAlign w:val="center"/>
            <w:hideMark/>
          </w:tcPr>
          <w:p w14:paraId="409E5FC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10 661</w:t>
            </w:r>
          </w:p>
        </w:tc>
        <w:tc>
          <w:tcPr>
            <w:tcW w:w="1271" w:type="dxa"/>
            <w:shd w:val="clear" w:color="auto" w:fill="auto"/>
            <w:vAlign w:val="center"/>
            <w:hideMark/>
          </w:tcPr>
          <w:p w14:paraId="16CD0E2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7 457</w:t>
            </w:r>
          </w:p>
        </w:tc>
      </w:tr>
      <w:tr w:rsidR="0053576E" w:rsidRPr="004135FE" w14:paraId="3FEAEEDD" w14:textId="77777777" w:rsidTr="00680E37">
        <w:trPr>
          <w:cantSplit/>
          <w:trHeight w:val="227"/>
        </w:trPr>
        <w:tc>
          <w:tcPr>
            <w:tcW w:w="553" w:type="dxa"/>
            <w:vMerge/>
            <w:vAlign w:val="center"/>
            <w:hideMark/>
          </w:tcPr>
          <w:p w14:paraId="0412A8AE"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5ADDDE0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shd w:val="clear" w:color="auto" w:fill="auto"/>
            <w:vAlign w:val="center"/>
            <w:hideMark/>
          </w:tcPr>
          <w:p w14:paraId="0C9C4D1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78" w:type="dxa"/>
            <w:shd w:val="clear" w:color="auto" w:fill="auto"/>
            <w:vAlign w:val="center"/>
            <w:hideMark/>
          </w:tcPr>
          <w:p w14:paraId="634690A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3 423</w:t>
            </w:r>
          </w:p>
        </w:tc>
        <w:tc>
          <w:tcPr>
            <w:tcW w:w="879" w:type="dxa"/>
            <w:shd w:val="clear" w:color="auto" w:fill="auto"/>
            <w:vAlign w:val="center"/>
            <w:hideMark/>
          </w:tcPr>
          <w:p w14:paraId="2527FE9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14 336</w:t>
            </w:r>
          </w:p>
        </w:tc>
        <w:tc>
          <w:tcPr>
            <w:tcW w:w="879" w:type="dxa"/>
            <w:shd w:val="clear" w:color="auto" w:fill="auto"/>
            <w:vAlign w:val="center"/>
            <w:hideMark/>
          </w:tcPr>
          <w:p w14:paraId="0A5F530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14 056</w:t>
            </w:r>
          </w:p>
        </w:tc>
        <w:tc>
          <w:tcPr>
            <w:tcW w:w="941" w:type="dxa"/>
            <w:shd w:val="clear" w:color="auto" w:fill="auto"/>
            <w:vAlign w:val="center"/>
            <w:hideMark/>
          </w:tcPr>
          <w:p w14:paraId="060121C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10 773</w:t>
            </w:r>
          </w:p>
        </w:tc>
        <w:tc>
          <w:tcPr>
            <w:tcW w:w="941" w:type="dxa"/>
            <w:shd w:val="clear" w:color="auto" w:fill="auto"/>
            <w:vAlign w:val="center"/>
            <w:hideMark/>
          </w:tcPr>
          <w:p w14:paraId="7479171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4 313</w:t>
            </w:r>
          </w:p>
        </w:tc>
        <w:tc>
          <w:tcPr>
            <w:tcW w:w="941" w:type="dxa"/>
            <w:shd w:val="clear" w:color="auto" w:fill="auto"/>
            <w:vAlign w:val="center"/>
            <w:hideMark/>
          </w:tcPr>
          <w:p w14:paraId="6477EB1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1 989</w:t>
            </w:r>
          </w:p>
        </w:tc>
        <w:tc>
          <w:tcPr>
            <w:tcW w:w="941" w:type="dxa"/>
            <w:shd w:val="clear" w:color="auto" w:fill="auto"/>
            <w:vAlign w:val="center"/>
            <w:hideMark/>
          </w:tcPr>
          <w:p w14:paraId="678245B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12 453</w:t>
            </w:r>
          </w:p>
        </w:tc>
        <w:tc>
          <w:tcPr>
            <w:tcW w:w="941" w:type="dxa"/>
            <w:shd w:val="clear" w:color="auto" w:fill="auto"/>
            <w:vAlign w:val="center"/>
            <w:hideMark/>
          </w:tcPr>
          <w:p w14:paraId="0BBA5DF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16 745</w:t>
            </w:r>
          </w:p>
        </w:tc>
        <w:tc>
          <w:tcPr>
            <w:tcW w:w="941" w:type="dxa"/>
            <w:shd w:val="clear" w:color="auto" w:fill="auto"/>
            <w:vAlign w:val="center"/>
            <w:hideMark/>
          </w:tcPr>
          <w:p w14:paraId="07B2D12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11 606</w:t>
            </w:r>
          </w:p>
        </w:tc>
        <w:tc>
          <w:tcPr>
            <w:tcW w:w="941" w:type="dxa"/>
            <w:shd w:val="clear" w:color="auto" w:fill="auto"/>
            <w:vAlign w:val="center"/>
            <w:hideMark/>
          </w:tcPr>
          <w:p w14:paraId="720F710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8 581</w:t>
            </w:r>
          </w:p>
        </w:tc>
        <w:tc>
          <w:tcPr>
            <w:tcW w:w="941" w:type="dxa"/>
            <w:shd w:val="clear" w:color="auto" w:fill="auto"/>
            <w:vAlign w:val="center"/>
            <w:hideMark/>
          </w:tcPr>
          <w:p w14:paraId="557016E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4 514</w:t>
            </w:r>
          </w:p>
        </w:tc>
        <w:tc>
          <w:tcPr>
            <w:tcW w:w="1271" w:type="dxa"/>
            <w:shd w:val="clear" w:color="auto" w:fill="auto"/>
            <w:vAlign w:val="center"/>
            <w:hideMark/>
          </w:tcPr>
          <w:p w14:paraId="482B4B0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1 974</w:t>
            </w:r>
          </w:p>
        </w:tc>
      </w:tr>
      <w:tr w:rsidR="0053576E" w:rsidRPr="004135FE" w14:paraId="40F48340" w14:textId="77777777" w:rsidTr="00680E37">
        <w:trPr>
          <w:cantSplit/>
          <w:trHeight w:val="227"/>
        </w:trPr>
        <w:tc>
          <w:tcPr>
            <w:tcW w:w="553" w:type="dxa"/>
            <w:vMerge/>
            <w:vAlign w:val="center"/>
            <w:hideMark/>
          </w:tcPr>
          <w:p w14:paraId="32DA7684"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020184D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shd w:val="clear" w:color="auto" w:fill="auto"/>
            <w:vAlign w:val="center"/>
            <w:hideMark/>
          </w:tcPr>
          <w:p w14:paraId="0F50F7C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78" w:type="dxa"/>
            <w:shd w:val="clear" w:color="auto" w:fill="auto"/>
            <w:vAlign w:val="center"/>
            <w:hideMark/>
          </w:tcPr>
          <w:p w14:paraId="303D78F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2 420</w:t>
            </w:r>
          </w:p>
        </w:tc>
        <w:tc>
          <w:tcPr>
            <w:tcW w:w="879" w:type="dxa"/>
            <w:shd w:val="clear" w:color="auto" w:fill="auto"/>
            <w:vAlign w:val="center"/>
            <w:hideMark/>
          </w:tcPr>
          <w:p w14:paraId="4155672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11 580</w:t>
            </w:r>
          </w:p>
        </w:tc>
        <w:tc>
          <w:tcPr>
            <w:tcW w:w="879" w:type="dxa"/>
            <w:shd w:val="clear" w:color="auto" w:fill="auto"/>
            <w:vAlign w:val="center"/>
            <w:hideMark/>
          </w:tcPr>
          <w:p w14:paraId="0463267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13 398</w:t>
            </w:r>
          </w:p>
        </w:tc>
        <w:tc>
          <w:tcPr>
            <w:tcW w:w="941" w:type="dxa"/>
            <w:shd w:val="clear" w:color="auto" w:fill="auto"/>
            <w:vAlign w:val="center"/>
            <w:hideMark/>
          </w:tcPr>
          <w:p w14:paraId="6AC6D71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11 286</w:t>
            </w:r>
          </w:p>
        </w:tc>
        <w:tc>
          <w:tcPr>
            <w:tcW w:w="941" w:type="dxa"/>
            <w:shd w:val="clear" w:color="auto" w:fill="auto"/>
            <w:vAlign w:val="center"/>
            <w:hideMark/>
          </w:tcPr>
          <w:p w14:paraId="6936EBA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5 669</w:t>
            </w:r>
          </w:p>
        </w:tc>
        <w:tc>
          <w:tcPr>
            <w:tcW w:w="941" w:type="dxa"/>
            <w:shd w:val="clear" w:color="auto" w:fill="auto"/>
            <w:vAlign w:val="center"/>
            <w:hideMark/>
          </w:tcPr>
          <w:p w14:paraId="7AFBD64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3 676</w:t>
            </w:r>
          </w:p>
        </w:tc>
        <w:tc>
          <w:tcPr>
            <w:tcW w:w="941" w:type="dxa"/>
            <w:shd w:val="clear" w:color="auto" w:fill="auto"/>
            <w:vAlign w:val="center"/>
            <w:hideMark/>
          </w:tcPr>
          <w:p w14:paraId="2A57ABB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19 019</w:t>
            </w:r>
          </w:p>
        </w:tc>
        <w:tc>
          <w:tcPr>
            <w:tcW w:w="941" w:type="dxa"/>
            <w:shd w:val="clear" w:color="auto" w:fill="auto"/>
            <w:vAlign w:val="center"/>
            <w:hideMark/>
          </w:tcPr>
          <w:p w14:paraId="0062A01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21 672</w:t>
            </w:r>
          </w:p>
        </w:tc>
        <w:tc>
          <w:tcPr>
            <w:tcW w:w="941" w:type="dxa"/>
            <w:shd w:val="clear" w:color="auto" w:fill="auto"/>
            <w:vAlign w:val="center"/>
            <w:hideMark/>
          </w:tcPr>
          <w:p w14:paraId="62A520D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15 185</w:t>
            </w:r>
          </w:p>
        </w:tc>
        <w:tc>
          <w:tcPr>
            <w:tcW w:w="941" w:type="dxa"/>
            <w:shd w:val="clear" w:color="auto" w:fill="auto"/>
            <w:vAlign w:val="center"/>
            <w:hideMark/>
          </w:tcPr>
          <w:p w14:paraId="73E9F40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12 410</w:t>
            </w:r>
          </w:p>
        </w:tc>
        <w:tc>
          <w:tcPr>
            <w:tcW w:w="941" w:type="dxa"/>
            <w:shd w:val="clear" w:color="auto" w:fill="auto"/>
            <w:vAlign w:val="center"/>
            <w:hideMark/>
          </w:tcPr>
          <w:p w14:paraId="7143BEE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8 912</w:t>
            </w:r>
          </w:p>
        </w:tc>
        <w:tc>
          <w:tcPr>
            <w:tcW w:w="1271" w:type="dxa"/>
            <w:shd w:val="clear" w:color="auto" w:fill="auto"/>
            <w:vAlign w:val="center"/>
            <w:hideMark/>
          </w:tcPr>
          <w:p w14:paraId="4EFFA89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5 156</w:t>
            </w:r>
          </w:p>
        </w:tc>
      </w:tr>
      <w:tr w:rsidR="0053576E" w:rsidRPr="004135FE" w14:paraId="560CBC63" w14:textId="77777777" w:rsidTr="00680E37">
        <w:trPr>
          <w:cantSplit/>
          <w:trHeight w:val="227"/>
        </w:trPr>
        <w:tc>
          <w:tcPr>
            <w:tcW w:w="553" w:type="dxa"/>
            <w:vMerge/>
            <w:vAlign w:val="center"/>
            <w:hideMark/>
          </w:tcPr>
          <w:p w14:paraId="7F5BFD85"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0719DE4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shd w:val="clear" w:color="auto" w:fill="auto"/>
            <w:vAlign w:val="center"/>
            <w:hideMark/>
          </w:tcPr>
          <w:p w14:paraId="06708F6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78" w:type="dxa"/>
            <w:shd w:val="clear" w:color="auto" w:fill="auto"/>
            <w:vAlign w:val="center"/>
            <w:hideMark/>
          </w:tcPr>
          <w:p w14:paraId="273B0F5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1 795</w:t>
            </w:r>
          </w:p>
        </w:tc>
        <w:tc>
          <w:tcPr>
            <w:tcW w:w="879" w:type="dxa"/>
            <w:shd w:val="clear" w:color="auto" w:fill="auto"/>
            <w:vAlign w:val="center"/>
            <w:hideMark/>
          </w:tcPr>
          <w:p w14:paraId="1FC7F55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10 434</w:t>
            </w:r>
          </w:p>
        </w:tc>
        <w:tc>
          <w:tcPr>
            <w:tcW w:w="879" w:type="dxa"/>
            <w:shd w:val="clear" w:color="auto" w:fill="auto"/>
            <w:vAlign w:val="center"/>
            <w:hideMark/>
          </w:tcPr>
          <w:p w14:paraId="551BCCB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12 407</w:t>
            </w:r>
          </w:p>
        </w:tc>
        <w:tc>
          <w:tcPr>
            <w:tcW w:w="941" w:type="dxa"/>
            <w:shd w:val="clear" w:color="auto" w:fill="auto"/>
            <w:vAlign w:val="center"/>
            <w:hideMark/>
          </w:tcPr>
          <w:p w14:paraId="2688841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10 446</w:t>
            </w:r>
          </w:p>
        </w:tc>
        <w:tc>
          <w:tcPr>
            <w:tcW w:w="941" w:type="dxa"/>
            <w:shd w:val="clear" w:color="auto" w:fill="auto"/>
            <w:vAlign w:val="center"/>
            <w:hideMark/>
          </w:tcPr>
          <w:p w14:paraId="5E3FF50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7 258</w:t>
            </w:r>
          </w:p>
        </w:tc>
        <w:tc>
          <w:tcPr>
            <w:tcW w:w="941" w:type="dxa"/>
            <w:shd w:val="clear" w:color="auto" w:fill="auto"/>
            <w:vAlign w:val="center"/>
            <w:hideMark/>
          </w:tcPr>
          <w:p w14:paraId="56A8718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10 430</w:t>
            </w:r>
          </w:p>
        </w:tc>
        <w:tc>
          <w:tcPr>
            <w:tcW w:w="941" w:type="dxa"/>
            <w:shd w:val="clear" w:color="auto" w:fill="auto"/>
            <w:vAlign w:val="center"/>
            <w:hideMark/>
          </w:tcPr>
          <w:p w14:paraId="1718FDC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41 763</w:t>
            </w:r>
          </w:p>
        </w:tc>
        <w:tc>
          <w:tcPr>
            <w:tcW w:w="941" w:type="dxa"/>
            <w:shd w:val="clear" w:color="auto" w:fill="auto"/>
            <w:vAlign w:val="center"/>
            <w:hideMark/>
          </w:tcPr>
          <w:p w14:paraId="34CD513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24 943</w:t>
            </w:r>
          </w:p>
        </w:tc>
        <w:tc>
          <w:tcPr>
            <w:tcW w:w="941" w:type="dxa"/>
            <w:shd w:val="clear" w:color="auto" w:fill="auto"/>
            <w:vAlign w:val="center"/>
            <w:hideMark/>
          </w:tcPr>
          <w:p w14:paraId="43B1066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16 629</w:t>
            </w:r>
          </w:p>
        </w:tc>
        <w:tc>
          <w:tcPr>
            <w:tcW w:w="941" w:type="dxa"/>
            <w:shd w:val="clear" w:color="auto" w:fill="auto"/>
            <w:vAlign w:val="center"/>
            <w:hideMark/>
          </w:tcPr>
          <w:p w14:paraId="794FF82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13 350</w:t>
            </w:r>
          </w:p>
        </w:tc>
        <w:tc>
          <w:tcPr>
            <w:tcW w:w="941" w:type="dxa"/>
            <w:shd w:val="clear" w:color="auto" w:fill="auto"/>
            <w:vAlign w:val="center"/>
            <w:hideMark/>
          </w:tcPr>
          <w:p w14:paraId="0BEF123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9 732</w:t>
            </w:r>
          </w:p>
        </w:tc>
        <w:tc>
          <w:tcPr>
            <w:tcW w:w="1271" w:type="dxa"/>
            <w:shd w:val="clear" w:color="auto" w:fill="auto"/>
            <w:vAlign w:val="center"/>
            <w:hideMark/>
          </w:tcPr>
          <w:p w14:paraId="6D9A5DC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6 470</w:t>
            </w:r>
          </w:p>
        </w:tc>
      </w:tr>
      <w:tr w:rsidR="0053576E" w:rsidRPr="004135FE" w14:paraId="15CDE028" w14:textId="77777777" w:rsidTr="00680E37">
        <w:trPr>
          <w:cantSplit/>
          <w:trHeight w:val="227"/>
        </w:trPr>
        <w:tc>
          <w:tcPr>
            <w:tcW w:w="553" w:type="dxa"/>
            <w:vMerge/>
            <w:vAlign w:val="center"/>
            <w:hideMark/>
          </w:tcPr>
          <w:p w14:paraId="41A4102F"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4E0DBC5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shd w:val="clear" w:color="auto" w:fill="auto"/>
            <w:vAlign w:val="center"/>
            <w:hideMark/>
          </w:tcPr>
          <w:p w14:paraId="7FFED9D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78" w:type="dxa"/>
            <w:shd w:val="clear" w:color="auto" w:fill="auto"/>
            <w:vAlign w:val="center"/>
            <w:hideMark/>
          </w:tcPr>
          <w:p w14:paraId="6EF94DC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1 669</w:t>
            </w:r>
          </w:p>
        </w:tc>
        <w:tc>
          <w:tcPr>
            <w:tcW w:w="879" w:type="dxa"/>
            <w:shd w:val="clear" w:color="auto" w:fill="auto"/>
            <w:vAlign w:val="center"/>
            <w:hideMark/>
          </w:tcPr>
          <w:p w14:paraId="6D29983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7 552</w:t>
            </w:r>
          </w:p>
        </w:tc>
        <w:tc>
          <w:tcPr>
            <w:tcW w:w="879" w:type="dxa"/>
            <w:shd w:val="clear" w:color="auto" w:fill="auto"/>
            <w:vAlign w:val="center"/>
            <w:hideMark/>
          </w:tcPr>
          <w:p w14:paraId="6FC2715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8 599</w:t>
            </w:r>
          </w:p>
        </w:tc>
        <w:tc>
          <w:tcPr>
            <w:tcW w:w="941" w:type="dxa"/>
            <w:shd w:val="clear" w:color="auto" w:fill="auto"/>
            <w:vAlign w:val="center"/>
            <w:hideMark/>
          </w:tcPr>
          <w:p w14:paraId="1183095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7 289</w:t>
            </w:r>
          </w:p>
        </w:tc>
        <w:tc>
          <w:tcPr>
            <w:tcW w:w="941" w:type="dxa"/>
            <w:shd w:val="clear" w:color="auto" w:fill="auto"/>
            <w:vAlign w:val="center"/>
            <w:hideMark/>
          </w:tcPr>
          <w:p w14:paraId="6B096C3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3 314</w:t>
            </w:r>
          </w:p>
        </w:tc>
        <w:tc>
          <w:tcPr>
            <w:tcW w:w="941" w:type="dxa"/>
            <w:shd w:val="clear" w:color="auto" w:fill="auto"/>
            <w:vAlign w:val="center"/>
            <w:hideMark/>
          </w:tcPr>
          <w:p w14:paraId="6389B3F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2 172</w:t>
            </w:r>
          </w:p>
        </w:tc>
        <w:tc>
          <w:tcPr>
            <w:tcW w:w="941" w:type="dxa"/>
            <w:shd w:val="clear" w:color="auto" w:fill="auto"/>
            <w:vAlign w:val="center"/>
            <w:hideMark/>
          </w:tcPr>
          <w:p w14:paraId="34C96B3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12 370</w:t>
            </w:r>
          </w:p>
        </w:tc>
        <w:tc>
          <w:tcPr>
            <w:tcW w:w="941" w:type="dxa"/>
            <w:shd w:val="clear" w:color="auto" w:fill="auto"/>
            <w:vAlign w:val="center"/>
            <w:hideMark/>
          </w:tcPr>
          <w:p w14:paraId="2E21D83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14 013</w:t>
            </w:r>
          </w:p>
        </w:tc>
        <w:tc>
          <w:tcPr>
            <w:tcW w:w="941" w:type="dxa"/>
            <w:shd w:val="clear" w:color="auto" w:fill="auto"/>
            <w:vAlign w:val="center"/>
            <w:hideMark/>
          </w:tcPr>
          <w:p w14:paraId="6370B6A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9 873</w:t>
            </w:r>
          </w:p>
        </w:tc>
        <w:tc>
          <w:tcPr>
            <w:tcW w:w="941" w:type="dxa"/>
            <w:shd w:val="clear" w:color="auto" w:fill="auto"/>
            <w:vAlign w:val="center"/>
            <w:hideMark/>
          </w:tcPr>
          <w:p w14:paraId="761B39F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7 631</w:t>
            </w:r>
          </w:p>
        </w:tc>
        <w:tc>
          <w:tcPr>
            <w:tcW w:w="941" w:type="dxa"/>
            <w:shd w:val="clear" w:color="auto" w:fill="auto"/>
            <w:vAlign w:val="center"/>
            <w:hideMark/>
          </w:tcPr>
          <w:p w14:paraId="0D8BC62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5 051</w:t>
            </w:r>
          </w:p>
        </w:tc>
        <w:tc>
          <w:tcPr>
            <w:tcW w:w="1271" w:type="dxa"/>
            <w:shd w:val="clear" w:color="auto" w:fill="auto"/>
            <w:vAlign w:val="center"/>
            <w:hideMark/>
          </w:tcPr>
          <w:p w14:paraId="463C63C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2 496</w:t>
            </w:r>
          </w:p>
        </w:tc>
      </w:tr>
      <w:tr w:rsidR="0053576E" w:rsidRPr="004135FE" w14:paraId="593171A2" w14:textId="77777777" w:rsidTr="00680E37">
        <w:trPr>
          <w:cantSplit/>
          <w:trHeight w:val="227"/>
        </w:trPr>
        <w:tc>
          <w:tcPr>
            <w:tcW w:w="553" w:type="dxa"/>
            <w:vMerge/>
            <w:vAlign w:val="center"/>
            <w:hideMark/>
          </w:tcPr>
          <w:p w14:paraId="161D1DD9"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760ED3F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shd w:val="clear" w:color="auto" w:fill="auto"/>
            <w:vAlign w:val="center"/>
            <w:hideMark/>
          </w:tcPr>
          <w:p w14:paraId="31E6852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78" w:type="dxa"/>
            <w:shd w:val="clear" w:color="auto" w:fill="auto"/>
            <w:vAlign w:val="center"/>
            <w:hideMark/>
          </w:tcPr>
          <w:p w14:paraId="738FA5C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1 530</w:t>
            </w:r>
          </w:p>
        </w:tc>
        <w:tc>
          <w:tcPr>
            <w:tcW w:w="879" w:type="dxa"/>
            <w:shd w:val="clear" w:color="auto" w:fill="auto"/>
            <w:vAlign w:val="center"/>
            <w:hideMark/>
          </w:tcPr>
          <w:p w14:paraId="68D69C8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8 191</w:t>
            </w:r>
          </w:p>
        </w:tc>
        <w:tc>
          <w:tcPr>
            <w:tcW w:w="879" w:type="dxa"/>
            <w:shd w:val="clear" w:color="auto" w:fill="auto"/>
            <w:vAlign w:val="center"/>
            <w:hideMark/>
          </w:tcPr>
          <w:p w14:paraId="0C3ECE1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10 071</w:t>
            </w:r>
          </w:p>
        </w:tc>
        <w:tc>
          <w:tcPr>
            <w:tcW w:w="941" w:type="dxa"/>
            <w:shd w:val="clear" w:color="auto" w:fill="auto"/>
            <w:vAlign w:val="center"/>
            <w:hideMark/>
          </w:tcPr>
          <w:p w14:paraId="607612C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9 127</w:t>
            </w:r>
          </w:p>
        </w:tc>
        <w:tc>
          <w:tcPr>
            <w:tcW w:w="941" w:type="dxa"/>
            <w:shd w:val="clear" w:color="auto" w:fill="auto"/>
            <w:vAlign w:val="center"/>
            <w:hideMark/>
          </w:tcPr>
          <w:p w14:paraId="2CBBAA9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4 766</w:t>
            </w:r>
          </w:p>
        </w:tc>
        <w:tc>
          <w:tcPr>
            <w:tcW w:w="941" w:type="dxa"/>
            <w:shd w:val="clear" w:color="auto" w:fill="auto"/>
            <w:vAlign w:val="center"/>
            <w:hideMark/>
          </w:tcPr>
          <w:p w14:paraId="368B7F0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5 390</w:t>
            </w:r>
          </w:p>
        </w:tc>
        <w:tc>
          <w:tcPr>
            <w:tcW w:w="941" w:type="dxa"/>
            <w:shd w:val="clear" w:color="auto" w:fill="auto"/>
            <w:vAlign w:val="center"/>
            <w:hideMark/>
          </w:tcPr>
          <w:p w14:paraId="2095F1A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16 024</w:t>
            </w:r>
          </w:p>
        </w:tc>
        <w:tc>
          <w:tcPr>
            <w:tcW w:w="941" w:type="dxa"/>
            <w:shd w:val="clear" w:color="auto" w:fill="auto"/>
            <w:vAlign w:val="center"/>
            <w:hideMark/>
          </w:tcPr>
          <w:p w14:paraId="3364B55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14 948</w:t>
            </w:r>
          </w:p>
        </w:tc>
        <w:tc>
          <w:tcPr>
            <w:tcW w:w="941" w:type="dxa"/>
            <w:shd w:val="clear" w:color="auto" w:fill="auto"/>
            <w:vAlign w:val="center"/>
            <w:hideMark/>
          </w:tcPr>
          <w:p w14:paraId="398E89E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11 450</w:t>
            </w:r>
          </w:p>
        </w:tc>
        <w:tc>
          <w:tcPr>
            <w:tcW w:w="941" w:type="dxa"/>
            <w:shd w:val="clear" w:color="auto" w:fill="auto"/>
            <w:vAlign w:val="center"/>
            <w:hideMark/>
          </w:tcPr>
          <w:p w14:paraId="2C4C2F1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9 682</w:t>
            </w:r>
          </w:p>
        </w:tc>
        <w:tc>
          <w:tcPr>
            <w:tcW w:w="941" w:type="dxa"/>
            <w:shd w:val="clear" w:color="auto" w:fill="auto"/>
            <w:vAlign w:val="center"/>
            <w:hideMark/>
          </w:tcPr>
          <w:p w14:paraId="01B7619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7 079</w:t>
            </w:r>
          </w:p>
        </w:tc>
        <w:tc>
          <w:tcPr>
            <w:tcW w:w="1271" w:type="dxa"/>
            <w:shd w:val="clear" w:color="auto" w:fill="auto"/>
            <w:vAlign w:val="center"/>
            <w:hideMark/>
          </w:tcPr>
          <w:p w14:paraId="7327CEB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4 313</w:t>
            </w:r>
          </w:p>
        </w:tc>
      </w:tr>
      <w:tr w:rsidR="0053576E" w:rsidRPr="004135FE" w14:paraId="3A802782" w14:textId="77777777" w:rsidTr="00680E37">
        <w:trPr>
          <w:cantSplit/>
          <w:trHeight w:val="227"/>
        </w:trPr>
        <w:tc>
          <w:tcPr>
            <w:tcW w:w="553" w:type="dxa"/>
            <w:vMerge/>
            <w:vAlign w:val="center"/>
            <w:hideMark/>
          </w:tcPr>
          <w:p w14:paraId="58E14511"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5523889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shd w:val="clear" w:color="auto" w:fill="auto"/>
            <w:vAlign w:val="center"/>
            <w:hideMark/>
          </w:tcPr>
          <w:p w14:paraId="4F3D27B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78" w:type="dxa"/>
            <w:shd w:val="clear" w:color="auto" w:fill="auto"/>
            <w:vAlign w:val="center"/>
            <w:hideMark/>
          </w:tcPr>
          <w:p w14:paraId="782A275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1 616</w:t>
            </w:r>
          </w:p>
        </w:tc>
        <w:tc>
          <w:tcPr>
            <w:tcW w:w="879" w:type="dxa"/>
            <w:shd w:val="clear" w:color="auto" w:fill="auto"/>
            <w:vAlign w:val="center"/>
            <w:hideMark/>
          </w:tcPr>
          <w:p w14:paraId="04334E5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6 743</w:t>
            </w:r>
          </w:p>
        </w:tc>
        <w:tc>
          <w:tcPr>
            <w:tcW w:w="879" w:type="dxa"/>
            <w:shd w:val="clear" w:color="auto" w:fill="auto"/>
            <w:vAlign w:val="center"/>
            <w:hideMark/>
          </w:tcPr>
          <w:p w14:paraId="3F50C8C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6 223</w:t>
            </w:r>
          </w:p>
        </w:tc>
        <w:tc>
          <w:tcPr>
            <w:tcW w:w="941" w:type="dxa"/>
            <w:shd w:val="clear" w:color="auto" w:fill="auto"/>
            <w:vAlign w:val="center"/>
            <w:hideMark/>
          </w:tcPr>
          <w:p w14:paraId="19325E9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4 886</w:t>
            </w:r>
          </w:p>
        </w:tc>
        <w:tc>
          <w:tcPr>
            <w:tcW w:w="941" w:type="dxa"/>
            <w:shd w:val="clear" w:color="auto" w:fill="auto"/>
            <w:vAlign w:val="center"/>
            <w:hideMark/>
          </w:tcPr>
          <w:p w14:paraId="3C63B5D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2 075</w:t>
            </w:r>
          </w:p>
        </w:tc>
        <w:tc>
          <w:tcPr>
            <w:tcW w:w="941" w:type="dxa"/>
            <w:shd w:val="clear" w:color="auto" w:fill="auto"/>
            <w:vAlign w:val="center"/>
            <w:hideMark/>
          </w:tcPr>
          <w:p w14:paraId="584339D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935</w:t>
            </w:r>
          </w:p>
        </w:tc>
        <w:tc>
          <w:tcPr>
            <w:tcW w:w="941" w:type="dxa"/>
            <w:shd w:val="clear" w:color="auto" w:fill="auto"/>
            <w:vAlign w:val="center"/>
            <w:hideMark/>
          </w:tcPr>
          <w:p w14:paraId="260FC7C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7 389</w:t>
            </w:r>
          </w:p>
        </w:tc>
        <w:tc>
          <w:tcPr>
            <w:tcW w:w="941" w:type="dxa"/>
            <w:shd w:val="clear" w:color="auto" w:fill="auto"/>
            <w:vAlign w:val="center"/>
            <w:hideMark/>
          </w:tcPr>
          <w:p w14:paraId="4670C84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8 288</w:t>
            </w:r>
          </w:p>
        </w:tc>
        <w:tc>
          <w:tcPr>
            <w:tcW w:w="941" w:type="dxa"/>
            <w:shd w:val="clear" w:color="auto" w:fill="auto"/>
            <w:vAlign w:val="center"/>
            <w:hideMark/>
          </w:tcPr>
          <w:p w14:paraId="6FBF5C1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5 744</w:t>
            </w:r>
          </w:p>
        </w:tc>
        <w:tc>
          <w:tcPr>
            <w:tcW w:w="941" w:type="dxa"/>
            <w:shd w:val="clear" w:color="auto" w:fill="auto"/>
            <w:vAlign w:val="center"/>
            <w:hideMark/>
          </w:tcPr>
          <w:p w14:paraId="1B3C256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4 863</w:t>
            </w:r>
          </w:p>
        </w:tc>
        <w:tc>
          <w:tcPr>
            <w:tcW w:w="941" w:type="dxa"/>
            <w:shd w:val="clear" w:color="auto" w:fill="auto"/>
            <w:vAlign w:val="center"/>
            <w:hideMark/>
          </w:tcPr>
          <w:p w14:paraId="6D74052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3 017</w:t>
            </w:r>
          </w:p>
        </w:tc>
        <w:tc>
          <w:tcPr>
            <w:tcW w:w="1271" w:type="dxa"/>
            <w:shd w:val="clear" w:color="auto" w:fill="auto"/>
            <w:vAlign w:val="center"/>
            <w:hideMark/>
          </w:tcPr>
          <w:p w14:paraId="16F7C65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1 403</w:t>
            </w:r>
          </w:p>
        </w:tc>
      </w:tr>
      <w:tr w:rsidR="0053576E" w:rsidRPr="004135FE" w14:paraId="50AE1A94" w14:textId="77777777" w:rsidTr="00680E37">
        <w:trPr>
          <w:cantSplit/>
          <w:trHeight w:val="227"/>
        </w:trPr>
        <w:tc>
          <w:tcPr>
            <w:tcW w:w="553" w:type="dxa"/>
            <w:vMerge/>
            <w:vAlign w:val="center"/>
            <w:hideMark/>
          </w:tcPr>
          <w:p w14:paraId="61787965"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65D6095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shd w:val="clear" w:color="auto" w:fill="auto"/>
            <w:vAlign w:val="center"/>
            <w:hideMark/>
          </w:tcPr>
          <w:p w14:paraId="5F31D6F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78" w:type="dxa"/>
            <w:shd w:val="clear" w:color="auto" w:fill="auto"/>
            <w:vAlign w:val="center"/>
            <w:hideMark/>
          </w:tcPr>
          <w:p w14:paraId="161021E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2 152</w:t>
            </w:r>
          </w:p>
        </w:tc>
        <w:tc>
          <w:tcPr>
            <w:tcW w:w="879" w:type="dxa"/>
            <w:shd w:val="clear" w:color="auto" w:fill="auto"/>
            <w:vAlign w:val="center"/>
            <w:hideMark/>
          </w:tcPr>
          <w:p w14:paraId="03F0D3B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9 631</w:t>
            </w:r>
          </w:p>
        </w:tc>
        <w:tc>
          <w:tcPr>
            <w:tcW w:w="879" w:type="dxa"/>
            <w:shd w:val="clear" w:color="auto" w:fill="auto"/>
            <w:vAlign w:val="center"/>
            <w:hideMark/>
          </w:tcPr>
          <w:p w14:paraId="48F7BE1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11 146</w:t>
            </w:r>
          </w:p>
        </w:tc>
        <w:tc>
          <w:tcPr>
            <w:tcW w:w="941" w:type="dxa"/>
            <w:shd w:val="clear" w:color="auto" w:fill="auto"/>
            <w:vAlign w:val="center"/>
            <w:hideMark/>
          </w:tcPr>
          <w:p w14:paraId="63438C2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9 415</w:t>
            </w:r>
          </w:p>
        </w:tc>
        <w:tc>
          <w:tcPr>
            <w:tcW w:w="941" w:type="dxa"/>
            <w:shd w:val="clear" w:color="auto" w:fill="auto"/>
            <w:vAlign w:val="center"/>
            <w:hideMark/>
          </w:tcPr>
          <w:p w14:paraId="3164CFA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4 270</w:t>
            </w:r>
          </w:p>
        </w:tc>
        <w:tc>
          <w:tcPr>
            <w:tcW w:w="941" w:type="dxa"/>
            <w:shd w:val="clear" w:color="auto" w:fill="auto"/>
            <w:vAlign w:val="center"/>
            <w:hideMark/>
          </w:tcPr>
          <w:p w14:paraId="037EC31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2 540</w:t>
            </w:r>
          </w:p>
        </w:tc>
        <w:tc>
          <w:tcPr>
            <w:tcW w:w="941" w:type="dxa"/>
            <w:shd w:val="clear" w:color="auto" w:fill="auto"/>
            <w:vAlign w:val="center"/>
            <w:hideMark/>
          </w:tcPr>
          <w:p w14:paraId="310FDEA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15 919</w:t>
            </w:r>
          </w:p>
        </w:tc>
        <w:tc>
          <w:tcPr>
            <w:tcW w:w="941" w:type="dxa"/>
            <w:shd w:val="clear" w:color="auto" w:fill="auto"/>
            <w:vAlign w:val="center"/>
            <w:hideMark/>
          </w:tcPr>
          <w:p w14:paraId="48DE034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19 525</w:t>
            </w:r>
          </w:p>
        </w:tc>
        <w:tc>
          <w:tcPr>
            <w:tcW w:w="941" w:type="dxa"/>
            <w:shd w:val="clear" w:color="auto" w:fill="auto"/>
            <w:vAlign w:val="center"/>
            <w:hideMark/>
          </w:tcPr>
          <w:p w14:paraId="0830039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14 118</w:t>
            </w:r>
          </w:p>
        </w:tc>
        <w:tc>
          <w:tcPr>
            <w:tcW w:w="941" w:type="dxa"/>
            <w:shd w:val="clear" w:color="auto" w:fill="auto"/>
            <w:vAlign w:val="center"/>
            <w:hideMark/>
          </w:tcPr>
          <w:p w14:paraId="3505D6E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11 350</w:t>
            </w:r>
          </w:p>
        </w:tc>
        <w:tc>
          <w:tcPr>
            <w:tcW w:w="941" w:type="dxa"/>
            <w:shd w:val="clear" w:color="auto" w:fill="auto"/>
            <w:vAlign w:val="center"/>
            <w:hideMark/>
          </w:tcPr>
          <w:p w14:paraId="3C120DB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8 532</w:t>
            </w:r>
          </w:p>
        </w:tc>
        <w:tc>
          <w:tcPr>
            <w:tcW w:w="1271" w:type="dxa"/>
            <w:shd w:val="clear" w:color="auto" w:fill="auto"/>
            <w:vAlign w:val="center"/>
            <w:hideMark/>
          </w:tcPr>
          <w:p w14:paraId="1BA62A3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4 124</w:t>
            </w:r>
          </w:p>
        </w:tc>
      </w:tr>
      <w:tr w:rsidR="0053576E" w:rsidRPr="004135FE" w14:paraId="4BE0AA19" w14:textId="77777777" w:rsidTr="00680E37">
        <w:trPr>
          <w:cantSplit/>
          <w:trHeight w:val="227"/>
        </w:trPr>
        <w:tc>
          <w:tcPr>
            <w:tcW w:w="553" w:type="dxa"/>
            <w:vMerge w:val="restart"/>
            <w:shd w:val="clear" w:color="auto" w:fill="auto"/>
            <w:textDirection w:val="btLr"/>
            <w:vAlign w:val="center"/>
            <w:hideMark/>
          </w:tcPr>
          <w:p w14:paraId="423E8C1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2020год</w:t>
            </w:r>
          </w:p>
        </w:tc>
        <w:tc>
          <w:tcPr>
            <w:tcW w:w="373" w:type="dxa"/>
            <w:shd w:val="clear" w:color="auto" w:fill="auto"/>
            <w:vAlign w:val="bottom"/>
            <w:hideMark/>
          </w:tcPr>
          <w:p w14:paraId="7492010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shd w:val="clear" w:color="auto" w:fill="auto"/>
            <w:vAlign w:val="center"/>
            <w:hideMark/>
          </w:tcPr>
          <w:p w14:paraId="203EA19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78" w:type="dxa"/>
            <w:shd w:val="clear" w:color="auto" w:fill="auto"/>
            <w:vAlign w:val="center"/>
            <w:hideMark/>
          </w:tcPr>
          <w:p w14:paraId="1DC915B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1 846</w:t>
            </w:r>
          </w:p>
        </w:tc>
        <w:tc>
          <w:tcPr>
            <w:tcW w:w="879" w:type="dxa"/>
            <w:shd w:val="clear" w:color="auto" w:fill="auto"/>
            <w:vAlign w:val="center"/>
            <w:hideMark/>
          </w:tcPr>
          <w:p w14:paraId="4652BF6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9 448</w:t>
            </w:r>
          </w:p>
        </w:tc>
        <w:tc>
          <w:tcPr>
            <w:tcW w:w="879" w:type="dxa"/>
            <w:shd w:val="clear" w:color="auto" w:fill="auto"/>
            <w:vAlign w:val="center"/>
            <w:hideMark/>
          </w:tcPr>
          <w:p w14:paraId="6F84EB6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12 026</w:t>
            </w:r>
          </w:p>
        </w:tc>
        <w:tc>
          <w:tcPr>
            <w:tcW w:w="941" w:type="dxa"/>
            <w:shd w:val="clear" w:color="auto" w:fill="auto"/>
            <w:vAlign w:val="center"/>
            <w:hideMark/>
          </w:tcPr>
          <w:p w14:paraId="59473E8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10 631</w:t>
            </w:r>
          </w:p>
        </w:tc>
        <w:tc>
          <w:tcPr>
            <w:tcW w:w="941" w:type="dxa"/>
            <w:shd w:val="clear" w:color="auto" w:fill="auto"/>
            <w:vAlign w:val="center"/>
            <w:hideMark/>
          </w:tcPr>
          <w:p w14:paraId="1D36D42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6 677</w:t>
            </w:r>
          </w:p>
        </w:tc>
        <w:tc>
          <w:tcPr>
            <w:tcW w:w="941" w:type="dxa"/>
            <w:shd w:val="clear" w:color="auto" w:fill="auto"/>
            <w:vAlign w:val="center"/>
            <w:hideMark/>
          </w:tcPr>
          <w:p w14:paraId="5B74BEF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8 451</w:t>
            </w:r>
          </w:p>
        </w:tc>
        <w:tc>
          <w:tcPr>
            <w:tcW w:w="941" w:type="dxa"/>
            <w:shd w:val="clear" w:color="auto" w:fill="auto"/>
            <w:vAlign w:val="center"/>
            <w:hideMark/>
          </w:tcPr>
          <w:p w14:paraId="28CF06C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33 356</w:t>
            </w:r>
          </w:p>
        </w:tc>
        <w:tc>
          <w:tcPr>
            <w:tcW w:w="941" w:type="dxa"/>
            <w:shd w:val="clear" w:color="auto" w:fill="auto"/>
            <w:vAlign w:val="center"/>
            <w:hideMark/>
          </w:tcPr>
          <w:p w14:paraId="29442CE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25 542</w:t>
            </w:r>
          </w:p>
        </w:tc>
        <w:tc>
          <w:tcPr>
            <w:tcW w:w="941" w:type="dxa"/>
            <w:shd w:val="clear" w:color="auto" w:fill="auto"/>
            <w:vAlign w:val="center"/>
            <w:hideMark/>
          </w:tcPr>
          <w:p w14:paraId="377C6D1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18 496</w:t>
            </w:r>
          </w:p>
        </w:tc>
        <w:tc>
          <w:tcPr>
            <w:tcW w:w="941" w:type="dxa"/>
            <w:shd w:val="clear" w:color="auto" w:fill="auto"/>
            <w:vAlign w:val="center"/>
            <w:hideMark/>
          </w:tcPr>
          <w:p w14:paraId="3B72FCC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14 666</w:t>
            </w:r>
          </w:p>
        </w:tc>
        <w:tc>
          <w:tcPr>
            <w:tcW w:w="941" w:type="dxa"/>
            <w:shd w:val="clear" w:color="auto" w:fill="auto"/>
            <w:vAlign w:val="center"/>
            <w:hideMark/>
          </w:tcPr>
          <w:p w14:paraId="45573E5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10 768</w:t>
            </w:r>
          </w:p>
        </w:tc>
        <w:tc>
          <w:tcPr>
            <w:tcW w:w="1271" w:type="dxa"/>
            <w:shd w:val="clear" w:color="auto" w:fill="auto"/>
            <w:vAlign w:val="center"/>
            <w:hideMark/>
          </w:tcPr>
          <w:p w14:paraId="3EFEB13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7 563</w:t>
            </w:r>
          </w:p>
        </w:tc>
      </w:tr>
      <w:tr w:rsidR="0053576E" w:rsidRPr="004135FE" w14:paraId="6990E7C6" w14:textId="77777777" w:rsidTr="00680E37">
        <w:trPr>
          <w:cantSplit/>
          <w:trHeight w:val="227"/>
        </w:trPr>
        <w:tc>
          <w:tcPr>
            <w:tcW w:w="553" w:type="dxa"/>
            <w:vMerge/>
            <w:vAlign w:val="center"/>
            <w:hideMark/>
          </w:tcPr>
          <w:p w14:paraId="04EA603F"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2E7AF83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shd w:val="clear" w:color="auto" w:fill="auto"/>
            <w:vAlign w:val="center"/>
            <w:hideMark/>
          </w:tcPr>
          <w:p w14:paraId="3E918A6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78" w:type="dxa"/>
            <w:shd w:val="clear" w:color="auto" w:fill="auto"/>
            <w:vAlign w:val="center"/>
            <w:hideMark/>
          </w:tcPr>
          <w:p w14:paraId="7077A09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3 457</w:t>
            </w:r>
          </w:p>
        </w:tc>
        <w:tc>
          <w:tcPr>
            <w:tcW w:w="879" w:type="dxa"/>
            <w:shd w:val="clear" w:color="auto" w:fill="auto"/>
            <w:vAlign w:val="center"/>
            <w:hideMark/>
          </w:tcPr>
          <w:p w14:paraId="3859389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14 828</w:t>
            </w:r>
          </w:p>
        </w:tc>
        <w:tc>
          <w:tcPr>
            <w:tcW w:w="879" w:type="dxa"/>
            <w:shd w:val="clear" w:color="auto" w:fill="auto"/>
            <w:vAlign w:val="center"/>
            <w:hideMark/>
          </w:tcPr>
          <w:p w14:paraId="51DBFFF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14 771</w:t>
            </w:r>
          </w:p>
        </w:tc>
        <w:tc>
          <w:tcPr>
            <w:tcW w:w="941" w:type="dxa"/>
            <w:shd w:val="clear" w:color="auto" w:fill="auto"/>
            <w:vAlign w:val="center"/>
            <w:hideMark/>
          </w:tcPr>
          <w:p w14:paraId="7FF8B3F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11 514</w:t>
            </w:r>
          </w:p>
        </w:tc>
        <w:tc>
          <w:tcPr>
            <w:tcW w:w="941" w:type="dxa"/>
            <w:shd w:val="clear" w:color="auto" w:fill="auto"/>
            <w:vAlign w:val="center"/>
            <w:hideMark/>
          </w:tcPr>
          <w:p w14:paraId="031E401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4 891</w:t>
            </w:r>
          </w:p>
        </w:tc>
        <w:tc>
          <w:tcPr>
            <w:tcW w:w="941" w:type="dxa"/>
            <w:shd w:val="clear" w:color="auto" w:fill="auto"/>
            <w:vAlign w:val="center"/>
            <w:hideMark/>
          </w:tcPr>
          <w:p w14:paraId="3A8D6EF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2 229</w:t>
            </w:r>
          </w:p>
        </w:tc>
        <w:tc>
          <w:tcPr>
            <w:tcW w:w="941" w:type="dxa"/>
            <w:shd w:val="clear" w:color="auto" w:fill="auto"/>
            <w:vAlign w:val="center"/>
            <w:hideMark/>
          </w:tcPr>
          <w:p w14:paraId="5EE71E4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12 240</w:t>
            </w:r>
          </w:p>
        </w:tc>
        <w:tc>
          <w:tcPr>
            <w:tcW w:w="941" w:type="dxa"/>
            <w:shd w:val="clear" w:color="auto" w:fill="auto"/>
            <w:vAlign w:val="center"/>
            <w:hideMark/>
          </w:tcPr>
          <w:p w14:paraId="63814FC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17 319</w:t>
            </w:r>
          </w:p>
        </w:tc>
        <w:tc>
          <w:tcPr>
            <w:tcW w:w="941" w:type="dxa"/>
            <w:shd w:val="clear" w:color="auto" w:fill="auto"/>
            <w:vAlign w:val="center"/>
            <w:hideMark/>
          </w:tcPr>
          <w:p w14:paraId="72DE51C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12 086</w:t>
            </w:r>
          </w:p>
        </w:tc>
        <w:tc>
          <w:tcPr>
            <w:tcW w:w="941" w:type="dxa"/>
            <w:shd w:val="clear" w:color="auto" w:fill="auto"/>
            <w:vAlign w:val="center"/>
            <w:hideMark/>
          </w:tcPr>
          <w:p w14:paraId="55F4C40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8 820</w:t>
            </w:r>
          </w:p>
        </w:tc>
        <w:tc>
          <w:tcPr>
            <w:tcW w:w="941" w:type="dxa"/>
            <w:shd w:val="clear" w:color="auto" w:fill="auto"/>
            <w:vAlign w:val="center"/>
            <w:hideMark/>
          </w:tcPr>
          <w:p w14:paraId="2A11B80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4 937</w:t>
            </w:r>
          </w:p>
        </w:tc>
        <w:tc>
          <w:tcPr>
            <w:tcW w:w="1271" w:type="dxa"/>
            <w:shd w:val="clear" w:color="auto" w:fill="auto"/>
            <w:vAlign w:val="center"/>
            <w:hideMark/>
          </w:tcPr>
          <w:p w14:paraId="04CDE32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2 063</w:t>
            </w:r>
          </w:p>
        </w:tc>
      </w:tr>
      <w:tr w:rsidR="0053576E" w:rsidRPr="004135FE" w14:paraId="2B5CABF1" w14:textId="77777777" w:rsidTr="00680E37">
        <w:trPr>
          <w:cantSplit/>
          <w:trHeight w:val="227"/>
        </w:trPr>
        <w:tc>
          <w:tcPr>
            <w:tcW w:w="553" w:type="dxa"/>
            <w:vMerge/>
            <w:vAlign w:val="center"/>
            <w:hideMark/>
          </w:tcPr>
          <w:p w14:paraId="77187A22"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0112571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shd w:val="clear" w:color="auto" w:fill="auto"/>
            <w:vAlign w:val="center"/>
            <w:hideMark/>
          </w:tcPr>
          <w:p w14:paraId="37A33CF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78" w:type="dxa"/>
            <w:shd w:val="clear" w:color="auto" w:fill="auto"/>
            <w:vAlign w:val="center"/>
            <w:hideMark/>
          </w:tcPr>
          <w:p w14:paraId="0C6660A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2 129</w:t>
            </w:r>
          </w:p>
        </w:tc>
        <w:tc>
          <w:tcPr>
            <w:tcW w:w="879" w:type="dxa"/>
            <w:shd w:val="clear" w:color="auto" w:fill="auto"/>
            <w:vAlign w:val="center"/>
            <w:hideMark/>
          </w:tcPr>
          <w:p w14:paraId="4E97410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11 245</w:t>
            </w:r>
          </w:p>
        </w:tc>
        <w:tc>
          <w:tcPr>
            <w:tcW w:w="879" w:type="dxa"/>
            <w:shd w:val="clear" w:color="auto" w:fill="auto"/>
            <w:vAlign w:val="center"/>
            <w:hideMark/>
          </w:tcPr>
          <w:p w14:paraId="1BA5CF1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13 665</w:t>
            </w:r>
          </w:p>
        </w:tc>
        <w:tc>
          <w:tcPr>
            <w:tcW w:w="941" w:type="dxa"/>
            <w:shd w:val="clear" w:color="auto" w:fill="auto"/>
            <w:vAlign w:val="center"/>
            <w:hideMark/>
          </w:tcPr>
          <w:p w14:paraId="43070F6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11 918</w:t>
            </w:r>
          </w:p>
        </w:tc>
        <w:tc>
          <w:tcPr>
            <w:tcW w:w="941" w:type="dxa"/>
            <w:shd w:val="clear" w:color="auto" w:fill="auto"/>
            <w:vAlign w:val="center"/>
            <w:hideMark/>
          </w:tcPr>
          <w:p w14:paraId="00E7D9E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5 695</w:t>
            </w:r>
          </w:p>
        </w:tc>
        <w:tc>
          <w:tcPr>
            <w:tcW w:w="941" w:type="dxa"/>
            <w:shd w:val="clear" w:color="auto" w:fill="auto"/>
            <w:vAlign w:val="center"/>
            <w:hideMark/>
          </w:tcPr>
          <w:p w14:paraId="599E94A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3 905</w:t>
            </w:r>
          </w:p>
        </w:tc>
        <w:tc>
          <w:tcPr>
            <w:tcW w:w="941" w:type="dxa"/>
            <w:shd w:val="clear" w:color="auto" w:fill="auto"/>
            <w:vAlign w:val="center"/>
            <w:hideMark/>
          </w:tcPr>
          <w:p w14:paraId="33B9DDE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19 742</w:t>
            </w:r>
          </w:p>
        </w:tc>
        <w:tc>
          <w:tcPr>
            <w:tcW w:w="941" w:type="dxa"/>
            <w:shd w:val="clear" w:color="auto" w:fill="auto"/>
            <w:vAlign w:val="center"/>
            <w:hideMark/>
          </w:tcPr>
          <w:p w14:paraId="7C82C94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22 835</w:t>
            </w:r>
          </w:p>
        </w:tc>
        <w:tc>
          <w:tcPr>
            <w:tcW w:w="941" w:type="dxa"/>
            <w:shd w:val="clear" w:color="auto" w:fill="auto"/>
            <w:vAlign w:val="center"/>
            <w:hideMark/>
          </w:tcPr>
          <w:p w14:paraId="4071556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15 792</w:t>
            </w:r>
          </w:p>
        </w:tc>
        <w:tc>
          <w:tcPr>
            <w:tcW w:w="941" w:type="dxa"/>
            <w:shd w:val="clear" w:color="auto" w:fill="auto"/>
            <w:vAlign w:val="center"/>
            <w:hideMark/>
          </w:tcPr>
          <w:p w14:paraId="56E646B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12 626</w:t>
            </w:r>
          </w:p>
        </w:tc>
        <w:tc>
          <w:tcPr>
            <w:tcW w:w="941" w:type="dxa"/>
            <w:shd w:val="clear" w:color="auto" w:fill="auto"/>
            <w:vAlign w:val="center"/>
            <w:hideMark/>
          </w:tcPr>
          <w:p w14:paraId="5B34468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9 342</w:t>
            </w:r>
          </w:p>
        </w:tc>
        <w:tc>
          <w:tcPr>
            <w:tcW w:w="1271" w:type="dxa"/>
            <w:shd w:val="clear" w:color="auto" w:fill="auto"/>
            <w:vAlign w:val="center"/>
            <w:hideMark/>
          </w:tcPr>
          <w:p w14:paraId="7F81A32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5 420</w:t>
            </w:r>
          </w:p>
        </w:tc>
      </w:tr>
      <w:tr w:rsidR="0053576E" w:rsidRPr="004135FE" w14:paraId="706EB708" w14:textId="77777777" w:rsidTr="00680E37">
        <w:trPr>
          <w:cantSplit/>
          <w:trHeight w:val="227"/>
        </w:trPr>
        <w:tc>
          <w:tcPr>
            <w:tcW w:w="553" w:type="dxa"/>
            <w:vMerge/>
            <w:vAlign w:val="center"/>
            <w:hideMark/>
          </w:tcPr>
          <w:p w14:paraId="1D3D0CCD"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4A20DC8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shd w:val="clear" w:color="auto" w:fill="auto"/>
            <w:vAlign w:val="center"/>
            <w:hideMark/>
          </w:tcPr>
          <w:p w14:paraId="69BA036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78" w:type="dxa"/>
            <w:shd w:val="clear" w:color="auto" w:fill="auto"/>
            <w:vAlign w:val="center"/>
            <w:hideMark/>
          </w:tcPr>
          <w:p w14:paraId="2020B19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2 035</w:t>
            </w:r>
          </w:p>
        </w:tc>
        <w:tc>
          <w:tcPr>
            <w:tcW w:w="879" w:type="dxa"/>
            <w:shd w:val="clear" w:color="auto" w:fill="auto"/>
            <w:vAlign w:val="center"/>
            <w:hideMark/>
          </w:tcPr>
          <w:p w14:paraId="214A231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10 632</w:t>
            </w:r>
          </w:p>
        </w:tc>
        <w:tc>
          <w:tcPr>
            <w:tcW w:w="879" w:type="dxa"/>
            <w:shd w:val="clear" w:color="auto" w:fill="auto"/>
            <w:vAlign w:val="center"/>
            <w:hideMark/>
          </w:tcPr>
          <w:p w14:paraId="3431AB8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13 570</w:t>
            </w:r>
          </w:p>
        </w:tc>
        <w:tc>
          <w:tcPr>
            <w:tcW w:w="941" w:type="dxa"/>
            <w:shd w:val="clear" w:color="auto" w:fill="auto"/>
            <w:vAlign w:val="center"/>
            <w:hideMark/>
          </w:tcPr>
          <w:p w14:paraId="708F643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11 700</w:t>
            </w:r>
          </w:p>
        </w:tc>
        <w:tc>
          <w:tcPr>
            <w:tcW w:w="941" w:type="dxa"/>
            <w:shd w:val="clear" w:color="auto" w:fill="auto"/>
            <w:vAlign w:val="center"/>
            <w:hideMark/>
          </w:tcPr>
          <w:p w14:paraId="4805697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6 284</w:t>
            </w:r>
          </w:p>
        </w:tc>
        <w:tc>
          <w:tcPr>
            <w:tcW w:w="941" w:type="dxa"/>
            <w:shd w:val="clear" w:color="auto" w:fill="auto"/>
            <w:vAlign w:val="center"/>
            <w:hideMark/>
          </w:tcPr>
          <w:p w14:paraId="12AB533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8 539</w:t>
            </w:r>
          </w:p>
        </w:tc>
        <w:tc>
          <w:tcPr>
            <w:tcW w:w="941" w:type="dxa"/>
            <w:shd w:val="clear" w:color="auto" w:fill="auto"/>
            <w:vAlign w:val="center"/>
            <w:hideMark/>
          </w:tcPr>
          <w:p w14:paraId="51A366A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41 898</w:t>
            </w:r>
          </w:p>
        </w:tc>
        <w:tc>
          <w:tcPr>
            <w:tcW w:w="941" w:type="dxa"/>
            <w:shd w:val="clear" w:color="auto" w:fill="auto"/>
            <w:vAlign w:val="center"/>
            <w:hideMark/>
          </w:tcPr>
          <w:p w14:paraId="04A5E51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26 741</w:t>
            </w:r>
          </w:p>
        </w:tc>
        <w:tc>
          <w:tcPr>
            <w:tcW w:w="941" w:type="dxa"/>
            <w:shd w:val="clear" w:color="auto" w:fill="auto"/>
            <w:vAlign w:val="center"/>
            <w:hideMark/>
          </w:tcPr>
          <w:p w14:paraId="6B51933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17 758</w:t>
            </w:r>
          </w:p>
        </w:tc>
        <w:tc>
          <w:tcPr>
            <w:tcW w:w="941" w:type="dxa"/>
            <w:shd w:val="clear" w:color="auto" w:fill="auto"/>
            <w:vAlign w:val="center"/>
            <w:hideMark/>
          </w:tcPr>
          <w:p w14:paraId="3388ACB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13 984</w:t>
            </w:r>
          </w:p>
        </w:tc>
        <w:tc>
          <w:tcPr>
            <w:tcW w:w="941" w:type="dxa"/>
            <w:shd w:val="clear" w:color="auto" w:fill="auto"/>
            <w:vAlign w:val="center"/>
            <w:hideMark/>
          </w:tcPr>
          <w:p w14:paraId="1D56FAA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10 544</w:t>
            </w:r>
          </w:p>
        </w:tc>
        <w:tc>
          <w:tcPr>
            <w:tcW w:w="1271" w:type="dxa"/>
            <w:shd w:val="clear" w:color="auto" w:fill="auto"/>
            <w:vAlign w:val="center"/>
            <w:hideMark/>
          </w:tcPr>
          <w:p w14:paraId="2CDB343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6 920</w:t>
            </w:r>
          </w:p>
        </w:tc>
      </w:tr>
      <w:tr w:rsidR="0053576E" w:rsidRPr="004135FE" w14:paraId="3725D16D" w14:textId="77777777" w:rsidTr="00680E37">
        <w:trPr>
          <w:cantSplit/>
          <w:trHeight w:val="227"/>
        </w:trPr>
        <w:tc>
          <w:tcPr>
            <w:tcW w:w="553" w:type="dxa"/>
            <w:vMerge/>
            <w:vAlign w:val="center"/>
            <w:hideMark/>
          </w:tcPr>
          <w:p w14:paraId="6270AFAE"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1810972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shd w:val="clear" w:color="auto" w:fill="auto"/>
            <w:vAlign w:val="center"/>
            <w:hideMark/>
          </w:tcPr>
          <w:p w14:paraId="4F829C9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78" w:type="dxa"/>
            <w:shd w:val="clear" w:color="auto" w:fill="auto"/>
            <w:vAlign w:val="center"/>
            <w:hideMark/>
          </w:tcPr>
          <w:p w14:paraId="60BD166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1 540</w:t>
            </w:r>
          </w:p>
        </w:tc>
        <w:tc>
          <w:tcPr>
            <w:tcW w:w="879" w:type="dxa"/>
            <w:shd w:val="clear" w:color="auto" w:fill="auto"/>
            <w:vAlign w:val="center"/>
            <w:hideMark/>
          </w:tcPr>
          <w:p w14:paraId="5111624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7 463</w:t>
            </w:r>
          </w:p>
        </w:tc>
        <w:tc>
          <w:tcPr>
            <w:tcW w:w="879" w:type="dxa"/>
            <w:shd w:val="clear" w:color="auto" w:fill="auto"/>
            <w:vAlign w:val="center"/>
            <w:hideMark/>
          </w:tcPr>
          <w:p w14:paraId="22F531F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8 618</w:t>
            </w:r>
          </w:p>
        </w:tc>
        <w:tc>
          <w:tcPr>
            <w:tcW w:w="941" w:type="dxa"/>
            <w:shd w:val="clear" w:color="auto" w:fill="auto"/>
            <w:vAlign w:val="center"/>
            <w:hideMark/>
          </w:tcPr>
          <w:p w14:paraId="338A8C3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7 775</w:t>
            </w:r>
          </w:p>
        </w:tc>
        <w:tc>
          <w:tcPr>
            <w:tcW w:w="941" w:type="dxa"/>
            <w:shd w:val="clear" w:color="auto" w:fill="auto"/>
            <w:vAlign w:val="center"/>
            <w:hideMark/>
          </w:tcPr>
          <w:p w14:paraId="6532491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3 427</w:t>
            </w:r>
          </w:p>
        </w:tc>
        <w:tc>
          <w:tcPr>
            <w:tcW w:w="941" w:type="dxa"/>
            <w:shd w:val="clear" w:color="auto" w:fill="auto"/>
            <w:vAlign w:val="center"/>
            <w:hideMark/>
          </w:tcPr>
          <w:p w14:paraId="552ABDC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2 185</w:t>
            </w:r>
          </w:p>
        </w:tc>
        <w:tc>
          <w:tcPr>
            <w:tcW w:w="941" w:type="dxa"/>
            <w:shd w:val="clear" w:color="auto" w:fill="auto"/>
            <w:vAlign w:val="center"/>
            <w:hideMark/>
          </w:tcPr>
          <w:p w14:paraId="63BFBE5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11 537</w:t>
            </w:r>
          </w:p>
        </w:tc>
        <w:tc>
          <w:tcPr>
            <w:tcW w:w="941" w:type="dxa"/>
            <w:shd w:val="clear" w:color="auto" w:fill="auto"/>
            <w:vAlign w:val="center"/>
            <w:hideMark/>
          </w:tcPr>
          <w:p w14:paraId="4DF5957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14 177</w:t>
            </w:r>
          </w:p>
        </w:tc>
        <w:tc>
          <w:tcPr>
            <w:tcW w:w="941" w:type="dxa"/>
            <w:shd w:val="clear" w:color="auto" w:fill="auto"/>
            <w:vAlign w:val="center"/>
            <w:hideMark/>
          </w:tcPr>
          <w:p w14:paraId="61733D0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10 200</w:t>
            </w:r>
          </w:p>
        </w:tc>
        <w:tc>
          <w:tcPr>
            <w:tcW w:w="941" w:type="dxa"/>
            <w:shd w:val="clear" w:color="auto" w:fill="auto"/>
            <w:vAlign w:val="center"/>
            <w:hideMark/>
          </w:tcPr>
          <w:p w14:paraId="1CFA51F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7 605</w:t>
            </w:r>
          </w:p>
        </w:tc>
        <w:tc>
          <w:tcPr>
            <w:tcW w:w="941" w:type="dxa"/>
            <w:shd w:val="clear" w:color="auto" w:fill="auto"/>
            <w:vAlign w:val="center"/>
            <w:hideMark/>
          </w:tcPr>
          <w:p w14:paraId="4A26A78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5 277</w:t>
            </w:r>
          </w:p>
        </w:tc>
        <w:tc>
          <w:tcPr>
            <w:tcW w:w="1271" w:type="dxa"/>
            <w:shd w:val="clear" w:color="auto" w:fill="auto"/>
            <w:vAlign w:val="center"/>
            <w:hideMark/>
          </w:tcPr>
          <w:p w14:paraId="47F5AE2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2 605</w:t>
            </w:r>
          </w:p>
        </w:tc>
      </w:tr>
      <w:tr w:rsidR="0053576E" w:rsidRPr="004135FE" w14:paraId="14A301C4" w14:textId="77777777" w:rsidTr="00680E37">
        <w:trPr>
          <w:cantSplit/>
          <w:trHeight w:val="227"/>
        </w:trPr>
        <w:tc>
          <w:tcPr>
            <w:tcW w:w="553" w:type="dxa"/>
            <w:vMerge/>
            <w:vAlign w:val="center"/>
            <w:hideMark/>
          </w:tcPr>
          <w:p w14:paraId="40E0073B"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6D824AF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shd w:val="clear" w:color="auto" w:fill="auto"/>
            <w:vAlign w:val="center"/>
            <w:hideMark/>
          </w:tcPr>
          <w:p w14:paraId="3A8281C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78" w:type="dxa"/>
            <w:shd w:val="clear" w:color="auto" w:fill="auto"/>
            <w:vAlign w:val="center"/>
            <w:hideMark/>
          </w:tcPr>
          <w:p w14:paraId="3BB8A08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1 335</w:t>
            </w:r>
          </w:p>
        </w:tc>
        <w:tc>
          <w:tcPr>
            <w:tcW w:w="879" w:type="dxa"/>
            <w:shd w:val="clear" w:color="auto" w:fill="auto"/>
            <w:vAlign w:val="center"/>
            <w:hideMark/>
          </w:tcPr>
          <w:p w14:paraId="34F4407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8 016</w:t>
            </w:r>
          </w:p>
        </w:tc>
        <w:tc>
          <w:tcPr>
            <w:tcW w:w="879" w:type="dxa"/>
            <w:shd w:val="clear" w:color="auto" w:fill="auto"/>
            <w:vAlign w:val="center"/>
            <w:hideMark/>
          </w:tcPr>
          <w:p w14:paraId="195965F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10 308</w:t>
            </w:r>
          </w:p>
        </w:tc>
        <w:tc>
          <w:tcPr>
            <w:tcW w:w="941" w:type="dxa"/>
            <w:shd w:val="clear" w:color="auto" w:fill="auto"/>
            <w:vAlign w:val="center"/>
            <w:hideMark/>
          </w:tcPr>
          <w:p w14:paraId="15A903E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9 477</w:t>
            </w:r>
          </w:p>
        </w:tc>
        <w:tc>
          <w:tcPr>
            <w:tcW w:w="941" w:type="dxa"/>
            <w:shd w:val="clear" w:color="auto" w:fill="auto"/>
            <w:vAlign w:val="center"/>
            <w:hideMark/>
          </w:tcPr>
          <w:p w14:paraId="1006981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4 466</w:t>
            </w:r>
          </w:p>
        </w:tc>
        <w:tc>
          <w:tcPr>
            <w:tcW w:w="941" w:type="dxa"/>
            <w:shd w:val="clear" w:color="auto" w:fill="auto"/>
            <w:vAlign w:val="center"/>
            <w:hideMark/>
          </w:tcPr>
          <w:p w14:paraId="6805A3E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4 785</w:t>
            </w:r>
          </w:p>
        </w:tc>
        <w:tc>
          <w:tcPr>
            <w:tcW w:w="941" w:type="dxa"/>
            <w:shd w:val="clear" w:color="auto" w:fill="auto"/>
            <w:vAlign w:val="center"/>
            <w:hideMark/>
          </w:tcPr>
          <w:p w14:paraId="3B6D2D2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16 595</w:t>
            </w:r>
          </w:p>
        </w:tc>
        <w:tc>
          <w:tcPr>
            <w:tcW w:w="941" w:type="dxa"/>
            <w:shd w:val="clear" w:color="auto" w:fill="auto"/>
            <w:vAlign w:val="center"/>
            <w:hideMark/>
          </w:tcPr>
          <w:p w14:paraId="666939E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15 426</w:t>
            </w:r>
          </w:p>
        </w:tc>
        <w:tc>
          <w:tcPr>
            <w:tcW w:w="941" w:type="dxa"/>
            <w:shd w:val="clear" w:color="auto" w:fill="auto"/>
            <w:vAlign w:val="center"/>
            <w:hideMark/>
          </w:tcPr>
          <w:p w14:paraId="6DDE665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11 700</w:t>
            </w:r>
          </w:p>
        </w:tc>
        <w:tc>
          <w:tcPr>
            <w:tcW w:w="941" w:type="dxa"/>
            <w:shd w:val="clear" w:color="auto" w:fill="auto"/>
            <w:vAlign w:val="center"/>
            <w:hideMark/>
          </w:tcPr>
          <w:p w14:paraId="0809369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9 756</w:t>
            </w:r>
          </w:p>
        </w:tc>
        <w:tc>
          <w:tcPr>
            <w:tcW w:w="941" w:type="dxa"/>
            <w:shd w:val="clear" w:color="auto" w:fill="auto"/>
            <w:vAlign w:val="center"/>
            <w:hideMark/>
          </w:tcPr>
          <w:p w14:paraId="64809CD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7 356</w:t>
            </w:r>
          </w:p>
        </w:tc>
        <w:tc>
          <w:tcPr>
            <w:tcW w:w="1271" w:type="dxa"/>
            <w:shd w:val="clear" w:color="auto" w:fill="auto"/>
            <w:vAlign w:val="center"/>
            <w:hideMark/>
          </w:tcPr>
          <w:p w14:paraId="350ED23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4 455</w:t>
            </w:r>
          </w:p>
        </w:tc>
      </w:tr>
    </w:tbl>
    <w:p w14:paraId="18BE56B6" w14:textId="77777777" w:rsidR="00680E37" w:rsidRPr="00680E37" w:rsidRDefault="00680E37" w:rsidP="00680E37">
      <w:pPr>
        <w:rPr>
          <w:rFonts w:ascii="Times New Roman" w:eastAsia="Times New Roman" w:hAnsi="Times New Roman" w:cs="Times New Roman"/>
          <w:sz w:val="28"/>
          <w:szCs w:val="28"/>
        </w:rPr>
      </w:pPr>
      <w:r w:rsidRPr="00680E37">
        <w:rPr>
          <w:rFonts w:ascii="Times New Roman" w:eastAsia="Times New Roman" w:hAnsi="Times New Roman" w:cs="Times New Roman"/>
          <w:sz w:val="28"/>
          <w:szCs w:val="28"/>
        </w:rPr>
        <w:t>Продолжение таблицы А</w:t>
      </w:r>
      <w:r>
        <w:rPr>
          <w:rFonts w:ascii="Times New Roman" w:eastAsia="Times New Roman" w:hAnsi="Times New Roman" w:cs="Times New Roman"/>
          <w:sz w:val="28"/>
          <w:szCs w:val="28"/>
        </w:rPr>
        <w:t>6</w:t>
      </w:r>
    </w:p>
    <w:tbl>
      <w:tblPr>
        <w:tblW w:w="1445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3"/>
        <w:gridCol w:w="373"/>
        <w:gridCol w:w="2098"/>
        <w:gridCol w:w="878"/>
        <w:gridCol w:w="879"/>
        <w:gridCol w:w="879"/>
        <w:gridCol w:w="941"/>
        <w:gridCol w:w="941"/>
        <w:gridCol w:w="941"/>
        <w:gridCol w:w="941"/>
        <w:gridCol w:w="941"/>
        <w:gridCol w:w="941"/>
        <w:gridCol w:w="941"/>
        <w:gridCol w:w="941"/>
        <w:gridCol w:w="1271"/>
      </w:tblGrid>
      <w:tr w:rsidR="0053576E" w:rsidRPr="004135FE" w14:paraId="014C8245" w14:textId="77777777" w:rsidTr="00680E37">
        <w:trPr>
          <w:cantSplit/>
          <w:trHeight w:val="227"/>
        </w:trPr>
        <w:tc>
          <w:tcPr>
            <w:tcW w:w="553" w:type="dxa"/>
            <w:vMerge w:val="restart"/>
            <w:vAlign w:val="center"/>
            <w:hideMark/>
          </w:tcPr>
          <w:p w14:paraId="4C876CC2"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02641CE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shd w:val="clear" w:color="auto" w:fill="auto"/>
            <w:vAlign w:val="center"/>
            <w:hideMark/>
          </w:tcPr>
          <w:p w14:paraId="55B690C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78" w:type="dxa"/>
            <w:shd w:val="clear" w:color="auto" w:fill="auto"/>
            <w:vAlign w:val="center"/>
            <w:hideMark/>
          </w:tcPr>
          <w:p w14:paraId="57DC221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1 584</w:t>
            </w:r>
          </w:p>
        </w:tc>
        <w:tc>
          <w:tcPr>
            <w:tcW w:w="879" w:type="dxa"/>
            <w:shd w:val="clear" w:color="auto" w:fill="auto"/>
            <w:vAlign w:val="center"/>
            <w:hideMark/>
          </w:tcPr>
          <w:p w14:paraId="3314C55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7 156</w:t>
            </w:r>
          </w:p>
        </w:tc>
        <w:tc>
          <w:tcPr>
            <w:tcW w:w="879" w:type="dxa"/>
            <w:shd w:val="clear" w:color="auto" w:fill="auto"/>
            <w:vAlign w:val="center"/>
            <w:hideMark/>
          </w:tcPr>
          <w:p w14:paraId="3EE4680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6 895</w:t>
            </w:r>
          </w:p>
        </w:tc>
        <w:tc>
          <w:tcPr>
            <w:tcW w:w="941" w:type="dxa"/>
            <w:shd w:val="clear" w:color="auto" w:fill="auto"/>
            <w:vAlign w:val="center"/>
            <w:hideMark/>
          </w:tcPr>
          <w:p w14:paraId="5B7806A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5 295</w:t>
            </w:r>
          </w:p>
        </w:tc>
        <w:tc>
          <w:tcPr>
            <w:tcW w:w="941" w:type="dxa"/>
            <w:shd w:val="clear" w:color="auto" w:fill="auto"/>
            <w:vAlign w:val="center"/>
            <w:hideMark/>
          </w:tcPr>
          <w:p w14:paraId="26A3DEE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2 320</w:t>
            </w:r>
          </w:p>
        </w:tc>
        <w:tc>
          <w:tcPr>
            <w:tcW w:w="941" w:type="dxa"/>
            <w:shd w:val="clear" w:color="auto" w:fill="auto"/>
            <w:vAlign w:val="center"/>
            <w:hideMark/>
          </w:tcPr>
          <w:p w14:paraId="77AC150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1 160</w:t>
            </w:r>
          </w:p>
        </w:tc>
        <w:tc>
          <w:tcPr>
            <w:tcW w:w="941" w:type="dxa"/>
            <w:shd w:val="clear" w:color="auto" w:fill="auto"/>
            <w:vAlign w:val="center"/>
            <w:hideMark/>
          </w:tcPr>
          <w:p w14:paraId="1FAF426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6 532</w:t>
            </w:r>
          </w:p>
        </w:tc>
        <w:tc>
          <w:tcPr>
            <w:tcW w:w="941" w:type="dxa"/>
            <w:shd w:val="clear" w:color="auto" w:fill="auto"/>
            <w:vAlign w:val="center"/>
            <w:hideMark/>
          </w:tcPr>
          <w:p w14:paraId="2192238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8 695</w:t>
            </w:r>
          </w:p>
        </w:tc>
        <w:tc>
          <w:tcPr>
            <w:tcW w:w="941" w:type="dxa"/>
            <w:shd w:val="clear" w:color="auto" w:fill="auto"/>
            <w:vAlign w:val="center"/>
            <w:hideMark/>
          </w:tcPr>
          <w:p w14:paraId="7E69FD4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5 962</w:t>
            </w:r>
          </w:p>
        </w:tc>
        <w:tc>
          <w:tcPr>
            <w:tcW w:w="941" w:type="dxa"/>
            <w:shd w:val="clear" w:color="auto" w:fill="auto"/>
            <w:vAlign w:val="center"/>
            <w:hideMark/>
          </w:tcPr>
          <w:p w14:paraId="4325B98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5 007</w:t>
            </w:r>
          </w:p>
        </w:tc>
        <w:tc>
          <w:tcPr>
            <w:tcW w:w="941" w:type="dxa"/>
            <w:shd w:val="clear" w:color="auto" w:fill="auto"/>
            <w:vAlign w:val="center"/>
            <w:hideMark/>
          </w:tcPr>
          <w:p w14:paraId="194C115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3 302</w:t>
            </w:r>
          </w:p>
        </w:tc>
        <w:tc>
          <w:tcPr>
            <w:tcW w:w="1271" w:type="dxa"/>
            <w:shd w:val="clear" w:color="auto" w:fill="auto"/>
            <w:vAlign w:val="center"/>
            <w:hideMark/>
          </w:tcPr>
          <w:p w14:paraId="16421C8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1 598</w:t>
            </w:r>
          </w:p>
        </w:tc>
      </w:tr>
      <w:tr w:rsidR="0053576E" w:rsidRPr="004135FE" w14:paraId="1E9698E6" w14:textId="77777777" w:rsidTr="00680E37">
        <w:trPr>
          <w:cantSplit/>
          <w:trHeight w:val="227"/>
        </w:trPr>
        <w:tc>
          <w:tcPr>
            <w:tcW w:w="553" w:type="dxa"/>
            <w:vMerge/>
            <w:vAlign w:val="center"/>
            <w:hideMark/>
          </w:tcPr>
          <w:p w14:paraId="6F2E38C7"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5B450E7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shd w:val="clear" w:color="auto" w:fill="auto"/>
            <w:vAlign w:val="center"/>
            <w:hideMark/>
          </w:tcPr>
          <w:p w14:paraId="034917C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78" w:type="dxa"/>
            <w:shd w:val="clear" w:color="auto" w:fill="auto"/>
            <w:vAlign w:val="center"/>
            <w:hideMark/>
          </w:tcPr>
          <w:p w14:paraId="2622867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1 918</w:t>
            </w:r>
          </w:p>
        </w:tc>
        <w:tc>
          <w:tcPr>
            <w:tcW w:w="879" w:type="dxa"/>
            <w:shd w:val="clear" w:color="auto" w:fill="auto"/>
            <w:vAlign w:val="center"/>
            <w:hideMark/>
          </w:tcPr>
          <w:p w14:paraId="158C394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9 513</w:t>
            </w:r>
          </w:p>
        </w:tc>
        <w:tc>
          <w:tcPr>
            <w:tcW w:w="879" w:type="dxa"/>
            <w:shd w:val="clear" w:color="auto" w:fill="auto"/>
            <w:vAlign w:val="center"/>
            <w:hideMark/>
          </w:tcPr>
          <w:p w14:paraId="3F7F1BC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11 443</w:t>
            </w:r>
          </w:p>
        </w:tc>
        <w:tc>
          <w:tcPr>
            <w:tcW w:w="941" w:type="dxa"/>
            <w:shd w:val="clear" w:color="auto" w:fill="auto"/>
            <w:vAlign w:val="center"/>
            <w:hideMark/>
          </w:tcPr>
          <w:p w14:paraId="0A5AB01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9 863</w:t>
            </w:r>
          </w:p>
        </w:tc>
        <w:tc>
          <w:tcPr>
            <w:tcW w:w="941" w:type="dxa"/>
            <w:shd w:val="clear" w:color="auto" w:fill="auto"/>
            <w:vAlign w:val="center"/>
            <w:hideMark/>
          </w:tcPr>
          <w:p w14:paraId="542123D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4 507</w:t>
            </w:r>
          </w:p>
        </w:tc>
        <w:tc>
          <w:tcPr>
            <w:tcW w:w="941" w:type="dxa"/>
            <w:shd w:val="clear" w:color="auto" w:fill="auto"/>
            <w:vAlign w:val="center"/>
            <w:hideMark/>
          </w:tcPr>
          <w:p w14:paraId="1667BFC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2 578</w:t>
            </w:r>
          </w:p>
        </w:tc>
        <w:tc>
          <w:tcPr>
            <w:tcW w:w="941" w:type="dxa"/>
            <w:shd w:val="clear" w:color="auto" w:fill="auto"/>
            <w:vAlign w:val="center"/>
            <w:hideMark/>
          </w:tcPr>
          <w:p w14:paraId="2534E74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15 591</w:t>
            </w:r>
          </w:p>
        </w:tc>
        <w:tc>
          <w:tcPr>
            <w:tcW w:w="941" w:type="dxa"/>
            <w:shd w:val="clear" w:color="auto" w:fill="auto"/>
            <w:vAlign w:val="center"/>
            <w:hideMark/>
          </w:tcPr>
          <w:p w14:paraId="799921D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20 031</w:t>
            </w:r>
          </w:p>
        </w:tc>
        <w:tc>
          <w:tcPr>
            <w:tcW w:w="941" w:type="dxa"/>
            <w:shd w:val="clear" w:color="auto" w:fill="auto"/>
            <w:vAlign w:val="center"/>
            <w:hideMark/>
          </w:tcPr>
          <w:p w14:paraId="02B37AB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14 598</w:t>
            </w:r>
          </w:p>
        </w:tc>
        <w:tc>
          <w:tcPr>
            <w:tcW w:w="941" w:type="dxa"/>
            <w:shd w:val="clear" w:color="auto" w:fill="auto"/>
            <w:vAlign w:val="center"/>
            <w:hideMark/>
          </w:tcPr>
          <w:p w14:paraId="3A786B7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11 289</w:t>
            </w:r>
          </w:p>
        </w:tc>
        <w:tc>
          <w:tcPr>
            <w:tcW w:w="941" w:type="dxa"/>
            <w:shd w:val="clear" w:color="auto" w:fill="auto"/>
            <w:vAlign w:val="center"/>
            <w:hideMark/>
          </w:tcPr>
          <w:p w14:paraId="38BFA70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8 866</w:t>
            </w:r>
          </w:p>
        </w:tc>
        <w:tc>
          <w:tcPr>
            <w:tcW w:w="1271" w:type="dxa"/>
            <w:shd w:val="clear" w:color="auto" w:fill="auto"/>
            <w:vAlign w:val="center"/>
            <w:hideMark/>
          </w:tcPr>
          <w:p w14:paraId="2B77662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4 372</w:t>
            </w:r>
          </w:p>
        </w:tc>
      </w:tr>
      <w:tr w:rsidR="0053576E" w:rsidRPr="004135FE" w14:paraId="29C8A7E1" w14:textId="77777777" w:rsidTr="00680E37">
        <w:trPr>
          <w:cantSplit/>
          <w:trHeight w:val="227"/>
        </w:trPr>
        <w:tc>
          <w:tcPr>
            <w:tcW w:w="553" w:type="dxa"/>
            <w:vMerge w:val="restart"/>
            <w:shd w:val="clear" w:color="auto" w:fill="auto"/>
            <w:textDirection w:val="btLr"/>
            <w:vAlign w:val="center"/>
            <w:hideMark/>
          </w:tcPr>
          <w:p w14:paraId="127461E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2021год</w:t>
            </w:r>
          </w:p>
        </w:tc>
        <w:tc>
          <w:tcPr>
            <w:tcW w:w="373" w:type="dxa"/>
            <w:shd w:val="clear" w:color="auto" w:fill="auto"/>
            <w:vAlign w:val="bottom"/>
            <w:hideMark/>
          </w:tcPr>
          <w:p w14:paraId="15DCDD8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shd w:val="clear" w:color="auto" w:fill="auto"/>
            <w:vAlign w:val="center"/>
            <w:hideMark/>
          </w:tcPr>
          <w:p w14:paraId="552B01C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78" w:type="dxa"/>
            <w:shd w:val="clear" w:color="auto" w:fill="auto"/>
            <w:vAlign w:val="center"/>
            <w:hideMark/>
          </w:tcPr>
          <w:p w14:paraId="6DF0B7B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1 856</w:t>
            </w:r>
          </w:p>
        </w:tc>
        <w:tc>
          <w:tcPr>
            <w:tcW w:w="879" w:type="dxa"/>
            <w:shd w:val="clear" w:color="auto" w:fill="auto"/>
            <w:vAlign w:val="center"/>
            <w:hideMark/>
          </w:tcPr>
          <w:p w14:paraId="46C4C1B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9 114</w:t>
            </w:r>
          </w:p>
        </w:tc>
        <w:tc>
          <w:tcPr>
            <w:tcW w:w="879" w:type="dxa"/>
            <w:shd w:val="clear" w:color="auto" w:fill="auto"/>
            <w:vAlign w:val="center"/>
            <w:hideMark/>
          </w:tcPr>
          <w:p w14:paraId="054797D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12 373</w:t>
            </w:r>
          </w:p>
        </w:tc>
        <w:tc>
          <w:tcPr>
            <w:tcW w:w="941" w:type="dxa"/>
            <w:shd w:val="clear" w:color="auto" w:fill="auto"/>
            <w:vAlign w:val="center"/>
            <w:hideMark/>
          </w:tcPr>
          <w:p w14:paraId="2697F1B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11 145</w:t>
            </w:r>
          </w:p>
        </w:tc>
        <w:tc>
          <w:tcPr>
            <w:tcW w:w="941" w:type="dxa"/>
            <w:shd w:val="clear" w:color="auto" w:fill="auto"/>
            <w:vAlign w:val="center"/>
            <w:hideMark/>
          </w:tcPr>
          <w:p w14:paraId="2E20A33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8 520</w:t>
            </w:r>
          </w:p>
        </w:tc>
        <w:tc>
          <w:tcPr>
            <w:tcW w:w="941" w:type="dxa"/>
            <w:shd w:val="clear" w:color="auto" w:fill="auto"/>
            <w:vAlign w:val="center"/>
            <w:hideMark/>
          </w:tcPr>
          <w:p w14:paraId="3522557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8 912</w:t>
            </w:r>
          </w:p>
        </w:tc>
        <w:tc>
          <w:tcPr>
            <w:tcW w:w="941" w:type="dxa"/>
            <w:shd w:val="clear" w:color="auto" w:fill="auto"/>
            <w:vAlign w:val="center"/>
            <w:hideMark/>
          </w:tcPr>
          <w:p w14:paraId="0136747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34 252</w:t>
            </w:r>
          </w:p>
        </w:tc>
        <w:tc>
          <w:tcPr>
            <w:tcW w:w="941" w:type="dxa"/>
            <w:shd w:val="clear" w:color="auto" w:fill="auto"/>
            <w:vAlign w:val="center"/>
            <w:hideMark/>
          </w:tcPr>
          <w:p w14:paraId="211E4A0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26 518</w:t>
            </w:r>
          </w:p>
        </w:tc>
        <w:tc>
          <w:tcPr>
            <w:tcW w:w="941" w:type="dxa"/>
            <w:shd w:val="clear" w:color="auto" w:fill="auto"/>
            <w:vAlign w:val="center"/>
            <w:hideMark/>
          </w:tcPr>
          <w:p w14:paraId="220AB7C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19 281</w:t>
            </w:r>
          </w:p>
        </w:tc>
        <w:tc>
          <w:tcPr>
            <w:tcW w:w="941" w:type="dxa"/>
            <w:shd w:val="clear" w:color="auto" w:fill="auto"/>
            <w:vAlign w:val="center"/>
            <w:hideMark/>
          </w:tcPr>
          <w:p w14:paraId="1038117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14 861</w:t>
            </w:r>
          </w:p>
        </w:tc>
        <w:tc>
          <w:tcPr>
            <w:tcW w:w="941" w:type="dxa"/>
            <w:shd w:val="clear" w:color="auto" w:fill="auto"/>
            <w:vAlign w:val="center"/>
            <w:hideMark/>
          </w:tcPr>
          <w:p w14:paraId="5203A43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11 094</w:t>
            </w:r>
          </w:p>
        </w:tc>
        <w:tc>
          <w:tcPr>
            <w:tcW w:w="1271" w:type="dxa"/>
            <w:shd w:val="clear" w:color="auto" w:fill="auto"/>
            <w:vAlign w:val="center"/>
            <w:hideMark/>
          </w:tcPr>
          <w:p w14:paraId="70C0A6B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7 530</w:t>
            </w:r>
          </w:p>
        </w:tc>
      </w:tr>
      <w:tr w:rsidR="0053576E" w:rsidRPr="004135FE" w14:paraId="4BC5959A" w14:textId="77777777" w:rsidTr="00680E37">
        <w:trPr>
          <w:cantSplit/>
          <w:trHeight w:val="227"/>
        </w:trPr>
        <w:tc>
          <w:tcPr>
            <w:tcW w:w="553" w:type="dxa"/>
            <w:vMerge/>
            <w:vAlign w:val="center"/>
            <w:hideMark/>
          </w:tcPr>
          <w:p w14:paraId="11DD1DB6"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6AC980B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shd w:val="clear" w:color="auto" w:fill="auto"/>
            <w:vAlign w:val="center"/>
            <w:hideMark/>
          </w:tcPr>
          <w:p w14:paraId="4F5BF62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78" w:type="dxa"/>
            <w:shd w:val="clear" w:color="auto" w:fill="auto"/>
            <w:vAlign w:val="center"/>
            <w:hideMark/>
          </w:tcPr>
          <w:p w14:paraId="15FDF70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3 831</w:t>
            </w:r>
          </w:p>
        </w:tc>
        <w:tc>
          <w:tcPr>
            <w:tcW w:w="879" w:type="dxa"/>
            <w:shd w:val="clear" w:color="auto" w:fill="auto"/>
            <w:vAlign w:val="center"/>
            <w:hideMark/>
          </w:tcPr>
          <w:p w14:paraId="4AFA935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15 517</w:t>
            </w:r>
          </w:p>
        </w:tc>
        <w:tc>
          <w:tcPr>
            <w:tcW w:w="879" w:type="dxa"/>
            <w:shd w:val="clear" w:color="auto" w:fill="auto"/>
            <w:vAlign w:val="center"/>
            <w:hideMark/>
          </w:tcPr>
          <w:p w14:paraId="09F4767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15 841</w:t>
            </w:r>
          </w:p>
        </w:tc>
        <w:tc>
          <w:tcPr>
            <w:tcW w:w="941" w:type="dxa"/>
            <w:shd w:val="clear" w:color="auto" w:fill="auto"/>
            <w:vAlign w:val="center"/>
            <w:hideMark/>
          </w:tcPr>
          <w:p w14:paraId="0271434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12 399</w:t>
            </w:r>
          </w:p>
        </w:tc>
        <w:tc>
          <w:tcPr>
            <w:tcW w:w="941" w:type="dxa"/>
            <w:shd w:val="clear" w:color="auto" w:fill="auto"/>
            <w:vAlign w:val="center"/>
            <w:hideMark/>
          </w:tcPr>
          <w:p w14:paraId="4E2E5C9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5 254</w:t>
            </w:r>
          </w:p>
        </w:tc>
        <w:tc>
          <w:tcPr>
            <w:tcW w:w="941" w:type="dxa"/>
            <w:shd w:val="clear" w:color="auto" w:fill="auto"/>
            <w:vAlign w:val="center"/>
            <w:hideMark/>
          </w:tcPr>
          <w:p w14:paraId="63A32BB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2 467</w:t>
            </w:r>
          </w:p>
        </w:tc>
        <w:tc>
          <w:tcPr>
            <w:tcW w:w="941" w:type="dxa"/>
            <w:shd w:val="clear" w:color="auto" w:fill="auto"/>
            <w:vAlign w:val="center"/>
            <w:hideMark/>
          </w:tcPr>
          <w:p w14:paraId="05D08C3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12 290</w:t>
            </w:r>
          </w:p>
        </w:tc>
        <w:tc>
          <w:tcPr>
            <w:tcW w:w="941" w:type="dxa"/>
            <w:shd w:val="clear" w:color="auto" w:fill="auto"/>
            <w:vAlign w:val="center"/>
            <w:hideMark/>
          </w:tcPr>
          <w:p w14:paraId="2CA0863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18 057</w:t>
            </w:r>
          </w:p>
        </w:tc>
        <w:tc>
          <w:tcPr>
            <w:tcW w:w="941" w:type="dxa"/>
            <w:shd w:val="clear" w:color="auto" w:fill="auto"/>
            <w:vAlign w:val="center"/>
            <w:hideMark/>
          </w:tcPr>
          <w:p w14:paraId="254A544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12 585</w:t>
            </w:r>
          </w:p>
        </w:tc>
        <w:tc>
          <w:tcPr>
            <w:tcW w:w="941" w:type="dxa"/>
            <w:shd w:val="clear" w:color="auto" w:fill="auto"/>
            <w:vAlign w:val="center"/>
            <w:hideMark/>
          </w:tcPr>
          <w:p w14:paraId="2F8F451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9 084</w:t>
            </w:r>
          </w:p>
        </w:tc>
        <w:tc>
          <w:tcPr>
            <w:tcW w:w="941" w:type="dxa"/>
            <w:shd w:val="clear" w:color="auto" w:fill="auto"/>
            <w:vAlign w:val="center"/>
            <w:hideMark/>
          </w:tcPr>
          <w:p w14:paraId="265B3AE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5 309</w:t>
            </w:r>
          </w:p>
        </w:tc>
        <w:tc>
          <w:tcPr>
            <w:tcW w:w="1271" w:type="dxa"/>
            <w:shd w:val="clear" w:color="auto" w:fill="auto"/>
            <w:vAlign w:val="center"/>
            <w:hideMark/>
          </w:tcPr>
          <w:p w14:paraId="14EFBA2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2 198</w:t>
            </w:r>
          </w:p>
        </w:tc>
      </w:tr>
      <w:tr w:rsidR="0053576E" w:rsidRPr="004135FE" w14:paraId="425FADF5" w14:textId="77777777" w:rsidTr="00680E37">
        <w:trPr>
          <w:cantSplit/>
          <w:trHeight w:val="227"/>
        </w:trPr>
        <w:tc>
          <w:tcPr>
            <w:tcW w:w="553" w:type="dxa"/>
            <w:vMerge/>
            <w:vAlign w:val="center"/>
            <w:hideMark/>
          </w:tcPr>
          <w:p w14:paraId="7609258F"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57F2DF6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shd w:val="clear" w:color="auto" w:fill="auto"/>
            <w:vAlign w:val="center"/>
            <w:hideMark/>
          </w:tcPr>
          <w:p w14:paraId="1B704C9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78" w:type="dxa"/>
            <w:shd w:val="clear" w:color="auto" w:fill="auto"/>
            <w:vAlign w:val="center"/>
            <w:hideMark/>
          </w:tcPr>
          <w:p w14:paraId="3E378AE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2 320</w:t>
            </w:r>
          </w:p>
        </w:tc>
        <w:tc>
          <w:tcPr>
            <w:tcW w:w="879" w:type="dxa"/>
            <w:shd w:val="clear" w:color="auto" w:fill="auto"/>
            <w:vAlign w:val="center"/>
            <w:hideMark/>
          </w:tcPr>
          <w:p w14:paraId="73D8D3C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10 784</w:t>
            </w:r>
          </w:p>
        </w:tc>
        <w:tc>
          <w:tcPr>
            <w:tcW w:w="879" w:type="dxa"/>
            <w:shd w:val="clear" w:color="auto" w:fill="auto"/>
            <w:vAlign w:val="center"/>
            <w:hideMark/>
          </w:tcPr>
          <w:p w14:paraId="6040550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14 051</w:t>
            </w:r>
          </w:p>
        </w:tc>
        <w:tc>
          <w:tcPr>
            <w:tcW w:w="941" w:type="dxa"/>
            <w:shd w:val="clear" w:color="auto" w:fill="auto"/>
            <w:vAlign w:val="center"/>
            <w:hideMark/>
          </w:tcPr>
          <w:p w14:paraId="1F0BA79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12 369</w:t>
            </w:r>
          </w:p>
        </w:tc>
        <w:tc>
          <w:tcPr>
            <w:tcW w:w="941" w:type="dxa"/>
            <w:shd w:val="clear" w:color="auto" w:fill="auto"/>
            <w:vAlign w:val="center"/>
            <w:hideMark/>
          </w:tcPr>
          <w:p w14:paraId="1D28495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6 104</w:t>
            </w:r>
          </w:p>
        </w:tc>
        <w:tc>
          <w:tcPr>
            <w:tcW w:w="941" w:type="dxa"/>
            <w:shd w:val="clear" w:color="auto" w:fill="auto"/>
            <w:vAlign w:val="center"/>
            <w:hideMark/>
          </w:tcPr>
          <w:p w14:paraId="2D920BA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3 703</w:t>
            </w:r>
          </w:p>
        </w:tc>
        <w:tc>
          <w:tcPr>
            <w:tcW w:w="941" w:type="dxa"/>
            <w:shd w:val="clear" w:color="auto" w:fill="auto"/>
            <w:vAlign w:val="center"/>
            <w:hideMark/>
          </w:tcPr>
          <w:p w14:paraId="56D70F3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19 337</w:t>
            </w:r>
          </w:p>
        </w:tc>
        <w:tc>
          <w:tcPr>
            <w:tcW w:w="941" w:type="dxa"/>
            <w:shd w:val="clear" w:color="auto" w:fill="auto"/>
            <w:vAlign w:val="center"/>
            <w:hideMark/>
          </w:tcPr>
          <w:p w14:paraId="136EA3B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23 653</w:t>
            </w:r>
          </w:p>
        </w:tc>
        <w:tc>
          <w:tcPr>
            <w:tcW w:w="941" w:type="dxa"/>
            <w:shd w:val="clear" w:color="auto" w:fill="auto"/>
            <w:vAlign w:val="center"/>
            <w:hideMark/>
          </w:tcPr>
          <w:p w14:paraId="168C7AC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16 519</w:t>
            </w:r>
          </w:p>
        </w:tc>
        <w:tc>
          <w:tcPr>
            <w:tcW w:w="941" w:type="dxa"/>
            <w:shd w:val="clear" w:color="auto" w:fill="auto"/>
            <w:vAlign w:val="center"/>
            <w:hideMark/>
          </w:tcPr>
          <w:p w14:paraId="264FEEF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12 878</w:t>
            </w:r>
          </w:p>
        </w:tc>
        <w:tc>
          <w:tcPr>
            <w:tcW w:w="941" w:type="dxa"/>
            <w:shd w:val="clear" w:color="auto" w:fill="auto"/>
            <w:vAlign w:val="center"/>
            <w:hideMark/>
          </w:tcPr>
          <w:p w14:paraId="638ED05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9 839</w:t>
            </w:r>
          </w:p>
        </w:tc>
        <w:tc>
          <w:tcPr>
            <w:tcW w:w="1271" w:type="dxa"/>
            <w:shd w:val="clear" w:color="auto" w:fill="auto"/>
            <w:vAlign w:val="center"/>
            <w:hideMark/>
          </w:tcPr>
          <w:p w14:paraId="78DC9C2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5 470</w:t>
            </w:r>
          </w:p>
        </w:tc>
      </w:tr>
      <w:tr w:rsidR="0053576E" w:rsidRPr="004135FE" w14:paraId="09F66362" w14:textId="77777777" w:rsidTr="00680E37">
        <w:trPr>
          <w:cantSplit/>
          <w:trHeight w:val="227"/>
        </w:trPr>
        <w:tc>
          <w:tcPr>
            <w:tcW w:w="553" w:type="dxa"/>
            <w:vMerge/>
            <w:vAlign w:val="center"/>
            <w:hideMark/>
          </w:tcPr>
          <w:p w14:paraId="6BA15A8E"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281BEF8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shd w:val="clear" w:color="auto" w:fill="auto"/>
            <w:vAlign w:val="center"/>
            <w:hideMark/>
          </w:tcPr>
          <w:p w14:paraId="52C0BDE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78" w:type="dxa"/>
            <w:shd w:val="clear" w:color="auto" w:fill="auto"/>
            <w:vAlign w:val="center"/>
            <w:hideMark/>
          </w:tcPr>
          <w:p w14:paraId="4742E33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2 168</w:t>
            </w:r>
          </w:p>
        </w:tc>
        <w:tc>
          <w:tcPr>
            <w:tcW w:w="879" w:type="dxa"/>
            <w:shd w:val="clear" w:color="auto" w:fill="auto"/>
            <w:vAlign w:val="center"/>
            <w:hideMark/>
          </w:tcPr>
          <w:p w14:paraId="6C12D48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10 933</w:t>
            </w:r>
          </w:p>
        </w:tc>
        <w:tc>
          <w:tcPr>
            <w:tcW w:w="879" w:type="dxa"/>
            <w:shd w:val="clear" w:color="auto" w:fill="auto"/>
            <w:vAlign w:val="center"/>
            <w:hideMark/>
          </w:tcPr>
          <w:p w14:paraId="2970E17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14 393</w:t>
            </w:r>
          </w:p>
        </w:tc>
        <w:tc>
          <w:tcPr>
            <w:tcW w:w="941" w:type="dxa"/>
            <w:shd w:val="clear" w:color="auto" w:fill="auto"/>
            <w:vAlign w:val="center"/>
            <w:hideMark/>
          </w:tcPr>
          <w:p w14:paraId="6A866D9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12 548</w:t>
            </w:r>
          </w:p>
        </w:tc>
        <w:tc>
          <w:tcPr>
            <w:tcW w:w="941" w:type="dxa"/>
            <w:shd w:val="clear" w:color="auto" w:fill="auto"/>
            <w:vAlign w:val="center"/>
            <w:hideMark/>
          </w:tcPr>
          <w:p w14:paraId="42263DA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7 929</w:t>
            </w:r>
          </w:p>
        </w:tc>
        <w:tc>
          <w:tcPr>
            <w:tcW w:w="941" w:type="dxa"/>
            <w:shd w:val="clear" w:color="auto" w:fill="auto"/>
            <w:vAlign w:val="center"/>
            <w:hideMark/>
          </w:tcPr>
          <w:p w14:paraId="5016F6D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10 079</w:t>
            </w:r>
          </w:p>
        </w:tc>
        <w:tc>
          <w:tcPr>
            <w:tcW w:w="941" w:type="dxa"/>
            <w:shd w:val="clear" w:color="auto" w:fill="auto"/>
            <w:vAlign w:val="center"/>
            <w:hideMark/>
          </w:tcPr>
          <w:p w14:paraId="1C07AC0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42 924</w:t>
            </w:r>
          </w:p>
        </w:tc>
        <w:tc>
          <w:tcPr>
            <w:tcW w:w="941" w:type="dxa"/>
            <w:shd w:val="clear" w:color="auto" w:fill="auto"/>
            <w:vAlign w:val="center"/>
            <w:hideMark/>
          </w:tcPr>
          <w:p w14:paraId="6D5E9AC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29 414</w:t>
            </w:r>
          </w:p>
        </w:tc>
        <w:tc>
          <w:tcPr>
            <w:tcW w:w="941" w:type="dxa"/>
            <w:shd w:val="clear" w:color="auto" w:fill="auto"/>
            <w:vAlign w:val="center"/>
            <w:hideMark/>
          </w:tcPr>
          <w:p w14:paraId="616473C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19 665</w:t>
            </w:r>
          </w:p>
        </w:tc>
        <w:tc>
          <w:tcPr>
            <w:tcW w:w="941" w:type="dxa"/>
            <w:shd w:val="clear" w:color="auto" w:fill="auto"/>
            <w:vAlign w:val="center"/>
            <w:hideMark/>
          </w:tcPr>
          <w:p w14:paraId="65BB393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14 899</w:t>
            </w:r>
          </w:p>
        </w:tc>
        <w:tc>
          <w:tcPr>
            <w:tcW w:w="941" w:type="dxa"/>
            <w:shd w:val="clear" w:color="auto" w:fill="auto"/>
            <w:vAlign w:val="center"/>
            <w:hideMark/>
          </w:tcPr>
          <w:p w14:paraId="5A8FDB1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11 153</w:t>
            </w:r>
          </w:p>
        </w:tc>
        <w:tc>
          <w:tcPr>
            <w:tcW w:w="1271" w:type="dxa"/>
            <w:shd w:val="clear" w:color="auto" w:fill="auto"/>
            <w:vAlign w:val="center"/>
            <w:hideMark/>
          </w:tcPr>
          <w:p w14:paraId="5BD4B37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7 088</w:t>
            </w:r>
          </w:p>
        </w:tc>
      </w:tr>
      <w:tr w:rsidR="0053576E" w:rsidRPr="004135FE" w14:paraId="626B321F" w14:textId="77777777" w:rsidTr="00680E37">
        <w:trPr>
          <w:cantSplit/>
          <w:trHeight w:val="227"/>
        </w:trPr>
        <w:tc>
          <w:tcPr>
            <w:tcW w:w="553" w:type="dxa"/>
            <w:vMerge/>
            <w:vAlign w:val="center"/>
            <w:hideMark/>
          </w:tcPr>
          <w:p w14:paraId="4C4F5714"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1ACC881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shd w:val="clear" w:color="auto" w:fill="auto"/>
            <w:vAlign w:val="center"/>
            <w:hideMark/>
          </w:tcPr>
          <w:p w14:paraId="338E7EF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78" w:type="dxa"/>
            <w:shd w:val="clear" w:color="auto" w:fill="auto"/>
            <w:vAlign w:val="center"/>
            <w:hideMark/>
          </w:tcPr>
          <w:p w14:paraId="7CA915E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1 417</w:t>
            </w:r>
          </w:p>
        </w:tc>
        <w:tc>
          <w:tcPr>
            <w:tcW w:w="879" w:type="dxa"/>
            <w:shd w:val="clear" w:color="auto" w:fill="auto"/>
            <w:vAlign w:val="center"/>
            <w:hideMark/>
          </w:tcPr>
          <w:p w14:paraId="7DB93E4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7 073</w:t>
            </w:r>
          </w:p>
        </w:tc>
        <w:tc>
          <w:tcPr>
            <w:tcW w:w="879" w:type="dxa"/>
            <w:shd w:val="clear" w:color="auto" w:fill="auto"/>
            <w:vAlign w:val="center"/>
            <w:hideMark/>
          </w:tcPr>
          <w:p w14:paraId="4696955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8 636</w:t>
            </w:r>
          </w:p>
        </w:tc>
        <w:tc>
          <w:tcPr>
            <w:tcW w:w="941" w:type="dxa"/>
            <w:shd w:val="clear" w:color="auto" w:fill="auto"/>
            <w:vAlign w:val="center"/>
            <w:hideMark/>
          </w:tcPr>
          <w:p w14:paraId="19EBEDF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7 984</w:t>
            </w:r>
          </w:p>
        </w:tc>
        <w:tc>
          <w:tcPr>
            <w:tcW w:w="941" w:type="dxa"/>
            <w:shd w:val="clear" w:color="auto" w:fill="auto"/>
            <w:vAlign w:val="center"/>
            <w:hideMark/>
          </w:tcPr>
          <w:p w14:paraId="0B1501E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3 555</w:t>
            </w:r>
          </w:p>
        </w:tc>
        <w:tc>
          <w:tcPr>
            <w:tcW w:w="941" w:type="dxa"/>
            <w:shd w:val="clear" w:color="auto" w:fill="auto"/>
            <w:vAlign w:val="center"/>
            <w:hideMark/>
          </w:tcPr>
          <w:p w14:paraId="3FF61D2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1 802</w:t>
            </w:r>
          </w:p>
        </w:tc>
        <w:tc>
          <w:tcPr>
            <w:tcW w:w="941" w:type="dxa"/>
            <w:shd w:val="clear" w:color="auto" w:fill="auto"/>
            <w:vAlign w:val="center"/>
            <w:hideMark/>
          </w:tcPr>
          <w:p w14:paraId="5FCA64F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8 511</w:t>
            </w:r>
          </w:p>
        </w:tc>
        <w:tc>
          <w:tcPr>
            <w:tcW w:w="941" w:type="dxa"/>
            <w:shd w:val="clear" w:color="auto" w:fill="auto"/>
            <w:vAlign w:val="center"/>
            <w:hideMark/>
          </w:tcPr>
          <w:p w14:paraId="72916B1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12 976</w:t>
            </w:r>
          </w:p>
        </w:tc>
        <w:tc>
          <w:tcPr>
            <w:tcW w:w="941" w:type="dxa"/>
            <w:shd w:val="clear" w:color="auto" w:fill="auto"/>
            <w:vAlign w:val="center"/>
            <w:hideMark/>
          </w:tcPr>
          <w:p w14:paraId="4FC5629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9 673</w:t>
            </w:r>
          </w:p>
        </w:tc>
        <w:tc>
          <w:tcPr>
            <w:tcW w:w="941" w:type="dxa"/>
            <w:shd w:val="clear" w:color="auto" w:fill="auto"/>
            <w:vAlign w:val="center"/>
            <w:hideMark/>
          </w:tcPr>
          <w:p w14:paraId="6264E93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7 203</w:t>
            </w:r>
          </w:p>
        </w:tc>
        <w:tc>
          <w:tcPr>
            <w:tcW w:w="941" w:type="dxa"/>
            <w:shd w:val="clear" w:color="auto" w:fill="auto"/>
            <w:vAlign w:val="center"/>
            <w:hideMark/>
          </w:tcPr>
          <w:p w14:paraId="5452D39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5 408</w:t>
            </w:r>
          </w:p>
        </w:tc>
        <w:tc>
          <w:tcPr>
            <w:tcW w:w="1271" w:type="dxa"/>
            <w:shd w:val="clear" w:color="auto" w:fill="auto"/>
            <w:vAlign w:val="center"/>
            <w:hideMark/>
          </w:tcPr>
          <w:p w14:paraId="088B488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3 068</w:t>
            </w:r>
          </w:p>
        </w:tc>
      </w:tr>
      <w:tr w:rsidR="0053576E" w:rsidRPr="004135FE" w14:paraId="56B32E65" w14:textId="77777777" w:rsidTr="00680E37">
        <w:trPr>
          <w:cantSplit/>
          <w:trHeight w:val="227"/>
        </w:trPr>
        <w:tc>
          <w:tcPr>
            <w:tcW w:w="553" w:type="dxa"/>
            <w:vMerge/>
            <w:vAlign w:val="center"/>
            <w:hideMark/>
          </w:tcPr>
          <w:p w14:paraId="456EB47D"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430F087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shd w:val="clear" w:color="auto" w:fill="auto"/>
            <w:vAlign w:val="center"/>
            <w:hideMark/>
          </w:tcPr>
          <w:p w14:paraId="32C463A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78" w:type="dxa"/>
            <w:shd w:val="clear" w:color="auto" w:fill="auto"/>
            <w:vAlign w:val="center"/>
            <w:hideMark/>
          </w:tcPr>
          <w:p w14:paraId="333077E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1 621</w:t>
            </w:r>
          </w:p>
        </w:tc>
        <w:tc>
          <w:tcPr>
            <w:tcW w:w="879" w:type="dxa"/>
            <w:shd w:val="clear" w:color="auto" w:fill="auto"/>
            <w:vAlign w:val="center"/>
            <w:hideMark/>
          </w:tcPr>
          <w:p w14:paraId="6575B30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8 035</w:t>
            </w:r>
          </w:p>
        </w:tc>
        <w:tc>
          <w:tcPr>
            <w:tcW w:w="879" w:type="dxa"/>
            <w:shd w:val="clear" w:color="auto" w:fill="auto"/>
            <w:vAlign w:val="center"/>
            <w:hideMark/>
          </w:tcPr>
          <w:p w14:paraId="6F6153D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10 628</w:t>
            </w:r>
          </w:p>
        </w:tc>
        <w:tc>
          <w:tcPr>
            <w:tcW w:w="941" w:type="dxa"/>
            <w:shd w:val="clear" w:color="auto" w:fill="auto"/>
            <w:vAlign w:val="center"/>
            <w:hideMark/>
          </w:tcPr>
          <w:p w14:paraId="03DAC34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9 878</w:t>
            </w:r>
          </w:p>
        </w:tc>
        <w:tc>
          <w:tcPr>
            <w:tcW w:w="941" w:type="dxa"/>
            <w:shd w:val="clear" w:color="auto" w:fill="auto"/>
            <w:vAlign w:val="center"/>
            <w:hideMark/>
          </w:tcPr>
          <w:p w14:paraId="7A81BEE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5 004</w:t>
            </w:r>
          </w:p>
        </w:tc>
        <w:tc>
          <w:tcPr>
            <w:tcW w:w="941" w:type="dxa"/>
            <w:shd w:val="clear" w:color="auto" w:fill="auto"/>
            <w:vAlign w:val="center"/>
            <w:hideMark/>
          </w:tcPr>
          <w:p w14:paraId="5E865EE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4 738</w:t>
            </w:r>
          </w:p>
        </w:tc>
        <w:tc>
          <w:tcPr>
            <w:tcW w:w="941" w:type="dxa"/>
            <w:shd w:val="clear" w:color="auto" w:fill="auto"/>
            <w:vAlign w:val="center"/>
            <w:hideMark/>
          </w:tcPr>
          <w:p w14:paraId="63F4288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19 205</w:t>
            </w:r>
          </w:p>
        </w:tc>
        <w:tc>
          <w:tcPr>
            <w:tcW w:w="941" w:type="dxa"/>
            <w:shd w:val="clear" w:color="auto" w:fill="auto"/>
            <w:vAlign w:val="center"/>
            <w:hideMark/>
          </w:tcPr>
          <w:p w14:paraId="28C37DA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17 300</w:t>
            </w:r>
          </w:p>
        </w:tc>
        <w:tc>
          <w:tcPr>
            <w:tcW w:w="941" w:type="dxa"/>
            <w:shd w:val="clear" w:color="auto" w:fill="auto"/>
            <w:vAlign w:val="center"/>
            <w:hideMark/>
          </w:tcPr>
          <w:p w14:paraId="6EB7B1B3"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12 576</w:t>
            </w:r>
          </w:p>
        </w:tc>
        <w:tc>
          <w:tcPr>
            <w:tcW w:w="941" w:type="dxa"/>
            <w:shd w:val="clear" w:color="auto" w:fill="auto"/>
            <w:vAlign w:val="center"/>
            <w:hideMark/>
          </w:tcPr>
          <w:p w14:paraId="182917EA"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10 276</w:t>
            </w:r>
          </w:p>
        </w:tc>
        <w:tc>
          <w:tcPr>
            <w:tcW w:w="941" w:type="dxa"/>
            <w:shd w:val="clear" w:color="auto" w:fill="auto"/>
            <w:vAlign w:val="center"/>
            <w:hideMark/>
          </w:tcPr>
          <w:p w14:paraId="7B87377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7 669</w:t>
            </w:r>
          </w:p>
        </w:tc>
        <w:tc>
          <w:tcPr>
            <w:tcW w:w="1271" w:type="dxa"/>
            <w:shd w:val="clear" w:color="auto" w:fill="auto"/>
            <w:vAlign w:val="center"/>
            <w:hideMark/>
          </w:tcPr>
          <w:p w14:paraId="0D67805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4 153</w:t>
            </w:r>
          </w:p>
        </w:tc>
      </w:tr>
      <w:tr w:rsidR="0053576E" w:rsidRPr="004135FE" w14:paraId="3DC151D5" w14:textId="77777777" w:rsidTr="00680E37">
        <w:trPr>
          <w:cantSplit/>
          <w:trHeight w:val="227"/>
        </w:trPr>
        <w:tc>
          <w:tcPr>
            <w:tcW w:w="553" w:type="dxa"/>
            <w:vMerge/>
            <w:vAlign w:val="center"/>
            <w:hideMark/>
          </w:tcPr>
          <w:p w14:paraId="3307B9A6"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4A69F0C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shd w:val="clear" w:color="auto" w:fill="auto"/>
            <w:vAlign w:val="center"/>
            <w:hideMark/>
          </w:tcPr>
          <w:p w14:paraId="5D476D4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78" w:type="dxa"/>
            <w:shd w:val="clear" w:color="auto" w:fill="auto"/>
            <w:vAlign w:val="center"/>
            <w:hideMark/>
          </w:tcPr>
          <w:p w14:paraId="1837BB86"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2 091</w:t>
            </w:r>
          </w:p>
        </w:tc>
        <w:tc>
          <w:tcPr>
            <w:tcW w:w="879" w:type="dxa"/>
            <w:shd w:val="clear" w:color="auto" w:fill="auto"/>
            <w:vAlign w:val="center"/>
            <w:hideMark/>
          </w:tcPr>
          <w:p w14:paraId="2D21B3C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7 988</w:t>
            </w:r>
          </w:p>
        </w:tc>
        <w:tc>
          <w:tcPr>
            <w:tcW w:w="879" w:type="dxa"/>
            <w:shd w:val="clear" w:color="auto" w:fill="auto"/>
            <w:vAlign w:val="center"/>
            <w:hideMark/>
          </w:tcPr>
          <w:p w14:paraId="00FAF10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7 948</w:t>
            </w:r>
          </w:p>
        </w:tc>
        <w:tc>
          <w:tcPr>
            <w:tcW w:w="941" w:type="dxa"/>
            <w:shd w:val="clear" w:color="auto" w:fill="auto"/>
            <w:vAlign w:val="center"/>
            <w:hideMark/>
          </w:tcPr>
          <w:p w14:paraId="35FD463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5 946</w:t>
            </w:r>
          </w:p>
        </w:tc>
        <w:tc>
          <w:tcPr>
            <w:tcW w:w="941" w:type="dxa"/>
            <w:shd w:val="clear" w:color="auto" w:fill="auto"/>
            <w:vAlign w:val="center"/>
            <w:hideMark/>
          </w:tcPr>
          <w:p w14:paraId="507AF64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2 582</w:t>
            </w:r>
          </w:p>
        </w:tc>
        <w:tc>
          <w:tcPr>
            <w:tcW w:w="941" w:type="dxa"/>
            <w:shd w:val="clear" w:color="auto" w:fill="auto"/>
            <w:vAlign w:val="center"/>
            <w:hideMark/>
          </w:tcPr>
          <w:p w14:paraId="18461E3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1 310</w:t>
            </w:r>
          </w:p>
        </w:tc>
        <w:tc>
          <w:tcPr>
            <w:tcW w:w="941" w:type="dxa"/>
            <w:shd w:val="clear" w:color="auto" w:fill="auto"/>
            <w:vAlign w:val="center"/>
            <w:hideMark/>
          </w:tcPr>
          <w:p w14:paraId="5501EE7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6 794</w:t>
            </w:r>
          </w:p>
        </w:tc>
        <w:tc>
          <w:tcPr>
            <w:tcW w:w="941" w:type="dxa"/>
            <w:shd w:val="clear" w:color="auto" w:fill="auto"/>
            <w:vAlign w:val="center"/>
            <w:hideMark/>
          </w:tcPr>
          <w:p w14:paraId="4625ED7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9 634</w:t>
            </w:r>
          </w:p>
        </w:tc>
        <w:tc>
          <w:tcPr>
            <w:tcW w:w="941" w:type="dxa"/>
            <w:shd w:val="clear" w:color="auto" w:fill="auto"/>
            <w:vAlign w:val="center"/>
            <w:hideMark/>
          </w:tcPr>
          <w:p w14:paraId="3814152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6 375</w:t>
            </w:r>
          </w:p>
        </w:tc>
        <w:tc>
          <w:tcPr>
            <w:tcW w:w="941" w:type="dxa"/>
            <w:shd w:val="clear" w:color="auto" w:fill="auto"/>
            <w:vAlign w:val="center"/>
            <w:hideMark/>
          </w:tcPr>
          <w:p w14:paraId="757D072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5 358</w:t>
            </w:r>
          </w:p>
        </w:tc>
        <w:tc>
          <w:tcPr>
            <w:tcW w:w="941" w:type="dxa"/>
            <w:shd w:val="clear" w:color="auto" w:fill="auto"/>
            <w:vAlign w:val="center"/>
            <w:hideMark/>
          </w:tcPr>
          <w:p w14:paraId="58878E7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3 691</w:t>
            </w:r>
          </w:p>
        </w:tc>
        <w:tc>
          <w:tcPr>
            <w:tcW w:w="1271" w:type="dxa"/>
            <w:shd w:val="clear" w:color="auto" w:fill="auto"/>
            <w:vAlign w:val="center"/>
            <w:hideMark/>
          </w:tcPr>
          <w:p w14:paraId="637294B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1 745</w:t>
            </w:r>
          </w:p>
        </w:tc>
      </w:tr>
      <w:tr w:rsidR="0053576E" w:rsidRPr="004135FE" w14:paraId="7E7A1F74" w14:textId="77777777" w:rsidTr="00680E37">
        <w:trPr>
          <w:cantSplit/>
          <w:trHeight w:val="227"/>
        </w:trPr>
        <w:tc>
          <w:tcPr>
            <w:tcW w:w="553" w:type="dxa"/>
            <w:vMerge/>
            <w:vAlign w:val="center"/>
            <w:hideMark/>
          </w:tcPr>
          <w:p w14:paraId="3C6D282E"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373" w:type="dxa"/>
            <w:shd w:val="clear" w:color="auto" w:fill="auto"/>
            <w:vAlign w:val="bottom"/>
            <w:hideMark/>
          </w:tcPr>
          <w:p w14:paraId="42AB315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shd w:val="clear" w:color="auto" w:fill="auto"/>
            <w:vAlign w:val="center"/>
            <w:hideMark/>
          </w:tcPr>
          <w:p w14:paraId="3C90E57F"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78" w:type="dxa"/>
            <w:shd w:val="clear" w:color="auto" w:fill="auto"/>
            <w:vAlign w:val="center"/>
            <w:hideMark/>
          </w:tcPr>
          <w:p w14:paraId="1DC0FB87"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2 154</w:t>
            </w:r>
          </w:p>
        </w:tc>
        <w:tc>
          <w:tcPr>
            <w:tcW w:w="879" w:type="dxa"/>
            <w:shd w:val="clear" w:color="auto" w:fill="auto"/>
            <w:vAlign w:val="center"/>
            <w:hideMark/>
          </w:tcPr>
          <w:p w14:paraId="0F7E1AF9"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9 368</w:t>
            </w:r>
          </w:p>
        </w:tc>
        <w:tc>
          <w:tcPr>
            <w:tcW w:w="879" w:type="dxa"/>
            <w:shd w:val="clear" w:color="auto" w:fill="auto"/>
            <w:vAlign w:val="center"/>
            <w:hideMark/>
          </w:tcPr>
          <w:p w14:paraId="73DD8D62"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11 628</w:t>
            </w:r>
          </w:p>
        </w:tc>
        <w:tc>
          <w:tcPr>
            <w:tcW w:w="941" w:type="dxa"/>
            <w:shd w:val="clear" w:color="auto" w:fill="auto"/>
            <w:vAlign w:val="center"/>
            <w:hideMark/>
          </w:tcPr>
          <w:p w14:paraId="1585DB05"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10 247</w:t>
            </w:r>
          </w:p>
        </w:tc>
        <w:tc>
          <w:tcPr>
            <w:tcW w:w="941" w:type="dxa"/>
            <w:shd w:val="clear" w:color="auto" w:fill="auto"/>
            <w:vAlign w:val="center"/>
            <w:hideMark/>
          </w:tcPr>
          <w:p w14:paraId="4B301061"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4 743</w:t>
            </w:r>
          </w:p>
        </w:tc>
        <w:tc>
          <w:tcPr>
            <w:tcW w:w="941" w:type="dxa"/>
            <w:shd w:val="clear" w:color="auto" w:fill="auto"/>
            <w:vAlign w:val="center"/>
            <w:hideMark/>
          </w:tcPr>
          <w:p w14:paraId="0DF1309C"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2 704</w:t>
            </w:r>
          </w:p>
        </w:tc>
        <w:tc>
          <w:tcPr>
            <w:tcW w:w="941" w:type="dxa"/>
            <w:shd w:val="clear" w:color="auto" w:fill="auto"/>
            <w:vAlign w:val="center"/>
            <w:hideMark/>
          </w:tcPr>
          <w:p w14:paraId="78E27C34"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15 123</w:t>
            </w:r>
          </w:p>
        </w:tc>
        <w:tc>
          <w:tcPr>
            <w:tcW w:w="941" w:type="dxa"/>
            <w:shd w:val="clear" w:color="auto" w:fill="auto"/>
            <w:vAlign w:val="center"/>
            <w:hideMark/>
          </w:tcPr>
          <w:p w14:paraId="23C3C530"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20 580</w:t>
            </w:r>
          </w:p>
        </w:tc>
        <w:tc>
          <w:tcPr>
            <w:tcW w:w="941" w:type="dxa"/>
            <w:shd w:val="clear" w:color="auto" w:fill="auto"/>
            <w:vAlign w:val="center"/>
            <w:hideMark/>
          </w:tcPr>
          <w:p w14:paraId="2870844D"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15 156</w:t>
            </w:r>
          </w:p>
        </w:tc>
        <w:tc>
          <w:tcPr>
            <w:tcW w:w="941" w:type="dxa"/>
            <w:shd w:val="clear" w:color="auto" w:fill="auto"/>
            <w:vAlign w:val="center"/>
            <w:hideMark/>
          </w:tcPr>
          <w:p w14:paraId="7F904AD8"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11 425</w:t>
            </w:r>
          </w:p>
        </w:tc>
        <w:tc>
          <w:tcPr>
            <w:tcW w:w="941" w:type="dxa"/>
            <w:shd w:val="clear" w:color="auto" w:fill="auto"/>
            <w:vAlign w:val="center"/>
            <w:hideMark/>
          </w:tcPr>
          <w:p w14:paraId="5D944E9B"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9 163</w:t>
            </w:r>
          </w:p>
        </w:tc>
        <w:tc>
          <w:tcPr>
            <w:tcW w:w="1271" w:type="dxa"/>
            <w:shd w:val="clear" w:color="auto" w:fill="auto"/>
            <w:vAlign w:val="center"/>
            <w:hideMark/>
          </w:tcPr>
          <w:p w14:paraId="1D98802E" w14:textId="77777777" w:rsidR="0053576E" w:rsidRPr="004135FE" w:rsidRDefault="0053576E" w:rsidP="004135FE">
            <w:pPr>
              <w:spacing w:after="0" w:line="240" w:lineRule="auto"/>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4 468</w:t>
            </w:r>
          </w:p>
        </w:tc>
      </w:tr>
    </w:tbl>
    <w:p w14:paraId="66106842" w14:textId="77777777" w:rsidR="00680E37" w:rsidRDefault="00680E37" w:rsidP="004135FE">
      <w:pPr>
        <w:spacing w:after="0" w:line="240" w:lineRule="auto"/>
        <w:jc w:val="both"/>
        <w:rPr>
          <w:rFonts w:ascii="Times New Roman" w:hAnsi="Times New Roman" w:cs="Times New Roman"/>
          <w:sz w:val="28"/>
          <w:szCs w:val="28"/>
        </w:rPr>
      </w:pPr>
    </w:p>
    <w:p w14:paraId="0C0B1A09" w14:textId="5482298A" w:rsidR="0053576E" w:rsidRDefault="00B728EF"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Таблица </w:t>
      </w:r>
      <w:r w:rsidR="00680E37">
        <w:rPr>
          <w:rFonts w:ascii="Times New Roman" w:hAnsi="Times New Roman" w:cs="Times New Roman"/>
          <w:sz w:val="28"/>
          <w:szCs w:val="28"/>
        </w:rPr>
        <w:t>А7</w:t>
      </w:r>
      <w:r w:rsidR="0053576E" w:rsidRPr="004135FE">
        <w:rPr>
          <w:rFonts w:ascii="Times New Roman" w:hAnsi="Times New Roman" w:cs="Times New Roman"/>
          <w:sz w:val="28"/>
          <w:szCs w:val="28"/>
        </w:rPr>
        <w:t>- Поло-возрастная распространенность СД2т среди женщин по районам г</w:t>
      </w:r>
      <w:r w:rsidR="00680E37">
        <w:rPr>
          <w:rFonts w:ascii="Times New Roman" w:hAnsi="Times New Roman" w:cs="Times New Roman"/>
          <w:sz w:val="28"/>
          <w:szCs w:val="28"/>
        </w:rPr>
        <w:t xml:space="preserve">. </w:t>
      </w:r>
      <w:r w:rsidR="0053576E" w:rsidRPr="004135FE">
        <w:rPr>
          <w:rFonts w:ascii="Times New Roman" w:hAnsi="Times New Roman" w:cs="Times New Roman"/>
          <w:sz w:val="28"/>
          <w:szCs w:val="28"/>
        </w:rPr>
        <w:t>Алматы</w:t>
      </w:r>
    </w:p>
    <w:p w14:paraId="6B740AC8" w14:textId="77777777" w:rsidR="00680E37" w:rsidRPr="004135FE" w:rsidRDefault="00680E37" w:rsidP="004135FE">
      <w:pPr>
        <w:spacing w:after="0" w:line="240" w:lineRule="auto"/>
        <w:jc w:val="both"/>
        <w:rPr>
          <w:rFonts w:ascii="Times New Roman" w:hAnsi="Times New Roman" w:cs="Times New Roman"/>
          <w:sz w:val="28"/>
          <w:szCs w:val="28"/>
        </w:rPr>
      </w:pPr>
    </w:p>
    <w:tbl>
      <w:tblPr>
        <w:tblW w:w="14884" w:type="dxa"/>
        <w:tblInd w:w="-5" w:type="dxa"/>
        <w:tblLook w:val="04A0" w:firstRow="1" w:lastRow="0" w:firstColumn="1" w:lastColumn="0" w:noHBand="0" w:noVBand="1"/>
      </w:tblPr>
      <w:tblGrid>
        <w:gridCol w:w="569"/>
        <w:gridCol w:w="484"/>
        <w:gridCol w:w="2098"/>
        <w:gridCol w:w="875"/>
        <w:gridCol w:w="792"/>
        <w:gridCol w:w="802"/>
        <w:gridCol w:w="967"/>
        <w:gridCol w:w="1077"/>
        <w:gridCol w:w="968"/>
        <w:gridCol w:w="968"/>
        <w:gridCol w:w="1076"/>
        <w:gridCol w:w="1077"/>
        <w:gridCol w:w="1077"/>
        <w:gridCol w:w="967"/>
        <w:gridCol w:w="1087"/>
      </w:tblGrid>
      <w:tr w:rsidR="0053576E" w:rsidRPr="004135FE" w14:paraId="37CCEF83" w14:textId="77777777" w:rsidTr="00680E37">
        <w:trPr>
          <w:cantSplit/>
          <w:trHeight w:val="134"/>
        </w:trPr>
        <w:tc>
          <w:tcPr>
            <w:tcW w:w="569" w:type="dxa"/>
            <w:tcBorders>
              <w:top w:val="single" w:sz="4" w:space="0" w:color="auto"/>
              <w:left w:val="single" w:sz="4" w:space="0" w:color="auto"/>
              <w:bottom w:val="single" w:sz="4" w:space="0" w:color="auto"/>
              <w:right w:val="single" w:sz="4" w:space="0" w:color="auto"/>
            </w:tcBorders>
            <w:shd w:val="clear" w:color="auto" w:fill="auto"/>
            <w:noWrap/>
            <w:textDirection w:val="btLr"/>
            <w:hideMark/>
          </w:tcPr>
          <w:p w14:paraId="20F27814"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tcBorders>
              <w:top w:val="single" w:sz="4" w:space="0" w:color="auto"/>
              <w:left w:val="nil"/>
              <w:bottom w:val="single" w:sz="4" w:space="0" w:color="auto"/>
              <w:right w:val="single" w:sz="4" w:space="0" w:color="auto"/>
            </w:tcBorders>
            <w:shd w:val="clear" w:color="auto" w:fill="auto"/>
            <w:hideMark/>
          </w:tcPr>
          <w:p w14:paraId="10F56292"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w:t>
            </w:r>
          </w:p>
        </w:tc>
        <w:tc>
          <w:tcPr>
            <w:tcW w:w="2098" w:type="dxa"/>
            <w:tcBorders>
              <w:top w:val="single" w:sz="4" w:space="0" w:color="auto"/>
              <w:left w:val="nil"/>
              <w:bottom w:val="single" w:sz="4" w:space="0" w:color="auto"/>
              <w:right w:val="single" w:sz="4" w:space="0" w:color="auto"/>
            </w:tcBorders>
            <w:shd w:val="clear" w:color="auto" w:fill="auto"/>
            <w:hideMark/>
          </w:tcPr>
          <w:p w14:paraId="30D34392"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район</w:t>
            </w:r>
          </w:p>
        </w:tc>
        <w:tc>
          <w:tcPr>
            <w:tcW w:w="875" w:type="dxa"/>
            <w:tcBorders>
              <w:top w:val="single" w:sz="4" w:space="0" w:color="auto"/>
              <w:left w:val="nil"/>
              <w:bottom w:val="single" w:sz="4" w:space="0" w:color="auto"/>
              <w:right w:val="single" w:sz="4" w:space="0" w:color="auto"/>
            </w:tcBorders>
            <w:shd w:val="clear" w:color="auto" w:fill="auto"/>
            <w:hideMark/>
          </w:tcPr>
          <w:p w14:paraId="33D40B49"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0-1 год</w:t>
            </w:r>
          </w:p>
        </w:tc>
        <w:tc>
          <w:tcPr>
            <w:tcW w:w="792" w:type="dxa"/>
            <w:tcBorders>
              <w:top w:val="single" w:sz="4" w:space="0" w:color="auto"/>
              <w:left w:val="nil"/>
              <w:bottom w:val="single" w:sz="4" w:space="0" w:color="auto"/>
              <w:right w:val="single" w:sz="4" w:space="0" w:color="auto"/>
            </w:tcBorders>
            <w:shd w:val="clear" w:color="auto" w:fill="auto"/>
            <w:hideMark/>
          </w:tcPr>
          <w:p w14:paraId="68C1C1CA"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год</w:t>
            </w:r>
          </w:p>
        </w:tc>
        <w:tc>
          <w:tcPr>
            <w:tcW w:w="802" w:type="dxa"/>
            <w:tcBorders>
              <w:top w:val="single" w:sz="4" w:space="0" w:color="auto"/>
              <w:left w:val="nil"/>
              <w:bottom w:val="single" w:sz="4" w:space="0" w:color="auto"/>
              <w:right w:val="single" w:sz="4" w:space="0" w:color="auto"/>
            </w:tcBorders>
            <w:shd w:val="clear" w:color="auto" w:fill="auto"/>
            <w:hideMark/>
          </w:tcPr>
          <w:p w14:paraId="6C344D27"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5-9 лет</w:t>
            </w:r>
          </w:p>
        </w:tc>
        <w:tc>
          <w:tcPr>
            <w:tcW w:w="967" w:type="dxa"/>
            <w:tcBorders>
              <w:top w:val="single" w:sz="4" w:space="0" w:color="auto"/>
              <w:left w:val="nil"/>
              <w:bottom w:val="single" w:sz="4" w:space="0" w:color="auto"/>
              <w:right w:val="single" w:sz="4" w:space="0" w:color="auto"/>
            </w:tcBorders>
            <w:shd w:val="clear" w:color="auto" w:fill="auto"/>
            <w:hideMark/>
          </w:tcPr>
          <w:p w14:paraId="2D80CB27"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10-14лет</w:t>
            </w:r>
          </w:p>
        </w:tc>
        <w:tc>
          <w:tcPr>
            <w:tcW w:w="1077" w:type="dxa"/>
            <w:tcBorders>
              <w:top w:val="single" w:sz="4" w:space="0" w:color="auto"/>
              <w:left w:val="nil"/>
              <w:bottom w:val="single" w:sz="4" w:space="0" w:color="auto"/>
              <w:right w:val="single" w:sz="4" w:space="0" w:color="auto"/>
            </w:tcBorders>
            <w:shd w:val="clear" w:color="auto" w:fill="auto"/>
            <w:hideMark/>
          </w:tcPr>
          <w:p w14:paraId="40FE65EB"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15-17лет</w:t>
            </w:r>
          </w:p>
        </w:tc>
        <w:tc>
          <w:tcPr>
            <w:tcW w:w="968" w:type="dxa"/>
            <w:tcBorders>
              <w:top w:val="single" w:sz="4" w:space="0" w:color="auto"/>
              <w:left w:val="nil"/>
              <w:bottom w:val="single" w:sz="4" w:space="0" w:color="auto"/>
              <w:right w:val="single" w:sz="4" w:space="0" w:color="auto"/>
            </w:tcBorders>
            <w:shd w:val="clear" w:color="auto" w:fill="auto"/>
            <w:hideMark/>
          </w:tcPr>
          <w:p w14:paraId="7A98BE89"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18-19лет</w:t>
            </w:r>
          </w:p>
        </w:tc>
        <w:tc>
          <w:tcPr>
            <w:tcW w:w="968" w:type="dxa"/>
            <w:tcBorders>
              <w:top w:val="single" w:sz="4" w:space="0" w:color="auto"/>
              <w:left w:val="nil"/>
              <w:bottom w:val="single" w:sz="4" w:space="0" w:color="auto"/>
              <w:right w:val="single" w:sz="4" w:space="0" w:color="auto"/>
            </w:tcBorders>
            <w:shd w:val="clear" w:color="auto" w:fill="auto"/>
            <w:hideMark/>
          </w:tcPr>
          <w:p w14:paraId="50D289A0"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20-29лет</w:t>
            </w:r>
          </w:p>
        </w:tc>
        <w:tc>
          <w:tcPr>
            <w:tcW w:w="1076" w:type="dxa"/>
            <w:tcBorders>
              <w:top w:val="single" w:sz="4" w:space="0" w:color="auto"/>
              <w:left w:val="nil"/>
              <w:bottom w:val="single" w:sz="4" w:space="0" w:color="auto"/>
              <w:right w:val="single" w:sz="4" w:space="0" w:color="auto"/>
            </w:tcBorders>
            <w:shd w:val="clear" w:color="auto" w:fill="auto"/>
            <w:hideMark/>
          </w:tcPr>
          <w:p w14:paraId="37F6A2B5"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30-39лет</w:t>
            </w:r>
          </w:p>
        </w:tc>
        <w:tc>
          <w:tcPr>
            <w:tcW w:w="1077" w:type="dxa"/>
            <w:tcBorders>
              <w:top w:val="single" w:sz="4" w:space="0" w:color="auto"/>
              <w:left w:val="nil"/>
              <w:bottom w:val="single" w:sz="4" w:space="0" w:color="auto"/>
              <w:right w:val="single" w:sz="4" w:space="0" w:color="auto"/>
            </w:tcBorders>
            <w:shd w:val="clear" w:color="auto" w:fill="auto"/>
            <w:hideMark/>
          </w:tcPr>
          <w:p w14:paraId="0BCCBC98"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40-49лет</w:t>
            </w:r>
          </w:p>
        </w:tc>
        <w:tc>
          <w:tcPr>
            <w:tcW w:w="1077" w:type="dxa"/>
            <w:tcBorders>
              <w:top w:val="single" w:sz="4" w:space="0" w:color="auto"/>
              <w:left w:val="nil"/>
              <w:bottom w:val="single" w:sz="4" w:space="0" w:color="auto"/>
              <w:right w:val="single" w:sz="4" w:space="0" w:color="auto"/>
            </w:tcBorders>
            <w:shd w:val="clear" w:color="auto" w:fill="auto"/>
            <w:hideMark/>
          </w:tcPr>
          <w:p w14:paraId="486BC798"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50-59лет</w:t>
            </w:r>
          </w:p>
        </w:tc>
        <w:tc>
          <w:tcPr>
            <w:tcW w:w="967" w:type="dxa"/>
            <w:tcBorders>
              <w:top w:val="single" w:sz="4" w:space="0" w:color="auto"/>
              <w:left w:val="nil"/>
              <w:bottom w:val="single" w:sz="4" w:space="0" w:color="auto"/>
              <w:right w:val="single" w:sz="4" w:space="0" w:color="auto"/>
            </w:tcBorders>
            <w:shd w:val="clear" w:color="auto" w:fill="auto"/>
            <w:hideMark/>
          </w:tcPr>
          <w:p w14:paraId="69D4EAC8"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60-69лет</w:t>
            </w:r>
          </w:p>
        </w:tc>
        <w:tc>
          <w:tcPr>
            <w:tcW w:w="1087" w:type="dxa"/>
            <w:tcBorders>
              <w:top w:val="single" w:sz="4" w:space="0" w:color="auto"/>
              <w:left w:val="nil"/>
              <w:bottom w:val="single" w:sz="4" w:space="0" w:color="auto"/>
              <w:right w:val="single" w:sz="4" w:space="0" w:color="auto"/>
            </w:tcBorders>
            <w:shd w:val="clear" w:color="auto" w:fill="auto"/>
            <w:hideMark/>
          </w:tcPr>
          <w:p w14:paraId="283FEF52"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70 и старше</w:t>
            </w:r>
          </w:p>
        </w:tc>
      </w:tr>
      <w:tr w:rsidR="0053576E" w:rsidRPr="004135FE" w14:paraId="2BBB6A63" w14:textId="77777777" w:rsidTr="00680E37">
        <w:trPr>
          <w:trHeight w:val="20"/>
        </w:trPr>
        <w:tc>
          <w:tcPr>
            <w:tcW w:w="569" w:type="dxa"/>
            <w:vMerge w:val="restart"/>
            <w:tcBorders>
              <w:top w:val="nil"/>
              <w:left w:val="single" w:sz="4" w:space="0" w:color="auto"/>
              <w:bottom w:val="single" w:sz="4" w:space="0" w:color="000000"/>
              <w:right w:val="single" w:sz="4" w:space="0" w:color="auto"/>
            </w:tcBorders>
            <w:shd w:val="clear" w:color="auto" w:fill="auto"/>
            <w:noWrap/>
            <w:textDirection w:val="btLr"/>
            <w:hideMark/>
          </w:tcPr>
          <w:p w14:paraId="4C0D3C72"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2012год</w:t>
            </w:r>
          </w:p>
        </w:tc>
        <w:tc>
          <w:tcPr>
            <w:tcW w:w="484" w:type="dxa"/>
            <w:tcBorders>
              <w:top w:val="nil"/>
              <w:left w:val="nil"/>
              <w:bottom w:val="single" w:sz="4" w:space="0" w:color="auto"/>
              <w:right w:val="single" w:sz="4" w:space="0" w:color="auto"/>
            </w:tcBorders>
            <w:shd w:val="clear" w:color="auto" w:fill="auto"/>
            <w:hideMark/>
          </w:tcPr>
          <w:p w14:paraId="32D4C2A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tcBorders>
              <w:top w:val="nil"/>
              <w:left w:val="nil"/>
              <w:bottom w:val="single" w:sz="4" w:space="0" w:color="auto"/>
              <w:right w:val="single" w:sz="4" w:space="0" w:color="auto"/>
            </w:tcBorders>
            <w:shd w:val="clear" w:color="auto" w:fill="auto"/>
            <w:hideMark/>
          </w:tcPr>
          <w:p w14:paraId="273D117C"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75" w:type="dxa"/>
            <w:tcBorders>
              <w:top w:val="nil"/>
              <w:left w:val="nil"/>
              <w:bottom w:val="single" w:sz="4" w:space="0" w:color="auto"/>
              <w:right w:val="single" w:sz="4" w:space="0" w:color="auto"/>
            </w:tcBorders>
            <w:shd w:val="clear" w:color="auto" w:fill="auto"/>
            <w:hideMark/>
          </w:tcPr>
          <w:p w14:paraId="6CD4831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1 708</w:t>
            </w:r>
          </w:p>
        </w:tc>
        <w:tc>
          <w:tcPr>
            <w:tcW w:w="792" w:type="dxa"/>
            <w:tcBorders>
              <w:top w:val="nil"/>
              <w:left w:val="nil"/>
              <w:bottom w:val="single" w:sz="4" w:space="0" w:color="auto"/>
              <w:right w:val="single" w:sz="4" w:space="0" w:color="auto"/>
            </w:tcBorders>
            <w:shd w:val="clear" w:color="auto" w:fill="auto"/>
            <w:hideMark/>
          </w:tcPr>
          <w:p w14:paraId="2FB5AFF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10 595</w:t>
            </w:r>
          </w:p>
        </w:tc>
        <w:tc>
          <w:tcPr>
            <w:tcW w:w="802" w:type="dxa"/>
            <w:tcBorders>
              <w:top w:val="nil"/>
              <w:left w:val="nil"/>
              <w:bottom w:val="single" w:sz="4" w:space="0" w:color="auto"/>
              <w:right w:val="single" w:sz="4" w:space="0" w:color="auto"/>
            </w:tcBorders>
            <w:shd w:val="clear" w:color="auto" w:fill="auto"/>
            <w:hideMark/>
          </w:tcPr>
          <w:p w14:paraId="682B9F5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10 705</w:t>
            </w:r>
          </w:p>
        </w:tc>
        <w:tc>
          <w:tcPr>
            <w:tcW w:w="967" w:type="dxa"/>
            <w:tcBorders>
              <w:top w:val="nil"/>
              <w:left w:val="nil"/>
              <w:bottom w:val="single" w:sz="4" w:space="0" w:color="auto"/>
              <w:right w:val="single" w:sz="4" w:space="0" w:color="auto"/>
            </w:tcBorders>
            <w:shd w:val="clear" w:color="auto" w:fill="auto"/>
            <w:hideMark/>
          </w:tcPr>
          <w:p w14:paraId="6C8DCBC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7 925</w:t>
            </w:r>
          </w:p>
        </w:tc>
        <w:tc>
          <w:tcPr>
            <w:tcW w:w="1077" w:type="dxa"/>
            <w:tcBorders>
              <w:top w:val="nil"/>
              <w:left w:val="nil"/>
              <w:bottom w:val="single" w:sz="4" w:space="0" w:color="auto"/>
              <w:right w:val="single" w:sz="4" w:space="0" w:color="auto"/>
            </w:tcBorders>
            <w:shd w:val="clear" w:color="auto" w:fill="auto"/>
            <w:hideMark/>
          </w:tcPr>
          <w:p w14:paraId="16CFDAC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2 355</w:t>
            </w:r>
          </w:p>
        </w:tc>
        <w:tc>
          <w:tcPr>
            <w:tcW w:w="968" w:type="dxa"/>
            <w:tcBorders>
              <w:top w:val="nil"/>
              <w:left w:val="nil"/>
              <w:bottom w:val="single" w:sz="4" w:space="0" w:color="auto"/>
              <w:right w:val="single" w:sz="4" w:space="0" w:color="auto"/>
            </w:tcBorders>
            <w:shd w:val="clear" w:color="auto" w:fill="auto"/>
            <w:hideMark/>
          </w:tcPr>
          <w:p w14:paraId="3F08C86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1 640</w:t>
            </w:r>
          </w:p>
        </w:tc>
        <w:tc>
          <w:tcPr>
            <w:tcW w:w="968" w:type="dxa"/>
            <w:tcBorders>
              <w:top w:val="nil"/>
              <w:left w:val="nil"/>
              <w:bottom w:val="single" w:sz="4" w:space="0" w:color="auto"/>
              <w:right w:val="single" w:sz="4" w:space="0" w:color="auto"/>
            </w:tcBorders>
            <w:shd w:val="clear" w:color="auto" w:fill="auto"/>
            <w:hideMark/>
          </w:tcPr>
          <w:p w14:paraId="4EFCF58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16 894</w:t>
            </w:r>
          </w:p>
        </w:tc>
        <w:tc>
          <w:tcPr>
            <w:tcW w:w="1076" w:type="dxa"/>
            <w:tcBorders>
              <w:top w:val="nil"/>
              <w:left w:val="nil"/>
              <w:bottom w:val="single" w:sz="4" w:space="0" w:color="auto"/>
              <w:right w:val="single" w:sz="4" w:space="0" w:color="auto"/>
            </w:tcBorders>
            <w:shd w:val="clear" w:color="auto" w:fill="auto"/>
            <w:hideMark/>
          </w:tcPr>
          <w:p w14:paraId="59641B4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20 363</w:t>
            </w:r>
          </w:p>
        </w:tc>
        <w:tc>
          <w:tcPr>
            <w:tcW w:w="1077" w:type="dxa"/>
            <w:tcBorders>
              <w:top w:val="nil"/>
              <w:left w:val="nil"/>
              <w:bottom w:val="single" w:sz="4" w:space="0" w:color="auto"/>
              <w:right w:val="single" w:sz="4" w:space="0" w:color="auto"/>
            </w:tcBorders>
            <w:shd w:val="clear" w:color="auto" w:fill="auto"/>
            <w:hideMark/>
          </w:tcPr>
          <w:p w14:paraId="7077477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16 286</w:t>
            </w:r>
          </w:p>
        </w:tc>
        <w:tc>
          <w:tcPr>
            <w:tcW w:w="1077" w:type="dxa"/>
            <w:tcBorders>
              <w:top w:val="nil"/>
              <w:left w:val="nil"/>
              <w:bottom w:val="single" w:sz="4" w:space="0" w:color="auto"/>
              <w:right w:val="single" w:sz="4" w:space="0" w:color="auto"/>
            </w:tcBorders>
            <w:shd w:val="clear" w:color="auto" w:fill="auto"/>
            <w:hideMark/>
          </w:tcPr>
          <w:p w14:paraId="2AFD5D7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16 131</w:t>
            </w:r>
          </w:p>
        </w:tc>
        <w:tc>
          <w:tcPr>
            <w:tcW w:w="967" w:type="dxa"/>
            <w:tcBorders>
              <w:top w:val="nil"/>
              <w:left w:val="nil"/>
              <w:bottom w:val="single" w:sz="4" w:space="0" w:color="auto"/>
              <w:right w:val="single" w:sz="4" w:space="0" w:color="auto"/>
            </w:tcBorders>
            <w:shd w:val="clear" w:color="auto" w:fill="auto"/>
            <w:hideMark/>
          </w:tcPr>
          <w:p w14:paraId="54F6C7B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11 020</w:t>
            </w:r>
          </w:p>
        </w:tc>
        <w:tc>
          <w:tcPr>
            <w:tcW w:w="1087" w:type="dxa"/>
            <w:tcBorders>
              <w:top w:val="nil"/>
              <w:left w:val="nil"/>
              <w:bottom w:val="single" w:sz="4" w:space="0" w:color="auto"/>
              <w:right w:val="single" w:sz="4" w:space="0" w:color="auto"/>
            </w:tcBorders>
            <w:shd w:val="clear" w:color="auto" w:fill="auto"/>
            <w:hideMark/>
          </w:tcPr>
          <w:p w14:paraId="1A578CA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14 439</w:t>
            </w:r>
          </w:p>
        </w:tc>
      </w:tr>
      <w:tr w:rsidR="0053576E" w:rsidRPr="004135FE" w14:paraId="51510AF9" w14:textId="77777777" w:rsidTr="00680E37">
        <w:trPr>
          <w:trHeight w:val="20"/>
        </w:trPr>
        <w:tc>
          <w:tcPr>
            <w:tcW w:w="569" w:type="dxa"/>
            <w:vMerge/>
            <w:tcBorders>
              <w:top w:val="nil"/>
              <w:left w:val="single" w:sz="4" w:space="0" w:color="auto"/>
              <w:bottom w:val="single" w:sz="4" w:space="0" w:color="000000"/>
              <w:right w:val="single" w:sz="4" w:space="0" w:color="auto"/>
            </w:tcBorders>
            <w:textDirection w:val="btLr"/>
            <w:hideMark/>
          </w:tcPr>
          <w:p w14:paraId="4FED26A4"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tcBorders>
              <w:top w:val="nil"/>
              <w:left w:val="nil"/>
              <w:bottom w:val="single" w:sz="4" w:space="0" w:color="auto"/>
              <w:right w:val="single" w:sz="4" w:space="0" w:color="auto"/>
            </w:tcBorders>
            <w:shd w:val="clear" w:color="auto" w:fill="auto"/>
            <w:hideMark/>
          </w:tcPr>
          <w:p w14:paraId="57F030C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tcBorders>
              <w:top w:val="nil"/>
              <w:left w:val="nil"/>
              <w:bottom w:val="single" w:sz="4" w:space="0" w:color="auto"/>
              <w:right w:val="single" w:sz="4" w:space="0" w:color="auto"/>
            </w:tcBorders>
            <w:shd w:val="clear" w:color="auto" w:fill="auto"/>
            <w:hideMark/>
          </w:tcPr>
          <w:p w14:paraId="348C1BE9"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75" w:type="dxa"/>
            <w:tcBorders>
              <w:top w:val="nil"/>
              <w:left w:val="nil"/>
              <w:bottom w:val="single" w:sz="4" w:space="0" w:color="auto"/>
              <w:right w:val="single" w:sz="4" w:space="0" w:color="auto"/>
            </w:tcBorders>
            <w:shd w:val="clear" w:color="auto" w:fill="auto"/>
            <w:hideMark/>
          </w:tcPr>
          <w:p w14:paraId="7E17766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866</w:t>
            </w:r>
          </w:p>
        </w:tc>
        <w:tc>
          <w:tcPr>
            <w:tcW w:w="792" w:type="dxa"/>
            <w:tcBorders>
              <w:top w:val="nil"/>
              <w:left w:val="nil"/>
              <w:bottom w:val="single" w:sz="4" w:space="0" w:color="auto"/>
              <w:right w:val="single" w:sz="4" w:space="0" w:color="auto"/>
            </w:tcBorders>
            <w:shd w:val="clear" w:color="auto" w:fill="auto"/>
            <w:hideMark/>
          </w:tcPr>
          <w:p w14:paraId="65267FE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7 773</w:t>
            </w:r>
          </w:p>
        </w:tc>
        <w:tc>
          <w:tcPr>
            <w:tcW w:w="802" w:type="dxa"/>
            <w:tcBorders>
              <w:top w:val="nil"/>
              <w:left w:val="nil"/>
              <w:bottom w:val="single" w:sz="4" w:space="0" w:color="auto"/>
              <w:right w:val="single" w:sz="4" w:space="0" w:color="auto"/>
            </w:tcBorders>
            <w:shd w:val="clear" w:color="auto" w:fill="auto"/>
            <w:hideMark/>
          </w:tcPr>
          <w:p w14:paraId="110567C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3 643</w:t>
            </w:r>
          </w:p>
        </w:tc>
        <w:tc>
          <w:tcPr>
            <w:tcW w:w="967" w:type="dxa"/>
            <w:tcBorders>
              <w:top w:val="nil"/>
              <w:left w:val="nil"/>
              <w:bottom w:val="single" w:sz="4" w:space="0" w:color="auto"/>
              <w:right w:val="single" w:sz="4" w:space="0" w:color="auto"/>
            </w:tcBorders>
            <w:shd w:val="clear" w:color="auto" w:fill="auto"/>
            <w:hideMark/>
          </w:tcPr>
          <w:p w14:paraId="176C2E1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2 094</w:t>
            </w:r>
          </w:p>
        </w:tc>
        <w:tc>
          <w:tcPr>
            <w:tcW w:w="1077" w:type="dxa"/>
            <w:tcBorders>
              <w:top w:val="nil"/>
              <w:left w:val="nil"/>
              <w:bottom w:val="single" w:sz="4" w:space="0" w:color="auto"/>
              <w:right w:val="single" w:sz="4" w:space="0" w:color="auto"/>
            </w:tcBorders>
            <w:shd w:val="clear" w:color="auto" w:fill="auto"/>
            <w:hideMark/>
          </w:tcPr>
          <w:p w14:paraId="2C31038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2 156</w:t>
            </w:r>
          </w:p>
        </w:tc>
        <w:tc>
          <w:tcPr>
            <w:tcW w:w="968" w:type="dxa"/>
            <w:tcBorders>
              <w:top w:val="nil"/>
              <w:left w:val="nil"/>
              <w:bottom w:val="single" w:sz="4" w:space="0" w:color="auto"/>
              <w:right w:val="single" w:sz="4" w:space="0" w:color="auto"/>
            </w:tcBorders>
            <w:shd w:val="clear" w:color="auto" w:fill="auto"/>
            <w:hideMark/>
          </w:tcPr>
          <w:p w14:paraId="6F61C78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1 395</w:t>
            </w:r>
          </w:p>
        </w:tc>
        <w:tc>
          <w:tcPr>
            <w:tcW w:w="968" w:type="dxa"/>
            <w:tcBorders>
              <w:top w:val="nil"/>
              <w:left w:val="nil"/>
              <w:bottom w:val="single" w:sz="4" w:space="0" w:color="auto"/>
              <w:right w:val="single" w:sz="4" w:space="0" w:color="auto"/>
            </w:tcBorders>
            <w:shd w:val="clear" w:color="auto" w:fill="auto"/>
            <w:hideMark/>
          </w:tcPr>
          <w:p w14:paraId="152FA22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12 637</w:t>
            </w:r>
          </w:p>
        </w:tc>
        <w:tc>
          <w:tcPr>
            <w:tcW w:w="1076" w:type="dxa"/>
            <w:tcBorders>
              <w:top w:val="nil"/>
              <w:left w:val="nil"/>
              <w:bottom w:val="single" w:sz="4" w:space="0" w:color="auto"/>
              <w:right w:val="single" w:sz="4" w:space="0" w:color="auto"/>
            </w:tcBorders>
            <w:shd w:val="clear" w:color="auto" w:fill="auto"/>
            <w:hideMark/>
          </w:tcPr>
          <w:p w14:paraId="5F6CFA4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11 869</w:t>
            </w:r>
          </w:p>
        </w:tc>
        <w:tc>
          <w:tcPr>
            <w:tcW w:w="1077" w:type="dxa"/>
            <w:tcBorders>
              <w:top w:val="nil"/>
              <w:left w:val="nil"/>
              <w:bottom w:val="single" w:sz="4" w:space="0" w:color="auto"/>
              <w:right w:val="single" w:sz="4" w:space="0" w:color="auto"/>
            </w:tcBorders>
            <w:shd w:val="clear" w:color="auto" w:fill="auto"/>
            <w:hideMark/>
          </w:tcPr>
          <w:p w14:paraId="72CB3C0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7 524</w:t>
            </w:r>
          </w:p>
        </w:tc>
        <w:tc>
          <w:tcPr>
            <w:tcW w:w="1077" w:type="dxa"/>
            <w:tcBorders>
              <w:top w:val="nil"/>
              <w:left w:val="nil"/>
              <w:bottom w:val="single" w:sz="4" w:space="0" w:color="auto"/>
              <w:right w:val="single" w:sz="4" w:space="0" w:color="auto"/>
            </w:tcBorders>
            <w:shd w:val="clear" w:color="auto" w:fill="auto"/>
            <w:hideMark/>
          </w:tcPr>
          <w:p w14:paraId="79CAD37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5 822</w:t>
            </w:r>
          </w:p>
        </w:tc>
        <w:tc>
          <w:tcPr>
            <w:tcW w:w="967" w:type="dxa"/>
            <w:tcBorders>
              <w:top w:val="nil"/>
              <w:left w:val="nil"/>
              <w:bottom w:val="single" w:sz="4" w:space="0" w:color="auto"/>
              <w:right w:val="single" w:sz="4" w:space="0" w:color="auto"/>
            </w:tcBorders>
            <w:shd w:val="clear" w:color="auto" w:fill="auto"/>
            <w:hideMark/>
          </w:tcPr>
          <w:p w14:paraId="7520B22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2 467</w:t>
            </w:r>
          </w:p>
        </w:tc>
        <w:tc>
          <w:tcPr>
            <w:tcW w:w="1087" w:type="dxa"/>
            <w:tcBorders>
              <w:top w:val="nil"/>
              <w:left w:val="nil"/>
              <w:bottom w:val="single" w:sz="4" w:space="0" w:color="auto"/>
              <w:right w:val="single" w:sz="4" w:space="0" w:color="auto"/>
            </w:tcBorders>
            <w:shd w:val="clear" w:color="auto" w:fill="auto"/>
            <w:hideMark/>
          </w:tcPr>
          <w:p w14:paraId="0260A97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2 057</w:t>
            </w:r>
          </w:p>
        </w:tc>
      </w:tr>
      <w:tr w:rsidR="0053576E" w:rsidRPr="004135FE" w14:paraId="555C4354" w14:textId="77777777" w:rsidTr="00680E37">
        <w:trPr>
          <w:trHeight w:val="20"/>
        </w:trPr>
        <w:tc>
          <w:tcPr>
            <w:tcW w:w="569" w:type="dxa"/>
            <w:vMerge/>
            <w:tcBorders>
              <w:top w:val="nil"/>
              <w:left w:val="single" w:sz="4" w:space="0" w:color="auto"/>
              <w:bottom w:val="single" w:sz="4" w:space="0" w:color="000000"/>
              <w:right w:val="single" w:sz="4" w:space="0" w:color="auto"/>
            </w:tcBorders>
            <w:textDirection w:val="btLr"/>
            <w:hideMark/>
          </w:tcPr>
          <w:p w14:paraId="2D1ED1C5"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tcBorders>
              <w:top w:val="nil"/>
              <w:left w:val="nil"/>
              <w:bottom w:val="single" w:sz="4" w:space="0" w:color="auto"/>
              <w:right w:val="single" w:sz="4" w:space="0" w:color="auto"/>
            </w:tcBorders>
            <w:shd w:val="clear" w:color="auto" w:fill="auto"/>
            <w:hideMark/>
          </w:tcPr>
          <w:p w14:paraId="12623ED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tcBorders>
              <w:top w:val="nil"/>
              <w:left w:val="nil"/>
              <w:bottom w:val="single" w:sz="4" w:space="0" w:color="auto"/>
              <w:right w:val="single" w:sz="4" w:space="0" w:color="auto"/>
            </w:tcBorders>
            <w:shd w:val="clear" w:color="auto" w:fill="auto"/>
            <w:hideMark/>
          </w:tcPr>
          <w:p w14:paraId="5E11BADC"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75" w:type="dxa"/>
            <w:tcBorders>
              <w:top w:val="nil"/>
              <w:left w:val="nil"/>
              <w:bottom w:val="single" w:sz="4" w:space="0" w:color="auto"/>
              <w:right w:val="single" w:sz="4" w:space="0" w:color="auto"/>
            </w:tcBorders>
            <w:shd w:val="clear" w:color="auto" w:fill="auto"/>
            <w:hideMark/>
          </w:tcPr>
          <w:p w14:paraId="693A745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1 539</w:t>
            </w:r>
          </w:p>
        </w:tc>
        <w:tc>
          <w:tcPr>
            <w:tcW w:w="792" w:type="dxa"/>
            <w:tcBorders>
              <w:top w:val="nil"/>
              <w:left w:val="nil"/>
              <w:bottom w:val="single" w:sz="4" w:space="0" w:color="auto"/>
              <w:right w:val="single" w:sz="4" w:space="0" w:color="auto"/>
            </w:tcBorders>
            <w:shd w:val="clear" w:color="auto" w:fill="auto"/>
            <w:hideMark/>
          </w:tcPr>
          <w:p w14:paraId="028D44E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11 930</w:t>
            </w:r>
          </w:p>
        </w:tc>
        <w:tc>
          <w:tcPr>
            <w:tcW w:w="802" w:type="dxa"/>
            <w:tcBorders>
              <w:top w:val="nil"/>
              <w:left w:val="nil"/>
              <w:bottom w:val="single" w:sz="4" w:space="0" w:color="auto"/>
              <w:right w:val="single" w:sz="4" w:space="0" w:color="auto"/>
            </w:tcBorders>
            <w:shd w:val="clear" w:color="auto" w:fill="auto"/>
            <w:hideMark/>
          </w:tcPr>
          <w:p w14:paraId="009A41D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9 084</w:t>
            </w:r>
          </w:p>
        </w:tc>
        <w:tc>
          <w:tcPr>
            <w:tcW w:w="967" w:type="dxa"/>
            <w:tcBorders>
              <w:top w:val="nil"/>
              <w:left w:val="nil"/>
              <w:bottom w:val="single" w:sz="4" w:space="0" w:color="auto"/>
              <w:right w:val="single" w:sz="4" w:space="0" w:color="auto"/>
            </w:tcBorders>
            <w:shd w:val="clear" w:color="auto" w:fill="auto"/>
            <w:hideMark/>
          </w:tcPr>
          <w:p w14:paraId="38DBC33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6 718</w:t>
            </w:r>
          </w:p>
        </w:tc>
        <w:tc>
          <w:tcPr>
            <w:tcW w:w="1077" w:type="dxa"/>
            <w:tcBorders>
              <w:top w:val="nil"/>
              <w:left w:val="nil"/>
              <w:bottom w:val="single" w:sz="4" w:space="0" w:color="auto"/>
              <w:right w:val="single" w:sz="4" w:space="0" w:color="auto"/>
            </w:tcBorders>
            <w:shd w:val="clear" w:color="auto" w:fill="auto"/>
            <w:hideMark/>
          </w:tcPr>
          <w:p w14:paraId="61DD397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3 895</w:t>
            </w:r>
          </w:p>
        </w:tc>
        <w:tc>
          <w:tcPr>
            <w:tcW w:w="968" w:type="dxa"/>
            <w:tcBorders>
              <w:top w:val="nil"/>
              <w:left w:val="nil"/>
              <w:bottom w:val="single" w:sz="4" w:space="0" w:color="auto"/>
              <w:right w:val="single" w:sz="4" w:space="0" w:color="auto"/>
            </w:tcBorders>
            <w:shd w:val="clear" w:color="auto" w:fill="auto"/>
            <w:hideMark/>
          </w:tcPr>
          <w:p w14:paraId="7EF185A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2 374</w:t>
            </w:r>
          </w:p>
        </w:tc>
        <w:tc>
          <w:tcPr>
            <w:tcW w:w="968" w:type="dxa"/>
            <w:tcBorders>
              <w:top w:val="nil"/>
              <w:left w:val="nil"/>
              <w:bottom w:val="single" w:sz="4" w:space="0" w:color="auto"/>
              <w:right w:val="single" w:sz="4" w:space="0" w:color="auto"/>
            </w:tcBorders>
            <w:shd w:val="clear" w:color="auto" w:fill="auto"/>
            <w:hideMark/>
          </w:tcPr>
          <w:p w14:paraId="12A2580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24 099</w:t>
            </w:r>
          </w:p>
        </w:tc>
        <w:tc>
          <w:tcPr>
            <w:tcW w:w="1076" w:type="dxa"/>
            <w:tcBorders>
              <w:top w:val="nil"/>
              <w:left w:val="nil"/>
              <w:bottom w:val="single" w:sz="4" w:space="0" w:color="auto"/>
              <w:right w:val="single" w:sz="4" w:space="0" w:color="auto"/>
            </w:tcBorders>
            <w:shd w:val="clear" w:color="auto" w:fill="auto"/>
            <w:hideMark/>
          </w:tcPr>
          <w:p w14:paraId="7918BDA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23 958</w:t>
            </w:r>
          </w:p>
        </w:tc>
        <w:tc>
          <w:tcPr>
            <w:tcW w:w="1077" w:type="dxa"/>
            <w:tcBorders>
              <w:top w:val="nil"/>
              <w:left w:val="nil"/>
              <w:bottom w:val="single" w:sz="4" w:space="0" w:color="auto"/>
              <w:right w:val="single" w:sz="4" w:space="0" w:color="auto"/>
            </w:tcBorders>
            <w:shd w:val="clear" w:color="auto" w:fill="auto"/>
            <w:hideMark/>
          </w:tcPr>
          <w:p w14:paraId="453125E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19 257</w:t>
            </w:r>
          </w:p>
        </w:tc>
        <w:tc>
          <w:tcPr>
            <w:tcW w:w="1077" w:type="dxa"/>
            <w:tcBorders>
              <w:top w:val="nil"/>
              <w:left w:val="nil"/>
              <w:bottom w:val="single" w:sz="4" w:space="0" w:color="auto"/>
              <w:right w:val="single" w:sz="4" w:space="0" w:color="auto"/>
            </w:tcBorders>
            <w:shd w:val="clear" w:color="auto" w:fill="auto"/>
            <w:hideMark/>
          </w:tcPr>
          <w:p w14:paraId="0987242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17 700</w:t>
            </w:r>
          </w:p>
        </w:tc>
        <w:tc>
          <w:tcPr>
            <w:tcW w:w="967" w:type="dxa"/>
            <w:tcBorders>
              <w:top w:val="nil"/>
              <w:left w:val="nil"/>
              <w:bottom w:val="single" w:sz="4" w:space="0" w:color="auto"/>
              <w:right w:val="single" w:sz="4" w:space="0" w:color="auto"/>
            </w:tcBorders>
            <w:shd w:val="clear" w:color="auto" w:fill="auto"/>
            <w:hideMark/>
          </w:tcPr>
          <w:p w14:paraId="20827F8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10 685</w:t>
            </w:r>
          </w:p>
        </w:tc>
        <w:tc>
          <w:tcPr>
            <w:tcW w:w="1087" w:type="dxa"/>
            <w:tcBorders>
              <w:top w:val="nil"/>
              <w:left w:val="nil"/>
              <w:bottom w:val="single" w:sz="4" w:space="0" w:color="auto"/>
              <w:right w:val="single" w:sz="4" w:space="0" w:color="auto"/>
            </w:tcBorders>
            <w:shd w:val="clear" w:color="auto" w:fill="auto"/>
            <w:hideMark/>
          </w:tcPr>
          <w:p w14:paraId="4962261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12 336</w:t>
            </w:r>
          </w:p>
        </w:tc>
      </w:tr>
      <w:tr w:rsidR="0053576E" w:rsidRPr="004135FE" w14:paraId="609AF063" w14:textId="77777777" w:rsidTr="00680E37">
        <w:trPr>
          <w:trHeight w:val="20"/>
        </w:trPr>
        <w:tc>
          <w:tcPr>
            <w:tcW w:w="569" w:type="dxa"/>
            <w:vMerge/>
            <w:tcBorders>
              <w:top w:val="nil"/>
              <w:left w:val="single" w:sz="4" w:space="0" w:color="auto"/>
              <w:bottom w:val="single" w:sz="4" w:space="0" w:color="000000"/>
              <w:right w:val="single" w:sz="4" w:space="0" w:color="auto"/>
            </w:tcBorders>
            <w:textDirection w:val="btLr"/>
            <w:hideMark/>
          </w:tcPr>
          <w:p w14:paraId="4F8FDAD6"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tcBorders>
              <w:top w:val="nil"/>
              <w:left w:val="nil"/>
              <w:bottom w:val="single" w:sz="4" w:space="0" w:color="auto"/>
              <w:right w:val="single" w:sz="4" w:space="0" w:color="auto"/>
            </w:tcBorders>
            <w:shd w:val="clear" w:color="auto" w:fill="auto"/>
            <w:hideMark/>
          </w:tcPr>
          <w:p w14:paraId="5CCB1E1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tcBorders>
              <w:top w:val="nil"/>
              <w:left w:val="nil"/>
              <w:bottom w:val="single" w:sz="4" w:space="0" w:color="auto"/>
              <w:right w:val="single" w:sz="4" w:space="0" w:color="auto"/>
            </w:tcBorders>
            <w:shd w:val="clear" w:color="auto" w:fill="auto"/>
            <w:hideMark/>
          </w:tcPr>
          <w:p w14:paraId="774ECDE4"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75" w:type="dxa"/>
            <w:tcBorders>
              <w:top w:val="nil"/>
              <w:left w:val="nil"/>
              <w:bottom w:val="single" w:sz="4" w:space="0" w:color="auto"/>
              <w:right w:val="single" w:sz="4" w:space="0" w:color="auto"/>
            </w:tcBorders>
            <w:shd w:val="clear" w:color="auto" w:fill="auto"/>
            <w:hideMark/>
          </w:tcPr>
          <w:p w14:paraId="253DAD1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1 376</w:t>
            </w:r>
          </w:p>
        </w:tc>
        <w:tc>
          <w:tcPr>
            <w:tcW w:w="792" w:type="dxa"/>
            <w:tcBorders>
              <w:top w:val="nil"/>
              <w:left w:val="nil"/>
              <w:bottom w:val="single" w:sz="4" w:space="0" w:color="auto"/>
              <w:right w:val="single" w:sz="4" w:space="0" w:color="auto"/>
            </w:tcBorders>
            <w:shd w:val="clear" w:color="auto" w:fill="auto"/>
            <w:hideMark/>
          </w:tcPr>
          <w:p w14:paraId="4A2668E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7 866</w:t>
            </w:r>
          </w:p>
        </w:tc>
        <w:tc>
          <w:tcPr>
            <w:tcW w:w="802" w:type="dxa"/>
            <w:tcBorders>
              <w:top w:val="nil"/>
              <w:left w:val="nil"/>
              <w:bottom w:val="single" w:sz="4" w:space="0" w:color="auto"/>
              <w:right w:val="single" w:sz="4" w:space="0" w:color="auto"/>
            </w:tcBorders>
            <w:shd w:val="clear" w:color="auto" w:fill="auto"/>
            <w:hideMark/>
          </w:tcPr>
          <w:p w14:paraId="3E944BE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7 476</w:t>
            </w:r>
          </w:p>
        </w:tc>
        <w:tc>
          <w:tcPr>
            <w:tcW w:w="967" w:type="dxa"/>
            <w:tcBorders>
              <w:top w:val="nil"/>
              <w:left w:val="nil"/>
              <w:bottom w:val="single" w:sz="4" w:space="0" w:color="auto"/>
              <w:right w:val="single" w:sz="4" w:space="0" w:color="auto"/>
            </w:tcBorders>
            <w:shd w:val="clear" w:color="auto" w:fill="auto"/>
            <w:hideMark/>
          </w:tcPr>
          <w:p w14:paraId="5A31984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6 126</w:t>
            </w:r>
          </w:p>
        </w:tc>
        <w:tc>
          <w:tcPr>
            <w:tcW w:w="1077" w:type="dxa"/>
            <w:tcBorders>
              <w:top w:val="nil"/>
              <w:left w:val="nil"/>
              <w:bottom w:val="single" w:sz="4" w:space="0" w:color="auto"/>
              <w:right w:val="single" w:sz="4" w:space="0" w:color="auto"/>
            </w:tcBorders>
            <w:shd w:val="clear" w:color="auto" w:fill="auto"/>
            <w:hideMark/>
          </w:tcPr>
          <w:p w14:paraId="3BAC3CE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5 516</w:t>
            </w:r>
          </w:p>
        </w:tc>
        <w:tc>
          <w:tcPr>
            <w:tcW w:w="968" w:type="dxa"/>
            <w:tcBorders>
              <w:top w:val="nil"/>
              <w:left w:val="nil"/>
              <w:bottom w:val="single" w:sz="4" w:space="0" w:color="auto"/>
              <w:right w:val="single" w:sz="4" w:space="0" w:color="auto"/>
            </w:tcBorders>
            <w:shd w:val="clear" w:color="auto" w:fill="auto"/>
            <w:hideMark/>
          </w:tcPr>
          <w:p w14:paraId="59A8501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18 372</w:t>
            </w:r>
          </w:p>
        </w:tc>
        <w:tc>
          <w:tcPr>
            <w:tcW w:w="968" w:type="dxa"/>
            <w:tcBorders>
              <w:top w:val="nil"/>
              <w:left w:val="nil"/>
              <w:bottom w:val="single" w:sz="4" w:space="0" w:color="auto"/>
              <w:right w:val="single" w:sz="4" w:space="0" w:color="auto"/>
            </w:tcBorders>
            <w:shd w:val="clear" w:color="auto" w:fill="auto"/>
            <w:hideMark/>
          </w:tcPr>
          <w:p w14:paraId="29155FB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46 817</w:t>
            </w:r>
          </w:p>
        </w:tc>
        <w:tc>
          <w:tcPr>
            <w:tcW w:w="1076" w:type="dxa"/>
            <w:tcBorders>
              <w:top w:val="nil"/>
              <w:left w:val="nil"/>
              <w:bottom w:val="single" w:sz="4" w:space="0" w:color="auto"/>
              <w:right w:val="single" w:sz="4" w:space="0" w:color="auto"/>
            </w:tcBorders>
            <w:shd w:val="clear" w:color="auto" w:fill="auto"/>
            <w:hideMark/>
          </w:tcPr>
          <w:p w14:paraId="3405D5C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22 032</w:t>
            </w:r>
          </w:p>
        </w:tc>
        <w:tc>
          <w:tcPr>
            <w:tcW w:w="1077" w:type="dxa"/>
            <w:tcBorders>
              <w:top w:val="nil"/>
              <w:left w:val="nil"/>
              <w:bottom w:val="single" w:sz="4" w:space="0" w:color="auto"/>
              <w:right w:val="single" w:sz="4" w:space="0" w:color="auto"/>
            </w:tcBorders>
            <w:shd w:val="clear" w:color="auto" w:fill="auto"/>
            <w:hideMark/>
          </w:tcPr>
          <w:p w14:paraId="5EE64AF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17 931</w:t>
            </w:r>
          </w:p>
        </w:tc>
        <w:tc>
          <w:tcPr>
            <w:tcW w:w="1077" w:type="dxa"/>
            <w:tcBorders>
              <w:top w:val="nil"/>
              <w:left w:val="nil"/>
              <w:bottom w:val="single" w:sz="4" w:space="0" w:color="auto"/>
              <w:right w:val="single" w:sz="4" w:space="0" w:color="auto"/>
            </w:tcBorders>
            <w:shd w:val="clear" w:color="auto" w:fill="auto"/>
            <w:hideMark/>
          </w:tcPr>
          <w:p w14:paraId="43D7D21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17 245</w:t>
            </w:r>
          </w:p>
        </w:tc>
        <w:tc>
          <w:tcPr>
            <w:tcW w:w="967" w:type="dxa"/>
            <w:tcBorders>
              <w:top w:val="nil"/>
              <w:left w:val="nil"/>
              <w:bottom w:val="single" w:sz="4" w:space="0" w:color="auto"/>
              <w:right w:val="single" w:sz="4" w:space="0" w:color="auto"/>
            </w:tcBorders>
            <w:shd w:val="clear" w:color="auto" w:fill="auto"/>
            <w:hideMark/>
          </w:tcPr>
          <w:p w14:paraId="49A43BD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11 573</w:t>
            </w:r>
          </w:p>
        </w:tc>
        <w:tc>
          <w:tcPr>
            <w:tcW w:w="1087" w:type="dxa"/>
            <w:tcBorders>
              <w:top w:val="nil"/>
              <w:left w:val="nil"/>
              <w:bottom w:val="single" w:sz="4" w:space="0" w:color="auto"/>
              <w:right w:val="single" w:sz="4" w:space="0" w:color="auto"/>
            </w:tcBorders>
            <w:shd w:val="clear" w:color="auto" w:fill="auto"/>
            <w:hideMark/>
          </w:tcPr>
          <w:p w14:paraId="3C994FE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13 194</w:t>
            </w:r>
          </w:p>
        </w:tc>
      </w:tr>
      <w:tr w:rsidR="0053576E" w:rsidRPr="004135FE" w14:paraId="6552A79E" w14:textId="77777777" w:rsidTr="00680E37">
        <w:trPr>
          <w:trHeight w:val="20"/>
        </w:trPr>
        <w:tc>
          <w:tcPr>
            <w:tcW w:w="569" w:type="dxa"/>
            <w:vMerge/>
            <w:tcBorders>
              <w:top w:val="nil"/>
              <w:left w:val="single" w:sz="4" w:space="0" w:color="auto"/>
              <w:bottom w:val="single" w:sz="4" w:space="0" w:color="000000"/>
              <w:right w:val="single" w:sz="4" w:space="0" w:color="auto"/>
            </w:tcBorders>
            <w:textDirection w:val="btLr"/>
            <w:hideMark/>
          </w:tcPr>
          <w:p w14:paraId="3304EAE5"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tcBorders>
              <w:top w:val="nil"/>
              <w:left w:val="nil"/>
              <w:bottom w:val="single" w:sz="4" w:space="0" w:color="auto"/>
              <w:right w:val="single" w:sz="4" w:space="0" w:color="auto"/>
            </w:tcBorders>
            <w:shd w:val="clear" w:color="auto" w:fill="auto"/>
            <w:hideMark/>
          </w:tcPr>
          <w:p w14:paraId="5EB4205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tcBorders>
              <w:top w:val="nil"/>
              <w:left w:val="nil"/>
              <w:bottom w:val="single" w:sz="4" w:space="0" w:color="auto"/>
              <w:right w:val="single" w:sz="4" w:space="0" w:color="auto"/>
            </w:tcBorders>
            <w:shd w:val="clear" w:color="auto" w:fill="auto"/>
            <w:hideMark/>
          </w:tcPr>
          <w:p w14:paraId="3F4A936F"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75" w:type="dxa"/>
            <w:tcBorders>
              <w:top w:val="nil"/>
              <w:left w:val="nil"/>
              <w:bottom w:val="single" w:sz="4" w:space="0" w:color="auto"/>
              <w:right w:val="single" w:sz="4" w:space="0" w:color="auto"/>
            </w:tcBorders>
            <w:shd w:val="clear" w:color="auto" w:fill="auto"/>
            <w:hideMark/>
          </w:tcPr>
          <w:p w14:paraId="2B06E8A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651</w:t>
            </w:r>
          </w:p>
        </w:tc>
        <w:tc>
          <w:tcPr>
            <w:tcW w:w="792" w:type="dxa"/>
            <w:tcBorders>
              <w:top w:val="nil"/>
              <w:left w:val="nil"/>
              <w:bottom w:val="single" w:sz="4" w:space="0" w:color="auto"/>
              <w:right w:val="single" w:sz="4" w:space="0" w:color="auto"/>
            </w:tcBorders>
            <w:shd w:val="clear" w:color="auto" w:fill="auto"/>
            <w:hideMark/>
          </w:tcPr>
          <w:p w14:paraId="43176A7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4 704</w:t>
            </w:r>
          </w:p>
        </w:tc>
        <w:tc>
          <w:tcPr>
            <w:tcW w:w="802" w:type="dxa"/>
            <w:tcBorders>
              <w:top w:val="nil"/>
              <w:left w:val="nil"/>
              <w:bottom w:val="single" w:sz="4" w:space="0" w:color="auto"/>
              <w:right w:val="single" w:sz="4" w:space="0" w:color="auto"/>
            </w:tcBorders>
            <w:shd w:val="clear" w:color="auto" w:fill="auto"/>
            <w:hideMark/>
          </w:tcPr>
          <w:p w14:paraId="745D1CD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3 851</w:t>
            </w:r>
          </w:p>
        </w:tc>
        <w:tc>
          <w:tcPr>
            <w:tcW w:w="967" w:type="dxa"/>
            <w:tcBorders>
              <w:top w:val="nil"/>
              <w:left w:val="nil"/>
              <w:bottom w:val="single" w:sz="4" w:space="0" w:color="auto"/>
              <w:right w:val="single" w:sz="4" w:space="0" w:color="auto"/>
            </w:tcBorders>
            <w:shd w:val="clear" w:color="auto" w:fill="auto"/>
            <w:hideMark/>
          </w:tcPr>
          <w:p w14:paraId="33295A3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2 701</w:t>
            </w:r>
          </w:p>
        </w:tc>
        <w:tc>
          <w:tcPr>
            <w:tcW w:w="1077" w:type="dxa"/>
            <w:tcBorders>
              <w:top w:val="nil"/>
              <w:left w:val="nil"/>
              <w:bottom w:val="single" w:sz="4" w:space="0" w:color="auto"/>
              <w:right w:val="single" w:sz="4" w:space="0" w:color="auto"/>
            </w:tcBorders>
            <w:shd w:val="clear" w:color="auto" w:fill="auto"/>
            <w:hideMark/>
          </w:tcPr>
          <w:p w14:paraId="547713F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1 705</w:t>
            </w:r>
          </w:p>
        </w:tc>
        <w:tc>
          <w:tcPr>
            <w:tcW w:w="968" w:type="dxa"/>
            <w:tcBorders>
              <w:top w:val="nil"/>
              <w:left w:val="nil"/>
              <w:bottom w:val="single" w:sz="4" w:space="0" w:color="auto"/>
              <w:right w:val="single" w:sz="4" w:space="0" w:color="auto"/>
            </w:tcBorders>
            <w:shd w:val="clear" w:color="auto" w:fill="auto"/>
            <w:hideMark/>
          </w:tcPr>
          <w:p w14:paraId="77470EE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1 498</w:t>
            </w:r>
          </w:p>
        </w:tc>
        <w:tc>
          <w:tcPr>
            <w:tcW w:w="968" w:type="dxa"/>
            <w:tcBorders>
              <w:top w:val="nil"/>
              <w:left w:val="nil"/>
              <w:bottom w:val="single" w:sz="4" w:space="0" w:color="auto"/>
              <w:right w:val="single" w:sz="4" w:space="0" w:color="auto"/>
            </w:tcBorders>
            <w:shd w:val="clear" w:color="auto" w:fill="auto"/>
            <w:hideMark/>
          </w:tcPr>
          <w:p w14:paraId="7C148C8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16 627</w:t>
            </w:r>
          </w:p>
        </w:tc>
        <w:tc>
          <w:tcPr>
            <w:tcW w:w="1076" w:type="dxa"/>
            <w:tcBorders>
              <w:top w:val="nil"/>
              <w:left w:val="nil"/>
              <w:bottom w:val="single" w:sz="4" w:space="0" w:color="auto"/>
              <w:right w:val="single" w:sz="4" w:space="0" w:color="auto"/>
            </w:tcBorders>
            <w:shd w:val="clear" w:color="auto" w:fill="auto"/>
            <w:hideMark/>
          </w:tcPr>
          <w:p w14:paraId="3B5F658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17 001</w:t>
            </w:r>
          </w:p>
        </w:tc>
        <w:tc>
          <w:tcPr>
            <w:tcW w:w="1077" w:type="dxa"/>
            <w:tcBorders>
              <w:top w:val="nil"/>
              <w:left w:val="nil"/>
              <w:bottom w:val="single" w:sz="4" w:space="0" w:color="auto"/>
              <w:right w:val="single" w:sz="4" w:space="0" w:color="auto"/>
            </w:tcBorders>
            <w:shd w:val="clear" w:color="auto" w:fill="auto"/>
            <w:hideMark/>
          </w:tcPr>
          <w:p w14:paraId="55C6506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13 002</w:t>
            </w:r>
          </w:p>
        </w:tc>
        <w:tc>
          <w:tcPr>
            <w:tcW w:w="1077" w:type="dxa"/>
            <w:tcBorders>
              <w:top w:val="nil"/>
              <w:left w:val="nil"/>
              <w:bottom w:val="single" w:sz="4" w:space="0" w:color="auto"/>
              <w:right w:val="single" w:sz="4" w:space="0" w:color="auto"/>
            </w:tcBorders>
            <w:shd w:val="clear" w:color="auto" w:fill="auto"/>
            <w:hideMark/>
          </w:tcPr>
          <w:p w14:paraId="34070B8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11 691</w:t>
            </w:r>
          </w:p>
        </w:tc>
        <w:tc>
          <w:tcPr>
            <w:tcW w:w="967" w:type="dxa"/>
            <w:tcBorders>
              <w:top w:val="nil"/>
              <w:left w:val="nil"/>
              <w:bottom w:val="single" w:sz="4" w:space="0" w:color="auto"/>
              <w:right w:val="single" w:sz="4" w:space="0" w:color="auto"/>
            </w:tcBorders>
            <w:shd w:val="clear" w:color="auto" w:fill="auto"/>
            <w:hideMark/>
          </w:tcPr>
          <w:p w14:paraId="0D5330C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6 852</w:t>
            </w:r>
          </w:p>
        </w:tc>
        <w:tc>
          <w:tcPr>
            <w:tcW w:w="1087" w:type="dxa"/>
            <w:tcBorders>
              <w:top w:val="nil"/>
              <w:left w:val="nil"/>
              <w:bottom w:val="single" w:sz="4" w:space="0" w:color="auto"/>
              <w:right w:val="single" w:sz="4" w:space="0" w:color="auto"/>
            </w:tcBorders>
            <w:shd w:val="clear" w:color="auto" w:fill="auto"/>
            <w:hideMark/>
          </w:tcPr>
          <w:p w14:paraId="4B826B1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8 159</w:t>
            </w:r>
          </w:p>
        </w:tc>
      </w:tr>
      <w:tr w:rsidR="0053576E" w:rsidRPr="004135FE" w14:paraId="658345DA" w14:textId="77777777" w:rsidTr="00680E37">
        <w:trPr>
          <w:trHeight w:val="20"/>
        </w:trPr>
        <w:tc>
          <w:tcPr>
            <w:tcW w:w="569" w:type="dxa"/>
            <w:vMerge/>
            <w:tcBorders>
              <w:top w:val="nil"/>
              <w:left w:val="single" w:sz="4" w:space="0" w:color="auto"/>
              <w:bottom w:val="single" w:sz="4" w:space="0" w:color="000000"/>
              <w:right w:val="single" w:sz="4" w:space="0" w:color="auto"/>
            </w:tcBorders>
            <w:textDirection w:val="btLr"/>
            <w:hideMark/>
          </w:tcPr>
          <w:p w14:paraId="2EF551EF"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tcBorders>
              <w:top w:val="nil"/>
              <w:left w:val="nil"/>
              <w:bottom w:val="single" w:sz="4" w:space="0" w:color="auto"/>
              <w:right w:val="single" w:sz="4" w:space="0" w:color="auto"/>
            </w:tcBorders>
            <w:shd w:val="clear" w:color="auto" w:fill="auto"/>
            <w:hideMark/>
          </w:tcPr>
          <w:p w14:paraId="1455092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tcBorders>
              <w:top w:val="nil"/>
              <w:left w:val="nil"/>
              <w:bottom w:val="single" w:sz="4" w:space="0" w:color="auto"/>
              <w:right w:val="single" w:sz="4" w:space="0" w:color="auto"/>
            </w:tcBorders>
            <w:shd w:val="clear" w:color="auto" w:fill="auto"/>
            <w:hideMark/>
          </w:tcPr>
          <w:p w14:paraId="1D4BFF85"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75" w:type="dxa"/>
            <w:tcBorders>
              <w:top w:val="nil"/>
              <w:left w:val="nil"/>
              <w:bottom w:val="single" w:sz="4" w:space="0" w:color="auto"/>
              <w:right w:val="single" w:sz="4" w:space="0" w:color="auto"/>
            </w:tcBorders>
            <w:shd w:val="clear" w:color="auto" w:fill="auto"/>
            <w:hideMark/>
          </w:tcPr>
          <w:p w14:paraId="0796649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1 228</w:t>
            </w:r>
          </w:p>
        </w:tc>
        <w:tc>
          <w:tcPr>
            <w:tcW w:w="792" w:type="dxa"/>
            <w:tcBorders>
              <w:top w:val="nil"/>
              <w:left w:val="nil"/>
              <w:bottom w:val="single" w:sz="4" w:space="0" w:color="auto"/>
              <w:right w:val="single" w:sz="4" w:space="0" w:color="auto"/>
            </w:tcBorders>
            <w:shd w:val="clear" w:color="auto" w:fill="auto"/>
            <w:hideMark/>
          </w:tcPr>
          <w:p w14:paraId="2F9CBA9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9 167</w:t>
            </w:r>
          </w:p>
        </w:tc>
        <w:tc>
          <w:tcPr>
            <w:tcW w:w="802" w:type="dxa"/>
            <w:tcBorders>
              <w:top w:val="nil"/>
              <w:left w:val="nil"/>
              <w:bottom w:val="single" w:sz="4" w:space="0" w:color="auto"/>
              <w:right w:val="single" w:sz="4" w:space="0" w:color="auto"/>
            </w:tcBorders>
            <w:shd w:val="clear" w:color="auto" w:fill="auto"/>
            <w:hideMark/>
          </w:tcPr>
          <w:p w14:paraId="2AAED0E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7 848</w:t>
            </w:r>
          </w:p>
        </w:tc>
        <w:tc>
          <w:tcPr>
            <w:tcW w:w="967" w:type="dxa"/>
            <w:tcBorders>
              <w:top w:val="nil"/>
              <w:left w:val="nil"/>
              <w:bottom w:val="single" w:sz="4" w:space="0" w:color="auto"/>
              <w:right w:val="single" w:sz="4" w:space="0" w:color="auto"/>
            </w:tcBorders>
            <w:shd w:val="clear" w:color="auto" w:fill="auto"/>
            <w:hideMark/>
          </w:tcPr>
          <w:p w14:paraId="0F91018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6 757</w:t>
            </w:r>
          </w:p>
        </w:tc>
        <w:tc>
          <w:tcPr>
            <w:tcW w:w="1077" w:type="dxa"/>
            <w:tcBorders>
              <w:top w:val="nil"/>
              <w:left w:val="nil"/>
              <w:bottom w:val="single" w:sz="4" w:space="0" w:color="auto"/>
              <w:right w:val="single" w:sz="4" w:space="0" w:color="auto"/>
            </w:tcBorders>
            <w:shd w:val="clear" w:color="auto" w:fill="auto"/>
            <w:hideMark/>
          </w:tcPr>
          <w:p w14:paraId="48F4D9E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2 874</w:t>
            </w:r>
          </w:p>
        </w:tc>
        <w:tc>
          <w:tcPr>
            <w:tcW w:w="968" w:type="dxa"/>
            <w:tcBorders>
              <w:top w:val="nil"/>
              <w:left w:val="nil"/>
              <w:bottom w:val="single" w:sz="4" w:space="0" w:color="auto"/>
              <w:right w:val="single" w:sz="4" w:space="0" w:color="auto"/>
            </w:tcBorders>
            <w:shd w:val="clear" w:color="auto" w:fill="auto"/>
            <w:hideMark/>
          </w:tcPr>
          <w:p w14:paraId="7457894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1 423</w:t>
            </w:r>
          </w:p>
        </w:tc>
        <w:tc>
          <w:tcPr>
            <w:tcW w:w="968" w:type="dxa"/>
            <w:tcBorders>
              <w:top w:val="nil"/>
              <w:left w:val="nil"/>
              <w:bottom w:val="single" w:sz="4" w:space="0" w:color="auto"/>
              <w:right w:val="single" w:sz="4" w:space="0" w:color="auto"/>
            </w:tcBorders>
            <w:shd w:val="clear" w:color="auto" w:fill="auto"/>
            <w:hideMark/>
          </w:tcPr>
          <w:p w14:paraId="5D39F18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13 768</w:t>
            </w:r>
          </w:p>
        </w:tc>
        <w:tc>
          <w:tcPr>
            <w:tcW w:w="1076" w:type="dxa"/>
            <w:tcBorders>
              <w:top w:val="nil"/>
              <w:left w:val="nil"/>
              <w:bottom w:val="single" w:sz="4" w:space="0" w:color="auto"/>
              <w:right w:val="single" w:sz="4" w:space="0" w:color="auto"/>
            </w:tcBorders>
            <w:shd w:val="clear" w:color="auto" w:fill="auto"/>
            <w:hideMark/>
          </w:tcPr>
          <w:p w14:paraId="12F4DE8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13 903</w:t>
            </w:r>
          </w:p>
        </w:tc>
        <w:tc>
          <w:tcPr>
            <w:tcW w:w="1077" w:type="dxa"/>
            <w:tcBorders>
              <w:top w:val="nil"/>
              <w:left w:val="nil"/>
              <w:bottom w:val="single" w:sz="4" w:space="0" w:color="auto"/>
              <w:right w:val="single" w:sz="4" w:space="0" w:color="auto"/>
            </w:tcBorders>
            <w:shd w:val="clear" w:color="auto" w:fill="auto"/>
            <w:hideMark/>
          </w:tcPr>
          <w:p w14:paraId="5709CA3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11 651</w:t>
            </w:r>
          </w:p>
        </w:tc>
        <w:tc>
          <w:tcPr>
            <w:tcW w:w="1077" w:type="dxa"/>
            <w:tcBorders>
              <w:top w:val="nil"/>
              <w:left w:val="nil"/>
              <w:bottom w:val="single" w:sz="4" w:space="0" w:color="auto"/>
              <w:right w:val="single" w:sz="4" w:space="0" w:color="auto"/>
            </w:tcBorders>
            <w:shd w:val="clear" w:color="auto" w:fill="auto"/>
            <w:hideMark/>
          </w:tcPr>
          <w:p w14:paraId="2DA0874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11 365</w:t>
            </w:r>
          </w:p>
        </w:tc>
        <w:tc>
          <w:tcPr>
            <w:tcW w:w="967" w:type="dxa"/>
            <w:tcBorders>
              <w:top w:val="nil"/>
              <w:left w:val="nil"/>
              <w:bottom w:val="single" w:sz="4" w:space="0" w:color="auto"/>
              <w:right w:val="single" w:sz="4" w:space="0" w:color="auto"/>
            </w:tcBorders>
            <w:shd w:val="clear" w:color="auto" w:fill="auto"/>
            <w:hideMark/>
          </w:tcPr>
          <w:p w14:paraId="0271EDE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7 492</w:t>
            </w:r>
          </w:p>
        </w:tc>
        <w:tc>
          <w:tcPr>
            <w:tcW w:w="1087" w:type="dxa"/>
            <w:tcBorders>
              <w:top w:val="nil"/>
              <w:left w:val="nil"/>
              <w:bottom w:val="single" w:sz="4" w:space="0" w:color="auto"/>
              <w:right w:val="single" w:sz="4" w:space="0" w:color="auto"/>
            </w:tcBorders>
            <w:shd w:val="clear" w:color="auto" w:fill="auto"/>
            <w:hideMark/>
          </w:tcPr>
          <w:p w14:paraId="67C0AB9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7 785</w:t>
            </w:r>
          </w:p>
        </w:tc>
      </w:tr>
      <w:tr w:rsidR="0053576E" w:rsidRPr="004135FE" w14:paraId="3C93E075" w14:textId="77777777" w:rsidTr="00680E37">
        <w:trPr>
          <w:trHeight w:val="20"/>
        </w:trPr>
        <w:tc>
          <w:tcPr>
            <w:tcW w:w="569" w:type="dxa"/>
            <w:vMerge/>
            <w:tcBorders>
              <w:top w:val="nil"/>
              <w:left w:val="single" w:sz="4" w:space="0" w:color="auto"/>
              <w:bottom w:val="single" w:sz="4" w:space="0" w:color="000000"/>
              <w:right w:val="single" w:sz="4" w:space="0" w:color="auto"/>
            </w:tcBorders>
            <w:textDirection w:val="btLr"/>
            <w:hideMark/>
          </w:tcPr>
          <w:p w14:paraId="781B9B0D"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tcBorders>
              <w:top w:val="nil"/>
              <w:left w:val="nil"/>
              <w:bottom w:val="single" w:sz="4" w:space="0" w:color="auto"/>
              <w:right w:val="single" w:sz="4" w:space="0" w:color="auto"/>
            </w:tcBorders>
            <w:shd w:val="clear" w:color="auto" w:fill="auto"/>
            <w:hideMark/>
          </w:tcPr>
          <w:p w14:paraId="5618404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tcBorders>
              <w:top w:val="nil"/>
              <w:left w:val="nil"/>
              <w:bottom w:val="single" w:sz="4" w:space="0" w:color="auto"/>
              <w:right w:val="single" w:sz="4" w:space="0" w:color="auto"/>
            </w:tcBorders>
            <w:shd w:val="clear" w:color="auto" w:fill="auto"/>
            <w:hideMark/>
          </w:tcPr>
          <w:p w14:paraId="7B66B5B0"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75" w:type="dxa"/>
            <w:tcBorders>
              <w:top w:val="nil"/>
              <w:left w:val="nil"/>
              <w:bottom w:val="single" w:sz="4" w:space="0" w:color="auto"/>
              <w:right w:val="single" w:sz="4" w:space="0" w:color="auto"/>
            </w:tcBorders>
            <w:shd w:val="clear" w:color="auto" w:fill="auto"/>
            <w:hideMark/>
          </w:tcPr>
          <w:p w14:paraId="2E550F3C"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792" w:type="dxa"/>
            <w:tcBorders>
              <w:top w:val="nil"/>
              <w:left w:val="nil"/>
              <w:bottom w:val="single" w:sz="4" w:space="0" w:color="auto"/>
              <w:right w:val="single" w:sz="4" w:space="0" w:color="auto"/>
            </w:tcBorders>
            <w:shd w:val="clear" w:color="auto" w:fill="auto"/>
            <w:hideMark/>
          </w:tcPr>
          <w:p w14:paraId="103632A9"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802" w:type="dxa"/>
            <w:tcBorders>
              <w:top w:val="nil"/>
              <w:left w:val="nil"/>
              <w:bottom w:val="single" w:sz="4" w:space="0" w:color="auto"/>
              <w:right w:val="single" w:sz="4" w:space="0" w:color="auto"/>
            </w:tcBorders>
            <w:shd w:val="clear" w:color="auto" w:fill="auto"/>
            <w:hideMark/>
          </w:tcPr>
          <w:p w14:paraId="0A424A46"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67" w:type="dxa"/>
            <w:tcBorders>
              <w:top w:val="nil"/>
              <w:left w:val="nil"/>
              <w:bottom w:val="single" w:sz="4" w:space="0" w:color="auto"/>
              <w:right w:val="single" w:sz="4" w:space="0" w:color="auto"/>
            </w:tcBorders>
            <w:shd w:val="clear" w:color="auto" w:fill="auto"/>
            <w:hideMark/>
          </w:tcPr>
          <w:p w14:paraId="2C2820D8"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077" w:type="dxa"/>
            <w:tcBorders>
              <w:top w:val="nil"/>
              <w:left w:val="nil"/>
              <w:bottom w:val="single" w:sz="4" w:space="0" w:color="auto"/>
              <w:right w:val="single" w:sz="4" w:space="0" w:color="auto"/>
            </w:tcBorders>
            <w:shd w:val="clear" w:color="auto" w:fill="auto"/>
            <w:hideMark/>
          </w:tcPr>
          <w:p w14:paraId="1A80C7E7"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68" w:type="dxa"/>
            <w:tcBorders>
              <w:top w:val="nil"/>
              <w:left w:val="nil"/>
              <w:bottom w:val="single" w:sz="4" w:space="0" w:color="auto"/>
              <w:right w:val="single" w:sz="4" w:space="0" w:color="auto"/>
            </w:tcBorders>
            <w:shd w:val="clear" w:color="auto" w:fill="auto"/>
            <w:hideMark/>
          </w:tcPr>
          <w:p w14:paraId="59819CB1"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68" w:type="dxa"/>
            <w:tcBorders>
              <w:top w:val="nil"/>
              <w:left w:val="nil"/>
              <w:bottom w:val="single" w:sz="4" w:space="0" w:color="auto"/>
              <w:right w:val="single" w:sz="4" w:space="0" w:color="auto"/>
            </w:tcBorders>
            <w:shd w:val="clear" w:color="auto" w:fill="auto"/>
            <w:hideMark/>
          </w:tcPr>
          <w:p w14:paraId="5C651FD8"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076" w:type="dxa"/>
            <w:tcBorders>
              <w:top w:val="nil"/>
              <w:left w:val="nil"/>
              <w:bottom w:val="single" w:sz="4" w:space="0" w:color="auto"/>
              <w:right w:val="single" w:sz="4" w:space="0" w:color="auto"/>
            </w:tcBorders>
            <w:shd w:val="clear" w:color="auto" w:fill="auto"/>
            <w:hideMark/>
          </w:tcPr>
          <w:p w14:paraId="2E8390BD"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077" w:type="dxa"/>
            <w:tcBorders>
              <w:top w:val="nil"/>
              <w:left w:val="nil"/>
              <w:bottom w:val="single" w:sz="4" w:space="0" w:color="auto"/>
              <w:right w:val="single" w:sz="4" w:space="0" w:color="auto"/>
            </w:tcBorders>
            <w:shd w:val="clear" w:color="auto" w:fill="auto"/>
            <w:hideMark/>
          </w:tcPr>
          <w:p w14:paraId="08547263"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077" w:type="dxa"/>
            <w:tcBorders>
              <w:top w:val="nil"/>
              <w:left w:val="nil"/>
              <w:bottom w:val="single" w:sz="4" w:space="0" w:color="auto"/>
              <w:right w:val="single" w:sz="4" w:space="0" w:color="auto"/>
            </w:tcBorders>
            <w:shd w:val="clear" w:color="auto" w:fill="auto"/>
            <w:hideMark/>
          </w:tcPr>
          <w:p w14:paraId="2AB4FDA2"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67" w:type="dxa"/>
            <w:tcBorders>
              <w:top w:val="nil"/>
              <w:left w:val="nil"/>
              <w:bottom w:val="single" w:sz="4" w:space="0" w:color="auto"/>
              <w:right w:val="single" w:sz="4" w:space="0" w:color="auto"/>
            </w:tcBorders>
            <w:shd w:val="clear" w:color="auto" w:fill="auto"/>
            <w:hideMark/>
          </w:tcPr>
          <w:p w14:paraId="7C72F622"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087" w:type="dxa"/>
            <w:tcBorders>
              <w:top w:val="nil"/>
              <w:left w:val="nil"/>
              <w:bottom w:val="single" w:sz="4" w:space="0" w:color="auto"/>
              <w:right w:val="single" w:sz="4" w:space="0" w:color="auto"/>
            </w:tcBorders>
            <w:shd w:val="clear" w:color="auto" w:fill="auto"/>
            <w:hideMark/>
          </w:tcPr>
          <w:p w14:paraId="61595EBA"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r>
      <w:tr w:rsidR="0053576E" w:rsidRPr="004135FE" w14:paraId="3384FC12" w14:textId="77777777" w:rsidTr="00680E37">
        <w:trPr>
          <w:trHeight w:val="20"/>
        </w:trPr>
        <w:tc>
          <w:tcPr>
            <w:tcW w:w="569" w:type="dxa"/>
            <w:vMerge/>
            <w:tcBorders>
              <w:top w:val="nil"/>
              <w:left w:val="single" w:sz="4" w:space="0" w:color="auto"/>
              <w:bottom w:val="single" w:sz="4" w:space="0" w:color="000000"/>
              <w:right w:val="single" w:sz="4" w:space="0" w:color="auto"/>
            </w:tcBorders>
            <w:textDirection w:val="btLr"/>
            <w:hideMark/>
          </w:tcPr>
          <w:p w14:paraId="1016CF02"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tcBorders>
              <w:top w:val="nil"/>
              <w:left w:val="nil"/>
              <w:bottom w:val="single" w:sz="4" w:space="0" w:color="auto"/>
              <w:right w:val="single" w:sz="4" w:space="0" w:color="auto"/>
            </w:tcBorders>
            <w:shd w:val="clear" w:color="auto" w:fill="auto"/>
            <w:hideMark/>
          </w:tcPr>
          <w:p w14:paraId="561045C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tcBorders>
              <w:top w:val="nil"/>
              <w:left w:val="nil"/>
              <w:bottom w:val="single" w:sz="4" w:space="0" w:color="auto"/>
              <w:right w:val="single" w:sz="4" w:space="0" w:color="auto"/>
            </w:tcBorders>
            <w:shd w:val="clear" w:color="auto" w:fill="auto"/>
            <w:hideMark/>
          </w:tcPr>
          <w:p w14:paraId="4952037D"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75" w:type="dxa"/>
            <w:tcBorders>
              <w:top w:val="nil"/>
              <w:left w:val="nil"/>
              <w:bottom w:val="single" w:sz="4" w:space="0" w:color="auto"/>
              <w:right w:val="single" w:sz="4" w:space="0" w:color="auto"/>
            </w:tcBorders>
            <w:shd w:val="clear" w:color="auto" w:fill="auto"/>
            <w:hideMark/>
          </w:tcPr>
          <w:p w14:paraId="6A5CB99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378</w:t>
            </w:r>
          </w:p>
        </w:tc>
        <w:tc>
          <w:tcPr>
            <w:tcW w:w="792" w:type="dxa"/>
            <w:tcBorders>
              <w:top w:val="nil"/>
              <w:left w:val="nil"/>
              <w:bottom w:val="single" w:sz="4" w:space="0" w:color="auto"/>
              <w:right w:val="single" w:sz="4" w:space="0" w:color="auto"/>
            </w:tcBorders>
            <w:shd w:val="clear" w:color="auto" w:fill="auto"/>
            <w:hideMark/>
          </w:tcPr>
          <w:p w14:paraId="02488DE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5 529</w:t>
            </w:r>
          </w:p>
        </w:tc>
        <w:tc>
          <w:tcPr>
            <w:tcW w:w="802" w:type="dxa"/>
            <w:tcBorders>
              <w:top w:val="nil"/>
              <w:left w:val="nil"/>
              <w:bottom w:val="single" w:sz="4" w:space="0" w:color="auto"/>
              <w:right w:val="single" w:sz="4" w:space="0" w:color="auto"/>
            </w:tcBorders>
            <w:shd w:val="clear" w:color="auto" w:fill="auto"/>
            <w:hideMark/>
          </w:tcPr>
          <w:p w14:paraId="3478ABA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4 939</w:t>
            </w:r>
          </w:p>
        </w:tc>
        <w:tc>
          <w:tcPr>
            <w:tcW w:w="967" w:type="dxa"/>
            <w:tcBorders>
              <w:top w:val="nil"/>
              <w:left w:val="nil"/>
              <w:bottom w:val="single" w:sz="4" w:space="0" w:color="auto"/>
              <w:right w:val="single" w:sz="4" w:space="0" w:color="auto"/>
            </w:tcBorders>
            <w:shd w:val="clear" w:color="auto" w:fill="auto"/>
            <w:hideMark/>
          </w:tcPr>
          <w:p w14:paraId="145E5CF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5 007</w:t>
            </w:r>
          </w:p>
        </w:tc>
        <w:tc>
          <w:tcPr>
            <w:tcW w:w="1077" w:type="dxa"/>
            <w:tcBorders>
              <w:top w:val="nil"/>
              <w:left w:val="nil"/>
              <w:bottom w:val="single" w:sz="4" w:space="0" w:color="auto"/>
              <w:right w:val="single" w:sz="4" w:space="0" w:color="auto"/>
            </w:tcBorders>
            <w:shd w:val="clear" w:color="auto" w:fill="auto"/>
            <w:hideMark/>
          </w:tcPr>
          <w:p w14:paraId="032085A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3 214</w:t>
            </w:r>
          </w:p>
        </w:tc>
        <w:tc>
          <w:tcPr>
            <w:tcW w:w="968" w:type="dxa"/>
            <w:tcBorders>
              <w:top w:val="nil"/>
              <w:left w:val="nil"/>
              <w:bottom w:val="single" w:sz="4" w:space="0" w:color="auto"/>
              <w:right w:val="single" w:sz="4" w:space="0" w:color="auto"/>
            </w:tcBorders>
            <w:shd w:val="clear" w:color="auto" w:fill="auto"/>
            <w:hideMark/>
          </w:tcPr>
          <w:p w14:paraId="11B369E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2 109</w:t>
            </w:r>
          </w:p>
        </w:tc>
        <w:tc>
          <w:tcPr>
            <w:tcW w:w="968" w:type="dxa"/>
            <w:tcBorders>
              <w:top w:val="nil"/>
              <w:left w:val="nil"/>
              <w:bottom w:val="single" w:sz="4" w:space="0" w:color="auto"/>
              <w:right w:val="single" w:sz="4" w:space="0" w:color="auto"/>
            </w:tcBorders>
            <w:shd w:val="clear" w:color="auto" w:fill="auto"/>
            <w:hideMark/>
          </w:tcPr>
          <w:p w14:paraId="2AF2726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16 638</w:t>
            </w:r>
          </w:p>
        </w:tc>
        <w:tc>
          <w:tcPr>
            <w:tcW w:w="1076" w:type="dxa"/>
            <w:tcBorders>
              <w:top w:val="nil"/>
              <w:left w:val="nil"/>
              <w:bottom w:val="single" w:sz="4" w:space="0" w:color="auto"/>
              <w:right w:val="single" w:sz="4" w:space="0" w:color="auto"/>
            </w:tcBorders>
            <w:shd w:val="clear" w:color="auto" w:fill="auto"/>
            <w:hideMark/>
          </w:tcPr>
          <w:p w14:paraId="321C903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16 689</w:t>
            </w:r>
          </w:p>
        </w:tc>
        <w:tc>
          <w:tcPr>
            <w:tcW w:w="1077" w:type="dxa"/>
            <w:tcBorders>
              <w:top w:val="nil"/>
              <w:left w:val="nil"/>
              <w:bottom w:val="single" w:sz="4" w:space="0" w:color="auto"/>
              <w:right w:val="single" w:sz="4" w:space="0" w:color="auto"/>
            </w:tcBorders>
            <w:shd w:val="clear" w:color="auto" w:fill="auto"/>
            <w:hideMark/>
          </w:tcPr>
          <w:p w14:paraId="0CD59F4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12 939</w:t>
            </w:r>
          </w:p>
        </w:tc>
        <w:tc>
          <w:tcPr>
            <w:tcW w:w="1077" w:type="dxa"/>
            <w:tcBorders>
              <w:top w:val="nil"/>
              <w:left w:val="nil"/>
              <w:bottom w:val="single" w:sz="4" w:space="0" w:color="auto"/>
              <w:right w:val="single" w:sz="4" w:space="0" w:color="auto"/>
            </w:tcBorders>
            <w:shd w:val="clear" w:color="auto" w:fill="auto"/>
            <w:hideMark/>
          </w:tcPr>
          <w:p w14:paraId="7A4BD54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12 669</w:t>
            </w:r>
          </w:p>
        </w:tc>
        <w:tc>
          <w:tcPr>
            <w:tcW w:w="967" w:type="dxa"/>
            <w:tcBorders>
              <w:top w:val="nil"/>
              <w:left w:val="nil"/>
              <w:bottom w:val="single" w:sz="4" w:space="0" w:color="auto"/>
              <w:right w:val="single" w:sz="4" w:space="0" w:color="auto"/>
            </w:tcBorders>
            <w:shd w:val="clear" w:color="auto" w:fill="auto"/>
            <w:hideMark/>
          </w:tcPr>
          <w:p w14:paraId="4A4131D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7 232</w:t>
            </w:r>
          </w:p>
        </w:tc>
        <w:tc>
          <w:tcPr>
            <w:tcW w:w="1087" w:type="dxa"/>
            <w:tcBorders>
              <w:top w:val="nil"/>
              <w:left w:val="nil"/>
              <w:bottom w:val="single" w:sz="4" w:space="0" w:color="auto"/>
              <w:right w:val="single" w:sz="4" w:space="0" w:color="auto"/>
            </w:tcBorders>
            <w:shd w:val="clear" w:color="auto" w:fill="auto"/>
            <w:hideMark/>
          </w:tcPr>
          <w:p w14:paraId="422228D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9 024</w:t>
            </w:r>
          </w:p>
        </w:tc>
      </w:tr>
      <w:tr w:rsidR="0053576E" w:rsidRPr="004135FE" w14:paraId="72950B24" w14:textId="77777777" w:rsidTr="00680E37">
        <w:trPr>
          <w:trHeight w:val="20"/>
        </w:trPr>
        <w:tc>
          <w:tcPr>
            <w:tcW w:w="569" w:type="dxa"/>
            <w:vMerge w:val="restart"/>
            <w:tcBorders>
              <w:top w:val="nil"/>
              <w:left w:val="single" w:sz="4" w:space="0" w:color="auto"/>
              <w:bottom w:val="single" w:sz="4" w:space="0" w:color="000000"/>
              <w:right w:val="single" w:sz="4" w:space="0" w:color="auto"/>
            </w:tcBorders>
            <w:shd w:val="clear" w:color="auto" w:fill="auto"/>
            <w:noWrap/>
            <w:textDirection w:val="btLr"/>
            <w:hideMark/>
          </w:tcPr>
          <w:p w14:paraId="0FC71B14"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2013год</w:t>
            </w:r>
          </w:p>
        </w:tc>
        <w:tc>
          <w:tcPr>
            <w:tcW w:w="484" w:type="dxa"/>
            <w:tcBorders>
              <w:top w:val="nil"/>
              <w:left w:val="nil"/>
              <w:bottom w:val="single" w:sz="4" w:space="0" w:color="auto"/>
              <w:right w:val="single" w:sz="4" w:space="0" w:color="auto"/>
            </w:tcBorders>
            <w:shd w:val="clear" w:color="auto" w:fill="auto"/>
            <w:hideMark/>
          </w:tcPr>
          <w:p w14:paraId="64668E4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tcBorders>
              <w:top w:val="nil"/>
              <w:left w:val="nil"/>
              <w:bottom w:val="single" w:sz="4" w:space="0" w:color="auto"/>
              <w:right w:val="single" w:sz="4" w:space="0" w:color="auto"/>
            </w:tcBorders>
            <w:shd w:val="clear" w:color="auto" w:fill="auto"/>
            <w:hideMark/>
          </w:tcPr>
          <w:p w14:paraId="4D6C3219"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75" w:type="dxa"/>
            <w:tcBorders>
              <w:top w:val="nil"/>
              <w:left w:val="nil"/>
              <w:bottom w:val="single" w:sz="4" w:space="0" w:color="auto"/>
              <w:right w:val="single" w:sz="4" w:space="0" w:color="auto"/>
            </w:tcBorders>
            <w:shd w:val="clear" w:color="auto" w:fill="auto"/>
            <w:hideMark/>
          </w:tcPr>
          <w:p w14:paraId="4ACAC4C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2 005</w:t>
            </w:r>
          </w:p>
        </w:tc>
        <w:tc>
          <w:tcPr>
            <w:tcW w:w="792" w:type="dxa"/>
            <w:tcBorders>
              <w:top w:val="nil"/>
              <w:left w:val="nil"/>
              <w:bottom w:val="single" w:sz="4" w:space="0" w:color="auto"/>
              <w:right w:val="single" w:sz="4" w:space="0" w:color="auto"/>
            </w:tcBorders>
            <w:shd w:val="clear" w:color="auto" w:fill="auto"/>
            <w:hideMark/>
          </w:tcPr>
          <w:p w14:paraId="5FEC862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9 262</w:t>
            </w:r>
          </w:p>
        </w:tc>
        <w:tc>
          <w:tcPr>
            <w:tcW w:w="802" w:type="dxa"/>
            <w:tcBorders>
              <w:top w:val="nil"/>
              <w:left w:val="nil"/>
              <w:bottom w:val="single" w:sz="4" w:space="0" w:color="auto"/>
              <w:right w:val="single" w:sz="4" w:space="0" w:color="auto"/>
            </w:tcBorders>
            <w:shd w:val="clear" w:color="auto" w:fill="auto"/>
            <w:hideMark/>
          </w:tcPr>
          <w:p w14:paraId="0FE42B7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10 313</w:t>
            </w:r>
          </w:p>
        </w:tc>
        <w:tc>
          <w:tcPr>
            <w:tcW w:w="967" w:type="dxa"/>
            <w:tcBorders>
              <w:top w:val="nil"/>
              <w:left w:val="nil"/>
              <w:bottom w:val="single" w:sz="4" w:space="0" w:color="auto"/>
              <w:right w:val="single" w:sz="4" w:space="0" w:color="auto"/>
            </w:tcBorders>
            <w:shd w:val="clear" w:color="auto" w:fill="auto"/>
            <w:hideMark/>
          </w:tcPr>
          <w:p w14:paraId="3F633F4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8 282</w:t>
            </w:r>
          </w:p>
        </w:tc>
        <w:tc>
          <w:tcPr>
            <w:tcW w:w="1077" w:type="dxa"/>
            <w:tcBorders>
              <w:top w:val="nil"/>
              <w:left w:val="nil"/>
              <w:bottom w:val="single" w:sz="4" w:space="0" w:color="auto"/>
              <w:right w:val="single" w:sz="4" w:space="0" w:color="auto"/>
            </w:tcBorders>
            <w:shd w:val="clear" w:color="auto" w:fill="auto"/>
            <w:hideMark/>
          </w:tcPr>
          <w:p w14:paraId="5D7F6D9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2 926</w:t>
            </w:r>
          </w:p>
        </w:tc>
        <w:tc>
          <w:tcPr>
            <w:tcW w:w="968" w:type="dxa"/>
            <w:tcBorders>
              <w:top w:val="nil"/>
              <w:left w:val="nil"/>
              <w:bottom w:val="single" w:sz="4" w:space="0" w:color="auto"/>
              <w:right w:val="single" w:sz="4" w:space="0" w:color="auto"/>
            </w:tcBorders>
            <w:shd w:val="clear" w:color="auto" w:fill="auto"/>
            <w:hideMark/>
          </w:tcPr>
          <w:p w14:paraId="7C9C422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3 393</w:t>
            </w:r>
          </w:p>
        </w:tc>
        <w:tc>
          <w:tcPr>
            <w:tcW w:w="968" w:type="dxa"/>
            <w:tcBorders>
              <w:top w:val="nil"/>
              <w:left w:val="nil"/>
              <w:bottom w:val="single" w:sz="4" w:space="0" w:color="auto"/>
              <w:right w:val="single" w:sz="4" w:space="0" w:color="auto"/>
            </w:tcBorders>
            <w:shd w:val="clear" w:color="auto" w:fill="auto"/>
            <w:hideMark/>
          </w:tcPr>
          <w:p w14:paraId="11A2952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18 925</w:t>
            </w:r>
          </w:p>
        </w:tc>
        <w:tc>
          <w:tcPr>
            <w:tcW w:w="1076" w:type="dxa"/>
            <w:tcBorders>
              <w:top w:val="nil"/>
              <w:left w:val="nil"/>
              <w:bottom w:val="single" w:sz="4" w:space="0" w:color="auto"/>
              <w:right w:val="single" w:sz="4" w:space="0" w:color="auto"/>
            </w:tcBorders>
            <w:shd w:val="clear" w:color="auto" w:fill="auto"/>
            <w:hideMark/>
          </w:tcPr>
          <w:p w14:paraId="2540E1F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18 847</w:t>
            </w:r>
          </w:p>
        </w:tc>
        <w:tc>
          <w:tcPr>
            <w:tcW w:w="1077" w:type="dxa"/>
            <w:tcBorders>
              <w:top w:val="nil"/>
              <w:left w:val="nil"/>
              <w:bottom w:val="single" w:sz="4" w:space="0" w:color="auto"/>
              <w:right w:val="single" w:sz="4" w:space="0" w:color="auto"/>
            </w:tcBorders>
            <w:shd w:val="clear" w:color="auto" w:fill="auto"/>
            <w:hideMark/>
          </w:tcPr>
          <w:p w14:paraId="452AAB8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15 430</w:t>
            </w:r>
          </w:p>
        </w:tc>
        <w:tc>
          <w:tcPr>
            <w:tcW w:w="1077" w:type="dxa"/>
            <w:tcBorders>
              <w:top w:val="nil"/>
              <w:left w:val="nil"/>
              <w:bottom w:val="single" w:sz="4" w:space="0" w:color="auto"/>
              <w:right w:val="single" w:sz="4" w:space="0" w:color="auto"/>
            </w:tcBorders>
            <w:shd w:val="clear" w:color="auto" w:fill="auto"/>
            <w:hideMark/>
          </w:tcPr>
          <w:p w14:paraId="11036D9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14 751</w:t>
            </w:r>
          </w:p>
        </w:tc>
        <w:tc>
          <w:tcPr>
            <w:tcW w:w="967" w:type="dxa"/>
            <w:tcBorders>
              <w:top w:val="nil"/>
              <w:left w:val="nil"/>
              <w:bottom w:val="single" w:sz="4" w:space="0" w:color="auto"/>
              <w:right w:val="single" w:sz="4" w:space="0" w:color="auto"/>
            </w:tcBorders>
            <w:shd w:val="clear" w:color="auto" w:fill="auto"/>
            <w:hideMark/>
          </w:tcPr>
          <w:p w14:paraId="4B8F933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11 263</w:t>
            </w:r>
          </w:p>
        </w:tc>
        <w:tc>
          <w:tcPr>
            <w:tcW w:w="1087" w:type="dxa"/>
            <w:tcBorders>
              <w:top w:val="nil"/>
              <w:left w:val="nil"/>
              <w:bottom w:val="single" w:sz="4" w:space="0" w:color="auto"/>
              <w:right w:val="single" w:sz="4" w:space="0" w:color="auto"/>
            </w:tcBorders>
            <w:shd w:val="clear" w:color="auto" w:fill="auto"/>
            <w:hideMark/>
          </w:tcPr>
          <w:p w14:paraId="5E0EA32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11 417</w:t>
            </w:r>
          </w:p>
        </w:tc>
      </w:tr>
      <w:tr w:rsidR="0053576E" w:rsidRPr="004135FE" w14:paraId="178330E4" w14:textId="77777777" w:rsidTr="00680E37">
        <w:trPr>
          <w:trHeight w:val="20"/>
        </w:trPr>
        <w:tc>
          <w:tcPr>
            <w:tcW w:w="569" w:type="dxa"/>
            <w:vMerge/>
            <w:tcBorders>
              <w:top w:val="nil"/>
              <w:left w:val="single" w:sz="4" w:space="0" w:color="auto"/>
              <w:bottom w:val="single" w:sz="4" w:space="0" w:color="000000"/>
              <w:right w:val="single" w:sz="4" w:space="0" w:color="auto"/>
            </w:tcBorders>
            <w:textDirection w:val="btLr"/>
            <w:hideMark/>
          </w:tcPr>
          <w:p w14:paraId="5AD96255"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tcBorders>
              <w:top w:val="nil"/>
              <w:left w:val="nil"/>
              <w:bottom w:val="single" w:sz="4" w:space="0" w:color="auto"/>
              <w:right w:val="single" w:sz="4" w:space="0" w:color="auto"/>
            </w:tcBorders>
            <w:shd w:val="clear" w:color="auto" w:fill="auto"/>
            <w:hideMark/>
          </w:tcPr>
          <w:p w14:paraId="609E334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tcBorders>
              <w:top w:val="nil"/>
              <w:left w:val="nil"/>
              <w:bottom w:val="single" w:sz="4" w:space="0" w:color="auto"/>
              <w:right w:val="single" w:sz="4" w:space="0" w:color="auto"/>
            </w:tcBorders>
            <w:shd w:val="clear" w:color="auto" w:fill="auto"/>
            <w:hideMark/>
          </w:tcPr>
          <w:p w14:paraId="3021901F"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75" w:type="dxa"/>
            <w:tcBorders>
              <w:top w:val="nil"/>
              <w:left w:val="nil"/>
              <w:bottom w:val="single" w:sz="4" w:space="0" w:color="auto"/>
              <w:right w:val="single" w:sz="4" w:space="0" w:color="auto"/>
            </w:tcBorders>
            <w:shd w:val="clear" w:color="auto" w:fill="auto"/>
            <w:hideMark/>
          </w:tcPr>
          <w:p w14:paraId="12A2B5A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1 725</w:t>
            </w:r>
          </w:p>
        </w:tc>
        <w:tc>
          <w:tcPr>
            <w:tcW w:w="792" w:type="dxa"/>
            <w:tcBorders>
              <w:top w:val="nil"/>
              <w:left w:val="nil"/>
              <w:bottom w:val="single" w:sz="4" w:space="0" w:color="auto"/>
              <w:right w:val="single" w:sz="4" w:space="0" w:color="auto"/>
            </w:tcBorders>
            <w:shd w:val="clear" w:color="auto" w:fill="auto"/>
            <w:hideMark/>
          </w:tcPr>
          <w:p w14:paraId="071E961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6 546</w:t>
            </w:r>
          </w:p>
        </w:tc>
        <w:tc>
          <w:tcPr>
            <w:tcW w:w="802" w:type="dxa"/>
            <w:tcBorders>
              <w:top w:val="nil"/>
              <w:left w:val="nil"/>
              <w:bottom w:val="single" w:sz="4" w:space="0" w:color="auto"/>
              <w:right w:val="single" w:sz="4" w:space="0" w:color="auto"/>
            </w:tcBorders>
            <w:shd w:val="clear" w:color="auto" w:fill="auto"/>
            <w:hideMark/>
          </w:tcPr>
          <w:p w14:paraId="3B70B77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7 058</w:t>
            </w:r>
          </w:p>
        </w:tc>
        <w:tc>
          <w:tcPr>
            <w:tcW w:w="967" w:type="dxa"/>
            <w:tcBorders>
              <w:top w:val="nil"/>
              <w:left w:val="nil"/>
              <w:bottom w:val="single" w:sz="4" w:space="0" w:color="auto"/>
              <w:right w:val="single" w:sz="4" w:space="0" w:color="auto"/>
            </w:tcBorders>
            <w:shd w:val="clear" w:color="auto" w:fill="auto"/>
            <w:hideMark/>
          </w:tcPr>
          <w:p w14:paraId="6E3B122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4 782</w:t>
            </w:r>
          </w:p>
        </w:tc>
        <w:tc>
          <w:tcPr>
            <w:tcW w:w="1077" w:type="dxa"/>
            <w:tcBorders>
              <w:top w:val="nil"/>
              <w:left w:val="nil"/>
              <w:bottom w:val="single" w:sz="4" w:space="0" w:color="auto"/>
              <w:right w:val="single" w:sz="4" w:space="0" w:color="auto"/>
            </w:tcBorders>
            <w:shd w:val="clear" w:color="auto" w:fill="auto"/>
            <w:hideMark/>
          </w:tcPr>
          <w:p w14:paraId="6B34CF7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1 634</w:t>
            </w:r>
          </w:p>
        </w:tc>
        <w:tc>
          <w:tcPr>
            <w:tcW w:w="968" w:type="dxa"/>
            <w:tcBorders>
              <w:top w:val="nil"/>
              <w:left w:val="nil"/>
              <w:bottom w:val="single" w:sz="4" w:space="0" w:color="auto"/>
              <w:right w:val="single" w:sz="4" w:space="0" w:color="auto"/>
            </w:tcBorders>
            <w:shd w:val="clear" w:color="auto" w:fill="auto"/>
            <w:hideMark/>
          </w:tcPr>
          <w:p w14:paraId="6407EBF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1 075</w:t>
            </w:r>
          </w:p>
        </w:tc>
        <w:tc>
          <w:tcPr>
            <w:tcW w:w="968" w:type="dxa"/>
            <w:tcBorders>
              <w:top w:val="nil"/>
              <w:left w:val="nil"/>
              <w:bottom w:val="single" w:sz="4" w:space="0" w:color="auto"/>
              <w:right w:val="single" w:sz="4" w:space="0" w:color="auto"/>
            </w:tcBorders>
            <w:shd w:val="clear" w:color="auto" w:fill="auto"/>
            <w:hideMark/>
          </w:tcPr>
          <w:p w14:paraId="1EF40D3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13 800</w:t>
            </w:r>
          </w:p>
        </w:tc>
        <w:tc>
          <w:tcPr>
            <w:tcW w:w="1076" w:type="dxa"/>
            <w:tcBorders>
              <w:top w:val="nil"/>
              <w:left w:val="nil"/>
              <w:bottom w:val="single" w:sz="4" w:space="0" w:color="auto"/>
              <w:right w:val="single" w:sz="4" w:space="0" w:color="auto"/>
            </w:tcBorders>
            <w:shd w:val="clear" w:color="auto" w:fill="auto"/>
            <w:hideMark/>
          </w:tcPr>
          <w:p w14:paraId="13ABD07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12 565</w:t>
            </w:r>
          </w:p>
        </w:tc>
        <w:tc>
          <w:tcPr>
            <w:tcW w:w="1077" w:type="dxa"/>
            <w:tcBorders>
              <w:top w:val="nil"/>
              <w:left w:val="nil"/>
              <w:bottom w:val="single" w:sz="4" w:space="0" w:color="auto"/>
              <w:right w:val="single" w:sz="4" w:space="0" w:color="auto"/>
            </w:tcBorders>
            <w:shd w:val="clear" w:color="auto" w:fill="auto"/>
            <w:hideMark/>
          </w:tcPr>
          <w:p w14:paraId="41687A9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8 570</w:t>
            </w:r>
          </w:p>
        </w:tc>
        <w:tc>
          <w:tcPr>
            <w:tcW w:w="1077" w:type="dxa"/>
            <w:tcBorders>
              <w:top w:val="nil"/>
              <w:left w:val="nil"/>
              <w:bottom w:val="single" w:sz="4" w:space="0" w:color="auto"/>
              <w:right w:val="single" w:sz="4" w:space="0" w:color="auto"/>
            </w:tcBorders>
            <w:shd w:val="clear" w:color="auto" w:fill="auto"/>
            <w:hideMark/>
          </w:tcPr>
          <w:p w14:paraId="60347A4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6 580</w:t>
            </w:r>
          </w:p>
        </w:tc>
        <w:tc>
          <w:tcPr>
            <w:tcW w:w="967" w:type="dxa"/>
            <w:tcBorders>
              <w:top w:val="nil"/>
              <w:left w:val="nil"/>
              <w:bottom w:val="single" w:sz="4" w:space="0" w:color="auto"/>
              <w:right w:val="single" w:sz="4" w:space="0" w:color="auto"/>
            </w:tcBorders>
            <w:shd w:val="clear" w:color="auto" w:fill="auto"/>
            <w:hideMark/>
          </w:tcPr>
          <w:p w14:paraId="5844CEB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3 080</w:t>
            </w:r>
          </w:p>
        </w:tc>
        <w:tc>
          <w:tcPr>
            <w:tcW w:w="1087" w:type="dxa"/>
            <w:tcBorders>
              <w:top w:val="nil"/>
              <w:left w:val="nil"/>
              <w:bottom w:val="single" w:sz="4" w:space="0" w:color="auto"/>
              <w:right w:val="single" w:sz="4" w:space="0" w:color="auto"/>
            </w:tcBorders>
            <w:shd w:val="clear" w:color="auto" w:fill="auto"/>
            <w:hideMark/>
          </w:tcPr>
          <w:p w14:paraId="62BA134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3 001</w:t>
            </w:r>
          </w:p>
        </w:tc>
      </w:tr>
      <w:tr w:rsidR="0053576E" w:rsidRPr="004135FE" w14:paraId="36E2ED9E" w14:textId="77777777" w:rsidTr="00680E37">
        <w:trPr>
          <w:trHeight w:val="20"/>
        </w:trPr>
        <w:tc>
          <w:tcPr>
            <w:tcW w:w="569" w:type="dxa"/>
            <w:vMerge/>
            <w:tcBorders>
              <w:top w:val="nil"/>
              <w:left w:val="single" w:sz="4" w:space="0" w:color="auto"/>
              <w:bottom w:val="single" w:sz="4" w:space="0" w:color="000000"/>
              <w:right w:val="single" w:sz="4" w:space="0" w:color="auto"/>
            </w:tcBorders>
            <w:textDirection w:val="btLr"/>
            <w:hideMark/>
          </w:tcPr>
          <w:p w14:paraId="1EF74BFC"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tcBorders>
              <w:top w:val="nil"/>
              <w:left w:val="nil"/>
              <w:bottom w:val="single" w:sz="4" w:space="0" w:color="auto"/>
              <w:right w:val="single" w:sz="4" w:space="0" w:color="auto"/>
            </w:tcBorders>
            <w:shd w:val="clear" w:color="auto" w:fill="auto"/>
            <w:hideMark/>
          </w:tcPr>
          <w:p w14:paraId="102ABC0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tcBorders>
              <w:top w:val="nil"/>
              <w:left w:val="nil"/>
              <w:bottom w:val="single" w:sz="4" w:space="0" w:color="auto"/>
              <w:right w:val="single" w:sz="4" w:space="0" w:color="auto"/>
            </w:tcBorders>
            <w:shd w:val="clear" w:color="auto" w:fill="auto"/>
            <w:hideMark/>
          </w:tcPr>
          <w:p w14:paraId="527BCB81"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75" w:type="dxa"/>
            <w:tcBorders>
              <w:top w:val="nil"/>
              <w:left w:val="nil"/>
              <w:bottom w:val="single" w:sz="4" w:space="0" w:color="auto"/>
              <w:right w:val="single" w:sz="4" w:space="0" w:color="auto"/>
            </w:tcBorders>
            <w:shd w:val="clear" w:color="auto" w:fill="auto"/>
            <w:hideMark/>
          </w:tcPr>
          <w:p w14:paraId="723AFCD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2 101</w:t>
            </w:r>
          </w:p>
        </w:tc>
        <w:tc>
          <w:tcPr>
            <w:tcW w:w="792" w:type="dxa"/>
            <w:tcBorders>
              <w:top w:val="nil"/>
              <w:left w:val="nil"/>
              <w:bottom w:val="single" w:sz="4" w:space="0" w:color="auto"/>
              <w:right w:val="single" w:sz="4" w:space="0" w:color="auto"/>
            </w:tcBorders>
            <w:shd w:val="clear" w:color="auto" w:fill="auto"/>
            <w:hideMark/>
          </w:tcPr>
          <w:p w14:paraId="5C0289F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10 346</w:t>
            </w:r>
          </w:p>
        </w:tc>
        <w:tc>
          <w:tcPr>
            <w:tcW w:w="802" w:type="dxa"/>
            <w:tcBorders>
              <w:top w:val="nil"/>
              <w:left w:val="nil"/>
              <w:bottom w:val="single" w:sz="4" w:space="0" w:color="auto"/>
              <w:right w:val="single" w:sz="4" w:space="0" w:color="auto"/>
            </w:tcBorders>
            <w:shd w:val="clear" w:color="auto" w:fill="auto"/>
            <w:hideMark/>
          </w:tcPr>
          <w:p w14:paraId="6872A11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10 758</w:t>
            </w:r>
          </w:p>
        </w:tc>
        <w:tc>
          <w:tcPr>
            <w:tcW w:w="967" w:type="dxa"/>
            <w:tcBorders>
              <w:top w:val="nil"/>
              <w:left w:val="nil"/>
              <w:bottom w:val="single" w:sz="4" w:space="0" w:color="auto"/>
              <w:right w:val="single" w:sz="4" w:space="0" w:color="auto"/>
            </w:tcBorders>
            <w:shd w:val="clear" w:color="auto" w:fill="auto"/>
            <w:hideMark/>
          </w:tcPr>
          <w:p w14:paraId="109BC91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7 792</w:t>
            </w:r>
          </w:p>
        </w:tc>
        <w:tc>
          <w:tcPr>
            <w:tcW w:w="1077" w:type="dxa"/>
            <w:tcBorders>
              <w:top w:val="nil"/>
              <w:left w:val="nil"/>
              <w:bottom w:val="single" w:sz="4" w:space="0" w:color="auto"/>
              <w:right w:val="single" w:sz="4" w:space="0" w:color="auto"/>
            </w:tcBorders>
            <w:shd w:val="clear" w:color="auto" w:fill="auto"/>
            <w:hideMark/>
          </w:tcPr>
          <w:p w14:paraId="437DBB3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4 032</w:t>
            </w:r>
          </w:p>
        </w:tc>
        <w:tc>
          <w:tcPr>
            <w:tcW w:w="968" w:type="dxa"/>
            <w:tcBorders>
              <w:top w:val="nil"/>
              <w:left w:val="nil"/>
              <w:bottom w:val="single" w:sz="4" w:space="0" w:color="auto"/>
              <w:right w:val="single" w:sz="4" w:space="0" w:color="auto"/>
            </w:tcBorders>
            <w:shd w:val="clear" w:color="auto" w:fill="auto"/>
            <w:hideMark/>
          </w:tcPr>
          <w:p w14:paraId="4982FFB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1 760</w:t>
            </w:r>
          </w:p>
        </w:tc>
        <w:tc>
          <w:tcPr>
            <w:tcW w:w="968" w:type="dxa"/>
            <w:tcBorders>
              <w:top w:val="nil"/>
              <w:left w:val="nil"/>
              <w:bottom w:val="single" w:sz="4" w:space="0" w:color="auto"/>
              <w:right w:val="single" w:sz="4" w:space="0" w:color="auto"/>
            </w:tcBorders>
            <w:shd w:val="clear" w:color="auto" w:fill="auto"/>
            <w:hideMark/>
          </w:tcPr>
          <w:p w14:paraId="419A1E0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22 868</w:t>
            </w:r>
          </w:p>
        </w:tc>
        <w:tc>
          <w:tcPr>
            <w:tcW w:w="1076" w:type="dxa"/>
            <w:tcBorders>
              <w:top w:val="nil"/>
              <w:left w:val="nil"/>
              <w:bottom w:val="single" w:sz="4" w:space="0" w:color="auto"/>
              <w:right w:val="single" w:sz="4" w:space="0" w:color="auto"/>
            </w:tcBorders>
            <w:shd w:val="clear" w:color="auto" w:fill="auto"/>
            <w:hideMark/>
          </w:tcPr>
          <w:p w14:paraId="507EABA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22 821</w:t>
            </w:r>
          </w:p>
        </w:tc>
        <w:tc>
          <w:tcPr>
            <w:tcW w:w="1077" w:type="dxa"/>
            <w:tcBorders>
              <w:top w:val="nil"/>
              <w:left w:val="nil"/>
              <w:bottom w:val="single" w:sz="4" w:space="0" w:color="auto"/>
              <w:right w:val="single" w:sz="4" w:space="0" w:color="auto"/>
            </w:tcBorders>
            <w:shd w:val="clear" w:color="auto" w:fill="auto"/>
            <w:hideMark/>
          </w:tcPr>
          <w:p w14:paraId="268B75C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18 778</w:t>
            </w:r>
          </w:p>
        </w:tc>
        <w:tc>
          <w:tcPr>
            <w:tcW w:w="1077" w:type="dxa"/>
            <w:tcBorders>
              <w:top w:val="nil"/>
              <w:left w:val="nil"/>
              <w:bottom w:val="single" w:sz="4" w:space="0" w:color="auto"/>
              <w:right w:val="single" w:sz="4" w:space="0" w:color="auto"/>
            </w:tcBorders>
            <w:shd w:val="clear" w:color="auto" w:fill="auto"/>
            <w:hideMark/>
          </w:tcPr>
          <w:p w14:paraId="4F329D9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17 765</w:t>
            </w:r>
          </w:p>
        </w:tc>
        <w:tc>
          <w:tcPr>
            <w:tcW w:w="967" w:type="dxa"/>
            <w:tcBorders>
              <w:top w:val="nil"/>
              <w:left w:val="nil"/>
              <w:bottom w:val="single" w:sz="4" w:space="0" w:color="auto"/>
              <w:right w:val="single" w:sz="4" w:space="0" w:color="auto"/>
            </w:tcBorders>
            <w:shd w:val="clear" w:color="auto" w:fill="auto"/>
            <w:hideMark/>
          </w:tcPr>
          <w:p w14:paraId="63D4E0E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11 266</w:t>
            </w:r>
          </w:p>
        </w:tc>
        <w:tc>
          <w:tcPr>
            <w:tcW w:w="1087" w:type="dxa"/>
            <w:tcBorders>
              <w:top w:val="nil"/>
              <w:left w:val="nil"/>
              <w:bottom w:val="single" w:sz="4" w:space="0" w:color="auto"/>
              <w:right w:val="single" w:sz="4" w:space="0" w:color="auto"/>
            </w:tcBorders>
            <w:shd w:val="clear" w:color="auto" w:fill="auto"/>
            <w:hideMark/>
          </w:tcPr>
          <w:p w14:paraId="78C4F47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11 181</w:t>
            </w:r>
          </w:p>
        </w:tc>
      </w:tr>
      <w:tr w:rsidR="0053576E" w:rsidRPr="004135FE" w14:paraId="34C2F827" w14:textId="77777777" w:rsidTr="00680E37">
        <w:trPr>
          <w:trHeight w:val="20"/>
        </w:trPr>
        <w:tc>
          <w:tcPr>
            <w:tcW w:w="569" w:type="dxa"/>
            <w:vMerge/>
            <w:tcBorders>
              <w:top w:val="nil"/>
              <w:left w:val="single" w:sz="4" w:space="0" w:color="auto"/>
              <w:bottom w:val="single" w:sz="4" w:space="0" w:color="000000"/>
              <w:right w:val="single" w:sz="4" w:space="0" w:color="auto"/>
            </w:tcBorders>
            <w:textDirection w:val="btLr"/>
            <w:hideMark/>
          </w:tcPr>
          <w:p w14:paraId="3AC29A65"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tcBorders>
              <w:top w:val="nil"/>
              <w:left w:val="nil"/>
              <w:bottom w:val="single" w:sz="4" w:space="0" w:color="auto"/>
              <w:right w:val="single" w:sz="4" w:space="0" w:color="auto"/>
            </w:tcBorders>
            <w:shd w:val="clear" w:color="auto" w:fill="auto"/>
            <w:hideMark/>
          </w:tcPr>
          <w:p w14:paraId="56A9DFE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tcBorders>
              <w:top w:val="nil"/>
              <w:left w:val="nil"/>
              <w:bottom w:val="single" w:sz="4" w:space="0" w:color="auto"/>
              <w:right w:val="single" w:sz="4" w:space="0" w:color="auto"/>
            </w:tcBorders>
            <w:shd w:val="clear" w:color="auto" w:fill="auto"/>
            <w:hideMark/>
          </w:tcPr>
          <w:p w14:paraId="4E00224C"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75" w:type="dxa"/>
            <w:tcBorders>
              <w:top w:val="nil"/>
              <w:left w:val="nil"/>
              <w:bottom w:val="single" w:sz="4" w:space="0" w:color="auto"/>
              <w:right w:val="single" w:sz="4" w:space="0" w:color="auto"/>
            </w:tcBorders>
            <w:shd w:val="clear" w:color="auto" w:fill="auto"/>
            <w:hideMark/>
          </w:tcPr>
          <w:p w14:paraId="763094F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1 427</w:t>
            </w:r>
          </w:p>
        </w:tc>
        <w:tc>
          <w:tcPr>
            <w:tcW w:w="792" w:type="dxa"/>
            <w:tcBorders>
              <w:top w:val="nil"/>
              <w:left w:val="nil"/>
              <w:bottom w:val="single" w:sz="4" w:space="0" w:color="auto"/>
              <w:right w:val="single" w:sz="4" w:space="0" w:color="auto"/>
            </w:tcBorders>
            <w:shd w:val="clear" w:color="auto" w:fill="auto"/>
            <w:hideMark/>
          </w:tcPr>
          <w:p w14:paraId="40D00CB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7 102</w:t>
            </w:r>
          </w:p>
        </w:tc>
        <w:tc>
          <w:tcPr>
            <w:tcW w:w="802" w:type="dxa"/>
            <w:tcBorders>
              <w:top w:val="nil"/>
              <w:left w:val="nil"/>
              <w:bottom w:val="single" w:sz="4" w:space="0" w:color="auto"/>
              <w:right w:val="single" w:sz="4" w:space="0" w:color="auto"/>
            </w:tcBorders>
            <w:shd w:val="clear" w:color="auto" w:fill="auto"/>
            <w:hideMark/>
          </w:tcPr>
          <w:p w14:paraId="0884B6D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8 003</w:t>
            </w:r>
          </w:p>
        </w:tc>
        <w:tc>
          <w:tcPr>
            <w:tcW w:w="967" w:type="dxa"/>
            <w:tcBorders>
              <w:top w:val="nil"/>
              <w:left w:val="nil"/>
              <w:bottom w:val="single" w:sz="4" w:space="0" w:color="auto"/>
              <w:right w:val="single" w:sz="4" w:space="0" w:color="auto"/>
            </w:tcBorders>
            <w:shd w:val="clear" w:color="auto" w:fill="auto"/>
            <w:hideMark/>
          </w:tcPr>
          <w:p w14:paraId="6667920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6 291</w:t>
            </w:r>
          </w:p>
        </w:tc>
        <w:tc>
          <w:tcPr>
            <w:tcW w:w="1077" w:type="dxa"/>
            <w:tcBorders>
              <w:top w:val="nil"/>
              <w:left w:val="nil"/>
              <w:bottom w:val="single" w:sz="4" w:space="0" w:color="auto"/>
              <w:right w:val="single" w:sz="4" w:space="0" w:color="auto"/>
            </w:tcBorders>
            <w:shd w:val="clear" w:color="auto" w:fill="auto"/>
            <w:hideMark/>
          </w:tcPr>
          <w:p w14:paraId="2E59DF4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6 027</w:t>
            </w:r>
          </w:p>
        </w:tc>
        <w:tc>
          <w:tcPr>
            <w:tcW w:w="968" w:type="dxa"/>
            <w:tcBorders>
              <w:top w:val="nil"/>
              <w:left w:val="nil"/>
              <w:bottom w:val="single" w:sz="4" w:space="0" w:color="auto"/>
              <w:right w:val="single" w:sz="4" w:space="0" w:color="auto"/>
            </w:tcBorders>
            <w:shd w:val="clear" w:color="auto" w:fill="auto"/>
            <w:hideMark/>
          </w:tcPr>
          <w:p w14:paraId="48D84EC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16 999</w:t>
            </w:r>
          </w:p>
        </w:tc>
        <w:tc>
          <w:tcPr>
            <w:tcW w:w="968" w:type="dxa"/>
            <w:tcBorders>
              <w:top w:val="nil"/>
              <w:left w:val="nil"/>
              <w:bottom w:val="single" w:sz="4" w:space="0" w:color="auto"/>
              <w:right w:val="single" w:sz="4" w:space="0" w:color="auto"/>
            </w:tcBorders>
            <w:shd w:val="clear" w:color="auto" w:fill="auto"/>
            <w:hideMark/>
          </w:tcPr>
          <w:p w14:paraId="2D5254C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46 345</w:t>
            </w:r>
          </w:p>
        </w:tc>
        <w:tc>
          <w:tcPr>
            <w:tcW w:w="1076" w:type="dxa"/>
            <w:tcBorders>
              <w:top w:val="nil"/>
              <w:left w:val="nil"/>
              <w:bottom w:val="single" w:sz="4" w:space="0" w:color="auto"/>
              <w:right w:val="single" w:sz="4" w:space="0" w:color="auto"/>
            </w:tcBorders>
            <w:shd w:val="clear" w:color="auto" w:fill="auto"/>
            <w:hideMark/>
          </w:tcPr>
          <w:p w14:paraId="4A8A0F4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21 289</w:t>
            </w:r>
          </w:p>
        </w:tc>
        <w:tc>
          <w:tcPr>
            <w:tcW w:w="1077" w:type="dxa"/>
            <w:tcBorders>
              <w:top w:val="nil"/>
              <w:left w:val="nil"/>
              <w:bottom w:val="single" w:sz="4" w:space="0" w:color="auto"/>
              <w:right w:val="single" w:sz="4" w:space="0" w:color="auto"/>
            </w:tcBorders>
            <w:shd w:val="clear" w:color="auto" w:fill="auto"/>
            <w:hideMark/>
          </w:tcPr>
          <w:p w14:paraId="2D792C9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17 688</w:t>
            </w:r>
          </w:p>
        </w:tc>
        <w:tc>
          <w:tcPr>
            <w:tcW w:w="1077" w:type="dxa"/>
            <w:tcBorders>
              <w:top w:val="nil"/>
              <w:left w:val="nil"/>
              <w:bottom w:val="single" w:sz="4" w:space="0" w:color="auto"/>
              <w:right w:val="single" w:sz="4" w:space="0" w:color="auto"/>
            </w:tcBorders>
            <w:shd w:val="clear" w:color="auto" w:fill="auto"/>
            <w:hideMark/>
          </w:tcPr>
          <w:p w14:paraId="1CAFE11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16 411</w:t>
            </w:r>
          </w:p>
        </w:tc>
        <w:tc>
          <w:tcPr>
            <w:tcW w:w="967" w:type="dxa"/>
            <w:tcBorders>
              <w:top w:val="nil"/>
              <w:left w:val="nil"/>
              <w:bottom w:val="single" w:sz="4" w:space="0" w:color="auto"/>
              <w:right w:val="single" w:sz="4" w:space="0" w:color="auto"/>
            </w:tcBorders>
            <w:shd w:val="clear" w:color="auto" w:fill="auto"/>
            <w:hideMark/>
          </w:tcPr>
          <w:p w14:paraId="2259FE9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11 886</w:t>
            </w:r>
          </w:p>
        </w:tc>
        <w:tc>
          <w:tcPr>
            <w:tcW w:w="1087" w:type="dxa"/>
            <w:tcBorders>
              <w:top w:val="nil"/>
              <w:left w:val="nil"/>
              <w:bottom w:val="single" w:sz="4" w:space="0" w:color="auto"/>
              <w:right w:val="single" w:sz="4" w:space="0" w:color="auto"/>
            </w:tcBorders>
            <w:shd w:val="clear" w:color="auto" w:fill="auto"/>
            <w:hideMark/>
          </w:tcPr>
          <w:p w14:paraId="718920F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11 294</w:t>
            </w:r>
          </w:p>
        </w:tc>
      </w:tr>
      <w:tr w:rsidR="0053576E" w:rsidRPr="004135FE" w14:paraId="51D2DA2E" w14:textId="77777777" w:rsidTr="00680E37">
        <w:trPr>
          <w:trHeight w:val="20"/>
        </w:trPr>
        <w:tc>
          <w:tcPr>
            <w:tcW w:w="569" w:type="dxa"/>
            <w:vMerge/>
            <w:tcBorders>
              <w:top w:val="nil"/>
              <w:left w:val="single" w:sz="4" w:space="0" w:color="auto"/>
              <w:bottom w:val="single" w:sz="4" w:space="0" w:color="000000"/>
              <w:right w:val="single" w:sz="4" w:space="0" w:color="auto"/>
            </w:tcBorders>
            <w:textDirection w:val="btLr"/>
            <w:hideMark/>
          </w:tcPr>
          <w:p w14:paraId="36B6C836"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tcBorders>
              <w:top w:val="nil"/>
              <w:left w:val="nil"/>
              <w:bottom w:val="single" w:sz="4" w:space="0" w:color="auto"/>
              <w:right w:val="single" w:sz="4" w:space="0" w:color="auto"/>
            </w:tcBorders>
            <w:shd w:val="clear" w:color="auto" w:fill="auto"/>
            <w:hideMark/>
          </w:tcPr>
          <w:p w14:paraId="1D2B838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tcBorders>
              <w:top w:val="nil"/>
              <w:left w:val="nil"/>
              <w:bottom w:val="single" w:sz="4" w:space="0" w:color="auto"/>
              <w:right w:val="single" w:sz="4" w:space="0" w:color="auto"/>
            </w:tcBorders>
            <w:shd w:val="clear" w:color="auto" w:fill="auto"/>
            <w:hideMark/>
          </w:tcPr>
          <w:p w14:paraId="2960B512"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75" w:type="dxa"/>
            <w:tcBorders>
              <w:top w:val="nil"/>
              <w:left w:val="nil"/>
              <w:bottom w:val="single" w:sz="4" w:space="0" w:color="auto"/>
              <w:right w:val="single" w:sz="4" w:space="0" w:color="auto"/>
            </w:tcBorders>
            <w:shd w:val="clear" w:color="auto" w:fill="auto"/>
            <w:hideMark/>
          </w:tcPr>
          <w:p w14:paraId="7E0F38C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832</w:t>
            </w:r>
          </w:p>
        </w:tc>
        <w:tc>
          <w:tcPr>
            <w:tcW w:w="792" w:type="dxa"/>
            <w:tcBorders>
              <w:top w:val="nil"/>
              <w:left w:val="nil"/>
              <w:bottom w:val="single" w:sz="4" w:space="0" w:color="auto"/>
              <w:right w:val="single" w:sz="4" w:space="0" w:color="auto"/>
            </w:tcBorders>
            <w:shd w:val="clear" w:color="auto" w:fill="auto"/>
            <w:hideMark/>
          </w:tcPr>
          <w:p w14:paraId="2901D77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4 304</w:t>
            </w:r>
          </w:p>
        </w:tc>
        <w:tc>
          <w:tcPr>
            <w:tcW w:w="802" w:type="dxa"/>
            <w:tcBorders>
              <w:top w:val="nil"/>
              <w:left w:val="nil"/>
              <w:bottom w:val="single" w:sz="4" w:space="0" w:color="auto"/>
              <w:right w:val="single" w:sz="4" w:space="0" w:color="auto"/>
            </w:tcBorders>
            <w:shd w:val="clear" w:color="auto" w:fill="auto"/>
            <w:hideMark/>
          </w:tcPr>
          <w:p w14:paraId="46B42B2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4 697</w:t>
            </w:r>
          </w:p>
        </w:tc>
        <w:tc>
          <w:tcPr>
            <w:tcW w:w="967" w:type="dxa"/>
            <w:tcBorders>
              <w:top w:val="nil"/>
              <w:left w:val="nil"/>
              <w:bottom w:val="single" w:sz="4" w:space="0" w:color="auto"/>
              <w:right w:val="single" w:sz="4" w:space="0" w:color="auto"/>
            </w:tcBorders>
            <w:shd w:val="clear" w:color="auto" w:fill="auto"/>
            <w:hideMark/>
          </w:tcPr>
          <w:p w14:paraId="08E93E9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3 215</w:t>
            </w:r>
          </w:p>
        </w:tc>
        <w:tc>
          <w:tcPr>
            <w:tcW w:w="1077" w:type="dxa"/>
            <w:tcBorders>
              <w:top w:val="nil"/>
              <w:left w:val="nil"/>
              <w:bottom w:val="single" w:sz="4" w:space="0" w:color="auto"/>
              <w:right w:val="single" w:sz="4" w:space="0" w:color="auto"/>
            </w:tcBorders>
            <w:shd w:val="clear" w:color="auto" w:fill="auto"/>
            <w:hideMark/>
          </w:tcPr>
          <w:p w14:paraId="7713914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1 554</w:t>
            </w:r>
          </w:p>
        </w:tc>
        <w:tc>
          <w:tcPr>
            <w:tcW w:w="968" w:type="dxa"/>
            <w:tcBorders>
              <w:top w:val="nil"/>
              <w:left w:val="nil"/>
              <w:bottom w:val="single" w:sz="4" w:space="0" w:color="auto"/>
              <w:right w:val="single" w:sz="4" w:space="0" w:color="auto"/>
            </w:tcBorders>
            <w:shd w:val="clear" w:color="auto" w:fill="auto"/>
            <w:hideMark/>
          </w:tcPr>
          <w:p w14:paraId="44BA44B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1 448</w:t>
            </w:r>
          </w:p>
        </w:tc>
        <w:tc>
          <w:tcPr>
            <w:tcW w:w="968" w:type="dxa"/>
            <w:tcBorders>
              <w:top w:val="nil"/>
              <w:left w:val="nil"/>
              <w:bottom w:val="single" w:sz="4" w:space="0" w:color="auto"/>
              <w:right w:val="single" w:sz="4" w:space="0" w:color="auto"/>
            </w:tcBorders>
            <w:shd w:val="clear" w:color="auto" w:fill="auto"/>
            <w:hideMark/>
          </w:tcPr>
          <w:p w14:paraId="38EBD39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17 379</w:t>
            </w:r>
          </w:p>
        </w:tc>
        <w:tc>
          <w:tcPr>
            <w:tcW w:w="1076" w:type="dxa"/>
            <w:tcBorders>
              <w:top w:val="nil"/>
              <w:left w:val="nil"/>
              <w:bottom w:val="single" w:sz="4" w:space="0" w:color="auto"/>
              <w:right w:val="single" w:sz="4" w:space="0" w:color="auto"/>
            </w:tcBorders>
            <w:shd w:val="clear" w:color="auto" w:fill="auto"/>
            <w:hideMark/>
          </w:tcPr>
          <w:p w14:paraId="4A21F66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16 458</w:t>
            </w:r>
          </w:p>
        </w:tc>
        <w:tc>
          <w:tcPr>
            <w:tcW w:w="1077" w:type="dxa"/>
            <w:tcBorders>
              <w:top w:val="nil"/>
              <w:left w:val="nil"/>
              <w:bottom w:val="single" w:sz="4" w:space="0" w:color="auto"/>
              <w:right w:val="single" w:sz="4" w:space="0" w:color="auto"/>
            </w:tcBorders>
            <w:shd w:val="clear" w:color="auto" w:fill="auto"/>
            <w:hideMark/>
          </w:tcPr>
          <w:p w14:paraId="13F72C2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12 518</w:t>
            </w:r>
          </w:p>
        </w:tc>
        <w:tc>
          <w:tcPr>
            <w:tcW w:w="1077" w:type="dxa"/>
            <w:tcBorders>
              <w:top w:val="nil"/>
              <w:left w:val="nil"/>
              <w:bottom w:val="single" w:sz="4" w:space="0" w:color="auto"/>
              <w:right w:val="single" w:sz="4" w:space="0" w:color="auto"/>
            </w:tcBorders>
            <w:shd w:val="clear" w:color="auto" w:fill="auto"/>
            <w:hideMark/>
          </w:tcPr>
          <w:p w14:paraId="0C66BB3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11 024</w:t>
            </w:r>
          </w:p>
        </w:tc>
        <w:tc>
          <w:tcPr>
            <w:tcW w:w="967" w:type="dxa"/>
            <w:tcBorders>
              <w:top w:val="nil"/>
              <w:left w:val="nil"/>
              <w:bottom w:val="single" w:sz="4" w:space="0" w:color="auto"/>
              <w:right w:val="single" w:sz="4" w:space="0" w:color="auto"/>
            </w:tcBorders>
            <w:shd w:val="clear" w:color="auto" w:fill="auto"/>
            <w:hideMark/>
          </w:tcPr>
          <w:p w14:paraId="5C2963B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6 827</w:t>
            </w:r>
          </w:p>
        </w:tc>
        <w:tc>
          <w:tcPr>
            <w:tcW w:w="1087" w:type="dxa"/>
            <w:tcBorders>
              <w:top w:val="nil"/>
              <w:left w:val="nil"/>
              <w:bottom w:val="single" w:sz="4" w:space="0" w:color="auto"/>
              <w:right w:val="single" w:sz="4" w:space="0" w:color="auto"/>
            </w:tcBorders>
            <w:shd w:val="clear" w:color="auto" w:fill="auto"/>
            <w:hideMark/>
          </w:tcPr>
          <w:p w14:paraId="3AE3D79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6 502</w:t>
            </w:r>
          </w:p>
        </w:tc>
      </w:tr>
    </w:tbl>
    <w:p w14:paraId="7AD89301" w14:textId="6D56CFBB" w:rsidR="00680E37" w:rsidRPr="00680E37" w:rsidRDefault="00680E37" w:rsidP="00680E37">
      <w:pPr>
        <w:rPr>
          <w:rFonts w:ascii="Times New Roman" w:eastAsia="Times New Roman" w:hAnsi="Times New Roman" w:cs="Times New Roman"/>
          <w:sz w:val="28"/>
          <w:szCs w:val="28"/>
        </w:rPr>
      </w:pPr>
      <w:r w:rsidRPr="00680E37">
        <w:rPr>
          <w:rFonts w:ascii="Times New Roman" w:eastAsia="Times New Roman" w:hAnsi="Times New Roman" w:cs="Times New Roman"/>
          <w:sz w:val="28"/>
          <w:szCs w:val="28"/>
        </w:rPr>
        <w:t>Продолжение таблицы А</w:t>
      </w:r>
      <w:r>
        <w:rPr>
          <w:rFonts w:ascii="Times New Roman" w:eastAsia="Times New Roman" w:hAnsi="Times New Roman" w:cs="Times New Roman"/>
          <w:sz w:val="28"/>
          <w:szCs w:val="28"/>
        </w:rPr>
        <w:t>7</w:t>
      </w:r>
    </w:p>
    <w:tbl>
      <w:tblPr>
        <w:tblW w:w="1488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484"/>
        <w:gridCol w:w="2098"/>
        <w:gridCol w:w="875"/>
        <w:gridCol w:w="792"/>
        <w:gridCol w:w="802"/>
        <w:gridCol w:w="967"/>
        <w:gridCol w:w="1077"/>
        <w:gridCol w:w="968"/>
        <w:gridCol w:w="968"/>
        <w:gridCol w:w="1076"/>
        <w:gridCol w:w="1077"/>
        <w:gridCol w:w="1077"/>
        <w:gridCol w:w="967"/>
        <w:gridCol w:w="1087"/>
      </w:tblGrid>
      <w:tr w:rsidR="0053576E" w:rsidRPr="004135FE" w14:paraId="76008CF0" w14:textId="77777777" w:rsidTr="00680E37">
        <w:trPr>
          <w:trHeight w:val="20"/>
        </w:trPr>
        <w:tc>
          <w:tcPr>
            <w:tcW w:w="569" w:type="dxa"/>
            <w:vMerge w:val="restart"/>
            <w:textDirection w:val="btLr"/>
            <w:hideMark/>
          </w:tcPr>
          <w:p w14:paraId="2108E922"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6DE48FB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shd w:val="clear" w:color="auto" w:fill="auto"/>
            <w:hideMark/>
          </w:tcPr>
          <w:p w14:paraId="74699167"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75" w:type="dxa"/>
            <w:shd w:val="clear" w:color="auto" w:fill="auto"/>
            <w:hideMark/>
          </w:tcPr>
          <w:p w14:paraId="10FC126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1 604</w:t>
            </w:r>
          </w:p>
        </w:tc>
        <w:tc>
          <w:tcPr>
            <w:tcW w:w="792" w:type="dxa"/>
            <w:shd w:val="clear" w:color="auto" w:fill="auto"/>
            <w:hideMark/>
          </w:tcPr>
          <w:p w14:paraId="315BE31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7 831</w:t>
            </w:r>
          </w:p>
        </w:tc>
        <w:tc>
          <w:tcPr>
            <w:tcW w:w="802" w:type="dxa"/>
            <w:shd w:val="clear" w:color="auto" w:fill="auto"/>
            <w:hideMark/>
          </w:tcPr>
          <w:p w14:paraId="2D24077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9 992</w:t>
            </w:r>
          </w:p>
        </w:tc>
        <w:tc>
          <w:tcPr>
            <w:tcW w:w="967" w:type="dxa"/>
            <w:shd w:val="clear" w:color="auto" w:fill="auto"/>
            <w:hideMark/>
          </w:tcPr>
          <w:p w14:paraId="5A3ED10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8 045</w:t>
            </w:r>
          </w:p>
        </w:tc>
        <w:tc>
          <w:tcPr>
            <w:tcW w:w="1077" w:type="dxa"/>
            <w:shd w:val="clear" w:color="auto" w:fill="auto"/>
            <w:hideMark/>
          </w:tcPr>
          <w:p w14:paraId="36E58B8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2 522</w:t>
            </w:r>
          </w:p>
        </w:tc>
        <w:tc>
          <w:tcPr>
            <w:tcW w:w="968" w:type="dxa"/>
            <w:shd w:val="clear" w:color="auto" w:fill="auto"/>
            <w:hideMark/>
          </w:tcPr>
          <w:p w14:paraId="1F26844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1 274</w:t>
            </w:r>
          </w:p>
        </w:tc>
        <w:tc>
          <w:tcPr>
            <w:tcW w:w="968" w:type="dxa"/>
            <w:shd w:val="clear" w:color="auto" w:fill="auto"/>
            <w:hideMark/>
          </w:tcPr>
          <w:p w14:paraId="23AE31A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13 621</w:t>
            </w:r>
          </w:p>
        </w:tc>
        <w:tc>
          <w:tcPr>
            <w:tcW w:w="1076" w:type="dxa"/>
            <w:shd w:val="clear" w:color="auto" w:fill="auto"/>
            <w:hideMark/>
          </w:tcPr>
          <w:p w14:paraId="6CB47A0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13 940</w:t>
            </w:r>
          </w:p>
        </w:tc>
        <w:tc>
          <w:tcPr>
            <w:tcW w:w="1077" w:type="dxa"/>
            <w:shd w:val="clear" w:color="auto" w:fill="auto"/>
            <w:hideMark/>
          </w:tcPr>
          <w:p w14:paraId="62BB84D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11 679</w:t>
            </w:r>
          </w:p>
        </w:tc>
        <w:tc>
          <w:tcPr>
            <w:tcW w:w="1077" w:type="dxa"/>
            <w:shd w:val="clear" w:color="auto" w:fill="auto"/>
            <w:hideMark/>
          </w:tcPr>
          <w:p w14:paraId="4EE3FB7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11 610</w:t>
            </w:r>
          </w:p>
        </w:tc>
        <w:tc>
          <w:tcPr>
            <w:tcW w:w="967" w:type="dxa"/>
            <w:shd w:val="clear" w:color="auto" w:fill="auto"/>
            <w:hideMark/>
          </w:tcPr>
          <w:p w14:paraId="1B3278B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7 930</w:t>
            </w:r>
          </w:p>
        </w:tc>
        <w:tc>
          <w:tcPr>
            <w:tcW w:w="1087" w:type="dxa"/>
            <w:shd w:val="clear" w:color="auto" w:fill="auto"/>
            <w:hideMark/>
          </w:tcPr>
          <w:p w14:paraId="7A4CF93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7 376</w:t>
            </w:r>
          </w:p>
        </w:tc>
      </w:tr>
      <w:tr w:rsidR="0053576E" w:rsidRPr="004135FE" w14:paraId="0BF0759F" w14:textId="77777777" w:rsidTr="00680E37">
        <w:trPr>
          <w:trHeight w:val="115"/>
        </w:trPr>
        <w:tc>
          <w:tcPr>
            <w:tcW w:w="569" w:type="dxa"/>
            <w:vMerge/>
            <w:textDirection w:val="btLr"/>
            <w:hideMark/>
          </w:tcPr>
          <w:p w14:paraId="0E2BBF9D"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3F62973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shd w:val="clear" w:color="auto" w:fill="auto"/>
            <w:hideMark/>
          </w:tcPr>
          <w:p w14:paraId="44500720"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75" w:type="dxa"/>
            <w:shd w:val="clear" w:color="auto" w:fill="auto"/>
            <w:hideMark/>
          </w:tcPr>
          <w:p w14:paraId="4D2E30EA"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792" w:type="dxa"/>
            <w:shd w:val="clear" w:color="auto" w:fill="auto"/>
            <w:hideMark/>
          </w:tcPr>
          <w:p w14:paraId="00175621"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802" w:type="dxa"/>
            <w:shd w:val="clear" w:color="auto" w:fill="auto"/>
            <w:hideMark/>
          </w:tcPr>
          <w:p w14:paraId="1A4FF0A7"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67" w:type="dxa"/>
            <w:shd w:val="clear" w:color="auto" w:fill="auto"/>
            <w:hideMark/>
          </w:tcPr>
          <w:p w14:paraId="07D00725"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077" w:type="dxa"/>
            <w:shd w:val="clear" w:color="auto" w:fill="auto"/>
            <w:hideMark/>
          </w:tcPr>
          <w:p w14:paraId="52AEDAB8"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68" w:type="dxa"/>
            <w:shd w:val="clear" w:color="auto" w:fill="auto"/>
            <w:hideMark/>
          </w:tcPr>
          <w:p w14:paraId="1909A90B"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68" w:type="dxa"/>
            <w:shd w:val="clear" w:color="auto" w:fill="auto"/>
            <w:hideMark/>
          </w:tcPr>
          <w:p w14:paraId="22A6D75A"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076" w:type="dxa"/>
            <w:shd w:val="clear" w:color="auto" w:fill="auto"/>
            <w:hideMark/>
          </w:tcPr>
          <w:p w14:paraId="75A04EB1"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077" w:type="dxa"/>
            <w:shd w:val="clear" w:color="auto" w:fill="auto"/>
            <w:hideMark/>
          </w:tcPr>
          <w:p w14:paraId="21F7C294"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077" w:type="dxa"/>
            <w:shd w:val="clear" w:color="auto" w:fill="auto"/>
            <w:hideMark/>
          </w:tcPr>
          <w:p w14:paraId="38F07F5C"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67" w:type="dxa"/>
            <w:shd w:val="clear" w:color="auto" w:fill="auto"/>
            <w:hideMark/>
          </w:tcPr>
          <w:p w14:paraId="7D52ACDB"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087" w:type="dxa"/>
            <w:shd w:val="clear" w:color="auto" w:fill="auto"/>
            <w:hideMark/>
          </w:tcPr>
          <w:p w14:paraId="67BE55DA"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r>
      <w:tr w:rsidR="0053576E" w:rsidRPr="004135FE" w14:paraId="72AFC005" w14:textId="77777777" w:rsidTr="00680E37">
        <w:trPr>
          <w:trHeight w:val="20"/>
        </w:trPr>
        <w:tc>
          <w:tcPr>
            <w:tcW w:w="569" w:type="dxa"/>
            <w:vMerge/>
            <w:textDirection w:val="btLr"/>
            <w:hideMark/>
          </w:tcPr>
          <w:p w14:paraId="22DD1E0B"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17D6583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shd w:val="clear" w:color="auto" w:fill="auto"/>
            <w:hideMark/>
          </w:tcPr>
          <w:p w14:paraId="15026BF4"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75" w:type="dxa"/>
            <w:shd w:val="clear" w:color="auto" w:fill="auto"/>
            <w:hideMark/>
          </w:tcPr>
          <w:p w14:paraId="18F437C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956</w:t>
            </w:r>
          </w:p>
        </w:tc>
        <w:tc>
          <w:tcPr>
            <w:tcW w:w="792" w:type="dxa"/>
            <w:shd w:val="clear" w:color="auto" w:fill="auto"/>
            <w:hideMark/>
          </w:tcPr>
          <w:p w14:paraId="6C0D63E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4 673</w:t>
            </w:r>
          </w:p>
        </w:tc>
        <w:tc>
          <w:tcPr>
            <w:tcW w:w="802" w:type="dxa"/>
            <w:shd w:val="clear" w:color="auto" w:fill="auto"/>
            <w:hideMark/>
          </w:tcPr>
          <w:p w14:paraId="58BD6F4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6 469</w:t>
            </w:r>
          </w:p>
        </w:tc>
        <w:tc>
          <w:tcPr>
            <w:tcW w:w="967" w:type="dxa"/>
            <w:shd w:val="clear" w:color="auto" w:fill="auto"/>
            <w:hideMark/>
          </w:tcPr>
          <w:p w14:paraId="7661D33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5 696</w:t>
            </w:r>
          </w:p>
        </w:tc>
        <w:tc>
          <w:tcPr>
            <w:tcW w:w="1077" w:type="dxa"/>
            <w:shd w:val="clear" w:color="auto" w:fill="auto"/>
            <w:hideMark/>
          </w:tcPr>
          <w:p w14:paraId="21F11DE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3 794</w:t>
            </w:r>
          </w:p>
        </w:tc>
        <w:tc>
          <w:tcPr>
            <w:tcW w:w="968" w:type="dxa"/>
            <w:shd w:val="clear" w:color="auto" w:fill="auto"/>
            <w:hideMark/>
          </w:tcPr>
          <w:p w14:paraId="3A150BD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2 206</w:t>
            </w:r>
          </w:p>
        </w:tc>
        <w:tc>
          <w:tcPr>
            <w:tcW w:w="968" w:type="dxa"/>
            <w:shd w:val="clear" w:color="auto" w:fill="auto"/>
            <w:hideMark/>
          </w:tcPr>
          <w:p w14:paraId="5474510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17 648</w:t>
            </w:r>
          </w:p>
        </w:tc>
        <w:tc>
          <w:tcPr>
            <w:tcW w:w="1076" w:type="dxa"/>
            <w:shd w:val="clear" w:color="auto" w:fill="auto"/>
            <w:hideMark/>
          </w:tcPr>
          <w:p w14:paraId="0D54970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17 536</w:t>
            </w:r>
          </w:p>
        </w:tc>
        <w:tc>
          <w:tcPr>
            <w:tcW w:w="1077" w:type="dxa"/>
            <w:shd w:val="clear" w:color="auto" w:fill="auto"/>
            <w:hideMark/>
          </w:tcPr>
          <w:p w14:paraId="01322D6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13 726</w:t>
            </w:r>
          </w:p>
        </w:tc>
        <w:tc>
          <w:tcPr>
            <w:tcW w:w="1077" w:type="dxa"/>
            <w:shd w:val="clear" w:color="auto" w:fill="auto"/>
            <w:hideMark/>
          </w:tcPr>
          <w:p w14:paraId="7D047DB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13 676</w:t>
            </w:r>
          </w:p>
        </w:tc>
        <w:tc>
          <w:tcPr>
            <w:tcW w:w="967" w:type="dxa"/>
            <w:shd w:val="clear" w:color="auto" w:fill="auto"/>
            <w:hideMark/>
          </w:tcPr>
          <w:p w14:paraId="3056CEC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8 218</w:t>
            </w:r>
          </w:p>
        </w:tc>
        <w:tc>
          <w:tcPr>
            <w:tcW w:w="1087" w:type="dxa"/>
            <w:shd w:val="clear" w:color="auto" w:fill="auto"/>
            <w:hideMark/>
          </w:tcPr>
          <w:p w14:paraId="0D46DD9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8 027</w:t>
            </w:r>
          </w:p>
        </w:tc>
      </w:tr>
      <w:tr w:rsidR="0053576E" w:rsidRPr="004135FE" w14:paraId="4E86D116" w14:textId="77777777" w:rsidTr="00680E37">
        <w:trPr>
          <w:trHeight w:val="20"/>
        </w:trPr>
        <w:tc>
          <w:tcPr>
            <w:tcW w:w="569" w:type="dxa"/>
            <w:vMerge w:val="restart"/>
            <w:shd w:val="clear" w:color="auto" w:fill="auto"/>
            <w:noWrap/>
            <w:textDirection w:val="btLr"/>
            <w:hideMark/>
          </w:tcPr>
          <w:p w14:paraId="5B667BAC"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2014год</w:t>
            </w:r>
          </w:p>
        </w:tc>
        <w:tc>
          <w:tcPr>
            <w:tcW w:w="484" w:type="dxa"/>
            <w:shd w:val="clear" w:color="auto" w:fill="auto"/>
            <w:hideMark/>
          </w:tcPr>
          <w:p w14:paraId="05A3591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shd w:val="clear" w:color="auto" w:fill="auto"/>
            <w:hideMark/>
          </w:tcPr>
          <w:p w14:paraId="669CA403"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75" w:type="dxa"/>
            <w:shd w:val="clear" w:color="auto" w:fill="auto"/>
            <w:hideMark/>
          </w:tcPr>
          <w:p w14:paraId="224CE1D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2 631</w:t>
            </w:r>
          </w:p>
        </w:tc>
        <w:tc>
          <w:tcPr>
            <w:tcW w:w="792" w:type="dxa"/>
            <w:shd w:val="clear" w:color="auto" w:fill="auto"/>
            <w:hideMark/>
          </w:tcPr>
          <w:p w14:paraId="7A805A9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45 741</w:t>
            </w:r>
          </w:p>
        </w:tc>
        <w:tc>
          <w:tcPr>
            <w:tcW w:w="802" w:type="dxa"/>
            <w:shd w:val="clear" w:color="auto" w:fill="auto"/>
            <w:hideMark/>
          </w:tcPr>
          <w:p w14:paraId="291FD46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11 253</w:t>
            </w:r>
          </w:p>
        </w:tc>
        <w:tc>
          <w:tcPr>
            <w:tcW w:w="967" w:type="dxa"/>
            <w:shd w:val="clear" w:color="auto" w:fill="auto"/>
            <w:hideMark/>
          </w:tcPr>
          <w:p w14:paraId="452552C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15 672</w:t>
            </w:r>
          </w:p>
        </w:tc>
        <w:tc>
          <w:tcPr>
            <w:tcW w:w="1077" w:type="dxa"/>
            <w:shd w:val="clear" w:color="auto" w:fill="auto"/>
            <w:hideMark/>
          </w:tcPr>
          <w:p w14:paraId="43E4AB4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11 901</w:t>
            </w:r>
          </w:p>
        </w:tc>
        <w:tc>
          <w:tcPr>
            <w:tcW w:w="968" w:type="dxa"/>
            <w:shd w:val="clear" w:color="auto" w:fill="auto"/>
            <w:hideMark/>
          </w:tcPr>
          <w:p w14:paraId="368C861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10 013</w:t>
            </w:r>
          </w:p>
        </w:tc>
        <w:tc>
          <w:tcPr>
            <w:tcW w:w="968" w:type="dxa"/>
            <w:shd w:val="clear" w:color="auto" w:fill="auto"/>
            <w:hideMark/>
          </w:tcPr>
          <w:p w14:paraId="4801B18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18 319</w:t>
            </w:r>
          </w:p>
        </w:tc>
        <w:tc>
          <w:tcPr>
            <w:tcW w:w="1076" w:type="dxa"/>
            <w:shd w:val="clear" w:color="auto" w:fill="auto"/>
            <w:hideMark/>
          </w:tcPr>
          <w:p w14:paraId="0405056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13 764</w:t>
            </w:r>
          </w:p>
        </w:tc>
        <w:tc>
          <w:tcPr>
            <w:tcW w:w="1077" w:type="dxa"/>
            <w:shd w:val="clear" w:color="auto" w:fill="auto"/>
            <w:hideMark/>
          </w:tcPr>
          <w:p w14:paraId="4FAC129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9 511</w:t>
            </w:r>
          </w:p>
        </w:tc>
        <w:tc>
          <w:tcPr>
            <w:tcW w:w="1077" w:type="dxa"/>
            <w:shd w:val="clear" w:color="auto" w:fill="auto"/>
            <w:hideMark/>
          </w:tcPr>
          <w:p w14:paraId="1751CEC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8 448</w:t>
            </w:r>
          </w:p>
        </w:tc>
        <w:tc>
          <w:tcPr>
            <w:tcW w:w="967" w:type="dxa"/>
            <w:shd w:val="clear" w:color="auto" w:fill="auto"/>
            <w:hideMark/>
          </w:tcPr>
          <w:p w14:paraId="38754F7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7 992</w:t>
            </w:r>
          </w:p>
        </w:tc>
        <w:tc>
          <w:tcPr>
            <w:tcW w:w="1087" w:type="dxa"/>
            <w:shd w:val="clear" w:color="auto" w:fill="auto"/>
            <w:hideMark/>
          </w:tcPr>
          <w:p w14:paraId="0775D55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8 108</w:t>
            </w:r>
          </w:p>
        </w:tc>
      </w:tr>
      <w:tr w:rsidR="0053576E" w:rsidRPr="004135FE" w14:paraId="015DDD6A" w14:textId="77777777" w:rsidTr="00680E37">
        <w:trPr>
          <w:trHeight w:val="20"/>
        </w:trPr>
        <w:tc>
          <w:tcPr>
            <w:tcW w:w="569" w:type="dxa"/>
            <w:vMerge/>
            <w:textDirection w:val="btLr"/>
            <w:hideMark/>
          </w:tcPr>
          <w:p w14:paraId="25100858"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731CD92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shd w:val="clear" w:color="auto" w:fill="auto"/>
            <w:hideMark/>
          </w:tcPr>
          <w:p w14:paraId="34C3AE6C"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75" w:type="dxa"/>
            <w:shd w:val="clear" w:color="auto" w:fill="auto"/>
            <w:hideMark/>
          </w:tcPr>
          <w:p w14:paraId="5207257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2 193</w:t>
            </w:r>
          </w:p>
        </w:tc>
        <w:tc>
          <w:tcPr>
            <w:tcW w:w="792" w:type="dxa"/>
            <w:shd w:val="clear" w:color="auto" w:fill="auto"/>
            <w:hideMark/>
          </w:tcPr>
          <w:p w14:paraId="773479C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8 140</w:t>
            </w:r>
          </w:p>
        </w:tc>
        <w:tc>
          <w:tcPr>
            <w:tcW w:w="802" w:type="dxa"/>
            <w:shd w:val="clear" w:color="auto" w:fill="auto"/>
            <w:hideMark/>
          </w:tcPr>
          <w:p w14:paraId="3331A33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8 835</w:t>
            </w:r>
          </w:p>
        </w:tc>
        <w:tc>
          <w:tcPr>
            <w:tcW w:w="967" w:type="dxa"/>
            <w:shd w:val="clear" w:color="auto" w:fill="auto"/>
            <w:hideMark/>
          </w:tcPr>
          <w:p w14:paraId="124E29B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6 421</w:t>
            </w:r>
          </w:p>
        </w:tc>
        <w:tc>
          <w:tcPr>
            <w:tcW w:w="1077" w:type="dxa"/>
            <w:shd w:val="clear" w:color="auto" w:fill="auto"/>
            <w:hideMark/>
          </w:tcPr>
          <w:p w14:paraId="5BA299E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2 943</w:t>
            </w:r>
          </w:p>
        </w:tc>
        <w:tc>
          <w:tcPr>
            <w:tcW w:w="968" w:type="dxa"/>
            <w:shd w:val="clear" w:color="auto" w:fill="auto"/>
            <w:hideMark/>
          </w:tcPr>
          <w:p w14:paraId="07F6557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1 265</w:t>
            </w:r>
          </w:p>
        </w:tc>
        <w:tc>
          <w:tcPr>
            <w:tcW w:w="968" w:type="dxa"/>
            <w:shd w:val="clear" w:color="auto" w:fill="auto"/>
            <w:hideMark/>
          </w:tcPr>
          <w:p w14:paraId="103A3C7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15 835</w:t>
            </w:r>
          </w:p>
        </w:tc>
        <w:tc>
          <w:tcPr>
            <w:tcW w:w="1076" w:type="dxa"/>
            <w:shd w:val="clear" w:color="auto" w:fill="auto"/>
            <w:hideMark/>
          </w:tcPr>
          <w:p w14:paraId="252F0AA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14 600</w:t>
            </w:r>
          </w:p>
        </w:tc>
        <w:tc>
          <w:tcPr>
            <w:tcW w:w="1077" w:type="dxa"/>
            <w:shd w:val="clear" w:color="auto" w:fill="auto"/>
            <w:hideMark/>
          </w:tcPr>
          <w:p w14:paraId="18B7BB6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10 023</w:t>
            </w:r>
          </w:p>
        </w:tc>
        <w:tc>
          <w:tcPr>
            <w:tcW w:w="1077" w:type="dxa"/>
            <w:shd w:val="clear" w:color="auto" w:fill="auto"/>
            <w:hideMark/>
          </w:tcPr>
          <w:p w14:paraId="5B9DFE8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7 611</w:t>
            </w:r>
          </w:p>
        </w:tc>
        <w:tc>
          <w:tcPr>
            <w:tcW w:w="967" w:type="dxa"/>
            <w:shd w:val="clear" w:color="auto" w:fill="auto"/>
            <w:hideMark/>
          </w:tcPr>
          <w:p w14:paraId="5739F77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3 743</w:t>
            </w:r>
          </w:p>
        </w:tc>
        <w:tc>
          <w:tcPr>
            <w:tcW w:w="1087" w:type="dxa"/>
            <w:shd w:val="clear" w:color="auto" w:fill="auto"/>
            <w:hideMark/>
          </w:tcPr>
          <w:p w14:paraId="65D6ED6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3 081</w:t>
            </w:r>
          </w:p>
        </w:tc>
      </w:tr>
      <w:tr w:rsidR="0053576E" w:rsidRPr="004135FE" w14:paraId="7F959DBB" w14:textId="77777777" w:rsidTr="00680E37">
        <w:trPr>
          <w:trHeight w:val="20"/>
        </w:trPr>
        <w:tc>
          <w:tcPr>
            <w:tcW w:w="569" w:type="dxa"/>
            <w:vMerge/>
            <w:textDirection w:val="btLr"/>
            <w:hideMark/>
          </w:tcPr>
          <w:p w14:paraId="0903D4F2"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730D0C8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shd w:val="clear" w:color="auto" w:fill="auto"/>
            <w:hideMark/>
          </w:tcPr>
          <w:p w14:paraId="56A74AE3"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75" w:type="dxa"/>
            <w:shd w:val="clear" w:color="auto" w:fill="auto"/>
            <w:hideMark/>
          </w:tcPr>
          <w:p w14:paraId="6AF0B79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2 907</w:t>
            </w:r>
          </w:p>
        </w:tc>
        <w:tc>
          <w:tcPr>
            <w:tcW w:w="792" w:type="dxa"/>
            <w:shd w:val="clear" w:color="auto" w:fill="auto"/>
            <w:hideMark/>
          </w:tcPr>
          <w:p w14:paraId="2FC0D10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12 358</w:t>
            </w:r>
          </w:p>
        </w:tc>
        <w:tc>
          <w:tcPr>
            <w:tcW w:w="802" w:type="dxa"/>
            <w:shd w:val="clear" w:color="auto" w:fill="auto"/>
            <w:hideMark/>
          </w:tcPr>
          <w:p w14:paraId="131F24F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13 415</w:t>
            </w:r>
          </w:p>
        </w:tc>
        <w:tc>
          <w:tcPr>
            <w:tcW w:w="967" w:type="dxa"/>
            <w:shd w:val="clear" w:color="auto" w:fill="auto"/>
            <w:hideMark/>
          </w:tcPr>
          <w:p w14:paraId="2CD9555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9 434</w:t>
            </w:r>
          </w:p>
        </w:tc>
        <w:tc>
          <w:tcPr>
            <w:tcW w:w="1077" w:type="dxa"/>
            <w:shd w:val="clear" w:color="auto" w:fill="auto"/>
            <w:hideMark/>
          </w:tcPr>
          <w:p w14:paraId="28ABED5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4 945</w:t>
            </w:r>
          </w:p>
        </w:tc>
        <w:tc>
          <w:tcPr>
            <w:tcW w:w="968" w:type="dxa"/>
            <w:shd w:val="clear" w:color="auto" w:fill="auto"/>
            <w:hideMark/>
          </w:tcPr>
          <w:p w14:paraId="66BD947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2 251</w:t>
            </w:r>
          </w:p>
        </w:tc>
        <w:tc>
          <w:tcPr>
            <w:tcW w:w="968" w:type="dxa"/>
            <w:shd w:val="clear" w:color="auto" w:fill="auto"/>
            <w:hideMark/>
          </w:tcPr>
          <w:p w14:paraId="11F5CCB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26 426</w:t>
            </w:r>
          </w:p>
        </w:tc>
        <w:tc>
          <w:tcPr>
            <w:tcW w:w="1076" w:type="dxa"/>
            <w:shd w:val="clear" w:color="auto" w:fill="auto"/>
            <w:hideMark/>
          </w:tcPr>
          <w:p w14:paraId="1DBA308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26 385</w:t>
            </w:r>
          </w:p>
        </w:tc>
        <w:tc>
          <w:tcPr>
            <w:tcW w:w="1077" w:type="dxa"/>
            <w:shd w:val="clear" w:color="auto" w:fill="auto"/>
            <w:hideMark/>
          </w:tcPr>
          <w:p w14:paraId="0AE4E53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20 923</w:t>
            </w:r>
          </w:p>
        </w:tc>
        <w:tc>
          <w:tcPr>
            <w:tcW w:w="1077" w:type="dxa"/>
            <w:shd w:val="clear" w:color="auto" w:fill="auto"/>
            <w:hideMark/>
          </w:tcPr>
          <w:p w14:paraId="0A3B3D7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19 435</w:t>
            </w:r>
          </w:p>
        </w:tc>
        <w:tc>
          <w:tcPr>
            <w:tcW w:w="967" w:type="dxa"/>
            <w:shd w:val="clear" w:color="auto" w:fill="auto"/>
            <w:hideMark/>
          </w:tcPr>
          <w:p w14:paraId="1DB1ABB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13 319</w:t>
            </w:r>
          </w:p>
        </w:tc>
        <w:tc>
          <w:tcPr>
            <w:tcW w:w="1087" w:type="dxa"/>
            <w:shd w:val="clear" w:color="auto" w:fill="auto"/>
            <w:hideMark/>
          </w:tcPr>
          <w:p w14:paraId="441548C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11 720</w:t>
            </w:r>
          </w:p>
        </w:tc>
      </w:tr>
      <w:tr w:rsidR="0053576E" w:rsidRPr="004135FE" w14:paraId="53B60D78" w14:textId="77777777" w:rsidTr="00680E37">
        <w:trPr>
          <w:trHeight w:val="20"/>
        </w:trPr>
        <w:tc>
          <w:tcPr>
            <w:tcW w:w="569" w:type="dxa"/>
            <w:vMerge/>
            <w:textDirection w:val="btLr"/>
            <w:hideMark/>
          </w:tcPr>
          <w:p w14:paraId="29D10BEA"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53C2E8F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shd w:val="clear" w:color="auto" w:fill="auto"/>
            <w:hideMark/>
          </w:tcPr>
          <w:p w14:paraId="776F7D0D"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75" w:type="dxa"/>
            <w:shd w:val="clear" w:color="auto" w:fill="auto"/>
            <w:hideMark/>
          </w:tcPr>
          <w:p w14:paraId="0B1D669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2 085</w:t>
            </w:r>
          </w:p>
        </w:tc>
        <w:tc>
          <w:tcPr>
            <w:tcW w:w="792" w:type="dxa"/>
            <w:shd w:val="clear" w:color="auto" w:fill="auto"/>
            <w:hideMark/>
          </w:tcPr>
          <w:p w14:paraId="01F4927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9 027</w:t>
            </w:r>
          </w:p>
        </w:tc>
        <w:tc>
          <w:tcPr>
            <w:tcW w:w="802" w:type="dxa"/>
            <w:shd w:val="clear" w:color="auto" w:fill="auto"/>
            <w:hideMark/>
          </w:tcPr>
          <w:p w14:paraId="1EA44F4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10 571</w:t>
            </w:r>
          </w:p>
        </w:tc>
        <w:tc>
          <w:tcPr>
            <w:tcW w:w="967" w:type="dxa"/>
            <w:shd w:val="clear" w:color="auto" w:fill="auto"/>
            <w:hideMark/>
          </w:tcPr>
          <w:p w14:paraId="208315E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8 164</w:t>
            </w:r>
          </w:p>
        </w:tc>
        <w:tc>
          <w:tcPr>
            <w:tcW w:w="1077" w:type="dxa"/>
            <w:shd w:val="clear" w:color="auto" w:fill="auto"/>
            <w:hideMark/>
          </w:tcPr>
          <w:p w14:paraId="5FEC93C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6 144</w:t>
            </w:r>
          </w:p>
        </w:tc>
        <w:tc>
          <w:tcPr>
            <w:tcW w:w="968" w:type="dxa"/>
            <w:shd w:val="clear" w:color="auto" w:fill="auto"/>
            <w:hideMark/>
          </w:tcPr>
          <w:p w14:paraId="11EE87C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16 524</w:t>
            </w:r>
          </w:p>
        </w:tc>
        <w:tc>
          <w:tcPr>
            <w:tcW w:w="968" w:type="dxa"/>
            <w:shd w:val="clear" w:color="auto" w:fill="auto"/>
            <w:hideMark/>
          </w:tcPr>
          <w:p w14:paraId="06DC67A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50 918</w:t>
            </w:r>
          </w:p>
        </w:tc>
        <w:tc>
          <w:tcPr>
            <w:tcW w:w="1076" w:type="dxa"/>
            <w:shd w:val="clear" w:color="auto" w:fill="auto"/>
            <w:hideMark/>
          </w:tcPr>
          <w:p w14:paraId="5081B45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25 232</w:t>
            </w:r>
          </w:p>
        </w:tc>
        <w:tc>
          <w:tcPr>
            <w:tcW w:w="1077" w:type="dxa"/>
            <w:shd w:val="clear" w:color="auto" w:fill="auto"/>
            <w:hideMark/>
          </w:tcPr>
          <w:p w14:paraId="1AEFF6F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20 880</w:t>
            </w:r>
          </w:p>
        </w:tc>
        <w:tc>
          <w:tcPr>
            <w:tcW w:w="1077" w:type="dxa"/>
            <w:shd w:val="clear" w:color="auto" w:fill="auto"/>
            <w:hideMark/>
          </w:tcPr>
          <w:p w14:paraId="02E27CF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19 061</w:t>
            </w:r>
          </w:p>
        </w:tc>
        <w:tc>
          <w:tcPr>
            <w:tcW w:w="967" w:type="dxa"/>
            <w:shd w:val="clear" w:color="auto" w:fill="auto"/>
            <w:hideMark/>
          </w:tcPr>
          <w:p w14:paraId="45E190C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14 356</w:t>
            </w:r>
          </w:p>
        </w:tc>
        <w:tc>
          <w:tcPr>
            <w:tcW w:w="1087" w:type="dxa"/>
            <w:shd w:val="clear" w:color="auto" w:fill="auto"/>
            <w:hideMark/>
          </w:tcPr>
          <w:p w14:paraId="797D370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12 611</w:t>
            </w:r>
          </w:p>
        </w:tc>
      </w:tr>
      <w:tr w:rsidR="0053576E" w:rsidRPr="004135FE" w14:paraId="1D839A80" w14:textId="77777777" w:rsidTr="00680E37">
        <w:trPr>
          <w:trHeight w:val="20"/>
        </w:trPr>
        <w:tc>
          <w:tcPr>
            <w:tcW w:w="569" w:type="dxa"/>
            <w:vMerge/>
            <w:textDirection w:val="btLr"/>
            <w:hideMark/>
          </w:tcPr>
          <w:p w14:paraId="0A2F9854"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5EF378E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shd w:val="clear" w:color="auto" w:fill="auto"/>
            <w:hideMark/>
          </w:tcPr>
          <w:p w14:paraId="3D72EE98"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75" w:type="dxa"/>
            <w:shd w:val="clear" w:color="auto" w:fill="auto"/>
            <w:hideMark/>
          </w:tcPr>
          <w:p w14:paraId="7D38168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1 067</w:t>
            </w:r>
          </w:p>
        </w:tc>
        <w:tc>
          <w:tcPr>
            <w:tcW w:w="792" w:type="dxa"/>
            <w:shd w:val="clear" w:color="auto" w:fill="auto"/>
            <w:hideMark/>
          </w:tcPr>
          <w:p w14:paraId="6BC54D0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4 856</w:t>
            </w:r>
          </w:p>
        </w:tc>
        <w:tc>
          <w:tcPr>
            <w:tcW w:w="802" w:type="dxa"/>
            <w:shd w:val="clear" w:color="auto" w:fill="auto"/>
            <w:hideMark/>
          </w:tcPr>
          <w:p w14:paraId="0B28D57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5 124</w:t>
            </w:r>
          </w:p>
        </w:tc>
        <w:tc>
          <w:tcPr>
            <w:tcW w:w="967" w:type="dxa"/>
            <w:shd w:val="clear" w:color="auto" w:fill="auto"/>
            <w:hideMark/>
          </w:tcPr>
          <w:p w14:paraId="3893156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3 683</w:t>
            </w:r>
          </w:p>
        </w:tc>
        <w:tc>
          <w:tcPr>
            <w:tcW w:w="1077" w:type="dxa"/>
            <w:shd w:val="clear" w:color="auto" w:fill="auto"/>
            <w:hideMark/>
          </w:tcPr>
          <w:p w14:paraId="7DA9911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2 197</w:t>
            </w:r>
          </w:p>
        </w:tc>
        <w:tc>
          <w:tcPr>
            <w:tcW w:w="968" w:type="dxa"/>
            <w:shd w:val="clear" w:color="auto" w:fill="auto"/>
            <w:hideMark/>
          </w:tcPr>
          <w:p w14:paraId="6D3137A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1 325</w:t>
            </w:r>
          </w:p>
        </w:tc>
        <w:tc>
          <w:tcPr>
            <w:tcW w:w="968" w:type="dxa"/>
            <w:shd w:val="clear" w:color="auto" w:fill="auto"/>
            <w:hideMark/>
          </w:tcPr>
          <w:p w14:paraId="14305F4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17 764</w:t>
            </w:r>
          </w:p>
        </w:tc>
        <w:tc>
          <w:tcPr>
            <w:tcW w:w="1076" w:type="dxa"/>
            <w:shd w:val="clear" w:color="auto" w:fill="auto"/>
            <w:hideMark/>
          </w:tcPr>
          <w:p w14:paraId="1EC3F26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17 714</w:t>
            </w:r>
          </w:p>
        </w:tc>
        <w:tc>
          <w:tcPr>
            <w:tcW w:w="1077" w:type="dxa"/>
            <w:shd w:val="clear" w:color="auto" w:fill="auto"/>
            <w:hideMark/>
          </w:tcPr>
          <w:p w14:paraId="5E36F11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13 460</w:t>
            </w:r>
          </w:p>
        </w:tc>
        <w:tc>
          <w:tcPr>
            <w:tcW w:w="1077" w:type="dxa"/>
            <w:shd w:val="clear" w:color="auto" w:fill="auto"/>
            <w:hideMark/>
          </w:tcPr>
          <w:p w14:paraId="7CCC0ED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11 871</w:t>
            </w:r>
          </w:p>
        </w:tc>
        <w:tc>
          <w:tcPr>
            <w:tcW w:w="967" w:type="dxa"/>
            <w:shd w:val="clear" w:color="auto" w:fill="auto"/>
            <w:hideMark/>
          </w:tcPr>
          <w:p w14:paraId="3B62483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7 746</w:t>
            </w:r>
          </w:p>
        </w:tc>
        <w:tc>
          <w:tcPr>
            <w:tcW w:w="1087" w:type="dxa"/>
            <w:shd w:val="clear" w:color="auto" w:fill="auto"/>
            <w:hideMark/>
          </w:tcPr>
          <w:p w14:paraId="447A28F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6 609</w:t>
            </w:r>
          </w:p>
        </w:tc>
      </w:tr>
      <w:tr w:rsidR="0053576E" w:rsidRPr="004135FE" w14:paraId="3DA033B3" w14:textId="77777777" w:rsidTr="00680E37">
        <w:trPr>
          <w:trHeight w:val="20"/>
        </w:trPr>
        <w:tc>
          <w:tcPr>
            <w:tcW w:w="569" w:type="dxa"/>
            <w:vMerge/>
            <w:textDirection w:val="btLr"/>
            <w:hideMark/>
          </w:tcPr>
          <w:p w14:paraId="5CCAEE80"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702C81B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shd w:val="clear" w:color="auto" w:fill="auto"/>
            <w:hideMark/>
          </w:tcPr>
          <w:p w14:paraId="7678FB74"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75" w:type="dxa"/>
            <w:shd w:val="clear" w:color="auto" w:fill="auto"/>
            <w:hideMark/>
          </w:tcPr>
          <w:p w14:paraId="1A53975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1 858</w:t>
            </w:r>
          </w:p>
        </w:tc>
        <w:tc>
          <w:tcPr>
            <w:tcW w:w="792" w:type="dxa"/>
            <w:shd w:val="clear" w:color="auto" w:fill="auto"/>
            <w:hideMark/>
          </w:tcPr>
          <w:p w14:paraId="13E1A45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8 196</w:t>
            </w:r>
          </w:p>
        </w:tc>
        <w:tc>
          <w:tcPr>
            <w:tcW w:w="802" w:type="dxa"/>
            <w:shd w:val="clear" w:color="auto" w:fill="auto"/>
            <w:hideMark/>
          </w:tcPr>
          <w:p w14:paraId="526B9A1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10 261</w:t>
            </w:r>
          </w:p>
        </w:tc>
        <w:tc>
          <w:tcPr>
            <w:tcW w:w="967" w:type="dxa"/>
            <w:shd w:val="clear" w:color="auto" w:fill="auto"/>
            <w:hideMark/>
          </w:tcPr>
          <w:p w14:paraId="05034C6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8 101</w:t>
            </w:r>
          </w:p>
        </w:tc>
        <w:tc>
          <w:tcPr>
            <w:tcW w:w="1077" w:type="dxa"/>
            <w:shd w:val="clear" w:color="auto" w:fill="auto"/>
            <w:hideMark/>
          </w:tcPr>
          <w:p w14:paraId="6A97FD4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2 601</w:t>
            </w:r>
          </w:p>
        </w:tc>
        <w:tc>
          <w:tcPr>
            <w:tcW w:w="968" w:type="dxa"/>
            <w:shd w:val="clear" w:color="auto" w:fill="auto"/>
            <w:hideMark/>
          </w:tcPr>
          <w:p w14:paraId="63DBE35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1 395</w:t>
            </w:r>
          </w:p>
        </w:tc>
        <w:tc>
          <w:tcPr>
            <w:tcW w:w="968" w:type="dxa"/>
            <w:shd w:val="clear" w:color="auto" w:fill="auto"/>
            <w:hideMark/>
          </w:tcPr>
          <w:p w14:paraId="05AE091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14 842</w:t>
            </w:r>
          </w:p>
        </w:tc>
        <w:tc>
          <w:tcPr>
            <w:tcW w:w="1076" w:type="dxa"/>
            <w:shd w:val="clear" w:color="auto" w:fill="auto"/>
            <w:hideMark/>
          </w:tcPr>
          <w:p w14:paraId="00A00BA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15 055</w:t>
            </w:r>
          </w:p>
        </w:tc>
        <w:tc>
          <w:tcPr>
            <w:tcW w:w="1077" w:type="dxa"/>
            <w:shd w:val="clear" w:color="auto" w:fill="auto"/>
            <w:hideMark/>
          </w:tcPr>
          <w:p w14:paraId="16EAE98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12 321</w:t>
            </w:r>
          </w:p>
        </w:tc>
        <w:tc>
          <w:tcPr>
            <w:tcW w:w="1077" w:type="dxa"/>
            <w:shd w:val="clear" w:color="auto" w:fill="auto"/>
            <w:hideMark/>
          </w:tcPr>
          <w:p w14:paraId="4D0D587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12 214</w:t>
            </w:r>
          </w:p>
        </w:tc>
        <w:tc>
          <w:tcPr>
            <w:tcW w:w="967" w:type="dxa"/>
            <w:shd w:val="clear" w:color="auto" w:fill="auto"/>
            <w:hideMark/>
          </w:tcPr>
          <w:p w14:paraId="1408186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8 897</w:t>
            </w:r>
          </w:p>
        </w:tc>
        <w:tc>
          <w:tcPr>
            <w:tcW w:w="1087" w:type="dxa"/>
            <w:shd w:val="clear" w:color="auto" w:fill="auto"/>
            <w:hideMark/>
          </w:tcPr>
          <w:p w14:paraId="159CDB9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7 623</w:t>
            </w:r>
          </w:p>
        </w:tc>
      </w:tr>
      <w:tr w:rsidR="0053576E" w:rsidRPr="004135FE" w14:paraId="20667061" w14:textId="77777777" w:rsidTr="00680E37">
        <w:trPr>
          <w:trHeight w:val="185"/>
        </w:trPr>
        <w:tc>
          <w:tcPr>
            <w:tcW w:w="569" w:type="dxa"/>
            <w:vMerge/>
            <w:textDirection w:val="btLr"/>
            <w:hideMark/>
          </w:tcPr>
          <w:p w14:paraId="45EC34B1"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11AE3BE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shd w:val="clear" w:color="auto" w:fill="auto"/>
            <w:hideMark/>
          </w:tcPr>
          <w:p w14:paraId="643CB8F9"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75" w:type="dxa"/>
            <w:shd w:val="clear" w:color="auto" w:fill="auto"/>
            <w:hideMark/>
          </w:tcPr>
          <w:p w14:paraId="0891212C"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792" w:type="dxa"/>
            <w:shd w:val="clear" w:color="auto" w:fill="auto"/>
            <w:hideMark/>
          </w:tcPr>
          <w:p w14:paraId="42B23A00"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802" w:type="dxa"/>
            <w:shd w:val="clear" w:color="auto" w:fill="auto"/>
            <w:hideMark/>
          </w:tcPr>
          <w:p w14:paraId="4A67E180"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67" w:type="dxa"/>
            <w:shd w:val="clear" w:color="auto" w:fill="auto"/>
            <w:hideMark/>
          </w:tcPr>
          <w:p w14:paraId="0E42BAA1"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077" w:type="dxa"/>
            <w:shd w:val="clear" w:color="auto" w:fill="auto"/>
            <w:hideMark/>
          </w:tcPr>
          <w:p w14:paraId="30FE5EC6"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68" w:type="dxa"/>
            <w:shd w:val="clear" w:color="auto" w:fill="auto"/>
            <w:hideMark/>
          </w:tcPr>
          <w:p w14:paraId="298692D2"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68" w:type="dxa"/>
            <w:shd w:val="clear" w:color="auto" w:fill="auto"/>
            <w:hideMark/>
          </w:tcPr>
          <w:p w14:paraId="2ABB414E"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076" w:type="dxa"/>
            <w:shd w:val="clear" w:color="auto" w:fill="auto"/>
            <w:hideMark/>
          </w:tcPr>
          <w:p w14:paraId="6CC51DF5"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077" w:type="dxa"/>
            <w:shd w:val="clear" w:color="auto" w:fill="auto"/>
            <w:hideMark/>
          </w:tcPr>
          <w:p w14:paraId="611B2AED"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077" w:type="dxa"/>
            <w:shd w:val="clear" w:color="auto" w:fill="auto"/>
            <w:hideMark/>
          </w:tcPr>
          <w:p w14:paraId="6A4AA7BA"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967" w:type="dxa"/>
            <w:shd w:val="clear" w:color="auto" w:fill="auto"/>
            <w:hideMark/>
          </w:tcPr>
          <w:p w14:paraId="4D117E69"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c>
          <w:tcPr>
            <w:tcW w:w="1087" w:type="dxa"/>
            <w:shd w:val="clear" w:color="auto" w:fill="auto"/>
            <w:hideMark/>
          </w:tcPr>
          <w:p w14:paraId="332B54F1"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w:t>
            </w:r>
          </w:p>
        </w:tc>
      </w:tr>
      <w:tr w:rsidR="0053576E" w:rsidRPr="004135FE" w14:paraId="3F8224C1" w14:textId="77777777" w:rsidTr="00680E37">
        <w:trPr>
          <w:trHeight w:val="20"/>
        </w:trPr>
        <w:tc>
          <w:tcPr>
            <w:tcW w:w="569" w:type="dxa"/>
            <w:vMerge/>
            <w:textDirection w:val="btLr"/>
            <w:hideMark/>
          </w:tcPr>
          <w:p w14:paraId="14F1F004"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2091747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shd w:val="clear" w:color="auto" w:fill="auto"/>
            <w:hideMark/>
          </w:tcPr>
          <w:p w14:paraId="072DB6C0"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75" w:type="dxa"/>
            <w:shd w:val="clear" w:color="auto" w:fill="auto"/>
            <w:hideMark/>
          </w:tcPr>
          <w:p w14:paraId="7FC89C1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1 231</w:t>
            </w:r>
          </w:p>
        </w:tc>
        <w:tc>
          <w:tcPr>
            <w:tcW w:w="792" w:type="dxa"/>
            <w:shd w:val="clear" w:color="auto" w:fill="auto"/>
            <w:hideMark/>
          </w:tcPr>
          <w:p w14:paraId="4E19355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5 737</w:t>
            </w:r>
          </w:p>
        </w:tc>
        <w:tc>
          <w:tcPr>
            <w:tcW w:w="802" w:type="dxa"/>
            <w:shd w:val="clear" w:color="auto" w:fill="auto"/>
            <w:hideMark/>
          </w:tcPr>
          <w:p w14:paraId="381FFE6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7 291</w:t>
            </w:r>
          </w:p>
        </w:tc>
        <w:tc>
          <w:tcPr>
            <w:tcW w:w="967" w:type="dxa"/>
            <w:shd w:val="clear" w:color="auto" w:fill="auto"/>
            <w:hideMark/>
          </w:tcPr>
          <w:p w14:paraId="3E6EBCC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6 851</w:t>
            </w:r>
          </w:p>
        </w:tc>
        <w:tc>
          <w:tcPr>
            <w:tcW w:w="1077" w:type="dxa"/>
            <w:shd w:val="clear" w:color="auto" w:fill="auto"/>
            <w:hideMark/>
          </w:tcPr>
          <w:p w14:paraId="394D33E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4 774</w:t>
            </w:r>
          </w:p>
        </w:tc>
        <w:tc>
          <w:tcPr>
            <w:tcW w:w="968" w:type="dxa"/>
            <w:shd w:val="clear" w:color="auto" w:fill="auto"/>
            <w:hideMark/>
          </w:tcPr>
          <w:p w14:paraId="61CDDAD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2 280</w:t>
            </w:r>
          </w:p>
        </w:tc>
        <w:tc>
          <w:tcPr>
            <w:tcW w:w="968" w:type="dxa"/>
            <w:shd w:val="clear" w:color="auto" w:fill="auto"/>
            <w:hideMark/>
          </w:tcPr>
          <w:p w14:paraId="31508E5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18 839</w:t>
            </w:r>
          </w:p>
        </w:tc>
        <w:tc>
          <w:tcPr>
            <w:tcW w:w="1076" w:type="dxa"/>
            <w:shd w:val="clear" w:color="auto" w:fill="auto"/>
            <w:hideMark/>
          </w:tcPr>
          <w:p w14:paraId="7A70A61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19 142</w:t>
            </w:r>
          </w:p>
        </w:tc>
        <w:tc>
          <w:tcPr>
            <w:tcW w:w="1077" w:type="dxa"/>
            <w:shd w:val="clear" w:color="auto" w:fill="auto"/>
            <w:hideMark/>
          </w:tcPr>
          <w:p w14:paraId="4E9FE8E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14 611</w:t>
            </w:r>
          </w:p>
        </w:tc>
        <w:tc>
          <w:tcPr>
            <w:tcW w:w="1077" w:type="dxa"/>
            <w:shd w:val="clear" w:color="auto" w:fill="auto"/>
            <w:hideMark/>
          </w:tcPr>
          <w:p w14:paraId="67B733E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14 401</w:t>
            </w:r>
          </w:p>
        </w:tc>
        <w:tc>
          <w:tcPr>
            <w:tcW w:w="967" w:type="dxa"/>
            <w:shd w:val="clear" w:color="auto" w:fill="auto"/>
            <w:hideMark/>
          </w:tcPr>
          <w:p w14:paraId="7A4EBEB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9 379</w:t>
            </w:r>
          </w:p>
        </w:tc>
        <w:tc>
          <w:tcPr>
            <w:tcW w:w="1087" w:type="dxa"/>
            <w:shd w:val="clear" w:color="auto" w:fill="auto"/>
            <w:hideMark/>
          </w:tcPr>
          <w:p w14:paraId="39F678B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8 030</w:t>
            </w:r>
          </w:p>
        </w:tc>
      </w:tr>
      <w:tr w:rsidR="0053576E" w:rsidRPr="004135FE" w14:paraId="37E78FAF" w14:textId="77777777" w:rsidTr="00680E37">
        <w:trPr>
          <w:trHeight w:val="20"/>
        </w:trPr>
        <w:tc>
          <w:tcPr>
            <w:tcW w:w="569" w:type="dxa"/>
            <w:vMerge w:val="restart"/>
            <w:shd w:val="clear" w:color="auto" w:fill="auto"/>
            <w:noWrap/>
            <w:textDirection w:val="btLr"/>
            <w:hideMark/>
          </w:tcPr>
          <w:p w14:paraId="7EC8C7E4"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2015год</w:t>
            </w:r>
          </w:p>
        </w:tc>
        <w:tc>
          <w:tcPr>
            <w:tcW w:w="484" w:type="dxa"/>
            <w:shd w:val="clear" w:color="auto" w:fill="auto"/>
            <w:hideMark/>
          </w:tcPr>
          <w:p w14:paraId="77A9767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shd w:val="clear" w:color="auto" w:fill="auto"/>
            <w:hideMark/>
          </w:tcPr>
          <w:p w14:paraId="3B3321E1"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75" w:type="dxa"/>
            <w:shd w:val="clear" w:color="auto" w:fill="auto"/>
            <w:hideMark/>
          </w:tcPr>
          <w:p w14:paraId="33A77C7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1 622</w:t>
            </w:r>
          </w:p>
        </w:tc>
        <w:tc>
          <w:tcPr>
            <w:tcW w:w="792" w:type="dxa"/>
            <w:shd w:val="clear" w:color="auto" w:fill="auto"/>
            <w:hideMark/>
          </w:tcPr>
          <w:p w14:paraId="3B5DF4B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7 712</w:t>
            </w:r>
          </w:p>
        </w:tc>
        <w:tc>
          <w:tcPr>
            <w:tcW w:w="802" w:type="dxa"/>
            <w:shd w:val="clear" w:color="auto" w:fill="auto"/>
            <w:hideMark/>
          </w:tcPr>
          <w:p w14:paraId="1E82A98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8 682</w:t>
            </w:r>
          </w:p>
        </w:tc>
        <w:tc>
          <w:tcPr>
            <w:tcW w:w="967" w:type="dxa"/>
            <w:shd w:val="clear" w:color="auto" w:fill="auto"/>
            <w:hideMark/>
          </w:tcPr>
          <w:p w14:paraId="15AED36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6 100</w:t>
            </w:r>
          </w:p>
        </w:tc>
        <w:tc>
          <w:tcPr>
            <w:tcW w:w="1077" w:type="dxa"/>
            <w:shd w:val="clear" w:color="auto" w:fill="auto"/>
            <w:hideMark/>
          </w:tcPr>
          <w:p w14:paraId="6EF1AA3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4 119</w:t>
            </w:r>
          </w:p>
        </w:tc>
        <w:tc>
          <w:tcPr>
            <w:tcW w:w="968" w:type="dxa"/>
            <w:shd w:val="clear" w:color="auto" w:fill="auto"/>
            <w:hideMark/>
          </w:tcPr>
          <w:p w14:paraId="481C64A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5 425</w:t>
            </w:r>
          </w:p>
        </w:tc>
        <w:tc>
          <w:tcPr>
            <w:tcW w:w="968" w:type="dxa"/>
            <w:shd w:val="clear" w:color="auto" w:fill="auto"/>
            <w:hideMark/>
          </w:tcPr>
          <w:p w14:paraId="044E8F5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24 308</w:t>
            </w:r>
          </w:p>
        </w:tc>
        <w:tc>
          <w:tcPr>
            <w:tcW w:w="1076" w:type="dxa"/>
            <w:shd w:val="clear" w:color="auto" w:fill="auto"/>
            <w:hideMark/>
          </w:tcPr>
          <w:p w14:paraId="54DD142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21 241</w:t>
            </w:r>
          </w:p>
        </w:tc>
        <w:tc>
          <w:tcPr>
            <w:tcW w:w="1077" w:type="dxa"/>
            <w:shd w:val="clear" w:color="auto" w:fill="auto"/>
            <w:hideMark/>
          </w:tcPr>
          <w:p w14:paraId="405B146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17 997</w:t>
            </w:r>
          </w:p>
        </w:tc>
        <w:tc>
          <w:tcPr>
            <w:tcW w:w="1077" w:type="dxa"/>
            <w:shd w:val="clear" w:color="auto" w:fill="auto"/>
            <w:hideMark/>
          </w:tcPr>
          <w:p w14:paraId="012B87E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16 089</w:t>
            </w:r>
          </w:p>
        </w:tc>
        <w:tc>
          <w:tcPr>
            <w:tcW w:w="967" w:type="dxa"/>
            <w:shd w:val="clear" w:color="auto" w:fill="auto"/>
            <w:hideMark/>
          </w:tcPr>
          <w:p w14:paraId="7E091E0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14 429</w:t>
            </w:r>
          </w:p>
        </w:tc>
        <w:tc>
          <w:tcPr>
            <w:tcW w:w="1087" w:type="dxa"/>
            <w:shd w:val="clear" w:color="auto" w:fill="auto"/>
            <w:hideMark/>
          </w:tcPr>
          <w:p w14:paraId="3ED2CBF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12 101</w:t>
            </w:r>
          </w:p>
        </w:tc>
      </w:tr>
      <w:tr w:rsidR="0053576E" w:rsidRPr="004135FE" w14:paraId="4366F93B" w14:textId="77777777" w:rsidTr="00680E37">
        <w:trPr>
          <w:trHeight w:val="20"/>
        </w:trPr>
        <w:tc>
          <w:tcPr>
            <w:tcW w:w="569" w:type="dxa"/>
            <w:vMerge/>
            <w:textDirection w:val="btLr"/>
            <w:hideMark/>
          </w:tcPr>
          <w:p w14:paraId="497FF4F4"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4CE5205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shd w:val="clear" w:color="auto" w:fill="auto"/>
            <w:hideMark/>
          </w:tcPr>
          <w:p w14:paraId="0D157794"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75" w:type="dxa"/>
            <w:shd w:val="clear" w:color="auto" w:fill="auto"/>
            <w:hideMark/>
          </w:tcPr>
          <w:p w14:paraId="0B992C6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2 545</w:t>
            </w:r>
          </w:p>
        </w:tc>
        <w:tc>
          <w:tcPr>
            <w:tcW w:w="792" w:type="dxa"/>
            <w:shd w:val="clear" w:color="auto" w:fill="auto"/>
            <w:hideMark/>
          </w:tcPr>
          <w:p w14:paraId="0E4A2C4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9 668</w:t>
            </w:r>
          </w:p>
        </w:tc>
        <w:tc>
          <w:tcPr>
            <w:tcW w:w="802" w:type="dxa"/>
            <w:shd w:val="clear" w:color="auto" w:fill="auto"/>
            <w:hideMark/>
          </w:tcPr>
          <w:p w14:paraId="4E90D7F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9 980</w:t>
            </w:r>
          </w:p>
        </w:tc>
        <w:tc>
          <w:tcPr>
            <w:tcW w:w="967" w:type="dxa"/>
            <w:shd w:val="clear" w:color="auto" w:fill="auto"/>
            <w:hideMark/>
          </w:tcPr>
          <w:p w14:paraId="25B8E49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6 898</w:t>
            </w:r>
          </w:p>
        </w:tc>
        <w:tc>
          <w:tcPr>
            <w:tcW w:w="1077" w:type="dxa"/>
            <w:shd w:val="clear" w:color="auto" w:fill="auto"/>
            <w:hideMark/>
          </w:tcPr>
          <w:p w14:paraId="4127070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2 997</w:t>
            </w:r>
          </w:p>
        </w:tc>
        <w:tc>
          <w:tcPr>
            <w:tcW w:w="968" w:type="dxa"/>
            <w:shd w:val="clear" w:color="auto" w:fill="auto"/>
            <w:hideMark/>
          </w:tcPr>
          <w:p w14:paraId="1145163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1 420</w:t>
            </w:r>
          </w:p>
        </w:tc>
        <w:tc>
          <w:tcPr>
            <w:tcW w:w="968" w:type="dxa"/>
            <w:shd w:val="clear" w:color="auto" w:fill="auto"/>
            <w:hideMark/>
          </w:tcPr>
          <w:p w14:paraId="22714BA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17 633</w:t>
            </w:r>
          </w:p>
        </w:tc>
        <w:tc>
          <w:tcPr>
            <w:tcW w:w="1076" w:type="dxa"/>
            <w:shd w:val="clear" w:color="auto" w:fill="auto"/>
            <w:hideMark/>
          </w:tcPr>
          <w:p w14:paraId="6F7087E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16 644</w:t>
            </w:r>
          </w:p>
        </w:tc>
        <w:tc>
          <w:tcPr>
            <w:tcW w:w="1077" w:type="dxa"/>
            <w:shd w:val="clear" w:color="auto" w:fill="auto"/>
            <w:hideMark/>
          </w:tcPr>
          <w:p w14:paraId="4B19BBB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11 244</w:t>
            </w:r>
          </w:p>
        </w:tc>
        <w:tc>
          <w:tcPr>
            <w:tcW w:w="1077" w:type="dxa"/>
            <w:shd w:val="clear" w:color="auto" w:fill="auto"/>
            <w:hideMark/>
          </w:tcPr>
          <w:p w14:paraId="354475B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8 575</w:t>
            </w:r>
          </w:p>
        </w:tc>
        <w:tc>
          <w:tcPr>
            <w:tcW w:w="967" w:type="dxa"/>
            <w:shd w:val="clear" w:color="auto" w:fill="auto"/>
            <w:hideMark/>
          </w:tcPr>
          <w:p w14:paraId="1E64B37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4 446</w:t>
            </w:r>
          </w:p>
        </w:tc>
        <w:tc>
          <w:tcPr>
            <w:tcW w:w="1087" w:type="dxa"/>
            <w:shd w:val="clear" w:color="auto" w:fill="auto"/>
            <w:hideMark/>
          </w:tcPr>
          <w:p w14:paraId="1845A8B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3 156</w:t>
            </w:r>
          </w:p>
        </w:tc>
      </w:tr>
      <w:tr w:rsidR="0053576E" w:rsidRPr="004135FE" w14:paraId="738577D6" w14:textId="77777777" w:rsidTr="00680E37">
        <w:trPr>
          <w:trHeight w:val="20"/>
        </w:trPr>
        <w:tc>
          <w:tcPr>
            <w:tcW w:w="569" w:type="dxa"/>
            <w:vMerge/>
            <w:textDirection w:val="btLr"/>
            <w:hideMark/>
          </w:tcPr>
          <w:p w14:paraId="60742A78"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638E15D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shd w:val="clear" w:color="auto" w:fill="auto"/>
            <w:hideMark/>
          </w:tcPr>
          <w:p w14:paraId="5CE971B6"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75" w:type="dxa"/>
            <w:shd w:val="clear" w:color="auto" w:fill="auto"/>
            <w:hideMark/>
          </w:tcPr>
          <w:p w14:paraId="02BC365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2 817</w:t>
            </w:r>
          </w:p>
        </w:tc>
        <w:tc>
          <w:tcPr>
            <w:tcW w:w="792" w:type="dxa"/>
            <w:shd w:val="clear" w:color="auto" w:fill="auto"/>
            <w:hideMark/>
          </w:tcPr>
          <w:p w14:paraId="097CD48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11 898</w:t>
            </w:r>
          </w:p>
        </w:tc>
        <w:tc>
          <w:tcPr>
            <w:tcW w:w="802" w:type="dxa"/>
            <w:shd w:val="clear" w:color="auto" w:fill="auto"/>
            <w:hideMark/>
          </w:tcPr>
          <w:p w14:paraId="14F16E9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12 505</w:t>
            </w:r>
          </w:p>
        </w:tc>
        <w:tc>
          <w:tcPr>
            <w:tcW w:w="967" w:type="dxa"/>
            <w:shd w:val="clear" w:color="auto" w:fill="auto"/>
            <w:hideMark/>
          </w:tcPr>
          <w:p w14:paraId="0D2BC4B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8 398</w:t>
            </w:r>
          </w:p>
        </w:tc>
        <w:tc>
          <w:tcPr>
            <w:tcW w:w="1077" w:type="dxa"/>
            <w:shd w:val="clear" w:color="auto" w:fill="auto"/>
            <w:hideMark/>
          </w:tcPr>
          <w:p w14:paraId="6326DB2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4 256</w:t>
            </w:r>
          </w:p>
        </w:tc>
        <w:tc>
          <w:tcPr>
            <w:tcW w:w="968" w:type="dxa"/>
            <w:shd w:val="clear" w:color="auto" w:fill="auto"/>
            <w:hideMark/>
          </w:tcPr>
          <w:p w14:paraId="64B2B64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2 295</w:t>
            </w:r>
          </w:p>
        </w:tc>
        <w:tc>
          <w:tcPr>
            <w:tcW w:w="968" w:type="dxa"/>
            <w:shd w:val="clear" w:color="auto" w:fill="auto"/>
            <w:hideMark/>
          </w:tcPr>
          <w:p w14:paraId="3708C0F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25 334</w:t>
            </w:r>
          </w:p>
        </w:tc>
        <w:tc>
          <w:tcPr>
            <w:tcW w:w="1076" w:type="dxa"/>
            <w:shd w:val="clear" w:color="auto" w:fill="auto"/>
            <w:hideMark/>
          </w:tcPr>
          <w:p w14:paraId="65E00D3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26 220</w:t>
            </w:r>
          </w:p>
        </w:tc>
        <w:tc>
          <w:tcPr>
            <w:tcW w:w="1077" w:type="dxa"/>
            <w:shd w:val="clear" w:color="auto" w:fill="auto"/>
            <w:hideMark/>
          </w:tcPr>
          <w:p w14:paraId="5F67BB0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20 538</w:t>
            </w:r>
          </w:p>
        </w:tc>
        <w:tc>
          <w:tcPr>
            <w:tcW w:w="1077" w:type="dxa"/>
            <w:shd w:val="clear" w:color="auto" w:fill="auto"/>
            <w:hideMark/>
          </w:tcPr>
          <w:p w14:paraId="297E5F9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18 848</w:t>
            </w:r>
          </w:p>
        </w:tc>
        <w:tc>
          <w:tcPr>
            <w:tcW w:w="967" w:type="dxa"/>
            <w:shd w:val="clear" w:color="auto" w:fill="auto"/>
            <w:hideMark/>
          </w:tcPr>
          <w:p w14:paraId="70262D9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13 953</w:t>
            </w:r>
          </w:p>
        </w:tc>
        <w:tc>
          <w:tcPr>
            <w:tcW w:w="1087" w:type="dxa"/>
            <w:shd w:val="clear" w:color="auto" w:fill="auto"/>
            <w:hideMark/>
          </w:tcPr>
          <w:p w14:paraId="03AF34B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11 092</w:t>
            </w:r>
          </w:p>
        </w:tc>
      </w:tr>
    </w:tbl>
    <w:p w14:paraId="0D9644F4" w14:textId="58DFF245" w:rsidR="002038AA" w:rsidRDefault="002038AA"/>
    <w:p w14:paraId="12CA3EF6" w14:textId="77777777" w:rsidR="002038AA" w:rsidRPr="00680E37" w:rsidRDefault="002038AA" w:rsidP="002038AA">
      <w:pPr>
        <w:rPr>
          <w:rFonts w:ascii="Times New Roman" w:eastAsia="Times New Roman" w:hAnsi="Times New Roman" w:cs="Times New Roman"/>
          <w:sz w:val="28"/>
          <w:szCs w:val="28"/>
        </w:rPr>
      </w:pPr>
      <w:r w:rsidRPr="00680E37">
        <w:rPr>
          <w:rFonts w:ascii="Times New Roman" w:eastAsia="Times New Roman" w:hAnsi="Times New Roman" w:cs="Times New Roman"/>
          <w:sz w:val="28"/>
          <w:szCs w:val="28"/>
        </w:rPr>
        <w:t>Продолжение таблицы А</w:t>
      </w:r>
      <w:r>
        <w:rPr>
          <w:rFonts w:ascii="Times New Roman" w:eastAsia="Times New Roman" w:hAnsi="Times New Roman" w:cs="Times New Roman"/>
          <w:sz w:val="28"/>
          <w:szCs w:val="28"/>
        </w:rPr>
        <w:t>6</w:t>
      </w:r>
    </w:p>
    <w:tbl>
      <w:tblPr>
        <w:tblW w:w="1488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484"/>
        <w:gridCol w:w="2098"/>
        <w:gridCol w:w="875"/>
        <w:gridCol w:w="792"/>
        <w:gridCol w:w="802"/>
        <w:gridCol w:w="967"/>
        <w:gridCol w:w="1077"/>
        <w:gridCol w:w="968"/>
        <w:gridCol w:w="968"/>
        <w:gridCol w:w="1076"/>
        <w:gridCol w:w="1077"/>
        <w:gridCol w:w="1077"/>
        <w:gridCol w:w="967"/>
        <w:gridCol w:w="1087"/>
      </w:tblGrid>
      <w:tr w:rsidR="0053576E" w:rsidRPr="004135FE" w14:paraId="386066B5" w14:textId="77777777" w:rsidTr="00680E37">
        <w:trPr>
          <w:trHeight w:val="20"/>
        </w:trPr>
        <w:tc>
          <w:tcPr>
            <w:tcW w:w="569" w:type="dxa"/>
            <w:vMerge w:val="restart"/>
            <w:textDirection w:val="btLr"/>
            <w:hideMark/>
          </w:tcPr>
          <w:p w14:paraId="62535183"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316B09B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shd w:val="clear" w:color="auto" w:fill="auto"/>
            <w:hideMark/>
          </w:tcPr>
          <w:p w14:paraId="725FDC36"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75" w:type="dxa"/>
            <w:shd w:val="clear" w:color="auto" w:fill="auto"/>
            <w:hideMark/>
          </w:tcPr>
          <w:p w14:paraId="628FE8B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1 864</w:t>
            </w:r>
          </w:p>
        </w:tc>
        <w:tc>
          <w:tcPr>
            <w:tcW w:w="792" w:type="dxa"/>
            <w:shd w:val="clear" w:color="auto" w:fill="auto"/>
            <w:hideMark/>
          </w:tcPr>
          <w:p w14:paraId="45DECFD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8 413</w:t>
            </w:r>
          </w:p>
        </w:tc>
        <w:tc>
          <w:tcPr>
            <w:tcW w:w="802" w:type="dxa"/>
            <w:shd w:val="clear" w:color="auto" w:fill="auto"/>
            <w:hideMark/>
          </w:tcPr>
          <w:p w14:paraId="0FD8BA3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9 409</w:t>
            </w:r>
          </w:p>
        </w:tc>
        <w:tc>
          <w:tcPr>
            <w:tcW w:w="967" w:type="dxa"/>
            <w:shd w:val="clear" w:color="auto" w:fill="auto"/>
            <w:hideMark/>
          </w:tcPr>
          <w:p w14:paraId="086C5F3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6 805</w:t>
            </w:r>
          </w:p>
        </w:tc>
        <w:tc>
          <w:tcPr>
            <w:tcW w:w="1077" w:type="dxa"/>
            <w:shd w:val="clear" w:color="auto" w:fill="auto"/>
            <w:hideMark/>
          </w:tcPr>
          <w:p w14:paraId="408CAFC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6 568</w:t>
            </w:r>
          </w:p>
        </w:tc>
        <w:tc>
          <w:tcPr>
            <w:tcW w:w="968" w:type="dxa"/>
            <w:shd w:val="clear" w:color="auto" w:fill="auto"/>
            <w:hideMark/>
          </w:tcPr>
          <w:p w14:paraId="703FF1A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16 076</w:t>
            </w:r>
          </w:p>
        </w:tc>
        <w:tc>
          <w:tcPr>
            <w:tcW w:w="968" w:type="dxa"/>
            <w:shd w:val="clear" w:color="auto" w:fill="auto"/>
            <w:hideMark/>
          </w:tcPr>
          <w:p w14:paraId="602692B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46 307</w:t>
            </w:r>
          </w:p>
        </w:tc>
        <w:tc>
          <w:tcPr>
            <w:tcW w:w="1076" w:type="dxa"/>
            <w:shd w:val="clear" w:color="auto" w:fill="auto"/>
            <w:hideMark/>
          </w:tcPr>
          <w:p w14:paraId="42D885A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22 462</w:t>
            </w:r>
          </w:p>
        </w:tc>
        <w:tc>
          <w:tcPr>
            <w:tcW w:w="1077" w:type="dxa"/>
            <w:shd w:val="clear" w:color="auto" w:fill="auto"/>
            <w:hideMark/>
          </w:tcPr>
          <w:p w14:paraId="078B159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18 667</w:t>
            </w:r>
          </w:p>
        </w:tc>
        <w:tc>
          <w:tcPr>
            <w:tcW w:w="1077" w:type="dxa"/>
            <w:shd w:val="clear" w:color="auto" w:fill="auto"/>
            <w:hideMark/>
          </w:tcPr>
          <w:p w14:paraId="7DC8A3E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16 986</w:t>
            </w:r>
          </w:p>
        </w:tc>
        <w:tc>
          <w:tcPr>
            <w:tcW w:w="967" w:type="dxa"/>
            <w:shd w:val="clear" w:color="auto" w:fill="auto"/>
            <w:hideMark/>
          </w:tcPr>
          <w:p w14:paraId="1545223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14 017</w:t>
            </w:r>
          </w:p>
        </w:tc>
        <w:tc>
          <w:tcPr>
            <w:tcW w:w="1087" w:type="dxa"/>
            <w:shd w:val="clear" w:color="auto" w:fill="auto"/>
            <w:hideMark/>
          </w:tcPr>
          <w:p w14:paraId="183EB2D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11 531</w:t>
            </w:r>
          </w:p>
        </w:tc>
      </w:tr>
      <w:tr w:rsidR="0053576E" w:rsidRPr="004135FE" w14:paraId="298B9688" w14:textId="77777777" w:rsidTr="00680E37">
        <w:trPr>
          <w:trHeight w:val="20"/>
        </w:trPr>
        <w:tc>
          <w:tcPr>
            <w:tcW w:w="569" w:type="dxa"/>
            <w:vMerge/>
            <w:textDirection w:val="btLr"/>
            <w:hideMark/>
          </w:tcPr>
          <w:p w14:paraId="6550FDDA"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6F2774B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shd w:val="clear" w:color="auto" w:fill="auto"/>
            <w:hideMark/>
          </w:tcPr>
          <w:p w14:paraId="57B4F56E"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75" w:type="dxa"/>
            <w:shd w:val="clear" w:color="auto" w:fill="auto"/>
            <w:hideMark/>
          </w:tcPr>
          <w:p w14:paraId="5438674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1 541</w:t>
            </w:r>
          </w:p>
        </w:tc>
        <w:tc>
          <w:tcPr>
            <w:tcW w:w="792" w:type="dxa"/>
            <w:shd w:val="clear" w:color="auto" w:fill="auto"/>
            <w:hideMark/>
          </w:tcPr>
          <w:p w14:paraId="12DF2BB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6 876</w:t>
            </w:r>
          </w:p>
        </w:tc>
        <w:tc>
          <w:tcPr>
            <w:tcW w:w="802" w:type="dxa"/>
            <w:shd w:val="clear" w:color="auto" w:fill="auto"/>
            <w:hideMark/>
          </w:tcPr>
          <w:p w14:paraId="169C0CC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7 483</w:t>
            </w:r>
          </w:p>
        </w:tc>
        <w:tc>
          <w:tcPr>
            <w:tcW w:w="967" w:type="dxa"/>
            <w:shd w:val="clear" w:color="auto" w:fill="auto"/>
            <w:hideMark/>
          </w:tcPr>
          <w:p w14:paraId="7BA3023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5 344</w:t>
            </w:r>
          </w:p>
        </w:tc>
        <w:tc>
          <w:tcPr>
            <w:tcW w:w="1077" w:type="dxa"/>
            <w:shd w:val="clear" w:color="auto" w:fill="auto"/>
            <w:hideMark/>
          </w:tcPr>
          <w:p w14:paraId="3798BC3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2 529</w:t>
            </w:r>
          </w:p>
        </w:tc>
        <w:tc>
          <w:tcPr>
            <w:tcW w:w="968" w:type="dxa"/>
            <w:shd w:val="clear" w:color="auto" w:fill="auto"/>
            <w:hideMark/>
          </w:tcPr>
          <w:p w14:paraId="797A5C4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2 566</w:t>
            </w:r>
          </w:p>
        </w:tc>
        <w:tc>
          <w:tcPr>
            <w:tcW w:w="968" w:type="dxa"/>
            <w:shd w:val="clear" w:color="auto" w:fill="auto"/>
            <w:hideMark/>
          </w:tcPr>
          <w:p w14:paraId="6633141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16 888</w:t>
            </w:r>
          </w:p>
        </w:tc>
        <w:tc>
          <w:tcPr>
            <w:tcW w:w="1076" w:type="dxa"/>
            <w:shd w:val="clear" w:color="auto" w:fill="auto"/>
            <w:hideMark/>
          </w:tcPr>
          <w:p w14:paraId="5097945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15 644</w:t>
            </w:r>
          </w:p>
        </w:tc>
        <w:tc>
          <w:tcPr>
            <w:tcW w:w="1077" w:type="dxa"/>
            <w:shd w:val="clear" w:color="auto" w:fill="auto"/>
            <w:hideMark/>
          </w:tcPr>
          <w:p w14:paraId="6222DED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11 703</w:t>
            </w:r>
          </w:p>
        </w:tc>
        <w:tc>
          <w:tcPr>
            <w:tcW w:w="1077" w:type="dxa"/>
            <w:shd w:val="clear" w:color="auto" w:fill="auto"/>
            <w:hideMark/>
          </w:tcPr>
          <w:p w14:paraId="6ECAD28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10 445</w:t>
            </w:r>
          </w:p>
        </w:tc>
        <w:tc>
          <w:tcPr>
            <w:tcW w:w="967" w:type="dxa"/>
            <w:shd w:val="clear" w:color="auto" w:fill="auto"/>
            <w:hideMark/>
          </w:tcPr>
          <w:p w14:paraId="75FADC9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6 829</w:t>
            </w:r>
          </w:p>
        </w:tc>
        <w:tc>
          <w:tcPr>
            <w:tcW w:w="1087" w:type="dxa"/>
            <w:shd w:val="clear" w:color="auto" w:fill="auto"/>
            <w:hideMark/>
          </w:tcPr>
          <w:p w14:paraId="33ED16A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4 944</w:t>
            </w:r>
          </w:p>
        </w:tc>
      </w:tr>
      <w:tr w:rsidR="0053576E" w:rsidRPr="004135FE" w14:paraId="189D57C9" w14:textId="77777777" w:rsidTr="00680E37">
        <w:trPr>
          <w:trHeight w:val="20"/>
        </w:trPr>
        <w:tc>
          <w:tcPr>
            <w:tcW w:w="569" w:type="dxa"/>
            <w:vMerge/>
            <w:textDirection w:val="btLr"/>
            <w:hideMark/>
          </w:tcPr>
          <w:p w14:paraId="6B1AB546"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7AA91E6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shd w:val="clear" w:color="auto" w:fill="auto"/>
            <w:hideMark/>
          </w:tcPr>
          <w:p w14:paraId="45009635"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75" w:type="dxa"/>
            <w:shd w:val="clear" w:color="auto" w:fill="auto"/>
            <w:hideMark/>
          </w:tcPr>
          <w:p w14:paraId="428F570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1 931</w:t>
            </w:r>
          </w:p>
        </w:tc>
        <w:tc>
          <w:tcPr>
            <w:tcW w:w="792" w:type="dxa"/>
            <w:shd w:val="clear" w:color="auto" w:fill="auto"/>
            <w:hideMark/>
          </w:tcPr>
          <w:p w14:paraId="100A975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8 496</w:t>
            </w:r>
          </w:p>
        </w:tc>
        <w:tc>
          <w:tcPr>
            <w:tcW w:w="802" w:type="dxa"/>
            <w:shd w:val="clear" w:color="auto" w:fill="auto"/>
            <w:hideMark/>
          </w:tcPr>
          <w:p w14:paraId="015C986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10 096</w:t>
            </w:r>
          </w:p>
        </w:tc>
        <w:tc>
          <w:tcPr>
            <w:tcW w:w="967" w:type="dxa"/>
            <w:shd w:val="clear" w:color="auto" w:fill="auto"/>
            <w:hideMark/>
          </w:tcPr>
          <w:p w14:paraId="584EAEC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7 300</w:t>
            </w:r>
          </w:p>
        </w:tc>
        <w:tc>
          <w:tcPr>
            <w:tcW w:w="1077" w:type="dxa"/>
            <w:shd w:val="clear" w:color="auto" w:fill="auto"/>
            <w:hideMark/>
          </w:tcPr>
          <w:p w14:paraId="5D941DE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2 811</w:t>
            </w:r>
          </w:p>
        </w:tc>
        <w:tc>
          <w:tcPr>
            <w:tcW w:w="968" w:type="dxa"/>
            <w:shd w:val="clear" w:color="auto" w:fill="auto"/>
            <w:hideMark/>
          </w:tcPr>
          <w:p w14:paraId="164CE84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1 452</w:t>
            </w:r>
          </w:p>
        </w:tc>
        <w:tc>
          <w:tcPr>
            <w:tcW w:w="968" w:type="dxa"/>
            <w:shd w:val="clear" w:color="auto" w:fill="auto"/>
            <w:hideMark/>
          </w:tcPr>
          <w:p w14:paraId="1F78148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15 255</w:t>
            </w:r>
          </w:p>
        </w:tc>
        <w:tc>
          <w:tcPr>
            <w:tcW w:w="1076" w:type="dxa"/>
            <w:shd w:val="clear" w:color="auto" w:fill="auto"/>
            <w:hideMark/>
          </w:tcPr>
          <w:p w14:paraId="5CB8815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16 045</w:t>
            </w:r>
          </w:p>
        </w:tc>
        <w:tc>
          <w:tcPr>
            <w:tcW w:w="1077" w:type="dxa"/>
            <w:shd w:val="clear" w:color="auto" w:fill="auto"/>
            <w:hideMark/>
          </w:tcPr>
          <w:p w14:paraId="2D46E1F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12 834</w:t>
            </w:r>
          </w:p>
        </w:tc>
        <w:tc>
          <w:tcPr>
            <w:tcW w:w="1077" w:type="dxa"/>
            <w:shd w:val="clear" w:color="auto" w:fill="auto"/>
            <w:hideMark/>
          </w:tcPr>
          <w:p w14:paraId="13568D4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12 418</w:t>
            </w:r>
          </w:p>
        </w:tc>
        <w:tc>
          <w:tcPr>
            <w:tcW w:w="967" w:type="dxa"/>
            <w:shd w:val="clear" w:color="auto" w:fill="auto"/>
            <w:hideMark/>
          </w:tcPr>
          <w:p w14:paraId="7A76B58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9 660</w:t>
            </w:r>
          </w:p>
        </w:tc>
        <w:tc>
          <w:tcPr>
            <w:tcW w:w="1087" w:type="dxa"/>
            <w:shd w:val="clear" w:color="auto" w:fill="auto"/>
            <w:hideMark/>
          </w:tcPr>
          <w:p w14:paraId="371E187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7 688</w:t>
            </w:r>
          </w:p>
        </w:tc>
      </w:tr>
      <w:tr w:rsidR="0053576E" w:rsidRPr="004135FE" w14:paraId="73DE462B" w14:textId="77777777" w:rsidTr="00680E37">
        <w:trPr>
          <w:trHeight w:val="20"/>
        </w:trPr>
        <w:tc>
          <w:tcPr>
            <w:tcW w:w="569" w:type="dxa"/>
            <w:vMerge/>
            <w:textDirection w:val="btLr"/>
            <w:hideMark/>
          </w:tcPr>
          <w:p w14:paraId="673D8997"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3ED4625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shd w:val="clear" w:color="auto" w:fill="auto"/>
            <w:hideMark/>
          </w:tcPr>
          <w:p w14:paraId="74CC6596"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75" w:type="dxa"/>
            <w:shd w:val="clear" w:color="auto" w:fill="auto"/>
            <w:hideMark/>
          </w:tcPr>
          <w:p w14:paraId="6062131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649</w:t>
            </w:r>
          </w:p>
        </w:tc>
        <w:tc>
          <w:tcPr>
            <w:tcW w:w="792" w:type="dxa"/>
            <w:shd w:val="clear" w:color="auto" w:fill="auto"/>
            <w:hideMark/>
          </w:tcPr>
          <w:p w14:paraId="2D8447D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2 206</w:t>
            </w:r>
          </w:p>
        </w:tc>
        <w:tc>
          <w:tcPr>
            <w:tcW w:w="802" w:type="dxa"/>
            <w:shd w:val="clear" w:color="auto" w:fill="auto"/>
            <w:hideMark/>
          </w:tcPr>
          <w:p w14:paraId="46C4795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2 235</w:t>
            </w:r>
          </w:p>
        </w:tc>
        <w:tc>
          <w:tcPr>
            <w:tcW w:w="967" w:type="dxa"/>
            <w:shd w:val="clear" w:color="auto" w:fill="auto"/>
            <w:hideMark/>
          </w:tcPr>
          <w:p w14:paraId="7A70CD7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1 512</w:t>
            </w:r>
          </w:p>
        </w:tc>
        <w:tc>
          <w:tcPr>
            <w:tcW w:w="1077" w:type="dxa"/>
            <w:shd w:val="clear" w:color="auto" w:fill="auto"/>
            <w:hideMark/>
          </w:tcPr>
          <w:p w14:paraId="5486F83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690</w:t>
            </w:r>
          </w:p>
        </w:tc>
        <w:tc>
          <w:tcPr>
            <w:tcW w:w="968" w:type="dxa"/>
            <w:shd w:val="clear" w:color="auto" w:fill="auto"/>
            <w:hideMark/>
          </w:tcPr>
          <w:p w14:paraId="58EC3ED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378</w:t>
            </w:r>
          </w:p>
        </w:tc>
        <w:tc>
          <w:tcPr>
            <w:tcW w:w="968" w:type="dxa"/>
            <w:shd w:val="clear" w:color="auto" w:fill="auto"/>
            <w:hideMark/>
          </w:tcPr>
          <w:p w14:paraId="7A33FCD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4 201</w:t>
            </w:r>
          </w:p>
        </w:tc>
        <w:tc>
          <w:tcPr>
            <w:tcW w:w="1076" w:type="dxa"/>
            <w:shd w:val="clear" w:color="auto" w:fill="auto"/>
            <w:hideMark/>
          </w:tcPr>
          <w:p w14:paraId="3778E26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4 015</w:t>
            </w:r>
          </w:p>
        </w:tc>
        <w:tc>
          <w:tcPr>
            <w:tcW w:w="1077" w:type="dxa"/>
            <w:shd w:val="clear" w:color="auto" w:fill="auto"/>
            <w:hideMark/>
          </w:tcPr>
          <w:p w14:paraId="3391AEA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3 257</w:t>
            </w:r>
          </w:p>
        </w:tc>
        <w:tc>
          <w:tcPr>
            <w:tcW w:w="1077" w:type="dxa"/>
            <w:shd w:val="clear" w:color="auto" w:fill="auto"/>
            <w:hideMark/>
          </w:tcPr>
          <w:p w14:paraId="76E7245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2 714</w:t>
            </w:r>
          </w:p>
        </w:tc>
        <w:tc>
          <w:tcPr>
            <w:tcW w:w="967" w:type="dxa"/>
            <w:shd w:val="clear" w:color="auto" w:fill="auto"/>
            <w:hideMark/>
          </w:tcPr>
          <w:p w14:paraId="1C69593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1 607</w:t>
            </w:r>
          </w:p>
        </w:tc>
        <w:tc>
          <w:tcPr>
            <w:tcW w:w="1087" w:type="dxa"/>
            <w:shd w:val="clear" w:color="auto" w:fill="auto"/>
            <w:hideMark/>
          </w:tcPr>
          <w:p w14:paraId="108FB34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1 072</w:t>
            </w:r>
          </w:p>
        </w:tc>
      </w:tr>
      <w:tr w:rsidR="0053576E" w:rsidRPr="004135FE" w14:paraId="5EF15BEB" w14:textId="77777777" w:rsidTr="00680E37">
        <w:trPr>
          <w:trHeight w:val="20"/>
        </w:trPr>
        <w:tc>
          <w:tcPr>
            <w:tcW w:w="569" w:type="dxa"/>
            <w:vMerge/>
            <w:textDirection w:val="btLr"/>
            <w:hideMark/>
          </w:tcPr>
          <w:p w14:paraId="3136DE7A"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2101B5B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shd w:val="clear" w:color="auto" w:fill="auto"/>
            <w:hideMark/>
          </w:tcPr>
          <w:p w14:paraId="59A57E61"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75" w:type="dxa"/>
            <w:shd w:val="clear" w:color="auto" w:fill="auto"/>
            <w:hideMark/>
          </w:tcPr>
          <w:p w14:paraId="3CEE38F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1 435</w:t>
            </w:r>
          </w:p>
        </w:tc>
        <w:tc>
          <w:tcPr>
            <w:tcW w:w="792" w:type="dxa"/>
            <w:shd w:val="clear" w:color="auto" w:fill="auto"/>
            <w:hideMark/>
          </w:tcPr>
          <w:p w14:paraId="1A0C1A8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6 289</w:t>
            </w:r>
          </w:p>
        </w:tc>
        <w:tc>
          <w:tcPr>
            <w:tcW w:w="802" w:type="dxa"/>
            <w:shd w:val="clear" w:color="auto" w:fill="auto"/>
            <w:hideMark/>
          </w:tcPr>
          <w:p w14:paraId="5D62426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7 079</w:t>
            </w:r>
          </w:p>
        </w:tc>
        <w:tc>
          <w:tcPr>
            <w:tcW w:w="967" w:type="dxa"/>
            <w:shd w:val="clear" w:color="auto" w:fill="auto"/>
            <w:hideMark/>
          </w:tcPr>
          <w:p w14:paraId="1D9A13F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5 238</w:t>
            </w:r>
          </w:p>
        </w:tc>
        <w:tc>
          <w:tcPr>
            <w:tcW w:w="1077" w:type="dxa"/>
            <w:shd w:val="clear" w:color="auto" w:fill="auto"/>
            <w:hideMark/>
          </w:tcPr>
          <w:p w14:paraId="3AFD3E4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3 296</w:t>
            </w:r>
          </w:p>
        </w:tc>
        <w:tc>
          <w:tcPr>
            <w:tcW w:w="968" w:type="dxa"/>
            <w:shd w:val="clear" w:color="auto" w:fill="auto"/>
            <w:hideMark/>
          </w:tcPr>
          <w:p w14:paraId="204A14B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2 294</w:t>
            </w:r>
          </w:p>
        </w:tc>
        <w:tc>
          <w:tcPr>
            <w:tcW w:w="968" w:type="dxa"/>
            <w:shd w:val="clear" w:color="auto" w:fill="auto"/>
            <w:hideMark/>
          </w:tcPr>
          <w:p w14:paraId="55086BF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18 773</w:t>
            </w:r>
          </w:p>
        </w:tc>
        <w:tc>
          <w:tcPr>
            <w:tcW w:w="1076" w:type="dxa"/>
            <w:shd w:val="clear" w:color="auto" w:fill="auto"/>
            <w:hideMark/>
          </w:tcPr>
          <w:p w14:paraId="3F21EBB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19 711</w:t>
            </w:r>
          </w:p>
        </w:tc>
        <w:tc>
          <w:tcPr>
            <w:tcW w:w="1077" w:type="dxa"/>
            <w:shd w:val="clear" w:color="auto" w:fill="auto"/>
            <w:hideMark/>
          </w:tcPr>
          <w:p w14:paraId="135DC72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14 894</w:t>
            </w:r>
          </w:p>
        </w:tc>
        <w:tc>
          <w:tcPr>
            <w:tcW w:w="1077" w:type="dxa"/>
            <w:shd w:val="clear" w:color="auto" w:fill="auto"/>
            <w:hideMark/>
          </w:tcPr>
          <w:p w14:paraId="0FAD983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14 393</w:t>
            </w:r>
          </w:p>
        </w:tc>
        <w:tc>
          <w:tcPr>
            <w:tcW w:w="967" w:type="dxa"/>
            <w:shd w:val="clear" w:color="auto" w:fill="auto"/>
            <w:hideMark/>
          </w:tcPr>
          <w:p w14:paraId="11B5D55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10 197</w:t>
            </w:r>
          </w:p>
        </w:tc>
        <w:tc>
          <w:tcPr>
            <w:tcW w:w="1087" w:type="dxa"/>
            <w:shd w:val="clear" w:color="auto" w:fill="auto"/>
            <w:hideMark/>
          </w:tcPr>
          <w:p w14:paraId="07C6568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7 834</w:t>
            </w:r>
          </w:p>
        </w:tc>
      </w:tr>
      <w:tr w:rsidR="0053576E" w:rsidRPr="004135FE" w14:paraId="140ECF0A" w14:textId="77777777" w:rsidTr="00680E37">
        <w:trPr>
          <w:trHeight w:val="20"/>
        </w:trPr>
        <w:tc>
          <w:tcPr>
            <w:tcW w:w="569" w:type="dxa"/>
            <w:vMerge w:val="restart"/>
            <w:shd w:val="clear" w:color="auto" w:fill="auto"/>
            <w:noWrap/>
            <w:textDirection w:val="btLr"/>
            <w:hideMark/>
          </w:tcPr>
          <w:p w14:paraId="6C602407"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2016год</w:t>
            </w:r>
          </w:p>
        </w:tc>
        <w:tc>
          <w:tcPr>
            <w:tcW w:w="484" w:type="dxa"/>
            <w:shd w:val="clear" w:color="auto" w:fill="auto"/>
            <w:hideMark/>
          </w:tcPr>
          <w:p w14:paraId="3F5322B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shd w:val="clear" w:color="auto" w:fill="auto"/>
            <w:hideMark/>
          </w:tcPr>
          <w:p w14:paraId="7366CDC5"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75" w:type="dxa"/>
            <w:shd w:val="clear" w:color="auto" w:fill="auto"/>
            <w:hideMark/>
          </w:tcPr>
          <w:p w14:paraId="49F0E6D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1 617</w:t>
            </w:r>
          </w:p>
        </w:tc>
        <w:tc>
          <w:tcPr>
            <w:tcW w:w="792" w:type="dxa"/>
            <w:shd w:val="clear" w:color="auto" w:fill="auto"/>
            <w:hideMark/>
          </w:tcPr>
          <w:p w14:paraId="39D5A67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7 759</w:t>
            </w:r>
          </w:p>
        </w:tc>
        <w:tc>
          <w:tcPr>
            <w:tcW w:w="802" w:type="dxa"/>
            <w:shd w:val="clear" w:color="auto" w:fill="auto"/>
            <w:hideMark/>
          </w:tcPr>
          <w:p w14:paraId="5461136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9 078</w:t>
            </w:r>
          </w:p>
        </w:tc>
        <w:tc>
          <w:tcPr>
            <w:tcW w:w="967" w:type="dxa"/>
            <w:shd w:val="clear" w:color="auto" w:fill="auto"/>
            <w:hideMark/>
          </w:tcPr>
          <w:p w14:paraId="2B332CC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6 725</w:t>
            </w:r>
          </w:p>
        </w:tc>
        <w:tc>
          <w:tcPr>
            <w:tcW w:w="1077" w:type="dxa"/>
            <w:shd w:val="clear" w:color="auto" w:fill="auto"/>
            <w:hideMark/>
          </w:tcPr>
          <w:p w14:paraId="654931D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3 927</w:t>
            </w:r>
          </w:p>
        </w:tc>
        <w:tc>
          <w:tcPr>
            <w:tcW w:w="968" w:type="dxa"/>
            <w:shd w:val="clear" w:color="auto" w:fill="auto"/>
            <w:hideMark/>
          </w:tcPr>
          <w:p w14:paraId="44091E3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4 221</w:t>
            </w:r>
          </w:p>
        </w:tc>
        <w:tc>
          <w:tcPr>
            <w:tcW w:w="968" w:type="dxa"/>
            <w:shd w:val="clear" w:color="auto" w:fill="auto"/>
            <w:hideMark/>
          </w:tcPr>
          <w:p w14:paraId="2CD9883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22 734</w:t>
            </w:r>
          </w:p>
        </w:tc>
        <w:tc>
          <w:tcPr>
            <w:tcW w:w="1076" w:type="dxa"/>
            <w:shd w:val="clear" w:color="auto" w:fill="auto"/>
            <w:hideMark/>
          </w:tcPr>
          <w:p w14:paraId="304B641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21 430</w:t>
            </w:r>
          </w:p>
        </w:tc>
        <w:tc>
          <w:tcPr>
            <w:tcW w:w="1077" w:type="dxa"/>
            <w:shd w:val="clear" w:color="auto" w:fill="auto"/>
            <w:hideMark/>
          </w:tcPr>
          <w:p w14:paraId="574BDCC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18 195</w:t>
            </w:r>
          </w:p>
        </w:tc>
        <w:tc>
          <w:tcPr>
            <w:tcW w:w="1077" w:type="dxa"/>
            <w:shd w:val="clear" w:color="auto" w:fill="auto"/>
            <w:hideMark/>
          </w:tcPr>
          <w:p w14:paraId="1462E73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15 916</w:t>
            </w:r>
          </w:p>
        </w:tc>
        <w:tc>
          <w:tcPr>
            <w:tcW w:w="967" w:type="dxa"/>
            <w:shd w:val="clear" w:color="auto" w:fill="auto"/>
            <w:hideMark/>
          </w:tcPr>
          <w:p w14:paraId="314CDFA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14 760</w:t>
            </w:r>
          </w:p>
        </w:tc>
        <w:tc>
          <w:tcPr>
            <w:tcW w:w="1087" w:type="dxa"/>
            <w:shd w:val="clear" w:color="auto" w:fill="auto"/>
            <w:hideMark/>
          </w:tcPr>
          <w:p w14:paraId="6D2DE09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12 317</w:t>
            </w:r>
          </w:p>
        </w:tc>
      </w:tr>
      <w:tr w:rsidR="0053576E" w:rsidRPr="004135FE" w14:paraId="21C2720B" w14:textId="77777777" w:rsidTr="00680E37">
        <w:trPr>
          <w:trHeight w:val="20"/>
        </w:trPr>
        <w:tc>
          <w:tcPr>
            <w:tcW w:w="569" w:type="dxa"/>
            <w:vMerge/>
            <w:textDirection w:val="btLr"/>
            <w:hideMark/>
          </w:tcPr>
          <w:p w14:paraId="17296A9B"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2AEB8A1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shd w:val="clear" w:color="auto" w:fill="auto"/>
            <w:hideMark/>
          </w:tcPr>
          <w:p w14:paraId="291D364D"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75" w:type="dxa"/>
            <w:shd w:val="clear" w:color="auto" w:fill="auto"/>
            <w:hideMark/>
          </w:tcPr>
          <w:p w14:paraId="60B8E65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2 886</w:t>
            </w:r>
          </w:p>
        </w:tc>
        <w:tc>
          <w:tcPr>
            <w:tcW w:w="792" w:type="dxa"/>
            <w:shd w:val="clear" w:color="auto" w:fill="auto"/>
            <w:hideMark/>
          </w:tcPr>
          <w:p w14:paraId="306869B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10 885</w:t>
            </w:r>
          </w:p>
        </w:tc>
        <w:tc>
          <w:tcPr>
            <w:tcW w:w="802" w:type="dxa"/>
            <w:shd w:val="clear" w:color="auto" w:fill="auto"/>
            <w:hideMark/>
          </w:tcPr>
          <w:p w14:paraId="30ABBB5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11 086</w:t>
            </w:r>
          </w:p>
        </w:tc>
        <w:tc>
          <w:tcPr>
            <w:tcW w:w="967" w:type="dxa"/>
            <w:shd w:val="clear" w:color="auto" w:fill="auto"/>
            <w:hideMark/>
          </w:tcPr>
          <w:p w14:paraId="473DCA3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7 800</w:t>
            </w:r>
          </w:p>
        </w:tc>
        <w:tc>
          <w:tcPr>
            <w:tcW w:w="1077" w:type="dxa"/>
            <w:shd w:val="clear" w:color="auto" w:fill="auto"/>
            <w:hideMark/>
          </w:tcPr>
          <w:p w14:paraId="2884B91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3 217</w:t>
            </w:r>
          </w:p>
        </w:tc>
        <w:tc>
          <w:tcPr>
            <w:tcW w:w="968" w:type="dxa"/>
            <w:shd w:val="clear" w:color="auto" w:fill="auto"/>
            <w:hideMark/>
          </w:tcPr>
          <w:p w14:paraId="06BD77E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1 546</w:t>
            </w:r>
          </w:p>
        </w:tc>
        <w:tc>
          <w:tcPr>
            <w:tcW w:w="968" w:type="dxa"/>
            <w:shd w:val="clear" w:color="auto" w:fill="auto"/>
            <w:hideMark/>
          </w:tcPr>
          <w:p w14:paraId="2DADBCE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18 790</w:t>
            </w:r>
          </w:p>
        </w:tc>
        <w:tc>
          <w:tcPr>
            <w:tcW w:w="1076" w:type="dxa"/>
            <w:shd w:val="clear" w:color="auto" w:fill="auto"/>
            <w:hideMark/>
          </w:tcPr>
          <w:p w14:paraId="7D339CB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18 638</w:t>
            </w:r>
          </w:p>
        </w:tc>
        <w:tc>
          <w:tcPr>
            <w:tcW w:w="1077" w:type="dxa"/>
            <w:shd w:val="clear" w:color="auto" w:fill="auto"/>
            <w:hideMark/>
          </w:tcPr>
          <w:p w14:paraId="400EF86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12 431</w:t>
            </w:r>
          </w:p>
        </w:tc>
        <w:tc>
          <w:tcPr>
            <w:tcW w:w="1077" w:type="dxa"/>
            <w:shd w:val="clear" w:color="auto" w:fill="auto"/>
            <w:hideMark/>
          </w:tcPr>
          <w:p w14:paraId="195D94C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9 299</w:t>
            </w:r>
          </w:p>
        </w:tc>
        <w:tc>
          <w:tcPr>
            <w:tcW w:w="967" w:type="dxa"/>
            <w:shd w:val="clear" w:color="auto" w:fill="auto"/>
            <w:hideMark/>
          </w:tcPr>
          <w:p w14:paraId="3620DFE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4 991</w:t>
            </w:r>
          </w:p>
        </w:tc>
        <w:tc>
          <w:tcPr>
            <w:tcW w:w="1087" w:type="dxa"/>
            <w:shd w:val="clear" w:color="auto" w:fill="auto"/>
            <w:hideMark/>
          </w:tcPr>
          <w:p w14:paraId="263A32F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3 198</w:t>
            </w:r>
          </w:p>
        </w:tc>
      </w:tr>
      <w:tr w:rsidR="0053576E" w:rsidRPr="004135FE" w14:paraId="6C7E7093" w14:textId="77777777" w:rsidTr="00680E37">
        <w:trPr>
          <w:trHeight w:val="20"/>
        </w:trPr>
        <w:tc>
          <w:tcPr>
            <w:tcW w:w="569" w:type="dxa"/>
            <w:vMerge/>
            <w:textDirection w:val="btLr"/>
            <w:hideMark/>
          </w:tcPr>
          <w:p w14:paraId="3B9DE5F0"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338B0F2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shd w:val="clear" w:color="auto" w:fill="auto"/>
            <w:hideMark/>
          </w:tcPr>
          <w:p w14:paraId="78D0A194"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75" w:type="dxa"/>
            <w:shd w:val="clear" w:color="auto" w:fill="auto"/>
            <w:hideMark/>
          </w:tcPr>
          <w:p w14:paraId="76D3B23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2 837</w:t>
            </w:r>
          </w:p>
        </w:tc>
        <w:tc>
          <w:tcPr>
            <w:tcW w:w="792" w:type="dxa"/>
            <w:shd w:val="clear" w:color="auto" w:fill="auto"/>
            <w:hideMark/>
          </w:tcPr>
          <w:p w14:paraId="3269913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12 320</w:t>
            </w:r>
          </w:p>
        </w:tc>
        <w:tc>
          <w:tcPr>
            <w:tcW w:w="802" w:type="dxa"/>
            <w:shd w:val="clear" w:color="auto" w:fill="auto"/>
            <w:hideMark/>
          </w:tcPr>
          <w:p w14:paraId="16F5011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13 299</w:t>
            </w:r>
          </w:p>
        </w:tc>
        <w:tc>
          <w:tcPr>
            <w:tcW w:w="967" w:type="dxa"/>
            <w:shd w:val="clear" w:color="auto" w:fill="auto"/>
            <w:hideMark/>
          </w:tcPr>
          <w:p w14:paraId="503695F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9 136</w:t>
            </w:r>
          </w:p>
        </w:tc>
        <w:tc>
          <w:tcPr>
            <w:tcW w:w="1077" w:type="dxa"/>
            <w:shd w:val="clear" w:color="auto" w:fill="auto"/>
            <w:hideMark/>
          </w:tcPr>
          <w:p w14:paraId="5924AFD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4 306</w:t>
            </w:r>
          </w:p>
        </w:tc>
        <w:tc>
          <w:tcPr>
            <w:tcW w:w="968" w:type="dxa"/>
            <w:shd w:val="clear" w:color="auto" w:fill="auto"/>
            <w:hideMark/>
          </w:tcPr>
          <w:p w14:paraId="6F7B06B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4 071</w:t>
            </w:r>
          </w:p>
        </w:tc>
        <w:tc>
          <w:tcPr>
            <w:tcW w:w="968" w:type="dxa"/>
            <w:shd w:val="clear" w:color="auto" w:fill="auto"/>
            <w:hideMark/>
          </w:tcPr>
          <w:p w14:paraId="5DBDE0D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28 396</w:t>
            </w:r>
          </w:p>
        </w:tc>
        <w:tc>
          <w:tcPr>
            <w:tcW w:w="1076" w:type="dxa"/>
            <w:shd w:val="clear" w:color="auto" w:fill="auto"/>
            <w:hideMark/>
          </w:tcPr>
          <w:p w14:paraId="5866844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27 625</w:t>
            </w:r>
          </w:p>
        </w:tc>
        <w:tc>
          <w:tcPr>
            <w:tcW w:w="1077" w:type="dxa"/>
            <w:shd w:val="clear" w:color="auto" w:fill="auto"/>
            <w:hideMark/>
          </w:tcPr>
          <w:p w14:paraId="6FED3CC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21 440</w:t>
            </w:r>
          </w:p>
        </w:tc>
        <w:tc>
          <w:tcPr>
            <w:tcW w:w="1077" w:type="dxa"/>
            <w:shd w:val="clear" w:color="auto" w:fill="auto"/>
            <w:hideMark/>
          </w:tcPr>
          <w:p w14:paraId="7B42A0B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19 450</w:t>
            </w:r>
          </w:p>
        </w:tc>
        <w:tc>
          <w:tcPr>
            <w:tcW w:w="967" w:type="dxa"/>
            <w:shd w:val="clear" w:color="auto" w:fill="auto"/>
            <w:hideMark/>
          </w:tcPr>
          <w:p w14:paraId="461BC23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14 810</w:t>
            </w:r>
          </w:p>
        </w:tc>
        <w:tc>
          <w:tcPr>
            <w:tcW w:w="1087" w:type="dxa"/>
            <w:shd w:val="clear" w:color="auto" w:fill="auto"/>
            <w:hideMark/>
          </w:tcPr>
          <w:p w14:paraId="31F704C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11 488</w:t>
            </w:r>
          </w:p>
        </w:tc>
      </w:tr>
      <w:tr w:rsidR="0053576E" w:rsidRPr="004135FE" w14:paraId="17F56924" w14:textId="77777777" w:rsidTr="00680E37">
        <w:trPr>
          <w:trHeight w:val="20"/>
        </w:trPr>
        <w:tc>
          <w:tcPr>
            <w:tcW w:w="569" w:type="dxa"/>
            <w:vMerge/>
            <w:textDirection w:val="btLr"/>
            <w:hideMark/>
          </w:tcPr>
          <w:p w14:paraId="49B19909"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3D48BBD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shd w:val="clear" w:color="auto" w:fill="auto"/>
            <w:hideMark/>
          </w:tcPr>
          <w:p w14:paraId="2A5A410E"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75" w:type="dxa"/>
            <w:shd w:val="clear" w:color="auto" w:fill="auto"/>
            <w:hideMark/>
          </w:tcPr>
          <w:p w14:paraId="637E80C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1 885</w:t>
            </w:r>
          </w:p>
        </w:tc>
        <w:tc>
          <w:tcPr>
            <w:tcW w:w="792" w:type="dxa"/>
            <w:shd w:val="clear" w:color="auto" w:fill="auto"/>
            <w:hideMark/>
          </w:tcPr>
          <w:p w14:paraId="071FA2E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9 040</w:t>
            </w:r>
          </w:p>
        </w:tc>
        <w:tc>
          <w:tcPr>
            <w:tcW w:w="802" w:type="dxa"/>
            <w:shd w:val="clear" w:color="auto" w:fill="auto"/>
            <w:hideMark/>
          </w:tcPr>
          <w:p w14:paraId="63B8F90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10 200</w:t>
            </w:r>
          </w:p>
        </w:tc>
        <w:tc>
          <w:tcPr>
            <w:tcW w:w="967" w:type="dxa"/>
            <w:shd w:val="clear" w:color="auto" w:fill="auto"/>
            <w:hideMark/>
          </w:tcPr>
          <w:p w14:paraId="4A36EA4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7 516</w:t>
            </w:r>
          </w:p>
        </w:tc>
        <w:tc>
          <w:tcPr>
            <w:tcW w:w="1077" w:type="dxa"/>
            <w:shd w:val="clear" w:color="auto" w:fill="auto"/>
            <w:hideMark/>
          </w:tcPr>
          <w:p w14:paraId="37C639A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7 006</w:t>
            </w:r>
          </w:p>
        </w:tc>
        <w:tc>
          <w:tcPr>
            <w:tcW w:w="968" w:type="dxa"/>
            <w:shd w:val="clear" w:color="auto" w:fill="auto"/>
            <w:hideMark/>
          </w:tcPr>
          <w:p w14:paraId="4A9E745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14 452</w:t>
            </w:r>
          </w:p>
        </w:tc>
        <w:tc>
          <w:tcPr>
            <w:tcW w:w="968" w:type="dxa"/>
            <w:shd w:val="clear" w:color="auto" w:fill="auto"/>
            <w:hideMark/>
          </w:tcPr>
          <w:p w14:paraId="3BE1073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47 587</w:t>
            </w:r>
          </w:p>
        </w:tc>
        <w:tc>
          <w:tcPr>
            <w:tcW w:w="1076" w:type="dxa"/>
            <w:shd w:val="clear" w:color="auto" w:fill="auto"/>
            <w:hideMark/>
          </w:tcPr>
          <w:p w14:paraId="42DDAC6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23 333</w:t>
            </w:r>
          </w:p>
        </w:tc>
        <w:tc>
          <w:tcPr>
            <w:tcW w:w="1077" w:type="dxa"/>
            <w:shd w:val="clear" w:color="auto" w:fill="auto"/>
            <w:hideMark/>
          </w:tcPr>
          <w:p w14:paraId="4D2AED5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19 264</w:t>
            </w:r>
          </w:p>
        </w:tc>
        <w:tc>
          <w:tcPr>
            <w:tcW w:w="1077" w:type="dxa"/>
            <w:shd w:val="clear" w:color="auto" w:fill="auto"/>
            <w:hideMark/>
          </w:tcPr>
          <w:p w14:paraId="02DEFB5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17 507</w:t>
            </w:r>
          </w:p>
        </w:tc>
        <w:tc>
          <w:tcPr>
            <w:tcW w:w="967" w:type="dxa"/>
            <w:shd w:val="clear" w:color="auto" w:fill="auto"/>
            <w:hideMark/>
          </w:tcPr>
          <w:p w14:paraId="3F5E0EC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14 469</w:t>
            </w:r>
          </w:p>
        </w:tc>
        <w:tc>
          <w:tcPr>
            <w:tcW w:w="1087" w:type="dxa"/>
            <w:shd w:val="clear" w:color="auto" w:fill="auto"/>
            <w:hideMark/>
          </w:tcPr>
          <w:p w14:paraId="166ABD8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11 809</w:t>
            </w:r>
          </w:p>
        </w:tc>
      </w:tr>
      <w:tr w:rsidR="0053576E" w:rsidRPr="004135FE" w14:paraId="2045C49D" w14:textId="77777777" w:rsidTr="00680E37">
        <w:trPr>
          <w:trHeight w:val="20"/>
        </w:trPr>
        <w:tc>
          <w:tcPr>
            <w:tcW w:w="569" w:type="dxa"/>
            <w:vMerge/>
            <w:textDirection w:val="btLr"/>
            <w:hideMark/>
          </w:tcPr>
          <w:p w14:paraId="3CCF4B0B"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777EAAF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shd w:val="clear" w:color="auto" w:fill="auto"/>
            <w:hideMark/>
          </w:tcPr>
          <w:p w14:paraId="51722BAF"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75" w:type="dxa"/>
            <w:shd w:val="clear" w:color="auto" w:fill="auto"/>
            <w:hideMark/>
          </w:tcPr>
          <w:p w14:paraId="2402C3F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1 563</w:t>
            </w:r>
          </w:p>
        </w:tc>
        <w:tc>
          <w:tcPr>
            <w:tcW w:w="792" w:type="dxa"/>
            <w:shd w:val="clear" w:color="auto" w:fill="auto"/>
            <w:hideMark/>
          </w:tcPr>
          <w:p w14:paraId="1923FFE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7 027</w:t>
            </w:r>
          </w:p>
        </w:tc>
        <w:tc>
          <w:tcPr>
            <w:tcW w:w="802" w:type="dxa"/>
            <w:shd w:val="clear" w:color="auto" w:fill="auto"/>
            <w:hideMark/>
          </w:tcPr>
          <w:p w14:paraId="151DAE8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7 797</w:t>
            </w:r>
          </w:p>
        </w:tc>
        <w:tc>
          <w:tcPr>
            <w:tcW w:w="967" w:type="dxa"/>
            <w:shd w:val="clear" w:color="auto" w:fill="auto"/>
            <w:hideMark/>
          </w:tcPr>
          <w:p w14:paraId="2EBCD71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5 691</w:t>
            </w:r>
          </w:p>
        </w:tc>
        <w:tc>
          <w:tcPr>
            <w:tcW w:w="1077" w:type="dxa"/>
            <w:shd w:val="clear" w:color="auto" w:fill="auto"/>
            <w:hideMark/>
          </w:tcPr>
          <w:p w14:paraId="1D95799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2 767</w:t>
            </w:r>
          </w:p>
        </w:tc>
        <w:tc>
          <w:tcPr>
            <w:tcW w:w="968" w:type="dxa"/>
            <w:shd w:val="clear" w:color="auto" w:fill="auto"/>
            <w:hideMark/>
          </w:tcPr>
          <w:p w14:paraId="0A66214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2 809</w:t>
            </w:r>
          </w:p>
        </w:tc>
        <w:tc>
          <w:tcPr>
            <w:tcW w:w="968" w:type="dxa"/>
            <w:shd w:val="clear" w:color="auto" w:fill="auto"/>
            <w:hideMark/>
          </w:tcPr>
          <w:p w14:paraId="0B1638B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17 101</w:t>
            </w:r>
          </w:p>
        </w:tc>
        <w:tc>
          <w:tcPr>
            <w:tcW w:w="1076" w:type="dxa"/>
            <w:shd w:val="clear" w:color="auto" w:fill="auto"/>
            <w:hideMark/>
          </w:tcPr>
          <w:p w14:paraId="6E8B961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16 258</w:t>
            </w:r>
          </w:p>
        </w:tc>
        <w:tc>
          <w:tcPr>
            <w:tcW w:w="1077" w:type="dxa"/>
            <w:shd w:val="clear" w:color="auto" w:fill="auto"/>
            <w:hideMark/>
          </w:tcPr>
          <w:p w14:paraId="7C0A75C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12 099</w:t>
            </w:r>
          </w:p>
        </w:tc>
        <w:tc>
          <w:tcPr>
            <w:tcW w:w="1077" w:type="dxa"/>
            <w:shd w:val="clear" w:color="auto" w:fill="auto"/>
            <w:hideMark/>
          </w:tcPr>
          <w:p w14:paraId="385549C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10 612</w:t>
            </w:r>
          </w:p>
        </w:tc>
        <w:tc>
          <w:tcPr>
            <w:tcW w:w="967" w:type="dxa"/>
            <w:shd w:val="clear" w:color="auto" w:fill="auto"/>
            <w:hideMark/>
          </w:tcPr>
          <w:p w14:paraId="3AFB51B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7 159</w:t>
            </w:r>
          </w:p>
        </w:tc>
        <w:tc>
          <w:tcPr>
            <w:tcW w:w="1087" w:type="dxa"/>
            <w:shd w:val="clear" w:color="auto" w:fill="auto"/>
            <w:hideMark/>
          </w:tcPr>
          <w:p w14:paraId="5679F8A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4 949</w:t>
            </w:r>
          </w:p>
        </w:tc>
      </w:tr>
      <w:tr w:rsidR="0053576E" w:rsidRPr="004135FE" w14:paraId="48C9F307" w14:textId="77777777" w:rsidTr="00680E37">
        <w:trPr>
          <w:trHeight w:val="20"/>
        </w:trPr>
        <w:tc>
          <w:tcPr>
            <w:tcW w:w="569" w:type="dxa"/>
            <w:vMerge/>
            <w:textDirection w:val="btLr"/>
            <w:hideMark/>
          </w:tcPr>
          <w:p w14:paraId="2F94849E"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6FB0631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shd w:val="clear" w:color="auto" w:fill="auto"/>
            <w:hideMark/>
          </w:tcPr>
          <w:p w14:paraId="5CD70E79"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75" w:type="dxa"/>
            <w:shd w:val="clear" w:color="auto" w:fill="auto"/>
            <w:hideMark/>
          </w:tcPr>
          <w:p w14:paraId="415327F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1 818</w:t>
            </w:r>
          </w:p>
        </w:tc>
        <w:tc>
          <w:tcPr>
            <w:tcW w:w="792" w:type="dxa"/>
            <w:shd w:val="clear" w:color="auto" w:fill="auto"/>
            <w:hideMark/>
          </w:tcPr>
          <w:p w14:paraId="2E316A8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8 691</w:t>
            </w:r>
          </w:p>
        </w:tc>
        <w:tc>
          <w:tcPr>
            <w:tcW w:w="802" w:type="dxa"/>
            <w:shd w:val="clear" w:color="auto" w:fill="auto"/>
            <w:hideMark/>
          </w:tcPr>
          <w:p w14:paraId="38CF91A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10 247</w:t>
            </w:r>
          </w:p>
        </w:tc>
        <w:tc>
          <w:tcPr>
            <w:tcW w:w="967" w:type="dxa"/>
            <w:shd w:val="clear" w:color="auto" w:fill="auto"/>
            <w:hideMark/>
          </w:tcPr>
          <w:p w14:paraId="0E14B09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7 828</w:t>
            </w:r>
          </w:p>
        </w:tc>
        <w:tc>
          <w:tcPr>
            <w:tcW w:w="1077" w:type="dxa"/>
            <w:shd w:val="clear" w:color="auto" w:fill="auto"/>
            <w:hideMark/>
          </w:tcPr>
          <w:p w14:paraId="4AC7EF7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3 461</w:t>
            </w:r>
          </w:p>
        </w:tc>
        <w:tc>
          <w:tcPr>
            <w:tcW w:w="968" w:type="dxa"/>
            <w:shd w:val="clear" w:color="auto" w:fill="auto"/>
            <w:hideMark/>
          </w:tcPr>
          <w:p w14:paraId="733A9B2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2 803</w:t>
            </w:r>
          </w:p>
        </w:tc>
        <w:tc>
          <w:tcPr>
            <w:tcW w:w="968" w:type="dxa"/>
            <w:shd w:val="clear" w:color="auto" w:fill="auto"/>
            <w:hideMark/>
          </w:tcPr>
          <w:p w14:paraId="2A5FB2E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17 405</w:t>
            </w:r>
          </w:p>
        </w:tc>
        <w:tc>
          <w:tcPr>
            <w:tcW w:w="1076" w:type="dxa"/>
            <w:shd w:val="clear" w:color="auto" w:fill="auto"/>
            <w:hideMark/>
          </w:tcPr>
          <w:p w14:paraId="345E887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17 946</w:t>
            </w:r>
          </w:p>
        </w:tc>
        <w:tc>
          <w:tcPr>
            <w:tcW w:w="1077" w:type="dxa"/>
            <w:shd w:val="clear" w:color="auto" w:fill="auto"/>
            <w:hideMark/>
          </w:tcPr>
          <w:p w14:paraId="29A5A9C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14 069</w:t>
            </w:r>
          </w:p>
        </w:tc>
        <w:tc>
          <w:tcPr>
            <w:tcW w:w="1077" w:type="dxa"/>
            <w:shd w:val="clear" w:color="auto" w:fill="auto"/>
            <w:hideMark/>
          </w:tcPr>
          <w:p w14:paraId="536DFBE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13 148</w:t>
            </w:r>
          </w:p>
        </w:tc>
        <w:tc>
          <w:tcPr>
            <w:tcW w:w="967" w:type="dxa"/>
            <w:shd w:val="clear" w:color="auto" w:fill="auto"/>
            <w:hideMark/>
          </w:tcPr>
          <w:p w14:paraId="3D65758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10 422</w:t>
            </w:r>
          </w:p>
        </w:tc>
        <w:tc>
          <w:tcPr>
            <w:tcW w:w="1087" w:type="dxa"/>
            <w:shd w:val="clear" w:color="auto" w:fill="auto"/>
            <w:hideMark/>
          </w:tcPr>
          <w:p w14:paraId="785AA71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8 052</w:t>
            </w:r>
          </w:p>
        </w:tc>
      </w:tr>
      <w:tr w:rsidR="0053576E" w:rsidRPr="004135FE" w14:paraId="297FC8D6" w14:textId="77777777" w:rsidTr="00680E37">
        <w:trPr>
          <w:trHeight w:val="20"/>
        </w:trPr>
        <w:tc>
          <w:tcPr>
            <w:tcW w:w="569" w:type="dxa"/>
            <w:vMerge/>
            <w:textDirection w:val="btLr"/>
            <w:hideMark/>
          </w:tcPr>
          <w:p w14:paraId="067D382D"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0CE0C7A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shd w:val="clear" w:color="auto" w:fill="auto"/>
            <w:hideMark/>
          </w:tcPr>
          <w:p w14:paraId="26581914"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75" w:type="dxa"/>
            <w:shd w:val="clear" w:color="auto" w:fill="auto"/>
            <w:hideMark/>
          </w:tcPr>
          <w:p w14:paraId="1CC6CBB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672</w:t>
            </w:r>
          </w:p>
        </w:tc>
        <w:tc>
          <w:tcPr>
            <w:tcW w:w="792" w:type="dxa"/>
            <w:shd w:val="clear" w:color="auto" w:fill="auto"/>
            <w:hideMark/>
          </w:tcPr>
          <w:p w14:paraId="1181EED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2 617</w:t>
            </w:r>
          </w:p>
        </w:tc>
        <w:tc>
          <w:tcPr>
            <w:tcW w:w="802" w:type="dxa"/>
            <w:shd w:val="clear" w:color="auto" w:fill="auto"/>
            <w:hideMark/>
          </w:tcPr>
          <w:p w14:paraId="40B4934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2 438</w:t>
            </w:r>
          </w:p>
        </w:tc>
        <w:tc>
          <w:tcPr>
            <w:tcW w:w="967" w:type="dxa"/>
            <w:shd w:val="clear" w:color="auto" w:fill="auto"/>
            <w:hideMark/>
          </w:tcPr>
          <w:p w14:paraId="6A822D0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1 761</w:t>
            </w:r>
          </w:p>
        </w:tc>
        <w:tc>
          <w:tcPr>
            <w:tcW w:w="1077" w:type="dxa"/>
            <w:shd w:val="clear" w:color="auto" w:fill="auto"/>
            <w:hideMark/>
          </w:tcPr>
          <w:p w14:paraId="1F07696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767</w:t>
            </w:r>
          </w:p>
        </w:tc>
        <w:tc>
          <w:tcPr>
            <w:tcW w:w="968" w:type="dxa"/>
            <w:shd w:val="clear" w:color="auto" w:fill="auto"/>
            <w:hideMark/>
          </w:tcPr>
          <w:p w14:paraId="7A6241F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404</w:t>
            </w:r>
          </w:p>
        </w:tc>
        <w:tc>
          <w:tcPr>
            <w:tcW w:w="968" w:type="dxa"/>
            <w:shd w:val="clear" w:color="auto" w:fill="auto"/>
            <w:hideMark/>
          </w:tcPr>
          <w:p w14:paraId="2688B1F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4 776</w:t>
            </w:r>
          </w:p>
        </w:tc>
        <w:tc>
          <w:tcPr>
            <w:tcW w:w="1076" w:type="dxa"/>
            <w:shd w:val="clear" w:color="auto" w:fill="auto"/>
            <w:hideMark/>
          </w:tcPr>
          <w:p w14:paraId="6520FF1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4 494</w:t>
            </w:r>
          </w:p>
        </w:tc>
        <w:tc>
          <w:tcPr>
            <w:tcW w:w="1077" w:type="dxa"/>
            <w:shd w:val="clear" w:color="auto" w:fill="auto"/>
            <w:hideMark/>
          </w:tcPr>
          <w:p w14:paraId="3DE605F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3 539</w:t>
            </w:r>
          </w:p>
        </w:tc>
        <w:tc>
          <w:tcPr>
            <w:tcW w:w="1077" w:type="dxa"/>
            <w:shd w:val="clear" w:color="auto" w:fill="auto"/>
            <w:hideMark/>
          </w:tcPr>
          <w:p w14:paraId="3C7ED56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2 976</w:t>
            </w:r>
          </w:p>
        </w:tc>
        <w:tc>
          <w:tcPr>
            <w:tcW w:w="967" w:type="dxa"/>
            <w:shd w:val="clear" w:color="auto" w:fill="auto"/>
            <w:hideMark/>
          </w:tcPr>
          <w:p w14:paraId="68CE9F7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1 834</w:t>
            </w:r>
          </w:p>
        </w:tc>
        <w:tc>
          <w:tcPr>
            <w:tcW w:w="1087" w:type="dxa"/>
            <w:shd w:val="clear" w:color="auto" w:fill="auto"/>
            <w:hideMark/>
          </w:tcPr>
          <w:p w14:paraId="59C9B05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1 188</w:t>
            </w:r>
          </w:p>
        </w:tc>
      </w:tr>
      <w:tr w:rsidR="0053576E" w:rsidRPr="004135FE" w14:paraId="086B1CCA" w14:textId="77777777" w:rsidTr="00680E37">
        <w:trPr>
          <w:trHeight w:val="20"/>
        </w:trPr>
        <w:tc>
          <w:tcPr>
            <w:tcW w:w="569" w:type="dxa"/>
            <w:vMerge/>
            <w:textDirection w:val="btLr"/>
            <w:hideMark/>
          </w:tcPr>
          <w:p w14:paraId="2648868C"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475E634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shd w:val="clear" w:color="auto" w:fill="auto"/>
            <w:hideMark/>
          </w:tcPr>
          <w:p w14:paraId="0B1474E4"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75" w:type="dxa"/>
            <w:shd w:val="clear" w:color="auto" w:fill="auto"/>
            <w:hideMark/>
          </w:tcPr>
          <w:p w14:paraId="2AD5023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1 465</w:t>
            </w:r>
          </w:p>
        </w:tc>
        <w:tc>
          <w:tcPr>
            <w:tcW w:w="792" w:type="dxa"/>
            <w:shd w:val="clear" w:color="auto" w:fill="auto"/>
            <w:hideMark/>
          </w:tcPr>
          <w:p w14:paraId="48C35C2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7 018</w:t>
            </w:r>
          </w:p>
        </w:tc>
        <w:tc>
          <w:tcPr>
            <w:tcW w:w="802" w:type="dxa"/>
            <w:shd w:val="clear" w:color="auto" w:fill="auto"/>
            <w:hideMark/>
          </w:tcPr>
          <w:p w14:paraId="09B2883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7 835</w:t>
            </w:r>
          </w:p>
        </w:tc>
        <w:tc>
          <w:tcPr>
            <w:tcW w:w="967" w:type="dxa"/>
            <w:shd w:val="clear" w:color="auto" w:fill="auto"/>
            <w:hideMark/>
          </w:tcPr>
          <w:p w14:paraId="2120E6E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5 889</w:t>
            </w:r>
          </w:p>
        </w:tc>
        <w:tc>
          <w:tcPr>
            <w:tcW w:w="1077" w:type="dxa"/>
            <w:shd w:val="clear" w:color="auto" w:fill="auto"/>
            <w:hideMark/>
          </w:tcPr>
          <w:p w14:paraId="0647BB0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3 573</w:t>
            </w:r>
          </w:p>
        </w:tc>
        <w:tc>
          <w:tcPr>
            <w:tcW w:w="968" w:type="dxa"/>
            <w:shd w:val="clear" w:color="auto" w:fill="auto"/>
            <w:hideMark/>
          </w:tcPr>
          <w:p w14:paraId="08DE1C5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2 584</w:t>
            </w:r>
          </w:p>
        </w:tc>
        <w:tc>
          <w:tcPr>
            <w:tcW w:w="968" w:type="dxa"/>
            <w:shd w:val="clear" w:color="auto" w:fill="auto"/>
            <w:hideMark/>
          </w:tcPr>
          <w:p w14:paraId="4BF0E1B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19 544</w:t>
            </w:r>
          </w:p>
        </w:tc>
        <w:tc>
          <w:tcPr>
            <w:tcW w:w="1076" w:type="dxa"/>
            <w:shd w:val="clear" w:color="auto" w:fill="auto"/>
            <w:hideMark/>
          </w:tcPr>
          <w:p w14:paraId="730FC2E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21 214</w:t>
            </w:r>
          </w:p>
        </w:tc>
        <w:tc>
          <w:tcPr>
            <w:tcW w:w="1077" w:type="dxa"/>
            <w:shd w:val="clear" w:color="auto" w:fill="auto"/>
            <w:hideMark/>
          </w:tcPr>
          <w:p w14:paraId="3EB421A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15 857</w:t>
            </w:r>
          </w:p>
        </w:tc>
        <w:tc>
          <w:tcPr>
            <w:tcW w:w="1077" w:type="dxa"/>
            <w:shd w:val="clear" w:color="auto" w:fill="auto"/>
            <w:hideMark/>
          </w:tcPr>
          <w:p w14:paraId="1F7CF87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14 878</w:t>
            </w:r>
          </w:p>
        </w:tc>
        <w:tc>
          <w:tcPr>
            <w:tcW w:w="967" w:type="dxa"/>
            <w:shd w:val="clear" w:color="auto" w:fill="auto"/>
            <w:hideMark/>
          </w:tcPr>
          <w:p w14:paraId="1853AD9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10 983</w:t>
            </w:r>
          </w:p>
        </w:tc>
        <w:tc>
          <w:tcPr>
            <w:tcW w:w="1087" w:type="dxa"/>
            <w:shd w:val="clear" w:color="auto" w:fill="auto"/>
            <w:hideMark/>
          </w:tcPr>
          <w:p w14:paraId="5D36551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8 025</w:t>
            </w:r>
          </w:p>
        </w:tc>
      </w:tr>
    </w:tbl>
    <w:p w14:paraId="73DE145E" w14:textId="29C05269" w:rsidR="002038AA" w:rsidRDefault="002038AA"/>
    <w:p w14:paraId="2E6083C2" w14:textId="77777777" w:rsidR="002038AA" w:rsidRPr="00680E37" w:rsidRDefault="002038AA" w:rsidP="002038AA">
      <w:pPr>
        <w:rPr>
          <w:rFonts w:ascii="Times New Roman" w:eastAsia="Times New Roman" w:hAnsi="Times New Roman" w:cs="Times New Roman"/>
          <w:sz w:val="28"/>
          <w:szCs w:val="28"/>
        </w:rPr>
      </w:pPr>
      <w:r w:rsidRPr="00680E37">
        <w:rPr>
          <w:rFonts w:ascii="Times New Roman" w:eastAsia="Times New Roman" w:hAnsi="Times New Roman" w:cs="Times New Roman"/>
          <w:sz w:val="28"/>
          <w:szCs w:val="28"/>
        </w:rPr>
        <w:t>Продолжение таблицы А</w:t>
      </w:r>
      <w:r>
        <w:rPr>
          <w:rFonts w:ascii="Times New Roman" w:eastAsia="Times New Roman" w:hAnsi="Times New Roman" w:cs="Times New Roman"/>
          <w:sz w:val="28"/>
          <w:szCs w:val="28"/>
        </w:rPr>
        <w:t>6</w:t>
      </w:r>
    </w:p>
    <w:tbl>
      <w:tblPr>
        <w:tblW w:w="1488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484"/>
        <w:gridCol w:w="2098"/>
        <w:gridCol w:w="875"/>
        <w:gridCol w:w="792"/>
        <w:gridCol w:w="802"/>
        <w:gridCol w:w="967"/>
        <w:gridCol w:w="1077"/>
        <w:gridCol w:w="968"/>
        <w:gridCol w:w="968"/>
        <w:gridCol w:w="1076"/>
        <w:gridCol w:w="1077"/>
        <w:gridCol w:w="1077"/>
        <w:gridCol w:w="967"/>
        <w:gridCol w:w="1087"/>
      </w:tblGrid>
      <w:tr w:rsidR="0053576E" w:rsidRPr="004135FE" w14:paraId="6B6749C7" w14:textId="77777777" w:rsidTr="00680E37">
        <w:trPr>
          <w:trHeight w:val="20"/>
        </w:trPr>
        <w:tc>
          <w:tcPr>
            <w:tcW w:w="569" w:type="dxa"/>
            <w:vMerge w:val="restart"/>
            <w:shd w:val="clear" w:color="auto" w:fill="auto"/>
            <w:noWrap/>
            <w:textDirection w:val="btLr"/>
            <w:hideMark/>
          </w:tcPr>
          <w:p w14:paraId="103C2529"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2017год</w:t>
            </w:r>
          </w:p>
        </w:tc>
        <w:tc>
          <w:tcPr>
            <w:tcW w:w="484" w:type="dxa"/>
            <w:shd w:val="clear" w:color="auto" w:fill="auto"/>
            <w:hideMark/>
          </w:tcPr>
          <w:p w14:paraId="6E6A5D1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shd w:val="clear" w:color="auto" w:fill="auto"/>
            <w:hideMark/>
          </w:tcPr>
          <w:p w14:paraId="0181912D"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75" w:type="dxa"/>
            <w:shd w:val="clear" w:color="auto" w:fill="auto"/>
            <w:hideMark/>
          </w:tcPr>
          <w:p w14:paraId="62AB14C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1 998</w:t>
            </w:r>
          </w:p>
        </w:tc>
        <w:tc>
          <w:tcPr>
            <w:tcW w:w="792" w:type="dxa"/>
            <w:shd w:val="clear" w:color="auto" w:fill="auto"/>
            <w:hideMark/>
          </w:tcPr>
          <w:p w14:paraId="584927A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9 086</w:t>
            </w:r>
          </w:p>
        </w:tc>
        <w:tc>
          <w:tcPr>
            <w:tcW w:w="802" w:type="dxa"/>
            <w:shd w:val="clear" w:color="auto" w:fill="auto"/>
            <w:hideMark/>
          </w:tcPr>
          <w:p w14:paraId="098325A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10 646</w:t>
            </w:r>
          </w:p>
        </w:tc>
        <w:tc>
          <w:tcPr>
            <w:tcW w:w="967" w:type="dxa"/>
            <w:shd w:val="clear" w:color="auto" w:fill="auto"/>
            <w:hideMark/>
          </w:tcPr>
          <w:p w14:paraId="07487EC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8 452</w:t>
            </w:r>
          </w:p>
        </w:tc>
        <w:tc>
          <w:tcPr>
            <w:tcW w:w="1077" w:type="dxa"/>
            <w:shd w:val="clear" w:color="auto" w:fill="auto"/>
            <w:hideMark/>
          </w:tcPr>
          <w:p w14:paraId="0333EBC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5 308</w:t>
            </w:r>
          </w:p>
        </w:tc>
        <w:tc>
          <w:tcPr>
            <w:tcW w:w="968" w:type="dxa"/>
            <w:shd w:val="clear" w:color="auto" w:fill="auto"/>
            <w:hideMark/>
          </w:tcPr>
          <w:p w14:paraId="79E95BE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6 159</w:t>
            </w:r>
          </w:p>
        </w:tc>
        <w:tc>
          <w:tcPr>
            <w:tcW w:w="968" w:type="dxa"/>
            <w:shd w:val="clear" w:color="auto" w:fill="auto"/>
            <w:hideMark/>
          </w:tcPr>
          <w:p w14:paraId="08779D9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32 679</w:t>
            </w:r>
          </w:p>
        </w:tc>
        <w:tc>
          <w:tcPr>
            <w:tcW w:w="1076" w:type="dxa"/>
            <w:shd w:val="clear" w:color="auto" w:fill="auto"/>
            <w:hideMark/>
          </w:tcPr>
          <w:p w14:paraId="6FE661C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27 215</w:t>
            </w:r>
          </w:p>
        </w:tc>
        <w:tc>
          <w:tcPr>
            <w:tcW w:w="1077" w:type="dxa"/>
            <w:shd w:val="clear" w:color="auto" w:fill="auto"/>
            <w:hideMark/>
          </w:tcPr>
          <w:p w14:paraId="7442160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23 079</w:t>
            </w:r>
          </w:p>
        </w:tc>
        <w:tc>
          <w:tcPr>
            <w:tcW w:w="1077" w:type="dxa"/>
            <w:shd w:val="clear" w:color="auto" w:fill="auto"/>
            <w:hideMark/>
          </w:tcPr>
          <w:p w14:paraId="265361B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19 150</w:t>
            </w:r>
          </w:p>
        </w:tc>
        <w:tc>
          <w:tcPr>
            <w:tcW w:w="967" w:type="dxa"/>
            <w:shd w:val="clear" w:color="auto" w:fill="auto"/>
            <w:hideMark/>
          </w:tcPr>
          <w:p w14:paraId="67D836E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16 834</w:t>
            </w:r>
          </w:p>
        </w:tc>
        <w:tc>
          <w:tcPr>
            <w:tcW w:w="1087" w:type="dxa"/>
            <w:shd w:val="clear" w:color="auto" w:fill="auto"/>
            <w:hideMark/>
          </w:tcPr>
          <w:p w14:paraId="6CBEB65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13 848</w:t>
            </w:r>
          </w:p>
        </w:tc>
      </w:tr>
      <w:tr w:rsidR="0053576E" w:rsidRPr="004135FE" w14:paraId="59F690D9" w14:textId="77777777" w:rsidTr="00680E37">
        <w:trPr>
          <w:trHeight w:val="20"/>
        </w:trPr>
        <w:tc>
          <w:tcPr>
            <w:tcW w:w="569" w:type="dxa"/>
            <w:vMerge/>
            <w:textDirection w:val="btLr"/>
            <w:hideMark/>
          </w:tcPr>
          <w:p w14:paraId="74864D74"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5F56463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shd w:val="clear" w:color="auto" w:fill="auto"/>
            <w:hideMark/>
          </w:tcPr>
          <w:p w14:paraId="0BD07530"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75" w:type="dxa"/>
            <w:shd w:val="clear" w:color="auto" w:fill="auto"/>
            <w:hideMark/>
          </w:tcPr>
          <w:p w14:paraId="572C77A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3 034</w:t>
            </w:r>
          </w:p>
        </w:tc>
        <w:tc>
          <w:tcPr>
            <w:tcW w:w="792" w:type="dxa"/>
            <w:shd w:val="clear" w:color="auto" w:fill="auto"/>
            <w:hideMark/>
          </w:tcPr>
          <w:p w14:paraId="5FF7D50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11 855</w:t>
            </w:r>
          </w:p>
        </w:tc>
        <w:tc>
          <w:tcPr>
            <w:tcW w:w="802" w:type="dxa"/>
            <w:shd w:val="clear" w:color="auto" w:fill="auto"/>
            <w:hideMark/>
          </w:tcPr>
          <w:p w14:paraId="41B45BB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11 477</w:t>
            </w:r>
          </w:p>
        </w:tc>
        <w:tc>
          <w:tcPr>
            <w:tcW w:w="967" w:type="dxa"/>
            <w:shd w:val="clear" w:color="auto" w:fill="auto"/>
            <w:hideMark/>
          </w:tcPr>
          <w:p w14:paraId="3F2E493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8 356</w:t>
            </w:r>
          </w:p>
        </w:tc>
        <w:tc>
          <w:tcPr>
            <w:tcW w:w="1077" w:type="dxa"/>
            <w:shd w:val="clear" w:color="auto" w:fill="auto"/>
            <w:hideMark/>
          </w:tcPr>
          <w:p w14:paraId="6DBC0B3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3 373</w:t>
            </w:r>
          </w:p>
        </w:tc>
        <w:tc>
          <w:tcPr>
            <w:tcW w:w="968" w:type="dxa"/>
            <w:shd w:val="clear" w:color="auto" w:fill="auto"/>
            <w:hideMark/>
          </w:tcPr>
          <w:p w14:paraId="6206177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1 671</w:t>
            </w:r>
          </w:p>
        </w:tc>
        <w:tc>
          <w:tcPr>
            <w:tcW w:w="968" w:type="dxa"/>
            <w:shd w:val="clear" w:color="auto" w:fill="auto"/>
            <w:hideMark/>
          </w:tcPr>
          <w:p w14:paraId="1EBF00C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18 368</w:t>
            </w:r>
          </w:p>
        </w:tc>
        <w:tc>
          <w:tcPr>
            <w:tcW w:w="1076" w:type="dxa"/>
            <w:shd w:val="clear" w:color="auto" w:fill="auto"/>
            <w:hideMark/>
          </w:tcPr>
          <w:p w14:paraId="208DB64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19 527</w:t>
            </w:r>
          </w:p>
        </w:tc>
        <w:tc>
          <w:tcPr>
            <w:tcW w:w="1077" w:type="dxa"/>
            <w:shd w:val="clear" w:color="auto" w:fill="auto"/>
            <w:hideMark/>
          </w:tcPr>
          <w:p w14:paraId="7795749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12 701</w:t>
            </w:r>
          </w:p>
        </w:tc>
        <w:tc>
          <w:tcPr>
            <w:tcW w:w="1077" w:type="dxa"/>
            <w:shd w:val="clear" w:color="auto" w:fill="auto"/>
            <w:hideMark/>
          </w:tcPr>
          <w:p w14:paraId="3BA5A4C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9 389</w:t>
            </w:r>
          </w:p>
        </w:tc>
        <w:tc>
          <w:tcPr>
            <w:tcW w:w="967" w:type="dxa"/>
            <w:shd w:val="clear" w:color="auto" w:fill="auto"/>
            <w:hideMark/>
          </w:tcPr>
          <w:p w14:paraId="5CB073A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5 194</w:t>
            </w:r>
          </w:p>
        </w:tc>
        <w:tc>
          <w:tcPr>
            <w:tcW w:w="1087" w:type="dxa"/>
            <w:shd w:val="clear" w:color="auto" w:fill="auto"/>
            <w:hideMark/>
          </w:tcPr>
          <w:p w14:paraId="7851174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3 195</w:t>
            </w:r>
          </w:p>
        </w:tc>
      </w:tr>
      <w:tr w:rsidR="0053576E" w:rsidRPr="004135FE" w14:paraId="0E0A2F42" w14:textId="77777777" w:rsidTr="00680E37">
        <w:trPr>
          <w:trHeight w:val="20"/>
        </w:trPr>
        <w:tc>
          <w:tcPr>
            <w:tcW w:w="569" w:type="dxa"/>
            <w:vMerge/>
            <w:textDirection w:val="btLr"/>
            <w:hideMark/>
          </w:tcPr>
          <w:p w14:paraId="631FCC7E"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55F4DAA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shd w:val="clear" w:color="auto" w:fill="auto"/>
            <w:hideMark/>
          </w:tcPr>
          <w:p w14:paraId="2D764E68"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75" w:type="dxa"/>
            <w:shd w:val="clear" w:color="auto" w:fill="auto"/>
            <w:hideMark/>
          </w:tcPr>
          <w:p w14:paraId="2EAAB5A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2 371</w:t>
            </w:r>
          </w:p>
        </w:tc>
        <w:tc>
          <w:tcPr>
            <w:tcW w:w="792" w:type="dxa"/>
            <w:shd w:val="clear" w:color="auto" w:fill="auto"/>
            <w:hideMark/>
          </w:tcPr>
          <w:p w14:paraId="6607F1F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10 873</w:t>
            </w:r>
          </w:p>
        </w:tc>
        <w:tc>
          <w:tcPr>
            <w:tcW w:w="802" w:type="dxa"/>
            <w:shd w:val="clear" w:color="auto" w:fill="auto"/>
            <w:hideMark/>
          </w:tcPr>
          <w:p w14:paraId="59DAFF0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12 338</w:t>
            </w:r>
          </w:p>
        </w:tc>
        <w:tc>
          <w:tcPr>
            <w:tcW w:w="967" w:type="dxa"/>
            <w:shd w:val="clear" w:color="auto" w:fill="auto"/>
            <w:hideMark/>
          </w:tcPr>
          <w:p w14:paraId="4175948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9 099</w:t>
            </w:r>
          </w:p>
        </w:tc>
        <w:tc>
          <w:tcPr>
            <w:tcW w:w="1077" w:type="dxa"/>
            <w:shd w:val="clear" w:color="auto" w:fill="auto"/>
            <w:hideMark/>
          </w:tcPr>
          <w:p w14:paraId="56CF6CE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4 372</w:t>
            </w:r>
          </w:p>
        </w:tc>
        <w:tc>
          <w:tcPr>
            <w:tcW w:w="968" w:type="dxa"/>
            <w:shd w:val="clear" w:color="auto" w:fill="auto"/>
            <w:hideMark/>
          </w:tcPr>
          <w:p w14:paraId="6E92022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3 008</w:t>
            </w:r>
          </w:p>
        </w:tc>
        <w:tc>
          <w:tcPr>
            <w:tcW w:w="968" w:type="dxa"/>
            <w:shd w:val="clear" w:color="auto" w:fill="auto"/>
            <w:hideMark/>
          </w:tcPr>
          <w:p w14:paraId="7268A3D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24 866</w:t>
            </w:r>
          </w:p>
        </w:tc>
        <w:tc>
          <w:tcPr>
            <w:tcW w:w="1076" w:type="dxa"/>
            <w:shd w:val="clear" w:color="auto" w:fill="auto"/>
            <w:hideMark/>
          </w:tcPr>
          <w:p w14:paraId="336393D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27 056</w:t>
            </w:r>
          </w:p>
        </w:tc>
        <w:tc>
          <w:tcPr>
            <w:tcW w:w="1077" w:type="dxa"/>
            <w:shd w:val="clear" w:color="auto" w:fill="auto"/>
            <w:hideMark/>
          </w:tcPr>
          <w:p w14:paraId="0E2B029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20 624</w:t>
            </w:r>
          </w:p>
        </w:tc>
        <w:tc>
          <w:tcPr>
            <w:tcW w:w="1077" w:type="dxa"/>
            <w:shd w:val="clear" w:color="auto" w:fill="auto"/>
            <w:hideMark/>
          </w:tcPr>
          <w:p w14:paraId="230DF9E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18 382</w:t>
            </w:r>
          </w:p>
        </w:tc>
        <w:tc>
          <w:tcPr>
            <w:tcW w:w="967" w:type="dxa"/>
            <w:shd w:val="clear" w:color="auto" w:fill="auto"/>
            <w:hideMark/>
          </w:tcPr>
          <w:p w14:paraId="6A39A1A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14 299</w:t>
            </w:r>
          </w:p>
        </w:tc>
        <w:tc>
          <w:tcPr>
            <w:tcW w:w="1087" w:type="dxa"/>
            <w:shd w:val="clear" w:color="auto" w:fill="auto"/>
            <w:hideMark/>
          </w:tcPr>
          <w:p w14:paraId="3FFAA7F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11 498</w:t>
            </w:r>
          </w:p>
        </w:tc>
      </w:tr>
      <w:tr w:rsidR="0053576E" w:rsidRPr="004135FE" w14:paraId="17AD067C" w14:textId="77777777" w:rsidTr="00680E37">
        <w:trPr>
          <w:trHeight w:val="20"/>
        </w:trPr>
        <w:tc>
          <w:tcPr>
            <w:tcW w:w="569" w:type="dxa"/>
            <w:vMerge/>
            <w:textDirection w:val="btLr"/>
            <w:hideMark/>
          </w:tcPr>
          <w:p w14:paraId="37C3B4DE"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69FE83D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shd w:val="clear" w:color="auto" w:fill="auto"/>
            <w:hideMark/>
          </w:tcPr>
          <w:p w14:paraId="641484C1"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75" w:type="dxa"/>
            <w:shd w:val="clear" w:color="auto" w:fill="auto"/>
            <w:hideMark/>
          </w:tcPr>
          <w:p w14:paraId="0235BC0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1 824</w:t>
            </w:r>
          </w:p>
        </w:tc>
        <w:tc>
          <w:tcPr>
            <w:tcW w:w="792" w:type="dxa"/>
            <w:shd w:val="clear" w:color="auto" w:fill="auto"/>
            <w:hideMark/>
          </w:tcPr>
          <w:p w14:paraId="627C13B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9 305</w:t>
            </w:r>
          </w:p>
        </w:tc>
        <w:tc>
          <w:tcPr>
            <w:tcW w:w="802" w:type="dxa"/>
            <w:shd w:val="clear" w:color="auto" w:fill="auto"/>
            <w:hideMark/>
          </w:tcPr>
          <w:p w14:paraId="4D0C466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10 616</w:t>
            </w:r>
          </w:p>
        </w:tc>
        <w:tc>
          <w:tcPr>
            <w:tcW w:w="967" w:type="dxa"/>
            <w:shd w:val="clear" w:color="auto" w:fill="auto"/>
            <w:hideMark/>
          </w:tcPr>
          <w:p w14:paraId="6AF55A0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8 121</w:t>
            </w:r>
          </w:p>
        </w:tc>
        <w:tc>
          <w:tcPr>
            <w:tcW w:w="1077" w:type="dxa"/>
            <w:shd w:val="clear" w:color="auto" w:fill="auto"/>
            <w:hideMark/>
          </w:tcPr>
          <w:p w14:paraId="618C518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6 680</w:t>
            </w:r>
          </w:p>
        </w:tc>
        <w:tc>
          <w:tcPr>
            <w:tcW w:w="968" w:type="dxa"/>
            <w:shd w:val="clear" w:color="auto" w:fill="auto"/>
            <w:hideMark/>
          </w:tcPr>
          <w:p w14:paraId="5F2099D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13 219</w:t>
            </w:r>
          </w:p>
        </w:tc>
        <w:tc>
          <w:tcPr>
            <w:tcW w:w="968" w:type="dxa"/>
            <w:shd w:val="clear" w:color="auto" w:fill="auto"/>
            <w:hideMark/>
          </w:tcPr>
          <w:p w14:paraId="00BB636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44 541</w:t>
            </w:r>
          </w:p>
        </w:tc>
        <w:tc>
          <w:tcPr>
            <w:tcW w:w="1076" w:type="dxa"/>
            <w:shd w:val="clear" w:color="auto" w:fill="auto"/>
            <w:hideMark/>
          </w:tcPr>
          <w:p w14:paraId="2FE0BE5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26 353</w:t>
            </w:r>
          </w:p>
        </w:tc>
        <w:tc>
          <w:tcPr>
            <w:tcW w:w="1077" w:type="dxa"/>
            <w:shd w:val="clear" w:color="auto" w:fill="auto"/>
            <w:hideMark/>
          </w:tcPr>
          <w:p w14:paraId="5BF295E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21 503</w:t>
            </w:r>
          </w:p>
        </w:tc>
        <w:tc>
          <w:tcPr>
            <w:tcW w:w="1077" w:type="dxa"/>
            <w:shd w:val="clear" w:color="auto" w:fill="auto"/>
            <w:hideMark/>
          </w:tcPr>
          <w:p w14:paraId="046D87C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18 939</w:t>
            </w:r>
          </w:p>
        </w:tc>
        <w:tc>
          <w:tcPr>
            <w:tcW w:w="967" w:type="dxa"/>
            <w:shd w:val="clear" w:color="auto" w:fill="auto"/>
            <w:hideMark/>
          </w:tcPr>
          <w:p w14:paraId="78FF097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15 648</w:t>
            </w:r>
          </w:p>
        </w:tc>
        <w:tc>
          <w:tcPr>
            <w:tcW w:w="1087" w:type="dxa"/>
            <w:shd w:val="clear" w:color="auto" w:fill="auto"/>
            <w:hideMark/>
          </w:tcPr>
          <w:p w14:paraId="6B1B76E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13 150</w:t>
            </w:r>
          </w:p>
        </w:tc>
      </w:tr>
      <w:tr w:rsidR="0053576E" w:rsidRPr="004135FE" w14:paraId="028D747A" w14:textId="77777777" w:rsidTr="00680E37">
        <w:trPr>
          <w:trHeight w:val="20"/>
        </w:trPr>
        <w:tc>
          <w:tcPr>
            <w:tcW w:w="569" w:type="dxa"/>
            <w:vMerge/>
            <w:textDirection w:val="btLr"/>
            <w:hideMark/>
          </w:tcPr>
          <w:p w14:paraId="63DE8E0C"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6BFC5BB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shd w:val="clear" w:color="auto" w:fill="auto"/>
            <w:hideMark/>
          </w:tcPr>
          <w:p w14:paraId="4B586BC1"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75" w:type="dxa"/>
            <w:shd w:val="clear" w:color="auto" w:fill="auto"/>
            <w:hideMark/>
          </w:tcPr>
          <w:p w14:paraId="1A2A9BF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1 544</w:t>
            </w:r>
          </w:p>
        </w:tc>
        <w:tc>
          <w:tcPr>
            <w:tcW w:w="792" w:type="dxa"/>
            <w:shd w:val="clear" w:color="auto" w:fill="auto"/>
            <w:hideMark/>
          </w:tcPr>
          <w:p w14:paraId="6FAE05D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7 125</w:t>
            </w:r>
          </w:p>
        </w:tc>
        <w:tc>
          <w:tcPr>
            <w:tcW w:w="802" w:type="dxa"/>
            <w:shd w:val="clear" w:color="auto" w:fill="auto"/>
            <w:hideMark/>
          </w:tcPr>
          <w:p w14:paraId="0222919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8 058</w:t>
            </w:r>
          </w:p>
        </w:tc>
        <w:tc>
          <w:tcPr>
            <w:tcW w:w="967" w:type="dxa"/>
            <w:shd w:val="clear" w:color="auto" w:fill="auto"/>
            <w:hideMark/>
          </w:tcPr>
          <w:p w14:paraId="03377C1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5 939</w:t>
            </w:r>
          </w:p>
        </w:tc>
        <w:tc>
          <w:tcPr>
            <w:tcW w:w="1077" w:type="dxa"/>
            <w:shd w:val="clear" w:color="auto" w:fill="auto"/>
            <w:hideMark/>
          </w:tcPr>
          <w:p w14:paraId="02A1118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2 653</w:t>
            </w:r>
          </w:p>
        </w:tc>
        <w:tc>
          <w:tcPr>
            <w:tcW w:w="968" w:type="dxa"/>
            <w:shd w:val="clear" w:color="auto" w:fill="auto"/>
            <w:hideMark/>
          </w:tcPr>
          <w:p w14:paraId="7828FF0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2 541</w:t>
            </w:r>
          </w:p>
        </w:tc>
        <w:tc>
          <w:tcPr>
            <w:tcW w:w="968" w:type="dxa"/>
            <w:shd w:val="clear" w:color="auto" w:fill="auto"/>
            <w:hideMark/>
          </w:tcPr>
          <w:p w14:paraId="57CBEC0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16 076</w:t>
            </w:r>
          </w:p>
        </w:tc>
        <w:tc>
          <w:tcPr>
            <w:tcW w:w="1076" w:type="dxa"/>
            <w:shd w:val="clear" w:color="auto" w:fill="auto"/>
            <w:hideMark/>
          </w:tcPr>
          <w:p w14:paraId="452B76E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16 726</w:t>
            </w:r>
          </w:p>
        </w:tc>
        <w:tc>
          <w:tcPr>
            <w:tcW w:w="1077" w:type="dxa"/>
            <w:shd w:val="clear" w:color="auto" w:fill="auto"/>
            <w:hideMark/>
          </w:tcPr>
          <w:p w14:paraId="2F7C6C8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12 393</w:t>
            </w:r>
          </w:p>
        </w:tc>
        <w:tc>
          <w:tcPr>
            <w:tcW w:w="1077" w:type="dxa"/>
            <w:shd w:val="clear" w:color="auto" w:fill="auto"/>
            <w:hideMark/>
          </w:tcPr>
          <w:p w14:paraId="535B77B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10 552</w:t>
            </w:r>
          </w:p>
        </w:tc>
        <w:tc>
          <w:tcPr>
            <w:tcW w:w="967" w:type="dxa"/>
            <w:shd w:val="clear" w:color="auto" w:fill="auto"/>
            <w:hideMark/>
          </w:tcPr>
          <w:p w14:paraId="770D768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7 506</w:t>
            </w:r>
          </w:p>
        </w:tc>
        <w:tc>
          <w:tcPr>
            <w:tcW w:w="1087" w:type="dxa"/>
            <w:shd w:val="clear" w:color="auto" w:fill="auto"/>
            <w:hideMark/>
          </w:tcPr>
          <w:p w14:paraId="5A8A312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5 259</w:t>
            </w:r>
          </w:p>
        </w:tc>
      </w:tr>
      <w:tr w:rsidR="0053576E" w:rsidRPr="004135FE" w14:paraId="75882A90" w14:textId="77777777" w:rsidTr="00680E37">
        <w:trPr>
          <w:trHeight w:val="20"/>
        </w:trPr>
        <w:tc>
          <w:tcPr>
            <w:tcW w:w="569" w:type="dxa"/>
            <w:vMerge/>
            <w:textDirection w:val="btLr"/>
            <w:hideMark/>
          </w:tcPr>
          <w:p w14:paraId="07BA19BB"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0979D14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shd w:val="clear" w:color="auto" w:fill="auto"/>
            <w:hideMark/>
          </w:tcPr>
          <w:p w14:paraId="215DB5E6"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75" w:type="dxa"/>
            <w:shd w:val="clear" w:color="auto" w:fill="auto"/>
            <w:hideMark/>
          </w:tcPr>
          <w:p w14:paraId="2317F67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1 681</w:t>
            </w:r>
          </w:p>
        </w:tc>
        <w:tc>
          <w:tcPr>
            <w:tcW w:w="792" w:type="dxa"/>
            <w:shd w:val="clear" w:color="auto" w:fill="auto"/>
            <w:hideMark/>
          </w:tcPr>
          <w:p w14:paraId="6957628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8 430</w:t>
            </w:r>
          </w:p>
        </w:tc>
        <w:tc>
          <w:tcPr>
            <w:tcW w:w="802" w:type="dxa"/>
            <w:shd w:val="clear" w:color="auto" w:fill="auto"/>
            <w:hideMark/>
          </w:tcPr>
          <w:p w14:paraId="586D09A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10 291</w:t>
            </w:r>
          </w:p>
        </w:tc>
        <w:tc>
          <w:tcPr>
            <w:tcW w:w="967" w:type="dxa"/>
            <w:shd w:val="clear" w:color="auto" w:fill="auto"/>
            <w:hideMark/>
          </w:tcPr>
          <w:p w14:paraId="6A180F4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8 314</w:t>
            </w:r>
          </w:p>
        </w:tc>
        <w:tc>
          <w:tcPr>
            <w:tcW w:w="1077" w:type="dxa"/>
            <w:shd w:val="clear" w:color="auto" w:fill="auto"/>
            <w:hideMark/>
          </w:tcPr>
          <w:p w14:paraId="380E044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4 535</w:t>
            </w:r>
          </w:p>
        </w:tc>
        <w:tc>
          <w:tcPr>
            <w:tcW w:w="968" w:type="dxa"/>
            <w:shd w:val="clear" w:color="auto" w:fill="auto"/>
            <w:hideMark/>
          </w:tcPr>
          <w:p w14:paraId="0CC8206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5 360</w:t>
            </w:r>
          </w:p>
        </w:tc>
        <w:tc>
          <w:tcPr>
            <w:tcW w:w="968" w:type="dxa"/>
            <w:shd w:val="clear" w:color="auto" w:fill="auto"/>
            <w:hideMark/>
          </w:tcPr>
          <w:p w14:paraId="74907AE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21 296</w:t>
            </w:r>
          </w:p>
        </w:tc>
        <w:tc>
          <w:tcPr>
            <w:tcW w:w="1076" w:type="dxa"/>
            <w:shd w:val="clear" w:color="auto" w:fill="auto"/>
            <w:hideMark/>
          </w:tcPr>
          <w:p w14:paraId="65C85F3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18 683</w:t>
            </w:r>
          </w:p>
        </w:tc>
        <w:tc>
          <w:tcPr>
            <w:tcW w:w="1077" w:type="dxa"/>
            <w:shd w:val="clear" w:color="auto" w:fill="auto"/>
            <w:hideMark/>
          </w:tcPr>
          <w:p w14:paraId="52FA874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14 446</w:t>
            </w:r>
          </w:p>
        </w:tc>
        <w:tc>
          <w:tcPr>
            <w:tcW w:w="1077" w:type="dxa"/>
            <w:shd w:val="clear" w:color="auto" w:fill="auto"/>
            <w:hideMark/>
          </w:tcPr>
          <w:p w14:paraId="702523C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13 001</w:t>
            </w:r>
          </w:p>
        </w:tc>
        <w:tc>
          <w:tcPr>
            <w:tcW w:w="967" w:type="dxa"/>
            <w:shd w:val="clear" w:color="auto" w:fill="auto"/>
            <w:hideMark/>
          </w:tcPr>
          <w:p w14:paraId="5BDB94B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10 491</w:t>
            </w:r>
          </w:p>
        </w:tc>
        <w:tc>
          <w:tcPr>
            <w:tcW w:w="1087" w:type="dxa"/>
            <w:shd w:val="clear" w:color="auto" w:fill="auto"/>
            <w:hideMark/>
          </w:tcPr>
          <w:p w14:paraId="11E411B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8 186</w:t>
            </w:r>
          </w:p>
        </w:tc>
      </w:tr>
      <w:tr w:rsidR="0053576E" w:rsidRPr="004135FE" w14:paraId="63856ADF" w14:textId="77777777" w:rsidTr="00680E37">
        <w:trPr>
          <w:trHeight w:val="20"/>
        </w:trPr>
        <w:tc>
          <w:tcPr>
            <w:tcW w:w="569" w:type="dxa"/>
            <w:vMerge/>
            <w:textDirection w:val="btLr"/>
            <w:hideMark/>
          </w:tcPr>
          <w:p w14:paraId="03D5C00A"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3A34FE8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shd w:val="clear" w:color="auto" w:fill="auto"/>
            <w:hideMark/>
          </w:tcPr>
          <w:p w14:paraId="1E143730"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75" w:type="dxa"/>
            <w:shd w:val="clear" w:color="auto" w:fill="auto"/>
            <w:hideMark/>
          </w:tcPr>
          <w:p w14:paraId="0895F93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1 138</w:t>
            </w:r>
          </w:p>
        </w:tc>
        <w:tc>
          <w:tcPr>
            <w:tcW w:w="792" w:type="dxa"/>
            <w:shd w:val="clear" w:color="auto" w:fill="auto"/>
            <w:hideMark/>
          </w:tcPr>
          <w:p w14:paraId="7C8779F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4 679</w:t>
            </w:r>
          </w:p>
        </w:tc>
        <w:tc>
          <w:tcPr>
            <w:tcW w:w="802" w:type="dxa"/>
            <w:shd w:val="clear" w:color="auto" w:fill="auto"/>
            <w:hideMark/>
          </w:tcPr>
          <w:p w14:paraId="745EECA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4 122</w:t>
            </w:r>
          </w:p>
        </w:tc>
        <w:tc>
          <w:tcPr>
            <w:tcW w:w="967" w:type="dxa"/>
            <w:shd w:val="clear" w:color="auto" w:fill="auto"/>
            <w:hideMark/>
          </w:tcPr>
          <w:p w14:paraId="78A94FC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3 017</w:t>
            </w:r>
          </w:p>
        </w:tc>
        <w:tc>
          <w:tcPr>
            <w:tcW w:w="1077" w:type="dxa"/>
            <w:shd w:val="clear" w:color="auto" w:fill="auto"/>
            <w:hideMark/>
          </w:tcPr>
          <w:p w14:paraId="12667D6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1 265</w:t>
            </w:r>
          </w:p>
        </w:tc>
        <w:tc>
          <w:tcPr>
            <w:tcW w:w="968" w:type="dxa"/>
            <w:shd w:val="clear" w:color="auto" w:fill="auto"/>
            <w:hideMark/>
          </w:tcPr>
          <w:p w14:paraId="00E5B8D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760</w:t>
            </w:r>
          </w:p>
        </w:tc>
        <w:tc>
          <w:tcPr>
            <w:tcW w:w="968" w:type="dxa"/>
            <w:shd w:val="clear" w:color="auto" w:fill="auto"/>
            <w:hideMark/>
          </w:tcPr>
          <w:p w14:paraId="07F1544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7 736</w:t>
            </w:r>
          </w:p>
        </w:tc>
        <w:tc>
          <w:tcPr>
            <w:tcW w:w="1076" w:type="dxa"/>
            <w:shd w:val="clear" w:color="auto" w:fill="auto"/>
            <w:hideMark/>
          </w:tcPr>
          <w:p w14:paraId="503AA31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7 247</w:t>
            </w:r>
          </w:p>
        </w:tc>
        <w:tc>
          <w:tcPr>
            <w:tcW w:w="1077" w:type="dxa"/>
            <w:shd w:val="clear" w:color="auto" w:fill="auto"/>
            <w:hideMark/>
          </w:tcPr>
          <w:p w14:paraId="748EE43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5 334</w:t>
            </w:r>
          </w:p>
        </w:tc>
        <w:tc>
          <w:tcPr>
            <w:tcW w:w="1077" w:type="dxa"/>
            <w:shd w:val="clear" w:color="auto" w:fill="auto"/>
            <w:hideMark/>
          </w:tcPr>
          <w:p w14:paraId="28D6A92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4 468</w:t>
            </w:r>
          </w:p>
        </w:tc>
        <w:tc>
          <w:tcPr>
            <w:tcW w:w="967" w:type="dxa"/>
            <w:shd w:val="clear" w:color="auto" w:fill="auto"/>
            <w:hideMark/>
          </w:tcPr>
          <w:p w14:paraId="4E24824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2 972</w:t>
            </w:r>
          </w:p>
        </w:tc>
        <w:tc>
          <w:tcPr>
            <w:tcW w:w="1087" w:type="dxa"/>
            <w:shd w:val="clear" w:color="auto" w:fill="auto"/>
            <w:hideMark/>
          </w:tcPr>
          <w:p w14:paraId="69A7C03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1 843</w:t>
            </w:r>
          </w:p>
        </w:tc>
      </w:tr>
      <w:tr w:rsidR="0053576E" w:rsidRPr="004135FE" w14:paraId="42DAA15B" w14:textId="77777777" w:rsidTr="00680E37">
        <w:trPr>
          <w:trHeight w:val="20"/>
        </w:trPr>
        <w:tc>
          <w:tcPr>
            <w:tcW w:w="569" w:type="dxa"/>
            <w:vMerge/>
            <w:textDirection w:val="btLr"/>
            <w:hideMark/>
          </w:tcPr>
          <w:p w14:paraId="1061E101"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16019DB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shd w:val="clear" w:color="auto" w:fill="auto"/>
            <w:hideMark/>
          </w:tcPr>
          <w:p w14:paraId="570CFBE1"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75" w:type="dxa"/>
            <w:shd w:val="clear" w:color="auto" w:fill="auto"/>
            <w:hideMark/>
          </w:tcPr>
          <w:p w14:paraId="2827C4A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1 696</w:t>
            </w:r>
          </w:p>
        </w:tc>
        <w:tc>
          <w:tcPr>
            <w:tcW w:w="792" w:type="dxa"/>
            <w:shd w:val="clear" w:color="auto" w:fill="auto"/>
            <w:hideMark/>
          </w:tcPr>
          <w:p w14:paraId="18AEF87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7 519</w:t>
            </w:r>
          </w:p>
        </w:tc>
        <w:tc>
          <w:tcPr>
            <w:tcW w:w="802" w:type="dxa"/>
            <w:shd w:val="clear" w:color="auto" w:fill="auto"/>
            <w:hideMark/>
          </w:tcPr>
          <w:p w14:paraId="0B7E5B2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8 570</w:t>
            </w:r>
          </w:p>
        </w:tc>
        <w:tc>
          <w:tcPr>
            <w:tcW w:w="967" w:type="dxa"/>
            <w:shd w:val="clear" w:color="auto" w:fill="auto"/>
            <w:hideMark/>
          </w:tcPr>
          <w:p w14:paraId="097C897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6 732</w:t>
            </w:r>
          </w:p>
        </w:tc>
        <w:tc>
          <w:tcPr>
            <w:tcW w:w="1077" w:type="dxa"/>
            <w:shd w:val="clear" w:color="auto" w:fill="auto"/>
            <w:hideMark/>
          </w:tcPr>
          <w:p w14:paraId="09B1817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3 437</w:t>
            </w:r>
          </w:p>
        </w:tc>
        <w:tc>
          <w:tcPr>
            <w:tcW w:w="968" w:type="dxa"/>
            <w:shd w:val="clear" w:color="auto" w:fill="auto"/>
            <w:hideMark/>
          </w:tcPr>
          <w:p w14:paraId="79C00AF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2 348</w:t>
            </w:r>
          </w:p>
        </w:tc>
        <w:tc>
          <w:tcPr>
            <w:tcW w:w="968" w:type="dxa"/>
            <w:shd w:val="clear" w:color="auto" w:fill="auto"/>
            <w:hideMark/>
          </w:tcPr>
          <w:p w14:paraId="57719F0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19 147</w:t>
            </w:r>
          </w:p>
        </w:tc>
        <w:tc>
          <w:tcPr>
            <w:tcW w:w="1076" w:type="dxa"/>
            <w:shd w:val="clear" w:color="auto" w:fill="auto"/>
            <w:hideMark/>
          </w:tcPr>
          <w:p w14:paraId="3CEF1F7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22 086</w:t>
            </w:r>
          </w:p>
        </w:tc>
        <w:tc>
          <w:tcPr>
            <w:tcW w:w="1077" w:type="dxa"/>
            <w:shd w:val="clear" w:color="auto" w:fill="auto"/>
            <w:hideMark/>
          </w:tcPr>
          <w:p w14:paraId="3C971A7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16 331</w:t>
            </w:r>
          </w:p>
        </w:tc>
        <w:tc>
          <w:tcPr>
            <w:tcW w:w="1077" w:type="dxa"/>
            <w:shd w:val="clear" w:color="auto" w:fill="auto"/>
            <w:hideMark/>
          </w:tcPr>
          <w:p w14:paraId="0BDEC88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14 910</w:t>
            </w:r>
          </w:p>
        </w:tc>
        <w:tc>
          <w:tcPr>
            <w:tcW w:w="967" w:type="dxa"/>
            <w:shd w:val="clear" w:color="auto" w:fill="auto"/>
            <w:hideMark/>
          </w:tcPr>
          <w:p w14:paraId="7CBEDA1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11 515</w:t>
            </w:r>
          </w:p>
        </w:tc>
        <w:tc>
          <w:tcPr>
            <w:tcW w:w="1087" w:type="dxa"/>
            <w:shd w:val="clear" w:color="auto" w:fill="auto"/>
            <w:hideMark/>
          </w:tcPr>
          <w:p w14:paraId="40C0E33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8 426</w:t>
            </w:r>
          </w:p>
        </w:tc>
      </w:tr>
      <w:tr w:rsidR="0053576E" w:rsidRPr="004135FE" w14:paraId="268E5E24" w14:textId="77777777" w:rsidTr="00680E37">
        <w:trPr>
          <w:trHeight w:val="20"/>
        </w:trPr>
        <w:tc>
          <w:tcPr>
            <w:tcW w:w="569" w:type="dxa"/>
            <w:vMerge w:val="restart"/>
            <w:shd w:val="clear" w:color="auto" w:fill="auto"/>
            <w:noWrap/>
            <w:textDirection w:val="btLr"/>
            <w:hideMark/>
          </w:tcPr>
          <w:p w14:paraId="586D061C"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2018год</w:t>
            </w:r>
          </w:p>
        </w:tc>
        <w:tc>
          <w:tcPr>
            <w:tcW w:w="484" w:type="dxa"/>
            <w:shd w:val="clear" w:color="auto" w:fill="auto"/>
            <w:hideMark/>
          </w:tcPr>
          <w:p w14:paraId="6990492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shd w:val="clear" w:color="auto" w:fill="auto"/>
            <w:hideMark/>
          </w:tcPr>
          <w:p w14:paraId="5F52FCA3"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75" w:type="dxa"/>
            <w:shd w:val="clear" w:color="auto" w:fill="auto"/>
            <w:hideMark/>
          </w:tcPr>
          <w:p w14:paraId="0DB2DE2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1 914</w:t>
            </w:r>
          </w:p>
        </w:tc>
        <w:tc>
          <w:tcPr>
            <w:tcW w:w="792" w:type="dxa"/>
            <w:shd w:val="clear" w:color="auto" w:fill="auto"/>
            <w:hideMark/>
          </w:tcPr>
          <w:p w14:paraId="2200FE9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9 388</w:t>
            </w:r>
          </w:p>
        </w:tc>
        <w:tc>
          <w:tcPr>
            <w:tcW w:w="802" w:type="dxa"/>
            <w:shd w:val="clear" w:color="auto" w:fill="auto"/>
            <w:hideMark/>
          </w:tcPr>
          <w:p w14:paraId="1B34D0B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10 967</w:t>
            </w:r>
          </w:p>
        </w:tc>
        <w:tc>
          <w:tcPr>
            <w:tcW w:w="967" w:type="dxa"/>
            <w:shd w:val="clear" w:color="auto" w:fill="auto"/>
            <w:hideMark/>
          </w:tcPr>
          <w:p w14:paraId="5436A8E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9 293</w:t>
            </w:r>
          </w:p>
        </w:tc>
        <w:tc>
          <w:tcPr>
            <w:tcW w:w="1077" w:type="dxa"/>
            <w:shd w:val="clear" w:color="auto" w:fill="auto"/>
            <w:hideMark/>
          </w:tcPr>
          <w:p w14:paraId="4FF9C1B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7 141</w:t>
            </w:r>
          </w:p>
        </w:tc>
        <w:tc>
          <w:tcPr>
            <w:tcW w:w="968" w:type="dxa"/>
            <w:shd w:val="clear" w:color="auto" w:fill="auto"/>
            <w:hideMark/>
          </w:tcPr>
          <w:p w14:paraId="3B8A4F1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9 181</w:t>
            </w:r>
          </w:p>
        </w:tc>
        <w:tc>
          <w:tcPr>
            <w:tcW w:w="968" w:type="dxa"/>
            <w:shd w:val="clear" w:color="auto" w:fill="auto"/>
            <w:hideMark/>
          </w:tcPr>
          <w:p w14:paraId="440A1B7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35 066</w:t>
            </w:r>
          </w:p>
        </w:tc>
        <w:tc>
          <w:tcPr>
            <w:tcW w:w="1076" w:type="dxa"/>
            <w:shd w:val="clear" w:color="auto" w:fill="auto"/>
            <w:hideMark/>
          </w:tcPr>
          <w:p w14:paraId="52CCC82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29 089</w:t>
            </w:r>
          </w:p>
        </w:tc>
        <w:tc>
          <w:tcPr>
            <w:tcW w:w="1077" w:type="dxa"/>
            <w:shd w:val="clear" w:color="auto" w:fill="auto"/>
            <w:hideMark/>
          </w:tcPr>
          <w:p w14:paraId="15282A5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24 601</w:t>
            </w:r>
          </w:p>
        </w:tc>
        <w:tc>
          <w:tcPr>
            <w:tcW w:w="1077" w:type="dxa"/>
            <w:shd w:val="clear" w:color="auto" w:fill="auto"/>
            <w:hideMark/>
          </w:tcPr>
          <w:p w14:paraId="40EBE8D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20 197</w:t>
            </w:r>
          </w:p>
        </w:tc>
        <w:tc>
          <w:tcPr>
            <w:tcW w:w="967" w:type="dxa"/>
            <w:shd w:val="clear" w:color="auto" w:fill="auto"/>
            <w:hideMark/>
          </w:tcPr>
          <w:p w14:paraId="35519A7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17 568</w:t>
            </w:r>
          </w:p>
        </w:tc>
        <w:tc>
          <w:tcPr>
            <w:tcW w:w="1087" w:type="dxa"/>
            <w:shd w:val="clear" w:color="auto" w:fill="auto"/>
            <w:hideMark/>
          </w:tcPr>
          <w:p w14:paraId="16A0815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14 888</w:t>
            </w:r>
          </w:p>
        </w:tc>
      </w:tr>
      <w:tr w:rsidR="0053576E" w:rsidRPr="004135FE" w14:paraId="4D1FCB75" w14:textId="77777777" w:rsidTr="00680E37">
        <w:trPr>
          <w:trHeight w:val="20"/>
        </w:trPr>
        <w:tc>
          <w:tcPr>
            <w:tcW w:w="569" w:type="dxa"/>
            <w:vMerge/>
            <w:textDirection w:val="btLr"/>
            <w:hideMark/>
          </w:tcPr>
          <w:p w14:paraId="3EBE50C3"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262D1FD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shd w:val="clear" w:color="auto" w:fill="auto"/>
            <w:hideMark/>
          </w:tcPr>
          <w:p w14:paraId="2C2B03CC"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75" w:type="dxa"/>
            <w:shd w:val="clear" w:color="auto" w:fill="auto"/>
            <w:hideMark/>
          </w:tcPr>
          <w:p w14:paraId="093D85A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3 183</w:t>
            </w:r>
          </w:p>
        </w:tc>
        <w:tc>
          <w:tcPr>
            <w:tcW w:w="792" w:type="dxa"/>
            <w:shd w:val="clear" w:color="auto" w:fill="auto"/>
            <w:hideMark/>
          </w:tcPr>
          <w:p w14:paraId="183CF14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12 611</w:t>
            </w:r>
          </w:p>
        </w:tc>
        <w:tc>
          <w:tcPr>
            <w:tcW w:w="802" w:type="dxa"/>
            <w:shd w:val="clear" w:color="auto" w:fill="auto"/>
            <w:hideMark/>
          </w:tcPr>
          <w:p w14:paraId="7501A8B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11 975</w:t>
            </w:r>
          </w:p>
        </w:tc>
        <w:tc>
          <w:tcPr>
            <w:tcW w:w="967" w:type="dxa"/>
            <w:shd w:val="clear" w:color="auto" w:fill="auto"/>
            <w:hideMark/>
          </w:tcPr>
          <w:p w14:paraId="5BB2E9A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9 182</w:t>
            </w:r>
          </w:p>
        </w:tc>
        <w:tc>
          <w:tcPr>
            <w:tcW w:w="1077" w:type="dxa"/>
            <w:shd w:val="clear" w:color="auto" w:fill="auto"/>
            <w:hideMark/>
          </w:tcPr>
          <w:p w14:paraId="79BA455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3 688</w:t>
            </w:r>
          </w:p>
        </w:tc>
        <w:tc>
          <w:tcPr>
            <w:tcW w:w="968" w:type="dxa"/>
            <w:shd w:val="clear" w:color="auto" w:fill="auto"/>
            <w:hideMark/>
          </w:tcPr>
          <w:p w14:paraId="7A040C9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1 717</w:t>
            </w:r>
          </w:p>
        </w:tc>
        <w:tc>
          <w:tcPr>
            <w:tcW w:w="968" w:type="dxa"/>
            <w:shd w:val="clear" w:color="auto" w:fill="auto"/>
            <w:hideMark/>
          </w:tcPr>
          <w:p w14:paraId="086447B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18 221</w:t>
            </w:r>
          </w:p>
        </w:tc>
        <w:tc>
          <w:tcPr>
            <w:tcW w:w="1076" w:type="dxa"/>
            <w:shd w:val="clear" w:color="auto" w:fill="auto"/>
            <w:hideMark/>
          </w:tcPr>
          <w:p w14:paraId="0A1EF96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20 618</w:t>
            </w:r>
          </w:p>
        </w:tc>
        <w:tc>
          <w:tcPr>
            <w:tcW w:w="1077" w:type="dxa"/>
            <w:shd w:val="clear" w:color="auto" w:fill="auto"/>
            <w:hideMark/>
          </w:tcPr>
          <w:p w14:paraId="61522B9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12 972</w:t>
            </w:r>
          </w:p>
        </w:tc>
        <w:tc>
          <w:tcPr>
            <w:tcW w:w="1077" w:type="dxa"/>
            <w:shd w:val="clear" w:color="auto" w:fill="auto"/>
            <w:hideMark/>
          </w:tcPr>
          <w:p w14:paraId="286058B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9 509</w:t>
            </w:r>
          </w:p>
        </w:tc>
        <w:tc>
          <w:tcPr>
            <w:tcW w:w="967" w:type="dxa"/>
            <w:shd w:val="clear" w:color="auto" w:fill="auto"/>
            <w:hideMark/>
          </w:tcPr>
          <w:p w14:paraId="13392CA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5 581</w:t>
            </w:r>
          </w:p>
        </w:tc>
        <w:tc>
          <w:tcPr>
            <w:tcW w:w="1087" w:type="dxa"/>
            <w:shd w:val="clear" w:color="auto" w:fill="auto"/>
            <w:hideMark/>
          </w:tcPr>
          <w:p w14:paraId="1373661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3 360</w:t>
            </w:r>
          </w:p>
        </w:tc>
      </w:tr>
      <w:tr w:rsidR="0053576E" w:rsidRPr="004135FE" w14:paraId="2C60C0CE" w14:textId="77777777" w:rsidTr="00680E37">
        <w:trPr>
          <w:trHeight w:val="20"/>
        </w:trPr>
        <w:tc>
          <w:tcPr>
            <w:tcW w:w="569" w:type="dxa"/>
            <w:vMerge/>
            <w:textDirection w:val="btLr"/>
            <w:hideMark/>
          </w:tcPr>
          <w:p w14:paraId="57CD1833"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72264E6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shd w:val="clear" w:color="auto" w:fill="auto"/>
            <w:hideMark/>
          </w:tcPr>
          <w:p w14:paraId="429B3C4F"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75" w:type="dxa"/>
            <w:shd w:val="clear" w:color="auto" w:fill="auto"/>
            <w:hideMark/>
          </w:tcPr>
          <w:p w14:paraId="586569A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2 501</w:t>
            </w:r>
          </w:p>
        </w:tc>
        <w:tc>
          <w:tcPr>
            <w:tcW w:w="792" w:type="dxa"/>
            <w:shd w:val="clear" w:color="auto" w:fill="auto"/>
            <w:hideMark/>
          </w:tcPr>
          <w:p w14:paraId="45932C6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10 907</w:t>
            </w:r>
          </w:p>
        </w:tc>
        <w:tc>
          <w:tcPr>
            <w:tcW w:w="802" w:type="dxa"/>
            <w:shd w:val="clear" w:color="auto" w:fill="auto"/>
            <w:hideMark/>
          </w:tcPr>
          <w:p w14:paraId="3A1AFAC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12 556</w:t>
            </w:r>
          </w:p>
        </w:tc>
        <w:tc>
          <w:tcPr>
            <w:tcW w:w="967" w:type="dxa"/>
            <w:shd w:val="clear" w:color="auto" w:fill="auto"/>
            <w:hideMark/>
          </w:tcPr>
          <w:p w14:paraId="3813873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10 141</w:t>
            </w:r>
          </w:p>
        </w:tc>
        <w:tc>
          <w:tcPr>
            <w:tcW w:w="1077" w:type="dxa"/>
            <w:shd w:val="clear" w:color="auto" w:fill="auto"/>
            <w:hideMark/>
          </w:tcPr>
          <w:p w14:paraId="6036806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4 660</w:t>
            </w:r>
          </w:p>
        </w:tc>
        <w:tc>
          <w:tcPr>
            <w:tcW w:w="968" w:type="dxa"/>
            <w:shd w:val="clear" w:color="auto" w:fill="auto"/>
            <w:hideMark/>
          </w:tcPr>
          <w:p w14:paraId="25E7BC5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3 166</w:t>
            </w:r>
          </w:p>
        </w:tc>
        <w:tc>
          <w:tcPr>
            <w:tcW w:w="968" w:type="dxa"/>
            <w:shd w:val="clear" w:color="auto" w:fill="auto"/>
            <w:hideMark/>
          </w:tcPr>
          <w:p w14:paraId="46312AC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25 364</w:t>
            </w:r>
          </w:p>
        </w:tc>
        <w:tc>
          <w:tcPr>
            <w:tcW w:w="1076" w:type="dxa"/>
            <w:shd w:val="clear" w:color="auto" w:fill="auto"/>
            <w:hideMark/>
          </w:tcPr>
          <w:p w14:paraId="6743C21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28 906</w:t>
            </w:r>
          </w:p>
        </w:tc>
        <w:tc>
          <w:tcPr>
            <w:tcW w:w="1077" w:type="dxa"/>
            <w:shd w:val="clear" w:color="auto" w:fill="auto"/>
            <w:hideMark/>
          </w:tcPr>
          <w:p w14:paraId="2D7A522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21 740</w:t>
            </w:r>
          </w:p>
        </w:tc>
        <w:tc>
          <w:tcPr>
            <w:tcW w:w="1077" w:type="dxa"/>
            <w:shd w:val="clear" w:color="auto" w:fill="auto"/>
            <w:hideMark/>
          </w:tcPr>
          <w:p w14:paraId="48AECC4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19 038</w:t>
            </w:r>
          </w:p>
        </w:tc>
        <w:tc>
          <w:tcPr>
            <w:tcW w:w="967" w:type="dxa"/>
            <w:shd w:val="clear" w:color="auto" w:fill="auto"/>
            <w:hideMark/>
          </w:tcPr>
          <w:p w14:paraId="74DEBFE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15 215</w:t>
            </w:r>
          </w:p>
        </w:tc>
        <w:tc>
          <w:tcPr>
            <w:tcW w:w="1087" w:type="dxa"/>
            <w:shd w:val="clear" w:color="auto" w:fill="auto"/>
            <w:hideMark/>
          </w:tcPr>
          <w:p w14:paraId="2074655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12 267</w:t>
            </w:r>
          </w:p>
        </w:tc>
      </w:tr>
      <w:tr w:rsidR="0053576E" w:rsidRPr="004135FE" w14:paraId="0D6EBE43" w14:textId="77777777" w:rsidTr="00680E37">
        <w:trPr>
          <w:trHeight w:val="20"/>
        </w:trPr>
        <w:tc>
          <w:tcPr>
            <w:tcW w:w="569" w:type="dxa"/>
            <w:vMerge/>
            <w:textDirection w:val="btLr"/>
            <w:hideMark/>
          </w:tcPr>
          <w:p w14:paraId="16D15E87"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792423A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shd w:val="clear" w:color="auto" w:fill="auto"/>
            <w:hideMark/>
          </w:tcPr>
          <w:p w14:paraId="7A78A9DC"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75" w:type="dxa"/>
            <w:shd w:val="clear" w:color="auto" w:fill="auto"/>
            <w:hideMark/>
          </w:tcPr>
          <w:p w14:paraId="0219683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1 832</w:t>
            </w:r>
          </w:p>
        </w:tc>
        <w:tc>
          <w:tcPr>
            <w:tcW w:w="792" w:type="dxa"/>
            <w:shd w:val="clear" w:color="auto" w:fill="auto"/>
            <w:hideMark/>
          </w:tcPr>
          <w:p w14:paraId="23BFD33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9 473</w:t>
            </w:r>
          </w:p>
        </w:tc>
        <w:tc>
          <w:tcPr>
            <w:tcW w:w="802" w:type="dxa"/>
            <w:shd w:val="clear" w:color="auto" w:fill="auto"/>
            <w:hideMark/>
          </w:tcPr>
          <w:p w14:paraId="111762B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11 154</w:t>
            </w:r>
          </w:p>
        </w:tc>
        <w:tc>
          <w:tcPr>
            <w:tcW w:w="967" w:type="dxa"/>
            <w:shd w:val="clear" w:color="auto" w:fill="auto"/>
            <w:hideMark/>
          </w:tcPr>
          <w:p w14:paraId="4931EC2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9 137</w:t>
            </w:r>
          </w:p>
        </w:tc>
        <w:tc>
          <w:tcPr>
            <w:tcW w:w="1077" w:type="dxa"/>
            <w:shd w:val="clear" w:color="auto" w:fill="auto"/>
            <w:hideMark/>
          </w:tcPr>
          <w:p w14:paraId="1B3C80F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7 270</w:t>
            </w:r>
          </w:p>
        </w:tc>
        <w:tc>
          <w:tcPr>
            <w:tcW w:w="968" w:type="dxa"/>
            <w:shd w:val="clear" w:color="auto" w:fill="auto"/>
            <w:hideMark/>
          </w:tcPr>
          <w:p w14:paraId="7B2B2D9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11 842</w:t>
            </w:r>
          </w:p>
        </w:tc>
        <w:tc>
          <w:tcPr>
            <w:tcW w:w="968" w:type="dxa"/>
            <w:shd w:val="clear" w:color="auto" w:fill="auto"/>
            <w:hideMark/>
          </w:tcPr>
          <w:p w14:paraId="4280A86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42 460</w:t>
            </w:r>
          </w:p>
        </w:tc>
        <w:tc>
          <w:tcPr>
            <w:tcW w:w="1076" w:type="dxa"/>
            <w:shd w:val="clear" w:color="auto" w:fill="auto"/>
            <w:hideMark/>
          </w:tcPr>
          <w:p w14:paraId="5CC8B02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28 362</w:t>
            </w:r>
          </w:p>
        </w:tc>
        <w:tc>
          <w:tcPr>
            <w:tcW w:w="1077" w:type="dxa"/>
            <w:shd w:val="clear" w:color="auto" w:fill="auto"/>
            <w:hideMark/>
          </w:tcPr>
          <w:p w14:paraId="1A1AF8B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22 719</w:t>
            </w:r>
          </w:p>
        </w:tc>
        <w:tc>
          <w:tcPr>
            <w:tcW w:w="1077" w:type="dxa"/>
            <w:shd w:val="clear" w:color="auto" w:fill="auto"/>
            <w:hideMark/>
          </w:tcPr>
          <w:p w14:paraId="17C3C2C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19 572</w:t>
            </w:r>
          </w:p>
        </w:tc>
        <w:tc>
          <w:tcPr>
            <w:tcW w:w="967" w:type="dxa"/>
            <w:shd w:val="clear" w:color="auto" w:fill="auto"/>
            <w:hideMark/>
          </w:tcPr>
          <w:p w14:paraId="4C13CDF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16 467</w:t>
            </w:r>
          </w:p>
        </w:tc>
        <w:tc>
          <w:tcPr>
            <w:tcW w:w="1087" w:type="dxa"/>
            <w:shd w:val="clear" w:color="auto" w:fill="auto"/>
            <w:hideMark/>
          </w:tcPr>
          <w:p w14:paraId="2ED0703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13 981</w:t>
            </w:r>
          </w:p>
        </w:tc>
      </w:tr>
      <w:tr w:rsidR="0053576E" w:rsidRPr="004135FE" w14:paraId="4BE13130" w14:textId="77777777" w:rsidTr="00680E37">
        <w:trPr>
          <w:trHeight w:val="20"/>
        </w:trPr>
        <w:tc>
          <w:tcPr>
            <w:tcW w:w="569" w:type="dxa"/>
            <w:vMerge/>
            <w:textDirection w:val="btLr"/>
            <w:hideMark/>
          </w:tcPr>
          <w:p w14:paraId="6C85CB9B"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63E0ED2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shd w:val="clear" w:color="auto" w:fill="auto"/>
            <w:hideMark/>
          </w:tcPr>
          <w:p w14:paraId="46F69DC0"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75" w:type="dxa"/>
            <w:shd w:val="clear" w:color="auto" w:fill="auto"/>
            <w:hideMark/>
          </w:tcPr>
          <w:p w14:paraId="7E0EAB8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1 502</w:t>
            </w:r>
          </w:p>
        </w:tc>
        <w:tc>
          <w:tcPr>
            <w:tcW w:w="792" w:type="dxa"/>
            <w:shd w:val="clear" w:color="auto" w:fill="auto"/>
            <w:hideMark/>
          </w:tcPr>
          <w:p w14:paraId="13D6957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7 003</w:t>
            </w:r>
          </w:p>
        </w:tc>
        <w:tc>
          <w:tcPr>
            <w:tcW w:w="802" w:type="dxa"/>
            <w:shd w:val="clear" w:color="auto" w:fill="auto"/>
            <w:hideMark/>
          </w:tcPr>
          <w:p w14:paraId="2A31883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8 058</w:t>
            </w:r>
          </w:p>
        </w:tc>
        <w:tc>
          <w:tcPr>
            <w:tcW w:w="967" w:type="dxa"/>
            <w:shd w:val="clear" w:color="auto" w:fill="auto"/>
            <w:hideMark/>
          </w:tcPr>
          <w:p w14:paraId="4944965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6 381</w:t>
            </w:r>
          </w:p>
        </w:tc>
        <w:tc>
          <w:tcPr>
            <w:tcW w:w="1077" w:type="dxa"/>
            <w:shd w:val="clear" w:color="auto" w:fill="auto"/>
            <w:hideMark/>
          </w:tcPr>
          <w:p w14:paraId="6747EC4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3 361</w:t>
            </w:r>
          </w:p>
        </w:tc>
        <w:tc>
          <w:tcPr>
            <w:tcW w:w="968" w:type="dxa"/>
            <w:shd w:val="clear" w:color="auto" w:fill="auto"/>
            <w:hideMark/>
          </w:tcPr>
          <w:p w14:paraId="4D3F6E5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2 630</w:t>
            </w:r>
          </w:p>
        </w:tc>
        <w:tc>
          <w:tcPr>
            <w:tcW w:w="968" w:type="dxa"/>
            <w:shd w:val="clear" w:color="auto" w:fill="auto"/>
            <w:hideMark/>
          </w:tcPr>
          <w:p w14:paraId="15794C6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15 281</w:t>
            </w:r>
          </w:p>
        </w:tc>
        <w:tc>
          <w:tcPr>
            <w:tcW w:w="1076" w:type="dxa"/>
            <w:shd w:val="clear" w:color="auto" w:fill="auto"/>
            <w:hideMark/>
          </w:tcPr>
          <w:p w14:paraId="697435B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16 748</w:t>
            </w:r>
          </w:p>
        </w:tc>
        <w:tc>
          <w:tcPr>
            <w:tcW w:w="1077" w:type="dxa"/>
            <w:shd w:val="clear" w:color="auto" w:fill="auto"/>
            <w:hideMark/>
          </w:tcPr>
          <w:p w14:paraId="2A3CF5A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12 474</w:t>
            </w:r>
          </w:p>
        </w:tc>
        <w:tc>
          <w:tcPr>
            <w:tcW w:w="1077" w:type="dxa"/>
            <w:shd w:val="clear" w:color="auto" w:fill="auto"/>
            <w:hideMark/>
          </w:tcPr>
          <w:p w14:paraId="7FA921D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10 342</w:t>
            </w:r>
          </w:p>
        </w:tc>
        <w:tc>
          <w:tcPr>
            <w:tcW w:w="967" w:type="dxa"/>
            <w:shd w:val="clear" w:color="auto" w:fill="auto"/>
            <w:hideMark/>
          </w:tcPr>
          <w:p w14:paraId="16853AC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7 871</w:t>
            </w:r>
          </w:p>
        </w:tc>
        <w:tc>
          <w:tcPr>
            <w:tcW w:w="1087" w:type="dxa"/>
            <w:shd w:val="clear" w:color="auto" w:fill="auto"/>
            <w:hideMark/>
          </w:tcPr>
          <w:p w14:paraId="102DE61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5 525</w:t>
            </w:r>
          </w:p>
        </w:tc>
      </w:tr>
    </w:tbl>
    <w:p w14:paraId="47AB6B43" w14:textId="163ED59D" w:rsidR="002038AA" w:rsidRDefault="002038AA"/>
    <w:p w14:paraId="20308319" w14:textId="77777777" w:rsidR="002038AA" w:rsidRPr="00680E37" w:rsidRDefault="002038AA" w:rsidP="002038AA">
      <w:pPr>
        <w:rPr>
          <w:rFonts w:ascii="Times New Roman" w:eastAsia="Times New Roman" w:hAnsi="Times New Roman" w:cs="Times New Roman"/>
          <w:sz w:val="28"/>
          <w:szCs w:val="28"/>
        </w:rPr>
      </w:pPr>
      <w:r w:rsidRPr="00680E37">
        <w:rPr>
          <w:rFonts w:ascii="Times New Roman" w:eastAsia="Times New Roman" w:hAnsi="Times New Roman" w:cs="Times New Roman"/>
          <w:sz w:val="28"/>
          <w:szCs w:val="28"/>
        </w:rPr>
        <w:t>Продолжение таблицы А</w:t>
      </w:r>
      <w:r>
        <w:rPr>
          <w:rFonts w:ascii="Times New Roman" w:eastAsia="Times New Roman" w:hAnsi="Times New Roman" w:cs="Times New Roman"/>
          <w:sz w:val="28"/>
          <w:szCs w:val="28"/>
        </w:rPr>
        <w:t>6</w:t>
      </w:r>
    </w:p>
    <w:tbl>
      <w:tblPr>
        <w:tblW w:w="1488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484"/>
        <w:gridCol w:w="2098"/>
        <w:gridCol w:w="875"/>
        <w:gridCol w:w="792"/>
        <w:gridCol w:w="802"/>
        <w:gridCol w:w="967"/>
        <w:gridCol w:w="1077"/>
        <w:gridCol w:w="968"/>
        <w:gridCol w:w="968"/>
        <w:gridCol w:w="1076"/>
        <w:gridCol w:w="1077"/>
        <w:gridCol w:w="1077"/>
        <w:gridCol w:w="967"/>
        <w:gridCol w:w="1087"/>
      </w:tblGrid>
      <w:tr w:rsidR="0053576E" w:rsidRPr="004135FE" w14:paraId="0BF1FB01" w14:textId="77777777" w:rsidTr="00680E37">
        <w:trPr>
          <w:trHeight w:val="20"/>
        </w:trPr>
        <w:tc>
          <w:tcPr>
            <w:tcW w:w="569" w:type="dxa"/>
            <w:vMerge w:val="restart"/>
            <w:textDirection w:val="btLr"/>
            <w:hideMark/>
          </w:tcPr>
          <w:p w14:paraId="1928CBB1"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4D1B033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shd w:val="clear" w:color="auto" w:fill="auto"/>
            <w:hideMark/>
          </w:tcPr>
          <w:p w14:paraId="205649FE"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75" w:type="dxa"/>
            <w:shd w:val="clear" w:color="auto" w:fill="auto"/>
            <w:hideMark/>
          </w:tcPr>
          <w:p w14:paraId="29614AE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1 699</w:t>
            </w:r>
          </w:p>
        </w:tc>
        <w:tc>
          <w:tcPr>
            <w:tcW w:w="792" w:type="dxa"/>
            <w:shd w:val="clear" w:color="auto" w:fill="auto"/>
            <w:hideMark/>
          </w:tcPr>
          <w:p w14:paraId="14841BA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8 431</w:t>
            </w:r>
          </w:p>
        </w:tc>
        <w:tc>
          <w:tcPr>
            <w:tcW w:w="802" w:type="dxa"/>
            <w:shd w:val="clear" w:color="auto" w:fill="auto"/>
            <w:hideMark/>
          </w:tcPr>
          <w:p w14:paraId="2B266A7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10 237</w:t>
            </w:r>
          </w:p>
        </w:tc>
        <w:tc>
          <w:tcPr>
            <w:tcW w:w="967" w:type="dxa"/>
            <w:shd w:val="clear" w:color="auto" w:fill="auto"/>
            <w:hideMark/>
          </w:tcPr>
          <w:p w14:paraId="7BCEBD3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9 159</w:t>
            </w:r>
          </w:p>
        </w:tc>
        <w:tc>
          <w:tcPr>
            <w:tcW w:w="1077" w:type="dxa"/>
            <w:shd w:val="clear" w:color="auto" w:fill="auto"/>
            <w:hideMark/>
          </w:tcPr>
          <w:p w14:paraId="453E592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4 927</w:t>
            </w:r>
          </w:p>
        </w:tc>
        <w:tc>
          <w:tcPr>
            <w:tcW w:w="968" w:type="dxa"/>
            <w:shd w:val="clear" w:color="auto" w:fill="auto"/>
            <w:hideMark/>
          </w:tcPr>
          <w:p w14:paraId="03EEE30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5 735</w:t>
            </w:r>
          </w:p>
        </w:tc>
        <w:tc>
          <w:tcPr>
            <w:tcW w:w="968" w:type="dxa"/>
            <w:shd w:val="clear" w:color="auto" w:fill="auto"/>
            <w:hideMark/>
          </w:tcPr>
          <w:p w14:paraId="7E88E77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20 661</w:t>
            </w:r>
          </w:p>
        </w:tc>
        <w:tc>
          <w:tcPr>
            <w:tcW w:w="1076" w:type="dxa"/>
            <w:shd w:val="clear" w:color="auto" w:fill="auto"/>
            <w:hideMark/>
          </w:tcPr>
          <w:p w14:paraId="6524FBE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19 621</w:t>
            </w:r>
          </w:p>
        </w:tc>
        <w:tc>
          <w:tcPr>
            <w:tcW w:w="1077" w:type="dxa"/>
            <w:shd w:val="clear" w:color="auto" w:fill="auto"/>
            <w:hideMark/>
          </w:tcPr>
          <w:p w14:paraId="56E18D6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14 949</w:t>
            </w:r>
          </w:p>
        </w:tc>
        <w:tc>
          <w:tcPr>
            <w:tcW w:w="1077" w:type="dxa"/>
            <w:shd w:val="clear" w:color="auto" w:fill="auto"/>
            <w:hideMark/>
          </w:tcPr>
          <w:p w14:paraId="25F9E41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13 067</w:t>
            </w:r>
          </w:p>
        </w:tc>
        <w:tc>
          <w:tcPr>
            <w:tcW w:w="967" w:type="dxa"/>
            <w:shd w:val="clear" w:color="auto" w:fill="auto"/>
            <w:hideMark/>
          </w:tcPr>
          <w:p w14:paraId="7EAFE0A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10 719</w:t>
            </w:r>
          </w:p>
        </w:tc>
        <w:tc>
          <w:tcPr>
            <w:tcW w:w="1087" w:type="dxa"/>
            <w:shd w:val="clear" w:color="auto" w:fill="auto"/>
            <w:hideMark/>
          </w:tcPr>
          <w:p w14:paraId="3C4A5D8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8 610</w:t>
            </w:r>
          </w:p>
        </w:tc>
      </w:tr>
      <w:tr w:rsidR="0053576E" w:rsidRPr="004135FE" w14:paraId="1AFDC4AC" w14:textId="77777777" w:rsidTr="00680E37">
        <w:trPr>
          <w:trHeight w:val="20"/>
        </w:trPr>
        <w:tc>
          <w:tcPr>
            <w:tcW w:w="569" w:type="dxa"/>
            <w:vMerge/>
            <w:textDirection w:val="btLr"/>
            <w:hideMark/>
          </w:tcPr>
          <w:p w14:paraId="5D37005F"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2216206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shd w:val="clear" w:color="auto" w:fill="auto"/>
            <w:hideMark/>
          </w:tcPr>
          <w:p w14:paraId="45E57B0A"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75" w:type="dxa"/>
            <w:shd w:val="clear" w:color="auto" w:fill="auto"/>
            <w:hideMark/>
          </w:tcPr>
          <w:p w14:paraId="0FADF8E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1 259</w:t>
            </w:r>
          </w:p>
        </w:tc>
        <w:tc>
          <w:tcPr>
            <w:tcW w:w="792" w:type="dxa"/>
            <w:shd w:val="clear" w:color="auto" w:fill="auto"/>
            <w:hideMark/>
          </w:tcPr>
          <w:p w14:paraId="2031F68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5 296</w:t>
            </w:r>
          </w:p>
        </w:tc>
        <w:tc>
          <w:tcPr>
            <w:tcW w:w="802" w:type="dxa"/>
            <w:shd w:val="clear" w:color="auto" w:fill="auto"/>
            <w:hideMark/>
          </w:tcPr>
          <w:p w14:paraId="37CB7F9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4 908</w:t>
            </w:r>
          </w:p>
        </w:tc>
        <w:tc>
          <w:tcPr>
            <w:tcW w:w="967" w:type="dxa"/>
            <w:shd w:val="clear" w:color="auto" w:fill="auto"/>
            <w:hideMark/>
          </w:tcPr>
          <w:p w14:paraId="14EBC3C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3 788</w:t>
            </w:r>
          </w:p>
        </w:tc>
        <w:tc>
          <w:tcPr>
            <w:tcW w:w="1077" w:type="dxa"/>
            <w:shd w:val="clear" w:color="auto" w:fill="auto"/>
            <w:hideMark/>
          </w:tcPr>
          <w:p w14:paraId="33C2EBB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1 519</w:t>
            </w:r>
          </w:p>
        </w:tc>
        <w:tc>
          <w:tcPr>
            <w:tcW w:w="968" w:type="dxa"/>
            <w:shd w:val="clear" w:color="auto" w:fill="auto"/>
            <w:hideMark/>
          </w:tcPr>
          <w:p w14:paraId="57DA4C7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926</w:t>
            </w:r>
          </w:p>
        </w:tc>
        <w:tc>
          <w:tcPr>
            <w:tcW w:w="968" w:type="dxa"/>
            <w:shd w:val="clear" w:color="auto" w:fill="auto"/>
            <w:hideMark/>
          </w:tcPr>
          <w:p w14:paraId="6CB50BE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9 191</w:t>
            </w:r>
          </w:p>
        </w:tc>
        <w:tc>
          <w:tcPr>
            <w:tcW w:w="1076" w:type="dxa"/>
            <w:shd w:val="clear" w:color="auto" w:fill="auto"/>
            <w:hideMark/>
          </w:tcPr>
          <w:p w14:paraId="7897B65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8 778</w:t>
            </w:r>
          </w:p>
        </w:tc>
        <w:tc>
          <w:tcPr>
            <w:tcW w:w="1077" w:type="dxa"/>
            <w:shd w:val="clear" w:color="auto" w:fill="auto"/>
            <w:hideMark/>
          </w:tcPr>
          <w:p w14:paraId="6F3A7A9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6 353</w:t>
            </w:r>
          </w:p>
        </w:tc>
        <w:tc>
          <w:tcPr>
            <w:tcW w:w="1077" w:type="dxa"/>
            <w:shd w:val="clear" w:color="auto" w:fill="auto"/>
            <w:hideMark/>
          </w:tcPr>
          <w:p w14:paraId="317D2CF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5 233</w:t>
            </w:r>
          </w:p>
        </w:tc>
        <w:tc>
          <w:tcPr>
            <w:tcW w:w="967" w:type="dxa"/>
            <w:shd w:val="clear" w:color="auto" w:fill="auto"/>
            <w:hideMark/>
          </w:tcPr>
          <w:p w14:paraId="2A322E2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3 480</w:t>
            </w:r>
          </w:p>
        </w:tc>
        <w:tc>
          <w:tcPr>
            <w:tcW w:w="1087" w:type="dxa"/>
            <w:shd w:val="clear" w:color="auto" w:fill="auto"/>
            <w:hideMark/>
          </w:tcPr>
          <w:p w14:paraId="6220AF9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2 137</w:t>
            </w:r>
          </w:p>
        </w:tc>
      </w:tr>
      <w:tr w:rsidR="0053576E" w:rsidRPr="004135FE" w14:paraId="35C74ABC" w14:textId="77777777" w:rsidTr="00680E37">
        <w:trPr>
          <w:trHeight w:val="20"/>
        </w:trPr>
        <w:tc>
          <w:tcPr>
            <w:tcW w:w="569" w:type="dxa"/>
            <w:vMerge/>
            <w:textDirection w:val="btLr"/>
            <w:hideMark/>
          </w:tcPr>
          <w:p w14:paraId="146EBB86"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771CD0A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shd w:val="clear" w:color="auto" w:fill="auto"/>
            <w:hideMark/>
          </w:tcPr>
          <w:p w14:paraId="277C9F3C"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75" w:type="dxa"/>
            <w:shd w:val="clear" w:color="auto" w:fill="auto"/>
            <w:hideMark/>
          </w:tcPr>
          <w:p w14:paraId="72F5864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1 723</w:t>
            </w:r>
          </w:p>
        </w:tc>
        <w:tc>
          <w:tcPr>
            <w:tcW w:w="792" w:type="dxa"/>
            <w:shd w:val="clear" w:color="auto" w:fill="auto"/>
            <w:hideMark/>
          </w:tcPr>
          <w:p w14:paraId="502C541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7 950</w:t>
            </w:r>
          </w:p>
        </w:tc>
        <w:tc>
          <w:tcPr>
            <w:tcW w:w="802" w:type="dxa"/>
            <w:shd w:val="clear" w:color="auto" w:fill="auto"/>
            <w:hideMark/>
          </w:tcPr>
          <w:p w14:paraId="4FA1CBB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8 932</w:t>
            </w:r>
          </w:p>
        </w:tc>
        <w:tc>
          <w:tcPr>
            <w:tcW w:w="967" w:type="dxa"/>
            <w:shd w:val="clear" w:color="auto" w:fill="auto"/>
            <w:hideMark/>
          </w:tcPr>
          <w:p w14:paraId="0D12216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7 409</w:t>
            </w:r>
          </w:p>
        </w:tc>
        <w:tc>
          <w:tcPr>
            <w:tcW w:w="1077" w:type="dxa"/>
            <w:shd w:val="clear" w:color="auto" w:fill="auto"/>
            <w:hideMark/>
          </w:tcPr>
          <w:p w14:paraId="0B97223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3 625</w:t>
            </w:r>
          </w:p>
        </w:tc>
        <w:tc>
          <w:tcPr>
            <w:tcW w:w="968" w:type="dxa"/>
            <w:shd w:val="clear" w:color="auto" w:fill="auto"/>
            <w:hideMark/>
          </w:tcPr>
          <w:p w14:paraId="40075BC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2 311</w:t>
            </w:r>
          </w:p>
        </w:tc>
        <w:tc>
          <w:tcPr>
            <w:tcW w:w="968" w:type="dxa"/>
            <w:shd w:val="clear" w:color="auto" w:fill="auto"/>
            <w:hideMark/>
          </w:tcPr>
          <w:p w14:paraId="755816E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18 509</w:t>
            </w:r>
          </w:p>
        </w:tc>
        <w:tc>
          <w:tcPr>
            <w:tcW w:w="1076" w:type="dxa"/>
            <w:shd w:val="clear" w:color="auto" w:fill="auto"/>
            <w:hideMark/>
          </w:tcPr>
          <w:p w14:paraId="4F72F48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22 754</w:t>
            </w:r>
          </w:p>
        </w:tc>
        <w:tc>
          <w:tcPr>
            <w:tcW w:w="1077" w:type="dxa"/>
            <w:shd w:val="clear" w:color="auto" w:fill="auto"/>
            <w:hideMark/>
          </w:tcPr>
          <w:p w14:paraId="081AE46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16 786</w:t>
            </w:r>
          </w:p>
        </w:tc>
        <w:tc>
          <w:tcPr>
            <w:tcW w:w="1077" w:type="dxa"/>
            <w:shd w:val="clear" w:color="auto" w:fill="auto"/>
            <w:hideMark/>
          </w:tcPr>
          <w:p w14:paraId="0AB8768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14 861</w:t>
            </w:r>
          </w:p>
        </w:tc>
        <w:tc>
          <w:tcPr>
            <w:tcW w:w="967" w:type="dxa"/>
            <w:shd w:val="clear" w:color="auto" w:fill="auto"/>
            <w:hideMark/>
          </w:tcPr>
          <w:p w14:paraId="61A87E6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12 040</w:t>
            </w:r>
          </w:p>
        </w:tc>
        <w:tc>
          <w:tcPr>
            <w:tcW w:w="1087" w:type="dxa"/>
            <w:shd w:val="clear" w:color="auto" w:fill="auto"/>
            <w:hideMark/>
          </w:tcPr>
          <w:p w14:paraId="1805E8F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8 869</w:t>
            </w:r>
          </w:p>
        </w:tc>
      </w:tr>
      <w:tr w:rsidR="0053576E" w:rsidRPr="004135FE" w14:paraId="71A5AE5F" w14:textId="77777777" w:rsidTr="00680E37">
        <w:trPr>
          <w:trHeight w:val="20"/>
        </w:trPr>
        <w:tc>
          <w:tcPr>
            <w:tcW w:w="569" w:type="dxa"/>
            <w:vMerge w:val="restart"/>
            <w:shd w:val="clear" w:color="auto" w:fill="auto"/>
            <w:noWrap/>
            <w:textDirection w:val="btLr"/>
            <w:hideMark/>
          </w:tcPr>
          <w:p w14:paraId="398AE391"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2019год</w:t>
            </w:r>
          </w:p>
        </w:tc>
        <w:tc>
          <w:tcPr>
            <w:tcW w:w="484" w:type="dxa"/>
            <w:shd w:val="clear" w:color="auto" w:fill="auto"/>
            <w:hideMark/>
          </w:tcPr>
          <w:p w14:paraId="2049004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shd w:val="clear" w:color="auto" w:fill="auto"/>
            <w:hideMark/>
          </w:tcPr>
          <w:p w14:paraId="2B9C6C07"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75" w:type="dxa"/>
            <w:shd w:val="clear" w:color="auto" w:fill="auto"/>
            <w:hideMark/>
          </w:tcPr>
          <w:p w14:paraId="2AE8FFE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1 816</w:t>
            </w:r>
          </w:p>
        </w:tc>
        <w:tc>
          <w:tcPr>
            <w:tcW w:w="792" w:type="dxa"/>
            <w:shd w:val="clear" w:color="auto" w:fill="auto"/>
            <w:hideMark/>
          </w:tcPr>
          <w:p w14:paraId="47AE96C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9 190</w:t>
            </w:r>
          </w:p>
        </w:tc>
        <w:tc>
          <w:tcPr>
            <w:tcW w:w="802" w:type="dxa"/>
            <w:shd w:val="clear" w:color="auto" w:fill="auto"/>
            <w:hideMark/>
          </w:tcPr>
          <w:p w14:paraId="0FDAA01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11 390</w:t>
            </w:r>
          </w:p>
        </w:tc>
        <w:tc>
          <w:tcPr>
            <w:tcW w:w="967" w:type="dxa"/>
            <w:shd w:val="clear" w:color="auto" w:fill="auto"/>
            <w:hideMark/>
          </w:tcPr>
          <w:p w14:paraId="513D5A3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9 725</w:t>
            </w:r>
          </w:p>
        </w:tc>
        <w:tc>
          <w:tcPr>
            <w:tcW w:w="1077" w:type="dxa"/>
            <w:shd w:val="clear" w:color="auto" w:fill="auto"/>
            <w:hideMark/>
          </w:tcPr>
          <w:p w14:paraId="39BBD0F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7 774</w:t>
            </w:r>
          </w:p>
        </w:tc>
        <w:tc>
          <w:tcPr>
            <w:tcW w:w="968" w:type="dxa"/>
            <w:shd w:val="clear" w:color="auto" w:fill="auto"/>
            <w:hideMark/>
          </w:tcPr>
          <w:p w14:paraId="754C88C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9 621</w:t>
            </w:r>
          </w:p>
        </w:tc>
        <w:tc>
          <w:tcPr>
            <w:tcW w:w="968" w:type="dxa"/>
            <w:shd w:val="clear" w:color="auto" w:fill="auto"/>
            <w:hideMark/>
          </w:tcPr>
          <w:p w14:paraId="1427BCC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35 788</w:t>
            </w:r>
          </w:p>
        </w:tc>
        <w:tc>
          <w:tcPr>
            <w:tcW w:w="1076" w:type="dxa"/>
            <w:shd w:val="clear" w:color="auto" w:fill="auto"/>
            <w:hideMark/>
          </w:tcPr>
          <w:p w14:paraId="538184E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29 963</w:t>
            </w:r>
          </w:p>
        </w:tc>
        <w:tc>
          <w:tcPr>
            <w:tcW w:w="1077" w:type="dxa"/>
            <w:shd w:val="clear" w:color="auto" w:fill="auto"/>
            <w:hideMark/>
          </w:tcPr>
          <w:p w14:paraId="2AD408E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25 779</w:t>
            </w:r>
          </w:p>
        </w:tc>
        <w:tc>
          <w:tcPr>
            <w:tcW w:w="1077" w:type="dxa"/>
            <w:shd w:val="clear" w:color="auto" w:fill="auto"/>
            <w:hideMark/>
          </w:tcPr>
          <w:p w14:paraId="23674DB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20 928</w:t>
            </w:r>
          </w:p>
        </w:tc>
        <w:tc>
          <w:tcPr>
            <w:tcW w:w="967" w:type="dxa"/>
            <w:shd w:val="clear" w:color="auto" w:fill="auto"/>
            <w:hideMark/>
          </w:tcPr>
          <w:p w14:paraId="4D1DCC6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18 292</w:t>
            </w:r>
          </w:p>
        </w:tc>
        <w:tc>
          <w:tcPr>
            <w:tcW w:w="1087" w:type="dxa"/>
            <w:shd w:val="clear" w:color="auto" w:fill="auto"/>
            <w:hideMark/>
          </w:tcPr>
          <w:p w14:paraId="0B37AAF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16 198</w:t>
            </w:r>
          </w:p>
        </w:tc>
      </w:tr>
      <w:tr w:rsidR="0053576E" w:rsidRPr="004135FE" w14:paraId="282AA5FF" w14:textId="77777777" w:rsidTr="00680E37">
        <w:trPr>
          <w:trHeight w:val="20"/>
        </w:trPr>
        <w:tc>
          <w:tcPr>
            <w:tcW w:w="569" w:type="dxa"/>
            <w:vMerge/>
            <w:textDirection w:val="btLr"/>
            <w:hideMark/>
          </w:tcPr>
          <w:p w14:paraId="7C1F7602"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5DFF228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shd w:val="clear" w:color="auto" w:fill="auto"/>
            <w:hideMark/>
          </w:tcPr>
          <w:p w14:paraId="1FDCCCB2"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75" w:type="dxa"/>
            <w:shd w:val="clear" w:color="auto" w:fill="auto"/>
            <w:hideMark/>
          </w:tcPr>
          <w:p w14:paraId="74A583D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3 261</w:t>
            </w:r>
          </w:p>
        </w:tc>
        <w:tc>
          <w:tcPr>
            <w:tcW w:w="792" w:type="dxa"/>
            <w:shd w:val="clear" w:color="auto" w:fill="auto"/>
            <w:hideMark/>
          </w:tcPr>
          <w:p w14:paraId="0CC0556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13 509</w:t>
            </w:r>
          </w:p>
        </w:tc>
        <w:tc>
          <w:tcPr>
            <w:tcW w:w="802" w:type="dxa"/>
            <w:shd w:val="clear" w:color="auto" w:fill="auto"/>
            <w:hideMark/>
          </w:tcPr>
          <w:p w14:paraId="499A33F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13 003</w:t>
            </w:r>
          </w:p>
        </w:tc>
        <w:tc>
          <w:tcPr>
            <w:tcW w:w="967" w:type="dxa"/>
            <w:shd w:val="clear" w:color="auto" w:fill="auto"/>
            <w:hideMark/>
          </w:tcPr>
          <w:p w14:paraId="3BC7ED0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10 117</w:t>
            </w:r>
          </w:p>
        </w:tc>
        <w:tc>
          <w:tcPr>
            <w:tcW w:w="1077" w:type="dxa"/>
            <w:shd w:val="clear" w:color="auto" w:fill="auto"/>
            <w:hideMark/>
          </w:tcPr>
          <w:p w14:paraId="7FDE34F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4 132</w:t>
            </w:r>
          </w:p>
        </w:tc>
        <w:tc>
          <w:tcPr>
            <w:tcW w:w="968" w:type="dxa"/>
            <w:shd w:val="clear" w:color="auto" w:fill="auto"/>
            <w:hideMark/>
          </w:tcPr>
          <w:p w14:paraId="0AA38DE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1 849</w:t>
            </w:r>
          </w:p>
        </w:tc>
        <w:tc>
          <w:tcPr>
            <w:tcW w:w="968" w:type="dxa"/>
            <w:shd w:val="clear" w:color="auto" w:fill="auto"/>
            <w:hideMark/>
          </w:tcPr>
          <w:p w14:paraId="3F878F3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18 466</w:t>
            </w:r>
          </w:p>
        </w:tc>
        <w:tc>
          <w:tcPr>
            <w:tcW w:w="1076" w:type="dxa"/>
            <w:shd w:val="clear" w:color="auto" w:fill="auto"/>
            <w:hideMark/>
          </w:tcPr>
          <w:p w14:paraId="4E8D0E1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21 899</w:t>
            </w:r>
          </w:p>
        </w:tc>
        <w:tc>
          <w:tcPr>
            <w:tcW w:w="1077" w:type="dxa"/>
            <w:shd w:val="clear" w:color="auto" w:fill="auto"/>
            <w:hideMark/>
          </w:tcPr>
          <w:p w14:paraId="1462402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13 599</w:t>
            </w:r>
          </w:p>
        </w:tc>
        <w:tc>
          <w:tcPr>
            <w:tcW w:w="1077" w:type="dxa"/>
            <w:shd w:val="clear" w:color="auto" w:fill="auto"/>
            <w:hideMark/>
          </w:tcPr>
          <w:p w14:paraId="1844E48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9 886</w:t>
            </w:r>
          </w:p>
        </w:tc>
        <w:tc>
          <w:tcPr>
            <w:tcW w:w="967" w:type="dxa"/>
            <w:shd w:val="clear" w:color="auto" w:fill="auto"/>
            <w:hideMark/>
          </w:tcPr>
          <w:p w14:paraId="2600C5C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6 090</w:t>
            </w:r>
          </w:p>
        </w:tc>
        <w:tc>
          <w:tcPr>
            <w:tcW w:w="1087" w:type="dxa"/>
            <w:shd w:val="clear" w:color="auto" w:fill="auto"/>
            <w:hideMark/>
          </w:tcPr>
          <w:p w14:paraId="06AFFA8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3 583</w:t>
            </w:r>
          </w:p>
        </w:tc>
      </w:tr>
      <w:tr w:rsidR="0053576E" w:rsidRPr="004135FE" w14:paraId="2C74D0A6" w14:textId="77777777" w:rsidTr="00680E37">
        <w:trPr>
          <w:trHeight w:val="20"/>
        </w:trPr>
        <w:tc>
          <w:tcPr>
            <w:tcW w:w="569" w:type="dxa"/>
            <w:vMerge/>
            <w:textDirection w:val="btLr"/>
            <w:hideMark/>
          </w:tcPr>
          <w:p w14:paraId="072EEDC6"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2E64790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w:t>
            </w:r>
          </w:p>
        </w:tc>
        <w:tc>
          <w:tcPr>
            <w:tcW w:w="2098" w:type="dxa"/>
            <w:shd w:val="clear" w:color="auto" w:fill="auto"/>
            <w:hideMark/>
          </w:tcPr>
          <w:p w14:paraId="5F82FE6B"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Ауэзовский</w:t>
            </w:r>
          </w:p>
        </w:tc>
        <w:tc>
          <w:tcPr>
            <w:tcW w:w="875" w:type="dxa"/>
            <w:shd w:val="clear" w:color="auto" w:fill="auto"/>
            <w:hideMark/>
          </w:tcPr>
          <w:p w14:paraId="3F672DA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2 286</w:t>
            </w:r>
          </w:p>
        </w:tc>
        <w:tc>
          <w:tcPr>
            <w:tcW w:w="792" w:type="dxa"/>
            <w:shd w:val="clear" w:color="auto" w:fill="auto"/>
            <w:hideMark/>
          </w:tcPr>
          <w:p w14:paraId="744F574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10 861</w:t>
            </w:r>
          </w:p>
        </w:tc>
        <w:tc>
          <w:tcPr>
            <w:tcW w:w="802" w:type="dxa"/>
            <w:shd w:val="clear" w:color="auto" w:fill="auto"/>
            <w:hideMark/>
          </w:tcPr>
          <w:p w14:paraId="22D32E8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12 621</w:t>
            </w:r>
          </w:p>
        </w:tc>
        <w:tc>
          <w:tcPr>
            <w:tcW w:w="967" w:type="dxa"/>
            <w:shd w:val="clear" w:color="auto" w:fill="auto"/>
            <w:hideMark/>
          </w:tcPr>
          <w:p w14:paraId="1AADE49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10 913</w:t>
            </w:r>
          </w:p>
        </w:tc>
        <w:tc>
          <w:tcPr>
            <w:tcW w:w="1077" w:type="dxa"/>
            <w:shd w:val="clear" w:color="auto" w:fill="auto"/>
            <w:hideMark/>
          </w:tcPr>
          <w:p w14:paraId="1C282B8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5 048</w:t>
            </w:r>
          </w:p>
        </w:tc>
        <w:tc>
          <w:tcPr>
            <w:tcW w:w="968" w:type="dxa"/>
            <w:shd w:val="clear" w:color="auto" w:fill="auto"/>
            <w:hideMark/>
          </w:tcPr>
          <w:p w14:paraId="4C19F73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3 132</w:t>
            </w:r>
          </w:p>
        </w:tc>
        <w:tc>
          <w:tcPr>
            <w:tcW w:w="968" w:type="dxa"/>
            <w:shd w:val="clear" w:color="auto" w:fill="auto"/>
            <w:hideMark/>
          </w:tcPr>
          <w:p w14:paraId="1B2DBC6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24 755</w:t>
            </w:r>
          </w:p>
        </w:tc>
        <w:tc>
          <w:tcPr>
            <w:tcW w:w="1076" w:type="dxa"/>
            <w:shd w:val="clear" w:color="auto" w:fill="auto"/>
            <w:hideMark/>
          </w:tcPr>
          <w:p w14:paraId="44A21AA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29 736</w:t>
            </w:r>
          </w:p>
        </w:tc>
        <w:tc>
          <w:tcPr>
            <w:tcW w:w="1077" w:type="dxa"/>
            <w:shd w:val="clear" w:color="auto" w:fill="auto"/>
            <w:hideMark/>
          </w:tcPr>
          <w:p w14:paraId="19E4707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22 245</w:t>
            </w:r>
          </w:p>
        </w:tc>
        <w:tc>
          <w:tcPr>
            <w:tcW w:w="1077" w:type="dxa"/>
            <w:shd w:val="clear" w:color="auto" w:fill="auto"/>
            <w:hideMark/>
          </w:tcPr>
          <w:p w14:paraId="6BBABD1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19 191</w:t>
            </w:r>
          </w:p>
        </w:tc>
        <w:tc>
          <w:tcPr>
            <w:tcW w:w="967" w:type="dxa"/>
            <w:shd w:val="clear" w:color="auto" w:fill="auto"/>
            <w:hideMark/>
          </w:tcPr>
          <w:p w14:paraId="75F45EC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15 897</w:t>
            </w:r>
          </w:p>
        </w:tc>
        <w:tc>
          <w:tcPr>
            <w:tcW w:w="1087" w:type="dxa"/>
            <w:shd w:val="clear" w:color="auto" w:fill="auto"/>
            <w:hideMark/>
          </w:tcPr>
          <w:p w14:paraId="3AE6346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12 879</w:t>
            </w:r>
          </w:p>
        </w:tc>
      </w:tr>
      <w:tr w:rsidR="0053576E" w:rsidRPr="004135FE" w14:paraId="79648A18" w14:textId="77777777" w:rsidTr="00680E37">
        <w:trPr>
          <w:trHeight w:val="20"/>
        </w:trPr>
        <w:tc>
          <w:tcPr>
            <w:tcW w:w="569" w:type="dxa"/>
            <w:vMerge/>
            <w:textDirection w:val="btLr"/>
            <w:hideMark/>
          </w:tcPr>
          <w:p w14:paraId="18752E7F"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62858ED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w:t>
            </w:r>
          </w:p>
        </w:tc>
        <w:tc>
          <w:tcPr>
            <w:tcW w:w="2098" w:type="dxa"/>
            <w:shd w:val="clear" w:color="auto" w:fill="auto"/>
            <w:hideMark/>
          </w:tcPr>
          <w:p w14:paraId="38C57345"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Бостандыкский</w:t>
            </w:r>
          </w:p>
        </w:tc>
        <w:tc>
          <w:tcPr>
            <w:tcW w:w="875" w:type="dxa"/>
            <w:shd w:val="clear" w:color="auto" w:fill="auto"/>
            <w:hideMark/>
          </w:tcPr>
          <w:p w14:paraId="09E3FB8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1 818</w:t>
            </w:r>
          </w:p>
        </w:tc>
        <w:tc>
          <w:tcPr>
            <w:tcW w:w="792" w:type="dxa"/>
            <w:shd w:val="clear" w:color="auto" w:fill="auto"/>
            <w:hideMark/>
          </w:tcPr>
          <w:p w14:paraId="0A344AC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9 613</w:t>
            </w:r>
          </w:p>
        </w:tc>
        <w:tc>
          <w:tcPr>
            <w:tcW w:w="802" w:type="dxa"/>
            <w:shd w:val="clear" w:color="auto" w:fill="auto"/>
            <w:hideMark/>
          </w:tcPr>
          <w:p w14:paraId="132454C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11 778</w:t>
            </w:r>
          </w:p>
        </w:tc>
        <w:tc>
          <w:tcPr>
            <w:tcW w:w="967" w:type="dxa"/>
            <w:shd w:val="clear" w:color="auto" w:fill="auto"/>
            <w:hideMark/>
          </w:tcPr>
          <w:p w14:paraId="73D55CD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10 006</w:t>
            </w:r>
          </w:p>
        </w:tc>
        <w:tc>
          <w:tcPr>
            <w:tcW w:w="1077" w:type="dxa"/>
            <w:shd w:val="clear" w:color="auto" w:fill="auto"/>
            <w:hideMark/>
          </w:tcPr>
          <w:p w14:paraId="5B586CD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8 025</w:t>
            </w:r>
          </w:p>
        </w:tc>
        <w:tc>
          <w:tcPr>
            <w:tcW w:w="968" w:type="dxa"/>
            <w:shd w:val="clear" w:color="auto" w:fill="auto"/>
            <w:hideMark/>
          </w:tcPr>
          <w:p w14:paraId="6A53625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14 690</w:t>
            </w:r>
          </w:p>
        </w:tc>
        <w:tc>
          <w:tcPr>
            <w:tcW w:w="968" w:type="dxa"/>
            <w:shd w:val="clear" w:color="auto" w:fill="auto"/>
            <w:hideMark/>
          </w:tcPr>
          <w:p w14:paraId="1BF1A53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43 025</w:t>
            </w:r>
          </w:p>
        </w:tc>
        <w:tc>
          <w:tcPr>
            <w:tcW w:w="1076" w:type="dxa"/>
            <w:shd w:val="clear" w:color="auto" w:fill="auto"/>
            <w:hideMark/>
          </w:tcPr>
          <w:p w14:paraId="205AF1A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29 958</w:t>
            </w:r>
          </w:p>
        </w:tc>
        <w:tc>
          <w:tcPr>
            <w:tcW w:w="1077" w:type="dxa"/>
            <w:shd w:val="clear" w:color="auto" w:fill="auto"/>
            <w:hideMark/>
          </w:tcPr>
          <w:p w14:paraId="5BF4D3D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23 801</w:t>
            </w:r>
          </w:p>
        </w:tc>
        <w:tc>
          <w:tcPr>
            <w:tcW w:w="1077" w:type="dxa"/>
            <w:shd w:val="clear" w:color="auto" w:fill="auto"/>
            <w:hideMark/>
          </w:tcPr>
          <w:p w14:paraId="5A6F4F2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20 058</w:t>
            </w:r>
          </w:p>
        </w:tc>
        <w:tc>
          <w:tcPr>
            <w:tcW w:w="967" w:type="dxa"/>
            <w:shd w:val="clear" w:color="auto" w:fill="auto"/>
            <w:hideMark/>
          </w:tcPr>
          <w:p w14:paraId="7B3C243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17 026</w:t>
            </w:r>
          </w:p>
        </w:tc>
        <w:tc>
          <w:tcPr>
            <w:tcW w:w="1087" w:type="dxa"/>
            <w:shd w:val="clear" w:color="auto" w:fill="auto"/>
            <w:hideMark/>
          </w:tcPr>
          <w:p w14:paraId="4D455F4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14 797</w:t>
            </w:r>
          </w:p>
        </w:tc>
      </w:tr>
      <w:tr w:rsidR="0053576E" w:rsidRPr="004135FE" w14:paraId="63DAF60D" w14:textId="77777777" w:rsidTr="00680E37">
        <w:trPr>
          <w:trHeight w:val="20"/>
        </w:trPr>
        <w:tc>
          <w:tcPr>
            <w:tcW w:w="569" w:type="dxa"/>
            <w:vMerge/>
            <w:textDirection w:val="btLr"/>
            <w:hideMark/>
          </w:tcPr>
          <w:p w14:paraId="2112A51E"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6355470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w:t>
            </w:r>
          </w:p>
        </w:tc>
        <w:tc>
          <w:tcPr>
            <w:tcW w:w="2098" w:type="dxa"/>
            <w:shd w:val="clear" w:color="auto" w:fill="auto"/>
            <w:hideMark/>
          </w:tcPr>
          <w:p w14:paraId="59932DFD"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Жетысуский</w:t>
            </w:r>
          </w:p>
        </w:tc>
        <w:tc>
          <w:tcPr>
            <w:tcW w:w="875" w:type="dxa"/>
            <w:shd w:val="clear" w:color="auto" w:fill="auto"/>
            <w:hideMark/>
          </w:tcPr>
          <w:p w14:paraId="7E58173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1 395</w:t>
            </w:r>
          </w:p>
        </w:tc>
        <w:tc>
          <w:tcPr>
            <w:tcW w:w="792" w:type="dxa"/>
            <w:shd w:val="clear" w:color="auto" w:fill="auto"/>
            <w:hideMark/>
          </w:tcPr>
          <w:p w14:paraId="147F0CF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6 903</w:t>
            </w:r>
          </w:p>
        </w:tc>
        <w:tc>
          <w:tcPr>
            <w:tcW w:w="802" w:type="dxa"/>
            <w:shd w:val="clear" w:color="auto" w:fill="auto"/>
            <w:hideMark/>
          </w:tcPr>
          <w:p w14:paraId="692243B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8 278</w:t>
            </w:r>
          </w:p>
        </w:tc>
        <w:tc>
          <w:tcPr>
            <w:tcW w:w="967" w:type="dxa"/>
            <w:shd w:val="clear" w:color="auto" w:fill="auto"/>
            <w:hideMark/>
          </w:tcPr>
          <w:p w14:paraId="628C9C5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6 797</w:t>
            </w:r>
          </w:p>
        </w:tc>
        <w:tc>
          <w:tcPr>
            <w:tcW w:w="1077" w:type="dxa"/>
            <w:shd w:val="clear" w:color="auto" w:fill="auto"/>
            <w:hideMark/>
          </w:tcPr>
          <w:p w14:paraId="4756C62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3 556</w:t>
            </w:r>
          </w:p>
        </w:tc>
        <w:tc>
          <w:tcPr>
            <w:tcW w:w="968" w:type="dxa"/>
            <w:shd w:val="clear" w:color="auto" w:fill="auto"/>
            <w:hideMark/>
          </w:tcPr>
          <w:p w14:paraId="66FC3BA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2 809</w:t>
            </w:r>
          </w:p>
        </w:tc>
        <w:tc>
          <w:tcPr>
            <w:tcW w:w="968" w:type="dxa"/>
            <w:shd w:val="clear" w:color="auto" w:fill="auto"/>
            <w:hideMark/>
          </w:tcPr>
          <w:p w14:paraId="758A4B9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15 424</w:t>
            </w:r>
          </w:p>
        </w:tc>
        <w:tc>
          <w:tcPr>
            <w:tcW w:w="1076" w:type="dxa"/>
            <w:shd w:val="clear" w:color="auto" w:fill="auto"/>
            <w:hideMark/>
          </w:tcPr>
          <w:p w14:paraId="5581CCD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17 441</w:t>
            </w:r>
          </w:p>
        </w:tc>
        <w:tc>
          <w:tcPr>
            <w:tcW w:w="1077" w:type="dxa"/>
            <w:shd w:val="clear" w:color="auto" w:fill="auto"/>
            <w:hideMark/>
          </w:tcPr>
          <w:p w14:paraId="6F9C6C4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13 003</w:t>
            </w:r>
          </w:p>
        </w:tc>
        <w:tc>
          <w:tcPr>
            <w:tcW w:w="1077" w:type="dxa"/>
            <w:shd w:val="clear" w:color="auto" w:fill="auto"/>
            <w:hideMark/>
          </w:tcPr>
          <w:p w14:paraId="5EF302F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10 366</w:t>
            </w:r>
          </w:p>
        </w:tc>
        <w:tc>
          <w:tcPr>
            <w:tcW w:w="967" w:type="dxa"/>
            <w:shd w:val="clear" w:color="auto" w:fill="auto"/>
            <w:hideMark/>
          </w:tcPr>
          <w:p w14:paraId="2BC66F11"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8 213</w:t>
            </w:r>
          </w:p>
        </w:tc>
        <w:tc>
          <w:tcPr>
            <w:tcW w:w="1087" w:type="dxa"/>
            <w:shd w:val="clear" w:color="auto" w:fill="auto"/>
            <w:hideMark/>
          </w:tcPr>
          <w:p w14:paraId="769F99C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5 871</w:t>
            </w:r>
          </w:p>
        </w:tc>
      </w:tr>
      <w:tr w:rsidR="0053576E" w:rsidRPr="004135FE" w14:paraId="5BF0DBAE" w14:textId="77777777" w:rsidTr="00680E37">
        <w:trPr>
          <w:trHeight w:val="20"/>
        </w:trPr>
        <w:tc>
          <w:tcPr>
            <w:tcW w:w="569" w:type="dxa"/>
            <w:vMerge/>
            <w:textDirection w:val="btLr"/>
            <w:hideMark/>
          </w:tcPr>
          <w:p w14:paraId="621E48AE"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3ED733F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w:t>
            </w:r>
          </w:p>
        </w:tc>
        <w:tc>
          <w:tcPr>
            <w:tcW w:w="2098" w:type="dxa"/>
            <w:shd w:val="clear" w:color="auto" w:fill="auto"/>
            <w:hideMark/>
          </w:tcPr>
          <w:p w14:paraId="60F28FFB"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Медеуский</w:t>
            </w:r>
          </w:p>
        </w:tc>
        <w:tc>
          <w:tcPr>
            <w:tcW w:w="875" w:type="dxa"/>
            <w:shd w:val="clear" w:color="auto" w:fill="auto"/>
            <w:hideMark/>
          </w:tcPr>
          <w:p w14:paraId="548A81E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1 425</w:t>
            </w:r>
          </w:p>
        </w:tc>
        <w:tc>
          <w:tcPr>
            <w:tcW w:w="792" w:type="dxa"/>
            <w:shd w:val="clear" w:color="auto" w:fill="auto"/>
            <w:hideMark/>
          </w:tcPr>
          <w:p w14:paraId="60A7309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7 544</w:t>
            </w:r>
          </w:p>
        </w:tc>
        <w:tc>
          <w:tcPr>
            <w:tcW w:w="802" w:type="dxa"/>
            <w:shd w:val="clear" w:color="auto" w:fill="auto"/>
            <w:hideMark/>
          </w:tcPr>
          <w:p w14:paraId="09002CB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9 458</w:t>
            </w:r>
          </w:p>
        </w:tc>
        <w:tc>
          <w:tcPr>
            <w:tcW w:w="967" w:type="dxa"/>
            <w:shd w:val="clear" w:color="auto" w:fill="auto"/>
            <w:hideMark/>
          </w:tcPr>
          <w:p w14:paraId="66BFEE6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8 739</w:t>
            </w:r>
          </w:p>
        </w:tc>
        <w:tc>
          <w:tcPr>
            <w:tcW w:w="1077" w:type="dxa"/>
            <w:shd w:val="clear" w:color="auto" w:fill="auto"/>
            <w:hideMark/>
          </w:tcPr>
          <w:p w14:paraId="6C29A64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4 971</w:t>
            </w:r>
          </w:p>
        </w:tc>
        <w:tc>
          <w:tcPr>
            <w:tcW w:w="968" w:type="dxa"/>
            <w:shd w:val="clear" w:color="auto" w:fill="auto"/>
            <w:hideMark/>
          </w:tcPr>
          <w:p w14:paraId="14DDE3B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5 699</w:t>
            </w:r>
          </w:p>
        </w:tc>
        <w:tc>
          <w:tcPr>
            <w:tcW w:w="968" w:type="dxa"/>
            <w:shd w:val="clear" w:color="auto" w:fill="auto"/>
            <w:hideMark/>
          </w:tcPr>
          <w:p w14:paraId="1F75B42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20 050</w:t>
            </w:r>
          </w:p>
        </w:tc>
        <w:tc>
          <w:tcPr>
            <w:tcW w:w="1076" w:type="dxa"/>
            <w:shd w:val="clear" w:color="auto" w:fill="auto"/>
            <w:hideMark/>
          </w:tcPr>
          <w:p w14:paraId="018E143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20 560</w:t>
            </w:r>
          </w:p>
        </w:tc>
        <w:tc>
          <w:tcPr>
            <w:tcW w:w="1077" w:type="dxa"/>
            <w:shd w:val="clear" w:color="auto" w:fill="auto"/>
            <w:hideMark/>
          </w:tcPr>
          <w:p w14:paraId="42AB459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15 545</w:t>
            </w:r>
          </w:p>
        </w:tc>
        <w:tc>
          <w:tcPr>
            <w:tcW w:w="1077" w:type="dxa"/>
            <w:shd w:val="clear" w:color="auto" w:fill="auto"/>
            <w:hideMark/>
          </w:tcPr>
          <w:p w14:paraId="3F99C57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13 325</w:t>
            </w:r>
          </w:p>
        </w:tc>
        <w:tc>
          <w:tcPr>
            <w:tcW w:w="967" w:type="dxa"/>
            <w:shd w:val="clear" w:color="auto" w:fill="auto"/>
            <w:hideMark/>
          </w:tcPr>
          <w:p w14:paraId="0939451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11 035</w:t>
            </w:r>
          </w:p>
        </w:tc>
        <w:tc>
          <w:tcPr>
            <w:tcW w:w="1087" w:type="dxa"/>
            <w:shd w:val="clear" w:color="auto" w:fill="auto"/>
            <w:hideMark/>
          </w:tcPr>
          <w:p w14:paraId="751C5B8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9 039</w:t>
            </w:r>
          </w:p>
        </w:tc>
      </w:tr>
      <w:tr w:rsidR="0053576E" w:rsidRPr="004135FE" w14:paraId="47EA06ED" w14:textId="77777777" w:rsidTr="00680E37">
        <w:trPr>
          <w:trHeight w:val="20"/>
        </w:trPr>
        <w:tc>
          <w:tcPr>
            <w:tcW w:w="569" w:type="dxa"/>
            <w:vMerge/>
            <w:textDirection w:val="btLr"/>
            <w:hideMark/>
          </w:tcPr>
          <w:p w14:paraId="4228898A"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2831391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w:t>
            </w:r>
          </w:p>
        </w:tc>
        <w:tc>
          <w:tcPr>
            <w:tcW w:w="2098" w:type="dxa"/>
            <w:shd w:val="clear" w:color="auto" w:fill="auto"/>
            <w:hideMark/>
          </w:tcPr>
          <w:p w14:paraId="03690067"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Наурызбайский</w:t>
            </w:r>
          </w:p>
        </w:tc>
        <w:tc>
          <w:tcPr>
            <w:tcW w:w="875" w:type="dxa"/>
            <w:shd w:val="clear" w:color="auto" w:fill="auto"/>
            <w:hideMark/>
          </w:tcPr>
          <w:p w14:paraId="6E41345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1 497</w:t>
            </w:r>
          </w:p>
        </w:tc>
        <w:tc>
          <w:tcPr>
            <w:tcW w:w="792" w:type="dxa"/>
            <w:shd w:val="clear" w:color="auto" w:fill="auto"/>
            <w:hideMark/>
          </w:tcPr>
          <w:p w14:paraId="56823EB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6 221</w:t>
            </w:r>
          </w:p>
        </w:tc>
        <w:tc>
          <w:tcPr>
            <w:tcW w:w="802" w:type="dxa"/>
            <w:shd w:val="clear" w:color="auto" w:fill="auto"/>
            <w:hideMark/>
          </w:tcPr>
          <w:p w14:paraId="5DAD644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5 998</w:t>
            </w:r>
          </w:p>
        </w:tc>
        <w:tc>
          <w:tcPr>
            <w:tcW w:w="967" w:type="dxa"/>
            <w:shd w:val="clear" w:color="auto" w:fill="auto"/>
            <w:hideMark/>
          </w:tcPr>
          <w:p w14:paraId="5FECB13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4 522</w:t>
            </w:r>
          </w:p>
        </w:tc>
        <w:tc>
          <w:tcPr>
            <w:tcW w:w="1077" w:type="dxa"/>
            <w:shd w:val="clear" w:color="auto" w:fill="auto"/>
            <w:hideMark/>
          </w:tcPr>
          <w:p w14:paraId="16565D8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1 862</w:t>
            </w:r>
          </w:p>
        </w:tc>
        <w:tc>
          <w:tcPr>
            <w:tcW w:w="968" w:type="dxa"/>
            <w:shd w:val="clear" w:color="auto" w:fill="auto"/>
            <w:hideMark/>
          </w:tcPr>
          <w:p w14:paraId="0A4EA46A"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924</w:t>
            </w:r>
          </w:p>
        </w:tc>
        <w:tc>
          <w:tcPr>
            <w:tcW w:w="968" w:type="dxa"/>
            <w:shd w:val="clear" w:color="auto" w:fill="auto"/>
            <w:hideMark/>
          </w:tcPr>
          <w:p w14:paraId="06063BF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10 121</w:t>
            </w:r>
          </w:p>
        </w:tc>
        <w:tc>
          <w:tcPr>
            <w:tcW w:w="1076" w:type="dxa"/>
            <w:shd w:val="clear" w:color="auto" w:fill="auto"/>
            <w:hideMark/>
          </w:tcPr>
          <w:p w14:paraId="38375B2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10 460</w:t>
            </w:r>
          </w:p>
        </w:tc>
        <w:tc>
          <w:tcPr>
            <w:tcW w:w="1077" w:type="dxa"/>
            <w:shd w:val="clear" w:color="auto" w:fill="auto"/>
            <w:hideMark/>
          </w:tcPr>
          <w:p w14:paraId="3EB1D57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7 269</w:t>
            </w:r>
          </w:p>
        </w:tc>
        <w:tc>
          <w:tcPr>
            <w:tcW w:w="1077" w:type="dxa"/>
            <w:shd w:val="clear" w:color="auto" w:fill="auto"/>
            <w:hideMark/>
          </w:tcPr>
          <w:p w14:paraId="47581E3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5 998</w:t>
            </w:r>
          </w:p>
        </w:tc>
        <w:tc>
          <w:tcPr>
            <w:tcW w:w="967" w:type="dxa"/>
            <w:shd w:val="clear" w:color="auto" w:fill="auto"/>
            <w:hideMark/>
          </w:tcPr>
          <w:p w14:paraId="1A8AE1F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4 083</w:t>
            </w:r>
          </w:p>
        </w:tc>
        <w:tc>
          <w:tcPr>
            <w:tcW w:w="1087" w:type="dxa"/>
            <w:shd w:val="clear" w:color="auto" w:fill="auto"/>
            <w:hideMark/>
          </w:tcPr>
          <w:p w14:paraId="5D0C9CD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2 508</w:t>
            </w:r>
          </w:p>
        </w:tc>
      </w:tr>
      <w:tr w:rsidR="0053576E" w:rsidRPr="004135FE" w14:paraId="2DF0C5D5" w14:textId="77777777" w:rsidTr="00680E37">
        <w:trPr>
          <w:trHeight w:val="20"/>
        </w:trPr>
        <w:tc>
          <w:tcPr>
            <w:tcW w:w="569" w:type="dxa"/>
            <w:vMerge/>
            <w:textDirection w:val="btLr"/>
            <w:hideMark/>
          </w:tcPr>
          <w:p w14:paraId="7818809F"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5F0B3B6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shd w:val="clear" w:color="auto" w:fill="auto"/>
            <w:hideMark/>
          </w:tcPr>
          <w:p w14:paraId="4CF226E5"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75" w:type="dxa"/>
            <w:shd w:val="clear" w:color="auto" w:fill="auto"/>
            <w:hideMark/>
          </w:tcPr>
          <w:p w14:paraId="00CB088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1 983</w:t>
            </w:r>
          </w:p>
        </w:tc>
        <w:tc>
          <w:tcPr>
            <w:tcW w:w="792" w:type="dxa"/>
            <w:shd w:val="clear" w:color="auto" w:fill="auto"/>
            <w:hideMark/>
          </w:tcPr>
          <w:p w14:paraId="08137ED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8 936</w:t>
            </w:r>
          </w:p>
        </w:tc>
        <w:tc>
          <w:tcPr>
            <w:tcW w:w="802" w:type="dxa"/>
            <w:shd w:val="clear" w:color="auto" w:fill="auto"/>
            <w:hideMark/>
          </w:tcPr>
          <w:p w14:paraId="6EF49B8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10 398</w:t>
            </w:r>
          </w:p>
        </w:tc>
        <w:tc>
          <w:tcPr>
            <w:tcW w:w="967" w:type="dxa"/>
            <w:shd w:val="clear" w:color="auto" w:fill="auto"/>
            <w:hideMark/>
          </w:tcPr>
          <w:p w14:paraId="38FF3E3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8 928</w:t>
            </w:r>
          </w:p>
        </w:tc>
        <w:tc>
          <w:tcPr>
            <w:tcW w:w="1077" w:type="dxa"/>
            <w:shd w:val="clear" w:color="auto" w:fill="auto"/>
            <w:hideMark/>
          </w:tcPr>
          <w:p w14:paraId="330337E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4 019</w:t>
            </w:r>
          </w:p>
        </w:tc>
        <w:tc>
          <w:tcPr>
            <w:tcW w:w="968" w:type="dxa"/>
            <w:shd w:val="clear" w:color="auto" w:fill="auto"/>
            <w:hideMark/>
          </w:tcPr>
          <w:p w14:paraId="1D83491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2 356</w:t>
            </w:r>
          </w:p>
        </w:tc>
        <w:tc>
          <w:tcPr>
            <w:tcW w:w="968" w:type="dxa"/>
            <w:shd w:val="clear" w:color="auto" w:fill="auto"/>
            <w:hideMark/>
          </w:tcPr>
          <w:p w14:paraId="5096EFF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17 751</w:t>
            </w:r>
          </w:p>
        </w:tc>
        <w:tc>
          <w:tcPr>
            <w:tcW w:w="1076" w:type="dxa"/>
            <w:shd w:val="clear" w:color="auto" w:fill="auto"/>
            <w:hideMark/>
          </w:tcPr>
          <w:p w14:paraId="4980819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23 258</w:t>
            </w:r>
          </w:p>
        </w:tc>
        <w:tc>
          <w:tcPr>
            <w:tcW w:w="1077" w:type="dxa"/>
            <w:shd w:val="clear" w:color="auto" w:fill="auto"/>
            <w:hideMark/>
          </w:tcPr>
          <w:p w14:paraId="61F853C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17 369</w:t>
            </w:r>
          </w:p>
        </w:tc>
        <w:tc>
          <w:tcPr>
            <w:tcW w:w="1077" w:type="dxa"/>
            <w:shd w:val="clear" w:color="auto" w:fill="auto"/>
            <w:hideMark/>
          </w:tcPr>
          <w:p w14:paraId="0EB3A01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14 669</w:t>
            </w:r>
          </w:p>
        </w:tc>
        <w:tc>
          <w:tcPr>
            <w:tcW w:w="967" w:type="dxa"/>
            <w:shd w:val="clear" w:color="auto" w:fill="auto"/>
            <w:hideMark/>
          </w:tcPr>
          <w:p w14:paraId="1C104F5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12 514</w:t>
            </w:r>
          </w:p>
        </w:tc>
        <w:tc>
          <w:tcPr>
            <w:tcW w:w="1087" w:type="dxa"/>
            <w:shd w:val="clear" w:color="auto" w:fill="auto"/>
            <w:hideMark/>
          </w:tcPr>
          <w:p w14:paraId="38BFB78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9 274</w:t>
            </w:r>
          </w:p>
        </w:tc>
      </w:tr>
      <w:tr w:rsidR="0053576E" w:rsidRPr="004135FE" w14:paraId="11B0F30C" w14:textId="77777777" w:rsidTr="00680E37">
        <w:trPr>
          <w:trHeight w:val="20"/>
        </w:trPr>
        <w:tc>
          <w:tcPr>
            <w:tcW w:w="569" w:type="dxa"/>
            <w:vMerge w:val="restart"/>
            <w:shd w:val="clear" w:color="auto" w:fill="auto"/>
            <w:noWrap/>
            <w:textDirection w:val="btLr"/>
            <w:hideMark/>
          </w:tcPr>
          <w:p w14:paraId="08E245AA"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2020год</w:t>
            </w:r>
          </w:p>
        </w:tc>
        <w:tc>
          <w:tcPr>
            <w:tcW w:w="484" w:type="dxa"/>
            <w:shd w:val="clear" w:color="auto" w:fill="auto"/>
            <w:hideMark/>
          </w:tcPr>
          <w:p w14:paraId="6B97309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w:t>
            </w:r>
          </w:p>
        </w:tc>
        <w:tc>
          <w:tcPr>
            <w:tcW w:w="2098" w:type="dxa"/>
            <w:shd w:val="clear" w:color="auto" w:fill="auto"/>
            <w:hideMark/>
          </w:tcPr>
          <w:p w14:paraId="22302D02"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Алмалинский</w:t>
            </w:r>
          </w:p>
        </w:tc>
        <w:tc>
          <w:tcPr>
            <w:tcW w:w="875" w:type="dxa"/>
            <w:shd w:val="clear" w:color="auto" w:fill="auto"/>
            <w:hideMark/>
          </w:tcPr>
          <w:p w14:paraId="2D3B6DE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1 571</w:t>
            </w:r>
          </w:p>
        </w:tc>
        <w:tc>
          <w:tcPr>
            <w:tcW w:w="792" w:type="dxa"/>
            <w:shd w:val="clear" w:color="auto" w:fill="auto"/>
            <w:hideMark/>
          </w:tcPr>
          <w:p w14:paraId="5BF34DD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8 821</w:t>
            </w:r>
          </w:p>
        </w:tc>
        <w:tc>
          <w:tcPr>
            <w:tcW w:w="802" w:type="dxa"/>
            <w:shd w:val="clear" w:color="auto" w:fill="auto"/>
            <w:hideMark/>
          </w:tcPr>
          <w:p w14:paraId="1FFF248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11 230</w:t>
            </w:r>
          </w:p>
        </w:tc>
        <w:tc>
          <w:tcPr>
            <w:tcW w:w="967" w:type="dxa"/>
            <w:shd w:val="clear" w:color="auto" w:fill="auto"/>
            <w:hideMark/>
          </w:tcPr>
          <w:p w14:paraId="1A29119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10 102</w:t>
            </w:r>
          </w:p>
        </w:tc>
        <w:tc>
          <w:tcPr>
            <w:tcW w:w="1077" w:type="dxa"/>
            <w:shd w:val="clear" w:color="auto" w:fill="auto"/>
            <w:hideMark/>
          </w:tcPr>
          <w:p w14:paraId="34943FF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6 087</w:t>
            </w:r>
          </w:p>
        </w:tc>
        <w:tc>
          <w:tcPr>
            <w:tcW w:w="968" w:type="dxa"/>
            <w:shd w:val="clear" w:color="auto" w:fill="auto"/>
            <w:hideMark/>
          </w:tcPr>
          <w:p w14:paraId="3667DC5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8 193</w:t>
            </w:r>
          </w:p>
        </w:tc>
        <w:tc>
          <w:tcPr>
            <w:tcW w:w="968" w:type="dxa"/>
            <w:shd w:val="clear" w:color="auto" w:fill="auto"/>
            <w:hideMark/>
          </w:tcPr>
          <w:p w14:paraId="497C28F4"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34 117</w:t>
            </w:r>
          </w:p>
        </w:tc>
        <w:tc>
          <w:tcPr>
            <w:tcW w:w="1076" w:type="dxa"/>
            <w:shd w:val="clear" w:color="auto" w:fill="auto"/>
            <w:hideMark/>
          </w:tcPr>
          <w:p w14:paraId="3B3BF97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29 470</w:t>
            </w:r>
          </w:p>
        </w:tc>
        <w:tc>
          <w:tcPr>
            <w:tcW w:w="1077" w:type="dxa"/>
            <w:shd w:val="clear" w:color="auto" w:fill="auto"/>
            <w:hideMark/>
          </w:tcPr>
          <w:p w14:paraId="06DD7E5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25 507</w:t>
            </w:r>
          </w:p>
        </w:tc>
        <w:tc>
          <w:tcPr>
            <w:tcW w:w="1077" w:type="dxa"/>
            <w:shd w:val="clear" w:color="auto" w:fill="auto"/>
            <w:hideMark/>
          </w:tcPr>
          <w:p w14:paraId="7A44364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20 755</w:t>
            </w:r>
          </w:p>
        </w:tc>
        <w:tc>
          <w:tcPr>
            <w:tcW w:w="967" w:type="dxa"/>
            <w:shd w:val="clear" w:color="auto" w:fill="auto"/>
            <w:hideMark/>
          </w:tcPr>
          <w:p w14:paraId="25E332D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18 097</w:t>
            </w:r>
          </w:p>
        </w:tc>
        <w:tc>
          <w:tcPr>
            <w:tcW w:w="1087" w:type="dxa"/>
            <w:shd w:val="clear" w:color="auto" w:fill="auto"/>
            <w:hideMark/>
          </w:tcPr>
          <w:p w14:paraId="1822FF8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16 649</w:t>
            </w:r>
          </w:p>
        </w:tc>
      </w:tr>
      <w:tr w:rsidR="0053576E" w:rsidRPr="004135FE" w14:paraId="1216A413" w14:textId="77777777" w:rsidTr="00680E37">
        <w:trPr>
          <w:trHeight w:val="20"/>
        </w:trPr>
        <w:tc>
          <w:tcPr>
            <w:tcW w:w="569" w:type="dxa"/>
            <w:vMerge/>
            <w:textDirection w:val="btLr"/>
            <w:hideMark/>
          </w:tcPr>
          <w:p w14:paraId="4C68DE83"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6E2D288B"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w:t>
            </w:r>
          </w:p>
        </w:tc>
        <w:tc>
          <w:tcPr>
            <w:tcW w:w="2098" w:type="dxa"/>
            <w:shd w:val="clear" w:color="auto" w:fill="auto"/>
            <w:hideMark/>
          </w:tcPr>
          <w:p w14:paraId="55795E59"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Алатауский</w:t>
            </w:r>
          </w:p>
        </w:tc>
        <w:tc>
          <w:tcPr>
            <w:tcW w:w="875" w:type="dxa"/>
            <w:shd w:val="clear" w:color="auto" w:fill="auto"/>
            <w:hideMark/>
          </w:tcPr>
          <w:p w14:paraId="2C254DE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3 372</w:t>
            </w:r>
          </w:p>
        </w:tc>
        <w:tc>
          <w:tcPr>
            <w:tcW w:w="792" w:type="dxa"/>
            <w:shd w:val="clear" w:color="auto" w:fill="auto"/>
            <w:hideMark/>
          </w:tcPr>
          <w:p w14:paraId="2E2B75E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14 054</w:t>
            </w:r>
          </w:p>
        </w:tc>
        <w:tc>
          <w:tcPr>
            <w:tcW w:w="802" w:type="dxa"/>
            <w:shd w:val="clear" w:color="auto" w:fill="auto"/>
            <w:hideMark/>
          </w:tcPr>
          <w:p w14:paraId="5456317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13 815</w:t>
            </w:r>
          </w:p>
        </w:tc>
        <w:tc>
          <w:tcPr>
            <w:tcW w:w="967" w:type="dxa"/>
            <w:shd w:val="clear" w:color="auto" w:fill="auto"/>
            <w:hideMark/>
          </w:tcPr>
          <w:p w14:paraId="09B3D42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10 836</w:t>
            </w:r>
          </w:p>
        </w:tc>
        <w:tc>
          <w:tcPr>
            <w:tcW w:w="1077" w:type="dxa"/>
            <w:shd w:val="clear" w:color="auto" w:fill="auto"/>
            <w:hideMark/>
          </w:tcPr>
          <w:p w14:paraId="52DED20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4 652</w:t>
            </w:r>
          </w:p>
        </w:tc>
        <w:tc>
          <w:tcPr>
            <w:tcW w:w="968" w:type="dxa"/>
            <w:shd w:val="clear" w:color="auto" w:fill="auto"/>
            <w:hideMark/>
          </w:tcPr>
          <w:p w14:paraId="492C4C0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2 264</w:t>
            </w:r>
          </w:p>
        </w:tc>
        <w:tc>
          <w:tcPr>
            <w:tcW w:w="968" w:type="dxa"/>
            <w:shd w:val="clear" w:color="auto" w:fill="auto"/>
            <w:hideMark/>
          </w:tcPr>
          <w:p w14:paraId="436DA18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18 132</w:t>
            </w:r>
          </w:p>
        </w:tc>
        <w:tc>
          <w:tcPr>
            <w:tcW w:w="1076" w:type="dxa"/>
            <w:shd w:val="clear" w:color="auto" w:fill="auto"/>
            <w:hideMark/>
          </w:tcPr>
          <w:p w14:paraId="5FDB857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23 050</w:t>
            </w:r>
          </w:p>
        </w:tc>
        <w:tc>
          <w:tcPr>
            <w:tcW w:w="1077" w:type="dxa"/>
            <w:shd w:val="clear" w:color="auto" w:fill="auto"/>
            <w:hideMark/>
          </w:tcPr>
          <w:p w14:paraId="039C585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14 195</w:t>
            </w:r>
          </w:p>
        </w:tc>
        <w:tc>
          <w:tcPr>
            <w:tcW w:w="1077" w:type="dxa"/>
            <w:shd w:val="clear" w:color="auto" w:fill="auto"/>
            <w:hideMark/>
          </w:tcPr>
          <w:p w14:paraId="1FF5ABD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10 189</w:t>
            </w:r>
          </w:p>
        </w:tc>
        <w:tc>
          <w:tcPr>
            <w:tcW w:w="967" w:type="dxa"/>
            <w:shd w:val="clear" w:color="auto" w:fill="auto"/>
            <w:hideMark/>
          </w:tcPr>
          <w:p w14:paraId="2ECF283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6 519</w:t>
            </w:r>
          </w:p>
        </w:tc>
        <w:tc>
          <w:tcPr>
            <w:tcW w:w="1087" w:type="dxa"/>
            <w:shd w:val="clear" w:color="auto" w:fill="auto"/>
            <w:hideMark/>
          </w:tcPr>
          <w:p w14:paraId="5C465ACF"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3 804</w:t>
            </w:r>
          </w:p>
        </w:tc>
      </w:tr>
    </w:tbl>
    <w:p w14:paraId="71474E8A" w14:textId="77777777" w:rsidR="0093416F" w:rsidRDefault="0093416F" w:rsidP="002038AA">
      <w:pPr>
        <w:rPr>
          <w:rFonts w:ascii="Times New Roman" w:eastAsia="Times New Roman" w:hAnsi="Times New Roman" w:cs="Times New Roman"/>
          <w:sz w:val="28"/>
          <w:szCs w:val="28"/>
        </w:rPr>
      </w:pPr>
    </w:p>
    <w:p w14:paraId="35681E07" w14:textId="610AAACC" w:rsidR="002038AA" w:rsidRPr="00680E37" w:rsidRDefault="002038AA" w:rsidP="002038AA">
      <w:pPr>
        <w:rPr>
          <w:rFonts w:ascii="Times New Roman" w:eastAsia="Times New Roman" w:hAnsi="Times New Roman" w:cs="Times New Roman"/>
          <w:sz w:val="28"/>
          <w:szCs w:val="28"/>
        </w:rPr>
      </w:pPr>
      <w:r w:rsidRPr="00680E37">
        <w:rPr>
          <w:rFonts w:ascii="Times New Roman" w:eastAsia="Times New Roman" w:hAnsi="Times New Roman" w:cs="Times New Roman"/>
          <w:sz w:val="28"/>
          <w:szCs w:val="28"/>
        </w:rPr>
        <w:t>Продолжение таблицы А</w:t>
      </w:r>
      <w:r>
        <w:rPr>
          <w:rFonts w:ascii="Times New Roman" w:eastAsia="Times New Roman" w:hAnsi="Times New Roman" w:cs="Times New Roman"/>
          <w:sz w:val="28"/>
          <w:szCs w:val="28"/>
        </w:rPr>
        <w:t>6</w:t>
      </w:r>
    </w:p>
    <w:tbl>
      <w:tblPr>
        <w:tblW w:w="1488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484"/>
        <w:gridCol w:w="2098"/>
        <w:gridCol w:w="875"/>
        <w:gridCol w:w="792"/>
        <w:gridCol w:w="802"/>
        <w:gridCol w:w="967"/>
        <w:gridCol w:w="1077"/>
        <w:gridCol w:w="968"/>
        <w:gridCol w:w="968"/>
        <w:gridCol w:w="1076"/>
        <w:gridCol w:w="1077"/>
        <w:gridCol w:w="1077"/>
        <w:gridCol w:w="967"/>
        <w:gridCol w:w="1087"/>
      </w:tblGrid>
      <w:tr w:rsidR="0053576E" w:rsidRPr="004135FE" w14:paraId="0E8EFF39" w14:textId="77777777" w:rsidTr="00680E37">
        <w:trPr>
          <w:trHeight w:val="20"/>
        </w:trPr>
        <w:tc>
          <w:tcPr>
            <w:tcW w:w="569" w:type="dxa"/>
            <w:vMerge w:val="restart"/>
            <w:textDirection w:val="btLr"/>
            <w:hideMark/>
          </w:tcPr>
          <w:p w14:paraId="09A11D76"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04F3DFF5"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3</w:t>
            </w:r>
          </w:p>
        </w:tc>
        <w:tc>
          <w:tcPr>
            <w:tcW w:w="2098" w:type="dxa"/>
            <w:shd w:val="clear" w:color="auto" w:fill="auto"/>
            <w:hideMark/>
          </w:tcPr>
          <w:p w14:paraId="1AE3744D" w14:textId="77777777" w:rsidR="0053576E" w:rsidRPr="002038AA" w:rsidRDefault="0053576E" w:rsidP="004135FE">
            <w:pPr>
              <w:spacing w:after="0" w:line="240" w:lineRule="auto"/>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Ауэзовский</w:t>
            </w:r>
          </w:p>
        </w:tc>
        <w:tc>
          <w:tcPr>
            <w:tcW w:w="875" w:type="dxa"/>
            <w:shd w:val="clear" w:color="auto" w:fill="auto"/>
            <w:hideMark/>
          </w:tcPr>
          <w:p w14:paraId="22F16D97"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2 010</w:t>
            </w:r>
          </w:p>
        </w:tc>
        <w:tc>
          <w:tcPr>
            <w:tcW w:w="792" w:type="dxa"/>
            <w:shd w:val="clear" w:color="auto" w:fill="auto"/>
            <w:hideMark/>
          </w:tcPr>
          <w:p w14:paraId="2305F580"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10 526</w:t>
            </w:r>
          </w:p>
        </w:tc>
        <w:tc>
          <w:tcPr>
            <w:tcW w:w="802" w:type="dxa"/>
            <w:shd w:val="clear" w:color="auto" w:fill="auto"/>
            <w:hideMark/>
          </w:tcPr>
          <w:p w14:paraId="36A7F975"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12 834</w:t>
            </w:r>
          </w:p>
        </w:tc>
        <w:tc>
          <w:tcPr>
            <w:tcW w:w="967" w:type="dxa"/>
            <w:shd w:val="clear" w:color="auto" w:fill="auto"/>
            <w:hideMark/>
          </w:tcPr>
          <w:p w14:paraId="6519BBB1"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11 513</w:t>
            </w:r>
          </w:p>
        </w:tc>
        <w:tc>
          <w:tcPr>
            <w:tcW w:w="1077" w:type="dxa"/>
            <w:shd w:val="clear" w:color="auto" w:fill="auto"/>
            <w:hideMark/>
          </w:tcPr>
          <w:p w14:paraId="27426C5D"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5 261</w:t>
            </w:r>
          </w:p>
        </w:tc>
        <w:tc>
          <w:tcPr>
            <w:tcW w:w="968" w:type="dxa"/>
            <w:shd w:val="clear" w:color="auto" w:fill="auto"/>
            <w:hideMark/>
          </w:tcPr>
          <w:p w14:paraId="3A43F750"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3 365</w:t>
            </w:r>
          </w:p>
        </w:tc>
        <w:tc>
          <w:tcPr>
            <w:tcW w:w="968" w:type="dxa"/>
            <w:shd w:val="clear" w:color="auto" w:fill="auto"/>
            <w:hideMark/>
          </w:tcPr>
          <w:p w14:paraId="5C73957F"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24 244</w:t>
            </w:r>
          </w:p>
        </w:tc>
        <w:tc>
          <w:tcPr>
            <w:tcW w:w="1076" w:type="dxa"/>
            <w:shd w:val="clear" w:color="auto" w:fill="auto"/>
            <w:hideMark/>
          </w:tcPr>
          <w:p w14:paraId="593B1662"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30 472</w:t>
            </w:r>
          </w:p>
        </w:tc>
        <w:tc>
          <w:tcPr>
            <w:tcW w:w="1077" w:type="dxa"/>
            <w:shd w:val="clear" w:color="auto" w:fill="auto"/>
            <w:hideMark/>
          </w:tcPr>
          <w:p w14:paraId="4AD680FF"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22 910</w:t>
            </w:r>
          </w:p>
        </w:tc>
        <w:tc>
          <w:tcPr>
            <w:tcW w:w="1077" w:type="dxa"/>
            <w:shd w:val="clear" w:color="auto" w:fill="auto"/>
            <w:hideMark/>
          </w:tcPr>
          <w:p w14:paraId="221F96D9"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19 536</w:t>
            </w:r>
          </w:p>
        </w:tc>
        <w:tc>
          <w:tcPr>
            <w:tcW w:w="967" w:type="dxa"/>
            <w:shd w:val="clear" w:color="auto" w:fill="auto"/>
            <w:hideMark/>
          </w:tcPr>
          <w:p w14:paraId="30EABF00"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16 581</w:t>
            </w:r>
          </w:p>
        </w:tc>
        <w:tc>
          <w:tcPr>
            <w:tcW w:w="1087" w:type="dxa"/>
            <w:shd w:val="clear" w:color="auto" w:fill="auto"/>
            <w:hideMark/>
          </w:tcPr>
          <w:p w14:paraId="38AE375F"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13 320</w:t>
            </w:r>
          </w:p>
        </w:tc>
      </w:tr>
      <w:tr w:rsidR="0053576E" w:rsidRPr="004135FE" w14:paraId="16660FE0" w14:textId="77777777" w:rsidTr="00680E37">
        <w:trPr>
          <w:trHeight w:val="20"/>
        </w:trPr>
        <w:tc>
          <w:tcPr>
            <w:tcW w:w="569" w:type="dxa"/>
            <w:vMerge/>
            <w:textDirection w:val="btLr"/>
            <w:hideMark/>
          </w:tcPr>
          <w:p w14:paraId="1EE1DAAB"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598E84FF"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4</w:t>
            </w:r>
          </w:p>
        </w:tc>
        <w:tc>
          <w:tcPr>
            <w:tcW w:w="2098" w:type="dxa"/>
            <w:shd w:val="clear" w:color="auto" w:fill="auto"/>
            <w:hideMark/>
          </w:tcPr>
          <w:p w14:paraId="4B91114A" w14:textId="77777777" w:rsidR="0053576E" w:rsidRPr="002038AA" w:rsidRDefault="0053576E" w:rsidP="004135FE">
            <w:pPr>
              <w:spacing w:after="0" w:line="240" w:lineRule="auto"/>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Бостандыкский</w:t>
            </w:r>
          </w:p>
        </w:tc>
        <w:tc>
          <w:tcPr>
            <w:tcW w:w="875" w:type="dxa"/>
            <w:shd w:val="clear" w:color="auto" w:fill="auto"/>
            <w:hideMark/>
          </w:tcPr>
          <w:p w14:paraId="175117E1"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1 855</w:t>
            </w:r>
          </w:p>
        </w:tc>
        <w:tc>
          <w:tcPr>
            <w:tcW w:w="792" w:type="dxa"/>
            <w:shd w:val="clear" w:color="auto" w:fill="auto"/>
            <w:hideMark/>
          </w:tcPr>
          <w:p w14:paraId="1D0DDDF8"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9 932</w:t>
            </w:r>
          </w:p>
        </w:tc>
        <w:tc>
          <w:tcPr>
            <w:tcW w:w="802" w:type="dxa"/>
            <w:shd w:val="clear" w:color="auto" w:fill="auto"/>
            <w:hideMark/>
          </w:tcPr>
          <w:p w14:paraId="380934A8"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12 721</w:t>
            </w:r>
          </w:p>
        </w:tc>
        <w:tc>
          <w:tcPr>
            <w:tcW w:w="967" w:type="dxa"/>
            <w:shd w:val="clear" w:color="auto" w:fill="auto"/>
            <w:hideMark/>
          </w:tcPr>
          <w:p w14:paraId="5435E866"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11 242</w:t>
            </w:r>
          </w:p>
        </w:tc>
        <w:tc>
          <w:tcPr>
            <w:tcW w:w="1077" w:type="dxa"/>
            <w:shd w:val="clear" w:color="auto" w:fill="auto"/>
            <w:hideMark/>
          </w:tcPr>
          <w:p w14:paraId="332162F4"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5 983</w:t>
            </w:r>
          </w:p>
        </w:tc>
        <w:tc>
          <w:tcPr>
            <w:tcW w:w="968" w:type="dxa"/>
            <w:shd w:val="clear" w:color="auto" w:fill="auto"/>
            <w:hideMark/>
          </w:tcPr>
          <w:p w14:paraId="22DDF293"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11 929</w:t>
            </w:r>
          </w:p>
        </w:tc>
        <w:tc>
          <w:tcPr>
            <w:tcW w:w="968" w:type="dxa"/>
            <w:shd w:val="clear" w:color="auto" w:fill="auto"/>
            <w:hideMark/>
          </w:tcPr>
          <w:p w14:paraId="37AFB344"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44 357</w:t>
            </w:r>
          </w:p>
        </w:tc>
        <w:tc>
          <w:tcPr>
            <w:tcW w:w="1076" w:type="dxa"/>
            <w:shd w:val="clear" w:color="auto" w:fill="auto"/>
            <w:hideMark/>
          </w:tcPr>
          <w:p w14:paraId="6A7D0494"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32 683</w:t>
            </w:r>
          </w:p>
        </w:tc>
        <w:tc>
          <w:tcPr>
            <w:tcW w:w="1077" w:type="dxa"/>
            <w:shd w:val="clear" w:color="auto" w:fill="auto"/>
            <w:hideMark/>
          </w:tcPr>
          <w:p w14:paraId="5925898A"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25 635</w:t>
            </w:r>
          </w:p>
        </w:tc>
        <w:tc>
          <w:tcPr>
            <w:tcW w:w="1077" w:type="dxa"/>
            <w:shd w:val="clear" w:color="auto" w:fill="auto"/>
            <w:hideMark/>
          </w:tcPr>
          <w:p w14:paraId="101A62EE"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21 082</w:t>
            </w:r>
          </w:p>
        </w:tc>
        <w:tc>
          <w:tcPr>
            <w:tcW w:w="967" w:type="dxa"/>
            <w:shd w:val="clear" w:color="auto" w:fill="auto"/>
            <w:hideMark/>
          </w:tcPr>
          <w:p w14:paraId="5F51F83C"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18 267</w:t>
            </w:r>
          </w:p>
        </w:tc>
        <w:tc>
          <w:tcPr>
            <w:tcW w:w="1087" w:type="dxa"/>
            <w:shd w:val="clear" w:color="auto" w:fill="auto"/>
            <w:hideMark/>
          </w:tcPr>
          <w:p w14:paraId="66AD0357"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16 007</w:t>
            </w:r>
          </w:p>
        </w:tc>
      </w:tr>
      <w:tr w:rsidR="0053576E" w:rsidRPr="004135FE" w14:paraId="7BD37231" w14:textId="77777777" w:rsidTr="00680E37">
        <w:trPr>
          <w:trHeight w:val="20"/>
        </w:trPr>
        <w:tc>
          <w:tcPr>
            <w:tcW w:w="569" w:type="dxa"/>
            <w:vMerge/>
            <w:textDirection w:val="btLr"/>
            <w:hideMark/>
          </w:tcPr>
          <w:p w14:paraId="647BD419"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7D84A71C"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5</w:t>
            </w:r>
          </w:p>
        </w:tc>
        <w:tc>
          <w:tcPr>
            <w:tcW w:w="2098" w:type="dxa"/>
            <w:shd w:val="clear" w:color="auto" w:fill="auto"/>
            <w:hideMark/>
          </w:tcPr>
          <w:p w14:paraId="650BC9D1" w14:textId="77777777" w:rsidR="0053576E" w:rsidRPr="002038AA" w:rsidRDefault="0053576E" w:rsidP="004135FE">
            <w:pPr>
              <w:spacing w:after="0" w:line="240" w:lineRule="auto"/>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Жетысуский</w:t>
            </w:r>
          </w:p>
        </w:tc>
        <w:tc>
          <w:tcPr>
            <w:tcW w:w="875" w:type="dxa"/>
            <w:shd w:val="clear" w:color="auto" w:fill="auto"/>
            <w:hideMark/>
          </w:tcPr>
          <w:p w14:paraId="104A3F74"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1 394</w:t>
            </w:r>
          </w:p>
        </w:tc>
        <w:tc>
          <w:tcPr>
            <w:tcW w:w="792" w:type="dxa"/>
            <w:shd w:val="clear" w:color="auto" w:fill="auto"/>
            <w:hideMark/>
          </w:tcPr>
          <w:p w14:paraId="0B710788"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6 638</w:t>
            </w:r>
          </w:p>
        </w:tc>
        <w:tc>
          <w:tcPr>
            <w:tcW w:w="802" w:type="dxa"/>
            <w:shd w:val="clear" w:color="auto" w:fill="auto"/>
            <w:hideMark/>
          </w:tcPr>
          <w:p w14:paraId="0A3A9D57"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8 372</w:t>
            </w:r>
          </w:p>
        </w:tc>
        <w:tc>
          <w:tcPr>
            <w:tcW w:w="967" w:type="dxa"/>
            <w:shd w:val="clear" w:color="auto" w:fill="auto"/>
            <w:hideMark/>
          </w:tcPr>
          <w:p w14:paraId="05B2B72D"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7 175</w:t>
            </w:r>
          </w:p>
        </w:tc>
        <w:tc>
          <w:tcPr>
            <w:tcW w:w="1077" w:type="dxa"/>
            <w:shd w:val="clear" w:color="auto" w:fill="auto"/>
            <w:hideMark/>
          </w:tcPr>
          <w:p w14:paraId="3429DF0A"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3 385</w:t>
            </w:r>
          </w:p>
        </w:tc>
        <w:tc>
          <w:tcPr>
            <w:tcW w:w="968" w:type="dxa"/>
            <w:shd w:val="clear" w:color="auto" w:fill="auto"/>
            <w:hideMark/>
          </w:tcPr>
          <w:p w14:paraId="455E441F"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2 806</w:t>
            </w:r>
          </w:p>
        </w:tc>
        <w:tc>
          <w:tcPr>
            <w:tcW w:w="968" w:type="dxa"/>
            <w:shd w:val="clear" w:color="auto" w:fill="auto"/>
            <w:hideMark/>
          </w:tcPr>
          <w:p w14:paraId="4C6829A9"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14 281</w:t>
            </w:r>
          </w:p>
        </w:tc>
        <w:tc>
          <w:tcPr>
            <w:tcW w:w="1076" w:type="dxa"/>
            <w:shd w:val="clear" w:color="auto" w:fill="auto"/>
            <w:hideMark/>
          </w:tcPr>
          <w:p w14:paraId="53130E69"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17 553</w:t>
            </w:r>
          </w:p>
        </w:tc>
        <w:tc>
          <w:tcPr>
            <w:tcW w:w="1077" w:type="dxa"/>
            <w:shd w:val="clear" w:color="auto" w:fill="auto"/>
            <w:hideMark/>
          </w:tcPr>
          <w:p w14:paraId="1D1CC011"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13 209</w:t>
            </w:r>
          </w:p>
        </w:tc>
        <w:tc>
          <w:tcPr>
            <w:tcW w:w="1077" w:type="dxa"/>
            <w:shd w:val="clear" w:color="auto" w:fill="auto"/>
            <w:hideMark/>
          </w:tcPr>
          <w:p w14:paraId="7301118E"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10 254</w:t>
            </w:r>
          </w:p>
        </w:tc>
        <w:tc>
          <w:tcPr>
            <w:tcW w:w="967" w:type="dxa"/>
            <w:shd w:val="clear" w:color="auto" w:fill="auto"/>
            <w:hideMark/>
          </w:tcPr>
          <w:p w14:paraId="0B0B7C6F"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8 496</w:t>
            </w:r>
          </w:p>
        </w:tc>
        <w:tc>
          <w:tcPr>
            <w:tcW w:w="1087" w:type="dxa"/>
            <w:shd w:val="clear" w:color="auto" w:fill="auto"/>
            <w:hideMark/>
          </w:tcPr>
          <w:p w14:paraId="52B16DF0"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6 062</w:t>
            </w:r>
          </w:p>
        </w:tc>
      </w:tr>
      <w:tr w:rsidR="0053576E" w:rsidRPr="004135FE" w14:paraId="0DA8DDE5" w14:textId="77777777" w:rsidTr="00680E37">
        <w:trPr>
          <w:trHeight w:val="20"/>
        </w:trPr>
        <w:tc>
          <w:tcPr>
            <w:tcW w:w="569" w:type="dxa"/>
            <w:vMerge/>
            <w:textDirection w:val="btLr"/>
            <w:hideMark/>
          </w:tcPr>
          <w:p w14:paraId="79D0B21D"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564E0D87"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6</w:t>
            </w:r>
          </w:p>
        </w:tc>
        <w:tc>
          <w:tcPr>
            <w:tcW w:w="2098" w:type="dxa"/>
            <w:shd w:val="clear" w:color="auto" w:fill="auto"/>
            <w:hideMark/>
          </w:tcPr>
          <w:p w14:paraId="0B69CBCA" w14:textId="77777777" w:rsidR="0053576E" w:rsidRPr="002038AA" w:rsidRDefault="0053576E" w:rsidP="004135FE">
            <w:pPr>
              <w:spacing w:after="0" w:line="240" w:lineRule="auto"/>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Медеуский</w:t>
            </w:r>
          </w:p>
        </w:tc>
        <w:tc>
          <w:tcPr>
            <w:tcW w:w="875" w:type="dxa"/>
            <w:shd w:val="clear" w:color="auto" w:fill="auto"/>
            <w:hideMark/>
          </w:tcPr>
          <w:p w14:paraId="74BBAC64"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1 233</w:t>
            </w:r>
          </w:p>
        </w:tc>
        <w:tc>
          <w:tcPr>
            <w:tcW w:w="792" w:type="dxa"/>
            <w:shd w:val="clear" w:color="auto" w:fill="auto"/>
            <w:hideMark/>
          </w:tcPr>
          <w:p w14:paraId="5ED17861"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7 274</w:t>
            </w:r>
          </w:p>
        </w:tc>
        <w:tc>
          <w:tcPr>
            <w:tcW w:w="802" w:type="dxa"/>
            <w:shd w:val="clear" w:color="auto" w:fill="auto"/>
            <w:hideMark/>
          </w:tcPr>
          <w:p w14:paraId="25040B6A"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9 580</w:t>
            </w:r>
          </w:p>
        </w:tc>
        <w:tc>
          <w:tcPr>
            <w:tcW w:w="967" w:type="dxa"/>
            <w:shd w:val="clear" w:color="auto" w:fill="auto"/>
            <w:hideMark/>
          </w:tcPr>
          <w:p w14:paraId="2736A3BF"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9 129</w:t>
            </w:r>
          </w:p>
        </w:tc>
        <w:tc>
          <w:tcPr>
            <w:tcW w:w="1077" w:type="dxa"/>
            <w:shd w:val="clear" w:color="auto" w:fill="auto"/>
            <w:hideMark/>
          </w:tcPr>
          <w:p w14:paraId="76349FBD"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4 504</w:t>
            </w:r>
          </w:p>
        </w:tc>
        <w:tc>
          <w:tcPr>
            <w:tcW w:w="968" w:type="dxa"/>
            <w:shd w:val="clear" w:color="auto" w:fill="auto"/>
            <w:hideMark/>
          </w:tcPr>
          <w:p w14:paraId="5BE10F31"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5 150</w:t>
            </w:r>
          </w:p>
        </w:tc>
        <w:tc>
          <w:tcPr>
            <w:tcW w:w="968" w:type="dxa"/>
            <w:shd w:val="clear" w:color="auto" w:fill="auto"/>
            <w:hideMark/>
          </w:tcPr>
          <w:p w14:paraId="6410BC9D"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19 820</w:t>
            </w:r>
          </w:p>
        </w:tc>
        <w:tc>
          <w:tcPr>
            <w:tcW w:w="1076" w:type="dxa"/>
            <w:shd w:val="clear" w:color="auto" w:fill="auto"/>
            <w:hideMark/>
          </w:tcPr>
          <w:p w14:paraId="7120CFDD"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20 815</w:t>
            </w:r>
          </w:p>
        </w:tc>
        <w:tc>
          <w:tcPr>
            <w:tcW w:w="1077" w:type="dxa"/>
            <w:shd w:val="clear" w:color="auto" w:fill="auto"/>
            <w:hideMark/>
          </w:tcPr>
          <w:p w14:paraId="12D342A8"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15 851</w:t>
            </w:r>
          </w:p>
        </w:tc>
        <w:tc>
          <w:tcPr>
            <w:tcW w:w="1077" w:type="dxa"/>
            <w:shd w:val="clear" w:color="auto" w:fill="auto"/>
            <w:hideMark/>
          </w:tcPr>
          <w:p w14:paraId="4DB0D3C3"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13 275</w:t>
            </w:r>
          </w:p>
        </w:tc>
        <w:tc>
          <w:tcPr>
            <w:tcW w:w="967" w:type="dxa"/>
            <w:shd w:val="clear" w:color="auto" w:fill="auto"/>
            <w:hideMark/>
          </w:tcPr>
          <w:p w14:paraId="13B8CA8A"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11 441</w:t>
            </w:r>
          </w:p>
        </w:tc>
        <w:tc>
          <w:tcPr>
            <w:tcW w:w="1087" w:type="dxa"/>
            <w:shd w:val="clear" w:color="auto" w:fill="auto"/>
            <w:hideMark/>
          </w:tcPr>
          <w:p w14:paraId="333EDCC9"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9 343</w:t>
            </w:r>
          </w:p>
        </w:tc>
      </w:tr>
      <w:tr w:rsidR="0053576E" w:rsidRPr="004135FE" w14:paraId="7EFCAD0B" w14:textId="77777777" w:rsidTr="00680E37">
        <w:trPr>
          <w:trHeight w:val="20"/>
        </w:trPr>
        <w:tc>
          <w:tcPr>
            <w:tcW w:w="569" w:type="dxa"/>
            <w:vMerge/>
            <w:textDirection w:val="btLr"/>
            <w:hideMark/>
          </w:tcPr>
          <w:p w14:paraId="225549A0"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3CF631C7"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7</w:t>
            </w:r>
          </w:p>
        </w:tc>
        <w:tc>
          <w:tcPr>
            <w:tcW w:w="2098" w:type="dxa"/>
            <w:shd w:val="clear" w:color="auto" w:fill="auto"/>
            <w:hideMark/>
          </w:tcPr>
          <w:p w14:paraId="4BE0710A" w14:textId="77777777" w:rsidR="0053576E" w:rsidRPr="002038AA" w:rsidRDefault="0053576E" w:rsidP="004135FE">
            <w:pPr>
              <w:spacing w:after="0" w:line="240" w:lineRule="auto"/>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Наурызбайский</w:t>
            </w:r>
          </w:p>
        </w:tc>
        <w:tc>
          <w:tcPr>
            <w:tcW w:w="875" w:type="dxa"/>
            <w:shd w:val="clear" w:color="auto" w:fill="auto"/>
            <w:hideMark/>
          </w:tcPr>
          <w:p w14:paraId="7C5D6CFD"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1 488</w:t>
            </w:r>
          </w:p>
        </w:tc>
        <w:tc>
          <w:tcPr>
            <w:tcW w:w="792" w:type="dxa"/>
            <w:shd w:val="clear" w:color="auto" w:fill="auto"/>
            <w:hideMark/>
          </w:tcPr>
          <w:p w14:paraId="272B1661"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6 702</w:t>
            </w:r>
          </w:p>
        </w:tc>
        <w:tc>
          <w:tcPr>
            <w:tcW w:w="802" w:type="dxa"/>
            <w:shd w:val="clear" w:color="auto" w:fill="auto"/>
            <w:hideMark/>
          </w:tcPr>
          <w:p w14:paraId="3B065371"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6 543</w:t>
            </w:r>
          </w:p>
        </w:tc>
        <w:tc>
          <w:tcPr>
            <w:tcW w:w="967" w:type="dxa"/>
            <w:shd w:val="clear" w:color="auto" w:fill="auto"/>
            <w:hideMark/>
          </w:tcPr>
          <w:p w14:paraId="7CBBE579"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4 995</w:t>
            </w:r>
          </w:p>
        </w:tc>
        <w:tc>
          <w:tcPr>
            <w:tcW w:w="1077" w:type="dxa"/>
            <w:shd w:val="clear" w:color="auto" w:fill="auto"/>
            <w:hideMark/>
          </w:tcPr>
          <w:p w14:paraId="4F5F417A"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2 085</w:t>
            </w:r>
          </w:p>
        </w:tc>
        <w:tc>
          <w:tcPr>
            <w:tcW w:w="968" w:type="dxa"/>
            <w:shd w:val="clear" w:color="auto" w:fill="auto"/>
            <w:hideMark/>
          </w:tcPr>
          <w:p w14:paraId="145FBC2A"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1 041</w:t>
            </w:r>
          </w:p>
        </w:tc>
        <w:tc>
          <w:tcPr>
            <w:tcW w:w="968" w:type="dxa"/>
            <w:shd w:val="clear" w:color="auto" w:fill="auto"/>
            <w:hideMark/>
          </w:tcPr>
          <w:p w14:paraId="37C25EBD"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9 780</w:t>
            </w:r>
          </w:p>
        </w:tc>
        <w:tc>
          <w:tcPr>
            <w:tcW w:w="1076" w:type="dxa"/>
            <w:shd w:val="clear" w:color="auto" w:fill="auto"/>
            <w:hideMark/>
          </w:tcPr>
          <w:p w14:paraId="36B95D71"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11 243</w:t>
            </w:r>
          </w:p>
        </w:tc>
        <w:tc>
          <w:tcPr>
            <w:tcW w:w="1077" w:type="dxa"/>
            <w:shd w:val="clear" w:color="auto" w:fill="auto"/>
            <w:hideMark/>
          </w:tcPr>
          <w:p w14:paraId="0042774B"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7 538</w:t>
            </w:r>
          </w:p>
        </w:tc>
        <w:tc>
          <w:tcPr>
            <w:tcW w:w="1077" w:type="dxa"/>
            <w:shd w:val="clear" w:color="auto" w:fill="auto"/>
            <w:hideMark/>
          </w:tcPr>
          <w:p w14:paraId="10E7376A"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6 211</w:t>
            </w:r>
          </w:p>
        </w:tc>
        <w:tc>
          <w:tcPr>
            <w:tcW w:w="967" w:type="dxa"/>
            <w:shd w:val="clear" w:color="auto" w:fill="auto"/>
            <w:hideMark/>
          </w:tcPr>
          <w:p w14:paraId="114595B5"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4 433</w:t>
            </w:r>
          </w:p>
        </w:tc>
        <w:tc>
          <w:tcPr>
            <w:tcW w:w="1087" w:type="dxa"/>
            <w:shd w:val="clear" w:color="auto" w:fill="auto"/>
            <w:hideMark/>
          </w:tcPr>
          <w:p w14:paraId="358D0B71"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2 733</w:t>
            </w:r>
          </w:p>
        </w:tc>
      </w:tr>
      <w:tr w:rsidR="0053576E" w:rsidRPr="004135FE" w14:paraId="1C98A34C" w14:textId="77777777" w:rsidTr="00680E37">
        <w:trPr>
          <w:trHeight w:val="20"/>
        </w:trPr>
        <w:tc>
          <w:tcPr>
            <w:tcW w:w="569" w:type="dxa"/>
            <w:vMerge/>
            <w:textDirection w:val="btLr"/>
            <w:hideMark/>
          </w:tcPr>
          <w:p w14:paraId="3E877DDA"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p>
        </w:tc>
        <w:tc>
          <w:tcPr>
            <w:tcW w:w="484" w:type="dxa"/>
            <w:shd w:val="clear" w:color="auto" w:fill="auto"/>
            <w:hideMark/>
          </w:tcPr>
          <w:p w14:paraId="6EF3DB99"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8</w:t>
            </w:r>
          </w:p>
        </w:tc>
        <w:tc>
          <w:tcPr>
            <w:tcW w:w="2098" w:type="dxa"/>
            <w:shd w:val="clear" w:color="auto" w:fill="auto"/>
            <w:hideMark/>
          </w:tcPr>
          <w:p w14:paraId="1C3C80C2" w14:textId="77777777" w:rsidR="0053576E" w:rsidRPr="002038AA" w:rsidRDefault="0053576E" w:rsidP="004135FE">
            <w:pPr>
              <w:spacing w:after="0" w:line="240" w:lineRule="auto"/>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Турксибский</w:t>
            </w:r>
          </w:p>
        </w:tc>
        <w:tc>
          <w:tcPr>
            <w:tcW w:w="875" w:type="dxa"/>
            <w:shd w:val="clear" w:color="auto" w:fill="auto"/>
            <w:hideMark/>
          </w:tcPr>
          <w:p w14:paraId="582455D6"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1 812</w:t>
            </w:r>
          </w:p>
        </w:tc>
        <w:tc>
          <w:tcPr>
            <w:tcW w:w="792" w:type="dxa"/>
            <w:shd w:val="clear" w:color="auto" w:fill="auto"/>
            <w:hideMark/>
          </w:tcPr>
          <w:p w14:paraId="04FDD7E6"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8 779</w:t>
            </w:r>
          </w:p>
        </w:tc>
        <w:tc>
          <w:tcPr>
            <w:tcW w:w="802" w:type="dxa"/>
            <w:shd w:val="clear" w:color="auto" w:fill="auto"/>
            <w:hideMark/>
          </w:tcPr>
          <w:p w14:paraId="19504E46"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10 558</w:t>
            </w:r>
          </w:p>
        </w:tc>
        <w:tc>
          <w:tcPr>
            <w:tcW w:w="967" w:type="dxa"/>
            <w:shd w:val="clear" w:color="auto" w:fill="auto"/>
            <w:hideMark/>
          </w:tcPr>
          <w:p w14:paraId="38D7A45A"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9 349</w:t>
            </w:r>
          </w:p>
        </w:tc>
        <w:tc>
          <w:tcPr>
            <w:tcW w:w="1077" w:type="dxa"/>
            <w:shd w:val="clear" w:color="auto" w:fill="auto"/>
            <w:hideMark/>
          </w:tcPr>
          <w:p w14:paraId="43C8F121"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4 370</w:t>
            </w:r>
          </w:p>
        </w:tc>
        <w:tc>
          <w:tcPr>
            <w:tcW w:w="968" w:type="dxa"/>
            <w:shd w:val="clear" w:color="auto" w:fill="auto"/>
            <w:hideMark/>
          </w:tcPr>
          <w:p w14:paraId="0ED75010"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2 384</w:t>
            </w:r>
          </w:p>
        </w:tc>
        <w:tc>
          <w:tcPr>
            <w:tcW w:w="968" w:type="dxa"/>
            <w:shd w:val="clear" w:color="auto" w:fill="auto"/>
            <w:hideMark/>
          </w:tcPr>
          <w:p w14:paraId="75273DD1"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17 016</w:t>
            </w:r>
          </w:p>
        </w:tc>
        <w:tc>
          <w:tcPr>
            <w:tcW w:w="1076" w:type="dxa"/>
            <w:shd w:val="clear" w:color="auto" w:fill="auto"/>
            <w:hideMark/>
          </w:tcPr>
          <w:p w14:paraId="7D7B6A1E"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23 441</w:t>
            </w:r>
          </w:p>
        </w:tc>
        <w:tc>
          <w:tcPr>
            <w:tcW w:w="1077" w:type="dxa"/>
            <w:shd w:val="clear" w:color="auto" w:fill="auto"/>
            <w:hideMark/>
          </w:tcPr>
          <w:p w14:paraId="02A2F005"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17 773</w:t>
            </w:r>
          </w:p>
        </w:tc>
        <w:tc>
          <w:tcPr>
            <w:tcW w:w="1077" w:type="dxa"/>
            <w:shd w:val="clear" w:color="auto" w:fill="auto"/>
            <w:hideMark/>
          </w:tcPr>
          <w:p w14:paraId="3FDEB1AE"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14 514</w:t>
            </w:r>
          </w:p>
        </w:tc>
        <w:tc>
          <w:tcPr>
            <w:tcW w:w="967" w:type="dxa"/>
            <w:shd w:val="clear" w:color="auto" w:fill="auto"/>
            <w:hideMark/>
          </w:tcPr>
          <w:p w14:paraId="5D532D17"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13 009</w:t>
            </w:r>
          </w:p>
        </w:tc>
        <w:tc>
          <w:tcPr>
            <w:tcW w:w="1087" w:type="dxa"/>
            <w:shd w:val="clear" w:color="auto" w:fill="auto"/>
            <w:hideMark/>
          </w:tcPr>
          <w:p w14:paraId="5AF5A3C5"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9 602</w:t>
            </w:r>
          </w:p>
        </w:tc>
      </w:tr>
      <w:tr w:rsidR="0053576E" w:rsidRPr="004135FE" w14:paraId="2F3071EF" w14:textId="77777777" w:rsidTr="00680E37">
        <w:trPr>
          <w:trHeight w:val="20"/>
        </w:trPr>
        <w:tc>
          <w:tcPr>
            <w:tcW w:w="569" w:type="dxa"/>
            <w:vMerge w:val="restart"/>
            <w:shd w:val="clear" w:color="auto" w:fill="auto"/>
            <w:noWrap/>
            <w:textDirection w:val="btLr"/>
            <w:hideMark/>
          </w:tcPr>
          <w:p w14:paraId="26BD4F36" w14:textId="77777777" w:rsidR="0053576E" w:rsidRPr="004135FE" w:rsidRDefault="0053576E" w:rsidP="004135FE">
            <w:pPr>
              <w:spacing w:after="0" w:line="240" w:lineRule="auto"/>
              <w:ind w:left="113" w:right="113"/>
              <w:jc w:val="center"/>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2021год</w:t>
            </w:r>
          </w:p>
        </w:tc>
        <w:tc>
          <w:tcPr>
            <w:tcW w:w="484" w:type="dxa"/>
            <w:shd w:val="clear" w:color="auto" w:fill="auto"/>
            <w:hideMark/>
          </w:tcPr>
          <w:p w14:paraId="479491B9"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w:t>
            </w:r>
          </w:p>
        </w:tc>
        <w:tc>
          <w:tcPr>
            <w:tcW w:w="2098" w:type="dxa"/>
            <w:shd w:val="clear" w:color="auto" w:fill="auto"/>
            <w:hideMark/>
          </w:tcPr>
          <w:p w14:paraId="29A74E82" w14:textId="77777777" w:rsidR="0053576E" w:rsidRPr="002038AA" w:rsidRDefault="0053576E" w:rsidP="004135FE">
            <w:pPr>
              <w:spacing w:after="0" w:line="240" w:lineRule="auto"/>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Алмалинский</w:t>
            </w:r>
          </w:p>
        </w:tc>
        <w:tc>
          <w:tcPr>
            <w:tcW w:w="875" w:type="dxa"/>
            <w:shd w:val="clear" w:color="auto" w:fill="auto"/>
            <w:hideMark/>
          </w:tcPr>
          <w:p w14:paraId="127BA513"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1 793</w:t>
            </w:r>
          </w:p>
        </w:tc>
        <w:tc>
          <w:tcPr>
            <w:tcW w:w="792" w:type="dxa"/>
            <w:shd w:val="clear" w:color="auto" w:fill="auto"/>
            <w:hideMark/>
          </w:tcPr>
          <w:p w14:paraId="2C788732"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8 577</w:t>
            </w:r>
          </w:p>
        </w:tc>
        <w:tc>
          <w:tcPr>
            <w:tcW w:w="802" w:type="dxa"/>
            <w:shd w:val="clear" w:color="auto" w:fill="auto"/>
            <w:hideMark/>
          </w:tcPr>
          <w:p w14:paraId="26E752F8"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11 506</w:t>
            </w:r>
          </w:p>
        </w:tc>
        <w:tc>
          <w:tcPr>
            <w:tcW w:w="967" w:type="dxa"/>
            <w:shd w:val="clear" w:color="auto" w:fill="auto"/>
            <w:hideMark/>
          </w:tcPr>
          <w:p w14:paraId="1366CAB7"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10 607</w:t>
            </w:r>
          </w:p>
        </w:tc>
        <w:tc>
          <w:tcPr>
            <w:tcW w:w="1077" w:type="dxa"/>
            <w:shd w:val="clear" w:color="auto" w:fill="auto"/>
            <w:hideMark/>
          </w:tcPr>
          <w:p w14:paraId="697B810E"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8 002</w:t>
            </w:r>
          </w:p>
        </w:tc>
        <w:tc>
          <w:tcPr>
            <w:tcW w:w="968" w:type="dxa"/>
            <w:shd w:val="clear" w:color="auto" w:fill="auto"/>
            <w:hideMark/>
          </w:tcPr>
          <w:p w14:paraId="4212E73A"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9 932</w:t>
            </w:r>
          </w:p>
        </w:tc>
        <w:tc>
          <w:tcPr>
            <w:tcW w:w="968" w:type="dxa"/>
            <w:shd w:val="clear" w:color="auto" w:fill="auto"/>
            <w:hideMark/>
          </w:tcPr>
          <w:p w14:paraId="6A3D808C"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34 402</w:t>
            </w:r>
          </w:p>
        </w:tc>
        <w:tc>
          <w:tcPr>
            <w:tcW w:w="1076" w:type="dxa"/>
            <w:shd w:val="clear" w:color="auto" w:fill="auto"/>
            <w:hideMark/>
          </w:tcPr>
          <w:p w14:paraId="54796AF4"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30 341</w:t>
            </w:r>
          </w:p>
        </w:tc>
        <w:tc>
          <w:tcPr>
            <w:tcW w:w="1077" w:type="dxa"/>
            <w:shd w:val="clear" w:color="auto" w:fill="auto"/>
            <w:hideMark/>
          </w:tcPr>
          <w:p w14:paraId="5108E24A"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26 057</w:t>
            </w:r>
          </w:p>
        </w:tc>
        <w:tc>
          <w:tcPr>
            <w:tcW w:w="1077" w:type="dxa"/>
            <w:shd w:val="clear" w:color="auto" w:fill="auto"/>
            <w:hideMark/>
          </w:tcPr>
          <w:p w14:paraId="5CDE0DF1"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21 416</w:t>
            </w:r>
          </w:p>
        </w:tc>
        <w:tc>
          <w:tcPr>
            <w:tcW w:w="967" w:type="dxa"/>
            <w:shd w:val="clear" w:color="auto" w:fill="auto"/>
            <w:hideMark/>
          </w:tcPr>
          <w:p w14:paraId="4DC9C751"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18 601</w:t>
            </w:r>
          </w:p>
        </w:tc>
        <w:tc>
          <w:tcPr>
            <w:tcW w:w="1087" w:type="dxa"/>
            <w:shd w:val="clear" w:color="auto" w:fill="auto"/>
            <w:hideMark/>
          </w:tcPr>
          <w:p w14:paraId="50F0566D"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16 948</w:t>
            </w:r>
          </w:p>
        </w:tc>
      </w:tr>
      <w:tr w:rsidR="0053576E" w:rsidRPr="004135FE" w14:paraId="309C5D41" w14:textId="77777777" w:rsidTr="00680E37">
        <w:trPr>
          <w:trHeight w:val="20"/>
        </w:trPr>
        <w:tc>
          <w:tcPr>
            <w:tcW w:w="569" w:type="dxa"/>
            <w:vMerge/>
            <w:vAlign w:val="center"/>
            <w:hideMark/>
          </w:tcPr>
          <w:p w14:paraId="708FAB99"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484" w:type="dxa"/>
            <w:shd w:val="clear" w:color="auto" w:fill="auto"/>
            <w:hideMark/>
          </w:tcPr>
          <w:p w14:paraId="52B6FB40"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w:t>
            </w:r>
          </w:p>
        </w:tc>
        <w:tc>
          <w:tcPr>
            <w:tcW w:w="2098" w:type="dxa"/>
            <w:shd w:val="clear" w:color="auto" w:fill="auto"/>
            <w:hideMark/>
          </w:tcPr>
          <w:p w14:paraId="50D1AB07" w14:textId="77777777" w:rsidR="0053576E" w:rsidRPr="002038AA" w:rsidRDefault="0053576E" w:rsidP="004135FE">
            <w:pPr>
              <w:spacing w:after="0" w:line="240" w:lineRule="auto"/>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Алатауский</w:t>
            </w:r>
          </w:p>
        </w:tc>
        <w:tc>
          <w:tcPr>
            <w:tcW w:w="875" w:type="dxa"/>
            <w:shd w:val="clear" w:color="auto" w:fill="auto"/>
            <w:hideMark/>
          </w:tcPr>
          <w:p w14:paraId="169B1126"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3 540</w:t>
            </w:r>
          </w:p>
        </w:tc>
        <w:tc>
          <w:tcPr>
            <w:tcW w:w="792" w:type="dxa"/>
            <w:shd w:val="clear" w:color="auto" w:fill="auto"/>
            <w:hideMark/>
          </w:tcPr>
          <w:p w14:paraId="55ED9DF8"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14 694</w:t>
            </w:r>
          </w:p>
        </w:tc>
        <w:tc>
          <w:tcPr>
            <w:tcW w:w="802" w:type="dxa"/>
            <w:shd w:val="clear" w:color="auto" w:fill="auto"/>
            <w:hideMark/>
          </w:tcPr>
          <w:p w14:paraId="17D211A8"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14 733</w:t>
            </w:r>
          </w:p>
        </w:tc>
        <w:tc>
          <w:tcPr>
            <w:tcW w:w="967" w:type="dxa"/>
            <w:shd w:val="clear" w:color="auto" w:fill="auto"/>
            <w:hideMark/>
          </w:tcPr>
          <w:p w14:paraId="70FC1659"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11 485</w:t>
            </w:r>
          </w:p>
        </w:tc>
        <w:tc>
          <w:tcPr>
            <w:tcW w:w="1077" w:type="dxa"/>
            <w:shd w:val="clear" w:color="auto" w:fill="auto"/>
            <w:hideMark/>
          </w:tcPr>
          <w:p w14:paraId="11F236A4"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5 089</w:t>
            </w:r>
          </w:p>
        </w:tc>
        <w:tc>
          <w:tcPr>
            <w:tcW w:w="968" w:type="dxa"/>
            <w:shd w:val="clear" w:color="auto" w:fill="auto"/>
            <w:hideMark/>
          </w:tcPr>
          <w:p w14:paraId="1426F10C"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2 592</w:t>
            </w:r>
          </w:p>
        </w:tc>
        <w:tc>
          <w:tcPr>
            <w:tcW w:w="968" w:type="dxa"/>
            <w:shd w:val="clear" w:color="auto" w:fill="auto"/>
            <w:hideMark/>
          </w:tcPr>
          <w:p w14:paraId="34FA0711"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18 290</w:t>
            </w:r>
          </w:p>
        </w:tc>
        <w:tc>
          <w:tcPr>
            <w:tcW w:w="1076" w:type="dxa"/>
            <w:shd w:val="clear" w:color="auto" w:fill="auto"/>
            <w:hideMark/>
          </w:tcPr>
          <w:p w14:paraId="76EDE95E"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23 900</w:t>
            </w:r>
          </w:p>
        </w:tc>
        <w:tc>
          <w:tcPr>
            <w:tcW w:w="1077" w:type="dxa"/>
            <w:shd w:val="clear" w:color="auto" w:fill="auto"/>
            <w:hideMark/>
          </w:tcPr>
          <w:p w14:paraId="201EC552"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14 845</w:t>
            </w:r>
          </w:p>
        </w:tc>
        <w:tc>
          <w:tcPr>
            <w:tcW w:w="1077" w:type="dxa"/>
            <w:shd w:val="clear" w:color="auto" w:fill="auto"/>
            <w:hideMark/>
          </w:tcPr>
          <w:p w14:paraId="57848C2A"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10 487</w:t>
            </w:r>
          </w:p>
        </w:tc>
        <w:tc>
          <w:tcPr>
            <w:tcW w:w="967" w:type="dxa"/>
            <w:shd w:val="clear" w:color="auto" w:fill="auto"/>
            <w:hideMark/>
          </w:tcPr>
          <w:p w14:paraId="13021C00"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7 090</w:t>
            </w:r>
          </w:p>
        </w:tc>
        <w:tc>
          <w:tcPr>
            <w:tcW w:w="1087" w:type="dxa"/>
            <w:shd w:val="clear" w:color="auto" w:fill="auto"/>
            <w:hideMark/>
          </w:tcPr>
          <w:p w14:paraId="52F8DF53"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3 956</w:t>
            </w:r>
          </w:p>
        </w:tc>
      </w:tr>
      <w:tr w:rsidR="0053576E" w:rsidRPr="004135FE" w14:paraId="3AE686A6" w14:textId="77777777" w:rsidTr="00680E37">
        <w:trPr>
          <w:trHeight w:val="20"/>
        </w:trPr>
        <w:tc>
          <w:tcPr>
            <w:tcW w:w="569" w:type="dxa"/>
            <w:vMerge/>
            <w:vAlign w:val="center"/>
            <w:hideMark/>
          </w:tcPr>
          <w:p w14:paraId="79B241E1"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484" w:type="dxa"/>
            <w:shd w:val="clear" w:color="auto" w:fill="auto"/>
            <w:hideMark/>
          </w:tcPr>
          <w:p w14:paraId="46964894"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3</w:t>
            </w:r>
          </w:p>
        </w:tc>
        <w:tc>
          <w:tcPr>
            <w:tcW w:w="2098" w:type="dxa"/>
            <w:shd w:val="clear" w:color="auto" w:fill="auto"/>
            <w:hideMark/>
          </w:tcPr>
          <w:p w14:paraId="0E6B28B7" w14:textId="77777777" w:rsidR="0053576E" w:rsidRPr="002038AA" w:rsidRDefault="0053576E" w:rsidP="004135FE">
            <w:pPr>
              <w:spacing w:after="0" w:line="240" w:lineRule="auto"/>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Ауэзовский</w:t>
            </w:r>
          </w:p>
        </w:tc>
        <w:tc>
          <w:tcPr>
            <w:tcW w:w="875" w:type="dxa"/>
            <w:shd w:val="clear" w:color="auto" w:fill="auto"/>
            <w:hideMark/>
          </w:tcPr>
          <w:p w14:paraId="4005AAE1"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2 146</w:t>
            </w:r>
          </w:p>
        </w:tc>
        <w:tc>
          <w:tcPr>
            <w:tcW w:w="792" w:type="dxa"/>
            <w:shd w:val="clear" w:color="auto" w:fill="auto"/>
            <w:hideMark/>
          </w:tcPr>
          <w:p w14:paraId="34794EA2"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10 317</w:t>
            </w:r>
          </w:p>
        </w:tc>
        <w:tc>
          <w:tcPr>
            <w:tcW w:w="802" w:type="dxa"/>
            <w:shd w:val="clear" w:color="auto" w:fill="auto"/>
            <w:hideMark/>
          </w:tcPr>
          <w:p w14:paraId="2CCA6EF9"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13 163</w:t>
            </w:r>
          </w:p>
        </w:tc>
        <w:tc>
          <w:tcPr>
            <w:tcW w:w="967" w:type="dxa"/>
            <w:shd w:val="clear" w:color="auto" w:fill="auto"/>
            <w:hideMark/>
          </w:tcPr>
          <w:p w14:paraId="6D10234A"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11 933</w:t>
            </w:r>
          </w:p>
        </w:tc>
        <w:tc>
          <w:tcPr>
            <w:tcW w:w="1077" w:type="dxa"/>
            <w:shd w:val="clear" w:color="auto" w:fill="auto"/>
            <w:hideMark/>
          </w:tcPr>
          <w:p w14:paraId="1F26D01C"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5 616</w:t>
            </w:r>
          </w:p>
        </w:tc>
        <w:tc>
          <w:tcPr>
            <w:tcW w:w="968" w:type="dxa"/>
            <w:shd w:val="clear" w:color="auto" w:fill="auto"/>
            <w:hideMark/>
          </w:tcPr>
          <w:p w14:paraId="2F0A9053"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3 561</w:t>
            </w:r>
          </w:p>
        </w:tc>
        <w:tc>
          <w:tcPr>
            <w:tcW w:w="968" w:type="dxa"/>
            <w:shd w:val="clear" w:color="auto" w:fill="auto"/>
            <w:hideMark/>
          </w:tcPr>
          <w:p w14:paraId="434F84F0"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23 653</w:t>
            </w:r>
          </w:p>
        </w:tc>
        <w:tc>
          <w:tcPr>
            <w:tcW w:w="1076" w:type="dxa"/>
            <w:shd w:val="clear" w:color="auto" w:fill="auto"/>
            <w:hideMark/>
          </w:tcPr>
          <w:p w14:paraId="5CABBB49"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30 913</w:t>
            </w:r>
          </w:p>
        </w:tc>
        <w:tc>
          <w:tcPr>
            <w:tcW w:w="1077" w:type="dxa"/>
            <w:shd w:val="clear" w:color="auto" w:fill="auto"/>
            <w:hideMark/>
          </w:tcPr>
          <w:p w14:paraId="433CC007"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23 646</w:t>
            </w:r>
          </w:p>
        </w:tc>
        <w:tc>
          <w:tcPr>
            <w:tcW w:w="1077" w:type="dxa"/>
            <w:shd w:val="clear" w:color="auto" w:fill="auto"/>
            <w:hideMark/>
          </w:tcPr>
          <w:p w14:paraId="0C9FA496"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19 821</w:t>
            </w:r>
          </w:p>
        </w:tc>
        <w:tc>
          <w:tcPr>
            <w:tcW w:w="967" w:type="dxa"/>
            <w:shd w:val="clear" w:color="auto" w:fill="auto"/>
            <w:hideMark/>
          </w:tcPr>
          <w:p w14:paraId="6379D260"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17 284</w:t>
            </w:r>
          </w:p>
        </w:tc>
        <w:tc>
          <w:tcPr>
            <w:tcW w:w="1087" w:type="dxa"/>
            <w:shd w:val="clear" w:color="auto" w:fill="auto"/>
            <w:hideMark/>
          </w:tcPr>
          <w:p w14:paraId="53889C71"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13 589</w:t>
            </w:r>
          </w:p>
        </w:tc>
      </w:tr>
      <w:tr w:rsidR="0053576E" w:rsidRPr="004135FE" w14:paraId="70A1DF9D" w14:textId="77777777" w:rsidTr="00680E37">
        <w:trPr>
          <w:trHeight w:val="20"/>
        </w:trPr>
        <w:tc>
          <w:tcPr>
            <w:tcW w:w="569" w:type="dxa"/>
            <w:vMerge/>
            <w:vAlign w:val="center"/>
            <w:hideMark/>
          </w:tcPr>
          <w:p w14:paraId="38C861DA"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484" w:type="dxa"/>
            <w:shd w:val="clear" w:color="auto" w:fill="auto"/>
            <w:hideMark/>
          </w:tcPr>
          <w:p w14:paraId="7A5EAFF9"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4</w:t>
            </w:r>
          </w:p>
        </w:tc>
        <w:tc>
          <w:tcPr>
            <w:tcW w:w="2098" w:type="dxa"/>
            <w:shd w:val="clear" w:color="auto" w:fill="auto"/>
            <w:hideMark/>
          </w:tcPr>
          <w:p w14:paraId="1D91E41D" w14:textId="77777777" w:rsidR="0053576E" w:rsidRPr="002038AA" w:rsidRDefault="0053576E" w:rsidP="004135FE">
            <w:pPr>
              <w:spacing w:after="0" w:line="240" w:lineRule="auto"/>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Бостандыкский</w:t>
            </w:r>
          </w:p>
        </w:tc>
        <w:tc>
          <w:tcPr>
            <w:tcW w:w="875" w:type="dxa"/>
            <w:shd w:val="clear" w:color="auto" w:fill="auto"/>
            <w:hideMark/>
          </w:tcPr>
          <w:p w14:paraId="00E8DB5F"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2 029</w:t>
            </w:r>
          </w:p>
        </w:tc>
        <w:tc>
          <w:tcPr>
            <w:tcW w:w="792" w:type="dxa"/>
            <w:shd w:val="clear" w:color="auto" w:fill="auto"/>
            <w:hideMark/>
          </w:tcPr>
          <w:p w14:paraId="00346CC9"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10 203</w:t>
            </w:r>
          </w:p>
        </w:tc>
        <w:tc>
          <w:tcPr>
            <w:tcW w:w="802" w:type="dxa"/>
            <w:shd w:val="clear" w:color="auto" w:fill="auto"/>
            <w:hideMark/>
          </w:tcPr>
          <w:p w14:paraId="763E0102"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13 610</w:t>
            </w:r>
          </w:p>
        </w:tc>
        <w:tc>
          <w:tcPr>
            <w:tcW w:w="967" w:type="dxa"/>
            <w:shd w:val="clear" w:color="auto" w:fill="auto"/>
            <w:hideMark/>
          </w:tcPr>
          <w:p w14:paraId="43B99296"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12 123</w:t>
            </w:r>
          </w:p>
        </w:tc>
        <w:tc>
          <w:tcPr>
            <w:tcW w:w="1077" w:type="dxa"/>
            <w:shd w:val="clear" w:color="auto" w:fill="auto"/>
            <w:hideMark/>
          </w:tcPr>
          <w:p w14:paraId="41396560"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7 954</w:t>
            </w:r>
          </w:p>
        </w:tc>
        <w:tc>
          <w:tcPr>
            <w:tcW w:w="968" w:type="dxa"/>
            <w:shd w:val="clear" w:color="auto" w:fill="auto"/>
            <w:hideMark/>
          </w:tcPr>
          <w:p w14:paraId="51F2E865"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11 714</w:t>
            </w:r>
          </w:p>
        </w:tc>
        <w:tc>
          <w:tcPr>
            <w:tcW w:w="968" w:type="dxa"/>
            <w:shd w:val="clear" w:color="auto" w:fill="auto"/>
            <w:hideMark/>
          </w:tcPr>
          <w:p w14:paraId="6ECA4055"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46 132</w:t>
            </w:r>
          </w:p>
        </w:tc>
        <w:tc>
          <w:tcPr>
            <w:tcW w:w="1076" w:type="dxa"/>
            <w:shd w:val="clear" w:color="auto" w:fill="auto"/>
            <w:hideMark/>
          </w:tcPr>
          <w:p w14:paraId="6012EE52"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36 016</w:t>
            </w:r>
          </w:p>
        </w:tc>
        <w:tc>
          <w:tcPr>
            <w:tcW w:w="1077" w:type="dxa"/>
            <w:shd w:val="clear" w:color="auto" w:fill="auto"/>
            <w:hideMark/>
          </w:tcPr>
          <w:p w14:paraId="514D99ED"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27 767</w:t>
            </w:r>
          </w:p>
        </w:tc>
        <w:tc>
          <w:tcPr>
            <w:tcW w:w="1077" w:type="dxa"/>
            <w:shd w:val="clear" w:color="auto" w:fill="auto"/>
            <w:hideMark/>
          </w:tcPr>
          <w:p w14:paraId="291706A5"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22 314</w:t>
            </w:r>
          </w:p>
        </w:tc>
        <w:tc>
          <w:tcPr>
            <w:tcW w:w="967" w:type="dxa"/>
            <w:shd w:val="clear" w:color="auto" w:fill="auto"/>
            <w:hideMark/>
          </w:tcPr>
          <w:p w14:paraId="7366B0D8"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19 254</w:t>
            </w:r>
          </w:p>
        </w:tc>
        <w:tc>
          <w:tcPr>
            <w:tcW w:w="1087" w:type="dxa"/>
            <w:shd w:val="clear" w:color="auto" w:fill="auto"/>
            <w:hideMark/>
          </w:tcPr>
          <w:p w14:paraId="459B448E"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16 452</w:t>
            </w:r>
          </w:p>
        </w:tc>
      </w:tr>
      <w:tr w:rsidR="0053576E" w:rsidRPr="004135FE" w14:paraId="5951AB01" w14:textId="77777777" w:rsidTr="00680E37">
        <w:trPr>
          <w:trHeight w:val="20"/>
        </w:trPr>
        <w:tc>
          <w:tcPr>
            <w:tcW w:w="569" w:type="dxa"/>
            <w:vMerge/>
            <w:vAlign w:val="center"/>
            <w:hideMark/>
          </w:tcPr>
          <w:p w14:paraId="0D0C76AF"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484" w:type="dxa"/>
            <w:shd w:val="clear" w:color="auto" w:fill="auto"/>
            <w:hideMark/>
          </w:tcPr>
          <w:p w14:paraId="3231D9BD"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5</w:t>
            </w:r>
          </w:p>
        </w:tc>
        <w:tc>
          <w:tcPr>
            <w:tcW w:w="2098" w:type="dxa"/>
            <w:shd w:val="clear" w:color="auto" w:fill="auto"/>
            <w:hideMark/>
          </w:tcPr>
          <w:p w14:paraId="3D7AEA0C" w14:textId="77777777" w:rsidR="0053576E" w:rsidRPr="002038AA" w:rsidRDefault="0053576E" w:rsidP="004135FE">
            <w:pPr>
              <w:spacing w:after="0" w:line="240" w:lineRule="auto"/>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Жетысуский</w:t>
            </w:r>
          </w:p>
        </w:tc>
        <w:tc>
          <w:tcPr>
            <w:tcW w:w="875" w:type="dxa"/>
            <w:shd w:val="clear" w:color="auto" w:fill="auto"/>
            <w:hideMark/>
          </w:tcPr>
          <w:p w14:paraId="2F71A5A7"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1 348</w:t>
            </w:r>
          </w:p>
        </w:tc>
        <w:tc>
          <w:tcPr>
            <w:tcW w:w="792" w:type="dxa"/>
            <w:shd w:val="clear" w:color="auto" w:fill="auto"/>
            <w:hideMark/>
          </w:tcPr>
          <w:p w14:paraId="35ECC299"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6 211</w:t>
            </w:r>
          </w:p>
        </w:tc>
        <w:tc>
          <w:tcPr>
            <w:tcW w:w="802" w:type="dxa"/>
            <w:shd w:val="clear" w:color="auto" w:fill="auto"/>
            <w:hideMark/>
          </w:tcPr>
          <w:p w14:paraId="56F233A2"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8 441</w:t>
            </w:r>
          </w:p>
        </w:tc>
        <w:tc>
          <w:tcPr>
            <w:tcW w:w="967" w:type="dxa"/>
            <w:shd w:val="clear" w:color="auto" w:fill="auto"/>
            <w:hideMark/>
          </w:tcPr>
          <w:p w14:paraId="24B3B5B4"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7 387</w:t>
            </w:r>
          </w:p>
        </w:tc>
        <w:tc>
          <w:tcPr>
            <w:tcW w:w="1077" w:type="dxa"/>
            <w:shd w:val="clear" w:color="auto" w:fill="auto"/>
            <w:hideMark/>
          </w:tcPr>
          <w:p w14:paraId="1D4E8ACB"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3 375</w:t>
            </w:r>
          </w:p>
        </w:tc>
        <w:tc>
          <w:tcPr>
            <w:tcW w:w="968" w:type="dxa"/>
            <w:shd w:val="clear" w:color="auto" w:fill="auto"/>
            <w:hideMark/>
          </w:tcPr>
          <w:p w14:paraId="692F3D66"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1 887</w:t>
            </w:r>
          </w:p>
        </w:tc>
        <w:tc>
          <w:tcPr>
            <w:tcW w:w="968" w:type="dxa"/>
            <w:shd w:val="clear" w:color="auto" w:fill="auto"/>
            <w:hideMark/>
          </w:tcPr>
          <w:p w14:paraId="54535FF9"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11 120</w:t>
            </w:r>
          </w:p>
        </w:tc>
        <w:tc>
          <w:tcPr>
            <w:tcW w:w="1076" w:type="dxa"/>
            <w:shd w:val="clear" w:color="auto" w:fill="auto"/>
            <w:hideMark/>
          </w:tcPr>
          <w:p w14:paraId="1D95BF35"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17 115</w:t>
            </w:r>
          </w:p>
        </w:tc>
        <w:tc>
          <w:tcPr>
            <w:tcW w:w="1077" w:type="dxa"/>
            <w:shd w:val="clear" w:color="auto" w:fill="auto"/>
            <w:hideMark/>
          </w:tcPr>
          <w:p w14:paraId="14D50F60"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13 074</w:t>
            </w:r>
          </w:p>
        </w:tc>
        <w:tc>
          <w:tcPr>
            <w:tcW w:w="1077" w:type="dxa"/>
            <w:shd w:val="clear" w:color="auto" w:fill="auto"/>
            <w:hideMark/>
          </w:tcPr>
          <w:p w14:paraId="4CBB956A"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10 218</w:t>
            </w:r>
          </w:p>
        </w:tc>
        <w:tc>
          <w:tcPr>
            <w:tcW w:w="967" w:type="dxa"/>
            <w:shd w:val="clear" w:color="auto" w:fill="auto"/>
            <w:hideMark/>
          </w:tcPr>
          <w:p w14:paraId="535FDE8B"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8 890</w:t>
            </w:r>
          </w:p>
        </w:tc>
        <w:tc>
          <w:tcPr>
            <w:tcW w:w="1087" w:type="dxa"/>
            <w:shd w:val="clear" w:color="auto" w:fill="auto"/>
            <w:hideMark/>
          </w:tcPr>
          <w:p w14:paraId="1FE96EF0"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6 544</w:t>
            </w:r>
          </w:p>
        </w:tc>
      </w:tr>
      <w:tr w:rsidR="0053576E" w:rsidRPr="004135FE" w14:paraId="72D2DCDB" w14:textId="77777777" w:rsidTr="00680E37">
        <w:trPr>
          <w:trHeight w:val="20"/>
        </w:trPr>
        <w:tc>
          <w:tcPr>
            <w:tcW w:w="569" w:type="dxa"/>
            <w:vMerge/>
            <w:vAlign w:val="center"/>
            <w:hideMark/>
          </w:tcPr>
          <w:p w14:paraId="2D1A1996"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484" w:type="dxa"/>
            <w:shd w:val="clear" w:color="auto" w:fill="auto"/>
            <w:hideMark/>
          </w:tcPr>
          <w:p w14:paraId="5D544943"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6</w:t>
            </w:r>
          </w:p>
        </w:tc>
        <w:tc>
          <w:tcPr>
            <w:tcW w:w="2098" w:type="dxa"/>
            <w:shd w:val="clear" w:color="auto" w:fill="auto"/>
            <w:hideMark/>
          </w:tcPr>
          <w:p w14:paraId="058B6AE8" w14:textId="77777777" w:rsidR="0053576E" w:rsidRPr="002038AA" w:rsidRDefault="0053576E" w:rsidP="004135FE">
            <w:pPr>
              <w:spacing w:after="0" w:line="240" w:lineRule="auto"/>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Медеуский</w:t>
            </w:r>
          </w:p>
        </w:tc>
        <w:tc>
          <w:tcPr>
            <w:tcW w:w="875" w:type="dxa"/>
            <w:shd w:val="clear" w:color="auto" w:fill="auto"/>
            <w:hideMark/>
          </w:tcPr>
          <w:p w14:paraId="5090F868"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1 544</w:t>
            </w:r>
          </w:p>
        </w:tc>
        <w:tc>
          <w:tcPr>
            <w:tcW w:w="792" w:type="dxa"/>
            <w:shd w:val="clear" w:color="auto" w:fill="auto"/>
            <w:hideMark/>
          </w:tcPr>
          <w:p w14:paraId="64969B79"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7 404</w:t>
            </w:r>
          </w:p>
        </w:tc>
        <w:tc>
          <w:tcPr>
            <w:tcW w:w="802" w:type="dxa"/>
            <w:shd w:val="clear" w:color="auto" w:fill="auto"/>
            <w:hideMark/>
          </w:tcPr>
          <w:p w14:paraId="00D76E2B"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10 104</w:t>
            </w:r>
          </w:p>
        </w:tc>
        <w:tc>
          <w:tcPr>
            <w:tcW w:w="967" w:type="dxa"/>
            <w:shd w:val="clear" w:color="auto" w:fill="auto"/>
            <w:hideMark/>
          </w:tcPr>
          <w:p w14:paraId="63AA08BD"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9 430</w:t>
            </w:r>
          </w:p>
        </w:tc>
        <w:tc>
          <w:tcPr>
            <w:tcW w:w="1077" w:type="dxa"/>
            <w:shd w:val="clear" w:color="auto" w:fill="auto"/>
            <w:hideMark/>
          </w:tcPr>
          <w:p w14:paraId="0D1E1F71"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4 751</w:t>
            </w:r>
          </w:p>
        </w:tc>
        <w:tc>
          <w:tcPr>
            <w:tcW w:w="968" w:type="dxa"/>
            <w:shd w:val="clear" w:color="auto" w:fill="auto"/>
            <w:hideMark/>
          </w:tcPr>
          <w:p w14:paraId="57A8FCC1"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5 466</w:t>
            </w:r>
          </w:p>
        </w:tc>
        <w:tc>
          <w:tcPr>
            <w:tcW w:w="968" w:type="dxa"/>
            <w:shd w:val="clear" w:color="auto" w:fill="auto"/>
            <w:hideMark/>
          </w:tcPr>
          <w:p w14:paraId="08F555A1"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21 400</w:t>
            </w:r>
          </w:p>
        </w:tc>
        <w:tc>
          <w:tcPr>
            <w:tcW w:w="1076" w:type="dxa"/>
            <w:shd w:val="clear" w:color="auto" w:fill="auto"/>
            <w:hideMark/>
          </w:tcPr>
          <w:p w14:paraId="46E2A8FA"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21 653</w:t>
            </w:r>
          </w:p>
        </w:tc>
        <w:tc>
          <w:tcPr>
            <w:tcW w:w="1077" w:type="dxa"/>
            <w:shd w:val="clear" w:color="auto" w:fill="auto"/>
            <w:hideMark/>
          </w:tcPr>
          <w:p w14:paraId="00794E19"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16 373</w:t>
            </w:r>
          </w:p>
        </w:tc>
        <w:tc>
          <w:tcPr>
            <w:tcW w:w="1077" w:type="dxa"/>
            <w:shd w:val="clear" w:color="auto" w:fill="auto"/>
            <w:hideMark/>
          </w:tcPr>
          <w:p w14:paraId="48B5CF4D"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13 584</w:t>
            </w:r>
          </w:p>
        </w:tc>
        <w:tc>
          <w:tcPr>
            <w:tcW w:w="967" w:type="dxa"/>
            <w:shd w:val="clear" w:color="auto" w:fill="auto"/>
            <w:hideMark/>
          </w:tcPr>
          <w:p w14:paraId="01DE9BFD"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11 600</w:t>
            </w:r>
          </w:p>
        </w:tc>
        <w:tc>
          <w:tcPr>
            <w:tcW w:w="1087" w:type="dxa"/>
            <w:shd w:val="clear" w:color="auto" w:fill="auto"/>
            <w:hideMark/>
          </w:tcPr>
          <w:p w14:paraId="5412DDC6"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9 211</w:t>
            </w:r>
          </w:p>
        </w:tc>
      </w:tr>
      <w:tr w:rsidR="0053576E" w:rsidRPr="004135FE" w14:paraId="56288958" w14:textId="77777777" w:rsidTr="00680E37">
        <w:trPr>
          <w:trHeight w:val="20"/>
        </w:trPr>
        <w:tc>
          <w:tcPr>
            <w:tcW w:w="569" w:type="dxa"/>
            <w:vMerge/>
            <w:vAlign w:val="center"/>
            <w:hideMark/>
          </w:tcPr>
          <w:p w14:paraId="1E6FABEE"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484" w:type="dxa"/>
            <w:shd w:val="clear" w:color="auto" w:fill="auto"/>
            <w:hideMark/>
          </w:tcPr>
          <w:p w14:paraId="3D23925E"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7</w:t>
            </w:r>
          </w:p>
        </w:tc>
        <w:tc>
          <w:tcPr>
            <w:tcW w:w="2098" w:type="dxa"/>
            <w:shd w:val="clear" w:color="auto" w:fill="auto"/>
            <w:hideMark/>
          </w:tcPr>
          <w:p w14:paraId="18B2EFE0" w14:textId="77777777" w:rsidR="0053576E" w:rsidRPr="002038AA" w:rsidRDefault="0053576E" w:rsidP="004135FE">
            <w:pPr>
              <w:spacing w:after="0" w:line="240" w:lineRule="auto"/>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Наурызбайский</w:t>
            </w:r>
          </w:p>
        </w:tc>
        <w:tc>
          <w:tcPr>
            <w:tcW w:w="875" w:type="dxa"/>
            <w:shd w:val="clear" w:color="auto" w:fill="auto"/>
            <w:hideMark/>
          </w:tcPr>
          <w:p w14:paraId="23A9220B"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1 870</w:t>
            </w:r>
          </w:p>
        </w:tc>
        <w:tc>
          <w:tcPr>
            <w:tcW w:w="792" w:type="dxa"/>
            <w:shd w:val="clear" w:color="auto" w:fill="auto"/>
            <w:hideMark/>
          </w:tcPr>
          <w:p w14:paraId="2A8BC648"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7 353</w:t>
            </w:r>
          </w:p>
        </w:tc>
        <w:tc>
          <w:tcPr>
            <w:tcW w:w="802" w:type="dxa"/>
            <w:shd w:val="clear" w:color="auto" w:fill="auto"/>
            <w:hideMark/>
          </w:tcPr>
          <w:p w14:paraId="4F427A2B"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7 557</w:t>
            </w:r>
          </w:p>
        </w:tc>
        <w:tc>
          <w:tcPr>
            <w:tcW w:w="967" w:type="dxa"/>
            <w:shd w:val="clear" w:color="auto" w:fill="auto"/>
            <w:hideMark/>
          </w:tcPr>
          <w:p w14:paraId="44559E6F"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5 597</w:t>
            </w:r>
          </w:p>
        </w:tc>
        <w:tc>
          <w:tcPr>
            <w:tcW w:w="1077" w:type="dxa"/>
            <w:shd w:val="clear" w:color="auto" w:fill="auto"/>
            <w:hideMark/>
          </w:tcPr>
          <w:p w14:paraId="23ABE7DC"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2 430</w:t>
            </w:r>
          </w:p>
        </w:tc>
        <w:tc>
          <w:tcPr>
            <w:tcW w:w="968" w:type="dxa"/>
            <w:shd w:val="clear" w:color="auto" w:fill="auto"/>
            <w:hideMark/>
          </w:tcPr>
          <w:p w14:paraId="14EAAD1B"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1 270</w:t>
            </w:r>
          </w:p>
        </w:tc>
        <w:tc>
          <w:tcPr>
            <w:tcW w:w="968" w:type="dxa"/>
            <w:shd w:val="clear" w:color="auto" w:fill="auto"/>
            <w:hideMark/>
          </w:tcPr>
          <w:p w14:paraId="09FF918B"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10 391</w:t>
            </w:r>
          </w:p>
        </w:tc>
        <w:tc>
          <w:tcPr>
            <w:tcW w:w="1076" w:type="dxa"/>
            <w:shd w:val="clear" w:color="auto" w:fill="auto"/>
            <w:hideMark/>
          </w:tcPr>
          <w:p w14:paraId="2C7F45D5"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12 498</w:t>
            </w:r>
          </w:p>
        </w:tc>
        <w:tc>
          <w:tcPr>
            <w:tcW w:w="1077" w:type="dxa"/>
            <w:shd w:val="clear" w:color="auto" w:fill="auto"/>
            <w:hideMark/>
          </w:tcPr>
          <w:p w14:paraId="29A6C908"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8 159</w:t>
            </w:r>
          </w:p>
        </w:tc>
        <w:tc>
          <w:tcPr>
            <w:tcW w:w="1077" w:type="dxa"/>
            <w:shd w:val="clear" w:color="auto" w:fill="auto"/>
            <w:hideMark/>
          </w:tcPr>
          <w:p w14:paraId="7E7B0AC6"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6 646</w:t>
            </w:r>
          </w:p>
        </w:tc>
        <w:tc>
          <w:tcPr>
            <w:tcW w:w="967" w:type="dxa"/>
            <w:shd w:val="clear" w:color="auto" w:fill="auto"/>
            <w:hideMark/>
          </w:tcPr>
          <w:p w14:paraId="51594A16"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4 985</w:t>
            </w:r>
          </w:p>
        </w:tc>
        <w:tc>
          <w:tcPr>
            <w:tcW w:w="1087" w:type="dxa"/>
            <w:shd w:val="clear" w:color="auto" w:fill="auto"/>
            <w:hideMark/>
          </w:tcPr>
          <w:p w14:paraId="697C0714" w14:textId="77777777" w:rsidR="0053576E" w:rsidRPr="002038AA" w:rsidRDefault="0053576E" w:rsidP="004135FE">
            <w:pPr>
              <w:spacing w:after="0" w:line="240" w:lineRule="auto"/>
              <w:jc w:val="right"/>
              <w:rPr>
                <w:rFonts w:ascii="Times New Roman" w:eastAsia="Times New Roman" w:hAnsi="Times New Roman" w:cs="Times New Roman"/>
                <w:sz w:val="26"/>
                <w:szCs w:val="26"/>
              </w:rPr>
            </w:pPr>
            <w:r w:rsidRPr="002038AA">
              <w:rPr>
                <w:rFonts w:ascii="Times New Roman" w:eastAsia="Times New Roman" w:hAnsi="Times New Roman" w:cs="Times New Roman"/>
                <w:sz w:val="26"/>
                <w:szCs w:val="26"/>
              </w:rPr>
              <w:t>3 000</w:t>
            </w:r>
          </w:p>
        </w:tc>
      </w:tr>
      <w:tr w:rsidR="0053576E" w:rsidRPr="004135FE" w14:paraId="71CFE346" w14:textId="77777777" w:rsidTr="00680E37">
        <w:trPr>
          <w:trHeight w:val="130"/>
        </w:trPr>
        <w:tc>
          <w:tcPr>
            <w:tcW w:w="569" w:type="dxa"/>
            <w:vMerge/>
            <w:vAlign w:val="center"/>
            <w:hideMark/>
          </w:tcPr>
          <w:p w14:paraId="6C29D134" w14:textId="77777777" w:rsidR="0053576E" w:rsidRPr="004135FE" w:rsidRDefault="0053576E" w:rsidP="004135FE">
            <w:pPr>
              <w:spacing w:after="0" w:line="240" w:lineRule="auto"/>
              <w:rPr>
                <w:rFonts w:ascii="Times New Roman" w:eastAsia="Times New Roman" w:hAnsi="Times New Roman" w:cs="Times New Roman"/>
                <w:sz w:val="28"/>
                <w:szCs w:val="28"/>
              </w:rPr>
            </w:pPr>
          </w:p>
        </w:tc>
        <w:tc>
          <w:tcPr>
            <w:tcW w:w="484" w:type="dxa"/>
            <w:shd w:val="clear" w:color="auto" w:fill="auto"/>
            <w:hideMark/>
          </w:tcPr>
          <w:p w14:paraId="1B4BA8BC"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w:t>
            </w:r>
          </w:p>
        </w:tc>
        <w:tc>
          <w:tcPr>
            <w:tcW w:w="2098" w:type="dxa"/>
            <w:shd w:val="clear" w:color="auto" w:fill="auto"/>
            <w:hideMark/>
          </w:tcPr>
          <w:p w14:paraId="4094FD0D" w14:textId="77777777" w:rsidR="0053576E" w:rsidRPr="004135FE" w:rsidRDefault="0053576E" w:rsidP="004135FE">
            <w:pPr>
              <w:spacing w:after="0" w:line="240" w:lineRule="auto"/>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Турксибский</w:t>
            </w:r>
          </w:p>
        </w:tc>
        <w:tc>
          <w:tcPr>
            <w:tcW w:w="875" w:type="dxa"/>
            <w:shd w:val="clear" w:color="auto" w:fill="auto"/>
            <w:hideMark/>
          </w:tcPr>
          <w:p w14:paraId="2EBCC3E0"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1 979</w:t>
            </w:r>
          </w:p>
        </w:tc>
        <w:tc>
          <w:tcPr>
            <w:tcW w:w="792" w:type="dxa"/>
            <w:shd w:val="clear" w:color="auto" w:fill="auto"/>
            <w:hideMark/>
          </w:tcPr>
          <w:p w14:paraId="1AB32E4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8 758</w:t>
            </w:r>
          </w:p>
        </w:tc>
        <w:tc>
          <w:tcPr>
            <w:tcW w:w="802" w:type="dxa"/>
            <w:shd w:val="clear" w:color="auto" w:fill="auto"/>
            <w:hideMark/>
          </w:tcPr>
          <w:p w14:paraId="67036C0D"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10 673</w:t>
            </w:r>
          </w:p>
        </w:tc>
        <w:tc>
          <w:tcPr>
            <w:tcW w:w="967" w:type="dxa"/>
            <w:shd w:val="clear" w:color="auto" w:fill="auto"/>
            <w:hideMark/>
          </w:tcPr>
          <w:p w14:paraId="09551E25"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9 621</w:t>
            </w:r>
          </w:p>
        </w:tc>
        <w:tc>
          <w:tcPr>
            <w:tcW w:w="1077" w:type="dxa"/>
            <w:shd w:val="clear" w:color="auto" w:fill="auto"/>
            <w:hideMark/>
          </w:tcPr>
          <w:p w14:paraId="217228B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4 592</w:t>
            </w:r>
          </w:p>
        </w:tc>
        <w:tc>
          <w:tcPr>
            <w:tcW w:w="968" w:type="dxa"/>
            <w:shd w:val="clear" w:color="auto" w:fill="auto"/>
            <w:hideMark/>
          </w:tcPr>
          <w:p w14:paraId="3391B673"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2 623</w:t>
            </w:r>
          </w:p>
        </w:tc>
        <w:tc>
          <w:tcPr>
            <w:tcW w:w="968" w:type="dxa"/>
            <w:shd w:val="clear" w:color="auto" w:fill="auto"/>
            <w:hideMark/>
          </w:tcPr>
          <w:p w14:paraId="781120CE"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16 398</w:t>
            </w:r>
          </w:p>
        </w:tc>
        <w:tc>
          <w:tcPr>
            <w:tcW w:w="1076" w:type="dxa"/>
            <w:shd w:val="clear" w:color="auto" w:fill="auto"/>
            <w:hideMark/>
          </w:tcPr>
          <w:p w14:paraId="44248688"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23 450</w:t>
            </w:r>
          </w:p>
        </w:tc>
        <w:tc>
          <w:tcPr>
            <w:tcW w:w="1077" w:type="dxa"/>
            <w:shd w:val="clear" w:color="auto" w:fill="auto"/>
            <w:hideMark/>
          </w:tcPr>
          <w:p w14:paraId="4849E772"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18 180</w:t>
            </w:r>
          </w:p>
        </w:tc>
        <w:tc>
          <w:tcPr>
            <w:tcW w:w="1077" w:type="dxa"/>
            <w:shd w:val="clear" w:color="auto" w:fill="auto"/>
            <w:hideMark/>
          </w:tcPr>
          <w:p w14:paraId="5640EAA9"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14 630</w:t>
            </w:r>
          </w:p>
        </w:tc>
        <w:tc>
          <w:tcPr>
            <w:tcW w:w="967" w:type="dxa"/>
            <w:shd w:val="clear" w:color="auto" w:fill="auto"/>
            <w:hideMark/>
          </w:tcPr>
          <w:p w14:paraId="137744F7"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13 367</w:t>
            </w:r>
          </w:p>
        </w:tc>
        <w:tc>
          <w:tcPr>
            <w:tcW w:w="1087" w:type="dxa"/>
            <w:shd w:val="clear" w:color="auto" w:fill="auto"/>
            <w:hideMark/>
          </w:tcPr>
          <w:p w14:paraId="619D7CF6" w14:textId="77777777" w:rsidR="0053576E" w:rsidRPr="004135FE" w:rsidRDefault="0053576E" w:rsidP="004135FE">
            <w:pPr>
              <w:spacing w:after="0" w:line="240" w:lineRule="auto"/>
              <w:jc w:val="right"/>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9 762</w:t>
            </w:r>
          </w:p>
        </w:tc>
      </w:tr>
    </w:tbl>
    <w:p w14:paraId="092AD0DD" w14:textId="0B8A3611" w:rsidR="005B6AF9" w:rsidRPr="004135FE" w:rsidRDefault="005B6AF9" w:rsidP="004135FE">
      <w:pPr>
        <w:spacing w:after="0" w:line="240" w:lineRule="auto"/>
        <w:jc w:val="both"/>
        <w:rPr>
          <w:rFonts w:ascii="Times New Roman" w:hAnsi="Times New Roman" w:cs="Times New Roman"/>
          <w:sz w:val="28"/>
          <w:szCs w:val="28"/>
          <w:lang w:val="en-US"/>
        </w:rPr>
        <w:sectPr w:rsidR="005B6AF9" w:rsidRPr="004135FE" w:rsidSect="00EC71C2">
          <w:type w:val="nextColumn"/>
          <w:pgSz w:w="16838" w:h="11906" w:orient="landscape"/>
          <w:pgMar w:top="1134" w:right="851" w:bottom="1134" w:left="1701" w:header="283" w:footer="283" w:gutter="0"/>
          <w:cols w:space="708"/>
          <w:docGrid w:linePitch="360"/>
        </w:sectPr>
      </w:pPr>
    </w:p>
    <w:p w14:paraId="0462810C" w14:textId="5FAF8B56" w:rsidR="005B6AF9" w:rsidRDefault="005B6AF9" w:rsidP="00680E37">
      <w:pPr>
        <w:spacing w:after="0" w:line="240" w:lineRule="auto"/>
        <w:jc w:val="center"/>
        <w:rPr>
          <w:rFonts w:ascii="Times New Roman" w:hAnsi="Times New Roman" w:cs="Times New Roman"/>
          <w:b/>
          <w:sz w:val="28"/>
          <w:szCs w:val="28"/>
        </w:rPr>
      </w:pPr>
      <w:r w:rsidRPr="004135FE">
        <w:rPr>
          <w:rFonts w:ascii="Times New Roman" w:hAnsi="Times New Roman" w:cs="Times New Roman"/>
          <w:b/>
          <w:sz w:val="28"/>
          <w:szCs w:val="28"/>
        </w:rPr>
        <w:t>ПРИЛОЖЕНИЕ Б</w:t>
      </w:r>
    </w:p>
    <w:p w14:paraId="6C815900" w14:textId="77777777" w:rsidR="00680E37" w:rsidRPr="004135FE" w:rsidRDefault="00680E37" w:rsidP="00680E37">
      <w:pPr>
        <w:spacing w:after="0" w:line="240" w:lineRule="auto"/>
        <w:jc w:val="center"/>
        <w:rPr>
          <w:rFonts w:ascii="Times New Roman" w:hAnsi="Times New Roman" w:cs="Times New Roman"/>
          <w:b/>
          <w:sz w:val="28"/>
          <w:szCs w:val="28"/>
        </w:rPr>
      </w:pPr>
    </w:p>
    <w:p w14:paraId="30ED41E3" w14:textId="0B9BC588" w:rsidR="008D5DB3" w:rsidRDefault="00680E37" w:rsidP="00680E37">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А</w:t>
      </w:r>
      <w:r w:rsidRPr="00680E37">
        <w:rPr>
          <w:rFonts w:ascii="Times New Roman" w:hAnsi="Times New Roman" w:cs="Times New Roman"/>
          <w:bCs/>
          <w:sz w:val="28"/>
          <w:szCs w:val="28"/>
        </w:rPr>
        <w:t>нкета</w:t>
      </w:r>
      <w:r w:rsidRPr="00680E37">
        <w:rPr>
          <w:rFonts w:ascii="Times New Roman" w:hAnsi="Times New Roman" w:cs="Times New Roman"/>
          <w:bCs/>
          <w:sz w:val="28"/>
          <w:szCs w:val="28"/>
          <w:lang w:val="kk-KZ"/>
        </w:rPr>
        <w:t xml:space="preserve"> для врачей эндокринологов оказывающих помощь пациентам с сахарным диабетом 2 типа в поликлиниках г</w:t>
      </w:r>
      <w:r w:rsidRPr="00680E37">
        <w:rPr>
          <w:rFonts w:ascii="Times New Roman" w:hAnsi="Times New Roman" w:cs="Times New Roman"/>
          <w:bCs/>
          <w:sz w:val="28"/>
          <w:szCs w:val="28"/>
        </w:rPr>
        <w:t>.</w:t>
      </w:r>
      <w:r>
        <w:rPr>
          <w:rFonts w:ascii="Times New Roman" w:hAnsi="Times New Roman" w:cs="Times New Roman"/>
          <w:bCs/>
          <w:sz w:val="28"/>
          <w:szCs w:val="28"/>
        </w:rPr>
        <w:t>А</w:t>
      </w:r>
      <w:r w:rsidRPr="00680E37">
        <w:rPr>
          <w:rFonts w:ascii="Times New Roman" w:hAnsi="Times New Roman" w:cs="Times New Roman"/>
          <w:bCs/>
          <w:sz w:val="28"/>
          <w:szCs w:val="28"/>
        </w:rPr>
        <w:t>лматы</w:t>
      </w:r>
    </w:p>
    <w:p w14:paraId="0A116C11" w14:textId="77777777" w:rsidR="00680E37" w:rsidRPr="00680E37" w:rsidRDefault="00680E37" w:rsidP="00680E37">
      <w:pPr>
        <w:spacing w:after="0" w:line="240" w:lineRule="auto"/>
        <w:jc w:val="center"/>
        <w:rPr>
          <w:rFonts w:ascii="Times New Roman" w:hAnsi="Times New Roman" w:cs="Times New Roman"/>
          <w:bCs/>
          <w:sz w:val="28"/>
          <w:szCs w:val="28"/>
        </w:rPr>
      </w:pPr>
    </w:p>
    <w:p w14:paraId="19055E3C" w14:textId="77777777" w:rsidR="008D5DB3" w:rsidRPr="004135FE" w:rsidRDefault="008D5DB3" w:rsidP="00680E37">
      <w:pPr>
        <w:tabs>
          <w:tab w:val="left" w:pos="284"/>
        </w:tabs>
        <w:spacing w:after="0" w:line="240" w:lineRule="auto"/>
        <w:jc w:val="center"/>
        <w:rPr>
          <w:rFonts w:ascii="Times New Roman" w:hAnsi="Times New Roman" w:cs="Times New Roman"/>
          <w:b/>
          <w:sz w:val="28"/>
          <w:szCs w:val="28"/>
        </w:rPr>
      </w:pPr>
      <w:r w:rsidRPr="004135FE">
        <w:rPr>
          <w:rFonts w:ascii="Times New Roman" w:hAnsi="Times New Roman" w:cs="Times New Roman"/>
          <w:b/>
          <w:sz w:val="28"/>
          <w:szCs w:val="28"/>
        </w:rPr>
        <w:t>Уважаемый участник социологического опроса!</w:t>
      </w:r>
    </w:p>
    <w:p w14:paraId="0C4F0EE6" w14:textId="691A27BC" w:rsidR="00FF5B68" w:rsidRPr="004135FE" w:rsidRDefault="008D5DB3" w:rsidP="004135FE">
      <w:pPr>
        <w:tabs>
          <w:tab w:val="left" w:pos="284"/>
        </w:tabs>
        <w:spacing w:after="0" w:line="240" w:lineRule="auto"/>
        <w:jc w:val="both"/>
        <w:rPr>
          <w:rFonts w:ascii="Times New Roman" w:eastAsia="Times New Roman" w:hAnsi="Times New Roman" w:cs="Times New Roman"/>
          <w:sz w:val="28"/>
          <w:szCs w:val="28"/>
        </w:rPr>
      </w:pPr>
      <w:r w:rsidRPr="004135FE">
        <w:rPr>
          <w:rStyle w:val="A00"/>
          <w:rFonts w:ascii="Times New Roman" w:hAnsi="Times New Roman" w:cs="Times New Roman"/>
          <w:color w:val="auto"/>
          <w:sz w:val="28"/>
          <w:szCs w:val="28"/>
        </w:rPr>
        <w:tab/>
      </w:r>
      <w:r w:rsidRPr="004135FE">
        <w:rPr>
          <w:rStyle w:val="A00"/>
          <w:rFonts w:ascii="Times New Roman" w:hAnsi="Times New Roman" w:cs="Times New Roman"/>
          <w:color w:val="auto"/>
          <w:sz w:val="28"/>
          <w:szCs w:val="28"/>
        </w:rPr>
        <w:tab/>
        <w:t xml:space="preserve">Казахстанский Медицинский </w:t>
      </w:r>
      <w:r w:rsidRPr="004135FE">
        <w:rPr>
          <w:rStyle w:val="A00"/>
          <w:rFonts w:ascii="Times New Roman" w:hAnsi="Times New Roman" w:cs="Times New Roman"/>
          <w:color w:val="auto"/>
          <w:sz w:val="28"/>
          <w:szCs w:val="28"/>
          <w:lang w:val="kk-KZ"/>
        </w:rPr>
        <w:t>У</w:t>
      </w:r>
      <w:r w:rsidRPr="004135FE">
        <w:rPr>
          <w:rStyle w:val="A00"/>
          <w:rFonts w:ascii="Times New Roman" w:hAnsi="Times New Roman" w:cs="Times New Roman"/>
          <w:color w:val="auto"/>
          <w:sz w:val="28"/>
          <w:szCs w:val="28"/>
        </w:rPr>
        <w:t xml:space="preserve">ниверситет «Высшая Школа Общественного Здравоохранения» проводит </w:t>
      </w:r>
      <w:r w:rsidRPr="004135FE">
        <w:rPr>
          <w:rStyle w:val="A00"/>
          <w:rFonts w:ascii="Times New Roman" w:hAnsi="Times New Roman" w:cs="Times New Roman"/>
          <w:b/>
          <w:color w:val="auto"/>
          <w:sz w:val="28"/>
          <w:szCs w:val="28"/>
        </w:rPr>
        <w:t xml:space="preserve">социологический опрос </w:t>
      </w:r>
      <w:r w:rsidRPr="004135FE">
        <w:rPr>
          <w:rStyle w:val="A00"/>
          <w:rFonts w:ascii="Times New Roman" w:hAnsi="Times New Roman" w:cs="Times New Roman"/>
          <w:b/>
          <w:color w:val="auto"/>
          <w:sz w:val="28"/>
          <w:szCs w:val="28"/>
          <w:lang w:val="kk-KZ"/>
        </w:rPr>
        <w:t>среди</w:t>
      </w:r>
      <w:r w:rsidRPr="004135FE">
        <w:rPr>
          <w:rFonts w:ascii="Times New Roman" w:hAnsi="Times New Roman" w:cs="Times New Roman"/>
          <w:b/>
          <w:sz w:val="28"/>
          <w:szCs w:val="28"/>
          <w:lang w:val="kk-KZ"/>
        </w:rPr>
        <w:t xml:space="preserve"> врачей эндокринологов </w:t>
      </w:r>
      <w:r w:rsidR="00232F52" w:rsidRPr="004135FE">
        <w:rPr>
          <w:rFonts w:ascii="Times New Roman" w:hAnsi="Times New Roman" w:cs="Times New Roman"/>
          <w:sz w:val="28"/>
          <w:szCs w:val="28"/>
        </w:rPr>
        <w:t>для определения</w:t>
      </w:r>
      <w:r w:rsidR="00232F52" w:rsidRPr="004135FE">
        <w:rPr>
          <w:rFonts w:ascii="Times New Roman" w:hAnsi="Times New Roman" w:cs="Times New Roman"/>
          <w:sz w:val="28"/>
          <w:szCs w:val="28"/>
          <w:lang w:val="kk-KZ"/>
        </w:rPr>
        <w:t xml:space="preserve"> потребностей по совершенствованию оказания медицинской помощи</w:t>
      </w:r>
      <w:r w:rsidR="00232F52" w:rsidRPr="004135FE">
        <w:rPr>
          <w:rFonts w:ascii="Times New Roman" w:eastAsia="Times New Roman" w:hAnsi="Times New Roman" w:cs="Times New Roman"/>
          <w:sz w:val="28"/>
          <w:szCs w:val="28"/>
          <w:lang w:val="kk-KZ"/>
        </w:rPr>
        <w:t xml:space="preserve"> и </w:t>
      </w:r>
      <w:r w:rsidR="00232F52" w:rsidRPr="004135FE">
        <w:rPr>
          <w:rFonts w:ascii="Times New Roman" w:eastAsia="Times New Roman" w:hAnsi="Times New Roman" w:cs="Times New Roman"/>
          <w:sz w:val="28"/>
          <w:szCs w:val="28"/>
        </w:rPr>
        <w:t>межсекторального сотрудничества</w:t>
      </w:r>
      <w:r w:rsidR="00232F52" w:rsidRPr="004135FE">
        <w:rPr>
          <w:rFonts w:ascii="Times New Roman" w:hAnsi="Times New Roman" w:cs="Times New Roman"/>
          <w:sz w:val="28"/>
          <w:szCs w:val="28"/>
          <w:lang w:val="kk-KZ"/>
        </w:rPr>
        <w:t xml:space="preserve"> при </w:t>
      </w:r>
      <w:r w:rsidR="00232F52" w:rsidRPr="0093416F">
        <w:rPr>
          <w:rFonts w:ascii="Times New Roman" w:hAnsi="Times New Roman" w:cs="Times New Roman"/>
          <w:sz w:val="28"/>
          <w:szCs w:val="28"/>
        </w:rPr>
        <w:t>СД2т</w:t>
      </w:r>
      <w:r w:rsidRPr="0093416F">
        <w:rPr>
          <w:rFonts w:ascii="Times New Roman" w:hAnsi="Times New Roman" w:cs="Times New Roman"/>
          <w:sz w:val="28"/>
          <w:szCs w:val="28"/>
          <w:lang w:val="kk-KZ"/>
        </w:rPr>
        <w:t>.</w:t>
      </w:r>
      <w:r w:rsidRPr="004135FE">
        <w:rPr>
          <w:rFonts w:ascii="Times New Roman" w:hAnsi="Times New Roman" w:cs="Times New Roman"/>
          <w:b/>
          <w:sz w:val="28"/>
          <w:szCs w:val="28"/>
          <w:lang w:val="kk-KZ"/>
        </w:rPr>
        <w:t xml:space="preserve"> </w:t>
      </w:r>
      <w:r w:rsidR="009D6CE8" w:rsidRPr="004135FE">
        <w:rPr>
          <w:rFonts w:ascii="Times New Roman" w:hAnsi="Times New Roman" w:cs="Times New Roman"/>
          <w:sz w:val="28"/>
          <w:szCs w:val="28"/>
          <w:lang w:val="kk-KZ"/>
        </w:rPr>
        <w:t xml:space="preserve">В результате совместно проведенной работы будут </w:t>
      </w:r>
      <w:r w:rsidR="009D6CE8" w:rsidRPr="004135FE">
        <w:rPr>
          <w:rFonts w:ascii="Times New Roman" w:hAnsi="Times New Roman" w:cs="Times New Roman"/>
          <w:sz w:val="28"/>
          <w:szCs w:val="28"/>
        </w:rPr>
        <w:t xml:space="preserve">разработаны предложения </w:t>
      </w:r>
      <w:r w:rsidR="009D6CE8" w:rsidRPr="004135FE">
        <w:rPr>
          <w:rFonts w:ascii="Times New Roman" w:eastAsia="Times New Roman" w:hAnsi="Times New Roman" w:cs="Times New Roman"/>
          <w:sz w:val="28"/>
          <w:szCs w:val="28"/>
        </w:rPr>
        <w:t>к совершенствованию оказания медицинской помощи</w:t>
      </w:r>
      <w:r w:rsidR="009D6CE8" w:rsidRPr="004135FE">
        <w:rPr>
          <w:rFonts w:ascii="Times New Roman" w:eastAsia="Times New Roman" w:hAnsi="Times New Roman" w:cs="Times New Roman"/>
          <w:b/>
          <w:bCs/>
          <w:sz w:val="28"/>
          <w:szCs w:val="28"/>
        </w:rPr>
        <w:t xml:space="preserve"> </w:t>
      </w:r>
      <w:r w:rsidR="009D6CE8" w:rsidRPr="004135FE">
        <w:rPr>
          <w:rFonts w:ascii="Times New Roman" w:eastAsia="Times New Roman" w:hAnsi="Times New Roman" w:cs="Times New Roman"/>
          <w:sz w:val="28"/>
          <w:szCs w:val="28"/>
        </w:rPr>
        <w:t>и межсекторального сотрудничества при СД2т.</w:t>
      </w:r>
    </w:p>
    <w:p w14:paraId="69A47589" w14:textId="5D6F2799" w:rsidR="008D5DB3" w:rsidRPr="004135FE" w:rsidRDefault="008D5DB3" w:rsidP="004135FE">
      <w:pPr>
        <w:tabs>
          <w:tab w:val="left" w:pos="284"/>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rPr>
        <w:tab/>
      </w:r>
      <w:r w:rsidRPr="004135FE">
        <w:rPr>
          <w:rFonts w:ascii="Times New Roman" w:hAnsi="Times New Roman" w:cs="Times New Roman"/>
          <w:sz w:val="28"/>
          <w:szCs w:val="28"/>
        </w:rPr>
        <w:tab/>
        <w:t xml:space="preserve">Пожалуйста, внимательно ознакомьтесь с вопросами. Выберите и выделите </w:t>
      </w:r>
      <w:r w:rsidRPr="004135FE">
        <w:rPr>
          <w:rFonts w:ascii="Times New Roman" w:hAnsi="Times New Roman" w:cs="Times New Roman"/>
          <w:sz w:val="28"/>
          <w:szCs w:val="28"/>
          <w:lang w:val="kk-KZ"/>
        </w:rPr>
        <w:t xml:space="preserve">вариант ответа, который Вы считаете наиболее верным. </w:t>
      </w:r>
      <w:r w:rsidRPr="004135FE">
        <w:rPr>
          <w:rStyle w:val="A00"/>
          <w:rFonts w:ascii="Times New Roman" w:hAnsi="Times New Roman" w:cs="Times New Roman"/>
          <w:color w:val="auto"/>
          <w:sz w:val="28"/>
          <w:szCs w:val="28"/>
        </w:rPr>
        <w:t xml:space="preserve"> Мы </w:t>
      </w:r>
      <w:r w:rsidRPr="004135FE">
        <w:rPr>
          <w:rStyle w:val="A00"/>
          <w:rFonts w:ascii="Times New Roman" w:hAnsi="Times New Roman" w:cs="Times New Roman"/>
          <w:color w:val="auto"/>
          <w:sz w:val="28"/>
          <w:szCs w:val="28"/>
          <w:lang w:val="kk-KZ"/>
        </w:rPr>
        <w:t>приглашаем</w:t>
      </w:r>
      <w:r w:rsidRPr="004135FE">
        <w:rPr>
          <w:rStyle w:val="A00"/>
          <w:rFonts w:ascii="Times New Roman" w:hAnsi="Times New Roman" w:cs="Times New Roman"/>
          <w:color w:val="auto"/>
          <w:sz w:val="28"/>
          <w:szCs w:val="28"/>
        </w:rPr>
        <w:t xml:space="preserve"> Вас к участию в данном опросе</w:t>
      </w:r>
      <w:r w:rsidRPr="004135FE">
        <w:rPr>
          <w:rStyle w:val="A00"/>
          <w:rFonts w:ascii="Times New Roman" w:hAnsi="Times New Roman" w:cs="Times New Roman"/>
          <w:color w:val="auto"/>
          <w:sz w:val="28"/>
          <w:szCs w:val="28"/>
          <w:lang w:val="kk-KZ"/>
        </w:rPr>
        <w:t xml:space="preserve">, </w:t>
      </w:r>
      <w:r w:rsidRPr="004135FE">
        <w:rPr>
          <w:rFonts w:ascii="Times New Roman" w:hAnsi="Times New Roman" w:cs="Times New Roman"/>
          <w:sz w:val="28"/>
          <w:szCs w:val="28"/>
        </w:rPr>
        <w:t>Ваше мнение очень значимое</w:t>
      </w:r>
      <w:r w:rsidRPr="004135FE">
        <w:rPr>
          <w:rFonts w:ascii="Times New Roman" w:hAnsi="Times New Roman" w:cs="Times New Roman"/>
          <w:sz w:val="28"/>
          <w:szCs w:val="28"/>
          <w:lang w:val="kk-KZ"/>
        </w:rPr>
        <w:t xml:space="preserve">. </w:t>
      </w:r>
    </w:p>
    <w:p w14:paraId="653E0586" w14:textId="77777777" w:rsidR="008D5DB3" w:rsidRPr="004135FE" w:rsidRDefault="008D5DB3" w:rsidP="004135FE">
      <w:pPr>
        <w:tabs>
          <w:tab w:val="left" w:pos="284"/>
        </w:tabs>
        <w:spacing w:after="0" w:line="240" w:lineRule="auto"/>
        <w:jc w:val="both"/>
        <w:rPr>
          <w:rStyle w:val="A00"/>
          <w:rFonts w:ascii="Times New Roman" w:eastAsia="Arial Unicode MS" w:hAnsi="Times New Roman" w:cs="Times New Roman"/>
          <w:color w:val="auto"/>
          <w:sz w:val="28"/>
          <w:szCs w:val="28"/>
        </w:rPr>
      </w:pPr>
      <w:r w:rsidRPr="004135FE">
        <w:rPr>
          <w:rFonts w:ascii="Times New Roman" w:hAnsi="Times New Roman" w:cs="Times New Roman"/>
          <w:sz w:val="28"/>
          <w:szCs w:val="28"/>
        </w:rPr>
        <w:tab/>
      </w:r>
      <w:r w:rsidRPr="004135FE">
        <w:rPr>
          <w:rFonts w:ascii="Times New Roman" w:hAnsi="Times New Roman" w:cs="Times New Roman"/>
          <w:sz w:val="28"/>
          <w:szCs w:val="28"/>
        </w:rPr>
        <w:tab/>
        <w:t xml:space="preserve">Для заполнения данной анкеты Вам потребуется </w:t>
      </w:r>
      <w:r w:rsidRPr="004135FE">
        <w:rPr>
          <w:rFonts w:ascii="Times New Roman" w:hAnsi="Times New Roman" w:cs="Times New Roman"/>
          <w:sz w:val="28"/>
          <w:szCs w:val="28"/>
          <w:lang w:val="kk-KZ"/>
        </w:rPr>
        <w:t>15-20</w:t>
      </w:r>
      <w:r w:rsidRPr="004135FE">
        <w:rPr>
          <w:rFonts w:ascii="Times New Roman" w:hAnsi="Times New Roman" w:cs="Times New Roman"/>
          <w:sz w:val="28"/>
          <w:szCs w:val="28"/>
        </w:rPr>
        <w:t xml:space="preserve"> минут</w:t>
      </w:r>
      <w:r w:rsidRPr="004135FE">
        <w:rPr>
          <w:rStyle w:val="A00"/>
          <w:rFonts w:ascii="Times New Roman" w:eastAsia="Arial Unicode MS" w:hAnsi="Times New Roman" w:cs="Times New Roman"/>
          <w:color w:val="auto"/>
          <w:sz w:val="28"/>
          <w:szCs w:val="28"/>
        </w:rPr>
        <w:t xml:space="preserve"> </w:t>
      </w:r>
    </w:p>
    <w:p w14:paraId="1766D015" w14:textId="77777777" w:rsidR="008D5DB3" w:rsidRPr="004135FE" w:rsidRDefault="008D5DB3" w:rsidP="004135FE">
      <w:pPr>
        <w:tabs>
          <w:tab w:val="left" w:pos="284"/>
        </w:tabs>
        <w:spacing w:after="0" w:line="240" w:lineRule="auto"/>
        <w:jc w:val="both"/>
        <w:rPr>
          <w:rStyle w:val="A00"/>
          <w:rFonts w:ascii="Times New Roman" w:eastAsia="Arial Unicode MS" w:hAnsi="Times New Roman" w:cs="Times New Roman"/>
          <w:color w:val="auto"/>
          <w:sz w:val="28"/>
          <w:szCs w:val="28"/>
        </w:rPr>
      </w:pPr>
      <w:r w:rsidRPr="004135FE">
        <w:rPr>
          <w:rStyle w:val="A00"/>
          <w:rFonts w:ascii="Times New Roman" w:eastAsia="Arial Unicode MS" w:hAnsi="Times New Roman" w:cs="Times New Roman"/>
          <w:color w:val="auto"/>
          <w:sz w:val="28"/>
          <w:szCs w:val="28"/>
        </w:rPr>
        <w:tab/>
      </w:r>
      <w:r w:rsidRPr="004135FE">
        <w:rPr>
          <w:rStyle w:val="A00"/>
          <w:rFonts w:ascii="Times New Roman" w:eastAsia="Arial Unicode MS" w:hAnsi="Times New Roman" w:cs="Times New Roman"/>
          <w:color w:val="auto"/>
          <w:sz w:val="28"/>
          <w:szCs w:val="28"/>
        </w:rPr>
        <w:tab/>
        <w:t>Конфиденциальность сведений гарантируется!</w:t>
      </w:r>
    </w:p>
    <w:p w14:paraId="40EA8723" w14:textId="44F46E1E" w:rsidR="008D5DB3" w:rsidRPr="004135FE" w:rsidRDefault="008D5DB3" w:rsidP="004135FE">
      <w:pPr>
        <w:tabs>
          <w:tab w:val="left" w:pos="284"/>
        </w:tabs>
        <w:spacing w:after="0" w:line="240" w:lineRule="auto"/>
        <w:jc w:val="both"/>
        <w:rPr>
          <w:rStyle w:val="A00"/>
          <w:rFonts w:ascii="Times New Roman" w:eastAsia="Arial Unicode MS" w:hAnsi="Times New Roman" w:cs="Times New Roman"/>
          <w:color w:val="auto"/>
          <w:sz w:val="28"/>
          <w:szCs w:val="28"/>
        </w:rPr>
      </w:pPr>
      <w:r w:rsidRPr="004135FE">
        <w:rPr>
          <w:rStyle w:val="A00"/>
          <w:rFonts w:ascii="Times New Roman" w:eastAsia="Arial Unicode MS" w:hAnsi="Times New Roman" w:cs="Times New Roman"/>
          <w:color w:val="auto"/>
          <w:sz w:val="28"/>
          <w:szCs w:val="28"/>
        </w:rPr>
        <w:tab/>
      </w:r>
      <w:r w:rsidRPr="004135FE">
        <w:rPr>
          <w:rStyle w:val="A00"/>
          <w:rFonts w:ascii="Times New Roman" w:eastAsia="Arial Unicode MS" w:hAnsi="Times New Roman" w:cs="Times New Roman"/>
          <w:color w:val="auto"/>
          <w:sz w:val="28"/>
          <w:szCs w:val="28"/>
        </w:rPr>
        <w:tab/>
        <w:t>Для получения дополнительной информации Вы можете связаться с главным исследователем Жузеновой Макпал Адиловной</w:t>
      </w:r>
      <w:r w:rsidR="009141C1" w:rsidRPr="004135FE">
        <w:rPr>
          <w:rStyle w:val="A00"/>
          <w:rFonts w:ascii="Times New Roman" w:eastAsia="Arial Unicode MS" w:hAnsi="Times New Roman" w:cs="Times New Roman"/>
          <w:color w:val="auto"/>
          <w:sz w:val="28"/>
          <w:szCs w:val="28"/>
        </w:rPr>
        <w:t xml:space="preserve">. </w:t>
      </w:r>
      <w:r w:rsidRPr="004135FE">
        <w:rPr>
          <w:rStyle w:val="A00"/>
          <w:rFonts w:ascii="Times New Roman" w:eastAsia="Arial Unicode MS" w:hAnsi="Times New Roman" w:cs="Times New Roman"/>
          <w:color w:val="auto"/>
          <w:sz w:val="28"/>
          <w:szCs w:val="28"/>
        </w:rPr>
        <w:t>Тел.: 8</w:t>
      </w:r>
      <w:r w:rsidRPr="004135FE">
        <w:rPr>
          <w:rStyle w:val="A00"/>
          <w:rFonts w:ascii="Times New Roman" w:eastAsia="Arial Unicode MS" w:hAnsi="Times New Roman" w:cs="Times New Roman"/>
          <w:color w:val="auto"/>
          <w:sz w:val="28"/>
          <w:szCs w:val="28"/>
          <w:lang w:val="en-US"/>
        </w:rPr>
        <w:t> </w:t>
      </w:r>
      <w:r w:rsidRPr="004135FE">
        <w:rPr>
          <w:rStyle w:val="A00"/>
          <w:rFonts w:ascii="Times New Roman" w:eastAsia="Arial Unicode MS" w:hAnsi="Times New Roman" w:cs="Times New Roman"/>
          <w:color w:val="auto"/>
          <w:sz w:val="28"/>
          <w:szCs w:val="28"/>
        </w:rPr>
        <w:t>701</w:t>
      </w:r>
      <w:r w:rsidRPr="004135FE">
        <w:rPr>
          <w:rStyle w:val="A00"/>
          <w:rFonts w:ascii="Times New Roman" w:eastAsia="Arial Unicode MS" w:hAnsi="Times New Roman" w:cs="Times New Roman"/>
          <w:color w:val="auto"/>
          <w:sz w:val="28"/>
          <w:szCs w:val="28"/>
          <w:lang w:val="en-US"/>
        </w:rPr>
        <w:t> </w:t>
      </w:r>
      <w:r w:rsidRPr="004135FE">
        <w:rPr>
          <w:rStyle w:val="A00"/>
          <w:rFonts w:ascii="Times New Roman" w:eastAsia="Arial Unicode MS" w:hAnsi="Times New Roman" w:cs="Times New Roman"/>
          <w:color w:val="auto"/>
          <w:sz w:val="28"/>
          <w:szCs w:val="28"/>
        </w:rPr>
        <w:t xml:space="preserve">222 64 10             </w:t>
      </w:r>
      <w:r w:rsidRPr="004135FE">
        <w:rPr>
          <w:rStyle w:val="A00"/>
          <w:rFonts w:ascii="Times New Roman" w:eastAsia="Arial Unicode MS" w:hAnsi="Times New Roman" w:cs="Times New Roman"/>
          <w:color w:val="auto"/>
          <w:sz w:val="28"/>
          <w:szCs w:val="28"/>
          <w:lang w:val="en-US"/>
        </w:rPr>
        <w:t>E</w:t>
      </w:r>
      <w:r w:rsidRPr="004135FE">
        <w:rPr>
          <w:rStyle w:val="A00"/>
          <w:rFonts w:ascii="Times New Roman" w:eastAsia="Arial Unicode MS" w:hAnsi="Times New Roman" w:cs="Times New Roman"/>
          <w:color w:val="auto"/>
          <w:sz w:val="28"/>
          <w:szCs w:val="28"/>
        </w:rPr>
        <w:t>-</w:t>
      </w:r>
      <w:r w:rsidRPr="004135FE">
        <w:rPr>
          <w:rStyle w:val="A00"/>
          <w:rFonts w:ascii="Times New Roman" w:eastAsia="Arial Unicode MS" w:hAnsi="Times New Roman" w:cs="Times New Roman"/>
          <w:color w:val="auto"/>
          <w:sz w:val="28"/>
          <w:szCs w:val="28"/>
          <w:lang w:val="en-US"/>
        </w:rPr>
        <w:t>mail</w:t>
      </w:r>
      <w:r w:rsidRPr="004135FE">
        <w:rPr>
          <w:rStyle w:val="A00"/>
          <w:rFonts w:ascii="Times New Roman" w:eastAsia="Arial Unicode MS" w:hAnsi="Times New Roman" w:cs="Times New Roman"/>
          <w:color w:val="auto"/>
          <w:sz w:val="28"/>
          <w:szCs w:val="28"/>
        </w:rPr>
        <w:t xml:space="preserve">: </w:t>
      </w:r>
      <w:r w:rsidRPr="004135FE">
        <w:rPr>
          <w:rStyle w:val="A00"/>
          <w:rFonts w:ascii="Times New Roman" w:eastAsia="Arial Unicode MS" w:hAnsi="Times New Roman" w:cs="Times New Roman"/>
          <w:color w:val="auto"/>
          <w:sz w:val="28"/>
          <w:szCs w:val="28"/>
          <w:lang w:val="en-US"/>
        </w:rPr>
        <w:t>zhuzenovam</w:t>
      </w:r>
      <w:r w:rsidRPr="004135FE">
        <w:rPr>
          <w:rStyle w:val="A00"/>
          <w:rFonts w:ascii="Times New Roman" w:eastAsia="Arial Unicode MS" w:hAnsi="Times New Roman" w:cs="Times New Roman"/>
          <w:color w:val="auto"/>
          <w:sz w:val="28"/>
          <w:szCs w:val="28"/>
        </w:rPr>
        <w:t>@</w:t>
      </w:r>
      <w:r w:rsidRPr="004135FE">
        <w:rPr>
          <w:rStyle w:val="A00"/>
          <w:rFonts w:ascii="Times New Roman" w:eastAsia="Arial Unicode MS" w:hAnsi="Times New Roman" w:cs="Times New Roman"/>
          <w:color w:val="auto"/>
          <w:sz w:val="28"/>
          <w:szCs w:val="28"/>
          <w:lang w:val="en-US"/>
        </w:rPr>
        <w:t>gmail</w:t>
      </w:r>
      <w:r w:rsidRPr="004135FE">
        <w:rPr>
          <w:rStyle w:val="A00"/>
          <w:rFonts w:ascii="Times New Roman" w:eastAsia="Arial Unicode MS" w:hAnsi="Times New Roman" w:cs="Times New Roman"/>
          <w:color w:val="auto"/>
          <w:sz w:val="28"/>
          <w:szCs w:val="28"/>
        </w:rPr>
        <w:t>.</w:t>
      </w:r>
      <w:r w:rsidRPr="004135FE">
        <w:rPr>
          <w:rStyle w:val="A00"/>
          <w:rFonts w:ascii="Times New Roman" w:eastAsia="Arial Unicode MS" w:hAnsi="Times New Roman" w:cs="Times New Roman"/>
          <w:color w:val="auto"/>
          <w:sz w:val="28"/>
          <w:szCs w:val="28"/>
          <w:lang w:val="en-US"/>
        </w:rPr>
        <w:t>com</w:t>
      </w:r>
    </w:p>
    <w:p w14:paraId="004F1E03" w14:textId="77777777" w:rsidR="008D5DB3" w:rsidRPr="004135FE" w:rsidRDefault="008D5DB3" w:rsidP="004135FE">
      <w:pPr>
        <w:tabs>
          <w:tab w:val="left" w:pos="284"/>
        </w:tabs>
        <w:spacing w:after="0" w:line="240" w:lineRule="auto"/>
        <w:jc w:val="both"/>
        <w:rPr>
          <w:rFonts w:ascii="Times New Roman" w:hAnsi="Times New Roman" w:cs="Times New Roman"/>
          <w:caps/>
          <w:sz w:val="28"/>
          <w:szCs w:val="28"/>
        </w:rPr>
      </w:pPr>
    </w:p>
    <w:p w14:paraId="763F19D3" w14:textId="77777777" w:rsidR="008D5DB3" w:rsidRPr="004135FE" w:rsidRDefault="008D5DB3" w:rsidP="004135FE">
      <w:pPr>
        <w:tabs>
          <w:tab w:val="left" w:pos="284"/>
        </w:tabs>
        <w:spacing w:after="0" w:line="240" w:lineRule="auto"/>
        <w:jc w:val="both"/>
        <w:rPr>
          <w:rFonts w:ascii="Times New Roman" w:hAnsi="Times New Roman" w:cs="Times New Roman"/>
          <w:caps/>
          <w:sz w:val="28"/>
          <w:szCs w:val="28"/>
        </w:rPr>
      </w:pPr>
      <w:r w:rsidRPr="004135FE">
        <w:rPr>
          <w:rFonts w:ascii="Times New Roman" w:hAnsi="Times New Roman" w:cs="Times New Roman"/>
          <w:caps/>
          <w:sz w:val="28"/>
          <w:szCs w:val="28"/>
        </w:rPr>
        <w:t>1-раздел. данные врача</w:t>
      </w:r>
      <w:r w:rsidRPr="004135FE">
        <w:rPr>
          <w:rFonts w:ascii="Times New Roman" w:hAnsi="Times New Roman" w:cs="Times New Roman"/>
          <w:b/>
          <w:sz w:val="28"/>
          <w:szCs w:val="28"/>
          <w:lang w:val="kk-KZ"/>
        </w:rPr>
        <w:t xml:space="preserve">            </w:t>
      </w:r>
    </w:p>
    <w:p w14:paraId="2D7ABCD5"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1. Пол:</w:t>
      </w:r>
      <w:r w:rsidRPr="004135FE">
        <w:rPr>
          <w:rFonts w:ascii="Times New Roman" w:hAnsi="Times New Roman" w:cs="Times New Roman"/>
          <w:sz w:val="28"/>
          <w:szCs w:val="28"/>
        </w:rPr>
        <w:tab/>
      </w:r>
      <w:r w:rsidRPr="004135FE">
        <w:rPr>
          <w:rFonts w:ascii="Times New Roman" w:hAnsi="Times New Roman" w:cs="Times New Roman"/>
          <w:sz w:val="28"/>
          <w:szCs w:val="28"/>
        </w:rPr>
        <w:tab/>
      </w:r>
    </w:p>
    <w:p w14:paraId="58AAFD70"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«мужской»</w:t>
      </w:r>
      <w:r w:rsidRPr="004135FE">
        <w:rPr>
          <w:rFonts w:ascii="Times New Roman" w:hAnsi="Times New Roman" w:cs="Times New Roman"/>
          <w:sz w:val="28"/>
          <w:szCs w:val="28"/>
        </w:rPr>
        <w:tab/>
      </w:r>
      <w:r w:rsidRPr="004135FE">
        <w:rPr>
          <w:rFonts w:ascii="Times New Roman" w:hAnsi="Times New Roman" w:cs="Times New Roman"/>
          <w:sz w:val="28"/>
          <w:szCs w:val="28"/>
        </w:rPr>
        <w:tab/>
      </w:r>
    </w:p>
    <w:p w14:paraId="32C98529"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«женский»</w:t>
      </w:r>
    </w:p>
    <w:p w14:paraId="216D9C2A"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2. Возраст:</w:t>
      </w:r>
      <w:r w:rsidRPr="004135FE">
        <w:rPr>
          <w:rFonts w:ascii="Times New Roman" w:hAnsi="Times New Roman" w:cs="Times New Roman"/>
          <w:b/>
          <w:sz w:val="28"/>
          <w:szCs w:val="28"/>
        </w:rPr>
        <w:tab/>
      </w:r>
    </w:p>
    <w:p w14:paraId="050CCC01" w14:textId="77777777" w:rsidR="008D5DB3" w:rsidRPr="004135FE" w:rsidRDefault="008D5DB3" w:rsidP="004135FE">
      <w:pPr>
        <w:numPr>
          <w:ilvl w:val="0"/>
          <w:numId w:val="7"/>
        </w:numPr>
        <w:tabs>
          <w:tab w:val="left" w:pos="0"/>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до 25</w:t>
      </w:r>
    </w:p>
    <w:p w14:paraId="56FB068C" w14:textId="77777777" w:rsidR="008D5DB3" w:rsidRPr="004135FE" w:rsidRDefault="008D5DB3" w:rsidP="004135FE">
      <w:pPr>
        <w:numPr>
          <w:ilvl w:val="0"/>
          <w:numId w:val="7"/>
        </w:numPr>
        <w:tabs>
          <w:tab w:val="left" w:pos="0"/>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26 - 30  </w:t>
      </w:r>
    </w:p>
    <w:p w14:paraId="77370DEF" w14:textId="77777777" w:rsidR="008D5DB3" w:rsidRPr="004135FE" w:rsidRDefault="008D5DB3" w:rsidP="004135FE">
      <w:pPr>
        <w:numPr>
          <w:ilvl w:val="0"/>
          <w:numId w:val="7"/>
        </w:numPr>
        <w:tabs>
          <w:tab w:val="left" w:pos="0"/>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31 – 35</w:t>
      </w:r>
    </w:p>
    <w:p w14:paraId="161E8B4E" w14:textId="77777777" w:rsidR="008D5DB3" w:rsidRPr="004135FE" w:rsidRDefault="008D5DB3" w:rsidP="004135FE">
      <w:pPr>
        <w:numPr>
          <w:ilvl w:val="0"/>
          <w:numId w:val="7"/>
        </w:numPr>
        <w:tabs>
          <w:tab w:val="left" w:pos="0"/>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36 – 40</w:t>
      </w:r>
    </w:p>
    <w:p w14:paraId="2CD2DE05" w14:textId="77777777" w:rsidR="008D5DB3" w:rsidRPr="004135FE" w:rsidRDefault="008D5DB3" w:rsidP="004135FE">
      <w:pPr>
        <w:numPr>
          <w:ilvl w:val="0"/>
          <w:numId w:val="7"/>
        </w:numPr>
        <w:tabs>
          <w:tab w:val="left" w:pos="0"/>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41 – 45</w:t>
      </w:r>
    </w:p>
    <w:p w14:paraId="309C1F83" w14:textId="77777777" w:rsidR="008D5DB3" w:rsidRPr="004135FE" w:rsidRDefault="008D5DB3" w:rsidP="004135FE">
      <w:pPr>
        <w:numPr>
          <w:ilvl w:val="0"/>
          <w:numId w:val="7"/>
        </w:numPr>
        <w:tabs>
          <w:tab w:val="left" w:pos="0"/>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46 – 50</w:t>
      </w:r>
    </w:p>
    <w:p w14:paraId="7071B92E" w14:textId="77777777" w:rsidR="008D5DB3" w:rsidRPr="004135FE" w:rsidRDefault="008D5DB3" w:rsidP="004135FE">
      <w:pPr>
        <w:numPr>
          <w:ilvl w:val="0"/>
          <w:numId w:val="7"/>
        </w:numPr>
        <w:tabs>
          <w:tab w:val="left" w:pos="0"/>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51 – 55</w:t>
      </w:r>
    </w:p>
    <w:p w14:paraId="55DA1CAF" w14:textId="77777777" w:rsidR="008D5DB3" w:rsidRPr="004135FE" w:rsidRDefault="008D5DB3" w:rsidP="004135FE">
      <w:pPr>
        <w:numPr>
          <w:ilvl w:val="0"/>
          <w:numId w:val="7"/>
        </w:numPr>
        <w:tabs>
          <w:tab w:val="left" w:pos="0"/>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56 – 60</w:t>
      </w:r>
    </w:p>
    <w:p w14:paraId="2B8B52E5" w14:textId="77777777" w:rsidR="008D5DB3" w:rsidRPr="004135FE" w:rsidRDefault="008D5DB3" w:rsidP="004135FE">
      <w:pPr>
        <w:numPr>
          <w:ilvl w:val="0"/>
          <w:numId w:val="7"/>
        </w:numPr>
        <w:tabs>
          <w:tab w:val="left" w:pos="0"/>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61 – 65</w:t>
      </w:r>
    </w:p>
    <w:p w14:paraId="1AF7F58F" w14:textId="77777777" w:rsidR="008D5DB3" w:rsidRPr="004135FE" w:rsidRDefault="008D5DB3" w:rsidP="004135FE">
      <w:pPr>
        <w:numPr>
          <w:ilvl w:val="0"/>
          <w:numId w:val="7"/>
        </w:numPr>
        <w:tabs>
          <w:tab w:val="left" w:pos="0"/>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66 – 70</w:t>
      </w:r>
    </w:p>
    <w:p w14:paraId="359424AC" w14:textId="77777777" w:rsidR="008D5DB3" w:rsidRPr="004135FE" w:rsidRDefault="008D5DB3" w:rsidP="004135FE">
      <w:pPr>
        <w:numPr>
          <w:ilvl w:val="0"/>
          <w:numId w:val="7"/>
        </w:numPr>
        <w:tabs>
          <w:tab w:val="left" w:pos="0"/>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Старше 70</w:t>
      </w:r>
    </w:p>
    <w:p w14:paraId="0121762E"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 xml:space="preserve">3. Стаж работы по специальности: </w:t>
      </w:r>
    </w:p>
    <w:p w14:paraId="7BBF75CF"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Общий врачебный стаж:                                           Как врач эндокринолог:</w:t>
      </w:r>
      <w:r w:rsidRPr="004135FE">
        <w:rPr>
          <w:rFonts w:ascii="Times New Roman" w:hAnsi="Times New Roman" w:cs="Times New Roman"/>
          <w:sz w:val="28"/>
          <w:szCs w:val="28"/>
        </w:rPr>
        <w:t xml:space="preserve">                                                                  </w:t>
      </w:r>
    </w:p>
    <w:p w14:paraId="7B1781C1"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до 5лет                                                                       1) до 5лет</w:t>
      </w:r>
    </w:p>
    <w:p w14:paraId="4FD9C2B9"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от 5 до 10 лет                                                            2) от 5 до 10 лет</w:t>
      </w:r>
    </w:p>
    <w:p w14:paraId="7010058D"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от 10 до 15 лет                                                          3) от 10 до 15 лет</w:t>
      </w:r>
    </w:p>
    <w:p w14:paraId="31B1E3F7" w14:textId="77777777" w:rsidR="008D5DB3" w:rsidRPr="004135FE" w:rsidRDefault="008D5DB3" w:rsidP="004135FE">
      <w:pPr>
        <w:tabs>
          <w:tab w:val="left" w:pos="284"/>
          <w:tab w:val="left" w:pos="229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свыше 15 лет                                                            4) свыше 15 лет</w:t>
      </w:r>
      <w:r w:rsidRPr="004135FE">
        <w:rPr>
          <w:rFonts w:ascii="Times New Roman" w:hAnsi="Times New Roman" w:cs="Times New Roman"/>
          <w:sz w:val="28"/>
          <w:szCs w:val="28"/>
        </w:rPr>
        <w:tab/>
      </w:r>
    </w:p>
    <w:p w14:paraId="10834A62" w14:textId="77777777" w:rsidR="008D5DB3" w:rsidRPr="004135FE" w:rsidRDefault="008D5DB3" w:rsidP="004135FE">
      <w:pPr>
        <w:tabs>
          <w:tab w:val="left" w:pos="284"/>
          <w:tab w:val="left" w:pos="229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5) свыше 30 лет                                                            5) свыше 30 лет </w:t>
      </w:r>
    </w:p>
    <w:p w14:paraId="1FE77C61" w14:textId="77777777" w:rsidR="008D5DB3" w:rsidRPr="004135FE" w:rsidRDefault="008D5DB3" w:rsidP="004135FE">
      <w:pPr>
        <w:tabs>
          <w:tab w:val="left" w:pos="284"/>
          <w:tab w:val="left" w:pos="2295"/>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4. Категория по специальности врач эндокринолог:</w:t>
      </w:r>
    </w:p>
    <w:p w14:paraId="0E9B56E1" w14:textId="77777777" w:rsidR="008D5DB3" w:rsidRPr="004135FE" w:rsidRDefault="008D5DB3" w:rsidP="004135FE">
      <w:pPr>
        <w:tabs>
          <w:tab w:val="left" w:pos="284"/>
          <w:tab w:val="left" w:pos="229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1) </w:t>
      </w:r>
      <w:r w:rsidRPr="004135FE">
        <w:rPr>
          <w:rFonts w:ascii="Times New Roman" w:hAnsi="Times New Roman" w:cs="Times New Roman"/>
          <w:sz w:val="28"/>
          <w:szCs w:val="28"/>
          <w:lang w:val="kk-KZ"/>
        </w:rPr>
        <w:t>В</w:t>
      </w:r>
      <w:r w:rsidRPr="004135FE">
        <w:rPr>
          <w:rFonts w:ascii="Times New Roman" w:hAnsi="Times New Roman" w:cs="Times New Roman"/>
          <w:sz w:val="28"/>
          <w:szCs w:val="28"/>
        </w:rPr>
        <w:t>ысшая квалификационная категория</w:t>
      </w:r>
    </w:p>
    <w:p w14:paraId="7860ADB5"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1 квалификационная категория</w:t>
      </w:r>
    </w:p>
    <w:p w14:paraId="2FF4ECE5"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2 квалификационная категория</w:t>
      </w:r>
    </w:p>
    <w:p w14:paraId="6230D5A5"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4) </w:t>
      </w:r>
      <w:r w:rsidRPr="004135FE">
        <w:rPr>
          <w:rFonts w:ascii="Times New Roman" w:hAnsi="Times New Roman" w:cs="Times New Roman"/>
          <w:sz w:val="28"/>
          <w:szCs w:val="28"/>
          <w:lang w:val="kk-KZ"/>
        </w:rPr>
        <w:t>Н</w:t>
      </w:r>
      <w:r w:rsidRPr="004135FE">
        <w:rPr>
          <w:rFonts w:ascii="Times New Roman" w:hAnsi="Times New Roman" w:cs="Times New Roman"/>
          <w:sz w:val="28"/>
          <w:szCs w:val="28"/>
        </w:rPr>
        <w:t>ет категории</w:t>
      </w:r>
    </w:p>
    <w:p w14:paraId="2F098D20" w14:textId="77777777" w:rsidR="003B07F6" w:rsidRPr="004135FE" w:rsidRDefault="003B07F6" w:rsidP="004135FE">
      <w:pPr>
        <w:tabs>
          <w:tab w:val="left" w:pos="284"/>
        </w:tabs>
        <w:spacing w:after="0" w:line="240" w:lineRule="auto"/>
        <w:jc w:val="both"/>
        <w:rPr>
          <w:rFonts w:ascii="Times New Roman" w:hAnsi="Times New Roman" w:cs="Times New Roman"/>
          <w:caps/>
          <w:sz w:val="28"/>
          <w:szCs w:val="28"/>
        </w:rPr>
      </w:pPr>
    </w:p>
    <w:p w14:paraId="1FF2E386" w14:textId="78F02006" w:rsidR="008D5DB3" w:rsidRPr="004135FE" w:rsidRDefault="008D5DB3" w:rsidP="004135FE">
      <w:pPr>
        <w:tabs>
          <w:tab w:val="left" w:pos="284"/>
        </w:tabs>
        <w:spacing w:after="0" w:line="240" w:lineRule="auto"/>
        <w:jc w:val="both"/>
        <w:rPr>
          <w:rFonts w:ascii="Times New Roman" w:hAnsi="Times New Roman" w:cs="Times New Roman"/>
          <w:caps/>
          <w:sz w:val="28"/>
          <w:szCs w:val="28"/>
        </w:rPr>
      </w:pPr>
      <w:r w:rsidRPr="004135FE">
        <w:rPr>
          <w:rFonts w:ascii="Times New Roman" w:hAnsi="Times New Roman" w:cs="Times New Roman"/>
          <w:caps/>
          <w:sz w:val="28"/>
          <w:szCs w:val="28"/>
        </w:rPr>
        <w:t>2-раздел. Персонализированный подход К пациентАМ</w:t>
      </w:r>
    </w:p>
    <w:p w14:paraId="1A71F6A0" w14:textId="77777777" w:rsidR="008D5DB3" w:rsidRPr="004135FE" w:rsidRDefault="008D5DB3" w:rsidP="004135FE">
      <w:pPr>
        <w:tabs>
          <w:tab w:val="left" w:pos="284"/>
        </w:tabs>
        <w:spacing w:after="0" w:line="240" w:lineRule="auto"/>
        <w:jc w:val="both"/>
        <w:rPr>
          <w:rFonts w:ascii="Times New Roman" w:hAnsi="Times New Roman" w:cs="Times New Roman"/>
          <w:i/>
          <w:sz w:val="28"/>
          <w:szCs w:val="28"/>
        </w:rPr>
      </w:pPr>
      <w:r w:rsidRPr="004135FE">
        <w:rPr>
          <w:rFonts w:ascii="Times New Roman" w:hAnsi="Times New Roman" w:cs="Times New Roman"/>
          <w:b/>
          <w:sz w:val="28"/>
          <w:szCs w:val="28"/>
        </w:rPr>
        <w:t>5. Что учитываете при персонализированном выборе сахароснижающих препаратов?</w:t>
      </w:r>
    </w:p>
    <w:p w14:paraId="210F151E" w14:textId="77777777" w:rsidR="008D5DB3" w:rsidRPr="004135FE" w:rsidRDefault="008D5DB3" w:rsidP="004135FE">
      <w:pPr>
        <w:numPr>
          <w:ilvl w:val="0"/>
          <w:numId w:val="2"/>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Сопутствующие заболевание и противопоказании</w:t>
      </w:r>
    </w:p>
    <w:p w14:paraId="5AA9F431" w14:textId="77777777" w:rsidR="008D5DB3" w:rsidRPr="004135FE" w:rsidRDefault="008D5DB3" w:rsidP="004135FE">
      <w:pPr>
        <w:numPr>
          <w:ilvl w:val="0"/>
          <w:numId w:val="2"/>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Социально-экономическую возможность пациента</w:t>
      </w:r>
    </w:p>
    <w:p w14:paraId="4509E2E7" w14:textId="77777777" w:rsidR="008D5DB3" w:rsidRPr="004135FE" w:rsidRDefault="008D5DB3" w:rsidP="004135FE">
      <w:pPr>
        <w:numPr>
          <w:ilvl w:val="0"/>
          <w:numId w:val="2"/>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Возраст и пол</w:t>
      </w:r>
    </w:p>
    <w:p w14:paraId="27528F5C" w14:textId="77777777" w:rsidR="008D5DB3" w:rsidRPr="004135FE" w:rsidRDefault="008D5DB3" w:rsidP="004135FE">
      <w:pPr>
        <w:numPr>
          <w:ilvl w:val="0"/>
          <w:numId w:val="2"/>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Генетические маркеры</w:t>
      </w:r>
    </w:p>
    <w:p w14:paraId="2552954A" w14:textId="77777777" w:rsidR="008D5DB3" w:rsidRPr="004135FE" w:rsidRDefault="008D5DB3" w:rsidP="004135FE">
      <w:pPr>
        <w:numPr>
          <w:ilvl w:val="0"/>
          <w:numId w:val="2"/>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По возможности купирования гипергликемии </w:t>
      </w:r>
    </w:p>
    <w:p w14:paraId="6C35FBB1" w14:textId="77777777" w:rsidR="008D5DB3" w:rsidRPr="004135FE" w:rsidRDefault="008D5DB3" w:rsidP="004135FE">
      <w:pPr>
        <w:numPr>
          <w:ilvl w:val="0"/>
          <w:numId w:val="2"/>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Всех пациентов начинаем с таблетки метформин</w:t>
      </w:r>
    </w:p>
    <w:p w14:paraId="68877045" w14:textId="77777777" w:rsidR="008D5DB3" w:rsidRPr="004135FE" w:rsidRDefault="008D5DB3" w:rsidP="004135FE">
      <w:pPr>
        <w:tabs>
          <w:tab w:val="left" w:pos="284"/>
          <w:tab w:val="left" w:pos="2295"/>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6. Как часто среди мужчин с сахарным диабетом 2 типа проводите обследование на наличие синдрома гипогонадизма и лечение?</w:t>
      </w:r>
    </w:p>
    <w:p w14:paraId="2EEB00AD" w14:textId="77777777" w:rsidR="008D5DB3" w:rsidRPr="004135FE" w:rsidRDefault="008D5DB3" w:rsidP="004135FE">
      <w:pPr>
        <w:tabs>
          <w:tab w:val="left" w:pos="284"/>
          <w:tab w:val="left" w:pos="229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Если есть жалобы</w:t>
      </w:r>
    </w:p>
    <w:p w14:paraId="0885BF1F"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Если объективно вижу наличие ожирения</w:t>
      </w:r>
    </w:p>
    <w:p w14:paraId="0E01CCAD"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Если только молодой возраст и есть клинические симптомы</w:t>
      </w:r>
    </w:p>
    <w:p w14:paraId="7615B61A"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4) Направляю урологу </w:t>
      </w:r>
    </w:p>
    <w:p w14:paraId="39F7F88F" w14:textId="77777777" w:rsidR="008D5DB3" w:rsidRPr="004135FE" w:rsidRDefault="008D5DB3" w:rsidP="004135FE">
      <w:pPr>
        <w:tabs>
          <w:tab w:val="left" w:pos="284"/>
          <w:tab w:val="left" w:pos="229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5) Направлен урологом с установленным синдромом </w:t>
      </w:r>
    </w:p>
    <w:p w14:paraId="79075C30"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Не провожу</w:t>
      </w:r>
    </w:p>
    <w:p w14:paraId="0AD909E1"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 xml:space="preserve">7. Как часто среди женщин фертильного возраста с сахарным диабетом 2 типа проводите обследование на репродуктивный потенциал? </w:t>
      </w:r>
    </w:p>
    <w:p w14:paraId="435CA08E" w14:textId="77777777" w:rsidR="008D5DB3" w:rsidRPr="004135FE" w:rsidRDefault="008D5DB3" w:rsidP="004135FE">
      <w:pPr>
        <w:tabs>
          <w:tab w:val="left" w:pos="284"/>
          <w:tab w:val="left" w:pos="229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Если есть жалобы на нарушение менструального цикла</w:t>
      </w:r>
    </w:p>
    <w:p w14:paraId="53883AAE"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Если есть проблемы с зачатием ребенка</w:t>
      </w:r>
    </w:p>
    <w:p w14:paraId="2C400FE9"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Если только молодой возраст и есть клинические симптомы</w:t>
      </w:r>
    </w:p>
    <w:p w14:paraId="30AF2A4C"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Направляю гинекологу</w:t>
      </w:r>
    </w:p>
    <w:p w14:paraId="4AF6787B" w14:textId="77777777" w:rsidR="008D5DB3" w:rsidRPr="004135FE" w:rsidRDefault="008D5DB3" w:rsidP="004135FE">
      <w:pPr>
        <w:tabs>
          <w:tab w:val="left" w:pos="284"/>
          <w:tab w:val="left" w:pos="229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5) Направлен гинекологом с установленным диагнозом </w:t>
      </w:r>
    </w:p>
    <w:p w14:paraId="6C78DC79"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Не провожу</w:t>
      </w:r>
    </w:p>
    <w:p w14:paraId="1D9F6DFE"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8. В Вашей практике, как часто гестационный</w:t>
      </w:r>
      <w:r w:rsidRPr="004135FE">
        <w:rPr>
          <w:rFonts w:ascii="Times New Roman" w:hAnsi="Times New Roman" w:cs="Times New Roman"/>
          <w:sz w:val="28"/>
          <w:szCs w:val="28"/>
        </w:rPr>
        <w:t xml:space="preserve"> </w:t>
      </w:r>
      <w:r w:rsidRPr="004135FE">
        <w:rPr>
          <w:rFonts w:ascii="Times New Roman" w:hAnsi="Times New Roman" w:cs="Times New Roman"/>
          <w:b/>
          <w:sz w:val="28"/>
          <w:szCs w:val="28"/>
        </w:rPr>
        <w:t>диабет, возникший во время беременности у женщин переходил после родов на сахарный диабет 2 типа?</w:t>
      </w:r>
    </w:p>
    <w:p w14:paraId="084B6359" w14:textId="77777777" w:rsidR="008D5DB3" w:rsidRPr="004135FE" w:rsidRDefault="008D5DB3" w:rsidP="004135FE">
      <w:pPr>
        <w:tabs>
          <w:tab w:val="left" w:pos="284"/>
          <w:tab w:val="left" w:pos="229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Не наблюдал(а)</w:t>
      </w:r>
    </w:p>
    <w:p w14:paraId="4F2EF80A"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Не было такого случая</w:t>
      </w:r>
    </w:p>
    <w:p w14:paraId="57EE8600"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Единичный случай</w:t>
      </w:r>
    </w:p>
    <w:p w14:paraId="74979D31"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Часто</w:t>
      </w:r>
    </w:p>
    <w:p w14:paraId="77764FEB" w14:textId="77777777" w:rsidR="008D5DB3" w:rsidRPr="004135FE" w:rsidRDefault="008D5DB3" w:rsidP="004135FE">
      <w:pPr>
        <w:tabs>
          <w:tab w:val="left" w:pos="284"/>
          <w:tab w:val="left" w:pos="229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Абсолютно всегда</w:t>
      </w:r>
    </w:p>
    <w:p w14:paraId="35700489"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9.  Направляете ли Вы пациентов на генетическое обследование маркеров сахарного диабета 2 типа?</w:t>
      </w:r>
    </w:p>
    <w:p w14:paraId="256AC427"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Впервые слышу такой вид анализа</w:t>
      </w:r>
    </w:p>
    <w:p w14:paraId="0BF3D17B"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В Казахстане нет таких лаборатории</w:t>
      </w:r>
    </w:p>
    <w:p w14:paraId="23B80FD6" w14:textId="77777777" w:rsidR="008D5DB3" w:rsidRPr="004135FE" w:rsidRDefault="008D5DB3" w:rsidP="004135FE">
      <w:pPr>
        <w:tabs>
          <w:tab w:val="left" w:pos="284"/>
          <w:tab w:val="left" w:pos="229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Не направляю</w:t>
      </w:r>
    </w:p>
    <w:p w14:paraId="67444866"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Единичный раз</w:t>
      </w:r>
    </w:p>
    <w:p w14:paraId="419A7215"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Часто</w:t>
      </w:r>
    </w:p>
    <w:p w14:paraId="5D176139"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Абсолютно всегда</w:t>
      </w:r>
    </w:p>
    <w:p w14:paraId="5C5A741E" w14:textId="77777777" w:rsidR="008D5DB3" w:rsidRPr="004135FE" w:rsidRDefault="008D5DB3" w:rsidP="004135FE">
      <w:pPr>
        <w:tabs>
          <w:tab w:val="left" w:pos="284"/>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 xml:space="preserve">10. </w:t>
      </w:r>
      <w:r w:rsidRPr="004135FE">
        <w:rPr>
          <w:rFonts w:ascii="Times New Roman" w:eastAsia="Times New Roman" w:hAnsi="Times New Roman" w:cs="Times New Roman"/>
          <w:b/>
          <w:sz w:val="28"/>
          <w:szCs w:val="28"/>
        </w:rPr>
        <w:t>Кем проводится индивидуальный подбор физической активности с учетом противопоказании и мер предосторожностей?</w:t>
      </w:r>
    </w:p>
    <w:p w14:paraId="152594A4" w14:textId="77777777" w:rsidR="008D5DB3" w:rsidRPr="004135FE" w:rsidRDefault="008D5DB3" w:rsidP="004135FE">
      <w:pPr>
        <w:numPr>
          <w:ilvl w:val="0"/>
          <w:numId w:val="6"/>
        </w:numPr>
        <w:tabs>
          <w:tab w:val="left" w:pos="284"/>
          <w:tab w:val="left" w:pos="375"/>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Никем </w:t>
      </w:r>
    </w:p>
    <w:p w14:paraId="5DC42713" w14:textId="77777777" w:rsidR="008D5DB3" w:rsidRPr="004135FE" w:rsidRDefault="008D5DB3" w:rsidP="004135FE">
      <w:pPr>
        <w:numPr>
          <w:ilvl w:val="0"/>
          <w:numId w:val="6"/>
        </w:numPr>
        <w:tabs>
          <w:tab w:val="left" w:pos="284"/>
          <w:tab w:val="left" w:pos="375"/>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Самостоятельно, опираясь полученным знаниям от Школы диабета</w:t>
      </w:r>
    </w:p>
    <w:p w14:paraId="491BF964" w14:textId="77777777" w:rsidR="008D5DB3" w:rsidRPr="004135FE" w:rsidRDefault="008D5DB3" w:rsidP="004135FE">
      <w:pPr>
        <w:numPr>
          <w:ilvl w:val="0"/>
          <w:numId w:val="6"/>
        </w:numPr>
        <w:tabs>
          <w:tab w:val="left" w:pos="284"/>
          <w:tab w:val="left" w:pos="375"/>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Врачом кардиологом</w:t>
      </w:r>
    </w:p>
    <w:p w14:paraId="513B43F9" w14:textId="77777777" w:rsidR="008D5DB3" w:rsidRPr="004135FE" w:rsidRDefault="008D5DB3" w:rsidP="004135FE">
      <w:pPr>
        <w:numPr>
          <w:ilvl w:val="0"/>
          <w:numId w:val="6"/>
        </w:numPr>
        <w:tabs>
          <w:tab w:val="left" w:pos="284"/>
          <w:tab w:val="left" w:pos="375"/>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Врачом невропатологом</w:t>
      </w:r>
    </w:p>
    <w:p w14:paraId="69AB8EB5" w14:textId="77777777" w:rsidR="008D5DB3" w:rsidRPr="004135FE" w:rsidRDefault="008D5DB3" w:rsidP="004135FE">
      <w:pPr>
        <w:numPr>
          <w:ilvl w:val="0"/>
          <w:numId w:val="6"/>
        </w:numPr>
        <w:tabs>
          <w:tab w:val="left" w:pos="284"/>
          <w:tab w:val="left" w:pos="375"/>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Врачом эндокринологом</w:t>
      </w:r>
    </w:p>
    <w:p w14:paraId="758E9B21" w14:textId="77777777" w:rsidR="008D5DB3" w:rsidRPr="004135FE" w:rsidRDefault="008D5DB3" w:rsidP="004135FE">
      <w:pPr>
        <w:numPr>
          <w:ilvl w:val="0"/>
          <w:numId w:val="6"/>
        </w:numPr>
        <w:tabs>
          <w:tab w:val="left" w:pos="284"/>
          <w:tab w:val="left" w:pos="375"/>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Медсестрой эндокринолога</w:t>
      </w:r>
    </w:p>
    <w:p w14:paraId="7AE237F9" w14:textId="77777777" w:rsidR="008D5DB3" w:rsidRPr="004135FE" w:rsidRDefault="008D5DB3" w:rsidP="004135FE">
      <w:pPr>
        <w:numPr>
          <w:ilvl w:val="0"/>
          <w:numId w:val="6"/>
        </w:numPr>
        <w:tabs>
          <w:tab w:val="left" w:pos="284"/>
          <w:tab w:val="left" w:pos="375"/>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Врачом общей практики</w:t>
      </w:r>
    </w:p>
    <w:p w14:paraId="538A3661" w14:textId="77777777" w:rsidR="008D5DB3" w:rsidRPr="004135FE" w:rsidRDefault="008D5DB3" w:rsidP="004135FE">
      <w:pPr>
        <w:numPr>
          <w:ilvl w:val="0"/>
          <w:numId w:val="6"/>
        </w:numPr>
        <w:tabs>
          <w:tab w:val="left" w:pos="284"/>
          <w:tab w:val="left" w:pos="375"/>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 спорт комплексе</w:t>
      </w:r>
    </w:p>
    <w:p w14:paraId="785508DE"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p>
    <w:p w14:paraId="7142207C"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 </w:t>
      </w:r>
      <w:r w:rsidRPr="004135FE">
        <w:rPr>
          <w:rFonts w:ascii="Times New Roman" w:hAnsi="Times New Roman" w:cs="Times New Roman"/>
          <w:caps/>
          <w:sz w:val="28"/>
          <w:szCs w:val="28"/>
        </w:rPr>
        <w:t>3-раздел. психосоциальная поддержка пациентов</w:t>
      </w:r>
    </w:p>
    <w:p w14:paraId="433035E5"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11. Кем проводится оценка психологического статуса на необходимость консультации и поддержки?</w:t>
      </w:r>
    </w:p>
    <w:p w14:paraId="2B906E0E"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Врач эндокринолог</w:t>
      </w:r>
    </w:p>
    <w:p w14:paraId="5EDADD16"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Медсестра эндокринолога</w:t>
      </w:r>
    </w:p>
    <w:p w14:paraId="0D607235"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Врач общей практики</w:t>
      </w:r>
    </w:p>
    <w:p w14:paraId="480A0D3B"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Врач психолог/психотерапевт</w:t>
      </w:r>
    </w:p>
    <w:p w14:paraId="44AA7031"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Социальный работник</w:t>
      </w:r>
    </w:p>
    <w:p w14:paraId="599EE6E2"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Никем</w:t>
      </w:r>
    </w:p>
    <w:p w14:paraId="34C6BEFD"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 xml:space="preserve">12. Как определяется необходимость пациента в психосоциальной поддержке медперсонала? </w:t>
      </w:r>
    </w:p>
    <w:p w14:paraId="4799B1FF" w14:textId="77777777" w:rsidR="008D5DB3" w:rsidRPr="004135FE" w:rsidRDefault="008D5DB3" w:rsidP="004135FE">
      <w:pPr>
        <w:numPr>
          <w:ilvl w:val="0"/>
          <w:numId w:val="1"/>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Дебют заболевания;</w:t>
      </w:r>
    </w:p>
    <w:p w14:paraId="6E4E656A" w14:textId="77777777" w:rsidR="008D5DB3" w:rsidRPr="004135FE" w:rsidRDefault="008D5DB3" w:rsidP="004135FE">
      <w:pPr>
        <w:numPr>
          <w:ilvl w:val="0"/>
          <w:numId w:val="1"/>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Появление или значительное прогрессирование осложнений течения сахарного диабета </w:t>
      </w:r>
    </w:p>
    <w:p w14:paraId="50959548" w14:textId="77777777" w:rsidR="008D5DB3" w:rsidRPr="004135FE" w:rsidRDefault="008D5DB3" w:rsidP="004135FE">
      <w:pPr>
        <w:numPr>
          <w:ilvl w:val="0"/>
          <w:numId w:val="1"/>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Изменение терапевтического режима (перевод с ПССП на инсулин, перевод с инъекционного способа введения инсулина на постоянную подкожную инфузию Инсулина (помповую терапию).</w:t>
      </w:r>
    </w:p>
    <w:p w14:paraId="158CDC13" w14:textId="77777777" w:rsidR="008D5DB3" w:rsidRPr="004135FE" w:rsidRDefault="008D5DB3" w:rsidP="004135FE">
      <w:pPr>
        <w:numPr>
          <w:ilvl w:val="0"/>
          <w:numId w:val="1"/>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Все вышеизложенные</w:t>
      </w:r>
    </w:p>
    <w:p w14:paraId="57E3947A" w14:textId="77777777" w:rsidR="008D5DB3" w:rsidRPr="004135FE" w:rsidRDefault="008D5DB3" w:rsidP="004135FE">
      <w:pPr>
        <w:numPr>
          <w:ilvl w:val="0"/>
          <w:numId w:val="1"/>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Не определяю, нет времени </w:t>
      </w:r>
    </w:p>
    <w:p w14:paraId="05D1CB09"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13. Кем оказывается психосоциальная поддержка пациентов, при наличии низкой приверженности лечению, обусловленного заболеванием дистресса, умеренно повышенной тревоги?</w:t>
      </w:r>
    </w:p>
    <w:p w14:paraId="5C66D988"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Врач эндокринолог</w:t>
      </w:r>
    </w:p>
    <w:p w14:paraId="70B41843"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Медсестра эндокринолога</w:t>
      </w:r>
    </w:p>
    <w:p w14:paraId="4813A4B8"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Врач общей практики</w:t>
      </w:r>
    </w:p>
    <w:p w14:paraId="34A313B7"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Врач психолог/психотерапевт</w:t>
      </w:r>
    </w:p>
    <w:p w14:paraId="6F382A65"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Социальный работник</w:t>
      </w:r>
    </w:p>
    <w:p w14:paraId="58BF5981"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Никем</w:t>
      </w:r>
    </w:p>
    <w:p w14:paraId="17A6D62B"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14. Кем оказывается психосоциальная поддержка пациентов, при наличии признаков психических расстройств, в т.ч. клинически значимой тревоги и депрессии, расстройств пищевого поведения, выраженных когнитивных нарушений?</w:t>
      </w:r>
    </w:p>
    <w:p w14:paraId="7672E724"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Врач эндокринолог</w:t>
      </w:r>
    </w:p>
    <w:p w14:paraId="311A40C6"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Медсестра эндокринолога</w:t>
      </w:r>
    </w:p>
    <w:p w14:paraId="5733A699"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Врач общей практики</w:t>
      </w:r>
    </w:p>
    <w:p w14:paraId="738B1E09"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Врач психолог/психотерапевт</w:t>
      </w:r>
    </w:p>
    <w:p w14:paraId="3B0C3309"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Социальный работник</w:t>
      </w:r>
    </w:p>
    <w:p w14:paraId="5E0EAC2C"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Никем</w:t>
      </w:r>
    </w:p>
    <w:p w14:paraId="73EFEDE5"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p>
    <w:p w14:paraId="56866932" w14:textId="77777777" w:rsidR="008D5DB3" w:rsidRPr="004135FE" w:rsidRDefault="008D5DB3" w:rsidP="004135FE">
      <w:pPr>
        <w:tabs>
          <w:tab w:val="left" w:pos="284"/>
        </w:tabs>
        <w:spacing w:after="0" w:line="240" w:lineRule="auto"/>
        <w:jc w:val="both"/>
        <w:rPr>
          <w:rFonts w:ascii="Times New Roman" w:hAnsi="Times New Roman" w:cs="Times New Roman"/>
          <w:caps/>
          <w:sz w:val="28"/>
          <w:szCs w:val="28"/>
        </w:rPr>
      </w:pPr>
      <w:r w:rsidRPr="004135FE">
        <w:rPr>
          <w:rFonts w:ascii="Times New Roman" w:hAnsi="Times New Roman" w:cs="Times New Roman"/>
          <w:caps/>
          <w:sz w:val="28"/>
          <w:szCs w:val="28"/>
        </w:rPr>
        <w:t>4-раздел. Качество оснащенности ресурсами и удовлетворенность рабочим</w:t>
      </w:r>
      <w:r w:rsidRPr="004135FE">
        <w:rPr>
          <w:rFonts w:ascii="Times New Roman" w:hAnsi="Times New Roman" w:cs="Times New Roman"/>
          <w:sz w:val="28"/>
          <w:szCs w:val="28"/>
        </w:rPr>
        <w:t xml:space="preserve"> </w:t>
      </w:r>
      <w:r w:rsidRPr="004135FE">
        <w:rPr>
          <w:rFonts w:ascii="Times New Roman" w:hAnsi="Times New Roman" w:cs="Times New Roman"/>
          <w:caps/>
          <w:sz w:val="28"/>
          <w:szCs w:val="28"/>
        </w:rPr>
        <w:t>местом</w:t>
      </w:r>
    </w:p>
    <w:p w14:paraId="77E1E8CB"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15. Чаще источником информации о сахарном диабете что является для Вас?</w:t>
      </w:r>
    </w:p>
    <w:p w14:paraId="30AC9E5F"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Повышение квалификации на платной основе</w:t>
      </w:r>
    </w:p>
    <w:p w14:paraId="69446845"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Повышение квалификации на бюджетной основе</w:t>
      </w:r>
    </w:p>
    <w:p w14:paraId="0060FD08"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Мастер классы</w:t>
      </w:r>
    </w:p>
    <w:p w14:paraId="23D7C6D8"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Алгоритмы, протоколы и приказы</w:t>
      </w:r>
    </w:p>
    <w:p w14:paraId="27F40305"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Электронный чат, сообщества эндокринологов</w:t>
      </w:r>
    </w:p>
    <w:p w14:paraId="5724A1AB"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Интернет ресурсы</w:t>
      </w:r>
    </w:p>
    <w:p w14:paraId="46648EA6"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16. На прием каждого пациента выделено 15минут, сколько из них тратите на оформление документации в программе КМИС?</w:t>
      </w:r>
    </w:p>
    <w:p w14:paraId="1AC14655"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До 2мин</w:t>
      </w:r>
    </w:p>
    <w:p w14:paraId="03B3DE0F"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До 5мин</w:t>
      </w:r>
    </w:p>
    <w:p w14:paraId="265A9B40"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До 7мин</w:t>
      </w:r>
    </w:p>
    <w:p w14:paraId="7D02A9C2"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До 10мин</w:t>
      </w:r>
    </w:p>
    <w:p w14:paraId="6A376A90"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До 13 мин</w:t>
      </w:r>
    </w:p>
    <w:p w14:paraId="7D6C979F"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17. Из 100% на сколько электронный документооборот сократил бумажное дублирование</w:t>
      </w:r>
      <w:r w:rsidRPr="004135FE">
        <w:rPr>
          <w:rFonts w:ascii="Times New Roman" w:hAnsi="Times New Roman" w:cs="Times New Roman"/>
          <w:b/>
          <w:sz w:val="28"/>
          <w:szCs w:val="28"/>
          <w:lang w:val="kk-KZ"/>
        </w:rPr>
        <w:t xml:space="preserve"> и установил систематизированную связь между отделами, рациональный контакт между коллегами работающих в одной организации</w:t>
      </w:r>
      <w:r w:rsidRPr="004135FE">
        <w:rPr>
          <w:rFonts w:ascii="Times New Roman" w:hAnsi="Times New Roman" w:cs="Times New Roman"/>
          <w:b/>
          <w:sz w:val="28"/>
          <w:szCs w:val="28"/>
        </w:rPr>
        <w:t>?</w:t>
      </w:r>
    </w:p>
    <w:p w14:paraId="4A01AEAA"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А. Снижение траты ресурса «время»:                        Б. Снижение траты ресурса «труда»:                </w:t>
      </w:r>
    </w:p>
    <w:p w14:paraId="3D968BFF" w14:textId="77777777" w:rsidR="008D5DB3" w:rsidRPr="004135FE" w:rsidRDefault="008D5DB3" w:rsidP="004135FE">
      <w:pPr>
        <w:tabs>
          <w:tab w:val="left" w:pos="284"/>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ниже 20%                                                                   1) ниже 20%</w:t>
      </w:r>
    </w:p>
    <w:p w14:paraId="5385801D" w14:textId="77777777" w:rsidR="008D5DB3" w:rsidRPr="004135FE" w:rsidRDefault="008D5DB3" w:rsidP="004135FE">
      <w:pPr>
        <w:tabs>
          <w:tab w:val="left" w:pos="284"/>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20-40%                                                                        2) 20-40%</w:t>
      </w:r>
    </w:p>
    <w:p w14:paraId="4390C781" w14:textId="77777777" w:rsidR="008D5DB3" w:rsidRPr="004135FE" w:rsidRDefault="008D5DB3" w:rsidP="004135FE">
      <w:pPr>
        <w:tabs>
          <w:tab w:val="left" w:pos="284"/>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41-60%                                                                        3) 41-60%</w:t>
      </w:r>
    </w:p>
    <w:p w14:paraId="24427A14" w14:textId="77777777" w:rsidR="008D5DB3" w:rsidRPr="004135FE" w:rsidRDefault="008D5DB3" w:rsidP="004135FE">
      <w:pPr>
        <w:tabs>
          <w:tab w:val="left" w:pos="284"/>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61-70%                                                                        4) 61-70%</w:t>
      </w:r>
    </w:p>
    <w:p w14:paraId="25521F6B" w14:textId="77777777" w:rsidR="008D5DB3" w:rsidRPr="004135FE" w:rsidRDefault="008D5DB3" w:rsidP="004135FE">
      <w:pPr>
        <w:tabs>
          <w:tab w:val="left" w:pos="284"/>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71-80%                                                                        5) 71-80%</w:t>
      </w:r>
    </w:p>
    <w:p w14:paraId="5A8C10A7" w14:textId="77777777" w:rsidR="008D5DB3" w:rsidRPr="004135FE" w:rsidRDefault="008D5DB3" w:rsidP="004135FE">
      <w:pPr>
        <w:tabs>
          <w:tab w:val="left" w:pos="284"/>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81-90%                                                                        6) 81-90%</w:t>
      </w:r>
    </w:p>
    <w:p w14:paraId="4A67CD21" w14:textId="77777777" w:rsidR="008D5DB3" w:rsidRPr="004135FE" w:rsidRDefault="008D5DB3" w:rsidP="004135FE">
      <w:pPr>
        <w:tabs>
          <w:tab w:val="left" w:pos="284"/>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7) 91-100%                                                                      7) 91-100%</w:t>
      </w:r>
    </w:p>
    <w:p w14:paraId="169E1F2E"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18. Когда пациент выходит из Вашего кабинета как часто возникает чувство, что по разным причинам не смогли оказать консультацию в полной мере?</w:t>
      </w:r>
    </w:p>
    <w:p w14:paraId="4B1EEB98"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1) </w:t>
      </w:r>
      <w:r w:rsidRPr="004135FE">
        <w:rPr>
          <w:rFonts w:ascii="Times New Roman" w:hAnsi="Times New Roman" w:cs="Times New Roman"/>
          <w:sz w:val="28"/>
          <w:szCs w:val="28"/>
          <w:lang w:val="kk-KZ"/>
        </w:rPr>
        <w:t>В</w:t>
      </w:r>
      <w:r w:rsidRPr="004135FE">
        <w:rPr>
          <w:rFonts w:ascii="Times New Roman" w:hAnsi="Times New Roman" w:cs="Times New Roman"/>
          <w:sz w:val="28"/>
          <w:szCs w:val="28"/>
        </w:rPr>
        <w:t xml:space="preserve">сегда </w:t>
      </w:r>
    </w:p>
    <w:p w14:paraId="7C4115C9"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2) </w:t>
      </w:r>
      <w:r w:rsidRPr="004135FE">
        <w:rPr>
          <w:rFonts w:ascii="Times New Roman" w:hAnsi="Times New Roman" w:cs="Times New Roman"/>
          <w:sz w:val="28"/>
          <w:szCs w:val="28"/>
          <w:lang w:val="kk-KZ"/>
        </w:rPr>
        <w:t>Ч</w:t>
      </w:r>
      <w:r w:rsidRPr="004135FE">
        <w:rPr>
          <w:rFonts w:ascii="Times New Roman" w:hAnsi="Times New Roman" w:cs="Times New Roman"/>
          <w:sz w:val="28"/>
          <w:szCs w:val="28"/>
        </w:rPr>
        <w:t>асто</w:t>
      </w:r>
    </w:p>
    <w:p w14:paraId="67EDAB9D"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3) </w:t>
      </w:r>
      <w:r w:rsidRPr="004135FE">
        <w:rPr>
          <w:rFonts w:ascii="Times New Roman" w:hAnsi="Times New Roman" w:cs="Times New Roman"/>
          <w:sz w:val="28"/>
          <w:szCs w:val="28"/>
          <w:lang w:val="kk-KZ"/>
        </w:rPr>
        <w:t>И</w:t>
      </w:r>
      <w:r w:rsidRPr="004135FE">
        <w:rPr>
          <w:rFonts w:ascii="Times New Roman" w:hAnsi="Times New Roman" w:cs="Times New Roman"/>
          <w:sz w:val="28"/>
          <w:szCs w:val="28"/>
        </w:rPr>
        <w:t>ногда</w:t>
      </w:r>
    </w:p>
    <w:p w14:paraId="23DD9FF2"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4) </w:t>
      </w:r>
      <w:r w:rsidRPr="004135FE">
        <w:rPr>
          <w:rFonts w:ascii="Times New Roman" w:hAnsi="Times New Roman" w:cs="Times New Roman"/>
          <w:sz w:val="28"/>
          <w:szCs w:val="28"/>
          <w:lang w:val="kk-KZ"/>
        </w:rPr>
        <w:t>Н</w:t>
      </w:r>
      <w:r w:rsidRPr="004135FE">
        <w:rPr>
          <w:rFonts w:ascii="Times New Roman" w:hAnsi="Times New Roman" w:cs="Times New Roman"/>
          <w:sz w:val="28"/>
          <w:szCs w:val="28"/>
        </w:rPr>
        <w:t>икогда</w:t>
      </w:r>
    </w:p>
    <w:p w14:paraId="2BFF5CF4"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19. Причина по предыдущему вопросу:</w:t>
      </w:r>
    </w:p>
    <w:p w14:paraId="7E9DD1C1" w14:textId="77777777" w:rsidR="008D5DB3" w:rsidRPr="004135FE" w:rsidRDefault="008D5DB3" w:rsidP="004135FE">
      <w:pPr>
        <w:numPr>
          <w:ilvl w:val="0"/>
          <w:numId w:val="3"/>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Сложившееся неприятное отношение к данному пациенту</w:t>
      </w:r>
    </w:p>
    <w:p w14:paraId="0784E682" w14:textId="77777777" w:rsidR="008D5DB3" w:rsidRPr="004135FE" w:rsidRDefault="008D5DB3" w:rsidP="004135FE">
      <w:pPr>
        <w:numPr>
          <w:ilvl w:val="0"/>
          <w:numId w:val="3"/>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Прием пациента прерывается совещанием поликлиники</w:t>
      </w:r>
    </w:p>
    <w:p w14:paraId="108BB36A" w14:textId="77777777" w:rsidR="008D5DB3" w:rsidRPr="004135FE" w:rsidRDefault="008D5DB3" w:rsidP="004135FE">
      <w:pPr>
        <w:numPr>
          <w:ilvl w:val="0"/>
          <w:numId w:val="3"/>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Оформление документации отвлекает от главного</w:t>
      </w:r>
    </w:p>
    <w:p w14:paraId="5A6EA719" w14:textId="77777777" w:rsidR="008D5DB3" w:rsidRPr="004135FE" w:rsidRDefault="008D5DB3" w:rsidP="004135FE">
      <w:pPr>
        <w:numPr>
          <w:ilvl w:val="0"/>
          <w:numId w:val="3"/>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Неконтролируемые осложнения заболевании на амбулаторном уровне</w:t>
      </w:r>
    </w:p>
    <w:p w14:paraId="620D4FC2" w14:textId="77777777" w:rsidR="008D5DB3" w:rsidRPr="004135FE" w:rsidRDefault="008D5DB3" w:rsidP="004135FE">
      <w:pPr>
        <w:numPr>
          <w:ilvl w:val="0"/>
          <w:numId w:val="3"/>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Нет приверженности пациента к рекомендациям </w:t>
      </w:r>
    </w:p>
    <w:p w14:paraId="75ED77E4"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20. Какие проблемы возникают при подаче заявки необходимых лекарственных средств по приказу №666 для пациентов с СД 2 типа на амбулаторном уровне?</w:t>
      </w:r>
    </w:p>
    <w:p w14:paraId="321D6F3F" w14:textId="77777777" w:rsidR="008D5DB3" w:rsidRPr="004135FE" w:rsidRDefault="008D5DB3" w:rsidP="004135FE">
      <w:pPr>
        <w:numPr>
          <w:ilvl w:val="0"/>
          <w:numId w:val="4"/>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Политика ценообразования и качества препарата</w:t>
      </w:r>
    </w:p>
    <w:p w14:paraId="2E41A2D3" w14:textId="77777777" w:rsidR="008D5DB3" w:rsidRPr="004135FE" w:rsidRDefault="008D5DB3" w:rsidP="004135FE">
      <w:pPr>
        <w:numPr>
          <w:ilvl w:val="0"/>
          <w:numId w:val="4"/>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При оформлении учитывается прирост заболеваемости на 15%, но бухгалтерия и провизор урезают заявку более чем на 20%</w:t>
      </w:r>
    </w:p>
    <w:p w14:paraId="27103173" w14:textId="77777777" w:rsidR="008D5DB3" w:rsidRPr="004135FE" w:rsidRDefault="008D5DB3" w:rsidP="004135FE">
      <w:pPr>
        <w:numPr>
          <w:ilvl w:val="0"/>
          <w:numId w:val="4"/>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Кропотливая работа с учетом потребности каждого пациента</w:t>
      </w:r>
    </w:p>
    <w:p w14:paraId="3345D67B" w14:textId="77777777" w:rsidR="008D5DB3" w:rsidRPr="004135FE" w:rsidRDefault="008D5DB3" w:rsidP="004135FE">
      <w:pPr>
        <w:numPr>
          <w:ilvl w:val="0"/>
          <w:numId w:val="4"/>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Приходится оставаться внерабочее время</w:t>
      </w:r>
    </w:p>
    <w:p w14:paraId="11551EA5"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 xml:space="preserve">21. Чаще кем допускаются ошибки со стороны коллег, которые определяются при составлении годовых отчетов по сахарному диабету 2 типа в программах НРСД, ЭРДБ, ИСЛО, КМИС? </w:t>
      </w:r>
    </w:p>
    <w:p w14:paraId="098557D7"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Врачи общей практики</w:t>
      </w:r>
    </w:p>
    <w:p w14:paraId="5B8799E9"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Врачи терапевты</w:t>
      </w:r>
    </w:p>
    <w:p w14:paraId="7C28726E"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Гинекологи</w:t>
      </w:r>
    </w:p>
    <w:p w14:paraId="36BAF0A7"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Кардиологи</w:t>
      </w:r>
    </w:p>
    <w:p w14:paraId="3CAF18E6"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w:t>
      </w:r>
      <w:r w:rsidRPr="004135FE">
        <w:rPr>
          <w:rFonts w:ascii="Times New Roman" w:hAnsi="Times New Roman" w:cs="Times New Roman"/>
          <w:b/>
          <w:sz w:val="28"/>
          <w:szCs w:val="28"/>
        </w:rPr>
        <w:t xml:space="preserve"> </w:t>
      </w:r>
      <w:r w:rsidRPr="004135FE">
        <w:rPr>
          <w:rFonts w:ascii="Times New Roman" w:hAnsi="Times New Roman" w:cs="Times New Roman"/>
          <w:sz w:val="28"/>
          <w:szCs w:val="28"/>
        </w:rPr>
        <w:t>Невропатологи</w:t>
      </w:r>
    </w:p>
    <w:p w14:paraId="5444D0B3"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22. Кто из коллег помог Вам во время карантина по коронавирусной инфекции для оказания помощи невыездным пациентам с сахарным диабетом 2 типа?</w:t>
      </w:r>
    </w:p>
    <w:p w14:paraId="6F0734D9" w14:textId="77777777" w:rsidR="008D5DB3" w:rsidRPr="004135FE" w:rsidRDefault="008D5DB3" w:rsidP="004135FE">
      <w:pPr>
        <w:numPr>
          <w:ilvl w:val="0"/>
          <w:numId w:val="5"/>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Никто </w:t>
      </w:r>
    </w:p>
    <w:p w14:paraId="0283502A" w14:textId="77777777" w:rsidR="008D5DB3" w:rsidRPr="004135FE" w:rsidRDefault="008D5DB3" w:rsidP="004135FE">
      <w:pPr>
        <w:numPr>
          <w:ilvl w:val="0"/>
          <w:numId w:val="5"/>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Медсестры кабинета эндокринолога</w:t>
      </w:r>
    </w:p>
    <w:p w14:paraId="02A6FAF5" w14:textId="77777777" w:rsidR="008D5DB3" w:rsidRPr="004135FE" w:rsidRDefault="008D5DB3" w:rsidP="004135FE">
      <w:pPr>
        <w:numPr>
          <w:ilvl w:val="0"/>
          <w:numId w:val="5"/>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Врачи общей практики и их медсестры</w:t>
      </w:r>
    </w:p>
    <w:p w14:paraId="5AF6361D" w14:textId="77777777" w:rsidR="008D5DB3" w:rsidRPr="004135FE" w:rsidRDefault="008D5DB3" w:rsidP="004135FE">
      <w:pPr>
        <w:numPr>
          <w:ilvl w:val="0"/>
          <w:numId w:val="5"/>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Терапевты и их медсестры</w:t>
      </w:r>
    </w:p>
    <w:p w14:paraId="3286CE59" w14:textId="77777777" w:rsidR="008D5DB3" w:rsidRPr="004135FE" w:rsidRDefault="008D5DB3" w:rsidP="004135FE">
      <w:pPr>
        <w:numPr>
          <w:ilvl w:val="0"/>
          <w:numId w:val="5"/>
        </w:numPr>
        <w:tabs>
          <w:tab w:val="left" w:pos="284"/>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Социальные работники</w:t>
      </w:r>
    </w:p>
    <w:p w14:paraId="38D2EC9C"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23. Из 100% на сколько Вы удовлетворены процессом в кабинете эндокринолога?</w:t>
      </w:r>
    </w:p>
    <w:p w14:paraId="0ECBDF23" w14:textId="77777777" w:rsidR="008D5DB3" w:rsidRPr="004135FE" w:rsidRDefault="008D5DB3" w:rsidP="004135FE">
      <w:pPr>
        <w:tabs>
          <w:tab w:val="left" w:pos="284"/>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А. В обычное время                               Б. Во время карантина по коронавирусной инфекции</w:t>
      </w:r>
    </w:p>
    <w:p w14:paraId="3E3BF99D" w14:textId="77777777" w:rsidR="008D5DB3" w:rsidRPr="004135FE" w:rsidRDefault="008D5DB3" w:rsidP="004135FE">
      <w:pPr>
        <w:tabs>
          <w:tab w:val="left" w:pos="284"/>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ниже 20%                                                                   1) ниже 20%</w:t>
      </w:r>
    </w:p>
    <w:p w14:paraId="1DE3C2D8" w14:textId="77777777" w:rsidR="008D5DB3" w:rsidRPr="004135FE" w:rsidRDefault="008D5DB3" w:rsidP="004135FE">
      <w:pPr>
        <w:tabs>
          <w:tab w:val="left" w:pos="284"/>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20-40%                                                                        2) 20-40%</w:t>
      </w:r>
    </w:p>
    <w:p w14:paraId="45B6A4E5" w14:textId="77777777" w:rsidR="008D5DB3" w:rsidRPr="004135FE" w:rsidRDefault="008D5DB3" w:rsidP="004135FE">
      <w:pPr>
        <w:tabs>
          <w:tab w:val="left" w:pos="284"/>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41-60%                                                                        3) 41-60%</w:t>
      </w:r>
    </w:p>
    <w:p w14:paraId="0AE0C986" w14:textId="77777777" w:rsidR="008D5DB3" w:rsidRPr="004135FE" w:rsidRDefault="008D5DB3" w:rsidP="004135FE">
      <w:pPr>
        <w:tabs>
          <w:tab w:val="left" w:pos="284"/>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61-70%                                                                        4) 61-70%</w:t>
      </w:r>
    </w:p>
    <w:p w14:paraId="6C9FD578" w14:textId="77777777" w:rsidR="008D5DB3" w:rsidRPr="004135FE" w:rsidRDefault="008D5DB3" w:rsidP="004135FE">
      <w:pPr>
        <w:tabs>
          <w:tab w:val="left" w:pos="284"/>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71-80%                                                                        5) 71-80%</w:t>
      </w:r>
    </w:p>
    <w:p w14:paraId="4ACD5AD9" w14:textId="77777777" w:rsidR="008D5DB3" w:rsidRPr="004135FE" w:rsidRDefault="008D5DB3" w:rsidP="004135FE">
      <w:pPr>
        <w:tabs>
          <w:tab w:val="left" w:pos="284"/>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81-90%                                                                        6) 81-90%</w:t>
      </w:r>
    </w:p>
    <w:p w14:paraId="43231338" w14:textId="77777777" w:rsidR="008D5DB3" w:rsidRPr="004135FE" w:rsidRDefault="008D5DB3" w:rsidP="004135FE">
      <w:pPr>
        <w:tabs>
          <w:tab w:val="left" w:pos="284"/>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7) 91-100%                                                                      7) 91-100%</w:t>
      </w:r>
    </w:p>
    <w:p w14:paraId="6159B034"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24. Причина не удовлетворенности?</w:t>
      </w:r>
    </w:p>
    <w:p w14:paraId="48C995DA"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Низкая заработная плата</w:t>
      </w:r>
    </w:p>
    <w:p w14:paraId="7886B9AA"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Нет солидарной ответственности за свое здоровье у пациентов, что выводит труд врача на нет</w:t>
      </w:r>
    </w:p>
    <w:p w14:paraId="638D970E"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Большая часть времени уходит на оформление документации пациентов</w:t>
      </w:r>
    </w:p>
    <w:p w14:paraId="49E8EE4B"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Не рациональная трата сил, которые не входят в функциональные обязанности</w:t>
      </w:r>
    </w:p>
    <w:p w14:paraId="080A96E8"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Не удовлетворяют протоколы и приказы по эндокринологической помощи пациентам с сахарным диабетом 2 типа</w:t>
      </w:r>
    </w:p>
    <w:p w14:paraId="194BE5BA"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Конфликты интересов с начальством касательно пациентов с сахарным диабетом 2 типа</w:t>
      </w:r>
    </w:p>
    <w:p w14:paraId="3DCA3798"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25. Как часто Вы думаете о смене специальности врача эндокринолога на другую?</w:t>
      </w:r>
    </w:p>
    <w:p w14:paraId="11C38D00"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1) Всегда </w:t>
      </w:r>
    </w:p>
    <w:p w14:paraId="1604F71E"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Часто</w:t>
      </w:r>
    </w:p>
    <w:p w14:paraId="578903A0"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Иногда</w:t>
      </w:r>
    </w:p>
    <w:p w14:paraId="3E5D0723"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Никогда</w:t>
      </w:r>
    </w:p>
    <w:p w14:paraId="11E7A6C7" w14:textId="77777777" w:rsidR="008D5DB3" w:rsidRPr="004135FE" w:rsidRDefault="008D5DB3" w:rsidP="004135FE">
      <w:pPr>
        <w:tabs>
          <w:tab w:val="left" w:pos="284"/>
        </w:tabs>
        <w:spacing w:after="0" w:line="240" w:lineRule="auto"/>
        <w:jc w:val="both"/>
        <w:rPr>
          <w:rFonts w:ascii="Times New Roman" w:hAnsi="Times New Roman" w:cs="Times New Roman"/>
          <w:sz w:val="28"/>
          <w:szCs w:val="28"/>
        </w:rPr>
      </w:pPr>
    </w:p>
    <w:p w14:paraId="7EF5EAB1"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p>
    <w:p w14:paraId="3B3996AA" w14:textId="77777777" w:rsidR="008D5DB3" w:rsidRPr="004135FE" w:rsidRDefault="008D5DB3" w:rsidP="004135FE">
      <w:pPr>
        <w:tabs>
          <w:tab w:val="left" w:pos="284"/>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Спасибо за участие в социологическом опросе!</w:t>
      </w:r>
    </w:p>
    <w:p w14:paraId="7AB280B3" w14:textId="77777777" w:rsidR="00680E37" w:rsidRPr="00680E37" w:rsidRDefault="00680E37" w:rsidP="004135FE">
      <w:pPr>
        <w:spacing w:after="0" w:line="240" w:lineRule="auto"/>
        <w:jc w:val="both"/>
        <w:rPr>
          <w:rFonts w:ascii="Times New Roman" w:hAnsi="Times New Roman" w:cs="Times New Roman"/>
          <w:bCs/>
          <w:sz w:val="28"/>
          <w:szCs w:val="28"/>
        </w:rPr>
      </w:pPr>
    </w:p>
    <w:p w14:paraId="6E0B75BF" w14:textId="41955E96" w:rsidR="008D5DB3" w:rsidRDefault="00680E37" w:rsidP="00680E37">
      <w:pPr>
        <w:spacing w:after="0" w:line="240" w:lineRule="auto"/>
        <w:jc w:val="center"/>
        <w:rPr>
          <w:rStyle w:val="A00"/>
          <w:rFonts w:ascii="Times New Roman" w:eastAsia="Arial Unicode MS" w:hAnsi="Times New Roman" w:cs="Times New Roman"/>
          <w:bCs/>
          <w:color w:val="auto"/>
          <w:sz w:val="28"/>
          <w:szCs w:val="28"/>
        </w:rPr>
      </w:pPr>
      <w:r>
        <w:rPr>
          <w:rStyle w:val="A00"/>
          <w:rFonts w:ascii="Times New Roman" w:eastAsia="Arial Unicode MS" w:hAnsi="Times New Roman" w:cs="Times New Roman"/>
          <w:bCs/>
          <w:color w:val="auto"/>
          <w:sz w:val="28"/>
          <w:szCs w:val="28"/>
        </w:rPr>
        <w:t>А</w:t>
      </w:r>
      <w:r w:rsidRPr="00680E37">
        <w:rPr>
          <w:rStyle w:val="A00"/>
          <w:rFonts w:ascii="Times New Roman" w:eastAsia="Arial Unicode MS" w:hAnsi="Times New Roman" w:cs="Times New Roman"/>
          <w:bCs/>
          <w:color w:val="auto"/>
          <w:sz w:val="28"/>
          <w:szCs w:val="28"/>
        </w:rPr>
        <w:t>лматы қ</w:t>
      </w:r>
      <w:r w:rsidRPr="00680E37">
        <w:rPr>
          <w:rStyle w:val="A00"/>
          <w:rFonts w:ascii="Times New Roman" w:eastAsia="Arial Unicode MS" w:hAnsi="Times New Roman" w:cs="Times New Roman"/>
          <w:bCs/>
          <w:color w:val="auto"/>
          <w:sz w:val="28"/>
          <w:szCs w:val="28"/>
          <w:lang w:val="kk-KZ"/>
        </w:rPr>
        <w:t>аласының</w:t>
      </w:r>
      <w:r w:rsidRPr="00680E37">
        <w:rPr>
          <w:rStyle w:val="A00"/>
          <w:rFonts w:ascii="Times New Roman" w:eastAsia="Arial Unicode MS" w:hAnsi="Times New Roman" w:cs="Times New Roman"/>
          <w:bCs/>
          <w:color w:val="auto"/>
          <w:sz w:val="28"/>
          <w:szCs w:val="28"/>
        </w:rPr>
        <w:t xml:space="preserve"> емхана</w:t>
      </w:r>
      <w:r w:rsidRPr="00680E37">
        <w:rPr>
          <w:rStyle w:val="A00"/>
          <w:rFonts w:ascii="Times New Roman" w:eastAsia="Arial Unicode MS" w:hAnsi="Times New Roman" w:cs="Times New Roman"/>
          <w:bCs/>
          <w:color w:val="auto"/>
          <w:sz w:val="28"/>
          <w:szCs w:val="28"/>
          <w:lang w:val="kk-KZ"/>
        </w:rPr>
        <w:t>ларында</w:t>
      </w:r>
      <w:r w:rsidRPr="00680E37">
        <w:rPr>
          <w:rStyle w:val="A00"/>
          <w:rFonts w:ascii="Times New Roman" w:eastAsia="Arial Unicode MS" w:hAnsi="Times New Roman" w:cs="Times New Roman"/>
          <w:bCs/>
          <w:color w:val="auto"/>
          <w:sz w:val="28"/>
          <w:szCs w:val="28"/>
        </w:rPr>
        <w:t xml:space="preserve"> 2 типті қант диабеті бар нау</w:t>
      </w:r>
      <w:r w:rsidRPr="00680E37">
        <w:rPr>
          <w:rStyle w:val="A00"/>
          <w:rFonts w:ascii="Times New Roman" w:eastAsia="Arial Unicode MS" w:hAnsi="Times New Roman" w:cs="Times New Roman"/>
          <w:bCs/>
          <w:color w:val="auto"/>
          <w:sz w:val="28"/>
          <w:szCs w:val="28"/>
          <w:lang w:val="kk-KZ"/>
        </w:rPr>
        <w:t>қастарға көмек көрсететін</w:t>
      </w:r>
      <w:r w:rsidRPr="00680E37">
        <w:rPr>
          <w:rStyle w:val="A00"/>
          <w:rFonts w:ascii="Times New Roman" w:eastAsia="Arial Unicode MS" w:hAnsi="Times New Roman" w:cs="Times New Roman"/>
          <w:bCs/>
          <w:color w:val="auto"/>
          <w:sz w:val="28"/>
          <w:szCs w:val="28"/>
        </w:rPr>
        <w:t xml:space="preserve"> эндокринолог</w:t>
      </w:r>
      <w:r w:rsidRPr="00680E37">
        <w:rPr>
          <w:rStyle w:val="A00"/>
          <w:rFonts w:ascii="Times New Roman" w:eastAsia="Arial Unicode MS" w:hAnsi="Times New Roman" w:cs="Times New Roman"/>
          <w:bCs/>
          <w:color w:val="auto"/>
          <w:sz w:val="28"/>
          <w:szCs w:val="28"/>
          <w:lang w:val="kk-KZ"/>
        </w:rPr>
        <w:t xml:space="preserve"> дәрігерлерге </w:t>
      </w:r>
      <w:r w:rsidRPr="00680E37">
        <w:rPr>
          <w:rStyle w:val="A00"/>
          <w:rFonts w:ascii="Times New Roman" w:eastAsia="Arial Unicode MS" w:hAnsi="Times New Roman" w:cs="Times New Roman"/>
          <w:bCs/>
          <w:color w:val="auto"/>
          <w:sz w:val="28"/>
          <w:szCs w:val="28"/>
        </w:rPr>
        <w:t>арналған сауалнама</w:t>
      </w:r>
    </w:p>
    <w:p w14:paraId="1A5A6CEC" w14:textId="77777777" w:rsidR="00680E37" w:rsidRPr="00680E37" w:rsidRDefault="00680E37" w:rsidP="00680E37">
      <w:pPr>
        <w:spacing w:after="0" w:line="240" w:lineRule="auto"/>
        <w:jc w:val="center"/>
        <w:rPr>
          <w:rFonts w:ascii="Times New Roman" w:eastAsia="Arial Unicode MS" w:hAnsi="Times New Roman" w:cs="Times New Roman"/>
          <w:bCs/>
          <w:caps/>
          <w:sz w:val="28"/>
          <w:szCs w:val="28"/>
          <w:shd w:val="clear" w:color="auto" w:fill="FFFFFF"/>
        </w:rPr>
      </w:pPr>
    </w:p>
    <w:p w14:paraId="48B10A1C" w14:textId="77777777" w:rsidR="008D5DB3" w:rsidRPr="004135FE" w:rsidRDefault="008D5DB3" w:rsidP="00680E37">
      <w:pPr>
        <w:spacing w:after="0" w:line="240" w:lineRule="auto"/>
        <w:jc w:val="center"/>
        <w:rPr>
          <w:rFonts w:ascii="Times New Roman" w:hAnsi="Times New Roman" w:cs="Times New Roman"/>
          <w:b/>
          <w:sz w:val="28"/>
          <w:szCs w:val="28"/>
          <w:lang w:val="kk-KZ"/>
        </w:rPr>
      </w:pPr>
      <w:r w:rsidRPr="004135FE">
        <w:rPr>
          <w:rFonts w:ascii="Times New Roman" w:hAnsi="Times New Roman" w:cs="Times New Roman"/>
          <w:b/>
          <w:sz w:val="28"/>
          <w:szCs w:val="28"/>
          <w:lang w:val="kk-KZ"/>
        </w:rPr>
        <w:t>Құрметті әлеумет</w:t>
      </w:r>
      <w:r w:rsidR="000426BB" w:rsidRPr="004135FE">
        <w:rPr>
          <w:rFonts w:ascii="Times New Roman" w:hAnsi="Times New Roman" w:cs="Times New Roman"/>
          <w:b/>
          <w:sz w:val="28"/>
          <w:szCs w:val="28"/>
          <w:lang w:val="kk-KZ"/>
        </w:rPr>
        <w:t>тік сауалнамаға қатысушы тұлға!</w:t>
      </w:r>
    </w:p>
    <w:p w14:paraId="71ACA99B" w14:textId="77777777" w:rsidR="00232F52" w:rsidRPr="004135FE" w:rsidRDefault="00232F52" w:rsidP="004135FE">
      <w:pPr>
        <w:spacing w:after="0" w:line="240" w:lineRule="auto"/>
        <w:ind w:firstLine="708"/>
        <w:jc w:val="both"/>
        <w:rPr>
          <w:rStyle w:val="A00"/>
          <w:rFonts w:ascii="Times New Roman" w:eastAsia="Arial Unicode MS" w:hAnsi="Times New Roman" w:cs="Times New Roman"/>
          <w:sz w:val="28"/>
          <w:szCs w:val="28"/>
          <w:lang w:val="kk-KZ"/>
        </w:rPr>
      </w:pPr>
      <w:r w:rsidRPr="004135FE">
        <w:rPr>
          <w:rFonts w:ascii="Times New Roman" w:hAnsi="Times New Roman" w:cs="Times New Roman"/>
          <w:b/>
          <w:sz w:val="28"/>
          <w:szCs w:val="28"/>
          <w:lang w:val="kk-KZ"/>
        </w:rPr>
        <w:t xml:space="preserve">«ҚДСЖМ» Қазақстандық медицина университеті </w:t>
      </w:r>
      <w:r w:rsidRPr="004135FE">
        <w:rPr>
          <w:rStyle w:val="A00"/>
          <w:rFonts w:ascii="Times New Roman" w:hAnsi="Times New Roman" w:cs="Times New Roman"/>
          <w:sz w:val="28"/>
          <w:szCs w:val="28"/>
          <w:lang w:val="kk-KZ"/>
        </w:rPr>
        <w:t>2 типті қант диабеті жағдайында медициналық көмек көрсету</w:t>
      </w:r>
      <w:r w:rsidRPr="004135FE">
        <w:rPr>
          <w:rStyle w:val="A00"/>
          <w:rFonts w:ascii="Times New Roman" w:eastAsia="Arial Unicode MS" w:hAnsi="Times New Roman" w:cs="Times New Roman"/>
          <w:sz w:val="28"/>
          <w:szCs w:val="28"/>
          <w:lang w:val="kk-KZ"/>
        </w:rPr>
        <w:t xml:space="preserve"> және сектораралық ынтымақтастықты жетілдіру бойынша</w:t>
      </w:r>
      <w:r w:rsidRPr="004135FE">
        <w:rPr>
          <w:rStyle w:val="A00"/>
          <w:rFonts w:ascii="Times New Roman" w:hAnsi="Times New Roman" w:cs="Times New Roman"/>
          <w:sz w:val="28"/>
          <w:szCs w:val="28"/>
          <w:lang w:val="kk-KZ"/>
        </w:rPr>
        <w:t xml:space="preserve"> </w:t>
      </w:r>
      <w:r w:rsidRPr="004135FE">
        <w:rPr>
          <w:rFonts w:ascii="Times New Roman" w:eastAsia="Times New Roman" w:hAnsi="Times New Roman" w:cs="Times New Roman"/>
          <w:color w:val="000000"/>
          <w:sz w:val="28"/>
          <w:szCs w:val="28"/>
          <w:lang w:val="kk-KZ"/>
        </w:rPr>
        <w:t>қажеттіліктері анықтау</w:t>
      </w:r>
      <w:r w:rsidRPr="004135FE">
        <w:rPr>
          <w:rStyle w:val="A00"/>
          <w:rFonts w:ascii="Times New Roman" w:hAnsi="Times New Roman" w:cs="Times New Roman"/>
          <w:sz w:val="28"/>
          <w:szCs w:val="28"/>
          <w:lang w:val="kk-KZ"/>
        </w:rPr>
        <w:t xml:space="preserve"> бойынша эндокринолог дәрігерлерінің арасында әлеуметтік сауалнама жүргізеді. </w:t>
      </w:r>
      <w:r w:rsidRPr="004135FE">
        <w:rPr>
          <w:rStyle w:val="A00"/>
          <w:rFonts w:ascii="Times New Roman" w:eastAsia="Arial Unicode MS" w:hAnsi="Times New Roman" w:cs="Times New Roman"/>
          <w:sz w:val="28"/>
          <w:szCs w:val="28"/>
          <w:lang w:val="kk-KZ"/>
        </w:rPr>
        <w:t>Бірлесіп жүргізілген жұмыс нәтижесінде 2 типті қант диабеті жағдайында медициналық көмек көрсету және сектораралық ынтымақтастықты жетілдіру бойынша ұсыныстар әзірленетін болады</w:t>
      </w:r>
    </w:p>
    <w:p w14:paraId="371E671B" w14:textId="517496D0" w:rsidR="008D5DB3" w:rsidRPr="004135FE" w:rsidRDefault="009D6CE8" w:rsidP="004135FE">
      <w:pPr>
        <w:spacing w:after="0" w:line="240" w:lineRule="auto"/>
        <w:ind w:firstLine="708"/>
        <w:jc w:val="both"/>
        <w:rPr>
          <w:rStyle w:val="A00"/>
          <w:rFonts w:ascii="Times New Roman" w:hAnsi="Times New Roman" w:cs="Times New Roman"/>
          <w:color w:val="auto"/>
          <w:sz w:val="28"/>
          <w:szCs w:val="28"/>
          <w:lang w:val="kk-KZ"/>
        </w:rPr>
      </w:pPr>
      <w:r w:rsidRPr="004135FE">
        <w:rPr>
          <w:rStyle w:val="A00"/>
          <w:rFonts w:ascii="Times New Roman" w:hAnsi="Times New Roman" w:cs="Times New Roman"/>
          <w:color w:val="auto"/>
          <w:sz w:val="28"/>
          <w:szCs w:val="28"/>
          <w:lang w:val="kk-KZ"/>
        </w:rPr>
        <w:t xml:space="preserve"> </w:t>
      </w:r>
      <w:r w:rsidR="008D5DB3" w:rsidRPr="004135FE">
        <w:rPr>
          <w:rStyle w:val="A00"/>
          <w:rFonts w:ascii="Times New Roman" w:hAnsi="Times New Roman" w:cs="Times New Roman"/>
          <w:color w:val="auto"/>
          <w:sz w:val="28"/>
          <w:szCs w:val="28"/>
          <w:lang w:val="kk-KZ"/>
        </w:rPr>
        <w:t>Сұрақтармен мұқият танысыңыз. Ең дұрыс деп санайтын жауапты таңдап белгілеңіз. Біз Сізді осы сауалнамаға қатысуға шақырамыз</w:t>
      </w:r>
      <w:r w:rsidR="000426BB" w:rsidRPr="004135FE">
        <w:rPr>
          <w:rStyle w:val="A00"/>
          <w:rFonts w:ascii="Times New Roman" w:hAnsi="Times New Roman" w:cs="Times New Roman"/>
          <w:color w:val="auto"/>
          <w:sz w:val="28"/>
          <w:szCs w:val="28"/>
          <w:lang w:val="kk-KZ"/>
        </w:rPr>
        <w:t xml:space="preserve">, Сіздің пікіріңіз өте маңызды. </w:t>
      </w:r>
      <w:r w:rsidR="008D5DB3" w:rsidRPr="004135FE">
        <w:rPr>
          <w:rStyle w:val="A00"/>
          <w:rFonts w:ascii="Times New Roman" w:hAnsi="Times New Roman" w:cs="Times New Roman"/>
          <w:color w:val="auto"/>
          <w:sz w:val="28"/>
          <w:szCs w:val="28"/>
          <w:lang w:val="kk-KZ"/>
        </w:rPr>
        <w:t>Осы сауалнаманы толтыру үшін Сізге 15-20 минут қажет</w:t>
      </w:r>
      <w:r w:rsidR="000426BB" w:rsidRPr="004135FE">
        <w:rPr>
          <w:rStyle w:val="A00"/>
          <w:rFonts w:ascii="Times New Roman" w:hAnsi="Times New Roman" w:cs="Times New Roman"/>
          <w:color w:val="auto"/>
          <w:sz w:val="28"/>
          <w:szCs w:val="28"/>
          <w:lang w:val="kk-KZ"/>
        </w:rPr>
        <w:t xml:space="preserve">. </w:t>
      </w:r>
      <w:r w:rsidR="008D5DB3" w:rsidRPr="004135FE">
        <w:rPr>
          <w:rStyle w:val="A00"/>
          <w:rFonts w:ascii="Times New Roman" w:hAnsi="Times New Roman" w:cs="Times New Roman"/>
          <w:color w:val="auto"/>
          <w:sz w:val="28"/>
          <w:szCs w:val="28"/>
          <w:lang w:val="kk-KZ"/>
        </w:rPr>
        <w:t>Мәліметтердің құпиялылығына</w:t>
      </w:r>
      <w:r w:rsidR="000426BB" w:rsidRPr="004135FE">
        <w:rPr>
          <w:rStyle w:val="A00"/>
          <w:rFonts w:ascii="Times New Roman" w:hAnsi="Times New Roman" w:cs="Times New Roman"/>
          <w:color w:val="auto"/>
          <w:sz w:val="28"/>
          <w:szCs w:val="28"/>
          <w:lang w:val="kk-KZ"/>
        </w:rPr>
        <w:t xml:space="preserve"> кепілдік беріледі! </w:t>
      </w:r>
      <w:r w:rsidR="008D5DB3" w:rsidRPr="004135FE">
        <w:rPr>
          <w:rStyle w:val="A00"/>
          <w:rFonts w:ascii="Times New Roman" w:hAnsi="Times New Roman" w:cs="Times New Roman"/>
          <w:color w:val="auto"/>
          <w:sz w:val="28"/>
          <w:szCs w:val="28"/>
          <w:lang w:val="kk-KZ"/>
        </w:rPr>
        <w:t>Қосымша ақпарат алу үшін бас зерттеуші Жузенова Мақпал Адиловнамен байланыса аласыз.</w:t>
      </w:r>
    </w:p>
    <w:p w14:paraId="2466439D" w14:textId="77777777" w:rsidR="008D5DB3" w:rsidRPr="004135FE" w:rsidRDefault="008D5DB3" w:rsidP="004135FE">
      <w:pPr>
        <w:spacing w:after="0" w:line="240" w:lineRule="auto"/>
        <w:ind w:firstLine="709"/>
        <w:jc w:val="both"/>
        <w:rPr>
          <w:rStyle w:val="A00"/>
          <w:rFonts w:ascii="Times New Roman" w:hAnsi="Times New Roman" w:cs="Times New Roman"/>
          <w:color w:val="auto"/>
          <w:sz w:val="28"/>
          <w:szCs w:val="28"/>
          <w:lang w:val="kk-KZ"/>
        </w:rPr>
      </w:pPr>
      <w:r w:rsidRPr="004135FE">
        <w:rPr>
          <w:rStyle w:val="A00"/>
          <w:rFonts w:ascii="Times New Roman" w:eastAsia="Arial Unicode MS" w:hAnsi="Times New Roman" w:cs="Times New Roman"/>
          <w:color w:val="auto"/>
          <w:sz w:val="28"/>
          <w:szCs w:val="28"/>
          <w:lang w:val="kk-KZ"/>
        </w:rPr>
        <w:t>Тел.: 8 701 222 64 10</w:t>
      </w:r>
      <w:r w:rsidRPr="004135FE">
        <w:rPr>
          <w:rStyle w:val="A00"/>
          <w:rFonts w:ascii="Times New Roman" w:hAnsi="Times New Roman" w:cs="Times New Roman"/>
          <w:color w:val="auto"/>
          <w:sz w:val="28"/>
          <w:szCs w:val="28"/>
          <w:lang w:val="kk-KZ"/>
        </w:rPr>
        <w:t xml:space="preserve">   </w:t>
      </w:r>
      <w:r w:rsidRPr="004135FE">
        <w:rPr>
          <w:rStyle w:val="A00"/>
          <w:rFonts w:ascii="Times New Roman" w:eastAsia="Arial Unicode MS" w:hAnsi="Times New Roman" w:cs="Times New Roman"/>
          <w:color w:val="auto"/>
          <w:sz w:val="28"/>
          <w:szCs w:val="28"/>
          <w:lang w:val="kk-KZ"/>
        </w:rPr>
        <w:t>E-mail: zhuzenovam@gmail.com</w:t>
      </w:r>
    </w:p>
    <w:p w14:paraId="023C987C" w14:textId="77777777" w:rsidR="008D5DB3" w:rsidRPr="004135FE" w:rsidRDefault="008D5DB3" w:rsidP="004135FE">
      <w:pPr>
        <w:spacing w:after="0" w:line="240" w:lineRule="auto"/>
        <w:jc w:val="both"/>
        <w:rPr>
          <w:rFonts w:ascii="Times New Roman" w:hAnsi="Times New Roman" w:cs="Times New Roman"/>
          <w:caps/>
          <w:sz w:val="28"/>
          <w:szCs w:val="28"/>
          <w:lang w:val="kk-KZ"/>
        </w:rPr>
      </w:pPr>
    </w:p>
    <w:p w14:paraId="69B2743B"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1-бөлім. ДӘРІГЕРДІҢ ДЕРЕКТЕРІ</w:t>
      </w:r>
    </w:p>
    <w:p w14:paraId="7E21FB8F" w14:textId="77777777" w:rsidR="008D5DB3" w:rsidRPr="004135FE" w:rsidRDefault="008D5DB3" w:rsidP="004135FE">
      <w:pPr>
        <w:spacing w:after="0" w:line="240" w:lineRule="auto"/>
        <w:jc w:val="both"/>
        <w:rPr>
          <w:rFonts w:ascii="Times New Roman" w:hAnsi="Times New Roman" w:cs="Times New Roman"/>
          <w:sz w:val="28"/>
          <w:szCs w:val="28"/>
          <w:lang w:val="kk-KZ"/>
        </w:rPr>
      </w:pPr>
    </w:p>
    <w:p w14:paraId="78BCA504"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b/>
          <w:sz w:val="28"/>
          <w:szCs w:val="28"/>
          <w:lang w:val="kk-KZ"/>
        </w:rPr>
        <w:t>1. Жынысы</w:t>
      </w:r>
      <w:r w:rsidRPr="004135FE">
        <w:rPr>
          <w:rFonts w:ascii="Times New Roman" w:hAnsi="Times New Roman" w:cs="Times New Roman"/>
          <w:sz w:val="28"/>
          <w:szCs w:val="28"/>
          <w:lang w:val="kk-KZ"/>
        </w:rPr>
        <w:t xml:space="preserve">: </w:t>
      </w:r>
    </w:p>
    <w:p w14:paraId="78138542"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 xml:space="preserve">1) "еркек"             </w:t>
      </w:r>
    </w:p>
    <w:p w14:paraId="1FEC2A17"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 әйел»</w:t>
      </w:r>
    </w:p>
    <w:p w14:paraId="1C2CEC0C" w14:textId="77777777" w:rsidR="008D5DB3" w:rsidRPr="004135FE" w:rsidRDefault="008D5DB3" w:rsidP="004135FE">
      <w:pPr>
        <w:spacing w:after="0" w:line="240" w:lineRule="auto"/>
        <w:jc w:val="both"/>
        <w:rPr>
          <w:rFonts w:ascii="Times New Roman" w:hAnsi="Times New Roman" w:cs="Times New Roman"/>
          <w:sz w:val="28"/>
          <w:szCs w:val="28"/>
          <w:lang w:val="en-US"/>
        </w:rPr>
      </w:pPr>
      <w:r w:rsidRPr="004135FE">
        <w:rPr>
          <w:rFonts w:ascii="Times New Roman" w:hAnsi="Times New Roman" w:cs="Times New Roman"/>
          <w:b/>
          <w:sz w:val="28"/>
          <w:szCs w:val="28"/>
          <w:lang w:val="en-US"/>
        </w:rPr>
        <w:t xml:space="preserve">2. </w:t>
      </w:r>
      <w:r w:rsidRPr="004135FE">
        <w:rPr>
          <w:rFonts w:ascii="Times New Roman" w:hAnsi="Times New Roman" w:cs="Times New Roman"/>
          <w:b/>
          <w:sz w:val="28"/>
          <w:szCs w:val="28"/>
        </w:rPr>
        <w:t>Жасы</w:t>
      </w:r>
      <w:r w:rsidRPr="004135FE">
        <w:rPr>
          <w:rFonts w:ascii="Times New Roman" w:hAnsi="Times New Roman" w:cs="Times New Roman"/>
          <w:sz w:val="28"/>
          <w:szCs w:val="28"/>
          <w:lang w:val="en-US"/>
        </w:rPr>
        <w:t>:</w:t>
      </w:r>
    </w:p>
    <w:p w14:paraId="02684162" w14:textId="77777777" w:rsidR="008D5DB3" w:rsidRPr="004135FE" w:rsidRDefault="008D5DB3" w:rsidP="004135FE">
      <w:pPr>
        <w:numPr>
          <w:ilvl w:val="0"/>
          <w:numId w:val="7"/>
        </w:numPr>
        <w:tabs>
          <w:tab w:val="left" w:pos="0"/>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25</w:t>
      </w:r>
      <w:r w:rsidRPr="004135FE">
        <w:rPr>
          <w:rFonts w:ascii="Times New Roman" w:hAnsi="Times New Roman" w:cs="Times New Roman"/>
          <w:sz w:val="28"/>
          <w:szCs w:val="28"/>
          <w:lang w:val="kk-KZ"/>
        </w:rPr>
        <w:t xml:space="preserve">-ке </w:t>
      </w:r>
      <w:r w:rsidRPr="004135FE">
        <w:rPr>
          <w:rFonts w:ascii="Times New Roman" w:hAnsi="Times New Roman" w:cs="Times New Roman"/>
          <w:sz w:val="28"/>
          <w:szCs w:val="28"/>
        </w:rPr>
        <w:t xml:space="preserve">дейін  </w:t>
      </w:r>
    </w:p>
    <w:p w14:paraId="74A108D7" w14:textId="77777777" w:rsidR="008D5DB3" w:rsidRPr="004135FE" w:rsidRDefault="008D5DB3" w:rsidP="004135FE">
      <w:pPr>
        <w:numPr>
          <w:ilvl w:val="0"/>
          <w:numId w:val="7"/>
        </w:numPr>
        <w:tabs>
          <w:tab w:val="left" w:pos="0"/>
        </w:tabs>
        <w:spacing w:after="0" w:line="240" w:lineRule="auto"/>
        <w:ind w:left="0" w:firstLine="0"/>
        <w:jc w:val="both"/>
        <w:rPr>
          <w:rFonts w:ascii="Times New Roman" w:hAnsi="Times New Roman" w:cs="Times New Roman"/>
          <w:sz w:val="28"/>
          <w:szCs w:val="28"/>
          <w:lang w:val="en-US"/>
        </w:rPr>
      </w:pPr>
      <w:r w:rsidRPr="004135FE">
        <w:rPr>
          <w:rFonts w:ascii="Times New Roman" w:hAnsi="Times New Roman" w:cs="Times New Roman"/>
          <w:sz w:val="28"/>
          <w:szCs w:val="28"/>
          <w:lang w:val="en-US"/>
        </w:rPr>
        <w:t xml:space="preserve">26 - 30  </w:t>
      </w:r>
    </w:p>
    <w:p w14:paraId="60DD21CF" w14:textId="77777777" w:rsidR="008D5DB3" w:rsidRPr="004135FE" w:rsidRDefault="008D5DB3" w:rsidP="004135FE">
      <w:pPr>
        <w:numPr>
          <w:ilvl w:val="0"/>
          <w:numId w:val="7"/>
        </w:numPr>
        <w:tabs>
          <w:tab w:val="left" w:pos="0"/>
        </w:tabs>
        <w:spacing w:after="0" w:line="240" w:lineRule="auto"/>
        <w:ind w:left="0" w:firstLine="0"/>
        <w:jc w:val="both"/>
        <w:rPr>
          <w:rFonts w:ascii="Times New Roman" w:hAnsi="Times New Roman" w:cs="Times New Roman"/>
          <w:sz w:val="28"/>
          <w:szCs w:val="28"/>
          <w:lang w:val="en-US"/>
        </w:rPr>
      </w:pPr>
      <w:r w:rsidRPr="004135FE">
        <w:rPr>
          <w:rFonts w:ascii="Times New Roman" w:hAnsi="Times New Roman" w:cs="Times New Roman"/>
          <w:sz w:val="28"/>
          <w:szCs w:val="28"/>
          <w:lang w:val="en-US"/>
        </w:rPr>
        <w:t>31 – 35</w:t>
      </w:r>
    </w:p>
    <w:p w14:paraId="1E66DCCA" w14:textId="77777777" w:rsidR="008D5DB3" w:rsidRPr="004135FE" w:rsidRDefault="008D5DB3" w:rsidP="004135FE">
      <w:pPr>
        <w:numPr>
          <w:ilvl w:val="0"/>
          <w:numId w:val="7"/>
        </w:numPr>
        <w:tabs>
          <w:tab w:val="left" w:pos="0"/>
        </w:tabs>
        <w:spacing w:after="0" w:line="240" w:lineRule="auto"/>
        <w:ind w:left="0" w:firstLine="0"/>
        <w:jc w:val="both"/>
        <w:rPr>
          <w:rFonts w:ascii="Times New Roman" w:hAnsi="Times New Roman" w:cs="Times New Roman"/>
          <w:sz w:val="28"/>
          <w:szCs w:val="28"/>
          <w:lang w:val="en-US"/>
        </w:rPr>
      </w:pPr>
      <w:r w:rsidRPr="004135FE">
        <w:rPr>
          <w:rFonts w:ascii="Times New Roman" w:hAnsi="Times New Roman" w:cs="Times New Roman"/>
          <w:sz w:val="28"/>
          <w:szCs w:val="28"/>
          <w:lang w:val="en-US"/>
        </w:rPr>
        <w:t>36 – 40</w:t>
      </w:r>
    </w:p>
    <w:p w14:paraId="6B30FC02" w14:textId="77777777" w:rsidR="008D5DB3" w:rsidRPr="004135FE" w:rsidRDefault="008D5DB3" w:rsidP="004135FE">
      <w:pPr>
        <w:numPr>
          <w:ilvl w:val="0"/>
          <w:numId w:val="7"/>
        </w:numPr>
        <w:tabs>
          <w:tab w:val="left" w:pos="0"/>
        </w:tabs>
        <w:spacing w:after="0" w:line="240" w:lineRule="auto"/>
        <w:ind w:left="0" w:firstLine="0"/>
        <w:jc w:val="both"/>
        <w:rPr>
          <w:rFonts w:ascii="Times New Roman" w:hAnsi="Times New Roman" w:cs="Times New Roman"/>
          <w:sz w:val="28"/>
          <w:szCs w:val="28"/>
          <w:lang w:val="en-US"/>
        </w:rPr>
      </w:pPr>
      <w:r w:rsidRPr="004135FE">
        <w:rPr>
          <w:rFonts w:ascii="Times New Roman" w:hAnsi="Times New Roman" w:cs="Times New Roman"/>
          <w:sz w:val="28"/>
          <w:szCs w:val="28"/>
          <w:lang w:val="en-US"/>
        </w:rPr>
        <w:t>41 – 45</w:t>
      </w:r>
    </w:p>
    <w:p w14:paraId="5140D5A2" w14:textId="77777777" w:rsidR="008D5DB3" w:rsidRPr="004135FE" w:rsidRDefault="008D5DB3" w:rsidP="004135FE">
      <w:pPr>
        <w:numPr>
          <w:ilvl w:val="0"/>
          <w:numId w:val="7"/>
        </w:numPr>
        <w:tabs>
          <w:tab w:val="left" w:pos="0"/>
        </w:tabs>
        <w:spacing w:after="0" w:line="240" w:lineRule="auto"/>
        <w:ind w:left="0" w:firstLine="0"/>
        <w:jc w:val="both"/>
        <w:rPr>
          <w:rFonts w:ascii="Times New Roman" w:hAnsi="Times New Roman" w:cs="Times New Roman"/>
          <w:sz w:val="28"/>
          <w:szCs w:val="28"/>
          <w:lang w:val="en-US"/>
        </w:rPr>
      </w:pPr>
      <w:r w:rsidRPr="004135FE">
        <w:rPr>
          <w:rFonts w:ascii="Times New Roman" w:hAnsi="Times New Roman" w:cs="Times New Roman"/>
          <w:sz w:val="28"/>
          <w:szCs w:val="28"/>
          <w:lang w:val="en-US"/>
        </w:rPr>
        <w:t>46 – 50</w:t>
      </w:r>
    </w:p>
    <w:p w14:paraId="3F5079E6" w14:textId="77777777" w:rsidR="008D5DB3" w:rsidRPr="004135FE" w:rsidRDefault="008D5DB3" w:rsidP="004135FE">
      <w:pPr>
        <w:numPr>
          <w:ilvl w:val="0"/>
          <w:numId w:val="7"/>
        </w:numPr>
        <w:tabs>
          <w:tab w:val="left" w:pos="0"/>
        </w:tabs>
        <w:spacing w:after="0" w:line="240" w:lineRule="auto"/>
        <w:ind w:left="0" w:firstLine="0"/>
        <w:jc w:val="both"/>
        <w:rPr>
          <w:rFonts w:ascii="Times New Roman" w:hAnsi="Times New Roman" w:cs="Times New Roman"/>
          <w:sz w:val="28"/>
          <w:szCs w:val="28"/>
          <w:lang w:val="en-US"/>
        </w:rPr>
      </w:pPr>
      <w:r w:rsidRPr="004135FE">
        <w:rPr>
          <w:rFonts w:ascii="Times New Roman" w:hAnsi="Times New Roman" w:cs="Times New Roman"/>
          <w:sz w:val="28"/>
          <w:szCs w:val="28"/>
          <w:lang w:val="en-US"/>
        </w:rPr>
        <w:t>51 – 55</w:t>
      </w:r>
    </w:p>
    <w:p w14:paraId="0D61426D" w14:textId="77777777" w:rsidR="008D5DB3" w:rsidRPr="004135FE" w:rsidRDefault="008D5DB3" w:rsidP="004135FE">
      <w:pPr>
        <w:numPr>
          <w:ilvl w:val="0"/>
          <w:numId w:val="7"/>
        </w:numPr>
        <w:tabs>
          <w:tab w:val="left" w:pos="0"/>
        </w:tabs>
        <w:spacing w:after="0" w:line="240" w:lineRule="auto"/>
        <w:ind w:left="0" w:firstLine="0"/>
        <w:jc w:val="both"/>
        <w:rPr>
          <w:rFonts w:ascii="Times New Roman" w:hAnsi="Times New Roman" w:cs="Times New Roman"/>
          <w:sz w:val="28"/>
          <w:szCs w:val="28"/>
          <w:lang w:val="en-US"/>
        </w:rPr>
      </w:pPr>
      <w:r w:rsidRPr="004135FE">
        <w:rPr>
          <w:rFonts w:ascii="Times New Roman" w:hAnsi="Times New Roman" w:cs="Times New Roman"/>
          <w:sz w:val="28"/>
          <w:szCs w:val="28"/>
          <w:lang w:val="en-US"/>
        </w:rPr>
        <w:t>56 – 60</w:t>
      </w:r>
    </w:p>
    <w:p w14:paraId="673E0937" w14:textId="77777777" w:rsidR="008D5DB3" w:rsidRPr="004135FE" w:rsidRDefault="008D5DB3" w:rsidP="004135FE">
      <w:pPr>
        <w:numPr>
          <w:ilvl w:val="0"/>
          <w:numId w:val="7"/>
        </w:numPr>
        <w:tabs>
          <w:tab w:val="left" w:pos="0"/>
        </w:tabs>
        <w:spacing w:after="0" w:line="240" w:lineRule="auto"/>
        <w:ind w:left="0" w:firstLine="0"/>
        <w:jc w:val="both"/>
        <w:rPr>
          <w:rFonts w:ascii="Times New Roman" w:hAnsi="Times New Roman" w:cs="Times New Roman"/>
          <w:sz w:val="28"/>
          <w:szCs w:val="28"/>
          <w:lang w:val="en-US"/>
        </w:rPr>
      </w:pPr>
      <w:r w:rsidRPr="004135FE">
        <w:rPr>
          <w:rFonts w:ascii="Times New Roman" w:hAnsi="Times New Roman" w:cs="Times New Roman"/>
          <w:sz w:val="28"/>
          <w:szCs w:val="28"/>
          <w:lang w:val="en-US"/>
        </w:rPr>
        <w:t>61 – 65</w:t>
      </w:r>
    </w:p>
    <w:p w14:paraId="51F476F8" w14:textId="77777777" w:rsidR="008D5DB3" w:rsidRPr="004135FE" w:rsidRDefault="008D5DB3" w:rsidP="004135FE">
      <w:pPr>
        <w:numPr>
          <w:ilvl w:val="0"/>
          <w:numId w:val="7"/>
        </w:numPr>
        <w:tabs>
          <w:tab w:val="left" w:pos="0"/>
        </w:tabs>
        <w:spacing w:after="0" w:line="240" w:lineRule="auto"/>
        <w:ind w:left="0" w:firstLine="0"/>
        <w:jc w:val="both"/>
        <w:rPr>
          <w:rFonts w:ascii="Times New Roman" w:hAnsi="Times New Roman" w:cs="Times New Roman"/>
          <w:sz w:val="28"/>
          <w:szCs w:val="28"/>
          <w:lang w:val="en-US"/>
        </w:rPr>
      </w:pPr>
      <w:r w:rsidRPr="004135FE">
        <w:rPr>
          <w:rFonts w:ascii="Times New Roman" w:hAnsi="Times New Roman" w:cs="Times New Roman"/>
          <w:sz w:val="28"/>
          <w:szCs w:val="28"/>
          <w:lang w:val="en-US"/>
        </w:rPr>
        <w:t>66 – 70</w:t>
      </w:r>
    </w:p>
    <w:p w14:paraId="2A84E8D4" w14:textId="77777777" w:rsidR="008D5DB3" w:rsidRPr="004135FE" w:rsidRDefault="008D5DB3" w:rsidP="004135FE">
      <w:pPr>
        <w:numPr>
          <w:ilvl w:val="0"/>
          <w:numId w:val="7"/>
        </w:numPr>
        <w:tabs>
          <w:tab w:val="left" w:pos="0"/>
        </w:tabs>
        <w:spacing w:after="0" w:line="240" w:lineRule="auto"/>
        <w:ind w:left="0" w:firstLine="0"/>
        <w:jc w:val="both"/>
        <w:rPr>
          <w:rFonts w:ascii="Times New Roman" w:hAnsi="Times New Roman" w:cs="Times New Roman"/>
          <w:sz w:val="28"/>
          <w:szCs w:val="28"/>
          <w:lang w:val="en-US"/>
        </w:rPr>
      </w:pPr>
      <w:r w:rsidRPr="004135FE">
        <w:rPr>
          <w:rFonts w:ascii="Times New Roman" w:hAnsi="Times New Roman" w:cs="Times New Roman"/>
          <w:sz w:val="28"/>
          <w:szCs w:val="28"/>
          <w:lang w:val="en-US"/>
        </w:rPr>
        <w:t>70-</w:t>
      </w:r>
      <w:r w:rsidRPr="004135FE">
        <w:rPr>
          <w:rFonts w:ascii="Times New Roman" w:hAnsi="Times New Roman" w:cs="Times New Roman"/>
          <w:sz w:val="28"/>
          <w:szCs w:val="28"/>
        </w:rPr>
        <w:t>тен</w:t>
      </w:r>
      <w:r w:rsidRPr="004135FE">
        <w:rPr>
          <w:rFonts w:ascii="Times New Roman" w:hAnsi="Times New Roman" w:cs="Times New Roman"/>
          <w:sz w:val="28"/>
          <w:szCs w:val="28"/>
          <w:lang w:val="en-US"/>
        </w:rPr>
        <w:t xml:space="preserve"> </w:t>
      </w:r>
      <w:r w:rsidRPr="004135FE">
        <w:rPr>
          <w:rFonts w:ascii="Times New Roman" w:hAnsi="Times New Roman" w:cs="Times New Roman"/>
          <w:sz w:val="28"/>
          <w:szCs w:val="28"/>
        </w:rPr>
        <w:t>жоғары</w:t>
      </w:r>
    </w:p>
    <w:p w14:paraId="30967278" w14:textId="77777777" w:rsidR="008D5DB3" w:rsidRPr="004135FE" w:rsidRDefault="008D5DB3" w:rsidP="004135FE">
      <w:pPr>
        <w:spacing w:after="0" w:line="240" w:lineRule="auto"/>
        <w:jc w:val="both"/>
        <w:rPr>
          <w:rFonts w:ascii="Times New Roman" w:hAnsi="Times New Roman" w:cs="Times New Roman"/>
          <w:sz w:val="28"/>
          <w:szCs w:val="28"/>
          <w:lang w:val="en-US"/>
        </w:rPr>
      </w:pPr>
      <w:r w:rsidRPr="004135FE">
        <w:rPr>
          <w:rFonts w:ascii="Times New Roman" w:hAnsi="Times New Roman" w:cs="Times New Roman"/>
          <w:b/>
          <w:sz w:val="28"/>
          <w:szCs w:val="28"/>
          <w:lang w:val="en-US"/>
        </w:rPr>
        <w:t>3.</w:t>
      </w:r>
      <w:r w:rsidRPr="004135FE">
        <w:rPr>
          <w:rFonts w:ascii="Times New Roman" w:hAnsi="Times New Roman" w:cs="Times New Roman"/>
          <w:sz w:val="28"/>
          <w:szCs w:val="28"/>
          <w:lang w:val="en-US"/>
        </w:rPr>
        <w:t xml:space="preserve"> </w:t>
      </w:r>
      <w:r w:rsidRPr="004135FE">
        <w:rPr>
          <w:rFonts w:ascii="Times New Roman" w:hAnsi="Times New Roman" w:cs="Times New Roman"/>
          <w:b/>
          <w:sz w:val="28"/>
          <w:szCs w:val="28"/>
        </w:rPr>
        <w:t>Мамандығы</w:t>
      </w:r>
      <w:r w:rsidRPr="004135FE">
        <w:rPr>
          <w:rFonts w:ascii="Times New Roman" w:hAnsi="Times New Roman" w:cs="Times New Roman"/>
          <w:b/>
          <w:sz w:val="28"/>
          <w:szCs w:val="28"/>
          <w:lang w:val="en-US"/>
        </w:rPr>
        <w:t xml:space="preserve"> </w:t>
      </w:r>
      <w:r w:rsidRPr="004135FE">
        <w:rPr>
          <w:rFonts w:ascii="Times New Roman" w:hAnsi="Times New Roman" w:cs="Times New Roman"/>
          <w:b/>
          <w:sz w:val="28"/>
          <w:szCs w:val="28"/>
        </w:rPr>
        <w:t>бойынша</w:t>
      </w:r>
      <w:r w:rsidRPr="004135FE">
        <w:rPr>
          <w:rFonts w:ascii="Times New Roman" w:hAnsi="Times New Roman" w:cs="Times New Roman"/>
          <w:b/>
          <w:sz w:val="28"/>
          <w:szCs w:val="28"/>
          <w:lang w:val="en-US"/>
        </w:rPr>
        <w:t xml:space="preserve"> </w:t>
      </w:r>
      <w:r w:rsidRPr="004135FE">
        <w:rPr>
          <w:rFonts w:ascii="Times New Roman" w:hAnsi="Times New Roman" w:cs="Times New Roman"/>
          <w:b/>
          <w:sz w:val="28"/>
          <w:szCs w:val="28"/>
        </w:rPr>
        <w:t>жұмыс</w:t>
      </w:r>
      <w:r w:rsidRPr="004135FE">
        <w:rPr>
          <w:rFonts w:ascii="Times New Roman" w:hAnsi="Times New Roman" w:cs="Times New Roman"/>
          <w:b/>
          <w:sz w:val="28"/>
          <w:szCs w:val="28"/>
          <w:lang w:val="en-US"/>
        </w:rPr>
        <w:t xml:space="preserve"> </w:t>
      </w:r>
      <w:r w:rsidRPr="004135FE">
        <w:rPr>
          <w:rFonts w:ascii="Times New Roman" w:hAnsi="Times New Roman" w:cs="Times New Roman"/>
          <w:b/>
          <w:sz w:val="28"/>
          <w:szCs w:val="28"/>
        </w:rPr>
        <w:t>өтілі</w:t>
      </w:r>
      <w:r w:rsidRPr="004135FE">
        <w:rPr>
          <w:rFonts w:ascii="Times New Roman" w:hAnsi="Times New Roman" w:cs="Times New Roman"/>
          <w:b/>
          <w:sz w:val="28"/>
          <w:szCs w:val="28"/>
          <w:lang w:val="en-US"/>
        </w:rPr>
        <w:t>:</w:t>
      </w:r>
    </w:p>
    <w:p w14:paraId="16B22FED" w14:textId="77777777" w:rsidR="008D5DB3" w:rsidRPr="004135FE" w:rsidRDefault="008D5DB3" w:rsidP="004135FE">
      <w:pPr>
        <w:spacing w:after="0" w:line="240" w:lineRule="auto"/>
        <w:jc w:val="both"/>
        <w:rPr>
          <w:rFonts w:ascii="Times New Roman" w:hAnsi="Times New Roman" w:cs="Times New Roman"/>
          <w:b/>
          <w:sz w:val="28"/>
          <w:szCs w:val="28"/>
          <w:lang w:val="en-US"/>
        </w:rPr>
      </w:pPr>
      <w:r w:rsidRPr="004135FE">
        <w:rPr>
          <w:rFonts w:ascii="Times New Roman" w:hAnsi="Times New Roman" w:cs="Times New Roman"/>
          <w:b/>
          <w:sz w:val="28"/>
          <w:szCs w:val="28"/>
          <w:lang w:val="kk-KZ"/>
        </w:rPr>
        <w:t>А</w:t>
      </w:r>
      <w:r w:rsidRPr="004135FE">
        <w:rPr>
          <w:rFonts w:ascii="Times New Roman" w:hAnsi="Times New Roman" w:cs="Times New Roman"/>
          <w:b/>
          <w:sz w:val="28"/>
          <w:szCs w:val="28"/>
          <w:lang w:val="en-US"/>
        </w:rPr>
        <w:t xml:space="preserve">) </w:t>
      </w:r>
      <w:r w:rsidRPr="004135FE">
        <w:rPr>
          <w:rFonts w:ascii="Times New Roman" w:hAnsi="Times New Roman" w:cs="Times New Roman"/>
          <w:b/>
          <w:sz w:val="28"/>
          <w:szCs w:val="28"/>
        </w:rPr>
        <w:t>Жалпы</w:t>
      </w:r>
      <w:r w:rsidRPr="004135FE">
        <w:rPr>
          <w:rFonts w:ascii="Times New Roman" w:hAnsi="Times New Roman" w:cs="Times New Roman"/>
          <w:b/>
          <w:sz w:val="28"/>
          <w:szCs w:val="28"/>
          <w:lang w:val="en-US"/>
        </w:rPr>
        <w:t xml:space="preserve"> </w:t>
      </w:r>
      <w:r w:rsidRPr="004135FE">
        <w:rPr>
          <w:rFonts w:ascii="Times New Roman" w:hAnsi="Times New Roman" w:cs="Times New Roman"/>
          <w:b/>
          <w:sz w:val="28"/>
          <w:szCs w:val="28"/>
        </w:rPr>
        <w:t>дәрігерлік</w:t>
      </w:r>
      <w:r w:rsidRPr="004135FE">
        <w:rPr>
          <w:rFonts w:ascii="Times New Roman" w:hAnsi="Times New Roman" w:cs="Times New Roman"/>
          <w:b/>
          <w:sz w:val="28"/>
          <w:szCs w:val="28"/>
          <w:lang w:val="en-US"/>
        </w:rPr>
        <w:t xml:space="preserve"> </w:t>
      </w:r>
      <w:r w:rsidRPr="004135FE">
        <w:rPr>
          <w:rFonts w:ascii="Times New Roman" w:hAnsi="Times New Roman" w:cs="Times New Roman"/>
          <w:b/>
          <w:sz w:val="28"/>
          <w:szCs w:val="28"/>
        </w:rPr>
        <w:t>өтілі</w:t>
      </w:r>
      <w:r w:rsidRPr="004135FE">
        <w:rPr>
          <w:rFonts w:ascii="Times New Roman" w:hAnsi="Times New Roman" w:cs="Times New Roman"/>
          <w:b/>
          <w:sz w:val="28"/>
          <w:szCs w:val="28"/>
          <w:lang w:val="en-US"/>
        </w:rPr>
        <w:t xml:space="preserve">:                                       </w:t>
      </w:r>
      <w:r w:rsidRPr="004135FE">
        <w:rPr>
          <w:rFonts w:ascii="Times New Roman" w:hAnsi="Times New Roman" w:cs="Times New Roman"/>
          <w:b/>
          <w:sz w:val="28"/>
          <w:szCs w:val="28"/>
        </w:rPr>
        <w:t>Б</w:t>
      </w:r>
      <w:r w:rsidRPr="004135FE">
        <w:rPr>
          <w:rFonts w:ascii="Times New Roman" w:hAnsi="Times New Roman" w:cs="Times New Roman"/>
          <w:b/>
          <w:sz w:val="28"/>
          <w:szCs w:val="28"/>
          <w:lang w:val="en-US"/>
        </w:rPr>
        <w:t xml:space="preserve">) </w:t>
      </w:r>
      <w:r w:rsidRPr="004135FE">
        <w:rPr>
          <w:rFonts w:ascii="Times New Roman" w:hAnsi="Times New Roman" w:cs="Times New Roman"/>
          <w:b/>
          <w:sz w:val="28"/>
          <w:szCs w:val="28"/>
          <w:lang w:val="kk-KZ"/>
        </w:rPr>
        <w:t>Д</w:t>
      </w:r>
      <w:r w:rsidRPr="004135FE">
        <w:rPr>
          <w:rFonts w:ascii="Times New Roman" w:hAnsi="Times New Roman" w:cs="Times New Roman"/>
          <w:b/>
          <w:sz w:val="28"/>
          <w:szCs w:val="28"/>
        </w:rPr>
        <w:t>әрігер</w:t>
      </w:r>
      <w:r w:rsidRPr="004135FE">
        <w:rPr>
          <w:rFonts w:ascii="Times New Roman" w:hAnsi="Times New Roman" w:cs="Times New Roman"/>
          <w:b/>
          <w:sz w:val="28"/>
          <w:szCs w:val="28"/>
          <w:lang w:val="en-US"/>
        </w:rPr>
        <w:t xml:space="preserve"> </w:t>
      </w:r>
      <w:r w:rsidRPr="004135FE">
        <w:rPr>
          <w:rFonts w:ascii="Times New Roman" w:hAnsi="Times New Roman" w:cs="Times New Roman"/>
          <w:b/>
          <w:sz w:val="28"/>
          <w:szCs w:val="28"/>
        </w:rPr>
        <w:t>эндокринолог</w:t>
      </w:r>
      <w:r w:rsidRPr="004135FE">
        <w:rPr>
          <w:rFonts w:ascii="Times New Roman" w:hAnsi="Times New Roman" w:cs="Times New Roman"/>
          <w:b/>
          <w:sz w:val="28"/>
          <w:szCs w:val="28"/>
          <w:lang w:val="en-US"/>
        </w:rPr>
        <w:t xml:space="preserve"> </w:t>
      </w:r>
      <w:r w:rsidRPr="004135FE">
        <w:rPr>
          <w:rFonts w:ascii="Times New Roman" w:hAnsi="Times New Roman" w:cs="Times New Roman"/>
          <w:b/>
          <w:sz w:val="28"/>
          <w:szCs w:val="28"/>
        </w:rPr>
        <w:t>ретінде</w:t>
      </w:r>
      <w:r w:rsidRPr="004135FE">
        <w:rPr>
          <w:rFonts w:ascii="Times New Roman" w:hAnsi="Times New Roman" w:cs="Times New Roman"/>
          <w:b/>
          <w:sz w:val="28"/>
          <w:szCs w:val="28"/>
          <w:lang w:val="en-US"/>
        </w:rPr>
        <w:t>:</w:t>
      </w:r>
    </w:p>
    <w:p w14:paraId="4CE551C4" w14:textId="77777777" w:rsidR="008D5DB3" w:rsidRPr="004135FE" w:rsidRDefault="008D5DB3" w:rsidP="004135FE">
      <w:pPr>
        <w:spacing w:after="0" w:line="240" w:lineRule="auto"/>
        <w:jc w:val="both"/>
        <w:rPr>
          <w:rFonts w:ascii="Times New Roman" w:hAnsi="Times New Roman" w:cs="Times New Roman"/>
          <w:sz w:val="28"/>
          <w:szCs w:val="28"/>
          <w:lang w:val="en-US"/>
        </w:rPr>
      </w:pPr>
      <w:r w:rsidRPr="004135FE">
        <w:rPr>
          <w:rFonts w:ascii="Times New Roman" w:hAnsi="Times New Roman" w:cs="Times New Roman"/>
          <w:sz w:val="28"/>
          <w:szCs w:val="28"/>
          <w:lang w:val="en-US"/>
        </w:rPr>
        <w:t xml:space="preserve">1) 5 </w:t>
      </w:r>
      <w:r w:rsidRPr="004135FE">
        <w:rPr>
          <w:rFonts w:ascii="Times New Roman" w:hAnsi="Times New Roman" w:cs="Times New Roman"/>
          <w:sz w:val="28"/>
          <w:szCs w:val="28"/>
        </w:rPr>
        <w:t>жыл</w:t>
      </w:r>
      <w:r w:rsidRPr="004135FE">
        <w:rPr>
          <w:rFonts w:ascii="Times New Roman" w:hAnsi="Times New Roman" w:cs="Times New Roman"/>
          <w:sz w:val="28"/>
          <w:szCs w:val="28"/>
          <w:lang w:val="kk-KZ"/>
        </w:rPr>
        <w:t>ға</w:t>
      </w:r>
      <w:r w:rsidRPr="004135FE">
        <w:rPr>
          <w:rFonts w:ascii="Times New Roman" w:hAnsi="Times New Roman" w:cs="Times New Roman"/>
          <w:sz w:val="28"/>
          <w:szCs w:val="28"/>
          <w:lang w:val="en-US"/>
        </w:rPr>
        <w:t xml:space="preserve"> </w:t>
      </w:r>
      <w:r w:rsidRPr="004135FE">
        <w:rPr>
          <w:rFonts w:ascii="Times New Roman" w:hAnsi="Times New Roman" w:cs="Times New Roman"/>
          <w:sz w:val="28"/>
          <w:szCs w:val="28"/>
        </w:rPr>
        <w:t>дейін</w:t>
      </w:r>
      <w:r w:rsidRPr="004135FE">
        <w:rPr>
          <w:rFonts w:ascii="Times New Roman" w:hAnsi="Times New Roman" w:cs="Times New Roman"/>
          <w:sz w:val="28"/>
          <w:szCs w:val="28"/>
          <w:lang w:val="en-US"/>
        </w:rPr>
        <w:t xml:space="preserve">                                                         1) 5 </w:t>
      </w:r>
      <w:r w:rsidRPr="004135FE">
        <w:rPr>
          <w:rFonts w:ascii="Times New Roman" w:hAnsi="Times New Roman" w:cs="Times New Roman"/>
          <w:sz w:val="28"/>
          <w:szCs w:val="28"/>
        </w:rPr>
        <w:t>жыл</w:t>
      </w:r>
      <w:r w:rsidRPr="004135FE">
        <w:rPr>
          <w:rFonts w:ascii="Times New Roman" w:hAnsi="Times New Roman" w:cs="Times New Roman"/>
          <w:sz w:val="28"/>
          <w:szCs w:val="28"/>
          <w:lang w:val="kk-KZ"/>
        </w:rPr>
        <w:t>ға</w:t>
      </w:r>
      <w:r w:rsidRPr="004135FE">
        <w:rPr>
          <w:rFonts w:ascii="Times New Roman" w:hAnsi="Times New Roman" w:cs="Times New Roman"/>
          <w:sz w:val="28"/>
          <w:szCs w:val="28"/>
          <w:lang w:val="en-US"/>
        </w:rPr>
        <w:t xml:space="preserve"> </w:t>
      </w:r>
      <w:r w:rsidRPr="004135FE">
        <w:rPr>
          <w:rFonts w:ascii="Times New Roman" w:hAnsi="Times New Roman" w:cs="Times New Roman"/>
          <w:sz w:val="28"/>
          <w:szCs w:val="28"/>
        </w:rPr>
        <w:t>дейін</w:t>
      </w:r>
    </w:p>
    <w:p w14:paraId="147EAEA9" w14:textId="77777777" w:rsidR="008D5DB3" w:rsidRPr="004135FE" w:rsidRDefault="008D5DB3" w:rsidP="004135FE">
      <w:pPr>
        <w:spacing w:after="0" w:line="240" w:lineRule="auto"/>
        <w:jc w:val="both"/>
        <w:rPr>
          <w:rFonts w:ascii="Times New Roman" w:hAnsi="Times New Roman" w:cs="Times New Roman"/>
          <w:sz w:val="28"/>
          <w:szCs w:val="28"/>
          <w:lang w:val="en-US"/>
        </w:rPr>
      </w:pPr>
      <w:r w:rsidRPr="004135FE">
        <w:rPr>
          <w:rFonts w:ascii="Times New Roman" w:hAnsi="Times New Roman" w:cs="Times New Roman"/>
          <w:sz w:val="28"/>
          <w:szCs w:val="28"/>
          <w:lang w:val="en-US"/>
        </w:rPr>
        <w:t>2) 5-</w:t>
      </w:r>
      <w:r w:rsidRPr="004135FE">
        <w:rPr>
          <w:rFonts w:ascii="Times New Roman" w:hAnsi="Times New Roman" w:cs="Times New Roman"/>
          <w:sz w:val="28"/>
          <w:szCs w:val="28"/>
        </w:rPr>
        <w:t>тен</w:t>
      </w:r>
      <w:r w:rsidRPr="004135FE">
        <w:rPr>
          <w:rFonts w:ascii="Times New Roman" w:hAnsi="Times New Roman" w:cs="Times New Roman"/>
          <w:sz w:val="28"/>
          <w:szCs w:val="28"/>
          <w:lang w:val="en-US"/>
        </w:rPr>
        <w:t xml:space="preserve"> 10 </w:t>
      </w:r>
      <w:r w:rsidRPr="004135FE">
        <w:rPr>
          <w:rFonts w:ascii="Times New Roman" w:hAnsi="Times New Roman" w:cs="Times New Roman"/>
          <w:sz w:val="28"/>
          <w:szCs w:val="28"/>
        </w:rPr>
        <w:t>жыл</w:t>
      </w:r>
      <w:r w:rsidRPr="004135FE">
        <w:rPr>
          <w:rFonts w:ascii="Times New Roman" w:hAnsi="Times New Roman" w:cs="Times New Roman"/>
          <w:sz w:val="28"/>
          <w:szCs w:val="28"/>
          <w:lang w:val="kk-KZ"/>
        </w:rPr>
        <w:t>ға</w:t>
      </w:r>
      <w:r w:rsidRPr="004135FE">
        <w:rPr>
          <w:rFonts w:ascii="Times New Roman" w:hAnsi="Times New Roman" w:cs="Times New Roman"/>
          <w:sz w:val="28"/>
          <w:szCs w:val="28"/>
          <w:lang w:val="en-US"/>
        </w:rPr>
        <w:t xml:space="preserve"> </w:t>
      </w:r>
      <w:r w:rsidRPr="004135FE">
        <w:rPr>
          <w:rFonts w:ascii="Times New Roman" w:hAnsi="Times New Roman" w:cs="Times New Roman"/>
          <w:sz w:val="28"/>
          <w:szCs w:val="28"/>
        </w:rPr>
        <w:t>дейін</w:t>
      </w:r>
      <w:r w:rsidRPr="004135FE">
        <w:rPr>
          <w:rFonts w:ascii="Times New Roman" w:hAnsi="Times New Roman" w:cs="Times New Roman"/>
          <w:sz w:val="28"/>
          <w:szCs w:val="28"/>
          <w:lang w:val="en-US"/>
        </w:rPr>
        <w:t xml:space="preserve">                                             2) 5-</w:t>
      </w:r>
      <w:r w:rsidRPr="004135FE">
        <w:rPr>
          <w:rFonts w:ascii="Times New Roman" w:hAnsi="Times New Roman" w:cs="Times New Roman"/>
          <w:sz w:val="28"/>
          <w:szCs w:val="28"/>
        </w:rPr>
        <w:t>тен</w:t>
      </w:r>
      <w:r w:rsidRPr="004135FE">
        <w:rPr>
          <w:rFonts w:ascii="Times New Roman" w:hAnsi="Times New Roman" w:cs="Times New Roman"/>
          <w:sz w:val="28"/>
          <w:szCs w:val="28"/>
          <w:lang w:val="en-US"/>
        </w:rPr>
        <w:t xml:space="preserve"> 10 </w:t>
      </w:r>
      <w:r w:rsidRPr="004135FE">
        <w:rPr>
          <w:rFonts w:ascii="Times New Roman" w:hAnsi="Times New Roman" w:cs="Times New Roman"/>
          <w:sz w:val="28"/>
          <w:szCs w:val="28"/>
        </w:rPr>
        <w:t>жыл</w:t>
      </w:r>
      <w:r w:rsidRPr="004135FE">
        <w:rPr>
          <w:rFonts w:ascii="Times New Roman" w:hAnsi="Times New Roman" w:cs="Times New Roman"/>
          <w:sz w:val="28"/>
          <w:szCs w:val="28"/>
          <w:lang w:val="kk-KZ"/>
        </w:rPr>
        <w:t>ға</w:t>
      </w:r>
      <w:r w:rsidRPr="004135FE">
        <w:rPr>
          <w:rFonts w:ascii="Times New Roman" w:hAnsi="Times New Roman" w:cs="Times New Roman"/>
          <w:sz w:val="28"/>
          <w:szCs w:val="28"/>
          <w:lang w:val="en-US"/>
        </w:rPr>
        <w:t xml:space="preserve"> </w:t>
      </w:r>
      <w:r w:rsidRPr="004135FE">
        <w:rPr>
          <w:rFonts w:ascii="Times New Roman" w:hAnsi="Times New Roman" w:cs="Times New Roman"/>
          <w:sz w:val="28"/>
          <w:szCs w:val="28"/>
        </w:rPr>
        <w:t>дейін</w:t>
      </w:r>
    </w:p>
    <w:p w14:paraId="5AFF56CB"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en-US"/>
        </w:rPr>
        <w:t>3) 10-</w:t>
      </w:r>
      <w:r w:rsidRPr="004135FE">
        <w:rPr>
          <w:rFonts w:ascii="Times New Roman" w:hAnsi="Times New Roman" w:cs="Times New Roman"/>
          <w:sz w:val="28"/>
          <w:szCs w:val="28"/>
        </w:rPr>
        <w:t>нан</w:t>
      </w:r>
      <w:r w:rsidRPr="004135FE">
        <w:rPr>
          <w:rFonts w:ascii="Times New Roman" w:hAnsi="Times New Roman" w:cs="Times New Roman"/>
          <w:sz w:val="28"/>
          <w:szCs w:val="28"/>
          <w:lang w:val="en-US"/>
        </w:rPr>
        <w:t xml:space="preserve"> 15 </w:t>
      </w:r>
      <w:r w:rsidRPr="004135FE">
        <w:rPr>
          <w:rFonts w:ascii="Times New Roman" w:hAnsi="Times New Roman" w:cs="Times New Roman"/>
          <w:sz w:val="28"/>
          <w:szCs w:val="28"/>
        </w:rPr>
        <w:t>жыл</w:t>
      </w:r>
      <w:r w:rsidRPr="004135FE">
        <w:rPr>
          <w:rFonts w:ascii="Times New Roman" w:hAnsi="Times New Roman" w:cs="Times New Roman"/>
          <w:sz w:val="28"/>
          <w:szCs w:val="28"/>
          <w:lang w:val="kk-KZ"/>
        </w:rPr>
        <w:t>ға</w:t>
      </w:r>
      <w:r w:rsidRPr="004135FE">
        <w:rPr>
          <w:rFonts w:ascii="Times New Roman" w:hAnsi="Times New Roman" w:cs="Times New Roman"/>
          <w:sz w:val="28"/>
          <w:szCs w:val="28"/>
          <w:lang w:val="en-US"/>
        </w:rPr>
        <w:t xml:space="preserve"> </w:t>
      </w:r>
      <w:r w:rsidRPr="004135FE">
        <w:rPr>
          <w:rFonts w:ascii="Times New Roman" w:hAnsi="Times New Roman" w:cs="Times New Roman"/>
          <w:sz w:val="28"/>
          <w:szCs w:val="28"/>
        </w:rPr>
        <w:t>дейін</w:t>
      </w:r>
      <w:r w:rsidRPr="004135FE">
        <w:rPr>
          <w:rFonts w:ascii="Times New Roman" w:hAnsi="Times New Roman" w:cs="Times New Roman"/>
          <w:sz w:val="28"/>
          <w:szCs w:val="28"/>
          <w:lang w:val="kk-KZ"/>
        </w:rPr>
        <w:t xml:space="preserve">                                           </w:t>
      </w:r>
      <w:r w:rsidRPr="004135FE">
        <w:rPr>
          <w:rFonts w:ascii="Times New Roman" w:hAnsi="Times New Roman" w:cs="Times New Roman"/>
          <w:sz w:val="28"/>
          <w:szCs w:val="28"/>
          <w:lang w:val="en-US"/>
        </w:rPr>
        <w:t>3) 10-</w:t>
      </w:r>
      <w:r w:rsidRPr="004135FE">
        <w:rPr>
          <w:rFonts w:ascii="Times New Roman" w:hAnsi="Times New Roman" w:cs="Times New Roman"/>
          <w:sz w:val="28"/>
          <w:szCs w:val="28"/>
        </w:rPr>
        <w:t>нан</w:t>
      </w:r>
      <w:r w:rsidRPr="004135FE">
        <w:rPr>
          <w:rFonts w:ascii="Times New Roman" w:hAnsi="Times New Roman" w:cs="Times New Roman"/>
          <w:sz w:val="28"/>
          <w:szCs w:val="28"/>
          <w:lang w:val="en-US"/>
        </w:rPr>
        <w:t xml:space="preserve"> 15 </w:t>
      </w:r>
      <w:r w:rsidRPr="004135FE">
        <w:rPr>
          <w:rFonts w:ascii="Times New Roman" w:hAnsi="Times New Roman" w:cs="Times New Roman"/>
          <w:sz w:val="28"/>
          <w:szCs w:val="28"/>
        </w:rPr>
        <w:t>жыл</w:t>
      </w:r>
      <w:r w:rsidRPr="004135FE">
        <w:rPr>
          <w:rFonts w:ascii="Times New Roman" w:hAnsi="Times New Roman" w:cs="Times New Roman"/>
          <w:sz w:val="28"/>
          <w:szCs w:val="28"/>
          <w:lang w:val="kk-KZ"/>
        </w:rPr>
        <w:t>ға</w:t>
      </w:r>
      <w:r w:rsidRPr="004135FE">
        <w:rPr>
          <w:rFonts w:ascii="Times New Roman" w:hAnsi="Times New Roman" w:cs="Times New Roman"/>
          <w:sz w:val="28"/>
          <w:szCs w:val="28"/>
          <w:lang w:val="en-US"/>
        </w:rPr>
        <w:t xml:space="preserve"> </w:t>
      </w:r>
      <w:r w:rsidRPr="004135FE">
        <w:rPr>
          <w:rFonts w:ascii="Times New Roman" w:hAnsi="Times New Roman" w:cs="Times New Roman"/>
          <w:sz w:val="28"/>
          <w:szCs w:val="28"/>
        </w:rPr>
        <w:t>дейін</w:t>
      </w:r>
    </w:p>
    <w:p w14:paraId="10B19BF1"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15 жылдан жоғары                                                 4) 15 жылдан жоғары</w:t>
      </w:r>
    </w:p>
    <w:p w14:paraId="08B81923"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30 жылдан жоғары                                                 5) 30 жылдан жоғары</w:t>
      </w:r>
    </w:p>
    <w:p w14:paraId="04F5CF6F"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4. Дәрігер эндокринолог мамандығы бойынша біліктілік санаты:</w:t>
      </w:r>
    </w:p>
    <w:p w14:paraId="65238115"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Жоғары біліктілік санаты</w:t>
      </w:r>
    </w:p>
    <w:p w14:paraId="1E1BDF78"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1 біліктілік санаты</w:t>
      </w:r>
    </w:p>
    <w:p w14:paraId="2E58B418"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2 біліктілік санаты</w:t>
      </w:r>
    </w:p>
    <w:p w14:paraId="1C01CAB9"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Санаты жоқ</w:t>
      </w:r>
    </w:p>
    <w:p w14:paraId="0BCAD20F" w14:textId="77777777" w:rsidR="008D5DB3" w:rsidRPr="004135FE" w:rsidRDefault="008D5DB3" w:rsidP="004135FE">
      <w:pPr>
        <w:spacing w:after="0" w:line="240" w:lineRule="auto"/>
        <w:jc w:val="both"/>
        <w:rPr>
          <w:rFonts w:ascii="Times New Roman" w:hAnsi="Times New Roman" w:cs="Times New Roman"/>
          <w:caps/>
          <w:sz w:val="28"/>
          <w:szCs w:val="28"/>
          <w:lang w:val="kk-KZ"/>
        </w:rPr>
      </w:pPr>
    </w:p>
    <w:p w14:paraId="7EE93B6C"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caps/>
          <w:sz w:val="28"/>
          <w:szCs w:val="28"/>
          <w:lang w:val="kk-KZ"/>
        </w:rPr>
        <w:t>2-бөлім.</w:t>
      </w:r>
      <w:r w:rsidRPr="004135FE">
        <w:rPr>
          <w:rFonts w:ascii="Times New Roman" w:hAnsi="Times New Roman" w:cs="Times New Roman"/>
          <w:b/>
          <w:sz w:val="28"/>
          <w:szCs w:val="28"/>
          <w:lang w:val="kk-KZ"/>
        </w:rPr>
        <w:t xml:space="preserve"> НАУҚАСТАРҒА ПЕРСОНАЛДЫҚ КӨЗҚАРАС ТӘСІЛІ</w:t>
      </w:r>
    </w:p>
    <w:p w14:paraId="2543164B"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 xml:space="preserve">5. Қантты төмендететін препараттарды жеке таңдау кезінде не ескересіз? </w:t>
      </w:r>
    </w:p>
    <w:p w14:paraId="19BB0FEB"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w:t>
      </w:r>
      <w:r w:rsidRPr="004135FE">
        <w:rPr>
          <w:rFonts w:ascii="Times New Roman" w:hAnsi="Times New Roman" w:cs="Times New Roman"/>
          <w:b/>
          <w:sz w:val="28"/>
          <w:szCs w:val="28"/>
          <w:lang w:val="kk-KZ"/>
        </w:rPr>
        <w:t xml:space="preserve"> </w:t>
      </w:r>
      <w:r w:rsidRPr="004135FE">
        <w:rPr>
          <w:rFonts w:ascii="Times New Roman" w:hAnsi="Times New Roman" w:cs="Times New Roman"/>
          <w:sz w:val="28"/>
          <w:szCs w:val="28"/>
          <w:lang w:val="kk-KZ"/>
        </w:rPr>
        <w:t>Ілеспе аурулары және қарсы көрсетілімдер</w:t>
      </w:r>
    </w:p>
    <w:p w14:paraId="385E6797"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Науқастың әлеуметтік-экономикалық мүмкіндігі</w:t>
      </w:r>
    </w:p>
    <w:p w14:paraId="18B8CEB2"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Жасы мен жынысы</w:t>
      </w:r>
    </w:p>
    <w:p w14:paraId="04DE370B"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Генетикалық маркерлер</w:t>
      </w:r>
    </w:p>
    <w:p w14:paraId="5BF25332"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Гипергликемияны тоқтату мүмкіндігі бойынша</w:t>
      </w:r>
    </w:p>
    <w:p w14:paraId="7A6E99D3"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Барлық пациенттерді метформин таблеткасынан бастаймыз</w:t>
      </w:r>
    </w:p>
    <w:p w14:paraId="6419A736"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 xml:space="preserve">6. 2 типті қант диабеті бар ерлер арасында гипогонадизм синдромының бар-жоғына тексеру және емдеу қалай жүргізіледі? </w:t>
      </w:r>
    </w:p>
    <w:p w14:paraId="4730A145"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Егер шағымдары болса</w:t>
      </w:r>
    </w:p>
    <w:p w14:paraId="2FA7B5D9"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Егер семіздік объективті байқалса</w:t>
      </w:r>
    </w:p>
    <w:p w14:paraId="4FF8213E"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Егер жас болса және клиникалық белгілері болса</w:t>
      </w:r>
    </w:p>
    <w:p w14:paraId="7D203870"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4) </w:t>
      </w:r>
      <w:r w:rsidRPr="004135FE">
        <w:rPr>
          <w:rFonts w:ascii="Times New Roman" w:hAnsi="Times New Roman" w:cs="Times New Roman"/>
          <w:sz w:val="28"/>
          <w:szCs w:val="28"/>
          <w:lang w:val="kk-KZ"/>
        </w:rPr>
        <w:t>У</w:t>
      </w:r>
      <w:r w:rsidRPr="004135FE">
        <w:rPr>
          <w:rFonts w:ascii="Times New Roman" w:hAnsi="Times New Roman" w:cs="Times New Roman"/>
          <w:sz w:val="28"/>
          <w:szCs w:val="28"/>
        </w:rPr>
        <w:t>рологқа жіберемін</w:t>
      </w:r>
    </w:p>
    <w:p w14:paraId="582216A0"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5) </w:t>
      </w:r>
      <w:r w:rsidRPr="004135FE">
        <w:rPr>
          <w:rFonts w:ascii="Times New Roman" w:hAnsi="Times New Roman" w:cs="Times New Roman"/>
          <w:sz w:val="28"/>
          <w:szCs w:val="28"/>
          <w:lang w:val="kk-KZ"/>
        </w:rPr>
        <w:t>У</w:t>
      </w:r>
      <w:r w:rsidRPr="004135FE">
        <w:rPr>
          <w:rFonts w:ascii="Times New Roman" w:hAnsi="Times New Roman" w:cs="Times New Roman"/>
          <w:sz w:val="28"/>
          <w:szCs w:val="28"/>
        </w:rPr>
        <w:t>ролог</w:t>
      </w:r>
      <w:r w:rsidRPr="004135FE">
        <w:rPr>
          <w:rFonts w:ascii="Times New Roman" w:hAnsi="Times New Roman" w:cs="Times New Roman"/>
          <w:sz w:val="28"/>
          <w:szCs w:val="28"/>
          <w:lang w:val="kk-KZ"/>
        </w:rPr>
        <w:t xml:space="preserve"> </w:t>
      </w:r>
      <w:r w:rsidRPr="004135FE">
        <w:rPr>
          <w:rFonts w:ascii="Times New Roman" w:hAnsi="Times New Roman" w:cs="Times New Roman"/>
          <w:sz w:val="28"/>
          <w:szCs w:val="28"/>
        </w:rPr>
        <w:t>белгіле</w:t>
      </w:r>
      <w:r w:rsidRPr="004135FE">
        <w:rPr>
          <w:rFonts w:ascii="Times New Roman" w:hAnsi="Times New Roman" w:cs="Times New Roman"/>
          <w:sz w:val="28"/>
          <w:szCs w:val="28"/>
          <w:lang w:val="kk-KZ"/>
        </w:rPr>
        <w:t>ген</w:t>
      </w:r>
      <w:r w:rsidRPr="004135FE">
        <w:rPr>
          <w:rFonts w:ascii="Times New Roman" w:hAnsi="Times New Roman" w:cs="Times New Roman"/>
          <w:sz w:val="28"/>
          <w:szCs w:val="28"/>
        </w:rPr>
        <w:t xml:space="preserve"> синдром</w:t>
      </w:r>
      <w:r w:rsidRPr="004135FE">
        <w:rPr>
          <w:rFonts w:ascii="Times New Roman" w:hAnsi="Times New Roman" w:cs="Times New Roman"/>
          <w:sz w:val="28"/>
          <w:szCs w:val="28"/>
          <w:lang w:val="kk-KZ"/>
        </w:rPr>
        <w:t>ымен және</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kk-KZ"/>
        </w:rPr>
        <w:t>жолдамасымен келсе</w:t>
      </w:r>
    </w:p>
    <w:p w14:paraId="2ECACE5E"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6) </w:t>
      </w:r>
      <w:r w:rsidRPr="004135FE">
        <w:rPr>
          <w:rFonts w:ascii="Times New Roman" w:hAnsi="Times New Roman" w:cs="Times New Roman"/>
          <w:sz w:val="28"/>
          <w:szCs w:val="28"/>
          <w:lang w:val="kk-KZ"/>
        </w:rPr>
        <w:t>Тексеру жүргізбеймін</w:t>
      </w:r>
    </w:p>
    <w:p w14:paraId="1D2BE80F" w14:textId="77777777" w:rsidR="008D5DB3" w:rsidRPr="004135FE" w:rsidRDefault="008D5DB3" w:rsidP="004135FE">
      <w:pPr>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 xml:space="preserve">7. 2 типті қант диабеті бар фертильді жастағы әйелдер арасында репродуктивті әлеуетке тексеру қалай жүргізіледі? </w:t>
      </w:r>
    </w:p>
    <w:p w14:paraId="387243B1"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1) </w:t>
      </w:r>
      <w:r w:rsidRPr="004135FE">
        <w:rPr>
          <w:rFonts w:ascii="Times New Roman" w:hAnsi="Times New Roman" w:cs="Times New Roman"/>
          <w:sz w:val="28"/>
          <w:szCs w:val="28"/>
          <w:lang w:val="kk-KZ"/>
        </w:rPr>
        <w:t>Е</w:t>
      </w:r>
      <w:r w:rsidRPr="004135FE">
        <w:rPr>
          <w:rFonts w:ascii="Times New Roman" w:hAnsi="Times New Roman" w:cs="Times New Roman"/>
          <w:sz w:val="28"/>
          <w:szCs w:val="28"/>
        </w:rPr>
        <w:t>теккір циклінің бұзылуына шағымдар</w:t>
      </w:r>
      <w:r w:rsidRPr="004135FE">
        <w:rPr>
          <w:rFonts w:ascii="Times New Roman" w:hAnsi="Times New Roman" w:cs="Times New Roman"/>
          <w:sz w:val="28"/>
          <w:szCs w:val="28"/>
          <w:lang w:val="kk-KZ"/>
        </w:rPr>
        <w:t>ы</w:t>
      </w:r>
      <w:r w:rsidRPr="004135FE">
        <w:rPr>
          <w:rFonts w:ascii="Times New Roman" w:hAnsi="Times New Roman" w:cs="Times New Roman"/>
          <w:sz w:val="28"/>
          <w:szCs w:val="28"/>
        </w:rPr>
        <w:t xml:space="preserve"> болса</w:t>
      </w:r>
    </w:p>
    <w:p w14:paraId="129BB8A4"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2) Егер </w:t>
      </w:r>
      <w:r w:rsidRPr="004135FE">
        <w:rPr>
          <w:rFonts w:ascii="Times New Roman" w:hAnsi="Times New Roman" w:cs="Times New Roman"/>
          <w:sz w:val="28"/>
          <w:szCs w:val="28"/>
          <w:lang w:val="kk-KZ"/>
        </w:rPr>
        <w:t>құрсақ көтеруге кедергілер</w:t>
      </w:r>
      <w:r w:rsidRPr="004135FE">
        <w:rPr>
          <w:rFonts w:ascii="Times New Roman" w:hAnsi="Times New Roman" w:cs="Times New Roman"/>
          <w:sz w:val="28"/>
          <w:szCs w:val="28"/>
        </w:rPr>
        <w:t xml:space="preserve"> болса</w:t>
      </w:r>
    </w:p>
    <w:p w14:paraId="7B072F29"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Егер жас болса және клиникалық белгілері болса</w:t>
      </w:r>
    </w:p>
    <w:p w14:paraId="5DA931F4"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4) </w:t>
      </w:r>
      <w:r w:rsidRPr="004135FE">
        <w:rPr>
          <w:rFonts w:ascii="Times New Roman" w:hAnsi="Times New Roman" w:cs="Times New Roman"/>
          <w:sz w:val="28"/>
          <w:szCs w:val="28"/>
          <w:lang w:val="kk-KZ"/>
        </w:rPr>
        <w:t>Г</w:t>
      </w:r>
      <w:r w:rsidRPr="004135FE">
        <w:rPr>
          <w:rFonts w:ascii="Times New Roman" w:hAnsi="Times New Roman" w:cs="Times New Roman"/>
          <w:sz w:val="28"/>
          <w:szCs w:val="28"/>
        </w:rPr>
        <w:t>инекологқа жіберемін</w:t>
      </w:r>
    </w:p>
    <w:p w14:paraId="3EEE336F"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5) </w:t>
      </w:r>
      <w:r w:rsidRPr="004135FE">
        <w:rPr>
          <w:rFonts w:ascii="Times New Roman" w:hAnsi="Times New Roman" w:cs="Times New Roman"/>
          <w:sz w:val="28"/>
          <w:szCs w:val="28"/>
          <w:lang w:val="kk-KZ"/>
        </w:rPr>
        <w:t>Г</w:t>
      </w:r>
      <w:r w:rsidRPr="004135FE">
        <w:rPr>
          <w:rFonts w:ascii="Times New Roman" w:hAnsi="Times New Roman" w:cs="Times New Roman"/>
          <w:sz w:val="28"/>
          <w:szCs w:val="28"/>
        </w:rPr>
        <w:t>инеколог белгіле</w:t>
      </w:r>
      <w:r w:rsidRPr="004135FE">
        <w:rPr>
          <w:rFonts w:ascii="Times New Roman" w:hAnsi="Times New Roman" w:cs="Times New Roman"/>
          <w:sz w:val="28"/>
          <w:szCs w:val="28"/>
          <w:lang w:val="kk-KZ"/>
        </w:rPr>
        <w:t>ген</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kk-KZ"/>
        </w:rPr>
        <w:t>диагнозымен және</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kk-KZ"/>
        </w:rPr>
        <w:t>жолдамасымен келсе</w:t>
      </w:r>
    </w:p>
    <w:p w14:paraId="53380257"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rPr>
        <w:t xml:space="preserve">6) </w:t>
      </w:r>
      <w:r w:rsidRPr="004135FE">
        <w:rPr>
          <w:rFonts w:ascii="Times New Roman" w:hAnsi="Times New Roman" w:cs="Times New Roman"/>
          <w:sz w:val="28"/>
          <w:szCs w:val="28"/>
          <w:lang w:val="kk-KZ"/>
        </w:rPr>
        <w:t>Тексеру жүргізбеймін</w:t>
      </w:r>
    </w:p>
    <w:p w14:paraId="78747E0D"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8. Сіздің тәжірибеңізде жүктілік кезінде әйелдерде пайда болған гестациялық диабет босанғаннан кейін 2 типті қант диабетіне өтуі қаншалықты кездесті?</w:t>
      </w:r>
    </w:p>
    <w:p w14:paraId="2814A931"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Байқамадым</w:t>
      </w:r>
    </w:p>
    <w:p w14:paraId="3BAB8901"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Мұндай жағдай болған жоқ</w:t>
      </w:r>
    </w:p>
    <w:p w14:paraId="3EB3BACA"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Бірлі-жарым жағдайда кездесті</w:t>
      </w:r>
    </w:p>
    <w:p w14:paraId="10119F8B"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Жиі</w:t>
      </w:r>
    </w:p>
    <w:p w14:paraId="0F2247E7"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Барлық кезде</w:t>
      </w:r>
    </w:p>
    <w:p w14:paraId="2C9B49DD"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9. Сіз науқастарға 2 типті қант диабетінің генетикалық маркерын анықтауға жолдама бересіз бе?</w:t>
      </w:r>
    </w:p>
    <w:p w14:paraId="5C6D6226"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Бірінші рет естіп тұрмын бұндай анализ түрін</w:t>
      </w:r>
    </w:p>
    <w:p w14:paraId="6B5B34DA"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 xml:space="preserve">2) Қазақстанда ондай лабораториялар жоқ </w:t>
      </w:r>
    </w:p>
    <w:p w14:paraId="2507825D" w14:textId="77777777" w:rsidR="008D5DB3" w:rsidRPr="004135FE" w:rsidRDefault="008D5DB3" w:rsidP="004135FE">
      <w:pPr>
        <w:tabs>
          <w:tab w:val="left" w:pos="2295"/>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Жолдамаймын</w:t>
      </w:r>
    </w:p>
    <w:p w14:paraId="2C20E44E"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Бірлі-жарым рет</w:t>
      </w:r>
    </w:p>
    <w:p w14:paraId="04E358DC"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Жжиі</w:t>
      </w:r>
    </w:p>
    <w:p w14:paraId="20D49F34"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Барлық кезде</w:t>
      </w:r>
    </w:p>
    <w:p w14:paraId="611DFC15"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10. Қарсы көрсетілімдері мен сақтық шараларын ескере отырып, физикалық дене белсенділігін Сізге жеке іріктеуді кім жүргізеді?</w:t>
      </w:r>
    </w:p>
    <w:p w14:paraId="565C913D"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Ешкім</w:t>
      </w:r>
    </w:p>
    <w:p w14:paraId="383CA24F"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Диабет мектебінен алған білімдеріне сүйене отырып, өз бетінше</w:t>
      </w:r>
    </w:p>
    <w:p w14:paraId="092B7FAD"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Кардиолог дәрігері</w:t>
      </w:r>
    </w:p>
    <w:p w14:paraId="64CDD48E"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Невропатолог дәрігері</w:t>
      </w:r>
    </w:p>
    <w:p w14:paraId="47603B14"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Эндокринолог дәрігері</w:t>
      </w:r>
    </w:p>
    <w:p w14:paraId="51C752E5"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Эндокринолог медбикесі</w:t>
      </w:r>
    </w:p>
    <w:p w14:paraId="66C3F2DB"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7) Жалпы тәжірибелік дәрігері</w:t>
      </w:r>
    </w:p>
    <w:p w14:paraId="0648A955"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8) Спорт кешенінде</w:t>
      </w:r>
    </w:p>
    <w:p w14:paraId="2C94D954"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 xml:space="preserve"> </w:t>
      </w:r>
    </w:p>
    <w:p w14:paraId="65622EE0"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3-бөлім. ПАЦИЕНТТЕРДІ ПСИХОӘЛЕУМЕТТІК ҚОЛДАУ</w:t>
      </w:r>
    </w:p>
    <w:p w14:paraId="48921920"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11. Кеңес беру және қолдау қажеттілігіне психологиялық статусты бағалауды кім жүргізеді?</w:t>
      </w:r>
    </w:p>
    <w:p w14:paraId="27DAB18D"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Эндокринолог дәрігері</w:t>
      </w:r>
    </w:p>
    <w:p w14:paraId="0BDA3F4C"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Эндокринолог медбикесі</w:t>
      </w:r>
    </w:p>
    <w:p w14:paraId="4EBB0E9D"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Жалпы тәжірибелік дәрігері</w:t>
      </w:r>
    </w:p>
    <w:p w14:paraId="792C8C3A"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Дәрігер психолог/психотерапевт</w:t>
      </w:r>
    </w:p>
    <w:p w14:paraId="3D0C7C31"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Әлеуметтік қызметкер</w:t>
      </w:r>
    </w:p>
    <w:p w14:paraId="230525AA"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Ешкім</w:t>
      </w:r>
    </w:p>
    <w:p w14:paraId="0CCBA9A1"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12. Науқасқа медициналық қызметкерлердің психоәлеуметтік қолдау қажеттілігі қалай анықталады?</w:t>
      </w:r>
    </w:p>
    <w:p w14:paraId="7C374EEA"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Аурудың дебюті;</w:t>
      </w:r>
    </w:p>
    <w:p w14:paraId="70DB6782"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Қант диабеті ағымының асқынуының пайда болуы немесе айтарлықтай үдеуі</w:t>
      </w:r>
    </w:p>
    <w:p w14:paraId="2C1ED3D9"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Терапиялық режимнің өзгеруі (таблеткадан инсулинге ауыстыру, инсулинді инъекциялық тәсілмен енгізу әдісінен инсулиннің тұрақты тері асты инфузиясына (помпалық терапияға) ауыстыру.</w:t>
      </w:r>
    </w:p>
    <w:p w14:paraId="35B1FBC8"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Жоғарыда айтылғандардың барлығы</w:t>
      </w:r>
    </w:p>
    <w:p w14:paraId="0814FA3B"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Анықтамаймын, уақыт жоқ</w:t>
      </w:r>
    </w:p>
    <w:p w14:paraId="00805D33"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13. Науқаста дистресс ауруына байланысты емге бейімділігі төмендегенде, сәл жоғары үрейленген пациенттерге психологиялық-әлеуметтік қолдауды кім көрсетеді?</w:t>
      </w:r>
    </w:p>
    <w:p w14:paraId="57841769"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Эндокринолог дәрігері</w:t>
      </w:r>
    </w:p>
    <w:p w14:paraId="01830598"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Эндокринолог медбикесі</w:t>
      </w:r>
    </w:p>
    <w:p w14:paraId="1A7A4D1F"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Жалпы тәжірибелік дәрігері</w:t>
      </w:r>
    </w:p>
    <w:p w14:paraId="60ED5AE1"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4) </w:t>
      </w:r>
      <w:r w:rsidRPr="004135FE">
        <w:rPr>
          <w:rFonts w:ascii="Times New Roman" w:hAnsi="Times New Roman" w:cs="Times New Roman"/>
          <w:sz w:val="28"/>
          <w:szCs w:val="28"/>
          <w:lang w:val="kk-KZ"/>
        </w:rPr>
        <w:t>Д</w:t>
      </w:r>
      <w:r w:rsidRPr="004135FE">
        <w:rPr>
          <w:rFonts w:ascii="Times New Roman" w:hAnsi="Times New Roman" w:cs="Times New Roman"/>
          <w:sz w:val="28"/>
          <w:szCs w:val="28"/>
        </w:rPr>
        <w:t>әрігер психолог/психотерапевт</w:t>
      </w:r>
    </w:p>
    <w:p w14:paraId="0CC44D0F"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5) </w:t>
      </w:r>
      <w:r w:rsidRPr="004135FE">
        <w:rPr>
          <w:rFonts w:ascii="Times New Roman" w:hAnsi="Times New Roman" w:cs="Times New Roman"/>
          <w:sz w:val="28"/>
          <w:szCs w:val="28"/>
          <w:lang w:val="kk-KZ"/>
        </w:rPr>
        <w:t>Ә</w:t>
      </w:r>
      <w:r w:rsidRPr="004135FE">
        <w:rPr>
          <w:rFonts w:ascii="Times New Roman" w:hAnsi="Times New Roman" w:cs="Times New Roman"/>
          <w:sz w:val="28"/>
          <w:szCs w:val="28"/>
        </w:rPr>
        <w:t>леуметтік қызметкер</w:t>
      </w:r>
    </w:p>
    <w:p w14:paraId="61CCF60A"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6) </w:t>
      </w:r>
      <w:r w:rsidRPr="004135FE">
        <w:rPr>
          <w:rFonts w:ascii="Times New Roman" w:hAnsi="Times New Roman" w:cs="Times New Roman"/>
          <w:sz w:val="28"/>
          <w:szCs w:val="28"/>
          <w:lang w:val="kk-KZ"/>
        </w:rPr>
        <w:t>Е</w:t>
      </w:r>
      <w:r w:rsidRPr="004135FE">
        <w:rPr>
          <w:rFonts w:ascii="Times New Roman" w:hAnsi="Times New Roman" w:cs="Times New Roman"/>
          <w:sz w:val="28"/>
          <w:szCs w:val="28"/>
        </w:rPr>
        <w:t>шкім</w:t>
      </w:r>
    </w:p>
    <w:p w14:paraId="37DC9A32" w14:textId="77777777" w:rsidR="008D5DB3" w:rsidRPr="004135FE" w:rsidRDefault="008D5DB3" w:rsidP="004135FE">
      <w:pPr>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14. Психикалық бұзылу белгілері, оның ішінде клиникалық маңызды алаңдаушылық және депрессия, тамақтану әдетінің бұзылуы, айқын когнитивтік бұзылулар болған кезде пациенттерге психоәлеуметтік қолдау кім көрсетеді?</w:t>
      </w:r>
    </w:p>
    <w:p w14:paraId="25144A9B"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1) </w:t>
      </w:r>
      <w:r w:rsidRPr="004135FE">
        <w:rPr>
          <w:rFonts w:ascii="Times New Roman" w:hAnsi="Times New Roman" w:cs="Times New Roman"/>
          <w:sz w:val="28"/>
          <w:szCs w:val="28"/>
          <w:lang w:val="kk-KZ"/>
        </w:rPr>
        <w:t>Э</w:t>
      </w:r>
      <w:r w:rsidRPr="004135FE">
        <w:rPr>
          <w:rFonts w:ascii="Times New Roman" w:hAnsi="Times New Roman" w:cs="Times New Roman"/>
          <w:sz w:val="28"/>
          <w:szCs w:val="28"/>
        </w:rPr>
        <w:t>ндокринолог дәрігері</w:t>
      </w:r>
    </w:p>
    <w:p w14:paraId="167ED901"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2) </w:t>
      </w:r>
      <w:r w:rsidRPr="004135FE">
        <w:rPr>
          <w:rFonts w:ascii="Times New Roman" w:hAnsi="Times New Roman" w:cs="Times New Roman"/>
          <w:sz w:val="28"/>
          <w:szCs w:val="28"/>
          <w:lang w:val="kk-KZ"/>
        </w:rPr>
        <w:t>Э</w:t>
      </w:r>
      <w:r w:rsidRPr="004135FE">
        <w:rPr>
          <w:rFonts w:ascii="Times New Roman" w:hAnsi="Times New Roman" w:cs="Times New Roman"/>
          <w:sz w:val="28"/>
          <w:szCs w:val="28"/>
        </w:rPr>
        <w:t>ндокринолог медбикесі</w:t>
      </w:r>
    </w:p>
    <w:p w14:paraId="1B57B3C9"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3) </w:t>
      </w:r>
      <w:r w:rsidRPr="004135FE">
        <w:rPr>
          <w:rFonts w:ascii="Times New Roman" w:hAnsi="Times New Roman" w:cs="Times New Roman"/>
          <w:sz w:val="28"/>
          <w:szCs w:val="28"/>
          <w:lang w:val="kk-KZ"/>
        </w:rPr>
        <w:t>Ж</w:t>
      </w:r>
      <w:r w:rsidRPr="004135FE">
        <w:rPr>
          <w:rFonts w:ascii="Times New Roman" w:hAnsi="Times New Roman" w:cs="Times New Roman"/>
          <w:sz w:val="28"/>
          <w:szCs w:val="28"/>
        </w:rPr>
        <w:t xml:space="preserve">алпы </w:t>
      </w:r>
      <w:r w:rsidRPr="004135FE">
        <w:rPr>
          <w:rFonts w:ascii="Times New Roman" w:hAnsi="Times New Roman" w:cs="Times New Roman"/>
          <w:sz w:val="28"/>
          <w:szCs w:val="28"/>
          <w:lang w:val="kk-KZ"/>
        </w:rPr>
        <w:t>тәжірибелік</w:t>
      </w:r>
      <w:r w:rsidRPr="004135FE">
        <w:rPr>
          <w:rFonts w:ascii="Times New Roman" w:hAnsi="Times New Roman" w:cs="Times New Roman"/>
          <w:sz w:val="28"/>
          <w:szCs w:val="28"/>
        </w:rPr>
        <w:t xml:space="preserve"> дәрігері</w:t>
      </w:r>
    </w:p>
    <w:p w14:paraId="0E98F73F"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4) </w:t>
      </w:r>
      <w:r w:rsidRPr="004135FE">
        <w:rPr>
          <w:rFonts w:ascii="Times New Roman" w:hAnsi="Times New Roman" w:cs="Times New Roman"/>
          <w:sz w:val="28"/>
          <w:szCs w:val="28"/>
          <w:lang w:val="kk-KZ"/>
        </w:rPr>
        <w:t>Д</w:t>
      </w:r>
      <w:r w:rsidRPr="004135FE">
        <w:rPr>
          <w:rFonts w:ascii="Times New Roman" w:hAnsi="Times New Roman" w:cs="Times New Roman"/>
          <w:sz w:val="28"/>
          <w:szCs w:val="28"/>
        </w:rPr>
        <w:t>әрігер психолог/психотерапевт</w:t>
      </w:r>
    </w:p>
    <w:p w14:paraId="1D51DB78"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5) </w:t>
      </w:r>
      <w:r w:rsidRPr="004135FE">
        <w:rPr>
          <w:rFonts w:ascii="Times New Roman" w:hAnsi="Times New Roman" w:cs="Times New Roman"/>
          <w:sz w:val="28"/>
          <w:szCs w:val="28"/>
          <w:lang w:val="kk-KZ"/>
        </w:rPr>
        <w:t>Ә</w:t>
      </w:r>
      <w:r w:rsidRPr="004135FE">
        <w:rPr>
          <w:rFonts w:ascii="Times New Roman" w:hAnsi="Times New Roman" w:cs="Times New Roman"/>
          <w:sz w:val="28"/>
          <w:szCs w:val="28"/>
        </w:rPr>
        <w:t>леуметтік қызметкер</w:t>
      </w:r>
    </w:p>
    <w:p w14:paraId="685D4B2E"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6) </w:t>
      </w:r>
      <w:r w:rsidRPr="004135FE">
        <w:rPr>
          <w:rFonts w:ascii="Times New Roman" w:hAnsi="Times New Roman" w:cs="Times New Roman"/>
          <w:sz w:val="28"/>
          <w:szCs w:val="28"/>
          <w:lang w:val="kk-KZ"/>
        </w:rPr>
        <w:t>Е</w:t>
      </w:r>
      <w:r w:rsidRPr="004135FE">
        <w:rPr>
          <w:rFonts w:ascii="Times New Roman" w:hAnsi="Times New Roman" w:cs="Times New Roman"/>
          <w:sz w:val="28"/>
          <w:szCs w:val="28"/>
        </w:rPr>
        <w:t>шкім</w:t>
      </w:r>
    </w:p>
    <w:p w14:paraId="296DF5E0" w14:textId="77777777" w:rsidR="008D5DB3" w:rsidRPr="004135FE" w:rsidRDefault="008D5DB3" w:rsidP="004135FE">
      <w:pPr>
        <w:spacing w:after="0" w:line="240" w:lineRule="auto"/>
        <w:jc w:val="both"/>
        <w:rPr>
          <w:rFonts w:ascii="Times New Roman" w:hAnsi="Times New Roman" w:cs="Times New Roman"/>
          <w:sz w:val="28"/>
          <w:szCs w:val="28"/>
        </w:rPr>
      </w:pPr>
    </w:p>
    <w:p w14:paraId="7A7E556F" w14:textId="77777777" w:rsidR="008D5DB3" w:rsidRPr="004135FE" w:rsidRDefault="008D5DB3" w:rsidP="004135FE">
      <w:pPr>
        <w:spacing w:after="0" w:line="240" w:lineRule="auto"/>
        <w:jc w:val="both"/>
        <w:rPr>
          <w:rFonts w:ascii="Times New Roman" w:hAnsi="Times New Roman" w:cs="Times New Roman"/>
          <w:caps/>
          <w:sz w:val="28"/>
          <w:szCs w:val="28"/>
        </w:rPr>
      </w:pPr>
      <w:r w:rsidRPr="004135FE">
        <w:rPr>
          <w:rFonts w:ascii="Times New Roman" w:hAnsi="Times New Roman" w:cs="Times New Roman"/>
          <w:caps/>
          <w:sz w:val="28"/>
          <w:szCs w:val="28"/>
        </w:rPr>
        <w:t>4-бөлім. РЕСУРСТАРМЕН ЖАБДЫҚТАУ САПАСЫ ЖӘНЕ ЖҰМЫС ОРНЫНА ҚАНАҒАТТАНУШЫЛЫҚ</w:t>
      </w:r>
    </w:p>
    <w:p w14:paraId="35676072" w14:textId="77777777" w:rsidR="008D5DB3" w:rsidRPr="004135FE" w:rsidRDefault="008D5DB3" w:rsidP="004135FE">
      <w:pPr>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 xml:space="preserve">15. Сіз үшін </w:t>
      </w:r>
      <w:r w:rsidRPr="004135FE">
        <w:rPr>
          <w:rFonts w:ascii="Times New Roman" w:hAnsi="Times New Roman" w:cs="Times New Roman"/>
          <w:b/>
          <w:sz w:val="28"/>
          <w:szCs w:val="28"/>
          <w:lang w:val="kk-KZ"/>
        </w:rPr>
        <w:t>қ</w:t>
      </w:r>
      <w:r w:rsidRPr="004135FE">
        <w:rPr>
          <w:rFonts w:ascii="Times New Roman" w:hAnsi="Times New Roman" w:cs="Times New Roman"/>
          <w:b/>
          <w:sz w:val="28"/>
          <w:szCs w:val="28"/>
        </w:rPr>
        <w:t>ант диабеті туралы</w:t>
      </w:r>
      <w:r w:rsidRPr="004135FE">
        <w:rPr>
          <w:rFonts w:ascii="Times New Roman" w:hAnsi="Times New Roman" w:cs="Times New Roman"/>
          <w:b/>
          <w:sz w:val="28"/>
          <w:szCs w:val="28"/>
          <w:lang w:val="kk-KZ"/>
        </w:rPr>
        <w:t xml:space="preserve"> басты</w:t>
      </w:r>
      <w:r w:rsidRPr="004135FE">
        <w:rPr>
          <w:rFonts w:ascii="Times New Roman" w:hAnsi="Times New Roman" w:cs="Times New Roman"/>
          <w:b/>
          <w:sz w:val="28"/>
          <w:szCs w:val="28"/>
        </w:rPr>
        <w:t xml:space="preserve"> ақпарат көзі </w:t>
      </w:r>
      <w:r w:rsidRPr="004135FE">
        <w:rPr>
          <w:rFonts w:ascii="Times New Roman" w:hAnsi="Times New Roman" w:cs="Times New Roman"/>
          <w:b/>
          <w:sz w:val="28"/>
          <w:szCs w:val="28"/>
          <w:lang w:val="kk-KZ"/>
        </w:rPr>
        <w:t>болып табылады</w:t>
      </w:r>
      <w:r w:rsidRPr="004135FE">
        <w:rPr>
          <w:rFonts w:ascii="Times New Roman" w:hAnsi="Times New Roman" w:cs="Times New Roman"/>
          <w:b/>
          <w:sz w:val="28"/>
          <w:szCs w:val="28"/>
        </w:rPr>
        <w:t xml:space="preserve">? </w:t>
      </w:r>
    </w:p>
    <w:p w14:paraId="59EBD2C6"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1) </w:t>
      </w:r>
      <w:r w:rsidRPr="004135FE">
        <w:rPr>
          <w:rFonts w:ascii="Times New Roman" w:hAnsi="Times New Roman" w:cs="Times New Roman"/>
          <w:sz w:val="28"/>
          <w:szCs w:val="28"/>
          <w:lang w:val="kk-KZ"/>
        </w:rPr>
        <w:t>А</w:t>
      </w:r>
      <w:r w:rsidRPr="004135FE">
        <w:rPr>
          <w:rFonts w:ascii="Times New Roman" w:hAnsi="Times New Roman" w:cs="Times New Roman"/>
          <w:sz w:val="28"/>
          <w:szCs w:val="28"/>
        </w:rPr>
        <w:t>қылы негізде біліктілікті арттыру</w:t>
      </w:r>
    </w:p>
    <w:p w14:paraId="4701DC35"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2) </w:t>
      </w:r>
      <w:r w:rsidRPr="004135FE">
        <w:rPr>
          <w:rFonts w:ascii="Times New Roman" w:hAnsi="Times New Roman" w:cs="Times New Roman"/>
          <w:sz w:val="28"/>
          <w:szCs w:val="28"/>
          <w:lang w:val="kk-KZ"/>
        </w:rPr>
        <w:t>Б</w:t>
      </w:r>
      <w:r w:rsidRPr="004135FE">
        <w:rPr>
          <w:rFonts w:ascii="Times New Roman" w:hAnsi="Times New Roman" w:cs="Times New Roman"/>
          <w:sz w:val="28"/>
          <w:szCs w:val="28"/>
        </w:rPr>
        <w:t>юджеттік негізде біліктілікті арттыру</w:t>
      </w:r>
    </w:p>
    <w:p w14:paraId="2D69B4C6"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Мастер класстар</w:t>
      </w:r>
    </w:p>
    <w:p w14:paraId="4B48C966"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Алгоритмдер, хаттамалар және бұйрықтар</w:t>
      </w:r>
    </w:p>
    <w:p w14:paraId="4263341B"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Электрондық чат, эндокринологтар қоғамдастығы</w:t>
      </w:r>
    </w:p>
    <w:p w14:paraId="72D2D8C8"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Интернет ресурстары</w:t>
      </w:r>
    </w:p>
    <w:p w14:paraId="509DFC1F" w14:textId="77777777" w:rsidR="008D5DB3" w:rsidRPr="004135FE" w:rsidRDefault="008D5DB3" w:rsidP="004135FE">
      <w:pPr>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 xml:space="preserve">16. Әрбір науқасты қабылдауға 15минут бөлінді, </w:t>
      </w:r>
      <w:r w:rsidRPr="004135FE">
        <w:rPr>
          <w:rFonts w:ascii="Times New Roman" w:hAnsi="Times New Roman" w:cs="Times New Roman"/>
          <w:b/>
          <w:sz w:val="28"/>
          <w:szCs w:val="28"/>
          <w:lang w:val="kk-KZ"/>
        </w:rPr>
        <w:t>сол уақыттың ішінен қаншасы</w:t>
      </w:r>
      <w:r w:rsidRPr="004135FE">
        <w:rPr>
          <w:rFonts w:ascii="Times New Roman" w:hAnsi="Times New Roman" w:cs="Times New Roman"/>
          <w:b/>
          <w:sz w:val="28"/>
          <w:szCs w:val="28"/>
        </w:rPr>
        <w:t xml:space="preserve"> </w:t>
      </w:r>
      <w:r w:rsidRPr="004135FE">
        <w:rPr>
          <w:rFonts w:ascii="Times New Roman" w:hAnsi="Times New Roman" w:cs="Times New Roman"/>
          <w:b/>
          <w:sz w:val="28"/>
          <w:szCs w:val="28"/>
          <w:lang w:val="kk-KZ"/>
        </w:rPr>
        <w:t>КМИС</w:t>
      </w:r>
      <w:r w:rsidRPr="004135FE">
        <w:rPr>
          <w:rFonts w:ascii="Times New Roman" w:hAnsi="Times New Roman" w:cs="Times New Roman"/>
          <w:b/>
          <w:sz w:val="28"/>
          <w:szCs w:val="28"/>
        </w:rPr>
        <w:t xml:space="preserve"> бағдарламасында құжаттарды ресімдеуге жұмса</w:t>
      </w:r>
      <w:r w:rsidRPr="004135FE">
        <w:rPr>
          <w:rFonts w:ascii="Times New Roman" w:hAnsi="Times New Roman" w:cs="Times New Roman"/>
          <w:b/>
          <w:sz w:val="28"/>
          <w:szCs w:val="28"/>
          <w:lang w:val="kk-KZ"/>
        </w:rPr>
        <w:t>ла</w:t>
      </w:r>
      <w:r w:rsidRPr="004135FE">
        <w:rPr>
          <w:rFonts w:ascii="Times New Roman" w:hAnsi="Times New Roman" w:cs="Times New Roman"/>
          <w:b/>
          <w:sz w:val="28"/>
          <w:szCs w:val="28"/>
        </w:rPr>
        <w:t>ды?</w:t>
      </w:r>
    </w:p>
    <w:p w14:paraId="57DE24CD"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2</w:t>
      </w:r>
      <w:r w:rsidRPr="004135FE">
        <w:rPr>
          <w:rFonts w:ascii="Times New Roman" w:hAnsi="Times New Roman" w:cs="Times New Roman"/>
          <w:sz w:val="28"/>
          <w:szCs w:val="28"/>
          <w:lang w:val="kk-KZ"/>
        </w:rPr>
        <w:t xml:space="preserve"> </w:t>
      </w:r>
      <w:r w:rsidRPr="004135FE">
        <w:rPr>
          <w:rFonts w:ascii="Times New Roman" w:hAnsi="Times New Roman" w:cs="Times New Roman"/>
          <w:sz w:val="28"/>
          <w:szCs w:val="28"/>
        </w:rPr>
        <w:t>минутқа дейін</w:t>
      </w:r>
    </w:p>
    <w:p w14:paraId="0036A9C3"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5</w:t>
      </w:r>
      <w:r w:rsidRPr="004135FE">
        <w:rPr>
          <w:rFonts w:ascii="Times New Roman" w:hAnsi="Times New Roman" w:cs="Times New Roman"/>
          <w:sz w:val="28"/>
          <w:szCs w:val="28"/>
          <w:lang w:val="kk-KZ"/>
        </w:rPr>
        <w:t xml:space="preserve"> </w:t>
      </w:r>
      <w:r w:rsidRPr="004135FE">
        <w:rPr>
          <w:rFonts w:ascii="Times New Roman" w:hAnsi="Times New Roman" w:cs="Times New Roman"/>
          <w:sz w:val="28"/>
          <w:szCs w:val="28"/>
        </w:rPr>
        <w:t>минутқа дейін</w:t>
      </w:r>
    </w:p>
    <w:p w14:paraId="4C1B56C9"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7</w:t>
      </w:r>
      <w:r w:rsidRPr="004135FE">
        <w:rPr>
          <w:rFonts w:ascii="Times New Roman" w:hAnsi="Times New Roman" w:cs="Times New Roman"/>
          <w:sz w:val="28"/>
          <w:szCs w:val="28"/>
          <w:lang w:val="kk-KZ"/>
        </w:rPr>
        <w:t xml:space="preserve"> </w:t>
      </w:r>
      <w:r w:rsidRPr="004135FE">
        <w:rPr>
          <w:rFonts w:ascii="Times New Roman" w:hAnsi="Times New Roman" w:cs="Times New Roman"/>
          <w:sz w:val="28"/>
          <w:szCs w:val="28"/>
        </w:rPr>
        <w:t>минутқа дейін</w:t>
      </w:r>
    </w:p>
    <w:p w14:paraId="4FDD38A8"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10</w:t>
      </w:r>
      <w:r w:rsidRPr="004135FE">
        <w:rPr>
          <w:rFonts w:ascii="Times New Roman" w:hAnsi="Times New Roman" w:cs="Times New Roman"/>
          <w:sz w:val="28"/>
          <w:szCs w:val="28"/>
          <w:lang w:val="kk-KZ"/>
        </w:rPr>
        <w:t xml:space="preserve"> </w:t>
      </w:r>
      <w:r w:rsidRPr="004135FE">
        <w:rPr>
          <w:rFonts w:ascii="Times New Roman" w:hAnsi="Times New Roman" w:cs="Times New Roman"/>
          <w:sz w:val="28"/>
          <w:szCs w:val="28"/>
        </w:rPr>
        <w:t>минутқа дейін</w:t>
      </w:r>
    </w:p>
    <w:p w14:paraId="74D372E0"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13 минутқа дейін</w:t>
      </w:r>
    </w:p>
    <w:p w14:paraId="43A61DD9" w14:textId="77777777" w:rsidR="008D5DB3" w:rsidRPr="004135FE" w:rsidRDefault="008D5DB3" w:rsidP="004135FE">
      <w:pPr>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 xml:space="preserve">17. </w:t>
      </w:r>
      <w:r w:rsidRPr="004135FE">
        <w:rPr>
          <w:rFonts w:ascii="Times New Roman" w:hAnsi="Times New Roman" w:cs="Times New Roman"/>
          <w:b/>
          <w:sz w:val="28"/>
          <w:szCs w:val="28"/>
          <w:lang w:val="kk-KZ"/>
        </w:rPr>
        <w:t>Э</w:t>
      </w:r>
      <w:r w:rsidRPr="004135FE">
        <w:rPr>
          <w:rFonts w:ascii="Times New Roman" w:hAnsi="Times New Roman" w:cs="Times New Roman"/>
          <w:b/>
          <w:sz w:val="28"/>
          <w:szCs w:val="28"/>
        </w:rPr>
        <w:t>лектрондық құжат айналымы 100% - ға шаққанда</w:t>
      </w:r>
      <w:r w:rsidRPr="004135FE">
        <w:rPr>
          <w:rFonts w:ascii="Times New Roman" w:hAnsi="Times New Roman" w:cs="Times New Roman"/>
          <w:b/>
          <w:sz w:val="28"/>
          <w:szCs w:val="28"/>
          <w:lang w:val="kk-KZ"/>
        </w:rPr>
        <w:t>,</w:t>
      </w:r>
      <w:r w:rsidRPr="004135FE">
        <w:rPr>
          <w:rFonts w:ascii="Times New Roman" w:hAnsi="Times New Roman" w:cs="Times New Roman"/>
          <w:b/>
          <w:sz w:val="28"/>
          <w:szCs w:val="28"/>
        </w:rPr>
        <w:t xml:space="preserve"> қағаз</w:t>
      </w:r>
      <w:r w:rsidRPr="004135FE">
        <w:rPr>
          <w:rFonts w:ascii="Times New Roman" w:hAnsi="Times New Roman" w:cs="Times New Roman"/>
          <w:b/>
          <w:sz w:val="28"/>
          <w:szCs w:val="28"/>
          <w:lang w:val="kk-KZ"/>
        </w:rPr>
        <w:t>бастылықты</w:t>
      </w:r>
      <w:r w:rsidRPr="004135FE">
        <w:rPr>
          <w:rFonts w:ascii="Times New Roman" w:hAnsi="Times New Roman" w:cs="Times New Roman"/>
          <w:b/>
          <w:sz w:val="28"/>
          <w:szCs w:val="28"/>
        </w:rPr>
        <w:t xml:space="preserve"> қайталауды қанша</w:t>
      </w:r>
      <w:r w:rsidRPr="004135FE">
        <w:rPr>
          <w:rFonts w:ascii="Times New Roman" w:hAnsi="Times New Roman" w:cs="Times New Roman"/>
          <w:b/>
          <w:sz w:val="28"/>
          <w:szCs w:val="28"/>
          <w:lang w:val="kk-KZ"/>
        </w:rPr>
        <w:t>лықты</w:t>
      </w:r>
      <w:r w:rsidRPr="004135FE">
        <w:rPr>
          <w:rFonts w:ascii="Times New Roman" w:hAnsi="Times New Roman" w:cs="Times New Roman"/>
          <w:b/>
          <w:sz w:val="28"/>
          <w:szCs w:val="28"/>
        </w:rPr>
        <w:t xml:space="preserve"> қысқартты және бөлімдер арасында жүйелендірілген байланыс пен бір ұйымда жұмыс істейтін әріптестердің арасында тиімді байланыс орнатты?</w:t>
      </w:r>
    </w:p>
    <w:p w14:paraId="56D3D40A"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А)</w:t>
      </w:r>
      <w:r w:rsidRPr="004135FE">
        <w:rPr>
          <w:rFonts w:ascii="Times New Roman" w:hAnsi="Times New Roman" w:cs="Times New Roman"/>
          <w:sz w:val="28"/>
          <w:szCs w:val="28"/>
          <w:lang w:val="kk-KZ"/>
        </w:rPr>
        <w:t>У</w:t>
      </w:r>
      <w:r w:rsidRPr="004135FE">
        <w:rPr>
          <w:rFonts w:ascii="Times New Roman" w:hAnsi="Times New Roman" w:cs="Times New Roman"/>
          <w:sz w:val="28"/>
          <w:szCs w:val="28"/>
        </w:rPr>
        <w:t>ақыт ресурсы шығынының төмендеуі:                    Б)</w:t>
      </w:r>
      <w:r w:rsidRPr="004135FE">
        <w:rPr>
          <w:rFonts w:ascii="Times New Roman" w:hAnsi="Times New Roman" w:cs="Times New Roman"/>
          <w:sz w:val="28"/>
          <w:szCs w:val="28"/>
          <w:lang w:val="kk-KZ"/>
        </w:rPr>
        <w:t>Е</w:t>
      </w:r>
      <w:r w:rsidRPr="004135FE">
        <w:rPr>
          <w:rFonts w:ascii="Times New Roman" w:hAnsi="Times New Roman" w:cs="Times New Roman"/>
          <w:sz w:val="28"/>
          <w:szCs w:val="28"/>
        </w:rPr>
        <w:t>ңбек ресурсы шығынының төмендеуі»:</w:t>
      </w:r>
    </w:p>
    <w:p w14:paraId="177A650B"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1) 20% - дан төмен </w:t>
      </w:r>
      <w:r w:rsidRPr="004135FE">
        <w:rPr>
          <w:rFonts w:ascii="Times New Roman" w:hAnsi="Times New Roman" w:cs="Times New Roman"/>
          <w:sz w:val="28"/>
          <w:szCs w:val="28"/>
          <w:lang w:val="kk-KZ"/>
        </w:rPr>
        <w:t xml:space="preserve">                                                        </w:t>
      </w:r>
      <w:r w:rsidRPr="004135FE">
        <w:rPr>
          <w:rFonts w:ascii="Times New Roman" w:hAnsi="Times New Roman" w:cs="Times New Roman"/>
          <w:sz w:val="28"/>
          <w:szCs w:val="28"/>
        </w:rPr>
        <w:t>1) 20%-дан төмен</w:t>
      </w:r>
    </w:p>
    <w:p w14:paraId="4D830F91" w14:textId="77777777" w:rsidR="008D5DB3" w:rsidRPr="004135FE" w:rsidRDefault="008D5DB3" w:rsidP="004135FE">
      <w:pPr>
        <w:tabs>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20-40%                                                                        2) 20-40%</w:t>
      </w:r>
    </w:p>
    <w:p w14:paraId="37F90CD6" w14:textId="77777777" w:rsidR="008D5DB3" w:rsidRPr="004135FE" w:rsidRDefault="008D5DB3" w:rsidP="004135FE">
      <w:pPr>
        <w:tabs>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41-60%                                                                        3) 41-60%</w:t>
      </w:r>
    </w:p>
    <w:p w14:paraId="686E3B71" w14:textId="77777777" w:rsidR="008D5DB3" w:rsidRPr="004135FE" w:rsidRDefault="008D5DB3" w:rsidP="004135FE">
      <w:pPr>
        <w:tabs>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61-70%                                                                        4) 61-70%</w:t>
      </w:r>
    </w:p>
    <w:p w14:paraId="67EB45C0" w14:textId="77777777" w:rsidR="008D5DB3" w:rsidRPr="004135FE" w:rsidRDefault="008D5DB3" w:rsidP="004135FE">
      <w:pPr>
        <w:tabs>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71-80%                                                                        5) 71-80%</w:t>
      </w:r>
    </w:p>
    <w:p w14:paraId="47DFBF93" w14:textId="77777777" w:rsidR="008D5DB3" w:rsidRPr="004135FE" w:rsidRDefault="008D5DB3" w:rsidP="004135FE">
      <w:pPr>
        <w:tabs>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81-90%                                                                        6) 81-90%</w:t>
      </w:r>
    </w:p>
    <w:p w14:paraId="6DC548A9" w14:textId="77777777" w:rsidR="008D5DB3" w:rsidRPr="004135FE" w:rsidRDefault="008D5DB3" w:rsidP="004135FE">
      <w:pPr>
        <w:tabs>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7) 91-100%                                                                      7) 91-100%</w:t>
      </w:r>
    </w:p>
    <w:p w14:paraId="33954F2E" w14:textId="77777777" w:rsidR="008D5DB3" w:rsidRPr="004135FE" w:rsidRDefault="008D5DB3" w:rsidP="004135FE">
      <w:pPr>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 xml:space="preserve">18. </w:t>
      </w:r>
      <w:r w:rsidRPr="004135FE">
        <w:rPr>
          <w:rFonts w:ascii="Times New Roman" w:hAnsi="Times New Roman" w:cs="Times New Roman"/>
          <w:b/>
          <w:sz w:val="28"/>
          <w:szCs w:val="28"/>
          <w:lang w:val="kk-KZ"/>
        </w:rPr>
        <w:t>Науқас</w:t>
      </w:r>
      <w:r w:rsidRPr="004135FE">
        <w:rPr>
          <w:rFonts w:ascii="Times New Roman" w:hAnsi="Times New Roman" w:cs="Times New Roman"/>
          <w:b/>
          <w:sz w:val="28"/>
          <w:szCs w:val="28"/>
        </w:rPr>
        <w:t xml:space="preserve"> </w:t>
      </w:r>
      <w:r w:rsidRPr="004135FE">
        <w:rPr>
          <w:rFonts w:ascii="Times New Roman" w:hAnsi="Times New Roman" w:cs="Times New Roman"/>
          <w:b/>
          <w:sz w:val="28"/>
          <w:szCs w:val="28"/>
          <w:lang w:val="kk-KZ"/>
        </w:rPr>
        <w:t>С</w:t>
      </w:r>
      <w:r w:rsidRPr="004135FE">
        <w:rPr>
          <w:rFonts w:ascii="Times New Roman" w:hAnsi="Times New Roman" w:cs="Times New Roman"/>
          <w:b/>
          <w:sz w:val="28"/>
          <w:szCs w:val="28"/>
        </w:rPr>
        <w:t>іздің кабинетіңізден шы</w:t>
      </w:r>
      <w:r w:rsidRPr="004135FE">
        <w:rPr>
          <w:rFonts w:ascii="Times New Roman" w:hAnsi="Times New Roman" w:cs="Times New Roman"/>
          <w:b/>
          <w:sz w:val="28"/>
          <w:szCs w:val="28"/>
          <w:lang w:val="kk-KZ"/>
        </w:rPr>
        <w:t>ққан соң</w:t>
      </w:r>
      <w:r w:rsidRPr="004135FE">
        <w:rPr>
          <w:rFonts w:ascii="Times New Roman" w:hAnsi="Times New Roman" w:cs="Times New Roman"/>
          <w:b/>
          <w:sz w:val="28"/>
          <w:szCs w:val="28"/>
        </w:rPr>
        <w:t>, әр түрлі себептермен толық кеңес бере алмады</w:t>
      </w:r>
      <w:r w:rsidRPr="004135FE">
        <w:rPr>
          <w:rFonts w:ascii="Times New Roman" w:hAnsi="Times New Roman" w:cs="Times New Roman"/>
          <w:b/>
          <w:sz w:val="28"/>
          <w:szCs w:val="28"/>
          <w:lang w:val="kk-KZ"/>
        </w:rPr>
        <w:t>м</w:t>
      </w:r>
      <w:r w:rsidRPr="004135FE">
        <w:rPr>
          <w:rFonts w:ascii="Times New Roman" w:hAnsi="Times New Roman" w:cs="Times New Roman"/>
          <w:b/>
          <w:sz w:val="28"/>
          <w:szCs w:val="28"/>
        </w:rPr>
        <w:t xml:space="preserve"> деген сезім қаншалықты жиі туындайды?</w:t>
      </w:r>
    </w:p>
    <w:p w14:paraId="020B5CA6"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1) </w:t>
      </w:r>
      <w:r w:rsidRPr="004135FE">
        <w:rPr>
          <w:rFonts w:ascii="Times New Roman" w:hAnsi="Times New Roman" w:cs="Times New Roman"/>
          <w:sz w:val="28"/>
          <w:szCs w:val="28"/>
          <w:lang w:val="kk-KZ"/>
        </w:rPr>
        <w:t>Ә</w:t>
      </w:r>
      <w:r w:rsidRPr="004135FE">
        <w:rPr>
          <w:rFonts w:ascii="Times New Roman" w:hAnsi="Times New Roman" w:cs="Times New Roman"/>
          <w:sz w:val="28"/>
          <w:szCs w:val="28"/>
        </w:rPr>
        <w:t>рқашан</w:t>
      </w:r>
    </w:p>
    <w:p w14:paraId="08EE03FB"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2) </w:t>
      </w:r>
      <w:r w:rsidRPr="004135FE">
        <w:rPr>
          <w:rFonts w:ascii="Times New Roman" w:hAnsi="Times New Roman" w:cs="Times New Roman"/>
          <w:sz w:val="28"/>
          <w:szCs w:val="28"/>
          <w:lang w:val="kk-KZ"/>
        </w:rPr>
        <w:t>Ж</w:t>
      </w:r>
      <w:r w:rsidRPr="004135FE">
        <w:rPr>
          <w:rFonts w:ascii="Times New Roman" w:hAnsi="Times New Roman" w:cs="Times New Roman"/>
          <w:sz w:val="28"/>
          <w:szCs w:val="28"/>
        </w:rPr>
        <w:t>иі</w:t>
      </w:r>
    </w:p>
    <w:p w14:paraId="2E1B6617"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3) </w:t>
      </w:r>
      <w:r w:rsidRPr="004135FE">
        <w:rPr>
          <w:rFonts w:ascii="Times New Roman" w:hAnsi="Times New Roman" w:cs="Times New Roman"/>
          <w:sz w:val="28"/>
          <w:szCs w:val="28"/>
          <w:lang w:val="kk-KZ"/>
        </w:rPr>
        <w:t>К</w:t>
      </w:r>
      <w:r w:rsidRPr="004135FE">
        <w:rPr>
          <w:rFonts w:ascii="Times New Roman" w:hAnsi="Times New Roman" w:cs="Times New Roman"/>
          <w:sz w:val="28"/>
          <w:szCs w:val="28"/>
        </w:rPr>
        <w:t>ейде</w:t>
      </w:r>
    </w:p>
    <w:p w14:paraId="6C2849C6"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4) </w:t>
      </w:r>
      <w:r w:rsidRPr="004135FE">
        <w:rPr>
          <w:rFonts w:ascii="Times New Roman" w:hAnsi="Times New Roman" w:cs="Times New Roman"/>
          <w:sz w:val="28"/>
          <w:szCs w:val="28"/>
          <w:lang w:val="kk-KZ"/>
        </w:rPr>
        <w:t>Е</w:t>
      </w:r>
      <w:r w:rsidRPr="004135FE">
        <w:rPr>
          <w:rFonts w:ascii="Times New Roman" w:hAnsi="Times New Roman" w:cs="Times New Roman"/>
          <w:sz w:val="28"/>
          <w:szCs w:val="28"/>
        </w:rPr>
        <w:t>шқашан</w:t>
      </w:r>
    </w:p>
    <w:p w14:paraId="6D6340DC" w14:textId="77777777" w:rsidR="008D5DB3" w:rsidRPr="004135FE" w:rsidRDefault="008D5DB3" w:rsidP="004135FE">
      <w:pPr>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 xml:space="preserve">19. </w:t>
      </w:r>
      <w:r w:rsidRPr="004135FE">
        <w:rPr>
          <w:rFonts w:ascii="Times New Roman" w:hAnsi="Times New Roman" w:cs="Times New Roman"/>
          <w:b/>
          <w:sz w:val="28"/>
          <w:szCs w:val="28"/>
          <w:lang w:val="kk-KZ"/>
        </w:rPr>
        <w:t>Алдыңғы сұрақ</w:t>
      </w:r>
      <w:r w:rsidRPr="004135FE">
        <w:rPr>
          <w:rFonts w:ascii="Times New Roman" w:hAnsi="Times New Roman" w:cs="Times New Roman"/>
          <w:b/>
          <w:sz w:val="28"/>
          <w:szCs w:val="28"/>
        </w:rPr>
        <w:t xml:space="preserve"> бойынша </w:t>
      </w:r>
      <w:r w:rsidRPr="004135FE">
        <w:rPr>
          <w:rFonts w:ascii="Times New Roman" w:hAnsi="Times New Roman" w:cs="Times New Roman"/>
          <w:b/>
          <w:sz w:val="28"/>
          <w:szCs w:val="28"/>
          <w:lang w:val="kk-KZ"/>
        </w:rPr>
        <w:t xml:space="preserve">не </w:t>
      </w:r>
      <w:r w:rsidRPr="004135FE">
        <w:rPr>
          <w:rFonts w:ascii="Times New Roman" w:hAnsi="Times New Roman" w:cs="Times New Roman"/>
          <w:b/>
          <w:sz w:val="28"/>
          <w:szCs w:val="28"/>
        </w:rPr>
        <w:t>себеп</w:t>
      </w:r>
      <w:r w:rsidRPr="004135FE">
        <w:rPr>
          <w:rFonts w:ascii="Times New Roman" w:hAnsi="Times New Roman" w:cs="Times New Roman"/>
          <w:b/>
          <w:sz w:val="28"/>
          <w:szCs w:val="28"/>
          <w:lang w:val="kk-KZ"/>
        </w:rPr>
        <w:t xml:space="preserve"> болып табылады</w:t>
      </w:r>
      <w:r w:rsidRPr="004135FE">
        <w:rPr>
          <w:rFonts w:ascii="Times New Roman" w:hAnsi="Times New Roman" w:cs="Times New Roman"/>
          <w:b/>
          <w:sz w:val="28"/>
          <w:szCs w:val="28"/>
        </w:rPr>
        <w:t>:</w:t>
      </w:r>
    </w:p>
    <w:p w14:paraId="13BC2552"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1) </w:t>
      </w:r>
      <w:r w:rsidRPr="004135FE">
        <w:rPr>
          <w:rFonts w:ascii="Times New Roman" w:hAnsi="Times New Roman" w:cs="Times New Roman"/>
          <w:sz w:val="28"/>
          <w:szCs w:val="28"/>
          <w:lang w:val="kk-KZ"/>
        </w:rPr>
        <w:t>Сол науқасқа</w:t>
      </w:r>
      <w:r w:rsidRPr="004135FE">
        <w:rPr>
          <w:rFonts w:ascii="Times New Roman" w:hAnsi="Times New Roman" w:cs="Times New Roman"/>
          <w:sz w:val="28"/>
          <w:szCs w:val="28"/>
        </w:rPr>
        <w:t xml:space="preserve"> қалыптасқан жағымсыз көзқарас</w:t>
      </w:r>
    </w:p>
    <w:p w14:paraId="33F075C2"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2) </w:t>
      </w:r>
      <w:r w:rsidRPr="004135FE">
        <w:rPr>
          <w:rFonts w:ascii="Times New Roman" w:hAnsi="Times New Roman" w:cs="Times New Roman"/>
          <w:sz w:val="28"/>
          <w:szCs w:val="28"/>
          <w:lang w:val="kk-KZ"/>
        </w:rPr>
        <w:t>Науқасты</w:t>
      </w:r>
      <w:r w:rsidRPr="004135FE">
        <w:rPr>
          <w:rFonts w:ascii="Times New Roman" w:hAnsi="Times New Roman" w:cs="Times New Roman"/>
          <w:sz w:val="28"/>
          <w:szCs w:val="28"/>
        </w:rPr>
        <w:t xml:space="preserve"> қабылдау емхана кеңесі</w:t>
      </w:r>
      <w:r w:rsidRPr="004135FE">
        <w:rPr>
          <w:rFonts w:ascii="Times New Roman" w:hAnsi="Times New Roman" w:cs="Times New Roman"/>
          <w:sz w:val="28"/>
          <w:szCs w:val="28"/>
          <w:lang w:val="kk-KZ"/>
        </w:rPr>
        <w:t>мен</w:t>
      </w:r>
      <w:r w:rsidRPr="004135FE">
        <w:rPr>
          <w:rFonts w:ascii="Times New Roman" w:hAnsi="Times New Roman" w:cs="Times New Roman"/>
          <w:sz w:val="28"/>
          <w:szCs w:val="28"/>
        </w:rPr>
        <w:t xml:space="preserve"> үзіл</w:t>
      </w:r>
      <w:r w:rsidRPr="004135FE">
        <w:rPr>
          <w:rFonts w:ascii="Times New Roman" w:hAnsi="Times New Roman" w:cs="Times New Roman"/>
          <w:sz w:val="28"/>
          <w:szCs w:val="28"/>
          <w:lang w:val="kk-KZ"/>
        </w:rPr>
        <w:t>генде</w:t>
      </w:r>
    </w:p>
    <w:p w14:paraId="2AE26B72"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rPr>
        <w:t xml:space="preserve">3) </w:t>
      </w:r>
      <w:r w:rsidRPr="004135FE">
        <w:rPr>
          <w:rFonts w:ascii="Times New Roman" w:hAnsi="Times New Roman" w:cs="Times New Roman"/>
          <w:sz w:val="28"/>
          <w:szCs w:val="28"/>
          <w:lang w:val="kk-KZ"/>
        </w:rPr>
        <w:t>Қ</w:t>
      </w:r>
      <w:r w:rsidRPr="004135FE">
        <w:rPr>
          <w:rFonts w:ascii="Times New Roman" w:hAnsi="Times New Roman" w:cs="Times New Roman"/>
          <w:sz w:val="28"/>
          <w:szCs w:val="28"/>
        </w:rPr>
        <w:t>ұжаттама</w:t>
      </w:r>
      <w:r w:rsidRPr="004135FE">
        <w:rPr>
          <w:rFonts w:ascii="Times New Roman" w:hAnsi="Times New Roman" w:cs="Times New Roman"/>
          <w:sz w:val="28"/>
          <w:szCs w:val="28"/>
          <w:lang w:val="kk-KZ"/>
        </w:rPr>
        <w:t>ны</w:t>
      </w:r>
      <w:r w:rsidRPr="004135FE">
        <w:rPr>
          <w:rFonts w:ascii="Times New Roman" w:hAnsi="Times New Roman" w:cs="Times New Roman"/>
          <w:sz w:val="28"/>
          <w:szCs w:val="28"/>
        </w:rPr>
        <w:t xml:space="preserve"> ресімдеу </w:t>
      </w:r>
      <w:r w:rsidRPr="004135FE">
        <w:rPr>
          <w:rFonts w:ascii="Times New Roman" w:hAnsi="Times New Roman" w:cs="Times New Roman"/>
          <w:sz w:val="28"/>
          <w:szCs w:val="28"/>
          <w:lang w:val="kk-KZ"/>
        </w:rPr>
        <w:t>басты міндеттен зейінді бұра тартады</w:t>
      </w:r>
    </w:p>
    <w:p w14:paraId="4B40B155"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Амбулаториялық деңгейде аурудың бақыланбайтын асқынулары</w:t>
      </w:r>
    </w:p>
    <w:p w14:paraId="0BDFD735"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Науқастың ұсыныстарға ұстаным зейіні жоқ</w:t>
      </w:r>
    </w:p>
    <w:p w14:paraId="02161C9B"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 xml:space="preserve">20. Амбулаториялық деңгейде 2 типті қант диабеті бар науқастарға №666 бұйрық бойынша қажетті дәрілік заттарға тапсырыс беру кезінде қандай қиындықтар туындайды? </w:t>
      </w:r>
    </w:p>
    <w:p w14:paraId="25541C55"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Дәрілік заттың баға және сапа саясаты</w:t>
      </w:r>
    </w:p>
    <w:p w14:paraId="26CFC14C"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Ресімдеу кезінде сырқаттанушылықтың 15% - ға өсуі ескеріледі, бірақ бухгалтерия мен провизор өтінімді 20-дан астам кесіп қысқартады%</w:t>
      </w:r>
    </w:p>
    <w:p w14:paraId="0B3757FB"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Әрбір пациенттің қажеттілігін ескере отырып, тыңғылықты тынымсыз жұмыс</w:t>
      </w:r>
    </w:p>
    <w:p w14:paraId="6536E3B7"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4) </w:t>
      </w:r>
      <w:r w:rsidRPr="004135FE">
        <w:rPr>
          <w:rFonts w:ascii="Times New Roman" w:hAnsi="Times New Roman" w:cs="Times New Roman"/>
          <w:sz w:val="28"/>
          <w:szCs w:val="28"/>
          <w:lang w:val="kk-KZ"/>
        </w:rPr>
        <w:t>Ж</w:t>
      </w:r>
      <w:r w:rsidRPr="004135FE">
        <w:rPr>
          <w:rFonts w:ascii="Times New Roman" w:hAnsi="Times New Roman" w:cs="Times New Roman"/>
          <w:sz w:val="28"/>
          <w:szCs w:val="28"/>
        </w:rPr>
        <w:t>ұмыстан тыс уақыт</w:t>
      </w:r>
      <w:r w:rsidRPr="004135FE">
        <w:rPr>
          <w:rFonts w:ascii="Times New Roman" w:hAnsi="Times New Roman" w:cs="Times New Roman"/>
          <w:sz w:val="28"/>
          <w:szCs w:val="28"/>
          <w:lang w:val="kk-KZ"/>
        </w:rPr>
        <w:t>та</w:t>
      </w:r>
      <w:r w:rsidRPr="004135FE">
        <w:rPr>
          <w:rFonts w:ascii="Times New Roman" w:hAnsi="Times New Roman" w:cs="Times New Roman"/>
          <w:sz w:val="28"/>
          <w:szCs w:val="28"/>
        </w:rPr>
        <w:t xml:space="preserve"> қалуға тура келеді</w:t>
      </w:r>
    </w:p>
    <w:p w14:paraId="50DE8127" w14:textId="77777777" w:rsidR="008D5DB3" w:rsidRPr="004135FE" w:rsidRDefault="008D5DB3" w:rsidP="004135FE">
      <w:pPr>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21. Н</w:t>
      </w:r>
      <w:r w:rsidRPr="004135FE">
        <w:rPr>
          <w:rFonts w:ascii="Times New Roman" w:hAnsi="Times New Roman" w:cs="Times New Roman"/>
          <w:b/>
          <w:sz w:val="28"/>
          <w:szCs w:val="28"/>
          <w:lang w:val="kk-KZ"/>
        </w:rPr>
        <w:t>РСД</w:t>
      </w:r>
      <w:r w:rsidRPr="004135FE">
        <w:rPr>
          <w:rFonts w:ascii="Times New Roman" w:hAnsi="Times New Roman" w:cs="Times New Roman"/>
          <w:b/>
          <w:sz w:val="28"/>
          <w:szCs w:val="28"/>
        </w:rPr>
        <w:t>, ЭРДБ, ИС</w:t>
      </w:r>
      <w:r w:rsidRPr="004135FE">
        <w:rPr>
          <w:rFonts w:ascii="Times New Roman" w:hAnsi="Times New Roman" w:cs="Times New Roman"/>
          <w:b/>
          <w:sz w:val="28"/>
          <w:szCs w:val="28"/>
          <w:lang w:val="kk-KZ"/>
        </w:rPr>
        <w:t>Л</w:t>
      </w:r>
      <w:r w:rsidRPr="004135FE">
        <w:rPr>
          <w:rFonts w:ascii="Times New Roman" w:hAnsi="Times New Roman" w:cs="Times New Roman"/>
          <w:b/>
          <w:sz w:val="28"/>
          <w:szCs w:val="28"/>
        </w:rPr>
        <w:t>О, КМИС бағдарламаларында 2 типті қант диабеті бойынша жылдық есептерді жасау кезінде анықталатын қателер</w:t>
      </w:r>
      <w:r w:rsidRPr="004135FE">
        <w:rPr>
          <w:rFonts w:ascii="Times New Roman" w:hAnsi="Times New Roman" w:cs="Times New Roman"/>
          <w:b/>
          <w:sz w:val="28"/>
          <w:szCs w:val="28"/>
          <w:lang w:val="kk-KZ"/>
        </w:rPr>
        <w:t xml:space="preserve"> жиі қай</w:t>
      </w:r>
      <w:r w:rsidRPr="004135FE">
        <w:rPr>
          <w:rFonts w:ascii="Times New Roman" w:hAnsi="Times New Roman" w:cs="Times New Roman"/>
          <w:b/>
          <w:sz w:val="28"/>
          <w:szCs w:val="28"/>
        </w:rPr>
        <w:t xml:space="preserve"> әріптестер тарапынан жіберіл</w:t>
      </w:r>
      <w:r w:rsidRPr="004135FE">
        <w:rPr>
          <w:rFonts w:ascii="Times New Roman" w:hAnsi="Times New Roman" w:cs="Times New Roman"/>
          <w:b/>
          <w:sz w:val="28"/>
          <w:szCs w:val="28"/>
          <w:lang w:val="kk-KZ"/>
        </w:rPr>
        <w:t>еді</w:t>
      </w:r>
      <w:r w:rsidRPr="004135FE">
        <w:rPr>
          <w:rFonts w:ascii="Times New Roman" w:hAnsi="Times New Roman" w:cs="Times New Roman"/>
          <w:b/>
          <w:sz w:val="28"/>
          <w:szCs w:val="28"/>
        </w:rPr>
        <w:t>?</w:t>
      </w:r>
    </w:p>
    <w:p w14:paraId="030DA869"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1) </w:t>
      </w:r>
      <w:r w:rsidRPr="004135FE">
        <w:rPr>
          <w:rFonts w:ascii="Times New Roman" w:hAnsi="Times New Roman" w:cs="Times New Roman"/>
          <w:sz w:val="28"/>
          <w:szCs w:val="28"/>
          <w:lang w:val="kk-KZ"/>
        </w:rPr>
        <w:t>Ж</w:t>
      </w:r>
      <w:r w:rsidRPr="004135FE">
        <w:rPr>
          <w:rFonts w:ascii="Times New Roman" w:hAnsi="Times New Roman" w:cs="Times New Roman"/>
          <w:sz w:val="28"/>
          <w:szCs w:val="28"/>
        </w:rPr>
        <w:t xml:space="preserve">алпы </w:t>
      </w:r>
      <w:r w:rsidRPr="004135FE">
        <w:rPr>
          <w:rFonts w:ascii="Times New Roman" w:hAnsi="Times New Roman" w:cs="Times New Roman"/>
          <w:sz w:val="28"/>
          <w:szCs w:val="28"/>
          <w:lang w:val="kk-KZ"/>
        </w:rPr>
        <w:t>тәжірибелік</w:t>
      </w:r>
      <w:r w:rsidRPr="004135FE">
        <w:rPr>
          <w:rFonts w:ascii="Times New Roman" w:hAnsi="Times New Roman" w:cs="Times New Roman"/>
          <w:sz w:val="28"/>
          <w:szCs w:val="28"/>
        </w:rPr>
        <w:t xml:space="preserve"> дәрігерлері</w:t>
      </w:r>
    </w:p>
    <w:p w14:paraId="3E02858F"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2) </w:t>
      </w:r>
      <w:r w:rsidRPr="004135FE">
        <w:rPr>
          <w:rFonts w:ascii="Times New Roman" w:hAnsi="Times New Roman" w:cs="Times New Roman"/>
          <w:sz w:val="28"/>
          <w:szCs w:val="28"/>
          <w:lang w:val="kk-KZ"/>
        </w:rPr>
        <w:t>Т</w:t>
      </w:r>
      <w:r w:rsidRPr="004135FE">
        <w:rPr>
          <w:rFonts w:ascii="Times New Roman" w:hAnsi="Times New Roman" w:cs="Times New Roman"/>
          <w:sz w:val="28"/>
          <w:szCs w:val="28"/>
        </w:rPr>
        <w:t>ерапевт дәрігерлер</w:t>
      </w:r>
    </w:p>
    <w:p w14:paraId="01CA8863"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3) </w:t>
      </w:r>
      <w:r w:rsidRPr="004135FE">
        <w:rPr>
          <w:rFonts w:ascii="Times New Roman" w:hAnsi="Times New Roman" w:cs="Times New Roman"/>
          <w:sz w:val="28"/>
          <w:szCs w:val="28"/>
          <w:lang w:val="kk-KZ"/>
        </w:rPr>
        <w:t>Г</w:t>
      </w:r>
      <w:r w:rsidRPr="004135FE">
        <w:rPr>
          <w:rFonts w:ascii="Times New Roman" w:hAnsi="Times New Roman" w:cs="Times New Roman"/>
          <w:sz w:val="28"/>
          <w:szCs w:val="28"/>
        </w:rPr>
        <w:t>инекологтар</w:t>
      </w:r>
    </w:p>
    <w:p w14:paraId="51DEE261"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4) </w:t>
      </w:r>
      <w:r w:rsidRPr="004135FE">
        <w:rPr>
          <w:rFonts w:ascii="Times New Roman" w:hAnsi="Times New Roman" w:cs="Times New Roman"/>
          <w:sz w:val="28"/>
          <w:szCs w:val="28"/>
          <w:lang w:val="kk-KZ"/>
        </w:rPr>
        <w:t>К</w:t>
      </w:r>
      <w:r w:rsidRPr="004135FE">
        <w:rPr>
          <w:rFonts w:ascii="Times New Roman" w:hAnsi="Times New Roman" w:cs="Times New Roman"/>
          <w:sz w:val="28"/>
          <w:szCs w:val="28"/>
        </w:rPr>
        <w:t>ардиологтар</w:t>
      </w:r>
    </w:p>
    <w:p w14:paraId="6E9F87B8"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5) </w:t>
      </w:r>
      <w:r w:rsidRPr="004135FE">
        <w:rPr>
          <w:rFonts w:ascii="Times New Roman" w:hAnsi="Times New Roman" w:cs="Times New Roman"/>
          <w:sz w:val="28"/>
          <w:szCs w:val="28"/>
          <w:lang w:val="kk-KZ"/>
        </w:rPr>
        <w:t>Н</w:t>
      </w:r>
      <w:r w:rsidRPr="004135FE">
        <w:rPr>
          <w:rFonts w:ascii="Times New Roman" w:hAnsi="Times New Roman" w:cs="Times New Roman"/>
          <w:sz w:val="28"/>
          <w:szCs w:val="28"/>
        </w:rPr>
        <w:t>европатологтар</w:t>
      </w:r>
    </w:p>
    <w:p w14:paraId="54D2BA6C" w14:textId="77777777" w:rsidR="008D5DB3" w:rsidRPr="004135FE" w:rsidRDefault="008D5DB3" w:rsidP="004135FE">
      <w:pPr>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 xml:space="preserve">22. </w:t>
      </w:r>
      <w:r w:rsidRPr="004135FE">
        <w:rPr>
          <w:rFonts w:ascii="Times New Roman" w:hAnsi="Times New Roman" w:cs="Times New Roman"/>
          <w:b/>
          <w:sz w:val="28"/>
          <w:szCs w:val="28"/>
          <w:lang w:val="kk-KZ"/>
        </w:rPr>
        <w:t>К</w:t>
      </w:r>
      <w:r w:rsidRPr="004135FE">
        <w:rPr>
          <w:rFonts w:ascii="Times New Roman" w:hAnsi="Times New Roman" w:cs="Times New Roman"/>
          <w:b/>
          <w:sz w:val="28"/>
          <w:szCs w:val="28"/>
        </w:rPr>
        <w:t xml:space="preserve">оронавирустық инфекция бойынша карантин кезінде </w:t>
      </w:r>
      <w:r w:rsidRPr="004135FE">
        <w:rPr>
          <w:rFonts w:ascii="Times New Roman" w:hAnsi="Times New Roman" w:cs="Times New Roman"/>
          <w:b/>
          <w:sz w:val="28"/>
          <w:szCs w:val="28"/>
          <w:lang w:val="kk-KZ"/>
        </w:rPr>
        <w:t xml:space="preserve">қозғалысы шектелген </w:t>
      </w:r>
      <w:r w:rsidRPr="004135FE">
        <w:rPr>
          <w:rFonts w:ascii="Times New Roman" w:hAnsi="Times New Roman" w:cs="Times New Roman"/>
          <w:b/>
          <w:sz w:val="28"/>
          <w:szCs w:val="28"/>
        </w:rPr>
        <w:t xml:space="preserve">2 типті қант диабеті бар </w:t>
      </w:r>
      <w:r w:rsidRPr="004135FE">
        <w:rPr>
          <w:rFonts w:ascii="Times New Roman" w:hAnsi="Times New Roman" w:cs="Times New Roman"/>
          <w:b/>
          <w:sz w:val="28"/>
          <w:szCs w:val="28"/>
          <w:lang w:val="kk-KZ"/>
        </w:rPr>
        <w:t>науқастарға</w:t>
      </w:r>
      <w:r w:rsidRPr="004135FE">
        <w:rPr>
          <w:rFonts w:ascii="Times New Roman" w:hAnsi="Times New Roman" w:cs="Times New Roman"/>
          <w:b/>
          <w:sz w:val="28"/>
          <w:szCs w:val="28"/>
        </w:rPr>
        <w:t xml:space="preserve"> көмек көрсету үшін әріптестеріңіздің қайсысы көмектесті?</w:t>
      </w:r>
    </w:p>
    <w:p w14:paraId="3346A62A"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1) </w:t>
      </w:r>
      <w:r w:rsidRPr="004135FE">
        <w:rPr>
          <w:rFonts w:ascii="Times New Roman" w:hAnsi="Times New Roman" w:cs="Times New Roman"/>
          <w:sz w:val="28"/>
          <w:szCs w:val="28"/>
          <w:lang w:val="kk-KZ"/>
        </w:rPr>
        <w:t>Е</w:t>
      </w:r>
      <w:r w:rsidRPr="004135FE">
        <w:rPr>
          <w:rFonts w:ascii="Times New Roman" w:hAnsi="Times New Roman" w:cs="Times New Roman"/>
          <w:sz w:val="28"/>
          <w:szCs w:val="28"/>
        </w:rPr>
        <w:t>шкім</w:t>
      </w:r>
    </w:p>
    <w:p w14:paraId="3861666F"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2) </w:t>
      </w:r>
      <w:r w:rsidRPr="004135FE">
        <w:rPr>
          <w:rFonts w:ascii="Times New Roman" w:hAnsi="Times New Roman" w:cs="Times New Roman"/>
          <w:sz w:val="28"/>
          <w:szCs w:val="28"/>
          <w:lang w:val="kk-KZ"/>
        </w:rPr>
        <w:t>Э</w:t>
      </w:r>
      <w:r w:rsidRPr="004135FE">
        <w:rPr>
          <w:rFonts w:ascii="Times New Roman" w:hAnsi="Times New Roman" w:cs="Times New Roman"/>
          <w:sz w:val="28"/>
          <w:szCs w:val="28"/>
        </w:rPr>
        <w:t>ндокринолог кабинетінің медбикесі</w:t>
      </w:r>
    </w:p>
    <w:p w14:paraId="0BA38D9D"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3) </w:t>
      </w:r>
      <w:r w:rsidRPr="004135FE">
        <w:rPr>
          <w:rFonts w:ascii="Times New Roman" w:hAnsi="Times New Roman" w:cs="Times New Roman"/>
          <w:sz w:val="28"/>
          <w:szCs w:val="28"/>
          <w:lang w:val="kk-KZ"/>
        </w:rPr>
        <w:t>Ж</w:t>
      </w:r>
      <w:r w:rsidRPr="004135FE">
        <w:rPr>
          <w:rFonts w:ascii="Times New Roman" w:hAnsi="Times New Roman" w:cs="Times New Roman"/>
          <w:sz w:val="28"/>
          <w:szCs w:val="28"/>
        </w:rPr>
        <w:t xml:space="preserve">алпы </w:t>
      </w:r>
      <w:r w:rsidRPr="004135FE">
        <w:rPr>
          <w:rFonts w:ascii="Times New Roman" w:hAnsi="Times New Roman" w:cs="Times New Roman"/>
          <w:sz w:val="28"/>
          <w:szCs w:val="28"/>
          <w:lang w:val="kk-KZ"/>
        </w:rPr>
        <w:t>тәжірибелік</w:t>
      </w:r>
      <w:r w:rsidRPr="004135FE">
        <w:rPr>
          <w:rFonts w:ascii="Times New Roman" w:hAnsi="Times New Roman" w:cs="Times New Roman"/>
          <w:sz w:val="28"/>
          <w:szCs w:val="28"/>
        </w:rPr>
        <w:t xml:space="preserve"> дәрігерлері және олардың медбикелері</w:t>
      </w:r>
    </w:p>
    <w:p w14:paraId="1C7C78FC"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4) </w:t>
      </w:r>
      <w:r w:rsidRPr="004135FE">
        <w:rPr>
          <w:rFonts w:ascii="Times New Roman" w:hAnsi="Times New Roman" w:cs="Times New Roman"/>
          <w:sz w:val="28"/>
          <w:szCs w:val="28"/>
          <w:lang w:val="kk-KZ"/>
        </w:rPr>
        <w:t>Т</w:t>
      </w:r>
      <w:r w:rsidRPr="004135FE">
        <w:rPr>
          <w:rFonts w:ascii="Times New Roman" w:hAnsi="Times New Roman" w:cs="Times New Roman"/>
          <w:sz w:val="28"/>
          <w:szCs w:val="28"/>
        </w:rPr>
        <w:t>ерапевтер және олардың медбикелері</w:t>
      </w:r>
    </w:p>
    <w:p w14:paraId="6E3A10D2"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5) </w:t>
      </w:r>
      <w:r w:rsidRPr="004135FE">
        <w:rPr>
          <w:rFonts w:ascii="Times New Roman" w:hAnsi="Times New Roman" w:cs="Times New Roman"/>
          <w:sz w:val="28"/>
          <w:szCs w:val="28"/>
          <w:lang w:val="kk-KZ"/>
        </w:rPr>
        <w:t>Ә</w:t>
      </w:r>
      <w:r w:rsidRPr="004135FE">
        <w:rPr>
          <w:rFonts w:ascii="Times New Roman" w:hAnsi="Times New Roman" w:cs="Times New Roman"/>
          <w:sz w:val="28"/>
          <w:szCs w:val="28"/>
        </w:rPr>
        <w:t>леуметтік қызметкерлер</w:t>
      </w:r>
    </w:p>
    <w:p w14:paraId="6895B41C" w14:textId="77777777" w:rsidR="008D5DB3" w:rsidRPr="004135FE" w:rsidRDefault="008D5DB3" w:rsidP="004135FE">
      <w:pPr>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 xml:space="preserve">23. 100% - ға шаққанда эндокринолог </w:t>
      </w:r>
      <w:r w:rsidRPr="004135FE">
        <w:rPr>
          <w:rFonts w:ascii="Times New Roman" w:hAnsi="Times New Roman" w:cs="Times New Roman"/>
          <w:b/>
          <w:sz w:val="28"/>
          <w:szCs w:val="28"/>
          <w:lang w:val="kk-KZ"/>
        </w:rPr>
        <w:t xml:space="preserve">дәрігері </w:t>
      </w:r>
      <w:r w:rsidRPr="004135FE">
        <w:rPr>
          <w:rFonts w:ascii="Times New Roman" w:hAnsi="Times New Roman" w:cs="Times New Roman"/>
          <w:b/>
          <w:sz w:val="28"/>
          <w:szCs w:val="28"/>
        </w:rPr>
        <w:t>кабинетінде</w:t>
      </w:r>
      <w:r w:rsidRPr="004135FE">
        <w:rPr>
          <w:rFonts w:ascii="Times New Roman" w:hAnsi="Times New Roman" w:cs="Times New Roman"/>
          <w:b/>
          <w:sz w:val="28"/>
          <w:szCs w:val="28"/>
          <w:lang w:val="kk-KZ"/>
        </w:rPr>
        <w:t>гі</w:t>
      </w:r>
      <w:r w:rsidRPr="004135FE">
        <w:rPr>
          <w:rFonts w:ascii="Times New Roman" w:hAnsi="Times New Roman" w:cs="Times New Roman"/>
          <w:b/>
          <w:sz w:val="28"/>
          <w:szCs w:val="28"/>
        </w:rPr>
        <w:t xml:space="preserve"> процеске қанша қанағаттанасыз?</w:t>
      </w:r>
    </w:p>
    <w:p w14:paraId="522B7B53"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А. </w:t>
      </w:r>
      <w:r w:rsidRPr="004135FE">
        <w:rPr>
          <w:rFonts w:ascii="Times New Roman" w:hAnsi="Times New Roman" w:cs="Times New Roman"/>
          <w:sz w:val="28"/>
          <w:szCs w:val="28"/>
          <w:lang w:val="kk-KZ"/>
        </w:rPr>
        <w:t>Бейбіт</w:t>
      </w:r>
      <w:r w:rsidRPr="004135FE">
        <w:rPr>
          <w:rFonts w:ascii="Times New Roman" w:hAnsi="Times New Roman" w:cs="Times New Roman"/>
          <w:sz w:val="28"/>
          <w:szCs w:val="28"/>
        </w:rPr>
        <w:t xml:space="preserve"> уақытта </w:t>
      </w:r>
      <w:r w:rsidRPr="004135FE">
        <w:rPr>
          <w:rFonts w:ascii="Times New Roman" w:hAnsi="Times New Roman" w:cs="Times New Roman"/>
          <w:sz w:val="28"/>
          <w:szCs w:val="28"/>
          <w:lang w:val="kk-KZ"/>
        </w:rPr>
        <w:t xml:space="preserve">                             </w:t>
      </w:r>
      <w:r w:rsidRPr="004135FE">
        <w:rPr>
          <w:rFonts w:ascii="Times New Roman" w:hAnsi="Times New Roman" w:cs="Times New Roman"/>
          <w:sz w:val="28"/>
          <w:szCs w:val="28"/>
        </w:rPr>
        <w:t>Б. коронавирустық инфекция бойынша карантин кезінде</w:t>
      </w:r>
    </w:p>
    <w:p w14:paraId="6927013B"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1) 20% - дан төмен </w:t>
      </w:r>
      <w:r w:rsidRPr="004135FE">
        <w:rPr>
          <w:rFonts w:ascii="Times New Roman" w:hAnsi="Times New Roman" w:cs="Times New Roman"/>
          <w:sz w:val="28"/>
          <w:szCs w:val="28"/>
          <w:lang w:val="kk-KZ"/>
        </w:rPr>
        <w:t xml:space="preserve">                                                        </w:t>
      </w:r>
      <w:r w:rsidRPr="004135FE">
        <w:rPr>
          <w:rFonts w:ascii="Times New Roman" w:hAnsi="Times New Roman" w:cs="Times New Roman"/>
          <w:sz w:val="28"/>
          <w:szCs w:val="28"/>
        </w:rPr>
        <w:t>1) 20%-дан төмен</w:t>
      </w:r>
    </w:p>
    <w:p w14:paraId="18672BB9" w14:textId="77777777" w:rsidR="008D5DB3" w:rsidRPr="004135FE" w:rsidRDefault="008D5DB3" w:rsidP="004135FE">
      <w:pPr>
        <w:tabs>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20-40%                                                                        2) 20-40%</w:t>
      </w:r>
    </w:p>
    <w:p w14:paraId="49051247" w14:textId="77777777" w:rsidR="008D5DB3" w:rsidRPr="004135FE" w:rsidRDefault="008D5DB3" w:rsidP="004135FE">
      <w:pPr>
        <w:tabs>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41-60%                                                                        3) 41-60%</w:t>
      </w:r>
    </w:p>
    <w:p w14:paraId="629AFEDD" w14:textId="77777777" w:rsidR="008D5DB3" w:rsidRPr="004135FE" w:rsidRDefault="008D5DB3" w:rsidP="004135FE">
      <w:pPr>
        <w:tabs>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61-70%                                                                        4) 61-70%</w:t>
      </w:r>
    </w:p>
    <w:p w14:paraId="6F3052A7" w14:textId="77777777" w:rsidR="008D5DB3" w:rsidRPr="004135FE" w:rsidRDefault="008D5DB3" w:rsidP="004135FE">
      <w:pPr>
        <w:tabs>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71-80%                                                                        5) 71-80%</w:t>
      </w:r>
    </w:p>
    <w:p w14:paraId="2BDFBFDD" w14:textId="77777777" w:rsidR="008D5DB3" w:rsidRPr="004135FE" w:rsidRDefault="008D5DB3" w:rsidP="004135FE">
      <w:pPr>
        <w:tabs>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81-90%                                                                        6) 81-90%</w:t>
      </w:r>
    </w:p>
    <w:p w14:paraId="41D04A0A" w14:textId="77777777" w:rsidR="008D5DB3" w:rsidRPr="004135FE" w:rsidRDefault="008D5DB3" w:rsidP="004135FE">
      <w:pPr>
        <w:tabs>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7) 91-100%                                                                      7) 91-100%</w:t>
      </w:r>
    </w:p>
    <w:p w14:paraId="3BDC69EE" w14:textId="77777777" w:rsidR="008D5DB3" w:rsidRPr="004135FE" w:rsidRDefault="008D5DB3" w:rsidP="004135FE">
      <w:pPr>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24. Қанағаттанбаудың себебі?</w:t>
      </w:r>
    </w:p>
    <w:p w14:paraId="11D89513"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1) </w:t>
      </w:r>
      <w:r w:rsidRPr="004135FE">
        <w:rPr>
          <w:rFonts w:ascii="Times New Roman" w:hAnsi="Times New Roman" w:cs="Times New Roman"/>
          <w:sz w:val="28"/>
          <w:szCs w:val="28"/>
          <w:lang w:val="kk-KZ"/>
        </w:rPr>
        <w:t>Т</w:t>
      </w:r>
      <w:r w:rsidRPr="004135FE">
        <w:rPr>
          <w:rFonts w:ascii="Times New Roman" w:hAnsi="Times New Roman" w:cs="Times New Roman"/>
          <w:sz w:val="28"/>
          <w:szCs w:val="28"/>
        </w:rPr>
        <w:t>өмен жалақы</w:t>
      </w:r>
    </w:p>
    <w:p w14:paraId="3CDBA390"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rPr>
        <w:t xml:space="preserve">2) </w:t>
      </w:r>
      <w:r w:rsidRPr="004135FE">
        <w:rPr>
          <w:rFonts w:ascii="Times New Roman" w:hAnsi="Times New Roman" w:cs="Times New Roman"/>
          <w:sz w:val="28"/>
          <w:szCs w:val="28"/>
          <w:lang w:val="kk-KZ"/>
        </w:rPr>
        <w:t>Науқастардың</w:t>
      </w:r>
      <w:r w:rsidRPr="004135FE">
        <w:rPr>
          <w:rFonts w:ascii="Times New Roman" w:hAnsi="Times New Roman" w:cs="Times New Roman"/>
          <w:sz w:val="28"/>
          <w:szCs w:val="28"/>
        </w:rPr>
        <w:t xml:space="preserve"> өз денсаулығы үшін жалпы жауапкершілік</w:t>
      </w:r>
      <w:r w:rsidRPr="004135FE">
        <w:rPr>
          <w:rFonts w:ascii="Times New Roman" w:hAnsi="Times New Roman" w:cs="Times New Roman"/>
          <w:sz w:val="28"/>
          <w:szCs w:val="28"/>
          <w:lang w:val="kk-KZ"/>
        </w:rPr>
        <w:t>тің болмауы</w:t>
      </w:r>
      <w:r w:rsidRPr="004135FE">
        <w:rPr>
          <w:rFonts w:ascii="Times New Roman" w:hAnsi="Times New Roman" w:cs="Times New Roman"/>
          <w:sz w:val="28"/>
          <w:szCs w:val="28"/>
        </w:rPr>
        <w:t xml:space="preserve"> дәрігердің еңбегі</w:t>
      </w:r>
      <w:r w:rsidRPr="004135FE">
        <w:rPr>
          <w:rFonts w:ascii="Times New Roman" w:hAnsi="Times New Roman" w:cs="Times New Roman"/>
          <w:sz w:val="28"/>
          <w:szCs w:val="28"/>
          <w:lang w:val="kk-KZ"/>
        </w:rPr>
        <w:t>н</w:t>
      </w:r>
      <w:r w:rsidRPr="004135FE">
        <w:rPr>
          <w:rFonts w:ascii="Times New Roman" w:hAnsi="Times New Roman" w:cs="Times New Roman"/>
          <w:sz w:val="28"/>
          <w:szCs w:val="28"/>
        </w:rPr>
        <w:t xml:space="preserve"> жоқ</w:t>
      </w:r>
      <w:r w:rsidRPr="004135FE">
        <w:rPr>
          <w:rFonts w:ascii="Times New Roman" w:hAnsi="Times New Roman" w:cs="Times New Roman"/>
          <w:sz w:val="28"/>
          <w:szCs w:val="28"/>
          <w:lang w:val="kk-KZ"/>
        </w:rPr>
        <w:t>қа шығарады</w:t>
      </w:r>
    </w:p>
    <w:p w14:paraId="511EA4DA"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Науқастардың құжаттарын ресімдеуге уақыттың көп бөлігі кетеді</w:t>
      </w:r>
    </w:p>
    <w:p w14:paraId="1FA71B5C"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Функционалдық міндеттерге кірмейтін шаруалар еңбектің ұтымды емес шығынына ұшыратады</w:t>
      </w:r>
    </w:p>
    <w:p w14:paraId="68D15BEE"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2 типті қант диабеті бар науқастарға эндокринологиялық көмек көрсету жөніндегі хаттамалар мен бұйрықтар қанағаттандырмайды</w:t>
      </w:r>
    </w:p>
    <w:p w14:paraId="42C0AC8D"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Басшылықпен 2 типті қант диабеті бар науқастарға қатысты мүдделер қақтығысы</w:t>
      </w:r>
    </w:p>
    <w:p w14:paraId="7DEC727B"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25. Эндокринолог дәрігерінің мамандығын басқа қызметке ауыстыру туралы жиі ойлайсыз ба?</w:t>
      </w:r>
    </w:p>
    <w:p w14:paraId="72F0D895"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Әрқашан</w:t>
      </w:r>
    </w:p>
    <w:p w14:paraId="1CB1CEBB"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Жиі</w:t>
      </w:r>
    </w:p>
    <w:p w14:paraId="6C54A67C"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Кейде</w:t>
      </w:r>
    </w:p>
    <w:p w14:paraId="0683D8FD"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Ешқашан</w:t>
      </w:r>
    </w:p>
    <w:p w14:paraId="0B2811CB" w14:textId="77777777" w:rsidR="008D5DB3" w:rsidRPr="004135FE" w:rsidRDefault="008D5DB3" w:rsidP="004135FE">
      <w:pPr>
        <w:spacing w:after="0" w:line="240" w:lineRule="auto"/>
        <w:jc w:val="both"/>
        <w:rPr>
          <w:rFonts w:ascii="Times New Roman" w:hAnsi="Times New Roman" w:cs="Times New Roman"/>
          <w:sz w:val="28"/>
          <w:szCs w:val="28"/>
          <w:lang w:val="kk-KZ"/>
        </w:rPr>
      </w:pPr>
    </w:p>
    <w:p w14:paraId="446037CF"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Әлеуметтік сауалнамаға қатысқандарыңыз үшін рахмет!</w:t>
      </w:r>
    </w:p>
    <w:p w14:paraId="3A49EA26" w14:textId="2A31E437" w:rsidR="008D5DB3" w:rsidRPr="004135FE" w:rsidRDefault="008D5DB3" w:rsidP="004135FE">
      <w:pPr>
        <w:spacing w:after="0" w:line="240" w:lineRule="auto"/>
        <w:jc w:val="both"/>
        <w:rPr>
          <w:rFonts w:ascii="Times New Roman" w:hAnsi="Times New Roman" w:cs="Times New Roman"/>
          <w:b/>
          <w:sz w:val="28"/>
          <w:szCs w:val="28"/>
          <w:lang w:val="kk-KZ"/>
        </w:rPr>
      </w:pPr>
    </w:p>
    <w:p w14:paraId="570CCEE5" w14:textId="216A1AE2" w:rsidR="00A32A65" w:rsidRPr="004135FE" w:rsidRDefault="00A32A65" w:rsidP="004135FE">
      <w:pPr>
        <w:spacing w:after="0" w:line="240" w:lineRule="auto"/>
        <w:jc w:val="both"/>
        <w:rPr>
          <w:rFonts w:ascii="Times New Roman" w:hAnsi="Times New Roman" w:cs="Times New Roman"/>
          <w:b/>
          <w:sz w:val="28"/>
          <w:szCs w:val="28"/>
          <w:lang w:val="kk-KZ"/>
        </w:rPr>
      </w:pPr>
    </w:p>
    <w:p w14:paraId="7E9614F5" w14:textId="5EAEF86F" w:rsidR="00A32A65" w:rsidRPr="004135FE" w:rsidRDefault="00A32A65" w:rsidP="004135FE">
      <w:pPr>
        <w:spacing w:after="0" w:line="240" w:lineRule="auto"/>
        <w:jc w:val="both"/>
        <w:rPr>
          <w:rFonts w:ascii="Times New Roman" w:hAnsi="Times New Roman" w:cs="Times New Roman"/>
          <w:b/>
          <w:sz w:val="28"/>
          <w:szCs w:val="28"/>
          <w:lang w:val="kk-KZ"/>
        </w:rPr>
      </w:pPr>
    </w:p>
    <w:p w14:paraId="797D96DC" w14:textId="62115C46" w:rsidR="00A32A65" w:rsidRPr="004135FE" w:rsidRDefault="00A32A65" w:rsidP="004135FE">
      <w:pPr>
        <w:spacing w:after="0" w:line="240" w:lineRule="auto"/>
        <w:jc w:val="both"/>
        <w:rPr>
          <w:rFonts w:ascii="Times New Roman" w:hAnsi="Times New Roman" w:cs="Times New Roman"/>
          <w:b/>
          <w:sz w:val="28"/>
          <w:szCs w:val="28"/>
          <w:lang w:val="kk-KZ"/>
        </w:rPr>
      </w:pPr>
    </w:p>
    <w:p w14:paraId="4F0DC810" w14:textId="5EC0F776" w:rsidR="00A32A65" w:rsidRPr="004135FE" w:rsidRDefault="00A32A65" w:rsidP="004135FE">
      <w:pPr>
        <w:spacing w:after="0" w:line="240" w:lineRule="auto"/>
        <w:jc w:val="both"/>
        <w:rPr>
          <w:rFonts w:ascii="Times New Roman" w:hAnsi="Times New Roman" w:cs="Times New Roman"/>
          <w:b/>
          <w:sz w:val="28"/>
          <w:szCs w:val="28"/>
          <w:lang w:val="kk-KZ"/>
        </w:rPr>
      </w:pPr>
    </w:p>
    <w:p w14:paraId="2BE2480E" w14:textId="22F300ED" w:rsidR="00A32A65" w:rsidRPr="004135FE" w:rsidRDefault="00A32A65" w:rsidP="004135FE">
      <w:pPr>
        <w:spacing w:after="0" w:line="240" w:lineRule="auto"/>
        <w:jc w:val="both"/>
        <w:rPr>
          <w:rFonts w:ascii="Times New Roman" w:hAnsi="Times New Roman" w:cs="Times New Roman"/>
          <w:b/>
          <w:sz w:val="28"/>
          <w:szCs w:val="28"/>
          <w:lang w:val="kk-KZ"/>
        </w:rPr>
      </w:pPr>
    </w:p>
    <w:p w14:paraId="1C630F38" w14:textId="7CB4AEE5" w:rsidR="008D5DB3" w:rsidRPr="00680E37" w:rsidRDefault="00680E37" w:rsidP="00680E37">
      <w:pPr>
        <w:tabs>
          <w:tab w:val="left" w:pos="426"/>
        </w:tabs>
        <w:spacing w:after="0" w:line="240" w:lineRule="auto"/>
        <w:jc w:val="center"/>
        <w:rPr>
          <w:rFonts w:ascii="Times New Roman" w:hAnsi="Times New Roman" w:cs="Times New Roman"/>
          <w:bCs/>
          <w:caps/>
          <w:sz w:val="28"/>
          <w:szCs w:val="28"/>
        </w:rPr>
      </w:pPr>
      <w:r>
        <w:rPr>
          <w:rFonts w:ascii="Times New Roman" w:hAnsi="Times New Roman" w:cs="Times New Roman"/>
          <w:bCs/>
          <w:sz w:val="28"/>
          <w:szCs w:val="28"/>
        </w:rPr>
        <w:t>А</w:t>
      </w:r>
      <w:r w:rsidRPr="00680E37">
        <w:rPr>
          <w:rFonts w:ascii="Times New Roman" w:hAnsi="Times New Roman" w:cs="Times New Roman"/>
          <w:bCs/>
          <w:sz w:val="28"/>
          <w:szCs w:val="28"/>
        </w:rPr>
        <w:t>нкета для пациентов, получающих эндокринологическую помощь от сахарного диабета 2 типа в поликлинике г.</w:t>
      </w:r>
      <w:r>
        <w:rPr>
          <w:rFonts w:ascii="Times New Roman" w:hAnsi="Times New Roman" w:cs="Times New Roman"/>
          <w:bCs/>
          <w:sz w:val="28"/>
          <w:szCs w:val="28"/>
        </w:rPr>
        <w:t>А</w:t>
      </w:r>
      <w:r w:rsidRPr="00680E37">
        <w:rPr>
          <w:rFonts w:ascii="Times New Roman" w:hAnsi="Times New Roman" w:cs="Times New Roman"/>
          <w:bCs/>
          <w:sz w:val="28"/>
          <w:szCs w:val="28"/>
        </w:rPr>
        <w:t>лматы</w:t>
      </w:r>
    </w:p>
    <w:p w14:paraId="1F4BA964" w14:textId="77777777" w:rsidR="008D5DB3" w:rsidRPr="004135FE" w:rsidRDefault="008D5DB3" w:rsidP="00680E37">
      <w:pPr>
        <w:tabs>
          <w:tab w:val="left" w:pos="426"/>
        </w:tabs>
        <w:spacing w:after="0" w:line="240" w:lineRule="auto"/>
        <w:jc w:val="center"/>
        <w:rPr>
          <w:rFonts w:ascii="Times New Roman" w:hAnsi="Times New Roman" w:cs="Times New Roman"/>
          <w:b/>
          <w:sz w:val="28"/>
          <w:szCs w:val="28"/>
        </w:rPr>
      </w:pPr>
      <w:r w:rsidRPr="004135FE">
        <w:rPr>
          <w:rFonts w:ascii="Times New Roman" w:hAnsi="Times New Roman" w:cs="Times New Roman"/>
          <w:b/>
          <w:sz w:val="28"/>
          <w:szCs w:val="28"/>
        </w:rPr>
        <w:t>Уважаемый участник социологического опроса!</w:t>
      </w:r>
    </w:p>
    <w:p w14:paraId="5BAC9298" w14:textId="0A23EB0C" w:rsidR="00FF5B68" w:rsidRPr="004135FE" w:rsidRDefault="008D5DB3" w:rsidP="004135FE">
      <w:pPr>
        <w:tabs>
          <w:tab w:val="left" w:pos="426"/>
        </w:tabs>
        <w:spacing w:after="0" w:line="240" w:lineRule="auto"/>
        <w:jc w:val="both"/>
        <w:rPr>
          <w:rFonts w:ascii="Times New Roman" w:eastAsia="Times New Roman" w:hAnsi="Times New Roman" w:cs="Times New Roman"/>
          <w:sz w:val="28"/>
          <w:szCs w:val="28"/>
        </w:rPr>
      </w:pPr>
      <w:r w:rsidRPr="004135FE">
        <w:rPr>
          <w:rStyle w:val="A00"/>
          <w:rFonts w:ascii="Times New Roman" w:hAnsi="Times New Roman" w:cs="Times New Roman"/>
          <w:color w:val="auto"/>
          <w:sz w:val="28"/>
          <w:szCs w:val="28"/>
        </w:rPr>
        <w:tab/>
        <w:t xml:space="preserve">Казахстанский Медицинский </w:t>
      </w:r>
      <w:r w:rsidRPr="004135FE">
        <w:rPr>
          <w:rStyle w:val="A00"/>
          <w:rFonts w:ascii="Times New Roman" w:hAnsi="Times New Roman" w:cs="Times New Roman"/>
          <w:color w:val="auto"/>
          <w:sz w:val="28"/>
          <w:szCs w:val="28"/>
          <w:lang w:val="kk-KZ"/>
        </w:rPr>
        <w:t>У</w:t>
      </w:r>
      <w:r w:rsidRPr="004135FE">
        <w:rPr>
          <w:rStyle w:val="A00"/>
          <w:rFonts w:ascii="Times New Roman" w:hAnsi="Times New Roman" w:cs="Times New Roman"/>
          <w:color w:val="auto"/>
          <w:sz w:val="28"/>
          <w:szCs w:val="28"/>
        </w:rPr>
        <w:t xml:space="preserve">ниверситет «Высшая Школа Общественного Здравоохранения» проводит </w:t>
      </w:r>
      <w:r w:rsidRPr="004135FE">
        <w:rPr>
          <w:rStyle w:val="A00"/>
          <w:rFonts w:ascii="Times New Roman" w:hAnsi="Times New Roman" w:cs="Times New Roman"/>
          <w:b/>
          <w:color w:val="auto"/>
          <w:sz w:val="28"/>
          <w:szCs w:val="28"/>
        </w:rPr>
        <w:t xml:space="preserve">социологический опрос </w:t>
      </w:r>
      <w:r w:rsidRPr="004135FE">
        <w:rPr>
          <w:rStyle w:val="A00"/>
          <w:rFonts w:ascii="Times New Roman" w:hAnsi="Times New Roman" w:cs="Times New Roman"/>
          <w:b/>
          <w:color w:val="auto"/>
          <w:sz w:val="28"/>
          <w:szCs w:val="28"/>
          <w:lang w:val="kk-KZ"/>
        </w:rPr>
        <w:t>среди</w:t>
      </w:r>
      <w:r w:rsidRPr="004135FE">
        <w:rPr>
          <w:rFonts w:ascii="Times New Roman" w:hAnsi="Times New Roman" w:cs="Times New Roman"/>
          <w:b/>
          <w:sz w:val="28"/>
          <w:szCs w:val="28"/>
          <w:lang w:val="kk-KZ"/>
        </w:rPr>
        <w:t xml:space="preserve"> пациентов с </w:t>
      </w:r>
      <w:r w:rsidRPr="004135FE">
        <w:rPr>
          <w:rFonts w:ascii="Times New Roman" w:hAnsi="Times New Roman" w:cs="Times New Roman"/>
          <w:b/>
          <w:sz w:val="28"/>
          <w:szCs w:val="28"/>
        </w:rPr>
        <w:t>сахарн</w:t>
      </w:r>
      <w:r w:rsidRPr="004135FE">
        <w:rPr>
          <w:rFonts w:ascii="Times New Roman" w:hAnsi="Times New Roman" w:cs="Times New Roman"/>
          <w:b/>
          <w:sz w:val="28"/>
          <w:szCs w:val="28"/>
          <w:lang w:val="kk-KZ"/>
        </w:rPr>
        <w:t>ы</w:t>
      </w:r>
      <w:r w:rsidRPr="004135FE">
        <w:rPr>
          <w:rFonts w:ascii="Times New Roman" w:hAnsi="Times New Roman" w:cs="Times New Roman"/>
          <w:b/>
          <w:sz w:val="28"/>
          <w:szCs w:val="28"/>
        </w:rPr>
        <w:t>м диабет</w:t>
      </w:r>
      <w:r w:rsidRPr="004135FE">
        <w:rPr>
          <w:rFonts w:ascii="Times New Roman" w:hAnsi="Times New Roman" w:cs="Times New Roman"/>
          <w:b/>
          <w:sz w:val="28"/>
          <w:szCs w:val="28"/>
          <w:lang w:val="kk-KZ"/>
        </w:rPr>
        <w:t xml:space="preserve">ом 2 типа. </w:t>
      </w:r>
      <w:r w:rsidR="009D6CE8" w:rsidRPr="004135FE">
        <w:rPr>
          <w:rFonts w:ascii="Times New Roman" w:hAnsi="Times New Roman" w:cs="Times New Roman"/>
          <w:sz w:val="28"/>
          <w:szCs w:val="28"/>
          <w:lang w:val="kk-KZ"/>
        </w:rPr>
        <w:t xml:space="preserve">В результате совместно проведенной работы будут </w:t>
      </w:r>
      <w:r w:rsidR="009D6CE8" w:rsidRPr="004135FE">
        <w:rPr>
          <w:rFonts w:ascii="Times New Roman" w:hAnsi="Times New Roman" w:cs="Times New Roman"/>
          <w:sz w:val="28"/>
          <w:szCs w:val="28"/>
        </w:rPr>
        <w:t xml:space="preserve">разработаны предложения </w:t>
      </w:r>
      <w:r w:rsidR="009D6CE8" w:rsidRPr="004135FE">
        <w:rPr>
          <w:rFonts w:ascii="Times New Roman" w:eastAsia="Times New Roman" w:hAnsi="Times New Roman" w:cs="Times New Roman"/>
          <w:sz w:val="28"/>
          <w:szCs w:val="28"/>
        </w:rPr>
        <w:t>к совершенствованию оказания медицинской помощи</w:t>
      </w:r>
      <w:r w:rsidR="009D6CE8" w:rsidRPr="004135FE">
        <w:rPr>
          <w:rFonts w:ascii="Times New Roman" w:eastAsia="Times New Roman" w:hAnsi="Times New Roman" w:cs="Times New Roman"/>
          <w:b/>
          <w:bCs/>
          <w:sz w:val="28"/>
          <w:szCs w:val="28"/>
        </w:rPr>
        <w:t xml:space="preserve"> </w:t>
      </w:r>
      <w:r w:rsidR="009D6CE8" w:rsidRPr="004135FE">
        <w:rPr>
          <w:rFonts w:ascii="Times New Roman" w:eastAsia="Times New Roman" w:hAnsi="Times New Roman" w:cs="Times New Roman"/>
          <w:sz w:val="28"/>
          <w:szCs w:val="28"/>
        </w:rPr>
        <w:t>и межсекторального сотрудничества при СД2т.</w:t>
      </w:r>
    </w:p>
    <w:p w14:paraId="1A885926" w14:textId="2609A931" w:rsidR="008D5DB3" w:rsidRPr="004135FE" w:rsidRDefault="008D5DB3" w:rsidP="004135FE">
      <w:pPr>
        <w:tabs>
          <w:tab w:val="left" w:pos="426"/>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rPr>
        <w:tab/>
        <w:t xml:space="preserve">Пожалуйста, внимательно ознакомьтесь с вопросами. Выберите и выделите </w:t>
      </w:r>
      <w:r w:rsidRPr="004135FE">
        <w:rPr>
          <w:rFonts w:ascii="Times New Roman" w:hAnsi="Times New Roman" w:cs="Times New Roman"/>
          <w:sz w:val="28"/>
          <w:szCs w:val="28"/>
          <w:lang w:val="kk-KZ"/>
        </w:rPr>
        <w:t xml:space="preserve">вариант ответа, который Вы считаете наиболее верным. </w:t>
      </w:r>
      <w:r w:rsidRPr="004135FE">
        <w:rPr>
          <w:rStyle w:val="A00"/>
          <w:rFonts w:ascii="Times New Roman" w:hAnsi="Times New Roman" w:cs="Times New Roman"/>
          <w:color w:val="auto"/>
          <w:sz w:val="28"/>
          <w:szCs w:val="28"/>
        </w:rPr>
        <w:t xml:space="preserve"> Мы </w:t>
      </w:r>
      <w:r w:rsidRPr="004135FE">
        <w:rPr>
          <w:rStyle w:val="A00"/>
          <w:rFonts w:ascii="Times New Roman" w:hAnsi="Times New Roman" w:cs="Times New Roman"/>
          <w:color w:val="auto"/>
          <w:sz w:val="28"/>
          <w:szCs w:val="28"/>
          <w:lang w:val="kk-KZ"/>
        </w:rPr>
        <w:t>приглашаем</w:t>
      </w:r>
      <w:r w:rsidRPr="004135FE">
        <w:rPr>
          <w:rStyle w:val="A00"/>
          <w:rFonts w:ascii="Times New Roman" w:hAnsi="Times New Roman" w:cs="Times New Roman"/>
          <w:color w:val="auto"/>
          <w:sz w:val="28"/>
          <w:szCs w:val="28"/>
        </w:rPr>
        <w:t xml:space="preserve"> Вас к участию в данном опросе</w:t>
      </w:r>
      <w:r w:rsidRPr="004135FE">
        <w:rPr>
          <w:rStyle w:val="A00"/>
          <w:rFonts w:ascii="Times New Roman" w:hAnsi="Times New Roman" w:cs="Times New Roman"/>
          <w:color w:val="auto"/>
          <w:sz w:val="28"/>
          <w:szCs w:val="28"/>
          <w:lang w:val="kk-KZ"/>
        </w:rPr>
        <w:t xml:space="preserve">, </w:t>
      </w:r>
      <w:r w:rsidRPr="004135FE">
        <w:rPr>
          <w:rFonts w:ascii="Times New Roman" w:hAnsi="Times New Roman" w:cs="Times New Roman"/>
          <w:sz w:val="28"/>
          <w:szCs w:val="28"/>
        </w:rPr>
        <w:t>Ваше мнение очень значимое.</w:t>
      </w:r>
      <w:r w:rsidRPr="004135FE">
        <w:rPr>
          <w:rFonts w:ascii="Times New Roman" w:hAnsi="Times New Roman" w:cs="Times New Roman"/>
          <w:sz w:val="28"/>
          <w:szCs w:val="28"/>
          <w:lang w:val="kk-KZ"/>
        </w:rPr>
        <w:t xml:space="preserve"> </w:t>
      </w:r>
    </w:p>
    <w:p w14:paraId="7BD0D46D" w14:textId="77777777" w:rsidR="008D5DB3" w:rsidRPr="004135FE" w:rsidRDefault="008D5DB3" w:rsidP="004135FE">
      <w:pPr>
        <w:tabs>
          <w:tab w:val="left" w:pos="426"/>
        </w:tabs>
        <w:spacing w:after="0" w:line="240" w:lineRule="auto"/>
        <w:jc w:val="both"/>
        <w:rPr>
          <w:rStyle w:val="A00"/>
          <w:rFonts w:ascii="Times New Roman" w:eastAsia="Arial Unicode MS" w:hAnsi="Times New Roman" w:cs="Times New Roman"/>
          <w:color w:val="auto"/>
          <w:sz w:val="28"/>
          <w:szCs w:val="28"/>
        </w:rPr>
      </w:pPr>
      <w:r w:rsidRPr="004135FE">
        <w:rPr>
          <w:rFonts w:ascii="Times New Roman" w:hAnsi="Times New Roman" w:cs="Times New Roman"/>
          <w:sz w:val="28"/>
          <w:szCs w:val="28"/>
        </w:rPr>
        <w:tab/>
        <w:t xml:space="preserve">Для заполнения данной анкеты Вам потребуется </w:t>
      </w:r>
      <w:r w:rsidRPr="004135FE">
        <w:rPr>
          <w:rFonts w:ascii="Times New Roman" w:hAnsi="Times New Roman" w:cs="Times New Roman"/>
          <w:sz w:val="28"/>
          <w:szCs w:val="28"/>
          <w:lang w:val="kk-KZ"/>
        </w:rPr>
        <w:t>15-20</w:t>
      </w:r>
      <w:r w:rsidRPr="004135FE">
        <w:rPr>
          <w:rFonts w:ascii="Times New Roman" w:hAnsi="Times New Roman" w:cs="Times New Roman"/>
          <w:sz w:val="28"/>
          <w:szCs w:val="28"/>
        </w:rPr>
        <w:t xml:space="preserve"> минут</w:t>
      </w:r>
      <w:r w:rsidRPr="004135FE">
        <w:rPr>
          <w:rStyle w:val="A00"/>
          <w:rFonts w:ascii="Times New Roman" w:eastAsia="Arial Unicode MS" w:hAnsi="Times New Roman" w:cs="Times New Roman"/>
          <w:color w:val="auto"/>
          <w:sz w:val="28"/>
          <w:szCs w:val="28"/>
        </w:rPr>
        <w:t xml:space="preserve"> </w:t>
      </w:r>
    </w:p>
    <w:p w14:paraId="157260B2" w14:textId="77777777" w:rsidR="008D5DB3" w:rsidRPr="004135FE" w:rsidRDefault="008D5DB3" w:rsidP="004135FE">
      <w:pPr>
        <w:tabs>
          <w:tab w:val="left" w:pos="426"/>
        </w:tabs>
        <w:spacing w:after="0" w:line="240" w:lineRule="auto"/>
        <w:jc w:val="both"/>
        <w:rPr>
          <w:rStyle w:val="A00"/>
          <w:rFonts w:ascii="Times New Roman" w:eastAsia="Arial Unicode MS" w:hAnsi="Times New Roman" w:cs="Times New Roman"/>
          <w:color w:val="auto"/>
          <w:sz w:val="28"/>
          <w:szCs w:val="28"/>
        </w:rPr>
      </w:pPr>
      <w:r w:rsidRPr="004135FE">
        <w:rPr>
          <w:rStyle w:val="A00"/>
          <w:rFonts w:ascii="Times New Roman" w:eastAsia="Arial Unicode MS" w:hAnsi="Times New Roman" w:cs="Times New Roman"/>
          <w:color w:val="auto"/>
          <w:sz w:val="28"/>
          <w:szCs w:val="28"/>
        </w:rPr>
        <w:tab/>
        <w:t>Конфиденциальность сведений гарантируется!</w:t>
      </w:r>
    </w:p>
    <w:p w14:paraId="5FF45352" w14:textId="77777777" w:rsidR="008D5DB3" w:rsidRPr="004135FE" w:rsidRDefault="008D5DB3" w:rsidP="004135FE">
      <w:pPr>
        <w:tabs>
          <w:tab w:val="left" w:pos="426"/>
        </w:tabs>
        <w:spacing w:after="0" w:line="240" w:lineRule="auto"/>
        <w:jc w:val="both"/>
        <w:rPr>
          <w:rStyle w:val="A00"/>
          <w:rFonts w:ascii="Times New Roman" w:eastAsia="Arial Unicode MS" w:hAnsi="Times New Roman" w:cs="Times New Roman"/>
          <w:color w:val="auto"/>
          <w:sz w:val="28"/>
          <w:szCs w:val="28"/>
        </w:rPr>
      </w:pPr>
      <w:r w:rsidRPr="004135FE">
        <w:rPr>
          <w:rStyle w:val="A00"/>
          <w:rFonts w:ascii="Times New Roman" w:eastAsia="Arial Unicode MS" w:hAnsi="Times New Roman" w:cs="Times New Roman"/>
          <w:color w:val="auto"/>
          <w:sz w:val="28"/>
          <w:szCs w:val="28"/>
        </w:rPr>
        <w:tab/>
        <w:t xml:space="preserve">Для получения дополнительной информации Вы можете связаться с главным исследователем Жузеновой Макпал Адиловной, </w:t>
      </w:r>
    </w:p>
    <w:p w14:paraId="3B2D55A5" w14:textId="77777777" w:rsidR="008D5DB3" w:rsidRPr="004135FE" w:rsidRDefault="008D5DB3" w:rsidP="004135FE">
      <w:pPr>
        <w:tabs>
          <w:tab w:val="left" w:pos="426"/>
        </w:tabs>
        <w:spacing w:after="0" w:line="240" w:lineRule="auto"/>
        <w:jc w:val="both"/>
        <w:rPr>
          <w:rStyle w:val="A00"/>
          <w:rFonts w:ascii="Times New Roman" w:eastAsia="Arial Unicode MS" w:hAnsi="Times New Roman" w:cs="Times New Roman"/>
          <w:color w:val="auto"/>
          <w:sz w:val="28"/>
          <w:szCs w:val="28"/>
          <w:lang w:val="en-US"/>
        </w:rPr>
      </w:pPr>
      <w:r w:rsidRPr="004135FE">
        <w:rPr>
          <w:rStyle w:val="A00"/>
          <w:rFonts w:ascii="Times New Roman" w:eastAsia="Arial Unicode MS" w:hAnsi="Times New Roman" w:cs="Times New Roman"/>
          <w:color w:val="auto"/>
          <w:sz w:val="28"/>
          <w:szCs w:val="28"/>
        </w:rPr>
        <w:t>Тел</w:t>
      </w:r>
      <w:r w:rsidRPr="004135FE">
        <w:rPr>
          <w:rStyle w:val="A00"/>
          <w:rFonts w:ascii="Times New Roman" w:eastAsia="Arial Unicode MS" w:hAnsi="Times New Roman" w:cs="Times New Roman"/>
          <w:color w:val="auto"/>
          <w:sz w:val="28"/>
          <w:szCs w:val="28"/>
          <w:lang w:val="en-US"/>
        </w:rPr>
        <w:t>.: 8 701 222 64 10, E-mail: zhuzenovam@gmail.com</w:t>
      </w:r>
    </w:p>
    <w:p w14:paraId="553B6126" w14:textId="77777777" w:rsidR="008D5DB3" w:rsidRPr="004135FE" w:rsidRDefault="008D5DB3" w:rsidP="004135FE">
      <w:pPr>
        <w:tabs>
          <w:tab w:val="left" w:pos="426"/>
        </w:tabs>
        <w:spacing w:after="0" w:line="240" w:lineRule="auto"/>
        <w:jc w:val="both"/>
        <w:rPr>
          <w:rFonts w:ascii="Times New Roman" w:hAnsi="Times New Roman" w:cs="Times New Roman"/>
          <w:b/>
          <w:sz w:val="28"/>
          <w:szCs w:val="28"/>
          <w:lang w:val="en-US"/>
        </w:rPr>
      </w:pPr>
    </w:p>
    <w:p w14:paraId="620AD036" w14:textId="77777777" w:rsidR="008D5DB3" w:rsidRPr="004135FE" w:rsidRDefault="008D5DB3" w:rsidP="004135FE">
      <w:pPr>
        <w:tabs>
          <w:tab w:val="left" w:pos="426"/>
        </w:tabs>
        <w:spacing w:after="0" w:line="240" w:lineRule="auto"/>
        <w:jc w:val="both"/>
        <w:rPr>
          <w:rFonts w:ascii="Times New Roman" w:hAnsi="Times New Roman" w:cs="Times New Roman"/>
          <w:caps/>
          <w:sz w:val="28"/>
          <w:szCs w:val="28"/>
        </w:rPr>
      </w:pPr>
      <w:r w:rsidRPr="004135FE">
        <w:rPr>
          <w:rFonts w:ascii="Times New Roman" w:hAnsi="Times New Roman" w:cs="Times New Roman"/>
          <w:caps/>
          <w:sz w:val="28"/>
          <w:szCs w:val="28"/>
        </w:rPr>
        <w:t>1-раздел. данные ПАЦИЕНТА</w:t>
      </w:r>
    </w:p>
    <w:p w14:paraId="3450AE62" w14:textId="77777777" w:rsidR="008D5DB3" w:rsidRPr="004135FE" w:rsidRDefault="008D5DB3" w:rsidP="004135FE">
      <w:pPr>
        <w:tabs>
          <w:tab w:val="left" w:pos="426"/>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 xml:space="preserve">1. Ваш Возраст, лет. </w:t>
      </w:r>
      <w:r w:rsidRPr="004135FE">
        <w:rPr>
          <w:rFonts w:ascii="Times New Roman" w:hAnsi="Times New Roman" w:cs="Times New Roman"/>
          <w:b/>
          <w:sz w:val="28"/>
          <w:szCs w:val="28"/>
        </w:rPr>
        <w:tab/>
      </w:r>
    </w:p>
    <w:p w14:paraId="163EB34E" w14:textId="1B60FA48" w:rsidR="008D5DB3" w:rsidRPr="004135FE" w:rsidRDefault="008D5DB3">
      <w:pPr>
        <w:pStyle w:val="a3"/>
        <w:numPr>
          <w:ilvl w:val="1"/>
          <w:numId w:val="7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до 20 </w:t>
      </w:r>
    </w:p>
    <w:p w14:paraId="7E7178AC" w14:textId="40DB0126" w:rsidR="008D5DB3" w:rsidRPr="004135FE" w:rsidRDefault="008D5DB3">
      <w:pPr>
        <w:pStyle w:val="a3"/>
        <w:numPr>
          <w:ilvl w:val="1"/>
          <w:numId w:val="7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21 – 25</w:t>
      </w:r>
    </w:p>
    <w:p w14:paraId="622F474F" w14:textId="31763C52" w:rsidR="008D5DB3" w:rsidRPr="004135FE" w:rsidRDefault="008D5DB3">
      <w:pPr>
        <w:pStyle w:val="a3"/>
        <w:numPr>
          <w:ilvl w:val="1"/>
          <w:numId w:val="7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26 - 30  </w:t>
      </w:r>
    </w:p>
    <w:p w14:paraId="4ACF8009" w14:textId="5347081C" w:rsidR="008D5DB3" w:rsidRPr="004135FE" w:rsidRDefault="008D5DB3">
      <w:pPr>
        <w:pStyle w:val="a3"/>
        <w:numPr>
          <w:ilvl w:val="1"/>
          <w:numId w:val="7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31 – 35</w:t>
      </w:r>
    </w:p>
    <w:p w14:paraId="156FA70C" w14:textId="77777777" w:rsidR="008D5DB3" w:rsidRPr="004135FE" w:rsidRDefault="008D5DB3">
      <w:pPr>
        <w:numPr>
          <w:ilvl w:val="0"/>
          <w:numId w:val="7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36 – 40</w:t>
      </w:r>
    </w:p>
    <w:p w14:paraId="77683FAA" w14:textId="77777777" w:rsidR="008D5DB3" w:rsidRPr="004135FE" w:rsidRDefault="008D5DB3">
      <w:pPr>
        <w:numPr>
          <w:ilvl w:val="0"/>
          <w:numId w:val="7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41 – 45</w:t>
      </w:r>
    </w:p>
    <w:p w14:paraId="755F4175" w14:textId="77777777" w:rsidR="008D5DB3" w:rsidRPr="004135FE" w:rsidRDefault="008D5DB3">
      <w:pPr>
        <w:numPr>
          <w:ilvl w:val="0"/>
          <w:numId w:val="7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46 – 50</w:t>
      </w:r>
    </w:p>
    <w:p w14:paraId="625F2A80" w14:textId="77777777" w:rsidR="008D5DB3" w:rsidRPr="004135FE" w:rsidRDefault="008D5DB3">
      <w:pPr>
        <w:numPr>
          <w:ilvl w:val="0"/>
          <w:numId w:val="7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51 – 55</w:t>
      </w:r>
    </w:p>
    <w:p w14:paraId="77EE5A39" w14:textId="77777777" w:rsidR="008D5DB3" w:rsidRPr="004135FE" w:rsidRDefault="008D5DB3">
      <w:pPr>
        <w:numPr>
          <w:ilvl w:val="0"/>
          <w:numId w:val="7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56 – 60</w:t>
      </w:r>
    </w:p>
    <w:p w14:paraId="0E0821DD" w14:textId="77777777" w:rsidR="008D5DB3" w:rsidRPr="004135FE" w:rsidRDefault="008D5DB3">
      <w:pPr>
        <w:numPr>
          <w:ilvl w:val="0"/>
          <w:numId w:val="7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61 – 65</w:t>
      </w:r>
    </w:p>
    <w:p w14:paraId="6907D727" w14:textId="77777777" w:rsidR="008D5DB3" w:rsidRPr="004135FE" w:rsidRDefault="008D5DB3">
      <w:pPr>
        <w:numPr>
          <w:ilvl w:val="0"/>
          <w:numId w:val="7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66 – 70</w:t>
      </w:r>
    </w:p>
    <w:p w14:paraId="6CD5D206" w14:textId="77777777" w:rsidR="008D5DB3" w:rsidRPr="004135FE" w:rsidRDefault="008D5DB3">
      <w:pPr>
        <w:numPr>
          <w:ilvl w:val="0"/>
          <w:numId w:val="7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Старше 70</w:t>
      </w:r>
    </w:p>
    <w:p w14:paraId="7CF8B431" w14:textId="77777777" w:rsidR="008D5DB3" w:rsidRPr="004135FE" w:rsidRDefault="008D5DB3" w:rsidP="004135FE">
      <w:pPr>
        <w:numPr>
          <w:ilvl w:val="1"/>
          <w:numId w:val="63"/>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Ваш пол:</w:t>
      </w:r>
    </w:p>
    <w:p w14:paraId="6C25AA18" w14:textId="77777777" w:rsidR="008D5DB3" w:rsidRPr="004135FE" w:rsidRDefault="008D5DB3" w:rsidP="004135FE">
      <w:pPr>
        <w:numPr>
          <w:ilvl w:val="0"/>
          <w:numId w:val="64"/>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Мужской</w:t>
      </w:r>
    </w:p>
    <w:p w14:paraId="7BFB42F1" w14:textId="63BE74F6" w:rsidR="008D5DB3" w:rsidRPr="004135FE" w:rsidRDefault="008D5DB3" w:rsidP="004135FE">
      <w:pPr>
        <w:numPr>
          <w:ilvl w:val="0"/>
          <w:numId w:val="64"/>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Женский</w:t>
      </w:r>
    </w:p>
    <w:p w14:paraId="1C99E4CD" w14:textId="77777777" w:rsidR="00A32A65" w:rsidRPr="004135FE" w:rsidRDefault="00A32A65" w:rsidP="004135FE">
      <w:pPr>
        <w:tabs>
          <w:tab w:val="left" w:pos="426"/>
        </w:tabs>
        <w:spacing w:after="0" w:line="240" w:lineRule="auto"/>
        <w:jc w:val="both"/>
        <w:rPr>
          <w:rFonts w:ascii="Times New Roman" w:hAnsi="Times New Roman" w:cs="Times New Roman"/>
          <w:sz w:val="28"/>
          <w:szCs w:val="28"/>
        </w:rPr>
      </w:pPr>
    </w:p>
    <w:p w14:paraId="5A61AF1A" w14:textId="77777777" w:rsidR="008D5DB3" w:rsidRPr="004135FE" w:rsidRDefault="008D5DB3" w:rsidP="004135FE">
      <w:pPr>
        <w:numPr>
          <w:ilvl w:val="0"/>
          <w:numId w:val="57"/>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Ваш Вес, кг:</w:t>
      </w:r>
    </w:p>
    <w:p w14:paraId="70876B28" w14:textId="77777777" w:rsidR="008D5DB3" w:rsidRPr="004135FE" w:rsidRDefault="008D5DB3" w:rsidP="004135FE">
      <w:pPr>
        <w:numPr>
          <w:ilvl w:val="0"/>
          <w:numId w:val="5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45 - 50</w:t>
      </w:r>
    </w:p>
    <w:p w14:paraId="1626E142" w14:textId="77777777" w:rsidR="008D5DB3" w:rsidRPr="004135FE" w:rsidRDefault="008D5DB3" w:rsidP="004135FE">
      <w:pPr>
        <w:numPr>
          <w:ilvl w:val="0"/>
          <w:numId w:val="5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51 - 55 </w:t>
      </w:r>
    </w:p>
    <w:p w14:paraId="6C9C610A" w14:textId="77777777" w:rsidR="008D5DB3" w:rsidRPr="004135FE" w:rsidRDefault="008D5DB3" w:rsidP="004135FE">
      <w:pPr>
        <w:numPr>
          <w:ilvl w:val="0"/>
          <w:numId w:val="5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56 - 60</w:t>
      </w:r>
    </w:p>
    <w:p w14:paraId="4643A216" w14:textId="77777777" w:rsidR="008D5DB3" w:rsidRPr="004135FE" w:rsidRDefault="008D5DB3" w:rsidP="004135FE">
      <w:pPr>
        <w:numPr>
          <w:ilvl w:val="0"/>
          <w:numId w:val="5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61 - 65</w:t>
      </w:r>
    </w:p>
    <w:p w14:paraId="2BADFDBC" w14:textId="77777777" w:rsidR="008D5DB3" w:rsidRPr="004135FE" w:rsidRDefault="008D5DB3" w:rsidP="004135FE">
      <w:pPr>
        <w:numPr>
          <w:ilvl w:val="0"/>
          <w:numId w:val="5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66 - 70</w:t>
      </w:r>
    </w:p>
    <w:p w14:paraId="4CEBE3AC" w14:textId="77777777" w:rsidR="008D5DB3" w:rsidRPr="004135FE" w:rsidRDefault="008D5DB3" w:rsidP="004135FE">
      <w:pPr>
        <w:numPr>
          <w:ilvl w:val="0"/>
          <w:numId w:val="5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71 - 75 </w:t>
      </w:r>
    </w:p>
    <w:p w14:paraId="108A172D" w14:textId="77777777" w:rsidR="008D5DB3" w:rsidRPr="004135FE" w:rsidRDefault="008D5DB3" w:rsidP="004135FE">
      <w:pPr>
        <w:numPr>
          <w:ilvl w:val="0"/>
          <w:numId w:val="5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76 - 80 </w:t>
      </w:r>
    </w:p>
    <w:p w14:paraId="1CA7DD16" w14:textId="77777777" w:rsidR="008D5DB3" w:rsidRPr="004135FE" w:rsidRDefault="008D5DB3" w:rsidP="004135FE">
      <w:pPr>
        <w:numPr>
          <w:ilvl w:val="0"/>
          <w:numId w:val="5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81 - 85 </w:t>
      </w:r>
    </w:p>
    <w:p w14:paraId="6ED95042" w14:textId="77777777" w:rsidR="008D5DB3" w:rsidRPr="004135FE" w:rsidRDefault="008D5DB3" w:rsidP="004135FE">
      <w:pPr>
        <w:numPr>
          <w:ilvl w:val="0"/>
          <w:numId w:val="5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86 - 90</w:t>
      </w:r>
    </w:p>
    <w:p w14:paraId="21E8E7D1" w14:textId="77777777" w:rsidR="008D5DB3" w:rsidRPr="004135FE" w:rsidRDefault="008D5DB3" w:rsidP="004135FE">
      <w:pPr>
        <w:numPr>
          <w:ilvl w:val="0"/>
          <w:numId w:val="5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91 - 95</w:t>
      </w:r>
    </w:p>
    <w:p w14:paraId="7F120FDE" w14:textId="77777777" w:rsidR="008D5DB3" w:rsidRPr="004135FE" w:rsidRDefault="008D5DB3" w:rsidP="004135FE">
      <w:pPr>
        <w:numPr>
          <w:ilvl w:val="0"/>
          <w:numId w:val="5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96 - 100</w:t>
      </w:r>
    </w:p>
    <w:p w14:paraId="72F7BAC5" w14:textId="77777777" w:rsidR="008D5DB3" w:rsidRPr="004135FE" w:rsidRDefault="008D5DB3" w:rsidP="004135FE">
      <w:pPr>
        <w:numPr>
          <w:ilvl w:val="0"/>
          <w:numId w:val="5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101 - 105</w:t>
      </w:r>
    </w:p>
    <w:p w14:paraId="24C512FA" w14:textId="77777777" w:rsidR="008D5DB3" w:rsidRPr="004135FE" w:rsidRDefault="008D5DB3" w:rsidP="004135FE">
      <w:pPr>
        <w:numPr>
          <w:ilvl w:val="0"/>
          <w:numId w:val="5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106 - 110</w:t>
      </w:r>
    </w:p>
    <w:p w14:paraId="3775BA97" w14:textId="77777777" w:rsidR="008D5DB3" w:rsidRPr="004135FE" w:rsidRDefault="008D5DB3" w:rsidP="004135FE">
      <w:pPr>
        <w:numPr>
          <w:ilvl w:val="0"/>
          <w:numId w:val="5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Выше 111 </w:t>
      </w:r>
    </w:p>
    <w:p w14:paraId="7729F75C" w14:textId="55F644E9" w:rsidR="008D5DB3" w:rsidRPr="004135FE" w:rsidRDefault="008D5DB3" w:rsidP="004135FE">
      <w:pPr>
        <w:tabs>
          <w:tab w:val="left" w:pos="426"/>
        </w:tabs>
        <w:spacing w:after="0" w:line="240" w:lineRule="auto"/>
        <w:jc w:val="both"/>
        <w:rPr>
          <w:rFonts w:ascii="Times New Roman" w:hAnsi="Times New Roman" w:cs="Times New Roman"/>
          <w:b/>
          <w:sz w:val="28"/>
          <w:szCs w:val="28"/>
        </w:rPr>
      </w:pPr>
    </w:p>
    <w:p w14:paraId="2003721F" w14:textId="77777777" w:rsidR="008D5DB3" w:rsidRPr="004135FE" w:rsidRDefault="008D5DB3" w:rsidP="004135FE">
      <w:pPr>
        <w:numPr>
          <w:ilvl w:val="0"/>
          <w:numId w:val="57"/>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Ваш Рост, см:</w:t>
      </w:r>
    </w:p>
    <w:p w14:paraId="3F3DBFBE" w14:textId="77777777" w:rsidR="008D5DB3" w:rsidRPr="004135FE" w:rsidRDefault="008D5DB3" w:rsidP="004135FE">
      <w:pPr>
        <w:numPr>
          <w:ilvl w:val="0"/>
          <w:numId w:val="5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150 - 155</w:t>
      </w:r>
    </w:p>
    <w:p w14:paraId="3EF1A381" w14:textId="77777777" w:rsidR="008D5DB3" w:rsidRPr="004135FE" w:rsidRDefault="008D5DB3" w:rsidP="004135FE">
      <w:pPr>
        <w:numPr>
          <w:ilvl w:val="0"/>
          <w:numId w:val="5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156 - 160</w:t>
      </w:r>
    </w:p>
    <w:p w14:paraId="571A70A4" w14:textId="77777777" w:rsidR="008D5DB3" w:rsidRPr="004135FE" w:rsidRDefault="008D5DB3" w:rsidP="004135FE">
      <w:pPr>
        <w:numPr>
          <w:ilvl w:val="0"/>
          <w:numId w:val="5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161 - 165</w:t>
      </w:r>
    </w:p>
    <w:p w14:paraId="2C60292F" w14:textId="77777777" w:rsidR="008D5DB3" w:rsidRPr="004135FE" w:rsidRDefault="008D5DB3" w:rsidP="004135FE">
      <w:pPr>
        <w:numPr>
          <w:ilvl w:val="0"/>
          <w:numId w:val="5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166 - 170</w:t>
      </w:r>
    </w:p>
    <w:p w14:paraId="0018AF3E" w14:textId="77777777" w:rsidR="008D5DB3" w:rsidRPr="004135FE" w:rsidRDefault="008D5DB3" w:rsidP="004135FE">
      <w:pPr>
        <w:numPr>
          <w:ilvl w:val="0"/>
          <w:numId w:val="5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171 - 175 </w:t>
      </w:r>
    </w:p>
    <w:p w14:paraId="4E0795B8" w14:textId="77777777" w:rsidR="008D5DB3" w:rsidRPr="004135FE" w:rsidRDefault="008D5DB3" w:rsidP="004135FE">
      <w:pPr>
        <w:numPr>
          <w:ilvl w:val="0"/>
          <w:numId w:val="5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176 - 180 </w:t>
      </w:r>
    </w:p>
    <w:p w14:paraId="14079687" w14:textId="77777777" w:rsidR="008D5DB3" w:rsidRPr="004135FE" w:rsidRDefault="008D5DB3" w:rsidP="004135FE">
      <w:pPr>
        <w:numPr>
          <w:ilvl w:val="0"/>
          <w:numId w:val="5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181 - 185 </w:t>
      </w:r>
    </w:p>
    <w:p w14:paraId="022682A0" w14:textId="77777777" w:rsidR="008D5DB3" w:rsidRPr="004135FE" w:rsidRDefault="008D5DB3" w:rsidP="004135FE">
      <w:pPr>
        <w:numPr>
          <w:ilvl w:val="0"/>
          <w:numId w:val="5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186 - 190</w:t>
      </w:r>
    </w:p>
    <w:p w14:paraId="1A6DF5D7" w14:textId="77777777" w:rsidR="008D5DB3" w:rsidRPr="004135FE" w:rsidRDefault="008D5DB3" w:rsidP="004135FE">
      <w:pPr>
        <w:numPr>
          <w:ilvl w:val="0"/>
          <w:numId w:val="5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191 - 195</w:t>
      </w:r>
    </w:p>
    <w:p w14:paraId="077CF80D" w14:textId="77777777" w:rsidR="008D5DB3" w:rsidRPr="004135FE" w:rsidRDefault="008D5DB3" w:rsidP="004135FE">
      <w:pPr>
        <w:numPr>
          <w:ilvl w:val="0"/>
          <w:numId w:val="5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196 - 200</w:t>
      </w:r>
    </w:p>
    <w:p w14:paraId="6044C504" w14:textId="77777777" w:rsidR="008D5DB3" w:rsidRPr="004135FE" w:rsidRDefault="008D5DB3" w:rsidP="004135FE">
      <w:pPr>
        <w:numPr>
          <w:ilvl w:val="0"/>
          <w:numId w:val="5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Выше 200</w:t>
      </w:r>
    </w:p>
    <w:p w14:paraId="4947106E" w14:textId="77777777" w:rsidR="008D5DB3" w:rsidRPr="004135FE" w:rsidRDefault="008D5DB3" w:rsidP="004135FE">
      <w:pPr>
        <w:tabs>
          <w:tab w:val="left" w:pos="426"/>
        </w:tabs>
        <w:spacing w:after="0" w:line="240" w:lineRule="auto"/>
        <w:jc w:val="both"/>
        <w:rPr>
          <w:rFonts w:ascii="Times New Roman" w:hAnsi="Times New Roman" w:cs="Times New Roman"/>
          <w:b/>
          <w:sz w:val="28"/>
          <w:szCs w:val="28"/>
        </w:rPr>
      </w:pPr>
    </w:p>
    <w:p w14:paraId="464E2DF8" w14:textId="77777777" w:rsidR="008D5DB3" w:rsidRPr="004135FE" w:rsidRDefault="008D5DB3" w:rsidP="004135FE">
      <w:pPr>
        <w:numPr>
          <w:ilvl w:val="0"/>
          <w:numId w:val="57"/>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 xml:space="preserve"> Образование</w:t>
      </w:r>
      <w:r w:rsidRPr="004135FE">
        <w:rPr>
          <w:rFonts w:ascii="Times New Roman" w:hAnsi="Times New Roman" w:cs="Times New Roman"/>
          <w:b/>
          <w:sz w:val="28"/>
          <w:szCs w:val="28"/>
        </w:rPr>
        <w:tab/>
      </w:r>
    </w:p>
    <w:p w14:paraId="40464D0C" w14:textId="77777777" w:rsidR="008D5DB3" w:rsidRPr="004135FE" w:rsidRDefault="008D5DB3" w:rsidP="004135FE">
      <w:pPr>
        <w:numPr>
          <w:ilvl w:val="0"/>
          <w:numId w:val="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Высшее</w:t>
      </w:r>
      <w:r w:rsidRPr="004135FE">
        <w:rPr>
          <w:rFonts w:ascii="Times New Roman" w:hAnsi="Times New Roman" w:cs="Times New Roman"/>
          <w:sz w:val="28"/>
          <w:szCs w:val="28"/>
        </w:rPr>
        <w:tab/>
      </w:r>
    </w:p>
    <w:p w14:paraId="6406A9E9" w14:textId="77777777" w:rsidR="008D5DB3" w:rsidRPr="004135FE" w:rsidRDefault="008D5DB3" w:rsidP="004135FE">
      <w:pPr>
        <w:numPr>
          <w:ilvl w:val="0"/>
          <w:numId w:val="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Средне-специальное</w:t>
      </w:r>
      <w:r w:rsidRPr="004135FE">
        <w:rPr>
          <w:rFonts w:ascii="Times New Roman" w:hAnsi="Times New Roman" w:cs="Times New Roman"/>
          <w:sz w:val="28"/>
          <w:szCs w:val="28"/>
        </w:rPr>
        <w:tab/>
      </w:r>
    </w:p>
    <w:p w14:paraId="6EB146B4" w14:textId="77777777" w:rsidR="008D5DB3" w:rsidRPr="004135FE" w:rsidRDefault="008D5DB3" w:rsidP="004135FE">
      <w:pPr>
        <w:numPr>
          <w:ilvl w:val="0"/>
          <w:numId w:val="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Среднее не законченное</w:t>
      </w:r>
    </w:p>
    <w:p w14:paraId="21F25949" w14:textId="77777777" w:rsidR="008D5DB3" w:rsidRPr="004135FE" w:rsidRDefault="008D5DB3" w:rsidP="004135FE">
      <w:pPr>
        <w:numPr>
          <w:ilvl w:val="0"/>
          <w:numId w:val="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Среднее </w:t>
      </w:r>
      <w:r w:rsidRPr="004135FE">
        <w:rPr>
          <w:rFonts w:ascii="Times New Roman" w:hAnsi="Times New Roman" w:cs="Times New Roman"/>
          <w:sz w:val="28"/>
          <w:szCs w:val="28"/>
        </w:rPr>
        <w:tab/>
      </w:r>
    </w:p>
    <w:p w14:paraId="6F821A19" w14:textId="77777777" w:rsidR="008D5DB3" w:rsidRPr="004135FE" w:rsidRDefault="008D5DB3" w:rsidP="004135FE">
      <w:pPr>
        <w:numPr>
          <w:ilvl w:val="0"/>
          <w:numId w:val="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Семейное положение</w:t>
      </w:r>
    </w:p>
    <w:p w14:paraId="6D302AD7" w14:textId="77777777" w:rsidR="008D5DB3" w:rsidRPr="004135FE" w:rsidRDefault="008D5DB3" w:rsidP="004135FE">
      <w:pPr>
        <w:numPr>
          <w:ilvl w:val="0"/>
          <w:numId w:val="4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 официальном браке</w:t>
      </w:r>
    </w:p>
    <w:p w14:paraId="6BE85A63" w14:textId="77777777" w:rsidR="008D5DB3" w:rsidRPr="004135FE" w:rsidRDefault="008D5DB3" w:rsidP="004135FE">
      <w:pPr>
        <w:numPr>
          <w:ilvl w:val="0"/>
          <w:numId w:val="4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 гражданском браке</w:t>
      </w:r>
    </w:p>
    <w:p w14:paraId="4BE0718A" w14:textId="77777777" w:rsidR="008D5DB3" w:rsidRPr="004135FE" w:rsidRDefault="008D5DB3" w:rsidP="004135FE">
      <w:pPr>
        <w:numPr>
          <w:ilvl w:val="0"/>
          <w:numId w:val="4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Вдова/ вдовец</w:t>
      </w:r>
    </w:p>
    <w:p w14:paraId="7C70926C" w14:textId="77777777" w:rsidR="008D5DB3" w:rsidRPr="004135FE" w:rsidRDefault="008D5DB3" w:rsidP="004135FE">
      <w:pPr>
        <w:numPr>
          <w:ilvl w:val="0"/>
          <w:numId w:val="4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 разводе</w:t>
      </w:r>
    </w:p>
    <w:p w14:paraId="05AE2A88" w14:textId="77777777" w:rsidR="008D5DB3" w:rsidRPr="004135FE" w:rsidRDefault="008D5DB3" w:rsidP="004135FE">
      <w:pPr>
        <w:numPr>
          <w:ilvl w:val="0"/>
          <w:numId w:val="4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замужем/ не женат</w:t>
      </w:r>
    </w:p>
    <w:p w14:paraId="05A24919" w14:textId="77777777" w:rsidR="008D5DB3" w:rsidRPr="004135FE" w:rsidRDefault="008D5DB3" w:rsidP="004135FE">
      <w:pPr>
        <w:numPr>
          <w:ilvl w:val="0"/>
          <w:numId w:val="4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Другое </w:t>
      </w:r>
    </w:p>
    <w:p w14:paraId="16718271" w14:textId="77777777" w:rsidR="008D5DB3" w:rsidRPr="004135FE" w:rsidRDefault="008D5DB3" w:rsidP="004135FE">
      <w:pPr>
        <w:numPr>
          <w:ilvl w:val="0"/>
          <w:numId w:val="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Занятость или социальный статус:</w:t>
      </w:r>
    </w:p>
    <w:p w14:paraId="1BA5D8B5"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Военнослужащий </w:t>
      </w:r>
    </w:p>
    <w:p w14:paraId="44775F4F"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Рабочий </w:t>
      </w:r>
    </w:p>
    <w:p w14:paraId="32904572"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Безработный</w:t>
      </w:r>
    </w:p>
    <w:p w14:paraId="63C507E5"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Лицо, занятое индивидуальной трудовой деятельностью</w:t>
      </w:r>
    </w:p>
    <w:p w14:paraId="18CCC219"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Студент</w:t>
      </w:r>
    </w:p>
    <w:p w14:paraId="023EEDC3"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Домашнее хозяйство</w:t>
      </w:r>
    </w:p>
    <w:p w14:paraId="4333F98D"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Пенсионер по возрасту</w:t>
      </w:r>
    </w:p>
    <w:p w14:paraId="3BF97A68"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Инвалидность по сахарному диабету</w:t>
      </w:r>
    </w:p>
    <w:p w14:paraId="6CD9ACA3"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lang w:val="kk-KZ"/>
        </w:rPr>
        <w:t>Другое</w:t>
      </w:r>
    </w:p>
    <w:p w14:paraId="75C0E6A4" w14:textId="77777777" w:rsidR="008D5DB3" w:rsidRPr="004135FE" w:rsidRDefault="008D5DB3" w:rsidP="004135FE">
      <w:pPr>
        <w:tabs>
          <w:tab w:val="left" w:pos="426"/>
        </w:tabs>
        <w:spacing w:after="0" w:line="240" w:lineRule="auto"/>
        <w:jc w:val="both"/>
        <w:rPr>
          <w:rFonts w:ascii="Times New Roman" w:hAnsi="Times New Roman" w:cs="Times New Roman"/>
          <w:sz w:val="28"/>
          <w:szCs w:val="28"/>
        </w:rPr>
      </w:pPr>
    </w:p>
    <w:p w14:paraId="045D247B" w14:textId="77777777" w:rsidR="008D5DB3" w:rsidRPr="004135FE" w:rsidRDefault="008D5DB3" w:rsidP="004135FE">
      <w:pPr>
        <w:tabs>
          <w:tab w:val="left" w:pos="426"/>
        </w:tabs>
        <w:spacing w:after="0" w:line="240" w:lineRule="auto"/>
        <w:jc w:val="both"/>
        <w:rPr>
          <w:rFonts w:ascii="Times New Roman" w:hAnsi="Times New Roman" w:cs="Times New Roman"/>
          <w:caps/>
          <w:sz w:val="28"/>
          <w:szCs w:val="28"/>
        </w:rPr>
      </w:pPr>
      <w:r w:rsidRPr="004135FE">
        <w:rPr>
          <w:rFonts w:ascii="Times New Roman" w:hAnsi="Times New Roman" w:cs="Times New Roman"/>
          <w:caps/>
          <w:sz w:val="28"/>
          <w:szCs w:val="28"/>
        </w:rPr>
        <w:t>2-раздел. Персонализированный подход К пациентАМ</w:t>
      </w:r>
    </w:p>
    <w:p w14:paraId="23067ED7" w14:textId="77777777" w:rsidR="008D5DB3" w:rsidRPr="004135FE" w:rsidRDefault="008D5DB3" w:rsidP="004135FE">
      <w:pPr>
        <w:numPr>
          <w:ilvl w:val="0"/>
          <w:numId w:val="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В каком возрасте Вам был поставлен диагноз Сахарный диабет 2 типа?</w:t>
      </w:r>
    </w:p>
    <w:p w14:paraId="4B3CD5B2" w14:textId="77777777" w:rsidR="008D5DB3" w:rsidRPr="004135FE" w:rsidRDefault="008D5DB3" w:rsidP="004135FE">
      <w:pPr>
        <w:numPr>
          <w:ilvl w:val="0"/>
          <w:numId w:val="5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до 20 </w:t>
      </w:r>
    </w:p>
    <w:p w14:paraId="77DEF476" w14:textId="77777777" w:rsidR="008D5DB3" w:rsidRPr="004135FE" w:rsidRDefault="008D5DB3" w:rsidP="004135FE">
      <w:pPr>
        <w:numPr>
          <w:ilvl w:val="0"/>
          <w:numId w:val="5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21 – 25</w:t>
      </w:r>
    </w:p>
    <w:p w14:paraId="3F555B2A" w14:textId="77777777" w:rsidR="008D5DB3" w:rsidRPr="004135FE" w:rsidRDefault="008D5DB3" w:rsidP="004135FE">
      <w:pPr>
        <w:numPr>
          <w:ilvl w:val="0"/>
          <w:numId w:val="5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26 - 30  </w:t>
      </w:r>
    </w:p>
    <w:p w14:paraId="48971D52" w14:textId="77777777" w:rsidR="008D5DB3" w:rsidRPr="004135FE" w:rsidRDefault="008D5DB3" w:rsidP="004135FE">
      <w:pPr>
        <w:numPr>
          <w:ilvl w:val="0"/>
          <w:numId w:val="5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31 – 35</w:t>
      </w:r>
    </w:p>
    <w:p w14:paraId="684C9C11" w14:textId="77777777" w:rsidR="008D5DB3" w:rsidRPr="004135FE" w:rsidRDefault="008D5DB3" w:rsidP="004135FE">
      <w:pPr>
        <w:numPr>
          <w:ilvl w:val="0"/>
          <w:numId w:val="5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36 – 40</w:t>
      </w:r>
    </w:p>
    <w:p w14:paraId="5E0C2ABD" w14:textId="77777777" w:rsidR="008D5DB3" w:rsidRPr="004135FE" w:rsidRDefault="008D5DB3" w:rsidP="004135FE">
      <w:pPr>
        <w:numPr>
          <w:ilvl w:val="0"/>
          <w:numId w:val="5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41 – 45</w:t>
      </w:r>
    </w:p>
    <w:p w14:paraId="13D08A73" w14:textId="77777777" w:rsidR="008D5DB3" w:rsidRPr="004135FE" w:rsidRDefault="008D5DB3" w:rsidP="004135FE">
      <w:pPr>
        <w:numPr>
          <w:ilvl w:val="0"/>
          <w:numId w:val="5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46 – 50</w:t>
      </w:r>
    </w:p>
    <w:p w14:paraId="425C25EF" w14:textId="77777777" w:rsidR="008D5DB3" w:rsidRPr="004135FE" w:rsidRDefault="008D5DB3" w:rsidP="004135FE">
      <w:pPr>
        <w:numPr>
          <w:ilvl w:val="0"/>
          <w:numId w:val="5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51 – 55</w:t>
      </w:r>
    </w:p>
    <w:p w14:paraId="64281897" w14:textId="77777777" w:rsidR="008D5DB3" w:rsidRPr="004135FE" w:rsidRDefault="008D5DB3" w:rsidP="004135FE">
      <w:pPr>
        <w:numPr>
          <w:ilvl w:val="0"/>
          <w:numId w:val="5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56 – 60</w:t>
      </w:r>
    </w:p>
    <w:p w14:paraId="71443FBB" w14:textId="77777777" w:rsidR="008D5DB3" w:rsidRPr="004135FE" w:rsidRDefault="008D5DB3" w:rsidP="004135FE">
      <w:pPr>
        <w:numPr>
          <w:ilvl w:val="0"/>
          <w:numId w:val="5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61 – 65</w:t>
      </w:r>
    </w:p>
    <w:p w14:paraId="624DD1D5" w14:textId="77777777" w:rsidR="008D5DB3" w:rsidRPr="004135FE" w:rsidRDefault="008D5DB3" w:rsidP="004135FE">
      <w:pPr>
        <w:numPr>
          <w:ilvl w:val="0"/>
          <w:numId w:val="5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66 – 70</w:t>
      </w:r>
    </w:p>
    <w:p w14:paraId="5E77BD9B" w14:textId="77777777" w:rsidR="008D5DB3" w:rsidRPr="004135FE" w:rsidRDefault="008D5DB3" w:rsidP="004135FE">
      <w:pPr>
        <w:numPr>
          <w:ilvl w:val="0"/>
          <w:numId w:val="5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Старше 70</w:t>
      </w:r>
    </w:p>
    <w:p w14:paraId="69F9B239" w14:textId="77777777" w:rsidR="008D5DB3" w:rsidRPr="004135FE" w:rsidRDefault="008D5DB3" w:rsidP="004135FE">
      <w:pPr>
        <w:numPr>
          <w:ilvl w:val="0"/>
          <w:numId w:val="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 xml:space="preserve">При каких обстоятельствах у Вас было обнаружено повышенный уровень глюкозы (сахара) крови? </w:t>
      </w:r>
    </w:p>
    <w:p w14:paraId="2B371584" w14:textId="77777777" w:rsidR="008D5DB3" w:rsidRPr="004135FE" w:rsidRDefault="008D5DB3" w:rsidP="004135FE">
      <w:pPr>
        <w:numPr>
          <w:ilvl w:val="0"/>
          <w:numId w:val="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Во время диспансеризации по артериальной гипертензии</w:t>
      </w:r>
    </w:p>
    <w:p w14:paraId="7B413680" w14:textId="77777777" w:rsidR="008D5DB3" w:rsidRPr="004135FE" w:rsidRDefault="008D5DB3" w:rsidP="004135FE">
      <w:pPr>
        <w:numPr>
          <w:ilvl w:val="0"/>
          <w:numId w:val="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Профилактического осмотра</w:t>
      </w:r>
    </w:p>
    <w:p w14:paraId="0FD4CCA1" w14:textId="77777777" w:rsidR="008D5DB3" w:rsidRPr="004135FE" w:rsidRDefault="008D5DB3" w:rsidP="004135FE">
      <w:pPr>
        <w:numPr>
          <w:ilvl w:val="0"/>
          <w:numId w:val="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Во время обострения простудных заболевании  </w:t>
      </w:r>
    </w:p>
    <w:p w14:paraId="71BB0757" w14:textId="77777777" w:rsidR="008D5DB3" w:rsidRPr="004135FE" w:rsidRDefault="008D5DB3" w:rsidP="004135FE">
      <w:pPr>
        <w:numPr>
          <w:ilvl w:val="0"/>
          <w:numId w:val="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При подготовке к зачатию ребенка</w:t>
      </w:r>
    </w:p>
    <w:p w14:paraId="2F15800E" w14:textId="77777777" w:rsidR="008D5DB3" w:rsidRPr="004135FE" w:rsidRDefault="008D5DB3" w:rsidP="004135FE">
      <w:pPr>
        <w:numPr>
          <w:ilvl w:val="0"/>
          <w:numId w:val="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После хирургических вмешательств</w:t>
      </w:r>
    </w:p>
    <w:p w14:paraId="66DE5ED8" w14:textId="77777777" w:rsidR="008D5DB3" w:rsidRPr="004135FE" w:rsidRDefault="008D5DB3" w:rsidP="004135FE">
      <w:pPr>
        <w:numPr>
          <w:ilvl w:val="0"/>
          <w:numId w:val="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Другое</w:t>
      </w:r>
    </w:p>
    <w:p w14:paraId="4371E742" w14:textId="77777777" w:rsidR="008D5DB3" w:rsidRPr="004135FE" w:rsidRDefault="008D5DB3" w:rsidP="004135FE">
      <w:pPr>
        <w:tabs>
          <w:tab w:val="left" w:pos="426"/>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9.  Врач эндокринолог когда-либо Вас направлял на</w:t>
      </w:r>
      <w:r w:rsidRPr="004135FE">
        <w:rPr>
          <w:rFonts w:ascii="Times New Roman" w:hAnsi="Times New Roman" w:cs="Times New Roman"/>
          <w:b/>
          <w:sz w:val="28"/>
          <w:szCs w:val="28"/>
          <w:lang w:val="kk-KZ"/>
        </w:rPr>
        <w:t xml:space="preserve"> анализ для определения</w:t>
      </w:r>
      <w:r w:rsidRPr="004135FE">
        <w:rPr>
          <w:rFonts w:ascii="Times New Roman" w:hAnsi="Times New Roman" w:cs="Times New Roman"/>
          <w:b/>
          <w:sz w:val="28"/>
          <w:szCs w:val="28"/>
        </w:rPr>
        <w:t xml:space="preserve"> генетических маркеров сахарного диабета 2 типа?</w:t>
      </w:r>
    </w:p>
    <w:p w14:paraId="03C1ABF7" w14:textId="77777777" w:rsidR="008D5DB3" w:rsidRPr="004135FE" w:rsidRDefault="008D5DB3" w:rsidP="004135FE">
      <w:pPr>
        <w:tabs>
          <w:tab w:val="left" w:pos="426"/>
          <w:tab w:val="left" w:pos="2295"/>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1.</w:t>
      </w:r>
      <w:r w:rsidRPr="004135FE">
        <w:rPr>
          <w:rFonts w:ascii="Times New Roman" w:hAnsi="Times New Roman" w:cs="Times New Roman"/>
          <w:sz w:val="28"/>
          <w:szCs w:val="28"/>
        </w:rPr>
        <w:t xml:space="preserve">  Да</w:t>
      </w:r>
    </w:p>
    <w:p w14:paraId="37EEE62B" w14:textId="77777777" w:rsidR="008D5DB3" w:rsidRPr="004135FE" w:rsidRDefault="008D5DB3" w:rsidP="004135FE">
      <w:pPr>
        <w:tabs>
          <w:tab w:val="left" w:pos="426"/>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2.</w:t>
      </w:r>
      <w:r w:rsidRPr="004135FE">
        <w:rPr>
          <w:rFonts w:ascii="Times New Roman" w:hAnsi="Times New Roman" w:cs="Times New Roman"/>
          <w:sz w:val="28"/>
          <w:szCs w:val="28"/>
        </w:rPr>
        <w:t xml:space="preserve">  Нет</w:t>
      </w:r>
    </w:p>
    <w:p w14:paraId="6300C561" w14:textId="77777777" w:rsidR="008D5DB3" w:rsidRPr="004135FE" w:rsidRDefault="008D5DB3" w:rsidP="004135FE">
      <w:pPr>
        <w:tabs>
          <w:tab w:val="left" w:pos="426"/>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3.</w:t>
      </w:r>
      <w:r w:rsidRPr="004135FE">
        <w:rPr>
          <w:rFonts w:ascii="Times New Roman" w:hAnsi="Times New Roman" w:cs="Times New Roman"/>
          <w:sz w:val="28"/>
          <w:szCs w:val="28"/>
        </w:rPr>
        <w:t xml:space="preserve">  Впервые слышу такой вид анализа</w:t>
      </w:r>
    </w:p>
    <w:p w14:paraId="2FA0F833" w14:textId="77777777" w:rsidR="008D5DB3" w:rsidRPr="004135FE" w:rsidRDefault="008D5DB3" w:rsidP="004135FE">
      <w:pPr>
        <w:tabs>
          <w:tab w:val="left" w:pos="426"/>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lang w:val="kk-KZ"/>
        </w:rPr>
        <w:t>4</w:t>
      </w:r>
      <w:r w:rsidRPr="004135FE">
        <w:rPr>
          <w:rFonts w:ascii="Times New Roman" w:hAnsi="Times New Roman" w:cs="Times New Roman"/>
          <w:b/>
          <w:sz w:val="28"/>
          <w:szCs w:val="28"/>
        </w:rPr>
        <w:t>.</w:t>
      </w:r>
      <w:r w:rsidRPr="004135FE">
        <w:rPr>
          <w:rFonts w:ascii="Times New Roman" w:hAnsi="Times New Roman" w:cs="Times New Roman"/>
          <w:sz w:val="28"/>
          <w:szCs w:val="28"/>
        </w:rPr>
        <w:t xml:space="preserve">  Не помню</w:t>
      </w:r>
    </w:p>
    <w:p w14:paraId="3F73B490"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sz w:val="28"/>
          <w:szCs w:val="28"/>
        </w:rPr>
        <w:t xml:space="preserve"> </w:t>
      </w:r>
      <w:r w:rsidRPr="004135FE">
        <w:rPr>
          <w:rFonts w:ascii="Times New Roman" w:hAnsi="Times New Roman" w:cs="Times New Roman"/>
          <w:b/>
          <w:sz w:val="28"/>
          <w:szCs w:val="28"/>
        </w:rPr>
        <w:t>Учитывает ли врач Ваши индивидуальные особенности режима дня и привычки питания, поведения, физ.нагрузки при выписке рекомендации по приему и дозировке лекарственных средств?</w:t>
      </w:r>
    </w:p>
    <w:p w14:paraId="54E2DB24" w14:textId="77777777" w:rsidR="008D5DB3" w:rsidRPr="004135FE" w:rsidRDefault="008D5DB3" w:rsidP="004135FE">
      <w:pPr>
        <w:numPr>
          <w:ilvl w:val="0"/>
          <w:numId w:val="1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Интересуется и учитывает</w:t>
      </w:r>
    </w:p>
    <w:p w14:paraId="1DFDE453" w14:textId="77777777" w:rsidR="008D5DB3" w:rsidRPr="004135FE" w:rsidRDefault="008D5DB3" w:rsidP="004135FE">
      <w:pPr>
        <w:numPr>
          <w:ilvl w:val="0"/>
          <w:numId w:val="1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Интересуется, но не учитывает</w:t>
      </w:r>
    </w:p>
    <w:p w14:paraId="302CFB60" w14:textId="77777777" w:rsidR="008D5DB3" w:rsidRPr="004135FE" w:rsidRDefault="008D5DB3" w:rsidP="004135FE">
      <w:pPr>
        <w:numPr>
          <w:ilvl w:val="0"/>
          <w:numId w:val="1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интересуется и не учитывает</w:t>
      </w:r>
    </w:p>
    <w:p w14:paraId="4BD485D1"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b/>
          <w:sz w:val="28"/>
          <w:szCs w:val="28"/>
        </w:rPr>
        <w:t>Если Ваш препарат отсутствует в аптеке поликлиники, от кого получаете ответ о поступлениях?</w:t>
      </w:r>
    </w:p>
    <w:p w14:paraId="331E83E2" w14:textId="77777777" w:rsidR="008D5DB3" w:rsidRPr="004135FE" w:rsidRDefault="008D5DB3" w:rsidP="004135FE">
      <w:pPr>
        <w:numPr>
          <w:ilvl w:val="1"/>
          <w:numId w:val="1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От врача эндокринолога</w:t>
      </w:r>
    </w:p>
    <w:p w14:paraId="34B65097" w14:textId="77777777" w:rsidR="008D5DB3" w:rsidRPr="004135FE" w:rsidRDefault="008D5DB3" w:rsidP="004135FE">
      <w:pPr>
        <w:numPr>
          <w:ilvl w:val="1"/>
          <w:numId w:val="1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От медсестры эндокринолога</w:t>
      </w:r>
    </w:p>
    <w:p w14:paraId="513E8260" w14:textId="77777777" w:rsidR="008D5DB3" w:rsidRPr="004135FE" w:rsidRDefault="008D5DB3" w:rsidP="004135FE">
      <w:pPr>
        <w:numPr>
          <w:ilvl w:val="1"/>
          <w:numId w:val="1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От врача общей практики</w:t>
      </w:r>
    </w:p>
    <w:p w14:paraId="661C8EB0" w14:textId="77777777" w:rsidR="008D5DB3" w:rsidRPr="004135FE" w:rsidRDefault="008D5DB3" w:rsidP="004135FE">
      <w:pPr>
        <w:numPr>
          <w:ilvl w:val="1"/>
          <w:numId w:val="1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От провизора аптеки </w:t>
      </w:r>
    </w:p>
    <w:p w14:paraId="709AF2C4" w14:textId="77777777" w:rsidR="008D5DB3" w:rsidRPr="004135FE" w:rsidRDefault="008D5DB3" w:rsidP="004135FE">
      <w:pPr>
        <w:numPr>
          <w:ilvl w:val="1"/>
          <w:numId w:val="1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lang w:val="en-US"/>
        </w:rPr>
        <w:t xml:space="preserve">Call </w:t>
      </w:r>
      <w:r w:rsidRPr="004135FE">
        <w:rPr>
          <w:rFonts w:ascii="Times New Roman" w:hAnsi="Times New Roman" w:cs="Times New Roman"/>
          <w:sz w:val="28"/>
          <w:szCs w:val="28"/>
        </w:rPr>
        <w:t xml:space="preserve"> центр регистратуры</w:t>
      </w:r>
    </w:p>
    <w:p w14:paraId="03603A93" w14:textId="77777777" w:rsidR="008D5DB3" w:rsidRPr="004135FE" w:rsidRDefault="008D5DB3" w:rsidP="004135FE">
      <w:pPr>
        <w:tabs>
          <w:tab w:val="left" w:pos="426"/>
        </w:tabs>
        <w:spacing w:after="0" w:line="240" w:lineRule="auto"/>
        <w:jc w:val="both"/>
        <w:rPr>
          <w:rFonts w:ascii="Times New Roman" w:hAnsi="Times New Roman" w:cs="Times New Roman"/>
          <w:sz w:val="28"/>
          <w:szCs w:val="28"/>
        </w:rPr>
      </w:pPr>
    </w:p>
    <w:p w14:paraId="1DB3C623" w14:textId="77777777" w:rsidR="008D5DB3" w:rsidRPr="004135FE" w:rsidRDefault="008D5DB3" w:rsidP="004135FE">
      <w:pPr>
        <w:numPr>
          <w:ilvl w:val="0"/>
          <w:numId w:val="58"/>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eastAsia="Times New Roman" w:hAnsi="Times New Roman" w:cs="Times New Roman"/>
          <w:b/>
          <w:sz w:val="28"/>
          <w:szCs w:val="28"/>
        </w:rPr>
        <w:t xml:space="preserve"> Было ли проведено индивидуальный подбор физической активности с учетом противопоказании и мер предосторожностей?</w:t>
      </w:r>
    </w:p>
    <w:p w14:paraId="14C4F10D" w14:textId="77777777" w:rsidR="008D5DB3" w:rsidRPr="004135FE" w:rsidRDefault="008D5DB3" w:rsidP="004135FE">
      <w:pPr>
        <w:numPr>
          <w:ilvl w:val="0"/>
          <w:numId w:val="6"/>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Нет</w:t>
      </w:r>
    </w:p>
    <w:p w14:paraId="62604C5F" w14:textId="77777777" w:rsidR="008D5DB3" w:rsidRPr="004135FE" w:rsidRDefault="008D5DB3" w:rsidP="004135FE">
      <w:pPr>
        <w:numPr>
          <w:ilvl w:val="0"/>
          <w:numId w:val="6"/>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Самостоятельно, не знал(а), что кто-то подберет физ.нагрузку</w:t>
      </w:r>
    </w:p>
    <w:p w14:paraId="235ED1BF" w14:textId="77777777" w:rsidR="008D5DB3" w:rsidRPr="004135FE" w:rsidRDefault="008D5DB3" w:rsidP="004135FE">
      <w:pPr>
        <w:numPr>
          <w:ilvl w:val="0"/>
          <w:numId w:val="6"/>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был подбор врачом кардиологом</w:t>
      </w:r>
    </w:p>
    <w:p w14:paraId="07A1622F" w14:textId="77777777" w:rsidR="008D5DB3" w:rsidRPr="004135FE" w:rsidRDefault="008D5DB3" w:rsidP="004135FE">
      <w:pPr>
        <w:numPr>
          <w:ilvl w:val="0"/>
          <w:numId w:val="6"/>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врачом невропатологом</w:t>
      </w:r>
    </w:p>
    <w:p w14:paraId="554057BA" w14:textId="77777777" w:rsidR="008D5DB3" w:rsidRPr="004135FE" w:rsidRDefault="008D5DB3" w:rsidP="004135FE">
      <w:pPr>
        <w:numPr>
          <w:ilvl w:val="0"/>
          <w:numId w:val="6"/>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врачом эндокринологом</w:t>
      </w:r>
    </w:p>
    <w:p w14:paraId="20724C52" w14:textId="77777777" w:rsidR="008D5DB3" w:rsidRPr="004135FE" w:rsidRDefault="008D5DB3" w:rsidP="004135FE">
      <w:pPr>
        <w:numPr>
          <w:ilvl w:val="0"/>
          <w:numId w:val="6"/>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медсестрой врача эндокринолога</w:t>
      </w:r>
    </w:p>
    <w:p w14:paraId="5BE69FC8" w14:textId="77777777" w:rsidR="008D5DB3" w:rsidRPr="004135FE" w:rsidRDefault="008D5DB3" w:rsidP="004135FE">
      <w:pPr>
        <w:numPr>
          <w:ilvl w:val="0"/>
          <w:numId w:val="6"/>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врачом общей практики</w:t>
      </w:r>
    </w:p>
    <w:p w14:paraId="398CAC20" w14:textId="77777777" w:rsidR="008D5DB3" w:rsidRPr="004135FE" w:rsidRDefault="008D5DB3" w:rsidP="004135FE">
      <w:pPr>
        <w:numPr>
          <w:ilvl w:val="0"/>
          <w:numId w:val="6"/>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школа диабета провела обучение</w:t>
      </w:r>
    </w:p>
    <w:p w14:paraId="64B413C0" w14:textId="77777777" w:rsidR="008D5DB3" w:rsidRPr="004135FE" w:rsidRDefault="008D5DB3" w:rsidP="004135FE">
      <w:pPr>
        <w:numPr>
          <w:ilvl w:val="0"/>
          <w:numId w:val="6"/>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 спорт комплексе</w:t>
      </w:r>
    </w:p>
    <w:p w14:paraId="6B669B91" w14:textId="77777777" w:rsidR="008D5DB3" w:rsidRPr="004135FE" w:rsidRDefault="008D5DB3" w:rsidP="004135FE">
      <w:pPr>
        <w:tabs>
          <w:tab w:val="left" w:pos="426"/>
        </w:tabs>
        <w:spacing w:after="0" w:line="240" w:lineRule="auto"/>
        <w:jc w:val="both"/>
        <w:rPr>
          <w:rFonts w:ascii="Times New Roman" w:hAnsi="Times New Roman" w:cs="Times New Roman"/>
          <w:caps/>
          <w:sz w:val="28"/>
          <w:szCs w:val="28"/>
        </w:rPr>
      </w:pPr>
    </w:p>
    <w:p w14:paraId="5A6AFC51" w14:textId="77777777" w:rsidR="008D5DB3" w:rsidRPr="004135FE" w:rsidRDefault="008D5DB3" w:rsidP="004135FE">
      <w:pPr>
        <w:tabs>
          <w:tab w:val="left" w:pos="426"/>
        </w:tabs>
        <w:spacing w:after="0" w:line="240" w:lineRule="auto"/>
        <w:jc w:val="both"/>
        <w:rPr>
          <w:rFonts w:ascii="Times New Roman" w:hAnsi="Times New Roman" w:cs="Times New Roman"/>
          <w:caps/>
          <w:sz w:val="28"/>
          <w:szCs w:val="28"/>
        </w:rPr>
      </w:pPr>
      <w:r w:rsidRPr="004135FE">
        <w:rPr>
          <w:rFonts w:ascii="Times New Roman" w:hAnsi="Times New Roman" w:cs="Times New Roman"/>
          <w:caps/>
          <w:sz w:val="28"/>
          <w:szCs w:val="28"/>
        </w:rPr>
        <w:t xml:space="preserve">3-раздел. Качество информирования И УдовлетворенностИ оказанием медицинской помощи пациентов  </w:t>
      </w:r>
    </w:p>
    <w:p w14:paraId="26464D11"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 xml:space="preserve"> Кто Вам объяснил значение «№9 стол»? </w:t>
      </w:r>
    </w:p>
    <w:p w14:paraId="72075413" w14:textId="77777777" w:rsidR="008D5DB3" w:rsidRPr="004135FE" w:rsidRDefault="008D5DB3" w:rsidP="004135FE">
      <w:pPr>
        <w:numPr>
          <w:ilvl w:val="1"/>
          <w:numId w:val="13"/>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Врач эндокринолог</w:t>
      </w:r>
    </w:p>
    <w:p w14:paraId="1E314102" w14:textId="77777777" w:rsidR="008D5DB3" w:rsidRPr="004135FE" w:rsidRDefault="008D5DB3" w:rsidP="004135FE">
      <w:pPr>
        <w:numPr>
          <w:ilvl w:val="1"/>
          <w:numId w:val="13"/>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Медсестра врача эндокринолога</w:t>
      </w:r>
    </w:p>
    <w:p w14:paraId="6297B6FA" w14:textId="77777777" w:rsidR="008D5DB3" w:rsidRPr="004135FE" w:rsidRDefault="008D5DB3" w:rsidP="004135FE">
      <w:pPr>
        <w:numPr>
          <w:ilvl w:val="1"/>
          <w:numId w:val="13"/>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Врач общей практики</w:t>
      </w:r>
    </w:p>
    <w:p w14:paraId="71537912" w14:textId="77777777" w:rsidR="008D5DB3" w:rsidRPr="004135FE" w:rsidRDefault="008D5DB3" w:rsidP="004135FE">
      <w:pPr>
        <w:numPr>
          <w:ilvl w:val="1"/>
          <w:numId w:val="13"/>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Дали брошюру для ознакомления, не объясняли</w:t>
      </w:r>
    </w:p>
    <w:p w14:paraId="2A58A917" w14:textId="77777777" w:rsidR="008D5DB3" w:rsidRPr="004135FE" w:rsidRDefault="008D5DB3" w:rsidP="004135FE">
      <w:pPr>
        <w:numPr>
          <w:ilvl w:val="1"/>
          <w:numId w:val="13"/>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 «Школе диабета»</w:t>
      </w:r>
    </w:p>
    <w:p w14:paraId="265BB372" w14:textId="77777777" w:rsidR="008D5DB3" w:rsidRPr="004135FE" w:rsidRDefault="008D5DB3" w:rsidP="004135FE">
      <w:pPr>
        <w:numPr>
          <w:ilvl w:val="1"/>
          <w:numId w:val="13"/>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 кабинете «Здорового образа жизни»</w:t>
      </w:r>
    </w:p>
    <w:p w14:paraId="4032FFDA"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 xml:space="preserve"> Все слова ясны для Вас во время приема у врача или бывают непонятные термины?</w:t>
      </w:r>
    </w:p>
    <w:p w14:paraId="7F8E27A8" w14:textId="77777777" w:rsidR="008D5DB3" w:rsidRPr="004135FE" w:rsidRDefault="008D5DB3" w:rsidP="004135FE">
      <w:pPr>
        <w:numPr>
          <w:ilvl w:val="1"/>
          <w:numId w:val="14"/>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Все понятно, запоминаю хорошо</w:t>
      </w:r>
    </w:p>
    <w:p w14:paraId="0B945397" w14:textId="77777777" w:rsidR="008D5DB3" w:rsidRPr="004135FE" w:rsidRDefault="008D5DB3" w:rsidP="004135FE">
      <w:pPr>
        <w:numPr>
          <w:ilvl w:val="1"/>
          <w:numId w:val="14"/>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Все понятно в кабинете, но не запоминаю как выхожу</w:t>
      </w:r>
    </w:p>
    <w:p w14:paraId="54578F90" w14:textId="77777777" w:rsidR="008D5DB3" w:rsidRPr="004135FE" w:rsidRDefault="008D5DB3" w:rsidP="004135FE">
      <w:pPr>
        <w:numPr>
          <w:ilvl w:val="1"/>
          <w:numId w:val="14"/>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понятно, но делаю вид что все понятно и киваю головой</w:t>
      </w:r>
    </w:p>
    <w:p w14:paraId="3E2B5AA2" w14:textId="77777777" w:rsidR="008D5DB3" w:rsidRPr="004135FE" w:rsidRDefault="008D5DB3" w:rsidP="004135FE">
      <w:pPr>
        <w:numPr>
          <w:ilvl w:val="1"/>
          <w:numId w:val="14"/>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понятное переспрашиваю</w:t>
      </w:r>
    </w:p>
    <w:p w14:paraId="71C8A301"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 xml:space="preserve"> Как реагирует медперсонал на Вашу просьбу объяснить значение термина?</w:t>
      </w:r>
    </w:p>
    <w:p w14:paraId="392257B9" w14:textId="77777777" w:rsidR="008D5DB3" w:rsidRPr="004135FE" w:rsidRDefault="008D5DB3" w:rsidP="004135FE">
      <w:pPr>
        <w:numPr>
          <w:ilvl w:val="1"/>
          <w:numId w:val="37"/>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Доброжелательно объясняет</w:t>
      </w:r>
    </w:p>
    <w:p w14:paraId="758C1F82" w14:textId="77777777" w:rsidR="008D5DB3" w:rsidRPr="004135FE" w:rsidRDefault="008D5DB3" w:rsidP="004135FE">
      <w:pPr>
        <w:numPr>
          <w:ilvl w:val="1"/>
          <w:numId w:val="37"/>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Недоброжелательно объясняет</w:t>
      </w:r>
    </w:p>
    <w:p w14:paraId="1BA1AD1F" w14:textId="77777777" w:rsidR="008D5DB3" w:rsidRPr="004135FE" w:rsidRDefault="008D5DB3" w:rsidP="004135FE">
      <w:pPr>
        <w:numPr>
          <w:ilvl w:val="1"/>
          <w:numId w:val="37"/>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объясняет ссылаясь на нехватку времени</w:t>
      </w:r>
    </w:p>
    <w:p w14:paraId="29F2BA80" w14:textId="77777777" w:rsidR="008D5DB3" w:rsidRPr="004135FE" w:rsidRDefault="008D5DB3" w:rsidP="004135FE">
      <w:pPr>
        <w:numPr>
          <w:ilvl w:val="0"/>
          <w:numId w:val="58"/>
        </w:numPr>
        <w:tabs>
          <w:tab w:val="left" w:pos="375"/>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Сколько времени уделяет медперсонал на Вас во время приема?</w:t>
      </w:r>
    </w:p>
    <w:p w14:paraId="5FE984E8" w14:textId="77777777" w:rsidR="008D5DB3" w:rsidRPr="004135FE" w:rsidRDefault="008D5DB3" w:rsidP="004135FE">
      <w:pPr>
        <w:tabs>
          <w:tab w:val="left" w:pos="375"/>
          <w:tab w:val="left" w:pos="426"/>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А)</w:t>
      </w:r>
      <w:r w:rsidRPr="004135FE">
        <w:rPr>
          <w:rFonts w:ascii="Times New Roman" w:hAnsi="Times New Roman" w:cs="Times New Roman"/>
          <w:sz w:val="28"/>
          <w:szCs w:val="28"/>
        </w:rPr>
        <w:t xml:space="preserve"> На осмотр и обследование                                            </w:t>
      </w:r>
      <w:r w:rsidRPr="004135FE">
        <w:rPr>
          <w:rFonts w:ascii="Times New Roman" w:hAnsi="Times New Roman" w:cs="Times New Roman"/>
          <w:b/>
          <w:sz w:val="28"/>
          <w:szCs w:val="28"/>
        </w:rPr>
        <w:t>Б)</w:t>
      </w:r>
      <w:r w:rsidRPr="004135FE">
        <w:rPr>
          <w:rFonts w:ascii="Times New Roman" w:hAnsi="Times New Roman" w:cs="Times New Roman"/>
          <w:sz w:val="28"/>
          <w:szCs w:val="28"/>
        </w:rPr>
        <w:t xml:space="preserve"> На оформление документации</w:t>
      </w:r>
    </w:p>
    <w:p w14:paraId="1C9CB244" w14:textId="77777777" w:rsidR="008D5DB3" w:rsidRPr="004135FE" w:rsidRDefault="008D5DB3" w:rsidP="004135FE">
      <w:pPr>
        <w:tabs>
          <w:tab w:val="left" w:pos="375"/>
          <w:tab w:val="left" w:pos="426"/>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1.</w:t>
      </w:r>
      <w:r w:rsidRPr="004135FE">
        <w:rPr>
          <w:rFonts w:ascii="Times New Roman" w:hAnsi="Times New Roman" w:cs="Times New Roman"/>
          <w:sz w:val="28"/>
          <w:szCs w:val="28"/>
        </w:rPr>
        <w:t xml:space="preserve"> 1 мин                                                                                </w:t>
      </w:r>
      <w:r w:rsidRPr="004135FE">
        <w:rPr>
          <w:rFonts w:ascii="Times New Roman" w:hAnsi="Times New Roman" w:cs="Times New Roman"/>
          <w:b/>
          <w:sz w:val="28"/>
          <w:szCs w:val="28"/>
        </w:rPr>
        <w:t>1.</w:t>
      </w:r>
      <w:r w:rsidRPr="004135FE">
        <w:rPr>
          <w:rFonts w:ascii="Times New Roman" w:hAnsi="Times New Roman" w:cs="Times New Roman"/>
          <w:sz w:val="28"/>
          <w:szCs w:val="28"/>
        </w:rPr>
        <w:t xml:space="preserve"> 2мин</w:t>
      </w:r>
    </w:p>
    <w:p w14:paraId="426FA974" w14:textId="77777777" w:rsidR="008D5DB3" w:rsidRPr="004135FE" w:rsidRDefault="008D5DB3" w:rsidP="004135FE">
      <w:pPr>
        <w:tabs>
          <w:tab w:val="left" w:pos="375"/>
          <w:tab w:val="left" w:pos="426"/>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2.</w:t>
      </w:r>
      <w:r w:rsidRPr="004135FE">
        <w:rPr>
          <w:rFonts w:ascii="Times New Roman" w:hAnsi="Times New Roman" w:cs="Times New Roman"/>
          <w:sz w:val="28"/>
          <w:szCs w:val="28"/>
        </w:rPr>
        <w:t xml:space="preserve"> 2 мин                                                                                </w:t>
      </w:r>
      <w:r w:rsidRPr="004135FE">
        <w:rPr>
          <w:rFonts w:ascii="Times New Roman" w:hAnsi="Times New Roman" w:cs="Times New Roman"/>
          <w:b/>
          <w:sz w:val="28"/>
          <w:szCs w:val="28"/>
        </w:rPr>
        <w:t>2.</w:t>
      </w:r>
      <w:r w:rsidRPr="004135FE">
        <w:rPr>
          <w:rFonts w:ascii="Times New Roman" w:hAnsi="Times New Roman" w:cs="Times New Roman"/>
          <w:sz w:val="28"/>
          <w:szCs w:val="28"/>
        </w:rPr>
        <w:t xml:space="preserve"> 5 мин</w:t>
      </w:r>
    </w:p>
    <w:p w14:paraId="50C49D4F" w14:textId="77777777" w:rsidR="008D5DB3" w:rsidRPr="004135FE" w:rsidRDefault="008D5DB3" w:rsidP="004135FE">
      <w:pPr>
        <w:tabs>
          <w:tab w:val="left" w:pos="375"/>
          <w:tab w:val="left" w:pos="426"/>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3.</w:t>
      </w:r>
      <w:r w:rsidRPr="004135FE">
        <w:rPr>
          <w:rFonts w:ascii="Times New Roman" w:hAnsi="Times New Roman" w:cs="Times New Roman"/>
          <w:sz w:val="28"/>
          <w:szCs w:val="28"/>
        </w:rPr>
        <w:t xml:space="preserve"> 5 мин                                                                                </w:t>
      </w:r>
      <w:r w:rsidRPr="004135FE">
        <w:rPr>
          <w:rFonts w:ascii="Times New Roman" w:hAnsi="Times New Roman" w:cs="Times New Roman"/>
          <w:b/>
          <w:sz w:val="28"/>
          <w:szCs w:val="28"/>
        </w:rPr>
        <w:t>3.</w:t>
      </w:r>
      <w:r w:rsidRPr="004135FE">
        <w:rPr>
          <w:rFonts w:ascii="Times New Roman" w:hAnsi="Times New Roman" w:cs="Times New Roman"/>
          <w:sz w:val="28"/>
          <w:szCs w:val="28"/>
        </w:rPr>
        <w:t xml:space="preserve"> 10мин</w:t>
      </w:r>
    </w:p>
    <w:p w14:paraId="21D3B532" w14:textId="77777777" w:rsidR="008D5DB3" w:rsidRPr="004135FE" w:rsidRDefault="008D5DB3" w:rsidP="004135FE">
      <w:pPr>
        <w:tabs>
          <w:tab w:val="left" w:pos="375"/>
          <w:tab w:val="left" w:pos="426"/>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4.</w:t>
      </w:r>
      <w:r w:rsidRPr="004135FE">
        <w:rPr>
          <w:rFonts w:ascii="Times New Roman" w:hAnsi="Times New Roman" w:cs="Times New Roman"/>
          <w:sz w:val="28"/>
          <w:szCs w:val="28"/>
        </w:rPr>
        <w:t xml:space="preserve"> 10 мин                                                                              </w:t>
      </w:r>
      <w:r w:rsidRPr="004135FE">
        <w:rPr>
          <w:rFonts w:ascii="Times New Roman" w:hAnsi="Times New Roman" w:cs="Times New Roman"/>
          <w:b/>
          <w:sz w:val="28"/>
          <w:szCs w:val="28"/>
        </w:rPr>
        <w:t>4.</w:t>
      </w:r>
      <w:r w:rsidRPr="004135FE">
        <w:rPr>
          <w:rFonts w:ascii="Times New Roman" w:hAnsi="Times New Roman" w:cs="Times New Roman"/>
          <w:sz w:val="28"/>
          <w:szCs w:val="28"/>
        </w:rPr>
        <w:t xml:space="preserve"> 15 мин</w:t>
      </w:r>
    </w:p>
    <w:p w14:paraId="51DAFC4E" w14:textId="77777777" w:rsidR="008D5DB3" w:rsidRPr="004135FE" w:rsidRDefault="008D5DB3" w:rsidP="004135FE">
      <w:pPr>
        <w:tabs>
          <w:tab w:val="left" w:pos="375"/>
          <w:tab w:val="left" w:pos="426"/>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5.</w:t>
      </w:r>
      <w:r w:rsidRPr="004135FE">
        <w:rPr>
          <w:rFonts w:ascii="Times New Roman" w:hAnsi="Times New Roman" w:cs="Times New Roman"/>
          <w:sz w:val="28"/>
          <w:szCs w:val="28"/>
        </w:rPr>
        <w:t xml:space="preserve"> 15 мин                                                                              </w:t>
      </w:r>
      <w:r w:rsidRPr="004135FE">
        <w:rPr>
          <w:rFonts w:ascii="Times New Roman" w:hAnsi="Times New Roman" w:cs="Times New Roman"/>
          <w:b/>
          <w:sz w:val="28"/>
          <w:szCs w:val="28"/>
        </w:rPr>
        <w:t>5.</w:t>
      </w:r>
      <w:r w:rsidRPr="004135FE">
        <w:rPr>
          <w:rFonts w:ascii="Times New Roman" w:hAnsi="Times New Roman" w:cs="Times New Roman"/>
          <w:sz w:val="28"/>
          <w:szCs w:val="28"/>
        </w:rPr>
        <w:t xml:space="preserve"> 20мин</w:t>
      </w:r>
    </w:p>
    <w:p w14:paraId="0DB77F8A"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Вы хотели бы быть медперсоналом и оказывать помощь пациентам с сахарным диабетом?</w:t>
      </w:r>
    </w:p>
    <w:p w14:paraId="53A482F6" w14:textId="77777777" w:rsidR="008D5DB3" w:rsidRPr="004135FE" w:rsidRDefault="008D5DB3" w:rsidP="004135FE">
      <w:pPr>
        <w:numPr>
          <w:ilvl w:val="0"/>
          <w:numId w:val="1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всегда хотел(а)</w:t>
      </w:r>
    </w:p>
    <w:p w14:paraId="6940E930" w14:textId="77777777" w:rsidR="008D5DB3" w:rsidRPr="004135FE" w:rsidRDefault="008D5DB3" w:rsidP="004135FE">
      <w:pPr>
        <w:numPr>
          <w:ilvl w:val="0"/>
          <w:numId w:val="1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Нет никогда</w:t>
      </w:r>
    </w:p>
    <w:p w14:paraId="7A3EBDC3" w14:textId="77777777" w:rsidR="008D5DB3" w:rsidRPr="004135FE" w:rsidRDefault="008D5DB3" w:rsidP="004135FE">
      <w:pPr>
        <w:numPr>
          <w:ilvl w:val="0"/>
          <w:numId w:val="15"/>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sz w:val="28"/>
          <w:szCs w:val="28"/>
        </w:rPr>
        <w:t>Не думал(а)</w:t>
      </w:r>
    </w:p>
    <w:p w14:paraId="0AACD418" w14:textId="0DE4DABB" w:rsidR="008D5DB3" w:rsidRPr="004135FE" w:rsidRDefault="008D5DB3" w:rsidP="004135FE">
      <w:pPr>
        <w:numPr>
          <w:ilvl w:val="0"/>
          <w:numId w:val="58"/>
        </w:numPr>
        <w:tabs>
          <w:tab w:val="left" w:pos="375"/>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На сколько процентов из 100 % Вы удовлетворены оказан</w:t>
      </w:r>
      <w:r w:rsidR="00917309" w:rsidRPr="004135FE">
        <w:rPr>
          <w:rFonts w:ascii="Times New Roman" w:hAnsi="Times New Roman" w:cs="Times New Roman"/>
          <w:b/>
          <w:sz w:val="28"/>
          <w:szCs w:val="28"/>
        </w:rPr>
        <w:t>ием медицинской помощи персоналом</w:t>
      </w:r>
      <w:r w:rsidRPr="004135FE">
        <w:rPr>
          <w:rFonts w:ascii="Times New Roman" w:hAnsi="Times New Roman" w:cs="Times New Roman"/>
          <w:b/>
          <w:sz w:val="28"/>
          <w:szCs w:val="28"/>
        </w:rPr>
        <w:t xml:space="preserve"> кабинета эндокринолога Вашей поликлиники?</w:t>
      </w:r>
    </w:p>
    <w:p w14:paraId="2351493A" w14:textId="77777777" w:rsidR="008D5DB3" w:rsidRPr="004135FE" w:rsidRDefault="008D5DB3" w:rsidP="004135FE">
      <w:pPr>
        <w:tabs>
          <w:tab w:val="left" w:pos="375"/>
          <w:tab w:val="left" w:pos="426"/>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А) В обычное время                              Б) Во время карантина по коронавирусной инфекции</w:t>
      </w:r>
    </w:p>
    <w:p w14:paraId="00730BDE" w14:textId="77777777" w:rsidR="008D5DB3" w:rsidRPr="004135FE" w:rsidRDefault="008D5DB3" w:rsidP="004135FE">
      <w:pPr>
        <w:tabs>
          <w:tab w:val="left" w:pos="375"/>
          <w:tab w:val="left" w:pos="426"/>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1.</w:t>
      </w:r>
      <w:r w:rsidRPr="004135FE">
        <w:rPr>
          <w:rFonts w:ascii="Times New Roman" w:hAnsi="Times New Roman" w:cs="Times New Roman"/>
          <w:sz w:val="28"/>
          <w:szCs w:val="28"/>
        </w:rPr>
        <w:t xml:space="preserve"> ниже 20%                                                                   </w:t>
      </w:r>
      <w:r w:rsidRPr="004135FE">
        <w:rPr>
          <w:rFonts w:ascii="Times New Roman" w:hAnsi="Times New Roman" w:cs="Times New Roman"/>
          <w:b/>
          <w:sz w:val="28"/>
          <w:szCs w:val="28"/>
        </w:rPr>
        <w:t>1.</w:t>
      </w:r>
      <w:r w:rsidRPr="004135FE">
        <w:rPr>
          <w:rFonts w:ascii="Times New Roman" w:hAnsi="Times New Roman" w:cs="Times New Roman"/>
          <w:sz w:val="28"/>
          <w:szCs w:val="28"/>
        </w:rPr>
        <w:t xml:space="preserve"> ниже 20%</w:t>
      </w:r>
    </w:p>
    <w:p w14:paraId="589AF64C" w14:textId="77777777" w:rsidR="008D5DB3" w:rsidRPr="004135FE" w:rsidRDefault="008D5DB3" w:rsidP="004135FE">
      <w:pPr>
        <w:tabs>
          <w:tab w:val="left" w:pos="375"/>
          <w:tab w:val="left" w:pos="426"/>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2</w:t>
      </w:r>
      <w:r w:rsidRPr="004135FE">
        <w:rPr>
          <w:rFonts w:ascii="Times New Roman" w:hAnsi="Times New Roman" w:cs="Times New Roman"/>
          <w:sz w:val="28"/>
          <w:szCs w:val="28"/>
        </w:rPr>
        <w:t xml:space="preserve">. 20-40%                                                                        </w:t>
      </w:r>
      <w:r w:rsidRPr="004135FE">
        <w:rPr>
          <w:rFonts w:ascii="Times New Roman" w:hAnsi="Times New Roman" w:cs="Times New Roman"/>
          <w:b/>
          <w:sz w:val="28"/>
          <w:szCs w:val="28"/>
        </w:rPr>
        <w:t>2.</w:t>
      </w:r>
      <w:r w:rsidRPr="004135FE">
        <w:rPr>
          <w:rFonts w:ascii="Times New Roman" w:hAnsi="Times New Roman" w:cs="Times New Roman"/>
          <w:sz w:val="28"/>
          <w:szCs w:val="28"/>
        </w:rPr>
        <w:t xml:space="preserve"> 20-40%</w:t>
      </w:r>
    </w:p>
    <w:p w14:paraId="4BE7B9B8" w14:textId="77777777" w:rsidR="008D5DB3" w:rsidRPr="004135FE" w:rsidRDefault="008D5DB3" w:rsidP="004135FE">
      <w:pPr>
        <w:tabs>
          <w:tab w:val="left" w:pos="375"/>
          <w:tab w:val="left" w:pos="426"/>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3.</w:t>
      </w:r>
      <w:r w:rsidRPr="004135FE">
        <w:rPr>
          <w:rFonts w:ascii="Times New Roman" w:hAnsi="Times New Roman" w:cs="Times New Roman"/>
          <w:sz w:val="28"/>
          <w:szCs w:val="28"/>
        </w:rPr>
        <w:t xml:space="preserve"> 41-60%                                                                        </w:t>
      </w:r>
      <w:r w:rsidRPr="004135FE">
        <w:rPr>
          <w:rFonts w:ascii="Times New Roman" w:hAnsi="Times New Roman" w:cs="Times New Roman"/>
          <w:b/>
          <w:sz w:val="28"/>
          <w:szCs w:val="28"/>
        </w:rPr>
        <w:t>3.</w:t>
      </w:r>
      <w:r w:rsidRPr="004135FE">
        <w:rPr>
          <w:rFonts w:ascii="Times New Roman" w:hAnsi="Times New Roman" w:cs="Times New Roman"/>
          <w:sz w:val="28"/>
          <w:szCs w:val="28"/>
        </w:rPr>
        <w:t xml:space="preserve"> 41-60%</w:t>
      </w:r>
    </w:p>
    <w:p w14:paraId="13CCB3AB" w14:textId="77777777" w:rsidR="008D5DB3" w:rsidRPr="004135FE" w:rsidRDefault="008D5DB3" w:rsidP="004135FE">
      <w:pPr>
        <w:tabs>
          <w:tab w:val="left" w:pos="375"/>
          <w:tab w:val="left" w:pos="426"/>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4.</w:t>
      </w:r>
      <w:r w:rsidRPr="004135FE">
        <w:rPr>
          <w:rFonts w:ascii="Times New Roman" w:hAnsi="Times New Roman" w:cs="Times New Roman"/>
          <w:sz w:val="28"/>
          <w:szCs w:val="28"/>
        </w:rPr>
        <w:t xml:space="preserve"> 61-70%                                                                        </w:t>
      </w:r>
      <w:r w:rsidRPr="004135FE">
        <w:rPr>
          <w:rFonts w:ascii="Times New Roman" w:hAnsi="Times New Roman" w:cs="Times New Roman"/>
          <w:b/>
          <w:sz w:val="28"/>
          <w:szCs w:val="28"/>
        </w:rPr>
        <w:t>4</w:t>
      </w:r>
      <w:r w:rsidRPr="004135FE">
        <w:rPr>
          <w:rFonts w:ascii="Times New Roman" w:hAnsi="Times New Roman" w:cs="Times New Roman"/>
          <w:sz w:val="28"/>
          <w:szCs w:val="28"/>
        </w:rPr>
        <w:t>. 61-70%</w:t>
      </w:r>
    </w:p>
    <w:p w14:paraId="2F156936" w14:textId="77777777" w:rsidR="008D5DB3" w:rsidRPr="004135FE" w:rsidRDefault="008D5DB3" w:rsidP="004135FE">
      <w:pPr>
        <w:tabs>
          <w:tab w:val="left" w:pos="375"/>
          <w:tab w:val="left" w:pos="426"/>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5.</w:t>
      </w:r>
      <w:r w:rsidRPr="004135FE">
        <w:rPr>
          <w:rFonts w:ascii="Times New Roman" w:hAnsi="Times New Roman" w:cs="Times New Roman"/>
          <w:sz w:val="28"/>
          <w:szCs w:val="28"/>
        </w:rPr>
        <w:t xml:space="preserve"> 71-80%                                                                        </w:t>
      </w:r>
      <w:r w:rsidRPr="004135FE">
        <w:rPr>
          <w:rFonts w:ascii="Times New Roman" w:hAnsi="Times New Roman" w:cs="Times New Roman"/>
          <w:b/>
          <w:sz w:val="28"/>
          <w:szCs w:val="28"/>
        </w:rPr>
        <w:t>5.</w:t>
      </w:r>
      <w:r w:rsidRPr="004135FE">
        <w:rPr>
          <w:rFonts w:ascii="Times New Roman" w:hAnsi="Times New Roman" w:cs="Times New Roman"/>
          <w:sz w:val="28"/>
          <w:szCs w:val="28"/>
        </w:rPr>
        <w:t xml:space="preserve"> 71-80%</w:t>
      </w:r>
    </w:p>
    <w:p w14:paraId="6371F809" w14:textId="77777777" w:rsidR="008D5DB3" w:rsidRPr="004135FE" w:rsidRDefault="008D5DB3" w:rsidP="004135FE">
      <w:pPr>
        <w:tabs>
          <w:tab w:val="left" w:pos="375"/>
          <w:tab w:val="left" w:pos="426"/>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6</w:t>
      </w:r>
      <w:r w:rsidRPr="004135FE">
        <w:rPr>
          <w:rFonts w:ascii="Times New Roman" w:hAnsi="Times New Roman" w:cs="Times New Roman"/>
          <w:sz w:val="28"/>
          <w:szCs w:val="28"/>
        </w:rPr>
        <w:t xml:space="preserve">. 81-90%                                                                        </w:t>
      </w:r>
      <w:r w:rsidRPr="004135FE">
        <w:rPr>
          <w:rFonts w:ascii="Times New Roman" w:hAnsi="Times New Roman" w:cs="Times New Roman"/>
          <w:b/>
          <w:sz w:val="28"/>
          <w:szCs w:val="28"/>
        </w:rPr>
        <w:t>6.</w:t>
      </w:r>
      <w:r w:rsidRPr="004135FE">
        <w:rPr>
          <w:rFonts w:ascii="Times New Roman" w:hAnsi="Times New Roman" w:cs="Times New Roman"/>
          <w:sz w:val="28"/>
          <w:szCs w:val="28"/>
        </w:rPr>
        <w:t xml:space="preserve"> 81-90%</w:t>
      </w:r>
    </w:p>
    <w:p w14:paraId="26454CAF" w14:textId="77777777" w:rsidR="008D5DB3" w:rsidRPr="004135FE" w:rsidRDefault="008D5DB3" w:rsidP="004135FE">
      <w:pPr>
        <w:tabs>
          <w:tab w:val="left" w:pos="375"/>
          <w:tab w:val="left" w:pos="426"/>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7.</w:t>
      </w:r>
      <w:r w:rsidRPr="004135FE">
        <w:rPr>
          <w:rFonts w:ascii="Times New Roman" w:hAnsi="Times New Roman" w:cs="Times New Roman"/>
          <w:sz w:val="28"/>
          <w:szCs w:val="28"/>
        </w:rPr>
        <w:t xml:space="preserve"> 91-100%                                                                      </w:t>
      </w:r>
      <w:r w:rsidRPr="004135FE">
        <w:rPr>
          <w:rFonts w:ascii="Times New Roman" w:hAnsi="Times New Roman" w:cs="Times New Roman"/>
          <w:b/>
          <w:sz w:val="28"/>
          <w:szCs w:val="28"/>
        </w:rPr>
        <w:t>7.</w:t>
      </w:r>
      <w:r w:rsidRPr="004135FE">
        <w:rPr>
          <w:rFonts w:ascii="Times New Roman" w:hAnsi="Times New Roman" w:cs="Times New Roman"/>
          <w:sz w:val="28"/>
          <w:szCs w:val="28"/>
        </w:rPr>
        <w:t xml:space="preserve"> 91-100%</w:t>
      </w:r>
    </w:p>
    <w:p w14:paraId="4B9BA021" w14:textId="77777777" w:rsidR="008D5DB3" w:rsidRPr="004135FE" w:rsidRDefault="008D5DB3" w:rsidP="004135FE">
      <w:pPr>
        <w:tabs>
          <w:tab w:val="left" w:pos="426"/>
        </w:tabs>
        <w:spacing w:after="0" w:line="240" w:lineRule="auto"/>
        <w:jc w:val="both"/>
        <w:rPr>
          <w:rFonts w:ascii="Times New Roman" w:hAnsi="Times New Roman" w:cs="Times New Roman"/>
          <w:sz w:val="28"/>
          <w:szCs w:val="28"/>
        </w:rPr>
      </w:pPr>
    </w:p>
    <w:p w14:paraId="2C5AE190" w14:textId="77777777" w:rsidR="008D5DB3" w:rsidRPr="004135FE" w:rsidRDefault="008D5DB3" w:rsidP="004135FE">
      <w:pPr>
        <w:tabs>
          <w:tab w:val="left" w:pos="426"/>
        </w:tabs>
        <w:spacing w:after="0" w:line="240" w:lineRule="auto"/>
        <w:jc w:val="both"/>
        <w:rPr>
          <w:rFonts w:ascii="Times New Roman" w:hAnsi="Times New Roman" w:cs="Times New Roman"/>
          <w:caps/>
          <w:sz w:val="28"/>
          <w:szCs w:val="28"/>
        </w:rPr>
      </w:pPr>
      <w:r w:rsidRPr="004135FE">
        <w:rPr>
          <w:rFonts w:ascii="Times New Roman" w:hAnsi="Times New Roman" w:cs="Times New Roman"/>
          <w:caps/>
          <w:sz w:val="28"/>
          <w:szCs w:val="28"/>
        </w:rPr>
        <w:t>4-раздел. Приверженность к рекомендациям и самоменеджмент</w:t>
      </w:r>
    </w:p>
    <w:p w14:paraId="5CD08F4E" w14:textId="77777777" w:rsidR="008D5DB3" w:rsidRPr="004135FE" w:rsidRDefault="008D5DB3" w:rsidP="004135FE">
      <w:pPr>
        <w:numPr>
          <w:ilvl w:val="0"/>
          <w:numId w:val="58"/>
        </w:numPr>
        <w:tabs>
          <w:tab w:val="left" w:pos="375"/>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Через сколько времени Вы начали следовать рекомендациям врача по лечению и контролю сахарного диабета 2 типа, как был поставлен диагноз?</w:t>
      </w:r>
    </w:p>
    <w:p w14:paraId="48168AF6" w14:textId="77777777" w:rsidR="008D5DB3" w:rsidRPr="004135FE" w:rsidRDefault="008D5DB3" w:rsidP="004135FE">
      <w:pPr>
        <w:numPr>
          <w:ilvl w:val="0"/>
          <w:numId w:val="1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Сразу как поставили на диспансерный учет</w:t>
      </w:r>
    </w:p>
    <w:p w14:paraId="23DDE13A" w14:textId="77777777" w:rsidR="008D5DB3" w:rsidRPr="004135FE" w:rsidRDefault="008D5DB3" w:rsidP="004135FE">
      <w:pPr>
        <w:numPr>
          <w:ilvl w:val="0"/>
          <w:numId w:val="1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Реакция отрицания длилась около 1 недели</w:t>
      </w:r>
    </w:p>
    <w:p w14:paraId="12162A17" w14:textId="77777777" w:rsidR="008D5DB3" w:rsidRPr="004135FE" w:rsidRDefault="008D5DB3" w:rsidP="004135FE">
      <w:pPr>
        <w:numPr>
          <w:ilvl w:val="0"/>
          <w:numId w:val="1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Через месяц</w:t>
      </w:r>
    </w:p>
    <w:p w14:paraId="77597AC9" w14:textId="77777777" w:rsidR="008D5DB3" w:rsidRPr="004135FE" w:rsidRDefault="008D5DB3" w:rsidP="004135FE">
      <w:pPr>
        <w:numPr>
          <w:ilvl w:val="0"/>
          <w:numId w:val="1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Через год</w:t>
      </w:r>
    </w:p>
    <w:p w14:paraId="3EC86755" w14:textId="77777777" w:rsidR="008D5DB3" w:rsidRPr="004135FE" w:rsidRDefault="008D5DB3" w:rsidP="004135FE">
      <w:pPr>
        <w:numPr>
          <w:ilvl w:val="0"/>
          <w:numId w:val="1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Через 2 года и более</w:t>
      </w:r>
    </w:p>
    <w:p w14:paraId="5707CDEE" w14:textId="77777777" w:rsidR="008D5DB3" w:rsidRPr="004135FE" w:rsidRDefault="008D5DB3" w:rsidP="004135FE">
      <w:pPr>
        <w:numPr>
          <w:ilvl w:val="0"/>
          <w:numId w:val="58"/>
        </w:numPr>
        <w:tabs>
          <w:tab w:val="left" w:pos="375"/>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 xml:space="preserve">Принимаете ли Вы препараты рекомендованные врачом-эндокринологом которые не выдаются по бесплатному рецепту? </w:t>
      </w:r>
    </w:p>
    <w:p w14:paraId="617408D6" w14:textId="77777777" w:rsidR="008D5DB3" w:rsidRPr="004135FE" w:rsidRDefault="008D5DB3" w:rsidP="004135FE">
      <w:pPr>
        <w:numPr>
          <w:ilvl w:val="0"/>
          <w:numId w:val="17"/>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w:t>
      </w:r>
    </w:p>
    <w:p w14:paraId="3B83F0BB" w14:textId="77777777" w:rsidR="008D5DB3" w:rsidRPr="004135FE" w:rsidRDefault="008D5DB3" w:rsidP="004135FE">
      <w:pPr>
        <w:numPr>
          <w:ilvl w:val="0"/>
          <w:numId w:val="17"/>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Нет</w:t>
      </w:r>
    </w:p>
    <w:p w14:paraId="4FB6FA7E" w14:textId="77777777" w:rsidR="008D5DB3" w:rsidRPr="004135FE" w:rsidRDefault="008D5DB3" w:rsidP="004135FE">
      <w:pPr>
        <w:numPr>
          <w:ilvl w:val="0"/>
          <w:numId w:val="17"/>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Иногда</w:t>
      </w:r>
    </w:p>
    <w:p w14:paraId="5FD1A463" w14:textId="77777777" w:rsidR="008D5DB3" w:rsidRPr="004135FE" w:rsidRDefault="008D5DB3" w:rsidP="004135FE">
      <w:pPr>
        <w:numPr>
          <w:ilvl w:val="0"/>
          <w:numId w:val="58"/>
        </w:numPr>
        <w:tabs>
          <w:tab w:val="left" w:pos="375"/>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Как часто контролируете уровень сахара?</w:t>
      </w:r>
    </w:p>
    <w:p w14:paraId="089C40E3" w14:textId="77777777" w:rsidR="008D5DB3" w:rsidRPr="004135FE" w:rsidRDefault="008D5DB3" w:rsidP="004135FE">
      <w:pPr>
        <w:numPr>
          <w:ilvl w:val="0"/>
          <w:numId w:val="1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контролирую</w:t>
      </w:r>
    </w:p>
    <w:p w14:paraId="6D71EC8D" w14:textId="77777777" w:rsidR="008D5DB3" w:rsidRPr="004135FE" w:rsidRDefault="008D5DB3" w:rsidP="004135FE">
      <w:pPr>
        <w:numPr>
          <w:ilvl w:val="0"/>
          <w:numId w:val="1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Только при ухудшении самочувствия</w:t>
      </w:r>
    </w:p>
    <w:p w14:paraId="468CBDE1" w14:textId="77777777" w:rsidR="008D5DB3" w:rsidRPr="004135FE" w:rsidRDefault="008D5DB3" w:rsidP="004135FE">
      <w:pPr>
        <w:numPr>
          <w:ilvl w:val="0"/>
          <w:numId w:val="1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Перед каждым приемом лекарств от диабета</w:t>
      </w:r>
    </w:p>
    <w:p w14:paraId="205D46DE" w14:textId="77777777" w:rsidR="008D5DB3" w:rsidRPr="004135FE" w:rsidRDefault="008D5DB3" w:rsidP="004135FE">
      <w:pPr>
        <w:numPr>
          <w:ilvl w:val="0"/>
          <w:numId w:val="1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1 раз в неделю</w:t>
      </w:r>
    </w:p>
    <w:p w14:paraId="35747C3B" w14:textId="77777777" w:rsidR="008D5DB3" w:rsidRPr="004135FE" w:rsidRDefault="008D5DB3" w:rsidP="004135FE">
      <w:pPr>
        <w:numPr>
          <w:ilvl w:val="0"/>
          <w:numId w:val="1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менее 4 раз ежедневно</w:t>
      </w:r>
    </w:p>
    <w:p w14:paraId="50CEA525" w14:textId="77777777" w:rsidR="008D5DB3" w:rsidRPr="004135FE" w:rsidRDefault="008D5DB3" w:rsidP="004135FE">
      <w:pPr>
        <w:numPr>
          <w:ilvl w:val="0"/>
          <w:numId w:val="1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менее 1 раз в сутки + 1 гликемический профиль в неделю (не менее 4 раз в день)</w:t>
      </w:r>
    </w:p>
    <w:p w14:paraId="22A261BF" w14:textId="77777777" w:rsidR="008D5DB3" w:rsidRPr="004135FE" w:rsidRDefault="008D5DB3" w:rsidP="004135FE">
      <w:pPr>
        <w:numPr>
          <w:ilvl w:val="0"/>
          <w:numId w:val="1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менее 2 раз в сутки + 1 гликемический профиль в неделю (не менее 4 раз в день)</w:t>
      </w:r>
    </w:p>
    <w:p w14:paraId="10CABCAE"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Как вы ведете себя, если потребуется коррекция назначенного лечения при иных обстоятельствах, как праздничные события, осложнение состояния сопутствующими заболеваниями, резкая смена климата?</w:t>
      </w:r>
    </w:p>
    <w:p w14:paraId="4CB51A07" w14:textId="77777777" w:rsidR="008D5DB3" w:rsidRPr="004135FE" w:rsidRDefault="008D5DB3" w:rsidP="004135FE">
      <w:pPr>
        <w:numPr>
          <w:ilvl w:val="1"/>
          <w:numId w:val="1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Заранее учитывая обстоятельства посещаю прием врача</w:t>
      </w:r>
    </w:p>
    <w:p w14:paraId="5AB46EEF" w14:textId="77777777" w:rsidR="008D5DB3" w:rsidRPr="004135FE" w:rsidRDefault="008D5DB3" w:rsidP="004135FE">
      <w:pPr>
        <w:numPr>
          <w:ilvl w:val="1"/>
          <w:numId w:val="1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Звоню врачу</w:t>
      </w:r>
    </w:p>
    <w:p w14:paraId="5710B258" w14:textId="77777777" w:rsidR="008D5DB3" w:rsidRPr="004135FE" w:rsidRDefault="008D5DB3" w:rsidP="004135FE">
      <w:pPr>
        <w:numPr>
          <w:ilvl w:val="1"/>
          <w:numId w:val="1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Звоню медсестре </w:t>
      </w:r>
    </w:p>
    <w:p w14:paraId="3696CCE9" w14:textId="77777777" w:rsidR="008D5DB3" w:rsidRPr="004135FE" w:rsidRDefault="008D5DB3" w:rsidP="004135FE">
      <w:pPr>
        <w:numPr>
          <w:ilvl w:val="1"/>
          <w:numId w:val="1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Школа диабета научила самоконтролю глюкозы на все случаи жизни</w:t>
      </w:r>
    </w:p>
    <w:p w14:paraId="523FD28C" w14:textId="77777777" w:rsidR="008D5DB3" w:rsidRPr="004135FE" w:rsidRDefault="008D5DB3" w:rsidP="004135FE">
      <w:pPr>
        <w:numPr>
          <w:ilvl w:val="1"/>
          <w:numId w:val="1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Школа диабета научила самоконтролю глюкозы, кроме осложнения сопутствующих заболевании</w:t>
      </w:r>
    </w:p>
    <w:p w14:paraId="5C126A92"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Когда посещали Школу диабета последний раз?</w:t>
      </w:r>
    </w:p>
    <w:p w14:paraId="498F3862" w14:textId="77777777" w:rsidR="008D5DB3" w:rsidRPr="004135FE" w:rsidRDefault="008D5DB3" w:rsidP="004135FE">
      <w:pPr>
        <w:numPr>
          <w:ilvl w:val="1"/>
          <w:numId w:val="1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 этом году</w:t>
      </w:r>
    </w:p>
    <w:p w14:paraId="1672DD2C" w14:textId="77777777" w:rsidR="008D5DB3" w:rsidRPr="004135FE" w:rsidRDefault="008D5DB3" w:rsidP="004135FE">
      <w:pPr>
        <w:numPr>
          <w:ilvl w:val="1"/>
          <w:numId w:val="1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В прошлом году </w:t>
      </w:r>
    </w:p>
    <w:p w14:paraId="4F9BA518" w14:textId="77777777" w:rsidR="008D5DB3" w:rsidRPr="004135FE" w:rsidRDefault="008D5DB3" w:rsidP="004135FE">
      <w:pPr>
        <w:numPr>
          <w:ilvl w:val="1"/>
          <w:numId w:val="1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Когда впервые выявили диагноз</w:t>
      </w:r>
    </w:p>
    <w:p w14:paraId="211967D5" w14:textId="77777777" w:rsidR="008D5DB3" w:rsidRPr="004135FE" w:rsidRDefault="008D5DB3" w:rsidP="004135FE">
      <w:pPr>
        <w:numPr>
          <w:ilvl w:val="1"/>
          <w:numId w:val="1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посещал(а) никогда, хотя было рекомендовано медперсоналом</w:t>
      </w:r>
    </w:p>
    <w:p w14:paraId="66B10F3F" w14:textId="77777777" w:rsidR="008D5DB3" w:rsidRPr="004135FE" w:rsidRDefault="008D5DB3" w:rsidP="004135FE">
      <w:pPr>
        <w:numPr>
          <w:ilvl w:val="1"/>
          <w:numId w:val="1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знаю о школе диабета, не было рекомендовано медперсоналом</w:t>
      </w:r>
    </w:p>
    <w:p w14:paraId="504EC0F3"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Какую Школу посещали из нижерасположенных?</w:t>
      </w:r>
    </w:p>
    <w:p w14:paraId="784D1379" w14:textId="77777777" w:rsidR="008D5DB3" w:rsidRPr="004135FE" w:rsidRDefault="008D5DB3" w:rsidP="004135FE">
      <w:pPr>
        <w:numPr>
          <w:ilvl w:val="1"/>
          <w:numId w:val="2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Школа здорового образа жизни при поликлинике</w:t>
      </w:r>
    </w:p>
    <w:p w14:paraId="3FF10A0F" w14:textId="77777777" w:rsidR="008D5DB3" w:rsidRPr="004135FE" w:rsidRDefault="008D5DB3" w:rsidP="004135FE">
      <w:pPr>
        <w:numPr>
          <w:ilvl w:val="1"/>
          <w:numId w:val="2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Школу диабета при поликлинике</w:t>
      </w:r>
    </w:p>
    <w:p w14:paraId="1D1BBA18" w14:textId="77777777" w:rsidR="008D5DB3" w:rsidRPr="004135FE" w:rsidRDefault="008D5DB3" w:rsidP="004135FE">
      <w:pPr>
        <w:numPr>
          <w:ilvl w:val="1"/>
          <w:numId w:val="2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Школу диабета городскую</w:t>
      </w:r>
    </w:p>
    <w:p w14:paraId="4BBED9A0" w14:textId="77777777" w:rsidR="008D5DB3" w:rsidRPr="004135FE" w:rsidRDefault="008D5DB3" w:rsidP="004135FE">
      <w:pPr>
        <w:numPr>
          <w:ilvl w:val="1"/>
          <w:numId w:val="2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Школу диабета в стационаре при госпитализации</w:t>
      </w:r>
    </w:p>
    <w:p w14:paraId="73AF9DB9" w14:textId="77777777" w:rsidR="008D5DB3" w:rsidRPr="004135FE" w:rsidRDefault="008D5DB3" w:rsidP="004135FE">
      <w:pPr>
        <w:numPr>
          <w:ilvl w:val="1"/>
          <w:numId w:val="2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Школу диабета платно в частной клинике</w:t>
      </w:r>
    </w:p>
    <w:p w14:paraId="3342B0CD" w14:textId="77777777" w:rsidR="008D5DB3" w:rsidRPr="004135FE" w:rsidRDefault="008D5DB3" w:rsidP="004135FE">
      <w:pPr>
        <w:numPr>
          <w:ilvl w:val="1"/>
          <w:numId w:val="2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посещал(а) никогда</w:t>
      </w:r>
    </w:p>
    <w:p w14:paraId="3D7A8203"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Как менялся уровень глюкозы крови, гликолизированный гемоглобин после обучения в Школе Диабета?</w:t>
      </w:r>
    </w:p>
    <w:p w14:paraId="1FDA7001" w14:textId="77777777" w:rsidR="008D5DB3" w:rsidRPr="004135FE" w:rsidRDefault="008D5DB3" w:rsidP="004135FE">
      <w:pPr>
        <w:numPr>
          <w:ilvl w:val="0"/>
          <w:numId w:val="2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Улучшение временное</w:t>
      </w:r>
    </w:p>
    <w:p w14:paraId="1A0791B6" w14:textId="77777777" w:rsidR="008D5DB3" w:rsidRPr="004135FE" w:rsidRDefault="008D5DB3" w:rsidP="004135FE">
      <w:pPr>
        <w:numPr>
          <w:ilvl w:val="0"/>
          <w:numId w:val="2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Улучшение стабильное</w:t>
      </w:r>
    </w:p>
    <w:p w14:paraId="2F6DA133" w14:textId="77777777" w:rsidR="008D5DB3" w:rsidRPr="004135FE" w:rsidRDefault="008D5DB3" w:rsidP="004135FE">
      <w:pPr>
        <w:numPr>
          <w:ilvl w:val="0"/>
          <w:numId w:val="2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Нет изменении</w:t>
      </w:r>
    </w:p>
    <w:p w14:paraId="1BCDF034" w14:textId="77777777" w:rsidR="008D5DB3" w:rsidRPr="004135FE" w:rsidRDefault="008D5DB3" w:rsidP="004135FE">
      <w:pPr>
        <w:numPr>
          <w:ilvl w:val="0"/>
          <w:numId w:val="2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контролировал(а), нет глюкометра</w:t>
      </w:r>
    </w:p>
    <w:p w14:paraId="4684CA17" w14:textId="77777777" w:rsidR="008D5DB3" w:rsidRPr="004135FE" w:rsidRDefault="008D5DB3" w:rsidP="004135FE">
      <w:pPr>
        <w:numPr>
          <w:ilvl w:val="0"/>
          <w:numId w:val="2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контролировал(а), есть глюкометр</w:t>
      </w:r>
    </w:p>
    <w:p w14:paraId="78A3E639"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При получении лекарств по бесплатному рецепту каждый месяц, берете ли Вы консультацию и коррекцию лечения или нет необходимости?</w:t>
      </w:r>
    </w:p>
    <w:p w14:paraId="42C3FE89" w14:textId="77777777" w:rsidR="008D5DB3" w:rsidRPr="004135FE" w:rsidRDefault="008D5DB3" w:rsidP="004135FE">
      <w:pPr>
        <w:numPr>
          <w:ilvl w:val="1"/>
          <w:numId w:val="2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Веду дневник самоконтроля, показываю врачу для коррекции лечения</w:t>
      </w:r>
    </w:p>
    <w:p w14:paraId="7408A1E9" w14:textId="77777777" w:rsidR="008D5DB3" w:rsidRPr="004135FE" w:rsidRDefault="008D5DB3" w:rsidP="004135FE">
      <w:pPr>
        <w:numPr>
          <w:ilvl w:val="1"/>
          <w:numId w:val="2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веду дневник, по самочувствии прошу коррекции</w:t>
      </w:r>
    </w:p>
    <w:p w14:paraId="0A38672D" w14:textId="77777777" w:rsidR="008D5DB3" w:rsidRPr="004135FE" w:rsidRDefault="008D5DB3" w:rsidP="004135FE">
      <w:pPr>
        <w:numPr>
          <w:ilvl w:val="1"/>
          <w:numId w:val="2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Получаю лекарства, не удобно задавать лишние вопросы </w:t>
      </w:r>
    </w:p>
    <w:p w14:paraId="30DAE2D2" w14:textId="77777777" w:rsidR="008D5DB3" w:rsidRPr="004135FE" w:rsidRDefault="008D5DB3" w:rsidP="004135FE">
      <w:pPr>
        <w:numPr>
          <w:ilvl w:val="1"/>
          <w:numId w:val="22"/>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Получаю лекарства, нет необходимости отвлекать врача</w:t>
      </w:r>
    </w:p>
    <w:p w14:paraId="1D21CCCC"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 xml:space="preserve">Занимаетесь ли Вы физическими упражнениями регулярно, то есть по 30 минут каждый день или 3 часа в течение недели? </w:t>
      </w:r>
    </w:p>
    <w:p w14:paraId="34BA73F2" w14:textId="77777777" w:rsidR="008D5DB3" w:rsidRPr="004135FE" w:rsidRDefault="008D5DB3" w:rsidP="004135FE">
      <w:pPr>
        <w:numPr>
          <w:ilvl w:val="0"/>
          <w:numId w:val="34"/>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Да            </w:t>
      </w:r>
    </w:p>
    <w:p w14:paraId="6FFEC97A" w14:textId="77777777" w:rsidR="008D5DB3" w:rsidRPr="004135FE" w:rsidRDefault="008D5DB3" w:rsidP="004135FE">
      <w:pPr>
        <w:numPr>
          <w:ilvl w:val="0"/>
          <w:numId w:val="34"/>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Нет    </w:t>
      </w:r>
    </w:p>
    <w:p w14:paraId="18B9155C" w14:textId="4E25A317" w:rsidR="008D5DB3" w:rsidRPr="004135FE" w:rsidRDefault="008D5DB3" w:rsidP="004135FE">
      <w:pPr>
        <w:numPr>
          <w:ilvl w:val="0"/>
          <w:numId w:val="34"/>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Частично  </w:t>
      </w:r>
    </w:p>
    <w:p w14:paraId="0F75314F"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 xml:space="preserve">Если да, то какие виды физических нагрузок? </w:t>
      </w:r>
    </w:p>
    <w:p w14:paraId="1DF150BC" w14:textId="77777777" w:rsidR="008D5DB3" w:rsidRPr="004135FE" w:rsidRDefault="008D5DB3" w:rsidP="004135FE">
      <w:pPr>
        <w:numPr>
          <w:ilvl w:val="0"/>
          <w:numId w:val="3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Плавание</w:t>
      </w:r>
    </w:p>
    <w:p w14:paraId="4DB2F624" w14:textId="77777777" w:rsidR="008D5DB3" w:rsidRPr="004135FE" w:rsidRDefault="008D5DB3" w:rsidP="004135FE">
      <w:pPr>
        <w:numPr>
          <w:ilvl w:val="0"/>
          <w:numId w:val="3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Спортивная ходьба</w:t>
      </w:r>
    </w:p>
    <w:p w14:paraId="6599A59B" w14:textId="77777777" w:rsidR="008D5DB3" w:rsidRPr="004135FE" w:rsidRDefault="008D5DB3" w:rsidP="004135FE">
      <w:pPr>
        <w:numPr>
          <w:ilvl w:val="0"/>
          <w:numId w:val="3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Гимнастика</w:t>
      </w:r>
    </w:p>
    <w:p w14:paraId="5273260A" w14:textId="77777777" w:rsidR="008D5DB3" w:rsidRPr="004135FE" w:rsidRDefault="008D5DB3" w:rsidP="004135FE">
      <w:pPr>
        <w:numPr>
          <w:ilvl w:val="0"/>
          <w:numId w:val="3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Йога</w:t>
      </w:r>
    </w:p>
    <w:p w14:paraId="26873BB4" w14:textId="77777777" w:rsidR="008D5DB3" w:rsidRPr="004135FE" w:rsidRDefault="008D5DB3" w:rsidP="004135FE">
      <w:pPr>
        <w:numPr>
          <w:ilvl w:val="0"/>
          <w:numId w:val="3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Пилатес</w:t>
      </w:r>
    </w:p>
    <w:p w14:paraId="2D0A3BB6" w14:textId="77777777" w:rsidR="008D5DB3" w:rsidRPr="004135FE" w:rsidRDefault="008D5DB3" w:rsidP="004135FE">
      <w:pPr>
        <w:numPr>
          <w:ilvl w:val="0"/>
          <w:numId w:val="3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Танцы </w:t>
      </w:r>
    </w:p>
    <w:p w14:paraId="7CA18E5A" w14:textId="77777777" w:rsidR="008D5DB3" w:rsidRPr="004135FE" w:rsidRDefault="008D5DB3" w:rsidP="004135FE">
      <w:pPr>
        <w:tabs>
          <w:tab w:val="left" w:pos="426"/>
        </w:tabs>
        <w:spacing w:after="0" w:line="240" w:lineRule="auto"/>
        <w:jc w:val="both"/>
        <w:rPr>
          <w:rFonts w:ascii="Times New Roman" w:hAnsi="Times New Roman" w:cs="Times New Roman"/>
          <w:sz w:val="28"/>
          <w:szCs w:val="28"/>
        </w:rPr>
      </w:pPr>
    </w:p>
    <w:p w14:paraId="5CDF1FB5"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 xml:space="preserve">Если нет, то по какой причине? </w:t>
      </w:r>
    </w:p>
    <w:p w14:paraId="76D05D42" w14:textId="77777777" w:rsidR="008D5DB3" w:rsidRPr="004135FE" w:rsidRDefault="008D5DB3" w:rsidP="004135FE">
      <w:pPr>
        <w:numPr>
          <w:ilvl w:val="0"/>
          <w:numId w:val="3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Трудно купировать гипогликемию</w:t>
      </w:r>
    </w:p>
    <w:p w14:paraId="3296AC81" w14:textId="77777777" w:rsidR="008D5DB3" w:rsidRPr="004135FE" w:rsidRDefault="008D5DB3" w:rsidP="004135FE">
      <w:pPr>
        <w:numPr>
          <w:ilvl w:val="0"/>
          <w:numId w:val="3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Ортостатическая гипотензия</w:t>
      </w:r>
    </w:p>
    <w:p w14:paraId="5964B0B2" w14:textId="77777777" w:rsidR="008D5DB3" w:rsidRPr="004135FE" w:rsidRDefault="008D5DB3" w:rsidP="004135FE">
      <w:pPr>
        <w:numPr>
          <w:ilvl w:val="0"/>
          <w:numId w:val="3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Сердце не переносит нагрузок</w:t>
      </w:r>
    </w:p>
    <w:p w14:paraId="06DB82B8" w14:textId="77777777" w:rsidR="008D5DB3" w:rsidRPr="004135FE" w:rsidRDefault="008D5DB3" w:rsidP="004135FE">
      <w:pPr>
        <w:numPr>
          <w:ilvl w:val="0"/>
          <w:numId w:val="3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Дорого посещать спорт комплекс</w:t>
      </w:r>
    </w:p>
    <w:p w14:paraId="2E328F75" w14:textId="77777777" w:rsidR="008D5DB3" w:rsidRPr="004135FE" w:rsidRDefault="008D5DB3" w:rsidP="004135FE">
      <w:pPr>
        <w:numPr>
          <w:ilvl w:val="0"/>
          <w:numId w:val="3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Нет мотивации</w:t>
      </w:r>
    </w:p>
    <w:p w14:paraId="64B64156" w14:textId="77777777" w:rsidR="008D5DB3" w:rsidRPr="004135FE" w:rsidRDefault="008D5DB3" w:rsidP="004135FE">
      <w:pPr>
        <w:numPr>
          <w:ilvl w:val="0"/>
          <w:numId w:val="3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Нет причины</w:t>
      </w:r>
    </w:p>
    <w:p w14:paraId="3EF5652C" w14:textId="77777777" w:rsidR="008D5DB3" w:rsidRPr="004135FE" w:rsidRDefault="008D5DB3" w:rsidP="004135FE">
      <w:pPr>
        <w:tabs>
          <w:tab w:val="left" w:pos="426"/>
        </w:tabs>
        <w:spacing w:after="0" w:line="240" w:lineRule="auto"/>
        <w:jc w:val="both"/>
        <w:rPr>
          <w:rFonts w:ascii="Times New Roman" w:hAnsi="Times New Roman" w:cs="Times New Roman"/>
          <w:sz w:val="28"/>
          <w:szCs w:val="28"/>
        </w:rPr>
      </w:pPr>
    </w:p>
    <w:p w14:paraId="67371629" w14:textId="77777777" w:rsidR="008D5DB3" w:rsidRPr="004135FE" w:rsidRDefault="008D5DB3" w:rsidP="004135FE">
      <w:pPr>
        <w:tabs>
          <w:tab w:val="left" w:pos="426"/>
        </w:tabs>
        <w:spacing w:after="0" w:line="240" w:lineRule="auto"/>
        <w:jc w:val="both"/>
        <w:rPr>
          <w:rFonts w:ascii="Times New Roman" w:hAnsi="Times New Roman" w:cs="Times New Roman"/>
          <w:caps/>
          <w:sz w:val="28"/>
          <w:szCs w:val="28"/>
        </w:rPr>
      </w:pPr>
      <w:r w:rsidRPr="004135FE">
        <w:rPr>
          <w:rFonts w:ascii="Times New Roman" w:hAnsi="Times New Roman" w:cs="Times New Roman"/>
          <w:caps/>
          <w:sz w:val="28"/>
          <w:szCs w:val="28"/>
        </w:rPr>
        <w:t xml:space="preserve">5-раздел. Обеспеченность пациентов </w:t>
      </w:r>
    </w:p>
    <w:p w14:paraId="62C5C405"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У Вас есть глюкометр и тест полоски?</w:t>
      </w:r>
    </w:p>
    <w:p w14:paraId="57FDCF74" w14:textId="77777777" w:rsidR="008D5DB3" w:rsidRPr="004135FE" w:rsidRDefault="008D5DB3" w:rsidP="004135FE">
      <w:pPr>
        <w:numPr>
          <w:ilvl w:val="1"/>
          <w:numId w:val="23"/>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получил(а) бесплатно</w:t>
      </w:r>
    </w:p>
    <w:p w14:paraId="3F0C749A" w14:textId="77777777" w:rsidR="008D5DB3" w:rsidRPr="004135FE" w:rsidRDefault="008D5DB3" w:rsidP="004135FE">
      <w:pPr>
        <w:numPr>
          <w:ilvl w:val="1"/>
          <w:numId w:val="23"/>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сам(а) купил(а)</w:t>
      </w:r>
    </w:p>
    <w:p w14:paraId="5BE1FB28" w14:textId="77777777" w:rsidR="008D5DB3" w:rsidRPr="004135FE" w:rsidRDefault="008D5DB3" w:rsidP="004135FE">
      <w:pPr>
        <w:numPr>
          <w:ilvl w:val="1"/>
          <w:numId w:val="23"/>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нет</w:t>
      </w:r>
    </w:p>
    <w:p w14:paraId="7C5BFDB5"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Состав вашего лечения от сахарного диабета 2 типа?</w:t>
      </w:r>
    </w:p>
    <w:p w14:paraId="7020FF4A" w14:textId="77777777" w:rsidR="008D5DB3" w:rsidRPr="004135FE" w:rsidRDefault="008D5DB3" w:rsidP="004135FE">
      <w:pPr>
        <w:numPr>
          <w:ilvl w:val="1"/>
          <w:numId w:val="24"/>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На диетотерапии</w:t>
      </w:r>
    </w:p>
    <w:p w14:paraId="3CEEA182" w14:textId="77777777" w:rsidR="008D5DB3" w:rsidRPr="004135FE" w:rsidRDefault="008D5DB3" w:rsidP="004135FE">
      <w:pPr>
        <w:numPr>
          <w:ilvl w:val="1"/>
          <w:numId w:val="24"/>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1 препарат в виде таблетки</w:t>
      </w:r>
    </w:p>
    <w:p w14:paraId="29B6DA29" w14:textId="77777777" w:rsidR="008D5DB3" w:rsidRPr="004135FE" w:rsidRDefault="008D5DB3" w:rsidP="004135FE">
      <w:pPr>
        <w:numPr>
          <w:ilvl w:val="1"/>
          <w:numId w:val="24"/>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Комбинация препаратов в виде таблеток</w:t>
      </w:r>
    </w:p>
    <w:p w14:paraId="66DC19E1" w14:textId="77777777" w:rsidR="008D5DB3" w:rsidRPr="004135FE" w:rsidRDefault="008D5DB3" w:rsidP="004135FE">
      <w:pPr>
        <w:numPr>
          <w:ilvl w:val="1"/>
          <w:numId w:val="24"/>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Таблетки+инсулин</w:t>
      </w:r>
    </w:p>
    <w:p w14:paraId="24D9B56A" w14:textId="77777777" w:rsidR="008D5DB3" w:rsidRPr="004135FE" w:rsidRDefault="008D5DB3" w:rsidP="004135FE">
      <w:pPr>
        <w:numPr>
          <w:ilvl w:val="1"/>
          <w:numId w:val="24"/>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Инсулин</w:t>
      </w:r>
      <w:r w:rsidRPr="004135FE">
        <w:rPr>
          <w:rFonts w:ascii="Times New Roman" w:hAnsi="Times New Roman" w:cs="Times New Roman"/>
          <w:sz w:val="28"/>
          <w:szCs w:val="28"/>
          <w:lang w:val="kk-KZ"/>
        </w:rPr>
        <w:t>ы</w:t>
      </w:r>
      <w:r w:rsidRPr="004135FE">
        <w:rPr>
          <w:rFonts w:ascii="Times New Roman" w:hAnsi="Times New Roman" w:cs="Times New Roman"/>
          <w:sz w:val="28"/>
          <w:szCs w:val="28"/>
        </w:rPr>
        <w:t xml:space="preserve"> короткого и продленного действия</w:t>
      </w:r>
    </w:p>
    <w:p w14:paraId="6B95816D"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b/>
          <w:sz w:val="28"/>
          <w:szCs w:val="28"/>
        </w:rPr>
        <w:t>Как Вы поступите, если в аптеке поликлиники нет назначенных Вам лекарственных средств, а есть аналог, который по составу идентичен?</w:t>
      </w:r>
    </w:p>
    <w:p w14:paraId="619324A3" w14:textId="77777777" w:rsidR="008D5DB3" w:rsidRPr="004135FE" w:rsidRDefault="008D5DB3" w:rsidP="004135FE">
      <w:pPr>
        <w:numPr>
          <w:ilvl w:val="1"/>
          <w:numId w:val="2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Беру аналог</w:t>
      </w:r>
    </w:p>
    <w:p w14:paraId="64F16CBC" w14:textId="77777777" w:rsidR="008D5DB3" w:rsidRPr="004135FE" w:rsidRDefault="008D5DB3" w:rsidP="004135FE">
      <w:pPr>
        <w:numPr>
          <w:ilvl w:val="1"/>
          <w:numId w:val="2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Не беру аналог, жду свой препарат </w:t>
      </w:r>
    </w:p>
    <w:p w14:paraId="1CE55B3D" w14:textId="77777777" w:rsidR="008D5DB3" w:rsidRPr="004135FE" w:rsidRDefault="008D5DB3" w:rsidP="004135FE">
      <w:pPr>
        <w:numPr>
          <w:ilvl w:val="1"/>
          <w:numId w:val="2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беру аналог, покупаю</w:t>
      </w:r>
    </w:p>
    <w:p w14:paraId="25E9FF10" w14:textId="77777777" w:rsidR="008D5DB3" w:rsidRPr="004135FE" w:rsidRDefault="008D5DB3" w:rsidP="004135FE">
      <w:pPr>
        <w:numPr>
          <w:ilvl w:val="1"/>
          <w:numId w:val="2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Всегда покупаю лекарства</w:t>
      </w:r>
    </w:p>
    <w:p w14:paraId="7A08D235"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 xml:space="preserve"> От каких заболевании кроме диабета регулярно принимаете лекарства по бесплатному рецепту?  </w:t>
      </w:r>
    </w:p>
    <w:p w14:paraId="3F7536E3" w14:textId="77777777" w:rsidR="008D5DB3" w:rsidRPr="004135FE" w:rsidRDefault="008D5DB3" w:rsidP="004135FE">
      <w:pPr>
        <w:numPr>
          <w:ilvl w:val="0"/>
          <w:numId w:val="2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Артериальная гипертензия</w:t>
      </w:r>
    </w:p>
    <w:p w14:paraId="0EC77138" w14:textId="77777777" w:rsidR="008D5DB3" w:rsidRPr="004135FE" w:rsidRDefault="008D5DB3" w:rsidP="004135FE">
      <w:pPr>
        <w:numPr>
          <w:ilvl w:val="0"/>
          <w:numId w:val="2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Ишемическая болезнь сердца</w:t>
      </w:r>
    </w:p>
    <w:p w14:paraId="144F2127" w14:textId="77777777" w:rsidR="008D5DB3" w:rsidRPr="004135FE" w:rsidRDefault="008D5DB3" w:rsidP="004135FE">
      <w:pPr>
        <w:numPr>
          <w:ilvl w:val="0"/>
          <w:numId w:val="2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Хронические печеночные заболевания</w:t>
      </w:r>
    </w:p>
    <w:p w14:paraId="3AB7844C" w14:textId="77777777" w:rsidR="008D5DB3" w:rsidRPr="004135FE" w:rsidRDefault="008D5DB3" w:rsidP="004135FE">
      <w:pPr>
        <w:numPr>
          <w:ilvl w:val="0"/>
          <w:numId w:val="2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Глазные заболевания</w:t>
      </w:r>
    </w:p>
    <w:p w14:paraId="2D5B3B1E" w14:textId="77777777" w:rsidR="008D5DB3" w:rsidRPr="004135FE" w:rsidRDefault="008D5DB3" w:rsidP="004135FE">
      <w:pPr>
        <w:numPr>
          <w:ilvl w:val="0"/>
          <w:numId w:val="2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Неврологические заболевания</w:t>
      </w:r>
    </w:p>
    <w:p w14:paraId="1FF7A9C5" w14:textId="77777777" w:rsidR="008D5DB3" w:rsidRPr="004135FE" w:rsidRDefault="008D5DB3" w:rsidP="004135FE">
      <w:pPr>
        <w:numPr>
          <w:ilvl w:val="0"/>
          <w:numId w:val="2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Заболевания опорно- двигательной системы, суставов</w:t>
      </w:r>
    </w:p>
    <w:p w14:paraId="7B38A30F" w14:textId="77777777" w:rsidR="008D5DB3" w:rsidRPr="004135FE" w:rsidRDefault="008D5DB3" w:rsidP="004135FE">
      <w:pPr>
        <w:numPr>
          <w:ilvl w:val="0"/>
          <w:numId w:val="2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Онкологические заболевания</w:t>
      </w:r>
    </w:p>
    <w:p w14:paraId="46D47501" w14:textId="77777777" w:rsidR="008D5DB3" w:rsidRPr="004135FE" w:rsidRDefault="008D5DB3" w:rsidP="004135FE">
      <w:pPr>
        <w:tabs>
          <w:tab w:val="left" w:pos="426"/>
        </w:tabs>
        <w:spacing w:after="0" w:line="240" w:lineRule="auto"/>
        <w:jc w:val="both"/>
        <w:rPr>
          <w:rFonts w:ascii="Times New Roman" w:hAnsi="Times New Roman" w:cs="Times New Roman"/>
          <w:sz w:val="28"/>
          <w:szCs w:val="28"/>
        </w:rPr>
      </w:pPr>
    </w:p>
    <w:p w14:paraId="5F997942" w14:textId="77777777" w:rsidR="008D5DB3" w:rsidRPr="004135FE" w:rsidRDefault="008D5DB3" w:rsidP="004135FE">
      <w:pPr>
        <w:tabs>
          <w:tab w:val="left" w:pos="426"/>
        </w:tabs>
        <w:spacing w:after="0" w:line="240" w:lineRule="auto"/>
        <w:jc w:val="both"/>
        <w:rPr>
          <w:rFonts w:ascii="Times New Roman" w:hAnsi="Times New Roman" w:cs="Times New Roman"/>
          <w:caps/>
          <w:sz w:val="28"/>
          <w:szCs w:val="28"/>
        </w:rPr>
      </w:pPr>
      <w:r w:rsidRPr="004135FE">
        <w:rPr>
          <w:rFonts w:ascii="Times New Roman" w:hAnsi="Times New Roman" w:cs="Times New Roman"/>
          <w:caps/>
          <w:sz w:val="28"/>
          <w:szCs w:val="28"/>
        </w:rPr>
        <w:t>6-раздел. Психо-социальная поддержка пациентов</w:t>
      </w:r>
    </w:p>
    <w:p w14:paraId="7A628A4A" w14:textId="77777777" w:rsidR="008D5DB3" w:rsidRPr="004135FE" w:rsidRDefault="008D5DB3" w:rsidP="004135FE">
      <w:pPr>
        <w:numPr>
          <w:ilvl w:val="0"/>
          <w:numId w:val="58"/>
        </w:numPr>
        <w:tabs>
          <w:tab w:val="left" w:pos="375"/>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Как реагируют остальные члены семьи на Ваш диагноз?</w:t>
      </w:r>
    </w:p>
    <w:p w14:paraId="31602C20" w14:textId="77777777" w:rsidR="008D5DB3" w:rsidRPr="004135FE" w:rsidRDefault="008D5DB3" w:rsidP="004135FE">
      <w:pPr>
        <w:numPr>
          <w:ilvl w:val="0"/>
          <w:numId w:val="27"/>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поддерживают</w:t>
      </w:r>
    </w:p>
    <w:p w14:paraId="51898930" w14:textId="77777777" w:rsidR="008D5DB3" w:rsidRPr="004135FE" w:rsidRDefault="008D5DB3" w:rsidP="004135FE">
      <w:pPr>
        <w:numPr>
          <w:ilvl w:val="0"/>
          <w:numId w:val="27"/>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Поддерживают не всегда</w:t>
      </w:r>
    </w:p>
    <w:p w14:paraId="2460CDCE" w14:textId="77777777" w:rsidR="008D5DB3" w:rsidRPr="004135FE" w:rsidRDefault="008D5DB3" w:rsidP="004135FE">
      <w:pPr>
        <w:numPr>
          <w:ilvl w:val="0"/>
          <w:numId w:val="27"/>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Помогают контролировать сахар</w:t>
      </w:r>
    </w:p>
    <w:p w14:paraId="30C429BC" w14:textId="77777777" w:rsidR="008D5DB3" w:rsidRPr="004135FE" w:rsidRDefault="008D5DB3" w:rsidP="004135FE">
      <w:pPr>
        <w:numPr>
          <w:ilvl w:val="0"/>
          <w:numId w:val="27"/>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Вместе соблюдают здоровый образ жизни и правильное питание</w:t>
      </w:r>
    </w:p>
    <w:p w14:paraId="7081D93A" w14:textId="77777777" w:rsidR="008D5DB3" w:rsidRPr="004135FE" w:rsidRDefault="008D5DB3" w:rsidP="004135FE">
      <w:pPr>
        <w:numPr>
          <w:ilvl w:val="0"/>
          <w:numId w:val="27"/>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Помогают по быту и самоуходу</w:t>
      </w:r>
    </w:p>
    <w:p w14:paraId="40CF2690"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Кому обращаетесь за психосоциальной поддержкой, при наличии низкой приверженности лечению, обусловленного заболеванием дистресса, умеренно повышенной тревоги?</w:t>
      </w:r>
    </w:p>
    <w:p w14:paraId="66072AB1" w14:textId="77777777" w:rsidR="008D5DB3" w:rsidRPr="004135FE" w:rsidRDefault="008D5DB3" w:rsidP="004135FE">
      <w:pPr>
        <w:numPr>
          <w:ilvl w:val="1"/>
          <w:numId w:val="4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Врач эндокринолог</w:t>
      </w:r>
    </w:p>
    <w:p w14:paraId="3BFDB3F9" w14:textId="77777777" w:rsidR="008D5DB3" w:rsidRPr="004135FE" w:rsidRDefault="008D5DB3" w:rsidP="004135FE">
      <w:pPr>
        <w:numPr>
          <w:ilvl w:val="1"/>
          <w:numId w:val="4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Медсестра эндокринолога</w:t>
      </w:r>
    </w:p>
    <w:p w14:paraId="0EEE31F9" w14:textId="77777777" w:rsidR="008D5DB3" w:rsidRPr="004135FE" w:rsidRDefault="008D5DB3" w:rsidP="004135FE">
      <w:pPr>
        <w:numPr>
          <w:ilvl w:val="1"/>
          <w:numId w:val="4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Врач общей практики</w:t>
      </w:r>
    </w:p>
    <w:p w14:paraId="62FFE11E" w14:textId="77777777" w:rsidR="008D5DB3" w:rsidRPr="004135FE" w:rsidRDefault="008D5DB3" w:rsidP="004135FE">
      <w:pPr>
        <w:numPr>
          <w:ilvl w:val="1"/>
          <w:numId w:val="4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Врач психолог/психотерапевт</w:t>
      </w:r>
    </w:p>
    <w:p w14:paraId="0D6C1691" w14:textId="77777777" w:rsidR="008D5DB3" w:rsidRPr="004135FE" w:rsidRDefault="008D5DB3" w:rsidP="004135FE">
      <w:pPr>
        <w:numPr>
          <w:ilvl w:val="1"/>
          <w:numId w:val="4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Социальный работник</w:t>
      </w:r>
    </w:p>
    <w:p w14:paraId="06AA63EA" w14:textId="77777777" w:rsidR="008D5DB3" w:rsidRPr="004135FE" w:rsidRDefault="008D5DB3" w:rsidP="004135FE">
      <w:pPr>
        <w:numPr>
          <w:ilvl w:val="1"/>
          <w:numId w:val="4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Никому</w:t>
      </w:r>
    </w:p>
    <w:p w14:paraId="51C7B411" w14:textId="77777777" w:rsidR="008D5DB3" w:rsidRPr="004135FE" w:rsidRDefault="008D5DB3" w:rsidP="004135FE">
      <w:pPr>
        <w:tabs>
          <w:tab w:val="left" w:pos="375"/>
          <w:tab w:val="left" w:pos="426"/>
        </w:tabs>
        <w:spacing w:after="0" w:line="240" w:lineRule="auto"/>
        <w:jc w:val="both"/>
        <w:rPr>
          <w:rFonts w:ascii="Times New Roman" w:hAnsi="Times New Roman" w:cs="Times New Roman"/>
          <w:sz w:val="28"/>
          <w:szCs w:val="28"/>
        </w:rPr>
      </w:pPr>
    </w:p>
    <w:p w14:paraId="7553C285" w14:textId="77777777" w:rsidR="008D5DB3" w:rsidRPr="004135FE" w:rsidRDefault="008D5DB3" w:rsidP="004135FE">
      <w:pPr>
        <w:tabs>
          <w:tab w:val="left" w:pos="375"/>
          <w:tab w:val="left" w:pos="426"/>
        </w:tabs>
        <w:spacing w:after="0" w:line="240" w:lineRule="auto"/>
        <w:jc w:val="both"/>
        <w:rPr>
          <w:rFonts w:ascii="Times New Roman" w:hAnsi="Times New Roman" w:cs="Times New Roman"/>
          <w:caps/>
          <w:sz w:val="28"/>
          <w:szCs w:val="28"/>
        </w:rPr>
      </w:pPr>
      <w:r w:rsidRPr="004135FE">
        <w:rPr>
          <w:rFonts w:ascii="Times New Roman" w:hAnsi="Times New Roman" w:cs="Times New Roman"/>
          <w:sz w:val="28"/>
          <w:szCs w:val="28"/>
        </w:rPr>
        <w:t>7</w:t>
      </w:r>
      <w:r w:rsidRPr="004135FE">
        <w:rPr>
          <w:rFonts w:ascii="Times New Roman" w:hAnsi="Times New Roman" w:cs="Times New Roman"/>
          <w:caps/>
          <w:sz w:val="28"/>
          <w:szCs w:val="28"/>
        </w:rPr>
        <w:t xml:space="preserve">-раздел. </w:t>
      </w:r>
      <w:r w:rsidRPr="004135FE">
        <w:rPr>
          <w:rFonts w:ascii="Times New Roman" w:hAnsi="Times New Roman" w:cs="Times New Roman"/>
          <w:sz w:val="28"/>
          <w:szCs w:val="28"/>
        </w:rPr>
        <w:t>В</w:t>
      </w:r>
      <w:r w:rsidRPr="004135FE">
        <w:rPr>
          <w:rFonts w:ascii="Times New Roman" w:hAnsi="Times New Roman" w:cs="Times New Roman"/>
          <w:caps/>
          <w:sz w:val="28"/>
          <w:szCs w:val="28"/>
        </w:rPr>
        <w:t xml:space="preserve">лияние карантина по Коронавирусной инфекции на общее состояние </w:t>
      </w:r>
    </w:p>
    <w:p w14:paraId="0A3DC11A" w14:textId="77777777" w:rsidR="008D5DB3" w:rsidRPr="004135FE" w:rsidRDefault="008D5DB3" w:rsidP="004135FE">
      <w:pPr>
        <w:numPr>
          <w:ilvl w:val="0"/>
          <w:numId w:val="58"/>
        </w:numPr>
        <w:tabs>
          <w:tab w:val="left" w:pos="375"/>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Во время карантина какие были трудности при получении медицинских услуг?</w:t>
      </w:r>
    </w:p>
    <w:p w14:paraId="7E25B924" w14:textId="77777777" w:rsidR="008D5DB3" w:rsidRPr="004135FE" w:rsidRDefault="008D5DB3" w:rsidP="004135FE">
      <w:pPr>
        <w:numPr>
          <w:ilvl w:val="0"/>
          <w:numId w:val="28"/>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было трудностей</w:t>
      </w:r>
    </w:p>
    <w:p w14:paraId="083C8AD9" w14:textId="77777777" w:rsidR="008D5DB3" w:rsidRPr="004135FE" w:rsidRDefault="008D5DB3" w:rsidP="004135FE">
      <w:pPr>
        <w:numPr>
          <w:ilvl w:val="0"/>
          <w:numId w:val="28"/>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Пропустила очередную консультацию, с целью избегания мест скопления людей</w:t>
      </w:r>
    </w:p>
    <w:p w14:paraId="15A7688C" w14:textId="77777777" w:rsidR="008D5DB3" w:rsidRPr="004135FE" w:rsidRDefault="008D5DB3" w:rsidP="004135FE">
      <w:pPr>
        <w:numPr>
          <w:ilvl w:val="0"/>
          <w:numId w:val="28"/>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Дома закончились лекарственные средства во время комендантского часа</w:t>
      </w:r>
    </w:p>
    <w:p w14:paraId="281A5F21" w14:textId="77777777" w:rsidR="008D5DB3" w:rsidRPr="004135FE" w:rsidRDefault="008D5DB3" w:rsidP="004135FE">
      <w:pPr>
        <w:numPr>
          <w:ilvl w:val="0"/>
          <w:numId w:val="58"/>
        </w:numPr>
        <w:tabs>
          <w:tab w:val="left" w:pos="375"/>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Были ли предложения о доставке с поликлиники на дом лекарственных препаратов во время карантина?</w:t>
      </w:r>
    </w:p>
    <w:p w14:paraId="16C03DAC" w14:textId="77777777" w:rsidR="008D5DB3" w:rsidRPr="004135FE" w:rsidRDefault="008D5DB3" w:rsidP="004135FE">
      <w:pPr>
        <w:numPr>
          <w:ilvl w:val="0"/>
          <w:numId w:val="29"/>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w:t>
      </w:r>
    </w:p>
    <w:p w14:paraId="680AAA4D" w14:textId="77777777" w:rsidR="008D5DB3" w:rsidRPr="004135FE" w:rsidRDefault="008D5DB3" w:rsidP="004135FE">
      <w:pPr>
        <w:numPr>
          <w:ilvl w:val="0"/>
          <w:numId w:val="29"/>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Нет</w:t>
      </w:r>
    </w:p>
    <w:p w14:paraId="7C343C5D" w14:textId="77777777" w:rsidR="008D5DB3" w:rsidRPr="004135FE" w:rsidRDefault="008D5DB3" w:rsidP="004135FE">
      <w:pPr>
        <w:numPr>
          <w:ilvl w:val="0"/>
          <w:numId w:val="29"/>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Нет необходимости</w:t>
      </w:r>
    </w:p>
    <w:p w14:paraId="49AB4E5A" w14:textId="77777777" w:rsidR="008D5DB3" w:rsidRPr="004135FE" w:rsidRDefault="008D5DB3" w:rsidP="004135FE">
      <w:pPr>
        <w:numPr>
          <w:ilvl w:val="0"/>
          <w:numId w:val="58"/>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b/>
          <w:sz w:val="28"/>
          <w:szCs w:val="28"/>
        </w:rPr>
        <w:t>Какие были у вас ухудшения эмоционального состояния во время карантина?</w:t>
      </w:r>
    </w:p>
    <w:p w14:paraId="4BE9A5A4" w14:textId="77777777" w:rsidR="008D5DB3" w:rsidRPr="004135FE" w:rsidRDefault="008D5DB3" w:rsidP="004135FE">
      <w:pPr>
        <w:numPr>
          <w:ilvl w:val="0"/>
          <w:numId w:val="30"/>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Нет, не было</w:t>
      </w:r>
    </w:p>
    <w:p w14:paraId="5D846156" w14:textId="77777777" w:rsidR="008D5DB3" w:rsidRPr="004135FE" w:rsidRDefault="008D5DB3" w:rsidP="004135FE">
      <w:pPr>
        <w:numPr>
          <w:ilvl w:val="0"/>
          <w:numId w:val="30"/>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Уровень сахара был неконтролируемым из-за стресса</w:t>
      </w:r>
    </w:p>
    <w:p w14:paraId="3A971B80" w14:textId="77777777" w:rsidR="008D5DB3" w:rsidRPr="004135FE" w:rsidRDefault="008D5DB3" w:rsidP="004135FE">
      <w:pPr>
        <w:numPr>
          <w:ilvl w:val="0"/>
          <w:numId w:val="30"/>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знал(а), как себя вести при новых обстоятельствах</w:t>
      </w:r>
    </w:p>
    <w:p w14:paraId="5206CF9F" w14:textId="77777777" w:rsidR="008D5DB3" w:rsidRPr="004135FE" w:rsidRDefault="008D5DB3" w:rsidP="004135FE">
      <w:pPr>
        <w:numPr>
          <w:ilvl w:val="0"/>
          <w:numId w:val="30"/>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Участились семейные ссоры, недопонимания</w:t>
      </w:r>
    </w:p>
    <w:p w14:paraId="6A57E398" w14:textId="77777777" w:rsidR="008D5DB3" w:rsidRPr="004135FE" w:rsidRDefault="008D5DB3" w:rsidP="004135FE">
      <w:pPr>
        <w:numPr>
          <w:ilvl w:val="0"/>
          <w:numId w:val="30"/>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Переедал(а) из-за страха снижения иммунитета</w:t>
      </w:r>
    </w:p>
    <w:p w14:paraId="058C236B" w14:textId="77777777" w:rsidR="008D5DB3" w:rsidRPr="004135FE" w:rsidRDefault="008D5DB3" w:rsidP="004135FE">
      <w:pPr>
        <w:numPr>
          <w:ilvl w:val="0"/>
          <w:numId w:val="58"/>
        </w:numPr>
        <w:tabs>
          <w:tab w:val="left" w:pos="375"/>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Какие были у вас ухудшения физического состояния во время карантина?</w:t>
      </w:r>
    </w:p>
    <w:p w14:paraId="6C3776B7" w14:textId="77777777" w:rsidR="008D5DB3" w:rsidRPr="004135FE" w:rsidRDefault="008D5DB3" w:rsidP="004135FE">
      <w:pPr>
        <w:numPr>
          <w:ilvl w:val="0"/>
          <w:numId w:val="31"/>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Нет, не было</w:t>
      </w:r>
    </w:p>
    <w:p w14:paraId="26D24930" w14:textId="77777777" w:rsidR="008D5DB3" w:rsidRPr="004135FE" w:rsidRDefault="008D5DB3" w:rsidP="004135FE">
      <w:pPr>
        <w:numPr>
          <w:ilvl w:val="0"/>
          <w:numId w:val="31"/>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Обострение сопутствующих заболеваний</w:t>
      </w:r>
    </w:p>
    <w:p w14:paraId="6C4E6FE8" w14:textId="77777777" w:rsidR="008D5DB3" w:rsidRPr="004135FE" w:rsidRDefault="008D5DB3" w:rsidP="004135FE">
      <w:pPr>
        <w:numPr>
          <w:ilvl w:val="0"/>
          <w:numId w:val="31"/>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Нарушение диеты, так как не всегда были доступны свежие и необходимые продукты</w:t>
      </w:r>
    </w:p>
    <w:p w14:paraId="1827FD56" w14:textId="77777777" w:rsidR="008D5DB3" w:rsidRPr="004135FE" w:rsidRDefault="008D5DB3" w:rsidP="004135FE">
      <w:pPr>
        <w:numPr>
          <w:ilvl w:val="0"/>
          <w:numId w:val="31"/>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Снижение физической активности</w:t>
      </w:r>
    </w:p>
    <w:p w14:paraId="0230ED23" w14:textId="77777777" w:rsidR="008D5DB3" w:rsidRPr="004135FE" w:rsidRDefault="008D5DB3" w:rsidP="004135FE">
      <w:pPr>
        <w:numPr>
          <w:ilvl w:val="0"/>
          <w:numId w:val="58"/>
        </w:numPr>
        <w:tabs>
          <w:tab w:val="left" w:pos="375"/>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Какие организации оказывали моральные или материальные поддержки во время карантина по коронавирусной инфекции?</w:t>
      </w:r>
    </w:p>
    <w:p w14:paraId="2A060E0A" w14:textId="77777777" w:rsidR="008D5DB3" w:rsidRPr="004135FE" w:rsidRDefault="008D5DB3" w:rsidP="004135FE">
      <w:pPr>
        <w:numPr>
          <w:ilvl w:val="0"/>
          <w:numId w:val="32"/>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lang w:val="en-US"/>
        </w:rPr>
        <w:t>CALL</w:t>
      </w:r>
      <w:r w:rsidRPr="004135FE">
        <w:rPr>
          <w:rFonts w:ascii="Times New Roman" w:hAnsi="Times New Roman" w:cs="Times New Roman"/>
          <w:sz w:val="28"/>
          <w:szCs w:val="28"/>
        </w:rPr>
        <w:t>-центры</w:t>
      </w:r>
    </w:p>
    <w:p w14:paraId="45556390" w14:textId="77777777" w:rsidR="008D5DB3" w:rsidRPr="004135FE" w:rsidRDefault="008D5DB3" w:rsidP="004135FE">
      <w:pPr>
        <w:numPr>
          <w:ilvl w:val="0"/>
          <w:numId w:val="32"/>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Нур-Отан</w:t>
      </w:r>
    </w:p>
    <w:p w14:paraId="77D95231" w14:textId="77777777" w:rsidR="008D5DB3" w:rsidRPr="004135FE" w:rsidRDefault="008D5DB3" w:rsidP="004135FE">
      <w:pPr>
        <w:numPr>
          <w:ilvl w:val="0"/>
          <w:numId w:val="32"/>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Красный полумесяц Казахстана</w:t>
      </w:r>
    </w:p>
    <w:p w14:paraId="67331B8F" w14:textId="77777777" w:rsidR="008D5DB3" w:rsidRPr="004135FE" w:rsidRDefault="008D5DB3" w:rsidP="004135FE">
      <w:pPr>
        <w:numPr>
          <w:ilvl w:val="0"/>
          <w:numId w:val="32"/>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Родственники</w:t>
      </w:r>
    </w:p>
    <w:p w14:paraId="2EB51D3C" w14:textId="77777777" w:rsidR="008D5DB3" w:rsidRPr="004135FE" w:rsidRDefault="008D5DB3" w:rsidP="004135FE">
      <w:pPr>
        <w:numPr>
          <w:ilvl w:val="0"/>
          <w:numId w:val="32"/>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Диабетическая ассоциация Республики Казахстан</w:t>
      </w:r>
    </w:p>
    <w:p w14:paraId="752F49EE" w14:textId="77777777" w:rsidR="008D5DB3" w:rsidRPr="004135FE" w:rsidRDefault="008D5DB3" w:rsidP="004135FE">
      <w:pPr>
        <w:numPr>
          <w:ilvl w:val="0"/>
          <w:numId w:val="32"/>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Алматинское городское общество инвалидов </w:t>
      </w:r>
    </w:p>
    <w:p w14:paraId="32342613" w14:textId="77777777" w:rsidR="008D5DB3" w:rsidRPr="004135FE" w:rsidRDefault="008D5DB3" w:rsidP="004135FE">
      <w:pPr>
        <w:numPr>
          <w:ilvl w:val="0"/>
          <w:numId w:val="32"/>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Городская поликлиника</w:t>
      </w:r>
    </w:p>
    <w:p w14:paraId="15A56F10" w14:textId="77777777" w:rsidR="008D5DB3" w:rsidRPr="004135FE" w:rsidRDefault="008D5DB3" w:rsidP="004135FE">
      <w:pPr>
        <w:numPr>
          <w:ilvl w:val="0"/>
          <w:numId w:val="32"/>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Районный акимат</w:t>
      </w:r>
    </w:p>
    <w:p w14:paraId="06A26938" w14:textId="77777777" w:rsidR="008D5DB3" w:rsidRPr="004135FE" w:rsidRDefault="008D5DB3" w:rsidP="004135FE">
      <w:pPr>
        <w:numPr>
          <w:ilvl w:val="0"/>
          <w:numId w:val="32"/>
        </w:numPr>
        <w:tabs>
          <w:tab w:val="left" w:pos="375"/>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было ни кем оказаны поддержки</w:t>
      </w:r>
    </w:p>
    <w:p w14:paraId="1FAB49DC" w14:textId="77777777" w:rsidR="008D5DB3" w:rsidRPr="004135FE" w:rsidRDefault="008D5DB3" w:rsidP="004135FE">
      <w:pPr>
        <w:tabs>
          <w:tab w:val="left" w:pos="375"/>
          <w:tab w:val="left" w:pos="426"/>
        </w:tabs>
        <w:spacing w:after="0" w:line="240" w:lineRule="auto"/>
        <w:jc w:val="both"/>
        <w:rPr>
          <w:rFonts w:ascii="Times New Roman" w:hAnsi="Times New Roman" w:cs="Times New Roman"/>
          <w:sz w:val="28"/>
          <w:szCs w:val="28"/>
        </w:rPr>
      </w:pPr>
    </w:p>
    <w:p w14:paraId="093D3F76" w14:textId="77777777" w:rsidR="008D5DB3" w:rsidRPr="004135FE" w:rsidRDefault="008D5DB3" w:rsidP="004135FE">
      <w:pPr>
        <w:tabs>
          <w:tab w:val="left" w:pos="375"/>
          <w:tab w:val="left" w:pos="426"/>
        </w:tabs>
        <w:spacing w:after="0" w:line="240" w:lineRule="auto"/>
        <w:jc w:val="both"/>
        <w:rPr>
          <w:rFonts w:ascii="Times New Roman" w:hAnsi="Times New Roman" w:cs="Times New Roman"/>
          <w:caps/>
          <w:sz w:val="28"/>
          <w:szCs w:val="28"/>
        </w:rPr>
      </w:pPr>
      <w:r w:rsidRPr="004135FE">
        <w:rPr>
          <w:rFonts w:ascii="Times New Roman" w:hAnsi="Times New Roman" w:cs="Times New Roman"/>
          <w:caps/>
          <w:sz w:val="28"/>
          <w:szCs w:val="28"/>
        </w:rPr>
        <w:t>8-раздел. Влияние социальных и экономических детерминант на здоровье</w:t>
      </w:r>
    </w:p>
    <w:p w14:paraId="72FDFEFB" w14:textId="77777777" w:rsidR="008D5DB3" w:rsidRPr="004135FE" w:rsidRDefault="008D5DB3" w:rsidP="004135FE">
      <w:pPr>
        <w:numPr>
          <w:ilvl w:val="0"/>
          <w:numId w:val="58"/>
        </w:numPr>
        <w:tabs>
          <w:tab w:val="left" w:pos="375"/>
          <w:tab w:val="left" w:pos="426"/>
        </w:tabs>
        <w:spacing w:after="0" w:line="240" w:lineRule="auto"/>
        <w:ind w:left="0" w:firstLine="0"/>
        <w:jc w:val="both"/>
        <w:rPr>
          <w:rFonts w:ascii="Times New Roman" w:eastAsia="Times New Roman" w:hAnsi="Times New Roman" w:cs="Times New Roman"/>
          <w:sz w:val="28"/>
          <w:szCs w:val="28"/>
        </w:rPr>
      </w:pPr>
      <w:r w:rsidRPr="004135FE">
        <w:rPr>
          <w:rFonts w:ascii="Times New Roman" w:eastAsia="Times New Roman" w:hAnsi="Times New Roman" w:cs="Times New Roman"/>
          <w:b/>
          <w:sz w:val="28"/>
          <w:szCs w:val="28"/>
        </w:rPr>
        <w:t xml:space="preserve">Какие проблемы испытываете в доме от внешних факторов среды обитания, в котором вы живете? </w:t>
      </w:r>
    </w:p>
    <w:p w14:paraId="152BD65A" w14:textId="77777777" w:rsidR="008D5DB3" w:rsidRPr="004135FE" w:rsidRDefault="008D5DB3" w:rsidP="004135FE">
      <w:pPr>
        <w:numPr>
          <w:ilvl w:val="0"/>
          <w:numId w:val="38"/>
        </w:numPr>
        <w:tabs>
          <w:tab w:val="left" w:pos="375"/>
          <w:tab w:val="left" w:pos="426"/>
        </w:tabs>
        <w:spacing w:after="0" w:line="240" w:lineRule="auto"/>
        <w:ind w:left="0" w:firstLine="0"/>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Шум от соседей </w:t>
      </w:r>
    </w:p>
    <w:p w14:paraId="4DCAF537" w14:textId="77777777" w:rsidR="008D5DB3" w:rsidRPr="004135FE" w:rsidRDefault="008D5DB3" w:rsidP="004135FE">
      <w:pPr>
        <w:numPr>
          <w:ilvl w:val="0"/>
          <w:numId w:val="38"/>
        </w:numPr>
        <w:tabs>
          <w:tab w:val="left" w:pos="375"/>
          <w:tab w:val="left" w:pos="426"/>
        </w:tabs>
        <w:spacing w:after="0" w:line="240" w:lineRule="auto"/>
        <w:ind w:left="0" w:firstLine="0"/>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Шум с улицы (дорожное движение, предприятия, заводы, общепит)</w:t>
      </w:r>
    </w:p>
    <w:p w14:paraId="7E2E137F" w14:textId="77777777" w:rsidR="008D5DB3" w:rsidRPr="004135FE" w:rsidRDefault="008D5DB3" w:rsidP="004135FE">
      <w:pPr>
        <w:numPr>
          <w:ilvl w:val="0"/>
          <w:numId w:val="38"/>
        </w:numPr>
        <w:tabs>
          <w:tab w:val="left" w:pos="375"/>
          <w:tab w:val="left" w:pos="426"/>
        </w:tabs>
        <w:spacing w:after="0" w:line="240" w:lineRule="auto"/>
        <w:ind w:left="0" w:firstLine="0"/>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Специфический запах, при котором не возможен доступ к свежему воздуху</w:t>
      </w:r>
    </w:p>
    <w:p w14:paraId="48AEEB25" w14:textId="77777777" w:rsidR="008D5DB3" w:rsidRPr="004135FE" w:rsidRDefault="008D5DB3" w:rsidP="004135FE">
      <w:pPr>
        <w:numPr>
          <w:ilvl w:val="0"/>
          <w:numId w:val="38"/>
        </w:numPr>
        <w:tabs>
          <w:tab w:val="left" w:pos="375"/>
          <w:tab w:val="left" w:pos="426"/>
        </w:tabs>
        <w:spacing w:after="0" w:line="240" w:lineRule="auto"/>
        <w:ind w:left="0" w:firstLine="0"/>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Запах еды от ближайшего общепита имеет соблазн на нарушение диеты</w:t>
      </w:r>
    </w:p>
    <w:p w14:paraId="797FB597" w14:textId="77777777" w:rsidR="008D5DB3" w:rsidRPr="004135FE" w:rsidRDefault="008D5DB3" w:rsidP="004135FE">
      <w:pPr>
        <w:numPr>
          <w:ilvl w:val="0"/>
          <w:numId w:val="38"/>
        </w:numPr>
        <w:tabs>
          <w:tab w:val="left" w:pos="375"/>
          <w:tab w:val="left" w:pos="426"/>
        </w:tabs>
        <w:spacing w:after="0" w:line="240" w:lineRule="auto"/>
        <w:ind w:left="0" w:firstLine="0"/>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Сильное освещение от соседней организации</w:t>
      </w:r>
    </w:p>
    <w:p w14:paraId="3366692D" w14:textId="77777777" w:rsidR="008D5DB3" w:rsidRPr="004135FE" w:rsidRDefault="008D5DB3" w:rsidP="004135FE">
      <w:pPr>
        <w:numPr>
          <w:ilvl w:val="0"/>
          <w:numId w:val="38"/>
        </w:numPr>
        <w:tabs>
          <w:tab w:val="left" w:pos="375"/>
          <w:tab w:val="left" w:pos="426"/>
        </w:tabs>
        <w:spacing w:after="0" w:line="240" w:lineRule="auto"/>
        <w:ind w:left="0" w:firstLine="0"/>
        <w:jc w:val="both"/>
        <w:rPr>
          <w:rFonts w:ascii="Times New Roman" w:eastAsia="Times New Roman" w:hAnsi="Times New Roman" w:cs="Times New Roman"/>
          <w:sz w:val="28"/>
          <w:szCs w:val="28"/>
        </w:rPr>
      </w:pPr>
      <w:r w:rsidRPr="004135FE">
        <w:rPr>
          <w:rFonts w:ascii="Times New Roman" w:eastAsia="Times New Roman" w:hAnsi="Times New Roman" w:cs="Times New Roman"/>
          <w:sz w:val="28"/>
          <w:szCs w:val="28"/>
        </w:rPr>
        <w:t xml:space="preserve">Беспризорные собаки и кошки, которые могут быть источниками шума и инфекции </w:t>
      </w:r>
    </w:p>
    <w:p w14:paraId="27F4A902"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 xml:space="preserve">Как часто Вы едите овощи? </w:t>
      </w:r>
    </w:p>
    <w:p w14:paraId="70047516" w14:textId="77777777" w:rsidR="008D5DB3" w:rsidRPr="004135FE" w:rsidRDefault="008D5DB3" w:rsidP="004135FE">
      <w:pPr>
        <w:numPr>
          <w:ilvl w:val="0"/>
          <w:numId w:val="33"/>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Каждый день          </w:t>
      </w:r>
    </w:p>
    <w:p w14:paraId="760CB224" w14:textId="77777777" w:rsidR="008D5DB3" w:rsidRPr="004135FE" w:rsidRDefault="008D5DB3" w:rsidP="004135FE">
      <w:pPr>
        <w:numPr>
          <w:ilvl w:val="0"/>
          <w:numId w:val="33"/>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Не каждый день    </w:t>
      </w:r>
    </w:p>
    <w:p w14:paraId="0A68006C"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 xml:space="preserve">Как часто Вы едите фрукты или ягоды? </w:t>
      </w:r>
    </w:p>
    <w:p w14:paraId="52E4E807" w14:textId="77777777" w:rsidR="008D5DB3" w:rsidRPr="004135FE" w:rsidRDefault="008D5DB3" w:rsidP="004135FE">
      <w:pPr>
        <w:numPr>
          <w:ilvl w:val="0"/>
          <w:numId w:val="3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Каждый день          </w:t>
      </w:r>
    </w:p>
    <w:p w14:paraId="32A6489C" w14:textId="77777777" w:rsidR="008D5DB3" w:rsidRPr="004135FE" w:rsidRDefault="008D5DB3" w:rsidP="004135FE">
      <w:pPr>
        <w:numPr>
          <w:ilvl w:val="0"/>
          <w:numId w:val="3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Не каждый день    </w:t>
      </w:r>
    </w:p>
    <w:p w14:paraId="303C4A03" w14:textId="77777777" w:rsidR="008D5DB3" w:rsidRPr="004135FE" w:rsidRDefault="008D5DB3" w:rsidP="004135FE">
      <w:pPr>
        <w:numPr>
          <w:ilvl w:val="0"/>
          <w:numId w:val="3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употребляю в пищу</w:t>
      </w:r>
    </w:p>
    <w:p w14:paraId="7CC45A7B"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 xml:space="preserve">Сколько сигарет в день Вы курите? </w:t>
      </w:r>
    </w:p>
    <w:p w14:paraId="13D00DDB" w14:textId="77777777" w:rsidR="008D5DB3" w:rsidRPr="004135FE" w:rsidRDefault="008D5DB3" w:rsidP="004135FE">
      <w:pPr>
        <w:numPr>
          <w:ilvl w:val="0"/>
          <w:numId w:val="53"/>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 xml:space="preserve">3-5 штук </w:t>
      </w:r>
    </w:p>
    <w:p w14:paraId="2FB05710" w14:textId="77777777" w:rsidR="008D5DB3" w:rsidRPr="004135FE" w:rsidRDefault="008D5DB3" w:rsidP="004135FE">
      <w:pPr>
        <w:numPr>
          <w:ilvl w:val="0"/>
          <w:numId w:val="53"/>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Менее 1 пачки</w:t>
      </w:r>
    </w:p>
    <w:p w14:paraId="1B08C5C0" w14:textId="77777777" w:rsidR="008D5DB3" w:rsidRPr="004135FE" w:rsidRDefault="008D5DB3" w:rsidP="004135FE">
      <w:pPr>
        <w:numPr>
          <w:ilvl w:val="0"/>
          <w:numId w:val="53"/>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Более 1 пачки</w:t>
      </w:r>
    </w:p>
    <w:p w14:paraId="3A970E6C" w14:textId="77777777" w:rsidR="008D5DB3" w:rsidRPr="004135FE" w:rsidRDefault="008D5DB3" w:rsidP="004135FE">
      <w:pPr>
        <w:numPr>
          <w:ilvl w:val="0"/>
          <w:numId w:val="53"/>
        </w:numPr>
        <w:tabs>
          <w:tab w:val="left" w:pos="426"/>
        </w:tabs>
        <w:spacing w:after="0" w:line="240" w:lineRule="auto"/>
        <w:ind w:left="0" w:firstLine="0"/>
        <w:jc w:val="both"/>
        <w:rPr>
          <w:rFonts w:ascii="Times New Roman" w:hAnsi="Times New Roman" w:cs="Times New Roman"/>
          <w:b/>
          <w:sz w:val="28"/>
          <w:szCs w:val="28"/>
          <w:lang w:val="kk-KZ"/>
        </w:rPr>
      </w:pPr>
      <w:r w:rsidRPr="004135FE">
        <w:rPr>
          <w:rFonts w:ascii="Times New Roman" w:hAnsi="Times New Roman" w:cs="Times New Roman"/>
          <w:sz w:val="28"/>
          <w:szCs w:val="28"/>
          <w:lang w:val="kk-KZ"/>
        </w:rPr>
        <w:t>Не курю</w:t>
      </w:r>
    </w:p>
    <w:p w14:paraId="3BA5904A"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Как часто Вы употребляете алкогольные напитки?</w:t>
      </w:r>
    </w:p>
    <w:p w14:paraId="599D4A16" w14:textId="77777777" w:rsidR="008D5DB3" w:rsidRPr="004135FE" w:rsidRDefault="008D5DB3" w:rsidP="004135FE">
      <w:pPr>
        <w:numPr>
          <w:ilvl w:val="0"/>
          <w:numId w:val="54"/>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Редко</w:t>
      </w:r>
    </w:p>
    <w:p w14:paraId="02301AB8" w14:textId="77777777" w:rsidR="008D5DB3" w:rsidRPr="004135FE" w:rsidRDefault="008D5DB3" w:rsidP="004135FE">
      <w:pPr>
        <w:numPr>
          <w:ilvl w:val="0"/>
          <w:numId w:val="54"/>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Около 2 раз в неделю</w:t>
      </w:r>
    </w:p>
    <w:p w14:paraId="0A7DA777" w14:textId="77777777" w:rsidR="008D5DB3" w:rsidRPr="004135FE" w:rsidRDefault="008D5DB3" w:rsidP="004135FE">
      <w:pPr>
        <w:numPr>
          <w:ilvl w:val="0"/>
          <w:numId w:val="54"/>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Ежедневно</w:t>
      </w:r>
    </w:p>
    <w:p w14:paraId="118E3091" w14:textId="77777777" w:rsidR="008D5DB3" w:rsidRPr="004135FE" w:rsidRDefault="008D5DB3" w:rsidP="004135FE">
      <w:pPr>
        <w:numPr>
          <w:ilvl w:val="0"/>
          <w:numId w:val="54"/>
        </w:numPr>
        <w:tabs>
          <w:tab w:val="left" w:pos="426"/>
        </w:tabs>
        <w:spacing w:after="0" w:line="240" w:lineRule="auto"/>
        <w:ind w:left="0" w:firstLine="0"/>
        <w:jc w:val="both"/>
        <w:rPr>
          <w:rFonts w:ascii="Times New Roman" w:hAnsi="Times New Roman" w:cs="Times New Roman"/>
          <w:b/>
          <w:sz w:val="28"/>
          <w:szCs w:val="28"/>
          <w:lang w:val="kk-KZ"/>
        </w:rPr>
      </w:pPr>
      <w:r w:rsidRPr="004135FE">
        <w:rPr>
          <w:rFonts w:ascii="Times New Roman" w:hAnsi="Times New Roman" w:cs="Times New Roman"/>
          <w:sz w:val="28"/>
          <w:szCs w:val="28"/>
          <w:lang w:val="kk-KZ"/>
        </w:rPr>
        <w:t>Не употребляю</w:t>
      </w:r>
    </w:p>
    <w:p w14:paraId="239783E7"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Обычно где занимаетесь физической активностью?</w:t>
      </w:r>
    </w:p>
    <w:p w14:paraId="06AC08CE" w14:textId="77777777" w:rsidR="008D5DB3" w:rsidRPr="004135FE" w:rsidRDefault="008D5DB3" w:rsidP="004135FE">
      <w:pPr>
        <w:numPr>
          <w:ilvl w:val="0"/>
          <w:numId w:val="4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занимаюсь</w:t>
      </w:r>
    </w:p>
    <w:p w14:paraId="10DA746F" w14:textId="77777777" w:rsidR="008D5DB3" w:rsidRPr="004135FE" w:rsidRDefault="008D5DB3" w:rsidP="004135FE">
      <w:pPr>
        <w:numPr>
          <w:ilvl w:val="0"/>
          <w:numId w:val="4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Дома</w:t>
      </w:r>
    </w:p>
    <w:p w14:paraId="27B17AE3" w14:textId="77777777" w:rsidR="008D5DB3" w:rsidRPr="004135FE" w:rsidRDefault="008D5DB3" w:rsidP="004135FE">
      <w:pPr>
        <w:numPr>
          <w:ilvl w:val="0"/>
          <w:numId w:val="4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Во дворе</w:t>
      </w:r>
    </w:p>
    <w:p w14:paraId="5EC42D45" w14:textId="77777777" w:rsidR="008D5DB3" w:rsidRPr="004135FE" w:rsidRDefault="008D5DB3" w:rsidP="004135FE">
      <w:pPr>
        <w:numPr>
          <w:ilvl w:val="0"/>
          <w:numId w:val="4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 спорт комплексе платно</w:t>
      </w:r>
    </w:p>
    <w:p w14:paraId="2709873F" w14:textId="77777777" w:rsidR="008D5DB3" w:rsidRPr="004135FE" w:rsidRDefault="008D5DB3" w:rsidP="004135FE">
      <w:pPr>
        <w:numPr>
          <w:ilvl w:val="0"/>
          <w:numId w:val="4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 спорт площадке бесплатно</w:t>
      </w:r>
    </w:p>
    <w:p w14:paraId="33964F82" w14:textId="77777777" w:rsidR="008D5DB3" w:rsidRPr="004135FE" w:rsidRDefault="008D5DB3" w:rsidP="004135FE">
      <w:pPr>
        <w:tabs>
          <w:tab w:val="left" w:pos="426"/>
        </w:tabs>
        <w:spacing w:after="0" w:line="240" w:lineRule="auto"/>
        <w:jc w:val="both"/>
        <w:rPr>
          <w:rFonts w:ascii="Times New Roman" w:hAnsi="Times New Roman" w:cs="Times New Roman"/>
          <w:sz w:val="28"/>
          <w:szCs w:val="28"/>
        </w:rPr>
      </w:pPr>
    </w:p>
    <w:p w14:paraId="2874FCFA" w14:textId="77777777" w:rsidR="008D5DB3" w:rsidRPr="004135FE" w:rsidRDefault="008D5DB3" w:rsidP="004135FE">
      <w:pPr>
        <w:tabs>
          <w:tab w:val="left" w:pos="426"/>
        </w:tabs>
        <w:spacing w:after="0" w:line="240" w:lineRule="auto"/>
        <w:jc w:val="both"/>
        <w:rPr>
          <w:rFonts w:ascii="Times New Roman" w:hAnsi="Times New Roman" w:cs="Times New Roman"/>
          <w:caps/>
          <w:sz w:val="28"/>
          <w:szCs w:val="28"/>
        </w:rPr>
      </w:pPr>
      <w:r w:rsidRPr="004135FE">
        <w:rPr>
          <w:rFonts w:ascii="Times New Roman" w:hAnsi="Times New Roman" w:cs="Times New Roman"/>
          <w:caps/>
          <w:sz w:val="28"/>
          <w:szCs w:val="28"/>
        </w:rPr>
        <w:t>Мнение и данные по репродуктивному потенциалу женщин  и мужчин фертильного возраста</w:t>
      </w:r>
    </w:p>
    <w:p w14:paraId="19A63768"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Сколько детей имеете?</w:t>
      </w:r>
    </w:p>
    <w:p w14:paraId="18A84DED" w14:textId="77777777" w:rsidR="008D5DB3" w:rsidRPr="004135FE" w:rsidRDefault="008D5DB3" w:rsidP="004135FE">
      <w:pPr>
        <w:numPr>
          <w:ilvl w:val="0"/>
          <w:numId w:val="5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1 ребенка</w:t>
      </w:r>
    </w:p>
    <w:p w14:paraId="0BC238F8" w14:textId="77777777" w:rsidR="008D5DB3" w:rsidRPr="004135FE" w:rsidRDefault="008D5DB3" w:rsidP="004135FE">
      <w:pPr>
        <w:numPr>
          <w:ilvl w:val="0"/>
          <w:numId w:val="5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2 ребенка</w:t>
      </w:r>
    </w:p>
    <w:p w14:paraId="35103A97" w14:textId="77777777" w:rsidR="008D5DB3" w:rsidRPr="004135FE" w:rsidRDefault="008D5DB3" w:rsidP="004135FE">
      <w:pPr>
        <w:numPr>
          <w:ilvl w:val="0"/>
          <w:numId w:val="5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3 ребенка</w:t>
      </w:r>
    </w:p>
    <w:p w14:paraId="4AA48B0C" w14:textId="77777777" w:rsidR="008D5DB3" w:rsidRPr="004135FE" w:rsidRDefault="008D5DB3" w:rsidP="004135FE">
      <w:pPr>
        <w:numPr>
          <w:ilvl w:val="0"/>
          <w:numId w:val="5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4 ребенка</w:t>
      </w:r>
    </w:p>
    <w:p w14:paraId="25771D2F" w14:textId="77777777" w:rsidR="008D5DB3" w:rsidRPr="004135FE" w:rsidRDefault="008D5DB3" w:rsidP="004135FE">
      <w:pPr>
        <w:numPr>
          <w:ilvl w:val="0"/>
          <w:numId w:val="5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5 ребенка</w:t>
      </w:r>
    </w:p>
    <w:p w14:paraId="65A75509" w14:textId="77777777" w:rsidR="008D5DB3" w:rsidRPr="004135FE" w:rsidRDefault="008D5DB3" w:rsidP="004135FE">
      <w:pPr>
        <w:numPr>
          <w:ilvl w:val="0"/>
          <w:numId w:val="5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6 ребенка</w:t>
      </w:r>
    </w:p>
    <w:p w14:paraId="52B447E6"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b/>
          <w:sz w:val="28"/>
          <w:szCs w:val="28"/>
        </w:rPr>
        <w:t>По Вашему мнению, сколько детей в семье желательно</w:t>
      </w:r>
      <w:r w:rsidRPr="004135FE">
        <w:rPr>
          <w:rFonts w:ascii="Times New Roman" w:hAnsi="Times New Roman" w:cs="Times New Roman"/>
          <w:sz w:val="28"/>
          <w:szCs w:val="28"/>
        </w:rPr>
        <w:t xml:space="preserve">? </w:t>
      </w:r>
    </w:p>
    <w:p w14:paraId="69372DDA" w14:textId="77777777" w:rsidR="008D5DB3" w:rsidRPr="004135FE" w:rsidRDefault="008D5DB3" w:rsidP="004135FE">
      <w:pPr>
        <w:numPr>
          <w:ilvl w:val="0"/>
          <w:numId w:val="5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1 ребенка</w:t>
      </w:r>
    </w:p>
    <w:p w14:paraId="04E6E23C" w14:textId="77777777" w:rsidR="008D5DB3" w:rsidRPr="004135FE" w:rsidRDefault="008D5DB3" w:rsidP="004135FE">
      <w:pPr>
        <w:numPr>
          <w:ilvl w:val="0"/>
          <w:numId w:val="5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2 ребенка</w:t>
      </w:r>
    </w:p>
    <w:p w14:paraId="2881C9B3" w14:textId="77777777" w:rsidR="008D5DB3" w:rsidRPr="004135FE" w:rsidRDefault="008D5DB3" w:rsidP="004135FE">
      <w:pPr>
        <w:numPr>
          <w:ilvl w:val="0"/>
          <w:numId w:val="5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3 ребенка</w:t>
      </w:r>
    </w:p>
    <w:p w14:paraId="1623B0D2" w14:textId="77777777" w:rsidR="008D5DB3" w:rsidRPr="004135FE" w:rsidRDefault="008D5DB3" w:rsidP="004135FE">
      <w:pPr>
        <w:numPr>
          <w:ilvl w:val="0"/>
          <w:numId w:val="5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4 ребенка</w:t>
      </w:r>
    </w:p>
    <w:p w14:paraId="72432521" w14:textId="77777777" w:rsidR="008D5DB3" w:rsidRPr="004135FE" w:rsidRDefault="008D5DB3" w:rsidP="004135FE">
      <w:pPr>
        <w:numPr>
          <w:ilvl w:val="0"/>
          <w:numId w:val="5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5 ребенка</w:t>
      </w:r>
    </w:p>
    <w:p w14:paraId="14F44FB6" w14:textId="77777777" w:rsidR="008D5DB3" w:rsidRPr="004135FE" w:rsidRDefault="008D5DB3" w:rsidP="004135FE">
      <w:pPr>
        <w:numPr>
          <w:ilvl w:val="0"/>
          <w:numId w:val="5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6 ребенка</w:t>
      </w:r>
    </w:p>
    <w:p w14:paraId="2DFFEFA5"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Какие трудности встречались в первые годы брака?</w:t>
      </w:r>
    </w:p>
    <w:p w14:paraId="4E9968E1" w14:textId="77777777" w:rsidR="008D5DB3" w:rsidRPr="004135FE" w:rsidRDefault="008D5DB3" w:rsidP="004135FE">
      <w:pPr>
        <w:numPr>
          <w:ilvl w:val="0"/>
          <w:numId w:val="44"/>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Жилищные условия</w:t>
      </w:r>
    </w:p>
    <w:p w14:paraId="6E5954B4" w14:textId="77777777" w:rsidR="008D5DB3" w:rsidRPr="004135FE" w:rsidRDefault="008D5DB3" w:rsidP="004135FE">
      <w:pPr>
        <w:numPr>
          <w:ilvl w:val="0"/>
          <w:numId w:val="44"/>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Материальные  </w:t>
      </w:r>
    </w:p>
    <w:p w14:paraId="74137CD7" w14:textId="77777777" w:rsidR="008D5DB3" w:rsidRPr="004135FE" w:rsidRDefault="008D5DB3" w:rsidP="004135FE">
      <w:pPr>
        <w:numPr>
          <w:ilvl w:val="0"/>
          <w:numId w:val="44"/>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Семейные взаимоотношения</w:t>
      </w:r>
    </w:p>
    <w:p w14:paraId="2AA94343" w14:textId="77777777" w:rsidR="008D5DB3" w:rsidRPr="004135FE" w:rsidRDefault="008D5DB3" w:rsidP="004135FE">
      <w:pPr>
        <w:numPr>
          <w:ilvl w:val="0"/>
          <w:numId w:val="44"/>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Сочетать работу и семью</w:t>
      </w:r>
    </w:p>
    <w:p w14:paraId="3A861E42" w14:textId="77777777" w:rsidR="008D5DB3" w:rsidRPr="004135FE" w:rsidRDefault="008D5DB3" w:rsidP="004135FE">
      <w:pPr>
        <w:numPr>
          <w:ilvl w:val="0"/>
          <w:numId w:val="44"/>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Другое</w:t>
      </w:r>
    </w:p>
    <w:p w14:paraId="2A105032"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Какие меры необходимы для повышения рождаемости?</w:t>
      </w:r>
    </w:p>
    <w:p w14:paraId="4EE1653B" w14:textId="77777777" w:rsidR="008D5DB3" w:rsidRPr="004135FE" w:rsidRDefault="008D5DB3" w:rsidP="004135FE">
      <w:pPr>
        <w:numPr>
          <w:ilvl w:val="0"/>
          <w:numId w:val="43"/>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Улучшение жилищных условии</w:t>
      </w:r>
    </w:p>
    <w:p w14:paraId="37F564D2" w14:textId="77777777" w:rsidR="008D5DB3" w:rsidRPr="004135FE" w:rsidRDefault="008D5DB3" w:rsidP="004135FE">
      <w:pPr>
        <w:numPr>
          <w:ilvl w:val="0"/>
          <w:numId w:val="43"/>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Повышения материального благосостояния</w:t>
      </w:r>
    </w:p>
    <w:p w14:paraId="5C29A4B4" w14:textId="77777777" w:rsidR="008D5DB3" w:rsidRPr="004135FE" w:rsidRDefault="008D5DB3" w:rsidP="004135FE">
      <w:pPr>
        <w:numPr>
          <w:ilvl w:val="0"/>
          <w:numId w:val="43"/>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Увеличение денежного пособия на детей</w:t>
      </w:r>
    </w:p>
    <w:p w14:paraId="44A0741E" w14:textId="77777777" w:rsidR="008D5DB3" w:rsidRPr="004135FE" w:rsidRDefault="008D5DB3" w:rsidP="004135FE">
      <w:pPr>
        <w:numPr>
          <w:ilvl w:val="0"/>
          <w:numId w:val="43"/>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Обеспечение детскими дошкольными организациями</w:t>
      </w:r>
    </w:p>
    <w:p w14:paraId="5A937DDC" w14:textId="77777777" w:rsidR="008D5DB3" w:rsidRPr="004135FE" w:rsidRDefault="008D5DB3" w:rsidP="004135FE">
      <w:pPr>
        <w:numPr>
          <w:ilvl w:val="0"/>
          <w:numId w:val="43"/>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Формирование в обществе приоритета материнства- отцовства и изменение отношения к семье</w:t>
      </w:r>
    </w:p>
    <w:p w14:paraId="67504E64" w14:textId="77777777" w:rsidR="008D5DB3" w:rsidRPr="004135FE" w:rsidRDefault="008D5DB3" w:rsidP="004135FE">
      <w:pPr>
        <w:numPr>
          <w:ilvl w:val="0"/>
          <w:numId w:val="43"/>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Укрепление физического здоровья</w:t>
      </w:r>
    </w:p>
    <w:p w14:paraId="0EDC3AA2" w14:textId="77777777" w:rsidR="008D5DB3" w:rsidRPr="004135FE" w:rsidRDefault="008D5DB3" w:rsidP="004135FE">
      <w:pPr>
        <w:numPr>
          <w:ilvl w:val="0"/>
          <w:numId w:val="43"/>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Улучшение медицинской помощи</w:t>
      </w:r>
    </w:p>
    <w:p w14:paraId="31C20656" w14:textId="77777777" w:rsidR="008D5DB3" w:rsidRPr="004135FE" w:rsidRDefault="008D5DB3" w:rsidP="004135FE">
      <w:pPr>
        <w:numPr>
          <w:ilvl w:val="0"/>
          <w:numId w:val="43"/>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rPr>
        <w:t>Другое</w:t>
      </w:r>
    </w:p>
    <w:p w14:paraId="0AF52794"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 xml:space="preserve">Были ли у Ваших кровных родственников какие-либо из нижеперечисленных состоянии здоровья?  </w:t>
      </w:r>
    </w:p>
    <w:p w14:paraId="79FC0917" w14:textId="77777777" w:rsidR="008D5DB3" w:rsidRPr="004135FE" w:rsidRDefault="008D5DB3" w:rsidP="004135FE">
      <w:pPr>
        <w:numPr>
          <w:ilvl w:val="0"/>
          <w:numId w:val="62"/>
        </w:numPr>
        <w:tabs>
          <w:tab w:val="left" w:pos="426"/>
        </w:tabs>
        <w:spacing w:after="0" w:line="240" w:lineRule="auto"/>
        <w:ind w:left="0" w:firstLine="0"/>
        <w:jc w:val="both"/>
        <w:rPr>
          <w:rFonts w:ascii="Times New Roman" w:hAnsi="Times New Roman" w:cs="Times New Roman"/>
          <w:b/>
          <w:sz w:val="28"/>
          <w:szCs w:val="28"/>
          <w:lang w:val="kk-KZ"/>
        </w:rPr>
      </w:pPr>
      <w:r w:rsidRPr="004135FE">
        <w:rPr>
          <w:rFonts w:ascii="Times New Roman" w:hAnsi="Times New Roman" w:cs="Times New Roman"/>
          <w:sz w:val="28"/>
          <w:szCs w:val="28"/>
          <w:lang w:val="kk-KZ"/>
        </w:rPr>
        <w:t>Сахарный диабет 2 типа</w:t>
      </w:r>
    </w:p>
    <w:p w14:paraId="54F5BDA0" w14:textId="77777777" w:rsidR="008D5DB3" w:rsidRPr="004135FE" w:rsidRDefault="008D5DB3" w:rsidP="004135FE">
      <w:pPr>
        <w:numPr>
          <w:ilvl w:val="0"/>
          <w:numId w:val="62"/>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Рак молочной железы</w:t>
      </w:r>
    </w:p>
    <w:p w14:paraId="72789025" w14:textId="77777777" w:rsidR="008D5DB3" w:rsidRPr="004135FE" w:rsidRDefault="008D5DB3" w:rsidP="004135FE">
      <w:pPr>
        <w:numPr>
          <w:ilvl w:val="0"/>
          <w:numId w:val="62"/>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Рак яичников</w:t>
      </w:r>
    </w:p>
    <w:p w14:paraId="163EC04C" w14:textId="77777777" w:rsidR="008D5DB3" w:rsidRPr="004135FE" w:rsidRDefault="008D5DB3" w:rsidP="004135FE">
      <w:pPr>
        <w:numPr>
          <w:ilvl w:val="0"/>
          <w:numId w:val="62"/>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Рак матки</w:t>
      </w:r>
    </w:p>
    <w:p w14:paraId="0063E9F9" w14:textId="77777777" w:rsidR="008D5DB3" w:rsidRPr="004135FE" w:rsidRDefault="008D5DB3" w:rsidP="004135FE">
      <w:pPr>
        <w:numPr>
          <w:ilvl w:val="0"/>
          <w:numId w:val="62"/>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Рак толстой кишки</w:t>
      </w:r>
    </w:p>
    <w:p w14:paraId="14139814" w14:textId="77777777" w:rsidR="008D5DB3" w:rsidRPr="004135FE" w:rsidRDefault="008D5DB3" w:rsidP="004135FE">
      <w:pPr>
        <w:numPr>
          <w:ilvl w:val="0"/>
          <w:numId w:val="62"/>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Рак предстательной железы</w:t>
      </w:r>
    </w:p>
    <w:p w14:paraId="4EBDE798" w14:textId="77777777" w:rsidR="008D5DB3" w:rsidRPr="004135FE" w:rsidRDefault="008D5DB3" w:rsidP="004135FE">
      <w:pPr>
        <w:numPr>
          <w:ilvl w:val="0"/>
          <w:numId w:val="62"/>
        </w:numPr>
        <w:tabs>
          <w:tab w:val="left" w:pos="426"/>
        </w:tabs>
        <w:spacing w:after="0" w:line="240" w:lineRule="auto"/>
        <w:ind w:left="0" w:firstLine="0"/>
        <w:jc w:val="both"/>
        <w:rPr>
          <w:rFonts w:ascii="Times New Roman" w:hAnsi="Times New Roman" w:cs="Times New Roman"/>
          <w:b/>
          <w:sz w:val="28"/>
          <w:szCs w:val="28"/>
          <w:lang w:val="kk-KZ"/>
        </w:rPr>
      </w:pPr>
      <w:r w:rsidRPr="004135FE">
        <w:rPr>
          <w:rFonts w:ascii="Times New Roman" w:hAnsi="Times New Roman" w:cs="Times New Roman"/>
          <w:sz w:val="28"/>
          <w:szCs w:val="28"/>
          <w:lang w:val="kk-KZ"/>
        </w:rPr>
        <w:t>Рак легких</w:t>
      </w:r>
    </w:p>
    <w:p w14:paraId="666AA07E" w14:textId="77777777" w:rsidR="008D5DB3" w:rsidRPr="004135FE" w:rsidRDefault="008D5DB3" w:rsidP="004135FE">
      <w:pPr>
        <w:numPr>
          <w:ilvl w:val="0"/>
          <w:numId w:val="62"/>
        </w:numPr>
        <w:tabs>
          <w:tab w:val="left" w:pos="426"/>
        </w:tabs>
        <w:spacing w:after="0" w:line="240" w:lineRule="auto"/>
        <w:ind w:left="0" w:firstLine="0"/>
        <w:jc w:val="both"/>
        <w:rPr>
          <w:rFonts w:ascii="Times New Roman" w:hAnsi="Times New Roman" w:cs="Times New Roman"/>
          <w:b/>
          <w:sz w:val="28"/>
          <w:szCs w:val="28"/>
          <w:lang w:val="kk-KZ"/>
        </w:rPr>
      </w:pPr>
      <w:r w:rsidRPr="004135FE">
        <w:rPr>
          <w:rFonts w:ascii="Times New Roman" w:hAnsi="Times New Roman" w:cs="Times New Roman"/>
          <w:sz w:val="28"/>
          <w:szCs w:val="28"/>
          <w:lang w:val="kk-KZ"/>
        </w:rPr>
        <w:t>Не было таких состоянии здоровья</w:t>
      </w:r>
    </w:p>
    <w:p w14:paraId="309AA14C"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 xml:space="preserve">Были ли у Вас или Вашего партнера какие-либо обследования, чтобы выяснить причину проблемы с фертильностью (деторождение) и какой диагноз был поставлен Вам или Вашему партнеру? </w:t>
      </w:r>
    </w:p>
    <w:p w14:paraId="372ABDAC" w14:textId="77777777" w:rsidR="008D5DB3" w:rsidRPr="004135FE" w:rsidRDefault="008D5DB3" w:rsidP="004135FE">
      <w:pPr>
        <w:numPr>
          <w:ilvl w:val="0"/>
          <w:numId w:val="48"/>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Эндометриоз</w:t>
      </w:r>
    </w:p>
    <w:p w14:paraId="7DBB39E2" w14:textId="77777777" w:rsidR="008D5DB3" w:rsidRPr="004135FE" w:rsidRDefault="008D5DB3" w:rsidP="004135FE">
      <w:pPr>
        <w:numPr>
          <w:ilvl w:val="0"/>
          <w:numId w:val="48"/>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Поликистоз яичников</w:t>
      </w:r>
    </w:p>
    <w:p w14:paraId="12A8A178" w14:textId="77777777" w:rsidR="008D5DB3" w:rsidRPr="004135FE" w:rsidRDefault="008D5DB3" w:rsidP="004135FE">
      <w:pPr>
        <w:numPr>
          <w:ilvl w:val="0"/>
          <w:numId w:val="48"/>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Воспалительные заболевания органов малого таза</w:t>
      </w:r>
    </w:p>
    <w:p w14:paraId="6A473090" w14:textId="77777777" w:rsidR="008D5DB3" w:rsidRPr="004135FE" w:rsidRDefault="008D5DB3" w:rsidP="004135FE">
      <w:pPr>
        <w:numPr>
          <w:ilvl w:val="0"/>
          <w:numId w:val="48"/>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Миома матки</w:t>
      </w:r>
    </w:p>
    <w:p w14:paraId="481EF874" w14:textId="77777777" w:rsidR="008D5DB3" w:rsidRPr="004135FE" w:rsidRDefault="008D5DB3" w:rsidP="004135FE">
      <w:pPr>
        <w:numPr>
          <w:ilvl w:val="0"/>
          <w:numId w:val="48"/>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Непроходимость маточных труб</w:t>
      </w:r>
    </w:p>
    <w:p w14:paraId="672E4272" w14:textId="77777777" w:rsidR="008D5DB3" w:rsidRPr="004135FE" w:rsidRDefault="008D5DB3" w:rsidP="004135FE">
      <w:pPr>
        <w:numPr>
          <w:ilvl w:val="0"/>
          <w:numId w:val="48"/>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Отсутствие или нерегулярная овуляция</w:t>
      </w:r>
    </w:p>
    <w:p w14:paraId="74B7F41D" w14:textId="77777777" w:rsidR="008D5DB3" w:rsidRPr="004135FE" w:rsidRDefault="008D5DB3" w:rsidP="004135FE">
      <w:pPr>
        <w:numPr>
          <w:ilvl w:val="0"/>
          <w:numId w:val="48"/>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Плохое количество или качество спермы</w:t>
      </w:r>
    </w:p>
    <w:p w14:paraId="501D0188" w14:textId="77777777" w:rsidR="008D5DB3" w:rsidRPr="004135FE" w:rsidRDefault="008D5DB3" w:rsidP="004135FE">
      <w:pPr>
        <w:numPr>
          <w:ilvl w:val="0"/>
          <w:numId w:val="48"/>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 xml:space="preserve">Другая проблема </w:t>
      </w:r>
    </w:p>
    <w:p w14:paraId="03D0A822" w14:textId="77777777" w:rsidR="008D5DB3" w:rsidRPr="004135FE" w:rsidRDefault="008D5DB3" w:rsidP="004135FE">
      <w:pPr>
        <w:numPr>
          <w:ilvl w:val="0"/>
          <w:numId w:val="48"/>
        </w:numPr>
        <w:tabs>
          <w:tab w:val="left" w:pos="426"/>
        </w:tabs>
        <w:spacing w:after="0" w:line="240" w:lineRule="auto"/>
        <w:ind w:left="0" w:firstLine="0"/>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Не было проблем</w:t>
      </w:r>
    </w:p>
    <w:p w14:paraId="79534A28"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Когда последний раз проходили обследование анализов половых гормонов?</w:t>
      </w:r>
    </w:p>
    <w:p w14:paraId="0B50D7E5" w14:textId="77777777" w:rsidR="008D5DB3" w:rsidRPr="004135FE" w:rsidRDefault="008D5DB3" w:rsidP="004135FE">
      <w:pPr>
        <w:numPr>
          <w:ilvl w:val="0"/>
          <w:numId w:val="6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 этом месяце</w:t>
      </w:r>
    </w:p>
    <w:p w14:paraId="37772D4E" w14:textId="77777777" w:rsidR="008D5DB3" w:rsidRPr="004135FE" w:rsidRDefault="008D5DB3" w:rsidP="004135FE">
      <w:pPr>
        <w:numPr>
          <w:ilvl w:val="0"/>
          <w:numId w:val="6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 течения 3 месяцев</w:t>
      </w:r>
    </w:p>
    <w:p w14:paraId="7211DD41" w14:textId="77777777" w:rsidR="008D5DB3" w:rsidRPr="004135FE" w:rsidRDefault="008D5DB3" w:rsidP="004135FE">
      <w:pPr>
        <w:numPr>
          <w:ilvl w:val="0"/>
          <w:numId w:val="6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 этом году</w:t>
      </w:r>
    </w:p>
    <w:p w14:paraId="3261F13D" w14:textId="77777777" w:rsidR="008D5DB3" w:rsidRPr="004135FE" w:rsidRDefault="008D5DB3" w:rsidP="004135FE">
      <w:pPr>
        <w:numPr>
          <w:ilvl w:val="0"/>
          <w:numId w:val="6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3 года назад</w:t>
      </w:r>
    </w:p>
    <w:p w14:paraId="727076EA" w14:textId="77777777" w:rsidR="008D5DB3" w:rsidRPr="004135FE" w:rsidRDefault="008D5DB3" w:rsidP="004135FE">
      <w:pPr>
        <w:numPr>
          <w:ilvl w:val="0"/>
          <w:numId w:val="61"/>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помню</w:t>
      </w:r>
    </w:p>
    <w:p w14:paraId="5F8EF354" w14:textId="77777777" w:rsidR="008D5DB3" w:rsidRPr="004135FE" w:rsidRDefault="008D5DB3" w:rsidP="004135FE">
      <w:pPr>
        <w:tabs>
          <w:tab w:val="left" w:pos="426"/>
        </w:tabs>
        <w:spacing w:after="0" w:line="240" w:lineRule="auto"/>
        <w:jc w:val="both"/>
        <w:rPr>
          <w:rFonts w:ascii="Times New Roman" w:hAnsi="Times New Roman" w:cs="Times New Roman"/>
          <w:sz w:val="28"/>
          <w:szCs w:val="28"/>
          <w:lang w:val="kk-KZ"/>
        </w:rPr>
      </w:pPr>
    </w:p>
    <w:p w14:paraId="0A19D554" w14:textId="77777777" w:rsidR="008D5DB3" w:rsidRPr="004135FE" w:rsidRDefault="008D5DB3" w:rsidP="004135FE">
      <w:pPr>
        <w:tabs>
          <w:tab w:val="left" w:pos="426"/>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Вопросы для мужчин:</w:t>
      </w:r>
    </w:p>
    <w:p w14:paraId="224E2697"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По какому поводу Вы обращались впервые в кабинет врача уролога?</w:t>
      </w:r>
    </w:p>
    <w:p w14:paraId="2B2B397C" w14:textId="77777777" w:rsidR="008D5DB3" w:rsidRPr="004135FE" w:rsidRDefault="008D5DB3" w:rsidP="004135FE">
      <w:pPr>
        <w:numPr>
          <w:ilvl w:val="0"/>
          <w:numId w:val="4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Профилактический осмотр</w:t>
      </w:r>
    </w:p>
    <w:p w14:paraId="34492097" w14:textId="77777777" w:rsidR="008D5DB3" w:rsidRPr="004135FE" w:rsidRDefault="008D5DB3" w:rsidP="004135FE">
      <w:pPr>
        <w:numPr>
          <w:ilvl w:val="0"/>
          <w:numId w:val="4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Воспалительные заболевания половых органов </w:t>
      </w:r>
    </w:p>
    <w:p w14:paraId="747412D3" w14:textId="77777777" w:rsidR="008D5DB3" w:rsidRPr="004135FE" w:rsidRDefault="008D5DB3" w:rsidP="004135FE">
      <w:pPr>
        <w:numPr>
          <w:ilvl w:val="0"/>
          <w:numId w:val="4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За советом перед вступлением половой контакт в браке</w:t>
      </w:r>
    </w:p>
    <w:p w14:paraId="24031DEB" w14:textId="77777777" w:rsidR="008D5DB3" w:rsidRPr="004135FE" w:rsidRDefault="008D5DB3" w:rsidP="004135FE">
      <w:pPr>
        <w:numPr>
          <w:ilvl w:val="0"/>
          <w:numId w:val="4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Консультация по контрацептивам</w:t>
      </w:r>
    </w:p>
    <w:p w14:paraId="269F7E30" w14:textId="77777777" w:rsidR="008D5DB3" w:rsidRPr="004135FE" w:rsidRDefault="008D5DB3" w:rsidP="004135FE">
      <w:pPr>
        <w:numPr>
          <w:ilvl w:val="0"/>
          <w:numId w:val="4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Другое</w:t>
      </w:r>
    </w:p>
    <w:p w14:paraId="7F69CC29"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Когда последний раз были у врача уролога?</w:t>
      </w:r>
    </w:p>
    <w:p w14:paraId="18CA42D3" w14:textId="77777777" w:rsidR="008D5DB3" w:rsidRPr="004135FE" w:rsidRDefault="008D5DB3" w:rsidP="004135FE">
      <w:pPr>
        <w:numPr>
          <w:ilvl w:val="0"/>
          <w:numId w:val="6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 этом месяце</w:t>
      </w:r>
    </w:p>
    <w:p w14:paraId="22724AEE" w14:textId="77777777" w:rsidR="008D5DB3" w:rsidRPr="004135FE" w:rsidRDefault="008D5DB3" w:rsidP="004135FE">
      <w:pPr>
        <w:numPr>
          <w:ilvl w:val="0"/>
          <w:numId w:val="6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 течения 3 месяцев</w:t>
      </w:r>
    </w:p>
    <w:p w14:paraId="15B161BB" w14:textId="77777777" w:rsidR="008D5DB3" w:rsidRPr="004135FE" w:rsidRDefault="008D5DB3" w:rsidP="004135FE">
      <w:pPr>
        <w:numPr>
          <w:ilvl w:val="0"/>
          <w:numId w:val="6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 этом году</w:t>
      </w:r>
    </w:p>
    <w:p w14:paraId="50FF1188" w14:textId="77777777" w:rsidR="008D5DB3" w:rsidRPr="004135FE" w:rsidRDefault="008D5DB3" w:rsidP="004135FE">
      <w:pPr>
        <w:numPr>
          <w:ilvl w:val="0"/>
          <w:numId w:val="6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3 года назад</w:t>
      </w:r>
    </w:p>
    <w:p w14:paraId="64507D00" w14:textId="77777777" w:rsidR="008D5DB3" w:rsidRPr="004135FE" w:rsidRDefault="008D5DB3" w:rsidP="004135FE">
      <w:pPr>
        <w:numPr>
          <w:ilvl w:val="0"/>
          <w:numId w:val="60"/>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помню</w:t>
      </w:r>
    </w:p>
    <w:p w14:paraId="4A1E7D0D"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До рождения Ваших детей, Вам ставили диагноз «Сахарный диабет 2 типа»?</w:t>
      </w:r>
    </w:p>
    <w:p w14:paraId="0EB04526" w14:textId="77777777" w:rsidR="008D5DB3" w:rsidRPr="004135FE" w:rsidRDefault="008D5DB3" w:rsidP="004135FE">
      <w:pPr>
        <w:numPr>
          <w:ilvl w:val="0"/>
          <w:numId w:val="4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до рождения первого ребенка</w:t>
      </w:r>
    </w:p>
    <w:p w14:paraId="1B598C16" w14:textId="77777777" w:rsidR="008D5DB3" w:rsidRPr="004135FE" w:rsidRDefault="008D5DB3" w:rsidP="004135FE">
      <w:pPr>
        <w:numPr>
          <w:ilvl w:val="0"/>
          <w:numId w:val="4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до рождения второго ребенка</w:t>
      </w:r>
    </w:p>
    <w:p w14:paraId="555FF431" w14:textId="77777777" w:rsidR="008D5DB3" w:rsidRPr="004135FE" w:rsidRDefault="008D5DB3" w:rsidP="004135FE">
      <w:pPr>
        <w:numPr>
          <w:ilvl w:val="0"/>
          <w:numId w:val="4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до рождения третьего ребенка</w:t>
      </w:r>
    </w:p>
    <w:p w14:paraId="5D27F196" w14:textId="77777777" w:rsidR="008D5DB3" w:rsidRPr="004135FE" w:rsidRDefault="008D5DB3" w:rsidP="004135FE">
      <w:pPr>
        <w:numPr>
          <w:ilvl w:val="0"/>
          <w:numId w:val="4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до рождения четвертого ребенка</w:t>
      </w:r>
    </w:p>
    <w:p w14:paraId="606BF602" w14:textId="77777777" w:rsidR="008D5DB3" w:rsidRPr="004135FE" w:rsidRDefault="008D5DB3" w:rsidP="004135FE">
      <w:pPr>
        <w:numPr>
          <w:ilvl w:val="0"/>
          <w:numId w:val="49"/>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Нет</w:t>
      </w:r>
    </w:p>
    <w:p w14:paraId="28C9A7DC" w14:textId="77777777" w:rsidR="008D5DB3" w:rsidRPr="004135FE" w:rsidRDefault="008D5DB3" w:rsidP="004135FE">
      <w:pPr>
        <w:tabs>
          <w:tab w:val="left" w:pos="426"/>
        </w:tabs>
        <w:spacing w:after="0" w:line="240" w:lineRule="auto"/>
        <w:jc w:val="both"/>
        <w:rPr>
          <w:rFonts w:ascii="Times New Roman" w:hAnsi="Times New Roman" w:cs="Times New Roman"/>
          <w:sz w:val="28"/>
          <w:szCs w:val="28"/>
        </w:rPr>
      </w:pPr>
    </w:p>
    <w:p w14:paraId="5B39636F" w14:textId="77777777" w:rsidR="008D5DB3" w:rsidRPr="004135FE" w:rsidRDefault="008D5DB3" w:rsidP="004135FE">
      <w:pPr>
        <w:tabs>
          <w:tab w:val="left" w:pos="426"/>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Вопросы для женщин:</w:t>
      </w:r>
    </w:p>
    <w:p w14:paraId="3298A9F0"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По какому поводу Вы обращались впервые в женскую консультацию?</w:t>
      </w:r>
    </w:p>
    <w:p w14:paraId="25BC1EE0" w14:textId="77777777" w:rsidR="008D5DB3" w:rsidRPr="004135FE" w:rsidRDefault="008D5DB3" w:rsidP="004135FE">
      <w:pPr>
        <w:numPr>
          <w:ilvl w:val="0"/>
          <w:numId w:val="6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 xml:space="preserve">Боль и нарушение менструального цикла </w:t>
      </w:r>
    </w:p>
    <w:p w14:paraId="3CF9442D" w14:textId="77777777" w:rsidR="008D5DB3" w:rsidRPr="004135FE" w:rsidRDefault="008D5DB3" w:rsidP="004135FE">
      <w:pPr>
        <w:numPr>
          <w:ilvl w:val="0"/>
          <w:numId w:val="6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Воспалительные заболевания органов малого таза</w:t>
      </w:r>
    </w:p>
    <w:p w14:paraId="41B95328" w14:textId="77777777" w:rsidR="008D5DB3" w:rsidRPr="004135FE" w:rsidRDefault="008D5DB3" w:rsidP="004135FE">
      <w:pPr>
        <w:numPr>
          <w:ilvl w:val="0"/>
          <w:numId w:val="6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Желание сделать аборт</w:t>
      </w:r>
    </w:p>
    <w:p w14:paraId="7DB7F314" w14:textId="77777777" w:rsidR="008D5DB3" w:rsidRPr="004135FE" w:rsidRDefault="008D5DB3" w:rsidP="004135FE">
      <w:pPr>
        <w:numPr>
          <w:ilvl w:val="0"/>
          <w:numId w:val="6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За советом перед вступлением половой контакт в браке</w:t>
      </w:r>
    </w:p>
    <w:p w14:paraId="14F54665" w14:textId="77777777" w:rsidR="008D5DB3" w:rsidRPr="004135FE" w:rsidRDefault="008D5DB3" w:rsidP="004135FE">
      <w:pPr>
        <w:numPr>
          <w:ilvl w:val="0"/>
          <w:numId w:val="6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Консультация по контрацептивам</w:t>
      </w:r>
    </w:p>
    <w:p w14:paraId="209A5B8C" w14:textId="77777777" w:rsidR="008D5DB3" w:rsidRPr="004135FE" w:rsidRDefault="008D5DB3" w:rsidP="004135FE">
      <w:pPr>
        <w:numPr>
          <w:ilvl w:val="0"/>
          <w:numId w:val="6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Другое</w:t>
      </w:r>
    </w:p>
    <w:p w14:paraId="6C2DDF85" w14:textId="77777777" w:rsidR="008D5DB3" w:rsidRPr="004135FE" w:rsidRDefault="008D5DB3" w:rsidP="004135FE">
      <w:pPr>
        <w:numPr>
          <w:ilvl w:val="0"/>
          <w:numId w:val="58"/>
        </w:numPr>
        <w:tabs>
          <w:tab w:val="left" w:pos="142"/>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Вам до беременности ставили диагноз «Сахарный диабет 2 типа»?</w:t>
      </w:r>
    </w:p>
    <w:p w14:paraId="36E4E7B4" w14:textId="77777777" w:rsidR="008D5DB3" w:rsidRPr="004135FE" w:rsidRDefault="008D5DB3" w:rsidP="004135FE">
      <w:pPr>
        <w:numPr>
          <w:ilvl w:val="0"/>
          <w:numId w:val="6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до первой беременности</w:t>
      </w:r>
    </w:p>
    <w:p w14:paraId="0699BDEF" w14:textId="77777777" w:rsidR="008D5DB3" w:rsidRPr="004135FE" w:rsidRDefault="008D5DB3" w:rsidP="004135FE">
      <w:pPr>
        <w:numPr>
          <w:ilvl w:val="0"/>
          <w:numId w:val="6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до второй беременности</w:t>
      </w:r>
    </w:p>
    <w:p w14:paraId="53182F9F" w14:textId="77777777" w:rsidR="008D5DB3" w:rsidRPr="004135FE" w:rsidRDefault="008D5DB3" w:rsidP="004135FE">
      <w:pPr>
        <w:numPr>
          <w:ilvl w:val="0"/>
          <w:numId w:val="6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до третьей беременности</w:t>
      </w:r>
    </w:p>
    <w:p w14:paraId="61E7D0A2" w14:textId="77777777" w:rsidR="008D5DB3" w:rsidRPr="004135FE" w:rsidRDefault="008D5DB3" w:rsidP="004135FE">
      <w:pPr>
        <w:numPr>
          <w:ilvl w:val="0"/>
          <w:numId w:val="6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до четвертой беременности</w:t>
      </w:r>
    </w:p>
    <w:p w14:paraId="153BC9F2" w14:textId="77777777" w:rsidR="008D5DB3" w:rsidRPr="004135FE" w:rsidRDefault="008D5DB3" w:rsidP="004135FE">
      <w:pPr>
        <w:numPr>
          <w:ilvl w:val="0"/>
          <w:numId w:val="6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Нет</w:t>
      </w:r>
    </w:p>
    <w:p w14:paraId="06E55A01" w14:textId="77777777" w:rsidR="008D5DB3" w:rsidRPr="004135FE" w:rsidRDefault="008D5DB3" w:rsidP="004135FE">
      <w:pPr>
        <w:numPr>
          <w:ilvl w:val="0"/>
          <w:numId w:val="58"/>
        </w:numPr>
        <w:tabs>
          <w:tab w:val="left" w:pos="142"/>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 xml:space="preserve">Вам ставили диагноз «Гестационный диабет» во время беременности? </w:t>
      </w:r>
    </w:p>
    <w:p w14:paraId="27BA8B64" w14:textId="77777777" w:rsidR="008D5DB3" w:rsidRPr="004135FE" w:rsidRDefault="008D5DB3" w:rsidP="004135FE">
      <w:pPr>
        <w:numPr>
          <w:ilvl w:val="0"/>
          <w:numId w:val="5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при первой беременности</w:t>
      </w:r>
    </w:p>
    <w:p w14:paraId="3A82498E" w14:textId="77777777" w:rsidR="008D5DB3" w:rsidRPr="004135FE" w:rsidRDefault="008D5DB3" w:rsidP="004135FE">
      <w:pPr>
        <w:numPr>
          <w:ilvl w:val="0"/>
          <w:numId w:val="5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при второй беременности</w:t>
      </w:r>
    </w:p>
    <w:p w14:paraId="334C9857" w14:textId="77777777" w:rsidR="008D5DB3" w:rsidRPr="004135FE" w:rsidRDefault="008D5DB3" w:rsidP="004135FE">
      <w:pPr>
        <w:numPr>
          <w:ilvl w:val="0"/>
          <w:numId w:val="5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при третьей беременности</w:t>
      </w:r>
    </w:p>
    <w:p w14:paraId="1C7D0D96" w14:textId="77777777" w:rsidR="008D5DB3" w:rsidRPr="004135FE" w:rsidRDefault="008D5DB3" w:rsidP="004135FE">
      <w:pPr>
        <w:numPr>
          <w:ilvl w:val="0"/>
          <w:numId w:val="5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Да, при четвертой беременности</w:t>
      </w:r>
    </w:p>
    <w:p w14:paraId="047EEE04" w14:textId="77777777" w:rsidR="008D5DB3" w:rsidRPr="004135FE" w:rsidRDefault="008D5DB3" w:rsidP="004135FE">
      <w:pPr>
        <w:numPr>
          <w:ilvl w:val="0"/>
          <w:numId w:val="55"/>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Нет</w:t>
      </w:r>
    </w:p>
    <w:p w14:paraId="36DFDF51"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Исход Ваших беременностей?</w:t>
      </w:r>
    </w:p>
    <w:p w14:paraId="4586F181" w14:textId="77777777" w:rsidR="008D5DB3" w:rsidRPr="004135FE" w:rsidRDefault="008D5DB3" w:rsidP="004135FE">
      <w:pPr>
        <w:numPr>
          <w:ilvl w:val="0"/>
          <w:numId w:val="4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Все дети живорожденные, с весом до 3,9 кг</w:t>
      </w:r>
    </w:p>
    <w:p w14:paraId="64EBBBDA" w14:textId="77777777" w:rsidR="008D5DB3" w:rsidRPr="004135FE" w:rsidRDefault="008D5DB3" w:rsidP="004135FE">
      <w:pPr>
        <w:numPr>
          <w:ilvl w:val="0"/>
          <w:numId w:val="4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Все дети живорожденные, с весом от 4 кг до 4,5кг</w:t>
      </w:r>
    </w:p>
    <w:p w14:paraId="429279CE" w14:textId="77777777" w:rsidR="008D5DB3" w:rsidRPr="004135FE" w:rsidRDefault="008D5DB3" w:rsidP="004135FE">
      <w:pPr>
        <w:numPr>
          <w:ilvl w:val="0"/>
          <w:numId w:val="4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Все дети живорожденные, с весом от 4,6 кг до 5кг</w:t>
      </w:r>
    </w:p>
    <w:p w14:paraId="0857A4FD" w14:textId="77777777" w:rsidR="008D5DB3" w:rsidRPr="004135FE" w:rsidRDefault="008D5DB3" w:rsidP="004135FE">
      <w:pPr>
        <w:numPr>
          <w:ilvl w:val="0"/>
          <w:numId w:val="4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Все дети живорожденные, с весом от 5,1 кг</w:t>
      </w:r>
    </w:p>
    <w:p w14:paraId="25612686" w14:textId="77777777" w:rsidR="008D5DB3" w:rsidRPr="004135FE" w:rsidRDefault="008D5DB3" w:rsidP="004135FE">
      <w:pPr>
        <w:numPr>
          <w:ilvl w:val="0"/>
          <w:numId w:val="46"/>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все события были живорожденными в связи с осложнениями состояния здоровья</w:t>
      </w:r>
    </w:p>
    <w:p w14:paraId="42957075" w14:textId="77777777" w:rsidR="008D5DB3" w:rsidRPr="004135FE" w:rsidRDefault="008D5DB3" w:rsidP="004135FE">
      <w:pPr>
        <w:numPr>
          <w:ilvl w:val="0"/>
          <w:numId w:val="58"/>
        </w:numPr>
        <w:tabs>
          <w:tab w:val="left" w:pos="426"/>
        </w:tabs>
        <w:spacing w:after="0" w:line="240" w:lineRule="auto"/>
        <w:ind w:left="0" w:firstLine="0"/>
        <w:jc w:val="both"/>
        <w:rPr>
          <w:rFonts w:ascii="Times New Roman" w:hAnsi="Times New Roman" w:cs="Times New Roman"/>
          <w:b/>
          <w:sz w:val="28"/>
          <w:szCs w:val="28"/>
        </w:rPr>
      </w:pPr>
      <w:r w:rsidRPr="004135FE">
        <w:rPr>
          <w:rFonts w:ascii="Times New Roman" w:hAnsi="Times New Roman" w:cs="Times New Roman"/>
          <w:b/>
          <w:sz w:val="28"/>
          <w:szCs w:val="28"/>
        </w:rPr>
        <w:t xml:space="preserve">Если был аборт, то укажите причины? </w:t>
      </w:r>
    </w:p>
    <w:p w14:paraId="7A081D21" w14:textId="77777777" w:rsidR="008D5DB3" w:rsidRPr="004135FE" w:rsidRDefault="008D5DB3" w:rsidP="004135FE">
      <w:pPr>
        <w:numPr>
          <w:ilvl w:val="0"/>
          <w:numId w:val="47"/>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Неудовлетворительное материальное положение</w:t>
      </w:r>
    </w:p>
    <w:p w14:paraId="24527905" w14:textId="77777777" w:rsidR="008D5DB3" w:rsidRPr="004135FE" w:rsidRDefault="008D5DB3" w:rsidP="004135FE">
      <w:pPr>
        <w:numPr>
          <w:ilvl w:val="0"/>
          <w:numId w:val="47"/>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Семейное взаимоотношение</w:t>
      </w:r>
    </w:p>
    <w:p w14:paraId="0AF97C60" w14:textId="77777777" w:rsidR="008D5DB3" w:rsidRPr="004135FE" w:rsidRDefault="008D5DB3" w:rsidP="004135FE">
      <w:pPr>
        <w:numPr>
          <w:ilvl w:val="0"/>
          <w:numId w:val="47"/>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желание мужа</w:t>
      </w:r>
    </w:p>
    <w:p w14:paraId="20253443" w14:textId="77777777" w:rsidR="008D5DB3" w:rsidRPr="004135FE" w:rsidRDefault="008D5DB3" w:rsidP="004135FE">
      <w:pPr>
        <w:numPr>
          <w:ilvl w:val="0"/>
          <w:numId w:val="47"/>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Состояние здоровья</w:t>
      </w:r>
    </w:p>
    <w:p w14:paraId="4E52A975" w14:textId="77777777" w:rsidR="008D5DB3" w:rsidRPr="004135FE" w:rsidRDefault="008D5DB3" w:rsidP="004135FE">
      <w:pPr>
        <w:numPr>
          <w:ilvl w:val="0"/>
          <w:numId w:val="47"/>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Наличие грудного ребенка</w:t>
      </w:r>
    </w:p>
    <w:p w14:paraId="543BD368" w14:textId="77777777" w:rsidR="008D5DB3" w:rsidRPr="004135FE" w:rsidRDefault="008D5DB3" w:rsidP="004135FE">
      <w:pPr>
        <w:numPr>
          <w:ilvl w:val="0"/>
          <w:numId w:val="47"/>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Занятость учебой или работой</w:t>
      </w:r>
    </w:p>
    <w:p w14:paraId="162A17D2" w14:textId="77777777" w:rsidR="008D5DB3" w:rsidRPr="004135FE" w:rsidRDefault="008D5DB3" w:rsidP="004135FE">
      <w:pPr>
        <w:numPr>
          <w:ilvl w:val="0"/>
          <w:numId w:val="47"/>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Нет мужа</w:t>
      </w:r>
    </w:p>
    <w:p w14:paraId="67E0A15D" w14:textId="77777777" w:rsidR="008D5DB3" w:rsidRPr="004135FE" w:rsidRDefault="008D5DB3" w:rsidP="004135FE">
      <w:pPr>
        <w:numPr>
          <w:ilvl w:val="0"/>
          <w:numId w:val="47"/>
        </w:numPr>
        <w:tabs>
          <w:tab w:val="left" w:pos="426"/>
        </w:tabs>
        <w:spacing w:after="0" w:line="240" w:lineRule="auto"/>
        <w:ind w:left="0" w:firstLine="0"/>
        <w:jc w:val="both"/>
        <w:rPr>
          <w:rFonts w:ascii="Times New Roman" w:hAnsi="Times New Roman" w:cs="Times New Roman"/>
          <w:sz w:val="28"/>
          <w:szCs w:val="28"/>
        </w:rPr>
      </w:pPr>
      <w:r w:rsidRPr="004135FE">
        <w:rPr>
          <w:rFonts w:ascii="Times New Roman" w:hAnsi="Times New Roman" w:cs="Times New Roman"/>
          <w:sz w:val="28"/>
          <w:szCs w:val="28"/>
        </w:rPr>
        <w:t>Не было аборта</w:t>
      </w:r>
    </w:p>
    <w:p w14:paraId="2F9B50F7" w14:textId="77777777" w:rsidR="008D5DB3" w:rsidRPr="004135FE" w:rsidRDefault="008D5DB3" w:rsidP="004135FE">
      <w:pPr>
        <w:tabs>
          <w:tab w:val="left" w:pos="426"/>
        </w:tabs>
        <w:spacing w:after="0" w:line="240" w:lineRule="auto"/>
        <w:jc w:val="both"/>
        <w:rPr>
          <w:rFonts w:ascii="Times New Roman" w:hAnsi="Times New Roman" w:cs="Times New Roman"/>
          <w:b/>
          <w:sz w:val="28"/>
          <w:szCs w:val="28"/>
        </w:rPr>
      </w:pPr>
    </w:p>
    <w:p w14:paraId="747DE7F2" w14:textId="77777777" w:rsidR="008D5DB3" w:rsidRPr="004135FE" w:rsidRDefault="008D5DB3" w:rsidP="004135FE">
      <w:pPr>
        <w:tabs>
          <w:tab w:val="left" w:pos="426"/>
        </w:tabs>
        <w:spacing w:after="0" w:line="240" w:lineRule="auto"/>
        <w:jc w:val="both"/>
        <w:rPr>
          <w:rFonts w:ascii="Times New Roman" w:hAnsi="Times New Roman" w:cs="Times New Roman"/>
          <w:b/>
          <w:sz w:val="28"/>
          <w:szCs w:val="28"/>
        </w:rPr>
      </w:pPr>
    </w:p>
    <w:p w14:paraId="1D38356A" w14:textId="77777777" w:rsidR="008D5DB3" w:rsidRPr="004135FE" w:rsidRDefault="008D5DB3" w:rsidP="004135FE">
      <w:pPr>
        <w:tabs>
          <w:tab w:val="left" w:pos="426"/>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Спасибо за участие в социологическом опросе!</w:t>
      </w:r>
    </w:p>
    <w:p w14:paraId="1065D8C9" w14:textId="77777777" w:rsidR="008D5DB3" w:rsidRPr="004135FE" w:rsidRDefault="008D5DB3" w:rsidP="004135FE">
      <w:pPr>
        <w:tabs>
          <w:tab w:val="left" w:pos="426"/>
        </w:tabs>
        <w:spacing w:after="0" w:line="240" w:lineRule="auto"/>
        <w:jc w:val="both"/>
        <w:rPr>
          <w:rFonts w:ascii="Times New Roman" w:hAnsi="Times New Roman" w:cs="Times New Roman"/>
          <w:sz w:val="28"/>
          <w:szCs w:val="28"/>
          <w:lang w:val="kk-KZ"/>
        </w:rPr>
      </w:pPr>
    </w:p>
    <w:p w14:paraId="2E3A501E" w14:textId="77777777" w:rsidR="008D5DB3" w:rsidRPr="004135FE" w:rsidRDefault="008D5DB3" w:rsidP="004135FE">
      <w:pPr>
        <w:spacing w:after="0" w:line="240" w:lineRule="auto"/>
        <w:jc w:val="both"/>
        <w:rPr>
          <w:rFonts w:ascii="Times New Roman" w:hAnsi="Times New Roman" w:cs="Times New Roman"/>
          <w:b/>
          <w:sz w:val="28"/>
          <w:szCs w:val="28"/>
          <w:lang w:val="kk-KZ"/>
        </w:rPr>
      </w:pPr>
    </w:p>
    <w:p w14:paraId="0E20521D" w14:textId="77777777" w:rsidR="008D5DB3" w:rsidRPr="004135FE" w:rsidRDefault="008D5DB3" w:rsidP="004135FE">
      <w:pPr>
        <w:spacing w:after="0" w:line="240" w:lineRule="auto"/>
        <w:jc w:val="both"/>
        <w:rPr>
          <w:rFonts w:ascii="Times New Roman" w:hAnsi="Times New Roman" w:cs="Times New Roman"/>
          <w:b/>
          <w:sz w:val="28"/>
          <w:szCs w:val="28"/>
          <w:lang w:val="kk-KZ"/>
        </w:rPr>
      </w:pPr>
    </w:p>
    <w:p w14:paraId="08FAD364" w14:textId="77777777" w:rsidR="008D5DB3" w:rsidRPr="004135FE" w:rsidRDefault="008D5DB3" w:rsidP="004135FE">
      <w:pPr>
        <w:spacing w:after="0" w:line="240" w:lineRule="auto"/>
        <w:jc w:val="both"/>
        <w:rPr>
          <w:rFonts w:ascii="Times New Roman" w:hAnsi="Times New Roman" w:cs="Times New Roman"/>
          <w:b/>
          <w:sz w:val="28"/>
          <w:szCs w:val="28"/>
          <w:lang w:val="kk-KZ"/>
        </w:rPr>
      </w:pPr>
    </w:p>
    <w:p w14:paraId="198C674A" w14:textId="77777777" w:rsidR="008D5DB3" w:rsidRPr="004135FE" w:rsidRDefault="008D5DB3" w:rsidP="004135FE">
      <w:pPr>
        <w:spacing w:after="0" w:line="240" w:lineRule="auto"/>
        <w:jc w:val="both"/>
        <w:rPr>
          <w:rFonts w:ascii="Times New Roman" w:hAnsi="Times New Roman" w:cs="Times New Roman"/>
          <w:b/>
          <w:sz w:val="28"/>
          <w:szCs w:val="28"/>
          <w:lang w:val="kk-KZ"/>
        </w:rPr>
      </w:pPr>
    </w:p>
    <w:p w14:paraId="3A63520F" w14:textId="77777777" w:rsidR="008D5DB3" w:rsidRPr="004135FE" w:rsidRDefault="008D5DB3" w:rsidP="004135FE">
      <w:pPr>
        <w:spacing w:after="0" w:line="240" w:lineRule="auto"/>
        <w:jc w:val="both"/>
        <w:rPr>
          <w:rFonts w:ascii="Times New Roman" w:hAnsi="Times New Roman" w:cs="Times New Roman"/>
          <w:b/>
          <w:sz w:val="28"/>
          <w:szCs w:val="28"/>
          <w:lang w:val="kk-KZ"/>
        </w:rPr>
      </w:pPr>
    </w:p>
    <w:p w14:paraId="0F4FCA91" w14:textId="77777777" w:rsidR="00D5685F" w:rsidRPr="004135FE" w:rsidRDefault="00D5685F" w:rsidP="004135FE">
      <w:pPr>
        <w:spacing w:after="0" w:line="240" w:lineRule="auto"/>
        <w:jc w:val="both"/>
        <w:rPr>
          <w:rFonts w:ascii="Times New Roman" w:hAnsi="Times New Roman" w:cs="Times New Roman"/>
          <w:b/>
          <w:sz w:val="28"/>
          <w:szCs w:val="28"/>
          <w:lang w:val="kk-KZ"/>
        </w:rPr>
      </w:pPr>
    </w:p>
    <w:p w14:paraId="031ACA3C" w14:textId="77777777" w:rsidR="00D5685F" w:rsidRPr="004135FE" w:rsidRDefault="00D5685F" w:rsidP="004135FE">
      <w:pPr>
        <w:spacing w:after="0" w:line="240" w:lineRule="auto"/>
        <w:jc w:val="both"/>
        <w:rPr>
          <w:rFonts w:ascii="Times New Roman" w:hAnsi="Times New Roman" w:cs="Times New Roman"/>
          <w:b/>
          <w:sz w:val="28"/>
          <w:szCs w:val="28"/>
          <w:lang w:val="kk-KZ"/>
        </w:rPr>
      </w:pPr>
    </w:p>
    <w:p w14:paraId="35CD240F" w14:textId="77777777" w:rsidR="00D5685F" w:rsidRPr="004135FE" w:rsidRDefault="00D5685F" w:rsidP="004135FE">
      <w:pPr>
        <w:spacing w:after="0" w:line="240" w:lineRule="auto"/>
        <w:jc w:val="both"/>
        <w:rPr>
          <w:rFonts w:ascii="Times New Roman" w:hAnsi="Times New Roman" w:cs="Times New Roman"/>
          <w:b/>
          <w:sz w:val="28"/>
          <w:szCs w:val="28"/>
          <w:lang w:val="kk-KZ"/>
        </w:rPr>
      </w:pPr>
    </w:p>
    <w:p w14:paraId="19ED1923" w14:textId="77777777" w:rsidR="00D5685F" w:rsidRPr="004135FE" w:rsidRDefault="00D5685F" w:rsidP="004135FE">
      <w:pPr>
        <w:spacing w:after="0" w:line="240" w:lineRule="auto"/>
        <w:jc w:val="both"/>
        <w:rPr>
          <w:rFonts w:ascii="Times New Roman" w:hAnsi="Times New Roman" w:cs="Times New Roman"/>
          <w:b/>
          <w:sz w:val="28"/>
          <w:szCs w:val="28"/>
          <w:lang w:val="kk-KZ"/>
        </w:rPr>
      </w:pPr>
    </w:p>
    <w:p w14:paraId="37EA1B59" w14:textId="77777777" w:rsidR="00D5685F" w:rsidRPr="004135FE" w:rsidRDefault="00D5685F" w:rsidP="004135FE">
      <w:pPr>
        <w:spacing w:after="0" w:line="240" w:lineRule="auto"/>
        <w:jc w:val="both"/>
        <w:rPr>
          <w:rFonts w:ascii="Times New Roman" w:hAnsi="Times New Roman" w:cs="Times New Roman"/>
          <w:b/>
          <w:sz w:val="28"/>
          <w:szCs w:val="28"/>
          <w:lang w:val="kk-KZ"/>
        </w:rPr>
      </w:pPr>
    </w:p>
    <w:p w14:paraId="660EE733" w14:textId="7CFB2DC8" w:rsidR="008D5DB3" w:rsidRPr="004135FE" w:rsidRDefault="008D5DB3" w:rsidP="004135FE">
      <w:pPr>
        <w:spacing w:after="0" w:line="240" w:lineRule="auto"/>
        <w:jc w:val="both"/>
        <w:rPr>
          <w:rFonts w:ascii="Times New Roman" w:hAnsi="Times New Roman" w:cs="Times New Roman"/>
          <w:b/>
          <w:sz w:val="28"/>
          <w:szCs w:val="28"/>
          <w:lang w:val="kk-KZ"/>
        </w:rPr>
      </w:pPr>
    </w:p>
    <w:p w14:paraId="64C875A7" w14:textId="7B3AEE17" w:rsidR="008D5DB3" w:rsidRPr="00680E37" w:rsidRDefault="00680E37" w:rsidP="00680E37">
      <w:pPr>
        <w:spacing w:after="0" w:line="240" w:lineRule="auto"/>
        <w:jc w:val="center"/>
        <w:rPr>
          <w:rStyle w:val="A00"/>
          <w:rFonts w:ascii="Times New Roman" w:eastAsia="Arial Unicode MS" w:hAnsi="Times New Roman" w:cs="Times New Roman"/>
          <w:bCs/>
          <w:caps/>
          <w:color w:val="auto"/>
          <w:sz w:val="28"/>
          <w:szCs w:val="28"/>
          <w:lang w:val="kk-KZ"/>
        </w:rPr>
      </w:pPr>
      <w:r>
        <w:rPr>
          <w:rStyle w:val="A00"/>
          <w:rFonts w:ascii="Times New Roman" w:eastAsia="Arial Unicode MS" w:hAnsi="Times New Roman" w:cs="Times New Roman"/>
          <w:bCs/>
          <w:color w:val="auto"/>
          <w:sz w:val="28"/>
          <w:szCs w:val="28"/>
          <w:lang w:val="kk-KZ"/>
        </w:rPr>
        <w:t>А</w:t>
      </w:r>
      <w:r w:rsidRPr="00680E37">
        <w:rPr>
          <w:rStyle w:val="A00"/>
          <w:rFonts w:ascii="Times New Roman" w:eastAsia="Arial Unicode MS" w:hAnsi="Times New Roman" w:cs="Times New Roman"/>
          <w:bCs/>
          <w:color w:val="auto"/>
          <w:sz w:val="28"/>
          <w:szCs w:val="28"/>
          <w:lang w:val="kk-KZ"/>
        </w:rPr>
        <w:t>лматы қаласының емханаларында 2 типті қант диабетінен эндокринологиялық көмек алатын пациенттерге арналған сауалнама</w:t>
      </w:r>
    </w:p>
    <w:p w14:paraId="7956779C" w14:textId="77777777" w:rsidR="008D5DB3" w:rsidRPr="00680E37" w:rsidRDefault="008D5DB3" w:rsidP="00680E37">
      <w:pPr>
        <w:spacing w:after="0" w:line="240" w:lineRule="auto"/>
        <w:jc w:val="center"/>
        <w:rPr>
          <w:rStyle w:val="A00"/>
          <w:rFonts w:ascii="Times New Roman" w:eastAsia="Arial Unicode MS" w:hAnsi="Times New Roman" w:cs="Times New Roman"/>
          <w:bCs/>
          <w:color w:val="auto"/>
          <w:sz w:val="28"/>
          <w:szCs w:val="28"/>
          <w:lang w:val="kk-KZ"/>
        </w:rPr>
      </w:pPr>
    </w:p>
    <w:p w14:paraId="053783C0" w14:textId="77777777" w:rsidR="008D5DB3" w:rsidRPr="004135FE" w:rsidRDefault="008D5DB3" w:rsidP="00680E37">
      <w:pPr>
        <w:spacing w:after="0" w:line="240" w:lineRule="auto"/>
        <w:jc w:val="center"/>
        <w:rPr>
          <w:rFonts w:ascii="Times New Roman" w:hAnsi="Times New Roman" w:cs="Times New Roman"/>
          <w:b/>
          <w:sz w:val="28"/>
          <w:szCs w:val="28"/>
          <w:lang w:val="kk-KZ"/>
        </w:rPr>
      </w:pPr>
      <w:r w:rsidRPr="004135FE">
        <w:rPr>
          <w:rFonts w:ascii="Times New Roman" w:hAnsi="Times New Roman" w:cs="Times New Roman"/>
          <w:b/>
          <w:sz w:val="28"/>
          <w:szCs w:val="28"/>
          <w:lang w:val="kk-KZ"/>
        </w:rPr>
        <w:t>Құрметті әлеуметтік сауалнамаға қатысушы тұлға!</w:t>
      </w:r>
    </w:p>
    <w:p w14:paraId="1089DE43" w14:textId="1BBA7A94" w:rsidR="00DD68E8" w:rsidRPr="004135FE" w:rsidRDefault="008D5DB3" w:rsidP="004135FE">
      <w:pPr>
        <w:spacing w:after="0" w:line="240" w:lineRule="auto"/>
        <w:ind w:firstLine="708"/>
        <w:jc w:val="both"/>
        <w:rPr>
          <w:rStyle w:val="A00"/>
          <w:rFonts w:ascii="Times New Roman" w:eastAsia="Arial Unicode MS" w:hAnsi="Times New Roman" w:cs="Times New Roman"/>
          <w:color w:val="auto"/>
          <w:sz w:val="28"/>
          <w:szCs w:val="28"/>
          <w:lang w:val="kk-KZ"/>
        </w:rPr>
      </w:pPr>
      <w:r w:rsidRPr="004135FE">
        <w:rPr>
          <w:rFonts w:ascii="Times New Roman" w:hAnsi="Times New Roman" w:cs="Times New Roman"/>
          <w:b/>
          <w:sz w:val="28"/>
          <w:szCs w:val="28"/>
          <w:lang w:val="kk-KZ"/>
        </w:rPr>
        <w:t>«ҚДСЖМ» Қазақстандық медицина университеті</w:t>
      </w:r>
      <w:r w:rsidRPr="004135FE">
        <w:rPr>
          <w:rStyle w:val="A00"/>
          <w:rFonts w:ascii="Times New Roman" w:eastAsia="Arial Unicode MS" w:hAnsi="Times New Roman" w:cs="Times New Roman"/>
          <w:color w:val="auto"/>
          <w:sz w:val="28"/>
          <w:szCs w:val="28"/>
          <w:lang w:val="kk-KZ"/>
        </w:rPr>
        <w:t xml:space="preserve"> " 2 типті қант диабеті бар </w:t>
      </w:r>
      <w:r w:rsidRPr="004135FE">
        <w:rPr>
          <w:rStyle w:val="A00"/>
          <w:rFonts w:ascii="Times New Roman" w:hAnsi="Times New Roman" w:cs="Times New Roman"/>
          <w:color w:val="auto"/>
          <w:sz w:val="28"/>
          <w:szCs w:val="28"/>
          <w:lang w:val="kk-KZ"/>
        </w:rPr>
        <w:t>науқастар</w:t>
      </w:r>
      <w:r w:rsidRPr="004135FE">
        <w:rPr>
          <w:rStyle w:val="A00"/>
          <w:rFonts w:ascii="Times New Roman" w:eastAsia="Arial Unicode MS" w:hAnsi="Times New Roman" w:cs="Times New Roman"/>
          <w:color w:val="auto"/>
          <w:sz w:val="28"/>
          <w:szCs w:val="28"/>
          <w:lang w:val="kk-KZ"/>
        </w:rPr>
        <w:t xml:space="preserve"> арасында әлеуметтік сауалнама жүргізеді. </w:t>
      </w:r>
      <w:r w:rsidR="009D6CE8" w:rsidRPr="004135FE">
        <w:rPr>
          <w:rStyle w:val="A00"/>
          <w:rFonts w:ascii="Times New Roman" w:eastAsia="Arial Unicode MS" w:hAnsi="Times New Roman" w:cs="Times New Roman"/>
          <w:sz w:val="28"/>
          <w:szCs w:val="28"/>
          <w:lang w:val="kk-KZ"/>
        </w:rPr>
        <w:t>Бірлесіп жүргізілген жұмыс нәтижесінде 2 типті қант диабеті жағдайында медициналық көмек көрсету және сектораралық ынтымақтастықты жетілдіру бойынша ұсыныстар әзірленетін болады</w:t>
      </w:r>
    </w:p>
    <w:p w14:paraId="7423FED3" w14:textId="56BC4AAE" w:rsidR="008D5DB3" w:rsidRPr="004135FE" w:rsidRDefault="008D5DB3" w:rsidP="004135FE">
      <w:pPr>
        <w:spacing w:after="0" w:line="240" w:lineRule="auto"/>
        <w:ind w:firstLine="708"/>
        <w:jc w:val="both"/>
        <w:rPr>
          <w:rStyle w:val="A00"/>
          <w:rFonts w:ascii="Times New Roman" w:eastAsia="Arial Unicode MS" w:hAnsi="Times New Roman" w:cs="Times New Roman"/>
          <w:color w:val="auto"/>
          <w:sz w:val="28"/>
          <w:szCs w:val="28"/>
          <w:lang w:val="kk-KZ"/>
        </w:rPr>
      </w:pPr>
      <w:r w:rsidRPr="004135FE">
        <w:rPr>
          <w:rStyle w:val="A00"/>
          <w:rFonts w:ascii="Times New Roman" w:eastAsia="Arial Unicode MS" w:hAnsi="Times New Roman" w:cs="Times New Roman"/>
          <w:color w:val="auto"/>
          <w:sz w:val="28"/>
          <w:szCs w:val="28"/>
          <w:lang w:val="kk-KZ"/>
        </w:rPr>
        <w:t xml:space="preserve">Сұрақтармен мұқият танысыңыз. Ең дұрыс деп санайтын жауапты </w:t>
      </w:r>
      <w:r w:rsidRPr="004135FE">
        <w:rPr>
          <w:rStyle w:val="A00"/>
          <w:rFonts w:ascii="Times New Roman" w:hAnsi="Times New Roman" w:cs="Times New Roman"/>
          <w:color w:val="auto"/>
          <w:sz w:val="28"/>
          <w:szCs w:val="28"/>
          <w:lang w:val="kk-KZ"/>
        </w:rPr>
        <w:t>таңдап белгілеңіз</w:t>
      </w:r>
      <w:r w:rsidRPr="004135FE">
        <w:rPr>
          <w:rStyle w:val="A00"/>
          <w:rFonts w:ascii="Times New Roman" w:eastAsia="Arial Unicode MS" w:hAnsi="Times New Roman" w:cs="Times New Roman"/>
          <w:color w:val="auto"/>
          <w:sz w:val="28"/>
          <w:szCs w:val="28"/>
          <w:lang w:val="kk-KZ"/>
        </w:rPr>
        <w:t>. Біз Сізді осы сауалнамаға қатысуға шақырамыз</w:t>
      </w:r>
      <w:r w:rsidR="00294A56" w:rsidRPr="004135FE">
        <w:rPr>
          <w:rStyle w:val="A00"/>
          <w:rFonts w:ascii="Times New Roman" w:eastAsia="Arial Unicode MS" w:hAnsi="Times New Roman" w:cs="Times New Roman"/>
          <w:color w:val="auto"/>
          <w:sz w:val="28"/>
          <w:szCs w:val="28"/>
          <w:lang w:val="kk-KZ"/>
        </w:rPr>
        <w:t xml:space="preserve">, Сіздің пікіріңіз өте маңызды. </w:t>
      </w:r>
      <w:r w:rsidRPr="004135FE">
        <w:rPr>
          <w:rStyle w:val="A00"/>
          <w:rFonts w:ascii="Times New Roman" w:eastAsia="Arial Unicode MS" w:hAnsi="Times New Roman" w:cs="Times New Roman"/>
          <w:color w:val="auto"/>
          <w:sz w:val="28"/>
          <w:szCs w:val="28"/>
          <w:lang w:val="kk-KZ"/>
        </w:rPr>
        <w:t>Осы сауалнаманы толтыру үшін Сізге 15-20 минут қажет</w:t>
      </w:r>
      <w:r w:rsidR="00294A56" w:rsidRPr="004135FE">
        <w:rPr>
          <w:rStyle w:val="A00"/>
          <w:rFonts w:ascii="Times New Roman" w:eastAsia="Arial Unicode MS" w:hAnsi="Times New Roman" w:cs="Times New Roman"/>
          <w:color w:val="auto"/>
          <w:sz w:val="28"/>
          <w:szCs w:val="28"/>
          <w:lang w:val="kk-KZ"/>
        </w:rPr>
        <w:t xml:space="preserve">. </w:t>
      </w:r>
      <w:r w:rsidRPr="004135FE">
        <w:rPr>
          <w:rStyle w:val="A00"/>
          <w:rFonts w:ascii="Times New Roman" w:eastAsia="Arial Unicode MS" w:hAnsi="Times New Roman" w:cs="Times New Roman"/>
          <w:color w:val="auto"/>
          <w:sz w:val="28"/>
          <w:szCs w:val="28"/>
          <w:lang w:val="kk-KZ"/>
        </w:rPr>
        <w:t>Мәліметтердің құпиялылығына кепілдік беріледі!</w:t>
      </w:r>
    </w:p>
    <w:p w14:paraId="78BAE1CC" w14:textId="77777777" w:rsidR="00832EBA" w:rsidRPr="004135FE" w:rsidRDefault="008D5DB3" w:rsidP="004135FE">
      <w:pPr>
        <w:spacing w:after="0" w:line="240" w:lineRule="auto"/>
        <w:ind w:firstLine="709"/>
        <w:jc w:val="both"/>
        <w:rPr>
          <w:rStyle w:val="A00"/>
          <w:rFonts w:ascii="Times New Roman" w:hAnsi="Times New Roman" w:cs="Times New Roman"/>
          <w:color w:val="auto"/>
          <w:sz w:val="28"/>
          <w:szCs w:val="28"/>
          <w:lang w:val="kk-KZ"/>
        </w:rPr>
      </w:pPr>
      <w:r w:rsidRPr="004135FE">
        <w:rPr>
          <w:rStyle w:val="A00"/>
          <w:rFonts w:ascii="Times New Roman" w:hAnsi="Times New Roman" w:cs="Times New Roman"/>
          <w:color w:val="auto"/>
          <w:sz w:val="28"/>
          <w:szCs w:val="28"/>
          <w:lang w:val="kk-KZ"/>
        </w:rPr>
        <w:t>Қосымша ақпарат алу үшін бас зерттеуші Жузенова Мақпал Адиловнамен байланыса аласыз.</w:t>
      </w:r>
    </w:p>
    <w:p w14:paraId="23F3CF94" w14:textId="5E22D10E" w:rsidR="008D5DB3" w:rsidRPr="004135FE" w:rsidRDefault="008D5DB3" w:rsidP="004135FE">
      <w:pPr>
        <w:spacing w:after="0" w:line="240" w:lineRule="auto"/>
        <w:ind w:firstLine="709"/>
        <w:jc w:val="both"/>
        <w:rPr>
          <w:rStyle w:val="A00"/>
          <w:rFonts w:ascii="Times New Roman" w:hAnsi="Times New Roman" w:cs="Times New Roman"/>
          <w:color w:val="auto"/>
          <w:sz w:val="28"/>
          <w:szCs w:val="28"/>
          <w:lang w:val="kk-KZ"/>
        </w:rPr>
      </w:pPr>
      <w:r w:rsidRPr="004135FE">
        <w:rPr>
          <w:rStyle w:val="A00"/>
          <w:rFonts w:ascii="Times New Roman" w:eastAsia="Arial Unicode MS" w:hAnsi="Times New Roman" w:cs="Times New Roman"/>
          <w:color w:val="auto"/>
          <w:sz w:val="28"/>
          <w:szCs w:val="28"/>
          <w:lang w:val="kk-KZ"/>
        </w:rPr>
        <w:t>Тел.: 8 701 222 64 10</w:t>
      </w:r>
      <w:r w:rsidRPr="004135FE">
        <w:rPr>
          <w:rStyle w:val="A00"/>
          <w:rFonts w:ascii="Times New Roman" w:hAnsi="Times New Roman" w:cs="Times New Roman"/>
          <w:color w:val="auto"/>
          <w:sz w:val="28"/>
          <w:szCs w:val="28"/>
          <w:lang w:val="kk-KZ"/>
        </w:rPr>
        <w:t xml:space="preserve">   </w:t>
      </w:r>
      <w:r w:rsidRPr="004135FE">
        <w:rPr>
          <w:rStyle w:val="A00"/>
          <w:rFonts w:ascii="Times New Roman" w:eastAsia="Arial Unicode MS" w:hAnsi="Times New Roman" w:cs="Times New Roman"/>
          <w:color w:val="auto"/>
          <w:sz w:val="28"/>
          <w:szCs w:val="28"/>
          <w:lang w:val="kk-KZ"/>
        </w:rPr>
        <w:t>E-mail: zhuzenovam@gmail.com</w:t>
      </w:r>
    </w:p>
    <w:p w14:paraId="5B6F1C08"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p>
    <w:p w14:paraId="509352BF"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caps/>
          <w:sz w:val="28"/>
          <w:szCs w:val="28"/>
          <w:lang w:val="kk-KZ"/>
        </w:rPr>
        <w:t>1-бөлім.</w:t>
      </w:r>
      <w:r w:rsidRPr="004135FE">
        <w:rPr>
          <w:rFonts w:ascii="Times New Roman" w:hAnsi="Times New Roman" w:cs="Times New Roman"/>
          <w:sz w:val="28"/>
          <w:szCs w:val="28"/>
          <w:lang w:val="kk-KZ"/>
        </w:rPr>
        <w:t xml:space="preserve"> ПАЦИЕНТТІҢ ДЕРЕКТЕРІ</w:t>
      </w:r>
    </w:p>
    <w:p w14:paraId="5543A5E6"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1. Сіздің жасыңыз:</w:t>
      </w:r>
    </w:p>
    <w:p w14:paraId="1F4045B1"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20-ға дейін</w:t>
      </w:r>
    </w:p>
    <w:p w14:paraId="7FBE68AB"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21 – 25</w:t>
      </w:r>
    </w:p>
    <w:p w14:paraId="46C2725D"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26 - 30</w:t>
      </w:r>
    </w:p>
    <w:p w14:paraId="2CAA3892"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31 – 35</w:t>
      </w:r>
    </w:p>
    <w:p w14:paraId="19490A44"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36 – 40</w:t>
      </w:r>
    </w:p>
    <w:p w14:paraId="221B824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41 – 45</w:t>
      </w:r>
    </w:p>
    <w:p w14:paraId="1461EB1C"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7. 46 – 50</w:t>
      </w:r>
    </w:p>
    <w:p w14:paraId="0B855AAE"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8. 51 – 55</w:t>
      </w:r>
    </w:p>
    <w:p w14:paraId="15F47FF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9. 56 – 60</w:t>
      </w:r>
    </w:p>
    <w:p w14:paraId="5FDD9D1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10. 61 – 65</w:t>
      </w:r>
    </w:p>
    <w:p w14:paraId="53DF5E74"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11. 66 – 70</w:t>
      </w:r>
    </w:p>
    <w:p w14:paraId="3B377AB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12. 70-тен жоғары</w:t>
      </w:r>
    </w:p>
    <w:p w14:paraId="5A6B412D"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p>
    <w:p w14:paraId="5FB049DE"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b/>
          <w:sz w:val="28"/>
          <w:szCs w:val="28"/>
          <w:lang w:val="kk-KZ"/>
        </w:rPr>
        <w:t xml:space="preserve"> 1.1</w:t>
      </w:r>
      <w:r w:rsidRPr="004135FE">
        <w:rPr>
          <w:rFonts w:ascii="Times New Roman" w:hAnsi="Times New Roman" w:cs="Times New Roman"/>
          <w:sz w:val="28"/>
          <w:szCs w:val="28"/>
          <w:lang w:val="kk-KZ"/>
        </w:rPr>
        <w:t xml:space="preserve"> </w:t>
      </w:r>
      <w:r w:rsidRPr="004135FE">
        <w:rPr>
          <w:rFonts w:ascii="Times New Roman" w:hAnsi="Times New Roman" w:cs="Times New Roman"/>
          <w:b/>
          <w:sz w:val="28"/>
          <w:szCs w:val="28"/>
          <w:lang w:val="kk-KZ"/>
        </w:rPr>
        <w:t>Жынысы</w:t>
      </w:r>
      <w:r w:rsidRPr="004135FE">
        <w:rPr>
          <w:rFonts w:ascii="Times New Roman" w:hAnsi="Times New Roman" w:cs="Times New Roman"/>
          <w:sz w:val="28"/>
          <w:szCs w:val="28"/>
          <w:lang w:val="kk-KZ"/>
        </w:rPr>
        <w:t xml:space="preserve">: </w:t>
      </w:r>
    </w:p>
    <w:p w14:paraId="090EA06B"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 xml:space="preserve">1. "еркек"             </w:t>
      </w:r>
    </w:p>
    <w:p w14:paraId="112CE963"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 әйел»</w:t>
      </w:r>
    </w:p>
    <w:p w14:paraId="03023D81"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p>
    <w:p w14:paraId="07FE3CBB"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2. Сіздің салмағыңыз, кг:</w:t>
      </w:r>
    </w:p>
    <w:p w14:paraId="3F6C949F"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45 - 50</w:t>
      </w:r>
    </w:p>
    <w:p w14:paraId="438E7B8F"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51 - 55</w:t>
      </w:r>
    </w:p>
    <w:p w14:paraId="4C26E568"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56 - 60</w:t>
      </w:r>
    </w:p>
    <w:p w14:paraId="0B3B931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61 - 65</w:t>
      </w:r>
    </w:p>
    <w:p w14:paraId="07857CD8"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66 - 70</w:t>
      </w:r>
    </w:p>
    <w:p w14:paraId="27132E81"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71 - 75</w:t>
      </w:r>
    </w:p>
    <w:p w14:paraId="25EBE202"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7. 76 - 80</w:t>
      </w:r>
    </w:p>
    <w:p w14:paraId="654A23B7"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8. 81 - 85</w:t>
      </w:r>
    </w:p>
    <w:p w14:paraId="68491E2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9. 86 - 90</w:t>
      </w:r>
    </w:p>
    <w:p w14:paraId="58160BD1"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10. 91 - 95</w:t>
      </w:r>
    </w:p>
    <w:p w14:paraId="60D0285E"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11. 96 - 100</w:t>
      </w:r>
    </w:p>
    <w:p w14:paraId="2CA97704"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12. 101 - 105</w:t>
      </w:r>
    </w:p>
    <w:p w14:paraId="7C47984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13. 106 - 110</w:t>
      </w:r>
    </w:p>
    <w:p w14:paraId="61A92AF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14. 111-ден жоғары</w:t>
      </w:r>
    </w:p>
    <w:p w14:paraId="31E128E8"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p>
    <w:p w14:paraId="25EB1F74"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3. Сіздің бойыңыз, см:</w:t>
      </w:r>
    </w:p>
    <w:p w14:paraId="48227072"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150 - 155</w:t>
      </w:r>
    </w:p>
    <w:p w14:paraId="6C408DF1"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156 - 160</w:t>
      </w:r>
    </w:p>
    <w:p w14:paraId="0392502A"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161 - 165</w:t>
      </w:r>
    </w:p>
    <w:p w14:paraId="1F1A073E"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166 - 170</w:t>
      </w:r>
    </w:p>
    <w:p w14:paraId="4494A0E7"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171 - 175</w:t>
      </w:r>
    </w:p>
    <w:p w14:paraId="14ED8D6B"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176 - 180</w:t>
      </w:r>
    </w:p>
    <w:p w14:paraId="785710FE"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7. 181 - 185</w:t>
      </w:r>
    </w:p>
    <w:p w14:paraId="3F33D948"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8. 186 - 190</w:t>
      </w:r>
    </w:p>
    <w:p w14:paraId="4323867C"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9. 191 - 195</w:t>
      </w:r>
    </w:p>
    <w:p w14:paraId="44EB0908"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10. 196 - 200</w:t>
      </w:r>
    </w:p>
    <w:p w14:paraId="07C6446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11. 200-ден жоғары</w:t>
      </w:r>
    </w:p>
    <w:p w14:paraId="5C3B3514"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p>
    <w:p w14:paraId="66701E4C"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4. Сіздің біліміңіз:</w:t>
      </w:r>
    </w:p>
    <w:p w14:paraId="7647483C"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Жоғары</w:t>
      </w:r>
    </w:p>
    <w:p w14:paraId="27AB24F4"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Орташа-арнаулы</w:t>
      </w:r>
    </w:p>
    <w:p w14:paraId="6BB5618E"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Орташа аяқталмаған</w:t>
      </w:r>
    </w:p>
    <w:p w14:paraId="286C7847"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Орташа</w:t>
      </w:r>
    </w:p>
    <w:p w14:paraId="45D8DDBC"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5. Отбасылық жағдайыңыз:</w:t>
      </w:r>
    </w:p>
    <w:p w14:paraId="2BBF51AF"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Ресми некеде</w:t>
      </w:r>
    </w:p>
    <w:p w14:paraId="65AD7EFD"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Азаматтық некеде</w:t>
      </w:r>
    </w:p>
    <w:p w14:paraId="4BED96A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Жесір</w:t>
      </w:r>
    </w:p>
    <w:p w14:paraId="74B8C62D"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Ажырасуда</w:t>
      </w:r>
    </w:p>
    <w:p w14:paraId="6F9799D1"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Тұрмыс құрмаған/ үйленбеген</w:t>
      </w:r>
    </w:p>
    <w:p w14:paraId="25F4CF4E"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Басқасы</w:t>
      </w:r>
    </w:p>
    <w:p w14:paraId="0CEBB96D"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6. Жұмыспен қамту немесе әлеуметтік мәртебесі:</w:t>
      </w:r>
    </w:p>
    <w:p w14:paraId="4A3550A8"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Әскери қызметкер</w:t>
      </w:r>
    </w:p>
    <w:p w14:paraId="7A64108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Жұмысшы</w:t>
      </w:r>
    </w:p>
    <w:p w14:paraId="6BD9E5AD"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Жұмыссыз</w:t>
      </w:r>
    </w:p>
    <w:p w14:paraId="214CFC5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Жеке еңбек қызметімен айналысатын тұлға</w:t>
      </w:r>
    </w:p>
    <w:p w14:paraId="217924AB"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Студент</w:t>
      </w:r>
    </w:p>
    <w:p w14:paraId="3F807B27"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Үй шаруашылығы</w:t>
      </w:r>
    </w:p>
    <w:p w14:paraId="3F01688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7. Жасына байланысты зейнеткер</w:t>
      </w:r>
    </w:p>
    <w:p w14:paraId="3412CE78"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8. </w:t>
      </w:r>
      <w:r w:rsidRPr="004135FE">
        <w:rPr>
          <w:rFonts w:ascii="Times New Roman" w:hAnsi="Times New Roman" w:cs="Times New Roman"/>
          <w:sz w:val="28"/>
          <w:szCs w:val="28"/>
          <w:lang w:val="kk-KZ"/>
        </w:rPr>
        <w:t>Қ</w:t>
      </w:r>
      <w:r w:rsidRPr="004135FE">
        <w:rPr>
          <w:rFonts w:ascii="Times New Roman" w:hAnsi="Times New Roman" w:cs="Times New Roman"/>
          <w:sz w:val="28"/>
          <w:szCs w:val="28"/>
        </w:rPr>
        <w:t xml:space="preserve">ант диабеті бойынша </w:t>
      </w:r>
      <w:r w:rsidRPr="004135FE">
        <w:rPr>
          <w:rFonts w:ascii="Times New Roman" w:hAnsi="Times New Roman" w:cs="Times New Roman"/>
          <w:sz w:val="28"/>
          <w:szCs w:val="28"/>
          <w:lang w:val="kk-KZ"/>
        </w:rPr>
        <w:t>м</w:t>
      </w:r>
      <w:r w:rsidRPr="004135FE">
        <w:rPr>
          <w:rFonts w:ascii="Times New Roman" w:hAnsi="Times New Roman" w:cs="Times New Roman"/>
          <w:sz w:val="28"/>
          <w:szCs w:val="28"/>
        </w:rPr>
        <w:t xml:space="preserve">үгедектік </w:t>
      </w:r>
    </w:p>
    <w:p w14:paraId="50878E8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9. Басқасы</w:t>
      </w:r>
    </w:p>
    <w:p w14:paraId="7B7304EA"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p>
    <w:p w14:paraId="0690703C"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caps/>
          <w:sz w:val="28"/>
          <w:szCs w:val="28"/>
        </w:rPr>
        <w:t>2-бөлім.</w:t>
      </w:r>
      <w:r w:rsidRPr="004135FE">
        <w:rPr>
          <w:rFonts w:ascii="Times New Roman" w:hAnsi="Times New Roman" w:cs="Times New Roman"/>
          <w:sz w:val="28"/>
          <w:szCs w:val="28"/>
        </w:rPr>
        <w:t xml:space="preserve"> </w:t>
      </w:r>
      <w:r w:rsidRPr="004135FE">
        <w:rPr>
          <w:rStyle w:val="A00"/>
          <w:rFonts w:ascii="Times New Roman" w:hAnsi="Times New Roman" w:cs="Times New Roman"/>
          <w:caps/>
          <w:color w:val="auto"/>
          <w:sz w:val="28"/>
          <w:szCs w:val="28"/>
          <w:lang w:val="kk-KZ"/>
        </w:rPr>
        <w:t>науқастарға</w:t>
      </w:r>
      <w:r w:rsidRPr="004135FE">
        <w:rPr>
          <w:rStyle w:val="A00"/>
          <w:rFonts w:ascii="Times New Roman" w:eastAsia="Arial Unicode MS" w:hAnsi="Times New Roman" w:cs="Times New Roman"/>
          <w:caps/>
          <w:color w:val="auto"/>
          <w:sz w:val="28"/>
          <w:szCs w:val="28"/>
          <w:lang w:val="kk-KZ"/>
        </w:rPr>
        <w:t xml:space="preserve"> жеке ерекшеліктеріне байланысты көзқарас</w:t>
      </w:r>
    </w:p>
    <w:p w14:paraId="03EF10C3"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7. 2 типті қант диабеті диагнозы қа</w:t>
      </w:r>
      <w:r w:rsidRPr="004135FE">
        <w:rPr>
          <w:rFonts w:ascii="Times New Roman" w:hAnsi="Times New Roman" w:cs="Times New Roman"/>
          <w:b/>
          <w:sz w:val="28"/>
          <w:szCs w:val="28"/>
          <w:lang w:val="kk-KZ"/>
        </w:rPr>
        <w:t>нша</w:t>
      </w:r>
      <w:r w:rsidRPr="004135FE">
        <w:rPr>
          <w:rFonts w:ascii="Times New Roman" w:hAnsi="Times New Roman" w:cs="Times New Roman"/>
          <w:b/>
          <w:sz w:val="28"/>
          <w:szCs w:val="28"/>
        </w:rPr>
        <w:t xml:space="preserve"> жаста қойылды?</w:t>
      </w:r>
    </w:p>
    <w:p w14:paraId="0562B6ED"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20-ға дейін</w:t>
      </w:r>
    </w:p>
    <w:p w14:paraId="37104A6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21 – 25</w:t>
      </w:r>
    </w:p>
    <w:p w14:paraId="07036D5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26 - 30</w:t>
      </w:r>
    </w:p>
    <w:p w14:paraId="2986A29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31 – 35</w:t>
      </w:r>
    </w:p>
    <w:p w14:paraId="2D18114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36 – 40</w:t>
      </w:r>
    </w:p>
    <w:p w14:paraId="0F5AF6BC"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41 – 45</w:t>
      </w:r>
    </w:p>
    <w:p w14:paraId="2FB8310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7. 46 – 50</w:t>
      </w:r>
    </w:p>
    <w:p w14:paraId="483DFC9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8. 51 – 55</w:t>
      </w:r>
    </w:p>
    <w:p w14:paraId="0D0FE9ED"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9. 56 – 60</w:t>
      </w:r>
    </w:p>
    <w:p w14:paraId="368DDDFF"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10. 61 – 65</w:t>
      </w:r>
    </w:p>
    <w:p w14:paraId="7B8A629D"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11. 66 – 70</w:t>
      </w:r>
    </w:p>
    <w:p w14:paraId="06F61F38"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12. 70-тен жоғары</w:t>
      </w:r>
    </w:p>
    <w:p w14:paraId="5FB483B8"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rPr>
        <w:t xml:space="preserve">8. Қандай жағдайларда </w:t>
      </w:r>
      <w:r w:rsidRPr="004135FE">
        <w:rPr>
          <w:rFonts w:ascii="Times New Roman" w:hAnsi="Times New Roman" w:cs="Times New Roman"/>
          <w:b/>
          <w:sz w:val="28"/>
          <w:szCs w:val="28"/>
          <w:lang w:val="kk-KZ"/>
        </w:rPr>
        <w:t>С</w:t>
      </w:r>
      <w:r w:rsidRPr="004135FE">
        <w:rPr>
          <w:rFonts w:ascii="Times New Roman" w:hAnsi="Times New Roman" w:cs="Times New Roman"/>
          <w:b/>
          <w:sz w:val="28"/>
          <w:szCs w:val="28"/>
        </w:rPr>
        <w:t>ізд</w:t>
      </w:r>
      <w:r w:rsidRPr="004135FE">
        <w:rPr>
          <w:rFonts w:ascii="Times New Roman" w:hAnsi="Times New Roman" w:cs="Times New Roman"/>
          <w:b/>
          <w:sz w:val="28"/>
          <w:szCs w:val="28"/>
          <w:lang w:val="kk-KZ"/>
        </w:rPr>
        <w:t>ің</w:t>
      </w:r>
      <w:r w:rsidRPr="004135FE">
        <w:rPr>
          <w:rFonts w:ascii="Times New Roman" w:hAnsi="Times New Roman" w:cs="Times New Roman"/>
          <w:b/>
          <w:sz w:val="28"/>
          <w:szCs w:val="28"/>
        </w:rPr>
        <w:t xml:space="preserve"> қан</w:t>
      </w:r>
      <w:r w:rsidRPr="004135FE">
        <w:rPr>
          <w:rFonts w:ascii="Times New Roman" w:hAnsi="Times New Roman" w:cs="Times New Roman"/>
          <w:b/>
          <w:sz w:val="28"/>
          <w:szCs w:val="28"/>
          <w:lang w:val="kk-KZ"/>
        </w:rPr>
        <w:t>ыңыздағы</w:t>
      </w:r>
      <w:r w:rsidRPr="004135FE">
        <w:rPr>
          <w:rFonts w:ascii="Times New Roman" w:hAnsi="Times New Roman" w:cs="Times New Roman"/>
          <w:b/>
          <w:sz w:val="28"/>
          <w:szCs w:val="28"/>
        </w:rPr>
        <w:t xml:space="preserve"> глюкоза (қант) деңгейі жоғары </w:t>
      </w:r>
      <w:r w:rsidRPr="004135FE">
        <w:rPr>
          <w:rFonts w:ascii="Times New Roman" w:hAnsi="Times New Roman" w:cs="Times New Roman"/>
          <w:b/>
          <w:sz w:val="28"/>
          <w:szCs w:val="28"/>
          <w:lang w:val="kk-KZ"/>
        </w:rPr>
        <w:t>екендігі анықталды?</w:t>
      </w:r>
    </w:p>
    <w:p w14:paraId="2B2E1452"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Артериялық гипертензия бойынша диспансерлеу кезінде</w:t>
      </w:r>
    </w:p>
    <w:p w14:paraId="21CE458A"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Профилактикалық тексеру</w:t>
      </w:r>
    </w:p>
    <w:p w14:paraId="014E7802"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Суық тиюдің асқынуы кезінде</w:t>
      </w:r>
    </w:p>
    <w:p w14:paraId="3A5E9308"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Нәресте сүюді жоспарлауға дайындық кезінде</w:t>
      </w:r>
    </w:p>
    <w:p w14:paraId="593B7D7C"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Хирургиялық шаралардан кейін</w:t>
      </w:r>
    </w:p>
    <w:p w14:paraId="5A49F2B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Басқасы</w:t>
      </w:r>
    </w:p>
    <w:p w14:paraId="7606B9F5"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9.  Дәрігер эндокринолог Сізді бұрын соңды 2 типті қант диабетінің генетикалық маркерын анықтау үшін анализге жолдама берген еди ма?</w:t>
      </w:r>
    </w:p>
    <w:p w14:paraId="7B18F39F" w14:textId="77777777" w:rsidR="008D5DB3" w:rsidRPr="004135FE" w:rsidRDefault="008D5DB3" w:rsidP="004135FE">
      <w:pPr>
        <w:tabs>
          <w:tab w:val="left" w:pos="2295"/>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Ия</w:t>
      </w:r>
    </w:p>
    <w:p w14:paraId="07471247"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Жоқ</w:t>
      </w:r>
    </w:p>
    <w:p w14:paraId="4C94D67B"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Бірінші рет естіп тұрмын бұндай анализ түрін</w:t>
      </w:r>
    </w:p>
    <w:p w14:paraId="04F4F85D"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Есімде жоқ</w:t>
      </w:r>
    </w:p>
    <w:p w14:paraId="32056CC0"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10. Дәрігер Сізге дәрілік заттарды қабылдау және мөлшерлеу жөніндегі ұсыныстарды тағайындау барысында, Сіздің күн тәртібінің жеке ерекшеліктері мен тамақтану әдеттерін, мінез-құлықты, физикалық жүктемені ескереді ме?</w:t>
      </w:r>
    </w:p>
    <w:p w14:paraId="1529D5E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Сұрастырады және ескереді</w:t>
      </w:r>
    </w:p>
    <w:p w14:paraId="00FF8B5C"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Сұрастырады, бірақ ескермейді</w:t>
      </w:r>
    </w:p>
    <w:p w14:paraId="669201BD"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Сұрастырмайды және ескермейді</w:t>
      </w:r>
    </w:p>
    <w:p w14:paraId="2D7A7166"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 xml:space="preserve">11. Егер Сіздің дәрілік заттарыңыз емхана дәріханасында болмаса, олардың келіп түскені туралы ақпаратты кімнен аласыз? </w:t>
      </w:r>
    </w:p>
    <w:p w14:paraId="4D5D131F"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Эндокринолог дәрігерінен</w:t>
      </w:r>
    </w:p>
    <w:p w14:paraId="06B36787"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Эндокринолог медбикесінен</w:t>
      </w:r>
    </w:p>
    <w:p w14:paraId="2B9762A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Жалпы тәжірибелік дәрігерінен</w:t>
      </w:r>
    </w:p>
    <w:p w14:paraId="69B0C53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Дәріхана провизорынан</w:t>
      </w:r>
    </w:p>
    <w:p w14:paraId="3D8A7DF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Тіркеу орталығы Call</w:t>
      </w:r>
    </w:p>
    <w:p w14:paraId="2FAF8A4C"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 xml:space="preserve">12. Қарсы көрсетілімдер мен сақтық шараларын ескере отырып, Сізге дене белсенділігін жеке таңдау жүргізілді ме? </w:t>
      </w:r>
    </w:p>
    <w:p w14:paraId="7C5963B7"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Жоқ</w:t>
      </w:r>
    </w:p>
    <w:p w14:paraId="0C53691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Өз бетінше, біреу физикалық жүктемені таңдайтынын білмедім.</w:t>
      </w:r>
    </w:p>
    <w:p w14:paraId="76F2F902"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Иә, дәрігер кардиолог таңдау жүргізді</w:t>
      </w:r>
    </w:p>
    <w:p w14:paraId="6247AC4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Иә, невропатолог дәрігері</w:t>
      </w:r>
    </w:p>
    <w:p w14:paraId="72A8DEA8"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Иә, эндокринолог дәрігері</w:t>
      </w:r>
    </w:p>
    <w:p w14:paraId="5372BC14"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Иә, эндокринолог дәрігерінің медбикесі</w:t>
      </w:r>
    </w:p>
    <w:p w14:paraId="73A63E94"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7. Иә, жалпы тәжірибелік дәрігері</w:t>
      </w:r>
    </w:p>
    <w:p w14:paraId="4BBBA282"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8. Иә, диабет мектебі оқу өткізді</w:t>
      </w:r>
    </w:p>
    <w:p w14:paraId="7856410C"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9. Спорт кешенінде</w:t>
      </w:r>
    </w:p>
    <w:p w14:paraId="200A51D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p>
    <w:p w14:paraId="46F15421"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caps/>
          <w:sz w:val="28"/>
          <w:szCs w:val="28"/>
          <w:lang w:val="kk-KZ"/>
        </w:rPr>
        <w:t>3-бөлім.</w:t>
      </w:r>
      <w:r w:rsidRPr="004135FE">
        <w:rPr>
          <w:rFonts w:ascii="Times New Roman" w:hAnsi="Times New Roman" w:cs="Times New Roman"/>
          <w:sz w:val="28"/>
          <w:szCs w:val="28"/>
          <w:lang w:val="kk-KZ"/>
        </w:rPr>
        <w:t xml:space="preserve"> ПАЦИЕНТТЕРГЕ МЕДИЦИНАЛЫҚ КӨМЕК КӨРСЕТУГЕ ҚАНАҒАТТАНУШЫЛЫҚ ЖӘНЕ АҚПАРАТТАНДЫРУ САПАСЫ</w:t>
      </w:r>
    </w:p>
    <w:p w14:paraId="21974EEB"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 xml:space="preserve">13. Сізге "№9 стол " мағынасын кім түсіндірді? </w:t>
      </w:r>
    </w:p>
    <w:p w14:paraId="44BB5DB2"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Эндокринолог дәрігер</w:t>
      </w:r>
    </w:p>
    <w:p w14:paraId="630644B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Эндокринолог дәрігерінің медбикесі</w:t>
      </w:r>
    </w:p>
    <w:p w14:paraId="0286EC2A"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Жалпы тәжірибелік дәрігері</w:t>
      </w:r>
    </w:p>
    <w:p w14:paraId="0D1EA5E8"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Танысу үшін брошюраны берді, түсіндірмеді</w:t>
      </w:r>
    </w:p>
    <w:p w14:paraId="6BCF73EC"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Диабет мектебінде</w:t>
      </w:r>
    </w:p>
    <w:p w14:paraId="109F0FE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«Салауатты өмір салтын қалыптастыру» кабинетінде</w:t>
      </w:r>
    </w:p>
    <w:p w14:paraId="070F6098"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14. Дәрігердің қабылдауында барлық сөздер түсінікті ме, әлде түсініксіз терминдер бар ма?</w:t>
      </w:r>
    </w:p>
    <w:p w14:paraId="73F94D5B"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Бәрі түсінікті, есте жақсы сақталады</w:t>
      </w:r>
    </w:p>
    <w:p w14:paraId="3E19875B"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Кабинетте барлығы түсінікті, бірақ шығы сала есте сақталмайды</w:t>
      </w:r>
    </w:p>
    <w:p w14:paraId="746A8C17"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Түсінікті емес, бірақ бәрі түсінікті сияқты басымды изеймін</w:t>
      </w:r>
    </w:p>
    <w:p w14:paraId="368D4CFC"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Түсініксіз жайды қайта сұрастырамын</w:t>
      </w:r>
    </w:p>
    <w:p w14:paraId="59B6DE30"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15. Терминнің мәнін түсіндіру жөнінде Сіздің жасаған өтінішіңізге медперсонал қалай жауап береді?</w:t>
      </w:r>
    </w:p>
    <w:p w14:paraId="5776BBEA"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Ықтиярлықпен түсіндіреді</w:t>
      </w:r>
    </w:p>
    <w:p w14:paraId="0113F01B"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Ықтиярсыз түсіндіреді</w:t>
      </w:r>
    </w:p>
    <w:p w14:paraId="74EEE517"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Уақытының тапшылығына сүйене отырып түсіндірмейді</w:t>
      </w:r>
    </w:p>
    <w:p w14:paraId="6B261C99"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16. Қабылдау кезінде медперсонал Сізге қанша уақыт бөледі?</w:t>
      </w:r>
    </w:p>
    <w:p w14:paraId="3024008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А) қарауға және тексеруге                                              Б) құжаттарды ресімдеуге</w:t>
      </w:r>
    </w:p>
    <w:p w14:paraId="7035516C" w14:textId="77777777" w:rsidR="008D5DB3" w:rsidRPr="004135FE" w:rsidRDefault="008D5DB3" w:rsidP="004135FE">
      <w:pPr>
        <w:tabs>
          <w:tab w:val="left" w:pos="0"/>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1.</w:t>
      </w:r>
      <w:r w:rsidRPr="004135FE">
        <w:rPr>
          <w:rFonts w:ascii="Times New Roman" w:hAnsi="Times New Roman" w:cs="Times New Roman"/>
          <w:sz w:val="28"/>
          <w:szCs w:val="28"/>
        </w:rPr>
        <w:t xml:space="preserve"> 1 мин                                                                                </w:t>
      </w:r>
      <w:r w:rsidRPr="004135FE">
        <w:rPr>
          <w:rFonts w:ascii="Times New Roman" w:hAnsi="Times New Roman" w:cs="Times New Roman"/>
          <w:b/>
          <w:sz w:val="28"/>
          <w:szCs w:val="28"/>
        </w:rPr>
        <w:t>1.</w:t>
      </w:r>
      <w:r w:rsidRPr="004135FE">
        <w:rPr>
          <w:rFonts w:ascii="Times New Roman" w:hAnsi="Times New Roman" w:cs="Times New Roman"/>
          <w:sz w:val="28"/>
          <w:szCs w:val="28"/>
        </w:rPr>
        <w:t xml:space="preserve"> 2мин</w:t>
      </w:r>
    </w:p>
    <w:p w14:paraId="48818B47" w14:textId="77777777" w:rsidR="008D5DB3" w:rsidRPr="004135FE" w:rsidRDefault="008D5DB3" w:rsidP="004135FE">
      <w:pPr>
        <w:tabs>
          <w:tab w:val="left" w:pos="0"/>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2.</w:t>
      </w:r>
      <w:r w:rsidRPr="004135FE">
        <w:rPr>
          <w:rFonts w:ascii="Times New Roman" w:hAnsi="Times New Roman" w:cs="Times New Roman"/>
          <w:sz w:val="28"/>
          <w:szCs w:val="28"/>
        </w:rPr>
        <w:t xml:space="preserve"> 2 мин                                                                                </w:t>
      </w:r>
      <w:r w:rsidRPr="004135FE">
        <w:rPr>
          <w:rFonts w:ascii="Times New Roman" w:hAnsi="Times New Roman" w:cs="Times New Roman"/>
          <w:b/>
          <w:sz w:val="28"/>
          <w:szCs w:val="28"/>
        </w:rPr>
        <w:t>2.</w:t>
      </w:r>
      <w:r w:rsidRPr="004135FE">
        <w:rPr>
          <w:rFonts w:ascii="Times New Roman" w:hAnsi="Times New Roman" w:cs="Times New Roman"/>
          <w:sz w:val="28"/>
          <w:szCs w:val="28"/>
        </w:rPr>
        <w:t xml:space="preserve"> 5 мин</w:t>
      </w:r>
    </w:p>
    <w:p w14:paraId="2CC90420" w14:textId="77777777" w:rsidR="008D5DB3" w:rsidRPr="004135FE" w:rsidRDefault="008D5DB3" w:rsidP="004135FE">
      <w:pPr>
        <w:tabs>
          <w:tab w:val="left" w:pos="0"/>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3.</w:t>
      </w:r>
      <w:r w:rsidRPr="004135FE">
        <w:rPr>
          <w:rFonts w:ascii="Times New Roman" w:hAnsi="Times New Roman" w:cs="Times New Roman"/>
          <w:sz w:val="28"/>
          <w:szCs w:val="28"/>
        </w:rPr>
        <w:t xml:space="preserve"> 5 мин                                                                                </w:t>
      </w:r>
      <w:r w:rsidRPr="004135FE">
        <w:rPr>
          <w:rFonts w:ascii="Times New Roman" w:hAnsi="Times New Roman" w:cs="Times New Roman"/>
          <w:b/>
          <w:sz w:val="28"/>
          <w:szCs w:val="28"/>
        </w:rPr>
        <w:t>3.</w:t>
      </w:r>
      <w:r w:rsidRPr="004135FE">
        <w:rPr>
          <w:rFonts w:ascii="Times New Roman" w:hAnsi="Times New Roman" w:cs="Times New Roman"/>
          <w:sz w:val="28"/>
          <w:szCs w:val="28"/>
        </w:rPr>
        <w:t xml:space="preserve"> 10мин</w:t>
      </w:r>
    </w:p>
    <w:p w14:paraId="36B01797" w14:textId="77777777" w:rsidR="008D5DB3" w:rsidRPr="004135FE" w:rsidRDefault="008D5DB3" w:rsidP="004135FE">
      <w:pPr>
        <w:tabs>
          <w:tab w:val="left" w:pos="0"/>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4.</w:t>
      </w:r>
      <w:r w:rsidRPr="004135FE">
        <w:rPr>
          <w:rFonts w:ascii="Times New Roman" w:hAnsi="Times New Roman" w:cs="Times New Roman"/>
          <w:sz w:val="28"/>
          <w:szCs w:val="28"/>
        </w:rPr>
        <w:t xml:space="preserve"> 10 мин                                                                              </w:t>
      </w:r>
      <w:r w:rsidRPr="004135FE">
        <w:rPr>
          <w:rFonts w:ascii="Times New Roman" w:hAnsi="Times New Roman" w:cs="Times New Roman"/>
          <w:b/>
          <w:sz w:val="28"/>
          <w:szCs w:val="28"/>
        </w:rPr>
        <w:t>4.</w:t>
      </w:r>
      <w:r w:rsidRPr="004135FE">
        <w:rPr>
          <w:rFonts w:ascii="Times New Roman" w:hAnsi="Times New Roman" w:cs="Times New Roman"/>
          <w:sz w:val="28"/>
          <w:szCs w:val="28"/>
        </w:rPr>
        <w:t xml:space="preserve"> 15 мин</w:t>
      </w:r>
    </w:p>
    <w:p w14:paraId="1C85DF23" w14:textId="77777777" w:rsidR="008D5DB3" w:rsidRPr="004135FE" w:rsidRDefault="008D5DB3" w:rsidP="004135FE">
      <w:pPr>
        <w:tabs>
          <w:tab w:val="left" w:pos="0"/>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5.</w:t>
      </w:r>
      <w:r w:rsidRPr="004135FE">
        <w:rPr>
          <w:rFonts w:ascii="Times New Roman" w:hAnsi="Times New Roman" w:cs="Times New Roman"/>
          <w:sz w:val="28"/>
          <w:szCs w:val="28"/>
        </w:rPr>
        <w:t xml:space="preserve"> 15 мин                                                                              </w:t>
      </w:r>
      <w:r w:rsidRPr="004135FE">
        <w:rPr>
          <w:rFonts w:ascii="Times New Roman" w:hAnsi="Times New Roman" w:cs="Times New Roman"/>
          <w:b/>
          <w:sz w:val="28"/>
          <w:szCs w:val="28"/>
        </w:rPr>
        <w:t>5.</w:t>
      </w:r>
      <w:r w:rsidRPr="004135FE">
        <w:rPr>
          <w:rFonts w:ascii="Times New Roman" w:hAnsi="Times New Roman" w:cs="Times New Roman"/>
          <w:sz w:val="28"/>
          <w:szCs w:val="28"/>
        </w:rPr>
        <w:t xml:space="preserve"> 20мин</w:t>
      </w:r>
    </w:p>
    <w:p w14:paraId="3A23DDDB"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 xml:space="preserve">17. </w:t>
      </w:r>
      <w:r w:rsidRPr="004135FE">
        <w:rPr>
          <w:rFonts w:ascii="Times New Roman" w:hAnsi="Times New Roman" w:cs="Times New Roman"/>
          <w:b/>
          <w:sz w:val="28"/>
          <w:szCs w:val="28"/>
          <w:lang w:val="kk-KZ"/>
        </w:rPr>
        <w:t xml:space="preserve">Сіз </w:t>
      </w:r>
      <w:r w:rsidRPr="004135FE">
        <w:rPr>
          <w:rFonts w:ascii="Times New Roman" w:hAnsi="Times New Roman" w:cs="Times New Roman"/>
          <w:b/>
          <w:sz w:val="28"/>
          <w:szCs w:val="28"/>
        </w:rPr>
        <w:t>медперсонал</w:t>
      </w:r>
      <w:r w:rsidRPr="004135FE">
        <w:rPr>
          <w:rFonts w:ascii="Times New Roman" w:hAnsi="Times New Roman" w:cs="Times New Roman"/>
          <w:b/>
          <w:sz w:val="28"/>
          <w:szCs w:val="28"/>
          <w:lang w:val="kk-KZ"/>
        </w:rPr>
        <w:t xml:space="preserve"> ретінде қ</w:t>
      </w:r>
      <w:r w:rsidRPr="004135FE">
        <w:rPr>
          <w:rFonts w:ascii="Times New Roman" w:hAnsi="Times New Roman" w:cs="Times New Roman"/>
          <w:b/>
          <w:sz w:val="28"/>
          <w:szCs w:val="28"/>
        </w:rPr>
        <w:t>ант диабеті бар науқастарға көмек көрсет</w:t>
      </w:r>
      <w:r w:rsidRPr="004135FE">
        <w:rPr>
          <w:rFonts w:ascii="Times New Roman" w:hAnsi="Times New Roman" w:cs="Times New Roman"/>
          <w:b/>
          <w:sz w:val="28"/>
          <w:szCs w:val="28"/>
          <w:lang w:val="kk-KZ"/>
        </w:rPr>
        <w:t xml:space="preserve">етін қызметкер болғыңыз </w:t>
      </w:r>
      <w:r w:rsidRPr="004135FE">
        <w:rPr>
          <w:rFonts w:ascii="Times New Roman" w:hAnsi="Times New Roman" w:cs="Times New Roman"/>
          <w:b/>
          <w:sz w:val="28"/>
          <w:szCs w:val="28"/>
        </w:rPr>
        <w:t>келе</w:t>
      </w:r>
      <w:r w:rsidRPr="004135FE">
        <w:rPr>
          <w:rFonts w:ascii="Times New Roman" w:hAnsi="Times New Roman" w:cs="Times New Roman"/>
          <w:b/>
          <w:sz w:val="28"/>
          <w:szCs w:val="28"/>
          <w:lang w:val="kk-KZ"/>
        </w:rPr>
        <w:t>р ме</w:t>
      </w:r>
      <w:r w:rsidRPr="004135FE">
        <w:rPr>
          <w:rFonts w:ascii="Times New Roman" w:hAnsi="Times New Roman" w:cs="Times New Roman"/>
          <w:b/>
          <w:sz w:val="28"/>
          <w:szCs w:val="28"/>
        </w:rPr>
        <w:t xml:space="preserve"> еді?</w:t>
      </w:r>
    </w:p>
    <w:p w14:paraId="0D02F1A1"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Иә, әрқашанда</w:t>
      </w:r>
    </w:p>
    <w:p w14:paraId="44FC638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Ешқашанда</w:t>
      </w:r>
    </w:p>
    <w:p w14:paraId="21827102"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Ойламаппын</w:t>
      </w:r>
    </w:p>
    <w:p w14:paraId="4A93BF51" w14:textId="6A477EA8" w:rsidR="008D5DB3" w:rsidRPr="004135FE" w:rsidRDefault="008D5DB3" w:rsidP="004135FE">
      <w:pPr>
        <w:tabs>
          <w:tab w:val="left" w:pos="0"/>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18. Сіздің емханаңызд</w:t>
      </w:r>
      <w:r w:rsidRPr="004135FE">
        <w:rPr>
          <w:rFonts w:ascii="Times New Roman" w:hAnsi="Times New Roman" w:cs="Times New Roman"/>
          <w:b/>
          <w:sz w:val="28"/>
          <w:szCs w:val="28"/>
          <w:lang w:val="kk-KZ"/>
        </w:rPr>
        <w:t>ағы</w:t>
      </w:r>
      <w:r w:rsidRPr="004135FE">
        <w:rPr>
          <w:rFonts w:ascii="Times New Roman" w:hAnsi="Times New Roman" w:cs="Times New Roman"/>
          <w:b/>
          <w:sz w:val="28"/>
          <w:szCs w:val="28"/>
        </w:rPr>
        <w:t xml:space="preserve"> эндокринолог кабинетіндег</w:t>
      </w:r>
      <w:r w:rsidRPr="004135FE">
        <w:rPr>
          <w:rFonts w:ascii="Times New Roman" w:hAnsi="Times New Roman" w:cs="Times New Roman"/>
          <w:b/>
          <w:sz w:val="28"/>
          <w:szCs w:val="28"/>
          <w:lang w:val="kk-KZ"/>
        </w:rPr>
        <w:t>і</w:t>
      </w:r>
      <w:r w:rsidRPr="004135FE">
        <w:rPr>
          <w:rFonts w:ascii="Times New Roman" w:hAnsi="Times New Roman" w:cs="Times New Roman"/>
          <w:b/>
          <w:sz w:val="28"/>
          <w:szCs w:val="28"/>
        </w:rPr>
        <w:t xml:space="preserve"> медициналық персоналд</w:t>
      </w:r>
      <w:r w:rsidRPr="004135FE">
        <w:rPr>
          <w:rFonts w:ascii="Times New Roman" w:hAnsi="Times New Roman" w:cs="Times New Roman"/>
          <w:b/>
          <w:sz w:val="28"/>
          <w:szCs w:val="28"/>
          <w:lang w:val="kk-KZ"/>
        </w:rPr>
        <w:t>ың</w:t>
      </w:r>
      <w:r w:rsidRPr="004135FE">
        <w:rPr>
          <w:rFonts w:ascii="Times New Roman" w:hAnsi="Times New Roman" w:cs="Times New Roman"/>
          <w:b/>
          <w:sz w:val="28"/>
          <w:szCs w:val="28"/>
        </w:rPr>
        <w:t xml:space="preserve"> көмек көрсетулері</w:t>
      </w:r>
      <w:r w:rsidRPr="004135FE">
        <w:rPr>
          <w:rFonts w:ascii="Times New Roman" w:hAnsi="Times New Roman" w:cs="Times New Roman"/>
          <w:b/>
          <w:sz w:val="28"/>
          <w:szCs w:val="28"/>
          <w:lang w:val="kk-KZ"/>
        </w:rPr>
        <w:t>н</w:t>
      </w:r>
      <w:r w:rsidRPr="004135FE">
        <w:rPr>
          <w:rFonts w:ascii="Times New Roman" w:hAnsi="Times New Roman" w:cs="Times New Roman"/>
          <w:b/>
          <w:sz w:val="28"/>
          <w:szCs w:val="28"/>
        </w:rPr>
        <w:t xml:space="preserve"> 100% - </w:t>
      </w:r>
      <w:r w:rsidRPr="004135FE">
        <w:rPr>
          <w:rFonts w:ascii="Times New Roman" w:hAnsi="Times New Roman" w:cs="Times New Roman"/>
          <w:b/>
          <w:sz w:val="28"/>
          <w:szCs w:val="28"/>
          <w:lang w:val="kk-KZ"/>
        </w:rPr>
        <w:t xml:space="preserve">ға шаққанда </w:t>
      </w:r>
      <w:r w:rsidRPr="004135FE">
        <w:rPr>
          <w:rFonts w:ascii="Times New Roman" w:hAnsi="Times New Roman" w:cs="Times New Roman"/>
          <w:b/>
          <w:sz w:val="28"/>
          <w:szCs w:val="28"/>
        </w:rPr>
        <w:t>қанша пайызына қанағаттанасыз?</w:t>
      </w:r>
    </w:p>
    <w:p w14:paraId="211F73E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А) бейбіт уақытта </w:t>
      </w:r>
      <w:r w:rsidRPr="004135FE">
        <w:rPr>
          <w:rFonts w:ascii="Times New Roman" w:hAnsi="Times New Roman" w:cs="Times New Roman"/>
          <w:sz w:val="28"/>
          <w:szCs w:val="28"/>
          <w:lang w:val="kk-KZ"/>
        </w:rPr>
        <w:t xml:space="preserve">                                    </w:t>
      </w:r>
      <w:r w:rsidRPr="004135FE">
        <w:rPr>
          <w:rFonts w:ascii="Times New Roman" w:hAnsi="Times New Roman" w:cs="Times New Roman"/>
          <w:sz w:val="28"/>
          <w:szCs w:val="28"/>
        </w:rPr>
        <w:t>Б) коронавирустық инфекция бойынша карантин кезінде</w:t>
      </w:r>
    </w:p>
    <w:p w14:paraId="4EAE007E" w14:textId="77777777" w:rsidR="008D5DB3" w:rsidRPr="004135FE" w:rsidRDefault="008D5DB3" w:rsidP="004135FE">
      <w:pPr>
        <w:tabs>
          <w:tab w:val="left" w:pos="0"/>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1.</w:t>
      </w:r>
      <w:r w:rsidRPr="004135FE">
        <w:rPr>
          <w:rFonts w:ascii="Times New Roman" w:hAnsi="Times New Roman" w:cs="Times New Roman"/>
          <w:sz w:val="28"/>
          <w:szCs w:val="28"/>
        </w:rPr>
        <w:t xml:space="preserve"> 20-дан төмен</w:t>
      </w:r>
      <w:r w:rsidRPr="004135FE">
        <w:rPr>
          <w:rFonts w:ascii="Times New Roman" w:hAnsi="Times New Roman" w:cs="Times New Roman"/>
          <w:sz w:val="28"/>
          <w:szCs w:val="28"/>
          <w:lang w:val="kk-KZ"/>
        </w:rPr>
        <w:t xml:space="preserve"> </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kk-KZ"/>
        </w:rPr>
        <w:t xml:space="preserve"> </w:t>
      </w:r>
      <w:r w:rsidRPr="004135FE">
        <w:rPr>
          <w:rFonts w:ascii="Times New Roman" w:hAnsi="Times New Roman" w:cs="Times New Roman"/>
          <w:sz w:val="28"/>
          <w:szCs w:val="28"/>
        </w:rPr>
        <w:t xml:space="preserve">                </w:t>
      </w:r>
      <w:r w:rsidRPr="004135FE">
        <w:rPr>
          <w:rFonts w:ascii="Times New Roman" w:hAnsi="Times New Roman" w:cs="Times New Roman"/>
          <w:b/>
          <w:sz w:val="28"/>
          <w:szCs w:val="28"/>
        </w:rPr>
        <w:t>1.</w:t>
      </w:r>
      <w:r w:rsidRPr="004135FE">
        <w:rPr>
          <w:rFonts w:ascii="Times New Roman" w:hAnsi="Times New Roman" w:cs="Times New Roman"/>
          <w:sz w:val="28"/>
          <w:szCs w:val="28"/>
        </w:rPr>
        <w:t xml:space="preserve"> 20-дан төмен</w:t>
      </w:r>
      <w:r w:rsidRPr="004135FE">
        <w:rPr>
          <w:rFonts w:ascii="Times New Roman" w:hAnsi="Times New Roman" w:cs="Times New Roman"/>
          <w:sz w:val="28"/>
          <w:szCs w:val="28"/>
          <w:lang w:val="kk-KZ"/>
        </w:rPr>
        <w:t xml:space="preserve"> </w:t>
      </w:r>
      <w:r w:rsidRPr="004135FE">
        <w:rPr>
          <w:rFonts w:ascii="Times New Roman" w:hAnsi="Times New Roman" w:cs="Times New Roman"/>
          <w:sz w:val="28"/>
          <w:szCs w:val="28"/>
        </w:rPr>
        <w:t>%</w:t>
      </w:r>
    </w:p>
    <w:p w14:paraId="0455B59F" w14:textId="77777777" w:rsidR="008D5DB3" w:rsidRPr="004135FE" w:rsidRDefault="008D5DB3" w:rsidP="004135FE">
      <w:pPr>
        <w:tabs>
          <w:tab w:val="left" w:pos="0"/>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2</w:t>
      </w:r>
      <w:r w:rsidRPr="004135FE">
        <w:rPr>
          <w:rFonts w:ascii="Times New Roman" w:hAnsi="Times New Roman" w:cs="Times New Roman"/>
          <w:sz w:val="28"/>
          <w:szCs w:val="28"/>
        </w:rPr>
        <w:t xml:space="preserve">. 20-40%                                                                        </w:t>
      </w:r>
      <w:r w:rsidRPr="004135FE">
        <w:rPr>
          <w:rFonts w:ascii="Times New Roman" w:hAnsi="Times New Roman" w:cs="Times New Roman"/>
          <w:b/>
          <w:sz w:val="28"/>
          <w:szCs w:val="28"/>
        </w:rPr>
        <w:t>2.</w:t>
      </w:r>
      <w:r w:rsidRPr="004135FE">
        <w:rPr>
          <w:rFonts w:ascii="Times New Roman" w:hAnsi="Times New Roman" w:cs="Times New Roman"/>
          <w:sz w:val="28"/>
          <w:szCs w:val="28"/>
        </w:rPr>
        <w:t xml:space="preserve"> 20-40%</w:t>
      </w:r>
    </w:p>
    <w:p w14:paraId="6725520D" w14:textId="77777777" w:rsidR="008D5DB3" w:rsidRPr="004135FE" w:rsidRDefault="008D5DB3" w:rsidP="004135FE">
      <w:pPr>
        <w:tabs>
          <w:tab w:val="left" w:pos="0"/>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3.</w:t>
      </w:r>
      <w:r w:rsidRPr="004135FE">
        <w:rPr>
          <w:rFonts w:ascii="Times New Roman" w:hAnsi="Times New Roman" w:cs="Times New Roman"/>
          <w:sz w:val="28"/>
          <w:szCs w:val="28"/>
        </w:rPr>
        <w:t xml:space="preserve"> 41-60%                                                                        </w:t>
      </w:r>
      <w:r w:rsidRPr="004135FE">
        <w:rPr>
          <w:rFonts w:ascii="Times New Roman" w:hAnsi="Times New Roman" w:cs="Times New Roman"/>
          <w:b/>
          <w:sz w:val="28"/>
          <w:szCs w:val="28"/>
        </w:rPr>
        <w:t>3.</w:t>
      </w:r>
      <w:r w:rsidRPr="004135FE">
        <w:rPr>
          <w:rFonts w:ascii="Times New Roman" w:hAnsi="Times New Roman" w:cs="Times New Roman"/>
          <w:sz w:val="28"/>
          <w:szCs w:val="28"/>
        </w:rPr>
        <w:t xml:space="preserve"> 41-60%</w:t>
      </w:r>
    </w:p>
    <w:p w14:paraId="1DC9ACE5" w14:textId="77777777" w:rsidR="008D5DB3" w:rsidRPr="004135FE" w:rsidRDefault="008D5DB3" w:rsidP="004135FE">
      <w:pPr>
        <w:tabs>
          <w:tab w:val="left" w:pos="0"/>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4.</w:t>
      </w:r>
      <w:r w:rsidRPr="004135FE">
        <w:rPr>
          <w:rFonts w:ascii="Times New Roman" w:hAnsi="Times New Roman" w:cs="Times New Roman"/>
          <w:sz w:val="28"/>
          <w:szCs w:val="28"/>
        </w:rPr>
        <w:t xml:space="preserve"> 61-70%                                                                        </w:t>
      </w:r>
      <w:r w:rsidRPr="004135FE">
        <w:rPr>
          <w:rFonts w:ascii="Times New Roman" w:hAnsi="Times New Roman" w:cs="Times New Roman"/>
          <w:b/>
          <w:sz w:val="28"/>
          <w:szCs w:val="28"/>
        </w:rPr>
        <w:t>4</w:t>
      </w:r>
      <w:r w:rsidRPr="004135FE">
        <w:rPr>
          <w:rFonts w:ascii="Times New Roman" w:hAnsi="Times New Roman" w:cs="Times New Roman"/>
          <w:sz w:val="28"/>
          <w:szCs w:val="28"/>
        </w:rPr>
        <w:t>. 61-70%</w:t>
      </w:r>
    </w:p>
    <w:p w14:paraId="5CFA7D72" w14:textId="77777777" w:rsidR="008D5DB3" w:rsidRPr="004135FE" w:rsidRDefault="008D5DB3" w:rsidP="004135FE">
      <w:pPr>
        <w:tabs>
          <w:tab w:val="left" w:pos="0"/>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5.</w:t>
      </w:r>
      <w:r w:rsidRPr="004135FE">
        <w:rPr>
          <w:rFonts w:ascii="Times New Roman" w:hAnsi="Times New Roman" w:cs="Times New Roman"/>
          <w:sz w:val="28"/>
          <w:szCs w:val="28"/>
        </w:rPr>
        <w:t xml:space="preserve"> 71-80%                                                                        </w:t>
      </w:r>
      <w:r w:rsidRPr="004135FE">
        <w:rPr>
          <w:rFonts w:ascii="Times New Roman" w:hAnsi="Times New Roman" w:cs="Times New Roman"/>
          <w:b/>
          <w:sz w:val="28"/>
          <w:szCs w:val="28"/>
        </w:rPr>
        <w:t>5.</w:t>
      </w:r>
      <w:r w:rsidRPr="004135FE">
        <w:rPr>
          <w:rFonts w:ascii="Times New Roman" w:hAnsi="Times New Roman" w:cs="Times New Roman"/>
          <w:sz w:val="28"/>
          <w:szCs w:val="28"/>
        </w:rPr>
        <w:t xml:space="preserve"> 71-80%</w:t>
      </w:r>
    </w:p>
    <w:p w14:paraId="10AB575B" w14:textId="77777777" w:rsidR="008D5DB3" w:rsidRPr="004135FE" w:rsidRDefault="008D5DB3" w:rsidP="004135FE">
      <w:pPr>
        <w:tabs>
          <w:tab w:val="left" w:pos="0"/>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6</w:t>
      </w:r>
      <w:r w:rsidRPr="004135FE">
        <w:rPr>
          <w:rFonts w:ascii="Times New Roman" w:hAnsi="Times New Roman" w:cs="Times New Roman"/>
          <w:sz w:val="28"/>
          <w:szCs w:val="28"/>
        </w:rPr>
        <w:t xml:space="preserve">. 81-90%                                                                        </w:t>
      </w:r>
      <w:r w:rsidRPr="004135FE">
        <w:rPr>
          <w:rFonts w:ascii="Times New Roman" w:hAnsi="Times New Roman" w:cs="Times New Roman"/>
          <w:b/>
          <w:sz w:val="28"/>
          <w:szCs w:val="28"/>
        </w:rPr>
        <w:t>6.</w:t>
      </w:r>
      <w:r w:rsidRPr="004135FE">
        <w:rPr>
          <w:rFonts w:ascii="Times New Roman" w:hAnsi="Times New Roman" w:cs="Times New Roman"/>
          <w:sz w:val="28"/>
          <w:szCs w:val="28"/>
        </w:rPr>
        <w:t xml:space="preserve"> 81-90%</w:t>
      </w:r>
    </w:p>
    <w:p w14:paraId="184308D7" w14:textId="77777777" w:rsidR="008D5DB3" w:rsidRPr="004135FE" w:rsidRDefault="008D5DB3" w:rsidP="004135FE">
      <w:pPr>
        <w:tabs>
          <w:tab w:val="left" w:pos="0"/>
          <w:tab w:val="left" w:pos="375"/>
        </w:tabs>
        <w:spacing w:after="0" w:line="240" w:lineRule="auto"/>
        <w:jc w:val="both"/>
        <w:rPr>
          <w:rFonts w:ascii="Times New Roman" w:hAnsi="Times New Roman" w:cs="Times New Roman"/>
          <w:sz w:val="28"/>
          <w:szCs w:val="28"/>
        </w:rPr>
      </w:pPr>
      <w:r w:rsidRPr="004135FE">
        <w:rPr>
          <w:rFonts w:ascii="Times New Roman" w:hAnsi="Times New Roman" w:cs="Times New Roman"/>
          <w:b/>
          <w:sz w:val="28"/>
          <w:szCs w:val="28"/>
        </w:rPr>
        <w:t>7.</w:t>
      </w:r>
      <w:r w:rsidRPr="004135FE">
        <w:rPr>
          <w:rFonts w:ascii="Times New Roman" w:hAnsi="Times New Roman" w:cs="Times New Roman"/>
          <w:sz w:val="28"/>
          <w:szCs w:val="28"/>
        </w:rPr>
        <w:t xml:space="preserve"> 91-100%                                                                      </w:t>
      </w:r>
      <w:r w:rsidRPr="004135FE">
        <w:rPr>
          <w:rFonts w:ascii="Times New Roman" w:hAnsi="Times New Roman" w:cs="Times New Roman"/>
          <w:b/>
          <w:sz w:val="28"/>
          <w:szCs w:val="28"/>
        </w:rPr>
        <w:t>7.</w:t>
      </w:r>
      <w:r w:rsidRPr="004135FE">
        <w:rPr>
          <w:rFonts w:ascii="Times New Roman" w:hAnsi="Times New Roman" w:cs="Times New Roman"/>
          <w:sz w:val="28"/>
          <w:szCs w:val="28"/>
        </w:rPr>
        <w:t xml:space="preserve"> 91-100%</w:t>
      </w:r>
    </w:p>
    <w:p w14:paraId="2877FA7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p>
    <w:p w14:paraId="1DCF6A57"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caps/>
          <w:sz w:val="28"/>
          <w:szCs w:val="28"/>
        </w:rPr>
        <w:t>4-бөлім.</w:t>
      </w:r>
      <w:r w:rsidRPr="004135FE">
        <w:rPr>
          <w:rFonts w:ascii="Times New Roman" w:hAnsi="Times New Roman" w:cs="Times New Roman"/>
          <w:sz w:val="28"/>
          <w:szCs w:val="28"/>
        </w:rPr>
        <w:t xml:space="preserve"> </w:t>
      </w:r>
      <w:r w:rsidRPr="004135FE">
        <w:rPr>
          <w:rFonts w:ascii="Times New Roman" w:hAnsi="Times New Roman" w:cs="Times New Roman"/>
          <w:sz w:val="28"/>
          <w:szCs w:val="28"/>
          <w:lang w:val="kk-KZ"/>
        </w:rPr>
        <w:t xml:space="preserve">ТАҒАЙЫНДАЛҒАН ЕМГЕ БЕРІКТІК </w:t>
      </w:r>
      <w:r w:rsidRPr="004135FE">
        <w:rPr>
          <w:rFonts w:ascii="Times New Roman" w:hAnsi="Times New Roman" w:cs="Times New Roman"/>
          <w:sz w:val="28"/>
          <w:szCs w:val="28"/>
        </w:rPr>
        <w:t>ЖӘНЕ ӨЗІНДІК МЕНЕДЖМЕНТ</w:t>
      </w:r>
    </w:p>
    <w:p w14:paraId="650F74BD"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19. Сіз</w:t>
      </w:r>
      <w:r w:rsidRPr="004135FE">
        <w:rPr>
          <w:rFonts w:ascii="Times New Roman" w:hAnsi="Times New Roman" w:cs="Times New Roman"/>
          <w:b/>
          <w:sz w:val="28"/>
          <w:szCs w:val="28"/>
          <w:lang w:val="kk-KZ"/>
        </w:rPr>
        <w:t>ге</w:t>
      </w:r>
      <w:r w:rsidRPr="004135FE">
        <w:rPr>
          <w:rFonts w:ascii="Times New Roman" w:hAnsi="Times New Roman" w:cs="Times New Roman"/>
          <w:b/>
          <w:sz w:val="28"/>
          <w:szCs w:val="28"/>
        </w:rPr>
        <w:t xml:space="preserve"> 2 типті қант диабеті диагноз</w:t>
      </w:r>
      <w:r w:rsidRPr="004135FE">
        <w:rPr>
          <w:rFonts w:ascii="Times New Roman" w:hAnsi="Times New Roman" w:cs="Times New Roman"/>
          <w:b/>
          <w:sz w:val="28"/>
          <w:szCs w:val="28"/>
          <w:lang w:val="kk-KZ"/>
        </w:rPr>
        <w:t>ы</w:t>
      </w:r>
      <w:r w:rsidRPr="004135FE">
        <w:rPr>
          <w:rFonts w:ascii="Times New Roman" w:hAnsi="Times New Roman" w:cs="Times New Roman"/>
          <w:b/>
          <w:sz w:val="28"/>
          <w:szCs w:val="28"/>
        </w:rPr>
        <w:t xml:space="preserve"> қойыл</w:t>
      </w:r>
      <w:r w:rsidRPr="004135FE">
        <w:rPr>
          <w:rFonts w:ascii="Times New Roman" w:hAnsi="Times New Roman" w:cs="Times New Roman"/>
          <w:b/>
          <w:sz w:val="28"/>
          <w:szCs w:val="28"/>
          <w:lang w:val="kk-KZ"/>
        </w:rPr>
        <w:t>ғаннанкейін</w:t>
      </w:r>
      <w:r w:rsidRPr="004135FE">
        <w:rPr>
          <w:rFonts w:ascii="Times New Roman" w:hAnsi="Times New Roman" w:cs="Times New Roman"/>
          <w:b/>
          <w:sz w:val="28"/>
          <w:szCs w:val="28"/>
        </w:rPr>
        <w:t xml:space="preserve"> емдеу және бақылау жөніндегі дәрігердің ұсынымдарын қанша уақыттан кейін қабылдай бастадыңыз?</w:t>
      </w:r>
    </w:p>
    <w:p w14:paraId="1CFE5EAA"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Бірден диспансерлік есепке қойған соң</w:t>
      </w:r>
    </w:p>
    <w:p w14:paraId="658257BA"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Терістеу реакциясы 1 аптаға созылды</w:t>
      </w:r>
    </w:p>
    <w:p w14:paraId="546C6EB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Бір айдан кейін</w:t>
      </w:r>
    </w:p>
    <w:p w14:paraId="5EE0046C"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4. </w:t>
      </w:r>
      <w:r w:rsidRPr="004135FE">
        <w:rPr>
          <w:rFonts w:ascii="Times New Roman" w:hAnsi="Times New Roman" w:cs="Times New Roman"/>
          <w:sz w:val="28"/>
          <w:szCs w:val="28"/>
          <w:lang w:val="kk-KZ"/>
        </w:rPr>
        <w:t>Б</w:t>
      </w:r>
      <w:r w:rsidRPr="004135FE">
        <w:rPr>
          <w:rFonts w:ascii="Times New Roman" w:hAnsi="Times New Roman" w:cs="Times New Roman"/>
          <w:sz w:val="28"/>
          <w:szCs w:val="28"/>
        </w:rPr>
        <w:t>ір жылдан соң</w:t>
      </w:r>
    </w:p>
    <w:p w14:paraId="531687F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rPr>
        <w:t>5. 2 жыл және одан көп</w:t>
      </w:r>
      <w:r w:rsidRPr="004135FE">
        <w:rPr>
          <w:rFonts w:ascii="Times New Roman" w:hAnsi="Times New Roman" w:cs="Times New Roman"/>
          <w:sz w:val="28"/>
          <w:szCs w:val="28"/>
          <w:lang w:val="kk-KZ"/>
        </w:rPr>
        <w:t xml:space="preserve"> уақыттан соң</w:t>
      </w:r>
    </w:p>
    <w:p w14:paraId="52E2C1F0"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20. Дәрігер-эндокринологпен ұсынылған тегін рецептпен берілмейтін дәрілік заттарды қабылдайсыз ба?</w:t>
      </w:r>
    </w:p>
    <w:p w14:paraId="6036F25F"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Иә</w:t>
      </w:r>
    </w:p>
    <w:p w14:paraId="36FD0CB7"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Жоқ</w:t>
      </w:r>
    </w:p>
    <w:p w14:paraId="24DD9908"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Кейде</w:t>
      </w:r>
    </w:p>
    <w:p w14:paraId="33C23ED1"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21. Қант деңгейін қаншалықты жиі бақылайсыз?</w:t>
      </w:r>
    </w:p>
    <w:p w14:paraId="3DF09E0F"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Бақыламаймын</w:t>
      </w:r>
    </w:p>
    <w:p w14:paraId="52EC7FE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Жағдай нашарлаған кезде ғана</w:t>
      </w:r>
    </w:p>
    <w:p w14:paraId="55F30A8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Диабеттен әр дәрі-дәрмекті қабылдау алдында</w:t>
      </w:r>
    </w:p>
    <w:p w14:paraId="67E76F1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Аптасына 1 рет</w:t>
      </w:r>
    </w:p>
    <w:p w14:paraId="349E09AB"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Күніне кемінде 4 рет</w:t>
      </w:r>
    </w:p>
    <w:p w14:paraId="2DE5BB11"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Тәулігіне 1 реттен кем емес + аптасына 1 гликемиялық профиль (күніне 4 реттен кем емес)</w:t>
      </w:r>
    </w:p>
    <w:p w14:paraId="61463BC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7. Тәулігіне 2 реттен кем емес + аптасына 1 гликемиялық профиль (күніне 4 реттен кем емес)</w:t>
      </w:r>
    </w:p>
    <w:p w14:paraId="7A1BDBDC"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22. Егер мерекелік оқиғалар, ілеспелі аурулардың асқынуы, климатты күрт ауыстыру сияқты өзге жағдайларда тағайындалған емдеуді түзету қажет болса, өзіңізді қалай ұстайсыз?</w:t>
      </w:r>
    </w:p>
    <w:p w14:paraId="19CE705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Алдын-ала ескеріп дәрігердің қабылдауына барамын</w:t>
      </w:r>
    </w:p>
    <w:p w14:paraId="1FB8CFB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Дәрігерге қоңырау шаламын</w:t>
      </w:r>
    </w:p>
    <w:p w14:paraId="1004661C"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Медбикеге қоңырау шаламын</w:t>
      </w:r>
    </w:p>
    <w:p w14:paraId="13CE0B7A"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Диабет мектебі өмірдің барлық жағдайларына глюкозаны өзіндік бақылауды үйретті</w:t>
      </w:r>
    </w:p>
    <w:p w14:paraId="629B0FD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Диабет мектебі қосымша аурулардың асқынуынан басқа жағдайдағы глюкозаны өзіндік бақылауды үйретті</w:t>
      </w:r>
    </w:p>
    <w:p w14:paraId="522A4E52"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23. Диабет мектебіне соңғы рет қашан бардыңыз?</w:t>
      </w:r>
    </w:p>
    <w:p w14:paraId="3C0B8AB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Осы жылы</w:t>
      </w:r>
    </w:p>
    <w:p w14:paraId="21D549AD"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Өткен жылы</w:t>
      </w:r>
    </w:p>
    <w:p w14:paraId="0E78385C"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Бірінші рет диагноз анықталған кезде</w:t>
      </w:r>
    </w:p>
    <w:p w14:paraId="3516D1FA"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Ешқашан барған емеспін, дегенмен медициналық қызметкерлер ұсыным тағайындаған еді</w:t>
      </w:r>
    </w:p>
    <w:p w14:paraId="4782324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Диабет мектебі туралы білмеймін, медициналық қызметкерлер ұсынған жоқ</w:t>
      </w:r>
    </w:p>
    <w:p w14:paraId="76E4DC2E"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b/>
          <w:sz w:val="28"/>
          <w:szCs w:val="28"/>
          <w:lang w:val="kk-KZ"/>
        </w:rPr>
        <w:t>24. Төменде аталғандардың ішінен қандай мектепке қатыстыңыз?</w:t>
      </w:r>
      <w:r w:rsidRPr="004135FE">
        <w:rPr>
          <w:rFonts w:ascii="Times New Roman" w:hAnsi="Times New Roman" w:cs="Times New Roman"/>
          <w:sz w:val="28"/>
          <w:szCs w:val="28"/>
          <w:lang w:val="kk-KZ"/>
        </w:rPr>
        <w:t xml:space="preserve"> </w:t>
      </w:r>
    </w:p>
    <w:p w14:paraId="44DFD91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Емхана жанындағы Салауатты өмір салты мектебі</w:t>
      </w:r>
    </w:p>
    <w:p w14:paraId="5A97C49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Емхана жанындағы диабет мектебі</w:t>
      </w:r>
    </w:p>
    <w:p w14:paraId="0B5D6CB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Қалалық Диабет мектебі</w:t>
      </w:r>
    </w:p>
    <w:p w14:paraId="1A1F464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Емдеуге жатқызу кезінде стационардағы диабет мектебі</w:t>
      </w:r>
    </w:p>
    <w:p w14:paraId="3CD7B6F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 xml:space="preserve">5. Жеке клиникадағы ақылы диабет мектебі </w:t>
      </w:r>
    </w:p>
    <w:p w14:paraId="3A92B271"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Ешқашан қатыспадым</w:t>
      </w:r>
    </w:p>
    <w:p w14:paraId="76712737"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25. Қант диабеті мектебінде дәріс алған соң қан құрамындағы глюкоза, гликолизденген гемоглобин деңгейі қалай өзгерді?</w:t>
      </w:r>
    </w:p>
    <w:p w14:paraId="6DFA6F8D"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Уақытша жақсару</w:t>
      </w:r>
    </w:p>
    <w:p w14:paraId="3B9656C1"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Тұрақты жақсару</w:t>
      </w:r>
    </w:p>
    <w:p w14:paraId="118AFE9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Өзгерістер жоқ</w:t>
      </w:r>
    </w:p>
    <w:p w14:paraId="1C5482A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Бақыламады</w:t>
      </w:r>
      <w:r w:rsidRPr="004135FE">
        <w:rPr>
          <w:rFonts w:ascii="Times New Roman" w:hAnsi="Times New Roman" w:cs="Times New Roman"/>
          <w:sz w:val="28"/>
          <w:szCs w:val="28"/>
          <w:lang w:val="kk-KZ"/>
        </w:rPr>
        <w:t>м</w:t>
      </w:r>
      <w:r w:rsidRPr="004135FE">
        <w:rPr>
          <w:rFonts w:ascii="Times New Roman" w:hAnsi="Times New Roman" w:cs="Times New Roman"/>
          <w:sz w:val="28"/>
          <w:szCs w:val="28"/>
        </w:rPr>
        <w:t>, глюкометр жоқ</w:t>
      </w:r>
    </w:p>
    <w:p w14:paraId="71240352"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rPr>
        <w:t>5. Бақыламады</w:t>
      </w:r>
      <w:r w:rsidRPr="004135FE">
        <w:rPr>
          <w:rFonts w:ascii="Times New Roman" w:hAnsi="Times New Roman" w:cs="Times New Roman"/>
          <w:sz w:val="28"/>
          <w:szCs w:val="28"/>
          <w:lang w:val="kk-KZ"/>
        </w:rPr>
        <w:t>м</w:t>
      </w:r>
      <w:r w:rsidRPr="004135FE">
        <w:rPr>
          <w:rFonts w:ascii="Times New Roman" w:hAnsi="Times New Roman" w:cs="Times New Roman"/>
          <w:sz w:val="28"/>
          <w:szCs w:val="28"/>
        </w:rPr>
        <w:t>, глюкометр бар</w:t>
      </w:r>
      <w:r w:rsidRPr="004135FE">
        <w:rPr>
          <w:rFonts w:ascii="Times New Roman" w:hAnsi="Times New Roman" w:cs="Times New Roman"/>
          <w:sz w:val="28"/>
          <w:szCs w:val="28"/>
          <w:lang w:val="kk-KZ"/>
        </w:rPr>
        <w:t xml:space="preserve"> болса да</w:t>
      </w:r>
    </w:p>
    <w:p w14:paraId="5CAD2255"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26. Ай сайын тегін рецепт бойынша дәрі алуға барған кезде, Сіз кеңес және ем шарасын қайта қарастыруға байланысты кеңес аласыз ба, әлде қажеті жоқ па?</w:t>
      </w:r>
    </w:p>
    <w:p w14:paraId="790AFCA1"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Мен өзін-өзі бақылау күнделігін жүргіземін, емдеуді түзету үшін дәрігерге көрсетемін</w:t>
      </w:r>
    </w:p>
    <w:p w14:paraId="358A9FF4"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 xml:space="preserve">2. Күнделік жүргізбеймін, жалпы өзімді қаншалықты сезінетініме байланысты түзету сұраймын </w:t>
      </w:r>
    </w:p>
    <w:p w14:paraId="22272A0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Дәрі-дәрмектерді алып, артық сұрақ қоюға ыңғайсызданамын</w:t>
      </w:r>
    </w:p>
    <w:p w14:paraId="53845F4E"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Тек дәрі аламын, дәрігерді алаңдатудың қажеті жоқ</w:t>
      </w:r>
    </w:p>
    <w:p w14:paraId="4523CDAD"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27. Сіз тұрақты түрде дене жаттығуларымен айналысасыз ба, яғни күн сайын 30 минуттан немесе апта ішінде 3 сағаттан?</w:t>
      </w:r>
    </w:p>
    <w:p w14:paraId="09963A2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Иә</w:t>
      </w:r>
    </w:p>
    <w:p w14:paraId="63415E2D"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Жоқ</w:t>
      </w:r>
    </w:p>
    <w:p w14:paraId="5DC6E227"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Ішінара</w:t>
      </w:r>
    </w:p>
    <w:p w14:paraId="4B1FDC14"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28. Егер иә болса, онда физикалық жүктемелердің қандай түрлерімен айналысасыз?</w:t>
      </w:r>
    </w:p>
    <w:p w14:paraId="204AD3DE"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Жүзу</w:t>
      </w:r>
    </w:p>
    <w:p w14:paraId="71AEB50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Спорттық жүру</w:t>
      </w:r>
    </w:p>
    <w:p w14:paraId="5662BA88"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Гимнастика</w:t>
      </w:r>
    </w:p>
    <w:p w14:paraId="249AE53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Йога</w:t>
      </w:r>
    </w:p>
    <w:p w14:paraId="6558922C"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Пилатес</w:t>
      </w:r>
    </w:p>
    <w:p w14:paraId="11EC935B"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Билеу</w:t>
      </w:r>
    </w:p>
    <w:p w14:paraId="43B76E36"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29. Егер жоқ болса, қандай себеп</w:t>
      </w:r>
      <w:r w:rsidRPr="004135FE">
        <w:rPr>
          <w:rFonts w:ascii="Times New Roman" w:hAnsi="Times New Roman" w:cs="Times New Roman"/>
          <w:b/>
          <w:sz w:val="28"/>
          <w:szCs w:val="28"/>
          <w:lang w:val="kk-KZ"/>
        </w:rPr>
        <w:t>ке байланысты</w:t>
      </w:r>
      <w:r w:rsidRPr="004135FE">
        <w:rPr>
          <w:rFonts w:ascii="Times New Roman" w:hAnsi="Times New Roman" w:cs="Times New Roman"/>
          <w:b/>
          <w:sz w:val="28"/>
          <w:szCs w:val="28"/>
        </w:rPr>
        <w:t xml:space="preserve">? </w:t>
      </w:r>
    </w:p>
    <w:p w14:paraId="6F0BDE6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Гипогликемияны тоқтату қиын</w:t>
      </w:r>
    </w:p>
    <w:p w14:paraId="355F74D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Ортостатикалық гипотензия</w:t>
      </w:r>
    </w:p>
    <w:p w14:paraId="2A119C0B"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rPr>
        <w:t>3. Жүрегі жүктемелер</w:t>
      </w:r>
      <w:r w:rsidRPr="004135FE">
        <w:rPr>
          <w:rFonts w:ascii="Times New Roman" w:hAnsi="Times New Roman" w:cs="Times New Roman"/>
          <w:sz w:val="28"/>
          <w:szCs w:val="28"/>
          <w:lang w:val="kk-KZ"/>
        </w:rPr>
        <w:t>ге төзімсіз</w:t>
      </w:r>
    </w:p>
    <w:p w14:paraId="009C203A"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Спорт кешеніне бару қымбат</w:t>
      </w:r>
    </w:p>
    <w:p w14:paraId="008CF677"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Мотивация жоқ</w:t>
      </w:r>
    </w:p>
    <w:p w14:paraId="3AD7D8D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Себеп жоқ</w:t>
      </w:r>
    </w:p>
    <w:p w14:paraId="05A6C2DB"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 </w:t>
      </w:r>
    </w:p>
    <w:p w14:paraId="698DF16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5-бөлім. ПАЦИЕНТТЕРДІҢ ЖАБДЫҚТАЛУЫ</w:t>
      </w:r>
    </w:p>
    <w:p w14:paraId="1A4327D8"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30. Сізде глюкометр және тест жолақтары бар ма?</w:t>
      </w:r>
    </w:p>
    <w:p w14:paraId="1D5C39E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Иә, тегін алдым</w:t>
      </w:r>
    </w:p>
    <w:p w14:paraId="762506E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Иә, өзі</w:t>
      </w:r>
      <w:r w:rsidRPr="004135FE">
        <w:rPr>
          <w:rFonts w:ascii="Times New Roman" w:hAnsi="Times New Roman" w:cs="Times New Roman"/>
          <w:sz w:val="28"/>
          <w:szCs w:val="28"/>
          <w:lang w:val="kk-KZ"/>
        </w:rPr>
        <w:t>м</w:t>
      </w:r>
      <w:r w:rsidRPr="004135FE">
        <w:rPr>
          <w:rFonts w:ascii="Times New Roman" w:hAnsi="Times New Roman" w:cs="Times New Roman"/>
          <w:sz w:val="28"/>
          <w:szCs w:val="28"/>
        </w:rPr>
        <w:t xml:space="preserve"> сатып алдым</w:t>
      </w:r>
    </w:p>
    <w:p w14:paraId="05861B5E"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Жоқ</w:t>
      </w:r>
    </w:p>
    <w:p w14:paraId="6CA4F023"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 xml:space="preserve">31. </w:t>
      </w:r>
      <w:r w:rsidRPr="004135FE">
        <w:rPr>
          <w:rFonts w:ascii="Times New Roman" w:hAnsi="Times New Roman" w:cs="Times New Roman"/>
          <w:b/>
          <w:sz w:val="28"/>
          <w:szCs w:val="28"/>
          <w:lang w:val="kk-KZ"/>
        </w:rPr>
        <w:t xml:space="preserve">Сіздің </w:t>
      </w:r>
      <w:r w:rsidRPr="004135FE">
        <w:rPr>
          <w:rFonts w:ascii="Times New Roman" w:hAnsi="Times New Roman" w:cs="Times New Roman"/>
          <w:b/>
          <w:sz w:val="28"/>
          <w:szCs w:val="28"/>
        </w:rPr>
        <w:t>2 типті қант диабеті</w:t>
      </w:r>
      <w:r w:rsidRPr="004135FE">
        <w:rPr>
          <w:rFonts w:ascii="Times New Roman" w:hAnsi="Times New Roman" w:cs="Times New Roman"/>
          <w:b/>
          <w:sz w:val="28"/>
          <w:szCs w:val="28"/>
          <w:lang w:val="kk-KZ"/>
        </w:rPr>
        <w:t>н</w:t>
      </w:r>
      <w:r w:rsidRPr="004135FE">
        <w:rPr>
          <w:rFonts w:ascii="Times New Roman" w:hAnsi="Times New Roman" w:cs="Times New Roman"/>
          <w:b/>
          <w:sz w:val="28"/>
          <w:szCs w:val="28"/>
        </w:rPr>
        <w:t xml:space="preserve"> емдеу құрамы?</w:t>
      </w:r>
    </w:p>
    <w:p w14:paraId="0E9D61E2"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Диетотерапия</w:t>
      </w:r>
    </w:p>
    <w:p w14:paraId="46C0D59F"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rPr>
        <w:t xml:space="preserve">2. </w:t>
      </w:r>
      <w:r w:rsidRPr="004135FE">
        <w:rPr>
          <w:rFonts w:ascii="Times New Roman" w:hAnsi="Times New Roman" w:cs="Times New Roman"/>
          <w:sz w:val="28"/>
          <w:szCs w:val="28"/>
          <w:lang w:val="kk-KZ"/>
        </w:rPr>
        <w:t>Т</w:t>
      </w:r>
      <w:r w:rsidRPr="004135FE">
        <w:rPr>
          <w:rFonts w:ascii="Times New Roman" w:hAnsi="Times New Roman" w:cs="Times New Roman"/>
          <w:sz w:val="28"/>
          <w:szCs w:val="28"/>
        </w:rPr>
        <w:t>аблетка түріндегі дәрінің</w:t>
      </w:r>
      <w:r w:rsidRPr="004135FE">
        <w:rPr>
          <w:rFonts w:ascii="Times New Roman" w:hAnsi="Times New Roman" w:cs="Times New Roman"/>
          <w:sz w:val="28"/>
          <w:szCs w:val="28"/>
          <w:lang w:val="kk-KZ"/>
        </w:rPr>
        <w:t xml:space="preserve"> бір түрі</w:t>
      </w:r>
    </w:p>
    <w:p w14:paraId="6ED00947"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Таблетка түріндегі дәрілер жиынтығы</w:t>
      </w:r>
    </w:p>
    <w:p w14:paraId="3E00E4CD"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Таблеткалар+инсулин</w:t>
      </w:r>
    </w:p>
    <w:p w14:paraId="435657A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Қысқа және ұзақ әсер ететін инсулиндер</w:t>
      </w:r>
    </w:p>
    <w:p w14:paraId="75FADF1D"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32. Егер емхана дәріханасында Сізге тағайындалған дәрі жоқ, бірақ құрамы бойынша бірдей  аналогы бар болса, Сіз не істейсіз?</w:t>
      </w:r>
    </w:p>
    <w:p w14:paraId="344E536C"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Аналогты аламын</w:t>
      </w:r>
    </w:p>
    <w:p w14:paraId="3BE321B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Аналогты алмаймын, өз дәрімнің келгенін күтемін</w:t>
      </w:r>
    </w:p>
    <w:p w14:paraId="13903368"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Аналогты алмаймын, сатып ала саламын</w:t>
      </w:r>
    </w:p>
    <w:p w14:paraId="1E10E7C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Дәрі-дәрмекті әрқашан сатып аламын</w:t>
      </w:r>
    </w:p>
    <w:p w14:paraId="4864AC5D"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33. Диабеттен басқа қандай аурулардан тегін рецепт бойынша дәрі-дәрмектерді тұрақты қабылдайсыз?</w:t>
      </w:r>
    </w:p>
    <w:p w14:paraId="59353C8F"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Артериялық гипертензия</w:t>
      </w:r>
    </w:p>
    <w:p w14:paraId="6A610C71"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Жүректің ишемиялық ауруы</w:t>
      </w:r>
    </w:p>
    <w:p w14:paraId="28274ABB"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Созылмалы бауыр аурулары</w:t>
      </w:r>
    </w:p>
    <w:p w14:paraId="066AAF32"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Көз аурулары</w:t>
      </w:r>
    </w:p>
    <w:p w14:paraId="45CFBAAD"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Неврологиялық аурулар</w:t>
      </w:r>
    </w:p>
    <w:p w14:paraId="4D394A7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Тірек - қимыл жүйесінің, буындардың аурулары</w:t>
      </w:r>
    </w:p>
    <w:p w14:paraId="29EA022F"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7. Онкологиялық аурулар</w:t>
      </w:r>
    </w:p>
    <w:p w14:paraId="116287D7"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p>
    <w:p w14:paraId="0C01F084"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6-бөлім. НАУҚАСТАРДЫ ПСИХОӘЛЕУМЕТТІК ҚОЛДАУ</w:t>
      </w:r>
    </w:p>
    <w:p w14:paraId="344EA7B8"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34. Сіздің диагнозыңызға отбасы мүшелері қалай қарайды?</w:t>
      </w:r>
    </w:p>
    <w:p w14:paraId="4885141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Қолдамайды</w:t>
      </w:r>
    </w:p>
    <w:p w14:paraId="34606C74"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Кейде қолдайды</w:t>
      </w:r>
    </w:p>
    <w:p w14:paraId="722D7D8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Қантты бақылауға көмектеседі</w:t>
      </w:r>
    </w:p>
    <w:p w14:paraId="5635604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Салауатты өмір салтын және дұрыс тамақтануды бірге сақтайды</w:t>
      </w:r>
    </w:p>
    <w:p w14:paraId="58BBABDB"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Тұрмыстық шаруаға және өзімді күтуге көмектеседі</w:t>
      </w:r>
    </w:p>
    <w:p w14:paraId="121780ED"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35. Дистресс жағдайға байланысты тағайындалған емге беріктік ұстаным төмен болған жағдайда, психоәлеуметтік қолдау үшін кімге хабарласасыз?</w:t>
      </w:r>
    </w:p>
    <w:p w14:paraId="2AB9B374"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Эндокринолог дәрігер</w:t>
      </w:r>
    </w:p>
    <w:p w14:paraId="31263B3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Эндокринолог медбикесі</w:t>
      </w:r>
    </w:p>
    <w:p w14:paraId="22B9764F"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Жалпы тәжірибелік дәрігері</w:t>
      </w:r>
    </w:p>
    <w:p w14:paraId="3FFC6E52"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Дәрігер психолог/психотерапевт</w:t>
      </w:r>
    </w:p>
    <w:p w14:paraId="52210D6A"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Әлеуметтік қызметкер</w:t>
      </w:r>
    </w:p>
    <w:p w14:paraId="590C7C3D"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Ешкімге</w:t>
      </w:r>
    </w:p>
    <w:p w14:paraId="4F071D1B"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p>
    <w:p w14:paraId="5EF472B1"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7-бөлім. КОРОНАВИРУСТЫҚ ИНФЕКЦИЯ БОЙЫНША КАРАНТИННІҢ ЖАЛПЫ ЖАҒДАЙҒА ӘСЕРІ</w:t>
      </w:r>
    </w:p>
    <w:p w14:paraId="6824514E"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 xml:space="preserve">36. Карантин кезінде медициналық қызмет алу барысында қандай қиындықтар болды? </w:t>
      </w:r>
    </w:p>
    <w:p w14:paraId="544FFFCA"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Қиындықтар болмады</w:t>
      </w:r>
    </w:p>
    <w:p w14:paraId="1C14DC2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Адамдар көп жиналатын жерлерді болдырмау мақсатында кезекті кеңесті жіберіп алды</w:t>
      </w:r>
    </w:p>
    <w:p w14:paraId="674E69A1"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3. </w:t>
      </w:r>
      <w:r w:rsidRPr="004135FE">
        <w:rPr>
          <w:rFonts w:ascii="Times New Roman" w:hAnsi="Times New Roman" w:cs="Times New Roman"/>
          <w:sz w:val="28"/>
          <w:szCs w:val="28"/>
          <w:lang w:val="kk-KZ"/>
        </w:rPr>
        <w:t>К</w:t>
      </w:r>
      <w:r w:rsidRPr="004135FE">
        <w:rPr>
          <w:rFonts w:ascii="Times New Roman" w:hAnsi="Times New Roman" w:cs="Times New Roman"/>
          <w:sz w:val="28"/>
          <w:szCs w:val="28"/>
        </w:rPr>
        <w:t>оменданттық сағат кезінде үй</w:t>
      </w:r>
      <w:r w:rsidRPr="004135FE">
        <w:rPr>
          <w:rFonts w:ascii="Times New Roman" w:hAnsi="Times New Roman" w:cs="Times New Roman"/>
          <w:sz w:val="28"/>
          <w:szCs w:val="28"/>
          <w:lang w:val="kk-KZ"/>
        </w:rPr>
        <w:t>дегі</w:t>
      </w:r>
      <w:r w:rsidRPr="004135FE">
        <w:rPr>
          <w:rFonts w:ascii="Times New Roman" w:hAnsi="Times New Roman" w:cs="Times New Roman"/>
          <w:sz w:val="28"/>
          <w:szCs w:val="28"/>
        </w:rPr>
        <w:t xml:space="preserve"> дәрілік заттар аяқталды</w:t>
      </w:r>
    </w:p>
    <w:p w14:paraId="5070F4DF"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 xml:space="preserve">37. </w:t>
      </w:r>
      <w:r w:rsidRPr="004135FE">
        <w:rPr>
          <w:rFonts w:ascii="Times New Roman" w:hAnsi="Times New Roman" w:cs="Times New Roman"/>
          <w:b/>
          <w:sz w:val="28"/>
          <w:szCs w:val="28"/>
          <w:lang w:val="kk-KZ"/>
        </w:rPr>
        <w:t>К</w:t>
      </w:r>
      <w:r w:rsidRPr="004135FE">
        <w:rPr>
          <w:rFonts w:ascii="Times New Roman" w:hAnsi="Times New Roman" w:cs="Times New Roman"/>
          <w:b/>
          <w:sz w:val="28"/>
          <w:szCs w:val="28"/>
        </w:rPr>
        <w:t xml:space="preserve">арантин кезінде емханадан үйге дәрілік </w:t>
      </w:r>
      <w:r w:rsidRPr="004135FE">
        <w:rPr>
          <w:rFonts w:ascii="Times New Roman" w:hAnsi="Times New Roman" w:cs="Times New Roman"/>
          <w:b/>
          <w:sz w:val="28"/>
          <w:szCs w:val="28"/>
          <w:lang w:val="kk-KZ"/>
        </w:rPr>
        <w:t xml:space="preserve">заттарды </w:t>
      </w:r>
      <w:r w:rsidRPr="004135FE">
        <w:rPr>
          <w:rFonts w:ascii="Times New Roman" w:hAnsi="Times New Roman" w:cs="Times New Roman"/>
          <w:b/>
          <w:sz w:val="28"/>
          <w:szCs w:val="28"/>
        </w:rPr>
        <w:t>жеткізу туралы ұсыныстар болды ма?</w:t>
      </w:r>
    </w:p>
    <w:p w14:paraId="186EE3E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Иә</w:t>
      </w:r>
    </w:p>
    <w:p w14:paraId="712A0D6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Жоқ</w:t>
      </w:r>
    </w:p>
    <w:p w14:paraId="7551054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rPr>
        <w:t>3. Қажет</w:t>
      </w:r>
      <w:r w:rsidRPr="004135FE">
        <w:rPr>
          <w:rFonts w:ascii="Times New Roman" w:hAnsi="Times New Roman" w:cs="Times New Roman"/>
          <w:sz w:val="28"/>
          <w:szCs w:val="28"/>
          <w:lang w:val="kk-KZ"/>
        </w:rPr>
        <w:t xml:space="preserve"> болмады</w:t>
      </w:r>
    </w:p>
    <w:p w14:paraId="755B7843"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38. Карантин кезінде Сізде эмоционалдық жағдайдың қаншалықты нашарлауы болды?</w:t>
      </w:r>
    </w:p>
    <w:p w14:paraId="5121A8C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Жоқ, болмады</w:t>
      </w:r>
    </w:p>
    <w:p w14:paraId="1354159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Қант деңгейі стресс салдарынан бақыланбайтын болды</w:t>
      </w:r>
    </w:p>
    <w:p w14:paraId="1BCCDFAE"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Жаңа жағдайларда өзін қалай ұстау керектігін білмедім</w:t>
      </w:r>
    </w:p>
    <w:p w14:paraId="1DADD4EE"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Отбасылық жанжалдар, түсініспеушілік жиілеп кетті</w:t>
      </w:r>
    </w:p>
    <w:p w14:paraId="30CE633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Иммунитеттің төмендеуінен қорқып тамақ көп жедім</w:t>
      </w:r>
    </w:p>
    <w:p w14:paraId="1AEAAA75"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39. Карантин кезінде Сізде физикалық жағдайдың қаншалықты нашарлауы болды?</w:t>
      </w:r>
    </w:p>
    <w:p w14:paraId="3799F8E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Жоқ, болмады</w:t>
      </w:r>
    </w:p>
    <w:p w14:paraId="28EDE0A7"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Ілеспе аурулардың асқынуы</w:t>
      </w:r>
    </w:p>
    <w:p w14:paraId="48D02562"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Диетаның бұзылуы, өйткені әрқашан жаңа және қажетті тамақ өнімдері қол жетімді болмады</w:t>
      </w:r>
    </w:p>
    <w:p w14:paraId="7436FBB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Дене белсенділігінің төмендеуі</w:t>
      </w:r>
    </w:p>
    <w:p w14:paraId="7C63708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p>
    <w:p w14:paraId="0DE0A4D1"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 xml:space="preserve">40. Коронавирустық инфекция бойынша карантин кезінде қандай ұйымдар моральдық немесе материалдық қолдау көрсетті? </w:t>
      </w:r>
    </w:p>
    <w:p w14:paraId="7E1F9B32"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CALL-орталықтар</w:t>
      </w:r>
    </w:p>
    <w:p w14:paraId="1D91D2FD"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Нұр-Отан</w:t>
      </w:r>
    </w:p>
    <w:p w14:paraId="7E57F744"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Қазақстандық Қызыл Ай</w:t>
      </w:r>
    </w:p>
    <w:p w14:paraId="0FB5F73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Туысқандар</w:t>
      </w:r>
    </w:p>
    <w:p w14:paraId="52DA019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Қазақстан Республикасының диабеттік қауымдастығы</w:t>
      </w:r>
    </w:p>
    <w:p w14:paraId="107B4344"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Алматы қаласының мүгедектер қауымдастығы</w:t>
      </w:r>
    </w:p>
    <w:p w14:paraId="63D03987"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7. Қалалық емхана</w:t>
      </w:r>
    </w:p>
    <w:p w14:paraId="463BE83A"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8. Аудандық әкімшілік</w:t>
      </w:r>
    </w:p>
    <w:p w14:paraId="0348E067"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9. Ешкім еқандай қолдау көрсеткен жоқ</w:t>
      </w:r>
    </w:p>
    <w:p w14:paraId="1DD56F0A"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p>
    <w:p w14:paraId="5F12DDA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8-бөлім. ӘЛЕУМЕТТІК ЖӘНЕ ЭКОНОМИКАЛЫҚ ДЕТЕРМИНАНТТЫҢ ДЕНСАУЛЫҚҚА ӘСЕРІ</w:t>
      </w:r>
    </w:p>
    <w:p w14:paraId="71CE24A2"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 xml:space="preserve">41. Сіз үйіңізде өмір сүретін ортаның қандай сыртқы факторларынан зардар шегесіз? </w:t>
      </w:r>
    </w:p>
    <w:p w14:paraId="0C605A4F"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Көршілерден естілетін шу</w:t>
      </w:r>
    </w:p>
    <w:p w14:paraId="67753B2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Көшеден естілетін шу (жол қозғалысы, кәсіпорындар, зауыттар, қоғамдық тамақтану)</w:t>
      </w:r>
    </w:p>
    <w:p w14:paraId="176A1DD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 xml:space="preserve">3. Әртүрлі иістерге байланысты таза ауаға қол жеткізу мүмкін емес </w:t>
      </w:r>
    </w:p>
    <w:p w14:paraId="5D073ABC"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Жақын орналасқан қоғамдық тамақтану орындарынан келетін тамақ иісі диетаның бұзылуына азғырады</w:t>
      </w:r>
    </w:p>
    <w:p w14:paraId="79652DA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Көрші ұйымдардан жарықтың қатты түсуі</w:t>
      </w:r>
    </w:p>
    <w:p w14:paraId="3994C34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Шу мен инфекция көздері болуы мүмкін панасыз иттер мен мысықтар</w:t>
      </w:r>
    </w:p>
    <w:p w14:paraId="6B6BD659"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42. Сіз көкөністерді жиі жейсіз бе?</w:t>
      </w:r>
    </w:p>
    <w:p w14:paraId="230AF511"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Әр күні</w:t>
      </w:r>
    </w:p>
    <w:p w14:paraId="766853D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Күн сайын емес</w:t>
      </w:r>
    </w:p>
    <w:p w14:paraId="0B6D7F28"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43. Сіз жеміс- жидектерді жиі жейсіз бе?</w:t>
      </w:r>
    </w:p>
    <w:p w14:paraId="02B3EA84"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Әр күні</w:t>
      </w:r>
    </w:p>
    <w:p w14:paraId="4B387A48"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Күн сайын емес</w:t>
      </w:r>
    </w:p>
    <w:p w14:paraId="50B7FC11"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Тамаққа қоспаймын</w:t>
      </w:r>
    </w:p>
    <w:p w14:paraId="72DCEE87"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44. Күніне қанша темекі шегесіз?</w:t>
      </w:r>
    </w:p>
    <w:p w14:paraId="20B79E71"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3-5 дана</w:t>
      </w:r>
    </w:p>
    <w:p w14:paraId="3F46100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1 бумадан кем</w:t>
      </w:r>
    </w:p>
    <w:p w14:paraId="7DE167C7"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1 бумадан астам</w:t>
      </w:r>
    </w:p>
    <w:p w14:paraId="4B5746F0"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Темекі шекпеймін</w:t>
      </w:r>
    </w:p>
    <w:p w14:paraId="092696B0"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45. Алкогольді ішімдіктерді жиі пайдаланасыз ба?</w:t>
      </w:r>
    </w:p>
    <w:p w14:paraId="286F8A8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Сирек</w:t>
      </w:r>
    </w:p>
    <w:p w14:paraId="5A21ED14"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Аптасына 2 рет</w:t>
      </w:r>
    </w:p>
    <w:p w14:paraId="6290ED28"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Күн сайын</w:t>
      </w:r>
    </w:p>
    <w:p w14:paraId="6CE7100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4. </w:t>
      </w:r>
      <w:r w:rsidRPr="004135FE">
        <w:rPr>
          <w:rFonts w:ascii="Times New Roman" w:hAnsi="Times New Roman" w:cs="Times New Roman"/>
          <w:sz w:val="28"/>
          <w:szCs w:val="28"/>
          <w:lang w:val="kk-KZ"/>
        </w:rPr>
        <w:t>Ішімдік ішпеймін</w:t>
      </w:r>
    </w:p>
    <w:p w14:paraId="76BB60D1"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 xml:space="preserve">46. Әдетте дене белсенділігімен қайда айналысасыз? </w:t>
      </w:r>
    </w:p>
    <w:p w14:paraId="0D7E2D5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Мен айналыспаймын</w:t>
      </w:r>
    </w:p>
    <w:p w14:paraId="3C9DF60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Үйде</w:t>
      </w:r>
    </w:p>
    <w:p w14:paraId="12F3ACA8"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Аулада</w:t>
      </w:r>
    </w:p>
    <w:p w14:paraId="29335B2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Спорт кешенінде ақылы</w:t>
      </w:r>
    </w:p>
    <w:p w14:paraId="323CFB3A"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Спорт алаңында тегін</w:t>
      </w:r>
    </w:p>
    <w:p w14:paraId="687EB6E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p>
    <w:p w14:paraId="603BF67D"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ФЕРТИЛЬДІ ЖАСТАҒЫ ӘЙЕЛДЕР МЕН ЕРЛЕРДІҢ РЕПРОДУКТИВТІ ӘЛЕУЕТІ БОЙЫНША ПІКІР ЖӘНЕ ДЕРЕКТЕР</w:t>
      </w:r>
    </w:p>
    <w:p w14:paraId="05035D0B"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47. Қанша бала</w:t>
      </w:r>
      <w:r w:rsidRPr="004135FE">
        <w:rPr>
          <w:rFonts w:ascii="Times New Roman" w:hAnsi="Times New Roman" w:cs="Times New Roman"/>
          <w:b/>
          <w:sz w:val="28"/>
          <w:szCs w:val="28"/>
          <w:lang w:val="kk-KZ"/>
        </w:rPr>
        <w:t>ңыз бар</w:t>
      </w:r>
      <w:r w:rsidRPr="004135FE">
        <w:rPr>
          <w:rFonts w:ascii="Times New Roman" w:hAnsi="Times New Roman" w:cs="Times New Roman"/>
          <w:b/>
          <w:sz w:val="28"/>
          <w:szCs w:val="28"/>
        </w:rPr>
        <w:t>?</w:t>
      </w:r>
    </w:p>
    <w:p w14:paraId="6D152E2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1 бала</w:t>
      </w:r>
    </w:p>
    <w:p w14:paraId="6098B974"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2 бала</w:t>
      </w:r>
    </w:p>
    <w:p w14:paraId="5E0F79F8"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3 бала</w:t>
      </w:r>
    </w:p>
    <w:p w14:paraId="12C70F57"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4 бала</w:t>
      </w:r>
    </w:p>
    <w:p w14:paraId="79A433D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5 бала</w:t>
      </w:r>
    </w:p>
    <w:p w14:paraId="2B6520D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6 бала</w:t>
      </w:r>
    </w:p>
    <w:p w14:paraId="3E293E26"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48. Сіздің ойыңызша, отбасында қанша бала болғаны дұрыс?</w:t>
      </w:r>
    </w:p>
    <w:p w14:paraId="4F42134B"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1 бала</w:t>
      </w:r>
    </w:p>
    <w:p w14:paraId="34EAF5C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2 бала</w:t>
      </w:r>
    </w:p>
    <w:p w14:paraId="34E3520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3 бала</w:t>
      </w:r>
    </w:p>
    <w:p w14:paraId="0FCE604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4 бала</w:t>
      </w:r>
    </w:p>
    <w:p w14:paraId="7B509B8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5 бала</w:t>
      </w:r>
    </w:p>
    <w:p w14:paraId="5E6B36B3"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6 бала</w:t>
      </w:r>
    </w:p>
    <w:p w14:paraId="70A6673F"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rPr>
      </w:pPr>
      <w:r w:rsidRPr="004135FE">
        <w:rPr>
          <w:rFonts w:ascii="Times New Roman" w:hAnsi="Times New Roman" w:cs="Times New Roman"/>
          <w:b/>
          <w:sz w:val="28"/>
          <w:szCs w:val="28"/>
        </w:rPr>
        <w:t xml:space="preserve">49. Некелескен соң алғашқы жылдарда қандай қиындықтар болды? </w:t>
      </w:r>
    </w:p>
    <w:p w14:paraId="3AD3D4BF"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1. Тұрғын үй мәселесі</w:t>
      </w:r>
    </w:p>
    <w:p w14:paraId="6B957CC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2. Материалдық</w:t>
      </w:r>
    </w:p>
    <w:p w14:paraId="60E0AC84"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Отбасылық қарым-қатынас</w:t>
      </w:r>
    </w:p>
    <w:p w14:paraId="26473612" w14:textId="77777777" w:rsidR="008D5DB3" w:rsidRPr="004135FE" w:rsidRDefault="008D5DB3" w:rsidP="004135FE">
      <w:pPr>
        <w:tabs>
          <w:tab w:val="left" w:pos="0"/>
        </w:tabs>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 xml:space="preserve">4. </w:t>
      </w:r>
      <w:r w:rsidRPr="004135FE">
        <w:rPr>
          <w:rFonts w:ascii="Times New Roman" w:hAnsi="Times New Roman" w:cs="Times New Roman"/>
          <w:sz w:val="28"/>
          <w:szCs w:val="28"/>
          <w:lang w:val="kk-KZ"/>
        </w:rPr>
        <w:t>О</w:t>
      </w:r>
      <w:r w:rsidRPr="004135FE">
        <w:rPr>
          <w:rFonts w:ascii="Times New Roman" w:hAnsi="Times New Roman" w:cs="Times New Roman"/>
          <w:sz w:val="28"/>
          <w:szCs w:val="28"/>
        </w:rPr>
        <w:t>тбасы</w:t>
      </w:r>
      <w:r w:rsidRPr="004135FE">
        <w:rPr>
          <w:rFonts w:ascii="Times New Roman" w:hAnsi="Times New Roman" w:cs="Times New Roman"/>
          <w:sz w:val="28"/>
          <w:szCs w:val="28"/>
          <w:lang w:val="kk-KZ"/>
        </w:rPr>
        <w:t xml:space="preserve"> мен жұмысты қатар алып жүру</w:t>
      </w:r>
    </w:p>
    <w:p w14:paraId="14F21C85"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rPr>
        <w:t>5. Басқа</w:t>
      </w:r>
      <w:r w:rsidRPr="004135FE">
        <w:rPr>
          <w:rFonts w:ascii="Times New Roman" w:hAnsi="Times New Roman" w:cs="Times New Roman"/>
          <w:sz w:val="28"/>
          <w:szCs w:val="28"/>
          <w:lang w:val="kk-KZ"/>
        </w:rPr>
        <w:t xml:space="preserve"> мәселелер</w:t>
      </w:r>
    </w:p>
    <w:p w14:paraId="63BDEA42" w14:textId="77777777" w:rsidR="008D5DB3" w:rsidRPr="004135FE" w:rsidRDefault="008D5DB3" w:rsidP="004135FE">
      <w:pPr>
        <w:tabs>
          <w:tab w:val="left" w:pos="0"/>
        </w:tabs>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50. Бала туу санын арттыру үшін қандай шаралар қажет?</w:t>
      </w:r>
    </w:p>
    <w:p w14:paraId="07D0E1FD"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Тұрғын үй жағдайын жақсарту</w:t>
      </w:r>
    </w:p>
    <w:p w14:paraId="737A4B9F"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Материалдық әл-ауқатты арттыру</w:t>
      </w:r>
    </w:p>
    <w:p w14:paraId="35B4131D"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Балаларға арналған ақшалай жәрдемақыны ұлғайту</w:t>
      </w:r>
    </w:p>
    <w:p w14:paraId="584E1F38"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Мектепке дейінгі балалар ұйымдарымен қамтамасыз ету</w:t>
      </w:r>
    </w:p>
    <w:p w14:paraId="48107F76"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 xml:space="preserve">5. Қоғамда ана-әке болу және отбасы құндылықтары мәртебесін жоғарылатуды қалыптастыру </w:t>
      </w:r>
    </w:p>
    <w:p w14:paraId="3BF69CB9"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Физикалық денсаулықты нығайту</w:t>
      </w:r>
    </w:p>
    <w:p w14:paraId="7EE72A4A"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7. Медициналық көмекті жақсарту</w:t>
      </w:r>
    </w:p>
    <w:p w14:paraId="054E44DC" w14:textId="77777777" w:rsidR="008D5DB3" w:rsidRPr="004135FE" w:rsidRDefault="008D5DB3" w:rsidP="004135FE">
      <w:pPr>
        <w:tabs>
          <w:tab w:val="left" w:pos="0"/>
        </w:tabs>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8. Басқа мәселелер</w:t>
      </w:r>
    </w:p>
    <w:p w14:paraId="6F46EE89"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51. Сіздің ет-бауыр туыстарыңызда төменде көрсетілген денсаулық жағдайлардың бірі болды ма?</w:t>
      </w:r>
    </w:p>
    <w:p w14:paraId="0F39FC2D"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2 типті қант диабеті</w:t>
      </w:r>
    </w:p>
    <w:p w14:paraId="3E8C0E4F"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Сүт безі обыры</w:t>
      </w:r>
    </w:p>
    <w:p w14:paraId="1E0DBCE0"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3. Аналық без обыры</w:t>
      </w:r>
    </w:p>
    <w:p w14:paraId="10139E7E"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4. Жатыр обыры</w:t>
      </w:r>
    </w:p>
    <w:p w14:paraId="5BB3F554"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5. Тоқ ішек обыры</w:t>
      </w:r>
    </w:p>
    <w:p w14:paraId="21D78224"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6. Простата обыры</w:t>
      </w:r>
    </w:p>
    <w:p w14:paraId="63A864C2"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7. Өкпе обыры</w:t>
      </w:r>
    </w:p>
    <w:p w14:paraId="4E2E63D5" w14:textId="77777777" w:rsidR="008D5DB3" w:rsidRPr="004135FE" w:rsidRDefault="008D5DB3" w:rsidP="004135FE">
      <w:pPr>
        <w:spacing w:after="0" w:line="240" w:lineRule="auto"/>
        <w:jc w:val="both"/>
        <w:rPr>
          <w:rFonts w:ascii="Times New Roman" w:hAnsi="Times New Roman" w:cs="Times New Roman"/>
          <w:sz w:val="28"/>
          <w:szCs w:val="28"/>
        </w:rPr>
      </w:pPr>
      <w:r w:rsidRPr="004135FE">
        <w:rPr>
          <w:rFonts w:ascii="Times New Roman" w:hAnsi="Times New Roman" w:cs="Times New Roman"/>
          <w:sz w:val="28"/>
          <w:szCs w:val="28"/>
        </w:rPr>
        <w:t>8. Мұндай денсаулық жағдайы болған жоқ</w:t>
      </w:r>
    </w:p>
    <w:p w14:paraId="1D6FE9A6"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 xml:space="preserve">52. Сіз немесе сіздің жарыңызда фертильдік (бала сүюге қабілеттілік) қиындықтарының себебін анықтау үшін қандай да бір зерттеу болды ма және Сізге немесе Сіздің жарыңызға қандай диагноз қойылды? </w:t>
      </w:r>
    </w:p>
    <w:p w14:paraId="6963454B"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Эндометриоз</w:t>
      </w:r>
    </w:p>
    <w:p w14:paraId="20662CBC"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Аналық бездердің поликистозы</w:t>
      </w:r>
    </w:p>
    <w:p w14:paraId="0ACEDDA6"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Кіші жамбас мүшелерінің қабыну аурулары</w:t>
      </w:r>
    </w:p>
    <w:p w14:paraId="3D19E95E"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Жатыр миомасы</w:t>
      </w:r>
    </w:p>
    <w:p w14:paraId="261AA09A"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Жатыр түтіктерінің бітелуі</w:t>
      </w:r>
    </w:p>
    <w:p w14:paraId="66900B89"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Овуляцияның болмауы немесе тұрақты емес  болуы</w:t>
      </w:r>
    </w:p>
    <w:p w14:paraId="3F176D92"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7. Шәуеттің саны немесе сапасының төмен болуы</w:t>
      </w:r>
    </w:p>
    <w:p w14:paraId="00D35BF9"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8. Басқа мәселе</w:t>
      </w:r>
    </w:p>
    <w:p w14:paraId="477C2271"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9. Еш қиындық болмады</w:t>
      </w:r>
    </w:p>
    <w:p w14:paraId="067A885C"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53. Соңғы рет жыныстық гормондардың талдауларын қашан өттіңіз?</w:t>
      </w:r>
    </w:p>
    <w:p w14:paraId="25CDF875"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Осы айда</w:t>
      </w:r>
    </w:p>
    <w:p w14:paraId="69C169D8"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3 ай ағымында</w:t>
      </w:r>
    </w:p>
    <w:p w14:paraId="3C06661D"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Осы жылы</w:t>
      </w:r>
    </w:p>
    <w:p w14:paraId="5C883236"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3 жыл бұрын</w:t>
      </w:r>
    </w:p>
    <w:p w14:paraId="6FFB2CFD"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Есімде жоқ</w:t>
      </w:r>
    </w:p>
    <w:p w14:paraId="11F9CAEB" w14:textId="77777777" w:rsidR="008D5DB3" w:rsidRPr="004135FE" w:rsidRDefault="008D5DB3" w:rsidP="004135FE">
      <w:pPr>
        <w:spacing w:after="0" w:line="240" w:lineRule="auto"/>
        <w:jc w:val="both"/>
        <w:rPr>
          <w:rFonts w:ascii="Times New Roman" w:hAnsi="Times New Roman" w:cs="Times New Roman"/>
          <w:sz w:val="28"/>
          <w:szCs w:val="28"/>
          <w:lang w:val="kk-KZ"/>
        </w:rPr>
      </w:pPr>
    </w:p>
    <w:p w14:paraId="36EA4727"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Ерлерге арналған сұрақтар:</w:t>
      </w:r>
    </w:p>
    <w:p w14:paraId="4486A890"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54. Уролог дәрігердің кабинетіне Сіз алғаш рет қандай мәселеге қатысты қаралдыңыз?</w:t>
      </w:r>
    </w:p>
    <w:p w14:paraId="7CFD746D"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Профилактикалық қаралу</w:t>
      </w:r>
    </w:p>
    <w:p w14:paraId="22686AD1"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Жыныс мүшелерінің қабыну аурулары</w:t>
      </w:r>
    </w:p>
    <w:p w14:paraId="1AD69916"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Некеге тұрар алдында кеңес алу</w:t>
      </w:r>
    </w:p>
    <w:p w14:paraId="35BBAD92"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Контрацептивтер бойынша кеңес</w:t>
      </w:r>
    </w:p>
    <w:p w14:paraId="7BFE85F0"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Басқа мәселе</w:t>
      </w:r>
    </w:p>
    <w:p w14:paraId="3E99D5DF"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55. Соңғы рет дәрігер урологта қашан болдыңыз?</w:t>
      </w:r>
    </w:p>
    <w:p w14:paraId="2EAEA15B"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Осы айда</w:t>
      </w:r>
    </w:p>
    <w:p w14:paraId="7C70F5A0"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3 ай ағымында</w:t>
      </w:r>
    </w:p>
    <w:p w14:paraId="148BE59A"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Осы жылы</w:t>
      </w:r>
    </w:p>
    <w:p w14:paraId="55F3FCC4"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3 жыл бұрын</w:t>
      </w:r>
    </w:p>
    <w:p w14:paraId="0C34D169"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Есімде жоқ</w:t>
      </w:r>
    </w:p>
    <w:p w14:paraId="2E53A179"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56. Сізге бала сүйгенге дейін  2 типті Қант диабеті диагнозы қойылған еді ма?</w:t>
      </w:r>
    </w:p>
    <w:p w14:paraId="59665E45"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Иә, бірінші бала туылғанға дейін</w:t>
      </w:r>
    </w:p>
    <w:p w14:paraId="473B6990"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Иә, екінші бала туылғанға дейін</w:t>
      </w:r>
    </w:p>
    <w:p w14:paraId="4D4D93C0"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Иә, үшінші бала туылғанға дейін</w:t>
      </w:r>
    </w:p>
    <w:p w14:paraId="342A0FCE"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Иә, төртінші бала туылғанға дейін</w:t>
      </w:r>
    </w:p>
    <w:p w14:paraId="4CAD309F"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Жоқ</w:t>
      </w:r>
    </w:p>
    <w:p w14:paraId="2B2F14FC" w14:textId="77777777" w:rsidR="008D5DB3" w:rsidRPr="004135FE" w:rsidRDefault="008D5DB3" w:rsidP="004135FE">
      <w:pPr>
        <w:spacing w:after="0" w:line="240" w:lineRule="auto"/>
        <w:jc w:val="both"/>
        <w:rPr>
          <w:rFonts w:ascii="Times New Roman" w:hAnsi="Times New Roman" w:cs="Times New Roman"/>
          <w:sz w:val="28"/>
          <w:szCs w:val="28"/>
          <w:lang w:val="kk-KZ"/>
        </w:rPr>
      </w:pPr>
    </w:p>
    <w:p w14:paraId="4844DD7D"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Әйелдерге арналған сұрақтар:</w:t>
      </w:r>
    </w:p>
    <w:p w14:paraId="1FDF184B"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57. Сіз алғаш рет әйелдер кеңесіне қандай себеппен жүгіндіңіз?</w:t>
      </w:r>
    </w:p>
    <w:p w14:paraId="4CB3AFFD"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Етеккір циклінің бұзылуы және ауырсынуы</w:t>
      </w:r>
    </w:p>
    <w:p w14:paraId="24736656"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Кіші жамбас мүшелерінің қабыну аурулары</w:t>
      </w:r>
    </w:p>
    <w:p w14:paraId="7A29BA85"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Аборт жасау ниеті</w:t>
      </w:r>
    </w:p>
    <w:p w14:paraId="2DE572E2"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Некеге тұрар алдында кеңес алу</w:t>
      </w:r>
    </w:p>
    <w:p w14:paraId="56751799"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Контрацептивтер бойынша кеңес</w:t>
      </w:r>
    </w:p>
    <w:p w14:paraId="65173E11"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Басқа мәселе</w:t>
      </w:r>
    </w:p>
    <w:p w14:paraId="077AF154"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58. Сізге жүктілікке дейін "2 типті қант диабеті"диагнозын қойылған еді ма?</w:t>
      </w:r>
    </w:p>
    <w:p w14:paraId="1288E289"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Ия, бірінші жүктілікке дейін</w:t>
      </w:r>
    </w:p>
    <w:p w14:paraId="28674C08"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Иә, екінші жүктілікке дейін</w:t>
      </w:r>
    </w:p>
    <w:p w14:paraId="1DDC9378"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Иә, үшінші жүктілікке дейін</w:t>
      </w:r>
    </w:p>
    <w:p w14:paraId="32121DCA"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Иә, төртінші жүктілікке дейін</w:t>
      </w:r>
    </w:p>
    <w:p w14:paraId="7C0D94E3"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Жоқ</w:t>
      </w:r>
    </w:p>
    <w:p w14:paraId="4E4FFED6"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 xml:space="preserve">59. Сізге жүктілік кезінде "гестациялық диабет" диагнозы қойынған еді ма? </w:t>
      </w:r>
    </w:p>
    <w:p w14:paraId="6DF03866"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Ия, бірінші жүктілік кезінде</w:t>
      </w:r>
    </w:p>
    <w:p w14:paraId="33B08708"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Иә, екінші жүктілік кезінде</w:t>
      </w:r>
    </w:p>
    <w:p w14:paraId="16391FFE"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Иә, үшінші жүктілік кезінде</w:t>
      </w:r>
    </w:p>
    <w:p w14:paraId="288CFDD6"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Иә, төртінші жүктілік кезінде</w:t>
      </w:r>
    </w:p>
    <w:p w14:paraId="43F2B4D0"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Жоқ</w:t>
      </w:r>
    </w:p>
    <w:p w14:paraId="55FB1538"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60. Сіздің жүктіліктеріңіздің нәтижесі?</w:t>
      </w:r>
    </w:p>
    <w:p w14:paraId="1C69F48A"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Барлық балалар тірі туылған, салмағы 3,9 кг дейін</w:t>
      </w:r>
    </w:p>
    <w:p w14:paraId="27D71AE4"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Барлық балалар тірі туылған, салмағы 4 кг-нан 4,5 кг-ға дейін</w:t>
      </w:r>
    </w:p>
    <w:p w14:paraId="022F5E9F"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Барлық балалар тірі туылған, салмағы 4,6 кг-нан 5 кг-ға дейін</w:t>
      </w:r>
    </w:p>
    <w:p w14:paraId="6E4D994E"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Барлық балалар тірі туылған, салмағы 5,1 кг</w:t>
      </w:r>
    </w:p>
    <w:p w14:paraId="31FF313C"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Денсаулық жағдайының асқынуына байланысты барлығы тірі туылған жоқ</w:t>
      </w:r>
    </w:p>
    <w:p w14:paraId="687A4805" w14:textId="77777777" w:rsidR="008D5DB3" w:rsidRPr="004135FE" w:rsidRDefault="008D5DB3"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t xml:space="preserve">61. Егер аборт болса, себебін көрсетіңіз? </w:t>
      </w:r>
    </w:p>
    <w:p w14:paraId="3629E6AC"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1. Қанағаттанарлықсыз материалдық жағдай</w:t>
      </w:r>
    </w:p>
    <w:p w14:paraId="00831BD2"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2. Отбасылық қарым-қатынас</w:t>
      </w:r>
    </w:p>
    <w:p w14:paraId="40CEF7C5"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3. Күйеуінің қарсы болуы</w:t>
      </w:r>
    </w:p>
    <w:p w14:paraId="5F04080C"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4. Денсаулық жағдайы</w:t>
      </w:r>
    </w:p>
    <w:p w14:paraId="38B5A49A"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5. Емшектегі баланың болуы</w:t>
      </w:r>
    </w:p>
    <w:p w14:paraId="2B788588"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6. Оқу немесе Жұмыспен қарбаласу</w:t>
      </w:r>
    </w:p>
    <w:p w14:paraId="49A7873A"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7. Күйеуі жоқ</w:t>
      </w:r>
    </w:p>
    <w:p w14:paraId="3AFB8739" w14:textId="77777777" w:rsidR="008D5DB3" w:rsidRPr="004135FE" w:rsidRDefault="008D5DB3" w:rsidP="004135FE">
      <w:pPr>
        <w:spacing w:after="0" w:line="240" w:lineRule="auto"/>
        <w:jc w:val="both"/>
        <w:rPr>
          <w:rFonts w:ascii="Times New Roman" w:hAnsi="Times New Roman" w:cs="Times New Roman"/>
          <w:sz w:val="28"/>
          <w:szCs w:val="28"/>
          <w:lang w:val="kk-KZ"/>
        </w:rPr>
      </w:pPr>
      <w:r w:rsidRPr="004135FE">
        <w:rPr>
          <w:rFonts w:ascii="Times New Roman" w:hAnsi="Times New Roman" w:cs="Times New Roman"/>
          <w:sz w:val="28"/>
          <w:szCs w:val="28"/>
          <w:lang w:val="kk-KZ"/>
        </w:rPr>
        <w:t>8. Аборт болмады</w:t>
      </w:r>
    </w:p>
    <w:p w14:paraId="5E7F76AA" w14:textId="77777777" w:rsidR="008D5DB3" w:rsidRPr="004135FE" w:rsidRDefault="008D5DB3" w:rsidP="004135FE">
      <w:pPr>
        <w:spacing w:after="0" w:line="240" w:lineRule="auto"/>
        <w:jc w:val="both"/>
        <w:rPr>
          <w:rFonts w:ascii="Times New Roman" w:hAnsi="Times New Roman" w:cs="Times New Roman"/>
          <w:sz w:val="28"/>
          <w:szCs w:val="28"/>
          <w:lang w:val="kk-KZ"/>
        </w:rPr>
      </w:pPr>
    </w:p>
    <w:p w14:paraId="5AF8333E" w14:textId="77777777" w:rsidR="008D5DB3" w:rsidRPr="004135FE" w:rsidRDefault="008D5DB3" w:rsidP="004135FE">
      <w:pPr>
        <w:spacing w:after="0" w:line="240" w:lineRule="auto"/>
        <w:jc w:val="both"/>
        <w:rPr>
          <w:rFonts w:ascii="Times New Roman" w:hAnsi="Times New Roman" w:cs="Times New Roman"/>
          <w:sz w:val="28"/>
          <w:szCs w:val="28"/>
          <w:lang w:val="kk-KZ"/>
        </w:rPr>
      </w:pPr>
    </w:p>
    <w:p w14:paraId="7ED2C968" w14:textId="77777777" w:rsidR="008D5DB3" w:rsidRPr="004135FE" w:rsidRDefault="008D5DB3" w:rsidP="004135FE">
      <w:pPr>
        <w:spacing w:after="0" w:line="240" w:lineRule="auto"/>
        <w:jc w:val="center"/>
        <w:rPr>
          <w:rFonts w:ascii="Times New Roman" w:hAnsi="Times New Roman" w:cs="Times New Roman"/>
          <w:b/>
          <w:sz w:val="28"/>
          <w:szCs w:val="28"/>
          <w:lang w:val="kk-KZ"/>
        </w:rPr>
      </w:pPr>
      <w:r w:rsidRPr="004135FE">
        <w:rPr>
          <w:rFonts w:ascii="Times New Roman" w:hAnsi="Times New Roman" w:cs="Times New Roman"/>
          <w:b/>
          <w:sz w:val="28"/>
          <w:szCs w:val="28"/>
          <w:lang w:val="kk-KZ"/>
        </w:rPr>
        <w:t>Әлеуметтік сауалнамаға қатысқандарыңыз үшін рахмет!</w:t>
      </w:r>
    </w:p>
    <w:p w14:paraId="77858C98" w14:textId="77777777" w:rsidR="0009203B" w:rsidRPr="004135FE" w:rsidRDefault="0009203B" w:rsidP="004135FE">
      <w:pPr>
        <w:spacing w:after="0" w:line="240" w:lineRule="auto"/>
        <w:jc w:val="both"/>
        <w:rPr>
          <w:rFonts w:ascii="Times New Roman" w:hAnsi="Times New Roman" w:cs="Times New Roman"/>
          <w:b/>
          <w:sz w:val="28"/>
          <w:szCs w:val="28"/>
          <w:lang w:val="kk-KZ"/>
        </w:rPr>
      </w:pPr>
    </w:p>
    <w:p w14:paraId="596FA01F" w14:textId="77777777" w:rsidR="0048182F" w:rsidRPr="004135FE" w:rsidRDefault="0048182F" w:rsidP="004135FE">
      <w:pPr>
        <w:spacing w:after="0" w:line="240" w:lineRule="auto"/>
        <w:jc w:val="both"/>
        <w:rPr>
          <w:rFonts w:ascii="Times New Roman" w:hAnsi="Times New Roman" w:cs="Times New Roman"/>
          <w:b/>
          <w:sz w:val="28"/>
          <w:szCs w:val="28"/>
          <w:lang w:val="kk-KZ"/>
        </w:rPr>
      </w:pPr>
    </w:p>
    <w:p w14:paraId="2A5EBDAC" w14:textId="77777777" w:rsidR="0048182F" w:rsidRPr="004135FE" w:rsidRDefault="0048182F" w:rsidP="004135FE">
      <w:pPr>
        <w:spacing w:after="0" w:line="240" w:lineRule="auto"/>
        <w:jc w:val="both"/>
        <w:rPr>
          <w:rFonts w:ascii="Times New Roman" w:hAnsi="Times New Roman" w:cs="Times New Roman"/>
          <w:b/>
          <w:sz w:val="28"/>
          <w:szCs w:val="28"/>
          <w:lang w:val="kk-KZ"/>
        </w:rPr>
      </w:pPr>
    </w:p>
    <w:p w14:paraId="0F9F455B" w14:textId="77777777" w:rsidR="0048182F" w:rsidRPr="004135FE" w:rsidRDefault="0048182F" w:rsidP="004135FE">
      <w:pPr>
        <w:spacing w:after="0" w:line="240" w:lineRule="auto"/>
        <w:jc w:val="both"/>
        <w:rPr>
          <w:rFonts w:ascii="Times New Roman" w:hAnsi="Times New Roman" w:cs="Times New Roman"/>
          <w:b/>
          <w:sz w:val="28"/>
          <w:szCs w:val="28"/>
          <w:lang w:val="kk-KZ"/>
        </w:rPr>
      </w:pPr>
    </w:p>
    <w:p w14:paraId="6C346DAD" w14:textId="77777777" w:rsidR="0048182F" w:rsidRPr="004135FE" w:rsidRDefault="0048182F" w:rsidP="004135FE">
      <w:pPr>
        <w:spacing w:after="0" w:line="240" w:lineRule="auto"/>
        <w:jc w:val="both"/>
        <w:rPr>
          <w:rFonts w:ascii="Times New Roman" w:hAnsi="Times New Roman" w:cs="Times New Roman"/>
          <w:b/>
          <w:sz w:val="28"/>
          <w:szCs w:val="28"/>
          <w:lang w:val="kk-KZ"/>
        </w:rPr>
      </w:pPr>
    </w:p>
    <w:p w14:paraId="326079D6" w14:textId="77777777" w:rsidR="0048182F" w:rsidRPr="004135FE" w:rsidRDefault="0048182F" w:rsidP="004135FE">
      <w:pPr>
        <w:spacing w:after="0" w:line="240" w:lineRule="auto"/>
        <w:jc w:val="both"/>
        <w:rPr>
          <w:rFonts w:ascii="Times New Roman" w:hAnsi="Times New Roman" w:cs="Times New Roman"/>
          <w:b/>
          <w:sz w:val="28"/>
          <w:szCs w:val="28"/>
          <w:lang w:val="kk-KZ"/>
        </w:rPr>
      </w:pPr>
    </w:p>
    <w:p w14:paraId="3A2EE77A" w14:textId="0F806B02" w:rsidR="0048182F" w:rsidRPr="004135FE" w:rsidRDefault="0048182F" w:rsidP="004135FE">
      <w:pPr>
        <w:spacing w:after="0" w:line="240" w:lineRule="auto"/>
        <w:jc w:val="both"/>
        <w:rPr>
          <w:rFonts w:ascii="Times New Roman" w:hAnsi="Times New Roman" w:cs="Times New Roman"/>
          <w:b/>
          <w:sz w:val="28"/>
          <w:szCs w:val="28"/>
          <w:lang w:val="kk-KZ"/>
        </w:rPr>
      </w:pPr>
    </w:p>
    <w:p w14:paraId="57F25D3B" w14:textId="77777777" w:rsidR="00544768" w:rsidRPr="004135FE" w:rsidRDefault="00544768" w:rsidP="004135FE">
      <w:pPr>
        <w:spacing w:after="0" w:line="240" w:lineRule="auto"/>
        <w:jc w:val="both"/>
        <w:rPr>
          <w:rFonts w:ascii="Times New Roman" w:hAnsi="Times New Roman" w:cs="Times New Roman"/>
          <w:b/>
          <w:sz w:val="28"/>
          <w:szCs w:val="28"/>
          <w:lang w:val="kk-KZ"/>
        </w:rPr>
        <w:sectPr w:rsidR="00544768" w:rsidRPr="004135FE" w:rsidSect="00EC71C2">
          <w:type w:val="nextColumn"/>
          <w:pgSz w:w="11906" w:h="16838"/>
          <w:pgMar w:top="1134" w:right="851" w:bottom="1134" w:left="1701" w:header="708" w:footer="708" w:gutter="0"/>
          <w:cols w:space="708"/>
          <w:docGrid w:linePitch="360"/>
        </w:sectPr>
      </w:pPr>
    </w:p>
    <w:p w14:paraId="256C5455" w14:textId="1ECCD54E" w:rsidR="00387BB5" w:rsidRDefault="00387BB5" w:rsidP="00680E37">
      <w:pPr>
        <w:spacing w:after="0" w:line="240" w:lineRule="auto"/>
        <w:jc w:val="center"/>
        <w:rPr>
          <w:rFonts w:ascii="Times New Roman" w:hAnsi="Times New Roman" w:cs="Times New Roman"/>
          <w:b/>
          <w:sz w:val="28"/>
          <w:szCs w:val="28"/>
        </w:rPr>
      </w:pPr>
      <w:r w:rsidRPr="004135FE">
        <w:rPr>
          <w:rFonts w:ascii="Times New Roman" w:hAnsi="Times New Roman" w:cs="Times New Roman"/>
          <w:b/>
          <w:sz w:val="28"/>
          <w:szCs w:val="28"/>
        </w:rPr>
        <w:t>ПРИЛОЖЕНИЕ В</w:t>
      </w:r>
    </w:p>
    <w:p w14:paraId="331FC902" w14:textId="34BFD8C5" w:rsidR="00680E37" w:rsidRPr="004135FE" w:rsidRDefault="0093416F" w:rsidP="00680E37">
      <w:pPr>
        <w:spacing w:after="0" w:line="240" w:lineRule="auto"/>
        <w:jc w:val="center"/>
        <w:rPr>
          <w:rFonts w:ascii="Times New Roman" w:hAnsi="Times New Roman" w:cs="Times New Roman"/>
          <w:b/>
          <w:sz w:val="28"/>
          <w:szCs w:val="28"/>
        </w:rPr>
      </w:pPr>
      <w:r w:rsidRPr="0093416F">
        <w:rPr>
          <w:rFonts w:ascii="Times New Roman" w:hAnsi="Times New Roman" w:cs="Times New Roman"/>
          <w:b/>
          <w:sz w:val="28"/>
          <w:szCs w:val="28"/>
        </w:rPr>
        <w:t>Акт внедрения результатов научно</w:t>
      </w:r>
      <w:r>
        <w:rPr>
          <w:rFonts w:ascii="Times New Roman" w:hAnsi="Times New Roman" w:cs="Times New Roman"/>
          <w:b/>
          <w:sz w:val="28"/>
          <w:szCs w:val="28"/>
        </w:rPr>
        <w:t>-исследовательской работы в КГП на ПХВ «Городская поликлиника №16»</w:t>
      </w:r>
    </w:p>
    <w:p w14:paraId="4E1D065D" w14:textId="77777777" w:rsidR="00544768" w:rsidRPr="004135FE" w:rsidRDefault="0048182F" w:rsidP="004135FE">
      <w:pPr>
        <w:spacing w:after="0" w:line="240" w:lineRule="auto"/>
        <w:jc w:val="both"/>
        <w:rPr>
          <w:rFonts w:ascii="Times New Roman" w:hAnsi="Times New Roman" w:cs="Times New Roman"/>
          <w:b/>
          <w:sz w:val="28"/>
          <w:szCs w:val="28"/>
          <w:lang w:val="kk-KZ"/>
        </w:rPr>
        <w:sectPr w:rsidR="00544768" w:rsidRPr="004135FE" w:rsidSect="00EC71C2">
          <w:type w:val="nextColumn"/>
          <w:pgSz w:w="11906" w:h="16838"/>
          <w:pgMar w:top="1134" w:right="851" w:bottom="1134" w:left="1701" w:header="708" w:footer="708" w:gutter="0"/>
          <w:cols w:space="708"/>
          <w:docGrid w:linePitch="360"/>
        </w:sectPr>
      </w:pPr>
      <w:r w:rsidRPr="004135FE">
        <w:rPr>
          <w:rFonts w:ascii="Times New Roman" w:hAnsi="Times New Roman" w:cs="Times New Roman"/>
          <w:noProof/>
          <w:sz w:val="28"/>
          <w:szCs w:val="28"/>
        </w:rPr>
        <w:drawing>
          <wp:inline distT="0" distB="0" distL="0" distR="0" wp14:anchorId="6CA377D3" wp14:editId="53696EAF">
            <wp:extent cx="5610225" cy="806631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4"/>
                    <a:srcRect l="34015" t="16404" r="35295" b="6687"/>
                    <a:stretch/>
                  </pic:blipFill>
                  <pic:spPr bwMode="auto">
                    <a:xfrm>
                      <a:off x="0" y="0"/>
                      <a:ext cx="5611496" cy="8068142"/>
                    </a:xfrm>
                    <a:prstGeom prst="rect">
                      <a:avLst/>
                    </a:prstGeom>
                    <a:ln>
                      <a:noFill/>
                    </a:ln>
                    <a:extLst>
                      <a:ext uri="{53640926-AAD7-44D8-BBD7-CCE9431645EC}">
                        <a14:shadowObscured xmlns:a14="http://schemas.microsoft.com/office/drawing/2010/main"/>
                      </a:ext>
                    </a:extLst>
                  </pic:spPr>
                </pic:pic>
              </a:graphicData>
            </a:graphic>
          </wp:inline>
        </w:drawing>
      </w:r>
    </w:p>
    <w:p w14:paraId="33E3014A" w14:textId="0EC80658" w:rsidR="0048182F" w:rsidRDefault="00387BB5" w:rsidP="00680E37">
      <w:pPr>
        <w:spacing w:after="0" w:line="240" w:lineRule="auto"/>
        <w:jc w:val="center"/>
        <w:rPr>
          <w:rFonts w:ascii="Times New Roman" w:hAnsi="Times New Roman" w:cs="Times New Roman"/>
          <w:b/>
          <w:sz w:val="28"/>
          <w:szCs w:val="28"/>
        </w:rPr>
      </w:pPr>
      <w:r w:rsidRPr="004135FE">
        <w:rPr>
          <w:rFonts w:ascii="Times New Roman" w:hAnsi="Times New Roman" w:cs="Times New Roman"/>
          <w:b/>
          <w:sz w:val="28"/>
          <w:szCs w:val="28"/>
        </w:rPr>
        <w:t>ПРИЛОЖЕНИЕ Г</w:t>
      </w:r>
    </w:p>
    <w:p w14:paraId="69FC2F52" w14:textId="403DBB4C" w:rsidR="0093416F" w:rsidRPr="004135FE" w:rsidRDefault="0093416F" w:rsidP="0093416F">
      <w:pPr>
        <w:spacing w:after="0" w:line="240" w:lineRule="auto"/>
        <w:jc w:val="center"/>
        <w:rPr>
          <w:rFonts w:ascii="Times New Roman" w:hAnsi="Times New Roman" w:cs="Times New Roman"/>
          <w:b/>
          <w:sz w:val="28"/>
          <w:szCs w:val="28"/>
        </w:rPr>
      </w:pPr>
      <w:r w:rsidRPr="0093416F">
        <w:rPr>
          <w:rFonts w:ascii="Times New Roman" w:hAnsi="Times New Roman" w:cs="Times New Roman"/>
          <w:b/>
          <w:sz w:val="28"/>
          <w:szCs w:val="28"/>
        </w:rPr>
        <w:t>Акт внедрения результатов научно</w:t>
      </w:r>
      <w:r>
        <w:rPr>
          <w:rFonts w:ascii="Times New Roman" w:hAnsi="Times New Roman" w:cs="Times New Roman"/>
          <w:b/>
          <w:sz w:val="28"/>
          <w:szCs w:val="28"/>
        </w:rPr>
        <w:t>-исследовательской работы в КГП на ПХВ «Городская поликлиника №12»</w:t>
      </w:r>
    </w:p>
    <w:p w14:paraId="26B55657" w14:textId="77777777" w:rsidR="0048182F" w:rsidRPr="0093416F" w:rsidRDefault="0048182F" w:rsidP="004135FE">
      <w:pPr>
        <w:spacing w:after="0" w:line="240" w:lineRule="auto"/>
        <w:jc w:val="both"/>
        <w:rPr>
          <w:rFonts w:ascii="Times New Roman" w:hAnsi="Times New Roman" w:cs="Times New Roman"/>
          <w:b/>
          <w:sz w:val="28"/>
          <w:szCs w:val="28"/>
        </w:rPr>
      </w:pPr>
    </w:p>
    <w:p w14:paraId="15BE1502" w14:textId="77777777" w:rsidR="0048182F" w:rsidRPr="004135FE" w:rsidRDefault="0048182F"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noProof/>
          <w:sz w:val="28"/>
          <w:szCs w:val="28"/>
        </w:rPr>
        <w:drawing>
          <wp:inline distT="0" distB="0" distL="0" distR="0" wp14:anchorId="5CFC4476" wp14:editId="54DB46F8">
            <wp:extent cx="6219825" cy="80962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a:srcRect l="34167" t="16673" r="35295" b="5342"/>
                    <a:stretch/>
                  </pic:blipFill>
                  <pic:spPr bwMode="auto">
                    <a:xfrm>
                      <a:off x="0" y="0"/>
                      <a:ext cx="6219825" cy="8096250"/>
                    </a:xfrm>
                    <a:prstGeom prst="rect">
                      <a:avLst/>
                    </a:prstGeom>
                    <a:ln>
                      <a:noFill/>
                    </a:ln>
                    <a:extLst>
                      <a:ext uri="{53640926-AAD7-44D8-BBD7-CCE9431645EC}">
                        <a14:shadowObscured xmlns:a14="http://schemas.microsoft.com/office/drawing/2010/main"/>
                      </a:ext>
                    </a:extLst>
                  </pic:spPr>
                </pic:pic>
              </a:graphicData>
            </a:graphic>
          </wp:inline>
        </w:drawing>
      </w:r>
    </w:p>
    <w:p w14:paraId="3838B98E" w14:textId="77777777" w:rsidR="0048182F" w:rsidRPr="004135FE" w:rsidRDefault="0048182F" w:rsidP="004135FE">
      <w:pPr>
        <w:spacing w:after="0" w:line="240" w:lineRule="auto"/>
        <w:jc w:val="both"/>
        <w:rPr>
          <w:rFonts w:ascii="Times New Roman" w:hAnsi="Times New Roman" w:cs="Times New Roman"/>
          <w:b/>
          <w:sz w:val="28"/>
          <w:szCs w:val="28"/>
          <w:lang w:val="kk-KZ"/>
        </w:rPr>
      </w:pPr>
    </w:p>
    <w:p w14:paraId="61B1D089" w14:textId="185E049E" w:rsidR="00387BB5" w:rsidRDefault="00387BB5" w:rsidP="00680E37">
      <w:pPr>
        <w:spacing w:after="0" w:line="240" w:lineRule="auto"/>
        <w:jc w:val="center"/>
        <w:rPr>
          <w:rFonts w:ascii="Times New Roman" w:hAnsi="Times New Roman" w:cs="Times New Roman"/>
          <w:b/>
          <w:sz w:val="28"/>
          <w:szCs w:val="28"/>
        </w:rPr>
      </w:pPr>
      <w:r w:rsidRPr="004135FE">
        <w:rPr>
          <w:rFonts w:ascii="Times New Roman" w:hAnsi="Times New Roman" w:cs="Times New Roman"/>
          <w:b/>
          <w:sz w:val="28"/>
          <w:szCs w:val="28"/>
        </w:rPr>
        <w:t>ПРИЛОЖЕНИЕ Д</w:t>
      </w:r>
    </w:p>
    <w:p w14:paraId="55C3C1ED" w14:textId="53E51590" w:rsidR="0093416F" w:rsidRPr="004135FE" w:rsidRDefault="0093416F" w:rsidP="0093416F">
      <w:pPr>
        <w:spacing w:after="0" w:line="240" w:lineRule="auto"/>
        <w:jc w:val="center"/>
        <w:rPr>
          <w:rFonts w:ascii="Times New Roman" w:hAnsi="Times New Roman" w:cs="Times New Roman"/>
          <w:b/>
          <w:sz w:val="28"/>
          <w:szCs w:val="28"/>
        </w:rPr>
      </w:pPr>
      <w:r w:rsidRPr="0093416F">
        <w:rPr>
          <w:rFonts w:ascii="Times New Roman" w:hAnsi="Times New Roman" w:cs="Times New Roman"/>
          <w:b/>
          <w:sz w:val="28"/>
          <w:szCs w:val="28"/>
        </w:rPr>
        <w:t>Акт внедрения результатов научно</w:t>
      </w:r>
      <w:r>
        <w:rPr>
          <w:rFonts w:ascii="Times New Roman" w:hAnsi="Times New Roman" w:cs="Times New Roman"/>
          <w:b/>
          <w:sz w:val="28"/>
          <w:szCs w:val="28"/>
        </w:rPr>
        <w:t>-исследовательской работы в КГП на ПХВ «Городская поликлиника №1»</w:t>
      </w:r>
    </w:p>
    <w:p w14:paraId="127EF12C" w14:textId="77777777" w:rsidR="0048182F" w:rsidRPr="0093416F" w:rsidRDefault="0048182F" w:rsidP="004135FE">
      <w:pPr>
        <w:spacing w:after="0" w:line="240" w:lineRule="auto"/>
        <w:jc w:val="both"/>
        <w:rPr>
          <w:rFonts w:ascii="Times New Roman" w:hAnsi="Times New Roman" w:cs="Times New Roman"/>
          <w:b/>
          <w:sz w:val="28"/>
          <w:szCs w:val="28"/>
        </w:rPr>
      </w:pPr>
    </w:p>
    <w:p w14:paraId="05E14BE9" w14:textId="77777777" w:rsidR="00544768" w:rsidRPr="004135FE" w:rsidRDefault="0048182F" w:rsidP="004135FE">
      <w:pPr>
        <w:spacing w:after="0" w:line="240" w:lineRule="auto"/>
        <w:jc w:val="both"/>
        <w:rPr>
          <w:rFonts w:ascii="Times New Roman" w:hAnsi="Times New Roman" w:cs="Times New Roman"/>
          <w:b/>
          <w:sz w:val="28"/>
          <w:szCs w:val="28"/>
          <w:lang w:val="kk-KZ"/>
        </w:rPr>
        <w:sectPr w:rsidR="00544768" w:rsidRPr="004135FE" w:rsidSect="00EC71C2">
          <w:type w:val="nextColumn"/>
          <w:pgSz w:w="11906" w:h="16838"/>
          <w:pgMar w:top="1134" w:right="851" w:bottom="1134" w:left="1701" w:header="708" w:footer="708" w:gutter="0"/>
          <w:cols w:space="708"/>
          <w:docGrid w:linePitch="360"/>
        </w:sectPr>
      </w:pPr>
      <w:r w:rsidRPr="004135FE">
        <w:rPr>
          <w:rFonts w:ascii="Times New Roman" w:hAnsi="Times New Roman" w:cs="Times New Roman"/>
          <w:noProof/>
          <w:sz w:val="28"/>
          <w:szCs w:val="28"/>
        </w:rPr>
        <w:drawing>
          <wp:inline distT="0" distB="0" distL="0" distR="0" wp14:anchorId="7B3E8BB4" wp14:editId="7D113653">
            <wp:extent cx="5829465" cy="8186057"/>
            <wp:effectExtent l="0" t="0" r="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l="33713" t="16942" r="35144" b="5342"/>
                    <a:stretch/>
                  </pic:blipFill>
                  <pic:spPr bwMode="auto">
                    <a:xfrm>
                      <a:off x="0" y="0"/>
                      <a:ext cx="5834890" cy="8193675"/>
                    </a:xfrm>
                    <a:prstGeom prst="rect">
                      <a:avLst/>
                    </a:prstGeom>
                    <a:ln>
                      <a:noFill/>
                    </a:ln>
                    <a:extLst>
                      <a:ext uri="{53640926-AAD7-44D8-BBD7-CCE9431645EC}">
                        <a14:shadowObscured xmlns:a14="http://schemas.microsoft.com/office/drawing/2010/main"/>
                      </a:ext>
                    </a:extLst>
                  </pic:spPr>
                </pic:pic>
              </a:graphicData>
            </a:graphic>
          </wp:inline>
        </w:drawing>
      </w:r>
    </w:p>
    <w:p w14:paraId="1B507421" w14:textId="3DFD1199" w:rsidR="00387BB5" w:rsidRPr="004135FE" w:rsidRDefault="00387BB5" w:rsidP="00680E37">
      <w:pPr>
        <w:spacing w:after="0" w:line="240" w:lineRule="auto"/>
        <w:jc w:val="center"/>
        <w:rPr>
          <w:rFonts w:ascii="Times New Roman" w:hAnsi="Times New Roman" w:cs="Times New Roman"/>
          <w:b/>
          <w:sz w:val="28"/>
          <w:szCs w:val="28"/>
        </w:rPr>
      </w:pPr>
      <w:r w:rsidRPr="004135FE">
        <w:rPr>
          <w:rFonts w:ascii="Times New Roman" w:hAnsi="Times New Roman" w:cs="Times New Roman"/>
          <w:b/>
          <w:sz w:val="28"/>
          <w:szCs w:val="28"/>
        </w:rPr>
        <w:t>ПРИЛОЖЕНИЕ Е</w:t>
      </w:r>
    </w:p>
    <w:p w14:paraId="594FCF1E" w14:textId="580F8735" w:rsidR="00CE3E32" w:rsidRPr="00F75D95" w:rsidRDefault="00F75D95" w:rsidP="00F75D95">
      <w:pPr>
        <w:spacing w:after="0" w:line="240" w:lineRule="auto"/>
        <w:ind w:firstLine="708"/>
        <w:jc w:val="center"/>
        <w:rPr>
          <w:rFonts w:ascii="Times New Roman" w:hAnsi="Times New Roman" w:cs="Times New Roman"/>
          <w:b/>
          <w:sz w:val="28"/>
          <w:szCs w:val="28"/>
          <w:lang w:val="kk-KZ"/>
        </w:rPr>
      </w:pPr>
      <w:r w:rsidRPr="00F75D95">
        <w:rPr>
          <w:rFonts w:ascii="Times New Roman" w:hAnsi="Times New Roman" w:cs="Times New Roman"/>
          <w:b/>
          <w:bCs/>
          <w:noProof/>
          <w:sz w:val="28"/>
          <w:szCs w:val="28"/>
        </w:rPr>
        <w:t>Свидетельство о государственной регистрации прав на объект авторского права № 24991 от 12.04.2022г</w:t>
      </w:r>
    </w:p>
    <w:p w14:paraId="69C63B45" w14:textId="3BDEC159" w:rsidR="005C064A" w:rsidRPr="004135FE" w:rsidRDefault="00261F55"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noProof/>
          <w:sz w:val="28"/>
          <w:szCs w:val="28"/>
        </w:rPr>
        <w:drawing>
          <wp:inline distT="0" distB="0" distL="0" distR="0" wp14:anchorId="694A538E" wp14:editId="0314EBA8">
            <wp:extent cx="6248400" cy="84391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a:srcRect l="21921" t="16672" r="47692" b="5342"/>
                    <a:stretch/>
                  </pic:blipFill>
                  <pic:spPr bwMode="auto">
                    <a:xfrm>
                      <a:off x="0" y="0"/>
                      <a:ext cx="6248400" cy="8439150"/>
                    </a:xfrm>
                    <a:prstGeom prst="rect">
                      <a:avLst/>
                    </a:prstGeom>
                    <a:ln>
                      <a:noFill/>
                    </a:ln>
                    <a:extLst>
                      <a:ext uri="{53640926-AAD7-44D8-BBD7-CCE9431645EC}">
                        <a14:shadowObscured xmlns:a14="http://schemas.microsoft.com/office/drawing/2010/main"/>
                      </a:ext>
                    </a:extLst>
                  </pic:spPr>
                </pic:pic>
              </a:graphicData>
            </a:graphic>
          </wp:inline>
        </w:drawing>
      </w:r>
    </w:p>
    <w:p w14:paraId="17F474C0" w14:textId="77777777" w:rsidR="007C2F70" w:rsidRPr="004135FE" w:rsidRDefault="007C2F70" w:rsidP="004135FE">
      <w:pPr>
        <w:spacing w:after="0" w:line="240" w:lineRule="auto"/>
        <w:jc w:val="both"/>
        <w:rPr>
          <w:rFonts w:ascii="Times New Roman" w:hAnsi="Times New Roman" w:cs="Times New Roman"/>
          <w:b/>
          <w:sz w:val="28"/>
          <w:szCs w:val="28"/>
          <w:lang w:val="kk-KZ"/>
        </w:rPr>
        <w:sectPr w:rsidR="007C2F70" w:rsidRPr="004135FE" w:rsidSect="00EC71C2">
          <w:type w:val="nextColumn"/>
          <w:pgSz w:w="11906" w:h="16838"/>
          <w:pgMar w:top="1134" w:right="851" w:bottom="1134" w:left="1701" w:header="708" w:footer="708" w:gutter="0"/>
          <w:cols w:space="708"/>
          <w:docGrid w:linePitch="360"/>
        </w:sectPr>
      </w:pPr>
    </w:p>
    <w:p w14:paraId="5EB82E12" w14:textId="3A7F39CE" w:rsidR="00996E5D" w:rsidRPr="004135FE" w:rsidRDefault="00996E5D" w:rsidP="004135FE">
      <w:pPr>
        <w:spacing w:after="0" w:line="240" w:lineRule="auto"/>
        <w:jc w:val="both"/>
        <w:rPr>
          <w:rFonts w:ascii="Times New Roman" w:hAnsi="Times New Roman" w:cs="Times New Roman"/>
          <w:b/>
          <w:sz w:val="28"/>
          <w:szCs w:val="28"/>
          <w:lang w:val="kk-KZ"/>
        </w:rPr>
      </w:pPr>
    </w:p>
    <w:p w14:paraId="3DD96369" w14:textId="0D53CF49" w:rsidR="00996E5D" w:rsidRPr="004135FE" w:rsidRDefault="00261F55"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noProof/>
          <w:sz w:val="28"/>
          <w:szCs w:val="28"/>
        </w:rPr>
        <w:drawing>
          <wp:inline distT="0" distB="0" distL="0" distR="0" wp14:anchorId="6343CF0D" wp14:editId="327F226C">
            <wp:extent cx="6219825" cy="861060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l="21770" t="17211" r="47541" b="5611"/>
                    <a:stretch/>
                  </pic:blipFill>
                  <pic:spPr bwMode="auto">
                    <a:xfrm>
                      <a:off x="0" y="0"/>
                      <a:ext cx="6219825" cy="8610600"/>
                    </a:xfrm>
                    <a:prstGeom prst="rect">
                      <a:avLst/>
                    </a:prstGeom>
                    <a:ln>
                      <a:noFill/>
                    </a:ln>
                    <a:extLst>
                      <a:ext uri="{53640926-AAD7-44D8-BBD7-CCE9431645EC}">
                        <a14:shadowObscured xmlns:a14="http://schemas.microsoft.com/office/drawing/2010/main"/>
                      </a:ext>
                    </a:extLst>
                  </pic:spPr>
                </pic:pic>
              </a:graphicData>
            </a:graphic>
          </wp:inline>
        </w:drawing>
      </w:r>
    </w:p>
    <w:p w14:paraId="15E3D841" w14:textId="77777777" w:rsidR="007C2F70" w:rsidRPr="004135FE" w:rsidRDefault="007C2F70" w:rsidP="004135FE">
      <w:pPr>
        <w:spacing w:after="0" w:line="240" w:lineRule="auto"/>
        <w:jc w:val="both"/>
        <w:rPr>
          <w:rFonts w:ascii="Times New Roman" w:hAnsi="Times New Roman" w:cs="Times New Roman"/>
          <w:b/>
          <w:sz w:val="28"/>
          <w:szCs w:val="28"/>
          <w:lang w:val="kk-KZ"/>
        </w:rPr>
        <w:sectPr w:rsidR="007C2F70" w:rsidRPr="004135FE" w:rsidSect="00EC71C2">
          <w:type w:val="nextColumn"/>
          <w:pgSz w:w="11906" w:h="16838"/>
          <w:pgMar w:top="1134" w:right="851" w:bottom="1134" w:left="1701" w:header="708" w:footer="708" w:gutter="0"/>
          <w:cols w:space="708"/>
          <w:docGrid w:linePitch="360"/>
        </w:sectPr>
      </w:pPr>
    </w:p>
    <w:p w14:paraId="1ED61FC5" w14:textId="660D0FC6" w:rsidR="005C064A" w:rsidRDefault="005C064A" w:rsidP="00680E37">
      <w:pPr>
        <w:spacing w:after="0" w:line="240" w:lineRule="auto"/>
        <w:jc w:val="center"/>
        <w:rPr>
          <w:rFonts w:ascii="Times New Roman" w:hAnsi="Times New Roman" w:cs="Times New Roman"/>
          <w:b/>
          <w:sz w:val="28"/>
          <w:szCs w:val="28"/>
        </w:rPr>
      </w:pPr>
      <w:r w:rsidRPr="004135FE">
        <w:rPr>
          <w:rFonts w:ascii="Times New Roman" w:hAnsi="Times New Roman" w:cs="Times New Roman"/>
          <w:b/>
          <w:sz w:val="28"/>
          <w:szCs w:val="28"/>
        </w:rPr>
        <w:t>ПРИЛОЖЕНИЕ Ж</w:t>
      </w:r>
    </w:p>
    <w:p w14:paraId="3F3BFAED" w14:textId="58D74AA2" w:rsidR="00537492" w:rsidRPr="004135FE" w:rsidRDefault="00F75D95" w:rsidP="00F75D95">
      <w:pPr>
        <w:spacing w:after="0" w:line="240" w:lineRule="auto"/>
        <w:jc w:val="center"/>
        <w:rPr>
          <w:rFonts w:ascii="Times New Roman" w:hAnsi="Times New Roman" w:cs="Times New Roman"/>
          <w:b/>
          <w:sz w:val="28"/>
          <w:szCs w:val="28"/>
        </w:rPr>
      </w:pPr>
      <w:r>
        <w:rPr>
          <w:rFonts w:ascii="Times New Roman" w:hAnsi="Times New Roman" w:cs="Times New Roman"/>
          <w:b/>
          <w:bCs/>
          <w:noProof/>
          <w:sz w:val="28"/>
          <w:szCs w:val="28"/>
        </w:rPr>
        <w:t>С</w:t>
      </w:r>
      <w:r w:rsidRPr="00F75D95">
        <w:rPr>
          <w:rFonts w:ascii="Times New Roman" w:hAnsi="Times New Roman" w:cs="Times New Roman"/>
          <w:b/>
          <w:bCs/>
          <w:noProof/>
          <w:sz w:val="28"/>
          <w:szCs w:val="28"/>
        </w:rPr>
        <w:t>видетельство о государственной регистрации прав на объект авторского права № 22629 от 27.12.2021г</w:t>
      </w:r>
      <w:r>
        <w:rPr>
          <w:rFonts w:ascii="Times New Roman" w:hAnsi="Times New Roman" w:cs="Times New Roman"/>
          <w:bCs/>
          <w:noProof/>
          <w:sz w:val="24"/>
          <w:szCs w:val="24"/>
        </w:rPr>
        <w:t xml:space="preserve"> </w:t>
      </w:r>
      <w:r w:rsidR="00537492" w:rsidRPr="004135FE">
        <w:rPr>
          <w:rFonts w:ascii="Times New Roman" w:hAnsi="Times New Roman" w:cs="Times New Roman"/>
          <w:b/>
          <w:sz w:val="28"/>
          <w:szCs w:val="28"/>
        </w:rPr>
        <w:object w:dxaOrig="8925" w:dyaOrig="12630" w14:anchorId="71B3773B">
          <v:shape id="_x0000_i1028" type="#_x0000_t75" style="width:444.75pt;height:632.25pt" o:ole="">
            <v:imagedata r:id="rId249" o:title=""/>
          </v:shape>
          <o:OLEObject Type="Embed" ProgID="AcroExch.Document.11" ShapeID="_x0000_i1028" DrawAspect="Content" ObjectID="_1723037954" r:id="rId250"/>
        </w:object>
      </w:r>
    </w:p>
    <w:p w14:paraId="18E9B1B5" w14:textId="7A82F671" w:rsidR="00537492" w:rsidRPr="004135FE" w:rsidRDefault="00537492" w:rsidP="004135FE">
      <w:pPr>
        <w:spacing w:after="0" w:line="240" w:lineRule="auto"/>
        <w:jc w:val="both"/>
        <w:rPr>
          <w:rFonts w:ascii="Times New Roman" w:hAnsi="Times New Roman" w:cs="Times New Roman"/>
          <w:b/>
          <w:sz w:val="28"/>
          <w:szCs w:val="28"/>
        </w:rPr>
      </w:pPr>
    </w:p>
    <w:p w14:paraId="0D3558A5" w14:textId="4700DC63" w:rsidR="00537492" w:rsidRPr="004135FE" w:rsidRDefault="00537492" w:rsidP="004135FE">
      <w:pPr>
        <w:spacing w:after="0" w:line="240" w:lineRule="auto"/>
        <w:jc w:val="both"/>
        <w:rPr>
          <w:rFonts w:ascii="Times New Roman" w:hAnsi="Times New Roman" w:cs="Times New Roman"/>
          <w:b/>
          <w:sz w:val="28"/>
          <w:szCs w:val="28"/>
        </w:rPr>
      </w:pPr>
    </w:p>
    <w:p w14:paraId="07138EB2" w14:textId="77777777" w:rsidR="00537492" w:rsidRPr="004135FE" w:rsidRDefault="00537492" w:rsidP="004135FE">
      <w:pPr>
        <w:spacing w:after="0" w:line="240" w:lineRule="auto"/>
        <w:jc w:val="both"/>
        <w:rPr>
          <w:rFonts w:ascii="Times New Roman" w:hAnsi="Times New Roman" w:cs="Times New Roman"/>
          <w:b/>
          <w:sz w:val="28"/>
          <w:szCs w:val="28"/>
        </w:rPr>
      </w:pPr>
    </w:p>
    <w:p w14:paraId="10A813BD" w14:textId="404C564D" w:rsidR="001F096E" w:rsidRPr="004135FE" w:rsidRDefault="00537492" w:rsidP="004135FE">
      <w:pPr>
        <w:spacing w:after="0" w:line="240" w:lineRule="auto"/>
        <w:jc w:val="both"/>
        <w:rPr>
          <w:rFonts w:ascii="Times New Roman" w:hAnsi="Times New Roman" w:cs="Times New Roman"/>
          <w:b/>
          <w:sz w:val="28"/>
          <w:szCs w:val="28"/>
          <w:lang w:val="kk-KZ"/>
        </w:rPr>
      </w:pPr>
      <w:r w:rsidRPr="004135FE">
        <w:rPr>
          <w:rFonts w:ascii="Times New Roman" w:hAnsi="Times New Roman" w:cs="Times New Roman"/>
          <w:b/>
          <w:sz w:val="28"/>
          <w:szCs w:val="28"/>
          <w:lang w:val="kk-KZ"/>
        </w:rPr>
        <w:object w:dxaOrig="8925" w:dyaOrig="12630" w14:anchorId="37909261">
          <v:shape id="_x0000_i1029" type="#_x0000_t75" style="width:444.75pt;height:632.25pt" o:ole="">
            <v:imagedata r:id="rId249" o:title=""/>
          </v:shape>
          <o:OLEObject Type="Embed" ProgID="AcroExch.Document.11" ShapeID="_x0000_i1029" DrawAspect="Content" ObjectID="_1723037955" r:id="rId251"/>
        </w:object>
      </w:r>
    </w:p>
    <w:p w14:paraId="49F8D809" w14:textId="4646D023" w:rsidR="001F096E" w:rsidRPr="004135FE" w:rsidRDefault="001F096E" w:rsidP="004135FE">
      <w:pPr>
        <w:spacing w:after="0" w:line="240" w:lineRule="auto"/>
        <w:jc w:val="both"/>
        <w:rPr>
          <w:rFonts w:ascii="Times New Roman" w:hAnsi="Times New Roman" w:cs="Times New Roman"/>
          <w:b/>
          <w:sz w:val="28"/>
          <w:szCs w:val="28"/>
          <w:lang w:val="kk-KZ"/>
        </w:rPr>
      </w:pPr>
    </w:p>
    <w:sectPr w:rsidR="001F096E" w:rsidRPr="004135FE" w:rsidSect="00EC71C2">
      <w:type w:val="nextColumn"/>
      <w:pgSz w:w="11906" w:h="16838"/>
      <w:pgMar w:top="1134" w:right="851"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247133" w14:textId="77777777" w:rsidR="001B62DB" w:rsidRDefault="001B62DB" w:rsidP="00837DBB">
      <w:pPr>
        <w:spacing w:after="0" w:line="240" w:lineRule="auto"/>
      </w:pPr>
      <w:r>
        <w:separator/>
      </w:r>
    </w:p>
  </w:endnote>
  <w:endnote w:type="continuationSeparator" w:id="0">
    <w:p w14:paraId="7C2123A4" w14:textId="77777777" w:rsidR="001B62DB" w:rsidRDefault="001B62DB" w:rsidP="00837D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K_Myriad Pro">
    <w:altName w:val="K_Myriad Pro"/>
    <w:panose1 w:val="00000000000000000000"/>
    <w:charset w:val="CC"/>
    <w:family w:val="swiss"/>
    <w:notTrueType/>
    <w:pitch w:val="default"/>
    <w:sig w:usb0="00000201" w:usb1="00000000" w:usb2="00000000" w:usb3="00000000" w:csb0="00000004" w:csb1="00000000"/>
  </w:font>
  <w:font w:name="Tahoma">
    <w:panose1 w:val="020B0604030504040204"/>
    <w:charset w:val="CC"/>
    <w:family w:val="swiss"/>
    <w:pitch w:val="variable"/>
    <w:sig w:usb0="E1002EFF" w:usb1="C000605B" w:usb2="00000029" w:usb3="00000000" w:csb0="000101FF" w:csb1="00000000"/>
  </w:font>
  <w:font w:name="CUYKGX+HelveticaNeue">
    <w:altName w:val="Helvetica Neue"/>
    <w:panose1 w:val="00000000000000000000"/>
    <w:charset w:val="CC"/>
    <w:family w:val="swiss"/>
    <w:notTrueType/>
    <w:pitch w:val="default"/>
    <w:sig w:usb0="00000201" w:usb1="00000000" w:usb2="00000000" w:usb3="00000000" w:csb0="00000004" w:csb1="00000000"/>
  </w:font>
  <w:font w:name="Helvetica 45 Light">
    <w:altName w:val="Arial"/>
    <w:panose1 w:val="00000000000000000000"/>
    <w:charset w:val="CC"/>
    <w:family w:val="swiss"/>
    <w:notTrueType/>
    <w:pitch w:val="default"/>
    <w:sig w:usb0="00000001" w:usb1="00000000" w:usb2="00000000" w:usb3="00000000" w:csb0="00000005" w:csb1="00000000"/>
  </w:font>
  <w:font w:name="Helvetica Light">
    <w:altName w:val="﷽﷽﷽﷽﷽﷽﷽﷽a Light"/>
    <w:panose1 w:val="00000000000000000000"/>
    <w:charset w:val="00"/>
    <w:family w:val="swiss"/>
    <w:notTrueType/>
    <w:pitch w:val="default"/>
    <w:sig w:usb0="00000003" w:usb1="00000000" w:usb2="00000000" w:usb3="00000000" w:csb0="00000001" w:csb1="00000000"/>
  </w:font>
  <w:font w:name="Times">
    <w:panose1 w:val="02020603050405020304"/>
    <w:charset w:val="CC"/>
    <w:family w:val="roman"/>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MT">
    <w:altName w:val="MS Gothic"/>
    <w:panose1 w:val="00000000000000000000"/>
    <w:charset w:val="80"/>
    <w:family w:val="auto"/>
    <w:notTrueType/>
    <w:pitch w:val="default"/>
    <w:sig w:usb0="00000201" w:usb1="08070000" w:usb2="00000010" w:usb3="00000000" w:csb0="00020004" w:csb1="00000000"/>
  </w:font>
  <w:font w:name="TimesNewRomanPSMT">
    <w:altName w:val="MS Gothic"/>
    <w:panose1 w:val="00000000000000000000"/>
    <w:charset w:val="80"/>
    <w:family w:val="auto"/>
    <w:notTrueType/>
    <w:pitch w:val="default"/>
    <w:sig w:usb0="00000003" w:usb1="08070000" w:usb2="00000010" w:usb3="00000000" w:csb0="00020001" w:csb1="00000000"/>
  </w:font>
  <w:font w:name="MyriadPro-Regular">
    <w:altName w:val="MS Gothic"/>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SourceSansPro-Light">
    <w:altName w:val="MS Gothic"/>
    <w:panose1 w:val="00000000000000000000"/>
    <w:charset w:val="80"/>
    <w:family w:val="auto"/>
    <w:notTrueType/>
    <w:pitch w:val="default"/>
    <w:sig w:usb0="00000001" w:usb1="08070000" w:usb2="00000010" w:usb3="00000000" w:csb0="00020000" w:csb1="00000000"/>
  </w:font>
  <w:font w:name="Yu Gothic">
    <w:altName w:val="游ゴシック"/>
    <w:panose1 w:val="020B0400000000000000"/>
    <w:charset w:val="80"/>
    <w:family w:val="swiss"/>
    <w:pitch w:val="variable"/>
    <w:sig w:usb0="E00002FF" w:usb1="2AC7FDFF" w:usb2="00000016" w:usb3="00000000" w:csb0="0002009F" w:csb1="00000000"/>
  </w:font>
  <w:font w:name="MyriadPro-Bold">
    <w:altName w:val="MS Gothic"/>
    <w:panose1 w:val="00000000000000000000"/>
    <w:charset w:val="80"/>
    <w:family w:val="auto"/>
    <w:notTrueType/>
    <w:pitch w:val="default"/>
    <w:sig w:usb0="00000001" w:usb1="08070000" w:usb2="00000010" w:usb3="00000000" w:csb0="00020000" w:csb1="00000000"/>
  </w:font>
  <w:font w:name="Calibri-Bold">
    <w:altName w:val="MS Gothic"/>
    <w:panose1 w:val="00000000000000000000"/>
    <w:charset w:val="80"/>
    <w:family w:val="auto"/>
    <w:notTrueType/>
    <w:pitch w:val="default"/>
    <w:sig w:usb0="00000003" w:usb1="08070000" w:usb2="00000010" w:usb3="00000000" w:csb0="00020001" w:csb1="00000000"/>
  </w:font>
  <w:font w:name="Calibri-Light">
    <w:altName w:val="MS Gothic"/>
    <w:panose1 w:val="00000000000000000000"/>
    <w:charset w:val="80"/>
    <w:family w:val="auto"/>
    <w:notTrueType/>
    <w:pitch w:val="default"/>
    <w:sig w:usb0="00000000" w:usb1="08070000" w:usb2="00000010" w:usb3="00000000" w:csb0="00020000" w:csb1="00000000"/>
  </w:font>
  <w:font w:name="PalatinoLinotype-Roman">
    <w:altName w:val="MS Gothic"/>
    <w:panose1 w:val="00000000000000000000"/>
    <w:charset w:val="80"/>
    <w:family w:val="auto"/>
    <w:notTrueType/>
    <w:pitch w:val="default"/>
    <w:sig w:usb0="00000003" w:usb1="08070000" w:usb2="00000010" w:usb3="00000000" w:csb0="00020001" w:csb1="00000000"/>
  </w:font>
  <w:font w:name="MinionPro-Regular">
    <w:altName w:val="MS Gothic"/>
    <w:panose1 w:val="00000000000000000000"/>
    <w:charset w:val="CC"/>
    <w:family w:val="auto"/>
    <w:notTrueType/>
    <w:pitch w:val="default"/>
    <w:sig w:usb0="00000201" w:usb1="00000000" w:usb2="00000000" w:usb3="00000000" w:csb0="00000004" w:csb1="00000000"/>
  </w:font>
  <w:font w:name="AdvOT26408d1e">
    <w:altName w:val="Malgun Gothic"/>
    <w:panose1 w:val="00000000000000000000"/>
    <w:charset w:val="81"/>
    <w:family w:val="auto"/>
    <w:notTrueType/>
    <w:pitch w:val="default"/>
    <w:sig w:usb0="00000000" w:usb1="09060000" w:usb2="00000010" w:usb3="00000000" w:csb0="00080000" w:csb1="00000000"/>
  </w:font>
  <w:font w:name="TimesNewRomanPS-BoldMT">
    <w:altName w:val="MS Gothic"/>
    <w:panose1 w:val="00000000000000000000"/>
    <w:charset w:val="80"/>
    <w:family w:val="auto"/>
    <w:notTrueType/>
    <w:pitch w:val="default"/>
    <w:sig w:usb0="00000203" w:usb1="08070000" w:usb2="00000010" w:usb3="00000000" w:csb0="00020005"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86304284"/>
      <w:docPartObj>
        <w:docPartGallery w:val="Page Numbers (Bottom of Page)"/>
        <w:docPartUnique/>
      </w:docPartObj>
    </w:sdtPr>
    <w:sdtEndPr/>
    <w:sdtContent>
      <w:p w14:paraId="542F290D" w14:textId="734F2483" w:rsidR="00C36BD2" w:rsidRDefault="00C36BD2">
        <w:pPr>
          <w:pStyle w:val="a8"/>
          <w:jc w:val="center"/>
        </w:pPr>
        <w:r>
          <w:fldChar w:fldCharType="begin"/>
        </w:r>
        <w:r>
          <w:instrText>PAGE   \* MERGEFORMAT</w:instrText>
        </w:r>
        <w:r>
          <w:fldChar w:fldCharType="separate"/>
        </w:r>
        <w:r w:rsidR="007B515F">
          <w:rPr>
            <w:noProof/>
          </w:rPr>
          <w:t>2</w:t>
        </w:r>
        <w:r>
          <w:fldChar w:fldCharType="end"/>
        </w:r>
      </w:p>
    </w:sdtContent>
  </w:sdt>
  <w:p w14:paraId="36679450" w14:textId="32A3E258" w:rsidR="00C36BD2" w:rsidRDefault="00C36BD2" w:rsidP="0053485F">
    <w:pPr>
      <w:pStyle w:val="a8"/>
      <w:tabs>
        <w:tab w:val="clear" w:pos="4677"/>
        <w:tab w:val="clear" w:pos="9355"/>
        <w:tab w:val="left" w:pos="2535"/>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890496"/>
      <w:docPartObj>
        <w:docPartGallery w:val="Page Numbers (Bottom of Page)"/>
        <w:docPartUnique/>
      </w:docPartObj>
    </w:sdtPr>
    <w:sdtEndPr/>
    <w:sdtContent>
      <w:p w14:paraId="4D4668B1" w14:textId="10D28C88" w:rsidR="00C36BD2" w:rsidRDefault="00C36BD2">
        <w:pPr>
          <w:pStyle w:val="a8"/>
          <w:jc w:val="center"/>
        </w:pPr>
        <w:r>
          <w:fldChar w:fldCharType="begin"/>
        </w:r>
        <w:r>
          <w:instrText>PAGE   \* MERGEFORMAT</w:instrText>
        </w:r>
        <w:r>
          <w:fldChar w:fldCharType="separate"/>
        </w:r>
        <w:r w:rsidR="007B515F">
          <w:rPr>
            <w:noProof/>
          </w:rPr>
          <w:t>143</w:t>
        </w:r>
        <w:r>
          <w:fldChar w:fldCharType="end"/>
        </w:r>
      </w:p>
    </w:sdtContent>
  </w:sdt>
  <w:p w14:paraId="4AC2FDB5" w14:textId="21582314" w:rsidR="00C36BD2" w:rsidRDefault="00C36BD2" w:rsidP="0053485F">
    <w:pPr>
      <w:pStyle w:val="a8"/>
      <w:tabs>
        <w:tab w:val="clear" w:pos="4677"/>
        <w:tab w:val="clear" w:pos="9355"/>
        <w:tab w:val="left" w:pos="2535"/>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262BCC" w14:textId="77777777" w:rsidR="001B62DB" w:rsidRDefault="001B62DB" w:rsidP="00837DBB">
      <w:pPr>
        <w:spacing w:after="0" w:line="240" w:lineRule="auto"/>
      </w:pPr>
      <w:r>
        <w:separator/>
      </w:r>
    </w:p>
  </w:footnote>
  <w:footnote w:type="continuationSeparator" w:id="0">
    <w:p w14:paraId="212B6DFD" w14:textId="77777777" w:rsidR="001B62DB" w:rsidRDefault="001B62DB" w:rsidP="00837DB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9C1C2F" w14:textId="77777777" w:rsidR="00C36BD2" w:rsidRDefault="00C36BD2" w:rsidP="00936F64">
    <w:pPr>
      <w:pStyle w:val="a6"/>
      <w:tabs>
        <w:tab w:val="clear" w:pos="4677"/>
        <w:tab w:val="clear" w:pos="9355"/>
        <w:tab w:val="left" w:pos="4295"/>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0BCA2" w14:textId="708A3950" w:rsidR="00C36BD2" w:rsidRDefault="00C36BD2" w:rsidP="00936F64">
    <w:pPr>
      <w:pStyle w:val="a6"/>
      <w:tabs>
        <w:tab w:val="clear" w:pos="4677"/>
        <w:tab w:val="clear" w:pos="9355"/>
        <w:tab w:val="left" w:pos="4295"/>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E520E5"/>
    <w:multiLevelType w:val="hybridMultilevel"/>
    <w:tmpl w:val="7926436C"/>
    <w:lvl w:ilvl="0" w:tplc="8EE8FF16">
      <w:start w:val="1"/>
      <w:numFmt w:val="decimal"/>
      <w:lvlText w:val="%1."/>
      <w:lvlJc w:val="left"/>
      <w:pPr>
        <w:ind w:left="721" w:hanging="360"/>
      </w:pPr>
      <w:rPr>
        <w:rFonts w:ascii="Times New Roman" w:hAnsi="Times New Roman" w:cs="Times New Roman" w:hint="default"/>
        <w:b/>
        <w:i w:val="0"/>
        <w:sz w:val="22"/>
        <w:szCs w:val="22"/>
      </w:rPr>
    </w:lvl>
    <w:lvl w:ilvl="1" w:tplc="8EE8FF16">
      <w:start w:val="1"/>
      <w:numFmt w:val="decimal"/>
      <w:lvlText w:val="%2."/>
      <w:lvlJc w:val="left"/>
      <w:pPr>
        <w:ind w:left="361" w:hanging="360"/>
      </w:pPr>
      <w:rPr>
        <w:rFonts w:ascii="Times New Roman" w:hAnsi="Times New Roman" w:cs="Times New Roman" w:hint="default"/>
        <w:b/>
        <w:i w:val="0"/>
        <w:sz w:val="22"/>
        <w:szCs w:val="22"/>
      </w:rPr>
    </w:lvl>
    <w:lvl w:ilvl="2" w:tplc="0419001B" w:tentative="1">
      <w:start w:val="1"/>
      <w:numFmt w:val="lowerRoman"/>
      <w:lvlText w:val="%3."/>
      <w:lvlJc w:val="right"/>
      <w:pPr>
        <w:ind w:left="2161" w:hanging="180"/>
      </w:pPr>
    </w:lvl>
    <w:lvl w:ilvl="3" w:tplc="0419000F" w:tentative="1">
      <w:start w:val="1"/>
      <w:numFmt w:val="decimal"/>
      <w:lvlText w:val="%4."/>
      <w:lvlJc w:val="left"/>
      <w:pPr>
        <w:ind w:left="2881" w:hanging="360"/>
      </w:pPr>
    </w:lvl>
    <w:lvl w:ilvl="4" w:tplc="04190019" w:tentative="1">
      <w:start w:val="1"/>
      <w:numFmt w:val="lowerLetter"/>
      <w:lvlText w:val="%5."/>
      <w:lvlJc w:val="left"/>
      <w:pPr>
        <w:ind w:left="3601" w:hanging="360"/>
      </w:pPr>
    </w:lvl>
    <w:lvl w:ilvl="5" w:tplc="0419001B" w:tentative="1">
      <w:start w:val="1"/>
      <w:numFmt w:val="lowerRoman"/>
      <w:lvlText w:val="%6."/>
      <w:lvlJc w:val="right"/>
      <w:pPr>
        <w:ind w:left="4321" w:hanging="180"/>
      </w:pPr>
    </w:lvl>
    <w:lvl w:ilvl="6" w:tplc="0419000F" w:tentative="1">
      <w:start w:val="1"/>
      <w:numFmt w:val="decimal"/>
      <w:lvlText w:val="%7."/>
      <w:lvlJc w:val="left"/>
      <w:pPr>
        <w:ind w:left="5041" w:hanging="360"/>
      </w:pPr>
    </w:lvl>
    <w:lvl w:ilvl="7" w:tplc="04190019" w:tentative="1">
      <w:start w:val="1"/>
      <w:numFmt w:val="lowerLetter"/>
      <w:lvlText w:val="%8."/>
      <w:lvlJc w:val="left"/>
      <w:pPr>
        <w:ind w:left="5761" w:hanging="360"/>
      </w:pPr>
    </w:lvl>
    <w:lvl w:ilvl="8" w:tplc="0419001B" w:tentative="1">
      <w:start w:val="1"/>
      <w:numFmt w:val="lowerRoman"/>
      <w:lvlText w:val="%9."/>
      <w:lvlJc w:val="right"/>
      <w:pPr>
        <w:ind w:left="6481" w:hanging="180"/>
      </w:pPr>
    </w:lvl>
  </w:abstractNum>
  <w:abstractNum w:abstractNumId="1" w15:restartNumberingAfterBreak="0">
    <w:nsid w:val="063F4614"/>
    <w:multiLevelType w:val="multilevel"/>
    <w:tmpl w:val="9A6ED580"/>
    <w:lvl w:ilvl="0">
      <w:start w:val="5"/>
      <w:numFmt w:val="decimal"/>
      <w:lvlText w:val="%1"/>
      <w:lvlJc w:val="left"/>
      <w:pPr>
        <w:ind w:left="576" w:hanging="576"/>
      </w:pPr>
      <w:rPr>
        <w:rFonts w:hint="default"/>
      </w:rPr>
    </w:lvl>
    <w:lvl w:ilvl="1">
      <w:start w:val="1"/>
      <w:numFmt w:val="decimal"/>
      <w:lvlText w:val="%1.%2"/>
      <w:lvlJc w:val="left"/>
      <w:pPr>
        <w:ind w:left="930" w:hanging="576"/>
      </w:pPr>
      <w:rPr>
        <w:rFonts w:hint="default"/>
      </w:rPr>
    </w:lvl>
    <w:lvl w:ilvl="2">
      <w:start w:val="2"/>
      <w:numFmt w:val="decimal"/>
      <w:lvlText w:val="%1.%2.%3"/>
      <w:lvlJc w:val="left"/>
      <w:pPr>
        <w:ind w:left="128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 w15:restartNumberingAfterBreak="0">
    <w:nsid w:val="09290A4F"/>
    <w:multiLevelType w:val="hybridMultilevel"/>
    <w:tmpl w:val="0750F54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9426450"/>
    <w:multiLevelType w:val="hybridMultilevel"/>
    <w:tmpl w:val="CCC43544"/>
    <w:lvl w:ilvl="0" w:tplc="8EE8FF16">
      <w:start w:val="1"/>
      <w:numFmt w:val="decimal"/>
      <w:lvlText w:val="%1."/>
      <w:lvlJc w:val="left"/>
      <w:pPr>
        <w:ind w:left="720" w:hanging="360"/>
      </w:pPr>
      <w:rPr>
        <w:rFonts w:ascii="Times New Roman" w:hAnsi="Times New Roman" w:cs="Times New Roman" w:hint="default"/>
        <w:b/>
        <w:i w:val="0"/>
        <w:sz w:val="22"/>
        <w:szCs w:val="22"/>
      </w:rPr>
    </w:lvl>
    <w:lvl w:ilvl="1" w:tplc="8EE8FF16">
      <w:start w:val="1"/>
      <w:numFmt w:val="decimal"/>
      <w:lvlText w:val="%2."/>
      <w:lvlJc w:val="left"/>
      <w:pPr>
        <w:ind w:left="360" w:hanging="360"/>
      </w:pPr>
      <w:rPr>
        <w:rFonts w:ascii="Times New Roman" w:hAnsi="Times New Roman" w:cs="Times New Roman" w:hint="default"/>
        <w:b/>
        <w:i w:val="0"/>
        <w:sz w:val="22"/>
        <w:szCs w:val="22"/>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B1D7FF3"/>
    <w:multiLevelType w:val="multilevel"/>
    <w:tmpl w:val="E23C9764"/>
    <w:lvl w:ilvl="0">
      <w:start w:val="5"/>
      <w:numFmt w:val="decimal"/>
      <w:lvlText w:val="%1"/>
      <w:lvlJc w:val="left"/>
      <w:pPr>
        <w:ind w:left="576" w:hanging="576"/>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0B2003AB"/>
    <w:multiLevelType w:val="hybridMultilevel"/>
    <w:tmpl w:val="809EB378"/>
    <w:lvl w:ilvl="0" w:tplc="B8341AF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0C2944C8"/>
    <w:multiLevelType w:val="hybridMultilevel"/>
    <w:tmpl w:val="DE90EB16"/>
    <w:lvl w:ilvl="0" w:tplc="E41EE154">
      <w:start w:val="2"/>
      <w:numFmt w:val="decimal"/>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7" w15:restartNumberingAfterBreak="0">
    <w:nsid w:val="0DE40C6F"/>
    <w:multiLevelType w:val="hybridMultilevel"/>
    <w:tmpl w:val="E6C6C0F0"/>
    <w:lvl w:ilvl="0" w:tplc="5B786EDC">
      <w:start w:val="1"/>
      <w:numFmt w:val="decimal"/>
      <w:lvlText w:val="%1."/>
      <w:lvlJc w:val="left"/>
      <w:pPr>
        <w:ind w:left="1440" w:hanging="360"/>
      </w:pPr>
      <w:rPr>
        <w:b/>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 w15:restartNumberingAfterBreak="0">
    <w:nsid w:val="0EA7596C"/>
    <w:multiLevelType w:val="hybridMultilevel"/>
    <w:tmpl w:val="95045954"/>
    <w:lvl w:ilvl="0" w:tplc="7082C25C">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1CB481B"/>
    <w:multiLevelType w:val="multilevel"/>
    <w:tmpl w:val="F976D26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1398729F"/>
    <w:multiLevelType w:val="hybridMultilevel"/>
    <w:tmpl w:val="5F281D8E"/>
    <w:lvl w:ilvl="0" w:tplc="04190011">
      <w:start w:val="1"/>
      <w:numFmt w:val="decimal"/>
      <w:lvlText w:val="%1)"/>
      <w:lvlJc w:val="left"/>
      <w:pPr>
        <w:ind w:left="1211" w:hanging="360"/>
      </w:pPr>
      <w:rPr>
        <w:color w:val="auto"/>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50F64874">
      <w:start w:val="1"/>
      <w:numFmt w:val="decimal"/>
      <w:lvlText w:val="%4."/>
      <w:lvlJc w:val="left"/>
      <w:pPr>
        <w:ind w:left="6173" w:hanging="360"/>
      </w:pPr>
      <w:rPr>
        <w:b w:val="0"/>
      </w:r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11" w15:restartNumberingAfterBreak="0">
    <w:nsid w:val="1786186E"/>
    <w:multiLevelType w:val="hybridMultilevel"/>
    <w:tmpl w:val="6E54F0AC"/>
    <w:lvl w:ilvl="0" w:tplc="83AE2FCE">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7C80DC9"/>
    <w:multiLevelType w:val="hybridMultilevel"/>
    <w:tmpl w:val="2A986C2A"/>
    <w:lvl w:ilvl="0" w:tplc="8EE8FF16">
      <w:start w:val="1"/>
      <w:numFmt w:val="decimal"/>
      <w:lvlText w:val="%1."/>
      <w:lvlJc w:val="left"/>
      <w:pPr>
        <w:ind w:left="502" w:hanging="360"/>
      </w:pPr>
      <w:rPr>
        <w:rFonts w:ascii="Times New Roman" w:hAnsi="Times New Roman" w:cs="Times New Roman" w:hint="default"/>
        <w:b/>
        <w:i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8AA7A22"/>
    <w:multiLevelType w:val="hybridMultilevel"/>
    <w:tmpl w:val="7A5EC8CE"/>
    <w:lvl w:ilvl="0" w:tplc="8EE8FF16">
      <w:start w:val="1"/>
      <w:numFmt w:val="decimal"/>
      <w:lvlText w:val="%1."/>
      <w:lvlJc w:val="left"/>
      <w:pPr>
        <w:ind w:left="720" w:hanging="360"/>
      </w:pPr>
      <w:rPr>
        <w:rFonts w:ascii="Times New Roman" w:hAnsi="Times New Roman" w:cs="Times New Roman" w:hint="default"/>
        <w:b/>
        <w:i w:val="0"/>
        <w:sz w:val="22"/>
        <w:szCs w:val="22"/>
      </w:rPr>
    </w:lvl>
    <w:lvl w:ilvl="1" w:tplc="8EE8FF16">
      <w:start w:val="1"/>
      <w:numFmt w:val="decimal"/>
      <w:lvlText w:val="%2."/>
      <w:lvlJc w:val="left"/>
      <w:pPr>
        <w:ind w:left="502" w:hanging="360"/>
      </w:pPr>
      <w:rPr>
        <w:rFonts w:ascii="Times New Roman" w:hAnsi="Times New Roman" w:cs="Times New Roman" w:hint="default"/>
        <w:b/>
        <w:i w:val="0"/>
        <w:sz w:val="22"/>
        <w:szCs w:val="22"/>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ABF49A8"/>
    <w:multiLevelType w:val="hybridMultilevel"/>
    <w:tmpl w:val="AEC8AB90"/>
    <w:lvl w:ilvl="0" w:tplc="8EE8FF16">
      <w:start w:val="1"/>
      <w:numFmt w:val="decimal"/>
      <w:lvlText w:val="%1."/>
      <w:lvlJc w:val="left"/>
      <w:pPr>
        <w:ind w:left="360" w:hanging="360"/>
      </w:pPr>
      <w:rPr>
        <w:rFonts w:ascii="Times New Roman" w:hAnsi="Times New Roman" w:cs="Times New Roman" w:hint="default"/>
        <w:b/>
        <w:i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B263BC6"/>
    <w:multiLevelType w:val="hybridMultilevel"/>
    <w:tmpl w:val="C91E2B86"/>
    <w:lvl w:ilvl="0" w:tplc="8EE8FF16">
      <w:start w:val="1"/>
      <w:numFmt w:val="decimal"/>
      <w:lvlText w:val="%1."/>
      <w:lvlJc w:val="left"/>
      <w:pPr>
        <w:ind w:left="502" w:hanging="360"/>
      </w:pPr>
      <w:rPr>
        <w:rFonts w:ascii="Times New Roman" w:hAnsi="Times New Roman" w:cs="Times New Roman" w:hint="default"/>
        <w:b/>
        <w:i w:val="0"/>
        <w:sz w:val="22"/>
        <w:szCs w:val="22"/>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6" w15:restartNumberingAfterBreak="0">
    <w:nsid w:val="1B4A2C28"/>
    <w:multiLevelType w:val="hybridMultilevel"/>
    <w:tmpl w:val="E2A0B9A0"/>
    <w:lvl w:ilvl="0" w:tplc="8EE8FF16">
      <w:start w:val="1"/>
      <w:numFmt w:val="decimal"/>
      <w:lvlText w:val="%1."/>
      <w:lvlJc w:val="left"/>
      <w:pPr>
        <w:ind w:left="502" w:hanging="360"/>
      </w:pPr>
      <w:rPr>
        <w:rFonts w:ascii="Times New Roman" w:hAnsi="Times New Roman" w:cs="Times New Roman" w:hint="default"/>
        <w:b/>
        <w:i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B860AA9"/>
    <w:multiLevelType w:val="hybridMultilevel"/>
    <w:tmpl w:val="C7549AB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F1C2A0E"/>
    <w:multiLevelType w:val="hybridMultilevel"/>
    <w:tmpl w:val="E0E09CEE"/>
    <w:lvl w:ilvl="0" w:tplc="04190011">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FFE10AE"/>
    <w:multiLevelType w:val="hybridMultilevel"/>
    <w:tmpl w:val="C12A067A"/>
    <w:lvl w:ilvl="0" w:tplc="E220809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026150F"/>
    <w:multiLevelType w:val="hybridMultilevel"/>
    <w:tmpl w:val="E748472A"/>
    <w:lvl w:ilvl="0" w:tplc="8EE8FF16">
      <w:start w:val="1"/>
      <w:numFmt w:val="decimal"/>
      <w:lvlText w:val="%1."/>
      <w:lvlJc w:val="left"/>
      <w:pPr>
        <w:ind w:left="720" w:hanging="360"/>
      </w:pPr>
      <w:rPr>
        <w:rFonts w:ascii="Times New Roman" w:hAnsi="Times New Roman" w:cs="Times New Roman" w:hint="default"/>
        <w:b/>
        <w:i w:val="0"/>
        <w:sz w:val="22"/>
        <w:szCs w:val="22"/>
      </w:rPr>
    </w:lvl>
    <w:lvl w:ilvl="1" w:tplc="8EE8FF16">
      <w:start w:val="1"/>
      <w:numFmt w:val="decimal"/>
      <w:lvlText w:val="%2."/>
      <w:lvlJc w:val="left"/>
      <w:pPr>
        <w:ind w:left="502" w:hanging="360"/>
      </w:pPr>
      <w:rPr>
        <w:rFonts w:ascii="Times New Roman" w:hAnsi="Times New Roman" w:cs="Times New Roman" w:hint="default"/>
        <w:b/>
        <w:i w:val="0"/>
        <w:sz w:val="22"/>
        <w:szCs w:val="22"/>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0F16D47"/>
    <w:multiLevelType w:val="hybridMultilevel"/>
    <w:tmpl w:val="135280A4"/>
    <w:lvl w:ilvl="0" w:tplc="8EE8FF16">
      <w:start w:val="1"/>
      <w:numFmt w:val="decimal"/>
      <w:lvlText w:val="%1."/>
      <w:lvlJc w:val="left"/>
      <w:pPr>
        <w:ind w:left="502" w:hanging="360"/>
      </w:pPr>
      <w:rPr>
        <w:rFonts w:ascii="Times New Roman" w:hAnsi="Times New Roman" w:cs="Times New Roman" w:hint="default"/>
        <w:b/>
        <w:i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2317B05"/>
    <w:multiLevelType w:val="hybridMultilevel"/>
    <w:tmpl w:val="06485CA4"/>
    <w:lvl w:ilvl="0" w:tplc="6D5A989A">
      <w:start w:val="1"/>
      <w:numFmt w:val="decimal"/>
      <w:lvlText w:val="%1)"/>
      <w:lvlJc w:val="left"/>
      <w:pPr>
        <w:ind w:left="360" w:hanging="360"/>
      </w:pPr>
      <w:rPr>
        <w:rFonts w:hint="default"/>
        <w:b w:val="0"/>
        <w:i w:val="0"/>
        <w:sz w:val="22"/>
        <w:szCs w:val="22"/>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15:restartNumberingAfterBreak="0">
    <w:nsid w:val="24CA2425"/>
    <w:multiLevelType w:val="hybridMultilevel"/>
    <w:tmpl w:val="9CA86D5E"/>
    <w:lvl w:ilvl="0" w:tplc="1D686A20">
      <w:start w:val="1"/>
      <w:numFmt w:val="decimal"/>
      <w:lvlText w:val="%1."/>
      <w:lvlJc w:val="left"/>
      <w:pPr>
        <w:ind w:left="644"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4F80698"/>
    <w:multiLevelType w:val="hybridMultilevel"/>
    <w:tmpl w:val="7570DD58"/>
    <w:lvl w:ilvl="0" w:tplc="033A0BA8">
      <w:start w:val="1"/>
      <w:numFmt w:val="decimal"/>
      <w:lvlText w:val="%1."/>
      <w:lvlJc w:val="left"/>
      <w:pPr>
        <w:ind w:left="644"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29A01074"/>
    <w:multiLevelType w:val="hybridMultilevel"/>
    <w:tmpl w:val="46CA06FC"/>
    <w:lvl w:ilvl="0" w:tplc="ADC27ECE">
      <w:start w:val="1"/>
      <w:numFmt w:val="decimal"/>
      <w:lvlText w:val="%1)"/>
      <w:lvlJc w:val="left"/>
      <w:pPr>
        <w:ind w:left="4045" w:hanging="360"/>
      </w:pPr>
      <w:rPr>
        <w:rFonts w:eastAsiaTheme="minorEastAsia" w:hint="default"/>
      </w:rPr>
    </w:lvl>
    <w:lvl w:ilvl="1" w:tplc="04190019">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6" w15:restartNumberingAfterBreak="0">
    <w:nsid w:val="29C64BDE"/>
    <w:multiLevelType w:val="hybridMultilevel"/>
    <w:tmpl w:val="7BEEC7FE"/>
    <w:lvl w:ilvl="0" w:tplc="8EE8FF16">
      <w:start w:val="1"/>
      <w:numFmt w:val="decimal"/>
      <w:lvlText w:val="%1."/>
      <w:lvlJc w:val="left"/>
      <w:pPr>
        <w:ind w:left="502" w:hanging="360"/>
      </w:pPr>
      <w:rPr>
        <w:rFonts w:ascii="Times New Roman" w:hAnsi="Times New Roman" w:cs="Times New Roman" w:hint="default"/>
        <w:b/>
        <w:i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2B047FFC"/>
    <w:multiLevelType w:val="hybridMultilevel"/>
    <w:tmpl w:val="EF86A86A"/>
    <w:lvl w:ilvl="0" w:tplc="B4CEF160">
      <w:start w:val="1"/>
      <w:numFmt w:val="decimal"/>
      <w:lvlText w:val="%1."/>
      <w:lvlJc w:val="left"/>
      <w:pPr>
        <w:ind w:left="720" w:hanging="360"/>
      </w:pPr>
      <w:rPr>
        <w:rFonts w:eastAsiaTheme="minorHAnsi" w:hint="default"/>
      </w:rPr>
    </w:lvl>
    <w:lvl w:ilvl="1" w:tplc="7EE6DD04">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2C0F7BCC"/>
    <w:multiLevelType w:val="hybridMultilevel"/>
    <w:tmpl w:val="077C5B90"/>
    <w:lvl w:ilvl="0" w:tplc="37B8FD9A">
      <w:start w:val="1"/>
      <w:numFmt w:val="decimal"/>
      <w:lvlText w:val="%1."/>
      <w:lvlJc w:val="left"/>
      <w:pPr>
        <w:ind w:left="1440" w:hanging="360"/>
      </w:pPr>
      <w:rPr>
        <w:b/>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9" w15:restartNumberingAfterBreak="0">
    <w:nsid w:val="2CC8258A"/>
    <w:multiLevelType w:val="hybridMultilevel"/>
    <w:tmpl w:val="8D5C958E"/>
    <w:lvl w:ilvl="0" w:tplc="0419000F">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15:restartNumberingAfterBreak="0">
    <w:nsid w:val="300D0CE5"/>
    <w:multiLevelType w:val="hybridMultilevel"/>
    <w:tmpl w:val="6DE8C1F2"/>
    <w:lvl w:ilvl="0" w:tplc="E182D83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08F2013"/>
    <w:multiLevelType w:val="hybridMultilevel"/>
    <w:tmpl w:val="5D4A51E2"/>
    <w:lvl w:ilvl="0" w:tplc="8EE8FF16">
      <w:start w:val="1"/>
      <w:numFmt w:val="decimal"/>
      <w:lvlText w:val="%1."/>
      <w:lvlJc w:val="left"/>
      <w:pPr>
        <w:ind w:left="502" w:hanging="360"/>
      </w:pPr>
      <w:rPr>
        <w:rFonts w:ascii="Times New Roman" w:hAnsi="Times New Roman" w:cs="Times New Roman" w:hint="default"/>
        <w:b/>
        <w:i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3114792D"/>
    <w:multiLevelType w:val="hybridMultilevel"/>
    <w:tmpl w:val="DCD09A2C"/>
    <w:lvl w:ilvl="0" w:tplc="62D85250">
      <w:start w:val="1"/>
      <w:numFmt w:val="decimal"/>
      <w:lvlText w:val="%1."/>
      <w:lvlJc w:val="left"/>
      <w:pPr>
        <w:ind w:left="502"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31B516C4"/>
    <w:multiLevelType w:val="hybridMultilevel"/>
    <w:tmpl w:val="E6E8EC22"/>
    <w:lvl w:ilvl="0" w:tplc="8EE8FF16">
      <w:start w:val="1"/>
      <w:numFmt w:val="decimal"/>
      <w:lvlText w:val="%1."/>
      <w:lvlJc w:val="left"/>
      <w:pPr>
        <w:ind w:left="502" w:hanging="360"/>
      </w:pPr>
      <w:rPr>
        <w:rFonts w:ascii="Times New Roman" w:hAnsi="Times New Roman" w:cs="Times New Roman" w:hint="default"/>
        <w:b/>
        <w:i w:val="0"/>
        <w:sz w:val="22"/>
        <w:szCs w:val="22"/>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15:restartNumberingAfterBreak="0">
    <w:nsid w:val="32B33E53"/>
    <w:multiLevelType w:val="multilevel"/>
    <w:tmpl w:val="6F7C770A"/>
    <w:lvl w:ilvl="0">
      <w:start w:val="3"/>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5" w15:restartNumberingAfterBreak="0">
    <w:nsid w:val="33894D38"/>
    <w:multiLevelType w:val="hybridMultilevel"/>
    <w:tmpl w:val="8B54A55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33C1366E"/>
    <w:multiLevelType w:val="hybridMultilevel"/>
    <w:tmpl w:val="B82619B6"/>
    <w:lvl w:ilvl="0" w:tplc="4948DA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33F03F65"/>
    <w:multiLevelType w:val="hybridMultilevel"/>
    <w:tmpl w:val="21BC791C"/>
    <w:lvl w:ilvl="0" w:tplc="A948AA7C">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376D218A"/>
    <w:multiLevelType w:val="multilevel"/>
    <w:tmpl w:val="E4DA1E5A"/>
    <w:lvl w:ilvl="0">
      <w:start w:val="1"/>
      <w:numFmt w:val="decimal"/>
      <w:lvlText w:val="%1."/>
      <w:lvlJc w:val="left"/>
      <w:pPr>
        <w:tabs>
          <w:tab w:val="num" w:pos="720"/>
        </w:tabs>
        <w:ind w:left="720" w:hanging="360"/>
      </w:pPr>
    </w:lvl>
    <w:lvl w:ilvl="1">
      <w:start w:val="1"/>
      <w:numFmt w:val="decimal"/>
      <w:lvlText w:val="%2."/>
      <w:lvlJc w:val="left"/>
      <w:pPr>
        <w:ind w:left="1440" w:hanging="360"/>
      </w:pPr>
      <w:rPr>
        <w:rFonts w:ascii="Times New Roman" w:eastAsiaTheme="minorEastAsia" w:hAnsi="Times New Roman" w:cs="Times New Roman"/>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78659A4"/>
    <w:multiLevelType w:val="hybridMultilevel"/>
    <w:tmpl w:val="EF1CA896"/>
    <w:lvl w:ilvl="0" w:tplc="8EE8FF16">
      <w:start w:val="1"/>
      <w:numFmt w:val="decimal"/>
      <w:lvlText w:val="%1."/>
      <w:lvlJc w:val="left"/>
      <w:pPr>
        <w:ind w:left="360" w:hanging="360"/>
      </w:pPr>
      <w:rPr>
        <w:rFonts w:ascii="Times New Roman" w:hAnsi="Times New Roman" w:cs="Times New Roman" w:hint="default"/>
        <w:b/>
        <w:i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37BF6004"/>
    <w:multiLevelType w:val="multilevel"/>
    <w:tmpl w:val="C0F03348"/>
    <w:lvl w:ilvl="0">
      <w:start w:val="1"/>
      <w:numFmt w:val="decimal"/>
      <w:lvlText w:val="%1"/>
      <w:lvlJc w:val="left"/>
      <w:pPr>
        <w:ind w:left="360" w:hanging="360"/>
      </w:pPr>
      <w:rPr>
        <w:rFonts w:eastAsiaTheme="minorHAnsi" w:hint="default"/>
        <w:b w:val="0"/>
        <w:bCs w:val="0"/>
      </w:rPr>
    </w:lvl>
    <w:lvl w:ilvl="1">
      <w:start w:val="5"/>
      <w:numFmt w:val="decimal"/>
      <w:lvlText w:val="%1.%2"/>
      <w:lvlJc w:val="left"/>
      <w:pPr>
        <w:ind w:left="360" w:hanging="360"/>
      </w:pPr>
      <w:rPr>
        <w:rFonts w:eastAsiaTheme="minorHAnsi" w:hint="default"/>
        <w:b/>
      </w:rPr>
    </w:lvl>
    <w:lvl w:ilvl="2">
      <w:start w:val="1"/>
      <w:numFmt w:val="decimal"/>
      <w:lvlText w:val="%1.%2.%3"/>
      <w:lvlJc w:val="left"/>
      <w:pPr>
        <w:ind w:left="720" w:hanging="720"/>
      </w:pPr>
      <w:rPr>
        <w:rFonts w:eastAsiaTheme="minorHAnsi" w:hint="default"/>
        <w:b/>
      </w:rPr>
    </w:lvl>
    <w:lvl w:ilvl="3">
      <w:start w:val="1"/>
      <w:numFmt w:val="decimal"/>
      <w:lvlText w:val="%1.%2.%3.%4"/>
      <w:lvlJc w:val="left"/>
      <w:pPr>
        <w:ind w:left="1080" w:hanging="1080"/>
      </w:pPr>
      <w:rPr>
        <w:rFonts w:eastAsiaTheme="minorHAnsi" w:hint="default"/>
        <w:b/>
      </w:rPr>
    </w:lvl>
    <w:lvl w:ilvl="4">
      <w:start w:val="1"/>
      <w:numFmt w:val="decimal"/>
      <w:lvlText w:val="%1.%2.%3.%4.%5"/>
      <w:lvlJc w:val="left"/>
      <w:pPr>
        <w:ind w:left="1080" w:hanging="1080"/>
      </w:pPr>
      <w:rPr>
        <w:rFonts w:eastAsiaTheme="minorHAnsi" w:hint="default"/>
        <w:b/>
      </w:rPr>
    </w:lvl>
    <w:lvl w:ilvl="5">
      <w:start w:val="1"/>
      <w:numFmt w:val="decimal"/>
      <w:lvlText w:val="%1.%2.%3.%4.%5.%6"/>
      <w:lvlJc w:val="left"/>
      <w:pPr>
        <w:ind w:left="1440" w:hanging="1440"/>
      </w:pPr>
      <w:rPr>
        <w:rFonts w:eastAsiaTheme="minorHAnsi" w:hint="default"/>
        <w:b/>
      </w:rPr>
    </w:lvl>
    <w:lvl w:ilvl="6">
      <w:start w:val="1"/>
      <w:numFmt w:val="decimal"/>
      <w:lvlText w:val="%1.%2.%3.%4.%5.%6.%7"/>
      <w:lvlJc w:val="left"/>
      <w:pPr>
        <w:ind w:left="1440" w:hanging="1440"/>
      </w:pPr>
      <w:rPr>
        <w:rFonts w:eastAsiaTheme="minorHAnsi" w:hint="default"/>
        <w:b/>
      </w:rPr>
    </w:lvl>
    <w:lvl w:ilvl="7">
      <w:start w:val="1"/>
      <w:numFmt w:val="decimal"/>
      <w:lvlText w:val="%1.%2.%3.%4.%5.%6.%7.%8"/>
      <w:lvlJc w:val="left"/>
      <w:pPr>
        <w:ind w:left="1800" w:hanging="1800"/>
      </w:pPr>
      <w:rPr>
        <w:rFonts w:eastAsiaTheme="minorHAnsi" w:hint="default"/>
        <w:b/>
      </w:rPr>
    </w:lvl>
    <w:lvl w:ilvl="8">
      <w:start w:val="1"/>
      <w:numFmt w:val="decimal"/>
      <w:lvlText w:val="%1.%2.%3.%4.%5.%6.%7.%8.%9"/>
      <w:lvlJc w:val="left"/>
      <w:pPr>
        <w:ind w:left="2160" w:hanging="2160"/>
      </w:pPr>
      <w:rPr>
        <w:rFonts w:eastAsiaTheme="minorHAnsi" w:hint="default"/>
        <w:b/>
      </w:rPr>
    </w:lvl>
  </w:abstractNum>
  <w:abstractNum w:abstractNumId="41" w15:restartNumberingAfterBreak="0">
    <w:nsid w:val="38821D09"/>
    <w:multiLevelType w:val="hybridMultilevel"/>
    <w:tmpl w:val="5650C85C"/>
    <w:lvl w:ilvl="0" w:tplc="8EE8FF16">
      <w:start w:val="1"/>
      <w:numFmt w:val="decimal"/>
      <w:lvlText w:val="%1."/>
      <w:lvlJc w:val="left"/>
      <w:pPr>
        <w:ind w:left="720" w:hanging="360"/>
      </w:pPr>
      <w:rPr>
        <w:rFonts w:ascii="Times New Roman" w:hAnsi="Times New Roman" w:cs="Times New Roman" w:hint="default"/>
        <w:b/>
        <w:i w:val="0"/>
        <w:sz w:val="22"/>
        <w:szCs w:val="22"/>
      </w:rPr>
    </w:lvl>
    <w:lvl w:ilvl="1" w:tplc="8EE8FF16">
      <w:start w:val="1"/>
      <w:numFmt w:val="decimal"/>
      <w:lvlText w:val="%2."/>
      <w:lvlJc w:val="left"/>
      <w:pPr>
        <w:ind w:left="360" w:hanging="360"/>
      </w:pPr>
      <w:rPr>
        <w:rFonts w:ascii="Times New Roman" w:hAnsi="Times New Roman" w:cs="Times New Roman" w:hint="default"/>
        <w:b/>
        <w:i w:val="0"/>
        <w:sz w:val="22"/>
        <w:szCs w:val="22"/>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39024F87"/>
    <w:multiLevelType w:val="hybridMultilevel"/>
    <w:tmpl w:val="427AAF84"/>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394A0EFD"/>
    <w:multiLevelType w:val="hybridMultilevel"/>
    <w:tmpl w:val="A86E1B7E"/>
    <w:lvl w:ilvl="0" w:tplc="8EE8FF16">
      <w:start w:val="1"/>
      <w:numFmt w:val="decimal"/>
      <w:lvlText w:val="%1."/>
      <w:lvlJc w:val="left"/>
      <w:pPr>
        <w:ind w:left="720" w:hanging="360"/>
      </w:pPr>
      <w:rPr>
        <w:rFonts w:ascii="Times New Roman" w:hAnsi="Times New Roman" w:cs="Times New Roman" w:hint="default"/>
        <w:b/>
        <w:i w:val="0"/>
        <w:sz w:val="22"/>
        <w:szCs w:val="22"/>
      </w:rPr>
    </w:lvl>
    <w:lvl w:ilvl="1" w:tplc="8EE8FF16">
      <w:start w:val="1"/>
      <w:numFmt w:val="decimal"/>
      <w:lvlText w:val="%2."/>
      <w:lvlJc w:val="left"/>
      <w:pPr>
        <w:ind w:left="502" w:hanging="360"/>
      </w:pPr>
      <w:rPr>
        <w:rFonts w:ascii="Times New Roman" w:hAnsi="Times New Roman" w:cs="Times New Roman" w:hint="default"/>
        <w:b/>
        <w:i w:val="0"/>
        <w:sz w:val="22"/>
        <w:szCs w:val="22"/>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39AA7CF2"/>
    <w:multiLevelType w:val="hybridMultilevel"/>
    <w:tmpl w:val="6BA29E58"/>
    <w:lvl w:ilvl="0" w:tplc="04190011">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3A2311C1"/>
    <w:multiLevelType w:val="hybridMultilevel"/>
    <w:tmpl w:val="807ED28A"/>
    <w:lvl w:ilvl="0" w:tplc="8EE8FF16">
      <w:start w:val="1"/>
      <w:numFmt w:val="decimal"/>
      <w:lvlText w:val="%1."/>
      <w:lvlJc w:val="left"/>
      <w:pPr>
        <w:ind w:left="502" w:hanging="360"/>
      </w:pPr>
      <w:rPr>
        <w:rFonts w:ascii="Times New Roman" w:hAnsi="Times New Roman" w:cs="Times New Roman" w:hint="default"/>
        <w:b/>
        <w:i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3AA46B35"/>
    <w:multiLevelType w:val="hybridMultilevel"/>
    <w:tmpl w:val="971488CC"/>
    <w:lvl w:ilvl="0" w:tplc="7E0C0D0C">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7" w15:restartNumberingAfterBreak="0">
    <w:nsid w:val="3BC77C15"/>
    <w:multiLevelType w:val="hybridMultilevel"/>
    <w:tmpl w:val="EC2ABCF0"/>
    <w:lvl w:ilvl="0" w:tplc="04190011">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3CE138AF"/>
    <w:multiLevelType w:val="hybridMultilevel"/>
    <w:tmpl w:val="9B3A7EB6"/>
    <w:lvl w:ilvl="0" w:tplc="7868CF74">
      <w:start w:val="1"/>
      <w:numFmt w:val="decimal"/>
      <w:lvlText w:val="%1."/>
      <w:lvlJc w:val="left"/>
      <w:pPr>
        <w:ind w:left="1800" w:hanging="360"/>
      </w:pPr>
      <w:rPr>
        <w:b/>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49" w15:restartNumberingAfterBreak="0">
    <w:nsid w:val="3D17568F"/>
    <w:multiLevelType w:val="multilevel"/>
    <w:tmpl w:val="CFDCD150"/>
    <w:lvl w:ilvl="0">
      <w:start w:val="3"/>
      <w:numFmt w:val="decimal"/>
      <w:lvlText w:val="%1"/>
      <w:lvlJc w:val="left"/>
      <w:pPr>
        <w:ind w:left="360" w:hanging="360"/>
      </w:pPr>
      <w:rPr>
        <w:rFonts w:hint="default"/>
      </w:rPr>
    </w:lvl>
    <w:lvl w:ilvl="1">
      <w:start w:val="5"/>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0" w15:restartNumberingAfterBreak="0">
    <w:nsid w:val="3D7978F7"/>
    <w:multiLevelType w:val="hybridMultilevel"/>
    <w:tmpl w:val="FC44845C"/>
    <w:lvl w:ilvl="0" w:tplc="04190011">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3F4447E4"/>
    <w:multiLevelType w:val="hybridMultilevel"/>
    <w:tmpl w:val="82C66AB4"/>
    <w:lvl w:ilvl="0" w:tplc="0419000F">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2" w15:restartNumberingAfterBreak="0">
    <w:nsid w:val="4145435A"/>
    <w:multiLevelType w:val="hybridMultilevel"/>
    <w:tmpl w:val="715AE6C0"/>
    <w:lvl w:ilvl="0" w:tplc="8EE8FF16">
      <w:start w:val="1"/>
      <w:numFmt w:val="decimal"/>
      <w:lvlText w:val="%1."/>
      <w:lvlJc w:val="left"/>
      <w:pPr>
        <w:ind w:left="502" w:hanging="360"/>
      </w:pPr>
      <w:rPr>
        <w:rFonts w:ascii="Times New Roman" w:hAnsi="Times New Roman" w:cs="Times New Roman" w:hint="default"/>
        <w:b/>
        <w:i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417B3C38"/>
    <w:multiLevelType w:val="hybridMultilevel"/>
    <w:tmpl w:val="360A7EEE"/>
    <w:lvl w:ilvl="0" w:tplc="19460BF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42E45AD2"/>
    <w:multiLevelType w:val="hybridMultilevel"/>
    <w:tmpl w:val="5F20B5FE"/>
    <w:lvl w:ilvl="0" w:tplc="54CC8EEE">
      <w:start w:val="1"/>
      <w:numFmt w:val="decimal"/>
      <w:lvlText w:val="%1."/>
      <w:lvlJc w:val="left"/>
      <w:pPr>
        <w:ind w:left="1004" w:hanging="360"/>
      </w:pPr>
      <w:rPr>
        <w:b/>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5" w15:restartNumberingAfterBreak="0">
    <w:nsid w:val="42E91702"/>
    <w:multiLevelType w:val="multilevel"/>
    <w:tmpl w:val="8B54A550"/>
    <w:styleLink w:val="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43317947"/>
    <w:multiLevelType w:val="hybridMultilevel"/>
    <w:tmpl w:val="18D278B0"/>
    <w:lvl w:ilvl="0" w:tplc="92729F22">
      <w:start w:val="1"/>
      <w:numFmt w:val="decimal"/>
      <w:lvlText w:val="%1."/>
      <w:lvlJc w:val="left"/>
      <w:pPr>
        <w:ind w:left="502" w:hanging="360"/>
      </w:pPr>
      <w:rPr>
        <w:rFonts w:ascii="Times New Roman" w:hAnsi="Times New Roman" w:cs="Times New Roman" w:hint="default"/>
        <w:b/>
        <w:i w:val="0"/>
        <w:color w:val="auto"/>
        <w:sz w:val="22"/>
        <w:szCs w:val="22"/>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7" w15:restartNumberingAfterBreak="0">
    <w:nsid w:val="462529A3"/>
    <w:multiLevelType w:val="hybridMultilevel"/>
    <w:tmpl w:val="7882AE90"/>
    <w:lvl w:ilvl="0" w:tplc="04190011">
      <w:start w:val="1"/>
      <w:numFmt w:val="decimal"/>
      <w:lvlText w:val="%1)"/>
      <w:lvlJc w:val="left"/>
      <w:pPr>
        <w:tabs>
          <w:tab w:val="num" w:pos="720"/>
        </w:tabs>
        <w:ind w:left="720" w:hanging="360"/>
      </w:pPr>
      <w:rPr>
        <w:rFonts w:hint="default"/>
      </w:rPr>
    </w:lvl>
    <w:lvl w:ilvl="1" w:tplc="01B86278" w:tentative="1">
      <w:start w:val="1"/>
      <w:numFmt w:val="bullet"/>
      <w:lvlText w:val=""/>
      <w:lvlJc w:val="left"/>
      <w:pPr>
        <w:tabs>
          <w:tab w:val="num" w:pos="1440"/>
        </w:tabs>
        <w:ind w:left="1440" w:hanging="360"/>
      </w:pPr>
      <w:rPr>
        <w:rFonts w:ascii="Wingdings 3" w:hAnsi="Wingdings 3" w:hint="default"/>
      </w:rPr>
    </w:lvl>
    <w:lvl w:ilvl="2" w:tplc="2C680374" w:tentative="1">
      <w:start w:val="1"/>
      <w:numFmt w:val="bullet"/>
      <w:lvlText w:val=""/>
      <w:lvlJc w:val="left"/>
      <w:pPr>
        <w:tabs>
          <w:tab w:val="num" w:pos="2160"/>
        </w:tabs>
        <w:ind w:left="2160" w:hanging="360"/>
      </w:pPr>
      <w:rPr>
        <w:rFonts w:ascii="Wingdings 3" w:hAnsi="Wingdings 3" w:hint="default"/>
      </w:rPr>
    </w:lvl>
    <w:lvl w:ilvl="3" w:tplc="F9C6E980" w:tentative="1">
      <w:start w:val="1"/>
      <w:numFmt w:val="bullet"/>
      <w:lvlText w:val=""/>
      <w:lvlJc w:val="left"/>
      <w:pPr>
        <w:tabs>
          <w:tab w:val="num" w:pos="2880"/>
        </w:tabs>
        <w:ind w:left="2880" w:hanging="360"/>
      </w:pPr>
      <w:rPr>
        <w:rFonts w:ascii="Wingdings 3" w:hAnsi="Wingdings 3" w:hint="default"/>
      </w:rPr>
    </w:lvl>
    <w:lvl w:ilvl="4" w:tplc="9A36AD38" w:tentative="1">
      <w:start w:val="1"/>
      <w:numFmt w:val="bullet"/>
      <w:lvlText w:val=""/>
      <w:lvlJc w:val="left"/>
      <w:pPr>
        <w:tabs>
          <w:tab w:val="num" w:pos="3600"/>
        </w:tabs>
        <w:ind w:left="3600" w:hanging="360"/>
      </w:pPr>
      <w:rPr>
        <w:rFonts w:ascii="Wingdings 3" w:hAnsi="Wingdings 3" w:hint="default"/>
      </w:rPr>
    </w:lvl>
    <w:lvl w:ilvl="5" w:tplc="AB2E8B06" w:tentative="1">
      <w:start w:val="1"/>
      <w:numFmt w:val="bullet"/>
      <w:lvlText w:val=""/>
      <w:lvlJc w:val="left"/>
      <w:pPr>
        <w:tabs>
          <w:tab w:val="num" w:pos="4320"/>
        </w:tabs>
        <w:ind w:left="4320" w:hanging="360"/>
      </w:pPr>
      <w:rPr>
        <w:rFonts w:ascii="Wingdings 3" w:hAnsi="Wingdings 3" w:hint="default"/>
      </w:rPr>
    </w:lvl>
    <w:lvl w:ilvl="6" w:tplc="077A2C86" w:tentative="1">
      <w:start w:val="1"/>
      <w:numFmt w:val="bullet"/>
      <w:lvlText w:val=""/>
      <w:lvlJc w:val="left"/>
      <w:pPr>
        <w:tabs>
          <w:tab w:val="num" w:pos="5040"/>
        </w:tabs>
        <w:ind w:left="5040" w:hanging="360"/>
      </w:pPr>
      <w:rPr>
        <w:rFonts w:ascii="Wingdings 3" w:hAnsi="Wingdings 3" w:hint="default"/>
      </w:rPr>
    </w:lvl>
    <w:lvl w:ilvl="7" w:tplc="9E280DBA" w:tentative="1">
      <w:start w:val="1"/>
      <w:numFmt w:val="bullet"/>
      <w:lvlText w:val=""/>
      <w:lvlJc w:val="left"/>
      <w:pPr>
        <w:tabs>
          <w:tab w:val="num" w:pos="5760"/>
        </w:tabs>
        <w:ind w:left="5760" w:hanging="360"/>
      </w:pPr>
      <w:rPr>
        <w:rFonts w:ascii="Wingdings 3" w:hAnsi="Wingdings 3" w:hint="default"/>
      </w:rPr>
    </w:lvl>
    <w:lvl w:ilvl="8" w:tplc="1132F4B2" w:tentative="1">
      <w:start w:val="1"/>
      <w:numFmt w:val="bullet"/>
      <w:lvlText w:val=""/>
      <w:lvlJc w:val="left"/>
      <w:pPr>
        <w:tabs>
          <w:tab w:val="num" w:pos="6480"/>
        </w:tabs>
        <w:ind w:left="6480" w:hanging="360"/>
      </w:pPr>
      <w:rPr>
        <w:rFonts w:ascii="Wingdings 3" w:hAnsi="Wingdings 3" w:hint="default"/>
      </w:rPr>
    </w:lvl>
  </w:abstractNum>
  <w:abstractNum w:abstractNumId="58" w15:restartNumberingAfterBreak="0">
    <w:nsid w:val="46A7449F"/>
    <w:multiLevelType w:val="multilevel"/>
    <w:tmpl w:val="912A8EF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9" w15:restartNumberingAfterBreak="0">
    <w:nsid w:val="47195964"/>
    <w:multiLevelType w:val="hybridMultilevel"/>
    <w:tmpl w:val="662E6980"/>
    <w:lvl w:ilvl="0" w:tplc="E410F336">
      <w:start w:val="1"/>
      <w:numFmt w:val="decimal"/>
      <w:lvlText w:val="%1."/>
      <w:lvlJc w:val="left"/>
      <w:pPr>
        <w:ind w:left="1440" w:hanging="360"/>
      </w:pPr>
      <w:rPr>
        <w:b/>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0" w15:restartNumberingAfterBreak="0">
    <w:nsid w:val="472049BB"/>
    <w:multiLevelType w:val="hybridMultilevel"/>
    <w:tmpl w:val="C3842156"/>
    <w:lvl w:ilvl="0" w:tplc="6A14E63A">
      <w:start w:val="1"/>
      <w:numFmt w:val="bullet"/>
      <w:lvlText w:val="•"/>
      <w:lvlJc w:val="left"/>
      <w:pPr>
        <w:tabs>
          <w:tab w:val="num" w:pos="720"/>
        </w:tabs>
        <w:ind w:left="720" w:hanging="360"/>
      </w:pPr>
      <w:rPr>
        <w:rFonts w:ascii="Times New Roman" w:hAnsi="Times New Roman" w:cs="Times New Roman" w:hint="default"/>
      </w:rPr>
    </w:lvl>
    <w:lvl w:ilvl="1" w:tplc="E59E9F9C">
      <w:start w:val="1"/>
      <w:numFmt w:val="bullet"/>
      <w:lvlText w:val="•"/>
      <w:lvlJc w:val="left"/>
      <w:pPr>
        <w:tabs>
          <w:tab w:val="num" w:pos="1440"/>
        </w:tabs>
        <w:ind w:left="1440" w:hanging="360"/>
      </w:pPr>
      <w:rPr>
        <w:rFonts w:ascii="Times New Roman" w:hAnsi="Times New Roman" w:cs="Times New Roman" w:hint="default"/>
      </w:rPr>
    </w:lvl>
    <w:lvl w:ilvl="2" w:tplc="AEC2FB84">
      <w:start w:val="1"/>
      <w:numFmt w:val="bullet"/>
      <w:lvlText w:val="•"/>
      <w:lvlJc w:val="left"/>
      <w:pPr>
        <w:tabs>
          <w:tab w:val="num" w:pos="2160"/>
        </w:tabs>
        <w:ind w:left="2160" w:hanging="360"/>
      </w:pPr>
      <w:rPr>
        <w:rFonts w:ascii="Times New Roman" w:hAnsi="Times New Roman" w:cs="Times New Roman" w:hint="default"/>
      </w:rPr>
    </w:lvl>
    <w:lvl w:ilvl="3" w:tplc="C0BED2BA">
      <w:start w:val="1"/>
      <w:numFmt w:val="bullet"/>
      <w:lvlText w:val="•"/>
      <w:lvlJc w:val="left"/>
      <w:pPr>
        <w:tabs>
          <w:tab w:val="num" w:pos="2880"/>
        </w:tabs>
        <w:ind w:left="2880" w:hanging="360"/>
      </w:pPr>
      <w:rPr>
        <w:rFonts w:ascii="Times New Roman" w:hAnsi="Times New Roman" w:cs="Times New Roman" w:hint="default"/>
      </w:rPr>
    </w:lvl>
    <w:lvl w:ilvl="4" w:tplc="CB9CB364">
      <w:start w:val="1"/>
      <w:numFmt w:val="bullet"/>
      <w:lvlText w:val="•"/>
      <w:lvlJc w:val="left"/>
      <w:pPr>
        <w:tabs>
          <w:tab w:val="num" w:pos="3600"/>
        </w:tabs>
        <w:ind w:left="3600" w:hanging="360"/>
      </w:pPr>
      <w:rPr>
        <w:rFonts w:ascii="Times New Roman" w:hAnsi="Times New Roman" w:cs="Times New Roman" w:hint="default"/>
      </w:rPr>
    </w:lvl>
    <w:lvl w:ilvl="5" w:tplc="AED80D4A">
      <w:start w:val="1"/>
      <w:numFmt w:val="bullet"/>
      <w:lvlText w:val="•"/>
      <w:lvlJc w:val="left"/>
      <w:pPr>
        <w:tabs>
          <w:tab w:val="num" w:pos="4320"/>
        </w:tabs>
        <w:ind w:left="4320" w:hanging="360"/>
      </w:pPr>
      <w:rPr>
        <w:rFonts w:ascii="Times New Roman" w:hAnsi="Times New Roman" w:cs="Times New Roman" w:hint="default"/>
      </w:rPr>
    </w:lvl>
    <w:lvl w:ilvl="6" w:tplc="196C9AFA">
      <w:start w:val="1"/>
      <w:numFmt w:val="bullet"/>
      <w:lvlText w:val="•"/>
      <w:lvlJc w:val="left"/>
      <w:pPr>
        <w:tabs>
          <w:tab w:val="num" w:pos="5040"/>
        </w:tabs>
        <w:ind w:left="5040" w:hanging="360"/>
      </w:pPr>
      <w:rPr>
        <w:rFonts w:ascii="Times New Roman" w:hAnsi="Times New Roman" w:cs="Times New Roman" w:hint="default"/>
      </w:rPr>
    </w:lvl>
    <w:lvl w:ilvl="7" w:tplc="103E923A">
      <w:start w:val="1"/>
      <w:numFmt w:val="bullet"/>
      <w:lvlText w:val="•"/>
      <w:lvlJc w:val="left"/>
      <w:pPr>
        <w:tabs>
          <w:tab w:val="num" w:pos="5760"/>
        </w:tabs>
        <w:ind w:left="5760" w:hanging="360"/>
      </w:pPr>
      <w:rPr>
        <w:rFonts w:ascii="Times New Roman" w:hAnsi="Times New Roman" w:cs="Times New Roman" w:hint="default"/>
      </w:rPr>
    </w:lvl>
    <w:lvl w:ilvl="8" w:tplc="4D3A3546">
      <w:start w:val="1"/>
      <w:numFmt w:val="bullet"/>
      <w:lvlText w:val="•"/>
      <w:lvlJc w:val="left"/>
      <w:pPr>
        <w:tabs>
          <w:tab w:val="num" w:pos="6480"/>
        </w:tabs>
        <w:ind w:left="6480" w:hanging="360"/>
      </w:pPr>
      <w:rPr>
        <w:rFonts w:ascii="Times New Roman" w:hAnsi="Times New Roman" w:cs="Times New Roman" w:hint="default"/>
      </w:rPr>
    </w:lvl>
  </w:abstractNum>
  <w:abstractNum w:abstractNumId="61" w15:restartNumberingAfterBreak="0">
    <w:nsid w:val="4D310752"/>
    <w:multiLevelType w:val="hybridMultilevel"/>
    <w:tmpl w:val="B0F412B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4EDC23BC"/>
    <w:multiLevelType w:val="hybridMultilevel"/>
    <w:tmpl w:val="12B61D8A"/>
    <w:lvl w:ilvl="0" w:tplc="AA60AA0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3" w15:restartNumberingAfterBreak="0">
    <w:nsid w:val="50173C39"/>
    <w:multiLevelType w:val="multilevel"/>
    <w:tmpl w:val="52808DA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4" w15:restartNumberingAfterBreak="0">
    <w:nsid w:val="51876AA2"/>
    <w:multiLevelType w:val="hybridMultilevel"/>
    <w:tmpl w:val="907674C8"/>
    <w:lvl w:ilvl="0" w:tplc="8EE8FF16">
      <w:start w:val="1"/>
      <w:numFmt w:val="decimal"/>
      <w:lvlText w:val="%1."/>
      <w:lvlJc w:val="left"/>
      <w:pPr>
        <w:ind w:left="502" w:hanging="360"/>
      </w:pPr>
      <w:rPr>
        <w:rFonts w:ascii="Times New Roman" w:hAnsi="Times New Roman" w:cs="Times New Roman" w:hint="default"/>
        <w:b/>
        <w:i w:val="0"/>
        <w:sz w:val="22"/>
        <w:szCs w:val="22"/>
      </w:rPr>
    </w:lvl>
    <w:lvl w:ilvl="1" w:tplc="8FFE772C">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51AC0D4F"/>
    <w:multiLevelType w:val="hybridMultilevel"/>
    <w:tmpl w:val="600289B2"/>
    <w:lvl w:ilvl="0" w:tplc="8EE8FF16">
      <w:start w:val="1"/>
      <w:numFmt w:val="decimal"/>
      <w:lvlText w:val="%1."/>
      <w:lvlJc w:val="left"/>
      <w:pPr>
        <w:ind w:left="1800" w:hanging="360"/>
      </w:pPr>
      <w:rPr>
        <w:rFonts w:ascii="Times New Roman" w:hAnsi="Times New Roman" w:cs="Times New Roman" w:hint="default"/>
        <w:b/>
        <w:i w:val="0"/>
        <w:sz w:val="22"/>
        <w:szCs w:val="22"/>
      </w:rPr>
    </w:lvl>
    <w:lvl w:ilvl="1" w:tplc="8EE8FF16">
      <w:start w:val="1"/>
      <w:numFmt w:val="decimal"/>
      <w:lvlText w:val="%2."/>
      <w:lvlJc w:val="left"/>
      <w:pPr>
        <w:ind w:left="360" w:hanging="360"/>
      </w:pPr>
      <w:rPr>
        <w:rFonts w:ascii="Times New Roman" w:hAnsi="Times New Roman" w:cs="Times New Roman" w:hint="default"/>
        <w:b/>
        <w:i w:val="0"/>
        <w:sz w:val="22"/>
        <w:szCs w:val="22"/>
      </w:r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66" w15:restartNumberingAfterBreak="0">
    <w:nsid w:val="530405AC"/>
    <w:multiLevelType w:val="hybridMultilevel"/>
    <w:tmpl w:val="E174A41E"/>
    <w:lvl w:ilvl="0" w:tplc="A3625B4E">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54173AFB"/>
    <w:multiLevelType w:val="multilevel"/>
    <w:tmpl w:val="A90470EC"/>
    <w:lvl w:ilvl="0">
      <w:start w:val="3"/>
      <w:numFmt w:val="decimal"/>
      <w:lvlText w:val="%1."/>
      <w:lvlJc w:val="left"/>
      <w:pPr>
        <w:ind w:left="218" w:hanging="360"/>
      </w:pPr>
      <w:rPr>
        <w:rFonts w:hint="default"/>
      </w:rPr>
    </w:lvl>
    <w:lvl w:ilvl="1">
      <w:start w:val="4"/>
      <w:numFmt w:val="decimal"/>
      <w:isLgl/>
      <w:lvlText w:val="%1.%2."/>
      <w:lvlJc w:val="left"/>
      <w:pPr>
        <w:ind w:left="1070" w:hanging="360"/>
      </w:pPr>
      <w:rPr>
        <w:rFonts w:hint="default"/>
      </w:rPr>
    </w:lvl>
    <w:lvl w:ilvl="2">
      <w:start w:val="1"/>
      <w:numFmt w:val="decimal"/>
      <w:isLgl/>
      <w:lvlText w:val="%1.%2.%3."/>
      <w:lvlJc w:val="left"/>
      <w:pPr>
        <w:ind w:left="2282" w:hanging="720"/>
      </w:pPr>
      <w:rPr>
        <w:rFonts w:hint="default"/>
      </w:rPr>
    </w:lvl>
    <w:lvl w:ilvl="3">
      <w:start w:val="1"/>
      <w:numFmt w:val="decimal"/>
      <w:isLgl/>
      <w:lvlText w:val="%1.%2.%3.%4."/>
      <w:lvlJc w:val="left"/>
      <w:pPr>
        <w:ind w:left="3134" w:hanging="720"/>
      </w:pPr>
      <w:rPr>
        <w:rFonts w:hint="default"/>
      </w:rPr>
    </w:lvl>
    <w:lvl w:ilvl="4">
      <w:start w:val="1"/>
      <w:numFmt w:val="decimal"/>
      <w:isLgl/>
      <w:lvlText w:val="%1.%2.%3.%4.%5."/>
      <w:lvlJc w:val="left"/>
      <w:pPr>
        <w:ind w:left="4346" w:hanging="1080"/>
      </w:pPr>
      <w:rPr>
        <w:rFonts w:hint="default"/>
      </w:rPr>
    </w:lvl>
    <w:lvl w:ilvl="5">
      <w:start w:val="1"/>
      <w:numFmt w:val="decimal"/>
      <w:isLgl/>
      <w:lvlText w:val="%1.%2.%3.%4.%5.%6."/>
      <w:lvlJc w:val="left"/>
      <w:pPr>
        <w:ind w:left="5198" w:hanging="1080"/>
      </w:pPr>
      <w:rPr>
        <w:rFonts w:hint="default"/>
      </w:rPr>
    </w:lvl>
    <w:lvl w:ilvl="6">
      <w:start w:val="1"/>
      <w:numFmt w:val="decimal"/>
      <w:isLgl/>
      <w:lvlText w:val="%1.%2.%3.%4.%5.%6.%7."/>
      <w:lvlJc w:val="left"/>
      <w:pPr>
        <w:ind w:left="6410" w:hanging="1440"/>
      </w:pPr>
      <w:rPr>
        <w:rFonts w:hint="default"/>
      </w:rPr>
    </w:lvl>
    <w:lvl w:ilvl="7">
      <w:start w:val="1"/>
      <w:numFmt w:val="decimal"/>
      <w:isLgl/>
      <w:lvlText w:val="%1.%2.%3.%4.%5.%6.%7.%8."/>
      <w:lvlJc w:val="left"/>
      <w:pPr>
        <w:ind w:left="7262" w:hanging="1440"/>
      </w:pPr>
      <w:rPr>
        <w:rFonts w:hint="default"/>
      </w:rPr>
    </w:lvl>
    <w:lvl w:ilvl="8">
      <w:start w:val="1"/>
      <w:numFmt w:val="decimal"/>
      <w:isLgl/>
      <w:lvlText w:val="%1.%2.%3.%4.%5.%6.%7.%8.%9."/>
      <w:lvlJc w:val="left"/>
      <w:pPr>
        <w:ind w:left="8474" w:hanging="1800"/>
      </w:pPr>
      <w:rPr>
        <w:rFonts w:hint="default"/>
      </w:rPr>
    </w:lvl>
  </w:abstractNum>
  <w:abstractNum w:abstractNumId="68" w15:restartNumberingAfterBreak="0">
    <w:nsid w:val="54522192"/>
    <w:multiLevelType w:val="hybridMultilevel"/>
    <w:tmpl w:val="AD868532"/>
    <w:lvl w:ilvl="0" w:tplc="AE1CDB9C">
      <w:start w:val="2"/>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55903733"/>
    <w:multiLevelType w:val="hybridMultilevel"/>
    <w:tmpl w:val="11C6428C"/>
    <w:lvl w:ilvl="0" w:tplc="6C5A0FB0">
      <w:start w:val="1"/>
      <w:numFmt w:val="decimal"/>
      <w:lvlText w:val="%1."/>
      <w:lvlJc w:val="left"/>
      <w:pPr>
        <w:ind w:left="720" w:hanging="36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55D52681"/>
    <w:multiLevelType w:val="hybridMultilevel"/>
    <w:tmpl w:val="81C6F0D4"/>
    <w:lvl w:ilvl="0" w:tplc="04190011">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71" w15:restartNumberingAfterBreak="0">
    <w:nsid w:val="574A0C5C"/>
    <w:multiLevelType w:val="hybridMultilevel"/>
    <w:tmpl w:val="008E8D5A"/>
    <w:lvl w:ilvl="0" w:tplc="8FE26EEE">
      <w:start w:val="1"/>
      <w:numFmt w:val="decimal"/>
      <w:lvlText w:val="%1."/>
      <w:lvlJc w:val="left"/>
      <w:pPr>
        <w:ind w:left="502"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5A1F1BC4"/>
    <w:multiLevelType w:val="hybridMultilevel"/>
    <w:tmpl w:val="78AE3DA4"/>
    <w:lvl w:ilvl="0" w:tplc="A3BCDFA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5A570190"/>
    <w:multiLevelType w:val="hybridMultilevel"/>
    <w:tmpl w:val="5F6E8218"/>
    <w:lvl w:ilvl="0" w:tplc="57B6529E">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5AB22FB9"/>
    <w:multiLevelType w:val="hybridMultilevel"/>
    <w:tmpl w:val="D73A7216"/>
    <w:lvl w:ilvl="0" w:tplc="8EE8FF16">
      <w:start w:val="1"/>
      <w:numFmt w:val="decimal"/>
      <w:lvlText w:val="%1."/>
      <w:lvlJc w:val="left"/>
      <w:pPr>
        <w:ind w:left="502" w:hanging="360"/>
      </w:pPr>
      <w:rPr>
        <w:rFonts w:ascii="Times New Roman" w:hAnsi="Times New Roman" w:cs="Times New Roman" w:hint="default"/>
        <w:b/>
        <w:i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5B9D6C35"/>
    <w:multiLevelType w:val="hybridMultilevel"/>
    <w:tmpl w:val="235E25F0"/>
    <w:lvl w:ilvl="0" w:tplc="E220754C">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6" w15:restartNumberingAfterBreak="0">
    <w:nsid w:val="5D816F81"/>
    <w:multiLevelType w:val="hybridMultilevel"/>
    <w:tmpl w:val="D3BC7E32"/>
    <w:lvl w:ilvl="0" w:tplc="8EE8FF16">
      <w:start w:val="1"/>
      <w:numFmt w:val="decimal"/>
      <w:lvlText w:val="%1."/>
      <w:lvlJc w:val="left"/>
      <w:pPr>
        <w:ind w:left="720" w:hanging="360"/>
      </w:pPr>
      <w:rPr>
        <w:rFonts w:ascii="Times New Roman" w:hAnsi="Times New Roman" w:cs="Times New Roman" w:hint="default"/>
        <w:b/>
        <w:i w:val="0"/>
        <w:sz w:val="22"/>
        <w:szCs w:val="22"/>
      </w:rPr>
    </w:lvl>
    <w:lvl w:ilvl="1" w:tplc="8EE8FF16">
      <w:start w:val="1"/>
      <w:numFmt w:val="decimal"/>
      <w:lvlText w:val="%2."/>
      <w:lvlJc w:val="left"/>
      <w:pPr>
        <w:ind w:left="502" w:hanging="360"/>
      </w:pPr>
      <w:rPr>
        <w:rFonts w:ascii="Times New Roman" w:hAnsi="Times New Roman" w:cs="Times New Roman" w:hint="default"/>
        <w:b/>
        <w:i w:val="0"/>
        <w:sz w:val="22"/>
        <w:szCs w:val="22"/>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5DBD734C"/>
    <w:multiLevelType w:val="hybridMultilevel"/>
    <w:tmpl w:val="E6B2C6AE"/>
    <w:lvl w:ilvl="0" w:tplc="4948DAEE">
      <w:start w:val="1"/>
      <w:numFmt w:val="bullet"/>
      <w:lvlText w:val=""/>
      <w:lvlJc w:val="left"/>
      <w:pPr>
        <w:ind w:left="14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5E4D0A80"/>
    <w:multiLevelType w:val="hybridMultilevel"/>
    <w:tmpl w:val="04FA5352"/>
    <w:lvl w:ilvl="0" w:tplc="8EE8FF16">
      <w:start w:val="1"/>
      <w:numFmt w:val="decimal"/>
      <w:lvlText w:val="%1."/>
      <w:lvlJc w:val="left"/>
      <w:pPr>
        <w:ind w:left="720" w:hanging="360"/>
      </w:pPr>
      <w:rPr>
        <w:rFonts w:ascii="Times New Roman" w:hAnsi="Times New Roman" w:cs="Times New Roman" w:hint="default"/>
        <w:b/>
        <w:i w:val="0"/>
        <w:sz w:val="22"/>
        <w:szCs w:val="22"/>
      </w:rPr>
    </w:lvl>
    <w:lvl w:ilvl="1" w:tplc="8EE8FF16">
      <w:start w:val="1"/>
      <w:numFmt w:val="decimal"/>
      <w:lvlText w:val="%2."/>
      <w:lvlJc w:val="left"/>
      <w:pPr>
        <w:ind w:left="360" w:hanging="360"/>
      </w:pPr>
      <w:rPr>
        <w:rFonts w:ascii="Times New Roman" w:hAnsi="Times New Roman" w:cs="Times New Roman" w:hint="default"/>
        <w:b/>
        <w:i w:val="0"/>
        <w:sz w:val="22"/>
        <w:szCs w:val="22"/>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5F9A5E71"/>
    <w:multiLevelType w:val="hybridMultilevel"/>
    <w:tmpl w:val="24FAFF22"/>
    <w:lvl w:ilvl="0" w:tplc="8EE8FF16">
      <w:start w:val="1"/>
      <w:numFmt w:val="decimal"/>
      <w:lvlText w:val="%1."/>
      <w:lvlJc w:val="left"/>
      <w:pPr>
        <w:ind w:left="720" w:hanging="360"/>
      </w:pPr>
      <w:rPr>
        <w:rFonts w:ascii="Times New Roman" w:hAnsi="Times New Roman" w:cs="Times New Roman" w:hint="default"/>
        <w:b/>
        <w:i w:val="0"/>
        <w:sz w:val="22"/>
        <w:szCs w:val="22"/>
      </w:rPr>
    </w:lvl>
    <w:lvl w:ilvl="1" w:tplc="8EE8FF16">
      <w:start w:val="1"/>
      <w:numFmt w:val="decimal"/>
      <w:lvlText w:val="%2."/>
      <w:lvlJc w:val="left"/>
      <w:pPr>
        <w:ind w:left="502" w:hanging="360"/>
      </w:pPr>
      <w:rPr>
        <w:rFonts w:ascii="Times New Roman" w:hAnsi="Times New Roman" w:cs="Times New Roman" w:hint="default"/>
        <w:b/>
        <w:i w:val="0"/>
        <w:sz w:val="22"/>
        <w:szCs w:val="22"/>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5FE46C0A"/>
    <w:multiLevelType w:val="hybridMultilevel"/>
    <w:tmpl w:val="113A488A"/>
    <w:lvl w:ilvl="0" w:tplc="8EE8FF16">
      <w:start w:val="1"/>
      <w:numFmt w:val="decimal"/>
      <w:lvlText w:val="%1."/>
      <w:lvlJc w:val="left"/>
      <w:pPr>
        <w:ind w:left="502" w:hanging="360"/>
      </w:pPr>
      <w:rPr>
        <w:rFonts w:ascii="Times New Roman" w:hAnsi="Times New Roman" w:cs="Times New Roman" w:hint="default"/>
        <w:b/>
        <w:i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602361AF"/>
    <w:multiLevelType w:val="hybridMultilevel"/>
    <w:tmpl w:val="A800B926"/>
    <w:lvl w:ilvl="0" w:tplc="8EE8FF16">
      <w:start w:val="1"/>
      <w:numFmt w:val="decimal"/>
      <w:lvlText w:val="%1."/>
      <w:lvlJc w:val="left"/>
      <w:pPr>
        <w:ind w:left="360" w:hanging="360"/>
      </w:pPr>
      <w:rPr>
        <w:rFonts w:ascii="Times New Roman" w:hAnsi="Times New Roman" w:cs="Times New Roman" w:hint="default"/>
        <w:b/>
        <w:i w:val="0"/>
        <w:sz w:val="22"/>
        <w:szCs w:val="22"/>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2" w15:restartNumberingAfterBreak="0">
    <w:nsid w:val="60C412B7"/>
    <w:multiLevelType w:val="hybridMultilevel"/>
    <w:tmpl w:val="3EAA8EE2"/>
    <w:lvl w:ilvl="0" w:tplc="C096D41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3" w15:restartNumberingAfterBreak="0">
    <w:nsid w:val="620D4D92"/>
    <w:multiLevelType w:val="hybridMultilevel"/>
    <w:tmpl w:val="2F5C4112"/>
    <w:lvl w:ilvl="0" w:tplc="8EE8FF16">
      <w:start w:val="1"/>
      <w:numFmt w:val="decimal"/>
      <w:lvlText w:val="%1."/>
      <w:lvlJc w:val="left"/>
      <w:pPr>
        <w:ind w:left="502" w:hanging="360"/>
      </w:pPr>
      <w:rPr>
        <w:rFonts w:ascii="Times New Roman" w:hAnsi="Times New Roman" w:cs="Times New Roman" w:hint="default"/>
        <w:b/>
        <w:i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62885674"/>
    <w:multiLevelType w:val="hybridMultilevel"/>
    <w:tmpl w:val="CDD88D3A"/>
    <w:lvl w:ilvl="0" w:tplc="8EE8FF16">
      <w:start w:val="1"/>
      <w:numFmt w:val="decimal"/>
      <w:lvlText w:val="%1."/>
      <w:lvlJc w:val="left"/>
      <w:pPr>
        <w:ind w:left="502" w:hanging="360"/>
      </w:pPr>
      <w:rPr>
        <w:rFonts w:ascii="Times New Roman" w:hAnsi="Times New Roman" w:cs="Times New Roman" w:hint="default"/>
        <w:b/>
        <w:i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62937FCE"/>
    <w:multiLevelType w:val="hybridMultilevel"/>
    <w:tmpl w:val="E482CC64"/>
    <w:lvl w:ilvl="0" w:tplc="910C15F0">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6" w15:restartNumberingAfterBreak="0">
    <w:nsid w:val="629C3D11"/>
    <w:multiLevelType w:val="multilevel"/>
    <w:tmpl w:val="D5BE836C"/>
    <w:lvl w:ilvl="0">
      <w:start w:val="1"/>
      <w:numFmt w:val="decimal"/>
      <w:lvlText w:val="%1)"/>
      <w:lvlJc w:val="left"/>
      <w:pPr>
        <w:ind w:left="720" w:hanging="360"/>
      </w:pPr>
      <w:rPr>
        <w:rFonts w:hint="default"/>
        <w:b w:val="0"/>
        <w:bCs/>
      </w:rPr>
    </w:lvl>
    <w:lvl w:ilvl="1">
      <w:start w:val="1"/>
      <w:numFmt w:val="decimal"/>
      <w:isLgl/>
      <w:lvlText w:val="%1.%2."/>
      <w:lvlJc w:val="left"/>
      <w:pPr>
        <w:ind w:left="900" w:hanging="540"/>
      </w:pPr>
      <w:rPr>
        <w:rFonts w:hint="default"/>
        <w:b w:val="0"/>
      </w:rPr>
    </w:lvl>
    <w:lvl w:ilvl="2">
      <w:start w:val="1"/>
      <w:numFmt w:val="decimal"/>
      <w:isLgl/>
      <w:lvlText w:val="%1.%2.%3."/>
      <w:lvlJc w:val="left"/>
      <w:pPr>
        <w:ind w:left="2563"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87" w15:restartNumberingAfterBreak="0">
    <w:nsid w:val="6793511B"/>
    <w:multiLevelType w:val="multilevel"/>
    <w:tmpl w:val="9A6ED580"/>
    <w:lvl w:ilvl="0">
      <w:start w:val="5"/>
      <w:numFmt w:val="decimal"/>
      <w:lvlText w:val="%1"/>
      <w:lvlJc w:val="left"/>
      <w:pPr>
        <w:ind w:left="576" w:hanging="576"/>
      </w:pPr>
      <w:rPr>
        <w:rFonts w:hint="default"/>
      </w:rPr>
    </w:lvl>
    <w:lvl w:ilvl="1">
      <w:start w:val="1"/>
      <w:numFmt w:val="decimal"/>
      <w:lvlText w:val="%1.%2"/>
      <w:lvlJc w:val="left"/>
      <w:pPr>
        <w:ind w:left="930" w:hanging="576"/>
      </w:pPr>
      <w:rPr>
        <w:rFonts w:hint="default"/>
      </w:rPr>
    </w:lvl>
    <w:lvl w:ilvl="2">
      <w:start w:val="2"/>
      <w:numFmt w:val="decimal"/>
      <w:lvlText w:val="%1.%2.%3"/>
      <w:lvlJc w:val="left"/>
      <w:pPr>
        <w:ind w:left="128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88" w15:restartNumberingAfterBreak="0">
    <w:nsid w:val="67D6489A"/>
    <w:multiLevelType w:val="hybridMultilevel"/>
    <w:tmpl w:val="DCE4CCB4"/>
    <w:lvl w:ilvl="0" w:tplc="CEF2B01A">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9" w15:restartNumberingAfterBreak="0">
    <w:nsid w:val="68AF5CBF"/>
    <w:multiLevelType w:val="hybridMultilevel"/>
    <w:tmpl w:val="643A711E"/>
    <w:lvl w:ilvl="0" w:tplc="8EE8FF16">
      <w:start w:val="1"/>
      <w:numFmt w:val="decimal"/>
      <w:lvlText w:val="%1."/>
      <w:lvlJc w:val="left"/>
      <w:pPr>
        <w:ind w:left="502" w:hanging="360"/>
      </w:pPr>
      <w:rPr>
        <w:rFonts w:ascii="Times New Roman" w:hAnsi="Times New Roman" w:cs="Times New Roman" w:hint="default"/>
        <w:b/>
        <w:i w:val="0"/>
        <w:sz w:val="22"/>
        <w:szCs w:val="22"/>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90" w15:restartNumberingAfterBreak="0">
    <w:nsid w:val="6BA8633C"/>
    <w:multiLevelType w:val="hybridMultilevel"/>
    <w:tmpl w:val="8DCA209A"/>
    <w:lvl w:ilvl="0" w:tplc="8EE8FF16">
      <w:start w:val="1"/>
      <w:numFmt w:val="decimal"/>
      <w:lvlText w:val="%1."/>
      <w:lvlJc w:val="left"/>
      <w:pPr>
        <w:ind w:left="360" w:hanging="360"/>
      </w:pPr>
      <w:rPr>
        <w:rFonts w:ascii="Times New Roman" w:hAnsi="Times New Roman" w:cs="Times New Roman" w:hint="default"/>
        <w:b/>
        <w:i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6D8E25A4"/>
    <w:multiLevelType w:val="hybridMultilevel"/>
    <w:tmpl w:val="B31A78AA"/>
    <w:lvl w:ilvl="0" w:tplc="B126AF7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73833BE4"/>
    <w:multiLevelType w:val="hybridMultilevel"/>
    <w:tmpl w:val="7E44632A"/>
    <w:lvl w:ilvl="0" w:tplc="8EE8FF16">
      <w:start w:val="1"/>
      <w:numFmt w:val="decimal"/>
      <w:lvlText w:val="%1."/>
      <w:lvlJc w:val="left"/>
      <w:pPr>
        <w:ind w:left="502" w:hanging="360"/>
      </w:pPr>
      <w:rPr>
        <w:rFonts w:ascii="Times New Roman" w:hAnsi="Times New Roman" w:cs="Times New Roman" w:hint="default"/>
        <w:b/>
        <w:i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77025FAC"/>
    <w:multiLevelType w:val="hybridMultilevel"/>
    <w:tmpl w:val="48CC25D2"/>
    <w:lvl w:ilvl="0" w:tplc="62D8525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77525E4E"/>
    <w:multiLevelType w:val="hybridMultilevel"/>
    <w:tmpl w:val="2DC8BEAE"/>
    <w:lvl w:ilvl="0" w:tplc="0419000F">
      <w:start w:val="1"/>
      <w:numFmt w:val="decimal"/>
      <w:lvlText w:val="%1."/>
      <w:lvlJc w:val="left"/>
      <w:pPr>
        <w:ind w:left="720" w:hanging="360"/>
      </w:pPr>
    </w:lvl>
    <w:lvl w:ilvl="1" w:tplc="1CECCDC6">
      <w:start w:val="1"/>
      <w:numFmt w:val="decimal"/>
      <w:lvlText w:val="%2."/>
      <w:lvlJc w:val="left"/>
      <w:pPr>
        <w:ind w:left="502" w:hanging="360"/>
      </w:pPr>
      <w:rPr>
        <w:b/>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79835E10"/>
    <w:multiLevelType w:val="hybridMultilevel"/>
    <w:tmpl w:val="849CC48E"/>
    <w:lvl w:ilvl="0" w:tplc="8EE8FF16">
      <w:start w:val="1"/>
      <w:numFmt w:val="decimal"/>
      <w:lvlText w:val="%1."/>
      <w:lvlJc w:val="left"/>
      <w:pPr>
        <w:ind w:left="720" w:hanging="360"/>
      </w:pPr>
      <w:rPr>
        <w:rFonts w:ascii="Times New Roman" w:hAnsi="Times New Roman" w:cs="Times New Roman" w:hint="default"/>
        <w:b/>
        <w:i w:val="0"/>
        <w:sz w:val="22"/>
        <w:szCs w:val="22"/>
      </w:rPr>
    </w:lvl>
    <w:lvl w:ilvl="1" w:tplc="8EE8FF16">
      <w:start w:val="1"/>
      <w:numFmt w:val="decimal"/>
      <w:lvlText w:val="%2."/>
      <w:lvlJc w:val="left"/>
      <w:pPr>
        <w:ind w:left="360" w:hanging="360"/>
      </w:pPr>
      <w:rPr>
        <w:rFonts w:ascii="Times New Roman" w:hAnsi="Times New Roman" w:cs="Times New Roman" w:hint="default"/>
        <w:b/>
        <w:i w:val="0"/>
        <w:sz w:val="22"/>
        <w:szCs w:val="22"/>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7B897A18"/>
    <w:multiLevelType w:val="multilevel"/>
    <w:tmpl w:val="7772D91A"/>
    <w:lvl w:ilvl="0">
      <w:start w:val="1"/>
      <w:numFmt w:val="decimal"/>
      <w:lvlText w:val="%1)"/>
      <w:lvlJc w:val="left"/>
      <w:pPr>
        <w:ind w:left="1017" w:hanging="450"/>
      </w:pPr>
      <w:rPr>
        <w:rFonts w:hint="default"/>
      </w:rPr>
    </w:lvl>
    <w:lvl w:ilvl="1">
      <w:start w:val="5"/>
      <w:numFmt w:val="decimal"/>
      <w:isLgl/>
      <w:lvlText w:val="%1.%2."/>
      <w:lvlJc w:val="left"/>
      <w:pPr>
        <w:ind w:left="1068" w:hanging="360"/>
      </w:pPr>
      <w:rPr>
        <w:rFonts w:eastAsiaTheme="minorHAnsi" w:hint="default"/>
        <w:b/>
      </w:rPr>
    </w:lvl>
    <w:lvl w:ilvl="2">
      <w:start w:val="1"/>
      <w:numFmt w:val="decimal"/>
      <w:isLgl/>
      <w:lvlText w:val="%1.%2.%3."/>
      <w:lvlJc w:val="left"/>
      <w:pPr>
        <w:ind w:left="1569" w:hanging="720"/>
      </w:pPr>
      <w:rPr>
        <w:rFonts w:eastAsiaTheme="minorHAnsi" w:hint="default"/>
        <w:b/>
      </w:rPr>
    </w:lvl>
    <w:lvl w:ilvl="3">
      <w:start w:val="1"/>
      <w:numFmt w:val="decimal"/>
      <w:isLgl/>
      <w:lvlText w:val="%1.%2.%3.%4."/>
      <w:lvlJc w:val="left"/>
      <w:pPr>
        <w:ind w:left="1710" w:hanging="720"/>
      </w:pPr>
      <w:rPr>
        <w:rFonts w:eastAsiaTheme="minorHAnsi" w:hint="default"/>
        <w:b/>
      </w:rPr>
    </w:lvl>
    <w:lvl w:ilvl="4">
      <w:start w:val="1"/>
      <w:numFmt w:val="decimal"/>
      <w:isLgl/>
      <w:lvlText w:val="%1.%2.%3.%4.%5."/>
      <w:lvlJc w:val="left"/>
      <w:pPr>
        <w:ind w:left="2211" w:hanging="1080"/>
      </w:pPr>
      <w:rPr>
        <w:rFonts w:eastAsiaTheme="minorHAnsi" w:hint="default"/>
        <w:b/>
      </w:rPr>
    </w:lvl>
    <w:lvl w:ilvl="5">
      <w:start w:val="1"/>
      <w:numFmt w:val="decimal"/>
      <w:isLgl/>
      <w:lvlText w:val="%1.%2.%3.%4.%5.%6."/>
      <w:lvlJc w:val="left"/>
      <w:pPr>
        <w:ind w:left="2352" w:hanging="1080"/>
      </w:pPr>
      <w:rPr>
        <w:rFonts w:eastAsiaTheme="minorHAnsi" w:hint="default"/>
        <w:b/>
      </w:rPr>
    </w:lvl>
    <w:lvl w:ilvl="6">
      <w:start w:val="1"/>
      <w:numFmt w:val="decimal"/>
      <w:isLgl/>
      <w:lvlText w:val="%1.%2.%3.%4.%5.%6.%7."/>
      <w:lvlJc w:val="left"/>
      <w:pPr>
        <w:ind w:left="2853" w:hanging="1440"/>
      </w:pPr>
      <w:rPr>
        <w:rFonts w:eastAsiaTheme="minorHAnsi" w:hint="default"/>
        <w:b/>
      </w:rPr>
    </w:lvl>
    <w:lvl w:ilvl="7">
      <w:start w:val="1"/>
      <w:numFmt w:val="decimal"/>
      <w:isLgl/>
      <w:lvlText w:val="%1.%2.%3.%4.%5.%6.%7.%8."/>
      <w:lvlJc w:val="left"/>
      <w:pPr>
        <w:ind w:left="2994" w:hanging="1440"/>
      </w:pPr>
      <w:rPr>
        <w:rFonts w:eastAsiaTheme="minorHAnsi" w:hint="default"/>
        <w:b/>
      </w:rPr>
    </w:lvl>
    <w:lvl w:ilvl="8">
      <w:start w:val="1"/>
      <w:numFmt w:val="decimal"/>
      <w:isLgl/>
      <w:lvlText w:val="%1.%2.%3.%4.%5.%6.%7.%8.%9."/>
      <w:lvlJc w:val="left"/>
      <w:pPr>
        <w:ind w:left="3495" w:hanging="1800"/>
      </w:pPr>
      <w:rPr>
        <w:rFonts w:eastAsiaTheme="minorHAnsi" w:hint="default"/>
        <w:b/>
      </w:rPr>
    </w:lvl>
  </w:abstractNum>
  <w:abstractNum w:abstractNumId="97" w15:restartNumberingAfterBreak="0">
    <w:nsid w:val="7D5A2DCE"/>
    <w:multiLevelType w:val="hybridMultilevel"/>
    <w:tmpl w:val="80E2EB88"/>
    <w:lvl w:ilvl="0" w:tplc="F7E2446A">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7F704101"/>
    <w:multiLevelType w:val="hybridMultilevel"/>
    <w:tmpl w:val="1C44A784"/>
    <w:lvl w:ilvl="0" w:tplc="04190011">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2"/>
  </w:num>
  <w:num w:numId="2">
    <w:abstractNumId w:val="98"/>
  </w:num>
  <w:num w:numId="3">
    <w:abstractNumId w:val="47"/>
  </w:num>
  <w:num w:numId="4">
    <w:abstractNumId w:val="50"/>
  </w:num>
  <w:num w:numId="5">
    <w:abstractNumId w:val="44"/>
  </w:num>
  <w:num w:numId="6">
    <w:abstractNumId w:val="22"/>
  </w:num>
  <w:num w:numId="7">
    <w:abstractNumId w:val="8"/>
  </w:num>
  <w:num w:numId="8">
    <w:abstractNumId w:val="39"/>
  </w:num>
  <w:num w:numId="9">
    <w:abstractNumId w:val="90"/>
  </w:num>
  <w:num w:numId="10">
    <w:abstractNumId w:val="64"/>
  </w:num>
  <w:num w:numId="11">
    <w:abstractNumId w:val="3"/>
  </w:num>
  <w:num w:numId="12">
    <w:abstractNumId w:val="41"/>
  </w:num>
  <w:num w:numId="13">
    <w:abstractNumId w:val="78"/>
  </w:num>
  <w:num w:numId="14">
    <w:abstractNumId w:val="65"/>
  </w:num>
  <w:num w:numId="15">
    <w:abstractNumId w:val="14"/>
  </w:num>
  <w:num w:numId="16">
    <w:abstractNumId w:val="74"/>
  </w:num>
  <w:num w:numId="17">
    <w:abstractNumId w:val="16"/>
  </w:num>
  <w:num w:numId="18">
    <w:abstractNumId w:val="76"/>
  </w:num>
  <w:num w:numId="19">
    <w:abstractNumId w:val="12"/>
  </w:num>
  <w:num w:numId="20">
    <w:abstractNumId w:val="0"/>
  </w:num>
  <w:num w:numId="21">
    <w:abstractNumId w:val="33"/>
  </w:num>
  <w:num w:numId="22">
    <w:abstractNumId w:val="20"/>
  </w:num>
  <w:num w:numId="23">
    <w:abstractNumId w:val="43"/>
  </w:num>
  <w:num w:numId="24">
    <w:abstractNumId w:val="79"/>
  </w:num>
  <w:num w:numId="25">
    <w:abstractNumId w:val="13"/>
  </w:num>
  <w:num w:numId="26">
    <w:abstractNumId w:val="45"/>
  </w:num>
  <w:num w:numId="27">
    <w:abstractNumId w:val="31"/>
  </w:num>
  <w:num w:numId="28">
    <w:abstractNumId w:val="26"/>
  </w:num>
  <w:num w:numId="29">
    <w:abstractNumId w:val="83"/>
  </w:num>
  <w:num w:numId="30">
    <w:abstractNumId w:val="21"/>
  </w:num>
  <w:num w:numId="31">
    <w:abstractNumId w:val="84"/>
  </w:num>
  <w:num w:numId="32">
    <w:abstractNumId w:val="56"/>
  </w:num>
  <w:num w:numId="33">
    <w:abstractNumId w:val="89"/>
  </w:num>
  <w:num w:numId="34">
    <w:abstractNumId w:val="52"/>
  </w:num>
  <w:num w:numId="35">
    <w:abstractNumId w:val="92"/>
  </w:num>
  <w:num w:numId="36">
    <w:abstractNumId w:val="80"/>
  </w:num>
  <w:num w:numId="37">
    <w:abstractNumId w:val="95"/>
  </w:num>
  <w:num w:numId="38">
    <w:abstractNumId w:val="81"/>
  </w:num>
  <w:num w:numId="39">
    <w:abstractNumId w:val="15"/>
  </w:num>
  <w:num w:numId="40">
    <w:abstractNumId w:val="71"/>
  </w:num>
  <w:num w:numId="41">
    <w:abstractNumId w:val="94"/>
  </w:num>
  <w:num w:numId="42">
    <w:abstractNumId w:val="46"/>
  </w:num>
  <w:num w:numId="43">
    <w:abstractNumId w:val="28"/>
  </w:num>
  <w:num w:numId="44">
    <w:abstractNumId w:val="75"/>
  </w:num>
  <w:num w:numId="45">
    <w:abstractNumId w:val="19"/>
  </w:num>
  <w:num w:numId="46">
    <w:abstractNumId w:val="7"/>
  </w:num>
  <w:num w:numId="47">
    <w:abstractNumId w:val="59"/>
  </w:num>
  <w:num w:numId="48">
    <w:abstractNumId w:val="85"/>
  </w:num>
  <w:num w:numId="49">
    <w:abstractNumId w:val="48"/>
  </w:num>
  <w:num w:numId="50">
    <w:abstractNumId w:val="24"/>
  </w:num>
  <w:num w:numId="51">
    <w:abstractNumId w:val="23"/>
  </w:num>
  <w:num w:numId="52">
    <w:abstractNumId w:val="73"/>
  </w:num>
  <w:num w:numId="53">
    <w:abstractNumId w:val="97"/>
  </w:num>
  <w:num w:numId="54">
    <w:abstractNumId w:val="11"/>
  </w:num>
  <w:num w:numId="55">
    <w:abstractNumId w:val="29"/>
  </w:num>
  <w:num w:numId="56">
    <w:abstractNumId w:val="54"/>
  </w:num>
  <w:num w:numId="57">
    <w:abstractNumId w:val="6"/>
  </w:num>
  <w:num w:numId="58">
    <w:abstractNumId w:val="32"/>
  </w:num>
  <w:num w:numId="59">
    <w:abstractNumId w:val="88"/>
  </w:num>
  <w:num w:numId="60">
    <w:abstractNumId w:val="51"/>
  </w:num>
  <w:num w:numId="61">
    <w:abstractNumId w:val="53"/>
  </w:num>
  <w:num w:numId="62">
    <w:abstractNumId w:val="93"/>
  </w:num>
  <w:num w:numId="63">
    <w:abstractNumId w:val="63"/>
  </w:num>
  <w:num w:numId="64">
    <w:abstractNumId w:val="72"/>
  </w:num>
  <w:num w:numId="65">
    <w:abstractNumId w:val="91"/>
  </w:num>
  <w:num w:numId="66">
    <w:abstractNumId w:val="30"/>
  </w:num>
  <w:num w:numId="67">
    <w:abstractNumId w:val="10"/>
  </w:num>
  <w:num w:numId="68">
    <w:abstractNumId w:val="17"/>
  </w:num>
  <w:num w:numId="69">
    <w:abstractNumId w:val="25"/>
  </w:num>
  <w:num w:numId="70">
    <w:abstractNumId w:val="38"/>
  </w:num>
  <w:num w:numId="71">
    <w:abstractNumId w:val="37"/>
  </w:num>
  <w:num w:numId="72">
    <w:abstractNumId w:val="60"/>
  </w:num>
  <w:num w:numId="73">
    <w:abstractNumId w:val="67"/>
  </w:num>
  <w:num w:numId="74">
    <w:abstractNumId w:val="18"/>
  </w:num>
  <w:num w:numId="75">
    <w:abstractNumId w:val="66"/>
  </w:num>
  <w:num w:numId="76">
    <w:abstractNumId w:val="82"/>
  </w:num>
  <w:num w:numId="77">
    <w:abstractNumId w:val="62"/>
  </w:num>
  <w:num w:numId="78">
    <w:abstractNumId w:val="5"/>
  </w:num>
  <w:num w:numId="79">
    <w:abstractNumId w:val="70"/>
  </w:num>
  <w:num w:numId="80">
    <w:abstractNumId w:val="86"/>
  </w:num>
  <w:num w:numId="81">
    <w:abstractNumId w:val="27"/>
  </w:num>
  <w:num w:numId="82">
    <w:abstractNumId w:val="61"/>
  </w:num>
  <w:num w:numId="83">
    <w:abstractNumId w:val="57"/>
  </w:num>
  <w:num w:numId="84">
    <w:abstractNumId w:val="68"/>
  </w:num>
  <w:num w:numId="85">
    <w:abstractNumId w:val="69"/>
  </w:num>
  <w:num w:numId="86">
    <w:abstractNumId w:val="96"/>
  </w:num>
  <w:num w:numId="87">
    <w:abstractNumId w:val="2"/>
  </w:num>
  <w:num w:numId="88">
    <w:abstractNumId w:val="35"/>
  </w:num>
  <w:num w:numId="89">
    <w:abstractNumId w:val="9"/>
  </w:num>
  <w:num w:numId="90">
    <w:abstractNumId w:val="77"/>
  </w:num>
  <w:num w:numId="91">
    <w:abstractNumId w:val="55"/>
  </w:num>
  <w:num w:numId="92">
    <w:abstractNumId w:val="40"/>
  </w:num>
  <w:num w:numId="93">
    <w:abstractNumId w:val="58"/>
  </w:num>
  <w:num w:numId="94">
    <w:abstractNumId w:val="34"/>
  </w:num>
  <w:num w:numId="95">
    <w:abstractNumId w:val="49"/>
  </w:num>
  <w:num w:numId="96">
    <w:abstractNumId w:val="87"/>
  </w:num>
  <w:num w:numId="97">
    <w:abstractNumId w:val="4"/>
  </w:num>
  <w:num w:numId="98">
    <w:abstractNumId w:val="1"/>
  </w:num>
  <w:num w:numId="99">
    <w:abstractNumId w:val="36"/>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ru-RU" w:vendorID="64" w:dllVersion="4096" w:nlCheck="1" w:checkStyle="0"/>
  <w:activeWritingStyle w:appName="MSWord" w:lang="en-US" w:vendorID="64" w:dllVersion="4096" w:nlCheck="1" w:checkStyle="0"/>
  <w:activeWritingStyle w:appName="MSWord" w:lang="ru-RU" w:vendorID="64" w:dllVersion="6" w:nlCheck="1" w:checkStyle="0"/>
  <w:activeWritingStyle w:appName="MSWord" w:lang="en-US" w:vendorID="64" w:dllVersion="6" w:nlCheck="1" w:checkStyle="1"/>
  <w:activeWritingStyle w:appName="MSWord" w:lang="ru-RU" w:vendorID="64" w:dllVersion="131078" w:nlCheck="1" w:checkStyle="0"/>
  <w:activeWritingStyle w:appName="MSWord" w:lang="en-US" w:vendorID="64" w:dllVersion="131078" w:nlCheck="1" w:checkStyle="1"/>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308F3"/>
    <w:rsid w:val="000006C2"/>
    <w:rsid w:val="00001CB0"/>
    <w:rsid w:val="000020F8"/>
    <w:rsid w:val="00002F46"/>
    <w:rsid w:val="00003DB1"/>
    <w:rsid w:val="00003FCB"/>
    <w:rsid w:val="00003FEF"/>
    <w:rsid w:val="0000455C"/>
    <w:rsid w:val="00004992"/>
    <w:rsid w:val="00005BCE"/>
    <w:rsid w:val="00006ADB"/>
    <w:rsid w:val="00007564"/>
    <w:rsid w:val="00011359"/>
    <w:rsid w:val="000119A7"/>
    <w:rsid w:val="0001294C"/>
    <w:rsid w:val="000129E1"/>
    <w:rsid w:val="00013895"/>
    <w:rsid w:val="00013907"/>
    <w:rsid w:val="00014382"/>
    <w:rsid w:val="0001439D"/>
    <w:rsid w:val="00016416"/>
    <w:rsid w:val="00016741"/>
    <w:rsid w:val="00016838"/>
    <w:rsid w:val="000168B3"/>
    <w:rsid w:val="000200AD"/>
    <w:rsid w:val="00021337"/>
    <w:rsid w:val="000216D3"/>
    <w:rsid w:val="0002221C"/>
    <w:rsid w:val="0002340B"/>
    <w:rsid w:val="00023411"/>
    <w:rsid w:val="00023D20"/>
    <w:rsid w:val="00023E2D"/>
    <w:rsid w:val="00024F73"/>
    <w:rsid w:val="00025BCA"/>
    <w:rsid w:val="00026097"/>
    <w:rsid w:val="00027CA8"/>
    <w:rsid w:val="00030846"/>
    <w:rsid w:val="000308F3"/>
    <w:rsid w:val="00030D27"/>
    <w:rsid w:val="00031D9E"/>
    <w:rsid w:val="00032A20"/>
    <w:rsid w:val="00033006"/>
    <w:rsid w:val="000335FA"/>
    <w:rsid w:val="00033632"/>
    <w:rsid w:val="0003384D"/>
    <w:rsid w:val="00033C21"/>
    <w:rsid w:val="00033E06"/>
    <w:rsid w:val="0003410D"/>
    <w:rsid w:val="00034B51"/>
    <w:rsid w:val="00034B6C"/>
    <w:rsid w:val="00035A1F"/>
    <w:rsid w:val="00035A83"/>
    <w:rsid w:val="00035AFB"/>
    <w:rsid w:val="00035C9A"/>
    <w:rsid w:val="00036AF4"/>
    <w:rsid w:val="00036FF8"/>
    <w:rsid w:val="00037087"/>
    <w:rsid w:val="00037B13"/>
    <w:rsid w:val="00037BCC"/>
    <w:rsid w:val="00037D4A"/>
    <w:rsid w:val="000407B8"/>
    <w:rsid w:val="00040FC4"/>
    <w:rsid w:val="0004191C"/>
    <w:rsid w:val="00041DDA"/>
    <w:rsid w:val="000426BB"/>
    <w:rsid w:val="00042F0D"/>
    <w:rsid w:val="000437A6"/>
    <w:rsid w:val="00046330"/>
    <w:rsid w:val="000473B9"/>
    <w:rsid w:val="00047455"/>
    <w:rsid w:val="00047B17"/>
    <w:rsid w:val="00051808"/>
    <w:rsid w:val="00052401"/>
    <w:rsid w:val="00052D6E"/>
    <w:rsid w:val="0005374A"/>
    <w:rsid w:val="00053779"/>
    <w:rsid w:val="00053C19"/>
    <w:rsid w:val="000543A7"/>
    <w:rsid w:val="0005583E"/>
    <w:rsid w:val="0005596F"/>
    <w:rsid w:val="000567C8"/>
    <w:rsid w:val="00056C34"/>
    <w:rsid w:val="00056ED7"/>
    <w:rsid w:val="00056F84"/>
    <w:rsid w:val="00057516"/>
    <w:rsid w:val="00060B35"/>
    <w:rsid w:val="000612EA"/>
    <w:rsid w:val="00061342"/>
    <w:rsid w:val="000623A7"/>
    <w:rsid w:val="00063051"/>
    <w:rsid w:val="000630F2"/>
    <w:rsid w:val="00063463"/>
    <w:rsid w:val="00063873"/>
    <w:rsid w:val="00065DE1"/>
    <w:rsid w:val="0006679F"/>
    <w:rsid w:val="00066A4E"/>
    <w:rsid w:val="00066F7E"/>
    <w:rsid w:val="00067E7B"/>
    <w:rsid w:val="0007168E"/>
    <w:rsid w:val="00072531"/>
    <w:rsid w:val="00073B8D"/>
    <w:rsid w:val="00074268"/>
    <w:rsid w:val="000746EC"/>
    <w:rsid w:val="00074839"/>
    <w:rsid w:val="00074B44"/>
    <w:rsid w:val="00074DF5"/>
    <w:rsid w:val="00075B8B"/>
    <w:rsid w:val="0007642E"/>
    <w:rsid w:val="00076825"/>
    <w:rsid w:val="00077E0F"/>
    <w:rsid w:val="00080318"/>
    <w:rsid w:val="0008053A"/>
    <w:rsid w:val="00080A9C"/>
    <w:rsid w:val="00080C7B"/>
    <w:rsid w:val="00081AF1"/>
    <w:rsid w:val="00081CCD"/>
    <w:rsid w:val="00081E18"/>
    <w:rsid w:val="0008235E"/>
    <w:rsid w:val="00082CCF"/>
    <w:rsid w:val="00084077"/>
    <w:rsid w:val="00084532"/>
    <w:rsid w:val="00084744"/>
    <w:rsid w:val="00084E23"/>
    <w:rsid w:val="00085935"/>
    <w:rsid w:val="000867A0"/>
    <w:rsid w:val="00087220"/>
    <w:rsid w:val="00087225"/>
    <w:rsid w:val="000902B5"/>
    <w:rsid w:val="000904C5"/>
    <w:rsid w:val="00090BAB"/>
    <w:rsid w:val="00090EC2"/>
    <w:rsid w:val="0009178B"/>
    <w:rsid w:val="00092027"/>
    <w:rsid w:val="0009203B"/>
    <w:rsid w:val="0009203D"/>
    <w:rsid w:val="000934E0"/>
    <w:rsid w:val="000942F1"/>
    <w:rsid w:val="000947BE"/>
    <w:rsid w:val="000948D6"/>
    <w:rsid w:val="0009552A"/>
    <w:rsid w:val="00095CF1"/>
    <w:rsid w:val="00096004"/>
    <w:rsid w:val="00096672"/>
    <w:rsid w:val="00096C96"/>
    <w:rsid w:val="000973EE"/>
    <w:rsid w:val="00097B19"/>
    <w:rsid w:val="000A0145"/>
    <w:rsid w:val="000A0389"/>
    <w:rsid w:val="000A12BA"/>
    <w:rsid w:val="000A130A"/>
    <w:rsid w:val="000A2379"/>
    <w:rsid w:val="000A2754"/>
    <w:rsid w:val="000A2F01"/>
    <w:rsid w:val="000A3B0D"/>
    <w:rsid w:val="000A55AE"/>
    <w:rsid w:val="000A560C"/>
    <w:rsid w:val="000A5A94"/>
    <w:rsid w:val="000A5DAF"/>
    <w:rsid w:val="000A5E35"/>
    <w:rsid w:val="000A5F1E"/>
    <w:rsid w:val="000A64AA"/>
    <w:rsid w:val="000A70CC"/>
    <w:rsid w:val="000A7B8A"/>
    <w:rsid w:val="000B0A79"/>
    <w:rsid w:val="000B0BCA"/>
    <w:rsid w:val="000B1243"/>
    <w:rsid w:val="000B1639"/>
    <w:rsid w:val="000B1B5E"/>
    <w:rsid w:val="000B253D"/>
    <w:rsid w:val="000B284F"/>
    <w:rsid w:val="000B2A84"/>
    <w:rsid w:val="000B2FAC"/>
    <w:rsid w:val="000B3177"/>
    <w:rsid w:val="000B3501"/>
    <w:rsid w:val="000B403C"/>
    <w:rsid w:val="000B40AE"/>
    <w:rsid w:val="000B440C"/>
    <w:rsid w:val="000B6243"/>
    <w:rsid w:val="000B7241"/>
    <w:rsid w:val="000C179B"/>
    <w:rsid w:val="000C18EF"/>
    <w:rsid w:val="000C1CB9"/>
    <w:rsid w:val="000C1CE4"/>
    <w:rsid w:val="000C2A9F"/>
    <w:rsid w:val="000C2FCD"/>
    <w:rsid w:val="000C32B4"/>
    <w:rsid w:val="000C3621"/>
    <w:rsid w:val="000C3BBF"/>
    <w:rsid w:val="000C3CDA"/>
    <w:rsid w:val="000C4410"/>
    <w:rsid w:val="000C46E1"/>
    <w:rsid w:val="000C481D"/>
    <w:rsid w:val="000C5120"/>
    <w:rsid w:val="000C5255"/>
    <w:rsid w:val="000C5486"/>
    <w:rsid w:val="000C557B"/>
    <w:rsid w:val="000C5B0C"/>
    <w:rsid w:val="000C5D33"/>
    <w:rsid w:val="000C60AD"/>
    <w:rsid w:val="000C7009"/>
    <w:rsid w:val="000D10F1"/>
    <w:rsid w:val="000D2EEA"/>
    <w:rsid w:val="000D3B78"/>
    <w:rsid w:val="000D62D4"/>
    <w:rsid w:val="000D68A7"/>
    <w:rsid w:val="000D78B0"/>
    <w:rsid w:val="000D7B81"/>
    <w:rsid w:val="000E0679"/>
    <w:rsid w:val="000E1586"/>
    <w:rsid w:val="000E22A8"/>
    <w:rsid w:val="000E2318"/>
    <w:rsid w:val="000E2560"/>
    <w:rsid w:val="000E2683"/>
    <w:rsid w:val="000E34D8"/>
    <w:rsid w:val="000E4027"/>
    <w:rsid w:val="000E4213"/>
    <w:rsid w:val="000E5865"/>
    <w:rsid w:val="000E590D"/>
    <w:rsid w:val="000E6113"/>
    <w:rsid w:val="000E6335"/>
    <w:rsid w:val="000E6395"/>
    <w:rsid w:val="000E667E"/>
    <w:rsid w:val="000E6B0B"/>
    <w:rsid w:val="000E6FF9"/>
    <w:rsid w:val="000E7789"/>
    <w:rsid w:val="000E79B2"/>
    <w:rsid w:val="000F00E0"/>
    <w:rsid w:val="000F029C"/>
    <w:rsid w:val="000F0486"/>
    <w:rsid w:val="000F090E"/>
    <w:rsid w:val="000F11BC"/>
    <w:rsid w:val="000F1E9E"/>
    <w:rsid w:val="000F2BFE"/>
    <w:rsid w:val="000F2CE0"/>
    <w:rsid w:val="000F3C62"/>
    <w:rsid w:val="000F4150"/>
    <w:rsid w:val="000F4177"/>
    <w:rsid w:val="000F422C"/>
    <w:rsid w:val="000F42CB"/>
    <w:rsid w:val="000F46F5"/>
    <w:rsid w:val="000F4AB7"/>
    <w:rsid w:val="000F64DA"/>
    <w:rsid w:val="000F67A1"/>
    <w:rsid w:val="001000BE"/>
    <w:rsid w:val="00100D55"/>
    <w:rsid w:val="00101FDA"/>
    <w:rsid w:val="00102D9D"/>
    <w:rsid w:val="00103306"/>
    <w:rsid w:val="001033A6"/>
    <w:rsid w:val="00103F91"/>
    <w:rsid w:val="00105780"/>
    <w:rsid w:val="00105990"/>
    <w:rsid w:val="00105ADA"/>
    <w:rsid w:val="001072D6"/>
    <w:rsid w:val="001111B1"/>
    <w:rsid w:val="0011145F"/>
    <w:rsid w:val="001118A5"/>
    <w:rsid w:val="001120DC"/>
    <w:rsid w:val="00112325"/>
    <w:rsid w:val="001129DD"/>
    <w:rsid w:val="00113692"/>
    <w:rsid w:val="00113EFD"/>
    <w:rsid w:val="00114466"/>
    <w:rsid w:val="00114B7D"/>
    <w:rsid w:val="00114FD9"/>
    <w:rsid w:val="00115EF3"/>
    <w:rsid w:val="00116CDC"/>
    <w:rsid w:val="0011755F"/>
    <w:rsid w:val="00117E14"/>
    <w:rsid w:val="001201EC"/>
    <w:rsid w:val="00120A54"/>
    <w:rsid w:val="00120AD5"/>
    <w:rsid w:val="00120D59"/>
    <w:rsid w:val="0012208E"/>
    <w:rsid w:val="00122116"/>
    <w:rsid w:val="00122978"/>
    <w:rsid w:val="00124B58"/>
    <w:rsid w:val="00126608"/>
    <w:rsid w:val="00126C28"/>
    <w:rsid w:val="00126D24"/>
    <w:rsid w:val="00126EDF"/>
    <w:rsid w:val="001272A6"/>
    <w:rsid w:val="00130119"/>
    <w:rsid w:val="00130B62"/>
    <w:rsid w:val="00131456"/>
    <w:rsid w:val="00133548"/>
    <w:rsid w:val="00133605"/>
    <w:rsid w:val="001337A6"/>
    <w:rsid w:val="00133ACD"/>
    <w:rsid w:val="0013448D"/>
    <w:rsid w:val="00134C0A"/>
    <w:rsid w:val="00134D6E"/>
    <w:rsid w:val="0013591F"/>
    <w:rsid w:val="001369C7"/>
    <w:rsid w:val="0013714C"/>
    <w:rsid w:val="001372E5"/>
    <w:rsid w:val="00137498"/>
    <w:rsid w:val="00137906"/>
    <w:rsid w:val="00137C9F"/>
    <w:rsid w:val="00137FDF"/>
    <w:rsid w:val="00140027"/>
    <w:rsid w:val="001400E7"/>
    <w:rsid w:val="001407E7"/>
    <w:rsid w:val="001408AC"/>
    <w:rsid w:val="00140C56"/>
    <w:rsid w:val="00141CA9"/>
    <w:rsid w:val="00142EE7"/>
    <w:rsid w:val="001441C2"/>
    <w:rsid w:val="00145D05"/>
    <w:rsid w:val="00146210"/>
    <w:rsid w:val="0014635F"/>
    <w:rsid w:val="001464F3"/>
    <w:rsid w:val="001469E1"/>
    <w:rsid w:val="00146CC2"/>
    <w:rsid w:val="00151062"/>
    <w:rsid w:val="001514CE"/>
    <w:rsid w:val="001527C3"/>
    <w:rsid w:val="00152FAD"/>
    <w:rsid w:val="00153206"/>
    <w:rsid w:val="00153676"/>
    <w:rsid w:val="00154969"/>
    <w:rsid w:val="00154D1B"/>
    <w:rsid w:val="00155533"/>
    <w:rsid w:val="00156247"/>
    <w:rsid w:val="001574BA"/>
    <w:rsid w:val="001579FC"/>
    <w:rsid w:val="00157C20"/>
    <w:rsid w:val="00160344"/>
    <w:rsid w:val="00160C6F"/>
    <w:rsid w:val="00161EAF"/>
    <w:rsid w:val="00162C4A"/>
    <w:rsid w:val="0016320E"/>
    <w:rsid w:val="00163D8D"/>
    <w:rsid w:val="00164A82"/>
    <w:rsid w:val="001653E2"/>
    <w:rsid w:val="00167EE1"/>
    <w:rsid w:val="001700F9"/>
    <w:rsid w:val="00171554"/>
    <w:rsid w:val="00171D23"/>
    <w:rsid w:val="001723AF"/>
    <w:rsid w:val="00173222"/>
    <w:rsid w:val="001733CB"/>
    <w:rsid w:val="00173EF9"/>
    <w:rsid w:val="00174435"/>
    <w:rsid w:val="0017445B"/>
    <w:rsid w:val="00176CA9"/>
    <w:rsid w:val="001772D3"/>
    <w:rsid w:val="00180D9D"/>
    <w:rsid w:val="00181322"/>
    <w:rsid w:val="0018166F"/>
    <w:rsid w:val="0018180D"/>
    <w:rsid w:val="00181D2A"/>
    <w:rsid w:val="00181F2F"/>
    <w:rsid w:val="0018279A"/>
    <w:rsid w:val="001838C0"/>
    <w:rsid w:val="00183F8D"/>
    <w:rsid w:val="001844FE"/>
    <w:rsid w:val="00185251"/>
    <w:rsid w:val="00185293"/>
    <w:rsid w:val="00185B3C"/>
    <w:rsid w:val="00185C75"/>
    <w:rsid w:val="00186041"/>
    <w:rsid w:val="00186075"/>
    <w:rsid w:val="001874B6"/>
    <w:rsid w:val="0019183C"/>
    <w:rsid w:val="00192EA0"/>
    <w:rsid w:val="00193CDB"/>
    <w:rsid w:val="00193F3A"/>
    <w:rsid w:val="0019475B"/>
    <w:rsid w:val="00194A6C"/>
    <w:rsid w:val="00195839"/>
    <w:rsid w:val="001965C1"/>
    <w:rsid w:val="00196EE4"/>
    <w:rsid w:val="0019724A"/>
    <w:rsid w:val="00197E62"/>
    <w:rsid w:val="001A0148"/>
    <w:rsid w:val="001A186A"/>
    <w:rsid w:val="001A263A"/>
    <w:rsid w:val="001A2803"/>
    <w:rsid w:val="001A303A"/>
    <w:rsid w:val="001A30B0"/>
    <w:rsid w:val="001A318F"/>
    <w:rsid w:val="001A3A85"/>
    <w:rsid w:val="001A3D9E"/>
    <w:rsid w:val="001A4574"/>
    <w:rsid w:val="001A5AD8"/>
    <w:rsid w:val="001A6126"/>
    <w:rsid w:val="001A63BD"/>
    <w:rsid w:val="001A6A5A"/>
    <w:rsid w:val="001A7A73"/>
    <w:rsid w:val="001A7A8E"/>
    <w:rsid w:val="001A7DA5"/>
    <w:rsid w:val="001B143A"/>
    <w:rsid w:val="001B1C8C"/>
    <w:rsid w:val="001B1EA8"/>
    <w:rsid w:val="001B26C3"/>
    <w:rsid w:val="001B3507"/>
    <w:rsid w:val="001B394E"/>
    <w:rsid w:val="001B49E2"/>
    <w:rsid w:val="001B4F70"/>
    <w:rsid w:val="001B62DB"/>
    <w:rsid w:val="001B63B9"/>
    <w:rsid w:val="001B6429"/>
    <w:rsid w:val="001B790C"/>
    <w:rsid w:val="001C0022"/>
    <w:rsid w:val="001C0394"/>
    <w:rsid w:val="001C0764"/>
    <w:rsid w:val="001C0A28"/>
    <w:rsid w:val="001C0C87"/>
    <w:rsid w:val="001C1874"/>
    <w:rsid w:val="001C1DD4"/>
    <w:rsid w:val="001C1E3A"/>
    <w:rsid w:val="001C2355"/>
    <w:rsid w:val="001C26F0"/>
    <w:rsid w:val="001C3527"/>
    <w:rsid w:val="001C43BE"/>
    <w:rsid w:val="001C4EF2"/>
    <w:rsid w:val="001C54C8"/>
    <w:rsid w:val="001C6297"/>
    <w:rsid w:val="001C6674"/>
    <w:rsid w:val="001C7A60"/>
    <w:rsid w:val="001C7E58"/>
    <w:rsid w:val="001D0056"/>
    <w:rsid w:val="001D0E82"/>
    <w:rsid w:val="001D152D"/>
    <w:rsid w:val="001D346A"/>
    <w:rsid w:val="001D53FB"/>
    <w:rsid w:val="001D5447"/>
    <w:rsid w:val="001D5D89"/>
    <w:rsid w:val="001D6063"/>
    <w:rsid w:val="001D6ABE"/>
    <w:rsid w:val="001D6AC9"/>
    <w:rsid w:val="001D7478"/>
    <w:rsid w:val="001D77E0"/>
    <w:rsid w:val="001D7A9B"/>
    <w:rsid w:val="001D7B06"/>
    <w:rsid w:val="001E058C"/>
    <w:rsid w:val="001E12A4"/>
    <w:rsid w:val="001E186F"/>
    <w:rsid w:val="001E1B35"/>
    <w:rsid w:val="001E20F0"/>
    <w:rsid w:val="001E21B9"/>
    <w:rsid w:val="001E3598"/>
    <w:rsid w:val="001E35BC"/>
    <w:rsid w:val="001E3E6E"/>
    <w:rsid w:val="001E49D6"/>
    <w:rsid w:val="001E4D46"/>
    <w:rsid w:val="001E4DD4"/>
    <w:rsid w:val="001E5262"/>
    <w:rsid w:val="001E5D99"/>
    <w:rsid w:val="001E627D"/>
    <w:rsid w:val="001E635A"/>
    <w:rsid w:val="001E65C1"/>
    <w:rsid w:val="001E6710"/>
    <w:rsid w:val="001E6AFD"/>
    <w:rsid w:val="001E6F01"/>
    <w:rsid w:val="001F096E"/>
    <w:rsid w:val="001F0C0F"/>
    <w:rsid w:val="001F1BC2"/>
    <w:rsid w:val="001F2458"/>
    <w:rsid w:val="001F2C94"/>
    <w:rsid w:val="001F3236"/>
    <w:rsid w:val="001F3594"/>
    <w:rsid w:val="001F3FB1"/>
    <w:rsid w:val="001F4245"/>
    <w:rsid w:val="001F424D"/>
    <w:rsid w:val="002013C1"/>
    <w:rsid w:val="00202571"/>
    <w:rsid w:val="002037F4"/>
    <w:rsid w:val="002038AA"/>
    <w:rsid w:val="00203F9E"/>
    <w:rsid w:val="00204308"/>
    <w:rsid w:val="002058E6"/>
    <w:rsid w:val="00205A43"/>
    <w:rsid w:val="00205B83"/>
    <w:rsid w:val="00206986"/>
    <w:rsid w:val="00207062"/>
    <w:rsid w:val="00207207"/>
    <w:rsid w:val="00207794"/>
    <w:rsid w:val="00207B35"/>
    <w:rsid w:val="0021008D"/>
    <w:rsid w:val="00210770"/>
    <w:rsid w:val="002118BD"/>
    <w:rsid w:val="00212CD6"/>
    <w:rsid w:val="002132C3"/>
    <w:rsid w:val="00213BC1"/>
    <w:rsid w:val="0021504F"/>
    <w:rsid w:val="00215984"/>
    <w:rsid w:val="00215C67"/>
    <w:rsid w:val="00216328"/>
    <w:rsid w:val="002164B0"/>
    <w:rsid w:val="0021668A"/>
    <w:rsid w:val="002170FF"/>
    <w:rsid w:val="00220962"/>
    <w:rsid w:val="00220DDD"/>
    <w:rsid w:val="00221836"/>
    <w:rsid w:val="002219DD"/>
    <w:rsid w:val="00222116"/>
    <w:rsid w:val="00223103"/>
    <w:rsid w:val="0022314E"/>
    <w:rsid w:val="00223651"/>
    <w:rsid w:val="00224EA5"/>
    <w:rsid w:val="00225DF9"/>
    <w:rsid w:val="00226F43"/>
    <w:rsid w:val="0023027B"/>
    <w:rsid w:val="00230975"/>
    <w:rsid w:val="00230C36"/>
    <w:rsid w:val="00230DC8"/>
    <w:rsid w:val="002310A7"/>
    <w:rsid w:val="002314CA"/>
    <w:rsid w:val="002321F3"/>
    <w:rsid w:val="00232F52"/>
    <w:rsid w:val="0023350E"/>
    <w:rsid w:val="0023497F"/>
    <w:rsid w:val="00234A6C"/>
    <w:rsid w:val="00234C4D"/>
    <w:rsid w:val="002356D7"/>
    <w:rsid w:val="002358FD"/>
    <w:rsid w:val="00235A55"/>
    <w:rsid w:val="00236184"/>
    <w:rsid w:val="00236465"/>
    <w:rsid w:val="0023701C"/>
    <w:rsid w:val="002370AA"/>
    <w:rsid w:val="0023790B"/>
    <w:rsid w:val="00237AB8"/>
    <w:rsid w:val="00237D1D"/>
    <w:rsid w:val="002407DC"/>
    <w:rsid w:val="00242938"/>
    <w:rsid w:val="00242A0E"/>
    <w:rsid w:val="002436CD"/>
    <w:rsid w:val="00243D91"/>
    <w:rsid w:val="00243EAB"/>
    <w:rsid w:val="00244106"/>
    <w:rsid w:val="00244FAA"/>
    <w:rsid w:val="002453C0"/>
    <w:rsid w:val="0024585E"/>
    <w:rsid w:val="00246AC8"/>
    <w:rsid w:val="00246AD4"/>
    <w:rsid w:val="00247443"/>
    <w:rsid w:val="00247A7E"/>
    <w:rsid w:val="00250085"/>
    <w:rsid w:val="00250E0F"/>
    <w:rsid w:val="00251328"/>
    <w:rsid w:val="002516EB"/>
    <w:rsid w:val="00251909"/>
    <w:rsid w:val="0025250A"/>
    <w:rsid w:val="002529F9"/>
    <w:rsid w:val="00252BD6"/>
    <w:rsid w:val="00252DF5"/>
    <w:rsid w:val="002533C4"/>
    <w:rsid w:val="002534DC"/>
    <w:rsid w:val="00253B23"/>
    <w:rsid w:val="00254A4F"/>
    <w:rsid w:val="002550E9"/>
    <w:rsid w:val="0025520B"/>
    <w:rsid w:val="00256727"/>
    <w:rsid w:val="0025685F"/>
    <w:rsid w:val="002570E4"/>
    <w:rsid w:val="002571AB"/>
    <w:rsid w:val="00260637"/>
    <w:rsid w:val="00260F43"/>
    <w:rsid w:val="00261629"/>
    <w:rsid w:val="00261EE1"/>
    <w:rsid w:val="00261F55"/>
    <w:rsid w:val="002626E6"/>
    <w:rsid w:val="00262D38"/>
    <w:rsid w:val="00262DEF"/>
    <w:rsid w:val="0026407D"/>
    <w:rsid w:val="002641E7"/>
    <w:rsid w:val="00265DA6"/>
    <w:rsid w:val="00267EA6"/>
    <w:rsid w:val="002714BB"/>
    <w:rsid w:val="0027173B"/>
    <w:rsid w:val="00271749"/>
    <w:rsid w:val="00272615"/>
    <w:rsid w:val="002729BF"/>
    <w:rsid w:val="002733E2"/>
    <w:rsid w:val="00273570"/>
    <w:rsid w:val="00273FD7"/>
    <w:rsid w:val="0027494D"/>
    <w:rsid w:val="00274ABD"/>
    <w:rsid w:val="002765B4"/>
    <w:rsid w:val="00276B26"/>
    <w:rsid w:val="0027745F"/>
    <w:rsid w:val="0028102F"/>
    <w:rsid w:val="002822DC"/>
    <w:rsid w:val="002824FB"/>
    <w:rsid w:val="002831A5"/>
    <w:rsid w:val="00283683"/>
    <w:rsid w:val="00284310"/>
    <w:rsid w:val="002848A2"/>
    <w:rsid w:val="002849D7"/>
    <w:rsid w:val="00285CB2"/>
    <w:rsid w:val="00286040"/>
    <w:rsid w:val="00286C6D"/>
    <w:rsid w:val="0029109B"/>
    <w:rsid w:val="002911FB"/>
    <w:rsid w:val="00294A56"/>
    <w:rsid w:val="002952C1"/>
    <w:rsid w:val="00295943"/>
    <w:rsid w:val="002960D4"/>
    <w:rsid w:val="00297882"/>
    <w:rsid w:val="002A1892"/>
    <w:rsid w:val="002A3672"/>
    <w:rsid w:val="002A3CB6"/>
    <w:rsid w:val="002A4C0C"/>
    <w:rsid w:val="002A5330"/>
    <w:rsid w:val="002A5CCE"/>
    <w:rsid w:val="002A6229"/>
    <w:rsid w:val="002A634D"/>
    <w:rsid w:val="002A66EE"/>
    <w:rsid w:val="002A745F"/>
    <w:rsid w:val="002A7490"/>
    <w:rsid w:val="002A7F7D"/>
    <w:rsid w:val="002B01BF"/>
    <w:rsid w:val="002B0891"/>
    <w:rsid w:val="002B1990"/>
    <w:rsid w:val="002B23B6"/>
    <w:rsid w:val="002B2A95"/>
    <w:rsid w:val="002B3A44"/>
    <w:rsid w:val="002B3D03"/>
    <w:rsid w:val="002B48CC"/>
    <w:rsid w:val="002B5CA0"/>
    <w:rsid w:val="002B62DA"/>
    <w:rsid w:val="002B6FB4"/>
    <w:rsid w:val="002B7D92"/>
    <w:rsid w:val="002C06CA"/>
    <w:rsid w:val="002C1358"/>
    <w:rsid w:val="002C1B15"/>
    <w:rsid w:val="002C1BF9"/>
    <w:rsid w:val="002C2197"/>
    <w:rsid w:val="002C2579"/>
    <w:rsid w:val="002C28C9"/>
    <w:rsid w:val="002C2DE1"/>
    <w:rsid w:val="002C3118"/>
    <w:rsid w:val="002C3B6D"/>
    <w:rsid w:val="002C3EAC"/>
    <w:rsid w:val="002C41FE"/>
    <w:rsid w:val="002C4756"/>
    <w:rsid w:val="002C4A50"/>
    <w:rsid w:val="002C4E2F"/>
    <w:rsid w:val="002C54BB"/>
    <w:rsid w:val="002C7465"/>
    <w:rsid w:val="002C7D12"/>
    <w:rsid w:val="002D0821"/>
    <w:rsid w:val="002D0E13"/>
    <w:rsid w:val="002D1733"/>
    <w:rsid w:val="002D19FA"/>
    <w:rsid w:val="002D21A9"/>
    <w:rsid w:val="002D253C"/>
    <w:rsid w:val="002D3AA8"/>
    <w:rsid w:val="002D3C82"/>
    <w:rsid w:val="002D4B1B"/>
    <w:rsid w:val="002D54AF"/>
    <w:rsid w:val="002D55AE"/>
    <w:rsid w:val="002D5BA9"/>
    <w:rsid w:val="002D5DF3"/>
    <w:rsid w:val="002D6520"/>
    <w:rsid w:val="002D6DB9"/>
    <w:rsid w:val="002D6E08"/>
    <w:rsid w:val="002E19C7"/>
    <w:rsid w:val="002E1C5F"/>
    <w:rsid w:val="002E25DC"/>
    <w:rsid w:val="002E320A"/>
    <w:rsid w:val="002E32A4"/>
    <w:rsid w:val="002E3596"/>
    <w:rsid w:val="002E3B44"/>
    <w:rsid w:val="002E53E5"/>
    <w:rsid w:val="002E569E"/>
    <w:rsid w:val="002E5D15"/>
    <w:rsid w:val="002E6B3E"/>
    <w:rsid w:val="002E7380"/>
    <w:rsid w:val="002F0DE7"/>
    <w:rsid w:val="002F0E5E"/>
    <w:rsid w:val="002F0FC4"/>
    <w:rsid w:val="002F11B8"/>
    <w:rsid w:val="002F1555"/>
    <w:rsid w:val="002F2062"/>
    <w:rsid w:val="002F3FB2"/>
    <w:rsid w:val="002F439F"/>
    <w:rsid w:val="002F49F6"/>
    <w:rsid w:val="002F5068"/>
    <w:rsid w:val="002F513C"/>
    <w:rsid w:val="002F5A84"/>
    <w:rsid w:val="002F5AF5"/>
    <w:rsid w:val="002F61D3"/>
    <w:rsid w:val="002F6EEC"/>
    <w:rsid w:val="002F749A"/>
    <w:rsid w:val="00300097"/>
    <w:rsid w:val="00301867"/>
    <w:rsid w:val="003025C5"/>
    <w:rsid w:val="003027BF"/>
    <w:rsid w:val="0030324F"/>
    <w:rsid w:val="00303324"/>
    <w:rsid w:val="0030396A"/>
    <w:rsid w:val="003044D6"/>
    <w:rsid w:val="00304AA1"/>
    <w:rsid w:val="00304E2A"/>
    <w:rsid w:val="00305682"/>
    <w:rsid w:val="00305A5B"/>
    <w:rsid w:val="00305AE4"/>
    <w:rsid w:val="00305E8D"/>
    <w:rsid w:val="003069F1"/>
    <w:rsid w:val="003106D1"/>
    <w:rsid w:val="00311098"/>
    <w:rsid w:val="0031166D"/>
    <w:rsid w:val="00311ECE"/>
    <w:rsid w:val="00312322"/>
    <w:rsid w:val="003128F6"/>
    <w:rsid w:val="003133DB"/>
    <w:rsid w:val="003135CB"/>
    <w:rsid w:val="00313859"/>
    <w:rsid w:val="00313A0A"/>
    <w:rsid w:val="0031439B"/>
    <w:rsid w:val="003147BB"/>
    <w:rsid w:val="00314D92"/>
    <w:rsid w:val="00314F15"/>
    <w:rsid w:val="0031553F"/>
    <w:rsid w:val="00316404"/>
    <w:rsid w:val="00316B93"/>
    <w:rsid w:val="00317622"/>
    <w:rsid w:val="00320305"/>
    <w:rsid w:val="00321165"/>
    <w:rsid w:val="00321386"/>
    <w:rsid w:val="0032161E"/>
    <w:rsid w:val="00321668"/>
    <w:rsid w:val="003222C0"/>
    <w:rsid w:val="00322769"/>
    <w:rsid w:val="00323752"/>
    <w:rsid w:val="00324233"/>
    <w:rsid w:val="003259A3"/>
    <w:rsid w:val="003259D7"/>
    <w:rsid w:val="00325B85"/>
    <w:rsid w:val="00330C5C"/>
    <w:rsid w:val="0033125E"/>
    <w:rsid w:val="0033228E"/>
    <w:rsid w:val="003324A5"/>
    <w:rsid w:val="003331C5"/>
    <w:rsid w:val="003332AA"/>
    <w:rsid w:val="0033369A"/>
    <w:rsid w:val="003339A0"/>
    <w:rsid w:val="00333B6E"/>
    <w:rsid w:val="00335230"/>
    <w:rsid w:val="00335450"/>
    <w:rsid w:val="00336015"/>
    <w:rsid w:val="003360F9"/>
    <w:rsid w:val="0033626B"/>
    <w:rsid w:val="003362DD"/>
    <w:rsid w:val="00336D49"/>
    <w:rsid w:val="003400E5"/>
    <w:rsid w:val="00340560"/>
    <w:rsid w:val="00340923"/>
    <w:rsid w:val="00340E12"/>
    <w:rsid w:val="003412B6"/>
    <w:rsid w:val="003425E2"/>
    <w:rsid w:val="003433CF"/>
    <w:rsid w:val="00343956"/>
    <w:rsid w:val="00343D59"/>
    <w:rsid w:val="00343D83"/>
    <w:rsid w:val="00343F50"/>
    <w:rsid w:val="003445F0"/>
    <w:rsid w:val="00344709"/>
    <w:rsid w:val="00344E96"/>
    <w:rsid w:val="00345088"/>
    <w:rsid w:val="0034599A"/>
    <w:rsid w:val="00346800"/>
    <w:rsid w:val="00346B69"/>
    <w:rsid w:val="00346DC9"/>
    <w:rsid w:val="00347897"/>
    <w:rsid w:val="00347BD1"/>
    <w:rsid w:val="0035044D"/>
    <w:rsid w:val="0035122A"/>
    <w:rsid w:val="00351672"/>
    <w:rsid w:val="0035350F"/>
    <w:rsid w:val="00354C6A"/>
    <w:rsid w:val="00355610"/>
    <w:rsid w:val="003565C0"/>
    <w:rsid w:val="00356F99"/>
    <w:rsid w:val="00357703"/>
    <w:rsid w:val="00357A30"/>
    <w:rsid w:val="003601E8"/>
    <w:rsid w:val="0036062B"/>
    <w:rsid w:val="003609E5"/>
    <w:rsid w:val="003612DA"/>
    <w:rsid w:val="00361641"/>
    <w:rsid w:val="003619E3"/>
    <w:rsid w:val="00362A34"/>
    <w:rsid w:val="0036439F"/>
    <w:rsid w:val="00364FE0"/>
    <w:rsid w:val="00366CAD"/>
    <w:rsid w:val="00366CD9"/>
    <w:rsid w:val="003678EB"/>
    <w:rsid w:val="00367F46"/>
    <w:rsid w:val="0037089C"/>
    <w:rsid w:val="00371510"/>
    <w:rsid w:val="00371D87"/>
    <w:rsid w:val="003722CB"/>
    <w:rsid w:val="00372A89"/>
    <w:rsid w:val="003730F9"/>
    <w:rsid w:val="00373662"/>
    <w:rsid w:val="00375695"/>
    <w:rsid w:val="0037581A"/>
    <w:rsid w:val="003761BA"/>
    <w:rsid w:val="00376215"/>
    <w:rsid w:val="003763C4"/>
    <w:rsid w:val="003764D3"/>
    <w:rsid w:val="0037700B"/>
    <w:rsid w:val="00377AFE"/>
    <w:rsid w:val="00377CF3"/>
    <w:rsid w:val="00380B35"/>
    <w:rsid w:val="00380BA3"/>
    <w:rsid w:val="00382495"/>
    <w:rsid w:val="00383FF5"/>
    <w:rsid w:val="00384F6D"/>
    <w:rsid w:val="0038536F"/>
    <w:rsid w:val="0038636F"/>
    <w:rsid w:val="00386897"/>
    <w:rsid w:val="00386F55"/>
    <w:rsid w:val="00387BB5"/>
    <w:rsid w:val="00387F88"/>
    <w:rsid w:val="00390912"/>
    <w:rsid w:val="00392CC2"/>
    <w:rsid w:val="00392CE3"/>
    <w:rsid w:val="003937D5"/>
    <w:rsid w:val="00394739"/>
    <w:rsid w:val="00394C18"/>
    <w:rsid w:val="00395C00"/>
    <w:rsid w:val="00396494"/>
    <w:rsid w:val="00396E8D"/>
    <w:rsid w:val="003A02B6"/>
    <w:rsid w:val="003A12B5"/>
    <w:rsid w:val="003A1308"/>
    <w:rsid w:val="003A1751"/>
    <w:rsid w:val="003A2443"/>
    <w:rsid w:val="003A2AF6"/>
    <w:rsid w:val="003A2B8A"/>
    <w:rsid w:val="003A321F"/>
    <w:rsid w:val="003A44D8"/>
    <w:rsid w:val="003A4ADA"/>
    <w:rsid w:val="003A5441"/>
    <w:rsid w:val="003A6566"/>
    <w:rsid w:val="003A6D48"/>
    <w:rsid w:val="003A7010"/>
    <w:rsid w:val="003A767D"/>
    <w:rsid w:val="003B07F6"/>
    <w:rsid w:val="003B1351"/>
    <w:rsid w:val="003B18FF"/>
    <w:rsid w:val="003B1921"/>
    <w:rsid w:val="003B22F2"/>
    <w:rsid w:val="003B435C"/>
    <w:rsid w:val="003B492E"/>
    <w:rsid w:val="003B502C"/>
    <w:rsid w:val="003B5277"/>
    <w:rsid w:val="003B5851"/>
    <w:rsid w:val="003B69A8"/>
    <w:rsid w:val="003B6A7A"/>
    <w:rsid w:val="003B6D53"/>
    <w:rsid w:val="003B6EE0"/>
    <w:rsid w:val="003B70C8"/>
    <w:rsid w:val="003C0141"/>
    <w:rsid w:val="003C136D"/>
    <w:rsid w:val="003C185A"/>
    <w:rsid w:val="003C1877"/>
    <w:rsid w:val="003C260B"/>
    <w:rsid w:val="003C3318"/>
    <w:rsid w:val="003C3B2E"/>
    <w:rsid w:val="003C3E77"/>
    <w:rsid w:val="003C43FB"/>
    <w:rsid w:val="003C5032"/>
    <w:rsid w:val="003C57B0"/>
    <w:rsid w:val="003C61A8"/>
    <w:rsid w:val="003C63B2"/>
    <w:rsid w:val="003D0476"/>
    <w:rsid w:val="003D0DA0"/>
    <w:rsid w:val="003D18D8"/>
    <w:rsid w:val="003D2241"/>
    <w:rsid w:val="003D3C1A"/>
    <w:rsid w:val="003D49B9"/>
    <w:rsid w:val="003D5206"/>
    <w:rsid w:val="003D59F1"/>
    <w:rsid w:val="003D5B4C"/>
    <w:rsid w:val="003D645F"/>
    <w:rsid w:val="003D6516"/>
    <w:rsid w:val="003D68EB"/>
    <w:rsid w:val="003D6DFE"/>
    <w:rsid w:val="003D7B41"/>
    <w:rsid w:val="003E00CF"/>
    <w:rsid w:val="003E053B"/>
    <w:rsid w:val="003E26C9"/>
    <w:rsid w:val="003E2F64"/>
    <w:rsid w:val="003E2F6C"/>
    <w:rsid w:val="003E33A7"/>
    <w:rsid w:val="003E38E2"/>
    <w:rsid w:val="003E3D51"/>
    <w:rsid w:val="003E40DB"/>
    <w:rsid w:val="003E539A"/>
    <w:rsid w:val="003E549F"/>
    <w:rsid w:val="003E6116"/>
    <w:rsid w:val="003E6E20"/>
    <w:rsid w:val="003E7741"/>
    <w:rsid w:val="003F005D"/>
    <w:rsid w:val="003F0224"/>
    <w:rsid w:val="003F0883"/>
    <w:rsid w:val="003F0A58"/>
    <w:rsid w:val="003F0F18"/>
    <w:rsid w:val="003F107C"/>
    <w:rsid w:val="003F10A5"/>
    <w:rsid w:val="003F1CB3"/>
    <w:rsid w:val="003F1FE6"/>
    <w:rsid w:val="003F2D5C"/>
    <w:rsid w:val="003F36A2"/>
    <w:rsid w:val="003F3C59"/>
    <w:rsid w:val="003F4151"/>
    <w:rsid w:val="003F545A"/>
    <w:rsid w:val="003F6BAF"/>
    <w:rsid w:val="003F7054"/>
    <w:rsid w:val="003F789D"/>
    <w:rsid w:val="003F7AE3"/>
    <w:rsid w:val="003F7B51"/>
    <w:rsid w:val="004004F2"/>
    <w:rsid w:val="0040076C"/>
    <w:rsid w:val="00400F6A"/>
    <w:rsid w:val="0040185B"/>
    <w:rsid w:val="00402481"/>
    <w:rsid w:val="00402C49"/>
    <w:rsid w:val="00403358"/>
    <w:rsid w:val="0040494F"/>
    <w:rsid w:val="00404B32"/>
    <w:rsid w:val="0040657F"/>
    <w:rsid w:val="00406B22"/>
    <w:rsid w:val="00411057"/>
    <w:rsid w:val="00411202"/>
    <w:rsid w:val="004119F6"/>
    <w:rsid w:val="00412F59"/>
    <w:rsid w:val="004135FE"/>
    <w:rsid w:val="004137AE"/>
    <w:rsid w:val="00413FA8"/>
    <w:rsid w:val="00415214"/>
    <w:rsid w:val="0041697C"/>
    <w:rsid w:val="0041715D"/>
    <w:rsid w:val="00417A79"/>
    <w:rsid w:val="00420068"/>
    <w:rsid w:val="004200DB"/>
    <w:rsid w:val="00420FB4"/>
    <w:rsid w:val="00421ED9"/>
    <w:rsid w:val="0042205B"/>
    <w:rsid w:val="0042456B"/>
    <w:rsid w:val="004248C6"/>
    <w:rsid w:val="00424E20"/>
    <w:rsid w:val="00425DA1"/>
    <w:rsid w:val="00425F25"/>
    <w:rsid w:val="004268E2"/>
    <w:rsid w:val="00426DA7"/>
    <w:rsid w:val="004301BD"/>
    <w:rsid w:val="004301CA"/>
    <w:rsid w:val="00430461"/>
    <w:rsid w:val="00430AA9"/>
    <w:rsid w:val="00430BB2"/>
    <w:rsid w:val="00431338"/>
    <w:rsid w:val="00431902"/>
    <w:rsid w:val="00431D96"/>
    <w:rsid w:val="00432585"/>
    <w:rsid w:val="00433428"/>
    <w:rsid w:val="00433E46"/>
    <w:rsid w:val="0043425E"/>
    <w:rsid w:val="004349FD"/>
    <w:rsid w:val="00434D2C"/>
    <w:rsid w:val="0043585A"/>
    <w:rsid w:val="004359B8"/>
    <w:rsid w:val="00436B75"/>
    <w:rsid w:val="00437777"/>
    <w:rsid w:val="004401CF"/>
    <w:rsid w:val="00442376"/>
    <w:rsid w:val="00443707"/>
    <w:rsid w:val="00443B90"/>
    <w:rsid w:val="00444270"/>
    <w:rsid w:val="00444448"/>
    <w:rsid w:val="00445015"/>
    <w:rsid w:val="004461EE"/>
    <w:rsid w:val="00446EC9"/>
    <w:rsid w:val="0045015B"/>
    <w:rsid w:val="004503AE"/>
    <w:rsid w:val="004506A2"/>
    <w:rsid w:val="00450AB2"/>
    <w:rsid w:val="00451FFD"/>
    <w:rsid w:val="00452920"/>
    <w:rsid w:val="00452D64"/>
    <w:rsid w:val="00453D10"/>
    <w:rsid w:val="004544CC"/>
    <w:rsid w:val="004558A7"/>
    <w:rsid w:val="00455D69"/>
    <w:rsid w:val="00455DCD"/>
    <w:rsid w:val="0045629B"/>
    <w:rsid w:val="004565DC"/>
    <w:rsid w:val="004567C5"/>
    <w:rsid w:val="00457686"/>
    <w:rsid w:val="00460E79"/>
    <w:rsid w:val="00461255"/>
    <w:rsid w:val="004613DA"/>
    <w:rsid w:val="00461996"/>
    <w:rsid w:val="00462987"/>
    <w:rsid w:val="00462AFC"/>
    <w:rsid w:val="00463F7A"/>
    <w:rsid w:val="00464193"/>
    <w:rsid w:val="004643CF"/>
    <w:rsid w:val="00465562"/>
    <w:rsid w:val="00466176"/>
    <w:rsid w:val="004661CF"/>
    <w:rsid w:val="004664C8"/>
    <w:rsid w:val="0046694D"/>
    <w:rsid w:val="00466CA1"/>
    <w:rsid w:val="00466DAC"/>
    <w:rsid w:val="004678C6"/>
    <w:rsid w:val="00467B9C"/>
    <w:rsid w:val="0047088B"/>
    <w:rsid w:val="004710C6"/>
    <w:rsid w:val="0047132F"/>
    <w:rsid w:val="00471590"/>
    <w:rsid w:val="00472BBB"/>
    <w:rsid w:val="0047312F"/>
    <w:rsid w:val="004733B2"/>
    <w:rsid w:val="00473920"/>
    <w:rsid w:val="00473B2A"/>
    <w:rsid w:val="00473D0D"/>
    <w:rsid w:val="00474EFF"/>
    <w:rsid w:val="0047529B"/>
    <w:rsid w:val="00475B72"/>
    <w:rsid w:val="0047662B"/>
    <w:rsid w:val="00476CC8"/>
    <w:rsid w:val="0047726E"/>
    <w:rsid w:val="0047768A"/>
    <w:rsid w:val="004778D6"/>
    <w:rsid w:val="00477A0F"/>
    <w:rsid w:val="00477D29"/>
    <w:rsid w:val="0048182F"/>
    <w:rsid w:val="00481A8F"/>
    <w:rsid w:val="00481D99"/>
    <w:rsid w:val="00482B0A"/>
    <w:rsid w:val="00482DD3"/>
    <w:rsid w:val="00483E9D"/>
    <w:rsid w:val="00484783"/>
    <w:rsid w:val="0048537F"/>
    <w:rsid w:val="004855F6"/>
    <w:rsid w:val="0048582A"/>
    <w:rsid w:val="004860C1"/>
    <w:rsid w:val="0048737A"/>
    <w:rsid w:val="00487C4A"/>
    <w:rsid w:val="0049023D"/>
    <w:rsid w:val="004903EC"/>
    <w:rsid w:val="00490AF6"/>
    <w:rsid w:val="00490D21"/>
    <w:rsid w:val="004915BD"/>
    <w:rsid w:val="00491678"/>
    <w:rsid w:val="004917DC"/>
    <w:rsid w:val="0049268E"/>
    <w:rsid w:val="00493CF9"/>
    <w:rsid w:val="004942A3"/>
    <w:rsid w:val="00494993"/>
    <w:rsid w:val="00494D91"/>
    <w:rsid w:val="004954F5"/>
    <w:rsid w:val="00496556"/>
    <w:rsid w:val="00496ED1"/>
    <w:rsid w:val="00497BDA"/>
    <w:rsid w:val="00497E59"/>
    <w:rsid w:val="00497E7A"/>
    <w:rsid w:val="004A016F"/>
    <w:rsid w:val="004A04F3"/>
    <w:rsid w:val="004A0A39"/>
    <w:rsid w:val="004A11FC"/>
    <w:rsid w:val="004A1ADB"/>
    <w:rsid w:val="004A1D88"/>
    <w:rsid w:val="004A2496"/>
    <w:rsid w:val="004A378B"/>
    <w:rsid w:val="004A487D"/>
    <w:rsid w:val="004A4B47"/>
    <w:rsid w:val="004A4C3D"/>
    <w:rsid w:val="004A4C4B"/>
    <w:rsid w:val="004A5556"/>
    <w:rsid w:val="004A56D9"/>
    <w:rsid w:val="004A6DFE"/>
    <w:rsid w:val="004A7629"/>
    <w:rsid w:val="004B03F5"/>
    <w:rsid w:val="004B0530"/>
    <w:rsid w:val="004B0678"/>
    <w:rsid w:val="004B087A"/>
    <w:rsid w:val="004B092C"/>
    <w:rsid w:val="004B0BF6"/>
    <w:rsid w:val="004B1EB3"/>
    <w:rsid w:val="004B21B3"/>
    <w:rsid w:val="004B2718"/>
    <w:rsid w:val="004B359C"/>
    <w:rsid w:val="004B3AD3"/>
    <w:rsid w:val="004B3EF0"/>
    <w:rsid w:val="004B4FB0"/>
    <w:rsid w:val="004B5608"/>
    <w:rsid w:val="004B58A1"/>
    <w:rsid w:val="004B6AA9"/>
    <w:rsid w:val="004B7D83"/>
    <w:rsid w:val="004C0F2C"/>
    <w:rsid w:val="004C29AE"/>
    <w:rsid w:val="004C2D91"/>
    <w:rsid w:val="004C2FAF"/>
    <w:rsid w:val="004C3224"/>
    <w:rsid w:val="004C33B6"/>
    <w:rsid w:val="004C468A"/>
    <w:rsid w:val="004C60DB"/>
    <w:rsid w:val="004C6406"/>
    <w:rsid w:val="004C70E7"/>
    <w:rsid w:val="004C7FB7"/>
    <w:rsid w:val="004D05EE"/>
    <w:rsid w:val="004D0BDF"/>
    <w:rsid w:val="004D1A71"/>
    <w:rsid w:val="004D1F3E"/>
    <w:rsid w:val="004D31ED"/>
    <w:rsid w:val="004D3E32"/>
    <w:rsid w:val="004D4B86"/>
    <w:rsid w:val="004D59F4"/>
    <w:rsid w:val="004D6096"/>
    <w:rsid w:val="004D684D"/>
    <w:rsid w:val="004D761D"/>
    <w:rsid w:val="004E00C9"/>
    <w:rsid w:val="004E0D17"/>
    <w:rsid w:val="004E1019"/>
    <w:rsid w:val="004E1633"/>
    <w:rsid w:val="004E2BE5"/>
    <w:rsid w:val="004E2DC3"/>
    <w:rsid w:val="004E2FF6"/>
    <w:rsid w:val="004E39B8"/>
    <w:rsid w:val="004E3A26"/>
    <w:rsid w:val="004E42FB"/>
    <w:rsid w:val="004E4497"/>
    <w:rsid w:val="004E47F9"/>
    <w:rsid w:val="004E59CB"/>
    <w:rsid w:val="004E5F46"/>
    <w:rsid w:val="004E6625"/>
    <w:rsid w:val="004F0DE6"/>
    <w:rsid w:val="004F2A5A"/>
    <w:rsid w:val="004F371B"/>
    <w:rsid w:val="004F37F8"/>
    <w:rsid w:val="004F39A2"/>
    <w:rsid w:val="004F3F5B"/>
    <w:rsid w:val="004F5026"/>
    <w:rsid w:val="004F5DB6"/>
    <w:rsid w:val="004F64B7"/>
    <w:rsid w:val="004F7142"/>
    <w:rsid w:val="004F7CA0"/>
    <w:rsid w:val="0050074E"/>
    <w:rsid w:val="0050113D"/>
    <w:rsid w:val="0050132F"/>
    <w:rsid w:val="00502E37"/>
    <w:rsid w:val="005052AA"/>
    <w:rsid w:val="005058B1"/>
    <w:rsid w:val="00505A14"/>
    <w:rsid w:val="00505FE1"/>
    <w:rsid w:val="00506153"/>
    <w:rsid w:val="00506934"/>
    <w:rsid w:val="005073B7"/>
    <w:rsid w:val="00507406"/>
    <w:rsid w:val="0051133A"/>
    <w:rsid w:val="00511A0E"/>
    <w:rsid w:val="0051256D"/>
    <w:rsid w:val="005133D6"/>
    <w:rsid w:val="005134DF"/>
    <w:rsid w:val="00513604"/>
    <w:rsid w:val="00513646"/>
    <w:rsid w:val="00513686"/>
    <w:rsid w:val="00513C50"/>
    <w:rsid w:val="00513F64"/>
    <w:rsid w:val="005144A3"/>
    <w:rsid w:val="005154FA"/>
    <w:rsid w:val="00515AEC"/>
    <w:rsid w:val="005166CC"/>
    <w:rsid w:val="0051722F"/>
    <w:rsid w:val="005207ED"/>
    <w:rsid w:val="00520CBB"/>
    <w:rsid w:val="0052151F"/>
    <w:rsid w:val="0052168E"/>
    <w:rsid w:val="00521F60"/>
    <w:rsid w:val="00522084"/>
    <w:rsid w:val="0052395C"/>
    <w:rsid w:val="005240D9"/>
    <w:rsid w:val="00524257"/>
    <w:rsid w:val="005245F8"/>
    <w:rsid w:val="00525F43"/>
    <w:rsid w:val="0052700C"/>
    <w:rsid w:val="00527331"/>
    <w:rsid w:val="00527919"/>
    <w:rsid w:val="00530292"/>
    <w:rsid w:val="00530349"/>
    <w:rsid w:val="005304D6"/>
    <w:rsid w:val="00530E21"/>
    <w:rsid w:val="00531F5C"/>
    <w:rsid w:val="0053261F"/>
    <w:rsid w:val="0053485F"/>
    <w:rsid w:val="005348F6"/>
    <w:rsid w:val="00534D01"/>
    <w:rsid w:val="0053567D"/>
    <w:rsid w:val="0053576E"/>
    <w:rsid w:val="00535BE2"/>
    <w:rsid w:val="00535F96"/>
    <w:rsid w:val="0053667B"/>
    <w:rsid w:val="005370A7"/>
    <w:rsid w:val="00537492"/>
    <w:rsid w:val="00540A56"/>
    <w:rsid w:val="0054134C"/>
    <w:rsid w:val="00541F08"/>
    <w:rsid w:val="00541FEC"/>
    <w:rsid w:val="00541FF2"/>
    <w:rsid w:val="005422E9"/>
    <w:rsid w:val="005428AB"/>
    <w:rsid w:val="0054295F"/>
    <w:rsid w:val="00542A53"/>
    <w:rsid w:val="00543D8E"/>
    <w:rsid w:val="00543F98"/>
    <w:rsid w:val="0054421E"/>
    <w:rsid w:val="0054425A"/>
    <w:rsid w:val="005443EC"/>
    <w:rsid w:val="00544768"/>
    <w:rsid w:val="00544949"/>
    <w:rsid w:val="0054575F"/>
    <w:rsid w:val="005457BE"/>
    <w:rsid w:val="005457C2"/>
    <w:rsid w:val="00546477"/>
    <w:rsid w:val="005469D3"/>
    <w:rsid w:val="00546F30"/>
    <w:rsid w:val="005477CA"/>
    <w:rsid w:val="00547E37"/>
    <w:rsid w:val="005510BB"/>
    <w:rsid w:val="00552376"/>
    <w:rsid w:val="00552CCF"/>
    <w:rsid w:val="00553637"/>
    <w:rsid w:val="005539A0"/>
    <w:rsid w:val="00553A5B"/>
    <w:rsid w:val="00553D65"/>
    <w:rsid w:val="00553DE2"/>
    <w:rsid w:val="005541F6"/>
    <w:rsid w:val="00555AF1"/>
    <w:rsid w:val="0055696D"/>
    <w:rsid w:val="00556991"/>
    <w:rsid w:val="00556AEE"/>
    <w:rsid w:val="00556C53"/>
    <w:rsid w:val="00556FF3"/>
    <w:rsid w:val="00557311"/>
    <w:rsid w:val="00557809"/>
    <w:rsid w:val="00557A30"/>
    <w:rsid w:val="00561A44"/>
    <w:rsid w:val="00561AD1"/>
    <w:rsid w:val="00561B21"/>
    <w:rsid w:val="00561D8E"/>
    <w:rsid w:val="0056239F"/>
    <w:rsid w:val="00562A64"/>
    <w:rsid w:val="00562E41"/>
    <w:rsid w:val="00565D8C"/>
    <w:rsid w:val="00567738"/>
    <w:rsid w:val="0056783F"/>
    <w:rsid w:val="00567B3F"/>
    <w:rsid w:val="0057082F"/>
    <w:rsid w:val="00570909"/>
    <w:rsid w:val="005711E9"/>
    <w:rsid w:val="00571368"/>
    <w:rsid w:val="00571A38"/>
    <w:rsid w:val="00571B7B"/>
    <w:rsid w:val="005724AF"/>
    <w:rsid w:val="005732F0"/>
    <w:rsid w:val="00574817"/>
    <w:rsid w:val="00575EFF"/>
    <w:rsid w:val="005768A3"/>
    <w:rsid w:val="005771E8"/>
    <w:rsid w:val="005774B9"/>
    <w:rsid w:val="00577887"/>
    <w:rsid w:val="00577AAC"/>
    <w:rsid w:val="00577FAC"/>
    <w:rsid w:val="0058017B"/>
    <w:rsid w:val="005804FF"/>
    <w:rsid w:val="005816A7"/>
    <w:rsid w:val="0058171F"/>
    <w:rsid w:val="0058198C"/>
    <w:rsid w:val="00581DF6"/>
    <w:rsid w:val="0058262E"/>
    <w:rsid w:val="00582BB6"/>
    <w:rsid w:val="0058307A"/>
    <w:rsid w:val="005832F6"/>
    <w:rsid w:val="00583393"/>
    <w:rsid w:val="005833CD"/>
    <w:rsid w:val="005834DA"/>
    <w:rsid w:val="0058389C"/>
    <w:rsid w:val="005839E7"/>
    <w:rsid w:val="00583FD3"/>
    <w:rsid w:val="00584460"/>
    <w:rsid w:val="0058447C"/>
    <w:rsid w:val="00584565"/>
    <w:rsid w:val="0058497D"/>
    <w:rsid w:val="00584A7A"/>
    <w:rsid w:val="00584C4B"/>
    <w:rsid w:val="00584F6E"/>
    <w:rsid w:val="00585624"/>
    <w:rsid w:val="00585A2C"/>
    <w:rsid w:val="00585AC7"/>
    <w:rsid w:val="00585EC5"/>
    <w:rsid w:val="00586985"/>
    <w:rsid w:val="0058778C"/>
    <w:rsid w:val="00587C83"/>
    <w:rsid w:val="005902BF"/>
    <w:rsid w:val="00590534"/>
    <w:rsid w:val="00590A38"/>
    <w:rsid w:val="00591386"/>
    <w:rsid w:val="005915F7"/>
    <w:rsid w:val="00591760"/>
    <w:rsid w:val="005918AA"/>
    <w:rsid w:val="005919C9"/>
    <w:rsid w:val="0059243F"/>
    <w:rsid w:val="0059244E"/>
    <w:rsid w:val="0059280A"/>
    <w:rsid w:val="005931B3"/>
    <w:rsid w:val="005938AA"/>
    <w:rsid w:val="00593A1C"/>
    <w:rsid w:val="00593D58"/>
    <w:rsid w:val="00594107"/>
    <w:rsid w:val="00594988"/>
    <w:rsid w:val="00594F6F"/>
    <w:rsid w:val="0059619C"/>
    <w:rsid w:val="005961FE"/>
    <w:rsid w:val="0059626A"/>
    <w:rsid w:val="00596443"/>
    <w:rsid w:val="0059693C"/>
    <w:rsid w:val="00596D56"/>
    <w:rsid w:val="00596F8C"/>
    <w:rsid w:val="00597361"/>
    <w:rsid w:val="00597626"/>
    <w:rsid w:val="005A01C7"/>
    <w:rsid w:val="005A08D3"/>
    <w:rsid w:val="005A0983"/>
    <w:rsid w:val="005A155D"/>
    <w:rsid w:val="005A1F3B"/>
    <w:rsid w:val="005A2612"/>
    <w:rsid w:val="005A29C5"/>
    <w:rsid w:val="005A4686"/>
    <w:rsid w:val="005A4F03"/>
    <w:rsid w:val="005A565B"/>
    <w:rsid w:val="005A5B38"/>
    <w:rsid w:val="005A5CEB"/>
    <w:rsid w:val="005A62BB"/>
    <w:rsid w:val="005A6357"/>
    <w:rsid w:val="005A64D7"/>
    <w:rsid w:val="005A6E04"/>
    <w:rsid w:val="005A6F1F"/>
    <w:rsid w:val="005A7226"/>
    <w:rsid w:val="005B0AFC"/>
    <w:rsid w:val="005B40D7"/>
    <w:rsid w:val="005B538B"/>
    <w:rsid w:val="005B553B"/>
    <w:rsid w:val="005B6AF9"/>
    <w:rsid w:val="005B7D6E"/>
    <w:rsid w:val="005C064A"/>
    <w:rsid w:val="005C0970"/>
    <w:rsid w:val="005C0B5E"/>
    <w:rsid w:val="005C0C9E"/>
    <w:rsid w:val="005C385A"/>
    <w:rsid w:val="005C3926"/>
    <w:rsid w:val="005C3B05"/>
    <w:rsid w:val="005C3E1A"/>
    <w:rsid w:val="005C5C04"/>
    <w:rsid w:val="005C628F"/>
    <w:rsid w:val="005C680D"/>
    <w:rsid w:val="005C71E7"/>
    <w:rsid w:val="005C7521"/>
    <w:rsid w:val="005D0942"/>
    <w:rsid w:val="005D0DF4"/>
    <w:rsid w:val="005D140A"/>
    <w:rsid w:val="005D1CFF"/>
    <w:rsid w:val="005D2A8E"/>
    <w:rsid w:val="005D2A9A"/>
    <w:rsid w:val="005D3980"/>
    <w:rsid w:val="005D450F"/>
    <w:rsid w:val="005D54D2"/>
    <w:rsid w:val="005D54DD"/>
    <w:rsid w:val="005D6990"/>
    <w:rsid w:val="005D73CD"/>
    <w:rsid w:val="005D759B"/>
    <w:rsid w:val="005E0688"/>
    <w:rsid w:val="005E0EA9"/>
    <w:rsid w:val="005E104E"/>
    <w:rsid w:val="005E157C"/>
    <w:rsid w:val="005E162B"/>
    <w:rsid w:val="005E1C9E"/>
    <w:rsid w:val="005E1E49"/>
    <w:rsid w:val="005E2B01"/>
    <w:rsid w:val="005E2C7D"/>
    <w:rsid w:val="005E46C5"/>
    <w:rsid w:val="005E5800"/>
    <w:rsid w:val="005E6DA3"/>
    <w:rsid w:val="005E74CE"/>
    <w:rsid w:val="005E76BB"/>
    <w:rsid w:val="005E7C65"/>
    <w:rsid w:val="005E7E78"/>
    <w:rsid w:val="005F01A8"/>
    <w:rsid w:val="005F07B6"/>
    <w:rsid w:val="005F0EB2"/>
    <w:rsid w:val="005F0F0E"/>
    <w:rsid w:val="005F13E1"/>
    <w:rsid w:val="005F17CA"/>
    <w:rsid w:val="005F1B30"/>
    <w:rsid w:val="005F2C73"/>
    <w:rsid w:val="005F2CB5"/>
    <w:rsid w:val="005F2D6E"/>
    <w:rsid w:val="005F2E12"/>
    <w:rsid w:val="005F42F4"/>
    <w:rsid w:val="005F432D"/>
    <w:rsid w:val="005F4AF8"/>
    <w:rsid w:val="005F4BEB"/>
    <w:rsid w:val="005F5D2F"/>
    <w:rsid w:val="005F601A"/>
    <w:rsid w:val="005F61D9"/>
    <w:rsid w:val="005F7109"/>
    <w:rsid w:val="005F7152"/>
    <w:rsid w:val="005F7909"/>
    <w:rsid w:val="005F7952"/>
    <w:rsid w:val="005F7E4D"/>
    <w:rsid w:val="00601677"/>
    <w:rsid w:val="00601843"/>
    <w:rsid w:val="00601C9B"/>
    <w:rsid w:val="00601DDF"/>
    <w:rsid w:val="006020B4"/>
    <w:rsid w:val="0060352E"/>
    <w:rsid w:val="0060397B"/>
    <w:rsid w:val="00603EEC"/>
    <w:rsid w:val="00604708"/>
    <w:rsid w:val="00604760"/>
    <w:rsid w:val="006050C4"/>
    <w:rsid w:val="0060575C"/>
    <w:rsid w:val="00605CE5"/>
    <w:rsid w:val="00605D76"/>
    <w:rsid w:val="00605FAE"/>
    <w:rsid w:val="00606498"/>
    <w:rsid w:val="00606AFB"/>
    <w:rsid w:val="00607107"/>
    <w:rsid w:val="00607AF5"/>
    <w:rsid w:val="006108C9"/>
    <w:rsid w:val="006116AF"/>
    <w:rsid w:val="00611A9E"/>
    <w:rsid w:val="00612036"/>
    <w:rsid w:val="00613767"/>
    <w:rsid w:val="00613B14"/>
    <w:rsid w:val="00614026"/>
    <w:rsid w:val="006143E4"/>
    <w:rsid w:val="006153EA"/>
    <w:rsid w:val="00615534"/>
    <w:rsid w:val="006173CC"/>
    <w:rsid w:val="006179F4"/>
    <w:rsid w:val="00620200"/>
    <w:rsid w:val="006202EB"/>
    <w:rsid w:val="0062048F"/>
    <w:rsid w:val="00620A16"/>
    <w:rsid w:val="00621074"/>
    <w:rsid w:val="00621704"/>
    <w:rsid w:val="00622A63"/>
    <w:rsid w:val="00623018"/>
    <w:rsid w:val="00623647"/>
    <w:rsid w:val="00623658"/>
    <w:rsid w:val="00623AD1"/>
    <w:rsid w:val="00625008"/>
    <w:rsid w:val="00626210"/>
    <w:rsid w:val="006269D8"/>
    <w:rsid w:val="006277DE"/>
    <w:rsid w:val="00627C52"/>
    <w:rsid w:val="00630D03"/>
    <w:rsid w:val="006322E8"/>
    <w:rsid w:val="00632F17"/>
    <w:rsid w:val="00633C58"/>
    <w:rsid w:val="00633DF1"/>
    <w:rsid w:val="00634618"/>
    <w:rsid w:val="00634623"/>
    <w:rsid w:val="006354D6"/>
    <w:rsid w:val="00635CC0"/>
    <w:rsid w:val="006362ED"/>
    <w:rsid w:val="00636965"/>
    <w:rsid w:val="00636E79"/>
    <w:rsid w:val="006375A7"/>
    <w:rsid w:val="00637E9C"/>
    <w:rsid w:val="006400C9"/>
    <w:rsid w:val="006407AD"/>
    <w:rsid w:val="00640BAA"/>
    <w:rsid w:val="00640F2F"/>
    <w:rsid w:val="006410F7"/>
    <w:rsid w:val="00641483"/>
    <w:rsid w:val="00641EF7"/>
    <w:rsid w:val="00641FAF"/>
    <w:rsid w:val="00642186"/>
    <w:rsid w:val="006421E4"/>
    <w:rsid w:val="00644377"/>
    <w:rsid w:val="0064454B"/>
    <w:rsid w:val="006445B5"/>
    <w:rsid w:val="00645BAE"/>
    <w:rsid w:val="00645F64"/>
    <w:rsid w:val="0064615B"/>
    <w:rsid w:val="006463D9"/>
    <w:rsid w:val="006501A8"/>
    <w:rsid w:val="00650215"/>
    <w:rsid w:val="006510F8"/>
    <w:rsid w:val="006512F1"/>
    <w:rsid w:val="006514B5"/>
    <w:rsid w:val="00651BC7"/>
    <w:rsid w:val="0065221F"/>
    <w:rsid w:val="0065332F"/>
    <w:rsid w:val="00654A14"/>
    <w:rsid w:val="00655B80"/>
    <w:rsid w:val="006565CC"/>
    <w:rsid w:val="006565EC"/>
    <w:rsid w:val="00656722"/>
    <w:rsid w:val="0065696E"/>
    <w:rsid w:val="00656FA2"/>
    <w:rsid w:val="00657116"/>
    <w:rsid w:val="00657A68"/>
    <w:rsid w:val="00657CCB"/>
    <w:rsid w:val="00660867"/>
    <w:rsid w:val="00661318"/>
    <w:rsid w:val="0066264A"/>
    <w:rsid w:val="00662900"/>
    <w:rsid w:val="006630F4"/>
    <w:rsid w:val="006632B4"/>
    <w:rsid w:val="006636A4"/>
    <w:rsid w:val="006636E4"/>
    <w:rsid w:val="00665224"/>
    <w:rsid w:val="0066583A"/>
    <w:rsid w:val="006658A6"/>
    <w:rsid w:val="006707BA"/>
    <w:rsid w:val="00670AB2"/>
    <w:rsid w:val="00670B7D"/>
    <w:rsid w:val="00670CB4"/>
    <w:rsid w:val="00671250"/>
    <w:rsid w:val="00671430"/>
    <w:rsid w:val="00671890"/>
    <w:rsid w:val="00671923"/>
    <w:rsid w:val="00671EC1"/>
    <w:rsid w:val="00672309"/>
    <w:rsid w:val="00672456"/>
    <w:rsid w:val="006732B7"/>
    <w:rsid w:val="00673CD4"/>
    <w:rsid w:val="00674A2B"/>
    <w:rsid w:val="006756C0"/>
    <w:rsid w:val="0067679E"/>
    <w:rsid w:val="006804B1"/>
    <w:rsid w:val="006806F5"/>
    <w:rsid w:val="00680843"/>
    <w:rsid w:val="00680E37"/>
    <w:rsid w:val="00680F7D"/>
    <w:rsid w:val="0068140E"/>
    <w:rsid w:val="006815FE"/>
    <w:rsid w:val="00681846"/>
    <w:rsid w:val="0068185F"/>
    <w:rsid w:val="00681E2E"/>
    <w:rsid w:val="00681F13"/>
    <w:rsid w:val="00681F6F"/>
    <w:rsid w:val="0068267C"/>
    <w:rsid w:val="0068358C"/>
    <w:rsid w:val="00683742"/>
    <w:rsid w:val="006846E4"/>
    <w:rsid w:val="00685092"/>
    <w:rsid w:val="00685F6B"/>
    <w:rsid w:val="00687346"/>
    <w:rsid w:val="00687A30"/>
    <w:rsid w:val="006917C3"/>
    <w:rsid w:val="006922CB"/>
    <w:rsid w:val="0069280F"/>
    <w:rsid w:val="00692815"/>
    <w:rsid w:val="006928ED"/>
    <w:rsid w:val="00693AE0"/>
    <w:rsid w:val="0069487A"/>
    <w:rsid w:val="006953C9"/>
    <w:rsid w:val="00695643"/>
    <w:rsid w:val="00696713"/>
    <w:rsid w:val="00696A28"/>
    <w:rsid w:val="006977DE"/>
    <w:rsid w:val="006A0252"/>
    <w:rsid w:val="006A1C0B"/>
    <w:rsid w:val="006A26E8"/>
    <w:rsid w:val="006A34FF"/>
    <w:rsid w:val="006A3EB6"/>
    <w:rsid w:val="006A4CB6"/>
    <w:rsid w:val="006A4D6F"/>
    <w:rsid w:val="006A4E0A"/>
    <w:rsid w:val="006A5BCA"/>
    <w:rsid w:val="006A5F0D"/>
    <w:rsid w:val="006A6547"/>
    <w:rsid w:val="006A6F31"/>
    <w:rsid w:val="006A749E"/>
    <w:rsid w:val="006B00F4"/>
    <w:rsid w:val="006B03A8"/>
    <w:rsid w:val="006B0A0A"/>
    <w:rsid w:val="006B2587"/>
    <w:rsid w:val="006B32AF"/>
    <w:rsid w:val="006B3479"/>
    <w:rsid w:val="006B351F"/>
    <w:rsid w:val="006B497D"/>
    <w:rsid w:val="006B5227"/>
    <w:rsid w:val="006B5E3A"/>
    <w:rsid w:val="006B6231"/>
    <w:rsid w:val="006C00E8"/>
    <w:rsid w:val="006C09AE"/>
    <w:rsid w:val="006C3D31"/>
    <w:rsid w:val="006C41D9"/>
    <w:rsid w:val="006C68F2"/>
    <w:rsid w:val="006C7187"/>
    <w:rsid w:val="006C72CB"/>
    <w:rsid w:val="006C754C"/>
    <w:rsid w:val="006D1EEC"/>
    <w:rsid w:val="006D28DC"/>
    <w:rsid w:val="006D2E70"/>
    <w:rsid w:val="006D30A9"/>
    <w:rsid w:val="006D34B9"/>
    <w:rsid w:val="006D35F8"/>
    <w:rsid w:val="006D3A3A"/>
    <w:rsid w:val="006D4D8D"/>
    <w:rsid w:val="006D583A"/>
    <w:rsid w:val="006D6007"/>
    <w:rsid w:val="006D6E33"/>
    <w:rsid w:val="006E03C2"/>
    <w:rsid w:val="006E0F18"/>
    <w:rsid w:val="006E1680"/>
    <w:rsid w:val="006E2F81"/>
    <w:rsid w:val="006E468B"/>
    <w:rsid w:val="006E4711"/>
    <w:rsid w:val="006E615B"/>
    <w:rsid w:val="006E6698"/>
    <w:rsid w:val="006E6C55"/>
    <w:rsid w:val="006E731E"/>
    <w:rsid w:val="006F0243"/>
    <w:rsid w:val="006F0C4A"/>
    <w:rsid w:val="006F0E12"/>
    <w:rsid w:val="006F0FDC"/>
    <w:rsid w:val="006F10C9"/>
    <w:rsid w:val="006F2DEE"/>
    <w:rsid w:val="006F36DF"/>
    <w:rsid w:val="006F527E"/>
    <w:rsid w:val="006F52A4"/>
    <w:rsid w:val="006F5670"/>
    <w:rsid w:val="006F7478"/>
    <w:rsid w:val="006F7C17"/>
    <w:rsid w:val="00700130"/>
    <w:rsid w:val="00700573"/>
    <w:rsid w:val="00700DED"/>
    <w:rsid w:val="0070111F"/>
    <w:rsid w:val="007012C2"/>
    <w:rsid w:val="00701D06"/>
    <w:rsid w:val="00702262"/>
    <w:rsid w:val="0070299B"/>
    <w:rsid w:val="00702D1B"/>
    <w:rsid w:val="00702D2A"/>
    <w:rsid w:val="00703A3A"/>
    <w:rsid w:val="00706CF9"/>
    <w:rsid w:val="0070717D"/>
    <w:rsid w:val="00707567"/>
    <w:rsid w:val="007100E2"/>
    <w:rsid w:val="00710155"/>
    <w:rsid w:val="00710449"/>
    <w:rsid w:val="00710B97"/>
    <w:rsid w:val="00710EEF"/>
    <w:rsid w:val="0071132B"/>
    <w:rsid w:val="0071138D"/>
    <w:rsid w:val="00711A68"/>
    <w:rsid w:val="00712178"/>
    <w:rsid w:val="007123B5"/>
    <w:rsid w:val="007128F7"/>
    <w:rsid w:val="00714BA4"/>
    <w:rsid w:val="0071512B"/>
    <w:rsid w:val="0071531F"/>
    <w:rsid w:val="007157F5"/>
    <w:rsid w:val="00715CD5"/>
    <w:rsid w:val="00715D55"/>
    <w:rsid w:val="007164CE"/>
    <w:rsid w:val="00716C55"/>
    <w:rsid w:val="00716F43"/>
    <w:rsid w:val="00717176"/>
    <w:rsid w:val="00717615"/>
    <w:rsid w:val="00717BFE"/>
    <w:rsid w:val="00721105"/>
    <w:rsid w:val="0072111F"/>
    <w:rsid w:val="00721995"/>
    <w:rsid w:val="007223B7"/>
    <w:rsid w:val="007227EA"/>
    <w:rsid w:val="00722970"/>
    <w:rsid w:val="00723357"/>
    <w:rsid w:val="00723649"/>
    <w:rsid w:val="00723FD2"/>
    <w:rsid w:val="007240A9"/>
    <w:rsid w:val="0072455F"/>
    <w:rsid w:val="00724585"/>
    <w:rsid w:val="00724A1D"/>
    <w:rsid w:val="00724A53"/>
    <w:rsid w:val="00724B0F"/>
    <w:rsid w:val="00724D8E"/>
    <w:rsid w:val="00725E25"/>
    <w:rsid w:val="00727038"/>
    <w:rsid w:val="0072735E"/>
    <w:rsid w:val="00727A5D"/>
    <w:rsid w:val="00730C3D"/>
    <w:rsid w:val="007315EF"/>
    <w:rsid w:val="0073165B"/>
    <w:rsid w:val="00732C15"/>
    <w:rsid w:val="00733C6F"/>
    <w:rsid w:val="00734D03"/>
    <w:rsid w:val="00736157"/>
    <w:rsid w:val="00736307"/>
    <w:rsid w:val="007363AB"/>
    <w:rsid w:val="00736D47"/>
    <w:rsid w:val="0073737F"/>
    <w:rsid w:val="00737C56"/>
    <w:rsid w:val="00737DEA"/>
    <w:rsid w:val="00740E0B"/>
    <w:rsid w:val="00740E8A"/>
    <w:rsid w:val="00742156"/>
    <w:rsid w:val="00742BDF"/>
    <w:rsid w:val="00742C96"/>
    <w:rsid w:val="00743EA6"/>
    <w:rsid w:val="00743F80"/>
    <w:rsid w:val="00744193"/>
    <w:rsid w:val="00744202"/>
    <w:rsid w:val="00744D30"/>
    <w:rsid w:val="0074520F"/>
    <w:rsid w:val="00745A8D"/>
    <w:rsid w:val="00747513"/>
    <w:rsid w:val="00747FBB"/>
    <w:rsid w:val="00754605"/>
    <w:rsid w:val="00755EBE"/>
    <w:rsid w:val="00755F9E"/>
    <w:rsid w:val="007602E2"/>
    <w:rsid w:val="007613A3"/>
    <w:rsid w:val="007615FB"/>
    <w:rsid w:val="00761D66"/>
    <w:rsid w:val="00762B48"/>
    <w:rsid w:val="00762C77"/>
    <w:rsid w:val="0076422F"/>
    <w:rsid w:val="007643C8"/>
    <w:rsid w:val="00764D21"/>
    <w:rsid w:val="00765A73"/>
    <w:rsid w:val="00766030"/>
    <w:rsid w:val="0076663A"/>
    <w:rsid w:val="00766A92"/>
    <w:rsid w:val="00766BCA"/>
    <w:rsid w:val="007674D2"/>
    <w:rsid w:val="007702B8"/>
    <w:rsid w:val="007704C6"/>
    <w:rsid w:val="00770B93"/>
    <w:rsid w:val="0077165C"/>
    <w:rsid w:val="00771928"/>
    <w:rsid w:val="00771C2B"/>
    <w:rsid w:val="00772C73"/>
    <w:rsid w:val="00774441"/>
    <w:rsid w:val="0077484A"/>
    <w:rsid w:val="00774911"/>
    <w:rsid w:val="00776287"/>
    <w:rsid w:val="00776C94"/>
    <w:rsid w:val="007770D5"/>
    <w:rsid w:val="007800B0"/>
    <w:rsid w:val="007802CD"/>
    <w:rsid w:val="0078044D"/>
    <w:rsid w:val="00780690"/>
    <w:rsid w:val="00780B02"/>
    <w:rsid w:val="00781116"/>
    <w:rsid w:val="0078132F"/>
    <w:rsid w:val="00782276"/>
    <w:rsid w:val="00782400"/>
    <w:rsid w:val="00783AB1"/>
    <w:rsid w:val="007840CF"/>
    <w:rsid w:val="007846AB"/>
    <w:rsid w:val="007855DD"/>
    <w:rsid w:val="00786024"/>
    <w:rsid w:val="00787527"/>
    <w:rsid w:val="0079031A"/>
    <w:rsid w:val="0079055A"/>
    <w:rsid w:val="00790926"/>
    <w:rsid w:val="007911F0"/>
    <w:rsid w:val="00791355"/>
    <w:rsid w:val="007914E5"/>
    <w:rsid w:val="00793406"/>
    <w:rsid w:val="00793644"/>
    <w:rsid w:val="0079384A"/>
    <w:rsid w:val="00794E1D"/>
    <w:rsid w:val="00795903"/>
    <w:rsid w:val="00795C4A"/>
    <w:rsid w:val="00796364"/>
    <w:rsid w:val="0079743E"/>
    <w:rsid w:val="00797463"/>
    <w:rsid w:val="007A024B"/>
    <w:rsid w:val="007A0421"/>
    <w:rsid w:val="007A0781"/>
    <w:rsid w:val="007A1345"/>
    <w:rsid w:val="007A1C6B"/>
    <w:rsid w:val="007A23FA"/>
    <w:rsid w:val="007A2A79"/>
    <w:rsid w:val="007A2C38"/>
    <w:rsid w:val="007A5030"/>
    <w:rsid w:val="007A5304"/>
    <w:rsid w:val="007A5E97"/>
    <w:rsid w:val="007A68C4"/>
    <w:rsid w:val="007A71B2"/>
    <w:rsid w:val="007A7558"/>
    <w:rsid w:val="007A7604"/>
    <w:rsid w:val="007A77B5"/>
    <w:rsid w:val="007B01C5"/>
    <w:rsid w:val="007B133C"/>
    <w:rsid w:val="007B1788"/>
    <w:rsid w:val="007B2305"/>
    <w:rsid w:val="007B23FE"/>
    <w:rsid w:val="007B3015"/>
    <w:rsid w:val="007B335B"/>
    <w:rsid w:val="007B33B1"/>
    <w:rsid w:val="007B384F"/>
    <w:rsid w:val="007B3E6C"/>
    <w:rsid w:val="007B3F30"/>
    <w:rsid w:val="007B44D5"/>
    <w:rsid w:val="007B4874"/>
    <w:rsid w:val="007B5038"/>
    <w:rsid w:val="007B515F"/>
    <w:rsid w:val="007B54C1"/>
    <w:rsid w:val="007B5B8C"/>
    <w:rsid w:val="007B6228"/>
    <w:rsid w:val="007B759E"/>
    <w:rsid w:val="007B76F0"/>
    <w:rsid w:val="007B79A4"/>
    <w:rsid w:val="007C06AD"/>
    <w:rsid w:val="007C11EB"/>
    <w:rsid w:val="007C1BAB"/>
    <w:rsid w:val="007C227D"/>
    <w:rsid w:val="007C23E6"/>
    <w:rsid w:val="007C23F6"/>
    <w:rsid w:val="007C2514"/>
    <w:rsid w:val="007C2F70"/>
    <w:rsid w:val="007C3271"/>
    <w:rsid w:val="007C4613"/>
    <w:rsid w:val="007C479C"/>
    <w:rsid w:val="007C56D7"/>
    <w:rsid w:val="007C5D60"/>
    <w:rsid w:val="007C6625"/>
    <w:rsid w:val="007C6B32"/>
    <w:rsid w:val="007C70B9"/>
    <w:rsid w:val="007C77DF"/>
    <w:rsid w:val="007C7AA4"/>
    <w:rsid w:val="007C7F37"/>
    <w:rsid w:val="007D13ED"/>
    <w:rsid w:val="007D14BC"/>
    <w:rsid w:val="007D1646"/>
    <w:rsid w:val="007D19A9"/>
    <w:rsid w:val="007D2541"/>
    <w:rsid w:val="007D2E43"/>
    <w:rsid w:val="007D3201"/>
    <w:rsid w:val="007D3525"/>
    <w:rsid w:val="007D44BE"/>
    <w:rsid w:val="007D4E27"/>
    <w:rsid w:val="007D5832"/>
    <w:rsid w:val="007D5E71"/>
    <w:rsid w:val="007D60F3"/>
    <w:rsid w:val="007E0982"/>
    <w:rsid w:val="007E0D98"/>
    <w:rsid w:val="007E1502"/>
    <w:rsid w:val="007E19F3"/>
    <w:rsid w:val="007E20ED"/>
    <w:rsid w:val="007E22DD"/>
    <w:rsid w:val="007E2B07"/>
    <w:rsid w:val="007E2BD1"/>
    <w:rsid w:val="007E3223"/>
    <w:rsid w:val="007E4CC4"/>
    <w:rsid w:val="007E55D5"/>
    <w:rsid w:val="007E6662"/>
    <w:rsid w:val="007E6F25"/>
    <w:rsid w:val="007E7A0B"/>
    <w:rsid w:val="007E7C8E"/>
    <w:rsid w:val="007F121E"/>
    <w:rsid w:val="007F14BA"/>
    <w:rsid w:val="007F1BA1"/>
    <w:rsid w:val="007F1D00"/>
    <w:rsid w:val="007F1D10"/>
    <w:rsid w:val="007F2166"/>
    <w:rsid w:val="007F2DA1"/>
    <w:rsid w:val="007F383D"/>
    <w:rsid w:val="007F3F80"/>
    <w:rsid w:val="007F46C9"/>
    <w:rsid w:val="007F4778"/>
    <w:rsid w:val="007F578C"/>
    <w:rsid w:val="007F7357"/>
    <w:rsid w:val="007F7627"/>
    <w:rsid w:val="007F7E03"/>
    <w:rsid w:val="00801E84"/>
    <w:rsid w:val="00801FEA"/>
    <w:rsid w:val="00802C8B"/>
    <w:rsid w:val="0080393C"/>
    <w:rsid w:val="00803CBA"/>
    <w:rsid w:val="00804C8F"/>
    <w:rsid w:val="00805408"/>
    <w:rsid w:val="00805723"/>
    <w:rsid w:val="008059E9"/>
    <w:rsid w:val="00806C58"/>
    <w:rsid w:val="00806F9E"/>
    <w:rsid w:val="008075D2"/>
    <w:rsid w:val="00811D96"/>
    <w:rsid w:val="0081310A"/>
    <w:rsid w:val="0081350B"/>
    <w:rsid w:val="00813B30"/>
    <w:rsid w:val="00813D81"/>
    <w:rsid w:val="0081479B"/>
    <w:rsid w:val="008153C5"/>
    <w:rsid w:val="00815A74"/>
    <w:rsid w:val="00815DE3"/>
    <w:rsid w:val="008165E4"/>
    <w:rsid w:val="00816FCB"/>
    <w:rsid w:val="008179BD"/>
    <w:rsid w:val="00817A68"/>
    <w:rsid w:val="00820627"/>
    <w:rsid w:val="00821A27"/>
    <w:rsid w:val="00821CB0"/>
    <w:rsid w:val="00822391"/>
    <w:rsid w:val="0082263A"/>
    <w:rsid w:val="00822AFB"/>
    <w:rsid w:val="00823693"/>
    <w:rsid w:val="00824595"/>
    <w:rsid w:val="00824B5A"/>
    <w:rsid w:val="0082513C"/>
    <w:rsid w:val="00826E25"/>
    <w:rsid w:val="00827F77"/>
    <w:rsid w:val="0083030F"/>
    <w:rsid w:val="00830A51"/>
    <w:rsid w:val="008321EE"/>
    <w:rsid w:val="0083245F"/>
    <w:rsid w:val="00832EBA"/>
    <w:rsid w:val="00833FF6"/>
    <w:rsid w:val="008342EB"/>
    <w:rsid w:val="00834A59"/>
    <w:rsid w:val="00834BDA"/>
    <w:rsid w:val="00835124"/>
    <w:rsid w:val="008357CC"/>
    <w:rsid w:val="008364AD"/>
    <w:rsid w:val="00836732"/>
    <w:rsid w:val="00837566"/>
    <w:rsid w:val="0083773C"/>
    <w:rsid w:val="00837DBB"/>
    <w:rsid w:val="00837F34"/>
    <w:rsid w:val="008405D7"/>
    <w:rsid w:val="008406FB"/>
    <w:rsid w:val="0084098E"/>
    <w:rsid w:val="00840EA2"/>
    <w:rsid w:val="008413A9"/>
    <w:rsid w:val="00841A58"/>
    <w:rsid w:val="0084336C"/>
    <w:rsid w:val="0084365D"/>
    <w:rsid w:val="00843E33"/>
    <w:rsid w:val="00844AB7"/>
    <w:rsid w:val="00844E1E"/>
    <w:rsid w:val="008460B4"/>
    <w:rsid w:val="008475B1"/>
    <w:rsid w:val="008475B6"/>
    <w:rsid w:val="00847D35"/>
    <w:rsid w:val="00847FB2"/>
    <w:rsid w:val="00850D7B"/>
    <w:rsid w:val="008513FD"/>
    <w:rsid w:val="0085234B"/>
    <w:rsid w:val="00853637"/>
    <w:rsid w:val="00853F54"/>
    <w:rsid w:val="0085402F"/>
    <w:rsid w:val="008542E9"/>
    <w:rsid w:val="00854765"/>
    <w:rsid w:val="0085503B"/>
    <w:rsid w:val="0085542D"/>
    <w:rsid w:val="00856043"/>
    <w:rsid w:val="008565CC"/>
    <w:rsid w:val="00856789"/>
    <w:rsid w:val="00857D11"/>
    <w:rsid w:val="00860058"/>
    <w:rsid w:val="0086037A"/>
    <w:rsid w:val="008605F9"/>
    <w:rsid w:val="00861F00"/>
    <w:rsid w:val="00862150"/>
    <w:rsid w:val="0086307E"/>
    <w:rsid w:val="00863192"/>
    <w:rsid w:val="00863B19"/>
    <w:rsid w:val="00864111"/>
    <w:rsid w:val="0086494E"/>
    <w:rsid w:val="00865262"/>
    <w:rsid w:val="00865724"/>
    <w:rsid w:val="00865740"/>
    <w:rsid w:val="008665C2"/>
    <w:rsid w:val="00866700"/>
    <w:rsid w:val="00866783"/>
    <w:rsid w:val="00866E65"/>
    <w:rsid w:val="0086703F"/>
    <w:rsid w:val="008701B9"/>
    <w:rsid w:val="00870A73"/>
    <w:rsid w:val="00872076"/>
    <w:rsid w:val="0087329C"/>
    <w:rsid w:val="008733A5"/>
    <w:rsid w:val="008733C0"/>
    <w:rsid w:val="008734EA"/>
    <w:rsid w:val="00873AB1"/>
    <w:rsid w:val="00873B56"/>
    <w:rsid w:val="008755F9"/>
    <w:rsid w:val="00875C7A"/>
    <w:rsid w:val="00876150"/>
    <w:rsid w:val="00876954"/>
    <w:rsid w:val="00876CFC"/>
    <w:rsid w:val="00876F90"/>
    <w:rsid w:val="0087752C"/>
    <w:rsid w:val="00877D6D"/>
    <w:rsid w:val="00881054"/>
    <w:rsid w:val="008818B0"/>
    <w:rsid w:val="008819D8"/>
    <w:rsid w:val="00881C96"/>
    <w:rsid w:val="0088267A"/>
    <w:rsid w:val="00882D37"/>
    <w:rsid w:val="00883058"/>
    <w:rsid w:val="00883976"/>
    <w:rsid w:val="00883E1A"/>
    <w:rsid w:val="00884173"/>
    <w:rsid w:val="00884A89"/>
    <w:rsid w:val="00885AFF"/>
    <w:rsid w:val="00885D01"/>
    <w:rsid w:val="00885DA9"/>
    <w:rsid w:val="00885F69"/>
    <w:rsid w:val="00885F8B"/>
    <w:rsid w:val="008860AC"/>
    <w:rsid w:val="00886588"/>
    <w:rsid w:val="00886740"/>
    <w:rsid w:val="00886BF9"/>
    <w:rsid w:val="00886C0D"/>
    <w:rsid w:val="00886D1A"/>
    <w:rsid w:val="0088763F"/>
    <w:rsid w:val="008877A0"/>
    <w:rsid w:val="00887B7D"/>
    <w:rsid w:val="00890B25"/>
    <w:rsid w:val="00890DAE"/>
    <w:rsid w:val="00890E8A"/>
    <w:rsid w:val="00890EDF"/>
    <w:rsid w:val="00891825"/>
    <w:rsid w:val="00891DFB"/>
    <w:rsid w:val="00891FCC"/>
    <w:rsid w:val="00892CB0"/>
    <w:rsid w:val="00892DED"/>
    <w:rsid w:val="00892F36"/>
    <w:rsid w:val="00893B0A"/>
    <w:rsid w:val="008947C1"/>
    <w:rsid w:val="00894A0C"/>
    <w:rsid w:val="00894FC5"/>
    <w:rsid w:val="00895711"/>
    <w:rsid w:val="00896B7C"/>
    <w:rsid w:val="00896BCC"/>
    <w:rsid w:val="00896EC8"/>
    <w:rsid w:val="00897671"/>
    <w:rsid w:val="00897A4D"/>
    <w:rsid w:val="008A1C68"/>
    <w:rsid w:val="008A1C6C"/>
    <w:rsid w:val="008A2205"/>
    <w:rsid w:val="008A2A3C"/>
    <w:rsid w:val="008A3406"/>
    <w:rsid w:val="008A374D"/>
    <w:rsid w:val="008A37FB"/>
    <w:rsid w:val="008A3BC5"/>
    <w:rsid w:val="008A452B"/>
    <w:rsid w:val="008A4E2E"/>
    <w:rsid w:val="008A6F49"/>
    <w:rsid w:val="008A7088"/>
    <w:rsid w:val="008A77F6"/>
    <w:rsid w:val="008A7B9C"/>
    <w:rsid w:val="008A7C00"/>
    <w:rsid w:val="008B0F20"/>
    <w:rsid w:val="008B0FB3"/>
    <w:rsid w:val="008B1020"/>
    <w:rsid w:val="008B1BFD"/>
    <w:rsid w:val="008B284C"/>
    <w:rsid w:val="008B34A4"/>
    <w:rsid w:val="008B44E4"/>
    <w:rsid w:val="008B5EC5"/>
    <w:rsid w:val="008B6063"/>
    <w:rsid w:val="008B6755"/>
    <w:rsid w:val="008B7509"/>
    <w:rsid w:val="008B771F"/>
    <w:rsid w:val="008B7C29"/>
    <w:rsid w:val="008B7DA9"/>
    <w:rsid w:val="008C1021"/>
    <w:rsid w:val="008C136A"/>
    <w:rsid w:val="008C143A"/>
    <w:rsid w:val="008C1686"/>
    <w:rsid w:val="008C27F5"/>
    <w:rsid w:val="008C2FEB"/>
    <w:rsid w:val="008C37F5"/>
    <w:rsid w:val="008C3F30"/>
    <w:rsid w:val="008C4218"/>
    <w:rsid w:val="008C5320"/>
    <w:rsid w:val="008C5817"/>
    <w:rsid w:val="008C65AE"/>
    <w:rsid w:val="008C76E1"/>
    <w:rsid w:val="008C7E5F"/>
    <w:rsid w:val="008D007A"/>
    <w:rsid w:val="008D0121"/>
    <w:rsid w:val="008D07E1"/>
    <w:rsid w:val="008D0C51"/>
    <w:rsid w:val="008D1592"/>
    <w:rsid w:val="008D181A"/>
    <w:rsid w:val="008D18DD"/>
    <w:rsid w:val="008D2B58"/>
    <w:rsid w:val="008D2D67"/>
    <w:rsid w:val="008D329F"/>
    <w:rsid w:val="008D36B5"/>
    <w:rsid w:val="008D372C"/>
    <w:rsid w:val="008D3BFB"/>
    <w:rsid w:val="008D401B"/>
    <w:rsid w:val="008D50BC"/>
    <w:rsid w:val="008D52A8"/>
    <w:rsid w:val="008D57A4"/>
    <w:rsid w:val="008D5C91"/>
    <w:rsid w:val="008D5DB3"/>
    <w:rsid w:val="008D6611"/>
    <w:rsid w:val="008D7027"/>
    <w:rsid w:val="008D7CCD"/>
    <w:rsid w:val="008E0071"/>
    <w:rsid w:val="008E0794"/>
    <w:rsid w:val="008E1B15"/>
    <w:rsid w:val="008E2ED5"/>
    <w:rsid w:val="008E36EE"/>
    <w:rsid w:val="008F0007"/>
    <w:rsid w:val="008F0725"/>
    <w:rsid w:val="008F0A8D"/>
    <w:rsid w:val="008F0FFE"/>
    <w:rsid w:val="008F106D"/>
    <w:rsid w:val="008F153C"/>
    <w:rsid w:val="008F2837"/>
    <w:rsid w:val="008F2B8E"/>
    <w:rsid w:val="008F2F2C"/>
    <w:rsid w:val="008F3299"/>
    <w:rsid w:val="008F4C23"/>
    <w:rsid w:val="008F4E1E"/>
    <w:rsid w:val="008F563A"/>
    <w:rsid w:val="008F5F02"/>
    <w:rsid w:val="008F67C4"/>
    <w:rsid w:val="008F6BB8"/>
    <w:rsid w:val="008F71B5"/>
    <w:rsid w:val="008F76E3"/>
    <w:rsid w:val="009000F8"/>
    <w:rsid w:val="00901D83"/>
    <w:rsid w:val="0090220E"/>
    <w:rsid w:val="009042E8"/>
    <w:rsid w:val="0090464D"/>
    <w:rsid w:val="009046B5"/>
    <w:rsid w:val="00904C59"/>
    <w:rsid w:val="00904C64"/>
    <w:rsid w:val="00904FB1"/>
    <w:rsid w:val="00905E5B"/>
    <w:rsid w:val="00905F13"/>
    <w:rsid w:val="009069B5"/>
    <w:rsid w:val="00906ECB"/>
    <w:rsid w:val="00907997"/>
    <w:rsid w:val="00910E33"/>
    <w:rsid w:val="00910E87"/>
    <w:rsid w:val="009112B8"/>
    <w:rsid w:val="0091166A"/>
    <w:rsid w:val="0091169B"/>
    <w:rsid w:val="0091178A"/>
    <w:rsid w:val="009117B2"/>
    <w:rsid w:val="00912054"/>
    <w:rsid w:val="009120C9"/>
    <w:rsid w:val="00912E79"/>
    <w:rsid w:val="00914092"/>
    <w:rsid w:val="009141C1"/>
    <w:rsid w:val="0091422E"/>
    <w:rsid w:val="009146B8"/>
    <w:rsid w:val="00914E9A"/>
    <w:rsid w:val="00914F71"/>
    <w:rsid w:val="0091546F"/>
    <w:rsid w:val="00915D7C"/>
    <w:rsid w:val="00916D80"/>
    <w:rsid w:val="00917309"/>
    <w:rsid w:val="0091756B"/>
    <w:rsid w:val="00917815"/>
    <w:rsid w:val="009179EE"/>
    <w:rsid w:val="00920B60"/>
    <w:rsid w:val="009211A6"/>
    <w:rsid w:val="00921BB5"/>
    <w:rsid w:val="009220BA"/>
    <w:rsid w:val="00922EE3"/>
    <w:rsid w:val="009237EE"/>
    <w:rsid w:val="009255CE"/>
    <w:rsid w:val="00925642"/>
    <w:rsid w:val="00925CB5"/>
    <w:rsid w:val="00927453"/>
    <w:rsid w:val="00927E4B"/>
    <w:rsid w:val="0093076C"/>
    <w:rsid w:val="00930B61"/>
    <w:rsid w:val="00930F12"/>
    <w:rsid w:val="00930F6B"/>
    <w:rsid w:val="009315E4"/>
    <w:rsid w:val="00931E0F"/>
    <w:rsid w:val="00932994"/>
    <w:rsid w:val="00933114"/>
    <w:rsid w:val="0093318F"/>
    <w:rsid w:val="0093416F"/>
    <w:rsid w:val="00934BFC"/>
    <w:rsid w:val="00935879"/>
    <w:rsid w:val="009363F1"/>
    <w:rsid w:val="00936F4D"/>
    <w:rsid w:val="00936F64"/>
    <w:rsid w:val="00940BD1"/>
    <w:rsid w:val="00940C1E"/>
    <w:rsid w:val="00940D27"/>
    <w:rsid w:val="00941110"/>
    <w:rsid w:val="00941906"/>
    <w:rsid w:val="00941FB5"/>
    <w:rsid w:val="009427A3"/>
    <w:rsid w:val="009435BB"/>
    <w:rsid w:val="009442B4"/>
    <w:rsid w:val="00944E8B"/>
    <w:rsid w:val="0094502E"/>
    <w:rsid w:val="00946A80"/>
    <w:rsid w:val="00946D1A"/>
    <w:rsid w:val="00954217"/>
    <w:rsid w:val="0095443C"/>
    <w:rsid w:val="00954AFC"/>
    <w:rsid w:val="0095556A"/>
    <w:rsid w:val="00955AF5"/>
    <w:rsid w:val="0095609E"/>
    <w:rsid w:val="0095768B"/>
    <w:rsid w:val="00960288"/>
    <w:rsid w:val="00961887"/>
    <w:rsid w:val="009636E1"/>
    <w:rsid w:val="009645DB"/>
    <w:rsid w:val="0096488D"/>
    <w:rsid w:val="009655CF"/>
    <w:rsid w:val="00967081"/>
    <w:rsid w:val="00967AB4"/>
    <w:rsid w:val="0097081A"/>
    <w:rsid w:val="00970DBA"/>
    <w:rsid w:val="00970F0F"/>
    <w:rsid w:val="00971F20"/>
    <w:rsid w:val="009721BD"/>
    <w:rsid w:val="009724CB"/>
    <w:rsid w:val="00972DEE"/>
    <w:rsid w:val="0097323B"/>
    <w:rsid w:val="00973DF6"/>
    <w:rsid w:val="00975928"/>
    <w:rsid w:val="00976AF1"/>
    <w:rsid w:val="00976E9B"/>
    <w:rsid w:val="00977246"/>
    <w:rsid w:val="009779CA"/>
    <w:rsid w:val="00977D7F"/>
    <w:rsid w:val="009804D8"/>
    <w:rsid w:val="009806BF"/>
    <w:rsid w:val="0098101D"/>
    <w:rsid w:val="009811C4"/>
    <w:rsid w:val="009817BC"/>
    <w:rsid w:val="00981A71"/>
    <w:rsid w:val="00981BC9"/>
    <w:rsid w:val="009820E8"/>
    <w:rsid w:val="0098261B"/>
    <w:rsid w:val="00982BA0"/>
    <w:rsid w:val="00984806"/>
    <w:rsid w:val="0098499A"/>
    <w:rsid w:val="00984A56"/>
    <w:rsid w:val="00986059"/>
    <w:rsid w:val="00986222"/>
    <w:rsid w:val="00986854"/>
    <w:rsid w:val="00986869"/>
    <w:rsid w:val="00986DF2"/>
    <w:rsid w:val="00987316"/>
    <w:rsid w:val="009874BC"/>
    <w:rsid w:val="00987BBD"/>
    <w:rsid w:val="00987CF2"/>
    <w:rsid w:val="00987F51"/>
    <w:rsid w:val="0099000B"/>
    <w:rsid w:val="0099091E"/>
    <w:rsid w:val="0099231B"/>
    <w:rsid w:val="00992477"/>
    <w:rsid w:val="00992612"/>
    <w:rsid w:val="00992EC9"/>
    <w:rsid w:val="00992EF9"/>
    <w:rsid w:val="0099366B"/>
    <w:rsid w:val="009945BA"/>
    <w:rsid w:val="00994CD5"/>
    <w:rsid w:val="00995522"/>
    <w:rsid w:val="009959B6"/>
    <w:rsid w:val="00995B80"/>
    <w:rsid w:val="00995DBB"/>
    <w:rsid w:val="009961AA"/>
    <w:rsid w:val="009966E6"/>
    <w:rsid w:val="00996E5D"/>
    <w:rsid w:val="009A00E9"/>
    <w:rsid w:val="009A04D9"/>
    <w:rsid w:val="009A0642"/>
    <w:rsid w:val="009A0D89"/>
    <w:rsid w:val="009A0E4C"/>
    <w:rsid w:val="009A183A"/>
    <w:rsid w:val="009A20B2"/>
    <w:rsid w:val="009A24EB"/>
    <w:rsid w:val="009A2AF1"/>
    <w:rsid w:val="009A315E"/>
    <w:rsid w:val="009A37A4"/>
    <w:rsid w:val="009A3B67"/>
    <w:rsid w:val="009A3DAD"/>
    <w:rsid w:val="009A3E7F"/>
    <w:rsid w:val="009A42CE"/>
    <w:rsid w:val="009A49D4"/>
    <w:rsid w:val="009A4BC8"/>
    <w:rsid w:val="009A6D80"/>
    <w:rsid w:val="009A6EEE"/>
    <w:rsid w:val="009A7471"/>
    <w:rsid w:val="009A7612"/>
    <w:rsid w:val="009A7A88"/>
    <w:rsid w:val="009B0A32"/>
    <w:rsid w:val="009B0F0A"/>
    <w:rsid w:val="009B1774"/>
    <w:rsid w:val="009B1E5F"/>
    <w:rsid w:val="009B208D"/>
    <w:rsid w:val="009B223E"/>
    <w:rsid w:val="009B35CE"/>
    <w:rsid w:val="009B43AA"/>
    <w:rsid w:val="009B527F"/>
    <w:rsid w:val="009B57CB"/>
    <w:rsid w:val="009B5ACE"/>
    <w:rsid w:val="009B60E9"/>
    <w:rsid w:val="009B6497"/>
    <w:rsid w:val="009B69A2"/>
    <w:rsid w:val="009B6E27"/>
    <w:rsid w:val="009B7402"/>
    <w:rsid w:val="009B748D"/>
    <w:rsid w:val="009B7A5F"/>
    <w:rsid w:val="009C03EF"/>
    <w:rsid w:val="009C1A41"/>
    <w:rsid w:val="009C1B3C"/>
    <w:rsid w:val="009C2122"/>
    <w:rsid w:val="009C2442"/>
    <w:rsid w:val="009C3009"/>
    <w:rsid w:val="009C31C1"/>
    <w:rsid w:val="009C330B"/>
    <w:rsid w:val="009C40DD"/>
    <w:rsid w:val="009C4777"/>
    <w:rsid w:val="009C4A7E"/>
    <w:rsid w:val="009C50E4"/>
    <w:rsid w:val="009C5182"/>
    <w:rsid w:val="009C5240"/>
    <w:rsid w:val="009C5516"/>
    <w:rsid w:val="009C5E3F"/>
    <w:rsid w:val="009C7FF7"/>
    <w:rsid w:val="009D01D0"/>
    <w:rsid w:val="009D089D"/>
    <w:rsid w:val="009D1403"/>
    <w:rsid w:val="009D1573"/>
    <w:rsid w:val="009D164E"/>
    <w:rsid w:val="009D1FC4"/>
    <w:rsid w:val="009D1FCD"/>
    <w:rsid w:val="009D265F"/>
    <w:rsid w:val="009D4122"/>
    <w:rsid w:val="009D4686"/>
    <w:rsid w:val="009D48EA"/>
    <w:rsid w:val="009D5DD5"/>
    <w:rsid w:val="009D5E90"/>
    <w:rsid w:val="009D62FE"/>
    <w:rsid w:val="009D694F"/>
    <w:rsid w:val="009D6A75"/>
    <w:rsid w:val="009D6CE8"/>
    <w:rsid w:val="009D7959"/>
    <w:rsid w:val="009D7ED2"/>
    <w:rsid w:val="009E0373"/>
    <w:rsid w:val="009E0D35"/>
    <w:rsid w:val="009E15C8"/>
    <w:rsid w:val="009E161E"/>
    <w:rsid w:val="009E2135"/>
    <w:rsid w:val="009E2BC6"/>
    <w:rsid w:val="009E3A97"/>
    <w:rsid w:val="009E3C51"/>
    <w:rsid w:val="009E4242"/>
    <w:rsid w:val="009E4C15"/>
    <w:rsid w:val="009E555F"/>
    <w:rsid w:val="009E58D6"/>
    <w:rsid w:val="009E5CAD"/>
    <w:rsid w:val="009E6180"/>
    <w:rsid w:val="009E66A9"/>
    <w:rsid w:val="009E6D47"/>
    <w:rsid w:val="009E7853"/>
    <w:rsid w:val="009F04E9"/>
    <w:rsid w:val="009F0609"/>
    <w:rsid w:val="009F06A2"/>
    <w:rsid w:val="009F0A9E"/>
    <w:rsid w:val="009F15DB"/>
    <w:rsid w:val="009F16B8"/>
    <w:rsid w:val="009F27E4"/>
    <w:rsid w:val="009F2A4E"/>
    <w:rsid w:val="009F2CD8"/>
    <w:rsid w:val="009F3672"/>
    <w:rsid w:val="009F426C"/>
    <w:rsid w:val="009F456A"/>
    <w:rsid w:val="009F4CF3"/>
    <w:rsid w:val="009F5638"/>
    <w:rsid w:val="009F5DDE"/>
    <w:rsid w:val="009F63EF"/>
    <w:rsid w:val="009F6F2D"/>
    <w:rsid w:val="009F70B4"/>
    <w:rsid w:val="00A003FC"/>
    <w:rsid w:val="00A00802"/>
    <w:rsid w:val="00A009A7"/>
    <w:rsid w:val="00A02ADB"/>
    <w:rsid w:val="00A03228"/>
    <w:rsid w:val="00A033EE"/>
    <w:rsid w:val="00A03A9A"/>
    <w:rsid w:val="00A03C4D"/>
    <w:rsid w:val="00A03F19"/>
    <w:rsid w:val="00A04914"/>
    <w:rsid w:val="00A04A4D"/>
    <w:rsid w:val="00A04E5D"/>
    <w:rsid w:val="00A052CA"/>
    <w:rsid w:val="00A06898"/>
    <w:rsid w:val="00A06C9D"/>
    <w:rsid w:val="00A111AC"/>
    <w:rsid w:val="00A111C3"/>
    <w:rsid w:val="00A1191C"/>
    <w:rsid w:val="00A12144"/>
    <w:rsid w:val="00A136D7"/>
    <w:rsid w:val="00A15823"/>
    <w:rsid w:val="00A1588D"/>
    <w:rsid w:val="00A16DE0"/>
    <w:rsid w:val="00A1780B"/>
    <w:rsid w:val="00A20379"/>
    <w:rsid w:val="00A20BC7"/>
    <w:rsid w:val="00A213B0"/>
    <w:rsid w:val="00A21F6B"/>
    <w:rsid w:val="00A22B78"/>
    <w:rsid w:val="00A22F3E"/>
    <w:rsid w:val="00A2423D"/>
    <w:rsid w:val="00A2446B"/>
    <w:rsid w:val="00A244BC"/>
    <w:rsid w:val="00A24F32"/>
    <w:rsid w:val="00A250E1"/>
    <w:rsid w:val="00A25B24"/>
    <w:rsid w:val="00A26117"/>
    <w:rsid w:val="00A26A47"/>
    <w:rsid w:val="00A27169"/>
    <w:rsid w:val="00A3023B"/>
    <w:rsid w:val="00A303AD"/>
    <w:rsid w:val="00A30B1D"/>
    <w:rsid w:val="00A3137D"/>
    <w:rsid w:val="00A3168C"/>
    <w:rsid w:val="00A3173A"/>
    <w:rsid w:val="00A317E2"/>
    <w:rsid w:val="00A3183A"/>
    <w:rsid w:val="00A31ABC"/>
    <w:rsid w:val="00A31B14"/>
    <w:rsid w:val="00A31B7D"/>
    <w:rsid w:val="00A32352"/>
    <w:rsid w:val="00A3240E"/>
    <w:rsid w:val="00A32533"/>
    <w:rsid w:val="00A328F4"/>
    <w:rsid w:val="00A32A65"/>
    <w:rsid w:val="00A3327C"/>
    <w:rsid w:val="00A345DC"/>
    <w:rsid w:val="00A358F5"/>
    <w:rsid w:val="00A3754E"/>
    <w:rsid w:val="00A40772"/>
    <w:rsid w:val="00A408B2"/>
    <w:rsid w:val="00A41A86"/>
    <w:rsid w:val="00A42D42"/>
    <w:rsid w:val="00A42E92"/>
    <w:rsid w:val="00A44292"/>
    <w:rsid w:val="00A4487E"/>
    <w:rsid w:val="00A44D52"/>
    <w:rsid w:val="00A45253"/>
    <w:rsid w:val="00A4532E"/>
    <w:rsid w:val="00A45BBC"/>
    <w:rsid w:val="00A466E9"/>
    <w:rsid w:val="00A467B3"/>
    <w:rsid w:val="00A46BBF"/>
    <w:rsid w:val="00A5050B"/>
    <w:rsid w:val="00A508B9"/>
    <w:rsid w:val="00A51BA9"/>
    <w:rsid w:val="00A52480"/>
    <w:rsid w:val="00A52BD2"/>
    <w:rsid w:val="00A53D94"/>
    <w:rsid w:val="00A543BD"/>
    <w:rsid w:val="00A543CA"/>
    <w:rsid w:val="00A555FF"/>
    <w:rsid w:val="00A560C4"/>
    <w:rsid w:val="00A5649B"/>
    <w:rsid w:val="00A57138"/>
    <w:rsid w:val="00A6050A"/>
    <w:rsid w:val="00A61190"/>
    <w:rsid w:val="00A6151D"/>
    <w:rsid w:val="00A61993"/>
    <w:rsid w:val="00A61A9D"/>
    <w:rsid w:val="00A61B4F"/>
    <w:rsid w:val="00A62580"/>
    <w:rsid w:val="00A62A82"/>
    <w:rsid w:val="00A6357C"/>
    <w:rsid w:val="00A64950"/>
    <w:rsid w:val="00A6523A"/>
    <w:rsid w:val="00A65982"/>
    <w:rsid w:val="00A66183"/>
    <w:rsid w:val="00A662B4"/>
    <w:rsid w:val="00A677A7"/>
    <w:rsid w:val="00A67CDD"/>
    <w:rsid w:val="00A7118D"/>
    <w:rsid w:val="00A716CE"/>
    <w:rsid w:val="00A72165"/>
    <w:rsid w:val="00A745C2"/>
    <w:rsid w:val="00A755AB"/>
    <w:rsid w:val="00A75CE5"/>
    <w:rsid w:val="00A7604D"/>
    <w:rsid w:val="00A7622F"/>
    <w:rsid w:val="00A76253"/>
    <w:rsid w:val="00A763D6"/>
    <w:rsid w:val="00A764D7"/>
    <w:rsid w:val="00A7669F"/>
    <w:rsid w:val="00A7683A"/>
    <w:rsid w:val="00A809FE"/>
    <w:rsid w:val="00A80B3A"/>
    <w:rsid w:val="00A8227C"/>
    <w:rsid w:val="00A824A5"/>
    <w:rsid w:val="00A82CD6"/>
    <w:rsid w:val="00A830C1"/>
    <w:rsid w:val="00A83450"/>
    <w:rsid w:val="00A83863"/>
    <w:rsid w:val="00A83D21"/>
    <w:rsid w:val="00A84042"/>
    <w:rsid w:val="00A84058"/>
    <w:rsid w:val="00A845AE"/>
    <w:rsid w:val="00A84E50"/>
    <w:rsid w:val="00A85906"/>
    <w:rsid w:val="00A879C0"/>
    <w:rsid w:val="00A87AB7"/>
    <w:rsid w:val="00A87CFA"/>
    <w:rsid w:val="00A90EF3"/>
    <w:rsid w:val="00A911FB"/>
    <w:rsid w:val="00A91B92"/>
    <w:rsid w:val="00A91BB9"/>
    <w:rsid w:val="00A926F0"/>
    <w:rsid w:val="00A927A9"/>
    <w:rsid w:val="00A93614"/>
    <w:rsid w:val="00A94AE0"/>
    <w:rsid w:val="00A94F5B"/>
    <w:rsid w:val="00A958B0"/>
    <w:rsid w:val="00A959D6"/>
    <w:rsid w:val="00A96656"/>
    <w:rsid w:val="00A96C05"/>
    <w:rsid w:val="00A979F7"/>
    <w:rsid w:val="00A97C88"/>
    <w:rsid w:val="00AA0050"/>
    <w:rsid w:val="00AA0167"/>
    <w:rsid w:val="00AA0DBE"/>
    <w:rsid w:val="00AA0F7B"/>
    <w:rsid w:val="00AA11FE"/>
    <w:rsid w:val="00AA14DE"/>
    <w:rsid w:val="00AA1A26"/>
    <w:rsid w:val="00AA1D8B"/>
    <w:rsid w:val="00AA203E"/>
    <w:rsid w:val="00AA2078"/>
    <w:rsid w:val="00AA2215"/>
    <w:rsid w:val="00AA289E"/>
    <w:rsid w:val="00AA2A5E"/>
    <w:rsid w:val="00AA2C8A"/>
    <w:rsid w:val="00AA41E0"/>
    <w:rsid w:val="00AA4C33"/>
    <w:rsid w:val="00AA5309"/>
    <w:rsid w:val="00AA56C0"/>
    <w:rsid w:val="00AA5893"/>
    <w:rsid w:val="00AA6357"/>
    <w:rsid w:val="00AA6792"/>
    <w:rsid w:val="00AA6876"/>
    <w:rsid w:val="00AA6C72"/>
    <w:rsid w:val="00AA6FF6"/>
    <w:rsid w:val="00AA7302"/>
    <w:rsid w:val="00AA7B4B"/>
    <w:rsid w:val="00AA7CAF"/>
    <w:rsid w:val="00AA7FBE"/>
    <w:rsid w:val="00AB0883"/>
    <w:rsid w:val="00AB0AF9"/>
    <w:rsid w:val="00AB138F"/>
    <w:rsid w:val="00AB16DB"/>
    <w:rsid w:val="00AB1C03"/>
    <w:rsid w:val="00AB21F7"/>
    <w:rsid w:val="00AB2E1C"/>
    <w:rsid w:val="00AB409A"/>
    <w:rsid w:val="00AB412E"/>
    <w:rsid w:val="00AB4966"/>
    <w:rsid w:val="00AB4DED"/>
    <w:rsid w:val="00AB5FF3"/>
    <w:rsid w:val="00AB6302"/>
    <w:rsid w:val="00AB6A1F"/>
    <w:rsid w:val="00AB6AE2"/>
    <w:rsid w:val="00AB6C43"/>
    <w:rsid w:val="00AB71C6"/>
    <w:rsid w:val="00AB73B4"/>
    <w:rsid w:val="00AC0224"/>
    <w:rsid w:val="00AC042B"/>
    <w:rsid w:val="00AC1174"/>
    <w:rsid w:val="00AC13E1"/>
    <w:rsid w:val="00AC14A3"/>
    <w:rsid w:val="00AC1E98"/>
    <w:rsid w:val="00AC225D"/>
    <w:rsid w:val="00AC30F1"/>
    <w:rsid w:val="00AC4114"/>
    <w:rsid w:val="00AC431F"/>
    <w:rsid w:val="00AC4826"/>
    <w:rsid w:val="00AC53DE"/>
    <w:rsid w:val="00AC577D"/>
    <w:rsid w:val="00AC5E60"/>
    <w:rsid w:val="00AC6C1C"/>
    <w:rsid w:val="00AC766A"/>
    <w:rsid w:val="00AC77E0"/>
    <w:rsid w:val="00AC7B96"/>
    <w:rsid w:val="00AD1B7B"/>
    <w:rsid w:val="00AD1BF3"/>
    <w:rsid w:val="00AD25EA"/>
    <w:rsid w:val="00AD2811"/>
    <w:rsid w:val="00AD35F7"/>
    <w:rsid w:val="00AD3A64"/>
    <w:rsid w:val="00AD4E1D"/>
    <w:rsid w:val="00AD4FD5"/>
    <w:rsid w:val="00AD6768"/>
    <w:rsid w:val="00AD6876"/>
    <w:rsid w:val="00AD6C7A"/>
    <w:rsid w:val="00AD73DC"/>
    <w:rsid w:val="00AD7B06"/>
    <w:rsid w:val="00AE05A9"/>
    <w:rsid w:val="00AE1457"/>
    <w:rsid w:val="00AE2303"/>
    <w:rsid w:val="00AE2354"/>
    <w:rsid w:val="00AE280F"/>
    <w:rsid w:val="00AE2E62"/>
    <w:rsid w:val="00AE2F02"/>
    <w:rsid w:val="00AE31A7"/>
    <w:rsid w:val="00AE3437"/>
    <w:rsid w:val="00AE4CC4"/>
    <w:rsid w:val="00AE4CCB"/>
    <w:rsid w:val="00AE53AD"/>
    <w:rsid w:val="00AE582A"/>
    <w:rsid w:val="00AE6A04"/>
    <w:rsid w:val="00AE6FCE"/>
    <w:rsid w:val="00AF004A"/>
    <w:rsid w:val="00AF02C8"/>
    <w:rsid w:val="00AF0BE0"/>
    <w:rsid w:val="00AF0FEA"/>
    <w:rsid w:val="00AF1091"/>
    <w:rsid w:val="00AF1BFC"/>
    <w:rsid w:val="00AF1CAE"/>
    <w:rsid w:val="00AF2002"/>
    <w:rsid w:val="00AF309D"/>
    <w:rsid w:val="00AF3689"/>
    <w:rsid w:val="00AF403D"/>
    <w:rsid w:val="00AF439C"/>
    <w:rsid w:val="00AF56B2"/>
    <w:rsid w:val="00AF60C6"/>
    <w:rsid w:val="00AF611A"/>
    <w:rsid w:val="00AF6E4A"/>
    <w:rsid w:val="00AF703F"/>
    <w:rsid w:val="00AF7A09"/>
    <w:rsid w:val="00AF7C80"/>
    <w:rsid w:val="00B001C0"/>
    <w:rsid w:val="00B007CA"/>
    <w:rsid w:val="00B010B0"/>
    <w:rsid w:val="00B01BFC"/>
    <w:rsid w:val="00B01D5B"/>
    <w:rsid w:val="00B02B47"/>
    <w:rsid w:val="00B03571"/>
    <w:rsid w:val="00B035F2"/>
    <w:rsid w:val="00B03911"/>
    <w:rsid w:val="00B03B56"/>
    <w:rsid w:val="00B04050"/>
    <w:rsid w:val="00B04596"/>
    <w:rsid w:val="00B06471"/>
    <w:rsid w:val="00B10C0F"/>
    <w:rsid w:val="00B10DB3"/>
    <w:rsid w:val="00B1148F"/>
    <w:rsid w:val="00B114A0"/>
    <w:rsid w:val="00B11AA7"/>
    <w:rsid w:val="00B126AE"/>
    <w:rsid w:val="00B12E78"/>
    <w:rsid w:val="00B1382A"/>
    <w:rsid w:val="00B13943"/>
    <w:rsid w:val="00B1397E"/>
    <w:rsid w:val="00B13D63"/>
    <w:rsid w:val="00B1493A"/>
    <w:rsid w:val="00B14A9B"/>
    <w:rsid w:val="00B1515D"/>
    <w:rsid w:val="00B15A4D"/>
    <w:rsid w:val="00B16459"/>
    <w:rsid w:val="00B166FC"/>
    <w:rsid w:val="00B16AD9"/>
    <w:rsid w:val="00B17760"/>
    <w:rsid w:val="00B177D5"/>
    <w:rsid w:val="00B1790A"/>
    <w:rsid w:val="00B20701"/>
    <w:rsid w:val="00B20937"/>
    <w:rsid w:val="00B21E14"/>
    <w:rsid w:val="00B226CF"/>
    <w:rsid w:val="00B22797"/>
    <w:rsid w:val="00B259D7"/>
    <w:rsid w:val="00B25CEA"/>
    <w:rsid w:val="00B26726"/>
    <w:rsid w:val="00B26777"/>
    <w:rsid w:val="00B270B3"/>
    <w:rsid w:val="00B27E34"/>
    <w:rsid w:val="00B315F5"/>
    <w:rsid w:val="00B3212B"/>
    <w:rsid w:val="00B32C41"/>
    <w:rsid w:val="00B32F34"/>
    <w:rsid w:val="00B336DB"/>
    <w:rsid w:val="00B344AC"/>
    <w:rsid w:val="00B34511"/>
    <w:rsid w:val="00B34CCF"/>
    <w:rsid w:val="00B35C3F"/>
    <w:rsid w:val="00B35ED6"/>
    <w:rsid w:val="00B361D4"/>
    <w:rsid w:val="00B373CF"/>
    <w:rsid w:val="00B4061C"/>
    <w:rsid w:val="00B417F4"/>
    <w:rsid w:val="00B41D0D"/>
    <w:rsid w:val="00B44392"/>
    <w:rsid w:val="00B44AA1"/>
    <w:rsid w:val="00B45067"/>
    <w:rsid w:val="00B451C4"/>
    <w:rsid w:val="00B457DE"/>
    <w:rsid w:val="00B45AA1"/>
    <w:rsid w:val="00B472B1"/>
    <w:rsid w:val="00B473D0"/>
    <w:rsid w:val="00B47983"/>
    <w:rsid w:val="00B47C20"/>
    <w:rsid w:val="00B50022"/>
    <w:rsid w:val="00B506B1"/>
    <w:rsid w:val="00B50940"/>
    <w:rsid w:val="00B50B52"/>
    <w:rsid w:val="00B518BF"/>
    <w:rsid w:val="00B51C60"/>
    <w:rsid w:val="00B51CCA"/>
    <w:rsid w:val="00B52DFD"/>
    <w:rsid w:val="00B5317B"/>
    <w:rsid w:val="00B53A5F"/>
    <w:rsid w:val="00B53D2D"/>
    <w:rsid w:val="00B53E77"/>
    <w:rsid w:val="00B5453F"/>
    <w:rsid w:val="00B556BD"/>
    <w:rsid w:val="00B564FC"/>
    <w:rsid w:val="00B56CE9"/>
    <w:rsid w:val="00B57C69"/>
    <w:rsid w:val="00B60CA4"/>
    <w:rsid w:val="00B610A5"/>
    <w:rsid w:val="00B610AE"/>
    <w:rsid w:val="00B6197B"/>
    <w:rsid w:val="00B62347"/>
    <w:rsid w:val="00B62E82"/>
    <w:rsid w:val="00B6357E"/>
    <w:rsid w:val="00B63E47"/>
    <w:rsid w:val="00B63F4B"/>
    <w:rsid w:val="00B64860"/>
    <w:rsid w:val="00B648C6"/>
    <w:rsid w:val="00B64C5E"/>
    <w:rsid w:val="00B6526D"/>
    <w:rsid w:val="00B65910"/>
    <w:rsid w:val="00B669EC"/>
    <w:rsid w:val="00B66C41"/>
    <w:rsid w:val="00B66D95"/>
    <w:rsid w:val="00B66E1D"/>
    <w:rsid w:val="00B67953"/>
    <w:rsid w:val="00B679B1"/>
    <w:rsid w:val="00B71128"/>
    <w:rsid w:val="00B71821"/>
    <w:rsid w:val="00B718C8"/>
    <w:rsid w:val="00B71F3A"/>
    <w:rsid w:val="00B7259E"/>
    <w:rsid w:val="00B728EF"/>
    <w:rsid w:val="00B73BB1"/>
    <w:rsid w:val="00B73EB2"/>
    <w:rsid w:val="00B73EB5"/>
    <w:rsid w:val="00B74638"/>
    <w:rsid w:val="00B746FA"/>
    <w:rsid w:val="00B75E02"/>
    <w:rsid w:val="00B7613C"/>
    <w:rsid w:val="00B76F64"/>
    <w:rsid w:val="00B76F7B"/>
    <w:rsid w:val="00B77057"/>
    <w:rsid w:val="00B77584"/>
    <w:rsid w:val="00B80BAB"/>
    <w:rsid w:val="00B80D5B"/>
    <w:rsid w:val="00B810B5"/>
    <w:rsid w:val="00B81770"/>
    <w:rsid w:val="00B818F3"/>
    <w:rsid w:val="00B81D4D"/>
    <w:rsid w:val="00B81E9A"/>
    <w:rsid w:val="00B8207D"/>
    <w:rsid w:val="00B82929"/>
    <w:rsid w:val="00B82BC2"/>
    <w:rsid w:val="00B83502"/>
    <w:rsid w:val="00B850B4"/>
    <w:rsid w:val="00B850C8"/>
    <w:rsid w:val="00B85E1D"/>
    <w:rsid w:val="00B86323"/>
    <w:rsid w:val="00B878FD"/>
    <w:rsid w:val="00B903C9"/>
    <w:rsid w:val="00B9248F"/>
    <w:rsid w:val="00B9313E"/>
    <w:rsid w:val="00B937D8"/>
    <w:rsid w:val="00B93C1F"/>
    <w:rsid w:val="00B95296"/>
    <w:rsid w:val="00B97228"/>
    <w:rsid w:val="00B97C1B"/>
    <w:rsid w:val="00BA084E"/>
    <w:rsid w:val="00BA107D"/>
    <w:rsid w:val="00BA1201"/>
    <w:rsid w:val="00BA19A5"/>
    <w:rsid w:val="00BA3503"/>
    <w:rsid w:val="00BA3CA8"/>
    <w:rsid w:val="00BA4388"/>
    <w:rsid w:val="00BA4C75"/>
    <w:rsid w:val="00BA4E93"/>
    <w:rsid w:val="00BA55B1"/>
    <w:rsid w:val="00BA56F3"/>
    <w:rsid w:val="00BA5C82"/>
    <w:rsid w:val="00BA5CC0"/>
    <w:rsid w:val="00BA6206"/>
    <w:rsid w:val="00BA6B6C"/>
    <w:rsid w:val="00BA6F44"/>
    <w:rsid w:val="00BA70A1"/>
    <w:rsid w:val="00BB118C"/>
    <w:rsid w:val="00BB1227"/>
    <w:rsid w:val="00BB13E3"/>
    <w:rsid w:val="00BB2CC1"/>
    <w:rsid w:val="00BB3CB5"/>
    <w:rsid w:val="00BB3D34"/>
    <w:rsid w:val="00BB447D"/>
    <w:rsid w:val="00BB5424"/>
    <w:rsid w:val="00BB59D1"/>
    <w:rsid w:val="00BB6564"/>
    <w:rsid w:val="00BB6B6F"/>
    <w:rsid w:val="00BB72D0"/>
    <w:rsid w:val="00BB7CF5"/>
    <w:rsid w:val="00BC1614"/>
    <w:rsid w:val="00BC2796"/>
    <w:rsid w:val="00BC3956"/>
    <w:rsid w:val="00BC39EA"/>
    <w:rsid w:val="00BC3D86"/>
    <w:rsid w:val="00BC3E44"/>
    <w:rsid w:val="00BC3E8C"/>
    <w:rsid w:val="00BC402B"/>
    <w:rsid w:val="00BC452A"/>
    <w:rsid w:val="00BC480E"/>
    <w:rsid w:val="00BC7996"/>
    <w:rsid w:val="00BC7AAF"/>
    <w:rsid w:val="00BD0442"/>
    <w:rsid w:val="00BD08DA"/>
    <w:rsid w:val="00BD1900"/>
    <w:rsid w:val="00BD1A0B"/>
    <w:rsid w:val="00BD1DBF"/>
    <w:rsid w:val="00BD2463"/>
    <w:rsid w:val="00BD2EC8"/>
    <w:rsid w:val="00BD4DB7"/>
    <w:rsid w:val="00BD5CC8"/>
    <w:rsid w:val="00BD6B62"/>
    <w:rsid w:val="00BD6EA4"/>
    <w:rsid w:val="00BD72DF"/>
    <w:rsid w:val="00BD7470"/>
    <w:rsid w:val="00BD77DD"/>
    <w:rsid w:val="00BE05EE"/>
    <w:rsid w:val="00BE0C16"/>
    <w:rsid w:val="00BE0ED7"/>
    <w:rsid w:val="00BE2B40"/>
    <w:rsid w:val="00BE3104"/>
    <w:rsid w:val="00BE3EC2"/>
    <w:rsid w:val="00BE4223"/>
    <w:rsid w:val="00BE51F4"/>
    <w:rsid w:val="00BF294F"/>
    <w:rsid w:val="00BF2A00"/>
    <w:rsid w:val="00BF2E33"/>
    <w:rsid w:val="00BF2F9D"/>
    <w:rsid w:val="00BF390D"/>
    <w:rsid w:val="00BF3ACB"/>
    <w:rsid w:val="00BF49F3"/>
    <w:rsid w:val="00BF4E1B"/>
    <w:rsid w:val="00BF510E"/>
    <w:rsid w:val="00BF5DF5"/>
    <w:rsid w:val="00BF69B5"/>
    <w:rsid w:val="00BF7003"/>
    <w:rsid w:val="00BF7644"/>
    <w:rsid w:val="00BF7695"/>
    <w:rsid w:val="00BF76DC"/>
    <w:rsid w:val="00BF7CC3"/>
    <w:rsid w:val="00BF7E5E"/>
    <w:rsid w:val="00C00567"/>
    <w:rsid w:val="00C0062D"/>
    <w:rsid w:val="00C026ED"/>
    <w:rsid w:val="00C02AF7"/>
    <w:rsid w:val="00C035C8"/>
    <w:rsid w:val="00C0378F"/>
    <w:rsid w:val="00C03A23"/>
    <w:rsid w:val="00C03B86"/>
    <w:rsid w:val="00C04EA2"/>
    <w:rsid w:val="00C0700B"/>
    <w:rsid w:val="00C0775F"/>
    <w:rsid w:val="00C07A66"/>
    <w:rsid w:val="00C07AC9"/>
    <w:rsid w:val="00C10F1B"/>
    <w:rsid w:val="00C131BC"/>
    <w:rsid w:val="00C13A2B"/>
    <w:rsid w:val="00C13BF3"/>
    <w:rsid w:val="00C13C16"/>
    <w:rsid w:val="00C13E50"/>
    <w:rsid w:val="00C143DB"/>
    <w:rsid w:val="00C145DC"/>
    <w:rsid w:val="00C15184"/>
    <w:rsid w:val="00C158FE"/>
    <w:rsid w:val="00C15EC0"/>
    <w:rsid w:val="00C1689E"/>
    <w:rsid w:val="00C1732A"/>
    <w:rsid w:val="00C21089"/>
    <w:rsid w:val="00C23379"/>
    <w:rsid w:val="00C24E28"/>
    <w:rsid w:val="00C25E88"/>
    <w:rsid w:val="00C27004"/>
    <w:rsid w:val="00C27CE9"/>
    <w:rsid w:val="00C30475"/>
    <w:rsid w:val="00C31733"/>
    <w:rsid w:val="00C31E15"/>
    <w:rsid w:val="00C31F11"/>
    <w:rsid w:val="00C31F8B"/>
    <w:rsid w:val="00C321DB"/>
    <w:rsid w:val="00C3287A"/>
    <w:rsid w:val="00C33684"/>
    <w:rsid w:val="00C33707"/>
    <w:rsid w:val="00C35289"/>
    <w:rsid w:val="00C3537C"/>
    <w:rsid w:val="00C36BD2"/>
    <w:rsid w:val="00C3761D"/>
    <w:rsid w:val="00C378CB"/>
    <w:rsid w:val="00C37C3C"/>
    <w:rsid w:val="00C37FC6"/>
    <w:rsid w:val="00C423EF"/>
    <w:rsid w:val="00C43400"/>
    <w:rsid w:val="00C434FA"/>
    <w:rsid w:val="00C4432E"/>
    <w:rsid w:val="00C469A2"/>
    <w:rsid w:val="00C46A71"/>
    <w:rsid w:val="00C477EA"/>
    <w:rsid w:val="00C50D40"/>
    <w:rsid w:val="00C5284D"/>
    <w:rsid w:val="00C5384B"/>
    <w:rsid w:val="00C53C61"/>
    <w:rsid w:val="00C54B0E"/>
    <w:rsid w:val="00C551F7"/>
    <w:rsid w:val="00C56971"/>
    <w:rsid w:val="00C56E81"/>
    <w:rsid w:val="00C57089"/>
    <w:rsid w:val="00C5735C"/>
    <w:rsid w:val="00C57BF2"/>
    <w:rsid w:val="00C57FFD"/>
    <w:rsid w:val="00C602EC"/>
    <w:rsid w:val="00C60651"/>
    <w:rsid w:val="00C6072D"/>
    <w:rsid w:val="00C60819"/>
    <w:rsid w:val="00C617C7"/>
    <w:rsid w:val="00C6280C"/>
    <w:rsid w:val="00C629C8"/>
    <w:rsid w:val="00C641CD"/>
    <w:rsid w:val="00C64201"/>
    <w:rsid w:val="00C65460"/>
    <w:rsid w:val="00C65FBD"/>
    <w:rsid w:val="00C66F23"/>
    <w:rsid w:val="00C67034"/>
    <w:rsid w:val="00C673D0"/>
    <w:rsid w:val="00C70462"/>
    <w:rsid w:val="00C7122A"/>
    <w:rsid w:val="00C72790"/>
    <w:rsid w:val="00C72791"/>
    <w:rsid w:val="00C72E44"/>
    <w:rsid w:val="00C72F5E"/>
    <w:rsid w:val="00C742D9"/>
    <w:rsid w:val="00C74DF4"/>
    <w:rsid w:val="00C7542E"/>
    <w:rsid w:val="00C756C7"/>
    <w:rsid w:val="00C75DCC"/>
    <w:rsid w:val="00C763FD"/>
    <w:rsid w:val="00C77195"/>
    <w:rsid w:val="00C80344"/>
    <w:rsid w:val="00C81659"/>
    <w:rsid w:val="00C818C3"/>
    <w:rsid w:val="00C82466"/>
    <w:rsid w:val="00C8381E"/>
    <w:rsid w:val="00C8478A"/>
    <w:rsid w:val="00C84ADD"/>
    <w:rsid w:val="00C84C76"/>
    <w:rsid w:val="00C85B45"/>
    <w:rsid w:val="00C85FB3"/>
    <w:rsid w:val="00C8766A"/>
    <w:rsid w:val="00C87ED1"/>
    <w:rsid w:val="00C90160"/>
    <w:rsid w:val="00C9196C"/>
    <w:rsid w:val="00C92423"/>
    <w:rsid w:val="00C932D8"/>
    <w:rsid w:val="00C93C38"/>
    <w:rsid w:val="00C94322"/>
    <w:rsid w:val="00C95C49"/>
    <w:rsid w:val="00C95C99"/>
    <w:rsid w:val="00C973CE"/>
    <w:rsid w:val="00C97660"/>
    <w:rsid w:val="00C976B1"/>
    <w:rsid w:val="00C9776B"/>
    <w:rsid w:val="00C97D3E"/>
    <w:rsid w:val="00C97DC1"/>
    <w:rsid w:val="00C97DD0"/>
    <w:rsid w:val="00CA0502"/>
    <w:rsid w:val="00CA0867"/>
    <w:rsid w:val="00CA0D81"/>
    <w:rsid w:val="00CA1562"/>
    <w:rsid w:val="00CA1DB7"/>
    <w:rsid w:val="00CA2CBE"/>
    <w:rsid w:val="00CA3102"/>
    <w:rsid w:val="00CA36B6"/>
    <w:rsid w:val="00CA3934"/>
    <w:rsid w:val="00CA39AE"/>
    <w:rsid w:val="00CA48A2"/>
    <w:rsid w:val="00CA5AB4"/>
    <w:rsid w:val="00CA5FB5"/>
    <w:rsid w:val="00CA6425"/>
    <w:rsid w:val="00CA695E"/>
    <w:rsid w:val="00CA6BF7"/>
    <w:rsid w:val="00CA6F16"/>
    <w:rsid w:val="00CA6FAB"/>
    <w:rsid w:val="00CA7948"/>
    <w:rsid w:val="00CA7E1B"/>
    <w:rsid w:val="00CB0072"/>
    <w:rsid w:val="00CB0750"/>
    <w:rsid w:val="00CB0D4F"/>
    <w:rsid w:val="00CB2060"/>
    <w:rsid w:val="00CB243A"/>
    <w:rsid w:val="00CB2519"/>
    <w:rsid w:val="00CB3873"/>
    <w:rsid w:val="00CB3FC7"/>
    <w:rsid w:val="00CB3FE5"/>
    <w:rsid w:val="00CB56BB"/>
    <w:rsid w:val="00CB56F9"/>
    <w:rsid w:val="00CB58D0"/>
    <w:rsid w:val="00CB5A9E"/>
    <w:rsid w:val="00CB5B59"/>
    <w:rsid w:val="00CB7C4E"/>
    <w:rsid w:val="00CB7F71"/>
    <w:rsid w:val="00CC053B"/>
    <w:rsid w:val="00CC07E1"/>
    <w:rsid w:val="00CC1EB4"/>
    <w:rsid w:val="00CC2041"/>
    <w:rsid w:val="00CC3104"/>
    <w:rsid w:val="00CC312F"/>
    <w:rsid w:val="00CC38A0"/>
    <w:rsid w:val="00CC399F"/>
    <w:rsid w:val="00CC3A9F"/>
    <w:rsid w:val="00CC3C3B"/>
    <w:rsid w:val="00CC446E"/>
    <w:rsid w:val="00CC52E7"/>
    <w:rsid w:val="00CC5337"/>
    <w:rsid w:val="00CC6B82"/>
    <w:rsid w:val="00CC71B7"/>
    <w:rsid w:val="00CC7ED6"/>
    <w:rsid w:val="00CD2306"/>
    <w:rsid w:val="00CD41B5"/>
    <w:rsid w:val="00CD4C3E"/>
    <w:rsid w:val="00CD5D57"/>
    <w:rsid w:val="00CD6B50"/>
    <w:rsid w:val="00CD7098"/>
    <w:rsid w:val="00CD778F"/>
    <w:rsid w:val="00CD7B2C"/>
    <w:rsid w:val="00CE037E"/>
    <w:rsid w:val="00CE0B33"/>
    <w:rsid w:val="00CE0D4F"/>
    <w:rsid w:val="00CE1673"/>
    <w:rsid w:val="00CE172A"/>
    <w:rsid w:val="00CE1B7B"/>
    <w:rsid w:val="00CE2266"/>
    <w:rsid w:val="00CE27D3"/>
    <w:rsid w:val="00CE2863"/>
    <w:rsid w:val="00CE2C88"/>
    <w:rsid w:val="00CE3E32"/>
    <w:rsid w:val="00CE3EAB"/>
    <w:rsid w:val="00CE5332"/>
    <w:rsid w:val="00CE53B0"/>
    <w:rsid w:val="00CE55E7"/>
    <w:rsid w:val="00CE63B1"/>
    <w:rsid w:val="00CE6CD9"/>
    <w:rsid w:val="00CF02ED"/>
    <w:rsid w:val="00CF056F"/>
    <w:rsid w:val="00CF07F5"/>
    <w:rsid w:val="00CF1BC5"/>
    <w:rsid w:val="00CF29E9"/>
    <w:rsid w:val="00CF4912"/>
    <w:rsid w:val="00CF576D"/>
    <w:rsid w:val="00CF5807"/>
    <w:rsid w:val="00CF7101"/>
    <w:rsid w:val="00CF73DB"/>
    <w:rsid w:val="00CF7A81"/>
    <w:rsid w:val="00CF7A87"/>
    <w:rsid w:val="00CF7F26"/>
    <w:rsid w:val="00D014CA"/>
    <w:rsid w:val="00D02199"/>
    <w:rsid w:val="00D02208"/>
    <w:rsid w:val="00D02FDC"/>
    <w:rsid w:val="00D0426E"/>
    <w:rsid w:val="00D048B0"/>
    <w:rsid w:val="00D04CA2"/>
    <w:rsid w:val="00D0552C"/>
    <w:rsid w:val="00D05C0A"/>
    <w:rsid w:val="00D060C3"/>
    <w:rsid w:val="00D066D6"/>
    <w:rsid w:val="00D0741A"/>
    <w:rsid w:val="00D07786"/>
    <w:rsid w:val="00D10ADC"/>
    <w:rsid w:val="00D10F5E"/>
    <w:rsid w:val="00D11440"/>
    <w:rsid w:val="00D129A9"/>
    <w:rsid w:val="00D12D32"/>
    <w:rsid w:val="00D1312D"/>
    <w:rsid w:val="00D13DEA"/>
    <w:rsid w:val="00D142F8"/>
    <w:rsid w:val="00D14B11"/>
    <w:rsid w:val="00D14B80"/>
    <w:rsid w:val="00D160C0"/>
    <w:rsid w:val="00D16921"/>
    <w:rsid w:val="00D16B27"/>
    <w:rsid w:val="00D16E64"/>
    <w:rsid w:val="00D20463"/>
    <w:rsid w:val="00D2051A"/>
    <w:rsid w:val="00D22E84"/>
    <w:rsid w:val="00D22F57"/>
    <w:rsid w:val="00D23AAC"/>
    <w:rsid w:val="00D244C9"/>
    <w:rsid w:val="00D24B6E"/>
    <w:rsid w:val="00D25D73"/>
    <w:rsid w:val="00D2696D"/>
    <w:rsid w:val="00D26AAC"/>
    <w:rsid w:val="00D27243"/>
    <w:rsid w:val="00D3028F"/>
    <w:rsid w:val="00D30796"/>
    <w:rsid w:val="00D30EC0"/>
    <w:rsid w:val="00D32F04"/>
    <w:rsid w:val="00D33F94"/>
    <w:rsid w:val="00D346AF"/>
    <w:rsid w:val="00D350BC"/>
    <w:rsid w:val="00D35CE7"/>
    <w:rsid w:val="00D36A3F"/>
    <w:rsid w:val="00D3742F"/>
    <w:rsid w:val="00D37BE3"/>
    <w:rsid w:val="00D408FF"/>
    <w:rsid w:val="00D40C58"/>
    <w:rsid w:val="00D415E0"/>
    <w:rsid w:val="00D41977"/>
    <w:rsid w:val="00D41A12"/>
    <w:rsid w:val="00D41C3B"/>
    <w:rsid w:val="00D428A5"/>
    <w:rsid w:val="00D438F0"/>
    <w:rsid w:val="00D43EEB"/>
    <w:rsid w:val="00D4466D"/>
    <w:rsid w:val="00D44F77"/>
    <w:rsid w:val="00D45042"/>
    <w:rsid w:val="00D471F4"/>
    <w:rsid w:val="00D4738D"/>
    <w:rsid w:val="00D47692"/>
    <w:rsid w:val="00D50D36"/>
    <w:rsid w:val="00D5223D"/>
    <w:rsid w:val="00D522A2"/>
    <w:rsid w:val="00D52C6C"/>
    <w:rsid w:val="00D52D2B"/>
    <w:rsid w:val="00D52DDD"/>
    <w:rsid w:val="00D53337"/>
    <w:rsid w:val="00D5370B"/>
    <w:rsid w:val="00D54430"/>
    <w:rsid w:val="00D54C44"/>
    <w:rsid w:val="00D5532D"/>
    <w:rsid w:val="00D56302"/>
    <w:rsid w:val="00D564F5"/>
    <w:rsid w:val="00D564F8"/>
    <w:rsid w:val="00D56583"/>
    <w:rsid w:val="00D5685F"/>
    <w:rsid w:val="00D5729C"/>
    <w:rsid w:val="00D57626"/>
    <w:rsid w:val="00D60376"/>
    <w:rsid w:val="00D603A6"/>
    <w:rsid w:val="00D612F2"/>
    <w:rsid w:val="00D61719"/>
    <w:rsid w:val="00D6183F"/>
    <w:rsid w:val="00D61CF7"/>
    <w:rsid w:val="00D61FCA"/>
    <w:rsid w:val="00D621B2"/>
    <w:rsid w:val="00D622B2"/>
    <w:rsid w:val="00D63378"/>
    <w:rsid w:val="00D65562"/>
    <w:rsid w:val="00D66A03"/>
    <w:rsid w:val="00D67146"/>
    <w:rsid w:val="00D67EFD"/>
    <w:rsid w:val="00D70731"/>
    <w:rsid w:val="00D70D61"/>
    <w:rsid w:val="00D70FAF"/>
    <w:rsid w:val="00D71514"/>
    <w:rsid w:val="00D7161B"/>
    <w:rsid w:val="00D7225F"/>
    <w:rsid w:val="00D726A7"/>
    <w:rsid w:val="00D731DF"/>
    <w:rsid w:val="00D7334A"/>
    <w:rsid w:val="00D73766"/>
    <w:rsid w:val="00D74102"/>
    <w:rsid w:val="00D7466B"/>
    <w:rsid w:val="00D7509A"/>
    <w:rsid w:val="00D751F0"/>
    <w:rsid w:val="00D752A0"/>
    <w:rsid w:val="00D7604E"/>
    <w:rsid w:val="00D76356"/>
    <w:rsid w:val="00D76AF3"/>
    <w:rsid w:val="00D7720F"/>
    <w:rsid w:val="00D77E31"/>
    <w:rsid w:val="00D80D4E"/>
    <w:rsid w:val="00D80DD7"/>
    <w:rsid w:val="00D80E2B"/>
    <w:rsid w:val="00D80E57"/>
    <w:rsid w:val="00D822AE"/>
    <w:rsid w:val="00D82312"/>
    <w:rsid w:val="00D830A4"/>
    <w:rsid w:val="00D8379F"/>
    <w:rsid w:val="00D83A34"/>
    <w:rsid w:val="00D83E5F"/>
    <w:rsid w:val="00D84D70"/>
    <w:rsid w:val="00D858FB"/>
    <w:rsid w:val="00D86227"/>
    <w:rsid w:val="00D86918"/>
    <w:rsid w:val="00D87121"/>
    <w:rsid w:val="00D87374"/>
    <w:rsid w:val="00D87882"/>
    <w:rsid w:val="00D90962"/>
    <w:rsid w:val="00D91B09"/>
    <w:rsid w:val="00D91C52"/>
    <w:rsid w:val="00D91C96"/>
    <w:rsid w:val="00D92846"/>
    <w:rsid w:val="00D929BF"/>
    <w:rsid w:val="00D929CC"/>
    <w:rsid w:val="00D92A82"/>
    <w:rsid w:val="00D93508"/>
    <w:rsid w:val="00D93F74"/>
    <w:rsid w:val="00D94C7B"/>
    <w:rsid w:val="00D94C7F"/>
    <w:rsid w:val="00D957C3"/>
    <w:rsid w:val="00D95D0F"/>
    <w:rsid w:val="00D95D65"/>
    <w:rsid w:val="00D95F09"/>
    <w:rsid w:val="00D96681"/>
    <w:rsid w:val="00D979AF"/>
    <w:rsid w:val="00DA083B"/>
    <w:rsid w:val="00DA0B30"/>
    <w:rsid w:val="00DA0F5E"/>
    <w:rsid w:val="00DA240F"/>
    <w:rsid w:val="00DA2CD8"/>
    <w:rsid w:val="00DA410E"/>
    <w:rsid w:val="00DA46A6"/>
    <w:rsid w:val="00DA4C1B"/>
    <w:rsid w:val="00DA4D5B"/>
    <w:rsid w:val="00DA4FE8"/>
    <w:rsid w:val="00DA5474"/>
    <w:rsid w:val="00DA71F4"/>
    <w:rsid w:val="00DA7D84"/>
    <w:rsid w:val="00DB10F3"/>
    <w:rsid w:val="00DB137D"/>
    <w:rsid w:val="00DB1BED"/>
    <w:rsid w:val="00DB2CCE"/>
    <w:rsid w:val="00DB3F10"/>
    <w:rsid w:val="00DB3F15"/>
    <w:rsid w:val="00DB414C"/>
    <w:rsid w:val="00DB42AB"/>
    <w:rsid w:val="00DB448B"/>
    <w:rsid w:val="00DB4AAE"/>
    <w:rsid w:val="00DB5723"/>
    <w:rsid w:val="00DB57F7"/>
    <w:rsid w:val="00DB5988"/>
    <w:rsid w:val="00DB6CF8"/>
    <w:rsid w:val="00DB7CB8"/>
    <w:rsid w:val="00DC028C"/>
    <w:rsid w:val="00DC060F"/>
    <w:rsid w:val="00DC0BB1"/>
    <w:rsid w:val="00DC1784"/>
    <w:rsid w:val="00DC2021"/>
    <w:rsid w:val="00DC2885"/>
    <w:rsid w:val="00DC2C83"/>
    <w:rsid w:val="00DC2D08"/>
    <w:rsid w:val="00DC40F2"/>
    <w:rsid w:val="00DC586B"/>
    <w:rsid w:val="00DC5A0B"/>
    <w:rsid w:val="00DC5F21"/>
    <w:rsid w:val="00DC6C50"/>
    <w:rsid w:val="00DC6F4F"/>
    <w:rsid w:val="00DC710D"/>
    <w:rsid w:val="00DD04BC"/>
    <w:rsid w:val="00DD117F"/>
    <w:rsid w:val="00DD182F"/>
    <w:rsid w:val="00DD1C69"/>
    <w:rsid w:val="00DD21AA"/>
    <w:rsid w:val="00DD24CC"/>
    <w:rsid w:val="00DD2E82"/>
    <w:rsid w:val="00DD331D"/>
    <w:rsid w:val="00DD3675"/>
    <w:rsid w:val="00DD3E7D"/>
    <w:rsid w:val="00DD3FE9"/>
    <w:rsid w:val="00DD446F"/>
    <w:rsid w:val="00DD5411"/>
    <w:rsid w:val="00DD586C"/>
    <w:rsid w:val="00DD5905"/>
    <w:rsid w:val="00DD64EF"/>
    <w:rsid w:val="00DD68E8"/>
    <w:rsid w:val="00DD697F"/>
    <w:rsid w:val="00DD6EA5"/>
    <w:rsid w:val="00DD7626"/>
    <w:rsid w:val="00DD7D18"/>
    <w:rsid w:val="00DE1183"/>
    <w:rsid w:val="00DE171E"/>
    <w:rsid w:val="00DE2E0A"/>
    <w:rsid w:val="00DE300D"/>
    <w:rsid w:val="00DE36DC"/>
    <w:rsid w:val="00DE3CCF"/>
    <w:rsid w:val="00DE3DD2"/>
    <w:rsid w:val="00DE40F6"/>
    <w:rsid w:val="00DE54A9"/>
    <w:rsid w:val="00DE59AB"/>
    <w:rsid w:val="00DE5A7F"/>
    <w:rsid w:val="00DE5CF6"/>
    <w:rsid w:val="00DE60A2"/>
    <w:rsid w:val="00DE615E"/>
    <w:rsid w:val="00DE65B5"/>
    <w:rsid w:val="00DE6AAF"/>
    <w:rsid w:val="00DE6E94"/>
    <w:rsid w:val="00DF24C4"/>
    <w:rsid w:val="00DF2B2C"/>
    <w:rsid w:val="00DF33B2"/>
    <w:rsid w:val="00DF3804"/>
    <w:rsid w:val="00DF4BE6"/>
    <w:rsid w:val="00DF53FB"/>
    <w:rsid w:val="00DF617F"/>
    <w:rsid w:val="00DF6CC9"/>
    <w:rsid w:val="00DF6E9B"/>
    <w:rsid w:val="00DF7EFC"/>
    <w:rsid w:val="00E00C4E"/>
    <w:rsid w:val="00E00E86"/>
    <w:rsid w:val="00E01727"/>
    <w:rsid w:val="00E02255"/>
    <w:rsid w:val="00E032CB"/>
    <w:rsid w:val="00E0351F"/>
    <w:rsid w:val="00E03B5D"/>
    <w:rsid w:val="00E0522C"/>
    <w:rsid w:val="00E0541C"/>
    <w:rsid w:val="00E0553A"/>
    <w:rsid w:val="00E05850"/>
    <w:rsid w:val="00E077EE"/>
    <w:rsid w:val="00E07BB1"/>
    <w:rsid w:val="00E07BFE"/>
    <w:rsid w:val="00E10455"/>
    <w:rsid w:val="00E107CE"/>
    <w:rsid w:val="00E10ED0"/>
    <w:rsid w:val="00E11260"/>
    <w:rsid w:val="00E115D6"/>
    <w:rsid w:val="00E11E82"/>
    <w:rsid w:val="00E121C6"/>
    <w:rsid w:val="00E12515"/>
    <w:rsid w:val="00E12C11"/>
    <w:rsid w:val="00E12DF6"/>
    <w:rsid w:val="00E13A4C"/>
    <w:rsid w:val="00E13C4A"/>
    <w:rsid w:val="00E13CC3"/>
    <w:rsid w:val="00E14C24"/>
    <w:rsid w:val="00E14F59"/>
    <w:rsid w:val="00E15EDA"/>
    <w:rsid w:val="00E173EE"/>
    <w:rsid w:val="00E20009"/>
    <w:rsid w:val="00E202D5"/>
    <w:rsid w:val="00E20432"/>
    <w:rsid w:val="00E209EA"/>
    <w:rsid w:val="00E218ED"/>
    <w:rsid w:val="00E21F4A"/>
    <w:rsid w:val="00E22DEB"/>
    <w:rsid w:val="00E238A3"/>
    <w:rsid w:val="00E2549D"/>
    <w:rsid w:val="00E25874"/>
    <w:rsid w:val="00E2606F"/>
    <w:rsid w:val="00E2614D"/>
    <w:rsid w:val="00E267A7"/>
    <w:rsid w:val="00E26D78"/>
    <w:rsid w:val="00E270CD"/>
    <w:rsid w:val="00E27BDF"/>
    <w:rsid w:val="00E27E0C"/>
    <w:rsid w:val="00E30862"/>
    <w:rsid w:val="00E30AD6"/>
    <w:rsid w:val="00E30AF1"/>
    <w:rsid w:val="00E31303"/>
    <w:rsid w:val="00E32EB2"/>
    <w:rsid w:val="00E3300A"/>
    <w:rsid w:val="00E33185"/>
    <w:rsid w:val="00E340E7"/>
    <w:rsid w:val="00E34A1B"/>
    <w:rsid w:val="00E353D5"/>
    <w:rsid w:val="00E359B3"/>
    <w:rsid w:val="00E35FC8"/>
    <w:rsid w:val="00E3655F"/>
    <w:rsid w:val="00E36920"/>
    <w:rsid w:val="00E36F66"/>
    <w:rsid w:val="00E3790F"/>
    <w:rsid w:val="00E40658"/>
    <w:rsid w:val="00E40981"/>
    <w:rsid w:val="00E41297"/>
    <w:rsid w:val="00E414C9"/>
    <w:rsid w:val="00E414E2"/>
    <w:rsid w:val="00E41AAF"/>
    <w:rsid w:val="00E41BF7"/>
    <w:rsid w:val="00E42265"/>
    <w:rsid w:val="00E439C6"/>
    <w:rsid w:val="00E441EF"/>
    <w:rsid w:val="00E45284"/>
    <w:rsid w:val="00E45859"/>
    <w:rsid w:val="00E45F72"/>
    <w:rsid w:val="00E4685A"/>
    <w:rsid w:val="00E46CA2"/>
    <w:rsid w:val="00E47730"/>
    <w:rsid w:val="00E47D30"/>
    <w:rsid w:val="00E500BE"/>
    <w:rsid w:val="00E504C7"/>
    <w:rsid w:val="00E50CFF"/>
    <w:rsid w:val="00E5142B"/>
    <w:rsid w:val="00E51E83"/>
    <w:rsid w:val="00E52D79"/>
    <w:rsid w:val="00E53CA8"/>
    <w:rsid w:val="00E541BD"/>
    <w:rsid w:val="00E54222"/>
    <w:rsid w:val="00E55D6B"/>
    <w:rsid w:val="00E56487"/>
    <w:rsid w:val="00E56535"/>
    <w:rsid w:val="00E575E6"/>
    <w:rsid w:val="00E60334"/>
    <w:rsid w:val="00E60A25"/>
    <w:rsid w:val="00E6178E"/>
    <w:rsid w:val="00E61DAF"/>
    <w:rsid w:val="00E62650"/>
    <w:rsid w:val="00E63103"/>
    <w:rsid w:val="00E6344E"/>
    <w:rsid w:val="00E63B23"/>
    <w:rsid w:val="00E63F40"/>
    <w:rsid w:val="00E6461B"/>
    <w:rsid w:val="00E65776"/>
    <w:rsid w:val="00E6581C"/>
    <w:rsid w:val="00E661B7"/>
    <w:rsid w:val="00E667E2"/>
    <w:rsid w:val="00E66836"/>
    <w:rsid w:val="00E6709B"/>
    <w:rsid w:val="00E67739"/>
    <w:rsid w:val="00E67D0E"/>
    <w:rsid w:val="00E71A5B"/>
    <w:rsid w:val="00E71F47"/>
    <w:rsid w:val="00E72584"/>
    <w:rsid w:val="00E73257"/>
    <w:rsid w:val="00E73563"/>
    <w:rsid w:val="00E737E2"/>
    <w:rsid w:val="00E739CD"/>
    <w:rsid w:val="00E73C1A"/>
    <w:rsid w:val="00E75048"/>
    <w:rsid w:val="00E7595F"/>
    <w:rsid w:val="00E75AD4"/>
    <w:rsid w:val="00E76A7C"/>
    <w:rsid w:val="00E7704F"/>
    <w:rsid w:val="00E77A8D"/>
    <w:rsid w:val="00E77F05"/>
    <w:rsid w:val="00E80D11"/>
    <w:rsid w:val="00E82D68"/>
    <w:rsid w:val="00E831AF"/>
    <w:rsid w:val="00E855C0"/>
    <w:rsid w:val="00E85973"/>
    <w:rsid w:val="00E866BD"/>
    <w:rsid w:val="00E86875"/>
    <w:rsid w:val="00E87697"/>
    <w:rsid w:val="00E9140C"/>
    <w:rsid w:val="00E918C2"/>
    <w:rsid w:val="00E92077"/>
    <w:rsid w:val="00E921CC"/>
    <w:rsid w:val="00E93227"/>
    <w:rsid w:val="00E94259"/>
    <w:rsid w:val="00E95072"/>
    <w:rsid w:val="00E958C2"/>
    <w:rsid w:val="00E96BD5"/>
    <w:rsid w:val="00E9724B"/>
    <w:rsid w:val="00E97D41"/>
    <w:rsid w:val="00E97E86"/>
    <w:rsid w:val="00EA0164"/>
    <w:rsid w:val="00EA1153"/>
    <w:rsid w:val="00EA1D60"/>
    <w:rsid w:val="00EA2374"/>
    <w:rsid w:val="00EA281E"/>
    <w:rsid w:val="00EA2FFD"/>
    <w:rsid w:val="00EA390C"/>
    <w:rsid w:val="00EA47A6"/>
    <w:rsid w:val="00EA48CD"/>
    <w:rsid w:val="00EA4A3D"/>
    <w:rsid w:val="00EA4A79"/>
    <w:rsid w:val="00EA5243"/>
    <w:rsid w:val="00EA5A8B"/>
    <w:rsid w:val="00EA6840"/>
    <w:rsid w:val="00EA69D9"/>
    <w:rsid w:val="00EA7353"/>
    <w:rsid w:val="00EA799D"/>
    <w:rsid w:val="00EA79CC"/>
    <w:rsid w:val="00EA7EDF"/>
    <w:rsid w:val="00EB0718"/>
    <w:rsid w:val="00EB16F5"/>
    <w:rsid w:val="00EB17CB"/>
    <w:rsid w:val="00EB1936"/>
    <w:rsid w:val="00EB1C09"/>
    <w:rsid w:val="00EB1C52"/>
    <w:rsid w:val="00EB1EA6"/>
    <w:rsid w:val="00EB2CF2"/>
    <w:rsid w:val="00EB4008"/>
    <w:rsid w:val="00EB459D"/>
    <w:rsid w:val="00EB495F"/>
    <w:rsid w:val="00EB59F9"/>
    <w:rsid w:val="00EB5B7B"/>
    <w:rsid w:val="00EB6262"/>
    <w:rsid w:val="00EB6613"/>
    <w:rsid w:val="00EB6771"/>
    <w:rsid w:val="00EB7E10"/>
    <w:rsid w:val="00EC0EDE"/>
    <w:rsid w:val="00EC14B1"/>
    <w:rsid w:val="00EC1990"/>
    <w:rsid w:val="00EC1D02"/>
    <w:rsid w:val="00EC2D28"/>
    <w:rsid w:val="00EC37FF"/>
    <w:rsid w:val="00EC412F"/>
    <w:rsid w:val="00EC49D7"/>
    <w:rsid w:val="00EC4B22"/>
    <w:rsid w:val="00EC7118"/>
    <w:rsid w:val="00EC71C2"/>
    <w:rsid w:val="00EC7C6C"/>
    <w:rsid w:val="00EC7CEA"/>
    <w:rsid w:val="00ED0F8E"/>
    <w:rsid w:val="00ED10C8"/>
    <w:rsid w:val="00ED1ACA"/>
    <w:rsid w:val="00ED2719"/>
    <w:rsid w:val="00ED2A10"/>
    <w:rsid w:val="00ED2AFB"/>
    <w:rsid w:val="00ED2CD0"/>
    <w:rsid w:val="00ED2FDC"/>
    <w:rsid w:val="00ED474B"/>
    <w:rsid w:val="00ED51B1"/>
    <w:rsid w:val="00ED5345"/>
    <w:rsid w:val="00ED5BEA"/>
    <w:rsid w:val="00ED5FAA"/>
    <w:rsid w:val="00ED5FF2"/>
    <w:rsid w:val="00ED60EC"/>
    <w:rsid w:val="00ED6240"/>
    <w:rsid w:val="00ED689E"/>
    <w:rsid w:val="00ED7458"/>
    <w:rsid w:val="00ED7673"/>
    <w:rsid w:val="00ED7898"/>
    <w:rsid w:val="00EE1A64"/>
    <w:rsid w:val="00EE2F04"/>
    <w:rsid w:val="00EE3680"/>
    <w:rsid w:val="00EE3A45"/>
    <w:rsid w:val="00EE5BCA"/>
    <w:rsid w:val="00EE6E1F"/>
    <w:rsid w:val="00EE735E"/>
    <w:rsid w:val="00EE77CB"/>
    <w:rsid w:val="00EE7B65"/>
    <w:rsid w:val="00EE7E31"/>
    <w:rsid w:val="00EE7F74"/>
    <w:rsid w:val="00EF020A"/>
    <w:rsid w:val="00EF06C9"/>
    <w:rsid w:val="00EF1B77"/>
    <w:rsid w:val="00EF33AA"/>
    <w:rsid w:val="00EF34F5"/>
    <w:rsid w:val="00EF392D"/>
    <w:rsid w:val="00EF4128"/>
    <w:rsid w:val="00EF4D26"/>
    <w:rsid w:val="00EF54AB"/>
    <w:rsid w:val="00EF59FA"/>
    <w:rsid w:val="00EF5F62"/>
    <w:rsid w:val="00EF72BA"/>
    <w:rsid w:val="00EF7C5F"/>
    <w:rsid w:val="00F00A1C"/>
    <w:rsid w:val="00F00AA7"/>
    <w:rsid w:val="00F00F1F"/>
    <w:rsid w:val="00F01608"/>
    <w:rsid w:val="00F01EC1"/>
    <w:rsid w:val="00F02947"/>
    <w:rsid w:val="00F03B3A"/>
    <w:rsid w:val="00F03E53"/>
    <w:rsid w:val="00F049F2"/>
    <w:rsid w:val="00F056E1"/>
    <w:rsid w:val="00F0688E"/>
    <w:rsid w:val="00F06DB4"/>
    <w:rsid w:val="00F07517"/>
    <w:rsid w:val="00F07952"/>
    <w:rsid w:val="00F11ACB"/>
    <w:rsid w:val="00F11B8B"/>
    <w:rsid w:val="00F11B9E"/>
    <w:rsid w:val="00F1228F"/>
    <w:rsid w:val="00F1252A"/>
    <w:rsid w:val="00F12CB8"/>
    <w:rsid w:val="00F141CD"/>
    <w:rsid w:val="00F150E7"/>
    <w:rsid w:val="00F1526F"/>
    <w:rsid w:val="00F15F29"/>
    <w:rsid w:val="00F1690C"/>
    <w:rsid w:val="00F16C6B"/>
    <w:rsid w:val="00F17A70"/>
    <w:rsid w:val="00F21ECA"/>
    <w:rsid w:val="00F22A10"/>
    <w:rsid w:val="00F22E8A"/>
    <w:rsid w:val="00F22E90"/>
    <w:rsid w:val="00F23097"/>
    <w:rsid w:val="00F231B0"/>
    <w:rsid w:val="00F231E6"/>
    <w:rsid w:val="00F237BA"/>
    <w:rsid w:val="00F23EC3"/>
    <w:rsid w:val="00F240F9"/>
    <w:rsid w:val="00F246A6"/>
    <w:rsid w:val="00F24FBD"/>
    <w:rsid w:val="00F25104"/>
    <w:rsid w:val="00F253E3"/>
    <w:rsid w:val="00F261D8"/>
    <w:rsid w:val="00F265E9"/>
    <w:rsid w:val="00F26AEA"/>
    <w:rsid w:val="00F26D42"/>
    <w:rsid w:val="00F26F8F"/>
    <w:rsid w:val="00F30D5F"/>
    <w:rsid w:val="00F315FF"/>
    <w:rsid w:val="00F32058"/>
    <w:rsid w:val="00F3219F"/>
    <w:rsid w:val="00F3238F"/>
    <w:rsid w:val="00F331B0"/>
    <w:rsid w:val="00F33F41"/>
    <w:rsid w:val="00F34563"/>
    <w:rsid w:val="00F347DC"/>
    <w:rsid w:val="00F34B56"/>
    <w:rsid w:val="00F34D43"/>
    <w:rsid w:val="00F34F1C"/>
    <w:rsid w:val="00F34FC8"/>
    <w:rsid w:val="00F35DF9"/>
    <w:rsid w:val="00F36877"/>
    <w:rsid w:val="00F36E79"/>
    <w:rsid w:val="00F36F25"/>
    <w:rsid w:val="00F40767"/>
    <w:rsid w:val="00F41AFA"/>
    <w:rsid w:val="00F42414"/>
    <w:rsid w:val="00F428AE"/>
    <w:rsid w:val="00F43B53"/>
    <w:rsid w:val="00F43D45"/>
    <w:rsid w:val="00F43DD3"/>
    <w:rsid w:val="00F44DE5"/>
    <w:rsid w:val="00F44EC5"/>
    <w:rsid w:val="00F4533B"/>
    <w:rsid w:val="00F45B97"/>
    <w:rsid w:val="00F463F6"/>
    <w:rsid w:val="00F4693D"/>
    <w:rsid w:val="00F46F6F"/>
    <w:rsid w:val="00F50978"/>
    <w:rsid w:val="00F50E1D"/>
    <w:rsid w:val="00F511CA"/>
    <w:rsid w:val="00F51BC0"/>
    <w:rsid w:val="00F521FA"/>
    <w:rsid w:val="00F5237E"/>
    <w:rsid w:val="00F5264F"/>
    <w:rsid w:val="00F52A52"/>
    <w:rsid w:val="00F52FFC"/>
    <w:rsid w:val="00F530F2"/>
    <w:rsid w:val="00F53DA7"/>
    <w:rsid w:val="00F5413B"/>
    <w:rsid w:val="00F541C1"/>
    <w:rsid w:val="00F54670"/>
    <w:rsid w:val="00F5487A"/>
    <w:rsid w:val="00F5648B"/>
    <w:rsid w:val="00F56E81"/>
    <w:rsid w:val="00F57543"/>
    <w:rsid w:val="00F57D70"/>
    <w:rsid w:val="00F600E1"/>
    <w:rsid w:val="00F626DB"/>
    <w:rsid w:val="00F628C5"/>
    <w:rsid w:val="00F62A80"/>
    <w:rsid w:val="00F6454C"/>
    <w:rsid w:val="00F65CC4"/>
    <w:rsid w:val="00F66373"/>
    <w:rsid w:val="00F67243"/>
    <w:rsid w:val="00F67E4F"/>
    <w:rsid w:val="00F67E8C"/>
    <w:rsid w:val="00F70D3F"/>
    <w:rsid w:val="00F70ECD"/>
    <w:rsid w:val="00F70F47"/>
    <w:rsid w:val="00F71C9A"/>
    <w:rsid w:val="00F72707"/>
    <w:rsid w:val="00F75133"/>
    <w:rsid w:val="00F754BD"/>
    <w:rsid w:val="00F756F3"/>
    <w:rsid w:val="00F75D95"/>
    <w:rsid w:val="00F76E8B"/>
    <w:rsid w:val="00F80332"/>
    <w:rsid w:val="00F808A1"/>
    <w:rsid w:val="00F8099F"/>
    <w:rsid w:val="00F816A4"/>
    <w:rsid w:val="00F81ACB"/>
    <w:rsid w:val="00F8291A"/>
    <w:rsid w:val="00F82FAF"/>
    <w:rsid w:val="00F832FE"/>
    <w:rsid w:val="00F83B46"/>
    <w:rsid w:val="00F84300"/>
    <w:rsid w:val="00F84D9D"/>
    <w:rsid w:val="00F852BE"/>
    <w:rsid w:val="00F864FA"/>
    <w:rsid w:val="00F86C21"/>
    <w:rsid w:val="00F8721C"/>
    <w:rsid w:val="00F87397"/>
    <w:rsid w:val="00F8762A"/>
    <w:rsid w:val="00F87F20"/>
    <w:rsid w:val="00F900F8"/>
    <w:rsid w:val="00F90901"/>
    <w:rsid w:val="00F90DFA"/>
    <w:rsid w:val="00F90E0D"/>
    <w:rsid w:val="00F9189D"/>
    <w:rsid w:val="00F9198A"/>
    <w:rsid w:val="00F91BE1"/>
    <w:rsid w:val="00F9231E"/>
    <w:rsid w:val="00F935B1"/>
    <w:rsid w:val="00F93EB6"/>
    <w:rsid w:val="00F941A4"/>
    <w:rsid w:val="00F946B4"/>
    <w:rsid w:val="00F94C07"/>
    <w:rsid w:val="00F94F4D"/>
    <w:rsid w:val="00F95635"/>
    <w:rsid w:val="00F95FB5"/>
    <w:rsid w:val="00F97596"/>
    <w:rsid w:val="00FA1BBB"/>
    <w:rsid w:val="00FA260A"/>
    <w:rsid w:val="00FA261E"/>
    <w:rsid w:val="00FA2EDA"/>
    <w:rsid w:val="00FA2F58"/>
    <w:rsid w:val="00FA3510"/>
    <w:rsid w:val="00FA3DA8"/>
    <w:rsid w:val="00FA4189"/>
    <w:rsid w:val="00FA4668"/>
    <w:rsid w:val="00FA49B4"/>
    <w:rsid w:val="00FA4F55"/>
    <w:rsid w:val="00FA55C7"/>
    <w:rsid w:val="00FA5792"/>
    <w:rsid w:val="00FA57D6"/>
    <w:rsid w:val="00FA5F8F"/>
    <w:rsid w:val="00FA65E2"/>
    <w:rsid w:val="00FA6B4B"/>
    <w:rsid w:val="00FA6CEB"/>
    <w:rsid w:val="00FA730E"/>
    <w:rsid w:val="00FB021F"/>
    <w:rsid w:val="00FB0871"/>
    <w:rsid w:val="00FB0B2C"/>
    <w:rsid w:val="00FB2078"/>
    <w:rsid w:val="00FB24D2"/>
    <w:rsid w:val="00FB26A9"/>
    <w:rsid w:val="00FB2B9C"/>
    <w:rsid w:val="00FB429D"/>
    <w:rsid w:val="00FB4E95"/>
    <w:rsid w:val="00FB4EFE"/>
    <w:rsid w:val="00FB6530"/>
    <w:rsid w:val="00FB6B86"/>
    <w:rsid w:val="00FB6DFF"/>
    <w:rsid w:val="00FB7801"/>
    <w:rsid w:val="00FB7811"/>
    <w:rsid w:val="00FB7DE9"/>
    <w:rsid w:val="00FC0FAD"/>
    <w:rsid w:val="00FC161F"/>
    <w:rsid w:val="00FC17F5"/>
    <w:rsid w:val="00FC1839"/>
    <w:rsid w:val="00FC2C5B"/>
    <w:rsid w:val="00FC2C7D"/>
    <w:rsid w:val="00FC3198"/>
    <w:rsid w:val="00FC3708"/>
    <w:rsid w:val="00FC42C5"/>
    <w:rsid w:val="00FC4E9F"/>
    <w:rsid w:val="00FC517C"/>
    <w:rsid w:val="00FC60F9"/>
    <w:rsid w:val="00FC6D2C"/>
    <w:rsid w:val="00FC7AFE"/>
    <w:rsid w:val="00FD1A1C"/>
    <w:rsid w:val="00FD29F3"/>
    <w:rsid w:val="00FD2B50"/>
    <w:rsid w:val="00FD3C8C"/>
    <w:rsid w:val="00FD4928"/>
    <w:rsid w:val="00FD49DE"/>
    <w:rsid w:val="00FD4B2C"/>
    <w:rsid w:val="00FD51FA"/>
    <w:rsid w:val="00FD5546"/>
    <w:rsid w:val="00FD63FC"/>
    <w:rsid w:val="00FD66E7"/>
    <w:rsid w:val="00FD67A5"/>
    <w:rsid w:val="00FD68C4"/>
    <w:rsid w:val="00FD7110"/>
    <w:rsid w:val="00FD716A"/>
    <w:rsid w:val="00FD77AF"/>
    <w:rsid w:val="00FD7F24"/>
    <w:rsid w:val="00FD7F59"/>
    <w:rsid w:val="00FE0352"/>
    <w:rsid w:val="00FE0EB5"/>
    <w:rsid w:val="00FE1432"/>
    <w:rsid w:val="00FE1454"/>
    <w:rsid w:val="00FE1A32"/>
    <w:rsid w:val="00FE2D9B"/>
    <w:rsid w:val="00FE2F20"/>
    <w:rsid w:val="00FE4135"/>
    <w:rsid w:val="00FE4CE9"/>
    <w:rsid w:val="00FE4E45"/>
    <w:rsid w:val="00FE5457"/>
    <w:rsid w:val="00FE5B49"/>
    <w:rsid w:val="00FE5E89"/>
    <w:rsid w:val="00FE6356"/>
    <w:rsid w:val="00FE6497"/>
    <w:rsid w:val="00FE678F"/>
    <w:rsid w:val="00FE6FB7"/>
    <w:rsid w:val="00FE7481"/>
    <w:rsid w:val="00FF109E"/>
    <w:rsid w:val="00FF1158"/>
    <w:rsid w:val="00FF170E"/>
    <w:rsid w:val="00FF2467"/>
    <w:rsid w:val="00FF2769"/>
    <w:rsid w:val="00FF3349"/>
    <w:rsid w:val="00FF4571"/>
    <w:rsid w:val="00FF46F6"/>
    <w:rsid w:val="00FF4AB7"/>
    <w:rsid w:val="00FF5B68"/>
    <w:rsid w:val="00FF6F93"/>
    <w:rsid w:val="00FF70BE"/>
    <w:rsid w:val="00FF77FA"/>
    <w:rsid w:val="00FF791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9E9CA1"/>
  <w15:chartTrackingRefBased/>
  <w15:docId w15:val="{EBFDDF6A-178A-4CFC-93FF-E42780F8AC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A2496"/>
    <w:pPr>
      <w:spacing w:after="200" w:line="276" w:lineRule="auto"/>
    </w:pPr>
    <w:rPr>
      <w:rFonts w:eastAsiaTheme="minorEastAsia"/>
      <w:lang w:eastAsia="ru-RU"/>
    </w:rPr>
  </w:style>
  <w:style w:type="paragraph" w:styleId="10">
    <w:name w:val="heading 1"/>
    <w:basedOn w:val="a"/>
    <w:next w:val="a"/>
    <w:link w:val="11"/>
    <w:uiPriority w:val="9"/>
    <w:qFormat/>
    <w:rsid w:val="00B63E4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8F072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B63E47"/>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
    <w:next w:val="a"/>
    <w:link w:val="40"/>
    <w:uiPriority w:val="9"/>
    <w:semiHidden/>
    <w:unhideWhenUsed/>
    <w:qFormat/>
    <w:rsid w:val="00B63E47"/>
    <w:pPr>
      <w:keepNext/>
      <w:keepLines/>
      <w:spacing w:before="40" w:after="0" w:line="259" w:lineRule="auto"/>
      <w:outlineLvl w:val="3"/>
    </w:pPr>
    <w:rPr>
      <w:rFonts w:asciiTheme="majorHAnsi" w:eastAsiaTheme="majorEastAsia" w:hAnsiTheme="majorHAnsi" w:cstheme="majorBidi"/>
      <w:i/>
      <w:iCs/>
      <w:color w:val="2E74B5" w:themeColor="accent1" w:themeShade="BF"/>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
    <w:rsid w:val="00B63E47"/>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uiPriority w:val="9"/>
    <w:rsid w:val="008F0725"/>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uiPriority w:val="9"/>
    <w:rsid w:val="00B63E47"/>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semiHidden/>
    <w:rsid w:val="00B63E47"/>
    <w:rPr>
      <w:rFonts w:asciiTheme="majorHAnsi" w:eastAsiaTheme="majorEastAsia" w:hAnsiTheme="majorHAnsi" w:cstheme="majorBidi"/>
      <w:i/>
      <w:iCs/>
      <w:color w:val="2E74B5" w:themeColor="accent1" w:themeShade="BF"/>
    </w:rPr>
  </w:style>
  <w:style w:type="paragraph" w:styleId="a3">
    <w:name w:val="List Paragraph"/>
    <w:basedOn w:val="a"/>
    <w:link w:val="a4"/>
    <w:uiPriority w:val="34"/>
    <w:qFormat/>
    <w:rsid w:val="00B63E47"/>
    <w:pPr>
      <w:ind w:left="720"/>
      <w:contextualSpacing/>
    </w:pPr>
  </w:style>
  <w:style w:type="character" w:customStyle="1" w:styleId="a4">
    <w:name w:val="Абзац списка Знак"/>
    <w:link w:val="a3"/>
    <w:uiPriority w:val="34"/>
    <w:locked/>
    <w:rsid w:val="007A1345"/>
    <w:rPr>
      <w:rFonts w:eastAsiaTheme="minorEastAsia"/>
      <w:lang w:eastAsia="ru-RU"/>
    </w:rPr>
  </w:style>
  <w:style w:type="table" w:styleId="a5">
    <w:name w:val="Table Grid"/>
    <w:basedOn w:val="a1"/>
    <w:uiPriority w:val="39"/>
    <w:rsid w:val="00B63E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B63E47"/>
    <w:pPr>
      <w:tabs>
        <w:tab w:val="center" w:pos="4677"/>
        <w:tab w:val="right" w:pos="9355"/>
      </w:tabs>
      <w:spacing w:after="0" w:line="240" w:lineRule="auto"/>
    </w:pPr>
    <w:rPr>
      <w:rFonts w:eastAsiaTheme="minorHAnsi"/>
      <w:lang w:eastAsia="en-US"/>
    </w:rPr>
  </w:style>
  <w:style w:type="character" w:customStyle="1" w:styleId="a7">
    <w:name w:val="Верхний колонтитул Знак"/>
    <w:basedOn w:val="a0"/>
    <w:link w:val="a6"/>
    <w:uiPriority w:val="99"/>
    <w:rsid w:val="00B63E47"/>
  </w:style>
  <w:style w:type="paragraph" w:styleId="a8">
    <w:name w:val="footer"/>
    <w:basedOn w:val="a"/>
    <w:link w:val="a9"/>
    <w:uiPriority w:val="99"/>
    <w:unhideWhenUsed/>
    <w:rsid w:val="00B63E47"/>
    <w:pPr>
      <w:tabs>
        <w:tab w:val="center" w:pos="4677"/>
        <w:tab w:val="right" w:pos="9355"/>
      </w:tabs>
      <w:spacing w:after="0" w:line="240" w:lineRule="auto"/>
    </w:pPr>
    <w:rPr>
      <w:rFonts w:eastAsiaTheme="minorHAnsi"/>
      <w:lang w:eastAsia="en-US"/>
    </w:rPr>
  </w:style>
  <w:style w:type="character" w:customStyle="1" w:styleId="a9">
    <w:name w:val="Нижний колонтитул Знак"/>
    <w:basedOn w:val="a0"/>
    <w:link w:val="a8"/>
    <w:uiPriority w:val="99"/>
    <w:rsid w:val="00B63E47"/>
  </w:style>
  <w:style w:type="character" w:styleId="aa">
    <w:name w:val="Strong"/>
    <w:basedOn w:val="a0"/>
    <w:uiPriority w:val="22"/>
    <w:qFormat/>
    <w:rsid w:val="00B63E47"/>
    <w:rPr>
      <w:b/>
      <w:bCs/>
    </w:rPr>
  </w:style>
  <w:style w:type="character" w:customStyle="1" w:styleId="bold">
    <w:name w:val="bold"/>
    <w:basedOn w:val="a0"/>
    <w:rsid w:val="00B63E47"/>
  </w:style>
  <w:style w:type="character" w:styleId="ab">
    <w:name w:val="Hyperlink"/>
    <w:basedOn w:val="a0"/>
    <w:uiPriority w:val="99"/>
    <w:unhideWhenUsed/>
    <w:rsid w:val="00B63E47"/>
    <w:rPr>
      <w:color w:val="0000FF"/>
      <w:u w:val="single"/>
    </w:rPr>
  </w:style>
  <w:style w:type="character" w:customStyle="1" w:styleId="details-label">
    <w:name w:val="details-label"/>
    <w:basedOn w:val="a0"/>
    <w:rsid w:val="00B63E47"/>
  </w:style>
  <w:style w:type="character" w:customStyle="1" w:styleId="details-value">
    <w:name w:val="details-value"/>
    <w:basedOn w:val="a0"/>
    <w:rsid w:val="00B63E47"/>
  </w:style>
  <w:style w:type="paragraph" w:customStyle="1" w:styleId="Default">
    <w:name w:val="Default"/>
    <w:rsid w:val="00FF70BE"/>
    <w:pPr>
      <w:autoSpaceDE w:val="0"/>
      <w:autoSpaceDN w:val="0"/>
      <w:adjustRightInd w:val="0"/>
      <w:spacing w:after="0" w:line="240" w:lineRule="auto"/>
    </w:pPr>
    <w:rPr>
      <w:rFonts w:ascii="Arial" w:hAnsi="Arial" w:cs="Arial"/>
      <w:color w:val="000000"/>
      <w:sz w:val="24"/>
      <w:szCs w:val="24"/>
    </w:rPr>
  </w:style>
  <w:style w:type="paragraph" w:customStyle="1" w:styleId="rtejustify">
    <w:name w:val="rtejustify"/>
    <w:basedOn w:val="a"/>
    <w:rsid w:val="00EC14B1"/>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Emphasis"/>
    <w:basedOn w:val="a0"/>
    <w:uiPriority w:val="20"/>
    <w:qFormat/>
    <w:rsid w:val="00EC14B1"/>
    <w:rPr>
      <w:i/>
      <w:iCs/>
    </w:rPr>
  </w:style>
  <w:style w:type="character" w:customStyle="1" w:styleId="name">
    <w:name w:val="name"/>
    <w:basedOn w:val="a0"/>
    <w:rsid w:val="005832F6"/>
  </w:style>
  <w:style w:type="character" w:customStyle="1" w:styleId="11pt">
    <w:name w:val="Основной текст + 11 pt"/>
    <w:basedOn w:val="a0"/>
    <w:rsid w:val="008D5DB3"/>
    <w:rPr>
      <w:rFonts w:ascii="Times New Roman" w:eastAsia="Times New Roman" w:hAnsi="Times New Roman" w:cs="Times New Roman"/>
      <w:sz w:val="22"/>
      <w:szCs w:val="22"/>
      <w:shd w:val="clear" w:color="auto" w:fill="FFFFFF"/>
    </w:rPr>
  </w:style>
  <w:style w:type="paragraph" w:customStyle="1" w:styleId="Pa12">
    <w:name w:val="Pa12"/>
    <w:basedOn w:val="Default"/>
    <w:next w:val="Default"/>
    <w:uiPriority w:val="99"/>
    <w:rsid w:val="00716C55"/>
    <w:pPr>
      <w:spacing w:line="181" w:lineRule="atLeast"/>
    </w:pPr>
    <w:rPr>
      <w:rFonts w:ascii="K_Myriad Pro" w:hAnsi="K_Myriad Pro" w:cstheme="minorBidi"/>
      <w:color w:val="auto"/>
    </w:rPr>
  </w:style>
  <w:style w:type="character" w:customStyle="1" w:styleId="A00">
    <w:name w:val="A0"/>
    <w:uiPriority w:val="99"/>
    <w:rsid w:val="00716C55"/>
    <w:rPr>
      <w:color w:val="000000"/>
      <w:sz w:val="20"/>
      <w:szCs w:val="20"/>
    </w:rPr>
  </w:style>
  <w:style w:type="paragraph" w:customStyle="1" w:styleId="Pa14">
    <w:name w:val="Pa14"/>
    <w:basedOn w:val="Default"/>
    <w:next w:val="Default"/>
    <w:uiPriority w:val="99"/>
    <w:rsid w:val="00716C55"/>
    <w:pPr>
      <w:spacing w:line="241" w:lineRule="atLeast"/>
    </w:pPr>
    <w:rPr>
      <w:rFonts w:ascii="Times New Roman" w:hAnsi="Times New Roman" w:cs="Times New Roman"/>
      <w:color w:val="auto"/>
    </w:rPr>
  </w:style>
  <w:style w:type="character" w:customStyle="1" w:styleId="ad">
    <w:name w:val="Текст выноски Знак"/>
    <w:basedOn w:val="a0"/>
    <w:link w:val="ae"/>
    <w:uiPriority w:val="99"/>
    <w:semiHidden/>
    <w:rsid w:val="00716C55"/>
    <w:rPr>
      <w:rFonts w:ascii="Tahoma" w:eastAsiaTheme="minorEastAsia" w:hAnsi="Tahoma" w:cs="Tahoma"/>
      <w:sz w:val="16"/>
      <w:szCs w:val="16"/>
      <w:lang w:eastAsia="ru-RU"/>
    </w:rPr>
  </w:style>
  <w:style w:type="paragraph" w:styleId="ae">
    <w:name w:val="Balloon Text"/>
    <w:basedOn w:val="a"/>
    <w:link w:val="ad"/>
    <w:uiPriority w:val="99"/>
    <w:semiHidden/>
    <w:unhideWhenUsed/>
    <w:rsid w:val="00716C55"/>
    <w:pPr>
      <w:spacing w:after="0" w:line="240" w:lineRule="auto"/>
    </w:pPr>
    <w:rPr>
      <w:rFonts w:ascii="Tahoma" w:hAnsi="Tahoma" w:cs="Tahoma"/>
      <w:sz w:val="16"/>
      <w:szCs w:val="16"/>
    </w:rPr>
  </w:style>
  <w:style w:type="paragraph" w:styleId="af">
    <w:name w:val="Normal (Web)"/>
    <w:basedOn w:val="a"/>
    <w:uiPriority w:val="99"/>
    <w:unhideWhenUsed/>
    <w:rsid w:val="00B0391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a0"/>
    <w:rsid w:val="00B648C6"/>
  </w:style>
  <w:style w:type="character" w:customStyle="1" w:styleId="mw-editsection">
    <w:name w:val="mw-editsection"/>
    <w:basedOn w:val="a0"/>
    <w:rsid w:val="00B648C6"/>
  </w:style>
  <w:style w:type="character" w:customStyle="1" w:styleId="mw-editsection-bracket">
    <w:name w:val="mw-editsection-bracket"/>
    <w:basedOn w:val="a0"/>
    <w:rsid w:val="00B648C6"/>
  </w:style>
  <w:style w:type="character" w:customStyle="1" w:styleId="mw-editsection-divider">
    <w:name w:val="mw-editsection-divider"/>
    <w:basedOn w:val="a0"/>
    <w:rsid w:val="00B648C6"/>
  </w:style>
  <w:style w:type="character" w:customStyle="1" w:styleId="A80">
    <w:name w:val="A8"/>
    <w:uiPriority w:val="99"/>
    <w:rsid w:val="00AB0883"/>
    <w:rPr>
      <w:rFonts w:cs="CUYKGX+HelveticaNeue"/>
      <w:color w:val="000000"/>
    </w:rPr>
  </w:style>
  <w:style w:type="character" w:customStyle="1" w:styleId="A30">
    <w:name w:val="A3"/>
    <w:uiPriority w:val="99"/>
    <w:rsid w:val="00AB0883"/>
    <w:rPr>
      <w:rFonts w:cs="Helvetica 45 Light"/>
      <w:color w:val="000000"/>
      <w:sz w:val="20"/>
      <w:szCs w:val="20"/>
    </w:rPr>
  </w:style>
  <w:style w:type="paragraph" w:customStyle="1" w:styleId="Pa3">
    <w:name w:val="Pa3"/>
    <w:basedOn w:val="Default"/>
    <w:next w:val="Default"/>
    <w:uiPriority w:val="99"/>
    <w:rsid w:val="00AB0883"/>
    <w:pPr>
      <w:spacing w:line="211" w:lineRule="atLeast"/>
    </w:pPr>
    <w:rPr>
      <w:rFonts w:ascii="Helvetica 45 Light" w:hAnsi="Helvetica 45 Light" w:cstheme="minorBidi"/>
      <w:color w:val="auto"/>
    </w:rPr>
  </w:style>
  <w:style w:type="paragraph" w:customStyle="1" w:styleId="msonormalmrcssattr">
    <w:name w:val="msonormal_mr_css_attr"/>
    <w:basedOn w:val="a"/>
    <w:rsid w:val="00B9722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2">
    <w:name w:val="Дата1"/>
    <w:basedOn w:val="a0"/>
    <w:rsid w:val="00EA799D"/>
  </w:style>
  <w:style w:type="character" w:styleId="af0">
    <w:name w:val="FollowedHyperlink"/>
    <w:basedOn w:val="a0"/>
    <w:uiPriority w:val="99"/>
    <w:semiHidden/>
    <w:unhideWhenUsed/>
    <w:rsid w:val="00371510"/>
    <w:rPr>
      <w:color w:val="954F72" w:themeColor="followedHyperlink"/>
      <w:u w:val="single"/>
    </w:rPr>
  </w:style>
  <w:style w:type="paragraph" w:styleId="af1">
    <w:name w:val="Body Text"/>
    <w:basedOn w:val="a"/>
    <w:link w:val="af2"/>
    <w:rsid w:val="00973DF6"/>
    <w:pPr>
      <w:autoSpaceDE w:val="0"/>
      <w:autoSpaceDN w:val="0"/>
      <w:spacing w:after="0" w:line="240" w:lineRule="auto"/>
      <w:ind w:firstLine="454"/>
    </w:pPr>
    <w:rPr>
      <w:rFonts w:ascii="Times New Roman" w:eastAsia="Times New Roman" w:hAnsi="Times New Roman" w:cs="Times New Roman"/>
      <w:sz w:val="28"/>
      <w:szCs w:val="20"/>
    </w:rPr>
  </w:style>
  <w:style w:type="character" w:customStyle="1" w:styleId="af2">
    <w:name w:val="Основной текст Знак"/>
    <w:basedOn w:val="a0"/>
    <w:link w:val="af1"/>
    <w:rsid w:val="00973DF6"/>
    <w:rPr>
      <w:rFonts w:ascii="Times New Roman" w:eastAsia="Times New Roman" w:hAnsi="Times New Roman" w:cs="Times New Roman"/>
      <w:sz w:val="28"/>
      <w:szCs w:val="20"/>
      <w:lang w:eastAsia="ru-RU"/>
    </w:rPr>
  </w:style>
  <w:style w:type="paragraph" w:styleId="21">
    <w:name w:val="Body Text Indent 2"/>
    <w:basedOn w:val="a"/>
    <w:link w:val="22"/>
    <w:rsid w:val="00973DF6"/>
    <w:pPr>
      <w:spacing w:after="120" w:line="480" w:lineRule="auto"/>
      <w:ind w:left="283" w:firstLine="454"/>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rsid w:val="00973DF6"/>
    <w:rPr>
      <w:rFonts w:ascii="Times New Roman" w:eastAsia="Times New Roman" w:hAnsi="Times New Roman" w:cs="Times New Roman"/>
      <w:sz w:val="24"/>
      <w:szCs w:val="24"/>
      <w:lang w:eastAsia="ru-RU"/>
    </w:rPr>
  </w:style>
  <w:style w:type="character" w:customStyle="1" w:styleId="authors-list-item">
    <w:name w:val="authors-list-item"/>
    <w:basedOn w:val="a0"/>
    <w:rsid w:val="00122978"/>
  </w:style>
  <w:style w:type="character" w:customStyle="1" w:styleId="author-sup-separator">
    <w:name w:val="author-sup-separator"/>
    <w:basedOn w:val="a0"/>
    <w:rsid w:val="00122978"/>
  </w:style>
  <w:style w:type="character" w:customStyle="1" w:styleId="comma">
    <w:name w:val="comma"/>
    <w:basedOn w:val="a0"/>
    <w:rsid w:val="00122978"/>
  </w:style>
  <w:style w:type="character" w:customStyle="1" w:styleId="13">
    <w:name w:val="Заголовок1"/>
    <w:basedOn w:val="a0"/>
    <w:rsid w:val="00122978"/>
  </w:style>
  <w:style w:type="character" w:customStyle="1" w:styleId="identifier">
    <w:name w:val="identifier"/>
    <w:basedOn w:val="a0"/>
    <w:rsid w:val="00122978"/>
  </w:style>
  <w:style w:type="character" w:customStyle="1" w:styleId="id-label">
    <w:name w:val="id-label"/>
    <w:basedOn w:val="a0"/>
    <w:rsid w:val="00122978"/>
  </w:style>
  <w:style w:type="character" w:customStyle="1" w:styleId="period">
    <w:name w:val="period"/>
    <w:basedOn w:val="a0"/>
    <w:rsid w:val="00122978"/>
  </w:style>
  <w:style w:type="character" w:customStyle="1" w:styleId="cit">
    <w:name w:val="cit"/>
    <w:basedOn w:val="a0"/>
    <w:rsid w:val="00122978"/>
  </w:style>
  <w:style w:type="character" w:customStyle="1" w:styleId="citation-doi">
    <w:name w:val="citation-doi"/>
    <w:basedOn w:val="a0"/>
    <w:rsid w:val="00122978"/>
  </w:style>
  <w:style w:type="character" w:customStyle="1" w:styleId="secondary-date">
    <w:name w:val="secondary-date"/>
    <w:basedOn w:val="a0"/>
    <w:rsid w:val="00122978"/>
  </w:style>
  <w:style w:type="character" w:customStyle="1" w:styleId="title-text">
    <w:name w:val="title-text"/>
    <w:basedOn w:val="a0"/>
    <w:rsid w:val="00B361D4"/>
  </w:style>
  <w:style w:type="character" w:customStyle="1" w:styleId="sr-only">
    <w:name w:val="sr-only"/>
    <w:basedOn w:val="a0"/>
    <w:rsid w:val="00B361D4"/>
  </w:style>
  <w:style w:type="character" w:customStyle="1" w:styleId="text">
    <w:name w:val="text"/>
    <w:basedOn w:val="a0"/>
    <w:rsid w:val="00B361D4"/>
  </w:style>
  <w:style w:type="character" w:customStyle="1" w:styleId="author-ref">
    <w:name w:val="author-ref"/>
    <w:basedOn w:val="a0"/>
    <w:rsid w:val="00B361D4"/>
  </w:style>
  <w:style w:type="character" w:customStyle="1" w:styleId="A60">
    <w:name w:val="A6"/>
    <w:uiPriority w:val="99"/>
    <w:rsid w:val="00413FA8"/>
    <w:rPr>
      <w:rFonts w:cs="Helvetica Light"/>
      <w:color w:val="000000"/>
      <w:sz w:val="18"/>
      <w:szCs w:val="18"/>
    </w:rPr>
  </w:style>
  <w:style w:type="paragraph" w:customStyle="1" w:styleId="Pa8">
    <w:name w:val="Pa8"/>
    <w:basedOn w:val="Default"/>
    <w:next w:val="Default"/>
    <w:uiPriority w:val="99"/>
    <w:rsid w:val="001A186A"/>
    <w:pPr>
      <w:spacing w:line="181" w:lineRule="atLeast"/>
    </w:pPr>
    <w:rPr>
      <w:rFonts w:ascii="Helvetica Light" w:hAnsi="Helvetica Light" w:cstheme="minorBidi"/>
      <w:color w:val="auto"/>
    </w:rPr>
  </w:style>
  <w:style w:type="character" w:customStyle="1" w:styleId="addmd">
    <w:name w:val="addmd"/>
    <w:basedOn w:val="a0"/>
    <w:rsid w:val="00710155"/>
  </w:style>
  <w:style w:type="character" w:customStyle="1" w:styleId="A40">
    <w:name w:val="A4"/>
    <w:uiPriority w:val="99"/>
    <w:rsid w:val="00181F2F"/>
    <w:rPr>
      <w:color w:val="000000"/>
      <w:sz w:val="18"/>
      <w:szCs w:val="18"/>
    </w:rPr>
  </w:style>
  <w:style w:type="paragraph" w:customStyle="1" w:styleId="Pa0">
    <w:name w:val="Pa0"/>
    <w:basedOn w:val="Default"/>
    <w:next w:val="Default"/>
    <w:uiPriority w:val="99"/>
    <w:rsid w:val="00181F2F"/>
    <w:pPr>
      <w:spacing w:line="401" w:lineRule="atLeast"/>
    </w:pPr>
    <w:rPr>
      <w:rFonts w:ascii="Calibri" w:hAnsi="Calibri" w:cs="Calibri"/>
      <w:color w:val="auto"/>
    </w:rPr>
  </w:style>
  <w:style w:type="character" w:customStyle="1" w:styleId="A10">
    <w:name w:val="A1"/>
    <w:uiPriority w:val="99"/>
    <w:rsid w:val="00181F2F"/>
    <w:rPr>
      <w:b/>
      <w:bCs/>
      <w:color w:val="000000"/>
      <w:sz w:val="48"/>
      <w:szCs w:val="48"/>
    </w:rPr>
  </w:style>
  <w:style w:type="paragraph" w:customStyle="1" w:styleId="Pa1">
    <w:name w:val="Pa1"/>
    <w:basedOn w:val="Default"/>
    <w:next w:val="Default"/>
    <w:uiPriority w:val="99"/>
    <w:rsid w:val="00181F2F"/>
    <w:pPr>
      <w:spacing w:line="221" w:lineRule="atLeast"/>
    </w:pPr>
    <w:rPr>
      <w:rFonts w:ascii="Calibri Light" w:hAnsi="Calibri Light" w:cs="Calibri Light"/>
      <w:color w:val="auto"/>
    </w:rPr>
  </w:style>
  <w:style w:type="paragraph" w:customStyle="1" w:styleId="Pa17">
    <w:name w:val="Pa17"/>
    <w:basedOn w:val="Default"/>
    <w:next w:val="Default"/>
    <w:uiPriority w:val="99"/>
    <w:rsid w:val="00181F2F"/>
    <w:pPr>
      <w:spacing w:line="241" w:lineRule="atLeast"/>
    </w:pPr>
    <w:rPr>
      <w:rFonts w:ascii="Calibri" w:hAnsi="Calibri" w:cs="Calibri"/>
      <w:color w:val="auto"/>
    </w:rPr>
  </w:style>
  <w:style w:type="paragraph" w:customStyle="1" w:styleId="CM1">
    <w:name w:val="CM1"/>
    <w:basedOn w:val="Default"/>
    <w:next w:val="Default"/>
    <w:uiPriority w:val="99"/>
    <w:rsid w:val="0091756B"/>
    <w:rPr>
      <w:rFonts w:ascii="Times New Roman" w:hAnsi="Times New Roman" w:cs="Times New Roman"/>
      <w:color w:val="auto"/>
    </w:rPr>
  </w:style>
  <w:style w:type="paragraph" w:customStyle="1" w:styleId="CM11">
    <w:name w:val="CM11"/>
    <w:basedOn w:val="Default"/>
    <w:next w:val="Default"/>
    <w:uiPriority w:val="99"/>
    <w:rsid w:val="00F56E81"/>
    <w:rPr>
      <w:rFonts w:ascii="Times New Roman" w:hAnsi="Times New Roman" w:cs="Times New Roman"/>
      <w:color w:val="auto"/>
    </w:rPr>
  </w:style>
  <w:style w:type="character" w:customStyle="1" w:styleId="s0">
    <w:name w:val="s0"/>
    <w:rsid w:val="007A1345"/>
    <w:rPr>
      <w:rFonts w:ascii="Times New Roman" w:hAnsi="Times New Roman" w:cs="Times New Roman" w:hint="default"/>
      <w:b w:val="0"/>
      <w:bCs w:val="0"/>
      <w:i w:val="0"/>
      <w:iCs w:val="0"/>
      <w:strike w:val="0"/>
      <w:dstrike w:val="0"/>
      <w:color w:val="000000"/>
      <w:sz w:val="20"/>
      <w:szCs w:val="20"/>
      <w:u w:val="none"/>
      <w:effect w:val="none"/>
    </w:rPr>
  </w:style>
  <w:style w:type="paragraph" w:styleId="af3">
    <w:name w:val="Body Text Indent"/>
    <w:basedOn w:val="a"/>
    <w:link w:val="af4"/>
    <w:uiPriority w:val="99"/>
    <w:semiHidden/>
    <w:unhideWhenUsed/>
    <w:rsid w:val="00133ACD"/>
    <w:pPr>
      <w:spacing w:after="120"/>
      <w:ind w:left="283"/>
    </w:pPr>
  </w:style>
  <w:style w:type="character" w:customStyle="1" w:styleId="af4">
    <w:name w:val="Основной текст с отступом Знак"/>
    <w:basedOn w:val="a0"/>
    <w:link w:val="af3"/>
    <w:uiPriority w:val="99"/>
    <w:semiHidden/>
    <w:rsid w:val="00133ACD"/>
    <w:rPr>
      <w:rFonts w:eastAsiaTheme="minorEastAsia"/>
      <w:lang w:eastAsia="ru-RU"/>
    </w:rPr>
  </w:style>
  <w:style w:type="paragraph" w:customStyle="1" w:styleId="210">
    <w:name w:val="Основной текст 21"/>
    <w:basedOn w:val="a"/>
    <w:uiPriority w:val="99"/>
    <w:rsid w:val="00FD49DE"/>
    <w:pPr>
      <w:overflowPunct w:val="0"/>
      <w:autoSpaceDE w:val="0"/>
      <w:autoSpaceDN w:val="0"/>
      <w:adjustRightInd w:val="0"/>
      <w:spacing w:after="0" w:line="240" w:lineRule="auto"/>
      <w:ind w:firstLine="567"/>
      <w:jc w:val="both"/>
    </w:pPr>
    <w:rPr>
      <w:rFonts w:ascii="Times New Roman" w:eastAsia="Times New Roman" w:hAnsi="Times New Roman" w:cs="Times New Roman"/>
      <w:sz w:val="24"/>
      <w:szCs w:val="20"/>
    </w:rPr>
  </w:style>
  <w:style w:type="paragraph" w:styleId="af5">
    <w:name w:val="footnote text"/>
    <w:basedOn w:val="a"/>
    <w:link w:val="af6"/>
    <w:uiPriority w:val="99"/>
    <w:unhideWhenUsed/>
    <w:rsid w:val="00FD49DE"/>
    <w:pPr>
      <w:spacing w:after="0" w:line="240" w:lineRule="auto"/>
    </w:pPr>
    <w:rPr>
      <w:rFonts w:ascii="Times" w:hAnsi="Times"/>
      <w:sz w:val="24"/>
      <w:szCs w:val="24"/>
    </w:rPr>
  </w:style>
  <w:style w:type="character" w:customStyle="1" w:styleId="af6">
    <w:name w:val="Текст сноски Знак"/>
    <w:basedOn w:val="a0"/>
    <w:link w:val="af5"/>
    <w:uiPriority w:val="99"/>
    <w:rsid w:val="00FD49DE"/>
    <w:rPr>
      <w:rFonts w:ascii="Times" w:eastAsiaTheme="minorEastAsia" w:hAnsi="Times"/>
      <w:sz w:val="24"/>
      <w:szCs w:val="24"/>
      <w:lang w:eastAsia="ru-RU"/>
    </w:rPr>
  </w:style>
  <w:style w:type="paragraph" w:customStyle="1" w:styleId="23">
    <w:name w:val="Основной текст2"/>
    <w:basedOn w:val="a"/>
    <w:uiPriority w:val="99"/>
    <w:rsid w:val="00E97D41"/>
    <w:pPr>
      <w:shd w:val="clear" w:color="auto" w:fill="FFFFFF"/>
      <w:spacing w:after="0" w:line="307" w:lineRule="exact"/>
      <w:ind w:hanging="220"/>
      <w:jc w:val="both"/>
    </w:pPr>
    <w:rPr>
      <w:rFonts w:ascii="Times New Roman" w:eastAsia="Times New Roman" w:hAnsi="Times New Roman" w:cs="Times New Roman"/>
      <w:sz w:val="17"/>
      <w:szCs w:val="17"/>
      <w:lang w:eastAsia="en-US"/>
    </w:rPr>
  </w:style>
  <w:style w:type="character" w:customStyle="1" w:styleId="af7">
    <w:name w:val="Без интервала Знак"/>
    <w:link w:val="af8"/>
    <w:locked/>
    <w:rsid w:val="00BD1A0B"/>
    <w:rPr>
      <w:rFonts w:ascii="Calibri" w:eastAsia="Calibri" w:hAnsi="Calibri" w:cs="Times New Roman"/>
    </w:rPr>
  </w:style>
  <w:style w:type="paragraph" w:styleId="af8">
    <w:name w:val="No Spacing"/>
    <w:link w:val="af7"/>
    <w:qFormat/>
    <w:rsid w:val="00BD1A0B"/>
    <w:pPr>
      <w:spacing w:after="0" w:line="240" w:lineRule="auto"/>
    </w:pPr>
    <w:rPr>
      <w:rFonts w:ascii="Calibri" w:eastAsia="Calibri" w:hAnsi="Calibri" w:cs="Times New Roman"/>
    </w:rPr>
  </w:style>
  <w:style w:type="character" w:customStyle="1" w:styleId="ref-journal">
    <w:name w:val="ref-journal"/>
    <w:basedOn w:val="a0"/>
    <w:rsid w:val="001D6063"/>
  </w:style>
  <w:style w:type="character" w:customStyle="1" w:styleId="ref-vol">
    <w:name w:val="ref-vol"/>
    <w:basedOn w:val="a0"/>
    <w:rsid w:val="001D6063"/>
  </w:style>
  <w:style w:type="character" w:customStyle="1" w:styleId="nowrap">
    <w:name w:val="nowrap"/>
    <w:basedOn w:val="a0"/>
    <w:rsid w:val="001D6063"/>
  </w:style>
  <w:style w:type="character" w:customStyle="1" w:styleId="fm-vol-iss-date">
    <w:name w:val="fm-vol-iss-date"/>
    <w:basedOn w:val="a0"/>
    <w:rsid w:val="00BB7CF5"/>
  </w:style>
  <w:style w:type="character" w:customStyle="1" w:styleId="doi">
    <w:name w:val="doi"/>
    <w:basedOn w:val="a0"/>
    <w:rsid w:val="00BB7CF5"/>
  </w:style>
  <w:style w:type="character" w:customStyle="1" w:styleId="fm-citation-ids-label">
    <w:name w:val="fm-citation-ids-label"/>
    <w:basedOn w:val="a0"/>
    <w:rsid w:val="00BB7CF5"/>
  </w:style>
  <w:style w:type="character" w:customStyle="1" w:styleId="field-content">
    <w:name w:val="field-content"/>
    <w:basedOn w:val="a0"/>
    <w:rsid w:val="00392CE3"/>
  </w:style>
  <w:style w:type="character" w:customStyle="1" w:styleId="mixed-citation">
    <w:name w:val="mixed-citation"/>
    <w:basedOn w:val="a0"/>
    <w:rsid w:val="00035A1F"/>
  </w:style>
  <w:style w:type="character" w:customStyle="1" w:styleId="element-citation">
    <w:name w:val="element-citation"/>
    <w:basedOn w:val="a0"/>
    <w:rsid w:val="00035A1F"/>
  </w:style>
  <w:style w:type="character" w:customStyle="1" w:styleId="j21">
    <w:name w:val="j21"/>
    <w:basedOn w:val="a0"/>
    <w:rsid w:val="00497E7A"/>
  </w:style>
  <w:style w:type="paragraph" w:customStyle="1" w:styleId="note">
    <w:name w:val="note"/>
    <w:basedOn w:val="a"/>
    <w:rsid w:val="008D159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urrentdocdiv">
    <w:name w:val="currentdocdiv"/>
    <w:basedOn w:val="a0"/>
    <w:rsid w:val="00373662"/>
  </w:style>
  <w:style w:type="character" w:customStyle="1" w:styleId="s3">
    <w:name w:val="s3"/>
    <w:basedOn w:val="a0"/>
    <w:rsid w:val="00373662"/>
  </w:style>
  <w:style w:type="character" w:customStyle="1" w:styleId="s9">
    <w:name w:val="s9"/>
    <w:basedOn w:val="a0"/>
    <w:rsid w:val="00373662"/>
  </w:style>
  <w:style w:type="character" w:customStyle="1" w:styleId="s1">
    <w:name w:val="s1"/>
    <w:basedOn w:val="a0"/>
    <w:rsid w:val="00373662"/>
  </w:style>
  <w:style w:type="character" w:customStyle="1" w:styleId="14">
    <w:name w:val="Текст выноски Знак1"/>
    <w:basedOn w:val="a0"/>
    <w:uiPriority w:val="99"/>
    <w:semiHidden/>
    <w:rsid w:val="00CB0750"/>
    <w:rPr>
      <w:rFonts w:ascii="Segoe UI" w:hAnsi="Segoe UI" w:cs="Segoe UI"/>
      <w:sz w:val="18"/>
      <w:szCs w:val="18"/>
    </w:rPr>
  </w:style>
  <w:style w:type="paragraph" w:customStyle="1" w:styleId="msonormal0">
    <w:name w:val="msonormal"/>
    <w:basedOn w:val="a"/>
    <w:rsid w:val="00ED534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a"/>
    <w:rsid w:val="00ED534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a"/>
    <w:rsid w:val="00ED5345"/>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top"/>
    </w:pPr>
    <w:rPr>
      <w:rFonts w:ascii="Arial" w:eastAsia="Times New Roman" w:hAnsi="Arial" w:cs="Arial"/>
      <w:color w:val="000000"/>
      <w:sz w:val="16"/>
      <w:szCs w:val="16"/>
    </w:rPr>
  </w:style>
  <w:style w:type="paragraph" w:customStyle="1" w:styleId="xl67">
    <w:name w:val="xl67"/>
    <w:basedOn w:val="a"/>
    <w:rsid w:val="00ED534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rPr>
  </w:style>
  <w:style w:type="paragraph" w:customStyle="1" w:styleId="xl68">
    <w:name w:val="xl68"/>
    <w:basedOn w:val="a"/>
    <w:rsid w:val="00ED534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rPr>
  </w:style>
  <w:style w:type="paragraph" w:customStyle="1" w:styleId="xl69">
    <w:name w:val="xl69"/>
    <w:basedOn w:val="a"/>
    <w:rsid w:val="00ED534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70">
    <w:name w:val="xl70"/>
    <w:basedOn w:val="a"/>
    <w:rsid w:val="00ED534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8"/>
      <w:szCs w:val="18"/>
    </w:rPr>
  </w:style>
  <w:style w:type="paragraph" w:customStyle="1" w:styleId="xl71">
    <w:name w:val="xl71"/>
    <w:basedOn w:val="a"/>
    <w:rsid w:val="00ED534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8"/>
      <w:szCs w:val="18"/>
    </w:rPr>
  </w:style>
  <w:style w:type="paragraph" w:customStyle="1" w:styleId="xl72">
    <w:name w:val="xl72"/>
    <w:basedOn w:val="a"/>
    <w:rsid w:val="00ED534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73">
    <w:name w:val="xl73"/>
    <w:basedOn w:val="a"/>
    <w:rsid w:val="00ED5345"/>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8"/>
      <w:szCs w:val="18"/>
    </w:rPr>
  </w:style>
  <w:style w:type="paragraph" w:customStyle="1" w:styleId="xl74">
    <w:name w:val="xl74"/>
    <w:basedOn w:val="a"/>
    <w:rsid w:val="00ED534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75">
    <w:name w:val="xl75"/>
    <w:basedOn w:val="a"/>
    <w:rsid w:val="00ED534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18"/>
      <w:szCs w:val="18"/>
    </w:rPr>
  </w:style>
  <w:style w:type="paragraph" w:customStyle="1" w:styleId="xl76">
    <w:name w:val="xl76"/>
    <w:basedOn w:val="a"/>
    <w:rsid w:val="00ED5345"/>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18"/>
      <w:szCs w:val="18"/>
    </w:rPr>
  </w:style>
  <w:style w:type="paragraph" w:customStyle="1" w:styleId="xl77">
    <w:name w:val="xl77"/>
    <w:basedOn w:val="a"/>
    <w:rsid w:val="00ED5345"/>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78">
    <w:name w:val="xl78"/>
    <w:basedOn w:val="a"/>
    <w:rsid w:val="00ED5345"/>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rPr>
  </w:style>
  <w:style w:type="paragraph" w:customStyle="1" w:styleId="xl79">
    <w:name w:val="xl79"/>
    <w:basedOn w:val="a"/>
    <w:rsid w:val="00ED5345"/>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rPr>
  </w:style>
  <w:style w:type="paragraph" w:customStyle="1" w:styleId="xl80">
    <w:name w:val="xl80"/>
    <w:basedOn w:val="a"/>
    <w:rsid w:val="00ED5345"/>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rPr>
  </w:style>
  <w:style w:type="paragraph" w:customStyle="1" w:styleId="xl81">
    <w:name w:val="xl81"/>
    <w:basedOn w:val="a"/>
    <w:rsid w:val="00ED534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rPr>
  </w:style>
  <w:style w:type="paragraph" w:customStyle="1" w:styleId="xl82">
    <w:name w:val="xl82"/>
    <w:basedOn w:val="a"/>
    <w:rsid w:val="00ED5345"/>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83">
    <w:name w:val="xl83"/>
    <w:basedOn w:val="a"/>
    <w:rsid w:val="00ED5345"/>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84">
    <w:name w:val="xl84"/>
    <w:basedOn w:val="a"/>
    <w:rsid w:val="00ED5345"/>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85">
    <w:name w:val="xl85"/>
    <w:basedOn w:val="a"/>
    <w:rsid w:val="00ED5345"/>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xl86">
    <w:name w:val="xl86"/>
    <w:basedOn w:val="a"/>
    <w:rsid w:val="00ED5345"/>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xl87">
    <w:name w:val="xl87"/>
    <w:basedOn w:val="a"/>
    <w:rsid w:val="00ED5345"/>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rPr>
  </w:style>
  <w:style w:type="paragraph" w:customStyle="1" w:styleId="xl88">
    <w:name w:val="xl88"/>
    <w:basedOn w:val="a"/>
    <w:rsid w:val="00ED5345"/>
    <w:pPr>
      <w:spacing w:before="100" w:beforeAutospacing="1" w:after="100" w:afterAutospacing="1" w:line="240" w:lineRule="auto"/>
    </w:pPr>
    <w:rPr>
      <w:rFonts w:ascii="Times New Roman" w:eastAsia="Times New Roman" w:hAnsi="Times New Roman" w:cs="Times New Roman"/>
      <w:color w:val="000000"/>
      <w:sz w:val="20"/>
      <w:szCs w:val="20"/>
    </w:rPr>
  </w:style>
  <w:style w:type="paragraph" w:customStyle="1" w:styleId="xl89">
    <w:name w:val="xl89"/>
    <w:basedOn w:val="a"/>
    <w:rsid w:val="00ED5345"/>
    <w:pPr>
      <w:pBdr>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color w:val="000000"/>
      <w:sz w:val="16"/>
      <w:szCs w:val="16"/>
    </w:rPr>
  </w:style>
  <w:style w:type="paragraph" w:customStyle="1" w:styleId="xl90">
    <w:name w:val="xl90"/>
    <w:basedOn w:val="a"/>
    <w:rsid w:val="00ED5345"/>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Arial" w:eastAsia="Times New Roman" w:hAnsi="Arial" w:cs="Arial"/>
      <w:color w:val="000000"/>
      <w:sz w:val="16"/>
      <w:szCs w:val="16"/>
    </w:rPr>
  </w:style>
  <w:style w:type="paragraph" w:customStyle="1" w:styleId="xl91">
    <w:name w:val="xl91"/>
    <w:basedOn w:val="a"/>
    <w:rsid w:val="00ED5345"/>
    <w:pPr>
      <w:pBdr>
        <w:left w:val="single" w:sz="4" w:space="0" w:color="000000"/>
        <w:bottom w:val="single" w:sz="4" w:space="0" w:color="000000"/>
        <w:right w:val="single" w:sz="4" w:space="0" w:color="000000"/>
      </w:pBdr>
      <w:spacing w:before="100" w:beforeAutospacing="1" w:after="100" w:afterAutospacing="1" w:line="240" w:lineRule="auto"/>
      <w:jc w:val="right"/>
      <w:textAlignment w:val="top"/>
    </w:pPr>
    <w:rPr>
      <w:rFonts w:ascii="Arial" w:eastAsia="Times New Roman" w:hAnsi="Arial" w:cs="Arial"/>
      <w:color w:val="000000"/>
      <w:sz w:val="16"/>
      <w:szCs w:val="16"/>
    </w:rPr>
  </w:style>
  <w:style w:type="paragraph" w:customStyle="1" w:styleId="xl92">
    <w:name w:val="xl92"/>
    <w:basedOn w:val="a"/>
    <w:rsid w:val="00ED534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93">
    <w:name w:val="xl93"/>
    <w:basedOn w:val="a"/>
    <w:rsid w:val="00ED534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94">
    <w:name w:val="xl94"/>
    <w:basedOn w:val="a"/>
    <w:rsid w:val="00ED5345"/>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18"/>
      <w:szCs w:val="18"/>
    </w:rPr>
  </w:style>
  <w:style w:type="paragraph" w:customStyle="1" w:styleId="xl95">
    <w:name w:val="xl95"/>
    <w:basedOn w:val="a"/>
    <w:rsid w:val="00ED5345"/>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96">
    <w:name w:val="xl96"/>
    <w:basedOn w:val="a"/>
    <w:rsid w:val="00ED5345"/>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18"/>
      <w:szCs w:val="18"/>
    </w:rPr>
  </w:style>
  <w:style w:type="paragraph" w:customStyle="1" w:styleId="xl97">
    <w:name w:val="xl97"/>
    <w:basedOn w:val="a"/>
    <w:rsid w:val="00ED5345"/>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ticle-stats-viewstats-item-count">
    <w:name w:val="article-stats-view__stats-item-count"/>
    <w:basedOn w:val="a0"/>
    <w:rsid w:val="008364AD"/>
  </w:style>
  <w:style w:type="paragraph" w:customStyle="1" w:styleId="article-renderblock">
    <w:name w:val="article-render__block"/>
    <w:basedOn w:val="a"/>
    <w:rsid w:val="008364AD"/>
    <w:pPr>
      <w:spacing w:before="100" w:beforeAutospacing="1" w:after="100" w:afterAutospacing="1" w:line="240" w:lineRule="auto"/>
    </w:pPr>
    <w:rPr>
      <w:rFonts w:ascii="Times New Roman" w:eastAsia="Times New Roman" w:hAnsi="Times New Roman" w:cs="Times New Roman"/>
      <w:sz w:val="24"/>
      <w:szCs w:val="24"/>
    </w:rPr>
  </w:style>
  <w:style w:type="table" w:styleId="af9">
    <w:name w:val="Grid Table Light"/>
    <w:basedOn w:val="a1"/>
    <w:uiPriority w:val="40"/>
    <w:rsid w:val="008364A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TML">
    <w:name w:val="HTML Preformatted"/>
    <w:basedOn w:val="a"/>
    <w:link w:val="HTML0"/>
    <w:uiPriority w:val="99"/>
    <w:semiHidden/>
    <w:unhideWhenUsed/>
    <w:rsid w:val="00B01B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B01BFC"/>
    <w:rPr>
      <w:rFonts w:ascii="Courier New" w:eastAsia="Times New Roman" w:hAnsi="Courier New" w:cs="Courier New"/>
      <w:sz w:val="20"/>
      <w:szCs w:val="20"/>
      <w:lang w:eastAsia="ru-RU"/>
    </w:rPr>
  </w:style>
  <w:style w:type="paragraph" w:customStyle="1" w:styleId="text-center">
    <w:name w:val="text-center"/>
    <w:basedOn w:val="a"/>
    <w:rsid w:val="00E71A5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bc-bm53ic">
    <w:name w:val="bbc-bm53ic"/>
    <w:basedOn w:val="a"/>
    <w:rsid w:val="00346B69"/>
    <w:pPr>
      <w:spacing w:before="100" w:beforeAutospacing="1" w:after="100" w:afterAutospacing="1" w:line="240" w:lineRule="auto"/>
    </w:pPr>
    <w:rPr>
      <w:rFonts w:ascii="Times New Roman" w:eastAsia="Times New Roman" w:hAnsi="Times New Roman" w:cs="Times New Roman"/>
      <w:sz w:val="24"/>
      <w:szCs w:val="24"/>
    </w:rPr>
  </w:style>
  <w:style w:type="character" w:styleId="HTML1">
    <w:name w:val="HTML Cite"/>
    <w:basedOn w:val="a0"/>
    <w:uiPriority w:val="99"/>
    <w:semiHidden/>
    <w:unhideWhenUsed/>
    <w:rsid w:val="00181D2A"/>
    <w:rPr>
      <w:i/>
      <w:iCs/>
    </w:rPr>
  </w:style>
  <w:style w:type="character" w:customStyle="1" w:styleId="dyjrff">
    <w:name w:val="dyjrff"/>
    <w:basedOn w:val="a0"/>
    <w:rsid w:val="00181D2A"/>
  </w:style>
  <w:style w:type="character" w:customStyle="1" w:styleId="js-phone-number">
    <w:name w:val="js-phone-number"/>
    <w:basedOn w:val="a0"/>
    <w:rsid w:val="00466CA1"/>
  </w:style>
  <w:style w:type="numbering" w:customStyle="1" w:styleId="1">
    <w:name w:val="Текущий список1"/>
    <w:uiPriority w:val="99"/>
    <w:rsid w:val="009E2BC6"/>
    <w:pPr>
      <w:numPr>
        <w:numId w:val="91"/>
      </w:numPr>
    </w:pPr>
  </w:style>
  <w:style w:type="character" w:customStyle="1" w:styleId="UnresolvedMention">
    <w:name w:val="Unresolved Mention"/>
    <w:basedOn w:val="a0"/>
    <w:uiPriority w:val="99"/>
    <w:semiHidden/>
    <w:unhideWhenUsed/>
    <w:rsid w:val="00102D9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561517">
      <w:bodyDiv w:val="1"/>
      <w:marLeft w:val="0"/>
      <w:marRight w:val="0"/>
      <w:marTop w:val="0"/>
      <w:marBottom w:val="0"/>
      <w:divBdr>
        <w:top w:val="none" w:sz="0" w:space="0" w:color="auto"/>
        <w:left w:val="none" w:sz="0" w:space="0" w:color="auto"/>
        <w:bottom w:val="none" w:sz="0" w:space="0" w:color="auto"/>
        <w:right w:val="none" w:sz="0" w:space="0" w:color="auto"/>
      </w:divBdr>
    </w:div>
    <w:div w:id="42826292">
      <w:bodyDiv w:val="1"/>
      <w:marLeft w:val="0"/>
      <w:marRight w:val="0"/>
      <w:marTop w:val="0"/>
      <w:marBottom w:val="0"/>
      <w:divBdr>
        <w:top w:val="none" w:sz="0" w:space="0" w:color="auto"/>
        <w:left w:val="none" w:sz="0" w:space="0" w:color="auto"/>
        <w:bottom w:val="none" w:sz="0" w:space="0" w:color="auto"/>
        <w:right w:val="none" w:sz="0" w:space="0" w:color="auto"/>
      </w:divBdr>
      <w:divsChild>
        <w:div w:id="92406247">
          <w:marLeft w:val="0"/>
          <w:marRight w:val="0"/>
          <w:marTop w:val="0"/>
          <w:marBottom w:val="0"/>
          <w:divBdr>
            <w:top w:val="none" w:sz="0" w:space="0" w:color="auto"/>
            <w:left w:val="none" w:sz="0" w:space="0" w:color="auto"/>
            <w:bottom w:val="none" w:sz="0" w:space="0" w:color="auto"/>
            <w:right w:val="none" w:sz="0" w:space="0" w:color="auto"/>
          </w:divBdr>
          <w:divsChild>
            <w:div w:id="682560947">
              <w:marLeft w:val="0"/>
              <w:marRight w:val="0"/>
              <w:marTop w:val="0"/>
              <w:marBottom w:val="0"/>
              <w:divBdr>
                <w:top w:val="none" w:sz="0" w:space="0" w:color="auto"/>
                <w:left w:val="none" w:sz="0" w:space="0" w:color="auto"/>
                <w:bottom w:val="none" w:sz="0" w:space="0" w:color="auto"/>
                <w:right w:val="none" w:sz="0" w:space="0" w:color="auto"/>
              </w:divBdr>
              <w:divsChild>
                <w:div w:id="1326201497">
                  <w:marLeft w:val="0"/>
                  <w:marRight w:val="0"/>
                  <w:marTop w:val="0"/>
                  <w:marBottom w:val="0"/>
                  <w:divBdr>
                    <w:top w:val="none" w:sz="0" w:space="0" w:color="auto"/>
                    <w:left w:val="none" w:sz="0" w:space="0" w:color="auto"/>
                    <w:bottom w:val="none" w:sz="0" w:space="0" w:color="auto"/>
                    <w:right w:val="none" w:sz="0" w:space="0" w:color="auto"/>
                  </w:divBdr>
                  <w:divsChild>
                    <w:div w:id="1461193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846796">
      <w:bodyDiv w:val="1"/>
      <w:marLeft w:val="0"/>
      <w:marRight w:val="0"/>
      <w:marTop w:val="0"/>
      <w:marBottom w:val="0"/>
      <w:divBdr>
        <w:top w:val="none" w:sz="0" w:space="0" w:color="auto"/>
        <w:left w:val="none" w:sz="0" w:space="0" w:color="auto"/>
        <w:bottom w:val="none" w:sz="0" w:space="0" w:color="auto"/>
        <w:right w:val="none" w:sz="0" w:space="0" w:color="auto"/>
      </w:divBdr>
      <w:divsChild>
        <w:div w:id="911237350">
          <w:marLeft w:val="547"/>
          <w:marRight w:val="0"/>
          <w:marTop w:val="0"/>
          <w:marBottom w:val="0"/>
          <w:divBdr>
            <w:top w:val="none" w:sz="0" w:space="0" w:color="auto"/>
            <w:left w:val="none" w:sz="0" w:space="0" w:color="auto"/>
            <w:bottom w:val="none" w:sz="0" w:space="0" w:color="auto"/>
            <w:right w:val="none" w:sz="0" w:space="0" w:color="auto"/>
          </w:divBdr>
        </w:div>
      </w:divsChild>
    </w:div>
    <w:div w:id="49572296">
      <w:bodyDiv w:val="1"/>
      <w:marLeft w:val="0"/>
      <w:marRight w:val="0"/>
      <w:marTop w:val="0"/>
      <w:marBottom w:val="0"/>
      <w:divBdr>
        <w:top w:val="none" w:sz="0" w:space="0" w:color="auto"/>
        <w:left w:val="none" w:sz="0" w:space="0" w:color="auto"/>
        <w:bottom w:val="none" w:sz="0" w:space="0" w:color="auto"/>
        <w:right w:val="none" w:sz="0" w:space="0" w:color="auto"/>
      </w:divBdr>
    </w:div>
    <w:div w:id="53815799">
      <w:bodyDiv w:val="1"/>
      <w:marLeft w:val="0"/>
      <w:marRight w:val="0"/>
      <w:marTop w:val="0"/>
      <w:marBottom w:val="0"/>
      <w:divBdr>
        <w:top w:val="none" w:sz="0" w:space="0" w:color="auto"/>
        <w:left w:val="none" w:sz="0" w:space="0" w:color="auto"/>
        <w:bottom w:val="none" w:sz="0" w:space="0" w:color="auto"/>
        <w:right w:val="none" w:sz="0" w:space="0" w:color="auto"/>
      </w:divBdr>
    </w:div>
    <w:div w:id="55705697">
      <w:bodyDiv w:val="1"/>
      <w:marLeft w:val="0"/>
      <w:marRight w:val="0"/>
      <w:marTop w:val="0"/>
      <w:marBottom w:val="0"/>
      <w:divBdr>
        <w:top w:val="none" w:sz="0" w:space="0" w:color="auto"/>
        <w:left w:val="none" w:sz="0" w:space="0" w:color="auto"/>
        <w:bottom w:val="none" w:sz="0" w:space="0" w:color="auto"/>
        <w:right w:val="none" w:sz="0" w:space="0" w:color="auto"/>
      </w:divBdr>
    </w:div>
    <w:div w:id="56589043">
      <w:bodyDiv w:val="1"/>
      <w:marLeft w:val="0"/>
      <w:marRight w:val="0"/>
      <w:marTop w:val="0"/>
      <w:marBottom w:val="0"/>
      <w:divBdr>
        <w:top w:val="none" w:sz="0" w:space="0" w:color="auto"/>
        <w:left w:val="none" w:sz="0" w:space="0" w:color="auto"/>
        <w:bottom w:val="none" w:sz="0" w:space="0" w:color="auto"/>
        <w:right w:val="none" w:sz="0" w:space="0" w:color="auto"/>
      </w:divBdr>
    </w:div>
    <w:div w:id="57555798">
      <w:bodyDiv w:val="1"/>
      <w:marLeft w:val="0"/>
      <w:marRight w:val="0"/>
      <w:marTop w:val="0"/>
      <w:marBottom w:val="0"/>
      <w:divBdr>
        <w:top w:val="none" w:sz="0" w:space="0" w:color="auto"/>
        <w:left w:val="none" w:sz="0" w:space="0" w:color="auto"/>
        <w:bottom w:val="none" w:sz="0" w:space="0" w:color="auto"/>
        <w:right w:val="none" w:sz="0" w:space="0" w:color="auto"/>
      </w:divBdr>
    </w:div>
    <w:div w:id="58216666">
      <w:bodyDiv w:val="1"/>
      <w:marLeft w:val="0"/>
      <w:marRight w:val="0"/>
      <w:marTop w:val="0"/>
      <w:marBottom w:val="0"/>
      <w:divBdr>
        <w:top w:val="none" w:sz="0" w:space="0" w:color="auto"/>
        <w:left w:val="none" w:sz="0" w:space="0" w:color="auto"/>
        <w:bottom w:val="none" w:sz="0" w:space="0" w:color="auto"/>
        <w:right w:val="none" w:sz="0" w:space="0" w:color="auto"/>
      </w:divBdr>
    </w:div>
    <w:div w:id="73941916">
      <w:bodyDiv w:val="1"/>
      <w:marLeft w:val="0"/>
      <w:marRight w:val="0"/>
      <w:marTop w:val="0"/>
      <w:marBottom w:val="0"/>
      <w:divBdr>
        <w:top w:val="none" w:sz="0" w:space="0" w:color="auto"/>
        <w:left w:val="none" w:sz="0" w:space="0" w:color="auto"/>
        <w:bottom w:val="none" w:sz="0" w:space="0" w:color="auto"/>
        <w:right w:val="none" w:sz="0" w:space="0" w:color="auto"/>
      </w:divBdr>
    </w:div>
    <w:div w:id="74323442">
      <w:bodyDiv w:val="1"/>
      <w:marLeft w:val="0"/>
      <w:marRight w:val="0"/>
      <w:marTop w:val="0"/>
      <w:marBottom w:val="0"/>
      <w:divBdr>
        <w:top w:val="none" w:sz="0" w:space="0" w:color="auto"/>
        <w:left w:val="none" w:sz="0" w:space="0" w:color="auto"/>
        <w:bottom w:val="none" w:sz="0" w:space="0" w:color="auto"/>
        <w:right w:val="none" w:sz="0" w:space="0" w:color="auto"/>
      </w:divBdr>
    </w:div>
    <w:div w:id="78673975">
      <w:bodyDiv w:val="1"/>
      <w:marLeft w:val="0"/>
      <w:marRight w:val="0"/>
      <w:marTop w:val="0"/>
      <w:marBottom w:val="0"/>
      <w:divBdr>
        <w:top w:val="none" w:sz="0" w:space="0" w:color="auto"/>
        <w:left w:val="none" w:sz="0" w:space="0" w:color="auto"/>
        <w:bottom w:val="none" w:sz="0" w:space="0" w:color="auto"/>
        <w:right w:val="none" w:sz="0" w:space="0" w:color="auto"/>
      </w:divBdr>
    </w:div>
    <w:div w:id="99879996">
      <w:bodyDiv w:val="1"/>
      <w:marLeft w:val="0"/>
      <w:marRight w:val="0"/>
      <w:marTop w:val="0"/>
      <w:marBottom w:val="0"/>
      <w:divBdr>
        <w:top w:val="none" w:sz="0" w:space="0" w:color="auto"/>
        <w:left w:val="none" w:sz="0" w:space="0" w:color="auto"/>
        <w:bottom w:val="none" w:sz="0" w:space="0" w:color="auto"/>
        <w:right w:val="none" w:sz="0" w:space="0" w:color="auto"/>
      </w:divBdr>
      <w:divsChild>
        <w:div w:id="919604348">
          <w:marLeft w:val="547"/>
          <w:marRight w:val="0"/>
          <w:marTop w:val="0"/>
          <w:marBottom w:val="0"/>
          <w:divBdr>
            <w:top w:val="none" w:sz="0" w:space="0" w:color="auto"/>
            <w:left w:val="none" w:sz="0" w:space="0" w:color="auto"/>
            <w:bottom w:val="none" w:sz="0" w:space="0" w:color="auto"/>
            <w:right w:val="none" w:sz="0" w:space="0" w:color="auto"/>
          </w:divBdr>
        </w:div>
      </w:divsChild>
    </w:div>
    <w:div w:id="103961345">
      <w:bodyDiv w:val="1"/>
      <w:marLeft w:val="0"/>
      <w:marRight w:val="0"/>
      <w:marTop w:val="0"/>
      <w:marBottom w:val="0"/>
      <w:divBdr>
        <w:top w:val="none" w:sz="0" w:space="0" w:color="auto"/>
        <w:left w:val="none" w:sz="0" w:space="0" w:color="auto"/>
        <w:bottom w:val="none" w:sz="0" w:space="0" w:color="auto"/>
        <w:right w:val="none" w:sz="0" w:space="0" w:color="auto"/>
      </w:divBdr>
    </w:div>
    <w:div w:id="107741810">
      <w:bodyDiv w:val="1"/>
      <w:marLeft w:val="0"/>
      <w:marRight w:val="0"/>
      <w:marTop w:val="0"/>
      <w:marBottom w:val="0"/>
      <w:divBdr>
        <w:top w:val="none" w:sz="0" w:space="0" w:color="auto"/>
        <w:left w:val="none" w:sz="0" w:space="0" w:color="auto"/>
        <w:bottom w:val="none" w:sz="0" w:space="0" w:color="auto"/>
        <w:right w:val="none" w:sz="0" w:space="0" w:color="auto"/>
      </w:divBdr>
    </w:div>
    <w:div w:id="107817486">
      <w:bodyDiv w:val="1"/>
      <w:marLeft w:val="0"/>
      <w:marRight w:val="0"/>
      <w:marTop w:val="0"/>
      <w:marBottom w:val="0"/>
      <w:divBdr>
        <w:top w:val="none" w:sz="0" w:space="0" w:color="auto"/>
        <w:left w:val="none" w:sz="0" w:space="0" w:color="auto"/>
        <w:bottom w:val="none" w:sz="0" w:space="0" w:color="auto"/>
        <w:right w:val="none" w:sz="0" w:space="0" w:color="auto"/>
      </w:divBdr>
      <w:divsChild>
        <w:div w:id="1152987797">
          <w:marLeft w:val="547"/>
          <w:marRight w:val="0"/>
          <w:marTop w:val="0"/>
          <w:marBottom w:val="0"/>
          <w:divBdr>
            <w:top w:val="none" w:sz="0" w:space="0" w:color="auto"/>
            <w:left w:val="none" w:sz="0" w:space="0" w:color="auto"/>
            <w:bottom w:val="none" w:sz="0" w:space="0" w:color="auto"/>
            <w:right w:val="none" w:sz="0" w:space="0" w:color="auto"/>
          </w:divBdr>
        </w:div>
      </w:divsChild>
    </w:div>
    <w:div w:id="112554045">
      <w:bodyDiv w:val="1"/>
      <w:marLeft w:val="0"/>
      <w:marRight w:val="0"/>
      <w:marTop w:val="0"/>
      <w:marBottom w:val="0"/>
      <w:divBdr>
        <w:top w:val="none" w:sz="0" w:space="0" w:color="auto"/>
        <w:left w:val="none" w:sz="0" w:space="0" w:color="auto"/>
        <w:bottom w:val="none" w:sz="0" w:space="0" w:color="auto"/>
        <w:right w:val="none" w:sz="0" w:space="0" w:color="auto"/>
      </w:divBdr>
      <w:divsChild>
        <w:div w:id="1714116420">
          <w:marLeft w:val="0"/>
          <w:marRight w:val="0"/>
          <w:marTop w:val="450"/>
          <w:marBottom w:val="300"/>
          <w:divBdr>
            <w:top w:val="none" w:sz="0" w:space="0" w:color="auto"/>
            <w:left w:val="none" w:sz="0" w:space="0" w:color="auto"/>
            <w:bottom w:val="single" w:sz="6" w:space="8" w:color="E8E8E8"/>
            <w:right w:val="none" w:sz="0" w:space="0" w:color="auto"/>
          </w:divBdr>
        </w:div>
      </w:divsChild>
    </w:div>
    <w:div w:id="112680246">
      <w:bodyDiv w:val="1"/>
      <w:marLeft w:val="0"/>
      <w:marRight w:val="0"/>
      <w:marTop w:val="0"/>
      <w:marBottom w:val="0"/>
      <w:divBdr>
        <w:top w:val="none" w:sz="0" w:space="0" w:color="auto"/>
        <w:left w:val="none" w:sz="0" w:space="0" w:color="auto"/>
        <w:bottom w:val="none" w:sz="0" w:space="0" w:color="auto"/>
        <w:right w:val="none" w:sz="0" w:space="0" w:color="auto"/>
      </w:divBdr>
    </w:div>
    <w:div w:id="116147148">
      <w:bodyDiv w:val="1"/>
      <w:marLeft w:val="0"/>
      <w:marRight w:val="0"/>
      <w:marTop w:val="0"/>
      <w:marBottom w:val="0"/>
      <w:divBdr>
        <w:top w:val="none" w:sz="0" w:space="0" w:color="auto"/>
        <w:left w:val="none" w:sz="0" w:space="0" w:color="auto"/>
        <w:bottom w:val="none" w:sz="0" w:space="0" w:color="auto"/>
        <w:right w:val="none" w:sz="0" w:space="0" w:color="auto"/>
      </w:divBdr>
    </w:div>
    <w:div w:id="116920309">
      <w:bodyDiv w:val="1"/>
      <w:marLeft w:val="0"/>
      <w:marRight w:val="0"/>
      <w:marTop w:val="0"/>
      <w:marBottom w:val="0"/>
      <w:divBdr>
        <w:top w:val="none" w:sz="0" w:space="0" w:color="auto"/>
        <w:left w:val="none" w:sz="0" w:space="0" w:color="auto"/>
        <w:bottom w:val="none" w:sz="0" w:space="0" w:color="auto"/>
        <w:right w:val="none" w:sz="0" w:space="0" w:color="auto"/>
      </w:divBdr>
      <w:divsChild>
        <w:div w:id="1590384790">
          <w:marLeft w:val="547"/>
          <w:marRight w:val="0"/>
          <w:marTop w:val="0"/>
          <w:marBottom w:val="0"/>
          <w:divBdr>
            <w:top w:val="none" w:sz="0" w:space="0" w:color="auto"/>
            <w:left w:val="none" w:sz="0" w:space="0" w:color="auto"/>
            <w:bottom w:val="none" w:sz="0" w:space="0" w:color="auto"/>
            <w:right w:val="none" w:sz="0" w:space="0" w:color="auto"/>
          </w:divBdr>
        </w:div>
      </w:divsChild>
    </w:div>
    <w:div w:id="124393735">
      <w:bodyDiv w:val="1"/>
      <w:marLeft w:val="0"/>
      <w:marRight w:val="0"/>
      <w:marTop w:val="0"/>
      <w:marBottom w:val="0"/>
      <w:divBdr>
        <w:top w:val="none" w:sz="0" w:space="0" w:color="auto"/>
        <w:left w:val="none" w:sz="0" w:space="0" w:color="auto"/>
        <w:bottom w:val="none" w:sz="0" w:space="0" w:color="auto"/>
        <w:right w:val="none" w:sz="0" w:space="0" w:color="auto"/>
      </w:divBdr>
    </w:div>
    <w:div w:id="125507928">
      <w:bodyDiv w:val="1"/>
      <w:marLeft w:val="0"/>
      <w:marRight w:val="0"/>
      <w:marTop w:val="0"/>
      <w:marBottom w:val="0"/>
      <w:divBdr>
        <w:top w:val="none" w:sz="0" w:space="0" w:color="auto"/>
        <w:left w:val="none" w:sz="0" w:space="0" w:color="auto"/>
        <w:bottom w:val="none" w:sz="0" w:space="0" w:color="auto"/>
        <w:right w:val="none" w:sz="0" w:space="0" w:color="auto"/>
      </w:divBdr>
      <w:divsChild>
        <w:div w:id="979192355">
          <w:marLeft w:val="547"/>
          <w:marRight w:val="0"/>
          <w:marTop w:val="0"/>
          <w:marBottom w:val="0"/>
          <w:divBdr>
            <w:top w:val="none" w:sz="0" w:space="0" w:color="auto"/>
            <w:left w:val="none" w:sz="0" w:space="0" w:color="auto"/>
            <w:bottom w:val="none" w:sz="0" w:space="0" w:color="auto"/>
            <w:right w:val="none" w:sz="0" w:space="0" w:color="auto"/>
          </w:divBdr>
        </w:div>
        <w:div w:id="1056274861">
          <w:marLeft w:val="547"/>
          <w:marRight w:val="0"/>
          <w:marTop w:val="0"/>
          <w:marBottom w:val="0"/>
          <w:divBdr>
            <w:top w:val="none" w:sz="0" w:space="0" w:color="auto"/>
            <w:left w:val="none" w:sz="0" w:space="0" w:color="auto"/>
            <w:bottom w:val="none" w:sz="0" w:space="0" w:color="auto"/>
            <w:right w:val="none" w:sz="0" w:space="0" w:color="auto"/>
          </w:divBdr>
        </w:div>
      </w:divsChild>
    </w:div>
    <w:div w:id="127628528">
      <w:bodyDiv w:val="1"/>
      <w:marLeft w:val="0"/>
      <w:marRight w:val="0"/>
      <w:marTop w:val="0"/>
      <w:marBottom w:val="0"/>
      <w:divBdr>
        <w:top w:val="none" w:sz="0" w:space="0" w:color="auto"/>
        <w:left w:val="none" w:sz="0" w:space="0" w:color="auto"/>
        <w:bottom w:val="none" w:sz="0" w:space="0" w:color="auto"/>
        <w:right w:val="none" w:sz="0" w:space="0" w:color="auto"/>
      </w:divBdr>
    </w:div>
    <w:div w:id="134375057">
      <w:bodyDiv w:val="1"/>
      <w:marLeft w:val="0"/>
      <w:marRight w:val="0"/>
      <w:marTop w:val="0"/>
      <w:marBottom w:val="0"/>
      <w:divBdr>
        <w:top w:val="none" w:sz="0" w:space="0" w:color="auto"/>
        <w:left w:val="none" w:sz="0" w:space="0" w:color="auto"/>
        <w:bottom w:val="none" w:sz="0" w:space="0" w:color="auto"/>
        <w:right w:val="none" w:sz="0" w:space="0" w:color="auto"/>
      </w:divBdr>
      <w:divsChild>
        <w:div w:id="586352917">
          <w:marLeft w:val="547"/>
          <w:marRight w:val="0"/>
          <w:marTop w:val="0"/>
          <w:marBottom w:val="0"/>
          <w:divBdr>
            <w:top w:val="none" w:sz="0" w:space="0" w:color="auto"/>
            <w:left w:val="none" w:sz="0" w:space="0" w:color="auto"/>
            <w:bottom w:val="none" w:sz="0" w:space="0" w:color="auto"/>
            <w:right w:val="none" w:sz="0" w:space="0" w:color="auto"/>
          </w:divBdr>
        </w:div>
      </w:divsChild>
    </w:div>
    <w:div w:id="149911513">
      <w:bodyDiv w:val="1"/>
      <w:marLeft w:val="0"/>
      <w:marRight w:val="0"/>
      <w:marTop w:val="0"/>
      <w:marBottom w:val="0"/>
      <w:divBdr>
        <w:top w:val="none" w:sz="0" w:space="0" w:color="auto"/>
        <w:left w:val="none" w:sz="0" w:space="0" w:color="auto"/>
        <w:bottom w:val="none" w:sz="0" w:space="0" w:color="auto"/>
        <w:right w:val="none" w:sz="0" w:space="0" w:color="auto"/>
      </w:divBdr>
    </w:div>
    <w:div w:id="151258535">
      <w:bodyDiv w:val="1"/>
      <w:marLeft w:val="0"/>
      <w:marRight w:val="0"/>
      <w:marTop w:val="0"/>
      <w:marBottom w:val="0"/>
      <w:divBdr>
        <w:top w:val="none" w:sz="0" w:space="0" w:color="auto"/>
        <w:left w:val="none" w:sz="0" w:space="0" w:color="auto"/>
        <w:bottom w:val="none" w:sz="0" w:space="0" w:color="auto"/>
        <w:right w:val="none" w:sz="0" w:space="0" w:color="auto"/>
      </w:divBdr>
    </w:div>
    <w:div w:id="158888972">
      <w:bodyDiv w:val="1"/>
      <w:marLeft w:val="0"/>
      <w:marRight w:val="0"/>
      <w:marTop w:val="0"/>
      <w:marBottom w:val="0"/>
      <w:divBdr>
        <w:top w:val="none" w:sz="0" w:space="0" w:color="auto"/>
        <w:left w:val="none" w:sz="0" w:space="0" w:color="auto"/>
        <w:bottom w:val="none" w:sz="0" w:space="0" w:color="auto"/>
        <w:right w:val="none" w:sz="0" w:space="0" w:color="auto"/>
      </w:divBdr>
    </w:div>
    <w:div w:id="179049253">
      <w:bodyDiv w:val="1"/>
      <w:marLeft w:val="0"/>
      <w:marRight w:val="0"/>
      <w:marTop w:val="0"/>
      <w:marBottom w:val="0"/>
      <w:divBdr>
        <w:top w:val="none" w:sz="0" w:space="0" w:color="auto"/>
        <w:left w:val="none" w:sz="0" w:space="0" w:color="auto"/>
        <w:bottom w:val="none" w:sz="0" w:space="0" w:color="auto"/>
        <w:right w:val="none" w:sz="0" w:space="0" w:color="auto"/>
      </w:divBdr>
    </w:div>
    <w:div w:id="183835216">
      <w:bodyDiv w:val="1"/>
      <w:marLeft w:val="0"/>
      <w:marRight w:val="0"/>
      <w:marTop w:val="0"/>
      <w:marBottom w:val="0"/>
      <w:divBdr>
        <w:top w:val="none" w:sz="0" w:space="0" w:color="auto"/>
        <w:left w:val="none" w:sz="0" w:space="0" w:color="auto"/>
        <w:bottom w:val="none" w:sz="0" w:space="0" w:color="auto"/>
        <w:right w:val="none" w:sz="0" w:space="0" w:color="auto"/>
      </w:divBdr>
      <w:divsChild>
        <w:div w:id="937717878">
          <w:marLeft w:val="547"/>
          <w:marRight w:val="0"/>
          <w:marTop w:val="0"/>
          <w:marBottom w:val="0"/>
          <w:divBdr>
            <w:top w:val="none" w:sz="0" w:space="0" w:color="auto"/>
            <w:left w:val="none" w:sz="0" w:space="0" w:color="auto"/>
            <w:bottom w:val="none" w:sz="0" w:space="0" w:color="auto"/>
            <w:right w:val="none" w:sz="0" w:space="0" w:color="auto"/>
          </w:divBdr>
        </w:div>
      </w:divsChild>
    </w:div>
    <w:div w:id="186675051">
      <w:bodyDiv w:val="1"/>
      <w:marLeft w:val="0"/>
      <w:marRight w:val="0"/>
      <w:marTop w:val="0"/>
      <w:marBottom w:val="0"/>
      <w:divBdr>
        <w:top w:val="none" w:sz="0" w:space="0" w:color="auto"/>
        <w:left w:val="none" w:sz="0" w:space="0" w:color="auto"/>
        <w:bottom w:val="none" w:sz="0" w:space="0" w:color="auto"/>
        <w:right w:val="none" w:sz="0" w:space="0" w:color="auto"/>
      </w:divBdr>
      <w:divsChild>
        <w:div w:id="11692630">
          <w:marLeft w:val="547"/>
          <w:marRight w:val="0"/>
          <w:marTop w:val="0"/>
          <w:marBottom w:val="0"/>
          <w:divBdr>
            <w:top w:val="none" w:sz="0" w:space="0" w:color="auto"/>
            <w:left w:val="none" w:sz="0" w:space="0" w:color="auto"/>
            <w:bottom w:val="none" w:sz="0" w:space="0" w:color="auto"/>
            <w:right w:val="none" w:sz="0" w:space="0" w:color="auto"/>
          </w:divBdr>
        </w:div>
      </w:divsChild>
    </w:div>
    <w:div w:id="192966565">
      <w:bodyDiv w:val="1"/>
      <w:marLeft w:val="0"/>
      <w:marRight w:val="0"/>
      <w:marTop w:val="0"/>
      <w:marBottom w:val="0"/>
      <w:divBdr>
        <w:top w:val="none" w:sz="0" w:space="0" w:color="auto"/>
        <w:left w:val="none" w:sz="0" w:space="0" w:color="auto"/>
        <w:bottom w:val="none" w:sz="0" w:space="0" w:color="auto"/>
        <w:right w:val="none" w:sz="0" w:space="0" w:color="auto"/>
      </w:divBdr>
    </w:div>
    <w:div w:id="197351291">
      <w:bodyDiv w:val="1"/>
      <w:marLeft w:val="0"/>
      <w:marRight w:val="0"/>
      <w:marTop w:val="0"/>
      <w:marBottom w:val="0"/>
      <w:divBdr>
        <w:top w:val="none" w:sz="0" w:space="0" w:color="auto"/>
        <w:left w:val="none" w:sz="0" w:space="0" w:color="auto"/>
        <w:bottom w:val="none" w:sz="0" w:space="0" w:color="auto"/>
        <w:right w:val="none" w:sz="0" w:space="0" w:color="auto"/>
      </w:divBdr>
    </w:div>
    <w:div w:id="216746014">
      <w:bodyDiv w:val="1"/>
      <w:marLeft w:val="0"/>
      <w:marRight w:val="0"/>
      <w:marTop w:val="0"/>
      <w:marBottom w:val="0"/>
      <w:divBdr>
        <w:top w:val="none" w:sz="0" w:space="0" w:color="auto"/>
        <w:left w:val="none" w:sz="0" w:space="0" w:color="auto"/>
        <w:bottom w:val="none" w:sz="0" w:space="0" w:color="auto"/>
        <w:right w:val="none" w:sz="0" w:space="0" w:color="auto"/>
      </w:divBdr>
      <w:divsChild>
        <w:div w:id="82999104">
          <w:marLeft w:val="547"/>
          <w:marRight w:val="0"/>
          <w:marTop w:val="0"/>
          <w:marBottom w:val="0"/>
          <w:divBdr>
            <w:top w:val="none" w:sz="0" w:space="0" w:color="auto"/>
            <w:left w:val="none" w:sz="0" w:space="0" w:color="auto"/>
            <w:bottom w:val="none" w:sz="0" w:space="0" w:color="auto"/>
            <w:right w:val="none" w:sz="0" w:space="0" w:color="auto"/>
          </w:divBdr>
        </w:div>
      </w:divsChild>
    </w:div>
    <w:div w:id="218638340">
      <w:bodyDiv w:val="1"/>
      <w:marLeft w:val="0"/>
      <w:marRight w:val="0"/>
      <w:marTop w:val="0"/>
      <w:marBottom w:val="0"/>
      <w:divBdr>
        <w:top w:val="none" w:sz="0" w:space="0" w:color="auto"/>
        <w:left w:val="none" w:sz="0" w:space="0" w:color="auto"/>
        <w:bottom w:val="none" w:sz="0" w:space="0" w:color="auto"/>
        <w:right w:val="none" w:sz="0" w:space="0" w:color="auto"/>
      </w:divBdr>
    </w:div>
    <w:div w:id="219706956">
      <w:bodyDiv w:val="1"/>
      <w:marLeft w:val="0"/>
      <w:marRight w:val="0"/>
      <w:marTop w:val="0"/>
      <w:marBottom w:val="0"/>
      <w:divBdr>
        <w:top w:val="none" w:sz="0" w:space="0" w:color="auto"/>
        <w:left w:val="none" w:sz="0" w:space="0" w:color="auto"/>
        <w:bottom w:val="none" w:sz="0" w:space="0" w:color="auto"/>
        <w:right w:val="none" w:sz="0" w:space="0" w:color="auto"/>
      </w:divBdr>
      <w:divsChild>
        <w:div w:id="162739808">
          <w:marLeft w:val="240"/>
          <w:marRight w:val="0"/>
          <w:marTop w:val="0"/>
          <w:marBottom w:val="0"/>
          <w:divBdr>
            <w:top w:val="none" w:sz="0" w:space="0" w:color="auto"/>
            <w:left w:val="none" w:sz="0" w:space="0" w:color="auto"/>
            <w:bottom w:val="none" w:sz="0" w:space="0" w:color="auto"/>
            <w:right w:val="none" w:sz="0" w:space="0" w:color="auto"/>
          </w:divBdr>
          <w:divsChild>
            <w:div w:id="44646184">
              <w:marLeft w:val="0"/>
              <w:marRight w:val="0"/>
              <w:marTop w:val="0"/>
              <w:marBottom w:val="0"/>
              <w:divBdr>
                <w:top w:val="none" w:sz="0" w:space="0" w:color="auto"/>
                <w:left w:val="none" w:sz="0" w:space="0" w:color="auto"/>
                <w:bottom w:val="none" w:sz="0" w:space="0" w:color="auto"/>
                <w:right w:val="none" w:sz="0" w:space="0" w:color="auto"/>
              </w:divBdr>
            </w:div>
            <w:div w:id="190581684">
              <w:marLeft w:val="0"/>
              <w:marRight w:val="0"/>
              <w:marTop w:val="0"/>
              <w:marBottom w:val="0"/>
              <w:divBdr>
                <w:top w:val="none" w:sz="0" w:space="0" w:color="auto"/>
                <w:left w:val="none" w:sz="0" w:space="0" w:color="auto"/>
                <w:bottom w:val="none" w:sz="0" w:space="0" w:color="auto"/>
                <w:right w:val="none" w:sz="0" w:space="0" w:color="auto"/>
              </w:divBdr>
            </w:div>
          </w:divsChild>
        </w:div>
        <w:div w:id="653294873">
          <w:marLeft w:val="0"/>
          <w:marRight w:val="0"/>
          <w:marTop w:val="166"/>
          <w:marBottom w:val="166"/>
          <w:divBdr>
            <w:top w:val="none" w:sz="0" w:space="0" w:color="auto"/>
            <w:left w:val="none" w:sz="0" w:space="0" w:color="auto"/>
            <w:bottom w:val="none" w:sz="0" w:space="0" w:color="auto"/>
            <w:right w:val="none" w:sz="0" w:space="0" w:color="auto"/>
          </w:divBdr>
        </w:div>
        <w:div w:id="1328940269">
          <w:marLeft w:val="0"/>
          <w:marRight w:val="0"/>
          <w:marTop w:val="0"/>
          <w:marBottom w:val="0"/>
          <w:divBdr>
            <w:top w:val="none" w:sz="0" w:space="0" w:color="auto"/>
            <w:left w:val="none" w:sz="0" w:space="0" w:color="auto"/>
            <w:bottom w:val="none" w:sz="0" w:space="0" w:color="auto"/>
            <w:right w:val="none" w:sz="0" w:space="0" w:color="auto"/>
          </w:divBdr>
          <w:divsChild>
            <w:div w:id="916482257">
              <w:marLeft w:val="0"/>
              <w:marRight w:val="0"/>
              <w:marTop w:val="0"/>
              <w:marBottom w:val="0"/>
              <w:divBdr>
                <w:top w:val="none" w:sz="0" w:space="0" w:color="auto"/>
                <w:left w:val="none" w:sz="0" w:space="0" w:color="auto"/>
                <w:bottom w:val="none" w:sz="0" w:space="0" w:color="auto"/>
                <w:right w:val="none" w:sz="0" w:space="0" w:color="auto"/>
              </w:divBdr>
              <w:divsChild>
                <w:div w:id="228807590">
                  <w:marLeft w:val="0"/>
                  <w:marRight w:val="0"/>
                  <w:marTop w:val="0"/>
                  <w:marBottom w:val="0"/>
                  <w:divBdr>
                    <w:top w:val="none" w:sz="0" w:space="0" w:color="auto"/>
                    <w:left w:val="none" w:sz="0" w:space="0" w:color="auto"/>
                    <w:bottom w:val="none" w:sz="0" w:space="0" w:color="auto"/>
                    <w:right w:val="none" w:sz="0" w:space="0" w:color="auto"/>
                  </w:divBdr>
                </w:div>
                <w:div w:id="59285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052862">
          <w:marLeft w:val="0"/>
          <w:marRight w:val="0"/>
          <w:marTop w:val="166"/>
          <w:marBottom w:val="166"/>
          <w:divBdr>
            <w:top w:val="none" w:sz="0" w:space="0" w:color="auto"/>
            <w:left w:val="none" w:sz="0" w:space="0" w:color="auto"/>
            <w:bottom w:val="none" w:sz="0" w:space="0" w:color="auto"/>
            <w:right w:val="none" w:sz="0" w:space="0" w:color="auto"/>
          </w:divBdr>
          <w:divsChild>
            <w:div w:id="1276668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475235">
      <w:bodyDiv w:val="1"/>
      <w:marLeft w:val="0"/>
      <w:marRight w:val="0"/>
      <w:marTop w:val="0"/>
      <w:marBottom w:val="0"/>
      <w:divBdr>
        <w:top w:val="none" w:sz="0" w:space="0" w:color="auto"/>
        <w:left w:val="none" w:sz="0" w:space="0" w:color="auto"/>
        <w:bottom w:val="none" w:sz="0" w:space="0" w:color="auto"/>
        <w:right w:val="none" w:sz="0" w:space="0" w:color="auto"/>
      </w:divBdr>
    </w:div>
    <w:div w:id="240793961">
      <w:bodyDiv w:val="1"/>
      <w:marLeft w:val="0"/>
      <w:marRight w:val="0"/>
      <w:marTop w:val="0"/>
      <w:marBottom w:val="0"/>
      <w:divBdr>
        <w:top w:val="none" w:sz="0" w:space="0" w:color="auto"/>
        <w:left w:val="none" w:sz="0" w:space="0" w:color="auto"/>
        <w:bottom w:val="none" w:sz="0" w:space="0" w:color="auto"/>
        <w:right w:val="none" w:sz="0" w:space="0" w:color="auto"/>
      </w:divBdr>
    </w:div>
    <w:div w:id="248542342">
      <w:bodyDiv w:val="1"/>
      <w:marLeft w:val="0"/>
      <w:marRight w:val="0"/>
      <w:marTop w:val="0"/>
      <w:marBottom w:val="0"/>
      <w:divBdr>
        <w:top w:val="none" w:sz="0" w:space="0" w:color="auto"/>
        <w:left w:val="none" w:sz="0" w:space="0" w:color="auto"/>
        <w:bottom w:val="none" w:sz="0" w:space="0" w:color="auto"/>
        <w:right w:val="none" w:sz="0" w:space="0" w:color="auto"/>
      </w:divBdr>
    </w:div>
    <w:div w:id="259335650">
      <w:bodyDiv w:val="1"/>
      <w:marLeft w:val="0"/>
      <w:marRight w:val="0"/>
      <w:marTop w:val="0"/>
      <w:marBottom w:val="0"/>
      <w:divBdr>
        <w:top w:val="none" w:sz="0" w:space="0" w:color="auto"/>
        <w:left w:val="none" w:sz="0" w:space="0" w:color="auto"/>
        <w:bottom w:val="none" w:sz="0" w:space="0" w:color="auto"/>
        <w:right w:val="none" w:sz="0" w:space="0" w:color="auto"/>
      </w:divBdr>
    </w:div>
    <w:div w:id="273023904">
      <w:bodyDiv w:val="1"/>
      <w:marLeft w:val="0"/>
      <w:marRight w:val="0"/>
      <w:marTop w:val="0"/>
      <w:marBottom w:val="0"/>
      <w:divBdr>
        <w:top w:val="none" w:sz="0" w:space="0" w:color="auto"/>
        <w:left w:val="none" w:sz="0" w:space="0" w:color="auto"/>
        <w:bottom w:val="none" w:sz="0" w:space="0" w:color="auto"/>
        <w:right w:val="none" w:sz="0" w:space="0" w:color="auto"/>
      </w:divBdr>
    </w:div>
    <w:div w:id="273637518">
      <w:bodyDiv w:val="1"/>
      <w:marLeft w:val="0"/>
      <w:marRight w:val="0"/>
      <w:marTop w:val="0"/>
      <w:marBottom w:val="0"/>
      <w:divBdr>
        <w:top w:val="none" w:sz="0" w:space="0" w:color="auto"/>
        <w:left w:val="none" w:sz="0" w:space="0" w:color="auto"/>
        <w:bottom w:val="none" w:sz="0" w:space="0" w:color="auto"/>
        <w:right w:val="none" w:sz="0" w:space="0" w:color="auto"/>
      </w:divBdr>
    </w:div>
    <w:div w:id="280578731">
      <w:bodyDiv w:val="1"/>
      <w:marLeft w:val="0"/>
      <w:marRight w:val="0"/>
      <w:marTop w:val="0"/>
      <w:marBottom w:val="0"/>
      <w:divBdr>
        <w:top w:val="none" w:sz="0" w:space="0" w:color="auto"/>
        <w:left w:val="none" w:sz="0" w:space="0" w:color="auto"/>
        <w:bottom w:val="none" w:sz="0" w:space="0" w:color="auto"/>
        <w:right w:val="none" w:sz="0" w:space="0" w:color="auto"/>
      </w:divBdr>
      <w:divsChild>
        <w:div w:id="585769453">
          <w:marLeft w:val="547"/>
          <w:marRight w:val="0"/>
          <w:marTop w:val="0"/>
          <w:marBottom w:val="0"/>
          <w:divBdr>
            <w:top w:val="none" w:sz="0" w:space="0" w:color="auto"/>
            <w:left w:val="none" w:sz="0" w:space="0" w:color="auto"/>
            <w:bottom w:val="none" w:sz="0" w:space="0" w:color="auto"/>
            <w:right w:val="none" w:sz="0" w:space="0" w:color="auto"/>
          </w:divBdr>
        </w:div>
      </w:divsChild>
    </w:div>
    <w:div w:id="287664893">
      <w:bodyDiv w:val="1"/>
      <w:marLeft w:val="0"/>
      <w:marRight w:val="0"/>
      <w:marTop w:val="0"/>
      <w:marBottom w:val="0"/>
      <w:divBdr>
        <w:top w:val="none" w:sz="0" w:space="0" w:color="auto"/>
        <w:left w:val="none" w:sz="0" w:space="0" w:color="auto"/>
        <w:bottom w:val="none" w:sz="0" w:space="0" w:color="auto"/>
        <w:right w:val="none" w:sz="0" w:space="0" w:color="auto"/>
      </w:divBdr>
      <w:divsChild>
        <w:div w:id="1999962906">
          <w:marLeft w:val="547"/>
          <w:marRight w:val="0"/>
          <w:marTop w:val="0"/>
          <w:marBottom w:val="0"/>
          <w:divBdr>
            <w:top w:val="none" w:sz="0" w:space="0" w:color="auto"/>
            <w:left w:val="none" w:sz="0" w:space="0" w:color="auto"/>
            <w:bottom w:val="none" w:sz="0" w:space="0" w:color="auto"/>
            <w:right w:val="none" w:sz="0" w:space="0" w:color="auto"/>
          </w:divBdr>
        </w:div>
      </w:divsChild>
    </w:div>
    <w:div w:id="294410652">
      <w:bodyDiv w:val="1"/>
      <w:marLeft w:val="0"/>
      <w:marRight w:val="0"/>
      <w:marTop w:val="0"/>
      <w:marBottom w:val="0"/>
      <w:divBdr>
        <w:top w:val="none" w:sz="0" w:space="0" w:color="auto"/>
        <w:left w:val="none" w:sz="0" w:space="0" w:color="auto"/>
        <w:bottom w:val="none" w:sz="0" w:space="0" w:color="auto"/>
        <w:right w:val="none" w:sz="0" w:space="0" w:color="auto"/>
      </w:divBdr>
    </w:div>
    <w:div w:id="315182501">
      <w:bodyDiv w:val="1"/>
      <w:marLeft w:val="0"/>
      <w:marRight w:val="0"/>
      <w:marTop w:val="0"/>
      <w:marBottom w:val="0"/>
      <w:divBdr>
        <w:top w:val="none" w:sz="0" w:space="0" w:color="auto"/>
        <w:left w:val="none" w:sz="0" w:space="0" w:color="auto"/>
        <w:bottom w:val="none" w:sz="0" w:space="0" w:color="auto"/>
        <w:right w:val="none" w:sz="0" w:space="0" w:color="auto"/>
      </w:divBdr>
    </w:div>
    <w:div w:id="318076907">
      <w:bodyDiv w:val="1"/>
      <w:marLeft w:val="0"/>
      <w:marRight w:val="0"/>
      <w:marTop w:val="0"/>
      <w:marBottom w:val="0"/>
      <w:divBdr>
        <w:top w:val="none" w:sz="0" w:space="0" w:color="auto"/>
        <w:left w:val="none" w:sz="0" w:space="0" w:color="auto"/>
        <w:bottom w:val="none" w:sz="0" w:space="0" w:color="auto"/>
        <w:right w:val="none" w:sz="0" w:space="0" w:color="auto"/>
      </w:divBdr>
    </w:div>
    <w:div w:id="318734199">
      <w:bodyDiv w:val="1"/>
      <w:marLeft w:val="0"/>
      <w:marRight w:val="0"/>
      <w:marTop w:val="0"/>
      <w:marBottom w:val="0"/>
      <w:divBdr>
        <w:top w:val="none" w:sz="0" w:space="0" w:color="auto"/>
        <w:left w:val="none" w:sz="0" w:space="0" w:color="auto"/>
        <w:bottom w:val="none" w:sz="0" w:space="0" w:color="auto"/>
        <w:right w:val="none" w:sz="0" w:space="0" w:color="auto"/>
      </w:divBdr>
    </w:div>
    <w:div w:id="325398806">
      <w:bodyDiv w:val="1"/>
      <w:marLeft w:val="0"/>
      <w:marRight w:val="0"/>
      <w:marTop w:val="0"/>
      <w:marBottom w:val="0"/>
      <w:divBdr>
        <w:top w:val="none" w:sz="0" w:space="0" w:color="auto"/>
        <w:left w:val="none" w:sz="0" w:space="0" w:color="auto"/>
        <w:bottom w:val="none" w:sz="0" w:space="0" w:color="auto"/>
        <w:right w:val="none" w:sz="0" w:space="0" w:color="auto"/>
      </w:divBdr>
    </w:div>
    <w:div w:id="335696817">
      <w:bodyDiv w:val="1"/>
      <w:marLeft w:val="0"/>
      <w:marRight w:val="0"/>
      <w:marTop w:val="0"/>
      <w:marBottom w:val="0"/>
      <w:divBdr>
        <w:top w:val="none" w:sz="0" w:space="0" w:color="auto"/>
        <w:left w:val="none" w:sz="0" w:space="0" w:color="auto"/>
        <w:bottom w:val="none" w:sz="0" w:space="0" w:color="auto"/>
        <w:right w:val="none" w:sz="0" w:space="0" w:color="auto"/>
      </w:divBdr>
    </w:div>
    <w:div w:id="344332458">
      <w:bodyDiv w:val="1"/>
      <w:marLeft w:val="0"/>
      <w:marRight w:val="0"/>
      <w:marTop w:val="0"/>
      <w:marBottom w:val="0"/>
      <w:divBdr>
        <w:top w:val="none" w:sz="0" w:space="0" w:color="auto"/>
        <w:left w:val="none" w:sz="0" w:space="0" w:color="auto"/>
        <w:bottom w:val="none" w:sz="0" w:space="0" w:color="auto"/>
        <w:right w:val="none" w:sz="0" w:space="0" w:color="auto"/>
      </w:divBdr>
    </w:div>
    <w:div w:id="351614030">
      <w:bodyDiv w:val="1"/>
      <w:marLeft w:val="0"/>
      <w:marRight w:val="0"/>
      <w:marTop w:val="0"/>
      <w:marBottom w:val="0"/>
      <w:divBdr>
        <w:top w:val="none" w:sz="0" w:space="0" w:color="auto"/>
        <w:left w:val="none" w:sz="0" w:space="0" w:color="auto"/>
        <w:bottom w:val="none" w:sz="0" w:space="0" w:color="auto"/>
        <w:right w:val="none" w:sz="0" w:space="0" w:color="auto"/>
      </w:divBdr>
    </w:div>
    <w:div w:id="371466903">
      <w:bodyDiv w:val="1"/>
      <w:marLeft w:val="0"/>
      <w:marRight w:val="0"/>
      <w:marTop w:val="0"/>
      <w:marBottom w:val="0"/>
      <w:divBdr>
        <w:top w:val="none" w:sz="0" w:space="0" w:color="auto"/>
        <w:left w:val="none" w:sz="0" w:space="0" w:color="auto"/>
        <w:bottom w:val="none" w:sz="0" w:space="0" w:color="auto"/>
        <w:right w:val="none" w:sz="0" w:space="0" w:color="auto"/>
      </w:divBdr>
    </w:div>
    <w:div w:id="372341696">
      <w:bodyDiv w:val="1"/>
      <w:marLeft w:val="0"/>
      <w:marRight w:val="0"/>
      <w:marTop w:val="0"/>
      <w:marBottom w:val="0"/>
      <w:divBdr>
        <w:top w:val="none" w:sz="0" w:space="0" w:color="auto"/>
        <w:left w:val="none" w:sz="0" w:space="0" w:color="auto"/>
        <w:bottom w:val="none" w:sz="0" w:space="0" w:color="auto"/>
        <w:right w:val="none" w:sz="0" w:space="0" w:color="auto"/>
      </w:divBdr>
      <w:divsChild>
        <w:div w:id="1467426916">
          <w:marLeft w:val="547"/>
          <w:marRight w:val="0"/>
          <w:marTop w:val="0"/>
          <w:marBottom w:val="0"/>
          <w:divBdr>
            <w:top w:val="none" w:sz="0" w:space="0" w:color="auto"/>
            <w:left w:val="none" w:sz="0" w:space="0" w:color="auto"/>
            <w:bottom w:val="none" w:sz="0" w:space="0" w:color="auto"/>
            <w:right w:val="none" w:sz="0" w:space="0" w:color="auto"/>
          </w:divBdr>
        </w:div>
      </w:divsChild>
    </w:div>
    <w:div w:id="372460824">
      <w:bodyDiv w:val="1"/>
      <w:marLeft w:val="0"/>
      <w:marRight w:val="0"/>
      <w:marTop w:val="0"/>
      <w:marBottom w:val="0"/>
      <w:divBdr>
        <w:top w:val="none" w:sz="0" w:space="0" w:color="auto"/>
        <w:left w:val="none" w:sz="0" w:space="0" w:color="auto"/>
        <w:bottom w:val="none" w:sz="0" w:space="0" w:color="auto"/>
        <w:right w:val="none" w:sz="0" w:space="0" w:color="auto"/>
      </w:divBdr>
      <w:divsChild>
        <w:div w:id="120344308">
          <w:marLeft w:val="547"/>
          <w:marRight w:val="0"/>
          <w:marTop w:val="0"/>
          <w:marBottom w:val="0"/>
          <w:divBdr>
            <w:top w:val="none" w:sz="0" w:space="0" w:color="auto"/>
            <w:left w:val="none" w:sz="0" w:space="0" w:color="auto"/>
            <w:bottom w:val="none" w:sz="0" w:space="0" w:color="auto"/>
            <w:right w:val="none" w:sz="0" w:space="0" w:color="auto"/>
          </w:divBdr>
        </w:div>
      </w:divsChild>
    </w:div>
    <w:div w:id="376979386">
      <w:bodyDiv w:val="1"/>
      <w:marLeft w:val="0"/>
      <w:marRight w:val="0"/>
      <w:marTop w:val="0"/>
      <w:marBottom w:val="0"/>
      <w:divBdr>
        <w:top w:val="none" w:sz="0" w:space="0" w:color="auto"/>
        <w:left w:val="none" w:sz="0" w:space="0" w:color="auto"/>
        <w:bottom w:val="none" w:sz="0" w:space="0" w:color="auto"/>
        <w:right w:val="none" w:sz="0" w:space="0" w:color="auto"/>
      </w:divBdr>
    </w:div>
    <w:div w:id="377710208">
      <w:bodyDiv w:val="1"/>
      <w:marLeft w:val="0"/>
      <w:marRight w:val="0"/>
      <w:marTop w:val="0"/>
      <w:marBottom w:val="0"/>
      <w:divBdr>
        <w:top w:val="none" w:sz="0" w:space="0" w:color="auto"/>
        <w:left w:val="none" w:sz="0" w:space="0" w:color="auto"/>
        <w:bottom w:val="none" w:sz="0" w:space="0" w:color="auto"/>
        <w:right w:val="none" w:sz="0" w:space="0" w:color="auto"/>
      </w:divBdr>
    </w:div>
    <w:div w:id="378818389">
      <w:bodyDiv w:val="1"/>
      <w:marLeft w:val="0"/>
      <w:marRight w:val="0"/>
      <w:marTop w:val="0"/>
      <w:marBottom w:val="0"/>
      <w:divBdr>
        <w:top w:val="none" w:sz="0" w:space="0" w:color="auto"/>
        <w:left w:val="none" w:sz="0" w:space="0" w:color="auto"/>
        <w:bottom w:val="none" w:sz="0" w:space="0" w:color="auto"/>
        <w:right w:val="none" w:sz="0" w:space="0" w:color="auto"/>
      </w:divBdr>
    </w:div>
    <w:div w:id="379088978">
      <w:bodyDiv w:val="1"/>
      <w:marLeft w:val="0"/>
      <w:marRight w:val="0"/>
      <w:marTop w:val="0"/>
      <w:marBottom w:val="0"/>
      <w:divBdr>
        <w:top w:val="none" w:sz="0" w:space="0" w:color="auto"/>
        <w:left w:val="none" w:sz="0" w:space="0" w:color="auto"/>
        <w:bottom w:val="none" w:sz="0" w:space="0" w:color="auto"/>
        <w:right w:val="none" w:sz="0" w:space="0" w:color="auto"/>
      </w:divBdr>
    </w:div>
    <w:div w:id="383985839">
      <w:bodyDiv w:val="1"/>
      <w:marLeft w:val="0"/>
      <w:marRight w:val="0"/>
      <w:marTop w:val="0"/>
      <w:marBottom w:val="0"/>
      <w:divBdr>
        <w:top w:val="none" w:sz="0" w:space="0" w:color="auto"/>
        <w:left w:val="none" w:sz="0" w:space="0" w:color="auto"/>
        <w:bottom w:val="none" w:sz="0" w:space="0" w:color="auto"/>
        <w:right w:val="none" w:sz="0" w:space="0" w:color="auto"/>
      </w:divBdr>
      <w:divsChild>
        <w:div w:id="809252806">
          <w:marLeft w:val="547"/>
          <w:marRight w:val="0"/>
          <w:marTop w:val="0"/>
          <w:marBottom w:val="0"/>
          <w:divBdr>
            <w:top w:val="none" w:sz="0" w:space="0" w:color="auto"/>
            <w:left w:val="none" w:sz="0" w:space="0" w:color="auto"/>
            <w:bottom w:val="none" w:sz="0" w:space="0" w:color="auto"/>
            <w:right w:val="none" w:sz="0" w:space="0" w:color="auto"/>
          </w:divBdr>
        </w:div>
        <w:div w:id="613169695">
          <w:marLeft w:val="547"/>
          <w:marRight w:val="0"/>
          <w:marTop w:val="0"/>
          <w:marBottom w:val="0"/>
          <w:divBdr>
            <w:top w:val="none" w:sz="0" w:space="0" w:color="auto"/>
            <w:left w:val="none" w:sz="0" w:space="0" w:color="auto"/>
            <w:bottom w:val="none" w:sz="0" w:space="0" w:color="auto"/>
            <w:right w:val="none" w:sz="0" w:space="0" w:color="auto"/>
          </w:divBdr>
        </w:div>
        <w:div w:id="1224562196">
          <w:marLeft w:val="547"/>
          <w:marRight w:val="0"/>
          <w:marTop w:val="0"/>
          <w:marBottom w:val="0"/>
          <w:divBdr>
            <w:top w:val="none" w:sz="0" w:space="0" w:color="auto"/>
            <w:left w:val="none" w:sz="0" w:space="0" w:color="auto"/>
            <w:bottom w:val="none" w:sz="0" w:space="0" w:color="auto"/>
            <w:right w:val="none" w:sz="0" w:space="0" w:color="auto"/>
          </w:divBdr>
        </w:div>
        <w:div w:id="1000767164">
          <w:marLeft w:val="547"/>
          <w:marRight w:val="0"/>
          <w:marTop w:val="0"/>
          <w:marBottom w:val="0"/>
          <w:divBdr>
            <w:top w:val="none" w:sz="0" w:space="0" w:color="auto"/>
            <w:left w:val="none" w:sz="0" w:space="0" w:color="auto"/>
            <w:bottom w:val="none" w:sz="0" w:space="0" w:color="auto"/>
            <w:right w:val="none" w:sz="0" w:space="0" w:color="auto"/>
          </w:divBdr>
        </w:div>
      </w:divsChild>
    </w:div>
    <w:div w:id="389498309">
      <w:bodyDiv w:val="1"/>
      <w:marLeft w:val="0"/>
      <w:marRight w:val="0"/>
      <w:marTop w:val="0"/>
      <w:marBottom w:val="0"/>
      <w:divBdr>
        <w:top w:val="none" w:sz="0" w:space="0" w:color="auto"/>
        <w:left w:val="none" w:sz="0" w:space="0" w:color="auto"/>
        <w:bottom w:val="none" w:sz="0" w:space="0" w:color="auto"/>
        <w:right w:val="none" w:sz="0" w:space="0" w:color="auto"/>
      </w:divBdr>
      <w:divsChild>
        <w:div w:id="801385646">
          <w:marLeft w:val="0"/>
          <w:marRight w:val="0"/>
          <w:marTop w:val="0"/>
          <w:marBottom w:val="0"/>
          <w:divBdr>
            <w:top w:val="none" w:sz="0" w:space="0" w:color="auto"/>
            <w:left w:val="none" w:sz="0" w:space="0" w:color="auto"/>
            <w:bottom w:val="none" w:sz="0" w:space="0" w:color="auto"/>
            <w:right w:val="none" w:sz="0" w:space="0" w:color="auto"/>
          </w:divBdr>
          <w:divsChild>
            <w:div w:id="1812794547">
              <w:marLeft w:val="0"/>
              <w:marRight w:val="0"/>
              <w:marTop w:val="0"/>
              <w:marBottom w:val="0"/>
              <w:divBdr>
                <w:top w:val="none" w:sz="0" w:space="0" w:color="auto"/>
                <w:left w:val="none" w:sz="0" w:space="0" w:color="auto"/>
                <w:bottom w:val="none" w:sz="0" w:space="0" w:color="auto"/>
                <w:right w:val="none" w:sz="0" w:space="0" w:color="auto"/>
              </w:divBdr>
              <w:divsChild>
                <w:div w:id="1589803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379246">
      <w:bodyDiv w:val="1"/>
      <w:marLeft w:val="0"/>
      <w:marRight w:val="0"/>
      <w:marTop w:val="0"/>
      <w:marBottom w:val="0"/>
      <w:divBdr>
        <w:top w:val="none" w:sz="0" w:space="0" w:color="auto"/>
        <w:left w:val="none" w:sz="0" w:space="0" w:color="auto"/>
        <w:bottom w:val="none" w:sz="0" w:space="0" w:color="auto"/>
        <w:right w:val="none" w:sz="0" w:space="0" w:color="auto"/>
      </w:divBdr>
      <w:divsChild>
        <w:div w:id="1968511077">
          <w:marLeft w:val="547"/>
          <w:marRight w:val="0"/>
          <w:marTop w:val="0"/>
          <w:marBottom w:val="0"/>
          <w:divBdr>
            <w:top w:val="none" w:sz="0" w:space="0" w:color="auto"/>
            <w:left w:val="none" w:sz="0" w:space="0" w:color="auto"/>
            <w:bottom w:val="none" w:sz="0" w:space="0" w:color="auto"/>
            <w:right w:val="none" w:sz="0" w:space="0" w:color="auto"/>
          </w:divBdr>
        </w:div>
        <w:div w:id="612444881">
          <w:marLeft w:val="547"/>
          <w:marRight w:val="0"/>
          <w:marTop w:val="0"/>
          <w:marBottom w:val="0"/>
          <w:divBdr>
            <w:top w:val="none" w:sz="0" w:space="0" w:color="auto"/>
            <w:left w:val="none" w:sz="0" w:space="0" w:color="auto"/>
            <w:bottom w:val="none" w:sz="0" w:space="0" w:color="auto"/>
            <w:right w:val="none" w:sz="0" w:space="0" w:color="auto"/>
          </w:divBdr>
        </w:div>
      </w:divsChild>
    </w:div>
    <w:div w:id="408817555">
      <w:bodyDiv w:val="1"/>
      <w:marLeft w:val="0"/>
      <w:marRight w:val="0"/>
      <w:marTop w:val="0"/>
      <w:marBottom w:val="0"/>
      <w:divBdr>
        <w:top w:val="none" w:sz="0" w:space="0" w:color="auto"/>
        <w:left w:val="none" w:sz="0" w:space="0" w:color="auto"/>
        <w:bottom w:val="none" w:sz="0" w:space="0" w:color="auto"/>
        <w:right w:val="none" w:sz="0" w:space="0" w:color="auto"/>
      </w:divBdr>
      <w:divsChild>
        <w:div w:id="653533862">
          <w:marLeft w:val="547"/>
          <w:marRight w:val="0"/>
          <w:marTop w:val="0"/>
          <w:marBottom w:val="0"/>
          <w:divBdr>
            <w:top w:val="none" w:sz="0" w:space="0" w:color="auto"/>
            <w:left w:val="none" w:sz="0" w:space="0" w:color="auto"/>
            <w:bottom w:val="none" w:sz="0" w:space="0" w:color="auto"/>
            <w:right w:val="none" w:sz="0" w:space="0" w:color="auto"/>
          </w:divBdr>
        </w:div>
        <w:div w:id="332419408">
          <w:marLeft w:val="547"/>
          <w:marRight w:val="0"/>
          <w:marTop w:val="0"/>
          <w:marBottom w:val="0"/>
          <w:divBdr>
            <w:top w:val="none" w:sz="0" w:space="0" w:color="auto"/>
            <w:left w:val="none" w:sz="0" w:space="0" w:color="auto"/>
            <w:bottom w:val="none" w:sz="0" w:space="0" w:color="auto"/>
            <w:right w:val="none" w:sz="0" w:space="0" w:color="auto"/>
          </w:divBdr>
        </w:div>
      </w:divsChild>
    </w:div>
    <w:div w:id="420949175">
      <w:bodyDiv w:val="1"/>
      <w:marLeft w:val="0"/>
      <w:marRight w:val="0"/>
      <w:marTop w:val="0"/>
      <w:marBottom w:val="0"/>
      <w:divBdr>
        <w:top w:val="none" w:sz="0" w:space="0" w:color="auto"/>
        <w:left w:val="none" w:sz="0" w:space="0" w:color="auto"/>
        <w:bottom w:val="none" w:sz="0" w:space="0" w:color="auto"/>
        <w:right w:val="none" w:sz="0" w:space="0" w:color="auto"/>
      </w:divBdr>
    </w:div>
    <w:div w:id="421293253">
      <w:bodyDiv w:val="1"/>
      <w:marLeft w:val="0"/>
      <w:marRight w:val="0"/>
      <w:marTop w:val="0"/>
      <w:marBottom w:val="0"/>
      <w:divBdr>
        <w:top w:val="none" w:sz="0" w:space="0" w:color="auto"/>
        <w:left w:val="none" w:sz="0" w:space="0" w:color="auto"/>
        <w:bottom w:val="none" w:sz="0" w:space="0" w:color="auto"/>
        <w:right w:val="none" w:sz="0" w:space="0" w:color="auto"/>
      </w:divBdr>
    </w:div>
    <w:div w:id="425731522">
      <w:bodyDiv w:val="1"/>
      <w:marLeft w:val="0"/>
      <w:marRight w:val="0"/>
      <w:marTop w:val="0"/>
      <w:marBottom w:val="0"/>
      <w:divBdr>
        <w:top w:val="none" w:sz="0" w:space="0" w:color="auto"/>
        <w:left w:val="none" w:sz="0" w:space="0" w:color="auto"/>
        <w:bottom w:val="none" w:sz="0" w:space="0" w:color="auto"/>
        <w:right w:val="none" w:sz="0" w:space="0" w:color="auto"/>
      </w:divBdr>
    </w:div>
    <w:div w:id="433090912">
      <w:bodyDiv w:val="1"/>
      <w:marLeft w:val="0"/>
      <w:marRight w:val="0"/>
      <w:marTop w:val="0"/>
      <w:marBottom w:val="0"/>
      <w:divBdr>
        <w:top w:val="none" w:sz="0" w:space="0" w:color="auto"/>
        <w:left w:val="none" w:sz="0" w:space="0" w:color="auto"/>
        <w:bottom w:val="none" w:sz="0" w:space="0" w:color="auto"/>
        <w:right w:val="none" w:sz="0" w:space="0" w:color="auto"/>
      </w:divBdr>
    </w:div>
    <w:div w:id="436294379">
      <w:bodyDiv w:val="1"/>
      <w:marLeft w:val="0"/>
      <w:marRight w:val="0"/>
      <w:marTop w:val="0"/>
      <w:marBottom w:val="0"/>
      <w:divBdr>
        <w:top w:val="none" w:sz="0" w:space="0" w:color="auto"/>
        <w:left w:val="none" w:sz="0" w:space="0" w:color="auto"/>
        <w:bottom w:val="none" w:sz="0" w:space="0" w:color="auto"/>
        <w:right w:val="none" w:sz="0" w:space="0" w:color="auto"/>
      </w:divBdr>
    </w:div>
    <w:div w:id="436565466">
      <w:bodyDiv w:val="1"/>
      <w:marLeft w:val="0"/>
      <w:marRight w:val="0"/>
      <w:marTop w:val="0"/>
      <w:marBottom w:val="0"/>
      <w:divBdr>
        <w:top w:val="none" w:sz="0" w:space="0" w:color="auto"/>
        <w:left w:val="none" w:sz="0" w:space="0" w:color="auto"/>
        <w:bottom w:val="none" w:sz="0" w:space="0" w:color="auto"/>
        <w:right w:val="none" w:sz="0" w:space="0" w:color="auto"/>
      </w:divBdr>
      <w:divsChild>
        <w:div w:id="879056766">
          <w:marLeft w:val="547"/>
          <w:marRight w:val="0"/>
          <w:marTop w:val="0"/>
          <w:marBottom w:val="0"/>
          <w:divBdr>
            <w:top w:val="none" w:sz="0" w:space="0" w:color="auto"/>
            <w:left w:val="none" w:sz="0" w:space="0" w:color="auto"/>
            <w:bottom w:val="none" w:sz="0" w:space="0" w:color="auto"/>
            <w:right w:val="none" w:sz="0" w:space="0" w:color="auto"/>
          </w:divBdr>
        </w:div>
      </w:divsChild>
    </w:div>
    <w:div w:id="458956199">
      <w:bodyDiv w:val="1"/>
      <w:marLeft w:val="0"/>
      <w:marRight w:val="0"/>
      <w:marTop w:val="0"/>
      <w:marBottom w:val="0"/>
      <w:divBdr>
        <w:top w:val="none" w:sz="0" w:space="0" w:color="auto"/>
        <w:left w:val="none" w:sz="0" w:space="0" w:color="auto"/>
        <w:bottom w:val="none" w:sz="0" w:space="0" w:color="auto"/>
        <w:right w:val="none" w:sz="0" w:space="0" w:color="auto"/>
      </w:divBdr>
    </w:div>
    <w:div w:id="464781612">
      <w:bodyDiv w:val="1"/>
      <w:marLeft w:val="0"/>
      <w:marRight w:val="0"/>
      <w:marTop w:val="0"/>
      <w:marBottom w:val="0"/>
      <w:divBdr>
        <w:top w:val="none" w:sz="0" w:space="0" w:color="auto"/>
        <w:left w:val="none" w:sz="0" w:space="0" w:color="auto"/>
        <w:bottom w:val="none" w:sz="0" w:space="0" w:color="auto"/>
        <w:right w:val="none" w:sz="0" w:space="0" w:color="auto"/>
      </w:divBdr>
    </w:div>
    <w:div w:id="474375732">
      <w:bodyDiv w:val="1"/>
      <w:marLeft w:val="0"/>
      <w:marRight w:val="0"/>
      <w:marTop w:val="0"/>
      <w:marBottom w:val="0"/>
      <w:divBdr>
        <w:top w:val="none" w:sz="0" w:space="0" w:color="auto"/>
        <w:left w:val="none" w:sz="0" w:space="0" w:color="auto"/>
        <w:bottom w:val="none" w:sz="0" w:space="0" w:color="auto"/>
        <w:right w:val="none" w:sz="0" w:space="0" w:color="auto"/>
      </w:divBdr>
    </w:div>
    <w:div w:id="476841383">
      <w:bodyDiv w:val="1"/>
      <w:marLeft w:val="0"/>
      <w:marRight w:val="0"/>
      <w:marTop w:val="0"/>
      <w:marBottom w:val="0"/>
      <w:divBdr>
        <w:top w:val="none" w:sz="0" w:space="0" w:color="auto"/>
        <w:left w:val="none" w:sz="0" w:space="0" w:color="auto"/>
        <w:bottom w:val="none" w:sz="0" w:space="0" w:color="auto"/>
        <w:right w:val="none" w:sz="0" w:space="0" w:color="auto"/>
      </w:divBdr>
      <w:divsChild>
        <w:div w:id="2059543999">
          <w:marLeft w:val="547"/>
          <w:marRight w:val="0"/>
          <w:marTop w:val="0"/>
          <w:marBottom w:val="0"/>
          <w:divBdr>
            <w:top w:val="none" w:sz="0" w:space="0" w:color="auto"/>
            <w:left w:val="none" w:sz="0" w:space="0" w:color="auto"/>
            <w:bottom w:val="none" w:sz="0" w:space="0" w:color="auto"/>
            <w:right w:val="none" w:sz="0" w:space="0" w:color="auto"/>
          </w:divBdr>
        </w:div>
      </w:divsChild>
    </w:div>
    <w:div w:id="476916794">
      <w:bodyDiv w:val="1"/>
      <w:marLeft w:val="0"/>
      <w:marRight w:val="0"/>
      <w:marTop w:val="0"/>
      <w:marBottom w:val="0"/>
      <w:divBdr>
        <w:top w:val="none" w:sz="0" w:space="0" w:color="auto"/>
        <w:left w:val="none" w:sz="0" w:space="0" w:color="auto"/>
        <w:bottom w:val="none" w:sz="0" w:space="0" w:color="auto"/>
        <w:right w:val="none" w:sz="0" w:space="0" w:color="auto"/>
      </w:divBdr>
    </w:div>
    <w:div w:id="477192338">
      <w:bodyDiv w:val="1"/>
      <w:marLeft w:val="0"/>
      <w:marRight w:val="0"/>
      <w:marTop w:val="0"/>
      <w:marBottom w:val="0"/>
      <w:divBdr>
        <w:top w:val="none" w:sz="0" w:space="0" w:color="auto"/>
        <w:left w:val="none" w:sz="0" w:space="0" w:color="auto"/>
        <w:bottom w:val="none" w:sz="0" w:space="0" w:color="auto"/>
        <w:right w:val="none" w:sz="0" w:space="0" w:color="auto"/>
      </w:divBdr>
    </w:div>
    <w:div w:id="486216257">
      <w:bodyDiv w:val="1"/>
      <w:marLeft w:val="0"/>
      <w:marRight w:val="0"/>
      <w:marTop w:val="0"/>
      <w:marBottom w:val="0"/>
      <w:divBdr>
        <w:top w:val="none" w:sz="0" w:space="0" w:color="auto"/>
        <w:left w:val="none" w:sz="0" w:space="0" w:color="auto"/>
        <w:bottom w:val="none" w:sz="0" w:space="0" w:color="auto"/>
        <w:right w:val="none" w:sz="0" w:space="0" w:color="auto"/>
      </w:divBdr>
      <w:divsChild>
        <w:div w:id="849100585">
          <w:marLeft w:val="547"/>
          <w:marRight w:val="0"/>
          <w:marTop w:val="0"/>
          <w:marBottom w:val="0"/>
          <w:divBdr>
            <w:top w:val="none" w:sz="0" w:space="0" w:color="auto"/>
            <w:left w:val="none" w:sz="0" w:space="0" w:color="auto"/>
            <w:bottom w:val="none" w:sz="0" w:space="0" w:color="auto"/>
            <w:right w:val="none" w:sz="0" w:space="0" w:color="auto"/>
          </w:divBdr>
        </w:div>
      </w:divsChild>
    </w:div>
    <w:div w:id="490026728">
      <w:bodyDiv w:val="1"/>
      <w:marLeft w:val="0"/>
      <w:marRight w:val="0"/>
      <w:marTop w:val="0"/>
      <w:marBottom w:val="0"/>
      <w:divBdr>
        <w:top w:val="none" w:sz="0" w:space="0" w:color="auto"/>
        <w:left w:val="none" w:sz="0" w:space="0" w:color="auto"/>
        <w:bottom w:val="none" w:sz="0" w:space="0" w:color="auto"/>
        <w:right w:val="none" w:sz="0" w:space="0" w:color="auto"/>
      </w:divBdr>
    </w:div>
    <w:div w:id="491021770">
      <w:bodyDiv w:val="1"/>
      <w:marLeft w:val="0"/>
      <w:marRight w:val="0"/>
      <w:marTop w:val="0"/>
      <w:marBottom w:val="0"/>
      <w:divBdr>
        <w:top w:val="none" w:sz="0" w:space="0" w:color="auto"/>
        <w:left w:val="none" w:sz="0" w:space="0" w:color="auto"/>
        <w:bottom w:val="none" w:sz="0" w:space="0" w:color="auto"/>
        <w:right w:val="none" w:sz="0" w:space="0" w:color="auto"/>
      </w:divBdr>
    </w:div>
    <w:div w:id="493761253">
      <w:bodyDiv w:val="1"/>
      <w:marLeft w:val="0"/>
      <w:marRight w:val="0"/>
      <w:marTop w:val="0"/>
      <w:marBottom w:val="0"/>
      <w:divBdr>
        <w:top w:val="none" w:sz="0" w:space="0" w:color="auto"/>
        <w:left w:val="none" w:sz="0" w:space="0" w:color="auto"/>
        <w:bottom w:val="none" w:sz="0" w:space="0" w:color="auto"/>
        <w:right w:val="none" w:sz="0" w:space="0" w:color="auto"/>
      </w:divBdr>
    </w:div>
    <w:div w:id="502547027">
      <w:bodyDiv w:val="1"/>
      <w:marLeft w:val="0"/>
      <w:marRight w:val="0"/>
      <w:marTop w:val="0"/>
      <w:marBottom w:val="0"/>
      <w:divBdr>
        <w:top w:val="none" w:sz="0" w:space="0" w:color="auto"/>
        <w:left w:val="none" w:sz="0" w:space="0" w:color="auto"/>
        <w:bottom w:val="none" w:sz="0" w:space="0" w:color="auto"/>
        <w:right w:val="none" w:sz="0" w:space="0" w:color="auto"/>
      </w:divBdr>
    </w:div>
    <w:div w:id="511529612">
      <w:bodyDiv w:val="1"/>
      <w:marLeft w:val="0"/>
      <w:marRight w:val="0"/>
      <w:marTop w:val="0"/>
      <w:marBottom w:val="0"/>
      <w:divBdr>
        <w:top w:val="none" w:sz="0" w:space="0" w:color="auto"/>
        <w:left w:val="none" w:sz="0" w:space="0" w:color="auto"/>
        <w:bottom w:val="none" w:sz="0" w:space="0" w:color="auto"/>
        <w:right w:val="none" w:sz="0" w:space="0" w:color="auto"/>
      </w:divBdr>
    </w:div>
    <w:div w:id="517235566">
      <w:bodyDiv w:val="1"/>
      <w:marLeft w:val="0"/>
      <w:marRight w:val="0"/>
      <w:marTop w:val="0"/>
      <w:marBottom w:val="0"/>
      <w:divBdr>
        <w:top w:val="none" w:sz="0" w:space="0" w:color="auto"/>
        <w:left w:val="none" w:sz="0" w:space="0" w:color="auto"/>
        <w:bottom w:val="none" w:sz="0" w:space="0" w:color="auto"/>
        <w:right w:val="none" w:sz="0" w:space="0" w:color="auto"/>
      </w:divBdr>
    </w:div>
    <w:div w:id="522715276">
      <w:bodyDiv w:val="1"/>
      <w:marLeft w:val="0"/>
      <w:marRight w:val="0"/>
      <w:marTop w:val="0"/>
      <w:marBottom w:val="0"/>
      <w:divBdr>
        <w:top w:val="none" w:sz="0" w:space="0" w:color="auto"/>
        <w:left w:val="none" w:sz="0" w:space="0" w:color="auto"/>
        <w:bottom w:val="none" w:sz="0" w:space="0" w:color="auto"/>
        <w:right w:val="none" w:sz="0" w:space="0" w:color="auto"/>
      </w:divBdr>
    </w:div>
    <w:div w:id="526407660">
      <w:bodyDiv w:val="1"/>
      <w:marLeft w:val="0"/>
      <w:marRight w:val="0"/>
      <w:marTop w:val="0"/>
      <w:marBottom w:val="0"/>
      <w:divBdr>
        <w:top w:val="none" w:sz="0" w:space="0" w:color="auto"/>
        <w:left w:val="none" w:sz="0" w:space="0" w:color="auto"/>
        <w:bottom w:val="none" w:sz="0" w:space="0" w:color="auto"/>
        <w:right w:val="none" w:sz="0" w:space="0" w:color="auto"/>
      </w:divBdr>
      <w:divsChild>
        <w:div w:id="619797461">
          <w:marLeft w:val="547"/>
          <w:marRight w:val="0"/>
          <w:marTop w:val="0"/>
          <w:marBottom w:val="0"/>
          <w:divBdr>
            <w:top w:val="none" w:sz="0" w:space="0" w:color="auto"/>
            <w:left w:val="none" w:sz="0" w:space="0" w:color="auto"/>
            <w:bottom w:val="none" w:sz="0" w:space="0" w:color="auto"/>
            <w:right w:val="none" w:sz="0" w:space="0" w:color="auto"/>
          </w:divBdr>
        </w:div>
      </w:divsChild>
    </w:div>
    <w:div w:id="530997195">
      <w:bodyDiv w:val="1"/>
      <w:marLeft w:val="0"/>
      <w:marRight w:val="0"/>
      <w:marTop w:val="0"/>
      <w:marBottom w:val="0"/>
      <w:divBdr>
        <w:top w:val="none" w:sz="0" w:space="0" w:color="auto"/>
        <w:left w:val="none" w:sz="0" w:space="0" w:color="auto"/>
        <w:bottom w:val="none" w:sz="0" w:space="0" w:color="auto"/>
        <w:right w:val="none" w:sz="0" w:space="0" w:color="auto"/>
      </w:divBdr>
      <w:divsChild>
        <w:div w:id="76171224">
          <w:marLeft w:val="547"/>
          <w:marRight w:val="0"/>
          <w:marTop w:val="0"/>
          <w:marBottom w:val="0"/>
          <w:divBdr>
            <w:top w:val="none" w:sz="0" w:space="0" w:color="auto"/>
            <w:left w:val="none" w:sz="0" w:space="0" w:color="auto"/>
            <w:bottom w:val="none" w:sz="0" w:space="0" w:color="auto"/>
            <w:right w:val="none" w:sz="0" w:space="0" w:color="auto"/>
          </w:divBdr>
        </w:div>
        <w:div w:id="1839540306">
          <w:marLeft w:val="547"/>
          <w:marRight w:val="0"/>
          <w:marTop w:val="0"/>
          <w:marBottom w:val="0"/>
          <w:divBdr>
            <w:top w:val="none" w:sz="0" w:space="0" w:color="auto"/>
            <w:left w:val="none" w:sz="0" w:space="0" w:color="auto"/>
            <w:bottom w:val="none" w:sz="0" w:space="0" w:color="auto"/>
            <w:right w:val="none" w:sz="0" w:space="0" w:color="auto"/>
          </w:divBdr>
        </w:div>
        <w:div w:id="48113907">
          <w:marLeft w:val="1166"/>
          <w:marRight w:val="0"/>
          <w:marTop w:val="0"/>
          <w:marBottom w:val="0"/>
          <w:divBdr>
            <w:top w:val="none" w:sz="0" w:space="0" w:color="auto"/>
            <w:left w:val="none" w:sz="0" w:space="0" w:color="auto"/>
            <w:bottom w:val="none" w:sz="0" w:space="0" w:color="auto"/>
            <w:right w:val="none" w:sz="0" w:space="0" w:color="auto"/>
          </w:divBdr>
        </w:div>
        <w:div w:id="1837263101">
          <w:marLeft w:val="1800"/>
          <w:marRight w:val="0"/>
          <w:marTop w:val="0"/>
          <w:marBottom w:val="0"/>
          <w:divBdr>
            <w:top w:val="none" w:sz="0" w:space="0" w:color="auto"/>
            <w:left w:val="none" w:sz="0" w:space="0" w:color="auto"/>
            <w:bottom w:val="none" w:sz="0" w:space="0" w:color="auto"/>
            <w:right w:val="none" w:sz="0" w:space="0" w:color="auto"/>
          </w:divBdr>
        </w:div>
        <w:div w:id="428742367">
          <w:marLeft w:val="2520"/>
          <w:marRight w:val="0"/>
          <w:marTop w:val="0"/>
          <w:marBottom w:val="0"/>
          <w:divBdr>
            <w:top w:val="none" w:sz="0" w:space="0" w:color="auto"/>
            <w:left w:val="none" w:sz="0" w:space="0" w:color="auto"/>
            <w:bottom w:val="none" w:sz="0" w:space="0" w:color="auto"/>
            <w:right w:val="none" w:sz="0" w:space="0" w:color="auto"/>
          </w:divBdr>
        </w:div>
        <w:div w:id="1000355832">
          <w:marLeft w:val="2520"/>
          <w:marRight w:val="0"/>
          <w:marTop w:val="0"/>
          <w:marBottom w:val="0"/>
          <w:divBdr>
            <w:top w:val="none" w:sz="0" w:space="0" w:color="auto"/>
            <w:left w:val="none" w:sz="0" w:space="0" w:color="auto"/>
            <w:bottom w:val="none" w:sz="0" w:space="0" w:color="auto"/>
            <w:right w:val="none" w:sz="0" w:space="0" w:color="auto"/>
          </w:divBdr>
        </w:div>
        <w:div w:id="1767925837">
          <w:marLeft w:val="3240"/>
          <w:marRight w:val="0"/>
          <w:marTop w:val="0"/>
          <w:marBottom w:val="0"/>
          <w:divBdr>
            <w:top w:val="none" w:sz="0" w:space="0" w:color="auto"/>
            <w:left w:val="none" w:sz="0" w:space="0" w:color="auto"/>
            <w:bottom w:val="none" w:sz="0" w:space="0" w:color="auto"/>
            <w:right w:val="none" w:sz="0" w:space="0" w:color="auto"/>
          </w:divBdr>
        </w:div>
        <w:div w:id="1766657882">
          <w:marLeft w:val="3240"/>
          <w:marRight w:val="0"/>
          <w:marTop w:val="0"/>
          <w:marBottom w:val="0"/>
          <w:divBdr>
            <w:top w:val="none" w:sz="0" w:space="0" w:color="auto"/>
            <w:left w:val="none" w:sz="0" w:space="0" w:color="auto"/>
            <w:bottom w:val="none" w:sz="0" w:space="0" w:color="auto"/>
            <w:right w:val="none" w:sz="0" w:space="0" w:color="auto"/>
          </w:divBdr>
        </w:div>
        <w:div w:id="2107580412">
          <w:marLeft w:val="1800"/>
          <w:marRight w:val="0"/>
          <w:marTop w:val="0"/>
          <w:marBottom w:val="0"/>
          <w:divBdr>
            <w:top w:val="none" w:sz="0" w:space="0" w:color="auto"/>
            <w:left w:val="none" w:sz="0" w:space="0" w:color="auto"/>
            <w:bottom w:val="none" w:sz="0" w:space="0" w:color="auto"/>
            <w:right w:val="none" w:sz="0" w:space="0" w:color="auto"/>
          </w:divBdr>
        </w:div>
        <w:div w:id="759251471">
          <w:marLeft w:val="2520"/>
          <w:marRight w:val="0"/>
          <w:marTop w:val="0"/>
          <w:marBottom w:val="0"/>
          <w:divBdr>
            <w:top w:val="none" w:sz="0" w:space="0" w:color="auto"/>
            <w:left w:val="none" w:sz="0" w:space="0" w:color="auto"/>
            <w:bottom w:val="none" w:sz="0" w:space="0" w:color="auto"/>
            <w:right w:val="none" w:sz="0" w:space="0" w:color="auto"/>
          </w:divBdr>
        </w:div>
        <w:div w:id="1090470576">
          <w:marLeft w:val="1166"/>
          <w:marRight w:val="0"/>
          <w:marTop w:val="0"/>
          <w:marBottom w:val="0"/>
          <w:divBdr>
            <w:top w:val="none" w:sz="0" w:space="0" w:color="auto"/>
            <w:left w:val="none" w:sz="0" w:space="0" w:color="auto"/>
            <w:bottom w:val="none" w:sz="0" w:space="0" w:color="auto"/>
            <w:right w:val="none" w:sz="0" w:space="0" w:color="auto"/>
          </w:divBdr>
        </w:div>
        <w:div w:id="1659845936">
          <w:marLeft w:val="1800"/>
          <w:marRight w:val="0"/>
          <w:marTop w:val="0"/>
          <w:marBottom w:val="0"/>
          <w:divBdr>
            <w:top w:val="none" w:sz="0" w:space="0" w:color="auto"/>
            <w:left w:val="none" w:sz="0" w:space="0" w:color="auto"/>
            <w:bottom w:val="none" w:sz="0" w:space="0" w:color="auto"/>
            <w:right w:val="none" w:sz="0" w:space="0" w:color="auto"/>
          </w:divBdr>
        </w:div>
        <w:div w:id="1987394292">
          <w:marLeft w:val="1166"/>
          <w:marRight w:val="0"/>
          <w:marTop w:val="0"/>
          <w:marBottom w:val="0"/>
          <w:divBdr>
            <w:top w:val="none" w:sz="0" w:space="0" w:color="auto"/>
            <w:left w:val="none" w:sz="0" w:space="0" w:color="auto"/>
            <w:bottom w:val="none" w:sz="0" w:space="0" w:color="auto"/>
            <w:right w:val="none" w:sz="0" w:space="0" w:color="auto"/>
          </w:divBdr>
        </w:div>
        <w:div w:id="681325867">
          <w:marLeft w:val="1800"/>
          <w:marRight w:val="0"/>
          <w:marTop w:val="0"/>
          <w:marBottom w:val="0"/>
          <w:divBdr>
            <w:top w:val="none" w:sz="0" w:space="0" w:color="auto"/>
            <w:left w:val="none" w:sz="0" w:space="0" w:color="auto"/>
            <w:bottom w:val="none" w:sz="0" w:space="0" w:color="auto"/>
            <w:right w:val="none" w:sz="0" w:space="0" w:color="auto"/>
          </w:divBdr>
        </w:div>
        <w:div w:id="1078483953">
          <w:marLeft w:val="2520"/>
          <w:marRight w:val="0"/>
          <w:marTop w:val="0"/>
          <w:marBottom w:val="0"/>
          <w:divBdr>
            <w:top w:val="none" w:sz="0" w:space="0" w:color="auto"/>
            <w:left w:val="none" w:sz="0" w:space="0" w:color="auto"/>
            <w:bottom w:val="none" w:sz="0" w:space="0" w:color="auto"/>
            <w:right w:val="none" w:sz="0" w:space="0" w:color="auto"/>
          </w:divBdr>
        </w:div>
        <w:div w:id="913276838">
          <w:marLeft w:val="1166"/>
          <w:marRight w:val="0"/>
          <w:marTop w:val="0"/>
          <w:marBottom w:val="0"/>
          <w:divBdr>
            <w:top w:val="none" w:sz="0" w:space="0" w:color="auto"/>
            <w:left w:val="none" w:sz="0" w:space="0" w:color="auto"/>
            <w:bottom w:val="none" w:sz="0" w:space="0" w:color="auto"/>
            <w:right w:val="none" w:sz="0" w:space="0" w:color="auto"/>
          </w:divBdr>
        </w:div>
        <w:div w:id="1496149882">
          <w:marLeft w:val="1800"/>
          <w:marRight w:val="0"/>
          <w:marTop w:val="0"/>
          <w:marBottom w:val="0"/>
          <w:divBdr>
            <w:top w:val="none" w:sz="0" w:space="0" w:color="auto"/>
            <w:left w:val="none" w:sz="0" w:space="0" w:color="auto"/>
            <w:bottom w:val="none" w:sz="0" w:space="0" w:color="auto"/>
            <w:right w:val="none" w:sz="0" w:space="0" w:color="auto"/>
          </w:divBdr>
        </w:div>
        <w:div w:id="1966890575">
          <w:marLeft w:val="2520"/>
          <w:marRight w:val="0"/>
          <w:marTop w:val="0"/>
          <w:marBottom w:val="0"/>
          <w:divBdr>
            <w:top w:val="none" w:sz="0" w:space="0" w:color="auto"/>
            <w:left w:val="none" w:sz="0" w:space="0" w:color="auto"/>
            <w:bottom w:val="none" w:sz="0" w:space="0" w:color="auto"/>
            <w:right w:val="none" w:sz="0" w:space="0" w:color="auto"/>
          </w:divBdr>
        </w:div>
        <w:div w:id="1715034386">
          <w:marLeft w:val="1166"/>
          <w:marRight w:val="0"/>
          <w:marTop w:val="0"/>
          <w:marBottom w:val="0"/>
          <w:divBdr>
            <w:top w:val="none" w:sz="0" w:space="0" w:color="auto"/>
            <w:left w:val="none" w:sz="0" w:space="0" w:color="auto"/>
            <w:bottom w:val="none" w:sz="0" w:space="0" w:color="auto"/>
            <w:right w:val="none" w:sz="0" w:space="0" w:color="auto"/>
          </w:divBdr>
        </w:div>
        <w:div w:id="452287359">
          <w:marLeft w:val="1800"/>
          <w:marRight w:val="0"/>
          <w:marTop w:val="0"/>
          <w:marBottom w:val="0"/>
          <w:divBdr>
            <w:top w:val="none" w:sz="0" w:space="0" w:color="auto"/>
            <w:left w:val="none" w:sz="0" w:space="0" w:color="auto"/>
            <w:bottom w:val="none" w:sz="0" w:space="0" w:color="auto"/>
            <w:right w:val="none" w:sz="0" w:space="0" w:color="auto"/>
          </w:divBdr>
        </w:div>
        <w:div w:id="1242057999">
          <w:marLeft w:val="1166"/>
          <w:marRight w:val="0"/>
          <w:marTop w:val="0"/>
          <w:marBottom w:val="0"/>
          <w:divBdr>
            <w:top w:val="none" w:sz="0" w:space="0" w:color="auto"/>
            <w:left w:val="none" w:sz="0" w:space="0" w:color="auto"/>
            <w:bottom w:val="none" w:sz="0" w:space="0" w:color="auto"/>
            <w:right w:val="none" w:sz="0" w:space="0" w:color="auto"/>
          </w:divBdr>
        </w:div>
        <w:div w:id="1391149182">
          <w:marLeft w:val="1800"/>
          <w:marRight w:val="0"/>
          <w:marTop w:val="0"/>
          <w:marBottom w:val="0"/>
          <w:divBdr>
            <w:top w:val="none" w:sz="0" w:space="0" w:color="auto"/>
            <w:left w:val="none" w:sz="0" w:space="0" w:color="auto"/>
            <w:bottom w:val="none" w:sz="0" w:space="0" w:color="auto"/>
            <w:right w:val="none" w:sz="0" w:space="0" w:color="auto"/>
          </w:divBdr>
        </w:div>
        <w:div w:id="1080257043">
          <w:marLeft w:val="2520"/>
          <w:marRight w:val="0"/>
          <w:marTop w:val="0"/>
          <w:marBottom w:val="0"/>
          <w:divBdr>
            <w:top w:val="none" w:sz="0" w:space="0" w:color="auto"/>
            <w:left w:val="none" w:sz="0" w:space="0" w:color="auto"/>
            <w:bottom w:val="none" w:sz="0" w:space="0" w:color="auto"/>
            <w:right w:val="none" w:sz="0" w:space="0" w:color="auto"/>
          </w:divBdr>
        </w:div>
        <w:div w:id="877206637">
          <w:marLeft w:val="1166"/>
          <w:marRight w:val="0"/>
          <w:marTop w:val="0"/>
          <w:marBottom w:val="0"/>
          <w:divBdr>
            <w:top w:val="none" w:sz="0" w:space="0" w:color="auto"/>
            <w:left w:val="none" w:sz="0" w:space="0" w:color="auto"/>
            <w:bottom w:val="none" w:sz="0" w:space="0" w:color="auto"/>
            <w:right w:val="none" w:sz="0" w:space="0" w:color="auto"/>
          </w:divBdr>
        </w:div>
        <w:div w:id="409349075">
          <w:marLeft w:val="1800"/>
          <w:marRight w:val="0"/>
          <w:marTop w:val="0"/>
          <w:marBottom w:val="0"/>
          <w:divBdr>
            <w:top w:val="none" w:sz="0" w:space="0" w:color="auto"/>
            <w:left w:val="none" w:sz="0" w:space="0" w:color="auto"/>
            <w:bottom w:val="none" w:sz="0" w:space="0" w:color="auto"/>
            <w:right w:val="none" w:sz="0" w:space="0" w:color="auto"/>
          </w:divBdr>
        </w:div>
        <w:div w:id="1461650141">
          <w:marLeft w:val="2520"/>
          <w:marRight w:val="0"/>
          <w:marTop w:val="0"/>
          <w:marBottom w:val="0"/>
          <w:divBdr>
            <w:top w:val="none" w:sz="0" w:space="0" w:color="auto"/>
            <w:left w:val="none" w:sz="0" w:space="0" w:color="auto"/>
            <w:bottom w:val="none" w:sz="0" w:space="0" w:color="auto"/>
            <w:right w:val="none" w:sz="0" w:space="0" w:color="auto"/>
          </w:divBdr>
        </w:div>
        <w:div w:id="205339533">
          <w:marLeft w:val="1166"/>
          <w:marRight w:val="0"/>
          <w:marTop w:val="0"/>
          <w:marBottom w:val="0"/>
          <w:divBdr>
            <w:top w:val="none" w:sz="0" w:space="0" w:color="auto"/>
            <w:left w:val="none" w:sz="0" w:space="0" w:color="auto"/>
            <w:bottom w:val="none" w:sz="0" w:space="0" w:color="auto"/>
            <w:right w:val="none" w:sz="0" w:space="0" w:color="auto"/>
          </w:divBdr>
        </w:div>
        <w:div w:id="1424380481">
          <w:marLeft w:val="1800"/>
          <w:marRight w:val="0"/>
          <w:marTop w:val="0"/>
          <w:marBottom w:val="0"/>
          <w:divBdr>
            <w:top w:val="none" w:sz="0" w:space="0" w:color="auto"/>
            <w:left w:val="none" w:sz="0" w:space="0" w:color="auto"/>
            <w:bottom w:val="none" w:sz="0" w:space="0" w:color="auto"/>
            <w:right w:val="none" w:sz="0" w:space="0" w:color="auto"/>
          </w:divBdr>
        </w:div>
        <w:div w:id="87118071">
          <w:marLeft w:val="2520"/>
          <w:marRight w:val="0"/>
          <w:marTop w:val="0"/>
          <w:marBottom w:val="0"/>
          <w:divBdr>
            <w:top w:val="none" w:sz="0" w:space="0" w:color="auto"/>
            <w:left w:val="none" w:sz="0" w:space="0" w:color="auto"/>
            <w:bottom w:val="none" w:sz="0" w:space="0" w:color="auto"/>
            <w:right w:val="none" w:sz="0" w:space="0" w:color="auto"/>
          </w:divBdr>
        </w:div>
        <w:div w:id="245500294">
          <w:marLeft w:val="1166"/>
          <w:marRight w:val="0"/>
          <w:marTop w:val="0"/>
          <w:marBottom w:val="0"/>
          <w:divBdr>
            <w:top w:val="none" w:sz="0" w:space="0" w:color="auto"/>
            <w:left w:val="none" w:sz="0" w:space="0" w:color="auto"/>
            <w:bottom w:val="none" w:sz="0" w:space="0" w:color="auto"/>
            <w:right w:val="none" w:sz="0" w:space="0" w:color="auto"/>
          </w:divBdr>
        </w:div>
        <w:div w:id="759450470">
          <w:marLeft w:val="1800"/>
          <w:marRight w:val="0"/>
          <w:marTop w:val="0"/>
          <w:marBottom w:val="0"/>
          <w:divBdr>
            <w:top w:val="none" w:sz="0" w:space="0" w:color="auto"/>
            <w:left w:val="none" w:sz="0" w:space="0" w:color="auto"/>
            <w:bottom w:val="none" w:sz="0" w:space="0" w:color="auto"/>
            <w:right w:val="none" w:sz="0" w:space="0" w:color="auto"/>
          </w:divBdr>
        </w:div>
      </w:divsChild>
    </w:div>
    <w:div w:id="531114398">
      <w:bodyDiv w:val="1"/>
      <w:marLeft w:val="0"/>
      <w:marRight w:val="0"/>
      <w:marTop w:val="0"/>
      <w:marBottom w:val="0"/>
      <w:divBdr>
        <w:top w:val="none" w:sz="0" w:space="0" w:color="auto"/>
        <w:left w:val="none" w:sz="0" w:space="0" w:color="auto"/>
        <w:bottom w:val="none" w:sz="0" w:space="0" w:color="auto"/>
        <w:right w:val="none" w:sz="0" w:space="0" w:color="auto"/>
      </w:divBdr>
      <w:divsChild>
        <w:div w:id="214515392">
          <w:marLeft w:val="547"/>
          <w:marRight w:val="0"/>
          <w:marTop w:val="0"/>
          <w:marBottom w:val="0"/>
          <w:divBdr>
            <w:top w:val="none" w:sz="0" w:space="0" w:color="auto"/>
            <w:left w:val="none" w:sz="0" w:space="0" w:color="auto"/>
            <w:bottom w:val="none" w:sz="0" w:space="0" w:color="auto"/>
            <w:right w:val="none" w:sz="0" w:space="0" w:color="auto"/>
          </w:divBdr>
        </w:div>
        <w:div w:id="1328090380">
          <w:marLeft w:val="547"/>
          <w:marRight w:val="0"/>
          <w:marTop w:val="0"/>
          <w:marBottom w:val="0"/>
          <w:divBdr>
            <w:top w:val="none" w:sz="0" w:space="0" w:color="auto"/>
            <w:left w:val="none" w:sz="0" w:space="0" w:color="auto"/>
            <w:bottom w:val="none" w:sz="0" w:space="0" w:color="auto"/>
            <w:right w:val="none" w:sz="0" w:space="0" w:color="auto"/>
          </w:divBdr>
        </w:div>
      </w:divsChild>
    </w:div>
    <w:div w:id="549344568">
      <w:bodyDiv w:val="1"/>
      <w:marLeft w:val="0"/>
      <w:marRight w:val="0"/>
      <w:marTop w:val="0"/>
      <w:marBottom w:val="0"/>
      <w:divBdr>
        <w:top w:val="none" w:sz="0" w:space="0" w:color="auto"/>
        <w:left w:val="none" w:sz="0" w:space="0" w:color="auto"/>
        <w:bottom w:val="none" w:sz="0" w:space="0" w:color="auto"/>
        <w:right w:val="none" w:sz="0" w:space="0" w:color="auto"/>
      </w:divBdr>
      <w:divsChild>
        <w:div w:id="2134663676">
          <w:marLeft w:val="547"/>
          <w:marRight w:val="0"/>
          <w:marTop w:val="0"/>
          <w:marBottom w:val="0"/>
          <w:divBdr>
            <w:top w:val="none" w:sz="0" w:space="0" w:color="auto"/>
            <w:left w:val="none" w:sz="0" w:space="0" w:color="auto"/>
            <w:bottom w:val="none" w:sz="0" w:space="0" w:color="auto"/>
            <w:right w:val="none" w:sz="0" w:space="0" w:color="auto"/>
          </w:divBdr>
        </w:div>
      </w:divsChild>
    </w:div>
    <w:div w:id="558134746">
      <w:bodyDiv w:val="1"/>
      <w:marLeft w:val="0"/>
      <w:marRight w:val="0"/>
      <w:marTop w:val="0"/>
      <w:marBottom w:val="0"/>
      <w:divBdr>
        <w:top w:val="none" w:sz="0" w:space="0" w:color="auto"/>
        <w:left w:val="none" w:sz="0" w:space="0" w:color="auto"/>
        <w:bottom w:val="none" w:sz="0" w:space="0" w:color="auto"/>
        <w:right w:val="none" w:sz="0" w:space="0" w:color="auto"/>
      </w:divBdr>
    </w:div>
    <w:div w:id="564880723">
      <w:bodyDiv w:val="1"/>
      <w:marLeft w:val="0"/>
      <w:marRight w:val="0"/>
      <w:marTop w:val="0"/>
      <w:marBottom w:val="0"/>
      <w:divBdr>
        <w:top w:val="none" w:sz="0" w:space="0" w:color="auto"/>
        <w:left w:val="none" w:sz="0" w:space="0" w:color="auto"/>
        <w:bottom w:val="none" w:sz="0" w:space="0" w:color="auto"/>
        <w:right w:val="none" w:sz="0" w:space="0" w:color="auto"/>
      </w:divBdr>
      <w:divsChild>
        <w:div w:id="271864751">
          <w:marLeft w:val="547"/>
          <w:marRight w:val="0"/>
          <w:marTop w:val="0"/>
          <w:marBottom w:val="0"/>
          <w:divBdr>
            <w:top w:val="none" w:sz="0" w:space="0" w:color="auto"/>
            <w:left w:val="none" w:sz="0" w:space="0" w:color="auto"/>
            <w:bottom w:val="none" w:sz="0" w:space="0" w:color="auto"/>
            <w:right w:val="none" w:sz="0" w:space="0" w:color="auto"/>
          </w:divBdr>
        </w:div>
        <w:div w:id="817647229">
          <w:marLeft w:val="547"/>
          <w:marRight w:val="0"/>
          <w:marTop w:val="0"/>
          <w:marBottom w:val="0"/>
          <w:divBdr>
            <w:top w:val="none" w:sz="0" w:space="0" w:color="auto"/>
            <w:left w:val="none" w:sz="0" w:space="0" w:color="auto"/>
            <w:bottom w:val="none" w:sz="0" w:space="0" w:color="auto"/>
            <w:right w:val="none" w:sz="0" w:space="0" w:color="auto"/>
          </w:divBdr>
        </w:div>
      </w:divsChild>
    </w:div>
    <w:div w:id="565650523">
      <w:bodyDiv w:val="1"/>
      <w:marLeft w:val="0"/>
      <w:marRight w:val="0"/>
      <w:marTop w:val="0"/>
      <w:marBottom w:val="0"/>
      <w:divBdr>
        <w:top w:val="none" w:sz="0" w:space="0" w:color="auto"/>
        <w:left w:val="none" w:sz="0" w:space="0" w:color="auto"/>
        <w:bottom w:val="none" w:sz="0" w:space="0" w:color="auto"/>
        <w:right w:val="none" w:sz="0" w:space="0" w:color="auto"/>
      </w:divBdr>
    </w:div>
    <w:div w:id="570627504">
      <w:bodyDiv w:val="1"/>
      <w:marLeft w:val="0"/>
      <w:marRight w:val="0"/>
      <w:marTop w:val="0"/>
      <w:marBottom w:val="0"/>
      <w:divBdr>
        <w:top w:val="none" w:sz="0" w:space="0" w:color="auto"/>
        <w:left w:val="none" w:sz="0" w:space="0" w:color="auto"/>
        <w:bottom w:val="none" w:sz="0" w:space="0" w:color="auto"/>
        <w:right w:val="none" w:sz="0" w:space="0" w:color="auto"/>
      </w:divBdr>
    </w:div>
    <w:div w:id="591158407">
      <w:bodyDiv w:val="1"/>
      <w:marLeft w:val="0"/>
      <w:marRight w:val="0"/>
      <w:marTop w:val="0"/>
      <w:marBottom w:val="0"/>
      <w:divBdr>
        <w:top w:val="none" w:sz="0" w:space="0" w:color="auto"/>
        <w:left w:val="none" w:sz="0" w:space="0" w:color="auto"/>
        <w:bottom w:val="none" w:sz="0" w:space="0" w:color="auto"/>
        <w:right w:val="none" w:sz="0" w:space="0" w:color="auto"/>
      </w:divBdr>
      <w:divsChild>
        <w:div w:id="1033842042">
          <w:marLeft w:val="0"/>
          <w:marRight w:val="0"/>
          <w:marTop w:val="0"/>
          <w:marBottom w:val="0"/>
          <w:divBdr>
            <w:top w:val="none" w:sz="0" w:space="0" w:color="auto"/>
            <w:left w:val="none" w:sz="0" w:space="0" w:color="auto"/>
            <w:bottom w:val="none" w:sz="0" w:space="0" w:color="auto"/>
            <w:right w:val="none" w:sz="0" w:space="0" w:color="auto"/>
          </w:divBdr>
          <w:divsChild>
            <w:div w:id="243147660">
              <w:marLeft w:val="0"/>
              <w:marRight w:val="0"/>
              <w:marTop w:val="0"/>
              <w:marBottom w:val="0"/>
              <w:divBdr>
                <w:top w:val="none" w:sz="0" w:space="0" w:color="auto"/>
                <w:left w:val="none" w:sz="0" w:space="0" w:color="auto"/>
                <w:bottom w:val="none" w:sz="0" w:space="0" w:color="auto"/>
                <w:right w:val="none" w:sz="0" w:space="0" w:color="auto"/>
              </w:divBdr>
              <w:divsChild>
                <w:div w:id="203472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691317">
          <w:marLeft w:val="0"/>
          <w:marRight w:val="0"/>
          <w:marTop w:val="0"/>
          <w:marBottom w:val="0"/>
          <w:divBdr>
            <w:top w:val="none" w:sz="0" w:space="0" w:color="auto"/>
            <w:left w:val="none" w:sz="0" w:space="0" w:color="auto"/>
            <w:bottom w:val="none" w:sz="0" w:space="0" w:color="auto"/>
            <w:right w:val="none" w:sz="0" w:space="0" w:color="auto"/>
          </w:divBdr>
        </w:div>
      </w:divsChild>
    </w:div>
    <w:div w:id="594284574">
      <w:bodyDiv w:val="1"/>
      <w:marLeft w:val="0"/>
      <w:marRight w:val="0"/>
      <w:marTop w:val="0"/>
      <w:marBottom w:val="0"/>
      <w:divBdr>
        <w:top w:val="none" w:sz="0" w:space="0" w:color="auto"/>
        <w:left w:val="none" w:sz="0" w:space="0" w:color="auto"/>
        <w:bottom w:val="none" w:sz="0" w:space="0" w:color="auto"/>
        <w:right w:val="none" w:sz="0" w:space="0" w:color="auto"/>
      </w:divBdr>
    </w:div>
    <w:div w:id="596015236">
      <w:bodyDiv w:val="1"/>
      <w:marLeft w:val="0"/>
      <w:marRight w:val="0"/>
      <w:marTop w:val="0"/>
      <w:marBottom w:val="0"/>
      <w:divBdr>
        <w:top w:val="none" w:sz="0" w:space="0" w:color="auto"/>
        <w:left w:val="none" w:sz="0" w:space="0" w:color="auto"/>
        <w:bottom w:val="none" w:sz="0" w:space="0" w:color="auto"/>
        <w:right w:val="none" w:sz="0" w:space="0" w:color="auto"/>
      </w:divBdr>
    </w:div>
    <w:div w:id="599487865">
      <w:bodyDiv w:val="1"/>
      <w:marLeft w:val="0"/>
      <w:marRight w:val="0"/>
      <w:marTop w:val="0"/>
      <w:marBottom w:val="0"/>
      <w:divBdr>
        <w:top w:val="none" w:sz="0" w:space="0" w:color="auto"/>
        <w:left w:val="none" w:sz="0" w:space="0" w:color="auto"/>
        <w:bottom w:val="none" w:sz="0" w:space="0" w:color="auto"/>
        <w:right w:val="none" w:sz="0" w:space="0" w:color="auto"/>
      </w:divBdr>
      <w:divsChild>
        <w:div w:id="370501650">
          <w:marLeft w:val="0"/>
          <w:marRight w:val="0"/>
          <w:marTop w:val="0"/>
          <w:marBottom w:val="0"/>
          <w:divBdr>
            <w:top w:val="none" w:sz="0" w:space="0" w:color="auto"/>
            <w:left w:val="none" w:sz="0" w:space="0" w:color="auto"/>
            <w:bottom w:val="none" w:sz="0" w:space="0" w:color="auto"/>
            <w:right w:val="none" w:sz="0" w:space="0" w:color="auto"/>
          </w:divBdr>
        </w:div>
        <w:div w:id="449251802">
          <w:marLeft w:val="0"/>
          <w:marRight w:val="0"/>
          <w:marTop w:val="0"/>
          <w:marBottom w:val="0"/>
          <w:divBdr>
            <w:top w:val="none" w:sz="0" w:space="0" w:color="auto"/>
            <w:left w:val="none" w:sz="0" w:space="0" w:color="auto"/>
            <w:bottom w:val="none" w:sz="0" w:space="0" w:color="auto"/>
            <w:right w:val="none" w:sz="0" w:space="0" w:color="auto"/>
          </w:divBdr>
        </w:div>
        <w:div w:id="1743211553">
          <w:marLeft w:val="0"/>
          <w:marRight w:val="0"/>
          <w:marTop w:val="0"/>
          <w:marBottom w:val="0"/>
          <w:divBdr>
            <w:top w:val="none" w:sz="0" w:space="0" w:color="auto"/>
            <w:left w:val="none" w:sz="0" w:space="0" w:color="auto"/>
            <w:bottom w:val="none" w:sz="0" w:space="0" w:color="auto"/>
            <w:right w:val="none" w:sz="0" w:space="0" w:color="auto"/>
          </w:divBdr>
        </w:div>
      </w:divsChild>
    </w:div>
    <w:div w:id="606081988">
      <w:bodyDiv w:val="1"/>
      <w:marLeft w:val="0"/>
      <w:marRight w:val="0"/>
      <w:marTop w:val="0"/>
      <w:marBottom w:val="0"/>
      <w:divBdr>
        <w:top w:val="none" w:sz="0" w:space="0" w:color="auto"/>
        <w:left w:val="none" w:sz="0" w:space="0" w:color="auto"/>
        <w:bottom w:val="none" w:sz="0" w:space="0" w:color="auto"/>
        <w:right w:val="none" w:sz="0" w:space="0" w:color="auto"/>
      </w:divBdr>
    </w:div>
    <w:div w:id="621695066">
      <w:bodyDiv w:val="1"/>
      <w:marLeft w:val="0"/>
      <w:marRight w:val="0"/>
      <w:marTop w:val="0"/>
      <w:marBottom w:val="0"/>
      <w:divBdr>
        <w:top w:val="none" w:sz="0" w:space="0" w:color="auto"/>
        <w:left w:val="none" w:sz="0" w:space="0" w:color="auto"/>
        <w:bottom w:val="none" w:sz="0" w:space="0" w:color="auto"/>
        <w:right w:val="none" w:sz="0" w:space="0" w:color="auto"/>
      </w:divBdr>
      <w:divsChild>
        <w:div w:id="1754931560">
          <w:marLeft w:val="0"/>
          <w:marRight w:val="0"/>
          <w:marTop w:val="0"/>
          <w:marBottom w:val="0"/>
          <w:divBdr>
            <w:top w:val="none" w:sz="0" w:space="0" w:color="auto"/>
            <w:left w:val="none" w:sz="0" w:space="0" w:color="auto"/>
            <w:bottom w:val="none" w:sz="0" w:space="0" w:color="auto"/>
            <w:right w:val="none" w:sz="0" w:space="0" w:color="auto"/>
          </w:divBdr>
        </w:div>
      </w:divsChild>
    </w:div>
    <w:div w:id="629869285">
      <w:bodyDiv w:val="1"/>
      <w:marLeft w:val="0"/>
      <w:marRight w:val="0"/>
      <w:marTop w:val="0"/>
      <w:marBottom w:val="0"/>
      <w:divBdr>
        <w:top w:val="none" w:sz="0" w:space="0" w:color="auto"/>
        <w:left w:val="none" w:sz="0" w:space="0" w:color="auto"/>
        <w:bottom w:val="none" w:sz="0" w:space="0" w:color="auto"/>
        <w:right w:val="none" w:sz="0" w:space="0" w:color="auto"/>
      </w:divBdr>
    </w:div>
    <w:div w:id="636565993">
      <w:bodyDiv w:val="1"/>
      <w:marLeft w:val="0"/>
      <w:marRight w:val="0"/>
      <w:marTop w:val="0"/>
      <w:marBottom w:val="0"/>
      <w:divBdr>
        <w:top w:val="none" w:sz="0" w:space="0" w:color="auto"/>
        <w:left w:val="none" w:sz="0" w:space="0" w:color="auto"/>
        <w:bottom w:val="none" w:sz="0" w:space="0" w:color="auto"/>
        <w:right w:val="none" w:sz="0" w:space="0" w:color="auto"/>
      </w:divBdr>
    </w:div>
    <w:div w:id="640811460">
      <w:bodyDiv w:val="1"/>
      <w:marLeft w:val="0"/>
      <w:marRight w:val="0"/>
      <w:marTop w:val="0"/>
      <w:marBottom w:val="0"/>
      <w:divBdr>
        <w:top w:val="none" w:sz="0" w:space="0" w:color="auto"/>
        <w:left w:val="none" w:sz="0" w:space="0" w:color="auto"/>
        <w:bottom w:val="none" w:sz="0" w:space="0" w:color="auto"/>
        <w:right w:val="none" w:sz="0" w:space="0" w:color="auto"/>
      </w:divBdr>
    </w:div>
    <w:div w:id="641622306">
      <w:bodyDiv w:val="1"/>
      <w:marLeft w:val="0"/>
      <w:marRight w:val="0"/>
      <w:marTop w:val="0"/>
      <w:marBottom w:val="0"/>
      <w:divBdr>
        <w:top w:val="none" w:sz="0" w:space="0" w:color="auto"/>
        <w:left w:val="none" w:sz="0" w:space="0" w:color="auto"/>
        <w:bottom w:val="none" w:sz="0" w:space="0" w:color="auto"/>
        <w:right w:val="none" w:sz="0" w:space="0" w:color="auto"/>
      </w:divBdr>
    </w:div>
    <w:div w:id="652835807">
      <w:bodyDiv w:val="1"/>
      <w:marLeft w:val="0"/>
      <w:marRight w:val="0"/>
      <w:marTop w:val="0"/>
      <w:marBottom w:val="0"/>
      <w:divBdr>
        <w:top w:val="none" w:sz="0" w:space="0" w:color="auto"/>
        <w:left w:val="none" w:sz="0" w:space="0" w:color="auto"/>
        <w:bottom w:val="none" w:sz="0" w:space="0" w:color="auto"/>
        <w:right w:val="none" w:sz="0" w:space="0" w:color="auto"/>
      </w:divBdr>
    </w:div>
    <w:div w:id="657156490">
      <w:bodyDiv w:val="1"/>
      <w:marLeft w:val="0"/>
      <w:marRight w:val="0"/>
      <w:marTop w:val="0"/>
      <w:marBottom w:val="0"/>
      <w:divBdr>
        <w:top w:val="none" w:sz="0" w:space="0" w:color="auto"/>
        <w:left w:val="none" w:sz="0" w:space="0" w:color="auto"/>
        <w:bottom w:val="none" w:sz="0" w:space="0" w:color="auto"/>
        <w:right w:val="none" w:sz="0" w:space="0" w:color="auto"/>
      </w:divBdr>
    </w:div>
    <w:div w:id="676153780">
      <w:bodyDiv w:val="1"/>
      <w:marLeft w:val="0"/>
      <w:marRight w:val="0"/>
      <w:marTop w:val="0"/>
      <w:marBottom w:val="0"/>
      <w:divBdr>
        <w:top w:val="none" w:sz="0" w:space="0" w:color="auto"/>
        <w:left w:val="none" w:sz="0" w:space="0" w:color="auto"/>
        <w:bottom w:val="none" w:sz="0" w:space="0" w:color="auto"/>
        <w:right w:val="none" w:sz="0" w:space="0" w:color="auto"/>
      </w:divBdr>
    </w:div>
    <w:div w:id="676536423">
      <w:bodyDiv w:val="1"/>
      <w:marLeft w:val="0"/>
      <w:marRight w:val="0"/>
      <w:marTop w:val="0"/>
      <w:marBottom w:val="0"/>
      <w:divBdr>
        <w:top w:val="none" w:sz="0" w:space="0" w:color="auto"/>
        <w:left w:val="none" w:sz="0" w:space="0" w:color="auto"/>
        <w:bottom w:val="none" w:sz="0" w:space="0" w:color="auto"/>
        <w:right w:val="none" w:sz="0" w:space="0" w:color="auto"/>
      </w:divBdr>
      <w:divsChild>
        <w:div w:id="929005528">
          <w:marLeft w:val="547"/>
          <w:marRight w:val="0"/>
          <w:marTop w:val="0"/>
          <w:marBottom w:val="0"/>
          <w:divBdr>
            <w:top w:val="none" w:sz="0" w:space="0" w:color="auto"/>
            <w:left w:val="none" w:sz="0" w:space="0" w:color="auto"/>
            <w:bottom w:val="none" w:sz="0" w:space="0" w:color="auto"/>
            <w:right w:val="none" w:sz="0" w:space="0" w:color="auto"/>
          </w:divBdr>
        </w:div>
      </w:divsChild>
    </w:div>
    <w:div w:id="679434679">
      <w:bodyDiv w:val="1"/>
      <w:marLeft w:val="0"/>
      <w:marRight w:val="0"/>
      <w:marTop w:val="0"/>
      <w:marBottom w:val="0"/>
      <w:divBdr>
        <w:top w:val="none" w:sz="0" w:space="0" w:color="auto"/>
        <w:left w:val="none" w:sz="0" w:space="0" w:color="auto"/>
        <w:bottom w:val="none" w:sz="0" w:space="0" w:color="auto"/>
        <w:right w:val="none" w:sz="0" w:space="0" w:color="auto"/>
      </w:divBdr>
      <w:divsChild>
        <w:div w:id="651062060">
          <w:marLeft w:val="547"/>
          <w:marRight w:val="0"/>
          <w:marTop w:val="0"/>
          <w:marBottom w:val="0"/>
          <w:divBdr>
            <w:top w:val="none" w:sz="0" w:space="0" w:color="auto"/>
            <w:left w:val="none" w:sz="0" w:space="0" w:color="auto"/>
            <w:bottom w:val="none" w:sz="0" w:space="0" w:color="auto"/>
            <w:right w:val="none" w:sz="0" w:space="0" w:color="auto"/>
          </w:divBdr>
        </w:div>
        <w:div w:id="769592775">
          <w:marLeft w:val="547"/>
          <w:marRight w:val="0"/>
          <w:marTop w:val="0"/>
          <w:marBottom w:val="0"/>
          <w:divBdr>
            <w:top w:val="none" w:sz="0" w:space="0" w:color="auto"/>
            <w:left w:val="none" w:sz="0" w:space="0" w:color="auto"/>
            <w:bottom w:val="none" w:sz="0" w:space="0" w:color="auto"/>
            <w:right w:val="none" w:sz="0" w:space="0" w:color="auto"/>
          </w:divBdr>
        </w:div>
      </w:divsChild>
    </w:div>
    <w:div w:id="679627755">
      <w:bodyDiv w:val="1"/>
      <w:marLeft w:val="0"/>
      <w:marRight w:val="0"/>
      <w:marTop w:val="0"/>
      <w:marBottom w:val="0"/>
      <w:divBdr>
        <w:top w:val="none" w:sz="0" w:space="0" w:color="auto"/>
        <w:left w:val="none" w:sz="0" w:space="0" w:color="auto"/>
        <w:bottom w:val="none" w:sz="0" w:space="0" w:color="auto"/>
        <w:right w:val="none" w:sz="0" w:space="0" w:color="auto"/>
      </w:divBdr>
    </w:div>
    <w:div w:id="685062650">
      <w:bodyDiv w:val="1"/>
      <w:marLeft w:val="0"/>
      <w:marRight w:val="0"/>
      <w:marTop w:val="0"/>
      <w:marBottom w:val="0"/>
      <w:divBdr>
        <w:top w:val="none" w:sz="0" w:space="0" w:color="auto"/>
        <w:left w:val="none" w:sz="0" w:space="0" w:color="auto"/>
        <w:bottom w:val="none" w:sz="0" w:space="0" w:color="auto"/>
        <w:right w:val="none" w:sz="0" w:space="0" w:color="auto"/>
      </w:divBdr>
    </w:div>
    <w:div w:id="691995301">
      <w:bodyDiv w:val="1"/>
      <w:marLeft w:val="0"/>
      <w:marRight w:val="0"/>
      <w:marTop w:val="0"/>
      <w:marBottom w:val="0"/>
      <w:divBdr>
        <w:top w:val="none" w:sz="0" w:space="0" w:color="auto"/>
        <w:left w:val="none" w:sz="0" w:space="0" w:color="auto"/>
        <w:bottom w:val="none" w:sz="0" w:space="0" w:color="auto"/>
        <w:right w:val="none" w:sz="0" w:space="0" w:color="auto"/>
      </w:divBdr>
    </w:div>
    <w:div w:id="696351719">
      <w:bodyDiv w:val="1"/>
      <w:marLeft w:val="0"/>
      <w:marRight w:val="0"/>
      <w:marTop w:val="0"/>
      <w:marBottom w:val="0"/>
      <w:divBdr>
        <w:top w:val="none" w:sz="0" w:space="0" w:color="auto"/>
        <w:left w:val="none" w:sz="0" w:space="0" w:color="auto"/>
        <w:bottom w:val="none" w:sz="0" w:space="0" w:color="auto"/>
        <w:right w:val="none" w:sz="0" w:space="0" w:color="auto"/>
      </w:divBdr>
      <w:divsChild>
        <w:div w:id="1875188532">
          <w:marLeft w:val="547"/>
          <w:marRight w:val="0"/>
          <w:marTop w:val="200"/>
          <w:marBottom w:val="0"/>
          <w:divBdr>
            <w:top w:val="none" w:sz="0" w:space="0" w:color="auto"/>
            <w:left w:val="none" w:sz="0" w:space="0" w:color="auto"/>
            <w:bottom w:val="none" w:sz="0" w:space="0" w:color="auto"/>
            <w:right w:val="none" w:sz="0" w:space="0" w:color="auto"/>
          </w:divBdr>
        </w:div>
      </w:divsChild>
    </w:div>
    <w:div w:id="703293256">
      <w:bodyDiv w:val="1"/>
      <w:marLeft w:val="0"/>
      <w:marRight w:val="0"/>
      <w:marTop w:val="0"/>
      <w:marBottom w:val="0"/>
      <w:divBdr>
        <w:top w:val="none" w:sz="0" w:space="0" w:color="auto"/>
        <w:left w:val="none" w:sz="0" w:space="0" w:color="auto"/>
        <w:bottom w:val="none" w:sz="0" w:space="0" w:color="auto"/>
        <w:right w:val="none" w:sz="0" w:space="0" w:color="auto"/>
      </w:divBdr>
      <w:divsChild>
        <w:div w:id="990140203">
          <w:marLeft w:val="547"/>
          <w:marRight w:val="0"/>
          <w:marTop w:val="0"/>
          <w:marBottom w:val="0"/>
          <w:divBdr>
            <w:top w:val="none" w:sz="0" w:space="0" w:color="auto"/>
            <w:left w:val="none" w:sz="0" w:space="0" w:color="auto"/>
            <w:bottom w:val="none" w:sz="0" w:space="0" w:color="auto"/>
            <w:right w:val="none" w:sz="0" w:space="0" w:color="auto"/>
          </w:divBdr>
        </w:div>
      </w:divsChild>
    </w:div>
    <w:div w:id="705911010">
      <w:bodyDiv w:val="1"/>
      <w:marLeft w:val="0"/>
      <w:marRight w:val="0"/>
      <w:marTop w:val="0"/>
      <w:marBottom w:val="0"/>
      <w:divBdr>
        <w:top w:val="none" w:sz="0" w:space="0" w:color="auto"/>
        <w:left w:val="none" w:sz="0" w:space="0" w:color="auto"/>
        <w:bottom w:val="none" w:sz="0" w:space="0" w:color="auto"/>
        <w:right w:val="none" w:sz="0" w:space="0" w:color="auto"/>
      </w:divBdr>
    </w:div>
    <w:div w:id="705912944">
      <w:bodyDiv w:val="1"/>
      <w:marLeft w:val="0"/>
      <w:marRight w:val="0"/>
      <w:marTop w:val="0"/>
      <w:marBottom w:val="0"/>
      <w:divBdr>
        <w:top w:val="none" w:sz="0" w:space="0" w:color="auto"/>
        <w:left w:val="none" w:sz="0" w:space="0" w:color="auto"/>
        <w:bottom w:val="none" w:sz="0" w:space="0" w:color="auto"/>
        <w:right w:val="none" w:sz="0" w:space="0" w:color="auto"/>
      </w:divBdr>
      <w:divsChild>
        <w:div w:id="1251112159">
          <w:marLeft w:val="547"/>
          <w:marRight w:val="0"/>
          <w:marTop w:val="0"/>
          <w:marBottom w:val="0"/>
          <w:divBdr>
            <w:top w:val="none" w:sz="0" w:space="0" w:color="auto"/>
            <w:left w:val="none" w:sz="0" w:space="0" w:color="auto"/>
            <w:bottom w:val="none" w:sz="0" w:space="0" w:color="auto"/>
            <w:right w:val="none" w:sz="0" w:space="0" w:color="auto"/>
          </w:divBdr>
        </w:div>
      </w:divsChild>
    </w:div>
    <w:div w:id="713848435">
      <w:bodyDiv w:val="1"/>
      <w:marLeft w:val="0"/>
      <w:marRight w:val="0"/>
      <w:marTop w:val="0"/>
      <w:marBottom w:val="0"/>
      <w:divBdr>
        <w:top w:val="none" w:sz="0" w:space="0" w:color="auto"/>
        <w:left w:val="none" w:sz="0" w:space="0" w:color="auto"/>
        <w:bottom w:val="none" w:sz="0" w:space="0" w:color="auto"/>
        <w:right w:val="none" w:sz="0" w:space="0" w:color="auto"/>
      </w:divBdr>
    </w:div>
    <w:div w:id="717559057">
      <w:bodyDiv w:val="1"/>
      <w:marLeft w:val="0"/>
      <w:marRight w:val="0"/>
      <w:marTop w:val="0"/>
      <w:marBottom w:val="0"/>
      <w:divBdr>
        <w:top w:val="none" w:sz="0" w:space="0" w:color="auto"/>
        <w:left w:val="none" w:sz="0" w:space="0" w:color="auto"/>
        <w:bottom w:val="none" w:sz="0" w:space="0" w:color="auto"/>
        <w:right w:val="none" w:sz="0" w:space="0" w:color="auto"/>
      </w:divBdr>
      <w:divsChild>
        <w:div w:id="1590500705">
          <w:marLeft w:val="547"/>
          <w:marRight w:val="0"/>
          <w:marTop w:val="0"/>
          <w:marBottom w:val="0"/>
          <w:divBdr>
            <w:top w:val="none" w:sz="0" w:space="0" w:color="auto"/>
            <w:left w:val="none" w:sz="0" w:space="0" w:color="auto"/>
            <w:bottom w:val="none" w:sz="0" w:space="0" w:color="auto"/>
            <w:right w:val="none" w:sz="0" w:space="0" w:color="auto"/>
          </w:divBdr>
        </w:div>
      </w:divsChild>
    </w:div>
    <w:div w:id="717973142">
      <w:bodyDiv w:val="1"/>
      <w:marLeft w:val="0"/>
      <w:marRight w:val="0"/>
      <w:marTop w:val="0"/>
      <w:marBottom w:val="0"/>
      <w:divBdr>
        <w:top w:val="none" w:sz="0" w:space="0" w:color="auto"/>
        <w:left w:val="none" w:sz="0" w:space="0" w:color="auto"/>
        <w:bottom w:val="none" w:sz="0" w:space="0" w:color="auto"/>
        <w:right w:val="none" w:sz="0" w:space="0" w:color="auto"/>
      </w:divBdr>
    </w:div>
    <w:div w:id="718936059">
      <w:bodyDiv w:val="1"/>
      <w:marLeft w:val="0"/>
      <w:marRight w:val="0"/>
      <w:marTop w:val="0"/>
      <w:marBottom w:val="0"/>
      <w:divBdr>
        <w:top w:val="none" w:sz="0" w:space="0" w:color="auto"/>
        <w:left w:val="none" w:sz="0" w:space="0" w:color="auto"/>
        <w:bottom w:val="none" w:sz="0" w:space="0" w:color="auto"/>
        <w:right w:val="none" w:sz="0" w:space="0" w:color="auto"/>
      </w:divBdr>
    </w:div>
    <w:div w:id="729500224">
      <w:bodyDiv w:val="1"/>
      <w:marLeft w:val="0"/>
      <w:marRight w:val="0"/>
      <w:marTop w:val="0"/>
      <w:marBottom w:val="0"/>
      <w:divBdr>
        <w:top w:val="none" w:sz="0" w:space="0" w:color="auto"/>
        <w:left w:val="none" w:sz="0" w:space="0" w:color="auto"/>
        <w:bottom w:val="none" w:sz="0" w:space="0" w:color="auto"/>
        <w:right w:val="none" w:sz="0" w:space="0" w:color="auto"/>
      </w:divBdr>
      <w:divsChild>
        <w:div w:id="1899126752">
          <w:marLeft w:val="547"/>
          <w:marRight w:val="0"/>
          <w:marTop w:val="0"/>
          <w:marBottom w:val="0"/>
          <w:divBdr>
            <w:top w:val="none" w:sz="0" w:space="0" w:color="auto"/>
            <w:left w:val="none" w:sz="0" w:space="0" w:color="auto"/>
            <w:bottom w:val="none" w:sz="0" w:space="0" w:color="auto"/>
            <w:right w:val="none" w:sz="0" w:space="0" w:color="auto"/>
          </w:divBdr>
        </w:div>
      </w:divsChild>
    </w:div>
    <w:div w:id="735783594">
      <w:bodyDiv w:val="1"/>
      <w:marLeft w:val="0"/>
      <w:marRight w:val="0"/>
      <w:marTop w:val="0"/>
      <w:marBottom w:val="0"/>
      <w:divBdr>
        <w:top w:val="none" w:sz="0" w:space="0" w:color="auto"/>
        <w:left w:val="none" w:sz="0" w:space="0" w:color="auto"/>
        <w:bottom w:val="none" w:sz="0" w:space="0" w:color="auto"/>
        <w:right w:val="none" w:sz="0" w:space="0" w:color="auto"/>
      </w:divBdr>
    </w:div>
    <w:div w:id="740181326">
      <w:bodyDiv w:val="1"/>
      <w:marLeft w:val="0"/>
      <w:marRight w:val="0"/>
      <w:marTop w:val="0"/>
      <w:marBottom w:val="0"/>
      <w:divBdr>
        <w:top w:val="none" w:sz="0" w:space="0" w:color="auto"/>
        <w:left w:val="none" w:sz="0" w:space="0" w:color="auto"/>
        <w:bottom w:val="none" w:sz="0" w:space="0" w:color="auto"/>
        <w:right w:val="none" w:sz="0" w:space="0" w:color="auto"/>
      </w:divBdr>
      <w:divsChild>
        <w:div w:id="466237802">
          <w:marLeft w:val="547"/>
          <w:marRight w:val="0"/>
          <w:marTop w:val="0"/>
          <w:marBottom w:val="0"/>
          <w:divBdr>
            <w:top w:val="none" w:sz="0" w:space="0" w:color="auto"/>
            <w:left w:val="none" w:sz="0" w:space="0" w:color="auto"/>
            <w:bottom w:val="none" w:sz="0" w:space="0" w:color="auto"/>
            <w:right w:val="none" w:sz="0" w:space="0" w:color="auto"/>
          </w:divBdr>
        </w:div>
      </w:divsChild>
    </w:div>
    <w:div w:id="749812221">
      <w:bodyDiv w:val="1"/>
      <w:marLeft w:val="0"/>
      <w:marRight w:val="0"/>
      <w:marTop w:val="0"/>
      <w:marBottom w:val="0"/>
      <w:divBdr>
        <w:top w:val="none" w:sz="0" w:space="0" w:color="auto"/>
        <w:left w:val="none" w:sz="0" w:space="0" w:color="auto"/>
        <w:bottom w:val="none" w:sz="0" w:space="0" w:color="auto"/>
        <w:right w:val="none" w:sz="0" w:space="0" w:color="auto"/>
      </w:divBdr>
      <w:divsChild>
        <w:div w:id="1966960225">
          <w:marLeft w:val="547"/>
          <w:marRight w:val="0"/>
          <w:marTop w:val="0"/>
          <w:marBottom w:val="0"/>
          <w:divBdr>
            <w:top w:val="none" w:sz="0" w:space="0" w:color="auto"/>
            <w:left w:val="none" w:sz="0" w:space="0" w:color="auto"/>
            <w:bottom w:val="none" w:sz="0" w:space="0" w:color="auto"/>
            <w:right w:val="none" w:sz="0" w:space="0" w:color="auto"/>
          </w:divBdr>
        </w:div>
      </w:divsChild>
    </w:div>
    <w:div w:id="759444303">
      <w:bodyDiv w:val="1"/>
      <w:marLeft w:val="0"/>
      <w:marRight w:val="0"/>
      <w:marTop w:val="0"/>
      <w:marBottom w:val="0"/>
      <w:divBdr>
        <w:top w:val="none" w:sz="0" w:space="0" w:color="auto"/>
        <w:left w:val="none" w:sz="0" w:space="0" w:color="auto"/>
        <w:bottom w:val="none" w:sz="0" w:space="0" w:color="auto"/>
        <w:right w:val="none" w:sz="0" w:space="0" w:color="auto"/>
      </w:divBdr>
    </w:div>
    <w:div w:id="767114524">
      <w:bodyDiv w:val="1"/>
      <w:marLeft w:val="0"/>
      <w:marRight w:val="0"/>
      <w:marTop w:val="0"/>
      <w:marBottom w:val="0"/>
      <w:divBdr>
        <w:top w:val="none" w:sz="0" w:space="0" w:color="auto"/>
        <w:left w:val="none" w:sz="0" w:space="0" w:color="auto"/>
        <w:bottom w:val="none" w:sz="0" w:space="0" w:color="auto"/>
        <w:right w:val="none" w:sz="0" w:space="0" w:color="auto"/>
      </w:divBdr>
    </w:div>
    <w:div w:id="768695240">
      <w:bodyDiv w:val="1"/>
      <w:marLeft w:val="0"/>
      <w:marRight w:val="0"/>
      <w:marTop w:val="0"/>
      <w:marBottom w:val="0"/>
      <w:divBdr>
        <w:top w:val="none" w:sz="0" w:space="0" w:color="auto"/>
        <w:left w:val="none" w:sz="0" w:space="0" w:color="auto"/>
        <w:bottom w:val="none" w:sz="0" w:space="0" w:color="auto"/>
        <w:right w:val="none" w:sz="0" w:space="0" w:color="auto"/>
      </w:divBdr>
      <w:divsChild>
        <w:div w:id="711072242">
          <w:marLeft w:val="547"/>
          <w:marRight w:val="0"/>
          <w:marTop w:val="0"/>
          <w:marBottom w:val="0"/>
          <w:divBdr>
            <w:top w:val="none" w:sz="0" w:space="0" w:color="auto"/>
            <w:left w:val="none" w:sz="0" w:space="0" w:color="auto"/>
            <w:bottom w:val="none" w:sz="0" w:space="0" w:color="auto"/>
            <w:right w:val="none" w:sz="0" w:space="0" w:color="auto"/>
          </w:divBdr>
        </w:div>
        <w:div w:id="2038696955">
          <w:marLeft w:val="547"/>
          <w:marRight w:val="0"/>
          <w:marTop w:val="0"/>
          <w:marBottom w:val="0"/>
          <w:divBdr>
            <w:top w:val="none" w:sz="0" w:space="0" w:color="auto"/>
            <w:left w:val="none" w:sz="0" w:space="0" w:color="auto"/>
            <w:bottom w:val="none" w:sz="0" w:space="0" w:color="auto"/>
            <w:right w:val="none" w:sz="0" w:space="0" w:color="auto"/>
          </w:divBdr>
        </w:div>
      </w:divsChild>
    </w:div>
    <w:div w:id="783578008">
      <w:bodyDiv w:val="1"/>
      <w:marLeft w:val="0"/>
      <w:marRight w:val="0"/>
      <w:marTop w:val="0"/>
      <w:marBottom w:val="0"/>
      <w:divBdr>
        <w:top w:val="none" w:sz="0" w:space="0" w:color="auto"/>
        <w:left w:val="none" w:sz="0" w:space="0" w:color="auto"/>
        <w:bottom w:val="none" w:sz="0" w:space="0" w:color="auto"/>
        <w:right w:val="none" w:sz="0" w:space="0" w:color="auto"/>
      </w:divBdr>
    </w:div>
    <w:div w:id="787820931">
      <w:bodyDiv w:val="1"/>
      <w:marLeft w:val="0"/>
      <w:marRight w:val="0"/>
      <w:marTop w:val="0"/>
      <w:marBottom w:val="0"/>
      <w:divBdr>
        <w:top w:val="none" w:sz="0" w:space="0" w:color="auto"/>
        <w:left w:val="none" w:sz="0" w:space="0" w:color="auto"/>
        <w:bottom w:val="none" w:sz="0" w:space="0" w:color="auto"/>
        <w:right w:val="none" w:sz="0" w:space="0" w:color="auto"/>
      </w:divBdr>
    </w:div>
    <w:div w:id="790514648">
      <w:bodyDiv w:val="1"/>
      <w:marLeft w:val="0"/>
      <w:marRight w:val="0"/>
      <w:marTop w:val="0"/>
      <w:marBottom w:val="0"/>
      <w:divBdr>
        <w:top w:val="none" w:sz="0" w:space="0" w:color="auto"/>
        <w:left w:val="none" w:sz="0" w:space="0" w:color="auto"/>
        <w:bottom w:val="none" w:sz="0" w:space="0" w:color="auto"/>
        <w:right w:val="none" w:sz="0" w:space="0" w:color="auto"/>
      </w:divBdr>
      <w:divsChild>
        <w:div w:id="1605110192">
          <w:marLeft w:val="547"/>
          <w:marRight w:val="0"/>
          <w:marTop w:val="0"/>
          <w:marBottom w:val="0"/>
          <w:divBdr>
            <w:top w:val="none" w:sz="0" w:space="0" w:color="auto"/>
            <w:left w:val="none" w:sz="0" w:space="0" w:color="auto"/>
            <w:bottom w:val="none" w:sz="0" w:space="0" w:color="auto"/>
            <w:right w:val="none" w:sz="0" w:space="0" w:color="auto"/>
          </w:divBdr>
        </w:div>
      </w:divsChild>
    </w:div>
    <w:div w:id="794718526">
      <w:bodyDiv w:val="1"/>
      <w:marLeft w:val="0"/>
      <w:marRight w:val="0"/>
      <w:marTop w:val="0"/>
      <w:marBottom w:val="0"/>
      <w:divBdr>
        <w:top w:val="none" w:sz="0" w:space="0" w:color="auto"/>
        <w:left w:val="none" w:sz="0" w:space="0" w:color="auto"/>
        <w:bottom w:val="none" w:sz="0" w:space="0" w:color="auto"/>
        <w:right w:val="none" w:sz="0" w:space="0" w:color="auto"/>
      </w:divBdr>
    </w:div>
    <w:div w:id="815075903">
      <w:bodyDiv w:val="1"/>
      <w:marLeft w:val="0"/>
      <w:marRight w:val="0"/>
      <w:marTop w:val="0"/>
      <w:marBottom w:val="0"/>
      <w:divBdr>
        <w:top w:val="none" w:sz="0" w:space="0" w:color="auto"/>
        <w:left w:val="none" w:sz="0" w:space="0" w:color="auto"/>
        <w:bottom w:val="none" w:sz="0" w:space="0" w:color="auto"/>
        <w:right w:val="none" w:sz="0" w:space="0" w:color="auto"/>
      </w:divBdr>
      <w:divsChild>
        <w:div w:id="1408041792">
          <w:marLeft w:val="547"/>
          <w:marRight w:val="0"/>
          <w:marTop w:val="0"/>
          <w:marBottom w:val="0"/>
          <w:divBdr>
            <w:top w:val="none" w:sz="0" w:space="0" w:color="auto"/>
            <w:left w:val="none" w:sz="0" w:space="0" w:color="auto"/>
            <w:bottom w:val="none" w:sz="0" w:space="0" w:color="auto"/>
            <w:right w:val="none" w:sz="0" w:space="0" w:color="auto"/>
          </w:divBdr>
        </w:div>
      </w:divsChild>
    </w:div>
    <w:div w:id="819076055">
      <w:bodyDiv w:val="1"/>
      <w:marLeft w:val="0"/>
      <w:marRight w:val="0"/>
      <w:marTop w:val="0"/>
      <w:marBottom w:val="0"/>
      <w:divBdr>
        <w:top w:val="none" w:sz="0" w:space="0" w:color="auto"/>
        <w:left w:val="none" w:sz="0" w:space="0" w:color="auto"/>
        <w:bottom w:val="none" w:sz="0" w:space="0" w:color="auto"/>
        <w:right w:val="none" w:sz="0" w:space="0" w:color="auto"/>
      </w:divBdr>
      <w:divsChild>
        <w:div w:id="627317306">
          <w:marLeft w:val="547"/>
          <w:marRight w:val="0"/>
          <w:marTop w:val="0"/>
          <w:marBottom w:val="0"/>
          <w:divBdr>
            <w:top w:val="none" w:sz="0" w:space="0" w:color="auto"/>
            <w:left w:val="none" w:sz="0" w:space="0" w:color="auto"/>
            <w:bottom w:val="none" w:sz="0" w:space="0" w:color="auto"/>
            <w:right w:val="none" w:sz="0" w:space="0" w:color="auto"/>
          </w:divBdr>
        </w:div>
      </w:divsChild>
    </w:div>
    <w:div w:id="822158702">
      <w:bodyDiv w:val="1"/>
      <w:marLeft w:val="0"/>
      <w:marRight w:val="0"/>
      <w:marTop w:val="0"/>
      <w:marBottom w:val="0"/>
      <w:divBdr>
        <w:top w:val="none" w:sz="0" w:space="0" w:color="auto"/>
        <w:left w:val="none" w:sz="0" w:space="0" w:color="auto"/>
        <w:bottom w:val="none" w:sz="0" w:space="0" w:color="auto"/>
        <w:right w:val="none" w:sz="0" w:space="0" w:color="auto"/>
      </w:divBdr>
    </w:div>
    <w:div w:id="828834247">
      <w:bodyDiv w:val="1"/>
      <w:marLeft w:val="0"/>
      <w:marRight w:val="0"/>
      <w:marTop w:val="0"/>
      <w:marBottom w:val="0"/>
      <w:divBdr>
        <w:top w:val="none" w:sz="0" w:space="0" w:color="auto"/>
        <w:left w:val="none" w:sz="0" w:space="0" w:color="auto"/>
        <w:bottom w:val="none" w:sz="0" w:space="0" w:color="auto"/>
        <w:right w:val="none" w:sz="0" w:space="0" w:color="auto"/>
      </w:divBdr>
    </w:div>
    <w:div w:id="834344355">
      <w:bodyDiv w:val="1"/>
      <w:marLeft w:val="0"/>
      <w:marRight w:val="0"/>
      <w:marTop w:val="0"/>
      <w:marBottom w:val="0"/>
      <w:divBdr>
        <w:top w:val="none" w:sz="0" w:space="0" w:color="auto"/>
        <w:left w:val="none" w:sz="0" w:space="0" w:color="auto"/>
        <w:bottom w:val="none" w:sz="0" w:space="0" w:color="auto"/>
        <w:right w:val="none" w:sz="0" w:space="0" w:color="auto"/>
      </w:divBdr>
      <w:divsChild>
        <w:div w:id="919482258">
          <w:marLeft w:val="547"/>
          <w:marRight w:val="0"/>
          <w:marTop w:val="134"/>
          <w:marBottom w:val="0"/>
          <w:divBdr>
            <w:top w:val="none" w:sz="0" w:space="0" w:color="auto"/>
            <w:left w:val="none" w:sz="0" w:space="0" w:color="auto"/>
            <w:bottom w:val="none" w:sz="0" w:space="0" w:color="auto"/>
            <w:right w:val="none" w:sz="0" w:space="0" w:color="auto"/>
          </w:divBdr>
        </w:div>
        <w:div w:id="1842155536">
          <w:marLeft w:val="547"/>
          <w:marRight w:val="0"/>
          <w:marTop w:val="134"/>
          <w:marBottom w:val="0"/>
          <w:divBdr>
            <w:top w:val="none" w:sz="0" w:space="0" w:color="auto"/>
            <w:left w:val="none" w:sz="0" w:space="0" w:color="auto"/>
            <w:bottom w:val="none" w:sz="0" w:space="0" w:color="auto"/>
            <w:right w:val="none" w:sz="0" w:space="0" w:color="auto"/>
          </w:divBdr>
        </w:div>
      </w:divsChild>
    </w:div>
    <w:div w:id="837623793">
      <w:bodyDiv w:val="1"/>
      <w:marLeft w:val="0"/>
      <w:marRight w:val="0"/>
      <w:marTop w:val="0"/>
      <w:marBottom w:val="0"/>
      <w:divBdr>
        <w:top w:val="none" w:sz="0" w:space="0" w:color="auto"/>
        <w:left w:val="none" w:sz="0" w:space="0" w:color="auto"/>
        <w:bottom w:val="none" w:sz="0" w:space="0" w:color="auto"/>
        <w:right w:val="none" w:sz="0" w:space="0" w:color="auto"/>
      </w:divBdr>
      <w:divsChild>
        <w:div w:id="1060591315">
          <w:marLeft w:val="547"/>
          <w:marRight w:val="0"/>
          <w:marTop w:val="0"/>
          <w:marBottom w:val="0"/>
          <w:divBdr>
            <w:top w:val="none" w:sz="0" w:space="0" w:color="auto"/>
            <w:left w:val="none" w:sz="0" w:space="0" w:color="auto"/>
            <w:bottom w:val="none" w:sz="0" w:space="0" w:color="auto"/>
            <w:right w:val="none" w:sz="0" w:space="0" w:color="auto"/>
          </w:divBdr>
        </w:div>
        <w:div w:id="1432623981">
          <w:marLeft w:val="547"/>
          <w:marRight w:val="0"/>
          <w:marTop w:val="0"/>
          <w:marBottom w:val="0"/>
          <w:divBdr>
            <w:top w:val="none" w:sz="0" w:space="0" w:color="auto"/>
            <w:left w:val="none" w:sz="0" w:space="0" w:color="auto"/>
            <w:bottom w:val="none" w:sz="0" w:space="0" w:color="auto"/>
            <w:right w:val="none" w:sz="0" w:space="0" w:color="auto"/>
          </w:divBdr>
        </w:div>
      </w:divsChild>
    </w:div>
    <w:div w:id="841166970">
      <w:bodyDiv w:val="1"/>
      <w:marLeft w:val="0"/>
      <w:marRight w:val="0"/>
      <w:marTop w:val="0"/>
      <w:marBottom w:val="0"/>
      <w:divBdr>
        <w:top w:val="none" w:sz="0" w:space="0" w:color="auto"/>
        <w:left w:val="none" w:sz="0" w:space="0" w:color="auto"/>
        <w:bottom w:val="none" w:sz="0" w:space="0" w:color="auto"/>
        <w:right w:val="none" w:sz="0" w:space="0" w:color="auto"/>
      </w:divBdr>
    </w:div>
    <w:div w:id="852762028">
      <w:bodyDiv w:val="1"/>
      <w:marLeft w:val="0"/>
      <w:marRight w:val="0"/>
      <w:marTop w:val="0"/>
      <w:marBottom w:val="0"/>
      <w:divBdr>
        <w:top w:val="none" w:sz="0" w:space="0" w:color="auto"/>
        <w:left w:val="none" w:sz="0" w:space="0" w:color="auto"/>
        <w:bottom w:val="none" w:sz="0" w:space="0" w:color="auto"/>
        <w:right w:val="none" w:sz="0" w:space="0" w:color="auto"/>
      </w:divBdr>
    </w:div>
    <w:div w:id="874005607">
      <w:bodyDiv w:val="1"/>
      <w:marLeft w:val="0"/>
      <w:marRight w:val="0"/>
      <w:marTop w:val="0"/>
      <w:marBottom w:val="0"/>
      <w:divBdr>
        <w:top w:val="none" w:sz="0" w:space="0" w:color="auto"/>
        <w:left w:val="none" w:sz="0" w:space="0" w:color="auto"/>
        <w:bottom w:val="none" w:sz="0" w:space="0" w:color="auto"/>
        <w:right w:val="none" w:sz="0" w:space="0" w:color="auto"/>
      </w:divBdr>
      <w:divsChild>
        <w:div w:id="397559050">
          <w:marLeft w:val="547"/>
          <w:marRight w:val="0"/>
          <w:marTop w:val="0"/>
          <w:marBottom w:val="0"/>
          <w:divBdr>
            <w:top w:val="none" w:sz="0" w:space="0" w:color="auto"/>
            <w:left w:val="none" w:sz="0" w:space="0" w:color="auto"/>
            <w:bottom w:val="none" w:sz="0" w:space="0" w:color="auto"/>
            <w:right w:val="none" w:sz="0" w:space="0" w:color="auto"/>
          </w:divBdr>
        </w:div>
      </w:divsChild>
    </w:div>
    <w:div w:id="893078170">
      <w:bodyDiv w:val="1"/>
      <w:marLeft w:val="0"/>
      <w:marRight w:val="0"/>
      <w:marTop w:val="0"/>
      <w:marBottom w:val="0"/>
      <w:divBdr>
        <w:top w:val="none" w:sz="0" w:space="0" w:color="auto"/>
        <w:left w:val="none" w:sz="0" w:space="0" w:color="auto"/>
        <w:bottom w:val="none" w:sz="0" w:space="0" w:color="auto"/>
        <w:right w:val="none" w:sz="0" w:space="0" w:color="auto"/>
      </w:divBdr>
    </w:div>
    <w:div w:id="894699193">
      <w:bodyDiv w:val="1"/>
      <w:marLeft w:val="0"/>
      <w:marRight w:val="0"/>
      <w:marTop w:val="0"/>
      <w:marBottom w:val="0"/>
      <w:divBdr>
        <w:top w:val="none" w:sz="0" w:space="0" w:color="auto"/>
        <w:left w:val="none" w:sz="0" w:space="0" w:color="auto"/>
        <w:bottom w:val="none" w:sz="0" w:space="0" w:color="auto"/>
        <w:right w:val="none" w:sz="0" w:space="0" w:color="auto"/>
      </w:divBdr>
    </w:div>
    <w:div w:id="897282200">
      <w:bodyDiv w:val="1"/>
      <w:marLeft w:val="0"/>
      <w:marRight w:val="0"/>
      <w:marTop w:val="0"/>
      <w:marBottom w:val="0"/>
      <w:divBdr>
        <w:top w:val="none" w:sz="0" w:space="0" w:color="auto"/>
        <w:left w:val="none" w:sz="0" w:space="0" w:color="auto"/>
        <w:bottom w:val="none" w:sz="0" w:space="0" w:color="auto"/>
        <w:right w:val="none" w:sz="0" w:space="0" w:color="auto"/>
      </w:divBdr>
    </w:div>
    <w:div w:id="899292674">
      <w:bodyDiv w:val="1"/>
      <w:marLeft w:val="0"/>
      <w:marRight w:val="0"/>
      <w:marTop w:val="0"/>
      <w:marBottom w:val="0"/>
      <w:divBdr>
        <w:top w:val="none" w:sz="0" w:space="0" w:color="auto"/>
        <w:left w:val="none" w:sz="0" w:space="0" w:color="auto"/>
        <w:bottom w:val="none" w:sz="0" w:space="0" w:color="auto"/>
        <w:right w:val="none" w:sz="0" w:space="0" w:color="auto"/>
      </w:divBdr>
      <w:divsChild>
        <w:div w:id="348483660">
          <w:marLeft w:val="547"/>
          <w:marRight w:val="0"/>
          <w:marTop w:val="0"/>
          <w:marBottom w:val="0"/>
          <w:divBdr>
            <w:top w:val="none" w:sz="0" w:space="0" w:color="auto"/>
            <w:left w:val="none" w:sz="0" w:space="0" w:color="auto"/>
            <w:bottom w:val="none" w:sz="0" w:space="0" w:color="auto"/>
            <w:right w:val="none" w:sz="0" w:space="0" w:color="auto"/>
          </w:divBdr>
        </w:div>
      </w:divsChild>
    </w:div>
    <w:div w:id="919604645">
      <w:bodyDiv w:val="1"/>
      <w:marLeft w:val="0"/>
      <w:marRight w:val="0"/>
      <w:marTop w:val="0"/>
      <w:marBottom w:val="0"/>
      <w:divBdr>
        <w:top w:val="none" w:sz="0" w:space="0" w:color="auto"/>
        <w:left w:val="none" w:sz="0" w:space="0" w:color="auto"/>
        <w:bottom w:val="none" w:sz="0" w:space="0" w:color="auto"/>
        <w:right w:val="none" w:sz="0" w:space="0" w:color="auto"/>
      </w:divBdr>
    </w:div>
    <w:div w:id="924413304">
      <w:bodyDiv w:val="1"/>
      <w:marLeft w:val="0"/>
      <w:marRight w:val="0"/>
      <w:marTop w:val="0"/>
      <w:marBottom w:val="0"/>
      <w:divBdr>
        <w:top w:val="none" w:sz="0" w:space="0" w:color="auto"/>
        <w:left w:val="none" w:sz="0" w:space="0" w:color="auto"/>
        <w:bottom w:val="none" w:sz="0" w:space="0" w:color="auto"/>
        <w:right w:val="none" w:sz="0" w:space="0" w:color="auto"/>
      </w:divBdr>
    </w:div>
    <w:div w:id="939490142">
      <w:bodyDiv w:val="1"/>
      <w:marLeft w:val="0"/>
      <w:marRight w:val="0"/>
      <w:marTop w:val="0"/>
      <w:marBottom w:val="0"/>
      <w:divBdr>
        <w:top w:val="none" w:sz="0" w:space="0" w:color="auto"/>
        <w:left w:val="none" w:sz="0" w:space="0" w:color="auto"/>
        <w:bottom w:val="none" w:sz="0" w:space="0" w:color="auto"/>
        <w:right w:val="none" w:sz="0" w:space="0" w:color="auto"/>
      </w:divBdr>
      <w:divsChild>
        <w:div w:id="1140806737">
          <w:marLeft w:val="547"/>
          <w:marRight w:val="0"/>
          <w:marTop w:val="0"/>
          <w:marBottom w:val="0"/>
          <w:divBdr>
            <w:top w:val="none" w:sz="0" w:space="0" w:color="auto"/>
            <w:left w:val="none" w:sz="0" w:space="0" w:color="auto"/>
            <w:bottom w:val="none" w:sz="0" w:space="0" w:color="auto"/>
            <w:right w:val="none" w:sz="0" w:space="0" w:color="auto"/>
          </w:divBdr>
        </w:div>
        <w:div w:id="109789824">
          <w:marLeft w:val="547"/>
          <w:marRight w:val="0"/>
          <w:marTop w:val="0"/>
          <w:marBottom w:val="0"/>
          <w:divBdr>
            <w:top w:val="none" w:sz="0" w:space="0" w:color="auto"/>
            <w:left w:val="none" w:sz="0" w:space="0" w:color="auto"/>
            <w:bottom w:val="none" w:sz="0" w:space="0" w:color="auto"/>
            <w:right w:val="none" w:sz="0" w:space="0" w:color="auto"/>
          </w:divBdr>
        </w:div>
      </w:divsChild>
    </w:div>
    <w:div w:id="949779894">
      <w:bodyDiv w:val="1"/>
      <w:marLeft w:val="0"/>
      <w:marRight w:val="0"/>
      <w:marTop w:val="0"/>
      <w:marBottom w:val="0"/>
      <w:divBdr>
        <w:top w:val="none" w:sz="0" w:space="0" w:color="auto"/>
        <w:left w:val="none" w:sz="0" w:space="0" w:color="auto"/>
        <w:bottom w:val="none" w:sz="0" w:space="0" w:color="auto"/>
        <w:right w:val="none" w:sz="0" w:space="0" w:color="auto"/>
      </w:divBdr>
    </w:div>
    <w:div w:id="956790160">
      <w:bodyDiv w:val="1"/>
      <w:marLeft w:val="0"/>
      <w:marRight w:val="0"/>
      <w:marTop w:val="0"/>
      <w:marBottom w:val="0"/>
      <w:divBdr>
        <w:top w:val="none" w:sz="0" w:space="0" w:color="auto"/>
        <w:left w:val="none" w:sz="0" w:space="0" w:color="auto"/>
        <w:bottom w:val="none" w:sz="0" w:space="0" w:color="auto"/>
        <w:right w:val="none" w:sz="0" w:space="0" w:color="auto"/>
      </w:divBdr>
    </w:div>
    <w:div w:id="965352040">
      <w:bodyDiv w:val="1"/>
      <w:marLeft w:val="0"/>
      <w:marRight w:val="0"/>
      <w:marTop w:val="0"/>
      <w:marBottom w:val="0"/>
      <w:divBdr>
        <w:top w:val="none" w:sz="0" w:space="0" w:color="auto"/>
        <w:left w:val="none" w:sz="0" w:space="0" w:color="auto"/>
        <w:bottom w:val="none" w:sz="0" w:space="0" w:color="auto"/>
        <w:right w:val="none" w:sz="0" w:space="0" w:color="auto"/>
      </w:divBdr>
    </w:div>
    <w:div w:id="967320279">
      <w:bodyDiv w:val="1"/>
      <w:marLeft w:val="0"/>
      <w:marRight w:val="0"/>
      <w:marTop w:val="0"/>
      <w:marBottom w:val="0"/>
      <w:divBdr>
        <w:top w:val="none" w:sz="0" w:space="0" w:color="auto"/>
        <w:left w:val="none" w:sz="0" w:space="0" w:color="auto"/>
        <w:bottom w:val="none" w:sz="0" w:space="0" w:color="auto"/>
        <w:right w:val="none" w:sz="0" w:space="0" w:color="auto"/>
      </w:divBdr>
    </w:div>
    <w:div w:id="967708567">
      <w:bodyDiv w:val="1"/>
      <w:marLeft w:val="0"/>
      <w:marRight w:val="0"/>
      <w:marTop w:val="0"/>
      <w:marBottom w:val="0"/>
      <w:divBdr>
        <w:top w:val="none" w:sz="0" w:space="0" w:color="auto"/>
        <w:left w:val="none" w:sz="0" w:space="0" w:color="auto"/>
        <w:bottom w:val="none" w:sz="0" w:space="0" w:color="auto"/>
        <w:right w:val="none" w:sz="0" w:space="0" w:color="auto"/>
      </w:divBdr>
    </w:div>
    <w:div w:id="969822236">
      <w:bodyDiv w:val="1"/>
      <w:marLeft w:val="0"/>
      <w:marRight w:val="0"/>
      <w:marTop w:val="0"/>
      <w:marBottom w:val="0"/>
      <w:divBdr>
        <w:top w:val="none" w:sz="0" w:space="0" w:color="auto"/>
        <w:left w:val="none" w:sz="0" w:space="0" w:color="auto"/>
        <w:bottom w:val="none" w:sz="0" w:space="0" w:color="auto"/>
        <w:right w:val="none" w:sz="0" w:space="0" w:color="auto"/>
      </w:divBdr>
    </w:div>
    <w:div w:id="995570421">
      <w:bodyDiv w:val="1"/>
      <w:marLeft w:val="0"/>
      <w:marRight w:val="0"/>
      <w:marTop w:val="0"/>
      <w:marBottom w:val="0"/>
      <w:divBdr>
        <w:top w:val="none" w:sz="0" w:space="0" w:color="auto"/>
        <w:left w:val="none" w:sz="0" w:space="0" w:color="auto"/>
        <w:bottom w:val="none" w:sz="0" w:space="0" w:color="auto"/>
        <w:right w:val="none" w:sz="0" w:space="0" w:color="auto"/>
      </w:divBdr>
    </w:div>
    <w:div w:id="999306426">
      <w:bodyDiv w:val="1"/>
      <w:marLeft w:val="0"/>
      <w:marRight w:val="0"/>
      <w:marTop w:val="0"/>
      <w:marBottom w:val="0"/>
      <w:divBdr>
        <w:top w:val="none" w:sz="0" w:space="0" w:color="auto"/>
        <w:left w:val="none" w:sz="0" w:space="0" w:color="auto"/>
        <w:bottom w:val="none" w:sz="0" w:space="0" w:color="auto"/>
        <w:right w:val="none" w:sz="0" w:space="0" w:color="auto"/>
      </w:divBdr>
      <w:divsChild>
        <w:div w:id="1501038273">
          <w:marLeft w:val="0"/>
          <w:marRight w:val="0"/>
          <w:marTop w:val="0"/>
          <w:marBottom w:val="0"/>
          <w:divBdr>
            <w:top w:val="none" w:sz="0" w:space="0" w:color="auto"/>
            <w:left w:val="none" w:sz="0" w:space="0" w:color="auto"/>
            <w:bottom w:val="none" w:sz="0" w:space="0" w:color="auto"/>
            <w:right w:val="none" w:sz="0" w:space="0" w:color="auto"/>
          </w:divBdr>
        </w:div>
        <w:div w:id="906840600">
          <w:marLeft w:val="0"/>
          <w:marRight w:val="0"/>
          <w:marTop w:val="0"/>
          <w:marBottom w:val="0"/>
          <w:divBdr>
            <w:top w:val="none" w:sz="0" w:space="0" w:color="auto"/>
            <w:left w:val="none" w:sz="0" w:space="0" w:color="auto"/>
            <w:bottom w:val="none" w:sz="0" w:space="0" w:color="auto"/>
            <w:right w:val="none" w:sz="0" w:space="0" w:color="auto"/>
          </w:divBdr>
        </w:div>
        <w:div w:id="492525868">
          <w:marLeft w:val="0"/>
          <w:marRight w:val="0"/>
          <w:marTop w:val="0"/>
          <w:marBottom w:val="0"/>
          <w:divBdr>
            <w:top w:val="none" w:sz="0" w:space="0" w:color="auto"/>
            <w:left w:val="none" w:sz="0" w:space="0" w:color="auto"/>
            <w:bottom w:val="none" w:sz="0" w:space="0" w:color="auto"/>
            <w:right w:val="none" w:sz="0" w:space="0" w:color="auto"/>
          </w:divBdr>
        </w:div>
        <w:div w:id="403339682">
          <w:marLeft w:val="0"/>
          <w:marRight w:val="0"/>
          <w:marTop w:val="0"/>
          <w:marBottom w:val="0"/>
          <w:divBdr>
            <w:top w:val="none" w:sz="0" w:space="0" w:color="auto"/>
            <w:left w:val="none" w:sz="0" w:space="0" w:color="auto"/>
            <w:bottom w:val="none" w:sz="0" w:space="0" w:color="auto"/>
            <w:right w:val="none" w:sz="0" w:space="0" w:color="auto"/>
          </w:divBdr>
        </w:div>
        <w:div w:id="1913347968">
          <w:marLeft w:val="0"/>
          <w:marRight w:val="0"/>
          <w:marTop w:val="0"/>
          <w:marBottom w:val="0"/>
          <w:divBdr>
            <w:top w:val="none" w:sz="0" w:space="0" w:color="auto"/>
            <w:left w:val="none" w:sz="0" w:space="0" w:color="auto"/>
            <w:bottom w:val="none" w:sz="0" w:space="0" w:color="auto"/>
            <w:right w:val="none" w:sz="0" w:space="0" w:color="auto"/>
          </w:divBdr>
        </w:div>
        <w:div w:id="1308590012">
          <w:marLeft w:val="0"/>
          <w:marRight w:val="0"/>
          <w:marTop w:val="0"/>
          <w:marBottom w:val="0"/>
          <w:divBdr>
            <w:top w:val="none" w:sz="0" w:space="0" w:color="auto"/>
            <w:left w:val="none" w:sz="0" w:space="0" w:color="auto"/>
            <w:bottom w:val="none" w:sz="0" w:space="0" w:color="auto"/>
            <w:right w:val="none" w:sz="0" w:space="0" w:color="auto"/>
          </w:divBdr>
        </w:div>
        <w:div w:id="27991752">
          <w:marLeft w:val="0"/>
          <w:marRight w:val="0"/>
          <w:marTop w:val="0"/>
          <w:marBottom w:val="0"/>
          <w:divBdr>
            <w:top w:val="none" w:sz="0" w:space="0" w:color="auto"/>
            <w:left w:val="none" w:sz="0" w:space="0" w:color="auto"/>
            <w:bottom w:val="none" w:sz="0" w:space="0" w:color="auto"/>
            <w:right w:val="none" w:sz="0" w:space="0" w:color="auto"/>
          </w:divBdr>
        </w:div>
        <w:div w:id="1960605711">
          <w:marLeft w:val="0"/>
          <w:marRight w:val="0"/>
          <w:marTop w:val="0"/>
          <w:marBottom w:val="0"/>
          <w:divBdr>
            <w:top w:val="none" w:sz="0" w:space="0" w:color="auto"/>
            <w:left w:val="none" w:sz="0" w:space="0" w:color="auto"/>
            <w:bottom w:val="none" w:sz="0" w:space="0" w:color="auto"/>
            <w:right w:val="none" w:sz="0" w:space="0" w:color="auto"/>
          </w:divBdr>
        </w:div>
        <w:div w:id="165828398">
          <w:marLeft w:val="0"/>
          <w:marRight w:val="0"/>
          <w:marTop w:val="0"/>
          <w:marBottom w:val="0"/>
          <w:divBdr>
            <w:top w:val="none" w:sz="0" w:space="0" w:color="auto"/>
            <w:left w:val="none" w:sz="0" w:space="0" w:color="auto"/>
            <w:bottom w:val="none" w:sz="0" w:space="0" w:color="auto"/>
            <w:right w:val="none" w:sz="0" w:space="0" w:color="auto"/>
          </w:divBdr>
        </w:div>
        <w:div w:id="564297618">
          <w:marLeft w:val="0"/>
          <w:marRight w:val="0"/>
          <w:marTop w:val="0"/>
          <w:marBottom w:val="0"/>
          <w:divBdr>
            <w:top w:val="none" w:sz="0" w:space="0" w:color="auto"/>
            <w:left w:val="none" w:sz="0" w:space="0" w:color="auto"/>
            <w:bottom w:val="none" w:sz="0" w:space="0" w:color="auto"/>
            <w:right w:val="none" w:sz="0" w:space="0" w:color="auto"/>
          </w:divBdr>
        </w:div>
      </w:divsChild>
    </w:div>
    <w:div w:id="1011839293">
      <w:bodyDiv w:val="1"/>
      <w:marLeft w:val="0"/>
      <w:marRight w:val="0"/>
      <w:marTop w:val="0"/>
      <w:marBottom w:val="0"/>
      <w:divBdr>
        <w:top w:val="none" w:sz="0" w:space="0" w:color="auto"/>
        <w:left w:val="none" w:sz="0" w:space="0" w:color="auto"/>
        <w:bottom w:val="none" w:sz="0" w:space="0" w:color="auto"/>
        <w:right w:val="none" w:sz="0" w:space="0" w:color="auto"/>
      </w:divBdr>
    </w:div>
    <w:div w:id="1041246740">
      <w:bodyDiv w:val="1"/>
      <w:marLeft w:val="0"/>
      <w:marRight w:val="0"/>
      <w:marTop w:val="0"/>
      <w:marBottom w:val="0"/>
      <w:divBdr>
        <w:top w:val="none" w:sz="0" w:space="0" w:color="auto"/>
        <w:left w:val="none" w:sz="0" w:space="0" w:color="auto"/>
        <w:bottom w:val="none" w:sz="0" w:space="0" w:color="auto"/>
        <w:right w:val="none" w:sz="0" w:space="0" w:color="auto"/>
      </w:divBdr>
      <w:divsChild>
        <w:div w:id="1814057808">
          <w:marLeft w:val="547"/>
          <w:marRight w:val="0"/>
          <w:marTop w:val="0"/>
          <w:marBottom w:val="0"/>
          <w:divBdr>
            <w:top w:val="none" w:sz="0" w:space="0" w:color="auto"/>
            <w:left w:val="none" w:sz="0" w:space="0" w:color="auto"/>
            <w:bottom w:val="none" w:sz="0" w:space="0" w:color="auto"/>
            <w:right w:val="none" w:sz="0" w:space="0" w:color="auto"/>
          </w:divBdr>
        </w:div>
      </w:divsChild>
    </w:div>
    <w:div w:id="1044133929">
      <w:bodyDiv w:val="1"/>
      <w:marLeft w:val="0"/>
      <w:marRight w:val="0"/>
      <w:marTop w:val="0"/>
      <w:marBottom w:val="0"/>
      <w:divBdr>
        <w:top w:val="none" w:sz="0" w:space="0" w:color="auto"/>
        <w:left w:val="none" w:sz="0" w:space="0" w:color="auto"/>
        <w:bottom w:val="none" w:sz="0" w:space="0" w:color="auto"/>
        <w:right w:val="none" w:sz="0" w:space="0" w:color="auto"/>
      </w:divBdr>
    </w:div>
    <w:div w:id="1048603929">
      <w:bodyDiv w:val="1"/>
      <w:marLeft w:val="0"/>
      <w:marRight w:val="0"/>
      <w:marTop w:val="0"/>
      <w:marBottom w:val="0"/>
      <w:divBdr>
        <w:top w:val="none" w:sz="0" w:space="0" w:color="auto"/>
        <w:left w:val="none" w:sz="0" w:space="0" w:color="auto"/>
        <w:bottom w:val="none" w:sz="0" w:space="0" w:color="auto"/>
        <w:right w:val="none" w:sz="0" w:space="0" w:color="auto"/>
      </w:divBdr>
      <w:divsChild>
        <w:div w:id="116724639">
          <w:marLeft w:val="0"/>
          <w:marRight w:val="0"/>
          <w:marTop w:val="0"/>
          <w:marBottom w:val="0"/>
          <w:divBdr>
            <w:top w:val="none" w:sz="0" w:space="0" w:color="auto"/>
            <w:left w:val="none" w:sz="0" w:space="0" w:color="auto"/>
            <w:bottom w:val="none" w:sz="0" w:space="0" w:color="auto"/>
            <w:right w:val="none" w:sz="0" w:space="0" w:color="auto"/>
          </w:divBdr>
        </w:div>
        <w:div w:id="1034697962">
          <w:marLeft w:val="0"/>
          <w:marRight w:val="0"/>
          <w:marTop w:val="0"/>
          <w:marBottom w:val="0"/>
          <w:divBdr>
            <w:top w:val="none" w:sz="0" w:space="0" w:color="auto"/>
            <w:left w:val="none" w:sz="0" w:space="0" w:color="auto"/>
            <w:bottom w:val="none" w:sz="0" w:space="0" w:color="auto"/>
            <w:right w:val="none" w:sz="0" w:space="0" w:color="auto"/>
          </w:divBdr>
        </w:div>
        <w:div w:id="25915149">
          <w:marLeft w:val="0"/>
          <w:marRight w:val="0"/>
          <w:marTop w:val="0"/>
          <w:marBottom w:val="0"/>
          <w:divBdr>
            <w:top w:val="none" w:sz="0" w:space="0" w:color="auto"/>
            <w:left w:val="none" w:sz="0" w:space="0" w:color="auto"/>
            <w:bottom w:val="none" w:sz="0" w:space="0" w:color="auto"/>
            <w:right w:val="none" w:sz="0" w:space="0" w:color="auto"/>
          </w:divBdr>
        </w:div>
        <w:div w:id="1844851971">
          <w:marLeft w:val="0"/>
          <w:marRight w:val="0"/>
          <w:marTop w:val="0"/>
          <w:marBottom w:val="0"/>
          <w:divBdr>
            <w:top w:val="none" w:sz="0" w:space="0" w:color="auto"/>
            <w:left w:val="none" w:sz="0" w:space="0" w:color="auto"/>
            <w:bottom w:val="none" w:sz="0" w:space="0" w:color="auto"/>
            <w:right w:val="none" w:sz="0" w:space="0" w:color="auto"/>
          </w:divBdr>
        </w:div>
        <w:div w:id="1229069151">
          <w:marLeft w:val="0"/>
          <w:marRight w:val="0"/>
          <w:marTop w:val="0"/>
          <w:marBottom w:val="0"/>
          <w:divBdr>
            <w:top w:val="none" w:sz="0" w:space="0" w:color="auto"/>
            <w:left w:val="none" w:sz="0" w:space="0" w:color="auto"/>
            <w:bottom w:val="none" w:sz="0" w:space="0" w:color="auto"/>
            <w:right w:val="none" w:sz="0" w:space="0" w:color="auto"/>
          </w:divBdr>
        </w:div>
        <w:div w:id="268314164">
          <w:marLeft w:val="0"/>
          <w:marRight w:val="0"/>
          <w:marTop w:val="0"/>
          <w:marBottom w:val="0"/>
          <w:divBdr>
            <w:top w:val="none" w:sz="0" w:space="0" w:color="auto"/>
            <w:left w:val="none" w:sz="0" w:space="0" w:color="auto"/>
            <w:bottom w:val="none" w:sz="0" w:space="0" w:color="auto"/>
            <w:right w:val="none" w:sz="0" w:space="0" w:color="auto"/>
          </w:divBdr>
        </w:div>
        <w:div w:id="426998053">
          <w:marLeft w:val="0"/>
          <w:marRight w:val="0"/>
          <w:marTop w:val="0"/>
          <w:marBottom w:val="0"/>
          <w:divBdr>
            <w:top w:val="none" w:sz="0" w:space="0" w:color="auto"/>
            <w:left w:val="none" w:sz="0" w:space="0" w:color="auto"/>
            <w:bottom w:val="none" w:sz="0" w:space="0" w:color="auto"/>
            <w:right w:val="none" w:sz="0" w:space="0" w:color="auto"/>
          </w:divBdr>
        </w:div>
        <w:div w:id="920679463">
          <w:marLeft w:val="0"/>
          <w:marRight w:val="0"/>
          <w:marTop w:val="0"/>
          <w:marBottom w:val="0"/>
          <w:divBdr>
            <w:top w:val="none" w:sz="0" w:space="0" w:color="auto"/>
            <w:left w:val="none" w:sz="0" w:space="0" w:color="auto"/>
            <w:bottom w:val="none" w:sz="0" w:space="0" w:color="auto"/>
            <w:right w:val="none" w:sz="0" w:space="0" w:color="auto"/>
          </w:divBdr>
        </w:div>
        <w:div w:id="556009974">
          <w:marLeft w:val="0"/>
          <w:marRight w:val="0"/>
          <w:marTop w:val="0"/>
          <w:marBottom w:val="0"/>
          <w:divBdr>
            <w:top w:val="none" w:sz="0" w:space="0" w:color="auto"/>
            <w:left w:val="none" w:sz="0" w:space="0" w:color="auto"/>
            <w:bottom w:val="none" w:sz="0" w:space="0" w:color="auto"/>
            <w:right w:val="none" w:sz="0" w:space="0" w:color="auto"/>
          </w:divBdr>
        </w:div>
        <w:div w:id="954751659">
          <w:marLeft w:val="0"/>
          <w:marRight w:val="0"/>
          <w:marTop w:val="0"/>
          <w:marBottom w:val="0"/>
          <w:divBdr>
            <w:top w:val="none" w:sz="0" w:space="0" w:color="auto"/>
            <w:left w:val="none" w:sz="0" w:space="0" w:color="auto"/>
            <w:bottom w:val="none" w:sz="0" w:space="0" w:color="auto"/>
            <w:right w:val="none" w:sz="0" w:space="0" w:color="auto"/>
          </w:divBdr>
        </w:div>
        <w:div w:id="1942645013">
          <w:marLeft w:val="0"/>
          <w:marRight w:val="0"/>
          <w:marTop w:val="0"/>
          <w:marBottom w:val="0"/>
          <w:divBdr>
            <w:top w:val="none" w:sz="0" w:space="0" w:color="auto"/>
            <w:left w:val="none" w:sz="0" w:space="0" w:color="auto"/>
            <w:bottom w:val="none" w:sz="0" w:space="0" w:color="auto"/>
            <w:right w:val="none" w:sz="0" w:space="0" w:color="auto"/>
          </w:divBdr>
        </w:div>
        <w:div w:id="1833375955">
          <w:marLeft w:val="0"/>
          <w:marRight w:val="0"/>
          <w:marTop w:val="0"/>
          <w:marBottom w:val="0"/>
          <w:divBdr>
            <w:top w:val="none" w:sz="0" w:space="0" w:color="auto"/>
            <w:left w:val="none" w:sz="0" w:space="0" w:color="auto"/>
            <w:bottom w:val="none" w:sz="0" w:space="0" w:color="auto"/>
            <w:right w:val="none" w:sz="0" w:space="0" w:color="auto"/>
          </w:divBdr>
        </w:div>
        <w:div w:id="1668510253">
          <w:marLeft w:val="0"/>
          <w:marRight w:val="0"/>
          <w:marTop w:val="0"/>
          <w:marBottom w:val="0"/>
          <w:divBdr>
            <w:top w:val="none" w:sz="0" w:space="0" w:color="auto"/>
            <w:left w:val="none" w:sz="0" w:space="0" w:color="auto"/>
            <w:bottom w:val="none" w:sz="0" w:space="0" w:color="auto"/>
            <w:right w:val="none" w:sz="0" w:space="0" w:color="auto"/>
          </w:divBdr>
        </w:div>
        <w:div w:id="1539006512">
          <w:marLeft w:val="0"/>
          <w:marRight w:val="0"/>
          <w:marTop w:val="0"/>
          <w:marBottom w:val="0"/>
          <w:divBdr>
            <w:top w:val="none" w:sz="0" w:space="0" w:color="auto"/>
            <w:left w:val="none" w:sz="0" w:space="0" w:color="auto"/>
            <w:bottom w:val="none" w:sz="0" w:space="0" w:color="auto"/>
            <w:right w:val="none" w:sz="0" w:space="0" w:color="auto"/>
          </w:divBdr>
        </w:div>
      </w:divsChild>
    </w:div>
    <w:div w:id="1050349741">
      <w:bodyDiv w:val="1"/>
      <w:marLeft w:val="0"/>
      <w:marRight w:val="0"/>
      <w:marTop w:val="0"/>
      <w:marBottom w:val="0"/>
      <w:divBdr>
        <w:top w:val="none" w:sz="0" w:space="0" w:color="auto"/>
        <w:left w:val="none" w:sz="0" w:space="0" w:color="auto"/>
        <w:bottom w:val="none" w:sz="0" w:space="0" w:color="auto"/>
        <w:right w:val="none" w:sz="0" w:space="0" w:color="auto"/>
      </w:divBdr>
      <w:divsChild>
        <w:div w:id="952175535">
          <w:marLeft w:val="547"/>
          <w:marRight w:val="0"/>
          <w:marTop w:val="0"/>
          <w:marBottom w:val="0"/>
          <w:divBdr>
            <w:top w:val="none" w:sz="0" w:space="0" w:color="auto"/>
            <w:left w:val="none" w:sz="0" w:space="0" w:color="auto"/>
            <w:bottom w:val="none" w:sz="0" w:space="0" w:color="auto"/>
            <w:right w:val="none" w:sz="0" w:space="0" w:color="auto"/>
          </w:divBdr>
        </w:div>
      </w:divsChild>
    </w:div>
    <w:div w:id="1055545644">
      <w:bodyDiv w:val="1"/>
      <w:marLeft w:val="0"/>
      <w:marRight w:val="0"/>
      <w:marTop w:val="0"/>
      <w:marBottom w:val="0"/>
      <w:divBdr>
        <w:top w:val="none" w:sz="0" w:space="0" w:color="auto"/>
        <w:left w:val="none" w:sz="0" w:space="0" w:color="auto"/>
        <w:bottom w:val="none" w:sz="0" w:space="0" w:color="auto"/>
        <w:right w:val="none" w:sz="0" w:space="0" w:color="auto"/>
      </w:divBdr>
    </w:div>
    <w:div w:id="1059085982">
      <w:bodyDiv w:val="1"/>
      <w:marLeft w:val="0"/>
      <w:marRight w:val="0"/>
      <w:marTop w:val="0"/>
      <w:marBottom w:val="0"/>
      <w:divBdr>
        <w:top w:val="none" w:sz="0" w:space="0" w:color="auto"/>
        <w:left w:val="none" w:sz="0" w:space="0" w:color="auto"/>
        <w:bottom w:val="none" w:sz="0" w:space="0" w:color="auto"/>
        <w:right w:val="none" w:sz="0" w:space="0" w:color="auto"/>
      </w:divBdr>
    </w:div>
    <w:div w:id="1064987253">
      <w:bodyDiv w:val="1"/>
      <w:marLeft w:val="0"/>
      <w:marRight w:val="0"/>
      <w:marTop w:val="0"/>
      <w:marBottom w:val="0"/>
      <w:divBdr>
        <w:top w:val="none" w:sz="0" w:space="0" w:color="auto"/>
        <w:left w:val="none" w:sz="0" w:space="0" w:color="auto"/>
        <w:bottom w:val="none" w:sz="0" w:space="0" w:color="auto"/>
        <w:right w:val="none" w:sz="0" w:space="0" w:color="auto"/>
      </w:divBdr>
      <w:divsChild>
        <w:div w:id="150753387">
          <w:marLeft w:val="547"/>
          <w:marRight w:val="0"/>
          <w:marTop w:val="0"/>
          <w:marBottom w:val="0"/>
          <w:divBdr>
            <w:top w:val="none" w:sz="0" w:space="0" w:color="auto"/>
            <w:left w:val="none" w:sz="0" w:space="0" w:color="auto"/>
            <w:bottom w:val="none" w:sz="0" w:space="0" w:color="auto"/>
            <w:right w:val="none" w:sz="0" w:space="0" w:color="auto"/>
          </w:divBdr>
        </w:div>
      </w:divsChild>
    </w:div>
    <w:div w:id="1066564975">
      <w:bodyDiv w:val="1"/>
      <w:marLeft w:val="0"/>
      <w:marRight w:val="0"/>
      <w:marTop w:val="0"/>
      <w:marBottom w:val="0"/>
      <w:divBdr>
        <w:top w:val="none" w:sz="0" w:space="0" w:color="auto"/>
        <w:left w:val="none" w:sz="0" w:space="0" w:color="auto"/>
        <w:bottom w:val="none" w:sz="0" w:space="0" w:color="auto"/>
        <w:right w:val="none" w:sz="0" w:space="0" w:color="auto"/>
      </w:divBdr>
    </w:div>
    <w:div w:id="1075779465">
      <w:bodyDiv w:val="1"/>
      <w:marLeft w:val="0"/>
      <w:marRight w:val="0"/>
      <w:marTop w:val="0"/>
      <w:marBottom w:val="0"/>
      <w:divBdr>
        <w:top w:val="none" w:sz="0" w:space="0" w:color="auto"/>
        <w:left w:val="none" w:sz="0" w:space="0" w:color="auto"/>
        <w:bottom w:val="none" w:sz="0" w:space="0" w:color="auto"/>
        <w:right w:val="none" w:sz="0" w:space="0" w:color="auto"/>
      </w:divBdr>
    </w:div>
    <w:div w:id="1086345161">
      <w:bodyDiv w:val="1"/>
      <w:marLeft w:val="0"/>
      <w:marRight w:val="0"/>
      <w:marTop w:val="0"/>
      <w:marBottom w:val="0"/>
      <w:divBdr>
        <w:top w:val="none" w:sz="0" w:space="0" w:color="auto"/>
        <w:left w:val="none" w:sz="0" w:space="0" w:color="auto"/>
        <w:bottom w:val="none" w:sz="0" w:space="0" w:color="auto"/>
        <w:right w:val="none" w:sz="0" w:space="0" w:color="auto"/>
      </w:divBdr>
    </w:div>
    <w:div w:id="1102652434">
      <w:bodyDiv w:val="1"/>
      <w:marLeft w:val="0"/>
      <w:marRight w:val="0"/>
      <w:marTop w:val="0"/>
      <w:marBottom w:val="0"/>
      <w:divBdr>
        <w:top w:val="none" w:sz="0" w:space="0" w:color="auto"/>
        <w:left w:val="none" w:sz="0" w:space="0" w:color="auto"/>
        <w:bottom w:val="none" w:sz="0" w:space="0" w:color="auto"/>
        <w:right w:val="none" w:sz="0" w:space="0" w:color="auto"/>
      </w:divBdr>
      <w:divsChild>
        <w:div w:id="1057902339">
          <w:marLeft w:val="547"/>
          <w:marRight w:val="0"/>
          <w:marTop w:val="0"/>
          <w:marBottom w:val="0"/>
          <w:divBdr>
            <w:top w:val="none" w:sz="0" w:space="0" w:color="auto"/>
            <w:left w:val="none" w:sz="0" w:space="0" w:color="auto"/>
            <w:bottom w:val="none" w:sz="0" w:space="0" w:color="auto"/>
            <w:right w:val="none" w:sz="0" w:space="0" w:color="auto"/>
          </w:divBdr>
        </w:div>
      </w:divsChild>
    </w:div>
    <w:div w:id="1103189037">
      <w:bodyDiv w:val="1"/>
      <w:marLeft w:val="0"/>
      <w:marRight w:val="0"/>
      <w:marTop w:val="0"/>
      <w:marBottom w:val="0"/>
      <w:divBdr>
        <w:top w:val="none" w:sz="0" w:space="0" w:color="auto"/>
        <w:left w:val="none" w:sz="0" w:space="0" w:color="auto"/>
        <w:bottom w:val="none" w:sz="0" w:space="0" w:color="auto"/>
        <w:right w:val="none" w:sz="0" w:space="0" w:color="auto"/>
      </w:divBdr>
    </w:div>
    <w:div w:id="1104301266">
      <w:bodyDiv w:val="1"/>
      <w:marLeft w:val="0"/>
      <w:marRight w:val="0"/>
      <w:marTop w:val="0"/>
      <w:marBottom w:val="0"/>
      <w:divBdr>
        <w:top w:val="none" w:sz="0" w:space="0" w:color="auto"/>
        <w:left w:val="none" w:sz="0" w:space="0" w:color="auto"/>
        <w:bottom w:val="none" w:sz="0" w:space="0" w:color="auto"/>
        <w:right w:val="none" w:sz="0" w:space="0" w:color="auto"/>
      </w:divBdr>
      <w:divsChild>
        <w:div w:id="1150748100">
          <w:marLeft w:val="547"/>
          <w:marRight w:val="0"/>
          <w:marTop w:val="0"/>
          <w:marBottom w:val="0"/>
          <w:divBdr>
            <w:top w:val="none" w:sz="0" w:space="0" w:color="auto"/>
            <w:left w:val="none" w:sz="0" w:space="0" w:color="auto"/>
            <w:bottom w:val="none" w:sz="0" w:space="0" w:color="auto"/>
            <w:right w:val="none" w:sz="0" w:space="0" w:color="auto"/>
          </w:divBdr>
        </w:div>
      </w:divsChild>
    </w:div>
    <w:div w:id="1126460868">
      <w:bodyDiv w:val="1"/>
      <w:marLeft w:val="0"/>
      <w:marRight w:val="0"/>
      <w:marTop w:val="0"/>
      <w:marBottom w:val="0"/>
      <w:divBdr>
        <w:top w:val="none" w:sz="0" w:space="0" w:color="auto"/>
        <w:left w:val="none" w:sz="0" w:space="0" w:color="auto"/>
        <w:bottom w:val="none" w:sz="0" w:space="0" w:color="auto"/>
        <w:right w:val="none" w:sz="0" w:space="0" w:color="auto"/>
      </w:divBdr>
      <w:divsChild>
        <w:div w:id="1697654198">
          <w:marLeft w:val="547"/>
          <w:marRight w:val="0"/>
          <w:marTop w:val="0"/>
          <w:marBottom w:val="0"/>
          <w:divBdr>
            <w:top w:val="none" w:sz="0" w:space="0" w:color="auto"/>
            <w:left w:val="none" w:sz="0" w:space="0" w:color="auto"/>
            <w:bottom w:val="none" w:sz="0" w:space="0" w:color="auto"/>
            <w:right w:val="none" w:sz="0" w:space="0" w:color="auto"/>
          </w:divBdr>
        </w:div>
      </w:divsChild>
    </w:div>
    <w:div w:id="1128202291">
      <w:bodyDiv w:val="1"/>
      <w:marLeft w:val="0"/>
      <w:marRight w:val="0"/>
      <w:marTop w:val="0"/>
      <w:marBottom w:val="0"/>
      <w:divBdr>
        <w:top w:val="none" w:sz="0" w:space="0" w:color="auto"/>
        <w:left w:val="none" w:sz="0" w:space="0" w:color="auto"/>
        <w:bottom w:val="none" w:sz="0" w:space="0" w:color="auto"/>
        <w:right w:val="none" w:sz="0" w:space="0" w:color="auto"/>
      </w:divBdr>
    </w:div>
    <w:div w:id="1135177749">
      <w:bodyDiv w:val="1"/>
      <w:marLeft w:val="0"/>
      <w:marRight w:val="0"/>
      <w:marTop w:val="0"/>
      <w:marBottom w:val="0"/>
      <w:divBdr>
        <w:top w:val="none" w:sz="0" w:space="0" w:color="auto"/>
        <w:left w:val="none" w:sz="0" w:space="0" w:color="auto"/>
        <w:bottom w:val="none" w:sz="0" w:space="0" w:color="auto"/>
        <w:right w:val="none" w:sz="0" w:space="0" w:color="auto"/>
      </w:divBdr>
    </w:div>
    <w:div w:id="1137992288">
      <w:bodyDiv w:val="1"/>
      <w:marLeft w:val="0"/>
      <w:marRight w:val="0"/>
      <w:marTop w:val="0"/>
      <w:marBottom w:val="0"/>
      <w:divBdr>
        <w:top w:val="none" w:sz="0" w:space="0" w:color="auto"/>
        <w:left w:val="none" w:sz="0" w:space="0" w:color="auto"/>
        <w:bottom w:val="none" w:sz="0" w:space="0" w:color="auto"/>
        <w:right w:val="none" w:sz="0" w:space="0" w:color="auto"/>
      </w:divBdr>
    </w:div>
    <w:div w:id="1139228063">
      <w:bodyDiv w:val="1"/>
      <w:marLeft w:val="0"/>
      <w:marRight w:val="0"/>
      <w:marTop w:val="0"/>
      <w:marBottom w:val="0"/>
      <w:divBdr>
        <w:top w:val="none" w:sz="0" w:space="0" w:color="auto"/>
        <w:left w:val="none" w:sz="0" w:space="0" w:color="auto"/>
        <w:bottom w:val="none" w:sz="0" w:space="0" w:color="auto"/>
        <w:right w:val="none" w:sz="0" w:space="0" w:color="auto"/>
      </w:divBdr>
      <w:divsChild>
        <w:div w:id="931626376">
          <w:marLeft w:val="547"/>
          <w:marRight w:val="0"/>
          <w:marTop w:val="0"/>
          <w:marBottom w:val="0"/>
          <w:divBdr>
            <w:top w:val="none" w:sz="0" w:space="0" w:color="auto"/>
            <w:left w:val="none" w:sz="0" w:space="0" w:color="auto"/>
            <w:bottom w:val="none" w:sz="0" w:space="0" w:color="auto"/>
            <w:right w:val="none" w:sz="0" w:space="0" w:color="auto"/>
          </w:divBdr>
        </w:div>
        <w:div w:id="1222400956">
          <w:marLeft w:val="547"/>
          <w:marRight w:val="0"/>
          <w:marTop w:val="0"/>
          <w:marBottom w:val="0"/>
          <w:divBdr>
            <w:top w:val="none" w:sz="0" w:space="0" w:color="auto"/>
            <w:left w:val="none" w:sz="0" w:space="0" w:color="auto"/>
            <w:bottom w:val="none" w:sz="0" w:space="0" w:color="auto"/>
            <w:right w:val="none" w:sz="0" w:space="0" w:color="auto"/>
          </w:divBdr>
        </w:div>
        <w:div w:id="398942799">
          <w:marLeft w:val="1166"/>
          <w:marRight w:val="0"/>
          <w:marTop w:val="0"/>
          <w:marBottom w:val="0"/>
          <w:divBdr>
            <w:top w:val="none" w:sz="0" w:space="0" w:color="auto"/>
            <w:left w:val="none" w:sz="0" w:space="0" w:color="auto"/>
            <w:bottom w:val="none" w:sz="0" w:space="0" w:color="auto"/>
            <w:right w:val="none" w:sz="0" w:space="0" w:color="auto"/>
          </w:divBdr>
        </w:div>
        <w:div w:id="1064645902">
          <w:marLeft w:val="1166"/>
          <w:marRight w:val="0"/>
          <w:marTop w:val="0"/>
          <w:marBottom w:val="0"/>
          <w:divBdr>
            <w:top w:val="none" w:sz="0" w:space="0" w:color="auto"/>
            <w:left w:val="none" w:sz="0" w:space="0" w:color="auto"/>
            <w:bottom w:val="none" w:sz="0" w:space="0" w:color="auto"/>
            <w:right w:val="none" w:sz="0" w:space="0" w:color="auto"/>
          </w:divBdr>
        </w:div>
        <w:div w:id="1575044806">
          <w:marLeft w:val="1166"/>
          <w:marRight w:val="0"/>
          <w:marTop w:val="0"/>
          <w:marBottom w:val="0"/>
          <w:divBdr>
            <w:top w:val="none" w:sz="0" w:space="0" w:color="auto"/>
            <w:left w:val="none" w:sz="0" w:space="0" w:color="auto"/>
            <w:bottom w:val="none" w:sz="0" w:space="0" w:color="auto"/>
            <w:right w:val="none" w:sz="0" w:space="0" w:color="auto"/>
          </w:divBdr>
        </w:div>
        <w:div w:id="21052061">
          <w:marLeft w:val="1166"/>
          <w:marRight w:val="0"/>
          <w:marTop w:val="0"/>
          <w:marBottom w:val="0"/>
          <w:divBdr>
            <w:top w:val="none" w:sz="0" w:space="0" w:color="auto"/>
            <w:left w:val="none" w:sz="0" w:space="0" w:color="auto"/>
            <w:bottom w:val="none" w:sz="0" w:space="0" w:color="auto"/>
            <w:right w:val="none" w:sz="0" w:space="0" w:color="auto"/>
          </w:divBdr>
        </w:div>
      </w:divsChild>
    </w:div>
    <w:div w:id="1155415727">
      <w:bodyDiv w:val="1"/>
      <w:marLeft w:val="0"/>
      <w:marRight w:val="0"/>
      <w:marTop w:val="0"/>
      <w:marBottom w:val="0"/>
      <w:divBdr>
        <w:top w:val="none" w:sz="0" w:space="0" w:color="auto"/>
        <w:left w:val="none" w:sz="0" w:space="0" w:color="auto"/>
        <w:bottom w:val="none" w:sz="0" w:space="0" w:color="auto"/>
        <w:right w:val="none" w:sz="0" w:space="0" w:color="auto"/>
      </w:divBdr>
    </w:div>
    <w:div w:id="1164204317">
      <w:bodyDiv w:val="1"/>
      <w:marLeft w:val="0"/>
      <w:marRight w:val="0"/>
      <w:marTop w:val="0"/>
      <w:marBottom w:val="0"/>
      <w:divBdr>
        <w:top w:val="none" w:sz="0" w:space="0" w:color="auto"/>
        <w:left w:val="none" w:sz="0" w:space="0" w:color="auto"/>
        <w:bottom w:val="none" w:sz="0" w:space="0" w:color="auto"/>
        <w:right w:val="none" w:sz="0" w:space="0" w:color="auto"/>
      </w:divBdr>
      <w:divsChild>
        <w:div w:id="1024474748">
          <w:marLeft w:val="547"/>
          <w:marRight w:val="0"/>
          <w:marTop w:val="0"/>
          <w:marBottom w:val="0"/>
          <w:divBdr>
            <w:top w:val="none" w:sz="0" w:space="0" w:color="auto"/>
            <w:left w:val="none" w:sz="0" w:space="0" w:color="auto"/>
            <w:bottom w:val="none" w:sz="0" w:space="0" w:color="auto"/>
            <w:right w:val="none" w:sz="0" w:space="0" w:color="auto"/>
          </w:divBdr>
        </w:div>
      </w:divsChild>
    </w:div>
    <w:div w:id="1169448749">
      <w:bodyDiv w:val="1"/>
      <w:marLeft w:val="0"/>
      <w:marRight w:val="0"/>
      <w:marTop w:val="0"/>
      <w:marBottom w:val="0"/>
      <w:divBdr>
        <w:top w:val="none" w:sz="0" w:space="0" w:color="auto"/>
        <w:left w:val="none" w:sz="0" w:space="0" w:color="auto"/>
        <w:bottom w:val="none" w:sz="0" w:space="0" w:color="auto"/>
        <w:right w:val="none" w:sz="0" w:space="0" w:color="auto"/>
      </w:divBdr>
      <w:divsChild>
        <w:div w:id="1346859234">
          <w:marLeft w:val="547"/>
          <w:marRight w:val="0"/>
          <w:marTop w:val="0"/>
          <w:marBottom w:val="0"/>
          <w:divBdr>
            <w:top w:val="none" w:sz="0" w:space="0" w:color="auto"/>
            <w:left w:val="none" w:sz="0" w:space="0" w:color="auto"/>
            <w:bottom w:val="none" w:sz="0" w:space="0" w:color="auto"/>
            <w:right w:val="none" w:sz="0" w:space="0" w:color="auto"/>
          </w:divBdr>
        </w:div>
      </w:divsChild>
    </w:div>
    <w:div w:id="1170414468">
      <w:bodyDiv w:val="1"/>
      <w:marLeft w:val="0"/>
      <w:marRight w:val="0"/>
      <w:marTop w:val="0"/>
      <w:marBottom w:val="0"/>
      <w:divBdr>
        <w:top w:val="none" w:sz="0" w:space="0" w:color="auto"/>
        <w:left w:val="none" w:sz="0" w:space="0" w:color="auto"/>
        <w:bottom w:val="none" w:sz="0" w:space="0" w:color="auto"/>
        <w:right w:val="none" w:sz="0" w:space="0" w:color="auto"/>
      </w:divBdr>
    </w:div>
    <w:div w:id="1181167483">
      <w:bodyDiv w:val="1"/>
      <w:marLeft w:val="0"/>
      <w:marRight w:val="0"/>
      <w:marTop w:val="0"/>
      <w:marBottom w:val="0"/>
      <w:divBdr>
        <w:top w:val="none" w:sz="0" w:space="0" w:color="auto"/>
        <w:left w:val="none" w:sz="0" w:space="0" w:color="auto"/>
        <w:bottom w:val="none" w:sz="0" w:space="0" w:color="auto"/>
        <w:right w:val="none" w:sz="0" w:space="0" w:color="auto"/>
      </w:divBdr>
    </w:div>
    <w:div w:id="1181623077">
      <w:bodyDiv w:val="1"/>
      <w:marLeft w:val="0"/>
      <w:marRight w:val="0"/>
      <w:marTop w:val="0"/>
      <w:marBottom w:val="0"/>
      <w:divBdr>
        <w:top w:val="none" w:sz="0" w:space="0" w:color="auto"/>
        <w:left w:val="none" w:sz="0" w:space="0" w:color="auto"/>
        <w:bottom w:val="none" w:sz="0" w:space="0" w:color="auto"/>
        <w:right w:val="none" w:sz="0" w:space="0" w:color="auto"/>
      </w:divBdr>
    </w:div>
    <w:div w:id="1181776525">
      <w:bodyDiv w:val="1"/>
      <w:marLeft w:val="0"/>
      <w:marRight w:val="0"/>
      <w:marTop w:val="0"/>
      <w:marBottom w:val="0"/>
      <w:divBdr>
        <w:top w:val="none" w:sz="0" w:space="0" w:color="auto"/>
        <w:left w:val="none" w:sz="0" w:space="0" w:color="auto"/>
        <w:bottom w:val="none" w:sz="0" w:space="0" w:color="auto"/>
        <w:right w:val="none" w:sz="0" w:space="0" w:color="auto"/>
      </w:divBdr>
    </w:div>
    <w:div w:id="1182282813">
      <w:bodyDiv w:val="1"/>
      <w:marLeft w:val="0"/>
      <w:marRight w:val="0"/>
      <w:marTop w:val="0"/>
      <w:marBottom w:val="0"/>
      <w:divBdr>
        <w:top w:val="none" w:sz="0" w:space="0" w:color="auto"/>
        <w:left w:val="none" w:sz="0" w:space="0" w:color="auto"/>
        <w:bottom w:val="none" w:sz="0" w:space="0" w:color="auto"/>
        <w:right w:val="none" w:sz="0" w:space="0" w:color="auto"/>
      </w:divBdr>
    </w:div>
    <w:div w:id="1186793139">
      <w:bodyDiv w:val="1"/>
      <w:marLeft w:val="0"/>
      <w:marRight w:val="0"/>
      <w:marTop w:val="0"/>
      <w:marBottom w:val="0"/>
      <w:divBdr>
        <w:top w:val="none" w:sz="0" w:space="0" w:color="auto"/>
        <w:left w:val="none" w:sz="0" w:space="0" w:color="auto"/>
        <w:bottom w:val="none" w:sz="0" w:space="0" w:color="auto"/>
        <w:right w:val="none" w:sz="0" w:space="0" w:color="auto"/>
      </w:divBdr>
    </w:div>
    <w:div w:id="1189756275">
      <w:bodyDiv w:val="1"/>
      <w:marLeft w:val="0"/>
      <w:marRight w:val="0"/>
      <w:marTop w:val="0"/>
      <w:marBottom w:val="0"/>
      <w:divBdr>
        <w:top w:val="none" w:sz="0" w:space="0" w:color="auto"/>
        <w:left w:val="none" w:sz="0" w:space="0" w:color="auto"/>
        <w:bottom w:val="none" w:sz="0" w:space="0" w:color="auto"/>
        <w:right w:val="none" w:sz="0" w:space="0" w:color="auto"/>
      </w:divBdr>
    </w:div>
    <w:div w:id="1190800189">
      <w:bodyDiv w:val="1"/>
      <w:marLeft w:val="0"/>
      <w:marRight w:val="0"/>
      <w:marTop w:val="0"/>
      <w:marBottom w:val="0"/>
      <w:divBdr>
        <w:top w:val="none" w:sz="0" w:space="0" w:color="auto"/>
        <w:left w:val="none" w:sz="0" w:space="0" w:color="auto"/>
        <w:bottom w:val="none" w:sz="0" w:space="0" w:color="auto"/>
        <w:right w:val="none" w:sz="0" w:space="0" w:color="auto"/>
      </w:divBdr>
    </w:div>
    <w:div w:id="1192451037">
      <w:bodyDiv w:val="1"/>
      <w:marLeft w:val="0"/>
      <w:marRight w:val="0"/>
      <w:marTop w:val="0"/>
      <w:marBottom w:val="0"/>
      <w:divBdr>
        <w:top w:val="none" w:sz="0" w:space="0" w:color="auto"/>
        <w:left w:val="none" w:sz="0" w:space="0" w:color="auto"/>
        <w:bottom w:val="none" w:sz="0" w:space="0" w:color="auto"/>
        <w:right w:val="none" w:sz="0" w:space="0" w:color="auto"/>
      </w:divBdr>
    </w:div>
    <w:div w:id="1195771381">
      <w:bodyDiv w:val="1"/>
      <w:marLeft w:val="0"/>
      <w:marRight w:val="0"/>
      <w:marTop w:val="0"/>
      <w:marBottom w:val="0"/>
      <w:divBdr>
        <w:top w:val="none" w:sz="0" w:space="0" w:color="auto"/>
        <w:left w:val="none" w:sz="0" w:space="0" w:color="auto"/>
        <w:bottom w:val="none" w:sz="0" w:space="0" w:color="auto"/>
        <w:right w:val="none" w:sz="0" w:space="0" w:color="auto"/>
      </w:divBdr>
    </w:div>
    <w:div w:id="1198784892">
      <w:bodyDiv w:val="1"/>
      <w:marLeft w:val="0"/>
      <w:marRight w:val="0"/>
      <w:marTop w:val="0"/>
      <w:marBottom w:val="0"/>
      <w:divBdr>
        <w:top w:val="none" w:sz="0" w:space="0" w:color="auto"/>
        <w:left w:val="none" w:sz="0" w:space="0" w:color="auto"/>
        <w:bottom w:val="none" w:sz="0" w:space="0" w:color="auto"/>
        <w:right w:val="none" w:sz="0" w:space="0" w:color="auto"/>
      </w:divBdr>
      <w:divsChild>
        <w:div w:id="1461873977">
          <w:marLeft w:val="547"/>
          <w:marRight w:val="0"/>
          <w:marTop w:val="0"/>
          <w:marBottom w:val="0"/>
          <w:divBdr>
            <w:top w:val="none" w:sz="0" w:space="0" w:color="auto"/>
            <w:left w:val="none" w:sz="0" w:space="0" w:color="auto"/>
            <w:bottom w:val="none" w:sz="0" w:space="0" w:color="auto"/>
            <w:right w:val="none" w:sz="0" w:space="0" w:color="auto"/>
          </w:divBdr>
        </w:div>
      </w:divsChild>
    </w:div>
    <w:div w:id="1207372333">
      <w:bodyDiv w:val="1"/>
      <w:marLeft w:val="0"/>
      <w:marRight w:val="0"/>
      <w:marTop w:val="0"/>
      <w:marBottom w:val="0"/>
      <w:divBdr>
        <w:top w:val="none" w:sz="0" w:space="0" w:color="auto"/>
        <w:left w:val="none" w:sz="0" w:space="0" w:color="auto"/>
        <w:bottom w:val="none" w:sz="0" w:space="0" w:color="auto"/>
        <w:right w:val="none" w:sz="0" w:space="0" w:color="auto"/>
      </w:divBdr>
    </w:div>
    <w:div w:id="1209491157">
      <w:bodyDiv w:val="1"/>
      <w:marLeft w:val="0"/>
      <w:marRight w:val="0"/>
      <w:marTop w:val="0"/>
      <w:marBottom w:val="0"/>
      <w:divBdr>
        <w:top w:val="none" w:sz="0" w:space="0" w:color="auto"/>
        <w:left w:val="none" w:sz="0" w:space="0" w:color="auto"/>
        <w:bottom w:val="none" w:sz="0" w:space="0" w:color="auto"/>
        <w:right w:val="none" w:sz="0" w:space="0" w:color="auto"/>
      </w:divBdr>
      <w:divsChild>
        <w:div w:id="1986279420">
          <w:marLeft w:val="547"/>
          <w:marRight w:val="0"/>
          <w:marTop w:val="0"/>
          <w:marBottom w:val="0"/>
          <w:divBdr>
            <w:top w:val="none" w:sz="0" w:space="0" w:color="auto"/>
            <w:left w:val="none" w:sz="0" w:space="0" w:color="auto"/>
            <w:bottom w:val="none" w:sz="0" w:space="0" w:color="auto"/>
            <w:right w:val="none" w:sz="0" w:space="0" w:color="auto"/>
          </w:divBdr>
        </w:div>
      </w:divsChild>
    </w:div>
    <w:div w:id="1215584740">
      <w:bodyDiv w:val="1"/>
      <w:marLeft w:val="0"/>
      <w:marRight w:val="0"/>
      <w:marTop w:val="0"/>
      <w:marBottom w:val="0"/>
      <w:divBdr>
        <w:top w:val="none" w:sz="0" w:space="0" w:color="auto"/>
        <w:left w:val="none" w:sz="0" w:space="0" w:color="auto"/>
        <w:bottom w:val="none" w:sz="0" w:space="0" w:color="auto"/>
        <w:right w:val="none" w:sz="0" w:space="0" w:color="auto"/>
      </w:divBdr>
    </w:div>
    <w:div w:id="1216743179">
      <w:bodyDiv w:val="1"/>
      <w:marLeft w:val="0"/>
      <w:marRight w:val="0"/>
      <w:marTop w:val="0"/>
      <w:marBottom w:val="0"/>
      <w:divBdr>
        <w:top w:val="none" w:sz="0" w:space="0" w:color="auto"/>
        <w:left w:val="none" w:sz="0" w:space="0" w:color="auto"/>
        <w:bottom w:val="none" w:sz="0" w:space="0" w:color="auto"/>
        <w:right w:val="none" w:sz="0" w:space="0" w:color="auto"/>
      </w:divBdr>
    </w:div>
    <w:div w:id="1218393312">
      <w:bodyDiv w:val="1"/>
      <w:marLeft w:val="0"/>
      <w:marRight w:val="0"/>
      <w:marTop w:val="0"/>
      <w:marBottom w:val="0"/>
      <w:divBdr>
        <w:top w:val="none" w:sz="0" w:space="0" w:color="auto"/>
        <w:left w:val="none" w:sz="0" w:space="0" w:color="auto"/>
        <w:bottom w:val="none" w:sz="0" w:space="0" w:color="auto"/>
        <w:right w:val="none" w:sz="0" w:space="0" w:color="auto"/>
      </w:divBdr>
    </w:div>
    <w:div w:id="1223567752">
      <w:bodyDiv w:val="1"/>
      <w:marLeft w:val="0"/>
      <w:marRight w:val="0"/>
      <w:marTop w:val="0"/>
      <w:marBottom w:val="0"/>
      <w:divBdr>
        <w:top w:val="none" w:sz="0" w:space="0" w:color="auto"/>
        <w:left w:val="none" w:sz="0" w:space="0" w:color="auto"/>
        <w:bottom w:val="none" w:sz="0" w:space="0" w:color="auto"/>
        <w:right w:val="none" w:sz="0" w:space="0" w:color="auto"/>
      </w:divBdr>
    </w:div>
    <w:div w:id="1224409850">
      <w:bodyDiv w:val="1"/>
      <w:marLeft w:val="0"/>
      <w:marRight w:val="0"/>
      <w:marTop w:val="0"/>
      <w:marBottom w:val="0"/>
      <w:divBdr>
        <w:top w:val="none" w:sz="0" w:space="0" w:color="auto"/>
        <w:left w:val="none" w:sz="0" w:space="0" w:color="auto"/>
        <w:bottom w:val="none" w:sz="0" w:space="0" w:color="auto"/>
        <w:right w:val="none" w:sz="0" w:space="0" w:color="auto"/>
      </w:divBdr>
    </w:div>
    <w:div w:id="1228884025">
      <w:bodyDiv w:val="1"/>
      <w:marLeft w:val="0"/>
      <w:marRight w:val="0"/>
      <w:marTop w:val="0"/>
      <w:marBottom w:val="0"/>
      <w:divBdr>
        <w:top w:val="none" w:sz="0" w:space="0" w:color="auto"/>
        <w:left w:val="none" w:sz="0" w:space="0" w:color="auto"/>
        <w:bottom w:val="none" w:sz="0" w:space="0" w:color="auto"/>
        <w:right w:val="none" w:sz="0" w:space="0" w:color="auto"/>
      </w:divBdr>
      <w:divsChild>
        <w:div w:id="1511290861">
          <w:marLeft w:val="0"/>
          <w:marRight w:val="0"/>
          <w:marTop w:val="166"/>
          <w:marBottom w:val="166"/>
          <w:divBdr>
            <w:top w:val="none" w:sz="0" w:space="0" w:color="auto"/>
            <w:left w:val="none" w:sz="0" w:space="0" w:color="auto"/>
            <w:bottom w:val="none" w:sz="0" w:space="0" w:color="auto"/>
            <w:right w:val="none" w:sz="0" w:space="0" w:color="auto"/>
          </w:divBdr>
        </w:div>
        <w:div w:id="1733774920">
          <w:marLeft w:val="0"/>
          <w:marRight w:val="0"/>
          <w:marTop w:val="166"/>
          <w:marBottom w:val="166"/>
          <w:divBdr>
            <w:top w:val="none" w:sz="0" w:space="0" w:color="auto"/>
            <w:left w:val="none" w:sz="0" w:space="0" w:color="auto"/>
            <w:bottom w:val="none" w:sz="0" w:space="0" w:color="auto"/>
            <w:right w:val="none" w:sz="0" w:space="0" w:color="auto"/>
          </w:divBdr>
        </w:div>
        <w:div w:id="902835201">
          <w:marLeft w:val="0"/>
          <w:marRight w:val="0"/>
          <w:marTop w:val="166"/>
          <w:marBottom w:val="166"/>
          <w:divBdr>
            <w:top w:val="none" w:sz="0" w:space="0" w:color="auto"/>
            <w:left w:val="none" w:sz="0" w:space="0" w:color="auto"/>
            <w:bottom w:val="none" w:sz="0" w:space="0" w:color="auto"/>
            <w:right w:val="none" w:sz="0" w:space="0" w:color="auto"/>
          </w:divBdr>
        </w:div>
        <w:div w:id="676469368">
          <w:marLeft w:val="0"/>
          <w:marRight w:val="0"/>
          <w:marTop w:val="166"/>
          <w:marBottom w:val="166"/>
          <w:divBdr>
            <w:top w:val="none" w:sz="0" w:space="0" w:color="auto"/>
            <w:left w:val="none" w:sz="0" w:space="0" w:color="auto"/>
            <w:bottom w:val="none" w:sz="0" w:space="0" w:color="auto"/>
            <w:right w:val="none" w:sz="0" w:space="0" w:color="auto"/>
          </w:divBdr>
        </w:div>
        <w:div w:id="2009096130">
          <w:marLeft w:val="0"/>
          <w:marRight w:val="0"/>
          <w:marTop w:val="166"/>
          <w:marBottom w:val="166"/>
          <w:divBdr>
            <w:top w:val="none" w:sz="0" w:space="0" w:color="auto"/>
            <w:left w:val="none" w:sz="0" w:space="0" w:color="auto"/>
            <w:bottom w:val="none" w:sz="0" w:space="0" w:color="auto"/>
            <w:right w:val="none" w:sz="0" w:space="0" w:color="auto"/>
          </w:divBdr>
        </w:div>
        <w:div w:id="724110724">
          <w:marLeft w:val="0"/>
          <w:marRight w:val="0"/>
          <w:marTop w:val="166"/>
          <w:marBottom w:val="166"/>
          <w:divBdr>
            <w:top w:val="none" w:sz="0" w:space="0" w:color="auto"/>
            <w:left w:val="none" w:sz="0" w:space="0" w:color="auto"/>
            <w:bottom w:val="none" w:sz="0" w:space="0" w:color="auto"/>
            <w:right w:val="none" w:sz="0" w:space="0" w:color="auto"/>
          </w:divBdr>
        </w:div>
        <w:div w:id="492454342">
          <w:marLeft w:val="0"/>
          <w:marRight w:val="0"/>
          <w:marTop w:val="166"/>
          <w:marBottom w:val="166"/>
          <w:divBdr>
            <w:top w:val="none" w:sz="0" w:space="0" w:color="auto"/>
            <w:left w:val="none" w:sz="0" w:space="0" w:color="auto"/>
            <w:bottom w:val="none" w:sz="0" w:space="0" w:color="auto"/>
            <w:right w:val="none" w:sz="0" w:space="0" w:color="auto"/>
          </w:divBdr>
        </w:div>
        <w:div w:id="1940285549">
          <w:marLeft w:val="0"/>
          <w:marRight w:val="0"/>
          <w:marTop w:val="166"/>
          <w:marBottom w:val="166"/>
          <w:divBdr>
            <w:top w:val="none" w:sz="0" w:space="0" w:color="auto"/>
            <w:left w:val="none" w:sz="0" w:space="0" w:color="auto"/>
            <w:bottom w:val="none" w:sz="0" w:space="0" w:color="auto"/>
            <w:right w:val="none" w:sz="0" w:space="0" w:color="auto"/>
          </w:divBdr>
        </w:div>
      </w:divsChild>
    </w:div>
    <w:div w:id="1234119141">
      <w:bodyDiv w:val="1"/>
      <w:marLeft w:val="0"/>
      <w:marRight w:val="0"/>
      <w:marTop w:val="0"/>
      <w:marBottom w:val="0"/>
      <w:divBdr>
        <w:top w:val="none" w:sz="0" w:space="0" w:color="auto"/>
        <w:left w:val="none" w:sz="0" w:space="0" w:color="auto"/>
        <w:bottom w:val="none" w:sz="0" w:space="0" w:color="auto"/>
        <w:right w:val="none" w:sz="0" w:space="0" w:color="auto"/>
      </w:divBdr>
      <w:divsChild>
        <w:div w:id="39326943">
          <w:marLeft w:val="547"/>
          <w:marRight w:val="0"/>
          <w:marTop w:val="0"/>
          <w:marBottom w:val="0"/>
          <w:divBdr>
            <w:top w:val="none" w:sz="0" w:space="0" w:color="auto"/>
            <w:left w:val="none" w:sz="0" w:space="0" w:color="auto"/>
            <w:bottom w:val="none" w:sz="0" w:space="0" w:color="auto"/>
            <w:right w:val="none" w:sz="0" w:space="0" w:color="auto"/>
          </w:divBdr>
        </w:div>
        <w:div w:id="900100013">
          <w:marLeft w:val="547"/>
          <w:marRight w:val="0"/>
          <w:marTop w:val="0"/>
          <w:marBottom w:val="0"/>
          <w:divBdr>
            <w:top w:val="none" w:sz="0" w:space="0" w:color="auto"/>
            <w:left w:val="none" w:sz="0" w:space="0" w:color="auto"/>
            <w:bottom w:val="none" w:sz="0" w:space="0" w:color="auto"/>
            <w:right w:val="none" w:sz="0" w:space="0" w:color="auto"/>
          </w:divBdr>
        </w:div>
        <w:div w:id="36897490">
          <w:marLeft w:val="1166"/>
          <w:marRight w:val="0"/>
          <w:marTop w:val="0"/>
          <w:marBottom w:val="0"/>
          <w:divBdr>
            <w:top w:val="none" w:sz="0" w:space="0" w:color="auto"/>
            <w:left w:val="none" w:sz="0" w:space="0" w:color="auto"/>
            <w:bottom w:val="none" w:sz="0" w:space="0" w:color="auto"/>
            <w:right w:val="none" w:sz="0" w:space="0" w:color="auto"/>
          </w:divBdr>
        </w:div>
        <w:div w:id="1651783002">
          <w:marLeft w:val="1166"/>
          <w:marRight w:val="0"/>
          <w:marTop w:val="0"/>
          <w:marBottom w:val="0"/>
          <w:divBdr>
            <w:top w:val="none" w:sz="0" w:space="0" w:color="auto"/>
            <w:left w:val="none" w:sz="0" w:space="0" w:color="auto"/>
            <w:bottom w:val="none" w:sz="0" w:space="0" w:color="auto"/>
            <w:right w:val="none" w:sz="0" w:space="0" w:color="auto"/>
          </w:divBdr>
        </w:div>
        <w:div w:id="1791508176">
          <w:marLeft w:val="1166"/>
          <w:marRight w:val="0"/>
          <w:marTop w:val="0"/>
          <w:marBottom w:val="0"/>
          <w:divBdr>
            <w:top w:val="none" w:sz="0" w:space="0" w:color="auto"/>
            <w:left w:val="none" w:sz="0" w:space="0" w:color="auto"/>
            <w:bottom w:val="none" w:sz="0" w:space="0" w:color="auto"/>
            <w:right w:val="none" w:sz="0" w:space="0" w:color="auto"/>
          </w:divBdr>
        </w:div>
      </w:divsChild>
    </w:div>
    <w:div w:id="1234972192">
      <w:bodyDiv w:val="1"/>
      <w:marLeft w:val="0"/>
      <w:marRight w:val="0"/>
      <w:marTop w:val="0"/>
      <w:marBottom w:val="0"/>
      <w:divBdr>
        <w:top w:val="none" w:sz="0" w:space="0" w:color="auto"/>
        <w:left w:val="none" w:sz="0" w:space="0" w:color="auto"/>
        <w:bottom w:val="none" w:sz="0" w:space="0" w:color="auto"/>
        <w:right w:val="none" w:sz="0" w:space="0" w:color="auto"/>
      </w:divBdr>
      <w:divsChild>
        <w:div w:id="1256018842">
          <w:marLeft w:val="547"/>
          <w:marRight w:val="0"/>
          <w:marTop w:val="0"/>
          <w:marBottom w:val="0"/>
          <w:divBdr>
            <w:top w:val="none" w:sz="0" w:space="0" w:color="auto"/>
            <w:left w:val="none" w:sz="0" w:space="0" w:color="auto"/>
            <w:bottom w:val="none" w:sz="0" w:space="0" w:color="auto"/>
            <w:right w:val="none" w:sz="0" w:space="0" w:color="auto"/>
          </w:divBdr>
        </w:div>
      </w:divsChild>
    </w:div>
    <w:div w:id="1240285295">
      <w:bodyDiv w:val="1"/>
      <w:marLeft w:val="0"/>
      <w:marRight w:val="0"/>
      <w:marTop w:val="0"/>
      <w:marBottom w:val="0"/>
      <w:divBdr>
        <w:top w:val="none" w:sz="0" w:space="0" w:color="auto"/>
        <w:left w:val="none" w:sz="0" w:space="0" w:color="auto"/>
        <w:bottom w:val="none" w:sz="0" w:space="0" w:color="auto"/>
        <w:right w:val="none" w:sz="0" w:space="0" w:color="auto"/>
      </w:divBdr>
    </w:div>
    <w:div w:id="1240402811">
      <w:bodyDiv w:val="1"/>
      <w:marLeft w:val="0"/>
      <w:marRight w:val="0"/>
      <w:marTop w:val="0"/>
      <w:marBottom w:val="0"/>
      <w:divBdr>
        <w:top w:val="none" w:sz="0" w:space="0" w:color="auto"/>
        <w:left w:val="none" w:sz="0" w:space="0" w:color="auto"/>
        <w:bottom w:val="none" w:sz="0" w:space="0" w:color="auto"/>
        <w:right w:val="none" w:sz="0" w:space="0" w:color="auto"/>
      </w:divBdr>
    </w:div>
    <w:div w:id="1243490369">
      <w:bodyDiv w:val="1"/>
      <w:marLeft w:val="0"/>
      <w:marRight w:val="0"/>
      <w:marTop w:val="0"/>
      <w:marBottom w:val="0"/>
      <w:divBdr>
        <w:top w:val="none" w:sz="0" w:space="0" w:color="auto"/>
        <w:left w:val="none" w:sz="0" w:space="0" w:color="auto"/>
        <w:bottom w:val="none" w:sz="0" w:space="0" w:color="auto"/>
        <w:right w:val="none" w:sz="0" w:space="0" w:color="auto"/>
      </w:divBdr>
    </w:div>
    <w:div w:id="1244752805">
      <w:bodyDiv w:val="1"/>
      <w:marLeft w:val="0"/>
      <w:marRight w:val="0"/>
      <w:marTop w:val="0"/>
      <w:marBottom w:val="0"/>
      <w:divBdr>
        <w:top w:val="none" w:sz="0" w:space="0" w:color="auto"/>
        <w:left w:val="none" w:sz="0" w:space="0" w:color="auto"/>
        <w:bottom w:val="none" w:sz="0" w:space="0" w:color="auto"/>
        <w:right w:val="none" w:sz="0" w:space="0" w:color="auto"/>
      </w:divBdr>
    </w:div>
    <w:div w:id="1250385893">
      <w:bodyDiv w:val="1"/>
      <w:marLeft w:val="0"/>
      <w:marRight w:val="0"/>
      <w:marTop w:val="0"/>
      <w:marBottom w:val="0"/>
      <w:divBdr>
        <w:top w:val="none" w:sz="0" w:space="0" w:color="auto"/>
        <w:left w:val="none" w:sz="0" w:space="0" w:color="auto"/>
        <w:bottom w:val="none" w:sz="0" w:space="0" w:color="auto"/>
        <w:right w:val="none" w:sz="0" w:space="0" w:color="auto"/>
      </w:divBdr>
    </w:div>
    <w:div w:id="1251700422">
      <w:bodyDiv w:val="1"/>
      <w:marLeft w:val="0"/>
      <w:marRight w:val="0"/>
      <w:marTop w:val="0"/>
      <w:marBottom w:val="0"/>
      <w:divBdr>
        <w:top w:val="none" w:sz="0" w:space="0" w:color="auto"/>
        <w:left w:val="none" w:sz="0" w:space="0" w:color="auto"/>
        <w:bottom w:val="none" w:sz="0" w:space="0" w:color="auto"/>
        <w:right w:val="none" w:sz="0" w:space="0" w:color="auto"/>
      </w:divBdr>
    </w:div>
    <w:div w:id="1265307102">
      <w:bodyDiv w:val="1"/>
      <w:marLeft w:val="0"/>
      <w:marRight w:val="0"/>
      <w:marTop w:val="0"/>
      <w:marBottom w:val="0"/>
      <w:divBdr>
        <w:top w:val="none" w:sz="0" w:space="0" w:color="auto"/>
        <w:left w:val="none" w:sz="0" w:space="0" w:color="auto"/>
        <w:bottom w:val="none" w:sz="0" w:space="0" w:color="auto"/>
        <w:right w:val="none" w:sz="0" w:space="0" w:color="auto"/>
      </w:divBdr>
      <w:divsChild>
        <w:div w:id="2018340670">
          <w:marLeft w:val="547"/>
          <w:marRight w:val="0"/>
          <w:marTop w:val="0"/>
          <w:marBottom w:val="0"/>
          <w:divBdr>
            <w:top w:val="none" w:sz="0" w:space="0" w:color="auto"/>
            <w:left w:val="none" w:sz="0" w:space="0" w:color="auto"/>
            <w:bottom w:val="none" w:sz="0" w:space="0" w:color="auto"/>
            <w:right w:val="none" w:sz="0" w:space="0" w:color="auto"/>
          </w:divBdr>
        </w:div>
      </w:divsChild>
    </w:div>
    <w:div w:id="1266185441">
      <w:bodyDiv w:val="1"/>
      <w:marLeft w:val="0"/>
      <w:marRight w:val="0"/>
      <w:marTop w:val="0"/>
      <w:marBottom w:val="0"/>
      <w:divBdr>
        <w:top w:val="none" w:sz="0" w:space="0" w:color="auto"/>
        <w:left w:val="none" w:sz="0" w:space="0" w:color="auto"/>
        <w:bottom w:val="none" w:sz="0" w:space="0" w:color="auto"/>
        <w:right w:val="none" w:sz="0" w:space="0" w:color="auto"/>
      </w:divBdr>
      <w:divsChild>
        <w:div w:id="874849194">
          <w:marLeft w:val="547"/>
          <w:marRight w:val="0"/>
          <w:marTop w:val="0"/>
          <w:marBottom w:val="0"/>
          <w:divBdr>
            <w:top w:val="none" w:sz="0" w:space="0" w:color="auto"/>
            <w:left w:val="none" w:sz="0" w:space="0" w:color="auto"/>
            <w:bottom w:val="none" w:sz="0" w:space="0" w:color="auto"/>
            <w:right w:val="none" w:sz="0" w:space="0" w:color="auto"/>
          </w:divBdr>
        </w:div>
      </w:divsChild>
    </w:div>
    <w:div w:id="1279222247">
      <w:bodyDiv w:val="1"/>
      <w:marLeft w:val="0"/>
      <w:marRight w:val="0"/>
      <w:marTop w:val="0"/>
      <w:marBottom w:val="0"/>
      <w:divBdr>
        <w:top w:val="none" w:sz="0" w:space="0" w:color="auto"/>
        <w:left w:val="none" w:sz="0" w:space="0" w:color="auto"/>
        <w:bottom w:val="none" w:sz="0" w:space="0" w:color="auto"/>
        <w:right w:val="none" w:sz="0" w:space="0" w:color="auto"/>
      </w:divBdr>
    </w:div>
    <w:div w:id="1299534825">
      <w:bodyDiv w:val="1"/>
      <w:marLeft w:val="0"/>
      <w:marRight w:val="0"/>
      <w:marTop w:val="0"/>
      <w:marBottom w:val="0"/>
      <w:divBdr>
        <w:top w:val="none" w:sz="0" w:space="0" w:color="auto"/>
        <w:left w:val="none" w:sz="0" w:space="0" w:color="auto"/>
        <w:bottom w:val="none" w:sz="0" w:space="0" w:color="auto"/>
        <w:right w:val="none" w:sz="0" w:space="0" w:color="auto"/>
      </w:divBdr>
      <w:divsChild>
        <w:div w:id="1455363389">
          <w:marLeft w:val="547"/>
          <w:marRight w:val="0"/>
          <w:marTop w:val="0"/>
          <w:marBottom w:val="0"/>
          <w:divBdr>
            <w:top w:val="none" w:sz="0" w:space="0" w:color="auto"/>
            <w:left w:val="none" w:sz="0" w:space="0" w:color="auto"/>
            <w:bottom w:val="none" w:sz="0" w:space="0" w:color="auto"/>
            <w:right w:val="none" w:sz="0" w:space="0" w:color="auto"/>
          </w:divBdr>
        </w:div>
      </w:divsChild>
    </w:div>
    <w:div w:id="1304121173">
      <w:bodyDiv w:val="1"/>
      <w:marLeft w:val="0"/>
      <w:marRight w:val="0"/>
      <w:marTop w:val="0"/>
      <w:marBottom w:val="0"/>
      <w:divBdr>
        <w:top w:val="none" w:sz="0" w:space="0" w:color="auto"/>
        <w:left w:val="none" w:sz="0" w:space="0" w:color="auto"/>
        <w:bottom w:val="none" w:sz="0" w:space="0" w:color="auto"/>
        <w:right w:val="none" w:sz="0" w:space="0" w:color="auto"/>
      </w:divBdr>
    </w:div>
    <w:div w:id="1315647900">
      <w:bodyDiv w:val="1"/>
      <w:marLeft w:val="0"/>
      <w:marRight w:val="0"/>
      <w:marTop w:val="0"/>
      <w:marBottom w:val="0"/>
      <w:divBdr>
        <w:top w:val="none" w:sz="0" w:space="0" w:color="auto"/>
        <w:left w:val="none" w:sz="0" w:space="0" w:color="auto"/>
        <w:bottom w:val="none" w:sz="0" w:space="0" w:color="auto"/>
        <w:right w:val="none" w:sz="0" w:space="0" w:color="auto"/>
      </w:divBdr>
    </w:div>
    <w:div w:id="1327973643">
      <w:bodyDiv w:val="1"/>
      <w:marLeft w:val="0"/>
      <w:marRight w:val="0"/>
      <w:marTop w:val="0"/>
      <w:marBottom w:val="0"/>
      <w:divBdr>
        <w:top w:val="none" w:sz="0" w:space="0" w:color="auto"/>
        <w:left w:val="none" w:sz="0" w:space="0" w:color="auto"/>
        <w:bottom w:val="none" w:sz="0" w:space="0" w:color="auto"/>
        <w:right w:val="none" w:sz="0" w:space="0" w:color="auto"/>
      </w:divBdr>
      <w:divsChild>
        <w:div w:id="805975176">
          <w:marLeft w:val="547"/>
          <w:marRight w:val="0"/>
          <w:marTop w:val="0"/>
          <w:marBottom w:val="0"/>
          <w:divBdr>
            <w:top w:val="none" w:sz="0" w:space="0" w:color="auto"/>
            <w:left w:val="none" w:sz="0" w:space="0" w:color="auto"/>
            <w:bottom w:val="none" w:sz="0" w:space="0" w:color="auto"/>
            <w:right w:val="none" w:sz="0" w:space="0" w:color="auto"/>
          </w:divBdr>
        </w:div>
      </w:divsChild>
    </w:div>
    <w:div w:id="1339885030">
      <w:bodyDiv w:val="1"/>
      <w:marLeft w:val="0"/>
      <w:marRight w:val="0"/>
      <w:marTop w:val="0"/>
      <w:marBottom w:val="0"/>
      <w:divBdr>
        <w:top w:val="none" w:sz="0" w:space="0" w:color="auto"/>
        <w:left w:val="none" w:sz="0" w:space="0" w:color="auto"/>
        <w:bottom w:val="none" w:sz="0" w:space="0" w:color="auto"/>
        <w:right w:val="none" w:sz="0" w:space="0" w:color="auto"/>
      </w:divBdr>
    </w:div>
    <w:div w:id="1344162944">
      <w:bodyDiv w:val="1"/>
      <w:marLeft w:val="0"/>
      <w:marRight w:val="0"/>
      <w:marTop w:val="0"/>
      <w:marBottom w:val="0"/>
      <w:divBdr>
        <w:top w:val="none" w:sz="0" w:space="0" w:color="auto"/>
        <w:left w:val="none" w:sz="0" w:space="0" w:color="auto"/>
        <w:bottom w:val="none" w:sz="0" w:space="0" w:color="auto"/>
        <w:right w:val="none" w:sz="0" w:space="0" w:color="auto"/>
      </w:divBdr>
      <w:divsChild>
        <w:div w:id="1762408434">
          <w:marLeft w:val="547"/>
          <w:marRight w:val="0"/>
          <w:marTop w:val="0"/>
          <w:marBottom w:val="0"/>
          <w:divBdr>
            <w:top w:val="none" w:sz="0" w:space="0" w:color="auto"/>
            <w:left w:val="none" w:sz="0" w:space="0" w:color="auto"/>
            <w:bottom w:val="none" w:sz="0" w:space="0" w:color="auto"/>
            <w:right w:val="none" w:sz="0" w:space="0" w:color="auto"/>
          </w:divBdr>
        </w:div>
      </w:divsChild>
    </w:div>
    <w:div w:id="1358771839">
      <w:bodyDiv w:val="1"/>
      <w:marLeft w:val="0"/>
      <w:marRight w:val="0"/>
      <w:marTop w:val="0"/>
      <w:marBottom w:val="0"/>
      <w:divBdr>
        <w:top w:val="none" w:sz="0" w:space="0" w:color="auto"/>
        <w:left w:val="none" w:sz="0" w:space="0" w:color="auto"/>
        <w:bottom w:val="none" w:sz="0" w:space="0" w:color="auto"/>
        <w:right w:val="none" w:sz="0" w:space="0" w:color="auto"/>
      </w:divBdr>
      <w:divsChild>
        <w:div w:id="2041780715">
          <w:marLeft w:val="547"/>
          <w:marRight w:val="0"/>
          <w:marTop w:val="0"/>
          <w:marBottom w:val="0"/>
          <w:divBdr>
            <w:top w:val="none" w:sz="0" w:space="0" w:color="auto"/>
            <w:left w:val="none" w:sz="0" w:space="0" w:color="auto"/>
            <w:bottom w:val="none" w:sz="0" w:space="0" w:color="auto"/>
            <w:right w:val="none" w:sz="0" w:space="0" w:color="auto"/>
          </w:divBdr>
        </w:div>
      </w:divsChild>
    </w:div>
    <w:div w:id="1379821528">
      <w:bodyDiv w:val="1"/>
      <w:marLeft w:val="0"/>
      <w:marRight w:val="0"/>
      <w:marTop w:val="0"/>
      <w:marBottom w:val="0"/>
      <w:divBdr>
        <w:top w:val="none" w:sz="0" w:space="0" w:color="auto"/>
        <w:left w:val="none" w:sz="0" w:space="0" w:color="auto"/>
        <w:bottom w:val="none" w:sz="0" w:space="0" w:color="auto"/>
        <w:right w:val="none" w:sz="0" w:space="0" w:color="auto"/>
      </w:divBdr>
    </w:div>
    <w:div w:id="1385376503">
      <w:bodyDiv w:val="1"/>
      <w:marLeft w:val="0"/>
      <w:marRight w:val="0"/>
      <w:marTop w:val="0"/>
      <w:marBottom w:val="0"/>
      <w:divBdr>
        <w:top w:val="none" w:sz="0" w:space="0" w:color="auto"/>
        <w:left w:val="none" w:sz="0" w:space="0" w:color="auto"/>
        <w:bottom w:val="none" w:sz="0" w:space="0" w:color="auto"/>
        <w:right w:val="none" w:sz="0" w:space="0" w:color="auto"/>
      </w:divBdr>
    </w:div>
    <w:div w:id="1388143860">
      <w:bodyDiv w:val="1"/>
      <w:marLeft w:val="0"/>
      <w:marRight w:val="0"/>
      <w:marTop w:val="0"/>
      <w:marBottom w:val="0"/>
      <w:divBdr>
        <w:top w:val="none" w:sz="0" w:space="0" w:color="auto"/>
        <w:left w:val="none" w:sz="0" w:space="0" w:color="auto"/>
        <w:bottom w:val="none" w:sz="0" w:space="0" w:color="auto"/>
        <w:right w:val="none" w:sz="0" w:space="0" w:color="auto"/>
      </w:divBdr>
    </w:div>
    <w:div w:id="1399279651">
      <w:bodyDiv w:val="1"/>
      <w:marLeft w:val="0"/>
      <w:marRight w:val="0"/>
      <w:marTop w:val="0"/>
      <w:marBottom w:val="0"/>
      <w:divBdr>
        <w:top w:val="none" w:sz="0" w:space="0" w:color="auto"/>
        <w:left w:val="none" w:sz="0" w:space="0" w:color="auto"/>
        <w:bottom w:val="none" w:sz="0" w:space="0" w:color="auto"/>
        <w:right w:val="none" w:sz="0" w:space="0" w:color="auto"/>
      </w:divBdr>
      <w:divsChild>
        <w:div w:id="1947618952">
          <w:marLeft w:val="547"/>
          <w:marRight w:val="0"/>
          <w:marTop w:val="0"/>
          <w:marBottom w:val="0"/>
          <w:divBdr>
            <w:top w:val="none" w:sz="0" w:space="0" w:color="auto"/>
            <w:left w:val="none" w:sz="0" w:space="0" w:color="auto"/>
            <w:bottom w:val="none" w:sz="0" w:space="0" w:color="auto"/>
            <w:right w:val="none" w:sz="0" w:space="0" w:color="auto"/>
          </w:divBdr>
        </w:div>
      </w:divsChild>
    </w:div>
    <w:div w:id="1399668643">
      <w:bodyDiv w:val="1"/>
      <w:marLeft w:val="0"/>
      <w:marRight w:val="0"/>
      <w:marTop w:val="0"/>
      <w:marBottom w:val="0"/>
      <w:divBdr>
        <w:top w:val="none" w:sz="0" w:space="0" w:color="auto"/>
        <w:left w:val="none" w:sz="0" w:space="0" w:color="auto"/>
        <w:bottom w:val="none" w:sz="0" w:space="0" w:color="auto"/>
        <w:right w:val="none" w:sz="0" w:space="0" w:color="auto"/>
      </w:divBdr>
      <w:divsChild>
        <w:div w:id="2090076950">
          <w:marLeft w:val="547"/>
          <w:marRight w:val="0"/>
          <w:marTop w:val="0"/>
          <w:marBottom w:val="0"/>
          <w:divBdr>
            <w:top w:val="none" w:sz="0" w:space="0" w:color="auto"/>
            <w:left w:val="none" w:sz="0" w:space="0" w:color="auto"/>
            <w:bottom w:val="none" w:sz="0" w:space="0" w:color="auto"/>
            <w:right w:val="none" w:sz="0" w:space="0" w:color="auto"/>
          </w:divBdr>
        </w:div>
        <w:div w:id="1351564017">
          <w:marLeft w:val="547"/>
          <w:marRight w:val="0"/>
          <w:marTop w:val="0"/>
          <w:marBottom w:val="0"/>
          <w:divBdr>
            <w:top w:val="none" w:sz="0" w:space="0" w:color="auto"/>
            <w:left w:val="none" w:sz="0" w:space="0" w:color="auto"/>
            <w:bottom w:val="none" w:sz="0" w:space="0" w:color="auto"/>
            <w:right w:val="none" w:sz="0" w:space="0" w:color="auto"/>
          </w:divBdr>
        </w:div>
      </w:divsChild>
    </w:div>
    <w:div w:id="1406760971">
      <w:bodyDiv w:val="1"/>
      <w:marLeft w:val="0"/>
      <w:marRight w:val="0"/>
      <w:marTop w:val="0"/>
      <w:marBottom w:val="0"/>
      <w:divBdr>
        <w:top w:val="none" w:sz="0" w:space="0" w:color="auto"/>
        <w:left w:val="none" w:sz="0" w:space="0" w:color="auto"/>
        <w:bottom w:val="none" w:sz="0" w:space="0" w:color="auto"/>
        <w:right w:val="none" w:sz="0" w:space="0" w:color="auto"/>
      </w:divBdr>
    </w:div>
    <w:div w:id="1417509735">
      <w:bodyDiv w:val="1"/>
      <w:marLeft w:val="0"/>
      <w:marRight w:val="0"/>
      <w:marTop w:val="0"/>
      <w:marBottom w:val="0"/>
      <w:divBdr>
        <w:top w:val="none" w:sz="0" w:space="0" w:color="auto"/>
        <w:left w:val="none" w:sz="0" w:space="0" w:color="auto"/>
        <w:bottom w:val="none" w:sz="0" w:space="0" w:color="auto"/>
        <w:right w:val="none" w:sz="0" w:space="0" w:color="auto"/>
      </w:divBdr>
    </w:div>
    <w:div w:id="1437871102">
      <w:bodyDiv w:val="1"/>
      <w:marLeft w:val="0"/>
      <w:marRight w:val="0"/>
      <w:marTop w:val="0"/>
      <w:marBottom w:val="0"/>
      <w:divBdr>
        <w:top w:val="none" w:sz="0" w:space="0" w:color="auto"/>
        <w:left w:val="none" w:sz="0" w:space="0" w:color="auto"/>
        <w:bottom w:val="none" w:sz="0" w:space="0" w:color="auto"/>
        <w:right w:val="none" w:sz="0" w:space="0" w:color="auto"/>
      </w:divBdr>
    </w:div>
    <w:div w:id="1455056816">
      <w:bodyDiv w:val="1"/>
      <w:marLeft w:val="0"/>
      <w:marRight w:val="0"/>
      <w:marTop w:val="0"/>
      <w:marBottom w:val="0"/>
      <w:divBdr>
        <w:top w:val="none" w:sz="0" w:space="0" w:color="auto"/>
        <w:left w:val="none" w:sz="0" w:space="0" w:color="auto"/>
        <w:bottom w:val="none" w:sz="0" w:space="0" w:color="auto"/>
        <w:right w:val="none" w:sz="0" w:space="0" w:color="auto"/>
      </w:divBdr>
    </w:div>
    <w:div w:id="1460994352">
      <w:bodyDiv w:val="1"/>
      <w:marLeft w:val="0"/>
      <w:marRight w:val="0"/>
      <w:marTop w:val="0"/>
      <w:marBottom w:val="0"/>
      <w:divBdr>
        <w:top w:val="none" w:sz="0" w:space="0" w:color="auto"/>
        <w:left w:val="none" w:sz="0" w:space="0" w:color="auto"/>
        <w:bottom w:val="none" w:sz="0" w:space="0" w:color="auto"/>
        <w:right w:val="none" w:sz="0" w:space="0" w:color="auto"/>
      </w:divBdr>
      <w:divsChild>
        <w:div w:id="81532750">
          <w:marLeft w:val="0"/>
          <w:marRight w:val="0"/>
          <w:marTop w:val="0"/>
          <w:marBottom w:val="0"/>
          <w:divBdr>
            <w:top w:val="none" w:sz="0" w:space="0" w:color="auto"/>
            <w:left w:val="none" w:sz="0" w:space="0" w:color="auto"/>
            <w:bottom w:val="none" w:sz="0" w:space="0" w:color="auto"/>
            <w:right w:val="none" w:sz="0" w:space="0" w:color="auto"/>
          </w:divBdr>
        </w:div>
        <w:div w:id="1583837564">
          <w:marLeft w:val="0"/>
          <w:marRight w:val="0"/>
          <w:marTop w:val="0"/>
          <w:marBottom w:val="0"/>
          <w:divBdr>
            <w:top w:val="none" w:sz="0" w:space="0" w:color="auto"/>
            <w:left w:val="none" w:sz="0" w:space="0" w:color="auto"/>
            <w:bottom w:val="none" w:sz="0" w:space="0" w:color="auto"/>
            <w:right w:val="none" w:sz="0" w:space="0" w:color="auto"/>
          </w:divBdr>
          <w:divsChild>
            <w:div w:id="1033926206">
              <w:marLeft w:val="0"/>
              <w:marRight w:val="0"/>
              <w:marTop w:val="0"/>
              <w:marBottom w:val="0"/>
              <w:divBdr>
                <w:top w:val="none" w:sz="0" w:space="0" w:color="auto"/>
                <w:left w:val="none" w:sz="0" w:space="0" w:color="auto"/>
                <w:bottom w:val="none" w:sz="0" w:space="0" w:color="auto"/>
                <w:right w:val="none" w:sz="0" w:space="0" w:color="auto"/>
              </w:divBdr>
              <w:divsChild>
                <w:div w:id="862091010">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480002890">
      <w:bodyDiv w:val="1"/>
      <w:marLeft w:val="0"/>
      <w:marRight w:val="0"/>
      <w:marTop w:val="0"/>
      <w:marBottom w:val="0"/>
      <w:divBdr>
        <w:top w:val="none" w:sz="0" w:space="0" w:color="auto"/>
        <w:left w:val="none" w:sz="0" w:space="0" w:color="auto"/>
        <w:bottom w:val="none" w:sz="0" w:space="0" w:color="auto"/>
        <w:right w:val="none" w:sz="0" w:space="0" w:color="auto"/>
      </w:divBdr>
    </w:div>
    <w:div w:id="1480078903">
      <w:bodyDiv w:val="1"/>
      <w:marLeft w:val="0"/>
      <w:marRight w:val="0"/>
      <w:marTop w:val="0"/>
      <w:marBottom w:val="0"/>
      <w:divBdr>
        <w:top w:val="none" w:sz="0" w:space="0" w:color="auto"/>
        <w:left w:val="none" w:sz="0" w:space="0" w:color="auto"/>
        <w:bottom w:val="none" w:sz="0" w:space="0" w:color="auto"/>
        <w:right w:val="none" w:sz="0" w:space="0" w:color="auto"/>
      </w:divBdr>
    </w:div>
    <w:div w:id="1504082954">
      <w:bodyDiv w:val="1"/>
      <w:marLeft w:val="0"/>
      <w:marRight w:val="0"/>
      <w:marTop w:val="0"/>
      <w:marBottom w:val="0"/>
      <w:divBdr>
        <w:top w:val="none" w:sz="0" w:space="0" w:color="auto"/>
        <w:left w:val="none" w:sz="0" w:space="0" w:color="auto"/>
        <w:bottom w:val="none" w:sz="0" w:space="0" w:color="auto"/>
        <w:right w:val="none" w:sz="0" w:space="0" w:color="auto"/>
      </w:divBdr>
    </w:div>
    <w:div w:id="1504856626">
      <w:bodyDiv w:val="1"/>
      <w:marLeft w:val="0"/>
      <w:marRight w:val="0"/>
      <w:marTop w:val="0"/>
      <w:marBottom w:val="0"/>
      <w:divBdr>
        <w:top w:val="none" w:sz="0" w:space="0" w:color="auto"/>
        <w:left w:val="none" w:sz="0" w:space="0" w:color="auto"/>
        <w:bottom w:val="none" w:sz="0" w:space="0" w:color="auto"/>
        <w:right w:val="none" w:sz="0" w:space="0" w:color="auto"/>
      </w:divBdr>
    </w:div>
    <w:div w:id="1515683184">
      <w:bodyDiv w:val="1"/>
      <w:marLeft w:val="0"/>
      <w:marRight w:val="0"/>
      <w:marTop w:val="0"/>
      <w:marBottom w:val="0"/>
      <w:divBdr>
        <w:top w:val="none" w:sz="0" w:space="0" w:color="auto"/>
        <w:left w:val="none" w:sz="0" w:space="0" w:color="auto"/>
        <w:bottom w:val="none" w:sz="0" w:space="0" w:color="auto"/>
        <w:right w:val="none" w:sz="0" w:space="0" w:color="auto"/>
      </w:divBdr>
    </w:div>
    <w:div w:id="1529374907">
      <w:bodyDiv w:val="1"/>
      <w:marLeft w:val="0"/>
      <w:marRight w:val="0"/>
      <w:marTop w:val="0"/>
      <w:marBottom w:val="0"/>
      <w:divBdr>
        <w:top w:val="none" w:sz="0" w:space="0" w:color="auto"/>
        <w:left w:val="none" w:sz="0" w:space="0" w:color="auto"/>
        <w:bottom w:val="none" w:sz="0" w:space="0" w:color="auto"/>
        <w:right w:val="none" w:sz="0" w:space="0" w:color="auto"/>
      </w:divBdr>
    </w:div>
    <w:div w:id="1537962208">
      <w:bodyDiv w:val="1"/>
      <w:marLeft w:val="0"/>
      <w:marRight w:val="0"/>
      <w:marTop w:val="0"/>
      <w:marBottom w:val="0"/>
      <w:divBdr>
        <w:top w:val="none" w:sz="0" w:space="0" w:color="auto"/>
        <w:left w:val="none" w:sz="0" w:space="0" w:color="auto"/>
        <w:bottom w:val="none" w:sz="0" w:space="0" w:color="auto"/>
        <w:right w:val="none" w:sz="0" w:space="0" w:color="auto"/>
      </w:divBdr>
      <w:divsChild>
        <w:div w:id="1491796915">
          <w:marLeft w:val="547"/>
          <w:marRight w:val="0"/>
          <w:marTop w:val="200"/>
          <w:marBottom w:val="0"/>
          <w:divBdr>
            <w:top w:val="none" w:sz="0" w:space="0" w:color="auto"/>
            <w:left w:val="none" w:sz="0" w:space="0" w:color="auto"/>
            <w:bottom w:val="none" w:sz="0" w:space="0" w:color="auto"/>
            <w:right w:val="none" w:sz="0" w:space="0" w:color="auto"/>
          </w:divBdr>
        </w:div>
        <w:div w:id="1111172463">
          <w:marLeft w:val="547"/>
          <w:marRight w:val="0"/>
          <w:marTop w:val="200"/>
          <w:marBottom w:val="0"/>
          <w:divBdr>
            <w:top w:val="none" w:sz="0" w:space="0" w:color="auto"/>
            <w:left w:val="none" w:sz="0" w:space="0" w:color="auto"/>
            <w:bottom w:val="none" w:sz="0" w:space="0" w:color="auto"/>
            <w:right w:val="none" w:sz="0" w:space="0" w:color="auto"/>
          </w:divBdr>
        </w:div>
        <w:div w:id="1639725447">
          <w:marLeft w:val="547"/>
          <w:marRight w:val="0"/>
          <w:marTop w:val="200"/>
          <w:marBottom w:val="0"/>
          <w:divBdr>
            <w:top w:val="none" w:sz="0" w:space="0" w:color="auto"/>
            <w:left w:val="none" w:sz="0" w:space="0" w:color="auto"/>
            <w:bottom w:val="none" w:sz="0" w:space="0" w:color="auto"/>
            <w:right w:val="none" w:sz="0" w:space="0" w:color="auto"/>
          </w:divBdr>
        </w:div>
        <w:div w:id="1184637842">
          <w:marLeft w:val="547"/>
          <w:marRight w:val="0"/>
          <w:marTop w:val="200"/>
          <w:marBottom w:val="0"/>
          <w:divBdr>
            <w:top w:val="none" w:sz="0" w:space="0" w:color="auto"/>
            <w:left w:val="none" w:sz="0" w:space="0" w:color="auto"/>
            <w:bottom w:val="none" w:sz="0" w:space="0" w:color="auto"/>
            <w:right w:val="none" w:sz="0" w:space="0" w:color="auto"/>
          </w:divBdr>
        </w:div>
        <w:div w:id="970282240">
          <w:marLeft w:val="547"/>
          <w:marRight w:val="0"/>
          <w:marTop w:val="200"/>
          <w:marBottom w:val="0"/>
          <w:divBdr>
            <w:top w:val="none" w:sz="0" w:space="0" w:color="auto"/>
            <w:left w:val="none" w:sz="0" w:space="0" w:color="auto"/>
            <w:bottom w:val="none" w:sz="0" w:space="0" w:color="auto"/>
            <w:right w:val="none" w:sz="0" w:space="0" w:color="auto"/>
          </w:divBdr>
        </w:div>
        <w:div w:id="1828933163">
          <w:marLeft w:val="547"/>
          <w:marRight w:val="0"/>
          <w:marTop w:val="200"/>
          <w:marBottom w:val="0"/>
          <w:divBdr>
            <w:top w:val="none" w:sz="0" w:space="0" w:color="auto"/>
            <w:left w:val="none" w:sz="0" w:space="0" w:color="auto"/>
            <w:bottom w:val="none" w:sz="0" w:space="0" w:color="auto"/>
            <w:right w:val="none" w:sz="0" w:space="0" w:color="auto"/>
          </w:divBdr>
        </w:div>
      </w:divsChild>
    </w:div>
    <w:div w:id="1547984514">
      <w:bodyDiv w:val="1"/>
      <w:marLeft w:val="0"/>
      <w:marRight w:val="0"/>
      <w:marTop w:val="0"/>
      <w:marBottom w:val="0"/>
      <w:divBdr>
        <w:top w:val="none" w:sz="0" w:space="0" w:color="auto"/>
        <w:left w:val="none" w:sz="0" w:space="0" w:color="auto"/>
        <w:bottom w:val="none" w:sz="0" w:space="0" w:color="auto"/>
        <w:right w:val="none" w:sz="0" w:space="0" w:color="auto"/>
      </w:divBdr>
    </w:div>
    <w:div w:id="1552418305">
      <w:bodyDiv w:val="1"/>
      <w:marLeft w:val="0"/>
      <w:marRight w:val="0"/>
      <w:marTop w:val="0"/>
      <w:marBottom w:val="0"/>
      <w:divBdr>
        <w:top w:val="none" w:sz="0" w:space="0" w:color="auto"/>
        <w:left w:val="none" w:sz="0" w:space="0" w:color="auto"/>
        <w:bottom w:val="none" w:sz="0" w:space="0" w:color="auto"/>
        <w:right w:val="none" w:sz="0" w:space="0" w:color="auto"/>
      </w:divBdr>
    </w:div>
    <w:div w:id="1555003175">
      <w:bodyDiv w:val="1"/>
      <w:marLeft w:val="0"/>
      <w:marRight w:val="0"/>
      <w:marTop w:val="0"/>
      <w:marBottom w:val="0"/>
      <w:divBdr>
        <w:top w:val="none" w:sz="0" w:space="0" w:color="auto"/>
        <w:left w:val="none" w:sz="0" w:space="0" w:color="auto"/>
        <w:bottom w:val="none" w:sz="0" w:space="0" w:color="auto"/>
        <w:right w:val="none" w:sz="0" w:space="0" w:color="auto"/>
      </w:divBdr>
    </w:div>
    <w:div w:id="1557818903">
      <w:bodyDiv w:val="1"/>
      <w:marLeft w:val="0"/>
      <w:marRight w:val="0"/>
      <w:marTop w:val="0"/>
      <w:marBottom w:val="0"/>
      <w:divBdr>
        <w:top w:val="none" w:sz="0" w:space="0" w:color="auto"/>
        <w:left w:val="none" w:sz="0" w:space="0" w:color="auto"/>
        <w:bottom w:val="none" w:sz="0" w:space="0" w:color="auto"/>
        <w:right w:val="none" w:sz="0" w:space="0" w:color="auto"/>
      </w:divBdr>
      <w:divsChild>
        <w:div w:id="474929">
          <w:marLeft w:val="547"/>
          <w:marRight w:val="0"/>
          <w:marTop w:val="0"/>
          <w:marBottom w:val="0"/>
          <w:divBdr>
            <w:top w:val="none" w:sz="0" w:space="0" w:color="auto"/>
            <w:left w:val="none" w:sz="0" w:space="0" w:color="auto"/>
            <w:bottom w:val="none" w:sz="0" w:space="0" w:color="auto"/>
            <w:right w:val="none" w:sz="0" w:space="0" w:color="auto"/>
          </w:divBdr>
        </w:div>
      </w:divsChild>
    </w:div>
    <w:div w:id="1559248156">
      <w:bodyDiv w:val="1"/>
      <w:marLeft w:val="0"/>
      <w:marRight w:val="0"/>
      <w:marTop w:val="0"/>
      <w:marBottom w:val="0"/>
      <w:divBdr>
        <w:top w:val="none" w:sz="0" w:space="0" w:color="auto"/>
        <w:left w:val="none" w:sz="0" w:space="0" w:color="auto"/>
        <w:bottom w:val="none" w:sz="0" w:space="0" w:color="auto"/>
        <w:right w:val="none" w:sz="0" w:space="0" w:color="auto"/>
      </w:divBdr>
    </w:div>
    <w:div w:id="1564490202">
      <w:bodyDiv w:val="1"/>
      <w:marLeft w:val="0"/>
      <w:marRight w:val="0"/>
      <w:marTop w:val="0"/>
      <w:marBottom w:val="0"/>
      <w:divBdr>
        <w:top w:val="none" w:sz="0" w:space="0" w:color="auto"/>
        <w:left w:val="none" w:sz="0" w:space="0" w:color="auto"/>
        <w:bottom w:val="none" w:sz="0" w:space="0" w:color="auto"/>
        <w:right w:val="none" w:sz="0" w:space="0" w:color="auto"/>
      </w:divBdr>
      <w:divsChild>
        <w:div w:id="548689747">
          <w:marLeft w:val="547"/>
          <w:marRight w:val="0"/>
          <w:marTop w:val="0"/>
          <w:marBottom w:val="0"/>
          <w:divBdr>
            <w:top w:val="none" w:sz="0" w:space="0" w:color="auto"/>
            <w:left w:val="none" w:sz="0" w:space="0" w:color="auto"/>
            <w:bottom w:val="none" w:sz="0" w:space="0" w:color="auto"/>
            <w:right w:val="none" w:sz="0" w:space="0" w:color="auto"/>
          </w:divBdr>
        </w:div>
        <w:div w:id="1949972072">
          <w:marLeft w:val="547"/>
          <w:marRight w:val="0"/>
          <w:marTop w:val="0"/>
          <w:marBottom w:val="0"/>
          <w:divBdr>
            <w:top w:val="none" w:sz="0" w:space="0" w:color="auto"/>
            <w:left w:val="none" w:sz="0" w:space="0" w:color="auto"/>
            <w:bottom w:val="none" w:sz="0" w:space="0" w:color="auto"/>
            <w:right w:val="none" w:sz="0" w:space="0" w:color="auto"/>
          </w:divBdr>
        </w:div>
      </w:divsChild>
    </w:div>
    <w:div w:id="1565871198">
      <w:bodyDiv w:val="1"/>
      <w:marLeft w:val="0"/>
      <w:marRight w:val="0"/>
      <w:marTop w:val="0"/>
      <w:marBottom w:val="0"/>
      <w:divBdr>
        <w:top w:val="none" w:sz="0" w:space="0" w:color="auto"/>
        <w:left w:val="none" w:sz="0" w:space="0" w:color="auto"/>
        <w:bottom w:val="none" w:sz="0" w:space="0" w:color="auto"/>
        <w:right w:val="none" w:sz="0" w:space="0" w:color="auto"/>
      </w:divBdr>
      <w:divsChild>
        <w:div w:id="688220580">
          <w:marLeft w:val="547"/>
          <w:marRight w:val="0"/>
          <w:marTop w:val="200"/>
          <w:marBottom w:val="0"/>
          <w:divBdr>
            <w:top w:val="none" w:sz="0" w:space="0" w:color="auto"/>
            <w:left w:val="none" w:sz="0" w:space="0" w:color="auto"/>
            <w:bottom w:val="none" w:sz="0" w:space="0" w:color="auto"/>
            <w:right w:val="none" w:sz="0" w:space="0" w:color="auto"/>
          </w:divBdr>
        </w:div>
      </w:divsChild>
    </w:div>
    <w:div w:id="1569221318">
      <w:bodyDiv w:val="1"/>
      <w:marLeft w:val="0"/>
      <w:marRight w:val="0"/>
      <w:marTop w:val="0"/>
      <w:marBottom w:val="0"/>
      <w:divBdr>
        <w:top w:val="none" w:sz="0" w:space="0" w:color="auto"/>
        <w:left w:val="none" w:sz="0" w:space="0" w:color="auto"/>
        <w:bottom w:val="none" w:sz="0" w:space="0" w:color="auto"/>
        <w:right w:val="none" w:sz="0" w:space="0" w:color="auto"/>
      </w:divBdr>
      <w:divsChild>
        <w:div w:id="587931583">
          <w:marLeft w:val="0"/>
          <w:marRight w:val="0"/>
          <w:marTop w:val="0"/>
          <w:marBottom w:val="0"/>
          <w:divBdr>
            <w:top w:val="none" w:sz="0" w:space="0" w:color="auto"/>
            <w:left w:val="none" w:sz="0" w:space="0" w:color="auto"/>
            <w:bottom w:val="none" w:sz="0" w:space="0" w:color="auto"/>
            <w:right w:val="none" w:sz="0" w:space="0" w:color="auto"/>
          </w:divBdr>
          <w:divsChild>
            <w:div w:id="39596537">
              <w:marLeft w:val="120"/>
              <w:marRight w:val="0"/>
              <w:marTop w:val="0"/>
              <w:marBottom w:val="0"/>
              <w:divBdr>
                <w:top w:val="none" w:sz="0" w:space="0" w:color="auto"/>
                <w:left w:val="none" w:sz="0" w:space="0" w:color="auto"/>
                <w:bottom w:val="none" w:sz="0" w:space="0" w:color="auto"/>
                <w:right w:val="none" w:sz="0" w:space="0" w:color="auto"/>
              </w:divBdr>
              <w:divsChild>
                <w:div w:id="415321740">
                  <w:marLeft w:val="0"/>
                  <w:marRight w:val="0"/>
                  <w:marTop w:val="0"/>
                  <w:marBottom w:val="0"/>
                  <w:divBdr>
                    <w:top w:val="none" w:sz="0" w:space="0" w:color="auto"/>
                    <w:left w:val="none" w:sz="0" w:space="0" w:color="auto"/>
                    <w:bottom w:val="none" w:sz="0" w:space="0" w:color="auto"/>
                    <w:right w:val="none" w:sz="0" w:space="0" w:color="auto"/>
                  </w:divBdr>
                </w:div>
              </w:divsChild>
            </w:div>
            <w:div w:id="588925158">
              <w:marLeft w:val="0"/>
              <w:marRight w:val="0"/>
              <w:marTop w:val="0"/>
              <w:marBottom w:val="0"/>
              <w:divBdr>
                <w:top w:val="none" w:sz="0" w:space="0" w:color="auto"/>
                <w:left w:val="none" w:sz="0" w:space="0" w:color="auto"/>
                <w:bottom w:val="none" w:sz="0" w:space="0" w:color="auto"/>
                <w:right w:val="none" w:sz="0" w:space="0" w:color="auto"/>
              </w:divBdr>
            </w:div>
            <w:div w:id="1250889693">
              <w:marLeft w:val="0"/>
              <w:marRight w:val="0"/>
              <w:marTop w:val="0"/>
              <w:marBottom w:val="0"/>
              <w:divBdr>
                <w:top w:val="none" w:sz="0" w:space="0" w:color="auto"/>
                <w:left w:val="none" w:sz="0" w:space="0" w:color="auto"/>
                <w:bottom w:val="none" w:sz="0" w:space="0" w:color="auto"/>
                <w:right w:val="none" w:sz="0" w:space="0" w:color="auto"/>
              </w:divBdr>
            </w:div>
          </w:divsChild>
        </w:div>
        <w:div w:id="687751328">
          <w:marLeft w:val="0"/>
          <w:marRight w:val="0"/>
          <w:marTop w:val="166"/>
          <w:marBottom w:val="166"/>
          <w:divBdr>
            <w:top w:val="none" w:sz="0" w:space="0" w:color="auto"/>
            <w:left w:val="none" w:sz="0" w:space="0" w:color="auto"/>
            <w:bottom w:val="none" w:sz="0" w:space="0" w:color="auto"/>
            <w:right w:val="none" w:sz="0" w:space="0" w:color="auto"/>
          </w:divBdr>
          <w:divsChild>
            <w:div w:id="522522009">
              <w:marLeft w:val="0"/>
              <w:marRight w:val="0"/>
              <w:marTop w:val="0"/>
              <w:marBottom w:val="0"/>
              <w:divBdr>
                <w:top w:val="none" w:sz="0" w:space="0" w:color="auto"/>
                <w:left w:val="none" w:sz="0" w:space="0" w:color="auto"/>
                <w:bottom w:val="none" w:sz="0" w:space="0" w:color="auto"/>
                <w:right w:val="none" w:sz="0" w:space="0" w:color="auto"/>
              </w:divBdr>
            </w:div>
          </w:divsChild>
        </w:div>
        <w:div w:id="855190538">
          <w:marLeft w:val="240"/>
          <w:marRight w:val="0"/>
          <w:marTop w:val="0"/>
          <w:marBottom w:val="0"/>
          <w:divBdr>
            <w:top w:val="none" w:sz="0" w:space="0" w:color="auto"/>
            <w:left w:val="none" w:sz="0" w:space="0" w:color="auto"/>
            <w:bottom w:val="none" w:sz="0" w:space="0" w:color="auto"/>
            <w:right w:val="none" w:sz="0" w:space="0" w:color="auto"/>
          </w:divBdr>
          <w:divsChild>
            <w:div w:id="977764015">
              <w:marLeft w:val="0"/>
              <w:marRight w:val="0"/>
              <w:marTop w:val="0"/>
              <w:marBottom w:val="0"/>
              <w:divBdr>
                <w:top w:val="none" w:sz="0" w:space="0" w:color="auto"/>
                <w:left w:val="none" w:sz="0" w:space="0" w:color="auto"/>
                <w:bottom w:val="none" w:sz="0" w:space="0" w:color="auto"/>
                <w:right w:val="none" w:sz="0" w:space="0" w:color="auto"/>
              </w:divBdr>
            </w:div>
            <w:div w:id="1027802034">
              <w:marLeft w:val="0"/>
              <w:marRight w:val="0"/>
              <w:marTop w:val="0"/>
              <w:marBottom w:val="0"/>
              <w:divBdr>
                <w:top w:val="none" w:sz="0" w:space="0" w:color="auto"/>
                <w:left w:val="none" w:sz="0" w:space="0" w:color="auto"/>
                <w:bottom w:val="none" w:sz="0" w:space="0" w:color="auto"/>
                <w:right w:val="none" w:sz="0" w:space="0" w:color="auto"/>
              </w:divBdr>
            </w:div>
            <w:div w:id="211146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381304">
      <w:bodyDiv w:val="1"/>
      <w:marLeft w:val="0"/>
      <w:marRight w:val="0"/>
      <w:marTop w:val="0"/>
      <w:marBottom w:val="0"/>
      <w:divBdr>
        <w:top w:val="none" w:sz="0" w:space="0" w:color="auto"/>
        <w:left w:val="none" w:sz="0" w:space="0" w:color="auto"/>
        <w:bottom w:val="none" w:sz="0" w:space="0" w:color="auto"/>
        <w:right w:val="none" w:sz="0" w:space="0" w:color="auto"/>
      </w:divBdr>
    </w:div>
    <w:div w:id="1572276942">
      <w:bodyDiv w:val="1"/>
      <w:marLeft w:val="0"/>
      <w:marRight w:val="0"/>
      <w:marTop w:val="0"/>
      <w:marBottom w:val="0"/>
      <w:divBdr>
        <w:top w:val="none" w:sz="0" w:space="0" w:color="auto"/>
        <w:left w:val="none" w:sz="0" w:space="0" w:color="auto"/>
        <w:bottom w:val="none" w:sz="0" w:space="0" w:color="auto"/>
        <w:right w:val="none" w:sz="0" w:space="0" w:color="auto"/>
      </w:divBdr>
      <w:divsChild>
        <w:div w:id="1569729531">
          <w:marLeft w:val="547"/>
          <w:marRight w:val="0"/>
          <w:marTop w:val="0"/>
          <w:marBottom w:val="0"/>
          <w:divBdr>
            <w:top w:val="none" w:sz="0" w:space="0" w:color="auto"/>
            <w:left w:val="none" w:sz="0" w:space="0" w:color="auto"/>
            <w:bottom w:val="none" w:sz="0" w:space="0" w:color="auto"/>
            <w:right w:val="none" w:sz="0" w:space="0" w:color="auto"/>
          </w:divBdr>
        </w:div>
      </w:divsChild>
    </w:div>
    <w:div w:id="1578980203">
      <w:bodyDiv w:val="1"/>
      <w:marLeft w:val="0"/>
      <w:marRight w:val="0"/>
      <w:marTop w:val="0"/>
      <w:marBottom w:val="0"/>
      <w:divBdr>
        <w:top w:val="none" w:sz="0" w:space="0" w:color="auto"/>
        <w:left w:val="none" w:sz="0" w:space="0" w:color="auto"/>
        <w:bottom w:val="none" w:sz="0" w:space="0" w:color="auto"/>
        <w:right w:val="none" w:sz="0" w:space="0" w:color="auto"/>
      </w:divBdr>
    </w:div>
    <w:div w:id="1584872157">
      <w:bodyDiv w:val="1"/>
      <w:marLeft w:val="0"/>
      <w:marRight w:val="0"/>
      <w:marTop w:val="0"/>
      <w:marBottom w:val="0"/>
      <w:divBdr>
        <w:top w:val="none" w:sz="0" w:space="0" w:color="auto"/>
        <w:left w:val="none" w:sz="0" w:space="0" w:color="auto"/>
        <w:bottom w:val="none" w:sz="0" w:space="0" w:color="auto"/>
        <w:right w:val="none" w:sz="0" w:space="0" w:color="auto"/>
      </w:divBdr>
    </w:div>
    <w:div w:id="1596396562">
      <w:bodyDiv w:val="1"/>
      <w:marLeft w:val="0"/>
      <w:marRight w:val="0"/>
      <w:marTop w:val="0"/>
      <w:marBottom w:val="0"/>
      <w:divBdr>
        <w:top w:val="none" w:sz="0" w:space="0" w:color="auto"/>
        <w:left w:val="none" w:sz="0" w:space="0" w:color="auto"/>
        <w:bottom w:val="none" w:sz="0" w:space="0" w:color="auto"/>
        <w:right w:val="none" w:sz="0" w:space="0" w:color="auto"/>
      </w:divBdr>
      <w:divsChild>
        <w:div w:id="1844396216">
          <w:marLeft w:val="547"/>
          <w:marRight w:val="0"/>
          <w:marTop w:val="0"/>
          <w:marBottom w:val="0"/>
          <w:divBdr>
            <w:top w:val="none" w:sz="0" w:space="0" w:color="auto"/>
            <w:left w:val="none" w:sz="0" w:space="0" w:color="auto"/>
            <w:bottom w:val="none" w:sz="0" w:space="0" w:color="auto"/>
            <w:right w:val="none" w:sz="0" w:space="0" w:color="auto"/>
          </w:divBdr>
        </w:div>
      </w:divsChild>
    </w:div>
    <w:div w:id="1620187022">
      <w:bodyDiv w:val="1"/>
      <w:marLeft w:val="0"/>
      <w:marRight w:val="0"/>
      <w:marTop w:val="0"/>
      <w:marBottom w:val="0"/>
      <w:divBdr>
        <w:top w:val="none" w:sz="0" w:space="0" w:color="auto"/>
        <w:left w:val="none" w:sz="0" w:space="0" w:color="auto"/>
        <w:bottom w:val="none" w:sz="0" w:space="0" w:color="auto"/>
        <w:right w:val="none" w:sz="0" w:space="0" w:color="auto"/>
      </w:divBdr>
    </w:div>
    <w:div w:id="1622414671">
      <w:bodyDiv w:val="1"/>
      <w:marLeft w:val="0"/>
      <w:marRight w:val="0"/>
      <w:marTop w:val="0"/>
      <w:marBottom w:val="0"/>
      <w:divBdr>
        <w:top w:val="none" w:sz="0" w:space="0" w:color="auto"/>
        <w:left w:val="none" w:sz="0" w:space="0" w:color="auto"/>
        <w:bottom w:val="none" w:sz="0" w:space="0" w:color="auto"/>
        <w:right w:val="none" w:sz="0" w:space="0" w:color="auto"/>
      </w:divBdr>
      <w:divsChild>
        <w:div w:id="704451247">
          <w:marLeft w:val="547"/>
          <w:marRight w:val="0"/>
          <w:marTop w:val="0"/>
          <w:marBottom w:val="0"/>
          <w:divBdr>
            <w:top w:val="none" w:sz="0" w:space="0" w:color="auto"/>
            <w:left w:val="none" w:sz="0" w:space="0" w:color="auto"/>
            <w:bottom w:val="none" w:sz="0" w:space="0" w:color="auto"/>
            <w:right w:val="none" w:sz="0" w:space="0" w:color="auto"/>
          </w:divBdr>
        </w:div>
        <w:div w:id="1408964412">
          <w:marLeft w:val="547"/>
          <w:marRight w:val="0"/>
          <w:marTop w:val="0"/>
          <w:marBottom w:val="0"/>
          <w:divBdr>
            <w:top w:val="none" w:sz="0" w:space="0" w:color="auto"/>
            <w:left w:val="none" w:sz="0" w:space="0" w:color="auto"/>
            <w:bottom w:val="none" w:sz="0" w:space="0" w:color="auto"/>
            <w:right w:val="none" w:sz="0" w:space="0" w:color="auto"/>
          </w:divBdr>
        </w:div>
        <w:div w:id="1140071510">
          <w:marLeft w:val="1166"/>
          <w:marRight w:val="0"/>
          <w:marTop w:val="0"/>
          <w:marBottom w:val="0"/>
          <w:divBdr>
            <w:top w:val="none" w:sz="0" w:space="0" w:color="auto"/>
            <w:left w:val="none" w:sz="0" w:space="0" w:color="auto"/>
            <w:bottom w:val="none" w:sz="0" w:space="0" w:color="auto"/>
            <w:right w:val="none" w:sz="0" w:space="0" w:color="auto"/>
          </w:divBdr>
        </w:div>
        <w:div w:id="11494970">
          <w:marLeft w:val="1166"/>
          <w:marRight w:val="0"/>
          <w:marTop w:val="0"/>
          <w:marBottom w:val="0"/>
          <w:divBdr>
            <w:top w:val="none" w:sz="0" w:space="0" w:color="auto"/>
            <w:left w:val="none" w:sz="0" w:space="0" w:color="auto"/>
            <w:bottom w:val="none" w:sz="0" w:space="0" w:color="auto"/>
            <w:right w:val="none" w:sz="0" w:space="0" w:color="auto"/>
          </w:divBdr>
        </w:div>
      </w:divsChild>
    </w:div>
    <w:div w:id="1627270348">
      <w:bodyDiv w:val="1"/>
      <w:marLeft w:val="0"/>
      <w:marRight w:val="0"/>
      <w:marTop w:val="0"/>
      <w:marBottom w:val="0"/>
      <w:divBdr>
        <w:top w:val="none" w:sz="0" w:space="0" w:color="auto"/>
        <w:left w:val="none" w:sz="0" w:space="0" w:color="auto"/>
        <w:bottom w:val="none" w:sz="0" w:space="0" w:color="auto"/>
        <w:right w:val="none" w:sz="0" w:space="0" w:color="auto"/>
      </w:divBdr>
    </w:div>
    <w:div w:id="1629506847">
      <w:bodyDiv w:val="1"/>
      <w:marLeft w:val="0"/>
      <w:marRight w:val="0"/>
      <w:marTop w:val="0"/>
      <w:marBottom w:val="0"/>
      <w:divBdr>
        <w:top w:val="none" w:sz="0" w:space="0" w:color="auto"/>
        <w:left w:val="none" w:sz="0" w:space="0" w:color="auto"/>
        <w:bottom w:val="none" w:sz="0" w:space="0" w:color="auto"/>
        <w:right w:val="none" w:sz="0" w:space="0" w:color="auto"/>
      </w:divBdr>
    </w:div>
    <w:div w:id="1633973167">
      <w:bodyDiv w:val="1"/>
      <w:marLeft w:val="0"/>
      <w:marRight w:val="0"/>
      <w:marTop w:val="0"/>
      <w:marBottom w:val="0"/>
      <w:divBdr>
        <w:top w:val="none" w:sz="0" w:space="0" w:color="auto"/>
        <w:left w:val="none" w:sz="0" w:space="0" w:color="auto"/>
        <w:bottom w:val="none" w:sz="0" w:space="0" w:color="auto"/>
        <w:right w:val="none" w:sz="0" w:space="0" w:color="auto"/>
      </w:divBdr>
      <w:divsChild>
        <w:div w:id="1283152378">
          <w:marLeft w:val="0"/>
          <w:marRight w:val="0"/>
          <w:marTop w:val="166"/>
          <w:marBottom w:val="166"/>
          <w:divBdr>
            <w:top w:val="none" w:sz="0" w:space="0" w:color="auto"/>
            <w:left w:val="none" w:sz="0" w:space="0" w:color="auto"/>
            <w:bottom w:val="none" w:sz="0" w:space="0" w:color="auto"/>
            <w:right w:val="none" w:sz="0" w:space="0" w:color="auto"/>
          </w:divBdr>
        </w:div>
        <w:div w:id="2017920650">
          <w:marLeft w:val="0"/>
          <w:marRight w:val="0"/>
          <w:marTop w:val="166"/>
          <w:marBottom w:val="166"/>
          <w:divBdr>
            <w:top w:val="none" w:sz="0" w:space="0" w:color="auto"/>
            <w:left w:val="none" w:sz="0" w:space="0" w:color="auto"/>
            <w:bottom w:val="none" w:sz="0" w:space="0" w:color="auto"/>
            <w:right w:val="none" w:sz="0" w:space="0" w:color="auto"/>
          </w:divBdr>
        </w:div>
      </w:divsChild>
    </w:div>
    <w:div w:id="1647735095">
      <w:bodyDiv w:val="1"/>
      <w:marLeft w:val="0"/>
      <w:marRight w:val="0"/>
      <w:marTop w:val="0"/>
      <w:marBottom w:val="0"/>
      <w:divBdr>
        <w:top w:val="none" w:sz="0" w:space="0" w:color="auto"/>
        <w:left w:val="none" w:sz="0" w:space="0" w:color="auto"/>
        <w:bottom w:val="none" w:sz="0" w:space="0" w:color="auto"/>
        <w:right w:val="none" w:sz="0" w:space="0" w:color="auto"/>
      </w:divBdr>
    </w:div>
    <w:div w:id="1654406207">
      <w:bodyDiv w:val="1"/>
      <w:marLeft w:val="0"/>
      <w:marRight w:val="0"/>
      <w:marTop w:val="0"/>
      <w:marBottom w:val="0"/>
      <w:divBdr>
        <w:top w:val="none" w:sz="0" w:space="0" w:color="auto"/>
        <w:left w:val="none" w:sz="0" w:space="0" w:color="auto"/>
        <w:bottom w:val="none" w:sz="0" w:space="0" w:color="auto"/>
        <w:right w:val="none" w:sz="0" w:space="0" w:color="auto"/>
      </w:divBdr>
    </w:div>
    <w:div w:id="1654526764">
      <w:bodyDiv w:val="1"/>
      <w:marLeft w:val="0"/>
      <w:marRight w:val="0"/>
      <w:marTop w:val="0"/>
      <w:marBottom w:val="0"/>
      <w:divBdr>
        <w:top w:val="none" w:sz="0" w:space="0" w:color="auto"/>
        <w:left w:val="none" w:sz="0" w:space="0" w:color="auto"/>
        <w:bottom w:val="none" w:sz="0" w:space="0" w:color="auto"/>
        <w:right w:val="none" w:sz="0" w:space="0" w:color="auto"/>
      </w:divBdr>
    </w:div>
    <w:div w:id="1667056624">
      <w:bodyDiv w:val="1"/>
      <w:marLeft w:val="0"/>
      <w:marRight w:val="0"/>
      <w:marTop w:val="0"/>
      <w:marBottom w:val="0"/>
      <w:divBdr>
        <w:top w:val="none" w:sz="0" w:space="0" w:color="auto"/>
        <w:left w:val="none" w:sz="0" w:space="0" w:color="auto"/>
        <w:bottom w:val="none" w:sz="0" w:space="0" w:color="auto"/>
        <w:right w:val="none" w:sz="0" w:space="0" w:color="auto"/>
      </w:divBdr>
      <w:divsChild>
        <w:div w:id="1671760609">
          <w:marLeft w:val="547"/>
          <w:marRight w:val="0"/>
          <w:marTop w:val="0"/>
          <w:marBottom w:val="0"/>
          <w:divBdr>
            <w:top w:val="none" w:sz="0" w:space="0" w:color="auto"/>
            <w:left w:val="none" w:sz="0" w:space="0" w:color="auto"/>
            <w:bottom w:val="none" w:sz="0" w:space="0" w:color="auto"/>
            <w:right w:val="none" w:sz="0" w:space="0" w:color="auto"/>
          </w:divBdr>
        </w:div>
      </w:divsChild>
    </w:div>
    <w:div w:id="1676495628">
      <w:bodyDiv w:val="1"/>
      <w:marLeft w:val="0"/>
      <w:marRight w:val="0"/>
      <w:marTop w:val="0"/>
      <w:marBottom w:val="0"/>
      <w:divBdr>
        <w:top w:val="none" w:sz="0" w:space="0" w:color="auto"/>
        <w:left w:val="none" w:sz="0" w:space="0" w:color="auto"/>
        <w:bottom w:val="none" w:sz="0" w:space="0" w:color="auto"/>
        <w:right w:val="none" w:sz="0" w:space="0" w:color="auto"/>
      </w:divBdr>
      <w:divsChild>
        <w:div w:id="10493920">
          <w:marLeft w:val="547"/>
          <w:marRight w:val="0"/>
          <w:marTop w:val="0"/>
          <w:marBottom w:val="0"/>
          <w:divBdr>
            <w:top w:val="none" w:sz="0" w:space="0" w:color="auto"/>
            <w:left w:val="none" w:sz="0" w:space="0" w:color="auto"/>
            <w:bottom w:val="none" w:sz="0" w:space="0" w:color="auto"/>
            <w:right w:val="none" w:sz="0" w:space="0" w:color="auto"/>
          </w:divBdr>
        </w:div>
      </w:divsChild>
    </w:div>
    <w:div w:id="1678189953">
      <w:bodyDiv w:val="1"/>
      <w:marLeft w:val="0"/>
      <w:marRight w:val="0"/>
      <w:marTop w:val="0"/>
      <w:marBottom w:val="0"/>
      <w:divBdr>
        <w:top w:val="none" w:sz="0" w:space="0" w:color="auto"/>
        <w:left w:val="none" w:sz="0" w:space="0" w:color="auto"/>
        <w:bottom w:val="none" w:sz="0" w:space="0" w:color="auto"/>
        <w:right w:val="none" w:sz="0" w:space="0" w:color="auto"/>
      </w:divBdr>
    </w:div>
    <w:div w:id="1680962785">
      <w:bodyDiv w:val="1"/>
      <w:marLeft w:val="0"/>
      <w:marRight w:val="0"/>
      <w:marTop w:val="0"/>
      <w:marBottom w:val="0"/>
      <w:divBdr>
        <w:top w:val="none" w:sz="0" w:space="0" w:color="auto"/>
        <w:left w:val="none" w:sz="0" w:space="0" w:color="auto"/>
        <w:bottom w:val="none" w:sz="0" w:space="0" w:color="auto"/>
        <w:right w:val="none" w:sz="0" w:space="0" w:color="auto"/>
      </w:divBdr>
    </w:div>
    <w:div w:id="1696034894">
      <w:bodyDiv w:val="1"/>
      <w:marLeft w:val="0"/>
      <w:marRight w:val="0"/>
      <w:marTop w:val="0"/>
      <w:marBottom w:val="0"/>
      <w:divBdr>
        <w:top w:val="none" w:sz="0" w:space="0" w:color="auto"/>
        <w:left w:val="none" w:sz="0" w:space="0" w:color="auto"/>
        <w:bottom w:val="none" w:sz="0" w:space="0" w:color="auto"/>
        <w:right w:val="none" w:sz="0" w:space="0" w:color="auto"/>
      </w:divBdr>
    </w:div>
    <w:div w:id="1696347979">
      <w:bodyDiv w:val="1"/>
      <w:marLeft w:val="0"/>
      <w:marRight w:val="0"/>
      <w:marTop w:val="0"/>
      <w:marBottom w:val="0"/>
      <w:divBdr>
        <w:top w:val="none" w:sz="0" w:space="0" w:color="auto"/>
        <w:left w:val="none" w:sz="0" w:space="0" w:color="auto"/>
        <w:bottom w:val="none" w:sz="0" w:space="0" w:color="auto"/>
        <w:right w:val="none" w:sz="0" w:space="0" w:color="auto"/>
      </w:divBdr>
    </w:div>
    <w:div w:id="1709064485">
      <w:bodyDiv w:val="1"/>
      <w:marLeft w:val="0"/>
      <w:marRight w:val="0"/>
      <w:marTop w:val="0"/>
      <w:marBottom w:val="0"/>
      <w:divBdr>
        <w:top w:val="none" w:sz="0" w:space="0" w:color="auto"/>
        <w:left w:val="none" w:sz="0" w:space="0" w:color="auto"/>
        <w:bottom w:val="none" w:sz="0" w:space="0" w:color="auto"/>
        <w:right w:val="none" w:sz="0" w:space="0" w:color="auto"/>
      </w:divBdr>
    </w:div>
    <w:div w:id="1711101522">
      <w:bodyDiv w:val="1"/>
      <w:marLeft w:val="0"/>
      <w:marRight w:val="0"/>
      <w:marTop w:val="0"/>
      <w:marBottom w:val="0"/>
      <w:divBdr>
        <w:top w:val="none" w:sz="0" w:space="0" w:color="auto"/>
        <w:left w:val="none" w:sz="0" w:space="0" w:color="auto"/>
        <w:bottom w:val="none" w:sz="0" w:space="0" w:color="auto"/>
        <w:right w:val="none" w:sz="0" w:space="0" w:color="auto"/>
      </w:divBdr>
    </w:div>
    <w:div w:id="1712878811">
      <w:bodyDiv w:val="1"/>
      <w:marLeft w:val="0"/>
      <w:marRight w:val="0"/>
      <w:marTop w:val="0"/>
      <w:marBottom w:val="0"/>
      <w:divBdr>
        <w:top w:val="none" w:sz="0" w:space="0" w:color="auto"/>
        <w:left w:val="none" w:sz="0" w:space="0" w:color="auto"/>
        <w:bottom w:val="none" w:sz="0" w:space="0" w:color="auto"/>
        <w:right w:val="none" w:sz="0" w:space="0" w:color="auto"/>
      </w:divBdr>
    </w:div>
    <w:div w:id="1727945525">
      <w:bodyDiv w:val="1"/>
      <w:marLeft w:val="0"/>
      <w:marRight w:val="0"/>
      <w:marTop w:val="0"/>
      <w:marBottom w:val="0"/>
      <w:divBdr>
        <w:top w:val="none" w:sz="0" w:space="0" w:color="auto"/>
        <w:left w:val="none" w:sz="0" w:space="0" w:color="auto"/>
        <w:bottom w:val="none" w:sz="0" w:space="0" w:color="auto"/>
        <w:right w:val="none" w:sz="0" w:space="0" w:color="auto"/>
      </w:divBdr>
    </w:div>
    <w:div w:id="1728794358">
      <w:bodyDiv w:val="1"/>
      <w:marLeft w:val="0"/>
      <w:marRight w:val="0"/>
      <w:marTop w:val="0"/>
      <w:marBottom w:val="0"/>
      <w:divBdr>
        <w:top w:val="none" w:sz="0" w:space="0" w:color="auto"/>
        <w:left w:val="none" w:sz="0" w:space="0" w:color="auto"/>
        <w:bottom w:val="none" w:sz="0" w:space="0" w:color="auto"/>
        <w:right w:val="none" w:sz="0" w:space="0" w:color="auto"/>
      </w:divBdr>
      <w:divsChild>
        <w:div w:id="1420566483">
          <w:marLeft w:val="547"/>
          <w:marRight w:val="0"/>
          <w:marTop w:val="0"/>
          <w:marBottom w:val="0"/>
          <w:divBdr>
            <w:top w:val="none" w:sz="0" w:space="0" w:color="auto"/>
            <w:left w:val="none" w:sz="0" w:space="0" w:color="auto"/>
            <w:bottom w:val="none" w:sz="0" w:space="0" w:color="auto"/>
            <w:right w:val="none" w:sz="0" w:space="0" w:color="auto"/>
          </w:divBdr>
        </w:div>
      </w:divsChild>
    </w:div>
    <w:div w:id="1734809719">
      <w:bodyDiv w:val="1"/>
      <w:marLeft w:val="0"/>
      <w:marRight w:val="0"/>
      <w:marTop w:val="0"/>
      <w:marBottom w:val="0"/>
      <w:divBdr>
        <w:top w:val="none" w:sz="0" w:space="0" w:color="auto"/>
        <w:left w:val="none" w:sz="0" w:space="0" w:color="auto"/>
        <w:bottom w:val="none" w:sz="0" w:space="0" w:color="auto"/>
        <w:right w:val="none" w:sz="0" w:space="0" w:color="auto"/>
      </w:divBdr>
      <w:divsChild>
        <w:div w:id="870262469">
          <w:marLeft w:val="547"/>
          <w:marRight w:val="0"/>
          <w:marTop w:val="0"/>
          <w:marBottom w:val="0"/>
          <w:divBdr>
            <w:top w:val="none" w:sz="0" w:space="0" w:color="auto"/>
            <w:left w:val="none" w:sz="0" w:space="0" w:color="auto"/>
            <w:bottom w:val="none" w:sz="0" w:space="0" w:color="auto"/>
            <w:right w:val="none" w:sz="0" w:space="0" w:color="auto"/>
          </w:divBdr>
        </w:div>
      </w:divsChild>
    </w:div>
    <w:div w:id="1755202515">
      <w:bodyDiv w:val="1"/>
      <w:marLeft w:val="0"/>
      <w:marRight w:val="0"/>
      <w:marTop w:val="0"/>
      <w:marBottom w:val="0"/>
      <w:divBdr>
        <w:top w:val="none" w:sz="0" w:space="0" w:color="auto"/>
        <w:left w:val="none" w:sz="0" w:space="0" w:color="auto"/>
        <w:bottom w:val="none" w:sz="0" w:space="0" w:color="auto"/>
        <w:right w:val="none" w:sz="0" w:space="0" w:color="auto"/>
      </w:divBdr>
    </w:div>
    <w:div w:id="1758281567">
      <w:bodyDiv w:val="1"/>
      <w:marLeft w:val="0"/>
      <w:marRight w:val="0"/>
      <w:marTop w:val="0"/>
      <w:marBottom w:val="0"/>
      <w:divBdr>
        <w:top w:val="none" w:sz="0" w:space="0" w:color="auto"/>
        <w:left w:val="none" w:sz="0" w:space="0" w:color="auto"/>
        <w:bottom w:val="none" w:sz="0" w:space="0" w:color="auto"/>
        <w:right w:val="none" w:sz="0" w:space="0" w:color="auto"/>
      </w:divBdr>
      <w:divsChild>
        <w:div w:id="411777684">
          <w:marLeft w:val="547"/>
          <w:marRight w:val="0"/>
          <w:marTop w:val="0"/>
          <w:marBottom w:val="0"/>
          <w:divBdr>
            <w:top w:val="none" w:sz="0" w:space="0" w:color="auto"/>
            <w:left w:val="none" w:sz="0" w:space="0" w:color="auto"/>
            <w:bottom w:val="none" w:sz="0" w:space="0" w:color="auto"/>
            <w:right w:val="none" w:sz="0" w:space="0" w:color="auto"/>
          </w:divBdr>
        </w:div>
      </w:divsChild>
    </w:div>
    <w:div w:id="1760321806">
      <w:bodyDiv w:val="1"/>
      <w:marLeft w:val="0"/>
      <w:marRight w:val="0"/>
      <w:marTop w:val="0"/>
      <w:marBottom w:val="0"/>
      <w:divBdr>
        <w:top w:val="none" w:sz="0" w:space="0" w:color="auto"/>
        <w:left w:val="none" w:sz="0" w:space="0" w:color="auto"/>
        <w:bottom w:val="none" w:sz="0" w:space="0" w:color="auto"/>
        <w:right w:val="none" w:sz="0" w:space="0" w:color="auto"/>
      </w:divBdr>
      <w:divsChild>
        <w:div w:id="1628006559">
          <w:marLeft w:val="547"/>
          <w:marRight w:val="0"/>
          <w:marTop w:val="0"/>
          <w:marBottom w:val="0"/>
          <w:divBdr>
            <w:top w:val="none" w:sz="0" w:space="0" w:color="auto"/>
            <w:left w:val="none" w:sz="0" w:space="0" w:color="auto"/>
            <w:bottom w:val="none" w:sz="0" w:space="0" w:color="auto"/>
            <w:right w:val="none" w:sz="0" w:space="0" w:color="auto"/>
          </w:divBdr>
        </w:div>
        <w:div w:id="2075157330">
          <w:marLeft w:val="547"/>
          <w:marRight w:val="0"/>
          <w:marTop w:val="0"/>
          <w:marBottom w:val="0"/>
          <w:divBdr>
            <w:top w:val="none" w:sz="0" w:space="0" w:color="auto"/>
            <w:left w:val="none" w:sz="0" w:space="0" w:color="auto"/>
            <w:bottom w:val="none" w:sz="0" w:space="0" w:color="auto"/>
            <w:right w:val="none" w:sz="0" w:space="0" w:color="auto"/>
          </w:divBdr>
        </w:div>
      </w:divsChild>
    </w:div>
    <w:div w:id="1764885029">
      <w:bodyDiv w:val="1"/>
      <w:marLeft w:val="0"/>
      <w:marRight w:val="0"/>
      <w:marTop w:val="0"/>
      <w:marBottom w:val="0"/>
      <w:divBdr>
        <w:top w:val="none" w:sz="0" w:space="0" w:color="auto"/>
        <w:left w:val="none" w:sz="0" w:space="0" w:color="auto"/>
        <w:bottom w:val="none" w:sz="0" w:space="0" w:color="auto"/>
        <w:right w:val="none" w:sz="0" w:space="0" w:color="auto"/>
      </w:divBdr>
    </w:div>
    <w:div w:id="1766030677">
      <w:bodyDiv w:val="1"/>
      <w:marLeft w:val="0"/>
      <w:marRight w:val="0"/>
      <w:marTop w:val="0"/>
      <w:marBottom w:val="0"/>
      <w:divBdr>
        <w:top w:val="none" w:sz="0" w:space="0" w:color="auto"/>
        <w:left w:val="none" w:sz="0" w:space="0" w:color="auto"/>
        <w:bottom w:val="none" w:sz="0" w:space="0" w:color="auto"/>
        <w:right w:val="none" w:sz="0" w:space="0" w:color="auto"/>
      </w:divBdr>
    </w:div>
    <w:div w:id="1772122819">
      <w:bodyDiv w:val="1"/>
      <w:marLeft w:val="0"/>
      <w:marRight w:val="0"/>
      <w:marTop w:val="0"/>
      <w:marBottom w:val="0"/>
      <w:divBdr>
        <w:top w:val="none" w:sz="0" w:space="0" w:color="auto"/>
        <w:left w:val="none" w:sz="0" w:space="0" w:color="auto"/>
        <w:bottom w:val="none" w:sz="0" w:space="0" w:color="auto"/>
        <w:right w:val="none" w:sz="0" w:space="0" w:color="auto"/>
      </w:divBdr>
      <w:divsChild>
        <w:div w:id="1613824446">
          <w:marLeft w:val="547"/>
          <w:marRight w:val="0"/>
          <w:marTop w:val="0"/>
          <w:marBottom w:val="0"/>
          <w:divBdr>
            <w:top w:val="none" w:sz="0" w:space="0" w:color="auto"/>
            <w:left w:val="none" w:sz="0" w:space="0" w:color="auto"/>
            <w:bottom w:val="none" w:sz="0" w:space="0" w:color="auto"/>
            <w:right w:val="none" w:sz="0" w:space="0" w:color="auto"/>
          </w:divBdr>
        </w:div>
      </w:divsChild>
    </w:div>
    <w:div w:id="1774130705">
      <w:bodyDiv w:val="1"/>
      <w:marLeft w:val="0"/>
      <w:marRight w:val="0"/>
      <w:marTop w:val="0"/>
      <w:marBottom w:val="0"/>
      <w:divBdr>
        <w:top w:val="none" w:sz="0" w:space="0" w:color="auto"/>
        <w:left w:val="none" w:sz="0" w:space="0" w:color="auto"/>
        <w:bottom w:val="none" w:sz="0" w:space="0" w:color="auto"/>
        <w:right w:val="none" w:sz="0" w:space="0" w:color="auto"/>
      </w:divBdr>
      <w:divsChild>
        <w:div w:id="2065177628">
          <w:marLeft w:val="547"/>
          <w:marRight w:val="0"/>
          <w:marTop w:val="0"/>
          <w:marBottom w:val="0"/>
          <w:divBdr>
            <w:top w:val="none" w:sz="0" w:space="0" w:color="auto"/>
            <w:left w:val="none" w:sz="0" w:space="0" w:color="auto"/>
            <w:bottom w:val="none" w:sz="0" w:space="0" w:color="auto"/>
            <w:right w:val="none" w:sz="0" w:space="0" w:color="auto"/>
          </w:divBdr>
        </w:div>
      </w:divsChild>
    </w:div>
    <w:div w:id="1790516144">
      <w:bodyDiv w:val="1"/>
      <w:marLeft w:val="0"/>
      <w:marRight w:val="0"/>
      <w:marTop w:val="0"/>
      <w:marBottom w:val="0"/>
      <w:divBdr>
        <w:top w:val="none" w:sz="0" w:space="0" w:color="auto"/>
        <w:left w:val="none" w:sz="0" w:space="0" w:color="auto"/>
        <w:bottom w:val="none" w:sz="0" w:space="0" w:color="auto"/>
        <w:right w:val="none" w:sz="0" w:space="0" w:color="auto"/>
      </w:divBdr>
      <w:divsChild>
        <w:div w:id="392897621">
          <w:marLeft w:val="547"/>
          <w:marRight w:val="0"/>
          <w:marTop w:val="0"/>
          <w:marBottom w:val="0"/>
          <w:divBdr>
            <w:top w:val="none" w:sz="0" w:space="0" w:color="auto"/>
            <w:left w:val="none" w:sz="0" w:space="0" w:color="auto"/>
            <w:bottom w:val="none" w:sz="0" w:space="0" w:color="auto"/>
            <w:right w:val="none" w:sz="0" w:space="0" w:color="auto"/>
          </w:divBdr>
        </w:div>
      </w:divsChild>
    </w:div>
    <w:div w:id="1790859991">
      <w:bodyDiv w:val="1"/>
      <w:marLeft w:val="0"/>
      <w:marRight w:val="0"/>
      <w:marTop w:val="0"/>
      <w:marBottom w:val="0"/>
      <w:divBdr>
        <w:top w:val="none" w:sz="0" w:space="0" w:color="auto"/>
        <w:left w:val="none" w:sz="0" w:space="0" w:color="auto"/>
        <w:bottom w:val="none" w:sz="0" w:space="0" w:color="auto"/>
        <w:right w:val="none" w:sz="0" w:space="0" w:color="auto"/>
      </w:divBdr>
      <w:divsChild>
        <w:div w:id="1508902341">
          <w:marLeft w:val="547"/>
          <w:marRight w:val="0"/>
          <w:marTop w:val="0"/>
          <w:marBottom w:val="0"/>
          <w:divBdr>
            <w:top w:val="none" w:sz="0" w:space="0" w:color="auto"/>
            <w:left w:val="none" w:sz="0" w:space="0" w:color="auto"/>
            <w:bottom w:val="none" w:sz="0" w:space="0" w:color="auto"/>
            <w:right w:val="none" w:sz="0" w:space="0" w:color="auto"/>
          </w:divBdr>
        </w:div>
      </w:divsChild>
    </w:div>
    <w:div w:id="1794252637">
      <w:bodyDiv w:val="1"/>
      <w:marLeft w:val="0"/>
      <w:marRight w:val="0"/>
      <w:marTop w:val="0"/>
      <w:marBottom w:val="0"/>
      <w:divBdr>
        <w:top w:val="none" w:sz="0" w:space="0" w:color="auto"/>
        <w:left w:val="none" w:sz="0" w:space="0" w:color="auto"/>
        <w:bottom w:val="none" w:sz="0" w:space="0" w:color="auto"/>
        <w:right w:val="none" w:sz="0" w:space="0" w:color="auto"/>
      </w:divBdr>
    </w:div>
    <w:div w:id="1807157209">
      <w:bodyDiv w:val="1"/>
      <w:marLeft w:val="0"/>
      <w:marRight w:val="0"/>
      <w:marTop w:val="0"/>
      <w:marBottom w:val="0"/>
      <w:divBdr>
        <w:top w:val="none" w:sz="0" w:space="0" w:color="auto"/>
        <w:left w:val="none" w:sz="0" w:space="0" w:color="auto"/>
        <w:bottom w:val="none" w:sz="0" w:space="0" w:color="auto"/>
        <w:right w:val="none" w:sz="0" w:space="0" w:color="auto"/>
      </w:divBdr>
    </w:div>
    <w:div w:id="1811051456">
      <w:bodyDiv w:val="1"/>
      <w:marLeft w:val="0"/>
      <w:marRight w:val="0"/>
      <w:marTop w:val="0"/>
      <w:marBottom w:val="0"/>
      <w:divBdr>
        <w:top w:val="none" w:sz="0" w:space="0" w:color="auto"/>
        <w:left w:val="none" w:sz="0" w:space="0" w:color="auto"/>
        <w:bottom w:val="none" w:sz="0" w:space="0" w:color="auto"/>
        <w:right w:val="none" w:sz="0" w:space="0" w:color="auto"/>
      </w:divBdr>
      <w:divsChild>
        <w:div w:id="1421565971">
          <w:marLeft w:val="547"/>
          <w:marRight w:val="0"/>
          <w:marTop w:val="0"/>
          <w:marBottom w:val="0"/>
          <w:divBdr>
            <w:top w:val="none" w:sz="0" w:space="0" w:color="auto"/>
            <w:left w:val="none" w:sz="0" w:space="0" w:color="auto"/>
            <w:bottom w:val="none" w:sz="0" w:space="0" w:color="auto"/>
            <w:right w:val="none" w:sz="0" w:space="0" w:color="auto"/>
          </w:divBdr>
        </w:div>
      </w:divsChild>
    </w:div>
    <w:div w:id="1823741680">
      <w:bodyDiv w:val="1"/>
      <w:marLeft w:val="0"/>
      <w:marRight w:val="0"/>
      <w:marTop w:val="0"/>
      <w:marBottom w:val="0"/>
      <w:divBdr>
        <w:top w:val="none" w:sz="0" w:space="0" w:color="auto"/>
        <w:left w:val="none" w:sz="0" w:space="0" w:color="auto"/>
        <w:bottom w:val="none" w:sz="0" w:space="0" w:color="auto"/>
        <w:right w:val="none" w:sz="0" w:space="0" w:color="auto"/>
      </w:divBdr>
      <w:divsChild>
        <w:div w:id="29764971">
          <w:marLeft w:val="547"/>
          <w:marRight w:val="0"/>
          <w:marTop w:val="0"/>
          <w:marBottom w:val="0"/>
          <w:divBdr>
            <w:top w:val="none" w:sz="0" w:space="0" w:color="auto"/>
            <w:left w:val="none" w:sz="0" w:space="0" w:color="auto"/>
            <w:bottom w:val="none" w:sz="0" w:space="0" w:color="auto"/>
            <w:right w:val="none" w:sz="0" w:space="0" w:color="auto"/>
          </w:divBdr>
        </w:div>
      </w:divsChild>
    </w:div>
    <w:div w:id="1834030288">
      <w:bodyDiv w:val="1"/>
      <w:marLeft w:val="0"/>
      <w:marRight w:val="0"/>
      <w:marTop w:val="0"/>
      <w:marBottom w:val="0"/>
      <w:divBdr>
        <w:top w:val="none" w:sz="0" w:space="0" w:color="auto"/>
        <w:left w:val="none" w:sz="0" w:space="0" w:color="auto"/>
        <w:bottom w:val="none" w:sz="0" w:space="0" w:color="auto"/>
        <w:right w:val="none" w:sz="0" w:space="0" w:color="auto"/>
      </w:divBdr>
    </w:div>
    <w:div w:id="1835729158">
      <w:bodyDiv w:val="1"/>
      <w:marLeft w:val="0"/>
      <w:marRight w:val="0"/>
      <w:marTop w:val="0"/>
      <w:marBottom w:val="0"/>
      <w:divBdr>
        <w:top w:val="none" w:sz="0" w:space="0" w:color="auto"/>
        <w:left w:val="none" w:sz="0" w:space="0" w:color="auto"/>
        <w:bottom w:val="none" w:sz="0" w:space="0" w:color="auto"/>
        <w:right w:val="none" w:sz="0" w:space="0" w:color="auto"/>
      </w:divBdr>
    </w:div>
    <w:div w:id="1836215673">
      <w:bodyDiv w:val="1"/>
      <w:marLeft w:val="0"/>
      <w:marRight w:val="0"/>
      <w:marTop w:val="0"/>
      <w:marBottom w:val="0"/>
      <w:divBdr>
        <w:top w:val="none" w:sz="0" w:space="0" w:color="auto"/>
        <w:left w:val="none" w:sz="0" w:space="0" w:color="auto"/>
        <w:bottom w:val="none" w:sz="0" w:space="0" w:color="auto"/>
        <w:right w:val="none" w:sz="0" w:space="0" w:color="auto"/>
      </w:divBdr>
    </w:div>
    <w:div w:id="1847399554">
      <w:bodyDiv w:val="1"/>
      <w:marLeft w:val="0"/>
      <w:marRight w:val="0"/>
      <w:marTop w:val="0"/>
      <w:marBottom w:val="0"/>
      <w:divBdr>
        <w:top w:val="none" w:sz="0" w:space="0" w:color="auto"/>
        <w:left w:val="none" w:sz="0" w:space="0" w:color="auto"/>
        <w:bottom w:val="none" w:sz="0" w:space="0" w:color="auto"/>
        <w:right w:val="none" w:sz="0" w:space="0" w:color="auto"/>
      </w:divBdr>
    </w:div>
    <w:div w:id="1855683524">
      <w:bodyDiv w:val="1"/>
      <w:marLeft w:val="0"/>
      <w:marRight w:val="0"/>
      <w:marTop w:val="0"/>
      <w:marBottom w:val="0"/>
      <w:divBdr>
        <w:top w:val="none" w:sz="0" w:space="0" w:color="auto"/>
        <w:left w:val="none" w:sz="0" w:space="0" w:color="auto"/>
        <w:bottom w:val="none" w:sz="0" w:space="0" w:color="auto"/>
        <w:right w:val="none" w:sz="0" w:space="0" w:color="auto"/>
      </w:divBdr>
    </w:div>
    <w:div w:id="1858734781">
      <w:bodyDiv w:val="1"/>
      <w:marLeft w:val="0"/>
      <w:marRight w:val="0"/>
      <w:marTop w:val="0"/>
      <w:marBottom w:val="0"/>
      <w:divBdr>
        <w:top w:val="none" w:sz="0" w:space="0" w:color="auto"/>
        <w:left w:val="none" w:sz="0" w:space="0" w:color="auto"/>
        <w:bottom w:val="none" w:sz="0" w:space="0" w:color="auto"/>
        <w:right w:val="none" w:sz="0" w:space="0" w:color="auto"/>
      </w:divBdr>
      <w:divsChild>
        <w:div w:id="1143888418">
          <w:marLeft w:val="547"/>
          <w:marRight w:val="0"/>
          <w:marTop w:val="0"/>
          <w:marBottom w:val="0"/>
          <w:divBdr>
            <w:top w:val="none" w:sz="0" w:space="0" w:color="auto"/>
            <w:left w:val="none" w:sz="0" w:space="0" w:color="auto"/>
            <w:bottom w:val="none" w:sz="0" w:space="0" w:color="auto"/>
            <w:right w:val="none" w:sz="0" w:space="0" w:color="auto"/>
          </w:divBdr>
        </w:div>
      </w:divsChild>
    </w:div>
    <w:div w:id="1863669578">
      <w:bodyDiv w:val="1"/>
      <w:marLeft w:val="0"/>
      <w:marRight w:val="0"/>
      <w:marTop w:val="0"/>
      <w:marBottom w:val="0"/>
      <w:divBdr>
        <w:top w:val="none" w:sz="0" w:space="0" w:color="auto"/>
        <w:left w:val="none" w:sz="0" w:space="0" w:color="auto"/>
        <w:bottom w:val="none" w:sz="0" w:space="0" w:color="auto"/>
        <w:right w:val="none" w:sz="0" w:space="0" w:color="auto"/>
      </w:divBdr>
    </w:div>
    <w:div w:id="1866628436">
      <w:bodyDiv w:val="1"/>
      <w:marLeft w:val="0"/>
      <w:marRight w:val="0"/>
      <w:marTop w:val="0"/>
      <w:marBottom w:val="0"/>
      <w:divBdr>
        <w:top w:val="none" w:sz="0" w:space="0" w:color="auto"/>
        <w:left w:val="none" w:sz="0" w:space="0" w:color="auto"/>
        <w:bottom w:val="none" w:sz="0" w:space="0" w:color="auto"/>
        <w:right w:val="none" w:sz="0" w:space="0" w:color="auto"/>
      </w:divBdr>
    </w:div>
    <w:div w:id="1866670080">
      <w:bodyDiv w:val="1"/>
      <w:marLeft w:val="0"/>
      <w:marRight w:val="0"/>
      <w:marTop w:val="0"/>
      <w:marBottom w:val="0"/>
      <w:divBdr>
        <w:top w:val="none" w:sz="0" w:space="0" w:color="auto"/>
        <w:left w:val="none" w:sz="0" w:space="0" w:color="auto"/>
        <w:bottom w:val="none" w:sz="0" w:space="0" w:color="auto"/>
        <w:right w:val="none" w:sz="0" w:space="0" w:color="auto"/>
      </w:divBdr>
    </w:div>
    <w:div w:id="1868635723">
      <w:bodyDiv w:val="1"/>
      <w:marLeft w:val="0"/>
      <w:marRight w:val="0"/>
      <w:marTop w:val="0"/>
      <w:marBottom w:val="0"/>
      <w:divBdr>
        <w:top w:val="none" w:sz="0" w:space="0" w:color="auto"/>
        <w:left w:val="none" w:sz="0" w:space="0" w:color="auto"/>
        <w:bottom w:val="none" w:sz="0" w:space="0" w:color="auto"/>
        <w:right w:val="none" w:sz="0" w:space="0" w:color="auto"/>
      </w:divBdr>
      <w:divsChild>
        <w:div w:id="1633058164">
          <w:marLeft w:val="547"/>
          <w:marRight w:val="0"/>
          <w:marTop w:val="0"/>
          <w:marBottom w:val="0"/>
          <w:divBdr>
            <w:top w:val="none" w:sz="0" w:space="0" w:color="auto"/>
            <w:left w:val="none" w:sz="0" w:space="0" w:color="auto"/>
            <w:bottom w:val="none" w:sz="0" w:space="0" w:color="auto"/>
            <w:right w:val="none" w:sz="0" w:space="0" w:color="auto"/>
          </w:divBdr>
        </w:div>
      </w:divsChild>
    </w:div>
    <w:div w:id="1879851374">
      <w:bodyDiv w:val="1"/>
      <w:marLeft w:val="0"/>
      <w:marRight w:val="0"/>
      <w:marTop w:val="0"/>
      <w:marBottom w:val="0"/>
      <w:divBdr>
        <w:top w:val="none" w:sz="0" w:space="0" w:color="auto"/>
        <w:left w:val="none" w:sz="0" w:space="0" w:color="auto"/>
        <w:bottom w:val="none" w:sz="0" w:space="0" w:color="auto"/>
        <w:right w:val="none" w:sz="0" w:space="0" w:color="auto"/>
      </w:divBdr>
    </w:div>
    <w:div w:id="1884906335">
      <w:bodyDiv w:val="1"/>
      <w:marLeft w:val="0"/>
      <w:marRight w:val="0"/>
      <w:marTop w:val="0"/>
      <w:marBottom w:val="0"/>
      <w:divBdr>
        <w:top w:val="none" w:sz="0" w:space="0" w:color="auto"/>
        <w:left w:val="none" w:sz="0" w:space="0" w:color="auto"/>
        <w:bottom w:val="none" w:sz="0" w:space="0" w:color="auto"/>
        <w:right w:val="none" w:sz="0" w:space="0" w:color="auto"/>
      </w:divBdr>
    </w:div>
    <w:div w:id="1885365455">
      <w:bodyDiv w:val="1"/>
      <w:marLeft w:val="0"/>
      <w:marRight w:val="0"/>
      <w:marTop w:val="0"/>
      <w:marBottom w:val="0"/>
      <w:divBdr>
        <w:top w:val="none" w:sz="0" w:space="0" w:color="auto"/>
        <w:left w:val="none" w:sz="0" w:space="0" w:color="auto"/>
        <w:bottom w:val="none" w:sz="0" w:space="0" w:color="auto"/>
        <w:right w:val="none" w:sz="0" w:space="0" w:color="auto"/>
      </w:divBdr>
    </w:div>
    <w:div w:id="1891066332">
      <w:bodyDiv w:val="1"/>
      <w:marLeft w:val="0"/>
      <w:marRight w:val="0"/>
      <w:marTop w:val="0"/>
      <w:marBottom w:val="0"/>
      <w:divBdr>
        <w:top w:val="none" w:sz="0" w:space="0" w:color="auto"/>
        <w:left w:val="none" w:sz="0" w:space="0" w:color="auto"/>
        <w:bottom w:val="none" w:sz="0" w:space="0" w:color="auto"/>
        <w:right w:val="none" w:sz="0" w:space="0" w:color="auto"/>
      </w:divBdr>
    </w:div>
    <w:div w:id="1892888817">
      <w:bodyDiv w:val="1"/>
      <w:marLeft w:val="0"/>
      <w:marRight w:val="0"/>
      <w:marTop w:val="0"/>
      <w:marBottom w:val="0"/>
      <w:divBdr>
        <w:top w:val="none" w:sz="0" w:space="0" w:color="auto"/>
        <w:left w:val="none" w:sz="0" w:space="0" w:color="auto"/>
        <w:bottom w:val="none" w:sz="0" w:space="0" w:color="auto"/>
        <w:right w:val="none" w:sz="0" w:space="0" w:color="auto"/>
      </w:divBdr>
    </w:div>
    <w:div w:id="1893881936">
      <w:bodyDiv w:val="1"/>
      <w:marLeft w:val="0"/>
      <w:marRight w:val="0"/>
      <w:marTop w:val="0"/>
      <w:marBottom w:val="0"/>
      <w:divBdr>
        <w:top w:val="none" w:sz="0" w:space="0" w:color="auto"/>
        <w:left w:val="none" w:sz="0" w:space="0" w:color="auto"/>
        <w:bottom w:val="none" w:sz="0" w:space="0" w:color="auto"/>
        <w:right w:val="none" w:sz="0" w:space="0" w:color="auto"/>
      </w:divBdr>
    </w:div>
    <w:div w:id="1914313125">
      <w:bodyDiv w:val="1"/>
      <w:marLeft w:val="0"/>
      <w:marRight w:val="0"/>
      <w:marTop w:val="0"/>
      <w:marBottom w:val="0"/>
      <w:divBdr>
        <w:top w:val="none" w:sz="0" w:space="0" w:color="auto"/>
        <w:left w:val="none" w:sz="0" w:space="0" w:color="auto"/>
        <w:bottom w:val="none" w:sz="0" w:space="0" w:color="auto"/>
        <w:right w:val="none" w:sz="0" w:space="0" w:color="auto"/>
      </w:divBdr>
    </w:div>
    <w:div w:id="1919438509">
      <w:bodyDiv w:val="1"/>
      <w:marLeft w:val="0"/>
      <w:marRight w:val="0"/>
      <w:marTop w:val="0"/>
      <w:marBottom w:val="0"/>
      <w:divBdr>
        <w:top w:val="none" w:sz="0" w:space="0" w:color="auto"/>
        <w:left w:val="none" w:sz="0" w:space="0" w:color="auto"/>
        <w:bottom w:val="none" w:sz="0" w:space="0" w:color="auto"/>
        <w:right w:val="none" w:sz="0" w:space="0" w:color="auto"/>
      </w:divBdr>
    </w:div>
    <w:div w:id="1927378231">
      <w:bodyDiv w:val="1"/>
      <w:marLeft w:val="0"/>
      <w:marRight w:val="0"/>
      <w:marTop w:val="0"/>
      <w:marBottom w:val="0"/>
      <w:divBdr>
        <w:top w:val="none" w:sz="0" w:space="0" w:color="auto"/>
        <w:left w:val="none" w:sz="0" w:space="0" w:color="auto"/>
        <w:bottom w:val="none" w:sz="0" w:space="0" w:color="auto"/>
        <w:right w:val="none" w:sz="0" w:space="0" w:color="auto"/>
      </w:divBdr>
      <w:divsChild>
        <w:div w:id="2078900019">
          <w:marLeft w:val="547"/>
          <w:marRight w:val="0"/>
          <w:marTop w:val="0"/>
          <w:marBottom w:val="0"/>
          <w:divBdr>
            <w:top w:val="none" w:sz="0" w:space="0" w:color="auto"/>
            <w:left w:val="none" w:sz="0" w:space="0" w:color="auto"/>
            <w:bottom w:val="none" w:sz="0" w:space="0" w:color="auto"/>
            <w:right w:val="none" w:sz="0" w:space="0" w:color="auto"/>
          </w:divBdr>
        </w:div>
      </w:divsChild>
    </w:div>
    <w:div w:id="1929580020">
      <w:bodyDiv w:val="1"/>
      <w:marLeft w:val="0"/>
      <w:marRight w:val="0"/>
      <w:marTop w:val="0"/>
      <w:marBottom w:val="0"/>
      <w:divBdr>
        <w:top w:val="none" w:sz="0" w:space="0" w:color="auto"/>
        <w:left w:val="none" w:sz="0" w:space="0" w:color="auto"/>
        <w:bottom w:val="none" w:sz="0" w:space="0" w:color="auto"/>
        <w:right w:val="none" w:sz="0" w:space="0" w:color="auto"/>
      </w:divBdr>
    </w:div>
    <w:div w:id="1933662529">
      <w:bodyDiv w:val="1"/>
      <w:marLeft w:val="0"/>
      <w:marRight w:val="0"/>
      <w:marTop w:val="0"/>
      <w:marBottom w:val="0"/>
      <w:divBdr>
        <w:top w:val="none" w:sz="0" w:space="0" w:color="auto"/>
        <w:left w:val="none" w:sz="0" w:space="0" w:color="auto"/>
        <w:bottom w:val="none" w:sz="0" w:space="0" w:color="auto"/>
        <w:right w:val="none" w:sz="0" w:space="0" w:color="auto"/>
      </w:divBdr>
      <w:divsChild>
        <w:div w:id="1406536247">
          <w:marLeft w:val="547"/>
          <w:marRight w:val="0"/>
          <w:marTop w:val="0"/>
          <w:marBottom w:val="0"/>
          <w:divBdr>
            <w:top w:val="none" w:sz="0" w:space="0" w:color="auto"/>
            <w:left w:val="none" w:sz="0" w:space="0" w:color="auto"/>
            <w:bottom w:val="none" w:sz="0" w:space="0" w:color="auto"/>
            <w:right w:val="none" w:sz="0" w:space="0" w:color="auto"/>
          </w:divBdr>
        </w:div>
        <w:div w:id="767887580">
          <w:marLeft w:val="547"/>
          <w:marRight w:val="0"/>
          <w:marTop w:val="0"/>
          <w:marBottom w:val="0"/>
          <w:divBdr>
            <w:top w:val="none" w:sz="0" w:space="0" w:color="auto"/>
            <w:left w:val="none" w:sz="0" w:space="0" w:color="auto"/>
            <w:bottom w:val="none" w:sz="0" w:space="0" w:color="auto"/>
            <w:right w:val="none" w:sz="0" w:space="0" w:color="auto"/>
          </w:divBdr>
        </w:div>
      </w:divsChild>
    </w:div>
    <w:div w:id="1955867797">
      <w:bodyDiv w:val="1"/>
      <w:marLeft w:val="0"/>
      <w:marRight w:val="0"/>
      <w:marTop w:val="0"/>
      <w:marBottom w:val="0"/>
      <w:divBdr>
        <w:top w:val="none" w:sz="0" w:space="0" w:color="auto"/>
        <w:left w:val="none" w:sz="0" w:space="0" w:color="auto"/>
        <w:bottom w:val="none" w:sz="0" w:space="0" w:color="auto"/>
        <w:right w:val="none" w:sz="0" w:space="0" w:color="auto"/>
      </w:divBdr>
    </w:div>
    <w:div w:id="1959528380">
      <w:bodyDiv w:val="1"/>
      <w:marLeft w:val="0"/>
      <w:marRight w:val="0"/>
      <w:marTop w:val="0"/>
      <w:marBottom w:val="0"/>
      <w:divBdr>
        <w:top w:val="none" w:sz="0" w:space="0" w:color="auto"/>
        <w:left w:val="none" w:sz="0" w:space="0" w:color="auto"/>
        <w:bottom w:val="none" w:sz="0" w:space="0" w:color="auto"/>
        <w:right w:val="none" w:sz="0" w:space="0" w:color="auto"/>
      </w:divBdr>
      <w:divsChild>
        <w:div w:id="595947577">
          <w:marLeft w:val="547"/>
          <w:marRight w:val="0"/>
          <w:marTop w:val="0"/>
          <w:marBottom w:val="0"/>
          <w:divBdr>
            <w:top w:val="none" w:sz="0" w:space="0" w:color="auto"/>
            <w:left w:val="none" w:sz="0" w:space="0" w:color="auto"/>
            <w:bottom w:val="none" w:sz="0" w:space="0" w:color="auto"/>
            <w:right w:val="none" w:sz="0" w:space="0" w:color="auto"/>
          </w:divBdr>
        </w:div>
      </w:divsChild>
    </w:div>
    <w:div w:id="1978410478">
      <w:bodyDiv w:val="1"/>
      <w:marLeft w:val="0"/>
      <w:marRight w:val="0"/>
      <w:marTop w:val="0"/>
      <w:marBottom w:val="0"/>
      <w:divBdr>
        <w:top w:val="none" w:sz="0" w:space="0" w:color="auto"/>
        <w:left w:val="none" w:sz="0" w:space="0" w:color="auto"/>
        <w:bottom w:val="none" w:sz="0" w:space="0" w:color="auto"/>
        <w:right w:val="none" w:sz="0" w:space="0" w:color="auto"/>
      </w:divBdr>
    </w:div>
    <w:div w:id="1997417400">
      <w:bodyDiv w:val="1"/>
      <w:marLeft w:val="0"/>
      <w:marRight w:val="0"/>
      <w:marTop w:val="0"/>
      <w:marBottom w:val="0"/>
      <w:divBdr>
        <w:top w:val="none" w:sz="0" w:space="0" w:color="auto"/>
        <w:left w:val="none" w:sz="0" w:space="0" w:color="auto"/>
        <w:bottom w:val="none" w:sz="0" w:space="0" w:color="auto"/>
        <w:right w:val="none" w:sz="0" w:space="0" w:color="auto"/>
      </w:divBdr>
      <w:divsChild>
        <w:div w:id="1148596487">
          <w:marLeft w:val="547"/>
          <w:marRight w:val="0"/>
          <w:marTop w:val="0"/>
          <w:marBottom w:val="0"/>
          <w:divBdr>
            <w:top w:val="none" w:sz="0" w:space="0" w:color="auto"/>
            <w:left w:val="none" w:sz="0" w:space="0" w:color="auto"/>
            <w:bottom w:val="none" w:sz="0" w:space="0" w:color="auto"/>
            <w:right w:val="none" w:sz="0" w:space="0" w:color="auto"/>
          </w:divBdr>
        </w:div>
      </w:divsChild>
    </w:div>
    <w:div w:id="1999067954">
      <w:bodyDiv w:val="1"/>
      <w:marLeft w:val="0"/>
      <w:marRight w:val="0"/>
      <w:marTop w:val="0"/>
      <w:marBottom w:val="0"/>
      <w:divBdr>
        <w:top w:val="none" w:sz="0" w:space="0" w:color="auto"/>
        <w:left w:val="none" w:sz="0" w:space="0" w:color="auto"/>
        <w:bottom w:val="none" w:sz="0" w:space="0" w:color="auto"/>
        <w:right w:val="none" w:sz="0" w:space="0" w:color="auto"/>
      </w:divBdr>
      <w:divsChild>
        <w:div w:id="1440178476">
          <w:marLeft w:val="547"/>
          <w:marRight w:val="0"/>
          <w:marTop w:val="0"/>
          <w:marBottom w:val="0"/>
          <w:divBdr>
            <w:top w:val="none" w:sz="0" w:space="0" w:color="auto"/>
            <w:left w:val="none" w:sz="0" w:space="0" w:color="auto"/>
            <w:bottom w:val="none" w:sz="0" w:space="0" w:color="auto"/>
            <w:right w:val="none" w:sz="0" w:space="0" w:color="auto"/>
          </w:divBdr>
        </w:div>
      </w:divsChild>
    </w:div>
    <w:div w:id="2001544410">
      <w:bodyDiv w:val="1"/>
      <w:marLeft w:val="0"/>
      <w:marRight w:val="0"/>
      <w:marTop w:val="0"/>
      <w:marBottom w:val="0"/>
      <w:divBdr>
        <w:top w:val="none" w:sz="0" w:space="0" w:color="auto"/>
        <w:left w:val="none" w:sz="0" w:space="0" w:color="auto"/>
        <w:bottom w:val="none" w:sz="0" w:space="0" w:color="auto"/>
        <w:right w:val="none" w:sz="0" w:space="0" w:color="auto"/>
      </w:divBdr>
    </w:div>
    <w:div w:id="2005549036">
      <w:bodyDiv w:val="1"/>
      <w:marLeft w:val="0"/>
      <w:marRight w:val="0"/>
      <w:marTop w:val="0"/>
      <w:marBottom w:val="0"/>
      <w:divBdr>
        <w:top w:val="none" w:sz="0" w:space="0" w:color="auto"/>
        <w:left w:val="none" w:sz="0" w:space="0" w:color="auto"/>
        <w:bottom w:val="none" w:sz="0" w:space="0" w:color="auto"/>
        <w:right w:val="none" w:sz="0" w:space="0" w:color="auto"/>
      </w:divBdr>
    </w:div>
    <w:div w:id="2016491679">
      <w:bodyDiv w:val="1"/>
      <w:marLeft w:val="0"/>
      <w:marRight w:val="0"/>
      <w:marTop w:val="0"/>
      <w:marBottom w:val="0"/>
      <w:divBdr>
        <w:top w:val="none" w:sz="0" w:space="0" w:color="auto"/>
        <w:left w:val="none" w:sz="0" w:space="0" w:color="auto"/>
        <w:bottom w:val="none" w:sz="0" w:space="0" w:color="auto"/>
        <w:right w:val="none" w:sz="0" w:space="0" w:color="auto"/>
      </w:divBdr>
    </w:div>
    <w:div w:id="2020572914">
      <w:bodyDiv w:val="1"/>
      <w:marLeft w:val="0"/>
      <w:marRight w:val="0"/>
      <w:marTop w:val="0"/>
      <w:marBottom w:val="0"/>
      <w:divBdr>
        <w:top w:val="none" w:sz="0" w:space="0" w:color="auto"/>
        <w:left w:val="none" w:sz="0" w:space="0" w:color="auto"/>
        <w:bottom w:val="none" w:sz="0" w:space="0" w:color="auto"/>
        <w:right w:val="none" w:sz="0" w:space="0" w:color="auto"/>
      </w:divBdr>
      <w:divsChild>
        <w:div w:id="1670715643">
          <w:marLeft w:val="547"/>
          <w:marRight w:val="0"/>
          <w:marTop w:val="0"/>
          <w:marBottom w:val="0"/>
          <w:divBdr>
            <w:top w:val="none" w:sz="0" w:space="0" w:color="auto"/>
            <w:left w:val="none" w:sz="0" w:space="0" w:color="auto"/>
            <w:bottom w:val="none" w:sz="0" w:space="0" w:color="auto"/>
            <w:right w:val="none" w:sz="0" w:space="0" w:color="auto"/>
          </w:divBdr>
        </w:div>
        <w:div w:id="219054057">
          <w:marLeft w:val="547"/>
          <w:marRight w:val="0"/>
          <w:marTop w:val="0"/>
          <w:marBottom w:val="0"/>
          <w:divBdr>
            <w:top w:val="none" w:sz="0" w:space="0" w:color="auto"/>
            <w:left w:val="none" w:sz="0" w:space="0" w:color="auto"/>
            <w:bottom w:val="none" w:sz="0" w:space="0" w:color="auto"/>
            <w:right w:val="none" w:sz="0" w:space="0" w:color="auto"/>
          </w:divBdr>
        </w:div>
        <w:div w:id="1538663566">
          <w:marLeft w:val="547"/>
          <w:marRight w:val="0"/>
          <w:marTop w:val="0"/>
          <w:marBottom w:val="0"/>
          <w:divBdr>
            <w:top w:val="none" w:sz="0" w:space="0" w:color="auto"/>
            <w:left w:val="none" w:sz="0" w:space="0" w:color="auto"/>
            <w:bottom w:val="none" w:sz="0" w:space="0" w:color="auto"/>
            <w:right w:val="none" w:sz="0" w:space="0" w:color="auto"/>
          </w:divBdr>
        </w:div>
      </w:divsChild>
    </w:div>
    <w:div w:id="2025325647">
      <w:bodyDiv w:val="1"/>
      <w:marLeft w:val="0"/>
      <w:marRight w:val="0"/>
      <w:marTop w:val="0"/>
      <w:marBottom w:val="0"/>
      <w:divBdr>
        <w:top w:val="none" w:sz="0" w:space="0" w:color="auto"/>
        <w:left w:val="none" w:sz="0" w:space="0" w:color="auto"/>
        <w:bottom w:val="none" w:sz="0" w:space="0" w:color="auto"/>
        <w:right w:val="none" w:sz="0" w:space="0" w:color="auto"/>
      </w:divBdr>
    </w:div>
    <w:div w:id="2031254941">
      <w:bodyDiv w:val="1"/>
      <w:marLeft w:val="0"/>
      <w:marRight w:val="0"/>
      <w:marTop w:val="0"/>
      <w:marBottom w:val="0"/>
      <w:divBdr>
        <w:top w:val="none" w:sz="0" w:space="0" w:color="auto"/>
        <w:left w:val="none" w:sz="0" w:space="0" w:color="auto"/>
        <w:bottom w:val="none" w:sz="0" w:space="0" w:color="auto"/>
        <w:right w:val="none" w:sz="0" w:space="0" w:color="auto"/>
      </w:divBdr>
    </w:div>
    <w:div w:id="2046369617">
      <w:bodyDiv w:val="1"/>
      <w:marLeft w:val="0"/>
      <w:marRight w:val="0"/>
      <w:marTop w:val="0"/>
      <w:marBottom w:val="0"/>
      <w:divBdr>
        <w:top w:val="none" w:sz="0" w:space="0" w:color="auto"/>
        <w:left w:val="none" w:sz="0" w:space="0" w:color="auto"/>
        <w:bottom w:val="none" w:sz="0" w:space="0" w:color="auto"/>
        <w:right w:val="none" w:sz="0" w:space="0" w:color="auto"/>
      </w:divBdr>
      <w:divsChild>
        <w:div w:id="723067235">
          <w:marLeft w:val="0"/>
          <w:marRight w:val="0"/>
          <w:marTop w:val="0"/>
          <w:marBottom w:val="0"/>
          <w:divBdr>
            <w:top w:val="none" w:sz="0" w:space="0" w:color="auto"/>
            <w:left w:val="none" w:sz="0" w:space="0" w:color="auto"/>
            <w:bottom w:val="none" w:sz="0" w:space="0" w:color="auto"/>
            <w:right w:val="none" w:sz="0" w:space="0" w:color="auto"/>
          </w:divBdr>
        </w:div>
        <w:div w:id="1135176848">
          <w:marLeft w:val="0"/>
          <w:marRight w:val="0"/>
          <w:marTop w:val="0"/>
          <w:marBottom w:val="0"/>
          <w:divBdr>
            <w:top w:val="none" w:sz="0" w:space="0" w:color="auto"/>
            <w:left w:val="none" w:sz="0" w:space="0" w:color="auto"/>
            <w:bottom w:val="none" w:sz="0" w:space="0" w:color="auto"/>
            <w:right w:val="none" w:sz="0" w:space="0" w:color="auto"/>
          </w:divBdr>
          <w:divsChild>
            <w:div w:id="432093857">
              <w:marLeft w:val="0"/>
              <w:marRight w:val="0"/>
              <w:marTop w:val="0"/>
              <w:marBottom w:val="0"/>
              <w:divBdr>
                <w:top w:val="none" w:sz="0" w:space="0" w:color="auto"/>
                <w:left w:val="none" w:sz="0" w:space="0" w:color="auto"/>
                <w:bottom w:val="none" w:sz="0" w:space="0" w:color="auto"/>
                <w:right w:val="none" w:sz="0" w:space="0" w:color="auto"/>
              </w:divBdr>
              <w:divsChild>
                <w:div w:id="476073727">
                  <w:marLeft w:val="0"/>
                  <w:marRight w:val="0"/>
                  <w:marTop w:val="0"/>
                  <w:marBottom w:val="0"/>
                  <w:divBdr>
                    <w:top w:val="none" w:sz="0" w:space="0" w:color="auto"/>
                    <w:left w:val="none" w:sz="0" w:space="0" w:color="auto"/>
                    <w:bottom w:val="none" w:sz="0" w:space="0" w:color="auto"/>
                    <w:right w:val="none" w:sz="0" w:space="0" w:color="auto"/>
                  </w:divBdr>
                  <w:divsChild>
                    <w:div w:id="946079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336423">
          <w:marLeft w:val="0"/>
          <w:marRight w:val="0"/>
          <w:marTop w:val="0"/>
          <w:marBottom w:val="0"/>
          <w:divBdr>
            <w:top w:val="none" w:sz="0" w:space="0" w:color="auto"/>
            <w:left w:val="none" w:sz="0" w:space="0" w:color="auto"/>
            <w:bottom w:val="none" w:sz="0" w:space="0" w:color="auto"/>
            <w:right w:val="none" w:sz="0" w:space="0" w:color="auto"/>
          </w:divBdr>
          <w:divsChild>
            <w:div w:id="1520007930">
              <w:marLeft w:val="0"/>
              <w:marRight w:val="0"/>
              <w:marTop w:val="0"/>
              <w:marBottom w:val="0"/>
              <w:divBdr>
                <w:top w:val="none" w:sz="0" w:space="0" w:color="auto"/>
                <w:left w:val="none" w:sz="0" w:space="0" w:color="auto"/>
                <w:bottom w:val="none" w:sz="0" w:space="0" w:color="auto"/>
                <w:right w:val="none" w:sz="0" w:space="0" w:color="auto"/>
              </w:divBdr>
              <w:divsChild>
                <w:div w:id="213590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300828">
      <w:bodyDiv w:val="1"/>
      <w:marLeft w:val="0"/>
      <w:marRight w:val="0"/>
      <w:marTop w:val="0"/>
      <w:marBottom w:val="0"/>
      <w:divBdr>
        <w:top w:val="none" w:sz="0" w:space="0" w:color="auto"/>
        <w:left w:val="none" w:sz="0" w:space="0" w:color="auto"/>
        <w:bottom w:val="none" w:sz="0" w:space="0" w:color="auto"/>
        <w:right w:val="none" w:sz="0" w:space="0" w:color="auto"/>
      </w:divBdr>
      <w:divsChild>
        <w:div w:id="139268541">
          <w:marLeft w:val="547"/>
          <w:marRight w:val="0"/>
          <w:marTop w:val="0"/>
          <w:marBottom w:val="0"/>
          <w:divBdr>
            <w:top w:val="none" w:sz="0" w:space="0" w:color="auto"/>
            <w:left w:val="none" w:sz="0" w:space="0" w:color="auto"/>
            <w:bottom w:val="none" w:sz="0" w:space="0" w:color="auto"/>
            <w:right w:val="none" w:sz="0" w:space="0" w:color="auto"/>
          </w:divBdr>
        </w:div>
      </w:divsChild>
    </w:div>
    <w:div w:id="2054306533">
      <w:bodyDiv w:val="1"/>
      <w:marLeft w:val="0"/>
      <w:marRight w:val="0"/>
      <w:marTop w:val="0"/>
      <w:marBottom w:val="0"/>
      <w:divBdr>
        <w:top w:val="none" w:sz="0" w:space="0" w:color="auto"/>
        <w:left w:val="none" w:sz="0" w:space="0" w:color="auto"/>
        <w:bottom w:val="none" w:sz="0" w:space="0" w:color="auto"/>
        <w:right w:val="none" w:sz="0" w:space="0" w:color="auto"/>
      </w:divBdr>
    </w:div>
    <w:div w:id="2071534152">
      <w:bodyDiv w:val="1"/>
      <w:marLeft w:val="0"/>
      <w:marRight w:val="0"/>
      <w:marTop w:val="0"/>
      <w:marBottom w:val="0"/>
      <w:divBdr>
        <w:top w:val="none" w:sz="0" w:space="0" w:color="auto"/>
        <w:left w:val="none" w:sz="0" w:space="0" w:color="auto"/>
        <w:bottom w:val="none" w:sz="0" w:space="0" w:color="auto"/>
        <w:right w:val="none" w:sz="0" w:space="0" w:color="auto"/>
      </w:divBdr>
    </w:div>
    <w:div w:id="2076201944">
      <w:bodyDiv w:val="1"/>
      <w:marLeft w:val="0"/>
      <w:marRight w:val="0"/>
      <w:marTop w:val="0"/>
      <w:marBottom w:val="0"/>
      <w:divBdr>
        <w:top w:val="none" w:sz="0" w:space="0" w:color="auto"/>
        <w:left w:val="none" w:sz="0" w:space="0" w:color="auto"/>
        <w:bottom w:val="none" w:sz="0" w:space="0" w:color="auto"/>
        <w:right w:val="none" w:sz="0" w:space="0" w:color="auto"/>
      </w:divBdr>
    </w:div>
    <w:div w:id="2080441007">
      <w:bodyDiv w:val="1"/>
      <w:marLeft w:val="0"/>
      <w:marRight w:val="0"/>
      <w:marTop w:val="0"/>
      <w:marBottom w:val="0"/>
      <w:divBdr>
        <w:top w:val="none" w:sz="0" w:space="0" w:color="auto"/>
        <w:left w:val="none" w:sz="0" w:space="0" w:color="auto"/>
        <w:bottom w:val="none" w:sz="0" w:space="0" w:color="auto"/>
        <w:right w:val="none" w:sz="0" w:space="0" w:color="auto"/>
      </w:divBdr>
    </w:div>
    <w:div w:id="2092311654">
      <w:bodyDiv w:val="1"/>
      <w:marLeft w:val="0"/>
      <w:marRight w:val="0"/>
      <w:marTop w:val="0"/>
      <w:marBottom w:val="0"/>
      <w:divBdr>
        <w:top w:val="none" w:sz="0" w:space="0" w:color="auto"/>
        <w:left w:val="none" w:sz="0" w:space="0" w:color="auto"/>
        <w:bottom w:val="none" w:sz="0" w:space="0" w:color="auto"/>
        <w:right w:val="none" w:sz="0" w:space="0" w:color="auto"/>
      </w:divBdr>
    </w:div>
    <w:div w:id="2092383484">
      <w:bodyDiv w:val="1"/>
      <w:marLeft w:val="0"/>
      <w:marRight w:val="0"/>
      <w:marTop w:val="0"/>
      <w:marBottom w:val="0"/>
      <w:divBdr>
        <w:top w:val="none" w:sz="0" w:space="0" w:color="auto"/>
        <w:left w:val="none" w:sz="0" w:space="0" w:color="auto"/>
        <w:bottom w:val="none" w:sz="0" w:space="0" w:color="auto"/>
        <w:right w:val="none" w:sz="0" w:space="0" w:color="auto"/>
      </w:divBdr>
      <w:divsChild>
        <w:div w:id="712270289">
          <w:marLeft w:val="547"/>
          <w:marRight w:val="0"/>
          <w:marTop w:val="0"/>
          <w:marBottom w:val="0"/>
          <w:divBdr>
            <w:top w:val="none" w:sz="0" w:space="0" w:color="auto"/>
            <w:left w:val="none" w:sz="0" w:space="0" w:color="auto"/>
            <w:bottom w:val="none" w:sz="0" w:space="0" w:color="auto"/>
            <w:right w:val="none" w:sz="0" w:space="0" w:color="auto"/>
          </w:divBdr>
        </w:div>
        <w:div w:id="1131242939">
          <w:marLeft w:val="547"/>
          <w:marRight w:val="0"/>
          <w:marTop w:val="0"/>
          <w:marBottom w:val="0"/>
          <w:divBdr>
            <w:top w:val="none" w:sz="0" w:space="0" w:color="auto"/>
            <w:left w:val="none" w:sz="0" w:space="0" w:color="auto"/>
            <w:bottom w:val="none" w:sz="0" w:space="0" w:color="auto"/>
            <w:right w:val="none" w:sz="0" w:space="0" w:color="auto"/>
          </w:divBdr>
        </w:div>
        <w:div w:id="594090566">
          <w:marLeft w:val="547"/>
          <w:marRight w:val="0"/>
          <w:marTop w:val="0"/>
          <w:marBottom w:val="0"/>
          <w:divBdr>
            <w:top w:val="none" w:sz="0" w:space="0" w:color="auto"/>
            <w:left w:val="none" w:sz="0" w:space="0" w:color="auto"/>
            <w:bottom w:val="none" w:sz="0" w:space="0" w:color="auto"/>
            <w:right w:val="none" w:sz="0" w:space="0" w:color="auto"/>
          </w:divBdr>
        </w:div>
        <w:div w:id="1221330751">
          <w:marLeft w:val="547"/>
          <w:marRight w:val="0"/>
          <w:marTop w:val="0"/>
          <w:marBottom w:val="0"/>
          <w:divBdr>
            <w:top w:val="none" w:sz="0" w:space="0" w:color="auto"/>
            <w:left w:val="none" w:sz="0" w:space="0" w:color="auto"/>
            <w:bottom w:val="none" w:sz="0" w:space="0" w:color="auto"/>
            <w:right w:val="none" w:sz="0" w:space="0" w:color="auto"/>
          </w:divBdr>
        </w:div>
      </w:divsChild>
    </w:div>
    <w:div w:id="2092657544">
      <w:bodyDiv w:val="1"/>
      <w:marLeft w:val="0"/>
      <w:marRight w:val="0"/>
      <w:marTop w:val="0"/>
      <w:marBottom w:val="0"/>
      <w:divBdr>
        <w:top w:val="none" w:sz="0" w:space="0" w:color="auto"/>
        <w:left w:val="none" w:sz="0" w:space="0" w:color="auto"/>
        <w:bottom w:val="none" w:sz="0" w:space="0" w:color="auto"/>
        <w:right w:val="none" w:sz="0" w:space="0" w:color="auto"/>
      </w:divBdr>
      <w:divsChild>
        <w:div w:id="1248074780">
          <w:marLeft w:val="547"/>
          <w:marRight w:val="0"/>
          <w:marTop w:val="0"/>
          <w:marBottom w:val="0"/>
          <w:divBdr>
            <w:top w:val="none" w:sz="0" w:space="0" w:color="auto"/>
            <w:left w:val="none" w:sz="0" w:space="0" w:color="auto"/>
            <w:bottom w:val="none" w:sz="0" w:space="0" w:color="auto"/>
            <w:right w:val="none" w:sz="0" w:space="0" w:color="auto"/>
          </w:divBdr>
        </w:div>
      </w:divsChild>
    </w:div>
    <w:div w:id="2093502330">
      <w:bodyDiv w:val="1"/>
      <w:marLeft w:val="0"/>
      <w:marRight w:val="0"/>
      <w:marTop w:val="0"/>
      <w:marBottom w:val="0"/>
      <w:divBdr>
        <w:top w:val="none" w:sz="0" w:space="0" w:color="auto"/>
        <w:left w:val="none" w:sz="0" w:space="0" w:color="auto"/>
        <w:bottom w:val="none" w:sz="0" w:space="0" w:color="auto"/>
        <w:right w:val="none" w:sz="0" w:space="0" w:color="auto"/>
      </w:divBdr>
    </w:div>
    <w:div w:id="2119055454">
      <w:bodyDiv w:val="1"/>
      <w:marLeft w:val="0"/>
      <w:marRight w:val="0"/>
      <w:marTop w:val="0"/>
      <w:marBottom w:val="0"/>
      <w:divBdr>
        <w:top w:val="none" w:sz="0" w:space="0" w:color="auto"/>
        <w:left w:val="none" w:sz="0" w:space="0" w:color="auto"/>
        <w:bottom w:val="none" w:sz="0" w:space="0" w:color="auto"/>
        <w:right w:val="none" w:sz="0" w:space="0" w:color="auto"/>
      </w:divBdr>
    </w:div>
    <w:div w:id="2128573671">
      <w:bodyDiv w:val="1"/>
      <w:marLeft w:val="0"/>
      <w:marRight w:val="0"/>
      <w:marTop w:val="0"/>
      <w:marBottom w:val="0"/>
      <w:divBdr>
        <w:top w:val="none" w:sz="0" w:space="0" w:color="auto"/>
        <w:left w:val="none" w:sz="0" w:space="0" w:color="auto"/>
        <w:bottom w:val="none" w:sz="0" w:space="0" w:color="auto"/>
        <w:right w:val="none" w:sz="0" w:space="0" w:color="auto"/>
      </w:divBdr>
    </w:div>
    <w:div w:id="2133665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1.png"/><Relationship Id="rId21" Type="http://schemas.openxmlformats.org/officeDocument/2006/relationships/image" Target="media/image3.wmf"/><Relationship Id="rId42" Type="http://schemas.openxmlformats.org/officeDocument/2006/relationships/chart" Target="charts/chart8.xml"/><Relationship Id="rId63" Type="http://schemas.openxmlformats.org/officeDocument/2006/relationships/chart" Target="charts/chart27.xml"/><Relationship Id="rId84" Type="http://schemas.openxmlformats.org/officeDocument/2006/relationships/chart" Target="charts/chart47.xml"/><Relationship Id="rId138" Type="http://schemas.openxmlformats.org/officeDocument/2006/relationships/hyperlink" Target="https://pubmed.ncbi.nlm.nih.gov/?term=Unwin+N&amp;cauthor_id=32068099" TargetMode="External"/><Relationship Id="rId159" Type="http://schemas.openxmlformats.org/officeDocument/2006/relationships/hyperlink" Target="http://www.diabetesatlas.org/atlas/en02" TargetMode="External"/><Relationship Id="rId170" Type="http://schemas.openxmlformats.org/officeDocument/2006/relationships/hyperlink" Target="https://undocs.org/pdf?symbol=ru/A/RES/61/225" TargetMode="External"/><Relationship Id="rId191" Type="http://schemas.openxmlformats.org/officeDocument/2006/relationships/hyperlink" Target="http://www.rcrz.kz/index.php/ru/2017-03-12-10-50-44/press-reliz/2310-o-mezhdunarodnom-opyte-okazaniya-meditsinskoj-pomoshchi-patsientam-stradayushchim-sakharnym-diabetom" TargetMode="External"/><Relationship Id="rId205" Type="http://schemas.openxmlformats.org/officeDocument/2006/relationships/hyperlink" Target="http://rcrz.kz/files/PHC%20Conference/Declaration_rus.pdf" TargetMode="External"/><Relationship Id="rId226" Type="http://schemas.openxmlformats.org/officeDocument/2006/relationships/hyperlink" Target="http://www.ncbi.nlm.nih.gov/pmc/articles/pmc4961439/" TargetMode="External"/><Relationship Id="rId247" Type="http://schemas.openxmlformats.org/officeDocument/2006/relationships/image" Target="media/image29.png"/><Relationship Id="rId107" Type="http://schemas.openxmlformats.org/officeDocument/2006/relationships/diagramQuickStyle" Target="diagrams/quickStyle2.xml"/><Relationship Id="rId11" Type="http://schemas.openxmlformats.org/officeDocument/2006/relationships/hyperlink" Target="https://adilet.zan.kz/rus/docs/V1300009108" TargetMode="External"/><Relationship Id="rId32" Type="http://schemas.openxmlformats.org/officeDocument/2006/relationships/image" Target="media/image8.jpeg"/><Relationship Id="rId53" Type="http://schemas.openxmlformats.org/officeDocument/2006/relationships/chart" Target="charts/chart19.xml"/><Relationship Id="rId74" Type="http://schemas.openxmlformats.org/officeDocument/2006/relationships/chart" Target="charts/chart38.xml"/><Relationship Id="rId128" Type="http://schemas.openxmlformats.org/officeDocument/2006/relationships/hyperlink" Target="https://www.ncbi.nlm.nih.gov/pubmed/25104599" TargetMode="External"/><Relationship Id="rId149" Type="http://schemas.openxmlformats.org/officeDocument/2006/relationships/hyperlink" Target="https://pubmed.ncbi.nlm.nih.gov/?term=de+Kretser+DM&amp;cauthor_id=29136166" TargetMode="External"/><Relationship Id="rId5" Type="http://schemas.openxmlformats.org/officeDocument/2006/relationships/webSettings" Target="webSettings.xml"/><Relationship Id="rId95" Type="http://schemas.openxmlformats.org/officeDocument/2006/relationships/hyperlink" Target="https://adilet.zan.kz/rus/docs/V1300009108" TargetMode="External"/><Relationship Id="rId160" Type="http://schemas.openxmlformats.org/officeDocument/2006/relationships/hyperlink" Target="https://doi.org/10.1016/j.arcmed2020.07.005" TargetMode="External"/><Relationship Id="rId181" Type="http://schemas.openxmlformats.org/officeDocument/2006/relationships/hyperlink" Target="https://www.sciencedirect.com/science/article/abs/pii/S0033062016300780?via%3Dihub" TargetMode="External"/><Relationship Id="rId216" Type="http://schemas.openxmlformats.org/officeDocument/2006/relationships/hyperlink" Target="https://pubmed.ncbi.nlm.nih.gov/?term=Skinner+T&amp;cauthor_id=27459502" TargetMode="External"/><Relationship Id="rId237" Type="http://schemas.openxmlformats.org/officeDocument/2006/relationships/hyperlink" Target="https://www.ncbi.nlm.nih.gov/pubmed/?term=Rocha%20PA%5BAuthor%5D&amp;cauthor=true&amp;cauthor_uid=32022107" TargetMode="External"/><Relationship Id="rId22" Type="http://schemas.openxmlformats.org/officeDocument/2006/relationships/oleObject" Target="embeddings/oleObject1.bin"/><Relationship Id="rId43" Type="http://schemas.openxmlformats.org/officeDocument/2006/relationships/chart" Target="charts/chart9.xml"/><Relationship Id="rId64" Type="http://schemas.openxmlformats.org/officeDocument/2006/relationships/chart" Target="charts/chart28.xml"/><Relationship Id="rId118" Type="http://schemas.openxmlformats.org/officeDocument/2006/relationships/image" Target="media/image22.png"/><Relationship Id="rId139" Type="http://schemas.openxmlformats.org/officeDocument/2006/relationships/hyperlink" Target="https://pubmed.ncbi.nlm.nih.gov/?term=Wild+SH&amp;cauthor_id=32068099" TargetMode="External"/><Relationship Id="rId85" Type="http://schemas.openxmlformats.org/officeDocument/2006/relationships/chart" Target="charts/chart48.xml"/><Relationship Id="rId150" Type="http://schemas.openxmlformats.org/officeDocument/2006/relationships/hyperlink" Target="https://pubmed.ncbi.nlm.nih.gov/?term=Linn+T&amp;cauthor_id=29136166" TargetMode="External"/><Relationship Id="rId171" Type="http://schemas.openxmlformats.org/officeDocument/2006/relationships/hyperlink" Target="https://undocs.org/pdf?symbol=ru/A/68/650" TargetMode="External"/><Relationship Id="rId192" Type="http://schemas.openxmlformats.org/officeDocument/2006/relationships/hyperlink" Target="https://www.amsterdam.nl/bestuur-organisatie/organisatie" TargetMode="External"/><Relationship Id="rId206" Type="http://schemas.openxmlformats.org/officeDocument/2006/relationships/hyperlink" Target="http://rcrz.kz/files/PHC%20Conference/Declaration.pdf" TargetMode="External"/><Relationship Id="rId227" Type="http://schemas.openxmlformats.org/officeDocument/2006/relationships/hyperlink" Target="https://doi.org/10.1371/journal.pmed.1002092" TargetMode="External"/><Relationship Id="rId248" Type="http://schemas.openxmlformats.org/officeDocument/2006/relationships/image" Target="media/image30.png"/><Relationship Id="rId12" Type="http://schemas.openxmlformats.org/officeDocument/2006/relationships/header" Target="header1.xml"/><Relationship Id="rId33" Type="http://schemas.openxmlformats.org/officeDocument/2006/relationships/image" Target="media/image9.wmf"/><Relationship Id="rId108" Type="http://schemas.openxmlformats.org/officeDocument/2006/relationships/diagramColors" Target="diagrams/colors2.xml"/><Relationship Id="rId129" Type="http://schemas.openxmlformats.org/officeDocument/2006/relationships/hyperlink" Target="https://www.ncbi.nlm.nih.gov/pubmed/26111994" TargetMode="External"/><Relationship Id="rId54" Type="http://schemas.openxmlformats.org/officeDocument/2006/relationships/chart" Target="charts/chart20.xml"/><Relationship Id="rId70" Type="http://schemas.openxmlformats.org/officeDocument/2006/relationships/chart" Target="charts/chart34.xml"/><Relationship Id="rId75" Type="http://schemas.openxmlformats.org/officeDocument/2006/relationships/chart" Target="charts/chart39.xml"/><Relationship Id="rId91" Type="http://schemas.openxmlformats.org/officeDocument/2006/relationships/image" Target="media/image15.png"/><Relationship Id="rId96" Type="http://schemas.openxmlformats.org/officeDocument/2006/relationships/image" Target="media/image16.png"/><Relationship Id="rId140" Type="http://schemas.openxmlformats.org/officeDocument/2006/relationships/hyperlink" Target="https://pubmed.ncbi.nlm.nih.gov/?term=Williams+R&amp;cauthor_id=32068099" TargetMode="External"/><Relationship Id="rId145" Type="http://schemas.openxmlformats.org/officeDocument/2006/relationships/hyperlink" Target="https://pubmed.ncbi.nlm.nih.gov/?term=Maresch+CC&amp;cauthor_id=29136166" TargetMode="External"/><Relationship Id="rId161" Type="http://schemas.openxmlformats.org/officeDocument/2006/relationships/hyperlink" Target="https://dx.doi.org/10.1093%2Fmolehr%2Fgaaa030" TargetMode="External"/><Relationship Id="rId166" Type="http://schemas.openxmlformats.org/officeDocument/2006/relationships/hyperlink" Target="https://www.who.int/teams/health-promotion/enhanced-wellbeing/first-global-conference" TargetMode="External"/><Relationship Id="rId182" Type="http://schemas.openxmlformats.org/officeDocument/2006/relationships/hyperlink" Target="https://www.sciencedirect.com/science/article/abs/pii/S0033062016300780?via%3Dihub" TargetMode="External"/><Relationship Id="rId187" Type="http://schemas.openxmlformats.org/officeDocument/2006/relationships/hyperlink" Target="https://www.sciencedirect.com/science/article/abs/pii/S0033062016300780?via%3Dihub" TargetMode="External"/><Relationship Id="rId217" Type="http://schemas.openxmlformats.org/officeDocument/2006/relationships/hyperlink" Target="https://pubmed.ncbi.nlm.nih.gov/?term=Ackland+M&amp;cauthor_id=27459502"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pubmed.ncbi.nlm.nih.gov/?term=Janus+E&amp;cauthor_id=27459502" TargetMode="External"/><Relationship Id="rId233" Type="http://schemas.openxmlformats.org/officeDocument/2006/relationships/hyperlink" Target="https://www.who.int/ru" TargetMode="External"/><Relationship Id="rId238" Type="http://schemas.openxmlformats.org/officeDocument/2006/relationships/hyperlink" Target="https://www.ncbi.nlm.nih.gov/pubmed/?term=Pinto%20VB%5BAuthor%5D&amp;cauthor=true&amp;cauthor_uid=32022107" TargetMode="External"/><Relationship Id="rId23" Type="http://schemas.openxmlformats.org/officeDocument/2006/relationships/image" Target="media/image4.wmf"/><Relationship Id="rId28" Type="http://schemas.openxmlformats.org/officeDocument/2006/relationships/image" Target="media/image6.jpeg"/><Relationship Id="rId49" Type="http://schemas.openxmlformats.org/officeDocument/2006/relationships/chart" Target="charts/chart15.xml"/><Relationship Id="rId114" Type="http://schemas.microsoft.com/office/2007/relationships/diagramDrawing" Target="diagrams/drawing3.xml"/><Relationship Id="rId119" Type="http://schemas.openxmlformats.org/officeDocument/2006/relationships/image" Target="media/image23.png"/><Relationship Id="rId44" Type="http://schemas.openxmlformats.org/officeDocument/2006/relationships/chart" Target="charts/chart10.xml"/><Relationship Id="rId60" Type="http://schemas.openxmlformats.org/officeDocument/2006/relationships/chart" Target="charts/chart24.xml"/><Relationship Id="rId65" Type="http://schemas.openxmlformats.org/officeDocument/2006/relationships/chart" Target="charts/chart29.xml"/><Relationship Id="rId81" Type="http://schemas.openxmlformats.org/officeDocument/2006/relationships/chart" Target="charts/chart44.xml"/><Relationship Id="rId86" Type="http://schemas.openxmlformats.org/officeDocument/2006/relationships/chart" Target="charts/chart49.xml"/><Relationship Id="rId130" Type="http://schemas.openxmlformats.org/officeDocument/2006/relationships/hyperlink" Target="https://www.who.int/data/gho/data/themes/mortality-and-global-health-estimates/ghe-leading-causes-of-death" TargetMode="External"/><Relationship Id="rId135" Type="http://schemas.openxmlformats.org/officeDocument/2006/relationships/hyperlink" Target="https://pubmed.ncbi.nlm.nih.gov/?term=Petersohn+I&amp;cauthor_id=32068099" TargetMode="External"/><Relationship Id="rId151" Type="http://schemas.openxmlformats.org/officeDocument/2006/relationships/hyperlink" Target="https://doi.org/10.1093/humupd/dmx033" TargetMode="External"/><Relationship Id="rId156" Type="http://schemas.openxmlformats.org/officeDocument/2006/relationships/hyperlink" Target="https://pubmed.ncbi.nlm.nih.gov/?term=de+Kretser+DM&amp;cauthor_id=29136166" TargetMode="External"/><Relationship Id="rId177" Type="http://schemas.openxmlformats.org/officeDocument/2006/relationships/hyperlink" Target="https://www.sciencedirect.com/science/article/abs/pii/S0033062016300780?via%3Dihub" TargetMode="External"/><Relationship Id="rId198" Type="http://schemas.openxmlformats.org/officeDocument/2006/relationships/hyperlink" Target="http://cgon.rospotrebnadzor.ru/content/62/262" TargetMode="External"/><Relationship Id="rId172" Type="http://schemas.openxmlformats.org/officeDocument/2006/relationships/hyperlink" Target="https://www.undp.org/sustainable-development-goals" TargetMode="External"/><Relationship Id="rId193" Type="http://schemas.openxmlformats.org/officeDocument/2006/relationships/hyperlink" Target="http://dx.doi.org/10.17061/phrp2541545" TargetMode="External"/><Relationship Id="rId202" Type="http://schemas.openxmlformats.org/officeDocument/2006/relationships/hyperlink" Target="http://www.euro.who.int/__data/assets/pdf_file%20/0013/141205/NCD_Mtg_Oslo_Apr2011_SumRep_rus.pdf" TargetMode="External"/><Relationship Id="rId207" Type="http://schemas.openxmlformats.org/officeDocument/2006/relationships/hyperlink" Target="https://www.who.int/docs/default-source/primary-health/%20declaration/gcphc-declaration-ru.pdf" TargetMode="External"/><Relationship Id="rId223" Type="http://schemas.openxmlformats.org/officeDocument/2006/relationships/hyperlink" Target="https://pubmed.ncbi.nlm.nih.gov/?term=Coates+M&amp;cauthor_id=27459502" TargetMode="External"/><Relationship Id="rId228" Type="http://schemas.openxmlformats.org/officeDocument/2006/relationships/hyperlink" Target="https://ru.wikipedia.org/wiki/" TargetMode="External"/><Relationship Id="rId244" Type="http://schemas.openxmlformats.org/officeDocument/2006/relationships/image" Target="media/image26.png"/><Relationship Id="rId249" Type="http://schemas.openxmlformats.org/officeDocument/2006/relationships/image" Target="media/image31.emf"/><Relationship Id="rId13" Type="http://schemas.openxmlformats.org/officeDocument/2006/relationships/footer" Target="footer1.xml"/><Relationship Id="rId18" Type="http://schemas.openxmlformats.org/officeDocument/2006/relationships/image" Target="media/image1.jpg"/><Relationship Id="rId39" Type="http://schemas.openxmlformats.org/officeDocument/2006/relationships/chart" Target="charts/chart5.xml"/><Relationship Id="rId109" Type="http://schemas.microsoft.com/office/2007/relationships/diagramDrawing" Target="diagrams/drawing2.xml"/><Relationship Id="rId34" Type="http://schemas.openxmlformats.org/officeDocument/2006/relationships/oleObject" Target="embeddings/oleObject3.bin"/><Relationship Id="rId50" Type="http://schemas.openxmlformats.org/officeDocument/2006/relationships/chart" Target="charts/chart16.xml"/><Relationship Id="rId55" Type="http://schemas.openxmlformats.org/officeDocument/2006/relationships/chart" Target="charts/chart21.xml"/><Relationship Id="rId76" Type="http://schemas.openxmlformats.org/officeDocument/2006/relationships/chart" Target="charts/chart40.xml"/><Relationship Id="rId97" Type="http://schemas.openxmlformats.org/officeDocument/2006/relationships/image" Target="media/image17.png"/><Relationship Id="rId104" Type="http://schemas.microsoft.com/office/2007/relationships/diagramDrawing" Target="diagrams/drawing1.xml"/><Relationship Id="rId120" Type="http://schemas.openxmlformats.org/officeDocument/2006/relationships/image" Target="media/image24.png"/><Relationship Id="rId125" Type="http://schemas.openxmlformats.org/officeDocument/2006/relationships/hyperlink" Target="https://doi.org/10.14341/DM2014210-19" TargetMode="External"/><Relationship Id="rId141" Type="http://schemas.openxmlformats.org/officeDocument/2006/relationships/hyperlink" Target="https://doi.org/10.1016/j.diabres.2020.108086" TargetMode="External"/><Relationship Id="rId146" Type="http://schemas.openxmlformats.org/officeDocument/2006/relationships/hyperlink" Target="https://pubmed.ncbi.nlm.nih.gov/?term=Stute+DC&amp;cauthor_id=29136166" TargetMode="External"/><Relationship Id="rId167" Type="http://schemas.openxmlformats.org/officeDocument/2006/relationships/hyperlink" Target="https://www.euro.who.int/ru/health-topics/health-determinants%20/social-determinants/news/news/2013/06/health-promotion-from-ottawa-to-health-2020" TargetMode="External"/><Relationship Id="rId188" Type="http://schemas.openxmlformats.org/officeDocument/2006/relationships/hyperlink" Target="https://www.sciencedirect.com/science/article/abs/pii/S0033062016300780?via%3Dihub" TargetMode="External"/><Relationship Id="rId7" Type="http://schemas.openxmlformats.org/officeDocument/2006/relationships/endnotes" Target="endnotes.xml"/><Relationship Id="rId71" Type="http://schemas.openxmlformats.org/officeDocument/2006/relationships/chart" Target="charts/chart35.xml"/><Relationship Id="rId92" Type="http://schemas.openxmlformats.org/officeDocument/2006/relationships/hyperlink" Target="https://adilet.zan.kz/rus/docs/V1000006697" TargetMode="External"/><Relationship Id="rId162" Type="http://schemas.openxmlformats.org/officeDocument/2006/relationships/hyperlink" Target="https://doi.org/10.5534/wjmh.200134" TargetMode="External"/><Relationship Id="rId183" Type="http://schemas.openxmlformats.org/officeDocument/2006/relationships/hyperlink" Target="https://www.sciencedirect.com/science/article/abs/pii/S0033062016300780?via%3Dihub" TargetMode="External"/><Relationship Id="rId213" Type="http://schemas.openxmlformats.org/officeDocument/2006/relationships/hyperlink" Target="https://pubmed.ncbi.nlm.nih.gov/?term=Best+JD&amp;cauthor_id=27459502" TargetMode="External"/><Relationship Id="rId218" Type="http://schemas.openxmlformats.org/officeDocument/2006/relationships/hyperlink" Target="https://pubmed.ncbi.nlm.nih.gov/?term=Phillips+PA&amp;cauthor_id=27459502" TargetMode="External"/><Relationship Id="rId234" Type="http://schemas.openxmlformats.org/officeDocument/2006/relationships/hyperlink" Target="http://www.who.int/ru/COVID-19" TargetMode="External"/><Relationship Id="rId239" Type="http://schemas.openxmlformats.org/officeDocument/2006/relationships/hyperlink" Target="https://www.ncbi.nlm.nih.gov/pmc/articles/PMC6986882/" TargetMode="External"/><Relationship Id="rId2" Type="http://schemas.openxmlformats.org/officeDocument/2006/relationships/numbering" Target="numbering.xml"/><Relationship Id="rId29" Type="http://schemas.openxmlformats.org/officeDocument/2006/relationships/hyperlink" Target="http://baguzin.ru/wp/wp-content/uploads/2013/08/01%D0%B1.-%D0%94%D0%B8%D1%81%D0%BF%D0%B5%D1%80%D1%81%D0%B8%D1%8F-1.jpg" TargetMode="External"/><Relationship Id="rId250" Type="http://schemas.openxmlformats.org/officeDocument/2006/relationships/oleObject" Target="embeddings/oleObject4.bin"/><Relationship Id="rId24" Type="http://schemas.openxmlformats.org/officeDocument/2006/relationships/oleObject" Target="embeddings/oleObject2.bin"/><Relationship Id="rId40" Type="http://schemas.openxmlformats.org/officeDocument/2006/relationships/chart" Target="charts/chart6.xml"/><Relationship Id="rId45" Type="http://schemas.openxmlformats.org/officeDocument/2006/relationships/chart" Target="charts/chart11.xml"/><Relationship Id="rId66" Type="http://schemas.openxmlformats.org/officeDocument/2006/relationships/chart" Target="charts/chart30.xml"/><Relationship Id="rId87" Type="http://schemas.openxmlformats.org/officeDocument/2006/relationships/chart" Target="charts/chart50.xml"/><Relationship Id="rId110" Type="http://schemas.openxmlformats.org/officeDocument/2006/relationships/diagramData" Target="diagrams/data3.xml"/><Relationship Id="rId115" Type="http://schemas.openxmlformats.org/officeDocument/2006/relationships/hyperlink" Target="https://adilet.zan.kz/rus/docs/V1000006697" TargetMode="External"/><Relationship Id="rId131" Type="http://schemas.openxmlformats.org/officeDocument/2006/relationships/hyperlink" Target="https://www.who.int/ru/news-room/fact-sheets/detail/diabetes" TargetMode="External"/><Relationship Id="rId136" Type="http://schemas.openxmlformats.org/officeDocument/2006/relationships/hyperlink" Target="https://pubmed.ncbi.nlm.nih.gov/?term=Malanda+B&amp;cauthor_id=32068099" TargetMode="External"/><Relationship Id="rId157" Type="http://schemas.openxmlformats.org/officeDocument/2006/relationships/hyperlink" Target="https://pubmed.ncbi.nlm.nih.gov/?term=Linn+T&amp;cauthor_id=29136166" TargetMode="External"/><Relationship Id="rId178" Type="http://schemas.openxmlformats.org/officeDocument/2006/relationships/hyperlink" Target="https://www.sciencedirect.com/science/article/abs/pii/S0033062016300780?via%3Dihub" TargetMode="External"/><Relationship Id="rId61" Type="http://schemas.openxmlformats.org/officeDocument/2006/relationships/chart" Target="charts/chart25.xml"/><Relationship Id="rId82" Type="http://schemas.openxmlformats.org/officeDocument/2006/relationships/chart" Target="charts/chart45.xml"/><Relationship Id="rId152" Type="http://schemas.openxmlformats.org/officeDocument/2006/relationships/hyperlink" Target="https://pubmed.ncbi.nlm.nih.gov/?term=Maresch+CC&amp;cauthor_id=29136166" TargetMode="External"/><Relationship Id="rId173" Type="http://schemas.openxmlformats.org/officeDocument/2006/relationships/hyperlink" Target="https://apps.who.int/mediacentre/events/2017/ncd-global-conference/ru/index.%20html" TargetMode="External"/><Relationship Id="rId194" Type="http://schemas.openxmlformats.org/officeDocument/2006/relationships/hyperlink" Target="https://forbes.kz/process/expertise/kak_ssha_eksportiruyut_ojirenie/" TargetMode="External"/><Relationship Id="rId199" Type="http://schemas.openxmlformats.org/officeDocument/2006/relationships/hyperlink" Target="http://www.euro.who.int/__data/assets/pdf_file/0003/325524/HSBC-Success-story-increasing-physical-activity-levels-in-the-Russian-Federation-ru.pdf" TargetMode="External"/><Relationship Id="rId203" Type="http://schemas.openxmlformats.org/officeDocument/2006/relationships/hyperlink" Target="https://www.kz.undp.org/content/kazakhstan/ru/home/sustainable-development-goals.html" TargetMode="External"/><Relationship Id="rId208" Type="http://schemas.openxmlformats.org/officeDocument/2006/relationships/hyperlink" Target="https://pharmnewskz.com/ru/article/chto-pokazalo-issledovanie-bremya-diabeta-v-rk_18494" TargetMode="External"/><Relationship Id="rId229" Type="http://schemas.openxmlformats.org/officeDocument/2006/relationships/hyperlink" Target="http://www.rcrz.kz/docs/oz/pdf" TargetMode="External"/><Relationship Id="rId19" Type="http://schemas.openxmlformats.org/officeDocument/2006/relationships/chart" Target="charts/chart1.xml"/><Relationship Id="rId224" Type="http://schemas.openxmlformats.org/officeDocument/2006/relationships/hyperlink" Target="https://pubmed.ncbi.nlm.nih.gov/?term=Wildey+C&amp;cauthor_id=27459502" TargetMode="External"/><Relationship Id="rId240" Type="http://schemas.openxmlformats.org/officeDocument/2006/relationships/hyperlink" Target="https://dx.doi.org/10.31744%2Feinstein_journal%2F2020RW4686" TargetMode="External"/><Relationship Id="rId245" Type="http://schemas.openxmlformats.org/officeDocument/2006/relationships/image" Target="media/image27.png"/><Relationship Id="rId14" Type="http://schemas.openxmlformats.org/officeDocument/2006/relationships/hyperlink" Target="http://rcrz.kz/files/PHC%20Conference/Declaration_rus.pdf" TargetMode="External"/><Relationship Id="rId30" Type="http://schemas.openxmlformats.org/officeDocument/2006/relationships/image" Target="media/image7.jpeg"/><Relationship Id="rId35" Type="http://schemas.openxmlformats.org/officeDocument/2006/relationships/chart" Target="charts/chart2.xml"/><Relationship Id="rId56" Type="http://schemas.openxmlformats.org/officeDocument/2006/relationships/image" Target="media/image11.png"/><Relationship Id="rId77" Type="http://schemas.openxmlformats.org/officeDocument/2006/relationships/chart" Target="charts/chart41.xml"/><Relationship Id="rId100" Type="http://schemas.openxmlformats.org/officeDocument/2006/relationships/diagramData" Target="diagrams/data1.xml"/><Relationship Id="rId105" Type="http://schemas.openxmlformats.org/officeDocument/2006/relationships/diagramData" Target="diagrams/data2.xml"/><Relationship Id="rId126" Type="http://schemas.openxmlformats.org/officeDocument/2006/relationships/hyperlink" Target="https://medvestnik.ru/content/medarticles/Opublikovan-analiz-zabolev%20aemosti%20-%20diabetom-v-razlichnyh-stranah-mira.html" TargetMode="External"/><Relationship Id="rId147" Type="http://schemas.openxmlformats.org/officeDocument/2006/relationships/hyperlink" Target="https://pubmed.ncbi.nlm.nih.gov/?term=Alves+MG&amp;cauthor_id=29136166" TargetMode="External"/><Relationship Id="rId168" Type="http://schemas.openxmlformats.org/officeDocument/2006/relationships/hyperlink" Target="https://apps.who.int/iris/handle/%2010665/202578%20?locale-attribute=es&amp;" TargetMode="External"/><Relationship Id="rId8" Type="http://schemas.openxmlformats.org/officeDocument/2006/relationships/hyperlink" Target="https://tengrinews.kz/zakon/site/index" TargetMode="External"/><Relationship Id="rId51" Type="http://schemas.openxmlformats.org/officeDocument/2006/relationships/chart" Target="charts/chart17.xml"/><Relationship Id="rId72" Type="http://schemas.openxmlformats.org/officeDocument/2006/relationships/chart" Target="charts/chart36.xml"/><Relationship Id="rId93" Type="http://schemas.openxmlformats.org/officeDocument/2006/relationships/hyperlink" Target="https://adilet.zan.kz/rus/docs/V1500011958" TargetMode="External"/><Relationship Id="rId98" Type="http://schemas.openxmlformats.org/officeDocument/2006/relationships/image" Target="media/image18.png"/><Relationship Id="rId121" Type="http://schemas.openxmlformats.org/officeDocument/2006/relationships/image" Target="media/image25.png"/><Relationship Id="rId142" Type="http://schemas.openxmlformats.org/officeDocument/2006/relationships/hyperlink" Target="https://nonews.co/directory/lists/countries/diabetes-prevalence" TargetMode="External"/><Relationship Id="rId163" Type="http://schemas.openxmlformats.org/officeDocument/2006/relationships/hyperlink" Target="https://dx.doi.org/10.3389%2Ffendo.2020.574541" TargetMode="External"/><Relationship Id="rId184" Type="http://schemas.openxmlformats.org/officeDocument/2006/relationships/hyperlink" Target="https://www.sciencedirect.com/science/article/abs/pii/S0033062016300780?via%3Dihub" TargetMode="External"/><Relationship Id="rId189" Type="http://schemas.openxmlformats.org/officeDocument/2006/relationships/hyperlink" Target="https://doi.org/10.1016/j.pcad.2016.08.002" TargetMode="External"/><Relationship Id="rId219" Type="http://schemas.openxmlformats.org/officeDocument/2006/relationships/hyperlink" Target="https://pubmed.ncbi.nlm.nih.gov/?term=Ebeling+PR&amp;cauthor_id=27459502" TargetMode="External"/><Relationship Id="rId3" Type="http://schemas.openxmlformats.org/officeDocument/2006/relationships/styles" Target="styles.xml"/><Relationship Id="rId214" Type="http://schemas.openxmlformats.org/officeDocument/2006/relationships/hyperlink" Target="https://pubmed.ncbi.nlm.nih.gov/?term=Carter+R&amp;cauthor_id=27459502" TargetMode="External"/><Relationship Id="rId230" Type="http://schemas.openxmlformats.org/officeDocument/2006/relationships/hyperlink" Target="http://www.who.int/en/" TargetMode="External"/><Relationship Id="rId235" Type="http://schemas.openxmlformats.org/officeDocument/2006/relationships/hyperlink" Target="https://www.ncbi.nlm.nih.gov/pubmed/?term=Nogueira%20M%5BAuthor%5D&amp;cauthor=true&amp;cauthor_uid=32022107" TargetMode="External"/><Relationship Id="rId251" Type="http://schemas.openxmlformats.org/officeDocument/2006/relationships/oleObject" Target="embeddings/oleObject5.bin"/><Relationship Id="rId25" Type="http://schemas.openxmlformats.org/officeDocument/2006/relationships/hyperlink" Target="http://baguzin.ru/wp/wp-content/uploads/2013/08/01%D0%B0.-Z-%D0%BA%D1%80%D0%B8%D1%82%D0%B5%D1%80%D0%B8%D0%B9.jpg" TargetMode="External"/><Relationship Id="rId46" Type="http://schemas.openxmlformats.org/officeDocument/2006/relationships/chart" Target="charts/chart12.xml"/><Relationship Id="rId67" Type="http://schemas.openxmlformats.org/officeDocument/2006/relationships/chart" Target="charts/chart31.xml"/><Relationship Id="rId116" Type="http://schemas.openxmlformats.org/officeDocument/2006/relationships/image" Target="media/image20.png"/><Relationship Id="rId137" Type="http://schemas.openxmlformats.org/officeDocument/2006/relationships/hyperlink" Target="https://pubmed.ncbi.nlm.nih.gov/?term=Gregg+EW&amp;cauthor_id=32068099" TargetMode="External"/><Relationship Id="rId158" Type="http://schemas.openxmlformats.org/officeDocument/2006/relationships/hyperlink" Target="https://doi.org/10.1093/humupd/dmx033" TargetMode="External"/><Relationship Id="rId20" Type="http://schemas.openxmlformats.org/officeDocument/2006/relationships/image" Target="media/image2.png"/><Relationship Id="rId41" Type="http://schemas.openxmlformats.org/officeDocument/2006/relationships/chart" Target="charts/chart7.xml"/><Relationship Id="rId62" Type="http://schemas.openxmlformats.org/officeDocument/2006/relationships/chart" Target="charts/chart26.xml"/><Relationship Id="rId83" Type="http://schemas.openxmlformats.org/officeDocument/2006/relationships/chart" Target="charts/chart46.xml"/><Relationship Id="rId88" Type="http://schemas.openxmlformats.org/officeDocument/2006/relationships/chart" Target="charts/chart51.xml"/><Relationship Id="rId111" Type="http://schemas.openxmlformats.org/officeDocument/2006/relationships/diagramLayout" Target="diagrams/layout3.xml"/><Relationship Id="rId132" Type="http://schemas.openxmlformats.org/officeDocument/2006/relationships/hyperlink" Target="https://pubmed.ncbi.nlm.nih.gov/?term=Saeedi+P&amp;cauthor_id=32068099" TargetMode="External"/><Relationship Id="rId153" Type="http://schemas.openxmlformats.org/officeDocument/2006/relationships/hyperlink" Target="https://pubmed.ncbi.nlm.nih.gov/?term=Stute+DC&amp;cauthor_id=29136166" TargetMode="External"/><Relationship Id="rId174" Type="http://schemas.openxmlformats.org/officeDocument/2006/relationships/hyperlink" Target="https://www.sciencedirect.com/science/article/abs/pii/S0033062016300780?via%3Dihub" TargetMode="External"/><Relationship Id="rId179" Type="http://schemas.openxmlformats.org/officeDocument/2006/relationships/hyperlink" Target="https://www.sciencedirect.com/science/article/abs/pii/S0033062016300780?via%3Dihub" TargetMode="External"/><Relationship Id="rId195" Type="http://schemas.openxmlformats.org/officeDocument/2006/relationships/hyperlink" Target="https://akinakatana.livejournal.com/44602.html" TargetMode="External"/><Relationship Id="rId209" Type="http://schemas.openxmlformats.org/officeDocument/2006/relationships/hyperlink" Target="https://pubmed.ncbi.nlm.nih.gov/?term=O%27Reilly+SL&amp;cauthor_id=27459502" TargetMode="External"/><Relationship Id="rId190" Type="http://schemas.openxmlformats.org/officeDocument/2006/relationships/hyperlink" Target="https://s100.copyright.com/AppDispatchServlet?publisherName=ELS&amp;contentID=S0033062016300780&amp;orderBeanReset=true" TargetMode="External"/><Relationship Id="rId204" Type="http://schemas.openxmlformats.org/officeDocument/2006/relationships/hyperlink" Target="http://rcrz.kz/files/PHC%20Conference/Declaration_rus.pdf" TargetMode="External"/><Relationship Id="rId220" Type="http://schemas.openxmlformats.org/officeDocument/2006/relationships/hyperlink" Target="https://pubmed.ncbi.nlm.nih.gov/?term=Reynolds+J&amp;cauthor_id=27459502" TargetMode="External"/><Relationship Id="rId225" Type="http://schemas.openxmlformats.org/officeDocument/2006/relationships/hyperlink" Target="https://pubmed.ncbi.nlm.nih.gov/?term=MAGDA+Study+Group%5BCorporate+Author%5D" TargetMode="External"/><Relationship Id="rId241" Type="http://schemas.openxmlformats.org/officeDocument/2006/relationships/hyperlink" Target="http://www.medinfo.kz" TargetMode="External"/><Relationship Id="rId246" Type="http://schemas.openxmlformats.org/officeDocument/2006/relationships/image" Target="media/image28.png"/><Relationship Id="rId15" Type="http://schemas.openxmlformats.org/officeDocument/2006/relationships/hyperlink" Target="http://rcrz.kz/files/PHC%20Conference/Declaration.pdf" TargetMode="External"/><Relationship Id="rId36" Type="http://schemas.openxmlformats.org/officeDocument/2006/relationships/chart" Target="charts/chart3.xml"/><Relationship Id="rId57" Type="http://schemas.openxmlformats.org/officeDocument/2006/relationships/chart" Target="charts/chart22.xml"/><Relationship Id="rId106" Type="http://schemas.openxmlformats.org/officeDocument/2006/relationships/diagramLayout" Target="diagrams/layout2.xml"/><Relationship Id="rId127" Type="http://schemas.openxmlformats.org/officeDocument/2006/relationships/hyperlink" Target="https://www.ncbi.nlm.nih.gov/pubmed/20609967" TargetMode="External"/><Relationship Id="rId10" Type="http://schemas.openxmlformats.org/officeDocument/2006/relationships/hyperlink" Target="https://adilet.zan.kz/rus/docs/V1500010589" TargetMode="External"/><Relationship Id="rId31" Type="http://schemas.openxmlformats.org/officeDocument/2006/relationships/hyperlink" Target="http://baguzin.ru/wp/wp-content/uploads/2013/08/01%D0%B2.-%D0%94%D0%B8%D1%81%D0%BF%D0%B5%D1%80%D1%81%D0%B8%D1%8F-2.jpg" TargetMode="External"/><Relationship Id="rId52" Type="http://schemas.openxmlformats.org/officeDocument/2006/relationships/chart" Target="charts/chart18.xml"/><Relationship Id="rId73" Type="http://schemas.openxmlformats.org/officeDocument/2006/relationships/chart" Target="charts/chart37.xml"/><Relationship Id="rId78" Type="http://schemas.openxmlformats.org/officeDocument/2006/relationships/chart" Target="charts/chart42.xml"/><Relationship Id="rId94" Type="http://schemas.openxmlformats.org/officeDocument/2006/relationships/hyperlink" Target="https://adilet.zan.kz/rus/docs/V1500010589" TargetMode="External"/><Relationship Id="rId99" Type="http://schemas.openxmlformats.org/officeDocument/2006/relationships/image" Target="media/image19.png"/><Relationship Id="rId101" Type="http://schemas.openxmlformats.org/officeDocument/2006/relationships/diagramLayout" Target="diagrams/layout1.xml"/><Relationship Id="rId122" Type="http://schemas.openxmlformats.org/officeDocument/2006/relationships/hyperlink" Target="https://www.who.int/ru/news/item/09-12-2020-who-reveals-leading-causes-of-death-and-disability-worldwide-2000-2019" TargetMode="External"/><Relationship Id="rId143" Type="http://schemas.openxmlformats.org/officeDocument/2006/relationships/hyperlink" Target="http://www.who.int/nmh/publications/ncd_action_plan_en.pdf" TargetMode="External"/><Relationship Id="rId148" Type="http://schemas.openxmlformats.org/officeDocument/2006/relationships/hyperlink" Target="https://pubmed.ncbi.nlm.nih.gov/?term=Oliveira+PF&amp;cauthor_id=29136166" TargetMode="External"/><Relationship Id="rId164" Type="http://schemas.openxmlformats.org/officeDocument/2006/relationships/hyperlink" Target="https://doi.org/10.1371/journal.%20pone.0243600" TargetMode="External"/><Relationship Id="rId169" Type="http://schemas.openxmlformats.org/officeDocument/2006/relationships/hyperlink" Target="https://apps.who.int/gb/ebwha/pdf_files/WHA57/A57_REC1-ru.pdf" TargetMode="External"/><Relationship Id="rId185" Type="http://schemas.openxmlformats.org/officeDocument/2006/relationships/hyperlink" Target="https://www.sciencedirect.com/science/article/abs/pii/S0033062016300780?via%3Dihub" TargetMode="External"/><Relationship Id="rId4" Type="http://schemas.openxmlformats.org/officeDocument/2006/relationships/settings" Target="settings.xml"/><Relationship Id="rId9" Type="http://schemas.openxmlformats.org/officeDocument/2006/relationships/hyperlink" Target="https://adilet.zan.kz/rus/docs/V1000006697" TargetMode="External"/><Relationship Id="rId180" Type="http://schemas.openxmlformats.org/officeDocument/2006/relationships/hyperlink" Target="https://www.sciencedirect.com/science/article/abs/pii/S0033062016300780?via%3Dihub" TargetMode="External"/><Relationship Id="rId210" Type="http://schemas.openxmlformats.org/officeDocument/2006/relationships/hyperlink" Target="https://pubmed.ncbi.nlm.nih.gov/?term=Dunbar+JA&amp;cauthor_id=27459502" TargetMode="External"/><Relationship Id="rId215" Type="http://schemas.openxmlformats.org/officeDocument/2006/relationships/hyperlink" Target="https://pubmed.ncbi.nlm.nih.gov/?term=Oats+JJ&amp;cauthor_id=27459502" TargetMode="External"/><Relationship Id="rId236" Type="http://schemas.openxmlformats.org/officeDocument/2006/relationships/hyperlink" Target="https://www.ncbi.nlm.nih.gov/pubmed/?term=Otuyama%20LJ%5BAuthor%5D&amp;cauthor=true&amp;cauthor_uid=32022107" TargetMode="External"/><Relationship Id="rId26" Type="http://schemas.openxmlformats.org/officeDocument/2006/relationships/image" Target="media/image5.jpeg"/><Relationship Id="rId231" Type="http://schemas.openxmlformats.org/officeDocument/2006/relationships/hyperlink" Target="http://www.medinfo.kz" TargetMode="External"/><Relationship Id="rId252" Type="http://schemas.openxmlformats.org/officeDocument/2006/relationships/fontTable" Target="fontTable.xml"/><Relationship Id="rId47" Type="http://schemas.openxmlformats.org/officeDocument/2006/relationships/chart" Target="charts/chart13.xml"/><Relationship Id="rId68" Type="http://schemas.openxmlformats.org/officeDocument/2006/relationships/chart" Target="charts/chart32.xml"/><Relationship Id="rId89" Type="http://schemas.openxmlformats.org/officeDocument/2006/relationships/chart" Target="charts/chart52.xml"/><Relationship Id="rId112" Type="http://schemas.openxmlformats.org/officeDocument/2006/relationships/diagramQuickStyle" Target="diagrams/quickStyle3.xml"/><Relationship Id="rId133" Type="http://schemas.openxmlformats.org/officeDocument/2006/relationships/hyperlink" Target="https://pubmed.ncbi.nlm.nih.gov/?term=Salpea+P&amp;cauthor_id=32068099" TargetMode="External"/><Relationship Id="rId154" Type="http://schemas.openxmlformats.org/officeDocument/2006/relationships/hyperlink" Target="https://pubmed.ncbi.nlm.nih.gov/?term=Alves+MG&amp;cauthor_id=29136166" TargetMode="External"/><Relationship Id="rId175" Type="http://schemas.openxmlformats.org/officeDocument/2006/relationships/hyperlink" Target="https://www.sciencedirect.com/science/article/abs/pii/S0033062016300780?via%3Dihub" TargetMode="External"/><Relationship Id="rId196" Type="http://schemas.openxmlformats.org/officeDocument/2006/relationships/hyperlink" Target="https://www.nippon.com/ru/japan-topics/c08003/" TargetMode="External"/><Relationship Id="rId200" Type="http://schemas.openxmlformats.org/officeDocument/2006/relationships/hyperlink" Target="https://philanthropy.ru/analysis/2021/03/04/98943/" TargetMode="External"/><Relationship Id="rId16" Type="http://schemas.openxmlformats.org/officeDocument/2006/relationships/header" Target="header2.xml"/><Relationship Id="rId221" Type="http://schemas.openxmlformats.org/officeDocument/2006/relationships/hyperlink" Target="https://pubmed.ncbi.nlm.nih.gov/?term=Shih+ST&amp;cauthor_id=27459502" TargetMode="External"/><Relationship Id="rId242" Type="http://schemas.openxmlformats.org/officeDocument/2006/relationships/hyperlink" Target="https://www.euro.who.int/en/data-and-evidence/european-health-report%20/european-health-report-2018/chapter-3" TargetMode="External"/><Relationship Id="rId37" Type="http://schemas.openxmlformats.org/officeDocument/2006/relationships/chart" Target="charts/chart4.xml"/><Relationship Id="rId58" Type="http://schemas.openxmlformats.org/officeDocument/2006/relationships/image" Target="media/image12.png"/><Relationship Id="rId79" Type="http://schemas.openxmlformats.org/officeDocument/2006/relationships/chart" Target="charts/chart43.xml"/><Relationship Id="rId102" Type="http://schemas.openxmlformats.org/officeDocument/2006/relationships/diagramQuickStyle" Target="diagrams/quickStyle1.xml"/><Relationship Id="rId123" Type="http://schemas.openxmlformats.org/officeDocument/2006/relationships/hyperlink" Target="https://diabetesatlas.org/2018" TargetMode="External"/><Relationship Id="rId144" Type="http://schemas.openxmlformats.org/officeDocument/2006/relationships/hyperlink" Target="http://www.who.int/whr/2008/whr08_en.pdf" TargetMode="External"/><Relationship Id="rId90" Type="http://schemas.openxmlformats.org/officeDocument/2006/relationships/image" Target="media/image14.png"/><Relationship Id="rId165" Type="http://schemas.openxmlformats.org/officeDocument/2006/relationships/hyperlink" Target="https://www.euro.who.int/ru%20/publications/policy-documents/declaration-of-alma-ata,%201978" TargetMode="External"/><Relationship Id="rId186" Type="http://schemas.openxmlformats.org/officeDocument/2006/relationships/hyperlink" Target="https://www.sciencedirect.com/science/article/abs/pii/S0033062016300780?via%3Dihub" TargetMode="External"/><Relationship Id="rId211" Type="http://schemas.openxmlformats.org/officeDocument/2006/relationships/hyperlink" Target="https://pubmed.ncbi.nlm.nih.gov/?term=Versace+V&amp;cauthor_id=27459502" TargetMode="External"/><Relationship Id="rId232" Type="http://schemas.openxmlformats.org/officeDocument/2006/relationships/hyperlink" Target="http://adilet.zan.kz/rus/docs/%20V14R0001068" TargetMode="External"/><Relationship Id="rId253" Type="http://schemas.openxmlformats.org/officeDocument/2006/relationships/theme" Target="theme/theme1.xml"/><Relationship Id="rId27" Type="http://schemas.openxmlformats.org/officeDocument/2006/relationships/hyperlink" Target="http://baguzin.ru/wp/wp-content/uploads/2013/08/%D0%A5_%D0%B1%D0%BE%D0%BB%D1%8C%D1%88%D0%BE%D0%B5.jpg" TargetMode="External"/><Relationship Id="rId48" Type="http://schemas.openxmlformats.org/officeDocument/2006/relationships/chart" Target="charts/chart14.xml"/><Relationship Id="rId69" Type="http://schemas.openxmlformats.org/officeDocument/2006/relationships/chart" Target="charts/chart33.xml"/><Relationship Id="rId113" Type="http://schemas.openxmlformats.org/officeDocument/2006/relationships/diagramColors" Target="diagrams/colors3.xml"/><Relationship Id="rId134" Type="http://schemas.openxmlformats.org/officeDocument/2006/relationships/hyperlink" Target="https://pubmed.ncbi.nlm.nih.gov/?term=Karuranga+S&amp;cauthor_id=32068099" TargetMode="External"/><Relationship Id="rId80" Type="http://schemas.openxmlformats.org/officeDocument/2006/relationships/image" Target="media/image13.png"/><Relationship Id="rId155" Type="http://schemas.openxmlformats.org/officeDocument/2006/relationships/hyperlink" Target="https://pubmed.ncbi.nlm.nih.gov/?term=Oliveira+PF&amp;cauthor_id=29136166" TargetMode="External"/><Relationship Id="rId176" Type="http://schemas.openxmlformats.org/officeDocument/2006/relationships/hyperlink" Target="https://www.sciencedirect.com/science/article/abs/pii/S0033062016300780?via%3Dihub" TargetMode="External"/><Relationship Id="rId197" Type="http://schemas.openxmlformats.org/officeDocument/2006/relationships/hyperlink" Target="https://www.partner-inform.de/partner/detail/2018/12/221/9355/10-sekretov-japonskogo-dolgoletija?lang=ru" TargetMode="External"/><Relationship Id="rId201" Type="http://schemas.openxmlformats.org/officeDocument/2006/relationships/hyperlink" Target="http://adilet.zan.kz/rus/" TargetMode="External"/><Relationship Id="rId222" Type="http://schemas.openxmlformats.org/officeDocument/2006/relationships/hyperlink" Target="https://pubmed.ncbi.nlm.nih.gov/?term=Hagger+V&amp;cauthor_id=27459502" TargetMode="External"/><Relationship Id="rId243" Type="http://schemas.openxmlformats.org/officeDocument/2006/relationships/hyperlink" Target="http://www.science-education.ru/ru/article/view?id=24929" TargetMode="External"/><Relationship Id="rId17" Type="http://schemas.openxmlformats.org/officeDocument/2006/relationships/footer" Target="footer2.xml"/><Relationship Id="rId38" Type="http://schemas.openxmlformats.org/officeDocument/2006/relationships/image" Target="media/image10.png"/><Relationship Id="rId59" Type="http://schemas.openxmlformats.org/officeDocument/2006/relationships/chart" Target="charts/chart23.xml"/><Relationship Id="rId103" Type="http://schemas.openxmlformats.org/officeDocument/2006/relationships/diagramColors" Target="diagrams/colors1.xml"/><Relationship Id="rId124" Type="http://schemas.openxmlformats.org/officeDocument/2006/relationships/hyperlink" Target="http://apps.who.int/ghodata/files/84/ghodata.html"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Azamat\Desktop\&#1057;&#1086;&#1079;&#1076;&#1072;&#1090;&#1100;%20&#1051;&#1080;&#1089;&#1090;%20Microsoft%20Excel%20(2).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Azamat\Desktop\&#1086;&#1090;&#1093;&#1086;&#1076;&#1099;\&#1087;&#1088;&#1086;&#1075;&#1085;&#1086;&#1079;&#1080;&#1088;&#1086;&#1074;&#1072;&#1085;&#1080;&#1077;.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Azamat\Desktop\&#1086;&#1090;&#1093;&#1086;&#1076;&#1099;\&#1087;&#1088;&#1086;&#1075;&#1085;&#1086;&#1079;&#1080;&#1088;&#1086;&#1074;&#1072;&#1085;&#1080;&#1077;.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Azamat\Desktop\&#1086;&#1090;&#1093;&#1086;&#1076;&#1099;\&#1087;&#1088;&#1086;&#1075;&#1085;&#1086;&#1079;&#1080;&#1088;&#1086;&#1074;&#1072;&#1085;&#1080;&#1077;%20&#8212;%20&#1082;&#1086;&#1087;&#1080;&#1103;.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Azamat\Desktop\&#1086;&#1090;&#1093;&#1086;&#1076;&#1099;\&#1087;&#1088;&#1086;&#1075;&#1085;&#1086;&#1079;&#1080;&#1088;&#1086;&#1074;&#1072;&#1085;&#1080;&#1077;%20&#8212;%20&#1082;&#1086;&#1087;&#1080;&#1103;.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20(&#1040;&#1074;&#1090;&#1086;&#1089;&#1086;&#1093;&#1088;&#1072;&#1085;&#1077;&#1085;&#1085;&#1099;&#1081;).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20(&#1040;&#1074;&#1090;&#1086;&#1089;&#1086;&#1093;&#1088;&#1072;&#1085;&#1077;&#1085;&#1085;&#1099;&#1081;).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Azamat\Desktop\&#1053;&#1086;&#1074;&#1072;&#1103;%20&#1087;&#1072;&#1087;&#1082;&#1072;%20(2)\&#1057;&#1086;&#1079;&#1076;&#1072;&#1090;&#1100;%20&#1051;&#1080;&#1089;&#1090;%20Microsoft%20Excel%20(2).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Azamat\Desktop\&#1056;&#1077;&#1079;&#1091;&#1083;&#1100;&#1090;&#1072;&#1090;&#1099;%204%20&#1088;&#1072;&#1079;&#1076;&#1077;&#1083;&#1072;\&#1057;&#1086;&#1079;&#1076;&#1072;&#1090;&#1100;%20&#1051;&#1080;&#1089;&#1090;%20Microsoft%20Excel%20(2).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Azamat\Desktop\&#1056;&#1077;&#1079;&#1091;&#1083;&#1100;&#1090;&#1072;&#1090;&#1099;%204%20&#1088;&#1072;&#1079;&#1076;&#1077;&#1083;&#1072;\&#1057;&#1086;&#1079;&#1076;&#1072;&#1090;&#1100;%20&#1051;&#1080;&#1089;&#1090;%20Microsoft%20Excel%20(2).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Azamat\Desktop\&#1053;&#1086;&#1074;&#1072;&#1103;%20&#1087;&#1072;&#1087;&#1082;&#1072;%20(2)\&#1057;&#1086;&#1079;&#1076;&#1072;&#1090;&#1100;%20&#1051;&#1080;&#1089;&#1090;%20Microsoft%20Excel%20(2).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Azamat\Desktop\&#1056;&#1077;&#1079;&#1091;&#1083;&#1100;&#1090;&#1072;&#1090;&#1099;%204%20&#1088;&#1072;&#1079;&#1076;&#1077;&#1083;&#1072;\&#1057;&#1086;&#1079;&#1076;&#1072;&#1090;&#1100;%20&#1051;&#1080;&#1089;&#1090;%20Microsoft%20Excel%20(2).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Azamat\Desktop\&#1056;&#1077;&#1079;&#1091;&#1083;&#1100;&#1090;&#1072;&#1090;&#1099;%204%20&#1088;&#1072;&#1079;&#1076;&#1077;&#1083;&#1072;\&#1057;&#1086;&#1079;&#1076;&#1072;&#1090;&#1100;%20&#1051;&#1080;&#1089;&#1090;%20Microsoft%20Excel%20(2).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Azamat\Desktop\&#1056;&#1077;&#1079;&#1091;&#1083;&#1100;&#1090;&#1072;&#1090;&#1099;%204%20&#1088;&#1072;&#1079;&#1076;&#1077;&#1083;&#1072;\&#1057;&#1086;&#1079;&#1076;&#1072;&#1090;&#1100;%20&#1051;&#1080;&#1089;&#1090;%20Microsoft%20Excel%20(2).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Azamat\Desktop\&#1057;&#1082;&#1086;&#1087;&#1091;&#1089;\&#1050;&#1086;&#1074;&#1080;&#1076;19.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Azamat\Desktop\&#1056;&#1077;&#1079;&#1091;&#1083;&#1100;&#1090;&#1072;&#1090;&#1099;%204%20&#1088;&#1072;&#1079;&#1076;&#1077;&#1083;&#1072;\&#1057;&#1086;&#1079;&#1076;&#1072;&#1090;&#1100;%20&#1051;&#1080;&#1089;&#1090;%20Microsoft%20Excel%20(2).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20(&#1040;&#1074;&#1090;&#1086;&#1089;&#1086;&#1093;&#1088;&#1072;&#1085;&#1077;&#1085;&#1085;&#1099;&#1081;).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C:\Users\Azamat\Desktop\&#1053;&#1086;&#1074;&#1072;&#1103;%20&#1087;&#1072;&#1087;&#1082;&#1072;%20(2)\&#1057;&#1086;&#1079;&#1076;&#1072;&#1090;&#1100;%20&#1051;&#1080;&#1089;&#1090;%20Microsoft%20Excel%20(2).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20(&#1040;&#1074;&#1090;&#1086;&#1089;&#1086;&#1093;&#1088;&#1072;&#1085;&#1077;&#1085;&#1085;&#1099;&#1081;).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Azamat\Desktop\&#1089;&#1086;&#1094;%20&#1086;&#1087;&#1088;&#1086;&#1089;%20&#1087;&#1086;%20&#1088;&#1072;&#1079;&#1076;&#1077;&#1083;&#1072;&#1084;%20&#1076;&#1083;&#1103;%20&#1084;&#1077;&#1090;&#1086;&#1076;&#1080;&#1095;&#1077;&#1082;\&#1088;&#1077;&#1087;&#1088;&#1086;&#1076;&#1091;&#1082;&#1090;.xlsx" TargetMode="External"/><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20(&#1040;&#1074;&#1090;&#1086;&#1089;&#1086;&#1093;&#1088;&#1072;&#1085;&#1077;&#1085;&#1085;&#1099;&#1081;).xlsx" TargetMode="External"/><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20(&#1040;&#1074;&#1090;&#1086;&#1089;&#1086;&#1093;&#1088;&#1072;&#1085;&#1077;&#1085;&#1085;&#1099;&#1081;).xlsx" TargetMode="External"/><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20(&#1040;&#1074;&#1090;&#1086;&#1089;&#1086;&#1093;&#1088;&#1072;&#1085;&#1077;&#1085;&#1085;&#1099;&#1081;).xlsx" TargetMode="External"/><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oleObject" Target="file:///C:\Users\Azamat\Desktop\&#1089;&#1086;&#1094;%20&#1086;&#1087;&#1088;&#1086;&#1089;%20&#1087;&#1086;%20&#1088;&#1072;&#1079;&#1076;&#1077;&#1083;&#1072;&#1084;%20&#1076;&#1083;&#1103;%20&#1084;&#1077;&#1090;&#1086;&#1076;&#1080;&#1095;&#1077;&#1082;\&#1088;&#1077;&#1087;&#1088;&#1086;&#1076;&#1091;&#1082;&#1090;.xlsx" TargetMode="External"/><Relationship Id="rId2" Type="http://schemas.microsoft.com/office/2011/relationships/chartColorStyle" Target="colors43.xml"/><Relationship Id="rId1" Type="http://schemas.microsoft.com/office/2011/relationships/chartStyle" Target="style43.xml"/></Relationships>
</file>

<file path=word/charts/_rels/chart44.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20(&#1040;&#1074;&#1090;&#1086;&#1089;&#1086;&#1093;&#1088;&#1072;&#1085;&#1077;&#1085;&#1085;&#1099;&#1081;).xlsx" TargetMode="External"/><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20(&#1040;&#1074;&#1090;&#1086;&#1089;&#1086;&#1093;&#1088;&#1072;&#1085;&#1077;&#1085;&#1085;&#1099;&#1081;).xlsx" TargetMode="External"/><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oleObject" Target="file:///C:\Users\Azamat\Desktop\&#1057;&#1082;&#1086;&#1087;&#1091;&#1089;\&#1050;&#1086;&#1074;&#1080;&#1076;19.xlsx" TargetMode="External"/><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oleObject" Target="file:///C:\Users\Azamat\Desktop\&#1057;&#1082;&#1086;&#1087;&#1091;&#1089;\&#1050;&#1086;&#1074;&#1080;&#1076;19.xlsx" TargetMode="External"/><Relationship Id="rId2" Type="http://schemas.microsoft.com/office/2011/relationships/chartColorStyle" Target="colors47.xml"/><Relationship Id="rId1" Type="http://schemas.microsoft.com/office/2011/relationships/chartStyle" Target="style47.xml"/></Relationships>
</file>

<file path=word/charts/_rels/chart48.xml.rels><?xml version="1.0" encoding="UTF-8" standalone="yes"?>
<Relationships xmlns="http://schemas.openxmlformats.org/package/2006/relationships"><Relationship Id="rId3" Type="http://schemas.openxmlformats.org/officeDocument/2006/relationships/oleObject" Target="file:///C:\Users\Azamat\Desktop\&#1057;&#1082;&#1086;&#1087;&#1091;&#1089;\&#1050;&#1086;&#1074;&#1080;&#1076;19.xlsx" TargetMode="External"/><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20(&#1040;&#1074;&#1090;&#1086;&#1089;&#1086;&#1093;&#1088;&#1072;&#1085;&#1077;&#1085;&#1085;&#1099;&#1081;).xlsx" TargetMode="External"/><Relationship Id="rId2" Type="http://schemas.microsoft.com/office/2011/relationships/chartColorStyle" Target="colors49.xml"/><Relationship Id="rId1" Type="http://schemas.microsoft.com/office/2011/relationships/chartStyle" Target="style49.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20(&#1040;&#1074;&#1090;&#1086;&#1089;&#1086;&#1093;&#1088;&#1072;&#1085;&#1077;&#1085;&#1085;&#1099;&#1081;).xlsx" TargetMode="External"/><Relationship Id="rId2" Type="http://schemas.microsoft.com/office/2011/relationships/chartColorStyle" Target="colors50.xml"/><Relationship Id="rId1" Type="http://schemas.microsoft.com/office/2011/relationships/chartStyle" Target="style50.xml"/></Relationships>
</file>

<file path=word/charts/_rels/chart51.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20(&#1040;&#1074;&#1090;&#1086;&#1089;&#1086;&#1093;&#1088;&#1072;&#1085;&#1077;&#1085;&#1085;&#1099;&#1081;).xlsx" TargetMode="External"/><Relationship Id="rId2" Type="http://schemas.microsoft.com/office/2011/relationships/chartColorStyle" Target="colors51.xml"/><Relationship Id="rId1" Type="http://schemas.microsoft.com/office/2011/relationships/chartStyle" Target="style51.xml"/></Relationships>
</file>

<file path=word/charts/_rels/chart52.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20(&#1040;&#1074;&#1090;&#1086;&#1089;&#1086;&#1093;&#1088;&#1072;&#1085;&#1077;&#1085;&#1085;&#1099;&#1081;).xlsx" TargetMode="External"/><Relationship Id="rId2" Type="http://schemas.microsoft.com/office/2011/relationships/chartColorStyle" Target="colors52.xml"/><Relationship Id="rId1" Type="http://schemas.microsoft.com/office/2011/relationships/chartStyle" Target="style52.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zamat\Desktop\&#1076;&#1083;&#1103;%20&#1087;&#1088;&#1077;&#1079;&#1077;&#1085;&#1090;&#1072;&#1094;&#1080;&#1080;.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Azamat\Desktop\&#1086;&#1090;&#1093;&#1086;&#1076;&#1099;\&#1087;&#1088;&#1086;&#1075;&#1085;&#1086;&#1079;&#1080;&#1088;&#1086;&#1074;&#1072;&#1085;&#1080;&#1077;.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Лист1!$A$15</c:f>
              <c:strCache>
                <c:ptCount val="1"/>
                <c:pt idx="0">
                  <c:v>мужчины %</c:v>
                </c:pt>
              </c:strCache>
            </c:strRef>
          </c:tx>
          <c:spPr>
            <a:solidFill>
              <a:schemeClr val="accent1"/>
            </a:solidFill>
            <a:ln>
              <a:noFill/>
            </a:ln>
            <a:effectLst/>
          </c:spPr>
          <c:invertIfNegative val="0"/>
          <c:dLbls>
            <c:dLbl>
              <c:idx val="0"/>
              <c:layout>
                <c:manualLayout>
                  <c:x val="-2.2222222222222223E-2"/>
                  <c:y val="1.060944534001666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100-432E-8CC0-EAE6B4472F5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Лист1!$B$13:$H$14</c:f>
              <c:multiLvlStrCache>
                <c:ptCount val="7"/>
                <c:lvl>
                  <c:pt idx="0">
                    <c:v>26-30</c:v>
                  </c:pt>
                  <c:pt idx="1">
                    <c:v>31-35</c:v>
                  </c:pt>
                  <c:pt idx="2">
                    <c:v>36-40</c:v>
                  </c:pt>
                  <c:pt idx="3">
                    <c:v>41-45</c:v>
                  </c:pt>
                  <c:pt idx="4">
                    <c:v>46-50</c:v>
                  </c:pt>
                  <c:pt idx="5">
                    <c:v>51-55</c:v>
                  </c:pt>
                  <c:pt idx="6">
                    <c:v>56-60</c:v>
                  </c:pt>
                </c:lvl>
                <c:lvl>
                  <c:pt idx="0">
                    <c:v>возраст</c:v>
                  </c:pt>
                </c:lvl>
              </c:multiLvlStrCache>
            </c:multiLvlStrRef>
          </c:cat>
          <c:val>
            <c:numRef>
              <c:f>Лист1!$B$15:$H$15</c:f>
              <c:numCache>
                <c:formatCode>0.00%</c:formatCode>
                <c:ptCount val="7"/>
                <c:pt idx="0">
                  <c:v>0.33300000000000002</c:v>
                </c:pt>
                <c:pt idx="1">
                  <c:v>0.16700000000000001</c:v>
                </c:pt>
                <c:pt idx="2">
                  <c:v>0.33300000000000002</c:v>
                </c:pt>
                <c:pt idx="3">
                  <c:v>0.16700000000000001</c:v>
                </c:pt>
                <c:pt idx="4">
                  <c:v>0</c:v>
                </c:pt>
                <c:pt idx="5">
                  <c:v>0</c:v>
                </c:pt>
                <c:pt idx="6">
                  <c:v>0</c:v>
                </c:pt>
              </c:numCache>
            </c:numRef>
          </c:val>
          <c:extLst xmlns:c16r2="http://schemas.microsoft.com/office/drawing/2015/06/chart">
            <c:ext xmlns:c16="http://schemas.microsoft.com/office/drawing/2014/chart" uri="{C3380CC4-5D6E-409C-BE32-E72D297353CC}">
              <c16:uniqueId val="{00000001-6100-432E-8CC0-EAE6B4472F58}"/>
            </c:ext>
          </c:extLst>
        </c:ser>
        <c:ser>
          <c:idx val="1"/>
          <c:order val="1"/>
          <c:tx>
            <c:strRef>
              <c:f>Лист1!$A$16</c:f>
              <c:strCache>
                <c:ptCount val="1"/>
                <c:pt idx="0">
                  <c:v>женщины %</c:v>
                </c:pt>
              </c:strCache>
            </c:strRef>
          </c:tx>
          <c:spPr>
            <a:solidFill>
              <a:schemeClr val="accent2"/>
            </a:solidFill>
            <a:ln>
              <a:noFill/>
            </a:ln>
            <a:effectLst/>
          </c:spPr>
          <c:invertIfNegative val="0"/>
          <c:dLbls>
            <c:dLbl>
              <c:idx val="0"/>
              <c:layout>
                <c:manualLayout>
                  <c:x val="2.5000000000000001E-2"/>
                  <c:y val="-1.38888888888889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100-432E-8CC0-EAE6B4472F58}"/>
                </c:ext>
                <c:ext xmlns:c15="http://schemas.microsoft.com/office/drawing/2012/chart" uri="{CE6537A1-D6FC-4f65-9D91-7224C49458BB}"/>
              </c:extLst>
            </c:dLbl>
            <c:dLbl>
              <c:idx val="3"/>
              <c:layout>
                <c:manualLayout>
                  <c:x val="1.9444444444444445E-2"/>
                  <c:y val="-8.4875562720133283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100-432E-8CC0-EAE6B4472F5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Лист1!$B$13:$H$14</c:f>
              <c:multiLvlStrCache>
                <c:ptCount val="7"/>
                <c:lvl>
                  <c:pt idx="0">
                    <c:v>26-30</c:v>
                  </c:pt>
                  <c:pt idx="1">
                    <c:v>31-35</c:v>
                  </c:pt>
                  <c:pt idx="2">
                    <c:v>36-40</c:v>
                  </c:pt>
                  <c:pt idx="3">
                    <c:v>41-45</c:v>
                  </c:pt>
                  <c:pt idx="4">
                    <c:v>46-50</c:v>
                  </c:pt>
                  <c:pt idx="5">
                    <c:v>51-55</c:v>
                  </c:pt>
                  <c:pt idx="6">
                    <c:v>56-60</c:v>
                  </c:pt>
                </c:lvl>
                <c:lvl>
                  <c:pt idx="0">
                    <c:v>возраст</c:v>
                  </c:pt>
                </c:lvl>
              </c:multiLvlStrCache>
            </c:multiLvlStrRef>
          </c:cat>
          <c:val>
            <c:numRef>
              <c:f>Лист1!$B$16:$H$16</c:f>
              <c:numCache>
                <c:formatCode>0.00%</c:formatCode>
                <c:ptCount val="7"/>
                <c:pt idx="0">
                  <c:v>0.34499999999999997</c:v>
                </c:pt>
                <c:pt idx="1">
                  <c:v>0.27600000000000002</c:v>
                </c:pt>
                <c:pt idx="2">
                  <c:v>0.10299999999999999</c:v>
                </c:pt>
                <c:pt idx="3">
                  <c:v>0.13800000000000001</c:v>
                </c:pt>
                <c:pt idx="4">
                  <c:v>3.4000000000000002E-2</c:v>
                </c:pt>
                <c:pt idx="5">
                  <c:v>6.9000000000000006E-2</c:v>
                </c:pt>
                <c:pt idx="6">
                  <c:v>3.4000000000000002E-2</c:v>
                </c:pt>
              </c:numCache>
            </c:numRef>
          </c:val>
          <c:extLst xmlns:c16r2="http://schemas.microsoft.com/office/drawing/2015/06/chart">
            <c:ext xmlns:c16="http://schemas.microsoft.com/office/drawing/2014/chart" uri="{C3380CC4-5D6E-409C-BE32-E72D297353CC}">
              <c16:uniqueId val="{00000004-6100-432E-8CC0-EAE6B4472F58}"/>
            </c:ext>
          </c:extLst>
        </c:ser>
        <c:dLbls>
          <c:dLblPos val="outEnd"/>
          <c:showLegendKey val="0"/>
          <c:showVal val="1"/>
          <c:showCatName val="0"/>
          <c:showSerName val="0"/>
          <c:showPercent val="0"/>
          <c:showBubbleSize val="0"/>
        </c:dLbls>
        <c:gapWidth val="219"/>
        <c:overlap val="-27"/>
        <c:axId val="482771504"/>
        <c:axId val="482771896"/>
      </c:barChart>
      <c:catAx>
        <c:axId val="482771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82771896"/>
        <c:crosses val="autoZero"/>
        <c:auto val="1"/>
        <c:lblAlgn val="ctr"/>
        <c:lblOffset val="100"/>
        <c:noMultiLvlLbl val="0"/>
      </c:catAx>
      <c:valAx>
        <c:axId val="48277189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82771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854796652047165E-2"/>
          <c:y val="5.9139784946236562E-2"/>
          <c:w val="0.9042581240862807"/>
          <c:h val="0.7730276860553722"/>
        </c:manualLayout>
      </c:layout>
      <c:lineChart>
        <c:grouping val="standard"/>
        <c:varyColors val="0"/>
        <c:ser>
          <c:idx val="0"/>
          <c:order val="0"/>
          <c:tx>
            <c:strRef>
              <c:f>Лист4!$B$1</c:f>
              <c:strCache>
                <c:ptCount val="1"/>
                <c:pt idx="0">
                  <c:v>мужчины</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9050" cap="rnd">
                <a:solidFill>
                  <a:schemeClr val="accent1"/>
                </a:solidFill>
                <a:prstDash val="sysDash"/>
              </a:ln>
              <a:effectLst/>
            </c:spPr>
            <c:trendlineType val="linear"/>
            <c:dispRSqr val="1"/>
            <c:dispEq val="1"/>
            <c:trendlineLbl>
              <c:layout>
                <c:manualLayout>
                  <c:x val="-0.40239546143688559"/>
                  <c:y val="-4.7273749872175072E-2"/>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ru-RU"/>
                </a:p>
              </c:txPr>
            </c:trendlineLbl>
          </c:trendline>
          <c:errBars>
            <c:errDir val="y"/>
            <c:errBarType val="both"/>
            <c:errValType val="stdErr"/>
            <c:noEndCap val="0"/>
            <c:spPr>
              <a:noFill/>
              <a:ln w="9525">
                <a:solidFill>
                  <a:schemeClr val="tx1">
                    <a:lumMod val="65000"/>
                    <a:lumOff val="35000"/>
                  </a:schemeClr>
                </a:solidFill>
                <a:round/>
              </a:ln>
              <a:effectLst/>
            </c:spPr>
          </c:errBars>
          <c:val>
            <c:numRef>
              <c:f>Лист4!$B$2:$B$13</c:f>
              <c:numCache>
                <c:formatCode>General</c:formatCode>
                <c:ptCount val="12"/>
                <c:pt idx="0">
                  <c:v>510.25</c:v>
                </c:pt>
                <c:pt idx="1">
                  <c:v>539.79</c:v>
                </c:pt>
                <c:pt idx="2">
                  <c:v>517.9</c:v>
                </c:pt>
                <c:pt idx="3">
                  <c:v>516.73</c:v>
                </c:pt>
                <c:pt idx="4">
                  <c:v>570.04999999999995</c:v>
                </c:pt>
                <c:pt idx="5">
                  <c:v>572.30999999999995</c:v>
                </c:pt>
                <c:pt idx="6">
                  <c:v>614.64</c:v>
                </c:pt>
                <c:pt idx="7">
                  <c:v>674.33</c:v>
                </c:pt>
                <c:pt idx="8">
                  <c:v>703.59</c:v>
                </c:pt>
                <c:pt idx="9">
                  <c:v>723.75</c:v>
                </c:pt>
              </c:numCache>
            </c:numRef>
          </c:val>
          <c:smooth val="0"/>
          <c:extLst xmlns:c16r2="http://schemas.microsoft.com/office/drawing/2015/06/chart">
            <c:ext xmlns:c16="http://schemas.microsoft.com/office/drawing/2014/chart" uri="{C3380CC4-5D6E-409C-BE32-E72D297353CC}">
              <c16:uniqueId val="{00000000-E43D-4697-89B7-A28090AC3554}"/>
            </c:ext>
          </c:extLst>
        </c:ser>
        <c:ser>
          <c:idx val="1"/>
          <c:order val="1"/>
          <c:tx>
            <c:strRef>
              <c:f>Лист4!$C$1</c:f>
              <c:strCache>
                <c:ptCount val="1"/>
                <c:pt idx="0">
                  <c:v>Прогноз</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10"/>
              <c:layout>
                <c:manualLayout>
                  <c:x val="-4.022262689476519E-2"/>
                  <c:y val="4.3613866448512116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43D-4697-89B7-A28090AC3554}"/>
                </c:ext>
                <c:ext xmlns:c15="http://schemas.microsoft.com/office/drawing/2012/chart" uri="{CE6537A1-D6FC-4f65-9D91-7224C49458BB}"/>
              </c:extLst>
            </c:dLbl>
            <c:dLbl>
              <c:idx val="11"/>
              <c:layout>
                <c:manualLayout>
                  <c:x val="-1.6998982619029299E-2"/>
                  <c:y val="-4.2966220131574464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43D-4697-89B7-A28090AC355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Dir val="y"/>
            <c:errBarType val="both"/>
            <c:errValType val="stdErr"/>
            <c:noEndCap val="0"/>
            <c:spPr>
              <a:noFill/>
              <a:ln w="9525">
                <a:solidFill>
                  <a:schemeClr val="tx1">
                    <a:lumMod val="65000"/>
                    <a:lumOff val="35000"/>
                  </a:schemeClr>
                </a:solidFill>
                <a:round/>
              </a:ln>
              <a:effectLst/>
            </c:spPr>
          </c:errBars>
          <c:cat>
            <c:numRef>
              <c:f>Лист4!$A$2:$A$13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Лист4!$C$2:$C$13</c:f>
              <c:numCache>
                <c:formatCode>General</c:formatCode>
                <c:ptCount val="12"/>
                <c:pt idx="9" formatCode="0.00">
                  <c:v>723.75</c:v>
                </c:pt>
                <c:pt idx="10" formatCode="0.00">
                  <c:v>749.28381265945029</c:v>
                </c:pt>
                <c:pt idx="11" formatCode="0.00">
                  <c:v>774.39927956192821</c:v>
                </c:pt>
              </c:numCache>
            </c:numRef>
          </c:val>
          <c:smooth val="0"/>
          <c:extLst xmlns:c16r2="http://schemas.microsoft.com/office/drawing/2015/06/chart">
            <c:ext xmlns:c16="http://schemas.microsoft.com/office/drawing/2014/chart" uri="{C3380CC4-5D6E-409C-BE32-E72D297353CC}">
              <c16:uniqueId val="{00000003-E43D-4697-89B7-A28090AC3554}"/>
            </c:ext>
          </c:extLst>
        </c:ser>
        <c:ser>
          <c:idx val="2"/>
          <c:order val="2"/>
          <c:tx>
            <c:strRef>
              <c:f>Лист4!$D$1</c:f>
              <c:strCache>
                <c:ptCount val="1"/>
                <c:pt idx="0">
                  <c:v>Низкий ДИ</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dLbl>
              <c:idx val="10"/>
              <c:layout>
                <c:manualLayout>
                  <c:x val="-4.6737284875221378E-2"/>
                  <c:y val="4.765142993489450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43D-4697-89B7-A28090AC3554}"/>
                </c:ext>
                <c:ext xmlns:c15="http://schemas.microsoft.com/office/drawing/2012/chart" uri="{CE6537A1-D6FC-4f65-9D91-7224C49458BB}"/>
              </c:extLst>
            </c:dLbl>
            <c:dLbl>
              <c:idx val="11"/>
              <c:layout>
                <c:manualLayout>
                  <c:x val="-1.4827429958877449E-2"/>
                  <c:y val="5.198043426389883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43D-4697-89B7-A28090AC355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Dir val="y"/>
            <c:errBarType val="both"/>
            <c:errValType val="stdErr"/>
            <c:noEndCap val="0"/>
            <c:spPr>
              <a:noFill/>
              <a:ln w="9525">
                <a:solidFill>
                  <a:schemeClr val="tx1">
                    <a:lumMod val="65000"/>
                    <a:lumOff val="35000"/>
                  </a:schemeClr>
                </a:solidFill>
                <a:round/>
              </a:ln>
              <a:effectLst/>
            </c:spPr>
          </c:errBars>
          <c:cat>
            <c:numRef>
              <c:f>Лист4!$A$2:$A$13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Лист4!$D$2:$D$13</c:f>
              <c:numCache>
                <c:formatCode>General</c:formatCode>
                <c:ptCount val="12"/>
                <c:pt idx="9" formatCode="0.00">
                  <c:v>723.75</c:v>
                </c:pt>
                <c:pt idx="10" formatCode="0.00">
                  <c:v>702.05348114455558</c:v>
                </c:pt>
                <c:pt idx="11" formatCode="0.00">
                  <c:v>710.82576206089925</c:v>
                </c:pt>
              </c:numCache>
            </c:numRef>
          </c:val>
          <c:smooth val="0"/>
          <c:extLst xmlns:c16r2="http://schemas.microsoft.com/office/drawing/2015/06/chart">
            <c:ext xmlns:c16="http://schemas.microsoft.com/office/drawing/2014/chart" uri="{C3380CC4-5D6E-409C-BE32-E72D297353CC}">
              <c16:uniqueId val="{00000006-E43D-4697-89B7-A28090AC3554}"/>
            </c:ext>
          </c:extLst>
        </c:ser>
        <c:ser>
          <c:idx val="3"/>
          <c:order val="3"/>
          <c:tx>
            <c:strRef>
              <c:f>Лист4!$E$1</c:f>
              <c:strCache>
                <c:ptCount val="1"/>
                <c:pt idx="0">
                  <c:v>Высокий ДИ</c:v>
                </c:pt>
              </c:strCache>
            </c:strRef>
          </c:tx>
          <c:spPr>
            <a:ln w="22225" cap="rnd">
              <a:solidFill>
                <a:schemeClr val="accent4"/>
              </a:solidFill>
              <a:round/>
            </a:ln>
            <a:effectLst/>
          </c:spPr>
          <c:marker>
            <c:symbol val="x"/>
            <c:size val="6"/>
            <c:spPr>
              <a:noFill/>
              <a:ln w="9525">
                <a:solidFill>
                  <a:schemeClr val="accent4"/>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Dir val="y"/>
            <c:errBarType val="both"/>
            <c:errValType val="stdErr"/>
            <c:noEndCap val="0"/>
            <c:spPr>
              <a:noFill/>
              <a:ln w="9525">
                <a:solidFill>
                  <a:schemeClr val="tx1">
                    <a:lumMod val="65000"/>
                    <a:lumOff val="35000"/>
                  </a:schemeClr>
                </a:solidFill>
                <a:round/>
              </a:ln>
              <a:effectLst/>
            </c:spPr>
          </c:errBars>
          <c:cat>
            <c:numRef>
              <c:f>Лист4!$A$2:$A$13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Лист4!$E$2:$E$13</c:f>
              <c:numCache>
                <c:formatCode>General</c:formatCode>
                <c:ptCount val="12"/>
                <c:pt idx="9" formatCode="0.00">
                  <c:v>723.75</c:v>
                </c:pt>
                <c:pt idx="10" formatCode="0.00">
                  <c:v>796.51414417434501</c:v>
                </c:pt>
                <c:pt idx="11" formatCode="0.00">
                  <c:v>837.97279706295717</c:v>
                </c:pt>
              </c:numCache>
            </c:numRef>
          </c:val>
          <c:smooth val="0"/>
          <c:extLst xmlns:c16r2="http://schemas.microsoft.com/office/drawing/2015/06/chart">
            <c:ext xmlns:c16="http://schemas.microsoft.com/office/drawing/2014/chart" uri="{C3380CC4-5D6E-409C-BE32-E72D297353CC}">
              <c16:uniqueId val="{00000007-E43D-4697-89B7-A28090AC3554}"/>
            </c:ext>
          </c:extLst>
        </c:ser>
        <c:dLbls>
          <c:dLblPos val="t"/>
          <c:showLegendKey val="0"/>
          <c:showVal val="1"/>
          <c:showCatName val="0"/>
          <c:showSerName val="0"/>
          <c:showPercent val="0"/>
          <c:showBubbleSize val="0"/>
        </c:dLbls>
        <c:marker val="1"/>
        <c:smooth val="0"/>
        <c:axId val="482775424"/>
        <c:axId val="482783656"/>
      </c:lineChart>
      <c:catAx>
        <c:axId val="482775424"/>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mn-lt"/>
                <a:ea typeface="+mn-ea"/>
                <a:cs typeface="+mn-cs"/>
              </a:defRPr>
            </a:pPr>
            <a:endParaRPr lang="ru-RU"/>
          </a:p>
        </c:txPr>
        <c:crossAx val="482783656"/>
        <c:crosses val="autoZero"/>
        <c:auto val="1"/>
        <c:lblAlgn val="ctr"/>
        <c:lblOffset val="100"/>
        <c:noMultiLvlLbl val="0"/>
      </c:catAx>
      <c:valAx>
        <c:axId val="48278365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82775424"/>
        <c:crosses val="autoZero"/>
        <c:crossBetween val="between"/>
      </c:valAx>
      <c:spPr>
        <a:noFill/>
        <a:ln>
          <a:noFill/>
        </a:ln>
        <a:effectLst/>
      </c:spPr>
    </c:plotArea>
    <c:legend>
      <c:legendPos val="b"/>
      <c:layout>
        <c:manualLayout>
          <c:xMode val="edge"/>
          <c:yMode val="edge"/>
          <c:x val="4.9999914505800783E-2"/>
          <c:y val="0.90927355854711711"/>
          <c:w val="0.9"/>
          <c:h val="9.072644145288290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507523516082233E-2"/>
          <c:y val="4.7619047619047616E-2"/>
          <c:w val="0.90871814936176454"/>
          <c:h val="0.80858506323073254"/>
        </c:manualLayout>
      </c:layout>
      <c:lineChart>
        <c:grouping val="standard"/>
        <c:varyColors val="0"/>
        <c:ser>
          <c:idx val="0"/>
          <c:order val="0"/>
          <c:tx>
            <c:strRef>
              <c:f>Лист6!$B$1</c:f>
              <c:strCache>
                <c:ptCount val="1"/>
                <c:pt idx="0">
                  <c:v>женщины</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9050" cap="rnd">
                <a:solidFill>
                  <a:schemeClr val="accent1"/>
                </a:solidFill>
                <a:prstDash val="sysDash"/>
              </a:ln>
              <a:effectLst/>
            </c:spPr>
            <c:trendlineType val="linear"/>
            <c:dispRSqr val="1"/>
            <c:dispEq val="1"/>
            <c:trendlineLbl>
              <c:layout>
                <c:manualLayout>
                  <c:x val="-0.39864804942860405"/>
                  <c:y val="-7.9402801922486957E-2"/>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ru-RU"/>
                </a:p>
              </c:txPr>
            </c:trendlineLbl>
          </c:trendline>
          <c:errBars>
            <c:errDir val="y"/>
            <c:errBarType val="both"/>
            <c:errValType val="stdErr"/>
            <c:noEndCap val="0"/>
            <c:spPr>
              <a:noFill/>
              <a:ln w="9525">
                <a:solidFill>
                  <a:schemeClr val="tx1">
                    <a:lumMod val="65000"/>
                    <a:lumOff val="35000"/>
                  </a:schemeClr>
                </a:solidFill>
                <a:round/>
              </a:ln>
              <a:effectLst/>
            </c:spPr>
          </c:errBars>
          <c:val>
            <c:numRef>
              <c:f>Лист6!$B$2:$B$13</c:f>
              <c:numCache>
                <c:formatCode>General</c:formatCode>
                <c:ptCount val="12"/>
                <c:pt idx="0">
                  <c:v>1144.7</c:v>
                </c:pt>
                <c:pt idx="1">
                  <c:v>1193.98</c:v>
                </c:pt>
                <c:pt idx="2">
                  <c:v>1126.2</c:v>
                </c:pt>
                <c:pt idx="3">
                  <c:v>1125.81</c:v>
                </c:pt>
                <c:pt idx="4">
                  <c:v>1209.95</c:v>
                </c:pt>
                <c:pt idx="5">
                  <c:v>1179.3900000000001</c:v>
                </c:pt>
                <c:pt idx="6">
                  <c:v>1244.23</c:v>
                </c:pt>
                <c:pt idx="7">
                  <c:v>1329.8</c:v>
                </c:pt>
                <c:pt idx="8">
                  <c:v>1357.57</c:v>
                </c:pt>
                <c:pt idx="9">
                  <c:v>1375.05</c:v>
                </c:pt>
              </c:numCache>
            </c:numRef>
          </c:val>
          <c:smooth val="0"/>
          <c:extLst xmlns:c16r2="http://schemas.microsoft.com/office/drawing/2015/06/chart">
            <c:ext xmlns:c16="http://schemas.microsoft.com/office/drawing/2014/chart" uri="{C3380CC4-5D6E-409C-BE32-E72D297353CC}">
              <c16:uniqueId val="{00000000-C6AA-4C7A-B388-1066DC26F0A3}"/>
            </c:ext>
          </c:extLst>
        </c:ser>
        <c:ser>
          <c:idx val="1"/>
          <c:order val="1"/>
          <c:tx>
            <c:strRef>
              <c:f>Лист6!$C$1</c:f>
              <c:strCache>
                <c:ptCount val="1"/>
                <c:pt idx="0">
                  <c:v>Прогноз</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11"/>
              <c:layout>
                <c:manualLayout>
                  <c:x val="-7.567532319329649E-4"/>
                  <c:y val="-4.2966220131574464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6AA-4C7A-B388-1066DC26F0A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Dir val="y"/>
            <c:errBarType val="both"/>
            <c:errValType val="stdErr"/>
            <c:noEndCap val="0"/>
            <c:spPr>
              <a:noFill/>
              <a:ln w="9525">
                <a:solidFill>
                  <a:schemeClr val="tx1">
                    <a:lumMod val="65000"/>
                    <a:lumOff val="35000"/>
                  </a:schemeClr>
                </a:solidFill>
                <a:round/>
              </a:ln>
              <a:effectLst/>
            </c:spPr>
          </c:errBars>
          <c:cat>
            <c:numRef>
              <c:f>Лист6!$A$2:$A$13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Лист6!$C$2:$C$13</c:f>
              <c:numCache>
                <c:formatCode>General</c:formatCode>
                <c:ptCount val="12"/>
                <c:pt idx="9">
                  <c:v>1375.05</c:v>
                </c:pt>
                <c:pt idx="10" formatCode="0.00">
                  <c:v>1404.1906910040127</c:v>
                </c:pt>
                <c:pt idx="11" formatCode="0.00">
                  <c:v>1431.8111224800994</c:v>
                </c:pt>
              </c:numCache>
            </c:numRef>
          </c:val>
          <c:smooth val="0"/>
          <c:extLst xmlns:c16r2="http://schemas.microsoft.com/office/drawing/2015/06/chart">
            <c:ext xmlns:c16="http://schemas.microsoft.com/office/drawing/2014/chart" uri="{C3380CC4-5D6E-409C-BE32-E72D297353CC}">
              <c16:uniqueId val="{00000002-C6AA-4C7A-B388-1066DC26F0A3}"/>
            </c:ext>
          </c:extLst>
        </c:ser>
        <c:ser>
          <c:idx val="2"/>
          <c:order val="2"/>
          <c:tx>
            <c:strRef>
              <c:f>Лист6!$D$1</c:f>
              <c:strCache>
                <c:ptCount val="1"/>
                <c:pt idx="0">
                  <c:v>Низкий ДИ</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dLbl>
              <c:idx val="10"/>
              <c:layout>
                <c:manualLayout>
                  <c:x val="-4.3069398933828926E-2"/>
                  <c:y val="4.765142993489446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6AA-4C7A-B388-1066DC26F0A3}"/>
                </c:ext>
                <c:ext xmlns:c15="http://schemas.microsoft.com/office/drawing/2012/chart" uri="{CE6537A1-D6FC-4f65-9D91-7224C49458BB}"/>
              </c:extLst>
            </c:dLbl>
            <c:dLbl>
              <c:idx val="11"/>
              <c:layout>
                <c:manualLayout>
                  <c:x val="-7.2163805611255112E-3"/>
                  <c:y val="5.198043426389883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6AA-4C7A-B388-1066DC26F0A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Dir val="y"/>
            <c:errBarType val="both"/>
            <c:errValType val="stdErr"/>
            <c:noEndCap val="0"/>
            <c:spPr>
              <a:noFill/>
              <a:ln w="9525">
                <a:solidFill>
                  <a:schemeClr val="tx1">
                    <a:lumMod val="65000"/>
                    <a:lumOff val="35000"/>
                  </a:schemeClr>
                </a:solidFill>
                <a:round/>
              </a:ln>
              <a:effectLst/>
            </c:spPr>
          </c:errBars>
          <c:cat>
            <c:numRef>
              <c:f>Лист6!$A$2:$A$13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Лист6!$D$2:$D$13</c:f>
              <c:numCache>
                <c:formatCode>General</c:formatCode>
                <c:ptCount val="12"/>
                <c:pt idx="9" formatCode="0.00">
                  <c:v>1375.05</c:v>
                </c:pt>
                <c:pt idx="10" formatCode="0.00">
                  <c:v>1315.7078220367871</c:v>
                </c:pt>
                <c:pt idx="11" formatCode="0.00">
                  <c:v>1321.1544239089426</c:v>
                </c:pt>
              </c:numCache>
            </c:numRef>
          </c:val>
          <c:smooth val="0"/>
          <c:extLst xmlns:c16r2="http://schemas.microsoft.com/office/drawing/2015/06/chart">
            <c:ext xmlns:c16="http://schemas.microsoft.com/office/drawing/2014/chart" uri="{C3380CC4-5D6E-409C-BE32-E72D297353CC}">
              <c16:uniqueId val="{00000005-C6AA-4C7A-B388-1066DC26F0A3}"/>
            </c:ext>
          </c:extLst>
        </c:ser>
        <c:ser>
          <c:idx val="3"/>
          <c:order val="3"/>
          <c:tx>
            <c:strRef>
              <c:f>Лист6!$E$1</c:f>
              <c:strCache>
                <c:ptCount val="1"/>
                <c:pt idx="0">
                  <c:v>Высокий ДИ</c:v>
                </c:pt>
              </c:strCache>
            </c:strRef>
          </c:tx>
          <c:spPr>
            <a:ln w="22225" cap="rnd">
              <a:solidFill>
                <a:schemeClr val="accent4"/>
              </a:solidFill>
              <a:round/>
            </a:ln>
            <a:effectLst/>
          </c:spPr>
          <c:marker>
            <c:symbol val="x"/>
            <c:size val="6"/>
            <c:spPr>
              <a:noFill/>
              <a:ln w="9525">
                <a:solidFill>
                  <a:schemeClr val="accent4"/>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Dir val="y"/>
            <c:errBarType val="both"/>
            <c:errValType val="stdErr"/>
            <c:noEndCap val="0"/>
            <c:spPr>
              <a:noFill/>
              <a:ln w="9525">
                <a:solidFill>
                  <a:schemeClr val="tx1">
                    <a:lumMod val="65000"/>
                    <a:lumOff val="35000"/>
                  </a:schemeClr>
                </a:solidFill>
                <a:round/>
              </a:ln>
              <a:effectLst/>
            </c:spPr>
          </c:errBars>
          <c:cat>
            <c:numRef>
              <c:f>Лист6!$A$2:$A$13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Лист6!$E$2:$E$13</c:f>
              <c:numCache>
                <c:formatCode>General</c:formatCode>
                <c:ptCount val="12"/>
                <c:pt idx="9" formatCode="0.00">
                  <c:v>1375.05</c:v>
                </c:pt>
                <c:pt idx="10" formatCode="0.00">
                  <c:v>1492.6735599712383</c:v>
                </c:pt>
                <c:pt idx="11" formatCode="0.00">
                  <c:v>1542.4678210512561</c:v>
                </c:pt>
              </c:numCache>
            </c:numRef>
          </c:val>
          <c:smooth val="0"/>
          <c:extLst xmlns:c16r2="http://schemas.microsoft.com/office/drawing/2015/06/chart">
            <c:ext xmlns:c16="http://schemas.microsoft.com/office/drawing/2014/chart" uri="{C3380CC4-5D6E-409C-BE32-E72D297353CC}">
              <c16:uniqueId val="{00000006-C6AA-4C7A-B388-1066DC26F0A3}"/>
            </c:ext>
          </c:extLst>
        </c:ser>
        <c:dLbls>
          <c:dLblPos val="t"/>
          <c:showLegendKey val="0"/>
          <c:showVal val="1"/>
          <c:showCatName val="0"/>
          <c:showSerName val="0"/>
          <c:showPercent val="0"/>
          <c:showBubbleSize val="0"/>
        </c:dLbls>
        <c:marker val="1"/>
        <c:smooth val="0"/>
        <c:axId val="482775816"/>
        <c:axId val="482785224"/>
      </c:lineChart>
      <c:catAx>
        <c:axId val="482775816"/>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mn-lt"/>
                <a:ea typeface="+mn-ea"/>
                <a:cs typeface="+mn-cs"/>
              </a:defRPr>
            </a:pPr>
            <a:endParaRPr lang="ru-RU"/>
          </a:p>
        </c:txPr>
        <c:crossAx val="482785224"/>
        <c:crosses val="autoZero"/>
        <c:auto val="1"/>
        <c:lblAlgn val="ctr"/>
        <c:lblOffset val="100"/>
        <c:noMultiLvlLbl val="0"/>
      </c:catAx>
      <c:valAx>
        <c:axId val="482785224"/>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82775816"/>
        <c:crosses val="autoZero"/>
        <c:crossBetween val="between"/>
      </c:valAx>
      <c:spPr>
        <a:noFill/>
        <a:ln>
          <a:noFill/>
        </a:ln>
        <a:effectLst/>
      </c:spPr>
    </c:plotArea>
    <c:legend>
      <c:legendPos val="b"/>
      <c:layout>
        <c:manualLayout>
          <c:xMode val="edge"/>
          <c:yMode val="edge"/>
          <c:x val="0.05"/>
          <c:y val="0.91828953199031937"/>
          <c:w val="0.9"/>
          <c:h val="7.305245935167195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702759981089321"/>
          <c:y val="4.7619047619047616E-2"/>
          <c:w val="0.81019807306695357"/>
          <c:h val="0.80758223403892693"/>
        </c:manualLayout>
      </c:layout>
      <c:lineChart>
        <c:grouping val="standard"/>
        <c:varyColors val="0"/>
        <c:ser>
          <c:idx val="0"/>
          <c:order val="0"/>
          <c:tx>
            <c:strRef>
              <c:f>Лист6!$B$1</c:f>
              <c:strCache>
                <c:ptCount val="1"/>
                <c:pt idx="0">
                  <c:v>Стоимость</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2"/>
              <c:layout>
                <c:manualLayout>
                  <c:x val="-8.7029067018796605E-2"/>
                  <c:y val="-2.810614582268133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9BF-4E53-8E67-3DA267C5D569}"/>
                </c:ext>
                <c:ext xmlns:c15="http://schemas.microsoft.com/office/drawing/2012/chart" uri="{CE6537A1-D6FC-4f65-9D91-7224C49458BB}"/>
              </c:extLst>
            </c:dLbl>
            <c:dLbl>
              <c:idx val="4"/>
              <c:layout>
                <c:manualLayout>
                  <c:x val="-7.6677100145090632E-2"/>
                  <c:y val="-6.706718478372029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9BF-4E53-8E67-3DA267C5D56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36811528993658399"/>
                  <c:y val="-9.025326379657087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trendlineLbl>
          </c:trendline>
          <c:errBars>
            <c:errDir val="y"/>
            <c:errBarType val="both"/>
            <c:errValType val="stdErr"/>
            <c:noEndCap val="0"/>
            <c:spPr>
              <a:noFill/>
              <a:ln w="9525" cap="flat" cmpd="sng" algn="ctr">
                <a:solidFill>
                  <a:schemeClr val="tx1">
                    <a:lumMod val="65000"/>
                    <a:lumOff val="35000"/>
                  </a:schemeClr>
                </a:solidFill>
                <a:round/>
              </a:ln>
              <a:effectLst/>
            </c:spPr>
          </c:errBars>
          <c:val>
            <c:numRef>
              <c:f>Лист6!$B$2:$B$10</c:f>
              <c:numCache>
                <c:formatCode>#,##0.00</c:formatCode>
                <c:ptCount val="9"/>
                <c:pt idx="0">
                  <c:v>354926106.30000001</c:v>
                </c:pt>
                <c:pt idx="1">
                  <c:v>723547926.91999996</c:v>
                </c:pt>
                <c:pt idx="2">
                  <c:v>1864944358.9000001</c:v>
                </c:pt>
                <c:pt idx="3">
                  <c:v>1967180871.27</c:v>
                </c:pt>
                <c:pt idx="4">
                  <c:v>2272385851.27</c:v>
                </c:pt>
                <c:pt idx="5">
                  <c:v>3614677000.71</c:v>
                </c:pt>
                <c:pt idx="6">
                  <c:v>5341889235.1400003</c:v>
                </c:pt>
              </c:numCache>
            </c:numRef>
          </c:val>
          <c:smooth val="0"/>
          <c:extLst xmlns:c16r2="http://schemas.microsoft.com/office/drawing/2015/06/chart">
            <c:ext xmlns:c16="http://schemas.microsoft.com/office/drawing/2014/chart" uri="{C3380CC4-5D6E-409C-BE32-E72D297353CC}">
              <c16:uniqueId val="{00000002-F9BF-4E53-8E67-3DA267C5D569}"/>
            </c:ext>
          </c:extLst>
        </c:ser>
        <c:ser>
          <c:idx val="1"/>
          <c:order val="1"/>
          <c:tx>
            <c:strRef>
              <c:f>Лист6!$C$1</c:f>
              <c:strCache>
                <c:ptCount val="1"/>
                <c:pt idx="0">
                  <c:v>Прогноз</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7"/>
              <c:layout>
                <c:manualLayout>
                  <c:x val="-7.0465920020866962E-2"/>
                  <c:y val="2.817091045437498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9BF-4E53-8E67-3DA267C5D569}"/>
                </c:ext>
                <c:ext xmlns:c15="http://schemas.microsoft.com/office/drawing/2012/chart" uri="{CE6537A1-D6FC-4f65-9D91-7224C49458BB}"/>
              </c:extLst>
            </c:dLbl>
            <c:dLbl>
              <c:idx val="8"/>
              <c:layout>
                <c:manualLayout>
                  <c:x val="0"/>
                  <c:y val="2.384190612537065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9BF-4E53-8E67-3DA267C5D56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stdErr"/>
            <c:noEndCap val="0"/>
            <c:spPr>
              <a:noFill/>
              <a:ln w="9525" cap="flat" cmpd="sng" algn="ctr">
                <a:solidFill>
                  <a:schemeClr val="tx1">
                    <a:lumMod val="65000"/>
                    <a:lumOff val="35000"/>
                  </a:schemeClr>
                </a:solidFill>
                <a:round/>
              </a:ln>
              <a:effectLst/>
            </c:spPr>
          </c:errBars>
          <c:cat>
            <c:numRef>
              <c:f>Лист6!$A$2:$A$10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Лист6!$C$2:$C$10</c:f>
              <c:numCache>
                <c:formatCode>General</c:formatCode>
                <c:ptCount val="9"/>
                <c:pt idx="6" formatCode="#,##0.00">
                  <c:v>5341889235.1400003</c:v>
                </c:pt>
                <c:pt idx="7" formatCode="#,##0.00">
                  <c:v>5450848303.9140415</c:v>
                </c:pt>
                <c:pt idx="8" formatCode="#,##0.00">
                  <c:v>6204762566.3847828</c:v>
                </c:pt>
              </c:numCache>
            </c:numRef>
          </c:val>
          <c:smooth val="0"/>
          <c:extLst xmlns:c16r2="http://schemas.microsoft.com/office/drawing/2015/06/chart">
            <c:ext xmlns:c16="http://schemas.microsoft.com/office/drawing/2014/chart" uri="{C3380CC4-5D6E-409C-BE32-E72D297353CC}">
              <c16:uniqueId val="{00000005-F9BF-4E53-8E67-3DA267C5D569}"/>
            </c:ext>
          </c:extLst>
        </c:ser>
        <c:ser>
          <c:idx val="2"/>
          <c:order val="2"/>
          <c:tx>
            <c:strRef>
              <c:f>Лист6!$D$1</c:f>
              <c:strCache>
                <c:ptCount val="1"/>
                <c:pt idx="0">
                  <c:v>95% ДИ (нижний)</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7"/>
              <c:layout>
                <c:manualLayout>
                  <c:x val="-9.5310640517761364E-2"/>
                  <c:y val="6.280294508640957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F9BF-4E53-8E67-3DA267C5D569}"/>
                </c:ext>
                <c:ext xmlns:c15="http://schemas.microsoft.com/office/drawing/2012/chart" uri="{CE6537A1-D6FC-4f65-9D91-7224C49458BB}"/>
              </c:extLst>
            </c:dLbl>
            <c:dLbl>
              <c:idx val="8"/>
              <c:layout>
                <c:manualLayout>
                  <c:x val="0"/>
                  <c:y val="5.847394075740536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F9BF-4E53-8E67-3DA267C5D56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stdErr"/>
            <c:noEndCap val="0"/>
            <c:spPr>
              <a:noFill/>
              <a:ln w="9525" cap="flat" cmpd="sng" algn="ctr">
                <a:solidFill>
                  <a:schemeClr val="tx1">
                    <a:lumMod val="65000"/>
                    <a:lumOff val="35000"/>
                  </a:schemeClr>
                </a:solidFill>
                <a:round/>
              </a:ln>
              <a:effectLst/>
            </c:spPr>
          </c:errBars>
          <c:cat>
            <c:numRef>
              <c:f>Лист6!$A$2:$A$10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Лист6!$D$2:$D$10</c:f>
              <c:numCache>
                <c:formatCode>General</c:formatCode>
                <c:ptCount val="9"/>
                <c:pt idx="6" formatCode="#,##0.00">
                  <c:v>5341889235.1400003</c:v>
                </c:pt>
                <c:pt idx="7" formatCode="#,##0.00">
                  <c:v>4375261158.3307533</c:v>
                </c:pt>
                <c:pt idx="8" formatCode="#,##0.00">
                  <c:v>5120536045.0423985</c:v>
                </c:pt>
              </c:numCache>
            </c:numRef>
          </c:val>
          <c:smooth val="0"/>
          <c:extLst xmlns:c16r2="http://schemas.microsoft.com/office/drawing/2015/06/chart">
            <c:ext xmlns:c16="http://schemas.microsoft.com/office/drawing/2014/chart" uri="{C3380CC4-5D6E-409C-BE32-E72D297353CC}">
              <c16:uniqueId val="{00000008-F9BF-4E53-8E67-3DA267C5D569}"/>
            </c:ext>
          </c:extLst>
        </c:ser>
        <c:ser>
          <c:idx val="3"/>
          <c:order val="3"/>
          <c:tx>
            <c:strRef>
              <c:f>Лист6!$E$1</c:f>
              <c:strCache>
                <c:ptCount val="1"/>
                <c:pt idx="0">
                  <c:v>95% ДИ (высокий)</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stdErr"/>
            <c:noEndCap val="0"/>
            <c:spPr>
              <a:noFill/>
              <a:ln w="9525" cap="flat" cmpd="sng" algn="ctr">
                <a:solidFill>
                  <a:schemeClr val="tx1">
                    <a:lumMod val="65000"/>
                    <a:lumOff val="35000"/>
                  </a:schemeClr>
                </a:solidFill>
                <a:round/>
              </a:ln>
              <a:effectLst/>
            </c:spPr>
          </c:errBars>
          <c:cat>
            <c:numRef>
              <c:f>Лист6!$A$2:$A$10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Лист6!$E$2:$E$10</c:f>
              <c:numCache>
                <c:formatCode>General</c:formatCode>
                <c:ptCount val="9"/>
                <c:pt idx="6" formatCode="#,##0.00">
                  <c:v>5341889235.1400003</c:v>
                </c:pt>
                <c:pt idx="7" formatCode="#,##0.00">
                  <c:v>6526435449.4973297</c:v>
                </c:pt>
                <c:pt idx="8" formatCode="#,##0.00">
                  <c:v>7288989087.7271671</c:v>
                </c:pt>
              </c:numCache>
            </c:numRef>
          </c:val>
          <c:smooth val="0"/>
          <c:extLst xmlns:c16r2="http://schemas.microsoft.com/office/drawing/2015/06/chart">
            <c:ext xmlns:c16="http://schemas.microsoft.com/office/drawing/2014/chart" uri="{C3380CC4-5D6E-409C-BE32-E72D297353CC}">
              <c16:uniqueId val="{00000009-F9BF-4E53-8E67-3DA267C5D569}"/>
            </c:ext>
          </c:extLst>
        </c:ser>
        <c:dLbls>
          <c:dLblPos val="t"/>
          <c:showLegendKey val="0"/>
          <c:showVal val="1"/>
          <c:showCatName val="0"/>
          <c:showSerName val="0"/>
          <c:showPercent val="0"/>
          <c:showBubbleSize val="0"/>
        </c:dLbls>
        <c:marker val="1"/>
        <c:smooth val="0"/>
        <c:axId val="482776992"/>
        <c:axId val="482777776"/>
      </c:lineChart>
      <c:catAx>
        <c:axId val="482776992"/>
        <c:scaling>
          <c:orientation val="minMax"/>
        </c:scaling>
        <c:delete val="0"/>
        <c:axPos val="b"/>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82777776"/>
        <c:crosses val="autoZero"/>
        <c:auto val="1"/>
        <c:lblAlgn val="ctr"/>
        <c:lblOffset val="100"/>
        <c:noMultiLvlLbl val="0"/>
      </c:catAx>
      <c:valAx>
        <c:axId val="4827777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82776992"/>
        <c:crosses val="autoZero"/>
        <c:crossBetween val="between"/>
      </c:valAx>
      <c:spPr>
        <a:noFill/>
        <a:ln>
          <a:noFill/>
        </a:ln>
        <a:effectLst/>
      </c:spPr>
    </c:plotArea>
    <c:legend>
      <c:legendPos val="b"/>
      <c:legendEntry>
        <c:idx val="5"/>
        <c:delete val="1"/>
      </c:legendEntry>
      <c:layout>
        <c:manualLayout>
          <c:xMode val="edge"/>
          <c:yMode val="edge"/>
          <c:x val="1.4042320796856914E-2"/>
          <c:y val="0.92965265705423183"/>
          <c:w val="0.96777457165680358"/>
          <c:h val="6.601833861676381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13294533835444"/>
          <c:y val="4.7619047619047616E-2"/>
          <c:w val="0.8620927275394924"/>
          <c:h val="0.77295019940689236"/>
        </c:manualLayout>
      </c:layout>
      <c:lineChart>
        <c:grouping val="standard"/>
        <c:varyColors val="0"/>
        <c:ser>
          <c:idx val="0"/>
          <c:order val="0"/>
          <c:tx>
            <c:strRef>
              <c:f>Лист4!$B$1</c:f>
              <c:strCache>
                <c:ptCount val="1"/>
                <c:pt idx="0">
                  <c:v>Стоимость</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1"/>
            <c:dispEq val="1"/>
            <c:trendlineLbl>
              <c:layout>
                <c:manualLayout>
                  <c:x val="-0.36785135553707959"/>
                  <c:y val="-7.0889661519582786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trendlineLbl>
          </c:trendline>
          <c:errBars>
            <c:errDir val="y"/>
            <c:errBarType val="both"/>
            <c:errValType val="stdErr"/>
            <c:noEndCap val="0"/>
            <c:spPr>
              <a:noFill/>
              <a:ln w="9525" cap="flat" cmpd="sng" algn="ctr">
                <a:solidFill>
                  <a:schemeClr val="tx1">
                    <a:lumMod val="65000"/>
                    <a:lumOff val="35000"/>
                  </a:schemeClr>
                </a:solidFill>
                <a:round/>
              </a:ln>
              <a:effectLst/>
            </c:spPr>
          </c:errBars>
          <c:val>
            <c:numRef>
              <c:f>Лист4!$B$2:$B$10</c:f>
              <c:numCache>
                <c:formatCode>#,##0.00</c:formatCode>
                <c:ptCount val="9"/>
                <c:pt idx="0">
                  <c:v>15057.11</c:v>
                </c:pt>
                <c:pt idx="1">
                  <c:v>24019.78</c:v>
                </c:pt>
                <c:pt idx="2">
                  <c:v>56261.14</c:v>
                </c:pt>
                <c:pt idx="3">
                  <c:v>56185.9</c:v>
                </c:pt>
                <c:pt idx="4">
                  <c:v>64488.63</c:v>
                </c:pt>
                <c:pt idx="5">
                  <c:v>95507.62</c:v>
                </c:pt>
                <c:pt idx="6">
                  <c:v>126648.08</c:v>
                </c:pt>
              </c:numCache>
            </c:numRef>
          </c:val>
          <c:smooth val="0"/>
          <c:extLst xmlns:c16r2="http://schemas.microsoft.com/office/drawing/2015/06/chart">
            <c:ext xmlns:c16="http://schemas.microsoft.com/office/drawing/2014/chart" uri="{C3380CC4-5D6E-409C-BE32-E72D297353CC}">
              <c16:uniqueId val="{00000000-0089-4915-9216-0234C28CFC90}"/>
            </c:ext>
          </c:extLst>
        </c:ser>
        <c:ser>
          <c:idx val="1"/>
          <c:order val="1"/>
          <c:tx>
            <c:strRef>
              <c:f>Лист4!$C$1</c:f>
              <c:strCache>
                <c:ptCount val="1"/>
                <c:pt idx="0">
                  <c:v>Прогноз</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7"/>
              <c:layout>
                <c:manualLayout>
                  <c:x val="-5.565217391304348E-2"/>
                  <c:y val="2.384190612537069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089-4915-9216-0234C28CFC90}"/>
                </c:ext>
                <c:ext xmlns:c15="http://schemas.microsoft.com/office/drawing/2012/chart" uri="{CE6537A1-D6FC-4f65-9D91-7224C49458BB}"/>
              </c:extLst>
            </c:dLbl>
            <c:dLbl>
              <c:idx val="8"/>
              <c:layout>
                <c:manualLayout>
                  <c:x val="-3.6290572374105411E-3"/>
                  <c:y val="2.817091045437498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089-4915-9216-0234C28CFC9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stdErr"/>
            <c:noEndCap val="0"/>
            <c:spPr>
              <a:noFill/>
              <a:ln w="9525" cap="flat" cmpd="sng" algn="ctr">
                <a:solidFill>
                  <a:schemeClr val="tx1">
                    <a:lumMod val="65000"/>
                    <a:lumOff val="35000"/>
                  </a:schemeClr>
                </a:solidFill>
                <a:round/>
              </a:ln>
              <a:effectLst/>
            </c:spPr>
          </c:errBars>
          <c:cat>
            <c:numRef>
              <c:f>Лист4!$A$2:$A$10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Лист4!$C$2:$C$10</c:f>
              <c:numCache>
                <c:formatCode>General</c:formatCode>
                <c:ptCount val="9"/>
                <c:pt idx="6" formatCode="#,##0.00">
                  <c:v>126648.08</c:v>
                </c:pt>
                <c:pt idx="7" formatCode="#,##0.00">
                  <c:v>134147.33869840018</c:v>
                </c:pt>
                <c:pt idx="8" formatCode="#,##0.00">
                  <c:v>151480.67753476687</c:v>
                </c:pt>
              </c:numCache>
            </c:numRef>
          </c:val>
          <c:smooth val="0"/>
          <c:extLst xmlns:c16r2="http://schemas.microsoft.com/office/drawing/2015/06/chart">
            <c:ext xmlns:c16="http://schemas.microsoft.com/office/drawing/2014/chart" uri="{C3380CC4-5D6E-409C-BE32-E72D297353CC}">
              <c16:uniqueId val="{00000003-0089-4915-9216-0234C28CFC90}"/>
            </c:ext>
          </c:extLst>
        </c:ser>
        <c:ser>
          <c:idx val="2"/>
          <c:order val="2"/>
          <c:tx>
            <c:strRef>
              <c:f>Лист4!$D$1</c:f>
              <c:strCache>
                <c:ptCount val="1"/>
                <c:pt idx="0">
                  <c:v>95% ДИ (нижний)</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7"/>
              <c:layout>
                <c:manualLayout>
                  <c:x val="-5.9792960662525881E-2"/>
                  <c:y val="4.981593209939666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089-4915-9216-0234C28CFC90}"/>
                </c:ext>
                <c:ext xmlns:c15="http://schemas.microsoft.com/office/drawing/2012/chart" uri="{CE6537A1-D6FC-4f65-9D91-7224C49458BB}"/>
              </c:extLst>
            </c:dLbl>
            <c:dLbl>
              <c:idx val="8"/>
              <c:layout>
                <c:manualLayout>
                  <c:x val="-2.0192204235340301E-2"/>
                  <c:y val="3.68289191123836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089-4915-9216-0234C28CFC9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stdErr"/>
            <c:noEndCap val="0"/>
            <c:spPr>
              <a:noFill/>
              <a:ln w="9525" cap="flat" cmpd="sng" algn="ctr">
                <a:solidFill>
                  <a:schemeClr val="tx1">
                    <a:lumMod val="65000"/>
                    <a:lumOff val="35000"/>
                  </a:schemeClr>
                </a:solidFill>
                <a:round/>
              </a:ln>
              <a:effectLst/>
            </c:spPr>
          </c:errBars>
          <c:cat>
            <c:numRef>
              <c:f>Лист4!$A$2:$A$10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Лист4!$D$2:$D$10</c:f>
              <c:numCache>
                <c:formatCode>General</c:formatCode>
                <c:ptCount val="9"/>
                <c:pt idx="6" formatCode="#,##0.00">
                  <c:v>126648.08</c:v>
                </c:pt>
                <c:pt idx="7" formatCode="#,##0.00">
                  <c:v>114213.60586094832</c:v>
                </c:pt>
                <c:pt idx="8" formatCode="#,##0.00">
                  <c:v>131445.53066787499</c:v>
                </c:pt>
              </c:numCache>
            </c:numRef>
          </c:val>
          <c:smooth val="0"/>
          <c:extLst xmlns:c16r2="http://schemas.microsoft.com/office/drawing/2015/06/chart">
            <c:ext xmlns:c16="http://schemas.microsoft.com/office/drawing/2014/chart" uri="{C3380CC4-5D6E-409C-BE32-E72D297353CC}">
              <c16:uniqueId val="{00000006-0089-4915-9216-0234C28CFC90}"/>
            </c:ext>
          </c:extLst>
        </c:ser>
        <c:ser>
          <c:idx val="3"/>
          <c:order val="3"/>
          <c:tx>
            <c:strRef>
              <c:f>Лист4!$E$1</c:f>
              <c:strCache>
                <c:ptCount val="1"/>
                <c:pt idx="0">
                  <c:v>95% ДИ (высокий)</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stdErr"/>
            <c:noEndCap val="0"/>
            <c:spPr>
              <a:noFill/>
              <a:ln w="9525" cap="flat" cmpd="sng" algn="ctr">
                <a:solidFill>
                  <a:schemeClr val="tx1">
                    <a:lumMod val="65000"/>
                    <a:lumOff val="35000"/>
                  </a:schemeClr>
                </a:solidFill>
                <a:round/>
              </a:ln>
              <a:effectLst/>
            </c:spPr>
          </c:errBars>
          <c:cat>
            <c:numRef>
              <c:f>Лист4!$A$2:$A$10</c:f>
              <c:numCache>
                <c:formatCode>General</c:formatCode>
                <c:ptCount val="9"/>
                <c:pt idx="0">
                  <c:v>2015</c:v>
                </c:pt>
                <c:pt idx="1">
                  <c:v>2016</c:v>
                </c:pt>
                <c:pt idx="2">
                  <c:v>2017</c:v>
                </c:pt>
                <c:pt idx="3">
                  <c:v>2018</c:v>
                </c:pt>
                <c:pt idx="4">
                  <c:v>2019</c:v>
                </c:pt>
                <c:pt idx="5">
                  <c:v>2020</c:v>
                </c:pt>
                <c:pt idx="6">
                  <c:v>2021</c:v>
                </c:pt>
                <c:pt idx="7">
                  <c:v>2022</c:v>
                </c:pt>
                <c:pt idx="8">
                  <c:v>2023</c:v>
                </c:pt>
              </c:numCache>
            </c:numRef>
          </c:cat>
          <c:val>
            <c:numRef>
              <c:f>Лист4!$E$2:$E$10</c:f>
              <c:numCache>
                <c:formatCode>General</c:formatCode>
                <c:ptCount val="9"/>
                <c:pt idx="6" formatCode="#,##0.00">
                  <c:v>126648.08</c:v>
                </c:pt>
                <c:pt idx="7" formatCode="#,##0.00">
                  <c:v>154081.07153585204</c:v>
                </c:pt>
                <c:pt idx="8" formatCode="#,##0.00">
                  <c:v>171515.82440165876</c:v>
                </c:pt>
              </c:numCache>
            </c:numRef>
          </c:val>
          <c:smooth val="0"/>
          <c:extLst xmlns:c16r2="http://schemas.microsoft.com/office/drawing/2015/06/chart">
            <c:ext xmlns:c16="http://schemas.microsoft.com/office/drawing/2014/chart" uri="{C3380CC4-5D6E-409C-BE32-E72D297353CC}">
              <c16:uniqueId val="{00000007-0089-4915-9216-0234C28CFC90}"/>
            </c:ext>
          </c:extLst>
        </c:ser>
        <c:dLbls>
          <c:dLblPos val="t"/>
          <c:showLegendKey val="0"/>
          <c:showVal val="1"/>
          <c:showCatName val="0"/>
          <c:showSerName val="0"/>
          <c:showPercent val="0"/>
          <c:showBubbleSize val="0"/>
        </c:dLbls>
        <c:marker val="1"/>
        <c:smooth val="0"/>
        <c:axId val="482778560"/>
        <c:axId val="482780912"/>
      </c:lineChart>
      <c:catAx>
        <c:axId val="482778560"/>
        <c:scaling>
          <c:orientation val="minMax"/>
        </c:scaling>
        <c:delete val="0"/>
        <c:axPos val="b"/>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82780912"/>
        <c:crosses val="autoZero"/>
        <c:auto val="1"/>
        <c:lblAlgn val="ctr"/>
        <c:lblOffset val="100"/>
        <c:noMultiLvlLbl val="0"/>
      </c:catAx>
      <c:valAx>
        <c:axId val="4827809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82778560"/>
        <c:crosses val="autoZero"/>
        <c:crossBetween val="between"/>
      </c:valAx>
      <c:spPr>
        <a:noFill/>
        <a:ln>
          <a:noFill/>
        </a:ln>
        <a:effectLst/>
      </c:spPr>
    </c:plotArea>
    <c:legend>
      <c:legendPos val="b"/>
      <c:layout>
        <c:manualLayout>
          <c:xMode val="edge"/>
          <c:yMode val="edge"/>
          <c:x val="1.6112714171598114E-2"/>
          <c:y val="0.89502062242219727"/>
          <c:w val="0.96570417828206256"/>
          <c:h val="0.1049793775778027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8.7456255468066485E-2"/>
          <c:w val="1"/>
          <c:h val="0.5067971711869350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B3D-4A27-A95B-B3F1B1B308F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B3D-4A27-A95B-B3F1B1B308F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CB3D-4A27-A95B-B3F1B1B308F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CB3D-4A27-A95B-B3F1B1B308F3}"/>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CB3D-4A27-A95B-B3F1B1B308F3}"/>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CB3D-4A27-A95B-B3F1B1B308F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Лист34!$C$14:$C$19</c:f>
              <c:strCache>
                <c:ptCount val="6"/>
                <c:pt idx="0">
                  <c:v>Никем</c:v>
                </c:pt>
                <c:pt idx="1">
                  <c:v>Самостоятельно, опираясь полученным знаниям от ШД</c:v>
                </c:pt>
                <c:pt idx="2">
                  <c:v>Врачом эндокринологом</c:v>
                </c:pt>
                <c:pt idx="3">
                  <c:v>Медсестрой эндокринолога</c:v>
                </c:pt>
                <c:pt idx="4">
                  <c:v>Врачом кардиологом</c:v>
                </c:pt>
                <c:pt idx="5">
                  <c:v>Врачом невропатологом</c:v>
                </c:pt>
              </c:strCache>
            </c:strRef>
          </c:cat>
          <c:val>
            <c:numRef>
              <c:f>Лист34!$K$14:$K$19</c:f>
              <c:numCache>
                <c:formatCode>0%</c:formatCode>
                <c:ptCount val="6"/>
                <c:pt idx="0" formatCode="0.00%">
                  <c:v>8.5999999999999993E-2</c:v>
                </c:pt>
                <c:pt idx="1">
                  <c:v>0.4</c:v>
                </c:pt>
                <c:pt idx="2">
                  <c:v>0</c:v>
                </c:pt>
                <c:pt idx="3" formatCode="0.00%">
                  <c:v>0.42899999999999999</c:v>
                </c:pt>
                <c:pt idx="4" formatCode="0.00%">
                  <c:v>8.5999999999999993E-2</c:v>
                </c:pt>
                <c:pt idx="5">
                  <c:v>0</c:v>
                </c:pt>
              </c:numCache>
            </c:numRef>
          </c:val>
          <c:extLst xmlns:c16r2="http://schemas.microsoft.com/office/drawing/2015/06/chart">
            <c:ext xmlns:c16="http://schemas.microsoft.com/office/drawing/2014/chart" uri="{C3380CC4-5D6E-409C-BE32-E72D297353CC}">
              <c16:uniqueId val="{0000000C-CB3D-4A27-A95B-B3F1B1B308F3}"/>
            </c:ext>
          </c:extLst>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3.0824146981627297E-2"/>
          <c:y val="0.66319116360454955"/>
          <c:w val="0.88279593175853022"/>
          <c:h val="0.3090310586176727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solidFill>
            <a:sysClr val="windowText" lastClr="000000"/>
          </a:solidFill>
        </a:defRPr>
      </a:pPr>
      <a:endParaRPr lang="ru-RU"/>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3333333333333333E-2"/>
          <c:y val="8.7261179038319661E-2"/>
          <c:w val="0.94444444444444442"/>
          <c:h val="0.56891511063063649"/>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DA4-48E8-8E4B-21E9194BE33F}"/>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DA4-48E8-8E4B-21E9194BE33F}"/>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DA4-48E8-8E4B-21E9194BE33F}"/>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1DA4-48E8-8E4B-21E9194BE33F}"/>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1DA4-48E8-8E4B-21E9194BE33F}"/>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1DA4-48E8-8E4B-21E9194BE33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Лист34!$C$2:$C$7</c:f>
              <c:strCache>
                <c:ptCount val="6"/>
                <c:pt idx="0">
                  <c:v>Если есть жалобы на нарушение менструального цикла</c:v>
                </c:pt>
                <c:pt idx="1">
                  <c:v>Если есть проблемы с зачатием ребенка</c:v>
                </c:pt>
                <c:pt idx="2">
                  <c:v>Молодой возраст и есть клинические симптомы</c:v>
                </c:pt>
                <c:pt idx="3">
                  <c:v>Направляю гинекологу</c:v>
                </c:pt>
                <c:pt idx="4">
                  <c:v>направлен гинекологом с установленным диагнозом</c:v>
                </c:pt>
                <c:pt idx="5">
                  <c:v>Не провожу</c:v>
                </c:pt>
              </c:strCache>
            </c:strRef>
          </c:cat>
          <c:val>
            <c:numRef>
              <c:f>Лист34!$K$2:$K$7</c:f>
              <c:numCache>
                <c:formatCode>0.00%</c:formatCode>
                <c:ptCount val="6"/>
                <c:pt idx="0">
                  <c:v>0.48599999999999999</c:v>
                </c:pt>
                <c:pt idx="1">
                  <c:v>0.25700000000000001</c:v>
                </c:pt>
                <c:pt idx="2">
                  <c:v>8.5999999999999993E-2</c:v>
                </c:pt>
                <c:pt idx="3">
                  <c:v>0.114</c:v>
                </c:pt>
                <c:pt idx="4" formatCode="0%">
                  <c:v>0</c:v>
                </c:pt>
                <c:pt idx="5">
                  <c:v>5.7000000000000002E-2</c:v>
                </c:pt>
              </c:numCache>
            </c:numRef>
          </c:val>
          <c:extLst xmlns:c16r2="http://schemas.microsoft.com/office/drawing/2015/06/chart">
            <c:ext xmlns:c16="http://schemas.microsoft.com/office/drawing/2014/chart" uri="{C3380CC4-5D6E-409C-BE32-E72D297353CC}">
              <c16:uniqueId val="{0000000C-1DA4-48E8-8E4B-21E9194BE33F}"/>
            </c:ext>
          </c:extLst>
        </c:ser>
        <c:dLbls>
          <c:dLblPos val="bestFit"/>
          <c:showLegendKey val="0"/>
          <c:showVal val="1"/>
          <c:showCatName val="0"/>
          <c:showSerName val="0"/>
          <c:showPercent val="0"/>
          <c:showBubbleSize val="0"/>
          <c:showLeaderLines val="1"/>
        </c:dLbls>
      </c:pie3DChart>
      <c:spPr>
        <a:noFill/>
        <a:ln>
          <a:solidFill>
            <a:schemeClr val="bg1"/>
          </a:solidFill>
        </a:ln>
        <a:effectLst/>
      </c:spPr>
    </c:plotArea>
    <c:legend>
      <c:legendPos val="b"/>
      <c:layout>
        <c:manualLayout>
          <c:xMode val="edge"/>
          <c:yMode val="edge"/>
          <c:x val="6.3241469816272952E-3"/>
          <c:y val="0.64481342894686833"/>
          <c:w val="0.96790704286964124"/>
          <c:h val="0.3274090544028479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702296290119558"/>
          <c:y val="6.0109289617486336E-2"/>
          <c:w val="0.4751858513903614"/>
          <c:h val="0.69724968805128862"/>
        </c:manualLayout>
      </c:layout>
      <c:barChart>
        <c:barDir val="bar"/>
        <c:grouping val="clustered"/>
        <c:varyColors val="0"/>
        <c:ser>
          <c:idx val="0"/>
          <c:order val="0"/>
          <c:spPr>
            <a:solidFill>
              <a:schemeClr val="accent1"/>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Лист20!$B$9:$B$13</c:f>
              <c:strCache>
                <c:ptCount val="5"/>
                <c:pt idx="0">
                  <c:v>Дебют заболевания;</c:v>
                </c:pt>
                <c:pt idx="1">
                  <c:v>Появление или значительное прогрессирование осложнений течен</c:v>
                </c:pt>
                <c:pt idx="2">
                  <c:v>Изменение терапевтического режима (перевод с ПССП на инсулин</c:v>
                </c:pt>
                <c:pt idx="3">
                  <c:v>Все вышеизложенные</c:v>
                </c:pt>
                <c:pt idx="4">
                  <c:v>Не определяю, нет времени</c:v>
                </c:pt>
              </c:strCache>
            </c:strRef>
          </c:cat>
          <c:val>
            <c:numRef>
              <c:f>Лист20!$D$9:$D$13</c:f>
              <c:numCache>
                <c:formatCode>0%</c:formatCode>
                <c:ptCount val="5"/>
                <c:pt idx="0">
                  <c:v>2.9000000000000001E-2</c:v>
                </c:pt>
                <c:pt idx="1">
                  <c:v>2.9000000000000001E-2</c:v>
                </c:pt>
                <c:pt idx="2">
                  <c:v>2.9000000000000001E-2</c:v>
                </c:pt>
                <c:pt idx="3">
                  <c:v>0.71399999999999997</c:v>
                </c:pt>
                <c:pt idx="4">
                  <c:v>0.2</c:v>
                </c:pt>
              </c:numCache>
            </c:numRef>
          </c:val>
          <c:extLst xmlns:c16r2="http://schemas.microsoft.com/office/drawing/2015/06/chart">
            <c:ext xmlns:c16="http://schemas.microsoft.com/office/drawing/2014/chart" uri="{C3380CC4-5D6E-409C-BE32-E72D297353CC}">
              <c16:uniqueId val="{00000000-A990-446C-9FA4-731578CDB6BE}"/>
            </c:ext>
          </c:extLst>
        </c:ser>
        <c:dLbls>
          <c:dLblPos val="outEnd"/>
          <c:showLegendKey val="0"/>
          <c:showVal val="1"/>
          <c:showCatName val="0"/>
          <c:showSerName val="0"/>
          <c:showPercent val="0"/>
          <c:showBubbleSize val="0"/>
        </c:dLbls>
        <c:gapWidth val="150"/>
        <c:axId val="482789536"/>
        <c:axId val="482793456"/>
      </c:barChart>
      <c:valAx>
        <c:axId val="4827934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t>процент</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82789536"/>
        <c:crosses val="autoZero"/>
        <c:crossBetween val="between"/>
      </c:valAx>
      <c:catAx>
        <c:axId val="48278953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t>признаки</a:t>
                </a:r>
              </a:p>
            </c:rich>
          </c:tx>
          <c:layout>
            <c:manualLayout>
              <c:xMode val="edge"/>
              <c:yMode val="edge"/>
              <c:x val="6.2402496099843996E-3"/>
              <c:y val="0.446233810937567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82793456"/>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a:t>Кем проводится </a:t>
            </a:r>
          </a:p>
          <a:p>
            <a:pPr>
              <a:defRPr sz="1000" b="1"/>
            </a:pPr>
            <a:r>
              <a:rPr lang="ru-RU" sz="1000" b="1"/>
              <a:t>оценка статуса</a:t>
            </a:r>
          </a:p>
        </c:rich>
      </c:tx>
      <c:layout>
        <c:manualLayout>
          <c:xMode val="edge"/>
          <c:yMode val="edge"/>
          <c:x val="0.84809959541566737"/>
          <c:y val="8.1993937613589044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8.7932082676760545E-2"/>
          <c:y val="0.13823432482218262"/>
          <c:w val="0.74511829668083029"/>
          <c:h val="0.48754874809578325"/>
        </c:manualLayout>
      </c:layout>
      <c:barChart>
        <c:barDir val="col"/>
        <c:grouping val="clustered"/>
        <c:varyColors val="0"/>
        <c:ser>
          <c:idx val="0"/>
          <c:order val="0"/>
          <c:tx>
            <c:strRef>
              <c:f>Лист10!$B$3</c:f>
              <c:strCache>
                <c:ptCount val="1"/>
                <c:pt idx="0">
                  <c:v>Врач эндокринолог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Лист10!$C$2:$G$2</c:f>
              <c:strCache>
                <c:ptCount val="5"/>
                <c:pt idx="0">
                  <c:v>Дебют заболевания</c:v>
                </c:pt>
                <c:pt idx="1">
                  <c:v>Появление или значительное прогрессирование осложнений течения СД2т</c:v>
                </c:pt>
                <c:pt idx="2">
                  <c:v>Изменение терапевтического режима </c:v>
                </c:pt>
                <c:pt idx="3">
                  <c:v>Все вышеизложенные</c:v>
                </c:pt>
                <c:pt idx="4">
                  <c:v>Не определяю, нет времени</c:v>
                </c:pt>
              </c:strCache>
            </c:strRef>
          </c:cat>
          <c:val>
            <c:numRef>
              <c:f>Лист10!$C$3:$G$3</c:f>
              <c:numCache>
                <c:formatCode>General</c:formatCode>
                <c:ptCount val="5"/>
                <c:pt idx="3" formatCode="0.0%">
                  <c:v>1</c:v>
                </c:pt>
              </c:numCache>
            </c:numRef>
          </c:val>
          <c:extLst xmlns:c16r2="http://schemas.microsoft.com/office/drawing/2015/06/chart">
            <c:ext xmlns:c16="http://schemas.microsoft.com/office/drawing/2014/chart" uri="{C3380CC4-5D6E-409C-BE32-E72D297353CC}">
              <c16:uniqueId val="{00000000-1BBB-49B5-B317-707F80298B29}"/>
            </c:ext>
          </c:extLst>
        </c:ser>
        <c:ser>
          <c:idx val="1"/>
          <c:order val="1"/>
          <c:tx>
            <c:strRef>
              <c:f>Лист10!$B$4</c:f>
              <c:strCache>
                <c:ptCount val="1"/>
                <c:pt idx="0">
                  <c:v>Врач общей практики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Лист10!$C$2:$G$2</c:f>
              <c:strCache>
                <c:ptCount val="5"/>
                <c:pt idx="0">
                  <c:v>Дебют заболевания</c:v>
                </c:pt>
                <c:pt idx="1">
                  <c:v>Появление или значительное прогрессирование осложнений течения СД2т</c:v>
                </c:pt>
                <c:pt idx="2">
                  <c:v>Изменение терапевтического режима </c:v>
                </c:pt>
                <c:pt idx="3">
                  <c:v>Все вышеизложенные</c:v>
                </c:pt>
                <c:pt idx="4">
                  <c:v>Не определяю, нет времени</c:v>
                </c:pt>
              </c:strCache>
            </c:strRef>
          </c:cat>
          <c:val>
            <c:numRef>
              <c:f>Лист10!$C$4:$G$4</c:f>
              <c:numCache>
                <c:formatCode>0.0%</c:formatCode>
                <c:ptCount val="5"/>
                <c:pt idx="1">
                  <c:v>0.5</c:v>
                </c:pt>
                <c:pt idx="3">
                  <c:v>0.5</c:v>
                </c:pt>
              </c:numCache>
            </c:numRef>
          </c:val>
          <c:extLst xmlns:c16r2="http://schemas.microsoft.com/office/drawing/2015/06/chart">
            <c:ext xmlns:c16="http://schemas.microsoft.com/office/drawing/2014/chart" uri="{C3380CC4-5D6E-409C-BE32-E72D297353CC}">
              <c16:uniqueId val="{00000001-1BBB-49B5-B317-707F80298B29}"/>
            </c:ext>
          </c:extLst>
        </c:ser>
        <c:ser>
          <c:idx val="2"/>
          <c:order val="2"/>
          <c:tx>
            <c:strRef>
              <c:f>Лист10!$B$5</c:f>
              <c:strCache>
                <c:ptCount val="1"/>
                <c:pt idx="0">
                  <c:v>Врач психолог/психотерапевт</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Лист10!$C$2:$G$2</c:f>
              <c:strCache>
                <c:ptCount val="5"/>
                <c:pt idx="0">
                  <c:v>Дебют заболевания</c:v>
                </c:pt>
                <c:pt idx="1">
                  <c:v>Появление или значительное прогрессирование осложнений течения СД2т</c:v>
                </c:pt>
                <c:pt idx="2">
                  <c:v>Изменение терапевтического режима </c:v>
                </c:pt>
                <c:pt idx="3">
                  <c:v>Все вышеизложенные</c:v>
                </c:pt>
                <c:pt idx="4">
                  <c:v>Не определяю, нет времени</c:v>
                </c:pt>
              </c:strCache>
            </c:strRef>
          </c:cat>
          <c:val>
            <c:numRef>
              <c:f>Лист10!$C$5:$G$5</c:f>
              <c:numCache>
                <c:formatCode>General</c:formatCode>
                <c:ptCount val="5"/>
                <c:pt idx="0" formatCode="0.0%">
                  <c:v>0.111</c:v>
                </c:pt>
                <c:pt idx="2" formatCode="0.0%">
                  <c:v>0.111</c:v>
                </c:pt>
                <c:pt idx="3" formatCode="0.0%">
                  <c:v>0.66700000000000004</c:v>
                </c:pt>
                <c:pt idx="4" formatCode="0.0%">
                  <c:v>0.111</c:v>
                </c:pt>
              </c:numCache>
            </c:numRef>
          </c:val>
          <c:extLst xmlns:c16r2="http://schemas.microsoft.com/office/drawing/2015/06/chart">
            <c:ext xmlns:c16="http://schemas.microsoft.com/office/drawing/2014/chart" uri="{C3380CC4-5D6E-409C-BE32-E72D297353CC}">
              <c16:uniqueId val="{00000002-1BBB-49B5-B317-707F80298B29}"/>
            </c:ext>
          </c:extLst>
        </c:ser>
        <c:ser>
          <c:idx val="3"/>
          <c:order val="3"/>
          <c:tx>
            <c:strRef>
              <c:f>Лист10!$B$6</c:f>
              <c:strCache>
                <c:ptCount val="1"/>
                <c:pt idx="0">
                  <c:v>Социальный работник</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Лист10!$C$2:$G$2</c:f>
              <c:strCache>
                <c:ptCount val="5"/>
                <c:pt idx="0">
                  <c:v>Дебют заболевания</c:v>
                </c:pt>
                <c:pt idx="1">
                  <c:v>Появление или значительное прогрессирование осложнений течения СД2т</c:v>
                </c:pt>
                <c:pt idx="2">
                  <c:v>Изменение терапевтического режима </c:v>
                </c:pt>
                <c:pt idx="3">
                  <c:v>Все вышеизложенные</c:v>
                </c:pt>
                <c:pt idx="4">
                  <c:v>Не определяю, нет времени</c:v>
                </c:pt>
              </c:strCache>
            </c:strRef>
          </c:cat>
          <c:val>
            <c:numRef>
              <c:f>Лист10!$C$6:$G$6</c:f>
              <c:numCache>
                <c:formatCode>General</c:formatCode>
                <c:ptCount val="5"/>
                <c:pt idx="3" formatCode="0.0%">
                  <c:v>1</c:v>
                </c:pt>
              </c:numCache>
            </c:numRef>
          </c:val>
          <c:extLst xmlns:c16r2="http://schemas.microsoft.com/office/drawing/2015/06/chart">
            <c:ext xmlns:c16="http://schemas.microsoft.com/office/drawing/2014/chart" uri="{C3380CC4-5D6E-409C-BE32-E72D297353CC}">
              <c16:uniqueId val="{00000003-1BBB-49B5-B317-707F80298B29}"/>
            </c:ext>
          </c:extLst>
        </c:ser>
        <c:ser>
          <c:idx val="4"/>
          <c:order val="4"/>
          <c:tx>
            <c:strRef>
              <c:f>Лист10!$B$7</c:f>
              <c:strCache>
                <c:ptCount val="1"/>
                <c:pt idx="0">
                  <c:v>Никем</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Лист10!$C$2:$G$2</c:f>
              <c:strCache>
                <c:ptCount val="5"/>
                <c:pt idx="0">
                  <c:v>Дебют заболевания</c:v>
                </c:pt>
                <c:pt idx="1">
                  <c:v>Появление или значительное прогрессирование осложнений течения СД2т</c:v>
                </c:pt>
                <c:pt idx="2">
                  <c:v>Изменение терапевтического режима </c:v>
                </c:pt>
                <c:pt idx="3">
                  <c:v>Все вышеизложенные</c:v>
                </c:pt>
                <c:pt idx="4">
                  <c:v>Не определяю, нет времени</c:v>
                </c:pt>
              </c:strCache>
            </c:strRef>
          </c:cat>
          <c:val>
            <c:numRef>
              <c:f>Лист10!$C$7:$G$7</c:f>
              <c:numCache>
                <c:formatCode>General</c:formatCode>
                <c:ptCount val="5"/>
                <c:pt idx="3" formatCode="0.0%">
                  <c:v>0.14299999999999999</c:v>
                </c:pt>
                <c:pt idx="4" formatCode="0.0%">
                  <c:v>0.85699999999999998</c:v>
                </c:pt>
              </c:numCache>
            </c:numRef>
          </c:val>
          <c:extLst xmlns:c16r2="http://schemas.microsoft.com/office/drawing/2015/06/chart">
            <c:ext xmlns:c16="http://schemas.microsoft.com/office/drawing/2014/chart" uri="{C3380CC4-5D6E-409C-BE32-E72D297353CC}">
              <c16:uniqueId val="{00000004-1BBB-49B5-B317-707F80298B29}"/>
            </c:ext>
          </c:extLst>
        </c:ser>
        <c:dLbls>
          <c:dLblPos val="outEnd"/>
          <c:showLegendKey val="0"/>
          <c:showVal val="1"/>
          <c:showCatName val="0"/>
          <c:showSerName val="0"/>
          <c:showPercent val="0"/>
          <c:showBubbleSize val="0"/>
        </c:dLbls>
        <c:gapWidth val="150"/>
        <c:axId val="482787968"/>
        <c:axId val="482792672"/>
      </c:barChart>
      <c:catAx>
        <c:axId val="482787968"/>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1"/>
                  <a:t>Как определяется необходимость пациента в психосоциальной поддержке медперсонала</a:t>
                </a:r>
              </a:p>
            </c:rich>
          </c:tx>
          <c:layout>
            <c:manualLayout>
              <c:xMode val="edge"/>
              <c:yMode val="edge"/>
              <c:x val="9.7422431192969061E-2"/>
              <c:y val="0.88720024886937587"/>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2792672"/>
        <c:crosses val="autoZero"/>
        <c:auto val="1"/>
        <c:lblAlgn val="ctr"/>
        <c:lblOffset val="100"/>
        <c:noMultiLvlLbl val="0"/>
      </c:catAx>
      <c:valAx>
        <c:axId val="482792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2787968"/>
        <c:crosses val="autoZero"/>
        <c:crossBetween val="between"/>
      </c:valAx>
      <c:spPr>
        <a:noFill/>
        <a:ln>
          <a:noFill/>
        </a:ln>
        <a:effectLst/>
      </c:spPr>
    </c:plotArea>
    <c:legend>
      <c:legendPos val="r"/>
      <c:layout>
        <c:manualLayout>
          <c:xMode val="edge"/>
          <c:yMode val="edge"/>
          <c:x val="0.84254029702993982"/>
          <c:y val="0.20876202360098944"/>
          <c:w val="0.14607180176324164"/>
          <c:h val="0.7020752917989334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Лист12!$D$19</c:f>
              <c:strCache>
                <c:ptCount val="1"/>
                <c:pt idx="0">
                  <c:v>Повышение квалификации на бюджетной основе</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Лист12!$C$20:$C$24</c:f>
              <c:strCache>
                <c:ptCount val="5"/>
                <c:pt idx="0">
                  <c:v>до 5 лет</c:v>
                </c:pt>
                <c:pt idx="1">
                  <c:v>от 5 до 10 лет</c:v>
                </c:pt>
                <c:pt idx="2">
                  <c:v>от10 до 15 лет</c:v>
                </c:pt>
                <c:pt idx="3">
                  <c:v>свыше 15 лет</c:v>
                </c:pt>
                <c:pt idx="4">
                  <c:v>свыше 30 лет</c:v>
                </c:pt>
              </c:strCache>
            </c:strRef>
          </c:cat>
          <c:val>
            <c:numRef>
              <c:f>Лист12!$D$20:$D$24</c:f>
              <c:numCache>
                <c:formatCode>0.0%</c:formatCode>
                <c:ptCount val="5"/>
                <c:pt idx="0">
                  <c:v>0.214</c:v>
                </c:pt>
                <c:pt idx="1">
                  <c:v>8.3000000000000004E-2</c:v>
                </c:pt>
                <c:pt idx="3">
                  <c:v>0.5</c:v>
                </c:pt>
              </c:numCache>
            </c:numRef>
          </c:val>
          <c:extLst xmlns:c16r2="http://schemas.microsoft.com/office/drawing/2015/06/chart">
            <c:ext xmlns:c16="http://schemas.microsoft.com/office/drawing/2014/chart" uri="{C3380CC4-5D6E-409C-BE32-E72D297353CC}">
              <c16:uniqueId val="{00000000-E042-4391-AB49-57E035924279}"/>
            </c:ext>
          </c:extLst>
        </c:ser>
        <c:ser>
          <c:idx val="1"/>
          <c:order val="1"/>
          <c:tx>
            <c:strRef>
              <c:f>Лист12!$E$19</c:f>
              <c:strCache>
                <c:ptCount val="1"/>
                <c:pt idx="0">
                  <c:v>Алгоритмы, протоколы и приказы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Лист12!$C$20:$C$24</c:f>
              <c:strCache>
                <c:ptCount val="5"/>
                <c:pt idx="0">
                  <c:v>до 5 лет</c:v>
                </c:pt>
                <c:pt idx="1">
                  <c:v>от 5 до 10 лет</c:v>
                </c:pt>
                <c:pt idx="2">
                  <c:v>от10 до 15 лет</c:v>
                </c:pt>
                <c:pt idx="3">
                  <c:v>свыше 15 лет</c:v>
                </c:pt>
                <c:pt idx="4">
                  <c:v>свыше 30 лет</c:v>
                </c:pt>
              </c:strCache>
            </c:strRef>
          </c:cat>
          <c:val>
            <c:numRef>
              <c:f>Лист12!$E$20:$E$24</c:f>
              <c:numCache>
                <c:formatCode>0.0%</c:formatCode>
                <c:ptCount val="5"/>
                <c:pt idx="0">
                  <c:v>0.28599999999999998</c:v>
                </c:pt>
                <c:pt idx="1">
                  <c:v>0.25</c:v>
                </c:pt>
                <c:pt idx="2">
                  <c:v>0.16700000000000001</c:v>
                </c:pt>
                <c:pt idx="4">
                  <c:v>1</c:v>
                </c:pt>
              </c:numCache>
            </c:numRef>
          </c:val>
          <c:extLst xmlns:c16r2="http://schemas.microsoft.com/office/drawing/2015/06/chart">
            <c:ext xmlns:c16="http://schemas.microsoft.com/office/drawing/2014/chart" uri="{C3380CC4-5D6E-409C-BE32-E72D297353CC}">
              <c16:uniqueId val="{00000001-E042-4391-AB49-57E035924279}"/>
            </c:ext>
          </c:extLst>
        </c:ser>
        <c:ser>
          <c:idx val="2"/>
          <c:order val="2"/>
          <c:tx>
            <c:strRef>
              <c:f>Лист12!$F$19</c:f>
              <c:strCache>
                <c:ptCount val="1"/>
                <c:pt idx="0">
                  <c:v>Электронный чат, сообщества эндокринологов</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Лист12!$C$20:$C$24</c:f>
              <c:strCache>
                <c:ptCount val="5"/>
                <c:pt idx="0">
                  <c:v>до 5 лет</c:v>
                </c:pt>
                <c:pt idx="1">
                  <c:v>от 5 до 10 лет</c:v>
                </c:pt>
                <c:pt idx="2">
                  <c:v>от10 до 15 лет</c:v>
                </c:pt>
                <c:pt idx="3">
                  <c:v>свыше 15 лет</c:v>
                </c:pt>
                <c:pt idx="4">
                  <c:v>свыше 30 лет</c:v>
                </c:pt>
              </c:strCache>
            </c:strRef>
          </c:cat>
          <c:val>
            <c:numRef>
              <c:f>Лист12!$F$20:$F$24</c:f>
              <c:numCache>
                <c:formatCode>0.0%</c:formatCode>
                <c:ptCount val="5"/>
                <c:pt idx="0">
                  <c:v>0.214</c:v>
                </c:pt>
                <c:pt idx="1">
                  <c:v>0.25</c:v>
                </c:pt>
                <c:pt idx="2">
                  <c:v>0.5</c:v>
                </c:pt>
                <c:pt idx="3">
                  <c:v>0.5</c:v>
                </c:pt>
              </c:numCache>
            </c:numRef>
          </c:val>
          <c:extLst xmlns:c16r2="http://schemas.microsoft.com/office/drawing/2015/06/chart">
            <c:ext xmlns:c16="http://schemas.microsoft.com/office/drawing/2014/chart" uri="{C3380CC4-5D6E-409C-BE32-E72D297353CC}">
              <c16:uniqueId val="{00000002-E042-4391-AB49-57E035924279}"/>
            </c:ext>
          </c:extLst>
        </c:ser>
        <c:ser>
          <c:idx val="3"/>
          <c:order val="3"/>
          <c:tx>
            <c:strRef>
              <c:f>Лист12!$G$19</c:f>
              <c:strCache>
                <c:ptCount val="1"/>
                <c:pt idx="0">
                  <c:v>Интернет ресурсы</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Лист12!$C$20:$C$24</c:f>
              <c:strCache>
                <c:ptCount val="5"/>
                <c:pt idx="0">
                  <c:v>до 5 лет</c:v>
                </c:pt>
                <c:pt idx="1">
                  <c:v>от 5 до 10 лет</c:v>
                </c:pt>
                <c:pt idx="2">
                  <c:v>от10 до 15 лет</c:v>
                </c:pt>
                <c:pt idx="3">
                  <c:v>свыше 15 лет</c:v>
                </c:pt>
                <c:pt idx="4">
                  <c:v>свыше 30 лет</c:v>
                </c:pt>
              </c:strCache>
            </c:strRef>
          </c:cat>
          <c:val>
            <c:numRef>
              <c:f>Лист12!$G$20:$G$24</c:f>
              <c:numCache>
                <c:formatCode>0.0%</c:formatCode>
                <c:ptCount val="5"/>
                <c:pt idx="0">
                  <c:v>0.28599999999999998</c:v>
                </c:pt>
                <c:pt idx="1">
                  <c:v>0.41699999999999998</c:v>
                </c:pt>
                <c:pt idx="2">
                  <c:v>0.33300000000000002</c:v>
                </c:pt>
              </c:numCache>
            </c:numRef>
          </c:val>
          <c:extLst xmlns:c16r2="http://schemas.microsoft.com/office/drawing/2015/06/chart">
            <c:ext xmlns:c16="http://schemas.microsoft.com/office/drawing/2014/chart" uri="{C3380CC4-5D6E-409C-BE32-E72D297353CC}">
              <c16:uniqueId val="{00000003-E042-4391-AB49-57E035924279}"/>
            </c:ext>
          </c:extLst>
        </c:ser>
        <c:dLbls>
          <c:dLblPos val="ctr"/>
          <c:showLegendKey val="0"/>
          <c:showVal val="1"/>
          <c:showCatName val="0"/>
          <c:showSerName val="0"/>
          <c:showPercent val="0"/>
          <c:showBubbleSize val="0"/>
        </c:dLbls>
        <c:gapWidth val="150"/>
        <c:overlap val="100"/>
        <c:axId val="482793848"/>
        <c:axId val="482794240"/>
      </c:barChart>
      <c:catAx>
        <c:axId val="482793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482794240"/>
        <c:crosses val="autoZero"/>
        <c:auto val="1"/>
        <c:lblAlgn val="ctr"/>
        <c:lblOffset val="100"/>
        <c:noMultiLvlLbl val="0"/>
      </c:catAx>
      <c:valAx>
        <c:axId val="4827942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crossAx val="482793848"/>
        <c:crosses val="autoZero"/>
        <c:crossBetween val="between"/>
      </c:valAx>
      <c:spPr>
        <a:noFill/>
        <a:ln>
          <a:noFill/>
        </a:ln>
        <a:effectLst/>
      </c:spPr>
    </c:plotArea>
    <c:legend>
      <c:legendPos val="b"/>
      <c:layout>
        <c:manualLayout>
          <c:xMode val="edge"/>
          <c:yMode val="edge"/>
          <c:x val="2.1327775204570014E-2"/>
          <c:y val="0.8101829979585885"/>
          <c:w val="0.96224641037517367"/>
          <c:h val="0.1620392242636336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99B4-4E54-9BDE-211CB554E707}"/>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99B4-4E54-9BDE-211CB554E707}"/>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99B4-4E54-9BDE-211CB554E707}"/>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99B4-4E54-9BDE-211CB554E707}"/>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99B4-4E54-9BDE-211CB554E707}"/>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Лист21!$B$2:$B$6</c:f>
              <c:strCache>
                <c:ptCount val="5"/>
                <c:pt idx="0">
                  <c:v> до 2 мин</c:v>
                </c:pt>
                <c:pt idx="1">
                  <c:v>до 5 мин</c:v>
                </c:pt>
                <c:pt idx="2">
                  <c:v>до 7 мин</c:v>
                </c:pt>
                <c:pt idx="3">
                  <c:v>до 10 мин</c:v>
                </c:pt>
                <c:pt idx="4">
                  <c:v>до 13 мин</c:v>
                </c:pt>
              </c:strCache>
            </c:strRef>
          </c:cat>
          <c:val>
            <c:numRef>
              <c:f>Лист21!$D$2:$D$6</c:f>
              <c:numCache>
                <c:formatCode>0.00%</c:formatCode>
                <c:ptCount val="5"/>
                <c:pt idx="0">
                  <c:v>2.9000000000000001E-2</c:v>
                </c:pt>
                <c:pt idx="1">
                  <c:v>0.25700000000000001</c:v>
                </c:pt>
                <c:pt idx="2">
                  <c:v>0.22900000000000001</c:v>
                </c:pt>
                <c:pt idx="3">
                  <c:v>0.25700000000000001</c:v>
                </c:pt>
                <c:pt idx="4">
                  <c:v>0.22900000000000001</c:v>
                </c:pt>
              </c:numCache>
            </c:numRef>
          </c:val>
          <c:extLst xmlns:c16r2="http://schemas.microsoft.com/office/drawing/2015/06/chart">
            <c:ext xmlns:c16="http://schemas.microsoft.com/office/drawing/2014/chart" uri="{C3380CC4-5D6E-409C-BE32-E72D297353CC}">
              <c16:uniqueId val="{0000000A-99B4-4E54-9BDE-211CB554E707}"/>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88372093023256"/>
          <c:y val="5.2811969932329887E-2"/>
          <c:w val="0.85837726098191214"/>
          <c:h val="0.68017176424375525"/>
        </c:manualLayout>
      </c:layout>
      <c:barChart>
        <c:barDir val="col"/>
        <c:grouping val="clustered"/>
        <c:varyColors val="0"/>
        <c:ser>
          <c:idx val="0"/>
          <c:order val="0"/>
          <c:tx>
            <c:strRef>
              <c:f>Лист1!$A$12</c:f>
              <c:strCache>
                <c:ptCount val="1"/>
                <c:pt idx="0">
                  <c:v>СД2т по г.Алматы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Лист1!$B$2:$K$2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Лист1!$B$12:$K$12</c:f>
              <c:numCache>
                <c:formatCode>General</c:formatCode>
                <c:ptCount val="10"/>
                <c:pt idx="0">
                  <c:v>180.27</c:v>
                </c:pt>
                <c:pt idx="1">
                  <c:v>187.31</c:v>
                </c:pt>
                <c:pt idx="2">
                  <c:v>169.37</c:v>
                </c:pt>
                <c:pt idx="3">
                  <c:v>170.39</c:v>
                </c:pt>
                <c:pt idx="4">
                  <c:v>194.23</c:v>
                </c:pt>
                <c:pt idx="5">
                  <c:v>199.88</c:v>
                </c:pt>
                <c:pt idx="6">
                  <c:v>203.67</c:v>
                </c:pt>
                <c:pt idx="7">
                  <c:v>199.49</c:v>
                </c:pt>
                <c:pt idx="8">
                  <c:v>187.6</c:v>
                </c:pt>
                <c:pt idx="9">
                  <c:v>237.57</c:v>
                </c:pt>
              </c:numCache>
            </c:numRef>
          </c:val>
          <c:extLst xmlns:c16r2="http://schemas.microsoft.com/office/drawing/2015/06/chart">
            <c:ext xmlns:c16="http://schemas.microsoft.com/office/drawing/2014/chart" uri="{C3380CC4-5D6E-409C-BE32-E72D297353CC}">
              <c16:uniqueId val="{00000000-5F01-41DF-9B43-FEE25EE01EEF}"/>
            </c:ext>
          </c:extLst>
        </c:ser>
        <c:dLbls>
          <c:dLblPos val="outEnd"/>
          <c:showLegendKey val="0"/>
          <c:showVal val="1"/>
          <c:showCatName val="0"/>
          <c:showSerName val="0"/>
          <c:showPercent val="0"/>
          <c:showBubbleSize val="0"/>
        </c:dLbls>
        <c:gapWidth val="219"/>
        <c:overlap val="-27"/>
        <c:axId val="482772288"/>
        <c:axId val="482774640"/>
      </c:barChart>
      <c:catAx>
        <c:axId val="482772288"/>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годы</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2774640"/>
        <c:crosses val="autoZero"/>
        <c:auto val="1"/>
        <c:lblAlgn val="ctr"/>
        <c:lblOffset val="100"/>
        <c:noMultiLvlLbl val="0"/>
      </c:catAx>
      <c:valAx>
        <c:axId val="482774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на 100 000 населения</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2772288"/>
        <c:crosses val="autoZero"/>
        <c:crossBetween val="between"/>
      </c:valAx>
      <c:spPr>
        <a:noFill/>
        <a:ln>
          <a:noFill/>
        </a:ln>
        <a:effectLst/>
      </c:spPr>
    </c:plotArea>
    <c:legend>
      <c:legendPos val="b"/>
      <c:layout>
        <c:manualLayout>
          <c:xMode val="edge"/>
          <c:yMode val="edge"/>
          <c:x val="7.0611746476858389E-2"/>
          <c:y val="0.90902593175853019"/>
          <c:w val="0.81062065720497867"/>
          <c:h val="8.4776482939632553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a:t>Возраст врача  эндокринолога</a:t>
            </a:r>
          </a:p>
        </c:rich>
      </c:tx>
      <c:layout>
        <c:manualLayout>
          <c:xMode val="edge"/>
          <c:yMode val="edge"/>
          <c:x val="6.1357805407538976E-2"/>
          <c:y val="0.92077524185328463"/>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Лист15!$D$12</c:f>
              <c:strCache>
                <c:ptCount val="1"/>
                <c:pt idx="0">
                  <c:v>26-30</c:v>
                </c:pt>
              </c:strCache>
            </c:strRef>
          </c:tx>
          <c:spPr>
            <a:solidFill>
              <a:schemeClr val="accent1"/>
            </a:solidFill>
            <a:ln>
              <a:noFill/>
            </a:ln>
            <a:effectLst/>
          </c:spPr>
          <c:invertIfNegative val="0"/>
          <c:dLbls>
            <c:dLbl>
              <c:idx val="3"/>
              <c:layout>
                <c:manualLayout>
                  <c:x val="-1.0267716535433071E-2"/>
                  <c:y val="2.263693673804793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962-4368-83A1-F1616E26CFF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Лист15!$C$13:$C$16</c:f>
              <c:strCache>
                <c:ptCount val="4"/>
                <c:pt idx="0">
                  <c:v>Политика ценообразования и качества препарата</c:v>
                </c:pt>
                <c:pt idx="1">
                  <c:v>При оформлении учитывается прирост заболеваемости на 15%, но бухгалтерия и провизор урезают заявку более чем на 20%</c:v>
                </c:pt>
                <c:pt idx="2">
                  <c:v>Кропотливая работа с учетом потребности каждого пациента</c:v>
                </c:pt>
                <c:pt idx="3">
                  <c:v>Приходится оставаться внерабочее время</c:v>
                </c:pt>
              </c:strCache>
            </c:strRef>
          </c:cat>
          <c:val>
            <c:numRef>
              <c:f>Лист15!$D$13:$D$16</c:f>
              <c:numCache>
                <c:formatCode>General</c:formatCode>
                <c:ptCount val="4"/>
                <c:pt idx="0" formatCode="0.0%">
                  <c:v>0.44400000000000001</c:v>
                </c:pt>
                <c:pt idx="2" formatCode="0.0%">
                  <c:v>0.5</c:v>
                </c:pt>
                <c:pt idx="3" formatCode="0.0%">
                  <c:v>0.222</c:v>
                </c:pt>
              </c:numCache>
            </c:numRef>
          </c:val>
          <c:extLst xmlns:c16r2="http://schemas.microsoft.com/office/drawing/2015/06/chart">
            <c:ext xmlns:c16="http://schemas.microsoft.com/office/drawing/2014/chart" uri="{C3380CC4-5D6E-409C-BE32-E72D297353CC}">
              <c16:uniqueId val="{00000001-7962-4368-83A1-F1616E26CFF5}"/>
            </c:ext>
          </c:extLst>
        </c:ser>
        <c:ser>
          <c:idx val="1"/>
          <c:order val="1"/>
          <c:tx>
            <c:strRef>
              <c:f>Лист15!$E$12</c:f>
              <c:strCache>
                <c:ptCount val="1"/>
                <c:pt idx="0">
                  <c:v>31-35</c:v>
                </c:pt>
              </c:strCache>
            </c:strRef>
          </c:tx>
          <c:spPr>
            <a:solidFill>
              <a:schemeClr val="accent2"/>
            </a:solidFill>
            <a:ln>
              <a:noFill/>
            </a:ln>
            <a:effectLst/>
          </c:spPr>
          <c:invertIfNegative val="0"/>
          <c:dLbls>
            <c:dLbl>
              <c:idx val="0"/>
              <c:layout>
                <c:manualLayout>
                  <c:x val="1.8320610687022901E-2"/>
                  <c:y val="-2.907580477673939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92C-43CA-965D-DEF18E885E12}"/>
                </c:ext>
                <c:ext xmlns:c15="http://schemas.microsoft.com/office/drawing/2012/chart" uri="{CE6537A1-D6FC-4f65-9D91-7224C49458BB}"/>
              </c:extLst>
            </c:dLbl>
            <c:dLbl>
              <c:idx val="2"/>
              <c:layout>
                <c:manualLayout>
                  <c:x val="2.0311354210494605E-2"/>
                  <c:y val="-4.984423676012468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7962-4368-83A1-F1616E26CFF5}"/>
                </c:ext>
                <c:ext xmlns:c15="http://schemas.microsoft.com/office/drawing/2012/chart" uri="{CE6537A1-D6FC-4f65-9D91-7224C49458BB}"/>
              </c:extLst>
            </c:dLbl>
            <c:dLbl>
              <c:idx val="3"/>
              <c:layout>
                <c:manualLayout>
                  <c:x val="-1.0133237162148624E-2"/>
                  <c:y val="-2.19108592734319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962-4368-83A1-F1616E26CFF5}"/>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Лист15!$C$13:$C$16</c:f>
              <c:strCache>
                <c:ptCount val="4"/>
                <c:pt idx="0">
                  <c:v>Политика ценообразования и качества препарата</c:v>
                </c:pt>
                <c:pt idx="1">
                  <c:v>При оформлении учитывается прирост заболеваемости на 15%, но бухгалтерия и провизор урезают заявку более чем на 20%</c:v>
                </c:pt>
                <c:pt idx="2">
                  <c:v>Кропотливая работа с учетом потребности каждого пациента</c:v>
                </c:pt>
                <c:pt idx="3">
                  <c:v>Приходится оставаться внерабочее время</c:v>
                </c:pt>
              </c:strCache>
            </c:strRef>
          </c:cat>
          <c:val>
            <c:numRef>
              <c:f>Лист15!$E$13:$E$16</c:f>
              <c:numCache>
                <c:formatCode>0.0%</c:formatCode>
                <c:ptCount val="4"/>
                <c:pt idx="0">
                  <c:v>0.222</c:v>
                </c:pt>
                <c:pt idx="1">
                  <c:v>0.8</c:v>
                </c:pt>
                <c:pt idx="2">
                  <c:v>8.3000000000000004E-2</c:v>
                </c:pt>
                <c:pt idx="3">
                  <c:v>0.222</c:v>
                </c:pt>
              </c:numCache>
            </c:numRef>
          </c:val>
          <c:extLst xmlns:c16r2="http://schemas.microsoft.com/office/drawing/2015/06/chart">
            <c:ext xmlns:c16="http://schemas.microsoft.com/office/drawing/2014/chart" uri="{C3380CC4-5D6E-409C-BE32-E72D297353CC}">
              <c16:uniqueId val="{00000004-7962-4368-83A1-F1616E26CFF5}"/>
            </c:ext>
          </c:extLst>
        </c:ser>
        <c:ser>
          <c:idx val="2"/>
          <c:order val="2"/>
          <c:tx>
            <c:strRef>
              <c:f>Лист15!$F$12</c:f>
              <c:strCache>
                <c:ptCount val="1"/>
                <c:pt idx="0">
                  <c:v>36-40</c:v>
                </c:pt>
              </c:strCache>
            </c:strRef>
          </c:tx>
          <c:spPr>
            <a:solidFill>
              <a:schemeClr val="accent3"/>
            </a:solidFill>
            <a:ln>
              <a:noFill/>
            </a:ln>
            <a:effectLst/>
          </c:spPr>
          <c:invertIfNegative val="0"/>
          <c:dLbls>
            <c:dLbl>
              <c:idx val="1"/>
              <c:layout>
                <c:manualLayout>
                  <c:x val="2.4427480916030534E-2"/>
                  <c:y val="-7.6150037580680326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92C-43CA-965D-DEF18E885E12}"/>
                </c:ext>
                <c:ext xmlns:c15="http://schemas.microsoft.com/office/drawing/2012/chart" uri="{CE6537A1-D6FC-4f65-9D91-7224C49458BB}"/>
              </c:extLst>
            </c:dLbl>
            <c:dLbl>
              <c:idx val="2"/>
              <c:layout>
                <c:manualLayout>
                  <c:x val="-4.0263669331409907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962-4368-83A1-F1616E26CFF5}"/>
                </c:ext>
                <c:ext xmlns:c15="http://schemas.microsoft.com/office/drawing/2012/chart" uri="{CE6537A1-D6FC-4f65-9D91-7224C49458BB}"/>
              </c:extLst>
            </c:dLbl>
            <c:dLbl>
              <c:idx val="3"/>
              <c:layout>
                <c:manualLayout>
                  <c:x val="8.1424936386768447E-3"/>
                  <c:y val="-1.2461059190031152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92C-43CA-965D-DEF18E885E12}"/>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Лист15!$C$13:$C$16</c:f>
              <c:strCache>
                <c:ptCount val="4"/>
                <c:pt idx="0">
                  <c:v>Политика ценообразования и качества препарата</c:v>
                </c:pt>
                <c:pt idx="1">
                  <c:v>При оформлении учитывается прирост заболеваемости на 15%, но бухгалтерия и провизор урезают заявку более чем на 20%</c:v>
                </c:pt>
                <c:pt idx="2">
                  <c:v>Кропотливая работа с учетом потребности каждого пациента</c:v>
                </c:pt>
                <c:pt idx="3">
                  <c:v>Приходится оставаться внерабочее время</c:v>
                </c:pt>
              </c:strCache>
            </c:strRef>
          </c:cat>
          <c:val>
            <c:numRef>
              <c:f>Лист15!$F$13:$F$16</c:f>
              <c:numCache>
                <c:formatCode>0.0%</c:formatCode>
                <c:ptCount val="4"/>
                <c:pt idx="1">
                  <c:v>0.2</c:v>
                </c:pt>
                <c:pt idx="2">
                  <c:v>8.3000000000000004E-2</c:v>
                </c:pt>
                <c:pt idx="3">
                  <c:v>0.33300000000000002</c:v>
                </c:pt>
              </c:numCache>
            </c:numRef>
          </c:val>
          <c:extLst xmlns:c16r2="http://schemas.microsoft.com/office/drawing/2015/06/chart">
            <c:ext xmlns:c16="http://schemas.microsoft.com/office/drawing/2014/chart" uri="{C3380CC4-5D6E-409C-BE32-E72D297353CC}">
              <c16:uniqueId val="{00000006-7962-4368-83A1-F1616E26CFF5}"/>
            </c:ext>
          </c:extLst>
        </c:ser>
        <c:ser>
          <c:idx val="3"/>
          <c:order val="3"/>
          <c:tx>
            <c:strRef>
              <c:f>Лист15!$G$12</c:f>
              <c:strCache>
                <c:ptCount val="1"/>
                <c:pt idx="0">
                  <c:v>41-45</c:v>
                </c:pt>
              </c:strCache>
            </c:strRef>
          </c:tx>
          <c:spPr>
            <a:solidFill>
              <a:schemeClr val="accent4"/>
            </a:solidFill>
            <a:ln>
              <a:noFill/>
            </a:ln>
            <a:effectLst/>
          </c:spPr>
          <c:invertIfNegative val="0"/>
          <c:dLbls>
            <c:dLbl>
              <c:idx val="0"/>
              <c:layout>
                <c:manualLayout>
                  <c:x val="1.6284987277353689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92C-43CA-965D-DEF18E885E12}"/>
                </c:ext>
                <c:ext xmlns:c15="http://schemas.microsoft.com/office/drawing/2012/chart" uri="{CE6537A1-D6FC-4f65-9D91-7224C49458BB}"/>
              </c:extLst>
            </c:dLbl>
            <c:dLbl>
              <c:idx val="2"/>
              <c:layout>
                <c:manualLayout>
                  <c:x val="1.305491775360126E-2"/>
                  <c:y val="-4.6726028405327837E-2"/>
                </c:manualLayout>
              </c:layout>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7962-4368-83A1-F1616E26CFF5}"/>
                </c:ext>
                <c:ext xmlns:c15="http://schemas.microsoft.com/office/drawing/2012/chart" uri="{CE6537A1-D6FC-4f65-9D91-7224C49458BB}"/>
              </c:extLst>
            </c:dLbl>
            <c:dLbl>
              <c:idx val="3"/>
              <c:layout>
                <c:manualLayout>
                  <c:x val="2.5313538097814108E-2"/>
                  <c:y val="3.011259106630362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7962-4368-83A1-F1616E26CFF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Лист15!$C$13:$C$16</c:f>
              <c:strCache>
                <c:ptCount val="4"/>
                <c:pt idx="0">
                  <c:v>Политика ценообразования и качества препарата</c:v>
                </c:pt>
                <c:pt idx="1">
                  <c:v>При оформлении учитывается прирост заболеваемости на 15%, но бухгалтерия и провизор урезают заявку более чем на 20%</c:v>
                </c:pt>
                <c:pt idx="2">
                  <c:v>Кропотливая работа с учетом потребности каждого пациента</c:v>
                </c:pt>
                <c:pt idx="3">
                  <c:v>Приходится оставаться внерабочее время</c:v>
                </c:pt>
              </c:strCache>
            </c:strRef>
          </c:cat>
          <c:val>
            <c:numRef>
              <c:f>Лист15!$G$13:$G$16</c:f>
              <c:numCache>
                <c:formatCode>General</c:formatCode>
                <c:ptCount val="4"/>
                <c:pt idx="0" formatCode="0.0%">
                  <c:v>0.222</c:v>
                </c:pt>
                <c:pt idx="2" formatCode="0.0%">
                  <c:v>8.3000000000000004E-2</c:v>
                </c:pt>
                <c:pt idx="3" formatCode="0.0%">
                  <c:v>0.222</c:v>
                </c:pt>
              </c:numCache>
            </c:numRef>
          </c:val>
          <c:extLst xmlns:c16r2="http://schemas.microsoft.com/office/drawing/2015/06/chart">
            <c:ext xmlns:c16="http://schemas.microsoft.com/office/drawing/2014/chart" uri="{C3380CC4-5D6E-409C-BE32-E72D297353CC}">
              <c16:uniqueId val="{00000009-7962-4368-83A1-F1616E26CFF5}"/>
            </c:ext>
          </c:extLst>
        </c:ser>
        <c:ser>
          <c:idx val="4"/>
          <c:order val="4"/>
          <c:tx>
            <c:strRef>
              <c:f>Лист15!$H$12</c:f>
              <c:strCache>
                <c:ptCount val="1"/>
                <c:pt idx="0">
                  <c:v>46-50</c:v>
                </c:pt>
              </c:strCache>
            </c:strRef>
          </c:tx>
          <c:spPr>
            <a:solidFill>
              <a:schemeClr val="accent5"/>
            </a:solidFill>
            <a:ln>
              <a:noFill/>
            </a:ln>
            <a:effectLst/>
          </c:spPr>
          <c:invertIfNegative val="0"/>
          <c:dLbls>
            <c:dLbl>
              <c:idx val="2"/>
              <c:layout>
                <c:manualLayout>
                  <c:x val="-6.1068702290076335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92C-43CA-965D-DEF18E885E1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Лист15!$C$13:$C$16</c:f>
              <c:strCache>
                <c:ptCount val="4"/>
                <c:pt idx="0">
                  <c:v>Политика ценообразования и качества препарата</c:v>
                </c:pt>
                <c:pt idx="1">
                  <c:v>При оформлении учитывается прирост заболеваемости на 15%, но бухгалтерия и провизор урезают заявку более чем на 20%</c:v>
                </c:pt>
                <c:pt idx="2">
                  <c:v>Кропотливая работа с учетом потребности каждого пациента</c:v>
                </c:pt>
                <c:pt idx="3">
                  <c:v>Приходится оставаться внерабочее время</c:v>
                </c:pt>
              </c:strCache>
            </c:strRef>
          </c:cat>
          <c:val>
            <c:numRef>
              <c:f>Лист15!$H$13:$H$16</c:f>
              <c:numCache>
                <c:formatCode>General</c:formatCode>
                <c:ptCount val="4"/>
                <c:pt idx="2" formatCode="0.0%">
                  <c:v>8.3000000000000004E-2</c:v>
                </c:pt>
              </c:numCache>
            </c:numRef>
          </c:val>
          <c:extLst xmlns:c16r2="http://schemas.microsoft.com/office/drawing/2015/06/chart">
            <c:ext xmlns:c16="http://schemas.microsoft.com/office/drawing/2014/chart" uri="{C3380CC4-5D6E-409C-BE32-E72D297353CC}">
              <c16:uniqueId val="{0000000A-7962-4368-83A1-F1616E26CFF5}"/>
            </c:ext>
          </c:extLst>
        </c:ser>
        <c:ser>
          <c:idx val="5"/>
          <c:order val="5"/>
          <c:tx>
            <c:strRef>
              <c:f>Лист15!$I$12</c:f>
              <c:strCache>
                <c:ptCount val="1"/>
                <c:pt idx="0">
                  <c:v>51-55</c:v>
                </c:pt>
              </c:strCache>
            </c:strRef>
          </c:tx>
          <c:spPr>
            <a:solidFill>
              <a:schemeClr val="accent6"/>
            </a:solidFill>
            <a:ln>
              <a:noFill/>
            </a:ln>
            <a:effectLst/>
          </c:spPr>
          <c:invertIfNegative val="0"/>
          <c:dLbls>
            <c:dLbl>
              <c:idx val="2"/>
              <c:layout>
                <c:manualLayout>
                  <c:x val="2.6463104325699597E-2"/>
                  <c:y val="1.6614745586708203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92C-43CA-965D-DEF18E885E12}"/>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Лист15!$C$13:$C$16</c:f>
              <c:strCache>
                <c:ptCount val="4"/>
                <c:pt idx="0">
                  <c:v>Политика ценообразования и качества препарата</c:v>
                </c:pt>
                <c:pt idx="1">
                  <c:v>При оформлении учитывается прирост заболеваемости на 15%, но бухгалтерия и провизор урезают заявку более чем на 20%</c:v>
                </c:pt>
                <c:pt idx="2">
                  <c:v>Кропотливая работа с учетом потребности каждого пациента</c:v>
                </c:pt>
                <c:pt idx="3">
                  <c:v>Приходится оставаться внерабочее время</c:v>
                </c:pt>
              </c:strCache>
            </c:strRef>
          </c:cat>
          <c:val>
            <c:numRef>
              <c:f>Лист15!$I$13:$I$16</c:f>
              <c:numCache>
                <c:formatCode>General</c:formatCode>
                <c:ptCount val="4"/>
                <c:pt idx="2" formatCode="0.0%">
                  <c:v>0.16700000000000001</c:v>
                </c:pt>
              </c:numCache>
            </c:numRef>
          </c:val>
          <c:extLst xmlns:c16r2="http://schemas.microsoft.com/office/drawing/2015/06/chart">
            <c:ext xmlns:c16="http://schemas.microsoft.com/office/drawing/2014/chart" uri="{C3380CC4-5D6E-409C-BE32-E72D297353CC}">
              <c16:uniqueId val="{0000000B-7962-4368-83A1-F1616E26CFF5}"/>
            </c:ext>
          </c:extLst>
        </c:ser>
        <c:ser>
          <c:idx val="6"/>
          <c:order val="6"/>
          <c:tx>
            <c:strRef>
              <c:f>Лист15!$J$12</c:f>
              <c:strCache>
                <c:ptCount val="1"/>
                <c:pt idx="0">
                  <c:v>56-60</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Лист15!$C$13:$C$16</c:f>
              <c:strCache>
                <c:ptCount val="4"/>
                <c:pt idx="0">
                  <c:v>Политика ценообразования и качества препарата</c:v>
                </c:pt>
                <c:pt idx="1">
                  <c:v>При оформлении учитывается прирост заболеваемости на 15%, но бухгалтерия и провизор урезают заявку более чем на 20%</c:v>
                </c:pt>
                <c:pt idx="2">
                  <c:v>Кропотливая работа с учетом потребности каждого пациента</c:v>
                </c:pt>
                <c:pt idx="3">
                  <c:v>Приходится оставаться внерабочее время</c:v>
                </c:pt>
              </c:strCache>
            </c:strRef>
          </c:cat>
          <c:val>
            <c:numRef>
              <c:f>Лист15!$J$13:$J$16</c:f>
              <c:numCache>
                <c:formatCode>General</c:formatCode>
                <c:ptCount val="4"/>
                <c:pt idx="0" formatCode="0.0%">
                  <c:v>0.111</c:v>
                </c:pt>
              </c:numCache>
            </c:numRef>
          </c:val>
          <c:extLst xmlns:c16r2="http://schemas.microsoft.com/office/drawing/2015/06/chart">
            <c:ext xmlns:c16="http://schemas.microsoft.com/office/drawing/2014/chart" uri="{C3380CC4-5D6E-409C-BE32-E72D297353CC}">
              <c16:uniqueId val="{0000000C-7962-4368-83A1-F1616E26CFF5}"/>
            </c:ext>
          </c:extLst>
        </c:ser>
        <c:dLbls>
          <c:dLblPos val="outEnd"/>
          <c:showLegendKey val="0"/>
          <c:showVal val="1"/>
          <c:showCatName val="0"/>
          <c:showSerName val="0"/>
          <c:showPercent val="0"/>
          <c:showBubbleSize val="0"/>
        </c:dLbls>
        <c:gapWidth val="150"/>
        <c:axId val="482788752"/>
        <c:axId val="482792280"/>
      </c:barChart>
      <c:catAx>
        <c:axId val="48278875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t>Проблемы при подаче заявки необходимых ЛС по приказу №666 для пациентов с СД 2</a:t>
                </a:r>
              </a:p>
            </c:rich>
          </c:tx>
          <c:layout>
            <c:manualLayout>
              <c:xMode val="edge"/>
              <c:yMode val="edge"/>
              <c:x val="0.11264535538741492"/>
              <c:y val="0.81929729923048034"/>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2792280"/>
        <c:crosses val="autoZero"/>
        <c:auto val="1"/>
        <c:lblAlgn val="ctr"/>
        <c:lblOffset val="100"/>
        <c:noMultiLvlLbl val="0"/>
      </c:catAx>
      <c:valAx>
        <c:axId val="482792280"/>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2788752"/>
        <c:crosses val="autoZero"/>
        <c:crossBetween val="between"/>
      </c:valAx>
      <c:spPr>
        <a:noFill/>
        <a:ln>
          <a:noFill/>
        </a:ln>
        <a:effectLst/>
      </c:spPr>
    </c:plotArea>
    <c:legend>
      <c:legendPos val="b"/>
      <c:layout>
        <c:manualLayout>
          <c:xMode val="edge"/>
          <c:yMode val="edge"/>
          <c:x val="0.32070367314210063"/>
          <c:y val="0.92065036628180752"/>
          <c:w val="0.55200082671726425"/>
          <c:h val="6.8960053773766086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a:t>Ошибки врачей при  годовом отчете по СД2</a:t>
            </a:r>
          </a:p>
        </c:rich>
      </c:tx>
      <c:layout>
        <c:manualLayout>
          <c:xMode val="edge"/>
          <c:yMode val="edge"/>
          <c:x val="4.3869771275499694E-2"/>
          <c:y val="0.91077922010245083"/>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9.3892273056600042E-2"/>
          <c:y val="0.12322069116360455"/>
          <c:w val="0.78603373467310989"/>
          <c:h val="0.58988624105640008"/>
        </c:manualLayout>
      </c:layout>
      <c:barChart>
        <c:barDir val="col"/>
        <c:grouping val="clustered"/>
        <c:varyColors val="0"/>
        <c:ser>
          <c:idx val="0"/>
          <c:order val="0"/>
          <c:tx>
            <c:strRef>
              <c:f>Лист16!$C$12</c:f>
              <c:strCache>
                <c:ptCount val="1"/>
                <c:pt idx="0">
                  <c:v>ВОП</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Лист16!$D$11:$J$11</c:f>
              <c:strCache>
                <c:ptCount val="7"/>
                <c:pt idx="0">
                  <c:v>ниже 20%</c:v>
                </c:pt>
                <c:pt idx="1">
                  <c:v>20-40%</c:v>
                </c:pt>
                <c:pt idx="2">
                  <c:v>41-60%</c:v>
                </c:pt>
                <c:pt idx="3">
                  <c:v>61-70%</c:v>
                </c:pt>
                <c:pt idx="4">
                  <c:v>71-80%</c:v>
                </c:pt>
                <c:pt idx="5">
                  <c:v>81-90%</c:v>
                </c:pt>
                <c:pt idx="6">
                  <c:v>91-100%</c:v>
                </c:pt>
              </c:strCache>
            </c:strRef>
          </c:cat>
          <c:val>
            <c:numRef>
              <c:f>Лист16!$D$12:$J$12</c:f>
              <c:numCache>
                <c:formatCode>0.0%</c:formatCode>
                <c:ptCount val="7"/>
                <c:pt idx="0">
                  <c:v>6.5000000000000002E-2</c:v>
                </c:pt>
                <c:pt idx="1">
                  <c:v>0.129</c:v>
                </c:pt>
                <c:pt idx="2">
                  <c:v>9.7000000000000003E-2</c:v>
                </c:pt>
                <c:pt idx="3">
                  <c:v>0.161</c:v>
                </c:pt>
                <c:pt idx="4">
                  <c:v>9.7000000000000003E-2</c:v>
                </c:pt>
                <c:pt idx="5">
                  <c:v>0.35499999999999998</c:v>
                </c:pt>
                <c:pt idx="6">
                  <c:v>9.7000000000000003E-2</c:v>
                </c:pt>
              </c:numCache>
            </c:numRef>
          </c:val>
          <c:extLst xmlns:c16r2="http://schemas.microsoft.com/office/drawing/2015/06/chart">
            <c:ext xmlns:c16="http://schemas.microsoft.com/office/drawing/2014/chart" uri="{C3380CC4-5D6E-409C-BE32-E72D297353CC}">
              <c16:uniqueId val="{00000000-CA48-452C-9459-3E44722FE5F4}"/>
            </c:ext>
          </c:extLst>
        </c:ser>
        <c:ser>
          <c:idx val="1"/>
          <c:order val="1"/>
          <c:tx>
            <c:strRef>
              <c:f>Лист16!$C$13</c:f>
              <c:strCache>
                <c:ptCount val="1"/>
                <c:pt idx="0">
                  <c:v>Врачи терапевты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Лист16!$D$11:$J$11</c:f>
              <c:strCache>
                <c:ptCount val="7"/>
                <c:pt idx="0">
                  <c:v>ниже 20%</c:v>
                </c:pt>
                <c:pt idx="1">
                  <c:v>20-40%</c:v>
                </c:pt>
                <c:pt idx="2">
                  <c:v>41-60%</c:v>
                </c:pt>
                <c:pt idx="3">
                  <c:v>61-70%</c:v>
                </c:pt>
                <c:pt idx="4">
                  <c:v>71-80%</c:v>
                </c:pt>
                <c:pt idx="5">
                  <c:v>81-90%</c:v>
                </c:pt>
                <c:pt idx="6">
                  <c:v>91-100%</c:v>
                </c:pt>
              </c:strCache>
            </c:strRef>
          </c:cat>
          <c:val>
            <c:numRef>
              <c:f>Лист16!$D$13:$J$13</c:f>
              <c:numCache>
                <c:formatCode>General</c:formatCode>
                <c:ptCount val="7"/>
                <c:pt idx="2" formatCode="0.0%">
                  <c:v>0.75</c:v>
                </c:pt>
                <c:pt idx="5" formatCode="0.0%">
                  <c:v>0.25</c:v>
                </c:pt>
              </c:numCache>
            </c:numRef>
          </c:val>
          <c:extLst xmlns:c16r2="http://schemas.microsoft.com/office/drawing/2015/06/chart">
            <c:ext xmlns:c16="http://schemas.microsoft.com/office/drawing/2014/chart" uri="{C3380CC4-5D6E-409C-BE32-E72D297353CC}">
              <c16:uniqueId val="{00000001-CA48-452C-9459-3E44722FE5F4}"/>
            </c:ext>
          </c:extLst>
        </c:ser>
        <c:dLbls>
          <c:dLblPos val="outEnd"/>
          <c:showLegendKey val="0"/>
          <c:showVal val="1"/>
          <c:showCatName val="0"/>
          <c:showSerName val="0"/>
          <c:showPercent val="0"/>
          <c:showBubbleSize val="0"/>
        </c:dLbls>
        <c:gapWidth val="219"/>
        <c:overlap val="-27"/>
        <c:axId val="482794632"/>
        <c:axId val="482795024"/>
      </c:barChart>
      <c:catAx>
        <c:axId val="482794632"/>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a:t>Из 100% на сколько Вы удовлетворены процессом в кабинете эндокринолога в</a:t>
                </a:r>
                <a:r>
                  <a:rPr lang="ru-RU" sz="1000" b="1" baseline="0"/>
                  <a:t> </a:t>
                </a:r>
                <a:r>
                  <a:rPr lang="ru-RU" sz="1000" b="1"/>
                  <a:t>обычное</a:t>
                </a:r>
                <a:r>
                  <a:rPr lang="ru-RU" sz="1000" b="1" baseline="0"/>
                  <a:t> </a:t>
                </a:r>
                <a:r>
                  <a:rPr lang="ru-RU" sz="1000" b="1"/>
                  <a:t>время  </a:t>
                </a:r>
              </a:p>
            </c:rich>
          </c:tx>
          <c:layout>
            <c:manualLayout>
              <c:xMode val="edge"/>
              <c:yMode val="edge"/>
              <c:x val="9.5162988718724195E-2"/>
              <c:y val="0.78646843532381083"/>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2795024"/>
        <c:crosses val="autoZero"/>
        <c:auto val="1"/>
        <c:lblAlgn val="ctr"/>
        <c:lblOffset val="100"/>
        <c:noMultiLvlLbl val="0"/>
      </c:catAx>
      <c:valAx>
        <c:axId val="4827950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2794632"/>
        <c:crosses val="autoZero"/>
        <c:crossBetween val="between"/>
      </c:valAx>
      <c:spPr>
        <a:noFill/>
        <a:ln>
          <a:noFill/>
        </a:ln>
        <a:effectLst/>
      </c:spPr>
    </c:plotArea>
    <c:legend>
      <c:legendPos val="b"/>
      <c:layout>
        <c:manualLayout>
          <c:xMode val="edge"/>
          <c:yMode val="edge"/>
          <c:x val="0.44162179088833758"/>
          <c:y val="0.90309211017716107"/>
          <c:w val="0.28160290493257684"/>
          <c:h val="8.0781777277840264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293608206563641"/>
          <c:y val="6.2083413353818576E-2"/>
          <c:w val="0.49584779586389688"/>
          <c:h val="0.74921643940848859"/>
        </c:manualLayout>
      </c:layout>
      <c:barChart>
        <c:barDir val="bar"/>
        <c:grouping val="clustered"/>
        <c:varyColors val="0"/>
        <c:ser>
          <c:idx val="0"/>
          <c:order val="0"/>
          <c:tx>
            <c:strRef>
              <c:f>Лист19!$D$6</c:f>
              <c:strCache>
                <c:ptCount val="1"/>
                <c:pt idx="0">
                  <c:v>всегда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Лист19!$C$7:$C$10</c:f>
              <c:strCache>
                <c:ptCount val="4"/>
                <c:pt idx="0">
                  <c:v>Низкая заработная плата</c:v>
                </c:pt>
                <c:pt idx="1">
                  <c:v>Нет солидарной ответственности за свое здоровье у пациентов, что выводит труд врача на нет</c:v>
                </c:pt>
                <c:pt idx="2">
                  <c:v>Большая часть времени уходит на оформление документации пациентов</c:v>
                </c:pt>
                <c:pt idx="3">
                  <c:v>Не рациональная трата сил, которые не входят в функциональные обязанности</c:v>
                </c:pt>
              </c:strCache>
            </c:strRef>
          </c:cat>
          <c:val>
            <c:numRef>
              <c:f>Лист19!$D$7:$D$10</c:f>
              <c:numCache>
                <c:formatCode>0.0%</c:formatCode>
                <c:ptCount val="4"/>
                <c:pt idx="1">
                  <c:v>0.1</c:v>
                </c:pt>
              </c:numCache>
            </c:numRef>
          </c:val>
          <c:extLst xmlns:c16r2="http://schemas.microsoft.com/office/drawing/2015/06/chart">
            <c:ext xmlns:c16="http://schemas.microsoft.com/office/drawing/2014/chart" uri="{C3380CC4-5D6E-409C-BE32-E72D297353CC}">
              <c16:uniqueId val="{00000000-CED0-47DA-8659-3EAA50A4B666}"/>
            </c:ext>
          </c:extLst>
        </c:ser>
        <c:ser>
          <c:idx val="1"/>
          <c:order val="1"/>
          <c:tx>
            <c:strRef>
              <c:f>Лист19!$E$6</c:f>
              <c:strCache>
                <c:ptCount val="1"/>
                <c:pt idx="0">
                  <c:v>часто</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Лист19!$C$7:$C$10</c:f>
              <c:strCache>
                <c:ptCount val="4"/>
                <c:pt idx="0">
                  <c:v>Низкая заработная плата</c:v>
                </c:pt>
                <c:pt idx="1">
                  <c:v>Нет солидарной ответственности за свое здоровье у пациентов, что выводит труд врача на нет</c:v>
                </c:pt>
                <c:pt idx="2">
                  <c:v>Большая часть времени уходит на оформление документации пациентов</c:v>
                </c:pt>
                <c:pt idx="3">
                  <c:v>Не рациональная трата сил, которые не входят в функциональные обязанности</c:v>
                </c:pt>
              </c:strCache>
            </c:strRef>
          </c:cat>
          <c:val>
            <c:numRef>
              <c:f>Лист19!$E$7:$E$10</c:f>
              <c:numCache>
                <c:formatCode>0.0%</c:formatCode>
                <c:ptCount val="4"/>
                <c:pt idx="0">
                  <c:v>0.15</c:v>
                </c:pt>
                <c:pt idx="1">
                  <c:v>0.2</c:v>
                </c:pt>
                <c:pt idx="3">
                  <c:v>0.66700000000000004</c:v>
                </c:pt>
              </c:numCache>
            </c:numRef>
          </c:val>
          <c:extLst xmlns:c16r2="http://schemas.microsoft.com/office/drawing/2015/06/chart">
            <c:ext xmlns:c16="http://schemas.microsoft.com/office/drawing/2014/chart" uri="{C3380CC4-5D6E-409C-BE32-E72D297353CC}">
              <c16:uniqueId val="{00000001-CED0-47DA-8659-3EAA50A4B666}"/>
            </c:ext>
          </c:extLst>
        </c:ser>
        <c:ser>
          <c:idx val="2"/>
          <c:order val="2"/>
          <c:tx>
            <c:strRef>
              <c:f>Лист19!$F$6</c:f>
              <c:strCache>
                <c:ptCount val="1"/>
                <c:pt idx="0">
                  <c:v>иногда</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Лист19!$C$7:$C$10</c:f>
              <c:strCache>
                <c:ptCount val="4"/>
                <c:pt idx="0">
                  <c:v>Низкая заработная плата</c:v>
                </c:pt>
                <c:pt idx="1">
                  <c:v>Нет солидарной ответственности за свое здоровье у пациентов, что выводит труд врача на нет</c:v>
                </c:pt>
                <c:pt idx="2">
                  <c:v>Большая часть времени уходит на оформление документации пациентов</c:v>
                </c:pt>
                <c:pt idx="3">
                  <c:v>Не рациональная трата сил, которые не входят в функциональные обязанности</c:v>
                </c:pt>
              </c:strCache>
            </c:strRef>
          </c:cat>
          <c:val>
            <c:numRef>
              <c:f>Лист19!$F$7:$F$10</c:f>
              <c:numCache>
                <c:formatCode>0.0%</c:formatCode>
                <c:ptCount val="4"/>
                <c:pt idx="0">
                  <c:v>0.4</c:v>
                </c:pt>
                <c:pt idx="1">
                  <c:v>0.4</c:v>
                </c:pt>
                <c:pt idx="2">
                  <c:v>1</c:v>
                </c:pt>
                <c:pt idx="3">
                  <c:v>0.33300000000000002</c:v>
                </c:pt>
              </c:numCache>
            </c:numRef>
          </c:val>
          <c:extLst xmlns:c16r2="http://schemas.microsoft.com/office/drawing/2015/06/chart">
            <c:ext xmlns:c16="http://schemas.microsoft.com/office/drawing/2014/chart" uri="{C3380CC4-5D6E-409C-BE32-E72D297353CC}">
              <c16:uniqueId val="{00000002-CED0-47DA-8659-3EAA50A4B666}"/>
            </c:ext>
          </c:extLst>
        </c:ser>
        <c:ser>
          <c:idx val="3"/>
          <c:order val="3"/>
          <c:tx>
            <c:strRef>
              <c:f>Лист19!$G$6</c:f>
              <c:strCache>
                <c:ptCount val="1"/>
                <c:pt idx="0">
                  <c:v>никогда</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Лист19!$C$7:$C$10</c:f>
              <c:strCache>
                <c:ptCount val="4"/>
                <c:pt idx="0">
                  <c:v>Низкая заработная плата</c:v>
                </c:pt>
                <c:pt idx="1">
                  <c:v>Нет солидарной ответственности за свое здоровье у пациентов, что выводит труд врача на нет</c:v>
                </c:pt>
                <c:pt idx="2">
                  <c:v>Большая часть времени уходит на оформление документации пациентов</c:v>
                </c:pt>
                <c:pt idx="3">
                  <c:v>Не рациональная трата сил, которые не входят в функциональные обязанности</c:v>
                </c:pt>
              </c:strCache>
            </c:strRef>
          </c:cat>
          <c:val>
            <c:numRef>
              <c:f>Лист19!$G$7:$G$10</c:f>
              <c:numCache>
                <c:formatCode>0.0%</c:formatCode>
                <c:ptCount val="4"/>
                <c:pt idx="0">
                  <c:v>0.45</c:v>
                </c:pt>
                <c:pt idx="1">
                  <c:v>0.3</c:v>
                </c:pt>
              </c:numCache>
            </c:numRef>
          </c:val>
          <c:extLst xmlns:c16r2="http://schemas.microsoft.com/office/drawing/2015/06/chart">
            <c:ext xmlns:c16="http://schemas.microsoft.com/office/drawing/2014/chart" uri="{C3380CC4-5D6E-409C-BE32-E72D297353CC}">
              <c16:uniqueId val="{00000003-CED0-47DA-8659-3EAA50A4B666}"/>
            </c:ext>
          </c:extLst>
        </c:ser>
        <c:dLbls>
          <c:dLblPos val="outEnd"/>
          <c:showLegendKey val="0"/>
          <c:showVal val="1"/>
          <c:showCatName val="0"/>
          <c:showSerName val="0"/>
          <c:showPercent val="0"/>
          <c:showBubbleSize val="0"/>
        </c:dLbls>
        <c:gapWidth val="150"/>
        <c:axId val="482789144"/>
        <c:axId val="482789928"/>
      </c:barChart>
      <c:catAx>
        <c:axId val="482789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2789928"/>
        <c:crosses val="autoZero"/>
        <c:auto val="1"/>
        <c:lblAlgn val="ctr"/>
        <c:lblOffset val="100"/>
        <c:noMultiLvlLbl val="0"/>
      </c:catAx>
      <c:valAx>
        <c:axId val="48278992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2789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Лист5!$A$4:$A$11</c:f>
              <c:strCache>
                <c:ptCount val="8"/>
                <c:pt idx="0">
                  <c:v>Сахарный диабет 2 типа</c:v>
                </c:pt>
                <c:pt idx="1">
                  <c:v>Рак молочной железы</c:v>
                </c:pt>
                <c:pt idx="2">
                  <c:v>Рак яичников</c:v>
                </c:pt>
                <c:pt idx="3">
                  <c:v>Рак матки</c:v>
                </c:pt>
                <c:pt idx="4">
                  <c:v>Рак толстой кишки</c:v>
                </c:pt>
                <c:pt idx="5">
                  <c:v>Рак предстательной железы</c:v>
                </c:pt>
                <c:pt idx="6">
                  <c:v>Рак легких</c:v>
                </c:pt>
                <c:pt idx="7">
                  <c:v>Не было таких состоянии здоровья</c:v>
                </c:pt>
              </c:strCache>
            </c:strRef>
          </c:cat>
          <c:val>
            <c:numRef>
              <c:f>Лист5!$C$4:$C$11</c:f>
              <c:numCache>
                <c:formatCode>General</c:formatCode>
                <c:ptCount val="8"/>
                <c:pt idx="0">
                  <c:v>38.799999999999997</c:v>
                </c:pt>
                <c:pt idx="1">
                  <c:v>4.5999999999999996</c:v>
                </c:pt>
                <c:pt idx="2">
                  <c:v>0.6</c:v>
                </c:pt>
                <c:pt idx="3">
                  <c:v>1.3</c:v>
                </c:pt>
                <c:pt idx="4">
                  <c:v>0.6</c:v>
                </c:pt>
                <c:pt idx="5">
                  <c:v>1.3</c:v>
                </c:pt>
                <c:pt idx="6">
                  <c:v>2.7</c:v>
                </c:pt>
                <c:pt idx="7">
                  <c:v>50.2</c:v>
                </c:pt>
              </c:numCache>
            </c:numRef>
          </c:val>
          <c:extLst xmlns:c16r2="http://schemas.microsoft.com/office/drawing/2015/06/chart">
            <c:ext xmlns:c16="http://schemas.microsoft.com/office/drawing/2014/chart" uri="{C3380CC4-5D6E-409C-BE32-E72D297353CC}">
              <c16:uniqueId val="{00000000-C4A8-4085-8750-2A51C8B86CDC}"/>
            </c:ext>
          </c:extLst>
        </c:ser>
        <c:dLbls>
          <c:showLegendKey val="0"/>
          <c:showVal val="1"/>
          <c:showCatName val="0"/>
          <c:showSerName val="0"/>
          <c:showPercent val="0"/>
          <c:showBubbleSize val="0"/>
        </c:dLbls>
        <c:gapWidth val="150"/>
        <c:axId val="257628952"/>
        <c:axId val="257630520"/>
      </c:barChart>
      <c:catAx>
        <c:axId val="257628952"/>
        <c:scaling>
          <c:orientation val="minMax"/>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1"/>
                  <a:t>Диагнозы кровных родственников пациентов с СД 2т</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57630520"/>
        <c:crosses val="autoZero"/>
        <c:auto val="1"/>
        <c:lblAlgn val="ctr"/>
        <c:lblOffset val="100"/>
        <c:noMultiLvlLbl val="0"/>
      </c:catAx>
      <c:valAx>
        <c:axId val="25763052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576289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50CB-45DA-A632-6ABE9E3B6BE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50CB-45DA-A632-6ABE9E3B6BE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Лист6!$B$6:$B$7</c:f>
              <c:strCache>
                <c:ptCount val="2"/>
                <c:pt idx="0">
                  <c:v>Каждый день</c:v>
                </c:pt>
                <c:pt idx="1">
                  <c:v>Не каждый день</c:v>
                </c:pt>
              </c:strCache>
            </c:strRef>
          </c:cat>
          <c:val>
            <c:numRef>
              <c:f>Лист6!$E$6:$E$7</c:f>
              <c:numCache>
                <c:formatCode>0.00%</c:formatCode>
                <c:ptCount val="2"/>
                <c:pt idx="0">
                  <c:v>0.61899999999999999</c:v>
                </c:pt>
                <c:pt idx="1">
                  <c:v>0.38100000000000001</c:v>
                </c:pt>
              </c:numCache>
            </c:numRef>
          </c:val>
          <c:extLst xmlns:c16r2="http://schemas.microsoft.com/office/drawing/2015/06/chart">
            <c:ext xmlns:c16="http://schemas.microsoft.com/office/drawing/2014/chart" uri="{C3380CC4-5D6E-409C-BE32-E72D297353CC}">
              <c16:uniqueId val="{00000004-50CB-45DA-A632-6ABE9E3B6BE8}"/>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no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07A-4529-9DA2-2ED66B257B0A}"/>
              </c:ext>
            </c:extLst>
          </c:dPt>
          <c:dPt>
            <c:idx val="1"/>
            <c:bubble3D val="0"/>
            <c:spPr>
              <a:solidFill>
                <a:schemeClr val="accent2"/>
              </a:solidFill>
              <a:ln w="25400">
                <a:noFill/>
              </a:ln>
              <a:effectLst/>
              <a:sp3d/>
            </c:spPr>
            <c:extLst xmlns:c16r2="http://schemas.microsoft.com/office/drawing/2015/06/chart">
              <c:ext xmlns:c16="http://schemas.microsoft.com/office/drawing/2014/chart" uri="{C3380CC4-5D6E-409C-BE32-E72D297353CC}">
                <c16:uniqueId val="{00000003-C07A-4529-9DA2-2ED66B257B0A}"/>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C07A-4529-9DA2-2ED66B257B0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Лист6!$B$18:$B$20</c:f>
              <c:strCache>
                <c:ptCount val="3"/>
                <c:pt idx="0">
                  <c:v>Каждый день</c:v>
                </c:pt>
                <c:pt idx="1">
                  <c:v>Не каждый день</c:v>
                </c:pt>
                <c:pt idx="2">
                  <c:v>Не употребляю в пищу</c:v>
                </c:pt>
              </c:strCache>
            </c:strRef>
          </c:cat>
          <c:val>
            <c:numRef>
              <c:f>Лист6!$D$18:$D$20</c:f>
              <c:numCache>
                <c:formatCode>0.00%</c:formatCode>
                <c:ptCount val="3"/>
                <c:pt idx="0">
                  <c:v>0.38329999999999997</c:v>
                </c:pt>
                <c:pt idx="1">
                  <c:v>0.4667</c:v>
                </c:pt>
                <c:pt idx="2">
                  <c:v>0.15</c:v>
                </c:pt>
              </c:numCache>
            </c:numRef>
          </c:val>
          <c:extLst xmlns:c16r2="http://schemas.microsoft.com/office/drawing/2015/06/chart">
            <c:ext xmlns:c16="http://schemas.microsoft.com/office/drawing/2014/chart" uri="{C3380CC4-5D6E-409C-BE32-E72D297353CC}">
              <c16:uniqueId val="{00000006-C07A-4529-9DA2-2ED66B257B0A}"/>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3568279058517442"/>
          <c:y val="4.5267489711934158E-2"/>
          <c:w val="0.61529749005533707"/>
          <c:h val="0.68944835718380004"/>
        </c:manualLayout>
      </c:layout>
      <c:barChart>
        <c:barDir val="bar"/>
        <c:grouping val="clustered"/>
        <c:varyColors val="0"/>
        <c:ser>
          <c:idx val="0"/>
          <c:order val="0"/>
          <c:tx>
            <c:strRef>
              <c:f>Лист25!$B$3</c:f>
              <c:strCache>
                <c:ptCount val="1"/>
                <c:pt idx="0">
                  <c:v>мужчины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Лист25!$C$2:$I$2</c:f>
              <c:strCache>
                <c:ptCount val="7"/>
                <c:pt idx="0">
                  <c:v>Занимаюсь физ нагрузкой</c:v>
                </c:pt>
                <c:pt idx="1">
                  <c:v>Трудно купировать гипогликемию</c:v>
                </c:pt>
                <c:pt idx="2">
                  <c:v>Ортостатическая гипотензия</c:v>
                </c:pt>
                <c:pt idx="3">
                  <c:v>Сердце не переносит нагрузок</c:v>
                </c:pt>
                <c:pt idx="4">
                  <c:v>Дорого посещать спорт комплекс</c:v>
                </c:pt>
                <c:pt idx="5">
                  <c:v>Нет мотивации</c:v>
                </c:pt>
                <c:pt idx="6">
                  <c:v>Нет причины</c:v>
                </c:pt>
              </c:strCache>
            </c:strRef>
          </c:cat>
          <c:val>
            <c:numRef>
              <c:f>Лист25!$C$3:$I$3</c:f>
              <c:numCache>
                <c:formatCode>0.0%</c:formatCode>
                <c:ptCount val="7"/>
                <c:pt idx="0">
                  <c:v>0.33500000000000002</c:v>
                </c:pt>
                <c:pt idx="1">
                  <c:v>0.04</c:v>
                </c:pt>
                <c:pt idx="2">
                  <c:v>2.5000000000000001E-2</c:v>
                </c:pt>
                <c:pt idx="3">
                  <c:v>0.11</c:v>
                </c:pt>
                <c:pt idx="4">
                  <c:v>0.125</c:v>
                </c:pt>
                <c:pt idx="5">
                  <c:v>0.06</c:v>
                </c:pt>
                <c:pt idx="6">
                  <c:v>0.30499999999999999</c:v>
                </c:pt>
              </c:numCache>
            </c:numRef>
          </c:val>
          <c:extLst xmlns:c16r2="http://schemas.microsoft.com/office/drawing/2015/06/chart">
            <c:ext xmlns:c16="http://schemas.microsoft.com/office/drawing/2014/chart" uri="{C3380CC4-5D6E-409C-BE32-E72D297353CC}">
              <c16:uniqueId val="{00000000-3A21-4E96-A97C-3D7C0FB098D1}"/>
            </c:ext>
          </c:extLst>
        </c:ser>
        <c:ser>
          <c:idx val="1"/>
          <c:order val="1"/>
          <c:tx>
            <c:strRef>
              <c:f>Лист25!$B$4</c:f>
              <c:strCache>
                <c:ptCount val="1"/>
                <c:pt idx="0">
                  <c:v>женщины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Лист25!$C$2:$I$2</c:f>
              <c:strCache>
                <c:ptCount val="7"/>
                <c:pt idx="0">
                  <c:v>Занимаюсь физ нагрузкой</c:v>
                </c:pt>
                <c:pt idx="1">
                  <c:v>Трудно купировать гипогликемию</c:v>
                </c:pt>
                <c:pt idx="2">
                  <c:v>Ортостатическая гипотензия</c:v>
                </c:pt>
                <c:pt idx="3">
                  <c:v>Сердце не переносит нагрузок</c:v>
                </c:pt>
                <c:pt idx="4">
                  <c:v>Дорого посещать спорт комплекс</c:v>
                </c:pt>
                <c:pt idx="5">
                  <c:v>Нет мотивации</c:v>
                </c:pt>
                <c:pt idx="6">
                  <c:v>Нет причины</c:v>
                </c:pt>
              </c:strCache>
            </c:strRef>
          </c:cat>
          <c:val>
            <c:numRef>
              <c:f>Лист25!$C$4:$I$4</c:f>
              <c:numCache>
                <c:formatCode>0.0%</c:formatCode>
                <c:ptCount val="7"/>
                <c:pt idx="0">
                  <c:v>0.379</c:v>
                </c:pt>
                <c:pt idx="1">
                  <c:v>0.05</c:v>
                </c:pt>
                <c:pt idx="2">
                  <c:v>4.2999999999999997E-2</c:v>
                </c:pt>
                <c:pt idx="3">
                  <c:v>0.114</c:v>
                </c:pt>
                <c:pt idx="4">
                  <c:v>0.114</c:v>
                </c:pt>
                <c:pt idx="5">
                  <c:v>4.2999999999999997E-2</c:v>
                </c:pt>
                <c:pt idx="6">
                  <c:v>0.25700000000000001</c:v>
                </c:pt>
              </c:numCache>
            </c:numRef>
          </c:val>
          <c:extLst xmlns:c16r2="http://schemas.microsoft.com/office/drawing/2015/06/chart">
            <c:ext xmlns:c16="http://schemas.microsoft.com/office/drawing/2014/chart" uri="{C3380CC4-5D6E-409C-BE32-E72D297353CC}">
              <c16:uniqueId val="{00000001-3A21-4E96-A97C-3D7C0FB098D1}"/>
            </c:ext>
          </c:extLst>
        </c:ser>
        <c:dLbls>
          <c:showLegendKey val="0"/>
          <c:showVal val="1"/>
          <c:showCatName val="0"/>
          <c:showSerName val="0"/>
          <c:showPercent val="0"/>
          <c:showBubbleSize val="0"/>
        </c:dLbls>
        <c:gapWidth val="150"/>
        <c:axId val="257623464"/>
        <c:axId val="257625816"/>
      </c:barChart>
      <c:catAx>
        <c:axId val="25762346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t>Причины</a:t>
                </a:r>
                <a:r>
                  <a:rPr lang="ru-RU" baseline="0"/>
                  <a:t> НФА</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57625816"/>
        <c:crosses val="autoZero"/>
        <c:auto val="1"/>
        <c:lblAlgn val="ctr"/>
        <c:lblOffset val="100"/>
        <c:noMultiLvlLbl val="0"/>
      </c:catAx>
      <c:valAx>
        <c:axId val="25762581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57623464"/>
        <c:crosses val="autoZero"/>
        <c:crossBetween val="between"/>
      </c:valAx>
      <c:spPr>
        <a:noFill/>
        <a:ln>
          <a:noFill/>
        </a:ln>
        <a:effectLst/>
      </c:spPr>
    </c:plotArea>
    <c:legend>
      <c:legendPos val="b"/>
      <c:layout>
        <c:manualLayout>
          <c:xMode val="edge"/>
          <c:yMode val="edge"/>
          <c:x val="0.3876092024809748"/>
          <c:y val="0.8690651126724489"/>
          <c:w val="0.20988386926494523"/>
          <c:h val="7.550391076253264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FCA-40A2-9694-2ABF736ED79C}"/>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FCA-40A2-9694-2ABF736ED79C}"/>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3FCA-40A2-9694-2ABF736ED79C}"/>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3FCA-40A2-9694-2ABF736ED79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Лист7!$B$8:$B$11</c:f>
              <c:strCache>
                <c:ptCount val="4"/>
                <c:pt idx="0">
                  <c:v>3-5 штук</c:v>
                </c:pt>
                <c:pt idx="1">
                  <c:v>Менее 1 пачки</c:v>
                </c:pt>
                <c:pt idx="2">
                  <c:v>Более 1 пачки</c:v>
                </c:pt>
                <c:pt idx="3">
                  <c:v>Не курю</c:v>
                </c:pt>
              </c:strCache>
            </c:strRef>
          </c:cat>
          <c:val>
            <c:numRef>
              <c:f>Лист7!$D$8:$D$11</c:f>
              <c:numCache>
                <c:formatCode>0.00%</c:formatCode>
                <c:ptCount val="4"/>
                <c:pt idx="0">
                  <c:v>0.16900000000000001</c:v>
                </c:pt>
                <c:pt idx="1">
                  <c:v>7.9000000000000001E-2</c:v>
                </c:pt>
                <c:pt idx="2">
                  <c:v>7.2999999999999995E-2</c:v>
                </c:pt>
                <c:pt idx="3">
                  <c:v>0.67900000000000005</c:v>
                </c:pt>
              </c:numCache>
            </c:numRef>
          </c:val>
          <c:extLst xmlns:c16r2="http://schemas.microsoft.com/office/drawing/2015/06/chart">
            <c:ext xmlns:c16="http://schemas.microsoft.com/office/drawing/2014/chart" uri="{C3380CC4-5D6E-409C-BE32-E72D297353CC}">
              <c16:uniqueId val="{00000008-3FCA-40A2-9694-2ABF736ED79C}"/>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ln>
                <a:noFill/>
              </a:ln>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ln>
            <a:noFill/>
          </a:ln>
          <a:solidFill>
            <a:sysClr val="windowText" lastClr="000000"/>
          </a:solidFill>
        </a:defRPr>
      </a:pPr>
      <a:endParaRPr lang="ru-RU"/>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BC1-416F-BEA6-CD9D14EBCE4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BC1-416F-BEA6-CD9D14EBCE4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BC1-416F-BEA6-CD9D14EBCE4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BC1-416F-BEA6-CD9D14EBCE4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Лист7!$B$22:$B$25</c:f>
              <c:strCache>
                <c:ptCount val="4"/>
                <c:pt idx="0">
                  <c:v>Редко</c:v>
                </c:pt>
                <c:pt idx="1">
                  <c:v>Около 2 раз в неделю</c:v>
                </c:pt>
                <c:pt idx="2">
                  <c:v>Ежедневно</c:v>
                </c:pt>
                <c:pt idx="3">
                  <c:v>Не употребляю</c:v>
                </c:pt>
              </c:strCache>
            </c:strRef>
          </c:cat>
          <c:val>
            <c:numRef>
              <c:f>Лист7!$D$22:$D$25</c:f>
              <c:numCache>
                <c:formatCode>0.00%</c:formatCode>
                <c:ptCount val="4"/>
                <c:pt idx="0">
                  <c:v>0.32500000000000001</c:v>
                </c:pt>
                <c:pt idx="1">
                  <c:v>5.1999999999999998E-2</c:v>
                </c:pt>
                <c:pt idx="2">
                  <c:v>2.5000000000000001E-2</c:v>
                </c:pt>
                <c:pt idx="3">
                  <c:v>0.59799999999999998</c:v>
                </c:pt>
              </c:numCache>
            </c:numRef>
          </c:val>
          <c:extLst xmlns:c16r2="http://schemas.microsoft.com/office/drawing/2015/06/chart">
            <c:ext xmlns:c16="http://schemas.microsoft.com/office/drawing/2014/chart" uri="{C3380CC4-5D6E-409C-BE32-E72D297353CC}">
              <c16:uniqueId val="{00000008-BBC1-416F-BEA6-CD9D14EBCE44}"/>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'33вопрос'!$J$5</c:f>
              <c:strCache>
                <c:ptCount val="1"/>
                <c:pt idx="0">
                  <c:v>Да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'33вопрос'!$I$6:$I$12</c:f>
              <c:strCache>
                <c:ptCount val="7"/>
                <c:pt idx="0">
                  <c:v>Артериальная гипертензия</c:v>
                </c:pt>
                <c:pt idx="1">
                  <c:v>Ишемическая болезнь сердца</c:v>
                </c:pt>
                <c:pt idx="2">
                  <c:v>Хронические печеночные заболевания</c:v>
                </c:pt>
                <c:pt idx="3">
                  <c:v> Глазные заболевания</c:v>
                </c:pt>
                <c:pt idx="4">
                  <c:v>Неврологические заболевания</c:v>
                </c:pt>
                <c:pt idx="5">
                  <c:v>Заболевания опорно двиг системы суставы</c:v>
                </c:pt>
                <c:pt idx="6">
                  <c:v>Онкологические заболевания</c:v>
                </c:pt>
              </c:strCache>
            </c:strRef>
          </c:cat>
          <c:val>
            <c:numRef>
              <c:f>'33вопрос'!$J$6:$J$12</c:f>
              <c:numCache>
                <c:formatCode>0.0%</c:formatCode>
                <c:ptCount val="7"/>
                <c:pt idx="0">
                  <c:v>0.71</c:v>
                </c:pt>
                <c:pt idx="1">
                  <c:v>0.45400000000000001</c:v>
                </c:pt>
                <c:pt idx="2">
                  <c:v>0.10199999999999999</c:v>
                </c:pt>
                <c:pt idx="3">
                  <c:v>8.3000000000000004E-2</c:v>
                </c:pt>
                <c:pt idx="4">
                  <c:v>0.14000000000000001</c:v>
                </c:pt>
                <c:pt idx="5">
                  <c:v>5.6000000000000001E-2</c:v>
                </c:pt>
                <c:pt idx="6">
                  <c:v>2.1000000000000001E-2</c:v>
                </c:pt>
              </c:numCache>
            </c:numRef>
          </c:val>
          <c:extLst xmlns:c16r2="http://schemas.microsoft.com/office/drawing/2015/06/chart">
            <c:ext xmlns:c16="http://schemas.microsoft.com/office/drawing/2014/chart" uri="{C3380CC4-5D6E-409C-BE32-E72D297353CC}">
              <c16:uniqueId val="{00000000-A0E4-4A6D-8264-07F5379014E8}"/>
            </c:ext>
          </c:extLst>
        </c:ser>
        <c:dLbls>
          <c:dLblPos val="outEnd"/>
          <c:showLegendKey val="0"/>
          <c:showVal val="1"/>
          <c:showCatName val="0"/>
          <c:showSerName val="0"/>
          <c:showPercent val="0"/>
          <c:showBubbleSize val="0"/>
        </c:dLbls>
        <c:gapWidth val="182"/>
        <c:axId val="257627384"/>
        <c:axId val="257628560"/>
      </c:barChart>
      <c:catAx>
        <c:axId val="257627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ysClr val="windowText" lastClr="000000"/>
                </a:solidFill>
                <a:latin typeface="+mn-lt"/>
                <a:ea typeface="+mn-ea"/>
                <a:cs typeface="+mn-cs"/>
              </a:defRPr>
            </a:pPr>
            <a:endParaRPr lang="ru-RU"/>
          </a:p>
        </c:txPr>
        <c:crossAx val="257628560"/>
        <c:crosses val="autoZero"/>
        <c:auto val="1"/>
        <c:lblAlgn val="ctr"/>
        <c:lblOffset val="100"/>
        <c:noMultiLvlLbl val="0"/>
      </c:catAx>
      <c:valAx>
        <c:axId val="25762856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ysClr val="windowText" lastClr="000000"/>
                </a:solidFill>
                <a:latin typeface="+mn-lt"/>
                <a:ea typeface="+mn-ea"/>
                <a:cs typeface="+mn-cs"/>
              </a:defRPr>
            </a:pPr>
            <a:endParaRPr lang="ru-RU"/>
          </a:p>
        </c:txPr>
        <c:crossAx val="2576273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n>
            <a:noFill/>
          </a:ln>
          <a:solidFill>
            <a:sysClr val="windowText" lastClr="000000"/>
          </a:solidFill>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54417677730849"/>
          <c:y val="6.4327485380116955E-2"/>
          <c:w val="0.8616063928115969"/>
          <c:h val="0.67682230510659847"/>
        </c:manualLayout>
      </c:layout>
      <c:lineChart>
        <c:grouping val="stacked"/>
        <c:varyColors val="0"/>
        <c:ser>
          <c:idx val="0"/>
          <c:order val="0"/>
          <c:tx>
            <c:strRef>
              <c:f>Лист1!$A$18</c:f>
              <c:strCache>
                <c:ptCount val="1"/>
                <c:pt idx="0">
                  <c:v>мужчины</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9.1439488857083216E-3"/>
                  <c:y val="1.122094394056378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B27-41EB-9BDE-3BB3AF1FD069}"/>
                </c:ext>
                <c:ext xmlns:c15="http://schemas.microsoft.com/office/drawing/2012/chart" uri="{CE6537A1-D6FC-4f65-9D91-7224C49458BB}"/>
              </c:extLst>
            </c:dLbl>
            <c:dLbl>
              <c:idx val="1"/>
              <c:layout>
                <c:manualLayout>
                  <c:x val="-9.1439488857083216E-3"/>
                  <c:y val="1.443379453339796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B27-41EB-9BDE-3BB3AF1FD069}"/>
                </c:ext>
                <c:ext xmlns:c15="http://schemas.microsoft.com/office/drawing/2012/chart" uri="{CE6537A1-D6FC-4f65-9D91-7224C49458BB}"/>
              </c:extLst>
            </c:dLbl>
            <c:dLbl>
              <c:idx val="2"/>
              <c:layout>
                <c:manualLayout>
                  <c:x val="-9.6795776907288925E-3"/>
                  <c:y val="8.0080933477296029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B27-41EB-9BDE-3BB3AF1FD069}"/>
                </c:ext>
                <c:ext xmlns:c15="http://schemas.microsoft.com/office/drawing/2012/chart" uri="{CE6537A1-D6FC-4f65-9D91-7224C49458BB}"/>
              </c:extLst>
            </c:dLbl>
            <c:dLbl>
              <c:idx val="3"/>
              <c:layout>
                <c:manualLayout>
                  <c:x val="-9.6795776907288925E-3"/>
                  <c:y val="4.795242754895305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B27-41EB-9BDE-3BB3AF1FD069}"/>
                </c:ext>
                <c:ext xmlns:c15="http://schemas.microsoft.com/office/drawing/2012/chart" uri="{CE6537A1-D6FC-4f65-9D91-7224C49458BB}"/>
              </c:extLst>
            </c:dLbl>
            <c:dLbl>
              <c:idx val="4"/>
              <c:layout>
                <c:manualLayout>
                  <c:x val="-2.3605926621263741E-2"/>
                  <c:y val="4.795242754895305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B27-41EB-9BDE-3BB3AF1FD069}"/>
                </c:ext>
                <c:ext xmlns:c15="http://schemas.microsoft.com/office/drawing/2012/chart" uri="{CE6537A1-D6FC-4f65-9D91-7224C49458BB}"/>
              </c:extLst>
            </c:dLbl>
            <c:dLbl>
              <c:idx val="5"/>
              <c:layout>
                <c:manualLayout>
                  <c:x val="-2.5518886639194351E-2"/>
                  <c:y val="1.122094394056378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B27-41EB-9BDE-3BB3AF1FD069}"/>
                </c:ext>
                <c:ext xmlns:c15="http://schemas.microsoft.com/office/drawing/2012/chart" uri="{CE6537A1-D6FC-4f65-9D91-7224C49458BB}"/>
              </c:extLst>
            </c:dLbl>
            <c:dLbl>
              <c:idx val="6"/>
              <c:layout>
                <c:manualLayout>
                  <c:x val="-2.9344806675055575E-2"/>
                  <c:y val="2.728519690473468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B27-41EB-9BDE-3BB3AF1FD06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Лист1!$B$17:$N$17</c:f>
              <c:strCache>
                <c:ptCount val="13"/>
                <c:pt idx="0">
                  <c:v>0-14</c:v>
                </c:pt>
                <c:pt idx="1">
                  <c:v>15-17</c:v>
                </c:pt>
                <c:pt idx="2">
                  <c:v>18-24</c:v>
                </c:pt>
                <c:pt idx="3">
                  <c:v>25-29</c:v>
                </c:pt>
                <c:pt idx="4">
                  <c:v>30-34</c:v>
                </c:pt>
                <c:pt idx="5">
                  <c:v>35-39</c:v>
                </c:pt>
                <c:pt idx="6">
                  <c:v>40-44</c:v>
                </c:pt>
                <c:pt idx="7">
                  <c:v>45-49</c:v>
                </c:pt>
                <c:pt idx="8">
                  <c:v>50-54</c:v>
                </c:pt>
                <c:pt idx="9">
                  <c:v>55-59</c:v>
                </c:pt>
                <c:pt idx="10">
                  <c:v>60-64</c:v>
                </c:pt>
                <c:pt idx="11">
                  <c:v>65-69</c:v>
                </c:pt>
                <c:pt idx="12">
                  <c:v>70 и старше</c:v>
                </c:pt>
              </c:strCache>
            </c:strRef>
          </c:cat>
          <c:val>
            <c:numRef>
              <c:f>Лист1!$B$18:$N$18</c:f>
              <c:numCache>
                <c:formatCode>General</c:formatCode>
                <c:ptCount val="13"/>
                <c:pt idx="0">
                  <c:v>5</c:v>
                </c:pt>
                <c:pt idx="1">
                  <c:v>6</c:v>
                </c:pt>
                <c:pt idx="2">
                  <c:v>19</c:v>
                </c:pt>
                <c:pt idx="3">
                  <c:v>39</c:v>
                </c:pt>
                <c:pt idx="4">
                  <c:v>124</c:v>
                </c:pt>
                <c:pt idx="5">
                  <c:v>317</c:v>
                </c:pt>
                <c:pt idx="6">
                  <c:v>656</c:v>
                </c:pt>
                <c:pt idx="7">
                  <c:v>1143</c:v>
                </c:pt>
                <c:pt idx="8">
                  <c:v>1702</c:v>
                </c:pt>
                <c:pt idx="9">
                  <c:v>2442</c:v>
                </c:pt>
                <c:pt idx="10">
                  <c:v>2975</c:v>
                </c:pt>
                <c:pt idx="11">
                  <c:v>2546</c:v>
                </c:pt>
                <c:pt idx="12">
                  <c:v>3497</c:v>
                </c:pt>
              </c:numCache>
            </c:numRef>
          </c:val>
          <c:smooth val="0"/>
          <c:extLst xmlns:c16r2="http://schemas.microsoft.com/office/drawing/2015/06/chart">
            <c:ext xmlns:c16="http://schemas.microsoft.com/office/drawing/2014/chart" uri="{C3380CC4-5D6E-409C-BE32-E72D297353CC}">
              <c16:uniqueId val="{00000007-BB27-41EB-9BDE-3BB3AF1FD069}"/>
            </c:ext>
          </c:extLst>
        </c:ser>
        <c:ser>
          <c:idx val="1"/>
          <c:order val="1"/>
          <c:tx>
            <c:strRef>
              <c:f>Лист1!$A$19</c:f>
              <c:strCache>
                <c:ptCount val="1"/>
                <c:pt idx="0">
                  <c:v>женщины</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Лист1!$B$17:$N$17</c:f>
              <c:strCache>
                <c:ptCount val="13"/>
                <c:pt idx="0">
                  <c:v>0-14</c:v>
                </c:pt>
                <c:pt idx="1">
                  <c:v>15-17</c:v>
                </c:pt>
                <c:pt idx="2">
                  <c:v>18-24</c:v>
                </c:pt>
                <c:pt idx="3">
                  <c:v>25-29</c:v>
                </c:pt>
                <c:pt idx="4">
                  <c:v>30-34</c:v>
                </c:pt>
                <c:pt idx="5">
                  <c:v>35-39</c:v>
                </c:pt>
                <c:pt idx="6">
                  <c:v>40-44</c:v>
                </c:pt>
                <c:pt idx="7">
                  <c:v>45-49</c:v>
                </c:pt>
                <c:pt idx="8">
                  <c:v>50-54</c:v>
                </c:pt>
                <c:pt idx="9">
                  <c:v>55-59</c:v>
                </c:pt>
                <c:pt idx="10">
                  <c:v>60-64</c:v>
                </c:pt>
                <c:pt idx="11">
                  <c:v>65-69</c:v>
                </c:pt>
                <c:pt idx="12">
                  <c:v>70 и старше</c:v>
                </c:pt>
              </c:strCache>
            </c:strRef>
          </c:cat>
          <c:val>
            <c:numRef>
              <c:f>Лист1!$B$19:$N$19</c:f>
              <c:numCache>
                <c:formatCode>General</c:formatCode>
                <c:ptCount val="13"/>
                <c:pt idx="0">
                  <c:v>1</c:v>
                </c:pt>
                <c:pt idx="1">
                  <c:v>3</c:v>
                </c:pt>
                <c:pt idx="2">
                  <c:v>23</c:v>
                </c:pt>
                <c:pt idx="3">
                  <c:v>58</c:v>
                </c:pt>
                <c:pt idx="4">
                  <c:v>174</c:v>
                </c:pt>
                <c:pt idx="5">
                  <c:v>275</c:v>
                </c:pt>
                <c:pt idx="6">
                  <c:v>2000</c:v>
                </c:pt>
                <c:pt idx="7">
                  <c:v>562</c:v>
                </c:pt>
                <c:pt idx="8">
                  <c:v>1081</c:v>
                </c:pt>
                <c:pt idx="9">
                  <c:v>3226</c:v>
                </c:pt>
                <c:pt idx="10">
                  <c:v>5307</c:v>
                </c:pt>
                <c:pt idx="11">
                  <c:v>5660</c:v>
                </c:pt>
                <c:pt idx="12">
                  <c:v>11024</c:v>
                </c:pt>
              </c:numCache>
            </c:numRef>
          </c:val>
          <c:smooth val="0"/>
          <c:extLst xmlns:c16r2="http://schemas.microsoft.com/office/drawing/2015/06/chart">
            <c:ext xmlns:c16="http://schemas.microsoft.com/office/drawing/2014/chart" uri="{C3380CC4-5D6E-409C-BE32-E72D297353CC}">
              <c16:uniqueId val="{00000008-BB27-41EB-9BDE-3BB3AF1FD069}"/>
            </c:ext>
          </c:extLst>
        </c:ser>
        <c:dLbls>
          <c:dLblPos val="t"/>
          <c:showLegendKey val="0"/>
          <c:showVal val="1"/>
          <c:showCatName val="0"/>
          <c:showSerName val="0"/>
          <c:showPercent val="0"/>
          <c:showBubbleSize val="0"/>
        </c:dLbls>
        <c:marker val="1"/>
        <c:smooth val="0"/>
        <c:axId val="482764448"/>
        <c:axId val="482764840"/>
      </c:lineChart>
      <c:catAx>
        <c:axId val="48276444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t>возраст</a:t>
                </a:r>
              </a:p>
            </c:rich>
          </c:tx>
          <c:layout>
            <c:manualLayout>
              <c:xMode val="edge"/>
              <c:yMode val="edge"/>
              <c:x val="0.46375838978522932"/>
              <c:y val="0.8299405995303217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82764840"/>
        <c:crosses val="autoZero"/>
        <c:auto val="1"/>
        <c:lblAlgn val="ctr"/>
        <c:lblOffset val="100"/>
        <c:noMultiLvlLbl val="0"/>
      </c:catAx>
      <c:valAx>
        <c:axId val="482764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t>количество случаев</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82764448"/>
        <c:crosses val="autoZero"/>
        <c:crossBetween val="between"/>
      </c:valAx>
      <c:spPr>
        <a:noFill/>
        <a:ln>
          <a:noFill/>
        </a:ln>
        <a:effectLst/>
      </c:spPr>
    </c:plotArea>
    <c:legend>
      <c:legendPos val="b"/>
      <c:layout>
        <c:manualLayout>
          <c:xMode val="edge"/>
          <c:yMode val="edge"/>
          <c:x val="0.35479932764719418"/>
          <c:y val="0.90131509877054838"/>
          <c:w val="0.29040118870728082"/>
          <c:h val="9.868490122945158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0735508061492312"/>
          <c:y val="6.1111111111111109E-2"/>
          <c:w val="0.63440682414698157"/>
          <c:h val="0.77737007874015762"/>
        </c:manualLayout>
      </c:layout>
      <c:bar3DChart>
        <c:barDir val="bar"/>
        <c:grouping val="clustered"/>
        <c:varyColors val="0"/>
        <c:ser>
          <c:idx val="0"/>
          <c:order val="0"/>
          <c:tx>
            <c:strRef>
              <c:f>Лист9!$B$1</c:f>
              <c:strCache>
                <c:ptCount val="1"/>
                <c:pt idx="0">
                  <c:v> высшее образование</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Лист9!$A$2:$A$7</c:f>
              <c:strCache>
                <c:ptCount val="6"/>
                <c:pt idx="0">
                  <c:v>Ниже нормального веса</c:v>
                </c:pt>
                <c:pt idx="1">
                  <c:v>нормальный вес</c:v>
                </c:pt>
                <c:pt idx="2">
                  <c:v>избыточный вес</c:v>
                </c:pt>
                <c:pt idx="3">
                  <c:v>ожирение I степени</c:v>
                </c:pt>
                <c:pt idx="4">
                  <c:v>ожирение ІІ степени</c:v>
                </c:pt>
                <c:pt idx="5">
                  <c:v>ожирение ІІІ степени</c:v>
                </c:pt>
              </c:strCache>
            </c:strRef>
          </c:cat>
          <c:val>
            <c:numRef>
              <c:f>Лист9!$B$2:$B$7</c:f>
              <c:numCache>
                <c:formatCode>0.00%</c:formatCode>
                <c:ptCount val="6"/>
                <c:pt idx="0">
                  <c:v>6.1999999999999998E-3</c:v>
                </c:pt>
                <c:pt idx="1">
                  <c:v>0.15529999999999999</c:v>
                </c:pt>
                <c:pt idx="2">
                  <c:v>0.41610000000000003</c:v>
                </c:pt>
                <c:pt idx="3">
                  <c:v>0.32300000000000001</c:v>
                </c:pt>
                <c:pt idx="4">
                  <c:v>7.4499999999999997E-2</c:v>
                </c:pt>
                <c:pt idx="5">
                  <c:v>2.4799999999999999E-2</c:v>
                </c:pt>
              </c:numCache>
            </c:numRef>
          </c:val>
          <c:extLst xmlns:c16r2="http://schemas.microsoft.com/office/drawing/2015/06/chart">
            <c:ext xmlns:c16="http://schemas.microsoft.com/office/drawing/2014/chart" uri="{C3380CC4-5D6E-409C-BE32-E72D297353CC}">
              <c16:uniqueId val="{00000000-27A8-4CC2-AD95-E639CED82CC9}"/>
            </c:ext>
          </c:extLst>
        </c:ser>
        <c:ser>
          <c:idx val="1"/>
          <c:order val="1"/>
          <c:tx>
            <c:strRef>
              <c:f>Лист9!$C$1</c:f>
              <c:strCache>
                <c:ptCount val="1"/>
                <c:pt idx="0">
                  <c:v>другие</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Лист9!$A$2:$A$7</c:f>
              <c:strCache>
                <c:ptCount val="6"/>
                <c:pt idx="0">
                  <c:v>Ниже нормального веса</c:v>
                </c:pt>
                <c:pt idx="1">
                  <c:v>нормальный вес</c:v>
                </c:pt>
                <c:pt idx="2">
                  <c:v>избыточный вес</c:v>
                </c:pt>
                <c:pt idx="3">
                  <c:v>ожирение I степени</c:v>
                </c:pt>
                <c:pt idx="4">
                  <c:v>ожирение ІІ степени</c:v>
                </c:pt>
                <c:pt idx="5">
                  <c:v>ожирение ІІІ степени</c:v>
                </c:pt>
              </c:strCache>
            </c:strRef>
          </c:cat>
          <c:val>
            <c:numRef>
              <c:f>Лист9!$C$2:$C$7</c:f>
              <c:numCache>
                <c:formatCode>0.00%</c:formatCode>
                <c:ptCount val="6"/>
                <c:pt idx="0">
                  <c:v>3.0999999999999999E-3</c:v>
                </c:pt>
                <c:pt idx="1">
                  <c:v>0.10970000000000001</c:v>
                </c:pt>
                <c:pt idx="2">
                  <c:v>0.43890000000000001</c:v>
                </c:pt>
                <c:pt idx="3">
                  <c:v>0.31969999999999998</c:v>
                </c:pt>
                <c:pt idx="4">
                  <c:v>0.1191</c:v>
                </c:pt>
                <c:pt idx="5">
                  <c:v>9.4000000000000004E-3</c:v>
                </c:pt>
              </c:numCache>
            </c:numRef>
          </c:val>
          <c:extLst xmlns:c16r2="http://schemas.microsoft.com/office/drawing/2015/06/chart">
            <c:ext xmlns:c16="http://schemas.microsoft.com/office/drawing/2014/chart" uri="{C3380CC4-5D6E-409C-BE32-E72D297353CC}">
              <c16:uniqueId val="{00000001-27A8-4CC2-AD95-E639CED82CC9}"/>
            </c:ext>
          </c:extLst>
        </c:ser>
        <c:dLbls>
          <c:showLegendKey val="0"/>
          <c:showVal val="1"/>
          <c:showCatName val="0"/>
          <c:showSerName val="0"/>
          <c:showPercent val="0"/>
          <c:showBubbleSize val="0"/>
        </c:dLbls>
        <c:gapWidth val="150"/>
        <c:shape val="box"/>
        <c:axId val="257633264"/>
        <c:axId val="257630128"/>
        <c:axId val="0"/>
      </c:bar3DChart>
      <c:catAx>
        <c:axId val="25763326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solidFill>
                      <a:sysClr val="windowText" lastClr="000000"/>
                    </a:solidFill>
                  </a:rPr>
                  <a:t>Индекс массы тела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57630128"/>
        <c:crosses val="autoZero"/>
        <c:auto val="1"/>
        <c:lblAlgn val="ctr"/>
        <c:lblOffset val="100"/>
        <c:noMultiLvlLbl val="0"/>
      </c:catAx>
      <c:valAx>
        <c:axId val="25763012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57633264"/>
        <c:crosses val="autoZero"/>
        <c:crossBetween val="between"/>
      </c:valAx>
      <c:spPr>
        <a:noFill/>
        <a:ln>
          <a:noFill/>
        </a:ln>
        <a:effectLst/>
      </c:spPr>
    </c:plotArea>
    <c:legend>
      <c:legendPos val="b"/>
      <c:layout>
        <c:manualLayout>
          <c:xMode val="edge"/>
          <c:yMode val="edge"/>
          <c:x val="0.31477409073865764"/>
          <c:y val="0.92291601049868766"/>
          <c:w val="0.37045163104611922"/>
          <c:h val="6.041732283464565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32880574085142056"/>
          <c:y val="5.9766367834827493E-2"/>
          <c:w val="0.60889166108439197"/>
          <c:h val="0.71595530998722956"/>
        </c:manualLayout>
      </c:layout>
      <c:bar3DChart>
        <c:barDir val="bar"/>
        <c:grouping val="clustered"/>
        <c:varyColors val="0"/>
        <c:ser>
          <c:idx val="0"/>
          <c:order val="0"/>
          <c:tx>
            <c:strRef>
              <c:f>Лист10!$B$1</c:f>
              <c:strCache>
                <c:ptCount val="1"/>
                <c:pt idx="0">
                  <c:v>семейные</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Лист10!$A$2:$A$7</c:f>
              <c:strCache>
                <c:ptCount val="6"/>
                <c:pt idx="0">
                  <c:v>Ниже нормального веса</c:v>
                </c:pt>
                <c:pt idx="1">
                  <c:v>нормальный вес</c:v>
                </c:pt>
                <c:pt idx="2">
                  <c:v>избыточный вес</c:v>
                </c:pt>
                <c:pt idx="3">
                  <c:v>ожирение I степени</c:v>
                </c:pt>
                <c:pt idx="4">
                  <c:v>ожирение ІІ степени</c:v>
                </c:pt>
                <c:pt idx="5">
                  <c:v>ожирение ІІІ степени</c:v>
                </c:pt>
              </c:strCache>
            </c:strRef>
          </c:cat>
          <c:val>
            <c:numRef>
              <c:f>Лист10!$B$2:$B$7</c:f>
              <c:numCache>
                <c:formatCode>0.00%</c:formatCode>
                <c:ptCount val="6"/>
                <c:pt idx="0">
                  <c:v>7.1999999999999998E-3</c:v>
                </c:pt>
                <c:pt idx="1">
                  <c:v>0.12230000000000001</c:v>
                </c:pt>
                <c:pt idx="2">
                  <c:v>0.44240000000000002</c:v>
                </c:pt>
                <c:pt idx="3">
                  <c:v>0.30940000000000001</c:v>
                </c:pt>
                <c:pt idx="4">
                  <c:v>0.1079</c:v>
                </c:pt>
                <c:pt idx="5">
                  <c:v>1.0800000000000001E-2</c:v>
                </c:pt>
              </c:numCache>
            </c:numRef>
          </c:val>
          <c:extLst xmlns:c16r2="http://schemas.microsoft.com/office/drawing/2015/06/chart">
            <c:ext xmlns:c16="http://schemas.microsoft.com/office/drawing/2014/chart" uri="{C3380CC4-5D6E-409C-BE32-E72D297353CC}">
              <c16:uniqueId val="{00000000-9243-4BF9-A7B7-DC8CA1AB5205}"/>
            </c:ext>
          </c:extLst>
        </c:ser>
        <c:ser>
          <c:idx val="1"/>
          <c:order val="1"/>
          <c:tx>
            <c:strRef>
              <c:f>Лист10!$C$1</c:f>
              <c:strCache>
                <c:ptCount val="1"/>
                <c:pt idx="0">
                  <c:v>другие</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Лист10!$A$2:$A$7</c:f>
              <c:strCache>
                <c:ptCount val="6"/>
                <c:pt idx="0">
                  <c:v>Ниже нормального веса</c:v>
                </c:pt>
                <c:pt idx="1">
                  <c:v>нормальный вес</c:v>
                </c:pt>
                <c:pt idx="2">
                  <c:v>избыточный вес</c:v>
                </c:pt>
                <c:pt idx="3">
                  <c:v>ожирение I степени</c:v>
                </c:pt>
                <c:pt idx="4">
                  <c:v>ожирение ІІ степени</c:v>
                </c:pt>
                <c:pt idx="5">
                  <c:v>ожирение ІІІ степени</c:v>
                </c:pt>
              </c:strCache>
            </c:strRef>
          </c:cat>
          <c:val>
            <c:numRef>
              <c:f>Лист10!$C$2:$C$7</c:f>
              <c:numCache>
                <c:formatCode>0.00%</c:formatCode>
                <c:ptCount val="6"/>
                <c:pt idx="0" formatCode="General">
                  <c:v>0</c:v>
                </c:pt>
                <c:pt idx="1">
                  <c:v>0.12870000000000001</c:v>
                </c:pt>
                <c:pt idx="2">
                  <c:v>0.4158</c:v>
                </c:pt>
                <c:pt idx="3">
                  <c:v>0.33660000000000001</c:v>
                </c:pt>
                <c:pt idx="4">
                  <c:v>9.9000000000000005E-2</c:v>
                </c:pt>
                <c:pt idx="5">
                  <c:v>1.9800000000000002E-2</c:v>
                </c:pt>
              </c:numCache>
            </c:numRef>
          </c:val>
          <c:extLst xmlns:c16r2="http://schemas.microsoft.com/office/drawing/2015/06/chart">
            <c:ext xmlns:c16="http://schemas.microsoft.com/office/drawing/2014/chart" uri="{C3380CC4-5D6E-409C-BE32-E72D297353CC}">
              <c16:uniqueId val="{00000001-9243-4BF9-A7B7-DC8CA1AB5205}"/>
            </c:ext>
          </c:extLst>
        </c:ser>
        <c:dLbls>
          <c:showLegendKey val="0"/>
          <c:showVal val="1"/>
          <c:showCatName val="0"/>
          <c:showSerName val="0"/>
          <c:showPercent val="0"/>
          <c:showBubbleSize val="0"/>
        </c:dLbls>
        <c:gapWidth val="150"/>
        <c:shape val="box"/>
        <c:axId val="257621896"/>
        <c:axId val="257623856"/>
        <c:axId val="0"/>
      </c:bar3DChart>
      <c:catAx>
        <c:axId val="25762189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t>ИМТ</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57623856"/>
        <c:crosses val="autoZero"/>
        <c:auto val="1"/>
        <c:lblAlgn val="ctr"/>
        <c:lblOffset val="100"/>
        <c:noMultiLvlLbl val="0"/>
      </c:catAx>
      <c:valAx>
        <c:axId val="2576238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t>% соотношение</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57621896"/>
        <c:crosses val="autoZero"/>
        <c:crossBetween val="between"/>
      </c:valAx>
      <c:spPr>
        <a:noFill/>
        <a:ln>
          <a:noFill/>
        </a:ln>
        <a:effectLst/>
      </c:spPr>
    </c:plotArea>
    <c:legend>
      <c:legendPos val="b"/>
      <c:layout>
        <c:manualLayout>
          <c:xMode val="edge"/>
          <c:yMode val="edge"/>
          <c:x val="4.39763578966791E-2"/>
          <c:y val="0.91917892903973797"/>
          <c:w val="0.25998391502641383"/>
          <c:h val="4.822123395944699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9812069580687895E-2"/>
          <c:y val="9.2803471768195034E-2"/>
          <c:w val="0.91018793041931212"/>
          <c:h val="0.66547466765210306"/>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895-49BF-A061-CA3204A624D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895-49BF-A061-CA3204A624D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895-49BF-A061-CA3204A624D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1895-49BF-A061-CA3204A624D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1895-49BF-A061-CA3204A624D9}"/>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1895-49BF-A061-CA3204A624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Лист8!$A$1:$A$6</c:f>
              <c:strCache>
                <c:ptCount val="6"/>
                <c:pt idx="0">
                  <c:v>Врач эндокринолог</c:v>
                </c:pt>
                <c:pt idx="1">
                  <c:v>СМР эндокринолога</c:v>
                </c:pt>
                <c:pt idx="2">
                  <c:v>ВОП</c:v>
                </c:pt>
                <c:pt idx="3">
                  <c:v>Дали брошюру, не объясняли</c:v>
                </c:pt>
                <c:pt idx="4">
                  <c:v>В "Школе Диабета"</c:v>
                </c:pt>
                <c:pt idx="5">
                  <c:v>В кабинете "ЗОЖ"</c:v>
                </c:pt>
              </c:strCache>
            </c:strRef>
          </c:cat>
          <c:val>
            <c:numRef>
              <c:f>Лист8!$C$1:$C$6</c:f>
              <c:numCache>
                <c:formatCode>0.00%</c:formatCode>
                <c:ptCount val="6"/>
                <c:pt idx="0">
                  <c:v>0.54</c:v>
                </c:pt>
                <c:pt idx="1">
                  <c:v>9.8000000000000004E-2</c:v>
                </c:pt>
                <c:pt idx="2">
                  <c:v>0.11700000000000001</c:v>
                </c:pt>
                <c:pt idx="3">
                  <c:v>8.7999999999999995E-2</c:v>
                </c:pt>
                <c:pt idx="4">
                  <c:v>0.11700000000000001</c:v>
                </c:pt>
                <c:pt idx="5">
                  <c:v>4.2000000000000003E-2</c:v>
                </c:pt>
              </c:numCache>
            </c:numRef>
          </c:val>
          <c:extLst xmlns:c16r2="http://schemas.microsoft.com/office/drawing/2015/06/chart">
            <c:ext xmlns:c16="http://schemas.microsoft.com/office/drawing/2014/chart" uri="{C3380CC4-5D6E-409C-BE32-E72D297353CC}">
              <c16:uniqueId val="{0000000C-1895-49BF-A061-CA3204A624D9}"/>
            </c:ext>
          </c:extLst>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4.3895071775245965E-3"/>
          <c:y val="0.85605559467668157"/>
          <c:w val="0.95940839797260002"/>
          <c:h val="0.1128159386580742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5A9-467A-8C58-C1CD3D08F3FF}"/>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5A9-467A-8C58-C1CD3D08F3FF}"/>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5A9-467A-8C58-C1CD3D08F3FF}"/>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5A9-467A-8C58-C1CD3D08F3FF}"/>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5A9-467A-8C58-C1CD3D08F3F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Лист29!$B$4:$B$8</c:f>
              <c:strCache>
                <c:ptCount val="5"/>
                <c:pt idx="0">
                  <c:v>сразу как поставили на диспансерный учет</c:v>
                </c:pt>
                <c:pt idx="1">
                  <c:v>Реакция отрицания длилась около 1 недели</c:v>
                </c:pt>
                <c:pt idx="2">
                  <c:v>через месяц</c:v>
                </c:pt>
                <c:pt idx="3">
                  <c:v>Через год</c:v>
                </c:pt>
                <c:pt idx="4">
                  <c:v>Через 2 года и более</c:v>
                </c:pt>
              </c:strCache>
            </c:strRef>
          </c:cat>
          <c:val>
            <c:numRef>
              <c:f>Лист29!$F$4:$F$8</c:f>
              <c:numCache>
                <c:formatCode>0.00%</c:formatCode>
                <c:ptCount val="5"/>
                <c:pt idx="0">
                  <c:v>0.51670000000000005</c:v>
                </c:pt>
                <c:pt idx="1">
                  <c:v>0.14169999999999999</c:v>
                </c:pt>
                <c:pt idx="2">
                  <c:v>0.17080000000000001</c:v>
                </c:pt>
                <c:pt idx="3">
                  <c:v>0.1021</c:v>
                </c:pt>
                <c:pt idx="4">
                  <c:v>6.88E-2</c:v>
                </c:pt>
              </c:numCache>
            </c:numRef>
          </c:val>
          <c:extLst xmlns:c16r2="http://schemas.microsoft.com/office/drawing/2015/06/chart">
            <c:ext xmlns:c16="http://schemas.microsoft.com/office/drawing/2014/chart" uri="{C3380CC4-5D6E-409C-BE32-E72D297353CC}">
              <c16:uniqueId val="{0000000A-A5A9-467A-8C58-C1CD3D08F3FF}"/>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Лист11!$B$1</c:f>
              <c:strCache>
                <c:ptCount val="1"/>
                <c:pt idx="0">
                  <c:v>семейные</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Лист11!$A$2:$A$6</c:f>
              <c:strCache>
                <c:ptCount val="5"/>
                <c:pt idx="0">
                  <c:v>Не поддерживают</c:v>
                </c:pt>
                <c:pt idx="1">
                  <c:v>Поддерживают не всегда</c:v>
                </c:pt>
                <c:pt idx="2">
                  <c:v>Помогают контролировать сахар</c:v>
                </c:pt>
                <c:pt idx="3">
                  <c:v>Вместе соблюдают ЗОЖ и ПП</c:v>
                </c:pt>
                <c:pt idx="4">
                  <c:v>Помогают по быту и самоуходу</c:v>
                </c:pt>
              </c:strCache>
            </c:strRef>
          </c:cat>
          <c:val>
            <c:numRef>
              <c:f>Лист11!$B$2:$B$6</c:f>
              <c:numCache>
                <c:formatCode>0.00%</c:formatCode>
                <c:ptCount val="5"/>
                <c:pt idx="0">
                  <c:v>0.1007</c:v>
                </c:pt>
                <c:pt idx="1">
                  <c:v>0.2374</c:v>
                </c:pt>
                <c:pt idx="2">
                  <c:v>0.223</c:v>
                </c:pt>
                <c:pt idx="3">
                  <c:v>0.28420000000000001</c:v>
                </c:pt>
                <c:pt idx="4">
                  <c:v>0.1547</c:v>
                </c:pt>
              </c:numCache>
            </c:numRef>
          </c:val>
          <c:extLst xmlns:c16r2="http://schemas.microsoft.com/office/drawing/2015/06/chart">
            <c:ext xmlns:c16="http://schemas.microsoft.com/office/drawing/2014/chart" uri="{C3380CC4-5D6E-409C-BE32-E72D297353CC}">
              <c16:uniqueId val="{00000000-5EBD-4E71-AB8B-88C7969820A7}"/>
            </c:ext>
          </c:extLst>
        </c:ser>
        <c:ser>
          <c:idx val="1"/>
          <c:order val="1"/>
          <c:tx>
            <c:strRef>
              <c:f>Лист11!$C$1</c:f>
              <c:strCache>
                <c:ptCount val="1"/>
                <c:pt idx="0">
                  <c:v>другие</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Лист11!$A$2:$A$6</c:f>
              <c:strCache>
                <c:ptCount val="5"/>
                <c:pt idx="0">
                  <c:v>Не поддерживают</c:v>
                </c:pt>
                <c:pt idx="1">
                  <c:v>Поддерживают не всегда</c:v>
                </c:pt>
                <c:pt idx="2">
                  <c:v>Помогают контролировать сахар</c:v>
                </c:pt>
                <c:pt idx="3">
                  <c:v>Вместе соблюдают ЗОЖ и ПП</c:v>
                </c:pt>
                <c:pt idx="4">
                  <c:v>Помогают по быту и самоуходу</c:v>
                </c:pt>
              </c:strCache>
            </c:strRef>
          </c:cat>
          <c:val>
            <c:numRef>
              <c:f>Лист11!$C$2:$C$6</c:f>
              <c:numCache>
                <c:formatCode>0.00%</c:formatCode>
                <c:ptCount val="5"/>
                <c:pt idx="0">
                  <c:v>0.17330000000000001</c:v>
                </c:pt>
                <c:pt idx="1">
                  <c:v>0.2228</c:v>
                </c:pt>
                <c:pt idx="2">
                  <c:v>0.19309999999999999</c:v>
                </c:pt>
                <c:pt idx="3">
                  <c:v>0.16830000000000001</c:v>
                </c:pt>
                <c:pt idx="4">
                  <c:v>0.24260000000000001</c:v>
                </c:pt>
              </c:numCache>
            </c:numRef>
          </c:val>
          <c:extLst xmlns:c16r2="http://schemas.microsoft.com/office/drawing/2015/06/chart">
            <c:ext xmlns:c16="http://schemas.microsoft.com/office/drawing/2014/chart" uri="{C3380CC4-5D6E-409C-BE32-E72D297353CC}">
              <c16:uniqueId val="{00000001-5EBD-4E71-AB8B-88C7969820A7}"/>
            </c:ext>
          </c:extLst>
        </c:ser>
        <c:dLbls>
          <c:showLegendKey val="0"/>
          <c:showVal val="1"/>
          <c:showCatName val="0"/>
          <c:showSerName val="0"/>
          <c:showPercent val="0"/>
          <c:showBubbleSize val="0"/>
        </c:dLbls>
        <c:gapWidth val="150"/>
        <c:shape val="box"/>
        <c:axId val="257624248"/>
        <c:axId val="257627776"/>
        <c:axId val="0"/>
      </c:bar3DChart>
      <c:catAx>
        <c:axId val="25762424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t>поведение близких и родных</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57627776"/>
        <c:crosses val="autoZero"/>
        <c:auto val="1"/>
        <c:lblAlgn val="ctr"/>
        <c:lblOffset val="100"/>
        <c:noMultiLvlLbl val="0"/>
      </c:catAx>
      <c:valAx>
        <c:axId val="2576277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t>% соотношение</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57624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Лист23!$B$4:$B$4</c:f>
              <c:strCache>
                <c:ptCount val="1"/>
                <c:pt idx="0">
                  <c:v>Пациенты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Лист23!$C$3:$H$3</c:f>
              <c:strCache>
                <c:ptCount val="6"/>
                <c:pt idx="0">
                  <c:v>Врач эндокринолог</c:v>
                </c:pt>
                <c:pt idx="1">
                  <c:v>Медсестра эндокринолога</c:v>
                </c:pt>
                <c:pt idx="2">
                  <c:v>Врач общей практики</c:v>
                </c:pt>
                <c:pt idx="3">
                  <c:v>Врач психолог/психотерапевт</c:v>
                </c:pt>
                <c:pt idx="4">
                  <c:v>Социальный работник</c:v>
                </c:pt>
                <c:pt idx="5">
                  <c:v>Никому</c:v>
                </c:pt>
              </c:strCache>
            </c:strRef>
          </c:cat>
          <c:val>
            <c:numRef>
              <c:f>Лист23!$C$4:$H$4</c:f>
              <c:numCache>
                <c:formatCode>0.0%</c:formatCode>
                <c:ptCount val="6"/>
                <c:pt idx="0">
                  <c:v>0.30399999999999999</c:v>
                </c:pt>
                <c:pt idx="1">
                  <c:v>7.2999999999999995E-2</c:v>
                </c:pt>
                <c:pt idx="2">
                  <c:v>0.19800000000000001</c:v>
                </c:pt>
                <c:pt idx="3">
                  <c:v>7.4999999999999997E-2</c:v>
                </c:pt>
                <c:pt idx="4">
                  <c:v>3.3000000000000002E-2</c:v>
                </c:pt>
                <c:pt idx="5">
                  <c:v>0.317</c:v>
                </c:pt>
              </c:numCache>
            </c:numRef>
          </c:val>
          <c:extLst xmlns:c16r2="http://schemas.microsoft.com/office/drawing/2015/06/chart">
            <c:ext xmlns:c16="http://schemas.microsoft.com/office/drawing/2014/chart" uri="{C3380CC4-5D6E-409C-BE32-E72D297353CC}">
              <c16:uniqueId val="{00000000-AE3A-4898-BBD4-184A117D48D2}"/>
            </c:ext>
          </c:extLst>
        </c:ser>
        <c:ser>
          <c:idx val="1"/>
          <c:order val="1"/>
          <c:tx>
            <c:strRef>
              <c:f>Лист23!$B$5:$B$5</c:f>
              <c:strCache>
                <c:ptCount val="1"/>
                <c:pt idx="0">
                  <c:v>Врачи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Лист23!$C$3:$H$3</c:f>
              <c:strCache>
                <c:ptCount val="6"/>
                <c:pt idx="0">
                  <c:v>Врач эндокринолог</c:v>
                </c:pt>
                <c:pt idx="1">
                  <c:v>Медсестра эндокринолога</c:v>
                </c:pt>
                <c:pt idx="2">
                  <c:v>Врач общей практики</c:v>
                </c:pt>
                <c:pt idx="3">
                  <c:v>Врач психолог/психотерапевт</c:v>
                </c:pt>
                <c:pt idx="4">
                  <c:v>Социальный работник</c:v>
                </c:pt>
                <c:pt idx="5">
                  <c:v>Никому</c:v>
                </c:pt>
              </c:strCache>
            </c:strRef>
          </c:cat>
          <c:val>
            <c:numRef>
              <c:f>Лист23!$C$5:$H$5</c:f>
              <c:numCache>
                <c:formatCode>0.0%</c:formatCode>
                <c:ptCount val="6"/>
                <c:pt idx="0">
                  <c:v>0.48599999999999999</c:v>
                </c:pt>
                <c:pt idx="1">
                  <c:v>5.7000000000000002E-2</c:v>
                </c:pt>
                <c:pt idx="2">
                  <c:v>5.7000000000000002E-2</c:v>
                </c:pt>
                <c:pt idx="3">
                  <c:v>0.22900000000000001</c:v>
                </c:pt>
                <c:pt idx="4">
                  <c:v>8.5999999999999993E-2</c:v>
                </c:pt>
                <c:pt idx="5">
                  <c:v>8.5999999999999993E-2</c:v>
                </c:pt>
              </c:numCache>
            </c:numRef>
          </c:val>
          <c:extLst xmlns:c16r2="http://schemas.microsoft.com/office/drawing/2015/06/chart">
            <c:ext xmlns:c16="http://schemas.microsoft.com/office/drawing/2014/chart" uri="{C3380CC4-5D6E-409C-BE32-E72D297353CC}">
              <c16:uniqueId val="{00000001-AE3A-4898-BBD4-184A117D48D2}"/>
            </c:ext>
          </c:extLst>
        </c:ser>
        <c:dLbls>
          <c:dLblPos val="outEnd"/>
          <c:showLegendKey val="0"/>
          <c:showVal val="1"/>
          <c:showCatName val="0"/>
          <c:showSerName val="0"/>
          <c:showPercent val="0"/>
          <c:showBubbleSize val="0"/>
        </c:dLbls>
        <c:gapWidth val="182"/>
        <c:axId val="257628168"/>
        <c:axId val="257631696"/>
      </c:barChart>
      <c:catAx>
        <c:axId val="2576281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57631696"/>
        <c:crosses val="autoZero"/>
        <c:auto val="1"/>
        <c:lblAlgn val="ctr"/>
        <c:lblOffset val="100"/>
        <c:noMultiLvlLbl val="0"/>
      </c:catAx>
      <c:valAx>
        <c:axId val="25763169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57628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Лист12!$D$12</c:f>
              <c:strCache>
                <c:ptCount val="1"/>
                <c:pt idx="0">
                  <c:v>сколько детей имеете</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Лист12!$C$13:$C$19</c:f>
              <c:strCache>
                <c:ptCount val="7"/>
                <c:pt idx="0">
                  <c:v>0</c:v>
                </c:pt>
                <c:pt idx="1">
                  <c:v>1 ребенка</c:v>
                </c:pt>
                <c:pt idx="2">
                  <c:v>2 ребенка</c:v>
                </c:pt>
                <c:pt idx="3">
                  <c:v>3 ребенка</c:v>
                </c:pt>
                <c:pt idx="4">
                  <c:v>4 ребенка</c:v>
                </c:pt>
                <c:pt idx="5">
                  <c:v>5 ребенка</c:v>
                </c:pt>
                <c:pt idx="6">
                  <c:v>6 ребенка</c:v>
                </c:pt>
              </c:strCache>
            </c:strRef>
          </c:cat>
          <c:val>
            <c:numRef>
              <c:f>Лист12!$D$13:$D$19</c:f>
              <c:numCache>
                <c:formatCode>0.00%</c:formatCode>
                <c:ptCount val="7"/>
                <c:pt idx="0">
                  <c:v>8.0000000000000002E-3</c:v>
                </c:pt>
                <c:pt idx="1">
                  <c:v>0.30199999999999999</c:v>
                </c:pt>
                <c:pt idx="2">
                  <c:v>0.39400000000000002</c:v>
                </c:pt>
                <c:pt idx="3">
                  <c:v>0.19800000000000001</c:v>
                </c:pt>
                <c:pt idx="4">
                  <c:v>7.4999999999999997E-2</c:v>
                </c:pt>
                <c:pt idx="5">
                  <c:v>1.7000000000000001E-2</c:v>
                </c:pt>
                <c:pt idx="6">
                  <c:v>6.0000000000000001E-3</c:v>
                </c:pt>
              </c:numCache>
            </c:numRef>
          </c:val>
          <c:extLst xmlns:c16r2="http://schemas.microsoft.com/office/drawing/2015/06/chart">
            <c:ext xmlns:c16="http://schemas.microsoft.com/office/drawing/2014/chart" uri="{C3380CC4-5D6E-409C-BE32-E72D297353CC}">
              <c16:uniqueId val="{00000000-4215-442E-950A-90FA03C61108}"/>
            </c:ext>
          </c:extLst>
        </c:ser>
        <c:ser>
          <c:idx val="1"/>
          <c:order val="1"/>
          <c:tx>
            <c:strRef>
              <c:f>Лист12!$E$12</c:f>
              <c:strCache>
                <c:ptCount val="1"/>
                <c:pt idx="0">
                  <c:v>желаемое количество</c:v>
                </c:pt>
              </c:strCache>
            </c:strRef>
          </c:tx>
          <c:spPr>
            <a:solidFill>
              <a:schemeClr val="accent2"/>
            </a:solidFill>
            <a:ln>
              <a:noFill/>
            </a:ln>
            <a:effectLst/>
            <a:sp3d/>
          </c:spPr>
          <c:invertIfNegative val="0"/>
          <c:dLbls>
            <c:dLbl>
              <c:idx val="1"/>
              <c:layout>
                <c:manualLayout>
                  <c:x val="3.0555555555555555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215-442E-950A-90FA03C61108}"/>
                </c:ext>
                <c:ext xmlns:c15="http://schemas.microsoft.com/office/drawing/2012/chart" uri="{CE6537A1-D6FC-4f65-9D91-7224C49458BB}"/>
              </c:extLst>
            </c:dLbl>
            <c:dLbl>
              <c:idx val="2"/>
              <c:layout>
                <c:manualLayout>
                  <c:x val="3.055555555555545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215-442E-950A-90FA03C6110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Лист12!$C$13:$C$19</c:f>
              <c:strCache>
                <c:ptCount val="7"/>
                <c:pt idx="0">
                  <c:v>0</c:v>
                </c:pt>
                <c:pt idx="1">
                  <c:v>1 ребенка</c:v>
                </c:pt>
                <c:pt idx="2">
                  <c:v>2 ребенка</c:v>
                </c:pt>
                <c:pt idx="3">
                  <c:v>3 ребенка</c:v>
                </c:pt>
                <c:pt idx="4">
                  <c:v>4 ребенка</c:v>
                </c:pt>
                <c:pt idx="5">
                  <c:v>5 ребенка</c:v>
                </c:pt>
                <c:pt idx="6">
                  <c:v>6 ребенка</c:v>
                </c:pt>
              </c:strCache>
            </c:strRef>
          </c:cat>
          <c:val>
            <c:numRef>
              <c:f>Лист12!$E$13:$E$19</c:f>
              <c:numCache>
                <c:formatCode>0.00%</c:formatCode>
                <c:ptCount val="7"/>
                <c:pt idx="1">
                  <c:v>0.129</c:v>
                </c:pt>
                <c:pt idx="2">
                  <c:v>0.35399999999999998</c:v>
                </c:pt>
                <c:pt idx="3">
                  <c:v>0.27700000000000002</c:v>
                </c:pt>
                <c:pt idx="4">
                  <c:v>0.14399999999999999</c:v>
                </c:pt>
                <c:pt idx="5">
                  <c:v>4.5999999999999999E-2</c:v>
                </c:pt>
                <c:pt idx="6">
                  <c:v>0.05</c:v>
                </c:pt>
              </c:numCache>
            </c:numRef>
          </c:val>
          <c:extLst xmlns:c16r2="http://schemas.microsoft.com/office/drawing/2015/06/chart">
            <c:ext xmlns:c16="http://schemas.microsoft.com/office/drawing/2014/chart" uri="{C3380CC4-5D6E-409C-BE32-E72D297353CC}">
              <c16:uniqueId val="{00000003-4215-442E-950A-90FA03C61108}"/>
            </c:ext>
          </c:extLst>
        </c:ser>
        <c:dLbls>
          <c:showLegendKey val="0"/>
          <c:showVal val="1"/>
          <c:showCatName val="0"/>
          <c:showSerName val="0"/>
          <c:showPercent val="0"/>
          <c:showBubbleSize val="0"/>
        </c:dLbls>
        <c:gapWidth val="150"/>
        <c:shape val="box"/>
        <c:axId val="257636400"/>
        <c:axId val="257634832"/>
        <c:axId val="0"/>
      </c:bar3DChart>
      <c:catAx>
        <c:axId val="25763640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t>количество детей</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57634832"/>
        <c:crosses val="autoZero"/>
        <c:auto val="1"/>
        <c:lblAlgn val="ctr"/>
        <c:lblOffset val="100"/>
        <c:noMultiLvlLbl val="0"/>
      </c:catAx>
      <c:valAx>
        <c:axId val="2576348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t>% соотношение</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57636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no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Лист22!$A$2</c:f>
              <c:strCache>
                <c:ptCount val="1"/>
                <c:pt idx="0">
                  <c:v>мужчины</c:v>
                </c:pt>
              </c:strCache>
            </c:strRef>
          </c:tx>
          <c:spPr>
            <a:solidFill>
              <a:schemeClr val="accent1"/>
            </a:solidFill>
            <a:ln>
              <a:noFill/>
            </a:ln>
            <a:effectLst/>
            <a:sp3d/>
          </c:spPr>
          <c:invertIfNegative val="0"/>
          <c:dLbls>
            <c:dLbl>
              <c:idx val="3"/>
              <c:layout>
                <c:manualLayout>
                  <c:x val="-1.666666666666676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60E-4AD2-9B4C-AB181BD0871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Лист22!$B$1:$F$1</c:f>
              <c:strCache>
                <c:ptCount val="5"/>
                <c:pt idx="0">
                  <c:v>В этом месяце</c:v>
                </c:pt>
                <c:pt idx="1">
                  <c:v>В течения 3 месяцев</c:v>
                </c:pt>
                <c:pt idx="2">
                  <c:v>В этом году</c:v>
                </c:pt>
                <c:pt idx="3">
                  <c:v>3 года назад</c:v>
                </c:pt>
                <c:pt idx="4">
                  <c:v>Не помню</c:v>
                </c:pt>
              </c:strCache>
            </c:strRef>
          </c:cat>
          <c:val>
            <c:numRef>
              <c:f>Лист22!$B$2:$F$2</c:f>
              <c:numCache>
                <c:formatCode>0.00%</c:formatCode>
                <c:ptCount val="5"/>
                <c:pt idx="0">
                  <c:v>7.0000000000000007E-2</c:v>
                </c:pt>
                <c:pt idx="1">
                  <c:v>5.5E-2</c:v>
                </c:pt>
                <c:pt idx="2">
                  <c:v>0.105</c:v>
                </c:pt>
                <c:pt idx="3">
                  <c:v>6.5000000000000002E-2</c:v>
                </c:pt>
                <c:pt idx="4">
                  <c:v>0.70499999999999996</c:v>
                </c:pt>
              </c:numCache>
            </c:numRef>
          </c:val>
          <c:extLst xmlns:c16r2="http://schemas.microsoft.com/office/drawing/2015/06/chart">
            <c:ext xmlns:c16="http://schemas.microsoft.com/office/drawing/2014/chart" uri="{C3380CC4-5D6E-409C-BE32-E72D297353CC}">
              <c16:uniqueId val="{00000001-060E-4AD2-9B4C-AB181BD0871D}"/>
            </c:ext>
          </c:extLst>
        </c:ser>
        <c:ser>
          <c:idx val="1"/>
          <c:order val="1"/>
          <c:tx>
            <c:strRef>
              <c:f>Лист22!$A$3</c:f>
              <c:strCache>
                <c:ptCount val="1"/>
                <c:pt idx="0">
                  <c:v>женщины</c:v>
                </c:pt>
              </c:strCache>
            </c:strRef>
          </c:tx>
          <c:spPr>
            <a:solidFill>
              <a:schemeClr val="accent2"/>
            </a:solidFill>
            <a:ln>
              <a:noFill/>
            </a:ln>
            <a:effectLst/>
            <a:sp3d/>
          </c:spPr>
          <c:invertIfNegative val="0"/>
          <c:dLbls>
            <c:dLbl>
              <c:idx val="0"/>
              <c:layout>
                <c:manualLayout>
                  <c:x val="3.0555555555555555E-2"/>
                  <c:y val="-8.3143408378906071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60E-4AD2-9B4C-AB181BD0871D}"/>
                </c:ext>
                <c:ext xmlns:c15="http://schemas.microsoft.com/office/drawing/2012/chart" uri="{CE6537A1-D6FC-4f65-9D91-7224C49458BB}"/>
              </c:extLst>
            </c:dLbl>
            <c:dLbl>
              <c:idx val="2"/>
              <c:layout>
                <c:manualLayout>
                  <c:x val="1.9444444444444445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60E-4AD2-9B4C-AB181BD0871D}"/>
                </c:ext>
                <c:ext xmlns:c15="http://schemas.microsoft.com/office/drawing/2012/chart" uri="{CE6537A1-D6FC-4f65-9D91-7224C49458BB}"/>
              </c:extLst>
            </c:dLbl>
            <c:dLbl>
              <c:idx val="4"/>
              <c:layout>
                <c:manualLayout>
                  <c:x val="2.7777777777777776E-2"/>
                  <c:y val="-2.0785852094726518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60E-4AD2-9B4C-AB181BD0871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Лист22!$B$1:$F$1</c:f>
              <c:strCache>
                <c:ptCount val="5"/>
                <c:pt idx="0">
                  <c:v>В этом месяце</c:v>
                </c:pt>
                <c:pt idx="1">
                  <c:v>В течения 3 месяцев</c:v>
                </c:pt>
                <c:pt idx="2">
                  <c:v>В этом году</c:v>
                </c:pt>
                <c:pt idx="3">
                  <c:v>3 года назад</c:v>
                </c:pt>
                <c:pt idx="4">
                  <c:v>Не помню</c:v>
                </c:pt>
              </c:strCache>
            </c:strRef>
          </c:cat>
          <c:val>
            <c:numRef>
              <c:f>Лист22!$B$3:$F$3</c:f>
              <c:numCache>
                <c:formatCode>0.00%</c:formatCode>
                <c:ptCount val="5"/>
                <c:pt idx="0">
                  <c:v>0.1036</c:v>
                </c:pt>
                <c:pt idx="1">
                  <c:v>0.1036</c:v>
                </c:pt>
                <c:pt idx="2">
                  <c:v>0.1464</c:v>
                </c:pt>
                <c:pt idx="3">
                  <c:v>5.3600000000000002E-2</c:v>
                </c:pt>
                <c:pt idx="4">
                  <c:v>0.59289999999999998</c:v>
                </c:pt>
              </c:numCache>
            </c:numRef>
          </c:val>
          <c:extLst xmlns:c16r2="http://schemas.microsoft.com/office/drawing/2015/06/chart">
            <c:ext xmlns:c16="http://schemas.microsoft.com/office/drawing/2014/chart" uri="{C3380CC4-5D6E-409C-BE32-E72D297353CC}">
              <c16:uniqueId val="{00000005-060E-4AD2-9B4C-AB181BD0871D}"/>
            </c:ext>
          </c:extLst>
        </c:ser>
        <c:dLbls>
          <c:showLegendKey val="0"/>
          <c:showVal val="1"/>
          <c:showCatName val="0"/>
          <c:showSerName val="0"/>
          <c:showPercent val="0"/>
          <c:showBubbleSize val="0"/>
        </c:dLbls>
        <c:gapWidth val="150"/>
        <c:shape val="box"/>
        <c:axId val="257635224"/>
        <c:axId val="257636008"/>
        <c:axId val="0"/>
      </c:bar3DChart>
      <c:catAx>
        <c:axId val="2576352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57636008"/>
        <c:crosses val="autoZero"/>
        <c:auto val="1"/>
        <c:lblAlgn val="ctr"/>
        <c:lblOffset val="100"/>
        <c:noMultiLvlLbl val="0"/>
      </c:catAx>
      <c:valAx>
        <c:axId val="2576360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57635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Лист18!$A$4</c:f>
              <c:strCache>
                <c:ptCount val="1"/>
                <c:pt idx="0">
                  <c:v>Ниже нормального веса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Лист18!$B$3:$F$3</c:f>
              <c:strCache>
                <c:ptCount val="5"/>
                <c:pt idx="0">
                  <c:v>В этом месяце</c:v>
                </c:pt>
                <c:pt idx="1">
                  <c:v>В течения 3 месяцев</c:v>
                </c:pt>
                <c:pt idx="2">
                  <c:v>В этом году</c:v>
                </c:pt>
                <c:pt idx="3">
                  <c:v>3 года назад</c:v>
                </c:pt>
                <c:pt idx="4">
                  <c:v>Не помню</c:v>
                </c:pt>
              </c:strCache>
            </c:strRef>
          </c:cat>
          <c:val>
            <c:numRef>
              <c:f>Лист18!$B$4:$F$4</c:f>
              <c:numCache>
                <c:formatCode>0%</c:formatCode>
                <c:ptCount val="5"/>
                <c:pt idx="0">
                  <c:v>0</c:v>
                </c:pt>
                <c:pt idx="1">
                  <c:v>0</c:v>
                </c:pt>
                <c:pt idx="2">
                  <c:v>0</c:v>
                </c:pt>
                <c:pt idx="3">
                  <c:v>0</c:v>
                </c:pt>
                <c:pt idx="4" formatCode="0.00%">
                  <c:v>7.0000000000000001E-3</c:v>
                </c:pt>
              </c:numCache>
            </c:numRef>
          </c:val>
          <c:extLst xmlns:c16r2="http://schemas.microsoft.com/office/drawing/2015/06/chart">
            <c:ext xmlns:c16="http://schemas.microsoft.com/office/drawing/2014/chart" uri="{C3380CC4-5D6E-409C-BE32-E72D297353CC}">
              <c16:uniqueId val="{00000000-6CFA-44B3-879D-99F93EF877F3}"/>
            </c:ext>
          </c:extLst>
        </c:ser>
        <c:ser>
          <c:idx val="1"/>
          <c:order val="1"/>
          <c:tx>
            <c:strRef>
              <c:f>Лист18!$A$5</c:f>
              <c:strCache>
                <c:ptCount val="1"/>
                <c:pt idx="0">
                  <c:v>нормальный вес</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Лист18!$B$3:$F$3</c:f>
              <c:strCache>
                <c:ptCount val="5"/>
                <c:pt idx="0">
                  <c:v>В этом месяце</c:v>
                </c:pt>
                <c:pt idx="1">
                  <c:v>В течения 3 месяцев</c:v>
                </c:pt>
                <c:pt idx="2">
                  <c:v>В этом году</c:v>
                </c:pt>
                <c:pt idx="3">
                  <c:v>3 года назад</c:v>
                </c:pt>
                <c:pt idx="4">
                  <c:v>Не помню</c:v>
                </c:pt>
              </c:strCache>
            </c:strRef>
          </c:cat>
          <c:val>
            <c:numRef>
              <c:f>Лист18!$B$5:$F$5</c:f>
              <c:numCache>
                <c:formatCode>0.00%</c:formatCode>
                <c:ptCount val="5"/>
                <c:pt idx="0">
                  <c:v>0.16300000000000001</c:v>
                </c:pt>
                <c:pt idx="1">
                  <c:v>0.15</c:v>
                </c:pt>
                <c:pt idx="2">
                  <c:v>9.7000000000000003E-2</c:v>
                </c:pt>
                <c:pt idx="3">
                  <c:v>7.0999999999999994E-2</c:v>
                </c:pt>
                <c:pt idx="4">
                  <c:v>0.127</c:v>
                </c:pt>
              </c:numCache>
            </c:numRef>
          </c:val>
          <c:extLst xmlns:c16r2="http://schemas.microsoft.com/office/drawing/2015/06/chart">
            <c:ext xmlns:c16="http://schemas.microsoft.com/office/drawing/2014/chart" uri="{C3380CC4-5D6E-409C-BE32-E72D297353CC}">
              <c16:uniqueId val="{00000001-6CFA-44B3-879D-99F93EF877F3}"/>
            </c:ext>
          </c:extLst>
        </c:ser>
        <c:ser>
          <c:idx val="2"/>
          <c:order val="2"/>
          <c:tx>
            <c:strRef>
              <c:f>Лист18!$A$6</c:f>
              <c:strCache>
                <c:ptCount val="1"/>
                <c:pt idx="0">
                  <c:v>избыточный вес</c:v>
                </c:pt>
              </c:strCache>
            </c:strRef>
          </c:tx>
          <c:spPr>
            <a:solidFill>
              <a:schemeClr val="accent3"/>
            </a:solidFill>
            <a:ln>
              <a:noFill/>
            </a:ln>
            <a:effectLst/>
          </c:spPr>
          <c:invertIfNegative val="0"/>
          <c:dLbls>
            <c:dLbl>
              <c:idx val="1"/>
              <c:layout>
                <c:manualLayout>
                  <c:x val="-1.6666666666666666E-2"/>
                  <c:y val="1.8518518518518517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CFA-44B3-879D-99F93EF877F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Лист18!$B$3:$F$3</c:f>
              <c:strCache>
                <c:ptCount val="5"/>
                <c:pt idx="0">
                  <c:v>В этом месяце</c:v>
                </c:pt>
                <c:pt idx="1">
                  <c:v>В течения 3 месяцев</c:v>
                </c:pt>
                <c:pt idx="2">
                  <c:v>В этом году</c:v>
                </c:pt>
                <c:pt idx="3">
                  <c:v>3 года назад</c:v>
                </c:pt>
                <c:pt idx="4">
                  <c:v>Не помню</c:v>
                </c:pt>
              </c:strCache>
            </c:strRef>
          </c:cat>
          <c:val>
            <c:numRef>
              <c:f>Лист18!$B$6:$F$6</c:f>
              <c:numCache>
                <c:formatCode>0.00%</c:formatCode>
                <c:ptCount val="5"/>
                <c:pt idx="0">
                  <c:v>0.41899999999999998</c:v>
                </c:pt>
                <c:pt idx="1">
                  <c:v>0.375</c:v>
                </c:pt>
                <c:pt idx="2">
                  <c:v>0.38700000000000001</c:v>
                </c:pt>
                <c:pt idx="3">
                  <c:v>0.53600000000000003</c:v>
                </c:pt>
                <c:pt idx="4">
                  <c:v>0.44</c:v>
                </c:pt>
              </c:numCache>
            </c:numRef>
          </c:val>
          <c:extLst xmlns:c16r2="http://schemas.microsoft.com/office/drawing/2015/06/chart">
            <c:ext xmlns:c16="http://schemas.microsoft.com/office/drawing/2014/chart" uri="{C3380CC4-5D6E-409C-BE32-E72D297353CC}">
              <c16:uniqueId val="{00000003-6CFA-44B3-879D-99F93EF877F3}"/>
            </c:ext>
          </c:extLst>
        </c:ser>
        <c:ser>
          <c:idx val="3"/>
          <c:order val="3"/>
          <c:tx>
            <c:strRef>
              <c:f>Лист18!$A$7</c:f>
              <c:strCache>
                <c:ptCount val="1"/>
                <c:pt idx="0">
                  <c:v>ожирение I степени</c:v>
                </c:pt>
              </c:strCache>
            </c:strRef>
          </c:tx>
          <c:spPr>
            <a:solidFill>
              <a:schemeClr val="accent4"/>
            </a:solidFill>
            <a:ln>
              <a:noFill/>
            </a:ln>
            <a:effectLst/>
          </c:spPr>
          <c:invertIfNegative val="0"/>
          <c:dLbls>
            <c:dLbl>
              <c:idx val="1"/>
              <c:layout>
                <c:manualLayout>
                  <c:x val="3.8888888888888841E-2"/>
                  <c:y val="9.259259259259258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CFA-44B3-879D-99F93EF877F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Лист18!$B$3:$F$3</c:f>
              <c:strCache>
                <c:ptCount val="5"/>
                <c:pt idx="0">
                  <c:v>В этом месяце</c:v>
                </c:pt>
                <c:pt idx="1">
                  <c:v>В течения 3 месяцев</c:v>
                </c:pt>
                <c:pt idx="2">
                  <c:v>В этом году</c:v>
                </c:pt>
                <c:pt idx="3">
                  <c:v>3 года назад</c:v>
                </c:pt>
                <c:pt idx="4">
                  <c:v>Не помню</c:v>
                </c:pt>
              </c:strCache>
            </c:strRef>
          </c:cat>
          <c:val>
            <c:numRef>
              <c:f>Лист18!$B$7:$F$7</c:f>
              <c:numCache>
                <c:formatCode>0.00%</c:formatCode>
                <c:ptCount val="5"/>
                <c:pt idx="0">
                  <c:v>0.372</c:v>
                </c:pt>
                <c:pt idx="1">
                  <c:v>0.375</c:v>
                </c:pt>
                <c:pt idx="2">
                  <c:v>0.35499999999999998</c:v>
                </c:pt>
                <c:pt idx="3">
                  <c:v>0.214</c:v>
                </c:pt>
                <c:pt idx="4">
                  <c:v>0.309</c:v>
                </c:pt>
              </c:numCache>
            </c:numRef>
          </c:val>
          <c:extLst xmlns:c16r2="http://schemas.microsoft.com/office/drawing/2015/06/chart">
            <c:ext xmlns:c16="http://schemas.microsoft.com/office/drawing/2014/chart" uri="{C3380CC4-5D6E-409C-BE32-E72D297353CC}">
              <c16:uniqueId val="{00000005-6CFA-44B3-879D-99F93EF877F3}"/>
            </c:ext>
          </c:extLst>
        </c:ser>
        <c:ser>
          <c:idx val="4"/>
          <c:order val="4"/>
          <c:tx>
            <c:strRef>
              <c:f>Лист18!$A$8</c:f>
              <c:strCache>
                <c:ptCount val="1"/>
                <c:pt idx="0">
                  <c:v>ожирение ІІ степени</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Лист18!$B$3:$F$3</c:f>
              <c:strCache>
                <c:ptCount val="5"/>
                <c:pt idx="0">
                  <c:v>В этом месяце</c:v>
                </c:pt>
                <c:pt idx="1">
                  <c:v>В течения 3 месяцев</c:v>
                </c:pt>
                <c:pt idx="2">
                  <c:v>В этом году</c:v>
                </c:pt>
                <c:pt idx="3">
                  <c:v>3 года назад</c:v>
                </c:pt>
                <c:pt idx="4">
                  <c:v>Не помню</c:v>
                </c:pt>
              </c:strCache>
            </c:strRef>
          </c:cat>
          <c:val>
            <c:numRef>
              <c:f>Лист18!$B$8:$F$8</c:f>
              <c:numCache>
                <c:formatCode>0.00%</c:formatCode>
                <c:ptCount val="5"/>
                <c:pt idx="0">
                  <c:v>4.7E-2</c:v>
                </c:pt>
                <c:pt idx="1">
                  <c:v>0.1</c:v>
                </c:pt>
                <c:pt idx="2">
                  <c:v>0.161</c:v>
                </c:pt>
                <c:pt idx="3">
                  <c:v>0.17899999999999999</c:v>
                </c:pt>
                <c:pt idx="4">
                  <c:v>9.4E-2</c:v>
                </c:pt>
              </c:numCache>
            </c:numRef>
          </c:val>
          <c:extLst xmlns:c16r2="http://schemas.microsoft.com/office/drawing/2015/06/chart">
            <c:ext xmlns:c16="http://schemas.microsoft.com/office/drawing/2014/chart" uri="{C3380CC4-5D6E-409C-BE32-E72D297353CC}">
              <c16:uniqueId val="{00000006-6CFA-44B3-879D-99F93EF877F3}"/>
            </c:ext>
          </c:extLst>
        </c:ser>
        <c:ser>
          <c:idx val="5"/>
          <c:order val="5"/>
          <c:tx>
            <c:strRef>
              <c:f>Лист18!$A$9</c:f>
              <c:strCache>
                <c:ptCount val="1"/>
                <c:pt idx="0">
                  <c:v>ожирение ІІІ степени</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Лист18!$B$3:$F$3</c:f>
              <c:strCache>
                <c:ptCount val="5"/>
                <c:pt idx="0">
                  <c:v>В этом месяце</c:v>
                </c:pt>
                <c:pt idx="1">
                  <c:v>В течения 3 месяцев</c:v>
                </c:pt>
                <c:pt idx="2">
                  <c:v>В этом году</c:v>
                </c:pt>
                <c:pt idx="3">
                  <c:v>3 года назад</c:v>
                </c:pt>
                <c:pt idx="4">
                  <c:v>Не помню</c:v>
                </c:pt>
              </c:strCache>
            </c:strRef>
          </c:cat>
          <c:val>
            <c:numRef>
              <c:f>Лист18!$B$9:$F$9</c:f>
              <c:numCache>
                <c:formatCode>0%</c:formatCode>
                <c:ptCount val="5"/>
                <c:pt idx="0">
                  <c:v>0</c:v>
                </c:pt>
                <c:pt idx="1">
                  <c:v>0</c:v>
                </c:pt>
                <c:pt idx="2">
                  <c:v>0</c:v>
                </c:pt>
                <c:pt idx="3">
                  <c:v>0</c:v>
                </c:pt>
                <c:pt idx="4" formatCode="0.00%">
                  <c:v>2.3E-2</c:v>
                </c:pt>
              </c:numCache>
            </c:numRef>
          </c:val>
          <c:extLst xmlns:c16r2="http://schemas.microsoft.com/office/drawing/2015/06/chart">
            <c:ext xmlns:c16="http://schemas.microsoft.com/office/drawing/2014/chart" uri="{C3380CC4-5D6E-409C-BE32-E72D297353CC}">
              <c16:uniqueId val="{00000007-6CFA-44B3-879D-99F93EF877F3}"/>
            </c:ext>
          </c:extLst>
        </c:ser>
        <c:dLbls>
          <c:dLblPos val="outEnd"/>
          <c:showLegendKey val="0"/>
          <c:showVal val="1"/>
          <c:showCatName val="0"/>
          <c:showSerName val="0"/>
          <c:showPercent val="0"/>
          <c:showBubbleSize val="0"/>
        </c:dLbls>
        <c:gapWidth val="219"/>
        <c:overlap val="-27"/>
        <c:axId val="257636792"/>
        <c:axId val="257634048"/>
      </c:barChart>
      <c:catAx>
        <c:axId val="257636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57634048"/>
        <c:crosses val="autoZero"/>
        <c:auto val="1"/>
        <c:lblAlgn val="ctr"/>
        <c:lblOffset val="100"/>
        <c:noMultiLvlLbl val="0"/>
      </c:catAx>
      <c:valAx>
        <c:axId val="257634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t>показатели в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57636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368704888451443"/>
          <c:y val="5.1825677267373381E-2"/>
          <c:w val="0.85766711778215221"/>
          <c:h val="0.54020273967520849"/>
        </c:manualLayout>
      </c:layout>
      <c:bar3DChart>
        <c:barDir val="col"/>
        <c:grouping val="clustered"/>
        <c:varyColors val="0"/>
        <c:ser>
          <c:idx val="0"/>
          <c:order val="0"/>
          <c:tx>
            <c:strRef>
              <c:f>Лист14!$D$11:$D$12</c:f>
              <c:strCache>
                <c:ptCount val="2"/>
                <c:pt idx="0">
                  <c:v>Мужчины</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Лист14!$B$13:$B$17</c:f>
              <c:strCache>
                <c:ptCount val="5"/>
                <c:pt idx="0">
                  <c:v>Да, до рождения первого ребенка</c:v>
                </c:pt>
                <c:pt idx="1">
                  <c:v>Да, до рождения второго ребенка</c:v>
                </c:pt>
                <c:pt idx="2">
                  <c:v>Да, до рождения третьего ребенка</c:v>
                </c:pt>
                <c:pt idx="3">
                  <c:v>Да, до рождения четвертого ребенка</c:v>
                </c:pt>
                <c:pt idx="4">
                  <c:v>Нет</c:v>
                </c:pt>
              </c:strCache>
            </c:strRef>
          </c:cat>
          <c:val>
            <c:numRef>
              <c:f>Лист14!$D$13:$D$17</c:f>
              <c:numCache>
                <c:formatCode>General</c:formatCode>
                <c:ptCount val="5"/>
                <c:pt idx="0">
                  <c:v>11</c:v>
                </c:pt>
                <c:pt idx="1">
                  <c:v>4</c:v>
                </c:pt>
                <c:pt idx="2">
                  <c:v>2.5</c:v>
                </c:pt>
                <c:pt idx="3">
                  <c:v>1.5</c:v>
                </c:pt>
                <c:pt idx="4">
                  <c:v>81</c:v>
                </c:pt>
              </c:numCache>
            </c:numRef>
          </c:val>
          <c:extLst xmlns:c16r2="http://schemas.microsoft.com/office/drawing/2015/06/chart">
            <c:ext xmlns:c16="http://schemas.microsoft.com/office/drawing/2014/chart" uri="{C3380CC4-5D6E-409C-BE32-E72D297353CC}">
              <c16:uniqueId val="{00000000-9FF1-49FF-A48B-FD45F553470C}"/>
            </c:ext>
          </c:extLst>
        </c:ser>
        <c:ser>
          <c:idx val="1"/>
          <c:order val="1"/>
          <c:tx>
            <c:strRef>
              <c:f>Лист14!$K$11:$K$12</c:f>
              <c:strCache>
                <c:ptCount val="2"/>
                <c:pt idx="0">
                  <c:v>Женщины</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Лист14!$B$13:$B$17</c:f>
              <c:strCache>
                <c:ptCount val="5"/>
                <c:pt idx="0">
                  <c:v>Да, до рождения первого ребенка</c:v>
                </c:pt>
                <c:pt idx="1">
                  <c:v>Да, до рождения второго ребенка</c:v>
                </c:pt>
                <c:pt idx="2">
                  <c:v>Да, до рождения третьего ребенка</c:v>
                </c:pt>
                <c:pt idx="3">
                  <c:v>Да, до рождения четвертого ребенка</c:v>
                </c:pt>
                <c:pt idx="4">
                  <c:v>Нет</c:v>
                </c:pt>
              </c:strCache>
            </c:strRef>
          </c:cat>
          <c:val>
            <c:numRef>
              <c:f>Лист14!$K$13:$K$17</c:f>
              <c:numCache>
                <c:formatCode>0.0</c:formatCode>
                <c:ptCount val="5"/>
                <c:pt idx="0">
                  <c:v>7.1428571428571432</c:v>
                </c:pt>
                <c:pt idx="1">
                  <c:v>2.1428571428571428</c:v>
                </c:pt>
                <c:pt idx="2">
                  <c:v>2.1428571428571428</c:v>
                </c:pt>
                <c:pt idx="3">
                  <c:v>0.7142857142857143</c:v>
                </c:pt>
                <c:pt idx="4">
                  <c:v>87.857142857142861</c:v>
                </c:pt>
              </c:numCache>
            </c:numRef>
          </c:val>
          <c:extLst xmlns:c16r2="http://schemas.microsoft.com/office/drawing/2015/06/chart">
            <c:ext xmlns:c16="http://schemas.microsoft.com/office/drawing/2014/chart" uri="{C3380CC4-5D6E-409C-BE32-E72D297353CC}">
              <c16:uniqueId val="{00000001-9FF1-49FF-A48B-FD45F553470C}"/>
            </c:ext>
          </c:extLst>
        </c:ser>
        <c:dLbls>
          <c:showLegendKey val="0"/>
          <c:showVal val="1"/>
          <c:showCatName val="0"/>
          <c:showSerName val="0"/>
          <c:showPercent val="0"/>
          <c:showBubbleSize val="0"/>
        </c:dLbls>
        <c:gapWidth val="150"/>
        <c:shape val="box"/>
        <c:axId val="260687416"/>
        <c:axId val="260688200"/>
        <c:axId val="0"/>
      </c:bar3DChart>
      <c:catAx>
        <c:axId val="2606874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0688200"/>
        <c:crosses val="autoZero"/>
        <c:auto val="1"/>
        <c:lblAlgn val="ctr"/>
        <c:lblOffset val="100"/>
        <c:noMultiLvlLbl val="0"/>
      </c:catAx>
      <c:valAx>
        <c:axId val="260688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0687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459301532262596"/>
          <c:y val="0.12212022277703093"/>
          <c:w val="0.31893504137670864"/>
          <c:h val="0.84790047585515227"/>
        </c:manualLayout>
      </c:layout>
      <c:pieChart>
        <c:varyColors val="1"/>
        <c:ser>
          <c:idx val="0"/>
          <c:order val="0"/>
          <c:dPt>
            <c:idx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3914-4FF7-9578-19FC6F7FFC68}"/>
              </c:ext>
            </c:extLst>
          </c:dPt>
          <c:dPt>
            <c:idx val="1"/>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3-3914-4FF7-9578-19FC6F7FFC68}"/>
              </c:ext>
            </c:extLst>
          </c:dPt>
          <c:dPt>
            <c:idx val="2"/>
            <c:bubble3D val="0"/>
            <c:spPr>
              <a:solidFill>
                <a:schemeClr val="accent3"/>
              </a:solidFill>
              <a:ln>
                <a:noFill/>
              </a:ln>
              <a:effectLst/>
            </c:spPr>
            <c:extLst xmlns:c16r2="http://schemas.microsoft.com/office/drawing/2015/06/chart">
              <c:ext xmlns:c16="http://schemas.microsoft.com/office/drawing/2014/chart" uri="{C3380CC4-5D6E-409C-BE32-E72D297353CC}">
                <c16:uniqueId val="{00000005-3914-4FF7-9578-19FC6F7FFC68}"/>
              </c:ext>
            </c:extLst>
          </c:dPt>
          <c:dPt>
            <c:idx val="3"/>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7-3914-4FF7-9578-19FC6F7FFC68}"/>
              </c:ext>
            </c:extLst>
          </c:dPt>
          <c:dPt>
            <c:idx val="4"/>
            <c:bubble3D val="0"/>
            <c:spPr>
              <a:solidFill>
                <a:schemeClr val="accent5"/>
              </a:solidFill>
              <a:ln>
                <a:noFill/>
              </a:ln>
              <a:effectLst/>
            </c:spPr>
            <c:extLst xmlns:c16r2="http://schemas.microsoft.com/office/drawing/2015/06/chart">
              <c:ext xmlns:c16="http://schemas.microsoft.com/office/drawing/2014/chart" uri="{C3380CC4-5D6E-409C-BE32-E72D297353CC}">
                <c16:uniqueId val="{00000009-3914-4FF7-9578-19FC6F7FFC68}"/>
              </c:ext>
            </c:extLst>
          </c:dPt>
          <c:dPt>
            <c:idx val="5"/>
            <c:bubble3D val="0"/>
            <c:spPr>
              <a:solidFill>
                <a:schemeClr val="accent6"/>
              </a:solidFill>
              <a:ln>
                <a:noFill/>
              </a:ln>
              <a:effectLst/>
            </c:spPr>
            <c:extLst xmlns:c16r2="http://schemas.microsoft.com/office/drawing/2015/06/chart">
              <c:ext xmlns:c16="http://schemas.microsoft.com/office/drawing/2014/chart" uri="{C3380CC4-5D6E-409C-BE32-E72D297353CC}">
                <c16:uniqueId val="{0000000B-3914-4FF7-9578-19FC6F7FFC68}"/>
              </c:ext>
            </c:extLst>
          </c:dPt>
          <c:dPt>
            <c:idx val="6"/>
            <c:bubble3D val="0"/>
            <c:spPr>
              <a:solidFill>
                <a:schemeClr val="accent1">
                  <a:lumMod val="60000"/>
                </a:schemeClr>
              </a:solidFill>
              <a:ln>
                <a:noFill/>
              </a:ln>
              <a:effectLst/>
            </c:spPr>
            <c:extLst xmlns:c16r2="http://schemas.microsoft.com/office/drawing/2015/06/chart">
              <c:ext xmlns:c16="http://schemas.microsoft.com/office/drawing/2014/chart" uri="{C3380CC4-5D6E-409C-BE32-E72D297353CC}">
                <c16:uniqueId val="{0000000D-3914-4FF7-9578-19FC6F7FFC68}"/>
              </c:ext>
            </c:extLst>
          </c:dPt>
          <c:dPt>
            <c:idx val="7"/>
            <c:bubble3D val="0"/>
            <c:spPr>
              <a:solidFill>
                <a:schemeClr val="accent2">
                  <a:lumMod val="60000"/>
                </a:schemeClr>
              </a:solidFill>
              <a:ln>
                <a:noFill/>
              </a:ln>
              <a:effectLst/>
            </c:spPr>
            <c:extLst xmlns:c16r2="http://schemas.microsoft.com/office/drawing/2015/06/chart">
              <c:ext xmlns:c16="http://schemas.microsoft.com/office/drawing/2014/chart" uri="{C3380CC4-5D6E-409C-BE32-E72D297353CC}">
                <c16:uniqueId val="{0000000F-3914-4FF7-9578-19FC6F7FFC68}"/>
              </c:ext>
            </c:extLst>
          </c:dPt>
          <c:dPt>
            <c:idx val="8"/>
            <c:bubble3D val="0"/>
            <c:spPr>
              <a:solidFill>
                <a:schemeClr val="accent3">
                  <a:lumMod val="60000"/>
                </a:schemeClr>
              </a:solidFill>
              <a:ln>
                <a:noFill/>
              </a:ln>
              <a:effectLst/>
            </c:spPr>
            <c:extLst xmlns:c16r2="http://schemas.microsoft.com/office/drawing/2015/06/chart">
              <c:ext xmlns:c16="http://schemas.microsoft.com/office/drawing/2014/chart" uri="{C3380CC4-5D6E-409C-BE32-E72D297353CC}">
                <c16:uniqueId val="{00000011-3914-4FF7-9578-19FC6F7FFC68}"/>
              </c:ext>
            </c:extLst>
          </c:dPt>
          <c:dPt>
            <c:idx val="9"/>
            <c:bubble3D val="0"/>
            <c:spPr>
              <a:solidFill>
                <a:schemeClr val="accent4">
                  <a:lumMod val="60000"/>
                </a:schemeClr>
              </a:solidFill>
              <a:ln>
                <a:noFill/>
              </a:ln>
              <a:effectLst/>
            </c:spPr>
            <c:extLst xmlns:c16r2="http://schemas.microsoft.com/office/drawing/2015/06/chart">
              <c:ext xmlns:c16="http://schemas.microsoft.com/office/drawing/2014/chart" uri="{C3380CC4-5D6E-409C-BE32-E72D297353CC}">
                <c16:uniqueId val="{00000013-3914-4FF7-9578-19FC6F7FFC68}"/>
              </c:ext>
            </c:extLst>
          </c:dPt>
          <c:dPt>
            <c:idx val="10"/>
            <c:bubble3D val="0"/>
            <c:spPr>
              <a:solidFill>
                <a:schemeClr val="accent5">
                  <a:lumMod val="60000"/>
                </a:schemeClr>
              </a:solidFill>
              <a:ln>
                <a:noFill/>
              </a:ln>
              <a:effectLst/>
            </c:spPr>
            <c:extLst xmlns:c16r2="http://schemas.microsoft.com/office/drawing/2015/06/chart">
              <c:ext xmlns:c16="http://schemas.microsoft.com/office/drawing/2014/chart" uri="{C3380CC4-5D6E-409C-BE32-E72D297353CC}">
                <c16:uniqueId val="{00000015-3914-4FF7-9578-19FC6F7FFC68}"/>
              </c:ext>
            </c:extLst>
          </c:dPt>
          <c:dPt>
            <c:idx val="11"/>
            <c:bubble3D val="0"/>
            <c:spPr>
              <a:solidFill>
                <a:schemeClr val="accent6">
                  <a:lumMod val="60000"/>
                </a:schemeClr>
              </a:solidFill>
              <a:ln>
                <a:noFill/>
              </a:ln>
              <a:effectLst/>
            </c:spPr>
            <c:extLst xmlns:c16r2="http://schemas.microsoft.com/office/drawing/2015/06/chart">
              <c:ext xmlns:c16="http://schemas.microsoft.com/office/drawing/2014/chart" uri="{C3380CC4-5D6E-409C-BE32-E72D297353CC}">
                <c16:uniqueId val="{00000017-3914-4FF7-9578-19FC6F7FFC68}"/>
              </c:ext>
            </c:extLst>
          </c:dPt>
          <c:dPt>
            <c:idx val="12"/>
            <c:bubble3D val="0"/>
            <c:spPr>
              <a:solidFill>
                <a:schemeClr val="accent1">
                  <a:lumMod val="80000"/>
                  <a:lumOff val="20000"/>
                </a:schemeClr>
              </a:solidFill>
              <a:ln>
                <a:noFill/>
              </a:ln>
              <a:effectLst/>
            </c:spPr>
            <c:extLst xmlns:c16r2="http://schemas.microsoft.com/office/drawing/2015/06/chart">
              <c:ext xmlns:c16="http://schemas.microsoft.com/office/drawing/2014/chart" uri="{C3380CC4-5D6E-409C-BE32-E72D297353CC}">
                <c16:uniqueId val="{00000019-3914-4FF7-9578-19FC6F7FFC68}"/>
              </c:ext>
            </c:extLst>
          </c:dPt>
          <c:dLbls>
            <c:dLbl>
              <c:idx val="5"/>
              <c:layout>
                <c:manualLayout>
                  <c:x val="2.8847311517253002E-4"/>
                  <c:y val="9.19534569579454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3914-4FF7-9578-19FC6F7FFC68}"/>
                </c:ext>
                <c:ext xmlns:c15="http://schemas.microsoft.com/office/drawing/2012/chart" uri="{CE6537A1-D6FC-4f65-9D91-7224C49458BB}"/>
              </c:extLst>
            </c:dLbl>
            <c:dLbl>
              <c:idx val="6"/>
              <c:layout>
                <c:manualLayout>
                  <c:x val="-3.726592662155763E-2"/>
                  <c:y val="0.1241338155206169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3914-4FF7-9578-19FC6F7FFC68}"/>
                </c:ext>
                <c:ext xmlns:c15="http://schemas.microsoft.com/office/drawing/2012/chart" uri="{CE6537A1-D6FC-4f65-9D91-7224C49458BB}"/>
              </c:extLst>
            </c:dLbl>
            <c:dLbl>
              <c:idx val="7"/>
              <c:layout>
                <c:manualLayout>
                  <c:x val="-4.4404632907125138E-2"/>
                  <c:y val="8.729778484529825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3914-4FF7-9578-19FC6F7FFC6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Лист1!$B$17:$N$17</c:f>
              <c:strCache>
                <c:ptCount val="13"/>
                <c:pt idx="0">
                  <c:v>0-14</c:v>
                </c:pt>
                <c:pt idx="1">
                  <c:v>15-17</c:v>
                </c:pt>
                <c:pt idx="2">
                  <c:v>18-24</c:v>
                </c:pt>
                <c:pt idx="3">
                  <c:v>25-29</c:v>
                </c:pt>
                <c:pt idx="4">
                  <c:v>30-34</c:v>
                </c:pt>
                <c:pt idx="5">
                  <c:v>35-39</c:v>
                </c:pt>
                <c:pt idx="6">
                  <c:v>40-44</c:v>
                </c:pt>
                <c:pt idx="7">
                  <c:v>45-49</c:v>
                </c:pt>
                <c:pt idx="8">
                  <c:v>50-54</c:v>
                </c:pt>
                <c:pt idx="9">
                  <c:v>55-59</c:v>
                </c:pt>
                <c:pt idx="10">
                  <c:v>60-64</c:v>
                </c:pt>
                <c:pt idx="11">
                  <c:v>65-69</c:v>
                </c:pt>
                <c:pt idx="12">
                  <c:v>70 и старше</c:v>
                </c:pt>
              </c:strCache>
            </c:strRef>
          </c:cat>
          <c:val>
            <c:numRef>
              <c:f>Лист1!$B$21:$N$21</c:f>
              <c:numCache>
                <c:formatCode>0.00</c:formatCode>
                <c:ptCount val="13"/>
                <c:pt idx="0">
                  <c:v>1.3373453694416584E-2</c:v>
                </c:pt>
                <c:pt idx="1">
                  <c:v>2.0060180541624874E-2</c:v>
                </c:pt>
                <c:pt idx="2">
                  <c:v>9.3614175860916082E-2</c:v>
                </c:pt>
                <c:pt idx="3">
                  <c:v>0.21620416805973475</c:v>
                </c:pt>
                <c:pt idx="4">
                  <c:v>0.66421486682269026</c:v>
                </c:pt>
                <c:pt idx="5">
                  <c:v>1.3195140978491029</c:v>
                </c:pt>
                <c:pt idx="6">
                  <c:v>5.9199821687284073</c:v>
                </c:pt>
                <c:pt idx="7">
                  <c:v>3.800289758163379</c:v>
                </c:pt>
                <c:pt idx="8">
                  <c:v>6.2030536052602248</c:v>
                </c:pt>
                <c:pt idx="9">
                  <c:v>12.633455923325533</c:v>
                </c:pt>
                <c:pt idx="10">
                  <c:v>18.459823916193024</c:v>
                </c:pt>
                <c:pt idx="11">
                  <c:v>18.290426836063748</c:v>
                </c:pt>
                <c:pt idx="12">
                  <c:v>32.365986849437199</c:v>
                </c:pt>
              </c:numCache>
            </c:numRef>
          </c:val>
          <c:extLst xmlns:c16r2="http://schemas.microsoft.com/office/drawing/2015/06/chart">
            <c:ext xmlns:c16="http://schemas.microsoft.com/office/drawing/2014/chart" uri="{C3380CC4-5D6E-409C-BE32-E72D297353CC}">
              <c16:uniqueId val="{0000001A-3914-4FF7-9578-19FC6F7FFC68}"/>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6388888888888889E-2"/>
          <c:y val="4.6042942548848054E-2"/>
          <c:w val="0.97361111111111109"/>
          <c:h val="0.6307123067949839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605-498A-820B-150FA8AAB12C}"/>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605-498A-820B-150FA8AAB12C}"/>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605-498A-820B-150FA8AAB12C}"/>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605-498A-820B-150FA8AAB12C}"/>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F605-498A-820B-150FA8AAB12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Лист20!$B$3:$B$7</c:f>
              <c:strCache>
                <c:ptCount val="5"/>
                <c:pt idx="0">
                  <c:v>Профилактический осмотр</c:v>
                </c:pt>
                <c:pt idx="1">
                  <c:v>Воспалительные заболевания половых органов</c:v>
                </c:pt>
                <c:pt idx="2">
                  <c:v>За советом перед вступлением половой контакт в браке</c:v>
                </c:pt>
                <c:pt idx="3">
                  <c:v>Консультация по контрацептивам</c:v>
                </c:pt>
                <c:pt idx="4">
                  <c:v>Другое</c:v>
                </c:pt>
              </c:strCache>
            </c:strRef>
          </c:cat>
          <c:val>
            <c:numRef>
              <c:f>Лист20!$N$3:$N$7</c:f>
              <c:numCache>
                <c:formatCode>0.00%</c:formatCode>
                <c:ptCount val="5"/>
                <c:pt idx="0">
                  <c:v>0.55500000000000005</c:v>
                </c:pt>
                <c:pt idx="1">
                  <c:v>0.14499999999999999</c:v>
                </c:pt>
                <c:pt idx="2">
                  <c:v>5.5E-2</c:v>
                </c:pt>
                <c:pt idx="3">
                  <c:v>4.4999999999999998E-2</c:v>
                </c:pt>
                <c:pt idx="4" formatCode="0%">
                  <c:v>0.2</c:v>
                </c:pt>
              </c:numCache>
            </c:numRef>
          </c:val>
          <c:extLst xmlns:c16r2="http://schemas.microsoft.com/office/drawing/2015/06/chart">
            <c:ext xmlns:c16="http://schemas.microsoft.com/office/drawing/2014/chart" uri="{C3380CC4-5D6E-409C-BE32-E72D297353CC}">
              <c16:uniqueId val="{0000000A-F605-498A-820B-150FA8AAB12C}"/>
            </c:ext>
          </c:extLst>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1.9303368328958865E-2"/>
          <c:y val="0.6811315252260135"/>
          <c:w val="0.96417104111986007"/>
          <c:h val="0.2910906969962088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9722222222222225E-2"/>
          <c:y val="0.11457031061301384"/>
          <c:w val="0.94027769028871389"/>
          <c:h val="0.75961490979635449"/>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BF1-4772-8EED-51025C4D51C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BF1-4772-8EED-51025C4D51C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BF1-4772-8EED-51025C4D51C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BF1-4772-8EED-51025C4D51C7}"/>
              </c:ext>
            </c:extLst>
          </c:dPt>
          <c:dPt>
            <c:idx val="4"/>
            <c:bubble3D val="0"/>
            <c:spPr>
              <a:solidFill>
                <a:schemeClr val="accent5"/>
              </a:solidFill>
              <a:ln w="25400">
                <a:noFill/>
              </a:ln>
              <a:effectLst/>
              <a:sp3d/>
            </c:spPr>
            <c:extLst xmlns:c16r2="http://schemas.microsoft.com/office/drawing/2015/06/chart">
              <c:ext xmlns:c16="http://schemas.microsoft.com/office/drawing/2014/chart" uri="{C3380CC4-5D6E-409C-BE32-E72D297353CC}">
                <c16:uniqueId val="{00000009-FBF1-4772-8EED-51025C4D51C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Лист20!$C$25:$C$29</c:f>
              <c:strCache>
                <c:ptCount val="5"/>
                <c:pt idx="0">
                  <c:v>до первого ребенка</c:v>
                </c:pt>
                <c:pt idx="1">
                  <c:v> до второго ребенка</c:v>
                </c:pt>
                <c:pt idx="2">
                  <c:v>до третьего ребенка</c:v>
                </c:pt>
                <c:pt idx="3">
                  <c:v>до четвертого ребенка</c:v>
                </c:pt>
                <c:pt idx="4">
                  <c:v>Нет</c:v>
                </c:pt>
              </c:strCache>
            </c:strRef>
          </c:cat>
          <c:val>
            <c:numRef>
              <c:f>Лист20!$F$25:$F$29</c:f>
              <c:numCache>
                <c:formatCode>0%</c:formatCode>
                <c:ptCount val="5"/>
                <c:pt idx="0" formatCode="0.00%">
                  <c:v>8.5000000000000006E-2</c:v>
                </c:pt>
                <c:pt idx="1">
                  <c:v>0.04</c:v>
                </c:pt>
                <c:pt idx="2" formatCode="0.00%">
                  <c:v>2.5000000000000001E-2</c:v>
                </c:pt>
                <c:pt idx="3" formatCode="0.00%">
                  <c:v>1.4999999999999999E-2</c:v>
                </c:pt>
                <c:pt idx="4" formatCode="0.00%">
                  <c:v>0.83499999999999996</c:v>
                </c:pt>
              </c:numCache>
            </c:numRef>
          </c:val>
          <c:extLst xmlns:c16r2="http://schemas.microsoft.com/office/drawing/2015/06/chart">
            <c:ext xmlns:c16="http://schemas.microsoft.com/office/drawing/2014/chart" uri="{C3380CC4-5D6E-409C-BE32-E72D297353CC}">
              <c16:uniqueId val="{0000000A-FBF1-4772-8EED-51025C4D51C7}"/>
            </c:ext>
          </c:extLst>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4.777777777777778E-2"/>
          <c:y val="0.89525629454420963"/>
          <c:w val="0.9"/>
          <c:h val="8.8933428775948467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Лист21!$A$2</c:f>
              <c:strCache>
                <c:ptCount val="1"/>
                <c:pt idx="0">
                  <c:v>В этом месяце</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Лист21!$B$1:$G$1</c:f>
              <c:strCache>
                <c:ptCount val="6"/>
                <c:pt idx="0">
                  <c:v>Ниже норм веса</c:v>
                </c:pt>
                <c:pt idx="1">
                  <c:v>нормальный вес</c:v>
                </c:pt>
                <c:pt idx="2">
                  <c:v>избыточный вес</c:v>
                </c:pt>
                <c:pt idx="3">
                  <c:v>ожирение I степени</c:v>
                </c:pt>
                <c:pt idx="4">
                  <c:v>ожирение ІІ степени</c:v>
                </c:pt>
                <c:pt idx="5">
                  <c:v>ожирение ІІІ степени</c:v>
                </c:pt>
              </c:strCache>
            </c:strRef>
          </c:cat>
          <c:val>
            <c:numRef>
              <c:f>Лист21!$B$2:$G$2</c:f>
              <c:numCache>
                <c:formatCode>0.00%</c:formatCode>
                <c:ptCount val="6"/>
                <c:pt idx="0" formatCode="0%">
                  <c:v>1</c:v>
                </c:pt>
                <c:pt idx="1">
                  <c:v>0.22700000000000001</c:v>
                </c:pt>
                <c:pt idx="2">
                  <c:v>0.152</c:v>
                </c:pt>
                <c:pt idx="3">
                  <c:v>0.18</c:v>
                </c:pt>
                <c:pt idx="4">
                  <c:v>0.313</c:v>
                </c:pt>
              </c:numCache>
            </c:numRef>
          </c:val>
          <c:extLst xmlns:c16r2="http://schemas.microsoft.com/office/drawing/2015/06/chart">
            <c:ext xmlns:c16="http://schemas.microsoft.com/office/drawing/2014/chart" uri="{C3380CC4-5D6E-409C-BE32-E72D297353CC}">
              <c16:uniqueId val="{00000000-7DA7-4BDA-9016-EBDD02BC4E20}"/>
            </c:ext>
          </c:extLst>
        </c:ser>
        <c:ser>
          <c:idx val="1"/>
          <c:order val="1"/>
          <c:tx>
            <c:strRef>
              <c:f>Лист21!$A$3</c:f>
              <c:strCache>
                <c:ptCount val="1"/>
                <c:pt idx="0">
                  <c:v>В течения 3 месяцев</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Лист21!$B$1:$G$1</c:f>
              <c:strCache>
                <c:ptCount val="6"/>
                <c:pt idx="0">
                  <c:v>Ниже норм веса</c:v>
                </c:pt>
                <c:pt idx="1">
                  <c:v>нормальный вес</c:v>
                </c:pt>
                <c:pt idx="2">
                  <c:v>избыточный вес</c:v>
                </c:pt>
                <c:pt idx="3">
                  <c:v>ожирение I степени</c:v>
                </c:pt>
                <c:pt idx="4">
                  <c:v>ожирение ІІ степени</c:v>
                </c:pt>
                <c:pt idx="5">
                  <c:v>ожирение ІІІ степени</c:v>
                </c:pt>
              </c:strCache>
            </c:strRef>
          </c:cat>
          <c:val>
            <c:numRef>
              <c:f>Лист21!$B$3:$G$3</c:f>
              <c:numCache>
                <c:formatCode>0.00%</c:formatCode>
                <c:ptCount val="6"/>
                <c:pt idx="1">
                  <c:v>9.0999999999999998E-2</c:v>
                </c:pt>
                <c:pt idx="2">
                  <c:v>0.152</c:v>
                </c:pt>
                <c:pt idx="3">
                  <c:v>8.2000000000000003E-2</c:v>
                </c:pt>
              </c:numCache>
            </c:numRef>
          </c:val>
          <c:extLst xmlns:c16r2="http://schemas.microsoft.com/office/drawing/2015/06/chart">
            <c:ext xmlns:c16="http://schemas.microsoft.com/office/drawing/2014/chart" uri="{C3380CC4-5D6E-409C-BE32-E72D297353CC}">
              <c16:uniqueId val="{00000001-7DA7-4BDA-9016-EBDD02BC4E20}"/>
            </c:ext>
          </c:extLst>
        </c:ser>
        <c:ser>
          <c:idx val="2"/>
          <c:order val="2"/>
          <c:tx>
            <c:strRef>
              <c:f>Лист21!$A$4</c:f>
              <c:strCache>
                <c:ptCount val="1"/>
                <c:pt idx="0">
                  <c:v>В этом году</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Лист21!$B$1:$G$1</c:f>
              <c:strCache>
                <c:ptCount val="6"/>
                <c:pt idx="0">
                  <c:v>Ниже норм веса</c:v>
                </c:pt>
                <c:pt idx="1">
                  <c:v>нормальный вес</c:v>
                </c:pt>
                <c:pt idx="2">
                  <c:v>избыточный вес</c:v>
                </c:pt>
                <c:pt idx="3">
                  <c:v>ожирение I степени</c:v>
                </c:pt>
                <c:pt idx="4">
                  <c:v>ожирение ІІ степени</c:v>
                </c:pt>
                <c:pt idx="5">
                  <c:v>ожирение ІІІ степени</c:v>
                </c:pt>
              </c:strCache>
            </c:strRef>
          </c:cat>
          <c:val>
            <c:numRef>
              <c:f>Лист21!$B$4:$G$4</c:f>
              <c:numCache>
                <c:formatCode>0.00%</c:formatCode>
                <c:ptCount val="6"/>
                <c:pt idx="1">
                  <c:v>0.27300000000000002</c:v>
                </c:pt>
                <c:pt idx="2">
                  <c:v>0.222</c:v>
                </c:pt>
                <c:pt idx="3">
                  <c:v>0.26200000000000001</c:v>
                </c:pt>
                <c:pt idx="4">
                  <c:v>0.375</c:v>
                </c:pt>
              </c:numCache>
            </c:numRef>
          </c:val>
          <c:extLst xmlns:c16r2="http://schemas.microsoft.com/office/drawing/2015/06/chart">
            <c:ext xmlns:c16="http://schemas.microsoft.com/office/drawing/2014/chart" uri="{C3380CC4-5D6E-409C-BE32-E72D297353CC}">
              <c16:uniqueId val="{00000002-7DA7-4BDA-9016-EBDD02BC4E20}"/>
            </c:ext>
          </c:extLst>
        </c:ser>
        <c:ser>
          <c:idx val="3"/>
          <c:order val="3"/>
          <c:tx>
            <c:strRef>
              <c:f>Лист21!$A$5</c:f>
              <c:strCache>
                <c:ptCount val="1"/>
                <c:pt idx="0">
                  <c:v>3 года назад</c:v>
                </c:pt>
              </c:strCache>
            </c:strRef>
          </c:tx>
          <c:spPr>
            <a:solidFill>
              <a:schemeClr val="accent4"/>
            </a:solidFill>
            <a:ln>
              <a:noFill/>
            </a:ln>
            <a:effectLst/>
          </c:spPr>
          <c:invertIfNegative val="0"/>
          <c:dLbls>
            <c:dLbl>
              <c:idx val="2"/>
              <c:layout>
                <c:manualLayout>
                  <c:x val="2.2222222222222223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DA7-4BDA-9016-EBDD02BC4E2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Лист21!$B$1:$G$1</c:f>
              <c:strCache>
                <c:ptCount val="6"/>
                <c:pt idx="0">
                  <c:v>Ниже норм веса</c:v>
                </c:pt>
                <c:pt idx="1">
                  <c:v>нормальный вес</c:v>
                </c:pt>
                <c:pt idx="2">
                  <c:v>избыточный вес</c:v>
                </c:pt>
                <c:pt idx="3">
                  <c:v>ожирение I степени</c:v>
                </c:pt>
                <c:pt idx="4">
                  <c:v>ожирение ІІ степени</c:v>
                </c:pt>
                <c:pt idx="5">
                  <c:v>ожирение ІІІ степени</c:v>
                </c:pt>
              </c:strCache>
            </c:strRef>
          </c:cat>
          <c:val>
            <c:numRef>
              <c:f>Лист21!$B$5:$G$5</c:f>
              <c:numCache>
                <c:formatCode>General</c:formatCode>
                <c:ptCount val="6"/>
                <c:pt idx="2" formatCode="0.00%">
                  <c:v>6.0999999999999999E-2</c:v>
                </c:pt>
                <c:pt idx="3" formatCode="0.00%">
                  <c:v>9.8000000000000004E-2</c:v>
                </c:pt>
                <c:pt idx="4" formatCode="0.00%">
                  <c:v>0.125</c:v>
                </c:pt>
              </c:numCache>
            </c:numRef>
          </c:val>
          <c:extLst xmlns:c16r2="http://schemas.microsoft.com/office/drawing/2015/06/chart">
            <c:ext xmlns:c16="http://schemas.microsoft.com/office/drawing/2014/chart" uri="{C3380CC4-5D6E-409C-BE32-E72D297353CC}">
              <c16:uniqueId val="{00000004-7DA7-4BDA-9016-EBDD02BC4E20}"/>
            </c:ext>
          </c:extLst>
        </c:ser>
        <c:ser>
          <c:idx val="4"/>
          <c:order val="4"/>
          <c:tx>
            <c:strRef>
              <c:f>Лист21!$A$6</c:f>
              <c:strCache>
                <c:ptCount val="1"/>
                <c:pt idx="0">
                  <c:v>Не помню</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Лист21!$B$1:$G$1</c:f>
              <c:strCache>
                <c:ptCount val="6"/>
                <c:pt idx="0">
                  <c:v>Ниже норм веса</c:v>
                </c:pt>
                <c:pt idx="1">
                  <c:v>нормальный вес</c:v>
                </c:pt>
                <c:pt idx="2">
                  <c:v>избыточный вес</c:v>
                </c:pt>
                <c:pt idx="3">
                  <c:v>ожирение I степени</c:v>
                </c:pt>
                <c:pt idx="4">
                  <c:v>ожирение ІІ степени</c:v>
                </c:pt>
                <c:pt idx="5">
                  <c:v>ожирение ІІІ степени</c:v>
                </c:pt>
              </c:strCache>
            </c:strRef>
          </c:cat>
          <c:val>
            <c:numRef>
              <c:f>Лист21!$B$6:$G$6</c:f>
              <c:numCache>
                <c:formatCode>0.00%</c:formatCode>
                <c:ptCount val="6"/>
                <c:pt idx="1">
                  <c:v>0.40899999999999997</c:v>
                </c:pt>
                <c:pt idx="2">
                  <c:v>0.41399999999999998</c:v>
                </c:pt>
                <c:pt idx="3">
                  <c:v>0.377</c:v>
                </c:pt>
                <c:pt idx="4">
                  <c:v>0.188</c:v>
                </c:pt>
                <c:pt idx="5" formatCode="0%">
                  <c:v>1</c:v>
                </c:pt>
              </c:numCache>
            </c:numRef>
          </c:val>
          <c:extLst xmlns:c16r2="http://schemas.microsoft.com/office/drawing/2015/06/chart">
            <c:ext xmlns:c16="http://schemas.microsoft.com/office/drawing/2014/chart" uri="{C3380CC4-5D6E-409C-BE32-E72D297353CC}">
              <c16:uniqueId val="{00000005-7DA7-4BDA-9016-EBDD02BC4E20}"/>
            </c:ext>
          </c:extLst>
        </c:ser>
        <c:dLbls>
          <c:dLblPos val="ctr"/>
          <c:showLegendKey val="0"/>
          <c:showVal val="1"/>
          <c:showCatName val="0"/>
          <c:showSerName val="0"/>
          <c:showPercent val="0"/>
          <c:showBubbleSize val="0"/>
        </c:dLbls>
        <c:gapWidth val="150"/>
        <c:overlap val="100"/>
        <c:axId val="260686632"/>
        <c:axId val="260684672"/>
      </c:barChart>
      <c:catAx>
        <c:axId val="26068663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t>ИМТ</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60684672"/>
        <c:crosses val="autoZero"/>
        <c:auto val="1"/>
        <c:lblAlgn val="ctr"/>
        <c:lblOffset val="100"/>
        <c:noMultiLvlLbl val="0"/>
      </c:catAx>
      <c:valAx>
        <c:axId val="2606846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a:t>% показатель</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60686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075996382805092"/>
          <c:y val="4.793028322440087E-2"/>
          <c:w val="0.74953695493945605"/>
          <c:h val="0.68595268728663816"/>
        </c:manualLayout>
      </c:layout>
      <c:barChart>
        <c:barDir val="bar"/>
        <c:grouping val="clustered"/>
        <c:varyColors val="0"/>
        <c:ser>
          <c:idx val="0"/>
          <c:order val="0"/>
          <c:tx>
            <c:strRef>
              <c:f>Лист16!$C$4</c:f>
              <c:strCache>
                <c:ptCount val="1"/>
                <c:pt idx="0">
                  <c:v>Все дети живорожденные, с весом до 3,9 кг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Лист16!$B$5:$B$9</c:f>
              <c:strCache>
                <c:ptCount val="5"/>
                <c:pt idx="0">
                  <c:v>До 1 беременности</c:v>
                </c:pt>
                <c:pt idx="1">
                  <c:v>До 2 беременности</c:v>
                </c:pt>
                <c:pt idx="2">
                  <c:v>До 3 беременности</c:v>
                </c:pt>
                <c:pt idx="3">
                  <c:v>До 4 беременности</c:v>
                </c:pt>
                <c:pt idx="4">
                  <c:v>Нет</c:v>
                </c:pt>
              </c:strCache>
            </c:strRef>
          </c:cat>
          <c:val>
            <c:numRef>
              <c:f>Лист16!$C$5:$C$9</c:f>
              <c:numCache>
                <c:formatCode>0.0%</c:formatCode>
                <c:ptCount val="5"/>
                <c:pt idx="0">
                  <c:v>0.79200000000000004</c:v>
                </c:pt>
                <c:pt idx="1">
                  <c:v>0.16700000000000001</c:v>
                </c:pt>
                <c:pt idx="2">
                  <c:v>0.42899999999999999</c:v>
                </c:pt>
                <c:pt idx="4">
                  <c:v>0.56399999999999995</c:v>
                </c:pt>
              </c:numCache>
            </c:numRef>
          </c:val>
          <c:extLst xmlns:c16r2="http://schemas.microsoft.com/office/drawing/2015/06/chart">
            <c:ext xmlns:c16="http://schemas.microsoft.com/office/drawing/2014/chart" uri="{C3380CC4-5D6E-409C-BE32-E72D297353CC}">
              <c16:uniqueId val="{00000000-DBBC-446A-895A-EA4A0616DEDE}"/>
            </c:ext>
          </c:extLst>
        </c:ser>
        <c:ser>
          <c:idx val="1"/>
          <c:order val="1"/>
          <c:tx>
            <c:strRef>
              <c:f>Лист16!$D$4</c:f>
              <c:strCache>
                <c:ptCount val="1"/>
                <c:pt idx="0">
                  <c:v>Все дети живорожденные, с весом от 4 кг до 4,5кг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Лист16!$B$5:$B$9</c:f>
              <c:strCache>
                <c:ptCount val="5"/>
                <c:pt idx="0">
                  <c:v>До 1 беременности</c:v>
                </c:pt>
                <c:pt idx="1">
                  <c:v>До 2 беременности</c:v>
                </c:pt>
                <c:pt idx="2">
                  <c:v>До 3 беременности</c:v>
                </c:pt>
                <c:pt idx="3">
                  <c:v>До 4 беременности</c:v>
                </c:pt>
                <c:pt idx="4">
                  <c:v>Нет</c:v>
                </c:pt>
              </c:strCache>
            </c:strRef>
          </c:cat>
          <c:val>
            <c:numRef>
              <c:f>Лист16!$D$5:$D$9</c:f>
              <c:numCache>
                <c:formatCode>0.0%</c:formatCode>
                <c:ptCount val="5"/>
                <c:pt idx="0">
                  <c:v>0.125</c:v>
                </c:pt>
                <c:pt idx="1">
                  <c:v>0.66700000000000004</c:v>
                </c:pt>
                <c:pt idx="2">
                  <c:v>0.14299999999999999</c:v>
                </c:pt>
                <c:pt idx="3">
                  <c:v>0.5</c:v>
                </c:pt>
                <c:pt idx="4">
                  <c:v>0.14899999999999999</c:v>
                </c:pt>
              </c:numCache>
            </c:numRef>
          </c:val>
          <c:extLst xmlns:c16r2="http://schemas.microsoft.com/office/drawing/2015/06/chart">
            <c:ext xmlns:c16="http://schemas.microsoft.com/office/drawing/2014/chart" uri="{C3380CC4-5D6E-409C-BE32-E72D297353CC}">
              <c16:uniqueId val="{00000001-DBBC-446A-895A-EA4A0616DEDE}"/>
            </c:ext>
          </c:extLst>
        </c:ser>
        <c:ser>
          <c:idx val="2"/>
          <c:order val="2"/>
          <c:tx>
            <c:strRef>
              <c:f>Лист16!$E$4</c:f>
              <c:strCache>
                <c:ptCount val="1"/>
                <c:pt idx="0">
                  <c:v>Все дети живорожденные, с весом от 4,6 кг до 5кг</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Лист16!$B$5:$B$9</c:f>
              <c:strCache>
                <c:ptCount val="5"/>
                <c:pt idx="0">
                  <c:v>До 1 беременности</c:v>
                </c:pt>
                <c:pt idx="1">
                  <c:v>До 2 беременности</c:v>
                </c:pt>
                <c:pt idx="2">
                  <c:v>До 3 беременности</c:v>
                </c:pt>
                <c:pt idx="3">
                  <c:v>До 4 беременности</c:v>
                </c:pt>
                <c:pt idx="4">
                  <c:v>Нет</c:v>
                </c:pt>
              </c:strCache>
            </c:strRef>
          </c:cat>
          <c:val>
            <c:numRef>
              <c:f>Лист16!$E$5:$E$9</c:f>
              <c:numCache>
                <c:formatCode>0.0%</c:formatCode>
                <c:ptCount val="5"/>
                <c:pt idx="0">
                  <c:v>4.2000000000000003E-2</c:v>
                </c:pt>
                <c:pt idx="1">
                  <c:v>0.16700000000000001</c:v>
                </c:pt>
                <c:pt idx="3">
                  <c:v>0.5</c:v>
                </c:pt>
                <c:pt idx="4">
                  <c:v>3.3000000000000002E-2</c:v>
                </c:pt>
              </c:numCache>
            </c:numRef>
          </c:val>
          <c:extLst xmlns:c16r2="http://schemas.microsoft.com/office/drawing/2015/06/chart">
            <c:ext xmlns:c16="http://schemas.microsoft.com/office/drawing/2014/chart" uri="{C3380CC4-5D6E-409C-BE32-E72D297353CC}">
              <c16:uniqueId val="{00000002-DBBC-446A-895A-EA4A0616DEDE}"/>
            </c:ext>
          </c:extLst>
        </c:ser>
        <c:ser>
          <c:idx val="3"/>
          <c:order val="3"/>
          <c:tx>
            <c:strRef>
              <c:f>Лист16!$F$4</c:f>
              <c:strCache>
                <c:ptCount val="1"/>
                <c:pt idx="0">
                  <c:v>Все дети живорожденные, с весом от 5,1 кг</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Лист16!$B$5:$B$9</c:f>
              <c:strCache>
                <c:ptCount val="5"/>
                <c:pt idx="0">
                  <c:v>До 1 беременности</c:v>
                </c:pt>
                <c:pt idx="1">
                  <c:v>До 2 беременности</c:v>
                </c:pt>
                <c:pt idx="2">
                  <c:v>До 3 беременности</c:v>
                </c:pt>
                <c:pt idx="3">
                  <c:v>До 4 беременности</c:v>
                </c:pt>
                <c:pt idx="4">
                  <c:v>Нет</c:v>
                </c:pt>
              </c:strCache>
            </c:strRef>
          </c:cat>
          <c:val>
            <c:numRef>
              <c:f>Лист16!$F$5:$F$9</c:f>
              <c:numCache>
                <c:formatCode>General</c:formatCode>
                <c:ptCount val="5"/>
                <c:pt idx="2" formatCode="0.0%">
                  <c:v>0.14299999999999999</c:v>
                </c:pt>
                <c:pt idx="4" formatCode="0.0%">
                  <c:v>1.7000000000000001E-2</c:v>
                </c:pt>
              </c:numCache>
            </c:numRef>
          </c:val>
          <c:extLst xmlns:c16r2="http://schemas.microsoft.com/office/drawing/2015/06/chart">
            <c:ext xmlns:c16="http://schemas.microsoft.com/office/drawing/2014/chart" uri="{C3380CC4-5D6E-409C-BE32-E72D297353CC}">
              <c16:uniqueId val="{00000003-DBBC-446A-895A-EA4A0616DEDE}"/>
            </c:ext>
          </c:extLst>
        </c:ser>
        <c:ser>
          <c:idx val="4"/>
          <c:order val="4"/>
          <c:tx>
            <c:strRef>
              <c:f>Лист16!$G$4</c:f>
              <c:strCache>
                <c:ptCount val="1"/>
                <c:pt idx="0">
                  <c:v>Не все события были живорожденными </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Лист16!$B$5:$B$9</c:f>
              <c:strCache>
                <c:ptCount val="5"/>
                <c:pt idx="0">
                  <c:v>До 1 беременности</c:v>
                </c:pt>
                <c:pt idx="1">
                  <c:v>До 2 беременности</c:v>
                </c:pt>
                <c:pt idx="2">
                  <c:v>До 3 беременности</c:v>
                </c:pt>
                <c:pt idx="3">
                  <c:v>До 4 беременности</c:v>
                </c:pt>
                <c:pt idx="4">
                  <c:v>Нет</c:v>
                </c:pt>
              </c:strCache>
            </c:strRef>
          </c:cat>
          <c:val>
            <c:numRef>
              <c:f>Лист16!$G$5:$G$9</c:f>
              <c:numCache>
                <c:formatCode>General</c:formatCode>
                <c:ptCount val="5"/>
                <c:pt idx="0" formatCode="0.0%">
                  <c:v>4.2000000000000003E-2</c:v>
                </c:pt>
                <c:pt idx="2" formatCode="0.0%">
                  <c:v>0.28599999999999998</c:v>
                </c:pt>
                <c:pt idx="4" formatCode="0.0%">
                  <c:v>0.23699999999999999</c:v>
                </c:pt>
              </c:numCache>
            </c:numRef>
          </c:val>
          <c:extLst xmlns:c16r2="http://schemas.microsoft.com/office/drawing/2015/06/chart">
            <c:ext xmlns:c16="http://schemas.microsoft.com/office/drawing/2014/chart" uri="{C3380CC4-5D6E-409C-BE32-E72D297353CC}">
              <c16:uniqueId val="{00000004-DBBC-446A-895A-EA4A0616DEDE}"/>
            </c:ext>
          </c:extLst>
        </c:ser>
        <c:dLbls>
          <c:dLblPos val="outEnd"/>
          <c:showLegendKey val="0"/>
          <c:showVal val="1"/>
          <c:showCatName val="0"/>
          <c:showSerName val="0"/>
          <c:showPercent val="0"/>
          <c:showBubbleSize val="0"/>
        </c:dLbls>
        <c:gapWidth val="182"/>
        <c:axId val="260688592"/>
        <c:axId val="260681928"/>
      </c:barChart>
      <c:catAx>
        <c:axId val="2606885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60681928"/>
        <c:crosses val="autoZero"/>
        <c:auto val="1"/>
        <c:lblAlgn val="ctr"/>
        <c:lblOffset val="100"/>
        <c:noMultiLvlLbl val="0"/>
      </c:catAx>
      <c:valAx>
        <c:axId val="26068192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60688592"/>
        <c:crosses val="autoZero"/>
        <c:crossBetween val="between"/>
      </c:valAx>
      <c:spPr>
        <a:noFill/>
        <a:ln>
          <a:noFill/>
        </a:ln>
        <a:effectLst/>
      </c:spPr>
    </c:plotArea>
    <c:legend>
      <c:legendPos val="b"/>
      <c:layout>
        <c:manualLayout>
          <c:xMode val="edge"/>
          <c:yMode val="edge"/>
          <c:x val="2.8227883279295974E-2"/>
          <c:y val="0.83043384282846999"/>
          <c:w val="0.95698943514413637"/>
          <c:h val="0.145469953510713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2.7501118526719909E-2"/>
          <c:w val="1"/>
          <c:h val="0.73896617204074944"/>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689-4583-9518-A743245D4C7A}"/>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689-4583-9518-A743245D4C7A}"/>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689-4583-9518-A743245D4C7A}"/>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689-4583-9518-A743245D4C7A}"/>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689-4583-9518-A743245D4C7A}"/>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A689-4583-9518-A743245D4C7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Лист26!$A$1:$A$6</c:f>
              <c:strCache>
                <c:ptCount val="6"/>
                <c:pt idx="0">
                  <c:v>Во время диспансеризации по АГ</c:v>
                </c:pt>
                <c:pt idx="1">
                  <c:v>Профилактического осмотра</c:v>
                </c:pt>
                <c:pt idx="2">
                  <c:v>Во время обострения простудных заболевании</c:v>
                </c:pt>
                <c:pt idx="3">
                  <c:v>При подготовке к зачатию ребенка</c:v>
                </c:pt>
                <c:pt idx="4">
                  <c:v>После хирургических вмешательств</c:v>
                </c:pt>
                <c:pt idx="5">
                  <c:v>Другое</c:v>
                </c:pt>
              </c:strCache>
            </c:strRef>
          </c:cat>
          <c:val>
            <c:numRef>
              <c:f>Лист26!$B$1:$B$6</c:f>
              <c:numCache>
                <c:formatCode>0.00%</c:formatCode>
                <c:ptCount val="6"/>
                <c:pt idx="0">
                  <c:v>0.1646</c:v>
                </c:pt>
                <c:pt idx="1">
                  <c:v>0.50829999999999997</c:v>
                </c:pt>
                <c:pt idx="2">
                  <c:v>6.25E-2</c:v>
                </c:pt>
                <c:pt idx="3">
                  <c:v>3.1300000000000001E-2</c:v>
                </c:pt>
                <c:pt idx="4">
                  <c:v>5.4199999999999998E-2</c:v>
                </c:pt>
                <c:pt idx="5">
                  <c:v>0.1792</c:v>
                </c:pt>
              </c:numCache>
            </c:numRef>
          </c:val>
          <c:extLst xmlns:c16r2="http://schemas.microsoft.com/office/drawing/2015/06/chart">
            <c:ext xmlns:c16="http://schemas.microsoft.com/office/drawing/2014/chart" uri="{C3380CC4-5D6E-409C-BE32-E72D297353CC}">
              <c16:uniqueId val="{0000000C-A689-4583-9518-A743245D4C7A}"/>
            </c:ext>
          </c:extLst>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8.9815900671990478E-3"/>
          <c:y val="0.81503181538509462"/>
          <c:w val="0.97021648889633494"/>
          <c:h val="0.1612293122113445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8372395215117305E-2"/>
          <c:y val="5.2770448548812667E-2"/>
          <c:w val="0.88835456976954363"/>
          <c:h val="0.60648430579662793"/>
        </c:manualLayout>
      </c:layout>
      <c:bar3DChart>
        <c:barDir val="col"/>
        <c:grouping val="clustered"/>
        <c:varyColors val="0"/>
        <c:ser>
          <c:idx val="0"/>
          <c:order val="0"/>
          <c:tx>
            <c:strRef>
              <c:f>Лист35!$C$7</c:f>
              <c:strCache>
                <c:ptCount val="1"/>
                <c:pt idx="0">
                  <c:v>ответ пациентов</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Лист35!$B$8:$B$11</c:f>
              <c:strCache>
                <c:ptCount val="4"/>
                <c:pt idx="0">
                  <c:v>В РК нет такого анализа/впервые слышу такой вид анализа</c:v>
                </c:pt>
                <c:pt idx="1">
                  <c:v>нет</c:v>
                </c:pt>
                <c:pt idx="2">
                  <c:v>не помню</c:v>
                </c:pt>
                <c:pt idx="3">
                  <c:v>да</c:v>
                </c:pt>
              </c:strCache>
            </c:strRef>
          </c:cat>
          <c:val>
            <c:numRef>
              <c:f>Лист35!$C$8:$C$11</c:f>
              <c:numCache>
                <c:formatCode>0.00%</c:formatCode>
                <c:ptCount val="4"/>
                <c:pt idx="0">
                  <c:v>0.20200000000000001</c:v>
                </c:pt>
                <c:pt idx="1">
                  <c:v>0.41499999999999998</c:v>
                </c:pt>
                <c:pt idx="2">
                  <c:v>0.28299999999999997</c:v>
                </c:pt>
                <c:pt idx="3" formatCode="0%">
                  <c:v>0.1</c:v>
                </c:pt>
              </c:numCache>
            </c:numRef>
          </c:val>
          <c:extLst xmlns:c16r2="http://schemas.microsoft.com/office/drawing/2015/06/chart">
            <c:ext xmlns:c16="http://schemas.microsoft.com/office/drawing/2014/chart" uri="{C3380CC4-5D6E-409C-BE32-E72D297353CC}">
              <c16:uniqueId val="{00000000-C0D7-4823-A44C-2439D463294B}"/>
            </c:ext>
          </c:extLst>
        </c:ser>
        <c:ser>
          <c:idx val="1"/>
          <c:order val="1"/>
          <c:tx>
            <c:strRef>
              <c:f>Лист35!$D$7</c:f>
              <c:strCache>
                <c:ptCount val="1"/>
                <c:pt idx="0">
                  <c:v>ответ врачей эндокринологов</c:v>
                </c:pt>
              </c:strCache>
            </c:strRef>
          </c:tx>
          <c:spPr>
            <a:solidFill>
              <a:schemeClr val="accent2"/>
            </a:solidFill>
            <a:ln>
              <a:noFill/>
            </a:ln>
            <a:effectLst/>
            <a:sp3d/>
          </c:spPr>
          <c:invertIfNegative val="0"/>
          <c:dLbls>
            <c:dLbl>
              <c:idx val="0"/>
              <c:layout>
                <c:manualLayout>
                  <c:x val="2.538876547127895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0D7-4823-A44C-2439D463294B}"/>
                </c:ext>
                <c:ext xmlns:c15="http://schemas.microsoft.com/office/drawing/2012/chart" uri="{CE6537A1-D6FC-4f65-9D91-7224C49458BB}"/>
              </c:extLst>
            </c:dLbl>
            <c:dLbl>
              <c:idx val="1"/>
              <c:layout>
                <c:manualLayout>
                  <c:x val="2.3273035015339047E-2"/>
                  <c:y val="-4.629629629629714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0D7-4823-A44C-2439D463294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Лист35!$B$8:$B$11</c:f>
              <c:strCache>
                <c:ptCount val="4"/>
                <c:pt idx="0">
                  <c:v>В РК нет такого анализа/впервые слышу такой вид анализа</c:v>
                </c:pt>
                <c:pt idx="1">
                  <c:v>нет</c:v>
                </c:pt>
                <c:pt idx="2">
                  <c:v>не помню</c:v>
                </c:pt>
                <c:pt idx="3">
                  <c:v>да</c:v>
                </c:pt>
              </c:strCache>
            </c:strRef>
          </c:cat>
          <c:val>
            <c:numRef>
              <c:f>Лист35!$D$8:$D$11</c:f>
              <c:numCache>
                <c:formatCode>0.00%</c:formatCode>
                <c:ptCount val="4"/>
                <c:pt idx="0">
                  <c:v>0.17100000000000001</c:v>
                </c:pt>
                <c:pt idx="1">
                  <c:v>0.114</c:v>
                </c:pt>
                <c:pt idx="2">
                  <c:v>0.45700000000000002</c:v>
                </c:pt>
                <c:pt idx="3">
                  <c:v>0.25700000000000001</c:v>
                </c:pt>
              </c:numCache>
            </c:numRef>
          </c:val>
          <c:extLst xmlns:c16r2="http://schemas.microsoft.com/office/drawing/2015/06/chart">
            <c:ext xmlns:c16="http://schemas.microsoft.com/office/drawing/2014/chart" uri="{C3380CC4-5D6E-409C-BE32-E72D297353CC}">
              <c16:uniqueId val="{00000003-C0D7-4823-A44C-2439D463294B}"/>
            </c:ext>
          </c:extLst>
        </c:ser>
        <c:dLbls>
          <c:showLegendKey val="0"/>
          <c:showVal val="1"/>
          <c:showCatName val="0"/>
          <c:showSerName val="0"/>
          <c:showPercent val="0"/>
          <c:showBubbleSize val="0"/>
        </c:dLbls>
        <c:gapWidth val="150"/>
        <c:shape val="box"/>
        <c:axId val="260685456"/>
        <c:axId val="260685064"/>
        <c:axId val="0"/>
      </c:bar3DChart>
      <c:catAx>
        <c:axId val="2606854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60685064"/>
        <c:crosses val="autoZero"/>
        <c:auto val="1"/>
        <c:lblAlgn val="ctr"/>
        <c:lblOffset val="100"/>
        <c:noMultiLvlLbl val="0"/>
      </c:catAx>
      <c:valAx>
        <c:axId val="2606850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60685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Лист15!$B$3</c:f>
              <c:strCache>
                <c:ptCount val="1"/>
                <c:pt idx="0">
                  <c:v>Пациенты </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Лист15!$C$2:$G$2</c:f>
              <c:strCache>
                <c:ptCount val="5"/>
                <c:pt idx="0">
                  <c:v>Никем</c:v>
                </c:pt>
                <c:pt idx="1">
                  <c:v>Самостоятельно, опираясь полученным знаниям от Школы диабета</c:v>
                </c:pt>
                <c:pt idx="2">
                  <c:v>Врачом кардиологом</c:v>
                </c:pt>
                <c:pt idx="3">
                  <c:v>Медсестрой эндокринолога</c:v>
                </c:pt>
                <c:pt idx="4">
                  <c:v>другие специалисты</c:v>
                </c:pt>
              </c:strCache>
            </c:strRef>
          </c:cat>
          <c:val>
            <c:numRef>
              <c:f>Лист15!$C$3:$G$3</c:f>
              <c:numCache>
                <c:formatCode>0.0%</c:formatCode>
                <c:ptCount val="5"/>
                <c:pt idx="0">
                  <c:v>0.61699999999999999</c:v>
                </c:pt>
                <c:pt idx="1">
                  <c:v>0.06</c:v>
                </c:pt>
                <c:pt idx="2">
                  <c:v>7.2999999999999995E-2</c:v>
                </c:pt>
                <c:pt idx="3">
                  <c:v>2.7E-2</c:v>
                </c:pt>
                <c:pt idx="4">
                  <c:v>0.223</c:v>
                </c:pt>
              </c:numCache>
            </c:numRef>
          </c:val>
          <c:extLst xmlns:c16r2="http://schemas.microsoft.com/office/drawing/2015/06/chart">
            <c:ext xmlns:c16="http://schemas.microsoft.com/office/drawing/2014/chart" uri="{C3380CC4-5D6E-409C-BE32-E72D297353CC}">
              <c16:uniqueId val="{00000000-59D1-4937-8386-39350A439690}"/>
            </c:ext>
          </c:extLst>
        </c:ser>
        <c:ser>
          <c:idx val="1"/>
          <c:order val="1"/>
          <c:tx>
            <c:strRef>
              <c:f>Лист15!$B$4</c:f>
              <c:strCache>
                <c:ptCount val="1"/>
                <c:pt idx="0">
                  <c:v>Врачи</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Лист15!$C$2:$G$2</c:f>
              <c:strCache>
                <c:ptCount val="5"/>
                <c:pt idx="0">
                  <c:v>Никем</c:v>
                </c:pt>
                <c:pt idx="1">
                  <c:v>Самостоятельно, опираясь полученным знаниям от Школы диабета</c:v>
                </c:pt>
                <c:pt idx="2">
                  <c:v>Врачом кардиологом</c:v>
                </c:pt>
                <c:pt idx="3">
                  <c:v>Медсестрой эндокринолога</c:v>
                </c:pt>
                <c:pt idx="4">
                  <c:v>другие специалисты</c:v>
                </c:pt>
              </c:strCache>
            </c:strRef>
          </c:cat>
          <c:val>
            <c:numRef>
              <c:f>Лист15!$C$4:$G$4</c:f>
              <c:numCache>
                <c:formatCode>0.0%</c:formatCode>
                <c:ptCount val="5"/>
                <c:pt idx="0">
                  <c:v>8.5999999999999993E-2</c:v>
                </c:pt>
                <c:pt idx="1">
                  <c:v>0.4</c:v>
                </c:pt>
                <c:pt idx="2">
                  <c:v>8.5999999999999993E-2</c:v>
                </c:pt>
                <c:pt idx="3">
                  <c:v>0.42899999999999999</c:v>
                </c:pt>
                <c:pt idx="4">
                  <c:v>0</c:v>
                </c:pt>
              </c:numCache>
            </c:numRef>
          </c:val>
          <c:extLst xmlns:c16r2="http://schemas.microsoft.com/office/drawing/2015/06/chart">
            <c:ext xmlns:c16="http://schemas.microsoft.com/office/drawing/2014/chart" uri="{C3380CC4-5D6E-409C-BE32-E72D297353CC}">
              <c16:uniqueId val="{00000001-59D1-4937-8386-39350A439690}"/>
            </c:ext>
          </c:extLst>
        </c:ser>
        <c:dLbls>
          <c:showLegendKey val="0"/>
          <c:showVal val="1"/>
          <c:showCatName val="0"/>
          <c:showSerName val="0"/>
          <c:showPercent val="0"/>
          <c:showBubbleSize val="0"/>
        </c:dLbls>
        <c:gapWidth val="150"/>
        <c:shape val="box"/>
        <c:axId val="260682712"/>
        <c:axId val="260686240"/>
        <c:axId val="0"/>
      </c:bar3DChart>
      <c:catAx>
        <c:axId val="2606827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0686240"/>
        <c:crosses val="autoZero"/>
        <c:auto val="1"/>
        <c:lblAlgn val="ctr"/>
        <c:lblOffset val="100"/>
        <c:noMultiLvlLbl val="0"/>
      </c:catAx>
      <c:valAx>
        <c:axId val="2606862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60682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sz="1000"/>
              <a:t>Наличия предложения о доставке с ГП на дом  ЛС</a:t>
            </a:r>
            <a:r>
              <a:rPr lang="en-US" sz="1000"/>
              <a:t> </a:t>
            </a:r>
            <a:endParaRPr lang="ru-RU" sz="1000"/>
          </a:p>
        </c:rich>
      </c:tx>
      <c:layout>
        <c:manualLayout>
          <c:xMode val="edge"/>
          <c:yMode val="edge"/>
          <c:x val="6.9615069615069622E-2"/>
          <c:y val="0.87086704161979756"/>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ru-RU"/>
        </a:p>
      </c:txPr>
    </c:title>
    <c:autoTitleDeleted val="0"/>
    <c:plotArea>
      <c:layout>
        <c:manualLayout>
          <c:layoutTarget val="inner"/>
          <c:xMode val="edge"/>
          <c:yMode val="edge"/>
          <c:x val="9.4997485687761105E-2"/>
          <c:y val="0.13449931344199026"/>
          <c:w val="0.83987492175355227"/>
          <c:h val="0.54705888589091278"/>
        </c:manualLayout>
      </c:layout>
      <c:barChart>
        <c:barDir val="col"/>
        <c:grouping val="clustered"/>
        <c:varyColors val="0"/>
        <c:ser>
          <c:idx val="0"/>
          <c:order val="0"/>
          <c:tx>
            <c:strRef>
              <c:f>Лист10!$B$3</c:f>
              <c:strCache>
                <c:ptCount val="1"/>
                <c:pt idx="0">
                  <c:v>да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Лист10!$C$2:$G$2</c:f>
              <c:strCache>
                <c:ptCount val="5"/>
                <c:pt idx="0">
                  <c:v>На диетотерапии</c:v>
                </c:pt>
                <c:pt idx="1">
                  <c:v>1 препарат в виде таблетки</c:v>
                </c:pt>
                <c:pt idx="2">
                  <c:v>Комбинация препаратов в виде таблеток</c:v>
                </c:pt>
                <c:pt idx="3">
                  <c:v>Таблетки+ инсулин</c:v>
                </c:pt>
                <c:pt idx="4">
                  <c:v>Инсулины короткого и продленного действия</c:v>
                </c:pt>
              </c:strCache>
            </c:strRef>
          </c:cat>
          <c:val>
            <c:numRef>
              <c:f>Лист10!$C$3:$G$3</c:f>
              <c:numCache>
                <c:formatCode>0.00%</c:formatCode>
                <c:ptCount val="5"/>
                <c:pt idx="0">
                  <c:v>7.5999999999999998E-2</c:v>
                </c:pt>
                <c:pt idx="1">
                  <c:v>0.14699999999999999</c:v>
                </c:pt>
                <c:pt idx="2">
                  <c:v>0.185</c:v>
                </c:pt>
                <c:pt idx="3">
                  <c:v>0.48699999999999999</c:v>
                </c:pt>
                <c:pt idx="4">
                  <c:v>0.105</c:v>
                </c:pt>
              </c:numCache>
            </c:numRef>
          </c:val>
          <c:extLst xmlns:c16r2="http://schemas.microsoft.com/office/drawing/2015/06/chart">
            <c:ext xmlns:c16="http://schemas.microsoft.com/office/drawing/2014/chart" uri="{C3380CC4-5D6E-409C-BE32-E72D297353CC}">
              <c16:uniqueId val="{00000000-26CC-40EF-93B8-AA50C34AE070}"/>
            </c:ext>
          </c:extLst>
        </c:ser>
        <c:ser>
          <c:idx val="1"/>
          <c:order val="1"/>
          <c:tx>
            <c:strRef>
              <c:f>Лист10!$B$4</c:f>
              <c:strCache>
                <c:ptCount val="1"/>
                <c:pt idx="0">
                  <c:v>нет</c:v>
                </c:pt>
              </c:strCache>
            </c:strRef>
          </c:tx>
          <c:spPr>
            <a:solidFill>
              <a:schemeClr val="accent2"/>
            </a:solidFill>
            <a:ln>
              <a:noFill/>
            </a:ln>
            <a:effectLst/>
          </c:spPr>
          <c:invertIfNegative val="0"/>
          <c:dLbls>
            <c:dLbl>
              <c:idx val="1"/>
              <c:layout>
                <c:manualLayout>
                  <c:x val="-2.252252252252256E-2"/>
                  <c:y val="-3.4920231519140554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6CC-40EF-93B8-AA50C34AE07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Лист10!$C$2:$G$2</c:f>
              <c:strCache>
                <c:ptCount val="5"/>
                <c:pt idx="0">
                  <c:v>На диетотерапии</c:v>
                </c:pt>
                <c:pt idx="1">
                  <c:v>1 препарат в виде таблетки</c:v>
                </c:pt>
                <c:pt idx="2">
                  <c:v>Комбинация препаратов в виде таблеток</c:v>
                </c:pt>
                <c:pt idx="3">
                  <c:v>Таблетки+ инсулин</c:v>
                </c:pt>
                <c:pt idx="4">
                  <c:v>Инсулины короткого и продленного действия</c:v>
                </c:pt>
              </c:strCache>
            </c:strRef>
          </c:cat>
          <c:val>
            <c:numRef>
              <c:f>Лист10!$C$4:$G$4</c:f>
              <c:numCache>
                <c:formatCode>0.00%</c:formatCode>
                <c:ptCount val="5"/>
                <c:pt idx="0">
                  <c:v>7.0000000000000001E-3</c:v>
                </c:pt>
                <c:pt idx="1">
                  <c:v>0.35099999999999998</c:v>
                </c:pt>
                <c:pt idx="2">
                  <c:v>0.38100000000000001</c:v>
                </c:pt>
                <c:pt idx="3">
                  <c:v>0.187</c:v>
                </c:pt>
                <c:pt idx="4">
                  <c:v>7.4999999999999997E-2</c:v>
                </c:pt>
              </c:numCache>
            </c:numRef>
          </c:val>
          <c:extLst xmlns:c16r2="http://schemas.microsoft.com/office/drawing/2015/06/chart">
            <c:ext xmlns:c16="http://schemas.microsoft.com/office/drawing/2014/chart" uri="{C3380CC4-5D6E-409C-BE32-E72D297353CC}">
              <c16:uniqueId val="{00000002-26CC-40EF-93B8-AA50C34AE070}"/>
            </c:ext>
          </c:extLst>
        </c:ser>
        <c:ser>
          <c:idx val="2"/>
          <c:order val="2"/>
          <c:tx>
            <c:strRef>
              <c:f>Лист10!$B$5</c:f>
              <c:strCache>
                <c:ptCount val="1"/>
                <c:pt idx="0">
                  <c:v>нет необходимости</c:v>
                </c:pt>
              </c:strCache>
            </c:strRef>
          </c:tx>
          <c:spPr>
            <a:solidFill>
              <a:schemeClr val="accent3"/>
            </a:solidFill>
            <a:ln>
              <a:noFill/>
            </a:ln>
            <a:effectLst/>
          </c:spPr>
          <c:invertIfNegative val="0"/>
          <c:dLbls>
            <c:dLbl>
              <c:idx val="0"/>
              <c:layout>
                <c:manualLayout>
                  <c:x val="2.2522522522522521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6CC-40EF-93B8-AA50C34AE070}"/>
                </c:ext>
                <c:ext xmlns:c15="http://schemas.microsoft.com/office/drawing/2012/chart" uri="{CE6537A1-D6FC-4f65-9D91-7224C49458BB}"/>
              </c:extLst>
            </c:dLbl>
            <c:dLbl>
              <c:idx val="2"/>
              <c:layout>
                <c:manualLayout>
                  <c:x val="2.2522522522522521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6CC-40EF-93B8-AA50C34AE070}"/>
                </c:ext>
                <c:ext xmlns:c15="http://schemas.microsoft.com/office/drawing/2012/chart" uri="{CE6537A1-D6FC-4f65-9D91-7224C49458BB}"/>
              </c:extLst>
            </c:dLbl>
            <c:dLbl>
              <c:idx val="3"/>
              <c:layout>
                <c:manualLayout>
                  <c:x val="2.4570024570024569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6CC-40EF-93B8-AA50C34AE07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Лист10!$C$2:$G$2</c:f>
              <c:strCache>
                <c:ptCount val="5"/>
                <c:pt idx="0">
                  <c:v>На диетотерапии</c:v>
                </c:pt>
                <c:pt idx="1">
                  <c:v>1 препарат в виде таблетки</c:v>
                </c:pt>
                <c:pt idx="2">
                  <c:v>Комбинация препаратов в виде таблеток</c:v>
                </c:pt>
                <c:pt idx="3">
                  <c:v>Таблетки+ инсулин</c:v>
                </c:pt>
                <c:pt idx="4">
                  <c:v>Инсулины короткого и продленного действия</c:v>
                </c:pt>
              </c:strCache>
            </c:strRef>
          </c:cat>
          <c:val>
            <c:numRef>
              <c:f>Лист10!$C$5:$G$5</c:f>
              <c:numCache>
                <c:formatCode>0.00%</c:formatCode>
                <c:ptCount val="5"/>
                <c:pt idx="0">
                  <c:v>1.9E-2</c:v>
                </c:pt>
                <c:pt idx="1">
                  <c:v>0.38</c:v>
                </c:pt>
                <c:pt idx="2">
                  <c:v>0.38</c:v>
                </c:pt>
                <c:pt idx="3">
                  <c:v>0.17599999999999999</c:v>
                </c:pt>
                <c:pt idx="4">
                  <c:v>4.5999999999999999E-2</c:v>
                </c:pt>
              </c:numCache>
            </c:numRef>
          </c:val>
          <c:extLst xmlns:c16r2="http://schemas.microsoft.com/office/drawing/2015/06/chart">
            <c:ext xmlns:c16="http://schemas.microsoft.com/office/drawing/2014/chart" uri="{C3380CC4-5D6E-409C-BE32-E72D297353CC}">
              <c16:uniqueId val="{00000006-26CC-40EF-93B8-AA50C34AE070}"/>
            </c:ext>
          </c:extLst>
        </c:ser>
        <c:dLbls>
          <c:dLblPos val="outEnd"/>
          <c:showLegendKey val="0"/>
          <c:showVal val="1"/>
          <c:showCatName val="0"/>
          <c:showSerName val="0"/>
          <c:showPercent val="0"/>
          <c:showBubbleSize val="0"/>
        </c:dLbls>
        <c:gapWidth val="150"/>
        <c:axId val="260679184"/>
        <c:axId val="260689768"/>
      </c:barChart>
      <c:catAx>
        <c:axId val="26067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60689768"/>
        <c:crosses val="autoZero"/>
        <c:auto val="1"/>
        <c:lblAlgn val="ctr"/>
        <c:lblOffset val="100"/>
        <c:noMultiLvlLbl val="0"/>
      </c:catAx>
      <c:valAx>
        <c:axId val="26068976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60679184"/>
        <c:crosses val="autoZero"/>
        <c:crossBetween val="between"/>
      </c:valAx>
      <c:spPr>
        <a:noFill/>
        <a:ln>
          <a:noFill/>
        </a:ln>
        <a:effectLst/>
      </c:spPr>
    </c:plotArea>
    <c:legend>
      <c:legendPos val="r"/>
      <c:layout>
        <c:manualLayout>
          <c:xMode val="edge"/>
          <c:yMode val="edge"/>
          <c:x val="0.4949158952449535"/>
          <c:y val="0.83580184971593519"/>
          <c:w val="0.40954420466868724"/>
          <c:h val="0.1258753655793025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ysClr val="windowText" lastClr="000000"/>
                </a:solidFill>
                <a:latin typeface="+mn-lt"/>
                <a:ea typeface="+mn-ea"/>
                <a:cs typeface="+mn-cs"/>
              </a:defRPr>
            </a:pPr>
            <a:r>
              <a:rPr lang="ru-RU" sz="1000"/>
              <a:t>Наличия предложения о доставке ЛС с ГП на дом </a:t>
            </a:r>
          </a:p>
        </c:rich>
      </c:tx>
      <c:layout>
        <c:manualLayout>
          <c:xMode val="edge"/>
          <c:yMode val="edge"/>
          <c:x val="7.9921720311276881E-2"/>
          <c:y val="0.90277777777777779"/>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60255905511811"/>
          <c:y val="6.5764071157771928E-2"/>
          <c:w val="0.85341885389326333"/>
          <c:h val="0.5685028433945758"/>
        </c:manualLayout>
      </c:layout>
      <c:bar3DChart>
        <c:barDir val="col"/>
        <c:grouping val="clustered"/>
        <c:varyColors val="0"/>
        <c:ser>
          <c:idx val="0"/>
          <c:order val="0"/>
          <c:tx>
            <c:strRef>
              <c:f>Лист12!$C$2</c:f>
              <c:strCache>
                <c:ptCount val="1"/>
                <c:pt idx="0">
                  <c:v>да</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Лист12!$B$3:$B$5</c:f>
              <c:strCache>
                <c:ptCount val="3"/>
                <c:pt idx="0">
                  <c:v>Не было трудностей</c:v>
                </c:pt>
                <c:pt idx="1">
                  <c:v>Пропустила очередную консультацию, с целью избегания мест скопления людей</c:v>
                </c:pt>
                <c:pt idx="2">
                  <c:v>Дома закончились лекарственные средства во время комендантского часа</c:v>
                </c:pt>
              </c:strCache>
            </c:strRef>
          </c:cat>
          <c:val>
            <c:numRef>
              <c:f>Лист12!$C$3:$C$5</c:f>
              <c:numCache>
                <c:formatCode>0.00%</c:formatCode>
                <c:ptCount val="3"/>
                <c:pt idx="0">
                  <c:v>0.49199999999999999</c:v>
                </c:pt>
                <c:pt idx="1">
                  <c:v>0.51200000000000001</c:v>
                </c:pt>
                <c:pt idx="2">
                  <c:v>0.5</c:v>
                </c:pt>
              </c:numCache>
            </c:numRef>
          </c:val>
          <c:extLst xmlns:c16r2="http://schemas.microsoft.com/office/drawing/2015/06/chart">
            <c:ext xmlns:c16="http://schemas.microsoft.com/office/drawing/2014/chart" uri="{C3380CC4-5D6E-409C-BE32-E72D297353CC}">
              <c16:uniqueId val="{00000000-DD93-4724-8D0A-880025842B2C}"/>
            </c:ext>
          </c:extLst>
        </c:ser>
        <c:ser>
          <c:idx val="1"/>
          <c:order val="1"/>
          <c:tx>
            <c:strRef>
              <c:f>Лист12!$D$2</c:f>
              <c:strCache>
                <c:ptCount val="1"/>
                <c:pt idx="0">
                  <c:v>нет</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Лист12!$B$3:$B$5</c:f>
              <c:strCache>
                <c:ptCount val="3"/>
                <c:pt idx="0">
                  <c:v>Не было трудностей</c:v>
                </c:pt>
                <c:pt idx="1">
                  <c:v>Пропустила очередную консультацию, с целью избегания мест скопления людей</c:v>
                </c:pt>
                <c:pt idx="2">
                  <c:v>Дома закончились лекарственные средства во время комендантского часа</c:v>
                </c:pt>
              </c:strCache>
            </c:strRef>
          </c:cat>
          <c:val>
            <c:numRef>
              <c:f>Лист12!$D$3:$D$5</c:f>
              <c:numCache>
                <c:formatCode>0.00%</c:formatCode>
                <c:ptCount val="3"/>
                <c:pt idx="0">
                  <c:v>0.28199999999999997</c:v>
                </c:pt>
                <c:pt idx="1">
                  <c:v>0.26700000000000002</c:v>
                </c:pt>
                <c:pt idx="2">
                  <c:v>0.27800000000000002</c:v>
                </c:pt>
              </c:numCache>
            </c:numRef>
          </c:val>
          <c:extLst xmlns:c16r2="http://schemas.microsoft.com/office/drawing/2015/06/chart">
            <c:ext xmlns:c16="http://schemas.microsoft.com/office/drawing/2014/chart" uri="{C3380CC4-5D6E-409C-BE32-E72D297353CC}">
              <c16:uniqueId val="{00000001-DD93-4724-8D0A-880025842B2C}"/>
            </c:ext>
          </c:extLst>
        </c:ser>
        <c:ser>
          <c:idx val="2"/>
          <c:order val="2"/>
          <c:tx>
            <c:strRef>
              <c:f>Лист12!$E$2</c:f>
              <c:strCache>
                <c:ptCount val="1"/>
                <c:pt idx="0">
                  <c:v>нет необходимости</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Лист12!$B$3:$B$5</c:f>
              <c:strCache>
                <c:ptCount val="3"/>
                <c:pt idx="0">
                  <c:v>Не было трудностей</c:v>
                </c:pt>
                <c:pt idx="1">
                  <c:v>Пропустила очередную консультацию, с целью избегания мест скопления людей</c:v>
                </c:pt>
                <c:pt idx="2">
                  <c:v>Дома закончились лекарственные средства во время комендантского часа</c:v>
                </c:pt>
              </c:strCache>
            </c:strRef>
          </c:cat>
          <c:val>
            <c:numRef>
              <c:f>Лист12!$E$3:$E$5</c:f>
              <c:numCache>
                <c:formatCode>0.00%</c:formatCode>
                <c:ptCount val="3"/>
                <c:pt idx="0">
                  <c:v>0.22600000000000001</c:v>
                </c:pt>
                <c:pt idx="1">
                  <c:v>0.221</c:v>
                </c:pt>
                <c:pt idx="2">
                  <c:v>0.222</c:v>
                </c:pt>
              </c:numCache>
            </c:numRef>
          </c:val>
          <c:extLst xmlns:c16r2="http://schemas.microsoft.com/office/drawing/2015/06/chart">
            <c:ext xmlns:c16="http://schemas.microsoft.com/office/drawing/2014/chart" uri="{C3380CC4-5D6E-409C-BE32-E72D297353CC}">
              <c16:uniqueId val="{00000002-DD93-4724-8D0A-880025842B2C}"/>
            </c:ext>
          </c:extLst>
        </c:ser>
        <c:dLbls>
          <c:showLegendKey val="0"/>
          <c:showVal val="1"/>
          <c:showCatName val="0"/>
          <c:showSerName val="0"/>
          <c:showPercent val="0"/>
          <c:showBubbleSize val="0"/>
        </c:dLbls>
        <c:gapWidth val="150"/>
        <c:shape val="box"/>
        <c:axId val="260678792"/>
        <c:axId val="260692904"/>
        <c:axId val="0"/>
      </c:bar3DChart>
      <c:catAx>
        <c:axId val="2606787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60692904"/>
        <c:crosses val="autoZero"/>
        <c:auto val="1"/>
        <c:lblAlgn val="ctr"/>
        <c:lblOffset val="100"/>
        <c:noMultiLvlLbl val="0"/>
      </c:catAx>
      <c:valAx>
        <c:axId val="2606929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60678792"/>
        <c:crosses val="autoZero"/>
        <c:crossBetween val="between"/>
      </c:valAx>
      <c:spPr>
        <a:noFill/>
        <a:ln>
          <a:noFill/>
        </a:ln>
        <a:effectLst/>
      </c:spPr>
    </c:plotArea>
    <c:legend>
      <c:legendPos val="b"/>
      <c:layout>
        <c:manualLayout>
          <c:xMode val="edge"/>
          <c:yMode val="edge"/>
          <c:x val="0.61345056867891501"/>
          <c:y val="0.89872630504520268"/>
          <c:w val="0.38420997375328081"/>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60255905511811"/>
          <c:y val="5.0925925925925923E-2"/>
          <c:w val="0.85341885389326333"/>
          <c:h val="0.60556138815981342"/>
        </c:manualLayout>
      </c:layout>
      <c:bar3DChart>
        <c:barDir val="col"/>
        <c:grouping val="clustered"/>
        <c:varyColors val="0"/>
        <c:ser>
          <c:idx val="0"/>
          <c:order val="0"/>
          <c:tx>
            <c:strRef>
              <c:f>Лист32!$B$3</c:f>
              <c:strCache>
                <c:ptCount val="1"/>
                <c:pt idx="0">
                  <c:v>Веду дневник самоконтроля, показываю врачу для коррекции лечения</c:v>
                </c:pt>
              </c:strCache>
            </c:strRef>
          </c:tx>
          <c:spPr>
            <a:solidFill>
              <a:schemeClr val="accent1"/>
            </a:solidFill>
            <a:ln>
              <a:noFill/>
            </a:ln>
            <a:effectLst/>
            <a:sp3d/>
          </c:spPr>
          <c:invertIfNegative val="0"/>
          <c:dLbls>
            <c:dLbl>
              <c:idx val="1"/>
              <c:layout>
                <c:manualLayout>
                  <c:x val="-2.2222222222222223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368-4A4A-8CEE-6F4F4AC40B2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Лист32!$C$2:$E$2</c:f>
              <c:strCache>
                <c:ptCount val="3"/>
                <c:pt idx="0">
                  <c:v>18-45 лет</c:v>
                </c:pt>
                <c:pt idx="1">
                  <c:v>46-60 лет</c:v>
                </c:pt>
                <c:pt idx="2">
                  <c:v>старше 60 лет</c:v>
                </c:pt>
              </c:strCache>
            </c:strRef>
          </c:cat>
          <c:val>
            <c:numRef>
              <c:f>Лист32!$C$3:$E$3</c:f>
              <c:numCache>
                <c:formatCode>0.00%</c:formatCode>
                <c:ptCount val="3"/>
                <c:pt idx="0">
                  <c:v>0.35460000000000003</c:v>
                </c:pt>
                <c:pt idx="1">
                  <c:v>0.29970000000000002</c:v>
                </c:pt>
                <c:pt idx="2">
                  <c:v>0.28849999999999998</c:v>
                </c:pt>
              </c:numCache>
            </c:numRef>
          </c:val>
          <c:extLst xmlns:c16r2="http://schemas.microsoft.com/office/drawing/2015/06/chart">
            <c:ext xmlns:c16="http://schemas.microsoft.com/office/drawing/2014/chart" uri="{C3380CC4-5D6E-409C-BE32-E72D297353CC}">
              <c16:uniqueId val="{00000001-B368-4A4A-8CEE-6F4F4AC40B29}"/>
            </c:ext>
          </c:extLst>
        </c:ser>
        <c:ser>
          <c:idx val="1"/>
          <c:order val="1"/>
          <c:tx>
            <c:strRef>
              <c:f>Лист32!$B$4</c:f>
              <c:strCache>
                <c:ptCount val="1"/>
                <c:pt idx="0">
                  <c:v>Не веду дневник, по самочувствии прошу коррекции</c:v>
                </c:pt>
              </c:strCache>
            </c:strRef>
          </c:tx>
          <c:spPr>
            <a:solidFill>
              <a:schemeClr val="accent2"/>
            </a:solidFill>
            <a:ln>
              <a:noFill/>
            </a:ln>
            <a:effectLst/>
            <a:sp3d/>
          </c:spPr>
          <c:invertIfNegative val="0"/>
          <c:dLbls>
            <c:dLbl>
              <c:idx val="1"/>
              <c:layout>
                <c:manualLayout>
                  <c:x val="1.9444444444444445E-2"/>
                  <c:y val="-2.1218890680033321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368-4A4A-8CEE-6F4F4AC40B2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Лист32!$C$2:$E$2</c:f>
              <c:strCache>
                <c:ptCount val="3"/>
                <c:pt idx="0">
                  <c:v>18-45 лет</c:v>
                </c:pt>
                <c:pt idx="1">
                  <c:v>46-60 лет</c:v>
                </c:pt>
                <c:pt idx="2">
                  <c:v>старше 60 лет</c:v>
                </c:pt>
              </c:strCache>
            </c:strRef>
          </c:cat>
          <c:val>
            <c:numRef>
              <c:f>Лист32!$C$4:$E$4</c:f>
              <c:numCache>
                <c:formatCode>0.00%</c:formatCode>
                <c:ptCount val="3"/>
                <c:pt idx="0">
                  <c:v>0.23400000000000001</c:v>
                </c:pt>
                <c:pt idx="1">
                  <c:v>0.29620000000000002</c:v>
                </c:pt>
                <c:pt idx="2">
                  <c:v>0.34620000000000001</c:v>
                </c:pt>
              </c:numCache>
            </c:numRef>
          </c:val>
          <c:extLst xmlns:c16r2="http://schemas.microsoft.com/office/drawing/2015/06/chart">
            <c:ext xmlns:c16="http://schemas.microsoft.com/office/drawing/2014/chart" uri="{C3380CC4-5D6E-409C-BE32-E72D297353CC}">
              <c16:uniqueId val="{00000003-B368-4A4A-8CEE-6F4F4AC40B29}"/>
            </c:ext>
          </c:extLst>
        </c:ser>
        <c:ser>
          <c:idx val="2"/>
          <c:order val="2"/>
          <c:tx>
            <c:strRef>
              <c:f>Лист32!$B$5</c:f>
              <c:strCache>
                <c:ptCount val="1"/>
                <c:pt idx="0">
                  <c:v>Получаю лекарства, не удобно задавать лишние вопросы</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Лист32!$C$2:$E$2</c:f>
              <c:strCache>
                <c:ptCount val="3"/>
                <c:pt idx="0">
                  <c:v>18-45 лет</c:v>
                </c:pt>
                <c:pt idx="1">
                  <c:v>46-60 лет</c:v>
                </c:pt>
                <c:pt idx="2">
                  <c:v>старше 60 лет</c:v>
                </c:pt>
              </c:strCache>
            </c:strRef>
          </c:cat>
          <c:val>
            <c:numRef>
              <c:f>Лист32!$C$5:$E$5</c:f>
              <c:numCache>
                <c:formatCode>0.00%</c:formatCode>
                <c:ptCount val="3"/>
                <c:pt idx="0">
                  <c:v>0.1348</c:v>
                </c:pt>
                <c:pt idx="1">
                  <c:v>0.122</c:v>
                </c:pt>
                <c:pt idx="2">
                  <c:v>9.6199999999999994E-2</c:v>
                </c:pt>
              </c:numCache>
            </c:numRef>
          </c:val>
          <c:extLst xmlns:c16r2="http://schemas.microsoft.com/office/drawing/2015/06/chart">
            <c:ext xmlns:c16="http://schemas.microsoft.com/office/drawing/2014/chart" uri="{C3380CC4-5D6E-409C-BE32-E72D297353CC}">
              <c16:uniqueId val="{00000004-B368-4A4A-8CEE-6F4F4AC40B29}"/>
            </c:ext>
          </c:extLst>
        </c:ser>
        <c:ser>
          <c:idx val="3"/>
          <c:order val="3"/>
          <c:tx>
            <c:strRef>
              <c:f>Лист32!$B$6</c:f>
              <c:strCache>
                <c:ptCount val="1"/>
                <c:pt idx="0">
                  <c:v>Получаю лекарства, нет необходимости отвлекать врача</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Лист32!$C$2:$E$2</c:f>
              <c:strCache>
                <c:ptCount val="3"/>
                <c:pt idx="0">
                  <c:v>18-45 лет</c:v>
                </c:pt>
                <c:pt idx="1">
                  <c:v>46-60 лет</c:v>
                </c:pt>
                <c:pt idx="2">
                  <c:v>старше 60 лет</c:v>
                </c:pt>
              </c:strCache>
            </c:strRef>
          </c:cat>
          <c:val>
            <c:numRef>
              <c:f>Лист32!$C$6:$E$6</c:f>
              <c:numCache>
                <c:formatCode>0.00%</c:formatCode>
                <c:ptCount val="3"/>
                <c:pt idx="0">
                  <c:v>0.27660000000000001</c:v>
                </c:pt>
                <c:pt idx="1">
                  <c:v>0.28220000000000001</c:v>
                </c:pt>
                <c:pt idx="2">
                  <c:v>0.26919999999999999</c:v>
                </c:pt>
              </c:numCache>
            </c:numRef>
          </c:val>
          <c:extLst xmlns:c16r2="http://schemas.microsoft.com/office/drawing/2015/06/chart">
            <c:ext xmlns:c16="http://schemas.microsoft.com/office/drawing/2014/chart" uri="{C3380CC4-5D6E-409C-BE32-E72D297353CC}">
              <c16:uniqueId val="{00000005-B368-4A4A-8CEE-6F4F4AC40B29}"/>
            </c:ext>
          </c:extLst>
        </c:ser>
        <c:dLbls>
          <c:showLegendKey val="0"/>
          <c:showVal val="1"/>
          <c:showCatName val="0"/>
          <c:showSerName val="0"/>
          <c:showPercent val="0"/>
          <c:showBubbleSize val="0"/>
        </c:dLbls>
        <c:gapWidth val="150"/>
        <c:shape val="box"/>
        <c:axId val="260692512"/>
        <c:axId val="260694080"/>
        <c:axId val="0"/>
      </c:bar3DChart>
      <c:catAx>
        <c:axId val="2606925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60694080"/>
        <c:crosses val="autoZero"/>
        <c:auto val="1"/>
        <c:lblAlgn val="ctr"/>
        <c:lblOffset val="100"/>
        <c:noMultiLvlLbl val="0"/>
      </c:catAx>
      <c:valAx>
        <c:axId val="2606940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260692512"/>
        <c:crosses val="autoZero"/>
        <c:crossBetween val="between"/>
      </c:valAx>
      <c:spPr>
        <a:noFill/>
        <a:ln>
          <a:noFill/>
        </a:ln>
        <a:effectLst/>
      </c:spPr>
    </c:plotArea>
    <c:legend>
      <c:legendPos val="b"/>
      <c:layout>
        <c:manualLayout>
          <c:xMode val="edge"/>
          <c:yMode val="edge"/>
          <c:x val="2.0108923884514438E-2"/>
          <c:y val="0.74536818314377373"/>
          <c:w val="0.95144881889763799"/>
          <c:h val="0.2268540390784485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bg1"/>
      </a:solidFill>
      <a:round/>
    </a:ln>
    <a:effectLst/>
  </c:spPr>
  <c:txPr>
    <a:bodyPr/>
    <a:lstStyle/>
    <a:p>
      <a:pPr>
        <a:defRPr>
          <a:solidFill>
            <a:sysClr val="windowText" lastClr="000000"/>
          </a:solidFill>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3606489234094605E-2"/>
          <c:y val="4.5977011494252873E-2"/>
          <c:w val="0.94639351076590539"/>
          <c:h val="0.62521409823772034"/>
        </c:manualLayout>
      </c:layout>
      <c:bar3DChart>
        <c:barDir val="col"/>
        <c:grouping val="clustered"/>
        <c:varyColors val="0"/>
        <c:ser>
          <c:idx val="0"/>
          <c:order val="0"/>
          <c:tx>
            <c:strRef>
              <c:f>Лист2!$D$2</c:f>
              <c:strCache>
                <c:ptCount val="1"/>
                <c:pt idx="0">
                  <c:v>2012г </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Лист2!$C$3:$C$10</c:f>
              <c:strCache>
                <c:ptCount val="8"/>
                <c:pt idx="0">
                  <c:v>Жетысуский</c:v>
                </c:pt>
                <c:pt idx="1">
                  <c:v>Алатауский</c:v>
                </c:pt>
                <c:pt idx="2">
                  <c:v>Турксибский</c:v>
                </c:pt>
                <c:pt idx="3">
                  <c:v>Ауэзовский</c:v>
                </c:pt>
                <c:pt idx="4">
                  <c:v>Медеуский</c:v>
                </c:pt>
                <c:pt idx="5">
                  <c:v>Наурызбайский*</c:v>
                </c:pt>
                <c:pt idx="6">
                  <c:v>Бостандыкский</c:v>
                </c:pt>
                <c:pt idx="7">
                  <c:v>Алмалинский</c:v>
                </c:pt>
              </c:strCache>
            </c:strRef>
          </c:cat>
          <c:val>
            <c:numRef>
              <c:f>Лист2!$D$3:$D$10</c:f>
              <c:numCache>
                <c:formatCode>General</c:formatCode>
                <c:ptCount val="8"/>
                <c:pt idx="0">
                  <c:v>13.62</c:v>
                </c:pt>
                <c:pt idx="1">
                  <c:v>19.02</c:v>
                </c:pt>
                <c:pt idx="2">
                  <c:v>16.97</c:v>
                </c:pt>
                <c:pt idx="3">
                  <c:v>20.64</c:v>
                </c:pt>
                <c:pt idx="4">
                  <c:v>16.899999999999999</c:v>
                </c:pt>
                <c:pt idx="5">
                  <c:v>10.79</c:v>
                </c:pt>
                <c:pt idx="6">
                  <c:v>13.74</c:v>
                </c:pt>
                <c:pt idx="7">
                  <c:v>16.079999999999998</c:v>
                </c:pt>
              </c:numCache>
            </c:numRef>
          </c:val>
          <c:extLst xmlns:c16r2="http://schemas.microsoft.com/office/drawing/2015/06/chart">
            <c:ext xmlns:c16="http://schemas.microsoft.com/office/drawing/2014/chart" uri="{C3380CC4-5D6E-409C-BE32-E72D297353CC}">
              <c16:uniqueId val="{00000000-1FB5-4C6F-AC43-6E2BD0D812E8}"/>
            </c:ext>
          </c:extLst>
        </c:ser>
        <c:ser>
          <c:idx val="1"/>
          <c:order val="1"/>
          <c:tx>
            <c:strRef>
              <c:f>Лист2!$E$2</c:f>
              <c:strCache>
                <c:ptCount val="1"/>
                <c:pt idx="0">
                  <c:v>2021г</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Лист2!$C$3:$C$10</c:f>
              <c:strCache>
                <c:ptCount val="8"/>
                <c:pt idx="0">
                  <c:v>Жетысуский</c:v>
                </c:pt>
                <c:pt idx="1">
                  <c:v>Алатауский</c:v>
                </c:pt>
                <c:pt idx="2">
                  <c:v>Турксибский</c:v>
                </c:pt>
                <c:pt idx="3">
                  <c:v>Ауэзовский</c:v>
                </c:pt>
                <c:pt idx="4">
                  <c:v>Медеуский</c:v>
                </c:pt>
                <c:pt idx="5">
                  <c:v>Наурызбайский*</c:v>
                </c:pt>
                <c:pt idx="6">
                  <c:v>Бостандыкский</c:v>
                </c:pt>
                <c:pt idx="7">
                  <c:v>Алмалинский</c:v>
                </c:pt>
              </c:strCache>
            </c:strRef>
          </c:cat>
          <c:val>
            <c:numRef>
              <c:f>Лист2!$E$3:$E$10</c:f>
              <c:numCache>
                <c:formatCode>General</c:formatCode>
                <c:ptCount val="8"/>
                <c:pt idx="0">
                  <c:v>29.16</c:v>
                </c:pt>
                <c:pt idx="1">
                  <c:v>26.56</c:v>
                </c:pt>
                <c:pt idx="2">
                  <c:v>24.16</c:v>
                </c:pt>
                <c:pt idx="3">
                  <c:v>24.13</c:v>
                </c:pt>
                <c:pt idx="4">
                  <c:v>21.86</c:v>
                </c:pt>
                <c:pt idx="5">
                  <c:v>21.68</c:v>
                </c:pt>
                <c:pt idx="6">
                  <c:v>19.829999999999998</c:v>
                </c:pt>
                <c:pt idx="7">
                  <c:v>19.71</c:v>
                </c:pt>
              </c:numCache>
            </c:numRef>
          </c:val>
          <c:extLst xmlns:c16r2="http://schemas.microsoft.com/office/drawing/2015/06/chart">
            <c:ext xmlns:c16="http://schemas.microsoft.com/office/drawing/2014/chart" uri="{C3380CC4-5D6E-409C-BE32-E72D297353CC}">
              <c16:uniqueId val="{00000001-1FB5-4C6F-AC43-6E2BD0D812E8}"/>
            </c:ext>
          </c:extLst>
        </c:ser>
        <c:dLbls>
          <c:showLegendKey val="0"/>
          <c:showVal val="1"/>
          <c:showCatName val="0"/>
          <c:showSerName val="0"/>
          <c:showPercent val="0"/>
          <c:showBubbleSize val="0"/>
        </c:dLbls>
        <c:gapWidth val="150"/>
        <c:shape val="box"/>
        <c:axId val="482766016"/>
        <c:axId val="482768760"/>
        <c:axId val="0"/>
      </c:bar3DChart>
      <c:catAx>
        <c:axId val="48276601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районы </a:t>
                </a:r>
              </a:p>
            </c:rich>
          </c:tx>
          <c:layout>
            <c:manualLayout>
              <c:xMode val="edge"/>
              <c:yMode val="edge"/>
              <c:x val="0.43225203184443572"/>
              <c:y val="0.8503872948084879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2768760"/>
        <c:crosses val="autoZero"/>
        <c:auto val="1"/>
        <c:lblAlgn val="ctr"/>
        <c:lblOffset val="100"/>
        <c:noMultiLvlLbl val="0"/>
      </c:catAx>
      <c:valAx>
        <c:axId val="4827687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коэф, из расчета на 1000 чел</a:t>
                </a:r>
              </a:p>
            </c:rich>
          </c:tx>
          <c:layout>
            <c:manualLayout>
              <c:xMode val="edge"/>
              <c:yMode val="edge"/>
              <c:x val="1.6666627078854961E-2"/>
              <c:y val="7.7039633368712918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2766016"/>
        <c:crosses val="autoZero"/>
        <c:crossBetween val="between"/>
      </c:valAx>
      <c:spPr>
        <a:noFill/>
        <a:ln>
          <a:noFill/>
        </a:ln>
        <a:effectLst/>
      </c:spPr>
    </c:plotArea>
    <c:legend>
      <c:legendPos val="b"/>
      <c:layout>
        <c:manualLayout>
          <c:xMode val="edge"/>
          <c:yMode val="edge"/>
          <c:x val="0.15179835552230178"/>
          <c:y val="0.89665376573691002"/>
          <c:w val="0.15341670526478307"/>
          <c:h val="7.170781618399395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ln>
              <a:noFill/>
            </a:ln>
          </c:spPr>
          <c:dPt>
            <c:idx val="0"/>
            <c:bubble3D val="0"/>
            <c:spPr>
              <a:solidFill>
                <a:schemeClr val="accent1"/>
              </a:solidFill>
              <a:ln w="25400">
                <a:noFill/>
              </a:ln>
              <a:effectLst/>
              <a:sp3d/>
            </c:spPr>
            <c:extLst xmlns:c16r2="http://schemas.microsoft.com/office/drawing/2015/06/chart">
              <c:ext xmlns:c16="http://schemas.microsoft.com/office/drawing/2014/chart" uri="{C3380CC4-5D6E-409C-BE32-E72D297353CC}">
                <c16:uniqueId val="{00000001-6F15-484F-8F32-1E0F870CC4D7}"/>
              </c:ext>
            </c:extLst>
          </c:dPt>
          <c:dPt>
            <c:idx val="1"/>
            <c:bubble3D val="0"/>
            <c:spPr>
              <a:solidFill>
                <a:schemeClr val="accent2"/>
              </a:solidFill>
              <a:ln w="25400">
                <a:noFill/>
              </a:ln>
              <a:effectLst/>
              <a:sp3d/>
            </c:spPr>
            <c:extLst xmlns:c16r2="http://schemas.microsoft.com/office/drawing/2015/06/chart">
              <c:ext xmlns:c16="http://schemas.microsoft.com/office/drawing/2014/chart" uri="{C3380CC4-5D6E-409C-BE32-E72D297353CC}">
                <c16:uniqueId val="{00000003-6F15-484F-8F32-1E0F870CC4D7}"/>
              </c:ext>
            </c:extLst>
          </c:dPt>
          <c:dPt>
            <c:idx val="2"/>
            <c:bubble3D val="0"/>
            <c:spPr>
              <a:solidFill>
                <a:schemeClr val="accent3"/>
              </a:solidFill>
              <a:ln w="25400">
                <a:noFill/>
              </a:ln>
              <a:effectLst/>
              <a:sp3d/>
            </c:spPr>
            <c:extLst xmlns:c16r2="http://schemas.microsoft.com/office/drawing/2015/06/chart">
              <c:ext xmlns:c16="http://schemas.microsoft.com/office/drawing/2014/chart" uri="{C3380CC4-5D6E-409C-BE32-E72D297353CC}">
                <c16:uniqueId val="{00000005-6F15-484F-8F32-1E0F870CC4D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Лист36!$A$4:$A$6</c:f>
              <c:strCache>
                <c:ptCount val="3"/>
                <c:pt idx="0">
                  <c:v>Да</c:v>
                </c:pt>
                <c:pt idx="1">
                  <c:v>Нет</c:v>
                </c:pt>
                <c:pt idx="2">
                  <c:v>Иногда</c:v>
                </c:pt>
              </c:strCache>
            </c:strRef>
          </c:cat>
          <c:val>
            <c:numRef>
              <c:f>Лист36!$F$4:$F$6</c:f>
              <c:numCache>
                <c:formatCode>0.00%</c:formatCode>
                <c:ptCount val="3"/>
                <c:pt idx="0">
                  <c:v>0.53959999999999997</c:v>
                </c:pt>
                <c:pt idx="1">
                  <c:v>0.2354</c:v>
                </c:pt>
                <c:pt idx="2">
                  <c:v>0.22500000000000001</c:v>
                </c:pt>
              </c:numCache>
            </c:numRef>
          </c:val>
          <c:extLst xmlns:c16r2="http://schemas.microsoft.com/office/drawing/2015/06/chart">
            <c:ext xmlns:c16="http://schemas.microsoft.com/office/drawing/2014/chart" uri="{C3380CC4-5D6E-409C-BE32-E72D297353CC}">
              <c16:uniqueId val="{00000006-6F15-484F-8F32-1E0F870CC4D7}"/>
            </c:ext>
          </c:extLst>
        </c:ser>
        <c:ser>
          <c:idx val="1"/>
          <c:order val="1"/>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8-6F15-484F-8F32-1E0F870CC4D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A-6F15-484F-8F32-1E0F870CC4D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C-6F15-484F-8F32-1E0F870CC4D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Лист36!$A$4:$A$6</c:f>
              <c:strCache>
                <c:ptCount val="3"/>
                <c:pt idx="0">
                  <c:v>Да</c:v>
                </c:pt>
                <c:pt idx="1">
                  <c:v>Нет</c:v>
                </c:pt>
                <c:pt idx="2">
                  <c:v>Иногда</c:v>
                </c:pt>
              </c:strCache>
            </c:strRef>
          </c:cat>
          <c:val>
            <c:numRef>
              <c:f>Лист36!$G$4:$G$6</c:f>
              <c:numCache>
                <c:formatCode>General</c:formatCode>
                <c:ptCount val="3"/>
              </c:numCache>
            </c:numRef>
          </c:val>
          <c:extLst xmlns:c16r2="http://schemas.microsoft.com/office/drawing/2015/06/chart">
            <c:ext xmlns:c16="http://schemas.microsoft.com/office/drawing/2014/chart" uri="{C3380CC4-5D6E-409C-BE32-E72D297353CC}">
              <c16:uniqueId val="{0000000D-6F15-484F-8F32-1E0F870CC4D7}"/>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8.7709609215514725E-2"/>
          <c:w val="1"/>
          <c:h val="0.5520086030912803"/>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5CAE-4ACB-A477-844F7A4CC9AF}"/>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5CAE-4ACB-A477-844F7A4CC9AF}"/>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5CAE-4ACB-A477-844F7A4CC9AF}"/>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5CAE-4ACB-A477-844F7A4CC9AF}"/>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5CAE-4ACB-A477-844F7A4CC9A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Лист36!$A$9:$A$13</c:f>
              <c:strCache>
                <c:ptCount val="5"/>
                <c:pt idx="0">
                  <c:v>Заранее учитывая обстоятельства посещаю прием врача</c:v>
                </c:pt>
                <c:pt idx="1">
                  <c:v>Звоню врачу</c:v>
                </c:pt>
                <c:pt idx="2">
                  <c:v>Звоню медсестре</c:v>
                </c:pt>
                <c:pt idx="3">
                  <c:v>ШД научила самоконтролю глюкозы на все случаи</c:v>
                </c:pt>
                <c:pt idx="4">
                  <c:v>ШД научила самоконтролю глюкозы, кроме осложнения</c:v>
                </c:pt>
              </c:strCache>
            </c:strRef>
          </c:cat>
          <c:val>
            <c:numRef>
              <c:f>Лист36!$F$9:$F$13</c:f>
              <c:numCache>
                <c:formatCode>0.00%</c:formatCode>
                <c:ptCount val="5"/>
                <c:pt idx="0">
                  <c:v>0.36459999999999998</c:v>
                </c:pt>
                <c:pt idx="1">
                  <c:v>0.18959999999999999</c:v>
                </c:pt>
                <c:pt idx="2">
                  <c:v>0.2792</c:v>
                </c:pt>
                <c:pt idx="3">
                  <c:v>8.3299999999999999E-2</c:v>
                </c:pt>
                <c:pt idx="4">
                  <c:v>8.3299999999999999E-2</c:v>
                </c:pt>
              </c:numCache>
            </c:numRef>
          </c:val>
          <c:extLst xmlns:c16r2="http://schemas.microsoft.com/office/drawing/2015/06/chart">
            <c:ext xmlns:c16="http://schemas.microsoft.com/office/drawing/2014/chart" uri="{C3380CC4-5D6E-409C-BE32-E72D297353CC}">
              <c16:uniqueId val="{0000000A-5CAE-4ACB-A477-844F7A4CC9AF}"/>
            </c:ext>
          </c:extLst>
        </c:ser>
        <c:ser>
          <c:idx val="1"/>
          <c:order val="1"/>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C-5CAE-4ACB-A477-844F7A4CC9AF}"/>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E-5CAE-4ACB-A477-844F7A4CC9AF}"/>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0-5CAE-4ACB-A477-844F7A4CC9AF}"/>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2-5CAE-4ACB-A477-844F7A4CC9AF}"/>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4-5CAE-4ACB-A477-844F7A4CC9A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Лист36!$A$9:$A$13</c:f>
              <c:strCache>
                <c:ptCount val="5"/>
                <c:pt idx="0">
                  <c:v>Заранее учитывая обстоятельства посещаю прием врача</c:v>
                </c:pt>
                <c:pt idx="1">
                  <c:v>Звоню врачу</c:v>
                </c:pt>
                <c:pt idx="2">
                  <c:v>Звоню медсестре</c:v>
                </c:pt>
                <c:pt idx="3">
                  <c:v>ШД научила самоконтролю глюкозы на все случаи</c:v>
                </c:pt>
                <c:pt idx="4">
                  <c:v>ШД научила самоконтролю глюкозы, кроме осложнения</c:v>
                </c:pt>
              </c:strCache>
            </c:strRef>
          </c:cat>
          <c:val>
            <c:numRef>
              <c:f>Лист36!$G$9:$G$13</c:f>
              <c:numCache>
                <c:formatCode>General</c:formatCode>
                <c:ptCount val="5"/>
              </c:numCache>
            </c:numRef>
          </c:val>
          <c:extLst xmlns:c16r2="http://schemas.microsoft.com/office/drawing/2015/06/chart">
            <c:ext xmlns:c16="http://schemas.microsoft.com/office/drawing/2014/chart" uri="{C3380CC4-5D6E-409C-BE32-E72D297353CC}">
              <c16:uniqueId val="{00000015-5CAE-4ACB-A477-844F7A4CC9AF}"/>
            </c:ext>
          </c:extLst>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1.6303368328958869E-2"/>
          <c:y val="0.66724263633712455"/>
          <c:w val="0.96461548556430443"/>
          <c:h val="0.3049795858850977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83333333333333E-2"/>
          <c:y val="9.2592228054826475E-2"/>
          <c:w val="0.95416666666666672"/>
          <c:h val="0.62499854184893555"/>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569C-4779-A3C8-3BA0AFA95FE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569C-4779-A3C8-3BA0AFA95FE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569C-4779-A3C8-3BA0AFA95FE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569C-4779-A3C8-3BA0AFA95FE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Лист36!$A$21:$A$24</c:f>
              <c:strCache>
                <c:ptCount val="4"/>
                <c:pt idx="0">
                  <c:v>Не было ухудшения</c:v>
                </c:pt>
                <c:pt idx="1">
                  <c:v>Обострение сопутствующих заболеваний</c:v>
                </c:pt>
                <c:pt idx="2">
                  <c:v>Нарушение диеты, не доступны необходимые продукты</c:v>
                </c:pt>
                <c:pt idx="3">
                  <c:v>Снижение физической активности</c:v>
                </c:pt>
              </c:strCache>
            </c:strRef>
          </c:cat>
          <c:val>
            <c:numRef>
              <c:f>Лист36!$F$21:$F$24</c:f>
              <c:numCache>
                <c:formatCode>0.00%</c:formatCode>
                <c:ptCount val="4"/>
                <c:pt idx="0">
                  <c:v>0.50629999999999997</c:v>
                </c:pt>
                <c:pt idx="1">
                  <c:v>0.12920000000000001</c:v>
                </c:pt>
                <c:pt idx="2">
                  <c:v>0.125</c:v>
                </c:pt>
                <c:pt idx="3">
                  <c:v>0.23960000000000001</c:v>
                </c:pt>
              </c:numCache>
            </c:numRef>
          </c:val>
          <c:extLst xmlns:c16r2="http://schemas.microsoft.com/office/drawing/2015/06/chart">
            <c:ext xmlns:c16="http://schemas.microsoft.com/office/drawing/2014/chart" uri="{C3380CC4-5D6E-409C-BE32-E72D297353CC}">
              <c16:uniqueId val="{00000008-569C-4779-A3C8-3BA0AFA95FE7}"/>
            </c:ext>
          </c:extLst>
        </c:ser>
        <c:ser>
          <c:idx val="1"/>
          <c:order val="1"/>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A-569C-4779-A3C8-3BA0AFA95FE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C-569C-4779-A3C8-3BA0AFA95FE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E-569C-4779-A3C8-3BA0AFA95FE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0-569C-4779-A3C8-3BA0AFA95FE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Лист36!$A$21:$A$24</c:f>
              <c:strCache>
                <c:ptCount val="4"/>
                <c:pt idx="0">
                  <c:v>Не было ухудшения</c:v>
                </c:pt>
                <c:pt idx="1">
                  <c:v>Обострение сопутствующих заболеваний</c:v>
                </c:pt>
                <c:pt idx="2">
                  <c:v>Нарушение диеты, не доступны необходимые продукты</c:v>
                </c:pt>
                <c:pt idx="3">
                  <c:v>Снижение физической активности</c:v>
                </c:pt>
              </c:strCache>
            </c:strRef>
          </c:cat>
          <c:val>
            <c:numRef>
              <c:f>Лист36!$G$21:$G$24</c:f>
              <c:numCache>
                <c:formatCode>General</c:formatCode>
                <c:ptCount val="4"/>
              </c:numCache>
            </c:numRef>
          </c:val>
          <c:extLst xmlns:c16r2="http://schemas.microsoft.com/office/drawing/2015/06/chart">
            <c:ext xmlns:c16="http://schemas.microsoft.com/office/drawing/2014/chart" uri="{C3380CC4-5D6E-409C-BE32-E72D297353CC}">
              <c16:uniqueId val="{00000011-569C-4779-A3C8-3BA0AFA95FE7}"/>
            </c:ext>
          </c:extLst>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3.4970034995625537E-2"/>
          <c:y val="0.72684966462525513"/>
          <c:w val="0.94672659667541559"/>
          <c:h val="0.2453725575969669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0705084146258137E-2"/>
          <c:y val="4.8943270300333706E-2"/>
          <c:w val="0.91422363169381771"/>
          <c:h val="0.6040249816418376"/>
        </c:manualLayout>
      </c:layout>
      <c:bar3DChart>
        <c:barDir val="col"/>
        <c:grouping val="clustered"/>
        <c:varyColors val="0"/>
        <c:ser>
          <c:idx val="0"/>
          <c:order val="0"/>
          <c:tx>
            <c:strRef>
              <c:f>Лист3!$F$5</c:f>
              <c:strCache>
                <c:ptCount val="1"/>
                <c:pt idx="0">
                  <c:v>грубый</c:v>
                </c:pt>
              </c:strCache>
            </c:strRef>
          </c:tx>
          <c:spPr>
            <a:solidFill>
              <a:schemeClr val="accent1"/>
            </a:solidFill>
            <a:ln>
              <a:noFill/>
            </a:ln>
            <a:effectLst/>
            <a:sp3d/>
          </c:spPr>
          <c:invertIfNegative val="0"/>
          <c:dLbls>
            <c:dLbl>
              <c:idx val="2"/>
              <c:layout>
                <c:manualLayout>
                  <c:x val="-6.8376068376068376E-3"/>
                  <c:y val="4.153686396677050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9ED-457F-BE8C-BC1595052E9B}"/>
                </c:ext>
                <c:ext xmlns:c15="http://schemas.microsoft.com/office/drawing/2012/chart" uri="{CE6537A1-D6FC-4f65-9D91-7224C49458BB}"/>
              </c:extLst>
            </c:dLbl>
            <c:dLbl>
              <c:idx val="4"/>
              <c:layout>
                <c:manualLayout>
                  <c:x val="-1.1396011396011397E-2"/>
                  <c:y val="8.307372793354082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9ED-457F-BE8C-BC1595052E9B}"/>
                </c:ext>
                <c:ext xmlns:c15="http://schemas.microsoft.com/office/drawing/2012/chart" uri="{CE6537A1-D6FC-4f65-9D91-7224C49458BB}"/>
              </c:extLst>
            </c:dLbl>
            <c:dLbl>
              <c:idx val="6"/>
              <c:layout>
                <c:manualLayout>
                  <c:x val="-4.5584045584046422E-3"/>
                  <c:y val="8.307372793354101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B9ED-457F-BE8C-BC1595052E9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Лист3!$E$6:$E$13</c:f>
              <c:strCache>
                <c:ptCount val="8"/>
                <c:pt idx="0">
                  <c:v>Жетысуский</c:v>
                </c:pt>
                <c:pt idx="1">
                  <c:v>Алатауский</c:v>
                </c:pt>
                <c:pt idx="2">
                  <c:v>Турксибский</c:v>
                </c:pt>
                <c:pt idx="3">
                  <c:v>Ауэзовский</c:v>
                </c:pt>
                <c:pt idx="4">
                  <c:v>Медеуский</c:v>
                </c:pt>
                <c:pt idx="5">
                  <c:v>Наурызбайский</c:v>
                </c:pt>
                <c:pt idx="6">
                  <c:v>Бостандыкский</c:v>
                </c:pt>
                <c:pt idx="7">
                  <c:v>Алмалинский</c:v>
                </c:pt>
              </c:strCache>
            </c:strRef>
          </c:cat>
          <c:val>
            <c:numRef>
              <c:f>Лист3!$F$6:$F$13</c:f>
              <c:numCache>
                <c:formatCode>General</c:formatCode>
                <c:ptCount val="8"/>
                <c:pt idx="0">
                  <c:v>28.31</c:v>
                </c:pt>
                <c:pt idx="1">
                  <c:v>16.5</c:v>
                </c:pt>
                <c:pt idx="2">
                  <c:v>24.47</c:v>
                </c:pt>
                <c:pt idx="3">
                  <c:v>24.6</c:v>
                </c:pt>
                <c:pt idx="4">
                  <c:v>20.43</c:v>
                </c:pt>
                <c:pt idx="5">
                  <c:v>16.43</c:v>
                </c:pt>
                <c:pt idx="6">
                  <c:v>18.149999999999999</c:v>
                </c:pt>
                <c:pt idx="7">
                  <c:v>20.25</c:v>
                </c:pt>
              </c:numCache>
            </c:numRef>
          </c:val>
          <c:extLst xmlns:c16r2="http://schemas.microsoft.com/office/drawing/2015/06/chart">
            <c:ext xmlns:c16="http://schemas.microsoft.com/office/drawing/2014/chart" uri="{C3380CC4-5D6E-409C-BE32-E72D297353CC}">
              <c16:uniqueId val="{00000003-B9ED-457F-BE8C-BC1595052E9B}"/>
            </c:ext>
          </c:extLst>
        </c:ser>
        <c:ser>
          <c:idx val="1"/>
          <c:order val="1"/>
          <c:tx>
            <c:strRef>
              <c:f>Лист3!$G$5</c:f>
              <c:strCache>
                <c:ptCount val="1"/>
                <c:pt idx="0">
                  <c:v>стандарт</c:v>
                </c:pt>
              </c:strCache>
            </c:strRef>
          </c:tx>
          <c:spPr>
            <a:solidFill>
              <a:schemeClr val="accent2"/>
            </a:solidFill>
            <a:ln>
              <a:noFill/>
            </a:ln>
            <a:effectLst/>
            <a:sp3d/>
          </c:spPr>
          <c:invertIfNegative val="0"/>
          <c:dLbls>
            <c:dLbl>
              <c:idx val="0"/>
              <c:layout>
                <c:manualLayout>
                  <c:x val="2.2792022792022793E-2"/>
                  <c:y val="-8.30737279335410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9ED-457F-BE8C-BC1595052E9B}"/>
                </c:ext>
                <c:ext xmlns:c15="http://schemas.microsoft.com/office/drawing/2012/chart" uri="{CE6537A1-D6FC-4f65-9D91-7224C49458BB}"/>
              </c:extLst>
            </c:dLbl>
            <c:dLbl>
              <c:idx val="2"/>
              <c:layout>
                <c:manualLayout>
                  <c:x val="1.8233618233618232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9ED-457F-BE8C-BC1595052E9B}"/>
                </c:ext>
                <c:ext xmlns:c15="http://schemas.microsoft.com/office/drawing/2012/chart" uri="{CE6537A1-D6FC-4f65-9D91-7224C49458BB}"/>
              </c:extLst>
            </c:dLbl>
            <c:dLbl>
              <c:idx val="3"/>
              <c:layout>
                <c:manualLayout>
                  <c:x val="2.0512820512820513E-2"/>
                  <c:y val="4.153686396677031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B9ED-457F-BE8C-BC1595052E9B}"/>
                </c:ext>
                <c:ext xmlns:c15="http://schemas.microsoft.com/office/drawing/2012/chart" uri="{CE6537A1-D6FC-4f65-9D91-7224C49458BB}"/>
              </c:extLst>
            </c:dLbl>
            <c:dLbl>
              <c:idx val="7"/>
              <c:layout>
                <c:manualLayout>
                  <c:x val="1.8233618233618232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B9ED-457F-BE8C-BC1595052E9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Лист3!$E$6:$E$13</c:f>
              <c:strCache>
                <c:ptCount val="8"/>
                <c:pt idx="0">
                  <c:v>Жетысуский</c:v>
                </c:pt>
                <c:pt idx="1">
                  <c:v>Алатауский</c:v>
                </c:pt>
                <c:pt idx="2">
                  <c:v>Турксибский</c:v>
                </c:pt>
                <c:pt idx="3">
                  <c:v>Ауэзовский</c:v>
                </c:pt>
                <c:pt idx="4">
                  <c:v>Медеуский</c:v>
                </c:pt>
                <c:pt idx="5">
                  <c:v>Наурызбайский</c:v>
                </c:pt>
                <c:pt idx="6">
                  <c:v>Бостандыкский</c:v>
                </c:pt>
                <c:pt idx="7">
                  <c:v>Алмалинский</c:v>
                </c:pt>
              </c:strCache>
            </c:strRef>
          </c:cat>
          <c:val>
            <c:numRef>
              <c:f>Лист3!$G$6:$G$13</c:f>
              <c:numCache>
                <c:formatCode>General</c:formatCode>
                <c:ptCount val="8"/>
                <c:pt idx="0">
                  <c:v>29.16</c:v>
                </c:pt>
                <c:pt idx="1">
                  <c:v>26.56</c:v>
                </c:pt>
                <c:pt idx="2">
                  <c:v>24.16</c:v>
                </c:pt>
                <c:pt idx="3">
                  <c:v>24.13</c:v>
                </c:pt>
                <c:pt idx="4">
                  <c:v>21.86</c:v>
                </c:pt>
                <c:pt idx="5">
                  <c:v>21.68</c:v>
                </c:pt>
                <c:pt idx="6">
                  <c:v>19.829999999999998</c:v>
                </c:pt>
                <c:pt idx="7">
                  <c:v>19.71</c:v>
                </c:pt>
              </c:numCache>
            </c:numRef>
          </c:val>
          <c:extLst xmlns:c16r2="http://schemas.microsoft.com/office/drawing/2015/06/chart">
            <c:ext xmlns:c16="http://schemas.microsoft.com/office/drawing/2014/chart" uri="{C3380CC4-5D6E-409C-BE32-E72D297353CC}">
              <c16:uniqueId val="{00000008-B9ED-457F-BE8C-BC1595052E9B}"/>
            </c:ext>
          </c:extLst>
        </c:ser>
        <c:dLbls>
          <c:showLegendKey val="0"/>
          <c:showVal val="1"/>
          <c:showCatName val="0"/>
          <c:showSerName val="0"/>
          <c:showPercent val="0"/>
          <c:showBubbleSize val="0"/>
        </c:dLbls>
        <c:gapWidth val="150"/>
        <c:shape val="box"/>
        <c:axId val="482773072"/>
        <c:axId val="482782872"/>
        <c:axId val="0"/>
      </c:bar3DChart>
      <c:catAx>
        <c:axId val="48277307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районы</a:t>
                </a:r>
              </a:p>
            </c:rich>
          </c:tx>
          <c:layout>
            <c:manualLayout>
              <c:xMode val="edge"/>
              <c:yMode val="edge"/>
              <c:x val="0.47841209592390693"/>
              <c:y val="0.8353617755511373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2782872"/>
        <c:crosses val="autoZero"/>
        <c:auto val="1"/>
        <c:lblAlgn val="ctr"/>
        <c:lblOffset val="100"/>
        <c:noMultiLvlLbl val="0"/>
      </c:catAx>
      <c:valAx>
        <c:axId val="482782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коэф, из расчета на 1000 чел</a:t>
                </a:r>
              </a:p>
            </c:rich>
          </c:tx>
          <c:layout>
            <c:manualLayout>
              <c:xMode val="edge"/>
              <c:yMode val="edge"/>
              <c:x val="1.5921348269444881E-2"/>
              <c:y val="7.8914650904094039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2773072"/>
        <c:crosses val="autoZero"/>
        <c:crossBetween val="between"/>
      </c:valAx>
      <c:spPr>
        <a:noFill/>
        <a:ln>
          <a:noFill/>
        </a:ln>
        <a:effectLst/>
      </c:spPr>
    </c:plotArea>
    <c:legend>
      <c:legendPos val="b"/>
      <c:layout>
        <c:manualLayout>
          <c:xMode val="edge"/>
          <c:yMode val="edge"/>
          <c:x val="0.40221501408801696"/>
          <c:y val="0.91800850475085949"/>
          <c:w val="0.1955699718239661"/>
          <c:h val="8.199149524914037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933775046411882E-2"/>
          <c:y val="5.2455889365760608E-2"/>
          <c:w val="0.8883045259586454"/>
          <c:h val="0.60964933031439728"/>
        </c:manualLayout>
      </c:layout>
      <c:bar3DChart>
        <c:barDir val="col"/>
        <c:grouping val="clustered"/>
        <c:varyColors val="0"/>
        <c:ser>
          <c:idx val="0"/>
          <c:order val="0"/>
          <c:tx>
            <c:strRef>
              <c:f>Лист4!$A$3</c:f>
              <c:strCache>
                <c:ptCount val="1"/>
                <c:pt idx="0">
                  <c:v>Алатауский</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Pt>
            <c:idx val="1"/>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1-0E33-455D-9321-70D87614BE2D}"/>
              </c:ext>
            </c:extLst>
          </c:dPt>
          <c:dPt>
            <c:idx val="3"/>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3-0E33-455D-9321-70D87614BE2D}"/>
              </c:ext>
            </c:extLst>
          </c:dPt>
          <c:dPt>
            <c:idx val="5"/>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5-0E33-455D-9321-70D87614BE2D}"/>
              </c:ext>
            </c:extLst>
          </c:dPt>
          <c:dPt>
            <c:idx val="7"/>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7-0E33-455D-9321-70D87614BE2D}"/>
              </c:ext>
            </c:extLst>
          </c:dPt>
          <c:dPt>
            <c:idx val="9"/>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9-0E33-455D-9321-70D87614BE2D}"/>
              </c:ext>
            </c:extLst>
          </c:dPt>
          <c:dPt>
            <c:idx val="11"/>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B-0E33-455D-9321-70D87614BE2D}"/>
              </c:ext>
            </c:extLst>
          </c:dPt>
          <c:dPt>
            <c:idx val="13"/>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D-0E33-455D-9321-70D87614BE2D}"/>
              </c:ext>
            </c:extLst>
          </c:dPt>
          <c:dPt>
            <c:idx val="15"/>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F-0E33-455D-9321-70D87614BE2D}"/>
              </c:ext>
            </c:extLst>
          </c:dPt>
          <c:dPt>
            <c:idx val="17"/>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11-0E33-455D-9321-70D87614BE2D}"/>
              </c:ext>
            </c:extLst>
          </c:dPt>
          <c:dPt>
            <c:idx val="19"/>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13-0E33-455D-9321-70D87614BE2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Лист4!$B$1:$U$2</c:f>
              <c:multiLvlStrCache>
                <c:ptCount val="20"/>
                <c:lvl>
                  <c:pt idx="0">
                    <c:v>грубый</c:v>
                  </c:pt>
                  <c:pt idx="1">
                    <c:v>стандарт</c:v>
                  </c:pt>
                  <c:pt idx="2">
                    <c:v>грубый</c:v>
                  </c:pt>
                  <c:pt idx="3">
                    <c:v>стандарт</c:v>
                  </c:pt>
                  <c:pt idx="4">
                    <c:v>грубый</c:v>
                  </c:pt>
                  <c:pt idx="5">
                    <c:v>стандарт</c:v>
                  </c:pt>
                  <c:pt idx="6">
                    <c:v>грубый</c:v>
                  </c:pt>
                  <c:pt idx="7">
                    <c:v>стандарт</c:v>
                  </c:pt>
                  <c:pt idx="8">
                    <c:v>грубый</c:v>
                  </c:pt>
                  <c:pt idx="9">
                    <c:v>стандарт</c:v>
                  </c:pt>
                  <c:pt idx="10">
                    <c:v>грубый</c:v>
                  </c:pt>
                  <c:pt idx="11">
                    <c:v>стандарт</c:v>
                  </c:pt>
                  <c:pt idx="12">
                    <c:v>грубый</c:v>
                  </c:pt>
                  <c:pt idx="13">
                    <c:v>стандарт</c:v>
                  </c:pt>
                  <c:pt idx="14">
                    <c:v>грубый</c:v>
                  </c:pt>
                  <c:pt idx="15">
                    <c:v>стандарт</c:v>
                  </c:pt>
                  <c:pt idx="16">
                    <c:v>грубый</c:v>
                  </c:pt>
                  <c:pt idx="17">
                    <c:v>стандарт</c:v>
                  </c:pt>
                  <c:pt idx="18">
                    <c:v>грубый</c:v>
                  </c:pt>
                  <c:pt idx="19">
                    <c:v>стандарт</c:v>
                  </c:pt>
                </c:lvl>
                <c:lvl>
                  <c:pt idx="0">
                    <c:v>2012</c:v>
                  </c:pt>
                  <c:pt idx="2">
                    <c:v>2013</c:v>
                  </c:pt>
                  <c:pt idx="4">
                    <c:v>2014</c:v>
                  </c:pt>
                  <c:pt idx="6">
                    <c:v>2015</c:v>
                  </c:pt>
                  <c:pt idx="8">
                    <c:v>2016</c:v>
                  </c:pt>
                  <c:pt idx="10">
                    <c:v>2017</c:v>
                  </c:pt>
                  <c:pt idx="12">
                    <c:v>2018</c:v>
                  </c:pt>
                  <c:pt idx="14">
                    <c:v>2019</c:v>
                  </c:pt>
                  <c:pt idx="16">
                    <c:v>2020</c:v>
                  </c:pt>
                  <c:pt idx="18">
                    <c:v>2021</c:v>
                  </c:pt>
                </c:lvl>
              </c:multiLvlStrCache>
            </c:multiLvlStrRef>
          </c:cat>
          <c:val>
            <c:numRef>
              <c:f>Лист4!$B$3:$U$3</c:f>
              <c:numCache>
                <c:formatCode>General</c:formatCode>
                <c:ptCount val="20"/>
                <c:pt idx="0">
                  <c:v>12.32</c:v>
                </c:pt>
                <c:pt idx="1">
                  <c:v>19.02</c:v>
                </c:pt>
                <c:pt idx="2">
                  <c:v>9.33</c:v>
                </c:pt>
                <c:pt idx="3">
                  <c:v>13.8</c:v>
                </c:pt>
                <c:pt idx="4">
                  <c:v>9.34</c:v>
                </c:pt>
                <c:pt idx="5">
                  <c:v>14.59</c:v>
                </c:pt>
                <c:pt idx="6">
                  <c:v>9.33</c:v>
                </c:pt>
                <c:pt idx="7">
                  <c:v>14.66</c:v>
                </c:pt>
                <c:pt idx="8">
                  <c:v>11.53</c:v>
                </c:pt>
                <c:pt idx="9">
                  <c:v>18.39</c:v>
                </c:pt>
                <c:pt idx="10">
                  <c:v>12.35</c:v>
                </c:pt>
                <c:pt idx="11">
                  <c:v>20.14</c:v>
                </c:pt>
                <c:pt idx="12">
                  <c:v>13.89</c:v>
                </c:pt>
                <c:pt idx="13">
                  <c:v>22.65</c:v>
                </c:pt>
                <c:pt idx="14">
                  <c:v>15.26</c:v>
                </c:pt>
                <c:pt idx="15">
                  <c:v>24.81</c:v>
                </c:pt>
                <c:pt idx="16">
                  <c:v>15.85</c:v>
                </c:pt>
                <c:pt idx="17">
                  <c:v>25.46</c:v>
                </c:pt>
                <c:pt idx="18">
                  <c:v>16.5</c:v>
                </c:pt>
                <c:pt idx="19">
                  <c:v>26.56</c:v>
                </c:pt>
              </c:numCache>
            </c:numRef>
          </c:val>
          <c:extLst xmlns:c16r2="http://schemas.microsoft.com/office/drawing/2015/06/chart">
            <c:ext xmlns:c16="http://schemas.microsoft.com/office/drawing/2014/chart" uri="{C3380CC4-5D6E-409C-BE32-E72D297353CC}">
              <c16:uniqueId val="{00000014-0E33-455D-9321-70D87614BE2D}"/>
            </c:ext>
          </c:extLst>
        </c:ser>
        <c:dLbls>
          <c:showLegendKey val="0"/>
          <c:showVal val="1"/>
          <c:showCatName val="0"/>
          <c:showSerName val="0"/>
          <c:showPercent val="0"/>
          <c:showBubbleSize val="0"/>
        </c:dLbls>
        <c:gapWidth val="150"/>
        <c:shape val="box"/>
        <c:axId val="482786008"/>
        <c:axId val="482777384"/>
        <c:axId val="0"/>
      </c:bar3DChart>
      <c:catAx>
        <c:axId val="482786008"/>
        <c:scaling>
          <c:orientation val="minMax"/>
        </c:scaling>
        <c:delete val="0"/>
        <c:axPos val="b"/>
        <c:title>
          <c:tx>
            <c:rich>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ru-RU"/>
                  <a:t>годы</a:t>
                </a:r>
              </a:p>
            </c:rich>
          </c:tx>
          <c:layout>
            <c:manualLayout>
              <c:xMode val="edge"/>
              <c:yMode val="edge"/>
              <c:x val="0.5030811087638436"/>
              <c:y val="0.92995542939106857"/>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82777384"/>
        <c:crosses val="autoZero"/>
        <c:auto val="1"/>
        <c:lblAlgn val="ctr"/>
        <c:lblOffset val="100"/>
        <c:noMultiLvlLbl val="0"/>
      </c:catAx>
      <c:valAx>
        <c:axId val="48277738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ru-RU"/>
                  <a:t>коэф, из расчета на 1000 чел</a:t>
                </a:r>
              </a:p>
            </c:rich>
          </c:tx>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82786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7081076232484317E-2"/>
          <c:y val="4.9382716049382713E-2"/>
          <c:w val="0.8911259569522606"/>
          <c:h val="0.61905034597947983"/>
        </c:manualLayout>
      </c:layout>
      <c:bar3DChart>
        <c:barDir val="col"/>
        <c:grouping val="clustered"/>
        <c:varyColors val="0"/>
        <c:ser>
          <c:idx val="0"/>
          <c:order val="0"/>
          <c:tx>
            <c:strRef>
              <c:f>Лист5!$A$3</c:f>
              <c:strCache>
                <c:ptCount val="1"/>
                <c:pt idx="0">
                  <c:v>Наурызбайский</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Pt>
            <c:idx val="1"/>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1-77E4-4739-8C64-E787C81A0FCF}"/>
              </c:ext>
            </c:extLst>
          </c:dPt>
          <c:dPt>
            <c:idx val="3"/>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3-77E4-4739-8C64-E787C81A0FCF}"/>
              </c:ext>
            </c:extLst>
          </c:dPt>
          <c:dPt>
            <c:idx val="5"/>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5-77E4-4739-8C64-E787C81A0FCF}"/>
              </c:ext>
            </c:extLst>
          </c:dPt>
          <c:dPt>
            <c:idx val="7"/>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7-77E4-4739-8C64-E787C81A0FCF}"/>
              </c:ext>
            </c:extLst>
          </c:dPt>
          <c:dPt>
            <c:idx val="9"/>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9-77E4-4739-8C64-E787C81A0FCF}"/>
              </c:ext>
            </c:extLst>
          </c:dPt>
          <c:dPt>
            <c:idx val="11"/>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B-77E4-4739-8C64-E787C81A0FCF}"/>
              </c:ext>
            </c:extLst>
          </c:dPt>
          <c:dPt>
            <c:idx val="13"/>
            <c:invertIfNegative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D-77E4-4739-8C64-E787C81A0FC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Лист5!$B$1:$O$2</c:f>
              <c:multiLvlStrCache>
                <c:ptCount val="14"/>
                <c:lvl>
                  <c:pt idx="0">
                    <c:v>грубый</c:v>
                  </c:pt>
                  <c:pt idx="1">
                    <c:v>стандарт</c:v>
                  </c:pt>
                  <c:pt idx="2">
                    <c:v>грубый</c:v>
                  </c:pt>
                  <c:pt idx="3">
                    <c:v>стандарт</c:v>
                  </c:pt>
                  <c:pt idx="4">
                    <c:v>грубый</c:v>
                  </c:pt>
                  <c:pt idx="5">
                    <c:v>стандарт</c:v>
                  </c:pt>
                  <c:pt idx="6">
                    <c:v>грубый</c:v>
                  </c:pt>
                  <c:pt idx="7">
                    <c:v>стандарт</c:v>
                  </c:pt>
                  <c:pt idx="8">
                    <c:v>грубый</c:v>
                  </c:pt>
                  <c:pt idx="9">
                    <c:v>стандарт</c:v>
                  </c:pt>
                  <c:pt idx="10">
                    <c:v>грубый</c:v>
                  </c:pt>
                  <c:pt idx="11">
                    <c:v>стандарт</c:v>
                  </c:pt>
                  <c:pt idx="12">
                    <c:v>грубый</c:v>
                  </c:pt>
                  <c:pt idx="13">
                    <c:v>стандарт</c:v>
                  </c:pt>
                </c:lvl>
                <c:lvl>
                  <c:pt idx="0">
                    <c:v>2015</c:v>
                  </c:pt>
                  <c:pt idx="2">
                    <c:v>2016</c:v>
                  </c:pt>
                  <c:pt idx="4">
                    <c:v>2017</c:v>
                  </c:pt>
                  <c:pt idx="6">
                    <c:v>2018</c:v>
                  </c:pt>
                  <c:pt idx="8">
                    <c:v>2019</c:v>
                  </c:pt>
                  <c:pt idx="10">
                    <c:v>2020</c:v>
                  </c:pt>
                  <c:pt idx="12">
                    <c:v>2021</c:v>
                  </c:pt>
                </c:lvl>
              </c:multiLvlStrCache>
            </c:multiLvlStrRef>
          </c:cat>
          <c:val>
            <c:numRef>
              <c:f>Лист5!$B$3:$O$3</c:f>
              <c:numCache>
                <c:formatCode>General</c:formatCode>
                <c:ptCount val="14"/>
                <c:pt idx="0">
                  <c:v>8.4499999999999993</c:v>
                </c:pt>
                <c:pt idx="1">
                  <c:v>10.79</c:v>
                </c:pt>
                <c:pt idx="2">
                  <c:v>11.26</c:v>
                </c:pt>
                <c:pt idx="3">
                  <c:v>14.47</c:v>
                </c:pt>
                <c:pt idx="4">
                  <c:v>10.11</c:v>
                </c:pt>
                <c:pt idx="5">
                  <c:v>13.52</c:v>
                </c:pt>
                <c:pt idx="6">
                  <c:v>12.85</c:v>
                </c:pt>
                <c:pt idx="7">
                  <c:v>17.22</c:v>
                </c:pt>
                <c:pt idx="8">
                  <c:v>14.12</c:v>
                </c:pt>
                <c:pt idx="9">
                  <c:v>18.84</c:v>
                </c:pt>
                <c:pt idx="10">
                  <c:v>15.72</c:v>
                </c:pt>
                <c:pt idx="11">
                  <c:v>20.61</c:v>
                </c:pt>
                <c:pt idx="12">
                  <c:v>16.43</c:v>
                </c:pt>
                <c:pt idx="13">
                  <c:v>21.68</c:v>
                </c:pt>
              </c:numCache>
            </c:numRef>
          </c:val>
          <c:extLst xmlns:c16r2="http://schemas.microsoft.com/office/drawing/2015/06/chart">
            <c:ext xmlns:c16="http://schemas.microsoft.com/office/drawing/2014/chart" uri="{C3380CC4-5D6E-409C-BE32-E72D297353CC}">
              <c16:uniqueId val="{0000000E-77E4-4739-8C64-E787C81A0FCF}"/>
            </c:ext>
          </c:extLst>
        </c:ser>
        <c:dLbls>
          <c:showLegendKey val="0"/>
          <c:showVal val="1"/>
          <c:showCatName val="0"/>
          <c:showSerName val="0"/>
          <c:showPercent val="0"/>
          <c:showBubbleSize val="0"/>
        </c:dLbls>
        <c:gapWidth val="150"/>
        <c:shape val="box"/>
        <c:axId val="482781304"/>
        <c:axId val="482784440"/>
        <c:axId val="0"/>
      </c:bar3DChart>
      <c:catAx>
        <c:axId val="482781304"/>
        <c:scaling>
          <c:orientation val="minMax"/>
        </c:scaling>
        <c:delete val="0"/>
        <c:axPos val="b"/>
        <c:title>
          <c:tx>
            <c:rich>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ru-RU"/>
                  <a:t>годы</a:t>
                </a:r>
              </a:p>
            </c:rich>
          </c:tx>
          <c:layout>
            <c:manualLayout>
              <c:xMode val="edge"/>
              <c:yMode val="edge"/>
              <c:x val="0.46030037478598979"/>
              <c:y val="0.92163030850651884"/>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82784440"/>
        <c:crosses val="autoZero"/>
        <c:auto val="1"/>
        <c:lblAlgn val="ctr"/>
        <c:lblOffset val="100"/>
        <c:noMultiLvlLbl val="0"/>
      </c:catAx>
      <c:valAx>
        <c:axId val="48278444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ru-RU"/>
                  <a:t>коэф, из расчета на 1000 чел</a:t>
                </a:r>
              </a:p>
            </c:rich>
          </c:tx>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82781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507523516082233E-2"/>
          <c:y val="5.7516339869281043E-2"/>
          <c:w val="0.90871814936176454"/>
          <c:h val="0.75834326591529011"/>
        </c:manualLayout>
      </c:layout>
      <c:lineChart>
        <c:grouping val="standard"/>
        <c:varyColors val="0"/>
        <c:ser>
          <c:idx val="0"/>
          <c:order val="0"/>
          <c:tx>
            <c:strRef>
              <c:f>Лист7!$B$1</c:f>
              <c:strCache>
                <c:ptCount val="1"/>
                <c:pt idx="0">
                  <c:v>всего</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9050" cap="rnd">
                <a:solidFill>
                  <a:schemeClr val="accent1"/>
                </a:solidFill>
                <a:prstDash val="sysDash"/>
              </a:ln>
              <a:effectLst/>
            </c:spPr>
            <c:trendlineType val="linear"/>
            <c:dispRSqr val="0"/>
            <c:dispEq val="0"/>
          </c:trendline>
          <c:trendline>
            <c:spPr>
              <a:ln w="19050" cap="rnd">
                <a:solidFill>
                  <a:schemeClr val="accent1"/>
                </a:solidFill>
                <a:prstDash val="sysDash"/>
              </a:ln>
              <a:effectLst/>
            </c:spPr>
            <c:trendlineType val="linear"/>
            <c:dispRSqr val="1"/>
            <c:dispEq val="1"/>
            <c:trendlineLbl>
              <c:layout>
                <c:manualLayout>
                  <c:x val="-0.46606005771017756"/>
                  <c:y val="-0.11645328424855984"/>
                </c:manualLayout>
              </c:layout>
              <c:numFmt formatCode="General" sourceLinked="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ru-RU"/>
                </a:p>
              </c:txPr>
            </c:trendlineLbl>
          </c:trendline>
          <c:errBars>
            <c:errDir val="y"/>
            <c:errBarType val="both"/>
            <c:errValType val="stdErr"/>
            <c:noEndCap val="0"/>
            <c:spPr>
              <a:noFill/>
              <a:ln w="9525">
                <a:solidFill>
                  <a:schemeClr val="tx1">
                    <a:lumMod val="65000"/>
                    <a:lumOff val="35000"/>
                  </a:schemeClr>
                </a:solidFill>
                <a:round/>
              </a:ln>
              <a:effectLst/>
            </c:spPr>
          </c:errBars>
          <c:val>
            <c:numRef>
              <c:f>Лист7!$B$2:$B$13</c:f>
              <c:numCache>
                <c:formatCode>General</c:formatCode>
                <c:ptCount val="12"/>
                <c:pt idx="0">
                  <c:v>1654.95</c:v>
                </c:pt>
                <c:pt idx="1">
                  <c:v>1733.77</c:v>
                </c:pt>
                <c:pt idx="2">
                  <c:v>1644.1</c:v>
                </c:pt>
                <c:pt idx="3">
                  <c:v>1642.54</c:v>
                </c:pt>
                <c:pt idx="4">
                  <c:v>1780</c:v>
                </c:pt>
                <c:pt idx="5">
                  <c:v>1751.7</c:v>
                </c:pt>
                <c:pt idx="6">
                  <c:v>1858.86</c:v>
                </c:pt>
                <c:pt idx="7">
                  <c:v>2004.13</c:v>
                </c:pt>
                <c:pt idx="8">
                  <c:v>2061.16</c:v>
                </c:pt>
                <c:pt idx="9">
                  <c:v>2098.79</c:v>
                </c:pt>
              </c:numCache>
            </c:numRef>
          </c:val>
          <c:smooth val="0"/>
          <c:extLst xmlns:c16r2="http://schemas.microsoft.com/office/drawing/2015/06/chart">
            <c:ext xmlns:c16="http://schemas.microsoft.com/office/drawing/2014/chart" uri="{C3380CC4-5D6E-409C-BE32-E72D297353CC}">
              <c16:uniqueId val="{00000000-3903-48E2-8D9D-764FE7CA6A3B}"/>
            </c:ext>
          </c:extLst>
        </c:ser>
        <c:ser>
          <c:idx val="1"/>
          <c:order val="1"/>
          <c:tx>
            <c:strRef>
              <c:f>Лист7!$C$1</c:f>
              <c:strCache>
                <c:ptCount val="1"/>
                <c:pt idx="0">
                  <c:v>Прогноз</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dLbl>
              <c:idx val="10"/>
              <c:layout>
                <c:manualLayout>
                  <c:x val="-4.4104595621199526E-2"/>
                  <c:y val="2.1968844803490471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903-48E2-8D9D-764FE7CA6A3B}"/>
                </c:ext>
                <c:ext xmlns:c15="http://schemas.microsoft.com/office/drawing/2012/chart" uri="{CE6537A1-D6FC-4f65-9D91-7224C49458BB}"/>
              </c:extLst>
            </c:dLbl>
            <c:dLbl>
              <c:idx val="11"/>
              <c:layout>
                <c:manualLayout>
                  <c:x val="-1.7568347434831516E-2"/>
                  <c:y val="-6.4611241776596504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903-48E2-8D9D-764FE7CA6A3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Dir val="y"/>
            <c:errBarType val="both"/>
            <c:errValType val="stdErr"/>
            <c:noEndCap val="0"/>
            <c:spPr>
              <a:noFill/>
              <a:ln w="9525">
                <a:solidFill>
                  <a:schemeClr val="tx1">
                    <a:lumMod val="65000"/>
                    <a:lumOff val="35000"/>
                  </a:schemeClr>
                </a:solidFill>
                <a:round/>
              </a:ln>
              <a:effectLst/>
            </c:spPr>
          </c:errBars>
          <c:cat>
            <c:numRef>
              <c:f>Лист7!$A$2:$A$13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Лист7!$C$2:$C$13</c:f>
              <c:numCache>
                <c:formatCode>General</c:formatCode>
                <c:ptCount val="12"/>
                <c:pt idx="9">
                  <c:v>2098.79</c:v>
                </c:pt>
                <c:pt idx="10" formatCode="0.00">
                  <c:v>2153.4327332079492</c:v>
                </c:pt>
                <c:pt idx="11" formatCode="0.00">
                  <c:v>2206.1652862623669</c:v>
                </c:pt>
              </c:numCache>
            </c:numRef>
          </c:val>
          <c:smooth val="0"/>
          <c:extLst xmlns:c16r2="http://schemas.microsoft.com/office/drawing/2015/06/chart">
            <c:ext xmlns:c16="http://schemas.microsoft.com/office/drawing/2014/chart" uri="{C3380CC4-5D6E-409C-BE32-E72D297353CC}">
              <c16:uniqueId val="{00000003-3903-48E2-8D9D-764FE7CA6A3B}"/>
            </c:ext>
          </c:extLst>
        </c:ser>
        <c:ser>
          <c:idx val="2"/>
          <c:order val="2"/>
          <c:tx>
            <c:strRef>
              <c:f>Лист7!$D$1</c:f>
              <c:strCache>
                <c:ptCount val="1"/>
                <c:pt idx="0">
                  <c:v>Высокий ДИ</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dLbls>
            <c:dLbl>
              <c:idx val="10"/>
              <c:layout>
                <c:manualLayout>
                  <c:x val="-4.8245382370681926E-2"/>
                  <c:y val="4.548692777039229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903-48E2-8D9D-764FE7CA6A3B}"/>
                </c:ext>
                <c:ext xmlns:c15="http://schemas.microsoft.com/office/drawing/2012/chart" uri="{CE6537A1-D6FC-4f65-9D91-7224C49458BB}"/>
              </c:extLst>
            </c:dLbl>
            <c:dLbl>
              <c:idx val="11"/>
              <c:layout>
                <c:manualLayout>
                  <c:x val="-1.7568347434831516E-2"/>
                  <c:y val="5.414493642840091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903-48E2-8D9D-764FE7CA6A3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Dir val="y"/>
            <c:errBarType val="both"/>
            <c:errValType val="stdErr"/>
            <c:noEndCap val="0"/>
            <c:spPr>
              <a:noFill/>
              <a:ln w="9525">
                <a:solidFill>
                  <a:schemeClr val="tx1">
                    <a:lumMod val="65000"/>
                    <a:lumOff val="35000"/>
                  </a:schemeClr>
                </a:solidFill>
                <a:round/>
              </a:ln>
              <a:effectLst/>
            </c:spPr>
          </c:errBars>
          <c:cat>
            <c:numRef>
              <c:f>Лист7!$A$2:$A$13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Лист7!$D$2:$D$13</c:f>
              <c:numCache>
                <c:formatCode>General</c:formatCode>
                <c:ptCount val="12"/>
                <c:pt idx="9" formatCode="0.00">
                  <c:v>2098.79</c:v>
                </c:pt>
                <c:pt idx="10" formatCode="0.00">
                  <c:v>2017.6228079828084</c:v>
                </c:pt>
                <c:pt idx="11" formatCode="0.00">
                  <c:v>2036.3213590251487</c:v>
                </c:pt>
              </c:numCache>
            </c:numRef>
          </c:val>
          <c:smooth val="0"/>
          <c:extLst xmlns:c16r2="http://schemas.microsoft.com/office/drawing/2015/06/chart">
            <c:ext xmlns:c16="http://schemas.microsoft.com/office/drawing/2014/chart" uri="{C3380CC4-5D6E-409C-BE32-E72D297353CC}">
              <c16:uniqueId val="{00000006-3903-48E2-8D9D-764FE7CA6A3B}"/>
            </c:ext>
          </c:extLst>
        </c:ser>
        <c:ser>
          <c:idx val="3"/>
          <c:order val="3"/>
          <c:tx>
            <c:strRef>
              <c:f>Лист7!$E$1</c:f>
              <c:strCache>
                <c:ptCount val="1"/>
                <c:pt idx="0">
                  <c:v>Низкий ДИ</c:v>
                </c:pt>
              </c:strCache>
            </c:strRef>
          </c:tx>
          <c:spPr>
            <a:ln w="22225" cap="rnd">
              <a:solidFill>
                <a:schemeClr val="accent4"/>
              </a:solidFill>
              <a:round/>
            </a:ln>
            <a:effectLst/>
          </c:spPr>
          <c:marker>
            <c:symbol val="x"/>
            <c:size val="6"/>
            <c:spPr>
              <a:noFill/>
              <a:ln w="9525">
                <a:solidFill>
                  <a:schemeClr val="accent4"/>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errBars>
            <c:errDir val="y"/>
            <c:errBarType val="both"/>
            <c:errValType val="stdErr"/>
            <c:noEndCap val="0"/>
            <c:spPr>
              <a:noFill/>
              <a:ln w="9525">
                <a:solidFill>
                  <a:schemeClr val="tx1">
                    <a:lumMod val="65000"/>
                    <a:lumOff val="35000"/>
                  </a:schemeClr>
                </a:solidFill>
                <a:round/>
              </a:ln>
              <a:effectLst/>
            </c:spPr>
          </c:errBars>
          <c:cat>
            <c:numRef>
              <c:f>Лист7!$A$2:$A$13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Лист7!$E$2:$E$13</c:f>
              <c:numCache>
                <c:formatCode>General</c:formatCode>
                <c:ptCount val="12"/>
                <c:pt idx="9" formatCode="0.00">
                  <c:v>2098.79</c:v>
                </c:pt>
                <c:pt idx="10" formatCode="0.00">
                  <c:v>2289.2426584330901</c:v>
                </c:pt>
                <c:pt idx="11" formatCode="0.00">
                  <c:v>2376.0092134995848</c:v>
                </c:pt>
              </c:numCache>
            </c:numRef>
          </c:val>
          <c:smooth val="0"/>
          <c:extLst xmlns:c16r2="http://schemas.microsoft.com/office/drawing/2015/06/chart">
            <c:ext xmlns:c16="http://schemas.microsoft.com/office/drawing/2014/chart" uri="{C3380CC4-5D6E-409C-BE32-E72D297353CC}">
              <c16:uniqueId val="{00000007-3903-48E2-8D9D-764FE7CA6A3B}"/>
            </c:ext>
          </c:extLst>
        </c:ser>
        <c:dLbls>
          <c:dLblPos val="t"/>
          <c:showLegendKey val="0"/>
          <c:showVal val="1"/>
          <c:showCatName val="0"/>
          <c:showSerName val="0"/>
          <c:showPercent val="0"/>
          <c:showBubbleSize val="0"/>
        </c:dLbls>
        <c:marker val="1"/>
        <c:smooth val="0"/>
        <c:axId val="482784048"/>
        <c:axId val="482784832"/>
      </c:lineChart>
      <c:catAx>
        <c:axId val="482784048"/>
        <c:scaling>
          <c:orientation val="minMax"/>
        </c:scaling>
        <c:delete val="0"/>
        <c:axPos val="b"/>
        <c:majorGridlines>
          <c:spPr>
            <a:ln w="9525" cap="flat" cmpd="sng" algn="ctr">
              <a:solidFill>
                <a:schemeClr val="tx1">
                  <a:lumMod val="15000"/>
                  <a:lumOff val="85000"/>
                </a:schemeClr>
              </a:solidFill>
              <a:round/>
            </a:ln>
            <a:effectLst/>
          </c:spPr>
        </c:majorGridlines>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mn-lt"/>
                <a:ea typeface="+mn-ea"/>
                <a:cs typeface="+mn-cs"/>
              </a:defRPr>
            </a:pPr>
            <a:endParaRPr lang="ru-RU"/>
          </a:p>
        </c:txPr>
        <c:crossAx val="482784832"/>
        <c:crosses val="autoZero"/>
        <c:auto val="1"/>
        <c:lblAlgn val="ctr"/>
        <c:lblOffset val="100"/>
        <c:noMultiLvlLbl val="0"/>
      </c:catAx>
      <c:valAx>
        <c:axId val="482784832"/>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82784048"/>
        <c:crosses val="autoZero"/>
        <c:crossBetween val="between"/>
      </c:valAx>
      <c:spPr>
        <a:noFill/>
        <a:ln>
          <a:noFill/>
        </a:ln>
        <a:effectLst/>
      </c:spPr>
    </c:plotArea>
    <c:legend>
      <c:legendPos val="b"/>
      <c:legendEntry>
        <c:idx val="5"/>
        <c:delete val="1"/>
      </c:legendEntry>
      <c:layout>
        <c:manualLayout>
          <c:xMode val="edge"/>
          <c:yMode val="edge"/>
          <c:x val="0.05"/>
          <c:y val="0.9065353301425555"/>
          <c:w val="0.9"/>
          <c:h val="8.8235911687509647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0A01B42-56CF-40A0-A153-F69B84012AC2}" type="doc">
      <dgm:prSet loTypeId="urn:microsoft.com/office/officeart/2005/8/layout/StepDownProcess" loCatId="process" qsTypeId="urn:microsoft.com/office/officeart/2005/8/quickstyle/simple1" qsCatId="simple" csTypeId="urn:microsoft.com/office/officeart/2005/8/colors/accent1_2" csCatId="accent1" phldr="1"/>
      <dgm:spPr/>
      <dgm:t>
        <a:bodyPr/>
        <a:lstStyle/>
        <a:p>
          <a:endParaRPr lang="ru-RU"/>
        </a:p>
      </dgm:t>
    </dgm:pt>
    <dgm:pt modelId="{865C226D-6700-4EB3-AAA5-412706A3C5D4}">
      <dgm:prSet phldrT="[Текст]" custT="1"/>
      <dgm:spPr>
        <a:solidFill>
          <a:srgbClr val="FFFF00"/>
        </a:solidFill>
      </dgm:spPr>
      <dgm:t>
        <a:bodyPr/>
        <a:lstStyle/>
        <a:p>
          <a:r>
            <a:rPr lang="ru-RU" sz="1000">
              <a:solidFill>
                <a:sysClr val="windowText" lastClr="000000"/>
              </a:solidFill>
              <a:latin typeface="Times New Roman" panose="02020603050405020304" pitchFamily="18" charset="0"/>
              <a:cs typeface="Times New Roman" panose="02020603050405020304" pitchFamily="18" charset="0"/>
            </a:rPr>
            <a:t>Низкая посещаемость школ здоровья и диабета</a:t>
          </a:r>
        </a:p>
      </dgm:t>
    </dgm:pt>
    <dgm:pt modelId="{00AE2D6F-A951-4A1F-A980-F6BEF001C902}" type="parTrans" cxnId="{20A76A80-20C9-4B1A-93E3-936E4D79A883}">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C226DDBF-FA73-4A9F-BCD6-9B3947E6E672}" type="sibTrans" cxnId="{20A76A80-20C9-4B1A-93E3-936E4D79A883}">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9A67A52A-E7AC-48B0-B083-8C88DE1D2C6B}">
      <dgm:prSet phldrT="[Текст]" custT="1"/>
      <dgm:spPr>
        <a:solidFill>
          <a:srgbClr val="FFFF00"/>
        </a:solidFill>
      </dgm:spPr>
      <dgm:t>
        <a:bodyPr/>
        <a:lstStyle/>
        <a:p>
          <a:r>
            <a:rPr lang="ru-RU" sz="1000">
              <a:solidFill>
                <a:sysClr val="windowText" lastClr="000000"/>
              </a:solidFill>
              <a:latin typeface="Times New Roman" panose="02020603050405020304" pitchFamily="18" charset="0"/>
              <a:cs typeface="Times New Roman" panose="02020603050405020304" pitchFamily="18" charset="0"/>
            </a:rPr>
            <a:t>реорганизовать функцию ШД для его более высокой функциональной деятельности</a:t>
          </a:r>
        </a:p>
      </dgm:t>
    </dgm:pt>
    <dgm:pt modelId="{8EF2498E-EF19-4CF1-9DF8-EB24DD12E7F1}" type="parTrans" cxnId="{784394AF-59A7-40ED-9141-BAF898F1D6FE}">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E5F05FC7-8FBB-44C2-8660-255B152648F5}" type="sibTrans" cxnId="{784394AF-59A7-40ED-9141-BAF898F1D6FE}">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E714BDA5-A911-4B2E-A01A-C3ABA954EC4C}">
      <dgm:prSet phldrT="[Текст]" custT="1"/>
      <dgm:spPr>
        <a:solidFill>
          <a:srgbClr val="FFFF00"/>
        </a:solidFill>
      </dgm:spPr>
      <dgm:t>
        <a:bodyPr/>
        <a:lstStyle/>
        <a:p>
          <a:r>
            <a:rPr lang="ru-RU" sz="1000">
              <a:solidFill>
                <a:sysClr val="windowText" lastClr="000000"/>
              </a:solidFill>
              <a:latin typeface="Times New Roman" panose="02020603050405020304" pitchFamily="18" charset="0"/>
              <a:cs typeface="Times New Roman" panose="02020603050405020304" pitchFamily="18" charset="0"/>
            </a:rPr>
            <a:t>организовать больший охват обучения пациентов и ввести контроль за его выполнением</a:t>
          </a:r>
        </a:p>
      </dgm:t>
    </dgm:pt>
    <dgm:pt modelId="{AE49C5FF-4532-464D-AD75-C96CD85C610A}" type="parTrans" cxnId="{2E2CEB50-A184-4D2B-AA81-07BF5BCFA1A2}">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CC35623C-417A-4E85-8231-EBD0EB2F2319}" type="sibTrans" cxnId="{2E2CEB50-A184-4D2B-AA81-07BF5BCFA1A2}">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7744504D-3AC4-4157-B7DE-5C37ACBB0DBD}" type="pres">
      <dgm:prSet presAssocID="{40A01B42-56CF-40A0-A153-F69B84012AC2}" presName="rootnode" presStyleCnt="0">
        <dgm:presLayoutVars>
          <dgm:chMax/>
          <dgm:chPref/>
          <dgm:dir/>
          <dgm:animLvl val="lvl"/>
        </dgm:presLayoutVars>
      </dgm:prSet>
      <dgm:spPr/>
      <dgm:t>
        <a:bodyPr/>
        <a:lstStyle/>
        <a:p>
          <a:endParaRPr lang="ru-RU"/>
        </a:p>
      </dgm:t>
    </dgm:pt>
    <dgm:pt modelId="{504B351A-D25D-44A9-A2AD-B0478E33882A}" type="pres">
      <dgm:prSet presAssocID="{865C226D-6700-4EB3-AAA5-412706A3C5D4}" presName="composite" presStyleCnt="0"/>
      <dgm:spPr/>
    </dgm:pt>
    <dgm:pt modelId="{DBB4BE55-9515-4C1D-A700-DF7047BC0BA3}" type="pres">
      <dgm:prSet presAssocID="{865C226D-6700-4EB3-AAA5-412706A3C5D4}" presName="bentUpArrow1" presStyleLbl="alignImgPlace1" presStyleIdx="0" presStyleCnt="2" custScaleX="155062" custLinFactX="-100000" custLinFactNeighborX="-150104"/>
      <dgm:spPr/>
    </dgm:pt>
    <dgm:pt modelId="{F46DB3D0-60C5-45CD-8547-16E9228939F0}" type="pres">
      <dgm:prSet presAssocID="{865C226D-6700-4EB3-AAA5-412706A3C5D4}" presName="ParentText" presStyleLbl="node1" presStyleIdx="0" presStyleCnt="3" custScaleX="497568">
        <dgm:presLayoutVars>
          <dgm:chMax val="1"/>
          <dgm:chPref val="1"/>
          <dgm:bulletEnabled val="1"/>
        </dgm:presLayoutVars>
      </dgm:prSet>
      <dgm:spPr/>
      <dgm:t>
        <a:bodyPr/>
        <a:lstStyle/>
        <a:p>
          <a:endParaRPr lang="ru-RU"/>
        </a:p>
      </dgm:t>
    </dgm:pt>
    <dgm:pt modelId="{578A80FE-60B3-487B-9C2B-62143ADC0C97}" type="pres">
      <dgm:prSet presAssocID="{865C226D-6700-4EB3-AAA5-412706A3C5D4}" presName="ChildText" presStyleLbl="revTx" presStyleIdx="0" presStyleCnt="2">
        <dgm:presLayoutVars>
          <dgm:chMax val="0"/>
          <dgm:chPref val="0"/>
          <dgm:bulletEnabled val="1"/>
        </dgm:presLayoutVars>
      </dgm:prSet>
      <dgm:spPr/>
    </dgm:pt>
    <dgm:pt modelId="{190CF7C3-8597-42E2-AEF0-48BCA60ADCD4}" type="pres">
      <dgm:prSet presAssocID="{C226DDBF-FA73-4A9F-BCD6-9B3947E6E672}" presName="sibTrans" presStyleCnt="0"/>
      <dgm:spPr/>
    </dgm:pt>
    <dgm:pt modelId="{215FAB08-9BAE-4789-B57D-3EBC2EF03054}" type="pres">
      <dgm:prSet presAssocID="{9A67A52A-E7AC-48B0-B083-8C88DE1D2C6B}" presName="composite" presStyleCnt="0"/>
      <dgm:spPr/>
    </dgm:pt>
    <dgm:pt modelId="{25443131-83B4-466E-852D-0A62160E6CAF}" type="pres">
      <dgm:prSet presAssocID="{9A67A52A-E7AC-48B0-B083-8C88DE1D2C6B}" presName="bentUpArrow1" presStyleLbl="alignImgPlace1" presStyleIdx="1" presStyleCnt="2" custLinFactX="-159085" custLinFactNeighborX="-200000" custLinFactNeighborY="12985"/>
      <dgm:spPr/>
    </dgm:pt>
    <dgm:pt modelId="{DC5A5EE0-0FDE-41D6-BE7E-71E4C29CAEB1}" type="pres">
      <dgm:prSet presAssocID="{9A67A52A-E7AC-48B0-B083-8C88DE1D2C6B}" presName="ParentText" presStyleLbl="node1" presStyleIdx="1" presStyleCnt="3" custScaleX="547740" custLinFactX="-28902" custLinFactNeighborX="-100000" custLinFactNeighborY="8503">
        <dgm:presLayoutVars>
          <dgm:chMax val="1"/>
          <dgm:chPref val="1"/>
          <dgm:bulletEnabled val="1"/>
        </dgm:presLayoutVars>
      </dgm:prSet>
      <dgm:spPr/>
      <dgm:t>
        <a:bodyPr/>
        <a:lstStyle/>
        <a:p>
          <a:endParaRPr lang="ru-RU"/>
        </a:p>
      </dgm:t>
    </dgm:pt>
    <dgm:pt modelId="{73023B92-BD17-4832-8A88-7A94EB168F17}" type="pres">
      <dgm:prSet presAssocID="{9A67A52A-E7AC-48B0-B083-8C88DE1D2C6B}" presName="ChildText" presStyleLbl="revTx" presStyleIdx="1" presStyleCnt="2">
        <dgm:presLayoutVars>
          <dgm:chMax val="0"/>
          <dgm:chPref val="0"/>
          <dgm:bulletEnabled val="1"/>
        </dgm:presLayoutVars>
      </dgm:prSet>
      <dgm:spPr/>
    </dgm:pt>
    <dgm:pt modelId="{71C9F579-EC30-4374-88D6-0B493463B71A}" type="pres">
      <dgm:prSet presAssocID="{E5F05FC7-8FBB-44C2-8660-255B152648F5}" presName="sibTrans" presStyleCnt="0"/>
      <dgm:spPr/>
    </dgm:pt>
    <dgm:pt modelId="{ED10C336-A510-4237-A202-3A2072F9FA95}" type="pres">
      <dgm:prSet presAssocID="{E714BDA5-A911-4B2E-A01A-C3ABA954EC4C}" presName="composite" presStyleCnt="0"/>
      <dgm:spPr/>
    </dgm:pt>
    <dgm:pt modelId="{8B177899-D8FA-46E4-BDFB-219E4CE0A5D8}" type="pres">
      <dgm:prSet presAssocID="{E714BDA5-A911-4B2E-A01A-C3ABA954EC4C}" presName="ParentText" presStyleLbl="node1" presStyleIdx="2" presStyleCnt="3" custScaleX="663194" custLinFactX="-65182" custLinFactNeighborX="-100000" custLinFactNeighborY="2752">
        <dgm:presLayoutVars>
          <dgm:chMax val="1"/>
          <dgm:chPref val="1"/>
          <dgm:bulletEnabled val="1"/>
        </dgm:presLayoutVars>
      </dgm:prSet>
      <dgm:spPr/>
      <dgm:t>
        <a:bodyPr/>
        <a:lstStyle/>
        <a:p>
          <a:endParaRPr lang="ru-RU"/>
        </a:p>
      </dgm:t>
    </dgm:pt>
  </dgm:ptLst>
  <dgm:cxnLst>
    <dgm:cxn modelId="{A1E712E5-DC30-444B-93F1-520B938EB02B}" type="presOf" srcId="{40A01B42-56CF-40A0-A153-F69B84012AC2}" destId="{7744504D-3AC4-4157-B7DE-5C37ACBB0DBD}" srcOrd="0" destOrd="0" presId="urn:microsoft.com/office/officeart/2005/8/layout/StepDownProcess"/>
    <dgm:cxn modelId="{784394AF-59A7-40ED-9141-BAF898F1D6FE}" srcId="{40A01B42-56CF-40A0-A153-F69B84012AC2}" destId="{9A67A52A-E7AC-48B0-B083-8C88DE1D2C6B}" srcOrd="1" destOrd="0" parTransId="{8EF2498E-EF19-4CF1-9DF8-EB24DD12E7F1}" sibTransId="{E5F05FC7-8FBB-44C2-8660-255B152648F5}"/>
    <dgm:cxn modelId="{D11F3904-E5D9-4BD5-BFBB-28777EDC9677}" type="presOf" srcId="{9A67A52A-E7AC-48B0-B083-8C88DE1D2C6B}" destId="{DC5A5EE0-0FDE-41D6-BE7E-71E4C29CAEB1}" srcOrd="0" destOrd="0" presId="urn:microsoft.com/office/officeart/2005/8/layout/StepDownProcess"/>
    <dgm:cxn modelId="{2E2CEB50-A184-4D2B-AA81-07BF5BCFA1A2}" srcId="{40A01B42-56CF-40A0-A153-F69B84012AC2}" destId="{E714BDA5-A911-4B2E-A01A-C3ABA954EC4C}" srcOrd="2" destOrd="0" parTransId="{AE49C5FF-4532-464D-AD75-C96CD85C610A}" sibTransId="{CC35623C-417A-4E85-8231-EBD0EB2F2319}"/>
    <dgm:cxn modelId="{20A76A80-20C9-4B1A-93E3-936E4D79A883}" srcId="{40A01B42-56CF-40A0-A153-F69B84012AC2}" destId="{865C226D-6700-4EB3-AAA5-412706A3C5D4}" srcOrd="0" destOrd="0" parTransId="{00AE2D6F-A951-4A1F-A980-F6BEF001C902}" sibTransId="{C226DDBF-FA73-4A9F-BCD6-9B3947E6E672}"/>
    <dgm:cxn modelId="{7DA7BC32-3FC4-4964-AE36-A34DE0D1C515}" type="presOf" srcId="{E714BDA5-A911-4B2E-A01A-C3ABA954EC4C}" destId="{8B177899-D8FA-46E4-BDFB-219E4CE0A5D8}" srcOrd="0" destOrd="0" presId="urn:microsoft.com/office/officeart/2005/8/layout/StepDownProcess"/>
    <dgm:cxn modelId="{7A8EE527-57C7-48A3-B2A2-72BB3B65D9A9}" type="presOf" srcId="{865C226D-6700-4EB3-AAA5-412706A3C5D4}" destId="{F46DB3D0-60C5-45CD-8547-16E9228939F0}" srcOrd="0" destOrd="0" presId="urn:microsoft.com/office/officeart/2005/8/layout/StepDownProcess"/>
    <dgm:cxn modelId="{7F63F781-63A5-467E-856A-D08B6A727532}" type="presParOf" srcId="{7744504D-3AC4-4157-B7DE-5C37ACBB0DBD}" destId="{504B351A-D25D-44A9-A2AD-B0478E33882A}" srcOrd="0" destOrd="0" presId="urn:microsoft.com/office/officeart/2005/8/layout/StepDownProcess"/>
    <dgm:cxn modelId="{89295D63-74ED-428B-863A-A8A4E04E2370}" type="presParOf" srcId="{504B351A-D25D-44A9-A2AD-B0478E33882A}" destId="{DBB4BE55-9515-4C1D-A700-DF7047BC0BA3}" srcOrd="0" destOrd="0" presId="urn:microsoft.com/office/officeart/2005/8/layout/StepDownProcess"/>
    <dgm:cxn modelId="{E8324089-95B7-40A0-9DE4-F4A20104A5CE}" type="presParOf" srcId="{504B351A-D25D-44A9-A2AD-B0478E33882A}" destId="{F46DB3D0-60C5-45CD-8547-16E9228939F0}" srcOrd="1" destOrd="0" presId="urn:microsoft.com/office/officeart/2005/8/layout/StepDownProcess"/>
    <dgm:cxn modelId="{5E3517DD-9F5D-445B-8B65-6A8541E5D456}" type="presParOf" srcId="{504B351A-D25D-44A9-A2AD-B0478E33882A}" destId="{578A80FE-60B3-487B-9C2B-62143ADC0C97}" srcOrd="2" destOrd="0" presId="urn:microsoft.com/office/officeart/2005/8/layout/StepDownProcess"/>
    <dgm:cxn modelId="{D33D4E86-1052-4A47-86D5-14A99C53641A}" type="presParOf" srcId="{7744504D-3AC4-4157-B7DE-5C37ACBB0DBD}" destId="{190CF7C3-8597-42E2-AEF0-48BCA60ADCD4}" srcOrd="1" destOrd="0" presId="urn:microsoft.com/office/officeart/2005/8/layout/StepDownProcess"/>
    <dgm:cxn modelId="{DF2BBAF1-5037-4656-A845-EEBBB91ED0FC}" type="presParOf" srcId="{7744504D-3AC4-4157-B7DE-5C37ACBB0DBD}" destId="{215FAB08-9BAE-4789-B57D-3EBC2EF03054}" srcOrd="2" destOrd="0" presId="urn:microsoft.com/office/officeart/2005/8/layout/StepDownProcess"/>
    <dgm:cxn modelId="{E2EB230C-FA2F-4EEC-B92A-E097609F7A00}" type="presParOf" srcId="{215FAB08-9BAE-4789-B57D-3EBC2EF03054}" destId="{25443131-83B4-466E-852D-0A62160E6CAF}" srcOrd="0" destOrd="0" presId="urn:microsoft.com/office/officeart/2005/8/layout/StepDownProcess"/>
    <dgm:cxn modelId="{9A9BD96A-D725-4F11-85FD-8E3CCF31E37F}" type="presParOf" srcId="{215FAB08-9BAE-4789-B57D-3EBC2EF03054}" destId="{DC5A5EE0-0FDE-41D6-BE7E-71E4C29CAEB1}" srcOrd="1" destOrd="0" presId="urn:microsoft.com/office/officeart/2005/8/layout/StepDownProcess"/>
    <dgm:cxn modelId="{3BE3CFAE-C148-43F2-A23F-56EABD84C710}" type="presParOf" srcId="{215FAB08-9BAE-4789-B57D-3EBC2EF03054}" destId="{73023B92-BD17-4832-8A88-7A94EB168F17}" srcOrd="2" destOrd="0" presId="urn:microsoft.com/office/officeart/2005/8/layout/StepDownProcess"/>
    <dgm:cxn modelId="{52810925-1F50-455E-8322-B9FC738ADA0C}" type="presParOf" srcId="{7744504D-3AC4-4157-B7DE-5C37ACBB0DBD}" destId="{71C9F579-EC30-4374-88D6-0B493463B71A}" srcOrd="3" destOrd="0" presId="urn:microsoft.com/office/officeart/2005/8/layout/StepDownProcess"/>
    <dgm:cxn modelId="{10C5F226-5DEB-4A84-9C71-6F0C21C3C5D5}" type="presParOf" srcId="{7744504D-3AC4-4157-B7DE-5C37ACBB0DBD}" destId="{ED10C336-A510-4237-A202-3A2072F9FA95}" srcOrd="4" destOrd="0" presId="urn:microsoft.com/office/officeart/2005/8/layout/StepDownProcess"/>
    <dgm:cxn modelId="{1ECA368F-4928-4812-8041-769707142FF4}" type="presParOf" srcId="{ED10C336-A510-4237-A202-3A2072F9FA95}" destId="{8B177899-D8FA-46E4-BDFB-219E4CE0A5D8}" srcOrd="0" destOrd="0" presId="urn:microsoft.com/office/officeart/2005/8/layout/StepDownProcess"/>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0A01B42-56CF-40A0-A153-F69B84012AC2}" type="doc">
      <dgm:prSet loTypeId="urn:microsoft.com/office/officeart/2005/8/layout/StepDownProcess" loCatId="process" qsTypeId="urn:microsoft.com/office/officeart/2005/8/quickstyle/simple1" qsCatId="simple" csTypeId="urn:microsoft.com/office/officeart/2005/8/colors/accent1_2" csCatId="accent1" phldr="1"/>
      <dgm:spPr/>
      <dgm:t>
        <a:bodyPr/>
        <a:lstStyle/>
        <a:p>
          <a:endParaRPr lang="ru-RU"/>
        </a:p>
      </dgm:t>
    </dgm:pt>
    <dgm:pt modelId="{865C226D-6700-4EB3-AAA5-412706A3C5D4}">
      <dgm:prSet phldrT="[Текст]" custT="1"/>
      <dgm:spPr>
        <a:solidFill>
          <a:srgbClr val="FFFF00"/>
        </a:solidFill>
      </dgm:spPr>
      <dgm:t>
        <a:bodyPr/>
        <a:lstStyle/>
        <a:p>
          <a:r>
            <a:rPr lang="ru-RU" sz="1000">
              <a:solidFill>
                <a:sysClr val="windowText" lastClr="000000"/>
              </a:solidFill>
              <a:latin typeface="Times New Roman" panose="02020603050405020304" pitchFamily="18" charset="0"/>
              <a:cs typeface="Times New Roman" panose="02020603050405020304" pitchFamily="18" charset="0"/>
            </a:rPr>
            <a:t>Узкие специалисты не всегда совместно решают проблемы здоровья пациентов по репродуктивному потенциалу</a:t>
          </a:r>
        </a:p>
      </dgm:t>
    </dgm:pt>
    <dgm:pt modelId="{00AE2D6F-A951-4A1F-A980-F6BEF001C902}" type="parTrans" cxnId="{20A76A80-20C9-4B1A-93E3-936E4D79A883}">
      <dgm:prSet/>
      <dgm:spPr/>
      <dgm:t>
        <a:bodyPr/>
        <a:lstStyle/>
        <a:p>
          <a:endParaRPr lang="ru-RU"/>
        </a:p>
      </dgm:t>
    </dgm:pt>
    <dgm:pt modelId="{C226DDBF-FA73-4A9F-BCD6-9B3947E6E672}" type="sibTrans" cxnId="{20A76A80-20C9-4B1A-93E3-936E4D79A883}">
      <dgm:prSet/>
      <dgm:spPr/>
      <dgm:t>
        <a:bodyPr/>
        <a:lstStyle/>
        <a:p>
          <a:endParaRPr lang="ru-RU"/>
        </a:p>
      </dgm:t>
    </dgm:pt>
    <dgm:pt modelId="{9A67A52A-E7AC-48B0-B083-8C88DE1D2C6B}">
      <dgm:prSet phldrT="[Текст]" custT="1"/>
      <dgm:spPr>
        <a:solidFill>
          <a:srgbClr val="FFFF00"/>
        </a:solidFill>
      </dgm:spPr>
      <dgm:t>
        <a:bodyPr/>
        <a:lstStyle/>
        <a:p>
          <a:r>
            <a:rPr lang="ru-RU" sz="1000">
              <a:solidFill>
                <a:sysClr val="windowText" lastClr="000000"/>
              </a:solidFill>
              <a:latin typeface="Times New Roman" panose="02020603050405020304" pitchFamily="18" charset="0"/>
              <a:cs typeface="Times New Roman" panose="02020603050405020304" pitchFamily="18" charset="0"/>
            </a:rPr>
            <a:t>развить коммуникативные навыки в коллективе и с пациентами</a:t>
          </a:r>
          <a:endParaRPr lang="ru-RU" sz="1000"/>
        </a:p>
      </dgm:t>
    </dgm:pt>
    <dgm:pt modelId="{8EF2498E-EF19-4CF1-9DF8-EB24DD12E7F1}" type="parTrans" cxnId="{784394AF-59A7-40ED-9141-BAF898F1D6FE}">
      <dgm:prSet/>
      <dgm:spPr/>
      <dgm:t>
        <a:bodyPr/>
        <a:lstStyle/>
        <a:p>
          <a:endParaRPr lang="ru-RU"/>
        </a:p>
      </dgm:t>
    </dgm:pt>
    <dgm:pt modelId="{E5F05FC7-8FBB-44C2-8660-255B152648F5}" type="sibTrans" cxnId="{784394AF-59A7-40ED-9141-BAF898F1D6FE}">
      <dgm:prSet/>
      <dgm:spPr/>
      <dgm:t>
        <a:bodyPr/>
        <a:lstStyle/>
        <a:p>
          <a:endParaRPr lang="ru-RU"/>
        </a:p>
      </dgm:t>
    </dgm:pt>
    <dgm:pt modelId="{E714BDA5-A911-4B2E-A01A-C3ABA954EC4C}">
      <dgm:prSet phldrT="[Текст]" custT="1"/>
      <dgm:spPr>
        <a:solidFill>
          <a:srgbClr val="FFFF00"/>
        </a:solidFill>
      </dgm:spPr>
      <dgm:t>
        <a:bodyPr/>
        <a:lstStyle/>
        <a:p>
          <a:r>
            <a:rPr lang="ru-RU" sz="1000">
              <a:solidFill>
                <a:sysClr val="windowText" lastClr="000000"/>
              </a:solidFill>
              <a:latin typeface="Times New Roman" panose="02020603050405020304" pitchFamily="18" charset="0"/>
              <a:cs typeface="Times New Roman" panose="02020603050405020304" pitchFamily="18" charset="0"/>
            </a:rPr>
            <a:t>повышать квалификацию персонала по репродуктивному потенциалу у пациентов с СД2т</a:t>
          </a:r>
        </a:p>
      </dgm:t>
    </dgm:pt>
    <dgm:pt modelId="{AE49C5FF-4532-464D-AD75-C96CD85C610A}" type="parTrans" cxnId="{2E2CEB50-A184-4D2B-AA81-07BF5BCFA1A2}">
      <dgm:prSet/>
      <dgm:spPr/>
      <dgm:t>
        <a:bodyPr/>
        <a:lstStyle/>
        <a:p>
          <a:endParaRPr lang="ru-RU"/>
        </a:p>
      </dgm:t>
    </dgm:pt>
    <dgm:pt modelId="{CC35623C-417A-4E85-8231-EBD0EB2F2319}" type="sibTrans" cxnId="{2E2CEB50-A184-4D2B-AA81-07BF5BCFA1A2}">
      <dgm:prSet/>
      <dgm:spPr/>
      <dgm:t>
        <a:bodyPr/>
        <a:lstStyle/>
        <a:p>
          <a:endParaRPr lang="ru-RU"/>
        </a:p>
      </dgm:t>
    </dgm:pt>
    <dgm:pt modelId="{7744504D-3AC4-4157-B7DE-5C37ACBB0DBD}" type="pres">
      <dgm:prSet presAssocID="{40A01B42-56CF-40A0-A153-F69B84012AC2}" presName="rootnode" presStyleCnt="0">
        <dgm:presLayoutVars>
          <dgm:chMax/>
          <dgm:chPref/>
          <dgm:dir/>
          <dgm:animLvl val="lvl"/>
        </dgm:presLayoutVars>
      </dgm:prSet>
      <dgm:spPr/>
      <dgm:t>
        <a:bodyPr/>
        <a:lstStyle/>
        <a:p>
          <a:endParaRPr lang="ru-RU"/>
        </a:p>
      </dgm:t>
    </dgm:pt>
    <dgm:pt modelId="{504B351A-D25D-44A9-A2AD-B0478E33882A}" type="pres">
      <dgm:prSet presAssocID="{865C226D-6700-4EB3-AAA5-412706A3C5D4}" presName="composite" presStyleCnt="0"/>
      <dgm:spPr/>
    </dgm:pt>
    <dgm:pt modelId="{DBB4BE55-9515-4C1D-A700-DF7047BC0BA3}" type="pres">
      <dgm:prSet presAssocID="{865C226D-6700-4EB3-AAA5-412706A3C5D4}" presName="bentUpArrow1" presStyleLbl="alignImgPlace1" presStyleIdx="0" presStyleCnt="2" custScaleX="155062" custLinFactX="-100000" custLinFactNeighborX="-150104"/>
      <dgm:spPr/>
    </dgm:pt>
    <dgm:pt modelId="{F46DB3D0-60C5-45CD-8547-16E9228939F0}" type="pres">
      <dgm:prSet presAssocID="{865C226D-6700-4EB3-AAA5-412706A3C5D4}" presName="ParentText" presStyleLbl="node1" presStyleIdx="0" presStyleCnt="3" custScaleX="494553" custScaleY="137493" custLinFactNeighborX="-421" custLinFactNeighborY="-14147">
        <dgm:presLayoutVars>
          <dgm:chMax val="1"/>
          <dgm:chPref val="1"/>
          <dgm:bulletEnabled val="1"/>
        </dgm:presLayoutVars>
      </dgm:prSet>
      <dgm:spPr/>
      <dgm:t>
        <a:bodyPr/>
        <a:lstStyle/>
        <a:p>
          <a:endParaRPr lang="ru-RU"/>
        </a:p>
      </dgm:t>
    </dgm:pt>
    <dgm:pt modelId="{578A80FE-60B3-487B-9C2B-62143ADC0C97}" type="pres">
      <dgm:prSet presAssocID="{865C226D-6700-4EB3-AAA5-412706A3C5D4}" presName="ChildText" presStyleLbl="revTx" presStyleIdx="0" presStyleCnt="2">
        <dgm:presLayoutVars>
          <dgm:chMax val="0"/>
          <dgm:chPref val="0"/>
          <dgm:bulletEnabled val="1"/>
        </dgm:presLayoutVars>
      </dgm:prSet>
      <dgm:spPr/>
    </dgm:pt>
    <dgm:pt modelId="{190CF7C3-8597-42E2-AEF0-48BCA60ADCD4}" type="pres">
      <dgm:prSet presAssocID="{C226DDBF-FA73-4A9F-BCD6-9B3947E6E672}" presName="sibTrans" presStyleCnt="0"/>
      <dgm:spPr/>
    </dgm:pt>
    <dgm:pt modelId="{215FAB08-9BAE-4789-B57D-3EBC2EF03054}" type="pres">
      <dgm:prSet presAssocID="{9A67A52A-E7AC-48B0-B083-8C88DE1D2C6B}" presName="composite" presStyleCnt="0"/>
      <dgm:spPr/>
    </dgm:pt>
    <dgm:pt modelId="{25443131-83B4-466E-852D-0A62160E6CAF}" type="pres">
      <dgm:prSet presAssocID="{9A67A52A-E7AC-48B0-B083-8C88DE1D2C6B}" presName="bentUpArrow1" presStyleLbl="alignImgPlace1" presStyleIdx="1" presStyleCnt="2" custLinFactX="-159085" custLinFactNeighborX="-200000" custLinFactNeighborY="12985"/>
      <dgm:spPr/>
    </dgm:pt>
    <dgm:pt modelId="{DC5A5EE0-0FDE-41D6-BE7E-71E4C29CAEB1}" type="pres">
      <dgm:prSet presAssocID="{9A67A52A-E7AC-48B0-B083-8C88DE1D2C6B}" presName="ParentText" presStyleLbl="node1" presStyleIdx="1" presStyleCnt="3" custScaleX="547740" custLinFactX="-28902" custLinFactNeighborX="-100000" custLinFactNeighborY="8503">
        <dgm:presLayoutVars>
          <dgm:chMax val="1"/>
          <dgm:chPref val="1"/>
          <dgm:bulletEnabled val="1"/>
        </dgm:presLayoutVars>
      </dgm:prSet>
      <dgm:spPr/>
      <dgm:t>
        <a:bodyPr/>
        <a:lstStyle/>
        <a:p>
          <a:endParaRPr lang="ru-RU"/>
        </a:p>
      </dgm:t>
    </dgm:pt>
    <dgm:pt modelId="{73023B92-BD17-4832-8A88-7A94EB168F17}" type="pres">
      <dgm:prSet presAssocID="{9A67A52A-E7AC-48B0-B083-8C88DE1D2C6B}" presName="ChildText" presStyleLbl="revTx" presStyleIdx="1" presStyleCnt="2">
        <dgm:presLayoutVars>
          <dgm:chMax val="0"/>
          <dgm:chPref val="0"/>
          <dgm:bulletEnabled val="1"/>
        </dgm:presLayoutVars>
      </dgm:prSet>
      <dgm:spPr/>
    </dgm:pt>
    <dgm:pt modelId="{71C9F579-EC30-4374-88D6-0B493463B71A}" type="pres">
      <dgm:prSet presAssocID="{E5F05FC7-8FBB-44C2-8660-255B152648F5}" presName="sibTrans" presStyleCnt="0"/>
      <dgm:spPr/>
    </dgm:pt>
    <dgm:pt modelId="{ED10C336-A510-4237-A202-3A2072F9FA95}" type="pres">
      <dgm:prSet presAssocID="{E714BDA5-A911-4B2E-A01A-C3ABA954EC4C}" presName="composite" presStyleCnt="0"/>
      <dgm:spPr/>
    </dgm:pt>
    <dgm:pt modelId="{8B177899-D8FA-46E4-BDFB-219E4CE0A5D8}" type="pres">
      <dgm:prSet presAssocID="{E714BDA5-A911-4B2E-A01A-C3ABA954EC4C}" presName="ParentText" presStyleLbl="node1" presStyleIdx="2" presStyleCnt="3" custScaleX="663194" custLinFactX="-65182" custLinFactNeighborX="-100000" custLinFactNeighborY="2752">
        <dgm:presLayoutVars>
          <dgm:chMax val="1"/>
          <dgm:chPref val="1"/>
          <dgm:bulletEnabled val="1"/>
        </dgm:presLayoutVars>
      </dgm:prSet>
      <dgm:spPr/>
      <dgm:t>
        <a:bodyPr/>
        <a:lstStyle/>
        <a:p>
          <a:endParaRPr lang="ru-RU"/>
        </a:p>
      </dgm:t>
    </dgm:pt>
  </dgm:ptLst>
  <dgm:cxnLst>
    <dgm:cxn modelId="{784394AF-59A7-40ED-9141-BAF898F1D6FE}" srcId="{40A01B42-56CF-40A0-A153-F69B84012AC2}" destId="{9A67A52A-E7AC-48B0-B083-8C88DE1D2C6B}" srcOrd="1" destOrd="0" parTransId="{8EF2498E-EF19-4CF1-9DF8-EB24DD12E7F1}" sibTransId="{E5F05FC7-8FBB-44C2-8660-255B152648F5}"/>
    <dgm:cxn modelId="{0A90CA5B-FD63-4197-856B-D9176A3BA9F4}" type="presOf" srcId="{40A01B42-56CF-40A0-A153-F69B84012AC2}" destId="{7744504D-3AC4-4157-B7DE-5C37ACBB0DBD}" srcOrd="0" destOrd="0" presId="urn:microsoft.com/office/officeart/2005/8/layout/StepDownProcess"/>
    <dgm:cxn modelId="{82B457F8-9454-4746-8E1C-67A58879F7C8}" type="presOf" srcId="{E714BDA5-A911-4B2E-A01A-C3ABA954EC4C}" destId="{8B177899-D8FA-46E4-BDFB-219E4CE0A5D8}" srcOrd="0" destOrd="0" presId="urn:microsoft.com/office/officeart/2005/8/layout/StepDownProcess"/>
    <dgm:cxn modelId="{2E2CEB50-A184-4D2B-AA81-07BF5BCFA1A2}" srcId="{40A01B42-56CF-40A0-A153-F69B84012AC2}" destId="{E714BDA5-A911-4B2E-A01A-C3ABA954EC4C}" srcOrd="2" destOrd="0" parTransId="{AE49C5FF-4532-464D-AD75-C96CD85C610A}" sibTransId="{CC35623C-417A-4E85-8231-EBD0EB2F2319}"/>
    <dgm:cxn modelId="{3CE2E003-4E60-4C19-898C-6D5DD98D54D7}" type="presOf" srcId="{9A67A52A-E7AC-48B0-B083-8C88DE1D2C6B}" destId="{DC5A5EE0-0FDE-41D6-BE7E-71E4C29CAEB1}" srcOrd="0" destOrd="0" presId="urn:microsoft.com/office/officeart/2005/8/layout/StepDownProcess"/>
    <dgm:cxn modelId="{56FF5BD9-A7BC-4BB0-8710-9D84EA931848}" type="presOf" srcId="{865C226D-6700-4EB3-AAA5-412706A3C5D4}" destId="{F46DB3D0-60C5-45CD-8547-16E9228939F0}" srcOrd="0" destOrd="0" presId="urn:microsoft.com/office/officeart/2005/8/layout/StepDownProcess"/>
    <dgm:cxn modelId="{20A76A80-20C9-4B1A-93E3-936E4D79A883}" srcId="{40A01B42-56CF-40A0-A153-F69B84012AC2}" destId="{865C226D-6700-4EB3-AAA5-412706A3C5D4}" srcOrd="0" destOrd="0" parTransId="{00AE2D6F-A951-4A1F-A980-F6BEF001C902}" sibTransId="{C226DDBF-FA73-4A9F-BCD6-9B3947E6E672}"/>
    <dgm:cxn modelId="{648BF9F3-84E5-438B-BCA2-A1B384E3E8A0}" type="presParOf" srcId="{7744504D-3AC4-4157-B7DE-5C37ACBB0DBD}" destId="{504B351A-D25D-44A9-A2AD-B0478E33882A}" srcOrd="0" destOrd="0" presId="urn:microsoft.com/office/officeart/2005/8/layout/StepDownProcess"/>
    <dgm:cxn modelId="{3C1B5F8A-C0E7-4434-A1C6-253DF6253962}" type="presParOf" srcId="{504B351A-D25D-44A9-A2AD-B0478E33882A}" destId="{DBB4BE55-9515-4C1D-A700-DF7047BC0BA3}" srcOrd="0" destOrd="0" presId="urn:microsoft.com/office/officeart/2005/8/layout/StepDownProcess"/>
    <dgm:cxn modelId="{2426267C-C356-44D8-9B45-6A2E0E73D418}" type="presParOf" srcId="{504B351A-D25D-44A9-A2AD-B0478E33882A}" destId="{F46DB3D0-60C5-45CD-8547-16E9228939F0}" srcOrd="1" destOrd="0" presId="urn:microsoft.com/office/officeart/2005/8/layout/StepDownProcess"/>
    <dgm:cxn modelId="{D74899F7-E766-4DFB-A636-0B0A0D3E1EF0}" type="presParOf" srcId="{504B351A-D25D-44A9-A2AD-B0478E33882A}" destId="{578A80FE-60B3-487B-9C2B-62143ADC0C97}" srcOrd="2" destOrd="0" presId="urn:microsoft.com/office/officeart/2005/8/layout/StepDownProcess"/>
    <dgm:cxn modelId="{5F72B5CB-FA07-4191-88DC-6579674408CB}" type="presParOf" srcId="{7744504D-3AC4-4157-B7DE-5C37ACBB0DBD}" destId="{190CF7C3-8597-42E2-AEF0-48BCA60ADCD4}" srcOrd="1" destOrd="0" presId="urn:microsoft.com/office/officeart/2005/8/layout/StepDownProcess"/>
    <dgm:cxn modelId="{99CF84CF-3EC2-498B-BD7B-C4AC6300098D}" type="presParOf" srcId="{7744504D-3AC4-4157-B7DE-5C37ACBB0DBD}" destId="{215FAB08-9BAE-4789-B57D-3EBC2EF03054}" srcOrd="2" destOrd="0" presId="urn:microsoft.com/office/officeart/2005/8/layout/StepDownProcess"/>
    <dgm:cxn modelId="{105770DB-1F04-4367-90AE-E8B74702E6DF}" type="presParOf" srcId="{215FAB08-9BAE-4789-B57D-3EBC2EF03054}" destId="{25443131-83B4-466E-852D-0A62160E6CAF}" srcOrd="0" destOrd="0" presId="urn:microsoft.com/office/officeart/2005/8/layout/StepDownProcess"/>
    <dgm:cxn modelId="{49CC03B8-5D60-4083-B6C3-594807CB62F4}" type="presParOf" srcId="{215FAB08-9BAE-4789-B57D-3EBC2EF03054}" destId="{DC5A5EE0-0FDE-41D6-BE7E-71E4C29CAEB1}" srcOrd="1" destOrd="0" presId="urn:microsoft.com/office/officeart/2005/8/layout/StepDownProcess"/>
    <dgm:cxn modelId="{BA61FC95-82F5-4CA0-90B1-53808820FFD2}" type="presParOf" srcId="{215FAB08-9BAE-4789-B57D-3EBC2EF03054}" destId="{73023B92-BD17-4832-8A88-7A94EB168F17}" srcOrd="2" destOrd="0" presId="urn:microsoft.com/office/officeart/2005/8/layout/StepDownProcess"/>
    <dgm:cxn modelId="{85445631-5F31-441C-BB35-A88D51C5420E}" type="presParOf" srcId="{7744504D-3AC4-4157-B7DE-5C37ACBB0DBD}" destId="{71C9F579-EC30-4374-88D6-0B493463B71A}" srcOrd="3" destOrd="0" presId="urn:microsoft.com/office/officeart/2005/8/layout/StepDownProcess"/>
    <dgm:cxn modelId="{0C81001A-2EF2-489A-BE02-08AEE09C6A98}" type="presParOf" srcId="{7744504D-3AC4-4157-B7DE-5C37ACBB0DBD}" destId="{ED10C336-A510-4237-A202-3A2072F9FA95}" srcOrd="4" destOrd="0" presId="urn:microsoft.com/office/officeart/2005/8/layout/StepDownProcess"/>
    <dgm:cxn modelId="{87A8058E-5B00-47D3-A762-E98A2DBE3EB5}" type="presParOf" srcId="{ED10C336-A510-4237-A202-3A2072F9FA95}" destId="{8B177899-D8FA-46E4-BDFB-219E4CE0A5D8}" srcOrd="0" destOrd="0" presId="urn:microsoft.com/office/officeart/2005/8/layout/StepDownProcess"/>
  </dgm:cxnLst>
  <dgm:bg/>
  <dgm:whole/>
  <dgm:extLst>
    <a:ext uri="http://schemas.microsoft.com/office/drawing/2008/diagram">
      <dsp:dataModelExt xmlns:dsp="http://schemas.microsoft.com/office/drawing/2008/diagram" relId="rId10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0A01B42-56CF-40A0-A153-F69B84012AC2}" type="doc">
      <dgm:prSet loTypeId="urn:microsoft.com/office/officeart/2005/8/layout/StepDownProcess" loCatId="process" qsTypeId="urn:microsoft.com/office/officeart/2005/8/quickstyle/simple1" qsCatId="simple" csTypeId="urn:microsoft.com/office/officeart/2005/8/colors/accent1_2" csCatId="accent1" phldr="1"/>
      <dgm:spPr/>
      <dgm:t>
        <a:bodyPr/>
        <a:lstStyle/>
        <a:p>
          <a:endParaRPr lang="ru-RU"/>
        </a:p>
      </dgm:t>
    </dgm:pt>
    <dgm:pt modelId="{865C226D-6700-4EB3-AAA5-412706A3C5D4}">
      <dgm:prSet phldrT="[Текст]" custT="1"/>
      <dgm:spPr>
        <a:solidFill>
          <a:srgbClr val="FFFF00"/>
        </a:solidFill>
      </dgm:spPr>
      <dgm:t>
        <a:bodyPr/>
        <a:lstStyle/>
        <a:p>
          <a:r>
            <a:rPr lang="ru-RU" sz="1000">
              <a:solidFill>
                <a:sysClr val="windowText" lastClr="000000"/>
              </a:solidFill>
              <a:latin typeface="Times New Roman" panose="02020603050405020304" pitchFamily="18" charset="0"/>
              <a:cs typeface="Times New Roman" panose="02020603050405020304" pitchFamily="18" charset="0"/>
            </a:rPr>
            <a:t>У персонала нет навыков выявления психосоциальных проблем пациента с СД2т</a:t>
          </a:r>
        </a:p>
      </dgm:t>
    </dgm:pt>
    <dgm:pt modelId="{00AE2D6F-A951-4A1F-A980-F6BEF001C902}" type="parTrans" cxnId="{20A76A80-20C9-4B1A-93E3-936E4D79A883}">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C226DDBF-FA73-4A9F-BCD6-9B3947E6E672}" type="sibTrans" cxnId="{20A76A80-20C9-4B1A-93E3-936E4D79A883}">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9A67A52A-E7AC-48B0-B083-8C88DE1D2C6B}">
      <dgm:prSet phldrT="[Текст]" custT="1"/>
      <dgm:spPr>
        <a:solidFill>
          <a:srgbClr val="FFFF00"/>
        </a:solidFill>
      </dgm:spPr>
      <dgm:t>
        <a:bodyPr/>
        <a:lstStyle/>
        <a:p>
          <a:r>
            <a:rPr lang="ru-RU" sz="1000">
              <a:solidFill>
                <a:sysClr val="windowText" lastClr="000000"/>
              </a:solidFill>
              <a:latin typeface="Times New Roman" panose="02020603050405020304" pitchFamily="18" charset="0"/>
              <a:cs typeface="Times New Roman" panose="02020603050405020304" pitchFamily="18" charset="0"/>
            </a:rPr>
            <a:t>нет навыков по оценке психосоциального статуса пациента и  распределения по специфике </a:t>
          </a:r>
        </a:p>
      </dgm:t>
    </dgm:pt>
    <dgm:pt modelId="{8EF2498E-EF19-4CF1-9DF8-EB24DD12E7F1}" type="parTrans" cxnId="{784394AF-59A7-40ED-9141-BAF898F1D6FE}">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E5F05FC7-8FBB-44C2-8660-255B152648F5}" type="sibTrans" cxnId="{784394AF-59A7-40ED-9141-BAF898F1D6FE}">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E714BDA5-A911-4B2E-A01A-C3ABA954EC4C}">
      <dgm:prSet phldrT="[Текст]" custT="1"/>
      <dgm:spPr>
        <a:solidFill>
          <a:srgbClr val="FFFF00"/>
        </a:solidFill>
      </dgm:spPr>
      <dgm:t>
        <a:bodyPr/>
        <a:lstStyle/>
        <a:p>
          <a:r>
            <a:rPr lang="ru-RU" sz="1000">
              <a:solidFill>
                <a:sysClr val="windowText" lastClr="000000"/>
              </a:solidFill>
              <a:latin typeface="Times New Roman" panose="02020603050405020304" pitchFamily="18" charset="0"/>
              <a:cs typeface="Times New Roman" panose="02020603050405020304" pitchFamily="18" charset="0"/>
            </a:rPr>
            <a:t>нет четкого маршрута пациента и контроль за его выполнением</a:t>
          </a:r>
        </a:p>
      </dgm:t>
    </dgm:pt>
    <dgm:pt modelId="{AE49C5FF-4532-464D-AD75-C96CD85C610A}" type="parTrans" cxnId="{2E2CEB50-A184-4D2B-AA81-07BF5BCFA1A2}">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CC35623C-417A-4E85-8231-EBD0EB2F2319}" type="sibTrans" cxnId="{2E2CEB50-A184-4D2B-AA81-07BF5BCFA1A2}">
      <dgm:prSet/>
      <dgm:spPr/>
      <dgm:t>
        <a:bodyPr/>
        <a:lstStyle/>
        <a:p>
          <a:endParaRPr lang="ru-RU" sz="1000">
            <a:solidFill>
              <a:sysClr val="windowText" lastClr="000000"/>
            </a:solidFill>
            <a:latin typeface="Times New Roman" panose="02020603050405020304" pitchFamily="18" charset="0"/>
            <a:cs typeface="Times New Roman" panose="02020603050405020304" pitchFamily="18" charset="0"/>
          </a:endParaRPr>
        </a:p>
      </dgm:t>
    </dgm:pt>
    <dgm:pt modelId="{7744504D-3AC4-4157-B7DE-5C37ACBB0DBD}" type="pres">
      <dgm:prSet presAssocID="{40A01B42-56CF-40A0-A153-F69B84012AC2}" presName="rootnode" presStyleCnt="0">
        <dgm:presLayoutVars>
          <dgm:chMax/>
          <dgm:chPref/>
          <dgm:dir/>
          <dgm:animLvl val="lvl"/>
        </dgm:presLayoutVars>
      </dgm:prSet>
      <dgm:spPr/>
      <dgm:t>
        <a:bodyPr/>
        <a:lstStyle/>
        <a:p>
          <a:endParaRPr lang="ru-RU"/>
        </a:p>
      </dgm:t>
    </dgm:pt>
    <dgm:pt modelId="{504B351A-D25D-44A9-A2AD-B0478E33882A}" type="pres">
      <dgm:prSet presAssocID="{865C226D-6700-4EB3-AAA5-412706A3C5D4}" presName="composite" presStyleCnt="0"/>
      <dgm:spPr/>
    </dgm:pt>
    <dgm:pt modelId="{DBB4BE55-9515-4C1D-A700-DF7047BC0BA3}" type="pres">
      <dgm:prSet presAssocID="{865C226D-6700-4EB3-AAA5-412706A3C5D4}" presName="bentUpArrow1" presStyleLbl="alignImgPlace1" presStyleIdx="0" presStyleCnt="2" custScaleX="155062" custLinFactX="-100000" custLinFactNeighborX="-150104"/>
      <dgm:spPr/>
    </dgm:pt>
    <dgm:pt modelId="{F46DB3D0-60C5-45CD-8547-16E9228939F0}" type="pres">
      <dgm:prSet presAssocID="{865C226D-6700-4EB3-AAA5-412706A3C5D4}" presName="ParentText" presStyleLbl="node1" presStyleIdx="0" presStyleCnt="3" custScaleX="497568" custScaleY="142852" custLinFactNeighborX="-310" custLinFactNeighborY="-16544">
        <dgm:presLayoutVars>
          <dgm:chMax val="1"/>
          <dgm:chPref val="1"/>
          <dgm:bulletEnabled val="1"/>
        </dgm:presLayoutVars>
      </dgm:prSet>
      <dgm:spPr/>
      <dgm:t>
        <a:bodyPr/>
        <a:lstStyle/>
        <a:p>
          <a:endParaRPr lang="ru-RU"/>
        </a:p>
      </dgm:t>
    </dgm:pt>
    <dgm:pt modelId="{578A80FE-60B3-487B-9C2B-62143ADC0C97}" type="pres">
      <dgm:prSet presAssocID="{865C226D-6700-4EB3-AAA5-412706A3C5D4}" presName="ChildText" presStyleLbl="revTx" presStyleIdx="0" presStyleCnt="2">
        <dgm:presLayoutVars>
          <dgm:chMax val="0"/>
          <dgm:chPref val="0"/>
          <dgm:bulletEnabled val="1"/>
        </dgm:presLayoutVars>
      </dgm:prSet>
      <dgm:spPr/>
    </dgm:pt>
    <dgm:pt modelId="{190CF7C3-8597-42E2-AEF0-48BCA60ADCD4}" type="pres">
      <dgm:prSet presAssocID="{C226DDBF-FA73-4A9F-BCD6-9B3947E6E672}" presName="sibTrans" presStyleCnt="0"/>
      <dgm:spPr/>
    </dgm:pt>
    <dgm:pt modelId="{215FAB08-9BAE-4789-B57D-3EBC2EF03054}" type="pres">
      <dgm:prSet presAssocID="{9A67A52A-E7AC-48B0-B083-8C88DE1D2C6B}" presName="composite" presStyleCnt="0"/>
      <dgm:spPr/>
    </dgm:pt>
    <dgm:pt modelId="{25443131-83B4-466E-852D-0A62160E6CAF}" type="pres">
      <dgm:prSet presAssocID="{9A67A52A-E7AC-48B0-B083-8C88DE1D2C6B}" presName="bentUpArrow1" presStyleLbl="alignImgPlace1" presStyleIdx="1" presStyleCnt="2" custLinFactX="-159085" custLinFactNeighborX="-200000" custLinFactNeighborY="12985"/>
      <dgm:spPr/>
    </dgm:pt>
    <dgm:pt modelId="{DC5A5EE0-0FDE-41D6-BE7E-71E4C29CAEB1}" type="pres">
      <dgm:prSet presAssocID="{9A67A52A-E7AC-48B0-B083-8C88DE1D2C6B}" presName="ParentText" presStyleLbl="node1" presStyleIdx="1" presStyleCnt="3" custScaleX="547740" custLinFactX="-28902" custLinFactNeighborX="-100000" custLinFactNeighborY="8503">
        <dgm:presLayoutVars>
          <dgm:chMax val="1"/>
          <dgm:chPref val="1"/>
          <dgm:bulletEnabled val="1"/>
        </dgm:presLayoutVars>
      </dgm:prSet>
      <dgm:spPr/>
      <dgm:t>
        <a:bodyPr/>
        <a:lstStyle/>
        <a:p>
          <a:endParaRPr lang="ru-RU"/>
        </a:p>
      </dgm:t>
    </dgm:pt>
    <dgm:pt modelId="{73023B92-BD17-4832-8A88-7A94EB168F17}" type="pres">
      <dgm:prSet presAssocID="{9A67A52A-E7AC-48B0-B083-8C88DE1D2C6B}" presName="ChildText" presStyleLbl="revTx" presStyleIdx="1" presStyleCnt="2">
        <dgm:presLayoutVars>
          <dgm:chMax val="0"/>
          <dgm:chPref val="0"/>
          <dgm:bulletEnabled val="1"/>
        </dgm:presLayoutVars>
      </dgm:prSet>
      <dgm:spPr/>
    </dgm:pt>
    <dgm:pt modelId="{71C9F579-EC30-4374-88D6-0B493463B71A}" type="pres">
      <dgm:prSet presAssocID="{E5F05FC7-8FBB-44C2-8660-255B152648F5}" presName="sibTrans" presStyleCnt="0"/>
      <dgm:spPr/>
    </dgm:pt>
    <dgm:pt modelId="{ED10C336-A510-4237-A202-3A2072F9FA95}" type="pres">
      <dgm:prSet presAssocID="{E714BDA5-A911-4B2E-A01A-C3ABA954EC4C}" presName="composite" presStyleCnt="0"/>
      <dgm:spPr/>
    </dgm:pt>
    <dgm:pt modelId="{8B177899-D8FA-46E4-BDFB-219E4CE0A5D8}" type="pres">
      <dgm:prSet presAssocID="{E714BDA5-A911-4B2E-A01A-C3ABA954EC4C}" presName="ParentText" presStyleLbl="node1" presStyleIdx="2" presStyleCnt="3" custScaleX="663194" custLinFactX="-65182" custLinFactNeighborX="-100000" custLinFactNeighborY="2752">
        <dgm:presLayoutVars>
          <dgm:chMax val="1"/>
          <dgm:chPref val="1"/>
          <dgm:bulletEnabled val="1"/>
        </dgm:presLayoutVars>
      </dgm:prSet>
      <dgm:spPr/>
      <dgm:t>
        <a:bodyPr/>
        <a:lstStyle/>
        <a:p>
          <a:endParaRPr lang="ru-RU"/>
        </a:p>
      </dgm:t>
    </dgm:pt>
  </dgm:ptLst>
  <dgm:cxnLst>
    <dgm:cxn modelId="{784394AF-59A7-40ED-9141-BAF898F1D6FE}" srcId="{40A01B42-56CF-40A0-A153-F69B84012AC2}" destId="{9A67A52A-E7AC-48B0-B083-8C88DE1D2C6B}" srcOrd="1" destOrd="0" parTransId="{8EF2498E-EF19-4CF1-9DF8-EB24DD12E7F1}" sibTransId="{E5F05FC7-8FBB-44C2-8660-255B152648F5}"/>
    <dgm:cxn modelId="{20A76A80-20C9-4B1A-93E3-936E4D79A883}" srcId="{40A01B42-56CF-40A0-A153-F69B84012AC2}" destId="{865C226D-6700-4EB3-AAA5-412706A3C5D4}" srcOrd="0" destOrd="0" parTransId="{00AE2D6F-A951-4A1F-A980-F6BEF001C902}" sibTransId="{C226DDBF-FA73-4A9F-BCD6-9B3947E6E672}"/>
    <dgm:cxn modelId="{B2B2C6B2-C70F-49EE-9A9C-68F224C94586}" type="presOf" srcId="{40A01B42-56CF-40A0-A153-F69B84012AC2}" destId="{7744504D-3AC4-4157-B7DE-5C37ACBB0DBD}" srcOrd="0" destOrd="0" presId="urn:microsoft.com/office/officeart/2005/8/layout/StepDownProcess"/>
    <dgm:cxn modelId="{E36A0409-82E1-4F16-9883-9427260B17D8}" type="presOf" srcId="{865C226D-6700-4EB3-AAA5-412706A3C5D4}" destId="{F46DB3D0-60C5-45CD-8547-16E9228939F0}" srcOrd="0" destOrd="0" presId="urn:microsoft.com/office/officeart/2005/8/layout/StepDownProcess"/>
    <dgm:cxn modelId="{8C33B02E-B20A-4D73-BDD3-C6A6D000AE2F}" type="presOf" srcId="{9A67A52A-E7AC-48B0-B083-8C88DE1D2C6B}" destId="{DC5A5EE0-0FDE-41D6-BE7E-71E4C29CAEB1}" srcOrd="0" destOrd="0" presId="urn:microsoft.com/office/officeart/2005/8/layout/StepDownProcess"/>
    <dgm:cxn modelId="{2DEAF683-50DB-4137-960F-4A1FA7A72C69}" type="presOf" srcId="{E714BDA5-A911-4B2E-A01A-C3ABA954EC4C}" destId="{8B177899-D8FA-46E4-BDFB-219E4CE0A5D8}" srcOrd="0" destOrd="0" presId="urn:microsoft.com/office/officeart/2005/8/layout/StepDownProcess"/>
    <dgm:cxn modelId="{2E2CEB50-A184-4D2B-AA81-07BF5BCFA1A2}" srcId="{40A01B42-56CF-40A0-A153-F69B84012AC2}" destId="{E714BDA5-A911-4B2E-A01A-C3ABA954EC4C}" srcOrd="2" destOrd="0" parTransId="{AE49C5FF-4532-464D-AD75-C96CD85C610A}" sibTransId="{CC35623C-417A-4E85-8231-EBD0EB2F2319}"/>
    <dgm:cxn modelId="{F38A766C-7B91-4821-92C0-561B91FB7DA7}" type="presParOf" srcId="{7744504D-3AC4-4157-B7DE-5C37ACBB0DBD}" destId="{504B351A-D25D-44A9-A2AD-B0478E33882A}" srcOrd="0" destOrd="0" presId="urn:microsoft.com/office/officeart/2005/8/layout/StepDownProcess"/>
    <dgm:cxn modelId="{023D508F-6081-4D0C-BC50-DF7F440328D0}" type="presParOf" srcId="{504B351A-D25D-44A9-A2AD-B0478E33882A}" destId="{DBB4BE55-9515-4C1D-A700-DF7047BC0BA3}" srcOrd="0" destOrd="0" presId="urn:microsoft.com/office/officeart/2005/8/layout/StepDownProcess"/>
    <dgm:cxn modelId="{4C1469A1-5224-4B98-B16E-63145DFECBE0}" type="presParOf" srcId="{504B351A-D25D-44A9-A2AD-B0478E33882A}" destId="{F46DB3D0-60C5-45CD-8547-16E9228939F0}" srcOrd="1" destOrd="0" presId="urn:microsoft.com/office/officeart/2005/8/layout/StepDownProcess"/>
    <dgm:cxn modelId="{4694A310-18ED-4F7A-8106-16F894D8866E}" type="presParOf" srcId="{504B351A-D25D-44A9-A2AD-B0478E33882A}" destId="{578A80FE-60B3-487B-9C2B-62143ADC0C97}" srcOrd="2" destOrd="0" presId="urn:microsoft.com/office/officeart/2005/8/layout/StepDownProcess"/>
    <dgm:cxn modelId="{6D0649FB-7794-46DF-AD2D-CCDE754EC04A}" type="presParOf" srcId="{7744504D-3AC4-4157-B7DE-5C37ACBB0DBD}" destId="{190CF7C3-8597-42E2-AEF0-48BCA60ADCD4}" srcOrd="1" destOrd="0" presId="urn:microsoft.com/office/officeart/2005/8/layout/StepDownProcess"/>
    <dgm:cxn modelId="{B2323DE2-FCAC-46EB-AE99-DA862A6B8F1B}" type="presParOf" srcId="{7744504D-3AC4-4157-B7DE-5C37ACBB0DBD}" destId="{215FAB08-9BAE-4789-B57D-3EBC2EF03054}" srcOrd="2" destOrd="0" presId="urn:microsoft.com/office/officeart/2005/8/layout/StepDownProcess"/>
    <dgm:cxn modelId="{5EEB0C71-A767-4601-9C9A-E2EA85B8BB3D}" type="presParOf" srcId="{215FAB08-9BAE-4789-B57D-3EBC2EF03054}" destId="{25443131-83B4-466E-852D-0A62160E6CAF}" srcOrd="0" destOrd="0" presId="urn:microsoft.com/office/officeart/2005/8/layout/StepDownProcess"/>
    <dgm:cxn modelId="{4067B2EB-7FD7-4FA2-B60D-6FDAA7EC3326}" type="presParOf" srcId="{215FAB08-9BAE-4789-B57D-3EBC2EF03054}" destId="{DC5A5EE0-0FDE-41D6-BE7E-71E4C29CAEB1}" srcOrd="1" destOrd="0" presId="urn:microsoft.com/office/officeart/2005/8/layout/StepDownProcess"/>
    <dgm:cxn modelId="{D2553327-E42A-4032-B4E6-950BBE81C728}" type="presParOf" srcId="{215FAB08-9BAE-4789-B57D-3EBC2EF03054}" destId="{73023B92-BD17-4832-8A88-7A94EB168F17}" srcOrd="2" destOrd="0" presId="urn:microsoft.com/office/officeart/2005/8/layout/StepDownProcess"/>
    <dgm:cxn modelId="{6B781ACB-5A47-4E39-AE28-C41734AC1AEA}" type="presParOf" srcId="{7744504D-3AC4-4157-B7DE-5C37ACBB0DBD}" destId="{71C9F579-EC30-4374-88D6-0B493463B71A}" srcOrd="3" destOrd="0" presId="urn:microsoft.com/office/officeart/2005/8/layout/StepDownProcess"/>
    <dgm:cxn modelId="{B9D37D36-9899-4C60-AF57-519D0B0988AF}" type="presParOf" srcId="{7744504D-3AC4-4157-B7DE-5C37ACBB0DBD}" destId="{ED10C336-A510-4237-A202-3A2072F9FA95}" srcOrd="4" destOrd="0" presId="urn:microsoft.com/office/officeart/2005/8/layout/StepDownProcess"/>
    <dgm:cxn modelId="{9374C58C-A01E-43CC-AF7F-B9413026D137}" type="presParOf" srcId="{ED10C336-A510-4237-A202-3A2072F9FA95}" destId="{8B177899-D8FA-46E4-BDFB-219E4CE0A5D8}" srcOrd="0" destOrd="0" presId="urn:microsoft.com/office/officeart/2005/8/layout/StepDownProcess"/>
  </dgm:cxnLst>
  <dgm:bg/>
  <dgm:whole/>
  <dgm:extLst>
    <a:ext uri="http://schemas.microsoft.com/office/drawing/2008/diagram">
      <dsp:dataModelExt xmlns:dsp="http://schemas.microsoft.com/office/drawing/2008/diagram" relId="rId1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B4BE55-9515-4C1D-A700-DF7047BC0BA3}">
      <dsp:nvSpPr>
        <dsp:cNvPr id="0" name=""/>
        <dsp:cNvSpPr/>
      </dsp:nvSpPr>
      <dsp:spPr>
        <a:xfrm rot="5400000">
          <a:off x="219610" y="497903"/>
          <a:ext cx="285514" cy="504026"/>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46DB3D0-60C5-45CD-8547-16E9228939F0}">
      <dsp:nvSpPr>
        <dsp:cNvPr id="0" name=""/>
        <dsp:cNvSpPr/>
      </dsp:nvSpPr>
      <dsp:spPr>
        <a:xfrm>
          <a:off x="1492" y="270893"/>
          <a:ext cx="2391506" cy="336431"/>
        </a:xfrm>
        <a:prstGeom prst="roundRect">
          <a:avLst>
            <a:gd name="adj" fmla="val 16670"/>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cs typeface="Times New Roman" panose="02020603050405020304" pitchFamily="18" charset="0"/>
            </a:rPr>
            <a:t>Низкая посещаемость школ здоровья и диабета</a:t>
          </a:r>
        </a:p>
      </dsp:txBody>
      <dsp:txXfrm>
        <a:off x="17918" y="287319"/>
        <a:ext cx="2358654" cy="303579"/>
      </dsp:txXfrm>
    </dsp:sp>
    <dsp:sp modelId="{578A80FE-60B3-487B-9C2B-62143ADC0C97}">
      <dsp:nvSpPr>
        <dsp:cNvPr id="0" name=""/>
        <dsp:cNvSpPr/>
      </dsp:nvSpPr>
      <dsp:spPr>
        <a:xfrm>
          <a:off x="1437565" y="302980"/>
          <a:ext cx="349571" cy="271918"/>
        </a:xfrm>
        <a:prstGeom prst="rect">
          <a:avLst/>
        </a:prstGeom>
        <a:noFill/>
        <a:ln>
          <a:noFill/>
        </a:ln>
        <a:effectLst/>
      </dsp:spPr>
      <dsp:style>
        <a:lnRef idx="0">
          <a:scrgbClr r="0" g="0" b="0"/>
        </a:lnRef>
        <a:fillRef idx="0">
          <a:scrgbClr r="0" g="0" b="0"/>
        </a:fillRef>
        <a:effectRef idx="0">
          <a:scrgbClr r="0" g="0" b="0"/>
        </a:effectRef>
        <a:fontRef idx="minor"/>
      </dsp:style>
    </dsp:sp>
    <dsp:sp modelId="{25443131-83B4-466E-852D-0A62160E6CAF}">
      <dsp:nvSpPr>
        <dsp:cNvPr id="0" name=""/>
        <dsp:cNvSpPr/>
      </dsp:nvSpPr>
      <dsp:spPr>
        <a:xfrm rot="5400000">
          <a:off x="1133865" y="1002390"/>
          <a:ext cx="285514" cy="325048"/>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C5A5EE0-0FDE-41D6-BE7E-71E4C29CAEB1}">
      <dsp:nvSpPr>
        <dsp:cNvPr id="0" name=""/>
        <dsp:cNvSpPr/>
      </dsp:nvSpPr>
      <dsp:spPr>
        <a:xfrm>
          <a:off x="529862" y="677424"/>
          <a:ext cx="2632652" cy="336431"/>
        </a:xfrm>
        <a:prstGeom prst="roundRect">
          <a:avLst>
            <a:gd name="adj" fmla="val 16670"/>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cs typeface="Times New Roman" panose="02020603050405020304" pitchFamily="18" charset="0"/>
            </a:rPr>
            <a:t>реорганизовать функцию ШД для его более высокой функциональной деятельности</a:t>
          </a:r>
        </a:p>
      </dsp:txBody>
      <dsp:txXfrm>
        <a:off x="546288" y="693850"/>
        <a:ext cx="2599800" cy="303579"/>
      </dsp:txXfrm>
    </dsp:sp>
    <dsp:sp modelId="{73023B92-BD17-4832-8A88-7A94EB168F17}">
      <dsp:nvSpPr>
        <dsp:cNvPr id="0" name=""/>
        <dsp:cNvSpPr/>
      </dsp:nvSpPr>
      <dsp:spPr>
        <a:xfrm>
          <a:off x="2706061" y="680904"/>
          <a:ext cx="349571" cy="271918"/>
        </a:xfrm>
        <a:prstGeom prst="rect">
          <a:avLst/>
        </a:prstGeom>
        <a:noFill/>
        <a:ln>
          <a:noFill/>
        </a:ln>
        <a:effectLst/>
      </dsp:spPr>
      <dsp:style>
        <a:lnRef idx="0">
          <a:scrgbClr r="0" g="0" b="0"/>
        </a:lnRef>
        <a:fillRef idx="0">
          <a:scrgbClr r="0" g="0" b="0"/>
        </a:fillRef>
        <a:effectRef idx="0">
          <a:scrgbClr r="0" g="0" b="0"/>
        </a:effectRef>
        <a:fontRef idx="minor"/>
      </dsp:style>
    </dsp:sp>
    <dsp:sp modelId="{8B177899-D8FA-46E4-BDFB-219E4CE0A5D8}">
      <dsp:nvSpPr>
        <dsp:cNvPr id="0" name=""/>
        <dsp:cNvSpPr/>
      </dsp:nvSpPr>
      <dsp:spPr>
        <a:xfrm>
          <a:off x="1503409" y="1036000"/>
          <a:ext cx="3187569" cy="336431"/>
        </a:xfrm>
        <a:prstGeom prst="roundRect">
          <a:avLst>
            <a:gd name="adj" fmla="val 16670"/>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cs typeface="Times New Roman" panose="02020603050405020304" pitchFamily="18" charset="0"/>
            </a:rPr>
            <a:t>организовать больший охват обучения пациентов и ввести контроль за его выполнением</a:t>
          </a:r>
        </a:p>
      </dsp:txBody>
      <dsp:txXfrm>
        <a:off x="1519835" y="1052426"/>
        <a:ext cx="3154717" cy="30357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B4BE55-9515-4C1D-A700-DF7047BC0BA3}">
      <dsp:nvSpPr>
        <dsp:cNvPr id="0" name=""/>
        <dsp:cNvSpPr/>
      </dsp:nvSpPr>
      <dsp:spPr>
        <a:xfrm rot="5400000">
          <a:off x="213724" y="528694"/>
          <a:ext cx="286148" cy="505144"/>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46DB3D0-60C5-45CD-8547-16E9228939F0}">
      <dsp:nvSpPr>
        <dsp:cNvPr id="0" name=""/>
        <dsp:cNvSpPr/>
      </dsp:nvSpPr>
      <dsp:spPr>
        <a:xfrm>
          <a:off x="356" y="190271"/>
          <a:ext cx="2382285" cy="463595"/>
        </a:xfrm>
        <a:prstGeom prst="roundRect">
          <a:avLst>
            <a:gd name="adj" fmla="val 16670"/>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cs typeface="Times New Roman" panose="02020603050405020304" pitchFamily="18" charset="0"/>
            </a:rPr>
            <a:t>Узкие специалисты не всегда совместно решают проблемы здоровья пациентов по репродуктивному потенциалу</a:t>
          </a:r>
        </a:p>
      </dsp:txBody>
      <dsp:txXfrm>
        <a:off x="22991" y="212906"/>
        <a:ext cx="2337015" cy="418325"/>
      </dsp:txXfrm>
    </dsp:sp>
    <dsp:sp modelId="{578A80FE-60B3-487B-9C2B-62143ADC0C97}">
      <dsp:nvSpPr>
        <dsp:cNvPr id="0" name=""/>
        <dsp:cNvSpPr/>
      </dsp:nvSpPr>
      <dsp:spPr>
        <a:xfrm>
          <a:off x="1434379" y="333338"/>
          <a:ext cx="350346" cy="272521"/>
        </a:xfrm>
        <a:prstGeom prst="rect">
          <a:avLst/>
        </a:prstGeom>
        <a:noFill/>
        <a:ln>
          <a:noFill/>
        </a:ln>
        <a:effectLst/>
      </dsp:spPr>
      <dsp:style>
        <a:lnRef idx="0">
          <a:scrgbClr r="0" g="0" b="0"/>
        </a:lnRef>
        <a:fillRef idx="0">
          <a:scrgbClr r="0" g="0" b="0"/>
        </a:fillRef>
        <a:effectRef idx="0">
          <a:scrgbClr r="0" g="0" b="0"/>
        </a:effectRef>
        <a:fontRef idx="minor"/>
      </dsp:style>
    </dsp:sp>
    <dsp:sp modelId="{25443131-83B4-466E-852D-0A62160E6CAF}">
      <dsp:nvSpPr>
        <dsp:cNvPr id="0" name=""/>
        <dsp:cNvSpPr/>
      </dsp:nvSpPr>
      <dsp:spPr>
        <a:xfrm rot="5400000">
          <a:off x="1130296" y="1034300"/>
          <a:ext cx="286148" cy="325769"/>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C5A5EE0-0FDE-41D6-BE7E-71E4C29CAEB1}">
      <dsp:nvSpPr>
        <dsp:cNvPr id="0" name=""/>
        <dsp:cNvSpPr/>
      </dsp:nvSpPr>
      <dsp:spPr>
        <a:xfrm>
          <a:off x="524954" y="708613"/>
          <a:ext cx="2638489" cy="337177"/>
        </a:xfrm>
        <a:prstGeom prst="roundRect">
          <a:avLst>
            <a:gd name="adj" fmla="val 16670"/>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cs typeface="Times New Roman" panose="02020603050405020304" pitchFamily="18" charset="0"/>
            </a:rPr>
            <a:t>развить коммуникативные навыки в коллективе и с пациентами</a:t>
          </a:r>
          <a:endParaRPr lang="ru-RU" sz="1000" kern="1200"/>
        </a:p>
      </dsp:txBody>
      <dsp:txXfrm>
        <a:off x="541417" y="725076"/>
        <a:ext cx="2605563" cy="304251"/>
      </dsp:txXfrm>
    </dsp:sp>
    <dsp:sp modelId="{73023B92-BD17-4832-8A88-7A94EB168F17}">
      <dsp:nvSpPr>
        <dsp:cNvPr id="0" name=""/>
        <dsp:cNvSpPr/>
      </dsp:nvSpPr>
      <dsp:spPr>
        <a:xfrm>
          <a:off x="2705978" y="712100"/>
          <a:ext cx="350346" cy="272521"/>
        </a:xfrm>
        <a:prstGeom prst="rect">
          <a:avLst/>
        </a:prstGeom>
        <a:noFill/>
        <a:ln>
          <a:noFill/>
        </a:ln>
        <a:effectLst/>
      </dsp:spPr>
      <dsp:style>
        <a:lnRef idx="0">
          <a:scrgbClr r="0" g="0" b="0"/>
        </a:lnRef>
        <a:fillRef idx="0">
          <a:scrgbClr r="0" g="0" b="0"/>
        </a:fillRef>
        <a:effectRef idx="0">
          <a:scrgbClr r="0" g="0" b="0"/>
        </a:effectRef>
        <a:fontRef idx="minor"/>
      </dsp:style>
    </dsp:sp>
    <dsp:sp modelId="{8B177899-D8FA-46E4-BDFB-219E4CE0A5D8}">
      <dsp:nvSpPr>
        <dsp:cNvPr id="0" name=""/>
        <dsp:cNvSpPr/>
      </dsp:nvSpPr>
      <dsp:spPr>
        <a:xfrm>
          <a:off x="1493688" y="1067984"/>
          <a:ext cx="3194637" cy="337177"/>
        </a:xfrm>
        <a:prstGeom prst="roundRect">
          <a:avLst>
            <a:gd name="adj" fmla="val 16670"/>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cs typeface="Times New Roman" panose="02020603050405020304" pitchFamily="18" charset="0"/>
            </a:rPr>
            <a:t>повышать квалификацию персонала по репродуктивному потенциалу у пациентов с СД2т</a:t>
          </a:r>
        </a:p>
      </dsp:txBody>
      <dsp:txXfrm>
        <a:off x="1510151" y="1084447"/>
        <a:ext cx="3161711" cy="30425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B4BE55-9515-4C1D-A700-DF7047BC0BA3}">
      <dsp:nvSpPr>
        <dsp:cNvPr id="0" name=""/>
        <dsp:cNvSpPr/>
      </dsp:nvSpPr>
      <dsp:spPr>
        <a:xfrm rot="5400000">
          <a:off x="219937" y="533876"/>
          <a:ext cx="285477" cy="503961"/>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46DB3D0-60C5-45CD-8547-16E9228939F0}">
      <dsp:nvSpPr>
        <dsp:cNvPr id="0" name=""/>
        <dsp:cNvSpPr/>
      </dsp:nvSpPr>
      <dsp:spPr>
        <a:xfrm>
          <a:off x="358" y="179169"/>
          <a:ext cx="2391195" cy="480537"/>
        </a:xfrm>
        <a:prstGeom prst="roundRect">
          <a:avLst>
            <a:gd name="adj" fmla="val 16670"/>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cs typeface="Times New Roman" panose="02020603050405020304" pitchFamily="18" charset="0"/>
            </a:rPr>
            <a:t>У персонала нет навыков выявления психосоциальных проблем пациента с СД2т</a:t>
          </a:r>
        </a:p>
      </dsp:txBody>
      <dsp:txXfrm>
        <a:off x="23820" y="202631"/>
        <a:ext cx="2344271" cy="433613"/>
      </dsp:txXfrm>
    </dsp:sp>
    <dsp:sp modelId="{578A80FE-60B3-487B-9C2B-62143ADC0C97}">
      <dsp:nvSpPr>
        <dsp:cNvPr id="0" name=""/>
        <dsp:cNvSpPr/>
      </dsp:nvSpPr>
      <dsp:spPr>
        <a:xfrm>
          <a:off x="1437734" y="338978"/>
          <a:ext cx="349525" cy="271883"/>
        </a:xfrm>
        <a:prstGeom prst="rect">
          <a:avLst/>
        </a:prstGeom>
        <a:noFill/>
        <a:ln>
          <a:noFill/>
        </a:ln>
        <a:effectLst/>
      </dsp:spPr>
      <dsp:style>
        <a:lnRef idx="0">
          <a:scrgbClr r="0" g="0" b="0"/>
        </a:lnRef>
        <a:fillRef idx="0">
          <a:scrgbClr r="0" g="0" b="0"/>
        </a:fillRef>
        <a:effectRef idx="0">
          <a:scrgbClr r="0" g="0" b="0"/>
        </a:effectRef>
        <a:fontRef idx="minor"/>
      </dsp:style>
    </dsp:sp>
    <dsp:sp modelId="{25443131-83B4-466E-852D-0A62160E6CAF}">
      <dsp:nvSpPr>
        <dsp:cNvPr id="0" name=""/>
        <dsp:cNvSpPr/>
      </dsp:nvSpPr>
      <dsp:spPr>
        <a:xfrm rot="5400000">
          <a:off x="1134073" y="1038297"/>
          <a:ext cx="285477" cy="325006"/>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C5A5EE0-0FDE-41D6-BE7E-71E4C29CAEB1}">
      <dsp:nvSpPr>
        <dsp:cNvPr id="0" name=""/>
        <dsp:cNvSpPr/>
      </dsp:nvSpPr>
      <dsp:spPr>
        <a:xfrm>
          <a:off x="530149" y="713373"/>
          <a:ext cx="2632310" cy="336388"/>
        </a:xfrm>
        <a:prstGeom prst="roundRect">
          <a:avLst>
            <a:gd name="adj" fmla="val 16670"/>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cs typeface="Times New Roman" panose="02020603050405020304" pitchFamily="18" charset="0"/>
            </a:rPr>
            <a:t>нет навыков по оценке психосоциального статуса пациента и  распределения по специфике </a:t>
          </a:r>
        </a:p>
      </dsp:txBody>
      <dsp:txXfrm>
        <a:off x="546573" y="729797"/>
        <a:ext cx="2599462" cy="303540"/>
      </dsp:txXfrm>
    </dsp:sp>
    <dsp:sp modelId="{73023B92-BD17-4832-8A88-7A94EB168F17}">
      <dsp:nvSpPr>
        <dsp:cNvPr id="0" name=""/>
        <dsp:cNvSpPr/>
      </dsp:nvSpPr>
      <dsp:spPr>
        <a:xfrm>
          <a:off x="2706065" y="716852"/>
          <a:ext cx="349525" cy="271883"/>
        </a:xfrm>
        <a:prstGeom prst="rect">
          <a:avLst/>
        </a:prstGeom>
        <a:noFill/>
        <a:ln>
          <a:noFill/>
        </a:ln>
        <a:effectLst/>
      </dsp:spPr>
      <dsp:style>
        <a:lnRef idx="0">
          <a:scrgbClr r="0" g="0" b="0"/>
        </a:lnRef>
        <a:fillRef idx="0">
          <a:scrgbClr r="0" g="0" b="0"/>
        </a:fillRef>
        <a:effectRef idx="0">
          <a:scrgbClr r="0" g="0" b="0"/>
        </a:effectRef>
        <a:fontRef idx="minor"/>
      </dsp:style>
    </dsp:sp>
    <dsp:sp modelId="{8B177899-D8FA-46E4-BDFB-219E4CE0A5D8}">
      <dsp:nvSpPr>
        <dsp:cNvPr id="0" name=""/>
        <dsp:cNvSpPr/>
      </dsp:nvSpPr>
      <dsp:spPr>
        <a:xfrm>
          <a:off x="1503569" y="1071902"/>
          <a:ext cx="3187155" cy="336388"/>
        </a:xfrm>
        <a:prstGeom prst="roundRect">
          <a:avLst>
            <a:gd name="adj" fmla="val 16670"/>
          </a:avLst>
        </a:prstGeom>
        <a:solidFill>
          <a:srgbClr val="FFFF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cs typeface="Times New Roman" panose="02020603050405020304" pitchFamily="18" charset="0"/>
            </a:rPr>
            <a:t>нет четкого маршрута пациента и контроль за его выполнением</a:t>
          </a:r>
        </a:p>
      </dsp:txBody>
      <dsp:txXfrm>
        <a:off x="1519993" y="1088326"/>
        <a:ext cx="3154307" cy="303540"/>
      </dsp:txXfrm>
    </dsp:sp>
  </dsp:spTree>
</dsp:drawing>
</file>

<file path=word/diagrams/layout1.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883E01-7C13-4339-B8B3-D3E14D871F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89910</Words>
  <Characters>512492</Characters>
  <Application>Microsoft Office Word</Application>
  <DocSecurity>0</DocSecurity>
  <Lines>4270</Lines>
  <Paragraphs>1202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601200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Azamat</dc:creator>
  <cp:keywords/>
  <dc:description/>
  <cp:lastModifiedBy>Асия Баймухаметова</cp:lastModifiedBy>
  <cp:revision>3</cp:revision>
  <cp:lastPrinted>2022-08-26T10:53:00Z</cp:lastPrinted>
  <dcterms:created xsi:type="dcterms:W3CDTF">2022-08-26T10:53:00Z</dcterms:created>
  <dcterms:modified xsi:type="dcterms:W3CDTF">2022-08-26T10:53:00Z</dcterms:modified>
</cp:coreProperties>
</file>